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27A57" w14:textId="0DBB1344" w:rsidR="00FE770D" w:rsidRDefault="00FE770D" w:rsidP="4B11903E">
      <w:pPr>
        <w:rPr>
          <w:rFonts w:ascii="Times New Roman" w:hAnsi="Times New Roman"/>
        </w:rPr>
      </w:pPr>
    </w:p>
    <w:p w14:paraId="740F15AB" w14:textId="01BF2874" w:rsidR="00FE770D" w:rsidRDefault="00FE770D" w:rsidP="00A63F20">
      <w:pPr>
        <w:jc w:val="center"/>
        <w:rPr>
          <w:rFonts w:ascii="Times New Roman" w:hAnsi="Times New Roman"/>
          <w:szCs w:val="22"/>
        </w:rPr>
      </w:pPr>
    </w:p>
    <w:p w14:paraId="1D7F89D6" w14:textId="40D7AA37" w:rsidR="00FE770D" w:rsidRDefault="00FE770D" w:rsidP="00A63F20">
      <w:pPr>
        <w:jc w:val="center"/>
        <w:rPr>
          <w:rFonts w:ascii="Times New Roman" w:hAnsi="Times New Roman"/>
          <w:szCs w:val="22"/>
        </w:rPr>
      </w:pPr>
    </w:p>
    <w:p w14:paraId="2CA9D7CC" w14:textId="0AC88275" w:rsidR="00FE770D" w:rsidRDefault="00FE770D" w:rsidP="731ECE73">
      <w:pPr>
        <w:jc w:val="center"/>
        <w:rPr>
          <w:rFonts w:ascii="Times New Roman" w:hAnsi="Times New Roman"/>
        </w:rPr>
      </w:pPr>
    </w:p>
    <w:p w14:paraId="582D36EC" w14:textId="3F911A8E" w:rsidR="731ECE73" w:rsidRDefault="731ECE73" w:rsidP="731ECE73">
      <w:pPr>
        <w:jc w:val="center"/>
        <w:rPr>
          <w:rFonts w:ascii="Times New Roman" w:hAnsi="Times New Roman"/>
        </w:rPr>
      </w:pPr>
    </w:p>
    <w:p w14:paraId="6878334B" w14:textId="6DA018E1" w:rsidR="731ECE73" w:rsidRDefault="731ECE73" w:rsidP="731ECE73">
      <w:pPr>
        <w:jc w:val="center"/>
        <w:rPr>
          <w:rFonts w:ascii="Times New Roman" w:hAnsi="Times New Roman"/>
        </w:rPr>
      </w:pPr>
    </w:p>
    <w:p w14:paraId="610D7E72" w14:textId="34113175" w:rsidR="42DA8437" w:rsidRDefault="42DA8437" w:rsidP="374C8319">
      <w:pPr>
        <w:jc w:val="center"/>
        <w:rPr>
          <w:rFonts w:ascii="Times New Roman" w:hAnsi="Times New Roman"/>
        </w:rPr>
      </w:pPr>
    </w:p>
    <w:p w14:paraId="7A0091D3" w14:textId="59498E2A" w:rsidR="42DA8437" w:rsidRDefault="42DA8437" w:rsidP="42DA8437">
      <w:pPr>
        <w:jc w:val="center"/>
        <w:rPr>
          <w:rStyle w:val="Heading2Char"/>
          <w:rFonts w:ascii="Century Gothic" w:hAnsi="Century Gothic" w:cs="Times New Roman"/>
          <w:color w:val="auto"/>
          <w:sz w:val="22"/>
          <w:szCs w:val="22"/>
        </w:rPr>
      </w:pPr>
    </w:p>
    <w:p w14:paraId="2FCFDEF3" w14:textId="77777777" w:rsidR="00B72A9A" w:rsidRPr="00DC342A" w:rsidRDefault="00B72A9A" w:rsidP="00B72A9A">
      <w:pPr>
        <w:jc w:val="center"/>
        <w:rPr>
          <w:rFonts w:ascii="Century Gothic" w:hAnsi="Century Gothic"/>
          <w:szCs w:val="22"/>
        </w:rPr>
      </w:pPr>
      <w:bookmarkStart w:id="0" w:name="_Toc465517106"/>
      <w:r w:rsidRPr="00DC342A">
        <w:rPr>
          <w:rStyle w:val="Heading7Char"/>
          <w:rFonts w:ascii="Century Gothic" w:hAnsi="Century Gothic" w:cs="Times New Roman"/>
          <w:color w:val="auto"/>
          <w:sz w:val="22"/>
        </w:rPr>
        <w:t>Mayor</w:t>
      </w:r>
      <w:bookmarkEnd w:id="0"/>
      <w:r w:rsidRPr="00DC342A">
        <w:rPr>
          <w:rStyle w:val="Heading2Char"/>
          <w:rFonts w:ascii="Century Gothic" w:hAnsi="Century Gothic" w:cs="Times New Roman"/>
          <w:color w:val="auto"/>
          <w:sz w:val="22"/>
          <w:szCs w:val="22"/>
        </w:rPr>
        <w:br/>
      </w:r>
      <w:r w:rsidRPr="00DC342A">
        <w:rPr>
          <w:rFonts w:ascii="Century Gothic" w:hAnsi="Century Gothic"/>
          <w:szCs w:val="22"/>
        </w:rPr>
        <w:t>Justin Elicker</w:t>
      </w:r>
    </w:p>
    <w:p w14:paraId="54A8CDF1" w14:textId="6DC38DE0" w:rsidR="00B72A9A" w:rsidRPr="00DC342A" w:rsidRDefault="00B72A9A" w:rsidP="4372173C">
      <w:pPr>
        <w:jc w:val="center"/>
        <w:rPr>
          <w:rFonts w:ascii="Century Gothic" w:hAnsi="Century Gothic"/>
          <w:szCs w:val="22"/>
        </w:rPr>
      </w:pPr>
      <w:r w:rsidRPr="00DC342A">
        <w:rPr>
          <w:rFonts w:ascii="Century Gothic" w:hAnsi="Century Gothic"/>
        </w:rPr>
        <w:br/>
      </w:r>
      <w:bookmarkStart w:id="1" w:name="_Toc465185526"/>
      <w:bookmarkStart w:id="2" w:name="_Toc465193872"/>
      <w:bookmarkStart w:id="3" w:name="_Toc465517107"/>
      <w:r w:rsidRPr="00DC342A">
        <w:rPr>
          <w:rStyle w:val="Heading7Char"/>
          <w:rFonts w:ascii="Century Gothic" w:hAnsi="Century Gothic" w:cs="Times New Roman"/>
          <w:color w:val="auto"/>
          <w:sz w:val="22"/>
        </w:rPr>
        <w:t>Board of Commissioners</w:t>
      </w:r>
      <w:bookmarkEnd w:id="1"/>
      <w:bookmarkEnd w:id="2"/>
      <w:bookmarkEnd w:id="3"/>
      <w:r w:rsidRPr="00DC342A">
        <w:rPr>
          <w:rFonts w:ascii="Century Gothic" w:hAnsi="Century Gothic"/>
        </w:rPr>
        <w:br/>
      </w:r>
      <w:r w:rsidRPr="00DC342A">
        <w:rPr>
          <w:rFonts w:ascii="Century Gothic" w:hAnsi="Century Gothic"/>
          <w:szCs w:val="22"/>
        </w:rPr>
        <w:t>William Kilpatrick, Chair</w:t>
      </w:r>
      <w:r w:rsidRPr="00DC342A">
        <w:rPr>
          <w:rFonts w:ascii="Century Gothic" w:hAnsi="Century Gothic"/>
        </w:rPr>
        <w:br/>
      </w:r>
      <w:r w:rsidR="3F271FC1" w:rsidRPr="00DC342A">
        <w:rPr>
          <w:rFonts w:ascii="Century Gothic" w:hAnsi="Century Gothic"/>
        </w:rPr>
        <w:t>Danya Keene, Ph.D., Vice Chair</w:t>
      </w:r>
    </w:p>
    <w:p w14:paraId="6AF18332" w14:textId="77777777" w:rsidR="00B72A9A" w:rsidRPr="00DC342A" w:rsidRDefault="00B72A9A" w:rsidP="00B72A9A">
      <w:pPr>
        <w:jc w:val="center"/>
        <w:rPr>
          <w:rFonts w:ascii="Century Gothic" w:hAnsi="Century Gothic"/>
        </w:rPr>
      </w:pPr>
      <w:r w:rsidRPr="00DC342A">
        <w:rPr>
          <w:rFonts w:ascii="Century Gothic" w:hAnsi="Century Gothic"/>
        </w:rPr>
        <w:t>Elmer Rivera-Bello, Commissioner</w:t>
      </w:r>
      <w:r w:rsidRPr="00DC342A">
        <w:rPr>
          <w:rFonts w:ascii="Century Gothic" w:hAnsi="Century Gothic"/>
        </w:rPr>
        <w:br/>
        <w:t>Alberta Witherspoon, Commissioner</w:t>
      </w:r>
    </w:p>
    <w:p w14:paraId="4E42FD8A" w14:textId="42B8724B" w:rsidR="00B72A9A" w:rsidRPr="00DC342A" w:rsidRDefault="1C94FECF">
      <w:pPr>
        <w:jc w:val="center"/>
        <w:rPr>
          <w:rFonts w:ascii="Century Gothic" w:hAnsi="Century Gothic"/>
        </w:rPr>
      </w:pPr>
      <w:r w:rsidRPr="00DC342A">
        <w:rPr>
          <w:rFonts w:ascii="Century Gothic" w:hAnsi="Century Gothic"/>
        </w:rPr>
        <w:t>Kevin Alvarez, Commissioner</w:t>
      </w:r>
    </w:p>
    <w:p w14:paraId="7B057204" w14:textId="114F624C" w:rsidR="00B72A9A" w:rsidRPr="00DC342A" w:rsidRDefault="00B72A9A" w:rsidP="00B72A9A">
      <w:pPr>
        <w:jc w:val="center"/>
        <w:rPr>
          <w:rFonts w:ascii="Century Gothic" w:hAnsi="Century Gothic"/>
          <w:szCs w:val="22"/>
        </w:rPr>
      </w:pPr>
      <w:r w:rsidRPr="00DC342A">
        <w:rPr>
          <w:rFonts w:ascii="Century Gothic" w:hAnsi="Century Gothic"/>
          <w:szCs w:val="22"/>
        </w:rPr>
        <w:br/>
      </w:r>
      <w:r w:rsidR="00994953" w:rsidRPr="00DC342A">
        <w:rPr>
          <w:rStyle w:val="Heading7Char"/>
          <w:rFonts w:ascii="Century Gothic" w:hAnsi="Century Gothic" w:cs="Times New Roman"/>
          <w:color w:val="auto"/>
          <w:sz w:val="22"/>
        </w:rPr>
        <w:t xml:space="preserve">Interim </w:t>
      </w:r>
      <w:r w:rsidRPr="00DC342A">
        <w:rPr>
          <w:rStyle w:val="Heading7Char"/>
          <w:rFonts w:ascii="Century Gothic" w:hAnsi="Century Gothic" w:cs="Times New Roman"/>
          <w:color w:val="auto"/>
          <w:sz w:val="22"/>
        </w:rPr>
        <w:t>President</w:t>
      </w:r>
      <w:r w:rsidRPr="00DC342A">
        <w:rPr>
          <w:rStyle w:val="Heading2Char"/>
          <w:rFonts w:ascii="Century Gothic" w:hAnsi="Century Gothic" w:cs="Times New Roman"/>
          <w:color w:val="auto"/>
          <w:sz w:val="22"/>
          <w:szCs w:val="22"/>
        </w:rPr>
        <w:br/>
      </w:r>
      <w:r w:rsidR="00994953" w:rsidRPr="00DC342A">
        <w:rPr>
          <w:rFonts w:ascii="Century Gothic" w:hAnsi="Century Gothic"/>
          <w:szCs w:val="22"/>
        </w:rPr>
        <w:t xml:space="preserve"> Shenae Draughn</w:t>
      </w:r>
    </w:p>
    <w:p w14:paraId="6AEE2107" w14:textId="4BE06F8D" w:rsidR="00B72A9A" w:rsidRPr="00FE770D" w:rsidRDefault="00B72A9A">
      <w:pPr>
        <w:pStyle w:val="TOCHeading"/>
        <w:rPr>
          <w:rFonts w:ascii="Century Gothic" w:eastAsiaTheme="minorEastAsia" w:hAnsi="Century Gothic" w:cs="Times New Roman"/>
          <w:b w:val="0"/>
          <w:caps w:val="0"/>
          <w:noProof/>
          <w:color w:val="auto"/>
          <w:sz w:val="22"/>
          <w:szCs w:val="22"/>
          <w:lang w:eastAsia="en-US"/>
        </w:rPr>
      </w:pPr>
      <w:r w:rsidRPr="00DC342A">
        <w:rPr>
          <w:rFonts w:ascii="Century Gothic" w:eastAsiaTheme="minorEastAsia" w:hAnsi="Century Gothic" w:cs="Times New Roman"/>
          <w:b w:val="0"/>
          <w:caps w:val="0"/>
          <w:noProof/>
          <w:color w:val="auto"/>
          <w:sz w:val="22"/>
          <w:szCs w:val="22"/>
          <w:lang w:eastAsia="en-US"/>
        </w:rPr>
        <w:br w:type="page"/>
      </w:r>
    </w:p>
    <w:sdt>
      <w:sdtPr>
        <w:rPr>
          <w:rFonts w:ascii="Times New Roman" w:eastAsiaTheme="minorEastAsia" w:hAnsi="Times New Roman" w:cs="Times New Roman"/>
          <w:b w:val="0"/>
          <w:caps w:val="0"/>
          <w:noProof/>
          <w:color w:val="auto"/>
          <w:sz w:val="22"/>
          <w:szCs w:val="22"/>
          <w:lang w:eastAsia="en-US"/>
        </w:rPr>
        <w:id w:val="1330247666"/>
        <w:docPartObj>
          <w:docPartGallery w:val="Table of Contents"/>
          <w:docPartUnique/>
        </w:docPartObj>
      </w:sdtPr>
      <w:sdtEndPr>
        <w:rPr>
          <w:rFonts w:ascii="Century Gothic" w:eastAsiaTheme="majorEastAsia" w:hAnsi="Century Gothic"/>
        </w:rPr>
      </w:sdtEndPr>
      <w:sdtContent>
        <w:p w14:paraId="7A300D81" w14:textId="1FA32436" w:rsidR="0081780F" w:rsidRPr="00672916" w:rsidRDefault="0081780F" w:rsidP="00486062">
          <w:pPr>
            <w:pStyle w:val="TOCHeading"/>
            <w:numPr>
              <w:ilvl w:val="0"/>
              <w:numId w:val="102"/>
            </w:numPr>
            <w:rPr>
              <w:rFonts w:ascii="Century Gothic" w:hAnsi="Century Gothic" w:cs="Times New Roman"/>
              <w:color w:val="auto"/>
              <w:sz w:val="22"/>
              <w:szCs w:val="22"/>
            </w:rPr>
          </w:pPr>
          <w:r w:rsidRPr="00672916">
            <w:rPr>
              <w:rFonts w:ascii="Century Gothic" w:hAnsi="Century Gothic" w:cs="Times New Roman"/>
              <w:color w:val="auto"/>
              <w:sz w:val="22"/>
              <w:szCs w:val="22"/>
            </w:rPr>
            <w:t>Table of Contents</w:t>
          </w:r>
        </w:p>
        <w:p w14:paraId="1AB3E939" w14:textId="55476E90" w:rsidR="00B005F4" w:rsidRPr="00672916" w:rsidRDefault="00FA796A" w:rsidP="00E328B9">
          <w:pPr>
            <w:pStyle w:val="TOC3"/>
            <w:rPr>
              <w:rFonts w:eastAsiaTheme="minorEastAsia" w:cstheme="minorBidi"/>
            </w:rPr>
          </w:pPr>
          <w:r w:rsidRPr="00672916">
            <w:fldChar w:fldCharType="begin"/>
          </w:r>
          <w:r w:rsidRPr="00672916">
            <w:instrText xml:space="preserve"> TOC \o "1-3" \h \z \u </w:instrText>
          </w:r>
          <w:r w:rsidRPr="00672916">
            <w:fldChar w:fldCharType="separate"/>
          </w:r>
        </w:p>
        <w:p w14:paraId="0307001C" w14:textId="5257F391" w:rsidR="00B005F4" w:rsidRPr="00672916" w:rsidRDefault="00B005F4">
          <w:pPr>
            <w:pStyle w:val="TOC2"/>
            <w:tabs>
              <w:tab w:val="right" w:leader="dot" w:pos="9926"/>
            </w:tabs>
            <w:rPr>
              <w:rFonts w:ascii="Century Gothic" w:hAnsi="Century Gothic" w:cstheme="minorBidi"/>
              <w:noProof/>
              <w:szCs w:val="22"/>
              <w:lang w:eastAsia="en-US"/>
            </w:rPr>
          </w:pPr>
          <w:hyperlink w:anchor="_Toc89871130" w:history="1">
            <w:r w:rsidRPr="00672916">
              <w:rPr>
                <w:rStyle w:val="Hyperlink"/>
                <w:rFonts w:ascii="Century Gothic" w:hAnsi="Century Gothic"/>
                <w:noProof/>
              </w:rPr>
              <w:t>I. INTRODUCTION</w:t>
            </w:r>
            <w:r w:rsidRPr="00672916">
              <w:rPr>
                <w:rFonts w:ascii="Century Gothic" w:hAnsi="Century Gothic"/>
                <w:noProof/>
                <w:webHidden/>
              </w:rPr>
              <w:tab/>
            </w:r>
            <w:r w:rsidRPr="00672916">
              <w:rPr>
                <w:rFonts w:ascii="Century Gothic" w:hAnsi="Century Gothic"/>
                <w:noProof/>
                <w:webHidden/>
              </w:rPr>
              <w:fldChar w:fldCharType="begin"/>
            </w:r>
            <w:r w:rsidRPr="00672916">
              <w:rPr>
                <w:rFonts w:ascii="Century Gothic" w:hAnsi="Century Gothic"/>
                <w:noProof/>
                <w:webHidden/>
              </w:rPr>
              <w:instrText xml:space="preserve"> PAGEREF _Toc89871130 \h </w:instrText>
            </w:r>
            <w:r w:rsidRPr="00672916">
              <w:rPr>
                <w:rFonts w:ascii="Century Gothic" w:hAnsi="Century Gothic"/>
                <w:noProof/>
                <w:webHidden/>
              </w:rPr>
            </w:r>
            <w:r w:rsidRPr="00672916">
              <w:rPr>
                <w:rFonts w:ascii="Century Gothic" w:hAnsi="Century Gothic"/>
                <w:noProof/>
                <w:webHidden/>
              </w:rPr>
              <w:fldChar w:fldCharType="separate"/>
            </w:r>
            <w:r w:rsidR="009F34AB">
              <w:rPr>
                <w:rFonts w:ascii="Century Gothic" w:hAnsi="Century Gothic"/>
                <w:noProof/>
                <w:webHidden/>
              </w:rPr>
              <w:t>4</w:t>
            </w:r>
            <w:r w:rsidRPr="00672916">
              <w:rPr>
                <w:rFonts w:ascii="Century Gothic" w:hAnsi="Century Gothic"/>
                <w:noProof/>
                <w:webHidden/>
              </w:rPr>
              <w:fldChar w:fldCharType="end"/>
            </w:r>
          </w:hyperlink>
        </w:p>
        <w:p w14:paraId="3E9BE1D4" w14:textId="7A70B062" w:rsidR="00B005F4" w:rsidRPr="00672916" w:rsidRDefault="00B005F4" w:rsidP="00E328B9">
          <w:pPr>
            <w:pStyle w:val="TOC3"/>
            <w:rPr>
              <w:rFonts w:eastAsiaTheme="minorEastAsia" w:cstheme="minorBidi"/>
              <w:szCs w:val="22"/>
            </w:rPr>
          </w:pPr>
          <w:hyperlink w:anchor="_Toc89871131" w:history="1">
            <w:r w:rsidRPr="00672916">
              <w:rPr>
                <w:rStyle w:val="Hyperlink"/>
              </w:rPr>
              <w:t>What Is Moving to Work?</w:t>
            </w:r>
            <w:r w:rsidRPr="00672916">
              <w:rPr>
                <w:webHidden/>
              </w:rPr>
              <w:tab/>
            </w:r>
            <w:r w:rsidRPr="00672916">
              <w:rPr>
                <w:webHidden/>
              </w:rPr>
              <w:fldChar w:fldCharType="begin"/>
            </w:r>
            <w:r w:rsidRPr="00672916">
              <w:rPr>
                <w:webHidden/>
              </w:rPr>
              <w:instrText xml:space="preserve"> PAGEREF _Toc89871131 \h </w:instrText>
            </w:r>
            <w:r w:rsidRPr="00672916">
              <w:rPr>
                <w:webHidden/>
              </w:rPr>
            </w:r>
            <w:r w:rsidRPr="00672916">
              <w:rPr>
                <w:webHidden/>
              </w:rPr>
              <w:fldChar w:fldCharType="separate"/>
            </w:r>
            <w:r w:rsidR="009F34AB">
              <w:rPr>
                <w:webHidden/>
              </w:rPr>
              <w:t>4</w:t>
            </w:r>
            <w:r w:rsidRPr="00672916">
              <w:rPr>
                <w:webHidden/>
              </w:rPr>
              <w:fldChar w:fldCharType="end"/>
            </w:r>
          </w:hyperlink>
        </w:p>
        <w:p w14:paraId="7D334992" w14:textId="315CD917" w:rsidR="00B005F4" w:rsidRPr="00672916" w:rsidRDefault="00B005F4" w:rsidP="00E328B9">
          <w:pPr>
            <w:pStyle w:val="TOC3"/>
            <w:rPr>
              <w:rStyle w:val="Hyperlink"/>
            </w:rPr>
          </w:pPr>
          <w:hyperlink w:anchor="_Toc89871132" w:history="1">
            <w:r w:rsidRPr="00672916">
              <w:rPr>
                <w:rStyle w:val="Hyperlink"/>
              </w:rPr>
              <w:t>ECC/HANH Participation in MTW</w:t>
            </w:r>
            <w:r w:rsidRPr="00672916">
              <w:rPr>
                <w:webHidden/>
              </w:rPr>
              <w:tab/>
            </w:r>
            <w:r w:rsidRPr="00672916">
              <w:rPr>
                <w:webHidden/>
              </w:rPr>
              <w:fldChar w:fldCharType="begin"/>
            </w:r>
            <w:r w:rsidRPr="00672916">
              <w:rPr>
                <w:webHidden/>
              </w:rPr>
              <w:instrText xml:space="preserve"> PAGEREF _Toc89871132 \h </w:instrText>
            </w:r>
            <w:r w:rsidRPr="00672916">
              <w:rPr>
                <w:webHidden/>
              </w:rPr>
            </w:r>
            <w:r w:rsidRPr="00672916">
              <w:rPr>
                <w:webHidden/>
              </w:rPr>
              <w:fldChar w:fldCharType="separate"/>
            </w:r>
            <w:r w:rsidR="009F34AB">
              <w:rPr>
                <w:webHidden/>
              </w:rPr>
              <w:t>4</w:t>
            </w:r>
            <w:r w:rsidRPr="00672916">
              <w:rPr>
                <w:webHidden/>
              </w:rPr>
              <w:fldChar w:fldCharType="end"/>
            </w:r>
          </w:hyperlink>
        </w:p>
        <w:p w14:paraId="5875C3D8" w14:textId="77777777" w:rsidR="00B005F4" w:rsidRPr="00672916" w:rsidRDefault="00B005F4" w:rsidP="00B005F4">
          <w:pPr>
            <w:rPr>
              <w:rFonts w:ascii="Century Gothic" w:hAnsi="Century Gothic"/>
              <w:noProof/>
              <w:lang w:eastAsia="en-US"/>
            </w:rPr>
          </w:pPr>
        </w:p>
        <w:p w14:paraId="339A68CA" w14:textId="0C7DD9B7" w:rsidR="00B005F4" w:rsidRPr="00672916" w:rsidRDefault="00B005F4">
          <w:pPr>
            <w:pStyle w:val="TOC2"/>
            <w:tabs>
              <w:tab w:val="right" w:leader="dot" w:pos="9926"/>
            </w:tabs>
            <w:rPr>
              <w:rStyle w:val="Hyperlink"/>
              <w:rFonts w:ascii="Century Gothic" w:hAnsi="Century Gothic"/>
              <w:noProof/>
            </w:rPr>
          </w:pPr>
          <w:hyperlink w:anchor="_Toc89871133" w:history="1">
            <w:r w:rsidRPr="00672916">
              <w:rPr>
                <w:rStyle w:val="Hyperlink"/>
                <w:rFonts w:ascii="Century Gothic" w:hAnsi="Century Gothic"/>
                <w:noProof/>
              </w:rPr>
              <w:t>II. General Operating Information</w:t>
            </w:r>
            <w:r w:rsidRPr="00672916">
              <w:rPr>
                <w:rFonts w:ascii="Century Gothic" w:hAnsi="Century Gothic"/>
                <w:noProof/>
                <w:webHidden/>
              </w:rPr>
              <w:tab/>
            </w:r>
            <w:r w:rsidRPr="00672916">
              <w:rPr>
                <w:rFonts w:ascii="Century Gothic" w:hAnsi="Century Gothic"/>
                <w:noProof/>
                <w:webHidden/>
              </w:rPr>
              <w:fldChar w:fldCharType="begin"/>
            </w:r>
            <w:r w:rsidRPr="00672916">
              <w:rPr>
                <w:rFonts w:ascii="Century Gothic" w:hAnsi="Century Gothic"/>
                <w:noProof/>
                <w:webHidden/>
              </w:rPr>
              <w:instrText xml:space="preserve"> PAGEREF _Toc89871133 \h </w:instrText>
            </w:r>
            <w:r w:rsidRPr="00672916">
              <w:rPr>
                <w:rFonts w:ascii="Century Gothic" w:hAnsi="Century Gothic"/>
                <w:noProof/>
                <w:webHidden/>
              </w:rPr>
            </w:r>
            <w:r w:rsidRPr="00672916">
              <w:rPr>
                <w:rFonts w:ascii="Century Gothic" w:hAnsi="Century Gothic"/>
                <w:noProof/>
                <w:webHidden/>
              </w:rPr>
              <w:fldChar w:fldCharType="separate"/>
            </w:r>
            <w:r w:rsidR="009F34AB">
              <w:rPr>
                <w:rFonts w:ascii="Century Gothic" w:hAnsi="Century Gothic"/>
                <w:noProof/>
                <w:webHidden/>
              </w:rPr>
              <w:t>23</w:t>
            </w:r>
            <w:r w:rsidRPr="00672916">
              <w:rPr>
                <w:rFonts w:ascii="Century Gothic" w:hAnsi="Century Gothic"/>
                <w:noProof/>
                <w:webHidden/>
              </w:rPr>
              <w:fldChar w:fldCharType="end"/>
            </w:r>
          </w:hyperlink>
        </w:p>
        <w:p w14:paraId="64FCEBB5" w14:textId="77777777" w:rsidR="00B005F4" w:rsidRPr="00672916" w:rsidRDefault="00B005F4" w:rsidP="00B005F4">
          <w:pPr>
            <w:rPr>
              <w:rFonts w:ascii="Century Gothic" w:hAnsi="Century Gothic"/>
              <w:noProof/>
            </w:rPr>
          </w:pPr>
        </w:p>
        <w:p w14:paraId="32515953" w14:textId="04E99E49" w:rsidR="00B005F4" w:rsidRPr="00672916" w:rsidRDefault="00B005F4">
          <w:pPr>
            <w:pStyle w:val="TOC2"/>
            <w:tabs>
              <w:tab w:val="right" w:leader="dot" w:pos="9926"/>
            </w:tabs>
            <w:rPr>
              <w:rStyle w:val="Hyperlink"/>
              <w:rFonts w:ascii="Century Gothic" w:hAnsi="Century Gothic"/>
              <w:noProof/>
            </w:rPr>
          </w:pPr>
          <w:r w:rsidRPr="00672916">
            <w:rPr>
              <w:rFonts w:ascii="Century Gothic" w:hAnsi="Century Gothic"/>
              <w:noProof/>
            </w:rPr>
            <w:t>III. Proposed MTW Activities</w:t>
          </w:r>
          <w:r w:rsidRPr="00672916">
            <w:rPr>
              <w:rFonts w:ascii="Century Gothic" w:hAnsi="Century Gothic"/>
              <w:noProof/>
              <w:webHidden/>
            </w:rPr>
            <w:tab/>
          </w:r>
          <w:r w:rsidR="001D434F">
            <w:rPr>
              <w:rFonts w:ascii="Century Gothic" w:hAnsi="Century Gothic"/>
              <w:noProof/>
              <w:webHidden/>
            </w:rPr>
            <w:t>4</w:t>
          </w:r>
          <w:r w:rsidR="00E328B9">
            <w:rPr>
              <w:rFonts w:ascii="Century Gothic" w:hAnsi="Century Gothic"/>
              <w:noProof/>
              <w:webHidden/>
            </w:rPr>
            <w:t>1</w:t>
          </w:r>
        </w:p>
        <w:p w14:paraId="44DFE0C8" w14:textId="77777777" w:rsidR="00B005F4" w:rsidRPr="00672916" w:rsidRDefault="00B005F4" w:rsidP="00B005F4">
          <w:pPr>
            <w:rPr>
              <w:rFonts w:ascii="Century Gothic" w:hAnsi="Century Gothic"/>
              <w:noProof/>
            </w:rPr>
          </w:pPr>
        </w:p>
        <w:p w14:paraId="75DC8B35" w14:textId="2D464501" w:rsidR="00B005F4" w:rsidRPr="00672916" w:rsidRDefault="00B005F4">
          <w:pPr>
            <w:pStyle w:val="TOC2"/>
            <w:tabs>
              <w:tab w:val="right" w:leader="dot" w:pos="9926"/>
            </w:tabs>
            <w:rPr>
              <w:rFonts w:ascii="Century Gothic" w:hAnsi="Century Gothic" w:cstheme="minorBidi"/>
              <w:noProof/>
              <w:szCs w:val="22"/>
              <w:lang w:eastAsia="en-US"/>
            </w:rPr>
          </w:pPr>
          <w:hyperlink w:anchor="_Toc89871150" w:history="1">
            <w:r w:rsidRPr="00672916">
              <w:rPr>
                <w:rStyle w:val="Hyperlink"/>
                <w:rFonts w:ascii="Century Gothic" w:hAnsi="Century Gothic"/>
                <w:noProof/>
              </w:rPr>
              <w:t>IV. Approved MTW Activities</w:t>
            </w:r>
            <w:r w:rsidRPr="00672916">
              <w:rPr>
                <w:rFonts w:ascii="Century Gothic" w:hAnsi="Century Gothic"/>
                <w:noProof/>
                <w:webHidden/>
              </w:rPr>
              <w:tab/>
            </w:r>
            <w:r w:rsidR="001D434F">
              <w:rPr>
                <w:rFonts w:ascii="Century Gothic" w:hAnsi="Century Gothic"/>
                <w:noProof/>
                <w:webHidden/>
              </w:rPr>
              <w:t>4</w:t>
            </w:r>
          </w:hyperlink>
          <w:r w:rsidR="00E328B9" w:rsidRPr="00E328B9">
            <w:rPr>
              <w:rFonts w:ascii="Century Gothic" w:hAnsi="Century Gothic"/>
            </w:rPr>
            <w:t>2</w:t>
          </w:r>
        </w:p>
        <w:p w14:paraId="719F307F" w14:textId="1D01CAA2" w:rsidR="00B005F4" w:rsidRPr="00672916" w:rsidRDefault="00B005F4" w:rsidP="00B005F4">
          <w:pPr>
            <w:pStyle w:val="TOC2"/>
            <w:tabs>
              <w:tab w:val="right" w:leader="dot" w:pos="9926"/>
            </w:tabs>
            <w:rPr>
              <w:rFonts w:ascii="Century Gothic" w:hAnsi="Century Gothic" w:cstheme="minorBidi"/>
              <w:noProof/>
              <w:szCs w:val="22"/>
              <w:lang w:eastAsia="en-US"/>
            </w:rPr>
          </w:pPr>
        </w:p>
        <w:p w14:paraId="0314623D" w14:textId="0DE73B38" w:rsidR="00B005F4" w:rsidRPr="00672916" w:rsidRDefault="00B005F4">
          <w:pPr>
            <w:pStyle w:val="TOC2"/>
            <w:tabs>
              <w:tab w:val="right" w:leader="dot" w:pos="9926"/>
            </w:tabs>
            <w:rPr>
              <w:rStyle w:val="Hyperlink"/>
              <w:rFonts w:ascii="Century Gothic" w:hAnsi="Century Gothic"/>
              <w:noProof/>
            </w:rPr>
          </w:pPr>
          <w:hyperlink w:anchor="_Toc89871172" w:history="1">
            <w:r w:rsidRPr="00672916">
              <w:rPr>
                <w:rStyle w:val="Hyperlink"/>
                <w:rFonts w:ascii="Century Gothic" w:hAnsi="Century Gothic"/>
                <w:noProof/>
              </w:rPr>
              <w:t>V. PLANNED APPLICATION OF MTW FUNDS</w:t>
            </w:r>
            <w:r w:rsidRPr="00672916">
              <w:rPr>
                <w:rFonts w:ascii="Century Gothic" w:hAnsi="Century Gothic"/>
                <w:noProof/>
                <w:webHidden/>
              </w:rPr>
              <w:tab/>
            </w:r>
            <w:r w:rsidRPr="00672916">
              <w:rPr>
                <w:rFonts w:ascii="Century Gothic" w:hAnsi="Century Gothic"/>
                <w:noProof/>
                <w:webHidden/>
              </w:rPr>
              <w:fldChar w:fldCharType="begin"/>
            </w:r>
            <w:r w:rsidRPr="00672916">
              <w:rPr>
                <w:rFonts w:ascii="Century Gothic" w:hAnsi="Century Gothic"/>
                <w:noProof/>
                <w:webHidden/>
              </w:rPr>
              <w:instrText xml:space="preserve"> PAGEREF _Toc89871172 \h </w:instrText>
            </w:r>
            <w:r w:rsidRPr="00672916">
              <w:rPr>
                <w:rFonts w:ascii="Century Gothic" w:hAnsi="Century Gothic"/>
                <w:noProof/>
                <w:webHidden/>
              </w:rPr>
            </w:r>
            <w:r w:rsidRPr="00672916">
              <w:rPr>
                <w:rFonts w:ascii="Century Gothic" w:hAnsi="Century Gothic"/>
                <w:noProof/>
                <w:webHidden/>
              </w:rPr>
              <w:fldChar w:fldCharType="separate"/>
            </w:r>
            <w:r w:rsidR="009F34AB">
              <w:rPr>
                <w:rFonts w:ascii="Century Gothic" w:hAnsi="Century Gothic"/>
                <w:noProof/>
                <w:webHidden/>
              </w:rPr>
              <w:t>151</w:t>
            </w:r>
            <w:r w:rsidRPr="00672916">
              <w:rPr>
                <w:rFonts w:ascii="Century Gothic" w:hAnsi="Century Gothic"/>
                <w:noProof/>
                <w:webHidden/>
              </w:rPr>
              <w:fldChar w:fldCharType="end"/>
            </w:r>
          </w:hyperlink>
        </w:p>
        <w:p w14:paraId="4735C5C2" w14:textId="77777777" w:rsidR="00B005F4" w:rsidRPr="00672916" w:rsidRDefault="00B005F4" w:rsidP="00B005F4">
          <w:pPr>
            <w:rPr>
              <w:rFonts w:ascii="Century Gothic" w:hAnsi="Century Gothic"/>
              <w:noProof/>
            </w:rPr>
          </w:pPr>
        </w:p>
        <w:p w14:paraId="5DA57E42" w14:textId="4686819E" w:rsidR="00B005F4" w:rsidRPr="00672916" w:rsidRDefault="00B005F4">
          <w:pPr>
            <w:pStyle w:val="TOC2"/>
            <w:tabs>
              <w:tab w:val="right" w:leader="dot" w:pos="9926"/>
            </w:tabs>
            <w:rPr>
              <w:rStyle w:val="Hyperlink"/>
              <w:rFonts w:ascii="Century Gothic" w:hAnsi="Century Gothic"/>
              <w:noProof/>
            </w:rPr>
          </w:pPr>
          <w:r w:rsidRPr="00672916">
            <w:rPr>
              <w:rFonts w:ascii="Century Gothic" w:hAnsi="Century Gothic"/>
              <w:noProof/>
            </w:rPr>
            <w:t>VI. ADMINISTRATIVE</w:t>
          </w:r>
          <w:r w:rsidRPr="00672916">
            <w:rPr>
              <w:rFonts w:ascii="Century Gothic" w:hAnsi="Century Gothic"/>
              <w:noProof/>
              <w:webHidden/>
            </w:rPr>
            <w:tab/>
          </w:r>
          <w:r w:rsidR="00023E90">
            <w:rPr>
              <w:rFonts w:ascii="Century Gothic" w:hAnsi="Century Gothic"/>
              <w:noProof/>
              <w:webHidden/>
            </w:rPr>
            <w:t>2</w:t>
          </w:r>
          <w:r w:rsidR="00E328B9">
            <w:rPr>
              <w:rFonts w:ascii="Century Gothic" w:hAnsi="Century Gothic"/>
              <w:noProof/>
              <w:webHidden/>
            </w:rPr>
            <w:t>03</w:t>
          </w:r>
        </w:p>
        <w:p w14:paraId="4B742209" w14:textId="77777777" w:rsidR="00B005F4" w:rsidRPr="00672916" w:rsidRDefault="00B005F4" w:rsidP="00B005F4">
          <w:pPr>
            <w:rPr>
              <w:rFonts w:ascii="Century Gothic" w:hAnsi="Century Gothic"/>
              <w:noProof/>
            </w:rPr>
          </w:pPr>
        </w:p>
        <w:p w14:paraId="30E98338" w14:textId="4926EC42" w:rsidR="00B005F4" w:rsidRPr="002033C1" w:rsidRDefault="00B005F4">
          <w:pPr>
            <w:pStyle w:val="TOC2"/>
            <w:tabs>
              <w:tab w:val="right" w:leader="dot" w:pos="9926"/>
            </w:tabs>
            <w:rPr>
              <w:rFonts w:ascii="Century Gothic" w:hAnsi="Century Gothic" w:cstheme="minorBidi"/>
              <w:noProof/>
              <w:szCs w:val="22"/>
              <w:lang w:eastAsia="en-US"/>
            </w:rPr>
          </w:pPr>
          <w:hyperlink w:anchor="_Toc89871195" w:history="1">
            <w:r w:rsidRPr="00672916">
              <w:rPr>
                <w:rStyle w:val="Hyperlink"/>
                <w:rFonts w:ascii="Century Gothic" w:hAnsi="Century Gothic"/>
                <w:noProof/>
              </w:rPr>
              <w:t>VII. APPENDICES</w:t>
            </w:r>
            <w:r w:rsidRPr="00672916">
              <w:rPr>
                <w:rFonts w:ascii="Century Gothic" w:hAnsi="Century Gothic"/>
                <w:noProof/>
                <w:webHidden/>
              </w:rPr>
              <w:tab/>
            </w:r>
          </w:hyperlink>
          <w:r w:rsidR="00023E90" w:rsidRPr="002033C1">
            <w:rPr>
              <w:rFonts w:ascii="Century Gothic" w:hAnsi="Century Gothic"/>
              <w:noProof/>
            </w:rPr>
            <w:t>2</w:t>
          </w:r>
          <w:r w:rsidR="00E328B9">
            <w:rPr>
              <w:rFonts w:ascii="Century Gothic" w:hAnsi="Century Gothic"/>
              <w:noProof/>
            </w:rPr>
            <w:t>13</w:t>
          </w:r>
        </w:p>
        <w:p w14:paraId="095BBBA3" w14:textId="1380D1C6" w:rsidR="00B005F4" w:rsidRPr="002033C1" w:rsidRDefault="00B005F4" w:rsidP="00E328B9">
          <w:pPr>
            <w:pStyle w:val="TOC3"/>
            <w:rPr>
              <w:rFonts w:eastAsiaTheme="minorEastAsia" w:cstheme="minorBidi"/>
              <w:szCs w:val="22"/>
            </w:rPr>
          </w:pPr>
          <w:hyperlink w:anchor="_Toc89871196" w:history="1">
            <w:r w:rsidRPr="002033C1">
              <w:rPr>
                <w:rStyle w:val="Hyperlink"/>
                <w:rFonts w:eastAsia="Times New Roman"/>
              </w:rPr>
              <w:t>Appendix 1: Documentation of Public Hearing and Public Comment Period</w:t>
            </w:r>
            <w:r w:rsidRPr="002033C1">
              <w:rPr>
                <w:webHidden/>
              </w:rPr>
              <w:tab/>
            </w:r>
          </w:hyperlink>
          <w:r w:rsidR="00023E90" w:rsidRPr="002033C1">
            <w:t>2</w:t>
          </w:r>
          <w:r w:rsidR="00E328B9">
            <w:t>13</w:t>
          </w:r>
        </w:p>
        <w:p w14:paraId="1F3A09D9" w14:textId="74A60B6F" w:rsidR="00B005F4" w:rsidRPr="002033C1" w:rsidRDefault="006E5CA5">
          <w:pPr>
            <w:pStyle w:val="TOC2"/>
            <w:tabs>
              <w:tab w:val="right" w:leader="dot" w:pos="9926"/>
            </w:tabs>
            <w:rPr>
              <w:rFonts w:ascii="Century Gothic" w:hAnsi="Century Gothic" w:cstheme="minorBidi"/>
              <w:noProof/>
              <w:szCs w:val="22"/>
              <w:lang w:eastAsia="en-US"/>
            </w:rPr>
          </w:pPr>
          <w:r w:rsidRPr="002033C1">
            <w:rPr>
              <w:rFonts w:ascii="Century Gothic" w:hAnsi="Century Gothic"/>
              <w:noProof/>
            </w:rPr>
            <w:t xml:space="preserve">    </w:t>
          </w:r>
          <w:hyperlink w:anchor="_Toc89871197" w:history="1">
            <w:r w:rsidR="00B005F4" w:rsidRPr="002033C1">
              <w:rPr>
                <w:rStyle w:val="Hyperlink"/>
                <w:rFonts w:ascii="Century Gothic" w:hAnsi="Century Gothic"/>
                <w:noProof/>
              </w:rPr>
              <w:t>Appendix 2: Alternative TDC and HCC Limits</w:t>
            </w:r>
            <w:r w:rsidR="00B005F4" w:rsidRPr="002033C1">
              <w:rPr>
                <w:rFonts w:ascii="Century Gothic" w:hAnsi="Century Gothic"/>
                <w:noProof/>
                <w:webHidden/>
              </w:rPr>
              <w:tab/>
            </w:r>
          </w:hyperlink>
          <w:r w:rsidR="002033C1" w:rsidRPr="002033C1">
            <w:rPr>
              <w:rFonts w:ascii="Century Gothic" w:hAnsi="Century Gothic"/>
              <w:noProof/>
            </w:rPr>
            <w:t>2</w:t>
          </w:r>
          <w:r w:rsidR="00E328B9">
            <w:rPr>
              <w:rFonts w:ascii="Century Gothic" w:hAnsi="Century Gothic"/>
              <w:noProof/>
            </w:rPr>
            <w:t>21</w:t>
          </w:r>
        </w:p>
        <w:p w14:paraId="10989510" w14:textId="0933AB37" w:rsidR="00B005F4" w:rsidRPr="002033C1" w:rsidRDefault="00B005F4" w:rsidP="00E328B9">
          <w:pPr>
            <w:pStyle w:val="TOC3"/>
            <w:rPr>
              <w:rFonts w:eastAsiaTheme="minorEastAsia" w:cstheme="minorBidi"/>
              <w:szCs w:val="22"/>
            </w:rPr>
          </w:pPr>
          <w:hyperlink w:anchor="_Toc89871198" w:history="1">
            <w:r w:rsidRPr="002033C1">
              <w:rPr>
                <w:rStyle w:val="Hyperlink"/>
                <w:rFonts w:eastAsia="ヒラギノ角ゴ Pro W3"/>
              </w:rPr>
              <w:t>Appendix 3: Local Asset Based Management</w:t>
            </w:r>
            <w:r w:rsidRPr="002033C1">
              <w:rPr>
                <w:webHidden/>
              </w:rPr>
              <w:tab/>
            </w:r>
          </w:hyperlink>
          <w:r w:rsidR="002033C1" w:rsidRPr="002033C1">
            <w:t>2</w:t>
          </w:r>
          <w:r w:rsidR="00E328B9">
            <w:t>24</w:t>
          </w:r>
        </w:p>
        <w:p w14:paraId="489B4860" w14:textId="2AA61A55" w:rsidR="00B005F4" w:rsidRPr="002033C1" w:rsidRDefault="00B005F4" w:rsidP="00E328B9">
          <w:pPr>
            <w:pStyle w:val="TOC3"/>
            <w:rPr>
              <w:rFonts w:eastAsiaTheme="minorEastAsia" w:cstheme="minorBidi"/>
              <w:szCs w:val="22"/>
            </w:rPr>
          </w:pPr>
          <w:hyperlink w:anchor="_Toc89871199" w:history="1">
            <w:r w:rsidRPr="002033C1">
              <w:rPr>
                <w:rStyle w:val="Hyperlink"/>
                <w:rFonts w:eastAsia="Times New Roman"/>
              </w:rPr>
              <w:t>Appendix 4: ECC/HANH MTW Evaluation</w:t>
            </w:r>
            <w:r w:rsidRPr="002033C1">
              <w:rPr>
                <w:webHidden/>
              </w:rPr>
              <w:tab/>
            </w:r>
          </w:hyperlink>
          <w:r w:rsidR="002033C1" w:rsidRPr="002033C1">
            <w:t>2</w:t>
          </w:r>
          <w:r w:rsidR="00E328B9">
            <w:t>25</w:t>
          </w:r>
          <w:r w:rsidR="002966CE" w:rsidRPr="002033C1">
            <w:t xml:space="preserve"> </w:t>
          </w:r>
        </w:p>
        <w:p w14:paraId="0834623F" w14:textId="1ADD3D79" w:rsidR="00B005F4" w:rsidRPr="002033C1" w:rsidRDefault="00B005F4" w:rsidP="00E328B9">
          <w:pPr>
            <w:pStyle w:val="TOC3"/>
            <w:rPr>
              <w:rFonts w:eastAsiaTheme="minorEastAsia" w:cstheme="minorBidi"/>
              <w:szCs w:val="22"/>
            </w:rPr>
          </w:pPr>
          <w:hyperlink w:anchor="_Toc89871200" w:history="1">
            <w:r w:rsidRPr="002033C1">
              <w:rPr>
                <w:rStyle w:val="Hyperlink"/>
                <w:rFonts w:eastAsia="Times New Roman"/>
              </w:rPr>
              <w:t>Appendix 5: Procedures for Rent Simplification for the Public Housing Program</w:t>
            </w:r>
            <w:r w:rsidRPr="002033C1">
              <w:rPr>
                <w:webHidden/>
              </w:rPr>
              <w:tab/>
            </w:r>
            <w:r w:rsidR="002033C1" w:rsidRPr="002033C1">
              <w:rPr>
                <w:webHidden/>
              </w:rPr>
              <w:t>2</w:t>
            </w:r>
          </w:hyperlink>
          <w:r w:rsidR="00E328B9">
            <w:t>27</w:t>
          </w:r>
        </w:p>
        <w:p w14:paraId="17E0D47C" w14:textId="2EE6A3DD" w:rsidR="00B005F4" w:rsidRPr="002033C1" w:rsidRDefault="002033C1" w:rsidP="00E328B9">
          <w:pPr>
            <w:pStyle w:val="TOC3"/>
            <w:rPr>
              <w:rFonts w:eastAsiaTheme="minorEastAsia" w:cstheme="minorBidi"/>
              <w:szCs w:val="22"/>
            </w:rPr>
          </w:pPr>
          <w:r w:rsidRPr="002033C1">
            <w:t xml:space="preserve">Appendix 6: Procedures for the </w:t>
          </w:r>
          <w:hyperlink w:anchor="_Toc89871203" w:history="1">
            <w:r w:rsidRPr="002033C1">
              <w:rPr>
                <w:rStyle w:val="Hyperlink"/>
              </w:rPr>
              <w:t>for</w:t>
            </w:r>
            <w:r w:rsidR="00B005F4" w:rsidRPr="002033C1">
              <w:rPr>
                <w:rStyle w:val="Hyperlink"/>
              </w:rPr>
              <w:t xml:space="preserve"> </w:t>
            </w:r>
            <w:r w:rsidRPr="002033C1">
              <w:rPr>
                <w:rStyle w:val="Hyperlink"/>
              </w:rPr>
              <w:t>Rent Simplification the Section</w:t>
            </w:r>
            <w:r w:rsidR="004A1EBA" w:rsidRPr="002033C1">
              <w:rPr>
                <w:rStyle w:val="Hyperlink"/>
              </w:rPr>
              <w:t xml:space="preserve"> 8 </w:t>
            </w:r>
            <w:r w:rsidRPr="002033C1">
              <w:rPr>
                <w:rStyle w:val="Hyperlink"/>
              </w:rPr>
              <w:t>Program</w:t>
            </w:r>
            <w:r w:rsidR="00B005F4" w:rsidRPr="002033C1">
              <w:rPr>
                <w:webHidden/>
              </w:rPr>
              <w:tab/>
            </w:r>
          </w:hyperlink>
          <w:r>
            <w:t>2</w:t>
          </w:r>
          <w:r w:rsidR="00E328B9">
            <w:t>50</w:t>
          </w:r>
        </w:p>
        <w:p w14:paraId="27446600" w14:textId="2BC20E1A" w:rsidR="00B005F4" w:rsidRPr="002033C1" w:rsidRDefault="00B005F4" w:rsidP="00E328B9">
          <w:pPr>
            <w:pStyle w:val="TOC3"/>
            <w:rPr>
              <w:rFonts w:eastAsiaTheme="minorEastAsia" w:cstheme="minorBidi"/>
              <w:szCs w:val="22"/>
            </w:rPr>
          </w:pPr>
          <w:hyperlink w:anchor="_Toc89871204" w:history="1">
            <w:r w:rsidRPr="002033C1">
              <w:rPr>
                <w:rStyle w:val="Hyperlink"/>
              </w:rPr>
              <w:t>Appendix 7: Actual Capital Expenses and Portfolio Capital Needs</w:t>
            </w:r>
            <w:r w:rsidRPr="002033C1">
              <w:rPr>
                <w:webHidden/>
              </w:rPr>
              <w:tab/>
            </w:r>
            <w:r w:rsidR="002033C1">
              <w:rPr>
                <w:webHidden/>
              </w:rPr>
              <w:t>2</w:t>
            </w:r>
          </w:hyperlink>
          <w:r w:rsidR="00E328B9" w:rsidRPr="00E328B9">
            <w:t>73</w:t>
          </w:r>
        </w:p>
        <w:p w14:paraId="0609D662" w14:textId="3E447962" w:rsidR="00B005F4" w:rsidRPr="002033C1" w:rsidRDefault="00B005F4" w:rsidP="00E328B9">
          <w:pPr>
            <w:pStyle w:val="TOC3"/>
            <w:rPr>
              <w:rFonts w:eastAsiaTheme="minorEastAsia" w:cstheme="minorBidi"/>
              <w:szCs w:val="22"/>
            </w:rPr>
          </w:pPr>
          <w:hyperlink w:anchor="_Toc89871205" w:history="1">
            <w:r w:rsidRPr="002033C1">
              <w:rPr>
                <w:rStyle w:val="Hyperlink"/>
              </w:rPr>
              <w:t>Appendix 8: ECC/HANH Development REAC Scores, 2009 to Present</w:t>
            </w:r>
            <w:r w:rsidRPr="002033C1">
              <w:rPr>
                <w:webHidden/>
              </w:rPr>
              <w:tab/>
            </w:r>
            <w:r w:rsidR="003413BA" w:rsidRPr="002033C1">
              <w:rPr>
                <w:webHidden/>
              </w:rPr>
              <w:t>2</w:t>
            </w:r>
          </w:hyperlink>
          <w:r w:rsidR="00E328B9">
            <w:t>76</w:t>
          </w:r>
        </w:p>
        <w:p w14:paraId="427232E9" w14:textId="3C27B7C2" w:rsidR="00B005F4" w:rsidRPr="002033C1" w:rsidRDefault="00B005F4" w:rsidP="00E328B9">
          <w:pPr>
            <w:pStyle w:val="TOC3"/>
            <w:rPr>
              <w:rFonts w:eastAsiaTheme="minorEastAsia" w:cstheme="minorBidi"/>
              <w:szCs w:val="22"/>
            </w:rPr>
          </w:pPr>
          <w:hyperlink w:anchor="_Toc89871206" w:history="1">
            <w:r w:rsidRPr="002033C1">
              <w:rPr>
                <w:rStyle w:val="Hyperlink"/>
              </w:rPr>
              <w:t>Appendix 9: Work Orders, FY09 to Present</w:t>
            </w:r>
            <w:r w:rsidRPr="002033C1">
              <w:rPr>
                <w:webHidden/>
              </w:rPr>
              <w:tab/>
            </w:r>
            <w:r w:rsidRPr="002033C1">
              <w:rPr>
                <w:webHidden/>
              </w:rPr>
              <w:fldChar w:fldCharType="begin"/>
            </w:r>
            <w:r w:rsidRPr="002033C1">
              <w:rPr>
                <w:webHidden/>
              </w:rPr>
              <w:instrText xml:space="preserve"> PAGEREF _Toc89871206 \h </w:instrText>
            </w:r>
            <w:r w:rsidRPr="002033C1">
              <w:rPr>
                <w:webHidden/>
              </w:rPr>
            </w:r>
            <w:r w:rsidRPr="002033C1">
              <w:rPr>
                <w:webHidden/>
              </w:rPr>
              <w:fldChar w:fldCharType="separate"/>
            </w:r>
            <w:r w:rsidR="009F34AB">
              <w:rPr>
                <w:webHidden/>
              </w:rPr>
              <w:t>270</w:t>
            </w:r>
            <w:r w:rsidRPr="002033C1">
              <w:rPr>
                <w:webHidden/>
              </w:rPr>
              <w:fldChar w:fldCharType="end"/>
            </w:r>
          </w:hyperlink>
        </w:p>
        <w:p w14:paraId="3217EF29" w14:textId="2C94FF0E" w:rsidR="00B005F4" w:rsidRPr="00E328B9" w:rsidRDefault="00B005F4" w:rsidP="00E328B9">
          <w:pPr>
            <w:pStyle w:val="TOC3"/>
            <w:rPr>
              <w:rFonts w:eastAsiaTheme="minorEastAsia" w:cstheme="minorBidi"/>
              <w:szCs w:val="22"/>
            </w:rPr>
          </w:pPr>
          <w:hyperlink w:anchor="_Toc89871207" w:history="1">
            <w:r w:rsidRPr="00E328B9">
              <w:rPr>
                <w:rStyle w:val="Hyperlink"/>
              </w:rPr>
              <w:t>Appendix 10: Utility Consumption, FY16 to Present</w:t>
            </w:r>
            <w:r w:rsidRPr="00E328B9">
              <w:rPr>
                <w:webHidden/>
              </w:rPr>
              <w:tab/>
            </w:r>
            <w:r w:rsidR="002966CE" w:rsidRPr="00E328B9">
              <w:rPr>
                <w:webHidden/>
              </w:rPr>
              <w:t>2</w:t>
            </w:r>
          </w:hyperlink>
          <w:r w:rsidR="00E328B9" w:rsidRPr="00E328B9">
            <w:t>81</w:t>
          </w:r>
        </w:p>
        <w:p w14:paraId="5B3EBB8E" w14:textId="3E85DEDD" w:rsidR="00B005F4" w:rsidRPr="002033C1" w:rsidRDefault="00B005F4" w:rsidP="00E328B9">
          <w:pPr>
            <w:pStyle w:val="TOC3"/>
            <w:rPr>
              <w:rFonts w:eastAsiaTheme="minorEastAsia" w:cstheme="minorBidi"/>
              <w:szCs w:val="22"/>
            </w:rPr>
          </w:pPr>
          <w:hyperlink w:anchor="_Toc89871208" w:history="1">
            <w:r w:rsidRPr="002033C1">
              <w:rPr>
                <w:rStyle w:val="Hyperlink"/>
              </w:rPr>
              <w:t>Appendix 11: LIPH Occupancy</w:t>
            </w:r>
            <w:r w:rsidRPr="002033C1">
              <w:rPr>
                <w:webHidden/>
              </w:rPr>
              <w:tab/>
            </w:r>
          </w:hyperlink>
          <w:r w:rsidR="002033C1">
            <w:t>2</w:t>
          </w:r>
          <w:r w:rsidR="00E328B9">
            <w:t>83</w:t>
          </w:r>
        </w:p>
        <w:p w14:paraId="1D6D210F" w14:textId="4A09D010" w:rsidR="0081780F" w:rsidRPr="0020355D" w:rsidRDefault="00B005F4" w:rsidP="00E328B9">
          <w:pPr>
            <w:pStyle w:val="TOC3"/>
            <w:rPr>
              <w:szCs w:val="22"/>
            </w:rPr>
          </w:pPr>
          <w:hyperlink w:anchor="_Toc89871209" w:history="1">
            <w:r w:rsidRPr="002033C1">
              <w:rPr>
                <w:rStyle w:val="Hyperlink"/>
              </w:rPr>
              <w:t>Appendix 12: Number of Major Crimes, FY12 to Present</w:t>
            </w:r>
            <w:r w:rsidRPr="002033C1">
              <w:rPr>
                <w:webHidden/>
              </w:rPr>
              <w:tab/>
            </w:r>
            <w:r w:rsidRPr="002033C1">
              <w:rPr>
                <w:webHidden/>
              </w:rPr>
              <w:fldChar w:fldCharType="begin"/>
            </w:r>
            <w:r w:rsidRPr="002033C1">
              <w:rPr>
                <w:webHidden/>
              </w:rPr>
              <w:instrText xml:space="preserve"> PAGEREF _Toc89871209 \h </w:instrText>
            </w:r>
            <w:r w:rsidRPr="002033C1">
              <w:rPr>
                <w:webHidden/>
              </w:rPr>
            </w:r>
            <w:r w:rsidRPr="002033C1">
              <w:rPr>
                <w:webHidden/>
              </w:rPr>
              <w:fldChar w:fldCharType="separate"/>
            </w:r>
            <w:r w:rsidR="009F34AB">
              <w:rPr>
                <w:webHidden/>
              </w:rPr>
              <w:t>276</w:t>
            </w:r>
            <w:r w:rsidRPr="002033C1">
              <w:rPr>
                <w:webHidden/>
              </w:rPr>
              <w:fldChar w:fldCharType="end"/>
            </w:r>
          </w:hyperlink>
          <w:r w:rsidR="00FA796A" w:rsidRPr="00672916">
            <w:rPr>
              <w:szCs w:val="22"/>
            </w:rPr>
            <w:fldChar w:fldCharType="end"/>
          </w:r>
        </w:p>
      </w:sdtContent>
    </w:sdt>
    <w:p w14:paraId="7E99FC44" w14:textId="77777777" w:rsidR="00FD333C" w:rsidRPr="0020355D" w:rsidRDefault="00E64FFF" w:rsidP="00250F9C">
      <w:pPr>
        <w:pStyle w:val="Heading11"/>
        <w:rPr>
          <w:rFonts w:ascii="Times New Roman" w:hAnsi="Times New Roman"/>
          <w:color w:val="auto"/>
          <w:sz w:val="22"/>
          <w:szCs w:val="22"/>
        </w:rPr>
      </w:pPr>
      <w:r w:rsidRPr="0020355D">
        <w:rPr>
          <w:rFonts w:ascii="Times New Roman" w:hAnsi="Times New Roman"/>
          <w:color w:val="auto"/>
          <w:sz w:val="22"/>
          <w:szCs w:val="22"/>
        </w:rPr>
        <w:br w:type="page"/>
      </w:r>
    </w:p>
    <w:p w14:paraId="746FBB7B" w14:textId="4D38903D" w:rsidR="00FD333C" w:rsidRPr="003E6EFD" w:rsidRDefault="00E64FFF" w:rsidP="0086014E">
      <w:pPr>
        <w:pStyle w:val="MTWHeader1"/>
        <w:rPr>
          <w:rFonts w:ascii="Century Gothic" w:hAnsi="Century Gothic"/>
          <w:sz w:val="22"/>
          <w:szCs w:val="22"/>
        </w:rPr>
      </w:pPr>
      <w:bookmarkStart w:id="4" w:name="_Toc470178811"/>
      <w:bookmarkStart w:id="5" w:name="_Toc470179715"/>
      <w:bookmarkStart w:id="6" w:name="_Toc89871130"/>
      <w:r w:rsidRPr="003E6EFD">
        <w:rPr>
          <w:rFonts w:ascii="Century Gothic" w:hAnsi="Century Gothic"/>
          <w:sz w:val="22"/>
          <w:szCs w:val="22"/>
        </w:rPr>
        <w:lastRenderedPageBreak/>
        <w:t>I.</w:t>
      </w:r>
      <w:r w:rsidR="00635CD1" w:rsidRPr="003E6EFD">
        <w:rPr>
          <w:rFonts w:ascii="Century Gothic" w:hAnsi="Century Gothic"/>
          <w:sz w:val="22"/>
          <w:szCs w:val="22"/>
        </w:rPr>
        <w:t xml:space="preserve"> </w:t>
      </w:r>
      <w:r w:rsidRPr="003E6EFD">
        <w:rPr>
          <w:rFonts w:ascii="Century Gothic" w:hAnsi="Century Gothic"/>
          <w:sz w:val="22"/>
          <w:szCs w:val="22"/>
        </w:rPr>
        <w:t>INTRODUCTION</w:t>
      </w:r>
      <w:bookmarkEnd w:id="4"/>
      <w:bookmarkEnd w:id="5"/>
      <w:bookmarkEnd w:id="6"/>
    </w:p>
    <w:p w14:paraId="3E858F68" w14:textId="7D696BD0" w:rsidR="0069193F" w:rsidRDefault="00F477C2" w:rsidP="009F530A">
      <w:pPr>
        <w:contextualSpacing/>
        <w:rPr>
          <w:rFonts w:ascii="Century Gothic" w:hAnsi="Century Gothic"/>
          <w:szCs w:val="22"/>
        </w:rPr>
      </w:pPr>
      <w:bookmarkStart w:id="7" w:name="_Toc465193875"/>
      <w:bookmarkStart w:id="8" w:name="_Toc465517110"/>
      <w:bookmarkStart w:id="9" w:name="_Toc470178812"/>
      <w:bookmarkStart w:id="10" w:name="_Toc470179716"/>
      <w:bookmarkStart w:id="11" w:name="_Toc502307767"/>
      <w:r w:rsidRPr="003E6EFD">
        <w:rPr>
          <w:rFonts w:ascii="Century Gothic" w:hAnsi="Century Gothic"/>
          <w:szCs w:val="22"/>
        </w:rPr>
        <w:t>In 2001, the Elm City Communities/</w:t>
      </w:r>
      <w:r w:rsidR="007F16D6" w:rsidRPr="003E6EFD">
        <w:rPr>
          <w:rFonts w:ascii="Century Gothic" w:hAnsi="Century Gothic"/>
          <w:szCs w:val="22"/>
        </w:rPr>
        <w:t>The Housing Authority</w:t>
      </w:r>
      <w:r w:rsidRPr="003E6EFD">
        <w:rPr>
          <w:rFonts w:ascii="Century Gothic" w:hAnsi="Century Gothic"/>
          <w:szCs w:val="22"/>
        </w:rPr>
        <w:t xml:space="preserve"> of the City of New Haven (ECC/HANH) was awarded Moving to Work (MTW) status as part of the federal MTW Demonstration Program</w:t>
      </w:r>
      <w:r w:rsidR="00E1567E" w:rsidRPr="003E6EFD">
        <w:rPr>
          <w:rFonts w:ascii="Century Gothic" w:hAnsi="Century Gothic"/>
          <w:szCs w:val="22"/>
        </w:rPr>
        <w:t xml:space="preserve">. </w:t>
      </w:r>
      <w:r w:rsidRPr="003E6EFD">
        <w:rPr>
          <w:rFonts w:ascii="Century Gothic" w:hAnsi="Century Gothic"/>
          <w:szCs w:val="22"/>
        </w:rPr>
        <w:t xml:space="preserve">ECC/HANH is one of thirty-nine </w:t>
      </w:r>
      <w:r w:rsidR="0069193F">
        <w:rPr>
          <w:rFonts w:ascii="Century Gothic" w:hAnsi="Century Gothic"/>
          <w:szCs w:val="22"/>
        </w:rPr>
        <w:t>(39)</w:t>
      </w:r>
      <w:r w:rsidR="00CF43DA">
        <w:rPr>
          <w:rFonts w:ascii="Century Gothic" w:hAnsi="Century Gothic"/>
          <w:szCs w:val="22"/>
        </w:rPr>
        <w:t xml:space="preserve"> </w:t>
      </w:r>
      <w:r w:rsidRPr="003E6EFD">
        <w:rPr>
          <w:rFonts w:ascii="Century Gothic" w:hAnsi="Century Gothic"/>
          <w:szCs w:val="22"/>
        </w:rPr>
        <w:t>housing authorities nationwide selected for participation in the MTW Demonstration Program</w:t>
      </w:r>
      <w:r w:rsidR="00E1567E" w:rsidRPr="003E6EFD">
        <w:rPr>
          <w:rFonts w:ascii="Century Gothic" w:hAnsi="Century Gothic"/>
          <w:szCs w:val="22"/>
        </w:rPr>
        <w:t xml:space="preserve">. </w:t>
      </w:r>
    </w:p>
    <w:p w14:paraId="10323620" w14:textId="77777777" w:rsidR="0069193F" w:rsidRDefault="0069193F" w:rsidP="009F530A">
      <w:pPr>
        <w:contextualSpacing/>
        <w:rPr>
          <w:rFonts w:ascii="Century Gothic" w:hAnsi="Century Gothic"/>
          <w:szCs w:val="22"/>
        </w:rPr>
      </w:pPr>
    </w:p>
    <w:p w14:paraId="4B0344DF" w14:textId="24DB6804" w:rsidR="001375DA" w:rsidRPr="003E6EFD" w:rsidRDefault="00F477C2" w:rsidP="009F530A">
      <w:pPr>
        <w:contextualSpacing/>
        <w:rPr>
          <w:rFonts w:ascii="Century Gothic" w:hAnsi="Century Gothic"/>
          <w:szCs w:val="22"/>
        </w:rPr>
      </w:pPr>
      <w:r w:rsidRPr="003E6EFD">
        <w:rPr>
          <w:rFonts w:ascii="Century Gothic" w:hAnsi="Century Gothic"/>
          <w:szCs w:val="22"/>
        </w:rPr>
        <w:t>During ECC/HANH’s MTW term, in lieu of the standard PHA Annual Plan and Five-Year Plan documents, ECC/HANH is required to</w:t>
      </w:r>
      <w:r w:rsidR="0076005F" w:rsidRPr="003E6EFD">
        <w:rPr>
          <w:rFonts w:ascii="Century Gothic" w:hAnsi="Century Gothic"/>
          <w:szCs w:val="22"/>
        </w:rPr>
        <w:t xml:space="preserve"> develop and submit to HUD MTW annual p</w:t>
      </w:r>
      <w:r w:rsidRPr="003E6EFD">
        <w:rPr>
          <w:rFonts w:ascii="Century Gothic" w:hAnsi="Century Gothic"/>
          <w:szCs w:val="22"/>
        </w:rPr>
        <w:t>lans</w:t>
      </w:r>
      <w:r w:rsidR="0076005F" w:rsidRPr="003E6EFD">
        <w:rPr>
          <w:rFonts w:ascii="Century Gothic" w:hAnsi="Century Gothic"/>
          <w:szCs w:val="22"/>
        </w:rPr>
        <w:t xml:space="preserve"> and r</w:t>
      </w:r>
      <w:r w:rsidR="0086788B" w:rsidRPr="003E6EFD">
        <w:rPr>
          <w:rFonts w:ascii="Century Gothic" w:hAnsi="Century Gothic"/>
          <w:szCs w:val="22"/>
        </w:rPr>
        <w:t>eports</w:t>
      </w:r>
      <w:r w:rsidRPr="003E6EFD">
        <w:rPr>
          <w:rFonts w:ascii="Century Gothic" w:hAnsi="Century Gothic"/>
          <w:szCs w:val="22"/>
        </w:rPr>
        <w:t xml:space="preserve"> that articulate ECC/HANH’</w:t>
      </w:r>
      <w:r w:rsidR="00ED3F02" w:rsidRPr="003E6EFD">
        <w:rPr>
          <w:rFonts w:ascii="Century Gothic" w:hAnsi="Century Gothic"/>
          <w:szCs w:val="22"/>
        </w:rPr>
        <w:t xml:space="preserve">s key policies, objectives, </w:t>
      </w:r>
      <w:r w:rsidR="0076005F" w:rsidRPr="003E6EFD">
        <w:rPr>
          <w:rFonts w:ascii="Century Gothic" w:hAnsi="Century Gothic"/>
          <w:szCs w:val="22"/>
        </w:rPr>
        <w:t>strategies, impact and outcomes</w:t>
      </w:r>
      <w:r w:rsidRPr="003E6EFD">
        <w:rPr>
          <w:rFonts w:ascii="Century Gothic" w:hAnsi="Century Gothic"/>
          <w:szCs w:val="22"/>
        </w:rPr>
        <w:t xml:space="preserve"> for administration of its federal housing programs to most effectively address local needs, in accordance with the terms of ECC/HANH’s MTW Agreement</w:t>
      </w:r>
      <w:r w:rsidR="00E1567E" w:rsidRPr="003E6EFD">
        <w:rPr>
          <w:rFonts w:ascii="Century Gothic" w:hAnsi="Century Gothic"/>
          <w:szCs w:val="22"/>
        </w:rPr>
        <w:t xml:space="preserve">. </w:t>
      </w:r>
    </w:p>
    <w:p w14:paraId="09E54B30" w14:textId="77777777" w:rsidR="00F477C2" w:rsidRPr="003E6EFD" w:rsidRDefault="00F477C2" w:rsidP="00F477C2">
      <w:pPr>
        <w:contextualSpacing/>
        <w:rPr>
          <w:rFonts w:ascii="Century Gothic" w:hAnsi="Century Gothic"/>
          <w:szCs w:val="22"/>
        </w:rPr>
      </w:pPr>
    </w:p>
    <w:p w14:paraId="3C82183A" w14:textId="6644968D" w:rsidR="007729F5" w:rsidRPr="003E6EFD" w:rsidRDefault="09172116" w:rsidP="3CCA875D">
      <w:pPr>
        <w:spacing w:after="240"/>
        <w:contextualSpacing/>
        <w:rPr>
          <w:rFonts w:ascii="Century Gothic" w:hAnsi="Century Gothic"/>
        </w:rPr>
      </w:pPr>
      <w:r w:rsidRPr="003E6EFD">
        <w:rPr>
          <w:rFonts w:ascii="Century Gothic" w:hAnsi="Century Gothic"/>
        </w:rPr>
        <w:t xml:space="preserve">This </w:t>
      </w:r>
      <w:r w:rsidR="617BE807" w:rsidRPr="003E6EFD">
        <w:rPr>
          <w:rFonts w:ascii="Century Gothic" w:hAnsi="Century Gothic"/>
        </w:rPr>
        <w:t>FY</w:t>
      </w:r>
      <w:r w:rsidR="4F6905C5" w:rsidRPr="003E6EFD">
        <w:rPr>
          <w:rFonts w:ascii="Century Gothic" w:hAnsi="Century Gothic"/>
        </w:rPr>
        <w:t>2024</w:t>
      </w:r>
      <w:r w:rsidRPr="003E6EFD">
        <w:rPr>
          <w:rFonts w:ascii="Century Gothic" w:hAnsi="Century Gothic"/>
        </w:rPr>
        <w:t xml:space="preserve"> MTW Annual Report (October</w:t>
      </w:r>
      <w:r w:rsidR="00B2187C" w:rsidRPr="003E6EFD">
        <w:rPr>
          <w:rFonts w:ascii="Century Gothic" w:hAnsi="Century Gothic"/>
        </w:rPr>
        <w:t xml:space="preserve"> </w:t>
      </w:r>
      <w:r w:rsidRPr="003E6EFD">
        <w:rPr>
          <w:rFonts w:ascii="Century Gothic" w:hAnsi="Century Gothic"/>
        </w:rPr>
        <w:t xml:space="preserve">1, </w:t>
      </w:r>
      <w:proofErr w:type="gramStart"/>
      <w:r w:rsidR="1EA4157D" w:rsidRPr="003E6EFD">
        <w:rPr>
          <w:rFonts w:ascii="Century Gothic" w:hAnsi="Century Gothic"/>
        </w:rPr>
        <w:t>2023</w:t>
      </w:r>
      <w:proofErr w:type="gramEnd"/>
      <w:r w:rsidR="0069193F">
        <w:rPr>
          <w:rFonts w:ascii="Century Gothic" w:hAnsi="Century Gothic"/>
        </w:rPr>
        <w:t xml:space="preserve"> </w:t>
      </w:r>
      <w:r w:rsidRPr="003E6EFD">
        <w:rPr>
          <w:rFonts w:ascii="Century Gothic" w:hAnsi="Century Gothic"/>
        </w:rPr>
        <w:t xml:space="preserve">to September 30, </w:t>
      </w:r>
      <w:r w:rsidR="0FC419D1" w:rsidRPr="003E6EFD">
        <w:rPr>
          <w:rFonts w:ascii="Century Gothic" w:hAnsi="Century Gothic"/>
        </w:rPr>
        <w:t>2024</w:t>
      </w:r>
      <w:r w:rsidRPr="003E6EFD">
        <w:rPr>
          <w:rFonts w:ascii="Century Gothic" w:hAnsi="Century Gothic"/>
        </w:rPr>
        <w:t xml:space="preserve">) states ECC/HANH’s MTW progress toward achieving goals and objectives outlined in the </w:t>
      </w:r>
      <w:r w:rsidR="00FA5821" w:rsidRPr="003E6EFD">
        <w:rPr>
          <w:rFonts w:ascii="Century Gothic" w:hAnsi="Century Gothic"/>
        </w:rPr>
        <w:t>FY202</w:t>
      </w:r>
      <w:r w:rsidR="00FA5821">
        <w:rPr>
          <w:rFonts w:ascii="Century Gothic" w:hAnsi="Century Gothic"/>
        </w:rPr>
        <w:t>4</w:t>
      </w:r>
      <w:r w:rsidR="00FA5821" w:rsidRPr="003E6EFD">
        <w:rPr>
          <w:rFonts w:ascii="Century Gothic" w:hAnsi="Century Gothic"/>
        </w:rPr>
        <w:t xml:space="preserve"> </w:t>
      </w:r>
      <w:r w:rsidRPr="003E6EFD">
        <w:rPr>
          <w:rFonts w:ascii="Century Gothic" w:hAnsi="Century Gothic"/>
        </w:rPr>
        <w:t>MTW Annual Plan.</w:t>
      </w:r>
    </w:p>
    <w:p w14:paraId="65E82DDA" w14:textId="638A7100" w:rsidR="007729F5" w:rsidRPr="003E6EFD" w:rsidRDefault="00E64FFF" w:rsidP="007966B9">
      <w:pPr>
        <w:pStyle w:val="MTWHeader2"/>
        <w:rPr>
          <w:rFonts w:ascii="Century Gothic" w:hAnsi="Century Gothic" w:cs="Times New Roman"/>
          <w:color w:val="auto"/>
          <w:sz w:val="22"/>
          <w:szCs w:val="22"/>
        </w:rPr>
      </w:pPr>
      <w:bookmarkStart w:id="12" w:name="_Toc528927250"/>
      <w:bookmarkStart w:id="13" w:name="_Toc531154704"/>
      <w:bookmarkStart w:id="14" w:name="_Toc89871131"/>
      <w:r w:rsidRPr="003E6EFD">
        <w:rPr>
          <w:rFonts w:ascii="Century Gothic" w:hAnsi="Century Gothic" w:cs="Times New Roman"/>
          <w:sz w:val="22"/>
          <w:szCs w:val="22"/>
        </w:rPr>
        <w:t>What Is Moving to Work?</w:t>
      </w:r>
      <w:bookmarkEnd w:id="7"/>
      <w:bookmarkEnd w:id="8"/>
      <w:bookmarkEnd w:id="9"/>
      <w:bookmarkEnd w:id="10"/>
      <w:bookmarkEnd w:id="11"/>
      <w:bookmarkEnd w:id="12"/>
      <w:bookmarkEnd w:id="13"/>
      <w:bookmarkEnd w:id="14"/>
    </w:p>
    <w:p w14:paraId="1733FAA9" w14:textId="24B37739" w:rsidR="00F477C2" w:rsidRPr="003E6EFD" w:rsidRDefault="00F477C2" w:rsidP="00F477C2">
      <w:pPr>
        <w:contextualSpacing/>
        <w:rPr>
          <w:rFonts w:ascii="Century Gothic" w:hAnsi="Century Gothic"/>
          <w:szCs w:val="22"/>
        </w:rPr>
      </w:pPr>
      <w:bookmarkStart w:id="15" w:name="_Toc465193876"/>
      <w:bookmarkStart w:id="16" w:name="_Toc465517111"/>
      <w:bookmarkStart w:id="17" w:name="_Toc470178813"/>
      <w:bookmarkStart w:id="18" w:name="_Toc470179717"/>
      <w:bookmarkStart w:id="19" w:name="_Toc502307768"/>
      <w:r w:rsidRPr="003E6EFD">
        <w:rPr>
          <w:rFonts w:ascii="Century Gothic" w:hAnsi="Century Gothic"/>
          <w:szCs w:val="22"/>
        </w:rPr>
        <w:t>Congress established the MTW Demonstration Program in 1996. The MTW Demonstration Program is a pilot project that provides greater flexibility to HUD and to MTW PHAs to design and test innovative local approaches for housing assistance programs that more effectively a</w:t>
      </w:r>
      <w:r w:rsidR="0076005F" w:rsidRPr="003E6EFD">
        <w:rPr>
          <w:rFonts w:ascii="Century Gothic" w:hAnsi="Century Gothic"/>
          <w:szCs w:val="22"/>
        </w:rPr>
        <w:t>ddress the housing needs of low-</w:t>
      </w:r>
      <w:r w:rsidRPr="003E6EFD">
        <w:rPr>
          <w:rFonts w:ascii="Century Gothic" w:hAnsi="Century Gothic"/>
          <w:szCs w:val="22"/>
        </w:rPr>
        <w:t>income families</w:t>
      </w:r>
      <w:r w:rsidR="00E1567E" w:rsidRPr="003E6EFD">
        <w:rPr>
          <w:rFonts w:ascii="Century Gothic" w:hAnsi="Century Gothic"/>
          <w:szCs w:val="22"/>
        </w:rPr>
        <w:t xml:space="preserve">. </w:t>
      </w:r>
      <w:r w:rsidR="0076005F" w:rsidRPr="003E6EFD">
        <w:rPr>
          <w:rFonts w:ascii="Century Gothic" w:hAnsi="Century Gothic"/>
          <w:szCs w:val="22"/>
        </w:rPr>
        <w:t>The purpose of the MTW p</w:t>
      </w:r>
      <w:r w:rsidRPr="003E6EFD">
        <w:rPr>
          <w:rFonts w:ascii="Century Gothic" w:hAnsi="Century Gothic"/>
          <w:szCs w:val="22"/>
        </w:rPr>
        <w:t xml:space="preserve">rogram, as established by Congress, is to identify innovative local approaches for providing and administering housing assistance that accomplish </w:t>
      </w:r>
      <w:r w:rsidR="00995281" w:rsidRPr="003E6EFD">
        <w:rPr>
          <w:rFonts w:ascii="Century Gothic" w:hAnsi="Century Gothic"/>
          <w:szCs w:val="22"/>
        </w:rPr>
        <w:t xml:space="preserve">three </w:t>
      </w:r>
      <w:r w:rsidRPr="003E6EFD">
        <w:rPr>
          <w:rFonts w:ascii="Century Gothic" w:hAnsi="Century Gothic"/>
          <w:szCs w:val="22"/>
        </w:rPr>
        <w:t>primary goals:</w:t>
      </w:r>
    </w:p>
    <w:p w14:paraId="4023DF8A" w14:textId="77777777" w:rsidR="00F477C2" w:rsidRPr="003E6EFD" w:rsidRDefault="00F477C2" w:rsidP="00486062">
      <w:pPr>
        <w:pStyle w:val="ListParagraph"/>
        <w:numPr>
          <w:ilvl w:val="0"/>
          <w:numId w:val="66"/>
        </w:numPr>
        <w:spacing w:before="120" w:after="120"/>
        <w:contextualSpacing w:val="0"/>
        <w:rPr>
          <w:rFonts w:ascii="Century Gothic" w:hAnsi="Century Gothic"/>
          <w:szCs w:val="22"/>
        </w:rPr>
      </w:pPr>
      <w:r w:rsidRPr="003E6EFD">
        <w:rPr>
          <w:rFonts w:ascii="Century Gothic" w:hAnsi="Century Gothic"/>
          <w:szCs w:val="22"/>
        </w:rPr>
        <w:t>To reduce costs and achieve greater cost effectiveness in federal expenditures.</w:t>
      </w:r>
    </w:p>
    <w:p w14:paraId="3B43892D" w14:textId="47ABE4E4" w:rsidR="00F477C2" w:rsidRPr="003E6EFD" w:rsidRDefault="00F477C2" w:rsidP="00486062">
      <w:pPr>
        <w:pStyle w:val="ListParagraph"/>
        <w:numPr>
          <w:ilvl w:val="0"/>
          <w:numId w:val="66"/>
        </w:numPr>
        <w:spacing w:before="120" w:after="120"/>
        <w:contextualSpacing w:val="0"/>
        <w:rPr>
          <w:rFonts w:ascii="Century Gothic" w:hAnsi="Century Gothic"/>
          <w:szCs w:val="22"/>
        </w:rPr>
      </w:pPr>
      <w:r w:rsidRPr="003E6EFD">
        <w:rPr>
          <w:rFonts w:ascii="Century Gothic" w:hAnsi="Century Gothic"/>
          <w:szCs w:val="22"/>
        </w:rPr>
        <w:t>To give incentives to families with children where the head of household is working, seeking work, or preparing to work by participating in job training, educational programs, or programs that assist people to obtain employment and become economically self-sufficient.</w:t>
      </w:r>
    </w:p>
    <w:p w14:paraId="28F2473C" w14:textId="1331B2C6" w:rsidR="00F477C2" w:rsidRPr="003E6EFD" w:rsidRDefault="00F477C2" w:rsidP="00486062">
      <w:pPr>
        <w:pStyle w:val="ListParagraph"/>
        <w:numPr>
          <w:ilvl w:val="0"/>
          <w:numId w:val="66"/>
        </w:numPr>
        <w:spacing w:before="120" w:after="120"/>
        <w:contextualSpacing w:val="0"/>
        <w:rPr>
          <w:rFonts w:ascii="Century Gothic" w:hAnsi="Century Gothic"/>
          <w:szCs w:val="22"/>
        </w:rPr>
      </w:pPr>
      <w:r w:rsidRPr="003E6EFD">
        <w:rPr>
          <w:rFonts w:ascii="Century Gothic" w:hAnsi="Century Gothic"/>
          <w:szCs w:val="22"/>
        </w:rPr>
        <w:t>To increase housing choice for low</w:t>
      </w:r>
      <w:r w:rsidR="007F1A3E" w:rsidRPr="003E6EFD">
        <w:rPr>
          <w:rFonts w:ascii="Century Gothic" w:hAnsi="Century Gothic"/>
          <w:szCs w:val="22"/>
        </w:rPr>
        <w:t>-</w:t>
      </w:r>
      <w:r w:rsidRPr="003E6EFD">
        <w:rPr>
          <w:rFonts w:ascii="Century Gothic" w:hAnsi="Century Gothic"/>
          <w:szCs w:val="22"/>
        </w:rPr>
        <w:t>income families</w:t>
      </w:r>
      <w:r w:rsidR="00E1567E" w:rsidRPr="003E6EFD">
        <w:rPr>
          <w:rFonts w:ascii="Century Gothic" w:hAnsi="Century Gothic"/>
          <w:szCs w:val="22"/>
        </w:rPr>
        <w:t xml:space="preserve">. </w:t>
      </w:r>
    </w:p>
    <w:p w14:paraId="71A39200" w14:textId="74A41F95" w:rsidR="00F477C2" w:rsidRPr="003E6EFD" w:rsidRDefault="0076005F" w:rsidP="00F477C2">
      <w:pPr>
        <w:contextualSpacing/>
        <w:rPr>
          <w:rFonts w:ascii="Century Gothic" w:hAnsi="Century Gothic"/>
          <w:szCs w:val="22"/>
        </w:rPr>
      </w:pPr>
      <w:r w:rsidRPr="003E6EFD">
        <w:rPr>
          <w:rFonts w:ascii="Century Gothic" w:hAnsi="Century Gothic"/>
          <w:szCs w:val="22"/>
        </w:rPr>
        <w:t>Through the MTW p</w:t>
      </w:r>
      <w:r w:rsidR="00F477C2" w:rsidRPr="003E6EFD">
        <w:rPr>
          <w:rFonts w:ascii="Century Gothic" w:hAnsi="Century Gothic"/>
          <w:szCs w:val="22"/>
        </w:rPr>
        <w:t xml:space="preserve">rogram, MTW agencies may request exemptions or waivers from existing regulations </w:t>
      </w:r>
      <w:r w:rsidR="00702F72" w:rsidRPr="003E6EFD">
        <w:rPr>
          <w:rFonts w:ascii="Century Gothic" w:hAnsi="Century Gothic"/>
          <w:szCs w:val="22"/>
        </w:rPr>
        <w:t>to</w:t>
      </w:r>
      <w:r w:rsidR="00F477C2" w:rsidRPr="003E6EFD">
        <w:rPr>
          <w:rFonts w:ascii="Century Gothic" w:hAnsi="Century Gothic"/>
          <w:szCs w:val="22"/>
        </w:rPr>
        <w:t xml:space="preserve"> pursue strategies that may result in more effective</w:t>
      </w:r>
      <w:r w:rsidRPr="003E6EFD">
        <w:rPr>
          <w:rFonts w:ascii="Century Gothic" w:hAnsi="Century Gothic"/>
          <w:szCs w:val="22"/>
        </w:rPr>
        <w:t xml:space="preserve"> operations and services </w:t>
      </w:r>
      <w:r w:rsidR="00866310" w:rsidRPr="003E6EFD">
        <w:rPr>
          <w:rFonts w:ascii="Century Gothic" w:hAnsi="Century Gothic"/>
          <w:szCs w:val="22"/>
        </w:rPr>
        <w:t xml:space="preserve">for </w:t>
      </w:r>
      <w:r w:rsidRPr="003E6EFD">
        <w:rPr>
          <w:rFonts w:ascii="Century Gothic" w:hAnsi="Century Gothic"/>
          <w:szCs w:val="22"/>
        </w:rPr>
        <w:t>low-</w:t>
      </w:r>
      <w:r w:rsidR="00F477C2" w:rsidRPr="003E6EFD">
        <w:rPr>
          <w:rFonts w:ascii="Century Gothic" w:hAnsi="Century Gothic"/>
          <w:szCs w:val="22"/>
        </w:rPr>
        <w:t>income families, according to local needs and conditions</w:t>
      </w:r>
      <w:r w:rsidR="00E1567E" w:rsidRPr="003E6EFD">
        <w:rPr>
          <w:rFonts w:ascii="Century Gothic" w:hAnsi="Century Gothic"/>
          <w:szCs w:val="22"/>
        </w:rPr>
        <w:t xml:space="preserve">. </w:t>
      </w:r>
      <w:r w:rsidRPr="003E6EFD">
        <w:rPr>
          <w:rFonts w:ascii="Century Gothic" w:hAnsi="Century Gothic"/>
          <w:szCs w:val="22"/>
        </w:rPr>
        <w:t>The MTW p</w:t>
      </w:r>
      <w:r w:rsidR="00F477C2" w:rsidRPr="003E6EFD">
        <w:rPr>
          <w:rFonts w:ascii="Century Gothic" w:hAnsi="Century Gothic"/>
          <w:szCs w:val="22"/>
        </w:rPr>
        <w:t xml:space="preserve">rogram also provides greater budget flexibility, as MTW agencies may pool funding from several HUD programs </w:t>
      </w:r>
      <w:r w:rsidR="00EA16A7" w:rsidRPr="003E6EFD">
        <w:rPr>
          <w:rFonts w:ascii="Century Gothic" w:hAnsi="Century Gothic"/>
          <w:szCs w:val="22"/>
        </w:rPr>
        <w:t>to</w:t>
      </w:r>
      <w:r w:rsidR="00F477C2" w:rsidRPr="003E6EFD">
        <w:rPr>
          <w:rFonts w:ascii="Century Gothic" w:hAnsi="Century Gothic"/>
          <w:szCs w:val="22"/>
        </w:rPr>
        <w:t xml:space="preserve"> allocate resources according to local determinations of the most effective use of funds </w:t>
      </w:r>
      <w:r w:rsidR="00702F72" w:rsidRPr="003E6EFD">
        <w:rPr>
          <w:rFonts w:ascii="Century Gothic" w:hAnsi="Century Gothic"/>
          <w:szCs w:val="22"/>
        </w:rPr>
        <w:t>to</w:t>
      </w:r>
      <w:r w:rsidR="00F477C2" w:rsidRPr="003E6EFD">
        <w:rPr>
          <w:rFonts w:ascii="Century Gothic" w:hAnsi="Century Gothic"/>
          <w:szCs w:val="22"/>
        </w:rPr>
        <w:t xml:space="preserve"> address local needs</w:t>
      </w:r>
      <w:r w:rsidR="00E1567E" w:rsidRPr="003E6EFD">
        <w:rPr>
          <w:rFonts w:ascii="Century Gothic" w:hAnsi="Century Gothic"/>
          <w:szCs w:val="22"/>
        </w:rPr>
        <w:t xml:space="preserve">. </w:t>
      </w:r>
    </w:p>
    <w:p w14:paraId="2B24F599" w14:textId="77777777" w:rsidR="00F477C2" w:rsidRPr="003E6EFD" w:rsidRDefault="00F477C2" w:rsidP="00F477C2">
      <w:pPr>
        <w:contextualSpacing/>
        <w:rPr>
          <w:rFonts w:ascii="Century Gothic" w:hAnsi="Century Gothic"/>
          <w:szCs w:val="22"/>
        </w:rPr>
      </w:pPr>
    </w:p>
    <w:p w14:paraId="43EEC221" w14:textId="5A930202" w:rsidR="00F477C2" w:rsidRPr="003E6EFD" w:rsidRDefault="009967F3" w:rsidP="00F477C2">
      <w:pPr>
        <w:contextualSpacing/>
        <w:rPr>
          <w:rFonts w:ascii="Century Gothic" w:hAnsi="Century Gothic"/>
          <w:szCs w:val="22"/>
        </w:rPr>
      </w:pPr>
      <w:r w:rsidRPr="003E6EFD">
        <w:rPr>
          <w:rFonts w:ascii="Century Gothic" w:hAnsi="Century Gothic"/>
          <w:szCs w:val="22"/>
        </w:rPr>
        <w:t xml:space="preserve">Additionally, the </w:t>
      </w:r>
      <w:r w:rsidR="0076005F" w:rsidRPr="003E6EFD">
        <w:rPr>
          <w:rFonts w:ascii="Century Gothic" w:hAnsi="Century Gothic"/>
          <w:szCs w:val="22"/>
        </w:rPr>
        <w:t>MTW p</w:t>
      </w:r>
      <w:r w:rsidR="00F477C2" w:rsidRPr="003E6EFD">
        <w:rPr>
          <w:rFonts w:ascii="Century Gothic" w:hAnsi="Century Gothic"/>
          <w:szCs w:val="22"/>
        </w:rPr>
        <w:t>rogram provides greater flexibility in planning and reporting</w:t>
      </w:r>
      <w:r w:rsidR="00E1567E" w:rsidRPr="003E6EFD">
        <w:rPr>
          <w:rFonts w:ascii="Century Gothic" w:hAnsi="Century Gothic"/>
          <w:szCs w:val="22"/>
        </w:rPr>
        <w:t xml:space="preserve">. </w:t>
      </w:r>
      <w:r w:rsidR="00F477C2" w:rsidRPr="003E6EFD">
        <w:rPr>
          <w:rFonts w:ascii="Century Gothic" w:hAnsi="Century Gothic"/>
          <w:szCs w:val="22"/>
        </w:rPr>
        <w:t>MTW agencies may be exempted from routine program measures, such as HUD’s Public Housing Assessment System (PHAS) and Section Eight Management Assessment Program (SEMAP</w:t>
      </w:r>
      <w:r w:rsidR="00410E5B" w:rsidRPr="003E6EFD">
        <w:rPr>
          <w:rFonts w:ascii="Century Gothic" w:hAnsi="Century Gothic"/>
          <w:szCs w:val="22"/>
        </w:rPr>
        <w:t>) if</w:t>
      </w:r>
      <w:r w:rsidR="00F477C2" w:rsidRPr="003E6EFD">
        <w:rPr>
          <w:rFonts w:ascii="Century Gothic" w:hAnsi="Century Gothic"/>
          <w:szCs w:val="22"/>
        </w:rPr>
        <w:t xml:space="preserve"> these measures do not accurately reflect the agency’s performance. ECC/HANH has elected exemption from PHAS and SEMAP reporting. </w:t>
      </w:r>
    </w:p>
    <w:p w14:paraId="626534AD" w14:textId="2FA3B325" w:rsidR="00FD333C" w:rsidRPr="003E6EFD" w:rsidRDefault="001F4F21" w:rsidP="007966B9">
      <w:pPr>
        <w:pStyle w:val="MTWHeader2"/>
        <w:rPr>
          <w:rFonts w:ascii="Century Gothic" w:hAnsi="Century Gothic" w:cs="Times New Roman"/>
          <w:sz w:val="22"/>
          <w:szCs w:val="22"/>
        </w:rPr>
      </w:pPr>
      <w:bookmarkStart w:id="20" w:name="_Toc528927251"/>
      <w:bookmarkStart w:id="21" w:name="_Toc531154705"/>
      <w:bookmarkStart w:id="22" w:name="_Toc89871132"/>
      <w:r w:rsidRPr="003E6EFD">
        <w:rPr>
          <w:rFonts w:ascii="Century Gothic" w:hAnsi="Century Gothic" w:cs="Times New Roman"/>
          <w:sz w:val="22"/>
          <w:szCs w:val="22"/>
        </w:rPr>
        <w:t>ECC/HANH Participation in MTW</w:t>
      </w:r>
      <w:bookmarkEnd w:id="15"/>
      <w:bookmarkEnd w:id="16"/>
      <w:bookmarkEnd w:id="17"/>
      <w:bookmarkEnd w:id="18"/>
      <w:bookmarkEnd w:id="19"/>
      <w:bookmarkEnd w:id="20"/>
      <w:bookmarkEnd w:id="21"/>
      <w:bookmarkEnd w:id="22"/>
    </w:p>
    <w:p w14:paraId="5FA2B7DF" w14:textId="77777777" w:rsidR="00603FC9" w:rsidRPr="003E6EFD" w:rsidRDefault="00603FC9" w:rsidP="00F477C2">
      <w:pPr>
        <w:contextualSpacing/>
        <w:rPr>
          <w:rFonts w:ascii="Century Gothic" w:hAnsi="Century Gothic"/>
          <w:szCs w:val="22"/>
        </w:rPr>
        <w:sectPr w:rsidR="00603FC9" w:rsidRPr="003E6EFD" w:rsidSect="00EB0694">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152" w:right="1152" w:bottom="1152" w:left="1152" w:header="720" w:footer="720" w:gutter="0"/>
          <w:cols w:space="720"/>
          <w:titlePg/>
          <w:docGrid w:linePitch="360"/>
        </w:sectPr>
      </w:pPr>
    </w:p>
    <w:p w14:paraId="1E494DD2" w14:textId="54407766" w:rsidR="00FA3931" w:rsidRPr="003E6EFD" w:rsidRDefault="00F477C2" w:rsidP="005E790A">
      <w:pPr>
        <w:contextualSpacing/>
        <w:rPr>
          <w:rFonts w:ascii="Century Gothic" w:hAnsi="Century Gothic"/>
          <w:szCs w:val="22"/>
        </w:rPr>
      </w:pPr>
      <w:r w:rsidRPr="003E6EFD">
        <w:rPr>
          <w:rFonts w:ascii="Century Gothic" w:hAnsi="Century Gothic"/>
          <w:szCs w:val="22"/>
        </w:rPr>
        <w:lastRenderedPageBreak/>
        <w:t xml:space="preserve">ECC/HANH’s MTW program and flexibility is limited to the following HUD programs: </w:t>
      </w:r>
    </w:p>
    <w:p w14:paraId="7D3B34B9" w14:textId="0B8E8D58" w:rsidR="007729F5" w:rsidRPr="003E6EFD" w:rsidRDefault="00F477C2" w:rsidP="00486062">
      <w:pPr>
        <w:pStyle w:val="ListParagraph"/>
        <w:numPr>
          <w:ilvl w:val="0"/>
          <w:numId w:val="75"/>
        </w:numPr>
        <w:spacing w:before="120" w:after="120"/>
        <w:ind w:left="763"/>
        <w:contextualSpacing w:val="0"/>
        <w:rPr>
          <w:rFonts w:ascii="Century Gothic" w:hAnsi="Century Gothic"/>
          <w:szCs w:val="22"/>
        </w:rPr>
      </w:pPr>
      <w:r w:rsidRPr="003E6EFD">
        <w:rPr>
          <w:rFonts w:ascii="Century Gothic" w:hAnsi="Century Gothic"/>
          <w:szCs w:val="22"/>
        </w:rPr>
        <w:t xml:space="preserve">Public Housing </w:t>
      </w:r>
      <w:r w:rsidR="00FA3931" w:rsidRPr="003E6EFD">
        <w:rPr>
          <w:rFonts w:ascii="Century Gothic" w:hAnsi="Century Gothic"/>
          <w:szCs w:val="22"/>
        </w:rPr>
        <w:t xml:space="preserve">Operating Fund </w:t>
      </w:r>
    </w:p>
    <w:p w14:paraId="636294D4" w14:textId="77777777" w:rsidR="007729F5" w:rsidRPr="003E6EFD" w:rsidRDefault="00F477C2" w:rsidP="00486062">
      <w:pPr>
        <w:pStyle w:val="ListParagraph"/>
        <w:numPr>
          <w:ilvl w:val="0"/>
          <w:numId w:val="75"/>
        </w:numPr>
        <w:spacing w:before="120" w:after="120"/>
        <w:ind w:left="763"/>
        <w:contextualSpacing w:val="0"/>
        <w:rPr>
          <w:rFonts w:ascii="Century Gothic" w:hAnsi="Century Gothic"/>
          <w:szCs w:val="22"/>
        </w:rPr>
      </w:pPr>
      <w:r w:rsidRPr="003E6EFD">
        <w:rPr>
          <w:rFonts w:ascii="Century Gothic" w:hAnsi="Century Gothic"/>
          <w:szCs w:val="22"/>
        </w:rPr>
        <w:t xml:space="preserve">Public Housing Capital Fund </w:t>
      </w:r>
    </w:p>
    <w:p w14:paraId="57F475BC" w14:textId="14D58A46" w:rsidR="007729F5" w:rsidRPr="003E6EFD" w:rsidRDefault="00F477C2" w:rsidP="00486062">
      <w:pPr>
        <w:pStyle w:val="ListParagraph"/>
        <w:numPr>
          <w:ilvl w:val="0"/>
          <w:numId w:val="75"/>
        </w:numPr>
        <w:spacing w:before="120" w:after="120"/>
        <w:ind w:left="763"/>
        <w:contextualSpacing w:val="0"/>
        <w:rPr>
          <w:rFonts w:ascii="Century Gothic" w:hAnsi="Century Gothic"/>
          <w:szCs w:val="22"/>
        </w:rPr>
      </w:pPr>
      <w:r w:rsidRPr="003E6EFD">
        <w:rPr>
          <w:rFonts w:ascii="Century Gothic" w:hAnsi="Century Gothic"/>
          <w:szCs w:val="22"/>
        </w:rPr>
        <w:t>Section 8 (</w:t>
      </w:r>
      <w:r w:rsidR="00F31C7A" w:rsidRPr="003E6EFD">
        <w:rPr>
          <w:rFonts w:ascii="Century Gothic" w:hAnsi="Century Gothic"/>
          <w:szCs w:val="22"/>
        </w:rPr>
        <w:t>HCV)</w:t>
      </w:r>
      <w:r w:rsidRPr="003E6EFD">
        <w:rPr>
          <w:rFonts w:ascii="Century Gothic" w:hAnsi="Century Gothic"/>
          <w:szCs w:val="22"/>
        </w:rPr>
        <w:t xml:space="preserve"> Program </w:t>
      </w:r>
    </w:p>
    <w:p w14:paraId="58559CA4" w14:textId="77777777" w:rsidR="007729F5" w:rsidRPr="003E6EFD" w:rsidRDefault="00F477C2">
      <w:pPr>
        <w:spacing w:before="240"/>
        <w:contextualSpacing/>
        <w:rPr>
          <w:rFonts w:ascii="Century Gothic" w:hAnsi="Century Gothic"/>
          <w:szCs w:val="22"/>
        </w:rPr>
      </w:pPr>
      <w:r w:rsidRPr="003E6EFD">
        <w:rPr>
          <w:rFonts w:ascii="Century Gothic" w:hAnsi="Century Gothic"/>
          <w:szCs w:val="22"/>
        </w:rPr>
        <w:t xml:space="preserve">According to the MTW Agreement, ECC/HANH’s MTW program does </w:t>
      </w:r>
      <w:r w:rsidRPr="003E6EFD">
        <w:rPr>
          <w:rFonts w:ascii="Century Gothic" w:hAnsi="Century Gothic"/>
          <w:iCs/>
          <w:szCs w:val="22"/>
        </w:rPr>
        <w:t>not</w:t>
      </w:r>
      <w:r w:rsidRPr="003E6EFD">
        <w:rPr>
          <w:rFonts w:ascii="Century Gothic" w:hAnsi="Century Gothic"/>
          <w:szCs w:val="22"/>
        </w:rPr>
        <w:t xml:space="preserve"> include HUD grant funds committed to specific grant purposes, namely:  </w:t>
      </w:r>
    </w:p>
    <w:p w14:paraId="67671645" w14:textId="2DC9EC5C" w:rsidR="007729F5" w:rsidRPr="003E6EFD" w:rsidRDefault="00F477C2" w:rsidP="00486062">
      <w:pPr>
        <w:pStyle w:val="ListParagraph"/>
        <w:numPr>
          <w:ilvl w:val="0"/>
          <w:numId w:val="65"/>
        </w:numPr>
        <w:spacing w:before="120" w:after="120"/>
        <w:ind w:left="763"/>
        <w:contextualSpacing w:val="0"/>
        <w:rPr>
          <w:rFonts w:ascii="Century Gothic" w:hAnsi="Century Gothic"/>
          <w:szCs w:val="22"/>
        </w:rPr>
      </w:pPr>
      <w:r w:rsidRPr="003E6EFD">
        <w:rPr>
          <w:rFonts w:ascii="Century Gothic" w:hAnsi="Century Gothic"/>
          <w:szCs w:val="22"/>
        </w:rPr>
        <w:t>ECC/</w:t>
      </w:r>
      <w:r w:rsidR="00EA16A7" w:rsidRPr="003E6EFD">
        <w:rPr>
          <w:rFonts w:ascii="Century Gothic" w:hAnsi="Century Gothic"/>
          <w:szCs w:val="22"/>
        </w:rPr>
        <w:t>HANH’s HOPE</w:t>
      </w:r>
      <w:r w:rsidRPr="003E6EFD">
        <w:rPr>
          <w:rFonts w:ascii="Century Gothic" w:hAnsi="Century Gothic"/>
          <w:szCs w:val="22"/>
        </w:rPr>
        <w:t xml:space="preserve"> VI grants for Monterey Place</w:t>
      </w:r>
    </w:p>
    <w:p w14:paraId="78CE34F9" w14:textId="0E080D29" w:rsidR="007729F5" w:rsidRPr="003E6EFD" w:rsidRDefault="00F477C2" w:rsidP="00486062">
      <w:pPr>
        <w:pStyle w:val="ListParagraph"/>
        <w:numPr>
          <w:ilvl w:val="0"/>
          <w:numId w:val="65"/>
        </w:numPr>
        <w:spacing w:before="120" w:after="120"/>
        <w:ind w:left="763"/>
        <w:contextualSpacing w:val="0"/>
        <w:rPr>
          <w:rFonts w:ascii="Century Gothic" w:hAnsi="Century Gothic"/>
          <w:szCs w:val="22"/>
        </w:rPr>
      </w:pPr>
      <w:r w:rsidRPr="003E6EFD">
        <w:rPr>
          <w:rFonts w:ascii="Century Gothic" w:hAnsi="Century Gothic"/>
          <w:szCs w:val="22"/>
        </w:rPr>
        <w:t>ECC/HANH’s HOPE VI grants for Quinnipiac</w:t>
      </w:r>
      <w:r w:rsidR="00FA3931" w:rsidRPr="003E6EFD">
        <w:rPr>
          <w:rFonts w:ascii="Century Gothic" w:hAnsi="Century Gothic"/>
          <w:szCs w:val="22"/>
        </w:rPr>
        <w:t xml:space="preserve"> </w:t>
      </w:r>
      <w:r w:rsidRPr="003E6EFD">
        <w:rPr>
          <w:rFonts w:ascii="Century Gothic" w:hAnsi="Century Gothic"/>
          <w:szCs w:val="22"/>
        </w:rPr>
        <w:t>Terrace/Riverview</w:t>
      </w:r>
    </w:p>
    <w:p w14:paraId="19D3217B" w14:textId="2C0D1DA9" w:rsidR="007729F5" w:rsidRPr="003E6EFD" w:rsidRDefault="00FA3931" w:rsidP="00486062">
      <w:pPr>
        <w:pStyle w:val="ListParagraph"/>
        <w:numPr>
          <w:ilvl w:val="0"/>
          <w:numId w:val="65"/>
        </w:numPr>
        <w:spacing w:before="120" w:after="120"/>
        <w:ind w:left="763"/>
        <w:contextualSpacing w:val="0"/>
        <w:rPr>
          <w:rFonts w:ascii="Century Gothic" w:hAnsi="Century Gothic"/>
          <w:szCs w:val="22"/>
        </w:rPr>
      </w:pPr>
      <w:r w:rsidRPr="003E6EFD">
        <w:rPr>
          <w:rFonts w:ascii="Century Gothic" w:hAnsi="Century Gothic"/>
          <w:szCs w:val="22"/>
        </w:rPr>
        <w:t>Rental Assist</w:t>
      </w:r>
      <w:r w:rsidR="0076005F" w:rsidRPr="003E6EFD">
        <w:rPr>
          <w:rFonts w:ascii="Century Gothic" w:hAnsi="Century Gothic"/>
          <w:szCs w:val="22"/>
        </w:rPr>
        <w:t>ance Demonstration (RAD) Grants</w:t>
      </w:r>
    </w:p>
    <w:p w14:paraId="53B82A3F" w14:textId="1A3BAF4C" w:rsidR="007729F5" w:rsidRPr="003E6EFD" w:rsidRDefault="0076005F" w:rsidP="00486062">
      <w:pPr>
        <w:pStyle w:val="ListParagraph"/>
        <w:numPr>
          <w:ilvl w:val="0"/>
          <w:numId w:val="65"/>
        </w:numPr>
        <w:spacing w:before="120" w:after="120"/>
        <w:ind w:left="763"/>
        <w:contextualSpacing w:val="0"/>
        <w:rPr>
          <w:rFonts w:ascii="Century Gothic" w:hAnsi="Century Gothic"/>
          <w:szCs w:val="22"/>
        </w:rPr>
      </w:pPr>
      <w:r w:rsidRPr="003E6EFD">
        <w:rPr>
          <w:rFonts w:ascii="Century Gothic" w:hAnsi="Century Gothic"/>
          <w:szCs w:val="22"/>
        </w:rPr>
        <w:t>A</w:t>
      </w:r>
      <w:r w:rsidR="00F477C2" w:rsidRPr="003E6EFD">
        <w:rPr>
          <w:rFonts w:ascii="Century Gothic" w:hAnsi="Century Gothic"/>
          <w:szCs w:val="22"/>
        </w:rPr>
        <w:t>ny future HOPE VI Revitalization grants</w:t>
      </w:r>
    </w:p>
    <w:p w14:paraId="5B39A66D" w14:textId="1A6CF31F" w:rsidR="007729F5" w:rsidRPr="003E6EFD" w:rsidRDefault="0076005F" w:rsidP="00486062">
      <w:pPr>
        <w:pStyle w:val="ListParagraph"/>
        <w:numPr>
          <w:ilvl w:val="0"/>
          <w:numId w:val="65"/>
        </w:numPr>
        <w:spacing w:before="120" w:after="120"/>
        <w:ind w:left="763"/>
        <w:contextualSpacing w:val="0"/>
        <w:rPr>
          <w:rFonts w:ascii="Century Gothic" w:hAnsi="Century Gothic"/>
          <w:szCs w:val="22"/>
        </w:rPr>
      </w:pPr>
      <w:r w:rsidRPr="003E6EFD">
        <w:rPr>
          <w:rFonts w:ascii="Century Gothic" w:hAnsi="Century Gothic"/>
          <w:szCs w:val="22"/>
        </w:rPr>
        <w:t>O</w:t>
      </w:r>
      <w:r w:rsidR="00F477C2" w:rsidRPr="003E6EFD">
        <w:rPr>
          <w:rFonts w:ascii="Century Gothic" w:hAnsi="Century Gothic"/>
          <w:szCs w:val="22"/>
        </w:rPr>
        <w:t>ther competitive grant funds awarded for specific purposes</w:t>
      </w:r>
      <w:r w:rsidR="00E1567E" w:rsidRPr="003E6EFD">
        <w:rPr>
          <w:rFonts w:ascii="Century Gothic" w:hAnsi="Century Gothic"/>
          <w:szCs w:val="22"/>
        </w:rPr>
        <w:t xml:space="preserve"> </w:t>
      </w:r>
    </w:p>
    <w:p w14:paraId="4DB280E2" w14:textId="64BA5E12" w:rsidR="007729F5" w:rsidRPr="003E6EFD" w:rsidRDefault="00F477C2" w:rsidP="197B9397">
      <w:pPr>
        <w:spacing w:before="240"/>
        <w:rPr>
          <w:rFonts w:ascii="Century Gothic" w:hAnsi="Century Gothic"/>
        </w:rPr>
      </w:pPr>
      <w:proofErr w:type="gramStart"/>
      <w:r w:rsidRPr="003E6EFD">
        <w:rPr>
          <w:rFonts w:ascii="Century Gothic" w:hAnsi="Century Gothic"/>
        </w:rPr>
        <w:t>These grant</w:t>
      </w:r>
      <w:proofErr w:type="gramEnd"/>
      <w:r w:rsidRPr="003E6EFD">
        <w:rPr>
          <w:rFonts w:ascii="Century Gothic" w:hAnsi="Century Gothic"/>
        </w:rPr>
        <w:t xml:space="preserve"> funded programs committed to specific purposes require ECC/HANH to provide periodic reports to HUD</w:t>
      </w:r>
      <w:r w:rsidR="00E1567E" w:rsidRPr="003E6EFD">
        <w:rPr>
          <w:rFonts w:ascii="Century Gothic" w:hAnsi="Century Gothic"/>
        </w:rPr>
        <w:t xml:space="preserve">. </w:t>
      </w:r>
      <w:r w:rsidRPr="003E6EFD">
        <w:rPr>
          <w:rFonts w:ascii="Century Gothic" w:hAnsi="Century Gothic"/>
        </w:rPr>
        <w:t xml:space="preserve">Although </w:t>
      </w:r>
      <w:proofErr w:type="gramStart"/>
      <w:r w:rsidRPr="003E6EFD">
        <w:rPr>
          <w:rFonts w:ascii="Century Gothic" w:hAnsi="Century Gothic"/>
        </w:rPr>
        <w:t>these grant</w:t>
      </w:r>
      <w:proofErr w:type="gramEnd"/>
      <w:r w:rsidRPr="003E6EFD">
        <w:rPr>
          <w:rFonts w:ascii="Century Gothic" w:hAnsi="Century Gothic"/>
        </w:rPr>
        <w:t xml:space="preserve"> funded programs are not included in ECC/</w:t>
      </w:r>
      <w:r w:rsidR="00EA16A7" w:rsidRPr="003E6EFD">
        <w:rPr>
          <w:rFonts w:ascii="Century Gothic" w:hAnsi="Century Gothic"/>
        </w:rPr>
        <w:t>HANH’s MTW</w:t>
      </w:r>
      <w:r w:rsidRPr="003E6EFD">
        <w:rPr>
          <w:rFonts w:ascii="Century Gothic" w:hAnsi="Century Gothic"/>
        </w:rPr>
        <w:t xml:space="preserve"> program, ECC/HANH has included information, where relevant, regarding </w:t>
      </w:r>
      <w:proofErr w:type="gramStart"/>
      <w:r w:rsidRPr="003E6EFD">
        <w:rPr>
          <w:rFonts w:ascii="Century Gothic" w:hAnsi="Century Gothic"/>
        </w:rPr>
        <w:t>these grant</w:t>
      </w:r>
      <w:proofErr w:type="gramEnd"/>
      <w:r w:rsidRPr="003E6EFD">
        <w:rPr>
          <w:rFonts w:ascii="Century Gothic" w:hAnsi="Century Gothic"/>
        </w:rPr>
        <w:t xml:space="preserve"> funded programs in this MTW Annual </w:t>
      </w:r>
      <w:r w:rsidR="00FA3931" w:rsidRPr="003E6EFD">
        <w:rPr>
          <w:rFonts w:ascii="Century Gothic" w:hAnsi="Century Gothic"/>
        </w:rPr>
        <w:t xml:space="preserve">Report </w:t>
      </w:r>
      <w:r w:rsidRPr="003E6EFD">
        <w:rPr>
          <w:rFonts w:ascii="Century Gothic" w:hAnsi="Century Gothic"/>
        </w:rPr>
        <w:t xml:space="preserve">for </w:t>
      </w:r>
      <w:r w:rsidR="003B5012" w:rsidRPr="003E6EFD">
        <w:rPr>
          <w:rFonts w:ascii="Century Gothic" w:hAnsi="Century Gothic"/>
        </w:rPr>
        <w:t>FY202</w:t>
      </w:r>
      <w:r w:rsidR="0069193F">
        <w:rPr>
          <w:rFonts w:ascii="Century Gothic" w:hAnsi="Century Gothic"/>
        </w:rPr>
        <w:t>4</w:t>
      </w:r>
      <w:r w:rsidR="00E1567E" w:rsidRPr="003E6EFD">
        <w:rPr>
          <w:rFonts w:ascii="Century Gothic" w:hAnsi="Century Gothic"/>
        </w:rPr>
        <w:t xml:space="preserve">. </w:t>
      </w:r>
    </w:p>
    <w:p w14:paraId="07AF981E" w14:textId="5E7D3A10" w:rsidR="00F477C2" w:rsidRPr="003E6EFD" w:rsidRDefault="00F477C2" w:rsidP="00CF3D47">
      <w:pPr>
        <w:spacing w:before="240"/>
        <w:rPr>
          <w:rFonts w:ascii="Century Gothic" w:hAnsi="Century Gothic"/>
          <w:szCs w:val="22"/>
        </w:rPr>
      </w:pPr>
      <w:r w:rsidRPr="003E6EFD">
        <w:rPr>
          <w:rFonts w:ascii="Century Gothic" w:hAnsi="Century Gothic"/>
          <w:szCs w:val="22"/>
        </w:rPr>
        <w:t xml:space="preserve">ECC/HANH’s original MTW Agreement with HUD became effective retroactively </w:t>
      </w:r>
      <w:r w:rsidR="00FA3931" w:rsidRPr="003E6EFD">
        <w:rPr>
          <w:rFonts w:ascii="Century Gothic" w:hAnsi="Century Gothic"/>
          <w:szCs w:val="22"/>
        </w:rPr>
        <w:t xml:space="preserve">on </w:t>
      </w:r>
      <w:r w:rsidRPr="003E6EFD">
        <w:rPr>
          <w:rFonts w:ascii="Century Gothic" w:hAnsi="Century Gothic"/>
          <w:szCs w:val="22"/>
        </w:rPr>
        <w:t xml:space="preserve">October </w:t>
      </w:r>
      <w:r w:rsidR="00FA3931" w:rsidRPr="003E6EFD">
        <w:rPr>
          <w:rFonts w:ascii="Century Gothic" w:hAnsi="Century Gothic"/>
          <w:szCs w:val="22"/>
        </w:rPr>
        <w:t>1, 2000</w:t>
      </w:r>
      <w:r w:rsidR="00E1567E" w:rsidRPr="003E6EFD">
        <w:rPr>
          <w:rFonts w:ascii="Century Gothic" w:hAnsi="Century Gothic"/>
          <w:szCs w:val="22"/>
        </w:rPr>
        <w:t xml:space="preserve">. </w:t>
      </w:r>
      <w:r w:rsidRPr="003E6EFD">
        <w:rPr>
          <w:rFonts w:ascii="Century Gothic" w:hAnsi="Century Gothic"/>
          <w:szCs w:val="22"/>
        </w:rPr>
        <w:t>The initial seven-year term of ECC/</w:t>
      </w:r>
      <w:r w:rsidR="00EA16A7" w:rsidRPr="003E6EFD">
        <w:rPr>
          <w:rFonts w:ascii="Century Gothic" w:hAnsi="Century Gothic"/>
          <w:szCs w:val="22"/>
        </w:rPr>
        <w:t>HANH’s MTW</w:t>
      </w:r>
      <w:r w:rsidRPr="003E6EFD">
        <w:rPr>
          <w:rFonts w:ascii="Century Gothic" w:hAnsi="Century Gothic"/>
          <w:szCs w:val="22"/>
        </w:rPr>
        <w:t xml:space="preserve"> status expired on September 30, 2008. </w:t>
      </w:r>
      <w:r w:rsidR="0069193F">
        <w:rPr>
          <w:rFonts w:ascii="Century Gothic" w:hAnsi="Century Gothic"/>
          <w:szCs w:val="22"/>
        </w:rPr>
        <w:t xml:space="preserve"> </w:t>
      </w:r>
      <w:r w:rsidRPr="003E6EFD">
        <w:rPr>
          <w:rFonts w:ascii="Century Gothic" w:hAnsi="Century Gothic"/>
          <w:szCs w:val="22"/>
        </w:rPr>
        <w:t>HUD proposed a new, revised MTW Agreement that would provide MTW status for 10 years</w:t>
      </w:r>
      <w:r w:rsidR="00E1567E" w:rsidRPr="003E6EFD">
        <w:rPr>
          <w:rFonts w:ascii="Century Gothic" w:hAnsi="Century Gothic"/>
          <w:szCs w:val="22"/>
        </w:rPr>
        <w:t xml:space="preserve">. </w:t>
      </w:r>
      <w:r w:rsidR="0069193F">
        <w:rPr>
          <w:rFonts w:ascii="Century Gothic" w:hAnsi="Century Gothic"/>
          <w:szCs w:val="22"/>
        </w:rPr>
        <w:t xml:space="preserve"> </w:t>
      </w:r>
      <w:r w:rsidRPr="003E6EFD">
        <w:rPr>
          <w:rFonts w:ascii="Century Gothic" w:hAnsi="Century Gothic"/>
          <w:szCs w:val="22"/>
        </w:rPr>
        <w:t>ECC/HANH executed the Amended and Restated Moving to Work Agreement on May 2, 2008</w:t>
      </w:r>
      <w:r w:rsidR="00E1567E" w:rsidRPr="003E6EFD">
        <w:rPr>
          <w:rFonts w:ascii="Century Gothic" w:hAnsi="Century Gothic"/>
          <w:szCs w:val="22"/>
        </w:rPr>
        <w:t xml:space="preserve">. </w:t>
      </w:r>
      <w:r w:rsidR="0069193F">
        <w:rPr>
          <w:rFonts w:ascii="Century Gothic" w:hAnsi="Century Gothic"/>
          <w:szCs w:val="22"/>
        </w:rPr>
        <w:t xml:space="preserve"> </w:t>
      </w:r>
      <w:r w:rsidRPr="003E6EFD">
        <w:rPr>
          <w:rFonts w:ascii="Century Gothic" w:hAnsi="Century Gothic"/>
          <w:szCs w:val="22"/>
        </w:rPr>
        <w:t>The Amended and Restated MTW Agreement govern</w:t>
      </w:r>
      <w:r w:rsidR="0069193F">
        <w:rPr>
          <w:rFonts w:ascii="Century Gothic" w:hAnsi="Century Gothic"/>
          <w:szCs w:val="22"/>
        </w:rPr>
        <w:t>ed</w:t>
      </w:r>
      <w:r w:rsidRPr="003E6EFD">
        <w:rPr>
          <w:rFonts w:ascii="Century Gothic" w:hAnsi="Century Gothic"/>
          <w:szCs w:val="22"/>
        </w:rPr>
        <w:t xml:space="preserve"> ECC/HANH’s MTW status through 2018</w:t>
      </w:r>
      <w:r w:rsidR="00E1567E" w:rsidRPr="003E6EFD">
        <w:rPr>
          <w:rFonts w:ascii="Century Gothic" w:hAnsi="Century Gothic"/>
          <w:szCs w:val="22"/>
        </w:rPr>
        <w:t xml:space="preserve">. </w:t>
      </w:r>
      <w:r w:rsidR="0069193F">
        <w:rPr>
          <w:rFonts w:ascii="Century Gothic" w:hAnsi="Century Gothic"/>
          <w:szCs w:val="22"/>
        </w:rPr>
        <w:t xml:space="preserve"> </w:t>
      </w:r>
      <w:r w:rsidRPr="003E6EFD">
        <w:rPr>
          <w:rFonts w:ascii="Century Gothic" w:hAnsi="Century Gothic"/>
          <w:szCs w:val="22"/>
        </w:rPr>
        <w:t xml:space="preserve">ECC/HANH made the agreement available for public review and comment for a </w:t>
      </w:r>
      <w:r w:rsidR="00EA16A7" w:rsidRPr="003E6EFD">
        <w:rPr>
          <w:rFonts w:ascii="Century Gothic" w:hAnsi="Century Gothic"/>
          <w:szCs w:val="22"/>
        </w:rPr>
        <w:t>30-day</w:t>
      </w:r>
      <w:r w:rsidRPr="003E6EFD">
        <w:rPr>
          <w:rFonts w:ascii="Century Gothic" w:hAnsi="Century Gothic"/>
          <w:szCs w:val="22"/>
        </w:rPr>
        <w:t xml:space="preserve"> period and conducted a public hearing at the end of the review period</w:t>
      </w:r>
      <w:r w:rsidR="00E1567E" w:rsidRPr="003E6EFD">
        <w:rPr>
          <w:rFonts w:ascii="Century Gothic" w:hAnsi="Century Gothic"/>
          <w:szCs w:val="22"/>
        </w:rPr>
        <w:t xml:space="preserve">. </w:t>
      </w:r>
      <w:r w:rsidRPr="003E6EFD">
        <w:rPr>
          <w:rFonts w:ascii="Century Gothic" w:hAnsi="Century Gothic"/>
          <w:szCs w:val="22"/>
        </w:rPr>
        <w:t>The public hearing was conducted on February 25, 2008</w:t>
      </w:r>
      <w:r w:rsidR="00E1567E" w:rsidRPr="003E6EFD">
        <w:rPr>
          <w:rFonts w:ascii="Century Gothic" w:hAnsi="Century Gothic"/>
          <w:szCs w:val="22"/>
        </w:rPr>
        <w:t xml:space="preserve">. </w:t>
      </w:r>
      <w:r w:rsidRPr="003E6EFD">
        <w:rPr>
          <w:rFonts w:ascii="Century Gothic" w:hAnsi="Century Gothic"/>
          <w:szCs w:val="22"/>
        </w:rPr>
        <w:t xml:space="preserve">The ECC/HANH Board of Commissioners approved the Amended and Restated MTW Agreement through Resolution No. 02-22/08-R on February 26, 2008. </w:t>
      </w:r>
    </w:p>
    <w:p w14:paraId="766B7A1B" w14:textId="77777777" w:rsidR="00F477C2" w:rsidRPr="003E6EFD" w:rsidRDefault="00F477C2" w:rsidP="6E9E055C">
      <w:pPr>
        <w:contextualSpacing/>
        <w:rPr>
          <w:rFonts w:ascii="Century Gothic" w:eastAsia="Times New Roman" w:hAnsi="Century Gothic"/>
        </w:rPr>
      </w:pPr>
    </w:p>
    <w:p w14:paraId="1E52122B" w14:textId="77777777" w:rsidR="0069193F" w:rsidRDefault="6F546582" w:rsidP="6E9E055C">
      <w:pPr>
        <w:contextualSpacing/>
        <w:rPr>
          <w:rFonts w:ascii="Century Gothic" w:eastAsia="Times New Roman" w:hAnsi="Century Gothic"/>
        </w:rPr>
      </w:pPr>
      <w:r w:rsidRPr="003E6EFD">
        <w:rPr>
          <w:rFonts w:ascii="Century Gothic" w:eastAsia="Times New Roman" w:hAnsi="Century Gothic"/>
        </w:rPr>
        <w:t>ECC/HANH’s redevelopment plans require flexible use of Section 8 and 9 funds to develop affordable housing for familie</w:t>
      </w:r>
      <w:r w:rsidR="504CAE7F" w:rsidRPr="003E6EFD">
        <w:rPr>
          <w:rFonts w:ascii="Century Gothic" w:eastAsia="Times New Roman" w:hAnsi="Century Gothic"/>
        </w:rPr>
        <w:t>s at or below 80% of area median income (AMI)</w:t>
      </w:r>
      <w:r w:rsidRPr="003E6EFD">
        <w:rPr>
          <w:rFonts w:ascii="Century Gothic" w:eastAsia="Times New Roman" w:hAnsi="Century Gothic"/>
        </w:rPr>
        <w:t xml:space="preserve">; therefore, ECC/HANH has executed the Second Amendment to its Restated and Amended Moving to Work Agreement with HUD </w:t>
      </w:r>
      <w:r w:rsidR="504CAE7F" w:rsidRPr="003E6EFD">
        <w:rPr>
          <w:rFonts w:ascii="Century Gothic" w:eastAsia="Times New Roman" w:hAnsi="Century Gothic"/>
        </w:rPr>
        <w:t>that</w:t>
      </w:r>
      <w:r w:rsidRPr="003E6EFD">
        <w:rPr>
          <w:rFonts w:ascii="Century Gothic" w:eastAsia="Times New Roman" w:hAnsi="Century Gothic"/>
        </w:rPr>
        <w:t xml:space="preserve"> clarifies such authority.</w:t>
      </w:r>
      <w:r w:rsidR="0069193F">
        <w:rPr>
          <w:rFonts w:ascii="Century Gothic" w:eastAsia="Times New Roman" w:hAnsi="Century Gothic"/>
        </w:rPr>
        <w:t xml:space="preserve"> </w:t>
      </w:r>
      <w:r w:rsidR="119EE27A" w:rsidRPr="003E6EFD">
        <w:rPr>
          <w:rFonts w:ascii="Century Gothic" w:eastAsia="Times New Roman" w:hAnsi="Century Gothic"/>
        </w:rPr>
        <w:t xml:space="preserve"> </w:t>
      </w:r>
      <w:r w:rsidRPr="003E6EFD">
        <w:rPr>
          <w:rFonts w:ascii="Century Gothic" w:eastAsia="Times New Roman" w:hAnsi="Century Gothic"/>
        </w:rPr>
        <w:t xml:space="preserve">On April 15, </w:t>
      </w:r>
      <w:r w:rsidR="31EC3A3D" w:rsidRPr="003E6EFD">
        <w:rPr>
          <w:rFonts w:ascii="Century Gothic" w:eastAsia="Times New Roman" w:hAnsi="Century Gothic"/>
        </w:rPr>
        <w:t>2016,</w:t>
      </w:r>
      <w:r w:rsidRPr="003E6EFD">
        <w:rPr>
          <w:rFonts w:ascii="Century Gothic" w:eastAsia="Times New Roman" w:hAnsi="Century Gothic"/>
        </w:rPr>
        <w:t xml:space="preserve"> HUD communicated its intention to extend MTW agreements for an additional 10 years beyond the current extension date or until 2028.</w:t>
      </w:r>
      <w:r w:rsidR="4985F68F" w:rsidRPr="003E6EFD">
        <w:rPr>
          <w:rFonts w:ascii="Century Gothic" w:eastAsia="Times New Roman" w:hAnsi="Century Gothic"/>
        </w:rPr>
        <w:t xml:space="preserve">  </w:t>
      </w:r>
    </w:p>
    <w:p w14:paraId="1CAD3EB6" w14:textId="77777777" w:rsidR="0069193F" w:rsidRDefault="0069193F" w:rsidP="6E9E055C">
      <w:pPr>
        <w:contextualSpacing/>
        <w:rPr>
          <w:rFonts w:ascii="Century Gothic" w:eastAsia="Times New Roman" w:hAnsi="Century Gothic"/>
        </w:rPr>
      </w:pPr>
    </w:p>
    <w:p w14:paraId="731B1A0E" w14:textId="4D8FB205" w:rsidR="00F477C2" w:rsidRPr="003E6EFD" w:rsidRDefault="4985F68F" w:rsidP="6E9E055C">
      <w:pPr>
        <w:contextualSpacing/>
        <w:rPr>
          <w:rFonts w:ascii="Century Gothic" w:eastAsia="Times New Roman" w:hAnsi="Century Gothic"/>
        </w:rPr>
      </w:pPr>
      <w:r w:rsidRPr="003E6EFD">
        <w:rPr>
          <w:rFonts w:ascii="Century Gothic" w:eastAsia="Times New Roman" w:hAnsi="Century Gothic"/>
        </w:rPr>
        <w:t xml:space="preserve">On March 10, 2024, the MTW Agreement was </w:t>
      </w:r>
      <w:r w:rsidR="004878D2" w:rsidRPr="003E6EFD">
        <w:rPr>
          <w:rFonts w:ascii="Century Gothic" w:eastAsia="Times New Roman" w:hAnsi="Century Gothic"/>
        </w:rPr>
        <w:t>extended</w:t>
      </w:r>
      <w:r w:rsidRPr="003E6EFD">
        <w:rPr>
          <w:rFonts w:ascii="Century Gothic" w:eastAsia="Times New Roman" w:hAnsi="Century Gothic"/>
        </w:rPr>
        <w:t xml:space="preserve"> for an additional 10 years to 2038.</w:t>
      </w:r>
    </w:p>
    <w:p w14:paraId="71C3728F" w14:textId="77777777" w:rsidR="00F477C2" w:rsidRPr="003E6EFD" w:rsidRDefault="00F477C2" w:rsidP="6E9E055C">
      <w:pPr>
        <w:contextualSpacing/>
        <w:rPr>
          <w:rFonts w:ascii="Century Gothic" w:eastAsia="Times New Roman" w:hAnsi="Century Gothic"/>
        </w:rPr>
      </w:pPr>
    </w:p>
    <w:p w14:paraId="720ED24E" w14:textId="3D4B9E3D" w:rsidR="00C77483" w:rsidRPr="003E6EFD" w:rsidRDefault="4E2095DC" w:rsidP="6E9E055C">
      <w:pPr>
        <w:spacing w:before="120" w:after="120"/>
        <w:rPr>
          <w:rStyle w:val="n2letterChar"/>
          <w:rFonts w:ascii="Century Gothic" w:eastAsiaTheme="minorEastAsia" w:hAnsi="Century Gothic"/>
          <w:b w:val="0"/>
          <w:bCs w:val="0"/>
          <w:sz w:val="22"/>
          <w:szCs w:val="22"/>
        </w:rPr>
      </w:pPr>
      <w:bookmarkStart w:id="23" w:name="_Toc199427399"/>
      <w:bookmarkStart w:id="24" w:name="_Toc199484749"/>
      <w:bookmarkStart w:id="25" w:name="_Toc199500639"/>
      <w:bookmarkStart w:id="26" w:name="_Toc199505962"/>
      <w:r w:rsidRPr="003E6EFD">
        <w:rPr>
          <w:rStyle w:val="n2letterChar"/>
          <w:rFonts w:ascii="Century Gothic" w:eastAsiaTheme="minorEastAsia" w:hAnsi="Century Gothic"/>
          <w:b w:val="0"/>
          <w:bCs w:val="0"/>
          <w:sz w:val="22"/>
          <w:szCs w:val="22"/>
        </w:rPr>
        <w:t>ECC/HANH’s MTW program is the product of an extensive planning process, conducted initially from 1998-2000, to establish long-term plans for improving our agency’s operations and for transforming our public housing stock</w:t>
      </w:r>
      <w:r w:rsidR="0586B6CE" w:rsidRPr="003E6EFD">
        <w:rPr>
          <w:rStyle w:val="n2letterChar"/>
          <w:rFonts w:ascii="Century Gothic" w:eastAsiaTheme="minorEastAsia" w:hAnsi="Century Gothic"/>
          <w:b w:val="0"/>
          <w:bCs w:val="0"/>
          <w:sz w:val="22"/>
          <w:szCs w:val="22"/>
        </w:rPr>
        <w:t xml:space="preserve">. </w:t>
      </w:r>
      <w:r w:rsidR="0069193F">
        <w:rPr>
          <w:rStyle w:val="n2letterChar"/>
          <w:rFonts w:ascii="Century Gothic" w:eastAsiaTheme="minorEastAsia" w:hAnsi="Century Gothic"/>
          <w:b w:val="0"/>
          <w:bCs w:val="0"/>
          <w:sz w:val="22"/>
          <w:szCs w:val="22"/>
        </w:rPr>
        <w:t xml:space="preserve"> </w:t>
      </w:r>
      <w:r w:rsidRPr="003E6EFD">
        <w:rPr>
          <w:rStyle w:val="n2letterChar"/>
          <w:rFonts w:ascii="Century Gothic" w:eastAsiaTheme="minorEastAsia" w:hAnsi="Century Gothic"/>
          <w:b w:val="0"/>
          <w:bCs w:val="0"/>
          <w:sz w:val="22"/>
          <w:szCs w:val="22"/>
        </w:rPr>
        <w:t xml:space="preserve">During 2006-2007, ECC/HANH engaged in a planning process to update and reinvigorate our agency’s </w:t>
      </w:r>
      <w:r w:rsidR="07439AAF" w:rsidRPr="003E6EFD">
        <w:rPr>
          <w:rStyle w:val="n2letterChar"/>
          <w:rFonts w:ascii="Century Gothic" w:eastAsiaTheme="minorEastAsia" w:hAnsi="Century Gothic"/>
          <w:b w:val="0"/>
          <w:bCs w:val="0"/>
          <w:sz w:val="22"/>
          <w:szCs w:val="22"/>
        </w:rPr>
        <w:t>plans.</w:t>
      </w:r>
      <w:r w:rsidRPr="003E6EFD">
        <w:rPr>
          <w:rStyle w:val="n2letterChar"/>
          <w:rFonts w:ascii="Century Gothic" w:eastAsiaTheme="minorEastAsia" w:hAnsi="Century Gothic"/>
          <w:b w:val="0"/>
          <w:bCs w:val="0"/>
          <w:sz w:val="22"/>
          <w:szCs w:val="22"/>
        </w:rPr>
        <w:t xml:space="preserve"> ECC/HANH developed a Three-Year Strategic Plan </w:t>
      </w:r>
      <w:r w:rsidR="5944D952" w:rsidRPr="003E6EFD">
        <w:rPr>
          <w:rStyle w:val="n2letterChar"/>
          <w:rFonts w:ascii="Century Gothic" w:eastAsiaTheme="minorEastAsia" w:hAnsi="Century Gothic"/>
          <w:b w:val="0"/>
          <w:bCs w:val="0"/>
          <w:sz w:val="22"/>
          <w:szCs w:val="22"/>
        </w:rPr>
        <w:t xml:space="preserve">from </w:t>
      </w:r>
      <w:r w:rsidR="3CCD0C47" w:rsidRPr="003E6EFD">
        <w:rPr>
          <w:rStyle w:val="n2letterChar"/>
          <w:rFonts w:ascii="Century Gothic" w:eastAsiaTheme="minorEastAsia" w:hAnsi="Century Gothic"/>
          <w:b w:val="0"/>
          <w:bCs w:val="0"/>
          <w:sz w:val="22"/>
          <w:szCs w:val="22"/>
        </w:rPr>
        <w:t>FY07 to FY09</w:t>
      </w:r>
      <w:r w:rsidRPr="003E6EFD">
        <w:rPr>
          <w:rStyle w:val="n2letterChar"/>
          <w:rFonts w:ascii="Century Gothic" w:eastAsiaTheme="minorEastAsia" w:hAnsi="Century Gothic"/>
          <w:b w:val="0"/>
          <w:bCs w:val="0"/>
          <w:sz w:val="22"/>
          <w:szCs w:val="22"/>
        </w:rPr>
        <w:t>. During 2009-2010, ECC/HANH again engaged in a planning process to re-evaluate and provide continuity to the original Three-Year Strategic plan</w:t>
      </w:r>
      <w:r w:rsidR="0586B6CE" w:rsidRPr="003E6EFD">
        <w:rPr>
          <w:rStyle w:val="n2letterChar"/>
          <w:rFonts w:ascii="Century Gothic" w:eastAsiaTheme="minorEastAsia" w:hAnsi="Century Gothic"/>
          <w:b w:val="0"/>
          <w:bCs w:val="0"/>
          <w:sz w:val="22"/>
          <w:szCs w:val="22"/>
        </w:rPr>
        <w:t xml:space="preserve">. </w:t>
      </w:r>
      <w:r w:rsidRPr="003E6EFD">
        <w:rPr>
          <w:rStyle w:val="n2letterChar"/>
          <w:rFonts w:ascii="Century Gothic" w:eastAsiaTheme="minorEastAsia" w:hAnsi="Century Gothic"/>
          <w:b w:val="0"/>
          <w:bCs w:val="0"/>
          <w:sz w:val="22"/>
          <w:szCs w:val="22"/>
        </w:rPr>
        <w:t>In 2015 ECC/HANH updated its strategic plan and issued the Strategic Plan for 2015-</w:t>
      </w:r>
      <w:r w:rsidRPr="003E6EFD">
        <w:rPr>
          <w:rStyle w:val="n2letterChar"/>
          <w:rFonts w:ascii="Century Gothic" w:eastAsiaTheme="minorEastAsia" w:hAnsi="Century Gothic"/>
          <w:b w:val="0"/>
          <w:bCs w:val="0"/>
          <w:sz w:val="22"/>
          <w:szCs w:val="22"/>
        </w:rPr>
        <w:lastRenderedPageBreak/>
        <w:t>2018</w:t>
      </w:r>
      <w:bookmarkStart w:id="27" w:name="_Toc465193877"/>
      <w:bookmarkStart w:id="28" w:name="_Toc465517112"/>
      <w:bookmarkStart w:id="29" w:name="_Toc470178814"/>
      <w:bookmarkStart w:id="30" w:name="_Toc470179718"/>
      <w:bookmarkStart w:id="31" w:name="_Toc502307769"/>
      <w:bookmarkEnd w:id="23"/>
      <w:bookmarkEnd w:id="24"/>
      <w:bookmarkEnd w:id="25"/>
      <w:bookmarkEnd w:id="26"/>
      <w:r w:rsidR="0586B6CE" w:rsidRPr="003E6EFD">
        <w:rPr>
          <w:rStyle w:val="n2letterChar"/>
          <w:rFonts w:ascii="Century Gothic" w:eastAsiaTheme="minorEastAsia" w:hAnsi="Century Gothic"/>
          <w:b w:val="0"/>
          <w:bCs w:val="0"/>
          <w:sz w:val="22"/>
          <w:szCs w:val="22"/>
        </w:rPr>
        <w:t>.</w:t>
      </w:r>
      <w:r w:rsidR="2EFCF3EC" w:rsidRPr="003E6EFD">
        <w:rPr>
          <w:rStyle w:val="n2letterChar"/>
          <w:rFonts w:ascii="Century Gothic" w:eastAsiaTheme="minorEastAsia" w:hAnsi="Century Gothic"/>
          <w:b w:val="0"/>
          <w:bCs w:val="0"/>
          <w:sz w:val="22"/>
          <w:szCs w:val="22"/>
        </w:rPr>
        <w:t xml:space="preserve"> </w:t>
      </w:r>
      <w:r w:rsidR="14D57AC5" w:rsidRPr="003E6EFD">
        <w:rPr>
          <w:rStyle w:val="n2letterChar"/>
          <w:rFonts w:ascii="Century Gothic" w:eastAsiaTheme="minorEastAsia" w:hAnsi="Century Gothic"/>
          <w:b w:val="0"/>
          <w:bCs w:val="0"/>
          <w:sz w:val="22"/>
          <w:szCs w:val="22"/>
        </w:rPr>
        <w:t xml:space="preserve">Since </w:t>
      </w:r>
      <w:r w:rsidR="2EFCF3EC" w:rsidRPr="003E6EFD">
        <w:rPr>
          <w:rStyle w:val="n2letterChar"/>
          <w:rFonts w:ascii="Century Gothic" w:eastAsiaTheme="minorEastAsia" w:hAnsi="Century Gothic"/>
          <w:b w:val="0"/>
          <w:bCs w:val="0"/>
          <w:sz w:val="22"/>
          <w:szCs w:val="22"/>
        </w:rPr>
        <w:t>FY2018, ECC/HANH has introduced the strategic planning process of developing agency playbooks and has continued to update its playbook regularly.</w:t>
      </w:r>
    </w:p>
    <w:p w14:paraId="0D93B651" w14:textId="5C10C5BD" w:rsidR="10D6A837" w:rsidRDefault="12CF8F77" w:rsidP="6E9E055C">
      <w:pPr>
        <w:rPr>
          <w:rFonts w:ascii="Century Gothic" w:eastAsia="Times New Roman" w:hAnsi="Century Gothic"/>
        </w:rPr>
      </w:pPr>
      <w:r w:rsidRPr="003E6EFD">
        <w:rPr>
          <w:rFonts w:ascii="Century Gothic" w:eastAsia="Times New Roman" w:hAnsi="Century Gothic"/>
        </w:rPr>
        <w:t xml:space="preserve">The ECC/HANH Moving to Work Annual Report follows, emphasizing our focus on the following short- and long-term goals.  The Agency, in all its </w:t>
      </w:r>
      <w:r w:rsidR="005B5F75" w:rsidRPr="003E6EFD">
        <w:rPr>
          <w:rFonts w:ascii="Century Gothic" w:eastAsia="Times New Roman" w:hAnsi="Century Gothic"/>
        </w:rPr>
        <w:t>departments,</w:t>
      </w:r>
      <w:r w:rsidRPr="003E6EFD">
        <w:rPr>
          <w:rFonts w:ascii="Century Gothic" w:eastAsia="Times New Roman" w:hAnsi="Century Gothic"/>
        </w:rPr>
        <w:t xml:space="preserve"> functions as One Team Meeting Expectations.</w:t>
      </w:r>
    </w:p>
    <w:p w14:paraId="1469FD1A" w14:textId="77777777" w:rsidR="00DE679F" w:rsidRDefault="00DE679F" w:rsidP="6E9E055C">
      <w:pPr>
        <w:rPr>
          <w:rFonts w:ascii="Century Gothic" w:eastAsia="Times New Roman" w:hAnsi="Century Gothic"/>
        </w:rPr>
      </w:pPr>
    </w:p>
    <w:p w14:paraId="09DAF536" w14:textId="77777777" w:rsidR="00DE679F" w:rsidRPr="008026E9" w:rsidRDefault="00DE679F" w:rsidP="00DE679F">
      <w:pPr>
        <w:spacing w:after="160" w:line="276" w:lineRule="auto"/>
        <w:rPr>
          <w:rFonts w:ascii="Century Gothic" w:hAnsi="Century Gothic"/>
          <w:b/>
          <w:bCs/>
          <w:sz w:val="28"/>
          <w:szCs w:val="28"/>
        </w:rPr>
      </w:pPr>
      <w:r w:rsidRPr="008026E9">
        <w:rPr>
          <w:rFonts w:ascii="Century Gothic" w:hAnsi="Century Gothic"/>
          <w:b/>
          <w:bCs/>
          <w:sz w:val="28"/>
          <w:szCs w:val="28"/>
        </w:rPr>
        <w:t>Who We Serve</w:t>
      </w:r>
    </w:p>
    <w:p w14:paraId="2FFDC859" w14:textId="77777777" w:rsidR="00DE679F" w:rsidRPr="008026E9" w:rsidRDefault="00DE679F" w:rsidP="00DE679F">
      <w:pPr>
        <w:rPr>
          <w:rFonts w:ascii="Century Gothic" w:eastAsia="Times New Roman" w:hAnsi="Century Gothic"/>
        </w:rPr>
      </w:pPr>
      <w:r w:rsidRPr="008026E9">
        <w:rPr>
          <w:rFonts w:ascii="Century Gothic" w:eastAsia="Times New Roman" w:hAnsi="Century Gothic"/>
        </w:rPr>
        <w:t>ECC/HANH served 6,215 families through its Low-Income Public Housing (LIPH) and Housing Choice Voucher (HCV) programs during FY2024.  787 families were served through LIPH and 5,428 families through HCV program, of which 15 were families in local non-traditional units.</w:t>
      </w:r>
    </w:p>
    <w:p w14:paraId="35FBCCDC" w14:textId="77777777" w:rsidR="00DE679F" w:rsidRPr="008026E9" w:rsidRDefault="00DE679F" w:rsidP="00DE679F">
      <w:pPr>
        <w:rPr>
          <w:rFonts w:ascii="Century Gothic" w:hAnsi="Century Gothic"/>
        </w:rPr>
      </w:pPr>
    </w:p>
    <w:p w14:paraId="17EED530" w14:textId="77777777" w:rsidR="00DE679F" w:rsidRPr="008026E9" w:rsidRDefault="00DE679F" w:rsidP="00DE679F">
      <w:pPr>
        <w:rPr>
          <w:rFonts w:ascii="Century Gothic" w:hAnsi="Century Gothic"/>
        </w:rPr>
      </w:pPr>
      <w:r w:rsidRPr="008026E9">
        <w:rPr>
          <w:rFonts w:ascii="Century Gothic" w:hAnsi="Century Gothic"/>
        </w:rPr>
        <w:t xml:space="preserve">ECC/HANH anticipated serving 6,668 families in FY2024 and served </w:t>
      </w:r>
      <w:r>
        <w:rPr>
          <w:rFonts w:ascii="Century Gothic" w:hAnsi="Century Gothic"/>
        </w:rPr>
        <w:t>7</w:t>
      </w:r>
      <w:r w:rsidRPr="008026E9">
        <w:rPr>
          <w:rFonts w:ascii="Century Gothic" w:hAnsi="Century Gothic"/>
        </w:rPr>
        <w:t xml:space="preserve">% less families than anticipated. </w:t>
      </w:r>
    </w:p>
    <w:p w14:paraId="40754DEE" w14:textId="77777777" w:rsidR="00DE679F" w:rsidRPr="008026E9" w:rsidRDefault="00DE679F" w:rsidP="00DE679F">
      <w:pPr>
        <w:rPr>
          <w:rFonts w:ascii="Century Gothic" w:hAnsi="Century Gothic"/>
          <w:highlight w:val="green"/>
        </w:rPr>
      </w:pPr>
    </w:p>
    <w:p w14:paraId="6F3B85D7" w14:textId="77777777" w:rsidR="00DE679F" w:rsidRPr="008026E9" w:rsidRDefault="00DE679F" w:rsidP="00DE679F">
      <w:pPr>
        <w:rPr>
          <w:rFonts w:ascii="Century Gothic" w:hAnsi="Century Gothic"/>
        </w:rPr>
      </w:pPr>
      <w:r w:rsidRPr="008026E9">
        <w:rPr>
          <w:rFonts w:ascii="Century Gothic" w:hAnsi="Century Gothic"/>
        </w:rPr>
        <w:t xml:space="preserve">During the 2001 baseline year, ECC/HANH served a total of 4,827 families. Current numbers reflect an increase of approximately </w:t>
      </w:r>
      <w:r>
        <w:rPr>
          <w:rFonts w:ascii="Century Gothic" w:hAnsi="Century Gothic"/>
        </w:rPr>
        <w:t>29</w:t>
      </w:r>
      <w:r w:rsidRPr="008026E9">
        <w:rPr>
          <w:rFonts w:ascii="Century Gothic" w:hAnsi="Century Gothic"/>
        </w:rPr>
        <w:t>% (</w:t>
      </w:r>
      <w:r>
        <w:rPr>
          <w:rFonts w:ascii="Century Gothic" w:hAnsi="Century Gothic"/>
        </w:rPr>
        <w:t>1,388</w:t>
      </w:r>
      <w:r w:rsidRPr="008026E9">
        <w:rPr>
          <w:rFonts w:ascii="Century Gothic" w:hAnsi="Century Gothic"/>
        </w:rPr>
        <w:t xml:space="preserve"> families), indicating that MTW status has allowed ECC/HANH to increase the number of families served.  </w:t>
      </w:r>
    </w:p>
    <w:p w14:paraId="598A75E6" w14:textId="77777777" w:rsidR="00DE679F" w:rsidRPr="008026E9" w:rsidRDefault="00DE679F" w:rsidP="00DE679F">
      <w:pPr>
        <w:rPr>
          <w:rFonts w:ascii="Century Gothic" w:hAnsi="Century Gothic"/>
          <w:szCs w:val="22"/>
        </w:rPr>
      </w:pPr>
    </w:p>
    <w:p w14:paraId="2FD9EEDE" w14:textId="77777777" w:rsidR="00DE679F" w:rsidRPr="008026E9" w:rsidRDefault="00DE679F" w:rsidP="00DE679F">
      <w:pPr>
        <w:rPr>
          <w:rFonts w:ascii="Century Gothic" w:hAnsi="Century Gothic"/>
        </w:rPr>
      </w:pPr>
      <w:proofErr w:type="gramStart"/>
      <w:r w:rsidRPr="008026E9">
        <w:rPr>
          <w:rFonts w:ascii="Century Gothic" w:hAnsi="Century Gothic"/>
        </w:rPr>
        <w:t>The vast majority of</w:t>
      </w:r>
      <w:proofErr w:type="gramEnd"/>
      <w:r w:rsidRPr="008026E9">
        <w:rPr>
          <w:rFonts w:ascii="Century Gothic" w:hAnsi="Century Gothic"/>
        </w:rPr>
        <w:t xml:space="preserve"> the families served by ECC/HANH can be categorized as Extremely Low Income (ELI). </w:t>
      </w:r>
      <w:r>
        <w:rPr>
          <w:rFonts w:ascii="Century Gothic" w:hAnsi="Century Gothic"/>
        </w:rPr>
        <w:t xml:space="preserve"> </w:t>
      </w:r>
      <w:r w:rsidRPr="008026E9">
        <w:rPr>
          <w:rFonts w:ascii="Century Gothic" w:hAnsi="Century Gothic"/>
        </w:rPr>
        <w:t>In LIPH, 1</w:t>
      </w:r>
      <w:r>
        <w:rPr>
          <w:rFonts w:ascii="Century Gothic" w:hAnsi="Century Gothic"/>
        </w:rPr>
        <w:t>2</w:t>
      </w:r>
      <w:r w:rsidRPr="008026E9">
        <w:rPr>
          <w:rFonts w:ascii="Century Gothic" w:hAnsi="Century Gothic"/>
        </w:rPr>
        <w:t>% of the households are ELI and 8</w:t>
      </w:r>
      <w:r>
        <w:rPr>
          <w:rFonts w:ascii="Century Gothic" w:hAnsi="Century Gothic"/>
        </w:rPr>
        <w:t>8</w:t>
      </w:r>
      <w:r w:rsidRPr="008026E9">
        <w:rPr>
          <w:rFonts w:ascii="Century Gothic" w:hAnsi="Century Gothic"/>
        </w:rPr>
        <w:t xml:space="preserve">% of HCV families are categorized as ELI.  </w:t>
      </w:r>
    </w:p>
    <w:p w14:paraId="56AD8D38" w14:textId="77777777" w:rsidR="00DE679F" w:rsidRPr="008026E9" w:rsidRDefault="00DE679F" w:rsidP="00DE679F">
      <w:pPr>
        <w:rPr>
          <w:rFonts w:ascii="Century Gothic" w:hAnsi="Century Gothic"/>
        </w:rPr>
      </w:pPr>
    </w:p>
    <w:p w14:paraId="5B0F7DA0" w14:textId="77777777" w:rsidR="00DE679F" w:rsidRPr="008026E9" w:rsidRDefault="00DE679F" w:rsidP="00DE679F">
      <w:pPr>
        <w:rPr>
          <w:rFonts w:ascii="Century Gothic" w:hAnsi="Century Gothic"/>
        </w:rPr>
      </w:pPr>
      <w:r w:rsidRPr="008026E9">
        <w:rPr>
          <w:rFonts w:ascii="Century Gothic" w:hAnsi="Century Gothic"/>
        </w:rPr>
        <w:t>Households are predominantly composed of 1 to 3 persons, with 1</w:t>
      </w:r>
      <w:r>
        <w:rPr>
          <w:rFonts w:ascii="Century Gothic" w:hAnsi="Century Gothic"/>
        </w:rPr>
        <w:t>0</w:t>
      </w:r>
      <w:r w:rsidRPr="008026E9">
        <w:rPr>
          <w:rFonts w:ascii="Century Gothic" w:hAnsi="Century Gothic"/>
        </w:rPr>
        <w:t xml:space="preserve">% of LIPH and </w:t>
      </w:r>
      <w:r>
        <w:rPr>
          <w:rFonts w:ascii="Century Gothic" w:hAnsi="Century Gothic"/>
        </w:rPr>
        <w:t>90</w:t>
      </w:r>
      <w:r w:rsidRPr="008026E9">
        <w:rPr>
          <w:rFonts w:ascii="Century Gothic" w:hAnsi="Century Gothic"/>
        </w:rPr>
        <w:t xml:space="preserve">% of HCV households ranging from 1-person to 3-person families.   </w:t>
      </w:r>
    </w:p>
    <w:p w14:paraId="7C534C9F" w14:textId="77777777" w:rsidR="00DE679F" w:rsidRPr="008026E9" w:rsidRDefault="00DE679F" w:rsidP="00DE679F">
      <w:pPr>
        <w:rPr>
          <w:rFonts w:ascii="Century Gothic" w:hAnsi="Century Gothic"/>
        </w:rPr>
      </w:pPr>
    </w:p>
    <w:p w14:paraId="22AF6660" w14:textId="77777777" w:rsidR="00DE679F" w:rsidRDefault="00DE679F" w:rsidP="00DE679F">
      <w:pPr>
        <w:rPr>
          <w:rFonts w:ascii="Century Gothic" w:hAnsi="Century Gothic"/>
        </w:rPr>
      </w:pPr>
      <w:r w:rsidRPr="008026E9">
        <w:rPr>
          <w:rFonts w:ascii="Century Gothic" w:hAnsi="Century Gothic"/>
        </w:rPr>
        <w:t>The average total household income for HCV participants is $19,57</w:t>
      </w:r>
      <w:r>
        <w:rPr>
          <w:rFonts w:ascii="Century Gothic" w:hAnsi="Century Gothic"/>
        </w:rPr>
        <w:t>7</w:t>
      </w:r>
      <w:r w:rsidRPr="008026E9">
        <w:rPr>
          <w:rFonts w:ascii="Century Gothic" w:hAnsi="Century Gothic"/>
        </w:rPr>
        <w:t xml:space="preserve"> and $21,706 for LIPH residents. </w:t>
      </w:r>
    </w:p>
    <w:p w14:paraId="3DF73908" w14:textId="77777777" w:rsidR="00DE679F" w:rsidRPr="008026E9" w:rsidRDefault="00DE679F" w:rsidP="00DE679F">
      <w:pPr>
        <w:rPr>
          <w:rFonts w:ascii="Century Gothic" w:hAnsi="Century Gothic"/>
        </w:rPr>
      </w:pPr>
    </w:p>
    <w:p w14:paraId="5053BEAC" w14:textId="7BAB8CE2" w:rsidR="00DE679F" w:rsidRPr="008026E9" w:rsidRDefault="00DE679F" w:rsidP="00DE679F">
      <w:pPr>
        <w:rPr>
          <w:rFonts w:ascii="Century Gothic" w:hAnsi="Century Gothic"/>
        </w:rPr>
      </w:pPr>
      <w:r>
        <w:rPr>
          <w:rFonts w:ascii="Century Gothic" w:hAnsi="Century Gothic"/>
        </w:rPr>
        <w:t>Within the respective programs, 39</w:t>
      </w:r>
      <w:r w:rsidRPr="008026E9">
        <w:rPr>
          <w:rFonts w:ascii="Century Gothic" w:hAnsi="Century Gothic"/>
        </w:rPr>
        <w:t xml:space="preserve">% percent of LIPH families and </w:t>
      </w:r>
      <w:r w:rsidR="00E05E21">
        <w:rPr>
          <w:rFonts w:ascii="Century Gothic" w:hAnsi="Century Gothic"/>
        </w:rPr>
        <w:t>34</w:t>
      </w:r>
      <w:r w:rsidR="00E05E21" w:rsidRPr="008026E9">
        <w:rPr>
          <w:rFonts w:ascii="Century Gothic" w:hAnsi="Century Gothic"/>
        </w:rPr>
        <w:t>%</w:t>
      </w:r>
      <w:r w:rsidRPr="008026E9">
        <w:rPr>
          <w:rFonts w:ascii="Century Gothic" w:hAnsi="Century Gothic"/>
        </w:rPr>
        <w:t xml:space="preserve"> of HCV families earn wages.  Only a small percentage of families report no income, accounting for </w:t>
      </w:r>
      <w:r>
        <w:rPr>
          <w:rFonts w:ascii="Century Gothic" w:hAnsi="Century Gothic"/>
        </w:rPr>
        <w:t>8</w:t>
      </w:r>
      <w:r w:rsidRPr="008026E9">
        <w:rPr>
          <w:rFonts w:ascii="Century Gothic" w:hAnsi="Century Gothic"/>
        </w:rPr>
        <w:t xml:space="preserve">% of LIPH and </w:t>
      </w:r>
      <w:r>
        <w:rPr>
          <w:rFonts w:ascii="Century Gothic" w:hAnsi="Century Gothic"/>
        </w:rPr>
        <w:t>6</w:t>
      </w:r>
      <w:r w:rsidRPr="008026E9">
        <w:rPr>
          <w:rFonts w:ascii="Century Gothic" w:hAnsi="Century Gothic"/>
        </w:rPr>
        <w:t xml:space="preserve">% of HCV households.  </w:t>
      </w:r>
    </w:p>
    <w:p w14:paraId="37C6B35D" w14:textId="77777777" w:rsidR="00DE679F" w:rsidRPr="008026E9" w:rsidRDefault="00DE679F" w:rsidP="00DE679F">
      <w:pPr>
        <w:rPr>
          <w:rFonts w:ascii="Century Gothic" w:hAnsi="Century Gothic"/>
        </w:rPr>
      </w:pPr>
    </w:p>
    <w:p w14:paraId="5CDBB952" w14:textId="7F48B20F" w:rsidR="00DE679F" w:rsidRPr="008026E9" w:rsidRDefault="00DE679F" w:rsidP="00DE679F">
      <w:pPr>
        <w:rPr>
          <w:rFonts w:ascii="Century Gothic" w:hAnsi="Century Gothic"/>
        </w:rPr>
      </w:pPr>
      <w:r w:rsidRPr="008026E9">
        <w:rPr>
          <w:rFonts w:ascii="Century Gothic" w:hAnsi="Century Gothic"/>
        </w:rPr>
        <w:t xml:space="preserve"> The tables below summarize the population demographics for </w:t>
      </w:r>
      <w:proofErr w:type="gramStart"/>
      <w:r w:rsidRPr="008026E9">
        <w:rPr>
          <w:rFonts w:ascii="Century Gothic" w:hAnsi="Century Gothic"/>
        </w:rPr>
        <w:t>source</w:t>
      </w:r>
      <w:proofErr w:type="gramEnd"/>
      <w:r w:rsidRPr="008026E9">
        <w:rPr>
          <w:rFonts w:ascii="Century Gothic" w:hAnsi="Century Gothic"/>
        </w:rPr>
        <w:t xml:space="preserve"> of income, household income and minority household</w:t>
      </w:r>
      <w:r w:rsidR="00E05E21">
        <w:rPr>
          <w:rFonts w:ascii="Century Gothic" w:hAnsi="Century Gothic"/>
        </w:rPr>
        <w:t>s</w:t>
      </w:r>
      <w:r w:rsidRPr="008026E9">
        <w:rPr>
          <w:rFonts w:ascii="Century Gothic" w:hAnsi="Century Gothic"/>
        </w:rPr>
        <w:t xml:space="preserve"> served. </w:t>
      </w:r>
    </w:p>
    <w:p w14:paraId="5746D680" w14:textId="77777777" w:rsidR="00DE679F" w:rsidRDefault="00DE679F" w:rsidP="00DE679F">
      <w:pPr>
        <w:jc w:val="center"/>
        <w:rPr>
          <w:rFonts w:ascii="Century Gothic" w:hAnsi="Century Gothic"/>
        </w:rPr>
      </w:pPr>
      <w:r>
        <w:rPr>
          <w:noProof/>
        </w:rPr>
        <w:lastRenderedPageBreak/>
        <w:drawing>
          <wp:inline distT="0" distB="0" distL="0" distR="0" wp14:anchorId="1EF2CE30" wp14:editId="63DCD416">
            <wp:extent cx="4572000" cy="3371850"/>
            <wp:effectExtent l="0" t="0" r="0" b="0"/>
            <wp:docPr id="645069615" name="Chart 66">
              <a:extLst xmlns:a="http://schemas.openxmlformats.org/drawingml/2006/main">
                <a:ext uri="{FF2B5EF4-FFF2-40B4-BE49-F238E27FC236}">
                  <a16:creationId xmlns:a16="http://schemas.microsoft.com/office/drawing/2014/main" id="{441A2D97-0CBE-4AFC-BC1C-AD2219F43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9FDFD0" w14:textId="77777777" w:rsidR="00DE679F" w:rsidRDefault="00DE679F" w:rsidP="00DE679F">
      <w:pPr>
        <w:jc w:val="center"/>
        <w:rPr>
          <w:rFonts w:ascii="Century Gothic" w:hAnsi="Century Gothic"/>
        </w:rPr>
      </w:pPr>
      <w:r>
        <w:rPr>
          <w:noProof/>
        </w:rPr>
        <w:drawing>
          <wp:inline distT="0" distB="0" distL="0" distR="0" wp14:anchorId="29C1493A" wp14:editId="77230BDC">
            <wp:extent cx="4572000" cy="3638550"/>
            <wp:effectExtent l="0" t="0" r="0" b="0"/>
            <wp:docPr id="903392634" name="Chart 67">
              <a:extLst xmlns:a="http://schemas.openxmlformats.org/drawingml/2006/main">
                <a:ext uri="{FF2B5EF4-FFF2-40B4-BE49-F238E27FC236}">
                  <a16:creationId xmlns:a16="http://schemas.microsoft.com/office/drawing/2014/main" id="{884B1190-713C-474B-9D65-3A35E6A34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5A1D4F" w14:textId="77777777" w:rsidR="00DE679F" w:rsidRDefault="00DE679F" w:rsidP="00DE679F">
      <w:pPr>
        <w:jc w:val="center"/>
        <w:rPr>
          <w:rFonts w:ascii="Century Gothic" w:hAnsi="Century Gothic"/>
        </w:rPr>
      </w:pPr>
    </w:p>
    <w:p w14:paraId="17232503" w14:textId="77777777" w:rsidR="00DE679F" w:rsidRDefault="00DE679F" w:rsidP="00DE679F">
      <w:pPr>
        <w:jc w:val="center"/>
        <w:rPr>
          <w:rFonts w:ascii="Century Gothic" w:hAnsi="Century Gothic"/>
        </w:rPr>
      </w:pPr>
    </w:p>
    <w:p w14:paraId="3A4F983E" w14:textId="77777777" w:rsidR="00DE679F" w:rsidRPr="008026E9" w:rsidRDefault="00DE679F" w:rsidP="00DE679F">
      <w:pPr>
        <w:jc w:val="center"/>
        <w:rPr>
          <w:rFonts w:ascii="Century Gothic" w:hAnsi="Century Gothic"/>
        </w:rPr>
      </w:pPr>
      <w:r>
        <w:rPr>
          <w:noProof/>
        </w:rPr>
        <w:lastRenderedPageBreak/>
        <w:drawing>
          <wp:inline distT="0" distB="0" distL="0" distR="0" wp14:anchorId="168AF64E" wp14:editId="6C17B9B8">
            <wp:extent cx="4572000" cy="3409950"/>
            <wp:effectExtent l="0" t="0" r="0" b="0"/>
            <wp:docPr id="1884397519" name="Chart 68">
              <a:extLst xmlns:a="http://schemas.openxmlformats.org/drawingml/2006/main">
                <a:ext uri="{FF2B5EF4-FFF2-40B4-BE49-F238E27FC236}">
                  <a16:creationId xmlns:a16="http://schemas.microsoft.com/office/drawing/2014/main" id="{3B04D19A-875F-42E1-A9AA-A8F011DE4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904630" w14:textId="77777777" w:rsidR="00DE679F" w:rsidRPr="008026E9" w:rsidRDefault="00DE679F" w:rsidP="00DE679F">
      <w:pPr>
        <w:rPr>
          <w:rFonts w:ascii="Century Gothic" w:hAnsi="Century Gothic"/>
        </w:rPr>
      </w:pPr>
    </w:p>
    <w:p w14:paraId="2BE153BD" w14:textId="77777777" w:rsidR="00DE679F" w:rsidRPr="00914A81" w:rsidRDefault="00DE679F" w:rsidP="00DE679F">
      <w:pPr>
        <w:ind w:left="1440" w:firstLine="720"/>
        <w:jc w:val="both"/>
        <w:rPr>
          <w:rFonts w:ascii="Century Gothic" w:hAnsi="Century Gothic"/>
        </w:rPr>
      </w:pPr>
    </w:p>
    <w:p w14:paraId="7E564B41" w14:textId="0C6CF3D6" w:rsidR="00DE679F" w:rsidRPr="00914A81" w:rsidRDefault="00497E3E" w:rsidP="00DE679F">
      <w:pPr>
        <w:ind w:left="1440" w:firstLine="720"/>
        <w:jc w:val="both"/>
        <w:rPr>
          <w:rFonts w:ascii="Century Gothic" w:hAnsi="Century Gothic"/>
        </w:rPr>
      </w:pPr>
      <w:r w:rsidRPr="00476055">
        <w:rPr>
          <w:rFonts w:ascii="Century Gothic" w:hAnsi="Century Gothic"/>
          <w:noProof/>
        </w:rPr>
        <mc:AlternateContent>
          <mc:Choice Requires="wpg">
            <w:drawing>
              <wp:anchor distT="0" distB="0" distL="114300" distR="114300" simplePos="0" relativeHeight="251658277" behindDoc="0" locked="0" layoutInCell="1" allowOverlap="1" wp14:anchorId="653CA833" wp14:editId="176884C8">
                <wp:simplePos x="0" y="0"/>
                <wp:positionH relativeFrom="column">
                  <wp:posOffset>1706880</wp:posOffset>
                </wp:positionH>
                <wp:positionV relativeFrom="paragraph">
                  <wp:posOffset>11990</wp:posOffset>
                </wp:positionV>
                <wp:extent cx="2860675" cy="3540125"/>
                <wp:effectExtent l="0" t="0" r="0" b="3175"/>
                <wp:wrapNone/>
                <wp:docPr id="80968728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0675" cy="3540125"/>
                          <a:chOff x="-2568272" y="4195094"/>
                          <a:chExt cx="2861060" cy="2769201"/>
                        </a:xfrm>
                      </wpg:grpSpPr>
                      <pic:pic xmlns:pic="http://schemas.openxmlformats.org/drawingml/2006/picture">
                        <pic:nvPicPr>
                          <pic:cNvPr id="1210858716" name="Graphic 26" descr="House"/>
                          <pic:cNvPicPr>
                            <a:picLocks noChangeAspect="1"/>
                          </pic:cNvPicPr>
                        </pic:nvPicPr>
                        <pic:blipFill>
                          <a:blip r:embed="rId20" cstate="print"/>
                          <a:stretch>
                            <a:fillRect/>
                          </a:stretch>
                        </pic:blipFill>
                        <pic:spPr>
                          <a:xfrm>
                            <a:off x="-2568272" y="4195094"/>
                            <a:ext cx="2827020" cy="2474310"/>
                          </a:xfrm>
                          <a:prstGeom prst="rect">
                            <a:avLst/>
                          </a:prstGeom>
                        </pic:spPr>
                      </pic:pic>
                      <wps:wsp>
                        <wps:cNvPr id="150713646" name="Text Box 27"/>
                        <wps:cNvSpPr txBox="1">
                          <a:spLocks noChangeArrowheads="1"/>
                        </wps:cNvSpPr>
                        <wps:spPr bwMode="auto">
                          <a:xfrm>
                            <a:off x="-2226667" y="4594806"/>
                            <a:ext cx="2519455" cy="2369489"/>
                          </a:xfrm>
                          <a:prstGeom prst="rect">
                            <a:avLst/>
                          </a:prstGeom>
                          <a:noFill/>
                          <a:ln>
                            <a:noFill/>
                          </a:ln>
                        </wps:spPr>
                        <wps:txbx>
                          <w:txbxContent>
                            <w:p w14:paraId="77C7163A" w14:textId="77777777" w:rsidR="00DE679F" w:rsidRDefault="00DE679F" w:rsidP="00DE679F">
                              <w:pPr>
                                <w:jc w:val="center"/>
                                <w:rPr>
                                  <w:rFonts w:cs="Arial"/>
                                  <w:b/>
                                  <w:i/>
                                  <w:color w:val="808080"/>
                                  <w:sz w:val="28"/>
                                  <w:szCs w:val="28"/>
                                </w:rPr>
                              </w:pPr>
                              <w:r>
                                <w:rPr>
                                  <w:rFonts w:ascii="Arial Black" w:hAnsi="Arial Black"/>
                                  <w:color w:val="B5333C"/>
                                  <w:sz w:val="144"/>
                                  <w:szCs w:val="110"/>
                                </w:rPr>
                                <w:t>29</w:t>
                              </w:r>
                              <w:r w:rsidRPr="009D2112">
                                <w:rPr>
                                  <w:rFonts w:ascii="Arial Black" w:hAnsi="Arial Black"/>
                                  <w:color w:val="B5333C"/>
                                  <w:sz w:val="144"/>
                                  <w:szCs w:val="110"/>
                                </w:rPr>
                                <w:t xml:space="preserve">% </w:t>
                              </w:r>
                              <w:r w:rsidRPr="009D2112">
                                <w:rPr>
                                  <w:rFonts w:cs="Arial"/>
                                  <w:b/>
                                  <w:i/>
                                  <w:color w:val="808080"/>
                                  <w:sz w:val="28"/>
                                  <w:szCs w:val="28"/>
                                </w:rPr>
                                <w:t xml:space="preserve">more low-income families served by ECC/HANH </w:t>
                              </w:r>
                            </w:p>
                            <w:p w14:paraId="2BACB1AC" w14:textId="77777777" w:rsidR="00DE679F" w:rsidRPr="009D2112" w:rsidRDefault="00DE679F" w:rsidP="00DE679F">
                              <w:pPr>
                                <w:jc w:val="center"/>
                                <w:rPr>
                                  <w:rFonts w:cs="Arial"/>
                                  <w:b/>
                                  <w:i/>
                                  <w:color w:val="B5333C"/>
                                  <w:sz w:val="32"/>
                                  <w:szCs w:val="32"/>
                                </w:rPr>
                              </w:pPr>
                              <w:r w:rsidRPr="009D2112">
                                <w:rPr>
                                  <w:rFonts w:cs="Arial"/>
                                  <w:b/>
                                  <w:i/>
                                  <w:color w:val="808080"/>
                                  <w:sz w:val="28"/>
                                  <w:szCs w:val="28"/>
                                </w:rPr>
                                <w:t>since 2001.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CA833" id="Group 69" o:spid="_x0000_s1026" style="position:absolute;left:0;text-align:left;margin-left:134.4pt;margin-top:.95pt;width:225.25pt;height:278.75pt;z-index:251658277" coordorigin="-25682,41950" coordsize="28610,27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6" o:spid="_x0000_s1027" type="#_x0000_t75" alt="House" style="position:absolute;left:-25682;top:41950;width:28269;height:2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">
                  <v:imagedata r:id="rId21" o:title="House"/>
                </v:shape>
                <v:shapetype id="_x0000_t202" coordsize="21600,21600" o:spt="202" path="m,l,21600r21600,l21600,xe">
                  <v:stroke joinstyle="miter"/>
                  <v:path gradientshapeok="t" o:connecttype="rect"/>
                </v:shapetype>
                <v:shape id="Text Box 27" o:spid="_x0000_s1028" type="#_x0000_t202" style="position:absolute;left:-22266;top:45948;width:25193;height:2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" filled="f" stroked="f">
                  <v:textbox>
                    <w:txbxContent>
                      <w:p w14:paraId="77C7163A" w14:textId="77777777" w:rsidR="00DE679F" w:rsidRDefault="00DE679F" w:rsidP="00DE679F">
                        <w:pPr>
                          <w:jc w:val="center"/>
                          <w:rPr>
                            <w:rFonts w:cs="Arial"/>
                            <w:b/>
                            <w:i/>
                            <w:color w:val="808080"/>
                            <w:sz w:val="28"/>
                            <w:szCs w:val="28"/>
                          </w:rPr>
                        </w:pPr>
                        <w:r>
                          <w:rPr>
                            <w:rFonts w:ascii="Arial Black" w:hAnsi="Arial Black"/>
                            <w:color w:val="B5333C"/>
                            <w:sz w:val="144"/>
                            <w:szCs w:val="110"/>
                          </w:rPr>
                          <w:t>29</w:t>
                        </w:r>
                        <w:r w:rsidRPr="009D2112">
                          <w:rPr>
                            <w:rFonts w:ascii="Arial Black" w:hAnsi="Arial Black"/>
                            <w:color w:val="B5333C"/>
                            <w:sz w:val="144"/>
                            <w:szCs w:val="110"/>
                          </w:rPr>
                          <w:t xml:space="preserve">% </w:t>
                        </w:r>
                        <w:r w:rsidRPr="009D2112">
                          <w:rPr>
                            <w:rFonts w:cs="Arial"/>
                            <w:b/>
                            <w:i/>
                            <w:color w:val="808080"/>
                            <w:sz w:val="28"/>
                            <w:szCs w:val="28"/>
                          </w:rPr>
                          <w:t xml:space="preserve">more low-income families served by ECC/HANH </w:t>
                        </w:r>
                      </w:p>
                      <w:p w14:paraId="2BACB1AC" w14:textId="77777777" w:rsidR="00DE679F" w:rsidRPr="009D2112" w:rsidRDefault="00DE679F" w:rsidP="00DE679F">
                        <w:pPr>
                          <w:jc w:val="center"/>
                          <w:rPr>
                            <w:rFonts w:cs="Arial"/>
                            <w:b/>
                            <w:i/>
                            <w:color w:val="B5333C"/>
                            <w:sz w:val="32"/>
                            <w:szCs w:val="32"/>
                          </w:rPr>
                        </w:pPr>
                        <w:r w:rsidRPr="009D2112">
                          <w:rPr>
                            <w:rFonts w:cs="Arial"/>
                            <w:b/>
                            <w:i/>
                            <w:color w:val="808080"/>
                            <w:sz w:val="28"/>
                            <w:szCs w:val="28"/>
                          </w:rPr>
                          <w:t>since 2001.</w:t>
                        </w:r>
                      </w:p>
                    </w:txbxContent>
                  </v:textbox>
                </v:shape>
              </v:group>
            </w:pict>
          </mc:Fallback>
        </mc:AlternateContent>
      </w:r>
    </w:p>
    <w:p w14:paraId="4F91F566" w14:textId="77777777" w:rsidR="00DE679F" w:rsidRPr="00914A81" w:rsidRDefault="00DE679F" w:rsidP="00DE679F">
      <w:pPr>
        <w:ind w:left="1440" w:firstLine="720"/>
        <w:jc w:val="both"/>
        <w:rPr>
          <w:rFonts w:ascii="Century Gothic" w:hAnsi="Century Gothic"/>
        </w:rPr>
      </w:pPr>
    </w:p>
    <w:p w14:paraId="2D801C67" w14:textId="77777777" w:rsidR="00DE679F" w:rsidRPr="00914A81" w:rsidRDefault="00DE679F" w:rsidP="00DE679F">
      <w:pPr>
        <w:ind w:left="1440" w:firstLine="720"/>
        <w:jc w:val="both"/>
        <w:rPr>
          <w:rFonts w:ascii="Century Gothic" w:hAnsi="Century Gothic"/>
        </w:rPr>
      </w:pPr>
    </w:p>
    <w:p w14:paraId="574A6F9B" w14:textId="0A76D8EF" w:rsidR="00DE679F" w:rsidRPr="00476055" w:rsidRDefault="00DE679F" w:rsidP="00DE679F">
      <w:pPr>
        <w:rPr>
          <w:rFonts w:ascii="Century Gothic" w:hAnsi="Century Gothic"/>
        </w:rPr>
      </w:pPr>
      <w:r w:rsidRPr="00780153">
        <w:rPr>
          <w:rFonts w:ascii="Century Gothic" w:hAnsi="Century Gothic"/>
        </w:rPr>
        <w:t xml:space="preserve">    </w:t>
      </w:r>
    </w:p>
    <w:p w14:paraId="24AE9EC2" w14:textId="77777777" w:rsidR="00DE679F" w:rsidRPr="00476055" w:rsidRDefault="00DE679F" w:rsidP="00DE679F">
      <w:pPr>
        <w:rPr>
          <w:rFonts w:ascii="Century Gothic" w:hAnsi="Century Gothic"/>
        </w:rPr>
      </w:pPr>
    </w:p>
    <w:p w14:paraId="5A0D395D" w14:textId="77777777" w:rsidR="00DE679F" w:rsidRPr="00476055" w:rsidRDefault="00DE679F" w:rsidP="00DE679F">
      <w:pPr>
        <w:rPr>
          <w:rFonts w:ascii="Century Gothic" w:hAnsi="Century Gothic"/>
        </w:rPr>
      </w:pPr>
    </w:p>
    <w:p w14:paraId="485E8A2A" w14:textId="77777777" w:rsidR="00DE679F" w:rsidRPr="00476055" w:rsidRDefault="00DE679F" w:rsidP="00DE679F">
      <w:pPr>
        <w:rPr>
          <w:rFonts w:ascii="Century Gothic" w:hAnsi="Century Gothic"/>
        </w:rPr>
      </w:pPr>
    </w:p>
    <w:p w14:paraId="6DE73DE1" w14:textId="77777777" w:rsidR="00DE679F" w:rsidRPr="00476055" w:rsidRDefault="00DE679F" w:rsidP="00DE679F">
      <w:pPr>
        <w:rPr>
          <w:rFonts w:ascii="Century Gothic" w:hAnsi="Century Gothic"/>
        </w:rPr>
      </w:pPr>
    </w:p>
    <w:p w14:paraId="5B3DCBA9" w14:textId="77777777" w:rsidR="00DE679F" w:rsidRPr="00476055" w:rsidRDefault="00DE679F" w:rsidP="00DE679F">
      <w:pPr>
        <w:rPr>
          <w:rFonts w:ascii="Century Gothic" w:hAnsi="Century Gothic"/>
        </w:rPr>
      </w:pPr>
    </w:p>
    <w:p w14:paraId="6CBAF406" w14:textId="77777777" w:rsidR="00DE679F" w:rsidRPr="00476055" w:rsidRDefault="00DE679F" w:rsidP="00DE679F">
      <w:pPr>
        <w:rPr>
          <w:rFonts w:ascii="Century Gothic" w:eastAsia="MS PGothic" w:hAnsi="Century Gothic"/>
          <w:szCs w:val="22"/>
        </w:rPr>
      </w:pPr>
    </w:p>
    <w:p w14:paraId="5B307E04" w14:textId="77777777" w:rsidR="00DE679F" w:rsidRPr="00476055" w:rsidRDefault="00DE679F" w:rsidP="00DE679F">
      <w:pPr>
        <w:rPr>
          <w:rFonts w:ascii="Century Gothic" w:eastAsia="MS PGothic" w:hAnsi="Century Gothic"/>
          <w:szCs w:val="22"/>
        </w:rPr>
      </w:pPr>
    </w:p>
    <w:p w14:paraId="6E5F58C2" w14:textId="77777777" w:rsidR="00DE679F" w:rsidRPr="00476055" w:rsidRDefault="00DE679F" w:rsidP="00DE679F">
      <w:pPr>
        <w:rPr>
          <w:rFonts w:ascii="Century Gothic" w:eastAsia="MS PGothic" w:hAnsi="Century Gothic"/>
          <w:szCs w:val="22"/>
        </w:rPr>
      </w:pPr>
    </w:p>
    <w:p w14:paraId="5ADD0D9A" w14:textId="77777777" w:rsidR="00DE679F" w:rsidRPr="00476055" w:rsidRDefault="00DE679F" w:rsidP="00DE679F">
      <w:pPr>
        <w:rPr>
          <w:rFonts w:ascii="Century Gothic" w:eastAsia="MS PGothic" w:hAnsi="Century Gothic"/>
          <w:szCs w:val="22"/>
        </w:rPr>
      </w:pPr>
    </w:p>
    <w:p w14:paraId="6D5FA1FD" w14:textId="77777777" w:rsidR="00DE679F" w:rsidRPr="00476055" w:rsidRDefault="00DE679F" w:rsidP="00DE679F">
      <w:pPr>
        <w:rPr>
          <w:rFonts w:ascii="Century Gothic" w:eastAsia="MS PGothic" w:hAnsi="Century Gothic"/>
          <w:szCs w:val="22"/>
        </w:rPr>
      </w:pPr>
    </w:p>
    <w:p w14:paraId="08D646F9" w14:textId="77777777" w:rsidR="00DE679F" w:rsidRPr="00476055" w:rsidRDefault="00DE679F" w:rsidP="00DE679F">
      <w:pPr>
        <w:rPr>
          <w:rFonts w:ascii="Century Gothic" w:eastAsia="MS PGothic" w:hAnsi="Century Gothic"/>
          <w:szCs w:val="22"/>
        </w:rPr>
      </w:pPr>
    </w:p>
    <w:p w14:paraId="1F6D6CD7" w14:textId="77777777" w:rsidR="00DE679F" w:rsidRPr="00476055" w:rsidRDefault="00DE679F" w:rsidP="00DE679F">
      <w:pPr>
        <w:rPr>
          <w:rFonts w:ascii="Century Gothic" w:eastAsia="MS PGothic" w:hAnsi="Century Gothic"/>
          <w:szCs w:val="22"/>
        </w:rPr>
      </w:pPr>
    </w:p>
    <w:p w14:paraId="43F5384A" w14:textId="77777777" w:rsidR="00DE679F" w:rsidRDefault="00DE679F" w:rsidP="00DE679F">
      <w:pPr>
        <w:rPr>
          <w:rFonts w:ascii="Century Gothic" w:eastAsia="MS PGothic" w:hAnsi="Century Gothic"/>
          <w:szCs w:val="22"/>
        </w:rPr>
      </w:pPr>
    </w:p>
    <w:p w14:paraId="1F09C0B0" w14:textId="77777777" w:rsidR="00497E3E" w:rsidRDefault="00497E3E" w:rsidP="00DE679F">
      <w:pPr>
        <w:rPr>
          <w:rFonts w:ascii="Century Gothic" w:eastAsia="MS PGothic" w:hAnsi="Century Gothic"/>
          <w:szCs w:val="22"/>
        </w:rPr>
      </w:pPr>
    </w:p>
    <w:p w14:paraId="2FEFEC80" w14:textId="77777777" w:rsidR="00497E3E" w:rsidRDefault="00497E3E" w:rsidP="00DE679F">
      <w:pPr>
        <w:rPr>
          <w:rFonts w:ascii="Century Gothic" w:eastAsia="MS PGothic" w:hAnsi="Century Gothic"/>
          <w:szCs w:val="22"/>
        </w:rPr>
      </w:pPr>
    </w:p>
    <w:p w14:paraId="0DF6A163" w14:textId="77777777" w:rsidR="00497E3E" w:rsidRDefault="00497E3E" w:rsidP="00DE679F">
      <w:pPr>
        <w:rPr>
          <w:rFonts w:ascii="Century Gothic" w:eastAsia="MS PGothic" w:hAnsi="Century Gothic"/>
          <w:szCs w:val="22"/>
        </w:rPr>
      </w:pPr>
    </w:p>
    <w:p w14:paraId="351E2CEA" w14:textId="77777777" w:rsidR="00497E3E" w:rsidRDefault="00497E3E" w:rsidP="00DE679F">
      <w:pPr>
        <w:rPr>
          <w:rFonts w:ascii="Century Gothic" w:eastAsia="MS PGothic" w:hAnsi="Century Gothic"/>
          <w:szCs w:val="22"/>
        </w:rPr>
      </w:pPr>
    </w:p>
    <w:p w14:paraId="648706A5" w14:textId="77777777" w:rsidR="00497E3E" w:rsidRDefault="00497E3E" w:rsidP="00DE679F">
      <w:pPr>
        <w:rPr>
          <w:rFonts w:ascii="Century Gothic" w:eastAsia="MS PGothic" w:hAnsi="Century Gothic"/>
          <w:szCs w:val="22"/>
        </w:rPr>
      </w:pPr>
    </w:p>
    <w:p w14:paraId="2514904F" w14:textId="77777777" w:rsidR="00497E3E" w:rsidRDefault="00497E3E" w:rsidP="00DE679F">
      <w:pPr>
        <w:rPr>
          <w:rFonts w:ascii="Century Gothic" w:eastAsia="MS PGothic" w:hAnsi="Century Gothic"/>
          <w:szCs w:val="22"/>
        </w:rPr>
      </w:pPr>
    </w:p>
    <w:p w14:paraId="57EB0899" w14:textId="77777777" w:rsidR="00497E3E" w:rsidRDefault="00497E3E" w:rsidP="00DE679F">
      <w:pPr>
        <w:rPr>
          <w:rFonts w:ascii="Century Gothic" w:eastAsia="MS PGothic" w:hAnsi="Century Gothic"/>
          <w:szCs w:val="22"/>
        </w:rPr>
      </w:pPr>
    </w:p>
    <w:p w14:paraId="4CC6C082" w14:textId="77777777" w:rsidR="00497E3E" w:rsidRDefault="00497E3E" w:rsidP="374C8319">
      <w:pPr>
        <w:rPr>
          <w:rFonts w:ascii="Century Gothic" w:eastAsia="MS PGothic" w:hAnsi="Century Gothic"/>
        </w:rPr>
      </w:pPr>
    </w:p>
    <w:p w14:paraId="69725DDF" w14:textId="72E74A89" w:rsidR="374C8319" w:rsidRDefault="374C8319" w:rsidP="374C8319">
      <w:pPr>
        <w:rPr>
          <w:rFonts w:ascii="Century Gothic" w:eastAsia="MS PGothic" w:hAnsi="Century Gothic"/>
        </w:rPr>
      </w:pPr>
    </w:p>
    <w:p w14:paraId="334285C5" w14:textId="0A922465" w:rsidR="374C8319" w:rsidRDefault="374C8319" w:rsidP="374C8319">
      <w:pPr>
        <w:rPr>
          <w:rFonts w:ascii="Century Gothic" w:eastAsia="MS PGothic" w:hAnsi="Century Gothic"/>
        </w:rPr>
      </w:pPr>
    </w:p>
    <w:p w14:paraId="05810721" w14:textId="77777777" w:rsidR="00497E3E" w:rsidRPr="00476055" w:rsidRDefault="00497E3E" w:rsidP="00DE679F">
      <w:pPr>
        <w:rPr>
          <w:rFonts w:ascii="Century Gothic" w:eastAsia="MS PGothic" w:hAnsi="Century Gothic"/>
          <w:szCs w:val="22"/>
        </w:rPr>
      </w:pPr>
    </w:p>
    <w:p w14:paraId="317D53F6" w14:textId="77777777" w:rsidR="00DE679F" w:rsidRPr="00476055" w:rsidRDefault="00DE679F" w:rsidP="00DE679F">
      <w:pPr>
        <w:rPr>
          <w:rFonts w:ascii="Century Gothic" w:eastAsia="MS PGothic" w:hAnsi="Century Gothic"/>
          <w:szCs w:val="22"/>
        </w:rPr>
      </w:pPr>
    </w:p>
    <w:tbl>
      <w:tblPr>
        <w:tblW w:w="8955" w:type="dxa"/>
        <w:tblLayout w:type="fixed"/>
        <w:tblLook w:val="04A0" w:firstRow="1" w:lastRow="0" w:firstColumn="1" w:lastColumn="0" w:noHBand="0" w:noVBand="1"/>
      </w:tblPr>
      <w:tblGrid>
        <w:gridCol w:w="2175"/>
        <w:gridCol w:w="1125"/>
        <w:gridCol w:w="1125"/>
        <w:gridCol w:w="1245"/>
        <w:gridCol w:w="1425"/>
        <w:gridCol w:w="1860"/>
      </w:tblGrid>
      <w:tr w:rsidR="00DE679F" w:rsidRPr="00AB230A" w14:paraId="2C2C46BB" w14:textId="77777777" w:rsidTr="002A35F2">
        <w:trPr>
          <w:trHeight w:val="300"/>
        </w:trPr>
        <w:tc>
          <w:tcPr>
            <w:tcW w:w="8955" w:type="dxa"/>
            <w:gridSpan w:val="6"/>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E4DFEC"/>
            <w:vAlign w:val="center"/>
          </w:tcPr>
          <w:p w14:paraId="300ADF7B" w14:textId="77777777" w:rsidR="00DE679F" w:rsidRPr="00476055" w:rsidRDefault="00DE679F" w:rsidP="002A35F2">
            <w:pPr>
              <w:jc w:val="center"/>
              <w:rPr>
                <w:rFonts w:ascii="Century Gothic" w:eastAsia="Times New Roman" w:hAnsi="Century Gothic"/>
                <w:b/>
                <w:bCs/>
                <w:color w:val="000000" w:themeColor="text1"/>
              </w:rPr>
            </w:pPr>
            <w:r w:rsidRPr="00476055">
              <w:rPr>
                <w:rFonts w:ascii="Century Gothic" w:eastAsia="Times New Roman" w:hAnsi="Century Gothic"/>
                <w:b/>
                <w:bCs/>
                <w:color w:val="000000" w:themeColor="text1"/>
              </w:rPr>
              <w:t xml:space="preserve">ECC/HANH Population Demographics - FY2024 </w:t>
            </w:r>
          </w:p>
        </w:tc>
      </w:tr>
      <w:tr w:rsidR="00DE679F" w:rsidRPr="00AB230A" w14:paraId="0B578E0E" w14:textId="77777777" w:rsidTr="002A35F2">
        <w:trPr>
          <w:trHeight w:val="300"/>
        </w:trPr>
        <w:tc>
          <w:tcPr>
            <w:tcW w:w="217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39A22DA1" w14:textId="77777777" w:rsidR="00DE679F" w:rsidRPr="005525CE" w:rsidRDefault="00DE679F" w:rsidP="002A35F2">
            <w:pPr>
              <w:rPr>
                <w:rFonts w:ascii="Century Gothic" w:eastAsia="Times New Roman" w:hAnsi="Century Gothic"/>
                <w:color w:val="000000" w:themeColor="text1"/>
              </w:rPr>
            </w:pPr>
            <w:r w:rsidRPr="005525CE">
              <w:rPr>
                <w:rFonts w:ascii="Century Gothic" w:eastAsia="Times New Roman" w:hAnsi="Century Gothic"/>
                <w:b/>
                <w:bCs/>
                <w:color w:val="000000" w:themeColor="text1"/>
              </w:rPr>
              <w:t> </w:t>
            </w:r>
            <w:r w:rsidRPr="005525CE">
              <w:rPr>
                <w:rFonts w:ascii="Century Gothic" w:eastAsia="Times New Roman" w:hAnsi="Century Gothic"/>
                <w:color w:val="000000" w:themeColor="text1"/>
              </w:rPr>
              <w:t xml:space="preserve"> </w:t>
            </w:r>
          </w:p>
        </w:tc>
        <w:tc>
          <w:tcPr>
            <w:tcW w:w="2250" w:type="dxa"/>
            <w:gridSpan w:val="2"/>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DBD4E16" w14:textId="77777777" w:rsidR="00DE679F" w:rsidRPr="005525CE" w:rsidRDefault="00DE679F" w:rsidP="002A35F2">
            <w:pPr>
              <w:jc w:val="center"/>
              <w:rPr>
                <w:rFonts w:ascii="Century Gothic" w:eastAsia="Times New Roman" w:hAnsi="Century Gothic"/>
                <w:color w:val="000000" w:themeColor="text1"/>
              </w:rPr>
            </w:pPr>
            <w:r w:rsidRPr="005525CE">
              <w:rPr>
                <w:rFonts w:ascii="Century Gothic" w:eastAsia="Times New Roman" w:hAnsi="Century Gothic"/>
                <w:b/>
                <w:bCs/>
                <w:color w:val="000000" w:themeColor="text1"/>
              </w:rPr>
              <w:t>LIPH</w:t>
            </w:r>
            <w:r w:rsidRPr="005525CE">
              <w:rPr>
                <w:rFonts w:ascii="Century Gothic" w:eastAsia="Times New Roman" w:hAnsi="Century Gothic"/>
                <w:color w:val="000000" w:themeColor="text1"/>
              </w:rPr>
              <w:t xml:space="preserve"> </w:t>
            </w:r>
          </w:p>
        </w:tc>
        <w:tc>
          <w:tcPr>
            <w:tcW w:w="2670" w:type="dxa"/>
            <w:gridSpan w:val="2"/>
            <w:tcBorders>
              <w:top w:val="single" w:sz="8" w:space="0" w:color="000000" w:themeColor="text1"/>
              <w:left w:val="nil"/>
              <w:bottom w:val="single" w:sz="8" w:space="0" w:color="000000" w:themeColor="text1"/>
              <w:right w:val="single" w:sz="8" w:space="0" w:color="000000" w:themeColor="text1"/>
            </w:tcBorders>
            <w:vAlign w:val="center"/>
          </w:tcPr>
          <w:p w14:paraId="0269583F" w14:textId="77777777" w:rsidR="00DE679F" w:rsidRPr="005525CE" w:rsidRDefault="00DE679F" w:rsidP="002A35F2">
            <w:pPr>
              <w:jc w:val="center"/>
              <w:rPr>
                <w:rFonts w:ascii="Century Gothic" w:eastAsia="Times New Roman" w:hAnsi="Century Gothic"/>
                <w:color w:val="000000" w:themeColor="text1"/>
              </w:rPr>
            </w:pPr>
            <w:r w:rsidRPr="005525CE">
              <w:rPr>
                <w:rFonts w:ascii="Century Gothic" w:eastAsia="Times New Roman" w:hAnsi="Century Gothic"/>
                <w:b/>
                <w:bCs/>
                <w:color w:val="000000" w:themeColor="text1"/>
              </w:rPr>
              <w:t>HCV</w:t>
            </w:r>
            <w:r w:rsidRPr="005525CE">
              <w:rPr>
                <w:rFonts w:ascii="Century Gothic" w:eastAsia="Times New Roman" w:hAnsi="Century Gothic"/>
                <w:color w:val="000000" w:themeColor="text1"/>
              </w:rPr>
              <w:t xml:space="preserve"> </w:t>
            </w:r>
          </w:p>
        </w:tc>
        <w:tc>
          <w:tcPr>
            <w:tcW w:w="1860" w:type="dxa"/>
            <w:tcBorders>
              <w:top w:val="nil"/>
              <w:left w:val="nil"/>
              <w:bottom w:val="single" w:sz="8" w:space="0" w:color="000000" w:themeColor="text1"/>
              <w:right w:val="single" w:sz="4" w:space="0" w:color="000000" w:themeColor="text1"/>
            </w:tcBorders>
            <w:vAlign w:val="center"/>
          </w:tcPr>
          <w:p w14:paraId="1E6B097C" w14:textId="77777777" w:rsidR="00DE679F" w:rsidRPr="005525CE" w:rsidRDefault="00DE679F" w:rsidP="002A35F2">
            <w:pPr>
              <w:rPr>
                <w:rFonts w:ascii="Century Gothic" w:eastAsia="Times New Roman" w:hAnsi="Century Gothic"/>
                <w:color w:val="000000" w:themeColor="text1"/>
              </w:rPr>
            </w:pPr>
            <w:r w:rsidRPr="005525CE">
              <w:rPr>
                <w:rFonts w:ascii="Century Gothic" w:eastAsia="Times New Roman" w:hAnsi="Century Gothic"/>
                <w:b/>
                <w:bCs/>
                <w:color w:val="000000" w:themeColor="text1"/>
              </w:rPr>
              <w:t>Total</w:t>
            </w:r>
            <w:r w:rsidRPr="005525CE">
              <w:rPr>
                <w:rFonts w:ascii="Century Gothic" w:eastAsia="Times New Roman" w:hAnsi="Century Gothic"/>
                <w:color w:val="000000" w:themeColor="text1"/>
              </w:rPr>
              <w:t xml:space="preserve"> </w:t>
            </w:r>
          </w:p>
        </w:tc>
      </w:tr>
      <w:tr w:rsidR="00DE679F" w:rsidRPr="00AB230A" w14:paraId="2D1B4D48" w14:textId="77777777" w:rsidTr="002A35F2">
        <w:trPr>
          <w:trHeight w:val="570"/>
        </w:trPr>
        <w:tc>
          <w:tcPr>
            <w:tcW w:w="2175" w:type="dxa"/>
            <w:tcBorders>
              <w:top w:val="single" w:sz="8" w:space="0" w:color="auto"/>
              <w:left w:val="single" w:sz="4" w:space="0" w:color="auto"/>
              <w:bottom w:val="single" w:sz="8" w:space="0" w:color="auto"/>
              <w:right w:val="single" w:sz="8" w:space="0" w:color="auto"/>
            </w:tcBorders>
            <w:vAlign w:val="center"/>
          </w:tcPr>
          <w:p w14:paraId="38F15573" w14:textId="77777777" w:rsidR="00DE679F" w:rsidRPr="00252DA1" w:rsidRDefault="00DE679F" w:rsidP="002A35F2">
            <w:pPr>
              <w:rPr>
                <w:rFonts w:ascii="Century Gothic" w:eastAsia="Times New Roman" w:hAnsi="Century Gothic"/>
                <w:color w:val="000000" w:themeColor="text1"/>
              </w:rPr>
            </w:pPr>
            <w:r w:rsidRPr="00252DA1">
              <w:rPr>
                <w:rFonts w:ascii="Century Gothic" w:eastAsia="Times New Roman" w:hAnsi="Century Gothic"/>
                <w:color w:val="000000" w:themeColor="text1"/>
              </w:rPr>
              <w:t xml:space="preserve">Total Households*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D67F69E" w14:textId="77777777" w:rsidR="00DE679F" w:rsidRPr="00252DA1" w:rsidRDefault="00DE679F" w:rsidP="002A35F2">
            <w:pPr>
              <w:jc w:val="right"/>
              <w:rPr>
                <w:rFonts w:ascii="Century Gothic" w:eastAsia="MS PGothic" w:hAnsi="Century Gothic"/>
              </w:rPr>
            </w:pPr>
            <w:r w:rsidRPr="00252DA1">
              <w:rPr>
                <w:rFonts w:ascii="Century Gothic" w:eastAsia="Times New Roman" w:hAnsi="Century Gothic"/>
                <w:color w:val="000000" w:themeColor="text1"/>
              </w:rPr>
              <w:t xml:space="preserve">  787</w:t>
            </w:r>
          </w:p>
        </w:tc>
        <w:tc>
          <w:tcPr>
            <w:tcW w:w="1125" w:type="dxa"/>
            <w:tcBorders>
              <w:top w:val="nil"/>
              <w:left w:val="single" w:sz="8" w:space="0" w:color="000000" w:themeColor="text1"/>
              <w:bottom w:val="single" w:sz="8" w:space="0" w:color="000000" w:themeColor="text1"/>
              <w:right w:val="single" w:sz="8" w:space="0" w:color="000000" w:themeColor="text1"/>
            </w:tcBorders>
            <w:vAlign w:val="center"/>
          </w:tcPr>
          <w:p w14:paraId="386CDD12" w14:textId="77777777" w:rsidR="00DE679F" w:rsidRPr="00252DA1" w:rsidRDefault="00DE679F" w:rsidP="002A35F2">
            <w:pPr>
              <w:jc w:val="right"/>
              <w:rPr>
                <w:rFonts w:ascii="Century Gothic" w:eastAsia="Times New Roman" w:hAnsi="Century Gothic"/>
                <w:color w:val="000000" w:themeColor="text1"/>
              </w:rPr>
            </w:pPr>
            <w:r w:rsidRPr="00252DA1">
              <w:rPr>
                <w:rFonts w:ascii="Century Gothic" w:eastAsia="Times New Roman" w:hAnsi="Century Gothic"/>
                <w:color w:val="000000" w:themeColor="text1"/>
              </w:rPr>
              <w:t xml:space="preserve"> 12%</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69D4EE" w14:textId="77777777" w:rsidR="00DE679F" w:rsidRPr="005525CE" w:rsidRDefault="00DE679F" w:rsidP="002A35F2">
            <w:pPr>
              <w:jc w:val="right"/>
              <w:rPr>
                <w:rFonts w:ascii="Century Gothic" w:eastAsia="Times New Roman" w:hAnsi="Century Gothic"/>
                <w:color w:val="000000" w:themeColor="text1"/>
              </w:rPr>
            </w:pPr>
            <w:r w:rsidRPr="00252DA1">
              <w:rPr>
                <w:rFonts w:ascii="Century Gothic" w:eastAsia="Times New Roman" w:hAnsi="Century Gothic"/>
                <w:color w:val="000000" w:themeColor="text1"/>
              </w:rPr>
              <w:t xml:space="preserve">  </w:t>
            </w:r>
            <w:r>
              <w:rPr>
                <w:rFonts w:ascii="Century Gothic" w:eastAsia="Times New Roman" w:hAnsi="Century Gothic"/>
                <w:color w:val="000000" w:themeColor="text1"/>
              </w:rPr>
              <w:t xml:space="preserve"> 5428</w:t>
            </w:r>
          </w:p>
        </w:tc>
        <w:tc>
          <w:tcPr>
            <w:tcW w:w="1425" w:type="dxa"/>
            <w:tcBorders>
              <w:top w:val="nil"/>
              <w:left w:val="single" w:sz="8" w:space="0" w:color="000000" w:themeColor="text1"/>
              <w:bottom w:val="single" w:sz="8" w:space="0" w:color="000000" w:themeColor="text1"/>
              <w:right w:val="single" w:sz="8" w:space="0" w:color="000000" w:themeColor="text1"/>
            </w:tcBorders>
            <w:vAlign w:val="center"/>
          </w:tcPr>
          <w:p w14:paraId="4E1A7CAF" w14:textId="77777777" w:rsidR="00DE679F" w:rsidRPr="00DA0C8E" w:rsidRDefault="00DE679F" w:rsidP="002A35F2">
            <w:pPr>
              <w:jc w:val="right"/>
              <w:rPr>
                <w:rFonts w:ascii="Century Gothic" w:eastAsia="Times New Roman" w:hAnsi="Century Gothic"/>
                <w:szCs w:val="22"/>
              </w:rPr>
            </w:pPr>
            <w:r w:rsidRPr="005525CE">
              <w:rPr>
                <w:rFonts w:ascii="Century Gothic" w:eastAsia="Times New Roman" w:hAnsi="Century Gothic"/>
                <w:color w:val="000000" w:themeColor="text1"/>
              </w:rPr>
              <w:t xml:space="preserve"> 8</w:t>
            </w:r>
            <w:r>
              <w:rPr>
                <w:rFonts w:ascii="Century Gothic" w:eastAsia="Times New Roman" w:hAnsi="Century Gothic"/>
                <w:color w:val="000000" w:themeColor="text1"/>
              </w:rPr>
              <w:t>8</w:t>
            </w:r>
            <w:r w:rsidRPr="00DA0C8E">
              <w:rPr>
                <w:rFonts w:ascii="Century Gothic" w:eastAsia="Times New Roman" w:hAnsi="Century Gothic"/>
                <w:color w:val="000000" w:themeColor="text1"/>
              </w:rPr>
              <w:t>%</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692E37B0"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w:t>
            </w:r>
            <w:r>
              <w:rPr>
                <w:rFonts w:ascii="Century Gothic" w:eastAsia="Times New Roman" w:hAnsi="Century Gothic"/>
                <w:color w:val="000000" w:themeColor="text1"/>
              </w:rPr>
              <w:t>6215</w:t>
            </w:r>
          </w:p>
        </w:tc>
      </w:tr>
      <w:tr w:rsidR="00DE679F" w:rsidRPr="00AB230A" w14:paraId="19472867" w14:textId="77777777" w:rsidTr="002A35F2">
        <w:trPr>
          <w:trHeight w:val="570"/>
        </w:trPr>
        <w:tc>
          <w:tcPr>
            <w:tcW w:w="2175" w:type="dxa"/>
            <w:tcBorders>
              <w:top w:val="single" w:sz="8" w:space="0" w:color="auto"/>
              <w:left w:val="single" w:sz="4" w:space="0" w:color="auto"/>
              <w:bottom w:val="single" w:sz="8" w:space="0" w:color="auto"/>
              <w:right w:val="single" w:sz="8" w:space="0" w:color="auto"/>
            </w:tcBorders>
            <w:vAlign w:val="center"/>
          </w:tcPr>
          <w:p w14:paraId="0B707DAE"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Total Individuals*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75922A5D"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1806</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702DCC"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13%</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998FE7" w14:textId="77777777" w:rsidR="00DE679F" w:rsidRPr="00DA0C8E" w:rsidRDefault="00DE679F" w:rsidP="002A35F2">
            <w:pPr>
              <w:jc w:val="right"/>
              <w:rPr>
                <w:rFonts w:ascii="Century Gothic" w:eastAsia="Times New Roman" w:hAnsi="Century Gothic"/>
              </w:rPr>
            </w:pPr>
            <w:r>
              <w:rPr>
                <w:rFonts w:ascii="Century Gothic" w:eastAsia="Times New Roman" w:hAnsi="Century Gothic"/>
                <w:color w:val="000000" w:themeColor="text1"/>
              </w:rPr>
              <w:t xml:space="preserve"> 11,899</w:t>
            </w:r>
            <w:r w:rsidRPr="00DA0C8E">
              <w:rPr>
                <w:rFonts w:ascii="Century Gothic" w:eastAsia="Times New Roman" w:hAnsi="Century Gothic"/>
                <w:color w:val="000000" w:themeColor="text1"/>
              </w:rPr>
              <w:t xml:space="preserve">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324B82"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8</w:t>
            </w:r>
            <w:r>
              <w:rPr>
                <w:rFonts w:ascii="Century Gothic" w:eastAsia="Times New Roman" w:hAnsi="Century Gothic"/>
                <w:color w:val="000000" w:themeColor="text1"/>
              </w:rPr>
              <w:t>7</w:t>
            </w:r>
            <w:r w:rsidRPr="00DA0C8E">
              <w:rPr>
                <w:rFonts w:ascii="Century Gothic" w:eastAsia="Times New Roman" w:hAnsi="Century Gothic"/>
                <w:color w:val="000000" w:themeColor="text1"/>
              </w:rPr>
              <w:t>%</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5387BC14"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13,7</w:t>
            </w:r>
            <w:r>
              <w:rPr>
                <w:rFonts w:ascii="Century Gothic" w:eastAsia="Times New Roman" w:hAnsi="Century Gothic"/>
                <w:color w:val="000000" w:themeColor="text1"/>
              </w:rPr>
              <w:t>05</w:t>
            </w:r>
          </w:p>
        </w:tc>
      </w:tr>
      <w:tr w:rsidR="00DE679F" w:rsidRPr="00AB230A" w14:paraId="5F54D143" w14:textId="77777777" w:rsidTr="002A35F2">
        <w:trPr>
          <w:trHeight w:val="300"/>
        </w:trPr>
        <w:tc>
          <w:tcPr>
            <w:tcW w:w="8955" w:type="dxa"/>
            <w:gridSpan w:val="6"/>
            <w:tcBorders>
              <w:top w:val="single" w:sz="8" w:space="0" w:color="auto"/>
              <w:left w:val="single" w:sz="4" w:space="0" w:color="auto"/>
              <w:bottom w:val="single" w:sz="8" w:space="0" w:color="auto"/>
              <w:right w:val="single" w:sz="4" w:space="0" w:color="000000" w:themeColor="text1"/>
            </w:tcBorders>
            <w:vAlign w:val="center"/>
          </w:tcPr>
          <w:p w14:paraId="59E5C8CA" w14:textId="77777777" w:rsidR="00DE679F" w:rsidRPr="00DA0C8E" w:rsidRDefault="00DE679F" w:rsidP="002A35F2">
            <w:pPr>
              <w:jc w:val="cente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w:t>
            </w:r>
          </w:p>
        </w:tc>
      </w:tr>
      <w:tr w:rsidR="00DE679F" w:rsidRPr="00AB230A" w14:paraId="5D139FC7" w14:textId="77777777" w:rsidTr="002A35F2">
        <w:trPr>
          <w:trHeight w:val="570"/>
        </w:trPr>
        <w:tc>
          <w:tcPr>
            <w:tcW w:w="2175" w:type="dxa"/>
            <w:tcBorders>
              <w:top w:val="single" w:sz="8" w:space="0" w:color="auto"/>
              <w:left w:val="single" w:sz="4" w:space="0" w:color="auto"/>
              <w:bottom w:val="single" w:sz="8" w:space="0" w:color="auto"/>
              <w:right w:val="single" w:sz="8" w:space="0" w:color="000000" w:themeColor="text1"/>
            </w:tcBorders>
            <w:vAlign w:val="center"/>
          </w:tcPr>
          <w:p w14:paraId="53ECD60C"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Average Income </w:t>
            </w:r>
          </w:p>
        </w:tc>
        <w:tc>
          <w:tcPr>
            <w:tcW w:w="1125" w:type="dxa"/>
            <w:tcBorders>
              <w:top w:val="nil"/>
              <w:left w:val="single" w:sz="8" w:space="0" w:color="auto"/>
              <w:bottom w:val="single" w:sz="8" w:space="0" w:color="000000" w:themeColor="text1"/>
              <w:right w:val="single" w:sz="8" w:space="0" w:color="000000" w:themeColor="text1"/>
            </w:tcBorders>
            <w:vAlign w:val="center"/>
          </w:tcPr>
          <w:p w14:paraId="3FDC7AFA"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$21,706</w:t>
            </w:r>
          </w:p>
        </w:tc>
        <w:tc>
          <w:tcPr>
            <w:tcW w:w="1125" w:type="dxa"/>
            <w:tcBorders>
              <w:top w:val="nil"/>
              <w:left w:val="single" w:sz="8" w:space="0" w:color="000000" w:themeColor="text1"/>
              <w:bottom w:val="single" w:sz="8" w:space="0" w:color="000000" w:themeColor="text1"/>
              <w:right w:val="single" w:sz="8" w:space="0" w:color="000000" w:themeColor="text1"/>
            </w:tcBorders>
            <w:vAlign w:val="center"/>
          </w:tcPr>
          <w:p w14:paraId="0866A2E3" w14:textId="77777777" w:rsidR="00DE679F" w:rsidRPr="00DA0C8E" w:rsidRDefault="00DE679F" w:rsidP="002A35F2">
            <w:pPr>
              <w:rPr>
                <w:rFonts w:ascii="Century Gothic" w:hAnsi="Century Gothic"/>
              </w:rPr>
            </w:pPr>
            <w:r w:rsidRPr="00DA0C8E">
              <w:rPr>
                <w:rFonts w:ascii="Century Gothic" w:eastAsia="Times New Roman" w:hAnsi="Century Gothic"/>
                <w:color w:val="000000" w:themeColor="text1"/>
              </w:rPr>
              <w:t xml:space="preserve">  </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64839EAD"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$19,57</w:t>
            </w:r>
            <w:r>
              <w:rPr>
                <w:rFonts w:ascii="Century Gothic" w:eastAsia="Times New Roman" w:hAnsi="Century Gothic"/>
                <w:color w:val="000000" w:themeColor="text1"/>
              </w:rPr>
              <w:t>7</w:t>
            </w:r>
          </w:p>
        </w:tc>
        <w:tc>
          <w:tcPr>
            <w:tcW w:w="1425" w:type="dxa"/>
            <w:tcBorders>
              <w:top w:val="nil"/>
              <w:left w:val="single" w:sz="8" w:space="0" w:color="000000" w:themeColor="text1"/>
              <w:bottom w:val="single" w:sz="8" w:space="0" w:color="000000" w:themeColor="text1"/>
              <w:right w:val="single" w:sz="8" w:space="0" w:color="000000" w:themeColor="text1"/>
            </w:tcBorders>
            <w:vAlign w:val="center"/>
          </w:tcPr>
          <w:p w14:paraId="286B463D" w14:textId="77777777" w:rsidR="00DE679F" w:rsidRPr="00DA0C8E" w:rsidRDefault="00DE679F" w:rsidP="002A35F2">
            <w:pPr>
              <w:rPr>
                <w:rFonts w:ascii="Century Gothic" w:hAnsi="Century Gothic"/>
              </w:rPr>
            </w:pPr>
            <w:r w:rsidRPr="00DA0C8E">
              <w:rPr>
                <w:rFonts w:ascii="Century Gothic" w:eastAsia="Times New Roman" w:hAnsi="Century Gothic"/>
                <w:color w:val="000000" w:themeColor="text1"/>
              </w:rPr>
              <w:t xml:space="preserve">  </w:t>
            </w:r>
          </w:p>
        </w:tc>
        <w:tc>
          <w:tcPr>
            <w:tcW w:w="1860" w:type="dxa"/>
            <w:tcBorders>
              <w:top w:val="nil"/>
              <w:left w:val="single" w:sz="8" w:space="0" w:color="000000" w:themeColor="text1"/>
              <w:bottom w:val="single" w:sz="8" w:space="0" w:color="000000" w:themeColor="text1"/>
              <w:right w:val="single" w:sz="4" w:space="0" w:color="000000" w:themeColor="text1"/>
            </w:tcBorders>
            <w:vAlign w:val="center"/>
          </w:tcPr>
          <w:p w14:paraId="36726183" w14:textId="77777777" w:rsidR="00DE679F" w:rsidRPr="00DA0C8E" w:rsidRDefault="00DE679F" w:rsidP="002A35F2">
            <w:pPr>
              <w:rPr>
                <w:rFonts w:ascii="Century Gothic" w:hAnsi="Century Gothic"/>
              </w:rPr>
            </w:pPr>
            <w:r w:rsidRPr="00DA0C8E">
              <w:rPr>
                <w:rFonts w:ascii="Century Gothic" w:eastAsia="Times New Roman" w:hAnsi="Century Gothic"/>
                <w:color w:val="000000" w:themeColor="text1"/>
              </w:rPr>
              <w:t xml:space="preserve">  </w:t>
            </w:r>
          </w:p>
        </w:tc>
      </w:tr>
      <w:tr w:rsidR="00DE679F" w:rsidRPr="00AB230A" w14:paraId="46AEB7E4" w14:textId="77777777" w:rsidTr="002A35F2">
        <w:trPr>
          <w:trHeight w:val="300"/>
        </w:trPr>
        <w:tc>
          <w:tcPr>
            <w:tcW w:w="2175" w:type="dxa"/>
            <w:tcBorders>
              <w:top w:val="single" w:sz="8" w:space="0" w:color="auto"/>
              <w:left w:val="single" w:sz="4" w:space="0" w:color="auto"/>
              <w:bottom w:val="single" w:sz="8" w:space="0" w:color="auto"/>
              <w:right w:val="single" w:sz="8" w:space="0" w:color="auto"/>
            </w:tcBorders>
            <w:vAlign w:val="center"/>
          </w:tcPr>
          <w:p w14:paraId="54E5702E"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Average TTP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010D7B38"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$518</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3CB309" w14:textId="77777777" w:rsidR="00DE679F" w:rsidRPr="00DA0C8E" w:rsidRDefault="00DE679F" w:rsidP="002A35F2">
            <w:pPr>
              <w:rPr>
                <w:rFonts w:ascii="Century Gothic" w:hAnsi="Century Gothic"/>
              </w:rPr>
            </w:pPr>
            <w:r w:rsidRPr="00DA0C8E">
              <w:rPr>
                <w:rFonts w:ascii="Century Gothic" w:eastAsia="Times New Roman" w:hAnsi="Century Gothic"/>
                <w:color w:val="000000" w:themeColor="text1"/>
              </w:rPr>
              <w:t xml:space="preserve">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AD5A1B"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$461</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668A29" w14:textId="77777777" w:rsidR="00DE679F" w:rsidRPr="00DA0C8E" w:rsidRDefault="00DE679F" w:rsidP="002A35F2">
            <w:pPr>
              <w:rPr>
                <w:rFonts w:ascii="Century Gothic" w:hAnsi="Century Gothic"/>
              </w:rPr>
            </w:pPr>
            <w:r w:rsidRPr="00DA0C8E">
              <w:rPr>
                <w:rFonts w:ascii="Century Gothic" w:eastAsia="Times New Roman" w:hAnsi="Century Gothic"/>
                <w:color w:val="000000" w:themeColor="text1"/>
              </w:rPr>
              <w:t xml:space="preserve">  </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15CF2442" w14:textId="77777777" w:rsidR="00DE679F" w:rsidRPr="00DA0C8E" w:rsidRDefault="00DE679F" w:rsidP="002A35F2">
            <w:pPr>
              <w:rPr>
                <w:rFonts w:ascii="Century Gothic" w:hAnsi="Century Gothic"/>
              </w:rPr>
            </w:pPr>
            <w:r w:rsidRPr="00DA0C8E">
              <w:rPr>
                <w:rFonts w:ascii="Century Gothic" w:eastAsia="Times New Roman" w:hAnsi="Century Gothic"/>
                <w:color w:val="000000" w:themeColor="text1"/>
              </w:rPr>
              <w:t xml:space="preserve">  </w:t>
            </w:r>
          </w:p>
        </w:tc>
      </w:tr>
      <w:tr w:rsidR="00DE679F" w:rsidRPr="00AB230A" w14:paraId="7AC278CC" w14:textId="77777777" w:rsidTr="002A35F2">
        <w:trPr>
          <w:trHeight w:val="300"/>
        </w:trPr>
        <w:tc>
          <w:tcPr>
            <w:tcW w:w="8955" w:type="dxa"/>
            <w:gridSpan w:val="6"/>
            <w:tcBorders>
              <w:top w:val="single" w:sz="8" w:space="0" w:color="auto"/>
              <w:left w:val="single" w:sz="4" w:space="0" w:color="auto"/>
              <w:bottom w:val="single" w:sz="8" w:space="0" w:color="auto"/>
              <w:right w:val="single" w:sz="4" w:space="0" w:color="000000" w:themeColor="text1"/>
            </w:tcBorders>
            <w:vAlign w:val="center"/>
          </w:tcPr>
          <w:p w14:paraId="37D17D58" w14:textId="77777777" w:rsidR="00DE679F" w:rsidRPr="00DA0C8E" w:rsidRDefault="00DE679F" w:rsidP="002A35F2">
            <w:pPr>
              <w:jc w:val="cente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w:t>
            </w:r>
          </w:p>
        </w:tc>
      </w:tr>
      <w:tr w:rsidR="00DE679F" w:rsidRPr="00AB230A" w14:paraId="0B8F21C1" w14:textId="77777777" w:rsidTr="002A35F2">
        <w:trPr>
          <w:trHeight w:val="855"/>
        </w:trPr>
        <w:tc>
          <w:tcPr>
            <w:tcW w:w="2175" w:type="dxa"/>
            <w:tcBorders>
              <w:top w:val="single" w:sz="8" w:space="0" w:color="auto"/>
              <w:left w:val="single" w:sz="4" w:space="0" w:color="auto"/>
              <w:bottom w:val="single" w:sz="8" w:space="0" w:color="auto"/>
              <w:right w:val="single" w:sz="8" w:space="0" w:color="000000" w:themeColor="text1"/>
            </w:tcBorders>
            <w:vAlign w:val="center"/>
          </w:tcPr>
          <w:p w14:paraId="11A13687"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Households with Extremely low income </w:t>
            </w:r>
          </w:p>
        </w:tc>
        <w:tc>
          <w:tcPr>
            <w:tcW w:w="1125" w:type="dxa"/>
            <w:tcBorders>
              <w:top w:val="nil"/>
              <w:left w:val="single" w:sz="8" w:space="0" w:color="auto"/>
              <w:bottom w:val="single" w:sz="8" w:space="0" w:color="000000" w:themeColor="text1"/>
              <w:right w:val="single" w:sz="8" w:space="0" w:color="000000" w:themeColor="text1"/>
            </w:tcBorders>
            <w:vAlign w:val="center"/>
          </w:tcPr>
          <w:p w14:paraId="70B59BCD"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5</w:t>
            </w:r>
            <w:r>
              <w:rPr>
                <w:rFonts w:ascii="Century Gothic" w:eastAsia="Times New Roman" w:hAnsi="Century Gothic"/>
                <w:color w:val="000000" w:themeColor="text1"/>
              </w:rPr>
              <w:t>61</w:t>
            </w:r>
          </w:p>
        </w:tc>
        <w:tc>
          <w:tcPr>
            <w:tcW w:w="1125" w:type="dxa"/>
            <w:tcBorders>
              <w:top w:val="nil"/>
              <w:left w:val="single" w:sz="8" w:space="0" w:color="000000" w:themeColor="text1"/>
              <w:bottom w:val="single" w:sz="8" w:space="0" w:color="000000" w:themeColor="text1"/>
              <w:right w:val="single" w:sz="8" w:space="0" w:color="000000" w:themeColor="text1"/>
            </w:tcBorders>
            <w:vAlign w:val="center"/>
          </w:tcPr>
          <w:p w14:paraId="0227019C"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1</w:t>
            </w:r>
            <w:r>
              <w:rPr>
                <w:rFonts w:ascii="Century Gothic" w:eastAsia="Times New Roman" w:hAnsi="Century Gothic"/>
                <w:color w:val="000000" w:themeColor="text1"/>
              </w:rPr>
              <w:t>2</w:t>
            </w:r>
            <w:r w:rsidRPr="00DA0C8E">
              <w:rPr>
                <w:rFonts w:ascii="Century Gothic" w:eastAsia="Times New Roman" w:hAnsi="Century Gothic"/>
                <w:color w:val="000000" w:themeColor="text1"/>
              </w:rPr>
              <w:t>%</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2D757425"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412</w:t>
            </w:r>
            <w:r>
              <w:rPr>
                <w:rFonts w:ascii="Century Gothic" w:eastAsia="Times New Roman" w:hAnsi="Century Gothic"/>
                <w:color w:val="000000" w:themeColor="text1"/>
              </w:rPr>
              <w:t>1</w:t>
            </w:r>
          </w:p>
        </w:tc>
        <w:tc>
          <w:tcPr>
            <w:tcW w:w="1425" w:type="dxa"/>
            <w:tcBorders>
              <w:top w:val="nil"/>
              <w:left w:val="single" w:sz="8" w:space="0" w:color="000000" w:themeColor="text1"/>
              <w:bottom w:val="single" w:sz="8" w:space="0" w:color="000000" w:themeColor="text1"/>
              <w:right w:val="single" w:sz="8" w:space="0" w:color="000000" w:themeColor="text1"/>
            </w:tcBorders>
            <w:vAlign w:val="center"/>
          </w:tcPr>
          <w:p w14:paraId="0DF58B4F"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8</w:t>
            </w:r>
            <w:r>
              <w:rPr>
                <w:rFonts w:ascii="Century Gothic" w:eastAsia="Times New Roman" w:hAnsi="Century Gothic"/>
                <w:color w:val="000000" w:themeColor="text1"/>
              </w:rPr>
              <w:t>8</w:t>
            </w:r>
            <w:r w:rsidRPr="00DA0C8E">
              <w:rPr>
                <w:rFonts w:ascii="Century Gothic" w:eastAsia="Times New Roman" w:hAnsi="Century Gothic"/>
                <w:color w:val="000000" w:themeColor="text1"/>
              </w:rPr>
              <w:t>%</w:t>
            </w:r>
          </w:p>
        </w:tc>
        <w:tc>
          <w:tcPr>
            <w:tcW w:w="1860" w:type="dxa"/>
            <w:tcBorders>
              <w:top w:val="nil"/>
              <w:left w:val="single" w:sz="8" w:space="0" w:color="000000" w:themeColor="text1"/>
              <w:bottom w:val="single" w:sz="8" w:space="0" w:color="000000" w:themeColor="text1"/>
              <w:right w:val="single" w:sz="4" w:space="0" w:color="000000" w:themeColor="text1"/>
            </w:tcBorders>
            <w:vAlign w:val="center"/>
          </w:tcPr>
          <w:p w14:paraId="1FEE1457"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w:t>
            </w:r>
            <w:r>
              <w:rPr>
                <w:rFonts w:ascii="Century Gothic" w:eastAsia="Times New Roman" w:hAnsi="Century Gothic"/>
              </w:rPr>
              <w:t>4682</w:t>
            </w:r>
          </w:p>
        </w:tc>
      </w:tr>
      <w:tr w:rsidR="00DE679F" w:rsidRPr="00AB230A" w14:paraId="2C3341AE" w14:textId="77777777" w:rsidTr="002A35F2">
        <w:trPr>
          <w:trHeight w:val="855"/>
        </w:trPr>
        <w:tc>
          <w:tcPr>
            <w:tcW w:w="2175" w:type="dxa"/>
            <w:tcBorders>
              <w:top w:val="single" w:sz="8" w:space="0" w:color="auto"/>
              <w:left w:val="single" w:sz="4" w:space="0" w:color="auto"/>
              <w:bottom w:val="single" w:sz="8" w:space="0" w:color="auto"/>
              <w:right w:val="single" w:sz="8" w:space="0" w:color="auto"/>
            </w:tcBorders>
            <w:vAlign w:val="center"/>
          </w:tcPr>
          <w:p w14:paraId="0D0E9BEB"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Households with Very Low income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04803FB2"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130</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18416B"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13%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9270BA"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877</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FB54A7"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87%</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68EB76A3"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1007</w:t>
            </w:r>
          </w:p>
        </w:tc>
      </w:tr>
      <w:tr w:rsidR="00DE679F" w:rsidRPr="00AB230A" w14:paraId="08F5922F" w14:textId="77777777" w:rsidTr="002A35F2">
        <w:trPr>
          <w:trHeight w:val="855"/>
        </w:trPr>
        <w:tc>
          <w:tcPr>
            <w:tcW w:w="2175" w:type="dxa"/>
            <w:tcBorders>
              <w:top w:val="single" w:sz="8" w:space="0" w:color="auto"/>
              <w:left w:val="single" w:sz="4" w:space="0" w:color="auto"/>
              <w:bottom w:val="single" w:sz="8" w:space="0" w:color="auto"/>
              <w:right w:val="single" w:sz="8" w:space="0" w:color="auto"/>
            </w:tcBorders>
            <w:vAlign w:val="center"/>
          </w:tcPr>
          <w:p w14:paraId="456B6A5B"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Households with Low income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4DBFD19"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37</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899255"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13%</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BF9016"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257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07613A"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87%</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1C29C19E"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294</w:t>
            </w:r>
          </w:p>
        </w:tc>
      </w:tr>
      <w:tr w:rsidR="00DE679F" w:rsidRPr="00AB230A" w14:paraId="1D83AEF2" w14:textId="77777777" w:rsidTr="002A35F2">
        <w:trPr>
          <w:trHeight w:val="855"/>
        </w:trPr>
        <w:tc>
          <w:tcPr>
            <w:tcW w:w="2175" w:type="dxa"/>
            <w:tcBorders>
              <w:top w:val="single" w:sz="8" w:space="0" w:color="auto"/>
              <w:left w:val="single" w:sz="4" w:space="0" w:color="auto"/>
              <w:bottom w:val="single" w:sz="8" w:space="0" w:color="auto"/>
              <w:right w:val="single" w:sz="8" w:space="0" w:color="auto"/>
            </w:tcBorders>
            <w:vAlign w:val="center"/>
          </w:tcPr>
          <w:p w14:paraId="4FF5C900"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Households Above low income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32CDA1F"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59</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B897EE"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25%</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A92F92"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173</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92D107"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75%</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3269BCFB"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232</w:t>
            </w:r>
          </w:p>
        </w:tc>
      </w:tr>
      <w:tr w:rsidR="00DE679F" w:rsidRPr="00AB230A" w14:paraId="41CB6966" w14:textId="77777777" w:rsidTr="002A35F2">
        <w:trPr>
          <w:trHeight w:val="855"/>
        </w:trPr>
        <w:tc>
          <w:tcPr>
            <w:tcW w:w="2175" w:type="dxa"/>
            <w:tcBorders>
              <w:top w:val="single" w:sz="8" w:space="0" w:color="auto"/>
              <w:left w:val="single" w:sz="4" w:space="0" w:color="auto"/>
              <w:bottom w:val="single" w:sz="8" w:space="0" w:color="auto"/>
              <w:right w:val="single" w:sz="8" w:space="0" w:color="auto"/>
            </w:tcBorders>
            <w:vAlign w:val="center"/>
          </w:tcPr>
          <w:p w14:paraId="5FDB3182"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Households with No income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77073FE2"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63</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2AC460"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16%</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BC79B5"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3</w:t>
            </w:r>
            <w:r>
              <w:rPr>
                <w:rFonts w:ascii="Century Gothic" w:eastAsia="Times New Roman" w:hAnsi="Century Gothic"/>
                <w:color w:val="000000" w:themeColor="text1"/>
              </w:rPr>
              <w:t>30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95DEB5"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84%</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5C8DAA4E"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39</w:t>
            </w:r>
            <w:r>
              <w:rPr>
                <w:rFonts w:ascii="Century Gothic" w:eastAsia="Times New Roman" w:hAnsi="Century Gothic"/>
              </w:rPr>
              <w:t>3</w:t>
            </w:r>
          </w:p>
        </w:tc>
      </w:tr>
      <w:tr w:rsidR="00DE679F" w:rsidRPr="00AB230A" w14:paraId="2180C01C" w14:textId="77777777" w:rsidTr="002A35F2">
        <w:trPr>
          <w:trHeight w:val="1125"/>
        </w:trPr>
        <w:tc>
          <w:tcPr>
            <w:tcW w:w="2175" w:type="dxa"/>
            <w:tcBorders>
              <w:top w:val="single" w:sz="8" w:space="0" w:color="auto"/>
              <w:left w:val="single" w:sz="4" w:space="0" w:color="auto"/>
              <w:bottom w:val="single" w:sz="8" w:space="0" w:color="auto"/>
              <w:right w:val="single" w:sz="8" w:space="0" w:color="auto"/>
            </w:tcBorders>
            <w:vAlign w:val="center"/>
          </w:tcPr>
          <w:p w14:paraId="33973995"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Households with Employment income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B88E690"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333</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020F8E"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14%</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1BB459"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20</w:t>
            </w:r>
            <w:r>
              <w:rPr>
                <w:rFonts w:ascii="Century Gothic" w:eastAsia="Times New Roman" w:hAnsi="Century Gothic"/>
                <w:color w:val="000000" w:themeColor="text1"/>
              </w:rPr>
              <w:t>17</w:t>
            </w:r>
            <w:r w:rsidRPr="00DA0C8E">
              <w:rPr>
                <w:rFonts w:ascii="Century Gothic" w:eastAsia="Times New Roman" w:hAnsi="Century Gothic"/>
                <w:color w:val="000000" w:themeColor="text1"/>
              </w:rPr>
              <w:t xml:space="preserve">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E2742E"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86%</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378FC4E1"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235</w:t>
            </w:r>
            <w:r>
              <w:rPr>
                <w:rFonts w:ascii="Century Gothic" w:eastAsia="Times New Roman" w:hAnsi="Century Gothic"/>
              </w:rPr>
              <w:t>0</w:t>
            </w:r>
          </w:p>
        </w:tc>
      </w:tr>
      <w:tr w:rsidR="00DE679F" w:rsidRPr="00AB230A" w14:paraId="498D92F1" w14:textId="77777777" w:rsidTr="002A35F2">
        <w:trPr>
          <w:trHeight w:val="855"/>
        </w:trPr>
        <w:tc>
          <w:tcPr>
            <w:tcW w:w="2175" w:type="dxa"/>
            <w:tcBorders>
              <w:top w:val="single" w:sz="8" w:space="0" w:color="auto"/>
              <w:left w:val="single" w:sz="4" w:space="0" w:color="auto"/>
              <w:bottom w:val="single" w:sz="8" w:space="0" w:color="auto"/>
              <w:right w:val="single" w:sz="8" w:space="0" w:color="auto"/>
            </w:tcBorders>
            <w:vAlign w:val="center"/>
          </w:tcPr>
          <w:p w14:paraId="6356B9E0"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Households with Public Assistance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125C010"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91</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45D8B0"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33%</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96BE97"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186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1A7B00"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w:t>
            </w:r>
            <w:r>
              <w:rPr>
                <w:rFonts w:ascii="Century Gothic" w:eastAsia="Times New Roman" w:hAnsi="Century Gothic"/>
                <w:color w:val="000000" w:themeColor="text1"/>
              </w:rPr>
              <w:t>67</w:t>
            </w:r>
            <w:r w:rsidRPr="00DA0C8E">
              <w:rPr>
                <w:rFonts w:ascii="Century Gothic" w:eastAsia="Times New Roman" w:hAnsi="Century Gothic"/>
                <w:color w:val="000000" w:themeColor="text1"/>
              </w:rPr>
              <w:t>%</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0EED882B"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rPr>
              <w:t xml:space="preserve"> 277</w:t>
            </w:r>
          </w:p>
        </w:tc>
      </w:tr>
      <w:tr w:rsidR="00DE679F" w:rsidRPr="00AB230A" w14:paraId="03F6C7DE" w14:textId="77777777" w:rsidTr="002A35F2">
        <w:trPr>
          <w:trHeight w:val="855"/>
        </w:trPr>
        <w:tc>
          <w:tcPr>
            <w:tcW w:w="2175" w:type="dxa"/>
            <w:tcBorders>
              <w:top w:val="single" w:sz="8" w:space="0" w:color="auto"/>
              <w:left w:val="single" w:sz="4" w:space="0" w:color="auto"/>
              <w:bottom w:val="single" w:sz="8" w:space="0" w:color="auto"/>
              <w:right w:val="single" w:sz="8" w:space="0" w:color="auto"/>
            </w:tcBorders>
            <w:vAlign w:val="center"/>
          </w:tcPr>
          <w:p w14:paraId="574AFFAA"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Households with Social Security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733F0DF9"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3</w:t>
            </w:r>
            <w:r>
              <w:rPr>
                <w:rFonts w:ascii="Century Gothic" w:eastAsia="Times New Roman" w:hAnsi="Century Gothic"/>
                <w:color w:val="000000" w:themeColor="text1"/>
              </w:rPr>
              <w:t>16</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07F4E7"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1</w:t>
            </w:r>
            <w:r>
              <w:rPr>
                <w:rFonts w:ascii="Century Gothic" w:eastAsia="Times New Roman" w:hAnsi="Century Gothic"/>
                <w:color w:val="000000" w:themeColor="text1"/>
              </w:rPr>
              <w:t>1</w:t>
            </w:r>
            <w:r w:rsidRPr="00DA0C8E">
              <w:rPr>
                <w:rFonts w:ascii="Century Gothic" w:eastAsia="Times New Roman" w:hAnsi="Century Gothic"/>
                <w:color w:val="000000" w:themeColor="text1"/>
              </w:rPr>
              <w:t>%</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4B2E0A"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25</w:t>
            </w:r>
            <w:r>
              <w:rPr>
                <w:rFonts w:ascii="Century Gothic" w:eastAsia="Times New Roman" w:hAnsi="Century Gothic"/>
                <w:color w:val="000000" w:themeColor="text1"/>
              </w:rPr>
              <w:t>83</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321398"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8</w:t>
            </w:r>
            <w:r>
              <w:rPr>
                <w:rFonts w:ascii="Century Gothic" w:eastAsia="Times New Roman" w:hAnsi="Century Gothic"/>
                <w:color w:val="000000" w:themeColor="text1"/>
              </w:rPr>
              <w:t>9</w:t>
            </w:r>
            <w:r w:rsidRPr="00DA0C8E">
              <w:rPr>
                <w:rFonts w:ascii="Century Gothic" w:eastAsia="Times New Roman" w:hAnsi="Century Gothic"/>
                <w:color w:val="000000" w:themeColor="text1"/>
              </w:rPr>
              <w:t>%</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74267F83"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rPr>
              <w:t xml:space="preserve"> 2</w:t>
            </w:r>
            <w:r>
              <w:rPr>
                <w:rFonts w:ascii="Century Gothic" w:eastAsia="Times New Roman" w:hAnsi="Century Gothic"/>
              </w:rPr>
              <w:t>899</w:t>
            </w:r>
          </w:p>
        </w:tc>
      </w:tr>
      <w:tr w:rsidR="00DE679F" w:rsidRPr="00AB230A" w14:paraId="41EBA8E8" w14:textId="77777777" w:rsidTr="002A35F2">
        <w:trPr>
          <w:trHeight w:val="855"/>
        </w:trPr>
        <w:tc>
          <w:tcPr>
            <w:tcW w:w="2175" w:type="dxa"/>
            <w:tcBorders>
              <w:top w:val="single" w:sz="8" w:space="0" w:color="auto"/>
              <w:left w:val="single" w:sz="4" w:space="0" w:color="auto"/>
              <w:bottom w:val="single" w:sz="8" w:space="0" w:color="auto"/>
              <w:right w:val="single" w:sz="8" w:space="0" w:color="auto"/>
            </w:tcBorders>
            <w:vAlign w:val="center"/>
          </w:tcPr>
          <w:p w14:paraId="2D5E4C1E"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Households with Other Income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59AE4C8"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w:t>
            </w:r>
            <w:r>
              <w:rPr>
                <w:rFonts w:ascii="Century Gothic" w:eastAsia="Times New Roman" w:hAnsi="Century Gothic"/>
                <w:color w:val="000000" w:themeColor="text1"/>
              </w:rPr>
              <w:t>64</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4783E0"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w:t>
            </w:r>
            <w:r>
              <w:rPr>
                <w:rFonts w:ascii="Century Gothic" w:eastAsia="Times New Roman" w:hAnsi="Century Gothic"/>
                <w:color w:val="000000" w:themeColor="text1"/>
              </w:rPr>
              <w:t>14</w:t>
            </w:r>
            <w:r w:rsidRPr="00DA0C8E">
              <w:rPr>
                <w:rFonts w:ascii="Century Gothic" w:eastAsia="Times New Roman" w:hAnsi="Century Gothic"/>
                <w:color w:val="000000" w:themeColor="text1"/>
              </w:rPr>
              <w:t>%</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9B238F"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49</w:t>
            </w:r>
            <w:r>
              <w:rPr>
                <w:rFonts w:ascii="Century Gothic" w:eastAsia="Times New Roman" w:hAnsi="Century Gothic"/>
                <w:color w:val="000000" w:themeColor="text1"/>
              </w:rPr>
              <w:t>2</w:t>
            </w:r>
            <w:r w:rsidRPr="00DA0C8E">
              <w:rPr>
                <w:rFonts w:ascii="Century Gothic" w:eastAsia="Times New Roman" w:hAnsi="Century Gothic"/>
                <w:color w:val="000000" w:themeColor="text1"/>
              </w:rPr>
              <w:t xml:space="preserve">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AFF01B"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w:t>
            </w:r>
            <w:r>
              <w:rPr>
                <w:rFonts w:ascii="Century Gothic" w:eastAsia="Times New Roman" w:hAnsi="Century Gothic"/>
                <w:color w:val="000000" w:themeColor="text1"/>
              </w:rPr>
              <w:t>86</w:t>
            </w:r>
            <w:r w:rsidRPr="00DA0C8E">
              <w:rPr>
                <w:rFonts w:ascii="Century Gothic" w:eastAsia="Times New Roman" w:hAnsi="Century Gothic"/>
                <w:color w:val="000000" w:themeColor="text1"/>
              </w:rPr>
              <w:t>%</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469AF667"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w:t>
            </w:r>
            <w:r>
              <w:rPr>
                <w:rFonts w:ascii="Century Gothic" w:eastAsia="Times New Roman" w:hAnsi="Century Gothic"/>
              </w:rPr>
              <w:t>556</w:t>
            </w:r>
          </w:p>
        </w:tc>
      </w:tr>
      <w:tr w:rsidR="00DE679F" w:rsidRPr="00AB230A" w14:paraId="20A1B34A" w14:textId="77777777" w:rsidTr="002A35F2">
        <w:trPr>
          <w:trHeight w:val="300"/>
        </w:trPr>
        <w:tc>
          <w:tcPr>
            <w:tcW w:w="8955" w:type="dxa"/>
            <w:gridSpan w:val="6"/>
            <w:tcBorders>
              <w:top w:val="single" w:sz="8" w:space="0" w:color="auto"/>
              <w:left w:val="single" w:sz="4" w:space="0" w:color="auto"/>
              <w:bottom w:val="single" w:sz="8" w:space="0" w:color="auto"/>
              <w:right w:val="single" w:sz="4" w:space="0" w:color="000000" w:themeColor="text1"/>
            </w:tcBorders>
            <w:vAlign w:val="center"/>
          </w:tcPr>
          <w:p w14:paraId="08BB9DCF" w14:textId="77777777" w:rsidR="00DE679F" w:rsidRPr="00DA0C8E" w:rsidRDefault="00DE679F" w:rsidP="002A35F2">
            <w:pPr>
              <w:jc w:val="cente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w:t>
            </w:r>
          </w:p>
        </w:tc>
      </w:tr>
      <w:tr w:rsidR="00DE679F" w:rsidRPr="00AB230A" w14:paraId="385899BB" w14:textId="77777777" w:rsidTr="002A35F2">
        <w:trPr>
          <w:trHeight w:val="570"/>
        </w:trPr>
        <w:tc>
          <w:tcPr>
            <w:tcW w:w="2175" w:type="dxa"/>
            <w:tcBorders>
              <w:top w:val="single" w:sz="8" w:space="0" w:color="auto"/>
              <w:left w:val="single" w:sz="4" w:space="0" w:color="auto"/>
              <w:bottom w:val="single" w:sz="8" w:space="0" w:color="auto"/>
              <w:right w:val="single" w:sz="8" w:space="0" w:color="000000" w:themeColor="text1"/>
            </w:tcBorders>
            <w:vAlign w:val="center"/>
          </w:tcPr>
          <w:p w14:paraId="7667F459"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Minority Households </w:t>
            </w:r>
          </w:p>
        </w:tc>
        <w:tc>
          <w:tcPr>
            <w:tcW w:w="1125" w:type="dxa"/>
            <w:tcBorders>
              <w:top w:val="nil"/>
              <w:left w:val="single" w:sz="8" w:space="0" w:color="auto"/>
              <w:bottom w:val="single" w:sz="8" w:space="0" w:color="000000" w:themeColor="text1"/>
              <w:right w:val="single" w:sz="8" w:space="0" w:color="000000" w:themeColor="text1"/>
            </w:tcBorders>
            <w:vAlign w:val="center"/>
          </w:tcPr>
          <w:p w14:paraId="0D15EBB4"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502</w:t>
            </w:r>
          </w:p>
        </w:tc>
        <w:tc>
          <w:tcPr>
            <w:tcW w:w="1125" w:type="dxa"/>
            <w:tcBorders>
              <w:top w:val="nil"/>
              <w:left w:val="single" w:sz="8" w:space="0" w:color="000000" w:themeColor="text1"/>
              <w:bottom w:val="single" w:sz="8" w:space="0" w:color="000000" w:themeColor="text1"/>
              <w:right w:val="single" w:sz="8" w:space="0" w:color="000000" w:themeColor="text1"/>
            </w:tcBorders>
            <w:vAlign w:val="center"/>
          </w:tcPr>
          <w:p w14:paraId="1D000520"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14%</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24D160F6"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3,13</w:t>
            </w:r>
            <w:r>
              <w:rPr>
                <w:rFonts w:ascii="Century Gothic" w:eastAsia="Times New Roman" w:hAnsi="Century Gothic"/>
                <w:color w:val="000000" w:themeColor="text1"/>
              </w:rPr>
              <w:t>1</w:t>
            </w:r>
          </w:p>
        </w:tc>
        <w:tc>
          <w:tcPr>
            <w:tcW w:w="1425" w:type="dxa"/>
            <w:tcBorders>
              <w:top w:val="nil"/>
              <w:left w:val="single" w:sz="8" w:space="0" w:color="000000" w:themeColor="text1"/>
              <w:bottom w:val="single" w:sz="8" w:space="0" w:color="000000" w:themeColor="text1"/>
              <w:right w:val="single" w:sz="8" w:space="0" w:color="000000" w:themeColor="text1"/>
            </w:tcBorders>
            <w:vAlign w:val="center"/>
          </w:tcPr>
          <w:p w14:paraId="0F818A06"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8</w:t>
            </w:r>
            <w:r>
              <w:rPr>
                <w:rFonts w:ascii="Century Gothic" w:eastAsia="Times New Roman" w:hAnsi="Century Gothic"/>
                <w:color w:val="000000" w:themeColor="text1"/>
              </w:rPr>
              <w:t>6</w:t>
            </w:r>
            <w:r w:rsidRPr="00DA0C8E">
              <w:rPr>
                <w:rFonts w:ascii="Century Gothic" w:eastAsia="Times New Roman" w:hAnsi="Century Gothic"/>
                <w:color w:val="000000" w:themeColor="text1"/>
              </w:rPr>
              <w:t>%</w:t>
            </w:r>
          </w:p>
        </w:tc>
        <w:tc>
          <w:tcPr>
            <w:tcW w:w="1860" w:type="dxa"/>
            <w:tcBorders>
              <w:top w:val="nil"/>
              <w:left w:val="single" w:sz="8" w:space="0" w:color="000000" w:themeColor="text1"/>
              <w:bottom w:val="single" w:sz="8" w:space="0" w:color="000000" w:themeColor="text1"/>
              <w:right w:val="single" w:sz="4" w:space="0" w:color="000000" w:themeColor="text1"/>
            </w:tcBorders>
            <w:vAlign w:val="center"/>
          </w:tcPr>
          <w:p w14:paraId="7798B4AF"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363</w:t>
            </w:r>
            <w:r>
              <w:rPr>
                <w:rFonts w:ascii="Century Gothic" w:eastAsia="Times New Roman" w:hAnsi="Century Gothic"/>
              </w:rPr>
              <w:t>3</w:t>
            </w:r>
          </w:p>
        </w:tc>
      </w:tr>
      <w:tr w:rsidR="00DE679F" w:rsidRPr="00AB230A" w14:paraId="3A2BCE0A" w14:textId="77777777" w:rsidTr="002A35F2">
        <w:trPr>
          <w:trHeight w:val="300"/>
        </w:trPr>
        <w:tc>
          <w:tcPr>
            <w:tcW w:w="2175" w:type="dxa"/>
            <w:tcBorders>
              <w:top w:val="single" w:sz="8" w:space="0" w:color="auto"/>
              <w:left w:val="single" w:sz="4" w:space="0" w:color="auto"/>
              <w:bottom w:val="single" w:sz="8" w:space="0" w:color="auto"/>
              <w:right w:val="single" w:sz="8" w:space="0" w:color="auto"/>
            </w:tcBorders>
            <w:vAlign w:val="center"/>
          </w:tcPr>
          <w:p w14:paraId="3A0E7406"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lastRenderedPageBreak/>
              <w:t xml:space="preserve">Non-minority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5785E2E5"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285</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5E476E"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11%</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E71171"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2,</w:t>
            </w:r>
            <w:r>
              <w:rPr>
                <w:rFonts w:ascii="Century Gothic" w:eastAsia="Times New Roman" w:hAnsi="Century Gothic"/>
                <w:color w:val="000000" w:themeColor="text1"/>
              </w:rPr>
              <w:t>297</w:t>
            </w:r>
            <w:r w:rsidRPr="00DA0C8E">
              <w:rPr>
                <w:rFonts w:ascii="Century Gothic" w:eastAsia="Times New Roman" w:hAnsi="Century Gothic"/>
                <w:color w:val="000000" w:themeColor="text1"/>
              </w:rPr>
              <w:t xml:space="preserve">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94E4A9"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89%</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0B14DB40"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rPr>
              <w:t xml:space="preserve"> 258</w:t>
            </w:r>
            <w:r>
              <w:rPr>
                <w:rFonts w:ascii="Century Gothic" w:eastAsia="Times New Roman" w:hAnsi="Century Gothic"/>
              </w:rPr>
              <w:t>2</w:t>
            </w:r>
          </w:p>
        </w:tc>
      </w:tr>
      <w:tr w:rsidR="00DE679F" w:rsidRPr="00AB230A" w14:paraId="42DE4AF8" w14:textId="77777777" w:rsidTr="002A35F2">
        <w:trPr>
          <w:trHeight w:val="300"/>
        </w:trPr>
        <w:tc>
          <w:tcPr>
            <w:tcW w:w="8955" w:type="dxa"/>
            <w:gridSpan w:val="6"/>
            <w:tcBorders>
              <w:top w:val="single" w:sz="8" w:space="0" w:color="auto"/>
              <w:left w:val="single" w:sz="4" w:space="0" w:color="auto"/>
              <w:bottom w:val="single" w:sz="8" w:space="0" w:color="auto"/>
              <w:right w:val="single" w:sz="4" w:space="0" w:color="000000" w:themeColor="text1"/>
            </w:tcBorders>
            <w:vAlign w:val="center"/>
          </w:tcPr>
          <w:p w14:paraId="3D8C1A6B" w14:textId="77777777" w:rsidR="00DE679F" w:rsidRPr="00DA0C8E" w:rsidRDefault="00DE679F" w:rsidP="002A35F2">
            <w:pPr>
              <w:jc w:val="center"/>
              <w:rPr>
                <w:rFonts w:ascii="Century Gothic" w:eastAsia="Times New Roman" w:hAnsi="Century Gothic"/>
              </w:rPr>
            </w:pPr>
            <w:r w:rsidRPr="00DA0C8E">
              <w:rPr>
                <w:rFonts w:ascii="Century Gothic" w:eastAsia="Times New Roman" w:hAnsi="Century Gothic"/>
              </w:rPr>
              <w:t xml:space="preserve">  </w:t>
            </w:r>
          </w:p>
        </w:tc>
      </w:tr>
      <w:tr w:rsidR="00DE679F" w:rsidRPr="00AB230A" w14:paraId="555B7A55" w14:textId="77777777" w:rsidTr="002A35F2">
        <w:trPr>
          <w:trHeight w:val="570"/>
        </w:trPr>
        <w:tc>
          <w:tcPr>
            <w:tcW w:w="2175" w:type="dxa"/>
            <w:tcBorders>
              <w:top w:val="single" w:sz="8" w:space="0" w:color="auto"/>
              <w:left w:val="single" w:sz="4" w:space="0" w:color="auto"/>
              <w:bottom w:val="single" w:sz="8" w:space="0" w:color="auto"/>
              <w:right w:val="single" w:sz="4" w:space="0" w:color="auto"/>
            </w:tcBorders>
            <w:vAlign w:val="center"/>
          </w:tcPr>
          <w:p w14:paraId="64EEEC99"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Elderly families </w:t>
            </w:r>
          </w:p>
        </w:tc>
        <w:tc>
          <w:tcPr>
            <w:tcW w:w="1125" w:type="dxa"/>
            <w:tcBorders>
              <w:top w:val="single" w:sz="4" w:space="0" w:color="auto"/>
              <w:left w:val="single" w:sz="4" w:space="0" w:color="auto"/>
              <w:bottom w:val="single" w:sz="4" w:space="0" w:color="auto"/>
              <w:right w:val="single" w:sz="4" w:space="0" w:color="auto"/>
            </w:tcBorders>
            <w:vAlign w:val="center"/>
          </w:tcPr>
          <w:p w14:paraId="3CF7A7FD"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202</w:t>
            </w:r>
          </w:p>
        </w:tc>
        <w:tc>
          <w:tcPr>
            <w:tcW w:w="1125" w:type="dxa"/>
            <w:tcBorders>
              <w:top w:val="single" w:sz="4" w:space="0" w:color="auto"/>
              <w:left w:val="single" w:sz="4" w:space="0" w:color="auto"/>
              <w:bottom w:val="single" w:sz="4" w:space="0" w:color="auto"/>
              <w:right w:val="single" w:sz="4" w:space="0" w:color="auto"/>
            </w:tcBorders>
            <w:vAlign w:val="center"/>
          </w:tcPr>
          <w:p w14:paraId="03F458CD"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11%</w:t>
            </w:r>
          </w:p>
        </w:tc>
        <w:tc>
          <w:tcPr>
            <w:tcW w:w="1245" w:type="dxa"/>
            <w:tcBorders>
              <w:top w:val="single" w:sz="4" w:space="0" w:color="auto"/>
              <w:left w:val="single" w:sz="4" w:space="0" w:color="auto"/>
              <w:bottom w:val="single" w:sz="4" w:space="0" w:color="auto"/>
              <w:right w:val="single" w:sz="4" w:space="0" w:color="auto"/>
            </w:tcBorders>
            <w:vAlign w:val="center"/>
          </w:tcPr>
          <w:p w14:paraId="4FFF5350"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1,63</w:t>
            </w:r>
            <w:r w:rsidRPr="000C27F6">
              <w:rPr>
                <w:rFonts w:ascii="Century Gothic" w:eastAsia="Times New Roman" w:hAnsi="Century Gothic"/>
                <w:color w:val="000000" w:themeColor="text1"/>
              </w:rPr>
              <w:t>5</w:t>
            </w:r>
            <w:r w:rsidRPr="00DA0C8E">
              <w:rPr>
                <w:rFonts w:ascii="Century Gothic" w:eastAsia="Times New Roman" w:hAnsi="Century Gothic"/>
                <w:color w:val="000000" w:themeColor="text1"/>
              </w:rPr>
              <w:t xml:space="preserve"> </w:t>
            </w:r>
          </w:p>
        </w:tc>
        <w:tc>
          <w:tcPr>
            <w:tcW w:w="1425" w:type="dxa"/>
            <w:tcBorders>
              <w:top w:val="single" w:sz="4" w:space="0" w:color="auto"/>
              <w:left w:val="single" w:sz="4" w:space="0" w:color="auto"/>
              <w:bottom w:val="single" w:sz="4" w:space="0" w:color="auto"/>
              <w:right w:val="single" w:sz="4" w:space="0" w:color="auto"/>
            </w:tcBorders>
            <w:vAlign w:val="center"/>
          </w:tcPr>
          <w:p w14:paraId="112C0FAA"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89%</w:t>
            </w:r>
          </w:p>
        </w:tc>
        <w:tc>
          <w:tcPr>
            <w:tcW w:w="1860" w:type="dxa"/>
            <w:tcBorders>
              <w:top w:val="single" w:sz="4" w:space="0" w:color="auto"/>
              <w:left w:val="single" w:sz="4" w:space="0" w:color="auto"/>
              <w:bottom w:val="single" w:sz="4" w:space="0" w:color="auto"/>
              <w:right w:val="single" w:sz="4" w:space="0" w:color="auto"/>
            </w:tcBorders>
            <w:vAlign w:val="center"/>
          </w:tcPr>
          <w:p w14:paraId="626199F0"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183</w:t>
            </w:r>
            <w:r>
              <w:rPr>
                <w:rFonts w:ascii="Century Gothic" w:eastAsia="Times New Roman" w:hAnsi="Century Gothic"/>
              </w:rPr>
              <w:t>7</w:t>
            </w:r>
          </w:p>
        </w:tc>
      </w:tr>
      <w:tr w:rsidR="00DE679F" w:rsidRPr="00AB230A" w14:paraId="2703C325" w14:textId="77777777" w:rsidTr="002A35F2">
        <w:trPr>
          <w:trHeight w:val="570"/>
        </w:trPr>
        <w:tc>
          <w:tcPr>
            <w:tcW w:w="2175" w:type="dxa"/>
            <w:tcBorders>
              <w:top w:val="single" w:sz="8" w:space="0" w:color="auto"/>
              <w:left w:val="single" w:sz="4" w:space="0" w:color="auto"/>
              <w:bottom w:val="single" w:sz="8" w:space="0" w:color="auto"/>
              <w:right w:val="single" w:sz="8" w:space="0" w:color="auto"/>
            </w:tcBorders>
            <w:vAlign w:val="center"/>
          </w:tcPr>
          <w:p w14:paraId="3170E92B"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Disabled families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53ADEBBD"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336</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3998B0"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13%</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A3686A"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2,2</w:t>
            </w:r>
            <w:r w:rsidRPr="000C27F6">
              <w:rPr>
                <w:rFonts w:ascii="Century Gothic" w:eastAsia="Times New Roman" w:hAnsi="Century Gothic"/>
                <w:color w:val="000000" w:themeColor="text1"/>
              </w:rPr>
              <w:t>86</w:t>
            </w:r>
            <w:r w:rsidRPr="00DA0C8E">
              <w:rPr>
                <w:rFonts w:ascii="Century Gothic" w:eastAsia="Times New Roman" w:hAnsi="Century Gothic"/>
                <w:color w:val="000000" w:themeColor="text1"/>
              </w:rPr>
              <w:t xml:space="preserve">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E96121"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87%</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254018CA"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26</w:t>
            </w:r>
            <w:r>
              <w:rPr>
                <w:rFonts w:ascii="Century Gothic" w:eastAsia="Times New Roman" w:hAnsi="Century Gothic"/>
              </w:rPr>
              <w:t>22</w:t>
            </w:r>
          </w:p>
        </w:tc>
      </w:tr>
      <w:tr w:rsidR="00DE679F" w:rsidRPr="00AB230A" w14:paraId="0C8DC2EF" w14:textId="77777777" w:rsidTr="002A35F2">
        <w:trPr>
          <w:trHeight w:val="300"/>
        </w:trPr>
        <w:tc>
          <w:tcPr>
            <w:tcW w:w="8955" w:type="dxa"/>
            <w:gridSpan w:val="6"/>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6621A0A" w14:textId="77777777" w:rsidR="00DE679F" w:rsidRPr="00DA0C8E" w:rsidRDefault="00DE679F" w:rsidP="002A35F2">
            <w:pPr>
              <w:jc w:val="center"/>
              <w:rPr>
                <w:rFonts w:ascii="Century Gothic" w:eastAsia="Times New Roman" w:hAnsi="Century Gothic"/>
              </w:rPr>
            </w:pPr>
            <w:r w:rsidRPr="00DA0C8E">
              <w:rPr>
                <w:rFonts w:ascii="Century Gothic" w:eastAsia="Times New Roman" w:hAnsi="Century Gothic"/>
              </w:rPr>
              <w:t xml:space="preserve"> </w:t>
            </w:r>
          </w:p>
        </w:tc>
      </w:tr>
      <w:tr w:rsidR="00DE679F" w:rsidRPr="00AB230A" w14:paraId="5A7F943E" w14:textId="77777777" w:rsidTr="002A35F2">
        <w:trPr>
          <w:trHeight w:val="300"/>
        </w:trPr>
        <w:tc>
          <w:tcPr>
            <w:tcW w:w="217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357C015F"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1 member </w:t>
            </w:r>
          </w:p>
        </w:tc>
        <w:tc>
          <w:tcPr>
            <w:tcW w:w="1125" w:type="dxa"/>
            <w:tcBorders>
              <w:top w:val="nil"/>
              <w:left w:val="single" w:sz="8" w:space="0" w:color="auto"/>
              <w:bottom w:val="single" w:sz="8" w:space="0" w:color="000000" w:themeColor="text1"/>
              <w:right w:val="single" w:sz="8" w:space="0" w:color="000000" w:themeColor="text1"/>
            </w:tcBorders>
            <w:vAlign w:val="center"/>
          </w:tcPr>
          <w:p w14:paraId="714D7C57"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314</w:t>
            </w:r>
          </w:p>
        </w:tc>
        <w:tc>
          <w:tcPr>
            <w:tcW w:w="1125" w:type="dxa"/>
            <w:tcBorders>
              <w:top w:val="nil"/>
              <w:left w:val="single" w:sz="8" w:space="0" w:color="000000" w:themeColor="text1"/>
              <w:bottom w:val="single" w:sz="8" w:space="0" w:color="000000" w:themeColor="text1"/>
              <w:right w:val="single" w:sz="8" w:space="0" w:color="000000" w:themeColor="text1"/>
            </w:tcBorders>
            <w:vAlign w:val="center"/>
          </w:tcPr>
          <w:p w14:paraId="44A805D9" w14:textId="77777777" w:rsidR="00DE679F" w:rsidRPr="00DA0C8E" w:rsidRDefault="00DE679F" w:rsidP="002A35F2">
            <w:pPr>
              <w:jc w:val="right"/>
              <w:rPr>
                <w:rFonts w:ascii="Century Gothic" w:eastAsia="Times New Roman" w:hAnsi="Century Gothic"/>
              </w:rPr>
            </w:pPr>
            <w:r w:rsidRPr="00CE736D">
              <w:rPr>
                <w:rFonts w:ascii="Century Gothic" w:eastAsia="Times New Roman" w:hAnsi="Century Gothic"/>
                <w:color w:val="000000" w:themeColor="text1"/>
              </w:rPr>
              <w:t xml:space="preserve"> </w:t>
            </w:r>
            <w:r w:rsidRPr="00DA0C8E">
              <w:rPr>
                <w:rFonts w:ascii="Century Gothic" w:eastAsia="Times New Roman" w:hAnsi="Century Gothic"/>
                <w:color w:val="000000" w:themeColor="text1"/>
              </w:rPr>
              <w:t>12%</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7CF53390"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235</w:t>
            </w:r>
            <w:r w:rsidRPr="000C27F6">
              <w:rPr>
                <w:rFonts w:ascii="Century Gothic" w:eastAsia="Times New Roman" w:hAnsi="Century Gothic"/>
                <w:color w:val="000000" w:themeColor="text1"/>
              </w:rPr>
              <w:t>3</w:t>
            </w:r>
          </w:p>
        </w:tc>
        <w:tc>
          <w:tcPr>
            <w:tcW w:w="1425" w:type="dxa"/>
            <w:tcBorders>
              <w:top w:val="nil"/>
              <w:left w:val="single" w:sz="8" w:space="0" w:color="000000" w:themeColor="text1"/>
              <w:bottom w:val="single" w:sz="8" w:space="0" w:color="000000" w:themeColor="text1"/>
              <w:right w:val="single" w:sz="8" w:space="0" w:color="000000" w:themeColor="text1"/>
            </w:tcBorders>
            <w:vAlign w:val="center"/>
          </w:tcPr>
          <w:p w14:paraId="65C8246E"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88%</w:t>
            </w:r>
          </w:p>
        </w:tc>
        <w:tc>
          <w:tcPr>
            <w:tcW w:w="1860" w:type="dxa"/>
            <w:tcBorders>
              <w:top w:val="nil"/>
              <w:left w:val="single" w:sz="8" w:space="0" w:color="000000" w:themeColor="text1"/>
              <w:bottom w:val="single" w:sz="8" w:space="0" w:color="000000" w:themeColor="text1"/>
              <w:right w:val="single" w:sz="4" w:space="0" w:color="000000" w:themeColor="text1"/>
            </w:tcBorders>
            <w:vAlign w:val="center"/>
          </w:tcPr>
          <w:p w14:paraId="4A2A7962"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rPr>
              <w:t xml:space="preserve"> 26</w:t>
            </w:r>
            <w:r>
              <w:rPr>
                <w:rFonts w:ascii="Century Gothic" w:eastAsia="Times New Roman" w:hAnsi="Century Gothic"/>
              </w:rPr>
              <w:t>67</w:t>
            </w:r>
          </w:p>
        </w:tc>
      </w:tr>
      <w:tr w:rsidR="00DE679F" w:rsidRPr="00AB230A" w14:paraId="1F4BAFF4" w14:textId="77777777" w:rsidTr="002A35F2">
        <w:trPr>
          <w:trHeight w:val="525"/>
        </w:trPr>
        <w:tc>
          <w:tcPr>
            <w:tcW w:w="2175" w:type="dxa"/>
            <w:tcBorders>
              <w:top w:val="single" w:sz="8" w:space="0" w:color="auto"/>
              <w:left w:val="single" w:sz="4" w:space="0" w:color="auto"/>
              <w:bottom w:val="single" w:sz="8" w:space="0" w:color="auto"/>
              <w:right w:val="single" w:sz="8" w:space="0" w:color="auto"/>
            </w:tcBorders>
            <w:vAlign w:val="center"/>
          </w:tcPr>
          <w:p w14:paraId="6B670116"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2 members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69A19EC7"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196</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5526CF"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14%</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BED054"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1,24</w:t>
            </w:r>
            <w:r w:rsidRPr="000C27F6">
              <w:rPr>
                <w:rFonts w:ascii="Century Gothic" w:eastAsia="Times New Roman" w:hAnsi="Century Gothic"/>
                <w:color w:val="000000" w:themeColor="text1"/>
              </w:rPr>
              <w:t>6</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4B0D8B"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86%</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3E535E0B"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144</w:t>
            </w:r>
            <w:r>
              <w:rPr>
                <w:rFonts w:ascii="Century Gothic" w:eastAsia="Times New Roman" w:hAnsi="Century Gothic"/>
              </w:rPr>
              <w:t>2</w:t>
            </w:r>
          </w:p>
        </w:tc>
      </w:tr>
      <w:tr w:rsidR="00DE679F" w14:paraId="0B4DCECC" w14:textId="77777777" w:rsidTr="002A35F2">
        <w:trPr>
          <w:trHeight w:val="300"/>
        </w:trPr>
        <w:tc>
          <w:tcPr>
            <w:tcW w:w="2175" w:type="dxa"/>
            <w:tcBorders>
              <w:top w:val="single" w:sz="8" w:space="0" w:color="auto"/>
              <w:left w:val="single" w:sz="4" w:space="0" w:color="auto"/>
              <w:bottom w:val="single" w:sz="8" w:space="0" w:color="auto"/>
              <w:right w:val="single" w:sz="8" w:space="0" w:color="auto"/>
            </w:tcBorders>
            <w:vAlign w:val="center"/>
          </w:tcPr>
          <w:p w14:paraId="35A9E2F5"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3 members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51749723"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131</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D6F428"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12%</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615F39"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928</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8EEC7F"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88%</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49137A76"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1059</w:t>
            </w:r>
          </w:p>
        </w:tc>
      </w:tr>
      <w:tr w:rsidR="00DE679F" w14:paraId="0694927C" w14:textId="77777777" w:rsidTr="002A35F2">
        <w:trPr>
          <w:trHeight w:val="300"/>
        </w:trPr>
        <w:tc>
          <w:tcPr>
            <w:tcW w:w="2175" w:type="dxa"/>
            <w:tcBorders>
              <w:top w:val="single" w:sz="8" w:space="0" w:color="auto"/>
              <w:left w:val="single" w:sz="4" w:space="0" w:color="auto"/>
              <w:bottom w:val="single" w:sz="8" w:space="0" w:color="auto"/>
              <w:right w:val="single" w:sz="8" w:space="0" w:color="auto"/>
            </w:tcBorders>
            <w:vAlign w:val="center"/>
          </w:tcPr>
          <w:p w14:paraId="430317FD"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4 members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68BC215F"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75</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5918E6" w14:textId="77777777" w:rsidR="00DE679F" w:rsidRPr="00DA0C8E" w:rsidRDefault="00DE679F" w:rsidP="002A35F2">
            <w:pPr>
              <w:jc w:val="right"/>
              <w:rPr>
                <w:rFonts w:ascii="Century Gothic" w:eastAsia="Times New Roman" w:hAnsi="Century Gothic"/>
              </w:rPr>
            </w:pPr>
            <w:r w:rsidRPr="00AA2481">
              <w:rPr>
                <w:rFonts w:ascii="Century Gothic" w:eastAsia="Times New Roman" w:hAnsi="Century Gothic"/>
                <w:color w:val="000000" w:themeColor="text1"/>
              </w:rPr>
              <w:t xml:space="preserve"> </w:t>
            </w:r>
            <w:r w:rsidRPr="00DA0C8E">
              <w:rPr>
                <w:rFonts w:ascii="Century Gothic" w:eastAsia="Times New Roman" w:hAnsi="Century Gothic"/>
                <w:color w:val="000000" w:themeColor="text1"/>
              </w:rPr>
              <w:t>13%</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1CEBCC"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496</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8ECC73"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87%</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72461B5C"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rPr>
              <w:t xml:space="preserve"> 57</w:t>
            </w:r>
            <w:r>
              <w:rPr>
                <w:rFonts w:ascii="Century Gothic" w:eastAsia="Times New Roman" w:hAnsi="Century Gothic"/>
              </w:rPr>
              <w:t>1</w:t>
            </w:r>
          </w:p>
        </w:tc>
      </w:tr>
      <w:tr w:rsidR="00DE679F" w14:paraId="1F496EFE" w14:textId="77777777" w:rsidTr="002A35F2">
        <w:trPr>
          <w:trHeight w:val="300"/>
        </w:trPr>
        <w:tc>
          <w:tcPr>
            <w:tcW w:w="2175" w:type="dxa"/>
            <w:tcBorders>
              <w:top w:val="single" w:sz="8" w:space="0" w:color="auto"/>
              <w:left w:val="single" w:sz="4" w:space="0" w:color="auto"/>
              <w:bottom w:val="single" w:sz="8" w:space="0" w:color="auto"/>
              <w:right w:val="single" w:sz="8" w:space="0" w:color="auto"/>
            </w:tcBorders>
            <w:vAlign w:val="center"/>
          </w:tcPr>
          <w:p w14:paraId="0CC44E7B"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5 members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62037755"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40</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05EFFD" w14:textId="77777777" w:rsidR="00DE679F" w:rsidRPr="00DA0C8E" w:rsidRDefault="00DE679F" w:rsidP="002A35F2">
            <w:pPr>
              <w:jc w:val="right"/>
              <w:rPr>
                <w:rFonts w:ascii="Century Gothic" w:eastAsia="Times New Roman" w:hAnsi="Century Gothic"/>
              </w:rPr>
            </w:pPr>
            <w:r w:rsidRPr="00621748">
              <w:rPr>
                <w:rFonts w:ascii="Century Gothic" w:eastAsia="Times New Roman" w:hAnsi="Century Gothic"/>
                <w:color w:val="000000" w:themeColor="text1"/>
              </w:rPr>
              <w:t xml:space="preserve"> </w:t>
            </w:r>
            <w:r w:rsidRPr="00DA0C8E">
              <w:rPr>
                <w:rFonts w:ascii="Century Gothic" w:eastAsia="Times New Roman" w:hAnsi="Century Gothic"/>
                <w:color w:val="000000" w:themeColor="text1"/>
              </w:rPr>
              <w:t>14%</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49D45"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253</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A22A2C"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86%</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3338A61D"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rPr>
              <w:t xml:space="preserve"> 293</w:t>
            </w:r>
          </w:p>
        </w:tc>
      </w:tr>
      <w:tr w:rsidR="00DE679F" w14:paraId="23665EDD" w14:textId="77777777" w:rsidTr="002A35F2">
        <w:trPr>
          <w:trHeight w:val="300"/>
        </w:trPr>
        <w:tc>
          <w:tcPr>
            <w:tcW w:w="2175" w:type="dxa"/>
            <w:tcBorders>
              <w:top w:val="single" w:sz="8" w:space="0" w:color="auto"/>
              <w:left w:val="single" w:sz="4" w:space="0" w:color="auto"/>
              <w:bottom w:val="single" w:sz="8" w:space="0" w:color="auto"/>
              <w:right w:val="single" w:sz="8" w:space="0" w:color="auto"/>
            </w:tcBorders>
            <w:vAlign w:val="center"/>
          </w:tcPr>
          <w:p w14:paraId="5F33D28D"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6 members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6221419D"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15</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DF0E6F"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15%</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398F76"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86</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41AB96"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85%</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19606DF0"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rPr>
              <w:t xml:space="preserve"> 101</w:t>
            </w:r>
          </w:p>
        </w:tc>
      </w:tr>
      <w:tr w:rsidR="00DE679F" w14:paraId="4E6F6370" w14:textId="77777777" w:rsidTr="002A35F2">
        <w:trPr>
          <w:trHeight w:val="300"/>
        </w:trPr>
        <w:tc>
          <w:tcPr>
            <w:tcW w:w="2175" w:type="dxa"/>
            <w:tcBorders>
              <w:top w:val="single" w:sz="8" w:space="0" w:color="auto"/>
              <w:left w:val="single" w:sz="4" w:space="0" w:color="auto"/>
              <w:bottom w:val="single" w:sz="8" w:space="0" w:color="auto"/>
              <w:right w:val="single" w:sz="8" w:space="0" w:color="auto"/>
            </w:tcBorders>
            <w:vAlign w:val="center"/>
          </w:tcPr>
          <w:p w14:paraId="2952137C"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7 members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CC255A9"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12</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5D1786"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 xml:space="preserve"> 23%</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5C556F"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40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46506E" w14:textId="77777777" w:rsidR="00DE679F" w:rsidRPr="00DA0C8E" w:rsidRDefault="00DE679F" w:rsidP="002A35F2">
            <w:pPr>
              <w:jc w:val="right"/>
              <w:rPr>
                <w:rFonts w:ascii="Century Gothic" w:eastAsia="Times New Roman" w:hAnsi="Century Gothic"/>
              </w:rPr>
            </w:pPr>
            <w:r w:rsidRPr="00DA0C8E">
              <w:rPr>
                <w:rFonts w:ascii="Century Gothic" w:eastAsia="Times New Roman" w:hAnsi="Century Gothic"/>
                <w:color w:val="000000" w:themeColor="text1"/>
              </w:rPr>
              <w:t>77%</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5D883BEA"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rPr>
              <w:t>52</w:t>
            </w:r>
          </w:p>
        </w:tc>
      </w:tr>
      <w:tr w:rsidR="00DE679F" w14:paraId="5B22F95D" w14:textId="77777777" w:rsidTr="002A35F2">
        <w:trPr>
          <w:trHeight w:val="300"/>
        </w:trPr>
        <w:tc>
          <w:tcPr>
            <w:tcW w:w="2175" w:type="dxa"/>
            <w:tcBorders>
              <w:top w:val="single" w:sz="8" w:space="0" w:color="auto"/>
              <w:left w:val="single" w:sz="4" w:space="0" w:color="auto"/>
              <w:bottom w:val="single" w:sz="4" w:space="0" w:color="auto"/>
              <w:right w:val="single" w:sz="8" w:space="0" w:color="auto"/>
            </w:tcBorders>
            <w:vAlign w:val="center"/>
          </w:tcPr>
          <w:p w14:paraId="22469AF4" w14:textId="77777777" w:rsidR="00DE679F" w:rsidRPr="00DA0C8E" w:rsidRDefault="00DE679F" w:rsidP="002A35F2">
            <w:pPr>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8+ members </w:t>
            </w:r>
          </w:p>
        </w:tc>
        <w:tc>
          <w:tcPr>
            <w:tcW w:w="112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09B33F43"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 xml:space="preserve"> 4</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8E9ECB"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color w:val="000000" w:themeColor="text1"/>
              </w:rPr>
              <w:t>13%</w:t>
            </w:r>
          </w:p>
        </w:tc>
        <w:tc>
          <w:tcPr>
            <w:tcW w:w="1245"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466EA717" w14:textId="77777777" w:rsidR="00DE679F" w:rsidRPr="00DA0C8E" w:rsidRDefault="00DE679F" w:rsidP="002A35F2">
            <w:pPr>
              <w:jc w:val="right"/>
              <w:rPr>
                <w:rFonts w:ascii="Century Gothic" w:eastAsia="Times New Roman" w:hAnsi="Century Gothic"/>
                <w:color w:val="000000" w:themeColor="text1"/>
              </w:rPr>
            </w:pPr>
            <w:r w:rsidRPr="00DA0C8E">
              <w:rPr>
                <w:rFonts w:ascii="Century Gothic" w:eastAsia="Times New Roman" w:hAnsi="Century Gothic"/>
                <w:color w:val="000000" w:themeColor="text1"/>
              </w:rPr>
              <w:t xml:space="preserve"> 26</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0CF2ED" w14:textId="77777777" w:rsidR="00DE679F" w:rsidRPr="00DA0C8E" w:rsidRDefault="00DE679F" w:rsidP="002A35F2">
            <w:pPr>
              <w:jc w:val="right"/>
              <w:rPr>
                <w:rFonts w:ascii="Century Gothic" w:eastAsia="Times New Roman" w:hAnsi="Century Gothic"/>
              </w:rPr>
            </w:pPr>
            <w:r w:rsidRPr="003D0DA7">
              <w:rPr>
                <w:rFonts w:ascii="Century Gothic" w:eastAsia="Times New Roman" w:hAnsi="Century Gothic"/>
                <w:color w:val="000000" w:themeColor="text1"/>
              </w:rPr>
              <w:t xml:space="preserve"> </w:t>
            </w:r>
            <w:r w:rsidRPr="00DA0C8E">
              <w:rPr>
                <w:rFonts w:ascii="Century Gothic" w:eastAsia="Times New Roman" w:hAnsi="Century Gothic"/>
                <w:color w:val="000000" w:themeColor="text1"/>
              </w:rPr>
              <w:t>87%</w:t>
            </w:r>
          </w:p>
        </w:tc>
        <w:tc>
          <w:tcPr>
            <w:tcW w:w="1860"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71D03234" w14:textId="77777777" w:rsidR="00DE679F" w:rsidRPr="00DA0C8E" w:rsidRDefault="00DE679F" w:rsidP="002A35F2">
            <w:pPr>
              <w:jc w:val="right"/>
              <w:rPr>
                <w:rFonts w:ascii="Century Gothic" w:eastAsia="Times New Roman" w:hAnsi="Century Gothic"/>
                <w:szCs w:val="22"/>
              </w:rPr>
            </w:pPr>
            <w:r w:rsidRPr="00DA0C8E">
              <w:rPr>
                <w:rFonts w:ascii="Century Gothic" w:eastAsia="Times New Roman" w:hAnsi="Century Gothic"/>
              </w:rPr>
              <w:t xml:space="preserve"> 30</w:t>
            </w:r>
          </w:p>
        </w:tc>
      </w:tr>
    </w:tbl>
    <w:p w14:paraId="67C54404" w14:textId="77777777" w:rsidR="00DE679F" w:rsidRPr="00BF7335" w:rsidRDefault="00DE679F" w:rsidP="00DE679F">
      <w:pPr>
        <w:rPr>
          <w:rFonts w:ascii="Times New Roman" w:eastAsia="Times New Roman" w:hAnsi="Times New Roman"/>
        </w:rPr>
      </w:pPr>
    </w:p>
    <w:p w14:paraId="49921F35" w14:textId="6D091DAE" w:rsidR="00DE679F" w:rsidRPr="004F14EE" w:rsidRDefault="004F14EE" w:rsidP="004F14EE">
      <w:pPr>
        <w:spacing w:after="160" w:line="276" w:lineRule="auto"/>
        <w:rPr>
          <w:rFonts w:ascii="Century Gothic" w:eastAsia="Times New Roman" w:hAnsi="Century Gothic"/>
          <w:b/>
          <w:bCs/>
          <w:szCs w:val="22"/>
        </w:rPr>
      </w:pPr>
      <w:r w:rsidRPr="004F14EE">
        <w:rPr>
          <w:rFonts w:ascii="Century Gothic" w:eastAsia="Times New Roman" w:hAnsi="Century Gothic"/>
          <w:b/>
          <w:bCs/>
          <w:szCs w:val="22"/>
        </w:rPr>
        <w:t>L</w:t>
      </w:r>
      <w:r w:rsidR="00DE679F" w:rsidRPr="004F14EE">
        <w:rPr>
          <w:rFonts w:ascii="Century Gothic" w:eastAsia="Times New Roman" w:hAnsi="Century Gothic"/>
          <w:b/>
          <w:bCs/>
          <w:szCs w:val="22"/>
        </w:rPr>
        <w:t>OW INCOME PUBLIC HOUSING (LIPH)</w:t>
      </w:r>
    </w:p>
    <w:p w14:paraId="05C411C5" w14:textId="77777777" w:rsidR="00DE679F" w:rsidRPr="00DA0C8E" w:rsidRDefault="00DE679F" w:rsidP="00DE679F">
      <w:pPr>
        <w:rPr>
          <w:rFonts w:ascii="Century Gothic" w:eastAsia="Times New Roman" w:hAnsi="Century Gothic"/>
        </w:rPr>
      </w:pPr>
      <w:r w:rsidRPr="00DA0C8E">
        <w:rPr>
          <w:rFonts w:ascii="Century Gothic" w:eastAsia="Times New Roman" w:hAnsi="Century Gothic"/>
        </w:rPr>
        <w:t xml:space="preserve">ECC/HANH started FY2024 with a housing stock of 1022 units, </w:t>
      </w:r>
    </w:p>
    <w:p w14:paraId="4DEA5A0E" w14:textId="77777777" w:rsidR="00DE679F" w:rsidRPr="00DA0C8E" w:rsidRDefault="00DE679F" w:rsidP="00DE679F">
      <w:pPr>
        <w:numPr>
          <w:ilvl w:val="0"/>
          <w:numId w:val="41"/>
        </w:numPr>
        <w:rPr>
          <w:rFonts w:ascii="Century Gothic" w:eastAsia="Times New Roman" w:hAnsi="Century Gothic"/>
          <w:szCs w:val="22"/>
        </w:rPr>
      </w:pPr>
      <w:r w:rsidRPr="00DA0C8E">
        <w:rPr>
          <w:rFonts w:ascii="Century Gothic" w:eastAsia="Times New Roman" w:hAnsi="Century Gothic"/>
          <w:szCs w:val="22"/>
        </w:rPr>
        <w:t>632 site-based family units (57% of LIPH stock)</w:t>
      </w:r>
    </w:p>
    <w:p w14:paraId="328D9A5C" w14:textId="77777777" w:rsidR="00DE679F" w:rsidRPr="00DA0C8E" w:rsidRDefault="00DE679F" w:rsidP="00DE679F">
      <w:pPr>
        <w:pStyle w:val="ListParagraph"/>
        <w:numPr>
          <w:ilvl w:val="0"/>
          <w:numId w:val="41"/>
        </w:numPr>
        <w:rPr>
          <w:rFonts w:ascii="Century Gothic" w:eastAsia="Times New Roman" w:hAnsi="Century Gothic"/>
          <w:szCs w:val="22"/>
        </w:rPr>
      </w:pPr>
      <w:r w:rsidRPr="00DA0C8E">
        <w:rPr>
          <w:rFonts w:ascii="Century Gothic" w:eastAsia="Times New Roman" w:hAnsi="Century Gothic"/>
          <w:szCs w:val="22"/>
        </w:rPr>
        <w:t>219 elderly/disabled units (27 of LIPH stock)</w:t>
      </w:r>
    </w:p>
    <w:p w14:paraId="7D679C00" w14:textId="77777777" w:rsidR="00DE679F" w:rsidRPr="00DA0C8E" w:rsidRDefault="00DE679F" w:rsidP="00DE679F">
      <w:pPr>
        <w:pStyle w:val="ListParagraph"/>
        <w:numPr>
          <w:ilvl w:val="0"/>
          <w:numId w:val="41"/>
        </w:numPr>
        <w:rPr>
          <w:rFonts w:ascii="Century Gothic" w:eastAsia="Times New Roman" w:hAnsi="Century Gothic"/>
          <w:szCs w:val="22"/>
        </w:rPr>
      </w:pPr>
      <w:r w:rsidRPr="00DA0C8E">
        <w:rPr>
          <w:rFonts w:ascii="Century Gothic" w:eastAsia="Times New Roman" w:hAnsi="Century Gothic"/>
          <w:szCs w:val="22"/>
        </w:rPr>
        <w:t>171 scattered site units (16% of LIPH stock)</w:t>
      </w:r>
    </w:p>
    <w:p w14:paraId="0AD8B160" w14:textId="77777777" w:rsidR="00DE679F" w:rsidRPr="00DA0C8E" w:rsidRDefault="00DE679F" w:rsidP="00DE679F">
      <w:pPr>
        <w:ind w:left="720"/>
        <w:rPr>
          <w:rFonts w:ascii="Century Gothic" w:eastAsia="Times New Roman" w:hAnsi="Century Gothic"/>
          <w:szCs w:val="22"/>
        </w:rPr>
      </w:pPr>
    </w:p>
    <w:p w14:paraId="36196FA4" w14:textId="77777777" w:rsidR="00DE679F" w:rsidRPr="00DA0C8E" w:rsidRDefault="00DE679F" w:rsidP="00DE679F">
      <w:pPr>
        <w:rPr>
          <w:rFonts w:ascii="Century Gothic" w:eastAsia="Times New Roman" w:hAnsi="Century Gothic"/>
        </w:rPr>
      </w:pPr>
      <w:r w:rsidRPr="00DA0C8E">
        <w:rPr>
          <w:rFonts w:ascii="Century Gothic" w:eastAsia="Times New Roman" w:hAnsi="Century Gothic"/>
        </w:rPr>
        <w:t xml:space="preserve">and planned to end with 584 public housing units.  </w:t>
      </w:r>
    </w:p>
    <w:p w14:paraId="08DCB029" w14:textId="77777777" w:rsidR="00DE679F" w:rsidRPr="00DA0C8E" w:rsidRDefault="00DE679F" w:rsidP="00DE679F">
      <w:pPr>
        <w:pStyle w:val="ListParagraph"/>
        <w:numPr>
          <w:ilvl w:val="0"/>
          <w:numId w:val="40"/>
        </w:numPr>
        <w:rPr>
          <w:rFonts w:ascii="Century Gothic" w:eastAsia="Times New Roman" w:hAnsi="Century Gothic"/>
        </w:rPr>
      </w:pPr>
      <w:r w:rsidRPr="00DA0C8E">
        <w:rPr>
          <w:rFonts w:ascii="Century Gothic" w:eastAsia="Times New Roman" w:hAnsi="Century Gothic"/>
        </w:rPr>
        <w:t>391 site-based family units (67% of LIPH stock)</w:t>
      </w:r>
    </w:p>
    <w:p w14:paraId="155ED69C" w14:textId="77777777" w:rsidR="00DE679F" w:rsidRPr="00DA0C8E" w:rsidRDefault="00DE679F" w:rsidP="00DE679F">
      <w:pPr>
        <w:pStyle w:val="ListParagraph"/>
        <w:numPr>
          <w:ilvl w:val="0"/>
          <w:numId w:val="40"/>
        </w:numPr>
        <w:rPr>
          <w:rFonts w:ascii="Century Gothic" w:eastAsia="Times New Roman" w:hAnsi="Century Gothic"/>
        </w:rPr>
      </w:pPr>
      <w:r w:rsidRPr="00DA0C8E">
        <w:rPr>
          <w:rFonts w:ascii="Century Gothic" w:eastAsia="Times New Roman" w:hAnsi="Century Gothic"/>
        </w:rPr>
        <w:t>109 Elderly/Disabled units (7% of LIPH stock)</w:t>
      </w:r>
    </w:p>
    <w:p w14:paraId="725BDD9C" w14:textId="77777777" w:rsidR="00DE679F" w:rsidRPr="00DA0C8E" w:rsidRDefault="00DE679F" w:rsidP="00DE679F">
      <w:pPr>
        <w:pStyle w:val="ListParagraph"/>
        <w:numPr>
          <w:ilvl w:val="0"/>
          <w:numId w:val="40"/>
        </w:numPr>
        <w:rPr>
          <w:rFonts w:ascii="Century Gothic" w:eastAsia="Times New Roman" w:hAnsi="Century Gothic"/>
        </w:rPr>
      </w:pPr>
      <w:r w:rsidRPr="00DA0C8E">
        <w:rPr>
          <w:rFonts w:ascii="Century Gothic" w:eastAsia="Times New Roman" w:hAnsi="Century Gothic"/>
        </w:rPr>
        <w:t>83 Scattered Site units (14% of LIPH stock)</w:t>
      </w:r>
    </w:p>
    <w:p w14:paraId="495199B0" w14:textId="77777777" w:rsidR="00DE679F" w:rsidRPr="00DA0C8E" w:rsidRDefault="00DE679F" w:rsidP="00DE679F">
      <w:pPr>
        <w:rPr>
          <w:rFonts w:ascii="Century Gothic" w:hAnsi="Century Gothic"/>
        </w:rPr>
      </w:pPr>
    </w:p>
    <w:p w14:paraId="5A81E40E" w14:textId="77777777" w:rsidR="00DE679F" w:rsidRDefault="00DE679F" w:rsidP="00DE679F">
      <w:pPr>
        <w:rPr>
          <w:rFonts w:ascii="Century Gothic" w:hAnsi="Century Gothic"/>
        </w:rPr>
      </w:pPr>
      <w:r w:rsidRPr="00DA0C8E">
        <w:rPr>
          <w:rFonts w:ascii="Century Gothic" w:hAnsi="Century Gothic"/>
        </w:rPr>
        <w:t xml:space="preserve">At the end of FY2024, ECC/HANH had 821public housing units. </w:t>
      </w:r>
      <w:r>
        <w:rPr>
          <w:rFonts w:ascii="Century Gothic" w:hAnsi="Century Gothic"/>
        </w:rPr>
        <w:t>201 family units at McConaughy Terrace were converted to RAD/PBVs, however 87 Scattered Site units were not converted as planned.</w:t>
      </w:r>
    </w:p>
    <w:p w14:paraId="4416D53D" w14:textId="77777777" w:rsidR="00DE679F" w:rsidRDefault="00DE679F" w:rsidP="00DE679F">
      <w:pPr>
        <w:rPr>
          <w:rFonts w:ascii="Century Gothic" w:hAnsi="Century Gothic"/>
        </w:rPr>
      </w:pPr>
    </w:p>
    <w:p w14:paraId="3AFF4B12" w14:textId="77777777" w:rsidR="00DE679F" w:rsidRPr="00DA0C8E" w:rsidRDefault="00DE679F" w:rsidP="00DE679F">
      <w:pPr>
        <w:rPr>
          <w:rFonts w:ascii="Century Gothic" w:eastAsia="Helvetica" w:hAnsi="Century Gothic"/>
        </w:rPr>
      </w:pPr>
      <w:r w:rsidRPr="00DA0C8E">
        <w:rPr>
          <w:rFonts w:ascii="Century Gothic" w:hAnsi="Century Gothic"/>
        </w:rPr>
        <w:t xml:space="preserve">This total included: </w:t>
      </w:r>
    </w:p>
    <w:p w14:paraId="6EEFB712" w14:textId="77777777" w:rsidR="00DE679F" w:rsidRPr="00DA0C8E" w:rsidRDefault="00DE679F" w:rsidP="00DE679F">
      <w:pPr>
        <w:pStyle w:val="ListParagraph"/>
        <w:numPr>
          <w:ilvl w:val="0"/>
          <w:numId w:val="77"/>
        </w:numPr>
        <w:spacing w:before="120" w:after="120"/>
        <w:rPr>
          <w:rFonts w:ascii="Century Gothic" w:hAnsi="Century Gothic"/>
        </w:rPr>
      </w:pPr>
      <w:r>
        <w:rPr>
          <w:rFonts w:ascii="Century Gothic" w:hAnsi="Century Gothic"/>
        </w:rPr>
        <w:t>342</w:t>
      </w:r>
      <w:r w:rsidRPr="00DA0C8E">
        <w:rPr>
          <w:rFonts w:ascii="Century Gothic" w:hAnsi="Century Gothic"/>
        </w:rPr>
        <w:t xml:space="preserve"> site-based family units (</w:t>
      </w:r>
      <w:r>
        <w:rPr>
          <w:rFonts w:ascii="Century Gothic" w:hAnsi="Century Gothic"/>
        </w:rPr>
        <w:t>42</w:t>
      </w:r>
      <w:r w:rsidRPr="00DA0C8E">
        <w:rPr>
          <w:rFonts w:ascii="Century Gothic" w:hAnsi="Century Gothic"/>
        </w:rPr>
        <w:t>% of LIPH stock)</w:t>
      </w:r>
    </w:p>
    <w:p w14:paraId="7D4F1CF4" w14:textId="77777777" w:rsidR="00DE679F" w:rsidRPr="00DA0C8E" w:rsidRDefault="00DE679F" w:rsidP="00DE679F">
      <w:pPr>
        <w:pStyle w:val="ListParagraph"/>
        <w:numPr>
          <w:ilvl w:val="0"/>
          <w:numId w:val="77"/>
        </w:numPr>
        <w:spacing w:before="120" w:after="120"/>
        <w:rPr>
          <w:rFonts w:ascii="Century Gothic" w:hAnsi="Century Gothic"/>
        </w:rPr>
      </w:pPr>
      <w:r>
        <w:rPr>
          <w:rFonts w:ascii="Century Gothic" w:hAnsi="Century Gothic"/>
        </w:rPr>
        <w:t>308</w:t>
      </w:r>
      <w:r w:rsidRPr="00DA0C8E">
        <w:rPr>
          <w:rFonts w:ascii="Century Gothic" w:hAnsi="Century Gothic"/>
        </w:rPr>
        <w:t xml:space="preserve"> elderly/disabled units (</w:t>
      </w:r>
      <w:r>
        <w:rPr>
          <w:rFonts w:ascii="Century Gothic" w:hAnsi="Century Gothic"/>
        </w:rPr>
        <w:t>38%</w:t>
      </w:r>
      <w:r w:rsidRPr="00DA0C8E">
        <w:rPr>
          <w:rFonts w:ascii="Century Gothic" w:hAnsi="Century Gothic"/>
        </w:rPr>
        <w:t xml:space="preserve"> of LIPH stock)</w:t>
      </w:r>
    </w:p>
    <w:p w14:paraId="5F16C0BD" w14:textId="77777777" w:rsidR="00DE679F" w:rsidRPr="00DA0C8E" w:rsidRDefault="00DE679F" w:rsidP="00DE679F">
      <w:pPr>
        <w:pStyle w:val="ListParagraph"/>
        <w:numPr>
          <w:ilvl w:val="0"/>
          <w:numId w:val="77"/>
        </w:numPr>
        <w:spacing w:before="120" w:after="120"/>
        <w:rPr>
          <w:rFonts w:ascii="Century Gothic" w:hAnsi="Century Gothic"/>
        </w:rPr>
      </w:pPr>
      <w:r>
        <w:rPr>
          <w:rFonts w:ascii="Century Gothic" w:hAnsi="Century Gothic"/>
        </w:rPr>
        <w:t>171</w:t>
      </w:r>
      <w:r w:rsidRPr="00DA0C8E">
        <w:rPr>
          <w:rFonts w:ascii="Century Gothic" w:hAnsi="Century Gothic"/>
        </w:rPr>
        <w:t xml:space="preserve"> scattered site units (</w:t>
      </w:r>
      <w:r>
        <w:rPr>
          <w:rFonts w:ascii="Century Gothic" w:hAnsi="Century Gothic"/>
        </w:rPr>
        <w:t>20</w:t>
      </w:r>
      <w:r w:rsidRPr="00DA0C8E">
        <w:rPr>
          <w:rFonts w:ascii="Century Gothic" w:hAnsi="Century Gothic"/>
        </w:rPr>
        <w:t xml:space="preserve">% of LIPH stock) </w:t>
      </w:r>
    </w:p>
    <w:p w14:paraId="06ECF57F" w14:textId="77777777" w:rsidR="00DE679F" w:rsidRPr="00DA0C8E" w:rsidRDefault="00DE679F" w:rsidP="00DE679F">
      <w:pPr>
        <w:pStyle w:val="ListParagraph"/>
        <w:rPr>
          <w:rFonts w:ascii="Century Gothic" w:eastAsia="Helvetica" w:hAnsi="Century Gothic"/>
          <w:highlight w:val="yellow"/>
        </w:rPr>
      </w:pPr>
    </w:p>
    <w:p w14:paraId="4B92ACA7" w14:textId="5DEEA294" w:rsidR="00DE679F" w:rsidRPr="00DA0C8E" w:rsidRDefault="00DE679F" w:rsidP="00DE679F">
      <w:pPr>
        <w:rPr>
          <w:rFonts w:ascii="Century Gothic" w:eastAsia="Times New Roman" w:hAnsi="Century Gothic"/>
        </w:rPr>
      </w:pPr>
      <w:r w:rsidRPr="00DA0C8E">
        <w:rPr>
          <w:rFonts w:ascii="Century Gothic" w:eastAsia="Times New Roman" w:hAnsi="Century Gothic"/>
        </w:rPr>
        <w:t>At the start of ECC/HANH’s MTW status, ECC/HANH’s LIPH housing stock included 2,965 total units</w:t>
      </w:r>
      <w:r>
        <w:rPr>
          <w:rFonts w:ascii="Century Gothic" w:eastAsia="Times New Roman" w:hAnsi="Century Gothic"/>
        </w:rPr>
        <w:t>, a 72% reduction in LIPH units</w:t>
      </w:r>
      <w:r w:rsidRPr="00DA0C8E">
        <w:rPr>
          <w:rFonts w:ascii="Century Gothic" w:eastAsia="Times New Roman" w:hAnsi="Century Gothic"/>
        </w:rPr>
        <w:t xml:space="preserve">. </w:t>
      </w:r>
      <w:r>
        <w:rPr>
          <w:rFonts w:ascii="Century Gothic" w:eastAsia="Times New Roman" w:hAnsi="Century Gothic"/>
        </w:rPr>
        <w:t xml:space="preserve">A majority of the </w:t>
      </w:r>
      <w:r w:rsidRPr="006801BC">
        <w:rPr>
          <w:rFonts w:ascii="Century Gothic" w:eastAsia="Times New Roman" w:hAnsi="Century Gothic"/>
        </w:rPr>
        <w:t>LIPH</w:t>
      </w:r>
      <w:r w:rsidRPr="00DA0C8E">
        <w:rPr>
          <w:rFonts w:ascii="Century Gothic" w:eastAsia="Times New Roman" w:hAnsi="Century Gothic"/>
        </w:rPr>
        <w:t xml:space="preserve"> units have </w:t>
      </w:r>
      <w:r w:rsidR="00E05E21" w:rsidRPr="00DA0C8E">
        <w:rPr>
          <w:rFonts w:ascii="Century Gothic" w:eastAsia="Times New Roman" w:hAnsi="Century Gothic"/>
        </w:rPr>
        <w:t>been converted</w:t>
      </w:r>
      <w:r w:rsidRPr="00DA0C8E">
        <w:rPr>
          <w:rFonts w:ascii="Century Gothic" w:eastAsia="Times New Roman" w:hAnsi="Century Gothic"/>
        </w:rPr>
        <w:t xml:space="preserve"> to RAD/PBV and PBV units.  </w:t>
      </w:r>
    </w:p>
    <w:p w14:paraId="54F66041" w14:textId="77777777" w:rsidR="00DE679F" w:rsidRPr="00DA0C8E" w:rsidRDefault="00DE679F" w:rsidP="00DE679F">
      <w:pPr>
        <w:rPr>
          <w:rFonts w:ascii="Century Gothic" w:hAnsi="Century Gothic"/>
        </w:rPr>
      </w:pPr>
    </w:p>
    <w:p w14:paraId="0AD77270" w14:textId="77777777" w:rsidR="00DE679F" w:rsidRPr="00DA0C8E" w:rsidRDefault="00DE679F" w:rsidP="00DE679F">
      <w:pPr>
        <w:rPr>
          <w:rFonts w:ascii="Century Gothic" w:hAnsi="Century Gothic"/>
        </w:rPr>
      </w:pPr>
      <w:r w:rsidRPr="00DA0C8E">
        <w:rPr>
          <w:rFonts w:ascii="Century Gothic" w:hAnsi="Century Gothic"/>
        </w:rPr>
        <w:t xml:space="preserve">Although ECC/HANH is decreasing the LIPH stock, it is important to note that the RAD stock has increased. The increase in RAD units means that residents are not losing housing opportunities, and as noted previously, </w:t>
      </w:r>
      <w:r>
        <w:rPr>
          <w:rFonts w:ascii="Century Gothic" w:hAnsi="Century Gothic"/>
        </w:rPr>
        <w:t>29%</w:t>
      </w:r>
      <w:r w:rsidRPr="00DA0C8E">
        <w:rPr>
          <w:rFonts w:ascii="Century Gothic" w:hAnsi="Century Gothic"/>
        </w:rPr>
        <w:t xml:space="preserve"> more families are now served through ECC/HANH’s affordable housing programs than before ECC/HANH was granted MTW status.</w:t>
      </w:r>
    </w:p>
    <w:p w14:paraId="064DD77B" w14:textId="77777777" w:rsidR="00DE679F" w:rsidRPr="00DA0C8E" w:rsidRDefault="00DE679F" w:rsidP="00DE679F">
      <w:pPr>
        <w:rPr>
          <w:rFonts w:ascii="Century Gothic" w:eastAsia="MS PGothic" w:hAnsi="Century Gothic"/>
          <w:szCs w:val="22"/>
        </w:rPr>
      </w:pPr>
    </w:p>
    <w:p w14:paraId="73504446" w14:textId="77777777" w:rsidR="00DE679F" w:rsidRDefault="00DE679F" w:rsidP="00DE679F">
      <w:pPr>
        <w:rPr>
          <w:rFonts w:ascii="Century Gothic" w:eastAsia="Helvetica" w:hAnsi="Century Gothic"/>
        </w:rPr>
      </w:pPr>
      <w:r w:rsidRPr="00DA0C8E">
        <w:rPr>
          <w:rFonts w:ascii="Century Gothic" w:eastAsia="Helvetica" w:hAnsi="Century Gothic"/>
        </w:rPr>
        <w:lastRenderedPageBreak/>
        <w:t>Of the total LIPH units, post RAD-conversion, 13 units will remain approved as vacancies for units offline. These will be held for the following uses: Officers in Residence, Teachers in Residence, Asset Management offices, Tenant Resident Council offices/food banks.</w:t>
      </w:r>
    </w:p>
    <w:p w14:paraId="69583347" w14:textId="77777777" w:rsidR="00DE679F" w:rsidRPr="00DA0C8E" w:rsidRDefault="00DE679F" w:rsidP="00DE679F">
      <w:pPr>
        <w:rPr>
          <w:rFonts w:ascii="Century Gothic" w:hAnsi="Century Gothic"/>
        </w:rPr>
      </w:pPr>
    </w:p>
    <w:p w14:paraId="77B422C0" w14:textId="77777777" w:rsidR="00DE679F" w:rsidRPr="00DA0C8E" w:rsidRDefault="00DE679F" w:rsidP="00DE679F">
      <w:pPr>
        <w:spacing w:after="160" w:line="276" w:lineRule="auto"/>
        <w:rPr>
          <w:rFonts w:ascii="Century Gothic" w:hAnsi="Century Gothic"/>
          <w:b/>
          <w:bCs/>
        </w:rPr>
      </w:pPr>
      <w:r w:rsidRPr="00DA0C8E">
        <w:rPr>
          <w:rFonts w:ascii="Century Gothic" w:hAnsi="Century Gothic"/>
          <w:b/>
          <w:bCs/>
        </w:rPr>
        <w:t xml:space="preserve">The following table details the LIPH portfolio at the end of FY24. </w:t>
      </w:r>
    </w:p>
    <w:tbl>
      <w:tblPr>
        <w:tblW w:w="9931" w:type="dxa"/>
        <w:tblLayout w:type="fixed"/>
        <w:tblLook w:val="04A0" w:firstRow="1" w:lastRow="0" w:firstColumn="1" w:lastColumn="0" w:noHBand="0" w:noVBand="1"/>
      </w:tblPr>
      <w:tblGrid>
        <w:gridCol w:w="2422"/>
        <w:gridCol w:w="1440"/>
        <w:gridCol w:w="1140"/>
        <w:gridCol w:w="1047"/>
        <w:gridCol w:w="1077"/>
        <w:gridCol w:w="793"/>
        <w:gridCol w:w="1077"/>
        <w:gridCol w:w="935"/>
      </w:tblGrid>
      <w:tr w:rsidR="00DE679F" w:rsidRPr="00AB230A" w14:paraId="0444252E" w14:textId="77777777" w:rsidTr="002A35F2">
        <w:trPr>
          <w:trHeight w:val="1035"/>
        </w:trPr>
        <w:tc>
          <w:tcPr>
            <w:tcW w:w="2422" w:type="dxa"/>
            <w:tcBorders>
              <w:top w:val="single" w:sz="8" w:space="0" w:color="C0504D"/>
              <w:left w:val="single" w:sz="8" w:space="0" w:color="C0504D"/>
              <w:bottom w:val="single" w:sz="8" w:space="0" w:color="C0504D"/>
              <w:right w:val="nil"/>
            </w:tcBorders>
            <w:shd w:val="clear" w:color="auto" w:fill="C0504D"/>
            <w:tcMar>
              <w:left w:w="108" w:type="dxa"/>
              <w:right w:w="108" w:type="dxa"/>
            </w:tcMar>
            <w:vAlign w:val="center"/>
          </w:tcPr>
          <w:p w14:paraId="54A61889" w14:textId="77777777" w:rsidR="00DE679F" w:rsidRPr="00DA0C8E" w:rsidRDefault="00DE679F" w:rsidP="002A35F2">
            <w:pPr>
              <w:jc w:val="center"/>
              <w:rPr>
                <w:rFonts w:ascii="Century Gothic" w:eastAsia="Times New Roman" w:hAnsi="Century Gothic"/>
                <w:b/>
                <w:bCs/>
                <w:color w:val="000000" w:themeColor="text1"/>
                <w:szCs w:val="22"/>
              </w:rPr>
            </w:pPr>
            <w:r w:rsidRPr="00DA0C8E">
              <w:rPr>
                <w:rFonts w:ascii="Century Gothic" w:eastAsia="Times New Roman" w:hAnsi="Century Gothic"/>
                <w:b/>
                <w:bCs/>
                <w:color w:val="000000" w:themeColor="text1"/>
                <w:szCs w:val="22"/>
              </w:rPr>
              <w:t>Development Name</w:t>
            </w:r>
          </w:p>
        </w:tc>
        <w:tc>
          <w:tcPr>
            <w:tcW w:w="1440" w:type="dxa"/>
            <w:tcBorders>
              <w:top w:val="single" w:sz="8" w:space="0" w:color="C0504D"/>
              <w:left w:val="nil"/>
              <w:bottom w:val="single" w:sz="8" w:space="0" w:color="C0504D"/>
              <w:right w:val="nil"/>
            </w:tcBorders>
            <w:shd w:val="clear" w:color="auto" w:fill="C0504D"/>
            <w:tcMar>
              <w:left w:w="108" w:type="dxa"/>
              <w:right w:w="108" w:type="dxa"/>
            </w:tcMar>
            <w:vAlign w:val="center"/>
          </w:tcPr>
          <w:p w14:paraId="0308121F" w14:textId="77777777" w:rsidR="00DE679F" w:rsidRPr="00DA0C8E" w:rsidRDefault="00DE679F" w:rsidP="002A35F2">
            <w:pPr>
              <w:jc w:val="center"/>
              <w:rPr>
                <w:rFonts w:ascii="Century Gothic" w:eastAsia="Times New Roman" w:hAnsi="Century Gothic"/>
                <w:b/>
                <w:bCs/>
                <w:color w:val="000000" w:themeColor="text1"/>
                <w:szCs w:val="22"/>
              </w:rPr>
            </w:pPr>
            <w:r w:rsidRPr="00DA0C8E">
              <w:rPr>
                <w:rFonts w:ascii="Century Gothic" w:eastAsia="Times New Roman" w:hAnsi="Century Gothic"/>
                <w:b/>
                <w:bCs/>
                <w:color w:val="000000" w:themeColor="text1"/>
                <w:szCs w:val="22"/>
              </w:rPr>
              <w:t>Development Type</w:t>
            </w:r>
          </w:p>
        </w:tc>
        <w:tc>
          <w:tcPr>
            <w:tcW w:w="1140" w:type="dxa"/>
            <w:tcBorders>
              <w:top w:val="single" w:sz="8" w:space="0" w:color="C0504D"/>
              <w:left w:val="nil"/>
              <w:bottom w:val="single" w:sz="8" w:space="0" w:color="C0504D"/>
              <w:right w:val="nil"/>
            </w:tcBorders>
            <w:shd w:val="clear" w:color="auto" w:fill="C0504D"/>
            <w:tcMar>
              <w:left w:w="108" w:type="dxa"/>
              <w:right w:w="108" w:type="dxa"/>
            </w:tcMar>
            <w:vAlign w:val="center"/>
          </w:tcPr>
          <w:p w14:paraId="67ABD446" w14:textId="77777777" w:rsidR="00DE679F" w:rsidRPr="00DA0C8E" w:rsidRDefault="00DE679F" w:rsidP="002A35F2">
            <w:pPr>
              <w:jc w:val="center"/>
              <w:rPr>
                <w:rFonts w:ascii="Century Gothic" w:eastAsia="Times New Roman" w:hAnsi="Century Gothic"/>
                <w:b/>
                <w:color w:val="000000" w:themeColor="text1"/>
              </w:rPr>
            </w:pPr>
            <w:r w:rsidRPr="00DA0C8E">
              <w:rPr>
                <w:rFonts w:ascii="Century Gothic" w:eastAsia="Times New Roman" w:hAnsi="Century Gothic"/>
                <w:b/>
                <w:color w:val="000000" w:themeColor="text1"/>
              </w:rPr>
              <w:t xml:space="preserve">Units beginning </w:t>
            </w:r>
            <w:r w:rsidRPr="00DA0C8E">
              <w:rPr>
                <w:rFonts w:ascii="Century Gothic" w:eastAsia="Times New Roman" w:hAnsi="Century Gothic"/>
                <w:b/>
                <w:bCs/>
                <w:color w:val="000000" w:themeColor="text1"/>
              </w:rPr>
              <w:t>FY24</w:t>
            </w:r>
          </w:p>
        </w:tc>
        <w:tc>
          <w:tcPr>
            <w:tcW w:w="1047" w:type="dxa"/>
            <w:tcBorders>
              <w:top w:val="single" w:sz="8" w:space="0" w:color="C0504D"/>
              <w:left w:val="nil"/>
              <w:bottom w:val="single" w:sz="8" w:space="0" w:color="C0504D"/>
              <w:right w:val="nil"/>
            </w:tcBorders>
            <w:shd w:val="clear" w:color="auto" w:fill="C0504D"/>
            <w:tcMar>
              <w:left w:w="108" w:type="dxa"/>
              <w:right w:w="108" w:type="dxa"/>
            </w:tcMar>
            <w:vAlign w:val="center"/>
          </w:tcPr>
          <w:p w14:paraId="45FB774B" w14:textId="77777777" w:rsidR="00DE679F" w:rsidRPr="00DA0C8E" w:rsidRDefault="00DE679F" w:rsidP="002A35F2">
            <w:pPr>
              <w:jc w:val="center"/>
              <w:rPr>
                <w:rFonts w:ascii="Century Gothic" w:eastAsia="Times New Roman" w:hAnsi="Century Gothic"/>
                <w:b/>
                <w:bCs/>
                <w:color w:val="000000" w:themeColor="text1"/>
                <w:szCs w:val="22"/>
              </w:rPr>
            </w:pPr>
            <w:r w:rsidRPr="00DA0C8E">
              <w:rPr>
                <w:rFonts w:ascii="Century Gothic" w:eastAsia="Times New Roman" w:hAnsi="Century Gothic"/>
                <w:b/>
                <w:bCs/>
                <w:color w:val="000000" w:themeColor="text1"/>
                <w:szCs w:val="22"/>
              </w:rPr>
              <w:t>Planned Units to Add</w:t>
            </w:r>
          </w:p>
        </w:tc>
        <w:tc>
          <w:tcPr>
            <w:tcW w:w="1077" w:type="dxa"/>
            <w:tcBorders>
              <w:top w:val="single" w:sz="8" w:space="0" w:color="C0504D"/>
              <w:left w:val="nil"/>
              <w:bottom w:val="single" w:sz="8" w:space="0" w:color="C0504D"/>
              <w:right w:val="nil"/>
            </w:tcBorders>
            <w:shd w:val="clear" w:color="auto" w:fill="C0504D"/>
            <w:tcMar>
              <w:left w:w="108" w:type="dxa"/>
              <w:right w:w="108" w:type="dxa"/>
            </w:tcMar>
            <w:vAlign w:val="center"/>
          </w:tcPr>
          <w:p w14:paraId="5B1C5E5F" w14:textId="77777777" w:rsidR="00DE679F" w:rsidRPr="00DA0C8E" w:rsidRDefault="00DE679F" w:rsidP="002A35F2">
            <w:pPr>
              <w:jc w:val="center"/>
              <w:rPr>
                <w:rFonts w:ascii="Century Gothic" w:eastAsia="Times New Roman" w:hAnsi="Century Gothic"/>
                <w:b/>
                <w:bCs/>
                <w:color w:val="000000" w:themeColor="text1"/>
                <w:szCs w:val="22"/>
              </w:rPr>
            </w:pPr>
            <w:r w:rsidRPr="00DA0C8E">
              <w:rPr>
                <w:rFonts w:ascii="Century Gothic" w:eastAsia="Times New Roman" w:hAnsi="Century Gothic"/>
                <w:b/>
                <w:bCs/>
                <w:color w:val="000000" w:themeColor="text1"/>
                <w:szCs w:val="22"/>
              </w:rPr>
              <w:t>Planned Units to Remove</w:t>
            </w:r>
          </w:p>
        </w:tc>
        <w:tc>
          <w:tcPr>
            <w:tcW w:w="793" w:type="dxa"/>
            <w:tcBorders>
              <w:top w:val="single" w:sz="8" w:space="0" w:color="C0504D"/>
              <w:left w:val="nil"/>
              <w:bottom w:val="single" w:sz="8" w:space="0" w:color="C0504D"/>
              <w:right w:val="nil"/>
            </w:tcBorders>
            <w:shd w:val="clear" w:color="auto" w:fill="C0504D"/>
            <w:tcMar>
              <w:left w:w="108" w:type="dxa"/>
              <w:right w:w="108" w:type="dxa"/>
            </w:tcMar>
            <w:vAlign w:val="center"/>
          </w:tcPr>
          <w:p w14:paraId="6A5D5274" w14:textId="77777777" w:rsidR="00DE679F" w:rsidRPr="00DA0C8E" w:rsidRDefault="00DE679F" w:rsidP="002A35F2">
            <w:pPr>
              <w:jc w:val="center"/>
              <w:rPr>
                <w:rFonts w:ascii="Century Gothic" w:eastAsia="Times New Roman" w:hAnsi="Century Gothic"/>
                <w:b/>
                <w:bCs/>
                <w:color w:val="000000" w:themeColor="text1"/>
                <w:szCs w:val="22"/>
              </w:rPr>
            </w:pPr>
            <w:r w:rsidRPr="00DA0C8E">
              <w:rPr>
                <w:rFonts w:ascii="Century Gothic" w:eastAsia="Times New Roman" w:hAnsi="Century Gothic"/>
                <w:b/>
                <w:bCs/>
                <w:color w:val="000000" w:themeColor="text1"/>
                <w:szCs w:val="22"/>
              </w:rPr>
              <w:t>Actual Units Added</w:t>
            </w:r>
          </w:p>
        </w:tc>
        <w:tc>
          <w:tcPr>
            <w:tcW w:w="1077" w:type="dxa"/>
            <w:tcBorders>
              <w:top w:val="single" w:sz="8" w:space="0" w:color="C0504D"/>
              <w:left w:val="nil"/>
              <w:bottom w:val="single" w:sz="8" w:space="0" w:color="C0504D"/>
              <w:right w:val="nil"/>
            </w:tcBorders>
            <w:shd w:val="clear" w:color="auto" w:fill="C0504D"/>
            <w:tcMar>
              <w:left w:w="108" w:type="dxa"/>
              <w:right w:w="108" w:type="dxa"/>
            </w:tcMar>
            <w:vAlign w:val="center"/>
          </w:tcPr>
          <w:p w14:paraId="19311438" w14:textId="77777777" w:rsidR="00DE679F" w:rsidRPr="00DA0C8E" w:rsidRDefault="00DE679F" w:rsidP="002A35F2">
            <w:pPr>
              <w:jc w:val="center"/>
              <w:rPr>
                <w:rFonts w:ascii="Century Gothic" w:eastAsia="Times New Roman" w:hAnsi="Century Gothic"/>
                <w:b/>
                <w:bCs/>
                <w:color w:val="000000" w:themeColor="text1"/>
                <w:szCs w:val="22"/>
              </w:rPr>
            </w:pPr>
            <w:r w:rsidRPr="00DA0C8E">
              <w:rPr>
                <w:rFonts w:ascii="Century Gothic" w:eastAsia="Times New Roman" w:hAnsi="Century Gothic"/>
                <w:b/>
                <w:bCs/>
                <w:color w:val="000000" w:themeColor="text1"/>
                <w:szCs w:val="22"/>
              </w:rPr>
              <w:t>Actual Units Removed</w:t>
            </w:r>
          </w:p>
        </w:tc>
        <w:tc>
          <w:tcPr>
            <w:tcW w:w="935" w:type="dxa"/>
            <w:tcBorders>
              <w:top w:val="single" w:sz="8" w:space="0" w:color="C0504D"/>
              <w:left w:val="nil"/>
              <w:bottom w:val="single" w:sz="8" w:space="0" w:color="C0504D"/>
              <w:right w:val="single" w:sz="8" w:space="0" w:color="C0504D"/>
            </w:tcBorders>
            <w:shd w:val="clear" w:color="auto" w:fill="C0504D"/>
            <w:tcMar>
              <w:left w:w="108" w:type="dxa"/>
              <w:right w:w="108" w:type="dxa"/>
            </w:tcMar>
            <w:vAlign w:val="center"/>
          </w:tcPr>
          <w:p w14:paraId="0AE16749" w14:textId="77777777" w:rsidR="00DE679F" w:rsidRPr="00DA0C8E" w:rsidRDefault="00DE679F" w:rsidP="002A35F2">
            <w:pPr>
              <w:jc w:val="center"/>
              <w:rPr>
                <w:rFonts w:ascii="Century Gothic" w:eastAsia="Times New Roman" w:hAnsi="Century Gothic"/>
                <w:b/>
                <w:color w:val="000000" w:themeColor="text1"/>
              </w:rPr>
            </w:pPr>
            <w:r w:rsidRPr="00DA0C8E">
              <w:rPr>
                <w:rFonts w:ascii="Century Gothic" w:eastAsia="Times New Roman" w:hAnsi="Century Gothic"/>
                <w:b/>
                <w:color w:val="000000" w:themeColor="text1"/>
              </w:rPr>
              <w:t xml:space="preserve">Total units at the end of </w:t>
            </w:r>
            <w:r w:rsidRPr="00DA0C8E">
              <w:rPr>
                <w:rFonts w:ascii="Century Gothic" w:eastAsia="Times New Roman" w:hAnsi="Century Gothic"/>
                <w:b/>
                <w:bCs/>
                <w:color w:val="000000" w:themeColor="text1"/>
              </w:rPr>
              <w:t>FY24</w:t>
            </w:r>
          </w:p>
        </w:tc>
      </w:tr>
      <w:tr w:rsidR="00DE679F" w:rsidRPr="00AB230A" w14:paraId="4B1E672F" w14:textId="77777777" w:rsidTr="002A35F2">
        <w:trPr>
          <w:trHeight w:val="315"/>
        </w:trPr>
        <w:tc>
          <w:tcPr>
            <w:tcW w:w="2422" w:type="dxa"/>
            <w:tcBorders>
              <w:top w:val="single" w:sz="8" w:space="0" w:color="C0504D"/>
              <w:left w:val="single" w:sz="8" w:space="0" w:color="D99594"/>
              <w:bottom w:val="single" w:sz="8" w:space="0" w:color="D99594"/>
              <w:right w:val="single" w:sz="8" w:space="0" w:color="D99594"/>
            </w:tcBorders>
            <w:shd w:val="clear" w:color="auto" w:fill="F2DBDB"/>
            <w:tcMar>
              <w:left w:w="108" w:type="dxa"/>
              <w:right w:w="108" w:type="dxa"/>
            </w:tcMar>
            <w:vAlign w:val="center"/>
          </w:tcPr>
          <w:p w14:paraId="4552F807"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Val Macri</w:t>
            </w:r>
          </w:p>
        </w:tc>
        <w:tc>
          <w:tcPr>
            <w:tcW w:w="1440" w:type="dxa"/>
            <w:tcBorders>
              <w:top w:val="single" w:sz="8" w:space="0" w:color="C0504D"/>
              <w:left w:val="single" w:sz="8" w:space="0" w:color="D99594"/>
              <w:bottom w:val="single" w:sz="8" w:space="0" w:color="D99594"/>
              <w:right w:val="single" w:sz="8" w:space="0" w:color="D99594"/>
            </w:tcBorders>
            <w:shd w:val="clear" w:color="auto" w:fill="F2DBDB"/>
            <w:tcMar>
              <w:left w:w="108" w:type="dxa"/>
              <w:right w:w="108" w:type="dxa"/>
            </w:tcMar>
            <w:vAlign w:val="center"/>
          </w:tcPr>
          <w:p w14:paraId="1B0205BA"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Elderly</w:t>
            </w:r>
          </w:p>
          <w:p w14:paraId="37A27A9A"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/Disabled</w:t>
            </w:r>
          </w:p>
        </w:tc>
        <w:tc>
          <w:tcPr>
            <w:tcW w:w="1140" w:type="dxa"/>
            <w:tcBorders>
              <w:top w:val="single" w:sz="8" w:space="0" w:color="C0504D"/>
              <w:left w:val="single" w:sz="8" w:space="0" w:color="D99594"/>
              <w:bottom w:val="single" w:sz="8" w:space="0" w:color="D99594"/>
              <w:right w:val="single" w:sz="8" w:space="0" w:color="D99594"/>
            </w:tcBorders>
            <w:shd w:val="clear" w:color="auto" w:fill="F2DBDB"/>
            <w:tcMar>
              <w:left w:w="108" w:type="dxa"/>
              <w:right w:w="108" w:type="dxa"/>
            </w:tcMar>
            <w:vAlign w:val="center"/>
          </w:tcPr>
          <w:p w14:paraId="6F462B1A"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17</w:t>
            </w:r>
          </w:p>
        </w:tc>
        <w:tc>
          <w:tcPr>
            <w:tcW w:w="1047" w:type="dxa"/>
            <w:tcBorders>
              <w:top w:val="single" w:sz="8" w:space="0" w:color="C0504D"/>
              <w:left w:val="single" w:sz="8" w:space="0" w:color="D99594"/>
              <w:bottom w:val="single" w:sz="8" w:space="0" w:color="D99594"/>
              <w:right w:val="single" w:sz="8" w:space="0" w:color="D99594"/>
            </w:tcBorders>
            <w:shd w:val="clear" w:color="auto" w:fill="F2DBDB"/>
            <w:tcMar>
              <w:left w:w="108" w:type="dxa"/>
              <w:right w:w="108" w:type="dxa"/>
            </w:tcMar>
            <w:vAlign w:val="center"/>
          </w:tcPr>
          <w:p w14:paraId="71F07762"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C0504D"/>
              <w:left w:val="single" w:sz="8" w:space="0" w:color="D99594"/>
              <w:bottom w:val="single" w:sz="8" w:space="0" w:color="D99594"/>
              <w:right w:val="single" w:sz="8" w:space="0" w:color="D99594"/>
            </w:tcBorders>
            <w:shd w:val="clear" w:color="auto" w:fill="F2DBDB"/>
            <w:tcMar>
              <w:left w:w="108" w:type="dxa"/>
              <w:right w:w="108" w:type="dxa"/>
            </w:tcMar>
            <w:vAlign w:val="center"/>
          </w:tcPr>
          <w:p w14:paraId="3120DD05"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C0504D"/>
              <w:left w:val="single" w:sz="8" w:space="0" w:color="D99594"/>
              <w:bottom w:val="single" w:sz="8" w:space="0" w:color="D99594"/>
              <w:right w:val="single" w:sz="8" w:space="0" w:color="D99594"/>
            </w:tcBorders>
            <w:shd w:val="clear" w:color="auto" w:fill="F2DBDB"/>
            <w:tcMar>
              <w:left w:w="108" w:type="dxa"/>
              <w:right w:w="108" w:type="dxa"/>
            </w:tcMar>
            <w:vAlign w:val="center"/>
          </w:tcPr>
          <w:p w14:paraId="54CBCA61"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C0504D"/>
              <w:left w:val="single" w:sz="8" w:space="0" w:color="D99594"/>
              <w:bottom w:val="single" w:sz="8" w:space="0" w:color="D99594"/>
              <w:right w:val="single" w:sz="8" w:space="0" w:color="D99594"/>
            </w:tcBorders>
            <w:shd w:val="clear" w:color="auto" w:fill="F2DBDB"/>
            <w:tcMar>
              <w:left w:w="108" w:type="dxa"/>
              <w:right w:w="108" w:type="dxa"/>
            </w:tcMar>
            <w:vAlign w:val="center"/>
          </w:tcPr>
          <w:p w14:paraId="291FC29B"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C0504D"/>
              <w:left w:val="single" w:sz="8" w:space="0" w:color="D99594"/>
              <w:bottom w:val="single" w:sz="8" w:space="0" w:color="D99594"/>
              <w:right w:val="single" w:sz="8" w:space="0" w:color="D99594"/>
            </w:tcBorders>
            <w:shd w:val="clear" w:color="auto" w:fill="F2DBDB"/>
            <w:tcMar>
              <w:left w:w="108" w:type="dxa"/>
              <w:right w:w="108" w:type="dxa"/>
            </w:tcMar>
            <w:vAlign w:val="center"/>
          </w:tcPr>
          <w:p w14:paraId="42798635"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17</w:t>
            </w:r>
          </w:p>
        </w:tc>
      </w:tr>
      <w:tr w:rsidR="00DE679F" w:rsidRPr="00AB230A" w14:paraId="5B061FF9"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8695E4C"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Crawford Manor</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2D537CDA"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Elderly /Disabled</w:t>
            </w: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6E9789B"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109</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5C4C219"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8573996"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548F6BF"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3B2EF3A0"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3450CBB"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109</w:t>
            </w:r>
          </w:p>
        </w:tc>
      </w:tr>
      <w:tr w:rsidR="00DE679F" w:rsidRPr="00AB230A" w14:paraId="581FBFFA"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15057C96"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RT Wolfe</w:t>
            </w:r>
          </w:p>
        </w:tc>
        <w:tc>
          <w:tcPr>
            <w:tcW w:w="14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0E8933E7"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Elderly /Disabled</w:t>
            </w:r>
          </w:p>
        </w:tc>
        <w:tc>
          <w:tcPr>
            <w:tcW w:w="11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4098DB3E"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93</w:t>
            </w:r>
          </w:p>
        </w:tc>
        <w:tc>
          <w:tcPr>
            <w:tcW w:w="104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431FA77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067BD05"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16CB4548"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0F2D942E"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29A64F4"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93</w:t>
            </w:r>
          </w:p>
        </w:tc>
      </w:tr>
      <w:tr w:rsidR="00DE679F" w:rsidRPr="00AB230A" w14:paraId="5104F8A6"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5514C3C5"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Westville Manor</w:t>
            </w:r>
          </w:p>
        </w:tc>
        <w:tc>
          <w:tcPr>
            <w:tcW w:w="14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18A73044"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60F3500E"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89</w:t>
            </w:r>
          </w:p>
        </w:tc>
        <w:tc>
          <w:tcPr>
            <w:tcW w:w="104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7153217E"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1D38DB02"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2936957F"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2E1204B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044B1F86"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89</w:t>
            </w:r>
          </w:p>
        </w:tc>
      </w:tr>
      <w:tr w:rsidR="00DE679F" w:rsidRPr="00AB230A" w14:paraId="40671190"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46C3CF26" w14:textId="77777777" w:rsidR="00DE679F" w:rsidRPr="00C5285D" w:rsidRDefault="00DE679F" w:rsidP="002A35F2">
            <w:pPr>
              <w:rPr>
                <w:rFonts w:ascii="Century Gothic" w:eastAsia="Times New Roman" w:hAnsi="Century Gothic"/>
                <w:b/>
                <w:bCs/>
                <w:color w:val="000000" w:themeColor="text1"/>
                <w:szCs w:val="22"/>
              </w:rPr>
            </w:pPr>
            <w:r>
              <w:rPr>
                <w:rFonts w:ascii="Century Gothic" w:eastAsia="Times New Roman" w:hAnsi="Century Gothic"/>
                <w:b/>
                <w:bCs/>
                <w:color w:val="000000" w:themeColor="text1"/>
                <w:szCs w:val="22"/>
              </w:rPr>
              <w:t>SUBTOTAL</w:t>
            </w:r>
          </w:p>
        </w:tc>
        <w:tc>
          <w:tcPr>
            <w:tcW w:w="14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60EEAC49" w14:textId="77777777" w:rsidR="00DE679F" w:rsidRPr="00C5285D" w:rsidRDefault="00DE679F" w:rsidP="002A35F2">
            <w:pPr>
              <w:rPr>
                <w:rFonts w:ascii="Century Gothic" w:eastAsia="Times New Roman" w:hAnsi="Century Gothic"/>
                <w:color w:val="000000" w:themeColor="text1"/>
                <w:szCs w:val="22"/>
              </w:rPr>
            </w:pPr>
          </w:p>
        </w:tc>
        <w:tc>
          <w:tcPr>
            <w:tcW w:w="11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F54514C"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308</w:t>
            </w:r>
          </w:p>
        </w:tc>
        <w:tc>
          <w:tcPr>
            <w:tcW w:w="104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20BFB637"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75BE1B24"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19243901"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1DAB97D5"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AEC9042"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308</w:t>
            </w:r>
          </w:p>
        </w:tc>
      </w:tr>
      <w:tr w:rsidR="00DE679F" w:rsidRPr="00AB230A" w14:paraId="55F0D2BC"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4D199621"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McConaughy Terrace</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9A16181"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F2672D1"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201</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310FBDC7"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43F04CE4"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201</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4C2993F" w14:textId="77777777" w:rsidR="00DE679F" w:rsidRPr="00C5285D" w:rsidRDefault="00DE679F" w:rsidP="002A35F2">
            <w:pPr>
              <w:jc w:val="right"/>
              <w:rPr>
                <w:rFonts w:ascii="Century Gothic" w:eastAsia="Times New Roman" w:hAnsi="Century Gothic"/>
                <w:szCs w:val="22"/>
              </w:rPr>
            </w:pPr>
            <w:r w:rsidRPr="00C5285D">
              <w:rPr>
                <w:rFonts w:ascii="Century Gothic" w:eastAsia="Times New Roman" w:hAnsi="Century Gothic"/>
                <w:color w:val="000000" w:themeColor="text1"/>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87DFE98" w14:textId="77777777" w:rsidR="00DE679F" w:rsidRPr="00C5285D" w:rsidRDefault="00DE679F" w:rsidP="002A35F2">
            <w:pPr>
              <w:jc w:val="right"/>
              <w:rPr>
                <w:rFonts w:ascii="Century Gothic" w:eastAsia="Times New Roman" w:hAnsi="Century Gothic"/>
                <w:szCs w:val="22"/>
              </w:rPr>
            </w:pPr>
            <w:r w:rsidRPr="00C5285D">
              <w:rPr>
                <w:rFonts w:ascii="Century Gothic" w:eastAsia="Times New Roman" w:hAnsi="Century Gothic"/>
                <w:color w:val="000000" w:themeColor="text1"/>
              </w:rPr>
              <w:t xml:space="preserve"> 201</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449CFF09" w14:textId="77777777" w:rsidR="00DE679F" w:rsidRPr="00C5285D" w:rsidRDefault="00DE679F" w:rsidP="002A35F2">
            <w:pPr>
              <w:jc w:val="right"/>
              <w:rPr>
                <w:rFonts w:ascii="Century Gothic" w:eastAsia="Times New Roman" w:hAnsi="Century Gothic"/>
                <w:szCs w:val="22"/>
              </w:rPr>
            </w:pPr>
            <w:r w:rsidRPr="00C5285D">
              <w:rPr>
                <w:rFonts w:ascii="Century Gothic" w:eastAsia="Times New Roman" w:hAnsi="Century Gothic"/>
                <w:color w:val="000000" w:themeColor="text1"/>
              </w:rPr>
              <w:t xml:space="preserve"> 0</w:t>
            </w:r>
          </w:p>
        </w:tc>
      </w:tr>
      <w:tr w:rsidR="00DE679F" w:rsidRPr="00AB230A" w14:paraId="5DB4DF28"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2D167AB"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Quinnipiac Terrace I</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0682B7C8"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FD13105"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58</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75283F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339CFA2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2834EA1B"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105DC09"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28D71106"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58</w:t>
            </w:r>
          </w:p>
        </w:tc>
      </w:tr>
      <w:tr w:rsidR="00DE679F" w:rsidRPr="00AB230A" w14:paraId="02514FB6"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7EE1E269"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Quinnipiac Terrace 2</w:t>
            </w:r>
          </w:p>
        </w:tc>
        <w:tc>
          <w:tcPr>
            <w:tcW w:w="14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AB7D107"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8DACF30"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56</w:t>
            </w:r>
          </w:p>
        </w:tc>
        <w:tc>
          <w:tcPr>
            <w:tcW w:w="104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D4B2F84"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086AB4F2"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00AC612A"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7018330A"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B6AFBF8"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56</w:t>
            </w:r>
          </w:p>
        </w:tc>
      </w:tr>
      <w:tr w:rsidR="00DE679F" w:rsidRPr="00AB230A" w14:paraId="72D2EBCE"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046B9AEA"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Quinnipiac Terrace 3</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2F22B36A"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149C10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17</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57E8709"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420F5EDA"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2B6B154"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5BDBF15"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2B583AC2"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17</w:t>
            </w:r>
          </w:p>
        </w:tc>
      </w:tr>
      <w:tr w:rsidR="00DE679F" w:rsidRPr="00AB230A" w14:paraId="6B5CFDB9"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20AD3B0B"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Essex Townhouses</w:t>
            </w:r>
          </w:p>
        </w:tc>
        <w:tc>
          <w:tcPr>
            <w:tcW w:w="14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0BEDC8E"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251FF8F9"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35</w:t>
            </w:r>
          </w:p>
        </w:tc>
        <w:tc>
          <w:tcPr>
            <w:tcW w:w="104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569F239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224A44E"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42C01F60"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5F8073F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DED1574"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35</w:t>
            </w:r>
          </w:p>
        </w:tc>
      </w:tr>
      <w:tr w:rsidR="00DE679F" w:rsidRPr="00AB230A" w14:paraId="4B3E65F4"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97E8256"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New Rowe</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355B1F3E"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03CA6CFC"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46</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07C3C2C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C1363B1"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0EE467A1"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B68355F"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7D46BF5"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46</w:t>
            </w:r>
          </w:p>
        </w:tc>
      </w:tr>
      <w:tr w:rsidR="00DE679F" w:rsidRPr="00AB230A" w14:paraId="48F5C264"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3DA1436"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Brookside Phase 1</w:t>
            </w:r>
          </w:p>
        </w:tc>
        <w:tc>
          <w:tcPr>
            <w:tcW w:w="14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50463BE6"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174D00E"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50</w:t>
            </w:r>
          </w:p>
        </w:tc>
        <w:tc>
          <w:tcPr>
            <w:tcW w:w="104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695E7955"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6861A052"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04505FF4"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1A7DD847"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8DEDDF4"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50</w:t>
            </w:r>
          </w:p>
        </w:tc>
      </w:tr>
      <w:tr w:rsidR="00DE679F" w:rsidRPr="00AB230A" w14:paraId="534EA114"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72F4D9F"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Brookside Phase II</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0CC197B2"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9E52D5A"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50</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809BD8B"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8B97468"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DB39DBC"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4EB71AF9"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192AEF4"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50</w:t>
            </w:r>
          </w:p>
        </w:tc>
      </w:tr>
      <w:tr w:rsidR="00DE679F" w:rsidRPr="00AB230A" w14:paraId="4E331C8A"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0A865F53"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Rockview Phase 1 Rental</w:t>
            </w:r>
          </w:p>
        </w:tc>
        <w:tc>
          <w:tcPr>
            <w:tcW w:w="14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6003AB92"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Family</w:t>
            </w:r>
          </w:p>
        </w:tc>
        <w:tc>
          <w:tcPr>
            <w:tcW w:w="11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07D9F7A1"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30</w:t>
            </w:r>
          </w:p>
        </w:tc>
        <w:tc>
          <w:tcPr>
            <w:tcW w:w="104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4FFD8B11"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4CCCF220"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6D71A57E"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3BE6B3E2"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C8FA82A"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30</w:t>
            </w:r>
          </w:p>
        </w:tc>
      </w:tr>
      <w:tr w:rsidR="00DE679F" w:rsidRPr="00AB230A" w14:paraId="675BEFB9"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9DAA656" w14:textId="77777777" w:rsidR="00DE679F" w:rsidRPr="00C5285D" w:rsidRDefault="00DE679F" w:rsidP="002A35F2">
            <w:pPr>
              <w:rPr>
                <w:rFonts w:ascii="Century Gothic" w:eastAsia="Times New Roman" w:hAnsi="Century Gothic"/>
                <w:b/>
                <w:bCs/>
                <w:color w:val="000000" w:themeColor="text1"/>
                <w:szCs w:val="22"/>
              </w:rPr>
            </w:pPr>
            <w:r>
              <w:rPr>
                <w:rFonts w:ascii="Century Gothic" w:eastAsia="Times New Roman" w:hAnsi="Century Gothic"/>
                <w:b/>
                <w:bCs/>
                <w:color w:val="000000" w:themeColor="text1"/>
                <w:szCs w:val="22"/>
              </w:rPr>
              <w:t>SUBTOTAL</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42C00AA" w14:textId="77777777" w:rsidR="00DE679F" w:rsidRPr="00C5285D" w:rsidRDefault="00DE679F" w:rsidP="002A35F2">
            <w:pPr>
              <w:rPr>
                <w:rFonts w:ascii="Century Gothic" w:eastAsia="Times New Roman" w:hAnsi="Century Gothic"/>
                <w:color w:val="000000" w:themeColor="text1"/>
                <w:szCs w:val="22"/>
              </w:rPr>
            </w:pP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7226847"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543</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E0742A2"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7942EB2" w14:textId="77777777" w:rsidR="00DE679F" w:rsidRPr="00B108B9" w:rsidRDefault="00DE679F" w:rsidP="002A35F2">
            <w:pPr>
              <w:jc w:val="right"/>
              <w:rPr>
                <w:rFonts w:ascii="Century Gothic" w:eastAsia="Times New Roman" w:hAnsi="Century Gothic"/>
                <w:b/>
                <w:bCs/>
                <w:color w:val="000000" w:themeColor="text1"/>
              </w:rPr>
            </w:pPr>
            <w:r w:rsidRPr="00B108B9">
              <w:rPr>
                <w:rFonts w:ascii="Century Gothic" w:eastAsia="Times New Roman" w:hAnsi="Century Gothic"/>
                <w:b/>
                <w:bCs/>
                <w:color w:val="000000" w:themeColor="text1"/>
              </w:rPr>
              <w:t>201</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AD04771"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3519FA7"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201</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D66AF31" w14:textId="77777777" w:rsidR="00DE679F" w:rsidRPr="00B108B9" w:rsidRDefault="00DE679F" w:rsidP="002A35F2">
            <w:pPr>
              <w:jc w:val="right"/>
              <w:rPr>
                <w:rFonts w:ascii="Century Gothic" w:eastAsia="Times New Roman" w:hAnsi="Century Gothic"/>
                <w:b/>
                <w:bCs/>
                <w:color w:val="000000" w:themeColor="text1"/>
                <w:szCs w:val="22"/>
              </w:rPr>
            </w:pPr>
            <w:r w:rsidRPr="00B108B9">
              <w:rPr>
                <w:rFonts w:ascii="Century Gothic" w:eastAsia="Times New Roman" w:hAnsi="Century Gothic"/>
                <w:b/>
                <w:bCs/>
                <w:color w:val="000000" w:themeColor="text1"/>
                <w:szCs w:val="22"/>
              </w:rPr>
              <w:t>342</w:t>
            </w:r>
          </w:p>
        </w:tc>
      </w:tr>
      <w:tr w:rsidR="00DE679F" w:rsidRPr="00AB230A" w14:paraId="5024C9B6"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4D086F09"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Scattered Site - Multi Family</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7989C83"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Scattered Sites</w:t>
            </w: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4B92B2E"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96</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EBA322B"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82366C6" w14:textId="77777777" w:rsidR="00DE679F" w:rsidRPr="00C5285D" w:rsidRDefault="00DE679F" w:rsidP="002A35F2">
            <w:pPr>
              <w:jc w:val="right"/>
              <w:rPr>
                <w:rFonts w:ascii="Century Gothic" w:eastAsia="Times New Roman" w:hAnsi="Century Gothic"/>
                <w:color w:val="000000" w:themeColor="text1"/>
                <w:highlight w:val="yellow"/>
              </w:rPr>
            </w:pPr>
            <w:r w:rsidRPr="00C5285D">
              <w:rPr>
                <w:rFonts w:ascii="Century Gothic" w:eastAsia="Times New Roman" w:hAnsi="Century Gothic"/>
                <w:color w:val="000000" w:themeColor="text1"/>
              </w:rPr>
              <w:t>87</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312A9AE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4A84D1F4"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4774F29"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96</w:t>
            </w:r>
          </w:p>
        </w:tc>
      </w:tr>
      <w:tr w:rsidR="00DE679F" w:rsidRPr="00AB230A" w14:paraId="3F052CF9"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2E5B2196"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Scattered Site – West</w:t>
            </w:r>
          </w:p>
        </w:tc>
        <w:tc>
          <w:tcPr>
            <w:tcW w:w="14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7924427E"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Scattered Sites</w:t>
            </w:r>
          </w:p>
        </w:tc>
        <w:tc>
          <w:tcPr>
            <w:tcW w:w="11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7F17D527"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23</w:t>
            </w:r>
          </w:p>
        </w:tc>
        <w:tc>
          <w:tcPr>
            <w:tcW w:w="104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50594343"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0B763231"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507034E7"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7BAA571C"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0DCBB2A"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23</w:t>
            </w:r>
          </w:p>
        </w:tc>
      </w:tr>
      <w:tr w:rsidR="00DE679F" w:rsidRPr="00AB230A" w14:paraId="79682ACA"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449B29D1" w14:textId="77777777" w:rsidR="00DE679F" w:rsidRPr="00C5285D" w:rsidRDefault="00DE679F" w:rsidP="002A35F2">
            <w:pPr>
              <w:rPr>
                <w:rFonts w:ascii="Century Gothic" w:hAnsi="Century Gothic"/>
              </w:rPr>
            </w:pPr>
            <w:r w:rsidRPr="00C5285D">
              <w:rPr>
                <w:rFonts w:ascii="Century Gothic" w:eastAsia="Times New Roman" w:hAnsi="Century Gothic"/>
                <w:b/>
                <w:bCs/>
                <w:color w:val="000000" w:themeColor="text1"/>
                <w:szCs w:val="22"/>
              </w:rPr>
              <w:t>Scattered Site – East</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0FA01D35" w14:textId="77777777" w:rsidR="00DE679F" w:rsidRPr="00C5285D" w:rsidRDefault="00DE679F" w:rsidP="002A35F2">
            <w:pPr>
              <w:rPr>
                <w:rFonts w:ascii="Century Gothic" w:hAnsi="Century Gothic"/>
              </w:rPr>
            </w:pPr>
            <w:r w:rsidRPr="00C5285D">
              <w:rPr>
                <w:rFonts w:ascii="Century Gothic" w:eastAsia="Times New Roman" w:hAnsi="Century Gothic"/>
                <w:color w:val="000000" w:themeColor="text1"/>
                <w:szCs w:val="22"/>
              </w:rPr>
              <w:t>Scattered Sites</w:t>
            </w: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0C8D2B69"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52</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EC7149E"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66EB116"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F8C81F7"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C62CCEC"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55C8506" w14:textId="77777777" w:rsidR="00DE679F" w:rsidRPr="00C5285D" w:rsidRDefault="00DE679F" w:rsidP="002A35F2">
            <w:pPr>
              <w:jc w:val="right"/>
              <w:rPr>
                <w:rFonts w:ascii="Century Gothic" w:eastAsia="Times New Roman" w:hAnsi="Century Gothic"/>
                <w:color w:val="000000" w:themeColor="text1"/>
                <w:szCs w:val="22"/>
              </w:rPr>
            </w:pPr>
            <w:r w:rsidRPr="00C5285D">
              <w:rPr>
                <w:rFonts w:ascii="Century Gothic" w:eastAsia="Times New Roman" w:hAnsi="Century Gothic"/>
                <w:color w:val="000000" w:themeColor="text1"/>
                <w:szCs w:val="22"/>
              </w:rPr>
              <w:t>52</w:t>
            </w:r>
          </w:p>
        </w:tc>
      </w:tr>
      <w:tr w:rsidR="00DE679F" w:rsidRPr="00AB230A" w14:paraId="7F947830"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2C3E9214" w14:textId="77777777" w:rsidR="00DE679F" w:rsidRPr="00C5285D" w:rsidRDefault="00DE679F" w:rsidP="002A35F2">
            <w:pPr>
              <w:rPr>
                <w:rFonts w:ascii="Century Gothic" w:eastAsia="Times New Roman" w:hAnsi="Century Gothic"/>
                <w:b/>
                <w:bCs/>
                <w:color w:val="000000" w:themeColor="text1"/>
                <w:szCs w:val="22"/>
              </w:rPr>
            </w:pPr>
            <w:r>
              <w:rPr>
                <w:rFonts w:ascii="Century Gothic" w:eastAsia="Times New Roman" w:hAnsi="Century Gothic"/>
                <w:b/>
                <w:bCs/>
                <w:color w:val="000000" w:themeColor="text1"/>
                <w:szCs w:val="22"/>
              </w:rPr>
              <w:t>SUBTOTAL</w:t>
            </w:r>
          </w:p>
        </w:tc>
        <w:tc>
          <w:tcPr>
            <w:tcW w:w="14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776C521" w14:textId="77777777" w:rsidR="00DE679F" w:rsidRPr="00C5285D" w:rsidRDefault="00DE679F" w:rsidP="002A35F2">
            <w:pPr>
              <w:rPr>
                <w:rFonts w:ascii="Century Gothic" w:eastAsia="Times New Roman" w:hAnsi="Century Gothic"/>
                <w:color w:val="000000" w:themeColor="text1"/>
                <w:szCs w:val="22"/>
              </w:rPr>
            </w:pPr>
          </w:p>
        </w:tc>
        <w:tc>
          <w:tcPr>
            <w:tcW w:w="1140"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22758837" w14:textId="77777777" w:rsidR="00DE679F" w:rsidRPr="00875834" w:rsidRDefault="00DE679F" w:rsidP="002A35F2">
            <w:pPr>
              <w:jc w:val="right"/>
              <w:rPr>
                <w:rFonts w:ascii="Century Gothic" w:eastAsia="Times New Roman" w:hAnsi="Century Gothic"/>
                <w:b/>
                <w:bCs/>
                <w:color w:val="000000" w:themeColor="text1"/>
                <w:szCs w:val="22"/>
              </w:rPr>
            </w:pPr>
            <w:r w:rsidRPr="00875834">
              <w:rPr>
                <w:rFonts w:ascii="Century Gothic" w:eastAsia="Times New Roman" w:hAnsi="Century Gothic"/>
                <w:b/>
                <w:bCs/>
                <w:color w:val="000000" w:themeColor="text1"/>
                <w:szCs w:val="22"/>
              </w:rPr>
              <w:t>171</w:t>
            </w:r>
          </w:p>
        </w:tc>
        <w:tc>
          <w:tcPr>
            <w:tcW w:w="104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11F757F6" w14:textId="77777777" w:rsidR="00DE679F" w:rsidRPr="00875834" w:rsidRDefault="00DE679F" w:rsidP="002A35F2">
            <w:pPr>
              <w:jc w:val="right"/>
              <w:rPr>
                <w:rFonts w:ascii="Century Gothic" w:eastAsia="Times New Roman" w:hAnsi="Century Gothic"/>
                <w:b/>
                <w:bCs/>
                <w:color w:val="000000" w:themeColor="text1"/>
                <w:szCs w:val="22"/>
              </w:rPr>
            </w:pPr>
            <w:r w:rsidRPr="00875834">
              <w:rPr>
                <w:rFonts w:ascii="Century Gothic" w:eastAsia="Times New Roman" w:hAnsi="Century Gothic"/>
                <w:b/>
                <w:bCs/>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58F631C3" w14:textId="77777777" w:rsidR="00DE679F" w:rsidRPr="00875834" w:rsidRDefault="00DE679F" w:rsidP="002A35F2">
            <w:pPr>
              <w:jc w:val="right"/>
              <w:rPr>
                <w:rFonts w:ascii="Century Gothic" w:eastAsia="Times New Roman" w:hAnsi="Century Gothic"/>
                <w:b/>
                <w:bCs/>
                <w:color w:val="000000" w:themeColor="text1"/>
                <w:szCs w:val="22"/>
              </w:rPr>
            </w:pPr>
            <w:r w:rsidRPr="00875834">
              <w:rPr>
                <w:rFonts w:ascii="Century Gothic" w:eastAsia="Times New Roman" w:hAnsi="Century Gothic"/>
                <w:b/>
                <w:bCs/>
                <w:color w:val="000000" w:themeColor="text1"/>
                <w:szCs w:val="22"/>
              </w:rPr>
              <w:t>0</w:t>
            </w:r>
          </w:p>
        </w:tc>
        <w:tc>
          <w:tcPr>
            <w:tcW w:w="793"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77DFE4EC" w14:textId="77777777" w:rsidR="00DE679F" w:rsidRPr="00875834" w:rsidRDefault="00DE679F" w:rsidP="002A35F2">
            <w:pPr>
              <w:jc w:val="right"/>
              <w:rPr>
                <w:rFonts w:ascii="Century Gothic" w:eastAsia="Times New Roman" w:hAnsi="Century Gothic"/>
                <w:b/>
                <w:bCs/>
                <w:color w:val="000000" w:themeColor="text1"/>
                <w:szCs w:val="22"/>
              </w:rPr>
            </w:pPr>
            <w:r w:rsidRPr="00875834">
              <w:rPr>
                <w:rFonts w:ascii="Century Gothic" w:eastAsia="Times New Roman" w:hAnsi="Century Gothic"/>
                <w:b/>
                <w:bCs/>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35E1ED4" w14:textId="77777777" w:rsidR="00DE679F" w:rsidRPr="00875834" w:rsidRDefault="00DE679F" w:rsidP="002A35F2">
            <w:pPr>
              <w:jc w:val="right"/>
              <w:rPr>
                <w:rFonts w:ascii="Century Gothic" w:eastAsia="Times New Roman" w:hAnsi="Century Gothic"/>
                <w:b/>
                <w:bCs/>
                <w:color w:val="000000" w:themeColor="text1"/>
                <w:szCs w:val="22"/>
              </w:rPr>
            </w:pPr>
            <w:r w:rsidRPr="00875834">
              <w:rPr>
                <w:rFonts w:ascii="Century Gothic" w:eastAsia="Times New Roman" w:hAnsi="Century Gothic"/>
                <w:b/>
                <w:bCs/>
                <w:color w:val="000000" w:themeColor="text1"/>
                <w:szCs w:val="22"/>
              </w:rPr>
              <w:t>0</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2CD196D7" w14:textId="77777777" w:rsidR="00DE679F" w:rsidRPr="00875834" w:rsidRDefault="00DE679F" w:rsidP="002A35F2">
            <w:pPr>
              <w:jc w:val="right"/>
              <w:rPr>
                <w:rFonts w:ascii="Century Gothic" w:eastAsia="Times New Roman" w:hAnsi="Century Gothic"/>
                <w:b/>
                <w:bCs/>
                <w:color w:val="000000" w:themeColor="text1"/>
                <w:szCs w:val="22"/>
              </w:rPr>
            </w:pPr>
            <w:r w:rsidRPr="00875834">
              <w:rPr>
                <w:rFonts w:ascii="Century Gothic" w:eastAsia="Times New Roman" w:hAnsi="Century Gothic"/>
                <w:b/>
                <w:bCs/>
                <w:color w:val="000000" w:themeColor="text1"/>
                <w:szCs w:val="22"/>
              </w:rPr>
              <w:t>171</w:t>
            </w:r>
          </w:p>
        </w:tc>
      </w:tr>
      <w:tr w:rsidR="00DE679F" w:rsidRPr="00AB230A" w14:paraId="184AD86B" w14:textId="77777777" w:rsidTr="002A35F2">
        <w:trPr>
          <w:trHeight w:val="315"/>
        </w:trPr>
        <w:tc>
          <w:tcPr>
            <w:tcW w:w="2422"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7DD3D194" w14:textId="77777777" w:rsidR="00DE679F" w:rsidRPr="00C5285D" w:rsidRDefault="00DE679F" w:rsidP="002A35F2">
            <w:pPr>
              <w:rPr>
                <w:rFonts w:ascii="Century Gothic" w:eastAsia="Times New Roman" w:hAnsi="Century Gothic"/>
                <w:b/>
                <w:bCs/>
                <w:color w:val="000000" w:themeColor="text1"/>
                <w:szCs w:val="22"/>
              </w:rPr>
            </w:pPr>
            <w:r>
              <w:rPr>
                <w:rFonts w:ascii="Century Gothic" w:eastAsia="Times New Roman" w:hAnsi="Century Gothic"/>
                <w:b/>
                <w:bCs/>
                <w:color w:val="000000" w:themeColor="text1"/>
                <w:szCs w:val="22"/>
              </w:rPr>
              <w:t>TOTAL</w:t>
            </w:r>
          </w:p>
        </w:tc>
        <w:tc>
          <w:tcPr>
            <w:tcW w:w="14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421C1C9E" w14:textId="77777777" w:rsidR="00DE679F" w:rsidRPr="00C5285D" w:rsidRDefault="00DE679F" w:rsidP="002A35F2">
            <w:pPr>
              <w:jc w:val="right"/>
              <w:rPr>
                <w:rFonts w:ascii="Century Gothic" w:eastAsia="Times New Roman" w:hAnsi="Century Gothic"/>
                <w:b/>
                <w:bCs/>
                <w:color w:val="000000" w:themeColor="text1"/>
                <w:szCs w:val="22"/>
              </w:rPr>
            </w:pPr>
            <w:r w:rsidRPr="00C5285D">
              <w:rPr>
                <w:rFonts w:ascii="Century Gothic" w:eastAsia="Times New Roman" w:hAnsi="Century Gothic"/>
                <w:b/>
                <w:bCs/>
                <w:color w:val="000000" w:themeColor="text1"/>
                <w:szCs w:val="22"/>
              </w:rPr>
              <w:t xml:space="preserve"> </w:t>
            </w:r>
          </w:p>
        </w:tc>
        <w:tc>
          <w:tcPr>
            <w:tcW w:w="1140"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4B82AAFF" w14:textId="77777777" w:rsidR="00DE679F" w:rsidRPr="00C5285D" w:rsidRDefault="00DE679F" w:rsidP="002A35F2">
            <w:pPr>
              <w:jc w:val="right"/>
              <w:rPr>
                <w:rFonts w:ascii="Century Gothic" w:eastAsia="Times New Roman" w:hAnsi="Century Gothic"/>
                <w:b/>
                <w:bCs/>
                <w:color w:val="000000" w:themeColor="text1"/>
                <w:szCs w:val="22"/>
              </w:rPr>
            </w:pPr>
            <w:r w:rsidRPr="00C5285D">
              <w:rPr>
                <w:rFonts w:ascii="Century Gothic" w:eastAsia="Times New Roman" w:hAnsi="Century Gothic"/>
                <w:b/>
                <w:bCs/>
                <w:color w:val="000000" w:themeColor="text1"/>
                <w:szCs w:val="22"/>
              </w:rPr>
              <w:t>1022</w:t>
            </w:r>
          </w:p>
        </w:tc>
        <w:tc>
          <w:tcPr>
            <w:tcW w:w="104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6EE6CB0E" w14:textId="77777777" w:rsidR="00DE679F" w:rsidRPr="00C5285D" w:rsidRDefault="00DE679F" w:rsidP="002A35F2">
            <w:pPr>
              <w:jc w:val="right"/>
              <w:rPr>
                <w:rFonts w:ascii="Century Gothic" w:eastAsia="Times New Roman" w:hAnsi="Century Gothic"/>
                <w:b/>
                <w:bCs/>
                <w:color w:val="000000" w:themeColor="text1"/>
                <w:szCs w:val="22"/>
              </w:rPr>
            </w:pPr>
            <w:r w:rsidRPr="00C5285D">
              <w:rPr>
                <w:rFonts w:ascii="Century Gothic" w:eastAsia="Times New Roman" w:hAnsi="Century Gothic"/>
                <w:b/>
                <w:bCs/>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2708D0CC" w14:textId="77777777" w:rsidR="00DE679F" w:rsidRPr="00C5285D" w:rsidRDefault="00DE679F" w:rsidP="002A35F2">
            <w:pPr>
              <w:jc w:val="right"/>
              <w:rPr>
                <w:rFonts w:ascii="Century Gothic" w:eastAsia="Times New Roman" w:hAnsi="Century Gothic"/>
                <w:b/>
                <w:bCs/>
                <w:color w:val="000000" w:themeColor="text1"/>
                <w:szCs w:val="22"/>
              </w:rPr>
            </w:pPr>
            <w:r w:rsidRPr="00C5285D">
              <w:rPr>
                <w:rFonts w:ascii="Century Gothic" w:eastAsia="Times New Roman" w:hAnsi="Century Gothic"/>
                <w:b/>
                <w:bCs/>
                <w:color w:val="000000" w:themeColor="text1"/>
                <w:szCs w:val="22"/>
              </w:rPr>
              <w:t>288</w:t>
            </w:r>
          </w:p>
        </w:tc>
        <w:tc>
          <w:tcPr>
            <w:tcW w:w="793"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183EED91" w14:textId="77777777" w:rsidR="00DE679F" w:rsidRPr="00C5285D" w:rsidRDefault="00DE679F" w:rsidP="002A35F2">
            <w:pPr>
              <w:jc w:val="right"/>
              <w:rPr>
                <w:rFonts w:ascii="Century Gothic" w:eastAsia="Times New Roman" w:hAnsi="Century Gothic"/>
                <w:b/>
                <w:bCs/>
                <w:color w:val="000000" w:themeColor="text1"/>
                <w:szCs w:val="22"/>
              </w:rPr>
            </w:pPr>
            <w:r w:rsidRPr="00C5285D">
              <w:rPr>
                <w:rFonts w:ascii="Century Gothic" w:eastAsia="Times New Roman" w:hAnsi="Century Gothic"/>
                <w:b/>
                <w:bCs/>
                <w:color w:val="000000" w:themeColor="text1"/>
                <w:szCs w:val="22"/>
              </w:rPr>
              <w:t>0</w:t>
            </w:r>
          </w:p>
        </w:tc>
        <w:tc>
          <w:tcPr>
            <w:tcW w:w="1077" w:type="dxa"/>
            <w:tcBorders>
              <w:top w:val="single" w:sz="8" w:space="0" w:color="D99594"/>
              <w:left w:val="single" w:sz="8" w:space="0" w:color="D99594"/>
              <w:bottom w:val="single" w:sz="8" w:space="0" w:color="D99594"/>
              <w:right w:val="single" w:sz="8" w:space="0" w:color="D99594"/>
            </w:tcBorders>
            <w:tcMar>
              <w:left w:w="108" w:type="dxa"/>
              <w:right w:w="108" w:type="dxa"/>
            </w:tcMar>
            <w:vAlign w:val="center"/>
          </w:tcPr>
          <w:p w14:paraId="412C83C8" w14:textId="77777777" w:rsidR="00DE679F" w:rsidRPr="00C5285D" w:rsidRDefault="00DE679F" w:rsidP="002A35F2">
            <w:pPr>
              <w:jc w:val="right"/>
              <w:rPr>
                <w:rFonts w:ascii="Century Gothic" w:eastAsia="Calibri" w:hAnsi="Century Gothic" w:cs="Calibri"/>
                <w:szCs w:val="22"/>
              </w:rPr>
            </w:pPr>
            <w:r w:rsidRPr="00C5285D">
              <w:rPr>
                <w:rFonts w:ascii="Century Gothic" w:eastAsia="Calibri" w:hAnsi="Century Gothic" w:cs="Calibri"/>
              </w:rPr>
              <w:t xml:space="preserve"> 201</w:t>
            </w:r>
          </w:p>
        </w:tc>
        <w:tc>
          <w:tcPr>
            <w:tcW w:w="935" w:type="dxa"/>
            <w:tcBorders>
              <w:top w:val="single" w:sz="8" w:space="0" w:color="D99594"/>
              <w:left w:val="single" w:sz="8" w:space="0" w:color="D99594"/>
              <w:bottom w:val="single" w:sz="8" w:space="0" w:color="D99594"/>
              <w:right w:val="single" w:sz="8" w:space="0" w:color="D99594"/>
            </w:tcBorders>
            <w:shd w:val="clear" w:color="auto" w:fill="F2DBDB"/>
            <w:tcMar>
              <w:left w:w="108" w:type="dxa"/>
              <w:right w:w="108" w:type="dxa"/>
            </w:tcMar>
            <w:vAlign w:val="center"/>
          </w:tcPr>
          <w:p w14:paraId="63C85AA8" w14:textId="77777777" w:rsidR="00DE679F" w:rsidRPr="00C5285D" w:rsidRDefault="00DE679F" w:rsidP="002A35F2">
            <w:pPr>
              <w:jc w:val="right"/>
              <w:rPr>
                <w:rFonts w:ascii="Century Gothic" w:eastAsia="Times New Roman" w:hAnsi="Century Gothic"/>
                <w:szCs w:val="22"/>
              </w:rPr>
            </w:pPr>
            <w:r w:rsidRPr="00C5285D">
              <w:rPr>
                <w:rFonts w:ascii="Century Gothic" w:eastAsia="Times New Roman" w:hAnsi="Century Gothic"/>
                <w:b/>
                <w:bCs/>
                <w:color w:val="000000" w:themeColor="text1"/>
              </w:rPr>
              <w:t xml:space="preserve"> 821</w:t>
            </w:r>
          </w:p>
        </w:tc>
      </w:tr>
    </w:tbl>
    <w:p w14:paraId="0A5D3E3E" w14:textId="77777777" w:rsidR="00DE679F" w:rsidRPr="00C5285D" w:rsidRDefault="00DE679F" w:rsidP="00DE679F">
      <w:pPr>
        <w:rPr>
          <w:rFonts w:ascii="Century Gothic" w:eastAsia="Calibri" w:hAnsi="Century Gothic" w:cs="Calibri"/>
          <w:szCs w:val="22"/>
        </w:rPr>
      </w:pPr>
    </w:p>
    <w:p w14:paraId="36297AEF" w14:textId="77777777" w:rsidR="00DE679F" w:rsidRDefault="00DE679F" w:rsidP="00DE679F">
      <w:pPr>
        <w:rPr>
          <w:rFonts w:ascii="Century Gothic" w:hAnsi="Century Gothic"/>
          <w:highlight w:val="yellow"/>
        </w:rPr>
      </w:pPr>
    </w:p>
    <w:p w14:paraId="705DF551" w14:textId="77777777" w:rsidR="00DE679F" w:rsidRDefault="00DE679F" w:rsidP="00DE679F">
      <w:pPr>
        <w:spacing w:after="160" w:line="276" w:lineRule="auto"/>
        <w:rPr>
          <w:rFonts w:ascii="Century Gothic" w:hAnsi="Century Gothic"/>
          <w:highlight w:val="yellow"/>
        </w:rPr>
      </w:pPr>
      <w:r>
        <w:rPr>
          <w:rFonts w:ascii="Century Gothic" w:hAnsi="Century Gothic"/>
          <w:highlight w:val="yellow"/>
        </w:rPr>
        <w:br w:type="page"/>
      </w:r>
    </w:p>
    <w:p w14:paraId="5F99241A" w14:textId="77777777" w:rsidR="00DE679F" w:rsidRDefault="00DE679F" w:rsidP="00DE679F">
      <w:pPr>
        <w:rPr>
          <w:rFonts w:ascii="Century Gothic" w:hAnsi="Century Gothic"/>
          <w:b/>
          <w:bCs/>
        </w:rPr>
      </w:pPr>
      <w:r w:rsidRPr="00C607A4">
        <w:rPr>
          <w:rFonts w:ascii="Century Gothic" w:hAnsi="Century Gothic"/>
          <w:b/>
          <w:bCs/>
        </w:rPr>
        <w:lastRenderedPageBreak/>
        <w:t>HOUSING CHOICE VOUCHER</w:t>
      </w:r>
    </w:p>
    <w:p w14:paraId="110AE712" w14:textId="77777777" w:rsidR="00DE679F" w:rsidRPr="00AB230A" w:rsidRDefault="00DE679F" w:rsidP="00DE679F">
      <w:pPr>
        <w:rPr>
          <w:rFonts w:ascii="Century Gothic" w:hAnsi="Century Gothic"/>
        </w:rPr>
      </w:pPr>
    </w:p>
    <w:p w14:paraId="6A4F470C" w14:textId="77777777" w:rsidR="00DE679F" w:rsidRPr="00AB230A" w:rsidRDefault="00DE679F" w:rsidP="00DE679F">
      <w:pPr>
        <w:rPr>
          <w:rFonts w:ascii="Century Gothic" w:eastAsia="Times New Roman" w:hAnsi="Century Gothic"/>
        </w:rPr>
      </w:pPr>
      <w:r w:rsidRPr="00AB230A">
        <w:rPr>
          <w:rFonts w:ascii="Century Gothic" w:eastAsia="Times New Roman" w:hAnsi="Century Gothic"/>
        </w:rPr>
        <w:t>During FY 2024, ECC/HANH planned to allocate at least 9</w:t>
      </w:r>
      <w:r>
        <w:rPr>
          <w:rFonts w:ascii="Century Gothic" w:eastAsia="Times New Roman" w:hAnsi="Century Gothic"/>
        </w:rPr>
        <w:t>2</w:t>
      </w:r>
      <w:r w:rsidRPr="00AB230A">
        <w:rPr>
          <w:rFonts w:ascii="Century Gothic" w:eastAsia="Times New Roman" w:hAnsi="Century Gothic"/>
        </w:rPr>
        <w:t xml:space="preserve">% of its HCV funding to HCV program and administrative costs with an estimated </w:t>
      </w:r>
      <w:r>
        <w:rPr>
          <w:rFonts w:ascii="Century Gothic" w:eastAsia="Times New Roman" w:hAnsi="Century Gothic"/>
        </w:rPr>
        <w:t>5,853</w:t>
      </w:r>
      <w:r w:rsidRPr="00AB230A">
        <w:rPr>
          <w:rFonts w:ascii="Century Gothic" w:eastAsia="Times New Roman" w:hAnsi="Century Gothic"/>
        </w:rPr>
        <w:t xml:space="preserve"> vouchers utilized out of a HUD allocation of approximately 6,328 vouchers.  </w:t>
      </w:r>
    </w:p>
    <w:p w14:paraId="7E658952" w14:textId="77777777" w:rsidR="00DE679F" w:rsidRPr="00AB230A" w:rsidRDefault="00DE679F" w:rsidP="00DE679F">
      <w:pPr>
        <w:rPr>
          <w:rFonts w:ascii="Century Gothic" w:eastAsia="Times New Roman" w:hAnsi="Century Gothic"/>
        </w:rPr>
      </w:pPr>
    </w:p>
    <w:p w14:paraId="1852198F" w14:textId="77777777" w:rsidR="00DE679F" w:rsidRPr="00AB230A" w:rsidRDefault="00DE679F" w:rsidP="00DE679F">
      <w:pPr>
        <w:rPr>
          <w:rFonts w:ascii="Century Gothic" w:hAnsi="Century Gothic"/>
        </w:rPr>
      </w:pPr>
      <w:r w:rsidRPr="00AB230A">
        <w:rPr>
          <w:rFonts w:ascii="Century Gothic" w:hAnsi="Century Gothic"/>
        </w:rPr>
        <w:t xml:space="preserve">At the end of FY2024, the HUD allocation was </w:t>
      </w:r>
      <w:r>
        <w:rPr>
          <w:rFonts w:ascii="Century Gothic" w:hAnsi="Century Gothic"/>
        </w:rPr>
        <w:t>6595</w:t>
      </w:r>
      <w:r w:rsidRPr="00AB230A">
        <w:rPr>
          <w:rFonts w:ascii="Century Gothic" w:hAnsi="Century Gothic"/>
        </w:rPr>
        <w:t xml:space="preserve"> vouchers</w:t>
      </w:r>
      <w:r>
        <w:rPr>
          <w:rFonts w:ascii="Century Gothic" w:hAnsi="Century Gothic"/>
        </w:rPr>
        <w:t>,</w:t>
      </w:r>
      <w:r w:rsidRPr="00AB230A">
        <w:rPr>
          <w:rFonts w:ascii="Century Gothic" w:hAnsi="Century Gothic"/>
        </w:rPr>
        <w:t xml:space="preserve"> and the total voucher count was </w:t>
      </w:r>
      <w:r>
        <w:rPr>
          <w:rFonts w:ascii="Century Gothic" w:hAnsi="Century Gothic"/>
        </w:rPr>
        <w:t>5428</w:t>
      </w:r>
      <w:r w:rsidRPr="00AB230A">
        <w:rPr>
          <w:rFonts w:ascii="Century Gothic" w:hAnsi="Century Gothic"/>
        </w:rPr>
        <w:t xml:space="preserve">, which is </w:t>
      </w:r>
      <w:r>
        <w:rPr>
          <w:rFonts w:ascii="Century Gothic" w:hAnsi="Century Gothic"/>
        </w:rPr>
        <w:t>82</w:t>
      </w:r>
      <w:r w:rsidRPr="00AB230A">
        <w:rPr>
          <w:rFonts w:ascii="Century Gothic" w:hAnsi="Century Gothic"/>
        </w:rPr>
        <w:t>% of the HCV budget allocated to HCV purposes.</w:t>
      </w:r>
    </w:p>
    <w:p w14:paraId="20AB45B6" w14:textId="77777777" w:rsidR="00DE679F" w:rsidRPr="00AB230A" w:rsidRDefault="00DE679F" w:rsidP="00DE679F">
      <w:pPr>
        <w:rPr>
          <w:rFonts w:ascii="Century Gothic" w:eastAsia="Times New Roman" w:hAnsi="Century Gothic"/>
        </w:rPr>
      </w:pPr>
    </w:p>
    <w:p w14:paraId="659E2AE3" w14:textId="77777777" w:rsidR="00DE679F" w:rsidRDefault="00DE679F" w:rsidP="00DE679F">
      <w:pPr>
        <w:rPr>
          <w:rFonts w:ascii="Century Gothic" w:eastAsia="Times New Roman" w:hAnsi="Century Gothic"/>
        </w:rPr>
      </w:pPr>
      <w:r w:rsidRPr="00AB230A">
        <w:rPr>
          <w:rFonts w:ascii="Century Gothic" w:eastAsia="Times New Roman" w:hAnsi="Century Gothic"/>
        </w:rPr>
        <w:t xml:space="preserve">ECC/HANH’s project-based voucher allocation includes the following:  </w:t>
      </w:r>
    </w:p>
    <w:p w14:paraId="7FE02326" w14:textId="77777777" w:rsidR="00DE679F" w:rsidRPr="00AB230A" w:rsidRDefault="00DE679F" w:rsidP="00DE679F">
      <w:pPr>
        <w:rPr>
          <w:rFonts w:ascii="Century Gothic" w:eastAsia="Times New Roman" w:hAnsi="Century Gothic"/>
        </w:rPr>
      </w:pPr>
    </w:p>
    <w:p w14:paraId="54B15D18" w14:textId="79821F13" w:rsidR="00DE679F" w:rsidRPr="00AB230A" w:rsidRDefault="00DE679F" w:rsidP="00DE679F">
      <w:pPr>
        <w:rPr>
          <w:rFonts w:ascii="Century Gothic" w:eastAsia="Times New Roman" w:hAnsi="Century Gothic"/>
        </w:rPr>
      </w:pPr>
      <w:r w:rsidRPr="00AB230A">
        <w:rPr>
          <w:rFonts w:ascii="Century Gothic" w:eastAsia="Times New Roman" w:hAnsi="Century Gothic"/>
        </w:rPr>
        <w:t xml:space="preserve">At the start of </w:t>
      </w:r>
      <w:r w:rsidR="00E05E21" w:rsidRPr="00AB230A">
        <w:rPr>
          <w:rFonts w:ascii="Century Gothic" w:eastAsia="Times New Roman" w:hAnsi="Century Gothic"/>
        </w:rPr>
        <w:t>FY2024</w:t>
      </w:r>
      <w:r w:rsidRPr="00AB230A">
        <w:rPr>
          <w:rFonts w:ascii="Century Gothic" w:eastAsia="Times New Roman" w:hAnsi="Century Gothic"/>
        </w:rPr>
        <w:t xml:space="preserve">, ECC/HANH allocated </w:t>
      </w:r>
      <w:r>
        <w:rPr>
          <w:rFonts w:ascii="Century Gothic" w:eastAsia="Times New Roman" w:hAnsi="Century Gothic"/>
        </w:rPr>
        <w:t>725</w:t>
      </w:r>
      <w:r w:rsidRPr="00AB230A">
        <w:rPr>
          <w:rFonts w:ascii="Century Gothic" w:eastAsia="Times New Roman" w:hAnsi="Century Gothic"/>
        </w:rPr>
        <w:t xml:space="preserve"> non-RAD PBVs, </w:t>
      </w:r>
      <w:r>
        <w:rPr>
          <w:rFonts w:ascii="Century Gothic" w:eastAsia="Times New Roman" w:hAnsi="Century Gothic"/>
        </w:rPr>
        <w:t>1,689</w:t>
      </w:r>
      <w:r w:rsidRPr="00AB230A">
        <w:rPr>
          <w:rFonts w:ascii="Century Gothic" w:eastAsia="Times New Roman" w:hAnsi="Century Gothic"/>
        </w:rPr>
        <w:t xml:space="preserve"> RAD/PBVs for a total of </w:t>
      </w:r>
      <w:r>
        <w:rPr>
          <w:rFonts w:ascii="Century Gothic" w:eastAsia="Times New Roman" w:hAnsi="Century Gothic"/>
        </w:rPr>
        <w:t>2,414</w:t>
      </w:r>
      <w:r w:rsidRPr="00AB230A">
        <w:rPr>
          <w:rFonts w:ascii="Century Gothic" w:eastAsia="Times New Roman" w:hAnsi="Century Gothic"/>
        </w:rPr>
        <w:t xml:space="preserve"> project-based vouchers.  </w:t>
      </w:r>
    </w:p>
    <w:p w14:paraId="334D37F6" w14:textId="77777777" w:rsidR="00DE679F" w:rsidRPr="00AB230A" w:rsidRDefault="00DE679F" w:rsidP="00DE679F">
      <w:pPr>
        <w:rPr>
          <w:rFonts w:ascii="Century Gothic" w:eastAsia="Times New Roman" w:hAnsi="Century Gothic"/>
        </w:rPr>
      </w:pPr>
    </w:p>
    <w:p w14:paraId="3468B4D4" w14:textId="77777777" w:rsidR="00DE679F" w:rsidRPr="00AB230A" w:rsidRDefault="00DE679F" w:rsidP="00DE679F">
      <w:pPr>
        <w:rPr>
          <w:rFonts w:ascii="Century Gothic" w:eastAsia="Times New Roman" w:hAnsi="Century Gothic"/>
        </w:rPr>
      </w:pPr>
      <w:r w:rsidRPr="00AB230A">
        <w:rPr>
          <w:rFonts w:ascii="Century Gothic" w:eastAsia="Times New Roman" w:hAnsi="Century Gothic"/>
        </w:rPr>
        <w:t xml:space="preserve">At the end of FY24, ECC/HANH administered </w:t>
      </w:r>
      <w:r>
        <w:rPr>
          <w:rFonts w:ascii="Century Gothic" w:eastAsia="Times New Roman" w:hAnsi="Century Gothic"/>
        </w:rPr>
        <w:t>610</w:t>
      </w:r>
      <w:r w:rsidRPr="00AB230A">
        <w:rPr>
          <w:rFonts w:ascii="Century Gothic" w:eastAsia="Times New Roman" w:hAnsi="Century Gothic"/>
        </w:rPr>
        <w:t xml:space="preserve"> non-RAD PBVs and </w:t>
      </w:r>
      <w:r>
        <w:rPr>
          <w:rFonts w:ascii="Century Gothic" w:eastAsia="Times New Roman" w:hAnsi="Century Gothic"/>
        </w:rPr>
        <w:t>1,689</w:t>
      </w:r>
      <w:r w:rsidRPr="00AB230A">
        <w:rPr>
          <w:rFonts w:ascii="Century Gothic" w:eastAsia="Times New Roman" w:hAnsi="Century Gothic"/>
        </w:rPr>
        <w:t xml:space="preserve"> RAD/PBVs for a total of </w:t>
      </w:r>
      <w:r>
        <w:rPr>
          <w:rFonts w:ascii="Century Gothic" w:eastAsia="Times New Roman" w:hAnsi="Century Gothic"/>
        </w:rPr>
        <w:t>2,299</w:t>
      </w:r>
      <w:r w:rsidRPr="00AB230A">
        <w:rPr>
          <w:rFonts w:ascii="Century Gothic" w:eastAsia="Times New Roman" w:hAnsi="Century Gothic"/>
        </w:rPr>
        <w:t xml:space="preserve"> project-based vouchers.</w:t>
      </w:r>
    </w:p>
    <w:p w14:paraId="2FEE0867" w14:textId="77777777" w:rsidR="00DE679F" w:rsidRPr="00AB230A" w:rsidRDefault="00DE679F" w:rsidP="00DE679F">
      <w:pPr>
        <w:rPr>
          <w:rFonts w:ascii="Century Gothic" w:eastAsia="Times New Roman" w:hAnsi="Century Gothic"/>
        </w:rPr>
      </w:pPr>
    </w:p>
    <w:p w14:paraId="59C513A9" w14:textId="77777777" w:rsidR="00DE679F" w:rsidRPr="00AB230A" w:rsidRDefault="00DE679F" w:rsidP="00DE679F">
      <w:pPr>
        <w:rPr>
          <w:rFonts w:ascii="Century Gothic" w:eastAsia="Times New Roman" w:hAnsi="Century Gothic"/>
        </w:rPr>
      </w:pPr>
      <w:r w:rsidRPr="00AB230A">
        <w:rPr>
          <w:rFonts w:ascii="Century Gothic" w:eastAsia="Times New Roman" w:hAnsi="Century Gothic"/>
        </w:rPr>
        <w:t xml:space="preserve">The non-RAD PB allocation </w:t>
      </w:r>
      <w:r w:rsidRPr="001868DF">
        <w:rPr>
          <w:rFonts w:ascii="Century Gothic" w:eastAsia="Times New Roman" w:hAnsi="Century Gothic"/>
        </w:rPr>
        <w:t xml:space="preserve">is </w:t>
      </w:r>
      <w:r w:rsidRPr="00844F32">
        <w:rPr>
          <w:rFonts w:ascii="Century Gothic" w:eastAsia="Times New Roman" w:hAnsi="Century Gothic"/>
        </w:rPr>
        <w:t>1</w:t>
      </w:r>
      <w:r>
        <w:rPr>
          <w:rFonts w:ascii="Century Gothic" w:eastAsia="Times New Roman" w:hAnsi="Century Gothic"/>
        </w:rPr>
        <w:t>2</w:t>
      </w:r>
      <w:r w:rsidRPr="00844F32">
        <w:rPr>
          <w:rFonts w:ascii="Century Gothic" w:eastAsia="Times New Roman" w:hAnsi="Century Gothic"/>
        </w:rPr>
        <w:t>%*,</w:t>
      </w:r>
      <w:r w:rsidRPr="00AB230A">
        <w:rPr>
          <w:rFonts w:ascii="Century Gothic" w:eastAsia="Times New Roman" w:hAnsi="Century Gothic"/>
        </w:rPr>
        <w:t xml:space="preserve"> </w:t>
      </w:r>
    </w:p>
    <w:p w14:paraId="789015BB" w14:textId="77777777" w:rsidR="00DE679F" w:rsidRPr="005E7086" w:rsidRDefault="00DE679F" w:rsidP="00DE679F">
      <w:pPr>
        <w:rPr>
          <w:rFonts w:ascii="Century Gothic" w:eastAsia="Times New Roman" w:hAnsi="Century Gothic"/>
          <w:i/>
          <w:iCs/>
          <w:sz w:val="18"/>
          <w:szCs w:val="18"/>
        </w:rPr>
      </w:pPr>
      <w:r w:rsidRPr="005E7086">
        <w:rPr>
          <w:rFonts w:ascii="Century Gothic" w:eastAsia="Times New Roman" w:hAnsi="Century Gothic"/>
          <w:i/>
          <w:iCs/>
          <w:sz w:val="18"/>
          <w:szCs w:val="18"/>
        </w:rPr>
        <w:t xml:space="preserve">*(Total voucher count (6595) - RAD/PBV (1689) = non-RAD vouchers (4,906))  </w:t>
      </w:r>
    </w:p>
    <w:p w14:paraId="4A9E90E2" w14:textId="77777777" w:rsidR="00DE679F" w:rsidRPr="005E7086" w:rsidRDefault="00DE679F" w:rsidP="00DE679F">
      <w:pPr>
        <w:rPr>
          <w:rFonts w:ascii="Century Gothic" w:eastAsia="Times New Roman" w:hAnsi="Century Gothic"/>
          <w:i/>
          <w:iCs/>
          <w:sz w:val="18"/>
          <w:szCs w:val="18"/>
        </w:rPr>
      </w:pPr>
      <w:r w:rsidRPr="005E7086">
        <w:rPr>
          <w:rFonts w:ascii="Century Gothic" w:eastAsia="Times New Roman" w:hAnsi="Century Gothic"/>
          <w:i/>
          <w:iCs/>
          <w:sz w:val="18"/>
          <w:szCs w:val="18"/>
        </w:rPr>
        <w:t>(PBV (610) is 12% of total non-RAD vouchers (4,906))</w:t>
      </w:r>
    </w:p>
    <w:p w14:paraId="402901F2" w14:textId="77777777" w:rsidR="00DE679F" w:rsidRPr="00AB230A" w:rsidRDefault="00DE679F" w:rsidP="00DE679F">
      <w:pPr>
        <w:rPr>
          <w:rFonts w:ascii="Century Gothic" w:eastAsia="Times New Roman" w:hAnsi="Century Gothic"/>
          <w:i/>
          <w:iCs/>
          <w:sz w:val="20"/>
          <w:szCs w:val="20"/>
        </w:rPr>
      </w:pPr>
    </w:p>
    <w:p w14:paraId="003C8493" w14:textId="77777777" w:rsidR="00DE679F" w:rsidRDefault="00DE679F" w:rsidP="00DE679F">
      <w:pPr>
        <w:rPr>
          <w:rFonts w:ascii="Century Gothic" w:eastAsia="Times New Roman" w:hAnsi="Century Gothic"/>
        </w:rPr>
      </w:pPr>
      <w:r w:rsidRPr="00742F26">
        <w:rPr>
          <w:rFonts w:ascii="Century Gothic" w:eastAsia="Times New Roman" w:hAnsi="Century Gothic"/>
        </w:rPr>
        <w:t xml:space="preserve">ECC/HANH planned to allocate </w:t>
      </w:r>
      <w:r w:rsidRPr="008D32D2">
        <w:rPr>
          <w:rFonts w:ascii="Century Gothic" w:eastAsia="Times New Roman" w:hAnsi="Century Gothic"/>
        </w:rPr>
        <w:t>4,133 vouchers</w:t>
      </w:r>
      <w:r w:rsidRPr="00742F26">
        <w:rPr>
          <w:rFonts w:ascii="Century Gothic" w:eastAsia="Times New Roman" w:hAnsi="Century Gothic"/>
        </w:rPr>
        <w:t xml:space="preserve"> </w:t>
      </w:r>
      <w:r>
        <w:rPr>
          <w:rFonts w:ascii="Century Gothic" w:eastAsia="Times New Roman" w:hAnsi="Century Gothic"/>
        </w:rPr>
        <w:t xml:space="preserve">and allocated 4296 </w:t>
      </w:r>
      <w:r w:rsidRPr="00742F26">
        <w:rPr>
          <w:rFonts w:ascii="Century Gothic" w:eastAsia="Times New Roman" w:hAnsi="Century Gothic"/>
        </w:rPr>
        <w:t>for tenant-based uses (uses described in table below).</w:t>
      </w:r>
    </w:p>
    <w:p w14:paraId="2CB69ED8" w14:textId="77777777" w:rsidR="00DE679F" w:rsidRDefault="00DE679F" w:rsidP="00DE679F">
      <w:pPr>
        <w:rPr>
          <w:rFonts w:ascii="Century Gothic" w:eastAsia="Times New Roman" w:hAnsi="Century Gothic"/>
        </w:rPr>
      </w:pPr>
    </w:p>
    <w:tbl>
      <w:tblPr>
        <w:tblW w:w="9906" w:type="dxa"/>
        <w:tblLook w:val="04A0" w:firstRow="1" w:lastRow="0" w:firstColumn="1" w:lastColumn="0" w:noHBand="0" w:noVBand="1"/>
      </w:tblPr>
      <w:tblGrid>
        <w:gridCol w:w="2719"/>
        <w:gridCol w:w="1115"/>
        <w:gridCol w:w="1211"/>
        <w:gridCol w:w="1228"/>
        <w:gridCol w:w="1211"/>
        <w:gridCol w:w="1211"/>
        <w:gridCol w:w="1211"/>
      </w:tblGrid>
      <w:tr w:rsidR="00DE679F" w:rsidRPr="008D32D2" w14:paraId="6F4006AF" w14:textId="77777777" w:rsidTr="002A35F2">
        <w:trPr>
          <w:trHeight w:val="1446"/>
        </w:trPr>
        <w:tc>
          <w:tcPr>
            <w:tcW w:w="2719"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14:paraId="74F89B16"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Description</w:t>
            </w:r>
          </w:p>
        </w:tc>
        <w:tc>
          <w:tcPr>
            <w:tcW w:w="1115" w:type="dxa"/>
            <w:tcBorders>
              <w:top w:val="single" w:sz="12" w:space="0" w:color="auto"/>
              <w:left w:val="nil"/>
              <w:bottom w:val="single" w:sz="12" w:space="0" w:color="auto"/>
              <w:right w:val="single" w:sz="12" w:space="0" w:color="auto"/>
            </w:tcBorders>
            <w:shd w:val="clear" w:color="000000" w:fill="FFFF00"/>
            <w:vAlign w:val="center"/>
            <w:hideMark/>
          </w:tcPr>
          <w:p w14:paraId="00628253"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2024 Voucher Baseline</w:t>
            </w:r>
          </w:p>
        </w:tc>
        <w:tc>
          <w:tcPr>
            <w:tcW w:w="1211" w:type="dxa"/>
            <w:tcBorders>
              <w:top w:val="single" w:sz="12" w:space="0" w:color="auto"/>
              <w:left w:val="nil"/>
              <w:bottom w:val="single" w:sz="12" w:space="0" w:color="auto"/>
              <w:right w:val="single" w:sz="12" w:space="0" w:color="auto"/>
            </w:tcBorders>
            <w:shd w:val="clear" w:color="000000" w:fill="FFFF00"/>
            <w:vAlign w:val="center"/>
            <w:hideMark/>
          </w:tcPr>
          <w:p w14:paraId="5E2E49D8"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 xml:space="preserve">Planned Vouchers to be removed </w:t>
            </w:r>
          </w:p>
        </w:tc>
        <w:tc>
          <w:tcPr>
            <w:tcW w:w="1228" w:type="dxa"/>
            <w:tcBorders>
              <w:top w:val="single" w:sz="12" w:space="0" w:color="auto"/>
              <w:left w:val="nil"/>
              <w:bottom w:val="single" w:sz="12" w:space="0" w:color="auto"/>
              <w:right w:val="single" w:sz="12" w:space="0" w:color="auto"/>
            </w:tcBorders>
            <w:shd w:val="clear" w:color="000000" w:fill="FFFF00"/>
            <w:vAlign w:val="center"/>
            <w:hideMark/>
          </w:tcPr>
          <w:p w14:paraId="30D3DD4E"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Actual Vouchers Removed</w:t>
            </w:r>
          </w:p>
        </w:tc>
        <w:tc>
          <w:tcPr>
            <w:tcW w:w="1211" w:type="dxa"/>
            <w:tcBorders>
              <w:top w:val="single" w:sz="12" w:space="0" w:color="auto"/>
              <w:left w:val="nil"/>
              <w:bottom w:val="single" w:sz="12" w:space="0" w:color="auto"/>
              <w:right w:val="single" w:sz="12" w:space="0" w:color="auto"/>
            </w:tcBorders>
            <w:shd w:val="clear" w:color="000000" w:fill="FFFF00"/>
            <w:vAlign w:val="center"/>
            <w:hideMark/>
          </w:tcPr>
          <w:p w14:paraId="4ADDC889"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Planned Vouchers to be added</w:t>
            </w:r>
          </w:p>
        </w:tc>
        <w:tc>
          <w:tcPr>
            <w:tcW w:w="1211" w:type="dxa"/>
            <w:tcBorders>
              <w:top w:val="single" w:sz="12" w:space="0" w:color="auto"/>
              <w:left w:val="nil"/>
              <w:bottom w:val="single" w:sz="12" w:space="0" w:color="auto"/>
              <w:right w:val="single" w:sz="12" w:space="0" w:color="auto"/>
            </w:tcBorders>
            <w:shd w:val="clear" w:color="000000" w:fill="FFFF00"/>
            <w:vAlign w:val="center"/>
            <w:hideMark/>
          </w:tcPr>
          <w:p w14:paraId="39630962"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Actual Vouchers Added</w:t>
            </w:r>
          </w:p>
        </w:tc>
        <w:tc>
          <w:tcPr>
            <w:tcW w:w="1211" w:type="dxa"/>
            <w:tcBorders>
              <w:top w:val="single" w:sz="12" w:space="0" w:color="auto"/>
              <w:left w:val="nil"/>
              <w:bottom w:val="single" w:sz="12" w:space="0" w:color="auto"/>
              <w:right w:val="single" w:sz="12" w:space="0" w:color="auto"/>
            </w:tcBorders>
            <w:shd w:val="clear" w:color="000000" w:fill="FFFF00"/>
            <w:vAlign w:val="center"/>
            <w:hideMark/>
          </w:tcPr>
          <w:p w14:paraId="276BD7BC"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Actual Vouchers at the end of FY end 2024</w:t>
            </w:r>
          </w:p>
        </w:tc>
      </w:tr>
      <w:tr w:rsidR="00DE679F" w:rsidRPr="008D32D2" w14:paraId="267C04F5" w14:textId="77777777" w:rsidTr="002A35F2">
        <w:trPr>
          <w:trHeight w:val="564"/>
        </w:trPr>
        <w:tc>
          <w:tcPr>
            <w:tcW w:w="2719" w:type="dxa"/>
            <w:tcBorders>
              <w:top w:val="nil"/>
              <w:left w:val="single" w:sz="12" w:space="0" w:color="auto"/>
              <w:bottom w:val="single" w:sz="12" w:space="0" w:color="auto"/>
              <w:right w:val="single" w:sz="12" w:space="0" w:color="auto"/>
            </w:tcBorders>
            <w:vAlign w:val="center"/>
            <w:hideMark/>
          </w:tcPr>
          <w:p w14:paraId="064D5B0B"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TBV - MTW Vouchers</w:t>
            </w:r>
          </w:p>
        </w:tc>
        <w:tc>
          <w:tcPr>
            <w:tcW w:w="1115" w:type="dxa"/>
            <w:tcBorders>
              <w:top w:val="nil"/>
              <w:left w:val="nil"/>
              <w:bottom w:val="single" w:sz="12" w:space="0" w:color="auto"/>
              <w:right w:val="single" w:sz="12" w:space="0" w:color="auto"/>
            </w:tcBorders>
            <w:vAlign w:val="center"/>
            <w:hideMark/>
          </w:tcPr>
          <w:p w14:paraId="60AA6506"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03F28195"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28" w:type="dxa"/>
            <w:tcBorders>
              <w:top w:val="nil"/>
              <w:left w:val="nil"/>
              <w:bottom w:val="single" w:sz="12" w:space="0" w:color="auto"/>
              <w:right w:val="single" w:sz="12" w:space="0" w:color="auto"/>
            </w:tcBorders>
            <w:vAlign w:val="center"/>
            <w:hideMark/>
          </w:tcPr>
          <w:p w14:paraId="0961E1E9"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0B2464A4"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0E359583"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38B58354"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r>
      <w:tr w:rsidR="00DE679F" w:rsidRPr="008D32D2" w14:paraId="18ACB609" w14:textId="77777777" w:rsidTr="002A35F2">
        <w:trPr>
          <w:trHeight w:val="870"/>
        </w:trPr>
        <w:tc>
          <w:tcPr>
            <w:tcW w:w="2719" w:type="dxa"/>
            <w:tcBorders>
              <w:top w:val="nil"/>
              <w:left w:val="single" w:sz="12" w:space="0" w:color="auto"/>
              <w:bottom w:val="single" w:sz="12" w:space="0" w:color="auto"/>
              <w:right w:val="single" w:sz="12" w:space="0" w:color="auto"/>
            </w:tcBorders>
            <w:vAlign w:val="center"/>
            <w:hideMark/>
          </w:tcPr>
          <w:p w14:paraId="7ED703DE"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DMHAS Supportive - Housing First</w:t>
            </w:r>
          </w:p>
        </w:tc>
        <w:tc>
          <w:tcPr>
            <w:tcW w:w="1115" w:type="dxa"/>
            <w:tcBorders>
              <w:top w:val="nil"/>
              <w:left w:val="nil"/>
              <w:bottom w:val="single" w:sz="12" w:space="0" w:color="auto"/>
              <w:right w:val="single" w:sz="12" w:space="0" w:color="auto"/>
            </w:tcBorders>
            <w:vAlign w:val="center"/>
            <w:hideMark/>
          </w:tcPr>
          <w:p w14:paraId="19BC45D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w:t>
            </w:r>
          </w:p>
        </w:tc>
        <w:tc>
          <w:tcPr>
            <w:tcW w:w="1211" w:type="dxa"/>
            <w:tcBorders>
              <w:top w:val="nil"/>
              <w:left w:val="nil"/>
              <w:bottom w:val="single" w:sz="12" w:space="0" w:color="auto"/>
              <w:right w:val="single" w:sz="12" w:space="0" w:color="auto"/>
            </w:tcBorders>
            <w:vAlign w:val="center"/>
            <w:hideMark/>
          </w:tcPr>
          <w:p w14:paraId="66CF71F6"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3F53E10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0FEDA52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2AE4FB6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2D8D16B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w:t>
            </w:r>
          </w:p>
        </w:tc>
      </w:tr>
      <w:tr w:rsidR="00DE679F" w:rsidRPr="008D32D2" w14:paraId="1A0D49EC" w14:textId="77777777" w:rsidTr="002A35F2">
        <w:trPr>
          <w:trHeight w:val="780"/>
        </w:trPr>
        <w:tc>
          <w:tcPr>
            <w:tcW w:w="2719" w:type="dxa"/>
            <w:tcBorders>
              <w:top w:val="nil"/>
              <w:left w:val="single" w:sz="12" w:space="0" w:color="auto"/>
              <w:bottom w:val="single" w:sz="12" w:space="0" w:color="auto"/>
              <w:right w:val="single" w:sz="12" w:space="0" w:color="auto"/>
            </w:tcBorders>
            <w:vAlign w:val="center"/>
            <w:hideMark/>
          </w:tcPr>
          <w:p w14:paraId="34D0250D"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DMHAS MHT Grant - FUSE</w:t>
            </w:r>
          </w:p>
        </w:tc>
        <w:tc>
          <w:tcPr>
            <w:tcW w:w="1115" w:type="dxa"/>
            <w:tcBorders>
              <w:top w:val="nil"/>
              <w:left w:val="nil"/>
              <w:bottom w:val="single" w:sz="12" w:space="0" w:color="auto"/>
              <w:right w:val="single" w:sz="12" w:space="0" w:color="auto"/>
            </w:tcBorders>
            <w:vAlign w:val="center"/>
            <w:hideMark/>
          </w:tcPr>
          <w:p w14:paraId="302A3CE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w:t>
            </w:r>
          </w:p>
        </w:tc>
        <w:tc>
          <w:tcPr>
            <w:tcW w:w="1211" w:type="dxa"/>
            <w:tcBorders>
              <w:top w:val="nil"/>
              <w:left w:val="nil"/>
              <w:bottom w:val="single" w:sz="12" w:space="0" w:color="auto"/>
              <w:right w:val="single" w:sz="12" w:space="0" w:color="auto"/>
            </w:tcBorders>
            <w:vAlign w:val="center"/>
            <w:hideMark/>
          </w:tcPr>
          <w:p w14:paraId="5F6EB026"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346879E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271A1D9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2FEDEEF1"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5F4592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w:t>
            </w:r>
          </w:p>
        </w:tc>
      </w:tr>
      <w:tr w:rsidR="00DE679F" w:rsidRPr="008D32D2" w14:paraId="77E57624" w14:textId="77777777" w:rsidTr="002A35F2">
        <w:trPr>
          <w:trHeight w:val="726"/>
        </w:trPr>
        <w:tc>
          <w:tcPr>
            <w:tcW w:w="2719" w:type="dxa"/>
            <w:tcBorders>
              <w:top w:val="nil"/>
              <w:left w:val="single" w:sz="12" w:space="0" w:color="auto"/>
              <w:bottom w:val="single" w:sz="12" w:space="0" w:color="auto"/>
              <w:right w:val="single" w:sz="12" w:space="0" w:color="auto"/>
            </w:tcBorders>
            <w:vAlign w:val="center"/>
            <w:hideMark/>
          </w:tcPr>
          <w:p w14:paraId="0AD995EA"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Family Options - Homeless</w:t>
            </w:r>
          </w:p>
        </w:tc>
        <w:tc>
          <w:tcPr>
            <w:tcW w:w="1115" w:type="dxa"/>
            <w:tcBorders>
              <w:top w:val="nil"/>
              <w:left w:val="nil"/>
              <w:bottom w:val="single" w:sz="12" w:space="0" w:color="auto"/>
              <w:right w:val="single" w:sz="12" w:space="0" w:color="auto"/>
            </w:tcBorders>
            <w:vAlign w:val="center"/>
            <w:hideMark/>
          </w:tcPr>
          <w:p w14:paraId="5858E7C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15</w:t>
            </w:r>
          </w:p>
        </w:tc>
        <w:tc>
          <w:tcPr>
            <w:tcW w:w="1211" w:type="dxa"/>
            <w:tcBorders>
              <w:top w:val="nil"/>
              <w:left w:val="nil"/>
              <w:bottom w:val="single" w:sz="12" w:space="0" w:color="auto"/>
              <w:right w:val="single" w:sz="12" w:space="0" w:color="auto"/>
            </w:tcBorders>
            <w:vAlign w:val="center"/>
            <w:hideMark/>
          </w:tcPr>
          <w:p w14:paraId="65C1B3B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7</w:t>
            </w:r>
          </w:p>
        </w:tc>
        <w:tc>
          <w:tcPr>
            <w:tcW w:w="1228" w:type="dxa"/>
            <w:tcBorders>
              <w:top w:val="nil"/>
              <w:left w:val="nil"/>
              <w:bottom w:val="single" w:sz="12" w:space="0" w:color="auto"/>
              <w:right w:val="single" w:sz="12" w:space="0" w:color="auto"/>
            </w:tcBorders>
            <w:vAlign w:val="center"/>
            <w:hideMark/>
          </w:tcPr>
          <w:p w14:paraId="531819D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7</w:t>
            </w:r>
          </w:p>
        </w:tc>
        <w:tc>
          <w:tcPr>
            <w:tcW w:w="1211" w:type="dxa"/>
            <w:tcBorders>
              <w:top w:val="nil"/>
              <w:left w:val="nil"/>
              <w:bottom w:val="single" w:sz="12" w:space="0" w:color="auto"/>
              <w:right w:val="single" w:sz="12" w:space="0" w:color="auto"/>
            </w:tcBorders>
            <w:vAlign w:val="center"/>
            <w:hideMark/>
          </w:tcPr>
          <w:p w14:paraId="5EA44D4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6036A15F"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2AD992E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8</w:t>
            </w:r>
          </w:p>
        </w:tc>
      </w:tr>
      <w:tr w:rsidR="00DE679F" w:rsidRPr="008D32D2" w14:paraId="5024ACEC" w14:textId="77777777" w:rsidTr="002A35F2">
        <w:trPr>
          <w:trHeight w:val="600"/>
        </w:trPr>
        <w:tc>
          <w:tcPr>
            <w:tcW w:w="2719" w:type="dxa"/>
            <w:tcBorders>
              <w:top w:val="nil"/>
              <w:left w:val="single" w:sz="12" w:space="0" w:color="auto"/>
              <w:bottom w:val="single" w:sz="12" w:space="0" w:color="auto"/>
              <w:right w:val="single" w:sz="12" w:space="0" w:color="auto"/>
            </w:tcBorders>
            <w:vAlign w:val="center"/>
            <w:hideMark/>
          </w:tcPr>
          <w:p w14:paraId="38F23532"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Permanent Enrichment</w:t>
            </w:r>
          </w:p>
        </w:tc>
        <w:tc>
          <w:tcPr>
            <w:tcW w:w="1115" w:type="dxa"/>
            <w:tcBorders>
              <w:top w:val="nil"/>
              <w:left w:val="nil"/>
              <w:bottom w:val="single" w:sz="12" w:space="0" w:color="auto"/>
              <w:right w:val="single" w:sz="12" w:space="0" w:color="auto"/>
            </w:tcBorders>
            <w:vAlign w:val="center"/>
            <w:hideMark/>
          </w:tcPr>
          <w:p w14:paraId="3EEF8B3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w:t>
            </w:r>
          </w:p>
        </w:tc>
        <w:tc>
          <w:tcPr>
            <w:tcW w:w="1211" w:type="dxa"/>
            <w:tcBorders>
              <w:top w:val="nil"/>
              <w:left w:val="nil"/>
              <w:bottom w:val="single" w:sz="12" w:space="0" w:color="auto"/>
              <w:right w:val="single" w:sz="12" w:space="0" w:color="auto"/>
            </w:tcBorders>
            <w:vAlign w:val="center"/>
            <w:hideMark/>
          </w:tcPr>
          <w:p w14:paraId="06BCA4D6"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0E0C4FC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095D5B5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D84D39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4BB7402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w:t>
            </w:r>
          </w:p>
        </w:tc>
      </w:tr>
      <w:tr w:rsidR="00DE679F" w:rsidRPr="008D32D2" w14:paraId="226E4EDD" w14:textId="77777777" w:rsidTr="002A35F2">
        <w:trPr>
          <w:trHeight w:val="780"/>
        </w:trPr>
        <w:tc>
          <w:tcPr>
            <w:tcW w:w="2719" w:type="dxa"/>
            <w:tcBorders>
              <w:top w:val="nil"/>
              <w:left w:val="single" w:sz="12" w:space="0" w:color="auto"/>
              <w:bottom w:val="single" w:sz="12" w:space="0" w:color="auto"/>
              <w:right w:val="single" w:sz="12" w:space="0" w:color="auto"/>
            </w:tcBorders>
            <w:vAlign w:val="center"/>
            <w:hideMark/>
          </w:tcPr>
          <w:p w14:paraId="2A0ABFA3"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Foreclosure Protection</w:t>
            </w:r>
          </w:p>
        </w:tc>
        <w:tc>
          <w:tcPr>
            <w:tcW w:w="1115" w:type="dxa"/>
            <w:tcBorders>
              <w:top w:val="nil"/>
              <w:left w:val="nil"/>
              <w:bottom w:val="single" w:sz="12" w:space="0" w:color="auto"/>
              <w:right w:val="single" w:sz="12" w:space="0" w:color="auto"/>
            </w:tcBorders>
            <w:vAlign w:val="center"/>
            <w:hideMark/>
          </w:tcPr>
          <w:p w14:paraId="7966AB4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17</w:t>
            </w:r>
          </w:p>
        </w:tc>
        <w:tc>
          <w:tcPr>
            <w:tcW w:w="1211" w:type="dxa"/>
            <w:tcBorders>
              <w:top w:val="nil"/>
              <w:left w:val="nil"/>
              <w:bottom w:val="single" w:sz="12" w:space="0" w:color="auto"/>
              <w:right w:val="single" w:sz="12" w:space="0" w:color="auto"/>
            </w:tcBorders>
            <w:vAlign w:val="center"/>
            <w:hideMark/>
          </w:tcPr>
          <w:p w14:paraId="72C4AAB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3</w:t>
            </w:r>
          </w:p>
        </w:tc>
        <w:tc>
          <w:tcPr>
            <w:tcW w:w="1228" w:type="dxa"/>
            <w:tcBorders>
              <w:top w:val="nil"/>
              <w:left w:val="nil"/>
              <w:bottom w:val="single" w:sz="12" w:space="0" w:color="auto"/>
              <w:right w:val="single" w:sz="12" w:space="0" w:color="auto"/>
            </w:tcBorders>
            <w:vAlign w:val="center"/>
            <w:hideMark/>
          </w:tcPr>
          <w:p w14:paraId="7DD5064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3</w:t>
            </w:r>
          </w:p>
        </w:tc>
        <w:tc>
          <w:tcPr>
            <w:tcW w:w="1211" w:type="dxa"/>
            <w:tcBorders>
              <w:top w:val="nil"/>
              <w:left w:val="nil"/>
              <w:bottom w:val="single" w:sz="12" w:space="0" w:color="auto"/>
              <w:right w:val="single" w:sz="12" w:space="0" w:color="auto"/>
            </w:tcBorders>
            <w:vAlign w:val="center"/>
            <w:hideMark/>
          </w:tcPr>
          <w:p w14:paraId="705E40E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6AEDEFC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4513C4B6"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14</w:t>
            </w:r>
          </w:p>
        </w:tc>
      </w:tr>
      <w:tr w:rsidR="00DE679F" w:rsidRPr="008D32D2" w14:paraId="1C3C55F7" w14:textId="77777777" w:rsidTr="002A35F2">
        <w:trPr>
          <w:trHeight w:val="870"/>
        </w:trPr>
        <w:tc>
          <w:tcPr>
            <w:tcW w:w="2719" w:type="dxa"/>
            <w:tcBorders>
              <w:top w:val="nil"/>
              <w:left w:val="single" w:sz="12" w:space="0" w:color="auto"/>
              <w:bottom w:val="single" w:sz="12" w:space="0" w:color="auto"/>
              <w:right w:val="single" w:sz="12" w:space="0" w:color="auto"/>
            </w:tcBorders>
            <w:vAlign w:val="center"/>
            <w:hideMark/>
          </w:tcPr>
          <w:p w14:paraId="7CD43877"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Family Unification Supportive Housing</w:t>
            </w:r>
          </w:p>
        </w:tc>
        <w:tc>
          <w:tcPr>
            <w:tcW w:w="1115" w:type="dxa"/>
            <w:tcBorders>
              <w:top w:val="nil"/>
              <w:left w:val="nil"/>
              <w:bottom w:val="single" w:sz="12" w:space="0" w:color="auto"/>
              <w:right w:val="single" w:sz="12" w:space="0" w:color="auto"/>
            </w:tcBorders>
            <w:vAlign w:val="center"/>
            <w:hideMark/>
          </w:tcPr>
          <w:p w14:paraId="748738AB"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20</w:t>
            </w:r>
          </w:p>
        </w:tc>
        <w:tc>
          <w:tcPr>
            <w:tcW w:w="1211" w:type="dxa"/>
            <w:tcBorders>
              <w:top w:val="nil"/>
              <w:left w:val="nil"/>
              <w:bottom w:val="single" w:sz="12" w:space="0" w:color="auto"/>
              <w:right w:val="single" w:sz="12" w:space="0" w:color="auto"/>
            </w:tcBorders>
            <w:vAlign w:val="center"/>
            <w:hideMark/>
          </w:tcPr>
          <w:p w14:paraId="0295F9A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4E98179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3BCD1EF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472911C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0D9B5C9B"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20</w:t>
            </w:r>
          </w:p>
        </w:tc>
      </w:tr>
      <w:tr w:rsidR="00DE679F" w:rsidRPr="008D32D2" w14:paraId="47BEDB0A" w14:textId="77777777" w:rsidTr="002A35F2">
        <w:trPr>
          <w:trHeight w:val="600"/>
        </w:trPr>
        <w:tc>
          <w:tcPr>
            <w:tcW w:w="2719" w:type="dxa"/>
            <w:tcBorders>
              <w:top w:val="nil"/>
              <w:left w:val="single" w:sz="12" w:space="0" w:color="auto"/>
              <w:bottom w:val="single" w:sz="12" w:space="0" w:color="auto"/>
              <w:right w:val="single" w:sz="12" w:space="0" w:color="auto"/>
            </w:tcBorders>
            <w:vAlign w:val="center"/>
            <w:hideMark/>
          </w:tcPr>
          <w:p w14:paraId="51BAAC49"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lastRenderedPageBreak/>
              <w:t>Homelessness/Imminent Danger of Homelessness</w:t>
            </w:r>
          </w:p>
        </w:tc>
        <w:tc>
          <w:tcPr>
            <w:tcW w:w="1115" w:type="dxa"/>
            <w:tcBorders>
              <w:top w:val="nil"/>
              <w:left w:val="nil"/>
              <w:bottom w:val="single" w:sz="12" w:space="0" w:color="auto"/>
              <w:right w:val="single" w:sz="12" w:space="0" w:color="auto"/>
            </w:tcBorders>
            <w:vAlign w:val="center"/>
            <w:hideMark/>
          </w:tcPr>
          <w:p w14:paraId="0170584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40</w:t>
            </w:r>
          </w:p>
        </w:tc>
        <w:tc>
          <w:tcPr>
            <w:tcW w:w="1211" w:type="dxa"/>
            <w:tcBorders>
              <w:top w:val="nil"/>
              <w:left w:val="nil"/>
              <w:bottom w:val="single" w:sz="12" w:space="0" w:color="auto"/>
              <w:right w:val="single" w:sz="12" w:space="0" w:color="auto"/>
            </w:tcBorders>
            <w:vAlign w:val="center"/>
            <w:hideMark/>
          </w:tcPr>
          <w:p w14:paraId="4DF70A2F"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194E92FB"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7669675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44ADA136"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40E682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40</w:t>
            </w:r>
          </w:p>
        </w:tc>
      </w:tr>
      <w:tr w:rsidR="00DE679F" w:rsidRPr="008D32D2" w14:paraId="2A67A3DF" w14:textId="77777777" w:rsidTr="002A35F2">
        <w:trPr>
          <w:trHeight w:val="870"/>
        </w:trPr>
        <w:tc>
          <w:tcPr>
            <w:tcW w:w="2719" w:type="dxa"/>
            <w:tcBorders>
              <w:top w:val="nil"/>
              <w:left w:val="single" w:sz="12" w:space="0" w:color="auto"/>
              <w:bottom w:val="single" w:sz="12" w:space="0" w:color="auto"/>
              <w:right w:val="single" w:sz="12" w:space="0" w:color="auto"/>
            </w:tcBorders>
            <w:vAlign w:val="center"/>
            <w:hideMark/>
          </w:tcPr>
          <w:p w14:paraId="7FE5E8EB"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Supportive Housing/Homelessness Prevention I</w:t>
            </w:r>
          </w:p>
        </w:tc>
        <w:tc>
          <w:tcPr>
            <w:tcW w:w="1115" w:type="dxa"/>
            <w:tcBorders>
              <w:top w:val="nil"/>
              <w:left w:val="nil"/>
              <w:bottom w:val="single" w:sz="12" w:space="0" w:color="auto"/>
              <w:right w:val="single" w:sz="12" w:space="0" w:color="auto"/>
            </w:tcBorders>
            <w:vAlign w:val="center"/>
            <w:hideMark/>
          </w:tcPr>
          <w:p w14:paraId="32257ADB"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51</w:t>
            </w:r>
          </w:p>
        </w:tc>
        <w:tc>
          <w:tcPr>
            <w:tcW w:w="1211" w:type="dxa"/>
            <w:tcBorders>
              <w:top w:val="nil"/>
              <w:left w:val="nil"/>
              <w:bottom w:val="single" w:sz="12" w:space="0" w:color="auto"/>
              <w:right w:val="single" w:sz="12" w:space="0" w:color="auto"/>
            </w:tcBorders>
            <w:vAlign w:val="center"/>
            <w:hideMark/>
          </w:tcPr>
          <w:p w14:paraId="62E6E43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4ECE2F2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6F4D4B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w:t>
            </w:r>
          </w:p>
        </w:tc>
        <w:tc>
          <w:tcPr>
            <w:tcW w:w="1211" w:type="dxa"/>
            <w:tcBorders>
              <w:top w:val="nil"/>
              <w:left w:val="nil"/>
              <w:bottom w:val="single" w:sz="12" w:space="0" w:color="auto"/>
              <w:right w:val="single" w:sz="12" w:space="0" w:color="auto"/>
            </w:tcBorders>
            <w:vAlign w:val="center"/>
            <w:hideMark/>
          </w:tcPr>
          <w:p w14:paraId="09909A7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w:t>
            </w:r>
          </w:p>
        </w:tc>
        <w:tc>
          <w:tcPr>
            <w:tcW w:w="1211" w:type="dxa"/>
            <w:tcBorders>
              <w:top w:val="nil"/>
              <w:left w:val="nil"/>
              <w:bottom w:val="single" w:sz="12" w:space="0" w:color="auto"/>
              <w:right w:val="single" w:sz="12" w:space="0" w:color="auto"/>
            </w:tcBorders>
            <w:vAlign w:val="center"/>
            <w:hideMark/>
          </w:tcPr>
          <w:p w14:paraId="0B828CF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61</w:t>
            </w:r>
          </w:p>
        </w:tc>
      </w:tr>
      <w:tr w:rsidR="00DE679F" w:rsidRPr="008D32D2" w14:paraId="144E3B8A" w14:textId="77777777" w:rsidTr="002A35F2">
        <w:trPr>
          <w:trHeight w:val="600"/>
        </w:trPr>
        <w:tc>
          <w:tcPr>
            <w:tcW w:w="2719" w:type="dxa"/>
            <w:tcBorders>
              <w:top w:val="nil"/>
              <w:left w:val="single" w:sz="12" w:space="0" w:color="auto"/>
              <w:bottom w:val="single" w:sz="12" w:space="0" w:color="auto"/>
              <w:right w:val="single" w:sz="12" w:space="0" w:color="auto"/>
            </w:tcBorders>
            <w:vAlign w:val="center"/>
            <w:hideMark/>
          </w:tcPr>
          <w:p w14:paraId="6506734F"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Project Longevity</w:t>
            </w:r>
          </w:p>
        </w:tc>
        <w:tc>
          <w:tcPr>
            <w:tcW w:w="1115" w:type="dxa"/>
            <w:tcBorders>
              <w:top w:val="nil"/>
              <w:left w:val="nil"/>
              <w:bottom w:val="single" w:sz="12" w:space="0" w:color="auto"/>
              <w:right w:val="single" w:sz="12" w:space="0" w:color="auto"/>
            </w:tcBorders>
            <w:vAlign w:val="center"/>
            <w:hideMark/>
          </w:tcPr>
          <w:p w14:paraId="43827A9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25</w:t>
            </w:r>
          </w:p>
        </w:tc>
        <w:tc>
          <w:tcPr>
            <w:tcW w:w="1211" w:type="dxa"/>
            <w:tcBorders>
              <w:top w:val="nil"/>
              <w:left w:val="nil"/>
              <w:bottom w:val="single" w:sz="12" w:space="0" w:color="auto"/>
              <w:right w:val="single" w:sz="12" w:space="0" w:color="auto"/>
            </w:tcBorders>
            <w:vAlign w:val="center"/>
            <w:hideMark/>
          </w:tcPr>
          <w:p w14:paraId="7FA6958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34C23FB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1B1439C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71F8AA3B"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6BA782B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25</w:t>
            </w:r>
          </w:p>
        </w:tc>
      </w:tr>
      <w:tr w:rsidR="00DE679F" w:rsidRPr="008D32D2" w14:paraId="5666B467" w14:textId="77777777" w:rsidTr="002A35F2">
        <w:trPr>
          <w:trHeight w:val="501"/>
        </w:trPr>
        <w:tc>
          <w:tcPr>
            <w:tcW w:w="2719" w:type="dxa"/>
            <w:tcBorders>
              <w:top w:val="nil"/>
              <w:left w:val="single" w:sz="12" w:space="0" w:color="auto"/>
              <w:bottom w:val="single" w:sz="12" w:space="0" w:color="auto"/>
              <w:right w:val="single" w:sz="12" w:space="0" w:color="auto"/>
            </w:tcBorders>
            <w:vAlign w:val="center"/>
            <w:hideMark/>
          </w:tcPr>
          <w:p w14:paraId="184ED242"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Re-entry Fresh Start</w:t>
            </w:r>
          </w:p>
        </w:tc>
        <w:tc>
          <w:tcPr>
            <w:tcW w:w="1115" w:type="dxa"/>
            <w:tcBorders>
              <w:top w:val="nil"/>
              <w:left w:val="nil"/>
              <w:bottom w:val="single" w:sz="12" w:space="0" w:color="auto"/>
              <w:right w:val="single" w:sz="12" w:space="0" w:color="auto"/>
            </w:tcBorders>
            <w:vAlign w:val="center"/>
            <w:hideMark/>
          </w:tcPr>
          <w:p w14:paraId="22E4FF8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18</w:t>
            </w:r>
          </w:p>
        </w:tc>
        <w:tc>
          <w:tcPr>
            <w:tcW w:w="1211" w:type="dxa"/>
            <w:tcBorders>
              <w:top w:val="nil"/>
              <w:left w:val="nil"/>
              <w:bottom w:val="single" w:sz="12" w:space="0" w:color="auto"/>
              <w:right w:val="single" w:sz="12" w:space="0" w:color="auto"/>
            </w:tcBorders>
            <w:vAlign w:val="center"/>
            <w:hideMark/>
          </w:tcPr>
          <w:p w14:paraId="462A9CF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6BD4131B"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41EDE42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8</w:t>
            </w:r>
          </w:p>
        </w:tc>
        <w:tc>
          <w:tcPr>
            <w:tcW w:w="1211" w:type="dxa"/>
            <w:tcBorders>
              <w:top w:val="nil"/>
              <w:left w:val="nil"/>
              <w:bottom w:val="single" w:sz="12" w:space="0" w:color="auto"/>
              <w:right w:val="single" w:sz="12" w:space="0" w:color="auto"/>
            </w:tcBorders>
            <w:vAlign w:val="center"/>
            <w:hideMark/>
          </w:tcPr>
          <w:p w14:paraId="5E576571"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8</w:t>
            </w:r>
          </w:p>
        </w:tc>
        <w:tc>
          <w:tcPr>
            <w:tcW w:w="1211" w:type="dxa"/>
            <w:tcBorders>
              <w:top w:val="nil"/>
              <w:left w:val="nil"/>
              <w:bottom w:val="single" w:sz="12" w:space="0" w:color="auto"/>
              <w:right w:val="single" w:sz="12" w:space="0" w:color="auto"/>
            </w:tcBorders>
            <w:vAlign w:val="center"/>
            <w:hideMark/>
          </w:tcPr>
          <w:p w14:paraId="59DB8ABF"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26</w:t>
            </w:r>
          </w:p>
        </w:tc>
      </w:tr>
      <w:tr w:rsidR="00DE679F" w:rsidRPr="008D32D2" w14:paraId="4EA5CFD7" w14:textId="77777777" w:rsidTr="002A35F2">
        <w:trPr>
          <w:trHeight w:val="360"/>
        </w:trPr>
        <w:tc>
          <w:tcPr>
            <w:tcW w:w="2719" w:type="dxa"/>
            <w:tcBorders>
              <w:top w:val="nil"/>
              <w:left w:val="single" w:sz="12" w:space="0" w:color="auto"/>
              <w:bottom w:val="single" w:sz="12" w:space="0" w:color="auto"/>
              <w:right w:val="single" w:sz="12" w:space="0" w:color="auto"/>
            </w:tcBorders>
            <w:vAlign w:val="center"/>
            <w:hideMark/>
          </w:tcPr>
          <w:p w14:paraId="3D23A64A"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CARES</w:t>
            </w:r>
          </w:p>
        </w:tc>
        <w:tc>
          <w:tcPr>
            <w:tcW w:w="1115" w:type="dxa"/>
            <w:tcBorders>
              <w:top w:val="nil"/>
              <w:left w:val="nil"/>
              <w:bottom w:val="single" w:sz="12" w:space="0" w:color="auto"/>
              <w:right w:val="single" w:sz="12" w:space="0" w:color="auto"/>
            </w:tcBorders>
            <w:vAlign w:val="center"/>
            <w:hideMark/>
          </w:tcPr>
          <w:p w14:paraId="1BAF3AA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5</w:t>
            </w:r>
          </w:p>
        </w:tc>
        <w:tc>
          <w:tcPr>
            <w:tcW w:w="1211" w:type="dxa"/>
            <w:tcBorders>
              <w:top w:val="nil"/>
              <w:left w:val="nil"/>
              <w:bottom w:val="single" w:sz="12" w:space="0" w:color="auto"/>
              <w:right w:val="single" w:sz="12" w:space="0" w:color="auto"/>
            </w:tcBorders>
            <w:vAlign w:val="center"/>
            <w:hideMark/>
          </w:tcPr>
          <w:p w14:paraId="2C6AD7D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19E80B0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75FC124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625584C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05D4C56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5</w:t>
            </w:r>
          </w:p>
        </w:tc>
      </w:tr>
      <w:tr w:rsidR="00DE679F" w:rsidRPr="008D32D2" w14:paraId="7901F208" w14:textId="77777777" w:rsidTr="002A35F2">
        <w:trPr>
          <w:trHeight w:val="1113"/>
        </w:trPr>
        <w:tc>
          <w:tcPr>
            <w:tcW w:w="2719" w:type="dxa"/>
            <w:tcBorders>
              <w:top w:val="nil"/>
              <w:left w:val="single" w:sz="12" w:space="0" w:color="auto"/>
              <w:bottom w:val="single" w:sz="12" w:space="0" w:color="auto"/>
              <w:right w:val="single" w:sz="12" w:space="0" w:color="auto"/>
            </w:tcBorders>
            <w:vAlign w:val="center"/>
            <w:hideMark/>
          </w:tcPr>
          <w:p w14:paraId="4A2359A0"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Section Eight Home Ownership Program (SEHOP)</w:t>
            </w:r>
          </w:p>
        </w:tc>
        <w:tc>
          <w:tcPr>
            <w:tcW w:w="1115" w:type="dxa"/>
            <w:tcBorders>
              <w:top w:val="nil"/>
              <w:left w:val="nil"/>
              <w:bottom w:val="single" w:sz="12" w:space="0" w:color="auto"/>
              <w:right w:val="single" w:sz="12" w:space="0" w:color="auto"/>
            </w:tcBorders>
            <w:vAlign w:val="center"/>
            <w:hideMark/>
          </w:tcPr>
          <w:p w14:paraId="493225E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60</w:t>
            </w:r>
          </w:p>
        </w:tc>
        <w:tc>
          <w:tcPr>
            <w:tcW w:w="1211" w:type="dxa"/>
            <w:tcBorders>
              <w:top w:val="nil"/>
              <w:left w:val="nil"/>
              <w:bottom w:val="single" w:sz="12" w:space="0" w:color="auto"/>
              <w:right w:val="single" w:sz="12" w:space="0" w:color="auto"/>
            </w:tcBorders>
            <w:vAlign w:val="center"/>
            <w:hideMark/>
          </w:tcPr>
          <w:p w14:paraId="23E482B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10771C4B"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4485281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4360A33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6D628E8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60</w:t>
            </w:r>
          </w:p>
        </w:tc>
      </w:tr>
      <w:tr w:rsidR="00DE679F" w:rsidRPr="008D32D2" w14:paraId="469F7DBF" w14:textId="77777777" w:rsidTr="002A35F2">
        <w:trPr>
          <w:trHeight w:val="879"/>
        </w:trPr>
        <w:tc>
          <w:tcPr>
            <w:tcW w:w="2719" w:type="dxa"/>
            <w:tcBorders>
              <w:top w:val="nil"/>
              <w:left w:val="single" w:sz="12" w:space="0" w:color="auto"/>
              <w:bottom w:val="single" w:sz="12" w:space="0" w:color="auto"/>
              <w:right w:val="single" w:sz="12" w:space="0" w:color="auto"/>
            </w:tcBorders>
            <w:vAlign w:val="center"/>
            <w:hideMark/>
          </w:tcPr>
          <w:p w14:paraId="5AAF10D2"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West Rock Homeownership Phase I</w:t>
            </w:r>
          </w:p>
        </w:tc>
        <w:tc>
          <w:tcPr>
            <w:tcW w:w="1115" w:type="dxa"/>
            <w:tcBorders>
              <w:top w:val="nil"/>
              <w:left w:val="nil"/>
              <w:bottom w:val="single" w:sz="12" w:space="0" w:color="auto"/>
              <w:right w:val="single" w:sz="12" w:space="0" w:color="auto"/>
            </w:tcBorders>
            <w:vAlign w:val="center"/>
            <w:hideMark/>
          </w:tcPr>
          <w:p w14:paraId="0925222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w:t>
            </w:r>
          </w:p>
        </w:tc>
        <w:tc>
          <w:tcPr>
            <w:tcW w:w="1211" w:type="dxa"/>
            <w:tcBorders>
              <w:top w:val="nil"/>
              <w:left w:val="nil"/>
              <w:bottom w:val="single" w:sz="12" w:space="0" w:color="auto"/>
              <w:right w:val="single" w:sz="12" w:space="0" w:color="auto"/>
            </w:tcBorders>
            <w:vAlign w:val="center"/>
            <w:hideMark/>
          </w:tcPr>
          <w:p w14:paraId="709B1DA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w:t>
            </w:r>
          </w:p>
        </w:tc>
        <w:tc>
          <w:tcPr>
            <w:tcW w:w="1228" w:type="dxa"/>
            <w:tcBorders>
              <w:top w:val="nil"/>
              <w:left w:val="nil"/>
              <w:bottom w:val="single" w:sz="12" w:space="0" w:color="auto"/>
              <w:right w:val="single" w:sz="12" w:space="0" w:color="auto"/>
            </w:tcBorders>
            <w:vAlign w:val="center"/>
            <w:hideMark/>
          </w:tcPr>
          <w:p w14:paraId="09CDB5CA"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w:t>
            </w:r>
          </w:p>
        </w:tc>
        <w:tc>
          <w:tcPr>
            <w:tcW w:w="1211" w:type="dxa"/>
            <w:tcBorders>
              <w:top w:val="nil"/>
              <w:left w:val="nil"/>
              <w:bottom w:val="single" w:sz="12" w:space="0" w:color="auto"/>
              <w:right w:val="single" w:sz="12" w:space="0" w:color="auto"/>
            </w:tcBorders>
            <w:vAlign w:val="center"/>
            <w:hideMark/>
          </w:tcPr>
          <w:p w14:paraId="33C3AE5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7503528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1B81337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r>
      <w:tr w:rsidR="00DE679F" w:rsidRPr="008D32D2" w14:paraId="2C69C1CF" w14:textId="77777777" w:rsidTr="002A35F2">
        <w:trPr>
          <w:trHeight w:val="690"/>
        </w:trPr>
        <w:tc>
          <w:tcPr>
            <w:tcW w:w="2719" w:type="dxa"/>
            <w:tcBorders>
              <w:top w:val="nil"/>
              <w:left w:val="single" w:sz="12" w:space="0" w:color="auto"/>
              <w:bottom w:val="single" w:sz="12" w:space="0" w:color="auto"/>
              <w:right w:val="single" w:sz="12" w:space="0" w:color="auto"/>
            </w:tcBorders>
            <w:vAlign w:val="center"/>
            <w:hideMark/>
          </w:tcPr>
          <w:p w14:paraId="6FA7E05A"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Scattered Site Homeownership</w:t>
            </w:r>
          </w:p>
        </w:tc>
        <w:tc>
          <w:tcPr>
            <w:tcW w:w="1115" w:type="dxa"/>
            <w:tcBorders>
              <w:top w:val="nil"/>
              <w:left w:val="nil"/>
              <w:bottom w:val="single" w:sz="12" w:space="0" w:color="auto"/>
              <w:right w:val="single" w:sz="12" w:space="0" w:color="auto"/>
            </w:tcBorders>
            <w:vAlign w:val="center"/>
            <w:hideMark/>
          </w:tcPr>
          <w:p w14:paraId="1656BFFA"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190FA73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088F018A"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713AB7B6"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6</w:t>
            </w:r>
          </w:p>
        </w:tc>
        <w:tc>
          <w:tcPr>
            <w:tcW w:w="1211" w:type="dxa"/>
            <w:tcBorders>
              <w:top w:val="nil"/>
              <w:left w:val="nil"/>
              <w:bottom w:val="single" w:sz="12" w:space="0" w:color="auto"/>
              <w:right w:val="single" w:sz="12" w:space="0" w:color="auto"/>
            </w:tcBorders>
            <w:vAlign w:val="center"/>
            <w:hideMark/>
          </w:tcPr>
          <w:p w14:paraId="74A6C43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6</w:t>
            </w:r>
          </w:p>
        </w:tc>
        <w:tc>
          <w:tcPr>
            <w:tcW w:w="1211" w:type="dxa"/>
            <w:tcBorders>
              <w:top w:val="nil"/>
              <w:left w:val="nil"/>
              <w:bottom w:val="single" w:sz="12" w:space="0" w:color="auto"/>
              <w:right w:val="single" w:sz="12" w:space="0" w:color="auto"/>
            </w:tcBorders>
            <w:vAlign w:val="center"/>
            <w:hideMark/>
          </w:tcPr>
          <w:p w14:paraId="3CC35391"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6</w:t>
            </w:r>
          </w:p>
        </w:tc>
      </w:tr>
      <w:tr w:rsidR="00DE679F" w:rsidRPr="008D32D2" w14:paraId="0D2793BD" w14:textId="77777777" w:rsidTr="002A35F2">
        <w:trPr>
          <w:trHeight w:val="600"/>
        </w:trPr>
        <w:tc>
          <w:tcPr>
            <w:tcW w:w="2719" w:type="dxa"/>
            <w:tcBorders>
              <w:top w:val="nil"/>
              <w:left w:val="single" w:sz="12" w:space="0" w:color="auto"/>
              <w:bottom w:val="single" w:sz="12" w:space="0" w:color="auto"/>
              <w:right w:val="single" w:sz="12" w:space="0" w:color="auto"/>
            </w:tcBorders>
            <w:vAlign w:val="center"/>
            <w:hideMark/>
          </w:tcPr>
          <w:p w14:paraId="703CFDC2"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Farnum Relocation</w:t>
            </w:r>
          </w:p>
        </w:tc>
        <w:tc>
          <w:tcPr>
            <w:tcW w:w="1115" w:type="dxa"/>
            <w:tcBorders>
              <w:top w:val="nil"/>
              <w:left w:val="nil"/>
              <w:bottom w:val="single" w:sz="12" w:space="0" w:color="auto"/>
              <w:right w:val="single" w:sz="12" w:space="0" w:color="auto"/>
            </w:tcBorders>
            <w:vAlign w:val="center"/>
            <w:hideMark/>
          </w:tcPr>
          <w:p w14:paraId="6EDFFA5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52</w:t>
            </w:r>
          </w:p>
        </w:tc>
        <w:tc>
          <w:tcPr>
            <w:tcW w:w="1211" w:type="dxa"/>
            <w:tcBorders>
              <w:top w:val="nil"/>
              <w:left w:val="nil"/>
              <w:bottom w:val="single" w:sz="12" w:space="0" w:color="auto"/>
              <w:right w:val="single" w:sz="12" w:space="0" w:color="auto"/>
            </w:tcBorders>
            <w:vAlign w:val="center"/>
            <w:hideMark/>
          </w:tcPr>
          <w:p w14:paraId="2193564A"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15</w:t>
            </w:r>
          </w:p>
        </w:tc>
        <w:tc>
          <w:tcPr>
            <w:tcW w:w="1228" w:type="dxa"/>
            <w:tcBorders>
              <w:top w:val="nil"/>
              <w:left w:val="nil"/>
              <w:bottom w:val="single" w:sz="12" w:space="0" w:color="auto"/>
              <w:right w:val="single" w:sz="12" w:space="0" w:color="auto"/>
            </w:tcBorders>
            <w:vAlign w:val="center"/>
            <w:hideMark/>
          </w:tcPr>
          <w:p w14:paraId="2C620C6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15</w:t>
            </w:r>
          </w:p>
        </w:tc>
        <w:tc>
          <w:tcPr>
            <w:tcW w:w="1211" w:type="dxa"/>
            <w:tcBorders>
              <w:top w:val="nil"/>
              <w:left w:val="nil"/>
              <w:bottom w:val="single" w:sz="12" w:space="0" w:color="auto"/>
              <w:right w:val="single" w:sz="12" w:space="0" w:color="auto"/>
            </w:tcBorders>
            <w:vAlign w:val="center"/>
            <w:hideMark/>
          </w:tcPr>
          <w:p w14:paraId="4882BC1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A775F3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308C305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37</w:t>
            </w:r>
          </w:p>
        </w:tc>
      </w:tr>
      <w:tr w:rsidR="00DE679F" w:rsidRPr="008D32D2" w14:paraId="5D76EDDC" w14:textId="77777777" w:rsidTr="002A35F2">
        <w:trPr>
          <w:trHeight w:val="591"/>
        </w:trPr>
        <w:tc>
          <w:tcPr>
            <w:tcW w:w="2719" w:type="dxa"/>
            <w:tcBorders>
              <w:top w:val="nil"/>
              <w:left w:val="single" w:sz="12" w:space="0" w:color="auto"/>
              <w:bottom w:val="single" w:sz="12" w:space="0" w:color="auto"/>
              <w:right w:val="single" w:sz="12" w:space="0" w:color="auto"/>
            </w:tcBorders>
            <w:vAlign w:val="center"/>
            <w:hideMark/>
          </w:tcPr>
          <w:p w14:paraId="425B5F20" w14:textId="77777777" w:rsidR="00DE679F" w:rsidRPr="008D32D2" w:rsidRDefault="00DE679F" w:rsidP="002A35F2">
            <w:pPr>
              <w:rPr>
                <w:rFonts w:ascii="Century Gothic" w:eastAsia="Times New Roman" w:hAnsi="Century Gothic"/>
                <w:color w:val="000000"/>
                <w:szCs w:val="22"/>
                <w:lang w:eastAsia="en-US"/>
              </w:rPr>
            </w:pPr>
            <w:proofErr w:type="gramStart"/>
            <w:r w:rsidRPr="008D32D2">
              <w:rPr>
                <w:rFonts w:ascii="Century Gothic" w:eastAsia="Times New Roman" w:hAnsi="Century Gothic"/>
                <w:color w:val="000000"/>
                <w:szCs w:val="22"/>
                <w:lang w:eastAsia="en-US"/>
              </w:rPr>
              <w:t>RAD</w:t>
            </w:r>
            <w:proofErr w:type="gramEnd"/>
            <w:r w:rsidRPr="008D32D2">
              <w:rPr>
                <w:rFonts w:ascii="Century Gothic" w:eastAsia="Times New Roman" w:hAnsi="Century Gothic"/>
                <w:color w:val="000000"/>
                <w:szCs w:val="22"/>
                <w:lang w:eastAsia="en-US"/>
              </w:rPr>
              <w:t xml:space="preserve"> II Relocation</w:t>
            </w:r>
          </w:p>
        </w:tc>
        <w:tc>
          <w:tcPr>
            <w:tcW w:w="1115" w:type="dxa"/>
            <w:tcBorders>
              <w:top w:val="nil"/>
              <w:left w:val="nil"/>
              <w:bottom w:val="single" w:sz="12" w:space="0" w:color="auto"/>
              <w:right w:val="single" w:sz="12" w:space="0" w:color="auto"/>
            </w:tcBorders>
            <w:vAlign w:val="center"/>
            <w:hideMark/>
          </w:tcPr>
          <w:p w14:paraId="465D219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7</w:t>
            </w:r>
          </w:p>
        </w:tc>
        <w:tc>
          <w:tcPr>
            <w:tcW w:w="1211" w:type="dxa"/>
            <w:tcBorders>
              <w:top w:val="nil"/>
              <w:left w:val="nil"/>
              <w:bottom w:val="single" w:sz="12" w:space="0" w:color="auto"/>
              <w:right w:val="single" w:sz="12" w:space="0" w:color="auto"/>
            </w:tcBorders>
            <w:vAlign w:val="center"/>
            <w:hideMark/>
          </w:tcPr>
          <w:p w14:paraId="7DDDBAC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6</w:t>
            </w:r>
          </w:p>
        </w:tc>
        <w:tc>
          <w:tcPr>
            <w:tcW w:w="1228" w:type="dxa"/>
            <w:tcBorders>
              <w:top w:val="nil"/>
              <w:left w:val="nil"/>
              <w:bottom w:val="single" w:sz="12" w:space="0" w:color="auto"/>
              <w:right w:val="single" w:sz="12" w:space="0" w:color="auto"/>
            </w:tcBorders>
            <w:vAlign w:val="center"/>
            <w:hideMark/>
          </w:tcPr>
          <w:p w14:paraId="3E541F5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6</w:t>
            </w:r>
          </w:p>
        </w:tc>
        <w:tc>
          <w:tcPr>
            <w:tcW w:w="1211" w:type="dxa"/>
            <w:tcBorders>
              <w:top w:val="nil"/>
              <w:left w:val="nil"/>
              <w:bottom w:val="single" w:sz="12" w:space="0" w:color="auto"/>
              <w:right w:val="single" w:sz="12" w:space="0" w:color="auto"/>
            </w:tcBorders>
            <w:vAlign w:val="center"/>
            <w:hideMark/>
          </w:tcPr>
          <w:p w14:paraId="3C442B5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1E3FB2C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0CBA2DA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w:t>
            </w:r>
          </w:p>
        </w:tc>
      </w:tr>
      <w:tr w:rsidR="00DE679F" w:rsidRPr="008D32D2" w14:paraId="31D7AC73" w14:textId="77777777" w:rsidTr="002A35F2">
        <w:trPr>
          <w:trHeight w:val="699"/>
        </w:trPr>
        <w:tc>
          <w:tcPr>
            <w:tcW w:w="2719" w:type="dxa"/>
            <w:tcBorders>
              <w:top w:val="nil"/>
              <w:left w:val="single" w:sz="12" w:space="0" w:color="auto"/>
              <w:bottom w:val="single" w:sz="12" w:space="0" w:color="auto"/>
              <w:right w:val="single" w:sz="12" w:space="0" w:color="auto"/>
            </w:tcBorders>
            <w:vAlign w:val="center"/>
            <w:hideMark/>
          </w:tcPr>
          <w:p w14:paraId="368FEA9D"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Valley Relocation</w:t>
            </w:r>
          </w:p>
        </w:tc>
        <w:tc>
          <w:tcPr>
            <w:tcW w:w="1115" w:type="dxa"/>
            <w:tcBorders>
              <w:top w:val="nil"/>
              <w:left w:val="nil"/>
              <w:bottom w:val="single" w:sz="12" w:space="0" w:color="auto"/>
              <w:right w:val="single" w:sz="12" w:space="0" w:color="auto"/>
            </w:tcBorders>
            <w:vAlign w:val="center"/>
            <w:hideMark/>
          </w:tcPr>
          <w:p w14:paraId="4A284CC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32</w:t>
            </w:r>
          </w:p>
        </w:tc>
        <w:tc>
          <w:tcPr>
            <w:tcW w:w="1211" w:type="dxa"/>
            <w:tcBorders>
              <w:top w:val="nil"/>
              <w:left w:val="nil"/>
              <w:bottom w:val="single" w:sz="12" w:space="0" w:color="auto"/>
              <w:right w:val="single" w:sz="12" w:space="0" w:color="auto"/>
            </w:tcBorders>
            <w:vAlign w:val="center"/>
            <w:hideMark/>
          </w:tcPr>
          <w:p w14:paraId="0716033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7285890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07E5BE2A"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13BCF9C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3C7C4D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32</w:t>
            </w:r>
          </w:p>
        </w:tc>
      </w:tr>
      <w:tr w:rsidR="00DE679F" w:rsidRPr="008D32D2" w14:paraId="3902CCEC" w14:textId="77777777" w:rsidTr="002A35F2">
        <w:trPr>
          <w:trHeight w:val="780"/>
        </w:trPr>
        <w:tc>
          <w:tcPr>
            <w:tcW w:w="2719" w:type="dxa"/>
            <w:tcBorders>
              <w:top w:val="nil"/>
              <w:left w:val="single" w:sz="12" w:space="0" w:color="auto"/>
              <w:bottom w:val="single" w:sz="12" w:space="0" w:color="auto"/>
              <w:right w:val="single" w:sz="12" w:space="0" w:color="auto"/>
            </w:tcBorders>
            <w:vAlign w:val="center"/>
            <w:hideMark/>
          </w:tcPr>
          <w:p w14:paraId="39FF75AB"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Westville Relocation Vouchers</w:t>
            </w:r>
          </w:p>
        </w:tc>
        <w:tc>
          <w:tcPr>
            <w:tcW w:w="1115" w:type="dxa"/>
            <w:tcBorders>
              <w:top w:val="nil"/>
              <w:left w:val="nil"/>
              <w:bottom w:val="single" w:sz="12" w:space="0" w:color="auto"/>
              <w:right w:val="single" w:sz="12" w:space="0" w:color="auto"/>
            </w:tcBorders>
            <w:vAlign w:val="center"/>
            <w:hideMark/>
          </w:tcPr>
          <w:p w14:paraId="1851FC5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50</w:t>
            </w:r>
          </w:p>
        </w:tc>
        <w:tc>
          <w:tcPr>
            <w:tcW w:w="1211" w:type="dxa"/>
            <w:tcBorders>
              <w:top w:val="nil"/>
              <w:left w:val="nil"/>
              <w:bottom w:val="single" w:sz="12" w:space="0" w:color="auto"/>
              <w:right w:val="single" w:sz="12" w:space="0" w:color="auto"/>
            </w:tcBorders>
            <w:vAlign w:val="center"/>
            <w:hideMark/>
          </w:tcPr>
          <w:p w14:paraId="1C493EB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40F7A80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77F6F60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84A502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35F2A72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50</w:t>
            </w:r>
          </w:p>
        </w:tc>
      </w:tr>
      <w:tr w:rsidR="00DE679F" w:rsidRPr="008D32D2" w14:paraId="31878533" w14:textId="77777777" w:rsidTr="002A35F2">
        <w:trPr>
          <w:trHeight w:val="690"/>
        </w:trPr>
        <w:tc>
          <w:tcPr>
            <w:tcW w:w="2719" w:type="dxa"/>
            <w:tcBorders>
              <w:top w:val="nil"/>
              <w:left w:val="single" w:sz="12" w:space="0" w:color="auto"/>
              <w:bottom w:val="single" w:sz="12" w:space="0" w:color="auto"/>
              <w:right w:val="single" w:sz="12" w:space="0" w:color="auto"/>
            </w:tcBorders>
            <w:vAlign w:val="center"/>
            <w:hideMark/>
          </w:tcPr>
          <w:p w14:paraId="3B7C4018"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MTW Tenant Based Voucher</w:t>
            </w:r>
          </w:p>
        </w:tc>
        <w:tc>
          <w:tcPr>
            <w:tcW w:w="1115" w:type="dxa"/>
            <w:tcBorders>
              <w:top w:val="nil"/>
              <w:left w:val="nil"/>
              <w:bottom w:val="single" w:sz="12" w:space="0" w:color="auto"/>
              <w:right w:val="single" w:sz="12" w:space="0" w:color="auto"/>
            </w:tcBorders>
            <w:vAlign w:val="center"/>
            <w:hideMark/>
          </w:tcPr>
          <w:p w14:paraId="28B3A1B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3,320</w:t>
            </w:r>
          </w:p>
        </w:tc>
        <w:tc>
          <w:tcPr>
            <w:tcW w:w="1211" w:type="dxa"/>
            <w:tcBorders>
              <w:top w:val="nil"/>
              <w:left w:val="nil"/>
              <w:bottom w:val="single" w:sz="12" w:space="0" w:color="auto"/>
              <w:right w:val="single" w:sz="12" w:space="0" w:color="auto"/>
            </w:tcBorders>
            <w:vAlign w:val="center"/>
            <w:hideMark/>
          </w:tcPr>
          <w:p w14:paraId="0E4F26B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0D8D40C1"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7EF9F2C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73</w:t>
            </w:r>
          </w:p>
        </w:tc>
        <w:tc>
          <w:tcPr>
            <w:tcW w:w="1211" w:type="dxa"/>
            <w:tcBorders>
              <w:top w:val="nil"/>
              <w:left w:val="nil"/>
              <w:bottom w:val="single" w:sz="12" w:space="0" w:color="auto"/>
              <w:right w:val="single" w:sz="12" w:space="0" w:color="auto"/>
            </w:tcBorders>
            <w:vAlign w:val="center"/>
            <w:hideMark/>
          </w:tcPr>
          <w:p w14:paraId="55E3546B"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233</w:t>
            </w:r>
          </w:p>
        </w:tc>
        <w:tc>
          <w:tcPr>
            <w:tcW w:w="1211" w:type="dxa"/>
            <w:tcBorders>
              <w:top w:val="nil"/>
              <w:left w:val="nil"/>
              <w:bottom w:val="single" w:sz="12" w:space="0" w:color="auto"/>
              <w:right w:val="single" w:sz="12" w:space="0" w:color="auto"/>
            </w:tcBorders>
            <w:vAlign w:val="center"/>
            <w:hideMark/>
          </w:tcPr>
          <w:p w14:paraId="0D2A799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3553</w:t>
            </w:r>
          </w:p>
        </w:tc>
      </w:tr>
      <w:tr w:rsidR="00DE679F" w:rsidRPr="008D32D2" w14:paraId="7BC71D1B" w14:textId="77777777" w:rsidTr="002A35F2">
        <w:trPr>
          <w:trHeight w:val="681"/>
        </w:trPr>
        <w:tc>
          <w:tcPr>
            <w:tcW w:w="2719" w:type="dxa"/>
            <w:tcBorders>
              <w:top w:val="nil"/>
              <w:left w:val="single" w:sz="12" w:space="0" w:color="auto"/>
              <w:bottom w:val="nil"/>
              <w:right w:val="single" w:sz="12" w:space="0" w:color="auto"/>
            </w:tcBorders>
            <w:shd w:val="clear" w:color="000000" w:fill="FFFF00"/>
            <w:vAlign w:val="center"/>
            <w:hideMark/>
          </w:tcPr>
          <w:p w14:paraId="370DCC38"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TBV MTW VOUCHERS SUBTOTAL</w:t>
            </w:r>
          </w:p>
        </w:tc>
        <w:tc>
          <w:tcPr>
            <w:tcW w:w="1115" w:type="dxa"/>
            <w:tcBorders>
              <w:top w:val="nil"/>
              <w:left w:val="nil"/>
              <w:bottom w:val="nil"/>
              <w:right w:val="single" w:sz="12" w:space="0" w:color="auto"/>
            </w:tcBorders>
            <w:shd w:val="clear" w:color="000000" w:fill="FFFF00"/>
            <w:vAlign w:val="center"/>
            <w:hideMark/>
          </w:tcPr>
          <w:p w14:paraId="27606041"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3744</w:t>
            </w:r>
          </w:p>
        </w:tc>
        <w:tc>
          <w:tcPr>
            <w:tcW w:w="1211" w:type="dxa"/>
            <w:tcBorders>
              <w:top w:val="nil"/>
              <w:left w:val="nil"/>
              <w:bottom w:val="nil"/>
              <w:right w:val="single" w:sz="12" w:space="0" w:color="auto"/>
            </w:tcBorders>
            <w:shd w:val="clear" w:color="000000" w:fill="FFFF00"/>
            <w:vAlign w:val="center"/>
            <w:hideMark/>
          </w:tcPr>
          <w:p w14:paraId="37596446"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33</w:t>
            </w:r>
          </w:p>
        </w:tc>
        <w:tc>
          <w:tcPr>
            <w:tcW w:w="1228" w:type="dxa"/>
            <w:tcBorders>
              <w:top w:val="nil"/>
              <w:left w:val="nil"/>
              <w:bottom w:val="nil"/>
              <w:right w:val="single" w:sz="12" w:space="0" w:color="auto"/>
            </w:tcBorders>
            <w:shd w:val="clear" w:color="000000" w:fill="FFFF00"/>
            <w:vAlign w:val="center"/>
            <w:hideMark/>
          </w:tcPr>
          <w:p w14:paraId="7B688FEB"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33</w:t>
            </w:r>
          </w:p>
        </w:tc>
        <w:tc>
          <w:tcPr>
            <w:tcW w:w="1211" w:type="dxa"/>
            <w:tcBorders>
              <w:top w:val="nil"/>
              <w:left w:val="nil"/>
              <w:bottom w:val="nil"/>
              <w:right w:val="single" w:sz="12" w:space="0" w:color="auto"/>
            </w:tcBorders>
            <w:shd w:val="clear" w:color="000000" w:fill="FFFF00"/>
            <w:vAlign w:val="center"/>
            <w:hideMark/>
          </w:tcPr>
          <w:p w14:paraId="756616F0"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97</w:t>
            </w:r>
          </w:p>
        </w:tc>
        <w:tc>
          <w:tcPr>
            <w:tcW w:w="1211" w:type="dxa"/>
            <w:tcBorders>
              <w:top w:val="nil"/>
              <w:left w:val="nil"/>
              <w:bottom w:val="nil"/>
              <w:right w:val="single" w:sz="12" w:space="0" w:color="auto"/>
            </w:tcBorders>
            <w:shd w:val="clear" w:color="000000" w:fill="FFFF00"/>
            <w:vAlign w:val="center"/>
            <w:hideMark/>
          </w:tcPr>
          <w:p w14:paraId="688AFD08"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257</w:t>
            </w:r>
          </w:p>
        </w:tc>
        <w:tc>
          <w:tcPr>
            <w:tcW w:w="1211" w:type="dxa"/>
            <w:tcBorders>
              <w:top w:val="nil"/>
              <w:left w:val="nil"/>
              <w:bottom w:val="nil"/>
              <w:right w:val="single" w:sz="12" w:space="0" w:color="auto"/>
            </w:tcBorders>
            <w:shd w:val="clear" w:color="000000" w:fill="FFFF00"/>
            <w:vAlign w:val="center"/>
            <w:hideMark/>
          </w:tcPr>
          <w:p w14:paraId="371A01E2"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3968</w:t>
            </w:r>
          </w:p>
        </w:tc>
      </w:tr>
      <w:tr w:rsidR="00DE679F" w:rsidRPr="008D32D2" w14:paraId="1158BFFB" w14:textId="77777777" w:rsidTr="002A35F2">
        <w:trPr>
          <w:trHeight w:val="90"/>
        </w:trPr>
        <w:tc>
          <w:tcPr>
            <w:tcW w:w="2719" w:type="dxa"/>
            <w:tcBorders>
              <w:top w:val="nil"/>
              <w:left w:val="single" w:sz="12" w:space="0" w:color="auto"/>
              <w:bottom w:val="single" w:sz="12" w:space="0" w:color="auto"/>
              <w:right w:val="single" w:sz="12" w:space="0" w:color="auto"/>
            </w:tcBorders>
            <w:vAlign w:val="center"/>
            <w:hideMark/>
          </w:tcPr>
          <w:p w14:paraId="20B48521"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115" w:type="dxa"/>
            <w:tcBorders>
              <w:top w:val="nil"/>
              <w:left w:val="nil"/>
              <w:bottom w:val="single" w:sz="12" w:space="0" w:color="auto"/>
              <w:right w:val="single" w:sz="12" w:space="0" w:color="auto"/>
            </w:tcBorders>
            <w:vAlign w:val="center"/>
            <w:hideMark/>
          </w:tcPr>
          <w:p w14:paraId="48640141"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3F90F248"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28" w:type="dxa"/>
            <w:tcBorders>
              <w:top w:val="nil"/>
              <w:left w:val="nil"/>
              <w:bottom w:val="single" w:sz="12" w:space="0" w:color="auto"/>
              <w:right w:val="single" w:sz="12" w:space="0" w:color="auto"/>
            </w:tcBorders>
            <w:vAlign w:val="center"/>
            <w:hideMark/>
          </w:tcPr>
          <w:p w14:paraId="36AB7B9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 xml:space="preserve"> </w:t>
            </w:r>
          </w:p>
        </w:tc>
        <w:tc>
          <w:tcPr>
            <w:tcW w:w="1211" w:type="dxa"/>
            <w:tcBorders>
              <w:top w:val="nil"/>
              <w:left w:val="nil"/>
              <w:bottom w:val="single" w:sz="12" w:space="0" w:color="auto"/>
              <w:right w:val="single" w:sz="12" w:space="0" w:color="auto"/>
            </w:tcBorders>
            <w:vAlign w:val="center"/>
            <w:hideMark/>
          </w:tcPr>
          <w:p w14:paraId="6BB0211F"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5EF38BF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 xml:space="preserve"> </w:t>
            </w:r>
          </w:p>
        </w:tc>
        <w:tc>
          <w:tcPr>
            <w:tcW w:w="1211" w:type="dxa"/>
            <w:tcBorders>
              <w:top w:val="nil"/>
              <w:left w:val="nil"/>
              <w:bottom w:val="single" w:sz="12" w:space="0" w:color="auto"/>
              <w:right w:val="single" w:sz="12" w:space="0" w:color="auto"/>
            </w:tcBorders>
            <w:vAlign w:val="center"/>
            <w:hideMark/>
          </w:tcPr>
          <w:p w14:paraId="404E27C6"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r>
      <w:tr w:rsidR="00DE679F" w:rsidRPr="008D32D2" w14:paraId="0B905DB7" w14:textId="77777777" w:rsidTr="002A35F2">
        <w:trPr>
          <w:trHeight w:val="1455"/>
        </w:trPr>
        <w:tc>
          <w:tcPr>
            <w:tcW w:w="2719" w:type="dxa"/>
            <w:tcBorders>
              <w:top w:val="nil"/>
              <w:left w:val="single" w:sz="12" w:space="0" w:color="auto"/>
              <w:bottom w:val="single" w:sz="12" w:space="0" w:color="auto"/>
              <w:right w:val="single" w:sz="12" w:space="0" w:color="auto"/>
            </w:tcBorders>
            <w:vAlign w:val="center"/>
            <w:hideMark/>
          </w:tcPr>
          <w:p w14:paraId="14C9CCFD"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 xml:space="preserve">TBV - Non-MTW Vouchers </w:t>
            </w:r>
          </w:p>
        </w:tc>
        <w:tc>
          <w:tcPr>
            <w:tcW w:w="1115" w:type="dxa"/>
            <w:tcBorders>
              <w:top w:val="nil"/>
              <w:left w:val="nil"/>
              <w:bottom w:val="single" w:sz="12" w:space="0" w:color="auto"/>
              <w:right w:val="single" w:sz="12" w:space="0" w:color="auto"/>
            </w:tcBorders>
            <w:vAlign w:val="center"/>
            <w:hideMark/>
          </w:tcPr>
          <w:p w14:paraId="1CC9C05B"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02E5309D"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28" w:type="dxa"/>
            <w:tcBorders>
              <w:top w:val="nil"/>
              <w:left w:val="nil"/>
              <w:bottom w:val="single" w:sz="12" w:space="0" w:color="auto"/>
              <w:right w:val="single" w:sz="12" w:space="0" w:color="auto"/>
            </w:tcBorders>
            <w:vAlign w:val="center"/>
            <w:hideMark/>
          </w:tcPr>
          <w:p w14:paraId="2D86AA7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 xml:space="preserve"> </w:t>
            </w:r>
          </w:p>
        </w:tc>
        <w:tc>
          <w:tcPr>
            <w:tcW w:w="1211" w:type="dxa"/>
            <w:tcBorders>
              <w:top w:val="nil"/>
              <w:left w:val="nil"/>
              <w:bottom w:val="single" w:sz="12" w:space="0" w:color="auto"/>
              <w:right w:val="single" w:sz="12" w:space="0" w:color="auto"/>
            </w:tcBorders>
            <w:vAlign w:val="center"/>
            <w:hideMark/>
          </w:tcPr>
          <w:p w14:paraId="22455565"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58E9D1D7"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1D241041"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r>
      <w:tr w:rsidR="00DE679F" w:rsidRPr="008D32D2" w14:paraId="3C8EB166" w14:textId="77777777" w:rsidTr="002A35F2">
        <w:trPr>
          <w:trHeight w:val="870"/>
        </w:trPr>
        <w:tc>
          <w:tcPr>
            <w:tcW w:w="2719" w:type="dxa"/>
            <w:tcBorders>
              <w:top w:val="nil"/>
              <w:left w:val="single" w:sz="12" w:space="0" w:color="auto"/>
              <w:bottom w:val="single" w:sz="12" w:space="0" w:color="auto"/>
              <w:right w:val="single" w:sz="12" w:space="0" w:color="auto"/>
            </w:tcBorders>
            <w:vAlign w:val="center"/>
            <w:hideMark/>
          </w:tcPr>
          <w:p w14:paraId="3C67EFA0"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Emergency Housing Vouchers (EHV)</w:t>
            </w:r>
          </w:p>
        </w:tc>
        <w:tc>
          <w:tcPr>
            <w:tcW w:w="1115" w:type="dxa"/>
            <w:tcBorders>
              <w:top w:val="nil"/>
              <w:left w:val="nil"/>
              <w:bottom w:val="single" w:sz="12" w:space="0" w:color="auto"/>
              <w:right w:val="single" w:sz="12" w:space="0" w:color="auto"/>
            </w:tcBorders>
            <w:vAlign w:val="center"/>
            <w:hideMark/>
          </w:tcPr>
          <w:p w14:paraId="7A60A52A"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37</w:t>
            </w:r>
          </w:p>
        </w:tc>
        <w:tc>
          <w:tcPr>
            <w:tcW w:w="1211" w:type="dxa"/>
            <w:tcBorders>
              <w:top w:val="nil"/>
              <w:left w:val="nil"/>
              <w:bottom w:val="single" w:sz="12" w:space="0" w:color="auto"/>
              <w:right w:val="single" w:sz="12" w:space="0" w:color="auto"/>
            </w:tcBorders>
            <w:vAlign w:val="center"/>
            <w:hideMark/>
          </w:tcPr>
          <w:p w14:paraId="68AD2681"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55AB129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5</w:t>
            </w:r>
          </w:p>
        </w:tc>
        <w:tc>
          <w:tcPr>
            <w:tcW w:w="1211" w:type="dxa"/>
            <w:tcBorders>
              <w:top w:val="nil"/>
              <w:left w:val="nil"/>
              <w:bottom w:val="single" w:sz="12" w:space="0" w:color="auto"/>
              <w:right w:val="single" w:sz="12" w:space="0" w:color="auto"/>
            </w:tcBorders>
            <w:vAlign w:val="center"/>
            <w:hideMark/>
          </w:tcPr>
          <w:p w14:paraId="1EF4B14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2C42A24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1358465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32</w:t>
            </w:r>
          </w:p>
        </w:tc>
      </w:tr>
      <w:tr w:rsidR="00DE679F" w:rsidRPr="008D32D2" w14:paraId="4BB61D29" w14:textId="77777777" w:rsidTr="002A35F2">
        <w:trPr>
          <w:trHeight w:val="600"/>
        </w:trPr>
        <w:tc>
          <w:tcPr>
            <w:tcW w:w="2719" w:type="dxa"/>
            <w:tcBorders>
              <w:top w:val="nil"/>
              <w:left w:val="single" w:sz="12" w:space="0" w:color="auto"/>
              <w:bottom w:val="single" w:sz="12" w:space="0" w:color="auto"/>
              <w:right w:val="single" w:sz="12" w:space="0" w:color="auto"/>
            </w:tcBorders>
            <w:vAlign w:val="center"/>
            <w:hideMark/>
          </w:tcPr>
          <w:p w14:paraId="49386853"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lastRenderedPageBreak/>
              <w:t>Church Street South (Tenant Protection Voucher)</w:t>
            </w:r>
          </w:p>
        </w:tc>
        <w:tc>
          <w:tcPr>
            <w:tcW w:w="1115" w:type="dxa"/>
            <w:tcBorders>
              <w:top w:val="nil"/>
              <w:left w:val="nil"/>
              <w:bottom w:val="single" w:sz="12" w:space="0" w:color="auto"/>
              <w:right w:val="single" w:sz="12" w:space="0" w:color="auto"/>
            </w:tcBorders>
            <w:vAlign w:val="center"/>
            <w:hideMark/>
          </w:tcPr>
          <w:p w14:paraId="140722E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179</w:t>
            </w:r>
          </w:p>
        </w:tc>
        <w:tc>
          <w:tcPr>
            <w:tcW w:w="1211" w:type="dxa"/>
            <w:tcBorders>
              <w:top w:val="nil"/>
              <w:left w:val="nil"/>
              <w:bottom w:val="single" w:sz="12" w:space="0" w:color="auto"/>
              <w:right w:val="single" w:sz="12" w:space="0" w:color="auto"/>
            </w:tcBorders>
            <w:vAlign w:val="center"/>
            <w:hideMark/>
          </w:tcPr>
          <w:p w14:paraId="70D3B1B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47</w:t>
            </w:r>
          </w:p>
        </w:tc>
        <w:tc>
          <w:tcPr>
            <w:tcW w:w="1228" w:type="dxa"/>
            <w:tcBorders>
              <w:top w:val="nil"/>
              <w:left w:val="nil"/>
              <w:bottom w:val="single" w:sz="12" w:space="0" w:color="auto"/>
              <w:right w:val="single" w:sz="12" w:space="0" w:color="auto"/>
            </w:tcBorders>
            <w:vAlign w:val="center"/>
            <w:hideMark/>
          </w:tcPr>
          <w:p w14:paraId="0455AE9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47</w:t>
            </w:r>
          </w:p>
        </w:tc>
        <w:tc>
          <w:tcPr>
            <w:tcW w:w="1211" w:type="dxa"/>
            <w:tcBorders>
              <w:top w:val="nil"/>
              <w:left w:val="nil"/>
              <w:bottom w:val="single" w:sz="12" w:space="0" w:color="auto"/>
              <w:right w:val="single" w:sz="12" w:space="0" w:color="auto"/>
            </w:tcBorders>
            <w:vAlign w:val="center"/>
            <w:hideMark/>
          </w:tcPr>
          <w:p w14:paraId="6617D376"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3B18325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2A4F9FE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132</w:t>
            </w:r>
          </w:p>
        </w:tc>
      </w:tr>
      <w:tr w:rsidR="00DE679F" w:rsidRPr="008D32D2" w14:paraId="0F9B402F" w14:textId="77777777" w:rsidTr="002A35F2">
        <w:trPr>
          <w:trHeight w:val="600"/>
        </w:trPr>
        <w:tc>
          <w:tcPr>
            <w:tcW w:w="2719" w:type="dxa"/>
            <w:tcBorders>
              <w:top w:val="nil"/>
              <w:left w:val="single" w:sz="12" w:space="0" w:color="auto"/>
              <w:bottom w:val="single" w:sz="12" w:space="0" w:color="auto"/>
              <w:right w:val="single" w:sz="12" w:space="0" w:color="auto"/>
            </w:tcBorders>
            <w:vAlign w:val="center"/>
            <w:hideMark/>
          </w:tcPr>
          <w:p w14:paraId="2489893C"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Church Street South 2</w:t>
            </w:r>
          </w:p>
        </w:tc>
        <w:tc>
          <w:tcPr>
            <w:tcW w:w="1115" w:type="dxa"/>
            <w:tcBorders>
              <w:top w:val="nil"/>
              <w:left w:val="nil"/>
              <w:bottom w:val="single" w:sz="12" w:space="0" w:color="auto"/>
              <w:right w:val="single" w:sz="12" w:space="0" w:color="auto"/>
            </w:tcBorders>
            <w:vAlign w:val="center"/>
            <w:hideMark/>
          </w:tcPr>
          <w:p w14:paraId="4B628662"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15</w:t>
            </w:r>
          </w:p>
        </w:tc>
        <w:tc>
          <w:tcPr>
            <w:tcW w:w="1211" w:type="dxa"/>
            <w:tcBorders>
              <w:top w:val="nil"/>
              <w:left w:val="nil"/>
              <w:bottom w:val="single" w:sz="12" w:space="0" w:color="auto"/>
              <w:right w:val="single" w:sz="12" w:space="0" w:color="auto"/>
            </w:tcBorders>
            <w:vAlign w:val="center"/>
            <w:hideMark/>
          </w:tcPr>
          <w:p w14:paraId="1DCA314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w:t>
            </w:r>
          </w:p>
        </w:tc>
        <w:tc>
          <w:tcPr>
            <w:tcW w:w="1228" w:type="dxa"/>
            <w:tcBorders>
              <w:top w:val="nil"/>
              <w:left w:val="nil"/>
              <w:bottom w:val="single" w:sz="12" w:space="0" w:color="auto"/>
              <w:right w:val="single" w:sz="12" w:space="0" w:color="auto"/>
            </w:tcBorders>
            <w:vAlign w:val="center"/>
            <w:hideMark/>
          </w:tcPr>
          <w:p w14:paraId="70D2065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w:t>
            </w:r>
          </w:p>
        </w:tc>
        <w:tc>
          <w:tcPr>
            <w:tcW w:w="1211" w:type="dxa"/>
            <w:tcBorders>
              <w:top w:val="nil"/>
              <w:left w:val="nil"/>
              <w:bottom w:val="single" w:sz="12" w:space="0" w:color="auto"/>
              <w:right w:val="single" w:sz="12" w:space="0" w:color="auto"/>
            </w:tcBorders>
            <w:vAlign w:val="center"/>
            <w:hideMark/>
          </w:tcPr>
          <w:p w14:paraId="4449969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621E841"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6DD7EC90"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13</w:t>
            </w:r>
          </w:p>
        </w:tc>
      </w:tr>
      <w:tr w:rsidR="00DE679F" w:rsidRPr="008D32D2" w14:paraId="33B04F75" w14:textId="77777777" w:rsidTr="002A35F2">
        <w:trPr>
          <w:trHeight w:val="600"/>
        </w:trPr>
        <w:tc>
          <w:tcPr>
            <w:tcW w:w="2719" w:type="dxa"/>
            <w:tcBorders>
              <w:top w:val="nil"/>
              <w:left w:val="single" w:sz="12" w:space="0" w:color="auto"/>
              <w:bottom w:val="single" w:sz="12" w:space="0" w:color="auto"/>
              <w:right w:val="single" w:sz="12" w:space="0" w:color="auto"/>
            </w:tcBorders>
            <w:vAlign w:val="center"/>
            <w:hideMark/>
          </w:tcPr>
          <w:p w14:paraId="51FA05E4"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Church Street South 3</w:t>
            </w:r>
          </w:p>
        </w:tc>
        <w:tc>
          <w:tcPr>
            <w:tcW w:w="1115" w:type="dxa"/>
            <w:tcBorders>
              <w:top w:val="nil"/>
              <w:left w:val="nil"/>
              <w:bottom w:val="single" w:sz="12" w:space="0" w:color="auto"/>
              <w:right w:val="single" w:sz="12" w:space="0" w:color="auto"/>
            </w:tcBorders>
            <w:vAlign w:val="center"/>
            <w:hideMark/>
          </w:tcPr>
          <w:p w14:paraId="7FC0EC3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47</w:t>
            </w:r>
          </w:p>
        </w:tc>
        <w:tc>
          <w:tcPr>
            <w:tcW w:w="1211" w:type="dxa"/>
            <w:tcBorders>
              <w:top w:val="nil"/>
              <w:left w:val="nil"/>
              <w:bottom w:val="single" w:sz="12" w:space="0" w:color="auto"/>
              <w:right w:val="single" w:sz="12" w:space="0" w:color="auto"/>
            </w:tcBorders>
            <w:vAlign w:val="center"/>
            <w:hideMark/>
          </w:tcPr>
          <w:p w14:paraId="27330BD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7</w:t>
            </w:r>
          </w:p>
        </w:tc>
        <w:tc>
          <w:tcPr>
            <w:tcW w:w="1228" w:type="dxa"/>
            <w:tcBorders>
              <w:top w:val="nil"/>
              <w:left w:val="nil"/>
              <w:bottom w:val="single" w:sz="12" w:space="0" w:color="auto"/>
              <w:right w:val="single" w:sz="12" w:space="0" w:color="auto"/>
            </w:tcBorders>
            <w:vAlign w:val="center"/>
            <w:hideMark/>
          </w:tcPr>
          <w:p w14:paraId="6C5B104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7</w:t>
            </w:r>
          </w:p>
        </w:tc>
        <w:tc>
          <w:tcPr>
            <w:tcW w:w="1211" w:type="dxa"/>
            <w:tcBorders>
              <w:top w:val="nil"/>
              <w:left w:val="nil"/>
              <w:bottom w:val="single" w:sz="12" w:space="0" w:color="auto"/>
              <w:right w:val="single" w:sz="12" w:space="0" w:color="auto"/>
            </w:tcBorders>
            <w:vAlign w:val="center"/>
            <w:hideMark/>
          </w:tcPr>
          <w:p w14:paraId="7C8D2CD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4EFE306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0894132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40</w:t>
            </w:r>
          </w:p>
        </w:tc>
      </w:tr>
      <w:tr w:rsidR="00DE679F" w:rsidRPr="008D32D2" w14:paraId="43E37465" w14:textId="77777777" w:rsidTr="002A35F2">
        <w:trPr>
          <w:trHeight w:val="600"/>
        </w:trPr>
        <w:tc>
          <w:tcPr>
            <w:tcW w:w="2719" w:type="dxa"/>
            <w:tcBorders>
              <w:top w:val="nil"/>
              <w:left w:val="single" w:sz="12" w:space="0" w:color="auto"/>
              <w:bottom w:val="single" w:sz="12" w:space="0" w:color="auto"/>
              <w:right w:val="single" w:sz="12" w:space="0" w:color="auto"/>
            </w:tcBorders>
            <w:vAlign w:val="center"/>
            <w:hideMark/>
          </w:tcPr>
          <w:p w14:paraId="0DE5187E"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Enhanced Vouchers</w:t>
            </w:r>
          </w:p>
        </w:tc>
        <w:tc>
          <w:tcPr>
            <w:tcW w:w="1115" w:type="dxa"/>
            <w:tcBorders>
              <w:top w:val="nil"/>
              <w:left w:val="nil"/>
              <w:bottom w:val="single" w:sz="12" w:space="0" w:color="auto"/>
              <w:right w:val="single" w:sz="12" w:space="0" w:color="auto"/>
            </w:tcBorders>
            <w:vAlign w:val="center"/>
            <w:hideMark/>
          </w:tcPr>
          <w:p w14:paraId="28E95D36"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11</w:t>
            </w:r>
          </w:p>
        </w:tc>
        <w:tc>
          <w:tcPr>
            <w:tcW w:w="1211" w:type="dxa"/>
            <w:tcBorders>
              <w:top w:val="nil"/>
              <w:left w:val="nil"/>
              <w:bottom w:val="single" w:sz="12" w:space="0" w:color="auto"/>
              <w:right w:val="single" w:sz="12" w:space="0" w:color="auto"/>
            </w:tcBorders>
            <w:vAlign w:val="center"/>
            <w:hideMark/>
          </w:tcPr>
          <w:p w14:paraId="1BA9A661"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56608ED6"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154790A"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30B4518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10A9245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11</w:t>
            </w:r>
          </w:p>
        </w:tc>
      </w:tr>
      <w:tr w:rsidR="00DE679F" w:rsidRPr="008D32D2" w14:paraId="5B2596B7" w14:textId="77777777" w:rsidTr="002A35F2">
        <w:trPr>
          <w:trHeight w:val="510"/>
        </w:trPr>
        <w:tc>
          <w:tcPr>
            <w:tcW w:w="2719" w:type="dxa"/>
            <w:tcBorders>
              <w:top w:val="nil"/>
              <w:left w:val="single" w:sz="12" w:space="0" w:color="auto"/>
              <w:bottom w:val="single" w:sz="12" w:space="0" w:color="auto"/>
              <w:right w:val="single" w:sz="12" w:space="0" w:color="auto"/>
            </w:tcBorders>
            <w:vAlign w:val="center"/>
            <w:hideMark/>
          </w:tcPr>
          <w:p w14:paraId="07F52448"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VASH Vouchers</w:t>
            </w:r>
          </w:p>
        </w:tc>
        <w:tc>
          <w:tcPr>
            <w:tcW w:w="1115" w:type="dxa"/>
            <w:tcBorders>
              <w:top w:val="nil"/>
              <w:left w:val="nil"/>
              <w:bottom w:val="single" w:sz="12" w:space="0" w:color="auto"/>
              <w:right w:val="single" w:sz="12" w:space="0" w:color="auto"/>
            </w:tcBorders>
            <w:vAlign w:val="center"/>
            <w:hideMark/>
          </w:tcPr>
          <w:p w14:paraId="627D8C9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100</w:t>
            </w:r>
          </w:p>
        </w:tc>
        <w:tc>
          <w:tcPr>
            <w:tcW w:w="1211" w:type="dxa"/>
            <w:tcBorders>
              <w:top w:val="nil"/>
              <w:left w:val="nil"/>
              <w:bottom w:val="single" w:sz="12" w:space="0" w:color="auto"/>
              <w:right w:val="single" w:sz="12" w:space="0" w:color="auto"/>
            </w:tcBorders>
            <w:vAlign w:val="center"/>
            <w:hideMark/>
          </w:tcPr>
          <w:p w14:paraId="05882E31"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5460C86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1FF4A62E"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0798043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6DE73D3F"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100</w:t>
            </w:r>
          </w:p>
        </w:tc>
      </w:tr>
      <w:tr w:rsidR="00DE679F" w:rsidRPr="008D32D2" w14:paraId="11C473E0" w14:textId="77777777" w:rsidTr="002A35F2">
        <w:trPr>
          <w:trHeight w:val="1725"/>
        </w:trPr>
        <w:tc>
          <w:tcPr>
            <w:tcW w:w="2719" w:type="dxa"/>
            <w:tcBorders>
              <w:top w:val="nil"/>
              <w:left w:val="single" w:sz="12" w:space="0" w:color="auto"/>
              <w:bottom w:val="nil"/>
              <w:right w:val="single" w:sz="12" w:space="0" w:color="auto"/>
            </w:tcBorders>
            <w:shd w:val="clear" w:color="000000" w:fill="FFFF00"/>
            <w:vAlign w:val="center"/>
            <w:hideMark/>
          </w:tcPr>
          <w:p w14:paraId="4C13DBFF"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TBV NON-MTW SUBTOATLSUBTOTAL</w:t>
            </w:r>
          </w:p>
        </w:tc>
        <w:tc>
          <w:tcPr>
            <w:tcW w:w="1115" w:type="dxa"/>
            <w:tcBorders>
              <w:top w:val="nil"/>
              <w:left w:val="nil"/>
              <w:bottom w:val="nil"/>
              <w:right w:val="single" w:sz="12" w:space="0" w:color="auto"/>
            </w:tcBorders>
            <w:shd w:val="clear" w:color="000000" w:fill="FFFF00"/>
            <w:vAlign w:val="center"/>
            <w:hideMark/>
          </w:tcPr>
          <w:p w14:paraId="30EBA698"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389</w:t>
            </w:r>
          </w:p>
        </w:tc>
        <w:tc>
          <w:tcPr>
            <w:tcW w:w="1211" w:type="dxa"/>
            <w:tcBorders>
              <w:top w:val="nil"/>
              <w:left w:val="nil"/>
              <w:bottom w:val="nil"/>
              <w:right w:val="single" w:sz="12" w:space="0" w:color="auto"/>
            </w:tcBorders>
            <w:shd w:val="clear" w:color="000000" w:fill="FFFF00"/>
            <w:vAlign w:val="center"/>
            <w:hideMark/>
          </w:tcPr>
          <w:p w14:paraId="5B62F0B4"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56</w:t>
            </w:r>
          </w:p>
        </w:tc>
        <w:tc>
          <w:tcPr>
            <w:tcW w:w="1228" w:type="dxa"/>
            <w:tcBorders>
              <w:top w:val="nil"/>
              <w:left w:val="nil"/>
              <w:bottom w:val="nil"/>
              <w:right w:val="single" w:sz="12" w:space="0" w:color="auto"/>
            </w:tcBorders>
            <w:shd w:val="clear" w:color="000000" w:fill="FFFF00"/>
            <w:vAlign w:val="center"/>
            <w:hideMark/>
          </w:tcPr>
          <w:p w14:paraId="7DB92146"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61</w:t>
            </w:r>
          </w:p>
        </w:tc>
        <w:tc>
          <w:tcPr>
            <w:tcW w:w="1211" w:type="dxa"/>
            <w:tcBorders>
              <w:top w:val="nil"/>
              <w:left w:val="nil"/>
              <w:bottom w:val="nil"/>
              <w:right w:val="single" w:sz="12" w:space="0" w:color="auto"/>
            </w:tcBorders>
            <w:shd w:val="clear" w:color="000000" w:fill="FFFF00"/>
            <w:vAlign w:val="center"/>
            <w:hideMark/>
          </w:tcPr>
          <w:p w14:paraId="423E6C3F"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0</w:t>
            </w:r>
          </w:p>
        </w:tc>
        <w:tc>
          <w:tcPr>
            <w:tcW w:w="1211" w:type="dxa"/>
            <w:tcBorders>
              <w:top w:val="nil"/>
              <w:left w:val="nil"/>
              <w:bottom w:val="nil"/>
              <w:right w:val="single" w:sz="12" w:space="0" w:color="auto"/>
            </w:tcBorders>
            <w:shd w:val="clear" w:color="000000" w:fill="FFFF00"/>
            <w:vAlign w:val="center"/>
            <w:hideMark/>
          </w:tcPr>
          <w:p w14:paraId="6FCB836D"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0</w:t>
            </w:r>
          </w:p>
        </w:tc>
        <w:tc>
          <w:tcPr>
            <w:tcW w:w="1211" w:type="dxa"/>
            <w:tcBorders>
              <w:top w:val="nil"/>
              <w:left w:val="nil"/>
              <w:bottom w:val="nil"/>
              <w:right w:val="single" w:sz="12" w:space="0" w:color="auto"/>
            </w:tcBorders>
            <w:shd w:val="clear" w:color="000000" w:fill="FFFF00"/>
            <w:vAlign w:val="center"/>
            <w:hideMark/>
          </w:tcPr>
          <w:p w14:paraId="6D7DE4EE"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328</w:t>
            </w:r>
          </w:p>
        </w:tc>
      </w:tr>
      <w:tr w:rsidR="00DE679F" w:rsidRPr="008D32D2" w14:paraId="1B664760" w14:textId="77777777" w:rsidTr="002A35F2">
        <w:trPr>
          <w:trHeight w:val="75"/>
        </w:trPr>
        <w:tc>
          <w:tcPr>
            <w:tcW w:w="2719" w:type="dxa"/>
            <w:tcBorders>
              <w:top w:val="nil"/>
              <w:left w:val="single" w:sz="12" w:space="0" w:color="auto"/>
              <w:bottom w:val="nil"/>
              <w:right w:val="single" w:sz="12" w:space="0" w:color="auto"/>
            </w:tcBorders>
            <w:shd w:val="clear" w:color="000000" w:fill="FFFF00"/>
            <w:vAlign w:val="center"/>
            <w:hideMark/>
          </w:tcPr>
          <w:p w14:paraId="389E2421"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 xml:space="preserve">TBV TOTAL </w:t>
            </w:r>
          </w:p>
        </w:tc>
        <w:tc>
          <w:tcPr>
            <w:tcW w:w="1115" w:type="dxa"/>
            <w:tcBorders>
              <w:top w:val="nil"/>
              <w:left w:val="nil"/>
              <w:bottom w:val="nil"/>
              <w:right w:val="single" w:sz="12" w:space="0" w:color="auto"/>
            </w:tcBorders>
            <w:shd w:val="clear" w:color="000000" w:fill="FFFF00"/>
            <w:vAlign w:val="center"/>
            <w:hideMark/>
          </w:tcPr>
          <w:p w14:paraId="25DCD1F8"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4133</w:t>
            </w:r>
          </w:p>
        </w:tc>
        <w:tc>
          <w:tcPr>
            <w:tcW w:w="1211" w:type="dxa"/>
            <w:tcBorders>
              <w:top w:val="nil"/>
              <w:left w:val="nil"/>
              <w:bottom w:val="nil"/>
              <w:right w:val="single" w:sz="12" w:space="0" w:color="auto"/>
            </w:tcBorders>
            <w:shd w:val="clear" w:color="000000" w:fill="FFFF00"/>
            <w:vAlign w:val="center"/>
            <w:hideMark/>
          </w:tcPr>
          <w:p w14:paraId="236FD19D"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89</w:t>
            </w:r>
          </w:p>
        </w:tc>
        <w:tc>
          <w:tcPr>
            <w:tcW w:w="1228" w:type="dxa"/>
            <w:tcBorders>
              <w:top w:val="nil"/>
              <w:left w:val="nil"/>
              <w:bottom w:val="nil"/>
              <w:right w:val="single" w:sz="12" w:space="0" w:color="auto"/>
            </w:tcBorders>
            <w:shd w:val="clear" w:color="000000" w:fill="FFFF00"/>
            <w:vAlign w:val="center"/>
            <w:hideMark/>
          </w:tcPr>
          <w:p w14:paraId="13C9488F"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94</w:t>
            </w:r>
          </w:p>
        </w:tc>
        <w:tc>
          <w:tcPr>
            <w:tcW w:w="1211" w:type="dxa"/>
            <w:tcBorders>
              <w:top w:val="nil"/>
              <w:left w:val="nil"/>
              <w:bottom w:val="nil"/>
              <w:right w:val="single" w:sz="12" w:space="0" w:color="auto"/>
            </w:tcBorders>
            <w:shd w:val="clear" w:color="000000" w:fill="FFFF00"/>
            <w:vAlign w:val="center"/>
            <w:hideMark/>
          </w:tcPr>
          <w:p w14:paraId="2BF1453B"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97</w:t>
            </w:r>
          </w:p>
        </w:tc>
        <w:tc>
          <w:tcPr>
            <w:tcW w:w="1211" w:type="dxa"/>
            <w:tcBorders>
              <w:top w:val="nil"/>
              <w:left w:val="nil"/>
              <w:bottom w:val="nil"/>
              <w:right w:val="single" w:sz="12" w:space="0" w:color="auto"/>
            </w:tcBorders>
            <w:shd w:val="clear" w:color="000000" w:fill="FFFF00"/>
            <w:vAlign w:val="center"/>
            <w:hideMark/>
          </w:tcPr>
          <w:p w14:paraId="61F9B383"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257</w:t>
            </w:r>
          </w:p>
        </w:tc>
        <w:tc>
          <w:tcPr>
            <w:tcW w:w="1211" w:type="dxa"/>
            <w:tcBorders>
              <w:top w:val="nil"/>
              <w:left w:val="nil"/>
              <w:bottom w:val="nil"/>
              <w:right w:val="single" w:sz="12" w:space="0" w:color="auto"/>
            </w:tcBorders>
            <w:shd w:val="clear" w:color="000000" w:fill="FFFF00"/>
            <w:vAlign w:val="center"/>
            <w:hideMark/>
          </w:tcPr>
          <w:p w14:paraId="43688294"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4296</w:t>
            </w:r>
          </w:p>
        </w:tc>
      </w:tr>
      <w:tr w:rsidR="00DE679F" w:rsidRPr="008D32D2" w14:paraId="5F29C4DB" w14:textId="77777777" w:rsidTr="002A35F2">
        <w:trPr>
          <w:trHeight w:val="75"/>
        </w:trPr>
        <w:tc>
          <w:tcPr>
            <w:tcW w:w="2719" w:type="dxa"/>
            <w:tcBorders>
              <w:top w:val="nil"/>
              <w:left w:val="single" w:sz="12" w:space="0" w:color="auto"/>
              <w:bottom w:val="single" w:sz="12" w:space="0" w:color="auto"/>
              <w:right w:val="single" w:sz="12" w:space="0" w:color="auto"/>
            </w:tcBorders>
            <w:vAlign w:val="center"/>
            <w:hideMark/>
          </w:tcPr>
          <w:p w14:paraId="3DCCFF06"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115" w:type="dxa"/>
            <w:tcBorders>
              <w:top w:val="nil"/>
              <w:left w:val="nil"/>
              <w:bottom w:val="single" w:sz="12" w:space="0" w:color="auto"/>
              <w:right w:val="single" w:sz="12" w:space="0" w:color="auto"/>
            </w:tcBorders>
            <w:vAlign w:val="center"/>
            <w:hideMark/>
          </w:tcPr>
          <w:p w14:paraId="7C605827"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1722BB3E"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28" w:type="dxa"/>
            <w:tcBorders>
              <w:top w:val="nil"/>
              <w:left w:val="nil"/>
              <w:bottom w:val="single" w:sz="12" w:space="0" w:color="auto"/>
              <w:right w:val="single" w:sz="12" w:space="0" w:color="auto"/>
            </w:tcBorders>
            <w:vAlign w:val="center"/>
            <w:hideMark/>
          </w:tcPr>
          <w:p w14:paraId="2A7602BB"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0C53852C"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c>
          <w:tcPr>
            <w:tcW w:w="1211" w:type="dxa"/>
            <w:tcBorders>
              <w:top w:val="nil"/>
              <w:left w:val="nil"/>
              <w:bottom w:val="single" w:sz="12" w:space="0" w:color="auto"/>
              <w:right w:val="single" w:sz="12" w:space="0" w:color="auto"/>
            </w:tcBorders>
            <w:vAlign w:val="center"/>
            <w:hideMark/>
          </w:tcPr>
          <w:p w14:paraId="7B28962A"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5F15B767" w14:textId="77777777" w:rsidR="00DE679F" w:rsidRPr="008D32D2" w:rsidRDefault="00DE679F" w:rsidP="002A35F2">
            <w:pPr>
              <w:rPr>
                <w:rFonts w:ascii="Arial" w:eastAsia="Times New Roman" w:hAnsi="Arial" w:cs="Arial"/>
                <w:color w:val="000000"/>
                <w:szCs w:val="22"/>
                <w:lang w:eastAsia="en-US"/>
              </w:rPr>
            </w:pPr>
            <w:r w:rsidRPr="008D32D2">
              <w:rPr>
                <w:rFonts w:ascii="Arial" w:eastAsia="Times New Roman" w:hAnsi="Arial" w:cs="Arial"/>
                <w:color w:val="000000"/>
                <w:szCs w:val="22"/>
                <w:lang w:eastAsia="en-US"/>
              </w:rPr>
              <w:t> </w:t>
            </w:r>
          </w:p>
        </w:tc>
      </w:tr>
      <w:tr w:rsidR="00DE679F" w:rsidRPr="008D32D2" w14:paraId="00C01052" w14:textId="77777777" w:rsidTr="002A35F2">
        <w:trPr>
          <w:trHeight w:val="474"/>
        </w:trPr>
        <w:tc>
          <w:tcPr>
            <w:tcW w:w="2719" w:type="dxa"/>
            <w:tcBorders>
              <w:top w:val="nil"/>
              <w:left w:val="single" w:sz="12" w:space="0" w:color="auto"/>
              <w:bottom w:val="single" w:sz="12" w:space="0" w:color="auto"/>
              <w:right w:val="single" w:sz="12" w:space="0" w:color="auto"/>
            </w:tcBorders>
            <w:vAlign w:val="center"/>
            <w:hideMark/>
          </w:tcPr>
          <w:p w14:paraId="6071E89D"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 xml:space="preserve">Non-RAD PBV  </w:t>
            </w:r>
          </w:p>
        </w:tc>
        <w:tc>
          <w:tcPr>
            <w:tcW w:w="1115" w:type="dxa"/>
            <w:tcBorders>
              <w:top w:val="nil"/>
              <w:left w:val="nil"/>
              <w:bottom w:val="single" w:sz="12" w:space="0" w:color="auto"/>
              <w:right w:val="single" w:sz="12" w:space="0" w:color="auto"/>
            </w:tcBorders>
            <w:vAlign w:val="center"/>
            <w:hideMark/>
          </w:tcPr>
          <w:p w14:paraId="0CF5ADD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706</w:t>
            </w:r>
          </w:p>
        </w:tc>
        <w:tc>
          <w:tcPr>
            <w:tcW w:w="1211" w:type="dxa"/>
            <w:tcBorders>
              <w:top w:val="nil"/>
              <w:left w:val="nil"/>
              <w:bottom w:val="single" w:sz="12" w:space="0" w:color="auto"/>
              <w:right w:val="single" w:sz="12" w:space="0" w:color="auto"/>
            </w:tcBorders>
            <w:vAlign w:val="center"/>
            <w:hideMark/>
          </w:tcPr>
          <w:p w14:paraId="481A2283"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2DAAD189"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96</w:t>
            </w:r>
          </w:p>
        </w:tc>
        <w:tc>
          <w:tcPr>
            <w:tcW w:w="1211" w:type="dxa"/>
            <w:tcBorders>
              <w:top w:val="nil"/>
              <w:left w:val="nil"/>
              <w:bottom w:val="single" w:sz="12" w:space="0" w:color="auto"/>
              <w:right w:val="single" w:sz="12" w:space="0" w:color="auto"/>
            </w:tcBorders>
            <w:vAlign w:val="center"/>
            <w:hideMark/>
          </w:tcPr>
          <w:p w14:paraId="0D35355C"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58</w:t>
            </w:r>
          </w:p>
        </w:tc>
        <w:tc>
          <w:tcPr>
            <w:tcW w:w="1211" w:type="dxa"/>
            <w:tcBorders>
              <w:top w:val="nil"/>
              <w:left w:val="nil"/>
              <w:bottom w:val="single" w:sz="12" w:space="0" w:color="auto"/>
              <w:right w:val="single" w:sz="12" w:space="0" w:color="auto"/>
            </w:tcBorders>
            <w:vAlign w:val="center"/>
            <w:hideMark/>
          </w:tcPr>
          <w:p w14:paraId="4D4CD3E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176B0C35"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610</w:t>
            </w:r>
          </w:p>
        </w:tc>
      </w:tr>
      <w:tr w:rsidR="00DE679F" w:rsidRPr="008D32D2" w14:paraId="64A58C08" w14:textId="77777777" w:rsidTr="002A35F2">
        <w:trPr>
          <w:trHeight w:val="420"/>
        </w:trPr>
        <w:tc>
          <w:tcPr>
            <w:tcW w:w="2719" w:type="dxa"/>
            <w:tcBorders>
              <w:top w:val="nil"/>
              <w:left w:val="single" w:sz="12" w:space="0" w:color="auto"/>
              <w:bottom w:val="single" w:sz="12" w:space="0" w:color="auto"/>
              <w:right w:val="single" w:sz="12" w:space="0" w:color="auto"/>
            </w:tcBorders>
            <w:vAlign w:val="center"/>
            <w:hideMark/>
          </w:tcPr>
          <w:p w14:paraId="633EBCB4" w14:textId="77777777" w:rsidR="00DE679F" w:rsidRPr="008D32D2" w:rsidRDefault="00DE679F" w:rsidP="002A35F2">
            <w:pPr>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RAD/PBV Vouchers</w:t>
            </w:r>
          </w:p>
        </w:tc>
        <w:tc>
          <w:tcPr>
            <w:tcW w:w="1115" w:type="dxa"/>
            <w:tcBorders>
              <w:top w:val="nil"/>
              <w:left w:val="nil"/>
              <w:bottom w:val="single" w:sz="12" w:space="0" w:color="auto"/>
              <w:right w:val="single" w:sz="12" w:space="0" w:color="auto"/>
            </w:tcBorders>
            <w:vAlign w:val="center"/>
            <w:hideMark/>
          </w:tcPr>
          <w:p w14:paraId="78DA37F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1461</w:t>
            </w:r>
          </w:p>
        </w:tc>
        <w:tc>
          <w:tcPr>
            <w:tcW w:w="1211" w:type="dxa"/>
            <w:tcBorders>
              <w:top w:val="nil"/>
              <w:left w:val="nil"/>
              <w:bottom w:val="single" w:sz="12" w:space="0" w:color="auto"/>
              <w:right w:val="single" w:sz="12" w:space="0" w:color="auto"/>
            </w:tcBorders>
            <w:vAlign w:val="center"/>
            <w:hideMark/>
          </w:tcPr>
          <w:p w14:paraId="66A18CE4"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5EA6ED67"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0</w:t>
            </w:r>
          </w:p>
        </w:tc>
        <w:tc>
          <w:tcPr>
            <w:tcW w:w="1211" w:type="dxa"/>
            <w:tcBorders>
              <w:top w:val="nil"/>
              <w:left w:val="nil"/>
              <w:bottom w:val="single" w:sz="12" w:space="0" w:color="auto"/>
              <w:right w:val="single" w:sz="12" w:space="0" w:color="auto"/>
            </w:tcBorders>
            <w:vAlign w:val="center"/>
            <w:hideMark/>
          </w:tcPr>
          <w:p w14:paraId="44EE7BCF"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192</w:t>
            </w:r>
          </w:p>
        </w:tc>
        <w:tc>
          <w:tcPr>
            <w:tcW w:w="1211" w:type="dxa"/>
            <w:tcBorders>
              <w:top w:val="nil"/>
              <w:left w:val="nil"/>
              <w:bottom w:val="single" w:sz="12" w:space="0" w:color="auto"/>
              <w:right w:val="single" w:sz="12" w:space="0" w:color="auto"/>
            </w:tcBorders>
            <w:vAlign w:val="center"/>
            <w:hideMark/>
          </w:tcPr>
          <w:p w14:paraId="0C10838D"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228</w:t>
            </w:r>
          </w:p>
        </w:tc>
        <w:tc>
          <w:tcPr>
            <w:tcW w:w="1211" w:type="dxa"/>
            <w:tcBorders>
              <w:top w:val="nil"/>
              <w:left w:val="nil"/>
              <w:bottom w:val="single" w:sz="12" w:space="0" w:color="auto"/>
              <w:right w:val="single" w:sz="12" w:space="0" w:color="auto"/>
            </w:tcBorders>
            <w:vAlign w:val="center"/>
            <w:hideMark/>
          </w:tcPr>
          <w:p w14:paraId="70937968" w14:textId="77777777" w:rsidR="00DE679F" w:rsidRPr="008D32D2" w:rsidRDefault="00DE679F" w:rsidP="002A35F2">
            <w:pPr>
              <w:jc w:val="right"/>
              <w:rPr>
                <w:rFonts w:ascii="Century Gothic" w:eastAsia="Times New Roman" w:hAnsi="Century Gothic"/>
                <w:color w:val="000000"/>
                <w:szCs w:val="22"/>
                <w:lang w:eastAsia="en-US"/>
              </w:rPr>
            </w:pPr>
            <w:r w:rsidRPr="008D32D2">
              <w:rPr>
                <w:rFonts w:ascii="Century Gothic" w:eastAsia="Times New Roman" w:hAnsi="Century Gothic"/>
                <w:color w:val="000000"/>
                <w:szCs w:val="22"/>
                <w:lang w:eastAsia="en-US"/>
              </w:rPr>
              <w:t>1689</w:t>
            </w:r>
          </w:p>
        </w:tc>
      </w:tr>
      <w:tr w:rsidR="00DE679F" w:rsidRPr="008D32D2" w14:paraId="5D2C0B00" w14:textId="77777777" w:rsidTr="002A35F2">
        <w:trPr>
          <w:trHeight w:val="591"/>
        </w:trPr>
        <w:tc>
          <w:tcPr>
            <w:tcW w:w="2719" w:type="dxa"/>
            <w:tcBorders>
              <w:top w:val="nil"/>
              <w:left w:val="single" w:sz="12" w:space="0" w:color="auto"/>
              <w:bottom w:val="single" w:sz="12" w:space="0" w:color="auto"/>
              <w:right w:val="single" w:sz="12" w:space="0" w:color="auto"/>
            </w:tcBorders>
            <w:vAlign w:val="center"/>
            <w:hideMark/>
          </w:tcPr>
          <w:p w14:paraId="3DF9F57C"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PBV SUBTOTAL</w:t>
            </w:r>
          </w:p>
        </w:tc>
        <w:tc>
          <w:tcPr>
            <w:tcW w:w="1115" w:type="dxa"/>
            <w:tcBorders>
              <w:top w:val="nil"/>
              <w:left w:val="nil"/>
              <w:bottom w:val="single" w:sz="12" w:space="0" w:color="auto"/>
              <w:right w:val="single" w:sz="12" w:space="0" w:color="auto"/>
            </w:tcBorders>
            <w:vAlign w:val="center"/>
            <w:hideMark/>
          </w:tcPr>
          <w:p w14:paraId="394B6313"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2167</w:t>
            </w:r>
          </w:p>
        </w:tc>
        <w:tc>
          <w:tcPr>
            <w:tcW w:w="1211" w:type="dxa"/>
            <w:tcBorders>
              <w:top w:val="nil"/>
              <w:left w:val="nil"/>
              <w:bottom w:val="single" w:sz="12" w:space="0" w:color="auto"/>
              <w:right w:val="single" w:sz="12" w:space="0" w:color="auto"/>
            </w:tcBorders>
            <w:vAlign w:val="center"/>
            <w:hideMark/>
          </w:tcPr>
          <w:p w14:paraId="1C249F41"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0</w:t>
            </w:r>
          </w:p>
        </w:tc>
        <w:tc>
          <w:tcPr>
            <w:tcW w:w="1228" w:type="dxa"/>
            <w:tcBorders>
              <w:top w:val="nil"/>
              <w:left w:val="nil"/>
              <w:bottom w:val="single" w:sz="12" w:space="0" w:color="auto"/>
              <w:right w:val="single" w:sz="12" w:space="0" w:color="auto"/>
            </w:tcBorders>
            <w:vAlign w:val="center"/>
            <w:hideMark/>
          </w:tcPr>
          <w:p w14:paraId="43FE41CD"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96</w:t>
            </w:r>
          </w:p>
        </w:tc>
        <w:tc>
          <w:tcPr>
            <w:tcW w:w="1211" w:type="dxa"/>
            <w:tcBorders>
              <w:top w:val="nil"/>
              <w:left w:val="nil"/>
              <w:bottom w:val="single" w:sz="12" w:space="0" w:color="auto"/>
              <w:right w:val="single" w:sz="12" w:space="0" w:color="auto"/>
            </w:tcBorders>
            <w:vAlign w:val="center"/>
            <w:hideMark/>
          </w:tcPr>
          <w:p w14:paraId="0C2F305D"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250</w:t>
            </w:r>
          </w:p>
        </w:tc>
        <w:tc>
          <w:tcPr>
            <w:tcW w:w="1211" w:type="dxa"/>
            <w:tcBorders>
              <w:top w:val="nil"/>
              <w:left w:val="nil"/>
              <w:bottom w:val="single" w:sz="12" w:space="0" w:color="auto"/>
              <w:right w:val="single" w:sz="12" w:space="0" w:color="auto"/>
            </w:tcBorders>
            <w:vAlign w:val="center"/>
            <w:hideMark/>
          </w:tcPr>
          <w:p w14:paraId="095F1FED"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228</w:t>
            </w:r>
          </w:p>
        </w:tc>
        <w:tc>
          <w:tcPr>
            <w:tcW w:w="1211" w:type="dxa"/>
            <w:tcBorders>
              <w:top w:val="nil"/>
              <w:left w:val="nil"/>
              <w:bottom w:val="single" w:sz="12" w:space="0" w:color="auto"/>
              <w:right w:val="single" w:sz="12" w:space="0" w:color="auto"/>
            </w:tcBorders>
            <w:vAlign w:val="center"/>
            <w:hideMark/>
          </w:tcPr>
          <w:p w14:paraId="21588D28"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2299</w:t>
            </w:r>
          </w:p>
        </w:tc>
      </w:tr>
      <w:tr w:rsidR="00DE679F" w:rsidRPr="008D32D2" w14:paraId="17DEF640" w14:textId="77777777" w:rsidTr="002A35F2">
        <w:trPr>
          <w:trHeight w:val="879"/>
        </w:trPr>
        <w:tc>
          <w:tcPr>
            <w:tcW w:w="2719" w:type="dxa"/>
            <w:tcBorders>
              <w:top w:val="nil"/>
              <w:left w:val="single" w:sz="12" w:space="0" w:color="auto"/>
              <w:bottom w:val="nil"/>
              <w:right w:val="single" w:sz="12" w:space="0" w:color="auto"/>
            </w:tcBorders>
            <w:shd w:val="clear" w:color="000000" w:fill="FFFF00"/>
            <w:vAlign w:val="center"/>
            <w:hideMark/>
          </w:tcPr>
          <w:p w14:paraId="7DAEE62C" w14:textId="77777777" w:rsidR="00DE679F" w:rsidRPr="008D32D2" w:rsidRDefault="00DE679F" w:rsidP="002A35F2">
            <w:pPr>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GRAND TOTAL (TBV + PBV)</w:t>
            </w:r>
          </w:p>
        </w:tc>
        <w:tc>
          <w:tcPr>
            <w:tcW w:w="1115" w:type="dxa"/>
            <w:tcBorders>
              <w:top w:val="nil"/>
              <w:left w:val="nil"/>
              <w:bottom w:val="nil"/>
              <w:right w:val="single" w:sz="12" w:space="0" w:color="auto"/>
            </w:tcBorders>
            <w:shd w:val="clear" w:color="000000" w:fill="FFFF00"/>
            <w:vAlign w:val="center"/>
            <w:hideMark/>
          </w:tcPr>
          <w:p w14:paraId="39C12AC2"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6300</w:t>
            </w:r>
          </w:p>
        </w:tc>
        <w:tc>
          <w:tcPr>
            <w:tcW w:w="1211" w:type="dxa"/>
            <w:tcBorders>
              <w:top w:val="nil"/>
              <w:left w:val="nil"/>
              <w:bottom w:val="nil"/>
              <w:right w:val="single" w:sz="12" w:space="0" w:color="auto"/>
            </w:tcBorders>
            <w:shd w:val="clear" w:color="000000" w:fill="FFFF00"/>
            <w:vAlign w:val="center"/>
            <w:hideMark/>
          </w:tcPr>
          <w:p w14:paraId="42922938"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89</w:t>
            </w:r>
          </w:p>
        </w:tc>
        <w:tc>
          <w:tcPr>
            <w:tcW w:w="1228" w:type="dxa"/>
            <w:tcBorders>
              <w:top w:val="nil"/>
              <w:left w:val="nil"/>
              <w:bottom w:val="nil"/>
              <w:right w:val="single" w:sz="12" w:space="0" w:color="auto"/>
            </w:tcBorders>
            <w:shd w:val="clear" w:color="000000" w:fill="FFFF00"/>
            <w:vAlign w:val="center"/>
            <w:hideMark/>
          </w:tcPr>
          <w:p w14:paraId="7C4433E3"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94</w:t>
            </w:r>
          </w:p>
        </w:tc>
        <w:tc>
          <w:tcPr>
            <w:tcW w:w="1211" w:type="dxa"/>
            <w:tcBorders>
              <w:top w:val="nil"/>
              <w:left w:val="nil"/>
              <w:bottom w:val="nil"/>
              <w:right w:val="single" w:sz="12" w:space="0" w:color="auto"/>
            </w:tcBorders>
            <w:shd w:val="clear" w:color="000000" w:fill="FFFF00"/>
            <w:vAlign w:val="center"/>
            <w:hideMark/>
          </w:tcPr>
          <w:p w14:paraId="5F8796E8"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347</w:t>
            </w:r>
          </w:p>
        </w:tc>
        <w:tc>
          <w:tcPr>
            <w:tcW w:w="1211" w:type="dxa"/>
            <w:tcBorders>
              <w:top w:val="nil"/>
              <w:left w:val="nil"/>
              <w:bottom w:val="nil"/>
              <w:right w:val="single" w:sz="12" w:space="0" w:color="auto"/>
            </w:tcBorders>
            <w:shd w:val="clear" w:color="000000" w:fill="FFFF00"/>
            <w:vAlign w:val="center"/>
            <w:hideMark/>
          </w:tcPr>
          <w:p w14:paraId="6FB51D77"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348</w:t>
            </w:r>
          </w:p>
        </w:tc>
        <w:tc>
          <w:tcPr>
            <w:tcW w:w="1211" w:type="dxa"/>
            <w:tcBorders>
              <w:top w:val="nil"/>
              <w:left w:val="nil"/>
              <w:bottom w:val="nil"/>
              <w:right w:val="single" w:sz="12" w:space="0" w:color="auto"/>
            </w:tcBorders>
            <w:shd w:val="clear" w:color="000000" w:fill="FFFF00"/>
            <w:vAlign w:val="center"/>
            <w:hideMark/>
          </w:tcPr>
          <w:p w14:paraId="1238609C" w14:textId="77777777" w:rsidR="00DE679F" w:rsidRPr="008D32D2" w:rsidRDefault="00DE679F" w:rsidP="002A35F2">
            <w:pPr>
              <w:jc w:val="right"/>
              <w:rPr>
                <w:rFonts w:ascii="Century Gothic" w:eastAsia="Times New Roman" w:hAnsi="Century Gothic"/>
                <w:b/>
                <w:bCs/>
                <w:color w:val="000000"/>
                <w:szCs w:val="22"/>
                <w:lang w:eastAsia="en-US"/>
              </w:rPr>
            </w:pPr>
            <w:r w:rsidRPr="008D32D2">
              <w:rPr>
                <w:rFonts w:ascii="Century Gothic" w:eastAsia="Times New Roman" w:hAnsi="Century Gothic"/>
                <w:b/>
                <w:bCs/>
                <w:color w:val="000000"/>
                <w:szCs w:val="22"/>
                <w:lang w:eastAsia="en-US"/>
              </w:rPr>
              <w:t>6595</w:t>
            </w:r>
          </w:p>
        </w:tc>
      </w:tr>
    </w:tbl>
    <w:p w14:paraId="5F99A3DB" w14:textId="77777777" w:rsidR="00DE679F" w:rsidRDefault="00DE679F" w:rsidP="00DE679F">
      <w:pPr>
        <w:rPr>
          <w:rFonts w:ascii="Century Gothic" w:eastAsia="Times New Roman" w:hAnsi="Century Gothic"/>
        </w:rPr>
      </w:pPr>
    </w:p>
    <w:p w14:paraId="242FE1A6" w14:textId="77777777" w:rsidR="00DE679F" w:rsidRDefault="00DE679F" w:rsidP="00DE679F">
      <w:pPr>
        <w:rPr>
          <w:rFonts w:ascii="Century Gothic" w:eastAsia="Times New Roman" w:hAnsi="Century Gothic"/>
        </w:rPr>
      </w:pPr>
    </w:p>
    <w:p w14:paraId="5BF07605" w14:textId="77777777" w:rsidR="00DE679F" w:rsidRPr="00AB230A" w:rsidRDefault="00DE679F" w:rsidP="00DE679F">
      <w:pPr>
        <w:rPr>
          <w:rFonts w:ascii="Century Gothic" w:hAnsi="Century Gothic"/>
          <w:b/>
          <w:bCs/>
          <w:szCs w:val="22"/>
        </w:rPr>
      </w:pPr>
      <w:r w:rsidRPr="00AB230A">
        <w:rPr>
          <w:rFonts w:ascii="Century Gothic" w:hAnsi="Century Gothic"/>
          <w:b/>
          <w:bCs/>
          <w:szCs w:val="22"/>
        </w:rPr>
        <w:t xml:space="preserve">Emergency Housing Vouchers </w:t>
      </w:r>
    </w:p>
    <w:p w14:paraId="32EC7A0E" w14:textId="77777777" w:rsidR="00DE679F" w:rsidRPr="00AB230A" w:rsidRDefault="00DE679F" w:rsidP="00DE679F">
      <w:pPr>
        <w:rPr>
          <w:rFonts w:ascii="Century Gothic" w:eastAsia="Calibri" w:hAnsi="Century Gothic"/>
          <w:szCs w:val="22"/>
        </w:rPr>
      </w:pPr>
    </w:p>
    <w:p w14:paraId="35133591" w14:textId="7AB14752" w:rsidR="00DE679F" w:rsidRPr="00AB230A" w:rsidRDefault="00DE679F" w:rsidP="00DE679F">
      <w:pPr>
        <w:spacing w:line="257" w:lineRule="auto"/>
        <w:rPr>
          <w:rFonts w:ascii="Century Gothic" w:eastAsia="Times New Roman" w:hAnsi="Century Gothic"/>
        </w:rPr>
      </w:pPr>
      <w:r w:rsidRPr="00AB230A">
        <w:rPr>
          <w:rFonts w:ascii="Century Gothic" w:eastAsia="Calibri" w:hAnsi="Century Gothic"/>
        </w:rPr>
        <w:t xml:space="preserve">The American Rescue Plan (ARP) of 2021, section 3202 created the Emergency Housing Vouchers (EHV) for individuals and families who are experiencing homelessness; at risk of experiencing homelessness; fleeing, or attempting to flee, domestic violence, dating violence, sexual assault, stalking, or human trafficking; or were recently homeless and for whom providing rental assistance will prevent the family’s homelessness or having high risk of housing stability.  ECC/HANH was allocated 37 EHV effective July 1, 2021.  </w:t>
      </w:r>
      <w:r w:rsidRPr="00AB230A">
        <w:rPr>
          <w:rFonts w:ascii="Century Gothic" w:eastAsia="Times New Roman" w:hAnsi="Century Gothic"/>
        </w:rPr>
        <w:t>After September 30, 2023, ECC/HANH may not reissue any previously leased EHV, regardless of when the assistance for the formerly assisted family ends.</w:t>
      </w:r>
    </w:p>
    <w:p w14:paraId="3CFAC448" w14:textId="77777777" w:rsidR="00DE679F" w:rsidRPr="00AB230A" w:rsidRDefault="00DE679F" w:rsidP="00DE679F">
      <w:pPr>
        <w:spacing w:line="257" w:lineRule="auto"/>
        <w:rPr>
          <w:rFonts w:ascii="Century Gothic" w:eastAsia="Calibri" w:hAnsi="Century Gothic"/>
          <w:szCs w:val="22"/>
        </w:rPr>
      </w:pPr>
    </w:p>
    <w:p w14:paraId="7B48D85E" w14:textId="77777777" w:rsidR="00DE679F" w:rsidRPr="00AB230A" w:rsidRDefault="00DE679F" w:rsidP="00DE679F">
      <w:pPr>
        <w:spacing w:line="257" w:lineRule="auto"/>
        <w:rPr>
          <w:rFonts w:ascii="Century Gothic" w:eastAsia="Times New Roman" w:hAnsi="Century Gothic"/>
        </w:rPr>
      </w:pPr>
      <w:r w:rsidRPr="00AB230A">
        <w:rPr>
          <w:rFonts w:ascii="Century Gothic" w:eastAsia="Times New Roman" w:hAnsi="Century Gothic"/>
        </w:rPr>
        <w:t xml:space="preserve">All referrals must come through the CoC Coordinated Entry system or from a Victims Services Provider. ECC/HANH has entered into an MOU with the CoC (Coordinated Access Network) who agrees to fulfill its responsibilities of prioritizing individuals and families for EHV assistance, determining the homelessness eligibility, referring individuals and families through the CoC’s coordinated entry system, supporting individuals and families in processing voucher </w:t>
      </w:r>
      <w:r w:rsidRPr="00AB230A">
        <w:rPr>
          <w:rFonts w:ascii="Century Gothic" w:eastAsia="Times New Roman" w:hAnsi="Century Gothic"/>
        </w:rPr>
        <w:lastRenderedPageBreak/>
        <w:t>applications, supporting the housing search process, and planning for and coordinating the delivery of supportive services to support the housing stability of EHV participants.</w:t>
      </w:r>
    </w:p>
    <w:p w14:paraId="34A182AA" w14:textId="77777777" w:rsidR="00DE679F" w:rsidRPr="00AB230A" w:rsidRDefault="00DE679F" w:rsidP="00DE679F">
      <w:pPr>
        <w:spacing w:line="257" w:lineRule="auto"/>
        <w:rPr>
          <w:rFonts w:ascii="Century Gothic" w:eastAsia="Calibri" w:hAnsi="Century Gothic"/>
          <w:szCs w:val="22"/>
        </w:rPr>
      </w:pPr>
    </w:p>
    <w:p w14:paraId="331E789E" w14:textId="77777777" w:rsidR="00DE679F" w:rsidRPr="00AB230A" w:rsidRDefault="00DE679F" w:rsidP="00DE679F">
      <w:pPr>
        <w:spacing w:line="257" w:lineRule="auto"/>
        <w:rPr>
          <w:rFonts w:ascii="Century Gothic" w:eastAsia="Calibri" w:hAnsi="Century Gothic"/>
          <w:szCs w:val="22"/>
        </w:rPr>
      </w:pPr>
      <w:r w:rsidRPr="00AB230A">
        <w:rPr>
          <w:rFonts w:ascii="Century Gothic" w:eastAsia="Calibri" w:hAnsi="Century Gothic"/>
          <w:szCs w:val="22"/>
        </w:rPr>
        <w:t>ECC/HANH has received approval to implement the following rent simplification flexibilities to the Emergency Housing Vouchers, which will reduce the staff time to process the recertification and reduce the burden of participants having to report their income annually and have an annual inspection.</w:t>
      </w:r>
    </w:p>
    <w:p w14:paraId="33061C77" w14:textId="77777777" w:rsidR="00DE679F" w:rsidRPr="00AB230A" w:rsidRDefault="00DE679F" w:rsidP="00DE679F">
      <w:pPr>
        <w:pStyle w:val="ListParagraph"/>
        <w:numPr>
          <w:ilvl w:val="0"/>
          <w:numId w:val="100"/>
        </w:numPr>
        <w:spacing w:line="257" w:lineRule="auto"/>
        <w:rPr>
          <w:rFonts w:ascii="Century Gothic" w:eastAsia="Calibri" w:hAnsi="Century Gothic"/>
          <w:szCs w:val="22"/>
        </w:rPr>
      </w:pPr>
      <w:r w:rsidRPr="00AB230A">
        <w:rPr>
          <w:rFonts w:ascii="Century Gothic" w:hAnsi="Century Gothic"/>
          <w:szCs w:val="22"/>
        </w:rPr>
        <w:t xml:space="preserve">Rent simplification activities, consisting of: </w:t>
      </w:r>
    </w:p>
    <w:p w14:paraId="0C7EDD9F" w14:textId="77777777" w:rsidR="00DE679F" w:rsidRPr="00AB230A" w:rsidRDefault="00DE679F" w:rsidP="00DE679F">
      <w:pPr>
        <w:pStyle w:val="ListParagraph"/>
        <w:numPr>
          <w:ilvl w:val="1"/>
          <w:numId w:val="100"/>
        </w:numPr>
        <w:spacing w:line="257" w:lineRule="auto"/>
        <w:rPr>
          <w:rFonts w:ascii="Century Gothic" w:eastAsia="Calibri" w:hAnsi="Century Gothic"/>
          <w:szCs w:val="22"/>
        </w:rPr>
      </w:pPr>
      <w:r w:rsidRPr="00AB230A">
        <w:rPr>
          <w:rFonts w:ascii="Century Gothic" w:hAnsi="Century Gothic"/>
          <w:szCs w:val="22"/>
        </w:rPr>
        <w:t xml:space="preserve">Multi-year recertification cycles (triennial for elderly or disabled households and biennial for work-able households) </w:t>
      </w:r>
    </w:p>
    <w:p w14:paraId="7A08CED0" w14:textId="77777777" w:rsidR="00DE679F" w:rsidRPr="00AB230A" w:rsidRDefault="00DE679F" w:rsidP="00DE679F">
      <w:pPr>
        <w:pStyle w:val="ListParagraph"/>
        <w:numPr>
          <w:ilvl w:val="1"/>
          <w:numId w:val="100"/>
        </w:numPr>
        <w:spacing w:line="257" w:lineRule="auto"/>
        <w:rPr>
          <w:rFonts w:ascii="Century Gothic" w:eastAsia="Calibri" w:hAnsi="Century Gothic"/>
          <w:szCs w:val="22"/>
        </w:rPr>
      </w:pPr>
      <w:r w:rsidRPr="00AB230A">
        <w:rPr>
          <w:rFonts w:ascii="Century Gothic" w:hAnsi="Century Gothic"/>
          <w:szCs w:val="22"/>
        </w:rPr>
        <w:t xml:space="preserve">Simplified rent tiers with elimination of standard deductions, and $1,000 income bands beginning at $2,500 </w:t>
      </w:r>
    </w:p>
    <w:p w14:paraId="3EF2E84A" w14:textId="77777777" w:rsidR="00DE679F" w:rsidRPr="000B4F3F" w:rsidRDefault="00DE679F" w:rsidP="00DE679F">
      <w:pPr>
        <w:pStyle w:val="ListParagraph"/>
        <w:numPr>
          <w:ilvl w:val="1"/>
          <w:numId w:val="100"/>
        </w:numPr>
        <w:spacing w:line="257" w:lineRule="auto"/>
        <w:rPr>
          <w:rFonts w:ascii="Century Gothic" w:eastAsia="Calibri" w:hAnsi="Century Gothic"/>
          <w:szCs w:val="22"/>
        </w:rPr>
      </w:pPr>
      <w:r w:rsidRPr="00AB230A">
        <w:rPr>
          <w:rFonts w:ascii="Century Gothic" w:hAnsi="Century Gothic"/>
          <w:szCs w:val="22"/>
        </w:rPr>
        <w:t>Exceptional expense tiers, allowing household</w:t>
      </w:r>
      <w:r w:rsidRPr="000B4F3F">
        <w:rPr>
          <w:rFonts w:ascii="Century Gothic" w:hAnsi="Century Gothic"/>
          <w:szCs w:val="22"/>
        </w:rPr>
        <w:t xml:space="preserve">s with exceptional medical, disability, or childcare expenses to request a rent reduction </w:t>
      </w:r>
    </w:p>
    <w:p w14:paraId="07C639ED" w14:textId="77777777" w:rsidR="00DE679F" w:rsidRPr="000B4F3F" w:rsidRDefault="00DE679F" w:rsidP="00DE679F">
      <w:pPr>
        <w:pStyle w:val="ListParagraph"/>
        <w:numPr>
          <w:ilvl w:val="1"/>
          <w:numId w:val="100"/>
        </w:numPr>
        <w:spacing w:line="257" w:lineRule="auto"/>
        <w:rPr>
          <w:rFonts w:ascii="Century Gothic" w:eastAsia="Calibri" w:hAnsi="Century Gothic"/>
          <w:szCs w:val="22"/>
        </w:rPr>
      </w:pPr>
      <w:r w:rsidRPr="000B4F3F">
        <w:rPr>
          <w:rFonts w:ascii="Century Gothic" w:hAnsi="Century Gothic"/>
          <w:szCs w:val="22"/>
        </w:rPr>
        <w:t xml:space="preserve">$50 minimum rent, with a hardship exemption for households unable to pay minimum rent </w:t>
      </w:r>
    </w:p>
    <w:p w14:paraId="5AA8E0CF" w14:textId="77777777" w:rsidR="00DE679F" w:rsidRPr="000B4F3F" w:rsidRDefault="00DE679F" w:rsidP="00DE679F">
      <w:pPr>
        <w:pStyle w:val="ListParagraph"/>
        <w:numPr>
          <w:ilvl w:val="1"/>
          <w:numId w:val="100"/>
        </w:numPr>
        <w:spacing w:line="257" w:lineRule="auto"/>
        <w:rPr>
          <w:rFonts w:ascii="Century Gothic" w:eastAsia="Calibri" w:hAnsi="Century Gothic"/>
          <w:szCs w:val="22"/>
        </w:rPr>
      </w:pPr>
      <w:r w:rsidRPr="000B4F3F">
        <w:rPr>
          <w:rFonts w:ascii="Century Gothic" w:hAnsi="Century Gothic"/>
          <w:szCs w:val="22"/>
        </w:rPr>
        <w:t xml:space="preserve">Transition period of one year from current income-based rent to the tiered-rent structure and minimum rent to avoid hardships </w:t>
      </w:r>
    </w:p>
    <w:p w14:paraId="1BC54962" w14:textId="77777777" w:rsidR="00DE679F" w:rsidRPr="000B4F3F" w:rsidRDefault="00DE679F" w:rsidP="00DE679F">
      <w:pPr>
        <w:pStyle w:val="ListParagraph"/>
        <w:numPr>
          <w:ilvl w:val="0"/>
          <w:numId w:val="100"/>
        </w:numPr>
        <w:spacing w:line="257" w:lineRule="auto"/>
        <w:rPr>
          <w:rFonts w:ascii="Century Gothic" w:eastAsia="Calibri" w:hAnsi="Century Gothic"/>
          <w:szCs w:val="22"/>
        </w:rPr>
      </w:pPr>
      <w:r w:rsidRPr="000B4F3F">
        <w:rPr>
          <w:rFonts w:ascii="Century Gothic" w:hAnsi="Century Gothic"/>
          <w:szCs w:val="22"/>
        </w:rPr>
        <w:t xml:space="preserve">Rent simplification/cost stabilization measures, consisting of: </w:t>
      </w:r>
    </w:p>
    <w:p w14:paraId="7A9CE274" w14:textId="77777777" w:rsidR="00DE679F" w:rsidRPr="000B4F3F" w:rsidRDefault="00DE679F" w:rsidP="00DE679F">
      <w:pPr>
        <w:pStyle w:val="ListParagraph"/>
        <w:spacing w:line="257" w:lineRule="auto"/>
        <w:ind w:left="1440" w:hanging="360"/>
        <w:rPr>
          <w:rFonts w:ascii="Century Gothic" w:hAnsi="Century Gothic"/>
          <w:szCs w:val="22"/>
        </w:rPr>
      </w:pPr>
      <w:r w:rsidRPr="000B4F3F">
        <w:rPr>
          <w:rFonts w:ascii="Century Gothic" w:hAnsi="Century Gothic"/>
          <w:szCs w:val="22"/>
        </w:rPr>
        <w:t xml:space="preserve">o </w:t>
      </w:r>
      <w:r w:rsidRPr="000B4F3F">
        <w:rPr>
          <w:rFonts w:ascii="Century Gothic" w:hAnsi="Century Gothic"/>
          <w:szCs w:val="22"/>
        </w:rPr>
        <w:tab/>
        <w:t xml:space="preserve">HQS inspections on a biennial and triennial schedule, matching recertification schedule and allowing participants and landlords to request a special inspection at any point if deficiencies are suspected </w:t>
      </w:r>
    </w:p>
    <w:p w14:paraId="6FA882A2" w14:textId="77777777" w:rsidR="00DE679F" w:rsidRPr="000B4F3F" w:rsidRDefault="00DE679F" w:rsidP="00DE679F">
      <w:pPr>
        <w:pStyle w:val="ListParagraph"/>
        <w:spacing w:line="257" w:lineRule="auto"/>
        <w:ind w:left="1440" w:hanging="360"/>
        <w:rPr>
          <w:rFonts w:ascii="Century Gothic" w:hAnsi="Century Gothic"/>
          <w:szCs w:val="22"/>
        </w:rPr>
      </w:pPr>
      <w:proofErr w:type="gramStart"/>
      <w:r w:rsidRPr="000B4F3F">
        <w:rPr>
          <w:rFonts w:ascii="Century Gothic" w:hAnsi="Century Gothic"/>
          <w:szCs w:val="22"/>
        </w:rPr>
        <w:t xml:space="preserve">o </w:t>
      </w:r>
      <w:r w:rsidRPr="000B4F3F">
        <w:rPr>
          <w:rFonts w:ascii="Century Gothic" w:hAnsi="Century Gothic"/>
          <w:szCs w:val="22"/>
        </w:rPr>
        <w:tab/>
        <w:t>Self</w:t>
      </w:r>
      <w:proofErr w:type="gramEnd"/>
      <w:r w:rsidRPr="000B4F3F">
        <w:rPr>
          <w:rFonts w:ascii="Century Gothic" w:hAnsi="Century Gothic"/>
          <w:szCs w:val="22"/>
        </w:rPr>
        <w:t xml:space="preserve">-certification for curing failed inspections if failed items are unrelated to health and safety issues </w:t>
      </w:r>
    </w:p>
    <w:p w14:paraId="2EA882DB" w14:textId="77777777" w:rsidR="00DE679F" w:rsidRPr="000B4F3F" w:rsidRDefault="00DE679F" w:rsidP="00DE679F">
      <w:pPr>
        <w:pStyle w:val="ListParagraph"/>
        <w:spacing w:line="257" w:lineRule="auto"/>
        <w:ind w:firstLine="360"/>
        <w:rPr>
          <w:rFonts w:ascii="Century Gothic" w:eastAsia="Calibri" w:hAnsi="Century Gothic"/>
          <w:szCs w:val="22"/>
        </w:rPr>
      </w:pPr>
      <w:r w:rsidRPr="000B4F3F">
        <w:rPr>
          <w:rFonts w:ascii="Century Gothic" w:hAnsi="Century Gothic"/>
          <w:szCs w:val="22"/>
        </w:rPr>
        <w:t xml:space="preserve">o </w:t>
      </w:r>
      <w:r w:rsidRPr="000B4F3F">
        <w:rPr>
          <w:rFonts w:ascii="Century Gothic" w:hAnsi="Century Gothic"/>
          <w:szCs w:val="22"/>
        </w:rPr>
        <w:tab/>
        <w:t>Limiting landlord rent increases to only the time of the household’s recertification</w:t>
      </w:r>
    </w:p>
    <w:p w14:paraId="11B0C4BB" w14:textId="77777777" w:rsidR="00DE679F" w:rsidRPr="000B4F3F" w:rsidRDefault="00DE679F" w:rsidP="00DE679F">
      <w:pPr>
        <w:rPr>
          <w:rFonts w:ascii="Century Gothic" w:hAnsi="Century Gothic"/>
          <w:szCs w:val="22"/>
        </w:rPr>
      </w:pPr>
    </w:p>
    <w:p w14:paraId="4578041D" w14:textId="27B5C908" w:rsidR="00DE679F" w:rsidRPr="000B4F3F" w:rsidRDefault="00DE679F" w:rsidP="00DE679F">
      <w:pPr>
        <w:spacing w:line="257" w:lineRule="auto"/>
        <w:rPr>
          <w:rFonts w:ascii="Century Gothic" w:eastAsia="Calibri" w:hAnsi="Century Gothic"/>
        </w:rPr>
      </w:pPr>
      <w:r w:rsidRPr="000B4F3F">
        <w:rPr>
          <w:rFonts w:ascii="Century Gothic" w:eastAsia="Calibri" w:hAnsi="Century Gothic"/>
        </w:rPr>
        <w:t xml:space="preserve">At the end of FY2024, 86% of the vouchers were leased for a </w:t>
      </w:r>
      <w:r w:rsidR="00E05E21" w:rsidRPr="000B4F3F">
        <w:rPr>
          <w:rFonts w:ascii="Century Gothic" w:eastAsia="Calibri" w:hAnsi="Century Gothic"/>
        </w:rPr>
        <w:t>total of</w:t>
      </w:r>
      <w:r w:rsidRPr="000B4F3F">
        <w:rPr>
          <w:rFonts w:ascii="Century Gothic" w:eastAsia="Calibri" w:hAnsi="Century Gothic"/>
        </w:rPr>
        <w:t xml:space="preserve"> 32 EHVs.  ECC/HANH will not have any future lease-ups under EHV as it was a special program with an end date of September 30, 2023</w:t>
      </w:r>
    </w:p>
    <w:p w14:paraId="28429FA2" w14:textId="3CBBE4DF" w:rsidR="00DE679F" w:rsidRPr="00A4484F" w:rsidRDefault="00DE679F" w:rsidP="00DE679F">
      <w:pPr>
        <w:spacing w:line="257" w:lineRule="auto"/>
        <w:rPr>
          <w:rFonts w:ascii="Times New Roman" w:hAnsi="Times New Roman"/>
        </w:rPr>
      </w:pPr>
      <w:r w:rsidRPr="2C805A1A">
        <w:rPr>
          <w:rFonts w:ascii="Times New Roman" w:hAnsi="Times New Roman"/>
        </w:rPr>
        <w:br w:type="page"/>
      </w:r>
    </w:p>
    <w:tbl>
      <w:tblPr>
        <w:tblStyle w:val="TableGrid"/>
        <w:tblW w:w="9930" w:type="dxa"/>
        <w:tblLayout w:type="fixed"/>
        <w:tblLook w:val="06A0" w:firstRow="1" w:lastRow="0" w:firstColumn="1" w:lastColumn="0" w:noHBand="1" w:noVBand="1"/>
      </w:tblPr>
      <w:tblGrid>
        <w:gridCol w:w="9930"/>
      </w:tblGrid>
      <w:tr w:rsidR="37711632" w:rsidRPr="007438FB" w14:paraId="09880C6E" w14:textId="77777777" w:rsidTr="19A6F694">
        <w:tc>
          <w:tcPr>
            <w:tcW w:w="9930" w:type="dxa"/>
            <w:vAlign w:val="center"/>
          </w:tcPr>
          <w:p w14:paraId="44ADFF14" w14:textId="466E2216" w:rsidR="37711632" w:rsidRPr="007438FB" w:rsidRDefault="0069193F" w:rsidP="6E9E055C">
            <w:pPr>
              <w:rPr>
                <w:rFonts w:ascii="Century Gothic" w:eastAsia="Times New Roman" w:hAnsi="Century Gothic"/>
                <w:b/>
                <w:bCs/>
                <w:color w:val="C0504D"/>
                <w:sz w:val="24"/>
              </w:rPr>
            </w:pPr>
            <w:r>
              <w:rPr>
                <w:rFonts w:ascii="Century Gothic" w:eastAsia="Times New Roman" w:hAnsi="Century Gothic"/>
              </w:rPr>
              <w:lastRenderedPageBreak/>
              <w:br w:type="page"/>
            </w:r>
            <w:r w:rsidR="501CCE92" w:rsidRPr="007438FB">
              <w:rPr>
                <w:rFonts w:ascii="Century Gothic" w:eastAsia="Times New Roman" w:hAnsi="Century Gothic"/>
                <w:b/>
                <w:bCs/>
                <w:color w:val="C0504D"/>
                <w:sz w:val="24"/>
              </w:rPr>
              <w:t>DELIVER COST EFFECTIVE SOLUTIONS</w:t>
            </w:r>
          </w:p>
          <w:p w14:paraId="3ECB1C95" w14:textId="37E8DF87" w:rsidR="000F3DAA" w:rsidRPr="007438FB" w:rsidRDefault="3B9F1032" w:rsidP="6E9E055C">
            <w:pPr>
              <w:spacing w:before="120"/>
              <w:ind w:left="274" w:hanging="274"/>
              <w:rPr>
                <w:rFonts w:ascii="Century Gothic" w:eastAsia="Times New Roman" w:hAnsi="Century Gothic"/>
                <w:color w:val="000000" w:themeColor="text1"/>
              </w:rPr>
            </w:pPr>
            <w:r w:rsidRPr="007438FB">
              <w:rPr>
                <w:rFonts w:ascii="Century Gothic" w:eastAsia="Times New Roman" w:hAnsi="Century Gothic"/>
                <w:b/>
                <w:bCs/>
                <w:color w:val="000000" w:themeColor="text1"/>
              </w:rPr>
              <w:t>1.</w:t>
            </w:r>
            <w:r w:rsidR="000F3DAA" w:rsidRPr="007438FB">
              <w:rPr>
                <w:rFonts w:ascii="Century Gothic" w:hAnsi="Century Gothic"/>
              </w:rPr>
              <w:tab/>
            </w:r>
            <w:r w:rsidRPr="007438FB">
              <w:rPr>
                <w:rFonts w:ascii="Century Gothic" w:eastAsia="Times New Roman" w:hAnsi="Century Gothic"/>
                <w:color w:val="000000" w:themeColor="text1"/>
              </w:rPr>
              <w:t xml:space="preserve">Continue to expand streamlined </w:t>
            </w:r>
            <w:r w:rsidR="00E05E21" w:rsidRPr="007438FB">
              <w:rPr>
                <w:rFonts w:ascii="Century Gothic" w:eastAsia="Times New Roman" w:hAnsi="Century Gothic"/>
                <w:color w:val="000000" w:themeColor="text1"/>
              </w:rPr>
              <w:t>processes</w:t>
            </w:r>
            <w:r w:rsidRPr="007438FB">
              <w:rPr>
                <w:rFonts w:ascii="Century Gothic" w:eastAsia="Times New Roman" w:hAnsi="Century Gothic"/>
                <w:color w:val="000000" w:themeColor="text1"/>
              </w:rPr>
              <w:t xml:space="preserve"> such as self-certification for HQS inspections and rent simplification models</w:t>
            </w:r>
          </w:p>
          <w:p w14:paraId="11144541" w14:textId="73B17011" w:rsidR="000F3DAA" w:rsidRPr="007438FB" w:rsidRDefault="3B9F1032" w:rsidP="6E9E055C">
            <w:pPr>
              <w:spacing w:before="120"/>
              <w:ind w:left="274" w:hanging="274"/>
              <w:rPr>
                <w:rFonts w:ascii="Century Gothic" w:eastAsia="Times New Roman" w:hAnsi="Century Gothic"/>
                <w:color w:val="000000" w:themeColor="text1"/>
              </w:rPr>
            </w:pPr>
            <w:r w:rsidRPr="007438FB">
              <w:rPr>
                <w:rFonts w:ascii="Century Gothic" w:eastAsia="Times New Roman" w:hAnsi="Century Gothic"/>
                <w:b/>
                <w:bCs/>
                <w:color w:val="000000" w:themeColor="text1"/>
              </w:rPr>
              <w:t>2.</w:t>
            </w:r>
            <w:r w:rsidRPr="007438FB">
              <w:rPr>
                <w:rFonts w:ascii="Century Gothic" w:eastAsia="Times New Roman" w:hAnsi="Century Gothic"/>
                <w:color w:val="000000" w:themeColor="text1"/>
              </w:rPr>
              <w:t xml:space="preserve"> </w:t>
            </w:r>
            <w:r w:rsidR="000F3DAA" w:rsidRPr="007438FB">
              <w:rPr>
                <w:rFonts w:ascii="Century Gothic" w:hAnsi="Century Gothic"/>
              </w:rPr>
              <w:tab/>
            </w:r>
            <w:r w:rsidRPr="007438FB">
              <w:rPr>
                <w:rFonts w:ascii="Century Gothic" w:eastAsia="Times New Roman" w:hAnsi="Century Gothic"/>
                <w:color w:val="000000" w:themeColor="text1"/>
              </w:rPr>
              <w:t xml:space="preserve">Invest in technology to add additional functionality – e.g., online housing applications; self-service access for applicants, residents and landlords; web-based payments to vendors and landlords </w:t>
            </w:r>
          </w:p>
          <w:p w14:paraId="51B18490" w14:textId="77777777" w:rsidR="000F3DAA" w:rsidRPr="007438FB" w:rsidRDefault="3B9F1032" w:rsidP="6E9E055C">
            <w:pPr>
              <w:spacing w:before="120"/>
              <w:ind w:left="274" w:hanging="274"/>
              <w:rPr>
                <w:rFonts w:ascii="Century Gothic" w:eastAsia="Times New Roman" w:hAnsi="Century Gothic"/>
                <w:color w:val="000000" w:themeColor="text1"/>
              </w:rPr>
            </w:pPr>
            <w:r w:rsidRPr="007438FB">
              <w:rPr>
                <w:rFonts w:ascii="Century Gothic" w:eastAsia="Times New Roman" w:hAnsi="Century Gothic"/>
                <w:b/>
                <w:bCs/>
                <w:color w:val="000000" w:themeColor="text1"/>
              </w:rPr>
              <w:t>3.</w:t>
            </w:r>
            <w:r w:rsidR="000F3DAA" w:rsidRPr="007438FB">
              <w:rPr>
                <w:rFonts w:ascii="Century Gothic" w:hAnsi="Century Gothic"/>
              </w:rPr>
              <w:tab/>
            </w:r>
            <w:r w:rsidRPr="007438FB">
              <w:rPr>
                <w:rFonts w:ascii="Century Gothic" w:eastAsia="Times New Roman" w:hAnsi="Century Gothic"/>
                <w:color w:val="000000" w:themeColor="text1"/>
              </w:rPr>
              <w:t>Provide services to local public housing agencies</w:t>
            </w:r>
          </w:p>
          <w:p w14:paraId="223759C3" w14:textId="193250E5" w:rsidR="000F3DAA" w:rsidRPr="007438FB" w:rsidRDefault="3B9F1032" w:rsidP="6E9E055C">
            <w:pPr>
              <w:spacing w:before="120"/>
              <w:ind w:left="274" w:hanging="274"/>
              <w:rPr>
                <w:rFonts w:ascii="Century Gothic" w:eastAsia="Times New Roman" w:hAnsi="Century Gothic"/>
                <w:color w:val="000000" w:themeColor="text1"/>
              </w:rPr>
            </w:pPr>
            <w:r w:rsidRPr="007438FB">
              <w:rPr>
                <w:rFonts w:ascii="Century Gothic" w:eastAsia="Times New Roman" w:hAnsi="Century Gothic"/>
                <w:b/>
                <w:bCs/>
                <w:color w:val="000000" w:themeColor="text1"/>
              </w:rPr>
              <w:t>4</w:t>
            </w:r>
            <w:proofErr w:type="gramStart"/>
            <w:r w:rsidRPr="007438FB">
              <w:rPr>
                <w:rFonts w:ascii="Century Gothic" w:eastAsia="Times New Roman" w:hAnsi="Century Gothic"/>
                <w:b/>
                <w:bCs/>
                <w:color w:val="000000" w:themeColor="text1"/>
              </w:rPr>
              <w:t>.</w:t>
            </w:r>
            <w:r w:rsidRPr="007438FB">
              <w:rPr>
                <w:rFonts w:ascii="Century Gothic" w:eastAsia="Times New Roman" w:hAnsi="Century Gothic"/>
                <w:color w:val="000000" w:themeColor="text1"/>
              </w:rPr>
              <w:t xml:space="preserve"> </w:t>
            </w:r>
            <w:r w:rsidR="000F3DAA" w:rsidRPr="007438FB">
              <w:rPr>
                <w:rFonts w:ascii="Century Gothic" w:hAnsi="Century Gothic"/>
              </w:rPr>
              <w:tab/>
            </w:r>
            <w:r w:rsidRPr="007438FB">
              <w:rPr>
                <w:rFonts w:ascii="Century Gothic" w:eastAsia="Times New Roman" w:hAnsi="Century Gothic"/>
                <w:color w:val="000000" w:themeColor="text1"/>
              </w:rPr>
              <w:t>Invest</w:t>
            </w:r>
            <w:proofErr w:type="gramEnd"/>
            <w:r w:rsidRPr="007438FB">
              <w:rPr>
                <w:rFonts w:ascii="Century Gothic" w:eastAsia="Times New Roman" w:hAnsi="Century Gothic"/>
                <w:color w:val="000000" w:themeColor="text1"/>
              </w:rPr>
              <w:t xml:space="preserve"> in energy efficiency </w:t>
            </w:r>
          </w:p>
          <w:p w14:paraId="407B5253" w14:textId="77777777" w:rsidR="000F3DAA" w:rsidRPr="007438FB" w:rsidRDefault="3B9F1032" w:rsidP="6E9E055C">
            <w:pPr>
              <w:spacing w:before="120" w:after="240"/>
              <w:ind w:left="274" w:hanging="274"/>
              <w:rPr>
                <w:rFonts w:ascii="Century Gothic" w:eastAsia="Times New Roman" w:hAnsi="Century Gothic"/>
                <w:color w:val="000000" w:themeColor="text1"/>
              </w:rPr>
            </w:pPr>
            <w:r w:rsidRPr="007438FB">
              <w:rPr>
                <w:rFonts w:ascii="Century Gothic" w:eastAsia="Times New Roman" w:hAnsi="Century Gothic"/>
                <w:b/>
                <w:bCs/>
                <w:color w:val="000000" w:themeColor="text1"/>
              </w:rPr>
              <w:t>5</w:t>
            </w:r>
            <w:proofErr w:type="gramStart"/>
            <w:r w:rsidRPr="007438FB">
              <w:rPr>
                <w:rFonts w:ascii="Century Gothic" w:eastAsia="Times New Roman" w:hAnsi="Century Gothic"/>
                <w:b/>
                <w:bCs/>
                <w:color w:val="000000" w:themeColor="text1"/>
              </w:rPr>
              <w:t>.</w:t>
            </w:r>
            <w:r w:rsidRPr="007438FB">
              <w:rPr>
                <w:rFonts w:ascii="Century Gothic" w:eastAsia="Times New Roman" w:hAnsi="Century Gothic"/>
                <w:color w:val="000000" w:themeColor="text1"/>
              </w:rPr>
              <w:t xml:space="preserve"> </w:t>
            </w:r>
            <w:r w:rsidR="000F3DAA" w:rsidRPr="007438FB">
              <w:rPr>
                <w:rFonts w:ascii="Century Gothic" w:hAnsi="Century Gothic"/>
              </w:rPr>
              <w:tab/>
            </w:r>
            <w:r w:rsidRPr="007438FB">
              <w:rPr>
                <w:rFonts w:ascii="Century Gothic" w:eastAsia="Times New Roman" w:hAnsi="Century Gothic"/>
                <w:color w:val="000000" w:themeColor="text1"/>
              </w:rPr>
              <w:t>Complete</w:t>
            </w:r>
            <w:proofErr w:type="gramEnd"/>
            <w:r w:rsidRPr="007438FB">
              <w:rPr>
                <w:rFonts w:ascii="Century Gothic" w:eastAsia="Times New Roman" w:hAnsi="Century Gothic"/>
                <w:color w:val="000000" w:themeColor="text1"/>
              </w:rPr>
              <w:t xml:space="preserve"> RAD conversion opportunities within housing portfolio</w:t>
            </w:r>
          </w:p>
          <w:p w14:paraId="4B8F92F5" w14:textId="78897B50" w:rsidR="11E63C90" w:rsidRPr="001F7FD4" w:rsidRDefault="11E63C90" w:rsidP="6E9E055C">
            <w:pPr>
              <w:ind w:left="274" w:hanging="274"/>
              <w:rPr>
                <w:rFonts w:ascii="Century Gothic" w:eastAsia="Times New Roman" w:hAnsi="Century Gothic"/>
                <w:color w:val="C0504D"/>
                <w:sz w:val="24"/>
              </w:rPr>
            </w:pPr>
          </w:p>
          <w:p w14:paraId="27A376EC" w14:textId="19A8B7D4" w:rsidR="37711632" w:rsidRPr="007438FB" w:rsidRDefault="501CCE92" w:rsidP="6E9E055C">
            <w:pPr>
              <w:ind w:left="274" w:hanging="274"/>
              <w:rPr>
                <w:rFonts w:ascii="Century Gothic" w:eastAsia="Times New Roman" w:hAnsi="Century Gothic"/>
                <w:b/>
                <w:bCs/>
                <w:color w:val="C0504D"/>
                <w:sz w:val="24"/>
              </w:rPr>
            </w:pPr>
            <w:r w:rsidRPr="007438FB">
              <w:rPr>
                <w:rFonts w:ascii="Century Gothic" w:eastAsia="Times New Roman" w:hAnsi="Century Gothic"/>
                <w:b/>
                <w:bCs/>
                <w:color w:val="C0504D"/>
                <w:sz w:val="24"/>
              </w:rPr>
              <w:t>EXPAND HOUSING CHOICE</w:t>
            </w:r>
          </w:p>
          <w:p w14:paraId="48DC464B" w14:textId="163586EA" w:rsidR="000F3DAA" w:rsidRPr="007438FB" w:rsidRDefault="76B1AE43" w:rsidP="6E9E055C">
            <w:pPr>
              <w:spacing w:before="120"/>
              <w:ind w:left="270" w:hanging="270"/>
              <w:rPr>
                <w:rFonts w:ascii="Century Gothic" w:eastAsia="Times New Roman" w:hAnsi="Century Gothic"/>
              </w:rPr>
            </w:pPr>
            <w:r w:rsidRPr="0069193F">
              <w:rPr>
                <w:rFonts w:ascii="Century Gothic" w:eastAsia="Times New Roman" w:hAnsi="Century Gothic"/>
                <w:b/>
                <w:bCs/>
              </w:rPr>
              <w:t>1.</w:t>
            </w:r>
            <w:r w:rsidRPr="007438FB">
              <w:rPr>
                <w:rFonts w:ascii="Century Gothic" w:eastAsia="Times New Roman" w:hAnsi="Century Gothic"/>
              </w:rPr>
              <w:t xml:space="preserve"> </w:t>
            </w:r>
            <w:r w:rsidR="2F78E6DA" w:rsidRPr="007438FB">
              <w:rPr>
                <w:rFonts w:ascii="Century Gothic" w:eastAsia="Times New Roman" w:hAnsi="Century Gothic"/>
              </w:rPr>
              <w:t>Complete revitalization of West Rock community through McConaughy Terrace, Valley Townhouses and Westville Manor and 34 Level St. redevelopments</w:t>
            </w:r>
          </w:p>
          <w:p w14:paraId="458195A5" w14:textId="77777777" w:rsidR="000F3DAA" w:rsidRPr="007438FB" w:rsidRDefault="3B9F1032" w:rsidP="6E9E055C">
            <w:pPr>
              <w:spacing w:before="120"/>
              <w:ind w:left="270" w:hanging="270"/>
              <w:rPr>
                <w:rFonts w:ascii="Century Gothic" w:eastAsia="Times New Roman" w:hAnsi="Century Gothic"/>
              </w:rPr>
            </w:pPr>
            <w:r w:rsidRPr="007438FB">
              <w:rPr>
                <w:rFonts w:ascii="Century Gothic" w:eastAsia="Times New Roman" w:hAnsi="Century Gothic"/>
                <w:b/>
                <w:bCs/>
              </w:rPr>
              <w:t>2.</w:t>
            </w:r>
            <w:r w:rsidR="000F3DAA" w:rsidRPr="007438FB">
              <w:rPr>
                <w:rFonts w:ascii="Century Gothic" w:hAnsi="Century Gothic"/>
              </w:rPr>
              <w:tab/>
            </w:r>
            <w:r w:rsidRPr="007438FB">
              <w:rPr>
                <w:rFonts w:ascii="Century Gothic" w:eastAsia="Times New Roman" w:hAnsi="Century Gothic"/>
              </w:rPr>
              <w:t>Increase market-rate homeownership opportunities</w:t>
            </w:r>
          </w:p>
          <w:p w14:paraId="1756B216" w14:textId="3801942F" w:rsidR="000F3DAA" w:rsidRPr="007438FB" w:rsidRDefault="3B9F1032" w:rsidP="6E9E055C">
            <w:pPr>
              <w:spacing w:before="120"/>
              <w:ind w:left="270" w:hanging="270"/>
              <w:rPr>
                <w:rFonts w:ascii="Century Gothic" w:eastAsia="Times New Roman" w:hAnsi="Century Gothic"/>
              </w:rPr>
            </w:pPr>
            <w:r w:rsidRPr="007438FB">
              <w:rPr>
                <w:rFonts w:ascii="Century Gothic" w:eastAsia="Times New Roman" w:hAnsi="Century Gothic"/>
                <w:b/>
                <w:bCs/>
              </w:rPr>
              <w:t>3.</w:t>
            </w:r>
            <w:r w:rsidR="000F3DAA" w:rsidRPr="007438FB">
              <w:rPr>
                <w:rFonts w:ascii="Century Gothic" w:hAnsi="Century Gothic"/>
              </w:rPr>
              <w:tab/>
            </w:r>
            <w:r w:rsidRPr="007438FB">
              <w:rPr>
                <w:rFonts w:ascii="Century Gothic" w:eastAsia="Times New Roman" w:hAnsi="Century Gothic"/>
              </w:rPr>
              <w:t>Partner with local government and non-profit entities to increase the supply of affordable housing</w:t>
            </w:r>
          </w:p>
          <w:p w14:paraId="73B141D7" w14:textId="78049135" w:rsidR="000F3DAA" w:rsidRPr="007438FB" w:rsidRDefault="0069193F" w:rsidP="6E9E055C">
            <w:pPr>
              <w:spacing w:before="120"/>
              <w:ind w:left="270" w:hanging="270"/>
              <w:rPr>
                <w:rFonts w:ascii="Century Gothic" w:eastAsia="Times New Roman" w:hAnsi="Century Gothic"/>
              </w:rPr>
            </w:pPr>
            <w:r>
              <w:rPr>
                <w:rFonts w:ascii="Century Gothic" w:eastAsia="Times New Roman" w:hAnsi="Century Gothic"/>
                <w:b/>
                <w:bCs/>
              </w:rPr>
              <w:t>4</w:t>
            </w:r>
            <w:proofErr w:type="gramStart"/>
            <w:r w:rsidR="3B9F1032" w:rsidRPr="007438FB">
              <w:rPr>
                <w:rFonts w:ascii="Century Gothic" w:eastAsia="Times New Roman" w:hAnsi="Century Gothic"/>
                <w:b/>
                <w:bCs/>
              </w:rPr>
              <w:t>.</w:t>
            </w:r>
            <w:r w:rsidR="3B9F1032" w:rsidRPr="007438FB">
              <w:rPr>
                <w:rFonts w:ascii="Century Gothic" w:eastAsia="Times New Roman" w:hAnsi="Century Gothic"/>
              </w:rPr>
              <w:t xml:space="preserve"> </w:t>
            </w:r>
            <w:r w:rsidR="000F3DAA" w:rsidRPr="007438FB">
              <w:rPr>
                <w:rFonts w:ascii="Century Gothic" w:hAnsi="Century Gothic"/>
              </w:rPr>
              <w:tab/>
            </w:r>
            <w:r w:rsidR="3B9F1032" w:rsidRPr="007438FB">
              <w:rPr>
                <w:rFonts w:ascii="Century Gothic" w:eastAsia="Times New Roman" w:hAnsi="Century Gothic"/>
              </w:rPr>
              <w:t>Continue</w:t>
            </w:r>
            <w:proofErr w:type="gramEnd"/>
            <w:r w:rsidR="3B9F1032" w:rsidRPr="007438FB">
              <w:rPr>
                <w:rFonts w:ascii="Century Gothic" w:eastAsia="Times New Roman" w:hAnsi="Century Gothic"/>
              </w:rPr>
              <w:t xml:space="preserve"> modernization and capital investment in current housing portfolio</w:t>
            </w:r>
          </w:p>
          <w:p w14:paraId="7237BC47" w14:textId="588CEFF4" w:rsidR="000F3DAA" w:rsidRPr="007438FB" w:rsidRDefault="0069193F" w:rsidP="6E9E055C">
            <w:pPr>
              <w:spacing w:before="120" w:after="240"/>
              <w:ind w:left="274" w:hanging="274"/>
              <w:rPr>
                <w:rFonts w:ascii="Century Gothic" w:eastAsia="Times New Roman" w:hAnsi="Century Gothic"/>
              </w:rPr>
            </w:pPr>
            <w:r>
              <w:rPr>
                <w:rFonts w:ascii="Century Gothic" w:eastAsia="Times New Roman" w:hAnsi="Century Gothic"/>
                <w:b/>
                <w:bCs/>
              </w:rPr>
              <w:t>5</w:t>
            </w:r>
            <w:r w:rsidR="3B9F1032" w:rsidRPr="007438FB">
              <w:rPr>
                <w:rFonts w:ascii="Century Gothic" w:eastAsia="Times New Roman" w:hAnsi="Century Gothic"/>
                <w:b/>
                <w:bCs/>
              </w:rPr>
              <w:t>.</w:t>
            </w:r>
            <w:r w:rsidR="000F3DAA" w:rsidRPr="007438FB">
              <w:rPr>
                <w:rFonts w:ascii="Century Gothic" w:hAnsi="Century Gothic"/>
              </w:rPr>
              <w:tab/>
            </w:r>
            <w:r w:rsidR="3B9F1032" w:rsidRPr="007438FB">
              <w:rPr>
                <w:rFonts w:ascii="Century Gothic" w:eastAsia="Times New Roman" w:hAnsi="Century Gothic"/>
              </w:rPr>
              <w:t xml:space="preserve">Continue progress toward meeting goal of 10% Uniform Federal Accessibility Standards (UFAS) compliant </w:t>
            </w:r>
            <w:proofErr w:type="gramStart"/>
            <w:r w:rsidR="3B9F1032" w:rsidRPr="007438FB">
              <w:rPr>
                <w:rFonts w:ascii="Century Gothic" w:eastAsia="Times New Roman" w:hAnsi="Century Gothic"/>
              </w:rPr>
              <w:t>units</w:t>
            </w:r>
            <w:proofErr w:type="gramEnd"/>
            <w:r w:rsidR="3B9F1032" w:rsidRPr="007438FB">
              <w:rPr>
                <w:rFonts w:ascii="Century Gothic" w:eastAsia="Times New Roman" w:hAnsi="Century Gothic"/>
              </w:rPr>
              <w:t xml:space="preserve"> agency-wide</w:t>
            </w:r>
          </w:p>
          <w:p w14:paraId="015DCBBC" w14:textId="3C0E883C" w:rsidR="37711632" w:rsidRPr="007438FB" w:rsidRDefault="501CCE92" w:rsidP="6E9E055C">
            <w:pPr>
              <w:ind w:left="274" w:hanging="274"/>
              <w:rPr>
                <w:rFonts w:ascii="Century Gothic" w:eastAsia="Times New Roman" w:hAnsi="Century Gothic"/>
                <w:b/>
                <w:bCs/>
                <w:color w:val="C0504D"/>
                <w:sz w:val="24"/>
              </w:rPr>
            </w:pPr>
            <w:r w:rsidRPr="007438FB">
              <w:rPr>
                <w:rFonts w:ascii="Century Gothic" w:eastAsia="Times New Roman" w:hAnsi="Century Gothic"/>
                <w:b/>
                <w:bCs/>
                <w:color w:val="C0504D"/>
                <w:sz w:val="24"/>
              </w:rPr>
              <w:t xml:space="preserve">HELP FAMILIES REACH SELF-SUFFICIECNY </w:t>
            </w:r>
          </w:p>
          <w:p w14:paraId="5675884A" w14:textId="12ACA5F0" w:rsidR="000F3DAA" w:rsidRPr="007438FB" w:rsidRDefault="3B9F1032" w:rsidP="6E9E055C">
            <w:pPr>
              <w:spacing w:before="120"/>
              <w:ind w:left="274" w:hanging="274"/>
              <w:rPr>
                <w:rFonts w:ascii="Century Gothic" w:eastAsia="Times New Roman" w:hAnsi="Century Gothic"/>
              </w:rPr>
            </w:pPr>
            <w:r w:rsidRPr="007438FB">
              <w:rPr>
                <w:rFonts w:ascii="Century Gothic" w:eastAsia="Times New Roman" w:hAnsi="Century Gothic"/>
                <w:b/>
                <w:bCs/>
              </w:rPr>
              <w:t>1</w:t>
            </w:r>
            <w:proofErr w:type="gramStart"/>
            <w:r w:rsidRPr="007438FB">
              <w:rPr>
                <w:rFonts w:ascii="Century Gothic" w:eastAsia="Times New Roman" w:hAnsi="Century Gothic"/>
                <w:b/>
                <w:bCs/>
              </w:rPr>
              <w:t>.</w:t>
            </w:r>
            <w:r w:rsidRPr="007438FB">
              <w:rPr>
                <w:rFonts w:ascii="Century Gothic" w:eastAsia="Times New Roman" w:hAnsi="Century Gothic"/>
              </w:rPr>
              <w:t xml:space="preserve"> </w:t>
            </w:r>
            <w:r w:rsidR="000F3DAA" w:rsidRPr="007438FB">
              <w:rPr>
                <w:rFonts w:ascii="Century Gothic" w:hAnsi="Century Gothic"/>
              </w:rPr>
              <w:tab/>
            </w:r>
            <w:r w:rsidR="0069193F">
              <w:rPr>
                <w:rFonts w:ascii="Century Gothic" w:eastAsia="Times New Roman" w:hAnsi="Century Gothic"/>
              </w:rPr>
              <w:t>Continue</w:t>
            </w:r>
            <w:proofErr w:type="gramEnd"/>
            <w:r w:rsidR="0069193F">
              <w:rPr>
                <w:rFonts w:ascii="Century Gothic" w:eastAsia="Times New Roman" w:hAnsi="Century Gothic"/>
              </w:rPr>
              <w:t xml:space="preserve"> the</w:t>
            </w:r>
            <w:r w:rsidRPr="007438FB">
              <w:rPr>
                <w:rFonts w:ascii="Century Gothic" w:eastAsia="Times New Roman" w:hAnsi="Century Gothic"/>
              </w:rPr>
              <w:t xml:space="preserve"> MTW CARES initiative to move families toward self-sufficiency with program evaluation and documentation of impact findings</w:t>
            </w:r>
          </w:p>
          <w:p w14:paraId="75FA5DAA" w14:textId="073D9063" w:rsidR="000F3DAA" w:rsidRPr="007438FB" w:rsidRDefault="3B9F1032" w:rsidP="6E9E055C">
            <w:pPr>
              <w:spacing w:before="120"/>
              <w:ind w:left="274" w:hanging="274"/>
              <w:rPr>
                <w:rFonts w:ascii="Century Gothic" w:eastAsia="Times New Roman" w:hAnsi="Century Gothic"/>
              </w:rPr>
            </w:pPr>
            <w:r w:rsidRPr="007438FB">
              <w:rPr>
                <w:rFonts w:ascii="Century Gothic" w:eastAsia="Times New Roman" w:hAnsi="Century Gothic"/>
                <w:b/>
                <w:bCs/>
              </w:rPr>
              <w:t>2</w:t>
            </w:r>
            <w:proofErr w:type="gramStart"/>
            <w:r w:rsidRPr="007438FB">
              <w:rPr>
                <w:rFonts w:ascii="Century Gothic" w:eastAsia="Times New Roman" w:hAnsi="Century Gothic"/>
                <w:b/>
                <w:bCs/>
              </w:rPr>
              <w:t>.</w:t>
            </w:r>
            <w:r w:rsidRPr="007438FB">
              <w:rPr>
                <w:rFonts w:ascii="Century Gothic" w:eastAsia="Times New Roman" w:hAnsi="Century Gothic"/>
              </w:rPr>
              <w:t xml:space="preserve"> </w:t>
            </w:r>
            <w:r w:rsidR="000F3DAA" w:rsidRPr="007438FB">
              <w:rPr>
                <w:rFonts w:ascii="Century Gothic" w:hAnsi="Century Gothic"/>
              </w:rPr>
              <w:tab/>
            </w:r>
            <w:r w:rsidRPr="007438FB">
              <w:rPr>
                <w:rFonts w:ascii="Century Gothic" w:eastAsia="Times New Roman" w:hAnsi="Century Gothic"/>
              </w:rPr>
              <w:t>Support</w:t>
            </w:r>
            <w:proofErr w:type="gramEnd"/>
            <w:r w:rsidRPr="007438FB">
              <w:rPr>
                <w:rFonts w:ascii="Century Gothic" w:eastAsia="Times New Roman" w:hAnsi="Century Gothic"/>
              </w:rPr>
              <w:t xml:space="preserve"> residents’ entrepreneurial endeavors</w:t>
            </w:r>
          </w:p>
          <w:p w14:paraId="20E83A58" w14:textId="77777777" w:rsidR="000F3DAA" w:rsidRPr="007438FB" w:rsidRDefault="3B9F1032" w:rsidP="6E9E055C">
            <w:pPr>
              <w:spacing w:before="120"/>
              <w:ind w:left="274" w:hanging="274"/>
              <w:rPr>
                <w:rFonts w:ascii="Century Gothic" w:eastAsia="Times New Roman" w:hAnsi="Century Gothic"/>
                <w:b/>
                <w:bCs/>
              </w:rPr>
            </w:pPr>
            <w:r w:rsidRPr="007438FB">
              <w:rPr>
                <w:rFonts w:ascii="Century Gothic" w:eastAsia="Times New Roman" w:hAnsi="Century Gothic"/>
                <w:b/>
                <w:bCs/>
              </w:rPr>
              <w:t>3.</w:t>
            </w:r>
            <w:r w:rsidRPr="007438FB">
              <w:rPr>
                <w:rFonts w:ascii="Century Gothic" w:eastAsia="Times New Roman" w:hAnsi="Century Gothic"/>
              </w:rPr>
              <w:t xml:space="preserve"> </w:t>
            </w:r>
            <w:r w:rsidR="000F3DAA" w:rsidRPr="007438FB">
              <w:rPr>
                <w:rFonts w:ascii="Century Gothic" w:hAnsi="Century Gothic"/>
              </w:rPr>
              <w:tab/>
            </w:r>
            <w:r w:rsidRPr="007438FB">
              <w:rPr>
                <w:rFonts w:ascii="Century Gothic" w:eastAsia="Times New Roman" w:hAnsi="Century Gothic"/>
              </w:rPr>
              <w:t>Offer cost-effective training programs with increasing resident participation</w:t>
            </w:r>
          </w:p>
          <w:p w14:paraId="081317EA" w14:textId="77777777" w:rsidR="000F3DAA" w:rsidRPr="007438FB" w:rsidRDefault="3B9F1032" w:rsidP="6E9E055C">
            <w:pPr>
              <w:spacing w:before="120"/>
              <w:ind w:left="274" w:hanging="274"/>
              <w:rPr>
                <w:rFonts w:ascii="Century Gothic" w:eastAsia="Times New Roman" w:hAnsi="Century Gothic"/>
              </w:rPr>
            </w:pPr>
            <w:r w:rsidRPr="007438FB">
              <w:rPr>
                <w:rFonts w:ascii="Century Gothic" w:eastAsia="Times New Roman" w:hAnsi="Century Gothic"/>
                <w:b/>
                <w:bCs/>
              </w:rPr>
              <w:t>4</w:t>
            </w:r>
            <w:proofErr w:type="gramStart"/>
            <w:r w:rsidRPr="007438FB">
              <w:rPr>
                <w:rFonts w:ascii="Century Gothic" w:eastAsia="Times New Roman" w:hAnsi="Century Gothic"/>
                <w:b/>
                <w:bCs/>
              </w:rPr>
              <w:t>.</w:t>
            </w:r>
            <w:r w:rsidRPr="007438FB">
              <w:rPr>
                <w:rFonts w:ascii="Century Gothic" w:eastAsia="Times New Roman" w:hAnsi="Century Gothic"/>
              </w:rPr>
              <w:t xml:space="preserve"> </w:t>
            </w:r>
            <w:r w:rsidR="000F3DAA" w:rsidRPr="007438FB">
              <w:rPr>
                <w:rFonts w:ascii="Century Gothic" w:hAnsi="Century Gothic"/>
              </w:rPr>
              <w:tab/>
            </w:r>
            <w:r w:rsidRPr="007438FB">
              <w:rPr>
                <w:rFonts w:ascii="Century Gothic" w:eastAsia="Times New Roman" w:hAnsi="Century Gothic"/>
              </w:rPr>
              <w:t>Partner</w:t>
            </w:r>
            <w:proofErr w:type="gramEnd"/>
            <w:r w:rsidRPr="007438FB">
              <w:rPr>
                <w:rFonts w:ascii="Century Gothic" w:eastAsia="Times New Roman" w:hAnsi="Century Gothic"/>
              </w:rPr>
              <w:t xml:space="preserve"> with local school system to support student academic progress and attainment</w:t>
            </w:r>
          </w:p>
          <w:p w14:paraId="5F892C98" w14:textId="77777777" w:rsidR="000F3DAA" w:rsidRPr="007438FB" w:rsidRDefault="3B9F1032" w:rsidP="6E9E055C">
            <w:pPr>
              <w:spacing w:before="120"/>
              <w:ind w:left="274" w:hanging="274"/>
              <w:rPr>
                <w:rFonts w:ascii="Century Gothic" w:eastAsia="Times New Roman" w:hAnsi="Century Gothic"/>
                <w:b/>
                <w:bCs/>
              </w:rPr>
            </w:pPr>
            <w:r w:rsidRPr="007438FB">
              <w:rPr>
                <w:rFonts w:ascii="Century Gothic" w:eastAsia="Times New Roman" w:hAnsi="Century Gothic"/>
                <w:b/>
                <w:bCs/>
              </w:rPr>
              <w:t>5.</w:t>
            </w:r>
            <w:r w:rsidRPr="007438FB">
              <w:rPr>
                <w:rFonts w:ascii="Century Gothic" w:eastAsia="Times New Roman" w:hAnsi="Century Gothic"/>
              </w:rPr>
              <w:t xml:space="preserve"> Support families’ transition to self-sufficiency.</w:t>
            </w:r>
          </w:p>
          <w:p w14:paraId="3E1A48D0" w14:textId="7F2415D9" w:rsidR="37711632" w:rsidRPr="007438FB" w:rsidRDefault="37711632" w:rsidP="6E9E055C">
            <w:pPr>
              <w:ind w:left="274" w:hanging="274"/>
              <w:rPr>
                <w:rFonts w:ascii="Century Gothic" w:eastAsia="Times New Roman" w:hAnsi="Century Gothic"/>
                <w:color w:val="000000" w:themeColor="text1"/>
                <w:sz w:val="24"/>
              </w:rPr>
            </w:pPr>
          </w:p>
        </w:tc>
      </w:tr>
    </w:tbl>
    <w:p w14:paraId="1E8B8D6F" w14:textId="0A1E7233" w:rsidR="7F386095" w:rsidRPr="007438FB" w:rsidRDefault="004F14EE">
      <w:pPr>
        <w:rPr>
          <w:rFonts w:ascii="Century Gothic" w:eastAsia="MS PGothic" w:hAnsi="Century Gothic"/>
          <w:szCs w:val="22"/>
        </w:rPr>
      </w:pPr>
      <w:r w:rsidRPr="007438FB">
        <w:rPr>
          <w:rFonts w:ascii="Century Gothic" w:hAnsi="Century Gothic"/>
          <w:noProof/>
        </w:rPr>
        <mc:AlternateContent>
          <mc:Choice Requires="wpg">
            <w:drawing>
              <wp:anchor distT="0" distB="0" distL="114300" distR="114300" simplePos="0" relativeHeight="251658257" behindDoc="0" locked="0" layoutInCell="1" allowOverlap="1" wp14:anchorId="363D92D2" wp14:editId="500A2F66">
                <wp:simplePos x="0" y="0"/>
                <wp:positionH relativeFrom="page">
                  <wp:align>left</wp:align>
                </wp:positionH>
                <wp:positionV relativeFrom="paragraph">
                  <wp:posOffset>-6071646</wp:posOffset>
                </wp:positionV>
                <wp:extent cx="698238" cy="2444115"/>
                <wp:effectExtent l="0" t="0" r="6985" b="0"/>
                <wp:wrapNone/>
                <wp:docPr id="48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238" cy="2444115"/>
                          <a:chOff x="24" y="432"/>
                          <a:chExt cx="1657" cy="6216"/>
                        </a:xfrm>
                      </wpg:grpSpPr>
                      <wps:wsp>
                        <wps:cNvPr id="309" name="AutoShape 46"/>
                        <wps:cNvSpPr>
                          <a:spLocks noChangeArrowheads="1"/>
                        </wps:cNvSpPr>
                        <wps:spPr bwMode="auto">
                          <a:xfrm>
                            <a:off x="24" y="432"/>
                            <a:ext cx="828" cy="6216"/>
                          </a:xfrm>
                          <a:prstGeom prst="roundRect">
                            <a:avLst>
                              <a:gd name="adj" fmla="val 16667"/>
                            </a:avLst>
                          </a:prstGeom>
                          <a:solidFill>
                            <a:schemeClr val="accent2">
                              <a:alpha val="85001"/>
                            </a:schemeClr>
                          </a:solidFill>
                          <a:ln>
                            <a:noFill/>
                          </a:ln>
                        </wps:spPr>
                        <wps:bodyPr rot="0" vert="horz" wrap="square" lIns="91440" tIns="45720" rIns="91440" bIns="45720" anchor="t" anchorCtr="0" upright="1">
                          <a:noAutofit/>
                        </wps:bodyPr>
                      </wps:wsp>
                      <wps:wsp>
                        <wps:cNvPr id="310" name="Text Box 2"/>
                        <wps:cNvSpPr txBox="1">
                          <a:spLocks noChangeArrowheads="1"/>
                        </wps:cNvSpPr>
                        <wps:spPr bwMode="auto">
                          <a:xfrm>
                            <a:off x="747" y="541"/>
                            <a:ext cx="934" cy="5239"/>
                          </a:xfrm>
                          <a:prstGeom prst="rect">
                            <a:avLst/>
                          </a:prstGeom>
                          <a:solidFill>
                            <a:srgbClr val="FFFFFF"/>
                          </a:solidFill>
                          <a:ln>
                            <a:noFill/>
                          </a:ln>
                        </wps:spPr>
                        <wps:txbx>
                          <w:txbxContent>
                            <w:p w14:paraId="3057B26E" w14:textId="77777777" w:rsidR="009F26DD" w:rsidRPr="00A047DF" w:rsidRDefault="009F26DD" w:rsidP="00DA6BDF">
                              <w:pPr>
                                <w:rPr>
                                  <w:b/>
                                  <w:sz w:val="28"/>
                                  <w:szCs w:val="28"/>
                                </w:rPr>
                              </w:pPr>
                              <w:r w:rsidRPr="00A047DF">
                                <w:rPr>
                                  <w:b/>
                                  <w:sz w:val="28"/>
                                  <w:szCs w:val="28"/>
                                </w:rPr>
                                <w:t>SHORT TERM GOALS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D92D2" id="Group 1" o:spid="_x0000_s1029" style="position:absolute;margin-left:0;margin-top:-478.1pt;width:55pt;height:192.45pt;z-index:251658257;mso-position-horizontal:left;mso-position-horizontal-relative:page" coordorigin="24,432" coordsize="1657,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">
                <v:roundrect id="AutoShape 46" o:spid="_x0000_s1030" style="position:absolute;left:24;top:432;width:828;height:62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" fillcolor="#b5333c [3205]" stroked="f">
                  <v:fill opacity="55769f"/>
                </v:roundrect>
                <v:shape id="_x0000_s1031" type="#_x0000_t202" style="position:absolute;left:747;top:541;width:93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" stroked="f">
                  <v:textbox style="layout-flow:vertical;mso-layout-flow-alt:bottom-to-top">
                    <w:txbxContent>
                      <w:p w14:paraId="3057B26E" w14:textId="77777777" w:rsidR="009F26DD" w:rsidRPr="00A047DF" w:rsidRDefault="009F26DD" w:rsidP="00DA6BDF">
                        <w:pPr>
                          <w:rPr>
                            <w:b/>
                            <w:sz w:val="28"/>
                            <w:szCs w:val="28"/>
                          </w:rPr>
                        </w:pPr>
                        <w:r w:rsidRPr="00A047DF">
                          <w:rPr>
                            <w:b/>
                            <w:sz w:val="28"/>
                            <w:szCs w:val="28"/>
                          </w:rPr>
                          <w:t>SHORT TERM GOALS</w:t>
                        </w:r>
                      </w:p>
                    </w:txbxContent>
                  </v:textbox>
                </v:shape>
                <w10:wrap anchorx="page"/>
              </v:group>
            </w:pict>
          </mc:Fallback>
        </mc:AlternateContent>
      </w:r>
    </w:p>
    <w:p w14:paraId="5DB4810A" w14:textId="55FD5CB0" w:rsidR="7F386095" w:rsidRDefault="7F386095" w:rsidP="7F386095">
      <w:pPr>
        <w:spacing w:before="120" w:after="120"/>
        <w:rPr>
          <w:rStyle w:val="n2letterChar"/>
          <w:rFonts w:ascii="Calibri" w:eastAsia="MS PGothic" w:hAnsi="Calibri"/>
          <w:b w:val="0"/>
          <w:bCs w:val="0"/>
          <w:sz w:val="22"/>
          <w:szCs w:val="22"/>
        </w:rPr>
      </w:pPr>
    </w:p>
    <w:p w14:paraId="47B8AAF8" w14:textId="764F2651" w:rsidR="00603FC9" w:rsidRPr="0020355D" w:rsidRDefault="00603FC9" w:rsidP="00155278">
      <w:pPr>
        <w:spacing w:after="160" w:line="276" w:lineRule="auto"/>
        <w:rPr>
          <w:rFonts w:ascii="Times New Roman" w:hAnsi="Times New Roman"/>
        </w:rPr>
        <w:sectPr w:rsidR="00603FC9" w:rsidRPr="0020355D" w:rsidSect="00877675">
          <w:headerReference w:type="default" r:id="rId22"/>
          <w:headerReference w:type="first" r:id="rId23"/>
          <w:pgSz w:w="12240" w:h="15840"/>
          <w:pgMar w:top="1152" w:right="1152" w:bottom="1152" w:left="1152" w:header="720" w:footer="720" w:gutter="0"/>
          <w:cols w:space="720"/>
          <w:titlePg/>
          <w:docGrid w:linePitch="360"/>
        </w:sectPr>
      </w:pPr>
    </w:p>
    <w:p w14:paraId="4E94BB74" w14:textId="53A3B9C5" w:rsidR="007729F5" w:rsidRPr="007438FB" w:rsidRDefault="43EE8683" w:rsidP="000E3707">
      <w:pPr>
        <w:pBdr>
          <w:top w:val="single" w:sz="4" w:space="1" w:color="auto"/>
          <w:left w:val="single" w:sz="4" w:space="1" w:color="auto"/>
          <w:bottom w:val="single" w:sz="4" w:space="1" w:color="auto"/>
          <w:right w:val="single" w:sz="4" w:space="1" w:color="auto"/>
        </w:pBdr>
        <w:rPr>
          <w:rFonts w:ascii="Century Gothic" w:eastAsia="Times New Roman" w:hAnsi="Century Gothic"/>
          <w:b/>
          <w:bCs/>
          <w:color w:val="C0504D"/>
          <w:szCs w:val="22"/>
        </w:rPr>
      </w:pPr>
      <w:bookmarkStart w:id="32" w:name="_Toc470178816"/>
      <w:bookmarkStart w:id="33" w:name="_Toc470179720"/>
      <w:bookmarkEnd w:id="27"/>
      <w:bookmarkEnd w:id="28"/>
      <w:bookmarkEnd w:id="29"/>
      <w:bookmarkEnd w:id="30"/>
      <w:bookmarkEnd w:id="31"/>
      <w:r w:rsidRPr="007438FB">
        <w:rPr>
          <w:rFonts w:ascii="Century Gothic" w:eastAsia="Times New Roman" w:hAnsi="Century Gothic"/>
          <w:b/>
          <w:bCs/>
          <w:color w:val="C0504D"/>
          <w:szCs w:val="22"/>
        </w:rPr>
        <w:lastRenderedPageBreak/>
        <w:t>DELIVER COST EFFECTIVE SOLUTIONS</w:t>
      </w:r>
    </w:p>
    <w:p w14:paraId="7EBD96B4" w14:textId="77777777" w:rsidR="004A09A4" w:rsidRPr="007438FB" w:rsidRDefault="4008F42F" w:rsidP="000E3707">
      <w:pPr>
        <w:pBdr>
          <w:top w:val="single" w:sz="4" w:space="1" w:color="auto"/>
          <w:left w:val="single" w:sz="4" w:space="1" w:color="auto"/>
          <w:bottom w:val="single" w:sz="4" w:space="1" w:color="auto"/>
          <w:right w:val="single" w:sz="4" w:space="1" w:color="auto"/>
        </w:pBdr>
        <w:spacing w:before="120"/>
        <w:ind w:left="274" w:hanging="274"/>
        <w:rPr>
          <w:rFonts w:ascii="Century Gothic" w:eastAsia="Times New Roman" w:hAnsi="Century Gothic"/>
          <w:color w:val="000000"/>
          <w:szCs w:val="22"/>
        </w:rPr>
      </w:pPr>
      <w:r w:rsidRPr="007438FB">
        <w:rPr>
          <w:rFonts w:ascii="Century Gothic" w:eastAsia="Times New Roman" w:hAnsi="Century Gothic"/>
          <w:b/>
          <w:bCs/>
          <w:color w:val="000000" w:themeColor="text1"/>
          <w:szCs w:val="22"/>
        </w:rPr>
        <w:t>1.</w:t>
      </w:r>
      <w:r w:rsidR="004A09A4" w:rsidRPr="007438FB">
        <w:rPr>
          <w:rFonts w:ascii="Century Gothic" w:hAnsi="Century Gothic"/>
        </w:rPr>
        <w:tab/>
      </w:r>
      <w:r w:rsidRPr="007438FB">
        <w:rPr>
          <w:rFonts w:ascii="Century Gothic" w:eastAsia="Times New Roman" w:hAnsi="Century Gothic"/>
          <w:color w:val="000000" w:themeColor="text1"/>
          <w:szCs w:val="22"/>
        </w:rPr>
        <w:t>Explore regional provision of housing authority services on a fee-for-service basis</w:t>
      </w:r>
    </w:p>
    <w:p w14:paraId="4A4B7C77" w14:textId="77777777" w:rsidR="004A09A4" w:rsidRPr="007438FB" w:rsidRDefault="4008F42F" w:rsidP="000E3707">
      <w:pPr>
        <w:pBdr>
          <w:top w:val="single" w:sz="4" w:space="1" w:color="auto"/>
          <w:left w:val="single" w:sz="4" w:space="1" w:color="auto"/>
          <w:bottom w:val="single" w:sz="4" w:space="1" w:color="auto"/>
          <w:right w:val="single" w:sz="4" w:space="1" w:color="auto"/>
        </w:pBdr>
        <w:spacing w:before="120"/>
        <w:ind w:left="274" w:hanging="274"/>
        <w:rPr>
          <w:rFonts w:ascii="Century Gothic" w:eastAsia="Times New Roman" w:hAnsi="Century Gothic"/>
          <w:color w:val="000000"/>
          <w:szCs w:val="22"/>
        </w:rPr>
      </w:pPr>
      <w:r w:rsidRPr="007438FB">
        <w:rPr>
          <w:rFonts w:ascii="Century Gothic" w:eastAsia="Times New Roman" w:hAnsi="Century Gothic"/>
          <w:b/>
          <w:bCs/>
          <w:color w:val="000000" w:themeColor="text1"/>
          <w:szCs w:val="22"/>
        </w:rPr>
        <w:t>2</w:t>
      </w:r>
      <w:proofErr w:type="gramStart"/>
      <w:r w:rsidRPr="007438FB">
        <w:rPr>
          <w:rFonts w:ascii="Century Gothic" w:eastAsia="Times New Roman" w:hAnsi="Century Gothic"/>
          <w:b/>
          <w:bCs/>
          <w:color w:val="000000" w:themeColor="text1"/>
          <w:szCs w:val="22"/>
        </w:rPr>
        <w:t>.</w:t>
      </w:r>
      <w:r w:rsidRPr="007438FB">
        <w:rPr>
          <w:rFonts w:ascii="Century Gothic" w:eastAsia="Times New Roman" w:hAnsi="Century Gothic"/>
          <w:color w:val="000000" w:themeColor="text1"/>
          <w:szCs w:val="22"/>
        </w:rPr>
        <w:t xml:space="preserve"> </w:t>
      </w:r>
      <w:r w:rsidR="004A09A4" w:rsidRPr="007438FB">
        <w:rPr>
          <w:rFonts w:ascii="Century Gothic" w:hAnsi="Century Gothic"/>
        </w:rPr>
        <w:tab/>
      </w:r>
      <w:r w:rsidRPr="007438FB">
        <w:rPr>
          <w:rFonts w:ascii="Century Gothic" w:eastAsia="Times New Roman" w:hAnsi="Century Gothic"/>
          <w:color w:val="000000" w:themeColor="text1"/>
          <w:szCs w:val="22"/>
        </w:rPr>
        <w:t>Complete</w:t>
      </w:r>
      <w:proofErr w:type="gramEnd"/>
      <w:r w:rsidRPr="007438FB">
        <w:rPr>
          <w:rFonts w:ascii="Century Gothic" w:eastAsia="Times New Roman" w:hAnsi="Century Gothic"/>
          <w:color w:val="000000" w:themeColor="text1"/>
          <w:szCs w:val="22"/>
        </w:rPr>
        <w:t xml:space="preserve"> disposition and/or conversion of remaining non-performing assets</w:t>
      </w:r>
    </w:p>
    <w:p w14:paraId="4CF2AB7C" w14:textId="77777777" w:rsidR="004A09A4" w:rsidRPr="007438FB" w:rsidRDefault="4008F42F" w:rsidP="000E3707">
      <w:pPr>
        <w:pBdr>
          <w:top w:val="single" w:sz="4" w:space="1" w:color="auto"/>
          <w:left w:val="single" w:sz="4" w:space="1" w:color="auto"/>
          <w:bottom w:val="single" w:sz="4" w:space="1" w:color="auto"/>
          <w:right w:val="single" w:sz="4" w:space="1" w:color="auto"/>
        </w:pBdr>
        <w:spacing w:before="120"/>
        <w:ind w:left="274" w:hanging="274"/>
        <w:rPr>
          <w:rFonts w:ascii="Century Gothic" w:eastAsia="Times New Roman" w:hAnsi="Century Gothic"/>
          <w:color w:val="000000"/>
          <w:szCs w:val="22"/>
        </w:rPr>
      </w:pPr>
      <w:r w:rsidRPr="007438FB">
        <w:rPr>
          <w:rFonts w:ascii="Century Gothic" w:eastAsia="Times New Roman" w:hAnsi="Century Gothic"/>
          <w:b/>
          <w:bCs/>
          <w:color w:val="000000" w:themeColor="text1"/>
          <w:szCs w:val="22"/>
        </w:rPr>
        <w:t>3</w:t>
      </w:r>
      <w:proofErr w:type="gramStart"/>
      <w:r w:rsidRPr="007438FB">
        <w:rPr>
          <w:rFonts w:ascii="Century Gothic" w:eastAsia="Times New Roman" w:hAnsi="Century Gothic"/>
          <w:b/>
          <w:bCs/>
          <w:color w:val="000000" w:themeColor="text1"/>
          <w:szCs w:val="22"/>
        </w:rPr>
        <w:t>.</w:t>
      </w:r>
      <w:r w:rsidRPr="007438FB">
        <w:rPr>
          <w:rFonts w:ascii="Century Gothic" w:eastAsia="Times New Roman" w:hAnsi="Century Gothic"/>
          <w:color w:val="000000" w:themeColor="text1"/>
          <w:szCs w:val="22"/>
        </w:rPr>
        <w:t xml:space="preserve"> </w:t>
      </w:r>
      <w:r w:rsidR="004A09A4" w:rsidRPr="007438FB">
        <w:rPr>
          <w:rFonts w:ascii="Century Gothic" w:hAnsi="Century Gothic"/>
        </w:rPr>
        <w:tab/>
      </w:r>
      <w:r w:rsidRPr="007438FB">
        <w:rPr>
          <w:rFonts w:ascii="Century Gothic" w:eastAsia="Times New Roman" w:hAnsi="Century Gothic"/>
          <w:color w:val="000000" w:themeColor="text1"/>
          <w:szCs w:val="22"/>
        </w:rPr>
        <w:t>Continue</w:t>
      </w:r>
      <w:proofErr w:type="gramEnd"/>
      <w:r w:rsidRPr="007438FB">
        <w:rPr>
          <w:rFonts w:ascii="Century Gothic" w:eastAsia="Times New Roman" w:hAnsi="Century Gothic"/>
          <w:color w:val="000000" w:themeColor="text1"/>
          <w:szCs w:val="22"/>
        </w:rPr>
        <w:t xml:space="preserve"> investment in technology to reduce administrative burden and create model wired and wireless communities</w:t>
      </w:r>
    </w:p>
    <w:p w14:paraId="14A98E1D" w14:textId="77777777" w:rsidR="004A09A4" w:rsidRPr="007438FB" w:rsidRDefault="4008F42F" w:rsidP="000E3707">
      <w:pPr>
        <w:pBdr>
          <w:top w:val="single" w:sz="4" w:space="1" w:color="auto"/>
          <w:left w:val="single" w:sz="4" w:space="1" w:color="auto"/>
          <w:bottom w:val="single" w:sz="4" w:space="1" w:color="auto"/>
          <w:right w:val="single" w:sz="4" w:space="1" w:color="auto"/>
        </w:pBdr>
        <w:spacing w:before="120" w:after="240"/>
        <w:ind w:left="274" w:hanging="274"/>
        <w:rPr>
          <w:rFonts w:ascii="Century Gothic" w:eastAsia="Times New Roman" w:hAnsi="Century Gothic"/>
          <w:color w:val="000000"/>
          <w:szCs w:val="22"/>
        </w:rPr>
      </w:pPr>
      <w:r w:rsidRPr="007438FB">
        <w:rPr>
          <w:rFonts w:ascii="Century Gothic" w:eastAsia="Times New Roman" w:hAnsi="Century Gothic"/>
          <w:b/>
          <w:bCs/>
          <w:color w:val="000000" w:themeColor="text1"/>
          <w:szCs w:val="22"/>
        </w:rPr>
        <w:t>4</w:t>
      </w:r>
      <w:proofErr w:type="gramStart"/>
      <w:r w:rsidRPr="007438FB">
        <w:rPr>
          <w:rFonts w:ascii="Century Gothic" w:eastAsia="Times New Roman" w:hAnsi="Century Gothic"/>
          <w:b/>
          <w:bCs/>
          <w:color w:val="000000" w:themeColor="text1"/>
          <w:szCs w:val="22"/>
        </w:rPr>
        <w:t>.</w:t>
      </w:r>
      <w:r w:rsidRPr="007438FB">
        <w:rPr>
          <w:rFonts w:ascii="Century Gothic" w:eastAsia="Times New Roman" w:hAnsi="Century Gothic"/>
          <w:color w:val="000000" w:themeColor="text1"/>
          <w:szCs w:val="22"/>
        </w:rPr>
        <w:t xml:space="preserve"> </w:t>
      </w:r>
      <w:r w:rsidR="004A09A4" w:rsidRPr="007438FB">
        <w:rPr>
          <w:rFonts w:ascii="Century Gothic" w:hAnsi="Century Gothic"/>
        </w:rPr>
        <w:tab/>
      </w:r>
      <w:r w:rsidRPr="007438FB">
        <w:rPr>
          <w:rFonts w:ascii="Century Gothic" w:eastAsia="Times New Roman" w:hAnsi="Century Gothic"/>
          <w:color w:val="000000" w:themeColor="text1"/>
          <w:szCs w:val="22"/>
        </w:rPr>
        <w:t>Continue</w:t>
      </w:r>
      <w:proofErr w:type="gramEnd"/>
      <w:r w:rsidRPr="007438FB">
        <w:rPr>
          <w:rFonts w:ascii="Century Gothic" w:eastAsia="Times New Roman" w:hAnsi="Century Gothic"/>
          <w:color w:val="000000" w:themeColor="text1"/>
          <w:szCs w:val="22"/>
        </w:rPr>
        <w:t xml:space="preserve"> investment in energy efficiency initiatives </w:t>
      </w:r>
    </w:p>
    <w:p w14:paraId="0B6E8EED" w14:textId="5089A8D8" w:rsidR="007729F5" w:rsidRPr="007438FB" w:rsidRDefault="43EE8683" w:rsidP="000E3707">
      <w:pPr>
        <w:pBdr>
          <w:top w:val="single" w:sz="4" w:space="1" w:color="auto"/>
          <w:left w:val="single" w:sz="4" w:space="1" w:color="auto"/>
          <w:bottom w:val="single" w:sz="4" w:space="1" w:color="auto"/>
          <w:right w:val="single" w:sz="4" w:space="1" w:color="auto"/>
        </w:pBdr>
        <w:ind w:left="274" w:hanging="274"/>
        <w:rPr>
          <w:rFonts w:ascii="Century Gothic" w:eastAsia="Times New Roman" w:hAnsi="Century Gothic"/>
          <w:b/>
          <w:bCs/>
          <w:color w:val="C0504D"/>
          <w:szCs w:val="22"/>
        </w:rPr>
      </w:pPr>
      <w:r w:rsidRPr="007438FB">
        <w:rPr>
          <w:rFonts w:ascii="Century Gothic" w:eastAsia="Times New Roman" w:hAnsi="Century Gothic"/>
          <w:b/>
          <w:bCs/>
          <w:color w:val="C0504D"/>
          <w:szCs w:val="22"/>
        </w:rPr>
        <w:t>EXPAND HOUSING CHOICE</w:t>
      </w:r>
    </w:p>
    <w:p w14:paraId="413C0845" w14:textId="37F25DD1" w:rsidR="004A09A4" w:rsidRPr="007438FB" w:rsidRDefault="2042306A" w:rsidP="000E3707">
      <w:pPr>
        <w:pBdr>
          <w:top w:val="single" w:sz="4" w:space="1" w:color="auto"/>
          <w:left w:val="single" w:sz="4" w:space="1" w:color="auto"/>
          <w:bottom w:val="single" w:sz="4" w:space="1" w:color="auto"/>
          <w:right w:val="single" w:sz="4" w:space="1" w:color="auto"/>
        </w:pBdr>
        <w:spacing w:before="120"/>
        <w:ind w:left="270" w:hanging="270"/>
        <w:rPr>
          <w:rFonts w:ascii="Century Gothic" w:eastAsia="Times New Roman" w:hAnsi="Century Gothic"/>
          <w:szCs w:val="22"/>
        </w:rPr>
      </w:pPr>
      <w:r w:rsidRPr="007438FB">
        <w:rPr>
          <w:rFonts w:ascii="Century Gothic" w:eastAsia="Times New Roman" w:hAnsi="Century Gothic"/>
          <w:b/>
          <w:bCs/>
          <w:szCs w:val="22"/>
        </w:rPr>
        <w:t>1</w:t>
      </w:r>
      <w:proofErr w:type="gramStart"/>
      <w:r w:rsidRPr="007438FB">
        <w:rPr>
          <w:rFonts w:ascii="Century Gothic" w:eastAsia="Times New Roman" w:hAnsi="Century Gothic"/>
          <w:b/>
          <w:bCs/>
          <w:szCs w:val="22"/>
        </w:rPr>
        <w:t>.</w:t>
      </w:r>
      <w:r w:rsidRPr="007438FB">
        <w:rPr>
          <w:rFonts w:ascii="Century Gothic" w:eastAsia="Times New Roman" w:hAnsi="Century Gothic"/>
          <w:szCs w:val="22"/>
        </w:rPr>
        <w:t xml:space="preserve"> </w:t>
      </w:r>
      <w:r w:rsidR="17501F2C" w:rsidRPr="007438FB">
        <w:rPr>
          <w:rFonts w:ascii="Century Gothic" w:hAnsi="Century Gothic"/>
        </w:rPr>
        <w:tab/>
      </w:r>
      <w:r w:rsidRPr="007438FB">
        <w:rPr>
          <w:rFonts w:ascii="Century Gothic" w:eastAsia="Times New Roman" w:hAnsi="Century Gothic"/>
          <w:szCs w:val="22"/>
        </w:rPr>
        <w:t>Complete</w:t>
      </w:r>
      <w:proofErr w:type="gramEnd"/>
      <w:r w:rsidRPr="007438FB">
        <w:rPr>
          <w:rFonts w:ascii="Century Gothic" w:eastAsia="Times New Roman" w:hAnsi="Century Gothic"/>
          <w:szCs w:val="22"/>
        </w:rPr>
        <w:t xml:space="preserve"> final revitalization effort of </w:t>
      </w:r>
      <w:r w:rsidR="41210090" w:rsidRPr="007438FB">
        <w:rPr>
          <w:rFonts w:ascii="Century Gothic" w:eastAsia="Times New Roman" w:hAnsi="Century Gothic"/>
          <w:szCs w:val="22"/>
        </w:rPr>
        <w:t>ECC/</w:t>
      </w:r>
      <w:r w:rsidRPr="007438FB">
        <w:rPr>
          <w:rFonts w:ascii="Century Gothic" w:eastAsia="Times New Roman" w:hAnsi="Century Gothic"/>
          <w:szCs w:val="22"/>
        </w:rPr>
        <w:t>HANH’s public housing stock through revitalization/redevelopment or disposition of remaining poor-performing assets</w:t>
      </w:r>
    </w:p>
    <w:p w14:paraId="371604C0" w14:textId="77777777" w:rsidR="004A09A4" w:rsidRPr="007438FB" w:rsidRDefault="4008F42F" w:rsidP="000E3707">
      <w:pPr>
        <w:pBdr>
          <w:top w:val="single" w:sz="4" w:space="1" w:color="auto"/>
          <w:left w:val="single" w:sz="4" w:space="1" w:color="auto"/>
          <w:bottom w:val="single" w:sz="4" w:space="1" w:color="auto"/>
          <w:right w:val="single" w:sz="4" w:space="1" w:color="auto"/>
        </w:pBdr>
        <w:spacing w:before="120"/>
        <w:ind w:left="270" w:hanging="270"/>
        <w:rPr>
          <w:rFonts w:ascii="Century Gothic" w:eastAsia="Times New Roman" w:hAnsi="Century Gothic"/>
          <w:szCs w:val="22"/>
        </w:rPr>
      </w:pPr>
      <w:r w:rsidRPr="007438FB">
        <w:rPr>
          <w:rFonts w:ascii="Century Gothic" w:eastAsia="Times New Roman" w:hAnsi="Century Gothic"/>
          <w:b/>
          <w:bCs/>
          <w:szCs w:val="22"/>
        </w:rPr>
        <w:t>2.</w:t>
      </w:r>
      <w:r w:rsidR="004A09A4" w:rsidRPr="007438FB">
        <w:rPr>
          <w:rFonts w:ascii="Century Gothic" w:hAnsi="Century Gothic"/>
        </w:rPr>
        <w:tab/>
      </w:r>
      <w:r w:rsidRPr="007438FB">
        <w:rPr>
          <w:rFonts w:ascii="Century Gothic" w:eastAsia="Times New Roman" w:hAnsi="Century Gothic"/>
          <w:szCs w:val="22"/>
        </w:rPr>
        <w:t xml:space="preserve">Address housing crisis experienced by marginalized populations.  </w:t>
      </w:r>
    </w:p>
    <w:p w14:paraId="62C110BD" w14:textId="77777777" w:rsidR="004A09A4" w:rsidRPr="007438FB" w:rsidRDefault="4008F42F" w:rsidP="000E3707">
      <w:pPr>
        <w:pBdr>
          <w:top w:val="single" w:sz="4" w:space="1" w:color="auto"/>
          <w:left w:val="single" w:sz="4" w:space="1" w:color="auto"/>
          <w:bottom w:val="single" w:sz="4" w:space="1" w:color="auto"/>
          <w:right w:val="single" w:sz="4" w:space="1" w:color="auto"/>
        </w:pBdr>
        <w:spacing w:before="120"/>
        <w:ind w:left="270" w:hanging="270"/>
        <w:rPr>
          <w:rFonts w:ascii="Century Gothic" w:eastAsia="Times New Roman" w:hAnsi="Century Gothic"/>
          <w:szCs w:val="22"/>
        </w:rPr>
      </w:pPr>
      <w:r w:rsidRPr="007438FB">
        <w:rPr>
          <w:rFonts w:ascii="Century Gothic" w:eastAsia="Times New Roman" w:hAnsi="Century Gothic"/>
          <w:b/>
          <w:bCs/>
          <w:szCs w:val="22"/>
        </w:rPr>
        <w:t>3.</w:t>
      </w:r>
      <w:r w:rsidR="004A09A4" w:rsidRPr="007438FB">
        <w:rPr>
          <w:rFonts w:ascii="Century Gothic" w:hAnsi="Century Gothic"/>
        </w:rPr>
        <w:tab/>
      </w:r>
      <w:r w:rsidRPr="007438FB">
        <w:rPr>
          <w:rFonts w:ascii="Century Gothic" w:eastAsia="Times New Roman" w:hAnsi="Century Gothic"/>
          <w:szCs w:val="22"/>
        </w:rPr>
        <w:t xml:space="preserve">Promote housing opportunities in the public housing and HCV program for income-eligible work-able families </w:t>
      </w:r>
    </w:p>
    <w:p w14:paraId="23AC1E72" w14:textId="5277FE51" w:rsidR="004A09A4" w:rsidRPr="007438FB" w:rsidRDefault="2042306A" w:rsidP="000E3707">
      <w:pPr>
        <w:pBdr>
          <w:top w:val="single" w:sz="4" w:space="1" w:color="auto"/>
          <w:left w:val="single" w:sz="4" w:space="1" w:color="auto"/>
          <w:bottom w:val="single" w:sz="4" w:space="1" w:color="auto"/>
          <w:right w:val="single" w:sz="4" w:space="1" w:color="auto"/>
        </w:pBdr>
        <w:spacing w:before="120" w:after="240"/>
        <w:ind w:left="274" w:hanging="274"/>
        <w:rPr>
          <w:rFonts w:ascii="Century Gothic" w:eastAsia="Times New Roman" w:hAnsi="Century Gothic"/>
          <w:szCs w:val="22"/>
        </w:rPr>
      </w:pPr>
      <w:r w:rsidRPr="007438FB">
        <w:rPr>
          <w:rFonts w:ascii="Century Gothic" w:eastAsia="Times New Roman" w:hAnsi="Century Gothic"/>
          <w:b/>
          <w:bCs/>
          <w:szCs w:val="22"/>
        </w:rPr>
        <w:t>4</w:t>
      </w:r>
      <w:proofErr w:type="gramStart"/>
      <w:r w:rsidRPr="007438FB">
        <w:rPr>
          <w:rFonts w:ascii="Century Gothic" w:eastAsia="Times New Roman" w:hAnsi="Century Gothic"/>
          <w:b/>
          <w:bCs/>
          <w:szCs w:val="22"/>
        </w:rPr>
        <w:t>.</w:t>
      </w:r>
      <w:r w:rsidRPr="007438FB">
        <w:rPr>
          <w:rFonts w:ascii="Century Gothic" w:eastAsia="Times New Roman" w:hAnsi="Century Gothic"/>
          <w:szCs w:val="22"/>
        </w:rPr>
        <w:t xml:space="preserve"> </w:t>
      </w:r>
      <w:r w:rsidR="17501F2C" w:rsidRPr="007438FB">
        <w:rPr>
          <w:rFonts w:ascii="Century Gothic" w:hAnsi="Century Gothic"/>
        </w:rPr>
        <w:tab/>
      </w:r>
      <w:r w:rsidRPr="007438FB">
        <w:rPr>
          <w:rFonts w:ascii="Century Gothic" w:eastAsia="Times New Roman" w:hAnsi="Century Gothic"/>
          <w:szCs w:val="22"/>
        </w:rPr>
        <w:t>Use</w:t>
      </w:r>
      <w:proofErr w:type="gramEnd"/>
      <w:r w:rsidRPr="007438FB">
        <w:rPr>
          <w:rFonts w:ascii="Century Gothic" w:eastAsia="Times New Roman" w:hAnsi="Century Gothic"/>
          <w:szCs w:val="22"/>
        </w:rPr>
        <w:t xml:space="preserve"> housing choice vouchers to promote development of mixed-income, mixed-finance housing opportunities in non-</w:t>
      </w:r>
      <w:r w:rsidR="45AA64EB" w:rsidRPr="007438FB">
        <w:rPr>
          <w:rFonts w:ascii="Century Gothic" w:eastAsia="Times New Roman" w:hAnsi="Century Gothic"/>
          <w:szCs w:val="22"/>
        </w:rPr>
        <w:t>ECC/</w:t>
      </w:r>
      <w:r w:rsidRPr="007438FB">
        <w:rPr>
          <w:rFonts w:ascii="Century Gothic" w:eastAsia="Times New Roman" w:hAnsi="Century Gothic"/>
          <w:szCs w:val="22"/>
        </w:rPr>
        <w:t>HANH developments</w:t>
      </w:r>
    </w:p>
    <w:p w14:paraId="490999B0" w14:textId="7D932837" w:rsidR="007729F5" w:rsidRPr="007438FB" w:rsidRDefault="43EE8683" w:rsidP="000E3707">
      <w:pPr>
        <w:pBdr>
          <w:top w:val="single" w:sz="4" w:space="1" w:color="auto"/>
          <w:left w:val="single" w:sz="4" w:space="1" w:color="auto"/>
          <w:bottom w:val="single" w:sz="4" w:space="1" w:color="auto"/>
          <w:right w:val="single" w:sz="4" w:space="1" w:color="auto"/>
        </w:pBdr>
        <w:ind w:left="274" w:hanging="274"/>
        <w:rPr>
          <w:rFonts w:ascii="Century Gothic" w:eastAsia="Times New Roman" w:hAnsi="Century Gothic"/>
          <w:b/>
          <w:bCs/>
          <w:color w:val="C0504D"/>
          <w:szCs w:val="22"/>
        </w:rPr>
      </w:pPr>
      <w:r w:rsidRPr="007438FB">
        <w:rPr>
          <w:rFonts w:ascii="Century Gothic" w:eastAsia="Times New Roman" w:hAnsi="Century Gothic"/>
          <w:b/>
          <w:bCs/>
          <w:color w:val="C0504D"/>
          <w:szCs w:val="22"/>
        </w:rPr>
        <w:t xml:space="preserve">HELP FAMLIES REACH SELF-SUFFICIENCY </w:t>
      </w:r>
    </w:p>
    <w:p w14:paraId="37981856" w14:textId="77777777" w:rsidR="004A09A4" w:rsidRPr="007438FB" w:rsidRDefault="4008F42F" w:rsidP="000E3707">
      <w:pPr>
        <w:pBdr>
          <w:top w:val="single" w:sz="4" w:space="1" w:color="auto"/>
          <w:left w:val="single" w:sz="4" w:space="1" w:color="auto"/>
          <w:bottom w:val="single" w:sz="4" w:space="1" w:color="auto"/>
          <w:right w:val="single" w:sz="4" w:space="1" w:color="auto"/>
        </w:pBdr>
        <w:spacing w:before="120"/>
        <w:ind w:left="274" w:hanging="274"/>
        <w:rPr>
          <w:rFonts w:ascii="Century Gothic" w:eastAsia="Times New Roman" w:hAnsi="Century Gothic"/>
          <w:szCs w:val="22"/>
        </w:rPr>
      </w:pPr>
      <w:r w:rsidRPr="007438FB">
        <w:rPr>
          <w:rFonts w:ascii="Century Gothic" w:eastAsia="Times New Roman" w:hAnsi="Century Gothic"/>
          <w:b/>
          <w:bCs/>
          <w:szCs w:val="22"/>
        </w:rPr>
        <w:t>1</w:t>
      </w:r>
      <w:proofErr w:type="gramStart"/>
      <w:r w:rsidRPr="007438FB">
        <w:rPr>
          <w:rFonts w:ascii="Century Gothic" w:eastAsia="Times New Roman" w:hAnsi="Century Gothic"/>
          <w:b/>
          <w:bCs/>
          <w:szCs w:val="22"/>
        </w:rPr>
        <w:t>.</w:t>
      </w:r>
      <w:r w:rsidRPr="007438FB">
        <w:rPr>
          <w:rFonts w:ascii="Century Gothic" w:eastAsia="Times New Roman" w:hAnsi="Century Gothic"/>
          <w:szCs w:val="22"/>
        </w:rPr>
        <w:t xml:space="preserve"> </w:t>
      </w:r>
      <w:r w:rsidR="004A09A4" w:rsidRPr="007438FB">
        <w:rPr>
          <w:rFonts w:ascii="Century Gothic" w:hAnsi="Century Gothic"/>
        </w:rPr>
        <w:tab/>
      </w:r>
      <w:r w:rsidRPr="007438FB">
        <w:rPr>
          <w:rFonts w:ascii="Century Gothic" w:eastAsia="Times New Roman" w:hAnsi="Century Gothic"/>
          <w:szCs w:val="22"/>
        </w:rPr>
        <w:t>Develop</w:t>
      </w:r>
      <w:proofErr w:type="gramEnd"/>
      <w:r w:rsidRPr="007438FB">
        <w:rPr>
          <w:rFonts w:ascii="Century Gothic" w:eastAsia="Times New Roman" w:hAnsi="Century Gothic"/>
          <w:szCs w:val="22"/>
        </w:rPr>
        <w:t xml:space="preserve"> transitional models of assistance that move families toward self-sufficiency and away from subsidized housing in progressive steps</w:t>
      </w:r>
    </w:p>
    <w:p w14:paraId="60EA5E87" w14:textId="77777777" w:rsidR="004A09A4" w:rsidRPr="007438FB" w:rsidRDefault="4008F42F" w:rsidP="000E3707">
      <w:pPr>
        <w:pBdr>
          <w:top w:val="single" w:sz="4" w:space="1" w:color="auto"/>
          <w:left w:val="single" w:sz="4" w:space="1" w:color="auto"/>
          <w:bottom w:val="single" w:sz="4" w:space="1" w:color="auto"/>
          <w:right w:val="single" w:sz="4" w:space="1" w:color="auto"/>
        </w:pBdr>
        <w:spacing w:before="120"/>
        <w:ind w:left="274" w:hanging="274"/>
        <w:rPr>
          <w:rFonts w:ascii="Century Gothic" w:eastAsia="Times New Roman" w:hAnsi="Century Gothic"/>
          <w:b/>
          <w:bCs/>
          <w:szCs w:val="22"/>
        </w:rPr>
      </w:pPr>
      <w:r w:rsidRPr="007438FB">
        <w:rPr>
          <w:rFonts w:ascii="Century Gothic" w:eastAsia="Times New Roman" w:hAnsi="Century Gothic"/>
          <w:b/>
          <w:bCs/>
          <w:szCs w:val="22"/>
        </w:rPr>
        <w:t>2</w:t>
      </w:r>
      <w:proofErr w:type="gramStart"/>
      <w:r w:rsidRPr="007438FB">
        <w:rPr>
          <w:rFonts w:ascii="Century Gothic" w:eastAsia="Times New Roman" w:hAnsi="Century Gothic"/>
          <w:b/>
          <w:bCs/>
          <w:szCs w:val="22"/>
        </w:rPr>
        <w:t>.</w:t>
      </w:r>
      <w:r w:rsidRPr="007438FB">
        <w:rPr>
          <w:rFonts w:ascii="Century Gothic" w:eastAsia="Times New Roman" w:hAnsi="Century Gothic"/>
          <w:szCs w:val="22"/>
        </w:rPr>
        <w:t xml:space="preserve"> </w:t>
      </w:r>
      <w:r w:rsidR="004A09A4" w:rsidRPr="007438FB">
        <w:rPr>
          <w:rFonts w:ascii="Century Gothic" w:hAnsi="Century Gothic"/>
        </w:rPr>
        <w:tab/>
      </w:r>
      <w:r w:rsidRPr="007438FB">
        <w:rPr>
          <w:rFonts w:ascii="Century Gothic" w:eastAsia="Times New Roman" w:hAnsi="Century Gothic"/>
          <w:szCs w:val="22"/>
        </w:rPr>
        <w:t>Expand</w:t>
      </w:r>
      <w:proofErr w:type="gramEnd"/>
      <w:r w:rsidRPr="007438FB">
        <w:rPr>
          <w:rFonts w:ascii="Century Gothic" w:eastAsia="Times New Roman" w:hAnsi="Century Gothic"/>
          <w:szCs w:val="22"/>
        </w:rPr>
        <w:t xml:space="preserve"> resident-owned business initiative to increase the number of ECC/HANH contracts executed with business enterprises and support these businesses to successfully compete for other external contracts</w:t>
      </w:r>
    </w:p>
    <w:p w14:paraId="1A393F3B" w14:textId="77777777" w:rsidR="004A09A4" w:rsidRPr="007438FB" w:rsidRDefault="4008F42F" w:rsidP="000E3707">
      <w:pPr>
        <w:pBdr>
          <w:top w:val="single" w:sz="4" w:space="1" w:color="auto"/>
          <w:left w:val="single" w:sz="4" w:space="1" w:color="auto"/>
          <w:bottom w:val="single" w:sz="4" w:space="1" w:color="auto"/>
          <w:right w:val="single" w:sz="4" w:space="1" w:color="auto"/>
        </w:pBdr>
        <w:spacing w:before="120"/>
        <w:ind w:left="274" w:hanging="274"/>
        <w:rPr>
          <w:rFonts w:ascii="Century Gothic" w:eastAsia="Times New Roman" w:hAnsi="Century Gothic"/>
          <w:szCs w:val="22"/>
        </w:rPr>
      </w:pPr>
      <w:r w:rsidRPr="007438FB">
        <w:rPr>
          <w:rFonts w:ascii="Century Gothic" w:eastAsia="Times New Roman" w:hAnsi="Century Gothic"/>
          <w:b/>
          <w:bCs/>
          <w:szCs w:val="22"/>
        </w:rPr>
        <w:t>4.</w:t>
      </w:r>
      <w:r w:rsidRPr="007438FB">
        <w:rPr>
          <w:rFonts w:ascii="Century Gothic" w:eastAsia="Times New Roman" w:hAnsi="Century Gothic"/>
          <w:szCs w:val="22"/>
        </w:rPr>
        <w:t xml:space="preserve"> </w:t>
      </w:r>
      <w:r w:rsidR="004A09A4" w:rsidRPr="007438FB">
        <w:rPr>
          <w:rFonts w:ascii="Century Gothic" w:hAnsi="Century Gothic"/>
        </w:rPr>
        <w:tab/>
      </w:r>
      <w:r w:rsidRPr="007438FB">
        <w:rPr>
          <w:rFonts w:ascii="Century Gothic" w:eastAsia="Times New Roman" w:hAnsi="Century Gothic"/>
          <w:szCs w:val="22"/>
        </w:rPr>
        <w:t>Expand supportive services program – especially critical for effective management of Elderly/Disabled developments – to support families as they move toward self-sufficiency</w:t>
      </w:r>
    </w:p>
    <w:p w14:paraId="213B7A46" w14:textId="7E7ECF45" w:rsidR="004A09A4" w:rsidRPr="007438FB" w:rsidRDefault="4008F42F" w:rsidP="000E3707">
      <w:pPr>
        <w:pBdr>
          <w:top w:val="single" w:sz="4" w:space="1" w:color="auto"/>
          <w:left w:val="single" w:sz="4" w:space="1" w:color="auto"/>
          <w:bottom w:val="single" w:sz="4" w:space="1" w:color="auto"/>
          <w:right w:val="single" w:sz="4" w:space="1" w:color="auto"/>
        </w:pBdr>
        <w:spacing w:before="120"/>
        <w:ind w:left="274" w:hanging="274"/>
        <w:rPr>
          <w:rFonts w:ascii="Century Gothic" w:eastAsia="Times New Roman" w:hAnsi="Century Gothic"/>
          <w:b/>
          <w:bCs/>
          <w:szCs w:val="22"/>
        </w:rPr>
      </w:pPr>
      <w:r w:rsidRPr="007438FB">
        <w:rPr>
          <w:rFonts w:ascii="Century Gothic" w:eastAsia="Times New Roman" w:hAnsi="Century Gothic"/>
          <w:b/>
          <w:bCs/>
          <w:szCs w:val="22"/>
        </w:rPr>
        <w:t>5.</w:t>
      </w:r>
      <w:r w:rsidR="004A09A4" w:rsidRPr="007438FB">
        <w:rPr>
          <w:rFonts w:ascii="Century Gothic" w:hAnsi="Century Gothic"/>
        </w:rPr>
        <w:tab/>
      </w:r>
      <w:r w:rsidRPr="007438FB">
        <w:rPr>
          <w:rFonts w:ascii="Century Gothic" w:eastAsia="Times New Roman" w:hAnsi="Century Gothic"/>
          <w:szCs w:val="22"/>
        </w:rPr>
        <w:t>Expand partnerships with local school system to support student academic progress and educational attainment</w:t>
      </w:r>
    </w:p>
    <w:p w14:paraId="2DA72B03" w14:textId="5E1B76F9" w:rsidR="007729F5" w:rsidRPr="007438FB" w:rsidRDefault="00DE6A54" w:rsidP="4566E4F4">
      <w:pPr>
        <w:rPr>
          <w:rFonts w:ascii="Century Gothic" w:eastAsia="Times New Roman" w:hAnsi="Century Gothic"/>
          <w:szCs w:val="22"/>
        </w:rPr>
      </w:pPr>
      <w:r w:rsidRPr="007438FB">
        <w:rPr>
          <w:rFonts w:ascii="Century Gothic" w:hAnsi="Century Gothic"/>
          <w:noProof/>
        </w:rPr>
        <mc:AlternateContent>
          <mc:Choice Requires="wps">
            <w:drawing>
              <wp:anchor distT="0" distB="0" distL="114300" distR="114300" simplePos="0" relativeHeight="251658253" behindDoc="0" locked="0" layoutInCell="1" allowOverlap="1" wp14:anchorId="0DA05273" wp14:editId="39CBE4F6">
                <wp:simplePos x="0" y="0"/>
                <wp:positionH relativeFrom="column">
                  <wp:posOffset>5797550</wp:posOffset>
                </wp:positionH>
                <wp:positionV relativeFrom="paragraph">
                  <wp:posOffset>17780</wp:posOffset>
                </wp:positionV>
                <wp:extent cx="405765" cy="2187575"/>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187575"/>
                        </a:xfrm>
                        <a:prstGeom prst="rect">
                          <a:avLst/>
                        </a:prstGeom>
                        <a:solidFill>
                          <a:srgbClr val="FFFFFF"/>
                        </a:solidFill>
                        <a:ln>
                          <a:noFill/>
                        </a:ln>
                      </wps:spPr>
                      <wps:txbx>
                        <w:txbxContent>
                          <w:p w14:paraId="5F2FA37F" w14:textId="77777777" w:rsidR="009F26DD" w:rsidRPr="00A047DF" w:rsidRDefault="009F26DD" w:rsidP="00DA6BDF">
                            <w:pPr>
                              <w:rPr>
                                <w:b/>
                                <w:sz w:val="28"/>
                                <w:szCs w:val="28"/>
                              </w:rPr>
                            </w:pPr>
                            <w:r w:rsidRPr="00A047DF">
                              <w:rPr>
                                <w:b/>
                                <w:sz w:val="28"/>
                                <w:szCs w:val="28"/>
                              </w:rPr>
                              <w:t>LONG TERM GOALS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0DA05273" id="Text Box 2" o:spid="_x0000_s1032" type="#_x0000_t202" style="position:absolute;margin-left:456.5pt;margin-top:1.4pt;width:31.95pt;height:172.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" stroked="f">
                <v:textbox style="layout-flow:vertical;mso-layout-flow-alt:bottom-to-top;mso-fit-shape-to-text:t">
                  <w:txbxContent>
                    <w:p w14:paraId="5F2FA37F" w14:textId="77777777" w:rsidR="009F26DD" w:rsidRPr="00A047DF" w:rsidRDefault="009F26DD" w:rsidP="00DA6BDF">
                      <w:pPr>
                        <w:rPr>
                          <w:b/>
                          <w:sz w:val="28"/>
                          <w:szCs w:val="28"/>
                        </w:rPr>
                      </w:pPr>
                      <w:r w:rsidRPr="00A047DF">
                        <w:rPr>
                          <w:b/>
                          <w:sz w:val="28"/>
                          <w:szCs w:val="28"/>
                        </w:rPr>
                        <w:t>LONG TERM GOALS</w:t>
                      </w:r>
                    </w:p>
                  </w:txbxContent>
                </v:textbox>
              </v:shape>
            </w:pict>
          </mc:Fallback>
        </mc:AlternateContent>
      </w:r>
    </w:p>
    <w:p w14:paraId="69C5B782" w14:textId="759304FE" w:rsidR="4D243992" w:rsidRPr="007438FB" w:rsidRDefault="4D243992" w:rsidP="4D243992">
      <w:pPr>
        <w:rPr>
          <w:rFonts w:ascii="Century Gothic" w:eastAsia="MS PGothic" w:hAnsi="Century Gothic"/>
          <w:szCs w:val="22"/>
        </w:rPr>
      </w:pPr>
    </w:p>
    <w:p w14:paraId="0440D8B1" w14:textId="358CE8D8" w:rsidR="4D243992" w:rsidRPr="007438FB" w:rsidRDefault="00DE6A54" w:rsidP="4D243992">
      <w:pPr>
        <w:rPr>
          <w:rFonts w:ascii="Century Gothic" w:eastAsia="MS PGothic" w:hAnsi="Century Gothic"/>
          <w:szCs w:val="22"/>
        </w:rPr>
      </w:pPr>
      <w:r w:rsidRPr="007438FB">
        <w:rPr>
          <w:rFonts w:ascii="Century Gothic" w:hAnsi="Century Gothic"/>
          <w:noProof/>
        </w:rPr>
        <mc:AlternateContent>
          <mc:Choice Requires="wps">
            <w:drawing>
              <wp:anchor distT="0" distB="0" distL="114300" distR="114300" simplePos="0" relativeHeight="251658252" behindDoc="0" locked="0" layoutInCell="1" allowOverlap="1" wp14:anchorId="615E8AE9" wp14:editId="1C063787">
                <wp:simplePos x="0" y="0"/>
                <wp:positionH relativeFrom="column">
                  <wp:posOffset>6284595</wp:posOffset>
                </wp:positionH>
                <wp:positionV relativeFrom="paragraph">
                  <wp:posOffset>106045</wp:posOffset>
                </wp:positionV>
                <wp:extent cx="353695" cy="2751455"/>
                <wp:effectExtent l="0" t="0" r="0" b="0"/>
                <wp:wrapNone/>
                <wp:docPr id="485"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751455"/>
                        </a:xfrm>
                        <a:prstGeom prst="roundRect">
                          <a:avLst>
                            <a:gd name="adj" fmla="val 16667"/>
                          </a:avLst>
                        </a:prstGeom>
                        <a:solidFill>
                          <a:schemeClr val="accent2">
                            <a:alpha val="85001"/>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c="http://schemas.openxmlformats.org/drawingml/2006/chart" xmlns:a16="http://schemas.microsoft.com/office/drawing/2014/main" xmlns:a="http://schemas.openxmlformats.org/drawingml/2006/main">
            <w:pict w14:anchorId="586151C9">
              <v:roundrect id="Rectangle: Rounded Corners 3" style="position:absolute;margin-left:494.85pt;margin-top:8.35pt;width:27.85pt;height:21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6" fillcolor="#b5333c [3205]" stroked="f" arcsize="10923f" w14:anchorId="03673B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">
                <v:fill opacity="55769f"/>
              </v:roundrect>
            </w:pict>
          </mc:Fallback>
        </mc:AlternateContent>
      </w:r>
    </w:p>
    <w:p w14:paraId="6965C7DA" w14:textId="60B54446" w:rsidR="4D243992" w:rsidRPr="007438FB" w:rsidRDefault="4D243992" w:rsidP="4D243992">
      <w:pPr>
        <w:rPr>
          <w:rFonts w:ascii="Century Gothic" w:eastAsia="MS PGothic" w:hAnsi="Century Gothic"/>
          <w:szCs w:val="22"/>
        </w:rPr>
      </w:pPr>
    </w:p>
    <w:p w14:paraId="0A8DB02B" w14:textId="6B006846" w:rsidR="4D243992" w:rsidRPr="007438FB" w:rsidRDefault="4D243992" w:rsidP="4D243992">
      <w:pPr>
        <w:rPr>
          <w:rFonts w:ascii="Century Gothic" w:eastAsia="MS PGothic" w:hAnsi="Century Gothic"/>
          <w:szCs w:val="22"/>
        </w:rPr>
      </w:pPr>
    </w:p>
    <w:p w14:paraId="6E33C601" w14:textId="677629F8" w:rsidR="4D243992" w:rsidRPr="007438FB" w:rsidRDefault="4D243992" w:rsidP="4D243992">
      <w:pPr>
        <w:rPr>
          <w:rFonts w:ascii="Century Gothic" w:eastAsia="MS PGothic" w:hAnsi="Century Gothic"/>
          <w:szCs w:val="22"/>
        </w:rPr>
      </w:pPr>
    </w:p>
    <w:p w14:paraId="7FC82A2E" w14:textId="204AA2DF" w:rsidR="4D243992" w:rsidRPr="00511383" w:rsidRDefault="4D243992">
      <w:pPr>
        <w:rPr>
          <w:rFonts w:ascii="Century Gothic" w:hAnsi="Century Gothic"/>
        </w:rPr>
      </w:pPr>
      <w:r w:rsidRPr="00511383">
        <w:rPr>
          <w:rFonts w:ascii="Century Gothic" w:hAnsi="Century Gothic"/>
        </w:rPr>
        <w:br w:type="page"/>
      </w:r>
    </w:p>
    <w:tbl>
      <w:tblPr>
        <w:tblStyle w:val="ListTable4-Accent21"/>
        <w:tblW w:w="11345"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10"/>
        <w:gridCol w:w="1309"/>
        <w:gridCol w:w="1309"/>
        <w:gridCol w:w="1309"/>
        <w:gridCol w:w="106"/>
        <w:gridCol w:w="1203"/>
        <w:gridCol w:w="1182"/>
      </w:tblGrid>
      <w:tr w:rsidR="004B4348" w:rsidRPr="00511383" w14:paraId="24F8DCDB" w14:textId="77777777" w:rsidTr="0E6C54AB">
        <w:trPr>
          <w:cnfStyle w:val="100000000000" w:firstRow="1" w:lastRow="0" w:firstColumn="0" w:lastColumn="0" w:oddVBand="0" w:evenVBand="0" w:oddHBand="0" w:evenHBand="0" w:firstRowFirstColumn="0" w:firstRowLastColumn="0" w:lastRowFirstColumn="0" w:lastRowLastColumn="0"/>
          <w:trHeight w:val="135"/>
          <w:tblHeader/>
        </w:trPr>
        <w:tc>
          <w:tcPr>
            <w:cnfStyle w:val="001000000000" w:firstRow="0" w:lastRow="0" w:firstColumn="1" w:lastColumn="0" w:oddVBand="0" w:evenVBand="0" w:oddHBand="0" w:evenHBand="0" w:firstRowFirstColumn="0" w:firstRowLastColumn="0" w:lastRowFirstColumn="0" w:lastRowLastColumn="0"/>
            <w:tcW w:w="11339" w:type="dxa"/>
            <w:gridSpan w:val="8"/>
            <w:tcBorders>
              <w:top w:val="nil"/>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vAlign w:val="center"/>
          </w:tcPr>
          <w:p w14:paraId="536D58EA" w14:textId="262A4A05" w:rsidR="00006001" w:rsidRPr="006A46D3" w:rsidDel="00340155" w:rsidRDefault="00006001" w:rsidP="00DA6BDF">
            <w:pPr>
              <w:jc w:val="center"/>
              <w:rPr>
                <w:rFonts w:ascii="Century Gothic" w:hAnsi="Century Gothic"/>
                <w:color w:val="auto"/>
                <w:szCs w:val="22"/>
              </w:rPr>
            </w:pPr>
            <w:bookmarkStart w:id="34" w:name="_Hlk528924454"/>
            <w:bookmarkStart w:id="35" w:name="_Hlk531094376"/>
            <w:bookmarkStart w:id="36" w:name="_Toc465517122"/>
            <w:bookmarkStart w:id="37" w:name="_Toc470178817"/>
            <w:bookmarkStart w:id="38" w:name="_Toc470179721"/>
            <w:bookmarkEnd w:id="32"/>
            <w:bookmarkEnd w:id="33"/>
            <w:r w:rsidRPr="006A46D3">
              <w:rPr>
                <w:rFonts w:ascii="Century Gothic" w:hAnsi="Century Gothic"/>
                <w:szCs w:val="22"/>
              </w:rPr>
              <w:lastRenderedPageBreak/>
              <w:t>OVERVIEW OF MTW INITIATIVES</w:t>
            </w:r>
          </w:p>
        </w:tc>
      </w:tr>
      <w:bookmarkEnd w:id="34"/>
      <w:tr w:rsidR="004B4348" w:rsidRPr="00511383" w14:paraId="7FEFE125" w14:textId="77777777" w:rsidTr="0E6C54AB">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811"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A3D7AD9" w14:textId="77777777" w:rsidR="00006001" w:rsidRPr="006A46D3" w:rsidRDefault="00006001" w:rsidP="00006001">
            <w:pPr>
              <w:jc w:val="center"/>
              <w:rPr>
                <w:rFonts w:ascii="Century Gothic" w:hAnsi="Century Gothic"/>
                <w:szCs w:val="22"/>
              </w:rPr>
            </w:pPr>
            <w:r w:rsidRPr="006A46D3">
              <w:rPr>
                <w:rFonts w:ascii="Century Gothic" w:hAnsi="Century Gothic"/>
                <w:szCs w:val="22"/>
              </w:rPr>
              <w:t>Label</w:t>
            </w:r>
          </w:p>
        </w:tc>
        <w:tc>
          <w:tcPr>
            <w:tcW w:w="411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39EC700"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6A46D3">
              <w:rPr>
                <w:rFonts w:ascii="Century Gothic" w:hAnsi="Century Gothic"/>
                <w:b/>
                <w:szCs w:val="22"/>
              </w:rPr>
              <w:t>Description</w:t>
            </w:r>
          </w:p>
        </w:tc>
        <w:tc>
          <w:tcPr>
            <w:tcW w:w="1309"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D4521B2"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6A46D3">
              <w:rPr>
                <w:rFonts w:ascii="Century Gothic" w:hAnsi="Century Gothic"/>
                <w:b/>
                <w:szCs w:val="22"/>
              </w:rPr>
              <w:t>Cost Effective</w:t>
            </w:r>
          </w:p>
        </w:tc>
        <w:tc>
          <w:tcPr>
            <w:tcW w:w="1309"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02A6337"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6A46D3">
              <w:rPr>
                <w:rFonts w:ascii="Century Gothic" w:hAnsi="Century Gothic"/>
                <w:b/>
                <w:szCs w:val="22"/>
              </w:rPr>
              <w:t>Expand Housing Choice</w:t>
            </w:r>
          </w:p>
        </w:tc>
        <w:tc>
          <w:tcPr>
            <w:tcW w:w="1415" w:type="dxa"/>
            <w:gridSpan w:val="2"/>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52CD546"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6A46D3">
              <w:rPr>
                <w:rFonts w:ascii="Century Gothic" w:hAnsi="Century Gothic"/>
                <w:b/>
                <w:szCs w:val="22"/>
              </w:rPr>
              <w:t>Increase Self-Sufficiency</w:t>
            </w:r>
          </w:p>
        </w:tc>
        <w:tc>
          <w:tcPr>
            <w:tcW w:w="120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3FEC349"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6A46D3">
              <w:rPr>
                <w:rFonts w:ascii="Century Gothic" w:hAnsi="Century Gothic"/>
                <w:b/>
                <w:szCs w:val="22"/>
              </w:rPr>
              <w:t>FY Approved</w:t>
            </w:r>
          </w:p>
        </w:tc>
        <w:tc>
          <w:tcPr>
            <w:tcW w:w="118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F969C1C"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6A46D3">
              <w:rPr>
                <w:rFonts w:ascii="Century Gothic" w:hAnsi="Century Gothic"/>
                <w:b/>
                <w:szCs w:val="22"/>
              </w:rPr>
              <w:t>Status</w:t>
            </w:r>
          </w:p>
        </w:tc>
      </w:tr>
      <w:tr w:rsidR="0081614A" w:rsidRPr="00511383" w14:paraId="28FE2F70"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09D35C3" w14:textId="77777777" w:rsidR="00006001" w:rsidRPr="006A46D3" w:rsidRDefault="00006001" w:rsidP="00006001">
            <w:pPr>
              <w:jc w:val="center"/>
              <w:rPr>
                <w:rFonts w:ascii="Century Gothic" w:hAnsi="Century Gothic"/>
                <w:szCs w:val="22"/>
              </w:rPr>
            </w:pPr>
            <w:r w:rsidRPr="006A46D3">
              <w:rPr>
                <w:rFonts w:ascii="Century Gothic" w:hAnsi="Century Gothic"/>
                <w:szCs w:val="22"/>
              </w:rPr>
              <w:t>1.1</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245448" w14:textId="77777777" w:rsidR="00006001" w:rsidRPr="006A46D3" w:rsidRDefault="00006001"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A46D3">
              <w:rPr>
                <w:rFonts w:ascii="Century Gothic" w:hAnsi="Century Gothic"/>
                <w:szCs w:val="22"/>
              </w:rPr>
              <w:t xml:space="preserve">Development of Mixed-Use Development of 122 Wilmot Road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C20AD8"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27059D"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A46D3">
              <w:rPr>
                <w:rFonts w:ascii="Century Gothic" w:hAnsi="Century Gothic"/>
                <w:noProof/>
                <w:szCs w:val="22"/>
                <w:lang w:eastAsia="en-US"/>
              </w:rPr>
              <w:drawing>
                <wp:inline distT="0" distB="0" distL="0" distR="0" wp14:anchorId="78623C41" wp14:editId="6BAE8192">
                  <wp:extent cx="182880" cy="182880"/>
                  <wp:effectExtent l="0" t="0" r="7620" b="7620"/>
                  <wp:docPr id="57" name="Graphic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0F4FB1"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713CA6"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A46D3">
              <w:rPr>
                <w:rFonts w:ascii="Century Gothic" w:hAnsi="Century Gothic"/>
                <w:szCs w:val="22"/>
              </w:rPr>
              <w:t>2009</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E30962D"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A46D3">
              <w:rPr>
                <w:rFonts w:ascii="Century Gothic" w:hAnsi="Century Gothic"/>
                <w:szCs w:val="22"/>
              </w:rPr>
              <w:t>Closed</w:t>
            </w:r>
            <w:r w:rsidRPr="006A46D3">
              <w:rPr>
                <w:rStyle w:val="FootnoteReference"/>
                <w:rFonts w:ascii="Century Gothic" w:hAnsi="Century Gothic"/>
                <w:szCs w:val="22"/>
              </w:rPr>
              <w:footnoteReference w:id="2"/>
            </w:r>
          </w:p>
        </w:tc>
      </w:tr>
      <w:tr w:rsidR="0081614A" w:rsidRPr="00511383" w14:paraId="318F7A4C"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A6EB587" w14:textId="77777777" w:rsidR="00006001" w:rsidRPr="006A46D3" w:rsidRDefault="00006001" w:rsidP="00006001">
            <w:pPr>
              <w:jc w:val="center"/>
              <w:rPr>
                <w:rFonts w:ascii="Century Gothic" w:hAnsi="Century Gothic"/>
                <w:szCs w:val="22"/>
              </w:rPr>
            </w:pPr>
            <w:r w:rsidRPr="006A46D3">
              <w:rPr>
                <w:rFonts w:ascii="Century Gothic" w:hAnsi="Century Gothic"/>
                <w:szCs w:val="22"/>
              </w:rPr>
              <w:t>1.2</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36CDB7" w14:textId="77777777" w:rsidR="00006001" w:rsidRPr="006A46D3" w:rsidRDefault="00006001"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6A46D3">
              <w:rPr>
                <w:rFonts w:ascii="Century Gothic" w:hAnsi="Century Gothic"/>
                <w:szCs w:val="22"/>
              </w:rPr>
              <w:t xml:space="preserve">Local Total Development Cost (TDC) Limits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7EBEE0"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6A46D3">
              <w:rPr>
                <w:rFonts w:ascii="Century Gothic" w:hAnsi="Century Gothic"/>
                <w:noProof/>
                <w:szCs w:val="22"/>
                <w:lang w:eastAsia="en-US"/>
              </w:rPr>
              <w:drawing>
                <wp:inline distT="0" distB="0" distL="0" distR="0" wp14:anchorId="20ADB6E7" wp14:editId="434E6EF2">
                  <wp:extent cx="182880" cy="182880"/>
                  <wp:effectExtent l="0" t="0" r="7620" b="7620"/>
                  <wp:docPr id="466" name="Graphic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6D3F3C"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6A46D3">
              <w:rPr>
                <w:rFonts w:ascii="Century Gothic" w:hAnsi="Century Gothic"/>
                <w:noProof/>
                <w:szCs w:val="22"/>
                <w:lang w:eastAsia="en-US"/>
              </w:rPr>
              <w:drawing>
                <wp:inline distT="0" distB="0" distL="0" distR="0" wp14:anchorId="33030824" wp14:editId="165C18D5">
                  <wp:extent cx="182880" cy="182880"/>
                  <wp:effectExtent l="0" t="0" r="7620" b="7620"/>
                  <wp:docPr id="467" name="Graphic 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1FD2E9"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EB26FC"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6A46D3">
              <w:rPr>
                <w:rFonts w:ascii="Century Gothic" w:hAnsi="Century Gothic"/>
                <w:szCs w:val="22"/>
              </w:rPr>
              <w:t>2009</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7437294" w14:textId="77777777" w:rsidR="00006001" w:rsidRPr="006A46D3"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6A46D3">
              <w:rPr>
                <w:rFonts w:ascii="Century Gothic" w:hAnsi="Century Gothic"/>
                <w:szCs w:val="22"/>
              </w:rPr>
              <w:t>Ongoing</w:t>
            </w:r>
          </w:p>
        </w:tc>
      </w:tr>
      <w:tr w:rsidR="0081614A" w:rsidRPr="00511383" w14:paraId="6F19FF52"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85389FA" w14:textId="77777777" w:rsidR="00006001" w:rsidRPr="006A46D3" w:rsidRDefault="00006001" w:rsidP="00006001">
            <w:pPr>
              <w:jc w:val="center"/>
              <w:rPr>
                <w:rFonts w:ascii="Century Gothic" w:hAnsi="Century Gothic"/>
                <w:szCs w:val="22"/>
              </w:rPr>
            </w:pPr>
            <w:r w:rsidRPr="0069193F">
              <w:rPr>
                <w:rFonts w:ascii="Century Gothic" w:hAnsi="Century Gothic"/>
                <w:szCs w:val="22"/>
              </w:rPr>
              <w:t>1.3</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E129E3" w14:textId="77777777" w:rsidR="00006001" w:rsidRPr="006A46D3" w:rsidRDefault="00006001"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A46D3">
              <w:rPr>
                <w:rFonts w:ascii="Century Gothic" w:hAnsi="Century Gothic"/>
                <w:szCs w:val="22"/>
              </w:rPr>
              <w:t xml:space="preserve">Fungibility of MTW Funds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10E326"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A46D3">
              <w:rPr>
                <w:rFonts w:ascii="Century Gothic" w:hAnsi="Century Gothic"/>
                <w:noProof/>
                <w:szCs w:val="22"/>
                <w:lang w:eastAsia="en-US"/>
              </w:rPr>
              <w:drawing>
                <wp:inline distT="0" distB="0" distL="0" distR="0" wp14:anchorId="66316F5B" wp14:editId="1189D6F2">
                  <wp:extent cx="182880" cy="182880"/>
                  <wp:effectExtent l="0" t="0" r="7620" b="7620"/>
                  <wp:docPr id="468" name="Graphic 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E7020B"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4646A5"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11224C"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A46D3">
              <w:rPr>
                <w:rFonts w:ascii="Century Gothic" w:hAnsi="Century Gothic"/>
                <w:szCs w:val="22"/>
              </w:rPr>
              <w:t>2012</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525DAF46" w14:textId="77777777" w:rsidR="00006001" w:rsidRPr="006A46D3"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A46D3">
              <w:rPr>
                <w:rFonts w:ascii="Century Gothic" w:hAnsi="Century Gothic"/>
                <w:szCs w:val="22"/>
              </w:rPr>
              <w:t>Ongoing</w:t>
            </w:r>
          </w:p>
        </w:tc>
      </w:tr>
      <w:tr w:rsidR="0081614A" w:rsidRPr="00511383" w14:paraId="310E2F09"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364E666" w14:textId="77777777" w:rsidR="00006001" w:rsidRPr="009312F6" w:rsidRDefault="00006001" w:rsidP="00006001">
            <w:pPr>
              <w:jc w:val="center"/>
              <w:rPr>
                <w:rFonts w:ascii="Century Gothic" w:hAnsi="Century Gothic"/>
                <w:szCs w:val="22"/>
              </w:rPr>
            </w:pPr>
            <w:r w:rsidRPr="009312F6">
              <w:rPr>
                <w:rFonts w:ascii="Century Gothic" w:hAnsi="Century Gothic"/>
                <w:szCs w:val="22"/>
              </w:rPr>
              <w:t>1.4 &amp; 1.10</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E7A966" w14:textId="77777777" w:rsidR="00006001" w:rsidRPr="009312F6" w:rsidRDefault="00006001"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312F6">
              <w:rPr>
                <w:rFonts w:ascii="Century Gothic" w:hAnsi="Century Gothic"/>
                <w:szCs w:val="22"/>
              </w:rPr>
              <w:t xml:space="preserve">Defining Income Eligibility for the Project-Based Voucher Programs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5A9FCC" w14:textId="77777777" w:rsidR="00006001" w:rsidRPr="009312F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312F6">
              <w:rPr>
                <w:rFonts w:ascii="Century Gothic" w:hAnsi="Century Gothic"/>
                <w:noProof/>
                <w:szCs w:val="22"/>
                <w:lang w:eastAsia="en-US"/>
              </w:rPr>
              <w:drawing>
                <wp:inline distT="0" distB="0" distL="0" distR="0" wp14:anchorId="7007B011" wp14:editId="71FA782E">
                  <wp:extent cx="182880" cy="182880"/>
                  <wp:effectExtent l="0" t="0" r="7620" b="7620"/>
                  <wp:docPr id="469" name="Graphic 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B1249B" w14:textId="77777777" w:rsidR="00006001" w:rsidRPr="009312F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312F6">
              <w:rPr>
                <w:rFonts w:ascii="Century Gothic" w:hAnsi="Century Gothic"/>
                <w:noProof/>
                <w:szCs w:val="22"/>
                <w:lang w:eastAsia="en-US"/>
              </w:rPr>
              <w:drawing>
                <wp:inline distT="0" distB="0" distL="0" distR="0" wp14:anchorId="30E16E3B" wp14:editId="534E881A">
                  <wp:extent cx="182880" cy="182880"/>
                  <wp:effectExtent l="0" t="0" r="7620" b="7620"/>
                  <wp:docPr id="470" name="Graphic 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643CB" w14:textId="77777777" w:rsidR="00006001" w:rsidRPr="009312F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F3BBC1" w14:textId="77777777" w:rsidR="00006001" w:rsidRPr="009312F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312F6">
              <w:rPr>
                <w:rFonts w:ascii="Century Gothic" w:hAnsi="Century Gothic"/>
                <w:szCs w:val="22"/>
              </w:rPr>
              <w:t>2012</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5276C270" w14:textId="77777777" w:rsidR="00006001" w:rsidRPr="009312F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312F6">
              <w:rPr>
                <w:rFonts w:ascii="Century Gothic" w:hAnsi="Century Gothic"/>
                <w:szCs w:val="22"/>
              </w:rPr>
              <w:t>Ongoing</w:t>
            </w:r>
          </w:p>
        </w:tc>
      </w:tr>
      <w:tr w:rsidR="0081614A" w:rsidRPr="00511383" w14:paraId="758D5563"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82F38C6" w14:textId="77777777" w:rsidR="00006001" w:rsidRPr="009312F6" w:rsidRDefault="00006001" w:rsidP="00006001">
            <w:pPr>
              <w:jc w:val="center"/>
              <w:rPr>
                <w:rFonts w:ascii="Century Gothic" w:hAnsi="Century Gothic"/>
                <w:szCs w:val="22"/>
              </w:rPr>
            </w:pPr>
            <w:r w:rsidRPr="009312F6">
              <w:rPr>
                <w:rFonts w:ascii="Century Gothic" w:hAnsi="Century Gothic"/>
                <w:szCs w:val="22"/>
              </w:rPr>
              <w:t>1.5</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A1C8DE" w14:textId="77777777" w:rsidR="00006001" w:rsidRPr="009312F6" w:rsidRDefault="00006001"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bookmarkStart w:id="39" w:name="_Toc444259074"/>
            <w:bookmarkStart w:id="40" w:name="_Toc465517115"/>
            <w:r w:rsidRPr="009312F6">
              <w:rPr>
                <w:rFonts w:ascii="Century Gothic" w:hAnsi="Century Gothic"/>
                <w:szCs w:val="22"/>
              </w:rPr>
              <w:t xml:space="preserve">HCV Preference and Set-Aside for Victims of Foreclosures </w:t>
            </w:r>
            <w:bookmarkEnd w:id="39"/>
            <w:bookmarkEnd w:id="40"/>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A3A452" w14:textId="77777777" w:rsidR="00006001" w:rsidRPr="009312F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E3B60E" w14:textId="77777777" w:rsidR="00006001" w:rsidRPr="009312F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312F6">
              <w:rPr>
                <w:rFonts w:ascii="Century Gothic" w:hAnsi="Century Gothic"/>
                <w:noProof/>
                <w:szCs w:val="22"/>
                <w:lang w:eastAsia="en-US"/>
              </w:rPr>
              <w:drawing>
                <wp:inline distT="0" distB="0" distL="0" distR="0" wp14:anchorId="06C82FE8" wp14:editId="48E27E52">
                  <wp:extent cx="182880" cy="182880"/>
                  <wp:effectExtent l="0" t="0" r="7620" b="7620"/>
                  <wp:docPr id="63" name="Graphic 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CC0FE1" w14:textId="77777777" w:rsidR="00006001" w:rsidRPr="009312F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89E795" w14:textId="77777777" w:rsidR="00006001" w:rsidRPr="009312F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312F6">
              <w:rPr>
                <w:rFonts w:ascii="Century Gothic" w:hAnsi="Century Gothic"/>
                <w:szCs w:val="22"/>
              </w:rPr>
              <w:t>2009</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0986057D" w14:textId="3DD4393F" w:rsidR="00006001" w:rsidRPr="009312F6" w:rsidRDefault="003C4D85"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312F6">
              <w:rPr>
                <w:rFonts w:ascii="Century Gothic" w:hAnsi="Century Gothic"/>
                <w:szCs w:val="22"/>
              </w:rPr>
              <w:t>Closed</w:t>
            </w:r>
          </w:p>
        </w:tc>
      </w:tr>
      <w:tr w:rsidR="0081614A" w:rsidRPr="00511383" w14:paraId="797F9469"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A11B405" w14:textId="77777777" w:rsidR="00006001" w:rsidRPr="009312F6" w:rsidRDefault="00006001" w:rsidP="00006001">
            <w:pPr>
              <w:jc w:val="center"/>
              <w:rPr>
                <w:rFonts w:ascii="Century Gothic" w:hAnsi="Century Gothic"/>
                <w:szCs w:val="22"/>
              </w:rPr>
            </w:pPr>
            <w:r w:rsidRPr="009312F6">
              <w:rPr>
                <w:rFonts w:ascii="Century Gothic" w:hAnsi="Century Gothic"/>
                <w:szCs w:val="22"/>
              </w:rPr>
              <w:t>1.6</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3403CD" w14:textId="77777777" w:rsidR="00006001" w:rsidRPr="009312F6" w:rsidRDefault="00006001"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bookmarkStart w:id="41" w:name="_Toc444259075"/>
            <w:bookmarkStart w:id="42" w:name="_Toc465517116"/>
            <w:r w:rsidRPr="009312F6">
              <w:rPr>
                <w:rFonts w:ascii="Century Gothic" w:hAnsi="Century Gothic"/>
                <w:szCs w:val="22"/>
              </w:rPr>
              <w:t xml:space="preserve">Deconcentration of Poverty (Promote Expanded Housing Opportunities for HCV and PBV Programs) </w:t>
            </w:r>
            <w:bookmarkEnd w:id="41"/>
            <w:bookmarkEnd w:id="42"/>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829D18" w14:textId="77777777" w:rsidR="00006001" w:rsidRPr="009312F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D1A8D0" w14:textId="77777777" w:rsidR="00006001" w:rsidRPr="009312F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312F6">
              <w:rPr>
                <w:rFonts w:ascii="Century Gothic" w:hAnsi="Century Gothic"/>
                <w:noProof/>
                <w:szCs w:val="22"/>
                <w:lang w:eastAsia="en-US"/>
              </w:rPr>
              <w:drawing>
                <wp:inline distT="0" distB="0" distL="0" distR="0" wp14:anchorId="3414DB9E" wp14:editId="1F3A0F59">
                  <wp:extent cx="182880" cy="182880"/>
                  <wp:effectExtent l="0" t="0" r="7620" b="7620"/>
                  <wp:docPr id="225" name="Graphic 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462096" w14:textId="77777777" w:rsidR="00006001" w:rsidRPr="009312F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5CD910" w14:textId="77777777" w:rsidR="00006001" w:rsidRPr="009312F6" w:rsidDel="00854FF2"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312F6">
              <w:rPr>
                <w:rFonts w:ascii="Century Gothic" w:hAnsi="Century Gothic"/>
                <w:szCs w:val="22"/>
              </w:rPr>
              <w:t>2008</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EFFE1A0" w14:textId="77777777" w:rsidR="00006001" w:rsidRPr="009312F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312F6">
              <w:rPr>
                <w:rFonts w:ascii="Century Gothic" w:hAnsi="Century Gothic"/>
                <w:szCs w:val="22"/>
              </w:rPr>
              <w:t>Ongoing</w:t>
            </w:r>
          </w:p>
        </w:tc>
      </w:tr>
      <w:tr w:rsidR="0081614A" w:rsidRPr="00511383" w14:paraId="2806C203"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2E6D7675" w14:textId="77777777" w:rsidR="00006001" w:rsidRPr="00743784" w:rsidRDefault="00006001" w:rsidP="00006001">
            <w:pPr>
              <w:jc w:val="center"/>
              <w:rPr>
                <w:rFonts w:ascii="Century Gothic" w:hAnsi="Century Gothic"/>
                <w:szCs w:val="22"/>
              </w:rPr>
            </w:pPr>
            <w:r w:rsidRPr="00743784">
              <w:rPr>
                <w:rFonts w:ascii="Century Gothic" w:hAnsi="Century Gothic"/>
                <w:szCs w:val="22"/>
              </w:rPr>
              <w:t>1.7</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663927" w14:textId="77777777" w:rsidR="00006001" w:rsidRPr="00743784" w:rsidRDefault="00006001"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bookmarkStart w:id="43" w:name="_Toc444259076"/>
            <w:bookmarkStart w:id="44" w:name="_Toc465517118"/>
            <w:r w:rsidRPr="00743784">
              <w:rPr>
                <w:rFonts w:ascii="Century Gothic" w:hAnsi="Century Gothic"/>
                <w:szCs w:val="22"/>
              </w:rPr>
              <w:t xml:space="preserve">Tenant-Based Vouchers for Supportive Housing for the Homeless </w:t>
            </w:r>
            <w:bookmarkEnd w:id="43"/>
            <w:bookmarkEnd w:id="44"/>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AB4E0E" w14:textId="77777777" w:rsidR="00006001" w:rsidRPr="00743784"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DE5476" w14:textId="77777777" w:rsidR="00006001" w:rsidRPr="009312F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312F6">
              <w:rPr>
                <w:rFonts w:ascii="Century Gothic" w:hAnsi="Century Gothic"/>
                <w:noProof/>
                <w:szCs w:val="22"/>
                <w:lang w:eastAsia="en-US"/>
              </w:rPr>
              <w:drawing>
                <wp:inline distT="0" distB="0" distL="0" distR="0" wp14:anchorId="116B7FBC" wp14:editId="640FFDD3">
                  <wp:extent cx="182880" cy="182880"/>
                  <wp:effectExtent l="0" t="0" r="7620" b="7620"/>
                  <wp:docPr id="226" name="Graphic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5B29DB" w14:textId="77777777" w:rsidR="00006001" w:rsidRPr="009312F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312F6">
              <w:rPr>
                <w:rFonts w:ascii="Century Gothic" w:hAnsi="Century Gothic"/>
                <w:noProof/>
                <w:szCs w:val="22"/>
                <w:lang w:eastAsia="en-US"/>
              </w:rPr>
              <w:drawing>
                <wp:inline distT="0" distB="0" distL="0" distR="0" wp14:anchorId="54898023" wp14:editId="3A059B8D">
                  <wp:extent cx="182880" cy="182880"/>
                  <wp:effectExtent l="0" t="0" r="7620" b="7620"/>
                  <wp:docPr id="250" name="Graphic 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617B1E" w14:textId="77777777" w:rsidR="00006001" w:rsidRPr="009312F6" w:rsidDel="00854FF2"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312F6">
              <w:rPr>
                <w:rFonts w:ascii="Century Gothic" w:hAnsi="Century Gothic"/>
                <w:szCs w:val="22"/>
              </w:rPr>
              <w:t>2010</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8BD0F75" w14:textId="77777777" w:rsidR="00006001" w:rsidRPr="009312F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312F6">
              <w:rPr>
                <w:rFonts w:ascii="Century Gothic" w:hAnsi="Century Gothic"/>
                <w:szCs w:val="22"/>
              </w:rPr>
              <w:t>Ongoing</w:t>
            </w:r>
          </w:p>
        </w:tc>
      </w:tr>
      <w:tr w:rsidR="0081614A" w:rsidRPr="00511383" w14:paraId="101D5E90"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964ADFD" w14:textId="77777777" w:rsidR="00006001" w:rsidRPr="00743784" w:rsidRDefault="00006001" w:rsidP="00006001">
            <w:pPr>
              <w:jc w:val="center"/>
              <w:rPr>
                <w:rFonts w:ascii="Century Gothic" w:hAnsi="Century Gothic"/>
                <w:szCs w:val="22"/>
              </w:rPr>
            </w:pPr>
            <w:r w:rsidRPr="00743784">
              <w:rPr>
                <w:rFonts w:ascii="Century Gothic" w:hAnsi="Century Gothic"/>
                <w:szCs w:val="22"/>
              </w:rPr>
              <w:t>1.9</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73A058" w14:textId="77777777" w:rsidR="00006001" w:rsidRPr="00743784" w:rsidRDefault="00006001"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743784">
              <w:rPr>
                <w:rFonts w:ascii="Century Gothic" w:hAnsi="Century Gothic"/>
                <w:szCs w:val="22"/>
              </w:rPr>
              <w:t xml:space="preserve">Increase the Allowed Percentage of Project Based Voucher (PBV) Units from 75 Percent to 100 Percent in a Mixed-Finance Development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DB3D37" w14:textId="77777777" w:rsidR="00006001" w:rsidRPr="00743784"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743784">
              <w:rPr>
                <w:rFonts w:ascii="Century Gothic" w:hAnsi="Century Gothic"/>
                <w:noProof/>
                <w:szCs w:val="22"/>
                <w:lang w:eastAsia="en-US"/>
              </w:rPr>
              <w:drawing>
                <wp:inline distT="0" distB="0" distL="0" distR="0" wp14:anchorId="406EAE7C" wp14:editId="7128A362">
                  <wp:extent cx="182880" cy="182880"/>
                  <wp:effectExtent l="0" t="0" r="7620" b="7620"/>
                  <wp:docPr id="228" name="Graphic 1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C83A5F" w14:textId="77777777" w:rsidR="00006001" w:rsidRPr="00743784"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743784">
              <w:rPr>
                <w:rFonts w:ascii="Century Gothic" w:hAnsi="Century Gothic"/>
                <w:noProof/>
                <w:szCs w:val="22"/>
                <w:lang w:eastAsia="en-US"/>
              </w:rPr>
              <w:drawing>
                <wp:inline distT="0" distB="0" distL="0" distR="0" wp14:anchorId="3F10ECB9" wp14:editId="07565472">
                  <wp:extent cx="182880" cy="182880"/>
                  <wp:effectExtent l="0" t="0" r="7620" b="7620"/>
                  <wp:docPr id="229" name="Graphic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745516" w14:textId="77777777" w:rsidR="00006001" w:rsidRPr="00743784"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F0E928" w14:textId="77777777" w:rsidR="00006001" w:rsidRPr="00743784" w:rsidDel="00854FF2"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743784">
              <w:rPr>
                <w:rFonts w:ascii="Century Gothic" w:hAnsi="Century Gothic"/>
                <w:szCs w:val="22"/>
              </w:rPr>
              <w:t>2012</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2B2D9E44" w14:textId="1B394608" w:rsidR="00006001" w:rsidRPr="00743784" w:rsidRDefault="0086586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vertAlign w:val="superscript"/>
              </w:rPr>
            </w:pPr>
            <w:r w:rsidRPr="00743784">
              <w:rPr>
                <w:rFonts w:ascii="Century Gothic" w:hAnsi="Century Gothic"/>
                <w:szCs w:val="22"/>
              </w:rPr>
              <w:t>On Hold</w:t>
            </w:r>
          </w:p>
        </w:tc>
      </w:tr>
      <w:tr w:rsidR="0081614A" w:rsidRPr="00511383" w14:paraId="692A697B"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A7A3574" w14:textId="77777777" w:rsidR="00006001" w:rsidRPr="00743784" w:rsidRDefault="00006001" w:rsidP="00006001">
            <w:pPr>
              <w:jc w:val="center"/>
              <w:rPr>
                <w:rFonts w:ascii="Century Gothic" w:hAnsi="Century Gothic"/>
                <w:szCs w:val="22"/>
              </w:rPr>
            </w:pPr>
            <w:r w:rsidRPr="00743784">
              <w:rPr>
                <w:rFonts w:ascii="Century Gothic" w:hAnsi="Century Gothic"/>
                <w:szCs w:val="22"/>
              </w:rPr>
              <w:t>1.11</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616BAB" w14:textId="77777777" w:rsidR="00006001" w:rsidRPr="00743784" w:rsidRDefault="00006001"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743784">
              <w:rPr>
                <w:rFonts w:ascii="Century Gothic" w:hAnsi="Century Gothic"/>
                <w:szCs w:val="22"/>
              </w:rPr>
              <w:t>Increase the Percentage of Housing Choice Voucher Budget Authority for the Agency that is Permitted to Project-Base from 20 Percent up to 25 Percent</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6C78BA" w14:textId="77777777" w:rsidR="00006001" w:rsidRPr="00743784"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607034" w14:textId="77777777" w:rsidR="00006001" w:rsidRPr="00743784"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743784">
              <w:rPr>
                <w:rFonts w:ascii="Century Gothic" w:hAnsi="Century Gothic"/>
                <w:noProof/>
                <w:szCs w:val="22"/>
                <w:lang w:eastAsia="en-US"/>
              </w:rPr>
              <w:drawing>
                <wp:inline distT="0" distB="0" distL="0" distR="0" wp14:anchorId="0CF8B570" wp14:editId="3C553E10">
                  <wp:extent cx="182880" cy="182880"/>
                  <wp:effectExtent l="0" t="0" r="7620" b="7620"/>
                  <wp:docPr id="231" name="Graphic 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BD65D1" w14:textId="77777777" w:rsidR="00006001" w:rsidRPr="00743784"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F7BE1F" w14:textId="77777777" w:rsidR="00006001" w:rsidRPr="00743784"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743784">
              <w:rPr>
                <w:rFonts w:ascii="Century Gothic" w:hAnsi="Century Gothic"/>
                <w:szCs w:val="22"/>
              </w:rPr>
              <w:t>2013</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E4571C6" w14:textId="77777777" w:rsidR="00006001" w:rsidRPr="00743784"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743784">
              <w:rPr>
                <w:rFonts w:ascii="Century Gothic" w:hAnsi="Century Gothic"/>
                <w:szCs w:val="22"/>
              </w:rPr>
              <w:t>Ongoing</w:t>
            </w:r>
          </w:p>
        </w:tc>
      </w:tr>
      <w:tr w:rsidR="0081614A" w:rsidRPr="00511383" w14:paraId="6F376F74" w14:textId="77777777" w:rsidTr="0E6C54A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B1D8880" w14:textId="77777777" w:rsidR="00006001" w:rsidRPr="00097C16" w:rsidRDefault="00006001" w:rsidP="00006001">
            <w:pPr>
              <w:jc w:val="center"/>
              <w:rPr>
                <w:rFonts w:ascii="Century Gothic" w:hAnsi="Century Gothic"/>
                <w:szCs w:val="22"/>
              </w:rPr>
            </w:pPr>
            <w:r w:rsidRPr="00097C16">
              <w:rPr>
                <w:rFonts w:ascii="Century Gothic" w:hAnsi="Century Gothic"/>
                <w:szCs w:val="22"/>
              </w:rPr>
              <w:t>1.12</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0A50CB" w14:textId="77777777" w:rsidR="00006001" w:rsidRPr="00097C16" w:rsidRDefault="00006001"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97C16">
              <w:rPr>
                <w:rFonts w:ascii="Century Gothic" w:hAnsi="Century Gothic"/>
                <w:szCs w:val="22"/>
              </w:rPr>
              <w:t xml:space="preserve">Development of Replacement Public Housing Units with MTW Block Grant Funds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A61B9"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13D837"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743784">
              <w:rPr>
                <w:rFonts w:ascii="Century Gothic" w:hAnsi="Century Gothic"/>
                <w:noProof/>
                <w:szCs w:val="22"/>
                <w:lang w:eastAsia="en-US"/>
              </w:rPr>
              <w:drawing>
                <wp:inline distT="0" distB="0" distL="0" distR="0" wp14:anchorId="2D3AC461" wp14:editId="428C8B8A">
                  <wp:extent cx="182880" cy="182880"/>
                  <wp:effectExtent l="0" t="0" r="7620" b="7620"/>
                  <wp:docPr id="23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5A7FEF"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EAD860"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97C16">
              <w:rPr>
                <w:rFonts w:ascii="Century Gothic" w:hAnsi="Century Gothic"/>
                <w:szCs w:val="22"/>
              </w:rPr>
              <w:t>2013</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E7BD215"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97C16">
              <w:rPr>
                <w:rFonts w:ascii="Century Gothic" w:hAnsi="Century Gothic"/>
                <w:szCs w:val="22"/>
              </w:rPr>
              <w:t>Ongoing</w:t>
            </w:r>
          </w:p>
        </w:tc>
      </w:tr>
      <w:tr w:rsidR="0081614A" w:rsidRPr="00511383" w14:paraId="69B46E64"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CBBB0D9" w14:textId="77777777" w:rsidR="00006001" w:rsidRPr="00097C16" w:rsidRDefault="00006001" w:rsidP="00006001">
            <w:pPr>
              <w:jc w:val="center"/>
              <w:rPr>
                <w:rFonts w:ascii="Century Gothic" w:hAnsi="Century Gothic"/>
                <w:szCs w:val="22"/>
              </w:rPr>
            </w:pPr>
            <w:r w:rsidRPr="00097C16">
              <w:rPr>
                <w:rFonts w:ascii="Century Gothic" w:hAnsi="Century Gothic"/>
                <w:szCs w:val="22"/>
              </w:rPr>
              <w:t>1.13</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7C4A7B" w14:textId="77777777" w:rsidR="00006001" w:rsidRPr="00097C16" w:rsidRDefault="00006001"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97C16">
              <w:rPr>
                <w:rFonts w:ascii="Century Gothic" w:hAnsi="Century Gothic"/>
                <w:szCs w:val="22"/>
              </w:rPr>
              <w:t xml:space="preserve">Creation of a Commercial Business Venture at 122 Wilmot Road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41F566"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97C16">
              <w:rPr>
                <w:rFonts w:ascii="Century Gothic" w:hAnsi="Century Gothic"/>
                <w:noProof/>
                <w:szCs w:val="22"/>
                <w:lang w:eastAsia="en-US"/>
              </w:rPr>
              <w:drawing>
                <wp:inline distT="0" distB="0" distL="0" distR="0" wp14:anchorId="24D1FFDB" wp14:editId="27513C6B">
                  <wp:extent cx="182880" cy="182880"/>
                  <wp:effectExtent l="0" t="0" r="7620" b="7620"/>
                  <wp:docPr id="233" name="Graphic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70240B"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23999B"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C8A075"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97C16">
              <w:rPr>
                <w:rFonts w:ascii="Century Gothic" w:hAnsi="Century Gothic"/>
                <w:szCs w:val="22"/>
              </w:rPr>
              <w:t>2013</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3C0777A"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97C16">
              <w:rPr>
                <w:rFonts w:ascii="Century Gothic" w:hAnsi="Century Gothic"/>
                <w:szCs w:val="22"/>
              </w:rPr>
              <w:t>Closed</w:t>
            </w:r>
            <w:r w:rsidRPr="00097C16">
              <w:rPr>
                <w:rFonts w:ascii="Century Gothic" w:hAnsi="Century Gothic"/>
                <w:szCs w:val="22"/>
                <w:vertAlign w:val="superscript"/>
              </w:rPr>
              <w:footnoteReference w:id="3"/>
            </w:r>
          </w:p>
        </w:tc>
      </w:tr>
      <w:tr w:rsidR="0081614A" w:rsidRPr="00511383" w14:paraId="5817B8E9"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9FBE1D2" w14:textId="77777777" w:rsidR="00006001" w:rsidRPr="00097C16" w:rsidRDefault="00006001" w:rsidP="00006001">
            <w:pPr>
              <w:jc w:val="center"/>
              <w:rPr>
                <w:rFonts w:ascii="Century Gothic" w:hAnsi="Century Gothic"/>
                <w:szCs w:val="22"/>
              </w:rPr>
            </w:pPr>
            <w:r w:rsidRPr="00097C16">
              <w:rPr>
                <w:rFonts w:ascii="Century Gothic" w:hAnsi="Century Gothic"/>
                <w:szCs w:val="22"/>
              </w:rPr>
              <w:t>1.14</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1319EB" w14:textId="77777777" w:rsidR="00006001" w:rsidRPr="00097C16" w:rsidRDefault="00006001"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97C16">
              <w:rPr>
                <w:rFonts w:ascii="Century Gothic" w:hAnsi="Century Gothic"/>
                <w:szCs w:val="22"/>
              </w:rPr>
              <w:t xml:space="preserve">Redevelopment of 99 Edgewood Avenue (Dwight Gardens)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D62409"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315B0B"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97C16">
              <w:rPr>
                <w:rFonts w:ascii="Century Gothic" w:hAnsi="Century Gothic"/>
                <w:noProof/>
                <w:szCs w:val="22"/>
                <w:lang w:eastAsia="en-US"/>
              </w:rPr>
              <w:drawing>
                <wp:inline distT="0" distB="0" distL="0" distR="0" wp14:anchorId="72878FC3" wp14:editId="55A32333">
                  <wp:extent cx="182880" cy="182880"/>
                  <wp:effectExtent l="0" t="0" r="7620" b="7620"/>
                  <wp:docPr id="471" name="Graphic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4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7E6C84"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2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15F4A6"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97C16">
              <w:rPr>
                <w:rFonts w:ascii="Century Gothic" w:hAnsi="Century Gothic"/>
                <w:szCs w:val="22"/>
              </w:rPr>
              <w:t>2013</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2573EFA" w14:textId="77777777" w:rsidR="00006001" w:rsidRPr="00097C1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97C16">
              <w:rPr>
                <w:rFonts w:ascii="Century Gothic" w:hAnsi="Century Gothic"/>
                <w:szCs w:val="22"/>
              </w:rPr>
              <w:t>Closed</w:t>
            </w:r>
            <w:r w:rsidRPr="00097C16">
              <w:rPr>
                <w:rFonts w:ascii="Century Gothic" w:hAnsi="Century Gothic"/>
                <w:szCs w:val="22"/>
                <w:vertAlign w:val="superscript"/>
              </w:rPr>
              <w:footnoteReference w:id="4"/>
            </w:r>
          </w:p>
        </w:tc>
      </w:tr>
      <w:tr w:rsidR="0081614A" w:rsidRPr="00511383" w14:paraId="062D037B"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A4B1467" w14:textId="77777777" w:rsidR="00006001" w:rsidRPr="00097C16" w:rsidRDefault="00006001" w:rsidP="00006001">
            <w:pPr>
              <w:jc w:val="center"/>
              <w:rPr>
                <w:rFonts w:ascii="Century Gothic" w:hAnsi="Century Gothic"/>
                <w:szCs w:val="22"/>
              </w:rPr>
            </w:pPr>
            <w:r w:rsidRPr="00097C16">
              <w:rPr>
                <w:rFonts w:ascii="Century Gothic" w:hAnsi="Century Gothic"/>
                <w:szCs w:val="22"/>
              </w:rPr>
              <w:t>Label</w:t>
            </w:r>
          </w:p>
        </w:tc>
        <w:tc>
          <w:tcPr>
            <w:tcW w:w="411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D5A902D" w14:textId="77777777" w:rsidR="00006001" w:rsidRPr="00097C16" w:rsidRDefault="52E5F516" w:rsidP="007742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097C16">
              <w:rPr>
                <w:rFonts w:ascii="Century Gothic" w:hAnsi="Century Gothic"/>
                <w:b/>
                <w:bCs/>
              </w:rPr>
              <w:t>Description</w:t>
            </w:r>
          </w:p>
        </w:tc>
        <w:tc>
          <w:tcPr>
            <w:tcW w:w="1309"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65A099A"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97C16">
              <w:rPr>
                <w:rFonts w:ascii="Century Gothic" w:hAnsi="Century Gothic"/>
                <w:b/>
                <w:szCs w:val="22"/>
              </w:rPr>
              <w:t>Cost Effective</w:t>
            </w:r>
          </w:p>
        </w:tc>
        <w:tc>
          <w:tcPr>
            <w:tcW w:w="1309"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72F516D"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97C16">
              <w:rPr>
                <w:rFonts w:ascii="Century Gothic" w:hAnsi="Century Gothic"/>
                <w:b/>
                <w:szCs w:val="22"/>
              </w:rPr>
              <w:t>Expand Housing Choice</w:t>
            </w:r>
          </w:p>
        </w:tc>
        <w:tc>
          <w:tcPr>
            <w:tcW w:w="1309"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D53C5CB"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97C16">
              <w:rPr>
                <w:rFonts w:ascii="Century Gothic" w:hAnsi="Century Gothic"/>
                <w:b/>
                <w:szCs w:val="22"/>
              </w:rPr>
              <w:t>Increase Self-Sufficiency</w:t>
            </w:r>
          </w:p>
        </w:tc>
        <w:tc>
          <w:tcPr>
            <w:tcW w:w="1309" w:type="dxa"/>
            <w:gridSpan w:val="2"/>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1D7FF0C"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97C16">
              <w:rPr>
                <w:rFonts w:ascii="Century Gothic" w:hAnsi="Century Gothic"/>
                <w:b/>
                <w:szCs w:val="22"/>
              </w:rPr>
              <w:t>FY Approved</w:t>
            </w:r>
          </w:p>
        </w:tc>
        <w:tc>
          <w:tcPr>
            <w:tcW w:w="118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6604468" w14:textId="77777777" w:rsidR="00006001" w:rsidRPr="00097C16"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97C16">
              <w:rPr>
                <w:rFonts w:ascii="Century Gothic" w:hAnsi="Century Gothic"/>
                <w:b/>
                <w:szCs w:val="22"/>
              </w:rPr>
              <w:t>Status</w:t>
            </w:r>
          </w:p>
        </w:tc>
      </w:tr>
      <w:tr w:rsidR="0081614A" w:rsidRPr="00511383" w14:paraId="748A1874"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7EB33EB" w14:textId="77777777" w:rsidR="00006001" w:rsidRPr="00743784" w:rsidRDefault="00006001" w:rsidP="00006001">
            <w:pPr>
              <w:jc w:val="center"/>
              <w:rPr>
                <w:rFonts w:ascii="Century Gothic" w:hAnsi="Century Gothic"/>
                <w:szCs w:val="22"/>
              </w:rPr>
            </w:pPr>
            <w:r w:rsidRPr="00743784">
              <w:rPr>
                <w:rFonts w:ascii="Century Gothic" w:hAnsi="Century Gothic"/>
                <w:szCs w:val="22"/>
              </w:rPr>
              <w:lastRenderedPageBreak/>
              <w:t>1.15-1.17</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33749E" w14:textId="77777777" w:rsidR="00006001" w:rsidRPr="00743784" w:rsidRDefault="00006001"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743784">
              <w:rPr>
                <w:rFonts w:ascii="Century Gothic" w:hAnsi="Century Gothic"/>
                <w:szCs w:val="22"/>
              </w:rPr>
              <w:t>RAD Finance Development for Rockview Phase II Rental &amp; Westville Manor Transformation Plan</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0DBEB9" w14:textId="77777777" w:rsidR="00006001" w:rsidRPr="00743784"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5A7335" w14:textId="77777777" w:rsidR="00006001" w:rsidRPr="002A314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26CCA">
              <w:rPr>
                <w:rFonts w:ascii="Century Gothic" w:hAnsi="Century Gothic"/>
                <w:noProof/>
                <w:szCs w:val="22"/>
                <w:lang w:eastAsia="en-US"/>
              </w:rPr>
              <w:drawing>
                <wp:inline distT="0" distB="0" distL="0" distR="0" wp14:anchorId="6E8A4300" wp14:editId="49395148">
                  <wp:extent cx="182880" cy="182880"/>
                  <wp:effectExtent l="0" t="0" r="7620" b="7620"/>
                  <wp:docPr id="235" name="Graphic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029457" w14:textId="77777777" w:rsidR="00006001" w:rsidRPr="002A314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501000" w14:textId="77777777" w:rsidR="00006001" w:rsidRPr="002A314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2A3146">
              <w:rPr>
                <w:rFonts w:ascii="Century Gothic" w:hAnsi="Century Gothic"/>
                <w:szCs w:val="22"/>
              </w:rPr>
              <w:t>2014</w:t>
            </w:r>
          </w:p>
          <w:p w14:paraId="6701C783" w14:textId="1F4AD347" w:rsidR="00464E6C" w:rsidRPr="002A3146" w:rsidRDefault="00464E6C"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2A3146">
              <w:rPr>
                <w:rFonts w:ascii="Century Gothic" w:hAnsi="Century Gothic"/>
                <w:szCs w:val="22"/>
              </w:rPr>
              <w:t>Revised in 2021</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4A4FDACF" w14:textId="77777777" w:rsidR="00006001" w:rsidRPr="002A3146" w:rsidRDefault="00006001"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2A3146">
              <w:rPr>
                <w:rFonts w:ascii="Century Gothic" w:hAnsi="Century Gothic"/>
                <w:szCs w:val="22"/>
              </w:rPr>
              <w:t xml:space="preserve">   Ongoing</w:t>
            </w:r>
          </w:p>
        </w:tc>
      </w:tr>
      <w:tr w:rsidR="0081614A" w:rsidRPr="00511383" w14:paraId="0921CCC3"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0D91180" w14:textId="77777777" w:rsidR="00006001" w:rsidRPr="00920967" w:rsidRDefault="00006001" w:rsidP="00006001">
            <w:pPr>
              <w:jc w:val="center"/>
              <w:rPr>
                <w:rFonts w:ascii="Century Gothic" w:hAnsi="Century Gothic"/>
                <w:szCs w:val="22"/>
              </w:rPr>
            </w:pPr>
            <w:r w:rsidRPr="00920967">
              <w:rPr>
                <w:rFonts w:ascii="Century Gothic" w:hAnsi="Century Gothic"/>
                <w:szCs w:val="22"/>
              </w:rPr>
              <w:t>1.16</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8142FA" w14:textId="77777777" w:rsidR="00006001" w:rsidRPr="00920967" w:rsidRDefault="00006001"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20967">
              <w:rPr>
                <w:rFonts w:ascii="Century Gothic" w:hAnsi="Century Gothic"/>
                <w:szCs w:val="22"/>
              </w:rPr>
              <w:t>Crawford Manor Transformation Plan</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F344D1" w14:textId="77777777" w:rsidR="00006001" w:rsidRPr="00920967"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A3D127" w14:textId="77777777" w:rsidR="00006001" w:rsidRPr="006249F7"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249F7">
              <w:rPr>
                <w:rFonts w:ascii="Century Gothic" w:hAnsi="Century Gothic"/>
                <w:noProof/>
                <w:szCs w:val="22"/>
                <w:lang w:eastAsia="en-US"/>
              </w:rPr>
              <w:drawing>
                <wp:inline distT="0" distB="0" distL="0" distR="0" wp14:anchorId="36F021C8" wp14:editId="354CBB57">
                  <wp:extent cx="182880" cy="182880"/>
                  <wp:effectExtent l="0" t="0" r="7620" b="7620"/>
                  <wp:docPr id="236"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9BAD18" w14:textId="77777777" w:rsidR="00006001" w:rsidRPr="006249F7"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4C4916" w14:textId="2C9F0B15" w:rsidR="00006001" w:rsidRPr="006249F7" w:rsidRDefault="75179709" w:rsidP="64D90BE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6249F7">
              <w:rPr>
                <w:rFonts w:ascii="Century Gothic" w:hAnsi="Century Gothic"/>
              </w:rPr>
              <w:t>201</w:t>
            </w:r>
            <w:r w:rsidR="1D37F4B5" w:rsidRPr="006249F7">
              <w:rPr>
                <w:rFonts w:ascii="Century Gothic" w:hAnsi="Century Gothic"/>
              </w:rPr>
              <w:t>3</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99CA2E3" w14:textId="0139D1EC" w:rsidR="00006001" w:rsidRPr="006249F7"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6249F7">
              <w:rPr>
                <w:rFonts w:ascii="Century Gothic" w:hAnsi="Century Gothic"/>
                <w:szCs w:val="22"/>
              </w:rPr>
              <w:t xml:space="preserve">   O</w:t>
            </w:r>
            <w:r w:rsidR="000A653A" w:rsidRPr="006249F7">
              <w:rPr>
                <w:rFonts w:ascii="Century Gothic" w:hAnsi="Century Gothic"/>
                <w:szCs w:val="22"/>
              </w:rPr>
              <w:t>ngoing</w:t>
            </w:r>
          </w:p>
        </w:tc>
      </w:tr>
      <w:tr w:rsidR="000C5F14" w:rsidRPr="00511383" w14:paraId="5A4A7221"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0D6B98E" w14:textId="753B5F7E" w:rsidR="000C5F14" w:rsidRPr="00920967" w:rsidRDefault="000C5F14" w:rsidP="00006001">
            <w:pPr>
              <w:jc w:val="center"/>
              <w:rPr>
                <w:rFonts w:ascii="Century Gothic" w:hAnsi="Century Gothic"/>
                <w:szCs w:val="22"/>
              </w:rPr>
            </w:pPr>
            <w:r w:rsidRPr="00920967">
              <w:rPr>
                <w:rFonts w:ascii="Century Gothic" w:hAnsi="Century Gothic"/>
                <w:szCs w:val="22"/>
              </w:rPr>
              <w:t>1.21</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996A6F" w14:textId="696134A3" w:rsidR="000C5F14" w:rsidRPr="00920967" w:rsidRDefault="000C5F14"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20967">
              <w:rPr>
                <w:rFonts w:ascii="Century Gothic" w:hAnsi="Century Gothic"/>
                <w:szCs w:val="22"/>
              </w:rPr>
              <w:t>Expanded Jurisdiction</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94E2BE" w14:textId="77777777" w:rsidR="000C5F14" w:rsidRPr="00920967" w:rsidRDefault="000C5F14"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CB5244" w14:textId="758BFE5F" w:rsidR="000C5F14" w:rsidRPr="00920967" w:rsidRDefault="000C5F14"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lang w:eastAsia="en-US"/>
              </w:rPr>
            </w:pPr>
            <w:r w:rsidRPr="00920967">
              <w:rPr>
                <w:rFonts w:ascii="Century Gothic" w:hAnsi="Century Gothic"/>
                <w:noProof/>
                <w:szCs w:val="22"/>
                <w:lang w:eastAsia="en-US"/>
              </w:rPr>
              <w:drawing>
                <wp:inline distT="0" distB="0" distL="0" distR="0" wp14:anchorId="16AA803F" wp14:editId="26069C92">
                  <wp:extent cx="182880" cy="182880"/>
                  <wp:effectExtent l="0" t="0" r="7620" b="7620"/>
                  <wp:docPr id="1" name="Graphic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1FB9DE" w14:textId="77777777" w:rsidR="000C5F14" w:rsidRPr="00920967" w:rsidRDefault="000C5F14"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2A5836" w14:textId="0E48A163" w:rsidR="000C5F14" w:rsidRPr="00920967" w:rsidRDefault="000C5F14"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20967">
              <w:rPr>
                <w:rFonts w:ascii="Century Gothic" w:hAnsi="Century Gothic"/>
                <w:szCs w:val="22"/>
              </w:rPr>
              <w:t>2019</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C86CBEE" w14:textId="446FC75B" w:rsidR="000C5F14" w:rsidRPr="00920967" w:rsidRDefault="000C5F14"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20967">
              <w:rPr>
                <w:rFonts w:ascii="Century Gothic" w:hAnsi="Century Gothic"/>
                <w:szCs w:val="22"/>
              </w:rPr>
              <w:t>Ongoing</w:t>
            </w:r>
          </w:p>
        </w:tc>
      </w:tr>
      <w:tr w:rsidR="000C5F14" w:rsidRPr="00511383" w14:paraId="60BA1A1F"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598A628" w14:textId="045A1689" w:rsidR="000C5F14" w:rsidRPr="00920967" w:rsidRDefault="000C5F14" w:rsidP="00006001">
            <w:pPr>
              <w:jc w:val="center"/>
              <w:rPr>
                <w:rFonts w:ascii="Century Gothic" w:hAnsi="Century Gothic"/>
                <w:szCs w:val="22"/>
              </w:rPr>
            </w:pPr>
            <w:r w:rsidRPr="00920967">
              <w:rPr>
                <w:rFonts w:ascii="Century Gothic" w:hAnsi="Century Gothic"/>
                <w:szCs w:val="22"/>
              </w:rPr>
              <w:t>1.22</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2B3728" w14:textId="72151767" w:rsidR="000C5F14" w:rsidRPr="00920967" w:rsidRDefault="000C5F14"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20967">
              <w:rPr>
                <w:rFonts w:ascii="Century Gothic" w:hAnsi="Century Gothic"/>
                <w:szCs w:val="22"/>
              </w:rPr>
              <w:t>Non-traditional Supportive Housing Program</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EFBF38" w14:textId="77777777" w:rsidR="000C5F14" w:rsidRPr="00920967" w:rsidRDefault="000C5F14"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8777F9" w14:textId="28F3C459" w:rsidR="000C5F14" w:rsidRPr="00920967" w:rsidRDefault="000C5F14"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lang w:eastAsia="en-US"/>
              </w:rPr>
            </w:pPr>
            <w:r w:rsidRPr="00920967">
              <w:rPr>
                <w:rFonts w:ascii="Century Gothic" w:hAnsi="Century Gothic"/>
                <w:noProof/>
              </w:rPr>
              <w:drawing>
                <wp:inline distT="0" distB="0" distL="0" distR="0" wp14:anchorId="2AC046E0" wp14:editId="2D6BD039">
                  <wp:extent cx="182880" cy="182880"/>
                  <wp:effectExtent l="0" t="0" r="7620" b="7620"/>
                  <wp:docPr id="4" name="Graphic 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1260E0" w14:textId="77777777" w:rsidR="000C5F14" w:rsidRPr="00920967" w:rsidRDefault="000C5F14"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1B4DE9" w14:textId="4E2877F7" w:rsidR="000C5F14" w:rsidRPr="00920967" w:rsidRDefault="000C5F14"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20967">
              <w:rPr>
                <w:rFonts w:ascii="Century Gothic" w:hAnsi="Century Gothic"/>
                <w:szCs w:val="22"/>
              </w:rPr>
              <w:t>2019</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E88C9FE" w14:textId="220C824F" w:rsidR="000C5F14" w:rsidRPr="00920967" w:rsidRDefault="000C5F14"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920967">
              <w:rPr>
                <w:rFonts w:ascii="Century Gothic" w:hAnsi="Century Gothic"/>
                <w:szCs w:val="22"/>
              </w:rPr>
              <w:t>Ongoing</w:t>
            </w:r>
          </w:p>
        </w:tc>
      </w:tr>
      <w:tr w:rsidR="000C5F14" w:rsidRPr="00511383" w14:paraId="1DFDF7C9"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B045024" w14:textId="27D44ADC" w:rsidR="000C5F14" w:rsidRPr="00920967" w:rsidRDefault="000C5F14" w:rsidP="00006001">
            <w:pPr>
              <w:jc w:val="center"/>
              <w:rPr>
                <w:rFonts w:ascii="Century Gothic" w:hAnsi="Century Gothic"/>
                <w:szCs w:val="22"/>
              </w:rPr>
            </w:pPr>
            <w:r w:rsidRPr="00920967">
              <w:rPr>
                <w:rFonts w:ascii="Century Gothic" w:hAnsi="Century Gothic"/>
                <w:szCs w:val="22"/>
              </w:rPr>
              <w:t>1.23.</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833046" w14:textId="34658FEB" w:rsidR="000C5F14" w:rsidRPr="00920967" w:rsidRDefault="000C5F14"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20967">
              <w:rPr>
                <w:rFonts w:ascii="Century Gothic" w:hAnsi="Century Gothic"/>
                <w:szCs w:val="22"/>
              </w:rPr>
              <w:t xml:space="preserve">St. Luke’s </w:t>
            </w:r>
            <w:r w:rsidR="00F01AD4" w:rsidRPr="00920967">
              <w:rPr>
                <w:rFonts w:ascii="Century Gothic" w:hAnsi="Century Gothic"/>
                <w:szCs w:val="22"/>
              </w:rPr>
              <w:t>Redevelopment</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DFB3F0" w14:textId="7F7D8962" w:rsidR="000C5F14" w:rsidRPr="00920967" w:rsidRDefault="000C5F14"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20967">
              <w:rPr>
                <w:rFonts w:ascii="Century Gothic" w:hAnsi="Century Gothic"/>
                <w:noProof/>
              </w:rPr>
              <w:drawing>
                <wp:inline distT="0" distB="0" distL="0" distR="0" wp14:anchorId="0E0C843E" wp14:editId="1139F9F2">
                  <wp:extent cx="182880" cy="182880"/>
                  <wp:effectExtent l="0" t="0" r="7620" b="7620"/>
                  <wp:docPr id="8" name="Graphic 2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06D51A" w14:textId="0C2692D7" w:rsidR="000C5F14" w:rsidRPr="00920967" w:rsidRDefault="000C5F14"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lang w:eastAsia="en-US"/>
              </w:rPr>
            </w:pPr>
            <w:r w:rsidRPr="00920967">
              <w:rPr>
                <w:rFonts w:ascii="Century Gothic" w:hAnsi="Century Gothic"/>
                <w:noProof/>
              </w:rPr>
              <w:drawing>
                <wp:inline distT="0" distB="0" distL="0" distR="0" wp14:anchorId="3EDC00D2" wp14:editId="19185368">
                  <wp:extent cx="182880" cy="182880"/>
                  <wp:effectExtent l="0" t="0" r="7620" b="7620"/>
                  <wp:docPr id="9" name="Graphic 2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2A3B41" w14:textId="77777777" w:rsidR="000C5F14" w:rsidRPr="00920967" w:rsidRDefault="000C5F14"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3033B6" w14:textId="1EC23404" w:rsidR="000C5F14" w:rsidRPr="00920967" w:rsidRDefault="000C5F14"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920967">
              <w:rPr>
                <w:rFonts w:ascii="Century Gothic" w:hAnsi="Century Gothic"/>
                <w:szCs w:val="22"/>
              </w:rPr>
              <w:t>2022</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B3C93C6" w14:textId="5980FFF8" w:rsidR="000C5F14" w:rsidRPr="00920967" w:rsidRDefault="00DD649D" w:rsidP="6E9E055C">
            <w:pPr>
              <w:jc w:val="center"/>
              <w:cnfStyle w:val="000000100000" w:firstRow="0" w:lastRow="0" w:firstColumn="0" w:lastColumn="0" w:oddVBand="0" w:evenVBand="0" w:oddHBand="1" w:evenHBand="0" w:firstRowFirstColumn="0" w:firstRowLastColumn="0" w:lastRowFirstColumn="0" w:lastRowLastColumn="0"/>
              <w:rPr>
                <w:rFonts w:ascii="Century Gothic" w:eastAsia="MS PGothic" w:hAnsi="Century Gothic"/>
              </w:rPr>
            </w:pPr>
            <w:r w:rsidRPr="00920967">
              <w:rPr>
                <w:rFonts w:ascii="Century Gothic" w:hAnsi="Century Gothic"/>
              </w:rPr>
              <w:t>Ongoing</w:t>
            </w:r>
          </w:p>
        </w:tc>
      </w:tr>
      <w:tr w:rsidR="000C5F14" w:rsidRPr="00511383" w14:paraId="013FA486"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0D4E9B1" w14:textId="596D03BB" w:rsidR="000C5F14" w:rsidRPr="008C2CCA" w:rsidRDefault="000C5F14" w:rsidP="00006001">
            <w:pPr>
              <w:jc w:val="center"/>
              <w:rPr>
                <w:rFonts w:ascii="Century Gothic" w:hAnsi="Century Gothic"/>
                <w:szCs w:val="22"/>
              </w:rPr>
            </w:pPr>
            <w:r w:rsidRPr="008C2CCA">
              <w:rPr>
                <w:rFonts w:ascii="Century Gothic" w:hAnsi="Century Gothic"/>
                <w:szCs w:val="22"/>
              </w:rPr>
              <w:t>1.27</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15D483" w14:textId="020AB25D" w:rsidR="000C5F14" w:rsidRPr="008C2CCA" w:rsidRDefault="000C5F14"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Cap on Project Based Units in a P</w:t>
            </w:r>
            <w:r w:rsidR="002F5DDD" w:rsidRPr="008C2CCA">
              <w:rPr>
                <w:rFonts w:ascii="Century Gothic" w:hAnsi="Century Gothic"/>
                <w:szCs w:val="22"/>
              </w:rPr>
              <w:t>roject</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867BB0" w14:textId="64347739" w:rsidR="000C5F14" w:rsidRPr="008C2CCA" w:rsidRDefault="002F5DDD"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rPr>
            </w:pPr>
            <w:r w:rsidRPr="00920967">
              <w:rPr>
                <w:rFonts w:ascii="Century Gothic" w:hAnsi="Century Gothic"/>
                <w:noProof/>
              </w:rPr>
              <w:drawing>
                <wp:inline distT="0" distB="0" distL="0" distR="0" wp14:anchorId="4BCEA77D" wp14:editId="51FC41D2">
                  <wp:extent cx="182880" cy="182880"/>
                  <wp:effectExtent l="0" t="0" r="7620" b="7620"/>
                  <wp:docPr id="13" name="Graphic 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43B719" w14:textId="359C33E6" w:rsidR="000C5F14" w:rsidRPr="008C2CCA" w:rsidRDefault="002F5DDD"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rPr>
            </w:pPr>
            <w:r w:rsidRPr="008C2CCA">
              <w:rPr>
                <w:rFonts w:ascii="Century Gothic" w:hAnsi="Century Gothic"/>
                <w:noProof/>
              </w:rPr>
              <w:drawing>
                <wp:inline distT="0" distB="0" distL="0" distR="0" wp14:anchorId="447FC5F6" wp14:editId="74DA4C2D">
                  <wp:extent cx="182880" cy="182880"/>
                  <wp:effectExtent l="0" t="0" r="7620" b="7620"/>
                  <wp:docPr id="15" name="Graphic 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D421B5" w14:textId="77777777" w:rsidR="000C5F14" w:rsidRPr="008C2CCA" w:rsidRDefault="000C5F14"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1DFE9D" w14:textId="5E40315F" w:rsidR="000C5F14" w:rsidRPr="008C2CCA" w:rsidRDefault="002F5DDD"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2010</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0BBD890E" w14:textId="47E6F8D0" w:rsidR="000C5F14" w:rsidRPr="008C2CCA" w:rsidRDefault="002F5DDD"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Closed</w:t>
            </w:r>
          </w:p>
        </w:tc>
      </w:tr>
      <w:tr w:rsidR="00811176" w:rsidRPr="00511383" w14:paraId="1BFE17C4"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D1DDB14" w14:textId="3E0F24DC" w:rsidR="00811176" w:rsidRPr="008C2CCA" w:rsidRDefault="00811176" w:rsidP="00006001">
            <w:pPr>
              <w:jc w:val="center"/>
              <w:rPr>
                <w:rFonts w:ascii="Century Gothic" w:hAnsi="Century Gothic"/>
                <w:szCs w:val="22"/>
              </w:rPr>
            </w:pPr>
            <w:r w:rsidRPr="008C2CCA">
              <w:rPr>
                <w:rFonts w:ascii="Century Gothic" w:hAnsi="Century Gothic"/>
                <w:szCs w:val="22"/>
              </w:rPr>
              <w:t>1.28</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6CCADB" w14:textId="77777777" w:rsidR="00811176" w:rsidRPr="008C2CCA" w:rsidRDefault="00811176" w:rsidP="00811176">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8C2CCA">
              <w:rPr>
                <w:rFonts w:ascii="Century Gothic" w:hAnsi="Century Gothic"/>
              </w:rPr>
              <w:t>Increase Lease Up Success Rate for HCV Families</w:t>
            </w:r>
          </w:p>
          <w:p w14:paraId="3D6A62B6" w14:textId="77777777" w:rsidR="00811176" w:rsidRPr="008C2CCA" w:rsidRDefault="00811176" w:rsidP="00006001">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59AECB" w14:textId="77777777" w:rsidR="00811176" w:rsidRPr="008C2CCA" w:rsidRDefault="00811176"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9370F2" w14:textId="703EFFF9" w:rsidR="00811176" w:rsidRPr="008C2CCA" w:rsidRDefault="00811176"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8C2CCA">
              <w:rPr>
                <w:rFonts w:ascii="Century Gothic" w:hAnsi="Century Gothic"/>
                <w:noProof/>
              </w:rPr>
              <w:drawing>
                <wp:inline distT="0" distB="0" distL="0" distR="0" wp14:anchorId="3BEEDE75" wp14:editId="55D8F0AA">
                  <wp:extent cx="182880" cy="182880"/>
                  <wp:effectExtent l="0" t="0" r="7620" b="7620"/>
                  <wp:docPr id="10" name="Graphic 2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60CD87" w14:textId="77777777" w:rsidR="00811176" w:rsidRPr="008C2CCA" w:rsidRDefault="00811176"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lang w:eastAsia="en-US"/>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B9972C" w14:textId="2EDA4364" w:rsidR="00811176" w:rsidRPr="008C2CCA" w:rsidRDefault="00422336"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2023</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DE958BD" w14:textId="4EDB9A88" w:rsidR="00811176" w:rsidRPr="008C2CCA" w:rsidRDefault="008F257D" w:rsidP="0000600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81614A" w:rsidRPr="00511383" w14:paraId="3755B281"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0B916B3" w14:textId="77777777" w:rsidR="00006001" w:rsidRPr="008C2CCA" w:rsidRDefault="00006001" w:rsidP="00006001">
            <w:pPr>
              <w:jc w:val="center"/>
              <w:rPr>
                <w:rFonts w:ascii="Century Gothic" w:hAnsi="Century Gothic"/>
                <w:szCs w:val="22"/>
              </w:rPr>
            </w:pPr>
            <w:r w:rsidRPr="008C2CCA">
              <w:rPr>
                <w:rFonts w:ascii="Century Gothic" w:hAnsi="Century Gothic"/>
                <w:szCs w:val="22"/>
              </w:rPr>
              <w:t>2.1</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A8C445" w14:textId="77777777" w:rsidR="00006001" w:rsidRPr="008C2CCA" w:rsidRDefault="00006001" w:rsidP="00006001">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Family Self-Sufficiency Program</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7E4CA0" w14:textId="77777777" w:rsidR="00006001" w:rsidRPr="008C2CCA"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4E93DB" w14:textId="77777777" w:rsidR="00006001" w:rsidRPr="008C2CCA"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8B0A9B" w14:textId="77777777" w:rsidR="00006001" w:rsidRPr="008C2CCA"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5BBBCF99" wp14:editId="4F17F600">
                  <wp:extent cx="182880" cy="182880"/>
                  <wp:effectExtent l="0" t="0" r="7620" b="7620"/>
                  <wp:docPr id="472" name="Graphic 2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22B22E" w14:textId="77777777" w:rsidR="00006001" w:rsidRPr="008C2CCA"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2007</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C1A4855" w14:textId="77777777" w:rsidR="00006001" w:rsidRPr="008C2CCA" w:rsidRDefault="00006001" w:rsidP="0000600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 xml:space="preserve">   Ongoing</w:t>
            </w:r>
          </w:p>
        </w:tc>
      </w:tr>
      <w:tr w:rsidR="0081614A" w:rsidRPr="00511383" w14:paraId="37812AE9" w14:textId="77777777" w:rsidTr="0E6C54AB">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DADDF98" w14:textId="77777777" w:rsidR="00006001" w:rsidRPr="008C2CCA" w:rsidRDefault="00006001" w:rsidP="00006001">
            <w:pPr>
              <w:contextualSpacing/>
              <w:jc w:val="center"/>
              <w:rPr>
                <w:rFonts w:ascii="Century Gothic" w:hAnsi="Century Gothic"/>
                <w:szCs w:val="22"/>
              </w:rPr>
            </w:pPr>
            <w:r w:rsidRPr="008C2CCA">
              <w:rPr>
                <w:rFonts w:ascii="Century Gothic" w:hAnsi="Century Gothic"/>
                <w:szCs w:val="22"/>
              </w:rPr>
              <w:t>2.2</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67B72A" w14:textId="77777777" w:rsidR="00006001" w:rsidRPr="008C2CCA" w:rsidRDefault="00006001" w:rsidP="0000600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8C2CCA">
              <w:rPr>
                <w:rFonts w:ascii="Century Gothic" w:hAnsi="Century Gothic"/>
                <w:szCs w:val="22"/>
              </w:rPr>
              <w:t xml:space="preserve">Incremental Earned Income Exclusion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EAA44C"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ADA984"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4CDF62"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65453A89" wp14:editId="2BE38020">
                  <wp:extent cx="182880" cy="182880"/>
                  <wp:effectExtent l="0" t="0" r="7620" b="7620"/>
                  <wp:docPr id="239" name="Graphic 3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226F72" w14:textId="77777777" w:rsidR="00006001" w:rsidRPr="008C2CCA" w:rsidDel="00854FF2"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2008</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01A2EC5" w14:textId="68553AD6" w:rsidR="00006001" w:rsidRPr="008C2CCA" w:rsidRDefault="000A653A"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 xml:space="preserve">Closed </w:t>
            </w:r>
          </w:p>
        </w:tc>
      </w:tr>
      <w:tr w:rsidR="0081614A" w:rsidRPr="00511383" w14:paraId="2EC8E45C" w14:textId="77777777" w:rsidTr="0E6C54AB">
        <w:trPr>
          <w:trHeight w:val="879"/>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158037C" w14:textId="77777777" w:rsidR="00006001" w:rsidRPr="008C2CCA" w:rsidRDefault="00006001" w:rsidP="00006001">
            <w:pPr>
              <w:contextualSpacing/>
              <w:jc w:val="center"/>
              <w:rPr>
                <w:rFonts w:ascii="Century Gothic" w:hAnsi="Century Gothic"/>
                <w:szCs w:val="22"/>
              </w:rPr>
            </w:pPr>
            <w:r w:rsidRPr="008C2CCA">
              <w:rPr>
                <w:rFonts w:ascii="Century Gothic" w:hAnsi="Century Gothic"/>
                <w:szCs w:val="22"/>
              </w:rPr>
              <w:t>2.3</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8A99E4" w14:textId="77777777" w:rsidR="00006001" w:rsidRPr="008C2CCA" w:rsidRDefault="00006001" w:rsidP="00006001">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b/>
                <w:szCs w:val="22"/>
              </w:rPr>
            </w:pPr>
            <w:r w:rsidRPr="008C2CCA">
              <w:rPr>
                <w:rFonts w:ascii="Century Gothic" w:hAnsi="Century Gothic"/>
                <w:szCs w:val="22"/>
              </w:rPr>
              <w:t xml:space="preserve">CARES (Caring About Resident Economic Self-Sufficiency)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3EA4C1"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373A6"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B8AAF5"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51B703BF" wp14:editId="75179219">
                  <wp:extent cx="182880" cy="182880"/>
                  <wp:effectExtent l="0" t="0" r="7620" b="7620"/>
                  <wp:docPr id="240" name="Graphic 3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833207"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2012</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4322F2C9"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81614A" w:rsidRPr="00511383" w14:paraId="0BEF47A6" w14:textId="77777777" w:rsidTr="0E6C54A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BED6101" w14:textId="77777777" w:rsidR="00006001" w:rsidRPr="008C2CCA" w:rsidRDefault="00006001" w:rsidP="00006001">
            <w:pPr>
              <w:contextualSpacing/>
              <w:jc w:val="center"/>
              <w:rPr>
                <w:rFonts w:ascii="Century Gothic" w:hAnsi="Century Gothic"/>
                <w:szCs w:val="22"/>
              </w:rPr>
            </w:pPr>
            <w:r w:rsidRPr="008C2CCA">
              <w:rPr>
                <w:rFonts w:ascii="Century Gothic" w:hAnsi="Century Gothic"/>
                <w:szCs w:val="22"/>
              </w:rPr>
              <w:t>2.4</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AF5D6D" w14:textId="77777777" w:rsidR="00006001" w:rsidRPr="008C2CCA" w:rsidRDefault="00006001" w:rsidP="0000600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8C2CCA">
              <w:rPr>
                <w:rFonts w:ascii="Century Gothic" w:hAnsi="Century Gothic"/>
                <w:szCs w:val="22"/>
              </w:rPr>
              <w:t xml:space="preserve">Teacher in Residence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9FCE07"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AFBB90"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BB2EB2"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244CAF83" wp14:editId="2CF5F3C2">
                  <wp:extent cx="182880" cy="182880"/>
                  <wp:effectExtent l="0" t="0" r="7620" b="7620"/>
                  <wp:docPr id="241" name="Graphic 3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FB4306"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2015</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C470749"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81614A" w:rsidRPr="00511383" w14:paraId="0BE1BD0D" w14:textId="77777777" w:rsidTr="0E6C54AB">
        <w:trPr>
          <w:trHeight w:val="584"/>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330938D" w14:textId="20CA6729" w:rsidR="00630536" w:rsidRPr="008C2CCA" w:rsidRDefault="00630536" w:rsidP="00006001">
            <w:pPr>
              <w:contextualSpacing/>
              <w:jc w:val="center"/>
              <w:rPr>
                <w:rFonts w:ascii="Century Gothic" w:hAnsi="Century Gothic"/>
                <w:b w:val="0"/>
              </w:rPr>
            </w:pPr>
            <w:r w:rsidRPr="008C2CCA">
              <w:rPr>
                <w:rFonts w:ascii="Century Gothic" w:hAnsi="Century Gothic"/>
              </w:rPr>
              <w:t>2.</w:t>
            </w:r>
            <w:r w:rsidR="00A8740E" w:rsidRPr="008C2CCA">
              <w:rPr>
                <w:rFonts w:ascii="Century Gothic" w:hAnsi="Century Gothic"/>
              </w:rPr>
              <w:t>5</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999025" w14:textId="2B450704" w:rsidR="00630536" w:rsidRPr="008C2CCA" w:rsidRDefault="00A8740E" w:rsidP="00006001">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REACH</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3BA21A" w14:textId="77777777" w:rsidR="00630536" w:rsidRPr="008C2CCA" w:rsidRDefault="00630536"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C67DF0" w14:textId="77777777" w:rsidR="00630536" w:rsidRPr="008C2CCA" w:rsidRDefault="00630536"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DA2666" w14:textId="571D875D" w:rsidR="00630536" w:rsidRPr="008C2CCA" w:rsidRDefault="00A8740E"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lang w:eastAsia="en-US"/>
              </w:rPr>
            </w:pPr>
            <w:r w:rsidRPr="008C2CCA">
              <w:rPr>
                <w:rFonts w:ascii="Century Gothic" w:hAnsi="Century Gothic"/>
                <w:noProof/>
                <w:szCs w:val="22"/>
                <w:lang w:eastAsia="en-US"/>
              </w:rPr>
              <w:drawing>
                <wp:inline distT="0" distB="0" distL="0" distR="0" wp14:anchorId="22DECF88" wp14:editId="58CC5897">
                  <wp:extent cx="182880" cy="182880"/>
                  <wp:effectExtent l="0" t="0" r="7620" b="7620"/>
                  <wp:docPr id="5" name="Graphic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FFE91B" w14:textId="67F179A6" w:rsidR="00630536" w:rsidRPr="008C2CCA" w:rsidRDefault="00A8740E"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2019</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99E6050" w14:textId="7BD9BB52" w:rsidR="00630536" w:rsidRPr="008C2CCA" w:rsidRDefault="00A8740E"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8C2CCA">
              <w:rPr>
                <w:rFonts w:ascii="Century Gothic" w:hAnsi="Century Gothic"/>
              </w:rPr>
              <w:t>Ongoing</w:t>
            </w:r>
            <w:r w:rsidRPr="008C2CCA">
              <w:rPr>
                <w:rStyle w:val="FootnoteReference"/>
                <w:rFonts w:ascii="Century Gothic" w:hAnsi="Century Gothic"/>
              </w:rPr>
              <w:footnoteReference w:id="5"/>
            </w:r>
            <w:r w:rsidRPr="008C2CCA">
              <w:rPr>
                <w:rFonts w:ascii="Century Gothic" w:hAnsi="Century Gothic"/>
              </w:rPr>
              <w:t xml:space="preserve"> </w:t>
            </w:r>
          </w:p>
        </w:tc>
      </w:tr>
      <w:tr w:rsidR="00B94CDB" w:rsidRPr="00511383" w14:paraId="195D7795" w14:textId="77777777" w:rsidTr="0E6C54AB">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2F895EB" w14:textId="05092646" w:rsidR="00B94CDB" w:rsidRPr="008C2CCA" w:rsidRDefault="00B94CDB" w:rsidP="00006001">
            <w:pPr>
              <w:contextualSpacing/>
              <w:jc w:val="center"/>
              <w:rPr>
                <w:rFonts w:ascii="Century Gothic" w:hAnsi="Century Gothic"/>
              </w:rPr>
            </w:pPr>
            <w:r w:rsidRPr="008C2CCA">
              <w:rPr>
                <w:rFonts w:ascii="Century Gothic" w:hAnsi="Century Gothic"/>
              </w:rPr>
              <w:t>2.11</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9C2698" w14:textId="3A9C35C3" w:rsidR="00B94CDB" w:rsidRPr="008C2CCA" w:rsidRDefault="00B94CDB" w:rsidP="0000600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 xml:space="preserve">Community Health Network of </w:t>
            </w:r>
            <w:r w:rsidR="00131718" w:rsidRPr="008C2CCA">
              <w:rPr>
                <w:rFonts w:ascii="Century Gothic" w:hAnsi="Century Gothic"/>
                <w:szCs w:val="22"/>
              </w:rPr>
              <w:t>CT (</w:t>
            </w:r>
            <w:r w:rsidRPr="008C2CCA">
              <w:rPr>
                <w:rFonts w:ascii="Century Gothic" w:hAnsi="Century Gothic"/>
                <w:szCs w:val="22"/>
              </w:rPr>
              <w:t>CHNCT)</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818756" w14:textId="0560B007" w:rsidR="00B94CDB" w:rsidRPr="008C2CCA" w:rsidRDefault="00B94CDB"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694DAEE5" wp14:editId="643B636D">
                  <wp:extent cx="182880" cy="182880"/>
                  <wp:effectExtent l="0" t="0" r="7620" b="7620"/>
                  <wp:docPr id="22" name="Graphic 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31BA39" w14:textId="77777777" w:rsidR="00B94CDB" w:rsidRPr="008C2CCA" w:rsidRDefault="00B94CDB"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C1D73A" w14:textId="77777777" w:rsidR="00B94CDB" w:rsidRPr="008C2CCA" w:rsidRDefault="00B94CDB"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lang w:eastAsia="en-US"/>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6AA097" w14:textId="6DC18EC1" w:rsidR="00B94CDB" w:rsidRPr="008C2CCA" w:rsidRDefault="00B94CDB"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2022</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249F9680" w14:textId="0B10BE09" w:rsidR="00B94CDB" w:rsidRPr="008C2CCA" w:rsidRDefault="5B8F6A61" w:rsidP="6E9E055C">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PGothic" w:hAnsi="Century Gothic"/>
              </w:rPr>
            </w:pPr>
            <w:r w:rsidRPr="008C2CCA">
              <w:rPr>
                <w:rFonts w:ascii="Century Gothic" w:hAnsi="Century Gothic"/>
              </w:rPr>
              <w:t xml:space="preserve">Closed </w:t>
            </w:r>
          </w:p>
        </w:tc>
      </w:tr>
      <w:tr w:rsidR="0081614A" w:rsidRPr="00511383" w14:paraId="56F5542B" w14:textId="77777777" w:rsidTr="0E6C54AB">
        <w:trPr>
          <w:trHeight w:val="879"/>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59C73C2" w14:textId="77777777" w:rsidR="00006001" w:rsidRPr="008C2CCA" w:rsidRDefault="00006001" w:rsidP="00006001">
            <w:pPr>
              <w:contextualSpacing/>
              <w:jc w:val="center"/>
              <w:rPr>
                <w:rFonts w:ascii="Century Gothic" w:hAnsi="Century Gothic"/>
                <w:szCs w:val="22"/>
              </w:rPr>
            </w:pPr>
            <w:r w:rsidRPr="008C2CCA">
              <w:rPr>
                <w:rFonts w:ascii="Century Gothic" w:hAnsi="Century Gothic"/>
                <w:szCs w:val="22"/>
              </w:rPr>
              <w:t>3.1</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11CC1F" w14:textId="77777777" w:rsidR="00006001" w:rsidRPr="008C2CCA" w:rsidRDefault="00006001" w:rsidP="00006001">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i/>
                <w:iCs/>
                <w:szCs w:val="22"/>
              </w:rPr>
            </w:pPr>
            <w:r w:rsidRPr="008C2CCA">
              <w:rPr>
                <w:rFonts w:ascii="Century Gothic" w:hAnsi="Century Gothic"/>
                <w:szCs w:val="22"/>
              </w:rPr>
              <w:t>Rent Simplification</w:t>
            </w:r>
            <w:r w:rsidRPr="008C2CCA">
              <w:rPr>
                <w:rFonts w:ascii="Century Gothic" w:hAnsi="Century Gothic"/>
                <w:i/>
                <w:iCs/>
                <w:szCs w:val="22"/>
              </w:rPr>
              <w:t xml:space="preserve">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D07170"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729511AC" wp14:editId="5BD3D62A">
                  <wp:extent cx="182880" cy="182880"/>
                  <wp:effectExtent l="0" t="0" r="7620" b="7620"/>
                  <wp:docPr id="242" name="Graphic 3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9CCE05"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988B15"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1C625E"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2007</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EF6A3C2"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81614A" w:rsidRPr="00511383" w14:paraId="61D4438C"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CAAD7DB" w14:textId="77777777" w:rsidR="00006001" w:rsidRPr="008C2CCA" w:rsidRDefault="00006001" w:rsidP="00006001">
            <w:pPr>
              <w:contextualSpacing/>
              <w:jc w:val="center"/>
              <w:rPr>
                <w:rFonts w:ascii="Century Gothic" w:hAnsi="Century Gothic"/>
                <w:szCs w:val="22"/>
              </w:rPr>
            </w:pPr>
            <w:r w:rsidRPr="008C2CCA">
              <w:rPr>
                <w:rFonts w:ascii="Century Gothic" w:hAnsi="Century Gothic"/>
                <w:szCs w:val="22"/>
              </w:rPr>
              <w:t>3.2</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27A50E" w14:textId="77777777" w:rsidR="00006001" w:rsidRPr="008C2CCA" w:rsidRDefault="00006001" w:rsidP="0000600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
                <w:iCs/>
                <w:szCs w:val="22"/>
              </w:rPr>
            </w:pPr>
            <w:r w:rsidRPr="008C2CCA">
              <w:rPr>
                <w:rFonts w:ascii="Century Gothic" w:hAnsi="Century Gothic"/>
                <w:szCs w:val="22"/>
              </w:rPr>
              <w:t xml:space="preserve">UPCS Inspections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F3E247"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68CBEBA3" wp14:editId="721BB902">
                  <wp:extent cx="182880" cy="182880"/>
                  <wp:effectExtent l="0" t="0" r="7620" b="7620"/>
                  <wp:docPr id="243" name="Graphic 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3C8F9D"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5E615C"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C9F2C4"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2008</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A733C11"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rPr>
              <w:t>Closed</w:t>
            </w:r>
            <w:r w:rsidRPr="008C2CCA">
              <w:rPr>
                <w:rStyle w:val="FootnoteReference"/>
                <w:rFonts w:ascii="Century Gothic" w:hAnsi="Century Gothic"/>
              </w:rPr>
              <w:footnoteReference w:id="6"/>
            </w:r>
          </w:p>
        </w:tc>
      </w:tr>
      <w:tr w:rsidR="0081614A" w:rsidRPr="00511383" w14:paraId="33936451"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273036DD" w14:textId="77777777" w:rsidR="00006001" w:rsidRPr="008C2CCA" w:rsidRDefault="00006001" w:rsidP="00006001">
            <w:pPr>
              <w:contextualSpacing/>
              <w:jc w:val="center"/>
              <w:rPr>
                <w:rFonts w:ascii="Century Gothic" w:hAnsi="Century Gothic"/>
                <w:szCs w:val="22"/>
              </w:rPr>
            </w:pPr>
            <w:r w:rsidRPr="008C2CCA">
              <w:rPr>
                <w:rFonts w:ascii="Century Gothic" w:hAnsi="Century Gothic"/>
                <w:szCs w:val="22"/>
              </w:rPr>
              <w:t>3.3</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B5906D" w14:textId="77777777" w:rsidR="00006001" w:rsidRPr="008C2CCA" w:rsidRDefault="00006001" w:rsidP="00006001">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 xml:space="preserve">Revised HQS Inspection Protocol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72A51F"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2C95780A" wp14:editId="7D2AEA46">
                  <wp:extent cx="182880" cy="182880"/>
                  <wp:effectExtent l="0" t="0" r="7620" b="7620"/>
                  <wp:docPr id="245" name="Graphic 3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359C76"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C01AA1"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CA826F"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2011</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2FA9E30"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rPr>
              <w:t>Closed</w:t>
            </w:r>
            <w:r w:rsidRPr="008C2CCA">
              <w:rPr>
                <w:rStyle w:val="FootnoteReference"/>
                <w:rFonts w:ascii="Century Gothic" w:hAnsi="Century Gothic"/>
              </w:rPr>
              <w:footnoteReference w:id="7"/>
            </w:r>
          </w:p>
        </w:tc>
      </w:tr>
      <w:tr w:rsidR="0081614A" w:rsidRPr="00511383" w14:paraId="4FDEFF33"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87C38D7" w14:textId="77777777" w:rsidR="00006001" w:rsidRPr="008C2CCA" w:rsidRDefault="00006001" w:rsidP="00006001">
            <w:pPr>
              <w:contextualSpacing/>
              <w:jc w:val="center"/>
              <w:rPr>
                <w:rFonts w:ascii="Century Gothic" w:hAnsi="Century Gothic"/>
                <w:szCs w:val="22"/>
              </w:rPr>
            </w:pPr>
            <w:r w:rsidRPr="008C2CCA">
              <w:rPr>
                <w:rFonts w:ascii="Century Gothic" w:hAnsi="Century Gothic"/>
                <w:szCs w:val="22"/>
              </w:rPr>
              <w:lastRenderedPageBreak/>
              <w:t>3.4</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9D598A" w14:textId="77777777" w:rsidR="00006001" w:rsidRPr="008C2CCA" w:rsidRDefault="00006001" w:rsidP="0000600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 xml:space="preserve">Mandatory Direct Deposit for Housing Choice Voucher Landlords </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80B6E8"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726A8D0B" wp14:editId="7CB1C485">
                  <wp:extent cx="182880" cy="182880"/>
                  <wp:effectExtent l="0" t="0" r="7620" b="7620"/>
                  <wp:docPr id="246" name="Graphic 3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F5CFD5"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32C111"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25AD33" w14:textId="08BA8A33" w:rsidR="00006001" w:rsidRPr="008C2CCA" w:rsidRDefault="00AA280F"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2010</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A725977"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rPr>
              <w:t>Closed</w:t>
            </w:r>
            <w:r w:rsidRPr="008C2CCA">
              <w:rPr>
                <w:rStyle w:val="FootnoteReference"/>
                <w:rFonts w:ascii="Century Gothic" w:hAnsi="Century Gothic"/>
              </w:rPr>
              <w:footnoteReference w:id="8"/>
            </w:r>
          </w:p>
        </w:tc>
      </w:tr>
      <w:tr w:rsidR="0081614A" w:rsidRPr="00511383" w14:paraId="43FFCB4B" w14:textId="77777777" w:rsidTr="0E6C54AB">
        <w:trPr>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8F1209E" w14:textId="77777777" w:rsidR="00006001" w:rsidRPr="008C2CCA" w:rsidRDefault="00006001" w:rsidP="00006001">
            <w:pPr>
              <w:contextualSpacing/>
              <w:jc w:val="center"/>
              <w:rPr>
                <w:rFonts w:ascii="Century Gothic" w:hAnsi="Century Gothic"/>
                <w:szCs w:val="22"/>
              </w:rPr>
            </w:pPr>
            <w:r w:rsidRPr="008C2CCA">
              <w:rPr>
                <w:rFonts w:ascii="Century Gothic" w:hAnsi="Century Gothic"/>
                <w:szCs w:val="22"/>
              </w:rPr>
              <w:t>3.5</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7D261E" w14:textId="77777777" w:rsidR="00006001" w:rsidRPr="008C2CCA" w:rsidRDefault="00006001" w:rsidP="00006001">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b/>
                <w:szCs w:val="22"/>
              </w:rPr>
            </w:pPr>
            <w:r w:rsidRPr="008C2CCA">
              <w:rPr>
                <w:rFonts w:ascii="Century Gothic" w:hAnsi="Century Gothic"/>
                <w:iCs/>
                <w:szCs w:val="22"/>
              </w:rPr>
              <w:t>HCV Rent Simplification/Cost Stabilization Measures</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2C02C5"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4ACD2750" wp14:editId="3B6A11C9">
                  <wp:extent cx="182880" cy="182880"/>
                  <wp:effectExtent l="0" t="0" r="7620" b="7620"/>
                  <wp:docPr id="247" name="Graphic 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733069"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14F4E7"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0403B4" w14:textId="5F738901" w:rsidR="00006001" w:rsidRPr="008C2CCA" w:rsidRDefault="00AA280F"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2014</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20EFCA9" w14:textId="77777777" w:rsidR="00006001" w:rsidRPr="008C2CCA" w:rsidRDefault="00006001" w:rsidP="00006001">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81614A" w:rsidRPr="00511383" w14:paraId="30193B01" w14:textId="77777777" w:rsidTr="0E6C54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608CF24" w14:textId="4378B4DE" w:rsidR="00006001" w:rsidRPr="008C2CCA" w:rsidRDefault="00C4122F" w:rsidP="00006001">
            <w:pPr>
              <w:contextualSpacing/>
              <w:jc w:val="center"/>
              <w:rPr>
                <w:rFonts w:ascii="Century Gothic" w:hAnsi="Century Gothic"/>
                <w:szCs w:val="22"/>
              </w:rPr>
            </w:pPr>
            <w:r w:rsidRPr="008C2CCA">
              <w:rPr>
                <w:rFonts w:ascii="Century Gothic" w:hAnsi="Century Gothic"/>
                <w:szCs w:val="22"/>
              </w:rPr>
              <w:t>3</w:t>
            </w:r>
            <w:r w:rsidR="007F403E" w:rsidRPr="008C2CCA">
              <w:rPr>
                <w:rFonts w:ascii="Century Gothic" w:hAnsi="Century Gothic"/>
                <w:szCs w:val="22"/>
              </w:rPr>
              <w:t>.9</w:t>
            </w:r>
          </w:p>
        </w:tc>
        <w:tc>
          <w:tcPr>
            <w:tcW w:w="41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FF63C1" w14:textId="77777777" w:rsidR="00006001" w:rsidRPr="008C2CCA" w:rsidRDefault="00006001" w:rsidP="0000600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LIPH Income Targeting: Marketing Initiatives for Higher Income Eligible Families</w:t>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A2CE7D"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szCs w:val="22"/>
                <w:lang w:eastAsia="en-US"/>
              </w:rPr>
              <w:drawing>
                <wp:inline distT="0" distB="0" distL="0" distR="0" wp14:anchorId="7153282C" wp14:editId="1E390764">
                  <wp:extent cx="182880" cy="182880"/>
                  <wp:effectExtent l="0" t="0" r="7620" b="7620"/>
                  <wp:docPr id="249" name="Graphic 4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mar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2880" cy="182880"/>
                          </a:xfrm>
                          <a:prstGeom prst="rect">
                            <a:avLst/>
                          </a:prstGeom>
                        </pic:spPr>
                      </pic:pic>
                    </a:graphicData>
                  </a:graphic>
                </wp:inline>
              </w:drawing>
            </w: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D8500E"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83D6DE"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D6DBD1" w14:textId="4D614A93" w:rsidR="00006001" w:rsidRPr="008C2CCA" w:rsidRDefault="00AA280F"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2008</w:t>
            </w:r>
          </w:p>
        </w:tc>
        <w:tc>
          <w:tcPr>
            <w:tcW w:w="118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58BB9A3F" w14:textId="77777777" w:rsidR="00006001" w:rsidRPr="008C2CCA" w:rsidRDefault="00006001" w:rsidP="0000600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Closed</w:t>
            </w:r>
          </w:p>
        </w:tc>
      </w:tr>
    </w:tbl>
    <w:tbl>
      <w:tblPr>
        <w:tblStyle w:val="ListTable4-Accent21"/>
        <w:tblpPr w:leftFromText="180" w:rightFromText="180" w:vertAnchor="text" w:horzAnchor="margin" w:tblpX="-25" w:tblpY="-719"/>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520"/>
        <w:gridCol w:w="1170"/>
        <w:gridCol w:w="1350"/>
        <w:gridCol w:w="1170"/>
        <w:gridCol w:w="1885"/>
        <w:gridCol w:w="1170"/>
      </w:tblGrid>
      <w:tr w:rsidR="00EF7CEC" w:rsidRPr="00511383" w14:paraId="5AFAD3D4" w14:textId="77777777" w:rsidTr="00AC1CA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DB54F80" w14:textId="4562573C" w:rsidR="00EF7CEC" w:rsidRPr="008C2CCA" w:rsidRDefault="3C997A4C" w:rsidP="5A58023C">
            <w:pPr>
              <w:contextualSpacing/>
              <w:jc w:val="center"/>
              <w:rPr>
                <w:rFonts w:ascii="Century Gothic" w:hAnsi="Century Gothic"/>
                <w:color w:val="auto"/>
              </w:rPr>
            </w:pPr>
            <w:r w:rsidRPr="008C2CCA">
              <w:rPr>
                <w:rFonts w:ascii="Century Gothic" w:hAnsi="Century Gothic"/>
              </w:rPr>
              <w:lastRenderedPageBreak/>
              <w:t>Requires</w:t>
            </w:r>
          </w:p>
          <w:p w14:paraId="1A489655" w14:textId="2538072B" w:rsidR="00EF7CEC" w:rsidRPr="008C2CCA" w:rsidRDefault="3C997A4C" w:rsidP="5A58023C">
            <w:pPr>
              <w:contextualSpacing/>
              <w:jc w:val="center"/>
              <w:rPr>
                <w:rFonts w:ascii="Century Gothic" w:hAnsi="Century Gothic"/>
                <w:color w:val="auto"/>
              </w:rPr>
            </w:pPr>
            <w:r w:rsidRPr="008C2CCA">
              <w:rPr>
                <w:rFonts w:ascii="Century Gothic" w:hAnsi="Century Gothic"/>
              </w:rPr>
              <w:t xml:space="preserve"> Funding Flexibility Only</w:t>
            </w:r>
          </w:p>
        </w:tc>
        <w:tc>
          <w:tcPr>
            <w:tcW w:w="252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DBBF864" w14:textId="77777777" w:rsidR="00EF7CEC" w:rsidRPr="008C2CCA" w:rsidRDefault="00EF7CEC" w:rsidP="00645193">
            <w:pPr>
              <w:contextualSpacing/>
              <w:cnfStyle w:val="100000000000" w:firstRow="1" w:lastRow="0" w:firstColumn="0" w:lastColumn="0" w:oddVBand="0" w:evenVBand="0" w:oddHBand="0" w:evenHBand="0" w:firstRowFirstColumn="0" w:firstRowLastColumn="0" w:lastRowFirstColumn="0" w:lastRowLastColumn="0"/>
              <w:rPr>
                <w:rFonts w:ascii="Century Gothic" w:hAnsi="Century Gothic"/>
                <w:b w:val="0"/>
                <w:szCs w:val="22"/>
              </w:rPr>
            </w:pPr>
          </w:p>
        </w:tc>
        <w:tc>
          <w:tcPr>
            <w:tcW w:w="11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F351966" w14:textId="77777777" w:rsidR="00EF7CEC" w:rsidRPr="008C2CCA" w:rsidRDefault="00EF7CEC" w:rsidP="00645193">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Cs w:val="22"/>
              </w:rPr>
            </w:pPr>
          </w:p>
        </w:tc>
        <w:tc>
          <w:tcPr>
            <w:tcW w:w="135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31C4EAD" w14:textId="77777777" w:rsidR="00EF7CEC" w:rsidRPr="008C2CCA" w:rsidRDefault="00EF7CEC" w:rsidP="00645193">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Cs w:val="22"/>
              </w:rPr>
            </w:pPr>
          </w:p>
        </w:tc>
        <w:tc>
          <w:tcPr>
            <w:tcW w:w="11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002F68C" w14:textId="77777777" w:rsidR="00EF7CEC" w:rsidRPr="008C2CCA" w:rsidRDefault="00EF7CEC" w:rsidP="00645193">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Cs w:val="22"/>
              </w:rPr>
            </w:pPr>
          </w:p>
        </w:tc>
        <w:tc>
          <w:tcPr>
            <w:tcW w:w="1885"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CB93F70" w14:textId="77777777" w:rsidR="00EF7CEC" w:rsidRPr="008C2CCA" w:rsidRDefault="00EF7CEC" w:rsidP="00645193">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Cs w:val="22"/>
              </w:rPr>
            </w:pPr>
          </w:p>
        </w:tc>
        <w:tc>
          <w:tcPr>
            <w:tcW w:w="11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9C378B6" w14:textId="77777777" w:rsidR="00EF7CEC" w:rsidRPr="008C2CCA" w:rsidRDefault="00EF7CEC" w:rsidP="00645193">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Cs w:val="22"/>
              </w:rPr>
            </w:pPr>
          </w:p>
        </w:tc>
      </w:tr>
      <w:tr w:rsidR="0053007F" w:rsidRPr="00511383" w14:paraId="0229C73A" w14:textId="77777777" w:rsidTr="00AC1CA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35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39D53A4" w14:textId="77777777" w:rsidR="00EF7CEC" w:rsidRPr="008C2CCA" w:rsidRDefault="00EF7CEC" w:rsidP="00645193">
            <w:pPr>
              <w:contextualSpacing/>
              <w:jc w:val="center"/>
              <w:rPr>
                <w:rFonts w:ascii="Century Gothic" w:hAnsi="Century Gothic"/>
                <w:szCs w:val="22"/>
              </w:rPr>
            </w:pPr>
            <w:r w:rsidRPr="008C2CCA">
              <w:rPr>
                <w:rFonts w:ascii="Century Gothic" w:hAnsi="Century Gothic"/>
                <w:szCs w:val="22"/>
              </w:rPr>
              <w:t>Label</w:t>
            </w:r>
          </w:p>
        </w:tc>
        <w:tc>
          <w:tcPr>
            <w:tcW w:w="252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59E9C70" w14:textId="77777777" w:rsidR="00EF7CEC" w:rsidRPr="008C2CCA" w:rsidRDefault="00EF7CEC" w:rsidP="00645193">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Cs/>
                <w:szCs w:val="22"/>
              </w:rPr>
            </w:pPr>
            <w:r w:rsidRPr="008C2CCA">
              <w:rPr>
                <w:rFonts w:ascii="Century Gothic" w:hAnsi="Century Gothic"/>
                <w:b/>
                <w:szCs w:val="22"/>
              </w:rPr>
              <w:t>Description</w:t>
            </w:r>
          </w:p>
        </w:tc>
        <w:tc>
          <w:tcPr>
            <w:tcW w:w="11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0E430B4"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8C2CCA">
              <w:rPr>
                <w:rFonts w:ascii="Century Gothic" w:hAnsi="Century Gothic"/>
                <w:b/>
                <w:szCs w:val="22"/>
              </w:rPr>
              <w:t>Cost Effective</w:t>
            </w:r>
          </w:p>
        </w:tc>
        <w:tc>
          <w:tcPr>
            <w:tcW w:w="135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D2D562F"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b/>
                <w:szCs w:val="22"/>
              </w:rPr>
              <w:t>Expand Housing Choice</w:t>
            </w:r>
          </w:p>
        </w:tc>
        <w:tc>
          <w:tcPr>
            <w:tcW w:w="11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F503F63"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b/>
                <w:szCs w:val="22"/>
              </w:rPr>
              <w:t>Increase Self-Sufficiency</w:t>
            </w:r>
          </w:p>
        </w:tc>
        <w:tc>
          <w:tcPr>
            <w:tcW w:w="1885"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349C8B89"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b/>
                <w:szCs w:val="22"/>
              </w:rPr>
              <w:t>FY Approved</w:t>
            </w:r>
          </w:p>
        </w:tc>
        <w:tc>
          <w:tcPr>
            <w:tcW w:w="11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4A1E70D"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b/>
                <w:szCs w:val="22"/>
              </w:rPr>
              <w:t>Status</w:t>
            </w:r>
          </w:p>
        </w:tc>
      </w:tr>
      <w:tr w:rsidR="00EF7CEC" w:rsidRPr="00511383" w14:paraId="74B28E02" w14:textId="77777777" w:rsidTr="00AC1CA7">
        <w:trPr>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7CCA5F5" w14:textId="77777777" w:rsidR="00EF7CEC" w:rsidRPr="008C2CCA" w:rsidRDefault="00EF7CEC" w:rsidP="00645193">
            <w:pPr>
              <w:contextualSpacing/>
              <w:jc w:val="center"/>
              <w:rPr>
                <w:rFonts w:ascii="Century Gothic" w:hAnsi="Century Gothic"/>
                <w:szCs w:val="22"/>
              </w:rPr>
            </w:pPr>
            <w:r w:rsidRPr="008C2CCA">
              <w:rPr>
                <w:rFonts w:ascii="Century Gothic" w:hAnsi="Century Gothic"/>
                <w:szCs w:val="22"/>
              </w:rPr>
              <w:t>1.8F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077017" w14:textId="77777777" w:rsidR="00EF7CEC" w:rsidRPr="008C2CCA" w:rsidRDefault="00EF7CEC" w:rsidP="00645193">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iCs/>
                <w:szCs w:val="22"/>
              </w:rPr>
            </w:pPr>
            <w:proofErr w:type="spellStart"/>
            <w:r w:rsidRPr="008C2CCA">
              <w:rPr>
                <w:rFonts w:ascii="Century Gothic" w:hAnsi="Century Gothic"/>
                <w:iCs/>
                <w:szCs w:val="22"/>
              </w:rPr>
              <w:t>Farnam</w:t>
            </w:r>
            <w:proofErr w:type="spellEnd"/>
            <w:r w:rsidRPr="008C2CCA">
              <w:rPr>
                <w:rFonts w:ascii="Century Gothic" w:hAnsi="Century Gothic"/>
                <w:iCs/>
                <w:szCs w:val="22"/>
              </w:rPr>
              <w:t xml:space="preserve"> Court Transformation </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63E2CB"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0067AD"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8C2CCA">
              <w:rPr>
                <w:rFonts w:ascii="Century Gothic" w:hAnsi="Century Gothic"/>
                <w:noProof/>
                <w:color w:val="2B579A"/>
                <w:szCs w:val="22"/>
                <w:shd w:val="clear" w:color="auto" w:fill="E6E6E6"/>
              </w:rPr>
              <w:drawing>
                <wp:inline distT="0" distB="0" distL="0" distR="0" wp14:anchorId="1678E910" wp14:editId="3791CBA0">
                  <wp:extent cx="182880" cy="182880"/>
                  <wp:effectExtent l="0" t="0" r="7620" b="7620"/>
                  <wp:docPr id="6" name="Graphic 4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2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964133"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5003D7"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2011</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9B01F6D" w14:textId="124DD398" w:rsidR="00EF7CEC" w:rsidRPr="008C2CCA" w:rsidRDefault="00511383"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Closed</w:t>
            </w:r>
          </w:p>
        </w:tc>
      </w:tr>
      <w:tr w:rsidR="00EF7CEC" w:rsidRPr="00511383" w14:paraId="008333BA" w14:textId="77777777" w:rsidTr="00AC1CA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0FED4D9" w14:textId="77777777" w:rsidR="00EF7CEC" w:rsidRPr="008C2CCA" w:rsidRDefault="00EF7CEC" w:rsidP="00645193">
            <w:pPr>
              <w:contextualSpacing/>
              <w:jc w:val="center"/>
              <w:rPr>
                <w:rFonts w:ascii="Century Gothic" w:hAnsi="Century Gothic"/>
                <w:szCs w:val="22"/>
              </w:rPr>
            </w:pPr>
            <w:r w:rsidRPr="008C2CCA">
              <w:rPr>
                <w:rFonts w:ascii="Century Gothic" w:hAnsi="Century Gothic"/>
                <w:szCs w:val="22"/>
              </w:rPr>
              <w:t>1.24F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382E85" w14:textId="77777777" w:rsidR="00EF7CEC" w:rsidRPr="008C2CCA" w:rsidRDefault="00EF7CEC" w:rsidP="00645193">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Fulton Park</w:t>
            </w:r>
          </w:p>
          <w:p w14:paraId="455D8C2B" w14:textId="77777777" w:rsidR="00EF7CEC" w:rsidRPr="008C2CCA" w:rsidRDefault="00EF7CEC" w:rsidP="00645193">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 xml:space="preserve"> Modernization</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D7297C"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5F480C"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8C2CCA">
              <w:rPr>
                <w:rFonts w:ascii="Century Gothic" w:hAnsi="Century Gothic"/>
                <w:noProof/>
                <w:color w:val="2B579A"/>
                <w:szCs w:val="22"/>
                <w:shd w:val="clear" w:color="auto" w:fill="E6E6E6"/>
              </w:rPr>
              <w:drawing>
                <wp:inline distT="0" distB="0" distL="0" distR="0" wp14:anchorId="6F3D9788" wp14:editId="28EB3784">
                  <wp:extent cx="182880" cy="182880"/>
                  <wp:effectExtent l="0" t="0" r="7620" b="7620"/>
                  <wp:docPr id="7"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5BD191"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83A661"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2011</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D92B6FE"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Closed</w:t>
            </w:r>
            <w:r w:rsidRPr="008C2CCA">
              <w:rPr>
                <w:rStyle w:val="FootnoteReference"/>
                <w:rFonts w:ascii="Century Gothic" w:hAnsi="Century Gothic"/>
                <w:szCs w:val="22"/>
              </w:rPr>
              <w:footnoteReference w:id="9"/>
            </w:r>
          </w:p>
        </w:tc>
      </w:tr>
      <w:tr w:rsidR="00EF7CEC" w:rsidRPr="00511383" w14:paraId="17C34E7B" w14:textId="77777777" w:rsidTr="00AC1CA7">
        <w:trPr>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4640704" w14:textId="77777777" w:rsidR="00EF7CEC" w:rsidRPr="008C2CCA" w:rsidRDefault="00EF7CEC" w:rsidP="00645193">
            <w:pPr>
              <w:contextualSpacing/>
              <w:jc w:val="center"/>
              <w:rPr>
                <w:rFonts w:ascii="Century Gothic" w:hAnsi="Century Gothic"/>
                <w:b w:val="0"/>
                <w:bCs w:val="0"/>
                <w:szCs w:val="22"/>
              </w:rPr>
            </w:pPr>
            <w:r w:rsidRPr="008C2CCA">
              <w:rPr>
                <w:rFonts w:ascii="Century Gothic" w:hAnsi="Century Gothic"/>
                <w:szCs w:val="22"/>
              </w:rPr>
              <w:t>1.20F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DF0E1" w14:textId="77777777" w:rsidR="00EF7CEC" w:rsidRPr="008C2CCA" w:rsidRDefault="00EF7CEC" w:rsidP="00645193">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bCs/>
                <w:szCs w:val="22"/>
              </w:rPr>
            </w:pPr>
            <w:r w:rsidRPr="008C2CCA">
              <w:rPr>
                <w:rFonts w:ascii="Century Gothic" w:hAnsi="Century Gothic"/>
                <w:bCs/>
                <w:szCs w:val="22"/>
              </w:rPr>
              <w:t>Redevelopment of West Rock</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BED788"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5F568C"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drawing>
                <wp:inline distT="0" distB="0" distL="0" distR="0" wp14:anchorId="62BD8736" wp14:editId="1BF90EAB">
                  <wp:extent cx="182880" cy="182880"/>
                  <wp:effectExtent l="0" t="0" r="7620" b="7620"/>
                  <wp:docPr id="11" name="Graphic 4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88000A"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766EE8"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2011</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E8963B8"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EF7CEC" w:rsidRPr="00511383" w14:paraId="262D2050" w14:textId="77777777" w:rsidTr="00AC1CA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AA686D9" w14:textId="77777777" w:rsidR="00EF7CEC" w:rsidRPr="008C2CCA" w:rsidRDefault="00EF7CEC" w:rsidP="00645193">
            <w:pPr>
              <w:contextualSpacing/>
              <w:jc w:val="center"/>
              <w:rPr>
                <w:rFonts w:ascii="Century Gothic" w:hAnsi="Century Gothic"/>
                <w:bCs w:val="0"/>
                <w:szCs w:val="22"/>
              </w:rPr>
            </w:pPr>
            <w:r w:rsidRPr="008C2CCA">
              <w:rPr>
                <w:rFonts w:ascii="Century Gothic" w:hAnsi="Century Gothic"/>
                <w:szCs w:val="22"/>
              </w:rPr>
              <w:t>1.25F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8FF538" w14:textId="77777777" w:rsidR="00EF7CEC" w:rsidRPr="008C2CCA" w:rsidRDefault="00EF7CEC" w:rsidP="00645193">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Vacancy Reduction – Various Projects</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BF3CA3"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860426"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drawing>
                <wp:inline distT="0" distB="0" distL="0" distR="0" wp14:anchorId="3CB466C0" wp14:editId="6FD6A92A">
                  <wp:extent cx="182880" cy="182880"/>
                  <wp:effectExtent l="0" t="0" r="7620" b="7620"/>
                  <wp:docPr id="506" name="Graphic 4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59CB7F"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E0889F"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2008</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CE63285"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EF7CEC" w:rsidRPr="00511383" w14:paraId="3D67D9DB" w14:textId="77777777" w:rsidTr="00AC1CA7">
        <w:trPr>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2C3D6A9D" w14:textId="77777777" w:rsidR="00EF7CEC" w:rsidRPr="008C2CCA" w:rsidRDefault="00EF7CEC" w:rsidP="00645193">
            <w:pPr>
              <w:contextualSpacing/>
              <w:jc w:val="center"/>
              <w:rPr>
                <w:rFonts w:ascii="Century Gothic" w:hAnsi="Century Gothic"/>
                <w:szCs w:val="22"/>
              </w:rPr>
            </w:pPr>
            <w:r w:rsidRPr="008C2CCA">
              <w:rPr>
                <w:rFonts w:ascii="Century Gothic" w:hAnsi="Century Gothic"/>
                <w:szCs w:val="22"/>
              </w:rPr>
              <w:t>1.28F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2FE2CD" w14:textId="77777777" w:rsidR="00EF7CEC" w:rsidRPr="008C2CCA" w:rsidRDefault="00EF7CEC" w:rsidP="00645193">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iCs/>
                <w:szCs w:val="22"/>
              </w:rPr>
            </w:pPr>
            <w:r w:rsidRPr="008C2CCA">
              <w:rPr>
                <w:rFonts w:ascii="Century Gothic" w:hAnsi="Century Gothic"/>
                <w:szCs w:val="22"/>
              </w:rPr>
              <w:t>Project Modernization – Various Projects</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1C9D2E"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C6A4DB"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drawing>
                <wp:inline distT="0" distB="0" distL="0" distR="0" wp14:anchorId="1924B329" wp14:editId="2FF9EBF6">
                  <wp:extent cx="182880" cy="182880"/>
                  <wp:effectExtent l="0" t="0" r="7620" b="7620"/>
                  <wp:docPr id="505" name="Graphic 4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AF59C6"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13D048"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F2A1B57"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D10381" w:rsidRPr="00511383" w14:paraId="6850EA1F" w14:textId="77777777" w:rsidTr="00AC1CA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2AE44DB" w14:textId="21472DA2" w:rsidR="00D10381" w:rsidRPr="008C2CCA" w:rsidRDefault="00D10381" w:rsidP="00645193">
            <w:pPr>
              <w:contextualSpacing/>
              <w:jc w:val="center"/>
              <w:rPr>
                <w:rFonts w:ascii="Century Gothic" w:hAnsi="Century Gothic"/>
                <w:szCs w:val="22"/>
              </w:rPr>
            </w:pPr>
            <w:r w:rsidRPr="008C2CCA">
              <w:rPr>
                <w:rFonts w:ascii="Century Gothic" w:hAnsi="Century Gothic"/>
                <w:szCs w:val="22"/>
              </w:rPr>
              <w:t>1.2</w:t>
            </w:r>
            <w:r>
              <w:rPr>
                <w:rFonts w:ascii="Century Gothic" w:hAnsi="Century Gothic"/>
                <w:szCs w:val="22"/>
              </w:rPr>
              <w:t>9F Previously 1.24</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943909" w14:textId="7AB56682" w:rsidR="00D10381" w:rsidRPr="008C2CCA" w:rsidRDefault="00D10381" w:rsidP="00645193">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Cs/>
                <w:szCs w:val="22"/>
              </w:rPr>
            </w:pPr>
            <w:r w:rsidRPr="008C2CCA">
              <w:rPr>
                <w:rFonts w:ascii="Century Gothic" w:hAnsi="Century Gothic"/>
                <w:szCs w:val="22"/>
              </w:rPr>
              <w:t>Robert T. Wolfe Transformation Plan</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5CDFF1" w14:textId="717CC1EB" w:rsidR="00D10381" w:rsidRPr="008C2CCA" w:rsidRDefault="00D10381"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szCs w:val="22"/>
              </w:rPr>
              <w:drawing>
                <wp:inline distT="0" distB="0" distL="0" distR="0" wp14:anchorId="5A28485C" wp14:editId="566CD227">
                  <wp:extent cx="182880" cy="182880"/>
                  <wp:effectExtent l="0" t="0" r="7620" b="7620"/>
                  <wp:docPr id="2105411977" name="Graphic 4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07F9F1" w14:textId="539B68F7" w:rsidR="00D10381" w:rsidRPr="008C2CCA" w:rsidRDefault="00D10381"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szCs w:val="22"/>
              </w:rPr>
              <w:drawing>
                <wp:inline distT="0" distB="0" distL="0" distR="0" wp14:anchorId="0C16A9EB" wp14:editId="5C815C35">
                  <wp:extent cx="182880" cy="182880"/>
                  <wp:effectExtent l="0" t="0" r="7620" b="7620"/>
                  <wp:docPr id="2053348442" name="Graphic 4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0C60C6" w14:textId="77777777" w:rsidR="00D10381" w:rsidRPr="008C2CCA" w:rsidRDefault="00D10381"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color w:val="2B579A"/>
                <w:szCs w:val="22"/>
                <w:shd w:val="clear" w:color="auto" w:fill="E6E6E6"/>
              </w:rPr>
            </w:pP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E97E0C" w14:textId="07CB6413" w:rsidR="00D10381" w:rsidRPr="008C2CCA" w:rsidRDefault="00D10381"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2023</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7955E56" w14:textId="17939EC8" w:rsidR="00D10381" w:rsidRPr="008C2CCA" w:rsidRDefault="00D10381"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D10381" w:rsidRPr="00511383" w14:paraId="6C0FB8E2" w14:textId="77777777" w:rsidTr="00AC1CA7">
        <w:trPr>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F761F9F" w14:textId="4DCDC1DC" w:rsidR="00D10381" w:rsidRPr="008C2CCA" w:rsidRDefault="00D10381" w:rsidP="00645193">
            <w:pPr>
              <w:contextualSpacing/>
              <w:jc w:val="center"/>
              <w:rPr>
                <w:rFonts w:ascii="Century Gothic" w:hAnsi="Century Gothic"/>
                <w:szCs w:val="22"/>
              </w:rPr>
            </w:pPr>
            <w:r>
              <w:rPr>
                <w:rFonts w:ascii="Century Gothic" w:hAnsi="Century Gothic"/>
                <w:szCs w:val="22"/>
              </w:rPr>
              <w:t>1.30F Previously</w:t>
            </w:r>
            <w:r w:rsidRPr="008C2CCA">
              <w:rPr>
                <w:rFonts w:ascii="Century Gothic" w:hAnsi="Century Gothic"/>
                <w:szCs w:val="22"/>
              </w:rPr>
              <w:t>1.25</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A7EDE8" w14:textId="0478A8C9" w:rsidR="00D10381" w:rsidRPr="008C2CCA" w:rsidRDefault="00D10381" w:rsidP="00645193">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iCs/>
                <w:szCs w:val="22"/>
              </w:rPr>
            </w:pPr>
            <w:r w:rsidRPr="008C2CCA">
              <w:rPr>
                <w:rFonts w:ascii="Century Gothic" w:hAnsi="Century Gothic"/>
                <w:szCs w:val="22"/>
              </w:rPr>
              <w:t>Real Estate Development Acquisition</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5E9A46" w14:textId="276CBC3C" w:rsidR="00D10381" w:rsidRPr="008C2CCA" w:rsidRDefault="00D10381"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szCs w:val="22"/>
              </w:rPr>
              <w:drawing>
                <wp:inline distT="0" distB="0" distL="0" distR="0" wp14:anchorId="117E187A" wp14:editId="2D7DA928">
                  <wp:extent cx="182880" cy="182880"/>
                  <wp:effectExtent l="0" t="0" r="7620" b="7620"/>
                  <wp:docPr id="1508853694" name="Graphic 4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5143BA" w14:textId="758CA30B" w:rsidR="00D10381" w:rsidRPr="008C2CCA" w:rsidRDefault="00D10381"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szCs w:val="22"/>
              </w:rPr>
              <w:drawing>
                <wp:inline distT="0" distB="0" distL="0" distR="0" wp14:anchorId="2F57DE66" wp14:editId="58FBBD34">
                  <wp:extent cx="182880" cy="182880"/>
                  <wp:effectExtent l="0" t="0" r="7620" b="7620"/>
                  <wp:docPr id="671516378" name="Graphic 4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A002D0" w14:textId="77777777" w:rsidR="00D10381" w:rsidRPr="008C2CCA" w:rsidRDefault="00D10381"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2B579A"/>
                <w:szCs w:val="22"/>
                <w:shd w:val="clear" w:color="auto" w:fill="E6E6E6"/>
              </w:rPr>
            </w:pP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98A549" w14:textId="08F1AEF0" w:rsidR="00D10381" w:rsidRPr="008C2CCA" w:rsidRDefault="00D10381"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2023</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4E09E129" w14:textId="6224EF72" w:rsidR="00D10381" w:rsidRPr="008C2CCA" w:rsidRDefault="00D10381"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EF7CEC" w:rsidRPr="00511383" w14:paraId="3C6404B3" w14:textId="77777777" w:rsidTr="00AC1CA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41D8D22" w14:textId="77777777" w:rsidR="00EF7CEC" w:rsidRPr="008C2CCA" w:rsidRDefault="00EF7CEC" w:rsidP="00645193">
            <w:pPr>
              <w:contextualSpacing/>
              <w:jc w:val="center"/>
              <w:rPr>
                <w:rFonts w:ascii="Century Gothic" w:hAnsi="Century Gothic"/>
                <w:bCs w:val="0"/>
                <w:szCs w:val="22"/>
              </w:rPr>
            </w:pPr>
            <w:r w:rsidRPr="008C2CCA">
              <w:rPr>
                <w:rFonts w:ascii="Century Gothic" w:hAnsi="Century Gothic"/>
                <w:szCs w:val="22"/>
              </w:rPr>
              <w:t>2.6F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BC44BF" w14:textId="77777777" w:rsidR="00EF7CEC" w:rsidRPr="008C2CCA" w:rsidRDefault="00EF7CEC" w:rsidP="00645193">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Resident-Owned Business Development</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A5FC60"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CFB010"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A230B3"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drawing>
                <wp:inline distT="0" distB="0" distL="0" distR="0" wp14:anchorId="21DDFB75" wp14:editId="5C048F18">
                  <wp:extent cx="182880" cy="182880"/>
                  <wp:effectExtent l="0" t="0" r="7620" b="7620"/>
                  <wp:docPr id="12" name="Graphic 5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332988"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2009</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3CD0C78"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EF7CEC" w:rsidRPr="00511383" w14:paraId="42B69DEE" w14:textId="77777777" w:rsidTr="00AC1CA7">
        <w:trPr>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4152E34" w14:textId="77777777" w:rsidR="00EF7CEC" w:rsidRPr="008C2CCA" w:rsidRDefault="00EF7CEC" w:rsidP="00645193">
            <w:pPr>
              <w:contextualSpacing/>
              <w:jc w:val="center"/>
              <w:rPr>
                <w:rFonts w:ascii="Century Gothic" w:hAnsi="Century Gothic"/>
                <w:bCs w:val="0"/>
                <w:szCs w:val="22"/>
              </w:rPr>
            </w:pPr>
            <w:r w:rsidRPr="008C2CCA">
              <w:rPr>
                <w:rFonts w:ascii="Century Gothic" w:hAnsi="Century Gothic"/>
                <w:szCs w:val="22"/>
              </w:rPr>
              <w:t>2.7F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9A5F4E" w14:textId="77777777" w:rsidR="00EF7CEC" w:rsidRPr="008C2CCA" w:rsidRDefault="00EF7CEC" w:rsidP="00645193">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SEHOP Capital Improvement Fund</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46E1B8"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4E1408"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3359F"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drawing>
                <wp:inline distT="0" distB="0" distL="0" distR="0" wp14:anchorId="35F27285" wp14:editId="31203A40">
                  <wp:extent cx="182880" cy="182880"/>
                  <wp:effectExtent l="0" t="0" r="7620" b="7620"/>
                  <wp:docPr id="91" name="Graphic 5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0CEFE1"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2010</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2C5B396C"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EF7CEC" w:rsidRPr="00511383" w14:paraId="27DEDF83" w14:textId="77777777" w:rsidTr="00AC1CA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2D5880D" w14:textId="77777777" w:rsidR="00EF7CEC" w:rsidRPr="008C2CCA" w:rsidRDefault="00EF7CEC" w:rsidP="00645193">
            <w:pPr>
              <w:contextualSpacing/>
              <w:jc w:val="center"/>
              <w:rPr>
                <w:rFonts w:ascii="Century Gothic" w:hAnsi="Century Gothic"/>
                <w:bCs w:val="0"/>
                <w:szCs w:val="22"/>
              </w:rPr>
            </w:pPr>
            <w:r w:rsidRPr="008C2CCA">
              <w:rPr>
                <w:rFonts w:ascii="Century Gothic" w:hAnsi="Century Gothic"/>
                <w:szCs w:val="22"/>
              </w:rPr>
              <w:t>2.8F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D15DB4" w14:textId="77777777" w:rsidR="00EF7CEC" w:rsidRPr="008C2CCA" w:rsidRDefault="00EF7CEC" w:rsidP="00645193">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Prison/Community Re-entry</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0462FB"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8C2CCA">
              <w:rPr>
                <w:rFonts w:ascii="Century Gothic" w:hAnsi="Century Gothic"/>
                <w:noProof/>
                <w:color w:val="2B579A"/>
                <w:szCs w:val="22"/>
                <w:shd w:val="clear" w:color="auto" w:fill="E6E6E6"/>
              </w:rPr>
              <w:drawing>
                <wp:inline distT="0" distB="0" distL="0" distR="0" wp14:anchorId="3C676C3D" wp14:editId="66B02278">
                  <wp:extent cx="182880" cy="182880"/>
                  <wp:effectExtent l="0" t="0" r="7620" b="7620"/>
                  <wp:docPr id="18" name="Graphic 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5637EA"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ABC1E3"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drawing>
                <wp:inline distT="0" distB="0" distL="0" distR="0" wp14:anchorId="0E274C49" wp14:editId="14A63535">
                  <wp:extent cx="182880" cy="182880"/>
                  <wp:effectExtent l="0" t="0" r="7620" b="7620"/>
                  <wp:docPr id="19" name="Graphic 5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39C594"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2009</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5F5DADBC"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EF7CEC" w:rsidRPr="00511383" w14:paraId="1FD32C74" w14:textId="77777777" w:rsidTr="00AC1CA7">
        <w:trPr>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2C3172BE" w14:textId="77777777" w:rsidR="00EF7CEC" w:rsidRPr="008C2CCA" w:rsidRDefault="00EF7CEC" w:rsidP="00645193">
            <w:pPr>
              <w:contextualSpacing/>
              <w:jc w:val="center"/>
              <w:rPr>
                <w:rFonts w:ascii="Century Gothic" w:hAnsi="Century Gothic"/>
                <w:bCs w:val="0"/>
                <w:szCs w:val="22"/>
              </w:rPr>
            </w:pPr>
            <w:r w:rsidRPr="008C2CCA">
              <w:rPr>
                <w:rFonts w:ascii="Century Gothic" w:hAnsi="Century Gothic"/>
                <w:szCs w:val="22"/>
              </w:rPr>
              <w:t>2.9F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0BA7D0" w14:textId="77777777" w:rsidR="00EF7CEC" w:rsidRPr="008C2CCA" w:rsidRDefault="00EF7CEC" w:rsidP="00645193">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Resident Services for Elderly/Disabled Residents</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31804C"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13C41F"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szCs w:val="22"/>
              </w:rPr>
              <w:drawing>
                <wp:inline distT="0" distB="0" distL="0" distR="0" wp14:anchorId="4753FDEE" wp14:editId="7C417ED4">
                  <wp:extent cx="182880" cy="182880"/>
                  <wp:effectExtent l="0" t="0" r="7620" b="7620"/>
                  <wp:docPr id="1377660429" name="Graphic 5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8"/>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579893"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drawing>
                <wp:inline distT="0" distB="0" distL="0" distR="0" wp14:anchorId="77AB9661" wp14:editId="0CB501C0">
                  <wp:extent cx="182880" cy="182880"/>
                  <wp:effectExtent l="0" t="0" r="7620" b="7620"/>
                  <wp:docPr id="20" name="Graphic 5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852BE6" w14:textId="77777777" w:rsidR="00EF7CEC" w:rsidRPr="008C2CCA" w:rsidRDefault="00EF7CEC" w:rsidP="006451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eastAsia="Franklin Gothic Book" w:hAnsi="Century Gothic"/>
                <w:szCs w:val="22"/>
              </w:rPr>
            </w:pPr>
          </w:p>
          <w:p w14:paraId="6FF1F0FE" w14:textId="77777777" w:rsidR="00EF7CEC" w:rsidRPr="008C2CCA" w:rsidRDefault="00EF7CEC" w:rsidP="006451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eastAsia="Franklin Gothic Book" w:hAnsi="Century Gothic"/>
                <w:szCs w:val="22"/>
              </w:rPr>
            </w:pPr>
            <w:r w:rsidRPr="008C2CCA">
              <w:rPr>
                <w:rFonts w:ascii="Century Gothic" w:hAnsi="Century Gothic"/>
                <w:szCs w:val="22"/>
              </w:rPr>
              <w:t>2003</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2FB72354"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EF7CEC" w:rsidRPr="00511383" w14:paraId="7C2DA1DB" w14:textId="77777777" w:rsidTr="00AC1CA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35D16F1" w14:textId="77777777" w:rsidR="00EF7CEC" w:rsidRPr="008C2CCA" w:rsidRDefault="00EF7CEC" w:rsidP="00645193">
            <w:pPr>
              <w:contextualSpacing/>
              <w:jc w:val="center"/>
              <w:rPr>
                <w:rFonts w:ascii="Century Gothic" w:hAnsi="Century Gothic"/>
                <w:bCs w:val="0"/>
                <w:szCs w:val="22"/>
              </w:rPr>
            </w:pPr>
            <w:r w:rsidRPr="008C2CCA">
              <w:rPr>
                <w:rFonts w:ascii="Century Gothic" w:hAnsi="Century Gothic"/>
                <w:szCs w:val="22"/>
              </w:rPr>
              <w:t>2.10F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45C2E4" w14:textId="77777777" w:rsidR="00EF7CEC" w:rsidRPr="008C2CCA" w:rsidRDefault="00EF7CEC" w:rsidP="00645193">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Jumpstart Incentive Program</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52662B"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264214"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C1FDE3"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drawing>
                <wp:inline distT="0" distB="0" distL="0" distR="0" wp14:anchorId="1710D5A1" wp14:editId="7BE041C6">
                  <wp:extent cx="182880" cy="182880"/>
                  <wp:effectExtent l="0" t="0" r="7620" b="7620"/>
                  <wp:docPr id="99" name="Graphic 5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35E905"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2020</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523952E3" w14:textId="77777777" w:rsidR="00EF7CEC" w:rsidRPr="008C2CCA" w:rsidRDefault="00EF7CEC" w:rsidP="0064519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EF7CEC" w:rsidRPr="00511383" w14:paraId="1B127DC6" w14:textId="77777777" w:rsidTr="00AC1CA7">
        <w:trPr>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DA75520" w14:textId="77777777" w:rsidR="00EF7CEC" w:rsidRPr="008C2CCA" w:rsidRDefault="00EF7CEC" w:rsidP="00645193">
            <w:pPr>
              <w:contextualSpacing/>
              <w:jc w:val="center"/>
              <w:rPr>
                <w:rFonts w:ascii="Century Gothic" w:hAnsi="Century Gothic"/>
                <w:szCs w:val="22"/>
              </w:rPr>
            </w:pPr>
            <w:r w:rsidRPr="008C2CCA">
              <w:rPr>
                <w:rFonts w:ascii="Century Gothic" w:hAnsi="Century Gothic"/>
                <w:szCs w:val="22"/>
              </w:rPr>
              <w:t>2.12F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79B586" w14:textId="77777777" w:rsidR="00EF7CEC" w:rsidRPr="008C2CCA" w:rsidRDefault="00EF7CEC" w:rsidP="00645193">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iCs/>
                <w:szCs w:val="22"/>
              </w:rPr>
            </w:pPr>
            <w:r w:rsidRPr="008C2CCA">
              <w:rPr>
                <w:rFonts w:ascii="Century Gothic" w:hAnsi="Century Gothic"/>
                <w:iCs/>
                <w:szCs w:val="22"/>
              </w:rPr>
              <w:t>ECC Believes</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3583C3"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C9E84"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drawing>
                <wp:inline distT="0" distB="0" distL="0" distR="0" wp14:anchorId="65484349" wp14:editId="204A3930">
                  <wp:extent cx="182880" cy="182880"/>
                  <wp:effectExtent l="0" t="0" r="7620" b="7620"/>
                  <wp:docPr id="100" name="Graphic 5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29FD27"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E19AC9"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2014</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4FBCDCA" w14:textId="77777777" w:rsidR="00EF7CEC" w:rsidRPr="008C2CCA" w:rsidRDefault="00EF7CEC" w:rsidP="00645193">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Ongoing</w:t>
            </w:r>
          </w:p>
        </w:tc>
      </w:tr>
      <w:tr w:rsidR="00EF7CEC" w:rsidRPr="00511383" w14:paraId="22A22D18" w14:textId="77777777" w:rsidTr="00AC1CA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105C2F0" w14:textId="2BC77ECB" w:rsidR="00EF7CEC" w:rsidRPr="008C2CCA" w:rsidRDefault="00D10381" w:rsidP="00645193">
            <w:pPr>
              <w:jc w:val="center"/>
              <w:rPr>
                <w:rFonts w:ascii="Century Gothic" w:hAnsi="Century Gothic"/>
                <w:szCs w:val="22"/>
              </w:rPr>
            </w:pPr>
            <w:r>
              <w:rPr>
                <w:rFonts w:ascii="Century Gothic" w:hAnsi="Century Gothic"/>
                <w:szCs w:val="22"/>
              </w:rPr>
              <w:t>2.13F Previously</w:t>
            </w:r>
            <w:r w:rsidR="00EF7CEC" w:rsidRPr="008C2CCA">
              <w:rPr>
                <w:rFonts w:ascii="Century Gothic" w:hAnsi="Century Gothic"/>
                <w:szCs w:val="22"/>
              </w:rPr>
              <w:t>4.11F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141D06" w14:textId="77777777" w:rsidR="00EF7CEC" w:rsidRPr="008C2CCA" w:rsidRDefault="00EF7CEC" w:rsidP="00645193">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Sponsored Based Housing Program</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AA2CA0" w14:textId="77777777" w:rsidR="00EF7CEC" w:rsidRPr="008C2CCA" w:rsidRDefault="00EF7CEC" w:rsidP="006451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7EA782" w14:textId="77777777" w:rsidR="00EF7CEC" w:rsidRPr="008C2CCA" w:rsidRDefault="00EF7CEC" w:rsidP="006451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8C2CCA">
              <w:rPr>
                <w:rFonts w:ascii="Century Gothic" w:hAnsi="Century Gothic"/>
                <w:noProof/>
                <w:szCs w:val="22"/>
              </w:rPr>
              <w:drawing>
                <wp:inline distT="0" distB="0" distL="0" distR="0" wp14:anchorId="494F62E0" wp14:editId="05911627">
                  <wp:extent cx="182880" cy="182880"/>
                  <wp:effectExtent l="0" t="0" r="7620" b="7620"/>
                  <wp:docPr id="23" name="Graphic 5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2880" cy="182880"/>
                          </a:xfrm>
                          <a:prstGeom prst="rect">
                            <a:avLst/>
                          </a:prstGeom>
                        </pic:spPr>
                      </pic:pic>
                    </a:graphicData>
                  </a:graphic>
                </wp:inline>
              </w:drawing>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ECCE3D" w14:textId="77777777" w:rsidR="00EF7CEC" w:rsidRPr="008C2CCA" w:rsidRDefault="00EF7CEC" w:rsidP="006451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8C2CCA">
              <w:rPr>
                <w:rFonts w:ascii="Century Gothic" w:hAnsi="Century Gothic"/>
                <w:noProof/>
                <w:szCs w:val="22"/>
              </w:rPr>
              <w:drawing>
                <wp:inline distT="0" distB="0" distL="0" distR="0" wp14:anchorId="2A0B836D" wp14:editId="16BDBB5A">
                  <wp:extent cx="182880" cy="182880"/>
                  <wp:effectExtent l="0" t="0" r="7620" b="7620"/>
                  <wp:docPr id="1017838844" name="Graphic 5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2880" cy="182880"/>
                          </a:xfrm>
                          <a:prstGeom prst="rect">
                            <a:avLst/>
                          </a:prstGeom>
                        </pic:spPr>
                      </pic:pic>
                    </a:graphicData>
                  </a:graphic>
                </wp:inline>
              </w:drawing>
            </w: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B0D3DA" w14:textId="77777777" w:rsidR="00EF7CEC" w:rsidRPr="008C2CCA" w:rsidRDefault="00EF7CEC" w:rsidP="006451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2023</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8BC15EE" w14:textId="283079DA" w:rsidR="00EF7CEC" w:rsidRPr="008C2CCA" w:rsidRDefault="2E1CE3CC" w:rsidP="006451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8C2CCA">
              <w:rPr>
                <w:rFonts w:ascii="Century Gothic" w:hAnsi="Century Gothic"/>
                <w:szCs w:val="22"/>
              </w:rPr>
              <w:t xml:space="preserve"> </w:t>
            </w:r>
            <w:r w:rsidR="00511383" w:rsidRPr="008C2CCA">
              <w:rPr>
                <w:rFonts w:ascii="Century Gothic" w:hAnsi="Century Gothic"/>
                <w:szCs w:val="22"/>
              </w:rPr>
              <w:t>Ongoing</w:t>
            </w:r>
          </w:p>
        </w:tc>
      </w:tr>
      <w:tr w:rsidR="00D10381" w:rsidRPr="00511383" w14:paraId="35FF8CD3" w14:textId="77777777" w:rsidTr="00AC1CA7">
        <w:trPr>
          <w:trHeight w:val="7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2A8BF32" w14:textId="2CE902D2" w:rsidR="00D10381" w:rsidRPr="008C2CCA" w:rsidRDefault="00D10381" w:rsidP="00D10381">
            <w:pPr>
              <w:jc w:val="center"/>
              <w:rPr>
                <w:rFonts w:ascii="Century Gothic" w:hAnsi="Century Gothic"/>
                <w:szCs w:val="22"/>
              </w:rPr>
            </w:pPr>
            <w:r w:rsidRPr="008C2CCA">
              <w:rPr>
                <w:rFonts w:ascii="Century Gothic" w:hAnsi="Century Gothic"/>
                <w:szCs w:val="22"/>
              </w:rPr>
              <w:t>3.11F</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BBB3F5" w14:textId="021DFAD3" w:rsidR="00D10381" w:rsidRPr="008C2CCA" w:rsidRDefault="00D10381" w:rsidP="00D10381">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iCs/>
                <w:szCs w:val="22"/>
              </w:rPr>
              <w:t xml:space="preserve">Creation of New Instrumentality Entities to Support </w:t>
            </w:r>
            <w:r w:rsidRPr="008C2CCA">
              <w:rPr>
                <w:rFonts w:ascii="Century Gothic" w:hAnsi="Century Gothic"/>
                <w:iCs/>
                <w:szCs w:val="22"/>
              </w:rPr>
              <w:lastRenderedPageBreak/>
              <w:t>ECC/HANH Goals and Strategic Planning activities</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F3B331" w14:textId="532C1D89" w:rsidR="00D10381" w:rsidRPr="008C2CCA" w:rsidRDefault="00D10381" w:rsidP="00D1038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noProof/>
                <w:color w:val="2B579A"/>
                <w:szCs w:val="22"/>
                <w:shd w:val="clear" w:color="auto" w:fill="E6E6E6"/>
              </w:rPr>
              <w:lastRenderedPageBreak/>
              <w:drawing>
                <wp:inline distT="0" distB="0" distL="0" distR="0" wp14:anchorId="5E75E30B" wp14:editId="6B93F868">
                  <wp:extent cx="182880" cy="182880"/>
                  <wp:effectExtent l="0" t="0" r="7620" b="7620"/>
                  <wp:docPr id="1789387610" name="Graphic 6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2880" cy="182880"/>
                          </a:xfrm>
                          <a:prstGeom prst="rect">
                            <a:avLst/>
                          </a:prstGeom>
                        </pic:spPr>
                      </pic:pic>
                    </a:graphicData>
                  </a:graphic>
                </wp:inline>
              </w:drawing>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2E3BEF" w14:textId="34849986" w:rsidR="00D10381" w:rsidRPr="008C2CCA" w:rsidRDefault="00D10381" w:rsidP="00D1038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BE378F" w14:textId="77777777" w:rsidR="00D10381" w:rsidRPr="008C2CCA" w:rsidRDefault="00D10381" w:rsidP="00D1038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664CD5" w14:textId="26AD9EB3" w:rsidR="00D10381" w:rsidRPr="008C2CCA" w:rsidRDefault="00D10381" w:rsidP="00D1038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szCs w:val="22"/>
              </w:rPr>
              <w:t>2019</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49E3FBA" w14:textId="465A4105" w:rsidR="00D10381" w:rsidRPr="008C2CCA" w:rsidRDefault="00D10381" w:rsidP="00D1038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8C2CCA">
              <w:rPr>
                <w:rFonts w:ascii="Century Gothic" w:hAnsi="Century Gothic"/>
              </w:rPr>
              <w:t>Ongoing/ Moved</w:t>
            </w:r>
            <w:r w:rsidRPr="008C2CCA">
              <w:rPr>
                <w:rStyle w:val="FootnoteReference"/>
                <w:rFonts w:ascii="Century Gothic" w:hAnsi="Century Gothic"/>
              </w:rPr>
              <w:footnoteReference w:id="10"/>
            </w:r>
          </w:p>
        </w:tc>
      </w:tr>
    </w:tbl>
    <w:p w14:paraId="1976DF83" w14:textId="77777777" w:rsidR="00EF7CEC" w:rsidRPr="00542C56" w:rsidRDefault="00EF7CEC">
      <w:pPr>
        <w:rPr>
          <w:rFonts w:ascii="Times New Roman" w:hAnsi="Times New Roman"/>
          <w:szCs w:val="22"/>
        </w:rPr>
      </w:pPr>
    </w:p>
    <w:p w14:paraId="2361EDBF" w14:textId="77777777" w:rsidR="00EE2737" w:rsidRDefault="00EE2737" w:rsidP="002F29E0">
      <w:pPr>
        <w:pStyle w:val="MTWHeader1"/>
        <w:rPr>
          <w:rFonts w:ascii="Century Gothic" w:hAnsi="Century Gothic"/>
          <w:sz w:val="22"/>
          <w:szCs w:val="22"/>
        </w:rPr>
      </w:pPr>
      <w:bookmarkStart w:id="45" w:name="_Toc89871133"/>
      <w:bookmarkEnd w:id="35"/>
      <w:bookmarkEnd w:id="36"/>
      <w:bookmarkEnd w:id="37"/>
      <w:bookmarkEnd w:id="38"/>
    </w:p>
    <w:p w14:paraId="06FE77FF" w14:textId="77777777" w:rsidR="00EE2737" w:rsidRDefault="00EE2737" w:rsidP="002F29E0">
      <w:pPr>
        <w:pStyle w:val="MTWHeader1"/>
        <w:rPr>
          <w:rFonts w:ascii="Century Gothic" w:hAnsi="Century Gothic"/>
          <w:sz w:val="22"/>
          <w:szCs w:val="22"/>
        </w:rPr>
      </w:pPr>
    </w:p>
    <w:p w14:paraId="4B8F4DC8" w14:textId="77777777" w:rsidR="00EE2737" w:rsidRDefault="00EE2737" w:rsidP="002F29E0">
      <w:pPr>
        <w:pStyle w:val="MTWHeader1"/>
        <w:rPr>
          <w:rFonts w:ascii="Century Gothic" w:hAnsi="Century Gothic"/>
          <w:sz w:val="22"/>
          <w:szCs w:val="22"/>
        </w:rPr>
      </w:pPr>
    </w:p>
    <w:p w14:paraId="657905ED" w14:textId="77777777" w:rsidR="00EE2737" w:rsidRDefault="00EE2737" w:rsidP="00EE2737">
      <w:pPr>
        <w:pStyle w:val="Body1"/>
        <w:framePr w:wrap="around"/>
      </w:pPr>
    </w:p>
    <w:p w14:paraId="79063C19" w14:textId="77777777" w:rsidR="00EE2737" w:rsidRDefault="00EE2737" w:rsidP="00EE2737">
      <w:pPr>
        <w:pStyle w:val="Body1"/>
        <w:framePr w:wrap="around"/>
      </w:pPr>
    </w:p>
    <w:p w14:paraId="7C516155" w14:textId="77777777" w:rsidR="00EE2737" w:rsidRPr="008C2CCA" w:rsidRDefault="00EE2737" w:rsidP="008C2CCA">
      <w:pPr>
        <w:pStyle w:val="Body1"/>
        <w:framePr w:wrap="around"/>
      </w:pPr>
    </w:p>
    <w:p w14:paraId="68A68841" w14:textId="77777777" w:rsidR="00EE2737" w:rsidRDefault="00EE2737" w:rsidP="002F29E0">
      <w:pPr>
        <w:pStyle w:val="MTWHeader1"/>
        <w:rPr>
          <w:rFonts w:ascii="Century Gothic" w:hAnsi="Century Gothic"/>
          <w:sz w:val="22"/>
          <w:szCs w:val="22"/>
        </w:rPr>
      </w:pPr>
    </w:p>
    <w:p w14:paraId="63448708" w14:textId="77777777" w:rsidR="00EE2737" w:rsidRDefault="00EE2737" w:rsidP="002F29E0">
      <w:pPr>
        <w:pStyle w:val="MTWHeader1"/>
        <w:rPr>
          <w:rFonts w:ascii="Century Gothic" w:hAnsi="Century Gothic"/>
          <w:sz w:val="22"/>
          <w:szCs w:val="22"/>
        </w:rPr>
      </w:pPr>
    </w:p>
    <w:p w14:paraId="4B98119A" w14:textId="094D74D4" w:rsidR="00277CC9" w:rsidRDefault="00277CC9">
      <w:pPr>
        <w:spacing w:after="160" w:line="276" w:lineRule="auto"/>
        <w:rPr>
          <w:rFonts w:ascii="Century Gothic" w:eastAsia="ヒラギノ角ゴ Pro W3" w:hAnsi="Century Gothic"/>
          <w:b/>
          <w:color w:val="000000"/>
          <w:szCs w:val="22"/>
          <w:lang w:eastAsia="en-US"/>
        </w:rPr>
      </w:pPr>
      <w:r>
        <w:rPr>
          <w:rFonts w:ascii="Century Gothic" w:hAnsi="Century Gothic"/>
          <w:szCs w:val="22"/>
        </w:rPr>
        <w:br w:type="page"/>
      </w:r>
    </w:p>
    <w:p w14:paraId="00952BF6" w14:textId="77777777" w:rsidR="00EE2737" w:rsidRDefault="00EE2737" w:rsidP="00EE2737">
      <w:pPr>
        <w:pStyle w:val="Body1"/>
        <w:framePr w:wrap="around"/>
      </w:pPr>
    </w:p>
    <w:p w14:paraId="3A486036" w14:textId="77777777" w:rsidR="00EE2737" w:rsidRPr="00C822D0" w:rsidRDefault="00EE2737" w:rsidP="00C822D0">
      <w:pPr>
        <w:pStyle w:val="Body1"/>
        <w:framePr w:wrap="around"/>
      </w:pPr>
    </w:p>
    <w:p w14:paraId="5B9955F7" w14:textId="20ACB5D0" w:rsidR="007729F5" w:rsidRPr="00311A42" w:rsidRDefault="380FB690" w:rsidP="002F29E0">
      <w:pPr>
        <w:pStyle w:val="MTWHeader1"/>
        <w:rPr>
          <w:rFonts w:ascii="Century Gothic" w:hAnsi="Century Gothic"/>
          <w:sz w:val="22"/>
          <w:szCs w:val="22"/>
        </w:rPr>
      </w:pPr>
      <w:r w:rsidRPr="00311A42">
        <w:rPr>
          <w:rFonts w:ascii="Century Gothic" w:hAnsi="Century Gothic"/>
          <w:sz w:val="22"/>
          <w:szCs w:val="22"/>
        </w:rPr>
        <w:t>II</w:t>
      </w:r>
      <w:r w:rsidR="25787619" w:rsidRPr="00311A42">
        <w:rPr>
          <w:rFonts w:ascii="Century Gothic" w:hAnsi="Century Gothic"/>
          <w:sz w:val="22"/>
          <w:szCs w:val="22"/>
        </w:rPr>
        <w:t xml:space="preserve">. </w:t>
      </w:r>
      <w:bookmarkEnd w:id="45"/>
      <w:r w:rsidR="0B39AD31" w:rsidRPr="00311A42">
        <w:rPr>
          <w:rFonts w:ascii="Century Gothic" w:hAnsi="Century Gothic"/>
          <w:sz w:val="22"/>
          <w:szCs w:val="22"/>
        </w:rPr>
        <w:t>GENERAL OPERATING INFORMATION</w:t>
      </w:r>
    </w:p>
    <w:p w14:paraId="5E20A566" w14:textId="77777777" w:rsidR="002F29E0" w:rsidRPr="00311A42" w:rsidRDefault="002F29E0" w:rsidP="00213968">
      <w:pPr>
        <w:rPr>
          <w:rFonts w:ascii="Century Gothic" w:hAnsi="Century Gothic"/>
          <w:szCs w:val="22"/>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846"/>
      </w:tblGrid>
      <w:tr w:rsidR="008434F3" w:rsidRPr="00311A42" w14:paraId="71126C17" w14:textId="77777777" w:rsidTr="008B6710">
        <w:trPr>
          <w:trHeight w:val="576"/>
        </w:trPr>
        <w:tc>
          <w:tcPr>
            <w:tcW w:w="10152" w:type="dxa"/>
            <w:tcBorders>
              <w:top w:val="single" w:sz="36" w:space="0" w:color="auto"/>
              <w:left w:val="single" w:sz="36" w:space="0" w:color="auto"/>
              <w:bottom w:val="single" w:sz="36" w:space="0" w:color="auto"/>
              <w:right w:val="single" w:sz="36" w:space="0" w:color="auto"/>
            </w:tcBorders>
            <w:shd w:val="clear" w:color="auto" w:fill="A6A6A6" w:themeFill="background1" w:themeFillShade="A6"/>
            <w:vAlign w:val="center"/>
          </w:tcPr>
          <w:p w14:paraId="2483D86C" w14:textId="71505EE6" w:rsidR="008B6710" w:rsidRPr="00311A42" w:rsidRDefault="002A40B2" w:rsidP="002A40B2">
            <w:pPr>
              <w:pStyle w:val="ListParagraph"/>
              <w:ind w:left="360"/>
              <w:jc w:val="center"/>
              <w:rPr>
                <w:rFonts w:ascii="Century Gothic" w:hAnsi="Century Gothic"/>
                <w:b/>
                <w:szCs w:val="22"/>
              </w:rPr>
            </w:pPr>
            <w:r w:rsidRPr="00311A42">
              <w:rPr>
                <w:rFonts w:ascii="Century Gothic" w:hAnsi="Century Gothic"/>
                <w:b/>
                <w:szCs w:val="22"/>
              </w:rPr>
              <w:t xml:space="preserve">(II) </w:t>
            </w:r>
            <w:r w:rsidR="008B6710" w:rsidRPr="00311A42">
              <w:rPr>
                <w:rFonts w:ascii="Century Gothic" w:hAnsi="Century Gothic"/>
                <w:b/>
                <w:szCs w:val="22"/>
              </w:rPr>
              <w:t>GENERAL OPERATING INFORMATION</w:t>
            </w:r>
          </w:p>
        </w:tc>
      </w:tr>
      <w:tr w:rsidR="008434F3" w:rsidRPr="00311A42" w14:paraId="55D01A8E" w14:textId="77777777" w:rsidTr="008B6710">
        <w:trPr>
          <w:trHeight w:val="504"/>
        </w:trPr>
        <w:tc>
          <w:tcPr>
            <w:tcW w:w="10152"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vAlign w:val="center"/>
          </w:tcPr>
          <w:p w14:paraId="6AC9ABC8" w14:textId="77777777" w:rsidR="008B6710" w:rsidRPr="00311A42" w:rsidRDefault="008B6710" w:rsidP="008B6710">
            <w:pPr>
              <w:jc w:val="center"/>
              <w:rPr>
                <w:rFonts w:ascii="Century Gothic" w:hAnsi="Century Gothic"/>
                <w:b/>
                <w:caps/>
                <w:szCs w:val="22"/>
                <w:u w:val="single"/>
              </w:rPr>
            </w:pPr>
            <w:r w:rsidRPr="00311A42">
              <w:rPr>
                <w:rFonts w:ascii="Century Gothic" w:hAnsi="Century Gothic"/>
                <w:b/>
                <w:caps/>
                <w:szCs w:val="22"/>
                <w:u w:val="single"/>
              </w:rPr>
              <w:t>Annual MTW REPORT</w:t>
            </w:r>
          </w:p>
        </w:tc>
      </w:tr>
    </w:tbl>
    <w:p w14:paraId="08394378" w14:textId="77777777" w:rsidR="00BB4834" w:rsidRPr="00311A42" w:rsidRDefault="00BB4834" w:rsidP="00BB4834">
      <w:pPr>
        <w:rPr>
          <w:rFonts w:ascii="Century Gothic" w:hAnsi="Century Gothic"/>
          <w:szCs w:val="22"/>
        </w:rPr>
      </w:pPr>
    </w:p>
    <w:p w14:paraId="72E2788A" w14:textId="18AC73E8" w:rsidR="008B6710" w:rsidRPr="00311A42" w:rsidRDefault="001F2491" w:rsidP="005B1430">
      <w:pPr>
        <w:pStyle w:val="MTWHeader1"/>
        <w:ind w:left="360"/>
        <w:rPr>
          <w:rFonts w:ascii="Century Gothic" w:hAnsi="Century Gothic"/>
          <w:sz w:val="22"/>
          <w:szCs w:val="22"/>
        </w:rPr>
      </w:pPr>
      <w:bookmarkStart w:id="46" w:name="_Toc89295025"/>
      <w:bookmarkStart w:id="47" w:name="_Toc89871134"/>
      <w:r w:rsidRPr="00311A42">
        <w:rPr>
          <w:rFonts w:ascii="Century Gothic" w:hAnsi="Century Gothic"/>
          <w:sz w:val="22"/>
          <w:szCs w:val="22"/>
        </w:rPr>
        <w:t xml:space="preserve">A. </w:t>
      </w:r>
      <w:r w:rsidR="008B6710" w:rsidRPr="00311A42">
        <w:rPr>
          <w:rFonts w:ascii="Century Gothic" w:hAnsi="Century Gothic"/>
          <w:sz w:val="22"/>
          <w:szCs w:val="22"/>
        </w:rPr>
        <w:t>HOUSING STOCK INFORMATION</w:t>
      </w:r>
      <w:bookmarkEnd w:id="46"/>
      <w:bookmarkEnd w:id="47"/>
    </w:p>
    <w:p w14:paraId="48CE8466" w14:textId="5F864F69" w:rsidR="002A40B2" w:rsidRPr="00311A42" w:rsidRDefault="6B2B2E5B" w:rsidP="00486062">
      <w:pPr>
        <w:pStyle w:val="ListParagraph"/>
        <w:numPr>
          <w:ilvl w:val="0"/>
          <w:numId w:val="103"/>
        </w:numPr>
        <w:ind w:left="720" w:hanging="360"/>
        <w:rPr>
          <w:rFonts w:ascii="Century Gothic" w:hAnsi="Century Gothic"/>
          <w:b/>
          <w:bCs/>
        </w:rPr>
      </w:pPr>
      <w:r w:rsidRPr="00311A42">
        <w:rPr>
          <w:rFonts w:ascii="Century Gothic" w:hAnsi="Century Gothic"/>
          <w:b/>
          <w:bCs/>
        </w:rPr>
        <w:t>Actual New Project Based</w:t>
      </w:r>
      <w:r w:rsidR="00D10381">
        <w:rPr>
          <w:rFonts w:ascii="Century Gothic" w:hAnsi="Century Gothic"/>
          <w:b/>
          <w:bCs/>
        </w:rPr>
        <w:t xml:space="preserve"> </w:t>
      </w:r>
      <w:r w:rsidRPr="00311A42">
        <w:rPr>
          <w:rFonts w:ascii="Century Gothic" w:hAnsi="Century Gothic"/>
          <w:b/>
          <w:bCs/>
        </w:rPr>
        <w:t>Vouchers</w:t>
      </w:r>
    </w:p>
    <w:p w14:paraId="35BA1266" w14:textId="77777777" w:rsidR="002A40B2" w:rsidRPr="00311A42" w:rsidRDefault="002A40B2" w:rsidP="002A40B2">
      <w:pPr>
        <w:pStyle w:val="ListParagraph"/>
        <w:rPr>
          <w:rFonts w:ascii="Century Gothic" w:hAnsi="Century Gothic"/>
          <w:szCs w:val="22"/>
        </w:rPr>
      </w:pPr>
      <w:r w:rsidRPr="00311A42">
        <w:rPr>
          <w:rFonts w:ascii="Century Gothic" w:hAnsi="Century Gothic"/>
          <w:szCs w:val="22"/>
        </w:rPr>
        <w:t xml:space="preserve">Tenant-based vouchers that the MTW PHA project-based for the first time during the Plan Year. These include only those in which at least an Agreement to </w:t>
      </w:r>
      <w:proofErr w:type="gramStart"/>
      <w:r w:rsidRPr="00311A42">
        <w:rPr>
          <w:rFonts w:ascii="Century Gothic" w:hAnsi="Century Gothic"/>
          <w:szCs w:val="22"/>
        </w:rPr>
        <w:t>enter into</w:t>
      </w:r>
      <w:proofErr w:type="gramEnd"/>
      <w:r w:rsidRPr="00311A42">
        <w:rPr>
          <w:rFonts w:ascii="Century Gothic" w:hAnsi="Century Gothic"/>
          <w:szCs w:val="22"/>
        </w:rPr>
        <w:t xml:space="preserve"> a Housing Assistance Payment (AHAP) was in place by the end of the Plan Year. Indicate whether the unit is included in the Rental Assistance Demonstration (RAD).</w:t>
      </w:r>
    </w:p>
    <w:p w14:paraId="34C78657" w14:textId="77777777" w:rsidR="008B6710" w:rsidRPr="0020355D" w:rsidRDefault="008B6710" w:rsidP="008B6710">
      <w:pPr>
        <w:pStyle w:val="ListParagraph"/>
        <w:ind w:left="360"/>
        <w:rPr>
          <w:rFonts w:ascii="Times New Roman" w:hAnsi="Times New Roman"/>
          <w:szCs w:val="22"/>
        </w:rPr>
      </w:pPr>
    </w:p>
    <w:tbl>
      <w:tblPr>
        <w:tblStyle w:val="TableGrid"/>
        <w:tblW w:w="9990" w:type="dxa"/>
        <w:tblInd w:w="-30" w:type="dxa"/>
        <w:tblLayout w:type="fixed"/>
        <w:tblLook w:val="04A0" w:firstRow="1" w:lastRow="0" w:firstColumn="1" w:lastColumn="0" w:noHBand="0" w:noVBand="1"/>
      </w:tblPr>
      <w:tblGrid>
        <w:gridCol w:w="2610"/>
        <w:gridCol w:w="1170"/>
        <w:gridCol w:w="1260"/>
        <w:gridCol w:w="1440"/>
        <w:gridCol w:w="990"/>
        <w:gridCol w:w="2520"/>
      </w:tblGrid>
      <w:tr w:rsidR="00353996" w:rsidRPr="0020355D" w14:paraId="1ACD10A4" w14:textId="77777777" w:rsidTr="00311A42">
        <w:trPr>
          <w:trHeight w:val="845"/>
        </w:trPr>
        <w:tc>
          <w:tcPr>
            <w:tcW w:w="261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6579915E" w14:textId="77777777" w:rsidR="008B6710" w:rsidRPr="001C276E" w:rsidRDefault="008B6710" w:rsidP="008B6710">
            <w:pPr>
              <w:pStyle w:val="ListParagraph"/>
              <w:ind w:left="0"/>
              <w:jc w:val="center"/>
              <w:rPr>
                <w:rFonts w:ascii="Century Gothic" w:hAnsi="Century Gothic"/>
                <w:b/>
                <w:szCs w:val="22"/>
              </w:rPr>
            </w:pPr>
            <w:bookmarkStart w:id="48" w:name="_Hlk54088678"/>
            <w:r w:rsidRPr="001C276E">
              <w:rPr>
                <w:rFonts w:ascii="Century Gothic" w:hAnsi="Century Gothic"/>
                <w:b/>
                <w:szCs w:val="22"/>
              </w:rPr>
              <w:t>PROPERTY NAME</w:t>
            </w:r>
          </w:p>
        </w:tc>
        <w:tc>
          <w:tcPr>
            <w:tcW w:w="2430" w:type="dxa"/>
            <w:gridSpan w:val="2"/>
            <w:tcBorders>
              <w:top w:val="single" w:sz="24" w:space="0" w:color="auto"/>
              <w:left w:val="single" w:sz="24" w:space="0" w:color="auto"/>
              <w:right w:val="single" w:sz="24" w:space="0" w:color="auto"/>
            </w:tcBorders>
            <w:shd w:val="clear" w:color="auto" w:fill="BFBFBF" w:themeFill="background1" w:themeFillShade="BF"/>
            <w:vAlign w:val="center"/>
          </w:tcPr>
          <w:p w14:paraId="03CAB438" w14:textId="77777777" w:rsidR="008B6710" w:rsidRPr="001C276E" w:rsidRDefault="008B6710" w:rsidP="008B6710">
            <w:pPr>
              <w:pStyle w:val="ListParagraph"/>
              <w:ind w:left="0"/>
              <w:jc w:val="center"/>
              <w:rPr>
                <w:rFonts w:ascii="Century Gothic" w:hAnsi="Century Gothic"/>
                <w:b/>
                <w:szCs w:val="22"/>
              </w:rPr>
            </w:pPr>
            <w:r w:rsidRPr="001C276E">
              <w:rPr>
                <w:rFonts w:ascii="Century Gothic" w:hAnsi="Century Gothic"/>
                <w:b/>
                <w:szCs w:val="22"/>
              </w:rPr>
              <w:t>NUMBER OF VOUCHERS NEWLY PROJECT-BASED</w:t>
            </w:r>
          </w:p>
        </w:tc>
        <w:tc>
          <w:tcPr>
            <w:tcW w:w="144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12707F7E" w14:textId="7CF8BB8A" w:rsidR="008B6710" w:rsidRPr="001C276E" w:rsidRDefault="3B6DF27B" w:rsidP="6E9E055C">
            <w:pPr>
              <w:pStyle w:val="ListParagraph"/>
              <w:ind w:left="0"/>
              <w:jc w:val="center"/>
              <w:rPr>
                <w:rFonts w:ascii="Century Gothic" w:hAnsi="Century Gothic"/>
                <w:b/>
                <w:bCs/>
              </w:rPr>
            </w:pPr>
            <w:r w:rsidRPr="001C276E">
              <w:rPr>
                <w:rFonts w:ascii="Century Gothic" w:hAnsi="Century Gothic"/>
                <w:b/>
                <w:bCs/>
              </w:rPr>
              <w:t>STATUS AT END OF PLAN YEAR</w:t>
            </w:r>
            <w:r w:rsidR="70A1FA2E" w:rsidRPr="001C276E">
              <w:rPr>
                <w:rFonts w:ascii="Century Gothic" w:hAnsi="Century Gothic"/>
                <w:b/>
                <w:bCs/>
              </w:rPr>
              <w:t>**</w:t>
            </w:r>
          </w:p>
        </w:tc>
        <w:tc>
          <w:tcPr>
            <w:tcW w:w="99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00D7D2A1" w14:textId="77777777" w:rsidR="008B6710" w:rsidRPr="001C276E" w:rsidRDefault="008B6710" w:rsidP="008B6710">
            <w:pPr>
              <w:pStyle w:val="ListParagraph"/>
              <w:ind w:left="0"/>
              <w:jc w:val="center"/>
              <w:rPr>
                <w:rFonts w:ascii="Century Gothic" w:hAnsi="Century Gothic"/>
                <w:b/>
                <w:szCs w:val="22"/>
              </w:rPr>
            </w:pPr>
            <w:r w:rsidRPr="001C276E">
              <w:rPr>
                <w:rFonts w:ascii="Century Gothic" w:hAnsi="Century Gothic"/>
                <w:b/>
                <w:szCs w:val="22"/>
              </w:rPr>
              <w:t>RAD?</w:t>
            </w:r>
          </w:p>
        </w:tc>
        <w:tc>
          <w:tcPr>
            <w:tcW w:w="252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72B81365" w14:textId="77777777" w:rsidR="008B6710" w:rsidRPr="001C276E" w:rsidRDefault="008B6710" w:rsidP="008B6710">
            <w:pPr>
              <w:pStyle w:val="ListParagraph"/>
              <w:ind w:left="0"/>
              <w:jc w:val="center"/>
              <w:rPr>
                <w:rFonts w:ascii="Century Gothic" w:hAnsi="Century Gothic"/>
                <w:b/>
                <w:szCs w:val="22"/>
              </w:rPr>
            </w:pPr>
            <w:r w:rsidRPr="001C276E">
              <w:rPr>
                <w:rFonts w:ascii="Century Gothic" w:hAnsi="Century Gothic"/>
                <w:b/>
                <w:szCs w:val="22"/>
              </w:rPr>
              <w:t>DESCRIPTION OF PROJECT</w:t>
            </w:r>
          </w:p>
        </w:tc>
      </w:tr>
      <w:tr w:rsidR="0032063E" w:rsidRPr="0020355D" w14:paraId="5B65AB15" w14:textId="77777777" w:rsidTr="00FC3B55">
        <w:trPr>
          <w:trHeight w:val="216"/>
        </w:trPr>
        <w:tc>
          <w:tcPr>
            <w:tcW w:w="2610" w:type="dxa"/>
            <w:vMerge/>
            <w:vAlign w:val="center"/>
          </w:tcPr>
          <w:p w14:paraId="480427D6" w14:textId="77777777" w:rsidR="008B6710" w:rsidRPr="00FC3B55" w:rsidRDefault="008B6710" w:rsidP="008B6710">
            <w:pPr>
              <w:pStyle w:val="ListParagraph"/>
              <w:ind w:left="0"/>
              <w:jc w:val="center"/>
              <w:rPr>
                <w:rFonts w:ascii="Century Gothic" w:hAnsi="Century Gothic"/>
                <w:szCs w:val="22"/>
              </w:rPr>
            </w:pPr>
          </w:p>
        </w:tc>
        <w:tc>
          <w:tcPr>
            <w:tcW w:w="117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627928C9" w14:textId="77777777" w:rsidR="008B6710" w:rsidRPr="00FC3B55" w:rsidRDefault="008B6710" w:rsidP="008B6710">
            <w:pPr>
              <w:pStyle w:val="ListParagraph"/>
              <w:ind w:left="0"/>
              <w:jc w:val="center"/>
              <w:rPr>
                <w:rFonts w:ascii="Century Gothic" w:hAnsi="Century Gothic"/>
                <w:b/>
                <w:szCs w:val="22"/>
              </w:rPr>
            </w:pPr>
            <w:r w:rsidRPr="00FC3B55">
              <w:rPr>
                <w:rFonts w:ascii="Century Gothic" w:hAnsi="Century Gothic"/>
                <w:b/>
                <w:szCs w:val="22"/>
              </w:rPr>
              <w:t>Planned</w:t>
            </w:r>
          </w:p>
        </w:tc>
        <w:tc>
          <w:tcPr>
            <w:tcW w:w="126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5D1EA460" w14:textId="77777777" w:rsidR="008B6710" w:rsidRPr="00FC3B55" w:rsidRDefault="008B6710" w:rsidP="008B6710">
            <w:pPr>
              <w:pStyle w:val="ListParagraph"/>
              <w:ind w:left="0"/>
              <w:jc w:val="center"/>
              <w:rPr>
                <w:rFonts w:ascii="Century Gothic" w:hAnsi="Century Gothic"/>
                <w:b/>
                <w:szCs w:val="22"/>
              </w:rPr>
            </w:pPr>
            <w:r w:rsidRPr="00FC3B55">
              <w:rPr>
                <w:rFonts w:ascii="Century Gothic" w:hAnsi="Century Gothic"/>
                <w:b/>
                <w:szCs w:val="22"/>
              </w:rPr>
              <w:t>Actual</w:t>
            </w:r>
          </w:p>
        </w:tc>
        <w:tc>
          <w:tcPr>
            <w:tcW w:w="1440" w:type="dxa"/>
            <w:vMerge/>
          </w:tcPr>
          <w:p w14:paraId="7B94CC4A" w14:textId="77777777" w:rsidR="008B6710" w:rsidRPr="00FC3B55" w:rsidRDefault="008B6710" w:rsidP="008B6710">
            <w:pPr>
              <w:pStyle w:val="ListParagraph"/>
              <w:ind w:left="0"/>
              <w:jc w:val="center"/>
              <w:rPr>
                <w:rFonts w:ascii="Century Gothic" w:hAnsi="Century Gothic"/>
                <w:szCs w:val="22"/>
              </w:rPr>
            </w:pPr>
          </w:p>
        </w:tc>
        <w:tc>
          <w:tcPr>
            <w:tcW w:w="990" w:type="dxa"/>
            <w:vMerge/>
          </w:tcPr>
          <w:p w14:paraId="166E35C9" w14:textId="77777777" w:rsidR="008B6710" w:rsidRPr="00FC3B55" w:rsidRDefault="008B6710" w:rsidP="008B6710">
            <w:pPr>
              <w:pStyle w:val="ListParagraph"/>
              <w:ind w:left="0"/>
              <w:jc w:val="center"/>
              <w:rPr>
                <w:rFonts w:ascii="Century Gothic" w:hAnsi="Century Gothic"/>
                <w:szCs w:val="22"/>
              </w:rPr>
            </w:pPr>
          </w:p>
        </w:tc>
        <w:tc>
          <w:tcPr>
            <w:tcW w:w="2520" w:type="dxa"/>
            <w:vMerge/>
            <w:vAlign w:val="center"/>
          </w:tcPr>
          <w:p w14:paraId="1D122016" w14:textId="77777777" w:rsidR="008B6710" w:rsidRPr="00FC3B55" w:rsidRDefault="008B6710" w:rsidP="008B6710">
            <w:pPr>
              <w:pStyle w:val="ListParagraph"/>
              <w:ind w:left="0"/>
              <w:jc w:val="center"/>
              <w:rPr>
                <w:rFonts w:ascii="Century Gothic" w:hAnsi="Century Gothic"/>
                <w:szCs w:val="22"/>
              </w:rPr>
            </w:pPr>
          </w:p>
        </w:tc>
      </w:tr>
      <w:tr w:rsidR="00415D33" w:rsidRPr="0020355D" w14:paraId="6078718E" w14:textId="208BD6E1" w:rsidTr="00FC3B55">
        <w:trPr>
          <w:trHeight w:val="390"/>
        </w:trPr>
        <w:tc>
          <w:tcPr>
            <w:tcW w:w="2610" w:type="dxa"/>
            <w:tcBorders>
              <w:top w:val="single" w:sz="24" w:space="0" w:color="auto"/>
              <w:left w:val="single" w:sz="24" w:space="0" w:color="auto"/>
              <w:right w:val="single" w:sz="24" w:space="0" w:color="auto"/>
            </w:tcBorders>
            <w:vAlign w:val="center"/>
          </w:tcPr>
          <w:p w14:paraId="36847725" w14:textId="56F2605F" w:rsidR="00C970C6" w:rsidRPr="001C276E" w:rsidRDefault="001E18F6" w:rsidP="00C970C6">
            <w:pPr>
              <w:pStyle w:val="ListParagraph"/>
              <w:ind w:left="0"/>
              <w:rPr>
                <w:rFonts w:ascii="Century Gothic" w:hAnsi="Century Gothic"/>
                <w:szCs w:val="22"/>
              </w:rPr>
            </w:pPr>
            <w:r w:rsidRPr="001C276E">
              <w:rPr>
                <w:rFonts w:ascii="Century Gothic" w:hAnsi="Century Gothic"/>
                <w:b/>
                <w:szCs w:val="22"/>
              </w:rPr>
              <w:t>McConaughy Terrace</w:t>
            </w:r>
          </w:p>
        </w:tc>
        <w:tc>
          <w:tcPr>
            <w:tcW w:w="1170" w:type="dxa"/>
            <w:tcBorders>
              <w:top w:val="single" w:sz="24" w:space="0" w:color="auto"/>
              <w:left w:val="single" w:sz="24" w:space="0" w:color="auto"/>
              <w:bottom w:val="single" w:sz="8" w:space="0" w:color="auto"/>
              <w:right w:val="single" w:sz="8" w:space="0" w:color="auto"/>
            </w:tcBorders>
            <w:vAlign w:val="center"/>
          </w:tcPr>
          <w:p w14:paraId="12DBA860" w14:textId="3AEBCE4C" w:rsidR="00C970C6" w:rsidRPr="00573DEE" w:rsidRDefault="3986AB27">
            <w:pPr>
              <w:pStyle w:val="ListParagraph"/>
              <w:ind w:left="0"/>
              <w:jc w:val="center"/>
              <w:rPr>
                <w:rFonts w:ascii="Century Gothic" w:hAnsi="Century Gothic"/>
              </w:rPr>
            </w:pPr>
            <w:r w:rsidRPr="001C276E">
              <w:rPr>
                <w:rFonts w:ascii="Century Gothic" w:hAnsi="Century Gothic"/>
              </w:rPr>
              <w:t xml:space="preserve"> </w:t>
            </w:r>
            <w:r w:rsidR="2BDB3682" w:rsidRPr="00573DEE">
              <w:rPr>
                <w:rFonts w:ascii="Century Gothic" w:hAnsi="Century Gothic"/>
              </w:rPr>
              <w:t>9</w:t>
            </w:r>
            <w:r w:rsidR="32BEE151" w:rsidRPr="00573DEE">
              <w:rPr>
                <w:rFonts w:ascii="Century Gothic" w:hAnsi="Century Gothic"/>
              </w:rPr>
              <w:t>2</w:t>
            </w:r>
          </w:p>
        </w:tc>
        <w:tc>
          <w:tcPr>
            <w:tcW w:w="1260" w:type="dxa"/>
            <w:tcBorders>
              <w:top w:val="single" w:sz="24" w:space="0" w:color="auto"/>
              <w:left w:val="single" w:sz="8" w:space="0" w:color="auto"/>
              <w:bottom w:val="single" w:sz="8" w:space="0" w:color="auto"/>
              <w:right w:val="single" w:sz="24" w:space="0" w:color="auto"/>
            </w:tcBorders>
            <w:vAlign w:val="center"/>
          </w:tcPr>
          <w:p w14:paraId="0FD72DDD" w14:textId="4175104C" w:rsidR="00C970C6" w:rsidRPr="00573DEE" w:rsidRDefault="0D242030">
            <w:pPr>
              <w:pStyle w:val="ListParagraph"/>
              <w:ind w:left="0"/>
              <w:jc w:val="center"/>
              <w:rPr>
                <w:rFonts w:ascii="Century Gothic" w:hAnsi="Century Gothic"/>
              </w:rPr>
            </w:pPr>
            <w:r w:rsidRPr="00573DEE">
              <w:rPr>
                <w:rFonts w:ascii="Century Gothic" w:hAnsi="Century Gothic"/>
              </w:rPr>
              <w:t>19</w:t>
            </w:r>
            <w:r w:rsidR="6BF29260" w:rsidRPr="00573DEE">
              <w:rPr>
                <w:rFonts w:ascii="Century Gothic" w:hAnsi="Century Gothic"/>
              </w:rPr>
              <w:t>6</w:t>
            </w:r>
          </w:p>
        </w:tc>
        <w:tc>
          <w:tcPr>
            <w:tcW w:w="1440" w:type="dxa"/>
            <w:tcBorders>
              <w:top w:val="single" w:sz="24" w:space="0" w:color="auto"/>
              <w:left w:val="single" w:sz="24" w:space="0" w:color="auto"/>
              <w:right w:val="single" w:sz="24" w:space="0" w:color="auto"/>
            </w:tcBorders>
            <w:vAlign w:val="center"/>
          </w:tcPr>
          <w:p w14:paraId="4D073999" w14:textId="74C6FA5B" w:rsidR="00C970C6" w:rsidRPr="00573DEE" w:rsidRDefault="43133E35" w:rsidP="30B94C65">
            <w:pPr>
              <w:pStyle w:val="ListParagraph"/>
              <w:ind w:left="0"/>
              <w:jc w:val="center"/>
              <w:rPr>
                <w:rFonts w:ascii="Century Gothic" w:hAnsi="Century Gothic"/>
              </w:rPr>
            </w:pPr>
            <w:r w:rsidRPr="00573DEE">
              <w:rPr>
                <w:rFonts w:ascii="Century Gothic" w:hAnsi="Century Gothic"/>
              </w:rPr>
              <w:t xml:space="preserve"> </w:t>
            </w:r>
            <w:r w:rsidR="0A558C4C" w:rsidRPr="00573DEE">
              <w:rPr>
                <w:rFonts w:ascii="Century Gothic" w:hAnsi="Century Gothic"/>
              </w:rPr>
              <w:t>Leased</w:t>
            </w:r>
            <w:r w:rsidR="6ADCAFAD" w:rsidRPr="00573DEE">
              <w:rPr>
                <w:rFonts w:ascii="Century Gothic" w:hAnsi="Century Gothic"/>
              </w:rPr>
              <w:t>/ Issued</w:t>
            </w:r>
          </w:p>
        </w:tc>
        <w:tc>
          <w:tcPr>
            <w:tcW w:w="990" w:type="dxa"/>
            <w:tcBorders>
              <w:top w:val="single" w:sz="24" w:space="0" w:color="auto"/>
              <w:left w:val="single" w:sz="24" w:space="0" w:color="auto"/>
              <w:right w:val="single" w:sz="24" w:space="0" w:color="auto"/>
            </w:tcBorders>
            <w:vAlign w:val="center"/>
          </w:tcPr>
          <w:p w14:paraId="293972E8" w14:textId="745D3E60" w:rsidR="00C970C6" w:rsidRPr="00573DEE" w:rsidRDefault="0029377A" w:rsidP="00C970C6">
            <w:pPr>
              <w:pStyle w:val="ListParagraph"/>
              <w:ind w:left="0"/>
              <w:jc w:val="center"/>
              <w:rPr>
                <w:rFonts w:ascii="Century Gothic" w:hAnsi="Century Gothic"/>
                <w:szCs w:val="22"/>
              </w:rPr>
            </w:pPr>
            <w:r w:rsidRPr="00573DEE">
              <w:rPr>
                <w:rFonts w:ascii="Century Gothic" w:hAnsi="Century Gothic"/>
                <w:szCs w:val="22"/>
              </w:rPr>
              <w:t>Yes</w:t>
            </w:r>
          </w:p>
        </w:tc>
        <w:tc>
          <w:tcPr>
            <w:tcW w:w="2520" w:type="dxa"/>
            <w:tcBorders>
              <w:top w:val="single" w:sz="24" w:space="0" w:color="auto"/>
              <w:left w:val="single" w:sz="24" w:space="0" w:color="auto"/>
              <w:right w:val="single" w:sz="24" w:space="0" w:color="auto"/>
            </w:tcBorders>
            <w:vAlign w:val="center"/>
          </w:tcPr>
          <w:p w14:paraId="1BF9FD55" w14:textId="5D7F33C0" w:rsidR="00C970C6" w:rsidRPr="00573DEE" w:rsidRDefault="31C00B54" w:rsidP="00C970C6">
            <w:pPr>
              <w:jc w:val="center"/>
              <w:rPr>
                <w:rFonts w:ascii="Century Gothic" w:hAnsi="Century Gothic"/>
              </w:rPr>
            </w:pPr>
            <w:r w:rsidRPr="00573DEE">
              <w:rPr>
                <w:rFonts w:ascii="Century Gothic" w:hAnsi="Century Gothic"/>
              </w:rPr>
              <w:t>RAD</w:t>
            </w:r>
            <w:r w:rsidR="4DB5983B" w:rsidRPr="00573DEE">
              <w:rPr>
                <w:rFonts w:ascii="Century Gothic" w:hAnsi="Century Gothic"/>
              </w:rPr>
              <w:t xml:space="preserve"> c</w:t>
            </w:r>
            <w:r w:rsidR="19FF20C6" w:rsidRPr="00573DEE">
              <w:rPr>
                <w:rFonts w:ascii="Century Gothic" w:hAnsi="Century Gothic"/>
              </w:rPr>
              <w:t xml:space="preserve">onversion </w:t>
            </w:r>
          </w:p>
        </w:tc>
      </w:tr>
      <w:tr w:rsidR="0032063E" w14:paraId="5C352FBD" w14:textId="77777777" w:rsidTr="00FC3B55">
        <w:trPr>
          <w:trHeight w:val="765"/>
        </w:trPr>
        <w:tc>
          <w:tcPr>
            <w:tcW w:w="2610" w:type="dxa"/>
            <w:tcBorders>
              <w:left w:val="single" w:sz="24" w:space="0" w:color="auto"/>
              <w:right w:val="single" w:sz="24" w:space="0" w:color="auto"/>
            </w:tcBorders>
            <w:vAlign w:val="center"/>
          </w:tcPr>
          <w:p w14:paraId="27A42BF4" w14:textId="54599139" w:rsidR="2933EC32" w:rsidRPr="00E76A49" w:rsidRDefault="46BAC6F7" w:rsidP="2C805A1A">
            <w:pPr>
              <w:rPr>
                <w:rFonts w:ascii="Century Gothic" w:eastAsia="Times New Roman" w:hAnsi="Century Gothic"/>
              </w:rPr>
            </w:pPr>
            <w:r w:rsidRPr="00E76A49">
              <w:rPr>
                <w:rFonts w:ascii="Century Gothic" w:eastAsia="Times New Roman" w:hAnsi="Century Gothic"/>
              </w:rPr>
              <w:t>Sponsored Based Housing (Youth Contin</w:t>
            </w:r>
            <w:r w:rsidR="65F66E7C" w:rsidRPr="00E76A49">
              <w:rPr>
                <w:rFonts w:ascii="Century Gothic" w:eastAsia="Times New Roman" w:hAnsi="Century Gothic"/>
              </w:rPr>
              <w:t>u</w:t>
            </w:r>
            <w:r w:rsidRPr="00E76A49">
              <w:rPr>
                <w:rFonts w:ascii="Century Gothic" w:eastAsia="Times New Roman" w:hAnsi="Century Gothic"/>
              </w:rPr>
              <w:t>um)</w:t>
            </w:r>
          </w:p>
        </w:tc>
        <w:tc>
          <w:tcPr>
            <w:tcW w:w="1170" w:type="dxa"/>
            <w:tcBorders>
              <w:top w:val="single" w:sz="8" w:space="0" w:color="auto"/>
              <w:left w:val="single" w:sz="24" w:space="0" w:color="auto"/>
              <w:bottom w:val="single" w:sz="8" w:space="0" w:color="auto"/>
              <w:right w:val="single" w:sz="8" w:space="0" w:color="auto"/>
            </w:tcBorders>
            <w:vAlign w:val="center"/>
          </w:tcPr>
          <w:p w14:paraId="523DE1D3" w14:textId="4FEECD21" w:rsidR="2933EC32" w:rsidRPr="00E76A49" w:rsidRDefault="46BAC6F7" w:rsidP="0077421B">
            <w:pPr>
              <w:pStyle w:val="ListParagraph"/>
              <w:ind w:left="0"/>
              <w:jc w:val="center"/>
              <w:rPr>
                <w:rFonts w:ascii="Century Gothic" w:eastAsia="Times New Roman" w:hAnsi="Century Gothic"/>
              </w:rPr>
            </w:pPr>
            <w:r w:rsidRPr="00E76A49">
              <w:rPr>
                <w:rFonts w:ascii="Century Gothic" w:eastAsia="Times New Roman" w:hAnsi="Century Gothic"/>
              </w:rPr>
              <w:t>20</w:t>
            </w:r>
          </w:p>
        </w:tc>
        <w:tc>
          <w:tcPr>
            <w:tcW w:w="1260" w:type="dxa"/>
            <w:tcBorders>
              <w:top w:val="single" w:sz="8" w:space="0" w:color="auto"/>
              <w:left w:val="single" w:sz="8" w:space="0" w:color="auto"/>
              <w:bottom w:val="single" w:sz="8" w:space="0" w:color="auto"/>
              <w:right w:val="single" w:sz="24" w:space="0" w:color="auto"/>
            </w:tcBorders>
            <w:vAlign w:val="center"/>
          </w:tcPr>
          <w:p w14:paraId="59CB2C2D" w14:textId="3A34E6ED" w:rsidR="00E17684" w:rsidRPr="00E76A49" w:rsidRDefault="729CCB7B" w:rsidP="0077421B">
            <w:pPr>
              <w:pStyle w:val="ListParagraph"/>
              <w:ind w:left="0"/>
              <w:jc w:val="center"/>
              <w:rPr>
                <w:rFonts w:ascii="Century Gothic" w:eastAsia="MS PGothic" w:hAnsi="Century Gothic"/>
              </w:rPr>
            </w:pPr>
            <w:r w:rsidRPr="00E76A49">
              <w:rPr>
                <w:rFonts w:ascii="Century Gothic" w:eastAsia="MS PGothic" w:hAnsi="Century Gothic"/>
              </w:rPr>
              <w:t>0</w:t>
            </w:r>
          </w:p>
        </w:tc>
        <w:tc>
          <w:tcPr>
            <w:tcW w:w="1440" w:type="dxa"/>
            <w:tcBorders>
              <w:left w:val="single" w:sz="24" w:space="0" w:color="auto"/>
              <w:right w:val="single" w:sz="24" w:space="0" w:color="auto"/>
            </w:tcBorders>
            <w:vAlign w:val="center"/>
          </w:tcPr>
          <w:p w14:paraId="4BA73753" w14:textId="6F43C958" w:rsidR="2C805A1A" w:rsidRPr="00573DEE" w:rsidRDefault="4E7E6661" w:rsidP="0077421B">
            <w:pPr>
              <w:pStyle w:val="ListParagraph"/>
              <w:ind w:left="0"/>
              <w:jc w:val="center"/>
              <w:rPr>
                <w:rFonts w:ascii="Century Gothic" w:eastAsia="Times New Roman" w:hAnsi="Century Gothic"/>
              </w:rPr>
            </w:pPr>
            <w:r w:rsidRPr="00573DEE">
              <w:rPr>
                <w:rFonts w:ascii="Century Gothic" w:eastAsia="Times New Roman" w:hAnsi="Century Gothic"/>
              </w:rPr>
              <w:t>Committed</w:t>
            </w:r>
          </w:p>
        </w:tc>
        <w:tc>
          <w:tcPr>
            <w:tcW w:w="990" w:type="dxa"/>
            <w:tcBorders>
              <w:left w:val="single" w:sz="24" w:space="0" w:color="auto"/>
              <w:right w:val="single" w:sz="24" w:space="0" w:color="auto"/>
            </w:tcBorders>
            <w:vAlign w:val="center"/>
          </w:tcPr>
          <w:p w14:paraId="31B3525A" w14:textId="189BAD9A" w:rsidR="1AFF63BD" w:rsidRPr="00573DEE" w:rsidRDefault="4E7E6661" w:rsidP="0077421B">
            <w:pPr>
              <w:pStyle w:val="ListParagraph"/>
              <w:ind w:left="0"/>
              <w:jc w:val="center"/>
              <w:rPr>
                <w:rFonts w:ascii="Century Gothic" w:eastAsia="Times New Roman" w:hAnsi="Century Gothic"/>
              </w:rPr>
            </w:pPr>
            <w:r w:rsidRPr="00573DEE">
              <w:rPr>
                <w:rFonts w:ascii="Century Gothic" w:eastAsia="Times New Roman" w:hAnsi="Century Gothic"/>
              </w:rPr>
              <w:t>No</w:t>
            </w:r>
          </w:p>
        </w:tc>
        <w:tc>
          <w:tcPr>
            <w:tcW w:w="2520" w:type="dxa"/>
            <w:tcBorders>
              <w:left w:val="single" w:sz="24" w:space="0" w:color="auto"/>
              <w:right w:val="single" w:sz="24" w:space="0" w:color="auto"/>
            </w:tcBorders>
            <w:vAlign w:val="center"/>
          </w:tcPr>
          <w:p w14:paraId="3A1279BF" w14:textId="5A56D5DE" w:rsidR="0F9A7D4D" w:rsidRPr="00573DEE" w:rsidRDefault="4E7E6661" w:rsidP="19A6F694">
            <w:pPr>
              <w:jc w:val="center"/>
              <w:rPr>
                <w:rFonts w:ascii="Century Gothic" w:eastAsia="Times New Roman" w:hAnsi="Century Gothic"/>
              </w:rPr>
            </w:pPr>
            <w:r w:rsidRPr="00573DEE">
              <w:rPr>
                <w:rFonts w:ascii="Century Gothic" w:eastAsia="Times New Roman" w:hAnsi="Century Gothic"/>
              </w:rPr>
              <w:t>Local Non-Traditional</w:t>
            </w:r>
          </w:p>
        </w:tc>
      </w:tr>
      <w:tr w:rsidR="0032063E" w14:paraId="1DF02700" w14:textId="77777777" w:rsidTr="00FC3B55">
        <w:trPr>
          <w:trHeight w:val="765"/>
        </w:trPr>
        <w:tc>
          <w:tcPr>
            <w:tcW w:w="2610" w:type="dxa"/>
            <w:tcBorders>
              <w:left w:val="single" w:sz="24" w:space="0" w:color="auto"/>
              <w:right w:val="single" w:sz="24" w:space="0" w:color="auto"/>
            </w:tcBorders>
            <w:vAlign w:val="center"/>
          </w:tcPr>
          <w:p w14:paraId="18F1D5ED" w14:textId="074249A6" w:rsidR="2933EC32" w:rsidRPr="00E76A49" w:rsidRDefault="46BAC6F7" w:rsidP="2C805A1A">
            <w:pPr>
              <w:rPr>
                <w:rFonts w:ascii="Century Gothic" w:eastAsia="Times New Roman" w:hAnsi="Century Gothic"/>
              </w:rPr>
            </w:pPr>
            <w:r w:rsidRPr="00E76A49">
              <w:rPr>
                <w:rFonts w:ascii="Century Gothic" w:eastAsia="Times New Roman" w:hAnsi="Century Gothic"/>
              </w:rPr>
              <w:t>Beacon – Chapel</w:t>
            </w:r>
            <w:r w:rsidR="2462399B" w:rsidRPr="00E76A49">
              <w:rPr>
                <w:rFonts w:ascii="Century Gothic" w:eastAsia="Times New Roman" w:hAnsi="Century Gothic"/>
              </w:rPr>
              <w:t xml:space="preserve"> </w:t>
            </w:r>
            <w:r w:rsidRPr="00E76A49">
              <w:rPr>
                <w:rFonts w:ascii="Century Gothic" w:eastAsia="Times New Roman" w:hAnsi="Century Gothic"/>
              </w:rPr>
              <w:t>St.</w:t>
            </w:r>
          </w:p>
        </w:tc>
        <w:tc>
          <w:tcPr>
            <w:tcW w:w="1170" w:type="dxa"/>
            <w:tcBorders>
              <w:top w:val="single" w:sz="8" w:space="0" w:color="auto"/>
              <w:left w:val="single" w:sz="24" w:space="0" w:color="auto"/>
              <w:bottom w:val="single" w:sz="8" w:space="0" w:color="auto"/>
              <w:right w:val="single" w:sz="8" w:space="0" w:color="auto"/>
            </w:tcBorders>
            <w:vAlign w:val="center"/>
          </w:tcPr>
          <w:p w14:paraId="7F4F059E" w14:textId="43B24C17" w:rsidR="2933EC32" w:rsidRPr="00E76A49" w:rsidRDefault="46BAC6F7" w:rsidP="0077421B">
            <w:pPr>
              <w:pStyle w:val="ListParagraph"/>
              <w:ind w:left="0"/>
              <w:jc w:val="center"/>
              <w:rPr>
                <w:rFonts w:ascii="Century Gothic" w:eastAsia="Times New Roman" w:hAnsi="Century Gothic"/>
              </w:rPr>
            </w:pPr>
            <w:r w:rsidRPr="00E76A49">
              <w:rPr>
                <w:rFonts w:ascii="Century Gothic" w:eastAsia="Times New Roman" w:hAnsi="Century Gothic"/>
              </w:rPr>
              <w:t>38</w:t>
            </w:r>
          </w:p>
        </w:tc>
        <w:tc>
          <w:tcPr>
            <w:tcW w:w="1260" w:type="dxa"/>
            <w:tcBorders>
              <w:top w:val="single" w:sz="8" w:space="0" w:color="auto"/>
              <w:left w:val="single" w:sz="8" w:space="0" w:color="auto"/>
              <w:bottom w:val="single" w:sz="8" w:space="0" w:color="auto"/>
              <w:right w:val="single" w:sz="24" w:space="0" w:color="auto"/>
            </w:tcBorders>
            <w:vAlign w:val="center"/>
          </w:tcPr>
          <w:p w14:paraId="721691BA" w14:textId="7F868917" w:rsidR="00E17684" w:rsidRPr="00E76A49" w:rsidRDefault="3D5D7751" w:rsidP="0077421B">
            <w:pPr>
              <w:pStyle w:val="ListParagraph"/>
              <w:ind w:left="0"/>
              <w:jc w:val="center"/>
              <w:rPr>
                <w:rFonts w:ascii="Century Gothic" w:eastAsia="MS PGothic" w:hAnsi="Century Gothic"/>
              </w:rPr>
            </w:pPr>
            <w:r w:rsidRPr="00E76A49">
              <w:rPr>
                <w:rFonts w:ascii="Century Gothic" w:eastAsia="MS PGothic" w:hAnsi="Century Gothic"/>
              </w:rPr>
              <w:t>0</w:t>
            </w:r>
          </w:p>
        </w:tc>
        <w:tc>
          <w:tcPr>
            <w:tcW w:w="1440" w:type="dxa"/>
            <w:tcBorders>
              <w:left w:val="single" w:sz="24" w:space="0" w:color="auto"/>
              <w:right w:val="single" w:sz="24" w:space="0" w:color="auto"/>
            </w:tcBorders>
            <w:vAlign w:val="center"/>
          </w:tcPr>
          <w:p w14:paraId="22B10BA8" w14:textId="5D2D6751" w:rsidR="2C805A1A" w:rsidRPr="00573DEE" w:rsidRDefault="1811F62B" w:rsidP="0077421B">
            <w:pPr>
              <w:pStyle w:val="ListParagraph"/>
              <w:ind w:left="0"/>
              <w:jc w:val="center"/>
              <w:rPr>
                <w:rFonts w:ascii="Century Gothic" w:eastAsia="Times New Roman" w:hAnsi="Century Gothic"/>
              </w:rPr>
            </w:pPr>
            <w:r w:rsidRPr="00573DEE">
              <w:rPr>
                <w:rFonts w:ascii="Century Gothic" w:eastAsia="Times New Roman" w:hAnsi="Century Gothic"/>
              </w:rPr>
              <w:t>Committed</w:t>
            </w:r>
          </w:p>
        </w:tc>
        <w:tc>
          <w:tcPr>
            <w:tcW w:w="990" w:type="dxa"/>
            <w:tcBorders>
              <w:left w:val="single" w:sz="24" w:space="0" w:color="auto"/>
              <w:right w:val="single" w:sz="24" w:space="0" w:color="auto"/>
            </w:tcBorders>
            <w:vAlign w:val="center"/>
          </w:tcPr>
          <w:p w14:paraId="25AC2E05" w14:textId="6751ECCA" w:rsidR="2FA81989" w:rsidRPr="00573DEE" w:rsidRDefault="1811F62B" w:rsidP="0077421B">
            <w:pPr>
              <w:pStyle w:val="ListParagraph"/>
              <w:ind w:left="0"/>
              <w:jc w:val="center"/>
              <w:rPr>
                <w:rFonts w:ascii="Century Gothic" w:eastAsia="Times New Roman" w:hAnsi="Century Gothic"/>
              </w:rPr>
            </w:pPr>
            <w:r w:rsidRPr="00573DEE">
              <w:rPr>
                <w:rFonts w:ascii="Century Gothic" w:eastAsia="Times New Roman" w:hAnsi="Century Gothic"/>
              </w:rPr>
              <w:t>No</w:t>
            </w:r>
          </w:p>
        </w:tc>
        <w:tc>
          <w:tcPr>
            <w:tcW w:w="2520" w:type="dxa"/>
            <w:tcBorders>
              <w:left w:val="single" w:sz="24" w:space="0" w:color="auto"/>
              <w:right w:val="single" w:sz="24" w:space="0" w:color="auto"/>
            </w:tcBorders>
            <w:vAlign w:val="center"/>
          </w:tcPr>
          <w:p w14:paraId="10C603B5" w14:textId="5D4F9C6B" w:rsidR="6448E2B7" w:rsidRPr="00573DEE" w:rsidRDefault="1811F62B" w:rsidP="19A6F694">
            <w:pPr>
              <w:jc w:val="center"/>
              <w:rPr>
                <w:rFonts w:ascii="Century Gothic" w:eastAsia="Times New Roman" w:hAnsi="Century Gothic"/>
              </w:rPr>
            </w:pPr>
            <w:r w:rsidRPr="00573DEE">
              <w:rPr>
                <w:rFonts w:ascii="Century Gothic" w:eastAsia="Times New Roman" w:hAnsi="Century Gothic"/>
              </w:rPr>
              <w:t>PBV</w:t>
            </w:r>
          </w:p>
        </w:tc>
      </w:tr>
      <w:tr w:rsidR="0032063E" w14:paraId="31D67932" w14:textId="77777777" w:rsidTr="00FC3B55">
        <w:trPr>
          <w:trHeight w:val="765"/>
        </w:trPr>
        <w:tc>
          <w:tcPr>
            <w:tcW w:w="2610" w:type="dxa"/>
            <w:tcBorders>
              <w:left w:val="single" w:sz="24" w:space="0" w:color="auto"/>
              <w:right w:val="single" w:sz="24" w:space="0" w:color="auto"/>
            </w:tcBorders>
            <w:vAlign w:val="center"/>
          </w:tcPr>
          <w:p w14:paraId="009014B5" w14:textId="751E64BA" w:rsidR="5DC13592" w:rsidRPr="00573DEE" w:rsidRDefault="5BBE9C52" w:rsidP="003F0D12">
            <w:pPr>
              <w:rPr>
                <w:rFonts w:ascii="Century Gothic" w:eastAsia="Times New Roman" w:hAnsi="Century Gothic"/>
                <w:b/>
                <w:bCs/>
              </w:rPr>
            </w:pPr>
            <w:r w:rsidRPr="00573DEE">
              <w:rPr>
                <w:rFonts w:ascii="Century Gothic" w:eastAsia="Times New Roman" w:hAnsi="Century Gothic"/>
                <w:b/>
                <w:bCs/>
              </w:rPr>
              <w:t>TOTAL:</w:t>
            </w:r>
          </w:p>
          <w:p w14:paraId="0EF0DFDA" w14:textId="068B7299" w:rsidR="5DC13592" w:rsidRPr="00573DEE" w:rsidRDefault="5BBE9C52" w:rsidP="6E9E055C">
            <w:pPr>
              <w:pStyle w:val="ListParagraph"/>
              <w:ind w:left="0"/>
              <w:rPr>
                <w:rFonts w:ascii="Century Gothic" w:eastAsia="Times New Roman" w:hAnsi="Century Gothic"/>
                <w:b/>
                <w:bCs/>
              </w:rPr>
            </w:pPr>
            <w:r w:rsidRPr="00573DEE">
              <w:rPr>
                <w:rFonts w:ascii="Century Gothic" w:eastAsia="Times New Roman" w:hAnsi="Century Gothic"/>
                <w:b/>
                <w:bCs/>
              </w:rPr>
              <w:t xml:space="preserve">Planned </w:t>
            </w:r>
            <w:r w:rsidR="4D36E1D4" w:rsidRPr="00573DEE">
              <w:rPr>
                <w:rFonts w:ascii="Century Gothic" w:eastAsia="Times New Roman" w:hAnsi="Century Gothic"/>
                <w:b/>
                <w:bCs/>
              </w:rPr>
              <w:t>or Actual Newly</w:t>
            </w:r>
            <w:r w:rsidRPr="00573DEE">
              <w:rPr>
                <w:rFonts w:ascii="Century Gothic" w:eastAsia="Times New Roman" w:hAnsi="Century Gothic"/>
                <w:b/>
                <w:bCs/>
              </w:rPr>
              <w:t xml:space="preserve"> Project</w:t>
            </w:r>
            <w:r w:rsidR="4D36E1D4" w:rsidRPr="00573DEE">
              <w:rPr>
                <w:rFonts w:ascii="Century Gothic" w:eastAsia="Times New Roman" w:hAnsi="Century Gothic"/>
                <w:b/>
                <w:bCs/>
              </w:rPr>
              <w:t>-</w:t>
            </w:r>
            <w:r w:rsidRPr="00573DEE">
              <w:rPr>
                <w:rFonts w:ascii="Century Gothic" w:eastAsia="Times New Roman" w:hAnsi="Century Gothic"/>
                <w:b/>
                <w:bCs/>
              </w:rPr>
              <w:t xml:space="preserve">Based </w:t>
            </w:r>
          </w:p>
        </w:tc>
        <w:tc>
          <w:tcPr>
            <w:tcW w:w="1170" w:type="dxa"/>
            <w:tcBorders>
              <w:top w:val="single" w:sz="8" w:space="0" w:color="auto"/>
              <w:left w:val="single" w:sz="24" w:space="0" w:color="auto"/>
              <w:bottom w:val="single" w:sz="8" w:space="0" w:color="auto"/>
              <w:right w:val="single" w:sz="8" w:space="0" w:color="auto"/>
            </w:tcBorders>
            <w:vAlign w:val="center"/>
          </w:tcPr>
          <w:p w14:paraId="50A1595F" w14:textId="1E862AD9" w:rsidR="5DC13592" w:rsidRPr="00573DEE" w:rsidRDefault="6B4BF616" w:rsidP="6E9E055C">
            <w:pPr>
              <w:pStyle w:val="ListParagraph"/>
              <w:ind w:left="0"/>
              <w:jc w:val="center"/>
              <w:rPr>
                <w:rFonts w:ascii="Century Gothic" w:eastAsia="Times New Roman" w:hAnsi="Century Gothic"/>
                <w:b/>
                <w:bCs/>
              </w:rPr>
            </w:pPr>
            <w:r w:rsidRPr="00573DEE">
              <w:rPr>
                <w:rFonts w:ascii="Century Gothic" w:eastAsia="Times New Roman" w:hAnsi="Century Gothic"/>
                <w:b/>
                <w:bCs/>
              </w:rPr>
              <w:t xml:space="preserve"> </w:t>
            </w:r>
            <w:r w:rsidR="3444D08F" w:rsidRPr="00573DEE">
              <w:rPr>
                <w:rFonts w:ascii="Century Gothic" w:eastAsia="Times New Roman" w:hAnsi="Century Gothic"/>
                <w:b/>
                <w:bCs/>
              </w:rPr>
              <w:t xml:space="preserve"> </w:t>
            </w:r>
            <w:r w:rsidRPr="00573DEE">
              <w:rPr>
                <w:rFonts w:ascii="Century Gothic" w:eastAsia="Times New Roman" w:hAnsi="Century Gothic"/>
                <w:b/>
                <w:bCs/>
              </w:rPr>
              <w:t>150</w:t>
            </w:r>
          </w:p>
        </w:tc>
        <w:tc>
          <w:tcPr>
            <w:tcW w:w="1260" w:type="dxa"/>
            <w:tcBorders>
              <w:top w:val="single" w:sz="8" w:space="0" w:color="auto"/>
              <w:left w:val="single" w:sz="8" w:space="0" w:color="auto"/>
              <w:bottom w:val="single" w:sz="8" w:space="0" w:color="auto"/>
              <w:right w:val="single" w:sz="24" w:space="0" w:color="auto"/>
            </w:tcBorders>
            <w:vAlign w:val="center"/>
          </w:tcPr>
          <w:p w14:paraId="07427184" w14:textId="2DE2C8D1" w:rsidR="5DC13592" w:rsidRPr="00573DEE" w:rsidRDefault="118852BD" w:rsidP="19A6F694">
            <w:pPr>
              <w:pStyle w:val="ListParagraph"/>
              <w:ind w:left="0"/>
              <w:jc w:val="center"/>
              <w:rPr>
                <w:rFonts w:ascii="Century Gothic" w:eastAsia="MS PGothic" w:hAnsi="Century Gothic"/>
                <w:b/>
                <w:bCs/>
              </w:rPr>
            </w:pPr>
            <w:r w:rsidRPr="00573DEE">
              <w:rPr>
                <w:rFonts w:ascii="Century Gothic" w:eastAsia="MS PGothic" w:hAnsi="Century Gothic"/>
                <w:b/>
                <w:bCs/>
              </w:rPr>
              <w:t xml:space="preserve"> </w:t>
            </w:r>
            <w:r w:rsidR="386BC78F" w:rsidRPr="00573DEE">
              <w:rPr>
                <w:rFonts w:ascii="Century Gothic" w:eastAsia="MS PGothic" w:hAnsi="Century Gothic"/>
                <w:b/>
                <w:bCs/>
              </w:rPr>
              <w:t xml:space="preserve"> 19</w:t>
            </w:r>
            <w:r w:rsidR="7B9F6F02" w:rsidRPr="00573DEE">
              <w:rPr>
                <w:rFonts w:ascii="Century Gothic" w:eastAsia="MS PGothic" w:hAnsi="Century Gothic"/>
                <w:b/>
                <w:bCs/>
              </w:rPr>
              <w:t>6</w:t>
            </w:r>
          </w:p>
        </w:tc>
        <w:tc>
          <w:tcPr>
            <w:tcW w:w="1440" w:type="dxa"/>
            <w:tcBorders>
              <w:left w:val="single" w:sz="24" w:space="0" w:color="auto"/>
              <w:right w:val="single" w:sz="24" w:space="0" w:color="auto"/>
            </w:tcBorders>
            <w:vAlign w:val="center"/>
          </w:tcPr>
          <w:p w14:paraId="49B02807" w14:textId="336AB7BD" w:rsidR="5DC13592" w:rsidRPr="00573DEE" w:rsidRDefault="5DC13592" w:rsidP="003F0D12">
            <w:pPr>
              <w:pStyle w:val="ListParagraph"/>
              <w:jc w:val="center"/>
              <w:rPr>
                <w:rFonts w:ascii="Century Gothic" w:eastAsia="MS PGothic" w:hAnsi="Century Gothic"/>
                <w:szCs w:val="22"/>
              </w:rPr>
            </w:pPr>
          </w:p>
        </w:tc>
        <w:tc>
          <w:tcPr>
            <w:tcW w:w="990" w:type="dxa"/>
            <w:tcBorders>
              <w:left w:val="single" w:sz="24" w:space="0" w:color="auto"/>
              <w:right w:val="single" w:sz="24" w:space="0" w:color="auto"/>
            </w:tcBorders>
            <w:vAlign w:val="center"/>
          </w:tcPr>
          <w:p w14:paraId="220560FF" w14:textId="0D463184" w:rsidR="5DC13592" w:rsidRPr="00573DEE" w:rsidRDefault="5DC13592" w:rsidP="003F0D12">
            <w:pPr>
              <w:pStyle w:val="ListParagraph"/>
              <w:jc w:val="center"/>
              <w:rPr>
                <w:rFonts w:ascii="Century Gothic" w:eastAsia="MS PGothic" w:hAnsi="Century Gothic"/>
                <w:szCs w:val="22"/>
              </w:rPr>
            </w:pPr>
          </w:p>
        </w:tc>
        <w:tc>
          <w:tcPr>
            <w:tcW w:w="2520" w:type="dxa"/>
            <w:tcBorders>
              <w:left w:val="single" w:sz="24" w:space="0" w:color="auto"/>
              <w:right w:val="single" w:sz="24" w:space="0" w:color="auto"/>
            </w:tcBorders>
            <w:vAlign w:val="center"/>
          </w:tcPr>
          <w:p w14:paraId="1BAA61AC" w14:textId="576ADC18" w:rsidR="5DC13592" w:rsidRPr="00573DEE" w:rsidRDefault="5DC13592" w:rsidP="5DC13592">
            <w:pPr>
              <w:jc w:val="center"/>
              <w:rPr>
                <w:rFonts w:ascii="Century Gothic" w:eastAsia="MS PGothic" w:hAnsi="Century Gothic"/>
                <w:szCs w:val="22"/>
              </w:rPr>
            </w:pPr>
          </w:p>
        </w:tc>
      </w:tr>
      <w:bookmarkEnd w:id="48"/>
    </w:tbl>
    <w:p w14:paraId="3C8CD194" w14:textId="575B5E63" w:rsidR="008B6710" w:rsidRPr="00814BB7" w:rsidRDefault="008B6710" w:rsidP="729305E5">
      <w:pPr>
        <w:rPr>
          <w:rFonts w:ascii="Century Gothic" w:eastAsia="MS PGothic" w:hAnsi="Century Gothic"/>
          <w:b/>
          <w:bCs/>
        </w:rPr>
      </w:pPr>
    </w:p>
    <w:p w14:paraId="41F05C9D" w14:textId="2DE9DB9B" w:rsidR="67FC511C" w:rsidRPr="00814BB7" w:rsidRDefault="67FC511C" w:rsidP="004878D2">
      <w:pPr>
        <w:tabs>
          <w:tab w:val="left" w:pos="3510"/>
        </w:tabs>
        <w:ind w:left="990" w:hanging="270"/>
        <w:rPr>
          <w:rFonts w:ascii="Century Gothic" w:eastAsia="Calibri" w:hAnsi="Century Gothic" w:cs="Calibri"/>
          <w:sz w:val="18"/>
          <w:szCs w:val="18"/>
        </w:rPr>
      </w:pPr>
      <w:r w:rsidRPr="00814BB7">
        <w:rPr>
          <w:rFonts w:ascii="Century Gothic" w:eastAsia="Calibri" w:hAnsi="Century Gothic" w:cs="Calibri"/>
          <w:sz w:val="18"/>
          <w:szCs w:val="18"/>
        </w:rPr>
        <w:t>* Figures in the “Planned” column should match the corresponding Annual MTW Plan.</w:t>
      </w:r>
    </w:p>
    <w:p w14:paraId="238DE444" w14:textId="13C975D7" w:rsidR="282FB222" w:rsidRPr="00814BB7" w:rsidRDefault="67FC511C" w:rsidP="007E3106">
      <w:pPr>
        <w:tabs>
          <w:tab w:val="left" w:pos="990"/>
        </w:tabs>
        <w:ind w:left="720"/>
        <w:rPr>
          <w:rFonts w:ascii="Century Gothic" w:eastAsia="Calibri" w:hAnsi="Century Gothic" w:cs="Calibri"/>
          <w:sz w:val="18"/>
          <w:szCs w:val="18"/>
        </w:rPr>
      </w:pPr>
      <w:r w:rsidRPr="00814BB7">
        <w:rPr>
          <w:rFonts w:ascii="Century Gothic" w:eastAsia="Calibri" w:hAnsi="Century Gothic" w:cs="Calibri"/>
          <w:sz w:val="12"/>
          <w:szCs w:val="12"/>
        </w:rPr>
        <w:t xml:space="preserve"> </w:t>
      </w:r>
      <w:r w:rsidR="282FB222" w:rsidRPr="00814BB7">
        <w:rPr>
          <w:rFonts w:ascii="Century Gothic" w:eastAsia="Calibri" w:hAnsi="Century Gothic" w:cs="Calibri"/>
          <w:sz w:val="18"/>
          <w:szCs w:val="18"/>
        </w:rPr>
        <w:t>** Select “Status at the End of Plan Year” from: Committed, Leased/Issued</w:t>
      </w:r>
    </w:p>
    <w:p w14:paraId="327E1BF9" w14:textId="77777777" w:rsidR="00FC3B55" w:rsidRDefault="00FC3B55" w:rsidP="004878D2">
      <w:pPr>
        <w:rPr>
          <w:rFonts w:ascii="Century Gothic" w:eastAsia="Times New Roman" w:hAnsi="Century Gothic"/>
          <w:b/>
          <w:bCs/>
        </w:rPr>
      </w:pPr>
    </w:p>
    <w:p w14:paraId="31A5CE77" w14:textId="15211DBA" w:rsidR="19A6F694" w:rsidRPr="00F467EC" w:rsidRDefault="19A6F694" w:rsidP="004878D2">
      <w:pPr>
        <w:rPr>
          <w:rFonts w:ascii="Century Gothic" w:eastAsia="Times New Roman" w:hAnsi="Century Gothic"/>
          <w:b/>
          <w:bCs/>
          <w:sz w:val="20"/>
          <w:szCs w:val="20"/>
        </w:rPr>
      </w:pPr>
      <w:r w:rsidRPr="00F467EC">
        <w:rPr>
          <w:rFonts w:ascii="Century Gothic" w:eastAsia="Times New Roman" w:hAnsi="Century Gothic"/>
          <w:b/>
          <w:bCs/>
        </w:rPr>
        <w:t xml:space="preserve">Please describe differences between the Planned and Actual Number of </w:t>
      </w:r>
      <w:proofErr w:type="gramStart"/>
      <w:r w:rsidRPr="00F467EC">
        <w:rPr>
          <w:rFonts w:ascii="Century Gothic" w:eastAsia="Times New Roman" w:hAnsi="Century Gothic"/>
          <w:b/>
          <w:bCs/>
        </w:rPr>
        <w:t>Vouchers Newly Project-Based</w:t>
      </w:r>
      <w:proofErr w:type="gramEnd"/>
      <w:r w:rsidRPr="00F467EC">
        <w:rPr>
          <w:rFonts w:ascii="Century Gothic" w:eastAsia="Times New Roman" w:hAnsi="Century Gothic"/>
          <w:b/>
          <w:bCs/>
        </w:rPr>
        <w:t>:</w:t>
      </w:r>
    </w:p>
    <w:tbl>
      <w:tblPr>
        <w:tblW w:w="0" w:type="auto"/>
        <w:tblLayout w:type="fixed"/>
        <w:tblLook w:val="06A0" w:firstRow="1" w:lastRow="0" w:firstColumn="1" w:lastColumn="0" w:noHBand="1" w:noVBand="1"/>
      </w:tblPr>
      <w:tblGrid>
        <w:gridCol w:w="9930"/>
      </w:tblGrid>
      <w:tr w:rsidR="34E9B707" w14:paraId="327B0AC7" w14:textId="77777777" w:rsidTr="34E9B707">
        <w:trPr>
          <w:trHeight w:val="300"/>
        </w:trPr>
        <w:tc>
          <w:tcPr>
            <w:tcW w:w="9930" w:type="dxa"/>
            <w:vAlign w:val="center"/>
          </w:tcPr>
          <w:p w14:paraId="460BBAFF" w14:textId="00004023" w:rsidR="34E9B707" w:rsidRDefault="34E9B707" w:rsidP="34E9B707">
            <w:pPr>
              <w:tabs>
                <w:tab w:val="left" w:pos="3510"/>
              </w:tabs>
              <w:ind w:right="-163"/>
              <w:rPr>
                <w:rFonts w:eastAsia="Calibri" w:cs="Calibri"/>
                <w:color w:val="000000" w:themeColor="text1"/>
                <w:sz w:val="18"/>
                <w:szCs w:val="18"/>
              </w:rPr>
            </w:pPr>
          </w:p>
        </w:tc>
      </w:tr>
    </w:tbl>
    <w:p w14:paraId="1D89212E" w14:textId="04351187" w:rsidR="19A6F694" w:rsidRPr="007E3106" w:rsidRDefault="66168556" w:rsidP="00486062">
      <w:pPr>
        <w:pStyle w:val="ListParagraph"/>
        <w:numPr>
          <w:ilvl w:val="0"/>
          <w:numId w:val="131"/>
        </w:numPr>
        <w:tabs>
          <w:tab w:val="left" w:pos="3510"/>
        </w:tabs>
        <w:rPr>
          <w:rFonts w:ascii="Century Gothic" w:eastAsia="Times New Roman" w:hAnsi="Century Gothic"/>
        </w:rPr>
      </w:pPr>
      <w:r w:rsidRPr="007E3106">
        <w:rPr>
          <w:rFonts w:ascii="Century Gothic" w:eastAsia="Times New Roman" w:hAnsi="Century Gothic"/>
          <w:b/>
          <w:bCs/>
          <w:color w:val="000000" w:themeColor="text1"/>
        </w:rPr>
        <w:t>McConaughy Terrace</w:t>
      </w:r>
      <w:r w:rsidRPr="007E3106">
        <w:rPr>
          <w:rFonts w:ascii="Century Gothic" w:eastAsia="Times New Roman" w:hAnsi="Century Gothic"/>
          <w:color w:val="000000" w:themeColor="text1"/>
        </w:rPr>
        <w:t xml:space="preserve"> - </w:t>
      </w:r>
      <w:r w:rsidR="32266F02" w:rsidRPr="007E3106">
        <w:rPr>
          <w:rFonts w:ascii="Century Gothic" w:eastAsia="Times New Roman" w:hAnsi="Century Gothic"/>
        </w:rPr>
        <w:t xml:space="preserve">The RCC was received in FY2023 (September 2023). </w:t>
      </w:r>
      <w:r w:rsidR="242D850C" w:rsidRPr="007E3106">
        <w:rPr>
          <w:rFonts w:ascii="Century Gothic" w:eastAsia="Times New Roman" w:hAnsi="Century Gothic"/>
        </w:rPr>
        <w:t xml:space="preserve"> </w:t>
      </w:r>
      <w:r w:rsidR="45E497CC" w:rsidRPr="007E3106">
        <w:rPr>
          <w:rFonts w:ascii="Century Gothic" w:eastAsia="Times New Roman" w:hAnsi="Century Gothic"/>
        </w:rPr>
        <w:t>T</w:t>
      </w:r>
      <w:r w:rsidR="602A357A" w:rsidRPr="007E3106">
        <w:rPr>
          <w:rFonts w:ascii="Century Gothic" w:eastAsia="Times New Roman" w:hAnsi="Century Gothic"/>
          <w:color w:val="000000" w:themeColor="text1"/>
        </w:rPr>
        <w:t>he</w:t>
      </w:r>
      <w:r w:rsidRPr="007E3106">
        <w:rPr>
          <w:rFonts w:ascii="Century Gothic" w:eastAsia="Times New Roman" w:hAnsi="Century Gothic"/>
          <w:color w:val="000000" w:themeColor="text1"/>
        </w:rPr>
        <w:t xml:space="preserve"> c</w:t>
      </w:r>
      <w:r w:rsidRPr="007E3106">
        <w:rPr>
          <w:rFonts w:ascii="Century Gothic" w:eastAsia="Times New Roman" w:hAnsi="Century Gothic"/>
        </w:rPr>
        <w:t xml:space="preserve">onstruction and permanent interest rate increased which caused a funding shortfall </w:t>
      </w:r>
      <w:proofErr w:type="gramStart"/>
      <w:r w:rsidRPr="007E3106">
        <w:rPr>
          <w:rFonts w:ascii="Century Gothic" w:eastAsia="Times New Roman" w:hAnsi="Century Gothic"/>
        </w:rPr>
        <w:t>in excess of</w:t>
      </w:r>
      <w:proofErr w:type="gramEnd"/>
      <w:r w:rsidRPr="007E3106">
        <w:rPr>
          <w:rFonts w:ascii="Century Gothic" w:eastAsia="Times New Roman" w:hAnsi="Century Gothic"/>
        </w:rPr>
        <w:t xml:space="preserve"> $1.2MM dollars</w:t>
      </w:r>
      <w:r w:rsidR="602A357A" w:rsidRPr="007E3106">
        <w:rPr>
          <w:rFonts w:ascii="Century Gothic" w:eastAsia="Times New Roman" w:hAnsi="Century Gothic"/>
        </w:rPr>
        <w:t>.</w:t>
      </w:r>
      <w:r w:rsidRPr="007E3106">
        <w:rPr>
          <w:rFonts w:ascii="Century Gothic" w:eastAsia="Times New Roman" w:hAnsi="Century Gothic"/>
        </w:rPr>
        <w:t xml:space="preserve">  ECC</w:t>
      </w:r>
      <w:r w:rsidR="00DA50EA" w:rsidRPr="007E3106">
        <w:rPr>
          <w:rFonts w:ascii="Century Gothic" w:eastAsia="Times New Roman" w:hAnsi="Century Gothic"/>
        </w:rPr>
        <w:t>/HANH</w:t>
      </w:r>
      <w:r w:rsidRPr="007E3106">
        <w:rPr>
          <w:rFonts w:ascii="Century Gothic" w:eastAsia="Times New Roman" w:hAnsi="Century Gothic"/>
        </w:rPr>
        <w:t xml:space="preserve"> and Glendower </w:t>
      </w:r>
      <w:r w:rsidR="2D9065AA" w:rsidRPr="007E3106">
        <w:rPr>
          <w:rFonts w:ascii="Century Gothic" w:eastAsia="Times New Roman" w:hAnsi="Century Gothic"/>
        </w:rPr>
        <w:t>designed</w:t>
      </w:r>
      <w:r w:rsidR="009870BE">
        <w:rPr>
          <w:rFonts w:ascii="Century Gothic" w:eastAsia="Times New Roman" w:hAnsi="Century Gothic"/>
        </w:rPr>
        <w:t xml:space="preserve"> </w:t>
      </w:r>
      <w:r w:rsidRPr="007E3106">
        <w:rPr>
          <w:rFonts w:ascii="Century Gothic" w:eastAsia="Times New Roman" w:hAnsi="Century Gothic"/>
        </w:rPr>
        <w:t>modeling methods to fill that shortfall and the closing</w:t>
      </w:r>
      <w:r w:rsidR="007F27B4" w:rsidRPr="007E3106">
        <w:rPr>
          <w:rFonts w:ascii="Century Gothic" w:eastAsia="Times New Roman" w:hAnsi="Century Gothic"/>
        </w:rPr>
        <w:t>s</w:t>
      </w:r>
      <w:r w:rsidRPr="007E3106">
        <w:rPr>
          <w:rFonts w:ascii="Century Gothic" w:eastAsia="Times New Roman" w:hAnsi="Century Gothic"/>
        </w:rPr>
        <w:t xml:space="preserve"> of both Phase 4% and Phase 9% </w:t>
      </w:r>
      <w:r w:rsidR="2B1D90C5" w:rsidRPr="007E3106">
        <w:rPr>
          <w:rFonts w:ascii="Century Gothic" w:eastAsia="Times New Roman" w:hAnsi="Century Gothic"/>
        </w:rPr>
        <w:t>occurred in</w:t>
      </w:r>
      <w:r w:rsidRPr="007E3106">
        <w:rPr>
          <w:rFonts w:ascii="Century Gothic" w:eastAsia="Times New Roman" w:hAnsi="Century Gothic"/>
        </w:rPr>
        <w:t xml:space="preserve"> the 1st quarter of FY2024.  </w:t>
      </w:r>
      <w:r w:rsidR="3CF7CD5D" w:rsidRPr="007E3106">
        <w:rPr>
          <w:rFonts w:ascii="Century Gothic" w:eastAsia="Times New Roman" w:hAnsi="Century Gothic"/>
        </w:rPr>
        <w:t xml:space="preserve"> There were 92 units in the 4% and 10</w:t>
      </w:r>
      <w:r w:rsidR="2D588D51" w:rsidRPr="007E3106">
        <w:rPr>
          <w:rFonts w:ascii="Century Gothic" w:eastAsia="Times New Roman" w:hAnsi="Century Gothic"/>
        </w:rPr>
        <w:t>4</w:t>
      </w:r>
      <w:r w:rsidR="7D54D934" w:rsidRPr="007E3106">
        <w:rPr>
          <w:rFonts w:ascii="Century Gothic" w:eastAsia="Times New Roman" w:hAnsi="Century Gothic"/>
        </w:rPr>
        <w:t xml:space="preserve"> </w:t>
      </w:r>
      <w:r w:rsidR="3CF7CD5D" w:rsidRPr="007E3106">
        <w:rPr>
          <w:rFonts w:ascii="Century Gothic" w:eastAsia="Times New Roman" w:hAnsi="Century Gothic"/>
        </w:rPr>
        <w:t xml:space="preserve">units in the 9% </w:t>
      </w:r>
      <w:r w:rsidR="63F228A4" w:rsidRPr="007E3106">
        <w:rPr>
          <w:rFonts w:ascii="Century Gothic" w:eastAsia="Times New Roman" w:hAnsi="Century Gothic"/>
        </w:rPr>
        <w:t>for a total of 19</w:t>
      </w:r>
      <w:r w:rsidR="006D0251" w:rsidRPr="007E3106">
        <w:rPr>
          <w:rFonts w:ascii="Century Gothic" w:eastAsia="Times New Roman" w:hAnsi="Century Gothic"/>
        </w:rPr>
        <w:t>6</w:t>
      </w:r>
      <w:r w:rsidR="08F22BFE" w:rsidRPr="007E3106">
        <w:rPr>
          <w:rFonts w:ascii="Century Gothic" w:eastAsia="Times New Roman" w:hAnsi="Century Gothic"/>
        </w:rPr>
        <w:t xml:space="preserve"> RAD units</w:t>
      </w:r>
      <w:r w:rsidR="63F228A4" w:rsidRPr="007E3106">
        <w:rPr>
          <w:rFonts w:ascii="Century Gothic" w:eastAsia="Times New Roman" w:hAnsi="Century Gothic"/>
        </w:rPr>
        <w:t>.</w:t>
      </w:r>
    </w:p>
    <w:p w14:paraId="65DF6586" w14:textId="63B0CEB4" w:rsidR="4F73C63D" w:rsidRDefault="7A9FA4C0" w:rsidP="00486062">
      <w:pPr>
        <w:pStyle w:val="ListParagraph"/>
        <w:numPr>
          <w:ilvl w:val="0"/>
          <w:numId w:val="131"/>
        </w:numPr>
        <w:spacing w:after="160" w:line="276" w:lineRule="auto"/>
        <w:rPr>
          <w:rFonts w:ascii="Century Gothic" w:hAnsi="Century Gothic"/>
        </w:rPr>
      </w:pPr>
      <w:r w:rsidRPr="00A06775">
        <w:rPr>
          <w:rFonts w:ascii="Century Gothic" w:eastAsia="Times New Roman" w:hAnsi="Century Gothic"/>
          <w:b/>
          <w:bCs/>
        </w:rPr>
        <w:t>Sponsored Based Housing</w:t>
      </w:r>
      <w:r w:rsidRPr="00A06775">
        <w:rPr>
          <w:rFonts w:ascii="Century Gothic" w:eastAsia="Times New Roman" w:hAnsi="Century Gothic"/>
          <w:b/>
          <w:bCs/>
          <w:color w:val="000000" w:themeColor="text1"/>
        </w:rPr>
        <w:t xml:space="preserve"> </w:t>
      </w:r>
      <w:r w:rsidR="165E8FBB" w:rsidRPr="00A06775">
        <w:rPr>
          <w:rFonts w:ascii="Century Gothic" w:eastAsia="Times New Roman" w:hAnsi="Century Gothic"/>
          <w:b/>
          <w:bCs/>
          <w:color w:val="000000" w:themeColor="text1"/>
        </w:rPr>
        <w:t>(Youth Continuum)</w:t>
      </w:r>
      <w:r w:rsidR="00FC3B55" w:rsidRPr="00A06775">
        <w:rPr>
          <w:rFonts w:ascii="Century Gothic" w:eastAsia="Times New Roman" w:hAnsi="Century Gothic"/>
          <w:b/>
          <w:bCs/>
          <w:color w:val="000000" w:themeColor="text1"/>
        </w:rPr>
        <w:t>-</w:t>
      </w:r>
      <w:r w:rsidR="00FC3B55" w:rsidRPr="00A06775">
        <w:rPr>
          <w:rFonts w:ascii="Century Gothic" w:eastAsia="Times New Roman" w:hAnsi="Century Gothic"/>
          <w:color w:val="000000" w:themeColor="text1"/>
        </w:rPr>
        <w:t xml:space="preserve"> </w:t>
      </w:r>
      <w:r w:rsidR="00FC3B55" w:rsidRPr="002737FD">
        <w:rPr>
          <w:rFonts w:ascii="Century Gothic" w:hAnsi="Century Gothic"/>
        </w:rPr>
        <w:t>The</w:t>
      </w:r>
      <w:r w:rsidR="70240F0B" w:rsidRPr="002737FD">
        <w:rPr>
          <w:rFonts w:ascii="Century Gothic" w:hAnsi="Century Gothic"/>
        </w:rPr>
        <w:t xml:space="preserve"> development </w:t>
      </w:r>
      <w:r w:rsidR="403AD2A7" w:rsidRPr="002737FD">
        <w:rPr>
          <w:rFonts w:ascii="Century Gothic" w:hAnsi="Century Gothic"/>
        </w:rPr>
        <w:t>did not come o</w:t>
      </w:r>
      <w:r w:rsidR="22010F9D" w:rsidRPr="002737FD">
        <w:rPr>
          <w:rFonts w:ascii="Century Gothic" w:hAnsi="Century Gothic"/>
        </w:rPr>
        <w:t>n</w:t>
      </w:r>
      <w:r w:rsidR="403AD2A7" w:rsidRPr="002737FD">
        <w:rPr>
          <w:rFonts w:ascii="Century Gothic" w:hAnsi="Century Gothic"/>
        </w:rPr>
        <w:t xml:space="preserve">line as expected as it </w:t>
      </w:r>
      <w:r w:rsidR="4C58B54E" w:rsidRPr="002737FD">
        <w:rPr>
          <w:rFonts w:ascii="Century Gothic" w:hAnsi="Century Gothic"/>
        </w:rPr>
        <w:t>is</w:t>
      </w:r>
      <w:r w:rsidR="70240F0B" w:rsidRPr="002737FD">
        <w:rPr>
          <w:rFonts w:ascii="Century Gothic" w:hAnsi="Century Gothic"/>
        </w:rPr>
        <w:t xml:space="preserve"> still in the planning stage</w:t>
      </w:r>
      <w:r w:rsidR="07A83753" w:rsidRPr="002737FD">
        <w:rPr>
          <w:rFonts w:ascii="Century Gothic" w:hAnsi="Century Gothic"/>
        </w:rPr>
        <w:t xml:space="preserve">. </w:t>
      </w:r>
      <w:r w:rsidR="614D50FE" w:rsidRPr="002737FD">
        <w:rPr>
          <w:rFonts w:ascii="Century Gothic" w:hAnsi="Century Gothic"/>
        </w:rPr>
        <w:t xml:space="preserve"> </w:t>
      </w:r>
      <w:r w:rsidR="261D13C2" w:rsidRPr="002737FD">
        <w:rPr>
          <w:rFonts w:ascii="Century Gothic" w:hAnsi="Century Gothic"/>
        </w:rPr>
        <w:t xml:space="preserve">The </w:t>
      </w:r>
      <w:r w:rsidR="32A06874" w:rsidRPr="002737FD">
        <w:rPr>
          <w:rFonts w:ascii="Century Gothic" w:hAnsi="Century Gothic"/>
        </w:rPr>
        <w:t>a</w:t>
      </w:r>
      <w:r w:rsidR="614D50FE" w:rsidRPr="002737FD">
        <w:rPr>
          <w:rFonts w:ascii="Century Gothic" w:hAnsi="Century Gothic"/>
        </w:rPr>
        <w:t xml:space="preserve">rchitectural plans </w:t>
      </w:r>
      <w:r w:rsidR="614D50FE" w:rsidRPr="002737FD">
        <w:rPr>
          <w:rFonts w:ascii="Century Gothic" w:hAnsi="Century Gothic"/>
        </w:rPr>
        <w:lastRenderedPageBreak/>
        <w:t xml:space="preserve">have been completed and the </w:t>
      </w:r>
      <w:r w:rsidR="5DE7F37D" w:rsidRPr="002737FD">
        <w:rPr>
          <w:rFonts w:ascii="Century Gothic" w:hAnsi="Century Gothic"/>
        </w:rPr>
        <w:t xml:space="preserve">application for the </w:t>
      </w:r>
      <w:r w:rsidR="614D50FE" w:rsidRPr="002737FD">
        <w:rPr>
          <w:rFonts w:ascii="Century Gothic" w:hAnsi="Century Gothic"/>
        </w:rPr>
        <w:t xml:space="preserve">final funding </w:t>
      </w:r>
      <w:r w:rsidR="3F2E54C5" w:rsidRPr="002737FD">
        <w:rPr>
          <w:rFonts w:ascii="Century Gothic" w:hAnsi="Century Gothic"/>
        </w:rPr>
        <w:t>has been completed</w:t>
      </w:r>
      <w:r w:rsidR="614D50FE" w:rsidRPr="002737FD">
        <w:rPr>
          <w:rFonts w:ascii="Century Gothic" w:hAnsi="Century Gothic"/>
        </w:rPr>
        <w:t>.</w:t>
      </w:r>
      <w:r w:rsidR="18FDE73B" w:rsidRPr="002737FD">
        <w:rPr>
          <w:rFonts w:ascii="Century Gothic" w:hAnsi="Century Gothic"/>
        </w:rPr>
        <w:t xml:space="preserve"> Construction is anticipated to begin in FY2025.</w:t>
      </w:r>
    </w:p>
    <w:p w14:paraId="5008DAF4" w14:textId="27B57719" w:rsidR="19A6F694" w:rsidRPr="00FC3B55" w:rsidRDefault="1032984F" w:rsidP="00486062">
      <w:pPr>
        <w:pStyle w:val="ListParagraph"/>
        <w:numPr>
          <w:ilvl w:val="0"/>
          <w:numId w:val="131"/>
        </w:numPr>
        <w:rPr>
          <w:rFonts w:ascii="Century Gothic" w:eastAsia="Times New Roman" w:hAnsi="Century Gothic"/>
        </w:rPr>
      </w:pPr>
      <w:r w:rsidRPr="00FC3B55">
        <w:rPr>
          <w:rFonts w:ascii="Century Gothic" w:eastAsia="Times New Roman" w:hAnsi="Century Gothic"/>
          <w:b/>
          <w:bCs/>
        </w:rPr>
        <w:t>Beacon – Chapel St.</w:t>
      </w:r>
      <w:r w:rsidRPr="00FC3B55">
        <w:rPr>
          <w:rFonts w:ascii="Century Gothic" w:eastAsia="Times New Roman" w:hAnsi="Century Gothic"/>
        </w:rPr>
        <w:t xml:space="preserve"> - </w:t>
      </w:r>
      <w:r w:rsidR="216FEBF2" w:rsidRPr="00FC3B55">
        <w:rPr>
          <w:rFonts w:ascii="Century Gothic" w:eastAsia="Times New Roman" w:hAnsi="Century Gothic"/>
        </w:rPr>
        <w:t xml:space="preserve">The AHAP has been </w:t>
      </w:r>
      <w:proofErr w:type="gramStart"/>
      <w:r w:rsidR="216FEBF2" w:rsidRPr="00FC3B55">
        <w:rPr>
          <w:rFonts w:ascii="Century Gothic" w:eastAsia="Times New Roman" w:hAnsi="Century Gothic"/>
        </w:rPr>
        <w:t>signed</w:t>
      </w:r>
      <w:proofErr w:type="gramEnd"/>
      <w:r w:rsidR="216FEBF2" w:rsidRPr="00FC3B55">
        <w:rPr>
          <w:rFonts w:ascii="Century Gothic" w:eastAsia="Times New Roman" w:hAnsi="Century Gothic"/>
        </w:rPr>
        <w:t xml:space="preserve"> and</w:t>
      </w:r>
      <w:r w:rsidR="0FED2B65" w:rsidRPr="00FC3B55">
        <w:rPr>
          <w:rFonts w:ascii="Century Gothic" w:eastAsia="Times New Roman" w:hAnsi="Century Gothic"/>
        </w:rPr>
        <w:t xml:space="preserve"> </w:t>
      </w:r>
      <w:r w:rsidR="4B90D017" w:rsidRPr="00FC3B55">
        <w:rPr>
          <w:rFonts w:ascii="Century Gothic" w:eastAsia="Times New Roman" w:hAnsi="Century Gothic"/>
        </w:rPr>
        <w:t>c</w:t>
      </w:r>
      <w:r w:rsidR="0D3FA0DD" w:rsidRPr="00FC3B55">
        <w:rPr>
          <w:rFonts w:ascii="Century Gothic" w:eastAsia="Times New Roman" w:hAnsi="Century Gothic"/>
        </w:rPr>
        <w:t xml:space="preserve">onstruction </w:t>
      </w:r>
      <w:r w:rsidR="5638E0D5" w:rsidRPr="00FC3B55">
        <w:rPr>
          <w:rFonts w:ascii="Century Gothic" w:eastAsia="Times New Roman" w:hAnsi="Century Gothic"/>
        </w:rPr>
        <w:t xml:space="preserve">started </w:t>
      </w:r>
      <w:r w:rsidR="28E1A5AA" w:rsidRPr="00FC3B55">
        <w:rPr>
          <w:rFonts w:ascii="Century Gothic" w:eastAsia="Times New Roman" w:hAnsi="Century Gothic"/>
        </w:rPr>
        <w:t xml:space="preserve">in FY24 </w:t>
      </w:r>
      <w:r w:rsidR="5638E0D5" w:rsidRPr="00FC3B55">
        <w:rPr>
          <w:rFonts w:ascii="Century Gothic" w:eastAsia="Times New Roman" w:hAnsi="Century Gothic"/>
        </w:rPr>
        <w:t xml:space="preserve">and is expected to </w:t>
      </w:r>
      <w:r w:rsidR="6EBC5CD0" w:rsidRPr="00FC3B55">
        <w:rPr>
          <w:rFonts w:ascii="Century Gothic" w:eastAsia="Times New Roman" w:hAnsi="Century Gothic"/>
        </w:rPr>
        <w:t>be</w:t>
      </w:r>
      <w:r w:rsidR="0AC20639" w:rsidRPr="00FC3B55">
        <w:rPr>
          <w:rFonts w:ascii="Century Gothic" w:eastAsia="Times New Roman" w:hAnsi="Century Gothic"/>
        </w:rPr>
        <w:t xml:space="preserve"> </w:t>
      </w:r>
      <w:r w:rsidR="6EBC5CD0" w:rsidRPr="00FC3B55">
        <w:rPr>
          <w:rFonts w:ascii="Century Gothic" w:eastAsia="Times New Roman" w:hAnsi="Century Gothic"/>
        </w:rPr>
        <w:t>compl</w:t>
      </w:r>
      <w:r w:rsidR="0B0B41E4" w:rsidRPr="00FC3B55">
        <w:rPr>
          <w:rFonts w:ascii="Century Gothic" w:eastAsia="Times New Roman" w:hAnsi="Century Gothic"/>
        </w:rPr>
        <w:t>e</w:t>
      </w:r>
      <w:r w:rsidR="6EBC5CD0" w:rsidRPr="00FC3B55">
        <w:rPr>
          <w:rFonts w:ascii="Century Gothic" w:eastAsia="Times New Roman" w:hAnsi="Century Gothic"/>
        </w:rPr>
        <w:t>ted</w:t>
      </w:r>
      <w:r w:rsidR="5638E0D5" w:rsidRPr="00FC3B55">
        <w:rPr>
          <w:rFonts w:ascii="Century Gothic" w:eastAsia="Times New Roman" w:hAnsi="Century Gothic"/>
        </w:rPr>
        <w:t xml:space="preserve"> in </w:t>
      </w:r>
      <w:r w:rsidR="0C80C37A" w:rsidRPr="00FC3B55">
        <w:rPr>
          <w:rFonts w:ascii="Century Gothic" w:eastAsia="Times New Roman" w:hAnsi="Century Gothic"/>
        </w:rPr>
        <w:t>F</w:t>
      </w:r>
      <w:r w:rsidR="4A37FCE3" w:rsidRPr="00FC3B55">
        <w:rPr>
          <w:rFonts w:ascii="Century Gothic" w:eastAsia="Times New Roman" w:hAnsi="Century Gothic"/>
        </w:rPr>
        <w:t>Y</w:t>
      </w:r>
      <w:r w:rsidR="0C80C37A" w:rsidRPr="00FC3B55">
        <w:rPr>
          <w:rFonts w:ascii="Century Gothic" w:eastAsia="Times New Roman" w:hAnsi="Century Gothic"/>
        </w:rPr>
        <w:t xml:space="preserve">25. </w:t>
      </w:r>
    </w:p>
    <w:p w14:paraId="726DD0CE" w14:textId="77777777" w:rsidR="00F467EC" w:rsidRDefault="00F467EC" w:rsidP="169FF47A">
      <w:pPr>
        <w:rPr>
          <w:rFonts w:ascii="Century Gothic" w:eastAsia="Times New Roman" w:hAnsi="Century Gothic"/>
        </w:rPr>
      </w:pPr>
    </w:p>
    <w:p w14:paraId="6BB7AD37" w14:textId="22718090" w:rsidR="002E01C6" w:rsidRDefault="19A6F694" w:rsidP="19A6F694">
      <w:pPr>
        <w:pStyle w:val="ListParagraph"/>
        <w:rPr>
          <w:rFonts w:ascii="Times New Roman" w:hAnsi="Times New Roman"/>
          <w:b/>
          <w:bCs/>
        </w:rPr>
      </w:pPr>
      <w:r w:rsidRPr="19A6F694">
        <w:rPr>
          <w:rFonts w:ascii="Times New Roman" w:hAnsi="Times New Roman"/>
          <w:b/>
          <w:bCs/>
        </w:rPr>
        <w:t xml:space="preserve">    </w:t>
      </w:r>
    </w:p>
    <w:p w14:paraId="699B8001" w14:textId="77777777" w:rsidR="00515BD7" w:rsidRPr="0020355D" w:rsidRDefault="00515BD7" w:rsidP="19A6F694">
      <w:pPr>
        <w:pStyle w:val="ListParagraph"/>
        <w:rPr>
          <w:rFonts w:ascii="Times New Roman" w:hAnsi="Times New Roman"/>
          <w:b/>
          <w:bCs/>
        </w:rPr>
      </w:pPr>
    </w:p>
    <w:p w14:paraId="5C9FFA7F" w14:textId="77777777" w:rsidR="00FB5829" w:rsidRPr="00F467EC" w:rsidRDefault="00FB5829" w:rsidP="00486062">
      <w:pPr>
        <w:pStyle w:val="ListParagraph"/>
        <w:numPr>
          <w:ilvl w:val="0"/>
          <w:numId w:val="103"/>
        </w:numPr>
        <w:ind w:left="720" w:hanging="360"/>
        <w:rPr>
          <w:rFonts w:ascii="Century Gothic" w:hAnsi="Century Gothic"/>
          <w:b/>
          <w:szCs w:val="22"/>
        </w:rPr>
      </w:pPr>
      <w:r w:rsidRPr="00F467EC">
        <w:rPr>
          <w:rFonts w:ascii="Century Gothic" w:hAnsi="Century Gothic"/>
          <w:b/>
          <w:szCs w:val="22"/>
        </w:rPr>
        <w:t xml:space="preserve">Actual Existing Project Based Vouchers </w:t>
      </w:r>
    </w:p>
    <w:p w14:paraId="0059C42A" w14:textId="0D6336E4" w:rsidR="00FB5829" w:rsidRPr="00F467EC" w:rsidRDefault="3F0E349E" w:rsidP="0E6C54AB">
      <w:pPr>
        <w:pStyle w:val="ListParagraph"/>
        <w:rPr>
          <w:rFonts w:ascii="Century Gothic" w:hAnsi="Century Gothic"/>
          <w:szCs w:val="22"/>
        </w:rPr>
      </w:pPr>
      <w:r w:rsidRPr="00F467EC">
        <w:rPr>
          <w:rFonts w:ascii="Century Gothic" w:hAnsi="Century Gothic"/>
          <w:szCs w:val="22"/>
        </w:rPr>
        <w:t>Tenant-based vouchers that the MTW PHA is currently project-</w:t>
      </w:r>
      <w:proofErr w:type="gramStart"/>
      <w:r w:rsidRPr="00F467EC">
        <w:rPr>
          <w:rFonts w:ascii="Century Gothic" w:hAnsi="Century Gothic"/>
          <w:szCs w:val="22"/>
        </w:rPr>
        <w:t>basing</w:t>
      </w:r>
      <w:proofErr w:type="gramEnd"/>
      <w:r w:rsidRPr="00F467EC">
        <w:rPr>
          <w:rFonts w:ascii="Century Gothic" w:hAnsi="Century Gothic"/>
          <w:szCs w:val="22"/>
        </w:rPr>
        <w:t xml:space="preserve"> in the Plan Year. These include only those in which at least an AHAP was in place by the beginning of the Plan Year. Indicate whether the unit is included in RAD.</w:t>
      </w:r>
    </w:p>
    <w:p w14:paraId="36729988" w14:textId="3D7F5508" w:rsidR="0E6C54AB" w:rsidRDefault="0E6C54AB" w:rsidP="0E6C54AB">
      <w:pPr>
        <w:pStyle w:val="ListParagraph"/>
        <w:rPr>
          <w:rFonts w:ascii="Century Gothic" w:hAnsi="Century Gothic"/>
          <w:szCs w:val="22"/>
        </w:rPr>
      </w:pPr>
    </w:p>
    <w:p w14:paraId="5B8FBA03" w14:textId="77777777" w:rsidR="00FC3B55" w:rsidRPr="00F467EC" w:rsidRDefault="00FC3B55" w:rsidP="0E6C54AB">
      <w:pPr>
        <w:pStyle w:val="ListParagraph"/>
        <w:rPr>
          <w:rFonts w:ascii="Century Gothic" w:hAnsi="Century Gothic"/>
          <w:szCs w:val="22"/>
        </w:rPr>
      </w:pPr>
    </w:p>
    <w:tbl>
      <w:tblPr>
        <w:tblStyle w:val="TableGrid"/>
        <w:tblW w:w="9930" w:type="dxa"/>
        <w:tblLayout w:type="fixed"/>
        <w:tblLook w:val="04A0" w:firstRow="1" w:lastRow="0" w:firstColumn="1" w:lastColumn="0" w:noHBand="0" w:noVBand="1"/>
      </w:tblPr>
      <w:tblGrid>
        <w:gridCol w:w="2093"/>
        <w:gridCol w:w="1682"/>
        <w:gridCol w:w="1260"/>
        <w:gridCol w:w="1743"/>
        <w:gridCol w:w="797"/>
        <w:gridCol w:w="2355"/>
      </w:tblGrid>
      <w:tr w:rsidR="0E6C54AB" w:rsidRPr="00F467EC" w14:paraId="2012AD47" w14:textId="77777777" w:rsidTr="00F467EC">
        <w:trPr>
          <w:trHeight w:val="2040"/>
        </w:trPr>
        <w:tc>
          <w:tcPr>
            <w:tcW w:w="2093" w:type="dxa"/>
            <w:tcBorders>
              <w:top w:val="single" w:sz="4" w:space="0" w:color="000000" w:themeColor="text1"/>
              <w:left w:val="single" w:sz="4" w:space="0" w:color="000000" w:themeColor="text1"/>
              <w:bottom w:val="single" w:sz="12" w:space="0" w:color="000000" w:themeColor="text1"/>
              <w:right w:val="single" w:sz="12" w:space="0" w:color="000000" w:themeColor="text1"/>
            </w:tcBorders>
            <w:shd w:val="clear" w:color="auto" w:fill="BFBFBF" w:themeFill="background1" w:themeFillShade="BF"/>
            <w:tcMar>
              <w:top w:w="15" w:type="dxa"/>
              <w:left w:w="15" w:type="dxa"/>
              <w:right w:w="15" w:type="dxa"/>
            </w:tcMar>
            <w:vAlign w:val="center"/>
          </w:tcPr>
          <w:p w14:paraId="62F62A36" w14:textId="1116BA8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b/>
                <w:bCs/>
                <w:color w:val="000000" w:themeColor="text1"/>
                <w:szCs w:val="22"/>
              </w:rPr>
              <w:t>PROPERTY NAME</w:t>
            </w:r>
            <w:r w:rsidRPr="00F467EC">
              <w:rPr>
                <w:rFonts w:ascii="Century Gothic" w:eastAsia="Times New Roman" w:hAnsi="Century Gothic"/>
                <w:color w:val="000000" w:themeColor="text1"/>
                <w:szCs w:val="22"/>
              </w:rPr>
              <w:t xml:space="preserve"> </w:t>
            </w:r>
          </w:p>
        </w:tc>
        <w:tc>
          <w:tcPr>
            <w:tcW w:w="1682" w:type="dxa"/>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tcMar>
              <w:top w:w="15" w:type="dxa"/>
              <w:left w:w="15" w:type="dxa"/>
              <w:right w:w="15" w:type="dxa"/>
            </w:tcMar>
            <w:vAlign w:val="center"/>
          </w:tcPr>
          <w:p w14:paraId="20C88B75" w14:textId="3A444EB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b/>
                <w:bCs/>
                <w:color w:val="000000" w:themeColor="text1"/>
                <w:szCs w:val="22"/>
              </w:rPr>
              <w:t>NUMBER OF PROJECT-BASED VOUCHERS (Planned*)</w:t>
            </w:r>
            <w:r w:rsidRPr="00F467EC">
              <w:rPr>
                <w:rFonts w:ascii="Century Gothic" w:eastAsia="Times New Roman" w:hAnsi="Century Gothic"/>
                <w:color w:val="000000" w:themeColor="text1"/>
                <w:szCs w:val="22"/>
              </w:rPr>
              <w:t xml:space="preserve"> </w:t>
            </w:r>
          </w:p>
        </w:tc>
        <w:tc>
          <w:tcPr>
            <w:tcW w:w="1260" w:type="dxa"/>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tcMar>
              <w:top w:w="15" w:type="dxa"/>
              <w:left w:w="15" w:type="dxa"/>
              <w:right w:w="15" w:type="dxa"/>
            </w:tcMar>
            <w:vAlign w:val="center"/>
          </w:tcPr>
          <w:p w14:paraId="241BDDF4" w14:textId="0771ED5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b/>
                <w:bCs/>
                <w:color w:val="000000" w:themeColor="text1"/>
                <w:szCs w:val="22"/>
              </w:rPr>
              <w:t>NUMBER OF PROJECT-BASED VOUCHERS (Actual)</w:t>
            </w:r>
            <w:r w:rsidRPr="00F467EC">
              <w:rPr>
                <w:rFonts w:ascii="Century Gothic" w:eastAsia="Times New Roman" w:hAnsi="Century Gothic"/>
                <w:color w:val="000000" w:themeColor="text1"/>
                <w:szCs w:val="22"/>
              </w:rPr>
              <w:t xml:space="preserve"> </w:t>
            </w:r>
          </w:p>
        </w:tc>
        <w:tc>
          <w:tcPr>
            <w:tcW w:w="1743" w:type="dxa"/>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tcMar>
              <w:top w:w="15" w:type="dxa"/>
              <w:left w:w="15" w:type="dxa"/>
              <w:right w:w="15" w:type="dxa"/>
            </w:tcMar>
            <w:vAlign w:val="center"/>
          </w:tcPr>
          <w:p w14:paraId="73084ED7" w14:textId="3709CC9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b/>
                <w:bCs/>
                <w:color w:val="000000" w:themeColor="text1"/>
                <w:szCs w:val="22"/>
              </w:rPr>
              <w:t>STATUS AT END OF PLAN YEAR**</w:t>
            </w:r>
            <w:r w:rsidRPr="00F467EC">
              <w:rPr>
                <w:rFonts w:ascii="Century Gothic" w:eastAsia="Times New Roman" w:hAnsi="Century Gothic"/>
                <w:color w:val="000000" w:themeColor="text1"/>
                <w:szCs w:val="22"/>
              </w:rPr>
              <w:t xml:space="preserve"> </w:t>
            </w:r>
          </w:p>
        </w:tc>
        <w:tc>
          <w:tcPr>
            <w:tcW w:w="797" w:type="dxa"/>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tcMar>
              <w:top w:w="15" w:type="dxa"/>
              <w:left w:w="15" w:type="dxa"/>
              <w:right w:w="15" w:type="dxa"/>
            </w:tcMar>
            <w:vAlign w:val="center"/>
          </w:tcPr>
          <w:p w14:paraId="103B6E69" w14:textId="1C64667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b/>
                <w:bCs/>
                <w:color w:val="000000" w:themeColor="text1"/>
                <w:szCs w:val="22"/>
              </w:rPr>
              <w:t>RAD?</w:t>
            </w:r>
            <w:r w:rsidRPr="00F467EC">
              <w:rPr>
                <w:rFonts w:ascii="Century Gothic" w:eastAsia="Times New Roman" w:hAnsi="Century Gothic"/>
                <w:color w:val="000000" w:themeColor="text1"/>
                <w:szCs w:val="22"/>
              </w:rPr>
              <w:t xml:space="preserve"> </w:t>
            </w:r>
          </w:p>
        </w:tc>
        <w:tc>
          <w:tcPr>
            <w:tcW w:w="2355" w:type="dxa"/>
            <w:tcBorders>
              <w:top w:val="single" w:sz="4" w:space="0" w:color="000000" w:themeColor="text1"/>
              <w:left w:val="single" w:sz="12" w:space="0" w:color="000000" w:themeColor="text1"/>
              <w:bottom w:val="single" w:sz="12" w:space="0" w:color="000000" w:themeColor="text1"/>
              <w:right w:val="single" w:sz="4" w:space="0" w:color="000000" w:themeColor="text1"/>
            </w:tcBorders>
            <w:shd w:val="clear" w:color="auto" w:fill="BFBFBF" w:themeFill="background1" w:themeFillShade="BF"/>
            <w:tcMar>
              <w:top w:w="15" w:type="dxa"/>
              <w:left w:w="15" w:type="dxa"/>
              <w:right w:w="15" w:type="dxa"/>
            </w:tcMar>
            <w:vAlign w:val="center"/>
          </w:tcPr>
          <w:p w14:paraId="206A9304" w14:textId="604FABA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b/>
                <w:bCs/>
                <w:color w:val="000000" w:themeColor="text1"/>
                <w:szCs w:val="22"/>
              </w:rPr>
              <w:t>DESCRIPTION OF PROJECT</w:t>
            </w:r>
            <w:r w:rsidRPr="00F467EC">
              <w:rPr>
                <w:rFonts w:ascii="Century Gothic" w:eastAsia="Times New Roman" w:hAnsi="Century Gothic"/>
                <w:color w:val="000000" w:themeColor="text1"/>
                <w:szCs w:val="22"/>
              </w:rPr>
              <w:t xml:space="preserve"> </w:t>
            </w:r>
          </w:p>
        </w:tc>
      </w:tr>
      <w:tr w:rsidR="0E6C54AB" w:rsidRPr="00F467EC" w14:paraId="62E8AE97" w14:textId="77777777" w:rsidTr="00F467EC">
        <w:trPr>
          <w:trHeight w:val="330"/>
        </w:trPr>
        <w:tc>
          <w:tcPr>
            <w:tcW w:w="2093" w:type="dxa"/>
            <w:tcBorders>
              <w:top w:val="single" w:sz="12" w:space="0" w:color="000000" w:themeColor="text1"/>
              <w:left w:val="single" w:sz="4" w:space="0" w:color="auto"/>
              <w:bottom w:val="single" w:sz="8" w:space="0" w:color="auto"/>
              <w:right w:val="single" w:sz="12" w:space="0" w:color="auto"/>
            </w:tcBorders>
            <w:tcMar>
              <w:top w:w="15" w:type="dxa"/>
              <w:left w:w="15" w:type="dxa"/>
              <w:right w:w="15" w:type="dxa"/>
            </w:tcMar>
            <w:vAlign w:val="center"/>
          </w:tcPr>
          <w:p w14:paraId="6090C399" w14:textId="47C27A3B"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Name </w:t>
            </w:r>
          </w:p>
        </w:tc>
        <w:tc>
          <w:tcPr>
            <w:tcW w:w="1682" w:type="dxa"/>
            <w:tcBorders>
              <w:top w:val="single" w:sz="12" w:space="0" w:color="000000" w:themeColor="text1"/>
              <w:left w:val="single" w:sz="12" w:space="0" w:color="auto"/>
              <w:bottom w:val="single" w:sz="8" w:space="0" w:color="000000" w:themeColor="text1"/>
              <w:right w:val="single" w:sz="12" w:space="0" w:color="000000" w:themeColor="text1"/>
            </w:tcBorders>
            <w:shd w:val="clear" w:color="auto" w:fill="D9D9D9" w:themeFill="background1" w:themeFillShade="D9"/>
            <w:tcMar>
              <w:top w:w="15" w:type="dxa"/>
              <w:left w:w="15" w:type="dxa"/>
              <w:right w:w="15" w:type="dxa"/>
            </w:tcMar>
            <w:vAlign w:val="center"/>
          </w:tcPr>
          <w:p w14:paraId="35D9A4CB" w14:textId="51275483"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c>
          <w:tcPr>
            <w:tcW w:w="1260" w:type="dxa"/>
            <w:tcBorders>
              <w:top w:val="single" w:sz="12" w:space="0" w:color="000000" w:themeColor="text1"/>
              <w:left w:val="single" w:sz="12" w:space="0" w:color="000000" w:themeColor="text1"/>
              <w:bottom w:val="single" w:sz="8" w:space="0" w:color="000000" w:themeColor="text1"/>
              <w:right w:val="single" w:sz="12" w:space="0" w:color="000000" w:themeColor="text1"/>
            </w:tcBorders>
            <w:shd w:val="clear" w:color="auto" w:fill="D9D9D9" w:themeFill="background1" w:themeFillShade="D9"/>
            <w:tcMar>
              <w:top w:w="15" w:type="dxa"/>
              <w:left w:w="15" w:type="dxa"/>
              <w:right w:w="15" w:type="dxa"/>
            </w:tcMar>
            <w:vAlign w:val="center"/>
          </w:tcPr>
          <w:p w14:paraId="7740ED89" w14:textId="10F6AF87"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r w:rsidR="00FC3B55">
              <w:rPr>
                <w:rFonts w:ascii="Century Gothic" w:eastAsia="Times New Roman" w:hAnsi="Century Gothic"/>
                <w:b/>
                <w:bCs/>
                <w:color w:val="000000" w:themeColor="text1"/>
                <w:szCs w:val="22"/>
              </w:rPr>
              <w:t>#</w:t>
            </w:r>
          </w:p>
        </w:tc>
        <w:tc>
          <w:tcPr>
            <w:tcW w:w="1743" w:type="dxa"/>
            <w:tcBorders>
              <w:top w:val="single" w:sz="12" w:space="0" w:color="000000" w:themeColor="text1"/>
              <w:left w:val="single" w:sz="12" w:space="0" w:color="000000" w:themeColor="text1"/>
              <w:bottom w:val="single" w:sz="8" w:space="0" w:color="000000" w:themeColor="text1"/>
              <w:right w:val="single" w:sz="12" w:space="0" w:color="000000" w:themeColor="text1"/>
            </w:tcBorders>
            <w:shd w:val="clear" w:color="auto" w:fill="D9D9D9" w:themeFill="background1" w:themeFillShade="D9"/>
            <w:tcMar>
              <w:top w:w="15" w:type="dxa"/>
              <w:left w:w="15" w:type="dxa"/>
              <w:right w:w="15" w:type="dxa"/>
            </w:tcMar>
            <w:vAlign w:val="center"/>
          </w:tcPr>
          <w:p w14:paraId="7FBC75CE" w14:textId="0BC441F6"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Status (below) </w:t>
            </w:r>
          </w:p>
        </w:tc>
        <w:tc>
          <w:tcPr>
            <w:tcW w:w="797" w:type="dxa"/>
            <w:tcBorders>
              <w:top w:val="single" w:sz="12" w:space="0" w:color="000000" w:themeColor="text1"/>
              <w:left w:val="single" w:sz="12" w:space="0" w:color="000000" w:themeColor="text1"/>
              <w:bottom w:val="single" w:sz="8" w:space="0" w:color="000000" w:themeColor="text1"/>
              <w:right w:val="single" w:sz="12" w:space="0" w:color="000000" w:themeColor="text1"/>
            </w:tcBorders>
            <w:shd w:val="clear" w:color="auto" w:fill="D9D9D9" w:themeFill="background1" w:themeFillShade="D9"/>
            <w:tcMar>
              <w:top w:w="15" w:type="dxa"/>
              <w:left w:w="15" w:type="dxa"/>
              <w:right w:w="15" w:type="dxa"/>
            </w:tcMar>
            <w:vAlign w:val="center"/>
          </w:tcPr>
          <w:p w14:paraId="7E06BBB3" w14:textId="75DF9A0B"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Yes/No </w:t>
            </w:r>
          </w:p>
        </w:tc>
        <w:tc>
          <w:tcPr>
            <w:tcW w:w="2355" w:type="dxa"/>
            <w:tcBorders>
              <w:top w:val="single" w:sz="12" w:space="0" w:color="000000" w:themeColor="text1"/>
              <w:left w:val="single" w:sz="12" w:space="0" w:color="000000" w:themeColor="text1"/>
              <w:bottom w:val="single" w:sz="8"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1CC870A4" w14:textId="6EBD821D"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Description </w:t>
            </w:r>
          </w:p>
        </w:tc>
      </w:tr>
      <w:tr w:rsidR="0E6C54AB" w:rsidRPr="00F467EC" w14:paraId="31C74BE7" w14:textId="77777777" w:rsidTr="00F467EC">
        <w:trPr>
          <w:trHeight w:val="315"/>
        </w:trPr>
        <w:tc>
          <w:tcPr>
            <w:tcW w:w="2093" w:type="dxa"/>
            <w:tcBorders>
              <w:top w:val="single" w:sz="8" w:space="0" w:color="auto"/>
              <w:left w:val="single" w:sz="4" w:space="0" w:color="000000" w:themeColor="text1"/>
              <w:bottom w:val="single" w:sz="8" w:space="0" w:color="000000" w:themeColor="text1"/>
              <w:right w:val="single" w:sz="12" w:space="0" w:color="000000" w:themeColor="text1"/>
            </w:tcBorders>
            <w:shd w:val="clear" w:color="auto" w:fill="D9D9D9" w:themeFill="background1" w:themeFillShade="D9"/>
            <w:tcMar>
              <w:top w:w="15" w:type="dxa"/>
              <w:left w:w="15" w:type="dxa"/>
              <w:right w:w="15" w:type="dxa"/>
            </w:tcMar>
            <w:vAlign w:val="center"/>
          </w:tcPr>
          <w:p w14:paraId="09280A9C" w14:textId="16C72C9B"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LIHTC PBV </w:t>
            </w:r>
          </w:p>
        </w:tc>
        <w:tc>
          <w:tcPr>
            <w:tcW w:w="1682" w:type="dxa"/>
            <w:tcBorders>
              <w:top w:val="single" w:sz="8" w:space="0" w:color="000000" w:themeColor="text1"/>
              <w:left w:val="single" w:sz="12" w:space="0" w:color="000000" w:themeColor="text1"/>
              <w:bottom w:val="single" w:sz="8" w:space="0" w:color="000000" w:themeColor="text1"/>
              <w:right w:val="single" w:sz="12" w:space="0" w:color="000000" w:themeColor="text1"/>
            </w:tcBorders>
            <w:shd w:val="clear" w:color="auto" w:fill="D9D9D9" w:themeFill="background1" w:themeFillShade="D9"/>
            <w:tcMar>
              <w:top w:w="15" w:type="dxa"/>
              <w:left w:w="15" w:type="dxa"/>
              <w:right w:w="15" w:type="dxa"/>
            </w:tcMar>
            <w:vAlign w:val="center"/>
          </w:tcPr>
          <w:p w14:paraId="1F199865" w14:textId="2B324AA7"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shd w:val="clear" w:color="auto" w:fill="D9D9D9" w:themeFill="background1" w:themeFillShade="D9"/>
            <w:tcMar>
              <w:top w:w="15" w:type="dxa"/>
              <w:left w:w="15" w:type="dxa"/>
              <w:right w:w="15" w:type="dxa"/>
            </w:tcMar>
            <w:vAlign w:val="center"/>
          </w:tcPr>
          <w:p w14:paraId="760B92C7" w14:textId="0ED45D1B"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shd w:val="clear" w:color="auto" w:fill="D9D9D9" w:themeFill="background1" w:themeFillShade="D9"/>
            <w:tcMar>
              <w:top w:w="15" w:type="dxa"/>
              <w:left w:w="15" w:type="dxa"/>
              <w:right w:w="15" w:type="dxa"/>
            </w:tcMar>
            <w:vAlign w:val="center"/>
          </w:tcPr>
          <w:p w14:paraId="1FC4EEBA" w14:textId="56AAEDB7"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shd w:val="clear" w:color="auto" w:fill="D9D9D9" w:themeFill="background1" w:themeFillShade="D9"/>
            <w:tcMar>
              <w:top w:w="15" w:type="dxa"/>
              <w:left w:w="15" w:type="dxa"/>
              <w:right w:w="15" w:type="dxa"/>
            </w:tcMar>
            <w:vAlign w:val="center"/>
          </w:tcPr>
          <w:p w14:paraId="259BA4C9" w14:textId="113A2F8D"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23A5957B" w14:textId="35A130A4"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r>
      <w:tr w:rsidR="0E6C54AB" w:rsidRPr="00F467EC" w14:paraId="3D8FA7DD" w14:textId="77777777" w:rsidTr="00F467EC">
        <w:trPr>
          <w:trHeight w:val="510"/>
        </w:trPr>
        <w:tc>
          <w:tcPr>
            <w:tcW w:w="2093" w:type="dxa"/>
            <w:tcBorders>
              <w:top w:val="single" w:sz="8" w:space="0" w:color="000000" w:themeColor="text1"/>
              <w:left w:val="single" w:sz="4" w:space="0" w:color="auto"/>
              <w:bottom w:val="single" w:sz="8" w:space="0" w:color="auto"/>
              <w:right w:val="single" w:sz="12" w:space="0" w:color="auto"/>
            </w:tcBorders>
            <w:tcMar>
              <w:top w:w="15" w:type="dxa"/>
              <w:left w:w="15" w:type="dxa"/>
              <w:right w:w="15" w:type="dxa"/>
            </w:tcMar>
            <w:vAlign w:val="center"/>
          </w:tcPr>
          <w:p w14:paraId="6CC099AD" w14:textId="3021281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QT Phase 1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1D5FAC3C" w14:textId="2894570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23</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9D1A7E9" w14:textId="22D0A59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23</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4936537" w14:textId="4840C33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C85E254" w14:textId="124379A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15F99C7" w14:textId="272DED9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LIHTC PBV  </w:t>
            </w:r>
          </w:p>
        </w:tc>
      </w:tr>
      <w:tr w:rsidR="0E6C54AB" w:rsidRPr="00F467EC" w14:paraId="4E395885" w14:textId="77777777" w:rsidTr="00F467EC">
        <w:trPr>
          <w:trHeight w:val="40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42174FD3" w14:textId="47BC035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QT Phase 2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5B5EBC85" w14:textId="06C626C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23</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525B349" w14:textId="32E2257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23</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EA73EDE" w14:textId="3D4B86D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9F5E4EF" w14:textId="6C8C325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2D6FCC3" w14:textId="56FF652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LIHTC PBV </w:t>
            </w:r>
          </w:p>
        </w:tc>
      </w:tr>
      <w:tr w:rsidR="0E6C54AB" w:rsidRPr="00F467EC" w14:paraId="4B0FD071" w14:textId="77777777" w:rsidTr="00F467EC">
        <w:trPr>
          <w:trHeight w:val="37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5222ED23" w14:textId="25DD044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QT Phase 3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737B7E53" w14:textId="05C8625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16</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E104BDF" w14:textId="4477168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16</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C4ED36A" w14:textId="612F0DC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8BAD545" w14:textId="0415A54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6E672CD" w14:textId="1AE570D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LIHTC PBV </w:t>
            </w:r>
          </w:p>
        </w:tc>
      </w:tr>
      <w:tr w:rsidR="0E6C54AB" w:rsidRPr="00F467EC" w14:paraId="04A3AB04" w14:textId="77777777" w:rsidTr="00F467EC">
        <w:trPr>
          <w:trHeight w:val="420"/>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6CFEC7BA" w14:textId="25F838C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Eastview Phase I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6CE0F61F" w14:textId="2388350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49</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B59A790" w14:textId="773DBAA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49</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E0627D8" w14:textId="1866078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B730BA0" w14:textId="17CB418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610256C" w14:textId="27560DD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LIHTC PBV  </w:t>
            </w:r>
          </w:p>
        </w:tc>
      </w:tr>
      <w:tr w:rsidR="433078B2" w:rsidRPr="00F467EC" w14:paraId="07945875" w14:textId="77777777" w:rsidTr="00F467EC">
        <w:trPr>
          <w:trHeight w:val="43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5C600BF7" w14:textId="5B80ED1F" w:rsidR="0A5C92E3" w:rsidRPr="00F467EC" w:rsidRDefault="0A5C92E3"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PBV Chatham/Eastview</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5C7E929A" w14:textId="307149E8" w:rsidR="0A5C92E3" w:rsidRPr="00F467EC" w:rsidRDefault="0A5C92E3"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82C59FF" w14:textId="79B51170" w:rsidR="0A5C92E3" w:rsidRPr="00F467EC" w:rsidRDefault="0A5C92E3"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9D13D9E" w14:textId="0F7F0A1E" w:rsidR="0A5C92E3" w:rsidRPr="00F467EC" w:rsidRDefault="0A5C92E3"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5614973" w14:textId="51408067" w:rsidR="0A5C92E3" w:rsidRPr="00F467EC" w:rsidRDefault="0A5C92E3"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No</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609FD60F" w14:textId="3667CA83" w:rsidR="0A5C92E3" w:rsidRPr="00F467EC" w:rsidRDefault="7C67DB5F"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r w:rsidR="1292351F" w:rsidRPr="00F467EC">
              <w:rPr>
                <w:rFonts w:ascii="Century Gothic" w:eastAsia="Times New Roman" w:hAnsi="Century Gothic"/>
                <w:color w:val="000000" w:themeColor="text1"/>
                <w:szCs w:val="22"/>
              </w:rPr>
              <w:t xml:space="preserve">LIHTC PBV  </w:t>
            </w:r>
          </w:p>
          <w:p w14:paraId="3412E9D1" w14:textId="4DCEFD7D" w:rsidR="433078B2" w:rsidRPr="00F467EC" w:rsidRDefault="433078B2" w:rsidP="433078B2">
            <w:pPr>
              <w:jc w:val="center"/>
              <w:rPr>
                <w:rFonts w:ascii="Century Gothic" w:eastAsia="Times New Roman" w:hAnsi="Century Gothic"/>
                <w:color w:val="000000" w:themeColor="text1"/>
                <w:szCs w:val="22"/>
              </w:rPr>
            </w:pPr>
          </w:p>
        </w:tc>
      </w:tr>
      <w:tr w:rsidR="0E6C54AB" w:rsidRPr="00F467EC" w14:paraId="496BD70D" w14:textId="77777777" w:rsidTr="00F467EC">
        <w:trPr>
          <w:trHeight w:val="43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26034DD2" w14:textId="4809088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Brookside Phase I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7646D2CE" w14:textId="50B8072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51</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5FC19DD" w14:textId="569EA09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51</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73D4606" w14:textId="3B6766F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8C1BD44" w14:textId="3AE2527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FCBCED1" w14:textId="5B5A76D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LIHTC PBV </w:t>
            </w:r>
          </w:p>
        </w:tc>
      </w:tr>
      <w:tr w:rsidR="0E6C54AB" w:rsidRPr="00F467EC" w14:paraId="30D454FA" w14:textId="77777777" w:rsidTr="00F467EC">
        <w:trPr>
          <w:trHeight w:val="450"/>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CB43B27" w14:textId="55C6E6F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Brookside Phase 2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0E249B3B" w14:textId="5D21F4D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51</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FB33B12" w14:textId="7C2E810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51</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C0C773C" w14:textId="1EE72E6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168138E" w14:textId="2BD0504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FD46E34" w14:textId="24EA3DF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LIHTC PBV </w:t>
            </w:r>
          </w:p>
        </w:tc>
      </w:tr>
      <w:tr w:rsidR="0E6C54AB" w:rsidRPr="00F467EC" w14:paraId="7A9EF906" w14:textId="77777777" w:rsidTr="00F467EC">
        <w:trPr>
          <w:trHeight w:val="46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231DE499" w14:textId="6564867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Rockview Phase I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5C125729" w14:textId="582B650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47</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00D618E" w14:textId="6C798E3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47</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5E56BD5" w14:textId="7156150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607F216" w14:textId="7E2F6AF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630DEEE" w14:textId="529FFBB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LIHTC PBV </w:t>
            </w:r>
          </w:p>
        </w:tc>
      </w:tr>
      <w:tr w:rsidR="0E6C54AB" w:rsidRPr="00F467EC" w14:paraId="5AB14E22" w14:textId="77777777" w:rsidTr="00F467EC">
        <w:trPr>
          <w:trHeight w:val="450"/>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C96B53E" w14:textId="7359EF5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New Rowe </w:t>
            </w:r>
          </w:p>
        </w:tc>
        <w:tc>
          <w:tcPr>
            <w:tcW w:w="1682" w:type="dxa"/>
            <w:tcBorders>
              <w:top w:val="single" w:sz="8" w:space="0" w:color="000000" w:themeColor="text1"/>
              <w:left w:val="single" w:sz="12" w:space="0" w:color="auto"/>
              <w:bottom w:val="nil"/>
              <w:right w:val="single" w:sz="12" w:space="0" w:color="000000" w:themeColor="text1"/>
            </w:tcBorders>
            <w:tcMar>
              <w:top w:w="15" w:type="dxa"/>
              <w:left w:w="15" w:type="dxa"/>
              <w:right w:w="15" w:type="dxa"/>
            </w:tcMar>
            <w:vAlign w:val="center"/>
          </w:tcPr>
          <w:p w14:paraId="68F20A60" w14:textId="705B702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32</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B00C596" w14:textId="459A61C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32</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692D364" w14:textId="68C1FA4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4A8A7CE8" w14:textId="79DB18E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nil"/>
              <w:right w:val="single" w:sz="4" w:space="0" w:color="000000" w:themeColor="text1"/>
            </w:tcBorders>
            <w:tcMar>
              <w:top w:w="15" w:type="dxa"/>
              <w:left w:w="15" w:type="dxa"/>
              <w:right w:w="15" w:type="dxa"/>
            </w:tcMar>
            <w:vAlign w:val="center"/>
          </w:tcPr>
          <w:p w14:paraId="5A0D9036" w14:textId="6D17775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LIHTC PBV </w:t>
            </w:r>
          </w:p>
        </w:tc>
      </w:tr>
      <w:tr w:rsidR="0E6C54AB" w:rsidRPr="00F467EC" w14:paraId="6A356794" w14:textId="77777777" w:rsidTr="00F467EC">
        <w:trPr>
          <w:trHeight w:val="480"/>
        </w:trPr>
        <w:tc>
          <w:tcPr>
            <w:tcW w:w="2093" w:type="dxa"/>
            <w:tcBorders>
              <w:top w:val="single" w:sz="8" w:space="0" w:color="auto"/>
              <w:left w:val="single" w:sz="4" w:space="0" w:color="auto"/>
              <w:bottom w:val="nil"/>
              <w:right w:val="nil"/>
            </w:tcBorders>
            <w:tcMar>
              <w:top w:w="15" w:type="dxa"/>
              <w:left w:w="15" w:type="dxa"/>
              <w:right w:w="15" w:type="dxa"/>
            </w:tcMar>
            <w:vAlign w:val="center"/>
          </w:tcPr>
          <w:p w14:paraId="3ACC0FB1" w14:textId="75C75B5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122 Wilmot Road </w:t>
            </w:r>
          </w:p>
        </w:tc>
        <w:tc>
          <w:tcPr>
            <w:tcW w:w="168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8C50298" w14:textId="14CDE0E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13</w:t>
            </w:r>
          </w:p>
        </w:tc>
        <w:tc>
          <w:tcPr>
            <w:tcW w:w="1260" w:type="dxa"/>
            <w:tcBorders>
              <w:top w:val="single" w:sz="8" w:space="0" w:color="000000" w:themeColor="text1"/>
              <w:left w:val="single" w:sz="8" w:space="0" w:color="auto"/>
              <w:bottom w:val="nil"/>
              <w:right w:val="single" w:sz="12" w:space="0" w:color="000000" w:themeColor="text1"/>
            </w:tcBorders>
            <w:tcMar>
              <w:top w:w="15" w:type="dxa"/>
              <w:left w:w="15" w:type="dxa"/>
              <w:right w:w="15" w:type="dxa"/>
            </w:tcMar>
            <w:vAlign w:val="center"/>
          </w:tcPr>
          <w:p w14:paraId="0D2E63A2" w14:textId="6924E7E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13</w:t>
            </w:r>
          </w:p>
        </w:tc>
        <w:tc>
          <w:tcPr>
            <w:tcW w:w="1743" w:type="dxa"/>
            <w:tcBorders>
              <w:top w:val="single" w:sz="8" w:space="0" w:color="000000" w:themeColor="text1"/>
              <w:left w:val="single" w:sz="12" w:space="0" w:color="000000" w:themeColor="text1"/>
              <w:bottom w:val="nil"/>
              <w:right w:val="nil"/>
            </w:tcBorders>
            <w:tcMar>
              <w:top w:w="15" w:type="dxa"/>
              <w:left w:w="15" w:type="dxa"/>
              <w:right w:w="15" w:type="dxa"/>
            </w:tcMar>
            <w:vAlign w:val="center"/>
          </w:tcPr>
          <w:p w14:paraId="6D21ADE3" w14:textId="020910D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B56909" w14:textId="204E9E4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C4CC5A" w14:textId="1052B7C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LIHTC PBV </w:t>
            </w:r>
          </w:p>
        </w:tc>
      </w:tr>
      <w:tr w:rsidR="0E6C54AB" w:rsidRPr="00F467EC" w14:paraId="3FD0001F" w14:textId="77777777" w:rsidTr="00F467EC">
        <w:trPr>
          <w:trHeight w:val="645"/>
        </w:trPr>
        <w:tc>
          <w:tcPr>
            <w:tcW w:w="2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64DE7976" w14:textId="22FF69DB"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SUBTOTAL</w:t>
            </w:r>
          </w:p>
        </w:tc>
        <w:tc>
          <w:tcPr>
            <w:tcW w:w="168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2132D6A9" w14:textId="4677545A" w:rsidR="0E6C54AB" w:rsidRPr="00F467EC" w:rsidRDefault="12EEC970" w:rsidP="433078B2">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30</w:t>
            </w:r>
            <w:r w:rsidR="652B8BF9" w:rsidRPr="00F467EC">
              <w:rPr>
                <w:rFonts w:ascii="Century Gothic" w:eastAsia="Times New Roman" w:hAnsi="Century Gothic"/>
                <w:b/>
                <w:bCs/>
                <w:color w:val="000000" w:themeColor="text1"/>
                <w:szCs w:val="22"/>
              </w:rPr>
              <w:t>7</w:t>
            </w:r>
          </w:p>
        </w:tc>
        <w:tc>
          <w:tcPr>
            <w:tcW w:w="12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7E29DAED" w14:textId="48495075" w:rsidR="0E6C54AB" w:rsidRPr="00F467EC" w:rsidRDefault="12EEC970" w:rsidP="433078B2">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30</w:t>
            </w:r>
            <w:r w:rsidR="30DB3AB9" w:rsidRPr="00F467EC">
              <w:rPr>
                <w:rFonts w:ascii="Century Gothic" w:eastAsia="Times New Roman" w:hAnsi="Century Gothic"/>
                <w:b/>
                <w:bCs/>
                <w:color w:val="000000" w:themeColor="text1"/>
                <w:szCs w:val="22"/>
              </w:rPr>
              <w:t>7</w:t>
            </w:r>
          </w:p>
        </w:tc>
        <w:tc>
          <w:tcPr>
            <w:tcW w:w="17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181D663C" w14:textId="36AF7B1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07DA1FCB" w14:textId="5E91734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23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44CE1C43" w14:textId="06903CC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r>
      <w:tr w:rsidR="0E6C54AB" w:rsidRPr="00F467EC" w14:paraId="368301C7" w14:textId="77777777" w:rsidTr="00F467EC">
        <w:trPr>
          <w:trHeight w:val="645"/>
        </w:trPr>
        <w:tc>
          <w:tcPr>
            <w:tcW w:w="2093"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0E8A9C6B" w14:textId="5EAB179D"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lastRenderedPageBreak/>
              <w:t>RAD/PBV</w:t>
            </w:r>
          </w:p>
        </w:tc>
        <w:tc>
          <w:tcPr>
            <w:tcW w:w="1682"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14258ADB" w14:textId="7C2856CE"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c>
          <w:tcPr>
            <w:tcW w:w="1260"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7AAC970F" w14:textId="0F7C29AE"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c>
          <w:tcPr>
            <w:tcW w:w="1743"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204D6D3E" w14:textId="53BD5B1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797"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2DBC16EE" w14:textId="6B9544F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2355"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5E44FE6B" w14:textId="6117434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r>
      <w:tr w:rsidR="0E6C54AB" w:rsidRPr="00F467EC" w14:paraId="02B20718" w14:textId="77777777" w:rsidTr="00F467EC">
        <w:trPr>
          <w:trHeight w:val="480"/>
        </w:trPr>
        <w:tc>
          <w:tcPr>
            <w:tcW w:w="209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D78712" w14:textId="4FDA9D8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Eastview Phase I </w:t>
            </w:r>
          </w:p>
        </w:tc>
        <w:tc>
          <w:tcPr>
            <w:tcW w:w="168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55D8317" w14:textId="5665EF5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53</w:t>
            </w:r>
          </w:p>
        </w:tc>
        <w:tc>
          <w:tcPr>
            <w:tcW w:w="12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2523BCD" w14:textId="5E6FF58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53</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4D9D7E9" w14:textId="375C682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29D6BA" w14:textId="36F0941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135B603" w14:textId="3E361FB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6917A0BA" w14:textId="77777777" w:rsidTr="00F467EC">
        <w:trPr>
          <w:trHeight w:val="480"/>
        </w:trPr>
        <w:tc>
          <w:tcPr>
            <w:tcW w:w="209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43F11D" w14:textId="6405863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RAD 122 Wilmot Rd</w:t>
            </w:r>
          </w:p>
        </w:tc>
        <w:tc>
          <w:tcPr>
            <w:tcW w:w="168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4C5824B" w14:textId="52BA614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34</w:t>
            </w:r>
          </w:p>
        </w:tc>
        <w:tc>
          <w:tcPr>
            <w:tcW w:w="12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0424807" w14:textId="5624BC5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34</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A6E0186" w14:textId="5152533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D7419B"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67B034" w14:textId="141B5D9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2C16272" w14:textId="465C28A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7E86812A" w14:textId="77777777" w:rsidTr="00F467EC">
        <w:trPr>
          <w:trHeight w:val="690"/>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B25C206" w14:textId="23765E9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w:t>
            </w:r>
            <w:proofErr w:type="spellStart"/>
            <w:r w:rsidRPr="00F467EC">
              <w:rPr>
                <w:rFonts w:ascii="Century Gothic" w:eastAsia="Times New Roman" w:hAnsi="Century Gothic"/>
                <w:color w:val="000000" w:themeColor="text1"/>
                <w:szCs w:val="22"/>
              </w:rPr>
              <w:t>Ribicoff</w:t>
            </w:r>
            <w:proofErr w:type="spellEnd"/>
            <w:r w:rsidRPr="00F467EC">
              <w:rPr>
                <w:rFonts w:ascii="Century Gothic" w:eastAsia="Times New Roman" w:hAnsi="Century Gothic"/>
                <w:color w:val="000000" w:themeColor="text1"/>
                <w:szCs w:val="22"/>
              </w:rPr>
              <w:t xml:space="preserve"> (Twin Brook 9% </w:t>
            </w:r>
          </w:p>
        </w:tc>
        <w:tc>
          <w:tcPr>
            <w:tcW w:w="1682" w:type="dxa"/>
            <w:tcBorders>
              <w:top w:val="single" w:sz="8" w:space="0" w:color="auto"/>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7FAAA141" w14:textId="101A339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44</w:t>
            </w:r>
          </w:p>
        </w:tc>
        <w:tc>
          <w:tcPr>
            <w:tcW w:w="1260" w:type="dxa"/>
            <w:tcBorders>
              <w:top w:val="single" w:sz="8" w:space="0" w:color="auto"/>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46F01E7" w14:textId="004B944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44</w:t>
            </w:r>
          </w:p>
        </w:tc>
        <w:tc>
          <w:tcPr>
            <w:tcW w:w="1743" w:type="dxa"/>
            <w:tcBorders>
              <w:top w:val="single" w:sz="8" w:space="0" w:color="auto"/>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5170A70" w14:textId="3C66B5A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3E3C81"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629D50E" w14:textId="64B8E89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auto"/>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C4ED76B" w14:textId="36FAC6E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5F434491" w14:textId="77777777" w:rsidTr="00F467EC">
        <w:trPr>
          <w:trHeight w:val="690"/>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033D55A" w14:textId="59D3FC0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w:t>
            </w:r>
            <w:proofErr w:type="spellStart"/>
            <w:r w:rsidRPr="00F467EC">
              <w:rPr>
                <w:rFonts w:ascii="Century Gothic" w:eastAsia="Times New Roman" w:hAnsi="Century Gothic"/>
                <w:color w:val="000000" w:themeColor="text1"/>
                <w:szCs w:val="22"/>
              </w:rPr>
              <w:t>Ribicoff</w:t>
            </w:r>
            <w:proofErr w:type="spellEnd"/>
            <w:r w:rsidRPr="00F467EC">
              <w:rPr>
                <w:rFonts w:ascii="Century Gothic" w:eastAsia="Times New Roman" w:hAnsi="Century Gothic"/>
                <w:color w:val="000000" w:themeColor="text1"/>
                <w:szCs w:val="22"/>
              </w:rPr>
              <w:t xml:space="preserve"> (Twin Brook) 4%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1B8A3FB1" w14:textId="628F5F9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51</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6A18F19" w14:textId="057DBBE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51</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7254E87" w14:textId="70BC948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3E3C81"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8F2842D" w14:textId="1816AD0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2633912" w14:textId="051A039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584D33F3"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907C387" w14:textId="37DF33A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Charles T. </w:t>
            </w:r>
            <w:r w:rsidRPr="00F467EC">
              <w:rPr>
                <w:rFonts w:ascii="Century Gothic" w:eastAsia="Times New Roman" w:hAnsi="Century Gothic"/>
                <w:color w:val="881798"/>
                <w:szCs w:val="22"/>
                <w:u w:val="single"/>
              </w:rPr>
              <w:t xml:space="preserve"> </w:t>
            </w:r>
            <w:r w:rsidRPr="00F467EC">
              <w:rPr>
                <w:rFonts w:ascii="Century Gothic" w:eastAsia="Times New Roman" w:hAnsi="Century Gothic"/>
                <w:color w:val="000000" w:themeColor="text1"/>
                <w:szCs w:val="22"/>
              </w:rPr>
              <w:t xml:space="preserve">McQueeney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2EA811C4" w14:textId="34A99BB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149</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52EC39A" w14:textId="1A011CC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149</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12E03E0" w14:textId="663DF4A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3E3C81"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348A0A9" w14:textId="76F10B3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D718627" w14:textId="4B93C5D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07DCE602"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F183F16" w14:textId="1D5C73B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Winslow Celentano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138D0565" w14:textId="2CC7961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64</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426749D" w14:textId="2DB40F8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64</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F0271D6" w14:textId="3FEE74D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3E3C81"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D5BE3DA" w14:textId="7E36F27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654DAC5" w14:textId="330FAB2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72757C5B" w14:textId="77777777" w:rsidTr="00F467EC">
        <w:trPr>
          <w:trHeight w:val="40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6CAF1B89" w14:textId="7800E62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Howe Street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34F15815" w14:textId="6084478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80</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325CF49" w14:textId="0BCD32F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80</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FDF7E5A" w14:textId="393ACFA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49A276D" w14:textId="5519757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6983E749" w14:textId="57B235A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74053F03"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6B875B13" w14:textId="5F9DE29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Fair Haven/ </w:t>
            </w:r>
            <w:proofErr w:type="spellStart"/>
            <w:r w:rsidRPr="00F467EC">
              <w:rPr>
                <w:rFonts w:ascii="Century Gothic" w:eastAsia="Times New Roman" w:hAnsi="Century Gothic"/>
                <w:color w:val="000000" w:themeColor="text1"/>
                <w:szCs w:val="22"/>
              </w:rPr>
              <w:t>Farnam</w:t>
            </w:r>
            <w:proofErr w:type="spellEnd"/>
            <w:r w:rsidRPr="00F467EC">
              <w:rPr>
                <w:rFonts w:ascii="Century Gothic" w:eastAsia="Times New Roman" w:hAnsi="Century Gothic"/>
                <w:color w:val="000000" w:themeColor="text1"/>
                <w:szCs w:val="22"/>
              </w:rPr>
              <w:t xml:space="preserve">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14E53F03" w14:textId="7418030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55</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A6EC08E" w14:textId="27F6DEE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55</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BD0398D" w14:textId="5F3ADC5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F4F19A7" w14:textId="23FC4A7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327BE8D" w14:textId="081A2B4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and 2 </w:t>
            </w:r>
            <w:r w:rsidR="00D97A04" w:rsidRPr="00F467EC">
              <w:rPr>
                <w:rFonts w:ascii="Century Gothic" w:eastAsia="Times New Roman" w:hAnsi="Century Gothic"/>
                <w:color w:val="000000" w:themeColor="text1"/>
                <w:szCs w:val="22"/>
              </w:rPr>
              <w:t>PBV units</w:t>
            </w:r>
            <w:r w:rsidRPr="00F467EC">
              <w:rPr>
                <w:rFonts w:ascii="Century Gothic" w:eastAsia="Times New Roman" w:hAnsi="Century Gothic"/>
                <w:color w:val="000000" w:themeColor="text1"/>
                <w:szCs w:val="22"/>
              </w:rPr>
              <w:t xml:space="preserve"> </w:t>
            </w:r>
          </w:p>
        </w:tc>
      </w:tr>
      <w:tr w:rsidR="0E6C54AB" w:rsidRPr="00F467EC" w14:paraId="0632C101"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73C42CF9" w14:textId="191F7AB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Monterey Place- Edith B Johnson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74A4A302" w14:textId="7FD7898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95</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835B1A1" w14:textId="1E07879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95</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059D1B3" w14:textId="2678845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E0762FE" w14:textId="38072FE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356F9C2" w14:textId="02CEA73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2EA007B9"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35A319A3" w14:textId="2790F66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Monterey Place- William Griffin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1B7E6E62" w14:textId="1669EAD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24EE87E" w14:textId="44F6494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7F46DAB" w14:textId="12AC39B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D651C03" w14:textId="0D8FDED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343B052" w14:textId="0F77CAB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2D1E4D0B"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02A0296" w14:textId="16481A8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Monterey Place 1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79F5FEE8" w14:textId="3F93B0D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42</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E5013D8" w14:textId="6792CAE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42</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6DC0719" w14:textId="083EAC5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E69A2BC" w14:textId="26FFE63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24ADD58" w14:textId="530618F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02C16403"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70BF3AAE" w14:textId="7CD1500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Monterey Place 2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6578A646" w14:textId="18C312C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7</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5AB625D" w14:textId="42B5EFA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7</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EB39354" w14:textId="4E8A80A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E179A6D" w14:textId="56BE202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28254D9" w14:textId="64B43F3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0FF19B41"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76A360E1" w14:textId="200AA9A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Monterey Place 3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0CF8DF51" w14:textId="563D115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45</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4EFF086" w14:textId="5568FD4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45</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FFA7B41" w14:textId="217E635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35A0EAF" w14:textId="373A37F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B1F6681" w14:textId="1787DED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10C8F63C"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706A7472" w14:textId="3ABAEBE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Monterey Place 4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41CF3A3B" w14:textId="06EDFFD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42</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8ADF3A9" w14:textId="015B0D0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42</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A69FB27" w14:textId="7959BB8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3CB4ABE" w14:textId="17BD8D6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6437080C" w14:textId="450BC2F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4AF12EAB"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10487A2" w14:textId="7971E16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Monterey Place 5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10ED0C94" w14:textId="1E7FEBC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17</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F342722" w14:textId="419C3D9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17</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F69F08D" w14:textId="2F7A6FE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07F2856" w14:textId="4C74514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560D873" w14:textId="6377B0D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6A0FBE3B"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51A22A1" w14:textId="66C9A52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Monterey Place 2R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6169F174" w14:textId="4EB622B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28</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D242710" w14:textId="1DDCD99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28</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F7C4066" w14:textId="6F856FE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64F1FDD" w14:textId="1DEB68F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5B694AA" w14:textId="401EE28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05FA0CAB" w14:textId="77777777" w:rsidTr="00F467EC">
        <w:trPr>
          <w:trHeight w:val="480"/>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4C04EF4B" w14:textId="458857B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Prescott Bush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3A7A12B1" w14:textId="6283C1C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56</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8165A74" w14:textId="4FA0173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56</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48E91ED" w14:textId="2D50A0D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8252B62" w14:textId="5590613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5D6E1E2" w14:textId="18CB482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59A6076C" w14:textId="77777777" w:rsidTr="00F467EC">
        <w:trPr>
          <w:trHeight w:val="600"/>
        </w:trPr>
        <w:tc>
          <w:tcPr>
            <w:tcW w:w="2093" w:type="dxa"/>
            <w:tcBorders>
              <w:top w:val="single" w:sz="8" w:space="0" w:color="auto"/>
              <w:left w:val="single" w:sz="4" w:space="0" w:color="000000" w:themeColor="text1"/>
              <w:bottom w:val="nil"/>
              <w:right w:val="single" w:sz="12" w:space="0" w:color="000000" w:themeColor="text1"/>
            </w:tcBorders>
            <w:tcMar>
              <w:top w:w="15" w:type="dxa"/>
              <w:left w:w="15" w:type="dxa"/>
              <w:right w:w="15" w:type="dxa"/>
            </w:tcMar>
            <w:vAlign w:val="center"/>
          </w:tcPr>
          <w:p w14:paraId="474DC447" w14:textId="611B3A9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Waverly Townhouses </w:t>
            </w:r>
          </w:p>
        </w:tc>
        <w:tc>
          <w:tcPr>
            <w:tcW w:w="1682"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22C23AC5" w14:textId="6CC34B0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51</w:t>
            </w:r>
          </w:p>
        </w:tc>
        <w:tc>
          <w:tcPr>
            <w:tcW w:w="1260"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7EBCDE0A" w14:textId="5035A53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51</w:t>
            </w:r>
          </w:p>
        </w:tc>
        <w:tc>
          <w:tcPr>
            <w:tcW w:w="1743"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79E7D950" w14:textId="311DCC4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7339709B" w14:textId="073AFC6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6E8A1B9" w14:textId="3E63CB7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6A22EC6D" w14:textId="77777777" w:rsidTr="00F467EC">
        <w:trPr>
          <w:trHeight w:val="510"/>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71964573" w14:textId="223105E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CB Motley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0B31995C" w14:textId="4906EDA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45</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8B1B05A" w14:textId="15D4E7E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45</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E4CD86C" w14:textId="254E3C4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6B1C583" w14:textId="667658E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DEA1AC6" w14:textId="0FE1F4E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465152EC"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5FDD5AC0" w14:textId="3F36A3C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Newhall Gardens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13F939C6" w14:textId="0619773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26</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A729BB9" w14:textId="2A8F70A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26</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6234D96" w14:textId="516FF26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3AC6ADA" w14:textId="0B2B06F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4392B3C" w14:textId="3483DEC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67702096"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343CBB09" w14:textId="3BA8BAC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lastRenderedPageBreak/>
              <w:t xml:space="preserve">RAD Katherine Harvey Terrace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2DCB00C6" w14:textId="3A108AF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17</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61E1E61" w14:textId="0CAA06F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17</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EDADEE8" w14:textId="31CC2D0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1FD638C" w14:textId="6182E64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D135DB6" w14:textId="231198F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4F0D33DC" w14:textId="77777777" w:rsidTr="00F467EC">
        <w:trPr>
          <w:trHeight w:val="615"/>
        </w:trPr>
        <w:tc>
          <w:tcPr>
            <w:tcW w:w="2093" w:type="dxa"/>
            <w:tcBorders>
              <w:top w:val="single" w:sz="8" w:space="0" w:color="auto"/>
              <w:left w:val="single" w:sz="4"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045585C" w14:textId="1B51EF83" w:rsidR="0E6C54AB" w:rsidRPr="00F467EC" w:rsidRDefault="3CB84D56"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4 Fairmont </w:t>
            </w:r>
          </w:p>
        </w:tc>
        <w:tc>
          <w:tcPr>
            <w:tcW w:w="1682"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2D81EC6" w14:textId="5992B440" w:rsidR="0E6C54AB" w:rsidRPr="00F467EC" w:rsidRDefault="21C5D11A" w:rsidP="169FF47A">
            <w:pPr>
              <w:jc w:val="center"/>
              <w:rPr>
                <w:rFonts w:ascii="Century Gothic" w:eastAsia="Times New Roman" w:hAnsi="Century Gothic"/>
                <w:szCs w:val="22"/>
              </w:rPr>
            </w:pPr>
            <w:r w:rsidRPr="00F467EC">
              <w:rPr>
                <w:rFonts w:ascii="Century Gothic" w:eastAsia="Times New Roman" w:hAnsi="Century Gothic"/>
                <w:color w:val="000000" w:themeColor="text1"/>
                <w:szCs w:val="22"/>
              </w:rPr>
              <w:t xml:space="preserve"> </w:t>
            </w:r>
            <w:r w:rsidR="73829031" w:rsidRPr="00F467EC">
              <w:rPr>
                <w:rFonts w:ascii="Century Gothic" w:eastAsia="Times New Roman" w:hAnsi="Century Gothic"/>
                <w:color w:val="000000" w:themeColor="text1"/>
                <w:szCs w:val="22"/>
              </w:rPr>
              <w:t>97</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83FA78D" w14:textId="638C0E1B" w:rsidR="0E6C54AB" w:rsidRPr="00F467EC" w:rsidRDefault="67484FE5" w:rsidP="169FF47A">
            <w:pPr>
              <w:jc w:val="center"/>
              <w:rPr>
                <w:rFonts w:ascii="Century Gothic" w:eastAsia="Times New Roman" w:hAnsi="Century Gothic"/>
                <w:szCs w:val="22"/>
              </w:rPr>
            </w:pPr>
            <w:r w:rsidRPr="00F467EC">
              <w:rPr>
                <w:rFonts w:ascii="Century Gothic" w:eastAsia="Times New Roman" w:hAnsi="Century Gothic"/>
                <w:color w:val="000000" w:themeColor="text1"/>
                <w:szCs w:val="22"/>
              </w:rPr>
              <w:t>97</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C617B2A" w14:textId="54EDE71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FFCDF07" w14:textId="1E9203C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A017081" w14:textId="193F98D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169FF47A" w:rsidRPr="00F467EC" w14:paraId="10ADFA95" w14:textId="77777777" w:rsidTr="00F467EC">
        <w:trPr>
          <w:trHeight w:val="615"/>
        </w:trPr>
        <w:tc>
          <w:tcPr>
            <w:tcW w:w="2093" w:type="dxa"/>
            <w:tcBorders>
              <w:top w:val="single" w:sz="8" w:space="0" w:color="auto"/>
              <w:left w:val="single" w:sz="4"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D220C71" w14:textId="29DC2F72" w:rsidR="0D94CEDC" w:rsidRPr="00F467EC" w:rsidRDefault="0D94CEDC"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4 </w:t>
            </w:r>
            <w:proofErr w:type="spellStart"/>
            <w:r w:rsidRPr="00F467EC">
              <w:rPr>
                <w:rFonts w:ascii="Century Gothic" w:eastAsia="Times New Roman" w:hAnsi="Century Gothic"/>
                <w:color w:val="000000" w:themeColor="text1"/>
                <w:szCs w:val="22"/>
              </w:rPr>
              <w:t>Ruoppolo</w:t>
            </w:r>
            <w:proofErr w:type="spellEnd"/>
            <w:r w:rsidRPr="00F467EC">
              <w:rPr>
                <w:rFonts w:ascii="Century Gothic" w:eastAsia="Times New Roman" w:hAnsi="Century Gothic"/>
                <w:color w:val="000000" w:themeColor="text1"/>
                <w:szCs w:val="22"/>
              </w:rPr>
              <w:t xml:space="preserve"> </w:t>
            </w:r>
          </w:p>
        </w:tc>
        <w:tc>
          <w:tcPr>
            <w:tcW w:w="1682"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1E6EBB9" w14:textId="45871F66" w:rsidR="0D94CEDC" w:rsidRPr="00F467EC" w:rsidRDefault="0D94CEDC"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104</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F9D383C" w14:textId="0C216F09" w:rsidR="0D94CEDC" w:rsidRPr="00F467EC" w:rsidRDefault="0D94CEDC"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104</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B95BBA1" w14:textId="7A923656" w:rsidR="67E036D7" w:rsidRPr="00F467EC" w:rsidRDefault="67E036D7"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11E3EFC" w14:textId="09B86BAC" w:rsidR="67E036D7" w:rsidRPr="00F467EC" w:rsidRDefault="67E036D7"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43FAAD6B" w14:textId="5CEA197C" w:rsidR="67E036D7" w:rsidRPr="00F467EC" w:rsidRDefault="67E036D7"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RAD/PBV</w:t>
            </w:r>
          </w:p>
        </w:tc>
      </w:tr>
      <w:tr w:rsidR="0E6C54AB" w:rsidRPr="00F467EC" w14:paraId="4D1AA1CB" w14:textId="77777777" w:rsidTr="00F467EC">
        <w:trPr>
          <w:trHeight w:val="315"/>
        </w:trPr>
        <w:tc>
          <w:tcPr>
            <w:tcW w:w="2093" w:type="dxa"/>
            <w:tcBorders>
              <w:top w:val="single" w:sz="8" w:space="0" w:color="000000" w:themeColor="text1"/>
              <w:left w:val="single" w:sz="4" w:space="0" w:color="auto"/>
              <w:bottom w:val="single" w:sz="8" w:space="0" w:color="auto"/>
              <w:right w:val="single" w:sz="12" w:space="0" w:color="auto"/>
            </w:tcBorders>
            <w:tcMar>
              <w:top w:w="15" w:type="dxa"/>
              <w:left w:w="15" w:type="dxa"/>
              <w:right w:w="15" w:type="dxa"/>
            </w:tcMar>
            <w:vAlign w:val="center"/>
          </w:tcPr>
          <w:p w14:paraId="048945EC" w14:textId="64E8EEB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Fulton Park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7703F0BF" w14:textId="7E434E5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12</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0B0D1C8" w14:textId="6EF7A46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12</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CFDF11C" w14:textId="4E99ED7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D8CA4E2" w14:textId="18E6529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6F71E78" w14:textId="072421B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180BD335" w14:textId="77777777" w:rsidTr="00F467EC">
        <w:trPr>
          <w:trHeight w:val="73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20B2B220" w14:textId="041A68E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Chamberlain Court (Justice Landing)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7B02904D" w14:textId="4C5B898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7</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06E037F" w14:textId="4623670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7</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035BF4A" w14:textId="6EB9CC3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3C4DD1F" w14:textId="0E739D0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94BDD85" w14:textId="677E23C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1EA65898"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77EFA6BB" w14:textId="58E8C70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w:t>
            </w:r>
            <w:proofErr w:type="spellStart"/>
            <w:r w:rsidRPr="00F467EC">
              <w:rPr>
                <w:rFonts w:ascii="Century Gothic" w:eastAsia="Times New Roman" w:hAnsi="Century Gothic"/>
                <w:color w:val="000000" w:themeColor="text1"/>
                <w:szCs w:val="22"/>
              </w:rPr>
              <w:t>Farnam</w:t>
            </w:r>
            <w:proofErr w:type="spellEnd"/>
            <w:r w:rsidRPr="00F467EC">
              <w:rPr>
                <w:rFonts w:ascii="Century Gothic" w:eastAsia="Times New Roman" w:hAnsi="Century Gothic"/>
                <w:color w:val="000000" w:themeColor="text1"/>
                <w:szCs w:val="22"/>
              </w:rPr>
              <w:t xml:space="preserve"> Onsite I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1A3A946C" w14:textId="1E90BD3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86</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833B158" w14:textId="3773097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86</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63BBB00" w14:textId="0ABC218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5D4ECD5" w14:textId="1D96791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Yes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6F55B09D" w14:textId="3FF34B5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169FF47A" w:rsidRPr="00F467EC" w14:paraId="0C7ABDCB"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60F29E62" w14:textId="26C8C7EE" w:rsidR="4809F4C6" w:rsidRPr="00F467EC" w:rsidRDefault="4809F4C6"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w:t>
            </w:r>
            <w:proofErr w:type="spellStart"/>
            <w:r w:rsidRPr="00F467EC">
              <w:rPr>
                <w:rFonts w:ascii="Century Gothic" w:eastAsia="Times New Roman" w:hAnsi="Century Gothic"/>
                <w:color w:val="000000" w:themeColor="text1"/>
                <w:szCs w:val="22"/>
              </w:rPr>
              <w:t>Farnam</w:t>
            </w:r>
            <w:proofErr w:type="spellEnd"/>
            <w:r w:rsidRPr="00F467EC">
              <w:rPr>
                <w:rFonts w:ascii="Century Gothic" w:eastAsia="Times New Roman" w:hAnsi="Century Gothic"/>
                <w:color w:val="000000" w:themeColor="text1"/>
                <w:szCs w:val="22"/>
              </w:rPr>
              <w:t xml:space="preserve"> II 4%</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61033689" w14:textId="68E2175B" w:rsidR="4809F4C6" w:rsidRPr="00F467EC" w:rsidRDefault="4809F4C6"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36</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7CB27CC" w14:textId="47FA6647" w:rsidR="4809F4C6" w:rsidRPr="00F467EC" w:rsidRDefault="4809F4C6"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36</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53B86C3" w14:textId="3AFAF64F" w:rsidR="4809F4C6" w:rsidRPr="00F467EC" w:rsidRDefault="4809F4C6"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962B48D" w14:textId="3198E7D6" w:rsidR="4809F4C6" w:rsidRPr="00F467EC" w:rsidRDefault="4809F4C6"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9C03ABD" w14:textId="5108185D" w:rsidR="4809F4C6" w:rsidRPr="00F467EC" w:rsidRDefault="4809F4C6"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RAD/PBV</w:t>
            </w:r>
          </w:p>
        </w:tc>
      </w:tr>
      <w:tr w:rsidR="0E6C54AB" w:rsidRPr="00F467EC" w14:paraId="5F20BFB3" w14:textId="77777777" w:rsidTr="00F467EC">
        <w:trPr>
          <w:trHeight w:val="615"/>
        </w:trPr>
        <w:tc>
          <w:tcPr>
            <w:tcW w:w="2093" w:type="dxa"/>
            <w:tcBorders>
              <w:top w:val="single" w:sz="8" w:space="0" w:color="auto"/>
              <w:left w:val="single" w:sz="4" w:space="0" w:color="000000" w:themeColor="text1"/>
              <w:bottom w:val="nil"/>
              <w:right w:val="single" w:sz="12" w:space="0" w:color="000000" w:themeColor="text1"/>
            </w:tcBorders>
            <w:tcMar>
              <w:top w:w="15" w:type="dxa"/>
              <w:left w:w="15" w:type="dxa"/>
              <w:right w:w="15" w:type="dxa"/>
            </w:tcMar>
            <w:vAlign w:val="center"/>
          </w:tcPr>
          <w:p w14:paraId="04AC36DA" w14:textId="4ABB1D3F" w:rsidR="0E6C54AB" w:rsidRPr="00F467EC" w:rsidRDefault="3CB84D56" w:rsidP="169FF47A">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w:t>
            </w:r>
            <w:proofErr w:type="spellStart"/>
            <w:r w:rsidRPr="00F467EC">
              <w:rPr>
                <w:rFonts w:ascii="Century Gothic" w:eastAsia="Times New Roman" w:hAnsi="Century Gothic"/>
                <w:color w:val="000000" w:themeColor="text1"/>
                <w:szCs w:val="22"/>
              </w:rPr>
              <w:t>Farnam</w:t>
            </w:r>
            <w:proofErr w:type="spellEnd"/>
            <w:r w:rsidR="2192B7F2" w:rsidRPr="00F467EC">
              <w:rPr>
                <w:rFonts w:ascii="Century Gothic" w:eastAsia="Times New Roman" w:hAnsi="Century Gothic"/>
                <w:color w:val="000000" w:themeColor="text1"/>
                <w:szCs w:val="22"/>
              </w:rPr>
              <w:t xml:space="preserve"> II 9%</w:t>
            </w:r>
          </w:p>
        </w:tc>
        <w:tc>
          <w:tcPr>
            <w:tcW w:w="1682"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33E060B6" w14:textId="599B1DA0" w:rsidR="0E6C54AB" w:rsidRPr="00F467EC" w:rsidRDefault="4CBD2A57" w:rsidP="169FF47A">
            <w:pPr>
              <w:jc w:val="center"/>
              <w:rPr>
                <w:rFonts w:ascii="Century Gothic" w:eastAsia="Times New Roman" w:hAnsi="Century Gothic"/>
                <w:szCs w:val="22"/>
              </w:rPr>
            </w:pPr>
            <w:r w:rsidRPr="00F467EC">
              <w:rPr>
                <w:rFonts w:ascii="Century Gothic" w:eastAsia="Times New Roman" w:hAnsi="Century Gothic"/>
                <w:color w:val="000000" w:themeColor="text1"/>
                <w:szCs w:val="22"/>
              </w:rPr>
              <w:t xml:space="preserve"> 52</w:t>
            </w:r>
          </w:p>
        </w:tc>
        <w:tc>
          <w:tcPr>
            <w:tcW w:w="1260"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3FF74274" w14:textId="5F7A9FC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88</w:t>
            </w:r>
          </w:p>
        </w:tc>
        <w:tc>
          <w:tcPr>
            <w:tcW w:w="1743"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097321BC" w14:textId="197ECEA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6693EAAA" w14:textId="60048EA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000000" w:themeColor="text1"/>
              <w:left w:val="single" w:sz="12" w:space="0" w:color="000000" w:themeColor="text1"/>
              <w:bottom w:val="nil"/>
              <w:right w:val="single" w:sz="4" w:space="0" w:color="000000" w:themeColor="text1"/>
            </w:tcBorders>
            <w:tcMar>
              <w:top w:w="15" w:type="dxa"/>
              <w:left w:w="15" w:type="dxa"/>
              <w:right w:w="15" w:type="dxa"/>
            </w:tcMar>
            <w:vAlign w:val="center"/>
          </w:tcPr>
          <w:p w14:paraId="08DA4899" w14:textId="09358AD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0E6C54AB" w:rsidRPr="00F467EC" w14:paraId="0A24BB98" w14:textId="77777777" w:rsidTr="00F467EC">
        <w:trPr>
          <w:trHeight w:val="315"/>
        </w:trPr>
        <w:tc>
          <w:tcPr>
            <w:tcW w:w="2093" w:type="dxa"/>
            <w:tcBorders>
              <w:top w:val="single" w:sz="8" w:space="0" w:color="000000" w:themeColor="text1"/>
              <w:left w:val="single" w:sz="4" w:space="0" w:color="000000" w:themeColor="text1"/>
              <w:bottom w:val="nil"/>
              <w:right w:val="single" w:sz="12" w:space="0" w:color="000000" w:themeColor="text1"/>
            </w:tcBorders>
            <w:tcMar>
              <w:top w:w="15" w:type="dxa"/>
              <w:left w:w="15" w:type="dxa"/>
              <w:right w:w="15" w:type="dxa"/>
            </w:tcMar>
            <w:vAlign w:val="center"/>
          </w:tcPr>
          <w:p w14:paraId="73F8B3A4" w14:textId="071E84F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Rockview Phase 2 </w:t>
            </w:r>
          </w:p>
        </w:tc>
        <w:tc>
          <w:tcPr>
            <w:tcW w:w="1682"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4A87E0FC" w14:textId="112D9BA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62</w:t>
            </w:r>
          </w:p>
        </w:tc>
        <w:tc>
          <w:tcPr>
            <w:tcW w:w="1260" w:type="dxa"/>
            <w:tcBorders>
              <w:top w:val="single" w:sz="8" w:space="0" w:color="000000" w:themeColor="text1"/>
              <w:left w:val="single" w:sz="12" w:space="0" w:color="000000" w:themeColor="text1"/>
              <w:bottom w:val="nil"/>
              <w:right w:val="nil"/>
            </w:tcBorders>
            <w:tcMar>
              <w:top w:w="15" w:type="dxa"/>
              <w:left w:w="15" w:type="dxa"/>
              <w:right w:w="15" w:type="dxa"/>
            </w:tcMar>
            <w:vAlign w:val="center"/>
          </w:tcPr>
          <w:p w14:paraId="62555CE0" w14:textId="6A445806"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62</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14F266" w14:textId="6CD7353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8" w:space="0" w:color="auto"/>
              <w:bottom w:val="nil"/>
              <w:right w:val="single" w:sz="12" w:space="0" w:color="000000" w:themeColor="text1"/>
            </w:tcBorders>
            <w:tcMar>
              <w:top w:w="15" w:type="dxa"/>
              <w:left w:w="15" w:type="dxa"/>
              <w:right w:w="15" w:type="dxa"/>
            </w:tcMar>
            <w:vAlign w:val="center"/>
          </w:tcPr>
          <w:p w14:paraId="72B7A292" w14:textId="0F50D34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000000" w:themeColor="text1"/>
              <w:left w:val="single" w:sz="12" w:space="0" w:color="000000" w:themeColor="text1"/>
              <w:bottom w:val="nil"/>
              <w:right w:val="single" w:sz="4" w:space="0" w:color="000000" w:themeColor="text1"/>
            </w:tcBorders>
            <w:tcMar>
              <w:top w:w="15" w:type="dxa"/>
              <w:left w:w="15" w:type="dxa"/>
              <w:right w:w="15" w:type="dxa"/>
            </w:tcMar>
            <w:vAlign w:val="center"/>
          </w:tcPr>
          <w:p w14:paraId="1E545BAD" w14:textId="1216B12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RAD/PBV </w:t>
            </w:r>
          </w:p>
        </w:tc>
      </w:tr>
      <w:tr w:rsidR="433078B2" w:rsidRPr="00F467EC" w14:paraId="3748BE3A" w14:textId="77777777" w:rsidTr="00F467EC">
        <w:trPr>
          <w:trHeight w:val="315"/>
        </w:trPr>
        <w:tc>
          <w:tcPr>
            <w:tcW w:w="2093" w:type="dxa"/>
            <w:tcBorders>
              <w:top w:val="single" w:sz="8" w:space="0" w:color="000000" w:themeColor="text1"/>
              <w:left w:val="single" w:sz="4" w:space="0" w:color="000000" w:themeColor="text1"/>
              <w:bottom w:val="nil"/>
              <w:right w:val="single" w:sz="12" w:space="0" w:color="000000" w:themeColor="text1"/>
            </w:tcBorders>
            <w:tcMar>
              <w:top w:w="15" w:type="dxa"/>
              <w:left w:w="15" w:type="dxa"/>
              <w:right w:w="15" w:type="dxa"/>
            </w:tcMar>
            <w:vAlign w:val="center"/>
          </w:tcPr>
          <w:p w14:paraId="46E1287E" w14:textId="1EDDD2A6" w:rsidR="127E2585" w:rsidRPr="00F467EC" w:rsidRDefault="127E2585"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RAD Valley Townhouses</w:t>
            </w:r>
          </w:p>
        </w:tc>
        <w:tc>
          <w:tcPr>
            <w:tcW w:w="1682"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25C72433" w14:textId="1E360AD0" w:rsidR="127E2585" w:rsidRPr="00F467EC" w:rsidRDefault="127E2585"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32</w:t>
            </w:r>
          </w:p>
        </w:tc>
        <w:tc>
          <w:tcPr>
            <w:tcW w:w="1260" w:type="dxa"/>
            <w:tcBorders>
              <w:top w:val="single" w:sz="8" w:space="0" w:color="000000" w:themeColor="text1"/>
              <w:left w:val="single" w:sz="12" w:space="0" w:color="000000" w:themeColor="text1"/>
              <w:bottom w:val="nil"/>
              <w:right w:val="nil"/>
            </w:tcBorders>
            <w:tcMar>
              <w:top w:w="15" w:type="dxa"/>
              <w:left w:w="15" w:type="dxa"/>
              <w:right w:w="15" w:type="dxa"/>
            </w:tcMar>
            <w:vAlign w:val="center"/>
          </w:tcPr>
          <w:p w14:paraId="26AD7B1E" w14:textId="764A8421" w:rsidR="127E2585" w:rsidRPr="00F467EC" w:rsidRDefault="127E2585"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32</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4CAAAC" w14:textId="64F8EBC0" w:rsidR="127E2585" w:rsidRPr="00F467EC" w:rsidRDefault="127E2585"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p>
        </w:tc>
        <w:tc>
          <w:tcPr>
            <w:tcW w:w="797" w:type="dxa"/>
            <w:tcBorders>
              <w:top w:val="single" w:sz="8" w:space="0" w:color="000000" w:themeColor="text1"/>
              <w:left w:val="single" w:sz="8" w:space="0" w:color="auto"/>
              <w:bottom w:val="nil"/>
              <w:right w:val="single" w:sz="12" w:space="0" w:color="000000" w:themeColor="text1"/>
            </w:tcBorders>
            <w:tcMar>
              <w:top w:w="15" w:type="dxa"/>
              <w:left w:w="15" w:type="dxa"/>
              <w:right w:w="15" w:type="dxa"/>
            </w:tcMar>
            <w:vAlign w:val="center"/>
          </w:tcPr>
          <w:p w14:paraId="51F2707D" w14:textId="738E3166" w:rsidR="127E2585" w:rsidRPr="00F467EC" w:rsidRDefault="127E2585"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000000" w:themeColor="text1"/>
              <w:left w:val="single" w:sz="12" w:space="0" w:color="000000" w:themeColor="text1"/>
              <w:bottom w:val="nil"/>
              <w:right w:val="single" w:sz="4" w:space="0" w:color="000000" w:themeColor="text1"/>
            </w:tcBorders>
            <w:tcMar>
              <w:top w:w="15" w:type="dxa"/>
              <w:left w:w="15" w:type="dxa"/>
              <w:right w:w="15" w:type="dxa"/>
            </w:tcMar>
            <w:vAlign w:val="center"/>
          </w:tcPr>
          <w:p w14:paraId="75E26042" w14:textId="7A139BDE" w:rsidR="127E2585" w:rsidRPr="00F467EC" w:rsidRDefault="127E2585"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RAD/PBV</w:t>
            </w:r>
          </w:p>
          <w:p w14:paraId="7C801D36" w14:textId="268DEEE0" w:rsidR="433078B2" w:rsidRPr="00F467EC" w:rsidRDefault="433078B2" w:rsidP="433078B2">
            <w:pPr>
              <w:jc w:val="center"/>
              <w:rPr>
                <w:rFonts w:ascii="Century Gothic" w:eastAsia="Times New Roman" w:hAnsi="Century Gothic"/>
                <w:color w:val="000000" w:themeColor="text1"/>
                <w:szCs w:val="22"/>
              </w:rPr>
            </w:pPr>
          </w:p>
        </w:tc>
      </w:tr>
      <w:tr w:rsidR="433078B2" w:rsidRPr="00F467EC" w14:paraId="0626F3DE" w14:textId="77777777" w:rsidTr="00F467EC">
        <w:trPr>
          <w:trHeight w:val="315"/>
        </w:trPr>
        <w:tc>
          <w:tcPr>
            <w:tcW w:w="2093" w:type="dxa"/>
            <w:tcBorders>
              <w:top w:val="single" w:sz="8" w:space="0" w:color="000000" w:themeColor="text1"/>
              <w:left w:val="single" w:sz="4" w:space="0" w:color="000000" w:themeColor="text1"/>
              <w:bottom w:val="nil"/>
              <w:right w:val="single" w:sz="12" w:space="0" w:color="000000" w:themeColor="text1"/>
            </w:tcBorders>
            <w:tcMar>
              <w:top w:w="15" w:type="dxa"/>
              <w:left w:w="15" w:type="dxa"/>
              <w:right w:w="15" w:type="dxa"/>
            </w:tcMar>
            <w:vAlign w:val="center"/>
          </w:tcPr>
          <w:p w14:paraId="096FAB6D" w14:textId="6861FD19" w:rsidR="127E2585" w:rsidRPr="00F467EC" w:rsidRDefault="127E2585"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McConaughy 4% </w:t>
            </w:r>
          </w:p>
        </w:tc>
        <w:tc>
          <w:tcPr>
            <w:tcW w:w="1682"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15B46C37" w14:textId="4D64ABBF" w:rsidR="127E2585" w:rsidRPr="00F467EC" w:rsidRDefault="5CB9869E" w:rsidP="433078B2">
            <w:pPr>
              <w:jc w:val="center"/>
              <w:rPr>
                <w:rFonts w:ascii="Century Gothic" w:eastAsia="Times New Roman" w:hAnsi="Century Gothic"/>
                <w:szCs w:val="22"/>
              </w:rPr>
            </w:pPr>
            <w:r w:rsidRPr="00F467EC">
              <w:rPr>
                <w:rFonts w:ascii="Century Gothic" w:eastAsia="Times New Roman" w:hAnsi="Century Gothic"/>
                <w:color w:val="000000" w:themeColor="text1"/>
                <w:szCs w:val="22"/>
              </w:rPr>
              <w:t xml:space="preserve"> 92</w:t>
            </w:r>
          </w:p>
        </w:tc>
        <w:tc>
          <w:tcPr>
            <w:tcW w:w="1260" w:type="dxa"/>
            <w:tcBorders>
              <w:top w:val="single" w:sz="8" w:space="0" w:color="000000" w:themeColor="text1"/>
              <w:left w:val="single" w:sz="12" w:space="0" w:color="000000" w:themeColor="text1"/>
              <w:bottom w:val="nil"/>
              <w:right w:val="nil"/>
            </w:tcBorders>
            <w:tcMar>
              <w:top w:w="15" w:type="dxa"/>
              <w:left w:w="15" w:type="dxa"/>
              <w:right w:w="15" w:type="dxa"/>
            </w:tcMar>
            <w:vAlign w:val="center"/>
          </w:tcPr>
          <w:p w14:paraId="4375A713" w14:textId="50DF5BD1" w:rsidR="127E2585" w:rsidRPr="00F467EC" w:rsidRDefault="34FA1BFD" w:rsidP="433078B2">
            <w:pPr>
              <w:jc w:val="center"/>
              <w:rPr>
                <w:rFonts w:ascii="Century Gothic" w:eastAsia="Times New Roman" w:hAnsi="Century Gothic"/>
                <w:szCs w:val="22"/>
              </w:rPr>
            </w:pPr>
            <w:r w:rsidRPr="00F467EC">
              <w:rPr>
                <w:rFonts w:ascii="Century Gothic" w:eastAsia="Times New Roman" w:hAnsi="Century Gothic"/>
                <w:color w:val="000000" w:themeColor="text1"/>
                <w:szCs w:val="22"/>
              </w:rPr>
              <w:t xml:space="preserve"> </w:t>
            </w:r>
            <w:r w:rsidR="0CD390E7" w:rsidRPr="00F467EC">
              <w:rPr>
                <w:rFonts w:ascii="Century Gothic" w:eastAsia="Times New Roman" w:hAnsi="Century Gothic"/>
                <w:color w:val="000000" w:themeColor="text1"/>
                <w:szCs w:val="22"/>
              </w:rPr>
              <w:t>92</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500B74" w14:textId="3B28DBCB" w:rsidR="127E2585" w:rsidRPr="00F467EC" w:rsidRDefault="127E2585"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p>
        </w:tc>
        <w:tc>
          <w:tcPr>
            <w:tcW w:w="797" w:type="dxa"/>
            <w:tcBorders>
              <w:top w:val="single" w:sz="8" w:space="0" w:color="000000" w:themeColor="text1"/>
              <w:left w:val="single" w:sz="8" w:space="0" w:color="auto"/>
              <w:bottom w:val="nil"/>
              <w:right w:val="single" w:sz="12" w:space="0" w:color="000000" w:themeColor="text1"/>
            </w:tcBorders>
            <w:tcMar>
              <w:top w:w="15" w:type="dxa"/>
              <w:left w:w="15" w:type="dxa"/>
              <w:right w:w="15" w:type="dxa"/>
            </w:tcMar>
            <w:vAlign w:val="center"/>
          </w:tcPr>
          <w:p w14:paraId="72B75003" w14:textId="5498D0C4" w:rsidR="127E2585" w:rsidRPr="00F467EC" w:rsidRDefault="127E2585"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000000" w:themeColor="text1"/>
              <w:left w:val="single" w:sz="12" w:space="0" w:color="000000" w:themeColor="text1"/>
              <w:bottom w:val="nil"/>
              <w:right w:val="single" w:sz="4" w:space="0" w:color="000000" w:themeColor="text1"/>
            </w:tcBorders>
            <w:tcMar>
              <w:top w:w="15" w:type="dxa"/>
              <w:left w:w="15" w:type="dxa"/>
              <w:right w:w="15" w:type="dxa"/>
            </w:tcMar>
            <w:vAlign w:val="center"/>
          </w:tcPr>
          <w:p w14:paraId="79773A89" w14:textId="14FC4C51" w:rsidR="127E2585" w:rsidRPr="00F467EC" w:rsidRDefault="347B5110" w:rsidP="433078B2">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R</w:t>
            </w:r>
            <w:r w:rsidR="7CF0ACD9" w:rsidRPr="00F467EC">
              <w:rPr>
                <w:rFonts w:ascii="Century Gothic" w:eastAsia="Times New Roman" w:hAnsi="Century Gothic"/>
                <w:color w:val="000000" w:themeColor="text1"/>
                <w:szCs w:val="22"/>
              </w:rPr>
              <w:t>AD</w:t>
            </w:r>
            <w:r w:rsidR="127E2585" w:rsidRPr="00F467EC">
              <w:rPr>
                <w:rFonts w:ascii="Century Gothic" w:eastAsia="Times New Roman" w:hAnsi="Century Gothic"/>
                <w:color w:val="000000" w:themeColor="text1"/>
                <w:szCs w:val="22"/>
              </w:rPr>
              <w:t>/PBV</w:t>
            </w:r>
          </w:p>
        </w:tc>
      </w:tr>
      <w:tr w:rsidR="4DDD8D00" w:rsidRPr="00F467EC" w14:paraId="44E57B87" w14:textId="77777777" w:rsidTr="00F467EC">
        <w:trPr>
          <w:trHeight w:val="315"/>
        </w:trPr>
        <w:tc>
          <w:tcPr>
            <w:tcW w:w="2093" w:type="dxa"/>
            <w:tcBorders>
              <w:top w:val="single" w:sz="8" w:space="0" w:color="000000" w:themeColor="text1"/>
              <w:left w:val="single" w:sz="4" w:space="0" w:color="000000" w:themeColor="text1"/>
              <w:bottom w:val="nil"/>
              <w:right w:val="single" w:sz="12" w:space="0" w:color="000000" w:themeColor="text1"/>
            </w:tcBorders>
            <w:tcMar>
              <w:top w:w="15" w:type="dxa"/>
              <w:left w:w="15" w:type="dxa"/>
              <w:right w:w="15" w:type="dxa"/>
            </w:tcMar>
            <w:vAlign w:val="center"/>
          </w:tcPr>
          <w:p w14:paraId="0E72765D" w14:textId="03B51153" w:rsidR="28F92821" w:rsidRPr="00F467EC" w:rsidRDefault="28F92821" w:rsidP="4DDD8D00">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RAD </w:t>
            </w:r>
            <w:r w:rsidR="009C43D8" w:rsidRPr="00F467EC">
              <w:rPr>
                <w:rFonts w:ascii="Century Gothic" w:eastAsia="Times New Roman" w:hAnsi="Century Gothic"/>
                <w:color w:val="000000" w:themeColor="text1"/>
                <w:szCs w:val="22"/>
              </w:rPr>
              <w:t>McConaughy 9</w:t>
            </w:r>
            <w:r w:rsidRPr="00F467EC">
              <w:rPr>
                <w:rFonts w:ascii="Century Gothic" w:eastAsia="Times New Roman" w:hAnsi="Century Gothic"/>
                <w:color w:val="000000" w:themeColor="text1"/>
                <w:szCs w:val="22"/>
              </w:rPr>
              <w:t>%</w:t>
            </w:r>
          </w:p>
          <w:p w14:paraId="33746CFC" w14:textId="0DA35EB5" w:rsidR="4DDD8D00" w:rsidRPr="00F467EC" w:rsidRDefault="4DDD8D00" w:rsidP="4DDD8D00">
            <w:pPr>
              <w:jc w:val="center"/>
              <w:rPr>
                <w:rFonts w:ascii="Century Gothic" w:eastAsia="Times New Roman" w:hAnsi="Century Gothic"/>
                <w:color w:val="000000" w:themeColor="text1"/>
                <w:szCs w:val="22"/>
              </w:rPr>
            </w:pPr>
          </w:p>
        </w:tc>
        <w:tc>
          <w:tcPr>
            <w:tcW w:w="1682"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08EE1903" w14:textId="667A13C1" w:rsidR="421EFA4C" w:rsidRPr="00F467EC" w:rsidRDefault="421EFA4C" w:rsidP="4DDD8D00">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104</w:t>
            </w:r>
          </w:p>
        </w:tc>
        <w:tc>
          <w:tcPr>
            <w:tcW w:w="1260" w:type="dxa"/>
            <w:tcBorders>
              <w:top w:val="single" w:sz="8" w:space="0" w:color="000000" w:themeColor="text1"/>
              <w:left w:val="single" w:sz="12" w:space="0" w:color="000000" w:themeColor="text1"/>
              <w:bottom w:val="nil"/>
              <w:right w:val="nil"/>
            </w:tcBorders>
            <w:tcMar>
              <w:top w:w="15" w:type="dxa"/>
              <w:left w:w="15" w:type="dxa"/>
              <w:right w:w="15" w:type="dxa"/>
            </w:tcMar>
            <w:vAlign w:val="center"/>
          </w:tcPr>
          <w:p w14:paraId="42C3435E" w14:textId="4D1A1474" w:rsidR="31D824EA" w:rsidRPr="00F467EC" w:rsidRDefault="31D824EA" w:rsidP="4DDD8D00">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104</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40128A3" w14:textId="53ECC62B" w:rsidR="23AAC818" w:rsidRPr="00F467EC" w:rsidRDefault="23AAC818" w:rsidP="4DDD8D00">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p>
        </w:tc>
        <w:tc>
          <w:tcPr>
            <w:tcW w:w="797" w:type="dxa"/>
            <w:tcBorders>
              <w:top w:val="single" w:sz="8" w:space="0" w:color="000000" w:themeColor="text1"/>
              <w:left w:val="single" w:sz="8" w:space="0" w:color="auto"/>
              <w:bottom w:val="nil"/>
              <w:right w:val="single" w:sz="12" w:space="0" w:color="000000" w:themeColor="text1"/>
            </w:tcBorders>
            <w:tcMar>
              <w:top w:w="15" w:type="dxa"/>
              <w:left w:w="15" w:type="dxa"/>
              <w:right w:w="15" w:type="dxa"/>
            </w:tcMar>
            <w:vAlign w:val="center"/>
          </w:tcPr>
          <w:p w14:paraId="35F7681D" w14:textId="3E09D393" w:rsidR="23AAC818" w:rsidRPr="00F467EC" w:rsidRDefault="23AAC818" w:rsidP="4DDD8D00">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Yes</w:t>
            </w:r>
          </w:p>
        </w:tc>
        <w:tc>
          <w:tcPr>
            <w:tcW w:w="2355" w:type="dxa"/>
            <w:tcBorders>
              <w:top w:val="single" w:sz="8" w:space="0" w:color="000000" w:themeColor="text1"/>
              <w:left w:val="single" w:sz="12" w:space="0" w:color="000000" w:themeColor="text1"/>
              <w:bottom w:val="nil"/>
              <w:right w:val="single" w:sz="4" w:space="0" w:color="000000" w:themeColor="text1"/>
            </w:tcBorders>
            <w:tcMar>
              <w:top w:w="15" w:type="dxa"/>
              <w:left w:w="15" w:type="dxa"/>
              <w:right w:w="15" w:type="dxa"/>
            </w:tcMar>
            <w:vAlign w:val="center"/>
          </w:tcPr>
          <w:p w14:paraId="583FAE91" w14:textId="49F2DB40" w:rsidR="23AAC818" w:rsidRPr="00F467EC" w:rsidRDefault="23AAC818" w:rsidP="4DDD8D00">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RAD/PBV</w:t>
            </w:r>
          </w:p>
        </w:tc>
      </w:tr>
      <w:tr w:rsidR="0E6C54AB" w:rsidRPr="00F467EC" w14:paraId="35507BC1" w14:textId="77777777" w:rsidTr="00F467EC">
        <w:trPr>
          <w:trHeight w:val="435"/>
        </w:trPr>
        <w:tc>
          <w:tcPr>
            <w:tcW w:w="2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119066C6" w14:textId="3B9E3E38"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SUBTOTAL</w:t>
            </w:r>
          </w:p>
        </w:tc>
        <w:tc>
          <w:tcPr>
            <w:tcW w:w="168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447BB080" w14:textId="72901A90" w:rsidR="0E6C54AB" w:rsidRPr="00F467EC" w:rsidRDefault="261DC457" w:rsidP="433078B2">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1689</w:t>
            </w:r>
            <w:r w:rsidR="76F419E9" w:rsidRPr="00F467EC">
              <w:rPr>
                <w:rFonts w:ascii="Century Gothic" w:eastAsia="Times New Roman" w:hAnsi="Century Gothic"/>
                <w:b/>
                <w:bCs/>
                <w:color w:val="000000" w:themeColor="text1"/>
                <w:szCs w:val="22"/>
              </w:rPr>
              <w:t xml:space="preserve"> </w:t>
            </w:r>
          </w:p>
        </w:tc>
        <w:tc>
          <w:tcPr>
            <w:tcW w:w="12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6AADED7A" w14:textId="5606D90C" w:rsidR="0E6C54AB" w:rsidRPr="00F467EC" w:rsidRDefault="3E423E33" w:rsidP="0189D8D6">
            <w:pPr>
              <w:jc w:val="center"/>
              <w:rPr>
                <w:rFonts w:ascii="Century Gothic" w:eastAsia="Times New Roman" w:hAnsi="Century Gothic"/>
                <w:szCs w:val="22"/>
              </w:rPr>
            </w:pPr>
            <w:r w:rsidRPr="00F467EC">
              <w:rPr>
                <w:rFonts w:ascii="Century Gothic" w:eastAsia="Times New Roman" w:hAnsi="Century Gothic"/>
                <w:b/>
                <w:bCs/>
                <w:color w:val="000000" w:themeColor="text1"/>
                <w:szCs w:val="22"/>
              </w:rPr>
              <w:t xml:space="preserve"> </w:t>
            </w:r>
            <w:r w:rsidR="2A1B2D5A" w:rsidRPr="00F467EC">
              <w:rPr>
                <w:rFonts w:ascii="Century Gothic" w:eastAsia="Times New Roman" w:hAnsi="Century Gothic"/>
                <w:b/>
                <w:bCs/>
                <w:color w:val="000000" w:themeColor="text1"/>
                <w:szCs w:val="22"/>
              </w:rPr>
              <w:t>1689</w:t>
            </w:r>
          </w:p>
        </w:tc>
        <w:tc>
          <w:tcPr>
            <w:tcW w:w="17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4859B756" w14:textId="23444C3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4E6285E0" w14:textId="24DC2DD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23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1BFD1D08" w14:textId="5CE954D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r>
      <w:tr w:rsidR="0E6C54AB" w:rsidRPr="00F467EC" w14:paraId="681B81AF" w14:textId="77777777" w:rsidTr="00F467EC">
        <w:trPr>
          <w:trHeight w:val="480"/>
        </w:trPr>
        <w:tc>
          <w:tcPr>
            <w:tcW w:w="2093"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1D05F24C" w14:textId="78929712"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PBV</w:t>
            </w:r>
          </w:p>
        </w:tc>
        <w:tc>
          <w:tcPr>
            <w:tcW w:w="1682"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74598775" w14:textId="2C866238"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c>
          <w:tcPr>
            <w:tcW w:w="1260"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05592DF3" w14:textId="46947B17"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 xml:space="preserve"> </w:t>
            </w:r>
          </w:p>
        </w:tc>
        <w:tc>
          <w:tcPr>
            <w:tcW w:w="1743"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22ED37B0" w14:textId="354EA1D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797" w:type="dxa"/>
            <w:tcBorders>
              <w:top w:val="single" w:sz="8" w:space="0" w:color="auto"/>
              <w:left w:val="nil"/>
              <w:bottom w:val="nil"/>
              <w:right w:val="nil"/>
            </w:tcBorders>
            <w:shd w:val="clear" w:color="auto" w:fill="D9D9D9" w:themeFill="background1" w:themeFillShade="D9"/>
            <w:tcMar>
              <w:top w:w="15" w:type="dxa"/>
              <w:left w:w="15" w:type="dxa"/>
              <w:right w:w="15" w:type="dxa"/>
            </w:tcMar>
            <w:vAlign w:val="center"/>
          </w:tcPr>
          <w:p w14:paraId="072895C0" w14:textId="1BC594D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2355" w:type="dxa"/>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right w:w="15" w:type="dxa"/>
            </w:tcMar>
            <w:vAlign w:val="center"/>
          </w:tcPr>
          <w:p w14:paraId="31EA0117" w14:textId="60A9F8F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r>
      <w:tr w:rsidR="0E6C54AB" w:rsidRPr="00F467EC" w14:paraId="09081BA9" w14:textId="77777777" w:rsidTr="00F467EC">
        <w:trPr>
          <w:trHeight w:val="615"/>
        </w:trPr>
        <w:tc>
          <w:tcPr>
            <w:tcW w:w="209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613EE6" w14:textId="3C20CDA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Fellowship I </w:t>
            </w:r>
          </w:p>
        </w:tc>
        <w:tc>
          <w:tcPr>
            <w:tcW w:w="168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9BDCD3C" w14:textId="1B62332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18</w:t>
            </w:r>
          </w:p>
        </w:tc>
        <w:tc>
          <w:tcPr>
            <w:tcW w:w="12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8AAF1B" w14:textId="33DE930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18</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18FCD78" w14:textId="530064C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D81E214" w14:textId="45A45BD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4CC249E" w14:textId="1519AA2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- 100% Supportive Housing  </w:t>
            </w:r>
          </w:p>
        </w:tc>
      </w:tr>
      <w:tr w:rsidR="0E6C54AB" w:rsidRPr="00F467EC" w14:paraId="3F3ABBBC"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4B333329" w14:textId="055C529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Fellowship II </w:t>
            </w:r>
          </w:p>
        </w:tc>
        <w:tc>
          <w:tcPr>
            <w:tcW w:w="1682" w:type="dxa"/>
            <w:tcBorders>
              <w:top w:val="single" w:sz="8" w:space="0" w:color="auto"/>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55B2E561" w14:textId="31E54D6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w:t>
            </w:r>
          </w:p>
        </w:tc>
        <w:tc>
          <w:tcPr>
            <w:tcW w:w="1260" w:type="dxa"/>
            <w:tcBorders>
              <w:top w:val="single" w:sz="8" w:space="0" w:color="auto"/>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E5E72CA" w14:textId="7452FE7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w:t>
            </w:r>
          </w:p>
        </w:tc>
        <w:tc>
          <w:tcPr>
            <w:tcW w:w="1743" w:type="dxa"/>
            <w:tcBorders>
              <w:top w:val="single" w:sz="8" w:space="0" w:color="auto"/>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403A896" w14:textId="40ECBE1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F93879"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C005B18" w14:textId="6800B80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auto"/>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9C7E610" w14:textId="53286F2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- 100% Supportive Housing </w:t>
            </w:r>
          </w:p>
        </w:tc>
      </w:tr>
      <w:tr w:rsidR="0E6C54AB" w:rsidRPr="00F467EC" w14:paraId="604612AD" w14:textId="77777777" w:rsidTr="00F467EC">
        <w:trPr>
          <w:trHeight w:val="615"/>
        </w:trPr>
        <w:tc>
          <w:tcPr>
            <w:tcW w:w="2093" w:type="dxa"/>
            <w:tcBorders>
              <w:top w:val="single" w:sz="8" w:space="0" w:color="auto"/>
              <w:left w:val="single" w:sz="4" w:space="0" w:color="000000" w:themeColor="text1"/>
              <w:bottom w:val="nil"/>
              <w:right w:val="single" w:sz="12" w:space="0" w:color="000000" w:themeColor="text1"/>
            </w:tcBorders>
            <w:tcMar>
              <w:top w:w="15" w:type="dxa"/>
              <w:left w:w="15" w:type="dxa"/>
              <w:right w:w="15" w:type="dxa"/>
            </w:tcMar>
            <w:vAlign w:val="center"/>
          </w:tcPr>
          <w:p w14:paraId="32D82C4C" w14:textId="66BE15A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Also Cornerstone (Continuum of Care) </w:t>
            </w:r>
          </w:p>
        </w:tc>
        <w:tc>
          <w:tcPr>
            <w:tcW w:w="1682"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602BBE19" w14:textId="78E1F08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w:t>
            </w:r>
          </w:p>
        </w:tc>
        <w:tc>
          <w:tcPr>
            <w:tcW w:w="1260"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4C1800E0" w14:textId="08F9ECA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w:t>
            </w:r>
          </w:p>
        </w:tc>
        <w:tc>
          <w:tcPr>
            <w:tcW w:w="1743"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1562D133" w14:textId="58E7139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659F8379" w14:textId="580E7A2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67BBF86" w14:textId="1A6D090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- 100% Supportive Housing  </w:t>
            </w:r>
          </w:p>
        </w:tc>
      </w:tr>
      <w:tr w:rsidR="0E6C54AB" w:rsidRPr="00F467EC" w14:paraId="3C6AD1C6"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16563129" w14:textId="3C0C060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Norton Court (Continuum of Care)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2CCD8AB1" w14:textId="3754B77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12</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CFEA201" w14:textId="324D1FB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12</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498F014" w14:textId="01855D8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B4613F0" w14:textId="10901FB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CEF01B7" w14:textId="49B8602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- 100% Supportive Housing </w:t>
            </w:r>
          </w:p>
        </w:tc>
      </w:tr>
      <w:tr w:rsidR="0E6C54AB" w:rsidRPr="00F467EC" w14:paraId="6391B57F"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0E12CCFA" w14:textId="6DEA04B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Cedar Hill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2CBDF2C4" w14:textId="6413187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11987D3" w14:textId="719C76C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4DAA137" w14:textId="28E7303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1D6E2B2" w14:textId="1309A69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D9EBBC7" w14:textId="3DB5165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- 100% Supportive Housing </w:t>
            </w:r>
          </w:p>
        </w:tc>
      </w:tr>
      <w:tr w:rsidR="0E6C54AB" w:rsidRPr="00F467EC" w14:paraId="1AF7858A"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0C3609CA" w14:textId="115820C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West Village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4B4715E7" w14:textId="4A2BC82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15</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5D630FE" w14:textId="3A2DC31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15</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1203081" w14:textId="4033BDB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F33579F" w14:textId="2819E86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4E6D19E" w14:textId="51E9828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- 100% Supportive Housing </w:t>
            </w:r>
          </w:p>
        </w:tc>
      </w:tr>
      <w:tr w:rsidR="0E6C54AB" w:rsidRPr="00F467EC" w14:paraId="77D8FA1D"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32120DE3" w14:textId="5FC3381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CUHO Existing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6BF96962" w14:textId="403FCDF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24</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3F00A44D" w14:textId="574F5820" w:rsidR="0E6C54AB" w:rsidRPr="00F467EC" w:rsidRDefault="4B631A52" w:rsidP="169FF47A">
            <w:pPr>
              <w:jc w:val="center"/>
              <w:rPr>
                <w:rFonts w:ascii="Century Gothic" w:eastAsia="Times New Roman" w:hAnsi="Century Gothic"/>
                <w:szCs w:val="22"/>
              </w:rPr>
            </w:pPr>
            <w:r w:rsidRPr="00F467EC">
              <w:rPr>
                <w:rFonts w:ascii="Century Gothic" w:eastAsia="Times New Roman" w:hAnsi="Century Gothic"/>
                <w:color w:val="000000" w:themeColor="text1"/>
                <w:szCs w:val="22"/>
              </w:rPr>
              <w:t>8</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97CE5F7" w14:textId="1FB9A89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D6B916F" w14:textId="4C753BC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C370ED1" w14:textId="20FAF18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Scattered Site PBV </w:t>
            </w:r>
          </w:p>
        </w:tc>
      </w:tr>
      <w:tr w:rsidR="0E6C54AB" w:rsidRPr="00F467EC" w14:paraId="216E6999" w14:textId="77777777" w:rsidTr="00F467EC">
        <w:trPr>
          <w:trHeight w:val="6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06C9E211" w14:textId="17A2A1F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lastRenderedPageBreak/>
              <w:t xml:space="preserve">PBV CUHO New Construction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7169AC67" w14:textId="248A9C74" w:rsidR="0E6C54AB" w:rsidRPr="00F467EC" w:rsidRDefault="295BC109"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5</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1B71F5B1" w14:textId="39E9A10D" w:rsidR="0E6C54AB" w:rsidRPr="00F467EC" w:rsidRDefault="295BC109" w:rsidP="00CF0B3C">
            <w:pPr>
              <w:jc w:val="center"/>
              <w:rPr>
                <w:rFonts w:ascii="Century Gothic" w:hAnsi="Century Gothic"/>
                <w:szCs w:val="22"/>
              </w:rPr>
            </w:pPr>
            <w:r w:rsidRPr="00F467EC">
              <w:rPr>
                <w:rFonts w:ascii="Century Gothic" w:eastAsia="Times New Roman" w:hAnsi="Century Gothic"/>
                <w:color w:val="000000" w:themeColor="text1"/>
                <w:szCs w:val="22"/>
              </w:rPr>
              <w:t>5</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2D4B2A6" w14:textId="136FBD1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AE08A91" w14:textId="342532F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8F5D2CD" w14:textId="5F4917B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Scattered Site PBV  </w:t>
            </w:r>
          </w:p>
        </w:tc>
      </w:tr>
      <w:tr w:rsidR="0E6C54AB" w:rsidRPr="00F467EC" w14:paraId="1741F684" w14:textId="77777777" w:rsidTr="00F467EC">
        <w:trPr>
          <w:trHeight w:val="720"/>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659453CB" w14:textId="26E81FB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Park Ridge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238C0E38" w14:textId="2F98D0B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60</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A4CDF16" w14:textId="2B1D2ED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60</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6271D794" w14:textId="5033E36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0A84C7BD" w14:textId="61AB5DA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47330BA" w14:textId="66856CF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w:t>
            </w:r>
          </w:p>
        </w:tc>
      </w:tr>
      <w:tr w:rsidR="0E6C54AB" w:rsidRPr="00F467EC" w14:paraId="1D2B9656"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474CC62F" w14:textId="794CFC10" w:rsidR="0E6C54AB" w:rsidRPr="00F467EC" w:rsidRDefault="6E1692A4" w:rsidP="666F29EF">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Frank Nasti Existing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5DFD8731" w14:textId="0CE12CE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11</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7CA569E" w14:textId="742EC8E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11</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2C4538AF" w14:textId="0A0E21F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D840F39" w14:textId="2AFEC10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49781F8D" w14:textId="2EF41E5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w:t>
            </w:r>
          </w:p>
        </w:tc>
      </w:tr>
      <w:tr w:rsidR="0E6C54AB" w:rsidRPr="00F467EC" w14:paraId="6A2052C0" w14:textId="77777777" w:rsidTr="00F467EC">
        <w:trPr>
          <w:trHeight w:val="315"/>
        </w:trPr>
        <w:tc>
          <w:tcPr>
            <w:tcW w:w="2093" w:type="dxa"/>
            <w:tcBorders>
              <w:top w:val="single" w:sz="8" w:space="0" w:color="auto"/>
              <w:left w:val="single" w:sz="4" w:space="0" w:color="auto"/>
              <w:bottom w:val="single" w:sz="8" w:space="0" w:color="auto"/>
              <w:right w:val="single" w:sz="12" w:space="0" w:color="auto"/>
            </w:tcBorders>
            <w:tcMar>
              <w:top w:w="15" w:type="dxa"/>
              <w:left w:w="15" w:type="dxa"/>
              <w:right w:w="15" w:type="dxa"/>
            </w:tcMar>
            <w:vAlign w:val="center"/>
          </w:tcPr>
          <w:p w14:paraId="43165555" w14:textId="4128087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w:t>
            </w:r>
            <w:proofErr w:type="spellStart"/>
            <w:r w:rsidRPr="00F467EC">
              <w:rPr>
                <w:rFonts w:ascii="Century Gothic" w:eastAsia="Times New Roman" w:hAnsi="Century Gothic"/>
                <w:color w:val="000000" w:themeColor="text1"/>
                <w:szCs w:val="22"/>
              </w:rPr>
              <w:t>Shartenburg</w:t>
            </w:r>
            <w:proofErr w:type="spellEnd"/>
            <w:r w:rsidRPr="00F467EC">
              <w:rPr>
                <w:rFonts w:ascii="Century Gothic" w:eastAsia="Times New Roman" w:hAnsi="Century Gothic"/>
                <w:color w:val="000000" w:themeColor="text1"/>
                <w:szCs w:val="22"/>
              </w:rPr>
              <w:t xml:space="preserve">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218AF7FF" w14:textId="46EA563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20</w:t>
            </w:r>
          </w:p>
        </w:tc>
        <w:tc>
          <w:tcPr>
            <w:tcW w:w="126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F7B1F84" w14:textId="78E8F84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20</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7E5E4248" w14:textId="6EB28CF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4BF47BC2" w14:textId="497B63A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6E9FFF7F" w14:textId="22E8A20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w:t>
            </w:r>
          </w:p>
        </w:tc>
      </w:tr>
      <w:tr w:rsidR="0E6C54AB" w:rsidRPr="00F467EC" w14:paraId="5EB23253" w14:textId="77777777" w:rsidTr="00F467EC">
        <w:trPr>
          <w:trHeight w:val="615"/>
        </w:trPr>
        <w:tc>
          <w:tcPr>
            <w:tcW w:w="2093" w:type="dxa"/>
            <w:tcBorders>
              <w:top w:val="single" w:sz="8" w:space="0" w:color="auto"/>
              <w:left w:val="single" w:sz="4" w:space="0" w:color="000000" w:themeColor="text1"/>
              <w:bottom w:val="nil"/>
              <w:right w:val="single" w:sz="12" w:space="0" w:color="000000" w:themeColor="text1"/>
            </w:tcBorders>
            <w:tcMar>
              <w:top w:w="15" w:type="dxa"/>
              <w:left w:w="15" w:type="dxa"/>
              <w:right w:w="15" w:type="dxa"/>
            </w:tcMar>
            <w:vAlign w:val="center"/>
          </w:tcPr>
          <w:p w14:paraId="410074A3" w14:textId="311E84F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PBV Mutual Housing New Construction</w:t>
            </w:r>
          </w:p>
        </w:tc>
        <w:tc>
          <w:tcPr>
            <w:tcW w:w="1682"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0C2B3DB1" w14:textId="34938CA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20</w:t>
            </w:r>
          </w:p>
        </w:tc>
        <w:tc>
          <w:tcPr>
            <w:tcW w:w="1260"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011B1B69" w14:textId="0C4C7C3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20</w:t>
            </w:r>
          </w:p>
        </w:tc>
        <w:tc>
          <w:tcPr>
            <w:tcW w:w="1743"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78B236D2" w14:textId="1CE2E00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0D8CDA0C" w14:textId="7EDB0959"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nil"/>
              <w:right w:val="single" w:sz="4" w:space="0" w:color="000000" w:themeColor="text1"/>
            </w:tcBorders>
            <w:tcMar>
              <w:top w:w="15" w:type="dxa"/>
              <w:left w:w="15" w:type="dxa"/>
              <w:right w:w="15" w:type="dxa"/>
            </w:tcMar>
            <w:vAlign w:val="center"/>
          </w:tcPr>
          <w:p w14:paraId="3F88C00E" w14:textId="504DF6E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PBV</w:t>
            </w:r>
          </w:p>
        </w:tc>
      </w:tr>
      <w:tr w:rsidR="0E6C54AB" w:rsidRPr="00F467EC" w14:paraId="6714D5A7" w14:textId="77777777" w:rsidTr="00F467EC">
        <w:trPr>
          <w:trHeight w:val="915"/>
        </w:trPr>
        <w:tc>
          <w:tcPr>
            <w:tcW w:w="2093" w:type="dxa"/>
            <w:tcBorders>
              <w:top w:val="single" w:sz="8" w:space="0" w:color="000000" w:themeColor="text1"/>
              <w:left w:val="single" w:sz="4" w:space="0" w:color="000000" w:themeColor="text1"/>
              <w:bottom w:val="nil"/>
              <w:right w:val="single" w:sz="12" w:space="0" w:color="000000" w:themeColor="text1"/>
            </w:tcBorders>
            <w:tcMar>
              <w:top w:w="15" w:type="dxa"/>
              <w:left w:w="15" w:type="dxa"/>
              <w:right w:w="15" w:type="dxa"/>
            </w:tcMar>
            <w:vAlign w:val="center"/>
          </w:tcPr>
          <w:p w14:paraId="4CBF217E" w14:textId="19AE6E8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Mutual Housing Assoc. (Neighborhood Works/New Horizon) </w:t>
            </w:r>
          </w:p>
        </w:tc>
        <w:tc>
          <w:tcPr>
            <w:tcW w:w="1682"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03B1A167" w14:textId="0241330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9</w:t>
            </w:r>
          </w:p>
        </w:tc>
        <w:tc>
          <w:tcPr>
            <w:tcW w:w="1260"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4F5AAD1F" w14:textId="30D4EF0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9</w:t>
            </w:r>
          </w:p>
        </w:tc>
        <w:tc>
          <w:tcPr>
            <w:tcW w:w="1743"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27654E49" w14:textId="074C5D2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221D3575" w14:textId="70C00DB8"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nil"/>
              <w:right w:val="single" w:sz="4" w:space="0" w:color="000000" w:themeColor="text1"/>
            </w:tcBorders>
            <w:tcMar>
              <w:top w:w="15" w:type="dxa"/>
              <w:left w:w="15" w:type="dxa"/>
              <w:right w:w="15" w:type="dxa"/>
            </w:tcMar>
            <w:vAlign w:val="center"/>
          </w:tcPr>
          <w:p w14:paraId="1B125ADE" w14:textId="543D4A60"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PBV</w:t>
            </w:r>
          </w:p>
        </w:tc>
      </w:tr>
      <w:tr w:rsidR="0E6C54AB" w:rsidRPr="00F467EC" w14:paraId="3C094C0B" w14:textId="77777777" w:rsidTr="00F467EC">
        <w:trPr>
          <w:trHeight w:val="615"/>
        </w:trPr>
        <w:tc>
          <w:tcPr>
            <w:tcW w:w="2093" w:type="dxa"/>
            <w:tcBorders>
              <w:top w:val="single" w:sz="8" w:space="0" w:color="auto"/>
              <w:left w:val="single" w:sz="4" w:space="0" w:color="auto"/>
              <w:bottom w:val="nil"/>
              <w:right w:val="single" w:sz="12" w:space="0" w:color="auto"/>
            </w:tcBorders>
            <w:tcMar>
              <w:top w:w="15" w:type="dxa"/>
              <w:left w:w="15" w:type="dxa"/>
              <w:right w:w="15" w:type="dxa"/>
            </w:tcMar>
            <w:vAlign w:val="center"/>
          </w:tcPr>
          <w:p w14:paraId="4A649DB9" w14:textId="36B0D93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Mutual Housing Existing </w:t>
            </w:r>
          </w:p>
        </w:tc>
        <w:tc>
          <w:tcPr>
            <w:tcW w:w="1682" w:type="dxa"/>
            <w:tcBorders>
              <w:top w:val="single" w:sz="8" w:space="0" w:color="000000" w:themeColor="text1"/>
              <w:left w:val="single" w:sz="12" w:space="0" w:color="auto"/>
              <w:bottom w:val="single" w:sz="8" w:space="0" w:color="000000" w:themeColor="text1"/>
              <w:right w:val="single" w:sz="12" w:space="0" w:color="000000" w:themeColor="text1"/>
            </w:tcBorders>
            <w:tcMar>
              <w:top w:w="15" w:type="dxa"/>
              <w:left w:w="15" w:type="dxa"/>
              <w:right w:w="15" w:type="dxa"/>
            </w:tcMar>
            <w:vAlign w:val="center"/>
          </w:tcPr>
          <w:p w14:paraId="5936387A" w14:textId="6C53007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15</w:t>
            </w:r>
          </w:p>
        </w:tc>
        <w:tc>
          <w:tcPr>
            <w:tcW w:w="1260"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320DEE77" w14:textId="2FA7EF6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15</w:t>
            </w:r>
          </w:p>
        </w:tc>
        <w:tc>
          <w:tcPr>
            <w:tcW w:w="174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5" w:type="dxa"/>
              <w:left w:w="15" w:type="dxa"/>
              <w:right w:w="15" w:type="dxa"/>
            </w:tcMar>
            <w:vAlign w:val="center"/>
          </w:tcPr>
          <w:p w14:paraId="5368CD81" w14:textId="050A71F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000000" w:themeColor="text1"/>
              <w:left w:val="single" w:sz="12" w:space="0" w:color="000000" w:themeColor="text1"/>
              <w:bottom w:val="nil"/>
              <w:right w:val="single" w:sz="12" w:space="0" w:color="000000" w:themeColor="text1"/>
            </w:tcBorders>
            <w:tcMar>
              <w:top w:w="15" w:type="dxa"/>
              <w:left w:w="15" w:type="dxa"/>
              <w:right w:w="15" w:type="dxa"/>
            </w:tcMar>
            <w:vAlign w:val="center"/>
          </w:tcPr>
          <w:p w14:paraId="3C873DA5" w14:textId="2A2A977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12"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3AD36CE" w14:textId="43415FA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PBV </w:t>
            </w:r>
          </w:p>
        </w:tc>
      </w:tr>
      <w:tr w:rsidR="0E6C54AB" w:rsidRPr="00F467EC" w14:paraId="13D2EE92" w14:textId="77777777" w:rsidTr="00F467EC">
        <w:trPr>
          <w:trHeight w:val="315"/>
        </w:trPr>
        <w:tc>
          <w:tcPr>
            <w:tcW w:w="2093" w:type="dxa"/>
            <w:tcBorders>
              <w:top w:val="single" w:sz="8" w:space="0" w:color="auto"/>
              <w:left w:val="single" w:sz="8" w:space="0" w:color="auto"/>
              <w:bottom w:val="single" w:sz="12" w:space="0" w:color="000000" w:themeColor="text1"/>
              <w:right w:val="single" w:sz="8" w:space="0" w:color="auto"/>
            </w:tcBorders>
            <w:tcMar>
              <w:top w:w="15" w:type="dxa"/>
              <w:left w:w="15" w:type="dxa"/>
              <w:right w:w="15" w:type="dxa"/>
            </w:tcMar>
            <w:vAlign w:val="center"/>
          </w:tcPr>
          <w:p w14:paraId="4E787EF0" w14:textId="01C43AE1"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Casa </w:t>
            </w:r>
            <w:proofErr w:type="spellStart"/>
            <w:r w:rsidRPr="00F467EC">
              <w:rPr>
                <w:rFonts w:ascii="Century Gothic" w:eastAsia="Times New Roman" w:hAnsi="Century Gothic"/>
                <w:color w:val="000000" w:themeColor="text1"/>
                <w:szCs w:val="22"/>
              </w:rPr>
              <w:t>Otonal</w:t>
            </w:r>
            <w:proofErr w:type="spellEnd"/>
            <w:r w:rsidRPr="00F467EC">
              <w:rPr>
                <w:rFonts w:ascii="Century Gothic" w:eastAsia="Times New Roman" w:hAnsi="Century Gothic"/>
                <w:color w:val="000000" w:themeColor="text1"/>
                <w:szCs w:val="22"/>
              </w:rPr>
              <w:t xml:space="preserve"> </w:t>
            </w:r>
          </w:p>
        </w:tc>
        <w:tc>
          <w:tcPr>
            <w:tcW w:w="1682" w:type="dxa"/>
            <w:tcBorders>
              <w:top w:val="single" w:sz="8" w:space="0" w:color="000000" w:themeColor="text1"/>
              <w:left w:val="single" w:sz="8" w:space="0" w:color="auto"/>
              <w:bottom w:val="nil"/>
              <w:right w:val="nil"/>
            </w:tcBorders>
            <w:tcMar>
              <w:top w:w="15" w:type="dxa"/>
              <w:left w:w="15" w:type="dxa"/>
              <w:right w:w="15" w:type="dxa"/>
            </w:tcMar>
            <w:vAlign w:val="center"/>
          </w:tcPr>
          <w:p w14:paraId="42617ED8" w14:textId="0D3E557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12</w:t>
            </w:r>
          </w:p>
        </w:tc>
        <w:tc>
          <w:tcPr>
            <w:tcW w:w="12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E86BBE" w14:textId="1114A55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12</w:t>
            </w:r>
          </w:p>
        </w:tc>
        <w:tc>
          <w:tcPr>
            <w:tcW w:w="1743" w:type="dxa"/>
            <w:tcBorders>
              <w:top w:val="single" w:sz="8" w:space="0" w:color="000000" w:themeColor="text1"/>
              <w:left w:val="single" w:sz="8" w:space="0" w:color="auto"/>
              <w:bottom w:val="nil"/>
              <w:right w:val="nil"/>
            </w:tcBorders>
            <w:tcMar>
              <w:top w:w="15" w:type="dxa"/>
              <w:left w:w="15" w:type="dxa"/>
              <w:right w:w="15" w:type="dxa"/>
            </w:tcMar>
            <w:vAlign w:val="center"/>
          </w:tcPr>
          <w:p w14:paraId="078A49FF" w14:textId="4CD2ACDF"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442F72E" w14:textId="56364537"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000000" w:themeColor="text1"/>
              <w:left w:val="single" w:sz="8" w:space="0" w:color="auto"/>
              <w:bottom w:val="nil"/>
              <w:right w:val="single" w:sz="4" w:space="0" w:color="000000" w:themeColor="text1"/>
            </w:tcBorders>
            <w:tcMar>
              <w:top w:w="15" w:type="dxa"/>
              <w:left w:w="15" w:type="dxa"/>
              <w:right w:w="15" w:type="dxa"/>
            </w:tcMar>
            <w:vAlign w:val="center"/>
          </w:tcPr>
          <w:p w14:paraId="164641F3" w14:textId="494F1CDA"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w:t>
            </w:r>
          </w:p>
        </w:tc>
      </w:tr>
      <w:tr w:rsidR="0E6C54AB" w:rsidRPr="00F467EC" w14:paraId="460879D4" w14:textId="77777777" w:rsidTr="00F467EC">
        <w:trPr>
          <w:trHeight w:val="615"/>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5" w:type="dxa"/>
              <w:left w:w="15" w:type="dxa"/>
              <w:right w:w="15" w:type="dxa"/>
            </w:tcMar>
            <w:vAlign w:val="center"/>
          </w:tcPr>
          <w:p w14:paraId="3F942015" w14:textId="4740FF64"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PBV Beacon Communities Branford </w:t>
            </w:r>
          </w:p>
        </w:tc>
        <w:tc>
          <w:tcPr>
            <w:tcW w:w="1682" w:type="dxa"/>
            <w:tcBorders>
              <w:top w:val="single" w:sz="8" w:space="0" w:color="auto"/>
              <w:left w:val="single" w:sz="12" w:space="0" w:color="000000" w:themeColor="text1"/>
              <w:bottom w:val="single" w:sz="8" w:space="0" w:color="auto"/>
              <w:right w:val="single" w:sz="8" w:space="0" w:color="auto"/>
            </w:tcBorders>
            <w:tcMar>
              <w:top w:w="15" w:type="dxa"/>
              <w:left w:w="15" w:type="dxa"/>
              <w:right w:w="15" w:type="dxa"/>
            </w:tcMar>
            <w:vAlign w:val="center"/>
          </w:tcPr>
          <w:p w14:paraId="4C6B3645" w14:textId="25117F6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40</w:t>
            </w:r>
          </w:p>
        </w:tc>
        <w:tc>
          <w:tcPr>
            <w:tcW w:w="1260" w:type="dxa"/>
            <w:tcBorders>
              <w:top w:val="single" w:sz="8" w:space="0" w:color="auto"/>
              <w:left w:val="single" w:sz="8" w:space="0" w:color="auto"/>
              <w:bottom w:val="nil"/>
              <w:right w:val="nil"/>
            </w:tcBorders>
            <w:tcMar>
              <w:top w:w="15" w:type="dxa"/>
              <w:left w:w="15" w:type="dxa"/>
              <w:right w:w="15" w:type="dxa"/>
            </w:tcMar>
            <w:vAlign w:val="center"/>
          </w:tcPr>
          <w:p w14:paraId="2DCFA5CC" w14:textId="452205BC"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20</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9994B7F" w14:textId="6228A52D"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Leased</w:t>
            </w:r>
            <w:r w:rsidR="008721FF" w:rsidRPr="00F467EC">
              <w:rPr>
                <w:rFonts w:ascii="Century Gothic" w:eastAsia="Times New Roman" w:hAnsi="Century Gothic"/>
                <w:color w:val="000000" w:themeColor="text1"/>
                <w:szCs w:val="22"/>
              </w:rPr>
              <w:t>/Issued</w:t>
            </w: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8" w:space="0" w:color="auto"/>
              <w:bottom w:val="nil"/>
              <w:right w:val="nil"/>
            </w:tcBorders>
            <w:tcMar>
              <w:top w:w="15" w:type="dxa"/>
              <w:left w:w="15" w:type="dxa"/>
              <w:right w:w="15" w:type="dxa"/>
            </w:tcMar>
            <w:vAlign w:val="center"/>
          </w:tcPr>
          <w:p w14:paraId="4357188C" w14:textId="31B1CCB3"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No </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E555DEC" w14:textId="243F0CC5"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PBV</w:t>
            </w:r>
          </w:p>
        </w:tc>
      </w:tr>
      <w:tr w:rsidR="0E6C54AB" w:rsidRPr="00F467EC" w14:paraId="4501CB22" w14:textId="77777777" w:rsidTr="00F467EC">
        <w:trPr>
          <w:trHeight w:val="615"/>
        </w:trPr>
        <w:tc>
          <w:tcPr>
            <w:tcW w:w="2093" w:type="dxa"/>
            <w:tcBorders>
              <w:top w:val="single" w:sz="12" w:space="0" w:color="000000" w:themeColor="text1"/>
              <w:left w:val="single" w:sz="4" w:space="0" w:color="auto"/>
              <w:bottom w:val="single" w:sz="12" w:space="0" w:color="000000" w:themeColor="text1"/>
              <w:right w:val="single" w:sz="12" w:space="0" w:color="auto"/>
            </w:tcBorders>
            <w:tcMar>
              <w:top w:w="15" w:type="dxa"/>
              <w:left w:w="15" w:type="dxa"/>
              <w:right w:w="15" w:type="dxa"/>
            </w:tcMar>
            <w:vAlign w:val="center"/>
          </w:tcPr>
          <w:p w14:paraId="08D203E4" w14:textId="4432F4D6" w:rsidR="0E6C54AB" w:rsidRPr="00F467EC" w:rsidRDefault="3CB84D56" w:rsidP="169FF47A">
            <w:pPr>
              <w:jc w:val="center"/>
              <w:rPr>
                <w:rFonts w:ascii="Century Gothic" w:eastAsia="Times New Roman" w:hAnsi="Century Gothic"/>
                <w:szCs w:val="22"/>
              </w:rPr>
            </w:pPr>
            <w:r w:rsidRPr="00F467EC">
              <w:rPr>
                <w:rFonts w:ascii="Century Gothic" w:eastAsia="Times New Roman" w:hAnsi="Century Gothic"/>
                <w:szCs w:val="22"/>
              </w:rPr>
              <w:t xml:space="preserve">PBV Seabury Cooperative </w:t>
            </w:r>
            <w:r w:rsidR="75901FA8" w:rsidRPr="00F467EC">
              <w:rPr>
                <w:rFonts w:ascii="Century Gothic" w:eastAsia="Times New Roman" w:hAnsi="Century Gothic"/>
                <w:szCs w:val="22"/>
              </w:rPr>
              <w:t xml:space="preserve">- </w:t>
            </w:r>
            <w:r w:rsidR="4F7BE580" w:rsidRPr="00F467EC">
              <w:rPr>
                <w:rFonts w:ascii="Century Gothic" w:eastAsia="Times New Roman" w:hAnsi="Century Gothic"/>
                <w:szCs w:val="22"/>
              </w:rPr>
              <w:t>400 Elm St</w:t>
            </w:r>
          </w:p>
        </w:tc>
        <w:tc>
          <w:tcPr>
            <w:tcW w:w="1682" w:type="dxa"/>
            <w:tcBorders>
              <w:top w:val="single" w:sz="8" w:space="0" w:color="auto"/>
              <w:left w:val="single" w:sz="12" w:space="0" w:color="auto"/>
              <w:bottom w:val="single" w:sz="12" w:space="0" w:color="000000" w:themeColor="text1"/>
              <w:right w:val="single" w:sz="12" w:space="0" w:color="000000" w:themeColor="text1"/>
            </w:tcBorders>
            <w:tcMar>
              <w:top w:w="15" w:type="dxa"/>
              <w:left w:w="15" w:type="dxa"/>
              <w:right w:w="15" w:type="dxa"/>
            </w:tcMar>
            <w:vAlign w:val="center"/>
          </w:tcPr>
          <w:p w14:paraId="7A83EEDB" w14:textId="2095AB34"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39</w:t>
            </w:r>
          </w:p>
        </w:tc>
        <w:tc>
          <w:tcPr>
            <w:tcW w:w="1260" w:type="dxa"/>
            <w:tcBorders>
              <w:top w:val="single" w:sz="8" w:space="0" w:color="000000" w:themeColor="text1"/>
              <w:left w:val="single" w:sz="12" w:space="0" w:color="000000" w:themeColor="text1"/>
              <w:bottom w:val="single" w:sz="12" w:space="0" w:color="000000" w:themeColor="text1"/>
              <w:right w:val="single" w:sz="12" w:space="0" w:color="000000" w:themeColor="text1"/>
            </w:tcBorders>
            <w:tcMar>
              <w:top w:w="15" w:type="dxa"/>
              <w:left w:w="15" w:type="dxa"/>
              <w:right w:w="15" w:type="dxa"/>
            </w:tcMar>
            <w:vAlign w:val="center"/>
          </w:tcPr>
          <w:p w14:paraId="1E1BBDDA" w14:textId="3958E5D1"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39</w:t>
            </w:r>
          </w:p>
        </w:tc>
        <w:tc>
          <w:tcPr>
            <w:tcW w:w="1743" w:type="dxa"/>
            <w:tcBorders>
              <w:top w:val="single" w:sz="8" w:space="0" w:color="auto"/>
              <w:left w:val="single" w:sz="12" w:space="0" w:color="000000" w:themeColor="text1"/>
              <w:bottom w:val="single" w:sz="12" w:space="0" w:color="000000" w:themeColor="text1"/>
              <w:right w:val="single" w:sz="12" w:space="0" w:color="000000" w:themeColor="text1"/>
            </w:tcBorders>
            <w:tcMar>
              <w:top w:w="15" w:type="dxa"/>
              <w:left w:w="15" w:type="dxa"/>
              <w:right w:w="15" w:type="dxa"/>
            </w:tcMar>
            <w:vAlign w:val="center"/>
          </w:tcPr>
          <w:p w14:paraId="73400EC5" w14:textId="15386A41"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Leased</w:t>
            </w:r>
            <w:r w:rsidR="008721FF" w:rsidRPr="00F467EC">
              <w:rPr>
                <w:rFonts w:ascii="Century Gothic" w:eastAsia="Times New Roman" w:hAnsi="Century Gothic"/>
                <w:szCs w:val="22"/>
              </w:rPr>
              <w:t>/Issued</w:t>
            </w:r>
            <w:r w:rsidRPr="00F467EC">
              <w:rPr>
                <w:rFonts w:ascii="Century Gothic" w:eastAsia="Times New Roman" w:hAnsi="Century Gothic"/>
                <w:szCs w:val="22"/>
              </w:rPr>
              <w:t xml:space="preserve"> </w:t>
            </w:r>
          </w:p>
        </w:tc>
        <w:tc>
          <w:tcPr>
            <w:tcW w:w="797" w:type="dxa"/>
            <w:tcBorders>
              <w:top w:val="single" w:sz="8" w:space="0" w:color="000000" w:themeColor="text1"/>
              <w:left w:val="single" w:sz="12" w:space="0" w:color="000000" w:themeColor="text1"/>
              <w:bottom w:val="single" w:sz="12" w:space="0" w:color="000000" w:themeColor="text1"/>
              <w:right w:val="single" w:sz="12" w:space="0" w:color="000000" w:themeColor="text1"/>
            </w:tcBorders>
            <w:tcMar>
              <w:top w:w="15" w:type="dxa"/>
              <w:left w:w="15" w:type="dxa"/>
              <w:right w:w="15" w:type="dxa"/>
            </w:tcMar>
            <w:vAlign w:val="center"/>
          </w:tcPr>
          <w:p w14:paraId="7F59714C" w14:textId="73B0E4DB"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No </w:t>
            </w:r>
          </w:p>
        </w:tc>
        <w:tc>
          <w:tcPr>
            <w:tcW w:w="2355" w:type="dxa"/>
            <w:tcBorders>
              <w:top w:val="single" w:sz="8" w:space="0" w:color="auto"/>
              <w:left w:val="single" w:sz="12" w:space="0" w:color="000000" w:themeColor="text1"/>
              <w:bottom w:val="single" w:sz="12" w:space="0" w:color="000000" w:themeColor="text1"/>
              <w:right w:val="single" w:sz="4" w:space="0" w:color="000000" w:themeColor="text1"/>
            </w:tcBorders>
            <w:tcMar>
              <w:top w:w="15" w:type="dxa"/>
              <w:left w:w="15" w:type="dxa"/>
              <w:right w:w="15" w:type="dxa"/>
            </w:tcMar>
            <w:vAlign w:val="center"/>
          </w:tcPr>
          <w:p w14:paraId="6AFC52DB" w14:textId="779F411A"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PBV </w:t>
            </w:r>
          </w:p>
        </w:tc>
      </w:tr>
      <w:tr w:rsidR="0E6C54AB" w:rsidRPr="00F467EC" w14:paraId="6C4D89DE" w14:textId="77777777" w:rsidTr="00F467EC">
        <w:trPr>
          <w:trHeight w:val="630"/>
        </w:trPr>
        <w:tc>
          <w:tcPr>
            <w:tcW w:w="209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43C6774" w14:textId="4D00CD74" w:rsidR="0E6C54AB" w:rsidRPr="00F467EC" w:rsidRDefault="3CB84D56" w:rsidP="169FF47A">
            <w:pPr>
              <w:jc w:val="center"/>
              <w:rPr>
                <w:rFonts w:ascii="Century Gothic" w:eastAsia="Times New Roman" w:hAnsi="Century Gothic"/>
                <w:szCs w:val="22"/>
              </w:rPr>
            </w:pPr>
            <w:r w:rsidRPr="00F467EC">
              <w:rPr>
                <w:rFonts w:ascii="Century Gothic" w:eastAsia="Times New Roman" w:hAnsi="Century Gothic"/>
                <w:szCs w:val="22"/>
              </w:rPr>
              <w:t xml:space="preserve">PBV </w:t>
            </w:r>
            <w:r w:rsidR="264F4C16" w:rsidRPr="00F467EC">
              <w:rPr>
                <w:rFonts w:ascii="Century Gothic" w:eastAsia="Times New Roman" w:hAnsi="Century Gothic"/>
                <w:szCs w:val="22"/>
              </w:rPr>
              <w:t xml:space="preserve">New Reach </w:t>
            </w:r>
            <w:r w:rsidRPr="00F467EC">
              <w:rPr>
                <w:rFonts w:ascii="Century Gothic" w:eastAsia="Times New Roman" w:hAnsi="Century Gothic"/>
                <w:szCs w:val="22"/>
              </w:rPr>
              <w:t>Portsea Place</w:t>
            </w:r>
          </w:p>
        </w:tc>
        <w:tc>
          <w:tcPr>
            <w:tcW w:w="168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E3EAA6C" w14:textId="569D08F7"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8</w:t>
            </w:r>
          </w:p>
        </w:tc>
        <w:tc>
          <w:tcPr>
            <w:tcW w:w="12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C9568E9" w14:textId="40D6D71C"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8</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BD762E" w14:textId="65D3AA93"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Leased</w:t>
            </w:r>
            <w:r w:rsidR="008721FF" w:rsidRPr="00F467EC">
              <w:rPr>
                <w:rFonts w:ascii="Century Gothic" w:eastAsia="Times New Roman" w:hAnsi="Century Gothic"/>
                <w:szCs w:val="22"/>
              </w:rPr>
              <w:t>/Issued</w:t>
            </w:r>
            <w:r w:rsidRPr="00F467EC">
              <w:rPr>
                <w:rFonts w:ascii="Century Gothic" w:eastAsia="Times New Roman" w:hAnsi="Century Gothic"/>
                <w:szCs w:val="22"/>
              </w:rPr>
              <w:t xml:space="preserve">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1825768" w14:textId="5C21FD4D"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No </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8ED9B4" w14:textId="342444C2"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PBV - Supportive Housing for homeless young adults</w:t>
            </w:r>
          </w:p>
        </w:tc>
      </w:tr>
      <w:tr w:rsidR="0E6C54AB" w:rsidRPr="00F467EC" w14:paraId="46553BDE" w14:textId="77777777" w:rsidTr="00F467EC">
        <w:trPr>
          <w:trHeight w:val="615"/>
        </w:trPr>
        <w:tc>
          <w:tcPr>
            <w:tcW w:w="2093" w:type="dxa"/>
            <w:tcBorders>
              <w:top w:val="single" w:sz="8" w:space="0" w:color="auto"/>
              <w:left w:val="single" w:sz="4" w:space="0" w:color="000000" w:themeColor="text1"/>
              <w:bottom w:val="nil"/>
              <w:right w:val="single" w:sz="12" w:space="0" w:color="000000" w:themeColor="text1"/>
            </w:tcBorders>
            <w:tcMar>
              <w:top w:w="15" w:type="dxa"/>
              <w:left w:w="15" w:type="dxa"/>
              <w:right w:w="15" w:type="dxa"/>
            </w:tcMar>
            <w:vAlign w:val="center"/>
          </w:tcPr>
          <w:p w14:paraId="4B3DDE84" w14:textId="29A990DC"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PBV Christian Community Action (CCA) </w:t>
            </w:r>
          </w:p>
        </w:tc>
        <w:tc>
          <w:tcPr>
            <w:tcW w:w="1682" w:type="dxa"/>
            <w:tcBorders>
              <w:top w:val="single" w:sz="8" w:space="0" w:color="auto"/>
              <w:left w:val="single" w:sz="12" w:space="0" w:color="000000" w:themeColor="text1"/>
              <w:bottom w:val="nil"/>
              <w:right w:val="single" w:sz="12" w:space="0" w:color="000000" w:themeColor="text1"/>
            </w:tcBorders>
            <w:tcMar>
              <w:top w:w="15" w:type="dxa"/>
              <w:left w:w="15" w:type="dxa"/>
              <w:right w:w="15" w:type="dxa"/>
            </w:tcMar>
            <w:vAlign w:val="center"/>
          </w:tcPr>
          <w:p w14:paraId="18B64DF7" w14:textId="6A402359"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18</w:t>
            </w:r>
          </w:p>
        </w:tc>
        <w:tc>
          <w:tcPr>
            <w:tcW w:w="1260" w:type="dxa"/>
            <w:tcBorders>
              <w:top w:val="single" w:sz="8" w:space="0" w:color="auto"/>
              <w:left w:val="single" w:sz="12" w:space="0" w:color="000000" w:themeColor="text1"/>
              <w:bottom w:val="nil"/>
              <w:right w:val="single" w:sz="12" w:space="0" w:color="000000" w:themeColor="text1"/>
            </w:tcBorders>
            <w:tcMar>
              <w:top w:w="15" w:type="dxa"/>
              <w:left w:w="15" w:type="dxa"/>
              <w:right w:w="15" w:type="dxa"/>
            </w:tcMar>
            <w:vAlign w:val="center"/>
          </w:tcPr>
          <w:p w14:paraId="51FA7B73" w14:textId="761DB9A1"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18</w:t>
            </w:r>
          </w:p>
        </w:tc>
        <w:tc>
          <w:tcPr>
            <w:tcW w:w="1743" w:type="dxa"/>
            <w:tcBorders>
              <w:top w:val="single" w:sz="8" w:space="0" w:color="auto"/>
              <w:left w:val="single" w:sz="12" w:space="0" w:color="000000" w:themeColor="text1"/>
              <w:bottom w:val="single" w:sz="12" w:space="0" w:color="000000" w:themeColor="text1"/>
              <w:right w:val="single" w:sz="12" w:space="0" w:color="000000" w:themeColor="text1"/>
            </w:tcBorders>
            <w:tcMar>
              <w:top w:w="15" w:type="dxa"/>
              <w:left w:w="15" w:type="dxa"/>
              <w:right w:w="15" w:type="dxa"/>
            </w:tcMar>
            <w:vAlign w:val="center"/>
          </w:tcPr>
          <w:p w14:paraId="37E4083D" w14:textId="1136CB0D"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Leased</w:t>
            </w:r>
            <w:r w:rsidR="008721FF" w:rsidRPr="00F467EC">
              <w:rPr>
                <w:rFonts w:ascii="Century Gothic" w:eastAsia="Times New Roman" w:hAnsi="Century Gothic"/>
                <w:szCs w:val="22"/>
              </w:rPr>
              <w:t>/Issued</w:t>
            </w:r>
            <w:r w:rsidRPr="00F467EC">
              <w:rPr>
                <w:rFonts w:ascii="Century Gothic" w:eastAsia="Times New Roman" w:hAnsi="Century Gothic"/>
                <w:szCs w:val="22"/>
              </w:rPr>
              <w:t xml:space="preserve"> </w:t>
            </w:r>
          </w:p>
        </w:tc>
        <w:tc>
          <w:tcPr>
            <w:tcW w:w="797" w:type="dxa"/>
            <w:tcBorders>
              <w:top w:val="single" w:sz="8" w:space="0" w:color="auto"/>
              <w:left w:val="single" w:sz="12" w:space="0" w:color="000000" w:themeColor="text1"/>
              <w:bottom w:val="nil"/>
              <w:right w:val="single" w:sz="12" w:space="0" w:color="000000" w:themeColor="text1"/>
            </w:tcBorders>
            <w:tcMar>
              <w:top w:w="15" w:type="dxa"/>
              <w:left w:w="15" w:type="dxa"/>
              <w:right w:w="15" w:type="dxa"/>
            </w:tcMar>
            <w:vAlign w:val="center"/>
          </w:tcPr>
          <w:p w14:paraId="599BC261" w14:textId="700F4E91"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No </w:t>
            </w:r>
          </w:p>
        </w:tc>
        <w:tc>
          <w:tcPr>
            <w:tcW w:w="2355" w:type="dxa"/>
            <w:tcBorders>
              <w:top w:val="single" w:sz="8" w:space="0" w:color="auto"/>
              <w:left w:val="single" w:sz="12" w:space="0" w:color="000000" w:themeColor="text1"/>
              <w:bottom w:val="nil"/>
              <w:right w:val="single" w:sz="4" w:space="0" w:color="000000" w:themeColor="text1"/>
            </w:tcBorders>
            <w:tcMar>
              <w:top w:w="15" w:type="dxa"/>
              <w:left w:w="15" w:type="dxa"/>
              <w:right w:w="15" w:type="dxa"/>
            </w:tcMar>
            <w:vAlign w:val="center"/>
          </w:tcPr>
          <w:p w14:paraId="445B37BC" w14:textId="0E30EBE9" w:rsidR="0E6C54AB" w:rsidRPr="00F467EC" w:rsidRDefault="40EA885B" w:rsidP="00CF0B3C">
            <w:pPr>
              <w:jc w:val="center"/>
              <w:rPr>
                <w:rFonts w:ascii="Century Gothic" w:eastAsia="Times New Roman" w:hAnsi="Century Gothic"/>
                <w:szCs w:val="22"/>
              </w:rPr>
            </w:pPr>
            <w:r w:rsidRPr="00F467EC">
              <w:rPr>
                <w:rFonts w:ascii="Century Gothic" w:eastAsia="Times New Roman" w:hAnsi="Century Gothic"/>
                <w:szCs w:val="22"/>
              </w:rPr>
              <w:t xml:space="preserve">PBV - </w:t>
            </w:r>
            <w:r w:rsidR="295BC109" w:rsidRPr="00F467EC">
              <w:rPr>
                <w:rFonts w:ascii="Century Gothic" w:eastAsia="Times New Roman" w:hAnsi="Century Gothic"/>
                <w:szCs w:val="22"/>
              </w:rPr>
              <w:t xml:space="preserve">Local Non-Traditional </w:t>
            </w:r>
          </w:p>
        </w:tc>
      </w:tr>
      <w:tr w:rsidR="0E6C54AB" w:rsidRPr="00F467EC" w14:paraId="2452101D" w14:textId="77777777" w:rsidTr="00F467EC">
        <w:trPr>
          <w:trHeight w:val="330"/>
        </w:trPr>
        <w:tc>
          <w:tcPr>
            <w:tcW w:w="209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328D66" w14:textId="7512FFE9" w:rsidR="0E6C54AB" w:rsidRPr="00F467EC" w:rsidRDefault="6B94A34A" w:rsidP="6468795D">
            <w:pPr>
              <w:jc w:val="center"/>
              <w:rPr>
                <w:rFonts w:ascii="Century Gothic" w:eastAsia="Times New Roman" w:hAnsi="Century Gothic"/>
                <w:szCs w:val="22"/>
              </w:rPr>
            </w:pPr>
            <w:r w:rsidRPr="00F467EC">
              <w:rPr>
                <w:rFonts w:ascii="Century Gothic" w:eastAsia="Times New Roman" w:hAnsi="Century Gothic"/>
                <w:szCs w:val="22"/>
              </w:rPr>
              <w:t xml:space="preserve">NHP Foundation </w:t>
            </w:r>
            <w:r w:rsidR="48A7D97C" w:rsidRPr="00F467EC">
              <w:rPr>
                <w:rFonts w:ascii="Century Gothic" w:eastAsia="Times New Roman" w:hAnsi="Century Gothic"/>
                <w:szCs w:val="22"/>
              </w:rPr>
              <w:t>(MLK)</w:t>
            </w:r>
          </w:p>
        </w:tc>
        <w:tc>
          <w:tcPr>
            <w:tcW w:w="168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92E980" w14:textId="0FEECD74"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8</w:t>
            </w:r>
          </w:p>
        </w:tc>
        <w:tc>
          <w:tcPr>
            <w:tcW w:w="12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A13128C" w14:textId="0BC55F06"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0</w:t>
            </w:r>
          </w:p>
        </w:tc>
        <w:tc>
          <w:tcPr>
            <w:tcW w:w="1743" w:type="dxa"/>
            <w:tcBorders>
              <w:top w:val="single" w:sz="12" w:space="0" w:color="000000" w:themeColor="text1"/>
              <w:left w:val="single" w:sz="8" w:space="0" w:color="auto"/>
              <w:bottom w:val="nil"/>
              <w:right w:val="nil"/>
            </w:tcBorders>
            <w:tcMar>
              <w:top w:w="15" w:type="dxa"/>
              <w:left w:w="15" w:type="dxa"/>
              <w:right w:w="15" w:type="dxa"/>
            </w:tcMar>
            <w:vAlign w:val="center"/>
          </w:tcPr>
          <w:p w14:paraId="71240C01" w14:textId="5AA150D3"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Committed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7AB25B" w14:textId="64768E8E"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No </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20DA71F" w14:textId="210220EE"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PBV</w:t>
            </w:r>
          </w:p>
        </w:tc>
      </w:tr>
      <w:tr w:rsidR="0E6C54AB" w:rsidRPr="00F467EC" w14:paraId="4EF5505A" w14:textId="77777777" w:rsidTr="00F467EC">
        <w:trPr>
          <w:trHeight w:val="315"/>
        </w:trPr>
        <w:tc>
          <w:tcPr>
            <w:tcW w:w="209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A7C6F95" w14:textId="22B7A6CA"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Hill Central Phase I </w:t>
            </w:r>
          </w:p>
        </w:tc>
        <w:tc>
          <w:tcPr>
            <w:tcW w:w="168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0DD3D18" w14:textId="777E8CCF"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32</w:t>
            </w:r>
          </w:p>
        </w:tc>
        <w:tc>
          <w:tcPr>
            <w:tcW w:w="12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A1E109" w14:textId="18B96EDD" w:rsidR="0E6C54AB" w:rsidRPr="00F467EC" w:rsidRDefault="41A4CFCE" w:rsidP="433078B2">
            <w:pPr>
              <w:jc w:val="center"/>
              <w:rPr>
                <w:rFonts w:ascii="Century Gothic" w:eastAsia="Times New Roman" w:hAnsi="Century Gothic"/>
                <w:szCs w:val="22"/>
              </w:rPr>
            </w:pPr>
            <w:r w:rsidRPr="00F467EC">
              <w:rPr>
                <w:rFonts w:ascii="Century Gothic" w:eastAsia="Times New Roman" w:hAnsi="Century Gothic"/>
                <w:szCs w:val="22"/>
              </w:rPr>
              <w:t xml:space="preserve"> </w:t>
            </w:r>
            <w:r w:rsidR="2FA7D6D3" w:rsidRPr="00F467EC">
              <w:rPr>
                <w:rFonts w:ascii="Century Gothic" w:eastAsia="Times New Roman" w:hAnsi="Century Gothic"/>
                <w:szCs w:val="22"/>
              </w:rPr>
              <w:t>0</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53C422" w14:textId="62D3E1A5"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Committed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13F64A" w14:textId="5F0C69EA"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No </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93C62D" w14:textId="2094AF87"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PBV</w:t>
            </w:r>
          </w:p>
        </w:tc>
      </w:tr>
      <w:tr w:rsidR="0E6C54AB" w:rsidRPr="00F467EC" w14:paraId="0B5E63C4" w14:textId="77777777" w:rsidTr="00F467EC">
        <w:trPr>
          <w:trHeight w:val="315"/>
        </w:trPr>
        <w:tc>
          <w:tcPr>
            <w:tcW w:w="209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14E295C" w14:textId="044869AD" w:rsidR="0E6C54AB" w:rsidRPr="00F467EC" w:rsidRDefault="6B94A34A" w:rsidP="6468795D">
            <w:pPr>
              <w:jc w:val="center"/>
              <w:rPr>
                <w:rFonts w:ascii="Century Gothic" w:eastAsia="Times New Roman" w:hAnsi="Century Gothic"/>
                <w:szCs w:val="22"/>
              </w:rPr>
            </w:pPr>
            <w:r w:rsidRPr="00F467EC">
              <w:rPr>
                <w:rFonts w:ascii="Century Gothic" w:eastAsia="Times New Roman" w:hAnsi="Century Gothic"/>
                <w:szCs w:val="22"/>
              </w:rPr>
              <w:t xml:space="preserve">Dixwell Housing </w:t>
            </w:r>
            <w:r w:rsidR="3DF22324" w:rsidRPr="00F467EC">
              <w:rPr>
                <w:rFonts w:ascii="Century Gothic" w:eastAsia="Times New Roman" w:hAnsi="Century Gothic"/>
                <w:szCs w:val="22"/>
              </w:rPr>
              <w:t>(Beulah)</w:t>
            </w:r>
          </w:p>
        </w:tc>
        <w:tc>
          <w:tcPr>
            <w:tcW w:w="168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1952AD" w14:textId="436EED96"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20</w:t>
            </w:r>
          </w:p>
        </w:tc>
        <w:tc>
          <w:tcPr>
            <w:tcW w:w="12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9CB4610" w14:textId="3D9BAC57"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0</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2E45D2D" w14:textId="790C4318"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Committed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B1D57F" w14:textId="6AD7F7E0"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No </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CEB2AE" w14:textId="20A3CD2E"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PBV</w:t>
            </w:r>
          </w:p>
        </w:tc>
      </w:tr>
      <w:tr w:rsidR="0E6C54AB" w:rsidRPr="00F467EC" w14:paraId="5DAF5230" w14:textId="77777777" w:rsidTr="00F467EC">
        <w:trPr>
          <w:trHeight w:val="915"/>
        </w:trPr>
        <w:tc>
          <w:tcPr>
            <w:tcW w:w="209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2C9253" w14:textId="05DE2E59"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New Haven Coliseum (previously Live Learn Play)</w:t>
            </w:r>
          </w:p>
        </w:tc>
        <w:tc>
          <w:tcPr>
            <w:tcW w:w="168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2695380" w14:textId="60AD76F6"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19</w:t>
            </w:r>
          </w:p>
        </w:tc>
        <w:tc>
          <w:tcPr>
            <w:tcW w:w="12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B23327" w14:textId="79ED6AC3" w:rsidR="0E6C54AB" w:rsidRPr="00F467EC" w:rsidRDefault="6D1644A7" w:rsidP="00CF0B3C">
            <w:pPr>
              <w:jc w:val="center"/>
              <w:rPr>
                <w:rFonts w:ascii="Century Gothic" w:eastAsia="Times New Roman" w:hAnsi="Century Gothic"/>
                <w:szCs w:val="22"/>
              </w:rPr>
            </w:pPr>
            <w:r w:rsidRPr="00F467EC">
              <w:rPr>
                <w:rFonts w:ascii="Century Gothic" w:eastAsia="Times New Roman" w:hAnsi="Century Gothic"/>
                <w:szCs w:val="22"/>
              </w:rPr>
              <w:t>0</w:t>
            </w:r>
          </w:p>
        </w:tc>
        <w:tc>
          <w:tcPr>
            <w:tcW w:w="174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3F6BAD" w14:textId="530EEF0D"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Committed </w:t>
            </w:r>
          </w:p>
        </w:tc>
        <w:tc>
          <w:tcPr>
            <w:tcW w:w="79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EF2E32" w14:textId="45245FDE"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 xml:space="preserve">No </w:t>
            </w:r>
          </w:p>
        </w:tc>
        <w:tc>
          <w:tcPr>
            <w:tcW w:w="23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ED55E4A" w14:textId="397F2738" w:rsidR="0E6C54AB" w:rsidRPr="00F467EC" w:rsidRDefault="0E6C54AB" w:rsidP="00CF0B3C">
            <w:pPr>
              <w:jc w:val="center"/>
              <w:rPr>
                <w:rFonts w:ascii="Century Gothic" w:eastAsia="Times New Roman" w:hAnsi="Century Gothic"/>
                <w:szCs w:val="22"/>
              </w:rPr>
            </w:pPr>
            <w:r w:rsidRPr="00F467EC">
              <w:rPr>
                <w:rFonts w:ascii="Century Gothic" w:eastAsia="Times New Roman" w:hAnsi="Century Gothic"/>
                <w:szCs w:val="22"/>
              </w:rPr>
              <w:t>PBV</w:t>
            </w:r>
          </w:p>
        </w:tc>
      </w:tr>
      <w:tr w:rsidR="0E6C54AB" w:rsidRPr="00F467EC" w14:paraId="659B2267" w14:textId="77777777" w:rsidTr="00F467EC">
        <w:trPr>
          <w:trHeight w:val="495"/>
        </w:trPr>
        <w:tc>
          <w:tcPr>
            <w:tcW w:w="2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79C3CAF5" w14:textId="3A265625"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SUBTOTAL</w:t>
            </w:r>
          </w:p>
        </w:tc>
        <w:tc>
          <w:tcPr>
            <w:tcW w:w="168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49531956" w14:textId="71EF549C" w:rsidR="0E6C54AB" w:rsidRPr="00F467EC" w:rsidRDefault="0E6C54AB" w:rsidP="00CF0B3C">
            <w:pPr>
              <w:jc w:val="center"/>
              <w:rPr>
                <w:rFonts w:ascii="Century Gothic" w:eastAsia="Times New Roman" w:hAnsi="Century Gothic"/>
                <w:b/>
                <w:bCs/>
                <w:color w:val="000000" w:themeColor="text1"/>
                <w:szCs w:val="22"/>
              </w:rPr>
            </w:pPr>
            <w:r w:rsidRPr="00F467EC">
              <w:rPr>
                <w:rFonts w:ascii="Century Gothic" w:eastAsia="Times New Roman" w:hAnsi="Century Gothic"/>
                <w:b/>
                <w:bCs/>
                <w:color w:val="000000" w:themeColor="text1"/>
                <w:szCs w:val="22"/>
              </w:rPr>
              <w:t>418</w:t>
            </w:r>
          </w:p>
        </w:tc>
        <w:tc>
          <w:tcPr>
            <w:tcW w:w="12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0A38A136" w14:textId="7CC7396B" w:rsidR="0E6C54AB" w:rsidRPr="00F467EC" w:rsidRDefault="440DBB67" w:rsidP="169FF47A">
            <w:pPr>
              <w:jc w:val="center"/>
              <w:rPr>
                <w:rFonts w:ascii="Century Gothic" w:eastAsia="Times New Roman" w:hAnsi="Century Gothic"/>
                <w:szCs w:val="22"/>
              </w:rPr>
            </w:pPr>
            <w:r w:rsidRPr="00F467EC">
              <w:rPr>
                <w:rFonts w:ascii="Century Gothic" w:eastAsia="Times New Roman" w:hAnsi="Century Gothic"/>
                <w:b/>
                <w:bCs/>
                <w:color w:val="000000" w:themeColor="text1"/>
                <w:szCs w:val="22"/>
              </w:rPr>
              <w:t>303</w:t>
            </w:r>
          </w:p>
        </w:tc>
        <w:tc>
          <w:tcPr>
            <w:tcW w:w="17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46EEE3D6" w14:textId="2C025B9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79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638B1443" w14:textId="687DF6CE"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23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319D4595" w14:textId="6AD34AEB"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r>
      <w:tr w:rsidR="0E6C54AB" w:rsidRPr="00F467EC" w14:paraId="46D926FE" w14:textId="77777777" w:rsidTr="00F467EC">
        <w:trPr>
          <w:trHeight w:val="555"/>
        </w:trPr>
        <w:tc>
          <w:tcPr>
            <w:tcW w:w="2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7D26BE61" w14:textId="7D68EACB" w:rsidR="0E6C54AB" w:rsidRPr="00FC3B55" w:rsidRDefault="0E6C54AB" w:rsidP="00CF0B3C">
            <w:pPr>
              <w:jc w:val="center"/>
              <w:rPr>
                <w:rFonts w:ascii="Century Gothic" w:eastAsia="Times New Roman" w:hAnsi="Century Gothic"/>
                <w:b/>
                <w:bCs/>
                <w:color w:val="000000" w:themeColor="text1"/>
                <w:sz w:val="24"/>
              </w:rPr>
            </w:pPr>
            <w:r w:rsidRPr="00FC3B55">
              <w:rPr>
                <w:rFonts w:ascii="Century Gothic" w:eastAsia="Times New Roman" w:hAnsi="Century Gothic"/>
                <w:b/>
                <w:bCs/>
                <w:color w:val="000000" w:themeColor="text1"/>
                <w:sz w:val="24"/>
              </w:rPr>
              <w:t>TOTAL</w:t>
            </w:r>
          </w:p>
        </w:tc>
        <w:tc>
          <w:tcPr>
            <w:tcW w:w="168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57FA1DCE" w14:textId="6E5CE664" w:rsidR="0E6C54AB" w:rsidRPr="00FC3B55" w:rsidRDefault="12EEC970" w:rsidP="433078B2">
            <w:pPr>
              <w:jc w:val="center"/>
              <w:rPr>
                <w:rFonts w:ascii="Century Gothic" w:eastAsia="Times New Roman" w:hAnsi="Century Gothic"/>
                <w:b/>
                <w:bCs/>
                <w:color w:val="000000" w:themeColor="text1"/>
                <w:sz w:val="24"/>
              </w:rPr>
            </w:pPr>
            <w:r w:rsidRPr="00FC3B55">
              <w:rPr>
                <w:rFonts w:ascii="Century Gothic" w:eastAsia="Times New Roman" w:hAnsi="Century Gothic"/>
                <w:b/>
                <w:bCs/>
                <w:color w:val="000000" w:themeColor="text1"/>
                <w:sz w:val="24"/>
              </w:rPr>
              <w:t>2</w:t>
            </w:r>
            <w:r w:rsidR="5EFA2AB9" w:rsidRPr="00FC3B55">
              <w:rPr>
                <w:rFonts w:ascii="Century Gothic" w:eastAsia="Times New Roman" w:hAnsi="Century Gothic"/>
                <w:b/>
                <w:bCs/>
                <w:color w:val="000000" w:themeColor="text1"/>
                <w:sz w:val="24"/>
              </w:rPr>
              <w:t>414</w:t>
            </w:r>
          </w:p>
        </w:tc>
        <w:tc>
          <w:tcPr>
            <w:tcW w:w="12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1A9C1EC9" w14:textId="4852D595" w:rsidR="0E6C54AB" w:rsidRPr="00FC3B55" w:rsidRDefault="12EEC970" w:rsidP="433078B2">
            <w:pPr>
              <w:jc w:val="center"/>
              <w:rPr>
                <w:rFonts w:ascii="Century Gothic" w:eastAsia="Times New Roman" w:hAnsi="Century Gothic"/>
                <w:b/>
                <w:bCs/>
                <w:color w:val="000000" w:themeColor="text1"/>
                <w:sz w:val="24"/>
              </w:rPr>
            </w:pPr>
            <w:r w:rsidRPr="00FC3B55">
              <w:rPr>
                <w:rFonts w:ascii="Century Gothic" w:eastAsia="Times New Roman" w:hAnsi="Century Gothic"/>
                <w:b/>
                <w:bCs/>
                <w:color w:val="000000" w:themeColor="text1"/>
                <w:sz w:val="24"/>
              </w:rPr>
              <w:t>2</w:t>
            </w:r>
            <w:r w:rsidR="11F135C2" w:rsidRPr="00FC3B55">
              <w:rPr>
                <w:rFonts w:ascii="Century Gothic" w:eastAsia="Times New Roman" w:hAnsi="Century Gothic"/>
                <w:b/>
                <w:bCs/>
                <w:color w:val="000000" w:themeColor="text1"/>
                <w:sz w:val="24"/>
              </w:rPr>
              <w:t>299</w:t>
            </w:r>
          </w:p>
        </w:tc>
        <w:tc>
          <w:tcPr>
            <w:tcW w:w="17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2B1D7525" w14:textId="6809E20B" w:rsidR="0E6C54AB" w:rsidRPr="00FC3B55" w:rsidRDefault="0E6C54AB" w:rsidP="00CF0B3C">
            <w:pPr>
              <w:jc w:val="center"/>
              <w:rPr>
                <w:rFonts w:ascii="Century Gothic" w:eastAsia="Times New Roman" w:hAnsi="Century Gothic"/>
                <w:color w:val="000000" w:themeColor="text1"/>
                <w:sz w:val="24"/>
              </w:rPr>
            </w:pPr>
            <w:r w:rsidRPr="00FC3B55">
              <w:rPr>
                <w:rFonts w:ascii="Century Gothic" w:eastAsia="Times New Roman" w:hAnsi="Century Gothic"/>
                <w:color w:val="000000" w:themeColor="text1"/>
                <w:sz w:val="24"/>
              </w:rPr>
              <w:t xml:space="preserve"> </w:t>
            </w:r>
          </w:p>
        </w:tc>
        <w:tc>
          <w:tcPr>
            <w:tcW w:w="79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56B29052" w14:textId="1ED21342" w:rsidR="0E6C54AB" w:rsidRPr="00F467EC" w:rsidRDefault="0E6C54AB" w:rsidP="00CF0B3C">
            <w:pPr>
              <w:jc w:val="center"/>
              <w:rPr>
                <w:rFonts w:ascii="Century Gothic" w:eastAsia="Times New Roman" w:hAnsi="Century Gothic"/>
                <w:color w:val="000000" w:themeColor="text1"/>
                <w:szCs w:val="22"/>
              </w:rPr>
            </w:pPr>
            <w:r w:rsidRPr="00F467EC">
              <w:rPr>
                <w:rFonts w:ascii="Century Gothic" w:eastAsia="Times New Roman" w:hAnsi="Century Gothic"/>
                <w:color w:val="000000" w:themeColor="text1"/>
                <w:szCs w:val="22"/>
              </w:rPr>
              <w:t xml:space="preserve"> </w:t>
            </w:r>
          </w:p>
        </w:tc>
        <w:tc>
          <w:tcPr>
            <w:tcW w:w="23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01866F0D" w14:textId="7BF2F59E" w:rsidR="0E6C54AB" w:rsidRPr="00F467EC" w:rsidRDefault="0E6C54AB" w:rsidP="00CF0B3C">
            <w:pPr>
              <w:jc w:val="center"/>
              <w:rPr>
                <w:rFonts w:ascii="Century Gothic" w:eastAsia="Times New Roman" w:hAnsi="Century Gothic"/>
                <w:color w:val="000000" w:themeColor="text1"/>
                <w:szCs w:val="22"/>
              </w:rPr>
            </w:pPr>
          </w:p>
        </w:tc>
      </w:tr>
    </w:tbl>
    <w:p w14:paraId="5CBCC100" w14:textId="37080DC4" w:rsidR="0E6C54AB" w:rsidRPr="00F467EC" w:rsidRDefault="0E6C54AB" w:rsidP="169FF47A">
      <w:pPr>
        <w:rPr>
          <w:rFonts w:ascii="Century Gothic" w:hAnsi="Century Gothic"/>
          <w:szCs w:val="22"/>
        </w:rPr>
      </w:pPr>
    </w:p>
    <w:p w14:paraId="1C03292C" w14:textId="7C3F187C" w:rsidR="4F058D2D" w:rsidRPr="00F542C7" w:rsidRDefault="4F058D2D" w:rsidP="001C5128">
      <w:pPr>
        <w:tabs>
          <w:tab w:val="left" w:pos="990"/>
        </w:tabs>
        <w:rPr>
          <w:rFonts w:ascii="Century Gothic" w:eastAsia="Calibri" w:hAnsi="Century Gothic" w:cs="Calibri"/>
          <w:sz w:val="18"/>
          <w:szCs w:val="18"/>
        </w:rPr>
      </w:pPr>
      <w:r w:rsidRPr="00F542C7">
        <w:rPr>
          <w:rFonts w:ascii="Century Gothic" w:eastAsia="Calibri" w:hAnsi="Century Gothic" w:cs="Calibri"/>
          <w:sz w:val="18"/>
          <w:szCs w:val="18"/>
        </w:rPr>
        <w:t>* Figures and text in the “Planned” column should match the corresponding Annual MTW Plan.</w:t>
      </w:r>
    </w:p>
    <w:p w14:paraId="74D6A48B" w14:textId="71B00340" w:rsidR="4F058D2D" w:rsidRPr="00F542C7" w:rsidRDefault="4F058D2D" w:rsidP="001C5128">
      <w:pPr>
        <w:tabs>
          <w:tab w:val="left" w:pos="3510"/>
        </w:tabs>
        <w:rPr>
          <w:rFonts w:ascii="Century Gothic" w:eastAsia="Calibri" w:hAnsi="Century Gothic" w:cs="Calibri"/>
          <w:sz w:val="18"/>
          <w:szCs w:val="18"/>
        </w:rPr>
      </w:pPr>
      <w:r w:rsidRPr="00F542C7">
        <w:rPr>
          <w:rFonts w:ascii="Century Gothic" w:eastAsia="Calibri" w:hAnsi="Century Gothic" w:cs="Calibri"/>
          <w:sz w:val="18"/>
          <w:szCs w:val="18"/>
        </w:rPr>
        <w:t>** Select “Status at the End of Plan Year” from: Committed, Leased/Issued</w:t>
      </w:r>
    </w:p>
    <w:p w14:paraId="5F60BBF6" w14:textId="1D768B77" w:rsidR="51431004" w:rsidRDefault="51431004" w:rsidP="0E6C54AB">
      <w:pPr>
        <w:rPr>
          <w:rFonts w:ascii="Century Gothic" w:eastAsia="Times New Roman" w:hAnsi="Century Gothic"/>
          <w:szCs w:val="22"/>
        </w:rPr>
      </w:pPr>
      <w:r w:rsidRPr="00550C18">
        <w:rPr>
          <w:rFonts w:ascii="Century Gothic" w:eastAsia="Times New Roman" w:hAnsi="Century Gothic"/>
          <w:szCs w:val="22"/>
        </w:rPr>
        <w:lastRenderedPageBreak/>
        <w:t xml:space="preserve">ECC/HANH’s project based vouchering allocation includes the following:  </w:t>
      </w:r>
    </w:p>
    <w:p w14:paraId="755CA0A5" w14:textId="77777777" w:rsidR="00FC3B55" w:rsidRPr="00550C18" w:rsidRDefault="00FC3B55" w:rsidP="0E6C54AB">
      <w:pPr>
        <w:rPr>
          <w:rFonts w:ascii="Century Gothic" w:eastAsia="Times New Roman" w:hAnsi="Century Gothic"/>
          <w:szCs w:val="22"/>
        </w:rPr>
      </w:pPr>
    </w:p>
    <w:p w14:paraId="707E2737" w14:textId="0FED6A13" w:rsidR="51431004" w:rsidRPr="00550C18" w:rsidRDefault="51431004" w:rsidP="0E6C54AB">
      <w:pPr>
        <w:rPr>
          <w:rFonts w:ascii="Century Gothic" w:eastAsia="Times New Roman" w:hAnsi="Century Gothic"/>
          <w:szCs w:val="22"/>
        </w:rPr>
      </w:pPr>
      <w:r w:rsidRPr="00550C18">
        <w:rPr>
          <w:rFonts w:ascii="Century Gothic" w:eastAsia="Times New Roman" w:hAnsi="Century Gothic"/>
          <w:szCs w:val="22"/>
        </w:rPr>
        <w:t xml:space="preserve">At the start of </w:t>
      </w:r>
      <w:r w:rsidR="00E05E21" w:rsidRPr="00550C18">
        <w:rPr>
          <w:rFonts w:ascii="Century Gothic" w:eastAsia="Times New Roman" w:hAnsi="Century Gothic"/>
          <w:szCs w:val="22"/>
        </w:rPr>
        <w:t>FY2024</w:t>
      </w:r>
      <w:r w:rsidRPr="00550C18">
        <w:rPr>
          <w:rFonts w:ascii="Century Gothic" w:eastAsia="Times New Roman" w:hAnsi="Century Gothic"/>
          <w:szCs w:val="22"/>
        </w:rPr>
        <w:t xml:space="preserve">, ECC/HANH allocated </w:t>
      </w:r>
      <w:r w:rsidR="7B57885E" w:rsidRPr="00550C18">
        <w:rPr>
          <w:rFonts w:ascii="Century Gothic" w:eastAsia="Times New Roman" w:hAnsi="Century Gothic"/>
          <w:szCs w:val="22"/>
        </w:rPr>
        <w:t>725</w:t>
      </w:r>
      <w:r w:rsidR="73955EE1" w:rsidRPr="00550C18">
        <w:rPr>
          <w:rFonts w:ascii="Century Gothic" w:eastAsia="Times New Roman" w:hAnsi="Century Gothic"/>
          <w:szCs w:val="22"/>
        </w:rPr>
        <w:t xml:space="preserve"> </w:t>
      </w:r>
      <w:r w:rsidRPr="00550C18">
        <w:rPr>
          <w:rFonts w:ascii="Century Gothic" w:eastAsia="Times New Roman" w:hAnsi="Century Gothic"/>
          <w:szCs w:val="22"/>
        </w:rPr>
        <w:t>non-RAD PBVs, 1</w:t>
      </w:r>
      <w:r w:rsidR="255F654D" w:rsidRPr="00550C18">
        <w:rPr>
          <w:rFonts w:ascii="Century Gothic" w:eastAsia="Times New Roman" w:hAnsi="Century Gothic"/>
          <w:szCs w:val="22"/>
        </w:rPr>
        <w:t>689</w:t>
      </w:r>
      <w:r w:rsidRPr="00550C18">
        <w:rPr>
          <w:rFonts w:ascii="Century Gothic" w:eastAsia="Times New Roman" w:hAnsi="Century Gothic"/>
          <w:szCs w:val="22"/>
        </w:rPr>
        <w:t xml:space="preserve"> RAD/PBVs for a total of </w:t>
      </w:r>
      <w:r w:rsidRPr="00FC3B55">
        <w:rPr>
          <w:rFonts w:ascii="Century Gothic" w:eastAsia="Times New Roman" w:hAnsi="Century Gothic"/>
          <w:b/>
          <w:bCs/>
          <w:szCs w:val="22"/>
        </w:rPr>
        <w:t>2,</w:t>
      </w:r>
      <w:r w:rsidR="46354A2C" w:rsidRPr="00FC3B55">
        <w:rPr>
          <w:rFonts w:ascii="Century Gothic" w:eastAsia="Times New Roman" w:hAnsi="Century Gothic"/>
          <w:b/>
          <w:bCs/>
          <w:szCs w:val="22"/>
        </w:rPr>
        <w:t>414</w:t>
      </w:r>
      <w:r w:rsidRPr="00550C18">
        <w:rPr>
          <w:rFonts w:ascii="Century Gothic" w:eastAsia="Times New Roman" w:hAnsi="Century Gothic"/>
          <w:szCs w:val="22"/>
        </w:rPr>
        <w:t xml:space="preserve"> project-based vouchers.  </w:t>
      </w:r>
    </w:p>
    <w:p w14:paraId="28D09270" w14:textId="5AEDA321" w:rsidR="0E6C54AB" w:rsidRPr="00550C18" w:rsidRDefault="0E6C54AB" w:rsidP="169FF47A">
      <w:pPr>
        <w:rPr>
          <w:rFonts w:ascii="Century Gothic" w:eastAsia="Times New Roman" w:hAnsi="Century Gothic"/>
          <w:szCs w:val="22"/>
          <w:highlight w:val="yellow"/>
        </w:rPr>
      </w:pPr>
    </w:p>
    <w:p w14:paraId="139621B6" w14:textId="7D8BBD98" w:rsidR="51431004" w:rsidRDefault="51431004" w:rsidP="169FF47A">
      <w:pPr>
        <w:rPr>
          <w:rFonts w:ascii="Century Gothic" w:eastAsia="Times New Roman" w:hAnsi="Century Gothic"/>
          <w:szCs w:val="22"/>
        </w:rPr>
      </w:pPr>
      <w:r w:rsidRPr="00550C18">
        <w:rPr>
          <w:rFonts w:ascii="Century Gothic" w:eastAsia="Times New Roman" w:hAnsi="Century Gothic"/>
          <w:szCs w:val="22"/>
        </w:rPr>
        <w:t>At the end of FY2</w:t>
      </w:r>
      <w:r w:rsidR="565F8BE5" w:rsidRPr="00550C18">
        <w:rPr>
          <w:rFonts w:ascii="Century Gothic" w:eastAsia="Times New Roman" w:hAnsi="Century Gothic"/>
          <w:szCs w:val="22"/>
        </w:rPr>
        <w:t>4</w:t>
      </w:r>
      <w:r w:rsidRPr="00550C18">
        <w:rPr>
          <w:rFonts w:ascii="Century Gothic" w:eastAsia="Times New Roman" w:hAnsi="Century Gothic"/>
          <w:szCs w:val="22"/>
        </w:rPr>
        <w:t>, ECC/HANH administered 6</w:t>
      </w:r>
      <w:r w:rsidR="111760BF" w:rsidRPr="00550C18">
        <w:rPr>
          <w:rFonts w:ascii="Century Gothic" w:eastAsia="Times New Roman" w:hAnsi="Century Gothic"/>
          <w:szCs w:val="22"/>
        </w:rPr>
        <w:t>10</w:t>
      </w:r>
      <w:r w:rsidRPr="00550C18">
        <w:rPr>
          <w:rFonts w:ascii="Century Gothic" w:eastAsia="Times New Roman" w:hAnsi="Century Gothic"/>
          <w:szCs w:val="22"/>
        </w:rPr>
        <w:t xml:space="preserve"> non-RAD PBVs and 1</w:t>
      </w:r>
      <w:r w:rsidR="376B4512" w:rsidRPr="00550C18">
        <w:rPr>
          <w:rFonts w:ascii="Century Gothic" w:eastAsia="Times New Roman" w:hAnsi="Century Gothic"/>
          <w:szCs w:val="22"/>
        </w:rPr>
        <w:t>689</w:t>
      </w:r>
      <w:r w:rsidR="4BDCD613" w:rsidRPr="00550C18">
        <w:rPr>
          <w:rFonts w:ascii="Century Gothic" w:eastAsia="Times New Roman" w:hAnsi="Century Gothic"/>
          <w:szCs w:val="22"/>
        </w:rPr>
        <w:t xml:space="preserve"> </w:t>
      </w:r>
      <w:r w:rsidRPr="00550C18">
        <w:rPr>
          <w:rFonts w:ascii="Century Gothic" w:eastAsia="Times New Roman" w:hAnsi="Century Gothic"/>
          <w:szCs w:val="22"/>
        </w:rPr>
        <w:t xml:space="preserve">RAD/PBVs for a total of </w:t>
      </w:r>
      <w:r w:rsidRPr="00FC3B55">
        <w:rPr>
          <w:rFonts w:ascii="Century Gothic" w:eastAsia="Times New Roman" w:hAnsi="Century Gothic"/>
          <w:b/>
          <w:bCs/>
          <w:szCs w:val="22"/>
        </w:rPr>
        <w:t>2</w:t>
      </w:r>
      <w:r w:rsidR="00FC3B55" w:rsidRPr="00FC3B55">
        <w:rPr>
          <w:rFonts w:ascii="Century Gothic" w:eastAsia="Times New Roman" w:hAnsi="Century Gothic"/>
          <w:b/>
          <w:bCs/>
          <w:szCs w:val="22"/>
        </w:rPr>
        <w:t>,</w:t>
      </w:r>
      <w:r w:rsidR="5E1176CE" w:rsidRPr="00FC3B55">
        <w:rPr>
          <w:rFonts w:ascii="Century Gothic" w:eastAsia="Times New Roman" w:hAnsi="Century Gothic"/>
          <w:b/>
          <w:bCs/>
          <w:szCs w:val="22"/>
        </w:rPr>
        <w:t>299</w:t>
      </w:r>
      <w:r w:rsidRPr="00550C18">
        <w:rPr>
          <w:rFonts w:ascii="Century Gothic" w:eastAsia="Times New Roman" w:hAnsi="Century Gothic"/>
          <w:szCs w:val="22"/>
        </w:rPr>
        <w:t xml:space="preserve"> project-based vouchers.</w:t>
      </w:r>
    </w:p>
    <w:p w14:paraId="3DC4FE34" w14:textId="77777777" w:rsidR="00FC3B55" w:rsidRPr="00550C18" w:rsidRDefault="00FC3B55" w:rsidP="169FF47A">
      <w:pPr>
        <w:rPr>
          <w:rFonts w:ascii="Century Gothic" w:eastAsia="Times New Roman" w:hAnsi="Century Gothic"/>
          <w:szCs w:val="22"/>
          <w:highlight w:val="yellow"/>
        </w:rPr>
      </w:pPr>
    </w:p>
    <w:p w14:paraId="772CB0B4" w14:textId="7A0F40C9" w:rsidR="008B6710" w:rsidRPr="00AB230A" w:rsidRDefault="66168556" w:rsidP="001C5128">
      <w:pPr>
        <w:rPr>
          <w:rFonts w:ascii="Century Gothic" w:hAnsi="Century Gothic"/>
          <w:b/>
          <w:bCs/>
        </w:rPr>
      </w:pPr>
      <w:r w:rsidRPr="00AB230A">
        <w:rPr>
          <w:rFonts w:ascii="Century Gothic" w:hAnsi="Century Gothic"/>
          <w:b/>
          <w:bCs/>
        </w:rPr>
        <w:t>Please describe differences between the planned and Actual Existing Number of Vouchers Project-Based:</w:t>
      </w:r>
    </w:p>
    <w:p w14:paraId="2530F8B6" w14:textId="467AAFB9" w:rsidR="00CF0B3C" w:rsidRDefault="00CF0B3C" w:rsidP="4566E4F4">
      <w:pPr>
        <w:pStyle w:val="ListParagraph"/>
        <w:tabs>
          <w:tab w:val="left" w:pos="3510"/>
        </w:tabs>
        <w:rPr>
          <w:rFonts w:ascii="Times New Roman" w:hAnsi="Times New Roman"/>
          <w:b/>
          <w:bCs/>
        </w:rPr>
      </w:pPr>
      <w:r>
        <w:rPr>
          <w:noProof/>
        </w:rPr>
        <mc:AlternateContent>
          <mc:Choice Requires="wps">
            <w:drawing>
              <wp:anchor distT="0" distB="0" distL="114300" distR="114300" simplePos="0" relativeHeight="251658254" behindDoc="0" locked="0" layoutInCell="1" allowOverlap="1" wp14:anchorId="3DC569D9" wp14:editId="1F35CDBE">
                <wp:simplePos x="0" y="0"/>
                <wp:positionH relativeFrom="column">
                  <wp:posOffset>335280</wp:posOffset>
                </wp:positionH>
                <wp:positionV relativeFrom="paragraph">
                  <wp:posOffset>53340</wp:posOffset>
                </wp:positionV>
                <wp:extent cx="5767705" cy="2438400"/>
                <wp:effectExtent l="19050" t="19050" r="23495" b="19050"/>
                <wp:wrapNone/>
                <wp:docPr id="4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438400"/>
                        </a:xfrm>
                        <a:prstGeom prst="rect">
                          <a:avLst/>
                        </a:prstGeom>
                        <a:solidFill>
                          <a:srgbClr val="FFFFFF"/>
                        </a:solidFill>
                        <a:ln w="28575">
                          <a:solidFill>
                            <a:srgbClr val="000000"/>
                          </a:solidFill>
                          <a:miter lim="800000"/>
                          <a:headEnd/>
                          <a:tailEnd/>
                        </a:ln>
                      </wps:spPr>
                      <wps:txbx>
                        <w:txbxContent>
                          <w:p w14:paraId="322F776B" w14:textId="7A7A006F" w:rsidR="005C08C1" w:rsidRPr="00FC3B55" w:rsidRDefault="00956361" w:rsidP="00486062">
                            <w:pPr>
                              <w:pStyle w:val="ListParagraph"/>
                              <w:numPr>
                                <w:ilvl w:val="0"/>
                                <w:numId w:val="133"/>
                              </w:numPr>
                              <w:tabs>
                                <w:tab w:val="left" w:pos="3510"/>
                              </w:tabs>
                              <w:rPr>
                                <w:rFonts w:ascii="Century Gothic" w:hAnsi="Century Gothic"/>
                              </w:rPr>
                            </w:pPr>
                            <w:r w:rsidRPr="00FC3B55">
                              <w:rPr>
                                <w:rFonts w:ascii="Century Gothic" w:hAnsi="Century Gothic"/>
                              </w:rPr>
                              <w:t>S</w:t>
                            </w:r>
                            <w:r w:rsidR="005C08C1" w:rsidRPr="00FC3B55">
                              <w:rPr>
                                <w:rFonts w:ascii="Century Gothic" w:hAnsi="Century Gothic"/>
                              </w:rPr>
                              <w:t>upply chain delays for construction materials had a significant impact for all real estate developers. This contributed to delays in construction at NHP Foundation, Hill Central Phase 1 New Haven Coliseum and Dixwell Housing.</w:t>
                            </w:r>
                            <w:r w:rsidRPr="00FC3B55">
                              <w:rPr>
                                <w:rFonts w:ascii="Century Gothic" w:hAnsi="Century Gothic"/>
                              </w:rPr>
                              <w:t xml:space="preserve"> Construction is anticipated to finish in </w:t>
                            </w:r>
                            <w:r w:rsidR="00E05E21" w:rsidRPr="00FC3B55">
                              <w:rPr>
                                <w:rFonts w:ascii="Century Gothic" w:hAnsi="Century Gothic"/>
                              </w:rPr>
                              <w:t>FY2025,</w:t>
                            </w:r>
                            <w:r w:rsidRPr="00FC3B55">
                              <w:rPr>
                                <w:rFonts w:ascii="Century Gothic" w:hAnsi="Century Gothic"/>
                              </w:rPr>
                              <w:t xml:space="preserve"> and </w:t>
                            </w:r>
                            <w:r w:rsidR="002D0732" w:rsidRPr="00FC3B55">
                              <w:rPr>
                                <w:rFonts w:ascii="Century Gothic" w:hAnsi="Century Gothic"/>
                              </w:rPr>
                              <w:t xml:space="preserve">the </w:t>
                            </w:r>
                            <w:r w:rsidRPr="00FC3B55">
                              <w:rPr>
                                <w:rFonts w:ascii="Century Gothic" w:hAnsi="Century Gothic"/>
                              </w:rPr>
                              <w:t>lease up</w:t>
                            </w:r>
                            <w:r w:rsidR="002D0732" w:rsidRPr="00FC3B55">
                              <w:rPr>
                                <w:rFonts w:ascii="Century Gothic" w:hAnsi="Century Gothic"/>
                              </w:rPr>
                              <w:t>s</w:t>
                            </w:r>
                            <w:r w:rsidRPr="00FC3B55">
                              <w:rPr>
                                <w:rFonts w:ascii="Century Gothic" w:hAnsi="Century Gothic"/>
                              </w:rPr>
                              <w:t xml:space="preserve"> will begin.</w:t>
                            </w:r>
                          </w:p>
                          <w:p w14:paraId="6204FFD0" w14:textId="77777777" w:rsidR="005C08C1" w:rsidRPr="00AB230A" w:rsidRDefault="005C08C1" w:rsidP="005C08C1">
                            <w:pPr>
                              <w:pStyle w:val="ListParagraph"/>
                              <w:tabs>
                                <w:tab w:val="left" w:pos="3510"/>
                              </w:tabs>
                              <w:rPr>
                                <w:rFonts w:ascii="Century Gothic" w:hAnsi="Century Gothic"/>
                              </w:rPr>
                            </w:pPr>
                          </w:p>
                          <w:p w14:paraId="74D6B463" w14:textId="77777777" w:rsidR="005C08C1" w:rsidRPr="00FC3B55" w:rsidRDefault="005C08C1" w:rsidP="00486062">
                            <w:pPr>
                              <w:pStyle w:val="ListParagraph"/>
                              <w:numPr>
                                <w:ilvl w:val="0"/>
                                <w:numId w:val="133"/>
                              </w:numPr>
                              <w:tabs>
                                <w:tab w:val="left" w:pos="3510"/>
                              </w:tabs>
                              <w:rPr>
                                <w:rFonts w:ascii="Century Gothic" w:hAnsi="Century Gothic"/>
                              </w:rPr>
                            </w:pPr>
                            <w:r w:rsidRPr="00FC3B55">
                              <w:rPr>
                                <w:rFonts w:ascii="Century Gothic" w:hAnsi="Century Gothic"/>
                              </w:rPr>
                              <w:t xml:space="preserve">The HAP contract with CUHO was reduced from 24 to 8 PBV units due to the owner deciding to lease 16 units as market rate units.  </w:t>
                            </w:r>
                          </w:p>
                          <w:p w14:paraId="6BD33465" w14:textId="77777777" w:rsidR="005C08C1" w:rsidRPr="00AB230A" w:rsidRDefault="005C08C1" w:rsidP="005C08C1">
                            <w:pPr>
                              <w:pStyle w:val="ListParagraph"/>
                              <w:tabs>
                                <w:tab w:val="left" w:pos="3510"/>
                              </w:tabs>
                              <w:rPr>
                                <w:rFonts w:ascii="Century Gothic" w:hAnsi="Century Gothic"/>
                              </w:rPr>
                            </w:pPr>
                          </w:p>
                          <w:p w14:paraId="208DFF67" w14:textId="2AA3930E" w:rsidR="005C08C1" w:rsidRPr="00FC3B55" w:rsidRDefault="005C08C1" w:rsidP="00486062">
                            <w:pPr>
                              <w:pStyle w:val="ListParagraph"/>
                              <w:numPr>
                                <w:ilvl w:val="0"/>
                                <w:numId w:val="133"/>
                              </w:numPr>
                              <w:tabs>
                                <w:tab w:val="left" w:pos="3510"/>
                              </w:tabs>
                              <w:rPr>
                                <w:rFonts w:ascii="Century Gothic" w:hAnsi="Century Gothic"/>
                              </w:rPr>
                            </w:pPr>
                            <w:r w:rsidRPr="00FC3B55">
                              <w:rPr>
                                <w:rFonts w:ascii="Century Gothic" w:hAnsi="Century Gothic"/>
                              </w:rPr>
                              <w:t>The closings for Valley Townhouses,</w:t>
                            </w:r>
                            <w:r w:rsidR="00956361" w:rsidRPr="00FC3B55">
                              <w:rPr>
                                <w:rFonts w:ascii="Century Gothic" w:hAnsi="Century Gothic"/>
                              </w:rPr>
                              <w:t xml:space="preserve"> </w:t>
                            </w:r>
                            <w:r w:rsidRPr="00FC3B55">
                              <w:rPr>
                                <w:rFonts w:ascii="Century Gothic" w:hAnsi="Century Gothic"/>
                              </w:rPr>
                              <w:t xml:space="preserve">McConaughy 4% and McConaughy Terrace 9% </w:t>
                            </w:r>
                            <w:r w:rsidR="00FC3B55">
                              <w:rPr>
                                <w:rFonts w:ascii="Century Gothic" w:hAnsi="Century Gothic"/>
                              </w:rPr>
                              <w:t xml:space="preserve">(196 units) </w:t>
                            </w:r>
                            <w:r w:rsidRPr="00FC3B55">
                              <w:rPr>
                                <w:rFonts w:ascii="Century Gothic" w:hAnsi="Century Gothic"/>
                              </w:rPr>
                              <w:t>occurred in FY2024 and lease up of the units began in the 1</w:t>
                            </w:r>
                            <w:r w:rsidRPr="00FC3B55">
                              <w:rPr>
                                <w:rFonts w:ascii="Century Gothic" w:hAnsi="Century Gothic"/>
                                <w:vertAlign w:val="superscript"/>
                              </w:rPr>
                              <w:t>st</w:t>
                            </w:r>
                            <w:r w:rsidRPr="00FC3B55">
                              <w:rPr>
                                <w:rFonts w:ascii="Century Gothic" w:hAnsi="Century Gothic"/>
                              </w:rPr>
                              <w:t xml:space="preserve"> quarter.</w:t>
                            </w:r>
                          </w:p>
                          <w:p w14:paraId="25F1BB92" w14:textId="065DA866" w:rsidR="009F26DD" w:rsidRPr="00E95D45" w:rsidRDefault="009F26DD" w:rsidP="00CF0B3C">
                            <w:pPr>
                              <w:rPr>
                                <w:rFonts w:ascii="Times New Roman" w:hAnsi="Times New Roman"/>
                                <w:szCs w:val="22"/>
                                <w:lang w:eastAsia="en-US"/>
                              </w:rPr>
                            </w:pP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C569D9" id="Text Box 61" o:spid="_x0000_s1033" type="#_x0000_t202" style="position:absolute;left:0;text-align:left;margin-left:26.4pt;margin-top:4.2pt;width:454.15pt;height:19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" strokeweight="2.25pt">
                <v:textbox inset=",0,,0">
                  <w:txbxContent>
                    <w:p w14:paraId="322F776B" w14:textId="7A7A006F" w:rsidR="005C08C1" w:rsidRPr="00FC3B55" w:rsidRDefault="00956361" w:rsidP="00486062">
                      <w:pPr>
                        <w:pStyle w:val="ListParagraph"/>
                        <w:numPr>
                          <w:ilvl w:val="0"/>
                          <w:numId w:val="133"/>
                        </w:numPr>
                        <w:tabs>
                          <w:tab w:val="left" w:pos="3510"/>
                        </w:tabs>
                        <w:rPr>
                          <w:rFonts w:ascii="Century Gothic" w:hAnsi="Century Gothic"/>
                        </w:rPr>
                      </w:pPr>
                      <w:r w:rsidRPr="00FC3B55">
                        <w:rPr>
                          <w:rFonts w:ascii="Century Gothic" w:hAnsi="Century Gothic"/>
                        </w:rPr>
                        <w:t>S</w:t>
                      </w:r>
                      <w:r w:rsidR="005C08C1" w:rsidRPr="00FC3B55">
                        <w:rPr>
                          <w:rFonts w:ascii="Century Gothic" w:hAnsi="Century Gothic"/>
                        </w:rPr>
                        <w:t>upply chain delays for construction materials had a significant impact for all real estate developers. This contributed to delays in construction at NHP Foundation, Hill Central Phase 1 New Haven Coliseum and Dixwell Housing.</w:t>
                      </w:r>
                      <w:r w:rsidRPr="00FC3B55">
                        <w:rPr>
                          <w:rFonts w:ascii="Century Gothic" w:hAnsi="Century Gothic"/>
                        </w:rPr>
                        <w:t xml:space="preserve"> Construction is anticipated to finish in </w:t>
                      </w:r>
                      <w:r w:rsidR="00E05E21" w:rsidRPr="00FC3B55">
                        <w:rPr>
                          <w:rFonts w:ascii="Century Gothic" w:hAnsi="Century Gothic"/>
                        </w:rPr>
                        <w:t>FY2025,</w:t>
                      </w:r>
                      <w:r w:rsidRPr="00FC3B55">
                        <w:rPr>
                          <w:rFonts w:ascii="Century Gothic" w:hAnsi="Century Gothic"/>
                        </w:rPr>
                        <w:t xml:space="preserve"> and </w:t>
                      </w:r>
                      <w:r w:rsidR="002D0732" w:rsidRPr="00FC3B55">
                        <w:rPr>
                          <w:rFonts w:ascii="Century Gothic" w:hAnsi="Century Gothic"/>
                        </w:rPr>
                        <w:t xml:space="preserve">the </w:t>
                      </w:r>
                      <w:r w:rsidRPr="00FC3B55">
                        <w:rPr>
                          <w:rFonts w:ascii="Century Gothic" w:hAnsi="Century Gothic"/>
                        </w:rPr>
                        <w:t>lease up</w:t>
                      </w:r>
                      <w:r w:rsidR="002D0732" w:rsidRPr="00FC3B55">
                        <w:rPr>
                          <w:rFonts w:ascii="Century Gothic" w:hAnsi="Century Gothic"/>
                        </w:rPr>
                        <w:t>s</w:t>
                      </w:r>
                      <w:r w:rsidRPr="00FC3B55">
                        <w:rPr>
                          <w:rFonts w:ascii="Century Gothic" w:hAnsi="Century Gothic"/>
                        </w:rPr>
                        <w:t xml:space="preserve"> will begin.</w:t>
                      </w:r>
                    </w:p>
                    <w:p w14:paraId="6204FFD0" w14:textId="77777777" w:rsidR="005C08C1" w:rsidRPr="00AB230A" w:rsidRDefault="005C08C1" w:rsidP="005C08C1">
                      <w:pPr>
                        <w:pStyle w:val="ListParagraph"/>
                        <w:tabs>
                          <w:tab w:val="left" w:pos="3510"/>
                        </w:tabs>
                        <w:rPr>
                          <w:rFonts w:ascii="Century Gothic" w:hAnsi="Century Gothic"/>
                        </w:rPr>
                      </w:pPr>
                    </w:p>
                    <w:p w14:paraId="74D6B463" w14:textId="77777777" w:rsidR="005C08C1" w:rsidRPr="00FC3B55" w:rsidRDefault="005C08C1" w:rsidP="00486062">
                      <w:pPr>
                        <w:pStyle w:val="ListParagraph"/>
                        <w:numPr>
                          <w:ilvl w:val="0"/>
                          <w:numId w:val="133"/>
                        </w:numPr>
                        <w:tabs>
                          <w:tab w:val="left" w:pos="3510"/>
                        </w:tabs>
                        <w:rPr>
                          <w:rFonts w:ascii="Century Gothic" w:hAnsi="Century Gothic"/>
                        </w:rPr>
                      </w:pPr>
                      <w:r w:rsidRPr="00FC3B55">
                        <w:rPr>
                          <w:rFonts w:ascii="Century Gothic" w:hAnsi="Century Gothic"/>
                        </w:rPr>
                        <w:t xml:space="preserve">The HAP contract with CUHO was reduced from 24 to 8 PBV units due to the owner deciding to lease 16 units as market rate units.  </w:t>
                      </w:r>
                    </w:p>
                    <w:p w14:paraId="6BD33465" w14:textId="77777777" w:rsidR="005C08C1" w:rsidRPr="00AB230A" w:rsidRDefault="005C08C1" w:rsidP="005C08C1">
                      <w:pPr>
                        <w:pStyle w:val="ListParagraph"/>
                        <w:tabs>
                          <w:tab w:val="left" w:pos="3510"/>
                        </w:tabs>
                        <w:rPr>
                          <w:rFonts w:ascii="Century Gothic" w:hAnsi="Century Gothic"/>
                        </w:rPr>
                      </w:pPr>
                    </w:p>
                    <w:p w14:paraId="208DFF67" w14:textId="2AA3930E" w:rsidR="005C08C1" w:rsidRPr="00FC3B55" w:rsidRDefault="005C08C1" w:rsidP="00486062">
                      <w:pPr>
                        <w:pStyle w:val="ListParagraph"/>
                        <w:numPr>
                          <w:ilvl w:val="0"/>
                          <w:numId w:val="133"/>
                        </w:numPr>
                        <w:tabs>
                          <w:tab w:val="left" w:pos="3510"/>
                        </w:tabs>
                        <w:rPr>
                          <w:rFonts w:ascii="Century Gothic" w:hAnsi="Century Gothic"/>
                        </w:rPr>
                      </w:pPr>
                      <w:r w:rsidRPr="00FC3B55">
                        <w:rPr>
                          <w:rFonts w:ascii="Century Gothic" w:hAnsi="Century Gothic"/>
                        </w:rPr>
                        <w:t>The closings for Valley Townhouses,</w:t>
                      </w:r>
                      <w:r w:rsidR="00956361" w:rsidRPr="00FC3B55">
                        <w:rPr>
                          <w:rFonts w:ascii="Century Gothic" w:hAnsi="Century Gothic"/>
                        </w:rPr>
                        <w:t xml:space="preserve"> </w:t>
                      </w:r>
                      <w:r w:rsidRPr="00FC3B55">
                        <w:rPr>
                          <w:rFonts w:ascii="Century Gothic" w:hAnsi="Century Gothic"/>
                        </w:rPr>
                        <w:t xml:space="preserve">McConaughy 4% and McConaughy Terrace 9% </w:t>
                      </w:r>
                      <w:r w:rsidR="00FC3B55">
                        <w:rPr>
                          <w:rFonts w:ascii="Century Gothic" w:hAnsi="Century Gothic"/>
                        </w:rPr>
                        <w:t xml:space="preserve">(196 units) </w:t>
                      </w:r>
                      <w:r w:rsidRPr="00FC3B55">
                        <w:rPr>
                          <w:rFonts w:ascii="Century Gothic" w:hAnsi="Century Gothic"/>
                        </w:rPr>
                        <w:t>occurred in FY2024 and lease up of the units began in the 1</w:t>
                      </w:r>
                      <w:r w:rsidRPr="00FC3B55">
                        <w:rPr>
                          <w:rFonts w:ascii="Century Gothic" w:hAnsi="Century Gothic"/>
                          <w:vertAlign w:val="superscript"/>
                        </w:rPr>
                        <w:t>st</w:t>
                      </w:r>
                      <w:r w:rsidRPr="00FC3B55">
                        <w:rPr>
                          <w:rFonts w:ascii="Century Gothic" w:hAnsi="Century Gothic"/>
                        </w:rPr>
                        <w:t xml:space="preserve"> quarter.</w:t>
                      </w:r>
                    </w:p>
                    <w:p w14:paraId="25F1BB92" w14:textId="065DA866" w:rsidR="009F26DD" w:rsidRPr="00E95D45" w:rsidRDefault="009F26DD" w:rsidP="00CF0B3C">
                      <w:pPr>
                        <w:rPr>
                          <w:rFonts w:ascii="Times New Roman" w:hAnsi="Times New Roman"/>
                          <w:szCs w:val="22"/>
                          <w:lang w:eastAsia="en-US"/>
                        </w:rPr>
                      </w:pPr>
                    </w:p>
                  </w:txbxContent>
                </v:textbox>
              </v:shape>
            </w:pict>
          </mc:Fallback>
        </mc:AlternateContent>
      </w:r>
    </w:p>
    <w:p w14:paraId="651A2389" w14:textId="4375F232" w:rsidR="00CF0B3C" w:rsidRDefault="00CF0B3C" w:rsidP="4566E4F4">
      <w:pPr>
        <w:pStyle w:val="ListParagraph"/>
        <w:tabs>
          <w:tab w:val="left" w:pos="3510"/>
        </w:tabs>
        <w:rPr>
          <w:rFonts w:ascii="Times New Roman" w:hAnsi="Times New Roman"/>
          <w:b/>
          <w:bCs/>
        </w:rPr>
      </w:pPr>
    </w:p>
    <w:p w14:paraId="7AB01726" w14:textId="2733EFB9" w:rsidR="19A6F694" w:rsidRDefault="19A6F694" w:rsidP="0E6C54AB">
      <w:pPr>
        <w:rPr>
          <w:rFonts w:ascii="Times New Roman" w:eastAsia="Times New Roman" w:hAnsi="Times New Roman"/>
          <w:sz w:val="24"/>
        </w:rPr>
      </w:pPr>
    </w:p>
    <w:tbl>
      <w:tblPr>
        <w:tblW w:w="0" w:type="auto"/>
        <w:tblLayout w:type="fixed"/>
        <w:tblLook w:val="06A0" w:firstRow="1" w:lastRow="0" w:firstColumn="1" w:lastColumn="0" w:noHBand="1" w:noVBand="1"/>
      </w:tblPr>
      <w:tblGrid>
        <w:gridCol w:w="9930"/>
      </w:tblGrid>
      <w:tr w:rsidR="46B3BF7C" w14:paraId="7208661F" w14:textId="77777777" w:rsidTr="46B3BF7C">
        <w:trPr>
          <w:trHeight w:val="300"/>
        </w:trPr>
        <w:tc>
          <w:tcPr>
            <w:tcW w:w="9930" w:type="dxa"/>
            <w:vAlign w:val="center"/>
          </w:tcPr>
          <w:p w14:paraId="2178B672" w14:textId="5E4511A6" w:rsidR="46B3BF7C" w:rsidRDefault="46B3BF7C" w:rsidP="46B3BF7C">
            <w:pPr>
              <w:rPr>
                <w:rFonts w:ascii="Times New Roman" w:eastAsia="Times New Roman" w:hAnsi="Times New Roman"/>
                <w:szCs w:val="22"/>
              </w:rPr>
            </w:pPr>
          </w:p>
        </w:tc>
      </w:tr>
    </w:tbl>
    <w:p w14:paraId="6E401473" w14:textId="25250A53" w:rsidR="19A6F694" w:rsidRDefault="19A6F694" w:rsidP="0E6C54AB">
      <w:pPr>
        <w:tabs>
          <w:tab w:val="left" w:pos="3510"/>
        </w:tabs>
        <w:rPr>
          <w:rFonts w:ascii="Times New Roman" w:hAnsi="Times New Roman"/>
          <w:b/>
          <w:bCs/>
        </w:rPr>
      </w:pPr>
    </w:p>
    <w:p w14:paraId="728B8AFA" w14:textId="391FE144" w:rsidR="19A6F694" w:rsidRDefault="49D7F37D" w:rsidP="19A6F694">
      <w:pPr>
        <w:tabs>
          <w:tab w:val="left" w:pos="3510"/>
        </w:tabs>
        <w:rPr>
          <w:rFonts w:ascii="Times New Roman" w:hAnsi="Times New Roman"/>
          <w:b/>
          <w:bCs/>
        </w:rPr>
      </w:pPr>
      <w:r w:rsidRPr="0E6C54AB">
        <w:rPr>
          <w:rFonts w:ascii="Times New Roman" w:hAnsi="Times New Roman"/>
          <w:b/>
          <w:bCs/>
        </w:rPr>
        <w:t xml:space="preserve"> </w:t>
      </w:r>
    </w:p>
    <w:p w14:paraId="2F4D3ABE" w14:textId="14EB6F61" w:rsidR="19A6F694" w:rsidRDefault="19A6F694" w:rsidP="19A6F694">
      <w:pPr>
        <w:tabs>
          <w:tab w:val="left" w:pos="3510"/>
        </w:tabs>
        <w:rPr>
          <w:rFonts w:ascii="Times New Roman" w:hAnsi="Times New Roman"/>
          <w:b/>
          <w:bCs/>
        </w:rPr>
      </w:pPr>
    </w:p>
    <w:p w14:paraId="0883D01F" w14:textId="012386BB" w:rsidR="008B6710" w:rsidRPr="0020355D" w:rsidRDefault="008B6710" w:rsidP="008B6710">
      <w:pPr>
        <w:pStyle w:val="ListParagraph"/>
        <w:tabs>
          <w:tab w:val="left" w:pos="3510"/>
        </w:tabs>
        <w:ind w:left="360"/>
        <w:rPr>
          <w:rFonts w:ascii="Times New Roman" w:hAnsi="Times New Roman"/>
          <w:szCs w:val="22"/>
        </w:rPr>
      </w:pPr>
    </w:p>
    <w:p w14:paraId="43D3E9F0" w14:textId="77777777" w:rsidR="008B6710" w:rsidRPr="0020355D" w:rsidRDefault="008B6710" w:rsidP="008B6710">
      <w:pPr>
        <w:pStyle w:val="ListParagraph"/>
        <w:ind w:left="1170"/>
        <w:rPr>
          <w:rFonts w:ascii="Times New Roman" w:hAnsi="Times New Roman"/>
          <w:b/>
          <w:szCs w:val="22"/>
        </w:rPr>
      </w:pPr>
      <w:r w:rsidRPr="0020355D">
        <w:rPr>
          <w:rFonts w:ascii="Times New Roman" w:hAnsi="Times New Roman"/>
          <w:b/>
          <w:szCs w:val="22"/>
        </w:rPr>
        <w:tab/>
      </w:r>
    </w:p>
    <w:p w14:paraId="2E62A757" w14:textId="77777777" w:rsidR="00800B38" w:rsidRPr="0020355D" w:rsidRDefault="00800B38" w:rsidP="008B6710">
      <w:pPr>
        <w:rPr>
          <w:rFonts w:ascii="Times New Roman" w:hAnsi="Times New Roman"/>
          <w:b/>
          <w:szCs w:val="22"/>
        </w:rPr>
      </w:pPr>
    </w:p>
    <w:p w14:paraId="70B23DC0" w14:textId="1AA52566" w:rsidR="00FB5829" w:rsidRDefault="00FB5829" w:rsidP="00FB5829">
      <w:pPr>
        <w:pStyle w:val="ListParagraph"/>
        <w:rPr>
          <w:b/>
          <w:sz w:val="20"/>
          <w:szCs w:val="20"/>
        </w:rPr>
      </w:pPr>
    </w:p>
    <w:p w14:paraId="53BA3BD1" w14:textId="77777777" w:rsidR="00FB5829" w:rsidRPr="00FB5829" w:rsidRDefault="00FB5829" w:rsidP="00FB5829">
      <w:pPr>
        <w:pStyle w:val="ListParagraph"/>
        <w:rPr>
          <w:rFonts w:ascii="Times New Roman" w:hAnsi="Times New Roman"/>
          <w:b/>
          <w:szCs w:val="22"/>
        </w:rPr>
      </w:pPr>
    </w:p>
    <w:p w14:paraId="6AA8A3C4" w14:textId="77777777" w:rsidR="00CF0B3C" w:rsidRDefault="00CF0B3C" w:rsidP="00CF0B3C">
      <w:pPr>
        <w:rPr>
          <w:rFonts w:ascii="Times New Roman" w:hAnsi="Times New Roman"/>
          <w:b/>
          <w:szCs w:val="22"/>
        </w:rPr>
      </w:pPr>
    </w:p>
    <w:p w14:paraId="4FBDD2DF" w14:textId="77777777" w:rsidR="00CF0B3C" w:rsidRDefault="00CF0B3C" w:rsidP="00CF0B3C">
      <w:pPr>
        <w:rPr>
          <w:rFonts w:ascii="Times New Roman" w:hAnsi="Times New Roman"/>
          <w:b/>
          <w:szCs w:val="22"/>
        </w:rPr>
      </w:pPr>
    </w:p>
    <w:p w14:paraId="12B20FA4" w14:textId="77777777" w:rsidR="00CF0B3C" w:rsidRDefault="00CF0B3C" w:rsidP="00CF0B3C">
      <w:pPr>
        <w:rPr>
          <w:rFonts w:ascii="Times New Roman" w:hAnsi="Times New Roman"/>
          <w:b/>
          <w:szCs w:val="22"/>
        </w:rPr>
      </w:pPr>
    </w:p>
    <w:p w14:paraId="28A8C285" w14:textId="77777777" w:rsidR="00CF0B3C" w:rsidRDefault="00CF0B3C" w:rsidP="00CF0B3C">
      <w:pPr>
        <w:rPr>
          <w:rFonts w:ascii="Times New Roman" w:hAnsi="Times New Roman"/>
          <w:b/>
          <w:szCs w:val="22"/>
        </w:rPr>
      </w:pPr>
    </w:p>
    <w:p w14:paraId="4CB3D95E" w14:textId="77777777" w:rsidR="00CF0B3C" w:rsidRPr="00FC3B55" w:rsidRDefault="00CF0B3C" w:rsidP="00CF0B3C">
      <w:pPr>
        <w:rPr>
          <w:rFonts w:ascii="Times New Roman" w:hAnsi="Times New Roman"/>
          <w:b/>
        </w:rPr>
      </w:pPr>
    </w:p>
    <w:p w14:paraId="47540173" w14:textId="60DA6F3F" w:rsidR="00FB5829" w:rsidRDefault="00FB5829" w:rsidP="00486062">
      <w:pPr>
        <w:pStyle w:val="ListParagraph"/>
        <w:numPr>
          <w:ilvl w:val="0"/>
          <w:numId w:val="103"/>
        </w:numPr>
        <w:rPr>
          <w:rFonts w:ascii="Century Gothic" w:hAnsi="Century Gothic"/>
          <w:b/>
          <w:bCs/>
        </w:rPr>
      </w:pPr>
      <w:r w:rsidRPr="00FC3B55">
        <w:rPr>
          <w:rFonts w:ascii="Century Gothic" w:hAnsi="Century Gothic"/>
          <w:b/>
          <w:bCs/>
        </w:rPr>
        <w:t>Actual Other Changes to MTW Housing Stock in the Plan Year</w:t>
      </w:r>
    </w:p>
    <w:p w14:paraId="4338A4BE" w14:textId="77777777" w:rsidR="00FC3B55" w:rsidRPr="00FC3B55" w:rsidRDefault="00FC3B55" w:rsidP="00FC3B55">
      <w:pPr>
        <w:pStyle w:val="ListParagraph"/>
        <w:ind w:left="1080"/>
        <w:rPr>
          <w:rFonts w:ascii="Century Gothic" w:hAnsi="Century Gothic"/>
          <w:b/>
          <w:bCs/>
        </w:rPr>
      </w:pPr>
    </w:p>
    <w:p w14:paraId="7CC86307" w14:textId="7063C3DE" w:rsidR="00FB5829" w:rsidRPr="00AB230A" w:rsidRDefault="00FB5829" w:rsidP="00FB5829">
      <w:pPr>
        <w:pStyle w:val="ListParagraph"/>
        <w:rPr>
          <w:rFonts w:ascii="Century Gothic" w:hAnsi="Century Gothic"/>
          <w:szCs w:val="22"/>
        </w:rPr>
      </w:pPr>
      <w:r w:rsidRPr="00FC3B55">
        <w:rPr>
          <w:rFonts w:ascii="Century Gothic" w:hAnsi="Century Gothic"/>
          <w:szCs w:val="22"/>
        </w:rPr>
        <w:t>Examples of the types of other changes can include (but are not limited to): units held off-line due to relocation or substantial rehabilitation, local, non-traditional units to be acquired/developed, etc.</w:t>
      </w:r>
      <w:r w:rsidRPr="00AB230A">
        <w:rPr>
          <w:rFonts w:ascii="Century Gothic" w:hAnsi="Century Gothic"/>
          <w:szCs w:val="22"/>
        </w:rPr>
        <w:t xml:space="preserve"> </w:t>
      </w:r>
    </w:p>
    <w:p w14:paraId="3F67A1E1" w14:textId="301E185B" w:rsidR="00E95D45" w:rsidRPr="0020355D" w:rsidRDefault="00E95D45" w:rsidP="0E6C54AB">
      <w:pPr>
        <w:pStyle w:val="ListParagraph"/>
        <w:rPr>
          <w:rFonts w:ascii="Times New Roman" w:hAnsi="Times New Roman"/>
        </w:rPr>
      </w:pPr>
    </w:p>
    <w:tbl>
      <w:tblPr>
        <w:tblStyle w:val="TableGrid"/>
        <w:tblW w:w="9630" w:type="dxa"/>
        <w:tblInd w:w="3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630"/>
      </w:tblGrid>
      <w:tr w:rsidR="009E30A0" w:rsidRPr="0020355D" w14:paraId="6DA96275" w14:textId="77777777" w:rsidTr="6468795D">
        <w:trPr>
          <w:trHeight w:val="391"/>
        </w:trPr>
        <w:tc>
          <w:tcPr>
            <w:tcW w:w="9630" w:type="dxa"/>
            <w:shd w:val="clear" w:color="auto" w:fill="BFBFBF" w:themeFill="background1" w:themeFillShade="BF"/>
            <w:vAlign w:val="center"/>
          </w:tcPr>
          <w:p w14:paraId="3535D7ED" w14:textId="77777777" w:rsidR="008B6710" w:rsidRPr="00AB230A" w:rsidRDefault="13DDF648" w:rsidP="4EC18A89">
            <w:pPr>
              <w:pStyle w:val="ListParagraph"/>
              <w:ind w:left="0"/>
              <w:jc w:val="center"/>
              <w:rPr>
                <w:rFonts w:ascii="Century Gothic" w:hAnsi="Century Gothic"/>
                <w:b/>
                <w:bCs/>
              </w:rPr>
            </w:pPr>
            <w:bookmarkStart w:id="49" w:name="_Hlk121830472"/>
            <w:r w:rsidRPr="00AB230A">
              <w:rPr>
                <w:rFonts w:ascii="Century Gothic" w:hAnsi="Century Gothic"/>
                <w:b/>
                <w:bCs/>
              </w:rPr>
              <w:t>ACTUAL OTHER CHANGES TO MTW HOUSING STOCK IN THE PLAN YEAR</w:t>
            </w:r>
          </w:p>
        </w:tc>
      </w:tr>
      <w:tr w:rsidR="008B6710" w:rsidRPr="0020355D" w14:paraId="3EB99A43" w14:textId="77777777" w:rsidTr="6468795D">
        <w:trPr>
          <w:trHeight w:val="1722"/>
        </w:trPr>
        <w:tc>
          <w:tcPr>
            <w:tcW w:w="9630" w:type="dxa"/>
            <w:vAlign w:val="center"/>
          </w:tcPr>
          <w:p w14:paraId="163307A9" w14:textId="6F14F35F" w:rsidR="008B6710" w:rsidRPr="00AB230A" w:rsidRDefault="0B597CFC" w:rsidP="0053324E">
            <w:pPr>
              <w:rPr>
                <w:rFonts w:ascii="Century Gothic" w:eastAsia="Times New Roman" w:hAnsi="Century Gothic"/>
              </w:rPr>
            </w:pPr>
            <w:r w:rsidRPr="00AB230A">
              <w:rPr>
                <w:rFonts w:ascii="Century Gothic" w:eastAsia="Times New Roman" w:hAnsi="Century Gothic"/>
              </w:rPr>
              <w:t>196</w:t>
            </w:r>
            <w:r w:rsidR="3DD82C3F" w:rsidRPr="00AB230A">
              <w:rPr>
                <w:rFonts w:ascii="Century Gothic" w:eastAsia="Times New Roman" w:hAnsi="Century Gothic"/>
              </w:rPr>
              <w:t xml:space="preserve"> units at McConaughy Terrace converted to R</w:t>
            </w:r>
            <w:r w:rsidR="005762BF" w:rsidRPr="00AB230A">
              <w:rPr>
                <w:rFonts w:ascii="Century Gothic" w:eastAsia="Times New Roman" w:hAnsi="Century Gothic"/>
              </w:rPr>
              <w:t>AD</w:t>
            </w:r>
            <w:r w:rsidR="3DD82C3F" w:rsidRPr="00AB230A">
              <w:rPr>
                <w:rFonts w:ascii="Century Gothic" w:eastAsia="Times New Roman" w:hAnsi="Century Gothic"/>
              </w:rPr>
              <w:t xml:space="preserve"> in the 1</w:t>
            </w:r>
            <w:r w:rsidR="3DD82C3F" w:rsidRPr="00AB230A">
              <w:rPr>
                <w:rFonts w:ascii="Century Gothic" w:eastAsia="Times New Roman" w:hAnsi="Century Gothic"/>
                <w:vertAlign w:val="superscript"/>
              </w:rPr>
              <w:t>st</w:t>
            </w:r>
            <w:r w:rsidR="3DD82C3F" w:rsidRPr="00AB230A">
              <w:rPr>
                <w:rFonts w:ascii="Century Gothic" w:eastAsia="Times New Roman" w:hAnsi="Century Gothic"/>
              </w:rPr>
              <w:t xml:space="preserve"> quarter of FY2024</w:t>
            </w:r>
            <w:r w:rsidR="7FF80531" w:rsidRPr="00AB230A">
              <w:rPr>
                <w:rFonts w:ascii="Century Gothic" w:eastAsia="Times New Roman" w:hAnsi="Century Gothic"/>
              </w:rPr>
              <w:t>.</w:t>
            </w:r>
          </w:p>
        </w:tc>
      </w:tr>
      <w:bookmarkEnd w:id="49"/>
      <w:tr w:rsidR="009E30A0" w:rsidRPr="0020355D" w14:paraId="794637F4" w14:textId="77777777" w:rsidTr="6468795D">
        <w:trPr>
          <w:trHeight w:val="390"/>
        </w:trPr>
        <w:tc>
          <w:tcPr>
            <w:tcW w:w="9630" w:type="dxa"/>
            <w:shd w:val="clear" w:color="auto" w:fill="BFBFBF" w:themeFill="background1" w:themeFillShade="BF"/>
            <w:vAlign w:val="center"/>
          </w:tcPr>
          <w:p w14:paraId="29F363BE" w14:textId="388C02A2" w:rsidR="0087178B" w:rsidRPr="0063375A" w:rsidRDefault="0087178B" w:rsidP="1B4A8018">
            <w:pPr>
              <w:pStyle w:val="Subheading"/>
              <w:ind w:left="90"/>
              <w:rPr>
                <w:rFonts w:ascii="Times New Roman" w:hAnsi="Times New Roman" w:cs="Times New Roman"/>
                <w:color w:val="auto"/>
                <w:sz w:val="22"/>
                <w:szCs w:val="22"/>
              </w:rPr>
            </w:pPr>
          </w:p>
        </w:tc>
      </w:tr>
    </w:tbl>
    <w:p w14:paraId="6B49E511" w14:textId="321975C9" w:rsidR="6E9E055C" w:rsidRDefault="6E9E055C"/>
    <w:p w14:paraId="7B810D35" w14:textId="77777777" w:rsidR="00FC3B55" w:rsidRDefault="00FC3B55"/>
    <w:p w14:paraId="7C9A9CA2" w14:textId="77777777" w:rsidR="00FC3B55" w:rsidRDefault="00FC3B55"/>
    <w:p w14:paraId="5E6C5524" w14:textId="77777777" w:rsidR="00FC3B55" w:rsidRDefault="00FC3B55"/>
    <w:p w14:paraId="2F0AE996" w14:textId="77777777" w:rsidR="00FC3B55" w:rsidRDefault="00FC3B55"/>
    <w:p w14:paraId="09B246EB" w14:textId="77777777" w:rsidR="00FC3B55" w:rsidRDefault="00FC3B55"/>
    <w:p w14:paraId="57561DA9" w14:textId="77777777" w:rsidR="00FB5829" w:rsidRDefault="00FB5829">
      <w:pPr>
        <w:rPr>
          <w:rFonts w:ascii="Times New Roman" w:hAnsi="Times New Roman"/>
          <w:szCs w:val="22"/>
        </w:rPr>
      </w:pPr>
    </w:p>
    <w:p w14:paraId="755C45F2" w14:textId="1313525E" w:rsidR="00FB5829" w:rsidRPr="004C7E3E" w:rsidRDefault="00FB5829" w:rsidP="00486062">
      <w:pPr>
        <w:pStyle w:val="ListParagraph"/>
        <w:numPr>
          <w:ilvl w:val="0"/>
          <w:numId w:val="103"/>
        </w:numPr>
        <w:rPr>
          <w:rFonts w:ascii="Century Gothic" w:hAnsi="Century Gothic"/>
          <w:b/>
          <w:szCs w:val="22"/>
        </w:rPr>
      </w:pPr>
      <w:r w:rsidRPr="004C7E3E">
        <w:rPr>
          <w:rFonts w:ascii="Century Gothic" w:hAnsi="Century Gothic"/>
          <w:b/>
          <w:szCs w:val="22"/>
        </w:rPr>
        <w:lastRenderedPageBreak/>
        <w:t>General Description of All Actual Capital Expenditures During the Plan Year</w:t>
      </w:r>
      <w:r w:rsidR="00BE3F79" w:rsidRPr="004C7E3E">
        <w:rPr>
          <w:rFonts w:ascii="Century Gothic" w:hAnsi="Century Gothic"/>
          <w:b/>
          <w:szCs w:val="22"/>
        </w:rPr>
        <w:t xml:space="preserve"> </w:t>
      </w:r>
    </w:p>
    <w:p w14:paraId="6FF45052" w14:textId="77777777" w:rsidR="00FB5829" w:rsidRPr="004C7E3E" w:rsidRDefault="74A6CD01" w:rsidP="2C805A1A">
      <w:pPr>
        <w:pStyle w:val="ListParagraph"/>
        <w:rPr>
          <w:rFonts w:ascii="Century Gothic" w:hAnsi="Century Gothic"/>
          <w:szCs w:val="22"/>
        </w:rPr>
      </w:pPr>
      <w:r w:rsidRPr="004C7E3E">
        <w:rPr>
          <w:rFonts w:ascii="Century Gothic" w:hAnsi="Century Gothic"/>
          <w:szCs w:val="22"/>
        </w:rPr>
        <w:t xml:space="preserve">Narrative general description of all actual capital expenditures of MTW funds during the Plan Year. </w:t>
      </w:r>
    </w:p>
    <w:p w14:paraId="602B05EC" w14:textId="524ED2B2" w:rsidR="006B3D91" w:rsidRPr="004C7E3E" w:rsidRDefault="006B3D91" w:rsidP="2C805A1A">
      <w:pPr>
        <w:pStyle w:val="ListParagraph"/>
        <w:rPr>
          <w:rFonts w:ascii="Century Gothic" w:hAnsi="Century Gothic"/>
          <w:szCs w:val="22"/>
        </w:rPr>
      </w:pPr>
    </w:p>
    <w:p w14:paraId="3BC7C2EC" w14:textId="77777777" w:rsidR="00AC7D3F" w:rsidRDefault="2C83264F" w:rsidP="090392C3">
      <w:pPr>
        <w:rPr>
          <w:rFonts w:ascii="Century Gothic" w:eastAsia="Times New Roman" w:hAnsi="Century Gothic"/>
          <w:szCs w:val="22"/>
        </w:rPr>
      </w:pPr>
      <w:r w:rsidRPr="004C7E3E">
        <w:rPr>
          <w:rFonts w:ascii="Century Gothic" w:eastAsia="Times New Roman" w:hAnsi="Century Gothic"/>
          <w:szCs w:val="22"/>
        </w:rPr>
        <w:t xml:space="preserve">ECC/HANH’s goal through its MTW status </w:t>
      </w:r>
      <w:r w:rsidR="00AC7D3F">
        <w:rPr>
          <w:rFonts w:ascii="Century Gothic" w:eastAsia="Times New Roman" w:hAnsi="Century Gothic"/>
          <w:szCs w:val="22"/>
        </w:rPr>
        <w:t>is</w:t>
      </w:r>
      <w:r w:rsidRPr="004C7E3E">
        <w:rPr>
          <w:rFonts w:ascii="Century Gothic" w:eastAsia="Times New Roman" w:hAnsi="Century Gothic"/>
          <w:szCs w:val="22"/>
        </w:rPr>
        <w:t xml:space="preserve"> to provide Housing of Choice </w:t>
      </w:r>
      <w:proofErr w:type="gramStart"/>
      <w:r w:rsidRPr="004C7E3E">
        <w:rPr>
          <w:rFonts w:ascii="Century Gothic" w:eastAsia="Times New Roman" w:hAnsi="Century Gothic"/>
          <w:szCs w:val="22"/>
        </w:rPr>
        <w:t>in</w:t>
      </w:r>
      <w:proofErr w:type="gramEnd"/>
      <w:r w:rsidRPr="004C7E3E">
        <w:rPr>
          <w:rFonts w:ascii="Century Gothic" w:eastAsia="Times New Roman" w:hAnsi="Century Gothic"/>
          <w:szCs w:val="22"/>
        </w:rPr>
        <w:t xml:space="preserve"> the most cost-effective method possible. Our plan </w:t>
      </w:r>
      <w:r w:rsidR="00AC7D3F">
        <w:rPr>
          <w:rFonts w:ascii="Century Gothic" w:eastAsia="Times New Roman" w:hAnsi="Century Gothic"/>
          <w:szCs w:val="22"/>
        </w:rPr>
        <w:t>is</w:t>
      </w:r>
      <w:r w:rsidRPr="004C7E3E">
        <w:rPr>
          <w:rFonts w:ascii="Century Gothic" w:eastAsia="Times New Roman" w:hAnsi="Century Gothic"/>
          <w:szCs w:val="22"/>
        </w:rPr>
        <w:t xml:space="preserve"> to address the most urgent operational needs within the LIPH portfolio that are remaining post-RAD conversions.  </w:t>
      </w:r>
    </w:p>
    <w:p w14:paraId="4BB42825" w14:textId="77777777" w:rsidR="00AC7D3F" w:rsidRDefault="00AC7D3F" w:rsidP="090392C3">
      <w:pPr>
        <w:rPr>
          <w:rFonts w:ascii="Century Gothic" w:eastAsia="Times New Roman" w:hAnsi="Century Gothic"/>
          <w:szCs w:val="22"/>
        </w:rPr>
      </w:pPr>
    </w:p>
    <w:p w14:paraId="77EEA23C" w14:textId="798DB05F" w:rsidR="0B231DC3" w:rsidRPr="004C7E3E" w:rsidRDefault="2C83264F" w:rsidP="090392C3">
      <w:pPr>
        <w:rPr>
          <w:rFonts w:ascii="Century Gothic" w:eastAsia="Times New Roman" w:hAnsi="Century Gothic"/>
          <w:szCs w:val="22"/>
        </w:rPr>
      </w:pPr>
      <w:r w:rsidRPr="004C7E3E">
        <w:rPr>
          <w:rFonts w:ascii="Century Gothic" w:eastAsia="Times New Roman" w:hAnsi="Century Gothic"/>
          <w:szCs w:val="22"/>
        </w:rPr>
        <w:t>Our ongoing objectives remain:</w:t>
      </w:r>
    </w:p>
    <w:p w14:paraId="3E7F0EEE" w14:textId="08E01FB4" w:rsidR="2C83264F" w:rsidRPr="004C7E3E" w:rsidRDefault="2C83264F" w:rsidP="00486062">
      <w:pPr>
        <w:pStyle w:val="ListParagraph"/>
        <w:numPr>
          <w:ilvl w:val="0"/>
          <w:numId w:val="35"/>
        </w:numPr>
        <w:rPr>
          <w:rFonts w:ascii="Century Gothic" w:eastAsia="Times New Roman" w:hAnsi="Century Gothic"/>
          <w:szCs w:val="22"/>
        </w:rPr>
      </w:pPr>
      <w:r w:rsidRPr="004C7E3E">
        <w:rPr>
          <w:rFonts w:ascii="Century Gothic" w:eastAsia="Times New Roman" w:hAnsi="Century Gothic"/>
          <w:szCs w:val="22"/>
        </w:rPr>
        <w:t>Remediate Life-Health, Safety, Security and Code non-compliance property conditions.</w:t>
      </w:r>
    </w:p>
    <w:p w14:paraId="0139FED6" w14:textId="4E1A70F8" w:rsidR="2C83264F" w:rsidRPr="004C7E3E" w:rsidRDefault="2C83264F" w:rsidP="00486062">
      <w:pPr>
        <w:pStyle w:val="ListParagraph"/>
        <w:numPr>
          <w:ilvl w:val="0"/>
          <w:numId w:val="35"/>
        </w:numPr>
        <w:rPr>
          <w:rFonts w:ascii="Century Gothic" w:eastAsia="Times New Roman" w:hAnsi="Century Gothic"/>
          <w:szCs w:val="22"/>
        </w:rPr>
      </w:pPr>
      <w:r w:rsidRPr="004C7E3E">
        <w:rPr>
          <w:rFonts w:ascii="Century Gothic" w:eastAsia="Times New Roman" w:hAnsi="Century Gothic"/>
          <w:szCs w:val="22"/>
        </w:rPr>
        <w:t xml:space="preserve">Provide </w:t>
      </w:r>
      <w:r w:rsidR="00DE7E8E">
        <w:rPr>
          <w:rFonts w:ascii="Century Gothic" w:eastAsia="Times New Roman" w:hAnsi="Century Gothic"/>
          <w:szCs w:val="22"/>
        </w:rPr>
        <w:t>p</w:t>
      </w:r>
      <w:r w:rsidRPr="004C7E3E">
        <w:rPr>
          <w:rFonts w:ascii="Century Gothic" w:eastAsia="Times New Roman" w:hAnsi="Century Gothic"/>
          <w:szCs w:val="22"/>
        </w:rPr>
        <w:t xml:space="preserve">roject results which will save on </w:t>
      </w:r>
      <w:r w:rsidR="00DE7E8E">
        <w:rPr>
          <w:rFonts w:ascii="Century Gothic" w:eastAsia="Times New Roman" w:hAnsi="Century Gothic"/>
          <w:szCs w:val="22"/>
        </w:rPr>
        <w:t>o</w:t>
      </w:r>
      <w:r w:rsidRPr="004C7E3E">
        <w:rPr>
          <w:rFonts w:ascii="Century Gothic" w:eastAsia="Times New Roman" w:hAnsi="Century Gothic"/>
          <w:szCs w:val="22"/>
        </w:rPr>
        <w:t>perational support or provide energy savings.</w:t>
      </w:r>
    </w:p>
    <w:p w14:paraId="48AFC628" w14:textId="630B0D52" w:rsidR="2C83264F" w:rsidRPr="004C7E3E" w:rsidRDefault="2C83264F" w:rsidP="00486062">
      <w:pPr>
        <w:pStyle w:val="ListParagraph"/>
        <w:numPr>
          <w:ilvl w:val="0"/>
          <w:numId w:val="35"/>
        </w:numPr>
        <w:rPr>
          <w:rFonts w:ascii="Century Gothic" w:eastAsia="Times New Roman" w:hAnsi="Century Gothic"/>
          <w:szCs w:val="22"/>
        </w:rPr>
      </w:pPr>
      <w:r w:rsidRPr="004C7E3E">
        <w:rPr>
          <w:rFonts w:ascii="Century Gothic" w:eastAsia="Times New Roman" w:hAnsi="Century Gothic"/>
          <w:szCs w:val="22"/>
        </w:rPr>
        <w:t xml:space="preserve">Improve </w:t>
      </w:r>
      <w:r w:rsidR="005116F1">
        <w:rPr>
          <w:rFonts w:ascii="Century Gothic" w:eastAsia="Times New Roman" w:hAnsi="Century Gothic"/>
          <w:szCs w:val="22"/>
        </w:rPr>
        <w:t>a</w:t>
      </w:r>
      <w:r w:rsidRPr="004C7E3E">
        <w:rPr>
          <w:rFonts w:ascii="Century Gothic" w:eastAsia="Times New Roman" w:hAnsi="Century Gothic"/>
          <w:szCs w:val="22"/>
        </w:rPr>
        <w:t xml:space="preserve">ccessibility </w:t>
      </w:r>
    </w:p>
    <w:p w14:paraId="0CA6F5C1" w14:textId="2978BE6A" w:rsidR="2C83264F" w:rsidRPr="004C7E3E" w:rsidRDefault="2C83264F" w:rsidP="00486062">
      <w:pPr>
        <w:pStyle w:val="ListParagraph"/>
        <w:numPr>
          <w:ilvl w:val="0"/>
          <w:numId w:val="35"/>
        </w:numPr>
        <w:rPr>
          <w:rFonts w:ascii="Century Gothic" w:eastAsia="Times New Roman" w:hAnsi="Century Gothic"/>
          <w:szCs w:val="22"/>
        </w:rPr>
      </w:pPr>
      <w:r w:rsidRPr="004C7E3E">
        <w:rPr>
          <w:rFonts w:ascii="Century Gothic" w:eastAsia="Times New Roman" w:hAnsi="Century Gothic"/>
          <w:szCs w:val="22"/>
        </w:rPr>
        <w:t xml:space="preserve">Improve </w:t>
      </w:r>
      <w:r w:rsidR="005116F1">
        <w:rPr>
          <w:rFonts w:ascii="Century Gothic" w:eastAsia="Times New Roman" w:hAnsi="Century Gothic"/>
          <w:szCs w:val="22"/>
        </w:rPr>
        <w:t>o</w:t>
      </w:r>
      <w:r w:rsidRPr="004C7E3E">
        <w:rPr>
          <w:rFonts w:ascii="Century Gothic" w:eastAsia="Times New Roman" w:hAnsi="Century Gothic"/>
          <w:szCs w:val="22"/>
        </w:rPr>
        <w:t>ccupancy/</w:t>
      </w:r>
      <w:r w:rsidR="005116F1">
        <w:rPr>
          <w:rFonts w:ascii="Century Gothic" w:eastAsia="Times New Roman" w:hAnsi="Century Gothic"/>
          <w:szCs w:val="22"/>
        </w:rPr>
        <w:t>r</w:t>
      </w:r>
      <w:r w:rsidRPr="004C7E3E">
        <w:rPr>
          <w:rFonts w:ascii="Century Gothic" w:eastAsia="Times New Roman" w:hAnsi="Century Gothic"/>
          <w:szCs w:val="22"/>
        </w:rPr>
        <w:t xml:space="preserve">educe </w:t>
      </w:r>
      <w:r w:rsidR="005116F1">
        <w:rPr>
          <w:rFonts w:ascii="Century Gothic" w:eastAsia="Times New Roman" w:hAnsi="Century Gothic"/>
          <w:szCs w:val="22"/>
        </w:rPr>
        <w:t>v</w:t>
      </w:r>
      <w:r w:rsidRPr="004C7E3E">
        <w:rPr>
          <w:rFonts w:ascii="Century Gothic" w:eastAsia="Times New Roman" w:hAnsi="Century Gothic"/>
          <w:szCs w:val="22"/>
        </w:rPr>
        <w:t>acancies</w:t>
      </w:r>
    </w:p>
    <w:p w14:paraId="35607DAA" w14:textId="62B1D71B" w:rsidR="2C83264F" w:rsidRPr="004C7E3E" w:rsidRDefault="2C83264F" w:rsidP="00486062">
      <w:pPr>
        <w:pStyle w:val="ListParagraph"/>
        <w:numPr>
          <w:ilvl w:val="0"/>
          <w:numId w:val="35"/>
        </w:numPr>
        <w:rPr>
          <w:rFonts w:ascii="Century Gothic" w:eastAsia="Times New Roman" w:hAnsi="Century Gothic"/>
          <w:szCs w:val="22"/>
        </w:rPr>
      </w:pPr>
      <w:r w:rsidRPr="004C7E3E">
        <w:rPr>
          <w:rFonts w:ascii="Century Gothic" w:eastAsia="Times New Roman" w:hAnsi="Century Gothic"/>
          <w:szCs w:val="22"/>
        </w:rPr>
        <w:t>Provide best use of CFP funds in coordination with ECC/HANH Operations and The Glendower Group, ECC/HANH’s development entity.</w:t>
      </w:r>
    </w:p>
    <w:p w14:paraId="31B74086" w14:textId="71F376DE" w:rsidR="2C83264F" w:rsidRPr="004C7E3E" w:rsidRDefault="2C83264F" w:rsidP="0053324E">
      <w:pPr>
        <w:jc w:val="center"/>
        <w:rPr>
          <w:rFonts w:ascii="Century Gothic" w:eastAsia="Times New Roman" w:hAnsi="Century Gothic"/>
          <w:szCs w:val="22"/>
        </w:rPr>
      </w:pPr>
      <w:r w:rsidRPr="004C7E3E">
        <w:rPr>
          <w:rFonts w:ascii="Century Gothic" w:eastAsia="Times New Roman" w:hAnsi="Century Gothic"/>
          <w:szCs w:val="22"/>
        </w:rPr>
        <w:t xml:space="preserve"> </w:t>
      </w:r>
    </w:p>
    <w:p w14:paraId="6BD7663F" w14:textId="77777777" w:rsidR="00F00D12" w:rsidRDefault="2C83264F" w:rsidP="1FD72D7D">
      <w:pPr>
        <w:rPr>
          <w:rFonts w:ascii="Century Gothic" w:eastAsia="Times New Roman" w:hAnsi="Century Gothic"/>
          <w:szCs w:val="22"/>
        </w:rPr>
      </w:pPr>
      <w:r w:rsidRPr="00FC3B55">
        <w:rPr>
          <w:rFonts w:ascii="Century Gothic" w:eastAsia="Times New Roman" w:hAnsi="Century Gothic"/>
          <w:szCs w:val="22"/>
        </w:rPr>
        <w:t>During FY24, ECC</w:t>
      </w:r>
      <w:r w:rsidRPr="004C7E3E">
        <w:rPr>
          <w:rFonts w:ascii="Century Gothic" w:eastAsia="Times New Roman" w:hAnsi="Century Gothic"/>
          <w:szCs w:val="22"/>
        </w:rPr>
        <w:t xml:space="preserve">/HANH continued to execute projects that support the MTW goals and improve the remaining </w:t>
      </w:r>
      <w:r w:rsidR="458367CF" w:rsidRPr="004C7E3E">
        <w:rPr>
          <w:rFonts w:ascii="Century Gothic" w:eastAsia="Times New Roman" w:hAnsi="Century Gothic"/>
          <w:szCs w:val="22"/>
        </w:rPr>
        <w:t>housing stock</w:t>
      </w:r>
      <w:r w:rsidRPr="004C7E3E">
        <w:rPr>
          <w:rFonts w:ascii="Century Gothic" w:eastAsia="Times New Roman" w:hAnsi="Century Gothic"/>
          <w:szCs w:val="22"/>
        </w:rPr>
        <w:t>.  ECC/HANH</w:t>
      </w:r>
      <w:r w:rsidR="123377DE" w:rsidRPr="004C7E3E">
        <w:rPr>
          <w:rFonts w:ascii="Century Gothic" w:eastAsia="Times New Roman" w:hAnsi="Century Gothic"/>
          <w:szCs w:val="22"/>
        </w:rPr>
        <w:t>’s</w:t>
      </w:r>
      <w:r w:rsidRPr="004C7E3E">
        <w:rPr>
          <w:rFonts w:ascii="Century Gothic" w:eastAsia="Times New Roman" w:hAnsi="Century Gothic"/>
          <w:szCs w:val="22"/>
        </w:rPr>
        <w:t xml:space="preserve"> multi-departmental staff engaged in a series of meetings</w:t>
      </w:r>
      <w:r w:rsidR="6EBD603B" w:rsidRPr="004C7E3E">
        <w:rPr>
          <w:rFonts w:ascii="Century Gothic" w:eastAsia="Times New Roman" w:hAnsi="Century Gothic"/>
          <w:szCs w:val="22"/>
        </w:rPr>
        <w:t xml:space="preserve"> and</w:t>
      </w:r>
      <w:r w:rsidRPr="004C7E3E">
        <w:rPr>
          <w:rFonts w:ascii="Century Gothic" w:eastAsia="Times New Roman" w:hAnsi="Century Gothic"/>
          <w:szCs w:val="22"/>
        </w:rPr>
        <w:t xml:space="preserve"> reviewed the Physical Needs Assessments, including the estimated remaining useful life projections for building systems and equipment, </w:t>
      </w:r>
      <w:r w:rsidR="1E11E16E" w:rsidRPr="004C7E3E">
        <w:rPr>
          <w:rFonts w:ascii="Century Gothic" w:eastAsia="Times New Roman" w:hAnsi="Century Gothic"/>
          <w:szCs w:val="22"/>
        </w:rPr>
        <w:t xml:space="preserve">ECC/HANH also </w:t>
      </w:r>
      <w:r w:rsidRPr="004C7E3E">
        <w:rPr>
          <w:rFonts w:ascii="Century Gothic" w:eastAsia="Times New Roman" w:hAnsi="Century Gothic"/>
          <w:szCs w:val="22"/>
        </w:rPr>
        <w:t xml:space="preserve">established priorities and budgets for capital expenditures in FY24.  </w:t>
      </w:r>
    </w:p>
    <w:p w14:paraId="1392D7D6" w14:textId="77777777" w:rsidR="00F00D12" w:rsidRDefault="00F00D12" w:rsidP="1FD72D7D">
      <w:pPr>
        <w:rPr>
          <w:rFonts w:ascii="Century Gothic" w:eastAsia="Times New Roman" w:hAnsi="Century Gothic"/>
          <w:szCs w:val="22"/>
        </w:rPr>
      </w:pPr>
    </w:p>
    <w:p w14:paraId="4950BF8E" w14:textId="5B1A1B36" w:rsidR="00D55EB4" w:rsidRPr="004C7E3E" w:rsidRDefault="32021CBA" w:rsidP="1FD72D7D">
      <w:pPr>
        <w:rPr>
          <w:rFonts w:ascii="Century Gothic" w:eastAsia="Times New Roman" w:hAnsi="Century Gothic"/>
          <w:szCs w:val="22"/>
        </w:rPr>
      </w:pPr>
      <w:r w:rsidRPr="004C7E3E">
        <w:rPr>
          <w:rFonts w:ascii="Century Gothic" w:eastAsia="Times New Roman" w:hAnsi="Century Gothic"/>
          <w:szCs w:val="22"/>
        </w:rPr>
        <w:t>The p</w:t>
      </w:r>
      <w:r w:rsidR="2C83264F" w:rsidRPr="004C7E3E">
        <w:rPr>
          <w:rFonts w:ascii="Century Gothic" w:eastAsia="Times New Roman" w:hAnsi="Century Gothic"/>
          <w:szCs w:val="22"/>
        </w:rPr>
        <w:t xml:space="preserve">roperties planned for future redevelopment efforts were not prioritized for CFP projects; however, if there was a Life, Health and Safety challenge, we considered the needs across the entire portfolio. Several work items in the FY24 MTW Plan were continuations and implementations of projects that were not fully completed by the end of FY23.  </w:t>
      </w:r>
    </w:p>
    <w:p w14:paraId="018B92AF" w14:textId="77777777" w:rsidR="00D55EB4" w:rsidRPr="004C7E3E" w:rsidRDefault="00D55EB4" w:rsidP="1FD72D7D">
      <w:pPr>
        <w:rPr>
          <w:rFonts w:ascii="Century Gothic" w:eastAsia="Times New Roman" w:hAnsi="Century Gothic"/>
          <w:szCs w:val="22"/>
        </w:rPr>
      </w:pPr>
    </w:p>
    <w:p w14:paraId="681CA2BD" w14:textId="77777777" w:rsidR="002E79E8" w:rsidRDefault="2C83264F" w:rsidP="1FD72D7D">
      <w:pPr>
        <w:rPr>
          <w:rFonts w:ascii="Century Gothic" w:eastAsia="Times New Roman" w:hAnsi="Century Gothic"/>
          <w:szCs w:val="22"/>
        </w:rPr>
      </w:pPr>
      <w:r w:rsidRPr="004C7E3E">
        <w:rPr>
          <w:rFonts w:ascii="Century Gothic" w:eastAsia="Times New Roman" w:hAnsi="Century Gothic"/>
          <w:szCs w:val="22"/>
        </w:rPr>
        <w:t xml:space="preserve">In FY24, health and safety contracts were completed at George Crawford Manor and building envelope and interior work at Essex Townhouses.  Under grant awards, lead abatement continued at Scattered Sites West and East properties. Also under </w:t>
      </w:r>
      <w:r w:rsidR="2D19E560" w:rsidRPr="004C7E3E">
        <w:rPr>
          <w:rFonts w:ascii="Century Gothic" w:eastAsia="Times New Roman" w:hAnsi="Century Gothic"/>
          <w:szCs w:val="22"/>
        </w:rPr>
        <w:t>a</w:t>
      </w:r>
      <w:r w:rsidRPr="004C7E3E">
        <w:rPr>
          <w:rFonts w:ascii="Century Gothic" w:eastAsia="Times New Roman" w:hAnsi="Century Gothic"/>
          <w:szCs w:val="22"/>
        </w:rPr>
        <w:t xml:space="preserve"> grant award, ECC/HANH continued to address housing-related hazards</w:t>
      </w:r>
      <w:r w:rsidR="3371BF34" w:rsidRPr="004C7E3E">
        <w:rPr>
          <w:rFonts w:ascii="Century Gothic" w:eastAsia="Times New Roman" w:hAnsi="Century Gothic"/>
          <w:szCs w:val="22"/>
        </w:rPr>
        <w:t xml:space="preserve"> such as</w:t>
      </w:r>
      <w:r w:rsidRPr="004C7E3E">
        <w:rPr>
          <w:rFonts w:ascii="Century Gothic" w:eastAsia="Times New Roman" w:hAnsi="Century Gothic"/>
          <w:szCs w:val="22"/>
        </w:rPr>
        <w:t xml:space="preserve"> carbon monoxide, mold and associated asbestos.  </w:t>
      </w:r>
    </w:p>
    <w:p w14:paraId="1D588092" w14:textId="77777777" w:rsidR="002E79E8" w:rsidRDefault="002E79E8" w:rsidP="1FD72D7D">
      <w:pPr>
        <w:rPr>
          <w:rFonts w:ascii="Century Gothic" w:eastAsia="Times New Roman" w:hAnsi="Century Gothic"/>
          <w:szCs w:val="22"/>
        </w:rPr>
      </w:pPr>
    </w:p>
    <w:p w14:paraId="57629AEA" w14:textId="15D3CA97" w:rsidR="2C83264F" w:rsidRPr="004C7E3E" w:rsidRDefault="2C83264F" w:rsidP="1FD72D7D">
      <w:pPr>
        <w:rPr>
          <w:rFonts w:ascii="Century Gothic" w:eastAsia="Times New Roman" w:hAnsi="Century Gothic"/>
          <w:szCs w:val="22"/>
        </w:rPr>
      </w:pPr>
      <w:r w:rsidRPr="004C7E3E">
        <w:rPr>
          <w:rFonts w:ascii="Century Gothic" w:eastAsia="Times New Roman" w:hAnsi="Century Gothic"/>
          <w:szCs w:val="22"/>
        </w:rPr>
        <w:t xml:space="preserve">Wolfe and Crawford security cameras were upgraded under </w:t>
      </w:r>
      <w:r w:rsidR="34E3B7AC" w:rsidRPr="004C7E3E">
        <w:rPr>
          <w:rFonts w:ascii="Century Gothic" w:eastAsia="Times New Roman" w:hAnsi="Century Gothic"/>
          <w:szCs w:val="22"/>
        </w:rPr>
        <w:t xml:space="preserve">an </w:t>
      </w:r>
      <w:r w:rsidRPr="004C7E3E">
        <w:rPr>
          <w:rFonts w:ascii="Century Gothic" w:eastAsia="Times New Roman" w:hAnsi="Century Gothic"/>
          <w:szCs w:val="22"/>
        </w:rPr>
        <w:t xml:space="preserve">Emergency Safety and Security grant </w:t>
      </w:r>
      <w:r w:rsidR="6EE74E86" w:rsidRPr="004C7E3E">
        <w:rPr>
          <w:rFonts w:ascii="Century Gothic" w:eastAsia="Times New Roman" w:hAnsi="Century Gothic"/>
          <w:szCs w:val="22"/>
        </w:rPr>
        <w:t xml:space="preserve">in </w:t>
      </w:r>
      <w:r w:rsidRPr="004C7E3E">
        <w:rPr>
          <w:rFonts w:ascii="Century Gothic" w:eastAsia="Times New Roman" w:hAnsi="Century Gothic"/>
          <w:szCs w:val="22"/>
        </w:rPr>
        <w:t xml:space="preserve">2022, and Essex security cameras were upgraded under </w:t>
      </w:r>
      <w:r w:rsidR="00986D87" w:rsidRPr="004C7E3E">
        <w:rPr>
          <w:rFonts w:ascii="Century Gothic" w:eastAsia="Times New Roman" w:hAnsi="Century Gothic"/>
          <w:szCs w:val="22"/>
        </w:rPr>
        <w:t xml:space="preserve">an </w:t>
      </w:r>
      <w:r w:rsidRPr="004C7E3E">
        <w:rPr>
          <w:rFonts w:ascii="Century Gothic" w:eastAsia="Times New Roman" w:hAnsi="Century Gothic"/>
          <w:szCs w:val="22"/>
        </w:rPr>
        <w:t xml:space="preserve">Emergency Safety and Security grant </w:t>
      </w:r>
      <w:r w:rsidR="00AC7D3F">
        <w:rPr>
          <w:rFonts w:ascii="Century Gothic" w:eastAsia="Times New Roman" w:hAnsi="Century Gothic"/>
          <w:szCs w:val="22"/>
        </w:rPr>
        <w:t xml:space="preserve">in </w:t>
      </w:r>
      <w:r w:rsidRPr="004C7E3E">
        <w:rPr>
          <w:rFonts w:ascii="Century Gothic" w:eastAsia="Times New Roman" w:hAnsi="Century Gothic"/>
          <w:szCs w:val="22"/>
        </w:rPr>
        <w:t xml:space="preserve">2023. </w:t>
      </w:r>
      <w:r w:rsidR="4A83EDA2" w:rsidRPr="004C7E3E">
        <w:rPr>
          <w:rFonts w:ascii="Century Gothic" w:eastAsia="Times New Roman" w:hAnsi="Century Gothic"/>
          <w:szCs w:val="22"/>
        </w:rPr>
        <w:t xml:space="preserve"> </w:t>
      </w:r>
      <w:r w:rsidRPr="004C7E3E">
        <w:rPr>
          <w:rFonts w:ascii="Century Gothic" w:eastAsia="Times New Roman" w:hAnsi="Century Gothic"/>
          <w:szCs w:val="22"/>
        </w:rPr>
        <w:t>Funds were also earmarked for Agency wide services and obligations.</w:t>
      </w:r>
    </w:p>
    <w:p w14:paraId="20B69F14" w14:textId="42398AC0" w:rsidR="2C83264F" w:rsidRDefault="2C83264F" w:rsidP="1FD72D7D">
      <w:pPr>
        <w:rPr>
          <w:rFonts w:ascii="Century Gothic" w:eastAsia="Times New Roman" w:hAnsi="Century Gothic"/>
          <w:szCs w:val="22"/>
        </w:rPr>
      </w:pPr>
      <w:r w:rsidRPr="004C7E3E">
        <w:rPr>
          <w:rFonts w:ascii="Century Gothic" w:eastAsia="Times New Roman" w:hAnsi="Century Gothic"/>
          <w:szCs w:val="22"/>
        </w:rPr>
        <w:t xml:space="preserve"> </w:t>
      </w:r>
    </w:p>
    <w:p w14:paraId="6C485BBC" w14:textId="77777777" w:rsidR="00AC7D3F" w:rsidRPr="004C7E3E" w:rsidRDefault="00AC7D3F" w:rsidP="1FD72D7D">
      <w:pPr>
        <w:rPr>
          <w:rFonts w:ascii="Century Gothic" w:eastAsia="Times New Roman" w:hAnsi="Century Gothic"/>
          <w:szCs w:val="22"/>
        </w:rPr>
      </w:pPr>
    </w:p>
    <w:p w14:paraId="3159AD2D" w14:textId="2CF96F8F" w:rsidR="2C83264F" w:rsidRPr="004C7E3E" w:rsidRDefault="2C83264F" w:rsidP="00486062">
      <w:pPr>
        <w:pStyle w:val="ListParagraph"/>
        <w:numPr>
          <w:ilvl w:val="0"/>
          <w:numId w:val="34"/>
        </w:numPr>
        <w:rPr>
          <w:rFonts w:ascii="Century Gothic" w:eastAsia="Times New Roman" w:hAnsi="Century Gothic"/>
          <w:b/>
          <w:bCs/>
          <w:szCs w:val="22"/>
        </w:rPr>
      </w:pPr>
      <w:r w:rsidRPr="004C7E3E">
        <w:rPr>
          <w:rFonts w:ascii="Century Gothic" w:eastAsia="Times New Roman" w:hAnsi="Century Gothic"/>
          <w:b/>
          <w:bCs/>
          <w:szCs w:val="22"/>
        </w:rPr>
        <w:t>Crawford Manor Health-Safety Upgrades</w:t>
      </w:r>
    </w:p>
    <w:p w14:paraId="17081C32" w14:textId="593BB192" w:rsidR="2C83264F" w:rsidRPr="004C7E3E" w:rsidRDefault="2C83264F" w:rsidP="00486062">
      <w:pPr>
        <w:pStyle w:val="ListParagraph"/>
        <w:numPr>
          <w:ilvl w:val="1"/>
          <w:numId w:val="34"/>
        </w:numPr>
        <w:rPr>
          <w:rFonts w:ascii="Century Gothic" w:eastAsia="Times New Roman" w:hAnsi="Century Gothic"/>
          <w:szCs w:val="22"/>
        </w:rPr>
      </w:pPr>
      <w:r w:rsidRPr="004C7E3E">
        <w:rPr>
          <w:rFonts w:ascii="Century Gothic" w:eastAsia="Times New Roman" w:hAnsi="Century Gothic"/>
          <w:szCs w:val="22"/>
        </w:rPr>
        <w:t>During FY24, ECC/HANH completed health</w:t>
      </w:r>
      <w:r w:rsidR="120B2117" w:rsidRPr="004C7E3E">
        <w:rPr>
          <w:rFonts w:ascii="Century Gothic" w:eastAsia="Times New Roman" w:hAnsi="Century Gothic"/>
          <w:szCs w:val="22"/>
        </w:rPr>
        <w:t xml:space="preserve"> and </w:t>
      </w:r>
      <w:r w:rsidRPr="004C7E3E">
        <w:rPr>
          <w:rFonts w:ascii="Century Gothic" w:eastAsia="Times New Roman" w:hAnsi="Century Gothic"/>
          <w:szCs w:val="22"/>
        </w:rPr>
        <w:t>safety improvements including electrical panel replacement, fire alarm system upgrade</w:t>
      </w:r>
      <w:r w:rsidR="0730BEBE" w:rsidRPr="004C7E3E">
        <w:rPr>
          <w:rFonts w:ascii="Century Gothic" w:eastAsia="Times New Roman" w:hAnsi="Century Gothic"/>
          <w:szCs w:val="22"/>
        </w:rPr>
        <w:t>s</w:t>
      </w:r>
      <w:r w:rsidRPr="004C7E3E">
        <w:rPr>
          <w:rFonts w:ascii="Century Gothic" w:eastAsia="Times New Roman" w:hAnsi="Century Gothic"/>
          <w:szCs w:val="22"/>
        </w:rPr>
        <w:t xml:space="preserve"> and installation of a firefighter communications system in the building.  ECC/HANH spent $765,685 on Phase 2 health-safety contract work; $140,770 on security camera upgrade</w:t>
      </w:r>
      <w:r w:rsidR="746FBFB0" w:rsidRPr="004C7E3E">
        <w:rPr>
          <w:rFonts w:ascii="Century Gothic" w:eastAsia="Times New Roman" w:hAnsi="Century Gothic"/>
          <w:szCs w:val="22"/>
        </w:rPr>
        <w:t>s</w:t>
      </w:r>
      <w:r w:rsidRPr="004C7E3E">
        <w:rPr>
          <w:rFonts w:ascii="Century Gothic" w:eastAsia="Times New Roman" w:hAnsi="Century Gothic"/>
          <w:szCs w:val="22"/>
        </w:rPr>
        <w:t xml:space="preserve"> (funding primarily through Emergency Safety Security Grant 2022 funds identified below); and $2,935 on relocation costs (movers &amp; hotel) at Crawford.</w:t>
      </w:r>
    </w:p>
    <w:p w14:paraId="21E11FCE" w14:textId="3CC7FA83" w:rsidR="2C83264F" w:rsidRPr="004C7E3E" w:rsidRDefault="2C83264F" w:rsidP="003C7A55">
      <w:pPr>
        <w:ind w:left="1440"/>
        <w:rPr>
          <w:rFonts w:ascii="Century Gothic" w:eastAsia="Times New Roman" w:hAnsi="Century Gothic"/>
          <w:b/>
          <w:bCs/>
          <w:szCs w:val="22"/>
        </w:rPr>
      </w:pPr>
      <w:r w:rsidRPr="004C7E3E">
        <w:rPr>
          <w:rFonts w:ascii="Century Gothic" w:eastAsia="Times New Roman" w:hAnsi="Century Gothic"/>
          <w:b/>
          <w:bCs/>
          <w:szCs w:val="22"/>
        </w:rPr>
        <w:t xml:space="preserve"> </w:t>
      </w:r>
    </w:p>
    <w:p w14:paraId="0A346075" w14:textId="1D1C71F2" w:rsidR="2C83264F" w:rsidRPr="004C7E3E" w:rsidRDefault="2C83264F" w:rsidP="003C7A55">
      <w:pPr>
        <w:ind w:left="360"/>
        <w:rPr>
          <w:rFonts w:ascii="Century Gothic" w:eastAsia="Times New Roman" w:hAnsi="Century Gothic"/>
          <w:b/>
          <w:bCs/>
          <w:szCs w:val="22"/>
        </w:rPr>
      </w:pPr>
      <w:r w:rsidRPr="004C7E3E">
        <w:rPr>
          <w:rFonts w:ascii="Century Gothic" w:eastAsia="Times New Roman" w:hAnsi="Century Gothic"/>
          <w:b/>
          <w:bCs/>
          <w:szCs w:val="22"/>
        </w:rPr>
        <w:lastRenderedPageBreak/>
        <w:t>2</w:t>
      </w:r>
      <w:proofErr w:type="gramStart"/>
      <w:r w:rsidRPr="004C7E3E">
        <w:rPr>
          <w:rFonts w:ascii="Century Gothic" w:eastAsia="Times New Roman" w:hAnsi="Century Gothic"/>
          <w:b/>
          <w:bCs/>
          <w:szCs w:val="22"/>
        </w:rPr>
        <w:t>.  Wolfe</w:t>
      </w:r>
      <w:proofErr w:type="gramEnd"/>
      <w:r w:rsidR="00E05E21" w:rsidRPr="004C7E3E">
        <w:rPr>
          <w:rFonts w:ascii="Century Gothic" w:eastAsia="Times New Roman" w:hAnsi="Century Gothic"/>
          <w:b/>
          <w:bCs/>
          <w:szCs w:val="22"/>
        </w:rPr>
        <w:t>: Health</w:t>
      </w:r>
      <w:r w:rsidRPr="004C7E3E">
        <w:rPr>
          <w:rFonts w:ascii="Century Gothic" w:eastAsia="Times New Roman" w:hAnsi="Century Gothic"/>
          <w:b/>
          <w:bCs/>
          <w:szCs w:val="22"/>
        </w:rPr>
        <w:t xml:space="preserve"> and Safety Repairs</w:t>
      </w:r>
    </w:p>
    <w:p w14:paraId="00BD9BCB" w14:textId="5BA6832D" w:rsidR="2C83264F" w:rsidRPr="004C7E3E" w:rsidRDefault="2C83264F" w:rsidP="00486062">
      <w:pPr>
        <w:pStyle w:val="ListParagraph"/>
        <w:numPr>
          <w:ilvl w:val="1"/>
          <w:numId w:val="33"/>
        </w:numPr>
        <w:rPr>
          <w:rFonts w:ascii="Century Gothic" w:eastAsia="Times New Roman" w:hAnsi="Century Gothic"/>
          <w:szCs w:val="22"/>
        </w:rPr>
      </w:pPr>
      <w:r w:rsidRPr="004C7E3E">
        <w:rPr>
          <w:rFonts w:ascii="Century Gothic" w:eastAsia="Times New Roman" w:hAnsi="Century Gothic"/>
          <w:szCs w:val="22"/>
        </w:rPr>
        <w:t xml:space="preserve">ECC/HANH plans for major redevelopment at Robert T. Wolfe as a future RAD conversion project.  In September 2023, the Glendower </w:t>
      </w:r>
      <w:proofErr w:type="gramStart"/>
      <w:r w:rsidRPr="004C7E3E">
        <w:rPr>
          <w:rFonts w:ascii="Century Gothic" w:eastAsia="Times New Roman" w:hAnsi="Century Gothic"/>
          <w:szCs w:val="22"/>
        </w:rPr>
        <w:t>Group,</w:t>
      </w:r>
      <w:proofErr w:type="gramEnd"/>
      <w:r w:rsidRPr="004C7E3E">
        <w:rPr>
          <w:rFonts w:ascii="Century Gothic" w:eastAsia="Times New Roman" w:hAnsi="Century Gothic"/>
          <w:szCs w:val="22"/>
        </w:rPr>
        <w:t xml:space="preserve"> received a $500,000 Choice Neighborhoods Planning Grant award to focus on the best use of the Union Avenue site</w:t>
      </w:r>
      <w:r w:rsidR="00C730A5">
        <w:rPr>
          <w:rFonts w:ascii="Century Gothic" w:eastAsia="Times New Roman" w:hAnsi="Century Gothic"/>
          <w:szCs w:val="22"/>
        </w:rPr>
        <w:t>,</w:t>
      </w:r>
      <w:r w:rsidRPr="004C7E3E">
        <w:rPr>
          <w:rFonts w:ascii="Century Gothic" w:eastAsia="Times New Roman" w:hAnsi="Century Gothic"/>
          <w:szCs w:val="22"/>
        </w:rPr>
        <w:t xml:space="preserve"> incorporating it into the larger recently acquired Union Square site (former location of the demolished Church Street South housing development).  In the interim, as other developments took priority for redevelopment, ECC/HANH identified more immediate health and safety needs and addressed those while waiting for full project redevelopment, including </w:t>
      </w:r>
      <w:r w:rsidR="6D458F33" w:rsidRPr="004C7E3E">
        <w:rPr>
          <w:rFonts w:ascii="Century Gothic" w:eastAsia="Times New Roman" w:hAnsi="Century Gothic"/>
          <w:szCs w:val="22"/>
        </w:rPr>
        <w:t xml:space="preserve">the </w:t>
      </w:r>
      <w:r w:rsidRPr="004C7E3E">
        <w:rPr>
          <w:rFonts w:ascii="Century Gothic" w:eastAsia="Times New Roman" w:hAnsi="Century Gothic"/>
          <w:szCs w:val="22"/>
        </w:rPr>
        <w:t xml:space="preserve">anticipated future demolition of the Wolfe building.  $18,750 </w:t>
      </w:r>
      <w:r w:rsidR="4F329179" w:rsidRPr="004C7E3E">
        <w:rPr>
          <w:rFonts w:ascii="Century Gothic" w:eastAsia="Times New Roman" w:hAnsi="Century Gothic"/>
          <w:szCs w:val="22"/>
        </w:rPr>
        <w:t xml:space="preserve">of </w:t>
      </w:r>
      <w:r w:rsidRPr="004C7E3E">
        <w:rPr>
          <w:rFonts w:ascii="Century Gothic" w:eastAsia="Times New Roman" w:hAnsi="Century Gothic"/>
          <w:szCs w:val="22"/>
        </w:rPr>
        <w:t xml:space="preserve">MTW </w:t>
      </w:r>
      <w:r w:rsidR="2AD274B7" w:rsidRPr="004C7E3E">
        <w:rPr>
          <w:rFonts w:ascii="Century Gothic" w:eastAsia="Times New Roman" w:hAnsi="Century Gothic"/>
          <w:szCs w:val="22"/>
        </w:rPr>
        <w:t>funds</w:t>
      </w:r>
      <w:r w:rsidR="36574B2A" w:rsidRPr="004C7E3E">
        <w:rPr>
          <w:rFonts w:ascii="Century Gothic" w:eastAsia="Times New Roman" w:hAnsi="Century Gothic"/>
          <w:szCs w:val="22"/>
        </w:rPr>
        <w:t xml:space="preserve"> was</w:t>
      </w:r>
      <w:r w:rsidRPr="004C7E3E">
        <w:rPr>
          <w:rFonts w:ascii="Century Gothic" w:eastAsia="Times New Roman" w:hAnsi="Century Gothic"/>
          <w:szCs w:val="22"/>
        </w:rPr>
        <w:t xml:space="preserve"> spent on completing Phase 1 common area repairs; $80,615</w:t>
      </w:r>
      <w:r w:rsidR="3128405D" w:rsidRPr="004C7E3E">
        <w:rPr>
          <w:rFonts w:ascii="Century Gothic" w:eastAsia="Times New Roman" w:hAnsi="Century Gothic"/>
          <w:szCs w:val="22"/>
        </w:rPr>
        <w:t xml:space="preserve"> was</w:t>
      </w:r>
      <w:r w:rsidRPr="004C7E3E">
        <w:rPr>
          <w:rFonts w:ascii="Century Gothic" w:eastAsia="Times New Roman" w:hAnsi="Century Gothic"/>
          <w:szCs w:val="22"/>
        </w:rPr>
        <w:t xml:space="preserve"> spent on completing Phase 2 apartment repairs; $58,267</w:t>
      </w:r>
      <w:r w:rsidR="69933FC8" w:rsidRPr="004C7E3E">
        <w:rPr>
          <w:rFonts w:ascii="Century Gothic" w:eastAsia="Times New Roman" w:hAnsi="Century Gothic"/>
          <w:szCs w:val="22"/>
        </w:rPr>
        <w:t xml:space="preserve"> was spent</w:t>
      </w:r>
      <w:r w:rsidRPr="004C7E3E">
        <w:rPr>
          <w:rFonts w:ascii="Century Gothic" w:eastAsia="Times New Roman" w:hAnsi="Century Gothic"/>
          <w:szCs w:val="22"/>
        </w:rPr>
        <w:t xml:space="preserve"> on security camera upgrade (funding primarily through Emergency Safety Security Grant 2022 identified below); </w:t>
      </w:r>
      <w:r w:rsidR="10826B39" w:rsidRPr="004C7E3E">
        <w:rPr>
          <w:rFonts w:ascii="Century Gothic" w:eastAsia="Times New Roman" w:hAnsi="Century Gothic"/>
          <w:szCs w:val="22"/>
        </w:rPr>
        <w:t xml:space="preserve">and </w:t>
      </w:r>
      <w:r w:rsidRPr="004C7E3E">
        <w:rPr>
          <w:rFonts w:ascii="Century Gothic" w:eastAsia="Times New Roman" w:hAnsi="Century Gothic"/>
          <w:szCs w:val="22"/>
        </w:rPr>
        <w:t xml:space="preserve">$9,800 </w:t>
      </w:r>
      <w:r w:rsidR="3C8A2103" w:rsidRPr="004C7E3E">
        <w:rPr>
          <w:rFonts w:ascii="Century Gothic" w:eastAsia="Times New Roman" w:hAnsi="Century Gothic"/>
          <w:szCs w:val="22"/>
        </w:rPr>
        <w:t xml:space="preserve">in </w:t>
      </w:r>
      <w:r w:rsidRPr="004C7E3E">
        <w:rPr>
          <w:rFonts w:ascii="Century Gothic" w:eastAsia="Times New Roman" w:hAnsi="Century Gothic"/>
          <w:szCs w:val="22"/>
        </w:rPr>
        <w:t xml:space="preserve">MTW funds </w:t>
      </w:r>
      <w:r w:rsidR="1724BAC7" w:rsidRPr="004C7E3E">
        <w:rPr>
          <w:rFonts w:ascii="Century Gothic" w:eastAsia="Times New Roman" w:hAnsi="Century Gothic"/>
          <w:szCs w:val="22"/>
        </w:rPr>
        <w:t xml:space="preserve">were </w:t>
      </w:r>
      <w:r w:rsidRPr="004C7E3E">
        <w:rPr>
          <w:rFonts w:ascii="Century Gothic" w:eastAsia="Times New Roman" w:hAnsi="Century Gothic"/>
          <w:szCs w:val="22"/>
        </w:rPr>
        <w:t>spent on gutters.</w:t>
      </w:r>
    </w:p>
    <w:p w14:paraId="2D0A207D" w14:textId="3B0E532F" w:rsidR="2C83264F" w:rsidRPr="004C7E3E" w:rsidRDefault="2C83264F" w:rsidP="003C7A55">
      <w:pPr>
        <w:ind w:left="1440"/>
        <w:jc w:val="center"/>
        <w:rPr>
          <w:rFonts w:ascii="Century Gothic" w:eastAsia="Times New Roman" w:hAnsi="Century Gothic"/>
          <w:b/>
          <w:bCs/>
          <w:szCs w:val="22"/>
        </w:rPr>
      </w:pPr>
      <w:r w:rsidRPr="004C7E3E">
        <w:rPr>
          <w:rFonts w:ascii="Century Gothic" w:eastAsia="Times New Roman" w:hAnsi="Century Gothic"/>
          <w:b/>
          <w:bCs/>
          <w:szCs w:val="22"/>
        </w:rPr>
        <w:t xml:space="preserve"> </w:t>
      </w:r>
    </w:p>
    <w:p w14:paraId="7215B0C6" w14:textId="5B87BFDE" w:rsidR="2C83264F" w:rsidRPr="004C7E3E" w:rsidRDefault="2C83264F" w:rsidP="00486062">
      <w:pPr>
        <w:pStyle w:val="ListParagraph"/>
        <w:numPr>
          <w:ilvl w:val="0"/>
          <w:numId w:val="34"/>
        </w:numPr>
        <w:rPr>
          <w:rFonts w:ascii="Century Gothic" w:eastAsia="Times New Roman" w:hAnsi="Century Gothic"/>
          <w:b/>
          <w:bCs/>
          <w:szCs w:val="22"/>
        </w:rPr>
      </w:pPr>
      <w:r w:rsidRPr="004C7E3E">
        <w:rPr>
          <w:rFonts w:ascii="Century Gothic" w:eastAsia="Times New Roman" w:hAnsi="Century Gothic"/>
          <w:b/>
          <w:bCs/>
          <w:szCs w:val="22"/>
        </w:rPr>
        <w:t>Essex Interior/Building/Site Upgrades</w:t>
      </w:r>
    </w:p>
    <w:p w14:paraId="0789D3BC" w14:textId="66170231" w:rsidR="2C83264F" w:rsidRPr="004C7E3E" w:rsidRDefault="63058E17" w:rsidP="00486062">
      <w:pPr>
        <w:pStyle w:val="ListParagraph"/>
        <w:numPr>
          <w:ilvl w:val="1"/>
          <w:numId w:val="33"/>
        </w:numPr>
        <w:rPr>
          <w:rFonts w:ascii="Century Gothic" w:eastAsia="Times New Roman" w:hAnsi="Century Gothic"/>
          <w:szCs w:val="22"/>
        </w:rPr>
      </w:pPr>
      <w:r w:rsidRPr="004C7E3E">
        <w:rPr>
          <w:rFonts w:ascii="Century Gothic" w:eastAsia="Times New Roman" w:hAnsi="Century Gothic"/>
          <w:szCs w:val="22"/>
        </w:rPr>
        <w:t>This is a n</w:t>
      </w:r>
      <w:r w:rsidR="2C83264F" w:rsidRPr="004C7E3E">
        <w:rPr>
          <w:rFonts w:ascii="Century Gothic" w:eastAsia="Times New Roman" w:hAnsi="Century Gothic"/>
          <w:szCs w:val="22"/>
        </w:rPr>
        <w:t xml:space="preserve">on-RAD conversion development.  During FY24, ECC/HANH closed out the basement abatement and fencing contract and completed the building envelope and interior project to replace roofs, gutters, siding, windows, AC sleeves, and bathrooms. Additionally, in FY24, ECC/HANH solicited bids to replace damaged basement access hatches, make carport and foundation repairs, and restore two fire-damaged units (with partial insurance funding) at Essex.  Contract to be implemented in FY25.  $13,994.58 spent on final basement abatement and fence replacement contract; $226,901.36 spent on building envelope contract; $68,735.85 (movers, hotel, miscellaneous relocation costs) spent on temporary resident relocation in the family development for the renovations with hazardous material abatement; $10,821.19 spent on security camera upgrade (funding primarily through Emergency </w:t>
      </w:r>
      <w:proofErr w:type="gramStart"/>
      <w:r w:rsidR="2C83264F" w:rsidRPr="004C7E3E">
        <w:rPr>
          <w:rFonts w:ascii="Century Gothic" w:eastAsia="Times New Roman" w:hAnsi="Century Gothic"/>
          <w:szCs w:val="22"/>
        </w:rPr>
        <w:t>Safety Security</w:t>
      </w:r>
      <w:proofErr w:type="gramEnd"/>
      <w:r w:rsidR="2C83264F" w:rsidRPr="004C7E3E">
        <w:rPr>
          <w:rFonts w:ascii="Century Gothic" w:eastAsia="Times New Roman" w:hAnsi="Century Gothic"/>
          <w:szCs w:val="22"/>
        </w:rPr>
        <w:t xml:space="preserve"> Grant 2023 identified below).</w:t>
      </w:r>
    </w:p>
    <w:p w14:paraId="544A349A" w14:textId="61C3CC80" w:rsidR="2C83264F" w:rsidRPr="004C7E3E" w:rsidRDefault="2C83264F" w:rsidP="003C7A55">
      <w:pPr>
        <w:ind w:left="1440"/>
        <w:jc w:val="center"/>
        <w:rPr>
          <w:rFonts w:ascii="Century Gothic" w:eastAsia="Times New Roman" w:hAnsi="Century Gothic"/>
          <w:b/>
          <w:bCs/>
          <w:szCs w:val="22"/>
        </w:rPr>
      </w:pPr>
      <w:r w:rsidRPr="004C7E3E">
        <w:rPr>
          <w:rFonts w:ascii="Century Gothic" w:eastAsia="Times New Roman" w:hAnsi="Century Gothic"/>
          <w:b/>
          <w:bCs/>
          <w:szCs w:val="22"/>
        </w:rPr>
        <w:t xml:space="preserve"> </w:t>
      </w:r>
    </w:p>
    <w:p w14:paraId="2D5A3FA0" w14:textId="1B195ADE" w:rsidR="2C83264F" w:rsidRPr="004C7E3E" w:rsidRDefault="2C83264F" w:rsidP="003C7A55">
      <w:pPr>
        <w:ind w:left="360"/>
        <w:rPr>
          <w:rFonts w:ascii="Century Gothic" w:eastAsia="Times New Roman" w:hAnsi="Century Gothic"/>
          <w:b/>
          <w:bCs/>
          <w:szCs w:val="22"/>
        </w:rPr>
      </w:pPr>
      <w:r w:rsidRPr="004C7E3E">
        <w:rPr>
          <w:rFonts w:ascii="Century Gothic" w:eastAsia="Times New Roman" w:hAnsi="Century Gothic"/>
          <w:b/>
          <w:bCs/>
          <w:szCs w:val="22"/>
        </w:rPr>
        <w:t xml:space="preserve">4. </w:t>
      </w:r>
      <w:r w:rsidR="00515BD7">
        <w:rPr>
          <w:rFonts w:ascii="Century Gothic" w:eastAsia="Times New Roman" w:hAnsi="Century Gothic"/>
          <w:b/>
          <w:bCs/>
          <w:szCs w:val="22"/>
        </w:rPr>
        <w:t xml:space="preserve">  </w:t>
      </w:r>
      <w:r w:rsidRPr="004C7E3E">
        <w:rPr>
          <w:rFonts w:ascii="Century Gothic" w:eastAsia="Times New Roman" w:hAnsi="Century Gothic"/>
          <w:b/>
          <w:bCs/>
          <w:szCs w:val="22"/>
        </w:rPr>
        <w:t>Scattered Sites Interior/Building/Site Upgrades</w:t>
      </w:r>
    </w:p>
    <w:p w14:paraId="44A1DA1F" w14:textId="05ACD3B6" w:rsidR="2C83264F" w:rsidRPr="004C7E3E" w:rsidRDefault="2C83264F" w:rsidP="00486062">
      <w:pPr>
        <w:pStyle w:val="ListParagraph"/>
        <w:numPr>
          <w:ilvl w:val="1"/>
          <w:numId w:val="34"/>
        </w:numPr>
        <w:rPr>
          <w:rFonts w:ascii="Century Gothic" w:eastAsia="Times New Roman" w:hAnsi="Century Gothic"/>
          <w:szCs w:val="22"/>
        </w:rPr>
      </w:pPr>
      <w:r w:rsidRPr="004C7E3E">
        <w:rPr>
          <w:rFonts w:ascii="Century Gothic" w:eastAsia="Times New Roman" w:hAnsi="Century Gothic"/>
          <w:b/>
          <w:bCs/>
          <w:szCs w:val="22"/>
        </w:rPr>
        <w:t>Scattered Sites West Interior Building/ Site Upgrades</w:t>
      </w:r>
      <w:r w:rsidRPr="004C7E3E">
        <w:rPr>
          <w:rFonts w:ascii="Century Gothic" w:eastAsia="Times New Roman" w:hAnsi="Century Gothic"/>
          <w:szCs w:val="22"/>
        </w:rPr>
        <w:t xml:space="preserve"> </w:t>
      </w:r>
    </w:p>
    <w:p w14:paraId="7BE9B5ED" w14:textId="498373EF" w:rsidR="2C83264F" w:rsidRPr="00AC7D3F" w:rsidRDefault="42F6715A" w:rsidP="00AC7D3F">
      <w:pPr>
        <w:ind w:left="1440"/>
        <w:rPr>
          <w:rFonts w:ascii="Century Gothic" w:eastAsia="Times New Roman" w:hAnsi="Century Gothic"/>
          <w:szCs w:val="22"/>
        </w:rPr>
      </w:pPr>
      <w:r w:rsidRPr="00AC7D3F">
        <w:rPr>
          <w:rFonts w:ascii="Century Gothic" w:eastAsia="Times New Roman" w:hAnsi="Century Gothic"/>
          <w:szCs w:val="22"/>
        </w:rPr>
        <w:t xml:space="preserve">This is a </w:t>
      </w:r>
      <w:r w:rsidR="2D42EDE9" w:rsidRPr="00AC7D3F">
        <w:rPr>
          <w:rFonts w:ascii="Century Gothic" w:eastAsia="Times New Roman" w:hAnsi="Century Gothic"/>
          <w:szCs w:val="22"/>
        </w:rPr>
        <w:t>n</w:t>
      </w:r>
      <w:r w:rsidR="2C83264F" w:rsidRPr="00AC7D3F">
        <w:rPr>
          <w:rFonts w:ascii="Century Gothic" w:eastAsia="Times New Roman" w:hAnsi="Century Gothic"/>
          <w:szCs w:val="22"/>
        </w:rPr>
        <w:t xml:space="preserve">on-RAD conversion development.  </w:t>
      </w:r>
      <w:r w:rsidR="3307F94C" w:rsidRPr="00AC7D3F">
        <w:rPr>
          <w:rFonts w:ascii="Century Gothic" w:eastAsia="Times New Roman" w:hAnsi="Century Gothic"/>
          <w:szCs w:val="22"/>
        </w:rPr>
        <w:t>The u</w:t>
      </w:r>
      <w:r w:rsidR="2C83264F" w:rsidRPr="00AC7D3F">
        <w:rPr>
          <w:rFonts w:ascii="Century Gothic" w:eastAsia="Times New Roman" w:hAnsi="Century Gothic"/>
          <w:szCs w:val="22"/>
        </w:rPr>
        <w:t xml:space="preserve">nits need kitchen and bathroom upgrades, interior doors, walls, ceilings, floors, appliances; fences, sidewalks, lighting, building envelope and exterior repairs, code upgrades, site, structure repairs and replacements related to life, health and safety issues, etc.  </w:t>
      </w:r>
      <w:r w:rsidR="4E99425B" w:rsidRPr="00AC7D3F">
        <w:rPr>
          <w:rFonts w:ascii="Century Gothic" w:eastAsia="Times New Roman" w:hAnsi="Century Gothic"/>
          <w:szCs w:val="22"/>
        </w:rPr>
        <w:t>There is a b</w:t>
      </w:r>
      <w:r w:rsidR="2C83264F" w:rsidRPr="00AC7D3F">
        <w:rPr>
          <w:rFonts w:ascii="Century Gothic" w:eastAsia="Times New Roman" w:hAnsi="Century Gothic"/>
          <w:szCs w:val="22"/>
        </w:rPr>
        <w:t xml:space="preserve">acklog of unfunded needs. </w:t>
      </w:r>
      <w:r w:rsidR="40C8D782" w:rsidRPr="00AC7D3F">
        <w:rPr>
          <w:rFonts w:ascii="Century Gothic" w:eastAsia="Times New Roman" w:hAnsi="Century Gothic"/>
          <w:szCs w:val="22"/>
        </w:rPr>
        <w:t xml:space="preserve"> The </w:t>
      </w:r>
      <w:r w:rsidR="2C83264F" w:rsidRPr="00AC7D3F">
        <w:rPr>
          <w:rFonts w:ascii="Century Gothic" w:eastAsia="Times New Roman" w:hAnsi="Century Gothic"/>
          <w:szCs w:val="22"/>
        </w:rPr>
        <w:t xml:space="preserve">ECC/HANH staff engaged in a series of meetings, reviewed the Physical Needs Assessments, including the estimated remaining useful life projections for building systems and equipment, and established priorities and budgets for capital expenditures in FY24.  Renovations occurred in conjunction with the 2020 Lead Grant and the 2020 Housing-Related Hazards Grant.  Group D construction </w:t>
      </w:r>
      <w:r w:rsidR="6D975D32" w:rsidRPr="00AC7D3F">
        <w:rPr>
          <w:rFonts w:ascii="Century Gothic" w:eastAsia="Times New Roman" w:hAnsi="Century Gothic"/>
          <w:szCs w:val="22"/>
        </w:rPr>
        <w:t xml:space="preserve">is </w:t>
      </w:r>
      <w:r w:rsidR="2C83264F" w:rsidRPr="00AC7D3F">
        <w:rPr>
          <w:rFonts w:ascii="Century Gothic" w:eastAsia="Times New Roman" w:hAnsi="Century Gothic"/>
          <w:szCs w:val="22"/>
        </w:rPr>
        <w:t>in progress.  $1,54</w:t>
      </w:r>
      <w:r w:rsidR="1A157BF5" w:rsidRPr="00AC7D3F">
        <w:rPr>
          <w:rFonts w:ascii="Century Gothic" w:eastAsia="Times New Roman" w:hAnsi="Century Gothic"/>
          <w:szCs w:val="22"/>
        </w:rPr>
        <w:t>8</w:t>
      </w:r>
      <w:r w:rsidR="2C83264F" w:rsidRPr="00AC7D3F">
        <w:rPr>
          <w:rFonts w:ascii="Century Gothic" w:eastAsia="Times New Roman" w:hAnsi="Century Gothic"/>
          <w:szCs w:val="22"/>
        </w:rPr>
        <w:t xml:space="preserve"> spent on final Group B relocation-related expenses; $50,654 spent on Group D contract.</w:t>
      </w:r>
    </w:p>
    <w:p w14:paraId="5C784237" w14:textId="1893613D" w:rsidR="2C83264F" w:rsidRPr="004C7E3E" w:rsidRDefault="2C83264F" w:rsidP="003C7A55">
      <w:pPr>
        <w:ind w:left="1800"/>
        <w:jc w:val="center"/>
        <w:rPr>
          <w:rFonts w:ascii="Century Gothic" w:eastAsia="Times New Roman" w:hAnsi="Century Gothic"/>
          <w:b/>
          <w:bCs/>
          <w:szCs w:val="22"/>
        </w:rPr>
      </w:pPr>
      <w:r w:rsidRPr="004C7E3E">
        <w:rPr>
          <w:rFonts w:ascii="Century Gothic" w:eastAsia="Times New Roman" w:hAnsi="Century Gothic"/>
          <w:b/>
          <w:bCs/>
          <w:szCs w:val="22"/>
        </w:rPr>
        <w:t xml:space="preserve"> </w:t>
      </w:r>
    </w:p>
    <w:p w14:paraId="47F848D6" w14:textId="3F1A84F9" w:rsidR="2C83264F" w:rsidRPr="004C7E3E" w:rsidRDefault="2C83264F" w:rsidP="00486062">
      <w:pPr>
        <w:pStyle w:val="ListParagraph"/>
        <w:numPr>
          <w:ilvl w:val="1"/>
          <w:numId w:val="34"/>
        </w:numPr>
        <w:rPr>
          <w:rFonts w:ascii="Century Gothic" w:eastAsia="Times New Roman" w:hAnsi="Century Gothic"/>
          <w:b/>
          <w:bCs/>
          <w:szCs w:val="22"/>
        </w:rPr>
      </w:pPr>
      <w:r w:rsidRPr="004C7E3E">
        <w:rPr>
          <w:rFonts w:ascii="Century Gothic" w:eastAsia="Times New Roman" w:hAnsi="Century Gothic"/>
          <w:b/>
          <w:bCs/>
          <w:szCs w:val="22"/>
        </w:rPr>
        <w:t>Scattered Sites East Interior/Building/Site Upgrades</w:t>
      </w:r>
    </w:p>
    <w:p w14:paraId="2DC68DD2" w14:textId="795D760F" w:rsidR="2C83264F" w:rsidRPr="00AC7D3F" w:rsidRDefault="359137D9" w:rsidP="00AC7D3F">
      <w:pPr>
        <w:ind w:left="1440"/>
        <w:rPr>
          <w:rFonts w:ascii="Century Gothic" w:eastAsia="Times New Roman" w:hAnsi="Century Gothic"/>
          <w:szCs w:val="22"/>
        </w:rPr>
      </w:pPr>
      <w:r w:rsidRPr="00AC7D3F">
        <w:rPr>
          <w:rFonts w:ascii="Century Gothic" w:eastAsia="Times New Roman" w:hAnsi="Century Gothic"/>
          <w:szCs w:val="22"/>
        </w:rPr>
        <w:t>40</w:t>
      </w:r>
      <w:r w:rsidR="2C83264F" w:rsidRPr="00AC7D3F">
        <w:rPr>
          <w:rFonts w:ascii="Century Gothic" w:eastAsia="Times New Roman" w:hAnsi="Century Gothic"/>
          <w:szCs w:val="22"/>
        </w:rPr>
        <w:t xml:space="preserve"> of 52 units </w:t>
      </w:r>
      <w:r w:rsidR="2700EB19" w:rsidRPr="00AC7D3F">
        <w:rPr>
          <w:rFonts w:ascii="Century Gothic" w:eastAsia="Times New Roman" w:hAnsi="Century Gothic"/>
          <w:szCs w:val="22"/>
        </w:rPr>
        <w:t>are</w:t>
      </w:r>
      <w:r w:rsidR="2C83264F" w:rsidRPr="00AC7D3F">
        <w:rPr>
          <w:rFonts w:ascii="Century Gothic" w:eastAsia="Times New Roman" w:hAnsi="Century Gothic"/>
          <w:szCs w:val="22"/>
        </w:rPr>
        <w:t xml:space="preserve"> considered for RAD conversions.  </w:t>
      </w:r>
      <w:r w:rsidR="209F2A9D" w:rsidRPr="00AC7D3F">
        <w:rPr>
          <w:rFonts w:ascii="Century Gothic" w:eastAsia="Times New Roman" w:hAnsi="Century Gothic"/>
          <w:szCs w:val="22"/>
        </w:rPr>
        <w:t>The u</w:t>
      </w:r>
      <w:r w:rsidR="2C83264F" w:rsidRPr="00AC7D3F">
        <w:rPr>
          <w:rFonts w:ascii="Century Gothic" w:eastAsia="Times New Roman" w:hAnsi="Century Gothic"/>
          <w:szCs w:val="22"/>
        </w:rPr>
        <w:t>nits need kitchen and bathroom upgrade</w:t>
      </w:r>
      <w:r w:rsidR="4A02D731" w:rsidRPr="00AC7D3F">
        <w:rPr>
          <w:rFonts w:ascii="Century Gothic" w:eastAsia="Times New Roman" w:hAnsi="Century Gothic"/>
          <w:szCs w:val="22"/>
        </w:rPr>
        <w:t>s</w:t>
      </w:r>
      <w:r w:rsidR="2C83264F" w:rsidRPr="00AC7D3F">
        <w:rPr>
          <w:rFonts w:ascii="Century Gothic" w:eastAsia="Times New Roman" w:hAnsi="Century Gothic"/>
          <w:szCs w:val="22"/>
        </w:rPr>
        <w:t xml:space="preserve">, interior doors, walls, ceilings, floors, appliances, fences, sidewalks, lighting, building envelope and exterior repairs, code upgrades, etc. </w:t>
      </w:r>
      <w:r w:rsidR="132C1BBF" w:rsidRPr="00AC7D3F">
        <w:rPr>
          <w:rFonts w:ascii="Century Gothic" w:eastAsia="Times New Roman" w:hAnsi="Century Gothic"/>
          <w:szCs w:val="22"/>
        </w:rPr>
        <w:lastRenderedPageBreak/>
        <w:t>There is a b</w:t>
      </w:r>
      <w:r w:rsidR="2C83264F" w:rsidRPr="00AC7D3F">
        <w:rPr>
          <w:rFonts w:ascii="Century Gothic" w:eastAsia="Times New Roman" w:hAnsi="Century Gothic"/>
          <w:szCs w:val="22"/>
        </w:rPr>
        <w:t xml:space="preserve">acklog of unfunded needs. ECC/HANH staff engaged in a series of meetings, reviewed the Physical Needs Assessments, including the estimated remaining useful life projections for building systems and equipment, and established priorities and budgets for capital expenditures in FY24.  Renovations occurred in conjunction with the 2020 Lead Grant and the 2020 Housing-Related Hazards Grant. Group D construction </w:t>
      </w:r>
      <w:proofErr w:type="gramStart"/>
      <w:r w:rsidR="2C83264F" w:rsidRPr="00AC7D3F">
        <w:rPr>
          <w:rFonts w:ascii="Century Gothic" w:eastAsia="Times New Roman" w:hAnsi="Century Gothic"/>
          <w:szCs w:val="22"/>
        </w:rPr>
        <w:t>in</w:t>
      </w:r>
      <w:proofErr w:type="gramEnd"/>
      <w:r w:rsidR="2C83264F" w:rsidRPr="00AC7D3F">
        <w:rPr>
          <w:rFonts w:ascii="Century Gothic" w:eastAsia="Times New Roman" w:hAnsi="Century Gothic"/>
          <w:szCs w:val="22"/>
        </w:rPr>
        <w:t xml:space="preserve"> progress.  $2</w:t>
      </w:r>
      <w:r w:rsidR="0D96D814" w:rsidRPr="00AC7D3F">
        <w:rPr>
          <w:rFonts w:ascii="Century Gothic" w:eastAsia="Times New Roman" w:hAnsi="Century Gothic"/>
          <w:szCs w:val="22"/>
        </w:rPr>
        <w:t>9</w:t>
      </w:r>
      <w:r w:rsidR="2C83264F" w:rsidRPr="00AC7D3F">
        <w:rPr>
          <w:rFonts w:ascii="Century Gothic" w:eastAsia="Times New Roman" w:hAnsi="Century Gothic"/>
          <w:szCs w:val="22"/>
        </w:rPr>
        <w:t>,</w:t>
      </w:r>
      <w:r w:rsidR="53CE71C9" w:rsidRPr="00AC7D3F">
        <w:rPr>
          <w:rFonts w:ascii="Century Gothic" w:eastAsia="Times New Roman" w:hAnsi="Century Gothic"/>
          <w:szCs w:val="22"/>
        </w:rPr>
        <w:t>5</w:t>
      </w:r>
      <w:r w:rsidR="2C83264F" w:rsidRPr="00AC7D3F">
        <w:rPr>
          <w:rFonts w:ascii="Century Gothic" w:eastAsia="Times New Roman" w:hAnsi="Century Gothic"/>
          <w:szCs w:val="22"/>
        </w:rPr>
        <w:t>3</w:t>
      </w:r>
      <w:r w:rsidR="3D728670" w:rsidRPr="00AC7D3F">
        <w:rPr>
          <w:rFonts w:ascii="Century Gothic" w:eastAsia="Times New Roman" w:hAnsi="Century Gothic"/>
          <w:szCs w:val="22"/>
        </w:rPr>
        <w:t>4 was</w:t>
      </w:r>
      <w:r w:rsidR="2C83264F" w:rsidRPr="00AC7D3F">
        <w:rPr>
          <w:rFonts w:ascii="Century Gothic" w:eastAsia="Times New Roman" w:hAnsi="Century Gothic"/>
          <w:szCs w:val="22"/>
        </w:rPr>
        <w:t xml:space="preserve"> spent on Groups C and D relocation</w:t>
      </w:r>
      <w:r w:rsidR="008F4BE2" w:rsidRPr="00AC7D3F">
        <w:rPr>
          <w:rFonts w:ascii="Century Gothic" w:eastAsia="Times New Roman" w:hAnsi="Century Gothic"/>
          <w:szCs w:val="22"/>
        </w:rPr>
        <w:t xml:space="preserve"> </w:t>
      </w:r>
      <w:r w:rsidR="2C83264F" w:rsidRPr="00AC7D3F">
        <w:rPr>
          <w:rFonts w:ascii="Century Gothic" w:eastAsia="Times New Roman" w:hAnsi="Century Gothic"/>
          <w:szCs w:val="22"/>
        </w:rPr>
        <w:t>related expenses; $311,149</w:t>
      </w:r>
      <w:r w:rsidR="7D111477" w:rsidRPr="00AC7D3F">
        <w:rPr>
          <w:rFonts w:ascii="Century Gothic" w:eastAsia="Times New Roman" w:hAnsi="Century Gothic"/>
          <w:szCs w:val="22"/>
        </w:rPr>
        <w:t xml:space="preserve"> was</w:t>
      </w:r>
      <w:r w:rsidR="2C83264F" w:rsidRPr="00AC7D3F">
        <w:rPr>
          <w:rFonts w:ascii="Century Gothic" w:eastAsia="Times New Roman" w:hAnsi="Century Gothic"/>
          <w:szCs w:val="22"/>
        </w:rPr>
        <w:t xml:space="preserve"> spent on Group D contract.</w:t>
      </w:r>
    </w:p>
    <w:p w14:paraId="34E54CC5" w14:textId="494E1D4E" w:rsidR="2C83264F" w:rsidRPr="004C7E3E" w:rsidRDefault="2C83264F" w:rsidP="003C7A55">
      <w:pPr>
        <w:ind w:left="1800"/>
        <w:jc w:val="center"/>
        <w:rPr>
          <w:rFonts w:ascii="Century Gothic" w:eastAsia="Times New Roman" w:hAnsi="Century Gothic"/>
          <w:b/>
          <w:bCs/>
          <w:szCs w:val="22"/>
        </w:rPr>
      </w:pPr>
      <w:r w:rsidRPr="004C7E3E">
        <w:rPr>
          <w:rFonts w:ascii="Century Gothic" w:eastAsia="Times New Roman" w:hAnsi="Century Gothic"/>
          <w:b/>
          <w:bCs/>
          <w:szCs w:val="22"/>
        </w:rPr>
        <w:t xml:space="preserve"> </w:t>
      </w:r>
    </w:p>
    <w:p w14:paraId="74F54FA6" w14:textId="17E3EF80" w:rsidR="2C83264F" w:rsidRPr="004C7E3E" w:rsidRDefault="2C83264F" w:rsidP="00486062">
      <w:pPr>
        <w:pStyle w:val="ListParagraph"/>
        <w:numPr>
          <w:ilvl w:val="0"/>
          <w:numId w:val="32"/>
        </w:numPr>
        <w:ind w:left="1440"/>
        <w:rPr>
          <w:rFonts w:ascii="Century Gothic" w:eastAsia="Times New Roman" w:hAnsi="Century Gothic"/>
          <w:b/>
          <w:bCs/>
          <w:szCs w:val="22"/>
        </w:rPr>
      </w:pPr>
      <w:r w:rsidRPr="004C7E3E">
        <w:rPr>
          <w:rFonts w:ascii="Century Gothic" w:eastAsia="Times New Roman" w:hAnsi="Century Gothic"/>
          <w:b/>
          <w:bCs/>
          <w:szCs w:val="22"/>
        </w:rPr>
        <w:t>Scattered Sites Multifamily Upgrades</w:t>
      </w:r>
    </w:p>
    <w:p w14:paraId="576BE439" w14:textId="7B8FB357" w:rsidR="2C83264F" w:rsidRPr="00AC7D3F" w:rsidRDefault="2C83264F" w:rsidP="00AC7D3F">
      <w:pPr>
        <w:ind w:left="1440"/>
        <w:rPr>
          <w:rFonts w:ascii="Century Gothic" w:eastAsia="Times New Roman" w:hAnsi="Century Gothic"/>
          <w:szCs w:val="22"/>
        </w:rPr>
      </w:pPr>
      <w:r w:rsidRPr="00AC7D3F">
        <w:rPr>
          <w:rFonts w:ascii="Century Gothic" w:eastAsia="Times New Roman" w:hAnsi="Century Gothic"/>
          <w:szCs w:val="22"/>
        </w:rPr>
        <w:t xml:space="preserve">There are </w:t>
      </w:r>
      <w:r w:rsidR="14A84346" w:rsidRPr="00AC7D3F">
        <w:rPr>
          <w:rFonts w:ascii="Century Gothic" w:eastAsia="Times New Roman" w:hAnsi="Century Gothic"/>
          <w:szCs w:val="22"/>
        </w:rPr>
        <w:t>eight</w:t>
      </w:r>
      <w:r w:rsidRPr="00AC7D3F">
        <w:rPr>
          <w:rFonts w:ascii="Century Gothic" w:eastAsia="Times New Roman" w:hAnsi="Century Gothic"/>
          <w:szCs w:val="22"/>
        </w:rPr>
        <w:t xml:space="preserve"> remaining multifamily units </w:t>
      </w:r>
      <w:r w:rsidR="7C2DCD4D" w:rsidRPr="00AC7D3F">
        <w:rPr>
          <w:rFonts w:ascii="Century Gothic" w:eastAsia="Times New Roman" w:hAnsi="Century Gothic"/>
          <w:szCs w:val="22"/>
        </w:rPr>
        <w:t xml:space="preserve">that are </w:t>
      </w:r>
      <w:r w:rsidRPr="00AC7D3F">
        <w:rPr>
          <w:rFonts w:ascii="Century Gothic" w:eastAsia="Times New Roman" w:hAnsi="Century Gothic"/>
          <w:szCs w:val="22"/>
        </w:rPr>
        <w:t>not converting to RAD.  Seven are condo units.  Units need kitchen and bathroom upgrade, interior doors, walls, ceilings, floors, appliances, code upgrades, etc.  Backlog of unfunded needs.  $1,750</w:t>
      </w:r>
      <w:r w:rsidR="1C710E25" w:rsidRPr="00AC7D3F">
        <w:rPr>
          <w:rFonts w:ascii="Century Gothic" w:eastAsia="Times New Roman" w:hAnsi="Century Gothic"/>
          <w:szCs w:val="22"/>
        </w:rPr>
        <w:t xml:space="preserve"> was</w:t>
      </w:r>
      <w:r w:rsidRPr="00AC7D3F">
        <w:rPr>
          <w:rFonts w:ascii="Century Gothic" w:eastAsia="Times New Roman" w:hAnsi="Century Gothic"/>
          <w:szCs w:val="22"/>
        </w:rPr>
        <w:t xml:space="preserve"> spent on 437 N &amp; M Eastern St. fire repairs (costs also covered by fire insurance).</w:t>
      </w:r>
    </w:p>
    <w:p w14:paraId="650476D0" w14:textId="15AF9376" w:rsidR="2C83264F" w:rsidRPr="004C7E3E" w:rsidRDefault="2C83264F" w:rsidP="003C7A55">
      <w:pPr>
        <w:ind w:left="1440"/>
        <w:jc w:val="center"/>
        <w:rPr>
          <w:rFonts w:ascii="Century Gothic" w:eastAsia="Times New Roman" w:hAnsi="Century Gothic"/>
          <w:b/>
          <w:bCs/>
          <w:szCs w:val="22"/>
        </w:rPr>
      </w:pPr>
      <w:r w:rsidRPr="004C7E3E">
        <w:rPr>
          <w:rFonts w:ascii="Century Gothic" w:eastAsia="Times New Roman" w:hAnsi="Century Gothic"/>
          <w:b/>
          <w:bCs/>
          <w:szCs w:val="22"/>
        </w:rPr>
        <w:t xml:space="preserve"> </w:t>
      </w:r>
    </w:p>
    <w:p w14:paraId="17C9374A" w14:textId="14CBB541" w:rsidR="2C83264F" w:rsidRPr="004C7E3E" w:rsidRDefault="2C83264F" w:rsidP="003C7A55">
      <w:pPr>
        <w:ind w:left="360"/>
        <w:rPr>
          <w:rFonts w:ascii="Century Gothic" w:eastAsia="Times New Roman" w:hAnsi="Century Gothic"/>
          <w:b/>
          <w:bCs/>
          <w:szCs w:val="22"/>
        </w:rPr>
      </w:pPr>
      <w:r w:rsidRPr="004C7E3E">
        <w:rPr>
          <w:rFonts w:ascii="Century Gothic" w:eastAsia="Times New Roman" w:hAnsi="Century Gothic"/>
          <w:b/>
          <w:bCs/>
          <w:szCs w:val="22"/>
        </w:rPr>
        <w:t>5. Continuation of Lead-Based Paint Abatement SS West, SS East</w:t>
      </w:r>
    </w:p>
    <w:p w14:paraId="1B3C617F" w14:textId="67050F6E" w:rsidR="2C83264F" w:rsidRPr="004C7E3E" w:rsidRDefault="59EA6A07" w:rsidP="00486062">
      <w:pPr>
        <w:pStyle w:val="ListParagraph"/>
        <w:numPr>
          <w:ilvl w:val="0"/>
          <w:numId w:val="31"/>
        </w:numPr>
        <w:ind w:left="1440"/>
        <w:rPr>
          <w:rFonts w:ascii="Century Gothic" w:eastAsia="Times New Roman" w:hAnsi="Century Gothic"/>
          <w:szCs w:val="22"/>
        </w:rPr>
      </w:pPr>
      <w:r w:rsidRPr="004C7E3E">
        <w:rPr>
          <w:rFonts w:ascii="Century Gothic" w:eastAsia="Times New Roman" w:hAnsi="Century Gothic"/>
          <w:szCs w:val="22"/>
        </w:rPr>
        <w:t xml:space="preserve">The 2017 </w:t>
      </w:r>
      <w:r w:rsidR="2C83264F" w:rsidRPr="004C7E3E">
        <w:rPr>
          <w:rFonts w:ascii="Century Gothic" w:eastAsia="Times New Roman" w:hAnsi="Century Gothic"/>
          <w:szCs w:val="22"/>
        </w:rPr>
        <w:t xml:space="preserve">Lead paint grant </w:t>
      </w:r>
      <w:r w:rsidR="63F6B223" w:rsidRPr="004C7E3E">
        <w:rPr>
          <w:rFonts w:ascii="Century Gothic" w:eastAsia="Times New Roman" w:hAnsi="Century Gothic"/>
          <w:szCs w:val="22"/>
        </w:rPr>
        <w:t xml:space="preserve">was </w:t>
      </w:r>
      <w:r w:rsidR="2C83264F" w:rsidRPr="004C7E3E">
        <w:rPr>
          <w:rFonts w:ascii="Century Gothic" w:eastAsia="Times New Roman" w:hAnsi="Century Gothic"/>
          <w:szCs w:val="22"/>
        </w:rPr>
        <w:t xml:space="preserve">fully expended in FY23. </w:t>
      </w:r>
      <w:r w:rsidR="4A515B13" w:rsidRPr="004C7E3E">
        <w:rPr>
          <w:rFonts w:ascii="Century Gothic" w:eastAsia="Times New Roman" w:hAnsi="Century Gothic"/>
          <w:szCs w:val="22"/>
        </w:rPr>
        <w:t>The</w:t>
      </w:r>
      <w:r w:rsidR="2C83264F" w:rsidRPr="004C7E3E">
        <w:rPr>
          <w:rFonts w:ascii="Century Gothic" w:eastAsia="Times New Roman" w:hAnsi="Century Gothic"/>
          <w:szCs w:val="22"/>
        </w:rPr>
        <w:t xml:space="preserve"> HUD 2020 lead grant permitted ECC/HANH to target removal of lead-based paint in scattered site properties instead of encapsulation.  ECC/HANH awarded contracts for Group B (3 SS West units) and Group C (8 SS East units). Groups B and C are complete.  Group D 24 units (SS East and SS West) was awarded in April 2023. Nine units are complete.  Group A 2 units (SS East) to be re-solicited, as only non-responsive and non-responsible bids were received. $939,996.92 spent on Group D; $35,272.50 spent on Group D relocation; and $181,576.43 spent on Architect and Environmental costs.</w:t>
      </w:r>
    </w:p>
    <w:p w14:paraId="748F06B8" w14:textId="367E2DCB" w:rsidR="2C83264F" w:rsidRPr="004C7E3E" w:rsidRDefault="2C83264F" w:rsidP="003C7A55">
      <w:pPr>
        <w:jc w:val="center"/>
        <w:rPr>
          <w:rFonts w:ascii="Century Gothic" w:eastAsia="Times New Roman" w:hAnsi="Century Gothic"/>
          <w:szCs w:val="22"/>
        </w:rPr>
      </w:pPr>
      <w:r w:rsidRPr="004C7E3E">
        <w:rPr>
          <w:rFonts w:ascii="Century Gothic" w:eastAsia="Times New Roman" w:hAnsi="Century Gothic"/>
          <w:szCs w:val="22"/>
        </w:rPr>
        <w:t xml:space="preserve"> </w:t>
      </w:r>
    </w:p>
    <w:p w14:paraId="6F6EAB7A" w14:textId="7B4BAAA4" w:rsidR="2C83264F" w:rsidRPr="004C7E3E" w:rsidRDefault="2C83264F" w:rsidP="003C7A55">
      <w:pPr>
        <w:ind w:left="360"/>
        <w:rPr>
          <w:rFonts w:ascii="Century Gothic" w:eastAsia="Times New Roman" w:hAnsi="Century Gothic"/>
          <w:b/>
          <w:bCs/>
          <w:szCs w:val="22"/>
        </w:rPr>
      </w:pPr>
      <w:r w:rsidRPr="004C7E3E">
        <w:rPr>
          <w:rFonts w:ascii="Century Gothic" w:eastAsia="Times New Roman" w:hAnsi="Century Gothic"/>
          <w:b/>
          <w:bCs/>
          <w:szCs w:val="22"/>
        </w:rPr>
        <w:t>6. Housing-Related Hazards Abatement</w:t>
      </w:r>
    </w:p>
    <w:p w14:paraId="393597AC" w14:textId="3CB88F93" w:rsidR="2C83264F" w:rsidRPr="004C7E3E" w:rsidRDefault="2C83264F" w:rsidP="00486062">
      <w:pPr>
        <w:pStyle w:val="ListParagraph"/>
        <w:numPr>
          <w:ilvl w:val="0"/>
          <w:numId w:val="31"/>
        </w:numPr>
        <w:ind w:left="1440"/>
        <w:rPr>
          <w:rFonts w:ascii="Century Gothic" w:eastAsia="Times New Roman" w:hAnsi="Century Gothic"/>
          <w:szCs w:val="22"/>
        </w:rPr>
      </w:pPr>
      <w:r w:rsidRPr="004C7E3E">
        <w:rPr>
          <w:rFonts w:ascii="Century Gothic" w:eastAsia="Times New Roman" w:hAnsi="Century Gothic"/>
          <w:szCs w:val="22"/>
        </w:rPr>
        <w:t>ECC</w:t>
      </w:r>
      <w:r w:rsidR="027FDD8A" w:rsidRPr="004C7E3E">
        <w:rPr>
          <w:rFonts w:ascii="Century Gothic" w:eastAsia="Times New Roman" w:hAnsi="Century Gothic"/>
          <w:szCs w:val="22"/>
        </w:rPr>
        <w:t>/HANH</w:t>
      </w:r>
      <w:r w:rsidRPr="004C7E3E">
        <w:rPr>
          <w:rFonts w:ascii="Century Gothic" w:eastAsia="Times New Roman" w:hAnsi="Century Gothic"/>
          <w:szCs w:val="22"/>
        </w:rPr>
        <w:t xml:space="preserve"> received a 2020 HUD Housing-Related Hazards Grant to address carbon monoxide, radon, mold and associated asbestos abatement, and pest infestation.  </w:t>
      </w:r>
      <w:r w:rsidR="7EE8CA16" w:rsidRPr="004C7E3E">
        <w:rPr>
          <w:rFonts w:ascii="Century Gothic" w:eastAsia="Times New Roman" w:hAnsi="Century Gothic"/>
          <w:szCs w:val="22"/>
        </w:rPr>
        <w:t>The p</w:t>
      </w:r>
      <w:r w:rsidRPr="004C7E3E">
        <w:rPr>
          <w:rFonts w:ascii="Century Gothic" w:eastAsia="Times New Roman" w:hAnsi="Century Gothic"/>
          <w:szCs w:val="22"/>
        </w:rPr>
        <w:t xml:space="preserve">est inspections and radon mitigation project </w:t>
      </w:r>
      <w:r w:rsidR="7A9CF8BE" w:rsidRPr="004C7E3E">
        <w:rPr>
          <w:rFonts w:ascii="Century Gothic" w:eastAsia="Times New Roman" w:hAnsi="Century Gothic"/>
          <w:szCs w:val="22"/>
        </w:rPr>
        <w:t>w</w:t>
      </w:r>
      <w:r w:rsidR="249922E6" w:rsidRPr="004C7E3E">
        <w:rPr>
          <w:rFonts w:ascii="Century Gothic" w:eastAsia="Times New Roman" w:hAnsi="Century Gothic"/>
          <w:szCs w:val="22"/>
        </w:rPr>
        <w:t>ere</w:t>
      </w:r>
      <w:r w:rsidR="7A9CF8BE" w:rsidRPr="004C7E3E">
        <w:rPr>
          <w:rFonts w:ascii="Century Gothic" w:eastAsia="Times New Roman" w:hAnsi="Century Gothic"/>
          <w:szCs w:val="22"/>
        </w:rPr>
        <w:t xml:space="preserve"> </w:t>
      </w:r>
      <w:r w:rsidRPr="004C7E3E">
        <w:rPr>
          <w:rFonts w:ascii="Century Gothic" w:eastAsia="Times New Roman" w:hAnsi="Century Gothic"/>
          <w:szCs w:val="22"/>
        </w:rPr>
        <w:t xml:space="preserve">completed.  </w:t>
      </w:r>
      <w:r w:rsidR="0847A47B" w:rsidRPr="004C7E3E">
        <w:rPr>
          <w:rFonts w:ascii="Century Gothic" w:eastAsia="Times New Roman" w:hAnsi="Century Gothic"/>
          <w:szCs w:val="22"/>
        </w:rPr>
        <w:t>The c</w:t>
      </w:r>
      <w:r w:rsidRPr="004C7E3E">
        <w:rPr>
          <w:rFonts w:ascii="Century Gothic" w:eastAsia="Times New Roman" w:hAnsi="Century Gothic"/>
          <w:szCs w:val="22"/>
        </w:rPr>
        <w:t xml:space="preserve">arbon monoxide-smoke detector evaluation </w:t>
      </w:r>
      <w:proofErr w:type="gramStart"/>
      <w:r w:rsidRPr="004C7E3E">
        <w:rPr>
          <w:rFonts w:ascii="Century Gothic" w:eastAsia="Times New Roman" w:hAnsi="Century Gothic"/>
          <w:szCs w:val="22"/>
        </w:rPr>
        <w:t>completed</w:t>
      </w:r>
      <w:proofErr w:type="gramEnd"/>
      <w:r w:rsidRPr="004C7E3E">
        <w:rPr>
          <w:rFonts w:ascii="Century Gothic" w:eastAsia="Times New Roman" w:hAnsi="Century Gothic"/>
          <w:szCs w:val="22"/>
        </w:rPr>
        <w:t xml:space="preserve">. Initial bids </w:t>
      </w:r>
      <w:r w:rsidR="2EBCE24E" w:rsidRPr="004C7E3E">
        <w:rPr>
          <w:rFonts w:ascii="Century Gothic" w:eastAsia="Times New Roman" w:hAnsi="Century Gothic"/>
          <w:szCs w:val="22"/>
        </w:rPr>
        <w:t xml:space="preserve">were </w:t>
      </w:r>
      <w:r w:rsidRPr="004C7E3E">
        <w:rPr>
          <w:rFonts w:ascii="Century Gothic" w:eastAsia="Times New Roman" w:hAnsi="Century Gothic"/>
          <w:szCs w:val="22"/>
        </w:rPr>
        <w:t>solicited</w:t>
      </w:r>
      <w:r w:rsidR="7EDF2E6D" w:rsidRPr="004C7E3E">
        <w:rPr>
          <w:rFonts w:ascii="Century Gothic" w:eastAsia="Times New Roman" w:hAnsi="Century Gothic"/>
          <w:szCs w:val="22"/>
        </w:rPr>
        <w:t>, however there weren’t any</w:t>
      </w:r>
      <w:r w:rsidRPr="004C7E3E">
        <w:rPr>
          <w:rFonts w:ascii="Century Gothic" w:eastAsia="Times New Roman" w:hAnsi="Century Gothic"/>
          <w:szCs w:val="22"/>
        </w:rPr>
        <w:t xml:space="preserve"> awards. </w:t>
      </w:r>
      <w:r w:rsidR="3C4D3550" w:rsidRPr="004C7E3E">
        <w:rPr>
          <w:rFonts w:ascii="Century Gothic" w:eastAsia="Times New Roman" w:hAnsi="Century Gothic"/>
          <w:szCs w:val="22"/>
        </w:rPr>
        <w:t>The i</w:t>
      </w:r>
      <w:r w:rsidRPr="004C7E3E">
        <w:rPr>
          <w:rFonts w:ascii="Century Gothic" w:eastAsia="Times New Roman" w:hAnsi="Century Gothic"/>
          <w:szCs w:val="22"/>
        </w:rPr>
        <w:t xml:space="preserve">nstallation </w:t>
      </w:r>
      <w:r w:rsidR="2B9AE93D" w:rsidRPr="004C7E3E">
        <w:rPr>
          <w:rFonts w:ascii="Century Gothic" w:eastAsia="Times New Roman" w:hAnsi="Century Gothic"/>
          <w:szCs w:val="22"/>
        </w:rPr>
        <w:t>was</w:t>
      </w:r>
      <w:r w:rsidRPr="004C7E3E">
        <w:rPr>
          <w:rFonts w:ascii="Century Gothic" w:eastAsia="Times New Roman" w:hAnsi="Century Gothic"/>
          <w:szCs w:val="22"/>
        </w:rPr>
        <w:t xml:space="preserve"> in progress through </w:t>
      </w:r>
      <w:r w:rsidR="31F0C8BF" w:rsidRPr="004C7E3E">
        <w:rPr>
          <w:rFonts w:ascii="Century Gothic" w:eastAsia="Times New Roman" w:hAnsi="Century Gothic"/>
          <w:szCs w:val="22"/>
        </w:rPr>
        <w:t xml:space="preserve">an </w:t>
      </w:r>
      <w:r w:rsidRPr="004C7E3E">
        <w:rPr>
          <w:rFonts w:ascii="Century Gothic" w:eastAsia="Times New Roman" w:hAnsi="Century Gothic"/>
          <w:szCs w:val="22"/>
        </w:rPr>
        <w:t>on-call electrical services contract.  $422,35</w:t>
      </w:r>
      <w:r w:rsidR="089CD510" w:rsidRPr="004C7E3E">
        <w:rPr>
          <w:rFonts w:ascii="Century Gothic" w:eastAsia="Times New Roman" w:hAnsi="Century Gothic"/>
          <w:szCs w:val="22"/>
        </w:rPr>
        <w:t>3 was</w:t>
      </w:r>
      <w:r w:rsidRPr="004C7E3E">
        <w:rPr>
          <w:rFonts w:ascii="Century Gothic" w:eastAsia="Times New Roman" w:hAnsi="Century Gothic"/>
          <w:szCs w:val="22"/>
        </w:rPr>
        <w:t xml:space="preserve"> spent on mold-asbestos Group D; $148,2</w:t>
      </w:r>
      <w:r w:rsidR="6683AF2F" w:rsidRPr="004C7E3E">
        <w:rPr>
          <w:rFonts w:ascii="Century Gothic" w:eastAsia="Times New Roman" w:hAnsi="Century Gothic"/>
          <w:szCs w:val="22"/>
        </w:rPr>
        <w:t>90</w:t>
      </w:r>
      <w:r w:rsidRPr="004C7E3E">
        <w:rPr>
          <w:rFonts w:ascii="Century Gothic" w:eastAsia="Times New Roman" w:hAnsi="Century Gothic"/>
          <w:szCs w:val="22"/>
        </w:rPr>
        <w:t xml:space="preserve"> </w:t>
      </w:r>
      <w:r w:rsidR="47FC4F69" w:rsidRPr="004C7E3E">
        <w:rPr>
          <w:rFonts w:ascii="Century Gothic" w:eastAsia="Times New Roman" w:hAnsi="Century Gothic"/>
          <w:szCs w:val="22"/>
        </w:rPr>
        <w:t>was</w:t>
      </w:r>
      <w:r w:rsidRPr="004C7E3E">
        <w:rPr>
          <w:rFonts w:ascii="Century Gothic" w:eastAsia="Times New Roman" w:hAnsi="Century Gothic"/>
          <w:szCs w:val="22"/>
        </w:rPr>
        <w:t xml:space="preserve"> spent on 57 Mountaintop mold; $7,830 </w:t>
      </w:r>
      <w:r w:rsidR="7877BC46" w:rsidRPr="004C7E3E">
        <w:rPr>
          <w:rFonts w:ascii="Century Gothic" w:eastAsia="Times New Roman" w:hAnsi="Century Gothic"/>
          <w:szCs w:val="22"/>
        </w:rPr>
        <w:t xml:space="preserve">was </w:t>
      </w:r>
      <w:r w:rsidRPr="004C7E3E">
        <w:rPr>
          <w:rFonts w:ascii="Century Gothic" w:eastAsia="Times New Roman" w:hAnsi="Century Gothic"/>
          <w:szCs w:val="22"/>
        </w:rPr>
        <w:t xml:space="preserve">spent on 57 Mountaintop Architect; $13,194 </w:t>
      </w:r>
      <w:r w:rsidR="78DD6B4E" w:rsidRPr="004C7E3E">
        <w:rPr>
          <w:rFonts w:ascii="Century Gothic" w:eastAsia="Times New Roman" w:hAnsi="Century Gothic"/>
          <w:szCs w:val="22"/>
        </w:rPr>
        <w:t xml:space="preserve">was </w:t>
      </w:r>
      <w:r w:rsidRPr="004C7E3E">
        <w:rPr>
          <w:rFonts w:ascii="Century Gothic" w:eastAsia="Times New Roman" w:hAnsi="Century Gothic"/>
          <w:szCs w:val="22"/>
        </w:rPr>
        <w:t>spent on 57 Mountaintop environmental costs; $4,061</w:t>
      </w:r>
      <w:r w:rsidR="4A21F913" w:rsidRPr="004C7E3E">
        <w:rPr>
          <w:rFonts w:ascii="Century Gothic" w:eastAsia="Times New Roman" w:hAnsi="Century Gothic"/>
          <w:szCs w:val="22"/>
        </w:rPr>
        <w:t>was</w:t>
      </w:r>
      <w:r w:rsidRPr="004C7E3E">
        <w:rPr>
          <w:rFonts w:ascii="Century Gothic" w:eastAsia="Times New Roman" w:hAnsi="Century Gothic"/>
          <w:szCs w:val="22"/>
        </w:rPr>
        <w:t xml:space="preserve"> spent on 57 Mountaintop misc. relocation costs; $2,418 </w:t>
      </w:r>
      <w:r w:rsidR="1FF5E4FF" w:rsidRPr="004C7E3E">
        <w:rPr>
          <w:rFonts w:ascii="Century Gothic" w:eastAsia="Times New Roman" w:hAnsi="Century Gothic"/>
          <w:szCs w:val="22"/>
        </w:rPr>
        <w:t xml:space="preserve">was </w:t>
      </w:r>
      <w:r w:rsidRPr="004C7E3E">
        <w:rPr>
          <w:rFonts w:ascii="Century Gothic" w:eastAsia="Times New Roman" w:hAnsi="Century Gothic"/>
          <w:szCs w:val="22"/>
        </w:rPr>
        <w:t>spent on Crawford pest inspections; $160,711</w:t>
      </w:r>
      <w:r w:rsidR="33A0023D" w:rsidRPr="004C7E3E">
        <w:rPr>
          <w:rFonts w:ascii="Century Gothic" w:eastAsia="Times New Roman" w:hAnsi="Century Gothic"/>
          <w:szCs w:val="22"/>
        </w:rPr>
        <w:t>was</w:t>
      </w:r>
      <w:r w:rsidRPr="004C7E3E">
        <w:rPr>
          <w:rFonts w:ascii="Century Gothic" w:eastAsia="Times New Roman" w:hAnsi="Century Gothic"/>
          <w:szCs w:val="22"/>
        </w:rPr>
        <w:t xml:space="preserve"> spent on Group D mold-asbestos Architect and Environmental costs; $35,27</w:t>
      </w:r>
      <w:r w:rsidR="6A23D42D" w:rsidRPr="004C7E3E">
        <w:rPr>
          <w:rFonts w:ascii="Century Gothic" w:eastAsia="Times New Roman" w:hAnsi="Century Gothic"/>
          <w:szCs w:val="22"/>
        </w:rPr>
        <w:t>3 was</w:t>
      </w:r>
      <w:r w:rsidRPr="004C7E3E">
        <w:rPr>
          <w:rFonts w:ascii="Century Gothic" w:eastAsia="Times New Roman" w:hAnsi="Century Gothic"/>
          <w:szCs w:val="22"/>
        </w:rPr>
        <w:t xml:space="preserve"> spent on Group D relocation costs; $27,33</w:t>
      </w:r>
      <w:r w:rsidR="2BA897DA" w:rsidRPr="004C7E3E">
        <w:rPr>
          <w:rFonts w:ascii="Century Gothic" w:eastAsia="Times New Roman" w:hAnsi="Century Gothic"/>
          <w:szCs w:val="22"/>
        </w:rPr>
        <w:t>8 was</w:t>
      </w:r>
      <w:r w:rsidRPr="004C7E3E">
        <w:rPr>
          <w:rFonts w:ascii="Century Gothic" w:eastAsia="Times New Roman" w:hAnsi="Century Gothic"/>
          <w:szCs w:val="22"/>
        </w:rPr>
        <w:t xml:space="preserve"> spent on Essex envelope mold-asbestos abatement.</w:t>
      </w:r>
    </w:p>
    <w:p w14:paraId="7B8ABAD0" w14:textId="3FA570E1" w:rsidR="2C83264F" w:rsidRPr="004C7E3E" w:rsidRDefault="2C83264F" w:rsidP="00AF0914">
      <w:pPr>
        <w:ind w:left="1440"/>
        <w:jc w:val="center"/>
        <w:rPr>
          <w:rFonts w:ascii="Century Gothic" w:eastAsia="Times New Roman" w:hAnsi="Century Gothic"/>
          <w:b/>
          <w:bCs/>
          <w:szCs w:val="22"/>
        </w:rPr>
      </w:pPr>
      <w:r w:rsidRPr="004C7E3E">
        <w:rPr>
          <w:rFonts w:ascii="Century Gothic" w:eastAsia="Times New Roman" w:hAnsi="Century Gothic"/>
          <w:b/>
          <w:bCs/>
          <w:szCs w:val="22"/>
        </w:rPr>
        <w:t xml:space="preserve"> </w:t>
      </w:r>
    </w:p>
    <w:p w14:paraId="52EFFEE3" w14:textId="2D926210" w:rsidR="2C83264F" w:rsidRPr="004C7E3E" w:rsidRDefault="2C83264F" w:rsidP="00AF0914">
      <w:pPr>
        <w:ind w:left="360"/>
        <w:rPr>
          <w:rFonts w:ascii="Century Gothic" w:eastAsia="Times New Roman" w:hAnsi="Century Gothic"/>
          <w:b/>
          <w:bCs/>
          <w:color w:val="000000" w:themeColor="text1"/>
          <w:szCs w:val="22"/>
        </w:rPr>
      </w:pPr>
      <w:r w:rsidRPr="004C7E3E">
        <w:rPr>
          <w:rFonts w:ascii="Century Gothic" w:eastAsia="Times New Roman" w:hAnsi="Century Gothic"/>
          <w:b/>
          <w:bCs/>
          <w:color w:val="000000" w:themeColor="text1"/>
          <w:szCs w:val="22"/>
        </w:rPr>
        <w:t>7</w:t>
      </w:r>
      <w:proofErr w:type="gramStart"/>
      <w:r w:rsidRPr="004C7E3E">
        <w:rPr>
          <w:rFonts w:ascii="Century Gothic" w:eastAsia="Times New Roman" w:hAnsi="Century Gothic"/>
          <w:b/>
          <w:bCs/>
          <w:color w:val="000000" w:themeColor="text1"/>
          <w:szCs w:val="22"/>
        </w:rPr>
        <w:t>.  Emergency</w:t>
      </w:r>
      <w:proofErr w:type="gramEnd"/>
      <w:r w:rsidRPr="004C7E3E">
        <w:rPr>
          <w:rFonts w:ascii="Century Gothic" w:eastAsia="Times New Roman" w:hAnsi="Century Gothic"/>
          <w:b/>
          <w:bCs/>
          <w:color w:val="000000" w:themeColor="text1"/>
          <w:szCs w:val="22"/>
        </w:rPr>
        <w:t xml:space="preserve"> Safety &amp; Security</w:t>
      </w:r>
    </w:p>
    <w:p w14:paraId="09F4D7D3" w14:textId="78BFF66D" w:rsidR="2C83264F" w:rsidRPr="004C7E3E" w:rsidRDefault="2C83264F" w:rsidP="00486062">
      <w:pPr>
        <w:pStyle w:val="ListParagraph"/>
        <w:numPr>
          <w:ilvl w:val="0"/>
          <w:numId w:val="31"/>
        </w:numPr>
        <w:ind w:left="1440"/>
        <w:rPr>
          <w:rFonts w:ascii="Century Gothic" w:eastAsia="Times New Roman" w:hAnsi="Century Gothic"/>
          <w:color w:val="000000" w:themeColor="text1"/>
          <w:szCs w:val="22"/>
        </w:rPr>
      </w:pPr>
      <w:r w:rsidRPr="004C7E3E">
        <w:rPr>
          <w:rFonts w:ascii="Century Gothic" w:eastAsia="Times New Roman" w:hAnsi="Century Gothic"/>
          <w:color w:val="000000" w:themeColor="text1"/>
          <w:szCs w:val="22"/>
        </w:rPr>
        <w:t>ECC/HANH received a 2022 HUD Emergency Safety &amp; Security grant award in the amount of $250,000 to enhance security cameras at Wolfe and Crawford.  Work was completed at both locations.  $27,183</w:t>
      </w:r>
      <w:r w:rsidR="720734D0" w:rsidRPr="004C7E3E">
        <w:rPr>
          <w:rFonts w:ascii="Century Gothic" w:eastAsia="Times New Roman" w:hAnsi="Century Gothic"/>
          <w:color w:val="000000" w:themeColor="text1"/>
          <w:szCs w:val="22"/>
        </w:rPr>
        <w:t xml:space="preserve"> was</w:t>
      </w:r>
      <w:r w:rsidRPr="004C7E3E">
        <w:rPr>
          <w:rFonts w:ascii="Century Gothic" w:eastAsia="Times New Roman" w:hAnsi="Century Gothic"/>
          <w:color w:val="000000" w:themeColor="text1"/>
          <w:szCs w:val="22"/>
        </w:rPr>
        <w:t xml:space="preserve"> spent (balance of grant previously spent in FY23).</w:t>
      </w:r>
    </w:p>
    <w:p w14:paraId="64BC93BA" w14:textId="641D37E8" w:rsidR="2C83264F" w:rsidRPr="004C7E3E" w:rsidRDefault="2C83264F" w:rsidP="00486062">
      <w:pPr>
        <w:pStyle w:val="ListParagraph"/>
        <w:numPr>
          <w:ilvl w:val="0"/>
          <w:numId w:val="31"/>
        </w:numPr>
        <w:ind w:left="1440"/>
        <w:rPr>
          <w:rFonts w:ascii="Century Gothic" w:eastAsia="Times New Roman" w:hAnsi="Century Gothic"/>
          <w:color w:val="000000" w:themeColor="text1"/>
          <w:szCs w:val="22"/>
        </w:rPr>
      </w:pPr>
      <w:r w:rsidRPr="004C7E3E">
        <w:rPr>
          <w:rFonts w:ascii="Century Gothic" w:eastAsia="Times New Roman" w:hAnsi="Century Gothic"/>
          <w:color w:val="000000" w:themeColor="text1"/>
          <w:szCs w:val="22"/>
        </w:rPr>
        <w:lastRenderedPageBreak/>
        <w:t>ECC/HANH also received a 2023 HUD Emergency Safety &amp; Security grant award in the amount of $250,000 to enhance security cameras and access control at Essex. $250,000 spent.</w:t>
      </w:r>
    </w:p>
    <w:p w14:paraId="31F4DD6C" w14:textId="67D52C36" w:rsidR="2C83264F" w:rsidRPr="004C7E3E" w:rsidRDefault="2C83264F" w:rsidP="00AF0914">
      <w:pPr>
        <w:jc w:val="center"/>
        <w:rPr>
          <w:rFonts w:ascii="Century Gothic" w:eastAsia="Times New Roman" w:hAnsi="Century Gothic"/>
          <w:b/>
          <w:bCs/>
          <w:szCs w:val="22"/>
        </w:rPr>
      </w:pPr>
      <w:r w:rsidRPr="004C7E3E">
        <w:rPr>
          <w:rFonts w:ascii="Century Gothic" w:eastAsia="Times New Roman" w:hAnsi="Century Gothic"/>
          <w:b/>
          <w:bCs/>
          <w:szCs w:val="22"/>
        </w:rPr>
        <w:t xml:space="preserve"> </w:t>
      </w:r>
    </w:p>
    <w:p w14:paraId="160000D7" w14:textId="6F30C9DF" w:rsidR="2C83264F" w:rsidRPr="004C7E3E" w:rsidRDefault="2C83264F" w:rsidP="00AF0914">
      <w:pPr>
        <w:spacing w:line="600" w:lineRule="auto"/>
        <w:rPr>
          <w:rFonts w:ascii="Century Gothic" w:eastAsia="Times New Roman" w:hAnsi="Century Gothic"/>
          <w:b/>
          <w:bCs/>
          <w:szCs w:val="22"/>
        </w:rPr>
      </w:pPr>
      <w:r w:rsidRPr="004C7E3E">
        <w:rPr>
          <w:rFonts w:ascii="Century Gothic" w:eastAsia="Times New Roman" w:hAnsi="Century Gothic"/>
          <w:b/>
          <w:bCs/>
          <w:szCs w:val="22"/>
        </w:rPr>
        <w:t xml:space="preserve">The following are </w:t>
      </w:r>
      <w:r w:rsidR="00E05E21" w:rsidRPr="004C7E3E">
        <w:rPr>
          <w:rFonts w:ascii="Century Gothic" w:eastAsia="Times New Roman" w:hAnsi="Century Gothic"/>
          <w:b/>
          <w:bCs/>
          <w:szCs w:val="22"/>
        </w:rPr>
        <w:t>agency-wide</w:t>
      </w:r>
      <w:r w:rsidRPr="004C7E3E">
        <w:rPr>
          <w:rFonts w:ascii="Century Gothic" w:eastAsia="Times New Roman" w:hAnsi="Century Gothic"/>
          <w:b/>
          <w:bCs/>
          <w:szCs w:val="22"/>
        </w:rPr>
        <w:t xml:space="preserve"> funding projects:</w:t>
      </w:r>
    </w:p>
    <w:p w14:paraId="4B48DB22" w14:textId="39D5E003" w:rsidR="2C83264F" w:rsidRPr="004C7E3E" w:rsidRDefault="2C83264F" w:rsidP="00AF0914">
      <w:pPr>
        <w:ind w:left="360"/>
        <w:rPr>
          <w:rFonts w:ascii="Century Gothic" w:eastAsia="Times New Roman" w:hAnsi="Century Gothic"/>
          <w:b/>
          <w:bCs/>
          <w:szCs w:val="22"/>
        </w:rPr>
      </w:pPr>
      <w:r w:rsidRPr="004C7E3E">
        <w:rPr>
          <w:rFonts w:ascii="Century Gothic" w:eastAsia="Times New Roman" w:hAnsi="Century Gothic"/>
          <w:b/>
          <w:bCs/>
          <w:szCs w:val="22"/>
        </w:rPr>
        <w:t>8. Agency Wide Vacancy Reduction/Unit Abatement</w:t>
      </w:r>
    </w:p>
    <w:p w14:paraId="513BF150" w14:textId="500D98DE" w:rsidR="2C83264F" w:rsidRPr="00AC7D3F" w:rsidRDefault="2C83264F" w:rsidP="00AC7D3F">
      <w:pPr>
        <w:pStyle w:val="ListParagraph"/>
        <w:ind w:left="1440"/>
        <w:rPr>
          <w:rFonts w:ascii="Century Gothic" w:eastAsia="Times New Roman" w:hAnsi="Century Gothic"/>
          <w:szCs w:val="22"/>
        </w:rPr>
      </w:pPr>
      <w:r w:rsidRPr="00AC7D3F">
        <w:rPr>
          <w:rFonts w:ascii="Century Gothic" w:eastAsia="Times New Roman" w:hAnsi="Century Gothic"/>
          <w:szCs w:val="22"/>
        </w:rPr>
        <w:t>Funds were allocated for abatement costs and vacancy reduction efforts during FY24 to supplement work performed by Operations staff to help ECC/HANH improve its occupancy percentage. $88,79</w:t>
      </w:r>
      <w:r w:rsidR="0A36D916" w:rsidRPr="00AC7D3F">
        <w:rPr>
          <w:rFonts w:ascii="Century Gothic" w:eastAsia="Times New Roman" w:hAnsi="Century Gothic"/>
          <w:szCs w:val="22"/>
        </w:rPr>
        <w:t>9 was</w:t>
      </w:r>
      <w:r w:rsidRPr="00AC7D3F">
        <w:rPr>
          <w:rFonts w:ascii="Century Gothic" w:eastAsia="Times New Roman" w:hAnsi="Century Gothic"/>
          <w:szCs w:val="22"/>
        </w:rPr>
        <w:t xml:space="preserve"> spent.</w:t>
      </w:r>
    </w:p>
    <w:p w14:paraId="1F520537" w14:textId="5F069229" w:rsidR="2C83264F" w:rsidRPr="004C7E3E" w:rsidRDefault="2C83264F" w:rsidP="00AF0914">
      <w:pPr>
        <w:ind w:left="1440"/>
        <w:rPr>
          <w:rFonts w:ascii="Century Gothic" w:eastAsia="Times New Roman" w:hAnsi="Century Gothic"/>
          <w:szCs w:val="22"/>
        </w:rPr>
      </w:pPr>
      <w:r w:rsidRPr="004C7E3E">
        <w:rPr>
          <w:rFonts w:ascii="Century Gothic" w:eastAsia="Times New Roman" w:hAnsi="Century Gothic"/>
          <w:szCs w:val="22"/>
        </w:rPr>
        <w:t xml:space="preserve"> </w:t>
      </w:r>
    </w:p>
    <w:p w14:paraId="486BC799" w14:textId="77777777" w:rsidR="00AC7D3F" w:rsidRDefault="00AC7D3F" w:rsidP="00AC7D3F">
      <w:pPr>
        <w:rPr>
          <w:rFonts w:ascii="Century Gothic" w:eastAsia="Times New Roman" w:hAnsi="Century Gothic"/>
          <w:szCs w:val="22"/>
        </w:rPr>
      </w:pPr>
      <w:r>
        <w:rPr>
          <w:rFonts w:ascii="Century Gothic" w:eastAsia="Times New Roman" w:hAnsi="Century Gothic"/>
          <w:b/>
          <w:bCs/>
          <w:szCs w:val="22"/>
        </w:rPr>
        <w:t xml:space="preserve">      </w:t>
      </w:r>
      <w:r w:rsidR="2C83264F" w:rsidRPr="004C7E3E">
        <w:rPr>
          <w:rFonts w:ascii="Century Gothic" w:eastAsia="Times New Roman" w:hAnsi="Century Gothic"/>
          <w:b/>
          <w:bCs/>
          <w:szCs w:val="22"/>
        </w:rPr>
        <w:t>9</w:t>
      </w:r>
      <w:r w:rsidR="2C83264F" w:rsidRPr="004C7E3E">
        <w:rPr>
          <w:rFonts w:ascii="Century Gothic" w:eastAsia="Times New Roman" w:hAnsi="Century Gothic"/>
          <w:szCs w:val="22"/>
        </w:rPr>
        <w:t xml:space="preserve">. </w:t>
      </w:r>
      <w:r w:rsidR="2C83264F" w:rsidRPr="004C7E3E">
        <w:rPr>
          <w:rFonts w:ascii="Century Gothic" w:eastAsia="Times New Roman" w:hAnsi="Century Gothic"/>
          <w:b/>
          <w:bCs/>
          <w:szCs w:val="22"/>
        </w:rPr>
        <w:t>Two (2) types of contracts</w:t>
      </w:r>
      <w:r w:rsidR="2C83264F" w:rsidRPr="004C7E3E">
        <w:rPr>
          <w:rFonts w:ascii="Century Gothic" w:eastAsia="Times New Roman" w:hAnsi="Century Gothic"/>
          <w:szCs w:val="22"/>
        </w:rPr>
        <w:t xml:space="preserve"> form the backbone of our Planning &amp; Modernization and</w:t>
      </w:r>
    </w:p>
    <w:p w14:paraId="10632361" w14:textId="05D49BDB" w:rsidR="2C83264F" w:rsidRPr="004C7E3E" w:rsidRDefault="2C83264F" w:rsidP="00AC7D3F">
      <w:pPr>
        <w:ind w:left="1440"/>
        <w:rPr>
          <w:rFonts w:ascii="Century Gothic" w:eastAsia="Times New Roman" w:hAnsi="Century Gothic"/>
          <w:szCs w:val="22"/>
        </w:rPr>
      </w:pPr>
      <w:r w:rsidRPr="004C7E3E">
        <w:rPr>
          <w:rFonts w:ascii="Century Gothic" w:eastAsia="Times New Roman" w:hAnsi="Century Gothic"/>
          <w:szCs w:val="22"/>
        </w:rPr>
        <w:t xml:space="preserve"> Glendower Design team. These services provide us </w:t>
      </w:r>
      <w:proofErr w:type="gramStart"/>
      <w:r w:rsidRPr="004C7E3E">
        <w:rPr>
          <w:rFonts w:ascii="Century Gothic" w:eastAsia="Times New Roman" w:hAnsi="Century Gothic"/>
          <w:szCs w:val="22"/>
        </w:rPr>
        <w:t>a quicker</w:t>
      </w:r>
      <w:proofErr w:type="gramEnd"/>
      <w:r w:rsidRPr="004C7E3E">
        <w:rPr>
          <w:rFonts w:ascii="Century Gothic" w:eastAsia="Times New Roman" w:hAnsi="Century Gothic"/>
          <w:szCs w:val="22"/>
        </w:rPr>
        <w:t xml:space="preserve"> procurement time as projects unfold, as well as the ability to continually select the best, most cost-effective design solution.</w:t>
      </w:r>
    </w:p>
    <w:p w14:paraId="1FACD8BE" w14:textId="15100E49" w:rsidR="2C83264F" w:rsidRPr="004C7E3E" w:rsidRDefault="2C83264F" w:rsidP="00486062">
      <w:pPr>
        <w:pStyle w:val="ListParagraph"/>
        <w:numPr>
          <w:ilvl w:val="0"/>
          <w:numId w:val="30"/>
        </w:numPr>
        <w:rPr>
          <w:rFonts w:ascii="Century Gothic" w:eastAsia="Times New Roman" w:hAnsi="Century Gothic"/>
          <w:szCs w:val="22"/>
        </w:rPr>
      </w:pPr>
      <w:r w:rsidRPr="004C7E3E">
        <w:rPr>
          <w:rFonts w:ascii="Century Gothic" w:eastAsia="Times New Roman" w:hAnsi="Century Gothic"/>
          <w:b/>
          <w:bCs/>
          <w:szCs w:val="22"/>
        </w:rPr>
        <w:t xml:space="preserve">Indefinite Quantity Contract (IQC) Architectural &amp; Engineering Consulting Services </w:t>
      </w:r>
      <w:r w:rsidRPr="004C7E3E">
        <w:rPr>
          <w:rFonts w:ascii="Century Gothic" w:eastAsia="Times New Roman" w:hAnsi="Century Gothic"/>
          <w:szCs w:val="22"/>
        </w:rPr>
        <w:t>$65,72</w:t>
      </w:r>
      <w:r w:rsidR="704D726D" w:rsidRPr="004C7E3E">
        <w:rPr>
          <w:rFonts w:ascii="Century Gothic" w:eastAsia="Times New Roman" w:hAnsi="Century Gothic"/>
          <w:szCs w:val="22"/>
        </w:rPr>
        <w:t>5</w:t>
      </w:r>
      <w:r w:rsidRPr="004C7E3E">
        <w:rPr>
          <w:rFonts w:ascii="Century Gothic" w:eastAsia="Times New Roman" w:hAnsi="Century Gothic"/>
          <w:szCs w:val="22"/>
        </w:rPr>
        <w:t xml:space="preserve"> spent.</w:t>
      </w:r>
    </w:p>
    <w:p w14:paraId="5860D6DE" w14:textId="775CBB07" w:rsidR="2C83264F" w:rsidRPr="00AC7D3F" w:rsidRDefault="2C83264F" w:rsidP="00486062">
      <w:pPr>
        <w:pStyle w:val="ListParagraph"/>
        <w:numPr>
          <w:ilvl w:val="0"/>
          <w:numId w:val="30"/>
        </w:numPr>
        <w:rPr>
          <w:rFonts w:ascii="Century Gothic" w:eastAsia="Times New Roman" w:hAnsi="Century Gothic"/>
          <w:szCs w:val="22"/>
        </w:rPr>
      </w:pPr>
      <w:r w:rsidRPr="00AC7D3F">
        <w:rPr>
          <w:rFonts w:ascii="Century Gothic" w:eastAsia="Times New Roman" w:hAnsi="Century Gothic"/>
          <w:b/>
          <w:bCs/>
          <w:szCs w:val="22"/>
        </w:rPr>
        <w:t xml:space="preserve">IQC Environmental Consulting Services </w:t>
      </w:r>
      <w:proofErr w:type="gramStart"/>
      <w:r w:rsidRPr="00AC7D3F">
        <w:rPr>
          <w:rFonts w:ascii="Century Gothic" w:eastAsia="Times New Roman" w:hAnsi="Century Gothic"/>
          <w:szCs w:val="22"/>
        </w:rPr>
        <w:t>$173,29</w:t>
      </w:r>
      <w:r w:rsidR="78FAA911" w:rsidRPr="00AC7D3F">
        <w:rPr>
          <w:rFonts w:ascii="Century Gothic" w:eastAsia="Times New Roman" w:hAnsi="Century Gothic"/>
          <w:szCs w:val="22"/>
        </w:rPr>
        <w:t>3</w:t>
      </w:r>
      <w:r w:rsidRPr="00AC7D3F">
        <w:rPr>
          <w:rFonts w:ascii="Century Gothic" w:eastAsia="Times New Roman" w:hAnsi="Century Gothic"/>
          <w:szCs w:val="22"/>
        </w:rPr>
        <w:t xml:space="preserve"> spent</w:t>
      </w:r>
      <w:proofErr w:type="gramEnd"/>
      <w:r w:rsidRPr="00AC7D3F">
        <w:rPr>
          <w:rFonts w:ascii="Century Gothic" w:eastAsia="Times New Roman" w:hAnsi="Century Gothic"/>
          <w:szCs w:val="22"/>
        </w:rPr>
        <w:t>.</w:t>
      </w:r>
    </w:p>
    <w:p w14:paraId="67F443DE" w14:textId="53C3CD78" w:rsidR="2C83264F" w:rsidRPr="004C7E3E" w:rsidRDefault="2C83264F" w:rsidP="00AF0914">
      <w:pPr>
        <w:ind w:left="1440"/>
        <w:rPr>
          <w:rFonts w:ascii="Century Gothic" w:eastAsia="Times New Roman" w:hAnsi="Century Gothic"/>
          <w:b/>
          <w:bCs/>
          <w:szCs w:val="22"/>
        </w:rPr>
      </w:pPr>
      <w:r w:rsidRPr="004C7E3E">
        <w:rPr>
          <w:rFonts w:ascii="Century Gothic" w:eastAsia="Times New Roman" w:hAnsi="Century Gothic"/>
          <w:b/>
          <w:bCs/>
          <w:szCs w:val="22"/>
        </w:rPr>
        <w:t xml:space="preserve"> </w:t>
      </w:r>
    </w:p>
    <w:p w14:paraId="5C930296" w14:textId="5145B856" w:rsidR="2C83264F" w:rsidRPr="004C7E3E" w:rsidRDefault="2C83264F" w:rsidP="00AF0914">
      <w:pPr>
        <w:ind w:left="360"/>
        <w:rPr>
          <w:rFonts w:ascii="Century Gothic" w:eastAsia="Times New Roman" w:hAnsi="Century Gothic"/>
          <w:b/>
          <w:bCs/>
          <w:szCs w:val="22"/>
        </w:rPr>
      </w:pPr>
      <w:r w:rsidRPr="004C7E3E">
        <w:rPr>
          <w:rFonts w:ascii="Century Gothic" w:eastAsia="Times New Roman" w:hAnsi="Century Gothic"/>
          <w:b/>
          <w:bCs/>
          <w:szCs w:val="22"/>
        </w:rPr>
        <w:t>10. Administration Salaries &amp; Benefits (CFP only)</w:t>
      </w:r>
    </w:p>
    <w:p w14:paraId="33FA92F1" w14:textId="7E6AF7E1" w:rsidR="2C83264F" w:rsidRPr="004C7E3E" w:rsidRDefault="2C83264F" w:rsidP="00AF0914">
      <w:pPr>
        <w:ind w:left="1440"/>
        <w:rPr>
          <w:rFonts w:ascii="Century Gothic" w:eastAsia="Times New Roman" w:hAnsi="Century Gothic"/>
          <w:szCs w:val="22"/>
        </w:rPr>
      </w:pPr>
      <w:r w:rsidRPr="004C7E3E">
        <w:rPr>
          <w:rFonts w:ascii="Century Gothic" w:eastAsia="Times New Roman" w:hAnsi="Century Gothic"/>
          <w:szCs w:val="22"/>
        </w:rPr>
        <w:t>Staff salaries and benefits in support of CFP FY24 activities. $337,61</w:t>
      </w:r>
      <w:r w:rsidR="1D044DC6" w:rsidRPr="004C7E3E">
        <w:rPr>
          <w:rFonts w:ascii="Century Gothic" w:eastAsia="Times New Roman" w:hAnsi="Century Gothic"/>
          <w:szCs w:val="22"/>
        </w:rPr>
        <w:t>7</w:t>
      </w:r>
      <w:r w:rsidRPr="004C7E3E">
        <w:rPr>
          <w:rFonts w:ascii="Century Gothic" w:eastAsia="Times New Roman" w:hAnsi="Century Gothic"/>
          <w:szCs w:val="22"/>
        </w:rPr>
        <w:t xml:space="preserve"> spent.</w:t>
      </w:r>
    </w:p>
    <w:p w14:paraId="64C257C7" w14:textId="5667B739" w:rsidR="2C83264F" w:rsidRPr="004C7E3E" w:rsidRDefault="2C83264F" w:rsidP="00AF0914">
      <w:pPr>
        <w:ind w:left="720"/>
        <w:jc w:val="center"/>
        <w:rPr>
          <w:rFonts w:ascii="Century Gothic" w:eastAsia="Times New Roman" w:hAnsi="Century Gothic"/>
          <w:b/>
          <w:bCs/>
          <w:szCs w:val="22"/>
        </w:rPr>
      </w:pPr>
      <w:r w:rsidRPr="004C7E3E">
        <w:rPr>
          <w:rFonts w:ascii="Century Gothic" w:eastAsia="Times New Roman" w:hAnsi="Century Gothic"/>
          <w:b/>
          <w:bCs/>
          <w:szCs w:val="22"/>
        </w:rPr>
        <w:t xml:space="preserve"> </w:t>
      </w:r>
    </w:p>
    <w:p w14:paraId="6D9BD784" w14:textId="1813B34B" w:rsidR="2C83264F" w:rsidRPr="004C7E3E" w:rsidRDefault="2C83264F" w:rsidP="00AF0914">
      <w:pPr>
        <w:ind w:left="360"/>
        <w:rPr>
          <w:rFonts w:ascii="Century Gothic" w:eastAsia="Times New Roman" w:hAnsi="Century Gothic"/>
          <w:b/>
          <w:bCs/>
          <w:szCs w:val="22"/>
        </w:rPr>
      </w:pPr>
      <w:r w:rsidRPr="004C7E3E">
        <w:rPr>
          <w:rFonts w:ascii="Century Gothic" w:eastAsia="Times New Roman" w:hAnsi="Century Gothic"/>
          <w:b/>
          <w:bCs/>
          <w:szCs w:val="22"/>
        </w:rPr>
        <w:t>11</w:t>
      </w:r>
      <w:proofErr w:type="gramStart"/>
      <w:r w:rsidRPr="004C7E3E">
        <w:rPr>
          <w:rFonts w:ascii="Century Gothic" w:eastAsia="Times New Roman" w:hAnsi="Century Gothic"/>
          <w:b/>
          <w:bCs/>
          <w:szCs w:val="22"/>
        </w:rPr>
        <w:t>.  RAD</w:t>
      </w:r>
      <w:proofErr w:type="gramEnd"/>
      <w:r w:rsidRPr="004C7E3E">
        <w:rPr>
          <w:rFonts w:ascii="Century Gothic" w:eastAsia="Times New Roman" w:hAnsi="Century Gothic"/>
          <w:b/>
          <w:bCs/>
          <w:szCs w:val="22"/>
        </w:rPr>
        <w:t xml:space="preserve"> Initial Year Funding Tool</w:t>
      </w:r>
    </w:p>
    <w:p w14:paraId="7867CB70" w14:textId="23E369A1" w:rsidR="2C83264F" w:rsidRPr="00E25D48" w:rsidRDefault="2C83264F" w:rsidP="00AF0914">
      <w:pPr>
        <w:ind w:left="1440"/>
        <w:rPr>
          <w:rFonts w:ascii="Century Gothic" w:eastAsia="Times New Roman" w:hAnsi="Century Gothic"/>
          <w:szCs w:val="22"/>
        </w:rPr>
      </w:pPr>
      <w:r w:rsidRPr="004C7E3E">
        <w:rPr>
          <w:rFonts w:ascii="Century Gothic" w:eastAsia="Times New Roman" w:hAnsi="Century Gothic"/>
          <w:szCs w:val="22"/>
        </w:rPr>
        <w:t xml:space="preserve">CFP formula funds are allocated for RAD conversions for initial funding for </w:t>
      </w:r>
      <w:r w:rsidR="202E9674" w:rsidRPr="004C7E3E">
        <w:rPr>
          <w:rFonts w:ascii="Century Gothic" w:eastAsia="Times New Roman" w:hAnsi="Century Gothic"/>
          <w:szCs w:val="22"/>
        </w:rPr>
        <w:t xml:space="preserve">the </w:t>
      </w:r>
      <w:r w:rsidRPr="004C7E3E">
        <w:rPr>
          <w:rFonts w:ascii="Century Gothic" w:eastAsia="Times New Roman" w:hAnsi="Century Gothic"/>
          <w:szCs w:val="22"/>
        </w:rPr>
        <w:t xml:space="preserve">remaining months of </w:t>
      </w:r>
      <w:r w:rsidR="57B045BF" w:rsidRPr="004C7E3E">
        <w:rPr>
          <w:rFonts w:ascii="Century Gothic" w:eastAsia="Times New Roman" w:hAnsi="Century Gothic"/>
          <w:szCs w:val="22"/>
        </w:rPr>
        <w:t xml:space="preserve">the </w:t>
      </w:r>
      <w:r w:rsidRPr="004C7E3E">
        <w:rPr>
          <w:rFonts w:ascii="Century Gothic" w:eastAsia="Times New Roman" w:hAnsi="Century Gothic"/>
          <w:szCs w:val="22"/>
        </w:rPr>
        <w:t>calendar year from Housing Assistance Payments (HAP) contract effective dates.  RAD conversions</w:t>
      </w:r>
      <w:r w:rsidR="00E05E21" w:rsidRPr="004C7E3E">
        <w:rPr>
          <w:rFonts w:ascii="Century Gothic" w:eastAsia="Times New Roman" w:hAnsi="Century Gothic"/>
          <w:szCs w:val="22"/>
        </w:rPr>
        <w:t>: McConaughy</w:t>
      </w:r>
      <w:r w:rsidRPr="004C7E3E">
        <w:rPr>
          <w:rFonts w:ascii="Century Gothic" w:eastAsia="Times New Roman" w:hAnsi="Century Gothic"/>
          <w:szCs w:val="22"/>
        </w:rPr>
        <w:t xml:space="preserve"> Terrace, Westville Manor and Scattered Sites.  $60,314 spent </w:t>
      </w:r>
      <w:proofErr w:type="gramStart"/>
      <w:r w:rsidRPr="004C7E3E">
        <w:rPr>
          <w:rFonts w:ascii="Century Gothic" w:eastAsia="Times New Roman" w:hAnsi="Century Gothic"/>
          <w:szCs w:val="22"/>
        </w:rPr>
        <w:t>for</w:t>
      </w:r>
      <w:proofErr w:type="gramEnd"/>
      <w:r w:rsidRPr="004C7E3E">
        <w:rPr>
          <w:rFonts w:ascii="Century Gothic" w:eastAsia="Times New Roman" w:hAnsi="Century Gothic"/>
          <w:szCs w:val="22"/>
        </w:rPr>
        <w:t xml:space="preserve"> McConaughy</w:t>
      </w:r>
      <w:r w:rsidR="007F762E">
        <w:rPr>
          <w:rFonts w:ascii="Century Gothic" w:eastAsia="Times New Roman" w:hAnsi="Century Gothic"/>
          <w:szCs w:val="22"/>
        </w:rPr>
        <w:t xml:space="preserve"> Terrace</w:t>
      </w:r>
      <w:r w:rsidRPr="00E25D48">
        <w:rPr>
          <w:rFonts w:ascii="Century Gothic" w:eastAsia="Times New Roman" w:hAnsi="Century Gothic"/>
          <w:szCs w:val="22"/>
        </w:rPr>
        <w:t>.</w:t>
      </w:r>
      <w:r w:rsidR="31574558" w:rsidRPr="00E25D48">
        <w:rPr>
          <w:rFonts w:ascii="Century Gothic" w:eastAsia="Times New Roman" w:hAnsi="Century Gothic"/>
          <w:szCs w:val="22"/>
        </w:rPr>
        <w:t xml:space="preserve"> There weren’t any funds spent </w:t>
      </w:r>
      <w:proofErr w:type="gramStart"/>
      <w:r w:rsidR="31574558" w:rsidRPr="00E25D48">
        <w:rPr>
          <w:rFonts w:ascii="Century Gothic" w:eastAsia="Times New Roman" w:hAnsi="Century Gothic"/>
          <w:szCs w:val="22"/>
        </w:rPr>
        <w:t>for</w:t>
      </w:r>
      <w:proofErr w:type="gramEnd"/>
      <w:r w:rsidR="31574558" w:rsidRPr="00E25D48">
        <w:rPr>
          <w:rFonts w:ascii="Century Gothic" w:eastAsia="Times New Roman" w:hAnsi="Century Gothic"/>
          <w:szCs w:val="22"/>
        </w:rPr>
        <w:t xml:space="preserve"> Westville Manor</w:t>
      </w:r>
      <w:r w:rsidR="241C04B0" w:rsidRPr="00E25D48">
        <w:rPr>
          <w:rFonts w:ascii="Century Gothic" w:eastAsia="Times New Roman" w:hAnsi="Century Gothic"/>
          <w:szCs w:val="22"/>
        </w:rPr>
        <w:t xml:space="preserve"> and Scattered Site</w:t>
      </w:r>
      <w:r w:rsidR="31574558" w:rsidRPr="00E25D48">
        <w:rPr>
          <w:rFonts w:ascii="Century Gothic" w:eastAsia="Times New Roman" w:hAnsi="Century Gothic"/>
          <w:szCs w:val="22"/>
        </w:rPr>
        <w:t>.</w:t>
      </w:r>
    </w:p>
    <w:p w14:paraId="39DC7F03" w14:textId="134F8670" w:rsidR="2C83264F" w:rsidRPr="00E25D48" w:rsidRDefault="2C83264F" w:rsidP="00AF0914">
      <w:pPr>
        <w:ind w:left="1440"/>
        <w:jc w:val="center"/>
        <w:rPr>
          <w:rFonts w:ascii="Century Gothic" w:eastAsia="Times New Roman" w:hAnsi="Century Gothic"/>
          <w:b/>
          <w:bCs/>
          <w:szCs w:val="22"/>
        </w:rPr>
      </w:pPr>
      <w:r w:rsidRPr="00E25D48">
        <w:rPr>
          <w:rFonts w:ascii="Century Gothic" w:eastAsia="Times New Roman" w:hAnsi="Century Gothic"/>
          <w:b/>
          <w:bCs/>
          <w:szCs w:val="22"/>
        </w:rPr>
        <w:t xml:space="preserve"> </w:t>
      </w:r>
    </w:p>
    <w:p w14:paraId="2D8399F4" w14:textId="22090443" w:rsidR="2C83264F" w:rsidRPr="00E25D48" w:rsidRDefault="2C83264F" w:rsidP="00AF0914">
      <w:pPr>
        <w:ind w:left="360"/>
        <w:rPr>
          <w:rFonts w:ascii="Century Gothic" w:eastAsia="Times New Roman" w:hAnsi="Century Gothic"/>
          <w:b/>
          <w:bCs/>
          <w:szCs w:val="22"/>
        </w:rPr>
      </w:pPr>
      <w:r w:rsidRPr="00E25D48">
        <w:rPr>
          <w:rFonts w:ascii="Century Gothic" w:eastAsia="Times New Roman" w:hAnsi="Century Gothic"/>
          <w:b/>
          <w:bCs/>
          <w:szCs w:val="22"/>
        </w:rPr>
        <w:t>12. CFFP Bond Debt</w:t>
      </w:r>
    </w:p>
    <w:p w14:paraId="572F1BCF" w14:textId="2BF1C6FB" w:rsidR="2C83264F" w:rsidRPr="00E25D48" w:rsidRDefault="2C83264F" w:rsidP="00AF0914">
      <w:pPr>
        <w:ind w:left="1440"/>
        <w:rPr>
          <w:rFonts w:ascii="Century Gothic" w:eastAsia="Times New Roman" w:hAnsi="Century Gothic"/>
          <w:szCs w:val="22"/>
        </w:rPr>
      </w:pPr>
      <w:r w:rsidRPr="00E25D48">
        <w:rPr>
          <w:rFonts w:ascii="Century Gothic" w:eastAsia="Times New Roman" w:hAnsi="Century Gothic"/>
          <w:szCs w:val="22"/>
        </w:rPr>
        <w:t xml:space="preserve">ECC/HANH leveraged CFP funds for development of Brookside Phase 1 Rental. </w:t>
      </w:r>
      <w:r w:rsidR="7E766C14" w:rsidRPr="00E25D48">
        <w:rPr>
          <w:rFonts w:ascii="Century Gothic" w:eastAsia="Times New Roman" w:hAnsi="Century Gothic"/>
          <w:szCs w:val="22"/>
        </w:rPr>
        <w:t>The b</w:t>
      </w:r>
      <w:r w:rsidRPr="00E25D48">
        <w:rPr>
          <w:rFonts w:ascii="Century Gothic" w:eastAsia="Times New Roman" w:hAnsi="Century Gothic"/>
          <w:szCs w:val="22"/>
        </w:rPr>
        <w:t xml:space="preserve">ond </w:t>
      </w:r>
      <w:r w:rsidR="0F661031" w:rsidRPr="00E25D48">
        <w:rPr>
          <w:rFonts w:ascii="Century Gothic" w:eastAsia="Times New Roman" w:hAnsi="Century Gothic"/>
          <w:szCs w:val="22"/>
        </w:rPr>
        <w:t>d</w:t>
      </w:r>
      <w:r w:rsidRPr="00E25D48">
        <w:rPr>
          <w:rFonts w:ascii="Century Gothic" w:eastAsia="Times New Roman" w:hAnsi="Century Gothic"/>
          <w:szCs w:val="22"/>
        </w:rPr>
        <w:t xml:space="preserve">ebt is paid from Capital Fund allocations in accordance with HUD repayment schedule. </w:t>
      </w:r>
      <w:r w:rsidR="7E05830A" w:rsidRPr="00E25D48">
        <w:rPr>
          <w:rFonts w:ascii="Century Gothic" w:eastAsia="Times New Roman" w:hAnsi="Century Gothic"/>
          <w:szCs w:val="22"/>
        </w:rPr>
        <w:t>The p</w:t>
      </w:r>
      <w:r w:rsidRPr="00E25D48">
        <w:rPr>
          <w:rFonts w:ascii="Century Gothic" w:eastAsia="Times New Roman" w:hAnsi="Century Gothic"/>
          <w:szCs w:val="22"/>
        </w:rPr>
        <w:t xml:space="preserve">ayments </w:t>
      </w:r>
      <w:r w:rsidR="3FA371A0" w:rsidRPr="00E25D48">
        <w:rPr>
          <w:rFonts w:ascii="Century Gothic" w:eastAsia="Times New Roman" w:hAnsi="Century Gothic"/>
          <w:szCs w:val="22"/>
        </w:rPr>
        <w:t>were</w:t>
      </w:r>
      <w:r w:rsidRPr="00E25D48">
        <w:rPr>
          <w:rFonts w:ascii="Century Gothic" w:eastAsia="Times New Roman" w:hAnsi="Century Gothic"/>
          <w:szCs w:val="22"/>
        </w:rPr>
        <w:t xml:space="preserve"> made in March and September.  $368,96</w:t>
      </w:r>
      <w:r w:rsidR="08A6ED49" w:rsidRPr="00E25D48">
        <w:rPr>
          <w:rFonts w:ascii="Century Gothic" w:eastAsia="Times New Roman" w:hAnsi="Century Gothic"/>
          <w:szCs w:val="22"/>
        </w:rPr>
        <w:t>3 was</w:t>
      </w:r>
      <w:r w:rsidRPr="00E25D48">
        <w:rPr>
          <w:rFonts w:ascii="Century Gothic" w:eastAsia="Times New Roman" w:hAnsi="Century Gothic"/>
          <w:szCs w:val="22"/>
        </w:rPr>
        <w:t xml:space="preserve"> spent.</w:t>
      </w:r>
    </w:p>
    <w:p w14:paraId="460FF727" w14:textId="64C7D21D" w:rsidR="2C83264F" w:rsidRPr="00E25D48" w:rsidRDefault="2C83264F" w:rsidP="00AF0914">
      <w:pPr>
        <w:ind w:left="1080"/>
        <w:jc w:val="center"/>
        <w:rPr>
          <w:rFonts w:ascii="Century Gothic" w:eastAsia="Times New Roman" w:hAnsi="Century Gothic"/>
          <w:b/>
          <w:bCs/>
          <w:szCs w:val="22"/>
        </w:rPr>
      </w:pPr>
      <w:r w:rsidRPr="00E25D48">
        <w:rPr>
          <w:rFonts w:ascii="Century Gothic" w:eastAsia="Times New Roman" w:hAnsi="Century Gothic"/>
          <w:b/>
          <w:bCs/>
          <w:szCs w:val="22"/>
        </w:rPr>
        <w:t xml:space="preserve"> </w:t>
      </w:r>
    </w:p>
    <w:p w14:paraId="0AE5D35C" w14:textId="451CCCDF" w:rsidR="2C83264F" w:rsidRPr="00E25D48" w:rsidRDefault="2C83264F" w:rsidP="0E306301">
      <w:pPr>
        <w:rPr>
          <w:rFonts w:ascii="Century Gothic" w:eastAsia="Times New Roman" w:hAnsi="Century Gothic"/>
          <w:szCs w:val="22"/>
        </w:rPr>
      </w:pPr>
      <w:r w:rsidRPr="00E25D48">
        <w:rPr>
          <w:rFonts w:ascii="Century Gothic" w:eastAsia="Times New Roman" w:hAnsi="Century Gothic"/>
          <w:b/>
          <w:bCs/>
          <w:szCs w:val="22"/>
        </w:rPr>
        <w:t xml:space="preserve">ECC/HANH’s Reference </w:t>
      </w:r>
      <w:proofErr w:type="gramStart"/>
      <w:r w:rsidRPr="00E25D48">
        <w:rPr>
          <w:rFonts w:ascii="Century Gothic" w:eastAsia="Times New Roman" w:hAnsi="Century Gothic"/>
          <w:b/>
          <w:bCs/>
          <w:szCs w:val="22"/>
        </w:rPr>
        <w:t>to most</w:t>
      </w:r>
      <w:proofErr w:type="gramEnd"/>
      <w:r w:rsidRPr="00E25D48">
        <w:rPr>
          <w:rFonts w:ascii="Century Gothic" w:eastAsia="Times New Roman" w:hAnsi="Century Gothic"/>
          <w:b/>
          <w:bCs/>
          <w:szCs w:val="22"/>
        </w:rPr>
        <w:t xml:space="preserve"> Recent HUD-approved Five-Year Plan:  </w:t>
      </w:r>
    </w:p>
    <w:p w14:paraId="1F43DDD6" w14:textId="6D248CCE" w:rsidR="2C83264F" w:rsidRPr="00E25D48" w:rsidRDefault="2C83264F" w:rsidP="00486062">
      <w:pPr>
        <w:pStyle w:val="ListParagraph"/>
        <w:numPr>
          <w:ilvl w:val="0"/>
          <w:numId w:val="119"/>
        </w:numPr>
        <w:rPr>
          <w:rFonts w:ascii="Century Gothic" w:eastAsia="Times New Roman" w:hAnsi="Century Gothic"/>
          <w:szCs w:val="22"/>
        </w:rPr>
      </w:pPr>
      <w:r w:rsidRPr="00E25D48">
        <w:rPr>
          <w:rFonts w:ascii="Century Gothic" w:eastAsia="Times New Roman" w:hAnsi="Century Gothic"/>
          <w:szCs w:val="22"/>
        </w:rPr>
        <w:t xml:space="preserve">Updated rolling five-year plan for FY2024-2028 </w:t>
      </w:r>
      <w:r w:rsidR="25EA4570" w:rsidRPr="00E25D48">
        <w:rPr>
          <w:rFonts w:ascii="Century Gothic" w:eastAsia="Times New Roman" w:hAnsi="Century Gothic"/>
          <w:szCs w:val="22"/>
        </w:rPr>
        <w:t xml:space="preserve">which was </w:t>
      </w:r>
      <w:r w:rsidRPr="00E25D48">
        <w:rPr>
          <w:rFonts w:ascii="Century Gothic" w:eastAsia="Times New Roman" w:hAnsi="Century Gothic"/>
          <w:szCs w:val="22"/>
        </w:rPr>
        <w:t xml:space="preserve">approved </w:t>
      </w:r>
      <w:r w:rsidR="023C48F2" w:rsidRPr="00E25D48">
        <w:rPr>
          <w:rFonts w:ascii="Century Gothic" w:eastAsia="Times New Roman" w:hAnsi="Century Gothic"/>
          <w:szCs w:val="22"/>
        </w:rPr>
        <w:t xml:space="preserve">on </w:t>
      </w:r>
      <w:r w:rsidRPr="00E25D48">
        <w:rPr>
          <w:rFonts w:ascii="Century Gothic" w:eastAsia="Times New Roman" w:hAnsi="Century Gothic"/>
          <w:szCs w:val="22"/>
        </w:rPr>
        <w:t>6</w:t>
      </w:r>
      <w:r w:rsidR="118DE90C" w:rsidRPr="00E25D48">
        <w:rPr>
          <w:rFonts w:ascii="Century Gothic" w:eastAsia="Times New Roman" w:hAnsi="Century Gothic"/>
          <w:szCs w:val="22"/>
        </w:rPr>
        <w:t>/</w:t>
      </w:r>
      <w:r w:rsidRPr="00E25D48">
        <w:rPr>
          <w:rFonts w:ascii="Century Gothic" w:eastAsia="Times New Roman" w:hAnsi="Century Gothic"/>
          <w:szCs w:val="22"/>
        </w:rPr>
        <w:t>20</w:t>
      </w:r>
      <w:r w:rsidR="1BF5F5E7" w:rsidRPr="00E25D48">
        <w:rPr>
          <w:rFonts w:ascii="Century Gothic" w:eastAsia="Times New Roman" w:hAnsi="Century Gothic"/>
          <w:szCs w:val="22"/>
        </w:rPr>
        <w:t>/</w:t>
      </w:r>
      <w:r w:rsidRPr="00E25D48">
        <w:rPr>
          <w:rFonts w:ascii="Century Gothic" w:eastAsia="Times New Roman" w:hAnsi="Century Gothic"/>
          <w:szCs w:val="22"/>
        </w:rPr>
        <w:t xml:space="preserve">24.  </w:t>
      </w:r>
    </w:p>
    <w:p w14:paraId="41502F97" w14:textId="61B946F3" w:rsidR="2C83264F" w:rsidRPr="00E25D48" w:rsidRDefault="2C83264F" w:rsidP="00486062">
      <w:pPr>
        <w:pStyle w:val="ListParagraph"/>
        <w:numPr>
          <w:ilvl w:val="0"/>
          <w:numId w:val="119"/>
        </w:numPr>
        <w:rPr>
          <w:rFonts w:ascii="Century Gothic" w:eastAsia="Times New Roman" w:hAnsi="Century Gothic"/>
          <w:szCs w:val="22"/>
        </w:rPr>
      </w:pPr>
      <w:r w:rsidRPr="00E25D48">
        <w:rPr>
          <w:rFonts w:ascii="Century Gothic" w:eastAsia="Times New Roman" w:hAnsi="Century Gothic"/>
          <w:szCs w:val="22"/>
        </w:rPr>
        <w:t>FY2017-2021 Five-Year Plan Revision 6 for 2017 lead paint grant approved in EPIC 8</w:t>
      </w:r>
      <w:r w:rsidR="7A3B8132" w:rsidRPr="00E25D48">
        <w:rPr>
          <w:rFonts w:ascii="Century Gothic" w:eastAsia="Times New Roman" w:hAnsi="Century Gothic"/>
          <w:szCs w:val="22"/>
        </w:rPr>
        <w:t>/</w:t>
      </w:r>
      <w:r w:rsidRPr="00E25D48">
        <w:rPr>
          <w:rFonts w:ascii="Century Gothic" w:eastAsia="Times New Roman" w:hAnsi="Century Gothic"/>
          <w:szCs w:val="22"/>
        </w:rPr>
        <w:t>1</w:t>
      </w:r>
      <w:r w:rsidR="7A3B8132" w:rsidRPr="00E25D48">
        <w:rPr>
          <w:rFonts w:ascii="Century Gothic" w:eastAsia="Times New Roman" w:hAnsi="Century Gothic"/>
          <w:szCs w:val="22"/>
        </w:rPr>
        <w:t>/</w:t>
      </w:r>
      <w:r w:rsidRPr="00E25D48">
        <w:rPr>
          <w:rFonts w:ascii="Century Gothic" w:eastAsia="Times New Roman" w:hAnsi="Century Gothic"/>
          <w:szCs w:val="22"/>
        </w:rPr>
        <w:t>22.</w:t>
      </w:r>
    </w:p>
    <w:p w14:paraId="4C344211" w14:textId="036399E2" w:rsidR="2C83264F" w:rsidRPr="00E25D48" w:rsidRDefault="2C83264F" w:rsidP="00486062">
      <w:pPr>
        <w:pStyle w:val="ListParagraph"/>
        <w:numPr>
          <w:ilvl w:val="0"/>
          <w:numId w:val="119"/>
        </w:numPr>
        <w:rPr>
          <w:rFonts w:ascii="Century Gothic" w:eastAsia="Times New Roman" w:hAnsi="Century Gothic"/>
          <w:szCs w:val="22"/>
        </w:rPr>
      </w:pPr>
      <w:r w:rsidRPr="00E25D48">
        <w:rPr>
          <w:rFonts w:ascii="Century Gothic" w:eastAsia="Times New Roman" w:hAnsi="Century Gothic"/>
          <w:szCs w:val="22"/>
        </w:rPr>
        <w:t>FY2020-2024 Five-Year Plan Revision 1 for 2020 lead-based paint grant approved in EPIC 6</w:t>
      </w:r>
      <w:r w:rsidR="451DB501" w:rsidRPr="00E25D48">
        <w:rPr>
          <w:rFonts w:ascii="Century Gothic" w:eastAsia="Times New Roman" w:hAnsi="Century Gothic"/>
          <w:szCs w:val="22"/>
        </w:rPr>
        <w:t>/</w:t>
      </w:r>
      <w:r w:rsidRPr="00E25D48">
        <w:rPr>
          <w:rFonts w:ascii="Century Gothic" w:eastAsia="Times New Roman" w:hAnsi="Century Gothic"/>
          <w:szCs w:val="22"/>
        </w:rPr>
        <w:t>9</w:t>
      </w:r>
      <w:r w:rsidR="451DB501" w:rsidRPr="00E25D48">
        <w:rPr>
          <w:rFonts w:ascii="Century Gothic" w:eastAsia="Times New Roman" w:hAnsi="Century Gothic"/>
          <w:szCs w:val="22"/>
        </w:rPr>
        <w:t>/</w:t>
      </w:r>
      <w:r w:rsidRPr="00E25D48">
        <w:rPr>
          <w:rFonts w:ascii="Century Gothic" w:eastAsia="Times New Roman" w:hAnsi="Century Gothic"/>
          <w:szCs w:val="22"/>
        </w:rPr>
        <w:t xml:space="preserve">21.  </w:t>
      </w:r>
    </w:p>
    <w:p w14:paraId="7239DCC2" w14:textId="48970E06" w:rsidR="2C83264F" w:rsidRPr="00E25D48" w:rsidRDefault="2C83264F" w:rsidP="00486062">
      <w:pPr>
        <w:pStyle w:val="ListParagraph"/>
        <w:numPr>
          <w:ilvl w:val="0"/>
          <w:numId w:val="119"/>
        </w:numPr>
        <w:rPr>
          <w:rFonts w:ascii="Century Gothic" w:eastAsia="Times New Roman" w:hAnsi="Century Gothic"/>
          <w:szCs w:val="22"/>
        </w:rPr>
      </w:pPr>
      <w:r w:rsidRPr="00E25D48">
        <w:rPr>
          <w:rFonts w:ascii="Century Gothic" w:eastAsia="Times New Roman" w:hAnsi="Century Gothic"/>
          <w:szCs w:val="22"/>
        </w:rPr>
        <w:t>FY2020-2024 Five Year Plan Revision 2 for 2020 Housing-Related Hazards Grant approved in EPIC 10</w:t>
      </w:r>
      <w:r w:rsidR="0760F8A8" w:rsidRPr="00E25D48">
        <w:rPr>
          <w:rFonts w:ascii="Century Gothic" w:eastAsia="Times New Roman" w:hAnsi="Century Gothic"/>
          <w:szCs w:val="22"/>
        </w:rPr>
        <w:t>/</w:t>
      </w:r>
      <w:r w:rsidRPr="00E25D48">
        <w:rPr>
          <w:rFonts w:ascii="Century Gothic" w:eastAsia="Times New Roman" w:hAnsi="Century Gothic"/>
          <w:szCs w:val="22"/>
        </w:rPr>
        <w:t>1</w:t>
      </w:r>
      <w:r w:rsidR="0760F8A8" w:rsidRPr="00E25D48">
        <w:rPr>
          <w:rFonts w:ascii="Century Gothic" w:eastAsia="Times New Roman" w:hAnsi="Century Gothic"/>
          <w:szCs w:val="22"/>
        </w:rPr>
        <w:t>/</w:t>
      </w:r>
      <w:r w:rsidRPr="00E25D48">
        <w:rPr>
          <w:rFonts w:ascii="Century Gothic" w:eastAsia="Times New Roman" w:hAnsi="Century Gothic"/>
          <w:szCs w:val="22"/>
        </w:rPr>
        <w:t>21</w:t>
      </w:r>
    </w:p>
    <w:p w14:paraId="5F6729CB" w14:textId="68251ECF" w:rsidR="2C83264F" w:rsidRPr="00E25D48" w:rsidRDefault="2C83264F" w:rsidP="00AF0914">
      <w:pPr>
        <w:jc w:val="center"/>
        <w:rPr>
          <w:rFonts w:ascii="Century Gothic" w:eastAsia="Times New Roman" w:hAnsi="Century Gothic"/>
          <w:b/>
          <w:bCs/>
          <w:szCs w:val="22"/>
        </w:rPr>
      </w:pPr>
      <w:r w:rsidRPr="00E25D48">
        <w:rPr>
          <w:rFonts w:ascii="Century Gothic" w:eastAsia="Times New Roman" w:hAnsi="Century Gothic"/>
          <w:b/>
          <w:bCs/>
          <w:szCs w:val="22"/>
        </w:rPr>
        <w:t xml:space="preserve"> </w:t>
      </w:r>
    </w:p>
    <w:p w14:paraId="2B3EBE52" w14:textId="6B0949EC" w:rsidR="2C83264F" w:rsidRPr="00E25D48" w:rsidRDefault="2C83264F" w:rsidP="07A568D5">
      <w:pPr>
        <w:rPr>
          <w:rFonts w:ascii="Century Gothic" w:eastAsia="Times New Roman" w:hAnsi="Century Gothic"/>
          <w:szCs w:val="22"/>
        </w:rPr>
      </w:pPr>
      <w:r w:rsidRPr="00E25D48">
        <w:rPr>
          <w:rFonts w:ascii="Century Gothic" w:eastAsia="Times New Roman" w:hAnsi="Century Gothic"/>
          <w:b/>
          <w:bCs/>
          <w:szCs w:val="22"/>
        </w:rPr>
        <w:t>Long-term outcomes</w:t>
      </w:r>
      <w:r w:rsidRPr="00E25D48">
        <w:rPr>
          <w:rFonts w:ascii="Century Gothic" w:eastAsia="Times New Roman" w:hAnsi="Century Gothic"/>
          <w:szCs w:val="22"/>
        </w:rPr>
        <w:t xml:space="preserve"> of the FY24 work reflect ECC</w:t>
      </w:r>
      <w:r w:rsidR="6FD0F7C4" w:rsidRPr="00E25D48">
        <w:rPr>
          <w:rFonts w:ascii="Century Gothic" w:eastAsia="Times New Roman" w:hAnsi="Century Gothic"/>
          <w:szCs w:val="22"/>
        </w:rPr>
        <w:t>/HANH</w:t>
      </w:r>
      <w:r w:rsidRPr="00E25D48">
        <w:rPr>
          <w:rFonts w:ascii="Century Gothic" w:eastAsia="Times New Roman" w:hAnsi="Century Gothic"/>
          <w:szCs w:val="22"/>
        </w:rPr>
        <w:t xml:space="preserve">’s MTW Short Term Strategic goals to make further increases in Housing of Choice and Accessibility, to ensure Organizational Sustainability with development of housing through the Glendower </w:t>
      </w:r>
      <w:r w:rsidR="00644195" w:rsidRPr="00E25D48">
        <w:rPr>
          <w:rFonts w:ascii="Century Gothic" w:eastAsia="Times New Roman" w:hAnsi="Century Gothic"/>
          <w:szCs w:val="22"/>
        </w:rPr>
        <w:t>Group and</w:t>
      </w:r>
      <w:r w:rsidRPr="00E25D48">
        <w:rPr>
          <w:rFonts w:ascii="Century Gothic" w:eastAsia="Times New Roman" w:hAnsi="Century Gothic"/>
          <w:szCs w:val="22"/>
        </w:rPr>
        <w:t xml:space="preserve"> </w:t>
      </w:r>
      <w:r w:rsidR="51AF9E8D" w:rsidRPr="00E25D48">
        <w:rPr>
          <w:rFonts w:ascii="Century Gothic" w:eastAsia="Times New Roman" w:hAnsi="Century Gothic"/>
          <w:szCs w:val="22"/>
        </w:rPr>
        <w:t xml:space="preserve">make </w:t>
      </w:r>
      <w:r w:rsidRPr="00E25D48">
        <w:rPr>
          <w:rFonts w:ascii="Century Gothic" w:eastAsia="Times New Roman" w:hAnsi="Century Gothic"/>
          <w:szCs w:val="22"/>
        </w:rPr>
        <w:t xml:space="preserve">renovations in concert with future development plans. We ensure Cost Effectiveness through monitoring expenses, planning for replacement of obsolete building systems for the </w:t>
      </w:r>
      <w:r w:rsidRPr="00E25D48">
        <w:rPr>
          <w:rFonts w:ascii="Century Gothic" w:eastAsia="Times New Roman" w:hAnsi="Century Gothic"/>
          <w:szCs w:val="22"/>
        </w:rPr>
        <w:lastRenderedPageBreak/>
        <w:t>improvement of operational costs while keeping in focus the MTW goals of Housing and Neighborhoods of Choice, as they relate to the remaining LIPH portfolio.</w:t>
      </w:r>
    </w:p>
    <w:p w14:paraId="0DF01882" w14:textId="76B7FD59" w:rsidR="090392C3" w:rsidRPr="00E25D48" w:rsidRDefault="090392C3" w:rsidP="00847670">
      <w:pPr>
        <w:jc w:val="center"/>
        <w:rPr>
          <w:rFonts w:ascii="Century Gothic" w:eastAsia="Times New Roman" w:hAnsi="Century Gothic"/>
          <w:szCs w:val="22"/>
        </w:rPr>
      </w:pPr>
    </w:p>
    <w:p w14:paraId="46E4C7CB" w14:textId="193C4FCA" w:rsidR="00EE636A" w:rsidRPr="00AB230A" w:rsidRDefault="0F94AF30" w:rsidP="00847670">
      <w:pPr>
        <w:pStyle w:val="MTWHeader2"/>
        <w:jc w:val="center"/>
        <w:rPr>
          <w:rFonts w:ascii="Century Gothic" w:eastAsia="Times New Roman" w:hAnsi="Century Gothic"/>
          <w:sz w:val="22"/>
          <w:szCs w:val="22"/>
        </w:rPr>
      </w:pPr>
      <w:r w:rsidRPr="00AB230A">
        <w:rPr>
          <w:rFonts w:ascii="Century Gothic" w:eastAsia="Times New Roman" w:hAnsi="Century Gothic" w:cs="Times New Roman"/>
          <w:sz w:val="22"/>
          <w:szCs w:val="22"/>
        </w:rPr>
        <w:t>Refer to Appendix 7 for Actual Capital Expenses and Portfolio Capital Needs Chart</w:t>
      </w:r>
    </w:p>
    <w:p w14:paraId="7FA31A27" w14:textId="496721A2" w:rsidR="00AC7D3F" w:rsidRDefault="00AC7D3F" w:rsidP="006B3D91">
      <w:pPr>
        <w:rPr>
          <w:rFonts w:ascii="Century Gothic" w:hAnsi="Century Gothic"/>
          <w:sz w:val="24"/>
        </w:rPr>
      </w:pPr>
      <w:r>
        <w:rPr>
          <w:rFonts w:ascii="Century Gothic" w:hAnsi="Century Gothic"/>
          <w:sz w:val="24"/>
        </w:rPr>
        <w:br w:type="page"/>
      </w:r>
    </w:p>
    <w:p w14:paraId="276A186E" w14:textId="79424455" w:rsidR="008B6710" w:rsidRPr="00AB230A" w:rsidRDefault="0064050C" w:rsidP="00641763">
      <w:pPr>
        <w:pStyle w:val="MTWHeader1"/>
        <w:rPr>
          <w:rFonts w:ascii="Century Gothic" w:hAnsi="Century Gothic"/>
          <w:szCs w:val="22"/>
        </w:rPr>
      </w:pPr>
      <w:bookmarkStart w:id="50" w:name="_Toc89295028"/>
      <w:bookmarkStart w:id="51" w:name="_Toc89871137"/>
      <w:r w:rsidRPr="00AB230A">
        <w:rPr>
          <w:rFonts w:ascii="Century Gothic" w:hAnsi="Century Gothic"/>
          <w:sz w:val="22"/>
          <w:szCs w:val="22"/>
        </w:rPr>
        <w:lastRenderedPageBreak/>
        <w:t xml:space="preserve">B. </w:t>
      </w:r>
      <w:r w:rsidR="0087178B" w:rsidRPr="00AB230A">
        <w:rPr>
          <w:rFonts w:ascii="Century Gothic" w:hAnsi="Century Gothic"/>
          <w:sz w:val="22"/>
          <w:szCs w:val="22"/>
        </w:rPr>
        <w:t>LEASING INFOR</w:t>
      </w:r>
      <w:r w:rsidR="008B6710" w:rsidRPr="00AB230A">
        <w:rPr>
          <w:rFonts w:ascii="Century Gothic" w:hAnsi="Century Gothic"/>
          <w:sz w:val="22"/>
          <w:szCs w:val="22"/>
        </w:rPr>
        <w:t>MATION</w:t>
      </w:r>
      <w:bookmarkEnd w:id="50"/>
      <w:bookmarkEnd w:id="51"/>
    </w:p>
    <w:p w14:paraId="2C37EBA2" w14:textId="295C057F" w:rsidR="008B6710" w:rsidRPr="00AB230A" w:rsidRDefault="21065570" w:rsidP="005B1430">
      <w:pPr>
        <w:pStyle w:val="Subheading"/>
        <w:rPr>
          <w:rFonts w:ascii="Century Gothic" w:hAnsi="Century Gothic" w:cs="Times New Roman"/>
          <w:sz w:val="22"/>
          <w:szCs w:val="22"/>
        </w:rPr>
      </w:pPr>
      <w:bookmarkStart w:id="52" w:name="_Toc89295029"/>
      <w:bookmarkStart w:id="53" w:name="_Toc89871138"/>
      <w:proofErr w:type="spellStart"/>
      <w:r w:rsidRPr="00AB230A">
        <w:rPr>
          <w:rFonts w:ascii="Century Gothic" w:hAnsi="Century Gothic" w:cs="Times New Roman"/>
          <w:sz w:val="22"/>
          <w:szCs w:val="22"/>
        </w:rPr>
        <w:t>i</w:t>
      </w:r>
      <w:proofErr w:type="spellEnd"/>
      <w:r w:rsidRPr="00AB230A">
        <w:rPr>
          <w:rFonts w:ascii="Century Gothic" w:hAnsi="Century Gothic" w:cs="Times New Roman"/>
          <w:sz w:val="22"/>
          <w:szCs w:val="22"/>
        </w:rPr>
        <w:t xml:space="preserve">. </w:t>
      </w:r>
      <w:r w:rsidR="277CD95B" w:rsidRPr="00AB230A">
        <w:rPr>
          <w:rFonts w:ascii="Century Gothic" w:hAnsi="Century Gothic" w:cs="Times New Roman"/>
          <w:sz w:val="22"/>
          <w:szCs w:val="22"/>
        </w:rPr>
        <w:t>Actual Number of Households Served</w:t>
      </w:r>
      <w:bookmarkEnd w:id="52"/>
      <w:bookmarkEnd w:id="53"/>
    </w:p>
    <w:p w14:paraId="78577E1D" w14:textId="77777777" w:rsidR="008B6710" w:rsidRPr="00AB230A" w:rsidRDefault="008B6710" w:rsidP="008B6710">
      <w:pPr>
        <w:pStyle w:val="ListParagraph"/>
        <w:rPr>
          <w:rFonts w:ascii="Century Gothic" w:hAnsi="Century Gothic"/>
          <w:szCs w:val="22"/>
        </w:rPr>
      </w:pPr>
      <w:r w:rsidRPr="00AB230A">
        <w:rPr>
          <w:rFonts w:ascii="Century Gothic" w:hAnsi="Century Gothic"/>
          <w:szCs w:val="22"/>
        </w:rPr>
        <w:t xml:space="preserve">Snapshot and unit month information on the number of households the MTW PHA </w:t>
      </w:r>
      <w:r w:rsidR="00424DEF" w:rsidRPr="00AB230A">
        <w:rPr>
          <w:rFonts w:ascii="Century Gothic" w:hAnsi="Century Gothic"/>
          <w:szCs w:val="22"/>
        </w:rPr>
        <w:t>served</w:t>
      </w:r>
      <w:r w:rsidRPr="00AB230A">
        <w:rPr>
          <w:rFonts w:ascii="Century Gothic" w:hAnsi="Century Gothic"/>
          <w:szCs w:val="22"/>
        </w:rPr>
        <w:t xml:space="preserve"> at the end of the Plan Year.</w:t>
      </w:r>
    </w:p>
    <w:p w14:paraId="4F8E1DB0" w14:textId="77777777" w:rsidR="008B6710" w:rsidRPr="00AB230A" w:rsidRDefault="008B6710" w:rsidP="008B6710">
      <w:pPr>
        <w:pStyle w:val="ListParagraph"/>
        <w:ind w:left="360"/>
        <w:rPr>
          <w:rFonts w:ascii="Century Gothic" w:hAnsi="Century Gothic"/>
          <w:szCs w:val="22"/>
        </w:rPr>
      </w:pPr>
    </w:p>
    <w:tbl>
      <w:tblPr>
        <w:tblW w:w="10010" w:type="dxa"/>
        <w:tblLook w:val="04A0" w:firstRow="1" w:lastRow="0" w:firstColumn="1" w:lastColumn="0" w:noHBand="0" w:noVBand="1"/>
      </w:tblPr>
      <w:tblGrid>
        <w:gridCol w:w="2882"/>
        <w:gridCol w:w="2123"/>
        <w:gridCol w:w="1720"/>
        <w:gridCol w:w="2011"/>
        <w:gridCol w:w="1274"/>
      </w:tblGrid>
      <w:tr w:rsidR="00576A40" w:rsidRPr="00AB230A" w14:paraId="770A4C0A" w14:textId="77777777" w:rsidTr="2CA740EE">
        <w:trPr>
          <w:trHeight w:val="1358"/>
        </w:trPr>
        <w:tc>
          <w:tcPr>
            <w:tcW w:w="2882" w:type="dxa"/>
            <w:vMerge w:val="restart"/>
            <w:tcBorders>
              <w:top w:val="single" w:sz="12" w:space="0" w:color="auto"/>
              <w:left w:val="single" w:sz="12" w:space="0" w:color="auto"/>
              <w:bottom w:val="single" w:sz="8" w:space="0" w:color="000000" w:themeColor="text1"/>
              <w:right w:val="single" w:sz="12" w:space="0" w:color="auto"/>
            </w:tcBorders>
            <w:shd w:val="clear" w:color="auto" w:fill="BFBFBF" w:themeFill="background1" w:themeFillShade="BF"/>
            <w:vAlign w:val="center"/>
            <w:hideMark/>
          </w:tcPr>
          <w:p w14:paraId="654F1C67" w14:textId="77777777" w:rsidR="00576A40" w:rsidRPr="00AB230A" w:rsidRDefault="00576A40" w:rsidP="00576A40">
            <w:pPr>
              <w:jc w:val="center"/>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NUMBER OF HOUSEHOLDS SERVED THROUGH:</w:t>
            </w:r>
          </w:p>
        </w:tc>
        <w:tc>
          <w:tcPr>
            <w:tcW w:w="3843" w:type="dxa"/>
            <w:gridSpan w:val="2"/>
            <w:tcBorders>
              <w:top w:val="single" w:sz="12" w:space="0" w:color="auto"/>
              <w:left w:val="nil"/>
              <w:bottom w:val="single" w:sz="8" w:space="0" w:color="auto"/>
              <w:right w:val="single" w:sz="12" w:space="0" w:color="000000" w:themeColor="text1"/>
            </w:tcBorders>
            <w:shd w:val="clear" w:color="auto" w:fill="BFBFBF" w:themeFill="background1" w:themeFillShade="BF"/>
            <w:vAlign w:val="center"/>
            <w:hideMark/>
          </w:tcPr>
          <w:p w14:paraId="27017A81" w14:textId="77777777" w:rsidR="00576A40" w:rsidRPr="00AB230A" w:rsidRDefault="00576A40" w:rsidP="00576A40">
            <w:pPr>
              <w:jc w:val="center"/>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NUMBER OF UNIT MONTHS OCCUPIED/LEASED</w:t>
            </w:r>
          </w:p>
        </w:tc>
        <w:tc>
          <w:tcPr>
            <w:tcW w:w="3285" w:type="dxa"/>
            <w:gridSpan w:val="2"/>
            <w:tcBorders>
              <w:top w:val="single" w:sz="12" w:space="0" w:color="auto"/>
              <w:left w:val="nil"/>
              <w:bottom w:val="single" w:sz="8" w:space="0" w:color="auto"/>
              <w:right w:val="single" w:sz="12" w:space="0" w:color="000000" w:themeColor="text1"/>
            </w:tcBorders>
            <w:shd w:val="clear" w:color="auto" w:fill="BFBFBF" w:themeFill="background1" w:themeFillShade="BF"/>
            <w:vAlign w:val="center"/>
            <w:hideMark/>
          </w:tcPr>
          <w:p w14:paraId="7EC56D98" w14:textId="77777777" w:rsidR="00576A40" w:rsidRPr="00AB230A" w:rsidRDefault="00576A40" w:rsidP="00576A40">
            <w:pPr>
              <w:jc w:val="center"/>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NUMBER OF HOUSEHOLDS SERVED</w:t>
            </w:r>
          </w:p>
        </w:tc>
      </w:tr>
      <w:tr w:rsidR="00576A40" w:rsidRPr="00AB230A" w14:paraId="6B45230E" w14:textId="77777777" w:rsidTr="2CA740EE">
        <w:trPr>
          <w:trHeight w:val="217"/>
        </w:trPr>
        <w:tc>
          <w:tcPr>
            <w:tcW w:w="2882" w:type="dxa"/>
            <w:vMerge/>
            <w:vAlign w:val="center"/>
            <w:hideMark/>
          </w:tcPr>
          <w:p w14:paraId="61140428" w14:textId="77777777" w:rsidR="00576A40" w:rsidRPr="00AB230A" w:rsidRDefault="00576A40" w:rsidP="00576A40">
            <w:pPr>
              <w:rPr>
                <w:rFonts w:ascii="Century Gothic" w:eastAsia="Times New Roman" w:hAnsi="Century Gothic"/>
                <w:b/>
                <w:bCs/>
                <w:color w:val="000000"/>
                <w:szCs w:val="22"/>
                <w:lang w:eastAsia="en-US"/>
              </w:rPr>
            </w:pPr>
          </w:p>
        </w:tc>
        <w:tc>
          <w:tcPr>
            <w:tcW w:w="2123" w:type="dxa"/>
            <w:tcBorders>
              <w:top w:val="nil"/>
              <w:left w:val="nil"/>
              <w:bottom w:val="single" w:sz="12" w:space="0" w:color="auto"/>
              <w:right w:val="single" w:sz="12" w:space="0" w:color="auto"/>
            </w:tcBorders>
            <w:shd w:val="clear" w:color="auto" w:fill="D9D9D9" w:themeFill="background1" w:themeFillShade="D9"/>
            <w:vAlign w:val="center"/>
            <w:hideMark/>
          </w:tcPr>
          <w:p w14:paraId="57F05B5B" w14:textId="77777777" w:rsidR="00576A40" w:rsidRPr="00AB230A" w:rsidRDefault="00576A40" w:rsidP="00576A40">
            <w:pPr>
              <w:jc w:val="center"/>
              <w:rPr>
                <w:rFonts w:ascii="Century Gothic" w:eastAsia="Times New Roman" w:hAnsi="Century Gothic"/>
                <w:b/>
                <w:color w:val="000000"/>
                <w:lang w:eastAsia="en-US"/>
              </w:rPr>
            </w:pPr>
            <w:r w:rsidRPr="00AB230A">
              <w:rPr>
                <w:rFonts w:ascii="Century Gothic" w:eastAsia="Times New Roman" w:hAnsi="Century Gothic"/>
                <w:b/>
                <w:color w:val="000000" w:themeColor="text1"/>
                <w:lang w:eastAsia="en-US"/>
              </w:rPr>
              <w:t>Planned</w:t>
            </w:r>
          </w:p>
        </w:tc>
        <w:tc>
          <w:tcPr>
            <w:tcW w:w="1720" w:type="dxa"/>
            <w:tcBorders>
              <w:top w:val="nil"/>
              <w:left w:val="nil"/>
              <w:bottom w:val="single" w:sz="12" w:space="0" w:color="auto"/>
              <w:right w:val="single" w:sz="12" w:space="0" w:color="auto"/>
            </w:tcBorders>
            <w:shd w:val="clear" w:color="auto" w:fill="D9D9D9" w:themeFill="background1" w:themeFillShade="D9"/>
            <w:vAlign w:val="center"/>
            <w:hideMark/>
          </w:tcPr>
          <w:p w14:paraId="3AED9052" w14:textId="77777777" w:rsidR="00576A40" w:rsidRPr="00AB230A" w:rsidRDefault="00576A40" w:rsidP="00576A40">
            <w:pPr>
              <w:jc w:val="center"/>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Actual</w:t>
            </w:r>
          </w:p>
        </w:tc>
        <w:tc>
          <w:tcPr>
            <w:tcW w:w="2011" w:type="dxa"/>
            <w:tcBorders>
              <w:top w:val="nil"/>
              <w:left w:val="nil"/>
              <w:bottom w:val="single" w:sz="12" w:space="0" w:color="auto"/>
              <w:right w:val="single" w:sz="12" w:space="0" w:color="auto"/>
            </w:tcBorders>
            <w:shd w:val="clear" w:color="auto" w:fill="D9D9D9" w:themeFill="background1" w:themeFillShade="D9"/>
            <w:vAlign w:val="center"/>
            <w:hideMark/>
          </w:tcPr>
          <w:p w14:paraId="46C66099" w14:textId="77777777" w:rsidR="00576A40" w:rsidRPr="00AB230A" w:rsidRDefault="00576A40" w:rsidP="00576A40">
            <w:pPr>
              <w:jc w:val="center"/>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Planned</w:t>
            </w:r>
          </w:p>
        </w:tc>
        <w:tc>
          <w:tcPr>
            <w:tcW w:w="1274" w:type="dxa"/>
            <w:tcBorders>
              <w:top w:val="nil"/>
              <w:left w:val="nil"/>
              <w:bottom w:val="single" w:sz="12" w:space="0" w:color="auto"/>
              <w:right w:val="single" w:sz="12" w:space="0" w:color="auto"/>
            </w:tcBorders>
            <w:shd w:val="clear" w:color="auto" w:fill="D9D9D9" w:themeFill="background1" w:themeFillShade="D9"/>
            <w:vAlign w:val="center"/>
            <w:hideMark/>
          </w:tcPr>
          <w:p w14:paraId="43749A02" w14:textId="77777777" w:rsidR="00576A40" w:rsidRPr="00AB230A" w:rsidRDefault="00576A40" w:rsidP="00576A40">
            <w:pPr>
              <w:jc w:val="center"/>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Actual</w:t>
            </w:r>
          </w:p>
        </w:tc>
      </w:tr>
      <w:tr w:rsidR="00E4432D" w:rsidRPr="00AB230A" w14:paraId="757802C4" w14:textId="77777777" w:rsidTr="2CA740EE">
        <w:trPr>
          <w:trHeight w:val="425"/>
        </w:trPr>
        <w:tc>
          <w:tcPr>
            <w:tcW w:w="2882" w:type="dxa"/>
            <w:tcBorders>
              <w:top w:val="nil"/>
              <w:left w:val="single" w:sz="12" w:space="0" w:color="auto"/>
              <w:bottom w:val="single" w:sz="8" w:space="0" w:color="auto"/>
              <w:right w:val="single" w:sz="12" w:space="0" w:color="auto"/>
            </w:tcBorders>
            <w:vAlign w:val="center"/>
            <w:hideMark/>
          </w:tcPr>
          <w:p w14:paraId="565EB23E" w14:textId="77777777" w:rsidR="00E4432D" w:rsidRPr="00AB230A" w:rsidRDefault="00E4432D" w:rsidP="00E4432D">
            <w:pP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MTW Public Housing Units Leased</w:t>
            </w:r>
          </w:p>
        </w:tc>
        <w:tc>
          <w:tcPr>
            <w:tcW w:w="2123" w:type="dxa"/>
            <w:tcBorders>
              <w:top w:val="nil"/>
              <w:left w:val="nil"/>
              <w:bottom w:val="single" w:sz="8" w:space="0" w:color="auto"/>
              <w:right w:val="single" w:sz="8" w:space="0" w:color="auto"/>
            </w:tcBorders>
            <w:vAlign w:val="center"/>
            <w:hideMark/>
          </w:tcPr>
          <w:p w14:paraId="09E8CC91" w14:textId="1753447E" w:rsidR="00E4432D" w:rsidRPr="00AB230A" w:rsidRDefault="039F8F24" w:rsidP="00E4432D">
            <w:pPr>
              <w:jc w:val="center"/>
              <w:rPr>
                <w:rFonts w:ascii="Century Gothic" w:eastAsia="Times New Roman" w:hAnsi="Century Gothic"/>
                <w:color w:val="000000"/>
                <w:lang w:eastAsia="en-US"/>
              </w:rPr>
            </w:pPr>
            <w:r w:rsidRPr="00AB230A">
              <w:rPr>
                <w:rFonts w:ascii="Century Gothic" w:eastAsia="Times New Roman" w:hAnsi="Century Gothic"/>
                <w:color w:val="000000" w:themeColor="text1"/>
                <w:lang w:eastAsia="en-US"/>
              </w:rPr>
              <w:t xml:space="preserve"> </w:t>
            </w:r>
            <w:r w:rsidR="09FABBA3" w:rsidRPr="00AB230A">
              <w:rPr>
                <w:rFonts w:ascii="Century Gothic" w:eastAsia="Times New Roman" w:hAnsi="Century Gothic"/>
                <w:color w:val="000000" w:themeColor="text1"/>
                <w:lang w:eastAsia="en-US"/>
              </w:rPr>
              <w:t xml:space="preserve"> </w:t>
            </w:r>
            <w:r w:rsidR="77A7DF6B" w:rsidRPr="00AB230A">
              <w:rPr>
                <w:rFonts w:ascii="Century Gothic" w:eastAsia="Times New Roman" w:hAnsi="Century Gothic"/>
                <w:color w:val="000000" w:themeColor="text1"/>
                <w:lang w:eastAsia="en-US"/>
              </w:rPr>
              <w:t>9,780</w:t>
            </w:r>
          </w:p>
        </w:tc>
        <w:tc>
          <w:tcPr>
            <w:tcW w:w="1720" w:type="dxa"/>
            <w:tcBorders>
              <w:top w:val="nil"/>
              <w:left w:val="nil"/>
              <w:bottom w:val="single" w:sz="8" w:space="0" w:color="auto"/>
              <w:right w:val="single" w:sz="12" w:space="0" w:color="auto"/>
            </w:tcBorders>
            <w:vAlign w:val="center"/>
            <w:hideMark/>
          </w:tcPr>
          <w:p w14:paraId="42FC9A90" w14:textId="0B6C0C79" w:rsidR="00E4432D" w:rsidRPr="00AB230A" w:rsidRDefault="5A402243" w:rsidP="2C805A1A">
            <w:pPr>
              <w:rPr>
                <w:rFonts w:ascii="Century Gothic" w:eastAsia="Times New Roman" w:hAnsi="Century Gothic"/>
                <w:color w:val="000000"/>
                <w:lang w:eastAsia="en-US"/>
              </w:rPr>
            </w:pPr>
            <w:r w:rsidRPr="00AB230A">
              <w:rPr>
                <w:rFonts w:ascii="Century Gothic" w:eastAsia="Times New Roman" w:hAnsi="Century Gothic"/>
                <w:color w:val="000000" w:themeColor="text1"/>
                <w:lang w:eastAsia="en-US"/>
              </w:rPr>
              <w:t xml:space="preserve">        </w:t>
            </w:r>
            <w:r w:rsidR="2929E7DD" w:rsidRPr="00AB230A">
              <w:rPr>
                <w:rFonts w:ascii="Century Gothic" w:eastAsia="Times New Roman" w:hAnsi="Century Gothic"/>
                <w:color w:val="000000" w:themeColor="text1"/>
                <w:lang w:eastAsia="en-US"/>
              </w:rPr>
              <w:t>9,444</w:t>
            </w:r>
          </w:p>
        </w:tc>
        <w:tc>
          <w:tcPr>
            <w:tcW w:w="2011" w:type="dxa"/>
            <w:tcBorders>
              <w:top w:val="nil"/>
              <w:left w:val="nil"/>
              <w:bottom w:val="single" w:sz="8" w:space="0" w:color="auto"/>
              <w:right w:val="single" w:sz="8" w:space="0" w:color="auto"/>
            </w:tcBorders>
            <w:vAlign w:val="center"/>
            <w:hideMark/>
          </w:tcPr>
          <w:p w14:paraId="6FC24F84" w14:textId="057670D6" w:rsidR="00E4432D" w:rsidRPr="00AB230A" w:rsidRDefault="039F8F24" w:rsidP="00E4432D">
            <w:pPr>
              <w:jc w:val="center"/>
              <w:rPr>
                <w:rFonts w:ascii="Century Gothic" w:eastAsia="Times New Roman" w:hAnsi="Century Gothic"/>
                <w:color w:val="000000"/>
                <w:lang w:eastAsia="en-US"/>
              </w:rPr>
            </w:pPr>
            <w:r w:rsidRPr="00AB230A">
              <w:rPr>
                <w:rFonts w:ascii="Century Gothic" w:eastAsia="Times New Roman" w:hAnsi="Century Gothic"/>
                <w:color w:val="000000" w:themeColor="text1"/>
                <w:lang w:eastAsia="en-US"/>
              </w:rPr>
              <w:t xml:space="preserve"> </w:t>
            </w:r>
            <w:r w:rsidR="3225F5E1" w:rsidRPr="00AB230A">
              <w:rPr>
                <w:rFonts w:ascii="Century Gothic" w:eastAsia="Times New Roman" w:hAnsi="Century Gothic"/>
                <w:color w:val="000000" w:themeColor="text1"/>
                <w:lang w:eastAsia="en-US"/>
              </w:rPr>
              <w:t xml:space="preserve"> </w:t>
            </w:r>
            <w:r w:rsidR="6CDAA0AD" w:rsidRPr="00AB230A">
              <w:rPr>
                <w:rFonts w:ascii="Century Gothic" w:eastAsia="Times New Roman" w:hAnsi="Century Gothic"/>
                <w:color w:val="000000" w:themeColor="text1"/>
                <w:lang w:eastAsia="en-US"/>
              </w:rPr>
              <w:t>815</w:t>
            </w:r>
          </w:p>
        </w:tc>
        <w:tc>
          <w:tcPr>
            <w:tcW w:w="1274" w:type="dxa"/>
            <w:tcBorders>
              <w:top w:val="nil"/>
              <w:left w:val="nil"/>
              <w:bottom w:val="single" w:sz="8" w:space="0" w:color="auto"/>
              <w:right w:val="single" w:sz="12" w:space="0" w:color="auto"/>
            </w:tcBorders>
            <w:vAlign w:val="center"/>
            <w:hideMark/>
          </w:tcPr>
          <w:p w14:paraId="0C71668E" w14:textId="7FC8F05A" w:rsidR="00E4432D" w:rsidRPr="00AB230A" w:rsidRDefault="35537631" w:rsidP="006574C8">
            <w:pPr>
              <w:jc w:val="center"/>
              <w:rPr>
                <w:rFonts w:ascii="Century Gothic" w:eastAsia="Times New Roman" w:hAnsi="Century Gothic"/>
                <w:color w:val="000000" w:themeColor="text1"/>
                <w:highlight w:val="yellow"/>
                <w:lang w:eastAsia="en-US"/>
              </w:rPr>
            </w:pPr>
            <w:r w:rsidRPr="002C5225">
              <w:rPr>
                <w:rFonts w:ascii="Century Gothic" w:eastAsia="Times New Roman" w:hAnsi="Century Gothic"/>
                <w:color w:val="000000" w:themeColor="text1"/>
                <w:lang w:eastAsia="en-US"/>
              </w:rPr>
              <w:t>787</w:t>
            </w:r>
          </w:p>
        </w:tc>
      </w:tr>
      <w:tr w:rsidR="00E4432D" w:rsidRPr="00AB230A" w14:paraId="4BAB8C92" w14:textId="77777777" w:rsidTr="2CA740EE">
        <w:trPr>
          <w:trHeight w:val="632"/>
        </w:trPr>
        <w:tc>
          <w:tcPr>
            <w:tcW w:w="2882" w:type="dxa"/>
            <w:tcBorders>
              <w:top w:val="nil"/>
              <w:left w:val="single" w:sz="12" w:space="0" w:color="auto"/>
              <w:bottom w:val="single" w:sz="8" w:space="0" w:color="auto"/>
              <w:right w:val="single" w:sz="12" w:space="0" w:color="auto"/>
            </w:tcBorders>
            <w:vAlign w:val="center"/>
            <w:hideMark/>
          </w:tcPr>
          <w:p w14:paraId="180F075A" w14:textId="77777777" w:rsidR="00E4432D" w:rsidRPr="00AB230A" w:rsidRDefault="00E4432D" w:rsidP="00E4432D">
            <w:pP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MTW Housing Choice Vouchers (HCV) Utilized</w:t>
            </w:r>
          </w:p>
        </w:tc>
        <w:tc>
          <w:tcPr>
            <w:tcW w:w="2123" w:type="dxa"/>
            <w:tcBorders>
              <w:top w:val="nil"/>
              <w:left w:val="nil"/>
              <w:bottom w:val="single" w:sz="8" w:space="0" w:color="auto"/>
              <w:right w:val="single" w:sz="8" w:space="0" w:color="auto"/>
            </w:tcBorders>
            <w:vAlign w:val="center"/>
            <w:hideMark/>
          </w:tcPr>
          <w:p w14:paraId="1399BBC6" w14:textId="0744B97D" w:rsidR="00E4432D" w:rsidRPr="00AB230A" w:rsidRDefault="039F8F24" w:rsidP="700077B9">
            <w:pPr>
              <w:jc w:val="center"/>
              <w:rPr>
                <w:rFonts w:ascii="Century Gothic" w:eastAsia="MS PGothic" w:hAnsi="Century Gothic"/>
              </w:rPr>
            </w:pPr>
            <w:r w:rsidRPr="00AB230A">
              <w:rPr>
                <w:rFonts w:ascii="Century Gothic" w:eastAsia="Times New Roman" w:hAnsi="Century Gothic"/>
                <w:color w:val="000000" w:themeColor="text1"/>
                <w:lang w:eastAsia="en-US"/>
              </w:rPr>
              <w:t xml:space="preserve"> </w:t>
            </w:r>
            <w:r w:rsidR="0F7D9702" w:rsidRPr="00AB230A">
              <w:rPr>
                <w:rFonts w:ascii="Century Gothic" w:eastAsia="Times New Roman" w:hAnsi="Century Gothic"/>
                <w:color w:val="000000" w:themeColor="text1"/>
                <w:lang w:eastAsia="en-US"/>
              </w:rPr>
              <w:t xml:space="preserve"> </w:t>
            </w:r>
            <w:r w:rsidR="2515521B" w:rsidRPr="00AB230A">
              <w:rPr>
                <w:rFonts w:ascii="Century Gothic" w:eastAsia="Times New Roman" w:hAnsi="Century Gothic"/>
                <w:color w:val="000000" w:themeColor="text1"/>
                <w:lang w:eastAsia="en-US"/>
              </w:rPr>
              <w:t>69,780</w:t>
            </w:r>
          </w:p>
        </w:tc>
        <w:tc>
          <w:tcPr>
            <w:tcW w:w="1720" w:type="dxa"/>
            <w:tcBorders>
              <w:top w:val="nil"/>
              <w:left w:val="nil"/>
              <w:bottom w:val="single" w:sz="8" w:space="0" w:color="auto"/>
              <w:right w:val="single" w:sz="12" w:space="0" w:color="auto"/>
            </w:tcBorders>
            <w:vAlign w:val="center"/>
            <w:hideMark/>
          </w:tcPr>
          <w:p w14:paraId="0BC557A0" w14:textId="19805D92" w:rsidR="00E4432D" w:rsidRPr="00AB230A" w:rsidRDefault="0018096F" w:rsidP="700077B9">
            <w:pPr>
              <w:jc w:val="center"/>
              <w:rPr>
                <w:rFonts w:ascii="Century Gothic" w:eastAsia="Times New Roman" w:hAnsi="Century Gothic"/>
                <w:color w:val="000000" w:themeColor="text1"/>
                <w:lang w:eastAsia="en-US"/>
              </w:rPr>
            </w:pPr>
            <w:r>
              <w:rPr>
                <w:rFonts w:ascii="Century Gothic" w:eastAsia="Times New Roman" w:hAnsi="Century Gothic"/>
                <w:color w:val="000000" w:themeColor="text1"/>
                <w:lang w:eastAsia="en-US"/>
              </w:rPr>
              <w:t xml:space="preserve"> 64,956</w:t>
            </w:r>
            <w:r w:rsidR="4C0B0310" w:rsidRPr="00AB230A">
              <w:rPr>
                <w:rFonts w:ascii="Century Gothic" w:eastAsia="Times New Roman" w:hAnsi="Century Gothic"/>
                <w:color w:val="000000" w:themeColor="text1"/>
                <w:lang w:eastAsia="en-US"/>
              </w:rPr>
              <w:t xml:space="preserve"> </w:t>
            </w:r>
          </w:p>
        </w:tc>
        <w:tc>
          <w:tcPr>
            <w:tcW w:w="2011" w:type="dxa"/>
            <w:tcBorders>
              <w:top w:val="nil"/>
              <w:left w:val="nil"/>
              <w:bottom w:val="single" w:sz="8" w:space="0" w:color="auto"/>
              <w:right w:val="single" w:sz="8" w:space="0" w:color="auto"/>
            </w:tcBorders>
            <w:vAlign w:val="center"/>
            <w:hideMark/>
          </w:tcPr>
          <w:p w14:paraId="2CBF4D8C" w14:textId="2A3B6289" w:rsidR="00E4432D" w:rsidRPr="00AB230A" w:rsidRDefault="039F8F24" w:rsidP="700077B9">
            <w:pPr>
              <w:jc w:val="center"/>
              <w:rPr>
                <w:rFonts w:ascii="Century Gothic" w:eastAsia="MS PGothic" w:hAnsi="Century Gothic"/>
              </w:rPr>
            </w:pPr>
            <w:r w:rsidRPr="00AB230A">
              <w:rPr>
                <w:rFonts w:ascii="Century Gothic" w:eastAsia="Times New Roman" w:hAnsi="Century Gothic"/>
                <w:color w:val="000000" w:themeColor="text1"/>
                <w:lang w:eastAsia="en-US"/>
              </w:rPr>
              <w:t xml:space="preserve"> </w:t>
            </w:r>
            <w:r w:rsidR="7F2DC96D" w:rsidRPr="00AB230A">
              <w:rPr>
                <w:rFonts w:ascii="Century Gothic" w:eastAsia="Times New Roman" w:hAnsi="Century Gothic"/>
                <w:color w:val="000000" w:themeColor="text1"/>
                <w:lang w:eastAsia="en-US"/>
              </w:rPr>
              <w:t xml:space="preserve"> </w:t>
            </w:r>
            <w:r w:rsidR="7997A6DC" w:rsidRPr="00AB230A">
              <w:rPr>
                <w:rFonts w:ascii="Century Gothic" w:eastAsia="Times New Roman" w:hAnsi="Century Gothic"/>
                <w:color w:val="000000" w:themeColor="text1"/>
                <w:lang w:eastAsia="en-US"/>
              </w:rPr>
              <w:t>5815</w:t>
            </w:r>
          </w:p>
        </w:tc>
        <w:tc>
          <w:tcPr>
            <w:tcW w:w="1274" w:type="dxa"/>
            <w:tcBorders>
              <w:top w:val="nil"/>
              <w:left w:val="nil"/>
              <w:bottom w:val="single" w:sz="8" w:space="0" w:color="auto"/>
              <w:right w:val="single" w:sz="12" w:space="0" w:color="auto"/>
            </w:tcBorders>
            <w:vAlign w:val="center"/>
            <w:hideMark/>
          </w:tcPr>
          <w:p w14:paraId="420EC515" w14:textId="79A55C31" w:rsidR="00E4432D" w:rsidRPr="00AB230A" w:rsidRDefault="000B3832" w:rsidP="2C805A1A">
            <w:pPr>
              <w:jc w:val="center"/>
              <w:rPr>
                <w:rFonts w:ascii="Century Gothic" w:eastAsia="Times New Roman" w:hAnsi="Century Gothic"/>
                <w:color w:val="000000" w:themeColor="text1"/>
                <w:highlight w:val="yellow"/>
                <w:lang w:eastAsia="en-US"/>
              </w:rPr>
            </w:pPr>
            <w:r>
              <w:rPr>
                <w:rFonts w:ascii="Century Gothic" w:eastAsia="Times New Roman" w:hAnsi="Century Gothic"/>
                <w:color w:val="000000" w:themeColor="text1"/>
                <w:lang w:eastAsia="en-US"/>
              </w:rPr>
              <w:t xml:space="preserve"> 54</w:t>
            </w:r>
            <w:r w:rsidR="007E7936">
              <w:rPr>
                <w:rFonts w:ascii="Century Gothic" w:eastAsia="Times New Roman" w:hAnsi="Century Gothic"/>
                <w:color w:val="000000" w:themeColor="text1"/>
                <w:lang w:eastAsia="en-US"/>
              </w:rPr>
              <w:t>13</w:t>
            </w:r>
          </w:p>
        </w:tc>
      </w:tr>
      <w:tr w:rsidR="00E4432D" w:rsidRPr="00AB230A" w14:paraId="23169BEF" w14:textId="77777777" w:rsidTr="2CA740EE">
        <w:trPr>
          <w:trHeight w:val="425"/>
        </w:trPr>
        <w:tc>
          <w:tcPr>
            <w:tcW w:w="2882" w:type="dxa"/>
            <w:tcBorders>
              <w:top w:val="nil"/>
              <w:left w:val="single" w:sz="12" w:space="0" w:color="auto"/>
              <w:bottom w:val="single" w:sz="8" w:space="0" w:color="auto"/>
              <w:right w:val="single" w:sz="12" w:space="0" w:color="auto"/>
            </w:tcBorders>
            <w:vAlign w:val="center"/>
            <w:hideMark/>
          </w:tcPr>
          <w:p w14:paraId="0F3CA3FE" w14:textId="33EC6EB9" w:rsidR="00E4432D" w:rsidRPr="00AB230A" w:rsidRDefault="00E4432D" w:rsidP="00E4432D">
            <w:pP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 xml:space="preserve">Local, Non-Traditional: </w:t>
            </w:r>
            <w:r w:rsidR="000E2CF3" w:rsidRPr="00AB230A">
              <w:rPr>
                <w:rFonts w:ascii="Century Gothic" w:hAnsi="Century Gothic"/>
                <w:bCs/>
                <w:color w:val="000000" w:themeColor="text1"/>
                <w:sz w:val="20"/>
                <w:szCs w:val="20"/>
              </w:rPr>
              <w:t>Tenant-Based^</w:t>
            </w:r>
          </w:p>
        </w:tc>
        <w:tc>
          <w:tcPr>
            <w:tcW w:w="2123" w:type="dxa"/>
            <w:tcBorders>
              <w:top w:val="nil"/>
              <w:left w:val="nil"/>
              <w:bottom w:val="single" w:sz="8" w:space="0" w:color="auto"/>
              <w:right w:val="single" w:sz="8" w:space="0" w:color="auto"/>
            </w:tcBorders>
            <w:vAlign w:val="center"/>
            <w:hideMark/>
          </w:tcPr>
          <w:p w14:paraId="246C10C8" w14:textId="71CDEB0F" w:rsidR="00E4432D" w:rsidRPr="00AB230A" w:rsidRDefault="007A2BCA" w:rsidP="700077B9">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005F6AC5" w:rsidRPr="00AB230A">
              <w:rPr>
                <w:rFonts w:ascii="Century Gothic" w:eastAsia="Times New Roman" w:hAnsi="Century Gothic"/>
                <w:color w:val="000000" w:themeColor="text1"/>
                <w:lang w:eastAsia="en-US"/>
              </w:rPr>
              <w:t>0</w:t>
            </w:r>
          </w:p>
        </w:tc>
        <w:tc>
          <w:tcPr>
            <w:tcW w:w="1720" w:type="dxa"/>
            <w:tcBorders>
              <w:top w:val="nil"/>
              <w:left w:val="nil"/>
              <w:bottom w:val="single" w:sz="8" w:space="0" w:color="auto"/>
              <w:right w:val="single" w:sz="12" w:space="0" w:color="auto"/>
            </w:tcBorders>
            <w:vAlign w:val="center"/>
            <w:hideMark/>
          </w:tcPr>
          <w:p w14:paraId="60CC8366" w14:textId="09CCB285" w:rsidR="00E4432D" w:rsidRPr="00AB230A" w:rsidRDefault="06AE9AEF" w:rsidP="2C805A1A">
            <w:pPr>
              <w:jc w:val="center"/>
              <w:rPr>
                <w:rFonts w:ascii="Century Gothic" w:eastAsia="MS PGothic"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2341CCA6" w:rsidRPr="00AB230A">
              <w:rPr>
                <w:rFonts w:ascii="Century Gothic" w:eastAsia="Times New Roman" w:hAnsi="Century Gothic"/>
                <w:color w:val="000000" w:themeColor="text1"/>
                <w:lang w:eastAsia="en-US"/>
              </w:rPr>
              <w:t>0</w:t>
            </w:r>
          </w:p>
        </w:tc>
        <w:tc>
          <w:tcPr>
            <w:tcW w:w="2011" w:type="dxa"/>
            <w:tcBorders>
              <w:top w:val="nil"/>
              <w:left w:val="nil"/>
              <w:bottom w:val="single" w:sz="8" w:space="0" w:color="auto"/>
              <w:right w:val="single" w:sz="8" w:space="0" w:color="auto"/>
            </w:tcBorders>
            <w:vAlign w:val="center"/>
            <w:hideMark/>
          </w:tcPr>
          <w:p w14:paraId="20D9C97B" w14:textId="78B9B867" w:rsidR="00E4432D" w:rsidRPr="00AB230A" w:rsidRDefault="005F6AC5" w:rsidP="700077B9">
            <w:pPr>
              <w:jc w:val="center"/>
              <w:rPr>
                <w:rFonts w:ascii="Century Gothic" w:eastAsia="MS PGothic" w:hAnsi="Century Gothic"/>
                <w:szCs w:val="22"/>
              </w:rPr>
            </w:pPr>
            <w:r w:rsidRPr="00AB230A">
              <w:rPr>
                <w:rFonts w:ascii="Century Gothic" w:eastAsia="Times New Roman" w:hAnsi="Century Gothic"/>
                <w:color w:val="000000" w:themeColor="text1"/>
                <w:lang w:eastAsia="en-US"/>
              </w:rPr>
              <w:t>0</w:t>
            </w:r>
          </w:p>
        </w:tc>
        <w:tc>
          <w:tcPr>
            <w:tcW w:w="1274" w:type="dxa"/>
            <w:tcBorders>
              <w:top w:val="nil"/>
              <w:left w:val="nil"/>
              <w:bottom w:val="single" w:sz="8" w:space="0" w:color="auto"/>
              <w:right w:val="single" w:sz="12" w:space="0" w:color="auto"/>
            </w:tcBorders>
            <w:vAlign w:val="center"/>
            <w:hideMark/>
          </w:tcPr>
          <w:p w14:paraId="5E133CF6" w14:textId="471714B5" w:rsidR="00E4432D" w:rsidRPr="00AB230A" w:rsidRDefault="06AE9AEF" w:rsidP="2C805A1A">
            <w:pPr>
              <w:jc w:val="center"/>
              <w:rPr>
                <w:rFonts w:ascii="Century Gothic" w:eastAsia="MS PGothic"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6F8BF7FA" w:rsidRPr="00AB230A">
              <w:rPr>
                <w:rFonts w:ascii="Century Gothic" w:eastAsia="Times New Roman" w:hAnsi="Century Gothic"/>
                <w:color w:val="000000" w:themeColor="text1"/>
                <w:lang w:eastAsia="en-US"/>
              </w:rPr>
              <w:t>0</w:t>
            </w:r>
          </w:p>
        </w:tc>
      </w:tr>
      <w:tr w:rsidR="000E2CF3" w:rsidRPr="00AB230A" w14:paraId="26F690BA" w14:textId="77777777" w:rsidTr="2CA740EE">
        <w:trPr>
          <w:trHeight w:val="425"/>
        </w:trPr>
        <w:tc>
          <w:tcPr>
            <w:tcW w:w="2882" w:type="dxa"/>
            <w:tcBorders>
              <w:top w:val="nil"/>
              <w:left w:val="single" w:sz="12" w:space="0" w:color="auto"/>
              <w:bottom w:val="single" w:sz="8" w:space="0" w:color="auto"/>
              <w:right w:val="single" w:sz="12" w:space="0" w:color="auto"/>
            </w:tcBorders>
            <w:vAlign w:val="center"/>
          </w:tcPr>
          <w:p w14:paraId="7A139BDF" w14:textId="2B5A45C7" w:rsidR="000E2CF3" w:rsidRPr="00AB230A" w:rsidRDefault="000E2CF3" w:rsidP="00E4432D">
            <w:pP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 xml:space="preserve">Local, Non-Traditional: </w:t>
            </w:r>
            <w:r w:rsidRPr="00AB230A">
              <w:rPr>
                <w:rFonts w:ascii="Century Gothic" w:hAnsi="Century Gothic"/>
                <w:bCs/>
                <w:color w:val="000000" w:themeColor="text1"/>
                <w:sz w:val="20"/>
                <w:szCs w:val="20"/>
              </w:rPr>
              <w:t>Property-Based^</w:t>
            </w:r>
          </w:p>
        </w:tc>
        <w:tc>
          <w:tcPr>
            <w:tcW w:w="2123" w:type="dxa"/>
            <w:tcBorders>
              <w:top w:val="nil"/>
              <w:left w:val="nil"/>
              <w:bottom w:val="single" w:sz="8" w:space="0" w:color="auto"/>
              <w:right w:val="single" w:sz="8" w:space="0" w:color="auto"/>
            </w:tcBorders>
            <w:vAlign w:val="center"/>
          </w:tcPr>
          <w:p w14:paraId="5D4FA23C" w14:textId="78A71F26" w:rsidR="000E2CF3" w:rsidRPr="00AB230A" w:rsidRDefault="2088278C" w:rsidP="2CA740EE">
            <w:pPr>
              <w:jc w:val="center"/>
              <w:rPr>
                <w:rFonts w:ascii="Century Gothic" w:eastAsia="MS PGothic" w:hAnsi="Century Gothic"/>
              </w:rPr>
            </w:pPr>
            <w:r w:rsidRPr="00AB230A">
              <w:rPr>
                <w:rFonts w:ascii="Century Gothic" w:eastAsia="Times New Roman" w:hAnsi="Century Gothic"/>
                <w:color w:val="000000" w:themeColor="text1"/>
                <w:lang w:eastAsia="en-US"/>
              </w:rPr>
              <w:t xml:space="preserve"> </w:t>
            </w:r>
            <w:r w:rsidR="717B9384" w:rsidRPr="00AB230A">
              <w:rPr>
                <w:rFonts w:ascii="Century Gothic" w:eastAsia="Times New Roman" w:hAnsi="Century Gothic"/>
                <w:color w:val="000000" w:themeColor="text1"/>
                <w:lang w:eastAsia="en-US"/>
              </w:rPr>
              <w:t>456</w:t>
            </w:r>
          </w:p>
        </w:tc>
        <w:tc>
          <w:tcPr>
            <w:tcW w:w="1720" w:type="dxa"/>
            <w:tcBorders>
              <w:top w:val="nil"/>
              <w:left w:val="nil"/>
              <w:bottom w:val="single" w:sz="8" w:space="0" w:color="auto"/>
              <w:right w:val="single" w:sz="12" w:space="0" w:color="auto"/>
            </w:tcBorders>
            <w:vAlign w:val="center"/>
          </w:tcPr>
          <w:p w14:paraId="530FCB1C" w14:textId="0E05E144" w:rsidR="000E2CF3" w:rsidRPr="00AB230A" w:rsidRDefault="4EE3CF86" w:rsidP="2C805A1A">
            <w:pPr>
              <w:jc w:val="center"/>
              <w:rPr>
                <w:rFonts w:ascii="Century Gothic" w:eastAsia="MS PGothic" w:hAnsi="Century Gothic"/>
              </w:rPr>
            </w:pPr>
            <w:r w:rsidRPr="00AB230A">
              <w:rPr>
                <w:rFonts w:ascii="Century Gothic" w:eastAsia="Times New Roman" w:hAnsi="Century Gothic"/>
                <w:color w:val="000000" w:themeColor="text1"/>
                <w:lang w:eastAsia="en-US"/>
              </w:rPr>
              <w:t>180</w:t>
            </w:r>
          </w:p>
        </w:tc>
        <w:tc>
          <w:tcPr>
            <w:tcW w:w="2011" w:type="dxa"/>
            <w:tcBorders>
              <w:top w:val="nil"/>
              <w:left w:val="nil"/>
              <w:bottom w:val="single" w:sz="8" w:space="0" w:color="auto"/>
              <w:right w:val="single" w:sz="8" w:space="0" w:color="auto"/>
            </w:tcBorders>
            <w:vAlign w:val="center"/>
          </w:tcPr>
          <w:p w14:paraId="1FEFDFEB" w14:textId="14D580EA" w:rsidR="000E2CF3" w:rsidRPr="00AB230A" w:rsidRDefault="469FD2F0" w:rsidP="2CA740EE">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2386BB38" w:rsidRPr="00AB230A">
              <w:rPr>
                <w:rFonts w:ascii="Century Gothic" w:eastAsia="Times New Roman" w:hAnsi="Century Gothic"/>
                <w:color w:val="000000" w:themeColor="text1"/>
                <w:lang w:eastAsia="en-US"/>
              </w:rPr>
              <w:t>38</w:t>
            </w:r>
            <w:r w:rsidR="2F064408" w:rsidRPr="00AB230A">
              <w:rPr>
                <w:rFonts w:ascii="Century Gothic" w:eastAsia="Times New Roman" w:hAnsi="Century Gothic"/>
                <w:color w:val="000000" w:themeColor="text1"/>
                <w:lang w:eastAsia="en-US"/>
              </w:rPr>
              <w:t xml:space="preserve"> </w:t>
            </w:r>
          </w:p>
        </w:tc>
        <w:tc>
          <w:tcPr>
            <w:tcW w:w="1274" w:type="dxa"/>
            <w:tcBorders>
              <w:top w:val="nil"/>
              <w:left w:val="nil"/>
              <w:bottom w:val="single" w:sz="8" w:space="0" w:color="auto"/>
              <w:right w:val="single" w:sz="12" w:space="0" w:color="auto"/>
            </w:tcBorders>
            <w:vAlign w:val="center"/>
          </w:tcPr>
          <w:p w14:paraId="506DFFAE" w14:textId="27ECAFF8" w:rsidR="000E2CF3" w:rsidRPr="00AB230A" w:rsidRDefault="0BCCB8F9" w:rsidP="2C805A1A">
            <w:pPr>
              <w:jc w:val="center"/>
              <w:rPr>
                <w:rFonts w:ascii="Century Gothic" w:eastAsia="MS PGothic" w:hAnsi="Century Gothic"/>
                <w:color w:val="000000" w:themeColor="text1"/>
                <w:lang w:eastAsia="en-US"/>
              </w:rPr>
            </w:pPr>
            <w:r w:rsidRPr="00AB230A">
              <w:rPr>
                <w:rFonts w:ascii="Century Gothic" w:eastAsia="MS PGothic" w:hAnsi="Century Gothic"/>
                <w:color w:val="000000" w:themeColor="text1"/>
                <w:lang w:eastAsia="en-US"/>
              </w:rPr>
              <w:t>1</w:t>
            </w:r>
            <w:r w:rsidR="45F80ADC" w:rsidRPr="00AB230A">
              <w:rPr>
                <w:rFonts w:ascii="Century Gothic" w:eastAsia="MS PGothic" w:hAnsi="Century Gothic"/>
                <w:color w:val="000000" w:themeColor="text1"/>
                <w:lang w:eastAsia="en-US"/>
              </w:rPr>
              <w:t xml:space="preserve">5 </w:t>
            </w:r>
          </w:p>
        </w:tc>
      </w:tr>
      <w:tr w:rsidR="000E2CF3" w:rsidRPr="00AB230A" w14:paraId="59CC200F" w14:textId="77777777" w:rsidTr="2CA740EE">
        <w:trPr>
          <w:trHeight w:val="425"/>
        </w:trPr>
        <w:tc>
          <w:tcPr>
            <w:tcW w:w="2882" w:type="dxa"/>
            <w:tcBorders>
              <w:top w:val="nil"/>
              <w:left w:val="single" w:sz="12" w:space="0" w:color="auto"/>
              <w:bottom w:val="single" w:sz="8" w:space="0" w:color="auto"/>
              <w:right w:val="single" w:sz="12" w:space="0" w:color="auto"/>
            </w:tcBorders>
            <w:vAlign w:val="center"/>
          </w:tcPr>
          <w:p w14:paraId="37A2A7F0" w14:textId="4500AE2B" w:rsidR="000E2CF3" w:rsidRPr="00AB230A" w:rsidRDefault="000E2CF3" w:rsidP="00E4432D">
            <w:pP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 xml:space="preserve">Local, Non-Traditional: </w:t>
            </w:r>
            <w:r w:rsidRPr="00AB230A">
              <w:rPr>
                <w:rFonts w:ascii="Century Gothic" w:hAnsi="Century Gothic"/>
                <w:bCs/>
                <w:color w:val="000000" w:themeColor="text1"/>
                <w:sz w:val="20"/>
                <w:szCs w:val="20"/>
              </w:rPr>
              <w:t>Homeownership^</w:t>
            </w:r>
          </w:p>
        </w:tc>
        <w:tc>
          <w:tcPr>
            <w:tcW w:w="2123" w:type="dxa"/>
            <w:tcBorders>
              <w:top w:val="nil"/>
              <w:left w:val="nil"/>
              <w:bottom w:val="single" w:sz="8" w:space="0" w:color="auto"/>
              <w:right w:val="single" w:sz="8" w:space="0" w:color="auto"/>
            </w:tcBorders>
            <w:vAlign w:val="center"/>
          </w:tcPr>
          <w:p w14:paraId="76117102" w14:textId="00C189EF" w:rsidR="000E2CF3" w:rsidRPr="00AB230A" w:rsidRDefault="00134743" w:rsidP="00E4432D">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0</w:t>
            </w:r>
          </w:p>
        </w:tc>
        <w:tc>
          <w:tcPr>
            <w:tcW w:w="1720" w:type="dxa"/>
            <w:tcBorders>
              <w:top w:val="nil"/>
              <w:left w:val="nil"/>
              <w:bottom w:val="single" w:sz="8" w:space="0" w:color="auto"/>
              <w:right w:val="single" w:sz="12" w:space="0" w:color="auto"/>
            </w:tcBorders>
            <w:vAlign w:val="center"/>
          </w:tcPr>
          <w:p w14:paraId="16295D3B" w14:textId="332864EF" w:rsidR="000E2CF3" w:rsidRPr="00AB230A" w:rsidRDefault="06AE9AEF" w:rsidP="00E4432D">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206389A3" w:rsidRPr="00AB230A">
              <w:rPr>
                <w:rFonts w:ascii="Century Gothic" w:eastAsia="Times New Roman" w:hAnsi="Century Gothic"/>
                <w:color w:val="000000" w:themeColor="text1"/>
                <w:lang w:eastAsia="en-US"/>
              </w:rPr>
              <w:t>0</w:t>
            </w:r>
          </w:p>
        </w:tc>
        <w:tc>
          <w:tcPr>
            <w:tcW w:w="2011" w:type="dxa"/>
            <w:tcBorders>
              <w:top w:val="nil"/>
              <w:left w:val="nil"/>
              <w:bottom w:val="single" w:sz="8" w:space="0" w:color="auto"/>
              <w:right w:val="single" w:sz="8" w:space="0" w:color="auto"/>
            </w:tcBorders>
            <w:vAlign w:val="center"/>
          </w:tcPr>
          <w:p w14:paraId="4BEA4B84" w14:textId="20A49C18" w:rsidR="000E2CF3" w:rsidRPr="00AB230A" w:rsidRDefault="30B94C65" w:rsidP="30B94C65">
            <w:pPr>
              <w:jc w:val="center"/>
              <w:rPr>
                <w:rFonts w:ascii="Century Gothic" w:eastAsia="MS PGothic" w:hAnsi="Century Gothic"/>
                <w:color w:val="000000" w:themeColor="text1"/>
                <w:szCs w:val="22"/>
                <w:lang w:eastAsia="en-US"/>
              </w:rPr>
            </w:pPr>
            <w:r w:rsidRPr="00AB230A">
              <w:rPr>
                <w:rFonts w:ascii="Century Gothic" w:eastAsia="Times New Roman" w:hAnsi="Century Gothic"/>
                <w:color w:val="000000" w:themeColor="text1"/>
                <w:lang w:eastAsia="en-US"/>
              </w:rPr>
              <w:t>0</w:t>
            </w:r>
          </w:p>
        </w:tc>
        <w:tc>
          <w:tcPr>
            <w:tcW w:w="1274" w:type="dxa"/>
            <w:tcBorders>
              <w:top w:val="nil"/>
              <w:left w:val="nil"/>
              <w:bottom w:val="single" w:sz="8" w:space="0" w:color="auto"/>
              <w:right w:val="single" w:sz="12" w:space="0" w:color="auto"/>
            </w:tcBorders>
            <w:vAlign w:val="center"/>
          </w:tcPr>
          <w:p w14:paraId="765FF1CC" w14:textId="34DA3767" w:rsidR="000E2CF3" w:rsidRPr="00AB230A" w:rsidRDefault="30B32A92" w:rsidP="00E4432D">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0</w:t>
            </w:r>
          </w:p>
        </w:tc>
      </w:tr>
      <w:tr w:rsidR="00E4432D" w:rsidRPr="00AB230A" w14:paraId="72EC7B43" w14:textId="77777777" w:rsidTr="2CA740EE">
        <w:trPr>
          <w:trHeight w:val="217"/>
        </w:trPr>
        <w:tc>
          <w:tcPr>
            <w:tcW w:w="2882" w:type="dxa"/>
            <w:tcBorders>
              <w:top w:val="nil"/>
              <w:left w:val="single" w:sz="12" w:space="0" w:color="auto"/>
              <w:bottom w:val="single" w:sz="12" w:space="0" w:color="auto"/>
              <w:right w:val="single" w:sz="12" w:space="0" w:color="auto"/>
            </w:tcBorders>
            <w:shd w:val="clear" w:color="auto" w:fill="D9D9D9" w:themeFill="background1" w:themeFillShade="D9"/>
            <w:vAlign w:val="center"/>
            <w:hideMark/>
          </w:tcPr>
          <w:p w14:paraId="3568EF40" w14:textId="77777777" w:rsidR="00E4432D" w:rsidRPr="00AB230A" w:rsidRDefault="00E4432D" w:rsidP="00E4432D">
            <w:pPr>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Planned/Actual Totals</w:t>
            </w:r>
          </w:p>
        </w:tc>
        <w:tc>
          <w:tcPr>
            <w:tcW w:w="2123" w:type="dxa"/>
            <w:tcBorders>
              <w:top w:val="nil"/>
              <w:left w:val="nil"/>
              <w:bottom w:val="single" w:sz="12" w:space="0" w:color="auto"/>
              <w:right w:val="single" w:sz="12" w:space="0" w:color="auto"/>
            </w:tcBorders>
            <w:shd w:val="clear" w:color="auto" w:fill="D9D9D9" w:themeFill="background1" w:themeFillShade="D9"/>
            <w:vAlign w:val="center"/>
            <w:hideMark/>
          </w:tcPr>
          <w:p w14:paraId="15AF3269" w14:textId="0E2847E3" w:rsidR="00E4432D" w:rsidRPr="00AB230A" w:rsidRDefault="039F8F24" w:rsidP="700077B9">
            <w:pPr>
              <w:jc w:val="center"/>
              <w:rPr>
                <w:rFonts w:ascii="Century Gothic" w:eastAsia="MS PGothic" w:hAnsi="Century Gothic"/>
              </w:rPr>
            </w:pPr>
            <w:r w:rsidRPr="00AB230A">
              <w:rPr>
                <w:rFonts w:ascii="Century Gothic" w:eastAsia="Times New Roman" w:hAnsi="Century Gothic"/>
                <w:color w:val="000000" w:themeColor="text1"/>
                <w:lang w:eastAsia="en-US"/>
              </w:rPr>
              <w:t xml:space="preserve"> </w:t>
            </w:r>
            <w:r w:rsidR="6853FED7" w:rsidRPr="00AB230A">
              <w:rPr>
                <w:rFonts w:ascii="Century Gothic" w:eastAsia="Times New Roman" w:hAnsi="Century Gothic"/>
                <w:color w:val="000000" w:themeColor="text1"/>
                <w:lang w:eastAsia="en-US"/>
              </w:rPr>
              <w:t xml:space="preserve"> 80,016</w:t>
            </w:r>
          </w:p>
        </w:tc>
        <w:tc>
          <w:tcPr>
            <w:tcW w:w="1720" w:type="dxa"/>
            <w:tcBorders>
              <w:top w:val="nil"/>
              <w:left w:val="nil"/>
              <w:bottom w:val="single" w:sz="12" w:space="0" w:color="auto"/>
              <w:right w:val="single" w:sz="12" w:space="0" w:color="auto"/>
            </w:tcBorders>
            <w:shd w:val="clear" w:color="auto" w:fill="D9D9D9" w:themeFill="background1" w:themeFillShade="D9"/>
            <w:vAlign w:val="center"/>
            <w:hideMark/>
          </w:tcPr>
          <w:p w14:paraId="7D2D968B" w14:textId="1B876060" w:rsidR="00E4432D" w:rsidRPr="00AB230A" w:rsidRDefault="28324292" w:rsidP="0175C16E">
            <w:pPr>
              <w:jc w:val="center"/>
              <w:rPr>
                <w:rFonts w:ascii="Century Gothic" w:eastAsia="Times New Roman" w:hAnsi="Century Gothic"/>
                <w:szCs w:val="22"/>
              </w:rPr>
            </w:pPr>
            <w:r w:rsidRPr="00AB230A">
              <w:rPr>
                <w:rFonts w:ascii="Century Gothic" w:eastAsia="Times New Roman" w:hAnsi="Century Gothic"/>
                <w:color w:val="000000" w:themeColor="text1"/>
                <w:lang w:eastAsia="en-US"/>
              </w:rPr>
              <w:t xml:space="preserve"> </w:t>
            </w:r>
            <w:r w:rsidR="006625ED">
              <w:rPr>
                <w:rFonts w:ascii="Century Gothic" w:eastAsia="Times New Roman" w:hAnsi="Century Gothic"/>
                <w:color w:val="000000" w:themeColor="text1"/>
                <w:lang w:eastAsia="en-US"/>
              </w:rPr>
              <w:t>74,580</w:t>
            </w:r>
          </w:p>
        </w:tc>
        <w:tc>
          <w:tcPr>
            <w:tcW w:w="2011" w:type="dxa"/>
            <w:tcBorders>
              <w:top w:val="nil"/>
              <w:left w:val="nil"/>
              <w:bottom w:val="single" w:sz="12" w:space="0" w:color="auto"/>
              <w:right w:val="single" w:sz="12" w:space="0" w:color="auto"/>
            </w:tcBorders>
            <w:shd w:val="clear" w:color="auto" w:fill="D9D9D9" w:themeFill="background1" w:themeFillShade="D9"/>
            <w:vAlign w:val="center"/>
            <w:hideMark/>
          </w:tcPr>
          <w:p w14:paraId="58F55FBC" w14:textId="1D1D80A2" w:rsidR="00E4432D" w:rsidRPr="00AB230A" w:rsidRDefault="68B331D7" w:rsidP="0175C16E">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3F32BC9E" w:rsidRPr="00AB230A">
              <w:rPr>
                <w:rFonts w:ascii="Century Gothic" w:eastAsia="Times New Roman" w:hAnsi="Century Gothic"/>
                <w:color w:val="000000" w:themeColor="text1"/>
                <w:lang w:eastAsia="en-US"/>
              </w:rPr>
              <w:t xml:space="preserve"> 6,668</w:t>
            </w:r>
          </w:p>
        </w:tc>
        <w:tc>
          <w:tcPr>
            <w:tcW w:w="1274" w:type="dxa"/>
            <w:tcBorders>
              <w:top w:val="nil"/>
              <w:left w:val="nil"/>
              <w:bottom w:val="single" w:sz="12" w:space="0" w:color="auto"/>
              <w:right w:val="single" w:sz="12" w:space="0" w:color="auto"/>
            </w:tcBorders>
            <w:shd w:val="clear" w:color="auto" w:fill="D9D9D9" w:themeFill="background1" w:themeFillShade="D9"/>
            <w:vAlign w:val="center"/>
            <w:hideMark/>
          </w:tcPr>
          <w:p w14:paraId="58669845" w14:textId="0CB8466E" w:rsidR="00E4432D" w:rsidRPr="00AB230A" w:rsidRDefault="007B4EB3" w:rsidP="008C237C">
            <w:pPr>
              <w:jc w:val="center"/>
              <w:rPr>
                <w:rFonts w:ascii="Century Gothic" w:eastAsia="Times New Roman" w:hAnsi="Century Gothic"/>
                <w:color w:val="000000" w:themeColor="text1"/>
                <w:lang w:eastAsia="en-US"/>
              </w:rPr>
            </w:pPr>
            <w:r>
              <w:rPr>
                <w:rFonts w:ascii="Century Gothic" w:eastAsia="Times New Roman" w:hAnsi="Century Gothic"/>
                <w:color w:val="000000" w:themeColor="text1"/>
                <w:lang w:eastAsia="en-US"/>
              </w:rPr>
              <w:t>6215</w:t>
            </w:r>
          </w:p>
        </w:tc>
      </w:tr>
    </w:tbl>
    <w:p w14:paraId="2BF63A3F" w14:textId="270A002A" w:rsidR="207E553C" w:rsidRPr="00AB230A" w:rsidRDefault="207E553C">
      <w:pPr>
        <w:rPr>
          <w:rFonts w:ascii="Century Gothic" w:hAnsi="Century Gothic"/>
        </w:rPr>
      </w:pPr>
    </w:p>
    <w:p w14:paraId="60258C82" w14:textId="77777777" w:rsidR="00120CC2" w:rsidRPr="00AB230A" w:rsidRDefault="00120CC2" w:rsidP="00120CC2">
      <w:pPr>
        <w:pStyle w:val="ListParagraph"/>
        <w:rPr>
          <w:rFonts w:ascii="Century Gothic" w:eastAsiaTheme="minorHAnsi" w:hAnsi="Century Gothic" w:cstheme="minorBidi"/>
          <w:bCs/>
          <w:color w:val="000000" w:themeColor="text1"/>
          <w:sz w:val="16"/>
          <w:szCs w:val="16"/>
        </w:rPr>
      </w:pPr>
      <w:r w:rsidRPr="00AB230A">
        <w:rPr>
          <w:rFonts w:ascii="Century Gothic" w:eastAsiaTheme="minorHAnsi" w:hAnsi="Century Gothic" w:cstheme="minorBidi"/>
          <w:bCs/>
          <w:color w:val="000000" w:themeColor="text1"/>
          <w:sz w:val="16"/>
          <w:szCs w:val="16"/>
        </w:rPr>
        <w:t xml:space="preserve">* </w:t>
      </w:r>
      <w:r w:rsidRPr="00AB230A">
        <w:rPr>
          <w:rFonts w:ascii="Century Gothic" w:eastAsiaTheme="minorHAnsi" w:hAnsi="Century Gothic" w:cstheme="minorBidi"/>
          <w:bCs/>
          <w:color w:val="000000" w:themeColor="text1"/>
          <w:sz w:val="16"/>
          <w:szCs w:val="16"/>
        </w:rPr>
        <w:tab/>
        <w:t>“Planned Number of Unit Months Occupied/Leased” is the total number of months the MTW PHA plans to have leased/occupied in each category throughout the full Plan Year.</w:t>
      </w:r>
    </w:p>
    <w:p w14:paraId="1B8C3677" w14:textId="77777777" w:rsidR="00120CC2" w:rsidRPr="00AB230A" w:rsidRDefault="00120CC2" w:rsidP="00120CC2">
      <w:pPr>
        <w:pStyle w:val="ListParagraph"/>
        <w:rPr>
          <w:rFonts w:ascii="Century Gothic" w:eastAsiaTheme="minorHAnsi" w:hAnsi="Century Gothic" w:cstheme="minorBidi"/>
          <w:bCs/>
          <w:color w:val="000000" w:themeColor="text1"/>
          <w:sz w:val="16"/>
          <w:szCs w:val="16"/>
        </w:rPr>
      </w:pPr>
    </w:p>
    <w:p w14:paraId="6D122189" w14:textId="77777777" w:rsidR="00120CC2" w:rsidRPr="00AB230A" w:rsidRDefault="00120CC2" w:rsidP="00120CC2">
      <w:pPr>
        <w:pStyle w:val="ListParagraph"/>
        <w:rPr>
          <w:rFonts w:ascii="Century Gothic" w:eastAsiaTheme="minorHAnsi" w:hAnsi="Century Gothic" w:cstheme="minorBidi"/>
          <w:bCs/>
          <w:color w:val="000000" w:themeColor="text1"/>
          <w:sz w:val="16"/>
          <w:szCs w:val="16"/>
        </w:rPr>
      </w:pPr>
      <w:r w:rsidRPr="00AB230A">
        <w:rPr>
          <w:rFonts w:ascii="Century Gothic" w:eastAsiaTheme="minorHAnsi" w:hAnsi="Century Gothic" w:cstheme="minorBidi"/>
          <w:bCs/>
          <w:color w:val="000000" w:themeColor="text1"/>
          <w:sz w:val="16"/>
          <w:szCs w:val="16"/>
        </w:rPr>
        <w:t>**</w:t>
      </w:r>
      <w:r w:rsidRPr="00AB230A">
        <w:rPr>
          <w:rFonts w:ascii="Century Gothic" w:eastAsiaTheme="minorHAnsi" w:hAnsi="Century Gothic" w:cstheme="minorBidi"/>
          <w:bCs/>
          <w:color w:val="000000" w:themeColor="text1"/>
          <w:sz w:val="16"/>
          <w:szCs w:val="16"/>
        </w:rPr>
        <w:tab/>
        <w:t>“Planned Number of Households to be Served” is calculated by dividing the “Planned Number of Unit Months Occupied/Leased” by the number of months in the Plan Year.</w:t>
      </w:r>
    </w:p>
    <w:p w14:paraId="6B9D6859" w14:textId="77777777" w:rsidR="00120CC2" w:rsidRPr="00AB230A" w:rsidRDefault="00120CC2" w:rsidP="00120CC2">
      <w:pPr>
        <w:pStyle w:val="ListParagraph"/>
        <w:rPr>
          <w:rFonts w:ascii="Century Gothic" w:eastAsiaTheme="minorHAnsi" w:hAnsi="Century Gothic" w:cstheme="minorBidi"/>
          <w:bCs/>
          <w:color w:val="000000" w:themeColor="text1"/>
          <w:sz w:val="16"/>
          <w:szCs w:val="16"/>
        </w:rPr>
      </w:pPr>
    </w:p>
    <w:p w14:paraId="10B9079C" w14:textId="77777777" w:rsidR="00120CC2" w:rsidRPr="00AB230A" w:rsidRDefault="00120CC2" w:rsidP="00120CC2">
      <w:pPr>
        <w:pStyle w:val="ListParagraph"/>
        <w:rPr>
          <w:rFonts w:ascii="Century Gothic" w:eastAsiaTheme="minorHAnsi" w:hAnsi="Century Gothic" w:cstheme="minorBidi"/>
          <w:bCs/>
          <w:color w:val="000000" w:themeColor="text1"/>
          <w:sz w:val="16"/>
          <w:szCs w:val="16"/>
        </w:rPr>
      </w:pPr>
      <w:r w:rsidRPr="00AB230A">
        <w:rPr>
          <w:rFonts w:ascii="Century Gothic" w:eastAsiaTheme="minorHAnsi" w:hAnsi="Century Gothic" w:cstheme="minorBidi"/>
          <w:bCs/>
          <w:color w:val="000000" w:themeColor="text1"/>
          <w:sz w:val="16"/>
          <w:szCs w:val="16"/>
        </w:rPr>
        <w:t>^</w:t>
      </w:r>
      <w:r w:rsidRPr="00AB230A">
        <w:rPr>
          <w:rFonts w:ascii="Century Gothic" w:eastAsiaTheme="minorHAnsi" w:hAnsi="Century Gothic" w:cstheme="minorBidi"/>
          <w:bCs/>
          <w:color w:val="000000" w:themeColor="text1"/>
          <w:sz w:val="16"/>
          <w:szCs w:val="16"/>
        </w:rPr>
        <w:tab/>
        <w:t>In instances when a local, non-traditional program provides a certain subsidy level but does not specify several units/households to be served, the MTW PHA should estimate the number of households to be served.</w:t>
      </w:r>
    </w:p>
    <w:p w14:paraId="652A1C71" w14:textId="6197C1CE" w:rsidR="00800B38" w:rsidRDefault="3C5372FB" w:rsidP="002C7620">
      <w:pPr>
        <w:tabs>
          <w:tab w:val="left" w:pos="3510"/>
        </w:tabs>
        <w:rPr>
          <w:rFonts w:ascii="Times New Roman" w:hAnsi="Times New Roman"/>
          <w:b/>
          <w:szCs w:val="22"/>
        </w:rPr>
      </w:pPr>
      <w:r w:rsidRPr="0E6C54AB">
        <w:rPr>
          <w:rFonts w:ascii="Times New Roman" w:hAnsi="Times New Roman"/>
          <w:b/>
          <w:bCs/>
        </w:rPr>
        <w:t xml:space="preserve">   </w:t>
      </w:r>
    </w:p>
    <w:p w14:paraId="112854D1" w14:textId="6BBFF561" w:rsidR="0E6C54AB" w:rsidRPr="00AB230A" w:rsidRDefault="0E6C54AB" w:rsidP="0E6C54AB">
      <w:pPr>
        <w:spacing w:after="160" w:line="276" w:lineRule="auto"/>
        <w:rPr>
          <w:rFonts w:ascii="Century Gothic" w:hAnsi="Century Gothic"/>
          <w:b/>
          <w:bCs/>
        </w:rPr>
      </w:pPr>
    </w:p>
    <w:p w14:paraId="5115E076" w14:textId="1BD0B5D1" w:rsidR="008B6710" w:rsidRPr="00AB230A" w:rsidRDefault="0B9D40AB" w:rsidP="46B3BF7C">
      <w:pPr>
        <w:spacing w:after="160" w:line="276" w:lineRule="auto"/>
        <w:rPr>
          <w:rFonts w:ascii="Century Gothic" w:hAnsi="Century Gothic"/>
          <w:b/>
          <w:bCs/>
        </w:rPr>
      </w:pPr>
      <w:r w:rsidRPr="00AB230A">
        <w:rPr>
          <w:rFonts w:ascii="Century Gothic" w:hAnsi="Century Gothic"/>
          <w:b/>
          <w:bCs/>
        </w:rPr>
        <w:t>Please describe any differences between the planned and actual households served:</w:t>
      </w:r>
    </w:p>
    <w:p w14:paraId="0A21E4F0" w14:textId="2D5E213F" w:rsidR="00A423B5" w:rsidRPr="008B39F4" w:rsidRDefault="00AF2FA3" w:rsidP="30B94C65">
      <w:pPr>
        <w:spacing w:after="160" w:line="276" w:lineRule="auto"/>
        <w:rPr>
          <w:rFonts w:ascii="Times New Roman" w:hAnsi="Times New Roman"/>
          <w:b/>
          <w:bCs/>
        </w:rPr>
      </w:pPr>
      <w:r>
        <w:rPr>
          <w:noProof/>
        </w:rPr>
        <mc:AlternateContent>
          <mc:Choice Requires="wps">
            <w:drawing>
              <wp:anchor distT="45720" distB="45720" distL="114300" distR="114300" simplePos="0" relativeHeight="251658271" behindDoc="0" locked="0" layoutInCell="1" allowOverlap="1" wp14:anchorId="7A27A8E1" wp14:editId="2EE86DA0">
                <wp:simplePos x="0" y="0"/>
                <wp:positionH relativeFrom="margin">
                  <wp:posOffset>71120</wp:posOffset>
                </wp:positionH>
                <wp:positionV relativeFrom="paragraph">
                  <wp:posOffset>66040</wp:posOffset>
                </wp:positionV>
                <wp:extent cx="5381625" cy="877570"/>
                <wp:effectExtent l="19050" t="19050" r="28575" b="17780"/>
                <wp:wrapSquare wrapText="bothSides"/>
                <wp:docPr id="21395279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7757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3AD71E1A" w14:textId="484F7E9B" w:rsidR="006574C8" w:rsidRPr="00AB230A" w:rsidRDefault="006574C8" w:rsidP="006574C8">
                            <w:pPr>
                              <w:spacing w:after="160" w:line="276" w:lineRule="auto"/>
                              <w:jc w:val="both"/>
                              <w:rPr>
                                <w:rFonts w:ascii="Century Gothic" w:eastAsia="Times New Roman" w:hAnsi="Century Gothic"/>
                                <w:color w:val="000000" w:themeColor="text1"/>
                                <w:szCs w:val="22"/>
                              </w:rPr>
                            </w:pPr>
                            <w:r w:rsidRPr="00AB230A">
                              <w:rPr>
                                <w:rFonts w:ascii="Century Gothic" w:eastAsia="Times New Roman" w:hAnsi="Century Gothic"/>
                                <w:color w:val="000000" w:themeColor="text1"/>
                                <w:szCs w:val="22"/>
                              </w:rPr>
                              <w:t xml:space="preserve">ECC/HANH anticipated the lease up of up to 20 units in the Sponsored Based Housing program, however the initiative was still in the planning stage with </w:t>
                            </w:r>
                            <w:r w:rsidR="0062235C" w:rsidRPr="00AB230A">
                              <w:rPr>
                                <w:rFonts w:ascii="Century Gothic" w:eastAsia="Times New Roman" w:hAnsi="Century Gothic"/>
                                <w:color w:val="000000" w:themeColor="text1"/>
                                <w:szCs w:val="22"/>
                              </w:rPr>
                              <w:t xml:space="preserve">the </w:t>
                            </w:r>
                            <w:r w:rsidRPr="00AB230A">
                              <w:rPr>
                                <w:rFonts w:ascii="Century Gothic" w:eastAsia="Times New Roman" w:hAnsi="Century Gothic"/>
                                <w:color w:val="000000" w:themeColor="text1"/>
                                <w:szCs w:val="22"/>
                              </w:rPr>
                              <w:t>development drawing issued in FY2024.  Construction is anticipated to begin in FY2025.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7A8E1" id="Text Box 62" o:spid="_x0000_s1034" type="#_x0000_t202" style="position:absolute;margin-left:5.6pt;margin-top:5.2pt;width:423.75pt;height:69.1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" fillcolor="window" strokecolor="windowText" strokeweight="3pt">
                <v:textbox>
                  <w:txbxContent>
                    <w:p w14:paraId="3AD71E1A" w14:textId="484F7E9B" w:rsidR="006574C8" w:rsidRPr="00AB230A" w:rsidRDefault="006574C8" w:rsidP="006574C8">
                      <w:pPr>
                        <w:spacing w:after="160" w:line="276" w:lineRule="auto"/>
                        <w:jc w:val="both"/>
                        <w:rPr>
                          <w:rFonts w:ascii="Century Gothic" w:eastAsia="Times New Roman" w:hAnsi="Century Gothic"/>
                          <w:color w:val="000000" w:themeColor="text1"/>
                          <w:szCs w:val="22"/>
                        </w:rPr>
                      </w:pPr>
                      <w:r w:rsidRPr="00AB230A">
                        <w:rPr>
                          <w:rFonts w:ascii="Century Gothic" w:eastAsia="Times New Roman" w:hAnsi="Century Gothic"/>
                          <w:color w:val="000000" w:themeColor="text1"/>
                          <w:szCs w:val="22"/>
                        </w:rPr>
                        <w:t xml:space="preserve">ECC/HANH anticipated the lease up of up to 20 units in the Sponsored Based Housing program, however the initiative was still in the planning stage with </w:t>
                      </w:r>
                      <w:r w:rsidR="0062235C" w:rsidRPr="00AB230A">
                        <w:rPr>
                          <w:rFonts w:ascii="Century Gothic" w:eastAsia="Times New Roman" w:hAnsi="Century Gothic"/>
                          <w:color w:val="000000" w:themeColor="text1"/>
                          <w:szCs w:val="22"/>
                        </w:rPr>
                        <w:t xml:space="preserve">the </w:t>
                      </w:r>
                      <w:r w:rsidRPr="00AB230A">
                        <w:rPr>
                          <w:rFonts w:ascii="Century Gothic" w:eastAsia="Times New Roman" w:hAnsi="Century Gothic"/>
                          <w:color w:val="000000" w:themeColor="text1"/>
                          <w:szCs w:val="22"/>
                        </w:rPr>
                        <w:t>development drawing issued in FY2024.  Construction is anticipated to begin in FY2025.</w:t>
                      </w:r>
                    </w:p>
                  </w:txbxContent>
                </v:textbox>
                <w10:wrap type="square" anchorx="margin"/>
              </v:shape>
            </w:pict>
          </mc:Fallback>
        </mc:AlternateContent>
      </w:r>
    </w:p>
    <w:p w14:paraId="23C53803" w14:textId="69907229" w:rsidR="00A108CC" w:rsidRPr="0020355D" w:rsidRDefault="00A108CC" w:rsidP="0D8BAA9B">
      <w:pPr>
        <w:pStyle w:val="ListParagraph"/>
        <w:tabs>
          <w:tab w:val="left" w:pos="990"/>
        </w:tabs>
        <w:ind w:left="0"/>
        <w:rPr>
          <w:rFonts w:eastAsia="MS PGothic"/>
          <w:szCs w:val="22"/>
        </w:rPr>
      </w:pPr>
    </w:p>
    <w:p w14:paraId="4EB30286" w14:textId="187D02BC" w:rsidR="0D8BAA9B" w:rsidRDefault="0D8BAA9B" w:rsidP="0D8BAA9B">
      <w:pPr>
        <w:pStyle w:val="ListParagraph"/>
        <w:tabs>
          <w:tab w:val="left" w:pos="990"/>
        </w:tabs>
        <w:rPr>
          <w:rFonts w:eastAsia="MS PGothic"/>
          <w:szCs w:val="22"/>
        </w:rPr>
      </w:pPr>
    </w:p>
    <w:p w14:paraId="43E8685F" w14:textId="6D61153A" w:rsidR="00452199" w:rsidRDefault="00452199" w:rsidP="008B6710">
      <w:pPr>
        <w:pStyle w:val="ListParagraph"/>
        <w:tabs>
          <w:tab w:val="left" w:pos="990"/>
        </w:tabs>
        <w:rPr>
          <w:rFonts w:eastAsia="MS PGothic"/>
          <w:szCs w:val="22"/>
        </w:rPr>
      </w:pPr>
    </w:p>
    <w:p w14:paraId="40783CD8" w14:textId="2D572599" w:rsidR="00A423B5" w:rsidRDefault="00A423B5" w:rsidP="008B6710">
      <w:pPr>
        <w:pStyle w:val="ListParagraph"/>
        <w:tabs>
          <w:tab w:val="left" w:pos="990"/>
        </w:tabs>
        <w:rPr>
          <w:rFonts w:eastAsia="MS PGothic"/>
          <w:szCs w:val="22"/>
        </w:rPr>
      </w:pPr>
    </w:p>
    <w:p w14:paraId="034A356E" w14:textId="1D6C3768" w:rsidR="00A423B5" w:rsidRDefault="00A423B5" w:rsidP="008B6710">
      <w:pPr>
        <w:pStyle w:val="ListParagraph"/>
        <w:tabs>
          <w:tab w:val="left" w:pos="990"/>
        </w:tabs>
        <w:rPr>
          <w:rFonts w:eastAsia="MS PGothic"/>
          <w:szCs w:val="22"/>
        </w:rPr>
      </w:pPr>
    </w:p>
    <w:p w14:paraId="5B96551D" w14:textId="73BB5A84" w:rsidR="00A423B5" w:rsidRDefault="00A423B5" w:rsidP="008B6710">
      <w:pPr>
        <w:pStyle w:val="ListParagraph"/>
        <w:tabs>
          <w:tab w:val="left" w:pos="990"/>
        </w:tabs>
        <w:rPr>
          <w:rFonts w:eastAsia="MS PGothic"/>
          <w:szCs w:val="22"/>
        </w:rPr>
      </w:pPr>
    </w:p>
    <w:p w14:paraId="758C6FBD" w14:textId="14AD610D" w:rsidR="00A423B5" w:rsidRDefault="00A423B5" w:rsidP="008B6710">
      <w:pPr>
        <w:pStyle w:val="ListParagraph"/>
        <w:tabs>
          <w:tab w:val="left" w:pos="990"/>
        </w:tabs>
        <w:rPr>
          <w:rFonts w:eastAsia="MS PGothic"/>
          <w:szCs w:val="22"/>
        </w:rPr>
      </w:pPr>
    </w:p>
    <w:p w14:paraId="5A70EF30" w14:textId="6ADBCB04" w:rsidR="00A423B5" w:rsidRDefault="00A423B5" w:rsidP="008B6710">
      <w:pPr>
        <w:pStyle w:val="ListParagraph"/>
        <w:tabs>
          <w:tab w:val="left" w:pos="990"/>
        </w:tabs>
        <w:rPr>
          <w:rFonts w:eastAsia="MS PGothic"/>
          <w:szCs w:val="22"/>
        </w:rPr>
      </w:pPr>
    </w:p>
    <w:p w14:paraId="0D0851C4" w14:textId="645E6A2F" w:rsidR="00A423B5" w:rsidRDefault="00A423B5" w:rsidP="008B6710">
      <w:pPr>
        <w:pStyle w:val="ListParagraph"/>
        <w:tabs>
          <w:tab w:val="left" w:pos="990"/>
        </w:tabs>
        <w:rPr>
          <w:rFonts w:eastAsia="MS PGothic"/>
          <w:szCs w:val="22"/>
        </w:rPr>
      </w:pPr>
    </w:p>
    <w:p w14:paraId="151C8C15" w14:textId="4311EFFC" w:rsidR="00A423B5" w:rsidRDefault="00A423B5" w:rsidP="008B6710">
      <w:pPr>
        <w:pStyle w:val="ListParagraph"/>
        <w:tabs>
          <w:tab w:val="left" w:pos="990"/>
        </w:tabs>
        <w:rPr>
          <w:rFonts w:eastAsia="MS PGothic"/>
          <w:szCs w:val="22"/>
        </w:rPr>
      </w:pPr>
    </w:p>
    <w:p w14:paraId="096D7641" w14:textId="77777777" w:rsidR="00E31495" w:rsidRPr="00666FB3" w:rsidRDefault="00E31495" w:rsidP="00E31495">
      <w:pPr>
        <w:rPr>
          <w:sz w:val="4"/>
          <w:szCs w:val="4"/>
        </w:rPr>
      </w:pPr>
      <w:bookmarkStart w:id="54" w:name="_Toc89295030"/>
      <w:bookmarkStart w:id="55" w:name="_Toc89871139"/>
    </w:p>
    <w:tbl>
      <w:tblPr>
        <w:tblStyle w:val="TableGrid"/>
        <w:tblW w:w="9630" w:type="dxa"/>
        <w:tblInd w:w="330" w:type="dxa"/>
        <w:tblLayout w:type="fixed"/>
        <w:tblLook w:val="04A0" w:firstRow="1" w:lastRow="0" w:firstColumn="1" w:lastColumn="0" w:noHBand="0" w:noVBand="1"/>
      </w:tblPr>
      <w:tblGrid>
        <w:gridCol w:w="2167"/>
        <w:gridCol w:w="2603"/>
        <w:gridCol w:w="1215"/>
        <w:gridCol w:w="1215"/>
        <w:gridCol w:w="1215"/>
        <w:gridCol w:w="1215"/>
      </w:tblGrid>
      <w:tr w:rsidR="00E31495" w:rsidRPr="00D61E4D" w14:paraId="7BFD6C04" w14:textId="77777777" w:rsidTr="00CF0E6F">
        <w:trPr>
          <w:trHeight w:val="3717"/>
          <w:tblHeader/>
        </w:trPr>
        <w:tc>
          <w:tcPr>
            <w:tcW w:w="2167"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75E46EC" w14:textId="77777777" w:rsidR="00E31495" w:rsidRPr="00D61E4D" w:rsidRDefault="00E31495" w:rsidP="00EB46F3">
            <w:pPr>
              <w:pStyle w:val="ListParagraph"/>
              <w:ind w:left="0"/>
              <w:jc w:val="center"/>
              <w:rPr>
                <w:rFonts w:ascii="Century Gothic" w:hAnsi="Century Gothic"/>
                <w:b/>
                <w:szCs w:val="22"/>
              </w:rPr>
            </w:pPr>
            <w:r w:rsidRPr="00D61E4D">
              <w:rPr>
                <w:rFonts w:ascii="Century Gothic" w:hAnsi="Century Gothic"/>
                <w:b/>
                <w:szCs w:val="22"/>
              </w:rPr>
              <w:lastRenderedPageBreak/>
              <w:t>LOCAL, NON-TRADITIONAL CATEGORY</w:t>
            </w:r>
          </w:p>
        </w:tc>
        <w:tc>
          <w:tcPr>
            <w:tcW w:w="260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06D3A521" w14:textId="77777777" w:rsidR="00E31495" w:rsidRPr="00D61E4D" w:rsidRDefault="00E31495" w:rsidP="00EB46F3">
            <w:pPr>
              <w:pStyle w:val="ListParagraph"/>
              <w:ind w:left="0"/>
              <w:jc w:val="center"/>
              <w:rPr>
                <w:rFonts w:ascii="Century Gothic" w:hAnsi="Century Gothic"/>
                <w:b/>
                <w:szCs w:val="22"/>
              </w:rPr>
            </w:pPr>
            <w:r w:rsidRPr="00D61E4D">
              <w:rPr>
                <w:rFonts w:ascii="Century Gothic" w:hAnsi="Century Gothic"/>
                <w:b/>
                <w:szCs w:val="22"/>
              </w:rPr>
              <w:t>MTW ACTIVITY</w:t>
            </w:r>
          </w:p>
          <w:p w14:paraId="00728ADB" w14:textId="77777777" w:rsidR="00E31495" w:rsidRPr="00D61E4D" w:rsidRDefault="00E31495" w:rsidP="00EB46F3">
            <w:pPr>
              <w:pStyle w:val="ListParagraph"/>
              <w:ind w:left="0"/>
              <w:jc w:val="center"/>
              <w:rPr>
                <w:rFonts w:ascii="Century Gothic" w:hAnsi="Century Gothic"/>
                <w:b/>
                <w:color w:val="595959" w:themeColor="text1" w:themeTint="A6"/>
                <w:szCs w:val="22"/>
              </w:rPr>
            </w:pPr>
            <w:r w:rsidRPr="00D61E4D">
              <w:rPr>
                <w:rFonts w:ascii="Century Gothic" w:hAnsi="Century Gothic"/>
                <w:b/>
                <w:szCs w:val="22"/>
              </w:rPr>
              <w:t>(NAME and NUMBER)</w:t>
            </w:r>
          </w:p>
        </w:tc>
        <w:tc>
          <w:tcPr>
            <w:tcW w:w="121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54598F3" w14:textId="77777777" w:rsidR="00E31495" w:rsidRPr="00D61E4D" w:rsidRDefault="00E31495" w:rsidP="00EB46F3">
            <w:pPr>
              <w:pStyle w:val="ListParagraph"/>
              <w:ind w:left="0"/>
              <w:jc w:val="center"/>
              <w:rPr>
                <w:rFonts w:ascii="Century Gothic" w:hAnsi="Century Gothic"/>
                <w:b/>
                <w:color w:val="000000" w:themeColor="text1"/>
                <w:szCs w:val="22"/>
              </w:rPr>
            </w:pPr>
            <w:r w:rsidRPr="00D61E4D">
              <w:rPr>
                <w:rFonts w:ascii="Century Gothic" w:hAnsi="Century Gothic"/>
                <w:b/>
                <w:szCs w:val="22"/>
              </w:rPr>
              <w:t>NUMBER OF UNIT MONTHS OCCUPIED or LEASED Planned^^</w:t>
            </w:r>
          </w:p>
        </w:tc>
        <w:tc>
          <w:tcPr>
            <w:tcW w:w="121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1A096E42" w14:textId="77777777" w:rsidR="00E31495" w:rsidRPr="00D61E4D" w:rsidRDefault="00E31495" w:rsidP="00EB46F3">
            <w:pPr>
              <w:pStyle w:val="ListParagraph"/>
              <w:ind w:left="0"/>
              <w:jc w:val="center"/>
              <w:rPr>
                <w:rFonts w:ascii="Century Gothic" w:hAnsi="Century Gothic"/>
                <w:b/>
                <w:color w:val="000000" w:themeColor="text1"/>
                <w:szCs w:val="22"/>
              </w:rPr>
            </w:pPr>
            <w:r w:rsidRPr="00D61E4D">
              <w:rPr>
                <w:rFonts w:ascii="Century Gothic" w:hAnsi="Century Gothic"/>
                <w:b/>
                <w:szCs w:val="22"/>
              </w:rPr>
              <w:t>NUMBER OF UNIT MONTHS OCCUPIED or LEASED Actual</w:t>
            </w:r>
          </w:p>
        </w:tc>
        <w:tc>
          <w:tcPr>
            <w:tcW w:w="121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76D79FF5" w14:textId="77777777" w:rsidR="00E31495" w:rsidRPr="00D61E4D" w:rsidRDefault="00E31495" w:rsidP="00EB46F3">
            <w:pPr>
              <w:pStyle w:val="ListParagraph"/>
              <w:ind w:left="0"/>
              <w:jc w:val="center"/>
              <w:rPr>
                <w:rFonts w:ascii="Century Gothic" w:hAnsi="Century Gothic"/>
                <w:b/>
                <w:color w:val="000000" w:themeColor="text1"/>
                <w:szCs w:val="22"/>
              </w:rPr>
            </w:pPr>
            <w:r w:rsidRPr="00D61E4D">
              <w:rPr>
                <w:rFonts w:ascii="Century Gothic" w:hAnsi="Century Gothic"/>
                <w:b/>
                <w:color w:val="000000" w:themeColor="text1"/>
                <w:szCs w:val="22"/>
              </w:rPr>
              <w:t>NUMBER OF HOUSE-HOLDS SERVED Planned^^</w:t>
            </w:r>
          </w:p>
        </w:tc>
        <w:tc>
          <w:tcPr>
            <w:tcW w:w="121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9206CDE" w14:textId="77777777" w:rsidR="00E31495" w:rsidRPr="00D61E4D" w:rsidRDefault="00E31495" w:rsidP="00EB46F3">
            <w:pPr>
              <w:pStyle w:val="ListParagraph"/>
              <w:ind w:left="0"/>
              <w:jc w:val="center"/>
              <w:rPr>
                <w:rFonts w:ascii="Century Gothic" w:hAnsi="Century Gothic"/>
                <w:b/>
                <w:color w:val="000000" w:themeColor="text1"/>
                <w:szCs w:val="22"/>
              </w:rPr>
            </w:pPr>
            <w:r w:rsidRPr="00D61E4D">
              <w:rPr>
                <w:rFonts w:ascii="Century Gothic" w:hAnsi="Century Gothic"/>
                <w:b/>
                <w:color w:val="000000" w:themeColor="text1"/>
                <w:szCs w:val="22"/>
              </w:rPr>
              <w:t>NUMBER OF HOUSE-HOLDS SERVED Actual</w:t>
            </w:r>
          </w:p>
        </w:tc>
      </w:tr>
      <w:tr w:rsidR="00E31495" w:rsidRPr="00D61E4D" w14:paraId="1B11DD13" w14:textId="77777777" w:rsidTr="00CF0E6F">
        <w:trPr>
          <w:trHeight w:val="216"/>
        </w:trPr>
        <w:tc>
          <w:tcPr>
            <w:tcW w:w="2167" w:type="dxa"/>
            <w:tcBorders>
              <w:top w:val="single" w:sz="18" w:space="0" w:color="auto"/>
              <w:left w:val="single" w:sz="18" w:space="0" w:color="auto"/>
              <w:right w:val="single" w:sz="18" w:space="0" w:color="auto"/>
            </w:tcBorders>
            <w:vAlign w:val="center"/>
          </w:tcPr>
          <w:p w14:paraId="4425E0D2" w14:textId="77777777" w:rsidR="00E31495" w:rsidRPr="00D61E4D" w:rsidRDefault="00E31495"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Tenant-Based</w:t>
            </w:r>
          </w:p>
        </w:tc>
        <w:tc>
          <w:tcPr>
            <w:tcW w:w="2603" w:type="dxa"/>
            <w:tcBorders>
              <w:top w:val="single" w:sz="18" w:space="0" w:color="auto"/>
              <w:left w:val="single" w:sz="18" w:space="0" w:color="auto"/>
              <w:right w:val="single" w:sz="18" w:space="0" w:color="auto"/>
            </w:tcBorders>
            <w:vAlign w:val="center"/>
          </w:tcPr>
          <w:p w14:paraId="7C2EAC6E" w14:textId="58A422A8" w:rsidR="00E31495" w:rsidRPr="00D61E4D" w:rsidRDefault="00BE3F79" w:rsidP="00EB46F3">
            <w:pPr>
              <w:pStyle w:val="ListParagraph"/>
              <w:ind w:left="0"/>
              <w:jc w:val="center"/>
              <w:rPr>
                <w:rFonts w:ascii="Century Gothic" w:hAnsi="Century Gothic"/>
                <w:bCs/>
                <w:color w:val="000000" w:themeColor="text1"/>
                <w:szCs w:val="22"/>
              </w:rPr>
            </w:pPr>
            <w:r w:rsidRPr="00D61E4D">
              <w:rPr>
                <w:rFonts w:ascii="Century Gothic" w:hAnsi="Century Gothic"/>
                <w:szCs w:val="22"/>
              </w:rPr>
              <w:t xml:space="preserve"> N/A</w:t>
            </w:r>
          </w:p>
        </w:tc>
        <w:tc>
          <w:tcPr>
            <w:tcW w:w="1215" w:type="dxa"/>
            <w:tcBorders>
              <w:top w:val="single" w:sz="18" w:space="0" w:color="auto"/>
              <w:left w:val="single" w:sz="18" w:space="0" w:color="auto"/>
              <w:right w:val="single" w:sz="18" w:space="0" w:color="auto"/>
            </w:tcBorders>
            <w:vAlign w:val="center"/>
          </w:tcPr>
          <w:p w14:paraId="2599F77E" w14:textId="65A517FA" w:rsidR="00E31495" w:rsidRPr="00D61E4D" w:rsidRDefault="00E75D4D"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 xml:space="preserve"> 0</w:t>
            </w:r>
          </w:p>
        </w:tc>
        <w:tc>
          <w:tcPr>
            <w:tcW w:w="1215" w:type="dxa"/>
            <w:tcBorders>
              <w:top w:val="single" w:sz="18" w:space="0" w:color="auto"/>
              <w:left w:val="single" w:sz="18" w:space="0" w:color="auto"/>
              <w:right w:val="single" w:sz="18" w:space="0" w:color="auto"/>
            </w:tcBorders>
            <w:vAlign w:val="center"/>
          </w:tcPr>
          <w:p w14:paraId="1EB8563F" w14:textId="27BCEE5C" w:rsidR="00E31495" w:rsidRPr="00D61E4D" w:rsidRDefault="5EE0F07D" w:rsidP="4EC18A89">
            <w:pPr>
              <w:pStyle w:val="ListParagraph"/>
              <w:ind w:left="0"/>
              <w:jc w:val="center"/>
              <w:rPr>
                <w:rFonts w:ascii="Century Gothic" w:hAnsi="Century Gothic"/>
                <w:color w:val="000000" w:themeColor="text1"/>
              </w:rPr>
            </w:pPr>
            <w:r w:rsidRPr="00D61E4D">
              <w:rPr>
                <w:rFonts w:ascii="Century Gothic" w:hAnsi="Century Gothic"/>
                <w:color w:val="000000" w:themeColor="text1"/>
              </w:rPr>
              <w:t>0</w:t>
            </w:r>
          </w:p>
        </w:tc>
        <w:tc>
          <w:tcPr>
            <w:tcW w:w="1215" w:type="dxa"/>
            <w:tcBorders>
              <w:top w:val="single" w:sz="18" w:space="0" w:color="auto"/>
              <w:left w:val="single" w:sz="18" w:space="0" w:color="auto"/>
              <w:right w:val="single" w:sz="18" w:space="0" w:color="auto"/>
            </w:tcBorders>
            <w:vAlign w:val="center"/>
          </w:tcPr>
          <w:p w14:paraId="20D16E94" w14:textId="006E2DC1" w:rsidR="00E31495" w:rsidRPr="00D61E4D" w:rsidRDefault="00E75D4D"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 xml:space="preserve"> 0</w:t>
            </w:r>
          </w:p>
        </w:tc>
        <w:tc>
          <w:tcPr>
            <w:tcW w:w="1215" w:type="dxa"/>
            <w:tcBorders>
              <w:top w:val="single" w:sz="18" w:space="0" w:color="auto"/>
              <w:left w:val="single" w:sz="18" w:space="0" w:color="auto"/>
              <w:right w:val="single" w:sz="18" w:space="0" w:color="auto"/>
            </w:tcBorders>
            <w:vAlign w:val="center"/>
          </w:tcPr>
          <w:p w14:paraId="1D8BE661" w14:textId="4E1A29DF" w:rsidR="00E31495" w:rsidRPr="00D61E4D" w:rsidRDefault="60B788CE" w:rsidP="4EC18A89">
            <w:pPr>
              <w:pStyle w:val="ListParagraph"/>
              <w:ind w:left="0"/>
              <w:jc w:val="center"/>
              <w:rPr>
                <w:rFonts w:ascii="Century Gothic" w:hAnsi="Century Gothic"/>
                <w:color w:val="000000" w:themeColor="text1"/>
              </w:rPr>
            </w:pPr>
            <w:r w:rsidRPr="00D61E4D">
              <w:rPr>
                <w:rFonts w:ascii="Century Gothic" w:hAnsi="Century Gothic"/>
                <w:color w:val="000000" w:themeColor="text1"/>
              </w:rPr>
              <w:t>0</w:t>
            </w:r>
          </w:p>
        </w:tc>
      </w:tr>
      <w:tr w:rsidR="00E31495" w:rsidRPr="00D61E4D" w14:paraId="1074C595" w14:textId="77777777" w:rsidTr="00CF0E6F">
        <w:trPr>
          <w:trHeight w:val="1007"/>
        </w:trPr>
        <w:tc>
          <w:tcPr>
            <w:tcW w:w="2167" w:type="dxa"/>
            <w:tcBorders>
              <w:left w:val="single" w:sz="18" w:space="0" w:color="auto"/>
              <w:bottom w:val="single" w:sz="4" w:space="0" w:color="auto"/>
              <w:right w:val="single" w:sz="18" w:space="0" w:color="auto"/>
            </w:tcBorders>
            <w:vAlign w:val="center"/>
          </w:tcPr>
          <w:p w14:paraId="175AE078" w14:textId="77777777" w:rsidR="00E31495" w:rsidRPr="00D61E4D" w:rsidRDefault="00E31495"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Property-Based</w:t>
            </w:r>
          </w:p>
        </w:tc>
        <w:tc>
          <w:tcPr>
            <w:tcW w:w="2603" w:type="dxa"/>
            <w:tcBorders>
              <w:left w:val="single" w:sz="18" w:space="0" w:color="auto"/>
              <w:bottom w:val="single" w:sz="4" w:space="0" w:color="auto"/>
              <w:right w:val="single" w:sz="18" w:space="0" w:color="auto"/>
            </w:tcBorders>
            <w:vAlign w:val="center"/>
          </w:tcPr>
          <w:p w14:paraId="699E4E31" w14:textId="2A3EC940" w:rsidR="00360639" w:rsidRPr="00D61E4D" w:rsidRDefault="00E05E21" w:rsidP="00EB46F3">
            <w:pPr>
              <w:pStyle w:val="ListParagraph"/>
              <w:ind w:left="0"/>
              <w:jc w:val="center"/>
              <w:rPr>
                <w:rFonts w:ascii="Century Gothic" w:hAnsi="Century Gothic"/>
                <w:szCs w:val="22"/>
              </w:rPr>
            </w:pPr>
            <w:r w:rsidRPr="00D61E4D">
              <w:rPr>
                <w:rFonts w:ascii="Century Gothic" w:hAnsi="Century Gothic"/>
                <w:szCs w:val="22"/>
              </w:rPr>
              <w:t xml:space="preserve">CCA - </w:t>
            </w:r>
            <w:r w:rsidR="00360639" w:rsidRPr="00D61E4D">
              <w:rPr>
                <w:rFonts w:ascii="Century Gothic" w:hAnsi="Century Gothic"/>
                <w:szCs w:val="22"/>
              </w:rPr>
              <w:t>1.22</w:t>
            </w:r>
          </w:p>
          <w:p w14:paraId="50E92924" w14:textId="45D93FFD" w:rsidR="00360639" w:rsidRPr="00D61E4D" w:rsidRDefault="00BE3F79" w:rsidP="00EB46F3">
            <w:pPr>
              <w:pStyle w:val="ListParagraph"/>
              <w:ind w:left="0"/>
              <w:jc w:val="center"/>
              <w:rPr>
                <w:rFonts w:ascii="Century Gothic" w:hAnsi="Century Gothic"/>
                <w:szCs w:val="22"/>
              </w:rPr>
            </w:pPr>
            <w:r w:rsidRPr="00D61E4D">
              <w:rPr>
                <w:rFonts w:ascii="Century Gothic" w:hAnsi="Century Gothic"/>
                <w:szCs w:val="22"/>
              </w:rPr>
              <w:t xml:space="preserve">Sponsored Based Housing </w:t>
            </w:r>
            <w:r w:rsidR="00E05E21" w:rsidRPr="00D61E4D">
              <w:rPr>
                <w:rFonts w:ascii="Century Gothic" w:hAnsi="Century Gothic"/>
                <w:szCs w:val="22"/>
              </w:rPr>
              <w:t xml:space="preserve">Program - </w:t>
            </w:r>
            <w:r w:rsidR="00360639" w:rsidRPr="00D61E4D">
              <w:rPr>
                <w:rFonts w:ascii="Century Gothic" w:hAnsi="Century Gothic"/>
                <w:szCs w:val="22"/>
              </w:rPr>
              <w:t>4.11F</w:t>
            </w:r>
          </w:p>
          <w:p w14:paraId="146228C6" w14:textId="7585E48C" w:rsidR="00E31495" w:rsidRPr="00D61E4D" w:rsidRDefault="00E31495" w:rsidP="00EB46F3">
            <w:pPr>
              <w:pStyle w:val="ListParagraph"/>
              <w:ind w:left="0"/>
              <w:jc w:val="center"/>
              <w:rPr>
                <w:rFonts w:ascii="Century Gothic" w:hAnsi="Century Gothic"/>
              </w:rPr>
            </w:pPr>
          </w:p>
        </w:tc>
        <w:tc>
          <w:tcPr>
            <w:tcW w:w="1215" w:type="dxa"/>
            <w:tcBorders>
              <w:left w:val="single" w:sz="18" w:space="0" w:color="auto"/>
              <w:right w:val="single" w:sz="18" w:space="0" w:color="auto"/>
            </w:tcBorders>
            <w:vAlign w:val="center"/>
          </w:tcPr>
          <w:p w14:paraId="14C2EADB" w14:textId="62A1CABD" w:rsidR="00E31495" w:rsidRPr="00D61E4D" w:rsidRDefault="00E75D4D"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 xml:space="preserve"> </w:t>
            </w:r>
            <w:r w:rsidR="00970641" w:rsidRPr="00D61E4D">
              <w:rPr>
                <w:rFonts w:ascii="Century Gothic" w:hAnsi="Century Gothic"/>
                <w:bCs/>
                <w:color w:val="000000" w:themeColor="text1"/>
                <w:szCs w:val="22"/>
              </w:rPr>
              <w:t>456</w:t>
            </w:r>
          </w:p>
        </w:tc>
        <w:tc>
          <w:tcPr>
            <w:tcW w:w="1215" w:type="dxa"/>
            <w:tcBorders>
              <w:left w:val="single" w:sz="18" w:space="0" w:color="auto"/>
              <w:right w:val="single" w:sz="18" w:space="0" w:color="auto"/>
            </w:tcBorders>
            <w:vAlign w:val="center"/>
          </w:tcPr>
          <w:p w14:paraId="14B88C82" w14:textId="2D030B88" w:rsidR="00E31495" w:rsidRPr="00D61E4D" w:rsidRDefault="7C6F1F42" w:rsidP="2C805A1A">
            <w:pPr>
              <w:pStyle w:val="ListParagraph"/>
              <w:ind w:left="0"/>
              <w:jc w:val="center"/>
              <w:rPr>
                <w:rFonts w:ascii="Century Gothic" w:hAnsi="Century Gothic"/>
                <w:color w:val="000000" w:themeColor="text1"/>
              </w:rPr>
            </w:pPr>
            <w:r w:rsidRPr="00D61E4D">
              <w:rPr>
                <w:rFonts w:ascii="Century Gothic" w:hAnsi="Century Gothic"/>
                <w:color w:val="000000" w:themeColor="text1"/>
              </w:rPr>
              <w:t>180</w:t>
            </w:r>
          </w:p>
        </w:tc>
        <w:tc>
          <w:tcPr>
            <w:tcW w:w="1215" w:type="dxa"/>
            <w:tcBorders>
              <w:left w:val="single" w:sz="18" w:space="0" w:color="auto"/>
              <w:right w:val="single" w:sz="18" w:space="0" w:color="auto"/>
            </w:tcBorders>
            <w:vAlign w:val="center"/>
          </w:tcPr>
          <w:p w14:paraId="06F30C81" w14:textId="0426C3CE" w:rsidR="00E31495" w:rsidRPr="00D61E4D" w:rsidRDefault="00E75D4D"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 xml:space="preserve"> </w:t>
            </w:r>
            <w:r w:rsidR="00970641" w:rsidRPr="00D61E4D">
              <w:rPr>
                <w:rFonts w:ascii="Century Gothic" w:hAnsi="Century Gothic"/>
                <w:bCs/>
                <w:color w:val="000000" w:themeColor="text1"/>
                <w:szCs w:val="22"/>
              </w:rPr>
              <w:t>38</w:t>
            </w:r>
          </w:p>
        </w:tc>
        <w:tc>
          <w:tcPr>
            <w:tcW w:w="1215" w:type="dxa"/>
            <w:tcBorders>
              <w:left w:val="single" w:sz="18" w:space="0" w:color="auto"/>
              <w:right w:val="single" w:sz="18" w:space="0" w:color="auto"/>
            </w:tcBorders>
            <w:vAlign w:val="center"/>
          </w:tcPr>
          <w:p w14:paraId="353369F6" w14:textId="1427BF7E" w:rsidR="00E31495" w:rsidRPr="00D61E4D" w:rsidRDefault="36FF7F75" w:rsidP="2C805A1A">
            <w:pPr>
              <w:pStyle w:val="ListParagraph"/>
              <w:ind w:left="0"/>
              <w:jc w:val="center"/>
              <w:rPr>
                <w:rFonts w:ascii="Century Gothic" w:hAnsi="Century Gothic"/>
                <w:color w:val="000000" w:themeColor="text1"/>
              </w:rPr>
            </w:pPr>
            <w:r w:rsidRPr="00D61E4D">
              <w:rPr>
                <w:rFonts w:ascii="Century Gothic" w:hAnsi="Century Gothic"/>
                <w:color w:val="000000" w:themeColor="text1"/>
              </w:rPr>
              <w:t>15</w:t>
            </w:r>
          </w:p>
        </w:tc>
      </w:tr>
      <w:tr w:rsidR="00E31495" w:rsidRPr="00D61E4D" w14:paraId="551D7158" w14:textId="77777777" w:rsidTr="00CF0E6F">
        <w:trPr>
          <w:trHeight w:val="216"/>
        </w:trPr>
        <w:tc>
          <w:tcPr>
            <w:tcW w:w="2167" w:type="dxa"/>
            <w:tcBorders>
              <w:left w:val="single" w:sz="18" w:space="0" w:color="auto"/>
              <w:bottom w:val="single" w:sz="18" w:space="0" w:color="auto"/>
              <w:right w:val="single" w:sz="18" w:space="0" w:color="auto"/>
            </w:tcBorders>
            <w:vAlign w:val="center"/>
          </w:tcPr>
          <w:p w14:paraId="6ACC95FB" w14:textId="77777777" w:rsidR="00E31495" w:rsidRPr="00D61E4D" w:rsidRDefault="00E31495"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Homeownership</w:t>
            </w:r>
          </w:p>
        </w:tc>
        <w:tc>
          <w:tcPr>
            <w:tcW w:w="2603" w:type="dxa"/>
            <w:tcBorders>
              <w:left w:val="single" w:sz="18" w:space="0" w:color="auto"/>
              <w:bottom w:val="single" w:sz="18" w:space="0" w:color="auto"/>
              <w:right w:val="single" w:sz="18" w:space="0" w:color="auto"/>
            </w:tcBorders>
            <w:vAlign w:val="center"/>
          </w:tcPr>
          <w:p w14:paraId="45A2A882" w14:textId="544F10F7" w:rsidR="00E31495" w:rsidRPr="00D61E4D" w:rsidRDefault="00E31495"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N/A</w:t>
            </w:r>
          </w:p>
        </w:tc>
        <w:tc>
          <w:tcPr>
            <w:tcW w:w="1215" w:type="dxa"/>
            <w:tcBorders>
              <w:left w:val="single" w:sz="18" w:space="0" w:color="auto"/>
              <w:bottom w:val="single" w:sz="18" w:space="0" w:color="auto"/>
              <w:right w:val="single" w:sz="18" w:space="0" w:color="auto"/>
            </w:tcBorders>
            <w:vAlign w:val="center"/>
          </w:tcPr>
          <w:p w14:paraId="0C27537A" w14:textId="7C4A45DF" w:rsidR="00E31495" w:rsidRPr="00D61E4D" w:rsidRDefault="00E31495"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0</w:t>
            </w:r>
          </w:p>
        </w:tc>
        <w:tc>
          <w:tcPr>
            <w:tcW w:w="1215" w:type="dxa"/>
            <w:tcBorders>
              <w:left w:val="single" w:sz="18" w:space="0" w:color="auto"/>
              <w:bottom w:val="single" w:sz="18" w:space="0" w:color="auto"/>
              <w:right w:val="single" w:sz="18" w:space="0" w:color="auto"/>
            </w:tcBorders>
            <w:vAlign w:val="center"/>
          </w:tcPr>
          <w:p w14:paraId="5BBA3766" w14:textId="6486A900" w:rsidR="00E31495" w:rsidRPr="00D61E4D" w:rsidRDefault="00E31495"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0</w:t>
            </w:r>
          </w:p>
        </w:tc>
        <w:tc>
          <w:tcPr>
            <w:tcW w:w="1215" w:type="dxa"/>
            <w:tcBorders>
              <w:left w:val="single" w:sz="18" w:space="0" w:color="auto"/>
              <w:bottom w:val="single" w:sz="18" w:space="0" w:color="auto"/>
              <w:right w:val="single" w:sz="18" w:space="0" w:color="auto"/>
            </w:tcBorders>
            <w:vAlign w:val="center"/>
          </w:tcPr>
          <w:p w14:paraId="11EC3A38" w14:textId="060660F0" w:rsidR="00E31495" w:rsidRPr="00D61E4D" w:rsidRDefault="00E31495"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0</w:t>
            </w:r>
          </w:p>
        </w:tc>
        <w:tc>
          <w:tcPr>
            <w:tcW w:w="1215" w:type="dxa"/>
            <w:tcBorders>
              <w:left w:val="single" w:sz="18" w:space="0" w:color="auto"/>
              <w:bottom w:val="single" w:sz="18" w:space="0" w:color="auto"/>
              <w:right w:val="single" w:sz="18" w:space="0" w:color="auto"/>
            </w:tcBorders>
            <w:vAlign w:val="center"/>
          </w:tcPr>
          <w:p w14:paraId="2E823AFB" w14:textId="6F354156" w:rsidR="00E31495" w:rsidRPr="00D61E4D" w:rsidRDefault="00E31495" w:rsidP="00EB46F3">
            <w:pPr>
              <w:pStyle w:val="ListParagraph"/>
              <w:ind w:left="0"/>
              <w:jc w:val="center"/>
              <w:rPr>
                <w:rFonts w:ascii="Century Gothic" w:hAnsi="Century Gothic"/>
                <w:bCs/>
                <w:color w:val="000000" w:themeColor="text1"/>
                <w:szCs w:val="22"/>
              </w:rPr>
            </w:pPr>
          </w:p>
        </w:tc>
      </w:tr>
    </w:tbl>
    <w:p w14:paraId="659225B7" w14:textId="77777777" w:rsidR="00E31495" w:rsidRPr="00D61E4D" w:rsidRDefault="00E31495" w:rsidP="00E31495">
      <w:pPr>
        <w:tabs>
          <w:tab w:val="left" w:pos="990"/>
          <w:tab w:val="left" w:pos="3510"/>
        </w:tabs>
        <w:rPr>
          <w:rFonts w:ascii="Century Gothic" w:hAnsi="Century Gothic"/>
          <w:szCs w:val="22"/>
        </w:rPr>
      </w:pPr>
    </w:p>
    <w:tbl>
      <w:tblPr>
        <w:tblStyle w:val="TableGrid"/>
        <w:tblW w:w="9632" w:type="dxa"/>
        <w:tblInd w:w="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770"/>
        <w:gridCol w:w="1260"/>
        <w:gridCol w:w="1170"/>
        <w:gridCol w:w="1260"/>
        <w:gridCol w:w="1172"/>
      </w:tblGrid>
      <w:tr w:rsidR="00E31495" w:rsidRPr="00D61E4D" w14:paraId="444BD133" w14:textId="77777777" w:rsidTr="2C805A1A">
        <w:tc>
          <w:tcPr>
            <w:tcW w:w="4770" w:type="dxa"/>
          </w:tcPr>
          <w:p w14:paraId="32BDDB23" w14:textId="77777777" w:rsidR="00E31495" w:rsidRPr="00D61E4D" w:rsidRDefault="00E31495" w:rsidP="00EB46F3">
            <w:pPr>
              <w:tabs>
                <w:tab w:val="left" w:pos="990"/>
                <w:tab w:val="left" w:pos="3510"/>
              </w:tabs>
              <w:jc w:val="right"/>
              <w:rPr>
                <w:rFonts w:ascii="Century Gothic" w:hAnsi="Century Gothic"/>
                <w:szCs w:val="22"/>
              </w:rPr>
            </w:pPr>
            <w:r w:rsidRPr="00D61E4D">
              <w:rPr>
                <w:rFonts w:ascii="Century Gothic" w:hAnsi="Century Gothic"/>
                <w:b/>
                <w:szCs w:val="22"/>
              </w:rPr>
              <w:t>Planned and Actual Totals</w:t>
            </w:r>
          </w:p>
        </w:tc>
        <w:tc>
          <w:tcPr>
            <w:tcW w:w="1260" w:type="dxa"/>
            <w:shd w:val="clear" w:color="auto" w:fill="D9D9D9" w:themeFill="background1" w:themeFillShade="D9"/>
          </w:tcPr>
          <w:p w14:paraId="388C98A5" w14:textId="7E7F9751" w:rsidR="00E31495" w:rsidRPr="00D61E4D" w:rsidRDefault="692C16F4" w:rsidP="2C805A1A">
            <w:pPr>
              <w:tabs>
                <w:tab w:val="left" w:pos="990"/>
                <w:tab w:val="left" w:pos="3510"/>
              </w:tabs>
              <w:jc w:val="center"/>
              <w:rPr>
                <w:rFonts w:ascii="Century Gothic" w:hAnsi="Century Gothic"/>
              </w:rPr>
            </w:pPr>
            <w:r w:rsidRPr="00D61E4D">
              <w:rPr>
                <w:rFonts w:ascii="Century Gothic" w:hAnsi="Century Gothic"/>
              </w:rPr>
              <w:t xml:space="preserve"> </w:t>
            </w:r>
            <w:r w:rsidR="004E7214" w:rsidRPr="00D61E4D">
              <w:rPr>
                <w:rFonts w:ascii="Century Gothic" w:hAnsi="Century Gothic"/>
              </w:rPr>
              <w:t>456</w:t>
            </w:r>
          </w:p>
        </w:tc>
        <w:tc>
          <w:tcPr>
            <w:tcW w:w="1170" w:type="dxa"/>
            <w:shd w:val="clear" w:color="auto" w:fill="D9D9D9" w:themeFill="background1" w:themeFillShade="D9"/>
          </w:tcPr>
          <w:p w14:paraId="04C8BDFF" w14:textId="58060A7F" w:rsidR="00E31495" w:rsidRPr="00D61E4D" w:rsidRDefault="00813B7B" w:rsidP="00EB46F3">
            <w:pPr>
              <w:tabs>
                <w:tab w:val="left" w:pos="990"/>
                <w:tab w:val="left" w:pos="3510"/>
              </w:tabs>
              <w:jc w:val="center"/>
              <w:rPr>
                <w:rFonts w:ascii="Century Gothic" w:hAnsi="Century Gothic"/>
                <w:szCs w:val="22"/>
              </w:rPr>
            </w:pPr>
            <w:r w:rsidRPr="00D61E4D">
              <w:rPr>
                <w:rFonts w:ascii="Century Gothic" w:hAnsi="Century Gothic"/>
                <w:szCs w:val="22"/>
              </w:rPr>
              <w:t>180</w:t>
            </w:r>
          </w:p>
        </w:tc>
        <w:tc>
          <w:tcPr>
            <w:tcW w:w="1260" w:type="dxa"/>
            <w:shd w:val="clear" w:color="auto" w:fill="D9D9D9" w:themeFill="background1" w:themeFillShade="D9"/>
          </w:tcPr>
          <w:p w14:paraId="242DA120" w14:textId="5CD09B23" w:rsidR="00E31495" w:rsidRPr="00D61E4D" w:rsidRDefault="004E7214" w:rsidP="00EB46F3">
            <w:pPr>
              <w:tabs>
                <w:tab w:val="left" w:pos="990"/>
                <w:tab w:val="left" w:pos="3510"/>
              </w:tabs>
              <w:jc w:val="center"/>
              <w:rPr>
                <w:rFonts w:ascii="Century Gothic" w:hAnsi="Century Gothic"/>
                <w:szCs w:val="22"/>
              </w:rPr>
            </w:pPr>
            <w:r w:rsidRPr="00D61E4D">
              <w:rPr>
                <w:rFonts w:ascii="Century Gothic" w:hAnsi="Century Gothic"/>
                <w:szCs w:val="22"/>
              </w:rPr>
              <w:t>38</w:t>
            </w:r>
          </w:p>
        </w:tc>
        <w:tc>
          <w:tcPr>
            <w:tcW w:w="1172" w:type="dxa"/>
            <w:shd w:val="clear" w:color="auto" w:fill="D9D9D9" w:themeFill="background1" w:themeFillShade="D9"/>
          </w:tcPr>
          <w:p w14:paraId="058B1907" w14:textId="38A906DD" w:rsidR="00E31495" w:rsidRPr="00D61E4D" w:rsidRDefault="00813B7B" w:rsidP="00EB46F3">
            <w:pPr>
              <w:tabs>
                <w:tab w:val="left" w:pos="3510"/>
              </w:tabs>
              <w:jc w:val="center"/>
              <w:rPr>
                <w:rFonts w:ascii="Century Gothic" w:hAnsi="Century Gothic"/>
                <w:szCs w:val="22"/>
              </w:rPr>
            </w:pPr>
            <w:r w:rsidRPr="00D61E4D">
              <w:rPr>
                <w:rFonts w:ascii="Century Gothic" w:hAnsi="Century Gothic"/>
                <w:szCs w:val="22"/>
              </w:rPr>
              <w:t>15</w:t>
            </w:r>
          </w:p>
        </w:tc>
      </w:tr>
    </w:tbl>
    <w:p w14:paraId="2BA55916" w14:textId="77777777" w:rsidR="00E31495" w:rsidRPr="00D61E4D" w:rsidRDefault="00E31495" w:rsidP="00E31495">
      <w:pPr>
        <w:tabs>
          <w:tab w:val="left" w:pos="990"/>
          <w:tab w:val="left" w:pos="3510"/>
        </w:tabs>
        <w:rPr>
          <w:rFonts w:ascii="Century Gothic" w:hAnsi="Century Gothic"/>
          <w:sz w:val="10"/>
          <w:szCs w:val="10"/>
        </w:rPr>
      </w:pPr>
    </w:p>
    <w:p w14:paraId="01576661" w14:textId="77777777" w:rsidR="00E31495" w:rsidRPr="00D61E4D" w:rsidRDefault="00E31495" w:rsidP="00E31495">
      <w:pPr>
        <w:pStyle w:val="ListParagraph"/>
        <w:tabs>
          <w:tab w:val="left" w:pos="990"/>
          <w:tab w:val="left" w:pos="3510"/>
        </w:tabs>
        <w:ind w:left="990" w:hanging="270"/>
        <w:rPr>
          <w:rFonts w:ascii="Century Gothic" w:hAnsi="Century Gothic"/>
          <w:sz w:val="18"/>
          <w:szCs w:val="18"/>
        </w:rPr>
      </w:pPr>
      <w:proofErr w:type="gramStart"/>
      <w:r w:rsidRPr="00D61E4D">
        <w:rPr>
          <w:rFonts w:ascii="Century Gothic" w:hAnsi="Century Gothic"/>
          <w:sz w:val="18"/>
          <w:szCs w:val="18"/>
        </w:rPr>
        <w:t xml:space="preserve">* </w:t>
      </w:r>
      <w:r w:rsidRPr="00D61E4D">
        <w:rPr>
          <w:rFonts w:ascii="Century Gothic" w:hAnsi="Century Gothic"/>
          <w:sz w:val="18"/>
          <w:szCs w:val="18"/>
        </w:rPr>
        <w:tab/>
        <w:t>The</w:t>
      </w:r>
      <w:proofErr w:type="gramEnd"/>
      <w:r w:rsidRPr="00D61E4D">
        <w:rPr>
          <w:rFonts w:ascii="Century Gothic" w:hAnsi="Century Gothic"/>
          <w:sz w:val="18"/>
          <w:szCs w:val="18"/>
        </w:rPr>
        <w:t xml:space="preserve"> sum of the figures provided should match the totals provided for each Local, Non-Traditional category in the previous table. Figures should be given by individual activity. Multiple entries may be made for each category if applicable.</w:t>
      </w:r>
    </w:p>
    <w:p w14:paraId="10FF525C" w14:textId="77777777" w:rsidR="00E31495" w:rsidRPr="00D61E4D" w:rsidRDefault="00E31495" w:rsidP="00E31495">
      <w:pPr>
        <w:pStyle w:val="ListParagraph"/>
        <w:ind w:left="360"/>
        <w:rPr>
          <w:rFonts w:ascii="Century Gothic" w:hAnsi="Century Gothic"/>
          <w:sz w:val="6"/>
          <w:szCs w:val="6"/>
        </w:rPr>
      </w:pPr>
    </w:p>
    <w:p w14:paraId="2E0752F7" w14:textId="77777777" w:rsidR="00E31495" w:rsidRPr="00D61E4D" w:rsidRDefault="00E31495" w:rsidP="00E31495">
      <w:pPr>
        <w:pStyle w:val="ListParagraph"/>
        <w:tabs>
          <w:tab w:val="left" w:pos="990"/>
        </w:tabs>
        <w:rPr>
          <w:rFonts w:ascii="Century Gothic" w:hAnsi="Century Gothic"/>
          <w:sz w:val="18"/>
          <w:szCs w:val="18"/>
        </w:rPr>
      </w:pPr>
      <w:r w:rsidRPr="00D61E4D">
        <w:rPr>
          <w:rFonts w:ascii="Century Gothic" w:hAnsi="Century Gothic"/>
          <w:sz w:val="18"/>
          <w:szCs w:val="18"/>
        </w:rPr>
        <w:t xml:space="preserve">^^ </w:t>
      </w:r>
      <w:r w:rsidRPr="00D61E4D">
        <w:rPr>
          <w:rFonts w:ascii="Century Gothic" w:hAnsi="Century Gothic"/>
          <w:sz w:val="18"/>
          <w:szCs w:val="18"/>
        </w:rPr>
        <w:tab/>
        <w:t>Figures and text in the “Planned” column should match the corresponding Annual MTW Plan.</w:t>
      </w:r>
    </w:p>
    <w:p w14:paraId="6A068DE8" w14:textId="77777777" w:rsidR="00E31495" w:rsidRPr="00D61E4D" w:rsidRDefault="00E31495" w:rsidP="00E31495">
      <w:pPr>
        <w:tabs>
          <w:tab w:val="left" w:pos="990"/>
          <w:tab w:val="left" w:pos="3510"/>
        </w:tabs>
        <w:rPr>
          <w:rFonts w:ascii="Century Gothic" w:hAnsi="Century Gothic"/>
          <w:sz w:val="20"/>
          <w:szCs w:val="20"/>
        </w:rPr>
      </w:pPr>
    </w:p>
    <w:p w14:paraId="187EDA02" w14:textId="77777777" w:rsidR="00E31495" w:rsidRPr="00D61E4D" w:rsidRDefault="00E31495" w:rsidP="00E31495">
      <w:pPr>
        <w:pStyle w:val="ListParagraph"/>
        <w:tabs>
          <w:tab w:val="left" w:pos="990"/>
          <w:tab w:val="left" w:pos="3510"/>
        </w:tabs>
        <w:ind w:left="990" w:hanging="270"/>
        <w:rPr>
          <w:rFonts w:ascii="Century Gothic" w:hAnsi="Century Gothic"/>
          <w:sz w:val="10"/>
          <w:szCs w:val="10"/>
        </w:rPr>
      </w:pPr>
    </w:p>
    <w:tbl>
      <w:tblPr>
        <w:tblStyle w:val="TableGrid"/>
        <w:tblpPr w:leftFromText="180" w:rightFromText="180" w:vertAnchor="text" w:tblpX="348" w:tblpY="1"/>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670"/>
        <w:gridCol w:w="1800"/>
        <w:gridCol w:w="2160"/>
      </w:tblGrid>
      <w:tr w:rsidR="00E31495" w:rsidRPr="00D61E4D" w14:paraId="26E684EB" w14:textId="77777777" w:rsidTr="00EB46F3">
        <w:trPr>
          <w:trHeight w:val="518"/>
          <w:tblHeader/>
        </w:trPr>
        <w:tc>
          <w:tcPr>
            <w:tcW w:w="5670" w:type="dxa"/>
            <w:shd w:val="clear" w:color="auto" w:fill="BFBFBF" w:themeFill="background1" w:themeFillShade="BF"/>
            <w:vAlign w:val="center"/>
          </w:tcPr>
          <w:p w14:paraId="557E3CEB" w14:textId="77777777" w:rsidR="00E31495" w:rsidRPr="00D61E4D" w:rsidRDefault="00E31495" w:rsidP="00EB46F3">
            <w:pPr>
              <w:pStyle w:val="ListParagraph"/>
              <w:ind w:left="0"/>
              <w:jc w:val="center"/>
              <w:rPr>
                <w:rFonts w:ascii="Century Gothic" w:hAnsi="Century Gothic"/>
                <w:b/>
                <w:szCs w:val="22"/>
              </w:rPr>
            </w:pPr>
            <w:r w:rsidRPr="00D61E4D">
              <w:rPr>
                <w:rFonts w:ascii="Century Gothic" w:hAnsi="Century Gothic"/>
                <w:b/>
                <w:szCs w:val="22"/>
              </w:rPr>
              <w:t>HOUSEHOLDS RECEIVING LOCAL, NON-TRADITIONAL</w:t>
            </w:r>
          </w:p>
          <w:p w14:paraId="66F3D411" w14:textId="77777777" w:rsidR="00E31495" w:rsidRPr="00D61E4D" w:rsidRDefault="00E31495" w:rsidP="00EB46F3">
            <w:pPr>
              <w:pStyle w:val="ListParagraph"/>
              <w:ind w:left="0"/>
              <w:jc w:val="center"/>
              <w:rPr>
                <w:rFonts w:ascii="Century Gothic" w:hAnsi="Century Gothic"/>
                <w:b/>
                <w:szCs w:val="22"/>
              </w:rPr>
            </w:pPr>
            <w:r w:rsidRPr="00D61E4D">
              <w:rPr>
                <w:rFonts w:ascii="Century Gothic" w:hAnsi="Century Gothic"/>
                <w:b/>
                <w:szCs w:val="22"/>
              </w:rPr>
              <w:t>SERVICES ONLY</w:t>
            </w:r>
          </w:p>
        </w:tc>
        <w:tc>
          <w:tcPr>
            <w:tcW w:w="1800" w:type="dxa"/>
            <w:shd w:val="clear" w:color="auto" w:fill="BFBFBF" w:themeFill="background1" w:themeFillShade="BF"/>
            <w:vAlign w:val="center"/>
          </w:tcPr>
          <w:p w14:paraId="331B8211" w14:textId="77777777" w:rsidR="00E31495" w:rsidRPr="00D61E4D" w:rsidRDefault="00E31495" w:rsidP="00EB46F3">
            <w:pPr>
              <w:pStyle w:val="ListParagraph"/>
              <w:ind w:left="0"/>
              <w:jc w:val="center"/>
              <w:rPr>
                <w:rFonts w:ascii="Century Gothic" w:hAnsi="Century Gothic"/>
                <w:b/>
                <w:szCs w:val="22"/>
              </w:rPr>
            </w:pPr>
            <w:r w:rsidRPr="00D61E4D">
              <w:rPr>
                <w:rFonts w:ascii="Century Gothic" w:hAnsi="Century Gothic"/>
                <w:b/>
                <w:szCs w:val="22"/>
              </w:rPr>
              <w:t>AVERAGE NUMBER OF HOUSEHOLDS PER MONTH</w:t>
            </w:r>
          </w:p>
        </w:tc>
        <w:tc>
          <w:tcPr>
            <w:tcW w:w="2160" w:type="dxa"/>
            <w:shd w:val="clear" w:color="auto" w:fill="BFBFBF" w:themeFill="background1" w:themeFillShade="BF"/>
            <w:vAlign w:val="center"/>
          </w:tcPr>
          <w:p w14:paraId="4159A39D" w14:textId="77777777" w:rsidR="00E31495" w:rsidRPr="00D61E4D" w:rsidRDefault="00E31495" w:rsidP="00EB46F3">
            <w:pPr>
              <w:pStyle w:val="ListParagraph"/>
              <w:ind w:left="0"/>
              <w:jc w:val="center"/>
              <w:rPr>
                <w:rFonts w:ascii="Century Gothic" w:hAnsi="Century Gothic"/>
                <w:b/>
                <w:szCs w:val="22"/>
              </w:rPr>
            </w:pPr>
            <w:r w:rsidRPr="00D61E4D">
              <w:rPr>
                <w:rFonts w:ascii="Century Gothic" w:hAnsi="Century Gothic"/>
                <w:b/>
                <w:szCs w:val="22"/>
              </w:rPr>
              <w:t>TOTAL NUMBER OF HOUSEHOLDS IN THE PLAN YEAR</w:t>
            </w:r>
          </w:p>
        </w:tc>
      </w:tr>
      <w:tr w:rsidR="00E31495" w:rsidRPr="00D61E4D" w14:paraId="08BC9438" w14:textId="77777777" w:rsidTr="00EB46F3">
        <w:trPr>
          <w:trHeight w:val="216"/>
        </w:trPr>
        <w:tc>
          <w:tcPr>
            <w:tcW w:w="5670" w:type="dxa"/>
            <w:vAlign w:val="center"/>
          </w:tcPr>
          <w:p w14:paraId="7485FEC3" w14:textId="1FC3A0FB" w:rsidR="00E31495" w:rsidRPr="00D61E4D" w:rsidRDefault="00943154"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 xml:space="preserve"> N/A</w:t>
            </w:r>
          </w:p>
        </w:tc>
        <w:tc>
          <w:tcPr>
            <w:tcW w:w="1800" w:type="dxa"/>
            <w:vAlign w:val="center"/>
          </w:tcPr>
          <w:p w14:paraId="538B8569" w14:textId="5483614D" w:rsidR="00E31495" w:rsidRPr="00D61E4D" w:rsidRDefault="00E31495"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N/A</w:t>
            </w:r>
          </w:p>
        </w:tc>
        <w:tc>
          <w:tcPr>
            <w:tcW w:w="2160" w:type="dxa"/>
            <w:vAlign w:val="center"/>
          </w:tcPr>
          <w:p w14:paraId="2A89EFAD" w14:textId="380184E6" w:rsidR="00E31495" w:rsidRPr="00D61E4D" w:rsidRDefault="00E31495" w:rsidP="00EB46F3">
            <w:pPr>
              <w:pStyle w:val="ListParagraph"/>
              <w:ind w:left="0"/>
              <w:jc w:val="center"/>
              <w:rPr>
                <w:rFonts w:ascii="Century Gothic" w:hAnsi="Century Gothic"/>
                <w:bCs/>
                <w:color w:val="000000" w:themeColor="text1"/>
                <w:szCs w:val="22"/>
              </w:rPr>
            </w:pPr>
            <w:r w:rsidRPr="00D61E4D">
              <w:rPr>
                <w:rFonts w:ascii="Century Gothic" w:hAnsi="Century Gothic"/>
                <w:bCs/>
                <w:color w:val="000000" w:themeColor="text1"/>
                <w:szCs w:val="22"/>
              </w:rPr>
              <w:t>N/A</w:t>
            </w:r>
          </w:p>
        </w:tc>
      </w:tr>
    </w:tbl>
    <w:p w14:paraId="458EF00D" w14:textId="77777777" w:rsidR="00E31495" w:rsidRDefault="00E31495" w:rsidP="00E31495">
      <w:pPr>
        <w:rPr>
          <w:sz w:val="20"/>
          <w:szCs w:val="20"/>
        </w:rPr>
      </w:pPr>
    </w:p>
    <w:p w14:paraId="00E418F2" w14:textId="77777777" w:rsidR="00680ADE" w:rsidRDefault="00680ADE" w:rsidP="00E31495">
      <w:pPr>
        <w:rPr>
          <w:sz w:val="20"/>
          <w:szCs w:val="20"/>
        </w:rPr>
      </w:pPr>
    </w:p>
    <w:p w14:paraId="5588B841" w14:textId="77777777" w:rsidR="009A135B" w:rsidRPr="00485FC7" w:rsidRDefault="009A135B" w:rsidP="009A135B">
      <w:pPr>
        <w:pStyle w:val="Subheading"/>
        <w:rPr>
          <w:rFonts w:ascii="Century Gothic" w:hAnsi="Century Gothic"/>
          <w:szCs w:val="22"/>
        </w:rPr>
      </w:pPr>
      <w:r w:rsidRPr="00485FC7">
        <w:rPr>
          <w:rFonts w:ascii="Century Gothic" w:hAnsi="Century Gothic" w:cs="Times New Roman"/>
          <w:sz w:val="22"/>
          <w:szCs w:val="22"/>
        </w:rPr>
        <w:t>ii. Discussion of Any Actual Issues/Solutions Related to Leasing</w:t>
      </w:r>
    </w:p>
    <w:bookmarkEnd w:id="54"/>
    <w:bookmarkEnd w:id="55"/>
    <w:p w14:paraId="6AD51E61" w14:textId="770042BD" w:rsidR="008B6710" w:rsidRPr="00485FC7" w:rsidRDefault="008B6710" w:rsidP="00515BD7">
      <w:pPr>
        <w:ind w:left="720"/>
        <w:rPr>
          <w:rFonts w:ascii="Century Gothic" w:hAnsi="Century Gothic"/>
          <w:szCs w:val="22"/>
        </w:rPr>
      </w:pPr>
      <w:r w:rsidRPr="00485FC7">
        <w:rPr>
          <w:rFonts w:ascii="Century Gothic" w:hAnsi="Century Gothic"/>
          <w:szCs w:val="22"/>
        </w:rPr>
        <w:t>Discussion of any actual issues and solutions utilized in the MTW housing programs listed.</w:t>
      </w:r>
    </w:p>
    <w:p w14:paraId="600D4B23" w14:textId="77777777" w:rsidR="00B35CF2" w:rsidRPr="00485FC7" w:rsidRDefault="00B35CF2" w:rsidP="008B6710">
      <w:pPr>
        <w:ind w:firstLine="720"/>
        <w:rPr>
          <w:rFonts w:ascii="Century Gothic" w:hAnsi="Century Gothic"/>
          <w:szCs w:val="22"/>
        </w:rPr>
      </w:pPr>
    </w:p>
    <w:tbl>
      <w:tblPr>
        <w:tblStyle w:val="TableGrid"/>
        <w:tblW w:w="9630" w:type="dxa"/>
        <w:tblInd w:w="330" w:type="dxa"/>
        <w:tblLayout w:type="fixed"/>
        <w:tblLook w:val="04A0" w:firstRow="1" w:lastRow="0" w:firstColumn="1" w:lastColumn="0" w:noHBand="0" w:noVBand="1"/>
      </w:tblPr>
      <w:tblGrid>
        <w:gridCol w:w="4770"/>
        <w:gridCol w:w="4860"/>
      </w:tblGrid>
      <w:tr w:rsidR="009E30A0" w:rsidRPr="00485FC7" w14:paraId="4B642B1C" w14:textId="77777777" w:rsidTr="3666CFB5">
        <w:trPr>
          <w:trHeight w:val="393"/>
        </w:trPr>
        <w:tc>
          <w:tcPr>
            <w:tcW w:w="477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23BB8190" w14:textId="2F69FBDD" w:rsidR="008B6710" w:rsidRPr="00485FC7" w:rsidRDefault="008B6710" w:rsidP="008B6710">
            <w:pPr>
              <w:pStyle w:val="ListParagraph"/>
              <w:ind w:left="0"/>
              <w:jc w:val="center"/>
              <w:rPr>
                <w:rFonts w:ascii="Century Gothic" w:hAnsi="Century Gothic"/>
                <w:b/>
                <w:szCs w:val="22"/>
              </w:rPr>
            </w:pPr>
            <w:r w:rsidRPr="00485FC7">
              <w:rPr>
                <w:rFonts w:ascii="Century Gothic" w:hAnsi="Century Gothic"/>
                <w:b/>
                <w:szCs w:val="22"/>
              </w:rPr>
              <w:t>HOUSING PROGRAM</w:t>
            </w:r>
          </w:p>
        </w:tc>
        <w:tc>
          <w:tcPr>
            <w:tcW w:w="4860" w:type="dxa"/>
            <w:tcBorders>
              <w:top w:val="single" w:sz="24" w:space="0" w:color="auto"/>
              <w:left w:val="single" w:sz="24" w:space="0" w:color="auto"/>
              <w:right w:val="single" w:sz="24" w:space="0" w:color="auto"/>
            </w:tcBorders>
            <w:shd w:val="clear" w:color="auto" w:fill="BFBFBF" w:themeFill="background1" w:themeFillShade="BF"/>
            <w:vAlign w:val="center"/>
          </w:tcPr>
          <w:p w14:paraId="6B66374B" w14:textId="77777777" w:rsidR="008B6710" w:rsidRPr="00485FC7" w:rsidRDefault="008B6710" w:rsidP="008B6710">
            <w:pPr>
              <w:pStyle w:val="ListParagraph"/>
              <w:ind w:left="0"/>
              <w:jc w:val="center"/>
              <w:rPr>
                <w:rFonts w:ascii="Century Gothic" w:hAnsi="Century Gothic"/>
                <w:b/>
              </w:rPr>
            </w:pPr>
            <w:r w:rsidRPr="00485FC7">
              <w:rPr>
                <w:rFonts w:ascii="Century Gothic" w:hAnsi="Century Gothic"/>
                <w:b/>
              </w:rPr>
              <w:t>DESCRIPTION OF ACTUAL LEASING ISSUES AND SOLUTIONS</w:t>
            </w:r>
          </w:p>
        </w:tc>
      </w:tr>
      <w:tr w:rsidR="009E30A0" w:rsidRPr="00485FC7" w14:paraId="293BD3A5" w14:textId="77777777" w:rsidTr="00BC6BD2">
        <w:trPr>
          <w:trHeight w:val="1227"/>
        </w:trPr>
        <w:tc>
          <w:tcPr>
            <w:tcW w:w="4770" w:type="dxa"/>
            <w:tcBorders>
              <w:top w:val="single" w:sz="24" w:space="0" w:color="auto"/>
              <w:left w:val="single" w:sz="24" w:space="0" w:color="auto"/>
              <w:right w:val="single" w:sz="24" w:space="0" w:color="auto"/>
            </w:tcBorders>
            <w:vAlign w:val="center"/>
          </w:tcPr>
          <w:p w14:paraId="5CD6BC8B" w14:textId="77777777" w:rsidR="008B6710" w:rsidRPr="00485FC7" w:rsidRDefault="38C9044F" w:rsidP="1D755B09">
            <w:pPr>
              <w:pStyle w:val="ListParagraph"/>
              <w:ind w:left="0"/>
              <w:jc w:val="center"/>
              <w:rPr>
                <w:rFonts w:ascii="Century Gothic" w:hAnsi="Century Gothic"/>
              </w:rPr>
            </w:pPr>
            <w:r w:rsidRPr="00485FC7">
              <w:rPr>
                <w:rFonts w:ascii="Century Gothic" w:hAnsi="Century Gothic"/>
              </w:rPr>
              <w:t>MTW Public Housing</w:t>
            </w:r>
          </w:p>
        </w:tc>
        <w:tc>
          <w:tcPr>
            <w:tcW w:w="4860" w:type="dxa"/>
            <w:tcBorders>
              <w:top w:val="single" w:sz="24" w:space="0" w:color="auto"/>
              <w:left w:val="single" w:sz="24" w:space="0" w:color="auto"/>
              <w:right w:val="single" w:sz="24" w:space="0" w:color="auto"/>
            </w:tcBorders>
            <w:vAlign w:val="center"/>
          </w:tcPr>
          <w:p w14:paraId="4A0138E2" w14:textId="02FE0F33" w:rsidR="009C6188" w:rsidRPr="00485FC7" w:rsidRDefault="009C6188" w:rsidP="2C805A1A">
            <w:pPr>
              <w:rPr>
                <w:rFonts w:ascii="Century Gothic" w:hAnsi="Century Gothic"/>
              </w:rPr>
            </w:pPr>
          </w:p>
          <w:p w14:paraId="350C0580" w14:textId="602CDE88" w:rsidR="009C6188" w:rsidRPr="00485FC7" w:rsidRDefault="18AE8E83" w:rsidP="0175C16E">
            <w:pPr>
              <w:rPr>
                <w:rFonts w:ascii="Century Gothic" w:eastAsia="MS PGothic" w:hAnsi="Century Gothic"/>
              </w:rPr>
            </w:pPr>
            <w:r w:rsidRPr="00485FC7">
              <w:rPr>
                <w:rFonts w:ascii="Century Gothic" w:eastAsia="MS PGothic" w:hAnsi="Century Gothic"/>
              </w:rPr>
              <w:t>There weren’t any leas</w:t>
            </w:r>
            <w:r w:rsidR="605BE5AA" w:rsidRPr="00485FC7">
              <w:rPr>
                <w:rFonts w:ascii="Century Gothic" w:eastAsia="MS PGothic" w:hAnsi="Century Gothic"/>
              </w:rPr>
              <w:t>ing issues in Public Housing</w:t>
            </w:r>
            <w:r w:rsidR="000A03C0" w:rsidRPr="00485FC7">
              <w:rPr>
                <w:rFonts w:ascii="Century Gothic" w:eastAsia="MS PGothic" w:hAnsi="Century Gothic"/>
              </w:rPr>
              <w:t>.</w:t>
            </w:r>
          </w:p>
        </w:tc>
      </w:tr>
      <w:tr w:rsidR="009E30A0" w:rsidRPr="00485FC7" w14:paraId="2231A2F7" w14:textId="77777777" w:rsidTr="00BC6BD2">
        <w:trPr>
          <w:trHeight w:val="4130"/>
        </w:trPr>
        <w:tc>
          <w:tcPr>
            <w:tcW w:w="4770" w:type="dxa"/>
            <w:tcBorders>
              <w:left w:val="single" w:sz="24" w:space="0" w:color="auto"/>
              <w:right w:val="single" w:sz="24" w:space="0" w:color="auto"/>
            </w:tcBorders>
            <w:vAlign w:val="center"/>
          </w:tcPr>
          <w:p w14:paraId="77333A1A" w14:textId="77777777" w:rsidR="008B6710" w:rsidRPr="00485FC7" w:rsidRDefault="008B6710" w:rsidP="008B6710">
            <w:pPr>
              <w:pStyle w:val="ListParagraph"/>
              <w:ind w:left="0"/>
              <w:jc w:val="center"/>
              <w:rPr>
                <w:rFonts w:ascii="Century Gothic" w:hAnsi="Century Gothic"/>
              </w:rPr>
            </w:pPr>
            <w:r w:rsidRPr="00485FC7">
              <w:rPr>
                <w:rFonts w:ascii="Century Gothic" w:hAnsi="Century Gothic"/>
              </w:rPr>
              <w:lastRenderedPageBreak/>
              <w:t>MTW Housing Choice Voucher</w:t>
            </w:r>
          </w:p>
        </w:tc>
        <w:tc>
          <w:tcPr>
            <w:tcW w:w="4860" w:type="dxa"/>
            <w:tcBorders>
              <w:left w:val="single" w:sz="24" w:space="0" w:color="auto"/>
              <w:right w:val="single" w:sz="24" w:space="0" w:color="auto"/>
            </w:tcBorders>
            <w:vAlign w:val="center"/>
          </w:tcPr>
          <w:p w14:paraId="31246CEE" w14:textId="7827A2F4" w:rsidR="00384312" w:rsidRPr="00485FC7" w:rsidRDefault="37BE34EE" w:rsidP="240E2BD7">
            <w:pPr>
              <w:rPr>
                <w:rFonts w:ascii="Century Gothic" w:eastAsia="Times New Roman" w:hAnsi="Century Gothic"/>
                <w:color w:val="000000" w:themeColor="text1"/>
              </w:rPr>
            </w:pPr>
            <w:r w:rsidRPr="00485FC7">
              <w:rPr>
                <w:rFonts w:ascii="Century Gothic" w:eastAsia="Times New Roman" w:hAnsi="Century Gothic"/>
                <w:color w:val="000000" w:themeColor="text1"/>
              </w:rPr>
              <w:t xml:space="preserve">Any delays in leasing </w:t>
            </w:r>
            <w:r w:rsidR="00131718" w:rsidRPr="00485FC7">
              <w:rPr>
                <w:rFonts w:ascii="Century Gothic" w:eastAsia="Times New Roman" w:hAnsi="Century Gothic"/>
                <w:color w:val="000000" w:themeColor="text1"/>
              </w:rPr>
              <w:t>were</w:t>
            </w:r>
            <w:r w:rsidRPr="00485FC7">
              <w:rPr>
                <w:rFonts w:ascii="Century Gothic" w:eastAsia="Times New Roman" w:hAnsi="Century Gothic"/>
                <w:color w:val="000000" w:themeColor="text1"/>
              </w:rPr>
              <w:t xml:space="preserve"> due to </w:t>
            </w:r>
            <w:r w:rsidR="2FDB2D20" w:rsidRPr="00485FC7">
              <w:rPr>
                <w:rFonts w:ascii="Century Gothic" w:eastAsia="Times New Roman" w:hAnsi="Century Gothic"/>
                <w:color w:val="000000" w:themeColor="text1"/>
              </w:rPr>
              <w:t xml:space="preserve">HCV </w:t>
            </w:r>
            <w:r w:rsidR="2CCF0D5E" w:rsidRPr="00485FC7">
              <w:rPr>
                <w:rFonts w:ascii="Century Gothic" w:eastAsia="Times New Roman" w:hAnsi="Century Gothic"/>
                <w:color w:val="000000" w:themeColor="text1"/>
              </w:rPr>
              <w:t>applicants</w:t>
            </w:r>
            <w:r w:rsidR="2FDB2D20" w:rsidRPr="00485FC7">
              <w:rPr>
                <w:rFonts w:ascii="Century Gothic" w:eastAsia="Times New Roman" w:hAnsi="Century Gothic"/>
                <w:color w:val="000000" w:themeColor="text1"/>
              </w:rPr>
              <w:t xml:space="preserve"> </w:t>
            </w:r>
            <w:proofErr w:type="gramStart"/>
            <w:r w:rsidR="2047B3E4" w:rsidRPr="00485FC7">
              <w:rPr>
                <w:rFonts w:ascii="Century Gothic" w:eastAsia="Times New Roman" w:hAnsi="Century Gothic"/>
                <w:color w:val="000000" w:themeColor="text1"/>
              </w:rPr>
              <w:t xml:space="preserve">experiencing </w:t>
            </w:r>
            <w:r w:rsidR="2FDB2D20" w:rsidRPr="00485FC7">
              <w:rPr>
                <w:rFonts w:ascii="Century Gothic" w:eastAsia="Times New Roman" w:hAnsi="Century Gothic"/>
                <w:color w:val="000000" w:themeColor="text1"/>
              </w:rPr>
              <w:t>difficulty</w:t>
            </w:r>
            <w:proofErr w:type="gramEnd"/>
            <w:r w:rsidR="2FDB2D20" w:rsidRPr="00485FC7">
              <w:rPr>
                <w:rFonts w:ascii="Century Gothic" w:eastAsia="Times New Roman" w:hAnsi="Century Gothic"/>
                <w:color w:val="000000" w:themeColor="text1"/>
              </w:rPr>
              <w:t xml:space="preserve"> </w:t>
            </w:r>
            <w:r w:rsidR="61604CED" w:rsidRPr="00485FC7">
              <w:rPr>
                <w:rFonts w:ascii="Century Gothic" w:eastAsia="Times New Roman" w:hAnsi="Century Gothic"/>
                <w:color w:val="000000" w:themeColor="text1"/>
              </w:rPr>
              <w:t xml:space="preserve">in </w:t>
            </w:r>
            <w:r w:rsidR="2FDB2D20" w:rsidRPr="00485FC7">
              <w:rPr>
                <w:rFonts w:ascii="Century Gothic" w:eastAsia="Times New Roman" w:hAnsi="Century Gothic"/>
                <w:color w:val="000000" w:themeColor="text1"/>
              </w:rPr>
              <w:t xml:space="preserve">finding available units. </w:t>
            </w:r>
            <w:r w:rsidR="7C51C6A4" w:rsidRPr="00485FC7">
              <w:rPr>
                <w:rFonts w:ascii="Century Gothic" w:eastAsia="Times New Roman" w:hAnsi="Century Gothic"/>
                <w:color w:val="000000" w:themeColor="text1"/>
              </w:rPr>
              <w:t>This was due partly to rent inflation vs the allowed payment standard.</w:t>
            </w:r>
            <w:r w:rsidR="2FDB2D20" w:rsidRPr="00485FC7">
              <w:rPr>
                <w:rFonts w:ascii="Century Gothic" w:eastAsia="Times New Roman" w:hAnsi="Century Gothic"/>
                <w:color w:val="000000" w:themeColor="text1"/>
              </w:rPr>
              <w:t xml:space="preserve"> HCV is conducting a rent study to determine the current market trends in New Haven.</w:t>
            </w:r>
          </w:p>
          <w:p w14:paraId="18B1B659" w14:textId="569ABECD" w:rsidR="00384312" w:rsidRPr="00485FC7" w:rsidRDefault="00384312" w:rsidP="240E2BD7">
            <w:pPr>
              <w:rPr>
                <w:rFonts w:ascii="Century Gothic" w:eastAsia="Times New Roman" w:hAnsi="Century Gothic"/>
                <w:color w:val="000000" w:themeColor="text1"/>
              </w:rPr>
            </w:pPr>
          </w:p>
          <w:p w14:paraId="0E48D7D8" w14:textId="1AD9EEF4" w:rsidR="00384312" w:rsidRPr="00485FC7" w:rsidRDefault="3389CEC9" w:rsidP="6468795D">
            <w:pPr>
              <w:rPr>
                <w:rFonts w:ascii="Century Gothic" w:eastAsia="Times New Roman" w:hAnsi="Century Gothic"/>
                <w:color w:val="000000" w:themeColor="text1"/>
              </w:rPr>
            </w:pPr>
            <w:r w:rsidRPr="00485FC7">
              <w:rPr>
                <w:rFonts w:ascii="Century Gothic" w:eastAsia="Times New Roman" w:hAnsi="Century Gothic"/>
                <w:color w:val="000000" w:themeColor="text1"/>
              </w:rPr>
              <w:t>However,</w:t>
            </w:r>
            <w:r w:rsidR="6DBB4EB4" w:rsidRPr="00485FC7">
              <w:rPr>
                <w:rFonts w:ascii="Century Gothic" w:eastAsia="Times New Roman" w:hAnsi="Century Gothic"/>
                <w:color w:val="000000" w:themeColor="text1"/>
              </w:rPr>
              <w:t xml:space="preserve"> with the increase in mobility</w:t>
            </w:r>
            <w:r w:rsidR="4005DB8F" w:rsidRPr="00485FC7">
              <w:rPr>
                <w:rFonts w:ascii="Century Gothic" w:eastAsia="Times New Roman" w:hAnsi="Century Gothic"/>
                <w:color w:val="000000" w:themeColor="text1"/>
              </w:rPr>
              <w:t xml:space="preserve"> team activity and the help of the Landlord Liaison building relationships with </w:t>
            </w:r>
            <w:r w:rsidR="094A08CA" w:rsidRPr="00485FC7">
              <w:rPr>
                <w:rFonts w:ascii="Century Gothic" w:eastAsia="Times New Roman" w:hAnsi="Century Gothic"/>
                <w:color w:val="000000" w:themeColor="text1"/>
              </w:rPr>
              <w:t>N</w:t>
            </w:r>
            <w:r w:rsidR="07B7B26A" w:rsidRPr="00485FC7">
              <w:rPr>
                <w:rFonts w:ascii="Century Gothic" w:eastAsia="Times New Roman" w:hAnsi="Century Gothic"/>
                <w:color w:val="000000" w:themeColor="text1"/>
              </w:rPr>
              <w:t xml:space="preserve">ew </w:t>
            </w:r>
            <w:r w:rsidR="094A08CA" w:rsidRPr="00485FC7">
              <w:rPr>
                <w:rFonts w:ascii="Century Gothic" w:eastAsia="Times New Roman" w:hAnsi="Century Gothic"/>
                <w:color w:val="000000" w:themeColor="text1"/>
              </w:rPr>
              <w:t>H</w:t>
            </w:r>
            <w:r w:rsidR="381CBB5E" w:rsidRPr="00485FC7">
              <w:rPr>
                <w:rFonts w:ascii="Century Gothic" w:eastAsia="Times New Roman" w:hAnsi="Century Gothic"/>
                <w:color w:val="000000" w:themeColor="text1"/>
              </w:rPr>
              <w:t>aven</w:t>
            </w:r>
            <w:r w:rsidR="4005DB8F" w:rsidRPr="00485FC7">
              <w:rPr>
                <w:rFonts w:ascii="Century Gothic" w:eastAsia="Times New Roman" w:hAnsi="Century Gothic"/>
                <w:color w:val="000000" w:themeColor="text1"/>
              </w:rPr>
              <w:t xml:space="preserve"> landlords</w:t>
            </w:r>
            <w:r w:rsidR="007E2290">
              <w:rPr>
                <w:rFonts w:ascii="Century Gothic" w:eastAsia="Times New Roman" w:hAnsi="Century Gothic"/>
                <w:color w:val="000000" w:themeColor="text1"/>
              </w:rPr>
              <w:t>, ECC/HANH</w:t>
            </w:r>
            <w:r w:rsidR="4005DB8F" w:rsidRPr="00485FC7">
              <w:rPr>
                <w:rFonts w:ascii="Century Gothic" w:eastAsia="Times New Roman" w:hAnsi="Century Gothic"/>
                <w:color w:val="000000" w:themeColor="text1"/>
              </w:rPr>
              <w:t xml:space="preserve"> saw an increase in our </w:t>
            </w:r>
            <w:r w:rsidR="44B0A7B1" w:rsidRPr="00485FC7">
              <w:rPr>
                <w:rFonts w:ascii="Century Gothic" w:eastAsia="Times New Roman" w:hAnsi="Century Gothic"/>
                <w:color w:val="000000" w:themeColor="text1"/>
              </w:rPr>
              <w:t>success</w:t>
            </w:r>
            <w:r w:rsidR="4005DB8F" w:rsidRPr="00485FC7">
              <w:rPr>
                <w:rFonts w:ascii="Century Gothic" w:eastAsia="Times New Roman" w:hAnsi="Century Gothic"/>
                <w:color w:val="000000" w:themeColor="text1"/>
              </w:rPr>
              <w:t xml:space="preserve"> rate from 40</w:t>
            </w:r>
            <w:r w:rsidR="702EFA6C" w:rsidRPr="00485FC7">
              <w:rPr>
                <w:rFonts w:ascii="Century Gothic" w:eastAsia="Times New Roman" w:hAnsi="Century Gothic"/>
                <w:color w:val="000000" w:themeColor="text1"/>
              </w:rPr>
              <w:t>%</w:t>
            </w:r>
            <w:r w:rsidR="4005DB8F" w:rsidRPr="00485FC7">
              <w:rPr>
                <w:rFonts w:ascii="Century Gothic" w:eastAsia="Times New Roman" w:hAnsi="Century Gothic"/>
                <w:color w:val="000000" w:themeColor="text1"/>
              </w:rPr>
              <w:t xml:space="preserve"> to </w:t>
            </w:r>
            <w:r w:rsidR="1EFD96D1" w:rsidRPr="00485FC7">
              <w:rPr>
                <w:rFonts w:ascii="Century Gothic" w:eastAsia="Times New Roman" w:hAnsi="Century Gothic"/>
                <w:color w:val="000000" w:themeColor="text1"/>
              </w:rPr>
              <w:t>48</w:t>
            </w:r>
            <w:r w:rsidR="27364AA5" w:rsidRPr="00485FC7">
              <w:rPr>
                <w:rFonts w:ascii="Century Gothic" w:eastAsia="Times New Roman" w:hAnsi="Century Gothic"/>
                <w:color w:val="000000" w:themeColor="text1"/>
              </w:rPr>
              <w:t>%</w:t>
            </w:r>
            <w:r w:rsidR="284F8D44" w:rsidRPr="00485FC7">
              <w:rPr>
                <w:rFonts w:ascii="Century Gothic" w:eastAsia="Times New Roman" w:hAnsi="Century Gothic"/>
                <w:color w:val="000000" w:themeColor="text1"/>
              </w:rPr>
              <w:t>.</w:t>
            </w:r>
          </w:p>
          <w:p w14:paraId="0348FD7F" w14:textId="74CE0DBE" w:rsidR="00384312" w:rsidRPr="00485FC7" w:rsidRDefault="00384312" w:rsidP="00083160">
            <w:pPr>
              <w:pStyle w:val="ListParagraph"/>
              <w:rPr>
                <w:rFonts w:ascii="Century Gothic" w:eastAsia="Times New Roman" w:hAnsi="Century Gothic"/>
                <w:color w:val="000000" w:themeColor="text1"/>
              </w:rPr>
            </w:pPr>
          </w:p>
        </w:tc>
      </w:tr>
      <w:tr w:rsidR="009E30A0" w:rsidRPr="00485FC7" w14:paraId="0E0AAE82" w14:textId="77777777" w:rsidTr="3666CFB5">
        <w:trPr>
          <w:trHeight w:val="216"/>
        </w:trPr>
        <w:tc>
          <w:tcPr>
            <w:tcW w:w="4770" w:type="dxa"/>
            <w:tcBorders>
              <w:left w:val="single" w:sz="24" w:space="0" w:color="auto"/>
              <w:right w:val="single" w:sz="24" w:space="0" w:color="auto"/>
            </w:tcBorders>
            <w:vAlign w:val="center"/>
          </w:tcPr>
          <w:p w14:paraId="6545AF8D" w14:textId="77777777" w:rsidR="008B6710" w:rsidRPr="00485FC7" w:rsidRDefault="008B6710" w:rsidP="008B6710">
            <w:pPr>
              <w:pStyle w:val="ListParagraph"/>
              <w:ind w:left="0"/>
              <w:jc w:val="center"/>
              <w:rPr>
                <w:rFonts w:ascii="Century Gothic" w:hAnsi="Century Gothic"/>
                <w:szCs w:val="22"/>
              </w:rPr>
            </w:pPr>
            <w:r w:rsidRPr="00485FC7">
              <w:rPr>
                <w:rFonts w:ascii="Century Gothic" w:hAnsi="Century Gothic"/>
                <w:szCs w:val="22"/>
              </w:rPr>
              <w:t>Local, Non-Traditional</w:t>
            </w:r>
          </w:p>
        </w:tc>
        <w:tc>
          <w:tcPr>
            <w:tcW w:w="4860" w:type="dxa"/>
            <w:tcBorders>
              <w:left w:val="single" w:sz="24" w:space="0" w:color="auto"/>
              <w:right w:val="single" w:sz="24" w:space="0" w:color="auto"/>
            </w:tcBorders>
            <w:vAlign w:val="center"/>
          </w:tcPr>
          <w:p w14:paraId="61881874" w14:textId="77777777" w:rsidR="0079061F" w:rsidRDefault="2E1CF604" w:rsidP="7A144062">
            <w:pPr>
              <w:spacing w:after="160" w:line="276" w:lineRule="auto"/>
              <w:rPr>
                <w:rFonts w:ascii="Century Gothic" w:eastAsia="MS PGothic" w:hAnsi="Century Gothic"/>
              </w:rPr>
            </w:pPr>
            <w:r w:rsidRPr="00485FC7">
              <w:rPr>
                <w:rFonts w:ascii="Century Gothic" w:eastAsia="MS PGothic" w:hAnsi="Century Gothic"/>
              </w:rPr>
              <w:t>At the end of FY2024</w:t>
            </w:r>
            <w:r w:rsidR="0031318C" w:rsidRPr="00485FC7">
              <w:rPr>
                <w:rFonts w:ascii="Century Gothic" w:eastAsia="MS PGothic" w:hAnsi="Century Gothic"/>
              </w:rPr>
              <w:t>,</w:t>
            </w:r>
            <w:r w:rsidRPr="00485FC7">
              <w:rPr>
                <w:rFonts w:ascii="Century Gothic" w:eastAsia="MS PGothic" w:hAnsi="Century Gothic"/>
              </w:rPr>
              <w:t xml:space="preserve"> </w:t>
            </w:r>
            <w:r w:rsidR="6B50302D" w:rsidRPr="00485FC7">
              <w:rPr>
                <w:rFonts w:ascii="Century Gothic" w:eastAsia="MS PGothic" w:hAnsi="Century Gothic"/>
              </w:rPr>
              <w:t>15 participants were leased up at CCA, with 3 vacancies.</w:t>
            </w:r>
            <w:r w:rsidR="24E85E28" w:rsidRPr="00485FC7">
              <w:rPr>
                <w:rFonts w:ascii="Century Gothic" w:eastAsia="MS PGothic" w:hAnsi="Century Gothic"/>
              </w:rPr>
              <w:t xml:space="preserve"> </w:t>
            </w:r>
            <w:r w:rsidR="00A60187" w:rsidRPr="00485FC7">
              <w:rPr>
                <w:rFonts w:ascii="Century Gothic" w:eastAsia="MS PGothic" w:hAnsi="Century Gothic"/>
              </w:rPr>
              <w:t xml:space="preserve">ECC/HANH anticipates that </w:t>
            </w:r>
            <w:r w:rsidR="00643021" w:rsidRPr="00485FC7">
              <w:rPr>
                <w:rFonts w:ascii="Century Gothic" w:eastAsia="MS PGothic" w:hAnsi="Century Gothic"/>
              </w:rPr>
              <w:t xml:space="preserve">18 </w:t>
            </w:r>
            <w:r w:rsidR="00F23394" w:rsidRPr="00485FC7">
              <w:rPr>
                <w:rFonts w:ascii="Century Gothic" w:eastAsia="MS PGothic" w:hAnsi="Century Gothic"/>
              </w:rPr>
              <w:t>units will be leased up in FY25.</w:t>
            </w:r>
          </w:p>
          <w:p w14:paraId="3D6CB28D" w14:textId="3859A127" w:rsidR="008B6710" w:rsidRPr="00485FC7" w:rsidRDefault="7532FF59" w:rsidP="7A144062">
            <w:pPr>
              <w:spacing w:after="160" w:line="276" w:lineRule="auto"/>
              <w:rPr>
                <w:rFonts w:ascii="Century Gothic" w:eastAsia="MS PGothic" w:hAnsi="Century Gothic"/>
              </w:rPr>
            </w:pPr>
            <w:r w:rsidRPr="00485FC7">
              <w:rPr>
                <w:rFonts w:ascii="Century Gothic" w:eastAsia="MS PGothic" w:hAnsi="Century Gothic"/>
              </w:rPr>
              <w:t>The Glendower Group is assisting Youth Continuum</w:t>
            </w:r>
            <w:r w:rsidR="33906BBF" w:rsidRPr="00485FC7">
              <w:rPr>
                <w:rFonts w:ascii="Century Gothic" w:eastAsia="MS PGothic" w:hAnsi="Century Gothic"/>
              </w:rPr>
              <w:t xml:space="preserve"> in the planning and execution of the </w:t>
            </w:r>
            <w:r w:rsidR="06A65258" w:rsidRPr="00485FC7">
              <w:rPr>
                <w:rFonts w:ascii="Century Gothic" w:eastAsia="MS PGothic" w:hAnsi="Century Gothic"/>
              </w:rPr>
              <w:t>LNT</w:t>
            </w:r>
            <w:r w:rsidR="33906BBF" w:rsidRPr="00485FC7">
              <w:rPr>
                <w:rFonts w:ascii="Century Gothic" w:eastAsia="MS PGothic" w:hAnsi="Century Gothic"/>
              </w:rPr>
              <w:t xml:space="preserve"> youth shelter</w:t>
            </w:r>
            <w:r w:rsidR="5B2924FC" w:rsidRPr="00485FC7">
              <w:rPr>
                <w:rFonts w:ascii="Century Gothic" w:eastAsia="MS PGothic" w:hAnsi="Century Gothic"/>
              </w:rPr>
              <w:t>, to include 20 vouchers</w:t>
            </w:r>
            <w:r w:rsidR="33906BBF" w:rsidRPr="00485FC7">
              <w:rPr>
                <w:rFonts w:ascii="Century Gothic" w:eastAsia="MS PGothic" w:hAnsi="Century Gothic"/>
              </w:rPr>
              <w:t xml:space="preserve">.  </w:t>
            </w:r>
            <w:r w:rsidR="37D77E3B" w:rsidRPr="00485FC7">
              <w:rPr>
                <w:rFonts w:ascii="Century Gothic" w:eastAsia="MS PGothic" w:hAnsi="Century Gothic"/>
              </w:rPr>
              <w:t xml:space="preserve">Groundbreaking </w:t>
            </w:r>
            <w:r w:rsidR="000F2C22">
              <w:rPr>
                <w:rFonts w:ascii="Century Gothic" w:eastAsia="MS PGothic" w:hAnsi="Century Gothic"/>
              </w:rPr>
              <w:t xml:space="preserve">did not </w:t>
            </w:r>
            <w:r w:rsidR="00AB230A">
              <w:rPr>
                <w:rFonts w:ascii="Century Gothic" w:eastAsia="MS PGothic" w:hAnsi="Century Gothic"/>
              </w:rPr>
              <w:t>occur as</w:t>
            </w:r>
            <w:r w:rsidR="37D77E3B" w:rsidRPr="00485FC7">
              <w:rPr>
                <w:rFonts w:ascii="Century Gothic" w:eastAsia="MS PGothic" w:hAnsi="Century Gothic"/>
              </w:rPr>
              <w:t xml:space="preserve"> anticipated </w:t>
            </w:r>
            <w:r w:rsidR="000B4F3F">
              <w:rPr>
                <w:rFonts w:ascii="Century Gothic" w:eastAsia="MS PGothic" w:hAnsi="Century Gothic"/>
              </w:rPr>
              <w:t xml:space="preserve">and is anticipated to occur </w:t>
            </w:r>
            <w:r w:rsidR="78F5BD94" w:rsidRPr="00485FC7">
              <w:rPr>
                <w:rFonts w:ascii="Century Gothic" w:eastAsia="MS PGothic" w:hAnsi="Century Gothic"/>
              </w:rPr>
              <w:t>in FY202</w:t>
            </w:r>
            <w:r w:rsidR="346F462D" w:rsidRPr="00485FC7">
              <w:rPr>
                <w:rFonts w:ascii="Century Gothic" w:eastAsia="MS PGothic" w:hAnsi="Century Gothic"/>
              </w:rPr>
              <w:t>5</w:t>
            </w:r>
            <w:r w:rsidR="55C5CF9F" w:rsidRPr="00485FC7">
              <w:rPr>
                <w:rFonts w:ascii="Century Gothic" w:eastAsia="MS PGothic" w:hAnsi="Century Gothic"/>
              </w:rPr>
              <w:t xml:space="preserve"> and lease up in FY202</w:t>
            </w:r>
            <w:r w:rsidR="6CFA82B5" w:rsidRPr="00485FC7">
              <w:rPr>
                <w:rFonts w:ascii="Century Gothic" w:eastAsia="MS PGothic" w:hAnsi="Century Gothic"/>
              </w:rPr>
              <w:t>6</w:t>
            </w:r>
            <w:r w:rsidR="55C5CF9F" w:rsidRPr="00485FC7">
              <w:rPr>
                <w:rFonts w:ascii="Century Gothic" w:eastAsia="MS PGothic" w:hAnsi="Century Gothic"/>
              </w:rPr>
              <w:t>.</w:t>
            </w:r>
            <w:r w:rsidR="43E11C98" w:rsidRPr="00485FC7">
              <w:rPr>
                <w:rFonts w:ascii="Century Gothic" w:eastAsia="MS PGothic" w:hAnsi="Century Gothic"/>
              </w:rPr>
              <w:t xml:space="preserve"> </w:t>
            </w:r>
          </w:p>
        </w:tc>
      </w:tr>
      <w:tr w:rsidR="009E30A0" w:rsidRPr="0020355D" w14:paraId="461CCFA3" w14:textId="77777777" w:rsidTr="3666CFB5">
        <w:trPr>
          <w:trHeight w:val="216"/>
        </w:trPr>
        <w:tc>
          <w:tcPr>
            <w:tcW w:w="4770" w:type="dxa"/>
            <w:tcBorders>
              <w:left w:val="single" w:sz="24" w:space="0" w:color="auto"/>
              <w:bottom w:val="single" w:sz="24" w:space="0" w:color="auto"/>
              <w:right w:val="single" w:sz="24" w:space="0" w:color="auto"/>
            </w:tcBorders>
            <w:vAlign w:val="center"/>
          </w:tcPr>
          <w:p w14:paraId="771DE59A" w14:textId="77777777" w:rsidR="00FE555A" w:rsidRPr="0020355D" w:rsidRDefault="00FE555A" w:rsidP="008B6710">
            <w:pPr>
              <w:pStyle w:val="ListParagraph"/>
              <w:ind w:left="0"/>
              <w:jc w:val="center"/>
              <w:rPr>
                <w:rFonts w:ascii="Times New Roman" w:hAnsi="Times New Roman"/>
                <w:szCs w:val="22"/>
              </w:rPr>
            </w:pPr>
          </w:p>
        </w:tc>
        <w:tc>
          <w:tcPr>
            <w:tcW w:w="4860" w:type="dxa"/>
            <w:tcBorders>
              <w:left w:val="single" w:sz="24" w:space="0" w:color="auto"/>
              <w:bottom w:val="single" w:sz="24" w:space="0" w:color="auto"/>
              <w:right w:val="single" w:sz="24" w:space="0" w:color="auto"/>
            </w:tcBorders>
            <w:vAlign w:val="center"/>
          </w:tcPr>
          <w:p w14:paraId="50FE47FF" w14:textId="77777777" w:rsidR="00FE555A" w:rsidRPr="0020355D" w:rsidRDefault="00FE555A" w:rsidP="008B6710">
            <w:pPr>
              <w:pStyle w:val="ListParagraph"/>
              <w:ind w:left="0"/>
              <w:jc w:val="center"/>
              <w:rPr>
                <w:rFonts w:ascii="Times New Roman" w:hAnsi="Times New Roman"/>
                <w:szCs w:val="22"/>
              </w:rPr>
            </w:pPr>
          </w:p>
        </w:tc>
      </w:tr>
    </w:tbl>
    <w:p w14:paraId="0A2EA8A2" w14:textId="4621E6D5" w:rsidR="0079061F" w:rsidRDefault="0079061F" w:rsidP="005B1430">
      <w:pPr>
        <w:pStyle w:val="MTWHeader1"/>
        <w:rPr>
          <w:rFonts w:ascii="Times New Roman" w:hAnsi="Times New Roman"/>
          <w:sz w:val="22"/>
          <w:szCs w:val="22"/>
        </w:rPr>
      </w:pPr>
      <w:bookmarkStart w:id="56" w:name="_Toc89295031"/>
      <w:bookmarkStart w:id="57" w:name="_Toc89871140"/>
      <w:r>
        <w:rPr>
          <w:rFonts w:ascii="Times New Roman" w:hAnsi="Times New Roman"/>
          <w:sz w:val="22"/>
          <w:szCs w:val="22"/>
        </w:rPr>
        <w:br w:type="page"/>
      </w:r>
    </w:p>
    <w:p w14:paraId="4C988167" w14:textId="3E3169AB" w:rsidR="008B6710" w:rsidRPr="000B4F3F" w:rsidRDefault="77D77B10" w:rsidP="005B1430">
      <w:pPr>
        <w:pStyle w:val="MTWHeader1"/>
        <w:rPr>
          <w:rFonts w:ascii="Century Gothic" w:hAnsi="Century Gothic"/>
          <w:sz w:val="22"/>
          <w:szCs w:val="22"/>
        </w:rPr>
      </w:pPr>
      <w:r w:rsidRPr="000B4F3F">
        <w:rPr>
          <w:rFonts w:ascii="Century Gothic" w:hAnsi="Century Gothic"/>
          <w:sz w:val="22"/>
          <w:szCs w:val="22"/>
        </w:rPr>
        <w:lastRenderedPageBreak/>
        <w:t xml:space="preserve">C.  </w:t>
      </w:r>
      <w:r w:rsidR="13DDF648" w:rsidRPr="000B4F3F">
        <w:rPr>
          <w:rFonts w:ascii="Century Gothic" w:hAnsi="Century Gothic"/>
          <w:sz w:val="22"/>
          <w:szCs w:val="22"/>
        </w:rPr>
        <w:t>WAITING LIST INFORMATION</w:t>
      </w:r>
      <w:r w:rsidR="6315C457" w:rsidRPr="000B4F3F">
        <w:rPr>
          <w:rFonts w:ascii="Century Gothic" w:hAnsi="Century Gothic"/>
          <w:sz w:val="22"/>
          <w:szCs w:val="22"/>
        </w:rPr>
        <w:t xml:space="preserve"> </w:t>
      </w:r>
      <w:bookmarkEnd w:id="56"/>
      <w:bookmarkEnd w:id="57"/>
    </w:p>
    <w:p w14:paraId="11A932C6" w14:textId="097B6289" w:rsidR="008B6710" w:rsidRPr="000B4F3F" w:rsidRDefault="0096311E" w:rsidP="005B1430">
      <w:pPr>
        <w:pStyle w:val="Subheading"/>
        <w:ind w:left="720"/>
        <w:rPr>
          <w:rFonts w:ascii="Century Gothic" w:hAnsi="Century Gothic" w:cs="Times New Roman"/>
          <w:sz w:val="22"/>
          <w:szCs w:val="22"/>
        </w:rPr>
      </w:pPr>
      <w:bookmarkStart w:id="58" w:name="_Toc89295032"/>
      <w:bookmarkStart w:id="59" w:name="_Toc89871141"/>
      <w:proofErr w:type="spellStart"/>
      <w:r w:rsidRPr="000B4F3F">
        <w:rPr>
          <w:rFonts w:ascii="Century Gothic" w:hAnsi="Century Gothic" w:cs="Times New Roman"/>
          <w:sz w:val="22"/>
          <w:szCs w:val="22"/>
        </w:rPr>
        <w:t>i</w:t>
      </w:r>
      <w:proofErr w:type="spellEnd"/>
      <w:r w:rsidRPr="000B4F3F">
        <w:rPr>
          <w:rFonts w:ascii="Century Gothic" w:hAnsi="Century Gothic" w:cs="Times New Roman"/>
          <w:sz w:val="22"/>
          <w:szCs w:val="22"/>
        </w:rPr>
        <w:t xml:space="preserve">. </w:t>
      </w:r>
      <w:r w:rsidR="008B6710" w:rsidRPr="000B4F3F">
        <w:rPr>
          <w:rFonts w:ascii="Century Gothic" w:hAnsi="Century Gothic" w:cs="Times New Roman"/>
          <w:sz w:val="22"/>
          <w:szCs w:val="22"/>
        </w:rPr>
        <w:t>Actual Waiting List Information</w:t>
      </w:r>
      <w:bookmarkEnd w:id="58"/>
      <w:bookmarkEnd w:id="59"/>
    </w:p>
    <w:p w14:paraId="230D8E0E" w14:textId="77777777" w:rsidR="008B6710" w:rsidRPr="000B4F3F" w:rsidRDefault="13DDF648" w:rsidP="2C805A1A">
      <w:pPr>
        <w:pStyle w:val="ListParagraph"/>
        <w:rPr>
          <w:rFonts w:ascii="Century Gothic" w:hAnsi="Century Gothic"/>
        </w:rPr>
      </w:pPr>
      <w:r w:rsidRPr="000B4F3F">
        <w:rPr>
          <w:rFonts w:ascii="Century Gothic" w:hAnsi="Century Gothic"/>
        </w:rPr>
        <w:t>Snapshot information on the actual status of MTW waiting lists at the end of the Plan Year. The “Description” column should detail the structure of the waiting list and the population(s) served.</w:t>
      </w:r>
    </w:p>
    <w:p w14:paraId="5A0F646F" w14:textId="77777777" w:rsidR="008B6710" w:rsidRPr="000B4F3F" w:rsidRDefault="008B6710" w:rsidP="008B6710">
      <w:pPr>
        <w:pStyle w:val="ListParagraph"/>
        <w:ind w:left="360" w:firstLine="360"/>
        <w:rPr>
          <w:rFonts w:ascii="Century Gothic" w:hAnsi="Century Gothic"/>
          <w:szCs w:val="22"/>
        </w:rPr>
      </w:pPr>
    </w:p>
    <w:tbl>
      <w:tblPr>
        <w:tblStyle w:val="TableGrid"/>
        <w:tblW w:w="9630" w:type="dxa"/>
        <w:tblInd w:w="3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980"/>
        <w:gridCol w:w="1800"/>
        <w:gridCol w:w="2070"/>
        <w:gridCol w:w="2250"/>
        <w:gridCol w:w="1530"/>
      </w:tblGrid>
      <w:tr w:rsidR="009E30A0" w:rsidRPr="000B4F3F" w14:paraId="713F6C2B" w14:textId="77777777" w:rsidTr="2CA740EE">
        <w:trPr>
          <w:trHeight w:val="518"/>
        </w:trPr>
        <w:tc>
          <w:tcPr>
            <w:tcW w:w="1980" w:type="dxa"/>
            <w:tcBorders>
              <w:bottom w:val="single" w:sz="24" w:space="0" w:color="auto"/>
            </w:tcBorders>
            <w:shd w:val="clear" w:color="auto" w:fill="BFBFBF" w:themeFill="background1" w:themeFillShade="BF"/>
            <w:vAlign w:val="center"/>
          </w:tcPr>
          <w:p w14:paraId="1B8CDCC1"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WAITING LIST NAME</w:t>
            </w:r>
          </w:p>
        </w:tc>
        <w:tc>
          <w:tcPr>
            <w:tcW w:w="1800" w:type="dxa"/>
            <w:tcBorders>
              <w:bottom w:val="single" w:sz="24" w:space="0" w:color="auto"/>
            </w:tcBorders>
            <w:shd w:val="clear" w:color="auto" w:fill="BFBFBF" w:themeFill="background1" w:themeFillShade="BF"/>
            <w:vAlign w:val="center"/>
          </w:tcPr>
          <w:p w14:paraId="05FD9735"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DESCRIPTION</w:t>
            </w:r>
          </w:p>
        </w:tc>
        <w:tc>
          <w:tcPr>
            <w:tcW w:w="2070" w:type="dxa"/>
            <w:tcBorders>
              <w:bottom w:val="single" w:sz="24" w:space="0" w:color="auto"/>
            </w:tcBorders>
            <w:shd w:val="clear" w:color="auto" w:fill="BFBFBF" w:themeFill="background1" w:themeFillShade="BF"/>
            <w:vAlign w:val="center"/>
          </w:tcPr>
          <w:p w14:paraId="6C9E7D7B"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NUMBER OF HOUSEHOLDS ON WAITING LIST</w:t>
            </w:r>
          </w:p>
        </w:tc>
        <w:tc>
          <w:tcPr>
            <w:tcW w:w="2250" w:type="dxa"/>
            <w:tcBorders>
              <w:bottom w:val="single" w:sz="24" w:space="0" w:color="auto"/>
            </w:tcBorders>
            <w:shd w:val="clear" w:color="auto" w:fill="BFBFBF" w:themeFill="background1" w:themeFillShade="BF"/>
            <w:vAlign w:val="center"/>
          </w:tcPr>
          <w:p w14:paraId="1740BE7D"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WAITING LIST OPEN, PARTIALLY OPEN OR CLOSED</w:t>
            </w:r>
          </w:p>
        </w:tc>
        <w:tc>
          <w:tcPr>
            <w:tcW w:w="1530" w:type="dxa"/>
            <w:tcBorders>
              <w:bottom w:val="single" w:sz="24" w:space="0" w:color="auto"/>
            </w:tcBorders>
            <w:shd w:val="clear" w:color="auto" w:fill="BFBFBF" w:themeFill="background1" w:themeFillShade="BF"/>
            <w:vAlign w:val="center"/>
          </w:tcPr>
          <w:p w14:paraId="29D87CFB"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WAS THE WAITING LIST OPENED DURING THE PLAN YEAR</w:t>
            </w:r>
          </w:p>
        </w:tc>
      </w:tr>
      <w:tr w:rsidR="009E30A0" w:rsidRPr="000B4F3F" w14:paraId="1281B319" w14:textId="77777777" w:rsidTr="2CA740EE">
        <w:trPr>
          <w:trHeight w:val="216"/>
        </w:trPr>
        <w:tc>
          <w:tcPr>
            <w:tcW w:w="1980" w:type="dxa"/>
            <w:tcBorders>
              <w:bottom w:val="single" w:sz="24" w:space="0" w:color="auto"/>
              <w:right w:val="single" w:sz="24" w:space="0" w:color="auto"/>
            </w:tcBorders>
            <w:vAlign w:val="center"/>
          </w:tcPr>
          <w:p w14:paraId="2925964C" w14:textId="77777777" w:rsidR="008B6710" w:rsidRPr="000B4F3F" w:rsidRDefault="00397317" w:rsidP="008B6710">
            <w:pPr>
              <w:pStyle w:val="ListParagraph"/>
              <w:ind w:left="0"/>
              <w:jc w:val="center"/>
              <w:rPr>
                <w:rFonts w:ascii="Century Gothic" w:hAnsi="Century Gothic"/>
                <w:szCs w:val="22"/>
              </w:rPr>
            </w:pPr>
            <w:r w:rsidRPr="000B4F3F">
              <w:rPr>
                <w:rFonts w:ascii="Century Gothic" w:hAnsi="Century Gothic"/>
                <w:szCs w:val="22"/>
              </w:rPr>
              <w:t>MTW Public Housing</w:t>
            </w:r>
          </w:p>
        </w:tc>
        <w:tc>
          <w:tcPr>
            <w:tcW w:w="1800" w:type="dxa"/>
            <w:tcBorders>
              <w:left w:val="single" w:sz="24" w:space="0" w:color="auto"/>
              <w:bottom w:val="single" w:sz="24" w:space="0" w:color="auto"/>
              <w:right w:val="single" w:sz="24" w:space="0" w:color="auto"/>
            </w:tcBorders>
            <w:vAlign w:val="center"/>
          </w:tcPr>
          <w:p w14:paraId="2203B202" w14:textId="77777777" w:rsidR="008B6710" w:rsidRPr="000B4F3F" w:rsidRDefault="00397317" w:rsidP="008B6710">
            <w:pPr>
              <w:pStyle w:val="ListParagraph"/>
              <w:ind w:left="0"/>
              <w:jc w:val="center"/>
              <w:rPr>
                <w:rFonts w:ascii="Century Gothic" w:hAnsi="Century Gothic"/>
                <w:szCs w:val="22"/>
              </w:rPr>
            </w:pPr>
            <w:r w:rsidRPr="000B4F3F">
              <w:rPr>
                <w:rFonts w:ascii="Century Gothic" w:hAnsi="Century Gothic"/>
                <w:szCs w:val="22"/>
              </w:rPr>
              <w:t>Site Based</w:t>
            </w:r>
          </w:p>
        </w:tc>
        <w:tc>
          <w:tcPr>
            <w:tcW w:w="2070" w:type="dxa"/>
            <w:tcBorders>
              <w:left w:val="single" w:sz="24" w:space="0" w:color="auto"/>
              <w:bottom w:val="single" w:sz="24" w:space="0" w:color="auto"/>
              <w:right w:val="single" w:sz="24" w:space="0" w:color="auto"/>
            </w:tcBorders>
            <w:vAlign w:val="center"/>
          </w:tcPr>
          <w:p w14:paraId="65BFC4A9" w14:textId="2BCEEAA0" w:rsidR="008B6710" w:rsidRPr="000B4F3F" w:rsidRDefault="008B6710" w:rsidP="3C3EEDA0">
            <w:pPr>
              <w:pStyle w:val="ListParagraph"/>
              <w:ind w:left="0"/>
              <w:jc w:val="center"/>
              <w:rPr>
                <w:rFonts w:ascii="Century Gothic" w:hAnsi="Century Gothic"/>
              </w:rPr>
            </w:pPr>
          </w:p>
          <w:p w14:paraId="02D0CCC0" w14:textId="705784EE" w:rsidR="008B6710" w:rsidRPr="000B4F3F" w:rsidRDefault="7429A627" w:rsidP="00865457">
            <w:pPr>
              <w:pStyle w:val="ListParagraph"/>
              <w:ind w:left="0"/>
              <w:jc w:val="center"/>
              <w:rPr>
                <w:rFonts w:ascii="Century Gothic" w:eastAsia="Times New Roman" w:hAnsi="Century Gothic"/>
              </w:rPr>
            </w:pPr>
            <w:r w:rsidRPr="000B4F3F">
              <w:rPr>
                <w:rFonts w:ascii="Century Gothic" w:eastAsia="Times New Roman" w:hAnsi="Century Gothic"/>
              </w:rPr>
              <w:t xml:space="preserve"> </w:t>
            </w:r>
            <w:r w:rsidR="02061D6F" w:rsidRPr="000B4F3F">
              <w:rPr>
                <w:rFonts w:ascii="Century Gothic" w:eastAsia="Times New Roman" w:hAnsi="Century Gothic"/>
              </w:rPr>
              <w:t>31,025</w:t>
            </w:r>
          </w:p>
        </w:tc>
        <w:tc>
          <w:tcPr>
            <w:tcW w:w="2250" w:type="dxa"/>
            <w:tcBorders>
              <w:left w:val="single" w:sz="24" w:space="0" w:color="auto"/>
              <w:bottom w:val="single" w:sz="24" w:space="0" w:color="auto"/>
              <w:right w:val="single" w:sz="24" w:space="0" w:color="auto"/>
            </w:tcBorders>
            <w:vAlign w:val="center"/>
          </w:tcPr>
          <w:p w14:paraId="1F4B82F2" w14:textId="59370112" w:rsidR="008B6710" w:rsidRPr="000B4F3F" w:rsidRDefault="0A5F9235" w:rsidP="008B6710">
            <w:pPr>
              <w:pStyle w:val="ListParagraph"/>
              <w:ind w:left="0"/>
              <w:jc w:val="center"/>
              <w:rPr>
                <w:rFonts w:ascii="Century Gothic" w:hAnsi="Century Gothic"/>
              </w:rPr>
            </w:pPr>
            <w:r w:rsidRPr="000B4F3F">
              <w:rPr>
                <w:rFonts w:ascii="Century Gothic" w:hAnsi="Century Gothic"/>
              </w:rPr>
              <w:t>Open</w:t>
            </w:r>
          </w:p>
        </w:tc>
        <w:tc>
          <w:tcPr>
            <w:tcW w:w="1530" w:type="dxa"/>
            <w:tcBorders>
              <w:left w:val="single" w:sz="24" w:space="0" w:color="auto"/>
              <w:bottom w:val="single" w:sz="24" w:space="0" w:color="auto"/>
            </w:tcBorders>
            <w:vAlign w:val="center"/>
          </w:tcPr>
          <w:p w14:paraId="2EEB434D" w14:textId="35260DD9" w:rsidR="008B6710" w:rsidRPr="000B4F3F" w:rsidRDefault="009D77B0" w:rsidP="1D755B09">
            <w:pPr>
              <w:pStyle w:val="ListParagraph"/>
              <w:ind w:left="0"/>
              <w:jc w:val="center"/>
              <w:rPr>
                <w:rFonts w:ascii="Century Gothic" w:hAnsi="Century Gothic"/>
              </w:rPr>
            </w:pPr>
            <w:r w:rsidRPr="000B4F3F">
              <w:rPr>
                <w:rFonts w:ascii="Century Gothic" w:hAnsi="Century Gothic"/>
              </w:rPr>
              <w:t>No</w:t>
            </w:r>
          </w:p>
        </w:tc>
      </w:tr>
      <w:tr w:rsidR="008B6710" w:rsidRPr="000B4F3F" w14:paraId="2AFDF6A7" w14:textId="77777777" w:rsidTr="2CA740EE">
        <w:trPr>
          <w:trHeight w:val="216"/>
        </w:trPr>
        <w:tc>
          <w:tcPr>
            <w:tcW w:w="1980" w:type="dxa"/>
            <w:tcBorders>
              <w:top w:val="single" w:sz="24" w:space="0" w:color="auto"/>
              <w:right w:val="single" w:sz="24" w:space="0" w:color="auto"/>
            </w:tcBorders>
            <w:vAlign w:val="center"/>
          </w:tcPr>
          <w:p w14:paraId="14C07C8F" w14:textId="77777777" w:rsidR="008B6710" w:rsidRPr="000B4F3F" w:rsidRDefault="00397317" w:rsidP="008B6710">
            <w:pPr>
              <w:pStyle w:val="ListParagraph"/>
              <w:ind w:left="0"/>
              <w:jc w:val="center"/>
              <w:rPr>
                <w:rFonts w:ascii="Century Gothic" w:hAnsi="Century Gothic"/>
                <w:szCs w:val="22"/>
              </w:rPr>
            </w:pPr>
            <w:r w:rsidRPr="000B4F3F">
              <w:rPr>
                <w:rFonts w:ascii="Century Gothic" w:hAnsi="Century Gothic"/>
                <w:szCs w:val="22"/>
              </w:rPr>
              <w:t>MTW Housing Choice Voucher</w:t>
            </w:r>
          </w:p>
        </w:tc>
        <w:tc>
          <w:tcPr>
            <w:tcW w:w="1800" w:type="dxa"/>
            <w:tcBorders>
              <w:top w:val="single" w:sz="24" w:space="0" w:color="auto"/>
              <w:left w:val="single" w:sz="24" w:space="0" w:color="auto"/>
              <w:right w:val="single" w:sz="24" w:space="0" w:color="auto"/>
            </w:tcBorders>
            <w:vAlign w:val="center"/>
          </w:tcPr>
          <w:p w14:paraId="37772F73" w14:textId="77777777" w:rsidR="008B6710" w:rsidRPr="000B4F3F" w:rsidRDefault="00397317" w:rsidP="008B6710">
            <w:pPr>
              <w:pStyle w:val="ListParagraph"/>
              <w:ind w:left="0"/>
              <w:jc w:val="center"/>
              <w:rPr>
                <w:rFonts w:ascii="Century Gothic" w:hAnsi="Century Gothic"/>
                <w:szCs w:val="22"/>
              </w:rPr>
            </w:pPr>
            <w:r w:rsidRPr="000B4F3F">
              <w:rPr>
                <w:rFonts w:ascii="Century Gothic" w:hAnsi="Century Gothic"/>
                <w:szCs w:val="22"/>
              </w:rPr>
              <w:t>Program Specific</w:t>
            </w:r>
          </w:p>
        </w:tc>
        <w:tc>
          <w:tcPr>
            <w:tcW w:w="2070" w:type="dxa"/>
            <w:tcBorders>
              <w:top w:val="single" w:sz="24" w:space="0" w:color="auto"/>
              <w:left w:val="single" w:sz="24" w:space="0" w:color="auto"/>
              <w:right w:val="single" w:sz="24" w:space="0" w:color="auto"/>
            </w:tcBorders>
            <w:vAlign w:val="center"/>
          </w:tcPr>
          <w:p w14:paraId="2458D8E8" w14:textId="5A3A693D" w:rsidR="008B6710" w:rsidRPr="000B4F3F" w:rsidRDefault="3DCAB3C9" w:rsidP="0175C16E">
            <w:pPr>
              <w:pStyle w:val="ListParagraph"/>
              <w:ind w:left="0"/>
              <w:jc w:val="center"/>
              <w:rPr>
                <w:rFonts w:ascii="Century Gothic" w:hAnsi="Century Gothic"/>
              </w:rPr>
            </w:pPr>
            <w:r w:rsidRPr="000B4F3F">
              <w:rPr>
                <w:rFonts w:ascii="Century Gothic" w:hAnsi="Century Gothic"/>
              </w:rPr>
              <w:t xml:space="preserve">                               </w:t>
            </w:r>
            <w:r w:rsidR="14EAB04A" w:rsidRPr="000B4F3F">
              <w:rPr>
                <w:rFonts w:ascii="Century Gothic" w:hAnsi="Century Gothic"/>
              </w:rPr>
              <w:t>41,</w:t>
            </w:r>
            <w:r w:rsidR="63A3815A" w:rsidRPr="000B4F3F">
              <w:rPr>
                <w:rFonts w:ascii="Century Gothic" w:hAnsi="Century Gothic"/>
              </w:rPr>
              <w:t>626</w:t>
            </w:r>
            <w:r w:rsidR="14EAB04A" w:rsidRPr="000B4F3F">
              <w:rPr>
                <w:rFonts w:ascii="Century Gothic" w:hAnsi="Century Gothic"/>
              </w:rPr>
              <w:t xml:space="preserve"> </w:t>
            </w:r>
          </w:p>
          <w:p w14:paraId="72641CC6" w14:textId="418CFC0E" w:rsidR="008B6710" w:rsidRPr="000B4F3F" w:rsidRDefault="008B6710" w:rsidP="3C3EEDA0">
            <w:pPr>
              <w:pStyle w:val="ListParagraph"/>
              <w:ind w:left="0"/>
              <w:jc w:val="center"/>
              <w:rPr>
                <w:rFonts w:ascii="Century Gothic" w:eastAsia="MS PGothic" w:hAnsi="Century Gothic"/>
                <w:szCs w:val="22"/>
                <w:highlight w:val="yellow"/>
              </w:rPr>
            </w:pPr>
          </w:p>
        </w:tc>
        <w:tc>
          <w:tcPr>
            <w:tcW w:w="2250" w:type="dxa"/>
            <w:tcBorders>
              <w:top w:val="single" w:sz="24" w:space="0" w:color="auto"/>
              <w:left w:val="single" w:sz="24" w:space="0" w:color="auto"/>
              <w:right w:val="single" w:sz="24" w:space="0" w:color="auto"/>
            </w:tcBorders>
            <w:vAlign w:val="center"/>
          </w:tcPr>
          <w:p w14:paraId="05B0DB82" w14:textId="4BBB7C82" w:rsidR="008B6710" w:rsidRPr="000B4F3F" w:rsidRDefault="52399F2E" w:rsidP="008B6710">
            <w:pPr>
              <w:pStyle w:val="ListParagraph"/>
              <w:ind w:left="0"/>
              <w:jc w:val="center"/>
              <w:rPr>
                <w:rFonts w:ascii="Century Gothic" w:hAnsi="Century Gothic"/>
              </w:rPr>
            </w:pPr>
            <w:r w:rsidRPr="000B4F3F">
              <w:rPr>
                <w:rFonts w:ascii="Century Gothic" w:hAnsi="Century Gothic"/>
              </w:rPr>
              <w:t>Open</w:t>
            </w:r>
          </w:p>
        </w:tc>
        <w:tc>
          <w:tcPr>
            <w:tcW w:w="1530" w:type="dxa"/>
            <w:tcBorders>
              <w:top w:val="single" w:sz="24" w:space="0" w:color="auto"/>
              <w:left w:val="single" w:sz="24" w:space="0" w:color="auto"/>
            </w:tcBorders>
            <w:vAlign w:val="center"/>
          </w:tcPr>
          <w:p w14:paraId="6CE1BC34" w14:textId="7907EE04" w:rsidR="008B6710" w:rsidRPr="000B4F3F" w:rsidRDefault="009D77B0" w:rsidP="008B6710">
            <w:pPr>
              <w:pStyle w:val="ListParagraph"/>
              <w:ind w:left="0"/>
              <w:jc w:val="center"/>
              <w:rPr>
                <w:rFonts w:ascii="Century Gothic" w:hAnsi="Century Gothic"/>
              </w:rPr>
            </w:pPr>
            <w:r w:rsidRPr="000B4F3F">
              <w:rPr>
                <w:rFonts w:ascii="Century Gothic" w:hAnsi="Century Gothic"/>
              </w:rPr>
              <w:t>No</w:t>
            </w:r>
          </w:p>
        </w:tc>
      </w:tr>
    </w:tbl>
    <w:p w14:paraId="166AA29C" w14:textId="5BD80113" w:rsidR="6E9E055C" w:rsidRPr="003A1DAD" w:rsidRDefault="6E9E055C">
      <w:pPr>
        <w:rPr>
          <w:rFonts w:ascii="Century Gothic" w:hAnsi="Century Gothic"/>
        </w:rPr>
      </w:pPr>
    </w:p>
    <w:p w14:paraId="21959B93" w14:textId="77777777" w:rsidR="0079061F" w:rsidRDefault="005F381C" w:rsidP="1B3F2E6D">
      <w:pPr>
        <w:pStyle w:val="ListParagraph"/>
        <w:tabs>
          <w:tab w:val="left" w:pos="3510"/>
        </w:tabs>
        <w:ind w:left="990" w:hanging="270"/>
        <w:rPr>
          <w:rFonts w:ascii="Century Gothic" w:hAnsi="Century Gothic"/>
          <w:b/>
          <w:bCs/>
        </w:rPr>
      </w:pPr>
      <w:r w:rsidRPr="003A1DAD">
        <w:rPr>
          <w:rFonts w:ascii="Century Gothic" w:hAnsi="Century Gothic"/>
          <w:b/>
          <w:bCs/>
        </w:rPr>
        <w:tab/>
      </w:r>
    </w:p>
    <w:p w14:paraId="5C360BCD" w14:textId="061CFFFF" w:rsidR="008B6710" w:rsidRPr="003A1DAD" w:rsidRDefault="28EBC8E5" w:rsidP="1B3F2E6D">
      <w:pPr>
        <w:pStyle w:val="ListParagraph"/>
        <w:tabs>
          <w:tab w:val="left" w:pos="3510"/>
        </w:tabs>
        <w:ind w:left="990" w:hanging="270"/>
        <w:rPr>
          <w:rFonts w:ascii="Century Gothic" w:hAnsi="Century Gothic"/>
          <w:b/>
          <w:bCs/>
        </w:rPr>
      </w:pPr>
      <w:r w:rsidRPr="003A1DAD">
        <w:rPr>
          <w:rFonts w:ascii="Century Gothic" w:hAnsi="Century Gothic"/>
          <w:b/>
          <w:bCs/>
        </w:rPr>
        <w:t>Please describe any duplication of applicants across waiting lists:</w:t>
      </w:r>
    </w:p>
    <w:p w14:paraId="50E99A21" w14:textId="4FD551C5" w:rsidR="2CA740EE" w:rsidRPr="003A1DAD" w:rsidRDefault="2CA740EE" w:rsidP="2CA740EE">
      <w:pPr>
        <w:pStyle w:val="ListParagraph"/>
        <w:tabs>
          <w:tab w:val="left" w:pos="3510"/>
        </w:tabs>
        <w:ind w:left="990" w:hanging="270"/>
        <w:rPr>
          <w:rFonts w:ascii="Century Gothic" w:hAnsi="Century Gothic"/>
          <w:b/>
          <w:bCs/>
        </w:rPr>
      </w:pPr>
    </w:p>
    <w:p w14:paraId="6F580393" w14:textId="33172969" w:rsidR="0175C16E" w:rsidRPr="000B4F3F" w:rsidRDefault="00DE6A54" w:rsidP="0175C16E">
      <w:pPr>
        <w:pStyle w:val="ListParagraph"/>
        <w:tabs>
          <w:tab w:val="left" w:pos="3510"/>
        </w:tabs>
        <w:ind w:left="990" w:hanging="270"/>
        <w:rPr>
          <w:rFonts w:ascii="Century Gothic" w:eastAsia="MS PGothic" w:hAnsi="Century Gothic"/>
          <w:b/>
          <w:bCs/>
          <w:szCs w:val="22"/>
        </w:rPr>
      </w:pPr>
      <w:r w:rsidRPr="000B4F3F">
        <w:rPr>
          <w:rFonts w:ascii="Century Gothic" w:hAnsi="Century Gothic"/>
          <w:noProof/>
        </w:rPr>
        <mc:AlternateContent>
          <mc:Choice Requires="wps">
            <w:drawing>
              <wp:anchor distT="0" distB="0" distL="114300" distR="114300" simplePos="0" relativeHeight="251658247" behindDoc="0" locked="0" layoutInCell="1" allowOverlap="1" wp14:anchorId="6490381F" wp14:editId="64A71515">
                <wp:simplePos x="0" y="0"/>
                <wp:positionH relativeFrom="column">
                  <wp:posOffset>471896</wp:posOffset>
                </wp:positionH>
                <wp:positionV relativeFrom="paragraph">
                  <wp:posOffset>25853</wp:posOffset>
                </wp:positionV>
                <wp:extent cx="5153025" cy="1313361"/>
                <wp:effectExtent l="19050" t="19050" r="28575" b="20320"/>
                <wp:wrapNone/>
                <wp:docPr id="4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313361"/>
                        </a:xfrm>
                        <a:prstGeom prst="rect">
                          <a:avLst/>
                        </a:prstGeom>
                        <a:solidFill>
                          <a:srgbClr val="FFFFFF"/>
                        </a:solidFill>
                        <a:ln w="28575">
                          <a:solidFill>
                            <a:srgbClr val="000000"/>
                          </a:solidFill>
                          <a:miter lim="800000"/>
                          <a:headEnd/>
                          <a:tailEnd/>
                        </a:ln>
                      </wps:spPr>
                      <wps:txbx>
                        <w:txbxContent>
                          <w:p w14:paraId="7EC5F51F" w14:textId="77777777" w:rsidR="000B4F3F" w:rsidRDefault="000B4F3F" w:rsidP="00AD2377">
                            <w:pPr>
                              <w:ind w:right="-163"/>
                              <w:rPr>
                                <w:rFonts w:ascii="Century Gothic" w:hAnsi="Century Gothic"/>
                                <w:bCs/>
                                <w:szCs w:val="22"/>
                              </w:rPr>
                            </w:pPr>
                          </w:p>
                          <w:p w14:paraId="1A27968B" w14:textId="77777777" w:rsidR="0079061F" w:rsidRDefault="00426C80" w:rsidP="00AD2377">
                            <w:pPr>
                              <w:ind w:right="-163"/>
                              <w:rPr>
                                <w:rFonts w:ascii="Century Gothic" w:hAnsi="Century Gothic"/>
                                <w:bCs/>
                                <w:szCs w:val="22"/>
                              </w:rPr>
                            </w:pPr>
                            <w:r w:rsidRPr="000B4F3F">
                              <w:rPr>
                                <w:rFonts w:ascii="Century Gothic" w:hAnsi="Century Gothic"/>
                                <w:bCs/>
                                <w:szCs w:val="22"/>
                              </w:rPr>
                              <w:t xml:space="preserve">ECC/HANH waitlists remain open. </w:t>
                            </w:r>
                            <w:r w:rsidR="005A56AA">
                              <w:rPr>
                                <w:rFonts w:ascii="Century Gothic" w:hAnsi="Century Gothic"/>
                                <w:bCs/>
                                <w:szCs w:val="22"/>
                              </w:rPr>
                              <w:t xml:space="preserve"> </w:t>
                            </w:r>
                            <w:r w:rsidR="00AD2377" w:rsidRPr="000B4F3F">
                              <w:rPr>
                                <w:rFonts w:ascii="Century Gothic" w:hAnsi="Century Gothic"/>
                                <w:bCs/>
                                <w:szCs w:val="22"/>
                              </w:rPr>
                              <w:t>Applicants can apply for more than one program</w:t>
                            </w:r>
                            <w:r w:rsidR="000A79CB" w:rsidRPr="000B4F3F">
                              <w:rPr>
                                <w:rFonts w:ascii="Century Gothic" w:hAnsi="Century Gothic"/>
                                <w:bCs/>
                                <w:szCs w:val="22"/>
                              </w:rPr>
                              <w:t xml:space="preserve"> and more than one waitlist</w:t>
                            </w:r>
                            <w:r w:rsidR="00AD2377" w:rsidRPr="000B4F3F">
                              <w:rPr>
                                <w:rFonts w:ascii="Century Gothic" w:hAnsi="Century Gothic"/>
                                <w:bCs/>
                                <w:szCs w:val="22"/>
                              </w:rPr>
                              <w:t xml:space="preserve"> within ECC/HANH. </w:t>
                            </w:r>
                          </w:p>
                          <w:p w14:paraId="20958C98" w14:textId="77777777" w:rsidR="0079061F" w:rsidRDefault="0079061F" w:rsidP="00AD2377">
                            <w:pPr>
                              <w:ind w:right="-163"/>
                              <w:rPr>
                                <w:rFonts w:ascii="Century Gothic" w:hAnsi="Century Gothic"/>
                                <w:bCs/>
                                <w:szCs w:val="22"/>
                              </w:rPr>
                            </w:pPr>
                          </w:p>
                          <w:p w14:paraId="3DF41C7E" w14:textId="7BC71C4C" w:rsidR="00AD2377" w:rsidRPr="000B4F3F" w:rsidRDefault="007B26EB" w:rsidP="00AD2377">
                            <w:pPr>
                              <w:ind w:right="-163"/>
                              <w:rPr>
                                <w:rFonts w:ascii="Century Gothic" w:hAnsi="Century Gothic"/>
                                <w:bCs/>
                                <w:szCs w:val="22"/>
                              </w:rPr>
                            </w:pPr>
                            <w:r w:rsidRPr="000B4F3F">
                              <w:rPr>
                                <w:rFonts w:ascii="Century Gothic" w:hAnsi="Century Gothic"/>
                                <w:bCs/>
                                <w:szCs w:val="22"/>
                              </w:rPr>
                              <w:t>The n</w:t>
                            </w:r>
                            <w:r w:rsidR="00AD2377" w:rsidRPr="000B4F3F">
                              <w:rPr>
                                <w:rFonts w:ascii="Century Gothic" w:hAnsi="Century Gothic"/>
                                <w:bCs/>
                                <w:szCs w:val="22"/>
                              </w:rPr>
                              <w:t>umbers provided for each waitlist are not duplicated. Applications have increased dramatically since the Applicant portal has opened and it easier for applicants to apply for the various waiting lists.</w:t>
                            </w:r>
                          </w:p>
                          <w:p w14:paraId="35C94B52" w14:textId="592266F8" w:rsidR="009F26DD" w:rsidRPr="004F247D" w:rsidRDefault="009F26DD" w:rsidP="00244270">
                            <w:pPr>
                              <w:ind w:right="-163"/>
                              <w:rPr>
                                <w:rFonts w:ascii="Times New Roman" w:hAnsi="Times New Roman"/>
                                <w:szCs w:val="22"/>
                              </w:rPr>
                            </w:pP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90381F" id="Text Box 63" o:spid="_x0000_s1035" type="#_x0000_t202" style="position:absolute;left:0;text-align:left;margin-left:37.15pt;margin-top:2.05pt;width:405.75pt;height:103.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" strokeweight="2.25pt">
                <v:textbox inset=",0,,0">
                  <w:txbxContent>
                    <w:p w14:paraId="7EC5F51F" w14:textId="77777777" w:rsidR="000B4F3F" w:rsidRDefault="000B4F3F" w:rsidP="00AD2377">
                      <w:pPr>
                        <w:ind w:right="-163"/>
                        <w:rPr>
                          <w:rFonts w:ascii="Century Gothic" w:hAnsi="Century Gothic"/>
                          <w:bCs/>
                          <w:szCs w:val="22"/>
                        </w:rPr>
                      </w:pPr>
                    </w:p>
                    <w:p w14:paraId="1A27968B" w14:textId="77777777" w:rsidR="0079061F" w:rsidRDefault="00426C80" w:rsidP="00AD2377">
                      <w:pPr>
                        <w:ind w:right="-163"/>
                        <w:rPr>
                          <w:rFonts w:ascii="Century Gothic" w:hAnsi="Century Gothic"/>
                          <w:bCs/>
                          <w:szCs w:val="22"/>
                        </w:rPr>
                      </w:pPr>
                      <w:r w:rsidRPr="000B4F3F">
                        <w:rPr>
                          <w:rFonts w:ascii="Century Gothic" w:hAnsi="Century Gothic"/>
                          <w:bCs/>
                          <w:szCs w:val="22"/>
                        </w:rPr>
                        <w:t xml:space="preserve">ECC/HANH waitlists remain open. </w:t>
                      </w:r>
                      <w:r w:rsidR="005A56AA">
                        <w:rPr>
                          <w:rFonts w:ascii="Century Gothic" w:hAnsi="Century Gothic"/>
                          <w:bCs/>
                          <w:szCs w:val="22"/>
                        </w:rPr>
                        <w:t xml:space="preserve"> </w:t>
                      </w:r>
                      <w:r w:rsidR="00AD2377" w:rsidRPr="000B4F3F">
                        <w:rPr>
                          <w:rFonts w:ascii="Century Gothic" w:hAnsi="Century Gothic"/>
                          <w:bCs/>
                          <w:szCs w:val="22"/>
                        </w:rPr>
                        <w:t>Applicants can apply for more than one program</w:t>
                      </w:r>
                      <w:r w:rsidR="000A79CB" w:rsidRPr="000B4F3F">
                        <w:rPr>
                          <w:rFonts w:ascii="Century Gothic" w:hAnsi="Century Gothic"/>
                          <w:bCs/>
                          <w:szCs w:val="22"/>
                        </w:rPr>
                        <w:t xml:space="preserve"> and more than one waitlist</w:t>
                      </w:r>
                      <w:r w:rsidR="00AD2377" w:rsidRPr="000B4F3F">
                        <w:rPr>
                          <w:rFonts w:ascii="Century Gothic" w:hAnsi="Century Gothic"/>
                          <w:bCs/>
                          <w:szCs w:val="22"/>
                        </w:rPr>
                        <w:t xml:space="preserve"> within ECC/HANH. </w:t>
                      </w:r>
                    </w:p>
                    <w:p w14:paraId="20958C98" w14:textId="77777777" w:rsidR="0079061F" w:rsidRDefault="0079061F" w:rsidP="00AD2377">
                      <w:pPr>
                        <w:ind w:right="-163"/>
                        <w:rPr>
                          <w:rFonts w:ascii="Century Gothic" w:hAnsi="Century Gothic"/>
                          <w:bCs/>
                          <w:szCs w:val="22"/>
                        </w:rPr>
                      </w:pPr>
                    </w:p>
                    <w:p w14:paraId="3DF41C7E" w14:textId="7BC71C4C" w:rsidR="00AD2377" w:rsidRPr="000B4F3F" w:rsidRDefault="007B26EB" w:rsidP="00AD2377">
                      <w:pPr>
                        <w:ind w:right="-163"/>
                        <w:rPr>
                          <w:rFonts w:ascii="Century Gothic" w:hAnsi="Century Gothic"/>
                          <w:bCs/>
                          <w:szCs w:val="22"/>
                        </w:rPr>
                      </w:pPr>
                      <w:r w:rsidRPr="000B4F3F">
                        <w:rPr>
                          <w:rFonts w:ascii="Century Gothic" w:hAnsi="Century Gothic"/>
                          <w:bCs/>
                          <w:szCs w:val="22"/>
                        </w:rPr>
                        <w:t>The n</w:t>
                      </w:r>
                      <w:r w:rsidR="00AD2377" w:rsidRPr="000B4F3F">
                        <w:rPr>
                          <w:rFonts w:ascii="Century Gothic" w:hAnsi="Century Gothic"/>
                          <w:bCs/>
                          <w:szCs w:val="22"/>
                        </w:rPr>
                        <w:t>umbers provided for each waitlist are not duplicated. Applications have increased dramatically since the Applicant portal has opened and it easier for applicants to apply for the various waiting lists.</w:t>
                      </w:r>
                    </w:p>
                    <w:p w14:paraId="35C94B52" w14:textId="592266F8" w:rsidR="009F26DD" w:rsidRPr="004F247D" w:rsidRDefault="009F26DD" w:rsidP="00244270">
                      <w:pPr>
                        <w:ind w:right="-163"/>
                        <w:rPr>
                          <w:rFonts w:ascii="Times New Roman" w:hAnsi="Times New Roman"/>
                          <w:szCs w:val="22"/>
                        </w:rPr>
                      </w:pPr>
                    </w:p>
                  </w:txbxContent>
                </v:textbox>
              </v:shape>
            </w:pict>
          </mc:Fallback>
        </mc:AlternateContent>
      </w:r>
    </w:p>
    <w:p w14:paraId="206F9B34" w14:textId="3341371C" w:rsidR="008B6710" w:rsidRPr="000B4F3F" w:rsidRDefault="008B6710" w:rsidP="008B6710">
      <w:pPr>
        <w:pStyle w:val="ListParagraph"/>
        <w:tabs>
          <w:tab w:val="left" w:pos="3510"/>
        </w:tabs>
        <w:ind w:left="360"/>
        <w:rPr>
          <w:rFonts w:ascii="Century Gothic" w:hAnsi="Century Gothic"/>
          <w:szCs w:val="22"/>
        </w:rPr>
      </w:pPr>
    </w:p>
    <w:p w14:paraId="74A1EAA9" w14:textId="77777777" w:rsidR="008B6710" w:rsidRPr="000B4F3F" w:rsidRDefault="008B6710" w:rsidP="008B6710">
      <w:pPr>
        <w:pStyle w:val="ListParagraph"/>
        <w:ind w:left="1170"/>
        <w:rPr>
          <w:rFonts w:ascii="Century Gothic" w:hAnsi="Century Gothic"/>
          <w:b/>
          <w:szCs w:val="22"/>
        </w:rPr>
      </w:pPr>
      <w:r w:rsidRPr="000B4F3F">
        <w:rPr>
          <w:rFonts w:ascii="Century Gothic" w:hAnsi="Century Gothic"/>
          <w:b/>
          <w:szCs w:val="22"/>
        </w:rPr>
        <w:tab/>
      </w:r>
    </w:p>
    <w:p w14:paraId="02B44E42" w14:textId="63BF5461" w:rsidR="00225EC3" w:rsidRPr="000B4F3F" w:rsidRDefault="00225EC3">
      <w:pPr>
        <w:spacing w:after="160" w:line="276" w:lineRule="auto"/>
        <w:rPr>
          <w:rFonts w:ascii="Century Gothic" w:hAnsi="Century Gothic"/>
          <w:b/>
          <w:szCs w:val="22"/>
        </w:rPr>
      </w:pPr>
    </w:p>
    <w:p w14:paraId="2692A5B6" w14:textId="77777777" w:rsidR="004F247D" w:rsidRPr="000B4F3F" w:rsidRDefault="004F247D">
      <w:pPr>
        <w:spacing w:after="160" w:line="276" w:lineRule="auto"/>
        <w:rPr>
          <w:rFonts w:ascii="Century Gothic" w:hAnsi="Century Gothic"/>
          <w:b/>
          <w:szCs w:val="22"/>
        </w:rPr>
      </w:pPr>
      <w:bookmarkStart w:id="60" w:name="_Hlk54104576"/>
    </w:p>
    <w:p w14:paraId="66DF1BCF" w14:textId="77777777" w:rsidR="009D77B0" w:rsidRDefault="009D77B0">
      <w:pPr>
        <w:spacing w:after="160" w:line="276" w:lineRule="auto"/>
        <w:rPr>
          <w:rFonts w:ascii="Century Gothic" w:hAnsi="Century Gothic"/>
          <w:b/>
          <w:szCs w:val="22"/>
        </w:rPr>
      </w:pPr>
    </w:p>
    <w:p w14:paraId="5C95ABF9" w14:textId="77777777" w:rsidR="0079061F" w:rsidRPr="000B4F3F" w:rsidRDefault="0079061F">
      <w:pPr>
        <w:spacing w:after="160" w:line="276" w:lineRule="auto"/>
        <w:rPr>
          <w:rFonts w:ascii="Century Gothic" w:hAnsi="Century Gothic"/>
          <w:b/>
          <w:szCs w:val="22"/>
        </w:rPr>
      </w:pPr>
    </w:p>
    <w:p w14:paraId="5A2AED00" w14:textId="7FA78592" w:rsidR="008B6710" w:rsidRPr="000B4F3F" w:rsidRDefault="0096311E" w:rsidP="00A22B8E">
      <w:pPr>
        <w:pStyle w:val="Subheading"/>
        <w:ind w:firstLine="720"/>
        <w:rPr>
          <w:rFonts w:ascii="Century Gothic" w:hAnsi="Century Gothic" w:cs="Times New Roman"/>
          <w:sz w:val="22"/>
          <w:szCs w:val="22"/>
        </w:rPr>
      </w:pPr>
      <w:bookmarkStart w:id="61" w:name="_Toc89295033"/>
      <w:bookmarkStart w:id="62" w:name="_Toc89871142"/>
      <w:r w:rsidRPr="000B4F3F">
        <w:rPr>
          <w:rFonts w:ascii="Century Gothic" w:hAnsi="Century Gothic" w:cs="Times New Roman"/>
          <w:sz w:val="22"/>
          <w:szCs w:val="22"/>
        </w:rPr>
        <w:t xml:space="preserve">ii. </w:t>
      </w:r>
      <w:r w:rsidR="008B6710" w:rsidRPr="000B4F3F">
        <w:rPr>
          <w:rFonts w:ascii="Century Gothic" w:hAnsi="Century Gothic" w:cs="Times New Roman"/>
          <w:sz w:val="22"/>
          <w:szCs w:val="22"/>
        </w:rPr>
        <w:t>Actual Changes to Waiting List in the Plan Year</w:t>
      </w:r>
      <w:bookmarkEnd w:id="61"/>
      <w:bookmarkEnd w:id="62"/>
    </w:p>
    <w:p w14:paraId="3BD30D97" w14:textId="77777777" w:rsidR="008B6710" w:rsidRPr="000B4F3F" w:rsidRDefault="008B6710" w:rsidP="008B6710">
      <w:pPr>
        <w:pStyle w:val="ListParagraph"/>
        <w:rPr>
          <w:rFonts w:ascii="Century Gothic" w:hAnsi="Century Gothic"/>
          <w:szCs w:val="22"/>
        </w:rPr>
      </w:pPr>
      <w:r w:rsidRPr="000B4F3F">
        <w:rPr>
          <w:rFonts w:ascii="Century Gothic" w:hAnsi="Century Gothic"/>
          <w:szCs w:val="22"/>
        </w:rPr>
        <w:t>Please describe any actual changes to the organizational structure or policies of the waiting list(s), including any opening or closing of a waiting list, during the Plan Year.</w:t>
      </w:r>
    </w:p>
    <w:p w14:paraId="2ABD3C9D" w14:textId="77777777" w:rsidR="008B6710" w:rsidRPr="000B4F3F" w:rsidRDefault="008B6710" w:rsidP="008B6710">
      <w:pPr>
        <w:pStyle w:val="ListParagraph"/>
        <w:ind w:left="360" w:firstLine="360"/>
        <w:rPr>
          <w:rFonts w:ascii="Century Gothic" w:hAnsi="Century Gothic"/>
          <w:szCs w:val="22"/>
        </w:rPr>
      </w:pPr>
    </w:p>
    <w:tbl>
      <w:tblPr>
        <w:tblStyle w:val="TableGrid"/>
        <w:tblW w:w="9630" w:type="dxa"/>
        <w:tblInd w:w="330" w:type="dxa"/>
        <w:tblLayout w:type="fixed"/>
        <w:tblLook w:val="04A0" w:firstRow="1" w:lastRow="0" w:firstColumn="1" w:lastColumn="0" w:noHBand="0" w:noVBand="1"/>
      </w:tblPr>
      <w:tblGrid>
        <w:gridCol w:w="3060"/>
        <w:gridCol w:w="6570"/>
      </w:tblGrid>
      <w:tr w:rsidR="009E30A0" w:rsidRPr="000B4F3F" w14:paraId="78719634" w14:textId="77777777" w:rsidTr="0175C16E">
        <w:trPr>
          <w:trHeight w:val="479"/>
        </w:trPr>
        <w:tc>
          <w:tcPr>
            <w:tcW w:w="306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38CB15F2"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WAITING LIST NAME</w:t>
            </w:r>
          </w:p>
        </w:tc>
        <w:tc>
          <w:tcPr>
            <w:tcW w:w="6570" w:type="dxa"/>
            <w:tcBorders>
              <w:top w:val="single" w:sz="24" w:space="0" w:color="auto"/>
              <w:left w:val="single" w:sz="24" w:space="0" w:color="auto"/>
              <w:right w:val="single" w:sz="24" w:space="0" w:color="auto"/>
            </w:tcBorders>
            <w:shd w:val="clear" w:color="auto" w:fill="BFBFBF" w:themeFill="background1" w:themeFillShade="BF"/>
            <w:vAlign w:val="center"/>
          </w:tcPr>
          <w:p w14:paraId="6215C69E"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DESCRIPTION OF ACTUAL CHANGES TO WAITING LIST</w:t>
            </w:r>
          </w:p>
        </w:tc>
      </w:tr>
      <w:tr w:rsidR="009E30A0" w:rsidRPr="000B4F3F" w14:paraId="7C72C6BF" w14:textId="77777777" w:rsidTr="0175C16E">
        <w:trPr>
          <w:trHeight w:val="216"/>
        </w:trPr>
        <w:tc>
          <w:tcPr>
            <w:tcW w:w="3060" w:type="dxa"/>
            <w:tcBorders>
              <w:top w:val="single" w:sz="24" w:space="0" w:color="auto"/>
              <w:left w:val="single" w:sz="24" w:space="0" w:color="auto"/>
              <w:right w:val="single" w:sz="24" w:space="0" w:color="auto"/>
            </w:tcBorders>
            <w:vAlign w:val="center"/>
          </w:tcPr>
          <w:p w14:paraId="389C3DEE" w14:textId="4A37A951" w:rsidR="008B6710" w:rsidRPr="000B4F3F" w:rsidRDefault="3907E850" w:rsidP="008B6710">
            <w:pPr>
              <w:pStyle w:val="ListParagraph"/>
              <w:ind w:left="0"/>
              <w:jc w:val="center"/>
              <w:rPr>
                <w:rFonts w:ascii="Century Gothic" w:hAnsi="Century Gothic"/>
              </w:rPr>
            </w:pPr>
            <w:r w:rsidRPr="000B4F3F">
              <w:rPr>
                <w:rFonts w:ascii="Century Gothic" w:hAnsi="Century Gothic"/>
              </w:rPr>
              <w:t xml:space="preserve">Housing Choice Voucher </w:t>
            </w:r>
            <w:r w:rsidR="32920850" w:rsidRPr="000B4F3F">
              <w:rPr>
                <w:rFonts w:ascii="Century Gothic" w:hAnsi="Century Gothic"/>
              </w:rPr>
              <w:t>(</w:t>
            </w:r>
            <w:r w:rsidRPr="000B4F3F">
              <w:rPr>
                <w:rFonts w:ascii="Century Gothic" w:hAnsi="Century Gothic"/>
              </w:rPr>
              <w:t>Tenant</w:t>
            </w:r>
            <w:r w:rsidR="65D9BD49" w:rsidRPr="000B4F3F">
              <w:rPr>
                <w:rFonts w:ascii="Century Gothic" w:hAnsi="Century Gothic"/>
              </w:rPr>
              <w:t xml:space="preserve"> Based</w:t>
            </w:r>
            <w:r w:rsidR="7B3F3000" w:rsidRPr="000B4F3F">
              <w:rPr>
                <w:rFonts w:ascii="Century Gothic" w:hAnsi="Century Gothic"/>
              </w:rPr>
              <w:t>)</w:t>
            </w:r>
          </w:p>
        </w:tc>
        <w:tc>
          <w:tcPr>
            <w:tcW w:w="6570" w:type="dxa"/>
            <w:tcBorders>
              <w:top w:val="single" w:sz="24" w:space="0" w:color="auto"/>
              <w:left w:val="single" w:sz="24" w:space="0" w:color="auto"/>
              <w:right w:val="single" w:sz="24" w:space="0" w:color="auto"/>
            </w:tcBorders>
            <w:vAlign w:val="center"/>
          </w:tcPr>
          <w:p w14:paraId="5D00A2CF" w14:textId="0FA2E00C" w:rsidR="008B6710" w:rsidRPr="000B4F3F" w:rsidRDefault="07EBED32" w:rsidP="008B6710">
            <w:pPr>
              <w:pStyle w:val="ListParagraph"/>
              <w:ind w:left="0"/>
              <w:jc w:val="center"/>
              <w:rPr>
                <w:rFonts w:ascii="Century Gothic" w:eastAsia="MS PGothic" w:hAnsi="Century Gothic"/>
              </w:rPr>
            </w:pPr>
            <w:r w:rsidRPr="000B4F3F">
              <w:rPr>
                <w:rFonts w:ascii="Century Gothic" w:hAnsi="Century Gothic"/>
              </w:rPr>
              <w:t xml:space="preserve">The </w:t>
            </w:r>
            <w:r w:rsidR="0378041E" w:rsidRPr="000B4F3F">
              <w:rPr>
                <w:rFonts w:ascii="Century Gothic" w:hAnsi="Century Gothic"/>
              </w:rPr>
              <w:t>HCV Waiting List (Tenant Based) was opened in February 2021 and remain</w:t>
            </w:r>
            <w:r w:rsidR="0CE28706" w:rsidRPr="000B4F3F">
              <w:rPr>
                <w:rFonts w:ascii="Century Gothic" w:hAnsi="Century Gothic"/>
              </w:rPr>
              <w:t>ed</w:t>
            </w:r>
            <w:r w:rsidR="0378041E" w:rsidRPr="000B4F3F">
              <w:rPr>
                <w:rFonts w:ascii="Century Gothic" w:hAnsi="Century Gothic"/>
              </w:rPr>
              <w:t xml:space="preserve"> open.</w:t>
            </w:r>
          </w:p>
        </w:tc>
      </w:tr>
      <w:tr w:rsidR="7C04D0E8" w:rsidRPr="000B4F3F" w14:paraId="636D64AE" w14:textId="77777777" w:rsidTr="0175C16E">
        <w:trPr>
          <w:trHeight w:val="216"/>
        </w:trPr>
        <w:tc>
          <w:tcPr>
            <w:tcW w:w="3060" w:type="dxa"/>
            <w:tcBorders>
              <w:left w:val="single" w:sz="24" w:space="0" w:color="auto"/>
              <w:bottom w:val="single" w:sz="24" w:space="0" w:color="auto"/>
              <w:right w:val="single" w:sz="24" w:space="0" w:color="auto"/>
            </w:tcBorders>
            <w:vAlign w:val="center"/>
          </w:tcPr>
          <w:p w14:paraId="7FE9D314" w14:textId="439343D3" w:rsidR="7C04D0E8" w:rsidRPr="000B4F3F" w:rsidRDefault="7E34DF4F" w:rsidP="7C04D0E8">
            <w:pPr>
              <w:pStyle w:val="ListParagraph"/>
              <w:jc w:val="center"/>
              <w:rPr>
                <w:rFonts w:ascii="Century Gothic" w:eastAsia="Times New Roman" w:hAnsi="Century Gothic"/>
              </w:rPr>
            </w:pPr>
            <w:r w:rsidRPr="000B4F3F">
              <w:rPr>
                <w:rFonts w:ascii="Century Gothic" w:eastAsia="Times New Roman" w:hAnsi="Century Gothic"/>
              </w:rPr>
              <w:t>Low-Income Public Housing</w:t>
            </w:r>
          </w:p>
        </w:tc>
        <w:tc>
          <w:tcPr>
            <w:tcW w:w="6570" w:type="dxa"/>
            <w:tcBorders>
              <w:left w:val="single" w:sz="24" w:space="0" w:color="auto"/>
              <w:bottom w:val="single" w:sz="24" w:space="0" w:color="auto"/>
              <w:right w:val="single" w:sz="24" w:space="0" w:color="auto"/>
            </w:tcBorders>
            <w:vAlign w:val="center"/>
          </w:tcPr>
          <w:p w14:paraId="5B20D4F2" w14:textId="08ED5A7C" w:rsidR="7C04D0E8" w:rsidRPr="000B4F3F" w:rsidRDefault="4A3A02CC" w:rsidP="7C04D0E8">
            <w:pPr>
              <w:pStyle w:val="ListParagraph"/>
              <w:jc w:val="center"/>
              <w:rPr>
                <w:rFonts w:ascii="Century Gothic" w:eastAsia="Times New Roman" w:hAnsi="Century Gothic"/>
              </w:rPr>
            </w:pPr>
            <w:r w:rsidRPr="000B4F3F">
              <w:rPr>
                <w:rFonts w:ascii="Century Gothic" w:eastAsia="Times New Roman" w:hAnsi="Century Gothic"/>
              </w:rPr>
              <w:t>The LIPH waitlist remains open</w:t>
            </w:r>
          </w:p>
        </w:tc>
      </w:tr>
      <w:bookmarkEnd w:id="60"/>
    </w:tbl>
    <w:p w14:paraId="6379B4B9" w14:textId="77777777" w:rsidR="00FE555A" w:rsidRDefault="00FE555A" w:rsidP="008B6710">
      <w:pPr>
        <w:rPr>
          <w:rFonts w:ascii="Times New Roman" w:hAnsi="Times New Roman"/>
          <w:szCs w:val="22"/>
        </w:rPr>
      </w:pPr>
    </w:p>
    <w:p w14:paraId="1CD3B7E9" w14:textId="77777777" w:rsidR="005E7086" w:rsidRPr="0020355D" w:rsidRDefault="005E7086" w:rsidP="008B6710">
      <w:pPr>
        <w:rPr>
          <w:rFonts w:ascii="Times New Roman" w:hAnsi="Times New Roman"/>
          <w:szCs w:val="22"/>
        </w:rPr>
      </w:pPr>
    </w:p>
    <w:p w14:paraId="26076DDC" w14:textId="4B08CA78" w:rsidR="008B6710" w:rsidRPr="000B4F3F" w:rsidRDefault="009D5E62" w:rsidP="005B1430">
      <w:pPr>
        <w:pStyle w:val="MTWHeader1"/>
        <w:rPr>
          <w:rFonts w:ascii="Century Gothic" w:hAnsi="Century Gothic"/>
          <w:sz w:val="22"/>
          <w:szCs w:val="22"/>
        </w:rPr>
      </w:pPr>
      <w:bookmarkStart w:id="63" w:name="_Toc89295034"/>
      <w:bookmarkStart w:id="64" w:name="_Toc89871143"/>
      <w:r w:rsidRPr="000B4F3F">
        <w:rPr>
          <w:rFonts w:ascii="Century Gothic" w:hAnsi="Century Gothic"/>
          <w:sz w:val="22"/>
          <w:szCs w:val="22"/>
        </w:rPr>
        <w:lastRenderedPageBreak/>
        <w:t xml:space="preserve">D. </w:t>
      </w:r>
      <w:r w:rsidR="008B6710" w:rsidRPr="000B4F3F">
        <w:rPr>
          <w:rFonts w:ascii="Century Gothic" w:hAnsi="Century Gothic"/>
          <w:sz w:val="22"/>
          <w:szCs w:val="22"/>
        </w:rPr>
        <w:t>INFORMATION ON STATUTORY OBJECTIVES AND REQUIREMENTS</w:t>
      </w:r>
      <w:bookmarkEnd w:id="63"/>
      <w:bookmarkEnd w:id="64"/>
    </w:p>
    <w:p w14:paraId="060E5110" w14:textId="653509F0" w:rsidR="008B6710" w:rsidRPr="000B4F3F" w:rsidRDefault="009D5E62" w:rsidP="005B1430">
      <w:pPr>
        <w:pStyle w:val="Subheading"/>
        <w:ind w:left="720"/>
        <w:rPr>
          <w:rFonts w:ascii="Century Gothic" w:hAnsi="Century Gothic" w:cs="Times New Roman"/>
          <w:sz w:val="22"/>
          <w:szCs w:val="22"/>
        </w:rPr>
      </w:pPr>
      <w:bookmarkStart w:id="65" w:name="_Toc89295035"/>
      <w:bookmarkStart w:id="66" w:name="_Toc89871144"/>
      <w:proofErr w:type="spellStart"/>
      <w:r w:rsidRPr="000B4F3F">
        <w:rPr>
          <w:rFonts w:ascii="Century Gothic" w:hAnsi="Century Gothic" w:cs="Times New Roman"/>
          <w:sz w:val="22"/>
          <w:szCs w:val="22"/>
        </w:rPr>
        <w:t>i</w:t>
      </w:r>
      <w:proofErr w:type="spellEnd"/>
      <w:r w:rsidRPr="000B4F3F">
        <w:rPr>
          <w:rFonts w:ascii="Century Gothic" w:hAnsi="Century Gothic" w:cs="Times New Roman"/>
          <w:sz w:val="22"/>
          <w:szCs w:val="22"/>
        </w:rPr>
        <w:t xml:space="preserve">.  </w:t>
      </w:r>
      <w:r w:rsidR="008B6710" w:rsidRPr="000B4F3F">
        <w:rPr>
          <w:rFonts w:ascii="Century Gothic" w:hAnsi="Century Gothic" w:cs="Times New Roman"/>
          <w:sz w:val="22"/>
          <w:szCs w:val="22"/>
        </w:rPr>
        <w:t>75% of Families Assisted Are Very Low Income</w:t>
      </w:r>
      <w:bookmarkEnd w:id="65"/>
      <w:bookmarkEnd w:id="66"/>
    </w:p>
    <w:p w14:paraId="6E4898DE" w14:textId="0D04CEC6" w:rsidR="008B6710" w:rsidRPr="000B4F3F" w:rsidRDefault="008B6710" w:rsidP="008B6710">
      <w:pPr>
        <w:pStyle w:val="ListParagraph"/>
        <w:tabs>
          <w:tab w:val="left" w:pos="990"/>
          <w:tab w:val="left" w:pos="3510"/>
        </w:tabs>
        <w:rPr>
          <w:rFonts w:ascii="Century Gothic" w:hAnsi="Century Gothic"/>
          <w:szCs w:val="22"/>
        </w:rPr>
      </w:pPr>
      <w:r w:rsidRPr="000B4F3F">
        <w:rPr>
          <w:rFonts w:ascii="Century Gothic" w:hAnsi="Century Gothic"/>
          <w:szCs w:val="22"/>
        </w:rPr>
        <w:t>HUD will verify compliance with the statutory requirement that at least 75% of the households assisted by the MTW PHA are very low</w:t>
      </w:r>
      <w:r w:rsidR="00161240" w:rsidRPr="000B4F3F">
        <w:rPr>
          <w:rFonts w:ascii="Century Gothic" w:hAnsi="Century Gothic"/>
          <w:szCs w:val="22"/>
        </w:rPr>
        <w:t>-</w:t>
      </w:r>
      <w:r w:rsidRPr="000B4F3F">
        <w:rPr>
          <w:rFonts w:ascii="Century Gothic" w:hAnsi="Century Gothic"/>
          <w:szCs w:val="22"/>
        </w:rPr>
        <w:t>income for MTW public housing units and MTW HCVs through HUD systems. The MTW PHA should provide data for the actual families housed upon admission during the PHA’s Plan Year reported in the “Local, Non-Traditional: Tenant-Based”; “Local, Non-Traditional: Property-Based”; and “Local, Non-Traditional: Homeownership” categories. Do not include households reported in the “Local, Non-Traditional Services Only” category.</w:t>
      </w:r>
    </w:p>
    <w:p w14:paraId="2D2622A7" w14:textId="77777777" w:rsidR="00240074" w:rsidRPr="000B4F3F" w:rsidRDefault="00240074" w:rsidP="008B6710">
      <w:pPr>
        <w:pStyle w:val="ListParagraph"/>
        <w:tabs>
          <w:tab w:val="left" w:pos="990"/>
          <w:tab w:val="left" w:pos="3510"/>
        </w:tabs>
        <w:rPr>
          <w:rFonts w:ascii="Century Gothic" w:hAnsi="Century Gothic"/>
          <w:szCs w:val="22"/>
        </w:rPr>
      </w:pPr>
    </w:p>
    <w:tbl>
      <w:tblPr>
        <w:tblStyle w:val="TableGrid"/>
        <w:tblpPr w:leftFromText="180" w:rightFromText="180" w:vertAnchor="text" w:tblpX="348" w:tblpY="1"/>
        <w:tblOverlap w:val="never"/>
        <w:tblW w:w="0" w:type="auto"/>
        <w:tblLayout w:type="fixed"/>
        <w:tblLook w:val="04A0" w:firstRow="1" w:lastRow="0" w:firstColumn="1" w:lastColumn="0" w:noHBand="0" w:noVBand="1"/>
      </w:tblPr>
      <w:tblGrid>
        <w:gridCol w:w="5460"/>
        <w:gridCol w:w="4170"/>
      </w:tblGrid>
      <w:tr w:rsidR="009E30A0" w:rsidRPr="000B4F3F" w14:paraId="7E320E59" w14:textId="77777777" w:rsidTr="2CA740EE">
        <w:trPr>
          <w:trHeight w:val="393"/>
          <w:tblHeader/>
        </w:trPr>
        <w:tc>
          <w:tcPr>
            <w:tcW w:w="546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F573402"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INCOME LEVEL</w:t>
            </w:r>
          </w:p>
        </w:tc>
        <w:tc>
          <w:tcPr>
            <w:tcW w:w="417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7F731D25" w14:textId="77777777" w:rsidR="008B6710" w:rsidRPr="000B4F3F" w:rsidRDefault="008B6710" w:rsidP="008B6710">
            <w:pPr>
              <w:pStyle w:val="ListParagraph"/>
              <w:ind w:left="0"/>
              <w:jc w:val="center"/>
              <w:rPr>
                <w:rFonts w:ascii="Century Gothic" w:hAnsi="Century Gothic"/>
                <w:b/>
              </w:rPr>
            </w:pPr>
            <w:r w:rsidRPr="000B4F3F">
              <w:rPr>
                <w:rFonts w:ascii="Century Gothic" w:hAnsi="Century Gothic"/>
                <w:b/>
              </w:rPr>
              <w:t>NUMBER OF LOCAL, NON-TRADITIONAL HOUSEHOLDS ADMITTED IN THE PLAN YEAR</w:t>
            </w:r>
          </w:p>
        </w:tc>
      </w:tr>
      <w:tr w:rsidR="009E30A0" w:rsidRPr="000B4F3F" w14:paraId="0686838E" w14:textId="77777777" w:rsidTr="2CA740EE">
        <w:trPr>
          <w:trHeight w:val="216"/>
        </w:trPr>
        <w:tc>
          <w:tcPr>
            <w:tcW w:w="5460" w:type="dxa"/>
            <w:tcBorders>
              <w:left w:val="single" w:sz="24" w:space="0" w:color="auto"/>
              <w:right w:val="single" w:sz="24" w:space="0" w:color="auto"/>
            </w:tcBorders>
            <w:vAlign w:val="center"/>
          </w:tcPr>
          <w:p w14:paraId="615D5A8D" w14:textId="77777777" w:rsidR="008B6710" w:rsidRPr="000B4F3F" w:rsidRDefault="008B6710" w:rsidP="008B6710">
            <w:pPr>
              <w:pStyle w:val="ListParagraph"/>
              <w:ind w:left="0"/>
              <w:jc w:val="center"/>
              <w:rPr>
                <w:rFonts w:ascii="Century Gothic" w:hAnsi="Century Gothic"/>
                <w:szCs w:val="22"/>
              </w:rPr>
            </w:pPr>
            <w:r w:rsidRPr="000B4F3F">
              <w:rPr>
                <w:rFonts w:ascii="Century Gothic" w:hAnsi="Century Gothic"/>
                <w:szCs w:val="22"/>
              </w:rPr>
              <w:t>80%-50% Area Median Income</w:t>
            </w:r>
          </w:p>
        </w:tc>
        <w:tc>
          <w:tcPr>
            <w:tcW w:w="4170" w:type="dxa"/>
            <w:tcBorders>
              <w:top w:val="single" w:sz="24" w:space="0" w:color="auto"/>
              <w:left w:val="single" w:sz="24" w:space="0" w:color="auto"/>
              <w:right w:val="single" w:sz="24" w:space="0" w:color="auto"/>
            </w:tcBorders>
            <w:vAlign w:val="center"/>
          </w:tcPr>
          <w:p w14:paraId="5567B48E" w14:textId="317A9BF3" w:rsidR="008B6710" w:rsidRPr="000B4F3F" w:rsidRDefault="7F49AE03" w:rsidP="0175C16E">
            <w:pPr>
              <w:pStyle w:val="ListParagraph"/>
              <w:ind w:left="0"/>
              <w:jc w:val="center"/>
              <w:rPr>
                <w:rFonts w:ascii="Century Gothic" w:hAnsi="Century Gothic"/>
              </w:rPr>
            </w:pPr>
            <w:r w:rsidRPr="000B4F3F">
              <w:rPr>
                <w:rFonts w:ascii="Century Gothic" w:hAnsi="Century Gothic"/>
              </w:rPr>
              <w:t xml:space="preserve">0 </w:t>
            </w:r>
          </w:p>
        </w:tc>
      </w:tr>
      <w:tr w:rsidR="009E30A0" w:rsidRPr="000B4F3F" w14:paraId="516E29A9" w14:textId="77777777" w:rsidTr="2CA740EE">
        <w:trPr>
          <w:trHeight w:val="216"/>
        </w:trPr>
        <w:tc>
          <w:tcPr>
            <w:tcW w:w="5460" w:type="dxa"/>
            <w:tcBorders>
              <w:left w:val="single" w:sz="24" w:space="0" w:color="auto"/>
              <w:right w:val="single" w:sz="24" w:space="0" w:color="auto"/>
            </w:tcBorders>
            <w:vAlign w:val="center"/>
          </w:tcPr>
          <w:p w14:paraId="71719B80" w14:textId="77777777" w:rsidR="008B6710" w:rsidRPr="000B4F3F" w:rsidRDefault="008B6710" w:rsidP="008B6710">
            <w:pPr>
              <w:pStyle w:val="ListParagraph"/>
              <w:ind w:left="0"/>
              <w:jc w:val="center"/>
              <w:rPr>
                <w:rFonts w:ascii="Century Gothic" w:hAnsi="Century Gothic"/>
                <w:szCs w:val="22"/>
              </w:rPr>
            </w:pPr>
            <w:r w:rsidRPr="000B4F3F">
              <w:rPr>
                <w:rFonts w:ascii="Century Gothic" w:hAnsi="Century Gothic"/>
                <w:szCs w:val="22"/>
              </w:rPr>
              <w:t>49%-30% Area Median Income</w:t>
            </w:r>
          </w:p>
        </w:tc>
        <w:tc>
          <w:tcPr>
            <w:tcW w:w="4170" w:type="dxa"/>
            <w:tcBorders>
              <w:left w:val="single" w:sz="24" w:space="0" w:color="auto"/>
              <w:right w:val="single" w:sz="24" w:space="0" w:color="auto"/>
            </w:tcBorders>
            <w:vAlign w:val="center"/>
          </w:tcPr>
          <w:p w14:paraId="2E677131" w14:textId="66BF7703" w:rsidR="008B6710" w:rsidRPr="000B4F3F" w:rsidRDefault="3927FCAE" w:rsidP="0D8BAA9B">
            <w:pPr>
              <w:pStyle w:val="ListParagraph"/>
              <w:ind w:left="0"/>
              <w:jc w:val="center"/>
              <w:rPr>
                <w:rFonts w:ascii="Century Gothic" w:hAnsi="Century Gothic"/>
              </w:rPr>
            </w:pPr>
            <w:r w:rsidRPr="000B4F3F">
              <w:rPr>
                <w:rFonts w:ascii="Century Gothic" w:hAnsi="Century Gothic"/>
              </w:rPr>
              <w:t>3</w:t>
            </w:r>
            <w:r w:rsidR="3F5F9E73" w:rsidRPr="000B4F3F">
              <w:rPr>
                <w:rFonts w:ascii="Century Gothic" w:hAnsi="Century Gothic"/>
              </w:rPr>
              <w:t xml:space="preserve"> </w:t>
            </w:r>
          </w:p>
        </w:tc>
      </w:tr>
      <w:tr w:rsidR="009E30A0" w:rsidRPr="000B4F3F" w14:paraId="43F8DC07" w14:textId="77777777" w:rsidTr="2CA740EE">
        <w:trPr>
          <w:trHeight w:val="216"/>
        </w:trPr>
        <w:tc>
          <w:tcPr>
            <w:tcW w:w="5460" w:type="dxa"/>
            <w:tcBorders>
              <w:left w:val="single" w:sz="24" w:space="0" w:color="auto"/>
              <w:bottom w:val="single" w:sz="4" w:space="0" w:color="auto"/>
              <w:right w:val="single" w:sz="24" w:space="0" w:color="auto"/>
            </w:tcBorders>
            <w:vAlign w:val="center"/>
          </w:tcPr>
          <w:p w14:paraId="0A410F77" w14:textId="77777777" w:rsidR="008B6710" w:rsidRPr="000B4F3F" w:rsidRDefault="008B6710" w:rsidP="008B6710">
            <w:pPr>
              <w:pStyle w:val="ListParagraph"/>
              <w:ind w:left="0"/>
              <w:jc w:val="center"/>
              <w:rPr>
                <w:rFonts w:ascii="Century Gothic" w:hAnsi="Century Gothic"/>
                <w:szCs w:val="22"/>
              </w:rPr>
            </w:pPr>
            <w:r w:rsidRPr="000B4F3F">
              <w:rPr>
                <w:rFonts w:ascii="Century Gothic" w:hAnsi="Century Gothic"/>
                <w:szCs w:val="22"/>
              </w:rPr>
              <w:t>Below 30% Area Median Income</w:t>
            </w:r>
          </w:p>
        </w:tc>
        <w:tc>
          <w:tcPr>
            <w:tcW w:w="4170" w:type="dxa"/>
            <w:tcBorders>
              <w:left w:val="single" w:sz="24" w:space="0" w:color="auto"/>
              <w:bottom w:val="single" w:sz="4" w:space="0" w:color="auto"/>
              <w:right w:val="single" w:sz="24" w:space="0" w:color="auto"/>
            </w:tcBorders>
            <w:vAlign w:val="center"/>
          </w:tcPr>
          <w:p w14:paraId="7CFAFE40" w14:textId="196206F6" w:rsidR="008B6710" w:rsidRPr="000B4F3F" w:rsidRDefault="46E7CC10" w:rsidP="0D8BAA9B">
            <w:pPr>
              <w:pStyle w:val="ListParagraph"/>
              <w:ind w:left="0"/>
              <w:jc w:val="center"/>
              <w:rPr>
                <w:rFonts w:ascii="Century Gothic" w:hAnsi="Century Gothic"/>
              </w:rPr>
            </w:pPr>
            <w:r w:rsidRPr="000B4F3F">
              <w:rPr>
                <w:rFonts w:ascii="Century Gothic" w:hAnsi="Century Gothic"/>
              </w:rPr>
              <w:t>1</w:t>
            </w:r>
            <w:r w:rsidR="386A64CF" w:rsidRPr="000B4F3F">
              <w:rPr>
                <w:rFonts w:ascii="Century Gothic" w:hAnsi="Century Gothic"/>
              </w:rPr>
              <w:t>2</w:t>
            </w:r>
            <w:r w:rsidR="6EFA96F9" w:rsidRPr="000B4F3F">
              <w:rPr>
                <w:rFonts w:ascii="Century Gothic" w:hAnsi="Century Gothic"/>
              </w:rPr>
              <w:t xml:space="preserve"> </w:t>
            </w:r>
          </w:p>
        </w:tc>
      </w:tr>
      <w:tr w:rsidR="009E30A0" w:rsidRPr="000B4F3F" w14:paraId="4EFE3B03" w14:textId="77777777" w:rsidTr="2CA740EE">
        <w:trPr>
          <w:trHeight w:val="216"/>
        </w:trPr>
        <w:tc>
          <w:tcPr>
            <w:tcW w:w="5460" w:type="dxa"/>
            <w:tcBorders>
              <w:left w:val="single" w:sz="24" w:space="0" w:color="auto"/>
              <w:bottom w:val="single" w:sz="24" w:space="0" w:color="auto"/>
              <w:right w:val="single" w:sz="24" w:space="0" w:color="auto"/>
            </w:tcBorders>
            <w:shd w:val="clear" w:color="auto" w:fill="BFBFBF" w:themeFill="background1" w:themeFillShade="BF"/>
            <w:vAlign w:val="center"/>
          </w:tcPr>
          <w:p w14:paraId="3D1DDF45" w14:textId="77777777" w:rsidR="006F68E7" w:rsidRPr="000B4F3F" w:rsidRDefault="006F68E7" w:rsidP="008B6710">
            <w:pPr>
              <w:pStyle w:val="ListParagraph"/>
              <w:ind w:left="0"/>
              <w:jc w:val="center"/>
              <w:rPr>
                <w:rFonts w:ascii="Century Gothic" w:hAnsi="Century Gothic"/>
                <w:b/>
                <w:szCs w:val="22"/>
              </w:rPr>
            </w:pPr>
            <w:r w:rsidRPr="000B4F3F">
              <w:rPr>
                <w:rFonts w:ascii="Century Gothic" w:hAnsi="Century Gothic"/>
                <w:b/>
                <w:szCs w:val="22"/>
              </w:rPr>
              <w:t>Total Local, Non-Traditional Households Admitted</w:t>
            </w:r>
          </w:p>
        </w:tc>
        <w:tc>
          <w:tcPr>
            <w:tcW w:w="4170" w:type="dxa"/>
            <w:tcBorders>
              <w:left w:val="single" w:sz="24" w:space="0" w:color="auto"/>
              <w:bottom w:val="single" w:sz="24" w:space="0" w:color="auto"/>
              <w:right w:val="single" w:sz="24" w:space="0" w:color="auto"/>
            </w:tcBorders>
            <w:shd w:val="clear" w:color="auto" w:fill="BFBFBF" w:themeFill="background1" w:themeFillShade="BF"/>
            <w:vAlign w:val="center"/>
          </w:tcPr>
          <w:p w14:paraId="3E0B3508" w14:textId="6A6FBD7C" w:rsidR="006F68E7" w:rsidRPr="000B4F3F" w:rsidRDefault="2F0E992A" w:rsidP="3C3EEDA0">
            <w:pPr>
              <w:pStyle w:val="ListParagraph"/>
              <w:ind w:left="0"/>
              <w:jc w:val="center"/>
              <w:rPr>
                <w:rFonts w:ascii="Century Gothic" w:hAnsi="Century Gothic"/>
                <w:b/>
                <w:bCs/>
              </w:rPr>
            </w:pPr>
            <w:r w:rsidRPr="000B4F3F">
              <w:rPr>
                <w:rFonts w:ascii="Century Gothic" w:hAnsi="Century Gothic"/>
                <w:b/>
                <w:bCs/>
              </w:rPr>
              <w:t xml:space="preserve">15 </w:t>
            </w:r>
          </w:p>
        </w:tc>
      </w:tr>
    </w:tbl>
    <w:p w14:paraId="34100934" w14:textId="09CB003D" w:rsidR="1B3F2E6D" w:rsidRPr="000B4F3F" w:rsidRDefault="1B3F2E6D">
      <w:pPr>
        <w:rPr>
          <w:rFonts w:ascii="Century Gothic" w:hAnsi="Century Gothic"/>
        </w:rPr>
      </w:pPr>
    </w:p>
    <w:p w14:paraId="75874E61" w14:textId="14329605" w:rsidR="008B6710" w:rsidRPr="000B4F3F" w:rsidRDefault="2E1D4AF6" w:rsidP="005B1430">
      <w:pPr>
        <w:pStyle w:val="Subheading"/>
        <w:rPr>
          <w:rFonts w:ascii="Century Gothic" w:hAnsi="Century Gothic" w:cs="Times New Roman"/>
          <w:sz w:val="22"/>
          <w:szCs w:val="22"/>
        </w:rPr>
      </w:pPr>
      <w:bookmarkStart w:id="67" w:name="_Toc89295036"/>
      <w:bookmarkStart w:id="68" w:name="_Toc89871145"/>
      <w:r w:rsidRPr="000B4F3F">
        <w:rPr>
          <w:rFonts w:ascii="Century Gothic" w:hAnsi="Century Gothic" w:cs="Times New Roman"/>
          <w:sz w:val="22"/>
          <w:szCs w:val="22"/>
        </w:rPr>
        <w:t xml:space="preserve">ii. </w:t>
      </w:r>
      <w:r w:rsidR="277CD95B" w:rsidRPr="000B4F3F">
        <w:rPr>
          <w:rFonts w:ascii="Century Gothic" w:hAnsi="Century Gothic" w:cs="Times New Roman"/>
          <w:sz w:val="22"/>
          <w:szCs w:val="22"/>
        </w:rPr>
        <w:t>Maintain Comparable Mix</w:t>
      </w:r>
      <w:bookmarkEnd w:id="67"/>
      <w:bookmarkEnd w:id="68"/>
    </w:p>
    <w:p w14:paraId="5EDC5C65" w14:textId="77777777" w:rsidR="00240074" w:rsidRPr="000B4F3F" w:rsidRDefault="00240074" w:rsidP="00240074">
      <w:pPr>
        <w:ind w:left="1080"/>
        <w:rPr>
          <w:rFonts w:ascii="Century Gothic" w:hAnsi="Century Gothic"/>
          <w:szCs w:val="22"/>
        </w:rPr>
      </w:pPr>
    </w:p>
    <w:p w14:paraId="62D6DC38" w14:textId="77777777" w:rsidR="008B6710" w:rsidRPr="000B4F3F" w:rsidRDefault="008B6710" w:rsidP="008B6710">
      <w:pPr>
        <w:pStyle w:val="ListParagraph"/>
        <w:tabs>
          <w:tab w:val="left" w:pos="990"/>
          <w:tab w:val="left" w:pos="3510"/>
        </w:tabs>
        <w:rPr>
          <w:rFonts w:ascii="Century Gothic" w:hAnsi="Century Gothic"/>
          <w:szCs w:val="22"/>
        </w:rPr>
      </w:pPr>
      <w:r w:rsidRPr="000B4F3F">
        <w:rPr>
          <w:rFonts w:ascii="Century Gothic" w:hAnsi="Century Gothic"/>
          <w:szCs w:val="22"/>
        </w:rPr>
        <w:t xml:space="preserve">HUD will verify compliance with the statutory requirement that MTW PHAs continue to serve a comparable mix of families by family size by first assessing a baseline mix of family sizes served by the MTW PHA prior to entry into the MTW demonstration (or the closest date with available data) and compare that to the current mix of family sizes served during the Plan Year. </w:t>
      </w:r>
    </w:p>
    <w:p w14:paraId="71B7287C" w14:textId="77777777" w:rsidR="00702F72" w:rsidRPr="000B4F3F" w:rsidRDefault="00702F72" w:rsidP="008B6710">
      <w:pPr>
        <w:pStyle w:val="ListParagraph"/>
        <w:tabs>
          <w:tab w:val="left" w:pos="990"/>
          <w:tab w:val="left" w:pos="3510"/>
        </w:tabs>
        <w:rPr>
          <w:rFonts w:ascii="Century Gothic" w:hAnsi="Century Gothic"/>
          <w:szCs w:val="22"/>
        </w:rPr>
      </w:pPr>
    </w:p>
    <w:tbl>
      <w:tblPr>
        <w:tblStyle w:val="TableGrid"/>
        <w:tblW w:w="9810" w:type="dxa"/>
        <w:tblInd w:w="150" w:type="dxa"/>
        <w:tblLayout w:type="fixed"/>
        <w:tblLook w:val="04A0" w:firstRow="1" w:lastRow="0" w:firstColumn="1" w:lastColumn="0" w:noHBand="0" w:noVBand="1"/>
      </w:tblPr>
      <w:tblGrid>
        <w:gridCol w:w="1260"/>
        <w:gridCol w:w="1710"/>
        <w:gridCol w:w="1530"/>
        <w:gridCol w:w="1890"/>
        <w:gridCol w:w="1620"/>
        <w:gridCol w:w="1800"/>
      </w:tblGrid>
      <w:tr w:rsidR="009E30A0" w:rsidRPr="000B4F3F" w14:paraId="0B416817" w14:textId="77777777" w:rsidTr="2CA740EE">
        <w:trPr>
          <w:trHeight w:val="296"/>
        </w:trPr>
        <w:tc>
          <w:tcPr>
            <w:tcW w:w="9810" w:type="dxa"/>
            <w:gridSpan w:val="6"/>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77FBA04B"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BASELINE MIX OF FAMILY SIZES SERVED (upon entry to MTW)</w:t>
            </w:r>
          </w:p>
        </w:tc>
      </w:tr>
      <w:tr w:rsidR="009E30A0" w:rsidRPr="000B4F3F" w14:paraId="4FD81FDA" w14:textId="77777777" w:rsidTr="2CA740EE">
        <w:trPr>
          <w:trHeight w:val="518"/>
        </w:trPr>
        <w:tc>
          <w:tcPr>
            <w:tcW w:w="126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7430428"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FAMILY SIZE</w:t>
            </w:r>
          </w:p>
        </w:tc>
        <w:tc>
          <w:tcPr>
            <w:tcW w:w="1710" w:type="dxa"/>
            <w:tcBorders>
              <w:top w:val="single" w:sz="24" w:space="0" w:color="auto"/>
              <w:left w:val="single" w:sz="24" w:space="0" w:color="auto"/>
              <w:right w:val="single" w:sz="24" w:space="0" w:color="auto"/>
            </w:tcBorders>
            <w:shd w:val="clear" w:color="auto" w:fill="BFBFBF" w:themeFill="background1" w:themeFillShade="BF"/>
            <w:vAlign w:val="center"/>
          </w:tcPr>
          <w:p w14:paraId="11036F84" w14:textId="77777777" w:rsidR="008B6710" w:rsidRPr="000B4F3F" w:rsidRDefault="35B42BD3" w:rsidP="0D8BAA9B">
            <w:pPr>
              <w:pStyle w:val="ListParagraph"/>
              <w:ind w:left="0"/>
              <w:jc w:val="center"/>
              <w:rPr>
                <w:rFonts w:ascii="Century Gothic" w:hAnsi="Century Gothic"/>
                <w:b/>
                <w:bCs/>
              </w:rPr>
            </w:pPr>
            <w:r w:rsidRPr="000B4F3F">
              <w:rPr>
                <w:rFonts w:ascii="Century Gothic" w:hAnsi="Century Gothic"/>
                <w:b/>
                <w:bCs/>
              </w:rPr>
              <w:t>OCCUPIED PUBLIC HOUSING UNITS</w:t>
            </w:r>
          </w:p>
        </w:tc>
        <w:tc>
          <w:tcPr>
            <w:tcW w:w="1530" w:type="dxa"/>
            <w:tcBorders>
              <w:top w:val="single" w:sz="24" w:space="0" w:color="auto"/>
              <w:left w:val="single" w:sz="24" w:space="0" w:color="auto"/>
              <w:right w:val="single" w:sz="24" w:space="0" w:color="auto"/>
            </w:tcBorders>
            <w:shd w:val="clear" w:color="auto" w:fill="BFBFBF" w:themeFill="background1" w:themeFillShade="BF"/>
            <w:vAlign w:val="center"/>
          </w:tcPr>
          <w:p w14:paraId="4BD9CD88"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 xml:space="preserve">UTILIZED </w:t>
            </w:r>
          </w:p>
          <w:p w14:paraId="7DAEA52E"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 xml:space="preserve">HCVs </w:t>
            </w:r>
          </w:p>
        </w:tc>
        <w:tc>
          <w:tcPr>
            <w:tcW w:w="1890" w:type="dxa"/>
            <w:tcBorders>
              <w:top w:val="single" w:sz="24" w:space="0" w:color="auto"/>
              <w:left w:val="single" w:sz="24" w:space="0" w:color="auto"/>
              <w:right w:val="single" w:sz="24" w:space="0" w:color="auto"/>
            </w:tcBorders>
            <w:shd w:val="clear" w:color="auto" w:fill="BFBFBF" w:themeFill="background1" w:themeFillShade="BF"/>
            <w:vAlign w:val="center"/>
          </w:tcPr>
          <w:p w14:paraId="3003E08E"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 xml:space="preserve">NON-MTW ADJUSTMENTS* </w:t>
            </w:r>
          </w:p>
        </w:tc>
        <w:tc>
          <w:tcPr>
            <w:tcW w:w="1620" w:type="dxa"/>
            <w:tcBorders>
              <w:top w:val="single" w:sz="24" w:space="0" w:color="auto"/>
              <w:left w:val="single" w:sz="24" w:space="0" w:color="auto"/>
              <w:right w:val="single" w:sz="24" w:space="0" w:color="auto"/>
            </w:tcBorders>
            <w:shd w:val="clear" w:color="auto" w:fill="BFBFBF" w:themeFill="background1" w:themeFillShade="BF"/>
            <w:vAlign w:val="center"/>
          </w:tcPr>
          <w:p w14:paraId="1FCA7165"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 xml:space="preserve">BASELINE MIX NUMBER </w:t>
            </w:r>
          </w:p>
        </w:tc>
        <w:tc>
          <w:tcPr>
            <w:tcW w:w="180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346CDFF2" w14:textId="77777777" w:rsidR="008B6710" w:rsidRPr="000B4F3F" w:rsidRDefault="008B6710" w:rsidP="008B6710">
            <w:pPr>
              <w:pStyle w:val="ListParagraph"/>
              <w:ind w:left="0"/>
              <w:jc w:val="center"/>
              <w:rPr>
                <w:rFonts w:ascii="Century Gothic" w:hAnsi="Century Gothic"/>
                <w:b/>
                <w:szCs w:val="22"/>
              </w:rPr>
            </w:pPr>
            <w:r w:rsidRPr="000B4F3F">
              <w:rPr>
                <w:rFonts w:ascii="Century Gothic" w:hAnsi="Century Gothic"/>
                <w:b/>
                <w:szCs w:val="22"/>
              </w:rPr>
              <w:t>BASELINE MIX PERCENTAGE</w:t>
            </w:r>
          </w:p>
        </w:tc>
      </w:tr>
      <w:tr w:rsidR="009E30A0" w:rsidRPr="000B4F3F" w14:paraId="5D8A5129" w14:textId="77777777" w:rsidTr="2CA740EE">
        <w:trPr>
          <w:trHeight w:val="216"/>
        </w:trPr>
        <w:tc>
          <w:tcPr>
            <w:tcW w:w="1260" w:type="dxa"/>
            <w:tcBorders>
              <w:top w:val="single" w:sz="24" w:space="0" w:color="auto"/>
              <w:left w:val="single" w:sz="24" w:space="0" w:color="auto"/>
              <w:bottom w:val="single" w:sz="4" w:space="0" w:color="auto"/>
              <w:right w:val="single" w:sz="24" w:space="0" w:color="auto"/>
            </w:tcBorders>
            <w:vAlign w:val="center"/>
          </w:tcPr>
          <w:p w14:paraId="314ADF57" w14:textId="77777777" w:rsidR="008B6710" w:rsidRPr="000B4F3F" w:rsidRDefault="008B6710" w:rsidP="008B6710">
            <w:pPr>
              <w:pStyle w:val="ListParagraph"/>
              <w:ind w:left="0"/>
              <w:jc w:val="center"/>
              <w:rPr>
                <w:rFonts w:ascii="Century Gothic" w:hAnsi="Century Gothic"/>
                <w:szCs w:val="22"/>
              </w:rPr>
            </w:pPr>
            <w:r w:rsidRPr="000B4F3F">
              <w:rPr>
                <w:rFonts w:ascii="Century Gothic" w:hAnsi="Century Gothic"/>
                <w:szCs w:val="22"/>
              </w:rPr>
              <w:t>1 Person</w:t>
            </w:r>
          </w:p>
        </w:tc>
        <w:tc>
          <w:tcPr>
            <w:tcW w:w="1710" w:type="dxa"/>
            <w:tcBorders>
              <w:top w:val="single" w:sz="24" w:space="0" w:color="auto"/>
              <w:left w:val="single" w:sz="24" w:space="0" w:color="auto"/>
              <w:bottom w:val="single" w:sz="4" w:space="0" w:color="auto"/>
              <w:right w:val="single" w:sz="24" w:space="0" w:color="auto"/>
            </w:tcBorders>
            <w:vAlign w:val="center"/>
          </w:tcPr>
          <w:p w14:paraId="2066CAB9" w14:textId="77777777" w:rsidR="008B6710" w:rsidRPr="000B4F3F" w:rsidRDefault="00565A98" w:rsidP="008B6710">
            <w:pPr>
              <w:pStyle w:val="ListParagraph"/>
              <w:ind w:left="0"/>
              <w:jc w:val="center"/>
              <w:rPr>
                <w:rFonts w:ascii="Century Gothic" w:hAnsi="Century Gothic"/>
                <w:szCs w:val="22"/>
              </w:rPr>
            </w:pPr>
            <w:r w:rsidRPr="000B4F3F">
              <w:rPr>
                <w:rFonts w:ascii="Century Gothic" w:hAnsi="Century Gothic"/>
                <w:szCs w:val="22"/>
              </w:rPr>
              <w:t>852</w:t>
            </w:r>
          </w:p>
        </w:tc>
        <w:tc>
          <w:tcPr>
            <w:tcW w:w="1530" w:type="dxa"/>
            <w:tcBorders>
              <w:top w:val="single" w:sz="24" w:space="0" w:color="auto"/>
              <w:left w:val="single" w:sz="24" w:space="0" w:color="auto"/>
              <w:bottom w:val="single" w:sz="4" w:space="0" w:color="auto"/>
              <w:right w:val="single" w:sz="24" w:space="0" w:color="auto"/>
            </w:tcBorders>
            <w:vAlign w:val="center"/>
          </w:tcPr>
          <w:p w14:paraId="227BE4F0" w14:textId="7CE06B98" w:rsidR="008B6710" w:rsidRPr="000B4F3F" w:rsidRDefault="48660717" w:rsidP="0D8BAA9B">
            <w:pPr>
              <w:pStyle w:val="ListParagraph"/>
              <w:ind w:left="0"/>
              <w:jc w:val="center"/>
              <w:rPr>
                <w:rFonts w:ascii="Century Gothic" w:hAnsi="Century Gothic"/>
              </w:rPr>
            </w:pPr>
            <w:r w:rsidRPr="000B4F3F">
              <w:rPr>
                <w:rFonts w:ascii="Century Gothic" w:hAnsi="Century Gothic"/>
              </w:rPr>
              <w:t>693</w:t>
            </w:r>
          </w:p>
        </w:tc>
        <w:tc>
          <w:tcPr>
            <w:tcW w:w="1890" w:type="dxa"/>
            <w:tcBorders>
              <w:top w:val="single" w:sz="24" w:space="0" w:color="auto"/>
              <w:left w:val="single" w:sz="24" w:space="0" w:color="auto"/>
              <w:bottom w:val="single" w:sz="4" w:space="0" w:color="auto"/>
              <w:right w:val="single" w:sz="24" w:space="0" w:color="auto"/>
            </w:tcBorders>
            <w:vAlign w:val="center"/>
          </w:tcPr>
          <w:p w14:paraId="060A9AD7" w14:textId="77777777" w:rsidR="008B6710" w:rsidRPr="000B4F3F" w:rsidRDefault="00565A98" w:rsidP="008B6710">
            <w:pPr>
              <w:pStyle w:val="ListParagraph"/>
              <w:ind w:left="0"/>
              <w:jc w:val="center"/>
              <w:rPr>
                <w:rFonts w:ascii="Century Gothic" w:hAnsi="Century Gothic"/>
                <w:szCs w:val="22"/>
              </w:rPr>
            </w:pPr>
            <w:r w:rsidRPr="000B4F3F">
              <w:rPr>
                <w:rFonts w:ascii="Century Gothic" w:hAnsi="Century Gothic"/>
                <w:szCs w:val="22"/>
              </w:rPr>
              <w:t>0</w:t>
            </w:r>
          </w:p>
        </w:tc>
        <w:tc>
          <w:tcPr>
            <w:tcW w:w="1620" w:type="dxa"/>
            <w:tcBorders>
              <w:top w:val="single" w:sz="24" w:space="0" w:color="auto"/>
              <w:left w:val="single" w:sz="24" w:space="0" w:color="auto"/>
              <w:bottom w:val="single" w:sz="4" w:space="0" w:color="auto"/>
              <w:right w:val="single" w:sz="24" w:space="0" w:color="auto"/>
            </w:tcBorders>
            <w:vAlign w:val="center"/>
          </w:tcPr>
          <w:p w14:paraId="5FE2E0CD" w14:textId="77777777" w:rsidR="008B6710" w:rsidRPr="000B4F3F" w:rsidRDefault="00565A98" w:rsidP="008B6710">
            <w:pPr>
              <w:pStyle w:val="ListParagraph"/>
              <w:ind w:left="0"/>
              <w:jc w:val="center"/>
              <w:rPr>
                <w:rFonts w:ascii="Century Gothic" w:hAnsi="Century Gothic"/>
                <w:szCs w:val="22"/>
              </w:rPr>
            </w:pPr>
            <w:r w:rsidRPr="000B4F3F">
              <w:rPr>
                <w:rFonts w:ascii="Century Gothic" w:hAnsi="Century Gothic"/>
                <w:szCs w:val="22"/>
              </w:rPr>
              <w:t>1545</w:t>
            </w:r>
          </w:p>
        </w:tc>
        <w:tc>
          <w:tcPr>
            <w:tcW w:w="1800" w:type="dxa"/>
            <w:tcBorders>
              <w:top w:val="single" w:sz="24" w:space="0" w:color="auto"/>
              <w:left w:val="single" w:sz="24" w:space="0" w:color="auto"/>
              <w:bottom w:val="single" w:sz="4" w:space="0" w:color="auto"/>
              <w:right w:val="single" w:sz="24" w:space="0" w:color="auto"/>
            </w:tcBorders>
            <w:vAlign w:val="center"/>
          </w:tcPr>
          <w:p w14:paraId="1DD7093E" w14:textId="77777777" w:rsidR="008B6710" w:rsidRPr="000B4F3F" w:rsidRDefault="00565A98" w:rsidP="008B6710">
            <w:pPr>
              <w:pStyle w:val="ListParagraph"/>
              <w:ind w:left="0"/>
              <w:jc w:val="center"/>
              <w:rPr>
                <w:rFonts w:ascii="Century Gothic" w:hAnsi="Century Gothic"/>
                <w:szCs w:val="22"/>
              </w:rPr>
            </w:pPr>
            <w:r w:rsidRPr="000B4F3F">
              <w:rPr>
                <w:rFonts w:ascii="Century Gothic" w:hAnsi="Century Gothic"/>
                <w:szCs w:val="22"/>
              </w:rPr>
              <w:t>32</w:t>
            </w:r>
            <w:r w:rsidR="008B6710" w:rsidRPr="000B4F3F">
              <w:rPr>
                <w:rFonts w:ascii="Century Gothic" w:hAnsi="Century Gothic"/>
                <w:szCs w:val="22"/>
              </w:rPr>
              <w:t>%</w:t>
            </w:r>
          </w:p>
        </w:tc>
      </w:tr>
      <w:tr w:rsidR="009E30A0" w:rsidRPr="000B4F3F" w14:paraId="1B875706" w14:textId="77777777" w:rsidTr="2CA740EE">
        <w:trPr>
          <w:trHeight w:val="216"/>
        </w:trPr>
        <w:tc>
          <w:tcPr>
            <w:tcW w:w="1260" w:type="dxa"/>
            <w:tcBorders>
              <w:left w:val="single" w:sz="24" w:space="0" w:color="auto"/>
              <w:bottom w:val="single" w:sz="8" w:space="0" w:color="auto"/>
              <w:right w:val="single" w:sz="24" w:space="0" w:color="auto"/>
            </w:tcBorders>
            <w:vAlign w:val="center"/>
          </w:tcPr>
          <w:p w14:paraId="1E58703B" w14:textId="77777777" w:rsidR="008B6710" w:rsidRPr="00AB230A" w:rsidRDefault="008B6710" w:rsidP="008B6710">
            <w:pPr>
              <w:pStyle w:val="ListParagraph"/>
              <w:ind w:left="0"/>
              <w:jc w:val="center"/>
              <w:rPr>
                <w:rFonts w:ascii="Century Gothic" w:hAnsi="Century Gothic"/>
                <w:szCs w:val="22"/>
              </w:rPr>
            </w:pPr>
            <w:r w:rsidRPr="00AB230A">
              <w:rPr>
                <w:rFonts w:ascii="Century Gothic" w:hAnsi="Century Gothic"/>
                <w:szCs w:val="22"/>
              </w:rPr>
              <w:t>2 Person</w:t>
            </w:r>
          </w:p>
        </w:tc>
        <w:tc>
          <w:tcPr>
            <w:tcW w:w="1710" w:type="dxa"/>
            <w:tcBorders>
              <w:left w:val="single" w:sz="24" w:space="0" w:color="auto"/>
              <w:bottom w:val="single" w:sz="8" w:space="0" w:color="auto"/>
              <w:right w:val="single" w:sz="24" w:space="0" w:color="auto"/>
            </w:tcBorders>
            <w:vAlign w:val="center"/>
          </w:tcPr>
          <w:p w14:paraId="41D65536" w14:textId="77777777" w:rsidR="008B6710" w:rsidRPr="00AB230A" w:rsidRDefault="00565A98" w:rsidP="008B6710">
            <w:pPr>
              <w:pStyle w:val="ListParagraph"/>
              <w:ind w:left="0"/>
              <w:jc w:val="center"/>
              <w:rPr>
                <w:rFonts w:ascii="Century Gothic" w:hAnsi="Century Gothic"/>
                <w:szCs w:val="22"/>
              </w:rPr>
            </w:pPr>
            <w:r w:rsidRPr="00AB230A">
              <w:rPr>
                <w:rFonts w:ascii="Century Gothic" w:hAnsi="Century Gothic"/>
                <w:szCs w:val="22"/>
              </w:rPr>
              <w:t>435</w:t>
            </w:r>
          </w:p>
        </w:tc>
        <w:tc>
          <w:tcPr>
            <w:tcW w:w="1530" w:type="dxa"/>
            <w:tcBorders>
              <w:left w:val="single" w:sz="24" w:space="0" w:color="auto"/>
              <w:bottom w:val="single" w:sz="8" w:space="0" w:color="auto"/>
              <w:right w:val="single" w:sz="24" w:space="0" w:color="auto"/>
            </w:tcBorders>
            <w:vAlign w:val="center"/>
          </w:tcPr>
          <w:p w14:paraId="568FC0EC" w14:textId="39BE51D0" w:rsidR="008B6710" w:rsidRPr="00AB230A" w:rsidRDefault="78FA094F" w:rsidP="1B3F2E6D">
            <w:pPr>
              <w:pStyle w:val="ListParagraph"/>
              <w:ind w:left="0"/>
              <w:jc w:val="center"/>
              <w:rPr>
                <w:rFonts w:ascii="Century Gothic" w:hAnsi="Century Gothic"/>
              </w:rPr>
            </w:pPr>
            <w:r w:rsidRPr="00AB230A">
              <w:rPr>
                <w:rFonts w:ascii="Century Gothic" w:hAnsi="Century Gothic"/>
              </w:rPr>
              <w:t>726</w:t>
            </w:r>
          </w:p>
        </w:tc>
        <w:tc>
          <w:tcPr>
            <w:tcW w:w="1890" w:type="dxa"/>
            <w:tcBorders>
              <w:left w:val="single" w:sz="24" w:space="0" w:color="auto"/>
              <w:bottom w:val="single" w:sz="8" w:space="0" w:color="auto"/>
              <w:right w:val="single" w:sz="24" w:space="0" w:color="auto"/>
            </w:tcBorders>
            <w:vAlign w:val="center"/>
          </w:tcPr>
          <w:p w14:paraId="63E90270" w14:textId="77777777" w:rsidR="008B6710" w:rsidRPr="00AB230A" w:rsidRDefault="00565A98" w:rsidP="008B6710">
            <w:pPr>
              <w:pStyle w:val="ListParagraph"/>
              <w:ind w:left="0"/>
              <w:jc w:val="center"/>
              <w:rPr>
                <w:rFonts w:ascii="Century Gothic" w:hAnsi="Century Gothic"/>
                <w:szCs w:val="22"/>
              </w:rPr>
            </w:pPr>
            <w:r w:rsidRPr="00AB230A">
              <w:rPr>
                <w:rFonts w:ascii="Century Gothic" w:hAnsi="Century Gothic"/>
                <w:szCs w:val="22"/>
              </w:rPr>
              <w:t>0</w:t>
            </w:r>
          </w:p>
        </w:tc>
        <w:tc>
          <w:tcPr>
            <w:tcW w:w="1620" w:type="dxa"/>
            <w:tcBorders>
              <w:left w:val="single" w:sz="24" w:space="0" w:color="auto"/>
              <w:bottom w:val="single" w:sz="8" w:space="0" w:color="auto"/>
              <w:right w:val="single" w:sz="24" w:space="0" w:color="auto"/>
            </w:tcBorders>
            <w:vAlign w:val="center"/>
          </w:tcPr>
          <w:p w14:paraId="7D0F6152" w14:textId="77777777" w:rsidR="008B6710" w:rsidRPr="00AB230A" w:rsidRDefault="00565A98" w:rsidP="008B6710">
            <w:pPr>
              <w:pStyle w:val="ListParagraph"/>
              <w:ind w:left="0"/>
              <w:jc w:val="center"/>
              <w:rPr>
                <w:rFonts w:ascii="Century Gothic" w:hAnsi="Century Gothic"/>
                <w:szCs w:val="22"/>
              </w:rPr>
            </w:pPr>
            <w:r w:rsidRPr="00AB230A">
              <w:rPr>
                <w:rFonts w:ascii="Century Gothic" w:hAnsi="Century Gothic"/>
                <w:szCs w:val="22"/>
              </w:rPr>
              <w:t>1161</w:t>
            </w:r>
          </w:p>
        </w:tc>
        <w:tc>
          <w:tcPr>
            <w:tcW w:w="1800" w:type="dxa"/>
            <w:tcBorders>
              <w:left w:val="single" w:sz="24" w:space="0" w:color="auto"/>
              <w:bottom w:val="single" w:sz="8" w:space="0" w:color="auto"/>
              <w:right w:val="single" w:sz="24" w:space="0" w:color="auto"/>
            </w:tcBorders>
            <w:vAlign w:val="center"/>
          </w:tcPr>
          <w:p w14:paraId="52157070" w14:textId="77777777" w:rsidR="008B6710" w:rsidRPr="00AB230A" w:rsidRDefault="00565A98" w:rsidP="008B6710">
            <w:pPr>
              <w:pStyle w:val="ListParagraph"/>
              <w:ind w:left="0"/>
              <w:jc w:val="center"/>
              <w:rPr>
                <w:rFonts w:ascii="Century Gothic" w:hAnsi="Century Gothic"/>
                <w:szCs w:val="22"/>
              </w:rPr>
            </w:pPr>
            <w:r w:rsidRPr="00AB230A">
              <w:rPr>
                <w:rFonts w:ascii="Century Gothic" w:hAnsi="Century Gothic"/>
                <w:szCs w:val="22"/>
              </w:rPr>
              <w:t>24</w:t>
            </w:r>
            <w:r w:rsidR="008B6710" w:rsidRPr="00AB230A">
              <w:rPr>
                <w:rFonts w:ascii="Century Gothic" w:hAnsi="Century Gothic"/>
                <w:szCs w:val="22"/>
              </w:rPr>
              <w:t>%</w:t>
            </w:r>
          </w:p>
        </w:tc>
      </w:tr>
      <w:tr w:rsidR="009E30A0" w:rsidRPr="000B4F3F" w14:paraId="58AE22DD" w14:textId="77777777" w:rsidTr="2CA740EE">
        <w:trPr>
          <w:trHeight w:val="216"/>
        </w:trPr>
        <w:tc>
          <w:tcPr>
            <w:tcW w:w="1260" w:type="dxa"/>
            <w:tcBorders>
              <w:left w:val="single" w:sz="24" w:space="0" w:color="auto"/>
              <w:bottom w:val="single" w:sz="8" w:space="0" w:color="auto"/>
              <w:right w:val="single" w:sz="24" w:space="0" w:color="auto"/>
            </w:tcBorders>
            <w:vAlign w:val="center"/>
          </w:tcPr>
          <w:p w14:paraId="32224EF5" w14:textId="77777777" w:rsidR="008B6710" w:rsidRPr="00AB230A" w:rsidRDefault="008B6710" w:rsidP="008B6710">
            <w:pPr>
              <w:pStyle w:val="ListParagraph"/>
              <w:ind w:left="0"/>
              <w:jc w:val="center"/>
              <w:rPr>
                <w:rFonts w:ascii="Century Gothic" w:hAnsi="Century Gothic"/>
                <w:szCs w:val="22"/>
              </w:rPr>
            </w:pPr>
            <w:r w:rsidRPr="00AB230A">
              <w:rPr>
                <w:rFonts w:ascii="Century Gothic" w:hAnsi="Century Gothic"/>
                <w:szCs w:val="22"/>
              </w:rPr>
              <w:t>3 Person</w:t>
            </w:r>
          </w:p>
        </w:tc>
        <w:tc>
          <w:tcPr>
            <w:tcW w:w="1710" w:type="dxa"/>
            <w:tcBorders>
              <w:left w:val="single" w:sz="24" w:space="0" w:color="auto"/>
              <w:bottom w:val="single" w:sz="8" w:space="0" w:color="auto"/>
              <w:right w:val="single" w:sz="24" w:space="0" w:color="auto"/>
            </w:tcBorders>
            <w:vAlign w:val="center"/>
          </w:tcPr>
          <w:p w14:paraId="693BD54F" w14:textId="77777777" w:rsidR="008B6710" w:rsidRPr="00AB230A" w:rsidRDefault="00565A98" w:rsidP="008B6710">
            <w:pPr>
              <w:pStyle w:val="ListParagraph"/>
              <w:ind w:left="0"/>
              <w:jc w:val="center"/>
              <w:rPr>
                <w:rFonts w:ascii="Century Gothic" w:hAnsi="Century Gothic"/>
                <w:szCs w:val="22"/>
              </w:rPr>
            </w:pPr>
            <w:r w:rsidRPr="00AB230A">
              <w:rPr>
                <w:rFonts w:ascii="Century Gothic" w:hAnsi="Century Gothic"/>
                <w:szCs w:val="22"/>
              </w:rPr>
              <w:t>327</w:t>
            </w:r>
          </w:p>
        </w:tc>
        <w:tc>
          <w:tcPr>
            <w:tcW w:w="1530" w:type="dxa"/>
            <w:tcBorders>
              <w:left w:val="single" w:sz="24" w:space="0" w:color="auto"/>
              <w:bottom w:val="single" w:sz="8" w:space="0" w:color="auto"/>
              <w:right w:val="single" w:sz="24" w:space="0" w:color="auto"/>
            </w:tcBorders>
            <w:vAlign w:val="center"/>
          </w:tcPr>
          <w:p w14:paraId="37731C67" w14:textId="6609F95C" w:rsidR="008B6710" w:rsidRPr="00AB230A" w:rsidRDefault="78FA094F" w:rsidP="1B3F2E6D">
            <w:pPr>
              <w:pStyle w:val="ListParagraph"/>
              <w:ind w:left="0"/>
              <w:jc w:val="center"/>
              <w:rPr>
                <w:rFonts w:ascii="Century Gothic" w:hAnsi="Century Gothic"/>
              </w:rPr>
            </w:pPr>
            <w:r w:rsidRPr="00AB230A">
              <w:rPr>
                <w:rFonts w:ascii="Century Gothic" w:hAnsi="Century Gothic"/>
              </w:rPr>
              <w:t>637</w:t>
            </w:r>
          </w:p>
        </w:tc>
        <w:tc>
          <w:tcPr>
            <w:tcW w:w="1890" w:type="dxa"/>
            <w:tcBorders>
              <w:left w:val="single" w:sz="24" w:space="0" w:color="auto"/>
              <w:bottom w:val="single" w:sz="8" w:space="0" w:color="auto"/>
              <w:right w:val="single" w:sz="24" w:space="0" w:color="auto"/>
            </w:tcBorders>
            <w:vAlign w:val="center"/>
          </w:tcPr>
          <w:p w14:paraId="56157A0D" w14:textId="77777777" w:rsidR="008B6710" w:rsidRPr="00AB230A" w:rsidRDefault="00565A98" w:rsidP="008B6710">
            <w:pPr>
              <w:pStyle w:val="ListParagraph"/>
              <w:ind w:left="0"/>
              <w:jc w:val="center"/>
              <w:rPr>
                <w:rFonts w:ascii="Century Gothic" w:hAnsi="Century Gothic"/>
                <w:szCs w:val="22"/>
              </w:rPr>
            </w:pPr>
            <w:r w:rsidRPr="00AB230A">
              <w:rPr>
                <w:rFonts w:ascii="Century Gothic" w:hAnsi="Century Gothic"/>
                <w:szCs w:val="22"/>
              </w:rPr>
              <w:t>0</w:t>
            </w:r>
          </w:p>
        </w:tc>
        <w:tc>
          <w:tcPr>
            <w:tcW w:w="1620" w:type="dxa"/>
            <w:tcBorders>
              <w:left w:val="single" w:sz="24" w:space="0" w:color="auto"/>
              <w:bottom w:val="single" w:sz="8" w:space="0" w:color="auto"/>
              <w:right w:val="single" w:sz="24" w:space="0" w:color="auto"/>
            </w:tcBorders>
            <w:vAlign w:val="center"/>
          </w:tcPr>
          <w:p w14:paraId="10F82E60" w14:textId="77777777" w:rsidR="008B6710" w:rsidRPr="00AB230A" w:rsidRDefault="00565A98" w:rsidP="008B6710">
            <w:pPr>
              <w:pStyle w:val="ListParagraph"/>
              <w:ind w:left="0"/>
              <w:jc w:val="center"/>
              <w:rPr>
                <w:rFonts w:ascii="Century Gothic" w:hAnsi="Century Gothic"/>
                <w:szCs w:val="22"/>
              </w:rPr>
            </w:pPr>
            <w:r w:rsidRPr="00AB230A">
              <w:rPr>
                <w:rFonts w:ascii="Century Gothic" w:hAnsi="Century Gothic"/>
                <w:szCs w:val="22"/>
              </w:rPr>
              <w:t>964</w:t>
            </w:r>
          </w:p>
        </w:tc>
        <w:tc>
          <w:tcPr>
            <w:tcW w:w="1800" w:type="dxa"/>
            <w:tcBorders>
              <w:left w:val="single" w:sz="24" w:space="0" w:color="auto"/>
              <w:bottom w:val="single" w:sz="8" w:space="0" w:color="auto"/>
              <w:right w:val="single" w:sz="24" w:space="0" w:color="auto"/>
            </w:tcBorders>
            <w:vAlign w:val="center"/>
          </w:tcPr>
          <w:p w14:paraId="1C17D0B3" w14:textId="77777777" w:rsidR="008B6710" w:rsidRPr="00AB230A" w:rsidRDefault="00565A98" w:rsidP="008B6710">
            <w:pPr>
              <w:pStyle w:val="ListParagraph"/>
              <w:ind w:left="0"/>
              <w:jc w:val="center"/>
              <w:rPr>
                <w:rFonts w:ascii="Century Gothic" w:hAnsi="Century Gothic"/>
                <w:szCs w:val="22"/>
              </w:rPr>
            </w:pPr>
            <w:r w:rsidRPr="00AB230A">
              <w:rPr>
                <w:rFonts w:ascii="Century Gothic" w:hAnsi="Century Gothic"/>
                <w:szCs w:val="22"/>
              </w:rPr>
              <w:t>20</w:t>
            </w:r>
            <w:r w:rsidR="008B6710" w:rsidRPr="00AB230A">
              <w:rPr>
                <w:rFonts w:ascii="Century Gothic" w:hAnsi="Century Gothic"/>
                <w:szCs w:val="22"/>
              </w:rPr>
              <w:t>%</w:t>
            </w:r>
          </w:p>
        </w:tc>
      </w:tr>
      <w:tr w:rsidR="009E30A0" w:rsidRPr="000B4F3F" w14:paraId="23C7292C" w14:textId="77777777" w:rsidTr="2CA740EE">
        <w:trPr>
          <w:trHeight w:val="216"/>
        </w:trPr>
        <w:tc>
          <w:tcPr>
            <w:tcW w:w="1260" w:type="dxa"/>
            <w:tcBorders>
              <w:left w:val="single" w:sz="24" w:space="0" w:color="auto"/>
              <w:bottom w:val="single" w:sz="8" w:space="0" w:color="auto"/>
              <w:right w:val="single" w:sz="24" w:space="0" w:color="auto"/>
            </w:tcBorders>
            <w:vAlign w:val="center"/>
          </w:tcPr>
          <w:p w14:paraId="2B7C6F33" w14:textId="77777777" w:rsidR="008B6710" w:rsidRPr="00CA2C48" w:rsidRDefault="008B6710" w:rsidP="008B6710">
            <w:pPr>
              <w:pStyle w:val="ListParagraph"/>
              <w:ind w:left="0"/>
              <w:jc w:val="center"/>
              <w:rPr>
                <w:rFonts w:ascii="Century Gothic" w:hAnsi="Century Gothic"/>
                <w:szCs w:val="22"/>
              </w:rPr>
            </w:pPr>
            <w:r w:rsidRPr="00CA2C48">
              <w:rPr>
                <w:rFonts w:ascii="Century Gothic" w:hAnsi="Century Gothic"/>
                <w:szCs w:val="22"/>
              </w:rPr>
              <w:t>4 Person</w:t>
            </w:r>
          </w:p>
        </w:tc>
        <w:tc>
          <w:tcPr>
            <w:tcW w:w="1710" w:type="dxa"/>
            <w:tcBorders>
              <w:left w:val="single" w:sz="24" w:space="0" w:color="auto"/>
              <w:bottom w:val="single" w:sz="8" w:space="0" w:color="auto"/>
              <w:right w:val="single" w:sz="24" w:space="0" w:color="auto"/>
            </w:tcBorders>
            <w:vAlign w:val="center"/>
          </w:tcPr>
          <w:p w14:paraId="5FC2B51E"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180</w:t>
            </w:r>
          </w:p>
        </w:tc>
        <w:tc>
          <w:tcPr>
            <w:tcW w:w="1530" w:type="dxa"/>
            <w:tcBorders>
              <w:left w:val="single" w:sz="24" w:space="0" w:color="auto"/>
              <w:bottom w:val="single" w:sz="8" w:space="0" w:color="auto"/>
              <w:right w:val="single" w:sz="24" w:space="0" w:color="auto"/>
            </w:tcBorders>
            <w:vAlign w:val="center"/>
          </w:tcPr>
          <w:p w14:paraId="4BAB2593" w14:textId="29DBC0F6" w:rsidR="008B6710" w:rsidRPr="00CA2C48" w:rsidRDefault="78FA094F" w:rsidP="1B3F2E6D">
            <w:pPr>
              <w:pStyle w:val="ListParagraph"/>
              <w:ind w:left="0"/>
              <w:jc w:val="center"/>
              <w:rPr>
                <w:rFonts w:ascii="Century Gothic" w:hAnsi="Century Gothic"/>
              </w:rPr>
            </w:pPr>
            <w:r w:rsidRPr="00CA2C48">
              <w:rPr>
                <w:rFonts w:ascii="Century Gothic" w:hAnsi="Century Gothic"/>
              </w:rPr>
              <w:t>445</w:t>
            </w:r>
          </w:p>
        </w:tc>
        <w:tc>
          <w:tcPr>
            <w:tcW w:w="1890" w:type="dxa"/>
            <w:tcBorders>
              <w:left w:val="single" w:sz="24" w:space="0" w:color="auto"/>
              <w:bottom w:val="single" w:sz="8" w:space="0" w:color="auto"/>
              <w:right w:val="single" w:sz="24" w:space="0" w:color="auto"/>
            </w:tcBorders>
            <w:vAlign w:val="center"/>
          </w:tcPr>
          <w:p w14:paraId="7FCD64E5"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0</w:t>
            </w:r>
          </w:p>
        </w:tc>
        <w:tc>
          <w:tcPr>
            <w:tcW w:w="1620" w:type="dxa"/>
            <w:tcBorders>
              <w:left w:val="single" w:sz="24" w:space="0" w:color="auto"/>
              <w:bottom w:val="single" w:sz="8" w:space="0" w:color="auto"/>
              <w:right w:val="single" w:sz="24" w:space="0" w:color="auto"/>
            </w:tcBorders>
            <w:vAlign w:val="center"/>
          </w:tcPr>
          <w:p w14:paraId="05A4A5FF"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625</w:t>
            </w:r>
          </w:p>
        </w:tc>
        <w:tc>
          <w:tcPr>
            <w:tcW w:w="1800" w:type="dxa"/>
            <w:tcBorders>
              <w:left w:val="single" w:sz="24" w:space="0" w:color="auto"/>
              <w:bottom w:val="single" w:sz="8" w:space="0" w:color="auto"/>
              <w:right w:val="single" w:sz="24" w:space="0" w:color="auto"/>
            </w:tcBorders>
            <w:vAlign w:val="center"/>
          </w:tcPr>
          <w:p w14:paraId="1880E468"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13</w:t>
            </w:r>
            <w:r w:rsidR="008B6710" w:rsidRPr="00CA2C48">
              <w:rPr>
                <w:rFonts w:ascii="Century Gothic" w:hAnsi="Century Gothic"/>
                <w:szCs w:val="22"/>
              </w:rPr>
              <w:t>%</w:t>
            </w:r>
          </w:p>
        </w:tc>
      </w:tr>
      <w:tr w:rsidR="009E30A0" w:rsidRPr="000B4F3F" w14:paraId="0D095899" w14:textId="77777777" w:rsidTr="2CA740EE">
        <w:trPr>
          <w:trHeight w:val="216"/>
        </w:trPr>
        <w:tc>
          <w:tcPr>
            <w:tcW w:w="1260" w:type="dxa"/>
            <w:tcBorders>
              <w:left w:val="single" w:sz="24" w:space="0" w:color="auto"/>
              <w:bottom w:val="single" w:sz="8" w:space="0" w:color="auto"/>
              <w:right w:val="single" w:sz="24" w:space="0" w:color="auto"/>
            </w:tcBorders>
            <w:vAlign w:val="center"/>
          </w:tcPr>
          <w:p w14:paraId="2A834A16" w14:textId="77777777" w:rsidR="008B6710" w:rsidRPr="00CA2C48" w:rsidRDefault="008B6710" w:rsidP="008B6710">
            <w:pPr>
              <w:pStyle w:val="ListParagraph"/>
              <w:ind w:left="0"/>
              <w:jc w:val="center"/>
              <w:rPr>
                <w:rFonts w:ascii="Century Gothic" w:hAnsi="Century Gothic"/>
                <w:szCs w:val="22"/>
              </w:rPr>
            </w:pPr>
            <w:r w:rsidRPr="00CA2C48">
              <w:rPr>
                <w:rFonts w:ascii="Century Gothic" w:hAnsi="Century Gothic"/>
                <w:szCs w:val="22"/>
              </w:rPr>
              <w:t>5 Person</w:t>
            </w:r>
          </w:p>
        </w:tc>
        <w:tc>
          <w:tcPr>
            <w:tcW w:w="1710" w:type="dxa"/>
            <w:tcBorders>
              <w:left w:val="single" w:sz="24" w:space="0" w:color="auto"/>
              <w:bottom w:val="single" w:sz="8" w:space="0" w:color="auto"/>
              <w:right w:val="single" w:sz="24" w:space="0" w:color="auto"/>
            </w:tcBorders>
            <w:vAlign w:val="center"/>
          </w:tcPr>
          <w:p w14:paraId="09BE0450"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89</w:t>
            </w:r>
          </w:p>
        </w:tc>
        <w:tc>
          <w:tcPr>
            <w:tcW w:w="1530" w:type="dxa"/>
            <w:tcBorders>
              <w:left w:val="single" w:sz="24" w:space="0" w:color="auto"/>
              <w:bottom w:val="single" w:sz="8" w:space="0" w:color="auto"/>
              <w:right w:val="single" w:sz="24" w:space="0" w:color="auto"/>
            </w:tcBorders>
            <w:vAlign w:val="center"/>
          </w:tcPr>
          <w:p w14:paraId="59B82E21" w14:textId="483D3EA5" w:rsidR="008B6710" w:rsidRPr="00CA2C48" w:rsidRDefault="78FA094F" w:rsidP="1B3F2E6D">
            <w:pPr>
              <w:pStyle w:val="ListParagraph"/>
              <w:ind w:left="0"/>
              <w:jc w:val="center"/>
              <w:rPr>
                <w:rFonts w:ascii="Century Gothic" w:hAnsi="Century Gothic"/>
              </w:rPr>
            </w:pPr>
            <w:r w:rsidRPr="00CA2C48">
              <w:rPr>
                <w:rFonts w:ascii="Century Gothic" w:hAnsi="Century Gothic"/>
              </w:rPr>
              <w:t>204</w:t>
            </w:r>
          </w:p>
        </w:tc>
        <w:tc>
          <w:tcPr>
            <w:tcW w:w="1890" w:type="dxa"/>
            <w:tcBorders>
              <w:left w:val="single" w:sz="24" w:space="0" w:color="auto"/>
              <w:bottom w:val="single" w:sz="8" w:space="0" w:color="auto"/>
              <w:right w:val="single" w:sz="24" w:space="0" w:color="auto"/>
            </w:tcBorders>
            <w:vAlign w:val="center"/>
          </w:tcPr>
          <w:p w14:paraId="09CE8341"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0</w:t>
            </w:r>
          </w:p>
        </w:tc>
        <w:tc>
          <w:tcPr>
            <w:tcW w:w="1620" w:type="dxa"/>
            <w:tcBorders>
              <w:left w:val="single" w:sz="24" w:space="0" w:color="auto"/>
              <w:bottom w:val="single" w:sz="8" w:space="0" w:color="auto"/>
              <w:right w:val="single" w:sz="24" w:space="0" w:color="auto"/>
            </w:tcBorders>
            <w:vAlign w:val="center"/>
          </w:tcPr>
          <w:p w14:paraId="528E113B"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293</w:t>
            </w:r>
          </w:p>
        </w:tc>
        <w:tc>
          <w:tcPr>
            <w:tcW w:w="1800" w:type="dxa"/>
            <w:tcBorders>
              <w:left w:val="single" w:sz="24" w:space="0" w:color="auto"/>
              <w:bottom w:val="single" w:sz="8" w:space="0" w:color="auto"/>
              <w:right w:val="single" w:sz="24" w:space="0" w:color="auto"/>
            </w:tcBorders>
            <w:vAlign w:val="center"/>
          </w:tcPr>
          <w:p w14:paraId="2F37DC40"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6</w:t>
            </w:r>
            <w:r w:rsidR="008B6710" w:rsidRPr="00CA2C48">
              <w:rPr>
                <w:rFonts w:ascii="Century Gothic" w:hAnsi="Century Gothic"/>
                <w:szCs w:val="22"/>
              </w:rPr>
              <w:t>%</w:t>
            </w:r>
          </w:p>
        </w:tc>
      </w:tr>
      <w:tr w:rsidR="009E30A0" w:rsidRPr="000B4F3F" w14:paraId="6088CBF2" w14:textId="77777777" w:rsidTr="2CA740EE">
        <w:trPr>
          <w:trHeight w:val="216"/>
        </w:trPr>
        <w:tc>
          <w:tcPr>
            <w:tcW w:w="1260" w:type="dxa"/>
            <w:tcBorders>
              <w:top w:val="single" w:sz="8" w:space="0" w:color="auto"/>
              <w:left w:val="single" w:sz="24" w:space="0" w:color="auto"/>
              <w:bottom w:val="single" w:sz="24" w:space="0" w:color="auto"/>
              <w:right w:val="single" w:sz="24" w:space="0" w:color="auto"/>
            </w:tcBorders>
            <w:vAlign w:val="center"/>
          </w:tcPr>
          <w:p w14:paraId="3A9894CA" w14:textId="77777777" w:rsidR="008B6710" w:rsidRPr="00CA2C48" w:rsidRDefault="008B6710" w:rsidP="008B6710">
            <w:pPr>
              <w:pStyle w:val="ListParagraph"/>
              <w:ind w:left="0"/>
              <w:jc w:val="center"/>
              <w:rPr>
                <w:rFonts w:ascii="Century Gothic" w:hAnsi="Century Gothic"/>
                <w:szCs w:val="22"/>
              </w:rPr>
            </w:pPr>
            <w:r w:rsidRPr="00CA2C48">
              <w:rPr>
                <w:rFonts w:ascii="Century Gothic" w:hAnsi="Century Gothic"/>
                <w:szCs w:val="22"/>
              </w:rPr>
              <w:t>6+ Person</w:t>
            </w:r>
          </w:p>
        </w:tc>
        <w:tc>
          <w:tcPr>
            <w:tcW w:w="1710" w:type="dxa"/>
            <w:tcBorders>
              <w:top w:val="single" w:sz="8" w:space="0" w:color="auto"/>
              <w:left w:val="single" w:sz="24" w:space="0" w:color="auto"/>
              <w:bottom w:val="single" w:sz="24" w:space="0" w:color="auto"/>
              <w:right w:val="single" w:sz="24" w:space="0" w:color="auto"/>
            </w:tcBorders>
            <w:vAlign w:val="center"/>
          </w:tcPr>
          <w:p w14:paraId="0A90CD7F"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87</w:t>
            </w:r>
          </w:p>
        </w:tc>
        <w:tc>
          <w:tcPr>
            <w:tcW w:w="1530" w:type="dxa"/>
            <w:tcBorders>
              <w:top w:val="single" w:sz="8" w:space="0" w:color="auto"/>
              <w:left w:val="single" w:sz="24" w:space="0" w:color="auto"/>
              <w:bottom w:val="single" w:sz="24" w:space="0" w:color="auto"/>
              <w:right w:val="single" w:sz="24" w:space="0" w:color="auto"/>
            </w:tcBorders>
            <w:vAlign w:val="center"/>
          </w:tcPr>
          <w:p w14:paraId="702838E1" w14:textId="46491219" w:rsidR="008B6710" w:rsidRPr="00CA2C48" w:rsidRDefault="78FA094F" w:rsidP="0D8BAA9B">
            <w:pPr>
              <w:pStyle w:val="ListParagraph"/>
              <w:ind w:left="0"/>
              <w:jc w:val="center"/>
              <w:rPr>
                <w:rFonts w:ascii="Century Gothic" w:hAnsi="Century Gothic"/>
              </w:rPr>
            </w:pPr>
            <w:r w:rsidRPr="00CA2C48">
              <w:rPr>
                <w:rFonts w:ascii="Century Gothic" w:hAnsi="Century Gothic"/>
              </w:rPr>
              <w:t>152</w:t>
            </w:r>
          </w:p>
        </w:tc>
        <w:tc>
          <w:tcPr>
            <w:tcW w:w="1890" w:type="dxa"/>
            <w:tcBorders>
              <w:top w:val="single" w:sz="8" w:space="0" w:color="auto"/>
              <w:left w:val="single" w:sz="24" w:space="0" w:color="auto"/>
              <w:bottom w:val="single" w:sz="24" w:space="0" w:color="auto"/>
              <w:right w:val="single" w:sz="24" w:space="0" w:color="auto"/>
            </w:tcBorders>
            <w:vAlign w:val="center"/>
          </w:tcPr>
          <w:p w14:paraId="521B1556"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0</w:t>
            </w:r>
          </w:p>
        </w:tc>
        <w:tc>
          <w:tcPr>
            <w:tcW w:w="1620" w:type="dxa"/>
            <w:tcBorders>
              <w:top w:val="single" w:sz="8" w:space="0" w:color="auto"/>
              <w:left w:val="single" w:sz="24" w:space="0" w:color="auto"/>
              <w:bottom w:val="single" w:sz="24" w:space="0" w:color="auto"/>
              <w:right w:val="single" w:sz="24" w:space="0" w:color="auto"/>
            </w:tcBorders>
            <w:vAlign w:val="center"/>
          </w:tcPr>
          <w:p w14:paraId="740E58FC"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239</w:t>
            </w:r>
          </w:p>
        </w:tc>
        <w:tc>
          <w:tcPr>
            <w:tcW w:w="1800" w:type="dxa"/>
            <w:tcBorders>
              <w:top w:val="single" w:sz="8" w:space="0" w:color="auto"/>
              <w:left w:val="single" w:sz="24" w:space="0" w:color="auto"/>
              <w:bottom w:val="single" w:sz="24" w:space="0" w:color="auto"/>
              <w:right w:val="single" w:sz="24" w:space="0" w:color="auto"/>
            </w:tcBorders>
            <w:vAlign w:val="center"/>
          </w:tcPr>
          <w:p w14:paraId="6578A618" w14:textId="77777777" w:rsidR="008B6710" w:rsidRPr="00CA2C48" w:rsidRDefault="00565A98" w:rsidP="008B6710">
            <w:pPr>
              <w:pStyle w:val="ListParagraph"/>
              <w:ind w:left="0"/>
              <w:jc w:val="center"/>
              <w:rPr>
                <w:rFonts w:ascii="Century Gothic" w:hAnsi="Century Gothic"/>
                <w:szCs w:val="22"/>
              </w:rPr>
            </w:pPr>
            <w:r w:rsidRPr="00CA2C48">
              <w:rPr>
                <w:rFonts w:ascii="Century Gothic" w:hAnsi="Century Gothic"/>
                <w:szCs w:val="22"/>
              </w:rPr>
              <w:t>5</w:t>
            </w:r>
            <w:r w:rsidR="008B6710" w:rsidRPr="00CA2C48">
              <w:rPr>
                <w:rFonts w:ascii="Century Gothic" w:hAnsi="Century Gothic"/>
                <w:szCs w:val="22"/>
              </w:rPr>
              <w:t>%</w:t>
            </w:r>
          </w:p>
        </w:tc>
      </w:tr>
      <w:tr w:rsidR="009E30A0" w:rsidRPr="000B4F3F" w14:paraId="3F039DD1" w14:textId="77777777" w:rsidTr="2CA740EE">
        <w:trPr>
          <w:trHeight w:val="216"/>
        </w:trPr>
        <w:tc>
          <w:tcPr>
            <w:tcW w:w="1260" w:type="dxa"/>
            <w:tcBorders>
              <w:top w:val="single" w:sz="8" w:space="0" w:color="auto"/>
              <w:left w:val="single" w:sz="24" w:space="0" w:color="auto"/>
              <w:bottom w:val="single" w:sz="24" w:space="0" w:color="auto"/>
              <w:right w:val="single" w:sz="24" w:space="0" w:color="auto"/>
            </w:tcBorders>
            <w:shd w:val="clear" w:color="auto" w:fill="D9D9D9" w:themeFill="background1" w:themeFillShade="D9"/>
            <w:vAlign w:val="center"/>
          </w:tcPr>
          <w:p w14:paraId="7B04EBF6" w14:textId="77777777" w:rsidR="008B6710" w:rsidRPr="00CA2C48" w:rsidRDefault="008B6710" w:rsidP="002C7620">
            <w:pPr>
              <w:pStyle w:val="ListParagraph"/>
              <w:ind w:left="0"/>
              <w:jc w:val="right"/>
              <w:rPr>
                <w:rFonts w:ascii="Century Gothic" w:hAnsi="Century Gothic"/>
                <w:b/>
                <w:szCs w:val="22"/>
              </w:rPr>
            </w:pPr>
            <w:r w:rsidRPr="00CA2C48">
              <w:rPr>
                <w:rFonts w:ascii="Century Gothic" w:hAnsi="Century Gothic"/>
                <w:b/>
                <w:szCs w:val="22"/>
              </w:rPr>
              <w:t>TOTAL</w:t>
            </w:r>
          </w:p>
        </w:tc>
        <w:tc>
          <w:tcPr>
            <w:tcW w:w="1710" w:type="dxa"/>
            <w:tcBorders>
              <w:top w:val="single" w:sz="8" w:space="0" w:color="auto"/>
              <w:left w:val="single" w:sz="24" w:space="0" w:color="auto"/>
              <w:bottom w:val="single" w:sz="24" w:space="0" w:color="auto"/>
              <w:right w:val="single" w:sz="24" w:space="0" w:color="auto"/>
            </w:tcBorders>
            <w:shd w:val="clear" w:color="auto" w:fill="D9D9D9" w:themeFill="background1" w:themeFillShade="D9"/>
            <w:vAlign w:val="center"/>
          </w:tcPr>
          <w:p w14:paraId="06DD2F89" w14:textId="77777777" w:rsidR="008B6710" w:rsidRPr="00CA2C48" w:rsidRDefault="00565A98" w:rsidP="008B6710">
            <w:pPr>
              <w:pStyle w:val="ListParagraph"/>
              <w:ind w:left="0"/>
              <w:jc w:val="center"/>
              <w:rPr>
                <w:rFonts w:ascii="Century Gothic" w:hAnsi="Century Gothic"/>
                <w:b/>
                <w:szCs w:val="22"/>
              </w:rPr>
            </w:pPr>
            <w:r w:rsidRPr="00CA2C48">
              <w:rPr>
                <w:rFonts w:ascii="Century Gothic" w:hAnsi="Century Gothic"/>
                <w:b/>
                <w:szCs w:val="22"/>
              </w:rPr>
              <w:t>1970</w:t>
            </w:r>
          </w:p>
        </w:tc>
        <w:tc>
          <w:tcPr>
            <w:tcW w:w="1530" w:type="dxa"/>
            <w:tcBorders>
              <w:top w:val="single" w:sz="8" w:space="0" w:color="auto"/>
              <w:left w:val="single" w:sz="24" w:space="0" w:color="auto"/>
              <w:bottom w:val="single" w:sz="24" w:space="0" w:color="auto"/>
              <w:right w:val="single" w:sz="24" w:space="0" w:color="auto"/>
            </w:tcBorders>
            <w:shd w:val="clear" w:color="auto" w:fill="D9D9D9" w:themeFill="background1" w:themeFillShade="D9"/>
            <w:vAlign w:val="center"/>
          </w:tcPr>
          <w:p w14:paraId="6E755549" w14:textId="23BF2E06" w:rsidR="008B6710" w:rsidRPr="00CA2C48" w:rsidRDefault="78FA094F">
            <w:pPr>
              <w:pStyle w:val="ListParagraph"/>
              <w:ind w:left="0"/>
              <w:jc w:val="center"/>
              <w:rPr>
                <w:rFonts w:ascii="Century Gothic" w:hAnsi="Century Gothic"/>
                <w:b/>
                <w:bCs/>
              </w:rPr>
            </w:pPr>
            <w:r w:rsidRPr="00CA2C48">
              <w:rPr>
                <w:rFonts w:ascii="Century Gothic" w:hAnsi="Century Gothic"/>
                <w:b/>
                <w:bCs/>
              </w:rPr>
              <w:t>2857</w:t>
            </w:r>
          </w:p>
        </w:tc>
        <w:tc>
          <w:tcPr>
            <w:tcW w:w="1890" w:type="dxa"/>
            <w:tcBorders>
              <w:top w:val="single" w:sz="8" w:space="0" w:color="auto"/>
              <w:left w:val="single" w:sz="24" w:space="0" w:color="auto"/>
              <w:bottom w:val="single" w:sz="24" w:space="0" w:color="auto"/>
              <w:right w:val="single" w:sz="24" w:space="0" w:color="auto"/>
            </w:tcBorders>
            <w:shd w:val="clear" w:color="auto" w:fill="D9D9D9" w:themeFill="background1" w:themeFillShade="D9"/>
            <w:vAlign w:val="center"/>
          </w:tcPr>
          <w:p w14:paraId="2655CC67" w14:textId="77777777" w:rsidR="008B6710" w:rsidRPr="00CA2C48" w:rsidRDefault="00565A98" w:rsidP="008B6710">
            <w:pPr>
              <w:pStyle w:val="ListParagraph"/>
              <w:ind w:left="0"/>
              <w:jc w:val="center"/>
              <w:rPr>
                <w:rFonts w:ascii="Century Gothic" w:hAnsi="Century Gothic"/>
                <w:b/>
                <w:szCs w:val="22"/>
              </w:rPr>
            </w:pPr>
            <w:r w:rsidRPr="00CA2C48">
              <w:rPr>
                <w:rFonts w:ascii="Century Gothic" w:hAnsi="Century Gothic"/>
                <w:b/>
                <w:szCs w:val="22"/>
              </w:rPr>
              <w:t>0</w:t>
            </w:r>
          </w:p>
        </w:tc>
        <w:tc>
          <w:tcPr>
            <w:tcW w:w="1620" w:type="dxa"/>
            <w:tcBorders>
              <w:top w:val="single" w:sz="8" w:space="0" w:color="auto"/>
              <w:left w:val="single" w:sz="24" w:space="0" w:color="auto"/>
              <w:bottom w:val="single" w:sz="24" w:space="0" w:color="auto"/>
              <w:right w:val="single" w:sz="24" w:space="0" w:color="auto"/>
            </w:tcBorders>
            <w:shd w:val="clear" w:color="auto" w:fill="D9D9D9" w:themeFill="background1" w:themeFillShade="D9"/>
            <w:vAlign w:val="center"/>
          </w:tcPr>
          <w:p w14:paraId="448F6110" w14:textId="77777777" w:rsidR="008B6710" w:rsidRPr="00CA2C48" w:rsidRDefault="00565A98" w:rsidP="008B6710">
            <w:pPr>
              <w:pStyle w:val="ListParagraph"/>
              <w:ind w:left="0"/>
              <w:jc w:val="center"/>
              <w:rPr>
                <w:rFonts w:ascii="Century Gothic" w:hAnsi="Century Gothic"/>
                <w:b/>
                <w:szCs w:val="22"/>
              </w:rPr>
            </w:pPr>
            <w:r w:rsidRPr="00CA2C48">
              <w:rPr>
                <w:rFonts w:ascii="Century Gothic" w:hAnsi="Century Gothic"/>
                <w:b/>
                <w:szCs w:val="22"/>
              </w:rPr>
              <w:t>4827</w:t>
            </w:r>
          </w:p>
        </w:tc>
        <w:tc>
          <w:tcPr>
            <w:tcW w:w="1800" w:type="dxa"/>
            <w:tcBorders>
              <w:top w:val="single" w:sz="8" w:space="0" w:color="auto"/>
              <w:left w:val="single" w:sz="24" w:space="0" w:color="auto"/>
              <w:bottom w:val="single" w:sz="24" w:space="0" w:color="auto"/>
              <w:right w:val="single" w:sz="24" w:space="0" w:color="auto"/>
            </w:tcBorders>
            <w:shd w:val="clear" w:color="auto" w:fill="D9D9D9" w:themeFill="background1" w:themeFillShade="D9"/>
            <w:vAlign w:val="center"/>
          </w:tcPr>
          <w:p w14:paraId="4B8B6DE4" w14:textId="77777777" w:rsidR="008B6710" w:rsidRPr="00CA2C48" w:rsidRDefault="00565A98" w:rsidP="008B6710">
            <w:pPr>
              <w:pStyle w:val="ListParagraph"/>
              <w:ind w:left="0"/>
              <w:jc w:val="center"/>
              <w:rPr>
                <w:rFonts w:ascii="Century Gothic" w:hAnsi="Century Gothic"/>
                <w:b/>
                <w:szCs w:val="22"/>
              </w:rPr>
            </w:pPr>
            <w:r w:rsidRPr="00CA2C48">
              <w:rPr>
                <w:rFonts w:ascii="Century Gothic" w:hAnsi="Century Gothic"/>
                <w:b/>
                <w:szCs w:val="22"/>
              </w:rPr>
              <w:t>100</w:t>
            </w:r>
            <w:r w:rsidR="008B6710" w:rsidRPr="00CA2C48">
              <w:rPr>
                <w:rFonts w:ascii="Century Gothic" w:hAnsi="Century Gothic"/>
                <w:b/>
                <w:szCs w:val="22"/>
              </w:rPr>
              <w:t>%</w:t>
            </w:r>
          </w:p>
        </w:tc>
      </w:tr>
    </w:tbl>
    <w:p w14:paraId="36928B25" w14:textId="1BB25FB6" w:rsidR="1B3F2E6D" w:rsidRPr="00CA2C48" w:rsidRDefault="1B3F2E6D">
      <w:pPr>
        <w:rPr>
          <w:rFonts w:ascii="Century Gothic" w:hAnsi="Century Gothic"/>
        </w:rPr>
      </w:pPr>
    </w:p>
    <w:p w14:paraId="08CA3A8A" w14:textId="77777777" w:rsidR="008B6710" w:rsidRPr="00CA2C48" w:rsidRDefault="008B6710" w:rsidP="008B6710">
      <w:pPr>
        <w:rPr>
          <w:rFonts w:ascii="Century Gothic" w:hAnsi="Century Gothic"/>
          <w:b/>
          <w:szCs w:val="22"/>
        </w:rPr>
      </w:pPr>
      <w:r w:rsidRPr="00CA2C48">
        <w:rPr>
          <w:rFonts w:ascii="Century Gothic" w:hAnsi="Century Gothic"/>
          <w:b/>
          <w:szCs w:val="22"/>
        </w:rPr>
        <w:tab/>
      </w:r>
    </w:p>
    <w:p w14:paraId="51346AEB" w14:textId="77777777" w:rsidR="008B6710" w:rsidRPr="00CA2C48" w:rsidRDefault="008B6710" w:rsidP="008B6710">
      <w:pPr>
        <w:pStyle w:val="ListParagraph"/>
        <w:tabs>
          <w:tab w:val="left" w:pos="990"/>
          <w:tab w:val="left" w:pos="3510"/>
        </w:tabs>
        <w:ind w:left="990" w:hanging="270"/>
        <w:rPr>
          <w:rFonts w:ascii="Century Gothic" w:hAnsi="Century Gothic"/>
          <w:sz w:val="18"/>
          <w:szCs w:val="18"/>
        </w:rPr>
      </w:pPr>
      <w:r w:rsidRPr="00CA2C48">
        <w:rPr>
          <w:rFonts w:ascii="Century Gothic" w:hAnsi="Century Gothic"/>
          <w:sz w:val="18"/>
          <w:szCs w:val="18"/>
        </w:rPr>
        <w:t xml:space="preserve">* </w:t>
      </w:r>
      <w:r w:rsidRPr="00CA2C48">
        <w:rPr>
          <w:rFonts w:ascii="Century Gothic" w:hAnsi="Century Gothic"/>
          <w:sz w:val="18"/>
          <w:szCs w:val="18"/>
        </w:rPr>
        <w:tab/>
      </w:r>
      <w:r w:rsidRPr="00CA2C48">
        <w:rPr>
          <w:rFonts w:ascii="Century Gothic" w:hAnsi="Century Gothic"/>
          <w:i/>
          <w:sz w:val="18"/>
          <w:szCs w:val="18"/>
        </w:rPr>
        <w:t>“Non-MTW Adjustments” are defined as factors that are outside the control of the MTW PHA. An example of an acceptable “Non-MTW Adjustment” would include demographic changes in the community’s overall population. If the MTW PHA includes “Non-MTW Adjustments,” a thorough justification, including information substantiating the numbers given, should be included below.</w:t>
      </w:r>
      <w:r w:rsidRPr="00CA2C48">
        <w:rPr>
          <w:rFonts w:ascii="Century Gothic" w:hAnsi="Century Gothic"/>
          <w:sz w:val="18"/>
          <w:szCs w:val="18"/>
        </w:rPr>
        <w:t xml:space="preserve"> </w:t>
      </w:r>
    </w:p>
    <w:p w14:paraId="62F68858" w14:textId="77777777" w:rsidR="008B6710" w:rsidRPr="0020355D" w:rsidRDefault="008B6710" w:rsidP="008B6710">
      <w:pPr>
        <w:pStyle w:val="ListParagraph"/>
        <w:tabs>
          <w:tab w:val="left" w:pos="990"/>
          <w:tab w:val="left" w:pos="3510"/>
        </w:tabs>
        <w:ind w:left="990" w:hanging="270"/>
        <w:rPr>
          <w:rFonts w:ascii="Times New Roman" w:hAnsi="Times New Roman"/>
          <w:szCs w:val="22"/>
        </w:rPr>
      </w:pPr>
    </w:p>
    <w:p w14:paraId="5E870D3F" w14:textId="77777777" w:rsidR="005E7086" w:rsidRDefault="005E7086" w:rsidP="008B6710">
      <w:pPr>
        <w:pStyle w:val="ListParagraph"/>
        <w:tabs>
          <w:tab w:val="left" w:pos="3510"/>
        </w:tabs>
        <w:ind w:left="990" w:hanging="270"/>
        <w:rPr>
          <w:rFonts w:ascii="Century Gothic" w:hAnsi="Century Gothic"/>
          <w:b/>
          <w:szCs w:val="22"/>
        </w:rPr>
      </w:pPr>
    </w:p>
    <w:p w14:paraId="26D9830B" w14:textId="39ADE06A" w:rsidR="008B6710" w:rsidRPr="000B4F3F" w:rsidRDefault="008B6710" w:rsidP="008B6710">
      <w:pPr>
        <w:pStyle w:val="ListParagraph"/>
        <w:tabs>
          <w:tab w:val="left" w:pos="3510"/>
        </w:tabs>
        <w:ind w:left="990" w:hanging="270"/>
        <w:rPr>
          <w:rFonts w:ascii="Century Gothic" w:hAnsi="Century Gothic"/>
          <w:b/>
          <w:szCs w:val="22"/>
        </w:rPr>
      </w:pPr>
      <w:r w:rsidRPr="000B4F3F">
        <w:rPr>
          <w:rFonts w:ascii="Century Gothic" w:hAnsi="Century Gothic"/>
          <w:b/>
          <w:szCs w:val="22"/>
        </w:rPr>
        <w:lastRenderedPageBreak/>
        <w:t>Please describe the justification for any “Non-MTW Adjustments” given above:</w:t>
      </w:r>
    </w:p>
    <w:p w14:paraId="4296CFE1" w14:textId="74D372D3" w:rsidR="00483BED" w:rsidRPr="000B4F3F" w:rsidRDefault="00DE6A54" w:rsidP="00240074">
      <w:pPr>
        <w:tabs>
          <w:tab w:val="left" w:pos="3510"/>
        </w:tabs>
        <w:rPr>
          <w:rFonts w:ascii="Century Gothic" w:hAnsi="Century Gothic"/>
          <w:szCs w:val="22"/>
        </w:rPr>
      </w:pPr>
      <w:r w:rsidRPr="000B4F3F">
        <w:rPr>
          <w:rFonts w:ascii="Century Gothic" w:hAnsi="Century Gothic"/>
          <w:noProof/>
        </w:rPr>
        <mc:AlternateContent>
          <mc:Choice Requires="wps">
            <w:drawing>
              <wp:anchor distT="0" distB="0" distL="114300" distR="114300" simplePos="0" relativeHeight="251658248" behindDoc="0" locked="0" layoutInCell="1" allowOverlap="1" wp14:anchorId="5D1FCB70" wp14:editId="0E6286A0">
                <wp:simplePos x="0" y="0"/>
                <wp:positionH relativeFrom="column">
                  <wp:posOffset>382905</wp:posOffset>
                </wp:positionH>
                <wp:positionV relativeFrom="paragraph">
                  <wp:posOffset>16510</wp:posOffset>
                </wp:positionV>
                <wp:extent cx="5381625" cy="281940"/>
                <wp:effectExtent l="19050" t="19050" r="9525" b="3810"/>
                <wp:wrapNone/>
                <wp:docPr id="4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81940"/>
                        </a:xfrm>
                        <a:prstGeom prst="rect">
                          <a:avLst/>
                        </a:prstGeom>
                        <a:solidFill>
                          <a:srgbClr val="FFFFFF"/>
                        </a:solidFill>
                        <a:ln w="28575">
                          <a:solidFill>
                            <a:srgbClr val="000000"/>
                          </a:solidFill>
                          <a:miter lim="800000"/>
                          <a:headEnd/>
                          <a:tailEnd/>
                        </a:ln>
                      </wps:spPr>
                      <wps:txbx>
                        <w:txbxContent>
                          <w:p w14:paraId="361F93B0" w14:textId="77777777" w:rsidR="009F26DD" w:rsidRPr="000B4F3F" w:rsidRDefault="009F26DD" w:rsidP="000F7136">
                            <w:pPr>
                              <w:ind w:right="-163"/>
                              <w:jc w:val="center"/>
                              <w:rPr>
                                <w:rFonts w:ascii="Century Gothic" w:hAnsi="Century Gothic"/>
                                <w:szCs w:val="22"/>
                              </w:rPr>
                            </w:pPr>
                            <w:r w:rsidRPr="000B4F3F">
                              <w:rPr>
                                <w:rFonts w:ascii="Century Gothic" w:hAnsi="Century Gothic"/>
                                <w:szCs w:val="22"/>
                              </w:rPr>
                              <w:t>N/A</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1FCB70" id="Text Box 64" o:spid="_x0000_s1036" type="#_x0000_t202" style="position:absolute;margin-left:30.15pt;margin-top:1.3pt;width:423.75pt;height:22.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" strokeweight="2.25pt">
                <v:textbox inset=",0,,0">
                  <w:txbxContent>
                    <w:p w14:paraId="361F93B0" w14:textId="77777777" w:rsidR="009F26DD" w:rsidRPr="000B4F3F" w:rsidRDefault="009F26DD" w:rsidP="000F7136">
                      <w:pPr>
                        <w:ind w:right="-163"/>
                        <w:jc w:val="center"/>
                        <w:rPr>
                          <w:rFonts w:ascii="Century Gothic" w:hAnsi="Century Gothic"/>
                          <w:szCs w:val="22"/>
                        </w:rPr>
                      </w:pPr>
                      <w:r w:rsidRPr="000B4F3F">
                        <w:rPr>
                          <w:rFonts w:ascii="Century Gothic" w:hAnsi="Century Gothic"/>
                          <w:szCs w:val="22"/>
                        </w:rPr>
                        <w:t>N/A</w:t>
                      </w:r>
                    </w:p>
                  </w:txbxContent>
                </v:textbox>
              </v:shape>
            </w:pict>
          </mc:Fallback>
        </mc:AlternateContent>
      </w:r>
    </w:p>
    <w:p w14:paraId="748196ED" w14:textId="2A87FE08" w:rsidR="00483BED" w:rsidRPr="0020355D" w:rsidRDefault="00483BED" w:rsidP="00C27D45">
      <w:pPr>
        <w:pStyle w:val="ListParagraph"/>
        <w:ind w:left="0"/>
        <w:rPr>
          <w:rFonts w:ascii="Times New Roman" w:hAnsi="Times New Roman"/>
          <w:szCs w:val="22"/>
        </w:rPr>
      </w:pPr>
    </w:p>
    <w:p w14:paraId="2AC96B5D" w14:textId="5AC59F59" w:rsidR="00483BED" w:rsidRDefault="00483BED" w:rsidP="00C27D45">
      <w:pPr>
        <w:pStyle w:val="ListParagraph"/>
        <w:ind w:left="0"/>
        <w:rPr>
          <w:rFonts w:ascii="Times New Roman" w:hAnsi="Times New Roman"/>
          <w:szCs w:val="22"/>
        </w:rPr>
      </w:pPr>
    </w:p>
    <w:tbl>
      <w:tblPr>
        <w:tblW w:w="9810" w:type="dxa"/>
        <w:tblInd w:w="255" w:type="dxa"/>
        <w:tblLook w:val="04A0" w:firstRow="1" w:lastRow="0" w:firstColumn="1" w:lastColumn="0" w:noHBand="0" w:noVBand="1"/>
      </w:tblPr>
      <w:tblGrid>
        <w:gridCol w:w="1125"/>
        <w:gridCol w:w="1826"/>
        <w:gridCol w:w="1857"/>
        <w:gridCol w:w="2392"/>
        <w:gridCol w:w="2610"/>
      </w:tblGrid>
      <w:tr w:rsidR="007E0F7A" w:rsidRPr="00AB230A" w14:paraId="466872A6" w14:textId="77777777" w:rsidTr="0E6C54AB">
        <w:trPr>
          <w:trHeight w:val="330"/>
        </w:trPr>
        <w:tc>
          <w:tcPr>
            <w:tcW w:w="9810" w:type="dxa"/>
            <w:gridSpan w:val="5"/>
            <w:tcBorders>
              <w:top w:val="single" w:sz="12" w:space="0" w:color="auto"/>
              <w:left w:val="single" w:sz="12" w:space="0" w:color="auto"/>
              <w:bottom w:val="single" w:sz="12" w:space="0" w:color="auto"/>
              <w:right w:val="single" w:sz="12" w:space="0" w:color="000000" w:themeColor="text1"/>
            </w:tcBorders>
            <w:shd w:val="clear" w:color="auto" w:fill="BFBFBF" w:themeFill="background1" w:themeFillShade="BF"/>
            <w:vAlign w:val="center"/>
            <w:hideMark/>
          </w:tcPr>
          <w:p w14:paraId="3A28B304" w14:textId="19789A4E" w:rsidR="007E0F7A" w:rsidRPr="00AB230A" w:rsidRDefault="2D5C3A2A" w:rsidP="2C805A1A">
            <w:pPr>
              <w:jc w:val="center"/>
              <w:rPr>
                <w:rFonts w:ascii="Century Gothic" w:eastAsia="Times New Roman" w:hAnsi="Century Gothic"/>
                <w:b/>
                <w:bCs/>
                <w:color w:val="000000"/>
                <w:lang w:eastAsia="en-US"/>
              </w:rPr>
            </w:pPr>
            <w:proofErr w:type="gramStart"/>
            <w:r w:rsidRPr="00AB230A">
              <w:rPr>
                <w:rFonts w:ascii="Century Gothic" w:eastAsia="Times New Roman" w:hAnsi="Century Gothic"/>
                <w:b/>
                <w:bCs/>
                <w:color w:val="000000" w:themeColor="text1"/>
                <w:lang w:eastAsia="en-US"/>
              </w:rPr>
              <w:t>MIX OF</w:t>
            </w:r>
            <w:proofErr w:type="gramEnd"/>
            <w:r w:rsidRPr="00AB230A">
              <w:rPr>
                <w:rFonts w:ascii="Century Gothic" w:eastAsia="Times New Roman" w:hAnsi="Century Gothic"/>
                <w:b/>
                <w:bCs/>
                <w:color w:val="000000" w:themeColor="text1"/>
                <w:lang w:eastAsia="en-US"/>
              </w:rPr>
              <w:t xml:space="preserve"> FAMILY SIZES SERVED </w:t>
            </w:r>
            <w:r w:rsidR="7AA27C47" w:rsidRPr="00AB230A">
              <w:rPr>
                <w:rFonts w:ascii="Century Gothic" w:eastAsia="Times New Roman" w:hAnsi="Century Gothic"/>
                <w:b/>
                <w:bCs/>
                <w:color w:val="000000" w:themeColor="text1"/>
                <w:lang w:eastAsia="en-US"/>
              </w:rPr>
              <w:t>202</w:t>
            </w:r>
            <w:r w:rsidR="5766DCF7" w:rsidRPr="00AB230A">
              <w:rPr>
                <w:rFonts w:ascii="Century Gothic" w:eastAsia="Times New Roman" w:hAnsi="Century Gothic"/>
                <w:b/>
                <w:bCs/>
                <w:color w:val="000000" w:themeColor="text1"/>
                <w:lang w:eastAsia="en-US"/>
              </w:rPr>
              <w:t xml:space="preserve">4 </w:t>
            </w:r>
          </w:p>
        </w:tc>
      </w:tr>
      <w:tr w:rsidR="007E0F7A" w:rsidRPr="00AB230A" w14:paraId="321659D1" w14:textId="77777777" w:rsidTr="0E6C54AB">
        <w:trPr>
          <w:trHeight w:val="1041"/>
        </w:trPr>
        <w:tc>
          <w:tcPr>
            <w:tcW w:w="1125" w:type="dxa"/>
            <w:tcBorders>
              <w:top w:val="nil"/>
              <w:left w:val="single" w:sz="12" w:space="0" w:color="auto"/>
              <w:bottom w:val="single" w:sz="12" w:space="0" w:color="auto"/>
              <w:right w:val="single" w:sz="12" w:space="0" w:color="auto"/>
            </w:tcBorders>
            <w:shd w:val="clear" w:color="auto" w:fill="BFBFBF" w:themeFill="background1" w:themeFillShade="BF"/>
            <w:vAlign w:val="center"/>
            <w:hideMark/>
          </w:tcPr>
          <w:p w14:paraId="30032E1C"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FAMILY SIZE</w:t>
            </w:r>
          </w:p>
        </w:tc>
        <w:tc>
          <w:tcPr>
            <w:tcW w:w="1826" w:type="dxa"/>
            <w:tcBorders>
              <w:top w:val="nil"/>
              <w:left w:val="nil"/>
              <w:bottom w:val="single" w:sz="8" w:space="0" w:color="auto"/>
              <w:right w:val="single" w:sz="12" w:space="0" w:color="auto"/>
            </w:tcBorders>
            <w:shd w:val="clear" w:color="auto" w:fill="BFBFBF" w:themeFill="background1" w:themeFillShade="BF"/>
            <w:vAlign w:val="center"/>
            <w:hideMark/>
          </w:tcPr>
          <w:p w14:paraId="050CBFEB"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BASELINE MIX PERCENTAGE**</w:t>
            </w:r>
          </w:p>
        </w:tc>
        <w:tc>
          <w:tcPr>
            <w:tcW w:w="1857" w:type="dxa"/>
            <w:tcBorders>
              <w:top w:val="nil"/>
              <w:left w:val="nil"/>
              <w:bottom w:val="single" w:sz="8" w:space="0" w:color="auto"/>
              <w:right w:val="single" w:sz="12" w:space="0" w:color="auto"/>
            </w:tcBorders>
            <w:shd w:val="clear" w:color="auto" w:fill="BFBFBF" w:themeFill="background1" w:themeFillShade="BF"/>
            <w:vAlign w:val="center"/>
            <w:hideMark/>
          </w:tcPr>
          <w:p w14:paraId="552B4262"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 xml:space="preserve">NUMBER OF HOUSEHOLDS SERVED IN PLAN YEAR^ </w:t>
            </w:r>
          </w:p>
        </w:tc>
        <w:tc>
          <w:tcPr>
            <w:tcW w:w="2392" w:type="dxa"/>
            <w:tcBorders>
              <w:top w:val="nil"/>
              <w:left w:val="nil"/>
              <w:bottom w:val="single" w:sz="8" w:space="0" w:color="auto"/>
              <w:right w:val="single" w:sz="12" w:space="0" w:color="auto"/>
            </w:tcBorders>
            <w:shd w:val="clear" w:color="auto" w:fill="BFBFBF" w:themeFill="background1" w:themeFillShade="BF"/>
            <w:vAlign w:val="center"/>
            <w:hideMark/>
          </w:tcPr>
          <w:p w14:paraId="779E834A"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 xml:space="preserve">PERCENTAGE OF HOUSEHOLDS SERVED IN PLAN YEAR^^ </w:t>
            </w:r>
          </w:p>
        </w:tc>
        <w:tc>
          <w:tcPr>
            <w:tcW w:w="2610" w:type="dxa"/>
            <w:tcBorders>
              <w:top w:val="nil"/>
              <w:left w:val="nil"/>
              <w:bottom w:val="single" w:sz="8" w:space="0" w:color="auto"/>
              <w:right w:val="single" w:sz="12" w:space="0" w:color="auto"/>
            </w:tcBorders>
            <w:shd w:val="clear" w:color="auto" w:fill="BFBFBF" w:themeFill="background1" w:themeFillShade="BF"/>
            <w:vAlign w:val="center"/>
            <w:hideMark/>
          </w:tcPr>
          <w:p w14:paraId="171F97FC"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PERCENTAGE CHANGE FROM BASELINE YEAR TO CURRENT PLAN YEAR</w:t>
            </w:r>
          </w:p>
        </w:tc>
      </w:tr>
      <w:tr w:rsidR="007E0F7A" w:rsidRPr="00AB230A" w14:paraId="1834DAC5" w14:textId="77777777" w:rsidTr="0E6C54AB">
        <w:trPr>
          <w:trHeight w:val="330"/>
        </w:trPr>
        <w:tc>
          <w:tcPr>
            <w:tcW w:w="1125" w:type="dxa"/>
            <w:tcBorders>
              <w:top w:val="nil"/>
              <w:left w:val="single" w:sz="12" w:space="0" w:color="auto"/>
              <w:bottom w:val="single" w:sz="8" w:space="0" w:color="auto"/>
              <w:right w:val="single" w:sz="12" w:space="0" w:color="auto"/>
            </w:tcBorders>
            <w:vAlign w:val="center"/>
            <w:hideMark/>
          </w:tcPr>
          <w:p w14:paraId="1E807467"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1 Person</w:t>
            </w:r>
          </w:p>
        </w:tc>
        <w:tc>
          <w:tcPr>
            <w:tcW w:w="1826" w:type="dxa"/>
            <w:tcBorders>
              <w:top w:val="nil"/>
              <w:left w:val="nil"/>
              <w:bottom w:val="single" w:sz="8" w:space="0" w:color="auto"/>
              <w:right w:val="single" w:sz="12" w:space="0" w:color="auto"/>
            </w:tcBorders>
            <w:vAlign w:val="center"/>
            <w:hideMark/>
          </w:tcPr>
          <w:p w14:paraId="40FE6637"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32%</w:t>
            </w:r>
          </w:p>
        </w:tc>
        <w:tc>
          <w:tcPr>
            <w:tcW w:w="1857" w:type="dxa"/>
            <w:tcBorders>
              <w:top w:val="nil"/>
              <w:left w:val="nil"/>
              <w:bottom w:val="single" w:sz="8" w:space="0" w:color="auto"/>
              <w:right w:val="single" w:sz="12" w:space="0" w:color="auto"/>
            </w:tcBorders>
            <w:vAlign w:val="center"/>
            <w:hideMark/>
          </w:tcPr>
          <w:p w14:paraId="7AA41ACD" w14:textId="17EED049" w:rsidR="007E0F7A" w:rsidRPr="00AB230A" w:rsidRDefault="4EE104FA" w:rsidP="2C805A1A">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2C6386B3" w:rsidRPr="00AB230A">
              <w:rPr>
                <w:rFonts w:ascii="Century Gothic" w:eastAsia="Times New Roman" w:hAnsi="Century Gothic"/>
                <w:color w:val="000000" w:themeColor="text1"/>
                <w:lang w:eastAsia="en-US"/>
              </w:rPr>
              <w:t xml:space="preserve"> </w:t>
            </w:r>
            <w:r w:rsidR="68DFD85B" w:rsidRPr="00AB230A">
              <w:rPr>
                <w:rFonts w:ascii="Century Gothic" w:eastAsia="Times New Roman" w:hAnsi="Century Gothic"/>
                <w:color w:val="000000" w:themeColor="text1"/>
                <w:lang w:eastAsia="en-US"/>
              </w:rPr>
              <w:t>26</w:t>
            </w:r>
            <w:r w:rsidR="00DB4A3C">
              <w:rPr>
                <w:rFonts w:ascii="Century Gothic" w:eastAsia="Times New Roman" w:hAnsi="Century Gothic"/>
                <w:color w:val="000000" w:themeColor="text1"/>
                <w:lang w:eastAsia="en-US"/>
              </w:rPr>
              <w:t>67</w:t>
            </w:r>
          </w:p>
        </w:tc>
        <w:tc>
          <w:tcPr>
            <w:tcW w:w="2392" w:type="dxa"/>
            <w:tcBorders>
              <w:top w:val="nil"/>
              <w:left w:val="nil"/>
              <w:bottom w:val="single" w:sz="8" w:space="0" w:color="auto"/>
              <w:right w:val="single" w:sz="12" w:space="0" w:color="auto"/>
            </w:tcBorders>
            <w:vAlign w:val="center"/>
            <w:hideMark/>
          </w:tcPr>
          <w:p w14:paraId="04A52DFA" w14:textId="4B115DF1" w:rsidR="007E0F7A" w:rsidRPr="00AB230A" w:rsidRDefault="20B1EAB7">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4</w:t>
            </w:r>
            <w:r w:rsidR="3E8BC8C4" w:rsidRPr="00AB230A">
              <w:rPr>
                <w:rFonts w:ascii="Century Gothic" w:eastAsia="Times New Roman" w:hAnsi="Century Gothic"/>
                <w:color w:val="000000" w:themeColor="text1"/>
                <w:lang w:eastAsia="en-US"/>
              </w:rPr>
              <w:t>3</w:t>
            </w:r>
            <w:r w:rsidR="4B9AD190" w:rsidRPr="00AB230A">
              <w:rPr>
                <w:rFonts w:ascii="Century Gothic" w:eastAsia="Times New Roman" w:hAnsi="Century Gothic"/>
                <w:color w:val="000000" w:themeColor="text1"/>
                <w:lang w:eastAsia="en-US"/>
              </w:rPr>
              <w:t>%</w:t>
            </w:r>
          </w:p>
        </w:tc>
        <w:tc>
          <w:tcPr>
            <w:tcW w:w="2610" w:type="dxa"/>
            <w:tcBorders>
              <w:top w:val="nil"/>
              <w:left w:val="nil"/>
              <w:bottom w:val="single" w:sz="8" w:space="0" w:color="auto"/>
              <w:right w:val="single" w:sz="12" w:space="0" w:color="auto"/>
            </w:tcBorders>
            <w:shd w:val="clear" w:color="auto" w:fill="D9D9D9" w:themeFill="background1" w:themeFillShade="D9"/>
            <w:vAlign w:val="center"/>
            <w:hideMark/>
          </w:tcPr>
          <w:p w14:paraId="4FE17AE7" w14:textId="48C835DC" w:rsidR="007E0F7A" w:rsidRPr="00AB230A" w:rsidRDefault="052DF398" w:rsidP="63BCA267">
            <w:pPr>
              <w:jc w:val="center"/>
              <w:rPr>
                <w:rFonts w:ascii="Century Gothic" w:eastAsia="Times New Roman" w:hAnsi="Century Gothic"/>
                <w:color w:val="000000"/>
                <w:lang w:eastAsia="en-US"/>
              </w:rPr>
            </w:pPr>
            <w:r w:rsidRPr="00AB230A">
              <w:rPr>
                <w:rFonts w:ascii="Century Gothic" w:eastAsia="Times New Roman" w:hAnsi="Century Gothic"/>
                <w:color w:val="000000" w:themeColor="text1"/>
                <w:lang w:eastAsia="en-US"/>
              </w:rPr>
              <w:t>1</w:t>
            </w:r>
            <w:r w:rsidR="70F42998" w:rsidRPr="00AB230A">
              <w:rPr>
                <w:rFonts w:ascii="Century Gothic" w:eastAsia="Times New Roman" w:hAnsi="Century Gothic"/>
                <w:color w:val="000000" w:themeColor="text1"/>
                <w:lang w:eastAsia="en-US"/>
              </w:rPr>
              <w:t>1</w:t>
            </w:r>
            <w:r w:rsidR="5D9A6643" w:rsidRPr="00AB230A">
              <w:rPr>
                <w:rFonts w:ascii="Century Gothic" w:eastAsia="Times New Roman" w:hAnsi="Century Gothic"/>
                <w:color w:val="000000" w:themeColor="text1"/>
                <w:lang w:eastAsia="en-US"/>
              </w:rPr>
              <w:t>%</w:t>
            </w:r>
          </w:p>
        </w:tc>
      </w:tr>
      <w:tr w:rsidR="007E0F7A" w:rsidRPr="00AB230A" w14:paraId="7A18BF40" w14:textId="77777777" w:rsidTr="0E6C54AB">
        <w:trPr>
          <w:trHeight w:val="315"/>
        </w:trPr>
        <w:tc>
          <w:tcPr>
            <w:tcW w:w="1125" w:type="dxa"/>
            <w:tcBorders>
              <w:top w:val="nil"/>
              <w:left w:val="single" w:sz="12" w:space="0" w:color="auto"/>
              <w:bottom w:val="single" w:sz="8" w:space="0" w:color="auto"/>
              <w:right w:val="single" w:sz="12" w:space="0" w:color="auto"/>
            </w:tcBorders>
            <w:vAlign w:val="center"/>
            <w:hideMark/>
          </w:tcPr>
          <w:p w14:paraId="3EB96BCB"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2 Person</w:t>
            </w:r>
          </w:p>
        </w:tc>
        <w:tc>
          <w:tcPr>
            <w:tcW w:w="1826" w:type="dxa"/>
            <w:tcBorders>
              <w:top w:val="nil"/>
              <w:left w:val="nil"/>
              <w:bottom w:val="single" w:sz="8" w:space="0" w:color="auto"/>
              <w:right w:val="single" w:sz="12" w:space="0" w:color="auto"/>
            </w:tcBorders>
            <w:vAlign w:val="center"/>
            <w:hideMark/>
          </w:tcPr>
          <w:p w14:paraId="6A69155F"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24%</w:t>
            </w:r>
          </w:p>
        </w:tc>
        <w:tc>
          <w:tcPr>
            <w:tcW w:w="1857" w:type="dxa"/>
            <w:tcBorders>
              <w:top w:val="nil"/>
              <w:left w:val="nil"/>
              <w:bottom w:val="single" w:sz="8" w:space="0" w:color="auto"/>
              <w:right w:val="single" w:sz="12" w:space="0" w:color="auto"/>
            </w:tcBorders>
            <w:vAlign w:val="center"/>
            <w:hideMark/>
          </w:tcPr>
          <w:p w14:paraId="5C65DA6A" w14:textId="4B2B68BE" w:rsidR="007E0F7A" w:rsidRPr="00AB230A" w:rsidRDefault="3CD9B45D" w:rsidP="2C805A1A">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07C479CD" w:rsidRPr="00AB230A">
              <w:rPr>
                <w:rFonts w:ascii="Century Gothic" w:eastAsia="Times New Roman" w:hAnsi="Century Gothic"/>
                <w:color w:val="000000" w:themeColor="text1"/>
                <w:lang w:eastAsia="en-US"/>
              </w:rPr>
              <w:t>144</w:t>
            </w:r>
            <w:r w:rsidR="00DB4A3C">
              <w:rPr>
                <w:rFonts w:ascii="Century Gothic" w:eastAsia="Times New Roman" w:hAnsi="Century Gothic"/>
                <w:color w:val="000000" w:themeColor="text1"/>
                <w:lang w:eastAsia="en-US"/>
              </w:rPr>
              <w:t>2</w:t>
            </w:r>
          </w:p>
        </w:tc>
        <w:tc>
          <w:tcPr>
            <w:tcW w:w="2392" w:type="dxa"/>
            <w:tcBorders>
              <w:top w:val="nil"/>
              <w:left w:val="nil"/>
              <w:bottom w:val="single" w:sz="8" w:space="0" w:color="auto"/>
              <w:right w:val="single" w:sz="12" w:space="0" w:color="auto"/>
            </w:tcBorders>
            <w:vAlign w:val="center"/>
            <w:hideMark/>
          </w:tcPr>
          <w:p w14:paraId="4A790CD8"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23%</w:t>
            </w:r>
          </w:p>
        </w:tc>
        <w:tc>
          <w:tcPr>
            <w:tcW w:w="2610" w:type="dxa"/>
            <w:tcBorders>
              <w:top w:val="nil"/>
              <w:left w:val="nil"/>
              <w:bottom w:val="single" w:sz="8" w:space="0" w:color="auto"/>
              <w:right w:val="single" w:sz="12" w:space="0" w:color="auto"/>
            </w:tcBorders>
            <w:shd w:val="clear" w:color="auto" w:fill="D9D9D9" w:themeFill="background1" w:themeFillShade="D9"/>
            <w:vAlign w:val="center"/>
            <w:hideMark/>
          </w:tcPr>
          <w:p w14:paraId="20EE895F"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-1%</w:t>
            </w:r>
          </w:p>
        </w:tc>
      </w:tr>
      <w:tr w:rsidR="007E0F7A" w:rsidRPr="00AB230A" w14:paraId="1003C544" w14:textId="77777777" w:rsidTr="0E6C54AB">
        <w:trPr>
          <w:trHeight w:val="315"/>
        </w:trPr>
        <w:tc>
          <w:tcPr>
            <w:tcW w:w="1125" w:type="dxa"/>
            <w:tcBorders>
              <w:top w:val="nil"/>
              <w:left w:val="single" w:sz="12" w:space="0" w:color="auto"/>
              <w:bottom w:val="single" w:sz="8" w:space="0" w:color="auto"/>
              <w:right w:val="single" w:sz="12" w:space="0" w:color="auto"/>
            </w:tcBorders>
            <w:vAlign w:val="center"/>
            <w:hideMark/>
          </w:tcPr>
          <w:p w14:paraId="226DEDDE"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3 Person</w:t>
            </w:r>
          </w:p>
        </w:tc>
        <w:tc>
          <w:tcPr>
            <w:tcW w:w="1826" w:type="dxa"/>
            <w:tcBorders>
              <w:top w:val="nil"/>
              <w:left w:val="nil"/>
              <w:bottom w:val="single" w:sz="8" w:space="0" w:color="auto"/>
              <w:right w:val="single" w:sz="12" w:space="0" w:color="auto"/>
            </w:tcBorders>
            <w:vAlign w:val="center"/>
            <w:hideMark/>
          </w:tcPr>
          <w:p w14:paraId="6E4B1B9D"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20%</w:t>
            </w:r>
          </w:p>
        </w:tc>
        <w:tc>
          <w:tcPr>
            <w:tcW w:w="1857" w:type="dxa"/>
            <w:tcBorders>
              <w:top w:val="nil"/>
              <w:left w:val="nil"/>
              <w:bottom w:val="single" w:sz="8" w:space="0" w:color="auto"/>
              <w:right w:val="single" w:sz="12" w:space="0" w:color="auto"/>
            </w:tcBorders>
            <w:vAlign w:val="center"/>
            <w:hideMark/>
          </w:tcPr>
          <w:p w14:paraId="526F3831" w14:textId="6B55B1AE" w:rsidR="007E0F7A" w:rsidRPr="00AB230A" w:rsidRDefault="7E0DF170" w:rsidP="2C805A1A">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09215B59" w:rsidRPr="00AB230A">
              <w:rPr>
                <w:rFonts w:ascii="Century Gothic" w:eastAsia="Times New Roman" w:hAnsi="Century Gothic"/>
                <w:color w:val="000000" w:themeColor="text1"/>
                <w:lang w:eastAsia="en-US"/>
              </w:rPr>
              <w:t>10</w:t>
            </w:r>
            <w:r w:rsidR="00DB4A3C">
              <w:rPr>
                <w:rFonts w:ascii="Century Gothic" w:eastAsia="Times New Roman" w:hAnsi="Century Gothic"/>
                <w:color w:val="000000" w:themeColor="text1"/>
                <w:lang w:eastAsia="en-US"/>
              </w:rPr>
              <w:t>59</w:t>
            </w:r>
          </w:p>
        </w:tc>
        <w:tc>
          <w:tcPr>
            <w:tcW w:w="2392" w:type="dxa"/>
            <w:tcBorders>
              <w:top w:val="nil"/>
              <w:left w:val="nil"/>
              <w:bottom w:val="single" w:sz="8" w:space="0" w:color="auto"/>
              <w:right w:val="single" w:sz="12" w:space="0" w:color="auto"/>
            </w:tcBorders>
            <w:vAlign w:val="center"/>
            <w:hideMark/>
          </w:tcPr>
          <w:p w14:paraId="0FCB87D8" w14:textId="69E86DA8" w:rsidR="007E0F7A" w:rsidRPr="00AB230A" w:rsidRDefault="7D184C1E" w:rsidP="63BCA267">
            <w:pPr>
              <w:jc w:val="center"/>
              <w:rPr>
                <w:rFonts w:ascii="Century Gothic" w:eastAsia="Times New Roman" w:hAnsi="Century Gothic"/>
                <w:color w:val="000000"/>
                <w:lang w:eastAsia="en-US"/>
              </w:rPr>
            </w:pPr>
            <w:r w:rsidRPr="00AB230A">
              <w:rPr>
                <w:rFonts w:ascii="Century Gothic" w:eastAsia="Times New Roman" w:hAnsi="Century Gothic"/>
                <w:color w:val="000000" w:themeColor="text1"/>
                <w:lang w:eastAsia="en-US"/>
              </w:rPr>
              <w:t>17</w:t>
            </w:r>
            <w:r w:rsidR="4AD6446E" w:rsidRPr="00AB230A">
              <w:rPr>
                <w:rFonts w:ascii="Century Gothic" w:eastAsia="Times New Roman" w:hAnsi="Century Gothic"/>
                <w:color w:val="000000" w:themeColor="text1"/>
                <w:lang w:eastAsia="en-US"/>
              </w:rPr>
              <w:t>%</w:t>
            </w:r>
          </w:p>
        </w:tc>
        <w:tc>
          <w:tcPr>
            <w:tcW w:w="2610" w:type="dxa"/>
            <w:tcBorders>
              <w:top w:val="nil"/>
              <w:left w:val="nil"/>
              <w:bottom w:val="single" w:sz="8" w:space="0" w:color="auto"/>
              <w:right w:val="single" w:sz="12" w:space="0" w:color="auto"/>
            </w:tcBorders>
            <w:shd w:val="clear" w:color="auto" w:fill="D9D9D9" w:themeFill="background1" w:themeFillShade="D9"/>
            <w:vAlign w:val="center"/>
            <w:hideMark/>
          </w:tcPr>
          <w:p w14:paraId="0E272D5B" w14:textId="02505C52" w:rsidR="007E0F7A" w:rsidRPr="00AB230A" w:rsidRDefault="4AD6446E" w:rsidP="63BCA267">
            <w:pPr>
              <w:jc w:val="center"/>
              <w:rPr>
                <w:rFonts w:ascii="Century Gothic" w:eastAsia="Times New Roman" w:hAnsi="Century Gothic"/>
                <w:color w:val="000000"/>
                <w:lang w:eastAsia="en-US"/>
              </w:rPr>
            </w:pPr>
            <w:r w:rsidRPr="00AB230A">
              <w:rPr>
                <w:rFonts w:ascii="Century Gothic" w:eastAsia="Times New Roman" w:hAnsi="Century Gothic"/>
                <w:color w:val="000000" w:themeColor="text1"/>
                <w:lang w:eastAsia="en-US"/>
              </w:rPr>
              <w:t>-</w:t>
            </w:r>
            <w:r w:rsidR="78C6E2A2" w:rsidRPr="00AB230A">
              <w:rPr>
                <w:rFonts w:ascii="Century Gothic" w:eastAsia="Times New Roman" w:hAnsi="Century Gothic"/>
                <w:color w:val="000000" w:themeColor="text1"/>
                <w:lang w:eastAsia="en-US"/>
              </w:rPr>
              <w:t>3</w:t>
            </w:r>
            <w:r w:rsidRPr="00AB230A">
              <w:rPr>
                <w:rFonts w:ascii="Century Gothic" w:eastAsia="Times New Roman" w:hAnsi="Century Gothic"/>
                <w:color w:val="000000" w:themeColor="text1"/>
                <w:lang w:eastAsia="en-US"/>
              </w:rPr>
              <w:t>%</w:t>
            </w:r>
          </w:p>
        </w:tc>
      </w:tr>
      <w:tr w:rsidR="007E0F7A" w:rsidRPr="00AB230A" w14:paraId="09C979A0" w14:textId="77777777" w:rsidTr="0E6C54AB">
        <w:trPr>
          <w:trHeight w:val="315"/>
        </w:trPr>
        <w:tc>
          <w:tcPr>
            <w:tcW w:w="1125" w:type="dxa"/>
            <w:tcBorders>
              <w:top w:val="nil"/>
              <w:left w:val="single" w:sz="12" w:space="0" w:color="auto"/>
              <w:bottom w:val="single" w:sz="8" w:space="0" w:color="auto"/>
              <w:right w:val="single" w:sz="12" w:space="0" w:color="auto"/>
            </w:tcBorders>
            <w:vAlign w:val="center"/>
            <w:hideMark/>
          </w:tcPr>
          <w:p w14:paraId="7BB386EF"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4 Person</w:t>
            </w:r>
          </w:p>
        </w:tc>
        <w:tc>
          <w:tcPr>
            <w:tcW w:w="1826" w:type="dxa"/>
            <w:tcBorders>
              <w:top w:val="nil"/>
              <w:left w:val="nil"/>
              <w:bottom w:val="single" w:sz="8" w:space="0" w:color="auto"/>
              <w:right w:val="single" w:sz="12" w:space="0" w:color="auto"/>
            </w:tcBorders>
            <w:vAlign w:val="center"/>
            <w:hideMark/>
          </w:tcPr>
          <w:p w14:paraId="314C78BC"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13%</w:t>
            </w:r>
          </w:p>
        </w:tc>
        <w:tc>
          <w:tcPr>
            <w:tcW w:w="1857" w:type="dxa"/>
            <w:tcBorders>
              <w:top w:val="nil"/>
              <w:left w:val="nil"/>
              <w:bottom w:val="single" w:sz="8" w:space="0" w:color="auto"/>
              <w:right w:val="single" w:sz="12" w:space="0" w:color="auto"/>
            </w:tcBorders>
            <w:vAlign w:val="center"/>
            <w:hideMark/>
          </w:tcPr>
          <w:p w14:paraId="5DC08C27" w14:textId="4E471795" w:rsidR="007E0F7A" w:rsidRPr="00AB230A" w:rsidRDefault="257D7B3F" w:rsidP="2C805A1A">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78293C27" w:rsidRPr="00AB230A">
              <w:rPr>
                <w:rFonts w:ascii="Century Gothic" w:eastAsia="Times New Roman" w:hAnsi="Century Gothic"/>
                <w:color w:val="000000" w:themeColor="text1"/>
                <w:lang w:eastAsia="en-US"/>
              </w:rPr>
              <w:t>57</w:t>
            </w:r>
            <w:r w:rsidR="00DB4A3C">
              <w:rPr>
                <w:rFonts w:ascii="Century Gothic" w:eastAsia="Times New Roman" w:hAnsi="Century Gothic"/>
                <w:color w:val="000000" w:themeColor="text1"/>
                <w:lang w:eastAsia="en-US"/>
              </w:rPr>
              <w:t>1</w:t>
            </w:r>
          </w:p>
        </w:tc>
        <w:tc>
          <w:tcPr>
            <w:tcW w:w="2392" w:type="dxa"/>
            <w:tcBorders>
              <w:top w:val="nil"/>
              <w:left w:val="nil"/>
              <w:bottom w:val="single" w:sz="8" w:space="0" w:color="auto"/>
              <w:right w:val="single" w:sz="12" w:space="0" w:color="auto"/>
            </w:tcBorders>
            <w:vAlign w:val="center"/>
            <w:hideMark/>
          </w:tcPr>
          <w:p w14:paraId="3ECD956D" w14:textId="320DBD88" w:rsidR="007E0F7A" w:rsidRPr="00AB230A" w:rsidRDefault="46132068" w:rsidP="007E0F7A">
            <w:pPr>
              <w:jc w:val="center"/>
              <w:rPr>
                <w:rFonts w:ascii="Century Gothic" w:eastAsia="Times New Roman" w:hAnsi="Century Gothic"/>
                <w:szCs w:val="22"/>
              </w:rPr>
            </w:pPr>
            <w:r w:rsidRPr="00AB230A">
              <w:rPr>
                <w:rFonts w:ascii="Century Gothic" w:eastAsia="Times New Roman" w:hAnsi="Century Gothic"/>
                <w:color w:val="000000" w:themeColor="text1"/>
                <w:lang w:eastAsia="en-US"/>
              </w:rPr>
              <w:t xml:space="preserve"> 9%</w:t>
            </w:r>
          </w:p>
        </w:tc>
        <w:tc>
          <w:tcPr>
            <w:tcW w:w="2610" w:type="dxa"/>
            <w:tcBorders>
              <w:top w:val="nil"/>
              <w:left w:val="nil"/>
              <w:bottom w:val="single" w:sz="8" w:space="0" w:color="auto"/>
              <w:right w:val="single" w:sz="12" w:space="0" w:color="auto"/>
            </w:tcBorders>
            <w:shd w:val="clear" w:color="auto" w:fill="D9D9D9" w:themeFill="background1" w:themeFillShade="D9"/>
            <w:vAlign w:val="center"/>
            <w:hideMark/>
          </w:tcPr>
          <w:p w14:paraId="6FEA4798" w14:textId="55E8FA6F" w:rsidR="007E0F7A" w:rsidRPr="00AB230A" w:rsidRDefault="007E0F7A" w:rsidP="007E0F7A">
            <w:pPr>
              <w:jc w:val="center"/>
              <w:rPr>
                <w:rFonts w:ascii="Century Gothic" w:eastAsia="Times New Roman" w:hAnsi="Century Gothic"/>
                <w:color w:val="000000"/>
                <w:lang w:eastAsia="en-US"/>
              </w:rPr>
            </w:pPr>
            <w:r w:rsidRPr="00AB230A">
              <w:rPr>
                <w:rFonts w:ascii="Century Gothic" w:eastAsia="Times New Roman" w:hAnsi="Century Gothic"/>
                <w:color w:val="000000" w:themeColor="text1"/>
                <w:lang w:eastAsia="en-US"/>
              </w:rPr>
              <w:t>-</w:t>
            </w:r>
            <w:r w:rsidR="7D03D02D" w:rsidRPr="00AB230A">
              <w:rPr>
                <w:rFonts w:ascii="Century Gothic" w:eastAsia="Times New Roman" w:hAnsi="Century Gothic"/>
                <w:color w:val="000000" w:themeColor="text1"/>
                <w:lang w:eastAsia="en-US"/>
              </w:rPr>
              <w:t>4</w:t>
            </w:r>
            <w:r w:rsidRPr="00AB230A">
              <w:rPr>
                <w:rFonts w:ascii="Century Gothic" w:eastAsia="Times New Roman" w:hAnsi="Century Gothic"/>
                <w:color w:val="000000" w:themeColor="text1"/>
                <w:lang w:eastAsia="en-US"/>
              </w:rPr>
              <w:t>%</w:t>
            </w:r>
          </w:p>
        </w:tc>
      </w:tr>
      <w:tr w:rsidR="007E0F7A" w:rsidRPr="00AB230A" w14:paraId="65C1A1AA" w14:textId="77777777" w:rsidTr="0E6C54AB">
        <w:trPr>
          <w:trHeight w:val="315"/>
        </w:trPr>
        <w:tc>
          <w:tcPr>
            <w:tcW w:w="1125" w:type="dxa"/>
            <w:tcBorders>
              <w:top w:val="nil"/>
              <w:left w:val="single" w:sz="12" w:space="0" w:color="auto"/>
              <w:bottom w:val="single" w:sz="8" w:space="0" w:color="auto"/>
              <w:right w:val="single" w:sz="12" w:space="0" w:color="auto"/>
            </w:tcBorders>
            <w:vAlign w:val="center"/>
            <w:hideMark/>
          </w:tcPr>
          <w:p w14:paraId="114B95B7"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5 Person</w:t>
            </w:r>
          </w:p>
        </w:tc>
        <w:tc>
          <w:tcPr>
            <w:tcW w:w="1826" w:type="dxa"/>
            <w:tcBorders>
              <w:top w:val="nil"/>
              <w:left w:val="nil"/>
              <w:bottom w:val="single" w:sz="8" w:space="0" w:color="auto"/>
              <w:right w:val="single" w:sz="12" w:space="0" w:color="auto"/>
            </w:tcBorders>
            <w:vAlign w:val="center"/>
            <w:hideMark/>
          </w:tcPr>
          <w:p w14:paraId="1BBB55DD"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6%</w:t>
            </w:r>
          </w:p>
        </w:tc>
        <w:tc>
          <w:tcPr>
            <w:tcW w:w="1857" w:type="dxa"/>
            <w:tcBorders>
              <w:top w:val="nil"/>
              <w:left w:val="nil"/>
              <w:bottom w:val="single" w:sz="8" w:space="0" w:color="auto"/>
              <w:right w:val="single" w:sz="12" w:space="0" w:color="auto"/>
            </w:tcBorders>
            <w:vAlign w:val="center"/>
            <w:hideMark/>
          </w:tcPr>
          <w:p w14:paraId="7CD9C497" w14:textId="4BC69481" w:rsidR="007E0F7A" w:rsidRPr="00AB230A" w:rsidRDefault="19A6F694" w:rsidP="19A6F694">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6452A782" w:rsidRPr="00AB230A">
              <w:rPr>
                <w:rFonts w:ascii="Century Gothic" w:eastAsia="Times New Roman" w:hAnsi="Century Gothic"/>
                <w:color w:val="000000" w:themeColor="text1"/>
                <w:lang w:eastAsia="en-US"/>
              </w:rPr>
              <w:t>29</w:t>
            </w:r>
            <w:r w:rsidR="00DB4A3C">
              <w:rPr>
                <w:rFonts w:ascii="Century Gothic" w:eastAsia="Times New Roman" w:hAnsi="Century Gothic"/>
                <w:color w:val="000000" w:themeColor="text1"/>
                <w:lang w:eastAsia="en-US"/>
              </w:rPr>
              <w:t>3</w:t>
            </w:r>
          </w:p>
        </w:tc>
        <w:tc>
          <w:tcPr>
            <w:tcW w:w="2392" w:type="dxa"/>
            <w:tcBorders>
              <w:top w:val="nil"/>
              <w:left w:val="nil"/>
              <w:bottom w:val="single" w:sz="8" w:space="0" w:color="auto"/>
              <w:right w:val="single" w:sz="12" w:space="0" w:color="auto"/>
            </w:tcBorders>
            <w:vAlign w:val="center"/>
            <w:hideMark/>
          </w:tcPr>
          <w:p w14:paraId="4957D5BB" w14:textId="689EDA94" w:rsidR="007E0F7A" w:rsidRPr="00AB230A" w:rsidRDefault="00F15EB8"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5</w:t>
            </w:r>
            <w:r w:rsidR="007E0F7A" w:rsidRPr="00AB230A">
              <w:rPr>
                <w:rFonts w:ascii="Century Gothic" w:eastAsia="Times New Roman" w:hAnsi="Century Gothic"/>
                <w:color w:val="000000"/>
                <w:szCs w:val="22"/>
                <w:lang w:eastAsia="en-US"/>
              </w:rPr>
              <w:t>%</w:t>
            </w:r>
          </w:p>
        </w:tc>
        <w:tc>
          <w:tcPr>
            <w:tcW w:w="2610" w:type="dxa"/>
            <w:tcBorders>
              <w:top w:val="nil"/>
              <w:left w:val="nil"/>
              <w:bottom w:val="single" w:sz="8" w:space="0" w:color="auto"/>
              <w:right w:val="single" w:sz="12" w:space="0" w:color="auto"/>
            </w:tcBorders>
            <w:shd w:val="clear" w:color="auto" w:fill="D9D9D9" w:themeFill="background1" w:themeFillShade="D9"/>
            <w:vAlign w:val="center"/>
            <w:hideMark/>
          </w:tcPr>
          <w:p w14:paraId="49AF50F5" w14:textId="2D63927C" w:rsidR="007E0F7A" w:rsidRPr="00AB230A" w:rsidRDefault="14CD7453" w:rsidP="2C805A1A">
            <w:pPr>
              <w:jc w:val="center"/>
              <w:rPr>
                <w:rFonts w:ascii="Century Gothic" w:eastAsia="Times New Roman" w:hAnsi="Century Gothic"/>
                <w:color w:val="000000"/>
                <w:lang w:eastAsia="en-US"/>
              </w:rPr>
            </w:pPr>
            <w:r w:rsidRPr="00AB230A">
              <w:rPr>
                <w:rFonts w:ascii="Century Gothic" w:eastAsia="Times New Roman" w:hAnsi="Century Gothic"/>
                <w:color w:val="000000" w:themeColor="text1"/>
                <w:lang w:eastAsia="en-US"/>
              </w:rPr>
              <w:t>-</w:t>
            </w:r>
            <w:r w:rsidR="053C2E6F" w:rsidRPr="00AB230A">
              <w:rPr>
                <w:rFonts w:ascii="Century Gothic" w:eastAsia="Times New Roman" w:hAnsi="Century Gothic"/>
                <w:color w:val="000000" w:themeColor="text1"/>
                <w:lang w:eastAsia="en-US"/>
              </w:rPr>
              <w:t>1</w:t>
            </w:r>
            <w:r w:rsidR="443CF876" w:rsidRPr="00AB230A">
              <w:rPr>
                <w:rFonts w:ascii="Century Gothic" w:eastAsia="Times New Roman" w:hAnsi="Century Gothic"/>
                <w:color w:val="000000" w:themeColor="text1"/>
                <w:lang w:eastAsia="en-US"/>
              </w:rPr>
              <w:t>%</w:t>
            </w:r>
          </w:p>
        </w:tc>
      </w:tr>
      <w:tr w:rsidR="007E0F7A" w:rsidRPr="00AB230A" w14:paraId="688D3EC7" w14:textId="77777777" w:rsidTr="0E6C54AB">
        <w:trPr>
          <w:trHeight w:val="268"/>
        </w:trPr>
        <w:tc>
          <w:tcPr>
            <w:tcW w:w="1125" w:type="dxa"/>
            <w:tcBorders>
              <w:top w:val="nil"/>
              <w:left w:val="single" w:sz="12" w:space="0" w:color="auto"/>
              <w:bottom w:val="single" w:sz="12" w:space="0" w:color="auto"/>
              <w:right w:val="single" w:sz="12" w:space="0" w:color="auto"/>
            </w:tcBorders>
            <w:vAlign w:val="center"/>
            <w:hideMark/>
          </w:tcPr>
          <w:p w14:paraId="5063EEB8"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6+ Person</w:t>
            </w:r>
          </w:p>
        </w:tc>
        <w:tc>
          <w:tcPr>
            <w:tcW w:w="1826" w:type="dxa"/>
            <w:tcBorders>
              <w:top w:val="nil"/>
              <w:left w:val="nil"/>
              <w:bottom w:val="single" w:sz="12" w:space="0" w:color="auto"/>
              <w:right w:val="single" w:sz="12" w:space="0" w:color="auto"/>
            </w:tcBorders>
            <w:vAlign w:val="center"/>
            <w:hideMark/>
          </w:tcPr>
          <w:p w14:paraId="24C9DB44"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5%</w:t>
            </w:r>
          </w:p>
        </w:tc>
        <w:tc>
          <w:tcPr>
            <w:tcW w:w="1857" w:type="dxa"/>
            <w:tcBorders>
              <w:top w:val="nil"/>
              <w:left w:val="nil"/>
              <w:bottom w:val="single" w:sz="8" w:space="0" w:color="auto"/>
              <w:right w:val="single" w:sz="12" w:space="0" w:color="auto"/>
            </w:tcBorders>
            <w:vAlign w:val="center"/>
            <w:hideMark/>
          </w:tcPr>
          <w:p w14:paraId="6EED920C" w14:textId="37A4AA56" w:rsidR="007E0F7A" w:rsidRPr="00AB230A" w:rsidRDefault="19A6F694" w:rsidP="19A6F694">
            <w:pPr>
              <w:jc w:val="center"/>
              <w:rPr>
                <w:rFonts w:ascii="Century Gothic" w:eastAsia="Times New Roman" w:hAnsi="Century Gothic"/>
                <w:color w:val="000000" w:themeColor="text1"/>
                <w:lang w:eastAsia="en-US"/>
              </w:rPr>
            </w:pPr>
            <w:r w:rsidRPr="00AB230A">
              <w:rPr>
                <w:rFonts w:ascii="Century Gothic" w:eastAsia="Times New Roman" w:hAnsi="Century Gothic"/>
                <w:color w:val="000000" w:themeColor="text1"/>
                <w:lang w:eastAsia="en-US"/>
              </w:rPr>
              <w:t xml:space="preserve"> </w:t>
            </w:r>
            <w:r w:rsidR="6B76D9E4" w:rsidRPr="00AB230A">
              <w:rPr>
                <w:rFonts w:ascii="Century Gothic" w:eastAsia="Times New Roman" w:hAnsi="Century Gothic"/>
                <w:color w:val="000000" w:themeColor="text1"/>
                <w:lang w:eastAsia="en-US"/>
              </w:rPr>
              <w:t>18</w:t>
            </w:r>
            <w:r w:rsidR="000A0686">
              <w:rPr>
                <w:rFonts w:ascii="Century Gothic" w:eastAsia="Times New Roman" w:hAnsi="Century Gothic"/>
                <w:color w:val="000000" w:themeColor="text1"/>
                <w:lang w:eastAsia="en-US"/>
              </w:rPr>
              <w:t>3</w:t>
            </w:r>
            <w:r w:rsidR="0677C162" w:rsidRPr="00AB230A">
              <w:rPr>
                <w:rFonts w:ascii="Century Gothic" w:eastAsia="Times New Roman" w:hAnsi="Century Gothic"/>
                <w:color w:val="000000" w:themeColor="text1"/>
                <w:lang w:eastAsia="en-US"/>
              </w:rPr>
              <w:t xml:space="preserve"> </w:t>
            </w:r>
          </w:p>
        </w:tc>
        <w:tc>
          <w:tcPr>
            <w:tcW w:w="2392" w:type="dxa"/>
            <w:tcBorders>
              <w:top w:val="nil"/>
              <w:left w:val="nil"/>
              <w:bottom w:val="single" w:sz="8" w:space="0" w:color="auto"/>
              <w:right w:val="single" w:sz="12" w:space="0" w:color="auto"/>
            </w:tcBorders>
            <w:vAlign w:val="center"/>
            <w:hideMark/>
          </w:tcPr>
          <w:p w14:paraId="2B08C81A"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3%</w:t>
            </w:r>
          </w:p>
        </w:tc>
        <w:tc>
          <w:tcPr>
            <w:tcW w:w="2610" w:type="dxa"/>
            <w:tcBorders>
              <w:top w:val="nil"/>
              <w:left w:val="nil"/>
              <w:bottom w:val="single" w:sz="8" w:space="0" w:color="auto"/>
              <w:right w:val="single" w:sz="12" w:space="0" w:color="auto"/>
            </w:tcBorders>
            <w:shd w:val="clear" w:color="auto" w:fill="D9D9D9" w:themeFill="background1" w:themeFillShade="D9"/>
            <w:vAlign w:val="center"/>
            <w:hideMark/>
          </w:tcPr>
          <w:p w14:paraId="0AF15D19"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-2%</w:t>
            </w:r>
          </w:p>
        </w:tc>
      </w:tr>
      <w:tr w:rsidR="007E0F7A" w:rsidRPr="00AB230A" w14:paraId="220FB9BF" w14:textId="77777777" w:rsidTr="0E6C54AB">
        <w:trPr>
          <w:trHeight w:val="330"/>
        </w:trPr>
        <w:tc>
          <w:tcPr>
            <w:tcW w:w="1125" w:type="dxa"/>
            <w:tcBorders>
              <w:top w:val="nil"/>
              <w:left w:val="single" w:sz="12" w:space="0" w:color="auto"/>
              <w:bottom w:val="single" w:sz="12" w:space="0" w:color="auto"/>
              <w:right w:val="single" w:sz="12" w:space="0" w:color="auto"/>
            </w:tcBorders>
            <w:shd w:val="clear" w:color="auto" w:fill="D9D9D9" w:themeFill="background1" w:themeFillShade="D9"/>
            <w:vAlign w:val="center"/>
            <w:hideMark/>
          </w:tcPr>
          <w:p w14:paraId="0DAE4910" w14:textId="77777777" w:rsidR="007E0F7A" w:rsidRPr="00AB230A" w:rsidRDefault="007E0F7A" w:rsidP="007E0F7A">
            <w:pPr>
              <w:jc w:val="right"/>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TOTAL</w:t>
            </w:r>
          </w:p>
        </w:tc>
        <w:tc>
          <w:tcPr>
            <w:tcW w:w="1826" w:type="dxa"/>
            <w:tcBorders>
              <w:top w:val="nil"/>
              <w:left w:val="nil"/>
              <w:bottom w:val="single" w:sz="12" w:space="0" w:color="auto"/>
              <w:right w:val="single" w:sz="12" w:space="0" w:color="auto"/>
            </w:tcBorders>
            <w:shd w:val="clear" w:color="auto" w:fill="D9D9D9" w:themeFill="background1" w:themeFillShade="D9"/>
            <w:vAlign w:val="center"/>
            <w:hideMark/>
          </w:tcPr>
          <w:p w14:paraId="7235AC72" w14:textId="77777777" w:rsidR="007E0F7A" w:rsidRPr="00AB230A" w:rsidRDefault="007E0F7A" w:rsidP="007E0F7A">
            <w:pPr>
              <w:jc w:val="center"/>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100%</w:t>
            </w:r>
          </w:p>
        </w:tc>
        <w:tc>
          <w:tcPr>
            <w:tcW w:w="1857" w:type="dxa"/>
            <w:tcBorders>
              <w:top w:val="nil"/>
              <w:left w:val="nil"/>
              <w:bottom w:val="single" w:sz="12" w:space="0" w:color="auto"/>
              <w:right w:val="single" w:sz="12" w:space="0" w:color="auto"/>
            </w:tcBorders>
            <w:shd w:val="clear" w:color="auto" w:fill="D9D9D9" w:themeFill="background1" w:themeFillShade="D9"/>
            <w:vAlign w:val="center"/>
            <w:hideMark/>
          </w:tcPr>
          <w:p w14:paraId="1025961E" w14:textId="58C29044" w:rsidR="007E0F7A" w:rsidRPr="00AB230A" w:rsidRDefault="19A6F694" w:rsidP="19A6F694">
            <w:pPr>
              <w:jc w:val="center"/>
              <w:rPr>
                <w:rFonts w:ascii="Century Gothic" w:eastAsia="Times New Roman" w:hAnsi="Century Gothic"/>
                <w:b/>
                <w:color w:val="000000" w:themeColor="text1"/>
                <w:lang w:eastAsia="en-US"/>
              </w:rPr>
            </w:pPr>
            <w:r w:rsidRPr="00AB230A">
              <w:rPr>
                <w:rFonts w:ascii="Century Gothic" w:eastAsia="Times New Roman" w:hAnsi="Century Gothic"/>
                <w:b/>
                <w:bCs/>
                <w:color w:val="000000" w:themeColor="text1"/>
                <w:lang w:eastAsia="en-US"/>
              </w:rPr>
              <w:t xml:space="preserve"> </w:t>
            </w:r>
            <w:r w:rsidR="5B4FA524" w:rsidRPr="00AB230A">
              <w:rPr>
                <w:rFonts w:ascii="Century Gothic" w:eastAsia="Times New Roman" w:hAnsi="Century Gothic"/>
                <w:b/>
                <w:bCs/>
                <w:color w:val="000000" w:themeColor="text1"/>
                <w:lang w:eastAsia="en-US"/>
              </w:rPr>
              <w:t>6</w:t>
            </w:r>
            <w:r w:rsidR="008746F6">
              <w:rPr>
                <w:rFonts w:ascii="Century Gothic" w:eastAsia="Times New Roman" w:hAnsi="Century Gothic"/>
                <w:b/>
                <w:bCs/>
                <w:color w:val="000000" w:themeColor="text1"/>
                <w:lang w:eastAsia="en-US"/>
              </w:rPr>
              <w:t>2</w:t>
            </w:r>
            <w:r w:rsidR="00316E91">
              <w:rPr>
                <w:rFonts w:ascii="Century Gothic" w:eastAsia="Times New Roman" w:hAnsi="Century Gothic"/>
                <w:b/>
                <w:bCs/>
                <w:color w:val="000000" w:themeColor="text1"/>
                <w:lang w:eastAsia="en-US"/>
              </w:rPr>
              <w:t>15</w:t>
            </w:r>
          </w:p>
        </w:tc>
        <w:tc>
          <w:tcPr>
            <w:tcW w:w="2392" w:type="dxa"/>
            <w:tcBorders>
              <w:top w:val="nil"/>
              <w:left w:val="nil"/>
              <w:bottom w:val="single" w:sz="12" w:space="0" w:color="auto"/>
              <w:right w:val="single" w:sz="12" w:space="0" w:color="auto"/>
            </w:tcBorders>
            <w:shd w:val="clear" w:color="auto" w:fill="D9D9D9" w:themeFill="background1" w:themeFillShade="D9"/>
            <w:vAlign w:val="center"/>
            <w:hideMark/>
          </w:tcPr>
          <w:p w14:paraId="0CFCA464" w14:textId="77777777" w:rsidR="007E0F7A" w:rsidRPr="00AB230A" w:rsidRDefault="007E0F7A" w:rsidP="007E0F7A">
            <w:pPr>
              <w:jc w:val="center"/>
              <w:rPr>
                <w:rFonts w:ascii="Century Gothic" w:eastAsia="Times New Roman" w:hAnsi="Century Gothic"/>
                <w:b/>
                <w:bCs/>
                <w:color w:val="000000"/>
                <w:szCs w:val="22"/>
                <w:lang w:eastAsia="en-US"/>
              </w:rPr>
            </w:pPr>
            <w:r w:rsidRPr="00AB230A">
              <w:rPr>
                <w:rFonts w:ascii="Century Gothic" w:eastAsia="Times New Roman" w:hAnsi="Century Gothic"/>
                <w:b/>
                <w:bCs/>
                <w:color w:val="000000"/>
                <w:szCs w:val="22"/>
                <w:lang w:eastAsia="en-US"/>
              </w:rPr>
              <w:t>100%</w:t>
            </w:r>
          </w:p>
        </w:tc>
        <w:tc>
          <w:tcPr>
            <w:tcW w:w="2610" w:type="dxa"/>
            <w:tcBorders>
              <w:top w:val="nil"/>
              <w:left w:val="nil"/>
              <w:bottom w:val="single" w:sz="8" w:space="0" w:color="auto"/>
              <w:right w:val="single" w:sz="12" w:space="0" w:color="auto"/>
            </w:tcBorders>
            <w:shd w:val="clear" w:color="auto" w:fill="D9D9D9" w:themeFill="background1" w:themeFillShade="D9"/>
            <w:vAlign w:val="center"/>
            <w:hideMark/>
          </w:tcPr>
          <w:p w14:paraId="533B393D" w14:textId="77777777" w:rsidR="007E0F7A" w:rsidRPr="00AB230A" w:rsidRDefault="007E0F7A" w:rsidP="007E0F7A">
            <w:pPr>
              <w:jc w:val="center"/>
              <w:rPr>
                <w:rFonts w:ascii="Century Gothic" w:eastAsia="Times New Roman" w:hAnsi="Century Gothic"/>
                <w:color w:val="000000"/>
                <w:szCs w:val="22"/>
                <w:lang w:eastAsia="en-US"/>
              </w:rPr>
            </w:pPr>
            <w:r w:rsidRPr="00AB230A">
              <w:rPr>
                <w:rFonts w:ascii="Century Gothic" w:eastAsia="Times New Roman" w:hAnsi="Century Gothic"/>
                <w:color w:val="000000"/>
                <w:szCs w:val="22"/>
                <w:lang w:eastAsia="en-US"/>
              </w:rPr>
              <w:t> </w:t>
            </w:r>
          </w:p>
        </w:tc>
      </w:tr>
    </w:tbl>
    <w:p w14:paraId="7FCF5AE7" w14:textId="2D52525D" w:rsidR="1B3F2E6D" w:rsidRPr="00AB230A" w:rsidRDefault="1B3F2E6D">
      <w:pPr>
        <w:rPr>
          <w:rFonts w:ascii="Century Gothic" w:hAnsi="Century Gothic"/>
        </w:rPr>
      </w:pPr>
    </w:p>
    <w:p w14:paraId="11B0E75E" w14:textId="77777777" w:rsidR="008B6710" w:rsidRPr="00AB230A" w:rsidRDefault="008B6710" w:rsidP="008B6710">
      <w:pPr>
        <w:pStyle w:val="ListParagraph"/>
        <w:tabs>
          <w:tab w:val="left" w:pos="990"/>
          <w:tab w:val="left" w:pos="3510"/>
        </w:tabs>
        <w:ind w:left="990" w:hanging="270"/>
        <w:rPr>
          <w:rFonts w:ascii="Century Gothic" w:hAnsi="Century Gothic"/>
          <w:i/>
          <w:sz w:val="16"/>
          <w:szCs w:val="16"/>
        </w:rPr>
      </w:pPr>
      <w:r w:rsidRPr="00AB230A">
        <w:rPr>
          <w:rFonts w:ascii="Century Gothic" w:hAnsi="Century Gothic"/>
          <w:i/>
          <w:sz w:val="16"/>
          <w:szCs w:val="16"/>
        </w:rPr>
        <w:t>**</w:t>
      </w:r>
      <w:r w:rsidRPr="00AB230A">
        <w:rPr>
          <w:rFonts w:ascii="Century Gothic" w:hAnsi="Century Gothic"/>
          <w:i/>
          <w:sz w:val="16"/>
          <w:szCs w:val="16"/>
        </w:rPr>
        <w:tab/>
        <w:t>The “Baseline Mix Percentage” figures given in the “Mix of Family Sizes Served (in Plan Year)” table should match those in the column of the same name in the “Baseline Mix of Family Sizes Served (upon entry to MTW)” table.</w:t>
      </w:r>
    </w:p>
    <w:p w14:paraId="4AA8B6F2" w14:textId="77777777" w:rsidR="008B6710" w:rsidRPr="00AB230A" w:rsidRDefault="008B6710" w:rsidP="008B6710">
      <w:pPr>
        <w:pStyle w:val="ListParagraph"/>
        <w:tabs>
          <w:tab w:val="left" w:pos="990"/>
          <w:tab w:val="left" w:pos="3510"/>
        </w:tabs>
        <w:ind w:left="990" w:hanging="270"/>
        <w:rPr>
          <w:rFonts w:ascii="Century Gothic" w:hAnsi="Century Gothic"/>
          <w:i/>
          <w:sz w:val="16"/>
          <w:szCs w:val="16"/>
        </w:rPr>
      </w:pPr>
    </w:p>
    <w:p w14:paraId="457F4BCA" w14:textId="77777777" w:rsidR="008B6710" w:rsidRPr="00AB230A" w:rsidRDefault="008B6710" w:rsidP="008B6710">
      <w:pPr>
        <w:pStyle w:val="ListParagraph"/>
        <w:tabs>
          <w:tab w:val="left" w:pos="990"/>
          <w:tab w:val="left" w:pos="3510"/>
        </w:tabs>
        <w:ind w:left="990" w:hanging="270"/>
        <w:rPr>
          <w:rFonts w:ascii="Century Gothic" w:hAnsi="Century Gothic"/>
          <w:i/>
          <w:sz w:val="16"/>
          <w:szCs w:val="16"/>
        </w:rPr>
      </w:pPr>
      <w:r w:rsidRPr="00AB230A">
        <w:rPr>
          <w:rFonts w:ascii="Century Gothic" w:hAnsi="Century Gothic"/>
          <w:i/>
          <w:sz w:val="16"/>
          <w:szCs w:val="16"/>
        </w:rPr>
        <w:t>^</w:t>
      </w:r>
      <w:r w:rsidRPr="00AB230A">
        <w:rPr>
          <w:rFonts w:ascii="Century Gothic" w:hAnsi="Century Gothic"/>
          <w:i/>
          <w:sz w:val="16"/>
          <w:szCs w:val="16"/>
        </w:rPr>
        <w:tab/>
        <w:t xml:space="preserve">The “Total” in the “Number of Households Served in Plan Year” column should match the “Actual Total” box in the “Actual Number of Households Served in the Plan Year” table in Section </w:t>
      </w:r>
      <w:proofErr w:type="spellStart"/>
      <w:r w:rsidRPr="00AB230A">
        <w:rPr>
          <w:rFonts w:ascii="Century Gothic" w:hAnsi="Century Gothic"/>
          <w:i/>
          <w:sz w:val="16"/>
          <w:szCs w:val="16"/>
        </w:rPr>
        <w:t>II.B.i</w:t>
      </w:r>
      <w:proofErr w:type="spellEnd"/>
      <w:r w:rsidRPr="00AB230A">
        <w:rPr>
          <w:rFonts w:ascii="Century Gothic" w:hAnsi="Century Gothic"/>
          <w:i/>
          <w:sz w:val="16"/>
          <w:szCs w:val="16"/>
        </w:rPr>
        <w:t xml:space="preserve"> of this Annual MTW Report.</w:t>
      </w:r>
    </w:p>
    <w:p w14:paraId="3F8B511C" w14:textId="77777777" w:rsidR="008B6710" w:rsidRPr="00AB230A" w:rsidRDefault="008B6710" w:rsidP="008B6710">
      <w:pPr>
        <w:pStyle w:val="ListParagraph"/>
        <w:ind w:left="360"/>
        <w:rPr>
          <w:rFonts w:ascii="Century Gothic" w:hAnsi="Century Gothic"/>
          <w:i/>
          <w:sz w:val="16"/>
          <w:szCs w:val="16"/>
        </w:rPr>
      </w:pPr>
    </w:p>
    <w:p w14:paraId="041B1B81" w14:textId="42D29700" w:rsidR="00153878" w:rsidRPr="00AB230A" w:rsidRDefault="271C1F83" w:rsidP="46B3BF7C">
      <w:pPr>
        <w:pStyle w:val="ListParagraph"/>
        <w:tabs>
          <w:tab w:val="left" w:pos="990"/>
        </w:tabs>
        <w:ind w:left="990" w:hanging="270"/>
        <w:rPr>
          <w:rFonts w:ascii="Century Gothic" w:hAnsi="Century Gothic"/>
          <w:i/>
          <w:iCs/>
          <w:sz w:val="16"/>
          <w:szCs w:val="16"/>
        </w:rPr>
      </w:pPr>
      <w:r w:rsidRPr="00AB230A">
        <w:rPr>
          <w:rFonts w:ascii="Century Gothic" w:hAnsi="Century Gothic"/>
          <w:i/>
          <w:iCs/>
          <w:sz w:val="16"/>
          <w:szCs w:val="16"/>
        </w:rPr>
        <w:t>^^ The percentages in this column should be calculated by dividing the number in the prior column for each family size by the “Total” number of households served in the Plan Year. These percentages will reflect adjustment to the mix of families served that are due to the decisions of the MTW PHA. Justification of percentages in the current Plan Year that vary by more than 5% from the Baseline Year must be provided below.</w:t>
      </w:r>
    </w:p>
    <w:p w14:paraId="7A08BA2E" w14:textId="4794449B" w:rsidR="46B3BF7C" w:rsidRDefault="46B3BF7C" w:rsidP="46B3BF7C">
      <w:pPr>
        <w:pStyle w:val="ListParagraph"/>
        <w:tabs>
          <w:tab w:val="left" w:pos="990"/>
        </w:tabs>
        <w:ind w:left="990" w:hanging="270"/>
        <w:rPr>
          <w:rFonts w:ascii="Times New Roman" w:hAnsi="Times New Roman"/>
          <w:i/>
          <w:iCs/>
          <w:sz w:val="16"/>
          <w:szCs w:val="16"/>
        </w:rPr>
      </w:pPr>
    </w:p>
    <w:p w14:paraId="28A7D1F5" w14:textId="262DED3B" w:rsidR="46B3BF7C" w:rsidRDefault="46B3BF7C" w:rsidP="46B3BF7C">
      <w:pPr>
        <w:pStyle w:val="ListParagraph"/>
        <w:tabs>
          <w:tab w:val="left" w:pos="990"/>
        </w:tabs>
        <w:ind w:left="990" w:hanging="270"/>
        <w:rPr>
          <w:rFonts w:ascii="Times New Roman" w:hAnsi="Times New Roman"/>
          <w:i/>
          <w:iCs/>
          <w:sz w:val="16"/>
          <w:szCs w:val="16"/>
        </w:rPr>
      </w:pPr>
    </w:p>
    <w:p w14:paraId="0952C73C" w14:textId="0918002D" w:rsidR="008B6710" w:rsidRPr="00AB230A" w:rsidRDefault="380D5AE3" w:rsidP="46B3BF7C">
      <w:pPr>
        <w:pStyle w:val="ListParagraph"/>
        <w:tabs>
          <w:tab w:val="left" w:pos="3510"/>
        </w:tabs>
        <w:rPr>
          <w:rFonts w:ascii="Century Gothic" w:hAnsi="Century Gothic"/>
          <w:b/>
          <w:bCs/>
        </w:rPr>
      </w:pPr>
      <w:r w:rsidRPr="00AB230A">
        <w:rPr>
          <w:rFonts w:ascii="Century Gothic" w:hAnsi="Century Gothic"/>
          <w:b/>
          <w:bCs/>
        </w:rPr>
        <w:t>Please describe the justification for any variances of more than 5% between the Plan Year and Baseline Year:</w:t>
      </w:r>
    </w:p>
    <w:p w14:paraId="7B9E7A67" w14:textId="413850C1" w:rsidR="2C805A1A" w:rsidRPr="00AF5128" w:rsidRDefault="00AF5128" w:rsidP="2C805A1A">
      <w:pPr>
        <w:pStyle w:val="ListParagraph"/>
        <w:tabs>
          <w:tab w:val="left" w:pos="3510"/>
        </w:tabs>
        <w:rPr>
          <w:rFonts w:ascii="Times New Roman" w:hAnsi="Times New Roman"/>
          <w:b/>
          <w:bCs/>
          <w:highlight w:val="yellow"/>
        </w:rPr>
      </w:pPr>
      <w:r>
        <w:rPr>
          <w:noProof/>
        </w:rPr>
        <mc:AlternateContent>
          <mc:Choice Requires="wps">
            <w:drawing>
              <wp:anchor distT="0" distB="0" distL="114300" distR="114300" simplePos="0" relativeHeight="251658260" behindDoc="0" locked="0" layoutInCell="1" allowOverlap="1" wp14:anchorId="29F76182" wp14:editId="5658104F">
                <wp:simplePos x="0" y="0"/>
                <wp:positionH relativeFrom="column">
                  <wp:posOffset>440055</wp:posOffset>
                </wp:positionH>
                <wp:positionV relativeFrom="paragraph">
                  <wp:posOffset>204471</wp:posOffset>
                </wp:positionV>
                <wp:extent cx="5647055" cy="742950"/>
                <wp:effectExtent l="19050" t="19050" r="10795" b="19050"/>
                <wp:wrapNone/>
                <wp:docPr id="48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742950"/>
                        </a:xfrm>
                        <a:prstGeom prst="rect">
                          <a:avLst/>
                        </a:prstGeom>
                        <a:solidFill>
                          <a:srgbClr val="FFFFFF"/>
                        </a:solidFill>
                        <a:ln w="28575">
                          <a:solidFill>
                            <a:srgbClr val="000000"/>
                          </a:solidFill>
                          <a:miter lim="800000"/>
                          <a:headEnd/>
                          <a:tailEnd/>
                        </a:ln>
                      </wps:spPr>
                      <wps:txbx>
                        <w:txbxContent>
                          <w:p w14:paraId="3B5A0A3E" w14:textId="34769C16" w:rsidR="005F381C" w:rsidRPr="00AB230A" w:rsidRDefault="00AF5128" w:rsidP="00133AFA">
                            <w:pPr>
                              <w:ind w:right="-163"/>
                              <w:rPr>
                                <w:rFonts w:ascii="Century Gothic" w:hAnsi="Century Gothic"/>
                              </w:rPr>
                            </w:pPr>
                            <w:r w:rsidRPr="00AB230A">
                              <w:rPr>
                                <w:rFonts w:ascii="Century Gothic" w:hAnsi="Century Gothic"/>
                              </w:rPr>
                              <w:t xml:space="preserve">ECC/HANH </w:t>
                            </w:r>
                            <w:r w:rsidR="002E0083" w:rsidRPr="00AB230A">
                              <w:rPr>
                                <w:rFonts w:ascii="Century Gothic" w:hAnsi="Century Gothic"/>
                              </w:rPr>
                              <w:t>saw</w:t>
                            </w:r>
                            <w:r w:rsidRPr="00AB230A">
                              <w:rPr>
                                <w:rFonts w:ascii="Century Gothic" w:hAnsi="Century Gothic"/>
                              </w:rPr>
                              <w:t xml:space="preserve"> an increase of 11% in 1 person families over baseline due to </w:t>
                            </w:r>
                            <w:r w:rsidR="004B36AE" w:rsidRPr="00AB230A">
                              <w:rPr>
                                <w:rFonts w:ascii="Century Gothic" w:hAnsi="Century Gothic"/>
                              </w:rPr>
                              <w:t>the construction</w:t>
                            </w:r>
                            <w:r w:rsidRPr="00AB230A">
                              <w:rPr>
                                <w:rFonts w:ascii="Century Gothic" w:hAnsi="Century Gothic"/>
                              </w:rPr>
                              <w:t xml:space="preserve"> of additional units including a senior development located at 122 Wilmot Road</w:t>
                            </w:r>
                            <w:r w:rsidR="00133AFA">
                              <w:rPr>
                                <w:rFonts w:ascii="Century Gothic" w:hAnsi="Century Gothic"/>
                              </w:rPr>
                              <w:t xml:space="preserve"> and increased utilization of TBV for single elderly/disabled households</w:t>
                            </w:r>
                            <w:r w:rsidRPr="00AB230A">
                              <w:rPr>
                                <w:rFonts w:ascii="Century Gothic" w:hAnsi="Century Gothic"/>
                              </w:rPr>
                              <w:t>.</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F76182" id="Text Box 65" o:spid="_x0000_s1037" type="#_x0000_t202" style="position:absolute;left:0;text-align:left;margin-left:34.65pt;margin-top:16.1pt;width:444.65pt;height:5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" strokeweight="2.25pt">
                <v:textbox inset=",0,,0">
                  <w:txbxContent>
                    <w:p w14:paraId="3B5A0A3E" w14:textId="34769C16" w:rsidR="005F381C" w:rsidRPr="00AB230A" w:rsidRDefault="00AF5128" w:rsidP="00133AFA">
                      <w:pPr>
                        <w:ind w:right="-163"/>
                        <w:rPr>
                          <w:rFonts w:ascii="Century Gothic" w:hAnsi="Century Gothic"/>
                        </w:rPr>
                      </w:pPr>
                      <w:r w:rsidRPr="00AB230A">
                        <w:rPr>
                          <w:rFonts w:ascii="Century Gothic" w:hAnsi="Century Gothic"/>
                        </w:rPr>
                        <w:t xml:space="preserve">ECC/HANH </w:t>
                      </w:r>
                      <w:r w:rsidR="002E0083" w:rsidRPr="00AB230A">
                        <w:rPr>
                          <w:rFonts w:ascii="Century Gothic" w:hAnsi="Century Gothic"/>
                        </w:rPr>
                        <w:t>saw</w:t>
                      </w:r>
                      <w:r w:rsidRPr="00AB230A">
                        <w:rPr>
                          <w:rFonts w:ascii="Century Gothic" w:hAnsi="Century Gothic"/>
                        </w:rPr>
                        <w:t xml:space="preserve"> an increase of 11% in 1 person families over baseline due to </w:t>
                      </w:r>
                      <w:r w:rsidR="004B36AE" w:rsidRPr="00AB230A">
                        <w:rPr>
                          <w:rFonts w:ascii="Century Gothic" w:hAnsi="Century Gothic"/>
                        </w:rPr>
                        <w:t>the construction</w:t>
                      </w:r>
                      <w:r w:rsidRPr="00AB230A">
                        <w:rPr>
                          <w:rFonts w:ascii="Century Gothic" w:hAnsi="Century Gothic"/>
                        </w:rPr>
                        <w:t xml:space="preserve"> of additional units including a senior development located at 122 Wilmot Road</w:t>
                      </w:r>
                      <w:r w:rsidR="00133AFA">
                        <w:rPr>
                          <w:rFonts w:ascii="Century Gothic" w:hAnsi="Century Gothic"/>
                        </w:rPr>
                        <w:t xml:space="preserve"> and increased utilization of TBV for single elderly/disabled households</w:t>
                      </w:r>
                      <w:r w:rsidRPr="00AB230A">
                        <w:rPr>
                          <w:rFonts w:ascii="Century Gothic" w:hAnsi="Century Gothic"/>
                        </w:rPr>
                        <w:t>.</w:t>
                      </w:r>
                    </w:p>
                  </w:txbxContent>
                </v:textbox>
              </v:shape>
            </w:pict>
          </mc:Fallback>
        </mc:AlternateContent>
      </w:r>
    </w:p>
    <w:tbl>
      <w:tblPr>
        <w:tblW w:w="0" w:type="auto"/>
        <w:tblLayout w:type="fixed"/>
        <w:tblLook w:val="06A0" w:firstRow="1" w:lastRow="0" w:firstColumn="1" w:lastColumn="0" w:noHBand="1" w:noVBand="1"/>
      </w:tblPr>
      <w:tblGrid>
        <w:gridCol w:w="9930"/>
      </w:tblGrid>
      <w:tr w:rsidR="2C805A1A" w14:paraId="230FE66B" w14:textId="77777777" w:rsidTr="00AF5128">
        <w:trPr>
          <w:trHeight w:val="300"/>
        </w:trPr>
        <w:tc>
          <w:tcPr>
            <w:tcW w:w="9930" w:type="dxa"/>
            <w:vAlign w:val="center"/>
          </w:tcPr>
          <w:p w14:paraId="37E5D31E" w14:textId="5251D0D7" w:rsidR="2C805A1A" w:rsidRPr="00AF5128" w:rsidRDefault="2C805A1A" w:rsidP="0E6C54AB">
            <w:pPr>
              <w:jc w:val="center"/>
              <w:rPr>
                <w:rFonts w:ascii="Times New Roman" w:hAnsi="Times New Roman"/>
              </w:rPr>
            </w:pPr>
          </w:p>
        </w:tc>
      </w:tr>
    </w:tbl>
    <w:p w14:paraId="4F8336D7" w14:textId="7F84A03E" w:rsidR="2C805A1A" w:rsidRPr="00AF5128" w:rsidRDefault="2C805A1A" w:rsidP="46B3BF7C">
      <w:pPr>
        <w:rPr>
          <w:rFonts w:eastAsia="Calibri" w:cs="Calibri"/>
          <w:color w:val="000000" w:themeColor="text1"/>
          <w:sz w:val="18"/>
          <w:szCs w:val="18"/>
        </w:rPr>
      </w:pPr>
    </w:p>
    <w:p w14:paraId="6EC33C1C" w14:textId="528DE0AA" w:rsidR="2C805A1A" w:rsidRPr="00AF5128" w:rsidRDefault="2C805A1A" w:rsidP="2C805A1A">
      <w:pPr>
        <w:pStyle w:val="ListParagraph"/>
        <w:tabs>
          <w:tab w:val="left" w:pos="3510"/>
        </w:tabs>
        <w:rPr>
          <w:rFonts w:ascii="Times New Roman" w:hAnsi="Times New Roman"/>
          <w:b/>
          <w:bCs/>
          <w:highlight w:val="yellow"/>
        </w:rPr>
      </w:pPr>
    </w:p>
    <w:p w14:paraId="5D07F451" w14:textId="2D4C51EA" w:rsidR="2C805A1A" w:rsidRPr="00AF5128" w:rsidRDefault="2C805A1A" w:rsidP="2C805A1A">
      <w:pPr>
        <w:pStyle w:val="ListParagraph"/>
        <w:tabs>
          <w:tab w:val="left" w:pos="3510"/>
        </w:tabs>
        <w:rPr>
          <w:rFonts w:ascii="Times New Roman" w:hAnsi="Times New Roman"/>
          <w:b/>
          <w:bCs/>
          <w:highlight w:val="yellow"/>
        </w:rPr>
      </w:pPr>
    </w:p>
    <w:p w14:paraId="1018ADF1" w14:textId="70171973" w:rsidR="005F381C" w:rsidRPr="004F247D" w:rsidRDefault="11034A40" w:rsidP="2C805A1A">
      <w:pPr>
        <w:ind w:right="-163"/>
        <w:jc w:val="center"/>
        <w:rPr>
          <w:rFonts w:ascii="Times New Roman" w:hAnsi="Times New Roman"/>
        </w:rPr>
      </w:pPr>
      <w:r w:rsidRPr="2C805A1A">
        <w:rPr>
          <w:rFonts w:ascii="Times New Roman" w:hAnsi="Times New Roman"/>
        </w:rPr>
        <w:t>N/A</w:t>
      </w:r>
    </w:p>
    <w:p w14:paraId="37B32D9B" w14:textId="16655A65" w:rsidR="63BCA267" w:rsidRDefault="63BCA267" w:rsidP="0175C16E">
      <w:pPr>
        <w:pStyle w:val="ListParagraph"/>
        <w:tabs>
          <w:tab w:val="left" w:pos="3510"/>
        </w:tabs>
        <w:rPr>
          <w:rFonts w:eastAsia="MS PGothic"/>
          <w:b/>
          <w:bCs/>
        </w:rPr>
      </w:pPr>
    </w:p>
    <w:p w14:paraId="2B2D3010" w14:textId="21BE1CF9" w:rsidR="000D09CC" w:rsidRPr="00AA4E6C" w:rsidRDefault="1BD80307" w:rsidP="35B498EC">
      <w:pPr>
        <w:rPr>
          <w:rFonts w:ascii="Century Gothic" w:hAnsi="Century Gothic"/>
          <w:b/>
          <w:bCs/>
        </w:rPr>
      </w:pPr>
      <w:r w:rsidRPr="00AA4E6C">
        <w:rPr>
          <w:rFonts w:ascii="Century Gothic" w:hAnsi="Century Gothic"/>
          <w:b/>
          <w:bCs/>
        </w:rPr>
        <w:t xml:space="preserve">iii. </w:t>
      </w:r>
      <w:r w:rsidR="163086B0" w:rsidRPr="00AA4E6C">
        <w:rPr>
          <w:rFonts w:ascii="Century Gothic" w:hAnsi="Century Gothic"/>
          <w:b/>
          <w:bCs/>
        </w:rPr>
        <w:t>Number of Households Transitioned to Self-Sufficiency in the Plan Year</w:t>
      </w:r>
    </w:p>
    <w:p w14:paraId="5A0F6750" w14:textId="77777777" w:rsidR="008B6710" w:rsidRPr="00AA4E6C" w:rsidRDefault="008B6710" w:rsidP="008B6710">
      <w:pPr>
        <w:pStyle w:val="ListParagraph"/>
        <w:rPr>
          <w:rFonts w:ascii="Century Gothic" w:hAnsi="Century Gothic"/>
          <w:szCs w:val="22"/>
        </w:rPr>
      </w:pPr>
      <w:r w:rsidRPr="00AA4E6C">
        <w:rPr>
          <w:rFonts w:ascii="Century Gothic" w:hAnsi="Century Gothic"/>
          <w:szCs w:val="22"/>
        </w:rPr>
        <w:t xml:space="preserve">Number of households, across MTW activities, that were transitioned to the MTW PHA’s local definition of </w:t>
      </w:r>
      <w:r w:rsidR="00702F72" w:rsidRPr="00AA4E6C">
        <w:rPr>
          <w:rFonts w:ascii="Century Gothic" w:hAnsi="Century Gothic"/>
          <w:szCs w:val="22"/>
        </w:rPr>
        <w:t>self-sufficiency</w:t>
      </w:r>
      <w:r w:rsidRPr="00AA4E6C">
        <w:rPr>
          <w:rFonts w:ascii="Century Gothic" w:hAnsi="Century Gothic"/>
          <w:szCs w:val="22"/>
        </w:rPr>
        <w:t xml:space="preserve"> during the Plan Year.</w:t>
      </w:r>
    </w:p>
    <w:p w14:paraId="1BFB419B" w14:textId="77777777" w:rsidR="008B6710" w:rsidRPr="00AA4E6C" w:rsidRDefault="008B6710" w:rsidP="008B6710">
      <w:pPr>
        <w:pStyle w:val="ListParagraph"/>
        <w:rPr>
          <w:rFonts w:ascii="Century Gothic" w:hAnsi="Century Gothic"/>
          <w:szCs w:val="22"/>
        </w:rPr>
      </w:pPr>
    </w:p>
    <w:tbl>
      <w:tblPr>
        <w:tblStyle w:val="TableGrid"/>
        <w:tblpPr w:leftFromText="180" w:rightFromText="180" w:vertAnchor="text" w:tblpX="348" w:tblpY="1"/>
        <w:tblOverlap w:val="never"/>
        <w:tblW w:w="9630" w:type="dxa"/>
        <w:tblLayout w:type="fixed"/>
        <w:tblLook w:val="04A0" w:firstRow="1" w:lastRow="0" w:firstColumn="1" w:lastColumn="0" w:noHBand="0" w:noVBand="1"/>
      </w:tblPr>
      <w:tblGrid>
        <w:gridCol w:w="2700"/>
        <w:gridCol w:w="2160"/>
        <w:gridCol w:w="4770"/>
      </w:tblGrid>
      <w:tr w:rsidR="009E30A0" w:rsidRPr="00AB230A" w14:paraId="4DD5AFD0" w14:textId="77777777" w:rsidTr="5A812D10">
        <w:trPr>
          <w:trHeight w:val="518"/>
        </w:trPr>
        <w:tc>
          <w:tcPr>
            <w:tcW w:w="270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11108D1C" w14:textId="77777777" w:rsidR="008B6710" w:rsidRPr="00AA4E6C" w:rsidRDefault="008B6710" w:rsidP="008B6710">
            <w:pPr>
              <w:pStyle w:val="ListParagraph"/>
              <w:ind w:left="0"/>
              <w:jc w:val="center"/>
              <w:rPr>
                <w:rFonts w:ascii="Century Gothic" w:hAnsi="Century Gothic"/>
                <w:b/>
                <w:szCs w:val="22"/>
              </w:rPr>
            </w:pPr>
            <w:r w:rsidRPr="00AA4E6C">
              <w:rPr>
                <w:rFonts w:ascii="Century Gothic" w:hAnsi="Century Gothic"/>
                <w:b/>
                <w:szCs w:val="22"/>
              </w:rPr>
              <w:t>MTW ACTIVITY NAME/NUMBER</w:t>
            </w:r>
          </w:p>
        </w:tc>
        <w:tc>
          <w:tcPr>
            <w:tcW w:w="2160" w:type="dxa"/>
            <w:tcBorders>
              <w:top w:val="single" w:sz="24" w:space="0" w:color="auto"/>
              <w:left w:val="single" w:sz="24" w:space="0" w:color="auto"/>
              <w:right w:val="single" w:sz="24" w:space="0" w:color="auto"/>
            </w:tcBorders>
            <w:shd w:val="clear" w:color="auto" w:fill="BFBFBF" w:themeFill="background1" w:themeFillShade="BF"/>
            <w:vAlign w:val="center"/>
          </w:tcPr>
          <w:p w14:paraId="43022EAF" w14:textId="77777777" w:rsidR="008B6710" w:rsidRPr="00AA4E6C" w:rsidRDefault="008B6710" w:rsidP="008B6710">
            <w:pPr>
              <w:pStyle w:val="ListParagraph"/>
              <w:ind w:left="0"/>
              <w:jc w:val="center"/>
              <w:rPr>
                <w:rFonts w:ascii="Century Gothic" w:hAnsi="Century Gothic"/>
                <w:b/>
                <w:szCs w:val="22"/>
              </w:rPr>
            </w:pPr>
            <w:r w:rsidRPr="00AA4E6C">
              <w:rPr>
                <w:rFonts w:ascii="Century Gothic" w:hAnsi="Century Gothic"/>
                <w:b/>
                <w:szCs w:val="22"/>
              </w:rPr>
              <w:t>NUMBER OF HOUSEHOLDS TRANSITIONED TO SELF SUFFICIENCY*</w:t>
            </w:r>
          </w:p>
        </w:tc>
        <w:tc>
          <w:tcPr>
            <w:tcW w:w="4770" w:type="dxa"/>
            <w:tcBorders>
              <w:top w:val="single" w:sz="24" w:space="0" w:color="auto"/>
              <w:left w:val="single" w:sz="24" w:space="0" w:color="auto"/>
              <w:right w:val="single" w:sz="24" w:space="0" w:color="auto"/>
            </w:tcBorders>
            <w:shd w:val="clear" w:color="auto" w:fill="BFBFBF" w:themeFill="background1" w:themeFillShade="BF"/>
            <w:vAlign w:val="center"/>
          </w:tcPr>
          <w:p w14:paraId="45C5BC4D" w14:textId="77777777" w:rsidR="008B6710" w:rsidRPr="00AA4E6C" w:rsidRDefault="008B6710" w:rsidP="008B6710">
            <w:pPr>
              <w:pStyle w:val="ListParagraph"/>
              <w:ind w:left="0"/>
              <w:jc w:val="center"/>
              <w:rPr>
                <w:rFonts w:ascii="Century Gothic" w:hAnsi="Century Gothic"/>
                <w:b/>
                <w:szCs w:val="22"/>
              </w:rPr>
            </w:pPr>
            <w:r w:rsidRPr="00AA4E6C">
              <w:rPr>
                <w:rFonts w:ascii="Century Gothic" w:hAnsi="Century Gothic"/>
                <w:b/>
                <w:szCs w:val="22"/>
              </w:rPr>
              <w:t xml:space="preserve">MTW PHA LOCAL DEFINITION OF SELF SUFFICIENCY </w:t>
            </w:r>
          </w:p>
        </w:tc>
      </w:tr>
      <w:tr w:rsidR="009E30A0" w:rsidRPr="00AB230A" w14:paraId="07858784" w14:textId="77777777" w:rsidTr="5A812D10">
        <w:trPr>
          <w:trHeight w:val="216"/>
        </w:trPr>
        <w:tc>
          <w:tcPr>
            <w:tcW w:w="2700" w:type="dxa"/>
            <w:tcBorders>
              <w:top w:val="single" w:sz="24" w:space="0" w:color="auto"/>
              <w:left w:val="single" w:sz="24" w:space="0" w:color="auto"/>
              <w:bottom w:val="single" w:sz="4" w:space="0" w:color="auto"/>
              <w:right w:val="single" w:sz="24" w:space="0" w:color="auto"/>
            </w:tcBorders>
            <w:vAlign w:val="center"/>
          </w:tcPr>
          <w:p w14:paraId="19C6903D" w14:textId="77777777" w:rsidR="008B6710" w:rsidRPr="00AA4E6C" w:rsidRDefault="00EB2753" w:rsidP="008B6710">
            <w:pPr>
              <w:pStyle w:val="ListParagraph"/>
              <w:ind w:left="0"/>
              <w:jc w:val="center"/>
              <w:rPr>
                <w:rFonts w:ascii="Century Gothic" w:hAnsi="Century Gothic"/>
                <w:szCs w:val="22"/>
              </w:rPr>
            </w:pPr>
            <w:r w:rsidRPr="00AA4E6C">
              <w:rPr>
                <w:rFonts w:ascii="Century Gothic" w:hAnsi="Century Gothic"/>
                <w:szCs w:val="22"/>
              </w:rPr>
              <w:t>CARES</w:t>
            </w:r>
          </w:p>
        </w:tc>
        <w:tc>
          <w:tcPr>
            <w:tcW w:w="2160" w:type="dxa"/>
            <w:tcBorders>
              <w:top w:val="single" w:sz="24" w:space="0" w:color="auto"/>
              <w:left w:val="single" w:sz="24" w:space="0" w:color="auto"/>
              <w:bottom w:val="single" w:sz="4" w:space="0" w:color="auto"/>
              <w:right w:val="single" w:sz="24" w:space="0" w:color="auto"/>
            </w:tcBorders>
            <w:vAlign w:val="center"/>
          </w:tcPr>
          <w:p w14:paraId="7198272F" w14:textId="56A2280A" w:rsidR="008B6710" w:rsidRPr="00AA4E6C" w:rsidRDefault="4486BE36" w:rsidP="2C805A1A">
            <w:pPr>
              <w:pStyle w:val="ListParagraph"/>
              <w:ind w:left="0"/>
              <w:jc w:val="center"/>
              <w:rPr>
                <w:rFonts w:ascii="Century Gothic" w:hAnsi="Century Gothic"/>
              </w:rPr>
            </w:pPr>
            <w:r w:rsidRPr="00AA4E6C">
              <w:rPr>
                <w:rFonts w:ascii="Century Gothic" w:hAnsi="Century Gothic"/>
              </w:rPr>
              <w:t>4</w:t>
            </w:r>
            <w:r w:rsidR="6358214B" w:rsidRPr="00AA4E6C">
              <w:rPr>
                <w:rFonts w:ascii="Century Gothic" w:hAnsi="Century Gothic"/>
              </w:rPr>
              <w:t xml:space="preserve"> </w:t>
            </w:r>
          </w:p>
        </w:tc>
        <w:tc>
          <w:tcPr>
            <w:tcW w:w="4770" w:type="dxa"/>
            <w:tcBorders>
              <w:top w:val="single" w:sz="24" w:space="0" w:color="auto"/>
              <w:left w:val="single" w:sz="24" w:space="0" w:color="auto"/>
              <w:bottom w:val="single" w:sz="4" w:space="0" w:color="auto"/>
              <w:right w:val="single" w:sz="24" w:space="0" w:color="auto"/>
            </w:tcBorders>
            <w:vAlign w:val="center"/>
          </w:tcPr>
          <w:p w14:paraId="2CBD331B" w14:textId="77777777" w:rsidR="009C668D" w:rsidRDefault="002B6DA0" w:rsidP="008B6710">
            <w:pPr>
              <w:pStyle w:val="ListParagraph"/>
              <w:ind w:left="0"/>
              <w:jc w:val="center"/>
              <w:rPr>
                <w:rFonts w:ascii="Century Gothic" w:hAnsi="Century Gothic"/>
                <w:szCs w:val="22"/>
              </w:rPr>
            </w:pPr>
            <w:r>
              <w:rPr>
                <w:rFonts w:ascii="Century Gothic" w:hAnsi="Century Gothic"/>
                <w:szCs w:val="22"/>
              </w:rPr>
              <w:t xml:space="preserve">2 </w:t>
            </w:r>
            <w:r w:rsidR="009C668D">
              <w:rPr>
                <w:rFonts w:ascii="Century Gothic" w:hAnsi="Century Gothic"/>
                <w:szCs w:val="22"/>
              </w:rPr>
              <w:t>new Homeowners</w:t>
            </w:r>
          </w:p>
          <w:p w14:paraId="75242AA9" w14:textId="62231044" w:rsidR="008B6710" w:rsidRPr="00AA4E6C" w:rsidRDefault="009C668D" w:rsidP="008B6710">
            <w:pPr>
              <w:pStyle w:val="ListParagraph"/>
              <w:ind w:left="0"/>
              <w:jc w:val="center"/>
              <w:rPr>
                <w:rFonts w:ascii="Century Gothic" w:hAnsi="Century Gothic"/>
                <w:szCs w:val="22"/>
              </w:rPr>
            </w:pPr>
            <w:r>
              <w:rPr>
                <w:rFonts w:ascii="Century Gothic" w:hAnsi="Century Gothic"/>
                <w:szCs w:val="22"/>
              </w:rPr>
              <w:t>2 moved to market rate units</w:t>
            </w:r>
          </w:p>
        </w:tc>
      </w:tr>
      <w:tr w:rsidR="009E30A0" w:rsidRPr="00AB230A" w14:paraId="00622685" w14:textId="77777777" w:rsidTr="5A812D10">
        <w:trPr>
          <w:trHeight w:val="216"/>
        </w:trPr>
        <w:tc>
          <w:tcPr>
            <w:tcW w:w="2700" w:type="dxa"/>
            <w:tcBorders>
              <w:left w:val="single" w:sz="24" w:space="0" w:color="auto"/>
              <w:bottom w:val="single" w:sz="8" w:space="0" w:color="auto"/>
              <w:right w:val="single" w:sz="24" w:space="0" w:color="auto"/>
            </w:tcBorders>
            <w:vAlign w:val="center"/>
          </w:tcPr>
          <w:p w14:paraId="28AC78A5" w14:textId="4F8E33B8" w:rsidR="008B6710" w:rsidRPr="00AA4E6C" w:rsidRDefault="552EF1A7" w:rsidP="6468795D">
            <w:pPr>
              <w:pStyle w:val="ListParagraph"/>
              <w:ind w:left="0"/>
              <w:jc w:val="center"/>
              <w:rPr>
                <w:rFonts w:ascii="Century Gothic" w:hAnsi="Century Gothic"/>
              </w:rPr>
            </w:pPr>
            <w:r w:rsidRPr="00AA4E6C">
              <w:rPr>
                <w:rFonts w:ascii="Century Gothic" w:hAnsi="Century Gothic"/>
              </w:rPr>
              <w:lastRenderedPageBreak/>
              <w:t>Prison Community Re</w:t>
            </w:r>
            <w:r w:rsidR="52EFBDBC" w:rsidRPr="00AA4E6C">
              <w:rPr>
                <w:rFonts w:ascii="Century Gothic" w:hAnsi="Century Gothic"/>
              </w:rPr>
              <w:t>entry</w:t>
            </w:r>
            <w:r w:rsidR="24D3D07D" w:rsidRPr="00AA4E6C">
              <w:rPr>
                <w:rFonts w:ascii="Century Gothic" w:hAnsi="Century Gothic"/>
              </w:rPr>
              <w:t xml:space="preserve"> (LIPH only)</w:t>
            </w:r>
          </w:p>
        </w:tc>
        <w:tc>
          <w:tcPr>
            <w:tcW w:w="2160" w:type="dxa"/>
            <w:tcBorders>
              <w:left w:val="single" w:sz="24" w:space="0" w:color="auto"/>
              <w:bottom w:val="single" w:sz="8" w:space="0" w:color="auto"/>
              <w:right w:val="single" w:sz="24" w:space="0" w:color="auto"/>
            </w:tcBorders>
            <w:vAlign w:val="center"/>
          </w:tcPr>
          <w:p w14:paraId="7B9D136D" w14:textId="665F1769" w:rsidR="008B6710" w:rsidRPr="00AA4E6C" w:rsidRDefault="4F25A1D4" w:rsidP="2C805A1A">
            <w:pPr>
              <w:pStyle w:val="ListParagraph"/>
              <w:ind w:left="0"/>
              <w:jc w:val="center"/>
              <w:rPr>
                <w:rFonts w:ascii="Century Gothic" w:hAnsi="Century Gothic"/>
              </w:rPr>
            </w:pPr>
            <w:r w:rsidRPr="00AA4E6C">
              <w:rPr>
                <w:rFonts w:ascii="Century Gothic" w:hAnsi="Century Gothic"/>
              </w:rPr>
              <w:t>0</w:t>
            </w:r>
          </w:p>
        </w:tc>
        <w:tc>
          <w:tcPr>
            <w:tcW w:w="4770" w:type="dxa"/>
            <w:tcBorders>
              <w:left w:val="single" w:sz="24" w:space="0" w:color="auto"/>
              <w:bottom w:val="single" w:sz="8" w:space="0" w:color="auto"/>
              <w:right w:val="single" w:sz="24" w:space="0" w:color="auto"/>
            </w:tcBorders>
            <w:vAlign w:val="center"/>
          </w:tcPr>
          <w:p w14:paraId="53FF335C" w14:textId="7FEC8E6C" w:rsidR="008B6710" w:rsidRPr="00AA4E6C" w:rsidRDefault="52EFBDBC" w:rsidP="6468795D">
            <w:pPr>
              <w:pStyle w:val="ListParagraph"/>
              <w:ind w:left="0"/>
              <w:jc w:val="center"/>
              <w:rPr>
                <w:rFonts w:ascii="Century Gothic" w:hAnsi="Century Gothic"/>
              </w:rPr>
            </w:pPr>
            <w:r w:rsidRPr="00AA4E6C">
              <w:rPr>
                <w:rFonts w:ascii="Century Gothic" w:hAnsi="Century Gothic"/>
              </w:rPr>
              <w:t>Live Independently and be lease compliant</w:t>
            </w:r>
          </w:p>
        </w:tc>
      </w:tr>
      <w:tr w:rsidR="009E30A0" w:rsidRPr="00AB230A" w14:paraId="58179B1E" w14:textId="77777777" w:rsidTr="5A812D10">
        <w:trPr>
          <w:trHeight w:val="345"/>
        </w:trPr>
        <w:tc>
          <w:tcPr>
            <w:tcW w:w="2700" w:type="dxa"/>
            <w:tcBorders>
              <w:top w:val="single" w:sz="8" w:space="0" w:color="auto"/>
              <w:left w:val="single" w:sz="24" w:space="0" w:color="auto"/>
              <w:bottom w:val="single" w:sz="24" w:space="0" w:color="auto"/>
              <w:right w:val="single" w:sz="24" w:space="0" w:color="auto"/>
            </w:tcBorders>
            <w:vAlign w:val="center"/>
          </w:tcPr>
          <w:p w14:paraId="506C647A" w14:textId="3D0EE038" w:rsidR="008B6710" w:rsidRPr="00AA4E6C" w:rsidRDefault="00E42A01" w:rsidP="008B6710">
            <w:pPr>
              <w:pStyle w:val="ListParagraph"/>
              <w:ind w:left="0"/>
              <w:jc w:val="center"/>
              <w:rPr>
                <w:rFonts w:ascii="Century Gothic" w:hAnsi="Century Gothic"/>
                <w:szCs w:val="22"/>
              </w:rPr>
            </w:pPr>
            <w:r w:rsidRPr="00AA4E6C">
              <w:rPr>
                <w:rFonts w:ascii="Century Gothic" w:hAnsi="Century Gothic"/>
                <w:szCs w:val="22"/>
              </w:rPr>
              <w:t>Family Self Sufficiency Program</w:t>
            </w:r>
          </w:p>
        </w:tc>
        <w:tc>
          <w:tcPr>
            <w:tcW w:w="2160" w:type="dxa"/>
            <w:tcBorders>
              <w:top w:val="single" w:sz="8" w:space="0" w:color="auto"/>
              <w:left w:val="single" w:sz="24" w:space="0" w:color="auto"/>
              <w:bottom w:val="single" w:sz="24" w:space="0" w:color="auto"/>
              <w:right w:val="single" w:sz="24" w:space="0" w:color="auto"/>
            </w:tcBorders>
            <w:vAlign w:val="center"/>
          </w:tcPr>
          <w:p w14:paraId="695783F2" w14:textId="6B0CB998" w:rsidR="008B6710" w:rsidRPr="00AA4E6C" w:rsidRDefault="1F43F0C8" w:rsidP="2C805A1A">
            <w:pPr>
              <w:pStyle w:val="ListParagraph"/>
              <w:ind w:left="0"/>
              <w:jc w:val="center"/>
              <w:rPr>
                <w:rFonts w:ascii="Century Gothic" w:hAnsi="Century Gothic"/>
              </w:rPr>
            </w:pPr>
            <w:r w:rsidRPr="00AA4E6C">
              <w:rPr>
                <w:rFonts w:ascii="Century Gothic" w:hAnsi="Century Gothic"/>
              </w:rPr>
              <w:t xml:space="preserve"> </w:t>
            </w:r>
            <w:r w:rsidR="4FA1FAF3" w:rsidRPr="00AA4E6C">
              <w:rPr>
                <w:rFonts w:ascii="Century Gothic" w:hAnsi="Century Gothic"/>
              </w:rPr>
              <w:t>3</w:t>
            </w:r>
          </w:p>
        </w:tc>
        <w:tc>
          <w:tcPr>
            <w:tcW w:w="4770" w:type="dxa"/>
            <w:tcBorders>
              <w:top w:val="single" w:sz="8" w:space="0" w:color="auto"/>
              <w:left w:val="single" w:sz="24" w:space="0" w:color="auto"/>
              <w:bottom w:val="single" w:sz="24" w:space="0" w:color="auto"/>
              <w:right w:val="single" w:sz="24" w:space="0" w:color="auto"/>
            </w:tcBorders>
            <w:vAlign w:val="center"/>
          </w:tcPr>
          <w:p w14:paraId="1B1CC830" w14:textId="3418EF8F" w:rsidR="008B6710" w:rsidRPr="009C668D" w:rsidRDefault="35D46963" w:rsidP="2C805A1A">
            <w:pPr>
              <w:pStyle w:val="ListParagraph"/>
              <w:ind w:left="0"/>
              <w:jc w:val="center"/>
              <w:rPr>
                <w:rFonts w:ascii="Century Gothic" w:eastAsia="Times New Roman" w:hAnsi="Century Gothic"/>
              </w:rPr>
            </w:pPr>
            <w:r w:rsidRPr="00AA4E6C">
              <w:rPr>
                <w:rFonts w:ascii="Century Gothic" w:eastAsia="Times New Roman" w:hAnsi="Century Gothic"/>
                <w:color w:val="000000" w:themeColor="text1"/>
              </w:rPr>
              <w:t xml:space="preserve"> </w:t>
            </w:r>
            <w:r w:rsidR="5C23BF30" w:rsidRPr="009C668D">
              <w:rPr>
                <w:rFonts w:ascii="Century Gothic" w:eastAsia="Times New Roman" w:hAnsi="Century Gothic"/>
                <w:color w:val="000000" w:themeColor="text1"/>
              </w:rPr>
              <w:t>1</w:t>
            </w:r>
            <w:r w:rsidR="7FEB8538" w:rsidRPr="009C668D">
              <w:rPr>
                <w:rFonts w:ascii="Century Gothic" w:eastAsia="Times New Roman" w:hAnsi="Century Gothic"/>
                <w:color w:val="000000" w:themeColor="text1"/>
              </w:rPr>
              <w:t xml:space="preserve"> new </w:t>
            </w:r>
            <w:r w:rsidR="7D050118" w:rsidRPr="009C668D">
              <w:rPr>
                <w:rFonts w:ascii="Century Gothic" w:eastAsia="Times New Roman" w:hAnsi="Century Gothic"/>
                <w:color w:val="000000" w:themeColor="text1"/>
              </w:rPr>
              <w:t xml:space="preserve">SEHOP </w:t>
            </w:r>
            <w:r w:rsidR="7FEB8538" w:rsidRPr="009C668D">
              <w:rPr>
                <w:rFonts w:ascii="Century Gothic" w:eastAsia="Times New Roman" w:hAnsi="Century Gothic"/>
                <w:color w:val="000000" w:themeColor="text1"/>
              </w:rPr>
              <w:t>homeowner</w:t>
            </w:r>
            <w:r w:rsidR="64A80C06" w:rsidRPr="009C668D">
              <w:rPr>
                <w:rFonts w:ascii="Century Gothic" w:eastAsia="Times New Roman" w:hAnsi="Century Gothic"/>
                <w:color w:val="000000" w:themeColor="text1"/>
              </w:rPr>
              <w:t xml:space="preserve">s </w:t>
            </w:r>
            <w:r w:rsidR="7FEB8538" w:rsidRPr="009C668D">
              <w:rPr>
                <w:rFonts w:ascii="Century Gothic" w:eastAsia="Times New Roman" w:hAnsi="Century Gothic"/>
                <w:color w:val="000000" w:themeColor="text1"/>
              </w:rPr>
              <w:t xml:space="preserve"> </w:t>
            </w:r>
          </w:p>
          <w:p w14:paraId="0F611580" w14:textId="636E980E" w:rsidR="008B6710" w:rsidRPr="009C668D" w:rsidRDefault="09A3454B" w:rsidP="2C805A1A">
            <w:pPr>
              <w:pStyle w:val="ListParagraph"/>
              <w:ind w:left="0"/>
              <w:jc w:val="center"/>
              <w:rPr>
                <w:rFonts w:ascii="Century Gothic" w:eastAsia="Times New Roman" w:hAnsi="Century Gothic"/>
              </w:rPr>
            </w:pPr>
            <w:r w:rsidRPr="009C668D" w:rsidDel="7309FFF8">
              <w:rPr>
                <w:rFonts w:ascii="Century Gothic" w:eastAsia="Times New Roman" w:hAnsi="Century Gothic"/>
                <w:color w:val="000000" w:themeColor="text1"/>
              </w:rPr>
              <w:t>1</w:t>
            </w:r>
            <w:r w:rsidR="7309FFF8" w:rsidRPr="009C668D">
              <w:rPr>
                <w:rFonts w:ascii="Century Gothic" w:eastAsia="Times New Roman" w:hAnsi="Century Gothic"/>
                <w:color w:val="000000" w:themeColor="text1"/>
              </w:rPr>
              <w:t xml:space="preserve"> </w:t>
            </w:r>
            <w:proofErr w:type="spellStart"/>
            <w:r w:rsidR="7309FFF8" w:rsidRPr="009C668D">
              <w:rPr>
                <w:rFonts w:ascii="Century Gothic" w:eastAsia="Times New Roman" w:hAnsi="Century Gothic"/>
                <w:color w:val="000000" w:themeColor="text1"/>
              </w:rPr>
              <w:t>EOP’d</w:t>
            </w:r>
            <w:proofErr w:type="spellEnd"/>
            <w:r w:rsidR="7309FFF8" w:rsidRPr="009C668D">
              <w:rPr>
                <w:rFonts w:ascii="Century Gothic" w:eastAsia="Times New Roman" w:hAnsi="Century Gothic"/>
                <w:color w:val="000000" w:themeColor="text1"/>
              </w:rPr>
              <w:t xml:space="preserve"> from FSS – Over income </w:t>
            </w:r>
          </w:p>
          <w:p w14:paraId="5D6DCB28" w14:textId="0C600393" w:rsidR="008B6710" w:rsidRPr="00AA4E6C" w:rsidRDefault="09A3454B" w:rsidP="2C805A1A">
            <w:pPr>
              <w:pStyle w:val="ListParagraph"/>
              <w:ind w:left="0"/>
              <w:jc w:val="center"/>
              <w:rPr>
                <w:rFonts w:ascii="Century Gothic" w:eastAsia="Times New Roman" w:hAnsi="Century Gothic"/>
                <w:color w:val="000000" w:themeColor="text1"/>
              </w:rPr>
            </w:pPr>
            <w:r w:rsidRPr="009C668D">
              <w:rPr>
                <w:rFonts w:ascii="Century Gothic" w:eastAsia="Times New Roman" w:hAnsi="Century Gothic"/>
                <w:color w:val="000000" w:themeColor="text1"/>
              </w:rPr>
              <w:t xml:space="preserve">1 </w:t>
            </w:r>
            <w:proofErr w:type="spellStart"/>
            <w:r w:rsidRPr="009C668D">
              <w:rPr>
                <w:rFonts w:ascii="Century Gothic" w:eastAsia="Times New Roman" w:hAnsi="Century Gothic"/>
                <w:color w:val="000000" w:themeColor="text1"/>
              </w:rPr>
              <w:t>EOP’d</w:t>
            </w:r>
            <w:proofErr w:type="spellEnd"/>
            <w:r w:rsidRPr="009C668D">
              <w:rPr>
                <w:rFonts w:ascii="Century Gothic" w:eastAsia="Times New Roman" w:hAnsi="Century Gothic"/>
                <w:color w:val="000000" w:themeColor="text1"/>
              </w:rPr>
              <w:t xml:space="preserve"> from SEHOP – </w:t>
            </w:r>
            <w:r w:rsidR="00AF5128" w:rsidRPr="009C668D">
              <w:rPr>
                <w:rFonts w:ascii="Century Gothic" w:eastAsia="Times New Roman" w:hAnsi="Century Gothic"/>
                <w:color w:val="000000" w:themeColor="text1"/>
              </w:rPr>
              <w:t>15-year</w:t>
            </w:r>
            <w:r w:rsidRPr="009C668D">
              <w:rPr>
                <w:rFonts w:ascii="Century Gothic" w:eastAsia="Times New Roman" w:hAnsi="Century Gothic"/>
                <w:color w:val="000000" w:themeColor="text1"/>
              </w:rPr>
              <w:t xml:space="preserve"> limit</w:t>
            </w:r>
          </w:p>
        </w:tc>
      </w:tr>
      <w:tr w:rsidR="009E30A0" w:rsidRPr="00AB230A" w14:paraId="58482CB4" w14:textId="77777777" w:rsidTr="5A812D10">
        <w:trPr>
          <w:trHeight w:val="216"/>
        </w:trPr>
        <w:tc>
          <w:tcPr>
            <w:tcW w:w="2700" w:type="dxa"/>
            <w:tcBorders>
              <w:top w:val="single" w:sz="24" w:space="0" w:color="auto"/>
              <w:left w:val="nil"/>
              <w:bottom w:val="nil"/>
              <w:right w:val="single" w:sz="24" w:space="0" w:color="auto"/>
            </w:tcBorders>
            <w:vAlign w:val="center"/>
          </w:tcPr>
          <w:p w14:paraId="1CA6A2B8" w14:textId="77777777" w:rsidR="008B6710" w:rsidRPr="00AA4E6C" w:rsidRDefault="008B6710" w:rsidP="008B6710">
            <w:pPr>
              <w:pStyle w:val="ListParagraph"/>
              <w:ind w:left="0"/>
              <w:jc w:val="center"/>
              <w:rPr>
                <w:rFonts w:ascii="Century Gothic" w:hAnsi="Century Gothic"/>
                <w:szCs w:val="22"/>
              </w:rPr>
            </w:pPr>
          </w:p>
        </w:tc>
        <w:tc>
          <w:tcPr>
            <w:tcW w:w="2160" w:type="dxa"/>
            <w:tcBorders>
              <w:top w:val="single" w:sz="24" w:space="0" w:color="auto"/>
              <w:left w:val="single" w:sz="24" w:space="0" w:color="auto"/>
              <w:bottom w:val="single" w:sz="24" w:space="0" w:color="auto"/>
              <w:right w:val="single" w:sz="24" w:space="0" w:color="auto"/>
            </w:tcBorders>
            <w:vAlign w:val="center"/>
          </w:tcPr>
          <w:p w14:paraId="3FBD37FF" w14:textId="67DB9870" w:rsidR="008B6710" w:rsidRPr="00AA4E6C" w:rsidRDefault="76B44798">
            <w:pPr>
              <w:pStyle w:val="ListParagraph"/>
              <w:ind w:left="0"/>
              <w:jc w:val="center"/>
              <w:rPr>
                <w:rFonts w:ascii="Century Gothic" w:hAnsi="Century Gothic"/>
              </w:rPr>
            </w:pPr>
            <w:r w:rsidRPr="00AA4E6C">
              <w:rPr>
                <w:rFonts w:ascii="Century Gothic" w:hAnsi="Century Gothic"/>
              </w:rPr>
              <w:t xml:space="preserve"> </w:t>
            </w:r>
          </w:p>
        </w:tc>
        <w:tc>
          <w:tcPr>
            <w:tcW w:w="4770" w:type="dxa"/>
            <w:tcBorders>
              <w:top w:val="single" w:sz="24" w:space="0" w:color="auto"/>
              <w:left w:val="single" w:sz="24" w:space="0" w:color="auto"/>
              <w:bottom w:val="nil"/>
              <w:right w:val="nil"/>
            </w:tcBorders>
            <w:vAlign w:val="center"/>
          </w:tcPr>
          <w:p w14:paraId="591A1298" w14:textId="74964D16" w:rsidR="008B6710" w:rsidRPr="00AA4E6C" w:rsidRDefault="008B6710" w:rsidP="008B6710">
            <w:pPr>
              <w:pStyle w:val="ListParagraph"/>
              <w:ind w:left="0"/>
              <w:jc w:val="center"/>
              <w:rPr>
                <w:rFonts w:ascii="Century Gothic" w:hAnsi="Century Gothic"/>
                <w:b/>
                <w:szCs w:val="22"/>
              </w:rPr>
            </w:pPr>
            <w:r w:rsidRPr="00AA4E6C">
              <w:rPr>
                <w:rFonts w:ascii="Century Gothic" w:hAnsi="Century Gothic"/>
                <w:b/>
                <w:szCs w:val="22"/>
              </w:rPr>
              <w:t>(</w:t>
            </w:r>
            <w:r w:rsidRPr="00AA4E6C">
              <w:rPr>
                <w:rFonts w:ascii="Century Gothic" w:hAnsi="Century Gothic"/>
                <w:b/>
                <w:i/>
                <w:szCs w:val="22"/>
              </w:rPr>
              <w:t xml:space="preserve">Households </w:t>
            </w:r>
            <w:r w:rsidR="00E40B25">
              <w:rPr>
                <w:rFonts w:ascii="Century Gothic" w:hAnsi="Century Gothic"/>
                <w:b/>
                <w:i/>
                <w:szCs w:val="22"/>
              </w:rPr>
              <w:t>may be d</w:t>
            </w:r>
            <w:r w:rsidRPr="00AA4E6C">
              <w:rPr>
                <w:rFonts w:ascii="Century Gothic" w:hAnsi="Century Gothic"/>
                <w:b/>
                <w:i/>
                <w:szCs w:val="22"/>
              </w:rPr>
              <w:t xml:space="preserve">uplicated </w:t>
            </w:r>
            <w:r w:rsidR="00E40B25">
              <w:rPr>
                <w:rFonts w:ascii="Century Gothic" w:hAnsi="Century Gothic"/>
                <w:b/>
                <w:i/>
                <w:szCs w:val="22"/>
              </w:rPr>
              <w:t>a</w:t>
            </w:r>
            <w:r w:rsidRPr="00AA4E6C">
              <w:rPr>
                <w:rFonts w:ascii="Century Gothic" w:hAnsi="Century Gothic"/>
                <w:b/>
                <w:i/>
                <w:szCs w:val="22"/>
              </w:rPr>
              <w:t xml:space="preserve">cross MTW </w:t>
            </w:r>
            <w:r w:rsidR="00E40B25">
              <w:rPr>
                <w:rFonts w:ascii="Century Gothic" w:hAnsi="Century Gothic"/>
                <w:b/>
                <w:i/>
                <w:szCs w:val="22"/>
              </w:rPr>
              <w:t>a</w:t>
            </w:r>
            <w:r w:rsidRPr="00AA4E6C">
              <w:rPr>
                <w:rFonts w:ascii="Century Gothic" w:hAnsi="Century Gothic"/>
                <w:b/>
                <w:i/>
                <w:szCs w:val="22"/>
              </w:rPr>
              <w:t>ctivities</w:t>
            </w:r>
            <w:r w:rsidRPr="00AA4E6C">
              <w:rPr>
                <w:rFonts w:ascii="Century Gothic" w:hAnsi="Century Gothic"/>
                <w:b/>
                <w:szCs w:val="22"/>
              </w:rPr>
              <w:t>)</w:t>
            </w:r>
          </w:p>
        </w:tc>
      </w:tr>
      <w:tr w:rsidR="1B3F2E6D" w:rsidRPr="00AB230A" w14:paraId="0DD3A595" w14:textId="77777777" w:rsidTr="5A812D10">
        <w:trPr>
          <w:trHeight w:val="368"/>
        </w:trPr>
        <w:tc>
          <w:tcPr>
            <w:tcW w:w="2700" w:type="dxa"/>
            <w:tcBorders>
              <w:top w:val="single" w:sz="24" w:space="0" w:color="auto"/>
              <w:left w:val="nil"/>
              <w:bottom w:val="nil"/>
              <w:right w:val="single" w:sz="24" w:space="0" w:color="auto"/>
            </w:tcBorders>
            <w:vAlign w:val="center"/>
          </w:tcPr>
          <w:p w14:paraId="6CC68AD9" w14:textId="3EA392F2" w:rsidR="5D912DB6" w:rsidRPr="00AA4E6C" w:rsidRDefault="5D912DB6" w:rsidP="1B3F2E6D">
            <w:pPr>
              <w:pStyle w:val="ListParagraph"/>
              <w:tabs>
                <w:tab w:val="left" w:pos="990"/>
                <w:tab w:val="left" w:pos="3510"/>
              </w:tabs>
              <w:jc w:val="center"/>
              <w:rPr>
                <w:rFonts w:ascii="Century Gothic" w:hAnsi="Century Gothic"/>
                <w:b/>
                <w:bCs/>
                <w:noProof/>
              </w:rPr>
            </w:pPr>
            <w:r w:rsidRPr="00AA4E6C">
              <w:rPr>
                <w:rFonts w:ascii="Century Gothic" w:hAnsi="Century Gothic"/>
                <w:b/>
                <w:bCs/>
              </w:rPr>
              <w:t>Total Households Transitioned to Self-Sufficiency</w:t>
            </w:r>
          </w:p>
          <w:p w14:paraId="316F447A" w14:textId="784FC5FE" w:rsidR="1B3F2E6D" w:rsidRPr="00AA4E6C" w:rsidRDefault="1B3F2E6D" w:rsidP="1B3F2E6D">
            <w:pPr>
              <w:pStyle w:val="ListParagraph"/>
              <w:jc w:val="center"/>
              <w:rPr>
                <w:rFonts w:ascii="Century Gothic" w:eastAsia="MS PGothic" w:hAnsi="Century Gothic"/>
                <w:szCs w:val="22"/>
              </w:rPr>
            </w:pPr>
          </w:p>
        </w:tc>
        <w:tc>
          <w:tcPr>
            <w:tcW w:w="2160" w:type="dxa"/>
            <w:tcBorders>
              <w:top w:val="single" w:sz="24" w:space="0" w:color="auto"/>
              <w:left w:val="single" w:sz="24" w:space="0" w:color="auto"/>
              <w:bottom w:val="single" w:sz="24" w:space="0" w:color="auto"/>
              <w:right w:val="single" w:sz="24" w:space="0" w:color="auto"/>
            </w:tcBorders>
            <w:vAlign w:val="center"/>
          </w:tcPr>
          <w:p w14:paraId="70A39FCF" w14:textId="6045F5D0" w:rsidR="5D912DB6" w:rsidRPr="00AA4E6C" w:rsidRDefault="29942055" w:rsidP="2C805A1A">
            <w:pPr>
              <w:pStyle w:val="ListParagraph"/>
              <w:ind w:left="0"/>
              <w:jc w:val="center"/>
              <w:rPr>
                <w:rFonts w:ascii="Century Gothic" w:eastAsia="MS PGothic" w:hAnsi="Century Gothic"/>
                <w:b/>
                <w:bCs/>
              </w:rPr>
            </w:pPr>
            <w:r w:rsidRPr="00AA4E6C">
              <w:rPr>
                <w:rFonts w:ascii="Century Gothic" w:eastAsia="MS PGothic" w:hAnsi="Century Gothic"/>
                <w:b/>
                <w:bCs/>
              </w:rPr>
              <w:t>7</w:t>
            </w:r>
          </w:p>
        </w:tc>
        <w:tc>
          <w:tcPr>
            <w:tcW w:w="4770" w:type="dxa"/>
            <w:tcBorders>
              <w:top w:val="single" w:sz="24" w:space="0" w:color="auto"/>
              <w:left w:val="single" w:sz="24" w:space="0" w:color="auto"/>
              <w:bottom w:val="nil"/>
              <w:right w:val="nil"/>
            </w:tcBorders>
            <w:vAlign w:val="center"/>
          </w:tcPr>
          <w:p w14:paraId="56FBF042" w14:textId="4D8DE134" w:rsidR="1B3F2E6D" w:rsidRPr="00AA4E6C" w:rsidRDefault="1B3F2E6D" w:rsidP="1B3F2E6D">
            <w:pPr>
              <w:pStyle w:val="ListParagraph"/>
              <w:jc w:val="center"/>
              <w:rPr>
                <w:rFonts w:ascii="Century Gothic" w:eastAsia="MS PGothic" w:hAnsi="Century Gothic"/>
                <w:b/>
                <w:bCs/>
                <w:szCs w:val="22"/>
              </w:rPr>
            </w:pPr>
          </w:p>
        </w:tc>
      </w:tr>
    </w:tbl>
    <w:p w14:paraId="1FC50110" w14:textId="77777777" w:rsidR="008B6710" w:rsidRPr="00D00C51" w:rsidRDefault="5E03C103" w:rsidP="69F54F67">
      <w:pPr>
        <w:pStyle w:val="ListParagraph"/>
        <w:tabs>
          <w:tab w:val="left" w:pos="990"/>
          <w:tab w:val="left" w:pos="3510"/>
        </w:tabs>
        <w:rPr>
          <w:rFonts w:ascii="Century Gothic" w:hAnsi="Century Gothic"/>
          <w:i/>
          <w:iCs/>
          <w:sz w:val="18"/>
          <w:szCs w:val="18"/>
        </w:rPr>
      </w:pPr>
      <w:r w:rsidRPr="00D00C51">
        <w:rPr>
          <w:rFonts w:ascii="Century Gothic" w:hAnsi="Century Gothic"/>
          <w:i/>
          <w:iCs/>
          <w:sz w:val="18"/>
          <w:szCs w:val="18"/>
        </w:rPr>
        <w:t xml:space="preserve">* </w:t>
      </w:r>
      <w:r w:rsidR="277CD95B" w:rsidRPr="00D00C51">
        <w:rPr>
          <w:rFonts w:ascii="Century Gothic" w:hAnsi="Century Gothic"/>
          <w:i/>
          <w:iCs/>
          <w:sz w:val="18"/>
          <w:szCs w:val="18"/>
        </w:rPr>
        <w:t xml:space="preserve">Figures should match the outcome reported where metric </w:t>
      </w:r>
      <w:r w:rsidR="277CD95B" w:rsidRPr="00D00C51">
        <w:rPr>
          <w:rFonts w:ascii="Century Gothic" w:hAnsi="Century Gothic"/>
          <w:i/>
          <w:sz w:val="18"/>
          <w:szCs w:val="18"/>
        </w:rPr>
        <w:t>SS#8</w:t>
      </w:r>
      <w:r w:rsidR="277CD95B" w:rsidRPr="00D00C51">
        <w:rPr>
          <w:rFonts w:ascii="Century Gothic" w:hAnsi="Century Gothic"/>
          <w:i/>
          <w:iCs/>
          <w:sz w:val="18"/>
          <w:szCs w:val="18"/>
        </w:rPr>
        <w:t xml:space="preserve"> is used in Section IV of this Annual MTW Report.</w:t>
      </w:r>
    </w:p>
    <w:p w14:paraId="07D625CB" w14:textId="643BCA1D" w:rsidR="00A4484F" w:rsidRPr="00A4484F" w:rsidRDefault="655A2699" w:rsidP="00497E3E">
      <w:pPr>
        <w:spacing w:after="160" w:line="276" w:lineRule="auto"/>
        <w:rPr>
          <w:rFonts w:ascii="Times New Roman" w:hAnsi="Times New Roman"/>
        </w:rPr>
      </w:pPr>
      <w:r>
        <w:br w:type="page"/>
      </w:r>
      <w:bookmarkStart w:id="69" w:name="_Toc470178825"/>
      <w:bookmarkStart w:id="70" w:name="_Toc470179729"/>
    </w:p>
    <w:p w14:paraId="0A615E4B" w14:textId="79469B6D" w:rsidR="00A4484F" w:rsidRPr="0020355D" w:rsidRDefault="00A4484F" w:rsidP="002E01C6">
      <w:pPr>
        <w:rPr>
          <w:rFonts w:ascii="Times New Roman" w:hAnsi="Times New Roman"/>
          <w:szCs w:val="22"/>
        </w:rPr>
        <w:sectPr w:rsidR="00A4484F" w:rsidRPr="0020355D" w:rsidSect="00E023B3">
          <w:headerReference w:type="default" r:id="rId32"/>
          <w:footerReference w:type="default" r:id="rId33"/>
          <w:headerReference w:type="first" r:id="rId34"/>
          <w:pgSz w:w="12240" w:h="15840"/>
          <w:pgMar w:top="1152" w:right="1152" w:bottom="1152" w:left="1152" w:header="720" w:footer="720" w:gutter="0"/>
          <w:cols w:space="720"/>
          <w:titlePg/>
          <w:docGrid w:linePitch="360"/>
        </w:sectPr>
      </w:pPr>
    </w:p>
    <w:p w14:paraId="53A33AA4" w14:textId="57301C65" w:rsidR="00CC3DE9" w:rsidRPr="008A4436" w:rsidRDefault="00713EB7" w:rsidP="332E49E3">
      <w:pPr>
        <w:pStyle w:val="MTWHeader1"/>
        <w:rPr>
          <w:rFonts w:ascii="Century Gothic" w:hAnsi="Century Gothic"/>
          <w:sz w:val="22"/>
          <w:szCs w:val="22"/>
        </w:rPr>
      </w:pPr>
      <w:bookmarkStart w:id="71" w:name="_Toc89871149"/>
      <w:r w:rsidRPr="008A4436">
        <w:rPr>
          <w:rFonts w:ascii="Century Gothic" w:hAnsi="Century Gothic"/>
          <w:sz w:val="22"/>
          <w:szCs w:val="22"/>
        </w:rPr>
        <w:lastRenderedPageBreak/>
        <w:t>III. Proposed MTW Activities</w:t>
      </w:r>
      <w:bookmarkEnd w:id="71"/>
    </w:p>
    <w:p w14:paraId="5D34BFB1" w14:textId="31740DF8" w:rsidR="00091E42" w:rsidRPr="008A4436" w:rsidRDefault="00091E42">
      <w:pPr>
        <w:spacing w:after="160" w:line="276" w:lineRule="auto"/>
        <w:rPr>
          <w:rFonts w:ascii="Century Gothic" w:hAnsi="Century Gothic"/>
        </w:rPr>
      </w:pPr>
      <w:r w:rsidRPr="008A4436">
        <w:rPr>
          <w:rFonts w:ascii="Century Gothic" w:hAnsi="Century Gothic"/>
        </w:rPr>
        <w:t xml:space="preserve">All proposed MTW activities that were granted approval by HUD are reported in Section IV as </w:t>
      </w:r>
      <w:r w:rsidR="00381DAB" w:rsidRPr="008A4436">
        <w:rPr>
          <w:rFonts w:ascii="Century Gothic" w:hAnsi="Century Gothic"/>
        </w:rPr>
        <w:t>‘Approved</w:t>
      </w:r>
      <w:r w:rsidRPr="008A4436">
        <w:rPr>
          <w:rFonts w:ascii="Century Gothic" w:hAnsi="Century Gothic"/>
        </w:rPr>
        <w:t xml:space="preserve"> Activities’</w:t>
      </w:r>
    </w:p>
    <w:p w14:paraId="1FA21ECB" w14:textId="77777777" w:rsidR="00C23245" w:rsidRPr="008A4436" w:rsidRDefault="00C23245">
      <w:pPr>
        <w:spacing w:after="160" w:line="276" w:lineRule="auto"/>
        <w:rPr>
          <w:rFonts w:ascii="Century Gothic" w:hAnsi="Century Gothic"/>
        </w:rPr>
      </w:pPr>
    </w:p>
    <w:p w14:paraId="534EBF68" w14:textId="77777777" w:rsidR="00C23245" w:rsidRPr="008A4436" w:rsidRDefault="00C23245">
      <w:pPr>
        <w:spacing w:after="160" w:line="276" w:lineRule="auto"/>
        <w:rPr>
          <w:rFonts w:ascii="Century Gothic" w:hAnsi="Century Gothic"/>
        </w:rPr>
      </w:pPr>
    </w:p>
    <w:p w14:paraId="52A9FCA0" w14:textId="77777777" w:rsidR="00C23245" w:rsidRPr="008A4436" w:rsidRDefault="00C23245">
      <w:pPr>
        <w:spacing w:after="160" w:line="276" w:lineRule="auto"/>
        <w:rPr>
          <w:rFonts w:ascii="Century Gothic" w:hAnsi="Century Gothic"/>
        </w:rPr>
      </w:pPr>
    </w:p>
    <w:p w14:paraId="213BFFC4" w14:textId="3E570803" w:rsidR="00381DAB" w:rsidRDefault="00C23245" w:rsidP="005B1430">
      <w:pPr>
        <w:spacing w:after="160" w:line="276" w:lineRule="auto"/>
        <w:jc w:val="center"/>
        <w:rPr>
          <w:rFonts w:ascii="Times New Roman" w:hAnsi="Times New Roman"/>
        </w:rPr>
      </w:pPr>
      <w:r w:rsidRPr="008A4436">
        <w:rPr>
          <w:rFonts w:ascii="Century Gothic" w:hAnsi="Century Gothic"/>
        </w:rPr>
        <w:t>(Intentionally Left Blank)</w:t>
      </w:r>
      <w:r w:rsidR="00381DAB" w:rsidRPr="332E49E3">
        <w:rPr>
          <w:rFonts w:ascii="Times New Roman" w:hAnsi="Times New Roman"/>
        </w:rPr>
        <w:br w:type="page"/>
      </w:r>
    </w:p>
    <w:p w14:paraId="3E9213B4" w14:textId="3338BE8E" w:rsidR="00D27CD3" w:rsidRPr="00680A2A" w:rsidRDefault="00E64FFF" w:rsidP="0035017D">
      <w:pPr>
        <w:pStyle w:val="MTWHeader1"/>
        <w:rPr>
          <w:rFonts w:ascii="Century Gothic" w:hAnsi="Century Gothic"/>
          <w:sz w:val="22"/>
          <w:szCs w:val="22"/>
        </w:rPr>
      </w:pPr>
      <w:bookmarkStart w:id="72" w:name="_Toc470178826"/>
      <w:bookmarkStart w:id="73" w:name="_Toc470179730"/>
      <w:bookmarkStart w:id="74" w:name="_Toc89871150"/>
      <w:bookmarkEnd w:id="69"/>
      <w:bookmarkEnd w:id="70"/>
      <w:r w:rsidRPr="00680A2A">
        <w:rPr>
          <w:rFonts w:ascii="Century Gothic" w:hAnsi="Century Gothic"/>
          <w:sz w:val="22"/>
          <w:szCs w:val="22"/>
        </w:rPr>
        <w:lastRenderedPageBreak/>
        <w:t>IV. Approved MTW Activities</w:t>
      </w:r>
      <w:bookmarkEnd w:id="72"/>
      <w:bookmarkEnd w:id="73"/>
      <w:bookmarkEnd w:id="74"/>
      <w:r w:rsidR="00D03474" w:rsidRPr="00680A2A">
        <w:rPr>
          <w:rFonts w:ascii="Century Gothic" w:hAnsi="Century Gothic"/>
          <w:sz w:val="22"/>
          <w:szCs w:val="22"/>
        </w:rPr>
        <w:t>: HUD Approval previously granted</w:t>
      </w:r>
    </w:p>
    <w:p w14:paraId="050AA5DA" w14:textId="3DC2EE79" w:rsidR="004C470A" w:rsidRPr="00680A2A" w:rsidRDefault="00302243" w:rsidP="00486062">
      <w:pPr>
        <w:pStyle w:val="MTWHeader1"/>
        <w:numPr>
          <w:ilvl w:val="0"/>
          <w:numId w:val="99"/>
        </w:numPr>
        <w:rPr>
          <w:rFonts w:ascii="Century Gothic" w:hAnsi="Century Gothic"/>
          <w:caps/>
          <w:color w:val="auto"/>
          <w:spacing w:val="20"/>
          <w:sz w:val="22"/>
          <w:szCs w:val="22"/>
        </w:rPr>
      </w:pPr>
      <w:bookmarkStart w:id="75" w:name="_Toc89871151"/>
      <w:bookmarkStart w:id="76" w:name="_Toc470178828"/>
      <w:bookmarkStart w:id="77" w:name="_Toc470179732"/>
      <w:bookmarkStart w:id="78" w:name="_Toc502307783"/>
      <w:bookmarkStart w:id="79" w:name="_Toc528927258"/>
      <w:r w:rsidRPr="00680A2A">
        <w:rPr>
          <w:rFonts w:ascii="Century Gothic" w:hAnsi="Century Gothic"/>
          <w:sz w:val="22"/>
          <w:szCs w:val="22"/>
        </w:rPr>
        <w:t xml:space="preserve">IMPLEMENTED </w:t>
      </w:r>
      <w:r w:rsidR="00235DDB" w:rsidRPr="00680A2A">
        <w:rPr>
          <w:rFonts w:ascii="Century Gothic" w:hAnsi="Century Gothic"/>
          <w:sz w:val="22"/>
          <w:szCs w:val="22"/>
        </w:rPr>
        <w:t>ACTIVITIES</w:t>
      </w:r>
      <w:bookmarkEnd w:id="75"/>
    </w:p>
    <w:p w14:paraId="24F2D1F1" w14:textId="21E5831B" w:rsidR="007729F5" w:rsidRPr="00680A2A" w:rsidRDefault="3449228E" w:rsidP="007966B9">
      <w:pPr>
        <w:pStyle w:val="MTWHeader2"/>
        <w:rPr>
          <w:rFonts w:ascii="Century Gothic" w:hAnsi="Century Gothic" w:cs="Times New Roman"/>
          <w:sz w:val="22"/>
          <w:szCs w:val="22"/>
        </w:rPr>
      </w:pPr>
      <w:bookmarkStart w:id="80" w:name="_Toc89871152"/>
      <w:r w:rsidRPr="00680A2A">
        <w:rPr>
          <w:rFonts w:ascii="Century Gothic" w:hAnsi="Century Gothic" w:cs="Times New Roman"/>
          <w:sz w:val="22"/>
          <w:szCs w:val="22"/>
        </w:rPr>
        <w:t>Initiative 1.2 – Local Total Development Cost (TDC) Limits</w:t>
      </w:r>
      <w:bookmarkEnd w:id="76"/>
      <w:bookmarkEnd w:id="77"/>
      <w:bookmarkEnd w:id="78"/>
      <w:bookmarkEnd w:id="79"/>
      <w:bookmarkEnd w:id="80"/>
    </w:p>
    <w:p w14:paraId="126CBF9A" w14:textId="77777777" w:rsidR="00954509" w:rsidRPr="00680A2A" w:rsidRDefault="001663AF" w:rsidP="00892CAD">
      <w:pPr>
        <w:rPr>
          <w:rFonts w:ascii="Century Gothic" w:hAnsi="Century Gothic"/>
          <w:szCs w:val="22"/>
        </w:rPr>
      </w:pPr>
      <w:r w:rsidRPr="00680A2A">
        <w:rPr>
          <w:rFonts w:ascii="Century Gothic" w:hAnsi="Century Gothic"/>
          <w:noProof/>
          <w:szCs w:val="22"/>
          <w:lang w:eastAsia="en-US"/>
        </w:rPr>
        <w:drawing>
          <wp:anchor distT="0" distB="0" distL="114300" distR="114300" simplePos="0" relativeHeight="251658244" behindDoc="1" locked="0" layoutInCell="1" allowOverlap="1" wp14:anchorId="4A9212A0" wp14:editId="27CF354F">
            <wp:simplePos x="0" y="0"/>
            <wp:positionH relativeFrom="column">
              <wp:posOffset>4991100</wp:posOffset>
            </wp:positionH>
            <wp:positionV relativeFrom="paragraph">
              <wp:posOffset>46355</wp:posOffset>
            </wp:positionV>
            <wp:extent cx="1318260" cy="617220"/>
            <wp:effectExtent l="0" t="0" r="0" b="0"/>
            <wp:wrapTight wrapText="bothSides">
              <wp:wrapPolygon edited="0">
                <wp:start x="0" y="0"/>
                <wp:lineTo x="0" y="20667"/>
                <wp:lineTo x="21225" y="20667"/>
                <wp:lineTo x="21225" y="0"/>
                <wp:lineTo x="0" y="0"/>
              </wp:wrapPolygon>
            </wp:wrapTight>
            <wp:docPr id="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8260" cy="617220"/>
                    </a:xfrm>
                    <a:prstGeom prst="rect">
                      <a:avLst/>
                    </a:prstGeom>
                    <a:noFill/>
                  </pic:spPr>
                </pic:pic>
              </a:graphicData>
            </a:graphic>
          </wp:anchor>
        </w:drawing>
      </w:r>
    </w:p>
    <w:p w14:paraId="70CC3786" w14:textId="3316DD73" w:rsidR="00087D7E" w:rsidRPr="00680A2A" w:rsidRDefault="00087D7E" w:rsidP="00486062">
      <w:pPr>
        <w:pStyle w:val="ListParagraph"/>
        <w:numPr>
          <w:ilvl w:val="0"/>
          <w:numId w:val="104"/>
        </w:numPr>
        <w:rPr>
          <w:rFonts w:ascii="Century Gothic" w:hAnsi="Century Gothic"/>
          <w:b/>
          <w:bCs/>
          <w:color w:val="808080" w:themeColor="background1" w:themeShade="80"/>
        </w:rPr>
      </w:pPr>
      <w:r w:rsidRPr="00680A2A">
        <w:rPr>
          <w:rFonts w:ascii="Century Gothic" w:hAnsi="Century Gothic"/>
          <w:b/>
          <w:bCs/>
          <w:color w:val="808080" w:themeColor="background1" w:themeShade="80"/>
        </w:rPr>
        <w:t xml:space="preserve">Plan Year </w:t>
      </w:r>
      <w:r w:rsidR="7C5FD19E" w:rsidRPr="00680A2A">
        <w:rPr>
          <w:rFonts w:ascii="Century Gothic" w:hAnsi="Century Gothic"/>
          <w:b/>
          <w:bCs/>
          <w:color w:val="808080" w:themeColor="background1" w:themeShade="80"/>
        </w:rPr>
        <w:t>Approved</w:t>
      </w:r>
      <w:r w:rsidRPr="00680A2A">
        <w:rPr>
          <w:rFonts w:ascii="Century Gothic" w:hAnsi="Century Gothic"/>
          <w:b/>
          <w:bCs/>
          <w:color w:val="808080" w:themeColor="background1" w:themeShade="80"/>
        </w:rPr>
        <w:t>, Implemented and Amended</w:t>
      </w:r>
    </w:p>
    <w:p w14:paraId="70FF417F" w14:textId="58450F1B" w:rsidR="00C441FB" w:rsidRPr="00680A2A" w:rsidRDefault="00087D7E" w:rsidP="00087D7E">
      <w:pPr>
        <w:pStyle w:val="ListParagraph"/>
        <w:rPr>
          <w:rFonts w:ascii="Century Gothic" w:hAnsi="Century Gothic"/>
        </w:rPr>
      </w:pPr>
      <w:r w:rsidRPr="00680A2A">
        <w:rPr>
          <w:rFonts w:ascii="Century Gothic" w:hAnsi="Century Gothic"/>
        </w:rPr>
        <w:t xml:space="preserve">Approved </w:t>
      </w:r>
      <w:r w:rsidR="7C5FD19E" w:rsidRPr="00680A2A">
        <w:rPr>
          <w:rFonts w:ascii="Century Gothic" w:hAnsi="Century Gothic"/>
        </w:rPr>
        <w:t>in FY0</w:t>
      </w:r>
      <w:r w:rsidR="6DC421F2" w:rsidRPr="00680A2A">
        <w:rPr>
          <w:rFonts w:ascii="Century Gothic" w:hAnsi="Century Gothic"/>
        </w:rPr>
        <w:t>8</w:t>
      </w:r>
      <w:r w:rsidR="7C5FD19E" w:rsidRPr="00680A2A">
        <w:rPr>
          <w:rFonts w:ascii="Century Gothic" w:hAnsi="Century Gothic"/>
        </w:rPr>
        <w:t xml:space="preserve"> and implemented in FY</w:t>
      </w:r>
      <w:r w:rsidR="6DC421F2" w:rsidRPr="00680A2A">
        <w:rPr>
          <w:rFonts w:ascii="Century Gothic" w:hAnsi="Century Gothic"/>
        </w:rPr>
        <w:t>09</w:t>
      </w:r>
      <w:r w:rsidR="504516F5" w:rsidRPr="00680A2A">
        <w:rPr>
          <w:rFonts w:ascii="Century Gothic" w:hAnsi="Century Gothic"/>
        </w:rPr>
        <w:t>.</w:t>
      </w:r>
      <w:r w:rsidR="608CC3C1" w:rsidRPr="00680A2A">
        <w:rPr>
          <w:rFonts w:ascii="Century Gothic" w:hAnsi="Century Gothic"/>
          <w:noProof/>
        </w:rPr>
        <w:t xml:space="preserve"> </w:t>
      </w:r>
    </w:p>
    <w:p w14:paraId="2F717E1B" w14:textId="428E6FC4" w:rsidR="7A4AF0F8" w:rsidRPr="00680A2A" w:rsidRDefault="7A4AF0F8" w:rsidP="2A137AEF">
      <w:pPr>
        <w:rPr>
          <w:rFonts w:ascii="Century Gothic" w:eastAsia="MS PGothic" w:hAnsi="Century Gothic"/>
          <w:noProof/>
        </w:rPr>
      </w:pPr>
      <w:r w:rsidRPr="00680A2A">
        <w:rPr>
          <w:rFonts w:ascii="Century Gothic" w:hAnsi="Century Gothic"/>
        </w:rPr>
        <w:tab/>
      </w:r>
      <w:r w:rsidR="00087D7E" w:rsidRPr="00680A2A">
        <w:rPr>
          <w:rFonts w:ascii="Century Gothic" w:eastAsia="MS PGothic" w:hAnsi="Century Gothic"/>
          <w:noProof/>
        </w:rPr>
        <w:t>Amended</w:t>
      </w:r>
      <w:r w:rsidR="74147E5C" w:rsidRPr="00680A2A">
        <w:rPr>
          <w:rFonts w:ascii="Century Gothic" w:eastAsia="MS PGothic" w:hAnsi="Century Gothic"/>
          <w:noProof/>
        </w:rPr>
        <w:t xml:space="preserve"> in FY12 and FY17</w:t>
      </w:r>
    </w:p>
    <w:p w14:paraId="0B809B14" w14:textId="77777777" w:rsidR="00954509" w:rsidRPr="00680A2A" w:rsidRDefault="00954509" w:rsidP="00C43A12">
      <w:pPr>
        <w:rPr>
          <w:rStyle w:val="SubtleEmphasis"/>
          <w:rFonts w:ascii="Century Gothic" w:hAnsi="Century Gothic"/>
          <w:color w:val="auto"/>
          <w:sz w:val="22"/>
          <w:szCs w:val="22"/>
        </w:rPr>
      </w:pPr>
    </w:p>
    <w:p w14:paraId="1B0574B1" w14:textId="77777777" w:rsidR="00802702" w:rsidRPr="00680A2A" w:rsidRDefault="00802702" w:rsidP="00C43A12">
      <w:pPr>
        <w:rPr>
          <w:rStyle w:val="SubtleEmphasis"/>
          <w:rFonts w:ascii="Century Gothic" w:hAnsi="Century Gothic"/>
          <w:color w:val="auto"/>
          <w:sz w:val="22"/>
          <w:szCs w:val="22"/>
        </w:rPr>
      </w:pPr>
    </w:p>
    <w:p w14:paraId="5FC9FE25" w14:textId="4BCBB417" w:rsidR="0022714C" w:rsidRPr="00680A2A" w:rsidRDefault="7804FFB4" w:rsidP="0E6C54AB">
      <w:pPr>
        <w:pStyle w:val="Heading4"/>
        <w:rPr>
          <w:rStyle w:val="SubtleEmphasis"/>
          <w:rFonts w:ascii="Century Gothic" w:hAnsi="Century Gothic" w:cs="Times New Roman"/>
          <w:color w:val="808080" w:themeColor="background1" w:themeShade="80"/>
          <w:sz w:val="22"/>
        </w:rPr>
      </w:pPr>
      <w:r w:rsidRPr="00680A2A">
        <w:rPr>
          <w:rStyle w:val="SubtleEmphasis"/>
          <w:rFonts w:ascii="Century Gothic" w:hAnsi="Century Gothic" w:cs="Times New Roman"/>
          <w:color w:val="808080" w:themeColor="background1" w:themeShade="80"/>
          <w:sz w:val="22"/>
        </w:rPr>
        <w:t xml:space="preserve">ii. </w:t>
      </w:r>
      <w:r w:rsidR="07C7EC91" w:rsidRPr="00680A2A">
        <w:rPr>
          <w:rStyle w:val="SubtleEmphasis"/>
          <w:rFonts w:ascii="Century Gothic" w:hAnsi="Century Gothic" w:cs="Times New Roman"/>
          <w:color w:val="808080" w:themeColor="background1" w:themeShade="80"/>
          <w:sz w:val="22"/>
        </w:rPr>
        <w:t>Description</w:t>
      </w:r>
    </w:p>
    <w:p w14:paraId="2C944068" w14:textId="597A5E92" w:rsidR="000A1B56" w:rsidRPr="00680A2A" w:rsidRDefault="000A1B56" w:rsidP="000A1B56">
      <w:pPr>
        <w:autoSpaceDE w:val="0"/>
        <w:autoSpaceDN w:val="0"/>
        <w:adjustRightInd w:val="0"/>
        <w:rPr>
          <w:rFonts w:ascii="Century Gothic" w:hAnsi="Century Gothic"/>
          <w:strike/>
        </w:rPr>
      </w:pPr>
      <w:r w:rsidRPr="00680A2A">
        <w:rPr>
          <w:rFonts w:ascii="Century Gothic" w:eastAsia="Calibri" w:hAnsi="Century Gothic"/>
        </w:rPr>
        <w:t xml:space="preserve">This initiative was approved in FY08 and implemented in FY09. This activity establishes </w:t>
      </w:r>
      <w:r w:rsidR="004F1A75" w:rsidRPr="00680A2A">
        <w:rPr>
          <w:rFonts w:ascii="Century Gothic" w:hAnsi="Century Gothic"/>
        </w:rPr>
        <w:t xml:space="preserve">Total Development Costs (TDC) and Housing Construction Costs (HCC) </w:t>
      </w:r>
      <w:r w:rsidRPr="00680A2A">
        <w:rPr>
          <w:rFonts w:ascii="Century Gothic" w:eastAsia="Calibri" w:hAnsi="Century Gothic"/>
        </w:rPr>
        <w:t xml:space="preserve">for ECC/HANH </w:t>
      </w:r>
      <w:r w:rsidR="00CE7AF4" w:rsidRPr="00680A2A">
        <w:rPr>
          <w:rFonts w:ascii="Century Gothic" w:eastAsia="Calibri" w:hAnsi="Century Gothic"/>
        </w:rPr>
        <w:t xml:space="preserve">that are </w:t>
      </w:r>
      <w:r w:rsidRPr="00680A2A">
        <w:rPr>
          <w:rFonts w:ascii="Century Gothic" w:eastAsia="Calibri" w:hAnsi="Century Gothic"/>
        </w:rPr>
        <w:t>separate from HUD’s standard limits</w:t>
      </w:r>
      <w:r w:rsidR="00CE7AF4" w:rsidRPr="00680A2A">
        <w:rPr>
          <w:rFonts w:ascii="Century Gothic" w:eastAsia="Calibri" w:hAnsi="Century Gothic"/>
        </w:rPr>
        <w:t xml:space="preserve"> </w:t>
      </w:r>
      <w:r w:rsidR="00410E5B" w:rsidRPr="00680A2A">
        <w:rPr>
          <w:rFonts w:ascii="Century Gothic" w:eastAsia="Calibri" w:hAnsi="Century Gothic"/>
        </w:rPr>
        <w:t>to</w:t>
      </w:r>
      <w:r w:rsidRPr="00680A2A">
        <w:rPr>
          <w:rFonts w:ascii="Century Gothic" w:eastAsia="Calibri" w:hAnsi="Century Gothic"/>
        </w:rPr>
        <w:t xml:space="preserve"> better reflect local </w:t>
      </w:r>
      <w:r w:rsidR="00F06050" w:rsidRPr="00680A2A">
        <w:rPr>
          <w:rFonts w:ascii="Century Gothic" w:eastAsia="Calibri" w:hAnsi="Century Gothic"/>
        </w:rPr>
        <w:t xml:space="preserve">real estate </w:t>
      </w:r>
      <w:r w:rsidRPr="00680A2A">
        <w:rPr>
          <w:rFonts w:ascii="Century Gothic" w:eastAsia="Calibri" w:hAnsi="Century Gothic"/>
        </w:rPr>
        <w:t xml:space="preserve">market conditions. </w:t>
      </w:r>
      <w:r w:rsidRPr="00680A2A">
        <w:rPr>
          <w:rFonts w:ascii="Century Gothic" w:hAnsi="Century Gothic"/>
        </w:rPr>
        <w:t xml:space="preserve">ECC/HANH has determined that HUD’s </w:t>
      </w:r>
      <w:r w:rsidR="004F1A75" w:rsidRPr="00680A2A">
        <w:rPr>
          <w:rFonts w:ascii="Century Gothic" w:hAnsi="Century Gothic"/>
        </w:rPr>
        <w:t>standard TDC and HCC</w:t>
      </w:r>
      <w:r w:rsidRPr="00680A2A">
        <w:rPr>
          <w:rFonts w:ascii="Century Gothic" w:hAnsi="Century Gothic"/>
        </w:rPr>
        <w:t xml:space="preserve"> limits do not reflect the local marketplace conditions for development and redevelopment activities for New Haven based on t</w:t>
      </w:r>
      <w:r w:rsidR="00ED2FA8" w:rsidRPr="00680A2A">
        <w:rPr>
          <w:rFonts w:ascii="Century Gothic" w:hAnsi="Century Gothic"/>
        </w:rPr>
        <w:t>wo</w:t>
      </w:r>
      <w:r w:rsidRPr="00680A2A">
        <w:rPr>
          <w:rFonts w:ascii="Century Gothic" w:hAnsi="Century Gothic"/>
        </w:rPr>
        <w:t xml:space="preserve"> factors: location and design standards.</w:t>
      </w:r>
    </w:p>
    <w:p w14:paraId="4AB2C4F2" w14:textId="77777777" w:rsidR="00E76B74" w:rsidRPr="00680A2A" w:rsidRDefault="00E76B74" w:rsidP="00E76B74">
      <w:pPr>
        <w:rPr>
          <w:rFonts w:ascii="Century Gothic" w:hAnsi="Century Gothic"/>
        </w:rPr>
      </w:pPr>
    </w:p>
    <w:p w14:paraId="20D485F3" w14:textId="3B2FD30E" w:rsidR="00E76B74" w:rsidRPr="00680A2A" w:rsidRDefault="00E76B74" w:rsidP="00E76B74">
      <w:pPr>
        <w:rPr>
          <w:rFonts w:ascii="Century Gothic" w:eastAsia="Calibri" w:hAnsi="Century Gothic"/>
        </w:rPr>
      </w:pPr>
      <w:r w:rsidRPr="00680A2A">
        <w:rPr>
          <w:rFonts w:ascii="Century Gothic" w:hAnsi="Century Gothic"/>
        </w:rPr>
        <w:t xml:space="preserve">ECC/HANH prepared a TDC and HCC schedule, which reflects construction and development costs in New Haven. ECC/HANH first submitted its revised alternate TDC and HCC schedule as part of the Appendix to the FY09 Annual MTW Report. The alternate HCC and TDC </w:t>
      </w:r>
      <w:proofErr w:type="gramStart"/>
      <w:r w:rsidRPr="00680A2A">
        <w:rPr>
          <w:rFonts w:ascii="Century Gothic" w:hAnsi="Century Gothic"/>
        </w:rPr>
        <w:t>uses</w:t>
      </w:r>
      <w:proofErr w:type="gramEnd"/>
      <w:r w:rsidRPr="00680A2A">
        <w:rPr>
          <w:rFonts w:ascii="Century Gothic" w:hAnsi="Century Gothic"/>
        </w:rPr>
        <w:t xml:space="preserve"> historical data from recent ECC/HANH mixed-income developments by building type and bedroom size, in addition to current RS Means Building Cost Data by building type, gross square footage, and applicable hard costs. The data further confirmed that New Haven MSA construction costs are on par with those of Fairfield County (in Connecticut), like </w:t>
      </w:r>
      <w:proofErr w:type="gramStart"/>
      <w:r w:rsidRPr="00680A2A">
        <w:rPr>
          <w:rFonts w:ascii="Century Gothic" w:hAnsi="Century Gothic"/>
        </w:rPr>
        <w:t>that</w:t>
      </w:r>
      <w:proofErr w:type="gramEnd"/>
      <w:r w:rsidRPr="00680A2A">
        <w:rPr>
          <w:rFonts w:ascii="Century Gothic" w:hAnsi="Century Gothic"/>
        </w:rPr>
        <w:t xml:space="preserve"> of the New York City market. Given these costs, the data showed that it is necessary to use an alternate HCC and TDC. </w:t>
      </w:r>
    </w:p>
    <w:p w14:paraId="14238935" w14:textId="77777777" w:rsidR="00E76B74" w:rsidRPr="00680A2A" w:rsidRDefault="00E76B74" w:rsidP="00E76B74">
      <w:pPr>
        <w:rPr>
          <w:rFonts w:ascii="Century Gothic" w:eastAsia="Calibri" w:hAnsi="Century Gothic"/>
        </w:rPr>
      </w:pPr>
    </w:p>
    <w:p w14:paraId="32536622" w14:textId="67AD3593" w:rsidR="00E76B74" w:rsidRPr="00680A2A" w:rsidRDefault="20499E31" w:rsidP="00E76B74">
      <w:pPr>
        <w:rPr>
          <w:rFonts w:ascii="Century Gothic" w:eastAsia="Calibri" w:hAnsi="Century Gothic"/>
        </w:rPr>
      </w:pPr>
      <w:r w:rsidRPr="00680A2A">
        <w:rPr>
          <w:rFonts w:ascii="Century Gothic" w:eastAsia="Calibri" w:hAnsi="Century Gothic"/>
        </w:rPr>
        <w:t xml:space="preserve">During FY12, ECC/HANH submitted revised TDC and HCC limits.  </w:t>
      </w:r>
      <w:r w:rsidR="0E516442" w:rsidRPr="00680A2A">
        <w:rPr>
          <w:rFonts w:ascii="Century Gothic" w:eastAsia="Calibri" w:hAnsi="Century Gothic"/>
        </w:rPr>
        <w:t>The TDC limits were again revised in 2017 to reflect increased development costs.</w:t>
      </w:r>
    </w:p>
    <w:p w14:paraId="4E77B0E5" w14:textId="77777777" w:rsidR="000A1B56" w:rsidRPr="00680A2A" w:rsidRDefault="000A1B56" w:rsidP="000A1B56">
      <w:pPr>
        <w:autoSpaceDE w:val="0"/>
        <w:autoSpaceDN w:val="0"/>
        <w:adjustRightInd w:val="0"/>
        <w:rPr>
          <w:rFonts w:ascii="Century Gothic" w:hAnsi="Century Gothic"/>
          <w:strike/>
          <w:szCs w:val="22"/>
        </w:rPr>
      </w:pPr>
    </w:p>
    <w:p w14:paraId="43C3DBDB" w14:textId="5D58FEBA" w:rsidR="000A1B56" w:rsidRPr="00680A2A" w:rsidRDefault="000A1B56" w:rsidP="000A1B56">
      <w:pPr>
        <w:autoSpaceDE w:val="0"/>
        <w:autoSpaceDN w:val="0"/>
        <w:adjustRightInd w:val="0"/>
        <w:rPr>
          <w:rFonts w:ascii="Century Gothic" w:hAnsi="Century Gothic"/>
          <w:szCs w:val="22"/>
          <w:u w:val="single"/>
        </w:rPr>
      </w:pPr>
      <w:r w:rsidRPr="00680A2A">
        <w:rPr>
          <w:rFonts w:ascii="Century Gothic" w:hAnsi="Century Gothic"/>
          <w:szCs w:val="22"/>
          <w:u w:val="single"/>
        </w:rPr>
        <w:t>Location</w:t>
      </w:r>
      <w:r w:rsidR="004F1A75" w:rsidRPr="00680A2A">
        <w:rPr>
          <w:rFonts w:ascii="Century Gothic" w:hAnsi="Century Gothic"/>
          <w:szCs w:val="22"/>
        </w:rPr>
        <w:t xml:space="preserve">: </w:t>
      </w:r>
      <w:r w:rsidRPr="00680A2A">
        <w:rPr>
          <w:rFonts w:ascii="Century Gothic" w:hAnsi="Century Gothic"/>
          <w:szCs w:val="22"/>
        </w:rPr>
        <w:t>HUD’s TDC and HCC cost limit reflects a national industry average</w:t>
      </w:r>
      <w:r w:rsidR="00435071" w:rsidRPr="00680A2A">
        <w:rPr>
          <w:rFonts w:ascii="Century Gothic" w:hAnsi="Century Gothic"/>
          <w:szCs w:val="22"/>
        </w:rPr>
        <w:t>.</w:t>
      </w:r>
      <w:r w:rsidR="00C65AB7" w:rsidRPr="00680A2A">
        <w:rPr>
          <w:rFonts w:ascii="Century Gothic" w:hAnsi="Century Gothic"/>
          <w:szCs w:val="22"/>
        </w:rPr>
        <w:t xml:space="preserve"> However,</w:t>
      </w:r>
      <w:r w:rsidRPr="00680A2A">
        <w:rPr>
          <w:rFonts w:ascii="Century Gothic" w:hAnsi="Century Gothic"/>
          <w:szCs w:val="22"/>
        </w:rPr>
        <w:t xml:space="preserve"> construction costs in New Haven</w:t>
      </w:r>
      <w:r w:rsidR="005A36B8" w:rsidRPr="00680A2A">
        <w:rPr>
          <w:rFonts w:ascii="Century Gothic" w:hAnsi="Century Gothic"/>
          <w:szCs w:val="22"/>
        </w:rPr>
        <w:t>,</w:t>
      </w:r>
      <w:r w:rsidRPr="00680A2A">
        <w:rPr>
          <w:rFonts w:ascii="Century Gothic" w:hAnsi="Century Gothic"/>
          <w:szCs w:val="22"/>
        </w:rPr>
        <w:t xml:space="preserve"> with its proximity to the New York City construction market</w:t>
      </w:r>
      <w:r w:rsidR="00173CBB" w:rsidRPr="00680A2A">
        <w:rPr>
          <w:rFonts w:ascii="Century Gothic" w:hAnsi="Century Gothic"/>
          <w:szCs w:val="22"/>
        </w:rPr>
        <w:t>,</w:t>
      </w:r>
      <w:r w:rsidRPr="00680A2A">
        <w:rPr>
          <w:rFonts w:ascii="Century Gothic" w:hAnsi="Century Gothic"/>
          <w:szCs w:val="22"/>
        </w:rPr>
        <w:t xml:space="preserve"> are higher than the national average. </w:t>
      </w:r>
      <w:r w:rsidR="00E37979" w:rsidRPr="00680A2A">
        <w:rPr>
          <w:rFonts w:ascii="Century Gothic" w:hAnsi="Century Gothic"/>
          <w:szCs w:val="22"/>
        </w:rPr>
        <w:t xml:space="preserve">Although higher costs </w:t>
      </w:r>
      <w:r w:rsidR="00921DB6" w:rsidRPr="00680A2A">
        <w:rPr>
          <w:rFonts w:ascii="Century Gothic" w:hAnsi="Century Gothic"/>
          <w:szCs w:val="22"/>
        </w:rPr>
        <w:t xml:space="preserve">can be challenging to accommodate, </w:t>
      </w:r>
      <w:r w:rsidRPr="00680A2A">
        <w:rPr>
          <w:rFonts w:ascii="Century Gothic" w:hAnsi="Century Gothic"/>
          <w:szCs w:val="22"/>
        </w:rPr>
        <w:t xml:space="preserve">ECC/HANH uses higher quality </w:t>
      </w:r>
      <w:r w:rsidR="004F1A75" w:rsidRPr="00680A2A">
        <w:rPr>
          <w:rFonts w:ascii="Century Gothic" w:hAnsi="Century Gothic"/>
          <w:szCs w:val="22"/>
        </w:rPr>
        <w:t xml:space="preserve">building </w:t>
      </w:r>
      <w:r w:rsidRPr="00680A2A">
        <w:rPr>
          <w:rFonts w:ascii="Century Gothic" w:hAnsi="Century Gothic"/>
          <w:szCs w:val="22"/>
        </w:rPr>
        <w:t xml:space="preserve">products to: </w:t>
      </w:r>
    </w:p>
    <w:p w14:paraId="5B20FC68" w14:textId="12E0F59C" w:rsidR="00921DB6" w:rsidRPr="00680A2A" w:rsidRDefault="00921DB6" w:rsidP="00486062">
      <w:pPr>
        <w:pStyle w:val="ListParagraph"/>
        <w:numPr>
          <w:ilvl w:val="0"/>
          <w:numId w:val="78"/>
        </w:numPr>
        <w:contextualSpacing w:val="0"/>
        <w:rPr>
          <w:rFonts w:ascii="Century Gothic" w:hAnsi="Century Gothic"/>
          <w:szCs w:val="22"/>
        </w:rPr>
      </w:pPr>
      <w:r w:rsidRPr="00680A2A">
        <w:rPr>
          <w:rFonts w:ascii="Century Gothic" w:hAnsi="Century Gothic"/>
          <w:szCs w:val="22"/>
        </w:rPr>
        <w:t>remain marketable and competitive in the local rental market</w:t>
      </w:r>
    </w:p>
    <w:p w14:paraId="73C1F5C7" w14:textId="73674077" w:rsidR="000A1B56" w:rsidRPr="00680A2A" w:rsidRDefault="000A1B56" w:rsidP="00486062">
      <w:pPr>
        <w:pStyle w:val="ListParagraph"/>
        <w:numPr>
          <w:ilvl w:val="0"/>
          <w:numId w:val="78"/>
        </w:numPr>
        <w:contextualSpacing w:val="0"/>
        <w:rPr>
          <w:rFonts w:ascii="Century Gothic" w:hAnsi="Century Gothic"/>
          <w:szCs w:val="22"/>
        </w:rPr>
      </w:pPr>
      <w:r w:rsidRPr="00680A2A">
        <w:rPr>
          <w:rFonts w:ascii="Century Gothic" w:hAnsi="Century Gothic"/>
          <w:szCs w:val="22"/>
        </w:rPr>
        <w:t>reduce maintenance cost</w:t>
      </w:r>
    </w:p>
    <w:p w14:paraId="72FEC09C" w14:textId="77777777" w:rsidR="000A1B56" w:rsidRPr="00680A2A" w:rsidRDefault="000A1B56" w:rsidP="00486062">
      <w:pPr>
        <w:pStyle w:val="ListParagraph"/>
        <w:numPr>
          <w:ilvl w:val="0"/>
          <w:numId w:val="78"/>
        </w:numPr>
        <w:contextualSpacing w:val="0"/>
        <w:rPr>
          <w:rFonts w:ascii="Century Gothic" w:hAnsi="Century Gothic"/>
          <w:szCs w:val="22"/>
        </w:rPr>
      </w:pPr>
      <w:r w:rsidRPr="00680A2A">
        <w:rPr>
          <w:rFonts w:ascii="Century Gothic" w:hAnsi="Century Gothic"/>
          <w:szCs w:val="22"/>
        </w:rPr>
        <w:t>increase durability</w:t>
      </w:r>
    </w:p>
    <w:p w14:paraId="3230217A" w14:textId="77777777" w:rsidR="000A1B56" w:rsidRPr="00680A2A" w:rsidRDefault="000A1B56" w:rsidP="00486062">
      <w:pPr>
        <w:pStyle w:val="ListParagraph"/>
        <w:numPr>
          <w:ilvl w:val="0"/>
          <w:numId w:val="78"/>
        </w:numPr>
        <w:contextualSpacing w:val="0"/>
        <w:rPr>
          <w:rFonts w:ascii="Century Gothic" w:hAnsi="Century Gothic"/>
          <w:szCs w:val="22"/>
        </w:rPr>
      </w:pPr>
      <w:r w:rsidRPr="00680A2A">
        <w:rPr>
          <w:rFonts w:ascii="Century Gothic" w:hAnsi="Century Gothic"/>
          <w:szCs w:val="22"/>
        </w:rPr>
        <w:t xml:space="preserve">enhance the quality of life of the residents </w:t>
      </w:r>
    </w:p>
    <w:p w14:paraId="1F39EBBF" w14:textId="77777777" w:rsidR="000A1B56" w:rsidRPr="00680A2A" w:rsidRDefault="000A1B56" w:rsidP="000A1B56">
      <w:pPr>
        <w:rPr>
          <w:rFonts w:ascii="Century Gothic" w:hAnsi="Century Gothic"/>
          <w:szCs w:val="22"/>
        </w:rPr>
      </w:pPr>
    </w:p>
    <w:p w14:paraId="694122AA" w14:textId="3A018779" w:rsidR="000A1B56" w:rsidRPr="00680A2A" w:rsidRDefault="000A1B56" w:rsidP="000A1B56">
      <w:pPr>
        <w:rPr>
          <w:rFonts w:ascii="Century Gothic" w:hAnsi="Century Gothic"/>
        </w:rPr>
      </w:pPr>
      <w:r w:rsidRPr="00680A2A">
        <w:rPr>
          <w:rFonts w:ascii="Century Gothic" w:hAnsi="Century Gothic"/>
          <w:u w:val="single"/>
        </w:rPr>
        <w:t>Design Standards</w:t>
      </w:r>
      <w:r w:rsidR="004F1A75" w:rsidRPr="00680A2A">
        <w:rPr>
          <w:rFonts w:ascii="Century Gothic" w:hAnsi="Century Gothic"/>
        </w:rPr>
        <w:t>:</w:t>
      </w:r>
      <w:r w:rsidR="005F15F0" w:rsidRPr="00680A2A">
        <w:rPr>
          <w:rFonts w:ascii="Century Gothic" w:hAnsi="Century Gothic"/>
        </w:rPr>
        <w:t xml:space="preserve"> </w:t>
      </w:r>
      <w:r w:rsidRPr="00680A2A">
        <w:rPr>
          <w:rFonts w:ascii="Century Gothic" w:hAnsi="Century Gothic"/>
        </w:rPr>
        <w:t xml:space="preserve">ECC/HANH’s design standards include higher quality materials for long-term viability and durability. Using higher quality materials for development and redevelopment activities </w:t>
      </w:r>
      <w:r w:rsidR="004F1A75" w:rsidRPr="00680A2A">
        <w:rPr>
          <w:rFonts w:ascii="Century Gothic" w:hAnsi="Century Gothic"/>
        </w:rPr>
        <w:t>results in higher construction costs</w:t>
      </w:r>
      <w:r w:rsidRPr="00680A2A">
        <w:rPr>
          <w:rFonts w:ascii="Century Gothic" w:hAnsi="Century Gothic"/>
        </w:rPr>
        <w:t xml:space="preserve"> but </w:t>
      </w:r>
      <w:r w:rsidR="004F1A75" w:rsidRPr="00680A2A">
        <w:rPr>
          <w:rFonts w:ascii="Century Gothic" w:hAnsi="Century Gothic"/>
        </w:rPr>
        <w:t xml:space="preserve">also </w:t>
      </w:r>
      <w:r w:rsidRPr="00680A2A">
        <w:rPr>
          <w:rFonts w:ascii="Century Gothic" w:hAnsi="Century Gothic"/>
        </w:rPr>
        <w:t>increases the quality, marketability, and sustainability of units</w:t>
      </w:r>
      <w:r w:rsidR="00227CD1" w:rsidRPr="00680A2A">
        <w:rPr>
          <w:rFonts w:ascii="Century Gothic" w:hAnsi="Century Gothic"/>
        </w:rPr>
        <w:t>,</w:t>
      </w:r>
      <w:r w:rsidRPr="00680A2A">
        <w:rPr>
          <w:rFonts w:ascii="Century Gothic" w:hAnsi="Century Gothic"/>
        </w:rPr>
        <w:t xml:space="preserve"> improves energy efficiency</w:t>
      </w:r>
      <w:r w:rsidR="00227CD1" w:rsidRPr="00680A2A">
        <w:rPr>
          <w:rFonts w:ascii="Century Gothic" w:hAnsi="Century Gothic"/>
        </w:rPr>
        <w:t>,</w:t>
      </w:r>
      <w:r w:rsidRPr="00680A2A">
        <w:rPr>
          <w:rFonts w:ascii="Century Gothic" w:hAnsi="Century Gothic"/>
        </w:rPr>
        <w:t xml:space="preserve"> and reduces the number of requests for emergency work orders. </w:t>
      </w:r>
      <w:r w:rsidR="004F1A75" w:rsidRPr="00680A2A">
        <w:rPr>
          <w:rFonts w:ascii="Century Gothic" w:hAnsi="Century Gothic"/>
        </w:rPr>
        <w:t>B</w:t>
      </w:r>
      <w:r w:rsidRPr="00680A2A">
        <w:rPr>
          <w:rFonts w:ascii="Century Gothic" w:hAnsi="Century Gothic"/>
        </w:rPr>
        <w:t>y using higher quality materials</w:t>
      </w:r>
      <w:r w:rsidR="004F1A75" w:rsidRPr="00680A2A">
        <w:rPr>
          <w:rFonts w:ascii="Century Gothic" w:hAnsi="Century Gothic"/>
        </w:rPr>
        <w:t>,</w:t>
      </w:r>
      <w:r w:rsidRPr="00680A2A">
        <w:rPr>
          <w:rFonts w:ascii="Century Gothic" w:hAnsi="Century Gothic"/>
        </w:rPr>
        <w:t xml:space="preserve"> ECC/HANH </w:t>
      </w:r>
      <w:r w:rsidR="004F1A75" w:rsidRPr="00680A2A">
        <w:rPr>
          <w:rFonts w:ascii="Century Gothic" w:hAnsi="Century Gothic"/>
        </w:rPr>
        <w:t xml:space="preserve">also </w:t>
      </w:r>
      <w:r w:rsidRPr="00680A2A">
        <w:rPr>
          <w:rFonts w:ascii="Century Gothic" w:hAnsi="Century Gothic"/>
        </w:rPr>
        <w:t xml:space="preserve">anticipates faster lease ups and fewer unit turnovers. </w:t>
      </w:r>
    </w:p>
    <w:p w14:paraId="2A432D5B" w14:textId="67CD215D" w:rsidR="00B65B05" w:rsidRPr="00680A2A" w:rsidRDefault="3CA8D77B" w:rsidP="2C805A1A">
      <w:pPr>
        <w:rPr>
          <w:rFonts w:ascii="Century Gothic" w:hAnsi="Century Gothic"/>
        </w:rPr>
      </w:pPr>
      <w:r w:rsidRPr="00680A2A">
        <w:rPr>
          <w:rFonts w:ascii="Century Gothic" w:hAnsi="Century Gothic"/>
        </w:rPr>
        <w:t xml:space="preserve"> </w:t>
      </w:r>
    </w:p>
    <w:p w14:paraId="072896B6" w14:textId="6876B5A6" w:rsidR="0027390B" w:rsidRPr="00680A2A" w:rsidRDefault="0027390B" w:rsidP="0027390B">
      <w:pPr>
        <w:pStyle w:val="Heading4"/>
        <w:rPr>
          <w:rStyle w:val="SubtleEmphasis"/>
          <w:rFonts w:ascii="Century Gothic" w:hAnsi="Century Gothic" w:cs="Times New Roman"/>
          <w:color w:val="808080" w:themeColor="background1" w:themeShade="80"/>
          <w:sz w:val="22"/>
        </w:rPr>
      </w:pPr>
      <w:r w:rsidRPr="00680A2A">
        <w:rPr>
          <w:rStyle w:val="SubtleEmphasis"/>
          <w:rFonts w:ascii="Century Gothic" w:hAnsi="Century Gothic" w:cs="Times New Roman"/>
          <w:color w:val="808080" w:themeColor="background1" w:themeShade="80"/>
          <w:sz w:val="22"/>
        </w:rPr>
        <w:lastRenderedPageBreak/>
        <w:t>Impact</w:t>
      </w:r>
    </w:p>
    <w:p w14:paraId="3B2A6935" w14:textId="532E1440" w:rsidR="0027390B" w:rsidRPr="00680A2A" w:rsidRDefault="1FE0FA52" w:rsidP="0027390B">
      <w:pPr>
        <w:pStyle w:val="NoSpacing"/>
        <w:rPr>
          <w:rFonts w:ascii="Century Gothic" w:hAnsi="Century Gothic" w:cs="Times New Roman"/>
          <w:b w:val="0"/>
          <w:color w:val="auto"/>
          <w:sz w:val="22"/>
          <w:szCs w:val="22"/>
        </w:rPr>
      </w:pPr>
      <w:r w:rsidRPr="00680A2A">
        <w:rPr>
          <w:rFonts w:ascii="Century Gothic" w:hAnsi="Century Gothic" w:cs="Times New Roman"/>
          <w:b w:val="0"/>
          <w:color w:val="auto"/>
          <w:sz w:val="22"/>
          <w:szCs w:val="22"/>
        </w:rPr>
        <w:t xml:space="preserve">ECC/HANH’s MTW flexibility has allowed for an extensive redevelopment approach that has utilized the alternative TDC initiative to support the design and development of quality, energy efficient housing of choice that meets market demand and local standards. This is bolstered by the critical flexibility provided by the initiative, including the ability to leverage non-MTW funds through applications for competitive funding rounds. Of the past 14 redevelopments, 8 of 14 required use of the local TDC.  TDCs range from $198k to $380k per unit.  Those that exceed HUD TDC limits exceeded by between $4700 and $78k. At no time did we exceed the HUD approved alternate TDC limits.  </w:t>
      </w:r>
    </w:p>
    <w:p w14:paraId="7E7C52F1" w14:textId="7EE7DD46" w:rsidR="61259C4B" w:rsidRPr="00680A2A" w:rsidRDefault="61259C4B" w:rsidP="61259C4B">
      <w:pPr>
        <w:pStyle w:val="NoSpacing"/>
        <w:rPr>
          <w:rFonts w:ascii="Century Gothic" w:eastAsia="MS PGothic" w:hAnsi="Century Gothic" w:cs="Arial"/>
          <w:bCs/>
          <w:sz w:val="22"/>
          <w:szCs w:val="22"/>
        </w:rPr>
      </w:pPr>
    </w:p>
    <w:p w14:paraId="62CDB1F9" w14:textId="1CA7266E" w:rsidR="64C53C22" w:rsidRPr="00680A2A" w:rsidRDefault="100B9C5F" w:rsidP="0175C16E">
      <w:pPr>
        <w:pStyle w:val="NoSpacing"/>
        <w:rPr>
          <w:rFonts w:ascii="Century Gothic" w:eastAsia="MS PGothic" w:hAnsi="Century Gothic" w:cs="Times New Roman"/>
          <w:b w:val="0"/>
          <w:color w:val="auto"/>
          <w:sz w:val="22"/>
          <w:szCs w:val="22"/>
        </w:rPr>
      </w:pPr>
      <w:r w:rsidRPr="00680A2A">
        <w:rPr>
          <w:rFonts w:ascii="Century Gothic" w:eastAsia="MS PGothic" w:hAnsi="Century Gothic" w:cs="Times New Roman"/>
          <w:b w:val="0"/>
          <w:color w:val="auto"/>
          <w:sz w:val="22"/>
          <w:szCs w:val="22"/>
        </w:rPr>
        <w:t xml:space="preserve">Since implementing this initiative, ECC/HANH has redeveloped thousands of units, </w:t>
      </w:r>
      <w:r w:rsidR="2F37516D" w:rsidRPr="00680A2A">
        <w:rPr>
          <w:rFonts w:ascii="Century Gothic" w:eastAsia="MS PGothic" w:hAnsi="Century Gothic" w:cs="Times New Roman"/>
          <w:b w:val="0"/>
          <w:color w:val="auto"/>
          <w:sz w:val="22"/>
          <w:szCs w:val="22"/>
        </w:rPr>
        <w:t>leveraged</w:t>
      </w:r>
      <w:r w:rsidRPr="00680A2A">
        <w:rPr>
          <w:rFonts w:ascii="Century Gothic" w:eastAsia="MS PGothic" w:hAnsi="Century Gothic" w:cs="Times New Roman"/>
          <w:b w:val="0"/>
          <w:color w:val="auto"/>
          <w:sz w:val="22"/>
          <w:szCs w:val="22"/>
        </w:rPr>
        <w:t xml:space="preserve"> significant non-federal dollars and </w:t>
      </w:r>
      <w:r w:rsidR="0A91E699" w:rsidRPr="00680A2A">
        <w:rPr>
          <w:rFonts w:ascii="Century Gothic" w:eastAsia="MS PGothic" w:hAnsi="Century Gothic" w:cs="Times New Roman"/>
          <w:b w:val="0"/>
          <w:color w:val="auto"/>
          <w:sz w:val="22"/>
          <w:szCs w:val="22"/>
        </w:rPr>
        <w:t>created</w:t>
      </w:r>
      <w:r w:rsidRPr="00680A2A">
        <w:rPr>
          <w:rFonts w:ascii="Century Gothic" w:eastAsia="MS PGothic" w:hAnsi="Century Gothic" w:cs="Times New Roman"/>
          <w:b w:val="0"/>
          <w:color w:val="auto"/>
          <w:sz w:val="22"/>
          <w:szCs w:val="22"/>
        </w:rPr>
        <w:t xml:space="preserve"> quality, cost and energy efficient housing opportunities. </w:t>
      </w:r>
      <w:r w:rsidR="46B105C2" w:rsidRPr="00680A2A">
        <w:rPr>
          <w:rFonts w:ascii="Century Gothic" w:eastAsia="MS PGothic" w:hAnsi="Century Gothic" w:cs="Times New Roman"/>
          <w:b w:val="0"/>
          <w:color w:val="auto"/>
          <w:sz w:val="22"/>
          <w:szCs w:val="22"/>
        </w:rPr>
        <w:t xml:space="preserve">The alternate TDC has allowed for an increase of almost 300 hard units, improved occupancy rates </w:t>
      </w:r>
      <w:r w:rsidR="3527F3F2" w:rsidRPr="00680A2A">
        <w:rPr>
          <w:rFonts w:ascii="Century Gothic" w:eastAsia="MS PGothic" w:hAnsi="Century Gothic" w:cs="Times New Roman"/>
          <w:b w:val="0"/>
          <w:color w:val="auto"/>
          <w:sz w:val="22"/>
          <w:szCs w:val="22"/>
        </w:rPr>
        <w:t xml:space="preserve">and significant reductions in utility costs.  </w:t>
      </w:r>
    </w:p>
    <w:p w14:paraId="6FC0F73E" w14:textId="4F99D1BB" w:rsidR="64C53C22" w:rsidRPr="00680A2A" w:rsidRDefault="00386D79" w:rsidP="0175C16E">
      <w:pPr>
        <w:pStyle w:val="NoSpacing"/>
        <w:rPr>
          <w:rFonts w:ascii="Century Gothic" w:eastAsia="MS PGothic" w:hAnsi="Century Gothic" w:cs="Arial"/>
          <w:bCs/>
          <w:sz w:val="22"/>
          <w:szCs w:val="22"/>
        </w:rPr>
      </w:pPr>
      <w:r w:rsidRPr="0050106C">
        <w:rPr>
          <w:rFonts w:ascii="Century Gothic" w:hAnsi="Century Gothic"/>
          <w:noProof/>
        </w:rPr>
        <mc:AlternateContent>
          <mc:Choice Requires="wpg">
            <w:drawing>
              <wp:anchor distT="45720" distB="45720" distL="182880" distR="182880" simplePos="0" relativeHeight="251658270" behindDoc="0" locked="0" layoutInCell="1" allowOverlap="1" wp14:anchorId="4CE469D1" wp14:editId="1CAD5EC2">
                <wp:simplePos x="0" y="0"/>
                <wp:positionH relativeFrom="margin">
                  <wp:align>left</wp:align>
                </wp:positionH>
                <mc:AlternateContent>
                  <mc:Choice Requires="wp14">
                    <wp:positionV relativeFrom="margin">
                      <wp14:pctPosVOffset>30000</wp14:pctPosVOffset>
                    </wp:positionV>
                  </mc:Choice>
                  <mc:Fallback>
                    <wp:positionV relativeFrom="page">
                      <wp:posOffset>3309620</wp:posOffset>
                    </wp:positionV>
                  </mc:Fallback>
                </mc:AlternateContent>
                <wp:extent cx="2084705" cy="1800225"/>
                <wp:effectExtent l="0" t="0" r="0" b="9525"/>
                <wp:wrapSquare wrapText="bothSides"/>
                <wp:docPr id="47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4705" cy="1800225"/>
                          <a:chOff x="-2" y="0"/>
                          <a:chExt cx="3567450" cy="180842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49CDB" w14:textId="77777777" w:rsidR="00627F7B" w:rsidRDefault="00627F7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ECC/HANH’s Alternative TDC results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 y="87779"/>
                            <a:ext cx="3362759" cy="17206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2245F" w14:textId="77777777" w:rsidR="006F32F2" w:rsidRDefault="006F32F2">
                              <w:pPr>
                                <w:rPr>
                                  <w:caps/>
                                  <w:color w:val="B7A241" w:themeColor="accent1"/>
                                  <w:sz w:val="26"/>
                                  <w:szCs w:val="26"/>
                                </w:rPr>
                              </w:pPr>
                            </w:p>
                            <w:p w14:paraId="200A2DCD" w14:textId="77777777" w:rsidR="00627F7B" w:rsidRDefault="00627F7B">
                              <w:pPr>
                                <w:rPr>
                                  <w:caps/>
                                  <w:color w:val="B7A241" w:themeColor="accent1"/>
                                  <w:sz w:val="26"/>
                                  <w:szCs w:val="26"/>
                                </w:rPr>
                              </w:pPr>
                              <w:r>
                                <w:rPr>
                                  <w:caps/>
                                  <w:color w:val="B7A241" w:themeColor="accent1"/>
                                  <w:sz w:val="26"/>
                                  <w:szCs w:val="26"/>
                                </w:rPr>
                                <w:t xml:space="preserve">Over </w:t>
                              </w:r>
                              <w:r w:rsidR="00AB230A">
                                <w:rPr>
                                  <w:caps/>
                                  <w:color w:val="B7A241" w:themeColor="accent1"/>
                                  <w:sz w:val="26"/>
                                  <w:szCs w:val="26"/>
                                </w:rPr>
                                <w:t xml:space="preserve">1400 </w:t>
                              </w:r>
                              <w:r>
                                <w:rPr>
                                  <w:caps/>
                                  <w:color w:val="B7A241" w:themeColor="accent1"/>
                                  <w:sz w:val="26"/>
                                  <w:szCs w:val="26"/>
                                </w:rPr>
                                <w:t>redeveloped units</w:t>
                              </w:r>
                            </w:p>
                            <w:p w14:paraId="49C970EF" w14:textId="77777777" w:rsidR="00940039" w:rsidRDefault="00940039">
                              <w:pPr>
                                <w:rPr>
                                  <w:caps/>
                                  <w:color w:val="B7A241" w:themeColor="accent1"/>
                                  <w:sz w:val="26"/>
                                  <w:szCs w:val="26"/>
                                </w:rPr>
                              </w:pPr>
                            </w:p>
                            <w:p w14:paraId="418BCA6B" w14:textId="77777777" w:rsidR="00627F7B" w:rsidRDefault="00386D79">
                              <w:pPr>
                                <w:rPr>
                                  <w:caps/>
                                  <w:color w:val="B7A241" w:themeColor="accent1"/>
                                  <w:sz w:val="26"/>
                                  <w:szCs w:val="26"/>
                                </w:rPr>
                              </w:pPr>
                              <w:r>
                                <w:rPr>
                                  <w:caps/>
                                  <w:color w:val="B7A241" w:themeColor="accent1"/>
                                  <w:sz w:val="26"/>
                                  <w:szCs w:val="26"/>
                                </w:rPr>
                                <w:t>60% and 83</w:t>
                              </w:r>
                              <w:r w:rsidR="00627F7B">
                                <w:rPr>
                                  <w:caps/>
                                  <w:color w:val="B7A241" w:themeColor="accent1"/>
                                  <w:sz w:val="26"/>
                                  <w:szCs w:val="26"/>
                                </w:rPr>
                                <w:t>% reduction in utility costs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E469D1" id="Group 71" o:spid="_x0000_s1038" style="position:absolute;margin-left:0;margin-top:0;width:164.15pt;height:141.75pt;z-index:251658270;mso-top-percent:300;mso-wrap-distance-left:14.4pt;mso-wrap-distance-top:3.6pt;mso-wrap-distance-right:14.4pt;mso-wrap-distance-bottom:3.6pt;mso-position-horizontal:left;mso-position-horizontal-relative:margin;mso-position-vertical-relative:margin;mso-top-percent:300;mso-width-relative:margin;mso-height-relative:margin" coordorigin="" coordsize="35674,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">
                <v:rect id="Rectangle 199" o:spid="_x0000_s103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b7a241 [3204]" stroked="f" strokeweight="1pt">
                  <v:textbox>
                    <w:txbxContent>
                      <w:p w14:paraId="08549CDB" w14:textId="77777777" w:rsidR="00627F7B" w:rsidRDefault="00627F7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ECC/HANH’s Alternative TDC results in:</w:t>
                        </w:r>
                      </w:p>
                    </w:txbxContent>
                  </v:textbox>
                </v:rect>
                <v:shape id="Text Box 200" o:spid="_x0000_s1040" type="#_x0000_t202" style="position:absolute;top:877;width:33627;height:1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112245F" w14:textId="77777777" w:rsidR="006F32F2" w:rsidRDefault="006F32F2">
                        <w:pPr>
                          <w:rPr>
                            <w:caps/>
                            <w:color w:val="B7A241" w:themeColor="accent1"/>
                            <w:sz w:val="26"/>
                            <w:szCs w:val="26"/>
                          </w:rPr>
                        </w:pPr>
                      </w:p>
                      <w:p w14:paraId="200A2DCD" w14:textId="77777777" w:rsidR="00627F7B" w:rsidRDefault="00627F7B">
                        <w:pPr>
                          <w:rPr>
                            <w:caps/>
                            <w:color w:val="B7A241" w:themeColor="accent1"/>
                            <w:sz w:val="26"/>
                            <w:szCs w:val="26"/>
                          </w:rPr>
                        </w:pPr>
                        <w:r>
                          <w:rPr>
                            <w:caps/>
                            <w:color w:val="B7A241" w:themeColor="accent1"/>
                            <w:sz w:val="26"/>
                            <w:szCs w:val="26"/>
                          </w:rPr>
                          <w:t xml:space="preserve">Over </w:t>
                        </w:r>
                        <w:r w:rsidR="00AB230A">
                          <w:rPr>
                            <w:caps/>
                            <w:color w:val="B7A241" w:themeColor="accent1"/>
                            <w:sz w:val="26"/>
                            <w:szCs w:val="26"/>
                          </w:rPr>
                          <w:t xml:space="preserve">1400 </w:t>
                        </w:r>
                        <w:r>
                          <w:rPr>
                            <w:caps/>
                            <w:color w:val="B7A241" w:themeColor="accent1"/>
                            <w:sz w:val="26"/>
                            <w:szCs w:val="26"/>
                          </w:rPr>
                          <w:t>redeveloped units</w:t>
                        </w:r>
                      </w:p>
                      <w:p w14:paraId="49C970EF" w14:textId="77777777" w:rsidR="00940039" w:rsidRDefault="00940039">
                        <w:pPr>
                          <w:rPr>
                            <w:caps/>
                            <w:color w:val="B7A241" w:themeColor="accent1"/>
                            <w:sz w:val="26"/>
                            <w:szCs w:val="26"/>
                          </w:rPr>
                        </w:pPr>
                      </w:p>
                      <w:p w14:paraId="418BCA6B" w14:textId="77777777" w:rsidR="00627F7B" w:rsidRDefault="00386D79">
                        <w:pPr>
                          <w:rPr>
                            <w:caps/>
                            <w:color w:val="B7A241" w:themeColor="accent1"/>
                            <w:sz w:val="26"/>
                            <w:szCs w:val="26"/>
                          </w:rPr>
                        </w:pPr>
                        <w:r>
                          <w:rPr>
                            <w:caps/>
                            <w:color w:val="B7A241" w:themeColor="accent1"/>
                            <w:sz w:val="26"/>
                            <w:szCs w:val="26"/>
                          </w:rPr>
                          <w:t>60% and 83</w:t>
                        </w:r>
                        <w:r w:rsidR="00627F7B">
                          <w:rPr>
                            <w:caps/>
                            <w:color w:val="B7A241" w:themeColor="accent1"/>
                            <w:sz w:val="26"/>
                            <w:szCs w:val="26"/>
                          </w:rPr>
                          <w:t>% reduction in utility costs</w:t>
                        </w:r>
                      </w:p>
                    </w:txbxContent>
                  </v:textbox>
                </v:shape>
                <w10:wrap type="square" anchorx="margin" anchory="margin"/>
              </v:group>
            </w:pict>
          </mc:Fallback>
        </mc:AlternateContent>
      </w:r>
    </w:p>
    <w:p w14:paraId="3B6B1708" w14:textId="5BBFD53C" w:rsidR="64C53C22" w:rsidRPr="00680A2A" w:rsidRDefault="6B9EBD0B" w:rsidP="19A6F694">
      <w:pPr>
        <w:rPr>
          <w:rFonts w:ascii="Century Gothic" w:eastAsia="MS PGothic" w:hAnsi="Century Gothic"/>
        </w:rPr>
      </w:pPr>
      <w:r w:rsidRPr="00680A2A">
        <w:rPr>
          <w:rFonts w:ascii="Century Gothic" w:eastAsia="MS PGothic" w:hAnsi="Century Gothic"/>
        </w:rPr>
        <w:t xml:space="preserve">There has also been </w:t>
      </w:r>
      <w:r w:rsidR="00D80118" w:rsidRPr="00680A2A">
        <w:rPr>
          <w:rFonts w:ascii="Century Gothic" w:eastAsia="MS PGothic" w:hAnsi="Century Gothic"/>
        </w:rPr>
        <w:t>an</w:t>
      </w:r>
      <w:r w:rsidRPr="00680A2A">
        <w:rPr>
          <w:rFonts w:ascii="Century Gothic" w:eastAsia="MS PGothic" w:hAnsi="Century Gothic"/>
        </w:rPr>
        <w:t xml:space="preserve"> </w:t>
      </w:r>
      <w:r w:rsidR="40B6A740" w:rsidRPr="00680A2A">
        <w:rPr>
          <w:rFonts w:ascii="Century Gothic" w:eastAsia="MS PGothic" w:hAnsi="Century Gothic"/>
        </w:rPr>
        <w:t>8</w:t>
      </w:r>
      <w:r w:rsidR="003D19CF">
        <w:rPr>
          <w:rFonts w:ascii="Century Gothic" w:eastAsia="MS PGothic" w:hAnsi="Century Gothic"/>
        </w:rPr>
        <w:t>3</w:t>
      </w:r>
      <w:r w:rsidR="40B6A740" w:rsidRPr="00680A2A">
        <w:rPr>
          <w:rFonts w:ascii="Century Gothic" w:eastAsia="MS PGothic" w:hAnsi="Century Gothic"/>
        </w:rPr>
        <w:t>%</w:t>
      </w:r>
      <w:r w:rsidR="0558843E" w:rsidRPr="00680A2A">
        <w:rPr>
          <w:rFonts w:ascii="Century Gothic" w:eastAsia="MS PGothic" w:hAnsi="Century Gothic"/>
        </w:rPr>
        <w:t xml:space="preserve"> </w:t>
      </w:r>
      <w:r w:rsidRPr="00680A2A">
        <w:rPr>
          <w:rFonts w:ascii="Century Gothic" w:eastAsia="MS PGothic" w:hAnsi="Century Gothic"/>
        </w:rPr>
        <w:t>reduction in the average per unit/per month electric utility expenses from the baseline in 2012, $900 to $</w:t>
      </w:r>
      <w:r w:rsidR="701D53D1" w:rsidRPr="00680A2A">
        <w:rPr>
          <w:rFonts w:ascii="Century Gothic" w:eastAsia="MS PGothic" w:hAnsi="Century Gothic"/>
        </w:rPr>
        <w:t>15</w:t>
      </w:r>
      <w:r w:rsidR="00940039">
        <w:rPr>
          <w:rFonts w:ascii="Century Gothic" w:eastAsia="MS PGothic" w:hAnsi="Century Gothic"/>
        </w:rPr>
        <w:t xml:space="preserve">5 </w:t>
      </w:r>
      <w:r w:rsidRPr="00680A2A">
        <w:rPr>
          <w:rFonts w:ascii="Century Gothic" w:eastAsia="MS PGothic" w:hAnsi="Century Gothic"/>
        </w:rPr>
        <w:t xml:space="preserve">and a </w:t>
      </w:r>
      <w:r w:rsidR="5E9B9269" w:rsidRPr="00680A2A">
        <w:rPr>
          <w:rFonts w:ascii="Century Gothic" w:eastAsia="MS PGothic" w:hAnsi="Century Gothic"/>
        </w:rPr>
        <w:t>60</w:t>
      </w:r>
      <w:r w:rsidRPr="00680A2A">
        <w:rPr>
          <w:rFonts w:ascii="Century Gothic" w:eastAsia="MS PGothic" w:hAnsi="Century Gothic"/>
        </w:rPr>
        <w:t>% reduction in the average per unit/per month gas utility expense from $60.83 to $</w:t>
      </w:r>
      <w:r w:rsidR="5B1FE7EB" w:rsidRPr="00680A2A">
        <w:rPr>
          <w:rFonts w:ascii="Century Gothic" w:eastAsia="MS PGothic" w:hAnsi="Century Gothic"/>
        </w:rPr>
        <w:t>24.63</w:t>
      </w:r>
      <w:r w:rsidR="2B5A7233" w:rsidRPr="00680A2A">
        <w:rPr>
          <w:rFonts w:ascii="Century Gothic" w:eastAsia="MS PGothic" w:hAnsi="Century Gothic"/>
        </w:rPr>
        <w:t>.</w:t>
      </w:r>
      <w:r w:rsidRPr="00680A2A">
        <w:rPr>
          <w:rFonts w:ascii="Century Gothic" w:eastAsia="MS PGothic" w:hAnsi="Century Gothic"/>
        </w:rPr>
        <w:t xml:space="preserve">  </w:t>
      </w:r>
      <w:r w:rsidR="00E05E21" w:rsidRPr="00680A2A">
        <w:rPr>
          <w:rFonts w:ascii="Century Gothic" w:eastAsia="MS PGothic" w:hAnsi="Century Gothic"/>
        </w:rPr>
        <w:t>These</w:t>
      </w:r>
      <w:r w:rsidRPr="00680A2A">
        <w:rPr>
          <w:rFonts w:ascii="Century Gothic" w:eastAsia="MS PGothic" w:hAnsi="Century Gothic"/>
        </w:rPr>
        <w:t xml:space="preserve"> savings </w:t>
      </w:r>
      <w:r w:rsidR="00E05E21" w:rsidRPr="00680A2A">
        <w:rPr>
          <w:rFonts w:ascii="Century Gothic" w:eastAsia="MS PGothic" w:hAnsi="Century Gothic"/>
        </w:rPr>
        <w:t>are</w:t>
      </w:r>
      <w:r w:rsidRPr="00680A2A">
        <w:rPr>
          <w:rFonts w:ascii="Century Gothic" w:eastAsia="MS PGothic" w:hAnsi="Century Gothic"/>
        </w:rPr>
        <w:t xml:space="preserve"> even </w:t>
      </w:r>
      <w:proofErr w:type="gramStart"/>
      <w:r w:rsidRPr="00680A2A">
        <w:rPr>
          <w:rFonts w:ascii="Century Gothic" w:eastAsia="MS PGothic" w:hAnsi="Century Gothic"/>
        </w:rPr>
        <w:t>greater</w:t>
      </w:r>
      <w:proofErr w:type="gramEnd"/>
      <w:r w:rsidRPr="00680A2A">
        <w:rPr>
          <w:rFonts w:ascii="Century Gothic" w:eastAsia="MS PGothic" w:hAnsi="Century Gothic"/>
        </w:rPr>
        <w:t xml:space="preserve"> taking inflation into account.</w:t>
      </w:r>
    </w:p>
    <w:p w14:paraId="216F24FF" w14:textId="77777777" w:rsidR="002C4D5E" w:rsidRPr="00680A2A" w:rsidRDefault="002C4D5E" w:rsidP="19A6F694">
      <w:pPr>
        <w:rPr>
          <w:rFonts w:ascii="Century Gothic" w:eastAsia="MS PGothic" w:hAnsi="Century Gothic"/>
        </w:rPr>
      </w:pPr>
    </w:p>
    <w:p w14:paraId="45747E65" w14:textId="1647AD14" w:rsidR="002C4D5E" w:rsidRPr="0050106C" w:rsidRDefault="364CDFCA" w:rsidP="2E6E5987">
      <w:pPr>
        <w:rPr>
          <w:rFonts w:ascii="Century Gothic" w:eastAsia="Calisto MT" w:hAnsi="Century Gothic"/>
        </w:rPr>
      </w:pPr>
      <w:proofErr w:type="spellStart"/>
      <w:r w:rsidRPr="00680A2A">
        <w:rPr>
          <w:rFonts w:ascii="Century Gothic" w:eastAsia="Times New Roman" w:hAnsi="Century Gothic"/>
        </w:rPr>
        <w:t>Farnam</w:t>
      </w:r>
      <w:proofErr w:type="spellEnd"/>
      <w:r w:rsidRPr="00680A2A">
        <w:rPr>
          <w:rFonts w:ascii="Century Gothic" w:eastAsia="Times New Roman" w:hAnsi="Century Gothic"/>
        </w:rPr>
        <w:t xml:space="preserve"> Court Phase II 4% and </w:t>
      </w:r>
      <w:proofErr w:type="spellStart"/>
      <w:r w:rsidRPr="00680A2A">
        <w:rPr>
          <w:rFonts w:ascii="Century Gothic" w:eastAsia="Times New Roman" w:hAnsi="Century Gothic"/>
        </w:rPr>
        <w:t>Farnam</w:t>
      </w:r>
      <w:proofErr w:type="spellEnd"/>
      <w:r w:rsidRPr="00680A2A">
        <w:rPr>
          <w:rFonts w:ascii="Century Gothic" w:eastAsia="Times New Roman" w:hAnsi="Century Gothic"/>
        </w:rPr>
        <w:t xml:space="preserve"> Court Phase II 9% projects were completed in FY2022 and are now fully occupied and comply with the TDC.  </w:t>
      </w:r>
    </w:p>
    <w:p w14:paraId="50F70F3B" w14:textId="77777777" w:rsidR="002C4D5E" w:rsidRPr="0050106C" w:rsidRDefault="002C4D5E" w:rsidP="19A6F694">
      <w:pPr>
        <w:rPr>
          <w:rFonts w:ascii="Century Gothic" w:eastAsia="MS PGothic" w:hAnsi="Century Gothic"/>
        </w:rPr>
      </w:pPr>
    </w:p>
    <w:p w14:paraId="74011F08" w14:textId="39CA610D" w:rsidR="002C4D5E" w:rsidRPr="00940039" w:rsidRDefault="05D92719" w:rsidP="6EDDC8C1">
      <w:pPr>
        <w:rPr>
          <w:rFonts w:ascii="Century Gothic" w:hAnsi="Century Gothic"/>
          <w:szCs w:val="22"/>
        </w:rPr>
      </w:pPr>
      <w:r w:rsidRPr="0050106C">
        <w:rPr>
          <w:rFonts w:ascii="Century Gothic" w:eastAsia="Times New Roman" w:hAnsi="Century Gothic"/>
        </w:rPr>
        <w:t xml:space="preserve">At the beginning of </w:t>
      </w:r>
      <w:r w:rsidR="002C4D5E" w:rsidRPr="0050106C">
        <w:rPr>
          <w:rFonts w:ascii="Century Gothic" w:eastAsia="Times New Roman" w:hAnsi="Century Gothic"/>
        </w:rPr>
        <w:t>FY2024</w:t>
      </w:r>
      <w:r w:rsidRPr="0050106C">
        <w:rPr>
          <w:rFonts w:ascii="Century Gothic" w:eastAsia="Times New Roman" w:hAnsi="Century Gothic"/>
        </w:rPr>
        <w:t xml:space="preserve">, </w:t>
      </w:r>
      <w:r w:rsidR="1A32C5BE" w:rsidRPr="0050106C">
        <w:rPr>
          <w:rFonts w:ascii="Century Gothic" w:eastAsia="Times New Roman" w:hAnsi="Century Gothic"/>
        </w:rPr>
        <w:t xml:space="preserve">ECC/HANH had the following developments in the pipeline:  </w:t>
      </w:r>
      <w:r w:rsidR="364CDFCA" w:rsidRPr="0050106C">
        <w:rPr>
          <w:rFonts w:ascii="Century Gothic" w:eastAsia="Times New Roman" w:hAnsi="Century Gothic"/>
        </w:rPr>
        <w:t>Valley Townhomes</w:t>
      </w:r>
      <w:r w:rsidR="6F61A464" w:rsidRPr="0050106C">
        <w:rPr>
          <w:rFonts w:ascii="Century Gothic" w:eastAsia="Times New Roman" w:hAnsi="Century Gothic"/>
        </w:rPr>
        <w:t>,</w:t>
      </w:r>
      <w:r w:rsidR="364CDFCA" w:rsidRPr="0050106C">
        <w:rPr>
          <w:rFonts w:ascii="Century Gothic" w:eastAsia="Times New Roman" w:hAnsi="Century Gothic"/>
        </w:rPr>
        <w:t xml:space="preserve"> 34 Level Street, Westville Manor Phase I, Westville Manor Phase II, St. Luke’s and Newhallville.  </w:t>
      </w:r>
    </w:p>
    <w:p w14:paraId="235A4787" w14:textId="77777777" w:rsidR="002C4D5E" w:rsidRPr="0050106C" w:rsidRDefault="002C4D5E" w:rsidP="002C4D5E">
      <w:pPr>
        <w:rPr>
          <w:rFonts w:ascii="Century Gothic" w:eastAsia="Times New Roman" w:hAnsi="Century Gothic"/>
        </w:rPr>
      </w:pPr>
    </w:p>
    <w:p w14:paraId="37439D62" w14:textId="4FFE57F7" w:rsidR="64C53C22" w:rsidRPr="0050106C" w:rsidRDefault="0C745659" w:rsidP="2C805A1A">
      <w:pPr>
        <w:rPr>
          <w:rFonts w:ascii="Century Gothic" w:eastAsia="Times New Roman" w:hAnsi="Century Gothic"/>
        </w:rPr>
      </w:pPr>
      <w:r w:rsidRPr="0050106C">
        <w:rPr>
          <w:rFonts w:ascii="Century Gothic" w:eastAsia="Times New Roman" w:hAnsi="Century Gothic"/>
        </w:rPr>
        <w:t xml:space="preserve">As it relates to our approved TDC, these developments shall not exceed the approved TDC. </w:t>
      </w:r>
      <w:r w:rsidR="18856924" w:rsidRPr="0050106C">
        <w:rPr>
          <w:rFonts w:ascii="Century Gothic" w:eastAsia="Times New Roman" w:hAnsi="Century Gothic"/>
        </w:rPr>
        <w:t xml:space="preserve"> </w:t>
      </w:r>
      <w:r w:rsidR="743E3E27" w:rsidRPr="0050106C">
        <w:rPr>
          <w:rFonts w:ascii="Century Gothic" w:eastAsia="Times New Roman" w:hAnsi="Century Gothic"/>
        </w:rPr>
        <w:t>However, all listed developments do need the ECC</w:t>
      </w:r>
      <w:r w:rsidR="5ABF4090" w:rsidRPr="0050106C">
        <w:rPr>
          <w:rFonts w:ascii="Century Gothic" w:eastAsia="Times New Roman" w:hAnsi="Century Gothic"/>
        </w:rPr>
        <w:t>/HANH</w:t>
      </w:r>
      <w:r w:rsidR="743E3E27" w:rsidRPr="0050106C">
        <w:rPr>
          <w:rFonts w:ascii="Century Gothic" w:eastAsia="Times New Roman" w:hAnsi="Century Gothic"/>
        </w:rPr>
        <w:t xml:space="preserve"> Alt</w:t>
      </w:r>
      <w:r w:rsidR="165C9FB4" w:rsidRPr="0050106C">
        <w:rPr>
          <w:rFonts w:ascii="Century Gothic" w:eastAsia="Times New Roman" w:hAnsi="Century Gothic"/>
        </w:rPr>
        <w:t>e</w:t>
      </w:r>
      <w:r w:rsidR="743E3E27" w:rsidRPr="0050106C">
        <w:rPr>
          <w:rFonts w:ascii="Century Gothic" w:eastAsia="Times New Roman" w:hAnsi="Century Gothic"/>
        </w:rPr>
        <w:t>rnative TDC limits</w:t>
      </w:r>
      <w:r w:rsidR="00940039">
        <w:rPr>
          <w:rFonts w:ascii="Century Gothic" w:eastAsia="Times New Roman" w:hAnsi="Century Gothic"/>
        </w:rPr>
        <w:t>.</w:t>
      </w:r>
      <w:r w:rsidR="743E3E27" w:rsidRPr="0050106C">
        <w:rPr>
          <w:rFonts w:ascii="Century Gothic" w:eastAsia="Times New Roman" w:hAnsi="Century Gothic"/>
        </w:rPr>
        <w:t xml:space="preserve"> </w:t>
      </w:r>
    </w:p>
    <w:p w14:paraId="3D8CA22D" w14:textId="3677D55E" w:rsidR="002C4D5E" w:rsidRPr="0050106C" w:rsidRDefault="002C4D5E" w:rsidP="7D08BF33">
      <w:pPr>
        <w:rPr>
          <w:rFonts w:ascii="Century Gothic" w:eastAsia="Times New Roman" w:hAnsi="Century Gothic"/>
        </w:rPr>
      </w:pPr>
    </w:p>
    <w:p w14:paraId="0535EEE3" w14:textId="64624895" w:rsidR="002C4D5E" w:rsidRPr="0050106C" w:rsidRDefault="34521FE8" w:rsidP="7D08BF33">
      <w:pPr>
        <w:rPr>
          <w:rFonts w:ascii="Century Gothic" w:eastAsia="Times New Roman" w:hAnsi="Century Gothic"/>
        </w:rPr>
      </w:pPr>
      <w:r w:rsidRPr="0050106C">
        <w:rPr>
          <w:rFonts w:ascii="Century Gothic" w:eastAsia="Times New Roman" w:hAnsi="Century Gothic"/>
        </w:rPr>
        <w:t>McConaughy Terrace and Crawford Manor will not trigger the alternative TDC</w:t>
      </w:r>
      <w:r w:rsidR="76DE0E35" w:rsidRPr="0050106C">
        <w:rPr>
          <w:rFonts w:ascii="Century Gothic" w:eastAsia="Times New Roman" w:hAnsi="Century Gothic"/>
        </w:rPr>
        <w:t>.</w:t>
      </w:r>
      <w:r w:rsidRPr="0050106C">
        <w:rPr>
          <w:rFonts w:ascii="Century Gothic" w:eastAsia="Times New Roman" w:hAnsi="Century Gothic"/>
        </w:rPr>
        <w:t xml:space="preserve">  </w:t>
      </w:r>
    </w:p>
    <w:p w14:paraId="215E61CD" w14:textId="5E12472F" w:rsidR="002C4D5E" w:rsidRPr="0050106C" w:rsidRDefault="002C4D5E" w:rsidP="7D08BF33">
      <w:pPr>
        <w:rPr>
          <w:rFonts w:ascii="Century Gothic" w:eastAsia="Times New Roman" w:hAnsi="Century Gothic"/>
        </w:rPr>
      </w:pPr>
    </w:p>
    <w:p w14:paraId="6E07DB86" w14:textId="66138034" w:rsidR="002C4D5E" w:rsidRPr="0050106C" w:rsidRDefault="34521FE8" w:rsidP="2C805A1A">
      <w:pPr>
        <w:rPr>
          <w:rFonts w:ascii="Century Gothic" w:eastAsia="Times New Roman" w:hAnsi="Century Gothic"/>
        </w:rPr>
      </w:pPr>
      <w:r w:rsidRPr="0050106C">
        <w:rPr>
          <w:rFonts w:ascii="Century Gothic" w:eastAsia="Times New Roman" w:hAnsi="Century Gothic"/>
        </w:rPr>
        <w:t xml:space="preserve">ECC/HANH continues to work diligently to find creative construction options to receive </w:t>
      </w:r>
      <w:r w:rsidR="0044250A" w:rsidRPr="0050106C">
        <w:rPr>
          <w:rFonts w:ascii="Century Gothic" w:eastAsia="Times New Roman" w:hAnsi="Century Gothic"/>
        </w:rPr>
        <w:t>quality</w:t>
      </w:r>
      <w:r w:rsidRPr="0050106C">
        <w:rPr>
          <w:rFonts w:ascii="Century Gothic" w:eastAsia="Times New Roman" w:hAnsi="Century Gothic"/>
        </w:rPr>
        <w:t xml:space="preserve"> development that will have a lifecycle of 20 years while staying within the lower level of the approved TDC.</w:t>
      </w:r>
    </w:p>
    <w:p w14:paraId="346368B1" w14:textId="4B2F4B6C" w:rsidR="7D08BF33" w:rsidRPr="0050106C" w:rsidRDefault="7D08BF33" w:rsidP="7D08BF33">
      <w:pPr>
        <w:rPr>
          <w:rFonts w:ascii="Century Gothic" w:eastAsia="Times New Roman" w:hAnsi="Century Gothic"/>
        </w:rPr>
      </w:pPr>
    </w:p>
    <w:p w14:paraId="5C36977A" w14:textId="4227D32B" w:rsidR="002C4D5E" w:rsidRPr="0050106C" w:rsidRDefault="364CDFCA" w:rsidP="2E6E5987">
      <w:pPr>
        <w:rPr>
          <w:rFonts w:ascii="Century Gothic" w:eastAsia="Times New Roman" w:hAnsi="Century Gothic"/>
        </w:rPr>
      </w:pPr>
      <w:r w:rsidRPr="0050106C">
        <w:rPr>
          <w:rFonts w:ascii="Century Gothic" w:eastAsia="Times New Roman" w:hAnsi="Century Gothic"/>
        </w:rPr>
        <w:t>Valley Townhomes had a financial closing in the 1</w:t>
      </w:r>
      <w:r w:rsidRPr="0050106C">
        <w:rPr>
          <w:rFonts w:ascii="Century Gothic" w:eastAsia="Times New Roman" w:hAnsi="Century Gothic"/>
          <w:vertAlign w:val="superscript"/>
        </w:rPr>
        <w:t>st</w:t>
      </w:r>
      <w:r w:rsidRPr="0050106C">
        <w:rPr>
          <w:rFonts w:ascii="Century Gothic" w:eastAsia="Times New Roman" w:hAnsi="Century Gothic"/>
        </w:rPr>
        <w:t xml:space="preserve"> quarter of </w:t>
      </w:r>
      <w:r w:rsidR="0044250A" w:rsidRPr="0050106C">
        <w:rPr>
          <w:rFonts w:ascii="Century Gothic" w:eastAsia="Times New Roman" w:hAnsi="Century Gothic"/>
        </w:rPr>
        <w:t>FY23,</w:t>
      </w:r>
      <w:r w:rsidRPr="0050106C">
        <w:rPr>
          <w:rFonts w:ascii="Century Gothic" w:eastAsia="Times New Roman" w:hAnsi="Century Gothic"/>
        </w:rPr>
        <w:t xml:space="preserve"> and demolition began in the 2</w:t>
      </w:r>
      <w:r w:rsidRPr="0050106C">
        <w:rPr>
          <w:rFonts w:ascii="Century Gothic" w:eastAsia="Times New Roman" w:hAnsi="Century Gothic"/>
          <w:vertAlign w:val="superscript"/>
        </w:rPr>
        <w:t>nd</w:t>
      </w:r>
      <w:r w:rsidRPr="0050106C">
        <w:rPr>
          <w:rFonts w:ascii="Century Gothic" w:eastAsia="Times New Roman" w:hAnsi="Century Gothic"/>
        </w:rPr>
        <w:t xml:space="preserve"> quarter of FY23 with occupancy</w:t>
      </w:r>
      <w:r w:rsidR="715187B5" w:rsidRPr="0050106C">
        <w:rPr>
          <w:rFonts w:ascii="Century Gothic" w:eastAsia="Times New Roman" w:hAnsi="Century Gothic"/>
        </w:rPr>
        <w:t xml:space="preserve"> </w:t>
      </w:r>
      <w:r w:rsidR="34F9FCCE" w:rsidRPr="0050106C">
        <w:rPr>
          <w:rFonts w:ascii="Century Gothic" w:eastAsia="Times New Roman" w:hAnsi="Century Gothic"/>
        </w:rPr>
        <w:t xml:space="preserve">completed </w:t>
      </w:r>
      <w:r w:rsidR="2DD0CF67" w:rsidRPr="0050106C">
        <w:rPr>
          <w:rFonts w:ascii="Century Gothic" w:eastAsia="Times New Roman" w:hAnsi="Century Gothic"/>
        </w:rPr>
        <w:t xml:space="preserve">June </w:t>
      </w:r>
      <w:r w:rsidRPr="0050106C">
        <w:rPr>
          <w:rFonts w:ascii="Century Gothic" w:eastAsia="Times New Roman" w:hAnsi="Century Gothic"/>
        </w:rPr>
        <w:t xml:space="preserve">of FY24.  There </w:t>
      </w:r>
      <w:r w:rsidR="552CDC08" w:rsidRPr="0050106C">
        <w:rPr>
          <w:rFonts w:ascii="Century Gothic" w:eastAsia="Times New Roman" w:hAnsi="Century Gothic"/>
        </w:rPr>
        <w:t>are</w:t>
      </w:r>
      <w:r w:rsidRPr="0050106C">
        <w:rPr>
          <w:rFonts w:ascii="Century Gothic" w:eastAsia="Times New Roman" w:hAnsi="Century Gothic"/>
        </w:rPr>
        <w:t xml:space="preserve"> 3</w:t>
      </w:r>
      <w:r w:rsidR="01CBEB5F" w:rsidRPr="0050106C">
        <w:rPr>
          <w:rFonts w:ascii="Century Gothic" w:eastAsia="Times New Roman" w:hAnsi="Century Gothic"/>
        </w:rPr>
        <w:t>2</w:t>
      </w:r>
      <w:r w:rsidR="2DEC3508" w:rsidRPr="0050106C">
        <w:rPr>
          <w:rFonts w:ascii="Century Gothic" w:eastAsia="Times New Roman" w:hAnsi="Century Gothic"/>
        </w:rPr>
        <w:t xml:space="preserve"> </w:t>
      </w:r>
      <w:r w:rsidRPr="0050106C">
        <w:rPr>
          <w:rFonts w:ascii="Century Gothic" w:eastAsia="Times New Roman" w:hAnsi="Century Gothic"/>
        </w:rPr>
        <w:t xml:space="preserve">RAD/PBV units and 8 market rate units. The project </w:t>
      </w:r>
      <w:proofErr w:type="gramStart"/>
      <w:r w:rsidRPr="0050106C">
        <w:rPr>
          <w:rFonts w:ascii="Century Gothic" w:eastAsia="Times New Roman" w:hAnsi="Century Gothic"/>
        </w:rPr>
        <w:t xml:space="preserve">cost </w:t>
      </w:r>
      <w:r w:rsidR="03C94A5F" w:rsidRPr="0050106C">
        <w:rPr>
          <w:rFonts w:ascii="Century Gothic" w:eastAsia="Times New Roman" w:hAnsi="Century Gothic"/>
        </w:rPr>
        <w:t>was</w:t>
      </w:r>
      <w:proofErr w:type="gramEnd"/>
      <w:r w:rsidRPr="0050106C">
        <w:rPr>
          <w:rFonts w:ascii="Century Gothic" w:eastAsia="Times New Roman" w:hAnsi="Century Gothic"/>
        </w:rPr>
        <w:t xml:space="preserve"> $23 million.</w:t>
      </w:r>
    </w:p>
    <w:p w14:paraId="74A07619" w14:textId="355E009B" w:rsidR="002C4D5E" w:rsidRPr="0050106C" w:rsidRDefault="002C4D5E" w:rsidP="002C4D5E">
      <w:pPr>
        <w:rPr>
          <w:rFonts w:ascii="Century Gothic" w:eastAsia="Times New Roman" w:hAnsi="Century Gothic"/>
        </w:rPr>
      </w:pPr>
    </w:p>
    <w:p w14:paraId="3619A7BD" w14:textId="585C89B2" w:rsidR="001E360D" w:rsidRPr="0050106C" w:rsidRDefault="2AA5902B" w:rsidP="002D099A">
      <w:pPr>
        <w:rPr>
          <w:rFonts w:ascii="Century Gothic" w:eastAsia="Calisto MT" w:hAnsi="Century Gothic"/>
        </w:rPr>
      </w:pPr>
      <w:r w:rsidRPr="0050106C">
        <w:rPr>
          <w:rFonts w:ascii="Century Gothic" w:eastAsia="Calisto MT" w:hAnsi="Century Gothic"/>
        </w:rPr>
        <w:t xml:space="preserve">At Valley </w:t>
      </w:r>
      <w:r w:rsidR="08F945AD" w:rsidRPr="0050106C">
        <w:rPr>
          <w:rFonts w:ascii="Century Gothic" w:eastAsia="Calisto MT" w:hAnsi="Century Gothic"/>
        </w:rPr>
        <w:t>Townhouses, ECC/HANH</w:t>
      </w:r>
      <w:r w:rsidRPr="0050106C">
        <w:rPr>
          <w:rFonts w:ascii="Century Gothic" w:eastAsia="Calisto MT" w:hAnsi="Century Gothic"/>
        </w:rPr>
        <w:t xml:space="preserve"> </w:t>
      </w:r>
      <w:r w:rsidR="00E20377" w:rsidRPr="0050106C">
        <w:rPr>
          <w:rFonts w:ascii="Century Gothic" w:eastAsia="Calisto MT" w:hAnsi="Century Gothic"/>
        </w:rPr>
        <w:t>replaced</w:t>
      </w:r>
      <w:r w:rsidRPr="0050106C">
        <w:rPr>
          <w:rFonts w:ascii="Century Gothic" w:eastAsia="Calisto MT" w:hAnsi="Century Gothic"/>
        </w:rPr>
        <w:t xml:space="preserve"> an obsolete 1980s era development saddled with poor design and moisture problems.  In its place, </w:t>
      </w:r>
      <w:r w:rsidR="16E8FB95" w:rsidRPr="0050106C">
        <w:rPr>
          <w:rFonts w:ascii="Century Gothic" w:eastAsia="Calisto MT" w:hAnsi="Century Gothic"/>
        </w:rPr>
        <w:t>ECC/HANH</w:t>
      </w:r>
      <w:r w:rsidRPr="0050106C">
        <w:rPr>
          <w:rFonts w:ascii="Century Gothic" w:eastAsia="Calisto MT" w:hAnsi="Century Gothic"/>
        </w:rPr>
        <w:t xml:space="preserve"> </w:t>
      </w:r>
      <w:r w:rsidR="00556CD8" w:rsidRPr="0050106C">
        <w:rPr>
          <w:rFonts w:ascii="Century Gothic" w:eastAsia="Calisto MT" w:hAnsi="Century Gothic"/>
        </w:rPr>
        <w:t>constructed</w:t>
      </w:r>
      <w:r w:rsidRPr="0050106C">
        <w:rPr>
          <w:rFonts w:ascii="Century Gothic" w:eastAsia="Calisto MT" w:hAnsi="Century Gothic"/>
        </w:rPr>
        <w:t xml:space="preserve"> 40 passive</w:t>
      </w:r>
      <w:r w:rsidR="00940039">
        <w:rPr>
          <w:rFonts w:ascii="Century Gothic" w:eastAsia="Calisto MT" w:hAnsi="Century Gothic"/>
        </w:rPr>
        <w:t xml:space="preserve"> </w:t>
      </w:r>
      <w:r w:rsidRPr="0050106C">
        <w:rPr>
          <w:rFonts w:ascii="Century Gothic" w:eastAsia="Calisto MT" w:hAnsi="Century Gothic"/>
        </w:rPr>
        <w:t xml:space="preserve">townhouse style units that will become housing of choice.  Valley </w:t>
      </w:r>
      <w:r w:rsidR="46B31849" w:rsidRPr="0050106C">
        <w:rPr>
          <w:rFonts w:ascii="Century Gothic" w:eastAsia="Calisto MT" w:hAnsi="Century Gothic"/>
        </w:rPr>
        <w:t xml:space="preserve">Townhouses </w:t>
      </w:r>
      <w:r w:rsidRPr="0050106C">
        <w:rPr>
          <w:rFonts w:ascii="Century Gothic" w:eastAsia="Calisto MT" w:hAnsi="Century Gothic"/>
        </w:rPr>
        <w:t xml:space="preserve">could not have been constructed to the current quality without the use of the </w:t>
      </w:r>
      <w:proofErr w:type="gramStart"/>
      <w:r w:rsidRPr="0050106C">
        <w:rPr>
          <w:rFonts w:ascii="Century Gothic" w:eastAsia="Calisto MT" w:hAnsi="Century Gothic"/>
        </w:rPr>
        <w:t>alternate</w:t>
      </w:r>
      <w:proofErr w:type="gramEnd"/>
      <w:r w:rsidRPr="0050106C">
        <w:rPr>
          <w:rFonts w:ascii="Century Gothic" w:eastAsia="Calisto MT" w:hAnsi="Century Gothic"/>
        </w:rPr>
        <w:t xml:space="preserve"> TDC.    </w:t>
      </w:r>
    </w:p>
    <w:p w14:paraId="46CE273A" w14:textId="38041836" w:rsidR="001E360D" w:rsidRPr="0050106C" w:rsidRDefault="001E360D" w:rsidP="2C805A1A">
      <w:pPr>
        <w:rPr>
          <w:rFonts w:ascii="Century Gothic" w:eastAsia="Calisto MT" w:hAnsi="Century Gothic"/>
        </w:rPr>
      </w:pPr>
    </w:p>
    <w:p w14:paraId="615C77FB" w14:textId="711B5012" w:rsidR="64C53C22" w:rsidRPr="0050106C" w:rsidRDefault="2AA5902B" w:rsidP="2C805A1A">
      <w:pPr>
        <w:rPr>
          <w:rFonts w:ascii="Century Gothic" w:eastAsia="Times New Roman" w:hAnsi="Century Gothic"/>
        </w:rPr>
      </w:pPr>
      <w:r w:rsidRPr="0050106C">
        <w:rPr>
          <w:rFonts w:ascii="Century Gothic" w:eastAsia="Calisto MT" w:hAnsi="Century Gothic"/>
        </w:rPr>
        <w:lastRenderedPageBreak/>
        <w:t xml:space="preserve">This initiative has allowed ECC/HANH to undertake full redevelopment of aged and unsustainable LIPH developments.  Such developments come with increased costs related to abatement, demolition, infrastructure, site work, Davis </w:t>
      </w:r>
      <w:r w:rsidR="24947037" w:rsidRPr="0050106C">
        <w:rPr>
          <w:rFonts w:ascii="Century Gothic" w:eastAsia="Calisto MT" w:hAnsi="Century Gothic"/>
        </w:rPr>
        <w:t>B</w:t>
      </w:r>
      <w:r w:rsidRPr="0050106C">
        <w:rPr>
          <w:rFonts w:ascii="Century Gothic" w:eastAsia="Calisto MT" w:hAnsi="Century Gothic"/>
        </w:rPr>
        <w:t>acon and other costs that substantially drive up the per unit cost.  The location within the greater New York metro area, combined with the high materials standards required by ECC/</w:t>
      </w:r>
      <w:proofErr w:type="gramStart"/>
      <w:r w:rsidRPr="0050106C">
        <w:rPr>
          <w:rFonts w:ascii="Century Gothic" w:eastAsia="Calisto MT" w:hAnsi="Century Gothic"/>
        </w:rPr>
        <w:t>HANH</w:t>
      </w:r>
      <w:proofErr w:type="gramEnd"/>
      <w:r w:rsidRPr="0050106C">
        <w:rPr>
          <w:rFonts w:ascii="Century Gothic" w:eastAsia="Calisto MT" w:hAnsi="Century Gothic"/>
        </w:rPr>
        <w:t xml:space="preserve"> also </w:t>
      </w:r>
      <w:proofErr w:type="gramStart"/>
      <w:r w:rsidRPr="0050106C">
        <w:rPr>
          <w:rFonts w:ascii="Century Gothic" w:eastAsia="Calisto MT" w:hAnsi="Century Gothic"/>
        </w:rPr>
        <w:t>increase</w:t>
      </w:r>
      <w:proofErr w:type="gramEnd"/>
      <w:r w:rsidRPr="0050106C">
        <w:rPr>
          <w:rFonts w:ascii="Century Gothic" w:eastAsia="Calisto MT" w:hAnsi="Century Gothic"/>
        </w:rPr>
        <w:t xml:space="preserve"> costs.</w:t>
      </w:r>
    </w:p>
    <w:p w14:paraId="080F80E9" w14:textId="2B1D5281" w:rsidR="197B9397" w:rsidRPr="0050106C" w:rsidRDefault="5814A6B6" w:rsidP="2C805A1A">
      <w:pPr>
        <w:rPr>
          <w:rFonts w:ascii="Century Gothic" w:hAnsi="Century Gothic"/>
        </w:rPr>
      </w:pPr>
      <w:r w:rsidRPr="0050106C">
        <w:rPr>
          <w:rFonts w:ascii="Century Gothic" w:eastAsia="Times New Roman" w:hAnsi="Century Gothic"/>
        </w:rPr>
        <w:t xml:space="preserve">  </w:t>
      </w:r>
    </w:p>
    <w:p w14:paraId="2A4170D4" w14:textId="4A0683C0" w:rsidR="197B9397" w:rsidRPr="0050106C" w:rsidRDefault="19A6F694" w:rsidP="19A6F694">
      <w:pPr>
        <w:rPr>
          <w:rFonts w:ascii="Century Gothic" w:eastAsia="Times New Roman" w:hAnsi="Century Gothic"/>
        </w:rPr>
      </w:pPr>
      <w:r w:rsidRPr="0050106C">
        <w:rPr>
          <w:rFonts w:ascii="Century Gothic" w:eastAsia="Calisto MT" w:hAnsi="Century Gothic"/>
        </w:rPr>
        <w:t xml:space="preserve">Lastly, ECC/HANH is replacing our older housing stock with new buildings that meet a high Green standard, including two Passive house developments and similar standards that often add between 8-10% of construction costs.                                        </w:t>
      </w:r>
      <w:r w:rsidRPr="0050106C">
        <w:rPr>
          <w:rFonts w:ascii="Century Gothic" w:eastAsia="Times New Roman" w:hAnsi="Century Gothic"/>
        </w:rPr>
        <w:t xml:space="preserve"> </w:t>
      </w:r>
    </w:p>
    <w:p w14:paraId="42C94860" w14:textId="3D343BDE" w:rsidR="197B9397" w:rsidRPr="0050106C" w:rsidRDefault="197B9397" w:rsidP="2C805A1A">
      <w:pPr>
        <w:rPr>
          <w:rFonts w:ascii="Century Gothic" w:eastAsia="Times New Roman" w:hAnsi="Century Gothic"/>
        </w:rPr>
      </w:pPr>
    </w:p>
    <w:p w14:paraId="38B4C124" w14:textId="1CBE5D19" w:rsidR="197B9397" w:rsidRDefault="75C9F36E" w:rsidP="00EA2EDB">
      <w:pPr>
        <w:pStyle w:val="NoSpacing"/>
        <w:rPr>
          <w:rFonts w:ascii="Century Gothic" w:eastAsia="MS PGothic" w:hAnsi="Century Gothic" w:cs="Times New Roman"/>
          <w:b w:val="0"/>
          <w:color w:val="auto"/>
          <w:sz w:val="22"/>
          <w:szCs w:val="22"/>
        </w:rPr>
      </w:pPr>
      <w:r w:rsidRPr="0050106C">
        <w:rPr>
          <w:rFonts w:ascii="Century Gothic" w:eastAsia="MS PGothic" w:hAnsi="Century Gothic" w:cs="Times New Roman"/>
          <w:b w:val="0"/>
          <w:color w:val="auto"/>
          <w:sz w:val="22"/>
          <w:szCs w:val="22"/>
        </w:rPr>
        <w:t xml:space="preserve">ECC/HANH anticipated reduced crime rates in redeveloped sites and improved REAC scores.  </w:t>
      </w:r>
    </w:p>
    <w:p w14:paraId="0F421DD5" w14:textId="77777777" w:rsidR="0050106C" w:rsidRPr="0050106C" w:rsidRDefault="0050106C" w:rsidP="00EA2EDB">
      <w:pPr>
        <w:pStyle w:val="NoSpacing"/>
        <w:rPr>
          <w:rFonts w:ascii="Century Gothic" w:eastAsia="MS PGothic" w:hAnsi="Century Gothic"/>
        </w:rPr>
      </w:pPr>
    </w:p>
    <w:p w14:paraId="482F5BA8" w14:textId="091A69E9" w:rsidR="64C53C22" w:rsidRPr="0050106C" w:rsidRDefault="066F3462" w:rsidP="57BC466A">
      <w:pPr>
        <w:pStyle w:val="NoSpacing"/>
        <w:rPr>
          <w:rFonts w:ascii="Century Gothic" w:eastAsia="MS PGothic" w:hAnsi="Century Gothic" w:cs="Times New Roman"/>
          <w:b w:val="0"/>
          <w:color w:val="auto"/>
          <w:sz w:val="22"/>
          <w:szCs w:val="22"/>
        </w:rPr>
      </w:pPr>
      <w:r w:rsidRPr="3480B329">
        <w:rPr>
          <w:rFonts w:ascii="Century Gothic" w:eastAsia="MS PGothic" w:hAnsi="Century Gothic" w:cs="Times New Roman"/>
          <w:b w:val="0"/>
          <w:color w:val="auto"/>
          <w:sz w:val="22"/>
          <w:szCs w:val="22"/>
        </w:rPr>
        <w:t xml:space="preserve">ECC/HANH resumed regular unit inspections and routine maintenance work that was deferred during the height of the COVID-19 pandemic. </w:t>
      </w:r>
      <w:r w:rsidR="54A01533" w:rsidRPr="3480B329">
        <w:rPr>
          <w:rFonts w:ascii="Century Gothic" w:eastAsia="MS PGothic" w:hAnsi="Century Gothic" w:cs="Times New Roman"/>
          <w:b w:val="0"/>
          <w:color w:val="auto"/>
          <w:sz w:val="22"/>
          <w:szCs w:val="22"/>
        </w:rPr>
        <w:t>REAC inspections resumed in FY2022</w:t>
      </w:r>
      <w:r w:rsidR="580BB5AB" w:rsidRPr="3480B329">
        <w:rPr>
          <w:rFonts w:ascii="Century Gothic" w:eastAsia="MS PGothic" w:hAnsi="Century Gothic" w:cs="Times New Roman"/>
          <w:b w:val="0"/>
          <w:color w:val="auto"/>
          <w:sz w:val="22"/>
          <w:szCs w:val="22"/>
        </w:rPr>
        <w:t xml:space="preserve"> f</w:t>
      </w:r>
      <w:r w:rsidR="1C6273E0" w:rsidRPr="3480B329">
        <w:rPr>
          <w:rFonts w:ascii="Century Gothic" w:eastAsia="MS PGothic" w:hAnsi="Century Gothic" w:cs="Times New Roman"/>
          <w:b w:val="0"/>
          <w:color w:val="auto"/>
          <w:sz w:val="22"/>
          <w:szCs w:val="22"/>
        </w:rPr>
        <w:t>or the developments with remaining LIPH units</w:t>
      </w:r>
      <w:r w:rsidR="002528A1">
        <w:rPr>
          <w:rFonts w:ascii="Century Gothic" w:eastAsia="MS PGothic" w:hAnsi="Century Gothic" w:cs="Times New Roman"/>
          <w:b w:val="0"/>
          <w:color w:val="auto"/>
          <w:sz w:val="22"/>
          <w:szCs w:val="22"/>
        </w:rPr>
        <w:t xml:space="preserve"> and </w:t>
      </w:r>
      <w:r w:rsidR="00046F5D">
        <w:rPr>
          <w:rFonts w:ascii="Century Gothic" w:eastAsia="MS PGothic" w:hAnsi="Century Gothic" w:cs="Times New Roman"/>
          <w:b w:val="0"/>
          <w:color w:val="auto"/>
          <w:sz w:val="22"/>
          <w:szCs w:val="22"/>
        </w:rPr>
        <w:t>HUD NSPIRE inspection</w:t>
      </w:r>
      <w:r w:rsidR="000D7A62">
        <w:rPr>
          <w:rFonts w:ascii="Century Gothic" w:eastAsia="MS PGothic" w:hAnsi="Century Gothic" w:cs="Times New Roman"/>
          <w:b w:val="0"/>
          <w:color w:val="auto"/>
          <w:sz w:val="22"/>
          <w:szCs w:val="22"/>
        </w:rPr>
        <w:t>s began in March of 2024</w:t>
      </w:r>
      <w:r w:rsidR="00C7118A">
        <w:rPr>
          <w:rFonts w:ascii="Century Gothic" w:eastAsia="MS PGothic" w:hAnsi="Century Gothic" w:cs="Times New Roman"/>
          <w:b w:val="0"/>
          <w:color w:val="auto"/>
          <w:sz w:val="22"/>
          <w:szCs w:val="22"/>
        </w:rPr>
        <w:t>.</w:t>
      </w:r>
      <w:r w:rsidR="0025102A">
        <w:rPr>
          <w:rFonts w:ascii="Century Gothic" w:eastAsia="MS PGothic" w:hAnsi="Century Gothic" w:cs="Times New Roman"/>
          <w:b w:val="0"/>
          <w:color w:val="auto"/>
          <w:sz w:val="22"/>
          <w:szCs w:val="22"/>
        </w:rPr>
        <w:t xml:space="preserve"> </w:t>
      </w:r>
    </w:p>
    <w:p w14:paraId="29B735E5" w14:textId="452026FB" w:rsidR="00A62CAF" w:rsidRPr="0050106C" w:rsidRDefault="00A62CAF" w:rsidP="57BC466A">
      <w:pPr>
        <w:pStyle w:val="NoSpacing"/>
        <w:rPr>
          <w:rFonts w:ascii="Century Gothic" w:eastAsia="MS PGothic" w:hAnsi="Century Gothic" w:cs="Times New Roman"/>
          <w:b w:val="0"/>
          <w:color w:val="auto"/>
          <w:sz w:val="22"/>
          <w:szCs w:val="22"/>
        </w:rPr>
      </w:pPr>
    </w:p>
    <w:p w14:paraId="63D96D86" w14:textId="0F8DA66F" w:rsidR="64C53C22" w:rsidRDefault="78D2A553" w:rsidP="57BC466A">
      <w:pPr>
        <w:pStyle w:val="NoSpacing"/>
        <w:rPr>
          <w:rFonts w:ascii="Century Gothic" w:eastAsia="MS PGothic" w:hAnsi="Century Gothic" w:cs="Times New Roman"/>
          <w:b w:val="0"/>
          <w:color w:val="auto"/>
          <w:sz w:val="22"/>
          <w:szCs w:val="22"/>
        </w:rPr>
      </w:pPr>
      <w:r w:rsidRPr="0050106C">
        <w:rPr>
          <w:rFonts w:ascii="Century Gothic" w:eastAsia="MS PGothic" w:hAnsi="Century Gothic" w:cs="Times New Roman"/>
          <w:b w:val="0"/>
          <w:color w:val="auto"/>
          <w:sz w:val="22"/>
          <w:szCs w:val="22"/>
        </w:rPr>
        <w:t xml:space="preserve">ECC/HANH </w:t>
      </w:r>
      <w:r w:rsidR="4E75DE3A" w:rsidRPr="0050106C">
        <w:rPr>
          <w:rFonts w:ascii="Century Gothic" w:eastAsia="MS PGothic" w:hAnsi="Century Gothic" w:cs="Times New Roman"/>
          <w:b w:val="0"/>
          <w:color w:val="auto"/>
          <w:sz w:val="22"/>
          <w:szCs w:val="22"/>
        </w:rPr>
        <w:t xml:space="preserve">also </w:t>
      </w:r>
      <w:r w:rsidRPr="0050106C">
        <w:rPr>
          <w:rFonts w:ascii="Century Gothic" w:eastAsia="MS PGothic" w:hAnsi="Century Gothic" w:cs="Times New Roman"/>
          <w:b w:val="0"/>
          <w:color w:val="auto"/>
          <w:sz w:val="22"/>
          <w:szCs w:val="22"/>
        </w:rPr>
        <w:t xml:space="preserve">contracted for our own independent inspections.  </w:t>
      </w:r>
      <w:r w:rsidR="43B34040" w:rsidRPr="0050106C">
        <w:rPr>
          <w:rFonts w:ascii="Century Gothic" w:eastAsia="MS PGothic" w:hAnsi="Century Gothic" w:cs="Times New Roman"/>
          <w:b w:val="0"/>
          <w:color w:val="auto"/>
          <w:sz w:val="22"/>
          <w:szCs w:val="22"/>
        </w:rPr>
        <w:t xml:space="preserve">The average REAC-like inspection score across all redeveloped sites was </w:t>
      </w:r>
      <w:proofErr w:type="gramStart"/>
      <w:r w:rsidR="55CEB232" w:rsidRPr="0050106C">
        <w:rPr>
          <w:rFonts w:ascii="Century Gothic" w:eastAsia="MS PGothic" w:hAnsi="Century Gothic" w:cs="Times New Roman"/>
          <w:b w:val="0"/>
          <w:color w:val="auto"/>
          <w:sz w:val="22"/>
          <w:szCs w:val="22"/>
        </w:rPr>
        <w:t>76</w:t>
      </w:r>
      <w:proofErr w:type="gramEnd"/>
      <w:r w:rsidR="43B34040" w:rsidRPr="0050106C">
        <w:rPr>
          <w:rFonts w:ascii="Century Gothic" w:eastAsia="MS PGothic" w:hAnsi="Century Gothic" w:cs="Times New Roman"/>
          <w:b w:val="0"/>
          <w:color w:val="auto"/>
          <w:sz w:val="22"/>
          <w:szCs w:val="22"/>
        </w:rPr>
        <w:t xml:space="preserve"> which is a </w:t>
      </w:r>
      <w:r w:rsidR="462B35FB" w:rsidRPr="0050106C">
        <w:rPr>
          <w:rFonts w:ascii="Century Gothic" w:eastAsia="MS PGothic" w:hAnsi="Century Gothic" w:cs="Times New Roman"/>
          <w:b w:val="0"/>
          <w:color w:val="auto"/>
          <w:sz w:val="22"/>
          <w:szCs w:val="22"/>
        </w:rPr>
        <w:t>1%</w:t>
      </w:r>
      <w:r w:rsidR="43B34040" w:rsidRPr="0050106C">
        <w:rPr>
          <w:rFonts w:ascii="Century Gothic" w:eastAsia="MS PGothic" w:hAnsi="Century Gothic" w:cs="Times New Roman"/>
          <w:b w:val="0"/>
          <w:color w:val="auto"/>
          <w:sz w:val="22"/>
          <w:szCs w:val="22"/>
        </w:rPr>
        <w:t xml:space="preserve"> </w:t>
      </w:r>
      <w:r w:rsidR="2F10AF32" w:rsidRPr="0050106C">
        <w:rPr>
          <w:rFonts w:ascii="Century Gothic" w:eastAsia="MS PGothic" w:hAnsi="Century Gothic" w:cs="Times New Roman"/>
          <w:b w:val="0"/>
          <w:color w:val="auto"/>
          <w:sz w:val="22"/>
          <w:szCs w:val="22"/>
        </w:rPr>
        <w:t>increase</w:t>
      </w:r>
      <w:r w:rsidR="43B34040" w:rsidRPr="0050106C">
        <w:rPr>
          <w:rFonts w:ascii="Century Gothic" w:eastAsia="MS PGothic" w:hAnsi="Century Gothic" w:cs="Times New Roman"/>
          <w:b w:val="0"/>
          <w:color w:val="auto"/>
          <w:sz w:val="22"/>
          <w:szCs w:val="22"/>
        </w:rPr>
        <w:t xml:space="preserve"> from the </w:t>
      </w:r>
      <w:r w:rsidRPr="0050106C">
        <w:rPr>
          <w:rFonts w:ascii="Century Gothic" w:eastAsia="MS PGothic" w:hAnsi="Century Gothic" w:cs="Times New Roman"/>
          <w:b w:val="0"/>
          <w:color w:val="auto"/>
          <w:sz w:val="22"/>
          <w:szCs w:val="22"/>
        </w:rPr>
        <w:t>FY</w:t>
      </w:r>
      <w:r w:rsidR="4C9DAC1B" w:rsidRPr="0050106C">
        <w:rPr>
          <w:rFonts w:ascii="Century Gothic" w:eastAsia="MS PGothic" w:hAnsi="Century Gothic" w:cs="Times New Roman"/>
          <w:b w:val="0"/>
          <w:color w:val="auto"/>
          <w:sz w:val="22"/>
          <w:szCs w:val="22"/>
        </w:rPr>
        <w:t>2023</w:t>
      </w:r>
      <w:r w:rsidR="43B34040" w:rsidRPr="0050106C">
        <w:rPr>
          <w:rFonts w:ascii="Century Gothic" w:eastAsia="MS PGothic" w:hAnsi="Century Gothic" w:cs="Times New Roman"/>
          <w:b w:val="0"/>
          <w:color w:val="auto"/>
          <w:sz w:val="22"/>
          <w:szCs w:val="22"/>
        </w:rPr>
        <w:t xml:space="preserve"> score of </w:t>
      </w:r>
      <w:r w:rsidR="4969200D" w:rsidRPr="0050106C">
        <w:rPr>
          <w:rFonts w:ascii="Century Gothic" w:eastAsia="MS PGothic" w:hAnsi="Century Gothic" w:cs="Times New Roman"/>
          <w:b w:val="0"/>
          <w:color w:val="auto"/>
          <w:sz w:val="22"/>
          <w:szCs w:val="22"/>
        </w:rPr>
        <w:t>75</w:t>
      </w:r>
      <w:r w:rsidR="00EB7739">
        <w:rPr>
          <w:rFonts w:ascii="Century Gothic" w:eastAsia="MS PGothic" w:hAnsi="Century Gothic" w:cs="Times New Roman"/>
          <w:b w:val="0"/>
          <w:color w:val="auto"/>
          <w:sz w:val="22"/>
          <w:szCs w:val="22"/>
        </w:rPr>
        <w:t>.</w:t>
      </w:r>
      <w:r w:rsidR="43B34040" w:rsidRPr="0050106C">
        <w:rPr>
          <w:rFonts w:ascii="Century Gothic" w:eastAsia="MS PGothic" w:hAnsi="Century Gothic" w:cs="Times New Roman"/>
          <w:b w:val="0"/>
          <w:color w:val="auto"/>
          <w:sz w:val="22"/>
          <w:szCs w:val="22"/>
        </w:rPr>
        <w:t xml:space="preserve"> </w:t>
      </w:r>
    </w:p>
    <w:p w14:paraId="298C082A" w14:textId="77777777" w:rsidR="00565E39" w:rsidRDefault="00565E39" w:rsidP="57BC466A">
      <w:pPr>
        <w:pStyle w:val="NoSpacing"/>
        <w:rPr>
          <w:rFonts w:ascii="Century Gothic" w:eastAsia="MS PGothic" w:hAnsi="Century Gothic" w:cs="Times New Roman"/>
          <w:b w:val="0"/>
          <w:color w:val="auto"/>
          <w:sz w:val="22"/>
          <w:szCs w:val="22"/>
        </w:rPr>
      </w:pPr>
    </w:p>
    <w:p w14:paraId="59B04A5E" w14:textId="410028F5" w:rsidR="00565E39" w:rsidRDefault="00565E39" w:rsidP="57BC466A">
      <w:pPr>
        <w:pStyle w:val="NoSpacing"/>
        <w:rPr>
          <w:rFonts w:ascii="Century Gothic" w:eastAsia="MS PGothic" w:hAnsi="Century Gothic" w:cs="Times New Roman"/>
          <w:b w:val="0"/>
          <w:color w:val="auto"/>
          <w:sz w:val="22"/>
          <w:szCs w:val="22"/>
        </w:rPr>
      </w:pPr>
      <w:r>
        <w:rPr>
          <w:rFonts w:ascii="Century Gothic" w:eastAsia="MS PGothic" w:hAnsi="Century Gothic" w:cs="Times New Roman"/>
          <w:b w:val="0"/>
          <w:color w:val="auto"/>
          <w:sz w:val="22"/>
          <w:szCs w:val="22"/>
        </w:rPr>
        <w:t xml:space="preserve">ECC/HANH will continue to work </w:t>
      </w:r>
      <w:proofErr w:type="gramStart"/>
      <w:r>
        <w:rPr>
          <w:rFonts w:ascii="Century Gothic" w:eastAsia="MS PGothic" w:hAnsi="Century Gothic" w:cs="Times New Roman"/>
          <w:b w:val="0"/>
          <w:color w:val="auto"/>
          <w:sz w:val="22"/>
          <w:szCs w:val="22"/>
        </w:rPr>
        <w:t>in</w:t>
      </w:r>
      <w:proofErr w:type="gramEnd"/>
      <w:r>
        <w:rPr>
          <w:rFonts w:ascii="Century Gothic" w:eastAsia="MS PGothic" w:hAnsi="Century Gothic" w:cs="Times New Roman"/>
          <w:b w:val="0"/>
          <w:color w:val="auto"/>
          <w:sz w:val="22"/>
          <w:szCs w:val="22"/>
        </w:rPr>
        <w:t xml:space="preserve"> increasing the inspection score</w:t>
      </w:r>
      <w:r w:rsidR="00FE6CA1">
        <w:rPr>
          <w:rFonts w:ascii="Century Gothic" w:eastAsia="MS PGothic" w:hAnsi="Century Gothic" w:cs="Times New Roman"/>
          <w:b w:val="0"/>
          <w:color w:val="auto"/>
          <w:sz w:val="22"/>
          <w:szCs w:val="22"/>
        </w:rPr>
        <w:t>, by conducting internal ins</w:t>
      </w:r>
      <w:r w:rsidR="00F61FA8">
        <w:rPr>
          <w:rFonts w:ascii="Century Gothic" w:eastAsia="MS PGothic" w:hAnsi="Century Gothic" w:cs="Times New Roman"/>
          <w:b w:val="0"/>
          <w:color w:val="auto"/>
          <w:sz w:val="22"/>
          <w:szCs w:val="22"/>
        </w:rPr>
        <w:t>pection on a routine basis.</w:t>
      </w:r>
    </w:p>
    <w:p w14:paraId="475C6766" w14:textId="77777777" w:rsidR="00EB7739" w:rsidRDefault="00EB7739" w:rsidP="57BC466A">
      <w:pPr>
        <w:pStyle w:val="NoSpacing"/>
        <w:rPr>
          <w:rFonts w:ascii="Century Gothic" w:eastAsia="MS PGothic" w:hAnsi="Century Gothic" w:cs="Times New Roman"/>
          <w:b w:val="0"/>
          <w:color w:val="auto"/>
          <w:sz w:val="22"/>
          <w:szCs w:val="22"/>
        </w:rPr>
      </w:pPr>
    </w:p>
    <w:p w14:paraId="73CB5348" w14:textId="54CD0AED" w:rsidR="009C19C8" w:rsidRPr="0050106C" w:rsidRDefault="029D7CDC" w:rsidP="0E6C54AB">
      <w:pPr>
        <w:pStyle w:val="NoSpacing"/>
        <w:rPr>
          <w:rFonts w:ascii="Century Gothic" w:hAnsi="Century Gothic" w:cs="Times New Roman"/>
          <w:b w:val="0"/>
          <w:sz w:val="22"/>
          <w:szCs w:val="22"/>
        </w:rPr>
      </w:pPr>
      <w:r w:rsidRPr="0050106C">
        <w:rPr>
          <w:rFonts w:ascii="Century Gothic" w:hAnsi="Century Gothic" w:cs="Times New Roman"/>
          <w:b w:val="0"/>
          <w:color w:val="auto"/>
          <w:sz w:val="22"/>
          <w:szCs w:val="22"/>
        </w:rPr>
        <w:t xml:space="preserve">ECC/HANH’s MTW approved alternative TDCs are facilitating the </w:t>
      </w:r>
      <w:r w:rsidR="30056853" w:rsidRPr="0050106C">
        <w:rPr>
          <w:rFonts w:ascii="Century Gothic" w:hAnsi="Century Gothic" w:cs="Times New Roman"/>
          <w:b w:val="0"/>
          <w:color w:val="auto"/>
          <w:sz w:val="22"/>
          <w:szCs w:val="22"/>
        </w:rPr>
        <w:t>cost-effective</w:t>
      </w:r>
      <w:r w:rsidRPr="0050106C">
        <w:rPr>
          <w:rFonts w:ascii="Century Gothic" w:hAnsi="Century Gothic" w:cs="Times New Roman"/>
          <w:b w:val="0"/>
          <w:color w:val="auto"/>
          <w:sz w:val="22"/>
          <w:szCs w:val="22"/>
        </w:rPr>
        <w:t xml:space="preserve"> development of quality, environmentally sound and desirable housing communities across our jurisdiction.</w:t>
      </w:r>
      <w:r w:rsidR="66BE3DCE" w:rsidRPr="0050106C">
        <w:rPr>
          <w:rFonts w:ascii="Century Gothic" w:hAnsi="Century Gothic" w:cs="Times New Roman"/>
          <w:b w:val="0"/>
          <w:color w:val="auto"/>
          <w:sz w:val="22"/>
          <w:szCs w:val="22"/>
        </w:rPr>
        <w:t xml:space="preserve">   </w:t>
      </w:r>
      <w:r w:rsidR="66BE3DCE" w:rsidRPr="0050106C">
        <w:rPr>
          <w:rFonts w:ascii="Century Gothic" w:hAnsi="Century Gothic" w:cs="Times New Roman"/>
          <w:b w:val="0"/>
          <w:sz w:val="22"/>
          <w:szCs w:val="22"/>
        </w:rPr>
        <w:t xml:space="preserve">  </w:t>
      </w:r>
    </w:p>
    <w:p w14:paraId="1BD12250" w14:textId="1E379D9A" w:rsidR="009C2133" w:rsidRPr="0050106C" w:rsidRDefault="009C2133" w:rsidP="2C805A1A">
      <w:pPr>
        <w:pStyle w:val="NoSpacing"/>
        <w:rPr>
          <w:rFonts w:ascii="Century Gothic" w:hAnsi="Century Gothic"/>
        </w:rPr>
      </w:pPr>
    </w:p>
    <w:p w14:paraId="074C991D" w14:textId="4CD6B985" w:rsidR="009C2133" w:rsidRPr="0050106C" w:rsidRDefault="27395268" w:rsidP="00EA2EDB">
      <w:pPr>
        <w:pStyle w:val="Heading4"/>
        <w:rPr>
          <w:rStyle w:val="SubtleEmphasis"/>
          <w:rFonts w:ascii="Century Gothic" w:hAnsi="Century Gothic"/>
          <w:b w:val="0"/>
          <w:color w:val="808080" w:themeColor="background1" w:themeShade="80"/>
          <w:sz w:val="22"/>
        </w:rPr>
      </w:pPr>
      <w:r w:rsidRPr="0050106C">
        <w:rPr>
          <w:rStyle w:val="SubtleEmphasis"/>
          <w:rFonts w:ascii="Century Gothic" w:hAnsi="Century Gothic" w:cs="Times New Roman"/>
          <w:color w:val="808080" w:themeColor="background1" w:themeShade="80"/>
          <w:sz w:val="22"/>
        </w:rPr>
        <w:t>Outcomes</w:t>
      </w:r>
    </w:p>
    <w:p w14:paraId="50E582CE" w14:textId="5E023E0B" w:rsidR="009C2133" w:rsidRPr="00DE679F" w:rsidRDefault="00DE679F" w:rsidP="000A1B56">
      <w:pPr>
        <w:pStyle w:val="NoSpacing"/>
        <w:rPr>
          <w:rFonts w:ascii="Century Gothic" w:hAnsi="Century Gothic" w:cs="Times New Roman"/>
          <w:bCs/>
          <w:color w:val="auto"/>
          <w:sz w:val="22"/>
          <w:szCs w:val="22"/>
        </w:rPr>
      </w:pPr>
      <w:r w:rsidRPr="00DE679F">
        <w:rPr>
          <w:rFonts w:ascii="Century Gothic" w:hAnsi="Century Gothic" w:cs="Times New Roman"/>
          <w:bCs/>
          <w:color w:val="auto"/>
          <w:sz w:val="22"/>
          <w:szCs w:val="22"/>
        </w:rPr>
        <w:t>Internal Metrics</w:t>
      </w:r>
    </w:p>
    <w:p w14:paraId="548093A8" w14:textId="77777777" w:rsidR="00DE679F" w:rsidRPr="0050106C" w:rsidRDefault="00DE679F" w:rsidP="000A1B56">
      <w:pPr>
        <w:pStyle w:val="NoSpacing"/>
        <w:rPr>
          <w:rFonts w:ascii="Century Gothic" w:hAnsi="Century Gothic" w:cs="Times New Roman"/>
          <w:b w:val="0"/>
          <w:color w:val="auto"/>
          <w:sz w:val="22"/>
          <w:szCs w:val="22"/>
        </w:rPr>
      </w:pPr>
    </w:p>
    <w:tbl>
      <w:tblPr>
        <w:tblStyle w:val="TableGrid"/>
        <w:tblW w:w="0" w:type="auto"/>
        <w:tblLook w:val="04A0" w:firstRow="1" w:lastRow="0" w:firstColumn="1" w:lastColumn="0" w:noHBand="0" w:noVBand="1"/>
      </w:tblPr>
      <w:tblGrid>
        <w:gridCol w:w="2985"/>
        <w:gridCol w:w="1630"/>
        <w:gridCol w:w="1630"/>
        <w:gridCol w:w="1937"/>
        <w:gridCol w:w="1430"/>
      </w:tblGrid>
      <w:tr w:rsidR="008434F3" w:rsidRPr="0050106C" w14:paraId="1889D60A" w14:textId="77777777" w:rsidTr="090392C3">
        <w:trPr>
          <w:trHeight w:val="504"/>
        </w:trPr>
        <w:tc>
          <w:tcPr>
            <w:tcW w:w="9172" w:type="dxa"/>
            <w:gridSpan w:val="5"/>
            <w:tcBorders>
              <w:top w:val="nil"/>
              <w:left w:val="single" w:sz="6" w:space="0" w:color="BFBFBF" w:themeColor="background1" w:themeShade="BF"/>
              <w:bottom w:val="single" w:sz="24" w:space="0" w:color="B5333C" w:themeColor="accent2"/>
              <w:right w:val="nil"/>
            </w:tcBorders>
            <w:shd w:val="clear" w:color="auto" w:fill="808080" w:themeFill="background1" w:themeFillShade="80"/>
            <w:hideMark/>
          </w:tcPr>
          <w:p w14:paraId="0AA5DFDD" w14:textId="7E5EA21B" w:rsidR="000A1B56" w:rsidRPr="00DE679F" w:rsidRDefault="00DE679F" w:rsidP="00BF16C3">
            <w:pPr>
              <w:jc w:val="center"/>
              <w:rPr>
                <w:rFonts w:ascii="Century Gothic" w:hAnsi="Century Gothic"/>
                <w:b/>
                <w:bCs/>
                <w:szCs w:val="22"/>
              </w:rPr>
            </w:pPr>
            <w:r w:rsidRPr="00DE679F">
              <w:rPr>
                <w:rFonts w:ascii="Century Gothic" w:hAnsi="Century Gothic"/>
                <w:b/>
                <w:bCs/>
                <w:szCs w:val="22"/>
              </w:rPr>
              <w:t xml:space="preserve">Internal Metrics - </w:t>
            </w:r>
            <w:r w:rsidR="000A1B56" w:rsidRPr="00DE679F">
              <w:rPr>
                <w:rFonts w:ascii="Century Gothic" w:hAnsi="Century Gothic"/>
                <w:b/>
                <w:bCs/>
                <w:szCs w:val="22"/>
              </w:rPr>
              <w:t>HC #2: Units of Housing Preserved</w:t>
            </w:r>
          </w:p>
        </w:tc>
      </w:tr>
      <w:tr w:rsidR="008434F3" w:rsidRPr="0050106C" w14:paraId="2E6FA252" w14:textId="77777777" w:rsidTr="090392C3">
        <w:trPr>
          <w:trHeight w:val="340"/>
        </w:trPr>
        <w:tc>
          <w:tcPr>
            <w:tcW w:w="2985" w:type="dxa"/>
            <w:tcBorders>
              <w:top w:val="single" w:sz="24" w:space="0" w:color="B5333C" w:themeColor="accent2"/>
              <w:left w:val="nil"/>
              <w:bottom w:val="nil"/>
              <w:right w:val="single" w:sz="6" w:space="0" w:color="D9D9D9" w:themeColor="background1" w:themeShade="D9"/>
            </w:tcBorders>
            <w:shd w:val="clear" w:color="auto" w:fill="BFBFBF" w:themeFill="background1" w:themeFillShade="BF"/>
            <w:vAlign w:val="center"/>
            <w:hideMark/>
          </w:tcPr>
          <w:p w14:paraId="7AE4EC4F" w14:textId="77777777" w:rsidR="000A1B56" w:rsidRPr="0050106C" w:rsidRDefault="000A1B56" w:rsidP="00BF16C3">
            <w:pPr>
              <w:jc w:val="center"/>
              <w:rPr>
                <w:rFonts w:ascii="Century Gothic" w:hAnsi="Century Gothic"/>
                <w:szCs w:val="22"/>
              </w:rPr>
            </w:pPr>
            <w:r w:rsidRPr="0050106C">
              <w:rPr>
                <w:rFonts w:ascii="Century Gothic" w:hAnsi="Century Gothic"/>
                <w:szCs w:val="22"/>
              </w:rPr>
              <w:t>Unit of Measurement</w:t>
            </w:r>
          </w:p>
        </w:tc>
        <w:tc>
          <w:tcPr>
            <w:tcW w:w="1630" w:type="dxa"/>
            <w:tcBorders>
              <w:top w:val="single" w:sz="24" w:space="0" w:color="B5333C" w:themeColor="accent2"/>
              <w:left w:val="single" w:sz="6" w:space="0" w:color="D9D9D9" w:themeColor="background1" w:themeShade="D9"/>
              <w:bottom w:val="nil"/>
              <w:right w:val="single" w:sz="6" w:space="0" w:color="D9D9D9" w:themeColor="background1" w:themeShade="D9"/>
            </w:tcBorders>
            <w:shd w:val="clear" w:color="auto" w:fill="BFBFBF" w:themeFill="background1" w:themeFillShade="BF"/>
            <w:vAlign w:val="center"/>
            <w:hideMark/>
          </w:tcPr>
          <w:p w14:paraId="3B4A991F" w14:textId="77777777" w:rsidR="000A1B56" w:rsidRPr="0050106C" w:rsidRDefault="000A1B56" w:rsidP="00BF16C3">
            <w:pPr>
              <w:jc w:val="center"/>
              <w:rPr>
                <w:rFonts w:ascii="Century Gothic" w:hAnsi="Century Gothic"/>
                <w:szCs w:val="22"/>
              </w:rPr>
            </w:pPr>
            <w:r w:rsidRPr="0050106C">
              <w:rPr>
                <w:rFonts w:ascii="Century Gothic" w:hAnsi="Century Gothic"/>
                <w:szCs w:val="22"/>
              </w:rPr>
              <w:t>Baseline</w:t>
            </w:r>
          </w:p>
        </w:tc>
        <w:tc>
          <w:tcPr>
            <w:tcW w:w="1630" w:type="dxa"/>
            <w:tcBorders>
              <w:top w:val="single" w:sz="24" w:space="0" w:color="B5333C" w:themeColor="accent2"/>
              <w:left w:val="single" w:sz="6" w:space="0" w:color="D9D9D9" w:themeColor="background1" w:themeShade="D9"/>
              <w:bottom w:val="nil"/>
              <w:right w:val="single" w:sz="6" w:space="0" w:color="D9D9D9" w:themeColor="background1" w:themeShade="D9"/>
            </w:tcBorders>
            <w:shd w:val="clear" w:color="auto" w:fill="BFBFBF" w:themeFill="background1" w:themeFillShade="BF"/>
            <w:vAlign w:val="center"/>
            <w:hideMark/>
          </w:tcPr>
          <w:p w14:paraId="37E10F02" w14:textId="77777777" w:rsidR="000A1B56" w:rsidRPr="0050106C" w:rsidRDefault="000A1B56" w:rsidP="00BF16C3">
            <w:pPr>
              <w:jc w:val="center"/>
              <w:rPr>
                <w:rFonts w:ascii="Century Gothic" w:hAnsi="Century Gothic"/>
                <w:szCs w:val="22"/>
              </w:rPr>
            </w:pPr>
            <w:r w:rsidRPr="0050106C">
              <w:rPr>
                <w:rFonts w:ascii="Century Gothic" w:hAnsi="Century Gothic"/>
                <w:szCs w:val="22"/>
              </w:rPr>
              <w:t>Benchmark*</w:t>
            </w:r>
          </w:p>
        </w:tc>
        <w:tc>
          <w:tcPr>
            <w:tcW w:w="1937" w:type="dxa"/>
            <w:tcBorders>
              <w:top w:val="single" w:sz="24" w:space="0" w:color="B5333C" w:themeColor="accent2"/>
              <w:left w:val="single" w:sz="6" w:space="0" w:color="D9D9D9" w:themeColor="background1" w:themeShade="D9"/>
              <w:bottom w:val="nil"/>
              <w:right w:val="single" w:sz="6" w:space="0" w:color="D9D9D9" w:themeColor="background1" w:themeShade="D9"/>
            </w:tcBorders>
            <w:shd w:val="clear" w:color="auto" w:fill="BFBFBF" w:themeFill="background1" w:themeFillShade="BF"/>
            <w:vAlign w:val="center"/>
            <w:hideMark/>
          </w:tcPr>
          <w:p w14:paraId="500983E9" w14:textId="77777777" w:rsidR="000A1B56" w:rsidRPr="0050106C" w:rsidRDefault="000A1B56" w:rsidP="00BF16C3">
            <w:pPr>
              <w:jc w:val="center"/>
              <w:rPr>
                <w:rFonts w:ascii="Century Gothic" w:hAnsi="Century Gothic"/>
                <w:szCs w:val="22"/>
              </w:rPr>
            </w:pPr>
            <w:r w:rsidRPr="0050106C">
              <w:rPr>
                <w:rFonts w:ascii="Century Gothic" w:hAnsi="Century Gothic"/>
                <w:szCs w:val="22"/>
              </w:rPr>
              <w:t>Outcome</w:t>
            </w:r>
          </w:p>
        </w:tc>
        <w:tc>
          <w:tcPr>
            <w:tcW w:w="990" w:type="dxa"/>
            <w:tcBorders>
              <w:top w:val="single" w:sz="24" w:space="0" w:color="B5333C" w:themeColor="accent2"/>
              <w:left w:val="single" w:sz="6" w:space="0" w:color="D9D9D9" w:themeColor="background1" w:themeShade="D9"/>
              <w:bottom w:val="nil"/>
              <w:right w:val="nil"/>
            </w:tcBorders>
            <w:shd w:val="clear" w:color="auto" w:fill="BFBFBF" w:themeFill="background1" w:themeFillShade="BF"/>
            <w:vAlign w:val="center"/>
            <w:hideMark/>
          </w:tcPr>
          <w:p w14:paraId="181666BA" w14:textId="77777777" w:rsidR="000A1B56" w:rsidRPr="0050106C" w:rsidRDefault="000A1B56" w:rsidP="00BF16C3">
            <w:pPr>
              <w:jc w:val="center"/>
              <w:rPr>
                <w:rFonts w:ascii="Century Gothic" w:hAnsi="Century Gothic"/>
                <w:szCs w:val="22"/>
              </w:rPr>
            </w:pPr>
            <w:r w:rsidRPr="0050106C">
              <w:rPr>
                <w:rFonts w:ascii="Century Gothic" w:hAnsi="Century Gothic"/>
                <w:szCs w:val="22"/>
              </w:rPr>
              <w:t>Benchmark Achieved?</w:t>
            </w:r>
          </w:p>
        </w:tc>
      </w:tr>
      <w:tr w:rsidR="008434F3" w:rsidRPr="0050106C" w14:paraId="6F5468BD" w14:textId="77777777" w:rsidTr="090392C3">
        <w:trPr>
          <w:trHeight w:val="920"/>
        </w:trPr>
        <w:tc>
          <w:tcPr>
            <w:tcW w:w="2985" w:type="dxa"/>
            <w:tcBorders>
              <w:top w:val="nil"/>
              <w:left w:val="nil"/>
              <w:bottom w:val="single" w:sz="6" w:space="0" w:color="D9D9D9" w:themeColor="background1" w:themeShade="D9"/>
              <w:right w:val="single" w:sz="6" w:space="0" w:color="D9D9D9" w:themeColor="background1" w:themeShade="D9"/>
            </w:tcBorders>
            <w:hideMark/>
          </w:tcPr>
          <w:p w14:paraId="0BB2F8D6" w14:textId="77777777" w:rsidR="000A1B56" w:rsidRPr="0050106C" w:rsidRDefault="000A1B56" w:rsidP="00BF16C3">
            <w:pPr>
              <w:rPr>
                <w:rFonts w:ascii="Century Gothic" w:hAnsi="Century Gothic"/>
                <w:szCs w:val="22"/>
              </w:rPr>
            </w:pPr>
            <w:r w:rsidRPr="0050106C">
              <w:rPr>
                <w:rFonts w:ascii="Century Gothic" w:hAnsi="Century Gothic"/>
                <w:szCs w:val="22"/>
              </w:rPr>
              <w:t xml:space="preserve">Number of housing units </w:t>
            </w:r>
            <w:proofErr w:type="gramStart"/>
            <w:r w:rsidRPr="0050106C">
              <w:rPr>
                <w:rFonts w:ascii="Century Gothic" w:hAnsi="Century Gothic"/>
                <w:szCs w:val="22"/>
              </w:rPr>
              <w:t>preserved</w:t>
            </w:r>
            <w:proofErr w:type="gramEnd"/>
            <w:r w:rsidRPr="0050106C">
              <w:rPr>
                <w:rFonts w:ascii="Century Gothic" w:hAnsi="Century Gothic"/>
                <w:szCs w:val="22"/>
              </w:rPr>
              <w:t xml:space="preserve"> for households at or below 80% AMI that would otherwise not be available</w:t>
            </w:r>
          </w:p>
        </w:tc>
        <w:tc>
          <w:tcPr>
            <w:tcW w:w="1630"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hideMark/>
          </w:tcPr>
          <w:p w14:paraId="6C00E36F" w14:textId="0D3B5DDB" w:rsidR="000A1B56" w:rsidRPr="0050106C" w:rsidRDefault="00407C5F" w:rsidP="00BF16C3">
            <w:pPr>
              <w:rPr>
                <w:rFonts w:ascii="Century Gothic" w:hAnsi="Century Gothic"/>
                <w:szCs w:val="22"/>
              </w:rPr>
            </w:pPr>
            <w:r w:rsidRPr="0050106C">
              <w:rPr>
                <w:rFonts w:ascii="Century Gothic" w:hAnsi="Century Gothic"/>
                <w:szCs w:val="22"/>
              </w:rPr>
              <w:t>1,9</w:t>
            </w:r>
            <w:r w:rsidR="00956F1D" w:rsidRPr="0050106C">
              <w:rPr>
                <w:rFonts w:ascii="Century Gothic" w:hAnsi="Century Gothic"/>
                <w:szCs w:val="22"/>
              </w:rPr>
              <w:t>70 occupied</w:t>
            </w:r>
            <w:r w:rsidR="000A1B56" w:rsidRPr="0050106C">
              <w:rPr>
                <w:rFonts w:ascii="Century Gothic" w:hAnsi="Century Gothic"/>
                <w:szCs w:val="22"/>
              </w:rPr>
              <w:t xml:space="preserve"> units (</w:t>
            </w:r>
            <w:r w:rsidR="007D7155" w:rsidRPr="0050106C">
              <w:rPr>
                <w:rFonts w:ascii="Century Gothic" w:hAnsi="Century Gothic"/>
                <w:szCs w:val="22"/>
              </w:rPr>
              <w:t>baseline</w:t>
            </w:r>
            <w:r w:rsidR="000A1B56" w:rsidRPr="0050106C">
              <w:rPr>
                <w:rFonts w:ascii="Century Gothic" w:hAnsi="Century Gothic"/>
                <w:szCs w:val="22"/>
              </w:rPr>
              <w:t xml:space="preserve"> 2001)</w:t>
            </w:r>
          </w:p>
        </w:tc>
        <w:tc>
          <w:tcPr>
            <w:tcW w:w="1630"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noWrap/>
            <w:hideMark/>
          </w:tcPr>
          <w:p w14:paraId="79221447" w14:textId="1A9DC0C5" w:rsidR="000A1B56" w:rsidRPr="0050106C" w:rsidRDefault="000A1B56" w:rsidP="197B9397">
            <w:pPr>
              <w:rPr>
                <w:rFonts w:ascii="Century Gothic" w:hAnsi="Century Gothic"/>
              </w:rPr>
            </w:pPr>
            <w:r w:rsidRPr="0050106C">
              <w:rPr>
                <w:rFonts w:ascii="Century Gothic" w:hAnsi="Century Gothic"/>
              </w:rPr>
              <w:t>Decrease of</w:t>
            </w:r>
            <w:r w:rsidR="3D55FE08" w:rsidRPr="0050106C">
              <w:rPr>
                <w:rFonts w:ascii="Century Gothic" w:hAnsi="Century Gothic"/>
              </w:rPr>
              <w:t xml:space="preserve"> not more than</w:t>
            </w:r>
            <w:r w:rsidRPr="0050106C">
              <w:rPr>
                <w:rFonts w:ascii="Century Gothic" w:hAnsi="Century Gothic"/>
              </w:rPr>
              <w:t xml:space="preserve"> 5% from previous year (limited to de </w:t>
            </w:r>
            <w:proofErr w:type="spellStart"/>
            <w:r w:rsidRPr="0050106C">
              <w:rPr>
                <w:rFonts w:ascii="Century Gothic" w:hAnsi="Century Gothic"/>
              </w:rPr>
              <w:t>minimus</w:t>
            </w:r>
            <w:proofErr w:type="spellEnd"/>
            <w:r w:rsidRPr="0050106C">
              <w:rPr>
                <w:rFonts w:ascii="Century Gothic" w:hAnsi="Century Gothic"/>
              </w:rPr>
              <w:t xml:space="preserve"> reduction)</w:t>
            </w:r>
            <w:r w:rsidR="4E3E2A3E" w:rsidRPr="0050106C">
              <w:rPr>
                <w:rFonts w:ascii="Century Gothic" w:hAnsi="Century Gothic"/>
              </w:rPr>
              <w:t xml:space="preserve"> </w:t>
            </w:r>
          </w:p>
        </w:tc>
        <w:tc>
          <w:tcPr>
            <w:tcW w:w="1937"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hideMark/>
          </w:tcPr>
          <w:p w14:paraId="3F3397EC" w14:textId="3DB63209" w:rsidR="741E6991" w:rsidRPr="0050106C" w:rsidRDefault="741E6991" w:rsidP="090392C3">
            <w:pPr>
              <w:rPr>
                <w:rFonts w:ascii="Century Gothic" w:hAnsi="Century Gothic"/>
              </w:rPr>
            </w:pPr>
            <w:r w:rsidRPr="0050106C">
              <w:rPr>
                <w:rFonts w:ascii="Century Gothic" w:hAnsi="Century Gothic"/>
              </w:rPr>
              <w:t xml:space="preserve">2024: </w:t>
            </w:r>
            <w:r w:rsidR="00B2684B">
              <w:rPr>
                <w:rFonts w:ascii="Century Gothic" w:hAnsi="Century Gothic"/>
              </w:rPr>
              <w:t>2817</w:t>
            </w:r>
          </w:p>
          <w:p w14:paraId="2DFEBB5D" w14:textId="6890713A" w:rsidR="090392C3" w:rsidRPr="0050106C" w:rsidRDefault="090392C3" w:rsidP="090392C3">
            <w:pPr>
              <w:rPr>
                <w:rFonts w:ascii="Century Gothic" w:hAnsi="Century Gothic"/>
              </w:rPr>
            </w:pPr>
          </w:p>
          <w:p w14:paraId="491678B2" w14:textId="2BADB688" w:rsidR="00EF402B" w:rsidRPr="0050106C" w:rsidRDefault="5B605685" w:rsidP="332E49E3">
            <w:pPr>
              <w:rPr>
                <w:rFonts w:ascii="Century Gothic" w:hAnsi="Century Gothic"/>
              </w:rPr>
            </w:pPr>
            <w:r w:rsidRPr="0050106C">
              <w:rPr>
                <w:rFonts w:ascii="Century Gothic" w:hAnsi="Century Gothic"/>
              </w:rPr>
              <w:t xml:space="preserve">2023: </w:t>
            </w:r>
            <w:r w:rsidR="39D2640A" w:rsidRPr="0050106C">
              <w:rPr>
                <w:rFonts w:ascii="Century Gothic" w:hAnsi="Century Gothic"/>
              </w:rPr>
              <w:t>2,</w:t>
            </w:r>
            <w:r w:rsidR="006F32F2" w:rsidRPr="0050106C">
              <w:rPr>
                <w:rFonts w:ascii="Century Gothic" w:hAnsi="Century Gothic"/>
              </w:rPr>
              <w:t>788</w:t>
            </w:r>
          </w:p>
          <w:p w14:paraId="7E9DF23E" w14:textId="7042ADE7" w:rsidR="004C3380" w:rsidRPr="0050106C" w:rsidRDefault="4519BB1D" w:rsidP="332E49E3">
            <w:pPr>
              <w:rPr>
                <w:rFonts w:ascii="Century Gothic" w:hAnsi="Century Gothic"/>
              </w:rPr>
            </w:pPr>
            <w:r w:rsidRPr="0050106C">
              <w:rPr>
                <w:rFonts w:ascii="Century Gothic" w:hAnsi="Century Gothic"/>
              </w:rPr>
              <w:t>202</w:t>
            </w:r>
            <w:r w:rsidR="1E71DE57" w:rsidRPr="0050106C">
              <w:rPr>
                <w:rFonts w:ascii="Century Gothic" w:hAnsi="Century Gothic"/>
              </w:rPr>
              <w:t>2</w:t>
            </w:r>
            <w:r w:rsidRPr="0050106C">
              <w:rPr>
                <w:rFonts w:ascii="Century Gothic" w:hAnsi="Century Gothic"/>
              </w:rPr>
              <w:t xml:space="preserve">: </w:t>
            </w:r>
            <w:r w:rsidR="049AA959" w:rsidRPr="0050106C">
              <w:rPr>
                <w:rFonts w:ascii="Century Gothic" w:hAnsi="Century Gothic"/>
              </w:rPr>
              <w:t>2</w:t>
            </w:r>
            <w:r w:rsidR="707438DA" w:rsidRPr="0050106C">
              <w:rPr>
                <w:rFonts w:ascii="Century Gothic" w:hAnsi="Century Gothic"/>
              </w:rPr>
              <w:t>,246 units</w:t>
            </w:r>
            <w:r w:rsidR="00D91576" w:rsidRPr="002470B0">
              <w:rPr>
                <w:rStyle w:val="FootnoteReference"/>
                <w:rFonts w:ascii="Century Gothic" w:hAnsi="Century Gothic"/>
              </w:rPr>
              <w:footnoteReference w:id="11"/>
            </w:r>
          </w:p>
          <w:p w14:paraId="6B65971B" w14:textId="676F2181" w:rsidR="000A1B56" w:rsidRPr="0050106C" w:rsidRDefault="6D1151C5" w:rsidP="6E9E055C">
            <w:pPr>
              <w:rPr>
                <w:rFonts w:ascii="Century Gothic" w:eastAsia="MS PGothic" w:hAnsi="Century Gothic"/>
              </w:rPr>
            </w:pPr>
            <w:r w:rsidRPr="0050106C">
              <w:rPr>
                <w:rFonts w:ascii="Century Gothic" w:eastAsia="MS PGothic" w:hAnsi="Century Gothic"/>
              </w:rPr>
              <w:t>2021: 2,246 units</w:t>
            </w:r>
          </w:p>
        </w:tc>
        <w:tc>
          <w:tcPr>
            <w:tcW w:w="990" w:type="dxa"/>
            <w:tcBorders>
              <w:top w:val="nil"/>
              <w:left w:val="single" w:sz="6" w:space="0" w:color="D9D9D9" w:themeColor="background1" w:themeShade="D9"/>
              <w:bottom w:val="single" w:sz="6" w:space="0" w:color="D9D9D9" w:themeColor="background1" w:themeShade="D9"/>
              <w:right w:val="nil"/>
            </w:tcBorders>
            <w:hideMark/>
          </w:tcPr>
          <w:p w14:paraId="3362C60B" w14:textId="610FF989" w:rsidR="000A1B56" w:rsidRPr="0050106C" w:rsidRDefault="00A42C76" w:rsidP="2A137AEF">
            <w:pPr>
              <w:rPr>
                <w:rFonts w:ascii="Century Gothic" w:hAnsi="Century Gothic"/>
              </w:rPr>
            </w:pPr>
            <w:r>
              <w:rPr>
                <w:rFonts w:ascii="Century Gothic" w:hAnsi="Century Gothic"/>
              </w:rPr>
              <w:t>No</w:t>
            </w:r>
          </w:p>
        </w:tc>
      </w:tr>
    </w:tbl>
    <w:p w14:paraId="14430536" w14:textId="73AA55F1" w:rsidR="000A1B56" w:rsidRPr="00C63A52" w:rsidRDefault="000A1B56" w:rsidP="000A1B56">
      <w:pPr>
        <w:rPr>
          <w:rFonts w:ascii="Century Gothic" w:hAnsi="Century Gothic"/>
          <w:szCs w:val="22"/>
        </w:rPr>
      </w:pPr>
      <w:r w:rsidRPr="00C63A52">
        <w:rPr>
          <w:rFonts w:ascii="Century Gothic" w:hAnsi="Century Gothic"/>
          <w:szCs w:val="22"/>
        </w:rPr>
        <w:t xml:space="preserve">* </w:t>
      </w:r>
      <w:r w:rsidR="00785048" w:rsidRPr="00DA34C2">
        <w:rPr>
          <w:rFonts w:ascii="Century Gothic" w:hAnsi="Century Gothic"/>
          <w:sz w:val="18"/>
          <w:szCs w:val="18"/>
        </w:rPr>
        <w:t xml:space="preserve">ECC/HANH’s baseline of LIPH </w:t>
      </w:r>
      <w:r w:rsidR="00CC26C8" w:rsidRPr="00DA34C2">
        <w:rPr>
          <w:rFonts w:ascii="Century Gothic" w:hAnsi="Century Gothic"/>
          <w:sz w:val="18"/>
          <w:szCs w:val="18"/>
        </w:rPr>
        <w:t>occupied units</w:t>
      </w:r>
      <w:r w:rsidR="00785048" w:rsidRPr="00DA34C2">
        <w:rPr>
          <w:rFonts w:ascii="Century Gothic" w:hAnsi="Century Gothic"/>
          <w:sz w:val="18"/>
          <w:szCs w:val="18"/>
        </w:rPr>
        <w:t xml:space="preserve"> </w:t>
      </w:r>
      <w:r w:rsidR="00C03B95" w:rsidRPr="00DA34C2">
        <w:rPr>
          <w:rFonts w:ascii="Century Gothic" w:hAnsi="Century Gothic"/>
          <w:sz w:val="18"/>
          <w:szCs w:val="18"/>
        </w:rPr>
        <w:t>was 1,970</w:t>
      </w:r>
      <w:r w:rsidRPr="00DA34C2">
        <w:rPr>
          <w:rFonts w:ascii="Century Gothic" w:hAnsi="Century Gothic"/>
          <w:sz w:val="18"/>
          <w:szCs w:val="18"/>
        </w:rPr>
        <w:t xml:space="preserve">. </w:t>
      </w:r>
      <w:r w:rsidR="00C03B95" w:rsidRPr="00DA34C2">
        <w:rPr>
          <w:rFonts w:ascii="Century Gothic" w:hAnsi="Century Gothic"/>
          <w:sz w:val="18"/>
          <w:szCs w:val="18"/>
        </w:rPr>
        <w:t>As ECC/HANH rep</w:t>
      </w:r>
      <w:r w:rsidR="007F1072" w:rsidRPr="00DA34C2">
        <w:rPr>
          <w:rFonts w:ascii="Century Gothic" w:hAnsi="Century Gothic"/>
          <w:sz w:val="18"/>
          <w:szCs w:val="18"/>
        </w:rPr>
        <w:t xml:space="preserve">ositions its portfolio </w:t>
      </w:r>
      <w:r w:rsidR="00ED3531" w:rsidRPr="00DA34C2">
        <w:rPr>
          <w:rFonts w:ascii="Century Gothic" w:hAnsi="Century Gothic"/>
          <w:sz w:val="18"/>
          <w:szCs w:val="18"/>
        </w:rPr>
        <w:t xml:space="preserve">units transfer from LIPH to other platforms.  The </w:t>
      </w:r>
      <w:r w:rsidR="003B430A" w:rsidRPr="00DA34C2">
        <w:rPr>
          <w:rFonts w:ascii="Century Gothic" w:hAnsi="Century Gothic"/>
          <w:sz w:val="18"/>
          <w:szCs w:val="18"/>
        </w:rPr>
        <w:t>benchmark is the combined number of LIPH and redeveloped units on the PBV, LIHTC and RAD platforms.</w:t>
      </w:r>
      <w:r w:rsidR="003B430A" w:rsidRPr="00C63A52">
        <w:rPr>
          <w:rFonts w:ascii="Century Gothic" w:hAnsi="Century Gothic"/>
          <w:szCs w:val="22"/>
        </w:rPr>
        <w:t xml:space="preserve"> </w:t>
      </w:r>
      <w:r w:rsidRPr="00C63A52">
        <w:rPr>
          <w:rFonts w:ascii="Century Gothic" w:hAnsi="Century Gothic"/>
          <w:szCs w:val="22"/>
        </w:rPr>
        <w:t xml:space="preserve"> </w:t>
      </w:r>
    </w:p>
    <w:p w14:paraId="30CCE67B" w14:textId="70827309" w:rsidR="004277F3" w:rsidRPr="00573A4E" w:rsidRDefault="00A46018" w:rsidP="000A1B56">
      <w:pPr>
        <w:rPr>
          <w:rFonts w:ascii="Century Gothic" w:hAnsi="Century Gothic"/>
          <w:i/>
          <w:iCs/>
          <w:sz w:val="18"/>
          <w:szCs w:val="18"/>
        </w:rPr>
      </w:pPr>
      <w:r w:rsidRPr="00573A4E">
        <w:rPr>
          <w:rFonts w:ascii="Century Gothic" w:hAnsi="Century Gothic"/>
          <w:i/>
          <w:iCs/>
          <w:sz w:val="18"/>
          <w:szCs w:val="18"/>
        </w:rPr>
        <w:lastRenderedPageBreak/>
        <w:t xml:space="preserve">FY2024 </w:t>
      </w:r>
      <w:r w:rsidR="007A44EE" w:rsidRPr="00573A4E">
        <w:rPr>
          <w:rFonts w:ascii="Century Gothic" w:hAnsi="Century Gothic"/>
          <w:i/>
          <w:iCs/>
          <w:sz w:val="18"/>
          <w:szCs w:val="18"/>
        </w:rPr>
        <w:t>– LIPH Units (821) +</w:t>
      </w:r>
      <w:r w:rsidR="008B234E" w:rsidRPr="00573A4E">
        <w:rPr>
          <w:rFonts w:ascii="Century Gothic" w:hAnsi="Century Gothic"/>
          <w:i/>
          <w:iCs/>
          <w:sz w:val="18"/>
          <w:szCs w:val="18"/>
        </w:rPr>
        <w:t xml:space="preserve"> </w:t>
      </w:r>
      <w:r w:rsidR="00C57FAE" w:rsidRPr="00573A4E">
        <w:rPr>
          <w:rFonts w:ascii="Century Gothic" w:hAnsi="Century Gothic"/>
          <w:i/>
          <w:iCs/>
          <w:sz w:val="18"/>
          <w:szCs w:val="18"/>
        </w:rPr>
        <w:t>LIHTC PBV</w:t>
      </w:r>
      <w:r w:rsidR="007B235E" w:rsidRPr="00573A4E">
        <w:rPr>
          <w:rFonts w:ascii="Century Gothic" w:hAnsi="Century Gothic"/>
          <w:i/>
          <w:iCs/>
          <w:sz w:val="18"/>
          <w:szCs w:val="18"/>
        </w:rPr>
        <w:t xml:space="preserve"> (307) + LIHTC RAD/PBV (1689</w:t>
      </w:r>
      <w:r w:rsidR="00BA5241" w:rsidRPr="00573A4E">
        <w:rPr>
          <w:rFonts w:ascii="Century Gothic" w:hAnsi="Century Gothic"/>
          <w:i/>
          <w:iCs/>
          <w:sz w:val="18"/>
          <w:szCs w:val="18"/>
        </w:rPr>
        <w:t>) = 2817</w:t>
      </w:r>
    </w:p>
    <w:p w14:paraId="53FC81E1" w14:textId="3E49CB03" w:rsidR="00A46018" w:rsidRDefault="00A46018" w:rsidP="000A1B56">
      <w:pPr>
        <w:rPr>
          <w:rFonts w:ascii="Century Gothic" w:hAnsi="Century Gothic"/>
          <w:szCs w:val="22"/>
        </w:rPr>
      </w:pPr>
    </w:p>
    <w:tbl>
      <w:tblPr>
        <w:tblStyle w:val="TableGrid"/>
        <w:tblW w:w="9442" w:type="dxa"/>
        <w:tblInd w:w="8" w:type="dxa"/>
        <w:tblLayout w:type="fixed"/>
        <w:tblLook w:val="04A0" w:firstRow="1" w:lastRow="0" w:firstColumn="1" w:lastColumn="0" w:noHBand="0" w:noVBand="1"/>
      </w:tblPr>
      <w:tblGrid>
        <w:gridCol w:w="1792"/>
        <w:gridCol w:w="2250"/>
        <w:gridCol w:w="2520"/>
        <w:gridCol w:w="1530"/>
        <w:gridCol w:w="1350"/>
      </w:tblGrid>
      <w:tr w:rsidR="009E30A0" w:rsidRPr="00680A2A" w14:paraId="6E6AFF8A" w14:textId="77777777" w:rsidTr="188A1EBF">
        <w:trPr>
          <w:trHeight w:val="504"/>
        </w:trPr>
        <w:tc>
          <w:tcPr>
            <w:tcW w:w="9442" w:type="dxa"/>
            <w:gridSpan w:val="5"/>
            <w:tcBorders>
              <w:top w:val="nil"/>
              <w:left w:val="nil"/>
              <w:bottom w:val="single" w:sz="24" w:space="0" w:color="B5333C" w:themeColor="accent2"/>
              <w:right w:val="nil"/>
            </w:tcBorders>
            <w:shd w:val="clear" w:color="auto" w:fill="808080" w:themeFill="background1" w:themeFillShade="80"/>
            <w:vAlign w:val="center"/>
            <w:hideMark/>
          </w:tcPr>
          <w:p w14:paraId="4E500209" w14:textId="77777777" w:rsidR="004717A8" w:rsidRPr="00C63A52" w:rsidRDefault="004717A8" w:rsidP="003266E1">
            <w:pPr>
              <w:jc w:val="center"/>
              <w:rPr>
                <w:rFonts w:ascii="Century Gothic" w:hAnsi="Century Gothic"/>
                <w:b/>
                <w:szCs w:val="22"/>
              </w:rPr>
            </w:pPr>
            <w:r w:rsidRPr="00C63A52">
              <w:rPr>
                <w:rFonts w:ascii="Century Gothic" w:hAnsi="Century Gothic"/>
                <w:b/>
                <w:szCs w:val="22"/>
              </w:rPr>
              <w:t>Internal Metric #6: Utility Expense Per Unit ****</w:t>
            </w:r>
          </w:p>
        </w:tc>
      </w:tr>
      <w:tr w:rsidR="009E30A0" w:rsidRPr="00680A2A" w14:paraId="1A6A75ED" w14:textId="77777777" w:rsidTr="188A1EBF">
        <w:trPr>
          <w:trHeight w:val="624"/>
        </w:trPr>
        <w:tc>
          <w:tcPr>
            <w:tcW w:w="1792" w:type="dxa"/>
            <w:tcBorders>
              <w:top w:val="single" w:sz="24" w:space="0" w:color="B5333C" w:themeColor="accent2"/>
              <w:left w:val="nil"/>
              <w:bottom w:val="nil"/>
              <w:right w:val="single" w:sz="4" w:space="0" w:color="D9D9D9" w:themeColor="background1" w:themeShade="D9"/>
            </w:tcBorders>
            <w:shd w:val="clear" w:color="auto" w:fill="BFBFBF" w:themeFill="background1" w:themeFillShade="BF"/>
            <w:vAlign w:val="center"/>
          </w:tcPr>
          <w:p w14:paraId="19DA3D08" w14:textId="77777777" w:rsidR="004717A8" w:rsidRPr="00DA34C2" w:rsidRDefault="004717A8" w:rsidP="003266E1">
            <w:pPr>
              <w:jc w:val="center"/>
              <w:rPr>
                <w:rFonts w:ascii="Century Gothic" w:hAnsi="Century Gothic"/>
                <w:szCs w:val="22"/>
              </w:rPr>
            </w:pPr>
            <w:r w:rsidRPr="00DA34C2">
              <w:rPr>
                <w:rFonts w:ascii="Century Gothic" w:hAnsi="Century Gothic"/>
                <w:b/>
                <w:szCs w:val="22"/>
              </w:rPr>
              <w:t>Unit of Measurement</w:t>
            </w:r>
          </w:p>
        </w:tc>
        <w:tc>
          <w:tcPr>
            <w:tcW w:w="2250"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646424F6" w14:textId="77777777" w:rsidR="004717A8" w:rsidRPr="00DA34C2" w:rsidRDefault="004717A8" w:rsidP="003266E1">
            <w:pPr>
              <w:jc w:val="center"/>
              <w:rPr>
                <w:rFonts w:ascii="Century Gothic" w:hAnsi="Century Gothic"/>
                <w:szCs w:val="22"/>
              </w:rPr>
            </w:pPr>
            <w:r w:rsidRPr="00DA34C2">
              <w:rPr>
                <w:rFonts w:ascii="Century Gothic" w:hAnsi="Century Gothic"/>
                <w:b/>
                <w:szCs w:val="22"/>
              </w:rPr>
              <w:t>Baseline</w:t>
            </w:r>
          </w:p>
        </w:tc>
        <w:tc>
          <w:tcPr>
            <w:tcW w:w="2520"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70EACF06" w14:textId="77777777" w:rsidR="004717A8" w:rsidRPr="00DA34C2" w:rsidRDefault="004717A8" w:rsidP="003266E1">
            <w:pPr>
              <w:jc w:val="center"/>
              <w:rPr>
                <w:rFonts w:ascii="Century Gothic" w:hAnsi="Century Gothic"/>
                <w:szCs w:val="22"/>
              </w:rPr>
            </w:pPr>
            <w:r w:rsidRPr="00DA34C2">
              <w:rPr>
                <w:rFonts w:ascii="Century Gothic" w:hAnsi="Century Gothic"/>
                <w:b/>
                <w:szCs w:val="22"/>
              </w:rPr>
              <w:t>Benchmark</w:t>
            </w:r>
          </w:p>
        </w:tc>
        <w:tc>
          <w:tcPr>
            <w:tcW w:w="1530"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7B151B54" w14:textId="77777777" w:rsidR="004717A8" w:rsidRPr="00DA34C2" w:rsidRDefault="004717A8" w:rsidP="003266E1">
            <w:pPr>
              <w:jc w:val="center"/>
              <w:rPr>
                <w:rFonts w:ascii="Century Gothic" w:hAnsi="Century Gothic"/>
              </w:rPr>
            </w:pPr>
            <w:r w:rsidRPr="00DA34C2">
              <w:rPr>
                <w:rFonts w:ascii="Century Gothic" w:hAnsi="Century Gothic"/>
                <w:b/>
              </w:rPr>
              <w:t>Outcome</w:t>
            </w:r>
          </w:p>
        </w:tc>
        <w:tc>
          <w:tcPr>
            <w:tcW w:w="1350" w:type="dxa"/>
            <w:tcBorders>
              <w:top w:val="single" w:sz="24" w:space="0" w:color="B5333C" w:themeColor="accent2"/>
              <w:left w:val="single" w:sz="4" w:space="0" w:color="D9D9D9" w:themeColor="background1" w:themeShade="D9"/>
              <w:bottom w:val="nil"/>
              <w:right w:val="nil"/>
            </w:tcBorders>
            <w:shd w:val="clear" w:color="auto" w:fill="BFBFBF" w:themeFill="background1" w:themeFillShade="BF"/>
            <w:vAlign w:val="center"/>
          </w:tcPr>
          <w:p w14:paraId="73C652FC" w14:textId="77777777" w:rsidR="004717A8" w:rsidRPr="00DA34C2" w:rsidRDefault="55781025" w:rsidP="2C805A1A">
            <w:pPr>
              <w:jc w:val="center"/>
              <w:rPr>
                <w:rFonts w:ascii="Century Gothic" w:hAnsi="Century Gothic"/>
              </w:rPr>
            </w:pPr>
            <w:r w:rsidRPr="00DA34C2">
              <w:rPr>
                <w:rFonts w:ascii="Century Gothic" w:hAnsi="Century Gothic"/>
                <w:b/>
                <w:bCs/>
              </w:rPr>
              <w:t>Benchmark Achieved?</w:t>
            </w:r>
          </w:p>
        </w:tc>
      </w:tr>
      <w:tr w:rsidR="009E30A0" w:rsidRPr="00680A2A" w14:paraId="3CA9AF87" w14:textId="77777777" w:rsidTr="188A1EBF">
        <w:trPr>
          <w:trHeight w:val="408"/>
        </w:trPr>
        <w:tc>
          <w:tcPr>
            <w:tcW w:w="1792" w:type="dxa"/>
            <w:tcBorders>
              <w:top w:val="single" w:sz="6" w:space="0" w:color="FFFFFF" w:themeColor="background1"/>
              <w:left w:val="nil"/>
              <w:bottom w:val="nil"/>
              <w:right w:val="single" w:sz="6" w:space="0" w:color="BFBFBF" w:themeColor="background1" w:themeShade="BF"/>
            </w:tcBorders>
          </w:tcPr>
          <w:p w14:paraId="013AB9A0" w14:textId="77777777" w:rsidR="004717A8" w:rsidRPr="00DA34C2" w:rsidRDefault="395E6BDE" w:rsidP="5A58023C">
            <w:pPr>
              <w:rPr>
                <w:rFonts w:ascii="Century Gothic" w:hAnsi="Century Gothic"/>
                <w:b/>
                <w:bCs/>
              </w:rPr>
            </w:pPr>
            <w:r w:rsidRPr="188A1EBF">
              <w:rPr>
                <w:rFonts w:ascii="Century Gothic" w:hAnsi="Century Gothic"/>
              </w:rPr>
              <w:t>Reduction of utility expenses per unit, pre and post redevelopment – Electric</w:t>
            </w:r>
          </w:p>
        </w:tc>
        <w:tc>
          <w:tcPr>
            <w:tcW w:w="2250" w:type="dxa"/>
            <w:tcBorders>
              <w:top w:val="single" w:sz="6" w:space="0" w:color="FFFFFF" w:themeColor="background1"/>
              <w:left w:val="single" w:sz="6" w:space="0" w:color="BFBFBF" w:themeColor="background1" w:themeShade="BF"/>
              <w:bottom w:val="nil"/>
              <w:right w:val="single" w:sz="6" w:space="0" w:color="BFBFBF" w:themeColor="background1" w:themeShade="BF"/>
            </w:tcBorders>
          </w:tcPr>
          <w:p w14:paraId="6FF5F77D" w14:textId="77777777" w:rsidR="004717A8" w:rsidRDefault="004717A8" w:rsidP="003266E1">
            <w:pPr>
              <w:rPr>
                <w:rFonts w:ascii="Century Gothic" w:hAnsi="Century Gothic"/>
              </w:rPr>
            </w:pPr>
            <w:r w:rsidRPr="00DA34C2">
              <w:rPr>
                <w:rFonts w:ascii="Century Gothic" w:hAnsi="Century Gothic"/>
              </w:rPr>
              <w:t>Valley</w:t>
            </w:r>
            <w:r w:rsidR="670B9BFA" w:rsidRPr="00DA34C2">
              <w:rPr>
                <w:rFonts w:ascii="Century Gothic" w:hAnsi="Century Gothic"/>
              </w:rPr>
              <w:t>/</w:t>
            </w:r>
            <w:r w:rsidRPr="00DA34C2">
              <w:rPr>
                <w:rFonts w:ascii="Century Gothic" w:hAnsi="Century Gothic"/>
              </w:rPr>
              <w:t>Waverly: $900 per unit/ per month in 2012</w:t>
            </w:r>
          </w:p>
          <w:p w14:paraId="71E78DCD" w14:textId="77777777" w:rsidR="00EB7739" w:rsidRDefault="00EB7739" w:rsidP="003266E1">
            <w:pPr>
              <w:rPr>
                <w:rFonts w:ascii="Century Gothic" w:hAnsi="Century Gothic"/>
              </w:rPr>
            </w:pPr>
          </w:p>
          <w:p w14:paraId="35641075" w14:textId="77777777" w:rsidR="00EB7739" w:rsidRDefault="00EB7739" w:rsidP="003266E1">
            <w:pPr>
              <w:rPr>
                <w:rFonts w:ascii="Century Gothic" w:hAnsi="Century Gothic"/>
              </w:rPr>
            </w:pPr>
            <w:r>
              <w:rPr>
                <w:rFonts w:ascii="Century Gothic" w:hAnsi="Century Gothic"/>
              </w:rPr>
              <w:t>$1,227</w:t>
            </w:r>
          </w:p>
          <w:p w14:paraId="44EFEF43" w14:textId="41EB793E" w:rsidR="00EB7739" w:rsidRPr="00DA34C2" w:rsidRDefault="00EB7739" w:rsidP="003266E1">
            <w:pPr>
              <w:rPr>
                <w:rFonts w:ascii="Century Gothic" w:hAnsi="Century Gothic"/>
                <w:b/>
              </w:rPr>
            </w:pPr>
            <w:r>
              <w:rPr>
                <w:rFonts w:ascii="Century Gothic" w:hAnsi="Century Gothic"/>
              </w:rPr>
              <w:t>(2024 inflation)</w:t>
            </w:r>
          </w:p>
        </w:tc>
        <w:tc>
          <w:tcPr>
            <w:tcW w:w="2520" w:type="dxa"/>
            <w:tcBorders>
              <w:top w:val="single" w:sz="6" w:space="0" w:color="FFFFFF" w:themeColor="background1"/>
              <w:left w:val="single" w:sz="6" w:space="0" w:color="BFBFBF" w:themeColor="background1" w:themeShade="BF"/>
              <w:bottom w:val="nil"/>
              <w:right w:val="single" w:sz="6" w:space="0" w:color="BFBFBF" w:themeColor="background1" w:themeShade="BF"/>
            </w:tcBorders>
          </w:tcPr>
          <w:p w14:paraId="43BAC9C3" w14:textId="137AD12C" w:rsidR="004717A8" w:rsidRPr="00DA34C2" w:rsidRDefault="05E21C8A" w:rsidP="197B9397">
            <w:pPr>
              <w:rPr>
                <w:rFonts w:ascii="Century Gothic" w:hAnsi="Century Gothic"/>
              </w:rPr>
            </w:pPr>
            <w:r w:rsidRPr="00DA34C2">
              <w:rPr>
                <w:rFonts w:ascii="Century Gothic" w:hAnsi="Century Gothic"/>
              </w:rPr>
              <w:t>5% reduction; Electric utility expenses would reach approximately $85</w:t>
            </w:r>
            <w:r w:rsidR="7B8EA10B" w:rsidRPr="00DA34C2">
              <w:rPr>
                <w:rFonts w:ascii="Century Gothic" w:hAnsi="Century Gothic"/>
              </w:rPr>
              <w:t>5</w:t>
            </w:r>
            <w:r w:rsidRPr="00DA34C2">
              <w:rPr>
                <w:rFonts w:ascii="Century Gothic" w:hAnsi="Century Gothic"/>
              </w:rPr>
              <w:t xml:space="preserve"> per unit</w:t>
            </w:r>
            <w:r w:rsidR="69187BDD" w:rsidRPr="00DA34C2">
              <w:rPr>
                <w:rFonts w:ascii="Century Gothic" w:hAnsi="Century Gothic"/>
              </w:rPr>
              <w:t xml:space="preserve"> (escalated annually)</w:t>
            </w:r>
          </w:p>
          <w:p w14:paraId="6FDB1CC5" w14:textId="77777777" w:rsidR="004717A8" w:rsidRPr="00DA34C2" w:rsidRDefault="004717A8" w:rsidP="003266E1">
            <w:pPr>
              <w:rPr>
                <w:rFonts w:ascii="Century Gothic" w:hAnsi="Century Gothic"/>
                <w:b/>
                <w:szCs w:val="22"/>
              </w:rPr>
            </w:pPr>
          </w:p>
        </w:tc>
        <w:tc>
          <w:tcPr>
            <w:tcW w:w="1530" w:type="dxa"/>
            <w:tcBorders>
              <w:top w:val="single" w:sz="6" w:space="0" w:color="FFFFFF" w:themeColor="background1"/>
              <w:left w:val="single" w:sz="6" w:space="0" w:color="BFBFBF" w:themeColor="background1" w:themeShade="BF"/>
              <w:bottom w:val="nil"/>
              <w:right w:val="single" w:sz="6" w:space="0" w:color="BFBFBF" w:themeColor="background1" w:themeShade="BF"/>
            </w:tcBorders>
          </w:tcPr>
          <w:p w14:paraId="213E1578" w14:textId="77777777" w:rsidR="00EB7739" w:rsidRPr="00DA34C2" w:rsidRDefault="00EB7739" w:rsidP="00EB7739">
            <w:pPr>
              <w:rPr>
                <w:rFonts w:ascii="Century Gothic" w:eastAsia="MS PGothic" w:hAnsi="Century Gothic"/>
              </w:rPr>
            </w:pPr>
            <w:r w:rsidRPr="00B329C4">
              <w:rPr>
                <w:rFonts w:ascii="Century Gothic" w:eastAsia="MS PGothic" w:hAnsi="Century Gothic"/>
              </w:rPr>
              <w:t>2024: Average cost per unit; $15</w:t>
            </w:r>
            <w:r>
              <w:rPr>
                <w:rFonts w:ascii="Century Gothic" w:eastAsia="MS PGothic" w:hAnsi="Century Gothic"/>
              </w:rPr>
              <w:t>5 (83%)</w:t>
            </w:r>
          </w:p>
          <w:p w14:paraId="67037ABA" w14:textId="77777777" w:rsidR="0096367E" w:rsidRDefault="0096367E" w:rsidP="00EB7739">
            <w:pPr>
              <w:rPr>
                <w:rFonts w:ascii="Century Gothic" w:hAnsi="Century Gothic"/>
                <w:b/>
                <w:bCs/>
              </w:rPr>
            </w:pPr>
          </w:p>
          <w:p w14:paraId="0B8814BE" w14:textId="77777777" w:rsidR="00EB7739" w:rsidRPr="00DA34C2" w:rsidRDefault="00EB7739" w:rsidP="00EB7739">
            <w:pPr>
              <w:rPr>
                <w:rFonts w:ascii="Century Gothic" w:eastAsia="MS PGothic" w:hAnsi="Century Gothic"/>
              </w:rPr>
            </w:pPr>
            <w:r w:rsidRPr="00DA34C2">
              <w:rPr>
                <w:rFonts w:ascii="Century Gothic" w:eastAsia="MS PGothic" w:hAnsi="Century Gothic"/>
              </w:rPr>
              <w:t>2023: Average cost per unit; $116.23</w:t>
            </w:r>
          </w:p>
          <w:p w14:paraId="43EBB717" w14:textId="540DE887" w:rsidR="00EB7739" w:rsidRPr="00DA34C2" w:rsidRDefault="00EB7739" w:rsidP="00EB7739">
            <w:pPr>
              <w:rPr>
                <w:rFonts w:ascii="Century Gothic" w:hAnsi="Century Gothic"/>
                <w:b/>
                <w:bCs/>
              </w:rPr>
            </w:pPr>
          </w:p>
        </w:tc>
        <w:tc>
          <w:tcPr>
            <w:tcW w:w="1350" w:type="dxa"/>
            <w:tcBorders>
              <w:top w:val="single" w:sz="6" w:space="0" w:color="FFFFFF" w:themeColor="background1"/>
              <w:left w:val="single" w:sz="6" w:space="0" w:color="BFBFBF" w:themeColor="background1" w:themeShade="BF"/>
              <w:bottom w:val="nil"/>
              <w:right w:val="nil"/>
            </w:tcBorders>
          </w:tcPr>
          <w:p w14:paraId="44DBBB35" w14:textId="36B4A612" w:rsidR="004717A8" w:rsidRPr="00DA34C2" w:rsidRDefault="00B5599F" w:rsidP="1318413B">
            <w:pPr>
              <w:rPr>
                <w:rFonts w:ascii="Century Gothic" w:hAnsi="Century Gothic"/>
              </w:rPr>
            </w:pPr>
            <w:r w:rsidRPr="00DA34C2">
              <w:rPr>
                <w:rFonts w:ascii="Century Gothic" w:hAnsi="Century Gothic"/>
              </w:rPr>
              <w:t>Yes</w:t>
            </w:r>
          </w:p>
        </w:tc>
      </w:tr>
      <w:tr w:rsidR="009E30A0" w:rsidRPr="00680A2A" w14:paraId="14FE268F" w14:textId="77777777" w:rsidTr="188A1EBF">
        <w:trPr>
          <w:trHeight w:val="80"/>
        </w:trPr>
        <w:tc>
          <w:tcPr>
            <w:tcW w:w="1792" w:type="dxa"/>
            <w:tcBorders>
              <w:top w:val="nil"/>
              <w:left w:val="nil"/>
              <w:bottom w:val="single" w:sz="6" w:space="0" w:color="BFBFBF" w:themeColor="background1" w:themeShade="BF"/>
              <w:right w:val="single" w:sz="6" w:space="0" w:color="BFBFBF" w:themeColor="background1" w:themeShade="BF"/>
            </w:tcBorders>
          </w:tcPr>
          <w:p w14:paraId="6D5D5366" w14:textId="77777777" w:rsidR="004F1A75" w:rsidRPr="00DA34C2" w:rsidRDefault="004F1A75" w:rsidP="003266E1">
            <w:pPr>
              <w:rPr>
                <w:rFonts w:ascii="Century Gothic" w:hAnsi="Century Gothic"/>
                <w:szCs w:val="22"/>
              </w:rPr>
            </w:pPr>
          </w:p>
        </w:tc>
        <w:tc>
          <w:tcPr>
            <w:tcW w:w="2250"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tcPr>
          <w:p w14:paraId="30556565" w14:textId="77777777" w:rsidR="004F1A75" w:rsidRPr="00DA34C2" w:rsidRDefault="004F1A75" w:rsidP="003266E1">
            <w:pPr>
              <w:rPr>
                <w:rFonts w:ascii="Century Gothic" w:hAnsi="Century Gothic"/>
                <w:szCs w:val="22"/>
              </w:rPr>
            </w:pPr>
          </w:p>
        </w:tc>
        <w:tc>
          <w:tcPr>
            <w:tcW w:w="2520"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tcPr>
          <w:p w14:paraId="571F988D" w14:textId="77777777" w:rsidR="004F1A75" w:rsidRPr="00DA34C2" w:rsidRDefault="004F1A75" w:rsidP="003266E1">
            <w:pPr>
              <w:rPr>
                <w:rFonts w:ascii="Century Gothic" w:hAnsi="Century Gothic"/>
                <w:szCs w:val="22"/>
              </w:rPr>
            </w:pPr>
          </w:p>
        </w:tc>
        <w:tc>
          <w:tcPr>
            <w:tcW w:w="1530"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tcPr>
          <w:p w14:paraId="76AFD66A" w14:textId="77777777" w:rsidR="004F1A75" w:rsidRDefault="361E8BC1" w:rsidP="4566E4F4">
            <w:pPr>
              <w:rPr>
                <w:rFonts w:ascii="Century Gothic" w:eastAsia="MS PGothic" w:hAnsi="Century Gothic"/>
                <w:szCs w:val="22"/>
              </w:rPr>
            </w:pPr>
            <w:r w:rsidRPr="00DA34C2">
              <w:rPr>
                <w:rFonts w:ascii="Century Gothic" w:eastAsia="MS PGothic" w:hAnsi="Century Gothic"/>
                <w:szCs w:val="22"/>
              </w:rPr>
              <w:t xml:space="preserve">2022: Average </w:t>
            </w:r>
            <w:r w:rsidR="4FB7E94C" w:rsidRPr="00DA34C2">
              <w:rPr>
                <w:rFonts w:ascii="Century Gothic" w:eastAsia="MS PGothic" w:hAnsi="Century Gothic"/>
                <w:szCs w:val="22"/>
              </w:rPr>
              <w:t xml:space="preserve">cost </w:t>
            </w:r>
            <w:r w:rsidRPr="00DA34C2">
              <w:rPr>
                <w:rFonts w:ascii="Century Gothic" w:eastAsia="MS PGothic" w:hAnsi="Century Gothic"/>
                <w:szCs w:val="22"/>
              </w:rPr>
              <w:t>per unit</w:t>
            </w:r>
            <w:r w:rsidR="41BD4CDC" w:rsidRPr="00DA34C2">
              <w:rPr>
                <w:rFonts w:ascii="Century Gothic" w:eastAsia="MS PGothic" w:hAnsi="Century Gothic"/>
                <w:szCs w:val="22"/>
              </w:rPr>
              <w:t>; $1</w:t>
            </w:r>
            <w:r w:rsidR="30F06D24" w:rsidRPr="00DA34C2">
              <w:rPr>
                <w:rFonts w:ascii="Century Gothic" w:eastAsia="MS PGothic" w:hAnsi="Century Gothic"/>
                <w:szCs w:val="22"/>
              </w:rPr>
              <w:t>35.30</w:t>
            </w:r>
          </w:p>
          <w:p w14:paraId="1D2F570F" w14:textId="77777777" w:rsidR="00EB7739" w:rsidRDefault="00EB7739" w:rsidP="4566E4F4">
            <w:pPr>
              <w:rPr>
                <w:rFonts w:ascii="Century Gothic" w:eastAsia="MS PGothic" w:hAnsi="Century Gothic"/>
                <w:szCs w:val="22"/>
              </w:rPr>
            </w:pPr>
          </w:p>
          <w:p w14:paraId="5ADB41CC" w14:textId="77777777" w:rsidR="00EB7739" w:rsidRDefault="00EB7739" w:rsidP="00EB7739">
            <w:pPr>
              <w:rPr>
                <w:rFonts w:ascii="Century Gothic" w:hAnsi="Century Gothic"/>
              </w:rPr>
            </w:pPr>
            <w:r w:rsidRPr="00DA34C2">
              <w:rPr>
                <w:rFonts w:ascii="Century Gothic" w:hAnsi="Century Gothic"/>
              </w:rPr>
              <w:t>Refer to Appendix 10</w:t>
            </w:r>
            <w:r>
              <w:rPr>
                <w:rFonts w:ascii="Century Gothic" w:hAnsi="Century Gothic"/>
              </w:rPr>
              <w:t xml:space="preserve">, </w:t>
            </w:r>
            <w:r w:rsidRPr="00DA34C2">
              <w:rPr>
                <w:rFonts w:ascii="Century Gothic" w:hAnsi="Century Gothic"/>
              </w:rPr>
              <w:t xml:space="preserve">Electricity Utility Costs Per Unit Per Month.  </w:t>
            </w:r>
          </w:p>
          <w:p w14:paraId="68D1FCC7" w14:textId="77777777" w:rsidR="00EB7739" w:rsidRDefault="00EB7739" w:rsidP="4566E4F4">
            <w:pPr>
              <w:rPr>
                <w:rFonts w:ascii="Century Gothic" w:eastAsia="MS PGothic" w:hAnsi="Century Gothic"/>
                <w:szCs w:val="22"/>
              </w:rPr>
            </w:pPr>
          </w:p>
          <w:p w14:paraId="722C3049" w14:textId="0C309E73" w:rsidR="00EB7739" w:rsidRPr="00DA34C2" w:rsidRDefault="00EB7739" w:rsidP="4566E4F4">
            <w:pPr>
              <w:rPr>
                <w:rFonts w:ascii="Century Gothic" w:eastAsia="MS PGothic" w:hAnsi="Century Gothic"/>
                <w:szCs w:val="22"/>
              </w:rPr>
            </w:pPr>
          </w:p>
        </w:tc>
        <w:tc>
          <w:tcPr>
            <w:tcW w:w="1350" w:type="dxa"/>
            <w:tcBorders>
              <w:top w:val="nil"/>
              <w:left w:val="single" w:sz="6" w:space="0" w:color="BFBFBF" w:themeColor="background1" w:themeShade="BF"/>
              <w:bottom w:val="single" w:sz="6" w:space="0" w:color="BFBFBF" w:themeColor="background1" w:themeShade="BF"/>
              <w:right w:val="nil"/>
            </w:tcBorders>
          </w:tcPr>
          <w:p w14:paraId="24456345" w14:textId="77777777" w:rsidR="004F1A75" w:rsidRPr="00DA34C2" w:rsidRDefault="004F1A75" w:rsidP="003266E1">
            <w:pPr>
              <w:rPr>
                <w:rFonts w:ascii="Century Gothic" w:hAnsi="Century Gothic"/>
                <w:szCs w:val="22"/>
              </w:rPr>
            </w:pPr>
          </w:p>
        </w:tc>
      </w:tr>
      <w:tr w:rsidR="004717A8" w:rsidRPr="00680A2A" w14:paraId="03A3DED1" w14:textId="77777777" w:rsidTr="188A1EBF">
        <w:trPr>
          <w:trHeight w:val="1740"/>
        </w:trPr>
        <w:tc>
          <w:tcPr>
            <w:tcW w:w="1792" w:type="dxa"/>
            <w:tcBorders>
              <w:top w:val="nil"/>
              <w:left w:val="nil"/>
              <w:bottom w:val="single" w:sz="6" w:space="0" w:color="BFBFBF" w:themeColor="background1" w:themeShade="BF"/>
              <w:right w:val="single" w:sz="6" w:space="0" w:color="BFBFBF" w:themeColor="background1" w:themeShade="BF"/>
            </w:tcBorders>
          </w:tcPr>
          <w:p w14:paraId="54BFAEA0" w14:textId="77777777" w:rsidR="004717A8" w:rsidRPr="00DA34C2" w:rsidRDefault="004717A8" w:rsidP="003266E1">
            <w:pPr>
              <w:rPr>
                <w:rFonts w:ascii="Century Gothic" w:hAnsi="Century Gothic"/>
                <w:szCs w:val="22"/>
              </w:rPr>
            </w:pPr>
            <w:r w:rsidRPr="00DA34C2">
              <w:rPr>
                <w:rFonts w:ascii="Century Gothic" w:hAnsi="Century Gothic"/>
                <w:szCs w:val="22"/>
              </w:rPr>
              <w:t>Reduction of utility expenses per unit, pre and post redevelopment – Gas</w:t>
            </w:r>
          </w:p>
        </w:tc>
        <w:tc>
          <w:tcPr>
            <w:tcW w:w="2250"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tcPr>
          <w:p w14:paraId="62C7B7BB" w14:textId="77777777" w:rsidR="004717A8" w:rsidRDefault="004717A8" w:rsidP="003266E1">
            <w:pPr>
              <w:rPr>
                <w:rFonts w:ascii="Century Gothic" w:hAnsi="Century Gothic"/>
              </w:rPr>
            </w:pPr>
            <w:r w:rsidRPr="00DA34C2">
              <w:rPr>
                <w:rFonts w:ascii="Century Gothic" w:hAnsi="Century Gothic"/>
              </w:rPr>
              <w:t>Valley</w:t>
            </w:r>
            <w:r w:rsidR="3A255EF5" w:rsidRPr="00DA34C2">
              <w:rPr>
                <w:rFonts w:ascii="Century Gothic" w:hAnsi="Century Gothic"/>
              </w:rPr>
              <w:t>/</w:t>
            </w:r>
            <w:r w:rsidRPr="00DA34C2">
              <w:rPr>
                <w:rFonts w:ascii="Century Gothic" w:hAnsi="Century Gothic"/>
              </w:rPr>
              <w:t>Waverly: $60.83 per unit/ per month in 2012</w:t>
            </w:r>
          </w:p>
          <w:p w14:paraId="193733DB" w14:textId="77777777" w:rsidR="00EB7739" w:rsidRDefault="00EB7739" w:rsidP="003266E1">
            <w:pPr>
              <w:rPr>
                <w:rFonts w:ascii="Century Gothic" w:hAnsi="Century Gothic"/>
              </w:rPr>
            </w:pPr>
          </w:p>
          <w:p w14:paraId="083D6C88" w14:textId="77777777" w:rsidR="00EB7739" w:rsidRDefault="00EB7739" w:rsidP="003266E1">
            <w:pPr>
              <w:rPr>
                <w:rFonts w:ascii="Century Gothic" w:hAnsi="Century Gothic"/>
              </w:rPr>
            </w:pPr>
            <w:r>
              <w:rPr>
                <w:rFonts w:ascii="Century Gothic" w:hAnsi="Century Gothic"/>
              </w:rPr>
              <w:t xml:space="preserve">$83 </w:t>
            </w:r>
          </w:p>
          <w:p w14:paraId="589B0F22" w14:textId="23ACFE37" w:rsidR="00EB7739" w:rsidRPr="00DA34C2" w:rsidRDefault="00EB7739" w:rsidP="003266E1">
            <w:pPr>
              <w:rPr>
                <w:rFonts w:ascii="Century Gothic" w:hAnsi="Century Gothic"/>
              </w:rPr>
            </w:pPr>
            <w:r>
              <w:rPr>
                <w:rFonts w:ascii="Century Gothic" w:hAnsi="Century Gothic"/>
              </w:rPr>
              <w:t>(2024 inflation)</w:t>
            </w:r>
          </w:p>
        </w:tc>
        <w:tc>
          <w:tcPr>
            <w:tcW w:w="2520"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tcPr>
          <w:p w14:paraId="4FA0717A" w14:textId="22B06BFD" w:rsidR="004717A8" w:rsidRPr="00DA34C2" w:rsidRDefault="05E21C8A" w:rsidP="197B9397">
            <w:pPr>
              <w:rPr>
                <w:rFonts w:ascii="Century Gothic" w:hAnsi="Century Gothic"/>
              </w:rPr>
            </w:pPr>
            <w:r w:rsidRPr="00DA34C2">
              <w:rPr>
                <w:rFonts w:ascii="Century Gothic" w:hAnsi="Century Gothic"/>
              </w:rPr>
              <w:t>5% reduction; Gas utility expenses would reach approximately $</w:t>
            </w:r>
            <w:r w:rsidR="16AF4FCC" w:rsidRPr="00DA34C2">
              <w:rPr>
                <w:rFonts w:ascii="Century Gothic" w:hAnsi="Century Gothic"/>
              </w:rPr>
              <w:t>58</w:t>
            </w:r>
            <w:r w:rsidRPr="00DA34C2">
              <w:rPr>
                <w:rFonts w:ascii="Century Gothic" w:hAnsi="Century Gothic"/>
              </w:rPr>
              <w:t xml:space="preserve"> per unit</w:t>
            </w:r>
            <w:r w:rsidR="2035A176" w:rsidRPr="00DA34C2">
              <w:rPr>
                <w:rFonts w:ascii="Century Gothic" w:hAnsi="Century Gothic"/>
              </w:rPr>
              <w:t xml:space="preserve"> (escalated annually)</w:t>
            </w:r>
          </w:p>
        </w:tc>
        <w:tc>
          <w:tcPr>
            <w:tcW w:w="1530"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tcPr>
          <w:p w14:paraId="123392BD" w14:textId="721EB85B" w:rsidR="004717A8" w:rsidRPr="00DA34C2" w:rsidRDefault="431068E9" w:rsidP="090392C3">
            <w:pPr>
              <w:rPr>
                <w:rFonts w:ascii="Century Gothic" w:eastAsia="MS PGothic" w:hAnsi="Century Gothic"/>
              </w:rPr>
            </w:pPr>
            <w:r w:rsidRPr="00DA34C2">
              <w:rPr>
                <w:rFonts w:ascii="Century Gothic" w:eastAsia="MS PGothic" w:hAnsi="Century Gothic"/>
              </w:rPr>
              <w:t>2024: Average cost per unit: $</w:t>
            </w:r>
            <w:r w:rsidR="6102E56A" w:rsidRPr="00DA34C2">
              <w:rPr>
                <w:rFonts w:ascii="Century Gothic" w:eastAsia="MS PGothic" w:hAnsi="Century Gothic"/>
              </w:rPr>
              <w:t>2</w:t>
            </w:r>
            <w:r w:rsidR="399348EC" w:rsidRPr="00DA34C2">
              <w:rPr>
                <w:rFonts w:ascii="Century Gothic" w:eastAsia="MS PGothic" w:hAnsi="Century Gothic"/>
              </w:rPr>
              <w:t>4.63</w:t>
            </w:r>
          </w:p>
          <w:p w14:paraId="3ADD304B" w14:textId="6A642289" w:rsidR="090392C3" w:rsidRPr="00DA34C2" w:rsidRDefault="090392C3" w:rsidP="090392C3">
            <w:pPr>
              <w:rPr>
                <w:rFonts w:ascii="Century Gothic" w:eastAsia="MS PGothic" w:hAnsi="Century Gothic"/>
              </w:rPr>
            </w:pPr>
          </w:p>
          <w:p w14:paraId="7564CE35" w14:textId="5522DCC2" w:rsidR="00EF402B" w:rsidRPr="00DA34C2" w:rsidRDefault="1C47A39E" w:rsidP="0175C16E">
            <w:pPr>
              <w:rPr>
                <w:rFonts w:ascii="Century Gothic" w:eastAsia="MS PGothic" w:hAnsi="Century Gothic"/>
              </w:rPr>
            </w:pPr>
            <w:r w:rsidRPr="00DA34C2">
              <w:rPr>
                <w:rFonts w:ascii="Century Gothic" w:eastAsia="MS PGothic" w:hAnsi="Century Gothic"/>
              </w:rPr>
              <w:t>2023: Average cost per unit: $</w:t>
            </w:r>
            <w:r w:rsidR="71285A55" w:rsidRPr="00DA34C2">
              <w:rPr>
                <w:rFonts w:ascii="Century Gothic" w:eastAsia="MS PGothic" w:hAnsi="Century Gothic"/>
              </w:rPr>
              <w:t>34.</w:t>
            </w:r>
            <w:r w:rsidR="2E9CD3A4" w:rsidRPr="00DA34C2">
              <w:rPr>
                <w:rFonts w:ascii="Century Gothic" w:eastAsia="MS PGothic" w:hAnsi="Century Gothic"/>
              </w:rPr>
              <w:t>82</w:t>
            </w:r>
          </w:p>
          <w:p w14:paraId="5A06D7A6" w14:textId="77777777" w:rsidR="00EF402B" w:rsidRPr="00DA34C2" w:rsidRDefault="00EF402B" w:rsidP="0175C16E">
            <w:pPr>
              <w:rPr>
                <w:rFonts w:ascii="Century Gothic" w:eastAsia="MS PGothic" w:hAnsi="Century Gothic"/>
                <w:szCs w:val="22"/>
              </w:rPr>
            </w:pPr>
          </w:p>
          <w:p w14:paraId="4FC44906" w14:textId="77777777" w:rsidR="004717A8" w:rsidRDefault="480FFD83" w:rsidP="4566E4F4">
            <w:pPr>
              <w:rPr>
                <w:rFonts w:ascii="Century Gothic" w:eastAsia="MS PGothic" w:hAnsi="Century Gothic"/>
                <w:szCs w:val="22"/>
              </w:rPr>
            </w:pPr>
            <w:r w:rsidRPr="00DA34C2">
              <w:rPr>
                <w:rFonts w:ascii="Century Gothic" w:eastAsia="MS PGothic" w:hAnsi="Century Gothic"/>
                <w:szCs w:val="22"/>
              </w:rPr>
              <w:t>2022:</w:t>
            </w:r>
            <w:r w:rsidR="5B921EBD" w:rsidRPr="00DA34C2">
              <w:rPr>
                <w:rFonts w:ascii="Century Gothic" w:eastAsia="MS PGothic" w:hAnsi="Century Gothic"/>
                <w:szCs w:val="22"/>
              </w:rPr>
              <w:t xml:space="preserve"> </w:t>
            </w:r>
            <w:r w:rsidRPr="00DA34C2">
              <w:rPr>
                <w:rFonts w:ascii="Century Gothic" w:eastAsia="MS PGothic" w:hAnsi="Century Gothic"/>
                <w:szCs w:val="22"/>
              </w:rPr>
              <w:t>Average cost per unit</w:t>
            </w:r>
            <w:r w:rsidR="70500D59" w:rsidRPr="00DA34C2">
              <w:rPr>
                <w:rFonts w:ascii="Century Gothic" w:eastAsia="MS PGothic" w:hAnsi="Century Gothic"/>
                <w:szCs w:val="22"/>
              </w:rPr>
              <w:t xml:space="preserve">: </w:t>
            </w:r>
            <w:r w:rsidRPr="00DA34C2">
              <w:rPr>
                <w:rFonts w:ascii="Century Gothic" w:eastAsia="MS PGothic" w:hAnsi="Century Gothic"/>
                <w:szCs w:val="22"/>
              </w:rPr>
              <w:t>$4</w:t>
            </w:r>
            <w:r w:rsidR="2AE37A06" w:rsidRPr="00DA34C2">
              <w:rPr>
                <w:rFonts w:ascii="Century Gothic" w:eastAsia="MS PGothic" w:hAnsi="Century Gothic"/>
                <w:szCs w:val="22"/>
              </w:rPr>
              <w:t>7.</w:t>
            </w:r>
            <w:r w:rsidR="5BA6D9F4" w:rsidRPr="00DA34C2">
              <w:rPr>
                <w:rFonts w:ascii="Century Gothic" w:eastAsia="MS PGothic" w:hAnsi="Century Gothic"/>
                <w:szCs w:val="22"/>
              </w:rPr>
              <w:t>50</w:t>
            </w:r>
          </w:p>
          <w:p w14:paraId="7DBF2944" w14:textId="77777777" w:rsidR="00EB7739" w:rsidRDefault="00EB7739" w:rsidP="4566E4F4">
            <w:pPr>
              <w:rPr>
                <w:rFonts w:ascii="Century Gothic" w:eastAsia="MS PGothic" w:hAnsi="Century Gothic"/>
                <w:szCs w:val="22"/>
              </w:rPr>
            </w:pPr>
          </w:p>
          <w:p w14:paraId="299F177B" w14:textId="77777777" w:rsidR="00EB7739" w:rsidRPr="00DA34C2" w:rsidRDefault="00EB7739" w:rsidP="00EB7739">
            <w:pPr>
              <w:rPr>
                <w:rFonts w:ascii="Century Gothic" w:hAnsi="Century Gothic"/>
              </w:rPr>
            </w:pPr>
            <w:r w:rsidRPr="00DA34C2">
              <w:rPr>
                <w:rFonts w:ascii="Century Gothic" w:hAnsi="Century Gothic"/>
              </w:rPr>
              <w:lastRenderedPageBreak/>
              <w:t xml:space="preserve">Refer to Appendix 10, Gas Utility Costs Per Unit Per Month. </w:t>
            </w:r>
          </w:p>
          <w:p w14:paraId="592E4543" w14:textId="4B11A37A" w:rsidR="00EB7739" w:rsidRPr="00DA34C2" w:rsidRDefault="00EB7739" w:rsidP="4566E4F4">
            <w:pPr>
              <w:rPr>
                <w:rFonts w:ascii="Century Gothic" w:eastAsia="MS PGothic" w:hAnsi="Century Gothic"/>
                <w:szCs w:val="22"/>
              </w:rPr>
            </w:pPr>
          </w:p>
        </w:tc>
        <w:tc>
          <w:tcPr>
            <w:tcW w:w="1350" w:type="dxa"/>
            <w:tcBorders>
              <w:top w:val="nil"/>
              <w:left w:val="single" w:sz="6" w:space="0" w:color="BFBFBF" w:themeColor="background1" w:themeShade="BF"/>
              <w:bottom w:val="single" w:sz="6" w:space="0" w:color="BFBFBF" w:themeColor="background1" w:themeShade="BF"/>
              <w:right w:val="nil"/>
            </w:tcBorders>
          </w:tcPr>
          <w:p w14:paraId="5F24036A" w14:textId="225A1D7B" w:rsidR="004717A8" w:rsidRPr="00DA34C2" w:rsidRDefault="067CB99C" w:rsidP="003266E1">
            <w:pPr>
              <w:rPr>
                <w:rFonts w:ascii="Century Gothic" w:hAnsi="Century Gothic"/>
              </w:rPr>
            </w:pPr>
            <w:r w:rsidRPr="00DA34C2">
              <w:rPr>
                <w:rFonts w:ascii="Century Gothic" w:hAnsi="Century Gothic"/>
              </w:rPr>
              <w:lastRenderedPageBreak/>
              <w:br/>
            </w:r>
            <w:r w:rsidR="1EB8FF6A" w:rsidRPr="00DA34C2">
              <w:rPr>
                <w:rFonts w:ascii="Century Gothic" w:hAnsi="Century Gothic"/>
              </w:rPr>
              <w:t>Yes</w:t>
            </w:r>
          </w:p>
        </w:tc>
      </w:tr>
    </w:tbl>
    <w:p w14:paraId="72FD3300" w14:textId="77777777" w:rsidR="00E16EB9" w:rsidRPr="00DA34C2" w:rsidRDefault="00E16EB9" w:rsidP="000A1B56">
      <w:pPr>
        <w:shd w:val="clear" w:color="auto" w:fill="FFFFFF"/>
        <w:spacing w:after="200"/>
        <w:rPr>
          <w:rFonts w:ascii="Century Gothic" w:hAnsi="Century Gothic"/>
          <w:szCs w:val="22"/>
        </w:rPr>
        <w:sectPr w:rsidR="00E16EB9" w:rsidRPr="00DA34C2" w:rsidSect="00213968">
          <w:pgSz w:w="12240" w:h="15840"/>
          <w:pgMar w:top="1152" w:right="1152" w:bottom="1152" w:left="1152" w:header="720" w:footer="720" w:gutter="0"/>
          <w:cols w:space="720"/>
          <w:titlePg/>
          <w:docGrid w:linePitch="360"/>
        </w:sectPr>
      </w:pPr>
    </w:p>
    <w:tbl>
      <w:tblPr>
        <w:tblW w:w="10592" w:type="dxa"/>
        <w:tblInd w:w="-450" w:type="dxa"/>
        <w:tblLayout w:type="fixed"/>
        <w:tblLook w:val="04A0" w:firstRow="1" w:lastRow="0" w:firstColumn="1" w:lastColumn="0" w:noHBand="0" w:noVBand="1"/>
      </w:tblPr>
      <w:tblGrid>
        <w:gridCol w:w="1199"/>
        <w:gridCol w:w="781"/>
        <w:gridCol w:w="630"/>
        <w:gridCol w:w="630"/>
        <w:gridCol w:w="720"/>
        <w:gridCol w:w="810"/>
        <w:gridCol w:w="630"/>
        <w:gridCol w:w="1170"/>
        <w:gridCol w:w="1260"/>
        <w:gridCol w:w="1350"/>
        <w:gridCol w:w="1412"/>
      </w:tblGrid>
      <w:tr w:rsidR="00A457E2" w:rsidRPr="00680A2A" w14:paraId="5FCA793D" w14:textId="77777777" w:rsidTr="11D512A4">
        <w:trPr>
          <w:trHeight w:val="405"/>
        </w:trPr>
        <w:tc>
          <w:tcPr>
            <w:tcW w:w="10592" w:type="dxa"/>
            <w:gridSpan w:val="11"/>
            <w:tcBorders>
              <w:top w:val="nil"/>
              <w:left w:val="nil"/>
              <w:bottom w:val="single" w:sz="24" w:space="0" w:color="C00000"/>
              <w:right w:val="single" w:sz="8" w:space="0" w:color="D9D9D9" w:themeColor="background1" w:themeShade="D9"/>
            </w:tcBorders>
            <w:shd w:val="clear" w:color="auto" w:fill="808080" w:themeFill="background1" w:themeFillShade="80"/>
            <w:vAlign w:val="center"/>
          </w:tcPr>
          <w:p w14:paraId="14496C3F" w14:textId="19747C50" w:rsidR="001779D8" w:rsidRPr="00DA34C2" w:rsidRDefault="29268F74" w:rsidP="090392C3">
            <w:pPr>
              <w:jc w:val="center"/>
              <w:rPr>
                <w:rFonts w:ascii="Century Gothic" w:eastAsia="Times New Roman" w:hAnsi="Century Gothic"/>
                <w:b/>
                <w:bCs/>
                <w:sz w:val="18"/>
                <w:szCs w:val="18"/>
                <w:lang w:eastAsia="en-US"/>
              </w:rPr>
            </w:pPr>
            <w:r w:rsidRPr="00DA34C2">
              <w:rPr>
                <w:rFonts w:ascii="Century Gothic" w:eastAsia="Times New Roman" w:hAnsi="Century Gothic"/>
                <w:b/>
                <w:bCs/>
                <w:sz w:val="18"/>
                <w:szCs w:val="18"/>
                <w:lang w:eastAsia="en-US"/>
              </w:rPr>
              <w:lastRenderedPageBreak/>
              <w:t>TOTAL DEVELOPME</w:t>
            </w:r>
            <w:r w:rsidR="04BBBA79" w:rsidRPr="00DA34C2">
              <w:rPr>
                <w:rFonts w:ascii="Century Gothic" w:eastAsia="Times New Roman" w:hAnsi="Century Gothic"/>
                <w:b/>
                <w:bCs/>
                <w:sz w:val="18"/>
                <w:szCs w:val="18"/>
                <w:lang w:eastAsia="en-US"/>
              </w:rPr>
              <w:t>NT COST BY DEVELOPMENT AND UNIT</w:t>
            </w:r>
          </w:p>
        </w:tc>
      </w:tr>
      <w:tr w:rsidR="0002478A" w:rsidRPr="00680A2A" w14:paraId="3930AAAD" w14:textId="77777777" w:rsidTr="00A610C2">
        <w:trPr>
          <w:trHeight w:val="816"/>
        </w:trPr>
        <w:tc>
          <w:tcPr>
            <w:tcW w:w="1199"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5D12B239" w14:textId="77777777" w:rsidR="00BE1F38" w:rsidRPr="00DA34C2" w:rsidRDefault="00BE1F38" w:rsidP="00BE1F38">
            <w:pPr>
              <w:rPr>
                <w:rFonts w:ascii="Century Gothic" w:eastAsia="Times New Roman" w:hAnsi="Century Gothic"/>
                <w:sz w:val="18"/>
                <w:szCs w:val="18"/>
                <w:lang w:eastAsia="en-US"/>
              </w:rPr>
            </w:pPr>
          </w:p>
          <w:p w14:paraId="38836A1B" w14:textId="77777777" w:rsidR="00BE1F38" w:rsidRPr="00DA34C2" w:rsidRDefault="00BE1F38" w:rsidP="00BE1F38">
            <w:pPr>
              <w:rPr>
                <w:rFonts w:ascii="Century Gothic" w:eastAsia="Times New Roman" w:hAnsi="Century Gothic"/>
                <w:sz w:val="18"/>
                <w:szCs w:val="18"/>
                <w:lang w:eastAsia="en-US"/>
              </w:rPr>
            </w:pPr>
          </w:p>
          <w:p w14:paraId="6B97A9E8" w14:textId="77777777" w:rsidR="00BE1F38" w:rsidRPr="00DA34C2" w:rsidRDefault="00BE1F38" w:rsidP="00BE1F38">
            <w:pPr>
              <w:rPr>
                <w:rFonts w:ascii="Century Gothic" w:eastAsia="Times New Roman" w:hAnsi="Century Gothic"/>
                <w:sz w:val="18"/>
                <w:szCs w:val="18"/>
                <w:lang w:eastAsia="en-US"/>
              </w:rPr>
            </w:pPr>
          </w:p>
          <w:p w14:paraId="19DD9DA5" w14:textId="77777777" w:rsidR="00BE1F38" w:rsidRPr="00DA34C2" w:rsidRDefault="00BE1F38" w:rsidP="00BE1F38">
            <w:pPr>
              <w:rPr>
                <w:rFonts w:ascii="Century Gothic" w:eastAsia="Times New Roman" w:hAnsi="Century Gothic"/>
                <w:sz w:val="18"/>
                <w:szCs w:val="18"/>
                <w:lang w:eastAsia="en-US"/>
              </w:rPr>
            </w:pPr>
          </w:p>
          <w:p w14:paraId="5296CBD3" w14:textId="2D7F6DDF" w:rsidR="00BE1F38" w:rsidRPr="00DA34C2" w:rsidRDefault="00BE1F38" w:rsidP="00BE1F38">
            <w:pP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Developm</w:t>
            </w:r>
            <w:r w:rsidR="001B09F8" w:rsidRPr="00DA34C2">
              <w:rPr>
                <w:rFonts w:ascii="Century Gothic" w:eastAsia="Times New Roman" w:hAnsi="Century Gothic"/>
                <w:sz w:val="18"/>
                <w:szCs w:val="18"/>
                <w:lang w:eastAsia="en-US"/>
              </w:rPr>
              <w:t>e</w:t>
            </w:r>
            <w:r w:rsidRPr="00DA34C2">
              <w:rPr>
                <w:rFonts w:ascii="Century Gothic" w:eastAsia="Times New Roman" w:hAnsi="Century Gothic"/>
                <w:sz w:val="18"/>
                <w:szCs w:val="18"/>
                <w:lang w:eastAsia="en-US"/>
              </w:rPr>
              <w:t xml:space="preserve">nt </w:t>
            </w:r>
          </w:p>
          <w:p w14:paraId="08E809D6" w14:textId="314C2E3E" w:rsidR="00BE1F38" w:rsidRPr="00DA34C2" w:rsidRDefault="00BE1F38" w:rsidP="00BE1F38">
            <w:pP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Name</w:t>
            </w:r>
          </w:p>
        </w:tc>
        <w:tc>
          <w:tcPr>
            <w:tcW w:w="781"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vAlign w:val="bottom"/>
          </w:tcPr>
          <w:p w14:paraId="48CDFC6E" w14:textId="2495DDC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Year</w:t>
            </w:r>
            <w:r w:rsidR="00301E00" w:rsidRPr="00DA34C2">
              <w:rPr>
                <w:rFonts w:ascii="Century Gothic" w:eastAsia="Times New Roman" w:hAnsi="Century Gothic"/>
                <w:sz w:val="18"/>
                <w:szCs w:val="18"/>
                <w:lang w:eastAsia="en-US"/>
              </w:rPr>
              <w:t xml:space="preserve"> </w:t>
            </w:r>
            <w:r w:rsidRPr="00DA34C2">
              <w:rPr>
                <w:rFonts w:ascii="Century Gothic" w:eastAsia="Times New Roman" w:hAnsi="Century Gothic"/>
                <w:sz w:val="18"/>
                <w:szCs w:val="18"/>
                <w:lang w:eastAsia="en-US"/>
              </w:rPr>
              <w:t>Converted</w:t>
            </w:r>
          </w:p>
        </w:tc>
        <w:tc>
          <w:tcPr>
            <w:tcW w:w="630"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53186158" w14:textId="77777777" w:rsidR="00BE1F38" w:rsidRPr="00DA34C2" w:rsidRDefault="00BE1F38" w:rsidP="00BE1F38">
            <w:pPr>
              <w:jc w:val="center"/>
              <w:rPr>
                <w:rFonts w:ascii="Century Gothic" w:eastAsia="Times New Roman" w:hAnsi="Century Gothic"/>
                <w:sz w:val="18"/>
                <w:szCs w:val="18"/>
                <w:lang w:eastAsia="en-US"/>
              </w:rPr>
            </w:pPr>
          </w:p>
          <w:p w14:paraId="6DEEE269" w14:textId="77777777" w:rsidR="00BE1F38" w:rsidRPr="00DA34C2" w:rsidRDefault="00BE1F38" w:rsidP="00BE1F38">
            <w:pPr>
              <w:jc w:val="center"/>
              <w:rPr>
                <w:rFonts w:ascii="Century Gothic" w:eastAsia="Times New Roman" w:hAnsi="Century Gothic"/>
                <w:sz w:val="18"/>
                <w:szCs w:val="18"/>
                <w:lang w:eastAsia="en-US"/>
              </w:rPr>
            </w:pPr>
          </w:p>
          <w:p w14:paraId="038E4980" w14:textId="77777777" w:rsidR="00BE1F38" w:rsidRPr="00DA34C2" w:rsidRDefault="00BE1F38" w:rsidP="00BE1F38">
            <w:pPr>
              <w:jc w:val="center"/>
              <w:rPr>
                <w:rFonts w:ascii="Century Gothic" w:eastAsia="Times New Roman" w:hAnsi="Century Gothic"/>
                <w:sz w:val="18"/>
                <w:szCs w:val="18"/>
                <w:lang w:eastAsia="en-US"/>
              </w:rPr>
            </w:pPr>
          </w:p>
          <w:p w14:paraId="7E25895B" w14:textId="77777777" w:rsidR="00BE1F38" w:rsidRPr="00DA34C2" w:rsidRDefault="00BE1F38" w:rsidP="00BE1F38">
            <w:pPr>
              <w:jc w:val="center"/>
              <w:rPr>
                <w:rFonts w:ascii="Century Gothic" w:eastAsia="Times New Roman" w:hAnsi="Century Gothic"/>
                <w:sz w:val="18"/>
                <w:szCs w:val="18"/>
                <w:lang w:eastAsia="en-US"/>
              </w:rPr>
            </w:pPr>
          </w:p>
          <w:p w14:paraId="2159EFD0" w14:textId="04A662B6"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LIPH Units</w:t>
            </w:r>
          </w:p>
        </w:tc>
        <w:tc>
          <w:tcPr>
            <w:tcW w:w="630"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2A405F2D" w14:textId="77777777" w:rsidR="00BE1F38" w:rsidRPr="00DA34C2" w:rsidRDefault="00BE1F38" w:rsidP="00BE1F38">
            <w:pPr>
              <w:jc w:val="center"/>
              <w:rPr>
                <w:rFonts w:ascii="Century Gothic" w:eastAsia="Times New Roman" w:hAnsi="Century Gothic"/>
                <w:sz w:val="18"/>
                <w:szCs w:val="18"/>
                <w:lang w:eastAsia="en-US"/>
              </w:rPr>
            </w:pPr>
          </w:p>
          <w:p w14:paraId="682BAEC3" w14:textId="77777777" w:rsidR="00BE1F38" w:rsidRPr="00DA34C2" w:rsidRDefault="00BE1F38" w:rsidP="00BE1F38">
            <w:pPr>
              <w:jc w:val="center"/>
              <w:rPr>
                <w:rFonts w:ascii="Century Gothic" w:eastAsia="Times New Roman" w:hAnsi="Century Gothic"/>
                <w:sz w:val="18"/>
                <w:szCs w:val="18"/>
                <w:lang w:eastAsia="en-US"/>
              </w:rPr>
            </w:pPr>
          </w:p>
          <w:p w14:paraId="15FC6B72" w14:textId="77777777" w:rsidR="00BE1F38" w:rsidRPr="00DA34C2" w:rsidRDefault="00BE1F38" w:rsidP="00BE1F38">
            <w:pPr>
              <w:jc w:val="center"/>
              <w:rPr>
                <w:rFonts w:ascii="Century Gothic" w:eastAsia="Times New Roman" w:hAnsi="Century Gothic"/>
                <w:sz w:val="18"/>
                <w:szCs w:val="18"/>
                <w:lang w:eastAsia="en-US"/>
              </w:rPr>
            </w:pPr>
          </w:p>
          <w:p w14:paraId="567A897F" w14:textId="77777777" w:rsidR="00BE1F38" w:rsidRPr="00DA34C2" w:rsidRDefault="00BE1F38" w:rsidP="00BE1F38">
            <w:pPr>
              <w:jc w:val="center"/>
              <w:rPr>
                <w:rFonts w:ascii="Century Gothic" w:eastAsia="Times New Roman" w:hAnsi="Century Gothic"/>
                <w:sz w:val="18"/>
                <w:szCs w:val="18"/>
                <w:lang w:eastAsia="en-US"/>
              </w:rPr>
            </w:pPr>
          </w:p>
          <w:p w14:paraId="1251CEF7" w14:textId="0FB2B94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PBV Units</w:t>
            </w:r>
          </w:p>
        </w:tc>
        <w:tc>
          <w:tcPr>
            <w:tcW w:w="720"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419C0545" w14:textId="77777777" w:rsidR="00BE1F38" w:rsidRPr="00DA34C2" w:rsidRDefault="00BE1F38" w:rsidP="00BE1F38">
            <w:pPr>
              <w:jc w:val="center"/>
              <w:rPr>
                <w:rFonts w:ascii="Century Gothic" w:eastAsia="Times New Roman" w:hAnsi="Century Gothic"/>
                <w:sz w:val="18"/>
                <w:szCs w:val="18"/>
                <w:lang w:eastAsia="en-US"/>
              </w:rPr>
            </w:pPr>
          </w:p>
          <w:p w14:paraId="677D8962" w14:textId="1982FBEA"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br/>
              <w:t>Total # of Assisted Units</w:t>
            </w:r>
          </w:p>
        </w:tc>
        <w:tc>
          <w:tcPr>
            <w:tcW w:w="810"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0236AB8D" w14:textId="77777777" w:rsidR="00BE1F38" w:rsidRPr="00DA34C2" w:rsidRDefault="00BE1F38" w:rsidP="00BE1F38">
            <w:pPr>
              <w:jc w:val="center"/>
              <w:rPr>
                <w:rFonts w:ascii="Century Gothic" w:eastAsia="Times New Roman" w:hAnsi="Century Gothic"/>
                <w:sz w:val="18"/>
                <w:szCs w:val="18"/>
                <w:lang w:eastAsia="en-US"/>
              </w:rPr>
            </w:pPr>
          </w:p>
          <w:p w14:paraId="27AAE782" w14:textId="77777777" w:rsidR="00BE1F38" w:rsidRPr="00DA34C2" w:rsidRDefault="00BE1F38" w:rsidP="00BE1F38">
            <w:pPr>
              <w:jc w:val="center"/>
              <w:rPr>
                <w:rFonts w:ascii="Century Gothic" w:eastAsia="Times New Roman" w:hAnsi="Century Gothic"/>
                <w:sz w:val="18"/>
                <w:szCs w:val="18"/>
                <w:lang w:eastAsia="en-US"/>
              </w:rPr>
            </w:pPr>
          </w:p>
          <w:p w14:paraId="560C6285" w14:textId="065FE398"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 of Market Rate Units</w:t>
            </w:r>
          </w:p>
        </w:tc>
        <w:tc>
          <w:tcPr>
            <w:tcW w:w="630" w:type="dxa"/>
            <w:tcBorders>
              <w:top w:val="single" w:sz="24" w:space="0" w:color="C00000"/>
              <w:left w:val="nil"/>
              <w:bottom w:val="single" w:sz="8" w:space="0" w:color="D9D9D9" w:themeColor="background1" w:themeShade="D9"/>
              <w:right w:val="nil"/>
            </w:tcBorders>
            <w:shd w:val="clear" w:color="auto" w:fill="BFBFBF" w:themeFill="background1" w:themeFillShade="BF"/>
            <w:noWrap/>
            <w:vAlign w:val="center"/>
          </w:tcPr>
          <w:p w14:paraId="1E811A07" w14:textId="77777777" w:rsidR="00BE1F38" w:rsidRPr="00DA34C2" w:rsidRDefault="00BE1F38" w:rsidP="00BE1F38">
            <w:pPr>
              <w:jc w:val="center"/>
              <w:rPr>
                <w:rFonts w:ascii="Century Gothic" w:eastAsia="Times New Roman" w:hAnsi="Century Gothic"/>
                <w:sz w:val="18"/>
                <w:szCs w:val="18"/>
                <w:lang w:eastAsia="en-US"/>
              </w:rPr>
            </w:pPr>
          </w:p>
          <w:p w14:paraId="2796A7E4" w14:textId="77777777" w:rsidR="00BE1F38" w:rsidRPr="00DA34C2" w:rsidRDefault="00BE1F38" w:rsidP="00BE1F38">
            <w:pPr>
              <w:jc w:val="center"/>
              <w:rPr>
                <w:rFonts w:ascii="Century Gothic" w:eastAsia="Times New Roman" w:hAnsi="Century Gothic"/>
                <w:sz w:val="18"/>
                <w:szCs w:val="18"/>
                <w:lang w:eastAsia="en-US"/>
              </w:rPr>
            </w:pPr>
          </w:p>
          <w:p w14:paraId="58621E9A" w14:textId="77777777" w:rsidR="00BE1F38" w:rsidRPr="00DA34C2" w:rsidRDefault="00BE1F38" w:rsidP="00BE1F38">
            <w:pPr>
              <w:jc w:val="center"/>
              <w:rPr>
                <w:rFonts w:ascii="Century Gothic" w:eastAsia="Times New Roman" w:hAnsi="Century Gothic"/>
                <w:sz w:val="18"/>
                <w:szCs w:val="18"/>
                <w:lang w:eastAsia="en-US"/>
              </w:rPr>
            </w:pPr>
          </w:p>
          <w:p w14:paraId="342C7410" w14:textId="59B38E2C"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Total # of Units</w:t>
            </w:r>
          </w:p>
        </w:tc>
        <w:tc>
          <w:tcPr>
            <w:tcW w:w="1170" w:type="dxa"/>
            <w:tcBorders>
              <w:top w:val="single" w:sz="24" w:space="0" w:color="C00000"/>
              <w:left w:val="single" w:sz="8" w:space="0" w:color="D9D9D9" w:themeColor="background1" w:themeShade="D9"/>
              <w:bottom w:val="single" w:sz="8" w:space="0" w:color="D9D9D9" w:themeColor="background1" w:themeShade="D9"/>
              <w:right w:val="nil"/>
            </w:tcBorders>
            <w:shd w:val="clear" w:color="auto" w:fill="BFBFBF" w:themeFill="background1" w:themeFillShade="BF"/>
            <w:vAlign w:val="center"/>
          </w:tcPr>
          <w:p w14:paraId="039E374F" w14:textId="77777777" w:rsidR="00BE1F38" w:rsidRPr="00DA34C2" w:rsidRDefault="00BE1F38" w:rsidP="00BE1F38">
            <w:pPr>
              <w:jc w:val="center"/>
              <w:rPr>
                <w:rFonts w:ascii="Century Gothic" w:eastAsia="Times New Roman" w:hAnsi="Century Gothic"/>
                <w:sz w:val="18"/>
                <w:szCs w:val="18"/>
                <w:lang w:eastAsia="en-US"/>
              </w:rPr>
            </w:pPr>
          </w:p>
          <w:p w14:paraId="44625722" w14:textId="77777777" w:rsidR="00BE1F38" w:rsidRPr="00DA34C2" w:rsidRDefault="00BE1F38" w:rsidP="00BE1F38">
            <w:pPr>
              <w:jc w:val="center"/>
              <w:rPr>
                <w:rFonts w:ascii="Century Gothic" w:eastAsia="Times New Roman" w:hAnsi="Century Gothic"/>
                <w:sz w:val="18"/>
                <w:szCs w:val="18"/>
                <w:lang w:eastAsia="en-US"/>
              </w:rPr>
            </w:pPr>
          </w:p>
          <w:p w14:paraId="51046ACE" w14:textId="77777777" w:rsidR="00BE1F38" w:rsidRPr="00DA34C2" w:rsidRDefault="00BE1F38" w:rsidP="00BE1F38">
            <w:pPr>
              <w:jc w:val="center"/>
              <w:rPr>
                <w:rFonts w:ascii="Century Gothic" w:eastAsia="Times New Roman" w:hAnsi="Century Gothic"/>
                <w:sz w:val="18"/>
                <w:szCs w:val="18"/>
                <w:lang w:eastAsia="en-US"/>
              </w:rPr>
            </w:pPr>
          </w:p>
          <w:p w14:paraId="6DF79AA9" w14:textId="77777777" w:rsidR="00BE1F38" w:rsidRPr="00DA34C2" w:rsidRDefault="00BE1F38" w:rsidP="00BE1F38">
            <w:pPr>
              <w:jc w:val="center"/>
              <w:rPr>
                <w:rFonts w:ascii="Century Gothic" w:eastAsia="Times New Roman" w:hAnsi="Century Gothic"/>
                <w:sz w:val="18"/>
                <w:szCs w:val="18"/>
                <w:lang w:eastAsia="en-US"/>
              </w:rPr>
            </w:pPr>
          </w:p>
          <w:p w14:paraId="286D6B4C" w14:textId="2D9A698E"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 xml:space="preserve">HUD </w:t>
            </w:r>
            <w:r w:rsidR="00E27A6F" w:rsidRPr="00DA34C2">
              <w:rPr>
                <w:rFonts w:ascii="Century Gothic" w:eastAsia="Times New Roman" w:hAnsi="Century Gothic"/>
                <w:sz w:val="18"/>
                <w:szCs w:val="18"/>
                <w:lang w:eastAsia="en-US"/>
              </w:rPr>
              <w:t>TDC (</w:t>
            </w:r>
            <w:r w:rsidRPr="00DA34C2">
              <w:rPr>
                <w:rFonts w:ascii="Century Gothic" w:eastAsia="Times New Roman" w:hAnsi="Century Gothic"/>
                <w:sz w:val="18"/>
                <w:szCs w:val="18"/>
                <w:lang w:eastAsia="en-US"/>
              </w:rPr>
              <w:t>2013) ~</w:t>
            </w:r>
          </w:p>
        </w:tc>
        <w:tc>
          <w:tcPr>
            <w:tcW w:w="1260" w:type="dxa"/>
            <w:tcBorders>
              <w:top w:val="single" w:sz="24" w:space="0" w:color="C00000"/>
              <w:left w:val="single" w:sz="8" w:space="0" w:color="D9D9D9" w:themeColor="background1" w:themeShade="D9"/>
              <w:bottom w:val="single" w:sz="8" w:space="0" w:color="D9D9D9" w:themeColor="background1" w:themeShade="D9"/>
              <w:right w:val="nil"/>
            </w:tcBorders>
            <w:shd w:val="clear" w:color="auto" w:fill="BFBFBF" w:themeFill="background1" w:themeFillShade="BF"/>
            <w:vAlign w:val="center"/>
          </w:tcPr>
          <w:p w14:paraId="31877B66" w14:textId="77777777" w:rsidR="00BE1F38" w:rsidRPr="00DA34C2" w:rsidRDefault="00BE1F38" w:rsidP="00BE1F38">
            <w:pPr>
              <w:jc w:val="center"/>
              <w:rPr>
                <w:rFonts w:ascii="Century Gothic" w:eastAsia="Times New Roman" w:hAnsi="Century Gothic"/>
                <w:sz w:val="18"/>
                <w:szCs w:val="18"/>
                <w:lang w:eastAsia="en-US"/>
              </w:rPr>
            </w:pPr>
          </w:p>
          <w:p w14:paraId="4CA85222" w14:textId="77777777" w:rsidR="00BE1F38" w:rsidRPr="00DA34C2" w:rsidRDefault="00BE1F38" w:rsidP="00BE1F38">
            <w:pPr>
              <w:jc w:val="center"/>
              <w:rPr>
                <w:rFonts w:ascii="Century Gothic" w:eastAsia="Times New Roman" w:hAnsi="Century Gothic"/>
                <w:sz w:val="18"/>
                <w:szCs w:val="18"/>
                <w:lang w:eastAsia="en-US"/>
              </w:rPr>
            </w:pPr>
          </w:p>
          <w:p w14:paraId="3FD53757" w14:textId="77777777" w:rsidR="00BE1F38" w:rsidRPr="00DA34C2" w:rsidRDefault="00BE1F38" w:rsidP="00BE1F38">
            <w:pPr>
              <w:jc w:val="center"/>
              <w:rPr>
                <w:rFonts w:ascii="Century Gothic" w:eastAsia="Times New Roman" w:hAnsi="Century Gothic"/>
                <w:sz w:val="18"/>
                <w:szCs w:val="18"/>
                <w:lang w:eastAsia="en-US"/>
              </w:rPr>
            </w:pPr>
          </w:p>
          <w:p w14:paraId="08BA0227" w14:textId="7063CDA5"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ECC HANH TDC ~</w:t>
            </w:r>
          </w:p>
        </w:tc>
        <w:tc>
          <w:tcPr>
            <w:tcW w:w="1350" w:type="dxa"/>
            <w:tcBorders>
              <w:top w:val="single" w:sz="24" w:space="0" w:color="C00000"/>
              <w:left w:val="single" w:sz="8" w:space="0" w:color="D9D9D9" w:themeColor="background1" w:themeShade="D9"/>
              <w:bottom w:val="single" w:sz="8" w:space="0" w:color="D9D9D9" w:themeColor="background1" w:themeShade="D9"/>
              <w:right w:val="nil"/>
            </w:tcBorders>
            <w:shd w:val="clear" w:color="auto" w:fill="BFBFBF" w:themeFill="background1" w:themeFillShade="BF"/>
            <w:vAlign w:val="center"/>
          </w:tcPr>
          <w:p w14:paraId="5C010FAC" w14:textId="77777777" w:rsidR="00BE1F38" w:rsidRPr="00DA34C2" w:rsidRDefault="00BE1F38" w:rsidP="00BE1F38">
            <w:pPr>
              <w:jc w:val="center"/>
              <w:rPr>
                <w:rFonts w:ascii="Century Gothic" w:eastAsia="Times New Roman" w:hAnsi="Century Gothic"/>
                <w:sz w:val="18"/>
                <w:szCs w:val="18"/>
                <w:lang w:eastAsia="en-US"/>
              </w:rPr>
            </w:pPr>
          </w:p>
          <w:p w14:paraId="6A981F83" w14:textId="77777777" w:rsidR="00BE1F38" w:rsidRPr="00DA34C2" w:rsidRDefault="00BE1F38" w:rsidP="00BE1F38">
            <w:pPr>
              <w:jc w:val="center"/>
              <w:rPr>
                <w:rFonts w:ascii="Century Gothic" w:eastAsia="Times New Roman" w:hAnsi="Century Gothic"/>
                <w:sz w:val="18"/>
                <w:szCs w:val="18"/>
                <w:lang w:eastAsia="en-US"/>
              </w:rPr>
            </w:pPr>
          </w:p>
          <w:p w14:paraId="6AF502D1" w14:textId="77777777" w:rsidR="00BE1F38" w:rsidRPr="00DA34C2" w:rsidRDefault="00BE1F38" w:rsidP="00BE1F38">
            <w:pPr>
              <w:jc w:val="center"/>
              <w:rPr>
                <w:rFonts w:ascii="Century Gothic" w:eastAsia="Times New Roman" w:hAnsi="Century Gothic"/>
                <w:sz w:val="18"/>
                <w:szCs w:val="18"/>
                <w:lang w:eastAsia="en-US"/>
              </w:rPr>
            </w:pPr>
          </w:p>
          <w:p w14:paraId="69529E2E" w14:textId="77777777" w:rsidR="00BE1F38" w:rsidRPr="00DA34C2" w:rsidRDefault="00BE1F38" w:rsidP="00BE1F38">
            <w:pPr>
              <w:jc w:val="center"/>
              <w:rPr>
                <w:rFonts w:ascii="Century Gothic" w:eastAsia="Times New Roman" w:hAnsi="Century Gothic"/>
                <w:sz w:val="18"/>
                <w:szCs w:val="18"/>
                <w:lang w:eastAsia="en-US"/>
              </w:rPr>
            </w:pPr>
          </w:p>
          <w:p w14:paraId="77166C91" w14:textId="77777777" w:rsidR="00BE1F38" w:rsidRPr="00DA34C2" w:rsidRDefault="00BE1F38" w:rsidP="00BE1F38">
            <w:pPr>
              <w:jc w:val="center"/>
              <w:rPr>
                <w:rFonts w:ascii="Century Gothic" w:eastAsia="Times New Roman" w:hAnsi="Century Gothic"/>
                <w:sz w:val="18"/>
                <w:szCs w:val="18"/>
                <w:lang w:eastAsia="en-US"/>
              </w:rPr>
            </w:pPr>
          </w:p>
          <w:p w14:paraId="62F146D7" w14:textId="218B4658"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TDC</w:t>
            </w:r>
          </w:p>
        </w:tc>
        <w:tc>
          <w:tcPr>
            <w:tcW w:w="1412" w:type="dxa"/>
            <w:tcBorders>
              <w:top w:val="single" w:sz="24" w:space="0" w:color="C00000"/>
              <w:left w:val="single" w:sz="8" w:space="0" w:color="D9D9D9" w:themeColor="background1" w:themeShade="D9"/>
              <w:bottom w:val="single" w:sz="8" w:space="0" w:color="D9D9D9" w:themeColor="background1" w:themeShade="D9"/>
              <w:right w:val="nil"/>
            </w:tcBorders>
            <w:shd w:val="clear" w:color="auto" w:fill="BFBFBF" w:themeFill="background1" w:themeFillShade="BF"/>
            <w:vAlign w:val="center"/>
          </w:tcPr>
          <w:p w14:paraId="3E1B65CD" w14:textId="77777777" w:rsidR="00BE1F38" w:rsidRPr="00DA34C2" w:rsidRDefault="00BE1F38" w:rsidP="00BE1F38">
            <w:pPr>
              <w:jc w:val="center"/>
              <w:rPr>
                <w:rFonts w:ascii="Century Gothic" w:eastAsia="Times New Roman" w:hAnsi="Century Gothic"/>
                <w:sz w:val="18"/>
                <w:szCs w:val="18"/>
                <w:lang w:eastAsia="en-US"/>
              </w:rPr>
            </w:pPr>
          </w:p>
          <w:p w14:paraId="4B023658" w14:textId="77777777" w:rsidR="00BE1F38" w:rsidRPr="00DA34C2" w:rsidRDefault="00BE1F38" w:rsidP="00BE1F38">
            <w:pPr>
              <w:jc w:val="center"/>
              <w:rPr>
                <w:rFonts w:ascii="Century Gothic" w:eastAsia="Times New Roman" w:hAnsi="Century Gothic"/>
                <w:sz w:val="18"/>
                <w:szCs w:val="18"/>
                <w:lang w:eastAsia="en-US"/>
              </w:rPr>
            </w:pPr>
          </w:p>
          <w:p w14:paraId="49501B95" w14:textId="77777777" w:rsidR="00BE1F38" w:rsidRPr="00DA34C2" w:rsidRDefault="00BE1F38" w:rsidP="00BE1F38">
            <w:pPr>
              <w:rPr>
                <w:rFonts w:ascii="Century Gothic" w:eastAsia="Times New Roman" w:hAnsi="Century Gothic"/>
                <w:sz w:val="18"/>
                <w:szCs w:val="18"/>
                <w:lang w:eastAsia="en-US"/>
              </w:rPr>
            </w:pPr>
          </w:p>
          <w:p w14:paraId="7CB1C72B" w14:textId="77777777" w:rsidR="00BE1F38" w:rsidRPr="00DA34C2" w:rsidRDefault="00BE1F38" w:rsidP="00BE1F38">
            <w:pPr>
              <w:rPr>
                <w:rFonts w:ascii="Century Gothic" w:eastAsia="Times New Roman" w:hAnsi="Century Gothic"/>
                <w:sz w:val="18"/>
                <w:szCs w:val="18"/>
                <w:lang w:eastAsia="en-US"/>
              </w:rPr>
            </w:pPr>
          </w:p>
          <w:p w14:paraId="5D379A8B" w14:textId="7B8C1D61" w:rsidR="00BE1F38" w:rsidRPr="00DA34C2" w:rsidRDefault="00BE1F38" w:rsidP="00BE1F38">
            <w:pP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 xml:space="preserve"> TDC Per Unit</w:t>
            </w:r>
          </w:p>
        </w:tc>
      </w:tr>
      <w:tr w:rsidR="0002478A" w:rsidRPr="00680A2A" w14:paraId="27B7E45A" w14:textId="77777777" w:rsidTr="00A610C2">
        <w:trPr>
          <w:trHeight w:val="330"/>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17E0E3BE" w14:textId="77777777" w:rsidR="00BE1F38" w:rsidRPr="00DA34C2" w:rsidRDefault="00BE1F38" w:rsidP="00BE1F38">
            <w:pP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Eastview Terrace Phase 1</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298DBC14" w14:textId="7777777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2009</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3D750CC1" w14:textId="7777777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53</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4E771883" w14:textId="7777777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49</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49F42F9B" w14:textId="7777777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102</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37D33B3B" w14:textId="7777777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nil"/>
            </w:tcBorders>
            <w:noWrap/>
            <w:vAlign w:val="center"/>
            <w:hideMark/>
          </w:tcPr>
          <w:p w14:paraId="3D940BD1" w14:textId="7777777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102</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73963268" w14:textId="7777777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$259,210</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6418A5AF" w14:textId="7777777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$351,621</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2099059D" w14:textId="77777777" w:rsidR="00BE1F38" w:rsidRPr="00DA34C2" w:rsidRDefault="00BE1F38" w:rsidP="001B09F8">
            <w:pPr>
              <w:jc w:val="both"/>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$32,289,891</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2979261D" w14:textId="77777777" w:rsidR="00BE1F38" w:rsidRPr="00DA34C2" w:rsidRDefault="00BE1F38" w:rsidP="00BE1F38">
            <w:pPr>
              <w:jc w:val="center"/>
              <w:rPr>
                <w:rFonts w:ascii="Century Gothic" w:eastAsia="Times New Roman" w:hAnsi="Century Gothic"/>
                <w:sz w:val="18"/>
                <w:szCs w:val="18"/>
                <w:lang w:eastAsia="en-US"/>
              </w:rPr>
            </w:pPr>
            <w:r w:rsidRPr="00DA34C2">
              <w:rPr>
                <w:rFonts w:ascii="Century Gothic" w:eastAsia="Times New Roman" w:hAnsi="Century Gothic"/>
                <w:sz w:val="18"/>
                <w:szCs w:val="18"/>
                <w:lang w:eastAsia="en-US"/>
              </w:rPr>
              <w:t>$316,567.56</w:t>
            </w:r>
          </w:p>
        </w:tc>
      </w:tr>
      <w:tr w:rsidR="0002478A" w:rsidRPr="00680A2A" w14:paraId="015AB019"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54C024EA" w14:textId="77777777" w:rsidR="00BE1F38" w:rsidRPr="005E5317" w:rsidRDefault="00BE1F38" w:rsidP="00BE1F38">
            <w:pP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Quinnipiac Terrace 3</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6A550523"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2010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5AB311A4"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17</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22B89912"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16</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1ED50EE0"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33</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6EA857DA"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nil"/>
            </w:tcBorders>
            <w:noWrap/>
            <w:vAlign w:val="center"/>
            <w:hideMark/>
          </w:tcPr>
          <w:p w14:paraId="4B3F340A"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33</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52BC488F"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$259,210</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1C38897E"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$351,621</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3FFF5DB2"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$9,384,480</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42BA54F9"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$284,378.18</w:t>
            </w:r>
          </w:p>
        </w:tc>
      </w:tr>
      <w:tr w:rsidR="0002478A" w:rsidRPr="00680A2A" w14:paraId="010EF9E5"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0F22682E" w14:textId="77777777" w:rsidR="00BE1F38" w:rsidRPr="005E5317" w:rsidRDefault="00BE1F38" w:rsidP="00BE1F38">
            <w:pP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William T. Rowe</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36036FEC"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2010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3CE99374"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46</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67CA9BB6"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32</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62C47566"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78</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25D8B38E"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26</w:t>
            </w:r>
          </w:p>
        </w:tc>
        <w:tc>
          <w:tcPr>
            <w:tcW w:w="630" w:type="dxa"/>
            <w:tcBorders>
              <w:top w:val="nil"/>
              <w:left w:val="nil"/>
              <w:bottom w:val="single" w:sz="8" w:space="0" w:color="D9D9D9" w:themeColor="background1" w:themeShade="D9"/>
              <w:right w:val="nil"/>
            </w:tcBorders>
            <w:noWrap/>
            <w:vAlign w:val="center"/>
            <w:hideMark/>
          </w:tcPr>
          <w:p w14:paraId="056D1ED7"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104</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4644BFD3"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$313,133</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567FD173"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$428,328</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009313C7"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$24,987,375</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256A7B75" w14:textId="77777777" w:rsidR="00BE1F38" w:rsidRPr="005E5317" w:rsidRDefault="00BE1F38" w:rsidP="00BE1F38">
            <w:pPr>
              <w:jc w:val="center"/>
              <w:rPr>
                <w:rFonts w:ascii="Century Gothic" w:eastAsia="Times New Roman" w:hAnsi="Century Gothic"/>
                <w:sz w:val="18"/>
                <w:szCs w:val="18"/>
                <w:lang w:eastAsia="en-US"/>
              </w:rPr>
            </w:pPr>
            <w:r w:rsidRPr="005E5317">
              <w:rPr>
                <w:rFonts w:ascii="Century Gothic" w:eastAsia="Times New Roman" w:hAnsi="Century Gothic"/>
                <w:sz w:val="18"/>
                <w:szCs w:val="18"/>
                <w:lang w:eastAsia="en-US"/>
              </w:rPr>
              <w:t>$240,263.22</w:t>
            </w:r>
          </w:p>
        </w:tc>
      </w:tr>
      <w:tr w:rsidR="0002478A" w:rsidRPr="00680A2A" w14:paraId="3820DA75"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3695829F" w14:textId="77777777" w:rsidR="00BE1F38" w:rsidRPr="0002478A" w:rsidRDefault="00BE1F38" w:rsidP="00BE1F38">
            <w:pP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Brookside Phase I</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20C0E758"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2011</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2377CC93"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45EFE05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50</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1E7D771E"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100</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4E4F7EC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nil"/>
            </w:tcBorders>
            <w:noWrap/>
            <w:vAlign w:val="center"/>
            <w:hideMark/>
          </w:tcPr>
          <w:p w14:paraId="5ABEAF8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100</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606143E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$259,210</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0E760D85"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$351,621</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61F167AE"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$30,198,639</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0523592E"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$301,986.39</w:t>
            </w:r>
          </w:p>
        </w:tc>
      </w:tr>
      <w:tr w:rsidR="0002478A" w:rsidRPr="00680A2A" w14:paraId="2A7863A4"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5F697C70" w14:textId="77777777" w:rsidR="00BE1F38" w:rsidRPr="0002478A" w:rsidRDefault="00BE1F38" w:rsidP="00BE1F38">
            <w:pP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Brookside Phase II</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6CD7CEE5"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2012</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2E290AD9"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7791F0C8"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51</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34CF3393"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101</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0BFA5F41"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nil"/>
            </w:tcBorders>
            <w:noWrap/>
            <w:vAlign w:val="center"/>
            <w:hideMark/>
          </w:tcPr>
          <w:p w14:paraId="1F24F3B7"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101</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67A688AC"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$259,210</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7AD61C7A"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$351,621</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030F670A"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$20,014,054</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00F0A1B6"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$198,158.95</w:t>
            </w:r>
          </w:p>
        </w:tc>
      </w:tr>
      <w:tr w:rsidR="0002478A" w:rsidRPr="00680A2A" w14:paraId="44D7A95D"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67934E9B" w14:textId="77777777" w:rsidR="00BE1F38" w:rsidRPr="0002478A" w:rsidRDefault="00BE1F38" w:rsidP="00BE1F38">
            <w:pP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Wilmot Crossing</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193B7AAC"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2012</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19DDD8ED"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6ED7B7AA"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47</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64ADDE1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47</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7D2E9AA1"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nil"/>
            </w:tcBorders>
            <w:noWrap/>
            <w:vAlign w:val="center"/>
            <w:hideMark/>
          </w:tcPr>
          <w:p w14:paraId="7FEF171C"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47</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12567A7F"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$313,133</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1AA60E37"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$428,328</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6F7C10A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$13,109,292</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05987546"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$278,921.11</w:t>
            </w:r>
          </w:p>
        </w:tc>
      </w:tr>
      <w:tr w:rsidR="0002478A" w:rsidRPr="00680A2A" w14:paraId="5996B67C"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208931B3" w14:textId="77777777" w:rsidR="00BE1F38" w:rsidRPr="0002478A" w:rsidRDefault="00BE1F38" w:rsidP="00BE1F38">
            <w:pP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Rockview Phase I</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4A445C7F"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2013</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3B9D3E04"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1A60FD0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47</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15D83D74"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77</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23BA564C"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nil"/>
            </w:tcBorders>
            <w:noWrap/>
            <w:vAlign w:val="center"/>
            <w:hideMark/>
          </w:tcPr>
          <w:p w14:paraId="3E8D5C34"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77</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50171261"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$259,210</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2028E4C3"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$351,621</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5BDCD84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$21,790,445</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42628BB7"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$282,992.79</w:t>
            </w:r>
          </w:p>
        </w:tc>
      </w:tr>
      <w:tr w:rsidR="0002478A" w:rsidRPr="00680A2A" w14:paraId="3817149A"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05E38612" w14:textId="77777777" w:rsidR="00BE1F38" w:rsidRPr="0002478A" w:rsidRDefault="00BE1F38" w:rsidP="00BE1F38">
            <w:pPr>
              <w:rPr>
                <w:rFonts w:ascii="Century Gothic" w:eastAsia="Times New Roman" w:hAnsi="Century Gothic"/>
                <w:sz w:val="18"/>
                <w:szCs w:val="18"/>
                <w:lang w:eastAsia="en-US"/>
              </w:rPr>
            </w:pPr>
            <w:proofErr w:type="spellStart"/>
            <w:r w:rsidRPr="0002478A">
              <w:rPr>
                <w:rFonts w:ascii="Century Gothic" w:eastAsia="Times New Roman" w:hAnsi="Century Gothic"/>
                <w:sz w:val="18"/>
                <w:szCs w:val="18"/>
                <w:lang w:eastAsia="en-US"/>
              </w:rPr>
              <w:t>Ribicoff</w:t>
            </w:r>
            <w:proofErr w:type="spellEnd"/>
            <w:r w:rsidRPr="0002478A">
              <w:rPr>
                <w:rFonts w:ascii="Century Gothic" w:eastAsia="Times New Roman" w:hAnsi="Century Gothic"/>
                <w:sz w:val="18"/>
                <w:szCs w:val="18"/>
                <w:lang w:eastAsia="en-US"/>
              </w:rPr>
              <w:t xml:space="preserve"> 9%</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049B1DE9"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2014</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4DD71E0E"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50A8D195"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44</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777D1A71"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44</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156C4EAC"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11</w:t>
            </w:r>
          </w:p>
        </w:tc>
        <w:tc>
          <w:tcPr>
            <w:tcW w:w="630" w:type="dxa"/>
            <w:tcBorders>
              <w:top w:val="nil"/>
              <w:left w:val="nil"/>
              <w:bottom w:val="single" w:sz="8" w:space="0" w:color="D9D9D9" w:themeColor="background1" w:themeShade="D9"/>
              <w:right w:val="nil"/>
            </w:tcBorders>
            <w:noWrap/>
            <w:vAlign w:val="center"/>
            <w:hideMark/>
          </w:tcPr>
          <w:p w14:paraId="7712EC6E"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55</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2C0530E6"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$313,133</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5E31A19F"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$428,328</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31124833"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$14,517,329</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25689489"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$263,951.44</w:t>
            </w:r>
          </w:p>
        </w:tc>
      </w:tr>
      <w:tr w:rsidR="0002478A" w:rsidRPr="00680A2A" w14:paraId="0DCEB45F"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687E20B3" w14:textId="77777777" w:rsidR="00BE1F38" w:rsidRPr="0002478A" w:rsidRDefault="00BE1F38" w:rsidP="00BE1F38">
            <w:pPr>
              <w:rPr>
                <w:rFonts w:ascii="Century Gothic" w:eastAsia="Times New Roman" w:hAnsi="Century Gothic"/>
                <w:sz w:val="18"/>
                <w:szCs w:val="18"/>
                <w:lang w:eastAsia="en-US"/>
              </w:rPr>
            </w:pPr>
            <w:proofErr w:type="spellStart"/>
            <w:r w:rsidRPr="0002478A">
              <w:rPr>
                <w:rFonts w:ascii="Century Gothic" w:eastAsia="Times New Roman" w:hAnsi="Century Gothic"/>
                <w:sz w:val="18"/>
                <w:szCs w:val="18"/>
                <w:lang w:eastAsia="en-US"/>
              </w:rPr>
              <w:t>Ribicoff</w:t>
            </w:r>
            <w:proofErr w:type="spellEnd"/>
            <w:r w:rsidRPr="0002478A">
              <w:rPr>
                <w:rFonts w:ascii="Century Gothic" w:eastAsia="Times New Roman" w:hAnsi="Century Gothic"/>
                <w:sz w:val="18"/>
                <w:szCs w:val="18"/>
                <w:lang w:eastAsia="en-US"/>
              </w:rPr>
              <w:t xml:space="preserve"> 4%</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49B95B2D"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2014</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66EBB99E"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7C3CCE4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51</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43C302AA"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51</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2B4A117F"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nil"/>
            </w:tcBorders>
            <w:noWrap/>
            <w:vAlign w:val="center"/>
            <w:hideMark/>
          </w:tcPr>
          <w:p w14:paraId="538DF187"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51</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0777B15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$259,210</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15DA5223"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$351,621</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738DB6C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$13,457,150</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1EAA7EC9"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$263,865.69</w:t>
            </w:r>
          </w:p>
        </w:tc>
      </w:tr>
      <w:tr w:rsidR="0002478A" w:rsidRPr="00680A2A" w14:paraId="737E01B6"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4DEA61B3" w14:textId="77777777" w:rsidR="00BE1F38" w:rsidRPr="0002478A" w:rsidRDefault="00BE1F38" w:rsidP="00BE1F38">
            <w:pPr>
              <w:rPr>
                <w:rFonts w:ascii="Century Gothic" w:eastAsia="Times New Roman" w:hAnsi="Century Gothic"/>
                <w:sz w:val="18"/>
                <w:szCs w:val="18"/>
                <w:lang w:eastAsia="en-US"/>
              </w:rPr>
            </w:pPr>
            <w:proofErr w:type="spellStart"/>
            <w:r w:rsidRPr="0002478A">
              <w:rPr>
                <w:rFonts w:ascii="Century Gothic" w:eastAsia="Times New Roman" w:hAnsi="Century Gothic"/>
                <w:sz w:val="18"/>
                <w:szCs w:val="18"/>
                <w:lang w:eastAsia="en-US"/>
              </w:rPr>
              <w:t>Farnam</w:t>
            </w:r>
            <w:proofErr w:type="spellEnd"/>
            <w:r w:rsidRPr="0002478A">
              <w:rPr>
                <w:rFonts w:ascii="Century Gothic" w:eastAsia="Times New Roman" w:hAnsi="Century Gothic"/>
                <w:sz w:val="18"/>
                <w:szCs w:val="18"/>
                <w:lang w:eastAsia="en-US"/>
              </w:rPr>
              <w:t xml:space="preserve"> Courts-Fair Haven</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33B2EAE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2015</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71EAF98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5E72DCA5"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57</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77879FD9"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57</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290C35FA"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nil"/>
            </w:tcBorders>
            <w:noWrap/>
            <w:vAlign w:val="center"/>
            <w:hideMark/>
          </w:tcPr>
          <w:p w14:paraId="547F924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57</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3D1AD108"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$259,210</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48D1FEB1"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$351,621</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3B249D86"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$19,203,991</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06BBF3A0"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$336,912.12</w:t>
            </w:r>
          </w:p>
        </w:tc>
      </w:tr>
      <w:tr w:rsidR="0002478A" w:rsidRPr="00680A2A" w14:paraId="61E9FE0B"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441492FC" w14:textId="77777777" w:rsidR="00BE1F38" w:rsidRPr="0002478A" w:rsidRDefault="00BE1F38" w:rsidP="00BE1F38">
            <w:pPr>
              <w:rPr>
                <w:rFonts w:ascii="Century Gothic" w:eastAsia="Times New Roman" w:hAnsi="Century Gothic"/>
                <w:sz w:val="18"/>
                <w:szCs w:val="18"/>
                <w:lang w:eastAsia="en-US"/>
              </w:rPr>
            </w:pPr>
            <w:proofErr w:type="spellStart"/>
            <w:r w:rsidRPr="0002478A">
              <w:rPr>
                <w:rFonts w:ascii="Century Gothic" w:eastAsia="Times New Roman" w:hAnsi="Century Gothic"/>
                <w:sz w:val="18"/>
                <w:szCs w:val="18"/>
                <w:lang w:eastAsia="en-US"/>
              </w:rPr>
              <w:t>Farnam</w:t>
            </w:r>
            <w:proofErr w:type="spellEnd"/>
            <w:r w:rsidRPr="0002478A">
              <w:rPr>
                <w:rFonts w:ascii="Century Gothic" w:eastAsia="Times New Roman" w:hAnsi="Century Gothic"/>
                <w:sz w:val="18"/>
                <w:szCs w:val="18"/>
                <w:lang w:eastAsia="en-US"/>
              </w:rPr>
              <w:t xml:space="preserve"> Court Phase I onsite</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6457AEBA"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2016</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12D705F7"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5E0C99E3"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86</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24788C68"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86</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3FAF3DAF"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8</w:t>
            </w:r>
          </w:p>
        </w:tc>
        <w:tc>
          <w:tcPr>
            <w:tcW w:w="630" w:type="dxa"/>
            <w:tcBorders>
              <w:top w:val="nil"/>
              <w:left w:val="nil"/>
              <w:bottom w:val="single" w:sz="8" w:space="0" w:color="D9D9D9" w:themeColor="background1" w:themeShade="D9"/>
              <w:right w:val="nil"/>
            </w:tcBorders>
            <w:noWrap/>
            <w:vAlign w:val="center"/>
            <w:hideMark/>
          </w:tcPr>
          <w:p w14:paraId="40DE3C7D"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94</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28C3600D"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$313,133</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6A48A7FD"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$428,328</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006189E1"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$27,436,148</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38F31E9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$291,873.91</w:t>
            </w:r>
          </w:p>
        </w:tc>
      </w:tr>
      <w:tr w:rsidR="0002478A" w:rsidRPr="00680A2A" w14:paraId="0938F743"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68C3DD23" w14:textId="5BA18DFC" w:rsidR="00BE1F38" w:rsidRPr="0002478A" w:rsidRDefault="00BE1F38" w:rsidP="00BE1F38">
            <w:pP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Rockview Phase 2</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3D076C3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2019</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60CE83E4"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6DA6B7D6"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62</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2FE7902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62</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61928C2C"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16</w:t>
            </w:r>
          </w:p>
        </w:tc>
        <w:tc>
          <w:tcPr>
            <w:tcW w:w="630" w:type="dxa"/>
            <w:tcBorders>
              <w:top w:val="nil"/>
              <w:left w:val="nil"/>
              <w:bottom w:val="single" w:sz="8" w:space="0" w:color="D9D9D9" w:themeColor="background1" w:themeShade="D9"/>
              <w:right w:val="nil"/>
            </w:tcBorders>
            <w:noWrap/>
            <w:vAlign w:val="center"/>
            <w:hideMark/>
          </w:tcPr>
          <w:p w14:paraId="4E1869EC"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78</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19A458D4"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$298,901</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50F08B8A"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$405,464</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372614C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$22,736,473</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4AF73855"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$291,493.24</w:t>
            </w:r>
          </w:p>
        </w:tc>
      </w:tr>
      <w:tr w:rsidR="0002478A" w:rsidRPr="00680A2A" w14:paraId="71BA3D36"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69728BC5" w14:textId="1CCBE45A" w:rsidR="00BE1F38" w:rsidRPr="0002478A" w:rsidRDefault="77726E09" w:rsidP="00BE1F38">
            <w:pPr>
              <w:rPr>
                <w:rFonts w:ascii="Century Gothic" w:eastAsia="Times New Roman" w:hAnsi="Century Gothic"/>
                <w:sz w:val="18"/>
                <w:szCs w:val="18"/>
                <w:lang w:eastAsia="en-US"/>
              </w:rPr>
            </w:pPr>
            <w:proofErr w:type="spellStart"/>
            <w:r w:rsidRPr="0002478A">
              <w:rPr>
                <w:rFonts w:ascii="Century Gothic" w:eastAsia="Times New Roman" w:hAnsi="Century Gothic"/>
                <w:sz w:val="18"/>
                <w:szCs w:val="18"/>
                <w:lang w:eastAsia="en-US"/>
              </w:rPr>
              <w:t>Farnam</w:t>
            </w:r>
            <w:proofErr w:type="spellEnd"/>
            <w:r w:rsidRPr="0002478A">
              <w:rPr>
                <w:rFonts w:ascii="Century Gothic" w:eastAsia="Times New Roman" w:hAnsi="Century Gothic"/>
                <w:sz w:val="18"/>
                <w:szCs w:val="18"/>
                <w:lang w:eastAsia="en-US"/>
              </w:rPr>
              <w:t xml:space="preserve"> Courts-Phase 2</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6A68FAE0"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2020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586D5C4F"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767B22FB"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88</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6CF9E0AE"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88</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492D69D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23</w:t>
            </w:r>
          </w:p>
        </w:tc>
        <w:tc>
          <w:tcPr>
            <w:tcW w:w="630" w:type="dxa"/>
            <w:tcBorders>
              <w:top w:val="nil"/>
              <w:left w:val="nil"/>
              <w:bottom w:val="single" w:sz="8" w:space="0" w:color="D9D9D9" w:themeColor="background1" w:themeShade="D9"/>
              <w:right w:val="nil"/>
            </w:tcBorders>
            <w:noWrap/>
            <w:vAlign w:val="center"/>
            <w:hideMark/>
          </w:tcPr>
          <w:p w14:paraId="6E418BCE"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111</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639D5AF7"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$259,210</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26B79CC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$351,621</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6D058EF2"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$33,394,964</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0949DD44" w14:textId="77777777" w:rsidR="00BE1F38" w:rsidRPr="0002478A" w:rsidRDefault="00BE1F38" w:rsidP="00BE1F38">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$300,855.53</w:t>
            </w:r>
          </w:p>
        </w:tc>
      </w:tr>
      <w:tr w:rsidR="0002478A" w:rsidRPr="00680A2A" w14:paraId="031FCADE" w14:textId="77777777" w:rsidTr="00A610C2">
        <w:trPr>
          <w:trHeight w:val="315"/>
        </w:trPr>
        <w:tc>
          <w:tcPr>
            <w:tcW w:w="1199" w:type="dxa"/>
            <w:tcBorders>
              <w:top w:val="nil"/>
              <w:left w:val="nil"/>
              <w:bottom w:val="single" w:sz="8" w:space="0" w:color="D9D9D9" w:themeColor="background1" w:themeShade="D9"/>
              <w:right w:val="single" w:sz="8" w:space="0" w:color="D9D9D9" w:themeColor="background1" w:themeShade="D9"/>
            </w:tcBorders>
            <w:vAlign w:val="center"/>
            <w:hideMark/>
          </w:tcPr>
          <w:p w14:paraId="6E543F6B" w14:textId="572F8AFA" w:rsidR="3A87DD67" w:rsidRPr="0002478A" w:rsidRDefault="3A87DD67" w:rsidP="7AC9FF43">
            <w:pP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Valley St (RAD 2A)</w:t>
            </w:r>
          </w:p>
        </w:tc>
        <w:tc>
          <w:tcPr>
            <w:tcW w:w="781" w:type="dxa"/>
            <w:tcBorders>
              <w:top w:val="nil"/>
              <w:left w:val="nil"/>
              <w:bottom w:val="single" w:sz="8" w:space="0" w:color="D9D9D9" w:themeColor="background1" w:themeShade="D9"/>
              <w:right w:val="single" w:sz="8" w:space="0" w:color="D9D9D9" w:themeColor="background1" w:themeShade="D9"/>
            </w:tcBorders>
            <w:vAlign w:val="bottom"/>
            <w:hideMark/>
          </w:tcPr>
          <w:p w14:paraId="03EC1FDF" w14:textId="4FAD614A" w:rsidR="3A87DD67" w:rsidRPr="0002478A" w:rsidRDefault="3A87DD67"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2022</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693528FB" w14:textId="4371B403" w:rsidR="3A87DD67" w:rsidRPr="0002478A" w:rsidRDefault="3A87DD67"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0</w:t>
            </w:r>
          </w:p>
        </w:tc>
        <w:tc>
          <w:tcPr>
            <w:tcW w:w="630" w:type="dxa"/>
            <w:tcBorders>
              <w:top w:val="nil"/>
              <w:left w:val="nil"/>
              <w:bottom w:val="single" w:sz="8" w:space="0" w:color="D9D9D9" w:themeColor="background1" w:themeShade="D9"/>
              <w:right w:val="single" w:sz="8" w:space="0" w:color="D9D9D9" w:themeColor="background1" w:themeShade="D9"/>
            </w:tcBorders>
            <w:vAlign w:val="center"/>
            <w:hideMark/>
          </w:tcPr>
          <w:p w14:paraId="58CD5A37" w14:textId="7B34A953" w:rsidR="3A87DD67" w:rsidRPr="0002478A" w:rsidRDefault="3A87DD67"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32</w:t>
            </w:r>
          </w:p>
        </w:tc>
        <w:tc>
          <w:tcPr>
            <w:tcW w:w="720" w:type="dxa"/>
            <w:tcBorders>
              <w:top w:val="nil"/>
              <w:left w:val="nil"/>
              <w:bottom w:val="single" w:sz="8" w:space="0" w:color="D9D9D9" w:themeColor="background1" w:themeShade="D9"/>
              <w:right w:val="single" w:sz="8" w:space="0" w:color="D9D9D9" w:themeColor="background1" w:themeShade="D9"/>
            </w:tcBorders>
            <w:vAlign w:val="center"/>
            <w:hideMark/>
          </w:tcPr>
          <w:p w14:paraId="04328328" w14:textId="302630E3" w:rsidR="3A87DD67" w:rsidRPr="0002478A" w:rsidRDefault="3A87DD67"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32</w:t>
            </w:r>
          </w:p>
        </w:tc>
        <w:tc>
          <w:tcPr>
            <w:tcW w:w="810" w:type="dxa"/>
            <w:tcBorders>
              <w:top w:val="nil"/>
              <w:left w:val="nil"/>
              <w:bottom w:val="single" w:sz="8" w:space="0" w:color="D9D9D9" w:themeColor="background1" w:themeShade="D9"/>
              <w:right w:val="single" w:sz="8" w:space="0" w:color="D9D9D9" w:themeColor="background1" w:themeShade="D9"/>
            </w:tcBorders>
            <w:vAlign w:val="center"/>
            <w:hideMark/>
          </w:tcPr>
          <w:p w14:paraId="6F9D4E26" w14:textId="560A296B" w:rsidR="3A87DD67" w:rsidRPr="0002478A" w:rsidRDefault="3A87DD67"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8</w:t>
            </w:r>
          </w:p>
        </w:tc>
        <w:tc>
          <w:tcPr>
            <w:tcW w:w="630" w:type="dxa"/>
            <w:tcBorders>
              <w:top w:val="nil"/>
              <w:left w:val="nil"/>
              <w:bottom w:val="single" w:sz="8" w:space="0" w:color="D9D9D9" w:themeColor="background1" w:themeShade="D9"/>
              <w:right w:val="nil"/>
            </w:tcBorders>
            <w:noWrap/>
            <w:vAlign w:val="center"/>
            <w:hideMark/>
          </w:tcPr>
          <w:p w14:paraId="1221E69B" w14:textId="22EB2F1F" w:rsidR="3A87DD67" w:rsidRPr="0002478A" w:rsidRDefault="3A87DD67"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40</w:t>
            </w:r>
          </w:p>
        </w:tc>
        <w:tc>
          <w:tcPr>
            <w:tcW w:w="1170" w:type="dxa"/>
            <w:tcBorders>
              <w:top w:val="nil"/>
              <w:left w:val="single" w:sz="8" w:space="0" w:color="D9D9D9" w:themeColor="background1" w:themeShade="D9"/>
              <w:bottom w:val="single" w:sz="8" w:space="0" w:color="D9D9D9" w:themeColor="background1" w:themeShade="D9"/>
              <w:right w:val="nil"/>
            </w:tcBorders>
            <w:vAlign w:val="center"/>
            <w:hideMark/>
          </w:tcPr>
          <w:p w14:paraId="6BCCC41A" w14:textId="04867961" w:rsidR="6941FD54" w:rsidRPr="0002478A" w:rsidRDefault="6941FD54"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$304,482</w:t>
            </w:r>
          </w:p>
        </w:tc>
        <w:tc>
          <w:tcPr>
            <w:tcW w:w="1260" w:type="dxa"/>
            <w:tcBorders>
              <w:top w:val="nil"/>
              <w:left w:val="single" w:sz="8" w:space="0" w:color="D9D9D9" w:themeColor="background1" w:themeShade="D9"/>
              <w:bottom w:val="single" w:sz="8" w:space="0" w:color="D9D9D9" w:themeColor="background1" w:themeShade="D9"/>
              <w:right w:val="nil"/>
            </w:tcBorders>
            <w:vAlign w:val="center"/>
            <w:hideMark/>
          </w:tcPr>
          <w:p w14:paraId="797B29D9" w14:textId="44576B98" w:rsidR="6941FD54" w:rsidRPr="0002478A" w:rsidRDefault="6941FD54"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$398,124</w:t>
            </w:r>
          </w:p>
        </w:tc>
        <w:tc>
          <w:tcPr>
            <w:tcW w:w="1350" w:type="dxa"/>
            <w:tcBorders>
              <w:top w:val="nil"/>
              <w:left w:val="single" w:sz="8" w:space="0" w:color="D9D9D9" w:themeColor="background1" w:themeShade="D9"/>
              <w:bottom w:val="single" w:sz="8" w:space="0" w:color="D9D9D9" w:themeColor="background1" w:themeShade="D9"/>
              <w:right w:val="nil"/>
            </w:tcBorders>
            <w:vAlign w:val="center"/>
            <w:hideMark/>
          </w:tcPr>
          <w:p w14:paraId="4841204E" w14:textId="7D441BAF" w:rsidR="6941FD54" w:rsidRPr="0002478A" w:rsidRDefault="6941FD54"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$14,984,990</w:t>
            </w:r>
          </w:p>
        </w:tc>
        <w:tc>
          <w:tcPr>
            <w:tcW w:w="1412" w:type="dxa"/>
            <w:tcBorders>
              <w:top w:val="nil"/>
              <w:left w:val="single" w:sz="8" w:space="0" w:color="D9D9D9" w:themeColor="background1" w:themeShade="D9"/>
              <w:bottom w:val="single" w:sz="8" w:space="0" w:color="D9D9D9" w:themeColor="background1" w:themeShade="D9"/>
              <w:right w:val="nil"/>
            </w:tcBorders>
            <w:vAlign w:val="center"/>
            <w:hideMark/>
          </w:tcPr>
          <w:p w14:paraId="7C44449C" w14:textId="4095F525" w:rsidR="6941FD54" w:rsidRPr="0002478A" w:rsidRDefault="6941FD54" w:rsidP="7AC9FF43">
            <w:pPr>
              <w:jc w:val="center"/>
              <w:rPr>
                <w:rFonts w:ascii="Century Gothic" w:eastAsia="Times New Roman" w:hAnsi="Century Gothic"/>
                <w:sz w:val="18"/>
                <w:szCs w:val="18"/>
                <w:lang w:eastAsia="en-US"/>
              </w:rPr>
            </w:pPr>
            <w:r w:rsidRPr="0002478A">
              <w:rPr>
                <w:rFonts w:ascii="Century Gothic" w:eastAsia="Times New Roman" w:hAnsi="Century Gothic"/>
                <w:sz w:val="18"/>
                <w:szCs w:val="18"/>
                <w:lang w:eastAsia="en-US"/>
              </w:rPr>
              <w:t>$374,625</w:t>
            </w:r>
          </w:p>
        </w:tc>
      </w:tr>
      <w:tr w:rsidR="0002478A" w:rsidRPr="00680A2A" w14:paraId="7EAEF72C" w14:textId="77777777" w:rsidTr="00A610C2">
        <w:trPr>
          <w:trHeight w:val="315"/>
        </w:trPr>
        <w:tc>
          <w:tcPr>
            <w:tcW w:w="1199" w:type="dxa"/>
            <w:tcBorders>
              <w:top w:val="nil"/>
              <w:left w:val="nil"/>
              <w:bottom w:val="single" w:sz="8" w:space="0" w:color="FFFFFF" w:themeColor="background1"/>
              <w:right w:val="single" w:sz="8" w:space="0" w:color="D9D9D9" w:themeColor="background1" w:themeShade="D9"/>
            </w:tcBorders>
            <w:shd w:val="clear" w:color="auto" w:fill="808080" w:themeFill="background1" w:themeFillShade="80"/>
            <w:vAlign w:val="center"/>
            <w:hideMark/>
          </w:tcPr>
          <w:p w14:paraId="1AF32C73" w14:textId="77777777" w:rsidR="00BE1F38" w:rsidRPr="0002478A" w:rsidRDefault="00BE1F38" w:rsidP="00BE1F38">
            <w:pPr>
              <w:jc w:val="right"/>
              <w:rPr>
                <w:rFonts w:ascii="Century Gothic" w:eastAsia="Times New Roman" w:hAnsi="Century Gothic"/>
                <w:b/>
                <w:bCs/>
                <w:sz w:val="18"/>
                <w:szCs w:val="18"/>
                <w:lang w:eastAsia="en-US"/>
              </w:rPr>
            </w:pPr>
            <w:r w:rsidRPr="0002478A">
              <w:rPr>
                <w:rFonts w:ascii="Century Gothic" w:eastAsia="Times New Roman" w:hAnsi="Century Gothic"/>
                <w:b/>
                <w:bCs/>
                <w:sz w:val="18"/>
                <w:szCs w:val="18"/>
                <w:lang w:eastAsia="en-US"/>
              </w:rPr>
              <w:t>Total</w:t>
            </w:r>
          </w:p>
        </w:tc>
        <w:tc>
          <w:tcPr>
            <w:tcW w:w="781" w:type="dxa"/>
            <w:tcBorders>
              <w:top w:val="nil"/>
              <w:left w:val="nil"/>
              <w:bottom w:val="single" w:sz="8" w:space="0" w:color="FFFFFF" w:themeColor="background1"/>
              <w:right w:val="single" w:sz="8" w:space="0" w:color="D9D9D9" w:themeColor="background1" w:themeShade="D9"/>
            </w:tcBorders>
            <w:shd w:val="clear" w:color="auto" w:fill="808080" w:themeFill="background1" w:themeFillShade="80"/>
            <w:vAlign w:val="bottom"/>
            <w:hideMark/>
          </w:tcPr>
          <w:p w14:paraId="7DFD0327" w14:textId="77777777" w:rsidR="00BE1F38" w:rsidRPr="0002478A" w:rsidRDefault="00BE1F38" w:rsidP="00BE1F38">
            <w:pPr>
              <w:jc w:val="center"/>
              <w:rPr>
                <w:rFonts w:ascii="Century Gothic" w:eastAsia="Times New Roman" w:hAnsi="Century Gothic"/>
                <w:b/>
                <w:bCs/>
                <w:sz w:val="18"/>
                <w:szCs w:val="18"/>
                <w:lang w:eastAsia="en-US"/>
              </w:rPr>
            </w:pPr>
            <w:r w:rsidRPr="0002478A">
              <w:rPr>
                <w:rFonts w:ascii="Century Gothic" w:eastAsia="Times New Roman" w:hAnsi="Century Gothic"/>
                <w:b/>
                <w:bCs/>
                <w:sz w:val="18"/>
                <w:szCs w:val="18"/>
                <w:lang w:eastAsia="en-US"/>
              </w:rPr>
              <w:t> </w:t>
            </w:r>
          </w:p>
        </w:tc>
        <w:tc>
          <w:tcPr>
            <w:tcW w:w="630" w:type="dxa"/>
            <w:tcBorders>
              <w:top w:val="nil"/>
              <w:left w:val="nil"/>
              <w:bottom w:val="single" w:sz="8" w:space="0" w:color="FFFFFF" w:themeColor="background1"/>
              <w:right w:val="single" w:sz="8" w:space="0" w:color="D9D9D9" w:themeColor="background1" w:themeShade="D9"/>
            </w:tcBorders>
            <w:shd w:val="clear" w:color="auto" w:fill="808080" w:themeFill="background1" w:themeFillShade="80"/>
            <w:vAlign w:val="center"/>
            <w:hideMark/>
          </w:tcPr>
          <w:p w14:paraId="6E6EE507" w14:textId="2A2CC8B6" w:rsidR="00BE1F38" w:rsidRPr="0002478A" w:rsidRDefault="15B724C5" w:rsidP="2A137AEF">
            <w:pPr>
              <w:jc w:val="center"/>
              <w:rPr>
                <w:rFonts w:ascii="Century Gothic" w:eastAsia="MS PGothic" w:hAnsi="Century Gothic"/>
                <w:b/>
                <w:bCs/>
              </w:rPr>
            </w:pPr>
            <w:r w:rsidRPr="0002478A">
              <w:rPr>
                <w:rFonts w:ascii="Century Gothic" w:eastAsia="Times New Roman" w:hAnsi="Century Gothic"/>
                <w:b/>
                <w:bCs/>
                <w:sz w:val="18"/>
                <w:szCs w:val="18"/>
                <w:lang w:eastAsia="en-US"/>
              </w:rPr>
              <w:t>246</w:t>
            </w:r>
          </w:p>
        </w:tc>
        <w:tc>
          <w:tcPr>
            <w:tcW w:w="630" w:type="dxa"/>
            <w:tcBorders>
              <w:top w:val="nil"/>
              <w:left w:val="nil"/>
              <w:bottom w:val="single" w:sz="8" w:space="0" w:color="FFFFFF" w:themeColor="background1"/>
              <w:right w:val="single" w:sz="8" w:space="0" w:color="D9D9D9" w:themeColor="background1" w:themeShade="D9"/>
            </w:tcBorders>
            <w:shd w:val="clear" w:color="auto" w:fill="808080" w:themeFill="background1" w:themeFillShade="80"/>
            <w:vAlign w:val="center"/>
            <w:hideMark/>
          </w:tcPr>
          <w:p w14:paraId="2F55331B" w14:textId="26A9CEFE" w:rsidR="00BE1F38" w:rsidRPr="0002478A" w:rsidRDefault="000131AB" w:rsidP="2A137AEF">
            <w:pPr>
              <w:jc w:val="center"/>
              <w:rPr>
                <w:rFonts w:ascii="Century Gothic" w:eastAsia="MS PGothic" w:hAnsi="Century Gothic"/>
                <w:b/>
                <w:bCs/>
              </w:rPr>
            </w:pPr>
            <w:r>
              <w:rPr>
                <w:rFonts w:ascii="Century Gothic" w:eastAsia="Times New Roman" w:hAnsi="Century Gothic"/>
                <w:b/>
                <w:bCs/>
                <w:sz w:val="18"/>
                <w:szCs w:val="18"/>
                <w:lang w:eastAsia="en-US"/>
              </w:rPr>
              <w:t>712</w:t>
            </w:r>
          </w:p>
        </w:tc>
        <w:tc>
          <w:tcPr>
            <w:tcW w:w="720" w:type="dxa"/>
            <w:tcBorders>
              <w:top w:val="nil"/>
              <w:left w:val="nil"/>
              <w:bottom w:val="single" w:sz="8" w:space="0" w:color="FFFFFF" w:themeColor="background1"/>
              <w:right w:val="single" w:sz="8" w:space="0" w:color="D9D9D9" w:themeColor="background1" w:themeShade="D9"/>
            </w:tcBorders>
            <w:shd w:val="clear" w:color="auto" w:fill="808080" w:themeFill="background1" w:themeFillShade="80"/>
            <w:vAlign w:val="center"/>
            <w:hideMark/>
          </w:tcPr>
          <w:p w14:paraId="72966C7F" w14:textId="3EEFC27C" w:rsidR="00BE1F38" w:rsidRPr="0002478A" w:rsidRDefault="000131AB" w:rsidP="2A137AEF">
            <w:pPr>
              <w:jc w:val="center"/>
              <w:rPr>
                <w:rFonts w:ascii="Century Gothic" w:eastAsia="MS PGothic" w:hAnsi="Century Gothic"/>
                <w:b/>
                <w:bCs/>
              </w:rPr>
            </w:pPr>
            <w:r>
              <w:rPr>
                <w:rFonts w:ascii="Century Gothic" w:eastAsia="Times New Roman" w:hAnsi="Century Gothic"/>
                <w:b/>
                <w:bCs/>
                <w:sz w:val="18"/>
                <w:szCs w:val="18"/>
                <w:lang w:eastAsia="en-US"/>
              </w:rPr>
              <w:t>958</w:t>
            </w:r>
          </w:p>
        </w:tc>
        <w:tc>
          <w:tcPr>
            <w:tcW w:w="810" w:type="dxa"/>
            <w:tcBorders>
              <w:top w:val="nil"/>
              <w:left w:val="nil"/>
              <w:bottom w:val="single" w:sz="8" w:space="0" w:color="FFFFFF" w:themeColor="background1"/>
              <w:right w:val="single" w:sz="8" w:space="0" w:color="D9D9D9" w:themeColor="background1" w:themeShade="D9"/>
            </w:tcBorders>
            <w:shd w:val="clear" w:color="auto" w:fill="808080" w:themeFill="background1" w:themeFillShade="80"/>
            <w:vAlign w:val="center"/>
            <w:hideMark/>
          </w:tcPr>
          <w:p w14:paraId="0FCD2E3D" w14:textId="508E6D41" w:rsidR="00BE1F38" w:rsidRPr="0002478A" w:rsidRDefault="000131AB" w:rsidP="2A137AEF">
            <w:pPr>
              <w:jc w:val="center"/>
              <w:rPr>
                <w:rFonts w:ascii="Century Gothic" w:eastAsia="MS PGothic" w:hAnsi="Century Gothic"/>
                <w:b/>
                <w:bCs/>
              </w:rPr>
            </w:pPr>
            <w:r>
              <w:rPr>
                <w:rFonts w:ascii="Century Gothic" w:eastAsia="Times New Roman" w:hAnsi="Century Gothic"/>
                <w:b/>
                <w:bCs/>
                <w:sz w:val="18"/>
                <w:szCs w:val="18"/>
                <w:lang w:eastAsia="en-US"/>
              </w:rPr>
              <w:t>92</w:t>
            </w:r>
          </w:p>
        </w:tc>
        <w:tc>
          <w:tcPr>
            <w:tcW w:w="630" w:type="dxa"/>
            <w:tcBorders>
              <w:top w:val="nil"/>
              <w:left w:val="nil"/>
              <w:bottom w:val="single" w:sz="8" w:space="0" w:color="FFFFFF" w:themeColor="background1"/>
              <w:right w:val="nil"/>
            </w:tcBorders>
            <w:shd w:val="clear" w:color="auto" w:fill="808080" w:themeFill="background1" w:themeFillShade="80"/>
            <w:noWrap/>
            <w:vAlign w:val="center"/>
            <w:hideMark/>
          </w:tcPr>
          <w:p w14:paraId="4D73956E" w14:textId="3EC21F7E" w:rsidR="00BE1F38" w:rsidRPr="0002478A" w:rsidRDefault="000131AB" w:rsidP="2A137AEF">
            <w:pPr>
              <w:jc w:val="center"/>
              <w:rPr>
                <w:rFonts w:ascii="Century Gothic" w:eastAsia="Times New Roman" w:hAnsi="Century Gothic"/>
                <w:b/>
                <w:bCs/>
                <w:sz w:val="18"/>
                <w:szCs w:val="18"/>
                <w:lang w:eastAsia="en-US"/>
              </w:rPr>
            </w:pPr>
            <w:r>
              <w:rPr>
                <w:rFonts w:ascii="Century Gothic" w:eastAsia="Times New Roman" w:hAnsi="Century Gothic"/>
                <w:b/>
                <w:bCs/>
                <w:sz w:val="18"/>
                <w:szCs w:val="18"/>
                <w:lang w:eastAsia="en-US"/>
              </w:rPr>
              <w:t>1050</w:t>
            </w:r>
          </w:p>
        </w:tc>
        <w:tc>
          <w:tcPr>
            <w:tcW w:w="1170" w:type="dxa"/>
            <w:tcBorders>
              <w:top w:val="nil"/>
              <w:left w:val="single" w:sz="8" w:space="0" w:color="D9D9D9" w:themeColor="background1" w:themeShade="D9"/>
              <w:bottom w:val="single" w:sz="8" w:space="0" w:color="FFFFFF" w:themeColor="background1"/>
              <w:right w:val="nil"/>
            </w:tcBorders>
            <w:shd w:val="clear" w:color="auto" w:fill="808080" w:themeFill="background1" w:themeFillShade="80"/>
            <w:vAlign w:val="center"/>
            <w:hideMark/>
          </w:tcPr>
          <w:p w14:paraId="66386A6F" w14:textId="09A31089" w:rsidR="00BE1F38" w:rsidRPr="0002478A" w:rsidRDefault="000F7A32" w:rsidP="00BE1F38">
            <w:pPr>
              <w:jc w:val="center"/>
              <w:rPr>
                <w:rFonts w:ascii="Century Gothic" w:eastAsia="Times New Roman" w:hAnsi="Century Gothic"/>
                <w:b/>
                <w:bCs/>
                <w:sz w:val="18"/>
                <w:szCs w:val="18"/>
                <w:lang w:eastAsia="en-US"/>
              </w:rPr>
            </w:pPr>
            <w:r>
              <w:rPr>
                <w:rFonts w:ascii="Century Gothic" w:eastAsia="Times New Roman" w:hAnsi="Century Gothic"/>
                <w:b/>
                <w:bCs/>
                <w:sz w:val="18"/>
                <w:szCs w:val="18"/>
                <w:lang w:eastAsia="en-US"/>
              </w:rPr>
              <w:t>$3,929</w:t>
            </w:r>
            <w:r w:rsidR="00AE2D28">
              <w:rPr>
                <w:rFonts w:ascii="Century Gothic" w:eastAsia="Times New Roman" w:hAnsi="Century Gothic"/>
                <w:b/>
                <w:bCs/>
                <w:sz w:val="18"/>
                <w:szCs w:val="18"/>
                <w:lang w:eastAsia="en-US"/>
              </w:rPr>
              <w:t>,595</w:t>
            </w:r>
          </w:p>
        </w:tc>
        <w:tc>
          <w:tcPr>
            <w:tcW w:w="1260" w:type="dxa"/>
            <w:tcBorders>
              <w:top w:val="nil"/>
              <w:left w:val="single" w:sz="8" w:space="0" w:color="D9D9D9" w:themeColor="background1" w:themeShade="D9"/>
              <w:bottom w:val="single" w:sz="8" w:space="0" w:color="FFFFFF" w:themeColor="background1"/>
              <w:right w:val="nil"/>
            </w:tcBorders>
            <w:shd w:val="clear" w:color="auto" w:fill="808080" w:themeFill="background1" w:themeFillShade="80"/>
            <w:vAlign w:val="center"/>
            <w:hideMark/>
          </w:tcPr>
          <w:p w14:paraId="1D581D7C" w14:textId="49B9D851" w:rsidR="00BE1F38" w:rsidRPr="0002478A" w:rsidRDefault="00AE2D28" w:rsidP="00BE1F38">
            <w:pPr>
              <w:jc w:val="center"/>
              <w:rPr>
                <w:rFonts w:ascii="Century Gothic" w:eastAsia="Times New Roman" w:hAnsi="Century Gothic"/>
                <w:b/>
                <w:bCs/>
                <w:sz w:val="18"/>
                <w:szCs w:val="18"/>
                <w:lang w:eastAsia="en-US"/>
              </w:rPr>
            </w:pPr>
            <w:r>
              <w:rPr>
                <w:rFonts w:ascii="Century Gothic" w:eastAsia="Times New Roman" w:hAnsi="Century Gothic"/>
                <w:b/>
                <w:bCs/>
                <w:sz w:val="18"/>
                <w:szCs w:val="18"/>
                <w:lang w:eastAsia="en-US"/>
              </w:rPr>
              <w:t>$5,329</w:t>
            </w:r>
            <w:r w:rsidR="009D36C6">
              <w:rPr>
                <w:rFonts w:ascii="Century Gothic" w:eastAsia="Times New Roman" w:hAnsi="Century Gothic"/>
                <w:b/>
                <w:bCs/>
                <w:sz w:val="18"/>
                <w:szCs w:val="18"/>
                <w:lang w:eastAsia="en-US"/>
              </w:rPr>
              <w:t>,868</w:t>
            </w:r>
          </w:p>
        </w:tc>
        <w:tc>
          <w:tcPr>
            <w:tcW w:w="1350" w:type="dxa"/>
            <w:tcBorders>
              <w:top w:val="nil"/>
              <w:left w:val="single" w:sz="8" w:space="0" w:color="D9D9D9" w:themeColor="background1" w:themeShade="D9"/>
              <w:bottom w:val="single" w:sz="8" w:space="0" w:color="FFFFFF" w:themeColor="background1"/>
              <w:right w:val="nil"/>
            </w:tcBorders>
            <w:shd w:val="clear" w:color="auto" w:fill="808080" w:themeFill="background1" w:themeFillShade="80"/>
            <w:vAlign w:val="center"/>
            <w:hideMark/>
          </w:tcPr>
          <w:p w14:paraId="586FECDF" w14:textId="44C288F4" w:rsidR="00BE1F38" w:rsidRPr="0002478A" w:rsidRDefault="009D36C6" w:rsidP="00BE1F38">
            <w:pPr>
              <w:jc w:val="center"/>
              <w:rPr>
                <w:rFonts w:ascii="Century Gothic" w:eastAsia="Times New Roman" w:hAnsi="Century Gothic"/>
                <w:b/>
                <w:bCs/>
                <w:sz w:val="18"/>
                <w:szCs w:val="18"/>
                <w:lang w:eastAsia="en-US"/>
              </w:rPr>
            </w:pPr>
            <w:r>
              <w:rPr>
                <w:rFonts w:ascii="Century Gothic" w:eastAsia="Times New Roman" w:hAnsi="Century Gothic"/>
                <w:b/>
                <w:bCs/>
                <w:sz w:val="18"/>
                <w:szCs w:val="18"/>
                <w:lang w:eastAsia="en-US"/>
              </w:rPr>
              <w:t>$297,505,221</w:t>
            </w:r>
          </w:p>
        </w:tc>
        <w:tc>
          <w:tcPr>
            <w:tcW w:w="1412" w:type="dxa"/>
            <w:tcBorders>
              <w:top w:val="nil"/>
              <w:left w:val="single" w:sz="8" w:space="0" w:color="D9D9D9" w:themeColor="background1" w:themeShade="D9"/>
              <w:bottom w:val="single" w:sz="8" w:space="0" w:color="FFFFFF" w:themeColor="background1"/>
              <w:right w:val="nil"/>
            </w:tcBorders>
            <w:shd w:val="clear" w:color="auto" w:fill="808080" w:themeFill="background1" w:themeFillShade="80"/>
            <w:vAlign w:val="center"/>
            <w:hideMark/>
          </w:tcPr>
          <w:p w14:paraId="58DF0425" w14:textId="70802D27" w:rsidR="00BE1F38" w:rsidRPr="0002478A" w:rsidRDefault="009D36C6" w:rsidP="00BE1F38">
            <w:pPr>
              <w:jc w:val="center"/>
              <w:rPr>
                <w:rFonts w:ascii="Century Gothic" w:eastAsia="Times New Roman" w:hAnsi="Century Gothic"/>
                <w:b/>
                <w:bCs/>
                <w:sz w:val="18"/>
                <w:szCs w:val="18"/>
                <w:lang w:eastAsia="en-US"/>
              </w:rPr>
            </w:pPr>
            <w:r>
              <w:rPr>
                <w:rFonts w:ascii="Century Gothic" w:eastAsia="Times New Roman" w:hAnsi="Century Gothic"/>
                <w:b/>
                <w:bCs/>
                <w:sz w:val="18"/>
                <w:szCs w:val="18"/>
                <w:lang w:eastAsia="en-US"/>
              </w:rPr>
              <w:t>$4,026</w:t>
            </w:r>
            <w:r w:rsidR="008B1394">
              <w:rPr>
                <w:rFonts w:ascii="Century Gothic" w:eastAsia="Times New Roman" w:hAnsi="Century Gothic"/>
                <w:b/>
                <w:bCs/>
                <w:sz w:val="18"/>
                <w:szCs w:val="18"/>
                <w:lang w:eastAsia="en-US"/>
              </w:rPr>
              <w:t>,845.13</w:t>
            </w:r>
          </w:p>
        </w:tc>
      </w:tr>
    </w:tbl>
    <w:p w14:paraId="6919C63F" w14:textId="77777777" w:rsidR="00E16EB9" w:rsidRPr="0002478A" w:rsidRDefault="67ED8D9E" w:rsidP="004E1641">
      <w:pPr>
        <w:pStyle w:val="NoSpacing"/>
        <w:ind w:firstLine="720"/>
        <w:rPr>
          <w:rFonts w:ascii="Century Gothic" w:hAnsi="Century Gothic" w:cs="Times New Roman"/>
          <w:b w:val="0"/>
          <w:color w:val="auto"/>
          <w:sz w:val="18"/>
          <w:szCs w:val="18"/>
        </w:rPr>
      </w:pPr>
      <w:r w:rsidRPr="0002478A">
        <w:rPr>
          <w:rFonts w:ascii="Century Gothic" w:hAnsi="Century Gothic" w:cs="Times New Roman"/>
          <w:b w:val="0"/>
          <w:color w:val="auto"/>
          <w:sz w:val="18"/>
          <w:szCs w:val="18"/>
        </w:rPr>
        <w:t xml:space="preserve">*- </w:t>
      </w:r>
      <w:r w:rsidR="73B806FB" w:rsidRPr="0002478A">
        <w:rPr>
          <w:rFonts w:ascii="Century Gothic" w:hAnsi="Century Gothic" w:cs="Times New Roman"/>
          <w:b w:val="0"/>
          <w:color w:val="auto"/>
          <w:sz w:val="18"/>
          <w:szCs w:val="18"/>
        </w:rPr>
        <w:t xml:space="preserve">In </w:t>
      </w:r>
      <w:proofErr w:type="gramStart"/>
      <w:r w:rsidR="73B806FB" w:rsidRPr="0002478A">
        <w:rPr>
          <w:rFonts w:ascii="Century Gothic" w:hAnsi="Century Gothic" w:cs="Times New Roman"/>
          <w:b w:val="0"/>
          <w:color w:val="auto"/>
          <w:sz w:val="18"/>
          <w:szCs w:val="18"/>
        </w:rPr>
        <w:t>closing</w:t>
      </w:r>
      <w:r w:rsidRPr="0002478A">
        <w:rPr>
          <w:rFonts w:ascii="Century Gothic" w:hAnsi="Century Gothic" w:cs="Times New Roman"/>
          <w:b w:val="0"/>
          <w:color w:val="auto"/>
          <w:sz w:val="18"/>
          <w:szCs w:val="18"/>
        </w:rPr>
        <w:t>,</w:t>
      </w:r>
      <w:r w:rsidR="7265E60A" w:rsidRPr="0002478A">
        <w:rPr>
          <w:rFonts w:ascii="Century Gothic" w:hAnsi="Century Gothic" w:cs="Times New Roman"/>
          <w:b w:val="0"/>
          <w:color w:val="auto"/>
          <w:sz w:val="18"/>
          <w:szCs w:val="18"/>
        </w:rPr>
        <w:t>*</w:t>
      </w:r>
      <w:proofErr w:type="gramEnd"/>
      <w:r w:rsidR="7265E60A" w:rsidRPr="0002478A">
        <w:rPr>
          <w:rFonts w:ascii="Century Gothic" w:hAnsi="Century Gothic" w:cs="Times New Roman"/>
          <w:b w:val="0"/>
          <w:color w:val="auto"/>
          <w:sz w:val="18"/>
          <w:szCs w:val="18"/>
        </w:rPr>
        <w:t>*Proposed</w:t>
      </w:r>
    </w:p>
    <w:p w14:paraId="2127C8E1" w14:textId="66265F10" w:rsidR="00627F7B" w:rsidRPr="0002478A" w:rsidRDefault="00627F7B" w:rsidP="004E1641">
      <w:pPr>
        <w:pStyle w:val="NoSpacing"/>
        <w:ind w:firstLine="720"/>
        <w:rPr>
          <w:rStyle w:val="SubtleEmphasis"/>
          <w:rFonts w:ascii="Century Gothic" w:hAnsi="Century Gothic" w:cs="Times New Roman"/>
          <w:b w:val="0"/>
          <w:color w:val="auto"/>
          <w:sz w:val="20"/>
          <w:szCs w:val="20"/>
        </w:rPr>
        <w:sectPr w:rsidR="00627F7B" w:rsidRPr="0002478A" w:rsidSect="00301E00">
          <w:pgSz w:w="12240" w:h="15840"/>
          <w:pgMar w:top="1152" w:right="1152" w:bottom="1152" w:left="1152" w:header="720" w:footer="720" w:gutter="0"/>
          <w:cols w:space="720"/>
          <w:titlePg/>
          <w:docGrid w:linePitch="360"/>
        </w:sectPr>
      </w:pPr>
    </w:p>
    <w:tbl>
      <w:tblPr>
        <w:tblStyle w:val="TableGrid7"/>
        <w:tblW w:w="9990" w:type="dxa"/>
        <w:tblLook w:val="04A0" w:firstRow="1" w:lastRow="0" w:firstColumn="1" w:lastColumn="0" w:noHBand="0" w:noVBand="1"/>
      </w:tblPr>
      <w:tblGrid>
        <w:gridCol w:w="1718"/>
        <w:gridCol w:w="2132"/>
        <w:gridCol w:w="1703"/>
        <w:gridCol w:w="2997"/>
        <w:gridCol w:w="1440"/>
      </w:tblGrid>
      <w:tr w:rsidR="00170980" w:rsidRPr="00680A2A" w14:paraId="6ACDF0BE" w14:textId="77777777" w:rsidTr="6468795D">
        <w:trPr>
          <w:trHeight w:val="400"/>
        </w:trPr>
        <w:tc>
          <w:tcPr>
            <w:tcW w:w="9990" w:type="dxa"/>
            <w:gridSpan w:val="5"/>
            <w:tcBorders>
              <w:top w:val="nil"/>
              <w:left w:val="nil"/>
              <w:bottom w:val="single" w:sz="24" w:space="0" w:color="B5333C" w:themeColor="accent2"/>
              <w:right w:val="nil"/>
            </w:tcBorders>
            <w:shd w:val="clear" w:color="auto" w:fill="808080" w:themeFill="background1" w:themeFillShade="80"/>
          </w:tcPr>
          <w:p w14:paraId="5343CAF5" w14:textId="77777777" w:rsidR="00170980" w:rsidRPr="0002478A" w:rsidRDefault="00170980" w:rsidP="00C115AB">
            <w:pPr>
              <w:jc w:val="center"/>
              <w:rPr>
                <w:rFonts w:ascii="Century Gothic" w:hAnsi="Century Gothic"/>
                <w:b/>
                <w:bCs/>
                <w:iCs/>
                <w:szCs w:val="22"/>
              </w:rPr>
            </w:pPr>
            <w:r w:rsidRPr="0002478A">
              <w:rPr>
                <w:rFonts w:ascii="Century Gothic" w:hAnsi="Century Gothic"/>
                <w:b/>
                <w:bCs/>
                <w:iCs/>
                <w:szCs w:val="22"/>
              </w:rPr>
              <w:lastRenderedPageBreak/>
              <w:t>Redevelopment Metrics</w:t>
            </w:r>
          </w:p>
        </w:tc>
      </w:tr>
      <w:tr w:rsidR="00170980" w:rsidRPr="00680A2A" w14:paraId="176E02DA" w14:textId="77777777" w:rsidTr="6468795D">
        <w:trPr>
          <w:trHeight w:val="400"/>
        </w:trPr>
        <w:tc>
          <w:tcPr>
            <w:tcW w:w="9990" w:type="dxa"/>
            <w:gridSpan w:val="5"/>
            <w:tcBorders>
              <w:top w:val="single" w:sz="24" w:space="0" w:color="B5333C" w:themeColor="accent2"/>
              <w:left w:val="nil"/>
              <w:bottom w:val="single" w:sz="4" w:space="0" w:color="D9D9D9" w:themeColor="background1" w:themeShade="D9"/>
              <w:right w:val="nil"/>
            </w:tcBorders>
            <w:shd w:val="clear" w:color="auto" w:fill="808080" w:themeFill="background1" w:themeFillShade="80"/>
            <w:hideMark/>
          </w:tcPr>
          <w:p w14:paraId="7999AC25" w14:textId="77777777" w:rsidR="00170980" w:rsidRPr="0002478A" w:rsidRDefault="00170980" w:rsidP="00C115AB">
            <w:pPr>
              <w:jc w:val="center"/>
              <w:rPr>
                <w:rFonts w:ascii="Century Gothic" w:hAnsi="Century Gothic"/>
                <w:b/>
                <w:bCs/>
                <w:iCs/>
                <w:szCs w:val="22"/>
              </w:rPr>
            </w:pPr>
            <w:r w:rsidRPr="0002478A">
              <w:rPr>
                <w:rFonts w:ascii="Century Gothic" w:hAnsi="Century Gothic"/>
                <w:b/>
                <w:bCs/>
                <w:iCs/>
                <w:szCs w:val="22"/>
              </w:rPr>
              <w:t>Internal Metric #2: REAC Scores</w:t>
            </w:r>
          </w:p>
        </w:tc>
      </w:tr>
      <w:tr w:rsidR="00170980" w:rsidRPr="00680A2A" w14:paraId="5A4FB0C9" w14:textId="77777777" w:rsidTr="6468795D">
        <w:trPr>
          <w:trHeight w:val="70"/>
        </w:trPr>
        <w:tc>
          <w:tcPr>
            <w:tcW w:w="171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2701EF6" w14:textId="77777777" w:rsidR="00170980" w:rsidRPr="00833147" w:rsidRDefault="00170980" w:rsidP="00C115AB">
            <w:pPr>
              <w:jc w:val="center"/>
              <w:rPr>
                <w:rFonts w:ascii="Century Gothic" w:hAnsi="Century Gothic"/>
                <w:szCs w:val="22"/>
              </w:rPr>
            </w:pPr>
            <w:r w:rsidRPr="00833147">
              <w:rPr>
                <w:rFonts w:ascii="Century Gothic" w:hAnsi="Century Gothic"/>
                <w:b/>
                <w:bCs/>
                <w:szCs w:val="22"/>
              </w:rPr>
              <w:t>Unit of Measurement</w:t>
            </w:r>
          </w:p>
        </w:tc>
        <w:tc>
          <w:tcPr>
            <w:tcW w:w="21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260C54B" w14:textId="77777777" w:rsidR="00170980" w:rsidRPr="00833147" w:rsidRDefault="00170980" w:rsidP="00C115AB">
            <w:pPr>
              <w:jc w:val="center"/>
              <w:rPr>
                <w:rFonts w:ascii="Century Gothic" w:hAnsi="Century Gothic"/>
                <w:szCs w:val="22"/>
              </w:rPr>
            </w:pPr>
            <w:r w:rsidRPr="00833147">
              <w:rPr>
                <w:rFonts w:ascii="Century Gothic" w:hAnsi="Century Gothic"/>
                <w:b/>
                <w:bCs/>
                <w:szCs w:val="22"/>
              </w:rPr>
              <w:t>Baseline</w:t>
            </w:r>
          </w:p>
        </w:tc>
        <w:tc>
          <w:tcPr>
            <w:tcW w:w="17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57DA6E2" w14:textId="77777777" w:rsidR="00170980" w:rsidRPr="00833147" w:rsidRDefault="00170980" w:rsidP="00C115AB">
            <w:pPr>
              <w:jc w:val="center"/>
              <w:rPr>
                <w:rFonts w:ascii="Century Gothic" w:hAnsi="Century Gothic"/>
                <w:szCs w:val="22"/>
              </w:rPr>
            </w:pPr>
            <w:r w:rsidRPr="00833147">
              <w:rPr>
                <w:rFonts w:ascii="Century Gothic" w:hAnsi="Century Gothic"/>
                <w:b/>
                <w:bCs/>
                <w:szCs w:val="22"/>
              </w:rPr>
              <w:t>Benchmark</w:t>
            </w:r>
          </w:p>
        </w:tc>
        <w:tc>
          <w:tcPr>
            <w:tcW w:w="29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07827BC" w14:textId="77777777" w:rsidR="00170980" w:rsidRPr="00833147" w:rsidRDefault="00170980" w:rsidP="00C115AB">
            <w:pPr>
              <w:spacing w:after="240"/>
              <w:jc w:val="center"/>
              <w:rPr>
                <w:rFonts w:ascii="Century Gothic" w:hAnsi="Century Gothic"/>
              </w:rPr>
            </w:pPr>
            <w:r w:rsidRPr="00833147">
              <w:rPr>
                <w:rFonts w:ascii="Century Gothic" w:hAnsi="Century Gothic"/>
                <w:b/>
              </w:rPr>
              <w:t>Outcome</w:t>
            </w:r>
          </w:p>
        </w:tc>
        <w:tc>
          <w:tcPr>
            <w:tcW w:w="143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tcPr>
          <w:p w14:paraId="3C9925E6" w14:textId="77777777" w:rsidR="00170980" w:rsidRPr="00833147" w:rsidRDefault="00170980" w:rsidP="00C115AB">
            <w:pPr>
              <w:jc w:val="center"/>
              <w:rPr>
                <w:rFonts w:ascii="Century Gothic" w:hAnsi="Century Gothic"/>
                <w:szCs w:val="22"/>
              </w:rPr>
            </w:pPr>
            <w:r w:rsidRPr="00833147">
              <w:rPr>
                <w:rFonts w:ascii="Century Gothic" w:hAnsi="Century Gothic"/>
                <w:b/>
                <w:bCs/>
                <w:szCs w:val="22"/>
              </w:rPr>
              <w:t>Benchmark Achieved?</w:t>
            </w:r>
          </w:p>
        </w:tc>
      </w:tr>
      <w:tr w:rsidR="00170980" w:rsidRPr="00680A2A" w14:paraId="57948DC3" w14:textId="77777777" w:rsidTr="6468795D">
        <w:trPr>
          <w:trHeight w:val="1385"/>
        </w:trPr>
        <w:tc>
          <w:tcPr>
            <w:tcW w:w="171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E3DECC1" w14:textId="77777777" w:rsidR="00170980" w:rsidRPr="00833147" w:rsidRDefault="00170980" w:rsidP="00C115AB">
            <w:pPr>
              <w:rPr>
                <w:rFonts w:ascii="Century Gothic" w:hAnsi="Century Gothic"/>
                <w:szCs w:val="22"/>
              </w:rPr>
            </w:pPr>
            <w:r w:rsidRPr="00833147">
              <w:rPr>
                <w:rFonts w:ascii="Century Gothic" w:hAnsi="Century Gothic"/>
                <w:szCs w:val="22"/>
              </w:rPr>
              <w:t>REAC scores</w:t>
            </w:r>
          </w:p>
        </w:tc>
        <w:tc>
          <w:tcPr>
            <w:tcW w:w="21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8B08ADE" w14:textId="5D7E8A65" w:rsidR="00170980" w:rsidRPr="00833147" w:rsidRDefault="00170980" w:rsidP="00C115AB">
            <w:pPr>
              <w:rPr>
                <w:rFonts w:ascii="Century Gothic" w:hAnsi="Century Gothic"/>
                <w:szCs w:val="22"/>
              </w:rPr>
            </w:pPr>
            <w:r w:rsidRPr="00833147">
              <w:rPr>
                <w:rFonts w:ascii="Century Gothic" w:hAnsi="Century Gothic"/>
                <w:szCs w:val="22"/>
              </w:rPr>
              <w:t xml:space="preserve">REAC score of 80 for </w:t>
            </w:r>
            <w:r w:rsidR="007F16D6" w:rsidRPr="00833147">
              <w:rPr>
                <w:rFonts w:ascii="Century Gothic" w:hAnsi="Century Gothic"/>
                <w:szCs w:val="22"/>
              </w:rPr>
              <w:t>ECC/HANH</w:t>
            </w:r>
            <w:r w:rsidRPr="00833147">
              <w:rPr>
                <w:rFonts w:ascii="Century Gothic" w:hAnsi="Century Gothic"/>
                <w:szCs w:val="22"/>
              </w:rPr>
              <w:t>'s developments (those reflecting alternate TDCs)</w:t>
            </w:r>
          </w:p>
        </w:tc>
        <w:tc>
          <w:tcPr>
            <w:tcW w:w="17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7CC4FEC" w14:textId="73461DAF" w:rsidR="00170980" w:rsidRPr="00833147" w:rsidRDefault="4FB03A1F" w:rsidP="00C115AB">
            <w:pPr>
              <w:rPr>
                <w:rFonts w:ascii="Century Gothic" w:hAnsi="Century Gothic"/>
              </w:rPr>
            </w:pPr>
            <w:r w:rsidRPr="00833147">
              <w:rPr>
                <w:rFonts w:ascii="Century Gothic" w:hAnsi="Century Gothic"/>
              </w:rPr>
              <w:t>At least a</w:t>
            </w:r>
            <w:r w:rsidR="5209AF06" w:rsidRPr="00833147">
              <w:rPr>
                <w:rFonts w:ascii="Century Gothic" w:hAnsi="Century Gothic"/>
              </w:rPr>
              <w:t>10</w:t>
            </w:r>
            <w:r w:rsidR="00170980" w:rsidRPr="00833147">
              <w:rPr>
                <w:rFonts w:ascii="Century Gothic" w:hAnsi="Century Gothic"/>
              </w:rPr>
              <w:t>% increase. REAC scores would reach 88.</w:t>
            </w:r>
          </w:p>
        </w:tc>
        <w:tc>
          <w:tcPr>
            <w:tcW w:w="29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DB544CC" w14:textId="774D3973" w:rsidR="00172B7E" w:rsidRPr="00833147" w:rsidRDefault="00172B7E" w:rsidP="00172B7E">
            <w:pPr>
              <w:rPr>
                <w:rFonts w:ascii="Century Gothic" w:hAnsi="Century Gothic"/>
              </w:rPr>
            </w:pPr>
            <w:r w:rsidRPr="00833147">
              <w:rPr>
                <w:rFonts w:ascii="Century Gothic" w:hAnsi="Century Gothic"/>
              </w:rPr>
              <w:t xml:space="preserve">FY24 – Average </w:t>
            </w:r>
            <w:r w:rsidR="00EB7739">
              <w:rPr>
                <w:rFonts w:ascii="Century Gothic" w:hAnsi="Century Gothic"/>
              </w:rPr>
              <w:t xml:space="preserve">score </w:t>
            </w:r>
            <w:r w:rsidRPr="00833147">
              <w:rPr>
                <w:rFonts w:ascii="Century Gothic" w:hAnsi="Century Gothic"/>
              </w:rPr>
              <w:t>76</w:t>
            </w:r>
          </w:p>
          <w:p w14:paraId="3C2F9B26" w14:textId="77777777" w:rsidR="00172B7E" w:rsidRPr="00833147" w:rsidRDefault="00172B7E" w:rsidP="655A2699">
            <w:pPr>
              <w:rPr>
                <w:rFonts w:ascii="Century Gothic" w:hAnsi="Century Gothic"/>
              </w:rPr>
            </w:pPr>
          </w:p>
          <w:p w14:paraId="5422F271" w14:textId="5259055D" w:rsidR="00170980" w:rsidRPr="00833147" w:rsidRDefault="30D8B0D0" w:rsidP="655A2699">
            <w:pPr>
              <w:rPr>
                <w:rFonts w:ascii="Century Gothic" w:hAnsi="Century Gothic"/>
              </w:rPr>
            </w:pPr>
            <w:r w:rsidRPr="00833147">
              <w:rPr>
                <w:rFonts w:ascii="Century Gothic" w:hAnsi="Century Gothic"/>
              </w:rPr>
              <w:t xml:space="preserve">Refer to Appendix 8: ECC/HANH Development REAC Scores for specific data points. </w:t>
            </w:r>
          </w:p>
          <w:p w14:paraId="0C209E95" w14:textId="167AAE88" w:rsidR="7A144062" w:rsidRPr="00833147" w:rsidRDefault="7A144062" w:rsidP="7A144062">
            <w:pPr>
              <w:rPr>
                <w:rFonts w:ascii="Century Gothic" w:hAnsi="Century Gothic"/>
              </w:rPr>
            </w:pPr>
          </w:p>
          <w:p w14:paraId="5BBBAD7E" w14:textId="77777777" w:rsidR="00170980" w:rsidRPr="00833147" w:rsidRDefault="00170980" w:rsidP="00172B7E">
            <w:pPr>
              <w:rPr>
                <w:rFonts w:ascii="Century Gothic" w:hAnsi="Century Gothic"/>
                <w:szCs w:val="22"/>
              </w:rPr>
            </w:pPr>
          </w:p>
        </w:tc>
        <w:tc>
          <w:tcPr>
            <w:tcW w:w="143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49FBAFD0" w14:textId="4AAC254A" w:rsidR="00170980" w:rsidRPr="00833147" w:rsidRDefault="5C8D7236" w:rsidP="0175C16E">
            <w:pPr>
              <w:rPr>
                <w:rFonts w:ascii="Century Gothic" w:hAnsi="Century Gothic"/>
              </w:rPr>
            </w:pPr>
            <w:r w:rsidRPr="00833147">
              <w:rPr>
                <w:rFonts w:ascii="Century Gothic" w:hAnsi="Century Gothic"/>
              </w:rPr>
              <w:t xml:space="preserve"> </w:t>
            </w:r>
            <w:r w:rsidR="6000F699" w:rsidRPr="00833147">
              <w:rPr>
                <w:rFonts w:ascii="Century Gothic" w:hAnsi="Century Gothic"/>
              </w:rPr>
              <w:t>No</w:t>
            </w:r>
          </w:p>
        </w:tc>
      </w:tr>
      <w:tr w:rsidR="00170980" w:rsidRPr="00680A2A" w14:paraId="5ACE8445" w14:textId="77777777" w:rsidTr="6468795D">
        <w:trPr>
          <w:trHeight w:val="400"/>
        </w:trPr>
        <w:tc>
          <w:tcPr>
            <w:tcW w:w="9990" w:type="dxa"/>
            <w:gridSpan w:val="5"/>
            <w:tcBorders>
              <w:top w:val="single" w:sz="4" w:space="0" w:color="D9D9D9" w:themeColor="background1" w:themeShade="D9"/>
              <w:left w:val="nil"/>
              <w:bottom w:val="single" w:sz="4" w:space="0" w:color="D9D9D9" w:themeColor="background1" w:themeShade="D9"/>
              <w:right w:val="nil"/>
            </w:tcBorders>
            <w:shd w:val="clear" w:color="auto" w:fill="808080" w:themeFill="background1" w:themeFillShade="80"/>
            <w:hideMark/>
          </w:tcPr>
          <w:p w14:paraId="790F4B73" w14:textId="77777777" w:rsidR="00170980" w:rsidRPr="00833147" w:rsidRDefault="00170980" w:rsidP="00C115AB">
            <w:pPr>
              <w:jc w:val="center"/>
              <w:rPr>
                <w:rFonts w:ascii="Century Gothic" w:hAnsi="Century Gothic"/>
                <w:b/>
                <w:bCs/>
                <w:iCs/>
                <w:szCs w:val="22"/>
              </w:rPr>
            </w:pPr>
            <w:r w:rsidRPr="00833147">
              <w:rPr>
                <w:rFonts w:ascii="Century Gothic" w:hAnsi="Century Gothic"/>
                <w:b/>
                <w:bCs/>
                <w:iCs/>
                <w:szCs w:val="22"/>
              </w:rPr>
              <w:t>Internal Metric #3: Average work order</w:t>
            </w:r>
          </w:p>
        </w:tc>
      </w:tr>
      <w:tr w:rsidR="00170980" w:rsidRPr="00680A2A" w14:paraId="6E651413" w14:textId="77777777" w:rsidTr="6468795D">
        <w:trPr>
          <w:trHeight w:val="2339"/>
        </w:trPr>
        <w:tc>
          <w:tcPr>
            <w:tcW w:w="171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FB530E5" w14:textId="77777777" w:rsidR="00170980" w:rsidRPr="00833147" w:rsidRDefault="30D8B0D0" w:rsidP="655A2699">
            <w:pPr>
              <w:rPr>
                <w:rFonts w:ascii="Century Gothic" w:hAnsi="Century Gothic"/>
              </w:rPr>
            </w:pPr>
            <w:r w:rsidRPr="00833147">
              <w:rPr>
                <w:rFonts w:ascii="Century Gothic" w:hAnsi="Century Gothic"/>
              </w:rPr>
              <w:t>Work orders per property</w:t>
            </w:r>
          </w:p>
        </w:tc>
        <w:tc>
          <w:tcPr>
            <w:tcW w:w="21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5219543" w14:textId="77777777" w:rsidR="00170980" w:rsidRPr="00833147" w:rsidRDefault="00170980" w:rsidP="00C115AB">
            <w:pPr>
              <w:rPr>
                <w:rFonts w:ascii="Century Gothic" w:hAnsi="Century Gothic"/>
                <w:szCs w:val="22"/>
              </w:rPr>
            </w:pPr>
            <w:r w:rsidRPr="00833147">
              <w:rPr>
                <w:rFonts w:ascii="Century Gothic" w:hAnsi="Century Gothic"/>
                <w:szCs w:val="22"/>
              </w:rPr>
              <w:t>N/A</w:t>
            </w:r>
          </w:p>
        </w:tc>
        <w:tc>
          <w:tcPr>
            <w:tcW w:w="17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467FD8A" w14:textId="77777777" w:rsidR="00170980" w:rsidRPr="00833147" w:rsidRDefault="00170980" w:rsidP="00C115AB">
            <w:pPr>
              <w:rPr>
                <w:rFonts w:ascii="Century Gothic" w:hAnsi="Century Gothic"/>
                <w:szCs w:val="22"/>
              </w:rPr>
            </w:pPr>
            <w:r w:rsidRPr="00833147">
              <w:rPr>
                <w:rFonts w:ascii="Century Gothic" w:hAnsi="Century Gothic"/>
                <w:szCs w:val="22"/>
              </w:rPr>
              <w:t xml:space="preserve">Brookside Phase I: 1,000 (10 work/year) </w:t>
            </w:r>
            <w:r w:rsidRPr="00833147">
              <w:rPr>
                <w:rFonts w:ascii="Century Gothic" w:hAnsi="Century Gothic"/>
                <w:szCs w:val="22"/>
              </w:rPr>
              <w:br/>
            </w:r>
          </w:p>
          <w:p w14:paraId="74765492" w14:textId="77777777" w:rsidR="00170980" w:rsidRPr="00833147" w:rsidRDefault="00170980" w:rsidP="00C115AB">
            <w:pPr>
              <w:rPr>
                <w:rFonts w:ascii="Century Gothic" w:hAnsi="Century Gothic"/>
                <w:szCs w:val="22"/>
              </w:rPr>
            </w:pPr>
            <w:r w:rsidRPr="00833147">
              <w:rPr>
                <w:rFonts w:ascii="Century Gothic" w:hAnsi="Century Gothic"/>
                <w:szCs w:val="22"/>
              </w:rPr>
              <w:t>Brookside Phase II: 1,000</w:t>
            </w:r>
            <w:r w:rsidRPr="00833147">
              <w:rPr>
                <w:rFonts w:ascii="Century Gothic" w:hAnsi="Century Gothic"/>
                <w:szCs w:val="22"/>
              </w:rPr>
              <w:br/>
              <w:t>QT1: 560</w:t>
            </w:r>
            <w:r w:rsidRPr="00833147">
              <w:rPr>
                <w:rFonts w:ascii="Century Gothic" w:hAnsi="Century Gothic"/>
                <w:szCs w:val="22"/>
              </w:rPr>
              <w:br/>
              <w:t>QT2: 580</w:t>
            </w:r>
            <w:r w:rsidRPr="00833147">
              <w:rPr>
                <w:rFonts w:ascii="Century Gothic" w:hAnsi="Century Gothic"/>
                <w:szCs w:val="22"/>
              </w:rPr>
              <w:br/>
              <w:t xml:space="preserve">QT3: 170 </w:t>
            </w:r>
            <w:r w:rsidRPr="00833147">
              <w:rPr>
                <w:rFonts w:ascii="Century Gothic" w:hAnsi="Century Gothic"/>
                <w:szCs w:val="22"/>
              </w:rPr>
              <w:br/>
            </w:r>
          </w:p>
          <w:p w14:paraId="7A976324" w14:textId="77777777" w:rsidR="00170980" w:rsidRPr="00833147" w:rsidRDefault="00170980" w:rsidP="00C115AB">
            <w:pPr>
              <w:rPr>
                <w:rFonts w:ascii="Century Gothic" w:hAnsi="Century Gothic"/>
                <w:szCs w:val="22"/>
              </w:rPr>
            </w:pPr>
            <w:r w:rsidRPr="00833147">
              <w:rPr>
                <w:rFonts w:ascii="Century Gothic" w:hAnsi="Century Gothic"/>
                <w:szCs w:val="22"/>
              </w:rPr>
              <w:t>Eastview: 1,020</w:t>
            </w:r>
          </w:p>
        </w:tc>
        <w:tc>
          <w:tcPr>
            <w:tcW w:w="29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CFE438B" w14:textId="15C36DF3" w:rsidR="0086600B" w:rsidRPr="00833147" w:rsidRDefault="00172B7E" w:rsidP="0175C16E">
            <w:pPr>
              <w:rPr>
                <w:rFonts w:ascii="Century Gothic" w:hAnsi="Century Gothic"/>
              </w:rPr>
            </w:pPr>
            <w:r w:rsidRPr="00833147">
              <w:rPr>
                <w:rFonts w:ascii="Century Gothic" w:hAnsi="Century Gothic"/>
              </w:rPr>
              <w:t>FY24 - 801</w:t>
            </w:r>
          </w:p>
          <w:p w14:paraId="25A35B39" w14:textId="77777777" w:rsidR="0086600B" w:rsidRPr="00833147" w:rsidRDefault="0086600B" w:rsidP="0175C16E">
            <w:pPr>
              <w:rPr>
                <w:rFonts w:ascii="Century Gothic" w:hAnsi="Century Gothic"/>
              </w:rPr>
            </w:pPr>
          </w:p>
          <w:p w14:paraId="1CC350E5" w14:textId="4B0F5100" w:rsidR="00170980" w:rsidRPr="00833147" w:rsidRDefault="343973E3" w:rsidP="0175C16E">
            <w:pPr>
              <w:rPr>
                <w:rFonts w:ascii="Century Gothic" w:hAnsi="Century Gothic"/>
              </w:rPr>
            </w:pPr>
            <w:r w:rsidRPr="00833147">
              <w:rPr>
                <w:rFonts w:ascii="Century Gothic" w:hAnsi="Century Gothic"/>
              </w:rPr>
              <w:t xml:space="preserve">Refer to Appendix 9: Work Orders, FY09 to </w:t>
            </w:r>
            <w:r w:rsidR="00B27515" w:rsidRPr="00833147">
              <w:rPr>
                <w:rFonts w:ascii="Century Gothic" w:hAnsi="Century Gothic"/>
              </w:rPr>
              <w:t xml:space="preserve">FY24 </w:t>
            </w:r>
            <w:r w:rsidRPr="00833147">
              <w:rPr>
                <w:rFonts w:ascii="Century Gothic" w:hAnsi="Century Gothic"/>
              </w:rPr>
              <w:t xml:space="preserve">for specific data points. </w:t>
            </w:r>
          </w:p>
          <w:p w14:paraId="0C031B90" w14:textId="77777777" w:rsidR="00170980" w:rsidRPr="00833147" w:rsidRDefault="00170980" w:rsidP="00C115AB">
            <w:pPr>
              <w:rPr>
                <w:rFonts w:ascii="Century Gothic" w:hAnsi="Century Gothic"/>
                <w:szCs w:val="22"/>
              </w:rPr>
            </w:pPr>
          </w:p>
        </w:tc>
        <w:tc>
          <w:tcPr>
            <w:tcW w:w="143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6E4529E4" w14:textId="737BFE36" w:rsidR="00170980" w:rsidRPr="00833147" w:rsidRDefault="005B0671" w:rsidP="00C115AB">
            <w:pPr>
              <w:rPr>
                <w:rFonts w:ascii="Century Gothic" w:hAnsi="Century Gothic"/>
              </w:rPr>
            </w:pPr>
            <w:r w:rsidRPr="00833147">
              <w:rPr>
                <w:rFonts w:ascii="Century Gothic" w:hAnsi="Century Gothic"/>
              </w:rPr>
              <w:t>Yes</w:t>
            </w:r>
          </w:p>
        </w:tc>
      </w:tr>
      <w:tr w:rsidR="00170980" w:rsidRPr="00680A2A" w14:paraId="00D94133" w14:textId="77777777" w:rsidTr="6468795D">
        <w:trPr>
          <w:trHeight w:val="400"/>
        </w:trPr>
        <w:tc>
          <w:tcPr>
            <w:tcW w:w="9990"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hideMark/>
          </w:tcPr>
          <w:p w14:paraId="36C00DAC" w14:textId="5F249DE4" w:rsidR="00170980" w:rsidRPr="00833147" w:rsidRDefault="00170980" w:rsidP="00C115AB">
            <w:pPr>
              <w:jc w:val="center"/>
              <w:rPr>
                <w:rFonts w:ascii="Century Gothic" w:hAnsi="Century Gothic"/>
                <w:b/>
                <w:bCs/>
                <w:iCs/>
                <w:szCs w:val="22"/>
              </w:rPr>
            </w:pPr>
          </w:p>
        </w:tc>
      </w:tr>
    </w:tbl>
    <w:p w14:paraId="6BE01D3C" w14:textId="6C7C4B26" w:rsidR="000D6D4F" w:rsidRPr="00833147" w:rsidRDefault="000D6D4F" w:rsidP="005F15F0">
      <w:pPr>
        <w:rPr>
          <w:rFonts w:ascii="Century Gothic" w:eastAsia="Calibri" w:hAnsi="Century Gothic"/>
        </w:rPr>
      </w:pPr>
    </w:p>
    <w:p w14:paraId="330BE5A9" w14:textId="2153C9F6" w:rsidR="00A47857" w:rsidRPr="00833147" w:rsidRDefault="3EDBE1A0" w:rsidP="00A47857">
      <w:pPr>
        <w:rPr>
          <w:rFonts w:ascii="Century Gothic" w:eastAsia="Calibri" w:hAnsi="Century Gothic"/>
        </w:rPr>
      </w:pPr>
      <w:r w:rsidRPr="00833147">
        <w:rPr>
          <w:rFonts w:ascii="Century Gothic" w:eastAsia="Calibri" w:hAnsi="Century Gothic"/>
        </w:rPr>
        <w:t xml:space="preserve">For all properties redeveloped with </w:t>
      </w:r>
      <w:r w:rsidR="53531215" w:rsidRPr="00833147">
        <w:rPr>
          <w:rFonts w:ascii="Century Gothic" w:eastAsia="Calibri" w:hAnsi="Century Gothic"/>
        </w:rPr>
        <w:t>alternate</w:t>
      </w:r>
      <w:r w:rsidRPr="00833147">
        <w:rPr>
          <w:rFonts w:ascii="Century Gothic" w:eastAsia="Calibri" w:hAnsi="Century Gothic"/>
        </w:rPr>
        <w:t xml:space="preserve"> TDCs, the </w:t>
      </w:r>
      <w:r w:rsidR="76670B85" w:rsidRPr="00833147">
        <w:rPr>
          <w:rFonts w:ascii="Century Gothic" w:eastAsia="Calibri" w:hAnsi="Century Gothic"/>
        </w:rPr>
        <w:t>benchmark</w:t>
      </w:r>
      <w:r w:rsidR="5A972C12" w:rsidRPr="00833147">
        <w:rPr>
          <w:rFonts w:ascii="Century Gothic" w:eastAsia="Calibri" w:hAnsi="Century Gothic"/>
        </w:rPr>
        <w:t>s were met</w:t>
      </w:r>
      <w:r w:rsidRPr="00833147">
        <w:rPr>
          <w:rFonts w:ascii="Century Gothic" w:eastAsia="Calibri" w:hAnsi="Century Gothic"/>
        </w:rPr>
        <w:t xml:space="preserve">.  </w:t>
      </w:r>
      <w:r w:rsidR="28231FDF" w:rsidRPr="00833147">
        <w:rPr>
          <w:rFonts w:ascii="Century Gothic" w:eastAsia="Calibri" w:hAnsi="Century Gothic"/>
        </w:rPr>
        <w:t xml:space="preserve"> </w:t>
      </w:r>
    </w:p>
    <w:p w14:paraId="718EFC86" w14:textId="77777777" w:rsidR="00E4631F" w:rsidRDefault="00E4631F" w:rsidP="61259C4B">
      <w:pPr>
        <w:pStyle w:val="Heading4"/>
        <w:rPr>
          <w:rStyle w:val="SubtleEmphasis"/>
          <w:rFonts w:ascii="Century Gothic" w:hAnsi="Century Gothic" w:cs="Times New Roman"/>
          <w:color w:val="808080" w:themeColor="background1" w:themeShade="80"/>
          <w:sz w:val="22"/>
        </w:rPr>
      </w:pPr>
    </w:p>
    <w:p w14:paraId="799C1453" w14:textId="59AA33B8" w:rsidR="000D6D4F" w:rsidRPr="0080152D" w:rsidRDefault="008F4BAE" w:rsidP="61259C4B">
      <w:pPr>
        <w:pStyle w:val="Heading4"/>
        <w:rPr>
          <w:rStyle w:val="SubtleEmphasis"/>
          <w:rFonts w:ascii="Century Gothic" w:hAnsi="Century Gothic" w:cs="Times New Roman"/>
          <w:color w:val="808080" w:themeColor="background1" w:themeShade="80"/>
          <w:sz w:val="22"/>
        </w:rPr>
      </w:pPr>
      <w:r w:rsidRPr="00833147">
        <w:rPr>
          <w:rStyle w:val="SubtleEmphasis"/>
          <w:rFonts w:ascii="Century Gothic" w:hAnsi="Century Gothic" w:cs="Times New Roman"/>
          <w:color w:val="808080" w:themeColor="background1" w:themeShade="80"/>
          <w:sz w:val="22"/>
        </w:rPr>
        <w:t>Actual Non-Significant Changes</w:t>
      </w:r>
    </w:p>
    <w:p w14:paraId="740925B0" w14:textId="506519CE" w:rsidR="00477BC6" w:rsidRPr="0080152D" w:rsidRDefault="0090456E" w:rsidP="005F15F0">
      <w:pPr>
        <w:rPr>
          <w:rFonts w:ascii="Century Gothic" w:hAnsi="Century Gothic"/>
        </w:rPr>
      </w:pPr>
      <w:r w:rsidRPr="0080152D">
        <w:rPr>
          <w:rFonts w:ascii="Century Gothic" w:hAnsi="Century Gothic"/>
        </w:rPr>
        <w:t>None</w:t>
      </w:r>
    </w:p>
    <w:p w14:paraId="3A0E7395" w14:textId="71B23B5F" w:rsidR="0064697B" w:rsidRPr="0080152D" w:rsidRDefault="0064697B" w:rsidP="005F15F0">
      <w:pPr>
        <w:rPr>
          <w:rFonts w:ascii="Century Gothic" w:hAnsi="Century Gothic"/>
        </w:rPr>
      </w:pPr>
    </w:p>
    <w:p w14:paraId="331B8437" w14:textId="27E1E38D" w:rsidR="0064697B" w:rsidRPr="0080152D" w:rsidRDefault="0064697B" w:rsidP="005F15F0">
      <w:pPr>
        <w:rPr>
          <w:rFonts w:ascii="Century Gothic" w:hAnsi="Century Gothic"/>
        </w:rPr>
      </w:pPr>
      <w:r w:rsidRPr="0080152D">
        <w:rPr>
          <w:rStyle w:val="SubtleEmphasis"/>
          <w:rFonts w:ascii="Century Gothic" w:eastAsiaTheme="majorEastAsia" w:hAnsi="Century Gothic"/>
          <w:b/>
          <w:color w:val="808080" w:themeColor="background1" w:themeShade="80"/>
          <w:sz w:val="22"/>
          <w:szCs w:val="22"/>
        </w:rPr>
        <w:t>Actual Significant Changes</w:t>
      </w:r>
    </w:p>
    <w:p w14:paraId="1FE35717" w14:textId="5C4052C3" w:rsidR="00477BC6" w:rsidRPr="0080152D" w:rsidRDefault="00DA1AF4" w:rsidP="005F15F0">
      <w:pPr>
        <w:rPr>
          <w:rFonts w:ascii="Century Gothic" w:hAnsi="Century Gothic"/>
        </w:rPr>
      </w:pPr>
      <w:r w:rsidRPr="0080152D">
        <w:rPr>
          <w:rFonts w:ascii="Century Gothic" w:hAnsi="Century Gothic"/>
        </w:rPr>
        <w:t>None</w:t>
      </w:r>
    </w:p>
    <w:p w14:paraId="4506DF1D" w14:textId="77777777" w:rsidR="0090456E" w:rsidRPr="0080152D" w:rsidRDefault="0090456E" w:rsidP="005F15F0">
      <w:pPr>
        <w:rPr>
          <w:rFonts w:ascii="Century Gothic" w:hAnsi="Century Gothic"/>
          <w:szCs w:val="22"/>
        </w:rPr>
      </w:pPr>
    </w:p>
    <w:p w14:paraId="2488E561" w14:textId="7EF43CAB" w:rsidR="00DE3797" w:rsidRPr="0080152D" w:rsidRDefault="00DE3797" w:rsidP="7A144062">
      <w:pPr>
        <w:rPr>
          <w:rFonts w:ascii="Century Gothic" w:hAnsi="Century Gothic"/>
        </w:rPr>
      </w:pPr>
      <w:bookmarkStart w:id="81" w:name="_Toc470178829"/>
      <w:bookmarkStart w:id="82" w:name="_Toc470179733"/>
      <w:bookmarkStart w:id="83" w:name="_Toc502307784"/>
      <w:bookmarkStart w:id="84" w:name="_Toc528927259"/>
    </w:p>
    <w:p w14:paraId="06908CA3" w14:textId="6463E979" w:rsidR="655A2699" w:rsidRPr="0080152D" w:rsidRDefault="00DE3797">
      <w:pPr>
        <w:rPr>
          <w:rFonts w:ascii="Century Gothic" w:hAnsi="Century Gothic"/>
        </w:rPr>
      </w:pPr>
      <w:r w:rsidRPr="0080152D">
        <w:rPr>
          <w:rFonts w:ascii="Century Gothic" w:hAnsi="Century Gothic"/>
        </w:rPr>
        <w:br w:type="page"/>
      </w:r>
    </w:p>
    <w:bookmarkStart w:id="85" w:name="_Toc89871153"/>
    <w:bookmarkStart w:id="86" w:name="_Hlk112754234"/>
    <w:p w14:paraId="2A791BE2" w14:textId="11176098" w:rsidR="00C441FB" w:rsidRPr="00680A2A" w:rsidRDefault="00DE6A54" w:rsidP="007966B9">
      <w:pPr>
        <w:pStyle w:val="MTWHeader2"/>
        <w:rPr>
          <w:rFonts w:ascii="Century Gothic" w:hAnsi="Century Gothic" w:cs="Times New Roman"/>
          <w:sz w:val="22"/>
          <w:szCs w:val="22"/>
        </w:rPr>
      </w:pPr>
      <w:r w:rsidRPr="00680A2A">
        <w:rPr>
          <w:rFonts w:ascii="Century Gothic" w:hAnsi="Century Gothic"/>
        </w:rPr>
        <w:lastRenderedPageBreak/>
        <mc:AlternateContent>
          <mc:Choice Requires="wpg">
            <w:drawing>
              <wp:anchor distT="0" distB="0" distL="114300" distR="114300" simplePos="0" relativeHeight="251658256" behindDoc="1" locked="0" layoutInCell="1" allowOverlap="1" wp14:anchorId="241CC145" wp14:editId="75607938">
                <wp:simplePos x="0" y="0"/>
                <wp:positionH relativeFrom="column">
                  <wp:posOffset>4808220</wp:posOffset>
                </wp:positionH>
                <wp:positionV relativeFrom="paragraph">
                  <wp:posOffset>358140</wp:posOffset>
                </wp:positionV>
                <wp:extent cx="1173480" cy="708660"/>
                <wp:effectExtent l="0" t="0" r="7620" b="0"/>
                <wp:wrapTight wrapText="bothSides">
                  <wp:wrapPolygon edited="0">
                    <wp:start x="0" y="0"/>
                    <wp:lineTo x="0" y="21484"/>
                    <wp:lineTo x="21740" y="21484"/>
                    <wp:lineTo x="21740" y="0"/>
                    <wp:lineTo x="0" y="0"/>
                  </wp:wrapPolygon>
                </wp:wrapTight>
                <wp:docPr id="4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3480" cy="708660"/>
                          <a:chOff x="0" y="0"/>
                          <a:chExt cx="13182" cy="6172"/>
                        </a:xfrm>
                      </wpg:grpSpPr>
                      <wps:wsp>
                        <wps:cNvPr id="477" name="Rectangle: Rounded Corners 7"/>
                        <wps:cNvSpPr>
                          <a:spLocks noChangeArrowheads="1"/>
                        </wps:cNvSpPr>
                        <wps:spPr bwMode="auto">
                          <a:xfrm>
                            <a:off x="0" y="0"/>
                            <a:ext cx="13182" cy="3048"/>
                          </a:xfrm>
                          <a:prstGeom prst="roundRect">
                            <a:avLst>
                              <a:gd name="adj" fmla="val 16667"/>
                            </a:avLst>
                          </a:prstGeom>
                          <a:solidFill>
                            <a:schemeClr val="accent2">
                              <a:lumMod val="100000"/>
                              <a:lumOff val="0"/>
                            </a:schemeClr>
                          </a:solidFill>
                          <a:ln w="12700">
                            <a:solidFill>
                              <a:schemeClr val="bg1">
                                <a:lumMod val="100000"/>
                                <a:lumOff val="0"/>
                              </a:schemeClr>
                            </a:solidFill>
                            <a:miter lim="800000"/>
                            <a:headEnd/>
                            <a:tailEnd/>
                          </a:ln>
                        </wps:spPr>
                        <wps:txbx>
                          <w:txbxContent>
                            <w:p w14:paraId="14D15BDD" w14:textId="77777777" w:rsidR="009F26DD" w:rsidRDefault="009F26DD" w:rsidP="002902B7">
                              <w:pPr>
                                <w:jc w:val="center"/>
                                <w:rPr>
                                  <w:b/>
                                  <w:color w:val="FFFFFF" w:themeColor="background1"/>
                                </w:rPr>
                              </w:pPr>
                              <w:r>
                                <w:rPr>
                                  <w:b/>
                                  <w:color w:val="FFFFFF" w:themeColor="background1"/>
                                </w:rPr>
                                <w:t>Cost Effective</w:t>
                              </w:r>
                            </w:p>
                          </w:txbxContent>
                        </wps:txbx>
                        <wps:bodyPr rot="0" vert="horz" wrap="square" lIns="91440" tIns="45720" rIns="91440" bIns="45720" anchor="ctr" anchorCtr="0" upright="1">
                          <a:noAutofit/>
                        </wps:bodyPr>
                      </wps:wsp>
                      <wps:wsp>
                        <wps:cNvPr id="69" name="Rectangle: Rounded Corners 8"/>
                        <wps:cNvSpPr>
                          <a:spLocks noChangeArrowheads="1"/>
                        </wps:cNvSpPr>
                        <wps:spPr bwMode="auto">
                          <a:xfrm>
                            <a:off x="0" y="3124"/>
                            <a:ext cx="13182" cy="3048"/>
                          </a:xfrm>
                          <a:prstGeom prst="roundRect">
                            <a:avLst>
                              <a:gd name="adj" fmla="val 16667"/>
                            </a:avLst>
                          </a:prstGeom>
                          <a:solidFill>
                            <a:schemeClr val="accent2">
                              <a:lumMod val="100000"/>
                              <a:lumOff val="0"/>
                            </a:schemeClr>
                          </a:solidFill>
                          <a:ln w="12700">
                            <a:solidFill>
                              <a:schemeClr val="bg1">
                                <a:lumMod val="100000"/>
                                <a:lumOff val="0"/>
                              </a:schemeClr>
                            </a:solidFill>
                            <a:miter lim="800000"/>
                            <a:headEnd/>
                            <a:tailEnd/>
                          </a:ln>
                        </wps:spPr>
                        <wps:txbx>
                          <w:txbxContent>
                            <w:p w14:paraId="14AC72CB" w14:textId="77777777" w:rsidR="009F26DD" w:rsidRPr="000C2B63" w:rsidRDefault="009F26DD" w:rsidP="002902B7">
                              <w:pPr>
                                <w:jc w:val="center"/>
                                <w:rPr>
                                  <w:b/>
                                  <w:color w:val="FFFFFF" w:themeColor="background1"/>
                                  <w:szCs w:val="20"/>
                                </w:rPr>
                              </w:pPr>
                              <w:r w:rsidRPr="000C2B63">
                                <w:rPr>
                                  <w:b/>
                                  <w:color w:val="FFFFFF" w:themeColor="background1"/>
                                  <w:szCs w:val="20"/>
                                </w:rPr>
                                <w:t>Housing Choice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41CC145" id="Group 72" o:spid="_x0000_s1041" style="position:absolute;margin-left:378.6pt;margin-top:28.2pt;width:92.4pt;height:55.8pt;z-index:-251658224;mso-height-relative:margin" coordsize="13182,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">
                <v:roundrect id="Rectangle: Rounded Corners 7" o:spid="_x0000_s1042" style="position:absolute;width:131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" fillcolor="#b5333c [3205]" strokecolor="white [3212]" strokeweight="1pt">
                  <v:stroke joinstyle="miter"/>
                  <v:textbox>
                    <w:txbxContent>
                      <w:p w14:paraId="14D15BDD" w14:textId="77777777" w:rsidR="009F26DD" w:rsidRDefault="009F26DD" w:rsidP="002902B7">
                        <w:pPr>
                          <w:jc w:val="center"/>
                          <w:rPr>
                            <w:b/>
                            <w:color w:val="FFFFFF" w:themeColor="background1"/>
                          </w:rPr>
                        </w:pPr>
                        <w:r>
                          <w:rPr>
                            <w:b/>
                            <w:color w:val="FFFFFF" w:themeColor="background1"/>
                          </w:rPr>
                          <w:t>Cost Effective</w:t>
                        </w:r>
                      </w:p>
                    </w:txbxContent>
                  </v:textbox>
                </v:roundrect>
                <v:roundrect id="Rectangle: Rounded Corners 8" o:spid="_x0000_s1043" style="position:absolute;top:3124;width:131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" fillcolor="#b5333c [3205]" strokecolor="white [3212]" strokeweight="1pt">
                  <v:stroke joinstyle="miter"/>
                  <v:textbox>
                    <w:txbxContent>
                      <w:p w14:paraId="14AC72CB" w14:textId="77777777" w:rsidR="009F26DD" w:rsidRPr="000C2B63" w:rsidRDefault="009F26DD" w:rsidP="002902B7">
                        <w:pPr>
                          <w:jc w:val="center"/>
                          <w:rPr>
                            <w:b/>
                            <w:color w:val="FFFFFF" w:themeColor="background1"/>
                            <w:szCs w:val="20"/>
                          </w:rPr>
                        </w:pPr>
                        <w:r w:rsidRPr="000C2B63">
                          <w:rPr>
                            <w:b/>
                            <w:color w:val="FFFFFF" w:themeColor="background1"/>
                            <w:szCs w:val="20"/>
                          </w:rPr>
                          <w:t>Housing Choice</w:t>
                        </w:r>
                      </w:p>
                    </w:txbxContent>
                  </v:textbox>
                </v:roundrect>
                <w10:wrap type="tight"/>
              </v:group>
            </w:pict>
          </mc:Fallback>
        </mc:AlternateContent>
      </w:r>
      <w:r w:rsidR="00E64FFF" w:rsidRPr="00680A2A">
        <w:rPr>
          <w:rFonts w:ascii="Century Gothic" w:hAnsi="Century Gothic" w:cs="Times New Roman"/>
          <w:sz w:val="22"/>
          <w:szCs w:val="22"/>
        </w:rPr>
        <w:t>Initiative 1.4 and 1.10 – Defining Income Eligibility for the Project Based Voucher Programs</w:t>
      </w:r>
      <w:bookmarkEnd w:id="81"/>
      <w:bookmarkEnd w:id="82"/>
      <w:bookmarkEnd w:id="83"/>
      <w:bookmarkEnd w:id="84"/>
      <w:bookmarkEnd w:id="85"/>
      <w:r w:rsidR="00E64FFF" w:rsidRPr="00680A2A">
        <w:rPr>
          <w:rFonts w:ascii="Century Gothic" w:hAnsi="Century Gothic" w:cs="Times New Roman"/>
          <w:sz w:val="22"/>
          <w:szCs w:val="22"/>
        </w:rPr>
        <w:tab/>
      </w:r>
    </w:p>
    <w:p w14:paraId="032F6920" w14:textId="77777777" w:rsidR="00954509" w:rsidRPr="00680A2A" w:rsidRDefault="00954509" w:rsidP="00C441FB">
      <w:pPr>
        <w:rPr>
          <w:rFonts w:ascii="Century Gothic" w:hAnsi="Century Gothic"/>
          <w:szCs w:val="22"/>
        </w:rPr>
      </w:pPr>
    </w:p>
    <w:p w14:paraId="4CE090B2" w14:textId="77377875" w:rsidR="00C441FB" w:rsidRPr="00680A2A" w:rsidRDefault="00E64FFF" w:rsidP="00C441FB">
      <w:pPr>
        <w:rPr>
          <w:rFonts w:ascii="Century Gothic" w:hAnsi="Century Gothic"/>
          <w:szCs w:val="22"/>
        </w:rPr>
      </w:pPr>
      <w:r w:rsidRPr="00680A2A">
        <w:rPr>
          <w:rFonts w:ascii="Century Gothic" w:hAnsi="Century Gothic"/>
          <w:szCs w:val="22"/>
        </w:rPr>
        <w:t>Approved in FY12 and implemented in FY13</w:t>
      </w:r>
      <w:r w:rsidR="006E5746" w:rsidRPr="00680A2A">
        <w:rPr>
          <w:rFonts w:ascii="Century Gothic" w:hAnsi="Century Gothic"/>
          <w:szCs w:val="22"/>
        </w:rPr>
        <w:t xml:space="preserve">. </w:t>
      </w:r>
    </w:p>
    <w:p w14:paraId="5E1BCC9D" w14:textId="77777777" w:rsidR="00954509" w:rsidRPr="00680A2A" w:rsidRDefault="00954509" w:rsidP="00C43A12">
      <w:pPr>
        <w:rPr>
          <w:rStyle w:val="SubtleEmphasis"/>
          <w:rFonts w:ascii="Century Gothic" w:hAnsi="Century Gothic"/>
          <w:color w:val="auto"/>
          <w:sz w:val="22"/>
          <w:szCs w:val="22"/>
        </w:rPr>
      </w:pPr>
    </w:p>
    <w:p w14:paraId="6F273FEE" w14:textId="77777777" w:rsidR="007E63F4" w:rsidRPr="00680A2A" w:rsidRDefault="007E63F4" w:rsidP="00C43A12">
      <w:pPr>
        <w:rPr>
          <w:rStyle w:val="SubtleEmphasis"/>
          <w:rFonts w:ascii="Century Gothic" w:hAnsi="Century Gothic"/>
          <w:color w:val="auto"/>
          <w:sz w:val="22"/>
          <w:szCs w:val="22"/>
        </w:rPr>
      </w:pPr>
    </w:p>
    <w:p w14:paraId="6B858C9B" w14:textId="6C668DB3" w:rsidR="00973C6E" w:rsidRPr="00680A2A" w:rsidRDefault="6F174C93" w:rsidP="0E6C54AB">
      <w:pPr>
        <w:pStyle w:val="Heading4"/>
        <w:rPr>
          <w:rStyle w:val="SubtleEmphasis"/>
          <w:rFonts w:ascii="Century Gothic" w:hAnsi="Century Gothic" w:cs="Times New Roman"/>
          <w:color w:val="808080" w:themeColor="background1" w:themeShade="80"/>
          <w:sz w:val="22"/>
        </w:rPr>
      </w:pPr>
      <w:r w:rsidRPr="00680A2A">
        <w:rPr>
          <w:rStyle w:val="SubtleEmphasis"/>
          <w:rFonts w:ascii="Century Gothic" w:hAnsi="Century Gothic" w:cs="Times New Roman"/>
          <w:color w:val="808080" w:themeColor="background1" w:themeShade="80"/>
          <w:sz w:val="22"/>
        </w:rPr>
        <w:t>Description</w:t>
      </w:r>
    </w:p>
    <w:p w14:paraId="7D7013E3" w14:textId="6D3CB13A" w:rsidR="008235AF" w:rsidRPr="00680A2A" w:rsidRDefault="00E64FFF" w:rsidP="0062363D">
      <w:pPr>
        <w:rPr>
          <w:rFonts w:ascii="Century Gothic" w:hAnsi="Century Gothic"/>
          <w:szCs w:val="22"/>
        </w:rPr>
      </w:pPr>
      <w:r w:rsidRPr="00680A2A">
        <w:rPr>
          <w:rFonts w:ascii="Century Gothic" w:hAnsi="Century Gothic"/>
          <w:szCs w:val="22"/>
        </w:rPr>
        <w:t>To be eligible to receive assistance under the Project-Based Voucher</w:t>
      </w:r>
      <w:r w:rsidR="008235AF" w:rsidRPr="00680A2A">
        <w:rPr>
          <w:rFonts w:ascii="Century Gothic" w:hAnsi="Century Gothic"/>
          <w:szCs w:val="22"/>
        </w:rPr>
        <w:t xml:space="preserve"> (PBV)</w:t>
      </w:r>
      <w:r w:rsidR="002114E1" w:rsidRPr="00680A2A">
        <w:rPr>
          <w:rFonts w:ascii="Century Gothic" w:hAnsi="Century Gothic"/>
          <w:szCs w:val="22"/>
        </w:rPr>
        <w:t xml:space="preserve"> p</w:t>
      </w:r>
      <w:r w:rsidRPr="00680A2A">
        <w:rPr>
          <w:rFonts w:ascii="Century Gothic" w:hAnsi="Century Gothic"/>
          <w:szCs w:val="22"/>
        </w:rPr>
        <w:t>rogram, a family must meet the following income limits under Section 8(o) (4) of the Housing Act of 1937</w:t>
      </w:r>
      <w:r w:rsidR="00745693" w:rsidRPr="00680A2A">
        <w:rPr>
          <w:rFonts w:ascii="Century Gothic" w:hAnsi="Century Gothic"/>
          <w:szCs w:val="22"/>
        </w:rPr>
        <w:t>. Recipients of PBV program assistance must be</w:t>
      </w:r>
      <w:r w:rsidRPr="00680A2A">
        <w:rPr>
          <w:rFonts w:ascii="Century Gothic" w:hAnsi="Century Gothic"/>
          <w:szCs w:val="22"/>
        </w:rPr>
        <w:t xml:space="preserve">: </w:t>
      </w:r>
    </w:p>
    <w:p w14:paraId="4FB7D5CA" w14:textId="2EB3837F" w:rsidR="008235AF" w:rsidRPr="00680A2A" w:rsidRDefault="00E64FFF" w:rsidP="00486062">
      <w:pPr>
        <w:pStyle w:val="ListParagraph"/>
        <w:numPr>
          <w:ilvl w:val="0"/>
          <w:numId w:val="72"/>
        </w:numPr>
        <w:spacing w:before="120" w:after="120"/>
        <w:contextualSpacing w:val="0"/>
        <w:rPr>
          <w:rFonts w:ascii="Century Gothic" w:hAnsi="Century Gothic"/>
          <w:szCs w:val="22"/>
        </w:rPr>
      </w:pPr>
      <w:r w:rsidRPr="00680A2A">
        <w:rPr>
          <w:rFonts w:ascii="Century Gothic" w:hAnsi="Century Gothic"/>
          <w:szCs w:val="22"/>
        </w:rPr>
        <w:t xml:space="preserve">a very low-income </w:t>
      </w:r>
      <w:r w:rsidR="00410E5B" w:rsidRPr="00680A2A">
        <w:rPr>
          <w:rFonts w:ascii="Century Gothic" w:hAnsi="Century Gothic"/>
          <w:szCs w:val="22"/>
        </w:rPr>
        <w:t>family.</w:t>
      </w:r>
    </w:p>
    <w:p w14:paraId="5A9176A1" w14:textId="37C87A7A" w:rsidR="008235AF" w:rsidRPr="00680A2A" w:rsidRDefault="00E64FFF" w:rsidP="00486062">
      <w:pPr>
        <w:pStyle w:val="ListParagraph"/>
        <w:numPr>
          <w:ilvl w:val="0"/>
          <w:numId w:val="72"/>
        </w:numPr>
        <w:spacing w:before="120" w:after="120"/>
        <w:contextualSpacing w:val="0"/>
        <w:rPr>
          <w:rFonts w:ascii="Century Gothic" w:hAnsi="Century Gothic"/>
          <w:szCs w:val="22"/>
        </w:rPr>
      </w:pPr>
      <w:r w:rsidRPr="00680A2A">
        <w:rPr>
          <w:rFonts w:ascii="Century Gothic" w:hAnsi="Century Gothic"/>
          <w:szCs w:val="22"/>
        </w:rPr>
        <w:t xml:space="preserve">a family previously assisted under this </w:t>
      </w:r>
      <w:r w:rsidR="00410E5B" w:rsidRPr="00680A2A">
        <w:rPr>
          <w:rFonts w:ascii="Century Gothic" w:hAnsi="Century Gothic"/>
          <w:szCs w:val="22"/>
        </w:rPr>
        <w:t>title.</w:t>
      </w:r>
      <w:r w:rsidRPr="00680A2A">
        <w:rPr>
          <w:rFonts w:ascii="Century Gothic" w:hAnsi="Century Gothic"/>
          <w:szCs w:val="22"/>
        </w:rPr>
        <w:t xml:space="preserve"> </w:t>
      </w:r>
    </w:p>
    <w:p w14:paraId="1980ECEF" w14:textId="659260F9" w:rsidR="008235AF" w:rsidRPr="00680A2A" w:rsidRDefault="00E64FFF" w:rsidP="00486062">
      <w:pPr>
        <w:pStyle w:val="ListParagraph"/>
        <w:numPr>
          <w:ilvl w:val="0"/>
          <w:numId w:val="72"/>
        </w:numPr>
        <w:spacing w:before="120" w:after="120"/>
        <w:contextualSpacing w:val="0"/>
        <w:rPr>
          <w:rFonts w:ascii="Century Gothic" w:hAnsi="Century Gothic"/>
          <w:szCs w:val="22"/>
        </w:rPr>
      </w:pPr>
      <w:r w:rsidRPr="00680A2A">
        <w:rPr>
          <w:rFonts w:ascii="Century Gothic" w:hAnsi="Century Gothic"/>
          <w:szCs w:val="22"/>
        </w:rPr>
        <w:t xml:space="preserve">a low-income family that meets eligibility criteria specified by the public housing </w:t>
      </w:r>
      <w:r w:rsidR="00410E5B" w:rsidRPr="00680A2A">
        <w:rPr>
          <w:rFonts w:ascii="Century Gothic" w:hAnsi="Century Gothic"/>
          <w:szCs w:val="22"/>
        </w:rPr>
        <w:t>agency.</w:t>
      </w:r>
    </w:p>
    <w:p w14:paraId="020E5CA1" w14:textId="3400A78E" w:rsidR="008235AF" w:rsidRPr="00680A2A" w:rsidRDefault="00E64FFF" w:rsidP="00486062">
      <w:pPr>
        <w:pStyle w:val="ListParagraph"/>
        <w:numPr>
          <w:ilvl w:val="0"/>
          <w:numId w:val="72"/>
        </w:numPr>
        <w:spacing w:before="120" w:after="120"/>
        <w:contextualSpacing w:val="0"/>
        <w:rPr>
          <w:rFonts w:ascii="Century Gothic" w:hAnsi="Century Gothic"/>
          <w:szCs w:val="22"/>
        </w:rPr>
      </w:pPr>
      <w:r w:rsidRPr="00680A2A">
        <w:rPr>
          <w:rFonts w:ascii="Century Gothic" w:hAnsi="Century Gothic"/>
          <w:szCs w:val="22"/>
        </w:rPr>
        <w:t xml:space="preserve">a family that qualifies to receive a voucher in connection with a homeownership program approved under Title IV of the Cranston-Gonzalez National Affordable Housing Act; </w:t>
      </w:r>
      <w:r w:rsidR="008235AF" w:rsidRPr="00680A2A">
        <w:rPr>
          <w:rFonts w:ascii="Century Gothic" w:hAnsi="Century Gothic"/>
          <w:szCs w:val="22"/>
        </w:rPr>
        <w:t>or</w:t>
      </w:r>
    </w:p>
    <w:p w14:paraId="7C042AC2" w14:textId="1828BCC5" w:rsidR="0062363D" w:rsidRPr="00680A2A" w:rsidRDefault="00E64FFF" w:rsidP="00486062">
      <w:pPr>
        <w:pStyle w:val="ListParagraph"/>
        <w:numPr>
          <w:ilvl w:val="0"/>
          <w:numId w:val="72"/>
        </w:numPr>
        <w:spacing w:before="120" w:after="120"/>
        <w:contextualSpacing w:val="0"/>
        <w:rPr>
          <w:rFonts w:ascii="Century Gothic" w:hAnsi="Century Gothic"/>
          <w:szCs w:val="22"/>
        </w:rPr>
      </w:pPr>
      <w:r w:rsidRPr="00680A2A">
        <w:rPr>
          <w:rFonts w:ascii="Century Gothic" w:hAnsi="Century Gothic"/>
          <w:szCs w:val="22"/>
        </w:rPr>
        <w:t xml:space="preserve">a family that qualifies to receive a voucher under section 223 or 226 of the Low-Income Housing Preservation and Resident Homeownership Act of 1990. </w:t>
      </w:r>
    </w:p>
    <w:p w14:paraId="46E93D01" w14:textId="4991DEA5" w:rsidR="00000F85" w:rsidRPr="00680A2A" w:rsidRDefault="00B70A9F" w:rsidP="005F3CD5">
      <w:pPr>
        <w:rPr>
          <w:rFonts w:ascii="Century Gothic" w:hAnsi="Century Gothic"/>
        </w:rPr>
      </w:pPr>
      <w:bookmarkStart w:id="87" w:name="_Hlk134614897"/>
      <w:r w:rsidRPr="00680A2A">
        <w:rPr>
          <w:rFonts w:ascii="Century Gothic" w:hAnsi="Century Gothic"/>
        </w:rPr>
        <w:t xml:space="preserve">The PBV program </w:t>
      </w:r>
      <w:r w:rsidR="00E64FFF" w:rsidRPr="00680A2A">
        <w:rPr>
          <w:rFonts w:ascii="Century Gothic" w:hAnsi="Century Gothic"/>
        </w:rPr>
        <w:t>promote</w:t>
      </w:r>
      <w:r w:rsidRPr="00680A2A">
        <w:rPr>
          <w:rFonts w:ascii="Century Gothic" w:hAnsi="Century Gothic"/>
        </w:rPr>
        <w:t>s</w:t>
      </w:r>
      <w:r w:rsidR="00E64FFF" w:rsidRPr="00680A2A">
        <w:rPr>
          <w:rFonts w:ascii="Century Gothic" w:hAnsi="Century Gothic"/>
        </w:rPr>
        <w:t xml:space="preserve"> </w:t>
      </w:r>
      <w:proofErr w:type="gramStart"/>
      <w:r w:rsidR="00E64FFF" w:rsidRPr="00680A2A">
        <w:rPr>
          <w:rFonts w:ascii="Century Gothic" w:hAnsi="Century Gothic"/>
        </w:rPr>
        <w:t>housing choice</w:t>
      </w:r>
      <w:proofErr w:type="gramEnd"/>
      <w:r w:rsidR="008235AF" w:rsidRPr="00680A2A">
        <w:rPr>
          <w:rFonts w:ascii="Century Gothic" w:hAnsi="Century Gothic"/>
        </w:rPr>
        <w:t xml:space="preserve"> in developing communities with housing options for a wide range of incomes </w:t>
      </w:r>
      <w:r w:rsidR="00410E5B" w:rsidRPr="00680A2A">
        <w:rPr>
          <w:rFonts w:ascii="Century Gothic" w:hAnsi="Century Gothic"/>
        </w:rPr>
        <w:t>and</w:t>
      </w:r>
      <w:r w:rsidR="008235AF" w:rsidRPr="00680A2A">
        <w:rPr>
          <w:rFonts w:ascii="Century Gothic" w:hAnsi="Century Gothic"/>
        </w:rPr>
        <w:t xml:space="preserve"> reduces the cost of the program</w:t>
      </w:r>
      <w:r w:rsidRPr="00680A2A">
        <w:rPr>
          <w:rFonts w:ascii="Century Gothic" w:hAnsi="Century Gothic"/>
        </w:rPr>
        <w:t xml:space="preserve">. </w:t>
      </w:r>
      <w:r w:rsidR="00E64FFF" w:rsidRPr="00680A2A">
        <w:rPr>
          <w:rFonts w:ascii="Century Gothic" w:hAnsi="Century Gothic"/>
        </w:rPr>
        <w:t>ECC/HANH used the flexibility granted under Attachment C, Section C(3)(a) of t</w:t>
      </w:r>
      <w:r w:rsidR="00B065A6" w:rsidRPr="00680A2A">
        <w:rPr>
          <w:rFonts w:ascii="Century Gothic" w:hAnsi="Century Gothic"/>
        </w:rPr>
        <w:t>he MTW Agreement</w:t>
      </w:r>
      <w:r w:rsidR="00E64FFF" w:rsidRPr="00680A2A">
        <w:rPr>
          <w:rFonts w:ascii="Century Gothic" w:hAnsi="Century Gothic"/>
        </w:rPr>
        <w:t xml:space="preserve"> to establish </w:t>
      </w:r>
      <w:r w:rsidR="008235AF" w:rsidRPr="00680A2A">
        <w:rPr>
          <w:rFonts w:ascii="Century Gothic" w:hAnsi="Century Gothic"/>
        </w:rPr>
        <w:t xml:space="preserve">PBV program </w:t>
      </w:r>
      <w:r w:rsidR="00E64FFF" w:rsidRPr="00680A2A">
        <w:rPr>
          <w:rFonts w:ascii="Century Gothic" w:hAnsi="Century Gothic"/>
        </w:rPr>
        <w:t>eligibility criteria under its Administrative Plan</w:t>
      </w:r>
      <w:r w:rsidR="009F2C65" w:rsidRPr="00680A2A">
        <w:rPr>
          <w:rFonts w:ascii="Century Gothic" w:hAnsi="Century Gothic"/>
        </w:rPr>
        <w:t>. The eligibility criteria</w:t>
      </w:r>
      <w:r w:rsidR="00E64FFF" w:rsidRPr="00680A2A">
        <w:rPr>
          <w:rFonts w:ascii="Century Gothic" w:hAnsi="Century Gothic"/>
        </w:rPr>
        <w:t xml:space="preserve"> require that:</w:t>
      </w:r>
    </w:p>
    <w:p w14:paraId="2C66FB31" w14:textId="77777777" w:rsidR="004E5BA9" w:rsidRPr="00680A2A" w:rsidRDefault="004E5BA9" w:rsidP="005F3CD5">
      <w:pPr>
        <w:rPr>
          <w:rFonts w:ascii="Century Gothic" w:hAnsi="Century Gothic"/>
          <w:szCs w:val="22"/>
        </w:rPr>
      </w:pPr>
    </w:p>
    <w:p w14:paraId="06CF7C65" w14:textId="30FC138B" w:rsidR="004E5BA9" w:rsidRPr="00680A2A" w:rsidRDefault="004E5BA9" w:rsidP="00486062">
      <w:pPr>
        <w:numPr>
          <w:ilvl w:val="0"/>
          <w:numId w:val="82"/>
        </w:numPr>
        <w:shd w:val="clear" w:color="auto" w:fill="FFFFFF"/>
        <w:spacing w:after="200"/>
        <w:rPr>
          <w:rFonts w:ascii="Century Gothic" w:eastAsia="Calibri" w:hAnsi="Century Gothic"/>
          <w:bCs/>
          <w:szCs w:val="22"/>
        </w:rPr>
      </w:pPr>
      <w:r w:rsidRPr="00680A2A">
        <w:rPr>
          <w:rFonts w:ascii="Century Gothic" w:eastAsia="Calibri" w:hAnsi="Century Gothic"/>
          <w:bCs/>
          <w:szCs w:val="22"/>
        </w:rPr>
        <w:t xml:space="preserve">No less than 40 percent of the </w:t>
      </w:r>
      <w:r w:rsidR="005F07A0" w:rsidRPr="00680A2A">
        <w:rPr>
          <w:rFonts w:ascii="Century Gothic" w:eastAsia="Calibri" w:hAnsi="Century Gothic"/>
          <w:bCs/>
          <w:szCs w:val="22"/>
        </w:rPr>
        <w:t>project-based</w:t>
      </w:r>
      <w:r w:rsidRPr="00680A2A">
        <w:rPr>
          <w:rFonts w:ascii="Century Gothic" w:eastAsia="Calibri" w:hAnsi="Century Gothic"/>
          <w:bCs/>
          <w:szCs w:val="22"/>
        </w:rPr>
        <w:t xml:space="preserve"> vouchers awarded in any year to be awarded to families with incomes at or below 30 percent of the </w:t>
      </w:r>
      <w:r w:rsidR="00082C8F" w:rsidRPr="00680A2A">
        <w:rPr>
          <w:rFonts w:ascii="Century Gothic" w:eastAsia="Calibri" w:hAnsi="Century Gothic"/>
          <w:bCs/>
          <w:szCs w:val="22"/>
        </w:rPr>
        <w:t>Area Median Income (AMI)</w:t>
      </w:r>
      <w:r w:rsidRPr="00680A2A">
        <w:rPr>
          <w:rFonts w:ascii="Century Gothic" w:eastAsia="Calibri" w:hAnsi="Century Gothic"/>
          <w:bCs/>
          <w:szCs w:val="22"/>
        </w:rPr>
        <w:t xml:space="preserve">, adjusted for family size. </w:t>
      </w:r>
    </w:p>
    <w:p w14:paraId="60E3CFCF" w14:textId="37C0D2CA" w:rsidR="004E5BA9" w:rsidRPr="00680A2A" w:rsidRDefault="004E5BA9" w:rsidP="00486062">
      <w:pPr>
        <w:numPr>
          <w:ilvl w:val="0"/>
          <w:numId w:val="82"/>
        </w:numPr>
        <w:shd w:val="clear" w:color="auto" w:fill="FFFFFF"/>
        <w:spacing w:after="200"/>
        <w:rPr>
          <w:rFonts w:ascii="Century Gothic" w:eastAsia="Calibri" w:hAnsi="Century Gothic"/>
          <w:bCs/>
          <w:szCs w:val="22"/>
        </w:rPr>
      </w:pPr>
      <w:r w:rsidRPr="00680A2A">
        <w:rPr>
          <w:rFonts w:ascii="Century Gothic" w:eastAsia="Calibri" w:hAnsi="Century Gothic"/>
          <w:bCs/>
          <w:szCs w:val="22"/>
        </w:rPr>
        <w:t xml:space="preserve">ECC/HANH will award up to 15 percent of the PBV’s allocated for any mixed finance project to families with incomes between 50 and 80 percent of </w:t>
      </w:r>
      <w:r w:rsidR="00082C8F" w:rsidRPr="00680A2A">
        <w:rPr>
          <w:rFonts w:ascii="Century Gothic" w:eastAsia="Calibri" w:hAnsi="Century Gothic"/>
          <w:bCs/>
          <w:szCs w:val="22"/>
        </w:rPr>
        <w:t>AMI</w:t>
      </w:r>
      <w:r w:rsidRPr="00680A2A">
        <w:rPr>
          <w:rFonts w:ascii="Century Gothic" w:eastAsia="Calibri" w:hAnsi="Century Gothic"/>
          <w:bCs/>
          <w:szCs w:val="22"/>
        </w:rPr>
        <w:t xml:space="preserve"> for Brookside Phase 1 Rental.  </w:t>
      </w:r>
    </w:p>
    <w:p w14:paraId="0A448843" w14:textId="5FC9E9A9" w:rsidR="004E5BA9" w:rsidRPr="00680A2A" w:rsidRDefault="004E5BA9" w:rsidP="00486062">
      <w:pPr>
        <w:numPr>
          <w:ilvl w:val="0"/>
          <w:numId w:val="82"/>
        </w:numPr>
        <w:shd w:val="clear" w:color="auto" w:fill="FFFFFF"/>
        <w:spacing w:after="200"/>
        <w:rPr>
          <w:rFonts w:ascii="Century Gothic" w:eastAsia="Calibri" w:hAnsi="Century Gothic"/>
          <w:bCs/>
          <w:szCs w:val="22"/>
        </w:rPr>
      </w:pPr>
      <w:r w:rsidRPr="00680A2A">
        <w:rPr>
          <w:rFonts w:ascii="Century Gothic" w:eastAsia="Calibri" w:hAnsi="Century Gothic"/>
          <w:bCs/>
          <w:szCs w:val="22"/>
        </w:rPr>
        <w:t xml:space="preserve">45 percent of PBV may be allocated to families with income between 50 and 80 percent AMI for Brookside Phase 2 Rental mixed finance development. </w:t>
      </w:r>
    </w:p>
    <w:bookmarkEnd w:id="87"/>
    <w:p w14:paraId="4A761DE0" w14:textId="5FAA6A09" w:rsidR="096CCE50" w:rsidRPr="00680A2A" w:rsidRDefault="096CCE50" w:rsidP="0E6C54AB">
      <w:pPr>
        <w:pStyle w:val="Heading4"/>
        <w:rPr>
          <w:rStyle w:val="SubtleEmphasis"/>
          <w:rFonts w:ascii="Century Gothic" w:hAnsi="Century Gothic" w:cs="Times New Roman"/>
          <w:color w:val="808080" w:themeColor="background1" w:themeShade="80"/>
          <w:sz w:val="22"/>
        </w:rPr>
      </w:pPr>
      <w:r w:rsidRPr="00680A2A">
        <w:rPr>
          <w:rStyle w:val="SubtleEmphasis"/>
          <w:rFonts w:ascii="Century Gothic" w:hAnsi="Century Gothic" w:cs="Times New Roman"/>
          <w:color w:val="808080" w:themeColor="background1" w:themeShade="80"/>
          <w:sz w:val="22"/>
        </w:rPr>
        <w:t>Impact</w:t>
      </w:r>
    </w:p>
    <w:p w14:paraId="17962BA6" w14:textId="77777777" w:rsidR="008A6C0E" w:rsidRPr="00161C23" w:rsidRDefault="008A6C0E" w:rsidP="008A6C0E">
      <w:pPr>
        <w:rPr>
          <w:rFonts w:ascii="Century Gothic" w:hAnsi="Century Gothic"/>
        </w:rPr>
      </w:pPr>
      <w:r w:rsidRPr="00680A2A">
        <w:rPr>
          <w:rFonts w:ascii="Century Gothic" w:hAnsi="Century Gothic"/>
        </w:rPr>
        <w:t>This initiative is designed to achieve an income mix at redeveloped properties while protecting against the displacement of extremely low-income families and has been successful in supporting the redevelopment of units and preservation of units while suc</w:t>
      </w:r>
      <w:r w:rsidRPr="00161C23">
        <w:rPr>
          <w:rFonts w:ascii="Century Gothic" w:hAnsi="Century Gothic"/>
        </w:rPr>
        <w:t>cessfully increasing the income mix in these developments.</w:t>
      </w:r>
    </w:p>
    <w:p w14:paraId="77154150" w14:textId="77777777" w:rsidR="008A6C0E" w:rsidRPr="00161C23" w:rsidRDefault="008A6C0E" w:rsidP="008A6C0E">
      <w:pPr>
        <w:rPr>
          <w:rFonts w:ascii="Century Gothic" w:hAnsi="Century Gothic"/>
        </w:rPr>
      </w:pPr>
    </w:p>
    <w:p w14:paraId="05779B3E" w14:textId="77777777" w:rsidR="008A6C0E" w:rsidRPr="00161C23" w:rsidRDefault="008A6C0E" w:rsidP="008A6C0E">
      <w:pPr>
        <w:rPr>
          <w:rFonts w:ascii="Century Gothic" w:hAnsi="Century Gothic"/>
        </w:rPr>
      </w:pPr>
      <w:r w:rsidRPr="00161C23">
        <w:rPr>
          <w:rFonts w:ascii="Century Gothic" w:hAnsi="Century Gothic"/>
        </w:rPr>
        <w:t>ECC/HANH continues to serve our lowest income families.  Importantly, ECC/HANH has maintained the priority for serving Extremely Low-Income families by ensuring that income mix does not equate to fewer ELI families served. Data suggests less turnover in units at the ELI income level resulting in years where no new families are leased at this income, however, the percentage of ELI families is not decreasing.</w:t>
      </w:r>
    </w:p>
    <w:p w14:paraId="4BBE44A4" w14:textId="77777777" w:rsidR="008A6C0E" w:rsidRPr="00161C23" w:rsidRDefault="008A6C0E" w:rsidP="008A6C0E">
      <w:pPr>
        <w:rPr>
          <w:rFonts w:ascii="Century Gothic" w:hAnsi="Century Gothic"/>
        </w:rPr>
      </w:pPr>
    </w:p>
    <w:p w14:paraId="17C1A8AF" w14:textId="77777777" w:rsidR="00680A2A" w:rsidRPr="00161C23" w:rsidRDefault="00680A2A" w:rsidP="00680A2A">
      <w:pPr>
        <w:rPr>
          <w:rFonts w:ascii="Century Gothic" w:hAnsi="Century Gothic"/>
        </w:rPr>
      </w:pPr>
      <w:r w:rsidRPr="00161C23">
        <w:rPr>
          <w:rFonts w:ascii="Century Gothic" w:hAnsi="Century Gothic"/>
        </w:rPr>
        <w:t xml:space="preserve">Since its implementation in FY13, this initiative has increased housing choice and cost effectiveness at the developments listed above: ECC/HANH has successfully redeveloped these properties, provided tiered income opportunities and not displaced our lowest income families.  </w:t>
      </w:r>
    </w:p>
    <w:p w14:paraId="7B71095A" w14:textId="77777777" w:rsidR="00680A2A" w:rsidRPr="00161C23" w:rsidRDefault="00680A2A" w:rsidP="00680A2A">
      <w:pPr>
        <w:rPr>
          <w:rFonts w:ascii="Century Gothic" w:hAnsi="Century Gothic"/>
        </w:rPr>
      </w:pPr>
    </w:p>
    <w:p w14:paraId="3A80C259" w14:textId="77777777" w:rsidR="00680A2A" w:rsidRDefault="00680A2A" w:rsidP="00680A2A">
      <w:pPr>
        <w:rPr>
          <w:rFonts w:ascii="Century Gothic" w:hAnsi="Century Gothic"/>
        </w:rPr>
      </w:pPr>
      <w:r w:rsidRPr="00161C23">
        <w:rPr>
          <w:rFonts w:ascii="Century Gothic" w:hAnsi="Century Gothic"/>
        </w:rPr>
        <w:t xml:space="preserve">In FY2024, ECC/HANH exceeded the first eligibility criteria. </w:t>
      </w:r>
    </w:p>
    <w:p w14:paraId="78ACA586" w14:textId="77777777" w:rsidR="00680A2A" w:rsidRPr="00161C23" w:rsidRDefault="00680A2A" w:rsidP="00486062">
      <w:pPr>
        <w:pStyle w:val="ListParagraph"/>
        <w:numPr>
          <w:ilvl w:val="0"/>
          <w:numId w:val="111"/>
        </w:numPr>
        <w:rPr>
          <w:rFonts w:ascii="Century Gothic" w:eastAsia="Times New Roman" w:hAnsi="Century Gothic"/>
        </w:rPr>
      </w:pPr>
      <w:r w:rsidRPr="00161C23">
        <w:rPr>
          <w:rFonts w:ascii="Century Gothic" w:eastAsia="Times New Roman" w:hAnsi="Century Gothic"/>
          <w:color w:val="000000" w:themeColor="text1"/>
        </w:rPr>
        <w:t xml:space="preserve">No less than 40 percent of the project-based vouchers awarded in any year to be awarded to families with incomes at or below 30 percent of the Area Median Income (AMI), adjusted for family size.  </w:t>
      </w:r>
    </w:p>
    <w:p w14:paraId="1256F3AD" w14:textId="77777777" w:rsidR="00680A2A" w:rsidRPr="00161C23" w:rsidRDefault="00680A2A" w:rsidP="00680A2A">
      <w:pPr>
        <w:ind w:firstLine="720"/>
        <w:rPr>
          <w:rFonts w:ascii="Century Gothic" w:eastAsia="MS PGothic" w:hAnsi="Century Gothic"/>
          <w:b/>
          <w:bCs/>
        </w:rPr>
      </w:pPr>
      <w:r w:rsidRPr="00161C23">
        <w:rPr>
          <w:rFonts w:ascii="Century Gothic" w:eastAsia="Times New Roman" w:hAnsi="Century Gothic"/>
          <w:b/>
          <w:bCs/>
          <w:color w:val="000000" w:themeColor="text1"/>
        </w:rPr>
        <w:t>81% of PBVs were awarded.</w:t>
      </w:r>
    </w:p>
    <w:p w14:paraId="2CCF0033" w14:textId="77777777" w:rsidR="00680A2A" w:rsidRPr="00161C23" w:rsidRDefault="00680A2A" w:rsidP="00680A2A">
      <w:pPr>
        <w:rPr>
          <w:rFonts w:ascii="Century Gothic" w:eastAsia="Times New Roman" w:hAnsi="Century Gothic"/>
          <w:szCs w:val="22"/>
        </w:rPr>
      </w:pPr>
    </w:p>
    <w:p w14:paraId="1C4781E4" w14:textId="77777777" w:rsidR="00680A2A" w:rsidRPr="00161C23" w:rsidRDefault="00680A2A" w:rsidP="00680A2A">
      <w:pPr>
        <w:rPr>
          <w:rFonts w:ascii="Century Gothic" w:eastAsia="Times New Roman" w:hAnsi="Century Gothic"/>
          <w:szCs w:val="22"/>
        </w:rPr>
      </w:pPr>
      <w:r w:rsidRPr="00161C23">
        <w:rPr>
          <w:rFonts w:ascii="Century Gothic" w:eastAsia="Times New Roman" w:hAnsi="Century Gothic"/>
          <w:szCs w:val="22"/>
        </w:rPr>
        <w:t xml:space="preserve">However, the second and third eligibility criteria were not met.  </w:t>
      </w:r>
    </w:p>
    <w:p w14:paraId="7E4EC7BD" w14:textId="77777777" w:rsidR="00680A2A" w:rsidRPr="00161C23" w:rsidRDefault="00680A2A" w:rsidP="00486062">
      <w:pPr>
        <w:pStyle w:val="ListParagraph"/>
        <w:numPr>
          <w:ilvl w:val="0"/>
          <w:numId w:val="112"/>
        </w:numPr>
        <w:rPr>
          <w:rFonts w:ascii="Century Gothic" w:eastAsia="Times New Roman" w:hAnsi="Century Gothic"/>
          <w:color w:val="000000" w:themeColor="text1"/>
        </w:rPr>
      </w:pPr>
      <w:r w:rsidRPr="00161C23">
        <w:rPr>
          <w:rFonts w:ascii="Century Gothic" w:eastAsia="Times New Roman" w:hAnsi="Century Gothic"/>
          <w:color w:val="000000" w:themeColor="text1"/>
        </w:rPr>
        <w:t xml:space="preserve">ECC/HANH will award up to 15 percent of the PBV’s allocated for any mixed finance project to families with incomes between 50 and 80 percent of AMI for Brookside Phase 1 Rental. </w:t>
      </w:r>
    </w:p>
    <w:p w14:paraId="2F519B8B" w14:textId="7767AEBE" w:rsidR="00680A2A" w:rsidRPr="00161C23" w:rsidRDefault="00680A2A" w:rsidP="00680A2A">
      <w:pPr>
        <w:ind w:firstLine="720"/>
        <w:rPr>
          <w:rFonts w:ascii="Century Gothic" w:eastAsia="MS PGothic" w:hAnsi="Century Gothic"/>
          <w:b/>
          <w:bCs/>
          <w:color w:val="000000" w:themeColor="text1"/>
        </w:rPr>
      </w:pPr>
      <w:r w:rsidRPr="00161C23">
        <w:rPr>
          <w:rFonts w:ascii="Century Gothic" w:eastAsia="Times New Roman" w:hAnsi="Century Gothic"/>
          <w:b/>
          <w:bCs/>
          <w:color w:val="000000" w:themeColor="text1"/>
        </w:rPr>
        <w:t xml:space="preserve">0% of PBVs </w:t>
      </w:r>
      <w:r w:rsidR="0044250A" w:rsidRPr="00161C23">
        <w:rPr>
          <w:rFonts w:ascii="Century Gothic" w:eastAsia="Times New Roman" w:hAnsi="Century Gothic"/>
          <w:b/>
          <w:bCs/>
          <w:color w:val="000000" w:themeColor="text1"/>
        </w:rPr>
        <w:t>were</w:t>
      </w:r>
      <w:r w:rsidRPr="00161C23">
        <w:rPr>
          <w:rFonts w:ascii="Century Gothic" w:eastAsia="Times New Roman" w:hAnsi="Century Gothic"/>
          <w:b/>
          <w:bCs/>
          <w:color w:val="000000" w:themeColor="text1"/>
        </w:rPr>
        <w:t xml:space="preserve"> awarded.</w:t>
      </w:r>
    </w:p>
    <w:p w14:paraId="78ECD239" w14:textId="33A533CA" w:rsidR="188A1EBF" w:rsidRPr="00161C23" w:rsidRDefault="188A1EBF" w:rsidP="188A1EBF">
      <w:pPr>
        <w:ind w:firstLine="720"/>
        <w:rPr>
          <w:rFonts w:ascii="Century Gothic" w:eastAsia="Times New Roman" w:hAnsi="Century Gothic"/>
          <w:b/>
          <w:bCs/>
          <w:color w:val="000000" w:themeColor="text1"/>
        </w:rPr>
      </w:pPr>
    </w:p>
    <w:p w14:paraId="68C8DCF7" w14:textId="77777777" w:rsidR="00680A2A" w:rsidRPr="00161C23" w:rsidRDefault="00680A2A" w:rsidP="00486062">
      <w:pPr>
        <w:pStyle w:val="ListParagraph"/>
        <w:numPr>
          <w:ilvl w:val="0"/>
          <w:numId w:val="112"/>
        </w:numPr>
        <w:rPr>
          <w:rFonts w:ascii="Century Gothic" w:eastAsia="Times New Roman" w:hAnsi="Century Gothic"/>
          <w:color w:val="000000" w:themeColor="text1"/>
          <w:szCs w:val="22"/>
        </w:rPr>
      </w:pPr>
      <w:r w:rsidRPr="00161C23">
        <w:rPr>
          <w:rFonts w:ascii="Century Gothic" w:eastAsia="Times New Roman" w:hAnsi="Century Gothic"/>
          <w:color w:val="000000" w:themeColor="text1"/>
          <w:szCs w:val="22"/>
        </w:rPr>
        <w:t xml:space="preserve">45 percent of PBV may be allocated to families with income between 50 and 80 percent AMI for Brookside Phase 2 Rental mixed finance development. </w:t>
      </w:r>
    </w:p>
    <w:p w14:paraId="7CD1D5C8" w14:textId="77777777" w:rsidR="00680A2A" w:rsidRPr="00161C23" w:rsidRDefault="00680A2A" w:rsidP="00680A2A">
      <w:pPr>
        <w:pStyle w:val="ListParagraph"/>
        <w:rPr>
          <w:rFonts w:ascii="Century Gothic" w:eastAsia="Times New Roman" w:hAnsi="Century Gothic"/>
          <w:b/>
          <w:bCs/>
          <w:color w:val="000000" w:themeColor="text1"/>
        </w:rPr>
      </w:pPr>
      <w:r w:rsidRPr="00161C23">
        <w:rPr>
          <w:rFonts w:ascii="Century Gothic" w:eastAsia="Times New Roman" w:hAnsi="Century Gothic"/>
          <w:b/>
          <w:bCs/>
          <w:color w:val="000000" w:themeColor="text1"/>
        </w:rPr>
        <w:t>0% was allocated.</w:t>
      </w:r>
    </w:p>
    <w:p w14:paraId="0D574C7B" w14:textId="77777777" w:rsidR="00680A2A" w:rsidRPr="00161C23" w:rsidRDefault="00680A2A" w:rsidP="00680A2A">
      <w:pPr>
        <w:rPr>
          <w:rFonts w:ascii="Century Gothic" w:eastAsia="Times New Roman" w:hAnsi="Century Gothic"/>
          <w:b/>
          <w:bCs/>
          <w:color w:val="000000" w:themeColor="text1"/>
        </w:rPr>
      </w:pPr>
    </w:p>
    <w:p w14:paraId="6870E6CB" w14:textId="77777777" w:rsidR="006B446A" w:rsidRPr="00161C23" w:rsidRDefault="006B446A" w:rsidP="006B446A">
      <w:pPr>
        <w:spacing w:after="240"/>
        <w:rPr>
          <w:rFonts w:ascii="Century Gothic" w:hAnsi="Century Gothic"/>
        </w:rPr>
      </w:pPr>
      <w:r w:rsidRPr="00161C23">
        <w:rPr>
          <w:rFonts w:ascii="Century Gothic" w:hAnsi="Century Gothic"/>
        </w:rPr>
        <w:t>This initiative includes the developments listed in the following chart.</w:t>
      </w:r>
    </w:p>
    <w:tbl>
      <w:tblPr>
        <w:tblW w:w="0" w:type="auto"/>
        <w:tblLayout w:type="fixed"/>
        <w:tblLook w:val="04A0" w:firstRow="1" w:lastRow="0" w:firstColumn="1" w:lastColumn="0" w:noHBand="0" w:noVBand="1"/>
      </w:tblPr>
      <w:tblGrid>
        <w:gridCol w:w="1665"/>
        <w:gridCol w:w="960"/>
        <w:gridCol w:w="960"/>
        <w:gridCol w:w="960"/>
        <w:gridCol w:w="960"/>
        <w:gridCol w:w="960"/>
        <w:gridCol w:w="960"/>
        <w:gridCol w:w="960"/>
      </w:tblGrid>
      <w:tr w:rsidR="2C805A1A" w:rsidRPr="00161C23" w14:paraId="56D04DC2" w14:textId="77777777" w:rsidTr="0189D8D6">
        <w:trPr>
          <w:trHeight w:val="585"/>
        </w:trPr>
        <w:tc>
          <w:tcPr>
            <w:tcW w:w="8385" w:type="dxa"/>
            <w:gridSpan w:val="8"/>
            <w:tcBorders>
              <w:top w:val="single" w:sz="4" w:space="0" w:color="auto"/>
              <w:left w:val="single" w:sz="4" w:space="0" w:color="000000" w:themeColor="text1"/>
              <w:bottom w:val="single" w:sz="12" w:space="0" w:color="B5333C" w:themeColor="accent2"/>
              <w:right w:val="single" w:sz="4" w:space="0" w:color="000000" w:themeColor="text1"/>
            </w:tcBorders>
            <w:shd w:val="clear" w:color="auto" w:fill="808080" w:themeFill="background1" w:themeFillShade="80"/>
            <w:tcMar>
              <w:top w:w="15" w:type="dxa"/>
              <w:left w:w="15" w:type="dxa"/>
              <w:right w:w="15" w:type="dxa"/>
            </w:tcMar>
            <w:vAlign w:val="center"/>
          </w:tcPr>
          <w:p w14:paraId="42AFF08D" w14:textId="48176515" w:rsidR="2C805A1A" w:rsidRPr="00161C23" w:rsidRDefault="59D573C6" w:rsidP="006B446A">
            <w:pPr>
              <w:jc w:val="center"/>
              <w:rPr>
                <w:rFonts w:ascii="Century Gothic" w:eastAsia="Times New Roman" w:hAnsi="Century Gothic"/>
              </w:rPr>
            </w:pPr>
            <w:r w:rsidRPr="00161C23">
              <w:rPr>
                <w:rFonts w:ascii="Century Gothic" w:eastAsia="Times New Roman" w:hAnsi="Century Gothic"/>
                <w:b/>
                <w:bCs/>
              </w:rPr>
              <w:t xml:space="preserve">Income Eligibility - </w:t>
            </w:r>
            <w:r w:rsidR="44031C4E" w:rsidRPr="00161C23">
              <w:rPr>
                <w:rFonts w:ascii="Century Gothic" w:eastAsia="Times New Roman" w:hAnsi="Century Gothic"/>
                <w:b/>
                <w:bCs/>
              </w:rPr>
              <w:t xml:space="preserve">At Lease up - </w:t>
            </w:r>
            <w:r w:rsidRPr="00161C23">
              <w:rPr>
                <w:rFonts w:ascii="Century Gothic" w:eastAsia="Times New Roman" w:hAnsi="Century Gothic"/>
                <w:b/>
                <w:bCs/>
              </w:rPr>
              <w:t>FY</w:t>
            </w:r>
            <w:r w:rsidR="36D682EA" w:rsidRPr="00161C23">
              <w:rPr>
                <w:rFonts w:ascii="Century Gothic" w:eastAsia="Times New Roman" w:hAnsi="Century Gothic"/>
                <w:b/>
                <w:bCs/>
              </w:rPr>
              <w:t>2024</w:t>
            </w:r>
          </w:p>
        </w:tc>
      </w:tr>
      <w:tr w:rsidR="2C805A1A" w:rsidRPr="00161C23" w14:paraId="348239E7" w14:textId="77777777" w:rsidTr="0189D8D6">
        <w:trPr>
          <w:trHeight w:val="1155"/>
        </w:trPr>
        <w:tc>
          <w:tcPr>
            <w:tcW w:w="1665" w:type="dxa"/>
            <w:tcBorders>
              <w:top w:val="single" w:sz="8" w:space="0" w:color="D9D9D9" w:themeColor="background1" w:themeShade="D9"/>
              <w:left w:val="single" w:sz="4" w:space="0" w:color="000000" w:themeColor="text1"/>
              <w:bottom w:val="nil"/>
              <w:right w:val="single" w:sz="8" w:space="0" w:color="D9D9D9" w:themeColor="background1" w:themeShade="D9"/>
            </w:tcBorders>
            <w:shd w:val="clear" w:color="auto" w:fill="BFBFBF" w:themeFill="background1" w:themeFillShade="BF"/>
            <w:tcMar>
              <w:top w:w="15" w:type="dxa"/>
              <w:left w:w="15" w:type="dxa"/>
              <w:right w:w="15" w:type="dxa"/>
            </w:tcMar>
            <w:vAlign w:val="center"/>
          </w:tcPr>
          <w:p w14:paraId="5B1E2AE1" w14:textId="3AAA77EE" w:rsidR="2C805A1A" w:rsidRPr="00161C23" w:rsidRDefault="20B9116B" w:rsidP="006B446A">
            <w:pPr>
              <w:jc w:val="center"/>
              <w:rPr>
                <w:rFonts w:ascii="Century Gothic" w:eastAsia="Times New Roman" w:hAnsi="Century Gothic"/>
              </w:rPr>
            </w:pPr>
            <w:r w:rsidRPr="00161C23">
              <w:rPr>
                <w:rFonts w:ascii="Century Gothic" w:eastAsia="Times New Roman" w:hAnsi="Century Gothic"/>
                <w:b/>
                <w:bCs/>
              </w:rPr>
              <w:t>Development</w:t>
            </w:r>
            <w:r w:rsidRPr="00161C23">
              <w:rPr>
                <w:rFonts w:ascii="Century Gothic" w:eastAsia="Times New Roman" w:hAnsi="Century Gothic"/>
              </w:rPr>
              <w:t xml:space="preserve"> </w:t>
            </w:r>
          </w:p>
        </w:tc>
        <w:tc>
          <w:tcPr>
            <w:tcW w:w="960" w:type="dxa"/>
            <w:tcBorders>
              <w:top w:val="single" w:sz="8" w:space="0" w:color="D9D9D9" w:themeColor="background1" w:themeShade="D9"/>
              <w:left w:val="single" w:sz="8" w:space="0" w:color="D9D9D9" w:themeColor="background1" w:themeShade="D9"/>
              <w:bottom w:val="nil"/>
              <w:right w:val="single" w:sz="8" w:space="0" w:color="D9D9D9" w:themeColor="background1" w:themeShade="D9"/>
            </w:tcBorders>
            <w:shd w:val="clear" w:color="auto" w:fill="BFBFBF" w:themeFill="background1" w:themeFillShade="BF"/>
            <w:tcMar>
              <w:top w:w="15" w:type="dxa"/>
              <w:left w:w="15" w:type="dxa"/>
              <w:right w:w="15" w:type="dxa"/>
            </w:tcMar>
            <w:vAlign w:val="center"/>
          </w:tcPr>
          <w:p w14:paraId="6B0673E4" w14:textId="7F07AB2B" w:rsidR="2C805A1A" w:rsidRPr="00161C23" w:rsidRDefault="20B9116B" w:rsidP="006B446A">
            <w:pPr>
              <w:jc w:val="center"/>
              <w:rPr>
                <w:rFonts w:ascii="Century Gothic" w:eastAsia="Times New Roman" w:hAnsi="Century Gothic"/>
                <w:b/>
                <w:bCs/>
              </w:rPr>
            </w:pPr>
            <w:r w:rsidRPr="00161C23">
              <w:rPr>
                <w:rFonts w:ascii="Century Gothic" w:eastAsia="Times New Roman" w:hAnsi="Century Gothic"/>
                <w:b/>
                <w:bCs/>
              </w:rPr>
              <w:t>Units at or below 30% of AMI</w:t>
            </w:r>
          </w:p>
        </w:tc>
        <w:tc>
          <w:tcPr>
            <w:tcW w:w="960" w:type="dxa"/>
            <w:tcBorders>
              <w:top w:val="single" w:sz="8" w:space="0" w:color="D9D9D9" w:themeColor="background1" w:themeShade="D9"/>
              <w:left w:val="single" w:sz="8" w:space="0" w:color="D9D9D9" w:themeColor="background1" w:themeShade="D9"/>
              <w:bottom w:val="nil"/>
              <w:right w:val="single" w:sz="8" w:space="0" w:color="D9D9D9" w:themeColor="background1" w:themeShade="D9"/>
            </w:tcBorders>
            <w:shd w:val="clear" w:color="auto" w:fill="BFBFBF" w:themeFill="background1" w:themeFillShade="BF"/>
            <w:tcMar>
              <w:top w:w="15" w:type="dxa"/>
              <w:left w:w="15" w:type="dxa"/>
              <w:right w:w="15" w:type="dxa"/>
            </w:tcMar>
            <w:vAlign w:val="center"/>
          </w:tcPr>
          <w:p w14:paraId="0B09EA0F" w14:textId="22534FB3" w:rsidR="2C805A1A" w:rsidRPr="00161C23" w:rsidRDefault="20B9116B" w:rsidP="006B446A">
            <w:pPr>
              <w:jc w:val="center"/>
              <w:rPr>
                <w:rFonts w:ascii="Century Gothic" w:eastAsia="Times New Roman" w:hAnsi="Century Gothic"/>
              </w:rPr>
            </w:pPr>
            <w:r w:rsidRPr="00161C23">
              <w:rPr>
                <w:rFonts w:ascii="Century Gothic" w:eastAsia="Times New Roman" w:hAnsi="Century Gothic"/>
                <w:b/>
                <w:bCs/>
              </w:rPr>
              <w:t>Percent</w:t>
            </w:r>
            <w:r w:rsidRPr="00161C23">
              <w:rPr>
                <w:rFonts w:ascii="Century Gothic" w:eastAsia="Times New Roman" w:hAnsi="Century Gothic"/>
              </w:rPr>
              <w:t xml:space="preserve"> </w:t>
            </w:r>
          </w:p>
        </w:tc>
        <w:tc>
          <w:tcPr>
            <w:tcW w:w="960" w:type="dxa"/>
            <w:tcBorders>
              <w:top w:val="single" w:sz="8" w:space="0" w:color="D9D9D9" w:themeColor="background1" w:themeShade="D9"/>
              <w:left w:val="single" w:sz="8" w:space="0" w:color="D9D9D9" w:themeColor="background1" w:themeShade="D9"/>
              <w:bottom w:val="nil"/>
              <w:right w:val="single" w:sz="8" w:space="0" w:color="D9D9D9" w:themeColor="background1" w:themeShade="D9"/>
            </w:tcBorders>
            <w:shd w:val="clear" w:color="auto" w:fill="BFBFBF" w:themeFill="background1" w:themeFillShade="BF"/>
            <w:tcMar>
              <w:top w:w="15" w:type="dxa"/>
              <w:left w:w="15" w:type="dxa"/>
              <w:right w:w="15" w:type="dxa"/>
            </w:tcMar>
            <w:vAlign w:val="center"/>
          </w:tcPr>
          <w:p w14:paraId="75E6F1DC" w14:textId="0C135E03" w:rsidR="2C805A1A" w:rsidRPr="00161C23" w:rsidRDefault="20B9116B" w:rsidP="006B446A">
            <w:pPr>
              <w:jc w:val="center"/>
              <w:rPr>
                <w:rFonts w:ascii="Century Gothic" w:eastAsia="Times New Roman" w:hAnsi="Century Gothic"/>
              </w:rPr>
            </w:pPr>
            <w:r w:rsidRPr="00161C23">
              <w:rPr>
                <w:rFonts w:ascii="Century Gothic" w:eastAsia="Times New Roman" w:hAnsi="Century Gothic"/>
                <w:b/>
                <w:bCs/>
              </w:rPr>
              <w:t>Units at 31-49% of AMI</w:t>
            </w:r>
            <w:r w:rsidRPr="00161C23">
              <w:rPr>
                <w:rFonts w:ascii="Century Gothic" w:eastAsia="Times New Roman" w:hAnsi="Century Gothic"/>
              </w:rPr>
              <w:t xml:space="preserve"> </w:t>
            </w:r>
          </w:p>
        </w:tc>
        <w:tc>
          <w:tcPr>
            <w:tcW w:w="960" w:type="dxa"/>
            <w:tcBorders>
              <w:top w:val="single" w:sz="8" w:space="0" w:color="D9D9D9" w:themeColor="background1" w:themeShade="D9"/>
              <w:left w:val="single" w:sz="8" w:space="0" w:color="D9D9D9" w:themeColor="background1" w:themeShade="D9"/>
              <w:bottom w:val="nil"/>
              <w:right w:val="single" w:sz="8" w:space="0" w:color="D9D9D9" w:themeColor="background1" w:themeShade="D9"/>
            </w:tcBorders>
            <w:shd w:val="clear" w:color="auto" w:fill="BFBFBF" w:themeFill="background1" w:themeFillShade="BF"/>
            <w:tcMar>
              <w:top w:w="15" w:type="dxa"/>
              <w:left w:w="15" w:type="dxa"/>
              <w:right w:w="15" w:type="dxa"/>
            </w:tcMar>
            <w:vAlign w:val="center"/>
          </w:tcPr>
          <w:p w14:paraId="14BCCCDA" w14:textId="0FFD0B89" w:rsidR="2C805A1A" w:rsidRPr="00161C23" w:rsidRDefault="20B9116B" w:rsidP="006B446A">
            <w:pPr>
              <w:jc w:val="center"/>
              <w:rPr>
                <w:rFonts w:ascii="Century Gothic" w:eastAsia="Times New Roman" w:hAnsi="Century Gothic"/>
              </w:rPr>
            </w:pPr>
            <w:r w:rsidRPr="00161C23">
              <w:rPr>
                <w:rFonts w:ascii="Century Gothic" w:eastAsia="Times New Roman" w:hAnsi="Century Gothic"/>
                <w:b/>
                <w:bCs/>
              </w:rPr>
              <w:t>Percent</w:t>
            </w:r>
            <w:r w:rsidRPr="00161C23">
              <w:rPr>
                <w:rFonts w:ascii="Century Gothic" w:eastAsia="Times New Roman" w:hAnsi="Century Gothic"/>
              </w:rPr>
              <w:t xml:space="preserve"> </w:t>
            </w:r>
          </w:p>
        </w:tc>
        <w:tc>
          <w:tcPr>
            <w:tcW w:w="960" w:type="dxa"/>
            <w:tcBorders>
              <w:top w:val="single" w:sz="8" w:space="0" w:color="D9D9D9" w:themeColor="background1" w:themeShade="D9"/>
              <w:left w:val="single" w:sz="8" w:space="0" w:color="D9D9D9" w:themeColor="background1" w:themeShade="D9"/>
              <w:bottom w:val="nil"/>
              <w:right w:val="single" w:sz="8" w:space="0" w:color="D9D9D9" w:themeColor="background1" w:themeShade="D9"/>
            </w:tcBorders>
            <w:shd w:val="clear" w:color="auto" w:fill="BFBFBF" w:themeFill="background1" w:themeFillShade="BF"/>
            <w:tcMar>
              <w:top w:w="15" w:type="dxa"/>
              <w:left w:w="15" w:type="dxa"/>
              <w:right w:w="15" w:type="dxa"/>
            </w:tcMar>
            <w:vAlign w:val="center"/>
          </w:tcPr>
          <w:p w14:paraId="32441AAB" w14:textId="54E83171" w:rsidR="2C805A1A" w:rsidRPr="00161C23" w:rsidRDefault="20B9116B" w:rsidP="006B446A">
            <w:pPr>
              <w:jc w:val="center"/>
              <w:rPr>
                <w:rFonts w:ascii="Century Gothic" w:eastAsia="Times New Roman" w:hAnsi="Century Gothic"/>
              </w:rPr>
            </w:pPr>
            <w:r w:rsidRPr="00161C23">
              <w:rPr>
                <w:rFonts w:ascii="Century Gothic" w:eastAsia="Times New Roman" w:hAnsi="Century Gothic"/>
                <w:b/>
                <w:bCs/>
              </w:rPr>
              <w:t>Units at 50-80% of AMI</w:t>
            </w:r>
            <w:r w:rsidRPr="00161C23">
              <w:rPr>
                <w:rFonts w:ascii="Century Gothic" w:eastAsia="Times New Roman" w:hAnsi="Century Gothic"/>
              </w:rPr>
              <w:t xml:space="preserve"> </w:t>
            </w:r>
          </w:p>
        </w:tc>
        <w:tc>
          <w:tcPr>
            <w:tcW w:w="960" w:type="dxa"/>
            <w:tcBorders>
              <w:top w:val="single" w:sz="8" w:space="0" w:color="D9D9D9" w:themeColor="background1" w:themeShade="D9"/>
              <w:left w:val="single" w:sz="8" w:space="0" w:color="D9D9D9" w:themeColor="background1" w:themeShade="D9"/>
              <w:bottom w:val="nil"/>
              <w:right w:val="single" w:sz="8" w:space="0" w:color="D9D9D9" w:themeColor="background1" w:themeShade="D9"/>
            </w:tcBorders>
            <w:shd w:val="clear" w:color="auto" w:fill="BFBFBF" w:themeFill="background1" w:themeFillShade="BF"/>
            <w:tcMar>
              <w:top w:w="15" w:type="dxa"/>
              <w:left w:w="15" w:type="dxa"/>
              <w:right w:w="15" w:type="dxa"/>
            </w:tcMar>
            <w:vAlign w:val="center"/>
          </w:tcPr>
          <w:p w14:paraId="21B07F20" w14:textId="518B03A2" w:rsidR="2C805A1A" w:rsidRPr="00161C23" w:rsidRDefault="20B9116B" w:rsidP="006B446A">
            <w:pPr>
              <w:jc w:val="center"/>
              <w:rPr>
                <w:rFonts w:ascii="Century Gothic" w:eastAsia="Times New Roman" w:hAnsi="Century Gothic"/>
              </w:rPr>
            </w:pPr>
            <w:r w:rsidRPr="00161C23">
              <w:rPr>
                <w:rFonts w:ascii="Century Gothic" w:eastAsia="Times New Roman" w:hAnsi="Century Gothic"/>
                <w:b/>
                <w:bCs/>
              </w:rPr>
              <w:t>Percent</w:t>
            </w:r>
            <w:r w:rsidRPr="00161C23">
              <w:rPr>
                <w:rFonts w:ascii="Century Gothic" w:eastAsia="Times New Roman" w:hAnsi="Century Gothic"/>
              </w:rPr>
              <w:t xml:space="preserve"> </w:t>
            </w:r>
          </w:p>
        </w:tc>
        <w:tc>
          <w:tcPr>
            <w:tcW w:w="960" w:type="dxa"/>
            <w:tcBorders>
              <w:top w:val="single" w:sz="8" w:space="0" w:color="D9D9D9" w:themeColor="background1" w:themeShade="D9"/>
              <w:left w:val="single" w:sz="8" w:space="0" w:color="D9D9D9" w:themeColor="background1" w:themeShade="D9"/>
              <w:bottom w:val="nil"/>
              <w:right w:val="single" w:sz="4" w:space="0" w:color="000000" w:themeColor="text1"/>
            </w:tcBorders>
            <w:shd w:val="clear" w:color="auto" w:fill="BFBFBF" w:themeFill="background1" w:themeFillShade="BF"/>
            <w:tcMar>
              <w:top w:w="15" w:type="dxa"/>
              <w:left w:w="15" w:type="dxa"/>
              <w:right w:w="15" w:type="dxa"/>
            </w:tcMar>
            <w:vAlign w:val="center"/>
          </w:tcPr>
          <w:p w14:paraId="2041D99E" w14:textId="670E351C" w:rsidR="2C805A1A" w:rsidRPr="00161C23" w:rsidRDefault="20B9116B" w:rsidP="006B446A">
            <w:pPr>
              <w:jc w:val="center"/>
              <w:rPr>
                <w:rFonts w:ascii="Century Gothic" w:eastAsia="Times New Roman" w:hAnsi="Century Gothic"/>
              </w:rPr>
            </w:pPr>
            <w:r w:rsidRPr="00161C23">
              <w:rPr>
                <w:rFonts w:ascii="Century Gothic" w:eastAsia="Times New Roman" w:hAnsi="Century Gothic"/>
                <w:b/>
                <w:bCs/>
              </w:rPr>
              <w:t>Total Units</w:t>
            </w:r>
            <w:r w:rsidRPr="00161C23">
              <w:rPr>
                <w:rFonts w:ascii="Century Gothic" w:eastAsia="Times New Roman" w:hAnsi="Century Gothic"/>
              </w:rPr>
              <w:t xml:space="preserve"> </w:t>
            </w:r>
          </w:p>
        </w:tc>
      </w:tr>
      <w:tr w:rsidR="2C805A1A" w:rsidRPr="00161C23" w14:paraId="2172AA86" w14:textId="77777777" w:rsidTr="0189D8D6">
        <w:trPr>
          <w:trHeight w:val="915"/>
        </w:trPr>
        <w:tc>
          <w:tcPr>
            <w:tcW w:w="1665" w:type="dxa"/>
            <w:tcBorders>
              <w:top w:val="nil"/>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5F17BA78" w14:textId="48E57573" w:rsidR="2C805A1A" w:rsidRPr="007F6AA9" w:rsidRDefault="17649394" w:rsidP="0E6C54AB">
            <w:pP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 xml:space="preserve">BROOKSIDE PHASE I </w:t>
            </w:r>
          </w:p>
        </w:tc>
        <w:tc>
          <w:tcPr>
            <w:tcW w:w="96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D58E37B" w14:textId="18058859" w:rsidR="2C805A1A" w:rsidRPr="007F6AA9" w:rsidRDefault="276DEA4B"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1</w:t>
            </w:r>
          </w:p>
        </w:tc>
        <w:tc>
          <w:tcPr>
            <w:tcW w:w="96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B14BEB9" w14:textId="11A2F549" w:rsidR="2C805A1A" w:rsidRPr="007F6AA9" w:rsidRDefault="17649394"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100%</w:t>
            </w:r>
          </w:p>
        </w:tc>
        <w:tc>
          <w:tcPr>
            <w:tcW w:w="96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3E7BB13" w14:textId="13997A30" w:rsidR="2C805A1A" w:rsidRPr="007F6AA9" w:rsidRDefault="17649394"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0</w:t>
            </w:r>
          </w:p>
        </w:tc>
        <w:tc>
          <w:tcPr>
            <w:tcW w:w="96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5FC2FE0" w14:textId="597726A1" w:rsidR="2C805A1A" w:rsidRPr="007F6AA9" w:rsidRDefault="17649394"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0%</w:t>
            </w:r>
          </w:p>
        </w:tc>
        <w:tc>
          <w:tcPr>
            <w:tcW w:w="96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D045B07" w14:textId="53DB959F" w:rsidR="2C805A1A" w:rsidRPr="007F6AA9" w:rsidRDefault="17649394" w:rsidP="006B446A">
            <w:pPr>
              <w:jc w:val="center"/>
              <w:rPr>
                <w:rFonts w:ascii="Century Gothic" w:eastAsia="Times New Roman" w:hAnsi="Century Gothic"/>
                <w:b/>
                <w:bCs/>
              </w:rPr>
            </w:pPr>
            <w:r w:rsidRPr="007F6AA9">
              <w:rPr>
                <w:rFonts w:ascii="Century Gothic" w:eastAsia="Times New Roman" w:hAnsi="Century Gothic"/>
                <w:b/>
                <w:bCs/>
              </w:rPr>
              <w:t>0</w:t>
            </w:r>
          </w:p>
        </w:tc>
        <w:tc>
          <w:tcPr>
            <w:tcW w:w="96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AE157EA" w14:textId="5343F35E" w:rsidR="2C805A1A" w:rsidRPr="007F6AA9" w:rsidRDefault="17649394"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0%</w:t>
            </w:r>
          </w:p>
        </w:tc>
        <w:tc>
          <w:tcPr>
            <w:tcW w:w="960" w:type="dxa"/>
            <w:tcBorders>
              <w:top w:val="nil"/>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08C3D39C" w14:textId="079067BD" w:rsidR="2C805A1A" w:rsidRPr="007F6AA9" w:rsidRDefault="4763D552"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1</w:t>
            </w:r>
          </w:p>
        </w:tc>
      </w:tr>
      <w:tr w:rsidR="2C805A1A" w:rsidRPr="00161C23" w14:paraId="2DDCFB70" w14:textId="77777777" w:rsidTr="0189D8D6">
        <w:trPr>
          <w:trHeight w:val="9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5EC189D0" w14:textId="799CE206" w:rsidR="2C805A1A" w:rsidRPr="007F6AA9" w:rsidRDefault="17649394" w:rsidP="0E6C54AB">
            <w:pP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 xml:space="preserve">BROOKSIDE PHASE II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9100994" w14:textId="7037D77A" w:rsidR="2C805A1A" w:rsidRPr="007F6AA9" w:rsidRDefault="64EC761E"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54472C7" w14:textId="4E0436FA" w:rsidR="2C805A1A" w:rsidRPr="007F6AA9" w:rsidRDefault="00EE1982" w:rsidP="006B446A">
            <w:pPr>
              <w:jc w:val="center"/>
              <w:rPr>
                <w:rFonts w:ascii="Century Gothic" w:eastAsia="Times New Roman" w:hAnsi="Century Gothic"/>
                <w:b/>
                <w:bCs/>
                <w:color w:val="000000" w:themeColor="text1"/>
              </w:rPr>
            </w:pPr>
            <w:r>
              <w:rPr>
                <w:rFonts w:ascii="Century Gothic" w:eastAsia="Times New Roman" w:hAnsi="Century Gothic"/>
                <w:b/>
                <w:bCs/>
                <w:color w:val="000000" w:themeColor="text1"/>
              </w:rPr>
              <w:t>0</w:t>
            </w:r>
            <w:r w:rsidR="17649394" w:rsidRPr="007F6AA9">
              <w:rPr>
                <w:rFonts w:ascii="Century Gothic" w:eastAsia="Times New Roman" w:hAnsi="Century Gothic"/>
                <w:b/>
                <w:bCs/>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BFFF7EB" w14:textId="50495832" w:rsidR="2C805A1A" w:rsidRPr="007F6AA9" w:rsidRDefault="17649394"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E167F47" w14:textId="152D2DFC" w:rsidR="2C805A1A" w:rsidRPr="007F6AA9" w:rsidRDefault="17649394"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FFA062B" w14:textId="46095566" w:rsidR="2C805A1A" w:rsidRPr="007F6AA9" w:rsidRDefault="1D6D2830"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0</w:t>
            </w:r>
            <w:r w:rsidR="1B1142E6" w:rsidRPr="007F6AA9">
              <w:rPr>
                <w:rFonts w:ascii="Century Gothic" w:eastAsia="Times New Roman" w:hAnsi="Century Gothic"/>
                <w:b/>
                <w:bCs/>
                <w:color w:val="000000" w:themeColor="text1"/>
              </w:rPr>
              <w:t xml:space="preserve">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AE71950" w14:textId="1C51315F" w:rsidR="2C805A1A" w:rsidRPr="007F6AA9" w:rsidRDefault="00EE1982" w:rsidP="006B446A">
            <w:pPr>
              <w:jc w:val="center"/>
              <w:rPr>
                <w:rFonts w:ascii="Century Gothic" w:eastAsia="Times New Roman" w:hAnsi="Century Gothic"/>
                <w:b/>
                <w:bCs/>
                <w:color w:val="000000" w:themeColor="text1"/>
              </w:rPr>
            </w:pPr>
            <w:r>
              <w:rPr>
                <w:rFonts w:ascii="Century Gothic" w:eastAsia="Times New Roman" w:hAnsi="Century Gothic"/>
                <w:b/>
                <w:bCs/>
                <w:color w:val="000000" w:themeColor="text1"/>
              </w:rPr>
              <w:t>0</w:t>
            </w:r>
            <w:r w:rsidR="17649394" w:rsidRPr="007F6AA9">
              <w:rPr>
                <w:rFonts w:ascii="Century Gothic" w:eastAsia="Times New Roman" w:hAnsi="Century Gothic"/>
                <w:b/>
                <w:bCs/>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104363C7" w14:textId="72A33A8E" w:rsidR="2C805A1A" w:rsidRPr="007F6AA9" w:rsidRDefault="51D590E7" w:rsidP="006B446A">
            <w:pPr>
              <w:jc w:val="center"/>
              <w:rPr>
                <w:rFonts w:ascii="Century Gothic" w:eastAsia="Times New Roman" w:hAnsi="Century Gothic"/>
                <w:b/>
                <w:bCs/>
                <w:color w:val="000000" w:themeColor="text1"/>
              </w:rPr>
            </w:pPr>
            <w:r w:rsidRPr="007F6AA9">
              <w:rPr>
                <w:rFonts w:ascii="Century Gothic" w:eastAsia="Times New Roman" w:hAnsi="Century Gothic"/>
                <w:b/>
                <w:bCs/>
                <w:color w:val="000000" w:themeColor="text1"/>
              </w:rPr>
              <w:t>0</w:t>
            </w:r>
          </w:p>
        </w:tc>
      </w:tr>
      <w:tr w:rsidR="2C805A1A" w:rsidRPr="00161C23" w14:paraId="150D2F34" w14:textId="77777777" w:rsidTr="0189D8D6">
        <w:trPr>
          <w:trHeight w:val="9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1B363F41" w14:textId="6D553418"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CONSTANCE B MOTLEY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70969D4" w14:textId="2D3503F4" w:rsidR="2C805A1A" w:rsidRPr="007F6AA9" w:rsidRDefault="52505C8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9</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9104BC1" w14:textId="5749F17A"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E777766" w14:textId="68A6E55D"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D20FA50" w14:textId="65960D39"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F3BE3BF" w14:textId="744D019B"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0962C8F" w14:textId="27F72B22"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6A0F2EEA" w14:textId="1EBF9398" w:rsidR="2C805A1A" w:rsidRPr="007F6AA9" w:rsidRDefault="74322043"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9</w:t>
            </w:r>
          </w:p>
        </w:tc>
      </w:tr>
      <w:tr w:rsidR="2C805A1A" w:rsidRPr="00161C23" w14:paraId="3771FC1F" w14:textId="77777777" w:rsidTr="0189D8D6">
        <w:trPr>
          <w:trHeight w:val="9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59583232" w14:textId="59068BA6"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EASTVIEW TERRACE PHASE 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FF586B0" w14:textId="312E42B0" w:rsidR="2C805A1A" w:rsidRPr="007F6AA9" w:rsidRDefault="10B036D4"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C47BFA9" w14:textId="447ABAA3" w:rsidR="2C805A1A" w:rsidRPr="007F6AA9" w:rsidRDefault="0C4BF096"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50%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9A6CC71" w14:textId="11AFB9CA" w:rsidR="2C805A1A" w:rsidRPr="007F6AA9" w:rsidRDefault="7EE13AEF"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400CACA" w14:textId="753E90DC" w:rsidR="2C805A1A" w:rsidRPr="007F6AA9" w:rsidRDefault="5DE6F023"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33%</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BD72D6E" w14:textId="07D1EBB4" w:rsidR="2C805A1A" w:rsidRPr="007F6AA9" w:rsidRDefault="6F05FDF5"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B87DF43" w14:textId="0764BF7F" w:rsidR="2C805A1A" w:rsidRPr="007F6AA9" w:rsidRDefault="27989105"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17</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48B013CD" w14:textId="1E4716B4" w:rsidR="2C805A1A" w:rsidRPr="007F6AA9" w:rsidRDefault="16747537"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6</w:t>
            </w:r>
          </w:p>
        </w:tc>
      </w:tr>
      <w:tr w:rsidR="2C805A1A" w:rsidRPr="00161C23" w14:paraId="4F5516DA" w14:textId="77777777" w:rsidTr="0189D8D6">
        <w:trPr>
          <w:trHeight w:val="9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09C67127" w14:textId="16AD5FB9"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EASTVIEW TERRACE PHASE II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020AFB3" w14:textId="3C02461F" w:rsidR="2C805A1A" w:rsidRPr="007F6AA9" w:rsidRDefault="53EE4677"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3BA4FA8" w14:textId="03D83C15" w:rsidR="2C805A1A" w:rsidRPr="007F6AA9" w:rsidRDefault="1B59ECF7"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D95246F" w14:textId="258EA96F"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9A95847" w14:textId="29E21D89"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4C9D8B5" w14:textId="27C7C2B9"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A971124" w14:textId="103C792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75631189" w14:textId="0FACAC10" w:rsidR="2C805A1A" w:rsidRPr="007F6AA9" w:rsidRDefault="070A917E" w:rsidP="006B446A">
            <w:pPr>
              <w:jc w:val="center"/>
              <w:rPr>
                <w:rFonts w:ascii="Century Gothic" w:eastAsia="Times New Roman" w:hAnsi="Century Gothic"/>
              </w:rPr>
            </w:pPr>
            <w:r w:rsidRPr="007F6AA9">
              <w:rPr>
                <w:rFonts w:ascii="Century Gothic" w:eastAsia="Times New Roman" w:hAnsi="Century Gothic"/>
              </w:rPr>
              <w:t>0</w:t>
            </w:r>
          </w:p>
        </w:tc>
      </w:tr>
      <w:tr w:rsidR="2C805A1A" w:rsidRPr="00161C23" w14:paraId="186365C1"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5DFB5E08" w14:textId="5AF27DE1"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lastRenderedPageBreak/>
              <w:t xml:space="preserve">FAIRHAVEN CHATHAM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E788D44" w14:textId="671004BC" w:rsidR="2C805A1A" w:rsidRPr="007F6AA9" w:rsidRDefault="7FB31D63"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C2DD084" w14:textId="0A2D070E" w:rsidR="2C805A1A" w:rsidRPr="007F6AA9" w:rsidRDefault="27CF904E"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r w:rsidR="33C4402E"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C2E5133" w14:textId="06CBA9C1" w:rsidR="2C805A1A" w:rsidRPr="007F6AA9" w:rsidRDefault="2A671F89"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D7ABD7B" w14:textId="316F59CC" w:rsidR="2C805A1A" w:rsidRPr="007F6AA9" w:rsidRDefault="193F011F"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A5429D1" w14:textId="2D845577"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8809B7A" w14:textId="5EEA0538"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7AD1C438" w14:textId="0E08274B" w:rsidR="2C805A1A" w:rsidRPr="007F6AA9" w:rsidRDefault="630A1E2C"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r>
      <w:tr w:rsidR="2C805A1A" w:rsidRPr="00161C23" w14:paraId="55255204"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4FE23261" w14:textId="725AAC49"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FAIR HAVEN EASTVIEW II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EC62BF3" w14:textId="537D79E8"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890E2EB" w14:textId="206DD20C"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9D16FB5" w14:textId="1143C9C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DF71118" w14:textId="47F5E206"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57FBBD0" w14:textId="7E2DABBC"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A2A8613" w14:textId="710B29E1"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23F1A1E9" w14:textId="44A6153F"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r>
      <w:tr w:rsidR="2C805A1A" w:rsidRPr="00161C23" w14:paraId="4A959E10" w14:textId="77777777" w:rsidTr="0189D8D6">
        <w:trPr>
          <w:trHeight w:val="480"/>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5D899A8C" w14:textId="4F8CA3AE" w:rsidR="2C805A1A" w:rsidRPr="007F6AA9" w:rsidRDefault="17649394" w:rsidP="0E6C54AB">
            <w:pPr>
              <w:rPr>
                <w:rFonts w:ascii="Century Gothic" w:eastAsia="Times New Roman" w:hAnsi="Century Gothic"/>
                <w:color w:val="000000" w:themeColor="text1"/>
              </w:rPr>
            </w:pPr>
            <w:r w:rsidRPr="007F6AA9">
              <w:rPr>
                <w:rFonts w:ascii="Century Gothic" w:eastAsia="Times New Roman" w:hAnsi="Century Gothic"/>
                <w:color w:val="000000" w:themeColor="text1"/>
              </w:rPr>
              <w:t>FAIRMONT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5FC2ECE" w14:textId="22BBDE2A" w:rsidR="2C805A1A" w:rsidRPr="007F6AA9" w:rsidRDefault="3899A390"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16EB807" w14:textId="4CCE53FC"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A6F4EE8" w14:textId="1A12095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07A13D4" w14:textId="411A1183"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474B1A7" w14:textId="2598FF3F"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A8ABA6E" w14:textId="27C0FAF1"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2D3F7FE4" w14:textId="3F3CA83B" w:rsidR="2C805A1A" w:rsidRPr="007F6AA9" w:rsidRDefault="2A2D96D5"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r>
      <w:tr w:rsidR="2C805A1A" w:rsidRPr="00161C23" w14:paraId="481905AF" w14:textId="77777777" w:rsidTr="0189D8D6">
        <w:trPr>
          <w:trHeight w:val="510"/>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721762BB" w14:textId="1091C996"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FULTON PARK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30F8344" w14:textId="13757A9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04CCA4B" w14:textId="7341B99A"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F5102BD" w14:textId="12CE7480"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5F607A3" w14:textId="381FD48B"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7D2E92A" w14:textId="2553108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3D0150B" w14:textId="5EE7B77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6D25AC29" w14:textId="7DBAED60"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r>
      <w:tr w:rsidR="2C805A1A" w:rsidRPr="00161C23" w14:paraId="3C7F8E7E" w14:textId="77777777" w:rsidTr="0189D8D6">
        <w:trPr>
          <w:trHeight w:val="9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6B468FBD" w14:textId="0AD2C8EA"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KATHERINE HARVEY TERRACE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79ECEDE" w14:textId="1BC41005" w:rsidR="2C805A1A" w:rsidRPr="007F6AA9" w:rsidRDefault="171CE005"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0B5D79B" w14:textId="743F54A0" w:rsidR="2C805A1A" w:rsidRPr="007F6AA9" w:rsidRDefault="1B59ECF7"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0BB6CE3" w14:textId="64B1870D"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AC66F64" w14:textId="671414BE"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66948E6" w14:textId="176B5D51"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DAACDF1" w14:textId="60623D2E"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1D4607E7" w14:textId="4C9E7C05" w:rsidR="2C805A1A" w:rsidRPr="007F6AA9" w:rsidRDefault="3C3CE433"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r>
      <w:tr w:rsidR="2C805A1A" w:rsidRPr="00161C23" w14:paraId="4930697B" w14:textId="77777777" w:rsidTr="0189D8D6">
        <w:trPr>
          <w:trHeight w:val="46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20B59D7A" w14:textId="3B03342D"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MCQUEENEY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346E386" w14:textId="33EA2B2B"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6</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7074EEB" w14:textId="6C8CDC07" w:rsidR="2C805A1A" w:rsidRPr="007F6AA9" w:rsidRDefault="61BAEE65"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86</w:t>
            </w:r>
            <w:r w:rsidR="1B59ECF7"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33D9F26" w14:textId="2AE36F6B" w:rsidR="2C805A1A" w:rsidRPr="007F6AA9" w:rsidRDefault="16814D11"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7C9C362" w14:textId="48185CCA" w:rsidR="2C805A1A" w:rsidRPr="007F6AA9" w:rsidRDefault="528EDA3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14</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CFC9060" w14:textId="316001F3"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9EBD246" w14:textId="67970325"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0F731004" w14:textId="12E07A36" w:rsidR="2C805A1A" w:rsidRPr="007F6AA9" w:rsidRDefault="6D8230B3"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7</w:t>
            </w:r>
          </w:p>
        </w:tc>
      </w:tr>
      <w:tr w:rsidR="2C805A1A" w:rsidRPr="00161C23" w14:paraId="6839903B" w14:textId="77777777" w:rsidTr="0189D8D6">
        <w:trPr>
          <w:trHeight w:val="915"/>
        </w:trPr>
        <w:tc>
          <w:tcPr>
            <w:tcW w:w="1665" w:type="dxa"/>
            <w:tcBorders>
              <w:top w:val="single" w:sz="8" w:space="0" w:color="D9D9D9" w:themeColor="background1" w:themeShade="D9"/>
              <w:left w:val="single" w:sz="4" w:space="0" w:color="000000" w:themeColor="text1"/>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2B82C1C9" w14:textId="369811DE"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MILL RIVER/</w:t>
            </w:r>
            <w:r w:rsidR="006B446A" w:rsidRPr="007F6AA9">
              <w:rPr>
                <w:rFonts w:ascii="Century Gothic" w:eastAsia="Times New Roman" w:hAnsi="Century Gothic"/>
                <w:color w:val="000000" w:themeColor="text1"/>
              </w:rPr>
              <w:t xml:space="preserve"> </w:t>
            </w:r>
            <w:r w:rsidRPr="007F6AA9">
              <w:rPr>
                <w:rFonts w:ascii="Century Gothic" w:eastAsia="Times New Roman" w:hAnsi="Century Gothic"/>
                <w:color w:val="000000" w:themeColor="text1"/>
              </w:rPr>
              <w:t>FARNAM I</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29C300D" w14:textId="1214596E"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BE209DC" w14:textId="1D99B515" w:rsidR="2C805A1A" w:rsidRPr="007F6AA9" w:rsidRDefault="57A5F4A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50</w:t>
            </w:r>
            <w:r w:rsidR="1B59ECF7"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609679B" w14:textId="3DEAE4B3" w:rsidR="2C805A1A" w:rsidRPr="007F6AA9" w:rsidRDefault="33FD4E6B">
            <w:pPr>
              <w:jc w:val="center"/>
              <w:rPr>
                <w:rFonts w:ascii="Century Gothic" w:eastAsia="Times New Roman" w:hAnsi="Century Gothic"/>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76801CE" w14:textId="0AAB6014" w:rsidR="2C805A1A" w:rsidRPr="007F6AA9" w:rsidRDefault="08D0108A"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25</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C7F4458" w14:textId="6241011A" w:rsidR="2C805A1A" w:rsidRPr="007F6AA9" w:rsidRDefault="5835C732">
            <w:pPr>
              <w:jc w:val="center"/>
              <w:rPr>
                <w:rFonts w:ascii="Century Gothic" w:eastAsia="Times New Roman" w:hAnsi="Century Gothic"/>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EE15FB9" w14:textId="49B576D2" w:rsidR="2C805A1A" w:rsidRPr="007F6AA9" w:rsidRDefault="6D85EEE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25</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19930C53" w14:textId="04E1CD66" w:rsidR="2C805A1A" w:rsidRPr="007F6AA9" w:rsidRDefault="1EEDD1A5"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4</w:t>
            </w:r>
          </w:p>
        </w:tc>
      </w:tr>
      <w:tr w:rsidR="2C805A1A" w:rsidRPr="00161C23" w14:paraId="14A3B96C" w14:textId="77777777" w:rsidTr="0189D8D6">
        <w:trPr>
          <w:trHeight w:val="915"/>
        </w:trPr>
        <w:tc>
          <w:tcPr>
            <w:tcW w:w="1665" w:type="dxa"/>
            <w:tcBorders>
              <w:top w:val="single" w:sz="8" w:space="0" w:color="D9D9D9" w:themeColor="background1" w:themeShade="D9"/>
              <w:left w:val="single" w:sz="4" w:space="0" w:color="000000" w:themeColor="text1"/>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3FEB89A0" w14:textId="02F24A41"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MILL RIVER/</w:t>
            </w:r>
            <w:r w:rsidR="006B446A" w:rsidRPr="007F6AA9">
              <w:rPr>
                <w:rFonts w:ascii="Century Gothic" w:eastAsia="Times New Roman" w:hAnsi="Century Gothic"/>
                <w:color w:val="000000" w:themeColor="text1"/>
              </w:rPr>
              <w:t xml:space="preserve"> </w:t>
            </w:r>
            <w:r w:rsidRPr="007F6AA9">
              <w:rPr>
                <w:rFonts w:ascii="Century Gothic" w:eastAsia="Times New Roman" w:hAnsi="Century Gothic"/>
                <w:color w:val="000000" w:themeColor="text1"/>
              </w:rPr>
              <w:t>FARNAM II 9%</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124AB02" w14:textId="3958E4F1" w:rsidR="2C805A1A" w:rsidRPr="007F6AA9" w:rsidRDefault="1FD2A7A9"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1A1DA18" w14:textId="6F91A5CD"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0BAE1C6" w14:textId="4977421C"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8504588" w14:textId="38AF4F3A"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CDA4385" w14:textId="58ABF670"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D5FEBD1" w14:textId="396D8C49"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0154BF17" w14:textId="0D4E85EE"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r>
      <w:tr w:rsidR="2C805A1A" w:rsidRPr="00161C23" w14:paraId="4B7C9B70"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28AAC263" w14:textId="3598831D"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NEWHALL GARDENS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FA7600A" w14:textId="078168F8"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8CA2AEC" w14:textId="1D59368B"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A5A068B" w14:textId="0109653E"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3D1AF96" w14:textId="376E39FB"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D315E7D" w14:textId="0E8FC2CE"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27E7FA7" w14:textId="45152C13"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71F5A34A" w14:textId="356FEC97"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r>
      <w:tr w:rsidR="2C805A1A" w:rsidRPr="00161C23" w14:paraId="4C133C28" w14:textId="77777777" w:rsidTr="0189D8D6">
        <w:trPr>
          <w:trHeight w:val="3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6E63105E" w14:textId="68F524C3"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PRESCOTT BUSH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7B7866D" w14:textId="5FC48D54" w:rsidR="2C805A1A" w:rsidRPr="007F6AA9" w:rsidRDefault="341E77B3"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8080D01" w14:textId="6D1C69D2" w:rsidR="2C805A1A" w:rsidRPr="007F6AA9" w:rsidRDefault="026A27CF"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67</w:t>
            </w:r>
            <w:r w:rsidR="33C4402E"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47AA9AA" w14:textId="22EF2ECE" w:rsidR="2C805A1A" w:rsidRPr="007F6AA9" w:rsidRDefault="0F82317D"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51F4008" w14:textId="632742C5" w:rsidR="2C805A1A" w:rsidRPr="007F6AA9" w:rsidRDefault="5BE7D167"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8005C50" w14:textId="3177B832" w:rsidR="2C805A1A" w:rsidRPr="007F6AA9" w:rsidRDefault="3A1D99AF"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2DC282D" w14:textId="26D42455" w:rsidR="2C805A1A" w:rsidRPr="007F6AA9" w:rsidRDefault="1A5B4032"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33</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498A3C30" w14:textId="70A73900" w:rsidR="2C805A1A" w:rsidRPr="007F6AA9" w:rsidRDefault="3C65DE47"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w:t>
            </w:r>
          </w:p>
        </w:tc>
      </w:tr>
      <w:tr w:rsidR="2C805A1A" w:rsidRPr="00161C23" w14:paraId="7728A5E0" w14:textId="77777777" w:rsidTr="0189D8D6">
        <w:trPr>
          <w:trHeight w:val="9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6A68830C" w14:textId="332CEBA1"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QUINNIPIAC TERRACE PHASE 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450817F" w14:textId="621BC63B"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7F7E134" w14:textId="1A4884BC"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A1136CF" w14:textId="2D9FE635"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29484F5" w14:textId="327C28AA"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48080E9" w14:textId="02C8493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65AE8B2" w14:textId="717524FE"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362A3D3E" w14:textId="20E5B440"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r>
      <w:tr w:rsidR="2C805A1A" w:rsidRPr="00161C23" w14:paraId="4C5BD1EF" w14:textId="77777777" w:rsidTr="0189D8D6">
        <w:trPr>
          <w:trHeight w:val="1020"/>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57B222E1" w14:textId="0C045425"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QUINNIPIAC TERRACE PHASE II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6C64CC9" w14:textId="2D797D7B" w:rsidR="2C805A1A" w:rsidRPr="007F6AA9" w:rsidRDefault="4116A2E6"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29B8531" w14:textId="56A00D28" w:rsidR="2C805A1A" w:rsidRPr="007F6AA9" w:rsidRDefault="6D0749A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6</w:t>
            </w:r>
            <w:r w:rsidR="1B59ECF7" w:rsidRPr="007F6AA9">
              <w:rPr>
                <w:rFonts w:ascii="Century Gothic" w:eastAsia="Times New Roman" w:hAnsi="Century Gothic"/>
                <w:color w:val="000000" w:themeColor="text1"/>
              </w:rPr>
              <w:t>0</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27B3F6D" w14:textId="7B8FE53F" w:rsidR="2C805A1A" w:rsidRPr="007F6AA9" w:rsidRDefault="281AE61F"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0A300F6" w14:textId="0B9C7D65" w:rsidR="2C805A1A" w:rsidRPr="007F6AA9" w:rsidRDefault="4212F952"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4</w:t>
            </w:r>
            <w:r w:rsidR="1B59ECF7" w:rsidRPr="007F6AA9">
              <w:rPr>
                <w:rFonts w:ascii="Century Gothic" w:eastAsia="Times New Roman" w:hAnsi="Century Gothic"/>
                <w:color w:val="000000" w:themeColor="text1"/>
              </w:rPr>
              <w:t>0</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6173A7B" w14:textId="0E1777DD"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064F4B8" w14:textId="0866006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4B4D8EBE" w14:textId="790EC802" w:rsidR="2C805A1A" w:rsidRPr="007F6AA9" w:rsidRDefault="0C2C190D"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5</w:t>
            </w:r>
          </w:p>
        </w:tc>
      </w:tr>
      <w:tr w:rsidR="2C805A1A" w:rsidRPr="00161C23" w14:paraId="38914E08" w14:textId="77777777" w:rsidTr="0189D8D6">
        <w:trPr>
          <w:trHeight w:val="9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5E25A6D7" w14:textId="6280DD1E"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QUINNIPIAC TERRACE PHASE III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94321FA" w14:textId="58CF9398"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1CE4154" w14:textId="4AAD5E17"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708B20D" w14:textId="2CACCB9C"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F5D1D26" w14:textId="4BA2A55B"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C7879AA" w14:textId="7DF3F6E6"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3819423" w14:textId="1F876C51"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1049BE97" w14:textId="15CA66E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r>
      <w:tr w:rsidR="2C805A1A" w:rsidRPr="00161C23" w14:paraId="1EBA1ED5" w14:textId="77777777" w:rsidTr="0189D8D6">
        <w:trPr>
          <w:trHeight w:val="43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73B6CB2F" w14:textId="24175E41"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RIBICOFF </w:t>
            </w:r>
            <w:r w:rsidR="006B446A" w:rsidRPr="007F6AA9">
              <w:rPr>
                <w:rFonts w:ascii="Century Gothic" w:eastAsia="Times New Roman" w:hAnsi="Century Gothic"/>
                <w:color w:val="000000" w:themeColor="text1"/>
              </w:rPr>
              <w:t>9</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A794C90" w14:textId="769300D6" w:rsidR="2C805A1A" w:rsidRPr="007F6AA9" w:rsidRDefault="3C742934"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F04686A" w14:textId="54807EA8"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56F58C5" w14:textId="4BBF0384"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E6B614A" w14:textId="300B3051"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B72B4B2" w14:textId="0473422F"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11F85D3" w14:textId="27F8F005"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4830AB33" w14:textId="60323617" w:rsidR="2C805A1A" w:rsidRPr="007F6AA9" w:rsidRDefault="1C846F92"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r>
      <w:tr w:rsidR="2C805A1A" w:rsidRPr="00161C23" w14:paraId="74664CA4" w14:textId="77777777" w:rsidTr="0189D8D6">
        <w:trPr>
          <w:trHeight w:val="46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0D922F61" w14:textId="0B7740A4"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RIBICOFF 4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C503AB4" w14:textId="3850E0E7"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4319274" w14:textId="5B33C04D"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80AFCFC" w14:textId="4803C63B"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7047EC6" w14:textId="45C8E0A7"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D706CAA" w14:textId="7EAE0712"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5254522" w14:textId="35EB466E"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30813340" w14:textId="61B7A507" w:rsidR="2C805A1A" w:rsidRPr="007F6AA9" w:rsidRDefault="20B9116B"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r>
      <w:tr w:rsidR="2C805A1A" w:rsidRPr="00161C23" w14:paraId="52839A71"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53527F44" w14:textId="2368CD86"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ROCKVIEW PHASE 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E19DE7A" w14:textId="75F559D4" w:rsidR="2C805A1A" w:rsidRPr="007F6AA9" w:rsidRDefault="08315B82"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124B28B" w14:textId="57F5A171" w:rsidR="2C805A1A" w:rsidRPr="007F6AA9" w:rsidRDefault="532B5CC3"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50</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C48AEB6" w14:textId="550C30E4" w:rsidR="2C805A1A" w:rsidRPr="007F6AA9" w:rsidRDefault="5DE44FED"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BC635CA" w14:textId="27CBA61B" w:rsidR="2C805A1A" w:rsidRPr="007F6AA9" w:rsidRDefault="7DBB4DFC"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33</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7D8924A" w14:textId="48137F76" w:rsidR="2C805A1A" w:rsidRPr="007F6AA9" w:rsidRDefault="62069A0F"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3AA1E1C" w14:textId="366AEC4B" w:rsidR="2C805A1A" w:rsidRPr="007F6AA9" w:rsidRDefault="0BBDF7D0"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17</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77F921ED" w14:textId="7E5CC612" w:rsidR="2C805A1A" w:rsidRPr="007F6AA9" w:rsidRDefault="216400D5" w:rsidP="006B446A">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6</w:t>
            </w:r>
          </w:p>
        </w:tc>
      </w:tr>
      <w:tr w:rsidR="2C805A1A" w:rsidRPr="00161C23" w14:paraId="1F09C874"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7BF2EF62" w14:textId="4AD0044C"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ROCKVIEW PHASE II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29F9C0D" w14:textId="17A8DD0B"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57FC37C" w14:textId="61068BC6"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B2C7FA2" w14:textId="629E23E1"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D7FA913" w14:textId="2D981D93"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40467DE" w14:textId="24D27003"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4515600" w14:textId="1BE239F3"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4B2BCF62" w14:textId="4F99E69E"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r>
      <w:tr w:rsidR="2C805A1A" w:rsidRPr="00161C23" w14:paraId="40AECD1A" w14:textId="77777777" w:rsidTr="0189D8D6">
        <w:trPr>
          <w:trHeight w:val="3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1AB31297" w14:textId="772EB854"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RUOPPOLO</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AFBB999" w14:textId="77951788" w:rsidR="2C805A1A" w:rsidRPr="007F6AA9" w:rsidRDefault="6FE190EA"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5</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3FEA1A1" w14:textId="0803EF59" w:rsidR="2C805A1A" w:rsidRPr="007F6AA9" w:rsidRDefault="4E1D3027"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r w:rsidR="1B59ECF7"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3B6F3C8" w14:textId="1DF48DEA" w:rsidR="2C805A1A" w:rsidRPr="007F6AA9" w:rsidRDefault="377F0E64"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1607FC6" w14:textId="5525A291" w:rsidR="2C805A1A" w:rsidRPr="007F6AA9" w:rsidRDefault="62C17CEE"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68D5673" w14:textId="304BA6C0"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8B19888" w14:textId="6DC068D9"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15BC6DE2" w14:textId="2766D122" w:rsidR="2C805A1A" w:rsidRPr="007F6AA9" w:rsidRDefault="676E2098">
            <w:pPr>
              <w:jc w:val="center"/>
              <w:rPr>
                <w:rFonts w:ascii="Century Gothic" w:eastAsia="Times New Roman" w:hAnsi="Century Gothic"/>
              </w:rPr>
            </w:pPr>
            <w:r w:rsidRPr="007F6AA9">
              <w:rPr>
                <w:rFonts w:ascii="Century Gothic" w:eastAsia="Times New Roman" w:hAnsi="Century Gothic"/>
                <w:color w:val="000000" w:themeColor="text1"/>
              </w:rPr>
              <w:t>5</w:t>
            </w:r>
          </w:p>
        </w:tc>
      </w:tr>
      <w:tr w:rsidR="2C805A1A" w:rsidRPr="00161C23" w14:paraId="13D10D99"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7BCCC033" w14:textId="1DDBDA19"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STANLEY JUSTICE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D717B25" w14:textId="0B574DBE"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28658EE" w14:textId="5669C7B2"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0F7ADA6" w14:textId="2F741EA1"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97E65AE" w14:textId="12B6E360"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DC32E06" w14:textId="74A63649"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1027643" w14:textId="11F47017"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0673FB94" w14:textId="009A92DD"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r>
      <w:tr w:rsidR="2C805A1A" w:rsidRPr="00161C23" w14:paraId="5615380B" w14:textId="77777777" w:rsidTr="0189D8D6">
        <w:trPr>
          <w:trHeight w:val="667"/>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40474C90" w14:textId="728B935A"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lastRenderedPageBreak/>
              <w:t xml:space="preserve">VALENTINA MACRI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2E88DDB" w14:textId="5617A6B2"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53535AF" w14:textId="5A4AFE8F"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36D206E" w14:textId="25248711"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7BDA86D" w14:textId="24915A68"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96EAC28" w14:textId="6F4B2BC0" w:rsidR="2C805A1A" w:rsidRPr="007F6AA9" w:rsidRDefault="2C805A1A" w:rsidP="00A0562E">
            <w:pPr>
              <w:jc w:val="center"/>
              <w:rPr>
                <w:rFonts w:ascii="Century Gothic" w:eastAsia="Times New Roman" w:hAnsi="Century Gothic"/>
                <w:color w:val="000000" w:themeColor="text1"/>
              </w:rPr>
            </w:pP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03DB7E8" w14:textId="2061585D"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146C36A0" w14:textId="36C7D9BB"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r>
      <w:tr w:rsidR="2C805A1A" w:rsidRPr="00161C23" w14:paraId="41891F09"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620C6FF2" w14:textId="4C3D2694"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WAVERLY TOWNHOMES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2FC6E97" w14:textId="56106DF5"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64F423E" w14:textId="6C1F01B7"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F1FCE08" w14:textId="1AA81680"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9016F7D" w14:textId="6F3F51F7"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964CBD3" w14:textId="5648A555"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3916EBC" w14:textId="49214CFD"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0D74F73C" w14:textId="4B59973C"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r>
      <w:tr w:rsidR="2C805A1A" w:rsidRPr="00161C23" w14:paraId="2155816E"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4474C596" w14:textId="470BB6B6"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WILLIAM T ROWE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843ADC3" w14:textId="4482460A" w:rsidR="2C805A1A" w:rsidRPr="007F6AA9" w:rsidRDefault="72385B0F"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7</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44F28C5" w14:textId="4F27DD19" w:rsidR="2C805A1A" w:rsidRPr="007F6AA9" w:rsidRDefault="4B618E94"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78</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EFA5140" w14:textId="37FF1EF1" w:rsidR="2C805A1A" w:rsidRPr="007F6AA9" w:rsidRDefault="57E2E8F5"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0947618" w14:textId="015E8805" w:rsidR="2C805A1A" w:rsidRPr="007F6AA9" w:rsidRDefault="0BB7BD6F"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22</w:t>
            </w:r>
            <w:r w:rsidR="1B59ECF7"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22DF253" w14:textId="78A15DFB"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664BAA5" w14:textId="3FA48D93"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4D4DB3CA" w14:textId="7DE664A8" w:rsidR="2C805A1A" w:rsidRPr="007F6AA9" w:rsidRDefault="17EC804C"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9</w:t>
            </w:r>
          </w:p>
        </w:tc>
      </w:tr>
      <w:tr w:rsidR="2C805A1A" w:rsidRPr="00161C23" w14:paraId="78A7BB31"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670BC4A3" w14:textId="4FA0DA5C"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WILMO</w:t>
            </w:r>
            <w:r w:rsidR="00A0562E" w:rsidRPr="007F6AA9">
              <w:rPr>
                <w:rFonts w:ascii="Century Gothic" w:eastAsia="Times New Roman" w:hAnsi="Century Gothic"/>
                <w:color w:val="000000" w:themeColor="text1"/>
              </w:rPr>
              <w:t>N</w:t>
            </w:r>
            <w:r w:rsidRPr="007F6AA9">
              <w:rPr>
                <w:rFonts w:ascii="Century Gothic" w:eastAsia="Times New Roman" w:hAnsi="Century Gothic"/>
                <w:color w:val="000000" w:themeColor="text1"/>
              </w:rPr>
              <w:t xml:space="preserve">T CROSSING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957D413" w14:textId="0C381AAE" w:rsidR="2C805A1A" w:rsidRPr="007F6AA9" w:rsidRDefault="3BA3610C"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B48D62E" w14:textId="098E3923" w:rsidR="2C805A1A" w:rsidRPr="007F6AA9" w:rsidRDefault="57ADAAB9"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w:t>
            </w:r>
            <w:r w:rsidR="20B9116B"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D84F551" w14:textId="0CB86E8D"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D454E46" w14:textId="37AD9ADA"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A02EF5F" w14:textId="6D2A0EE3"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71331B2" w14:textId="0812BE02"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732E2780" w14:textId="68562195" w:rsidR="2C805A1A" w:rsidRPr="007F6AA9" w:rsidRDefault="40124BE5"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r>
      <w:tr w:rsidR="2C805A1A" w:rsidRPr="00161C23" w14:paraId="3E0C37D0" w14:textId="77777777" w:rsidTr="0189D8D6">
        <w:trPr>
          <w:trHeight w:val="615"/>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1F7E8E81" w14:textId="501D3AD5"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WILMO</w:t>
            </w:r>
            <w:r w:rsidR="00A0562E" w:rsidRPr="007F6AA9">
              <w:rPr>
                <w:rFonts w:ascii="Century Gothic" w:eastAsia="Times New Roman" w:hAnsi="Century Gothic"/>
                <w:color w:val="000000" w:themeColor="text1"/>
              </w:rPr>
              <w:t>N</w:t>
            </w:r>
            <w:r w:rsidRPr="007F6AA9">
              <w:rPr>
                <w:rFonts w:ascii="Century Gothic" w:eastAsia="Times New Roman" w:hAnsi="Century Gothic"/>
                <w:color w:val="000000" w:themeColor="text1"/>
              </w:rPr>
              <w:t xml:space="preserve">T CROSSING </w:t>
            </w:r>
            <w:r w:rsidR="4B04CE70" w:rsidRPr="007F6AA9">
              <w:rPr>
                <w:rFonts w:ascii="Century Gothic" w:eastAsia="Times New Roman" w:hAnsi="Century Gothic"/>
                <w:color w:val="000000" w:themeColor="text1"/>
              </w:rPr>
              <w:t>(RAD)</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5D7985D" w14:textId="64CB6B5C" w:rsidR="2C805A1A" w:rsidRPr="007F6AA9" w:rsidRDefault="3282D44D"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A82ACFA" w14:textId="70D281FD" w:rsidR="2C805A1A" w:rsidRPr="007F6AA9" w:rsidRDefault="6E6F547D"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r w:rsidR="1B59ECF7"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CC1F4E1" w14:textId="12E11315"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8E7186D" w14:textId="2E088B54"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120AF29" w14:textId="6413FA7A"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6345021" w14:textId="0992AA14"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667855BC" w14:textId="3CCC3FF6" w:rsidR="2C805A1A" w:rsidRPr="007F6AA9" w:rsidRDefault="022EDB47">
            <w:pPr>
              <w:jc w:val="center"/>
              <w:rPr>
                <w:rFonts w:ascii="Century Gothic" w:eastAsia="Times New Roman" w:hAnsi="Century Gothic"/>
              </w:rPr>
            </w:pPr>
            <w:r w:rsidRPr="007F6AA9">
              <w:rPr>
                <w:rFonts w:ascii="Century Gothic" w:eastAsia="Times New Roman" w:hAnsi="Century Gothic"/>
                <w:color w:val="000000" w:themeColor="text1"/>
              </w:rPr>
              <w:t>2</w:t>
            </w:r>
          </w:p>
        </w:tc>
      </w:tr>
      <w:tr w:rsidR="2C805A1A" w:rsidRPr="00161C23" w14:paraId="600E944D" w14:textId="77777777" w:rsidTr="0189D8D6">
        <w:trPr>
          <w:trHeight w:val="600"/>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5CEE68F6" w14:textId="5A4C395E" w:rsidR="2C805A1A" w:rsidRPr="007F6AA9" w:rsidRDefault="20B9116B" w:rsidP="46316ACA">
            <w:pPr>
              <w:rPr>
                <w:rFonts w:ascii="Century Gothic" w:eastAsia="Times New Roman" w:hAnsi="Century Gothic"/>
                <w:color w:val="000000" w:themeColor="text1"/>
              </w:rPr>
            </w:pPr>
            <w:r w:rsidRPr="007F6AA9">
              <w:rPr>
                <w:rFonts w:ascii="Century Gothic" w:eastAsia="Times New Roman" w:hAnsi="Century Gothic"/>
                <w:color w:val="000000" w:themeColor="text1"/>
              </w:rPr>
              <w:t xml:space="preserve">WINSLOW </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81A7701" w14:textId="73926424" w:rsidR="2C805A1A" w:rsidRPr="007F6AA9" w:rsidRDefault="0675764A">
            <w:pPr>
              <w:jc w:val="center"/>
              <w:rPr>
                <w:rFonts w:ascii="Century Gothic" w:eastAsia="Times New Roman" w:hAnsi="Century Gothic"/>
              </w:rPr>
            </w:pPr>
            <w:r w:rsidRPr="007F6AA9">
              <w:rPr>
                <w:rFonts w:ascii="Century Gothic" w:eastAsia="Times New Roman" w:hAnsi="Century Gothic"/>
                <w:color w:val="000000" w:themeColor="text1"/>
              </w:rPr>
              <w:t>6</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5DE3255" w14:textId="388133F3" w:rsidR="2C805A1A" w:rsidRPr="007F6AA9" w:rsidRDefault="0675764A"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100</w:t>
            </w:r>
            <w:r w:rsidR="1B59ECF7"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D49A422" w14:textId="576E293B" w:rsidR="2C805A1A" w:rsidRPr="007F6AA9" w:rsidRDefault="4930A1F6"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CE78911" w14:textId="2152DC50" w:rsidR="2C805A1A" w:rsidRPr="007F6AA9" w:rsidRDefault="625E15D4"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r w:rsidR="20B9116B" w:rsidRPr="007F6AA9">
              <w:rPr>
                <w:rFonts w:ascii="Century Gothic" w:eastAsia="Times New Roman" w:hAnsi="Century Gothic"/>
                <w:color w:val="000000" w:themeColor="text1"/>
              </w:rPr>
              <w:t>%</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0239CF6" w14:textId="52A1A6DB"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385574D" w14:textId="1A4D98DE" w:rsidR="2C805A1A" w:rsidRPr="007F6AA9" w:rsidRDefault="20B9116B"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2A03289A" w14:textId="2A46ED80" w:rsidR="2C805A1A" w:rsidRPr="007F6AA9" w:rsidRDefault="45319098" w:rsidP="00A0562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r>
      <w:tr w:rsidR="662A423E" w:rsidRPr="00161C23" w14:paraId="03699542" w14:textId="77777777" w:rsidTr="0189D8D6">
        <w:trPr>
          <w:trHeight w:val="600"/>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22DF21F8" w14:textId="43F70EAC" w:rsidR="26BE5725" w:rsidRPr="007F6AA9" w:rsidRDefault="26BE5725" w:rsidP="662A423E">
            <w:pPr>
              <w:rPr>
                <w:rFonts w:ascii="Century Gothic" w:eastAsia="Times New Roman" w:hAnsi="Century Gothic"/>
                <w:color w:val="000000" w:themeColor="text1"/>
              </w:rPr>
            </w:pPr>
            <w:r w:rsidRPr="007F6AA9">
              <w:rPr>
                <w:rFonts w:ascii="Century Gothic" w:eastAsia="Times New Roman" w:hAnsi="Century Gothic"/>
                <w:color w:val="000000" w:themeColor="text1"/>
              </w:rPr>
              <w:t>EASTVIEW PHASE 1 (RAD)</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7DCF10C" w14:textId="2E50D5A8"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3CF74E2" w14:textId="06183CDD"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25%</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E71B620" w14:textId="6667B52D"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51EA677" w14:textId="0C18569D"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75%</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9728948" w14:textId="08EF1B19"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F0359D5" w14:textId="6937959A"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40F2C875" w14:textId="1F097BD5"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4</w:t>
            </w:r>
          </w:p>
        </w:tc>
      </w:tr>
      <w:tr w:rsidR="662A423E" w:rsidRPr="00161C23" w14:paraId="00A2966F" w14:textId="77777777" w:rsidTr="0189D8D6">
        <w:trPr>
          <w:trHeight w:val="600"/>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35399280" w14:textId="7F41D493" w:rsidR="26BE5725" w:rsidRPr="007F6AA9" w:rsidRDefault="26BE5725" w:rsidP="662A423E">
            <w:pPr>
              <w:rPr>
                <w:rFonts w:ascii="Century Gothic" w:eastAsia="Times New Roman" w:hAnsi="Century Gothic"/>
                <w:color w:val="000000" w:themeColor="text1"/>
              </w:rPr>
            </w:pPr>
            <w:r w:rsidRPr="007F6AA9">
              <w:rPr>
                <w:rFonts w:ascii="Century Gothic" w:eastAsia="Times New Roman" w:hAnsi="Century Gothic"/>
                <w:color w:val="000000" w:themeColor="text1"/>
              </w:rPr>
              <w:t>MCCONAUGHY 4%</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A0CB310" w14:textId="7AB293E6"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46C869C" w14:textId="1CC8E3D6"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87%</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4929A651" w14:textId="52F5E3CF"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2AD74D6" w14:textId="4028EC53"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8%</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F4EF8CF" w14:textId="6D345802"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8C5C78D" w14:textId="078E6AF0"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5%</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0ED4C9E2" w14:textId="41336087"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37</w:t>
            </w:r>
          </w:p>
        </w:tc>
      </w:tr>
      <w:tr w:rsidR="662A423E" w:rsidRPr="00161C23" w14:paraId="61A51EBA" w14:textId="77777777" w:rsidTr="0189D8D6">
        <w:trPr>
          <w:trHeight w:val="600"/>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6F980C1F" w14:textId="7302B9A1" w:rsidR="26BE5725" w:rsidRPr="007F6AA9" w:rsidRDefault="26BE5725" w:rsidP="662A423E">
            <w:pPr>
              <w:rPr>
                <w:rFonts w:ascii="Century Gothic" w:eastAsia="Times New Roman" w:hAnsi="Century Gothic"/>
                <w:color w:val="000000" w:themeColor="text1"/>
              </w:rPr>
            </w:pPr>
            <w:r w:rsidRPr="007F6AA9">
              <w:rPr>
                <w:rFonts w:ascii="Century Gothic" w:eastAsia="Times New Roman" w:hAnsi="Century Gothic"/>
                <w:color w:val="000000" w:themeColor="text1"/>
              </w:rPr>
              <w:t>MCCONAUGHY 9%</w:t>
            </w:r>
          </w:p>
          <w:p w14:paraId="107E39AE" w14:textId="78A35435" w:rsidR="662A423E" w:rsidRPr="007F6AA9" w:rsidRDefault="662A423E" w:rsidP="662A423E">
            <w:pPr>
              <w:rPr>
                <w:rFonts w:ascii="Century Gothic" w:eastAsia="Times New Roman" w:hAnsi="Century Gothic"/>
                <w:color w:val="000000" w:themeColor="text1"/>
              </w:rPr>
            </w:pP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6A257F6" w14:textId="3A9072FA"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75</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0FA27DE" w14:textId="1BF2BB02"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85%</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33029330" w14:textId="71A5BDAA"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9</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C28DE5D" w14:textId="335E53AF"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64172C1" w14:textId="22D99109"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4</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20E8E252" w14:textId="2E91E808"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5%</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14221EA4" w14:textId="5A61F2EE" w:rsidR="26BE5725" w:rsidRPr="007F6AA9" w:rsidRDefault="26BE5725"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88</w:t>
            </w:r>
          </w:p>
        </w:tc>
      </w:tr>
      <w:tr w:rsidR="662A423E" w:rsidRPr="00161C23" w14:paraId="2692F5D2" w14:textId="77777777" w:rsidTr="0189D8D6">
        <w:trPr>
          <w:trHeight w:val="600"/>
        </w:trPr>
        <w:tc>
          <w:tcPr>
            <w:tcW w:w="1665"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D9D9D9" w:themeFill="background1" w:themeFillShade="D9"/>
            <w:tcMar>
              <w:top w:w="15" w:type="dxa"/>
              <w:left w:w="15" w:type="dxa"/>
              <w:right w:w="15" w:type="dxa"/>
            </w:tcMar>
            <w:vAlign w:val="center"/>
          </w:tcPr>
          <w:p w14:paraId="74B76460" w14:textId="3080B1CA" w:rsidR="7B91603E" w:rsidRPr="007F6AA9" w:rsidRDefault="7B91603E" w:rsidP="662A423E">
            <w:pPr>
              <w:rPr>
                <w:rFonts w:ascii="Century Gothic" w:eastAsia="Times New Roman" w:hAnsi="Century Gothic"/>
                <w:color w:val="000000" w:themeColor="text1"/>
              </w:rPr>
            </w:pPr>
            <w:r w:rsidRPr="007F6AA9">
              <w:rPr>
                <w:rFonts w:ascii="Century Gothic" w:eastAsia="Times New Roman" w:hAnsi="Century Gothic"/>
                <w:color w:val="000000" w:themeColor="text1"/>
              </w:rPr>
              <w:t>VALLEY TOWNHOUSES</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7656699" w14:textId="5EC50D35" w:rsidR="7B91603E" w:rsidRPr="007F6AA9" w:rsidRDefault="7B91603E"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16</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7DA64D96" w14:textId="48C8730C" w:rsidR="7B91603E" w:rsidRPr="007F6AA9" w:rsidRDefault="7B91603E"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73%</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5E604786" w14:textId="45EE023E" w:rsidR="7B91603E" w:rsidRPr="007F6AA9" w:rsidRDefault="7B91603E"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6</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1444973E" w14:textId="130C205D" w:rsidR="7B91603E" w:rsidRPr="007F6AA9" w:rsidRDefault="7B91603E"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27%</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63B936E2" w14:textId="0851CDDA" w:rsidR="7B91603E" w:rsidRPr="007F6AA9" w:rsidRDefault="7B91603E"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15" w:type="dxa"/>
              <w:right w:w="15" w:type="dxa"/>
            </w:tcMar>
            <w:vAlign w:val="center"/>
          </w:tcPr>
          <w:p w14:paraId="046F8DBF" w14:textId="326E5DF7" w:rsidR="7B91603E" w:rsidRPr="007F6AA9" w:rsidRDefault="7B91603E"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0%</w:t>
            </w:r>
          </w:p>
        </w:tc>
        <w:tc>
          <w:tcPr>
            <w:tcW w:w="9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000000" w:themeColor="text1"/>
            </w:tcBorders>
            <w:tcMar>
              <w:top w:w="15" w:type="dxa"/>
              <w:left w:w="15" w:type="dxa"/>
              <w:right w:w="15" w:type="dxa"/>
            </w:tcMar>
            <w:vAlign w:val="center"/>
          </w:tcPr>
          <w:p w14:paraId="4C142482" w14:textId="0453FED2" w:rsidR="7B91603E" w:rsidRPr="007F6AA9" w:rsidRDefault="7B91603E" w:rsidP="662A423E">
            <w:pPr>
              <w:jc w:val="center"/>
              <w:rPr>
                <w:rFonts w:ascii="Century Gothic" w:eastAsia="Times New Roman" w:hAnsi="Century Gothic"/>
                <w:color w:val="000000" w:themeColor="text1"/>
              </w:rPr>
            </w:pPr>
            <w:r w:rsidRPr="007F6AA9">
              <w:rPr>
                <w:rFonts w:ascii="Century Gothic" w:eastAsia="Times New Roman" w:hAnsi="Century Gothic"/>
                <w:color w:val="000000" w:themeColor="text1"/>
              </w:rPr>
              <w:t>22</w:t>
            </w:r>
          </w:p>
        </w:tc>
      </w:tr>
      <w:tr w:rsidR="2C805A1A" w:rsidRPr="00161C23" w14:paraId="6783C273" w14:textId="77777777" w:rsidTr="0189D8D6">
        <w:trPr>
          <w:trHeight w:val="315"/>
        </w:trPr>
        <w:tc>
          <w:tcPr>
            <w:tcW w:w="1665" w:type="dxa"/>
            <w:tcBorders>
              <w:top w:val="single" w:sz="8" w:space="0" w:color="D9D9D9" w:themeColor="background1" w:themeShade="D9"/>
              <w:left w:val="single" w:sz="4" w:space="0" w:color="auto"/>
              <w:bottom w:val="single" w:sz="4" w:space="0" w:color="000000" w:themeColor="text1"/>
              <w:right w:val="single" w:sz="8" w:space="0" w:color="D9D9D9" w:themeColor="background1" w:themeShade="D9"/>
            </w:tcBorders>
            <w:shd w:val="clear" w:color="auto" w:fill="A6A6A6" w:themeFill="background1" w:themeFillShade="A6"/>
            <w:tcMar>
              <w:top w:w="15" w:type="dxa"/>
              <w:left w:w="15" w:type="dxa"/>
              <w:right w:w="15" w:type="dxa"/>
            </w:tcMar>
            <w:vAlign w:val="center"/>
          </w:tcPr>
          <w:p w14:paraId="47F8FC22" w14:textId="52F50830" w:rsidR="00983DFD" w:rsidRPr="007F6AA9" w:rsidRDefault="0044250A" w:rsidP="46316ACA">
            <w:pPr>
              <w:rPr>
                <w:rFonts w:ascii="Century Gothic" w:eastAsia="Times New Roman" w:hAnsi="Century Gothic"/>
                <w:b/>
                <w:bCs/>
                <w:color w:val="000000" w:themeColor="text1"/>
                <w:sz w:val="24"/>
              </w:rPr>
            </w:pPr>
            <w:r w:rsidRPr="007F6AA9">
              <w:rPr>
                <w:rFonts w:ascii="Century Gothic" w:eastAsia="Times New Roman" w:hAnsi="Century Gothic"/>
                <w:b/>
                <w:bCs/>
                <w:color w:val="000000" w:themeColor="text1"/>
                <w:sz w:val="24"/>
              </w:rPr>
              <w:t>TOTAL /</w:t>
            </w:r>
          </w:p>
          <w:p w14:paraId="0280E118" w14:textId="38CDBDD9" w:rsidR="2C805A1A" w:rsidRPr="007F6AA9" w:rsidRDefault="004373BA" w:rsidP="46316ACA">
            <w:pPr>
              <w:rPr>
                <w:rFonts w:ascii="Century Gothic" w:eastAsia="Times New Roman" w:hAnsi="Century Gothic"/>
                <w:b/>
                <w:bCs/>
                <w:color w:val="000000" w:themeColor="text1"/>
                <w:sz w:val="24"/>
              </w:rPr>
            </w:pPr>
            <w:r w:rsidRPr="007F6AA9">
              <w:rPr>
                <w:rFonts w:ascii="Century Gothic" w:eastAsia="Times New Roman" w:hAnsi="Century Gothic"/>
                <w:b/>
                <w:bCs/>
                <w:color w:val="000000" w:themeColor="text1"/>
                <w:sz w:val="24"/>
              </w:rPr>
              <w:t>AVERAGE</w:t>
            </w:r>
            <w:r w:rsidR="00983DFD" w:rsidRPr="007F6AA9">
              <w:rPr>
                <w:rFonts w:ascii="Century Gothic" w:eastAsia="Times New Roman" w:hAnsi="Century Gothic"/>
                <w:b/>
                <w:bCs/>
                <w:color w:val="000000" w:themeColor="text1"/>
                <w:sz w:val="24"/>
              </w:rPr>
              <w:t xml:space="preserve"> %</w:t>
            </w:r>
          </w:p>
        </w:tc>
        <w:tc>
          <w:tcPr>
            <w:tcW w:w="960"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A6A6A6" w:themeFill="background1" w:themeFillShade="A6"/>
            <w:tcMar>
              <w:top w:w="15" w:type="dxa"/>
              <w:left w:w="15" w:type="dxa"/>
              <w:right w:w="15" w:type="dxa"/>
            </w:tcMar>
            <w:vAlign w:val="center"/>
          </w:tcPr>
          <w:p w14:paraId="5479C8D1" w14:textId="42DFD261" w:rsidR="2C805A1A" w:rsidRPr="007F6AA9" w:rsidRDefault="0715A9B4">
            <w:pPr>
              <w:jc w:val="center"/>
              <w:rPr>
                <w:rFonts w:ascii="Century Gothic" w:eastAsia="Times New Roman" w:hAnsi="Century Gothic"/>
                <w:sz w:val="24"/>
              </w:rPr>
            </w:pPr>
            <w:r w:rsidRPr="007F6AA9">
              <w:rPr>
                <w:rFonts w:ascii="Century Gothic" w:eastAsia="Times New Roman" w:hAnsi="Century Gothic"/>
                <w:b/>
                <w:bCs/>
                <w:color w:val="000000" w:themeColor="text1"/>
                <w:sz w:val="24"/>
              </w:rPr>
              <w:t>181</w:t>
            </w:r>
          </w:p>
        </w:tc>
        <w:tc>
          <w:tcPr>
            <w:tcW w:w="960"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A6A6A6" w:themeFill="background1" w:themeFillShade="A6"/>
            <w:tcMar>
              <w:top w:w="15" w:type="dxa"/>
              <w:left w:w="15" w:type="dxa"/>
              <w:right w:w="15" w:type="dxa"/>
            </w:tcMar>
            <w:vAlign w:val="center"/>
          </w:tcPr>
          <w:p w14:paraId="747DE660" w14:textId="4304D1E1" w:rsidR="2C805A1A" w:rsidRPr="007F6AA9" w:rsidRDefault="173D1C9E" w:rsidP="662A423E">
            <w:pPr>
              <w:jc w:val="center"/>
              <w:rPr>
                <w:rFonts w:ascii="Century Gothic" w:eastAsia="Times New Roman" w:hAnsi="Century Gothic"/>
                <w:b/>
                <w:bCs/>
                <w:color w:val="000000" w:themeColor="text1"/>
                <w:sz w:val="24"/>
              </w:rPr>
            </w:pPr>
            <w:r w:rsidRPr="007F6AA9">
              <w:rPr>
                <w:rFonts w:ascii="Century Gothic" w:eastAsia="Times New Roman" w:hAnsi="Century Gothic"/>
                <w:b/>
                <w:bCs/>
                <w:color w:val="000000" w:themeColor="text1"/>
                <w:sz w:val="24"/>
              </w:rPr>
              <w:t>81</w:t>
            </w:r>
            <w:r w:rsidR="20B9116B" w:rsidRPr="007F6AA9">
              <w:rPr>
                <w:rFonts w:ascii="Century Gothic" w:eastAsia="Times New Roman" w:hAnsi="Century Gothic"/>
                <w:b/>
                <w:bCs/>
                <w:color w:val="000000" w:themeColor="text1"/>
                <w:sz w:val="24"/>
              </w:rPr>
              <w:t>%</w:t>
            </w:r>
          </w:p>
        </w:tc>
        <w:tc>
          <w:tcPr>
            <w:tcW w:w="960"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A6A6A6" w:themeFill="background1" w:themeFillShade="A6"/>
            <w:tcMar>
              <w:top w:w="15" w:type="dxa"/>
              <w:left w:w="15" w:type="dxa"/>
              <w:right w:w="15" w:type="dxa"/>
            </w:tcMar>
            <w:vAlign w:val="center"/>
          </w:tcPr>
          <w:p w14:paraId="4D5A760D" w14:textId="6337DAEE" w:rsidR="2C805A1A" w:rsidRPr="007F6AA9" w:rsidRDefault="7DDEFF50" w:rsidP="662A423E">
            <w:pPr>
              <w:jc w:val="center"/>
              <w:rPr>
                <w:rFonts w:ascii="Century Gothic" w:eastAsia="Times New Roman" w:hAnsi="Century Gothic"/>
                <w:b/>
                <w:bCs/>
                <w:color w:val="000000" w:themeColor="text1"/>
                <w:sz w:val="24"/>
              </w:rPr>
            </w:pPr>
            <w:r w:rsidRPr="007F6AA9">
              <w:rPr>
                <w:rFonts w:ascii="Century Gothic" w:eastAsia="Times New Roman" w:hAnsi="Century Gothic"/>
                <w:b/>
                <w:bCs/>
                <w:color w:val="000000" w:themeColor="text1"/>
                <w:sz w:val="24"/>
              </w:rPr>
              <w:t>32</w:t>
            </w:r>
          </w:p>
        </w:tc>
        <w:tc>
          <w:tcPr>
            <w:tcW w:w="960"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A6A6A6" w:themeFill="background1" w:themeFillShade="A6"/>
            <w:tcMar>
              <w:top w:w="15" w:type="dxa"/>
              <w:left w:w="15" w:type="dxa"/>
              <w:right w:w="15" w:type="dxa"/>
            </w:tcMar>
            <w:vAlign w:val="center"/>
          </w:tcPr>
          <w:p w14:paraId="019B23AB" w14:textId="2FD1CAF8" w:rsidR="2C805A1A" w:rsidRPr="007F6AA9" w:rsidRDefault="6072AFB5" w:rsidP="662A423E">
            <w:pPr>
              <w:jc w:val="center"/>
              <w:rPr>
                <w:rFonts w:ascii="Century Gothic" w:eastAsia="Times New Roman" w:hAnsi="Century Gothic"/>
                <w:b/>
                <w:bCs/>
                <w:color w:val="000000" w:themeColor="text1"/>
                <w:sz w:val="24"/>
              </w:rPr>
            </w:pPr>
            <w:r w:rsidRPr="007F6AA9">
              <w:rPr>
                <w:rFonts w:ascii="Century Gothic" w:eastAsia="Times New Roman" w:hAnsi="Century Gothic"/>
                <w:b/>
                <w:bCs/>
                <w:color w:val="000000" w:themeColor="text1"/>
                <w:sz w:val="24"/>
              </w:rPr>
              <w:t>14</w:t>
            </w:r>
            <w:r w:rsidR="20B9116B" w:rsidRPr="007F6AA9">
              <w:rPr>
                <w:rFonts w:ascii="Century Gothic" w:eastAsia="Times New Roman" w:hAnsi="Century Gothic"/>
                <w:b/>
                <w:bCs/>
                <w:color w:val="000000" w:themeColor="text1"/>
                <w:sz w:val="24"/>
              </w:rPr>
              <w:t>%</w:t>
            </w:r>
          </w:p>
        </w:tc>
        <w:tc>
          <w:tcPr>
            <w:tcW w:w="960"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A6A6A6" w:themeFill="background1" w:themeFillShade="A6"/>
            <w:tcMar>
              <w:top w:w="15" w:type="dxa"/>
              <w:left w:w="15" w:type="dxa"/>
              <w:right w:w="15" w:type="dxa"/>
            </w:tcMar>
            <w:vAlign w:val="center"/>
          </w:tcPr>
          <w:p w14:paraId="3FE9C562" w14:textId="1C1FB84D" w:rsidR="2C805A1A" w:rsidRPr="007F6AA9" w:rsidRDefault="4A69DC73" w:rsidP="662A423E">
            <w:pPr>
              <w:jc w:val="center"/>
              <w:rPr>
                <w:rFonts w:ascii="Century Gothic" w:eastAsia="Times New Roman" w:hAnsi="Century Gothic"/>
                <w:b/>
                <w:bCs/>
                <w:color w:val="000000" w:themeColor="text1"/>
                <w:sz w:val="24"/>
              </w:rPr>
            </w:pPr>
            <w:r w:rsidRPr="007F6AA9">
              <w:rPr>
                <w:rFonts w:ascii="Century Gothic" w:eastAsia="Times New Roman" w:hAnsi="Century Gothic"/>
                <w:b/>
                <w:bCs/>
                <w:color w:val="000000" w:themeColor="text1"/>
                <w:sz w:val="24"/>
              </w:rPr>
              <w:t>10</w:t>
            </w:r>
          </w:p>
        </w:tc>
        <w:tc>
          <w:tcPr>
            <w:tcW w:w="960"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A6A6A6" w:themeFill="background1" w:themeFillShade="A6"/>
            <w:tcMar>
              <w:top w:w="15" w:type="dxa"/>
              <w:left w:w="15" w:type="dxa"/>
              <w:right w:w="15" w:type="dxa"/>
            </w:tcMar>
            <w:vAlign w:val="center"/>
          </w:tcPr>
          <w:p w14:paraId="088A1547" w14:textId="23A745D7" w:rsidR="2C805A1A" w:rsidRPr="007F6AA9" w:rsidRDefault="5044F190" w:rsidP="662A423E">
            <w:pPr>
              <w:jc w:val="center"/>
              <w:rPr>
                <w:rFonts w:ascii="Century Gothic" w:eastAsia="Times New Roman" w:hAnsi="Century Gothic"/>
                <w:b/>
                <w:bCs/>
                <w:color w:val="000000" w:themeColor="text1"/>
                <w:sz w:val="24"/>
              </w:rPr>
            </w:pPr>
            <w:r w:rsidRPr="007F6AA9">
              <w:rPr>
                <w:rFonts w:ascii="Century Gothic" w:eastAsia="Times New Roman" w:hAnsi="Century Gothic"/>
                <w:b/>
                <w:bCs/>
                <w:color w:val="000000" w:themeColor="text1"/>
                <w:sz w:val="24"/>
              </w:rPr>
              <w:t>5</w:t>
            </w:r>
            <w:r w:rsidR="20B9116B" w:rsidRPr="007F6AA9">
              <w:rPr>
                <w:rFonts w:ascii="Century Gothic" w:eastAsia="Times New Roman" w:hAnsi="Century Gothic"/>
                <w:b/>
                <w:bCs/>
                <w:color w:val="000000" w:themeColor="text1"/>
                <w:sz w:val="24"/>
              </w:rPr>
              <w:t>%</w:t>
            </w:r>
          </w:p>
        </w:tc>
        <w:tc>
          <w:tcPr>
            <w:tcW w:w="960"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A6A6A6" w:themeFill="background1" w:themeFillShade="A6"/>
            <w:tcMar>
              <w:top w:w="15" w:type="dxa"/>
              <w:left w:w="15" w:type="dxa"/>
              <w:right w:w="15" w:type="dxa"/>
            </w:tcMar>
            <w:vAlign w:val="center"/>
          </w:tcPr>
          <w:p w14:paraId="41AB55E5" w14:textId="7CD847F0" w:rsidR="2C805A1A" w:rsidRPr="007F6AA9" w:rsidRDefault="00F642DF" w:rsidP="662A423E">
            <w:pPr>
              <w:jc w:val="center"/>
              <w:rPr>
                <w:rFonts w:ascii="Century Gothic" w:eastAsia="Times New Roman" w:hAnsi="Century Gothic"/>
                <w:b/>
                <w:bCs/>
                <w:color w:val="000000" w:themeColor="text1"/>
                <w:sz w:val="24"/>
              </w:rPr>
            </w:pPr>
            <w:r w:rsidRPr="007F6AA9">
              <w:rPr>
                <w:rFonts w:ascii="Century Gothic" w:eastAsia="Times New Roman" w:hAnsi="Century Gothic"/>
                <w:b/>
                <w:bCs/>
                <w:color w:val="000000" w:themeColor="text1"/>
                <w:sz w:val="24"/>
              </w:rPr>
              <w:t>217</w:t>
            </w:r>
          </w:p>
        </w:tc>
      </w:tr>
    </w:tbl>
    <w:p w14:paraId="35F7DBDD" w14:textId="77777777" w:rsidR="00A0562E" w:rsidRDefault="00A0562E" w:rsidP="00A0562E">
      <w:pPr>
        <w:rPr>
          <w:rFonts w:ascii="Century Gothic" w:hAnsi="Century Gothic"/>
        </w:rPr>
      </w:pPr>
      <w:bookmarkStart w:id="88" w:name="_Hlk130400965"/>
      <w:bookmarkEnd w:id="88"/>
    </w:p>
    <w:p w14:paraId="2EFD6C1C" w14:textId="77777777" w:rsidR="00EE1982" w:rsidRPr="007F6AA9" w:rsidRDefault="00EE1982" w:rsidP="00A0562E">
      <w:pPr>
        <w:rPr>
          <w:rFonts w:ascii="Century Gothic" w:hAnsi="Century Gothic"/>
        </w:rPr>
      </w:pPr>
    </w:p>
    <w:p w14:paraId="3334D253" w14:textId="77777777" w:rsidR="00FF40E0" w:rsidRPr="00161C23" w:rsidRDefault="00FF40E0" w:rsidP="00FF40E0">
      <w:pPr>
        <w:rPr>
          <w:rFonts w:ascii="Century Gothic" w:eastAsia="Times New Roman" w:hAnsi="Century Gothic"/>
        </w:rPr>
      </w:pPr>
      <w:r w:rsidRPr="00161C23">
        <w:rPr>
          <w:rFonts w:ascii="Century Gothic" w:eastAsia="Times New Roman" w:hAnsi="Century Gothic"/>
        </w:rPr>
        <w:t>Overall portfolio wide the following income mix was achieved.</w:t>
      </w:r>
    </w:p>
    <w:p w14:paraId="0C7585D5" w14:textId="77777777" w:rsidR="00FF40E0" w:rsidRPr="00161C23" w:rsidRDefault="00FF40E0" w:rsidP="00486062">
      <w:pPr>
        <w:pStyle w:val="ListParagraph"/>
        <w:numPr>
          <w:ilvl w:val="0"/>
          <w:numId w:val="110"/>
        </w:numPr>
        <w:rPr>
          <w:rFonts w:ascii="Century Gothic" w:eastAsia="Times New Roman" w:hAnsi="Century Gothic"/>
        </w:rPr>
      </w:pPr>
      <w:r w:rsidRPr="00161C23">
        <w:rPr>
          <w:rFonts w:ascii="Century Gothic" w:eastAsia="Times New Roman" w:hAnsi="Century Gothic"/>
        </w:rPr>
        <w:t xml:space="preserve"> 73% of PBVs – </w:t>
      </w:r>
      <w:r w:rsidRPr="00161C23" w:rsidDel="4F3E7227">
        <w:rPr>
          <w:rFonts w:ascii="Century Gothic" w:eastAsia="Times New Roman" w:hAnsi="Century Gothic"/>
        </w:rPr>
        <w:t xml:space="preserve">0 </w:t>
      </w:r>
      <w:r w:rsidRPr="00161C23" w:rsidDel="612A575E">
        <w:rPr>
          <w:rFonts w:ascii="Century Gothic" w:eastAsia="Times New Roman" w:hAnsi="Century Gothic"/>
        </w:rPr>
        <w:t xml:space="preserve">to </w:t>
      </w:r>
      <w:r w:rsidRPr="00161C23">
        <w:rPr>
          <w:rFonts w:ascii="Century Gothic" w:eastAsia="Times New Roman" w:hAnsi="Century Gothic"/>
        </w:rPr>
        <w:t>30% AMI</w:t>
      </w:r>
    </w:p>
    <w:p w14:paraId="139C0164" w14:textId="3F5BB030" w:rsidR="00FF40E0" w:rsidRPr="00161C23" w:rsidRDefault="00FF40E0" w:rsidP="00486062">
      <w:pPr>
        <w:pStyle w:val="ListParagraph"/>
        <w:numPr>
          <w:ilvl w:val="0"/>
          <w:numId w:val="110"/>
        </w:numPr>
        <w:rPr>
          <w:rFonts w:ascii="Century Gothic" w:eastAsia="Times New Roman" w:hAnsi="Century Gothic"/>
        </w:rPr>
      </w:pPr>
      <w:r w:rsidRPr="00161C23">
        <w:rPr>
          <w:rFonts w:ascii="Century Gothic" w:eastAsia="Times New Roman" w:hAnsi="Century Gothic"/>
        </w:rPr>
        <w:t xml:space="preserve"> 22% of PBVs </w:t>
      </w:r>
      <w:r w:rsidR="00EE1982">
        <w:rPr>
          <w:rFonts w:ascii="Century Gothic" w:eastAsia="Times New Roman" w:hAnsi="Century Gothic"/>
        </w:rPr>
        <w:t>–</w:t>
      </w:r>
      <w:r w:rsidRPr="00161C23">
        <w:rPr>
          <w:rFonts w:ascii="Century Gothic" w:eastAsia="Times New Roman" w:hAnsi="Century Gothic"/>
        </w:rPr>
        <w:t xml:space="preserve"> </w:t>
      </w:r>
      <w:r w:rsidRPr="00161C23" w:rsidDel="612A575E">
        <w:rPr>
          <w:rFonts w:ascii="Century Gothic" w:eastAsia="Times New Roman" w:hAnsi="Century Gothic"/>
        </w:rPr>
        <w:t>31</w:t>
      </w:r>
      <w:r w:rsidR="00EE1982">
        <w:rPr>
          <w:rFonts w:ascii="Century Gothic" w:eastAsia="Times New Roman" w:hAnsi="Century Gothic"/>
        </w:rPr>
        <w:t xml:space="preserve"> to </w:t>
      </w:r>
      <w:r w:rsidRPr="00161C23" w:rsidDel="612A575E">
        <w:rPr>
          <w:rFonts w:ascii="Century Gothic" w:eastAsia="Times New Roman" w:hAnsi="Century Gothic"/>
        </w:rPr>
        <w:t>49</w:t>
      </w:r>
      <w:r w:rsidRPr="00161C23">
        <w:rPr>
          <w:rFonts w:ascii="Century Gothic" w:eastAsia="Times New Roman" w:hAnsi="Century Gothic"/>
        </w:rPr>
        <w:t>%AMI</w:t>
      </w:r>
    </w:p>
    <w:p w14:paraId="62EE17F7" w14:textId="6FD29F23" w:rsidR="00FF40E0" w:rsidRPr="00161C23" w:rsidRDefault="00FF40E0" w:rsidP="00486062">
      <w:pPr>
        <w:pStyle w:val="ListParagraph"/>
        <w:numPr>
          <w:ilvl w:val="0"/>
          <w:numId w:val="110"/>
        </w:numPr>
        <w:rPr>
          <w:rFonts w:ascii="Century Gothic" w:eastAsia="Times New Roman" w:hAnsi="Century Gothic"/>
        </w:rPr>
      </w:pPr>
      <w:r w:rsidRPr="00161C23">
        <w:rPr>
          <w:rFonts w:ascii="Century Gothic" w:eastAsia="Times New Roman" w:hAnsi="Century Gothic"/>
        </w:rPr>
        <w:t xml:space="preserve"> 5% of PBVs </w:t>
      </w:r>
      <w:r w:rsidR="00EE1982">
        <w:rPr>
          <w:rFonts w:ascii="Century Gothic" w:eastAsia="Times New Roman" w:hAnsi="Century Gothic"/>
        </w:rPr>
        <w:t>–</w:t>
      </w:r>
      <w:r w:rsidRPr="00161C23">
        <w:rPr>
          <w:rFonts w:ascii="Century Gothic" w:eastAsia="Times New Roman" w:hAnsi="Century Gothic"/>
        </w:rPr>
        <w:t xml:space="preserve"> </w:t>
      </w:r>
      <w:r w:rsidRPr="00161C23" w:rsidDel="00AF5128">
        <w:rPr>
          <w:rFonts w:ascii="Century Gothic" w:eastAsia="Times New Roman" w:hAnsi="Century Gothic"/>
        </w:rPr>
        <w:t>50</w:t>
      </w:r>
      <w:r w:rsidR="00EE1982">
        <w:rPr>
          <w:rFonts w:ascii="Century Gothic" w:eastAsia="Times New Roman" w:hAnsi="Century Gothic"/>
        </w:rPr>
        <w:t xml:space="preserve"> to </w:t>
      </w:r>
      <w:r w:rsidRPr="00161C23">
        <w:rPr>
          <w:rFonts w:ascii="Century Gothic" w:eastAsia="Times New Roman" w:hAnsi="Century Gothic"/>
        </w:rPr>
        <w:t>80% AM</w:t>
      </w:r>
    </w:p>
    <w:p w14:paraId="631A593D" w14:textId="4B293E6B" w:rsidR="00FF40E0" w:rsidRPr="00161C23" w:rsidRDefault="00EE1982" w:rsidP="00486062">
      <w:pPr>
        <w:pStyle w:val="ListParagraph"/>
        <w:numPr>
          <w:ilvl w:val="0"/>
          <w:numId w:val="110"/>
        </w:numPr>
        <w:rPr>
          <w:rFonts w:ascii="Century Gothic" w:eastAsia="Times New Roman" w:hAnsi="Century Gothic"/>
        </w:rPr>
      </w:pPr>
      <w:r>
        <w:rPr>
          <w:rFonts w:ascii="Century Gothic" w:eastAsia="Times New Roman" w:hAnsi="Century Gothic"/>
        </w:rPr>
        <w:t xml:space="preserve"> </w:t>
      </w:r>
      <w:r w:rsidR="00FF40E0" w:rsidRPr="00161C23">
        <w:rPr>
          <w:rFonts w:ascii="Century Gothic" w:eastAsia="Times New Roman" w:hAnsi="Century Gothic"/>
        </w:rPr>
        <w:t>0% of PBV’s- greater than 80% AMI</w:t>
      </w:r>
    </w:p>
    <w:p w14:paraId="1457403B" w14:textId="39A41BAB" w:rsidR="00DE3DF9" w:rsidRPr="007F6AA9" w:rsidRDefault="00DE3DF9" w:rsidP="090392C3">
      <w:pPr>
        <w:pStyle w:val="ListParagraph"/>
        <w:rPr>
          <w:rFonts w:ascii="Century Gothic" w:eastAsia="Times New Roman" w:hAnsi="Century Gothic"/>
          <w:b/>
          <w:bCs/>
          <w:color w:val="000000" w:themeColor="text1"/>
        </w:rPr>
      </w:pPr>
    </w:p>
    <w:p w14:paraId="5B6324B4" w14:textId="7AFC7288" w:rsidR="00584100" w:rsidRPr="007F6AA9" w:rsidRDefault="5365CDD7" w:rsidP="0E6C54AB">
      <w:pPr>
        <w:rPr>
          <w:rFonts w:ascii="Century Gothic" w:hAnsi="Century Gothic"/>
        </w:rPr>
      </w:pPr>
      <w:r w:rsidRPr="007F6AA9">
        <w:rPr>
          <w:rFonts w:ascii="Century Gothic" w:hAnsi="Century Gothic"/>
        </w:rPr>
        <w:t xml:space="preserve">The following chart </w:t>
      </w:r>
      <w:r w:rsidR="1F4583C0" w:rsidRPr="007F6AA9">
        <w:rPr>
          <w:rFonts w:ascii="Century Gothic" w:hAnsi="Century Gothic"/>
        </w:rPr>
        <w:t xml:space="preserve">and graph </w:t>
      </w:r>
      <w:r w:rsidR="30056853" w:rsidRPr="007F6AA9">
        <w:rPr>
          <w:rFonts w:ascii="Century Gothic" w:hAnsi="Century Gothic"/>
        </w:rPr>
        <w:t>show</w:t>
      </w:r>
      <w:r w:rsidRPr="007F6AA9">
        <w:rPr>
          <w:rFonts w:ascii="Century Gothic" w:hAnsi="Century Gothic"/>
        </w:rPr>
        <w:t xml:space="preserve"> the PBV </w:t>
      </w:r>
      <w:r w:rsidR="0FD878F2" w:rsidRPr="007F6AA9">
        <w:rPr>
          <w:rFonts w:ascii="Century Gothic" w:hAnsi="Century Gothic"/>
        </w:rPr>
        <w:t>income mix</w:t>
      </w:r>
      <w:r w:rsidRPr="007F6AA9">
        <w:rPr>
          <w:rFonts w:ascii="Century Gothic" w:hAnsi="Century Gothic"/>
        </w:rPr>
        <w:t xml:space="preserve"> for all AMIs at the end of FY</w:t>
      </w:r>
      <w:r w:rsidR="7C9104CC" w:rsidRPr="007F6AA9">
        <w:rPr>
          <w:rFonts w:ascii="Century Gothic" w:hAnsi="Century Gothic"/>
        </w:rPr>
        <w:t>2024</w:t>
      </w:r>
      <w:r w:rsidRPr="007F6AA9">
        <w:rPr>
          <w:rFonts w:ascii="Century Gothic" w:hAnsi="Century Gothic"/>
        </w:rPr>
        <w:t>.</w:t>
      </w:r>
    </w:p>
    <w:p w14:paraId="2CECBF5B" w14:textId="4BD7EEB5" w:rsidR="7D08BF33" w:rsidRDefault="7D08BF33" w:rsidP="008F778B">
      <w:pPr>
        <w:rPr>
          <w:rFonts w:ascii="Times New Roman" w:eastAsia="Times New Roman" w:hAnsi="Times New Roman"/>
          <w:szCs w:val="22"/>
        </w:rPr>
      </w:pPr>
    </w:p>
    <w:tbl>
      <w:tblPr>
        <w:tblW w:w="10180" w:type="dxa"/>
        <w:tblLook w:val="04A0" w:firstRow="1" w:lastRow="0" w:firstColumn="1" w:lastColumn="0" w:noHBand="0" w:noVBand="1"/>
      </w:tblPr>
      <w:tblGrid>
        <w:gridCol w:w="1702"/>
        <w:gridCol w:w="944"/>
        <w:gridCol w:w="942"/>
        <w:gridCol w:w="942"/>
        <w:gridCol w:w="942"/>
        <w:gridCol w:w="942"/>
        <w:gridCol w:w="942"/>
        <w:gridCol w:w="945"/>
        <w:gridCol w:w="934"/>
        <w:gridCol w:w="945"/>
      </w:tblGrid>
      <w:tr w:rsidR="008F778B" w:rsidRPr="008F778B" w14:paraId="3CF31EE5" w14:textId="77777777" w:rsidTr="008F778B">
        <w:trPr>
          <w:trHeight w:val="585"/>
        </w:trPr>
        <w:tc>
          <w:tcPr>
            <w:tcW w:w="10180" w:type="dxa"/>
            <w:gridSpan w:val="10"/>
            <w:tcBorders>
              <w:top w:val="single" w:sz="8" w:space="0" w:color="auto"/>
              <w:left w:val="single" w:sz="8" w:space="0" w:color="auto"/>
              <w:bottom w:val="single" w:sz="8" w:space="0" w:color="auto"/>
              <w:right w:val="single" w:sz="8" w:space="0" w:color="000000"/>
            </w:tcBorders>
            <w:vAlign w:val="center"/>
            <w:hideMark/>
          </w:tcPr>
          <w:p w14:paraId="2918F170" w14:textId="6F408F25" w:rsidR="008F778B" w:rsidRPr="00680A2A" w:rsidRDefault="008F778B" w:rsidP="008F778B">
            <w:pPr>
              <w:jc w:val="center"/>
              <w:rPr>
                <w:rFonts w:ascii="Century Gothic" w:eastAsia="Times New Roman" w:hAnsi="Century Gothic"/>
                <w:b/>
                <w:bCs/>
                <w:color w:val="000000"/>
                <w:szCs w:val="22"/>
                <w:u w:val="single"/>
                <w:lang w:eastAsia="en-US"/>
              </w:rPr>
            </w:pPr>
            <w:r w:rsidRPr="00680A2A">
              <w:rPr>
                <w:rFonts w:ascii="Century Gothic" w:eastAsia="Times New Roman" w:hAnsi="Century Gothic"/>
                <w:b/>
                <w:bCs/>
                <w:color w:val="000000"/>
                <w:szCs w:val="22"/>
                <w:u w:val="single"/>
                <w:lang w:eastAsia="en-US"/>
              </w:rPr>
              <w:t xml:space="preserve">Income </w:t>
            </w:r>
            <w:r w:rsidR="004665BA" w:rsidRPr="00680A2A">
              <w:rPr>
                <w:rFonts w:ascii="Century Gothic" w:eastAsia="Times New Roman" w:hAnsi="Century Gothic"/>
                <w:b/>
                <w:bCs/>
                <w:color w:val="000000"/>
                <w:szCs w:val="22"/>
                <w:u w:val="single"/>
                <w:lang w:eastAsia="en-US"/>
              </w:rPr>
              <w:t>Mix</w:t>
            </w:r>
            <w:r w:rsidRPr="00680A2A">
              <w:rPr>
                <w:rFonts w:ascii="Century Gothic" w:eastAsia="Times New Roman" w:hAnsi="Century Gothic"/>
                <w:b/>
                <w:bCs/>
                <w:color w:val="000000"/>
                <w:szCs w:val="22"/>
                <w:u w:val="single"/>
                <w:lang w:eastAsia="en-US"/>
              </w:rPr>
              <w:t xml:space="preserve"> for Project Based Voucher Program in Mixed-Finance Developments- Overall -</w:t>
            </w:r>
            <w:r w:rsidRPr="00680A2A">
              <w:rPr>
                <w:rFonts w:ascii="Century Gothic" w:eastAsia="Times New Roman" w:hAnsi="Century Gothic"/>
                <w:b/>
                <w:bCs/>
                <w:szCs w:val="22"/>
                <w:u w:val="single"/>
                <w:lang w:eastAsia="en-US"/>
              </w:rPr>
              <w:t xml:space="preserve"> FY2024</w:t>
            </w:r>
            <w:r w:rsidRPr="00680A2A">
              <w:rPr>
                <w:rFonts w:ascii="Century Gothic" w:eastAsia="Times New Roman" w:hAnsi="Century Gothic"/>
                <w:szCs w:val="22"/>
                <w:lang w:eastAsia="en-US"/>
              </w:rPr>
              <w:t xml:space="preserve"> </w:t>
            </w:r>
          </w:p>
        </w:tc>
      </w:tr>
      <w:tr w:rsidR="008F778B" w:rsidRPr="008F778B" w14:paraId="75E94280" w14:textId="77777777" w:rsidTr="008F778B">
        <w:trPr>
          <w:trHeight w:val="1155"/>
        </w:trPr>
        <w:tc>
          <w:tcPr>
            <w:tcW w:w="1540" w:type="dxa"/>
            <w:tcBorders>
              <w:top w:val="nil"/>
              <w:left w:val="single" w:sz="8" w:space="0" w:color="auto"/>
              <w:bottom w:val="single" w:sz="8" w:space="0" w:color="auto"/>
              <w:right w:val="single" w:sz="8" w:space="0" w:color="auto"/>
            </w:tcBorders>
            <w:vAlign w:val="center"/>
            <w:hideMark/>
          </w:tcPr>
          <w:p w14:paraId="55F4FC6D" w14:textId="77777777" w:rsidR="008F778B" w:rsidRPr="00680A2A" w:rsidRDefault="008F778B" w:rsidP="008F778B">
            <w:pPr>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Development</w:t>
            </w:r>
          </w:p>
        </w:tc>
        <w:tc>
          <w:tcPr>
            <w:tcW w:w="960" w:type="dxa"/>
            <w:tcBorders>
              <w:top w:val="nil"/>
              <w:left w:val="nil"/>
              <w:bottom w:val="single" w:sz="8" w:space="0" w:color="auto"/>
              <w:right w:val="single" w:sz="8" w:space="0" w:color="auto"/>
            </w:tcBorders>
            <w:vAlign w:val="center"/>
            <w:hideMark/>
          </w:tcPr>
          <w:p w14:paraId="3284B525" w14:textId="6F41FDAF" w:rsidR="008F778B" w:rsidRPr="00680A2A" w:rsidRDefault="008F778B" w:rsidP="008F778B">
            <w:pPr>
              <w:rPr>
                <w:rFonts w:ascii="Century Gothic" w:eastAsia="Times New Roman" w:hAnsi="Century Gothic"/>
                <w:b/>
                <w:bCs/>
                <w:color w:val="000000"/>
                <w:szCs w:val="22"/>
                <w:u w:val="single"/>
                <w:lang w:eastAsia="en-US"/>
              </w:rPr>
            </w:pPr>
            <w:r w:rsidRPr="00680A2A">
              <w:rPr>
                <w:rFonts w:ascii="Century Gothic" w:eastAsia="Times New Roman" w:hAnsi="Century Gothic"/>
                <w:b/>
                <w:bCs/>
                <w:color w:val="000000"/>
                <w:szCs w:val="22"/>
                <w:u w:val="single"/>
                <w:lang w:eastAsia="en-US"/>
              </w:rPr>
              <w:t>30% of AMI</w:t>
            </w:r>
            <w:r w:rsidRPr="00680A2A">
              <w:rPr>
                <w:rFonts w:ascii="Century Gothic" w:eastAsia="Times New Roman" w:hAnsi="Century Gothic"/>
                <w:color w:val="000000"/>
                <w:szCs w:val="22"/>
                <w:lang w:eastAsia="en-US"/>
              </w:rPr>
              <w:t xml:space="preserve">  </w:t>
            </w:r>
          </w:p>
        </w:tc>
        <w:tc>
          <w:tcPr>
            <w:tcW w:w="960" w:type="dxa"/>
            <w:tcBorders>
              <w:top w:val="nil"/>
              <w:left w:val="nil"/>
              <w:bottom w:val="single" w:sz="8" w:space="0" w:color="auto"/>
              <w:right w:val="single" w:sz="8" w:space="0" w:color="auto"/>
            </w:tcBorders>
            <w:vAlign w:val="center"/>
            <w:hideMark/>
          </w:tcPr>
          <w:p w14:paraId="28261439" w14:textId="77777777"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 xml:space="preserve"> </w:t>
            </w:r>
          </w:p>
        </w:tc>
        <w:tc>
          <w:tcPr>
            <w:tcW w:w="960" w:type="dxa"/>
            <w:tcBorders>
              <w:top w:val="nil"/>
              <w:left w:val="nil"/>
              <w:bottom w:val="single" w:sz="8" w:space="0" w:color="auto"/>
              <w:right w:val="single" w:sz="8" w:space="0" w:color="auto"/>
            </w:tcBorders>
            <w:vAlign w:val="center"/>
            <w:hideMark/>
          </w:tcPr>
          <w:p w14:paraId="57E2A8FF" w14:textId="07BDA320" w:rsidR="008F778B" w:rsidRPr="00680A2A" w:rsidRDefault="008F778B" w:rsidP="008F778B">
            <w:pPr>
              <w:rPr>
                <w:rFonts w:ascii="Century Gothic" w:eastAsia="Times New Roman" w:hAnsi="Century Gothic"/>
                <w:b/>
                <w:bCs/>
                <w:color w:val="000000"/>
                <w:szCs w:val="22"/>
                <w:u w:val="single"/>
                <w:lang w:eastAsia="en-US"/>
              </w:rPr>
            </w:pPr>
            <w:r w:rsidRPr="00680A2A">
              <w:rPr>
                <w:rFonts w:ascii="Century Gothic" w:eastAsia="Times New Roman" w:hAnsi="Century Gothic"/>
                <w:b/>
                <w:bCs/>
                <w:color w:val="000000"/>
                <w:szCs w:val="22"/>
                <w:u w:val="single"/>
                <w:lang w:eastAsia="en-US"/>
              </w:rPr>
              <w:t>50% of AMI</w:t>
            </w:r>
            <w:r w:rsidRPr="00680A2A">
              <w:rPr>
                <w:rFonts w:ascii="Century Gothic" w:eastAsia="Times New Roman" w:hAnsi="Century Gothic"/>
                <w:color w:val="000000"/>
                <w:szCs w:val="22"/>
                <w:lang w:eastAsia="en-US"/>
              </w:rPr>
              <w:t xml:space="preserve">  </w:t>
            </w:r>
          </w:p>
        </w:tc>
        <w:tc>
          <w:tcPr>
            <w:tcW w:w="960" w:type="dxa"/>
            <w:tcBorders>
              <w:top w:val="nil"/>
              <w:left w:val="nil"/>
              <w:bottom w:val="single" w:sz="8" w:space="0" w:color="auto"/>
              <w:right w:val="single" w:sz="8" w:space="0" w:color="auto"/>
            </w:tcBorders>
            <w:vAlign w:val="center"/>
            <w:hideMark/>
          </w:tcPr>
          <w:p w14:paraId="2D7A13C2" w14:textId="77777777"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 xml:space="preserve"> </w:t>
            </w:r>
          </w:p>
        </w:tc>
        <w:tc>
          <w:tcPr>
            <w:tcW w:w="960" w:type="dxa"/>
            <w:tcBorders>
              <w:top w:val="nil"/>
              <w:left w:val="nil"/>
              <w:bottom w:val="single" w:sz="8" w:space="0" w:color="auto"/>
              <w:right w:val="single" w:sz="8" w:space="0" w:color="auto"/>
            </w:tcBorders>
            <w:vAlign w:val="center"/>
            <w:hideMark/>
          </w:tcPr>
          <w:p w14:paraId="3F54BA24" w14:textId="5E4D61F1" w:rsidR="008F778B" w:rsidRPr="00680A2A" w:rsidRDefault="008F778B" w:rsidP="008F778B">
            <w:pPr>
              <w:rPr>
                <w:rFonts w:ascii="Century Gothic" w:eastAsia="Times New Roman" w:hAnsi="Century Gothic"/>
                <w:b/>
                <w:bCs/>
                <w:color w:val="000000"/>
                <w:szCs w:val="22"/>
                <w:u w:val="single"/>
                <w:lang w:eastAsia="en-US"/>
              </w:rPr>
            </w:pPr>
            <w:r w:rsidRPr="00680A2A">
              <w:rPr>
                <w:rFonts w:ascii="Century Gothic" w:eastAsia="Times New Roman" w:hAnsi="Century Gothic"/>
                <w:b/>
                <w:bCs/>
                <w:color w:val="000000"/>
                <w:szCs w:val="22"/>
                <w:u w:val="single"/>
                <w:lang w:eastAsia="en-US"/>
              </w:rPr>
              <w:t>80% of AMI</w:t>
            </w:r>
            <w:r w:rsidRPr="00680A2A">
              <w:rPr>
                <w:rFonts w:ascii="Century Gothic" w:eastAsia="Times New Roman" w:hAnsi="Century Gothic"/>
                <w:color w:val="000000"/>
                <w:szCs w:val="22"/>
                <w:lang w:eastAsia="en-US"/>
              </w:rPr>
              <w:t xml:space="preserve">  </w:t>
            </w:r>
          </w:p>
        </w:tc>
        <w:tc>
          <w:tcPr>
            <w:tcW w:w="960" w:type="dxa"/>
            <w:tcBorders>
              <w:top w:val="nil"/>
              <w:left w:val="nil"/>
              <w:bottom w:val="single" w:sz="8" w:space="0" w:color="auto"/>
              <w:right w:val="single" w:sz="8" w:space="0" w:color="auto"/>
            </w:tcBorders>
            <w:vAlign w:val="center"/>
            <w:hideMark/>
          </w:tcPr>
          <w:p w14:paraId="3075C78D" w14:textId="77777777"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 xml:space="preserve"> </w:t>
            </w:r>
          </w:p>
        </w:tc>
        <w:tc>
          <w:tcPr>
            <w:tcW w:w="960" w:type="dxa"/>
            <w:tcBorders>
              <w:top w:val="nil"/>
              <w:left w:val="nil"/>
              <w:bottom w:val="single" w:sz="8" w:space="0" w:color="auto"/>
              <w:right w:val="single" w:sz="8" w:space="0" w:color="auto"/>
            </w:tcBorders>
            <w:vAlign w:val="center"/>
            <w:hideMark/>
          </w:tcPr>
          <w:p w14:paraId="31754936" w14:textId="31DA451C" w:rsidR="008F778B" w:rsidRPr="00680A2A" w:rsidRDefault="008F778B" w:rsidP="008F778B">
            <w:pPr>
              <w:rPr>
                <w:rFonts w:ascii="Century Gothic" w:eastAsia="Times New Roman" w:hAnsi="Century Gothic"/>
                <w:b/>
                <w:bCs/>
                <w:color w:val="000000"/>
                <w:szCs w:val="22"/>
                <w:u w:val="single"/>
                <w:lang w:eastAsia="en-US"/>
              </w:rPr>
            </w:pPr>
            <w:r w:rsidRPr="00680A2A">
              <w:rPr>
                <w:rFonts w:ascii="Century Gothic" w:eastAsia="Times New Roman" w:hAnsi="Century Gothic"/>
                <w:b/>
                <w:bCs/>
                <w:color w:val="000000"/>
                <w:szCs w:val="22"/>
                <w:u w:val="single"/>
                <w:lang w:eastAsia="en-US"/>
              </w:rPr>
              <w:t>Units over 80% of AMI</w:t>
            </w:r>
            <w:r w:rsidRPr="00680A2A">
              <w:rPr>
                <w:rFonts w:ascii="Century Gothic" w:eastAsia="Times New Roman" w:hAnsi="Century Gothic"/>
                <w:color w:val="000000"/>
                <w:szCs w:val="22"/>
                <w:lang w:eastAsia="en-US"/>
              </w:rPr>
              <w:t xml:space="preserve">  </w:t>
            </w:r>
          </w:p>
        </w:tc>
        <w:tc>
          <w:tcPr>
            <w:tcW w:w="960" w:type="dxa"/>
            <w:tcBorders>
              <w:top w:val="nil"/>
              <w:left w:val="nil"/>
              <w:bottom w:val="single" w:sz="8" w:space="0" w:color="auto"/>
              <w:right w:val="single" w:sz="8" w:space="0" w:color="auto"/>
            </w:tcBorders>
            <w:vAlign w:val="center"/>
            <w:hideMark/>
          </w:tcPr>
          <w:p w14:paraId="7B86600D" w14:textId="77777777"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 xml:space="preserve"> </w:t>
            </w:r>
          </w:p>
        </w:tc>
        <w:tc>
          <w:tcPr>
            <w:tcW w:w="960" w:type="dxa"/>
            <w:tcBorders>
              <w:top w:val="nil"/>
              <w:left w:val="nil"/>
              <w:bottom w:val="single" w:sz="8" w:space="0" w:color="auto"/>
              <w:right w:val="single" w:sz="8" w:space="0" w:color="auto"/>
            </w:tcBorders>
            <w:vAlign w:val="center"/>
            <w:hideMark/>
          </w:tcPr>
          <w:p w14:paraId="6D1FBED7" w14:textId="77777777"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 xml:space="preserve"> </w:t>
            </w:r>
          </w:p>
        </w:tc>
      </w:tr>
      <w:tr w:rsidR="008F778B" w:rsidRPr="008F778B" w14:paraId="1CA71AE9" w14:textId="77777777" w:rsidTr="008F778B">
        <w:trPr>
          <w:trHeight w:val="615"/>
        </w:trPr>
        <w:tc>
          <w:tcPr>
            <w:tcW w:w="1540" w:type="dxa"/>
            <w:tcBorders>
              <w:top w:val="nil"/>
              <w:left w:val="single" w:sz="8" w:space="0" w:color="auto"/>
              <w:bottom w:val="single" w:sz="8" w:space="0" w:color="auto"/>
              <w:right w:val="single" w:sz="8" w:space="0" w:color="auto"/>
            </w:tcBorders>
            <w:vAlign w:val="center"/>
            <w:hideMark/>
          </w:tcPr>
          <w:p w14:paraId="10A92735" w14:textId="2FB9E543" w:rsidR="008F778B" w:rsidRPr="00680A2A" w:rsidRDefault="008F778B" w:rsidP="008F778B">
            <w:pPr>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Brookside Phase I Rental</w:t>
            </w:r>
          </w:p>
        </w:tc>
        <w:tc>
          <w:tcPr>
            <w:tcW w:w="960" w:type="dxa"/>
            <w:tcBorders>
              <w:top w:val="nil"/>
              <w:left w:val="nil"/>
              <w:bottom w:val="single" w:sz="8" w:space="0" w:color="auto"/>
              <w:right w:val="single" w:sz="8" w:space="0" w:color="auto"/>
            </w:tcBorders>
            <w:vAlign w:val="center"/>
            <w:hideMark/>
          </w:tcPr>
          <w:p w14:paraId="4451D5B9"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23</w:t>
            </w:r>
          </w:p>
        </w:tc>
        <w:tc>
          <w:tcPr>
            <w:tcW w:w="960" w:type="dxa"/>
            <w:tcBorders>
              <w:top w:val="nil"/>
              <w:left w:val="nil"/>
              <w:bottom w:val="single" w:sz="8" w:space="0" w:color="auto"/>
              <w:right w:val="single" w:sz="8" w:space="0" w:color="auto"/>
            </w:tcBorders>
            <w:vAlign w:val="center"/>
            <w:hideMark/>
          </w:tcPr>
          <w:p w14:paraId="12810043"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53%</w:t>
            </w:r>
          </w:p>
        </w:tc>
        <w:tc>
          <w:tcPr>
            <w:tcW w:w="960" w:type="dxa"/>
            <w:tcBorders>
              <w:top w:val="nil"/>
              <w:left w:val="nil"/>
              <w:bottom w:val="single" w:sz="8" w:space="0" w:color="auto"/>
              <w:right w:val="single" w:sz="8" w:space="0" w:color="auto"/>
            </w:tcBorders>
            <w:vAlign w:val="center"/>
            <w:hideMark/>
          </w:tcPr>
          <w:p w14:paraId="79F3CCF3"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15</w:t>
            </w:r>
          </w:p>
        </w:tc>
        <w:tc>
          <w:tcPr>
            <w:tcW w:w="960" w:type="dxa"/>
            <w:tcBorders>
              <w:top w:val="nil"/>
              <w:left w:val="nil"/>
              <w:bottom w:val="single" w:sz="8" w:space="0" w:color="auto"/>
              <w:right w:val="single" w:sz="8" w:space="0" w:color="auto"/>
            </w:tcBorders>
            <w:vAlign w:val="center"/>
            <w:hideMark/>
          </w:tcPr>
          <w:p w14:paraId="190A727A"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35%</w:t>
            </w:r>
          </w:p>
        </w:tc>
        <w:tc>
          <w:tcPr>
            <w:tcW w:w="960" w:type="dxa"/>
            <w:tcBorders>
              <w:top w:val="nil"/>
              <w:left w:val="nil"/>
              <w:bottom w:val="single" w:sz="8" w:space="0" w:color="auto"/>
              <w:right w:val="single" w:sz="8" w:space="0" w:color="auto"/>
            </w:tcBorders>
            <w:vAlign w:val="center"/>
            <w:hideMark/>
          </w:tcPr>
          <w:p w14:paraId="40D670E3"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5</w:t>
            </w:r>
          </w:p>
        </w:tc>
        <w:tc>
          <w:tcPr>
            <w:tcW w:w="960" w:type="dxa"/>
            <w:tcBorders>
              <w:top w:val="nil"/>
              <w:left w:val="nil"/>
              <w:bottom w:val="single" w:sz="8" w:space="0" w:color="auto"/>
              <w:right w:val="single" w:sz="8" w:space="0" w:color="auto"/>
            </w:tcBorders>
            <w:vAlign w:val="center"/>
            <w:hideMark/>
          </w:tcPr>
          <w:p w14:paraId="7DB581A3"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12%</w:t>
            </w:r>
          </w:p>
        </w:tc>
        <w:tc>
          <w:tcPr>
            <w:tcW w:w="960" w:type="dxa"/>
            <w:tcBorders>
              <w:top w:val="nil"/>
              <w:left w:val="nil"/>
              <w:bottom w:val="single" w:sz="8" w:space="0" w:color="auto"/>
              <w:right w:val="single" w:sz="8" w:space="0" w:color="auto"/>
            </w:tcBorders>
            <w:vAlign w:val="center"/>
            <w:hideMark/>
          </w:tcPr>
          <w:p w14:paraId="373B4DDD"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926F6AA"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66D1E0BA"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43</w:t>
            </w:r>
          </w:p>
        </w:tc>
      </w:tr>
      <w:tr w:rsidR="008F778B" w:rsidRPr="008F778B" w14:paraId="6C0B9AAF" w14:textId="77777777" w:rsidTr="008F778B">
        <w:trPr>
          <w:trHeight w:val="583"/>
        </w:trPr>
        <w:tc>
          <w:tcPr>
            <w:tcW w:w="1540" w:type="dxa"/>
            <w:tcBorders>
              <w:top w:val="nil"/>
              <w:left w:val="single" w:sz="8" w:space="0" w:color="auto"/>
              <w:bottom w:val="single" w:sz="8" w:space="0" w:color="auto"/>
              <w:right w:val="single" w:sz="8" w:space="0" w:color="auto"/>
            </w:tcBorders>
            <w:vAlign w:val="center"/>
            <w:hideMark/>
          </w:tcPr>
          <w:p w14:paraId="51C0203B" w14:textId="5DD85DD0" w:rsidR="008F778B" w:rsidRPr="00680A2A" w:rsidRDefault="008F778B" w:rsidP="008F778B">
            <w:pPr>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lastRenderedPageBreak/>
              <w:t>Brookside Phase II Rental</w:t>
            </w:r>
          </w:p>
        </w:tc>
        <w:tc>
          <w:tcPr>
            <w:tcW w:w="960" w:type="dxa"/>
            <w:tcBorders>
              <w:top w:val="nil"/>
              <w:left w:val="nil"/>
              <w:bottom w:val="single" w:sz="8" w:space="0" w:color="auto"/>
              <w:right w:val="single" w:sz="8" w:space="0" w:color="auto"/>
            </w:tcBorders>
            <w:vAlign w:val="center"/>
            <w:hideMark/>
          </w:tcPr>
          <w:p w14:paraId="52A14B21"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21</w:t>
            </w:r>
          </w:p>
        </w:tc>
        <w:tc>
          <w:tcPr>
            <w:tcW w:w="960" w:type="dxa"/>
            <w:tcBorders>
              <w:top w:val="nil"/>
              <w:left w:val="nil"/>
              <w:bottom w:val="single" w:sz="8" w:space="0" w:color="auto"/>
              <w:right w:val="single" w:sz="8" w:space="0" w:color="auto"/>
            </w:tcBorders>
            <w:vAlign w:val="center"/>
            <w:hideMark/>
          </w:tcPr>
          <w:p w14:paraId="10CC06B6"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48%</w:t>
            </w:r>
          </w:p>
        </w:tc>
        <w:tc>
          <w:tcPr>
            <w:tcW w:w="960" w:type="dxa"/>
            <w:tcBorders>
              <w:top w:val="nil"/>
              <w:left w:val="nil"/>
              <w:bottom w:val="single" w:sz="8" w:space="0" w:color="auto"/>
              <w:right w:val="single" w:sz="8" w:space="0" w:color="auto"/>
            </w:tcBorders>
            <w:vAlign w:val="center"/>
            <w:hideMark/>
          </w:tcPr>
          <w:p w14:paraId="7E2A1FCC"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14</w:t>
            </w:r>
          </w:p>
        </w:tc>
        <w:tc>
          <w:tcPr>
            <w:tcW w:w="960" w:type="dxa"/>
            <w:tcBorders>
              <w:top w:val="nil"/>
              <w:left w:val="nil"/>
              <w:bottom w:val="single" w:sz="8" w:space="0" w:color="auto"/>
              <w:right w:val="single" w:sz="8" w:space="0" w:color="auto"/>
            </w:tcBorders>
            <w:vAlign w:val="center"/>
            <w:hideMark/>
          </w:tcPr>
          <w:p w14:paraId="3112D157"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33%</w:t>
            </w:r>
          </w:p>
        </w:tc>
        <w:tc>
          <w:tcPr>
            <w:tcW w:w="960" w:type="dxa"/>
            <w:tcBorders>
              <w:top w:val="nil"/>
              <w:left w:val="nil"/>
              <w:bottom w:val="single" w:sz="8" w:space="0" w:color="auto"/>
              <w:right w:val="single" w:sz="8" w:space="0" w:color="auto"/>
            </w:tcBorders>
            <w:vAlign w:val="center"/>
            <w:hideMark/>
          </w:tcPr>
          <w:p w14:paraId="39F5D6BD"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8</w:t>
            </w:r>
          </w:p>
        </w:tc>
        <w:tc>
          <w:tcPr>
            <w:tcW w:w="960" w:type="dxa"/>
            <w:tcBorders>
              <w:top w:val="nil"/>
              <w:left w:val="nil"/>
              <w:bottom w:val="single" w:sz="8" w:space="0" w:color="auto"/>
              <w:right w:val="single" w:sz="8" w:space="0" w:color="auto"/>
            </w:tcBorders>
            <w:vAlign w:val="center"/>
            <w:hideMark/>
          </w:tcPr>
          <w:p w14:paraId="273BEC39"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19%</w:t>
            </w:r>
          </w:p>
        </w:tc>
        <w:tc>
          <w:tcPr>
            <w:tcW w:w="960" w:type="dxa"/>
            <w:tcBorders>
              <w:top w:val="nil"/>
              <w:left w:val="nil"/>
              <w:bottom w:val="single" w:sz="8" w:space="0" w:color="auto"/>
              <w:right w:val="single" w:sz="8" w:space="0" w:color="auto"/>
            </w:tcBorders>
            <w:vAlign w:val="center"/>
            <w:hideMark/>
          </w:tcPr>
          <w:p w14:paraId="40E21F33"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DD3AEDC"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CE804C3" w14:textId="77777777" w:rsidR="008F778B" w:rsidRPr="00680A2A" w:rsidRDefault="008F778B" w:rsidP="008F778B">
            <w:pPr>
              <w:jc w:val="right"/>
              <w:rPr>
                <w:rFonts w:ascii="Century Gothic" w:eastAsia="Times New Roman" w:hAnsi="Century Gothic" w:cs="Calibri"/>
                <w:b/>
                <w:bCs/>
                <w:color w:val="000000"/>
                <w:szCs w:val="22"/>
                <w:lang w:eastAsia="en-US"/>
              </w:rPr>
            </w:pPr>
            <w:r w:rsidRPr="00680A2A">
              <w:rPr>
                <w:rFonts w:ascii="Century Gothic" w:eastAsia="Times New Roman" w:hAnsi="Century Gothic" w:cs="Calibri"/>
                <w:b/>
                <w:bCs/>
                <w:color w:val="000000"/>
                <w:szCs w:val="22"/>
                <w:lang w:eastAsia="en-US"/>
              </w:rPr>
              <w:t>43</w:t>
            </w:r>
          </w:p>
        </w:tc>
      </w:tr>
      <w:tr w:rsidR="008F778B" w:rsidRPr="008F778B" w14:paraId="0983BADE" w14:textId="77777777" w:rsidTr="008F778B">
        <w:trPr>
          <w:trHeight w:val="520"/>
        </w:trPr>
        <w:tc>
          <w:tcPr>
            <w:tcW w:w="1540" w:type="dxa"/>
            <w:tcBorders>
              <w:top w:val="nil"/>
              <w:left w:val="single" w:sz="8" w:space="0" w:color="auto"/>
              <w:bottom w:val="single" w:sz="8" w:space="0" w:color="auto"/>
              <w:right w:val="single" w:sz="8" w:space="0" w:color="auto"/>
            </w:tcBorders>
            <w:vAlign w:val="center"/>
            <w:hideMark/>
          </w:tcPr>
          <w:p w14:paraId="143A1081" w14:textId="3A791174"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Eastview Phase I</w:t>
            </w:r>
          </w:p>
        </w:tc>
        <w:tc>
          <w:tcPr>
            <w:tcW w:w="960" w:type="dxa"/>
            <w:tcBorders>
              <w:top w:val="nil"/>
              <w:left w:val="nil"/>
              <w:bottom w:val="single" w:sz="8" w:space="0" w:color="auto"/>
              <w:right w:val="single" w:sz="8" w:space="0" w:color="auto"/>
            </w:tcBorders>
            <w:vAlign w:val="center"/>
            <w:hideMark/>
          </w:tcPr>
          <w:p w14:paraId="1297F21E"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29</w:t>
            </w:r>
          </w:p>
        </w:tc>
        <w:tc>
          <w:tcPr>
            <w:tcW w:w="960" w:type="dxa"/>
            <w:tcBorders>
              <w:top w:val="nil"/>
              <w:left w:val="nil"/>
              <w:bottom w:val="single" w:sz="8" w:space="0" w:color="auto"/>
              <w:right w:val="single" w:sz="8" w:space="0" w:color="auto"/>
            </w:tcBorders>
            <w:vAlign w:val="center"/>
            <w:hideMark/>
          </w:tcPr>
          <w:p w14:paraId="6A3026C9"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58%</w:t>
            </w:r>
          </w:p>
        </w:tc>
        <w:tc>
          <w:tcPr>
            <w:tcW w:w="960" w:type="dxa"/>
            <w:tcBorders>
              <w:top w:val="nil"/>
              <w:left w:val="nil"/>
              <w:bottom w:val="single" w:sz="8" w:space="0" w:color="auto"/>
              <w:right w:val="single" w:sz="8" w:space="0" w:color="auto"/>
            </w:tcBorders>
            <w:vAlign w:val="center"/>
            <w:hideMark/>
          </w:tcPr>
          <w:p w14:paraId="544CEE92"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16</w:t>
            </w:r>
          </w:p>
        </w:tc>
        <w:tc>
          <w:tcPr>
            <w:tcW w:w="960" w:type="dxa"/>
            <w:tcBorders>
              <w:top w:val="nil"/>
              <w:left w:val="nil"/>
              <w:bottom w:val="single" w:sz="8" w:space="0" w:color="auto"/>
              <w:right w:val="single" w:sz="8" w:space="0" w:color="auto"/>
            </w:tcBorders>
            <w:vAlign w:val="center"/>
            <w:hideMark/>
          </w:tcPr>
          <w:p w14:paraId="2669330E"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32%</w:t>
            </w:r>
          </w:p>
        </w:tc>
        <w:tc>
          <w:tcPr>
            <w:tcW w:w="960" w:type="dxa"/>
            <w:tcBorders>
              <w:top w:val="nil"/>
              <w:left w:val="nil"/>
              <w:bottom w:val="single" w:sz="8" w:space="0" w:color="auto"/>
              <w:right w:val="single" w:sz="8" w:space="0" w:color="auto"/>
            </w:tcBorders>
            <w:vAlign w:val="center"/>
            <w:hideMark/>
          </w:tcPr>
          <w:p w14:paraId="2CD855A9"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5</w:t>
            </w:r>
          </w:p>
        </w:tc>
        <w:tc>
          <w:tcPr>
            <w:tcW w:w="960" w:type="dxa"/>
            <w:tcBorders>
              <w:top w:val="nil"/>
              <w:left w:val="nil"/>
              <w:bottom w:val="single" w:sz="8" w:space="0" w:color="auto"/>
              <w:right w:val="single" w:sz="8" w:space="0" w:color="auto"/>
            </w:tcBorders>
            <w:vAlign w:val="center"/>
            <w:hideMark/>
          </w:tcPr>
          <w:p w14:paraId="025B095E"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10%</w:t>
            </w:r>
          </w:p>
        </w:tc>
        <w:tc>
          <w:tcPr>
            <w:tcW w:w="960" w:type="dxa"/>
            <w:tcBorders>
              <w:top w:val="nil"/>
              <w:left w:val="nil"/>
              <w:bottom w:val="single" w:sz="8" w:space="0" w:color="auto"/>
              <w:right w:val="single" w:sz="8" w:space="0" w:color="auto"/>
            </w:tcBorders>
            <w:vAlign w:val="center"/>
            <w:hideMark/>
          </w:tcPr>
          <w:p w14:paraId="79830DDF"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3B82318"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A271CAC"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50</w:t>
            </w:r>
          </w:p>
        </w:tc>
      </w:tr>
      <w:tr w:rsidR="008F778B" w:rsidRPr="008F778B" w14:paraId="7A8BCBAA" w14:textId="77777777" w:rsidTr="008F778B">
        <w:trPr>
          <w:trHeight w:val="493"/>
        </w:trPr>
        <w:tc>
          <w:tcPr>
            <w:tcW w:w="1540" w:type="dxa"/>
            <w:tcBorders>
              <w:top w:val="nil"/>
              <w:left w:val="single" w:sz="8" w:space="0" w:color="auto"/>
              <w:bottom w:val="single" w:sz="8" w:space="0" w:color="auto"/>
              <w:right w:val="single" w:sz="8" w:space="0" w:color="auto"/>
            </w:tcBorders>
            <w:vAlign w:val="center"/>
            <w:hideMark/>
          </w:tcPr>
          <w:p w14:paraId="1DA49BF6" w14:textId="5250C4E8"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Fairmont Heights</w:t>
            </w:r>
          </w:p>
        </w:tc>
        <w:tc>
          <w:tcPr>
            <w:tcW w:w="960" w:type="dxa"/>
            <w:tcBorders>
              <w:top w:val="nil"/>
              <w:left w:val="nil"/>
              <w:bottom w:val="single" w:sz="8" w:space="0" w:color="auto"/>
              <w:right w:val="single" w:sz="8" w:space="0" w:color="auto"/>
            </w:tcBorders>
            <w:vAlign w:val="center"/>
            <w:hideMark/>
          </w:tcPr>
          <w:p w14:paraId="4EFFE084"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84</w:t>
            </w:r>
          </w:p>
        </w:tc>
        <w:tc>
          <w:tcPr>
            <w:tcW w:w="960" w:type="dxa"/>
            <w:tcBorders>
              <w:top w:val="nil"/>
              <w:left w:val="nil"/>
              <w:bottom w:val="single" w:sz="8" w:space="0" w:color="auto"/>
              <w:right w:val="single" w:sz="8" w:space="0" w:color="auto"/>
            </w:tcBorders>
            <w:vAlign w:val="center"/>
            <w:hideMark/>
          </w:tcPr>
          <w:p w14:paraId="495511FA"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97%</w:t>
            </w:r>
          </w:p>
        </w:tc>
        <w:tc>
          <w:tcPr>
            <w:tcW w:w="960" w:type="dxa"/>
            <w:tcBorders>
              <w:top w:val="nil"/>
              <w:left w:val="nil"/>
              <w:bottom w:val="single" w:sz="8" w:space="0" w:color="auto"/>
              <w:right w:val="single" w:sz="8" w:space="0" w:color="auto"/>
            </w:tcBorders>
            <w:vAlign w:val="center"/>
            <w:hideMark/>
          </w:tcPr>
          <w:p w14:paraId="5F9F7E7B"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3</w:t>
            </w:r>
          </w:p>
        </w:tc>
        <w:tc>
          <w:tcPr>
            <w:tcW w:w="960" w:type="dxa"/>
            <w:tcBorders>
              <w:top w:val="nil"/>
              <w:left w:val="nil"/>
              <w:bottom w:val="single" w:sz="8" w:space="0" w:color="auto"/>
              <w:right w:val="single" w:sz="8" w:space="0" w:color="auto"/>
            </w:tcBorders>
            <w:vAlign w:val="center"/>
            <w:hideMark/>
          </w:tcPr>
          <w:p w14:paraId="04C42CA6"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3%</w:t>
            </w:r>
          </w:p>
        </w:tc>
        <w:tc>
          <w:tcPr>
            <w:tcW w:w="960" w:type="dxa"/>
            <w:tcBorders>
              <w:top w:val="nil"/>
              <w:left w:val="nil"/>
              <w:bottom w:val="single" w:sz="8" w:space="0" w:color="auto"/>
              <w:right w:val="single" w:sz="8" w:space="0" w:color="auto"/>
            </w:tcBorders>
            <w:vAlign w:val="center"/>
            <w:hideMark/>
          </w:tcPr>
          <w:p w14:paraId="74F1885C"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1092A21"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07A225CF"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2912660"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457A2936"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87</w:t>
            </w:r>
          </w:p>
        </w:tc>
      </w:tr>
      <w:tr w:rsidR="008F778B" w:rsidRPr="008F778B" w14:paraId="1FA40C87" w14:textId="77777777" w:rsidTr="008F778B">
        <w:trPr>
          <w:trHeight w:val="315"/>
        </w:trPr>
        <w:tc>
          <w:tcPr>
            <w:tcW w:w="1540" w:type="dxa"/>
            <w:tcBorders>
              <w:top w:val="nil"/>
              <w:left w:val="single" w:sz="8" w:space="0" w:color="auto"/>
              <w:bottom w:val="single" w:sz="8" w:space="0" w:color="auto"/>
              <w:right w:val="single" w:sz="8" w:space="0" w:color="auto"/>
            </w:tcBorders>
            <w:vAlign w:val="center"/>
            <w:hideMark/>
          </w:tcPr>
          <w:p w14:paraId="60112ACC" w14:textId="7BF60498"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Farnum I</w:t>
            </w:r>
          </w:p>
        </w:tc>
        <w:tc>
          <w:tcPr>
            <w:tcW w:w="960" w:type="dxa"/>
            <w:tcBorders>
              <w:top w:val="nil"/>
              <w:left w:val="nil"/>
              <w:bottom w:val="single" w:sz="8" w:space="0" w:color="auto"/>
              <w:right w:val="single" w:sz="8" w:space="0" w:color="auto"/>
            </w:tcBorders>
            <w:vAlign w:val="center"/>
            <w:hideMark/>
          </w:tcPr>
          <w:p w14:paraId="0DA3BFA3"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71</w:t>
            </w:r>
          </w:p>
        </w:tc>
        <w:tc>
          <w:tcPr>
            <w:tcW w:w="960" w:type="dxa"/>
            <w:tcBorders>
              <w:top w:val="nil"/>
              <w:left w:val="nil"/>
              <w:bottom w:val="single" w:sz="8" w:space="0" w:color="auto"/>
              <w:right w:val="single" w:sz="8" w:space="0" w:color="auto"/>
            </w:tcBorders>
            <w:vAlign w:val="center"/>
            <w:hideMark/>
          </w:tcPr>
          <w:p w14:paraId="5DFB766D"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66%</w:t>
            </w:r>
          </w:p>
        </w:tc>
        <w:tc>
          <w:tcPr>
            <w:tcW w:w="960" w:type="dxa"/>
            <w:tcBorders>
              <w:top w:val="nil"/>
              <w:left w:val="nil"/>
              <w:bottom w:val="single" w:sz="8" w:space="0" w:color="auto"/>
              <w:right w:val="single" w:sz="8" w:space="0" w:color="auto"/>
            </w:tcBorders>
            <w:vAlign w:val="center"/>
            <w:hideMark/>
          </w:tcPr>
          <w:p w14:paraId="12FB25DE"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13</w:t>
            </w:r>
          </w:p>
        </w:tc>
        <w:tc>
          <w:tcPr>
            <w:tcW w:w="960" w:type="dxa"/>
            <w:tcBorders>
              <w:top w:val="nil"/>
              <w:left w:val="nil"/>
              <w:bottom w:val="single" w:sz="8" w:space="0" w:color="auto"/>
              <w:right w:val="single" w:sz="8" w:space="0" w:color="auto"/>
            </w:tcBorders>
            <w:vAlign w:val="center"/>
            <w:hideMark/>
          </w:tcPr>
          <w:p w14:paraId="47E86933"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34%</w:t>
            </w:r>
          </w:p>
        </w:tc>
        <w:tc>
          <w:tcPr>
            <w:tcW w:w="960" w:type="dxa"/>
            <w:tcBorders>
              <w:top w:val="nil"/>
              <w:left w:val="nil"/>
              <w:bottom w:val="single" w:sz="8" w:space="0" w:color="auto"/>
              <w:right w:val="single" w:sz="8" w:space="0" w:color="auto"/>
            </w:tcBorders>
            <w:vAlign w:val="center"/>
            <w:hideMark/>
          </w:tcPr>
          <w:p w14:paraId="3A18A22B"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w:t>
            </w:r>
          </w:p>
        </w:tc>
        <w:tc>
          <w:tcPr>
            <w:tcW w:w="960" w:type="dxa"/>
            <w:tcBorders>
              <w:top w:val="nil"/>
              <w:left w:val="nil"/>
              <w:bottom w:val="single" w:sz="8" w:space="0" w:color="auto"/>
              <w:right w:val="single" w:sz="8" w:space="0" w:color="auto"/>
            </w:tcBorders>
            <w:vAlign w:val="center"/>
            <w:hideMark/>
          </w:tcPr>
          <w:p w14:paraId="5E1220E3"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884996D"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1FED932"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8DF0A88"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85</w:t>
            </w:r>
          </w:p>
        </w:tc>
      </w:tr>
      <w:tr w:rsidR="008F778B" w:rsidRPr="008F778B" w14:paraId="1B377A3F" w14:textId="77777777" w:rsidTr="008F778B">
        <w:trPr>
          <w:trHeight w:val="322"/>
        </w:trPr>
        <w:tc>
          <w:tcPr>
            <w:tcW w:w="1540" w:type="dxa"/>
            <w:tcBorders>
              <w:top w:val="nil"/>
              <w:left w:val="single" w:sz="8" w:space="0" w:color="auto"/>
              <w:bottom w:val="single" w:sz="8" w:space="0" w:color="auto"/>
              <w:right w:val="single" w:sz="8" w:space="0" w:color="auto"/>
            </w:tcBorders>
            <w:vAlign w:val="center"/>
            <w:hideMark/>
          </w:tcPr>
          <w:p w14:paraId="73815A1A" w14:textId="2217FAA6"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Fulton Park</w:t>
            </w:r>
          </w:p>
        </w:tc>
        <w:tc>
          <w:tcPr>
            <w:tcW w:w="960" w:type="dxa"/>
            <w:tcBorders>
              <w:top w:val="nil"/>
              <w:left w:val="nil"/>
              <w:bottom w:val="single" w:sz="8" w:space="0" w:color="auto"/>
              <w:right w:val="single" w:sz="8" w:space="0" w:color="auto"/>
            </w:tcBorders>
            <w:vAlign w:val="center"/>
            <w:hideMark/>
          </w:tcPr>
          <w:p w14:paraId="446A8717"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7</w:t>
            </w:r>
          </w:p>
        </w:tc>
        <w:tc>
          <w:tcPr>
            <w:tcW w:w="960" w:type="dxa"/>
            <w:tcBorders>
              <w:top w:val="nil"/>
              <w:left w:val="nil"/>
              <w:bottom w:val="single" w:sz="8" w:space="0" w:color="auto"/>
              <w:right w:val="single" w:sz="8" w:space="0" w:color="auto"/>
            </w:tcBorders>
            <w:vAlign w:val="center"/>
            <w:hideMark/>
          </w:tcPr>
          <w:p w14:paraId="45CD49B5"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84%</w:t>
            </w:r>
          </w:p>
        </w:tc>
        <w:tc>
          <w:tcPr>
            <w:tcW w:w="960" w:type="dxa"/>
            <w:tcBorders>
              <w:top w:val="nil"/>
              <w:left w:val="nil"/>
              <w:bottom w:val="single" w:sz="8" w:space="0" w:color="auto"/>
              <w:right w:val="single" w:sz="8" w:space="0" w:color="auto"/>
            </w:tcBorders>
            <w:vAlign w:val="center"/>
            <w:hideMark/>
          </w:tcPr>
          <w:p w14:paraId="6F91821D"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4</w:t>
            </w:r>
          </w:p>
        </w:tc>
        <w:tc>
          <w:tcPr>
            <w:tcW w:w="960" w:type="dxa"/>
            <w:tcBorders>
              <w:top w:val="nil"/>
              <w:left w:val="nil"/>
              <w:bottom w:val="single" w:sz="8" w:space="0" w:color="auto"/>
              <w:right w:val="single" w:sz="8" w:space="0" w:color="auto"/>
            </w:tcBorders>
            <w:vAlign w:val="center"/>
            <w:hideMark/>
          </w:tcPr>
          <w:p w14:paraId="3C3978D0"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15%</w:t>
            </w:r>
          </w:p>
        </w:tc>
        <w:tc>
          <w:tcPr>
            <w:tcW w:w="960" w:type="dxa"/>
            <w:tcBorders>
              <w:top w:val="nil"/>
              <w:left w:val="nil"/>
              <w:bottom w:val="single" w:sz="8" w:space="0" w:color="auto"/>
              <w:right w:val="single" w:sz="8" w:space="0" w:color="auto"/>
            </w:tcBorders>
            <w:vAlign w:val="center"/>
            <w:hideMark/>
          </w:tcPr>
          <w:p w14:paraId="03DC9B28"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w:t>
            </w:r>
          </w:p>
        </w:tc>
        <w:tc>
          <w:tcPr>
            <w:tcW w:w="960" w:type="dxa"/>
            <w:tcBorders>
              <w:top w:val="nil"/>
              <w:left w:val="nil"/>
              <w:bottom w:val="single" w:sz="8" w:space="0" w:color="auto"/>
              <w:right w:val="single" w:sz="8" w:space="0" w:color="auto"/>
            </w:tcBorders>
            <w:vAlign w:val="center"/>
            <w:hideMark/>
          </w:tcPr>
          <w:p w14:paraId="41390DF8"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w:t>
            </w:r>
          </w:p>
        </w:tc>
        <w:tc>
          <w:tcPr>
            <w:tcW w:w="960" w:type="dxa"/>
            <w:tcBorders>
              <w:top w:val="nil"/>
              <w:left w:val="nil"/>
              <w:bottom w:val="single" w:sz="8" w:space="0" w:color="auto"/>
              <w:right w:val="single" w:sz="8" w:space="0" w:color="auto"/>
            </w:tcBorders>
            <w:vAlign w:val="center"/>
            <w:hideMark/>
          </w:tcPr>
          <w:p w14:paraId="44D9C506"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1686087"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4C4C03B8"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12</w:t>
            </w:r>
          </w:p>
        </w:tc>
      </w:tr>
      <w:tr w:rsidR="008F778B" w:rsidRPr="008F778B" w14:paraId="29AC62AB" w14:textId="77777777" w:rsidTr="008F778B">
        <w:trPr>
          <w:trHeight w:val="610"/>
        </w:trPr>
        <w:tc>
          <w:tcPr>
            <w:tcW w:w="1540" w:type="dxa"/>
            <w:tcBorders>
              <w:top w:val="nil"/>
              <w:left w:val="single" w:sz="8" w:space="0" w:color="auto"/>
              <w:bottom w:val="single" w:sz="8" w:space="0" w:color="auto"/>
              <w:right w:val="single" w:sz="8" w:space="0" w:color="auto"/>
            </w:tcBorders>
            <w:vAlign w:val="center"/>
            <w:hideMark/>
          </w:tcPr>
          <w:p w14:paraId="3A59728B" w14:textId="77777777"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 xml:space="preserve"> McConaughy 4%</w:t>
            </w:r>
          </w:p>
        </w:tc>
        <w:tc>
          <w:tcPr>
            <w:tcW w:w="960" w:type="dxa"/>
            <w:tcBorders>
              <w:top w:val="nil"/>
              <w:left w:val="nil"/>
              <w:bottom w:val="single" w:sz="8" w:space="0" w:color="auto"/>
              <w:right w:val="single" w:sz="8" w:space="0" w:color="auto"/>
            </w:tcBorders>
            <w:vAlign w:val="center"/>
            <w:hideMark/>
          </w:tcPr>
          <w:p w14:paraId="148C060E"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32</w:t>
            </w:r>
          </w:p>
        </w:tc>
        <w:tc>
          <w:tcPr>
            <w:tcW w:w="960" w:type="dxa"/>
            <w:tcBorders>
              <w:top w:val="nil"/>
              <w:left w:val="nil"/>
              <w:bottom w:val="single" w:sz="8" w:space="0" w:color="auto"/>
              <w:right w:val="single" w:sz="8" w:space="0" w:color="auto"/>
            </w:tcBorders>
            <w:vAlign w:val="center"/>
            <w:hideMark/>
          </w:tcPr>
          <w:p w14:paraId="5AD10C78"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87%</w:t>
            </w:r>
          </w:p>
        </w:tc>
        <w:tc>
          <w:tcPr>
            <w:tcW w:w="960" w:type="dxa"/>
            <w:tcBorders>
              <w:top w:val="nil"/>
              <w:left w:val="nil"/>
              <w:bottom w:val="single" w:sz="8" w:space="0" w:color="auto"/>
              <w:right w:val="single" w:sz="8" w:space="0" w:color="auto"/>
            </w:tcBorders>
            <w:vAlign w:val="center"/>
            <w:hideMark/>
          </w:tcPr>
          <w:p w14:paraId="20D83914"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3</w:t>
            </w:r>
          </w:p>
        </w:tc>
        <w:tc>
          <w:tcPr>
            <w:tcW w:w="960" w:type="dxa"/>
            <w:tcBorders>
              <w:top w:val="nil"/>
              <w:left w:val="nil"/>
              <w:bottom w:val="single" w:sz="8" w:space="0" w:color="auto"/>
              <w:right w:val="single" w:sz="8" w:space="0" w:color="auto"/>
            </w:tcBorders>
            <w:vAlign w:val="center"/>
            <w:hideMark/>
          </w:tcPr>
          <w:p w14:paraId="221273CF"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8%</w:t>
            </w:r>
          </w:p>
        </w:tc>
        <w:tc>
          <w:tcPr>
            <w:tcW w:w="960" w:type="dxa"/>
            <w:tcBorders>
              <w:top w:val="nil"/>
              <w:left w:val="nil"/>
              <w:bottom w:val="single" w:sz="8" w:space="0" w:color="auto"/>
              <w:right w:val="single" w:sz="8" w:space="0" w:color="auto"/>
            </w:tcBorders>
            <w:vAlign w:val="center"/>
            <w:hideMark/>
          </w:tcPr>
          <w:p w14:paraId="38F180E0"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23E9DF74"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5%</w:t>
            </w:r>
          </w:p>
        </w:tc>
        <w:tc>
          <w:tcPr>
            <w:tcW w:w="960" w:type="dxa"/>
            <w:tcBorders>
              <w:top w:val="nil"/>
              <w:left w:val="nil"/>
              <w:bottom w:val="single" w:sz="8" w:space="0" w:color="auto"/>
              <w:right w:val="single" w:sz="8" w:space="0" w:color="auto"/>
            </w:tcBorders>
            <w:vAlign w:val="center"/>
            <w:hideMark/>
          </w:tcPr>
          <w:p w14:paraId="5E2E22F4"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2AFFE53A"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6099BD7"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37</w:t>
            </w:r>
          </w:p>
        </w:tc>
      </w:tr>
      <w:tr w:rsidR="008F778B" w:rsidRPr="008F778B" w14:paraId="13408E69" w14:textId="77777777" w:rsidTr="008F778B">
        <w:trPr>
          <w:trHeight w:val="430"/>
        </w:trPr>
        <w:tc>
          <w:tcPr>
            <w:tcW w:w="1540" w:type="dxa"/>
            <w:tcBorders>
              <w:top w:val="nil"/>
              <w:left w:val="single" w:sz="8" w:space="0" w:color="auto"/>
              <w:bottom w:val="single" w:sz="8" w:space="0" w:color="auto"/>
              <w:right w:val="single" w:sz="8" w:space="0" w:color="auto"/>
            </w:tcBorders>
            <w:vAlign w:val="center"/>
            <w:hideMark/>
          </w:tcPr>
          <w:p w14:paraId="5552129C" w14:textId="093189FF"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PBV QT Phase 2</w:t>
            </w:r>
          </w:p>
        </w:tc>
        <w:tc>
          <w:tcPr>
            <w:tcW w:w="960" w:type="dxa"/>
            <w:tcBorders>
              <w:top w:val="nil"/>
              <w:left w:val="nil"/>
              <w:bottom w:val="single" w:sz="8" w:space="0" w:color="auto"/>
              <w:right w:val="single" w:sz="8" w:space="0" w:color="auto"/>
            </w:tcBorders>
            <w:vAlign w:val="center"/>
            <w:hideMark/>
          </w:tcPr>
          <w:p w14:paraId="48A0D85E"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14</w:t>
            </w:r>
          </w:p>
        </w:tc>
        <w:tc>
          <w:tcPr>
            <w:tcW w:w="960" w:type="dxa"/>
            <w:tcBorders>
              <w:top w:val="nil"/>
              <w:left w:val="nil"/>
              <w:bottom w:val="single" w:sz="8" w:space="0" w:color="auto"/>
              <w:right w:val="single" w:sz="8" w:space="0" w:color="auto"/>
            </w:tcBorders>
            <w:vAlign w:val="center"/>
            <w:hideMark/>
          </w:tcPr>
          <w:p w14:paraId="5D9964FD"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64%</w:t>
            </w:r>
          </w:p>
        </w:tc>
        <w:tc>
          <w:tcPr>
            <w:tcW w:w="960" w:type="dxa"/>
            <w:tcBorders>
              <w:top w:val="nil"/>
              <w:left w:val="nil"/>
              <w:bottom w:val="single" w:sz="8" w:space="0" w:color="auto"/>
              <w:right w:val="single" w:sz="8" w:space="0" w:color="auto"/>
            </w:tcBorders>
            <w:vAlign w:val="center"/>
            <w:hideMark/>
          </w:tcPr>
          <w:p w14:paraId="60C42BC1"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6</w:t>
            </w:r>
          </w:p>
        </w:tc>
        <w:tc>
          <w:tcPr>
            <w:tcW w:w="960" w:type="dxa"/>
            <w:tcBorders>
              <w:top w:val="nil"/>
              <w:left w:val="nil"/>
              <w:bottom w:val="single" w:sz="8" w:space="0" w:color="auto"/>
              <w:right w:val="single" w:sz="8" w:space="0" w:color="auto"/>
            </w:tcBorders>
            <w:vAlign w:val="center"/>
            <w:hideMark/>
          </w:tcPr>
          <w:p w14:paraId="60CF6FE4"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27%</w:t>
            </w:r>
          </w:p>
        </w:tc>
        <w:tc>
          <w:tcPr>
            <w:tcW w:w="960" w:type="dxa"/>
            <w:tcBorders>
              <w:top w:val="nil"/>
              <w:left w:val="nil"/>
              <w:bottom w:val="single" w:sz="8" w:space="0" w:color="auto"/>
              <w:right w:val="single" w:sz="8" w:space="0" w:color="auto"/>
            </w:tcBorders>
            <w:vAlign w:val="center"/>
            <w:hideMark/>
          </w:tcPr>
          <w:p w14:paraId="1104636F"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7067587C"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9%</w:t>
            </w:r>
          </w:p>
        </w:tc>
        <w:tc>
          <w:tcPr>
            <w:tcW w:w="960" w:type="dxa"/>
            <w:tcBorders>
              <w:top w:val="nil"/>
              <w:left w:val="nil"/>
              <w:bottom w:val="single" w:sz="8" w:space="0" w:color="auto"/>
              <w:right w:val="single" w:sz="8" w:space="0" w:color="auto"/>
            </w:tcBorders>
            <w:vAlign w:val="center"/>
            <w:hideMark/>
          </w:tcPr>
          <w:p w14:paraId="47BA91F8"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B7EB9EC"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27AF82FB"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22</w:t>
            </w:r>
          </w:p>
        </w:tc>
      </w:tr>
      <w:tr w:rsidR="008F778B" w:rsidRPr="008F778B" w14:paraId="674EDAAA" w14:textId="77777777" w:rsidTr="008F778B">
        <w:trPr>
          <w:trHeight w:val="601"/>
        </w:trPr>
        <w:tc>
          <w:tcPr>
            <w:tcW w:w="1540" w:type="dxa"/>
            <w:tcBorders>
              <w:top w:val="nil"/>
              <w:left w:val="single" w:sz="8" w:space="0" w:color="auto"/>
              <w:bottom w:val="single" w:sz="8" w:space="0" w:color="auto"/>
              <w:right w:val="single" w:sz="8" w:space="0" w:color="auto"/>
            </w:tcBorders>
            <w:vAlign w:val="center"/>
            <w:hideMark/>
          </w:tcPr>
          <w:p w14:paraId="2EA4009A" w14:textId="1D9A0D6E"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Rockview Phase I Rental</w:t>
            </w:r>
          </w:p>
        </w:tc>
        <w:tc>
          <w:tcPr>
            <w:tcW w:w="960" w:type="dxa"/>
            <w:tcBorders>
              <w:top w:val="nil"/>
              <w:left w:val="nil"/>
              <w:bottom w:val="single" w:sz="8" w:space="0" w:color="auto"/>
              <w:right w:val="single" w:sz="8" w:space="0" w:color="auto"/>
            </w:tcBorders>
            <w:vAlign w:val="center"/>
            <w:hideMark/>
          </w:tcPr>
          <w:p w14:paraId="64B7DF19"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16</w:t>
            </w:r>
          </w:p>
        </w:tc>
        <w:tc>
          <w:tcPr>
            <w:tcW w:w="960" w:type="dxa"/>
            <w:tcBorders>
              <w:top w:val="nil"/>
              <w:left w:val="nil"/>
              <w:bottom w:val="single" w:sz="8" w:space="0" w:color="auto"/>
              <w:right w:val="single" w:sz="8" w:space="0" w:color="auto"/>
            </w:tcBorders>
            <w:vAlign w:val="center"/>
            <w:hideMark/>
          </w:tcPr>
          <w:p w14:paraId="7CF6A309"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38%</w:t>
            </w:r>
          </w:p>
        </w:tc>
        <w:tc>
          <w:tcPr>
            <w:tcW w:w="960" w:type="dxa"/>
            <w:tcBorders>
              <w:top w:val="nil"/>
              <w:left w:val="nil"/>
              <w:bottom w:val="single" w:sz="8" w:space="0" w:color="auto"/>
              <w:right w:val="single" w:sz="8" w:space="0" w:color="auto"/>
            </w:tcBorders>
            <w:vAlign w:val="center"/>
            <w:hideMark/>
          </w:tcPr>
          <w:p w14:paraId="1CD9921F"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19</w:t>
            </w:r>
          </w:p>
        </w:tc>
        <w:tc>
          <w:tcPr>
            <w:tcW w:w="960" w:type="dxa"/>
            <w:tcBorders>
              <w:top w:val="nil"/>
              <w:left w:val="nil"/>
              <w:bottom w:val="single" w:sz="8" w:space="0" w:color="auto"/>
              <w:right w:val="single" w:sz="8" w:space="0" w:color="auto"/>
            </w:tcBorders>
            <w:vAlign w:val="center"/>
            <w:hideMark/>
          </w:tcPr>
          <w:p w14:paraId="61C780DB"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45%</w:t>
            </w:r>
          </w:p>
        </w:tc>
        <w:tc>
          <w:tcPr>
            <w:tcW w:w="960" w:type="dxa"/>
            <w:tcBorders>
              <w:top w:val="nil"/>
              <w:left w:val="nil"/>
              <w:bottom w:val="single" w:sz="8" w:space="0" w:color="auto"/>
              <w:right w:val="single" w:sz="8" w:space="0" w:color="auto"/>
            </w:tcBorders>
            <w:vAlign w:val="center"/>
            <w:hideMark/>
          </w:tcPr>
          <w:p w14:paraId="3DA74A58"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7</w:t>
            </w:r>
          </w:p>
        </w:tc>
        <w:tc>
          <w:tcPr>
            <w:tcW w:w="960" w:type="dxa"/>
            <w:tcBorders>
              <w:top w:val="nil"/>
              <w:left w:val="nil"/>
              <w:bottom w:val="single" w:sz="8" w:space="0" w:color="auto"/>
              <w:right w:val="single" w:sz="8" w:space="0" w:color="auto"/>
            </w:tcBorders>
            <w:vAlign w:val="center"/>
            <w:hideMark/>
          </w:tcPr>
          <w:p w14:paraId="55DBE450"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17%</w:t>
            </w:r>
          </w:p>
        </w:tc>
        <w:tc>
          <w:tcPr>
            <w:tcW w:w="960" w:type="dxa"/>
            <w:tcBorders>
              <w:top w:val="nil"/>
              <w:left w:val="nil"/>
              <w:bottom w:val="single" w:sz="8" w:space="0" w:color="auto"/>
              <w:right w:val="single" w:sz="8" w:space="0" w:color="auto"/>
            </w:tcBorders>
            <w:vAlign w:val="center"/>
            <w:hideMark/>
          </w:tcPr>
          <w:p w14:paraId="6FD2C2CD"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03882857"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9803A72"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42</w:t>
            </w:r>
          </w:p>
        </w:tc>
      </w:tr>
      <w:tr w:rsidR="008F778B" w:rsidRPr="008F778B" w14:paraId="4E606E5A" w14:textId="77777777" w:rsidTr="008F778B">
        <w:trPr>
          <w:trHeight w:val="511"/>
        </w:trPr>
        <w:tc>
          <w:tcPr>
            <w:tcW w:w="1540" w:type="dxa"/>
            <w:tcBorders>
              <w:top w:val="nil"/>
              <w:left w:val="single" w:sz="8" w:space="0" w:color="auto"/>
              <w:bottom w:val="single" w:sz="8" w:space="0" w:color="auto"/>
              <w:right w:val="single" w:sz="8" w:space="0" w:color="auto"/>
            </w:tcBorders>
            <w:vAlign w:val="center"/>
            <w:hideMark/>
          </w:tcPr>
          <w:p w14:paraId="57278EE3" w14:textId="77777777" w:rsidR="008F778B" w:rsidRPr="00680A2A" w:rsidRDefault="008F778B" w:rsidP="008F778B">
            <w:pPr>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122 Wilmot Road</w:t>
            </w:r>
          </w:p>
        </w:tc>
        <w:tc>
          <w:tcPr>
            <w:tcW w:w="960" w:type="dxa"/>
            <w:tcBorders>
              <w:top w:val="nil"/>
              <w:left w:val="nil"/>
              <w:bottom w:val="single" w:sz="8" w:space="0" w:color="auto"/>
              <w:right w:val="single" w:sz="8" w:space="0" w:color="auto"/>
            </w:tcBorders>
            <w:vAlign w:val="center"/>
            <w:hideMark/>
          </w:tcPr>
          <w:p w14:paraId="23A18038"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11</w:t>
            </w:r>
          </w:p>
        </w:tc>
        <w:tc>
          <w:tcPr>
            <w:tcW w:w="960" w:type="dxa"/>
            <w:tcBorders>
              <w:top w:val="nil"/>
              <w:left w:val="nil"/>
              <w:bottom w:val="single" w:sz="8" w:space="0" w:color="auto"/>
              <w:right w:val="single" w:sz="8" w:space="0" w:color="auto"/>
            </w:tcBorders>
            <w:vAlign w:val="center"/>
            <w:hideMark/>
          </w:tcPr>
          <w:p w14:paraId="05C0B173"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85%</w:t>
            </w:r>
          </w:p>
        </w:tc>
        <w:tc>
          <w:tcPr>
            <w:tcW w:w="960" w:type="dxa"/>
            <w:tcBorders>
              <w:top w:val="nil"/>
              <w:left w:val="nil"/>
              <w:bottom w:val="single" w:sz="8" w:space="0" w:color="auto"/>
              <w:right w:val="single" w:sz="8" w:space="0" w:color="auto"/>
            </w:tcBorders>
            <w:vAlign w:val="center"/>
            <w:hideMark/>
          </w:tcPr>
          <w:p w14:paraId="4C6438BB"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3BE1415D"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15%</w:t>
            </w:r>
          </w:p>
        </w:tc>
        <w:tc>
          <w:tcPr>
            <w:tcW w:w="960" w:type="dxa"/>
            <w:tcBorders>
              <w:top w:val="nil"/>
              <w:left w:val="nil"/>
              <w:bottom w:val="single" w:sz="8" w:space="0" w:color="auto"/>
              <w:right w:val="single" w:sz="8" w:space="0" w:color="auto"/>
            </w:tcBorders>
            <w:vAlign w:val="center"/>
            <w:hideMark/>
          </w:tcPr>
          <w:p w14:paraId="4B95680C"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DC57757"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B801C6C"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CCF3094"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3877356" w14:textId="77777777" w:rsidR="008F778B" w:rsidRPr="00680A2A" w:rsidRDefault="008F778B" w:rsidP="008F778B">
            <w:pPr>
              <w:jc w:val="right"/>
              <w:rPr>
                <w:rFonts w:ascii="Century Gothic" w:eastAsia="Times New Roman" w:hAnsi="Century Gothic" w:cs="Calibri"/>
                <w:color w:val="000000"/>
                <w:szCs w:val="22"/>
                <w:lang w:eastAsia="en-US"/>
              </w:rPr>
            </w:pPr>
            <w:r w:rsidRPr="00680A2A">
              <w:rPr>
                <w:rFonts w:ascii="Century Gothic" w:eastAsia="Times New Roman" w:hAnsi="Century Gothic" w:cs="Calibri"/>
                <w:color w:val="000000"/>
                <w:szCs w:val="22"/>
                <w:lang w:eastAsia="en-US"/>
              </w:rPr>
              <w:t>13</w:t>
            </w:r>
          </w:p>
        </w:tc>
      </w:tr>
      <w:tr w:rsidR="008F778B" w:rsidRPr="008F778B" w14:paraId="64DBF544" w14:textId="77777777" w:rsidTr="008F778B">
        <w:trPr>
          <w:trHeight w:val="502"/>
        </w:trPr>
        <w:tc>
          <w:tcPr>
            <w:tcW w:w="1540" w:type="dxa"/>
            <w:tcBorders>
              <w:top w:val="nil"/>
              <w:left w:val="single" w:sz="8" w:space="0" w:color="auto"/>
              <w:bottom w:val="single" w:sz="8" w:space="0" w:color="auto"/>
              <w:right w:val="single" w:sz="8" w:space="0" w:color="auto"/>
            </w:tcBorders>
            <w:vAlign w:val="center"/>
            <w:hideMark/>
          </w:tcPr>
          <w:p w14:paraId="647650CE" w14:textId="77777777" w:rsidR="008F778B" w:rsidRPr="008A3AE7" w:rsidRDefault="008F778B" w:rsidP="008F778B">
            <w:pPr>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122 Wilmot Road</w:t>
            </w:r>
          </w:p>
        </w:tc>
        <w:tc>
          <w:tcPr>
            <w:tcW w:w="960" w:type="dxa"/>
            <w:tcBorders>
              <w:top w:val="nil"/>
              <w:left w:val="nil"/>
              <w:bottom w:val="single" w:sz="8" w:space="0" w:color="auto"/>
              <w:right w:val="single" w:sz="8" w:space="0" w:color="auto"/>
            </w:tcBorders>
            <w:vAlign w:val="center"/>
            <w:hideMark/>
          </w:tcPr>
          <w:p w14:paraId="2A06CE12"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27</w:t>
            </w:r>
          </w:p>
        </w:tc>
        <w:tc>
          <w:tcPr>
            <w:tcW w:w="960" w:type="dxa"/>
            <w:tcBorders>
              <w:top w:val="nil"/>
              <w:left w:val="nil"/>
              <w:bottom w:val="single" w:sz="8" w:space="0" w:color="auto"/>
              <w:right w:val="single" w:sz="8" w:space="0" w:color="auto"/>
            </w:tcBorders>
            <w:vAlign w:val="center"/>
            <w:hideMark/>
          </w:tcPr>
          <w:p w14:paraId="621C5D35"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79%</w:t>
            </w:r>
          </w:p>
        </w:tc>
        <w:tc>
          <w:tcPr>
            <w:tcW w:w="960" w:type="dxa"/>
            <w:tcBorders>
              <w:top w:val="nil"/>
              <w:left w:val="nil"/>
              <w:bottom w:val="single" w:sz="8" w:space="0" w:color="auto"/>
              <w:right w:val="single" w:sz="8" w:space="0" w:color="auto"/>
            </w:tcBorders>
            <w:vAlign w:val="center"/>
            <w:hideMark/>
          </w:tcPr>
          <w:p w14:paraId="75309DD5"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6</w:t>
            </w:r>
          </w:p>
        </w:tc>
        <w:tc>
          <w:tcPr>
            <w:tcW w:w="960" w:type="dxa"/>
            <w:tcBorders>
              <w:top w:val="nil"/>
              <w:left w:val="nil"/>
              <w:bottom w:val="single" w:sz="8" w:space="0" w:color="auto"/>
              <w:right w:val="single" w:sz="8" w:space="0" w:color="auto"/>
            </w:tcBorders>
            <w:vAlign w:val="center"/>
            <w:hideMark/>
          </w:tcPr>
          <w:p w14:paraId="6523DD94"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18%</w:t>
            </w:r>
          </w:p>
        </w:tc>
        <w:tc>
          <w:tcPr>
            <w:tcW w:w="960" w:type="dxa"/>
            <w:tcBorders>
              <w:top w:val="nil"/>
              <w:left w:val="nil"/>
              <w:bottom w:val="single" w:sz="8" w:space="0" w:color="auto"/>
              <w:right w:val="single" w:sz="8" w:space="0" w:color="auto"/>
            </w:tcBorders>
            <w:vAlign w:val="center"/>
            <w:hideMark/>
          </w:tcPr>
          <w:p w14:paraId="2BF85181"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1</w:t>
            </w:r>
          </w:p>
        </w:tc>
        <w:tc>
          <w:tcPr>
            <w:tcW w:w="960" w:type="dxa"/>
            <w:tcBorders>
              <w:top w:val="nil"/>
              <w:left w:val="nil"/>
              <w:bottom w:val="single" w:sz="8" w:space="0" w:color="auto"/>
              <w:right w:val="single" w:sz="8" w:space="0" w:color="auto"/>
            </w:tcBorders>
            <w:vAlign w:val="center"/>
            <w:hideMark/>
          </w:tcPr>
          <w:p w14:paraId="705B9A6D"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3%</w:t>
            </w:r>
          </w:p>
        </w:tc>
        <w:tc>
          <w:tcPr>
            <w:tcW w:w="960" w:type="dxa"/>
            <w:tcBorders>
              <w:top w:val="nil"/>
              <w:left w:val="nil"/>
              <w:bottom w:val="single" w:sz="8" w:space="0" w:color="auto"/>
              <w:right w:val="single" w:sz="8" w:space="0" w:color="auto"/>
            </w:tcBorders>
            <w:vAlign w:val="center"/>
            <w:hideMark/>
          </w:tcPr>
          <w:p w14:paraId="05403C44"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0C54A924"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26E9728B"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34</w:t>
            </w:r>
          </w:p>
        </w:tc>
      </w:tr>
      <w:tr w:rsidR="008F778B" w:rsidRPr="008F778B" w14:paraId="1251B14E" w14:textId="77777777" w:rsidTr="008F778B">
        <w:trPr>
          <w:trHeight w:val="394"/>
        </w:trPr>
        <w:tc>
          <w:tcPr>
            <w:tcW w:w="1540" w:type="dxa"/>
            <w:tcBorders>
              <w:top w:val="nil"/>
              <w:left w:val="single" w:sz="8" w:space="0" w:color="auto"/>
              <w:bottom w:val="single" w:sz="8" w:space="0" w:color="auto"/>
              <w:right w:val="single" w:sz="8" w:space="0" w:color="auto"/>
            </w:tcBorders>
            <w:vAlign w:val="center"/>
            <w:hideMark/>
          </w:tcPr>
          <w:p w14:paraId="655D2970" w14:textId="77777777" w:rsidR="008F778B" w:rsidRPr="008A3AE7" w:rsidRDefault="008F778B" w:rsidP="008F778B">
            <w:pPr>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CB Motley</w:t>
            </w:r>
          </w:p>
        </w:tc>
        <w:tc>
          <w:tcPr>
            <w:tcW w:w="960" w:type="dxa"/>
            <w:tcBorders>
              <w:top w:val="nil"/>
              <w:left w:val="nil"/>
              <w:bottom w:val="single" w:sz="8" w:space="0" w:color="auto"/>
              <w:right w:val="single" w:sz="8" w:space="0" w:color="auto"/>
            </w:tcBorders>
            <w:vAlign w:val="center"/>
            <w:hideMark/>
          </w:tcPr>
          <w:p w14:paraId="420B9191"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39</w:t>
            </w:r>
          </w:p>
        </w:tc>
        <w:tc>
          <w:tcPr>
            <w:tcW w:w="960" w:type="dxa"/>
            <w:tcBorders>
              <w:top w:val="nil"/>
              <w:left w:val="nil"/>
              <w:bottom w:val="single" w:sz="8" w:space="0" w:color="auto"/>
              <w:right w:val="single" w:sz="8" w:space="0" w:color="auto"/>
            </w:tcBorders>
            <w:vAlign w:val="center"/>
            <w:hideMark/>
          </w:tcPr>
          <w:p w14:paraId="50DC4662"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88%</w:t>
            </w:r>
          </w:p>
        </w:tc>
        <w:tc>
          <w:tcPr>
            <w:tcW w:w="960" w:type="dxa"/>
            <w:tcBorders>
              <w:top w:val="nil"/>
              <w:left w:val="nil"/>
              <w:bottom w:val="single" w:sz="8" w:space="0" w:color="auto"/>
              <w:right w:val="single" w:sz="8" w:space="0" w:color="auto"/>
            </w:tcBorders>
            <w:vAlign w:val="center"/>
            <w:hideMark/>
          </w:tcPr>
          <w:p w14:paraId="2D850E38"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3</w:t>
            </w:r>
          </w:p>
        </w:tc>
        <w:tc>
          <w:tcPr>
            <w:tcW w:w="960" w:type="dxa"/>
            <w:tcBorders>
              <w:top w:val="nil"/>
              <w:left w:val="nil"/>
              <w:bottom w:val="single" w:sz="8" w:space="0" w:color="auto"/>
              <w:right w:val="single" w:sz="8" w:space="0" w:color="auto"/>
            </w:tcBorders>
            <w:vAlign w:val="center"/>
            <w:hideMark/>
          </w:tcPr>
          <w:p w14:paraId="647F5468"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12%</w:t>
            </w:r>
          </w:p>
        </w:tc>
        <w:tc>
          <w:tcPr>
            <w:tcW w:w="960" w:type="dxa"/>
            <w:tcBorders>
              <w:top w:val="nil"/>
              <w:left w:val="nil"/>
              <w:bottom w:val="single" w:sz="8" w:space="0" w:color="auto"/>
              <w:right w:val="single" w:sz="8" w:space="0" w:color="auto"/>
            </w:tcBorders>
            <w:vAlign w:val="center"/>
            <w:hideMark/>
          </w:tcPr>
          <w:p w14:paraId="03D6005D"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1</w:t>
            </w:r>
          </w:p>
        </w:tc>
        <w:tc>
          <w:tcPr>
            <w:tcW w:w="960" w:type="dxa"/>
            <w:tcBorders>
              <w:top w:val="nil"/>
              <w:left w:val="nil"/>
              <w:bottom w:val="single" w:sz="8" w:space="0" w:color="auto"/>
              <w:right w:val="single" w:sz="8" w:space="0" w:color="auto"/>
            </w:tcBorders>
            <w:vAlign w:val="center"/>
            <w:hideMark/>
          </w:tcPr>
          <w:p w14:paraId="43D89673"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67108920"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0069782E"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6934313C" w14:textId="77777777" w:rsidR="008F778B" w:rsidRPr="008A3AE7" w:rsidRDefault="008F778B" w:rsidP="008F778B">
            <w:pPr>
              <w:jc w:val="right"/>
              <w:rPr>
                <w:rFonts w:ascii="Century Gothic" w:eastAsia="Times New Roman" w:hAnsi="Century Gothic" w:cs="Calibri"/>
                <w:color w:val="000000"/>
                <w:szCs w:val="22"/>
                <w:lang w:eastAsia="en-US"/>
              </w:rPr>
            </w:pPr>
            <w:r w:rsidRPr="008A3AE7">
              <w:rPr>
                <w:rFonts w:ascii="Century Gothic" w:eastAsia="Times New Roman" w:hAnsi="Century Gothic" w:cs="Calibri"/>
                <w:color w:val="000000"/>
                <w:szCs w:val="22"/>
                <w:lang w:eastAsia="en-US"/>
              </w:rPr>
              <w:t>43</w:t>
            </w:r>
          </w:p>
        </w:tc>
      </w:tr>
      <w:tr w:rsidR="008F778B" w:rsidRPr="008F778B" w14:paraId="02B97A9E" w14:textId="77777777" w:rsidTr="008F778B">
        <w:trPr>
          <w:trHeight w:val="615"/>
        </w:trPr>
        <w:tc>
          <w:tcPr>
            <w:tcW w:w="1540" w:type="dxa"/>
            <w:tcBorders>
              <w:top w:val="nil"/>
              <w:left w:val="single" w:sz="8" w:space="0" w:color="auto"/>
              <w:bottom w:val="single" w:sz="8" w:space="0" w:color="auto"/>
              <w:right w:val="single" w:sz="8" w:space="0" w:color="auto"/>
            </w:tcBorders>
            <w:vAlign w:val="center"/>
            <w:hideMark/>
          </w:tcPr>
          <w:p w14:paraId="630BAB6A" w14:textId="77777777" w:rsidR="008F778B" w:rsidRPr="00B06769" w:rsidRDefault="008F778B" w:rsidP="008F778B">
            <w:pPr>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Eastview Phase I</w:t>
            </w:r>
          </w:p>
        </w:tc>
        <w:tc>
          <w:tcPr>
            <w:tcW w:w="960" w:type="dxa"/>
            <w:tcBorders>
              <w:top w:val="nil"/>
              <w:left w:val="nil"/>
              <w:bottom w:val="single" w:sz="8" w:space="0" w:color="auto"/>
              <w:right w:val="single" w:sz="8" w:space="0" w:color="auto"/>
            </w:tcBorders>
            <w:vAlign w:val="center"/>
            <w:hideMark/>
          </w:tcPr>
          <w:p w14:paraId="51BBF68C"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31</w:t>
            </w:r>
          </w:p>
        </w:tc>
        <w:tc>
          <w:tcPr>
            <w:tcW w:w="960" w:type="dxa"/>
            <w:tcBorders>
              <w:top w:val="nil"/>
              <w:left w:val="nil"/>
              <w:bottom w:val="single" w:sz="8" w:space="0" w:color="auto"/>
              <w:right w:val="single" w:sz="8" w:space="0" w:color="auto"/>
            </w:tcBorders>
            <w:vAlign w:val="center"/>
            <w:hideMark/>
          </w:tcPr>
          <w:p w14:paraId="32EE280F"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61%</w:t>
            </w:r>
          </w:p>
        </w:tc>
        <w:tc>
          <w:tcPr>
            <w:tcW w:w="960" w:type="dxa"/>
            <w:tcBorders>
              <w:top w:val="nil"/>
              <w:left w:val="nil"/>
              <w:bottom w:val="single" w:sz="8" w:space="0" w:color="auto"/>
              <w:right w:val="single" w:sz="8" w:space="0" w:color="auto"/>
            </w:tcBorders>
            <w:vAlign w:val="center"/>
            <w:hideMark/>
          </w:tcPr>
          <w:p w14:paraId="7583A10F"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17</w:t>
            </w:r>
          </w:p>
        </w:tc>
        <w:tc>
          <w:tcPr>
            <w:tcW w:w="960" w:type="dxa"/>
            <w:tcBorders>
              <w:top w:val="nil"/>
              <w:left w:val="nil"/>
              <w:bottom w:val="single" w:sz="8" w:space="0" w:color="auto"/>
              <w:right w:val="single" w:sz="8" w:space="0" w:color="auto"/>
            </w:tcBorders>
            <w:vAlign w:val="center"/>
            <w:hideMark/>
          </w:tcPr>
          <w:p w14:paraId="55C6C5F1"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33%</w:t>
            </w:r>
          </w:p>
        </w:tc>
        <w:tc>
          <w:tcPr>
            <w:tcW w:w="960" w:type="dxa"/>
            <w:tcBorders>
              <w:top w:val="nil"/>
              <w:left w:val="nil"/>
              <w:bottom w:val="single" w:sz="8" w:space="0" w:color="auto"/>
              <w:right w:val="single" w:sz="8" w:space="0" w:color="auto"/>
            </w:tcBorders>
            <w:vAlign w:val="center"/>
            <w:hideMark/>
          </w:tcPr>
          <w:p w14:paraId="45A49461"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55DD214F"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4%</w:t>
            </w:r>
          </w:p>
        </w:tc>
        <w:tc>
          <w:tcPr>
            <w:tcW w:w="960" w:type="dxa"/>
            <w:tcBorders>
              <w:top w:val="nil"/>
              <w:left w:val="nil"/>
              <w:bottom w:val="single" w:sz="8" w:space="0" w:color="auto"/>
              <w:right w:val="single" w:sz="8" w:space="0" w:color="auto"/>
            </w:tcBorders>
            <w:vAlign w:val="center"/>
            <w:hideMark/>
          </w:tcPr>
          <w:p w14:paraId="1F53A5E6"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1</w:t>
            </w:r>
          </w:p>
        </w:tc>
        <w:tc>
          <w:tcPr>
            <w:tcW w:w="960" w:type="dxa"/>
            <w:tcBorders>
              <w:top w:val="nil"/>
              <w:left w:val="nil"/>
              <w:bottom w:val="single" w:sz="8" w:space="0" w:color="auto"/>
              <w:right w:val="single" w:sz="8" w:space="0" w:color="auto"/>
            </w:tcBorders>
            <w:vAlign w:val="center"/>
            <w:hideMark/>
          </w:tcPr>
          <w:p w14:paraId="671025FE"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718E7F60"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51</w:t>
            </w:r>
          </w:p>
        </w:tc>
      </w:tr>
      <w:tr w:rsidR="008F778B" w:rsidRPr="008F778B" w14:paraId="4827DCA5" w14:textId="77777777" w:rsidTr="008F778B">
        <w:trPr>
          <w:trHeight w:val="610"/>
        </w:trPr>
        <w:tc>
          <w:tcPr>
            <w:tcW w:w="1540" w:type="dxa"/>
            <w:tcBorders>
              <w:top w:val="nil"/>
              <w:left w:val="single" w:sz="8" w:space="0" w:color="auto"/>
              <w:bottom w:val="single" w:sz="8" w:space="0" w:color="auto"/>
              <w:right w:val="single" w:sz="8" w:space="0" w:color="auto"/>
            </w:tcBorders>
            <w:vAlign w:val="center"/>
            <w:hideMark/>
          </w:tcPr>
          <w:p w14:paraId="20A1B2E0" w14:textId="77777777" w:rsidR="008F778B" w:rsidRPr="00B06769" w:rsidRDefault="008F778B" w:rsidP="008F778B">
            <w:pPr>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Fairhaven EVTII &amp; CH</w:t>
            </w:r>
          </w:p>
        </w:tc>
        <w:tc>
          <w:tcPr>
            <w:tcW w:w="960" w:type="dxa"/>
            <w:tcBorders>
              <w:top w:val="nil"/>
              <w:left w:val="nil"/>
              <w:bottom w:val="single" w:sz="8" w:space="0" w:color="auto"/>
              <w:right w:val="single" w:sz="8" w:space="0" w:color="auto"/>
            </w:tcBorders>
            <w:vAlign w:val="center"/>
            <w:hideMark/>
          </w:tcPr>
          <w:p w14:paraId="76580D0C"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27</w:t>
            </w:r>
          </w:p>
        </w:tc>
        <w:tc>
          <w:tcPr>
            <w:tcW w:w="960" w:type="dxa"/>
            <w:tcBorders>
              <w:top w:val="nil"/>
              <w:left w:val="nil"/>
              <w:bottom w:val="single" w:sz="8" w:space="0" w:color="auto"/>
              <w:right w:val="single" w:sz="8" w:space="0" w:color="auto"/>
            </w:tcBorders>
            <w:vAlign w:val="center"/>
            <w:hideMark/>
          </w:tcPr>
          <w:p w14:paraId="2AF975C1"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50%</w:t>
            </w:r>
          </w:p>
        </w:tc>
        <w:tc>
          <w:tcPr>
            <w:tcW w:w="960" w:type="dxa"/>
            <w:tcBorders>
              <w:top w:val="nil"/>
              <w:left w:val="nil"/>
              <w:bottom w:val="single" w:sz="8" w:space="0" w:color="auto"/>
              <w:right w:val="single" w:sz="8" w:space="0" w:color="auto"/>
            </w:tcBorders>
            <w:vAlign w:val="center"/>
            <w:hideMark/>
          </w:tcPr>
          <w:p w14:paraId="3F273246"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18</w:t>
            </w:r>
          </w:p>
        </w:tc>
        <w:tc>
          <w:tcPr>
            <w:tcW w:w="960" w:type="dxa"/>
            <w:tcBorders>
              <w:top w:val="nil"/>
              <w:left w:val="nil"/>
              <w:bottom w:val="single" w:sz="8" w:space="0" w:color="auto"/>
              <w:right w:val="single" w:sz="8" w:space="0" w:color="auto"/>
            </w:tcBorders>
            <w:vAlign w:val="center"/>
            <w:hideMark/>
          </w:tcPr>
          <w:p w14:paraId="5DC07401"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33%</w:t>
            </w:r>
          </w:p>
        </w:tc>
        <w:tc>
          <w:tcPr>
            <w:tcW w:w="960" w:type="dxa"/>
            <w:tcBorders>
              <w:top w:val="nil"/>
              <w:left w:val="nil"/>
              <w:bottom w:val="single" w:sz="8" w:space="0" w:color="auto"/>
              <w:right w:val="single" w:sz="8" w:space="0" w:color="auto"/>
            </w:tcBorders>
            <w:vAlign w:val="center"/>
            <w:hideMark/>
          </w:tcPr>
          <w:p w14:paraId="3B2F3CA1"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9</w:t>
            </w:r>
          </w:p>
        </w:tc>
        <w:tc>
          <w:tcPr>
            <w:tcW w:w="960" w:type="dxa"/>
            <w:tcBorders>
              <w:top w:val="nil"/>
              <w:left w:val="nil"/>
              <w:bottom w:val="single" w:sz="8" w:space="0" w:color="auto"/>
              <w:right w:val="single" w:sz="8" w:space="0" w:color="auto"/>
            </w:tcBorders>
            <w:vAlign w:val="center"/>
            <w:hideMark/>
          </w:tcPr>
          <w:p w14:paraId="1E35C668"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17%</w:t>
            </w:r>
          </w:p>
        </w:tc>
        <w:tc>
          <w:tcPr>
            <w:tcW w:w="960" w:type="dxa"/>
            <w:tcBorders>
              <w:top w:val="nil"/>
              <w:left w:val="nil"/>
              <w:bottom w:val="single" w:sz="8" w:space="0" w:color="auto"/>
              <w:right w:val="single" w:sz="8" w:space="0" w:color="auto"/>
            </w:tcBorders>
            <w:vAlign w:val="center"/>
            <w:hideMark/>
          </w:tcPr>
          <w:p w14:paraId="10093610"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4C6BB2B8"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AB40B71"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54</w:t>
            </w:r>
          </w:p>
        </w:tc>
      </w:tr>
      <w:tr w:rsidR="008F778B" w:rsidRPr="008F778B" w14:paraId="421A4EED" w14:textId="77777777" w:rsidTr="008F778B">
        <w:trPr>
          <w:trHeight w:val="615"/>
        </w:trPr>
        <w:tc>
          <w:tcPr>
            <w:tcW w:w="1540" w:type="dxa"/>
            <w:tcBorders>
              <w:top w:val="nil"/>
              <w:left w:val="single" w:sz="8" w:space="0" w:color="auto"/>
              <w:bottom w:val="single" w:sz="8" w:space="0" w:color="auto"/>
              <w:right w:val="single" w:sz="8" w:space="0" w:color="auto"/>
            </w:tcBorders>
            <w:vAlign w:val="center"/>
            <w:hideMark/>
          </w:tcPr>
          <w:p w14:paraId="3C4883AD" w14:textId="77777777" w:rsidR="008F778B" w:rsidRPr="00B06769" w:rsidRDefault="008F778B" w:rsidP="008F778B">
            <w:pPr>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Farnum II 4%</w:t>
            </w:r>
          </w:p>
        </w:tc>
        <w:tc>
          <w:tcPr>
            <w:tcW w:w="960" w:type="dxa"/>
            <w:tcBorders>
              <w:top w:val="nil"/>
              <w:left w:val="nil"/>
              <w:bottom w:val="single" w:sz="8" w:space="0" w:color="auto"/>
              <w:right w:val="single" w:sz="8" w:space="0" w:color="auto"/>
            </w:tcBorders>
            <w:vAlign w:val="center"/>
            <w:hideMark/>
          </w:tcPr>
          <w:p w14:paraId="44F0669A"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21</w:t>
            </w:r>
          </w:p>
        </w:tc>
        <w:tc>
          <w:tcPr>
            <w:tcW w:w="960" w:type="dxa"/>
            <w:tcBorders>
              <w:top w:val="nil"/>
              <w:left w:val="nil"/>
              <w:bottom w:val="single" w:sz="8" w:space="0" w:color="auto"/>
              <w:right w:val="single" w:sz="8" w:space="0" w:color="auto"/>
            </w:tcBorders>
            <w:vAlign w:val="center"/>
            <w:hideMark/>
          </w:tcPr>
          <w:p w14:paraId="559D0B38"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71%</w:t>
            </w:r>
          </w:p>
        </w:tc>
        <w:tc>
          <w:tcPr>
            <w:tcW w:w="960" w:type="dxa"/>
            <w:tcBorders>
              <w:top w:val="nil"/>
              <w:left w:val="nil"/>
              <w:bottom w:val="single" w:sz="8" w:space="0" w:color="auto"/>
              <w:right w:val="single" w:sz="8" w:space="0" w:color="auto"/>
            </w:tcBorders>
            <w:vAlign w:val="center"/>
            <w:hideMark/>
          </w:tcPr>
          <w:p w14:paraId="04C4450E"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11</w:t>
            </w:r>
          </w:p>
        </w:tc>
        <w:tc>
          <w:tcPr>
            <w:tcW w:w="960" w:type="dxa"/>
            <w:tcBorders>
              <w:top w:val="nil"/>
              <w:left w:val="nil"/>
              <w:bottom w:val="single" w:sz="8" w:space="0" w:color="auto"/>
              <w:right w:val="single" w:sz="8" w:space="0" w:color="auto"/>
            </w:tcBorders>
            <w:vAlign w:val="center"/>
            <w:hideMark/>
          </w:tcPr>
          <w:p w14:paraId="7899D82A"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29%</w:t>
            </w:r>
          </w:p>
        </w:tc>
        <w:tc>
          <w:tcPr>
            <w:tcW w:w="960" w:type="dxa"/>
            <w:tcBorders>
              <w:top w:val="nil"/>
              <w:left w:val="nil"/>
              <w:bottom w:val="single" w:sz="8" w:space="0" w:color="auto"/>
              <w:right w:val="single" w:sz="8" w:space="0" w:color="auto"/>
            </w:tcBorders>
            <w:vAlign w:val="center"/>
            <w:hideMark/>
          </w:tcPr>
          <w:p w14:paraId="4106B84C"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9D90AF6"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686408E"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7676279"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439A275"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32</w:t>
            </w:r>
          </w:p>
        </w:tc>
      </w:tr>
      <w:tr w:rsidR="008F778B" w:rsidRPr="008F778B" w14:paraId="57CF5AC0" w14:textId="77777777" w:rsidTr="008F778B">
        <w:trPr>
          <w:trHeight w:val="915"/>
        </w:trPr>
        <w:tc>
          <w:tcPr>
            <w:tcW w:w="1540" w:type="dxa"/>
            <w:tcBorders>
              <w:top w:val="nil"/>
              <w:left w:val="single" w:sz="8" w:space="0" w:color="auto"/>
              <w:bottom w:val="single" w:sz="8" w:space="0" w:color="auto"/>
              <w:right w:val="single" w:sz="8" w:space="0" w:color="auto"/>
            </w:tcBorders>
            <w:vAlign w:val="center"/>
            <w:hideMark/>
          </w:tcPr>
          <w:p w14:paraId="0652AD92" w14:textId="77777777" w:rsidR="008F778B" w:rsidRPr="00B06769" w:rsidRDefault="008F778B" w:rsidP="008F778B">
            <w:pPr>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Katherine Harvey Terrace</w:t>
            </w:r>
          </w:p>
        </w:tc>
        <w:tc>
          <w:tcPr>
            <w:tcW w:w="960" w:type="dxa"/>
            <w:tcBorders>
              <w:top w:val="nil"/>
              <w:left w:val="nil"/>
              <w:bottom w:val="single" w:sz="8" w:space="0" w:color="auto"/>
              <w:right w:val="single" w:sz="8" w:space="0" w:color="auto"/>
            </w:tcBorders>
            <w:vAlign w:val="center"/>
            <w:hideMark/>
          </w:tcPr>
          <w:p w14:paraId="2CD97ADB"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16</w:t>
            </w:r>
          </w:p>
        </w:tc>
        <w:tc>
          <w:tcPr>
            <w:tcW w:w="960" w:type="dxa"/>
            <w:tcBorders>
              <w:top w:val="nil"/>
              <w:left w:val="nil"/>
              <w:bottom w:val="single" w:sz="8" w:space="0" w:color="auto"/>
              <w:right w:val="single" w:sz="8" w:space="0" w:color="auto"/>
            </w:tcBorders>
            <w:vAlign w:val="center"/>
            <w:hideMark/>
          </w:tcPr>
          <w:p w14:paraId="2E4ADB9B"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94%</w:t>
            </w:r>
          </w:p>
        </w:tc>
        <w:tc>
          <w:tcPr>
            <w:tcW w:w="960" w:type="dxa"/>
            <w:tcBorders>
              <w:top w:val="nil"/>
              <w:left w:val="nil"/>
              <w:bottom w:val="single" w:sz="8" w:space="0" w:color="auto"/>
              <w:right w:val="single" w:sz="8" w:space="0" w:color="auto"/>
            </w:tcBorders>
            <w:vAlign w:val="center"/>
            <w:hideMark/>
          </w:tcPr>
          <w:p w14:paraId="08D79E0E"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1</w:t>
            </w:r>
          </w:p>
        </w:tc>
        <w:tc>
          <w:tcPr>
            <w:tcW w:w="960" w:type="dxa"/>
            <w:tcBorders>
              <w:top w:val="nil"/>
              <w:left w:val="nil"/>
              <w:bottom w:val="single" w:sz="8" w:space="0" w:color="auto"/>
              <w:right w:val="single" w:sz="8" w:space="0" w:color="auto"/>
            </w:tcBorders>
            <w:vAlign w:val="center"/>
            <w:hideMark/>
          </w:tcPr>
          <w:p w14:paraId="52D74345"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6%</w:t>
            </w:r>
          </w:p>
        </w:tc>
        <w:tc>
          <w:tcPr>
            <w:tcW w:w="960" w:type="dxa"/>
            <w:tcBorders>
              <w:top w:val="nil"/>
              <w:left w:val="nil"/>
              <w:bottom w:val="single" w:sz="8" w:space="0" w:color="auto"/>
              <w:right w:val="single" w:sz="8" w:space="0" w:color="auto"/>
            </w:tcBorders>
            <w:vAlign w:val="center"/>
            <w:hideMark/>
          </w:tcPr>
          <w:p w14:paraId="273C9326"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9E5CD8E"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600B95A1"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778218C"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6ABCC75" w14:textId="77777777" w:rsidR="008F778B" w:rsidRPr="00B06769" w:rsidRDefault="008F778B" w:rsidP="008F778B">
            <w:pPr>
              <w:jc w:val="right"/>
              <w:rPr>
                <w:rFonts w:ascii="Century Gothic" w:eastAsia="Times New Roman" w:hAnsi="Century Gothic" w:cs="Calibri"/>
                <w:color w:val="000000"/>
                <w:szCs w:val="22"/>
                <w:lang w:eastAsia="en-US"/>
              </w:rPr>
            </w:pPr>
            <w:r w:rsidRPr="00B06769">
              <w:rPr>
                <w:rFonts w:ascii="Century Gothic" w:eastAsia="Times New Roman" w:hAnsi="Century Gothic" w:cs="Calibri"/>
                <w:color w:val="000000"/>
                <w:szCs w:val="22"/>
                <w:lang w:eastAsia="en-US"/>
              </w:rPr>
              <w:t>17</w:t>
            </w:r>
          </w:p>
        </w:tc>
      </w:tr>
      <w:tr w:rsidR="008F778B" w:rsidRPr="008F778B" w14:paraId="46482B1B" w14:textId="77777777" w:rsidTr="008F778B">
        <w:trPr>
          <w:trHeight w:val="915"/>
        </w:trPr>
        <w:tc>
          <w:tcPr>
            <w:tcW w:w="1540" w:type="dxa"/>
            <w:tcBorders>
              <w:top w:val="nil"/>
              <w:left w:val="single" w:sz="8" w:space="0" w:color="auto"/>
              <w:bottom w:val="single" w:sz="8" w:space="0" w:color="auto"/>
              <w:right w:val="single" w:sz="8" w:space="0" w:color="auto"/>
            </w:tcBorders>
            <w:vAlign w:val="center"/>
            <w:hideMark/>
          </w:tcPr>
          <w:p w14:paraId="48D96512" w14:textId="77777777" w:rsidR="008F778B" w:rsidRPr="00714A40" w:rsidRDefault="008F778B" w:rsidP="008F778B">
            <w:pPr>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Matthew Ruoppolo Manor</w:t>
            </w:r>
          </w:p>
        </w:tc>
        <w:tc>
          <w:tcPr>
            <w:tcW w:w="960" w:type="dxa"/>
            <w:tcBorders>
              <w:top w:val="nil"/>
              <w:left w:val="nil"/>
              <w:bottom w:val="single" w:sz="8" w:space="0" w:color="auto"/>
              <w:right w:val="single" w:sz="8" w:space="0" w:color="auto"/>
            </w:tcBorders>
            <w:vAlign w:val="center"/>
            <w:hideMark/>
          </w:tcPr>
          <w:p w14:paraId="57073DE7"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91</w:t>
            </w:r>
          </w:p>
        </w:tc>
        <w:tc>
          <w:tcPr>
            <w:tcW w:w="960" w:type="dxa"/>
            <w:tcBorders>
              <w:top w:val="nil"/>
              <w:left w:val="nil"/>
              <w:bottom w:val="single" w:sz="8" w:space="0" w:color="auto"/>
              <w:right w:val="single" w:sz="8" w:space="0" w:color="auto"/>
            </w:tcBorders>
            <w:vAlign w:val="center"/>
            <w:hideMark/>
          </w:tcPr>
          <w:p w14:paraId="4BDEA301"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98%</w:t>
            </w:r>
          </w:p>
        </w:tc>
        <w:tc>
          <w:tcPr>
            <w:tcW w:w="960" w:type="dxa"/>
            <w:tcBorders>
              <w:top w:val="nil"/>
              <w:left w:val="nil"/>
              <w:bottom w:val="single" w:sz="8" w:space="0" w:color="auto"/>
              <w:right w:val="single" w:sz="8" w:space="0" w:color="auto"/>
            </w:tcBorders>
            <w:vAlign w:val="center"/>
            <w:hideMark/>
          </w:tcPr>
          <w:p w14:paraId="37204045"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6B4E67E9"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39F55579"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3DCD84E"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A62D78B"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CF3B39B"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0C3E1F6C"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93</w:t>
            </w:r>
          </w:p>
        </w:tc>
      </w:tr>
      <w:tr w:rsidR="008F778B" w:rsidRPr="008F778B" w14:paraId="497CBCDA" w14:textId="77777777" w:rsidTr="008F778B">
        <w:trPr>
          <w:trHeight w:val="646"/>
        </w:trPr>
        <w:tc>
          <w:tcPr>
            <w:tcW w:w="1540" w:type="dxa"/>
            <w:tcBorders>
              <w:top w:val="nil"/>
              <w:left w:val="single" w:sz="8" w:space="0" w:color="auto"/>
              <w:bottom w:val="single" w:sz="8" w:space="0" w:color="auto"/>
              <w:right w:val="single" w:sz="8" w:space="0" w:color="auto"/>
            </w:tcBorders>
            <w:vAlign w:val="center"/>
            <w:hideMark/>
          </w:tcPr>
          <w:p w14:paraId="59AA7F7A" w14:textId="77777777" w:rsidR="008F778B" w:rsidRPr="00714A40" w:rsidRDefault="008F778B" w:rsidP="008F778B">
            <w:pPr>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McQueeney Towers</w:t>
            </w:r>
          </w:p>
        </w:tc>
        <w:tc>
          <w:tcPr>
            <w:tcW w:w="960" w:type="dxa"/>
            <w:tcBorders>
              <w:top w:val="nil"/>
              <w:left w:val="nil"/>
              <w:bottom w:val="single" w:sz="8" w:space="0" w:color="auto"/>
              <w:right w:val="single" w:sz="8" w:space="0" w:color="auto"/>
            </w:tcBorders>
            <w:vAlign w:val="center"/>
            <w:hideMark/>
          </w:tcPr>
          <w:p w14:paraId="7CE94EE6"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120</w:t>
            </w:r>
          </w:p>
        </w:tc>
        <w:tc>
          <w:tcPr>
            <w:tcW w:w="960" w:type="dxa"/>
            <w:tcBorders>
              <w:top w:val="nil"/>
              <w:left w:val="nil"/>
              <w:bottom w:val="single" w:sz="8" w:space="0" w:color="auto"/>
              <w:right w:val="single" w:sz="8" w:space="0" w:color="auto"/>
            </w:tcBorders>
            <w:vAlign w:val="center"/>
            <w:hideMark/>
          </w:tcPr>
          <w:p w14:paraId="1D84B6C2"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93%</w:t>
            </w:r>
          </w:p>
        </w:tc>
        <w:tc>
          <w:tcPr>
            <w:tcW w:w="960" w:type="dxa"/>
            <w:tcBorders>
              <w:top w:val="nil"/>
              <w:left w:val="nil"/>
              <w:bottom w:val="single" w:sz="8" w:space="0" w:color="auto"/>
              <w:right w:val="single" w:sz="8" w:space="0" w:color="auto"/>
            </w:tcBorders>
            <w:vAlign w:val="center"/>
            <w:hideMark/>
          </w:tcPr>
          <w:p w14:paraId="0763E4DB"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9</w:t>
            </w:r>
          </w:p>
        </w:tc>
        <w:tc>
          <w:tcPr>
            <w:tcW w:w="960" w:type="dxa"/>
            <w:tcBorders>
              <w:top w:val="nil"/>
              <w:left w:val="nil"/>
              <w:bottom w:val="single" w:sz="8" w:space="0" w:color="auto"/>
              <w:right w:val="single" w:sz="8" w:space="0" w:color="auto"/>
            </w:tcBorders>
            <w:vAlign w:val="center"/>
            <w:hideMark/>
          </w:tcPr>
          <w:p w14:paraId="1E4F57C3"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7%</w:t>
            </w:r>
          </w:p>
        </w:tc>
        <w:tc>
          <w:tcPr>
            <w:tcW w:w="960" w:type="dxa"/>
            <w:tcBorders>
              <w:top w:val="nil"/>
              <w:left w:val="nil"/>
              <w:bottom w:val="single" w:sz="8" w:space="0" w:color="auto"/>
              <w:right w:val="single" w:sz="8" w:space="0" w:color="auto"/>
            </w:tcBorders>
            <w:vAlign w:val="center"/>
            <w:hideMark/>
          </w:tcPr>
          <w:p w14:paraId="64E6A223"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EE711CC"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01A2AD55"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8E050D9"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08A6CCD"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129</w:t>
            </w:r>
          </w:p>
        </w:tc>
      </w:tr>
      <w:tr w:rsidR="008F778B" w:rsidRPr="008F778B" w14:paraId="62E651FD" w14:textId="77777777" w:rsidTr="008F778B">
        <w:trPr>
          <w:trHeight w:val="430"/>
        </w:trPr>
        <w:tc>
          <w:tcPr>
            <w:tcW w:w="1540" w:type="dxa"/>
            <w:tcBorders>
              <w:top w:val="nil"/>
              <w:left w:val="single" w:sz="8" w:space="0" w:color="auto"/>
              <w:bottom w:val="single" w:sz="8" w:space="0" w:color="auto"/>
              <w:right w:val="single" w:sz="8" w:space="0" w:color="auto"/>
            </w:tcBorders>
            <w:vAlign w:val="center"/>
            <w:hideMark/>
          </w:tcPr>
          <w:p w14:paraId="5165E2DE" w14:textId="35B9C55F" w:rsidR="008F778B" w:rsidRPr="00714A40" w:rsidRDefault="008F778B" w:rsidP="008F778B">
            <w:pPr>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 xml:space="preserve">New Rowe </w:t>
            </w:r>
          </w:p>
        </w:tc>
        <w:tc>
          <w:tcPr>
            <w:tcW w:w="960" w:type="dxa"/>
            <w:tcBorders>
              <w:top w:val="nil"/>
              <w:left w:val="nil"/>
              <w:bottom w:val="single" w:sz="8" w:space="0" w:color="auto"/>
              <w:right w:val="single" w:sz="8" w:space="0" w:color="auto"/>
            </w:tcBorders>
            <w:vAlign w:val="center"/>
            <w:hideMark/>
          </w:tcPr>
          <w:p w14:paraId="4CBD3929"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18</w:t>
            </w:r>
          </w:p>
        </w:tc>
        <w:tc>
          <w:tcPr>
            <w:tcW w:w="960" w:type="dxa"/>
            <w:tcBorders>
              <w:top w:val="nil"/>
              <w:left w:val="nil"/>
              <w:bottom w:val="single" w:sz="8" w:space="0" w:color="auto"/>
              <w:right w:val="single" w:sz="8" w:space="0" w:color="auto"/>
            </w:tcBorders>
            <w:vAlign w:val="center"/>
            <w:hideMark/>
          </w:tcPr>
          <w:p w14:paraId="1246C3EC"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58%</w:t>
            </w:r>
          </w:p>
        </w:tc>
        <w:tc>
          <w:tcPr>
            <w:tcW w:w="960" w:type="dxa"/>
            <w:tcBorders>
              <w:top w:val="nil"/>
              <w:left w:val="nil"/>
              <w:bottom w:val="single" w:sz="8" w:space="0" w:color="auto"/>
              <w:right w:val="single" w:sz="8" w:space="0" w:color="auto"/>
            </w:tcBorders>
            <w:vAlign w:val="center"/>
            <w:hideMark/>
          </w:tcPr>
          <w:p w14:paraId="3FD6E909"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9</w:t>
            </w:r>
          </w:p>
        </w:tc>
        <w:tc>
          <w:tcPr>
            <w:tcW w:w="960" w:type="dxa"/>
            <w:tcBorders>
              <w:top w:val="nil"/>
              <w:left w:val="nil"/>
              <w:bottom w:val="single" w:sz="8" w:space="0" w:color="auto"/>
              <w:right w:val="single" w:sz="8" w:space="0" w:color="auto"/>
            </w:tcBorders>
            <w:vAlign w:val="center"/>
            <w:hideMark/>
          </w:tcPr>
          <w:p w14:paraId="32B6CFDE"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29%</w:t>
            </w:r>
          </w:p>
        </w:tc>
        <w:tc>
          <w:tcPr>
            <w:tcW w:w="960" w:type="dxa"/>
            <w:tcBorders>
              <w:top w:val="nil"/>
              <w:left w:val="nil"/>
              <w:bottom w:val="single" w:sz="8" w:space="0" w:color="auto"/>
              <w:right w:val="single" w:sz="8" w:space="0" w:color="auto"/>
            </w:tcBorders>
            <w:vAlign w:val="center"/>
            <w:hideMark/>
          </w:tcPr>
          <w:p w14:paraId="2A514A12"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4</w:t>
            </w:r>
          </w:p>
        </w:tc>
        <w:tc>
          <w:tcPr>
            <w:tcW w:w="960" w:type="dxa"/>
            <w:tcBorders>
              <w:top w:val="nil"/>
              <w:left w:val="nil"/>
              <w:bottom w:val="single" w:sz="8" w:space="0" w:color="auto"/>
              <w:right w:val="single" w:sz="8" w:space="0" w:color="auto"/>
            </w:tcBorders>
            <w:vAlign w:val="center"/>
            <w:hideMark/>
          </w:tcPr>
          <w:p w14:paraId="0B9366E4"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13%</w:t>
            </w:r>
          </w:p>
        </w:tc>
        <w:tc>
          <w:tcPr>
            <w:tcW w:w="960" w:type="dxa"/>
            <w:tcBorders>
              <w:top w:val="nil"/>
              <w:left w:val="nil"/>
              <w:bottom w:val="single" w:sz="8" w:space="0" w:color="auto"/>
              <w:right w:val="single" w:sz="8" w:space="0" w:color="auto"/>
            </w:tcBorders>
            <w:vAlign w:val="center"/>
            <w:hideMark/>
          </w:tcPr>
          <w:p w14:paraId="30DEDDD8"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0F176F7"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A6DD737" w14:textId="77777777" w:rsidR="008F778B" w:rsidRPr="00714A40" w:rsidRDefault="008F778B" w:rsidP="008F778B">
            <w:pPr>
              <w:jc w:val="right"/>
              <w:rPr>
                <w:rFonts w:ascii="Century Gothic" w:eastAsia="Times New Roman" w:hAnsi="Century Gothic" w:cs="Calibri"/>
                <w:color w:val="000000"/>
                <w:szCs w:val="22"/>
                <w:lang w:eastAsia="en-US"/>
              </w:rPr>
            </w:pPr>
            <w:r w:rsidRPr="00714A40">
              <w:rPr>
                <w:rFonts w:ascii="Century Gothic" w:eastAsia="Times New Roman" w:hAnsi="Century Gothic" w:cs="Calibri"/>
                <w:color w:val="000000"/>
                <w:szCs w:val="22"/>
                <w:lang w:eastAsia="en-US"/>
              </w:rPr>
              <w:t>31</w:t>
            </w:r>
          </w:p>
        </w:tc>
      </w:tr>
      <w:tr w:rsidR="008F778B" w:rsidRPr="008F778B" w14:paraId="052B7568" w14:textId="77777777" w:rsidTr="008F778B">
        <w:trPr>
          <w:trHeight w:val="615"/>
        </w:trPr>
        <w:tc>
          <w:tcPr>
            <w:tcW w:w="1540" w:type="dxa"/>
            <w:tcBorders>
              <w:top w:val="nil"/>
              <w:left w:val="single" w:sz="8" w:space="0" w:color="auto"/>
              <w:bottom w:val="single" w:sz="8" w:space="0" w:color="auto"/>
              <w:right w:val="single" w:sz="8" w:space="0" w:color="auto"/>
            </w:tcBorders>
            <w:vAlign w:val="center"/>
            <w:hideMark/>
          </w:tcPr>
          <w:p w14:paraId="38E43E3D" w14:textId="77777777" w:rsidR="008F778B" w:rsidRPr="00FF40E0" w:rsidRDefault="008F778B" w:rsidP="008F778B">
            <w:pPr>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Newhall Gardens</w:t>
            </w:r>
          </w:p>
        </w:tc>
        <w:tc>
          <w:tcPr>
            <w:tcW w:w="960" w:type="dxa"/>
            <w:tcBorders>
              <w:top w:val="nil"/>
              <w:left w:val="nil"/>
              <w:bottom w:val="single" w:sz="8" w:space="0" w:color="auto"/>
              <w:right w:val="single" w:sz="8" w:space="0" w:color="auto"/>
            </w:tcBorders>
            <w:vAlign w:val="center"/>
            <w:hideMark/>
          </w:tcPr>
          <w:p w14:paraId="27347025"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22</w:t>
            </w:r>
          </w:p>
        </w:tc>
        <w:tc>
          <w:tcPr>
            <w:tcW w:w="960" w:type="dxa"/>
            <w:tcBorders>
              <w:top w:val="nil"/>
              <w:left w:val="nil"/>
              <w:bottom w:val="single" w:sz="8" w:space="0" w:color="auto"/>
              <w:right w:val="single" w:sz="8" w:space="0" w:color="auto"/>
            </w:tcBorders>
            <w:vAlign w:val="center"/>
            <w:hideMark/>
          </w:tcPr>
          <w:p w14:paraId="21BF07F2"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88%</w:t>
            </w:r>
          </w:p>
        </w:tc>
        <w:tc>
          <w:tcPr>
            <w:tcW w:w="960" w:type="dxa"/>
            <w:tcBorders>
              <w:top w:val="nil"/>
              <w:left w:val="nil"/>
              <w:bottom w:val="single" w:sz="8" w:space="0" w:color="auto"/>
              <w:right w:val="single" w:sz="8" w:space="0" w:color="auto"/>
            </w:tcBorders>
            <w:vAlign w:val="center"/>
            <w:hideMark/>
          </w:tcPr>
          <w:p w14:paraId="38A093D9"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3</w:t>
            </w:r>
          </w:p>
        </w:tc>
        <w:tc>
          <w:tcPr>
            <w:tcW w:w="960" w:type="dxa"/>
            <w:tcBorders>
              <w:top w:val="nil"/>
              <w:left w:val="nil"/>
              <w:bottom w:val="single" w:sz="8" w:space="0" w:color="auto"/>
              <w:right w:val="single" w:sz="8" w:space="0" w:color="auto"/>
            </w:tcBorders>
            <w:vAlign w:val="center"/>
            <w:hideMark/>
          </w:tcPr>
          <w:p w14:paraId="0354C9DF"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12%</w:t>
            </w:r>
          </w:p>
        </w:tc>
        <w:tc>
          <w:tcPr>
            <w:tcW w:w="960" w:type="dxa"/>
            <w:tcBorders>
              <w:top w:val="nil"/>
              <w:left w:val="nil"/>
              <w:bottom w:val="single" w:sz="8" w:space="0" w:color="auto"/>
              <w:right w:val="single" w:sz="8" w:space="0" w:color="auto"/>
            </w:tcBorders>
            <w:vAlign w:val="center"/>
            <w:hideMark/>
          </w:tcPr>
          <w:p w14:paraId="66D121E9"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000EE6CE"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6B91A51"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6337916"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4FB8F212"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25</w:t>
            </w:r>
          </w:p>
        </w:tc>
      </w:tr>
      <w:tr w:rsidR="008F778B" w:rsidRPr="008F778B" w14:paraId="7F57B13E" w14:textId="77777777" w:rsidTr="008F778B">
        <w:trPr>
          <w:trHeight w:val="615"/>
        </w:trPr>
        <w:tc>
          <w:tcPr>
            <w:tcW w:w="1540" w:type="dxa"/>
            <w:tcBorders>
              <w:top w:val="nil"/>
              <w:left w:val="single" w:sz="8" w:space="0" w:color="auto"/>
              <w:bottom w:val="single" w:sz="8" w:space="0" w:color="auto"/>
              <w:right w:val="single" w:sz="8" w:space="0" w:color="auto"/>
            </w:tcBorders>
            <w:vAlign w:val="center"/>
            <w:hideMark/>
          </w:tcPr>
          <w:p w14:paraId="6F43DA97" w14:textId="77777777" w:rsidR="008F778B" w:rsidRPr="00FF40E0" w:rsidRDefault="008F778B" w:rsidP="008F778B">
            <w:pPr>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PBV QT Phase 1</w:t>
            </w:r>
          </w:p>
        </w:tc>
        <w:tc>
          <w:tcPr>
            <w:tcW w:w="960" w:type="dxa"/>
            <w:tcBorders>
              <w:top w:val="nil"/>
              <w:left w:val="nil"/>
              <w:bottom w:val="single" w:sz="8" w:space="0" w:color="auto"/>
              <w:right w:val="single" w:sz="8" w:space="0" w:color="auto"/>
            </w:tcBorders>
            <w:vAlign w:val="center"/>
            <w:hideMark/>
          </w:tcPr>
          <w:p w14:paraId="1925BB75"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16</w:t>
            </w:r>
          </w:p>
        </w:tc>
        <w:tc>
          <w:tcPr>
            <w:tcW w:w="960" w:type="dxa"/>
            <w:tcBorders>
              <w:top w:val="nil"/>
              <w:left w:val="nil"/>
              <w:bottom w:val="single" w:sz="8" w:space="0" w:color="auto"/>
              <w:right w:val="single" w:sz="8" w:space="0" w:color="auto"/>
            </w:tcBorders>
            <w:vAlign w:val="center"/>
            <w:hideMark/>
          </w:tcPr>
          <w:p w14:paraId="579540DC"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70%</w:t>
            </w:r>
          </w:p>
        </w:tc>
        <w:tc>
          <w:tcPr>
            <w:tcW w:w="960" w:type="dxa"/>
            <w:tcBorders>
              <w:top w:val="nil"/>
              <w:left w:val="nil"/>
              <w:bottom w:val="single" w:sz="8" w:space="0" w:color="auto"/>
              <w:right w:val="single" w:sz="8" w:space="0" w:color="auto"/>
            </w:tcBorders>
            <w:vAlign w:val="center"/>
            <w:hideMark/>
          </w:tcPr>
          <w:p w14:paraId="13E60B18"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7</w:t>
            </w:r>
          </w:p>
        </w:tc>
        <w:tc>
          <w:tcPr>
            <w:tcW w:w="960" w:type="dxa"/>
            <w:tcBorders>
              <w:top w:val="nil"/>
              <w:left w:val="nil"/>
              <w:bottom w:val="single" w:sz="8" w:space="0" w:color="auto"/>
              <w:right w:val="single" w:sz="8" w:space="0" w:color="auto"/>
            </w:tcBorders>
            <w:vAlign w:val="center"/>
            <w:hideMark/>
          </w:tcPr>
          <w:p w14:paraId="7B446305"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30%</w:t>
            </w:r>
          </w:p>
        </w:tc>
        <w:tc>
          <w:tcPr>
            <w:tcW w:w="960" w:type="dxa"/>
            <w:tcBorders>
              <w:top w:val="nil"/>
              <w:left w:val="nil"/>
              <w:bottom w:val="single" w:sz="8" w:space="0" w:color="auto"/>
              <w:right w:val="single" w:sz="8" w:space="0" w:color="auto"/>
            </w:tcBorders>
            <w:vAlign w:val="center"/>
            <w:hideMark/>
          </w:tcPr>
          <w:p w14:paraId="0997A5B7"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9BD0A5D"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0443640F"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286257DC"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FD1668A"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23</w:t>
            </w:r>
          </w:p>
        </w:tc>
      </w:tr>
      <w:tr w:rsidR="008F778B" w:rsidRPr="008F778B" w14:paraId="2C100DAB" w14:textId="77777777" w:rsidTr="008F778B">
        <w:trPr>
          <w:trHeight w:val="615"/>
        </w:trPr>
        <w:tc>
          <w:tcPr>
            <w:tcW w:w="1540" w:type="dxa"/>
            <w:tcBorders>
              <w:top w:val="nil"/>
              <w:left w:val="single" w:sz="8" w:space="0" w:color="auto"/>
              <w:bottom w:val="single" w:sz="8" w:space="0" w:color="auto"/>
              <w:right w:val="single" w:sz="8" w:space="0" w:color="auto"/>
            </w:tcBorders>
            <w:vAlign w:val="center"/>
            <w:hideMark/>
          </w:tcPr>
          <w:p w14:paraId="6237940D" w14:textId="77777777" w:rsidR="008F778B" w:rsidRPr="00FF40E0" w:rsidRDefault="008F778B" w:rsidP="008F778B">
            <w:pPr>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PBV QT Phase 3</w:t>
            </w:r>
          </w:p>
        </w:tc>
        <w:tc>
          <w:tcPr>
            <w:tcW w:w="960" w:type="dxa"/>
            <w:tcBorders>
              <w:top w:val="nil"/>
              <w:left w:val="nil"/>
              <w:bottom w:val="single" w:sz="8" w:space="0" w:color="auto"/>
              <w:right w:val="single" w:sz="8" w:space="0" w:color="auto"/>
            </w:tcBorders>
            <w:vAlign w:val="center"/>
            <w:hideMark/>
          </w:tcPr>
          <w:p w14:paraId="0937B2BC"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7</w:t>
            </w:r>
          </w:p>
        </w:tc>
        <w:tc>
          <w:tcPr>
            <w:tcW w:w="960" w:type="dxa"/>
            <w:tcBorders>
              <w:top w:val="nil"/>
              <w:left w:val="nil"/>
              <w:bottom w:val="single" w:sz="8" w:space="0" w:color="auto"/>
              <w:right w:val="single" w:sz="8" w:space="0" w:color="auto"/>
            </w:tcBorders>
            <w:vAlign w:val="center"/>
            <w:hideMark/>
          </w:tcPr>
          <w:p w14:paraId="38D07B03"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50%</w:t>
            </w:r>
          </w:p>
        </w:tc>
        <w:tc>
          <w:tcPr>
            <w:tcW w:w="960" w:type="dxa"/>
            <w:tcBorders>
              <w:top w:val="nil"/>
              <w:left w:val="nil"/>
              <w:bottom w:val="single" w:sz="8" w:space="0" w:color="auto"/>
              <w:right w:val="single" w:sz="8" w:space="0" w:color="auto"/>
            </w:tcBorders>
            <w:vAlign w:val="center"/>
            <w:hideMark/>
          </w:tcPr>
          <w:p w14:paraId="310BFC14"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5</w:t>
            </w:r>
          </w:p>
        </w:tc>
        <w:tc>
          <w:tcPr>
            <w:tcW w:w="960" w:type="dxa"/>
            <w:tcBorders>
              <w:top w:val="nil"/>
              <w:left w:val="nil"/>
              <w:bottom w:val="single" w:sz="8" w:space="0" w:color="auto"/>
              <w:right w:val="single" w:sz="8" w:space="0" w:color="auto"/>
            </w:tcBorders>
            <w:vAlign w:val="center"/>
            <w:hideMark/>
          </w:tcPr>
          <w:p w14:paraId="33D26AE0"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36%</w:t>
            </w:r>
          </w:p>
        </w:tc>
        <w:tc>
          <w:tcPr>
            <w:tcW w:w="960" w:type="dxa"/>
            <w:tcBorders>
              <w:top w:val="nil"/>
              <w:left w:val="nil"/>
              <w:bottom w:val="single" w:sz="8" w:space="0" w:color="auto"/>
              <w:right w:val="single" w:sz="8" w:space="0" w:color="auto"/>
            </w:tcBorders>
            <w:vAlign w:val="center"/>
            <w:hideMark/>
          </w:tcPr>
          <w:p w14:paraId="2A5AE486"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7BFDB7A7"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14%</w:t>
            </w:r>
          </w:p>
        </w:tc>
        <w:tc>
          <w:tcPr>
            <w:tcW w:w="960" w:type="dxa"/>
            <w:tcBorders>
              <w:top w:val="nil"/>
              <w:left w:val="nil"/>
              <w:bottom w:val="single" w:sz="8" w:space="0" w:color="auto"/>
              <w:right w:val="single" w:sz="8" w:space="0" w:color="auto"/>
            </w:tcBorders>
            <w:vAlign w:val="center"/>
            <w:hideMark/>
          </w:tcPr>
          <w:p w14:paraId="4F7B6CBD"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4D077E3A"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38262AB" w14:textId="77777777" w:rsidR="008F778B" w:rsidRPr="00FF40E0" w:rsidRDefault="008F778B" w:rsidP="008F778B">
            <w:pPr>
              <w:jc w:val="right"/>
              <w:rPr>
                <w:rFonts w:ascii="Century Gothic" w:eastAsia="Times New Roman" w:hAnsi="Century Gothic" w:cs="Calibri"/>
                <w:color w:val="000000"/>
                <w:szCs w:val="22"/>
                <w:lang w:eastAsia="en-US"/>
              </w:rPr>
            </w:pPr>
            <w:r w:rsidRPr="00FF40E0">
              <w:rPr>
                <w:rFonts w:ascii="Century Gothic" w:eastAsia="Times New Roman" w:hAnsi="Century Gothic" w:cs="Calibri"/>
                <w:color w:val="000000"/>
                <w:szCs w:val="22"/>
                <w:lang w:eastAsia="en-US"/>
              </w:rPr>
              <w:t>14</w:t>
            </w:r>
          </w:p>
        </w:tc>
      </w:tr>
      <w:tr w:rsidR="008F778B" w:rsidRPr="008F778B" w14:paraId="5B2511F5" w14:textId="77777777" w:rsidTr="008F778B">
        <w:trPr>
          <w:trHeight w:val="511"/>
        </w:trPr>
        <w:tc>
          <w:tcPr>
            <w:tcW w:w="1540" w:type="dxa"/>
            <w:tcBorders>
              <w:top w:val="nil"/>
              <w:left w:val="single" w:sz="8" w:space="0" w:color="auto"/>
              <w:bottom w:val="single" w:sz="8" w:space="0" w:color="auto"/>
              <w:right w:val="single" w:sz="8" w:space="0" w:color="auto"/>
            </w:tcBorders>
            <w:vAlign w:val="center"/>
            <w:hideMark/>
          </w:tcPr>
          <w:p w14:paraId="7EE920E6" w14:textId="77777777" w:rsidR="008F778B" w:rsidRPr="000D03BB" w:rsidRDefault="008F778B" w:rsidP="008F778B">
            <w:pPr>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lastRenderedPageBreak/>
              <w:t>Prescott Bush</w:t>
            </w:r>
          </w:p>
        </w:tc>
        <w:tc>
          <w:tcPr>
            <w:tcW w:w="960" w:type="dxa"/>
            <w:tcBorders>
              <w:top w:val="nil"/>
              <w:left w:val="nil"/>
              <w:bottom w:val="single" w:sz="8" w:space="0" w:color="auto"/>
              <w:right w:val="single" w:sz="8" w:space="0" w:color="auto"/>
            </w:tcBorders>
            <w:vAlign w:val="center"/>
            <w:hideMark/>
          </w:tcPr>
          <w:p w14:paraId="50A01835"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47</w:t>
            </w:r>
          </w:p>
        </w:tc>
        <w:tc>
          <w:tcPr>
            <w:tcW w:w="960" w:type="dxa"/>
            <w:tcBorders>
              <w:top w:val="nil"/>
              <w:left w:val="nil"/>
              <w:bottom w:val="single" w:sz="8" w:space="0" w:color="auto"/>
              <w:right w:val="single" w:sz="8" w:space="0" w:color="auto"/>
            </w:tcBorders>
            <w:vAlign w:val="center"/>
            <w:hideMark/>
          </w:tcPr>
          <w:p w14:paraId="28CD7E73"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92%</w:t>
            </w:r>
          </w:p>
        </w:tc>
        <w:tc>
          <w:tcPr>
            <w:tcW w:w="960" w:type="dxa"/>
            <w:tcBorders>
              <w:top w:val="nil"/>
              <w:left w:val="nil"/>
              <w:bottom w:val="single" w:sz="8" w:space="0" w:color="auto"/>
              <w:right w:val="single" w:sz="8" w:space="0" w:color="auto"/>
            </w:tcBorders>
            <w:vAlign w:val="center"/>
            <w:hideMark/>
          </w:tcPr>
          <w:p w14:paraId="6E78C968"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2AD38D80"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4%</w:t>
            </w:r>
          </w:p>
        </w:tc>
        <w:tc>
          <w:tcPr>
            <w:tcW w:w="960" w:type="dxa"/>
            <w:tcBorders>
              <w:top w:val="nil"/>
              <w:left w:val="nil"/>
              <w:bottom w:val="single" w:sz="8" w:space="0" w:color="auto"/>
              <w:right w:val="single" w:sz="8" w:space="0" w:color="auto"/>
            </w:tcBorders>
            <w:vAlign w:val="center"/>
            <w:hideMark/>
          </w:tcPr>
          <w:p w14:paraId="10E81E93"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33E9B449"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4%</w:t>
            </w:r>
          </w:p>
        </w:tc>
        <w:tc>
          <w:tcPr>
            <w:tcW w:w="960" w:type="dxa"/>
            <w:tcBorders>
              <w:top w:val="nil"/>
              <w:left w:val="nil"/>
              <w:bottom w:val="single" w:sz="8" w:space="0" w:color="auto"/>
              <w:right w:val="single" w:sz="8" w:space="0" w:color="auto"/>
            </w:tcBorders>
            <w:vAlign w:val="center"/>
            <w:hideMark/>
          </w:tcPr>
          <w:p w14:paraId="27B627EB"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2261C38"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B154C83"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51</w:t>
            </w:r>
          </w:p>
        </w:tc>
      </w:tr>
      <w:tr w:rsidR="008F778B" w:rsidRPr="008F778B" w14:paraId="097ABD04" w14:textId="77777777" w:rsidTr="008F778B">
        <w:trPr>
          <w:trHeight w:val="700"/>
        </w:trPr>
        <w:tc>
          <w:tcPr>
            <w:tcW w:w="1540" w:type="dxa"/>
            <w:tcBorders>
              <w:top w:val="nil"/>
              <w:left w:val="single" w:sz="8" w:space="0" w:color="auto"/>
              <w:bottom w:val="single" w:sz="8" w:space="0" w:color="auto"/>
              <w:right w:val="single" w:sz="8" w:space="0" w:color="auto"/>
            </w:tcBorders>
            <w:vAlign w:val="center"/>
            <w:hideMark/>
          </w:tcPr>
          <w:p w14:paraId="382ED213" w14:textId="77777777" w:rsidR="008F778B" w:rsidRPr="000D03BB" w:rsidRDefault="008F778B" w:rsidP="008F778B">
            <w:pPr>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 xml:space="preserve">RAD </w:t>
            </w:r>
            <w:proofErr w:type="spellStart"/>
            <w:r w:rsidRPr="000D03BB">
              <w:rPr>
                <w:rFonts w:ascii="Century Gothic" w:eastAsia="Times New Roman" w:hAnsi="Century Gothic" w:cs="Calibri"/>
                <w:color w:val="000000"/>
                <w:szCs w:val="22"/>
                <w:lang w:eastAsia="en-US"/>
              </w:rPr>
              <w:t>Farnam</w:t>
            </w:r>
            <w:proofErr w:type="spellEnd"/>
            <w:r w:rsidRPr="000D03BB">
              <w:rPr>
                <w:rFonts w:ascii="Century Gothic" w:eastAsia="Times New Roman" w:hAnsi="Century Gothic" w:cs="Calibri"/>
                <w:color w:val="000000"/>
                <w:szCs w:val="22"/>
                <w:lang w:eastAsia="en-US"/>
              </w:rPr>
              <w:t xml:space="preserve"> II 9%</w:t>
            </w:r>
          </w:p>
        </w:tc>
        <w:tc>
          <w:tcPr>
            <w:tcW w:w="960" w:type="dxa"/>
            <w:tcBorders>
              <w:top w:val="nil"/>
              <w:left w:val="nil"/>
              <w:bottom w:val="single" w:sz="8" w:space="0" w:color="auto"/>
              <w:right w:val="single" w:sz="8" w:space="0" w:color="auto"/>
            </w:tcBorders>
            <w:vAlign w:val="center"/>
            <w:hideMark/>
          </w:tcPr>
          <w:p w14:paraId="773DF638"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41</w:t>
            </w:r>
          </w:p>
        </w:tc>
        <w:tc>
          <w:tcPr>
            <w:tcW w:w="960" w:type="dxa"/>
            <w:tcBorders>
              <w:top w:val="nil"/>
              <w:left w:val="nil"/>
              <w:bottom w:val="single" w:sz="8" w:space="0" w:color="auto"/>
              <w:right w:val="single" w:sz="8" w:space="0" w:color="auto"/>
            </w:tcBorders>
            <w:vAlign w:val="center"/>
            <w:hideMark/>
          </w:tcPr>
          <w:p w14:paraId="1F1BC1F3"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79%</w:t>
            </w:r>
          </w:p>
        </w:tc>
        <w:tc>
          <w:tcPr>
            <w:tcW w:w="960" w:type="dxa"/>
            <w:tcBorders>
              <w:top w:val="nil"/>
              <w:left w:val="nil"/>
              <w:bottom w:val="single" w:sz="8" w:space="0" w:color="auto"/>
              <w:right w:val="single" w:sz="8" w:space="0" w:color="auto"/>
            </w:tcBorders>
            <w:vAlign w:val="center"/>
            <w:hideMark/>
          </w:tcPr>
          <w:p w14:paraId="06EC47A5"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8</w:t>
            </w:r>
          </w:p>
        </w:tc>
        <w:tc>
          <w:tcPr>
            <w:tcW w:w="960" w:type="dxa"/>
            <w:tcBorders>
              <w:top w:val="nil"/>
              <w:left w:val="nil"/>
              <w:bottom w:val="single" w:sz="8" w:space="0" w:color="auto"/>
              <w:right w:val="single" w:sz="8" w:space="0" w:color="auto"/>
            </w:tcBorders>
            <w:vAlign w:val="center"/>
            <w:hideMark/>
          </w:tcPr>
          <w:p w14:paraId="3185398B"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15%</w:t>
            </w:r>
          </w:p>
        </w:tc>
        <w:tc>
          <w:tcPr>
            <w:tcW w:w="960" w:type="dxa"/>
            <w:tcBorders>
              <w:top w:val="nil"/>
              <w:left w:val="nil"/>
              <w:bottom w:val="single" w:sz="8" w:space="0" w:color="auto"/>
              <w:right w:val="single" w:sz="8" w:space="0" w:color="auto"/>
            </w:tcBorders>
            <w:vAlign w:val="center"/>
            <w:hideMark/>
          </w:tcPr>
          <w:p w14:paraId="5EFD509A"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3</w:t>
            </w:r>
          </w:p>
        </w:tc>
        <w:tc>
          <w:tcPr>
            <w:tcW w:w="960" w:type="dxa"/>
            <w:tcBorders>
              <w:top w:val="nil"/>
              <w:left w:val="nil"/>
              <w:bottom w:val="single" w:sz="8" w:space="0" w:color="auto"/>
              <w:right w:val="single" w:sz="8" w:space="0" w:color="auto"/>
            </w:tcBorders>
            <w:vAlign w:val="center"/>
            <w:hideMark/>
          </w:tcPr>
          <w:p w14:paraId="370A0C3F"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6%</w:t>
            </w:r>
          </w:p>
        </w:tc>
        <w:tc>
          <w:tcPr>
            <w:tcW w:w="960" w:type="dxa"/>
            <w:tcBorders>
              <w:top w:val="nil"/>
              <w:left w:val="nil"/>
              <w:bottom w:val="single" w:sz="8" w:space="0" w:color="auto"/>
              <w:right w:val="single" w:sz="8" w:space="0" w:color="auto"/>
            </w:tcBorders>
            <w:vAlign w:val="center"/>
            <w:hideMark/>
          </w:tcPr>
          <w:p w14:paraId="1784A0BC"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6170996"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4CD7AFA9"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52</w:t>
            </w:r>
          </w:p>
        </w:tc>
      </w:tr>
      <w:tr w:rsidR="008F778B" w:rsidRPr="008F778B" w14:paraId="1209944E" w14:textId="77777777" w:rsidTr="008F778B">
        <w:trPr>
          <w:trHeight w:val="781"/>
        </w:trPr>
        <w:tc>
          <w:tcPr>
            <w:tcW w:w="1540" w:type="dxa"/>
            <w:tcBorders>
              <w:top w:val="nil"/>
              <w:left w:val="single" w:sz="8" w:space="0" w:color="auto"/>
              <w:bottom w:val="single" w:sz="8" w:space="0" w:color="auto"/>
              <w:right w:val="single" w:sz="8" w:space="0" w:color="auto"/>
            </w:tcBorders>
            <w:vAlign w:val="center"/>
            <w:hideMark/>
          </w:tcPr>
          <w:p w14:paraId="44B1F508" w14:textId="77777777" w:rsidR="008F778B" w:rsidRPr="000D03BB" w:rsidRDefault="008F778B" w:rsidP="008F778B">
            <w:pPr>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RAD McConaughy 9%</w:t>
            </w:r>
          </w:p>
        </w:tc>
        <w:tc>
          <w:tcPr>
            <w:tcW w:w="960" w:type="dxa"/>
            <w:tcBorders>
              <w:top w:val="nil"/>
              <w:left w:val="nil"/>
              <w:bottom w:val="single" w:sz="8" w:space="0" w:color="auto"/>
              <w:right w:val="single" w:sz="8" w:space="0" w:color="auto"/>
            </w:tcBorders>
            <w:vAlign w:val="center"/>
            <w:hideMark/>
          </w:tcPr>
          <w:p w14:paraId="7A11FEAE"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68</w:t>
            </w:r>
          </w:p>
        </w:tc>
        <w:tc>
          <w:tcPr>
            <w:tcW w:w="960" w:type="dxa"/>
            <w:tcBorders>
              <w:top w:val="nil"/>
              <w:left w:val="nil"/>
              <w:bottom w:val="single" w:sz="8" w:space="0" w:color="auto"/>
              <w:right w:val="single" w:sz="8" w:space="0" w:color="auto"/>
            </w:tcBorders>
            <w:vAlign w:val="center"/>
            <w:hideMark/>
          </w:tcPr>
          <w:p w14:paraId="1F64640E"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79%</w:t>
            </w:r>
          </w:p>
        </w:tc>
        <w:tc>
          <w:tcPr>
            <w:tcW w:w="960" w:type="dxa"/>
            <w:tcBorders>
              <w:top w:val="nil"/>
              <w:left w:val="nil"/>
              <w:bottom w:val="single" w:sz="8" w:space="0" w:color="auto"/>
              <w:right w:val="single" w:sz="8" w:space="0" w:color="auto"/>
            </w:tcBorders>
            <w:vAlign w:val="center"/>
            <w:hideMark/>
          </w:tcPr>
          <w:p w14:paraId="695F36E3"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7</w:t>
            </w:r>
          </w:p>
        </w:tc>
        <w:tc>
          <w:tcPr>
            <w:tcW w:w="960" w:type="dxa"/>
            <w:tcBorders>
              <w:top w:val="nil"/>
              <w:left w:val="nil"/>
              <w:bottom w:val="single" w:sz="8" w:space="0" w:color="auto"/>
              <w:right w:val="single" w:sz="8" w:space="0" w:color="auto"/>
            </w:tcBorders>
            <w:vAlign w:val="center"/>
            <w:hideMark/>
          </w:tcPr>
          <w:p w14:paraId="04C99F73"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21%</w:t>
            </w:r>
          </w:p>
        </w:tc>
        <w:tc>
          <w:tcPr>
            <w:tcW w:w="960" w:type="dxa"/>
            <w:tcBorders>
              <w:top w:val="nil"/>
              <w:left w:val="nil"/>
              <w:bottom w:val="single" w:sz="8" w:space="0" w:color="auto"/>
              <w:right w:val="single" w:sz="8" w:space="0" w:color="auto"/>
            </w:tcBorders>
            <w:vAlign w:val="center"/>
            <w:hideMark/>
          </w:tcPr>
          <w:p w14:paraId="45F6B15B"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23FEBAD7"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7E528838"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F40BC70"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189E456"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77</w:t>
            </w:r>
          </w:p>
        </w:tc>
      </w:tr>
      <w:tr w:rsidR="008F778B" w:rsidRPr="008F778B" w14:paraId="57C7B602" w14:textId="77777777" w:rsidTr="008F778B">
        <w:trPr>
          <w:trHeight w:val="493"/>
        </w:trPr>
        <w:tc>
          <w:tcPr>
            <w:tcW w:w="1540" w:type="dxa"/>
            <w:tcBorders>
              <w:top w:val="nil"/>
              <w:left w:val="single" w:sz="8" w:space="0" w:color="auto"/>
              <w:bottom w:val="single" w:sz="8" w:space="0" w:color="auto"/>
              <w:right w:val="single" w:sz="8" w:space="0" w:color="auto"/>
            </w:tcBorders>
            <w:vAlign w:val="center"/>
            <w:hideMark/>
          </w:tcPr>
          <w:p w14:paraId="148B3EBE" w14:textId="77777777" w:rsidR="008F778B" w:rsidRPr="000D03BB" w:rsidRDefault="008F778B" w:rsidP="008F778B">
            <w:pPr>
              <w:rPr>
                <w:rFonts w:ascii="Century Gothic" w:eastAsia="Times New Roman" w:hAnsi="Century Gothic" w:cs="Calibri"/>
                <w:color w:val="000000"/>
                <w:szCs w:val="22"/>
                <w:lang w:eastAsia="en-US"/>
              </w:rPr>
            </w:pPr>
            <w:proofErr w:type="spellStart"/>
            <w:r w:rsidRPr="000D03BB">
              <w:rPr>
                <w:rFonts w:ascii="Century Gothic" w:eastAsia="Times New Roman" w:hAnsi="Century Gothic" w:cs="Calibri"/>
                <w:color w:val="000000"/>
                <w:szCs w:val="22"/>
                <w:lang w:eastAsia="en-US"/>
              </w:rPr>
              <w:t>Ribicoff</w:t>
            </w:r>
            <w:proofErr w:type="spellEnd"/>
            <w:r w:rsidRPr="000D03BB">
              <w:rPr>
                <w:rFonts w:ascii="Century Gothic" w:eastAsia="Times New Roman" w:hAnsi="Century Gothic" w:cs="Calibri"/>
                <w:color w:val="000000"/>
                <w:szCs w:val="22"/>
                <w:lang w:eastAsia="en-US"/>
              </w:rPr>
              <w:t xml:space="preserve"> - 4%</w:t>
            </w:r>
          </w:p>
        </w:tc>
        <w:tc>
          <w:tcPr>
            <w:tcW w:w="960" w:type="dxa"/>
            <w:tcBorders>
              <w:top w:val="nil"/>
              <w:left w:val="nil"/>
              <w:bottom w:val="single" w:sz="8" w:space="0" w:color="auto"/>
              <w:right w:val="single" w:sz="8" w:space="0" w:color="auto"/>
            </w:tcBorders>
            <w:vAlign w:val="center"/>
            <w:hideMark/>
          </w:tcPr>
          <w:p w14:paraId="3CF2C0A9"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32</w:t>
            </w:r>
          </w:p>
        </w:tc>
        <w:tc>
          <w:tcPr>
            <w:tcW w:w="960" w:type="dxa"/>
            <w:tcBorders>
              <w:top w:val="nil"/>
              <w:left w:val="nil"/>
              <w:bottom w:val="single" w:sz="8" w:space="0" w:color="auto"/>
              <w:right w:val="single" w:sz="8" w:space="0" w:color="auto"/>
            </w:tcBorders>
            <w:vAlign w:val="center"/>
            <w:hideMark/>
          </w:tcPr>
          <w:p w14:paraId="47D5F1BB"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68%</w:t>
            </w:r>
          </w:p>
        </w:tc>
        <w:tc>
          <w:tcPr>
            <w:tcW w:w="960" w:type="dxa"/>
            <w:tcBorders>
              <w:top w:val="nil"/>
              <w:left w:val="nil"/>
              <w:bottom w:val="single" w:sz="8" w:space="0" w:color="auto"/>
              <w:right w:val="single" w:sz="8" w:space="0" w:color="auto"/>
            </w:tcBorders>
            <w:vAlign w:val="center"/>
            <w:hideMark/>
          </w:tcPr>
          <w:p w14:paraId="75A760B5"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12</w:t>
            </w:r>
          </w:p>
        </w:tc>
        <w:tc>
          <w:tcPr>
            <w:tcW w:w="960" w:type="dxa"/>
            <w:tcBorders>
              <w:top w:val="nil"/>
              <w:left w:val="nil"/>
              <w:bottom w:val="single" w:sz="8" w:space="0" w:color="auto"/>
              <w:right w:val="single" w:sz="8" w:space="0" w:color="auto"/>
            </w:tcBorders>
            <w:vAlign w:val="center"/>
            <w:hideMark/>
          </w:tcPr>
          <w:p w14:paraId="3135EE6D"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26%</w:t>
            </w:r>
          </w:p>
        </w:tc>
        <w:tc>
          <w:tcPr>
            <w:tcW w:w="960" w:type="dxa"/>
            <w:tcBorders>
              <w:top w:val="nil"/>
              <w:left w:val="nil"/>
              <w:bottom w:val="single" w:sz="8" w:space="0" w:color="auto"/>
              <w:right w:val="single" w:sz="8" w:space="0" w:color="auto"/>
            </w:tcBorders>
            <w:vAlign w:val="center"/>
            <w:hideMark/>
          </w:tcPr>
          <w:p w14:paraId="7D088A02"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3</w:t>
            </w:r>
          </w:p>
        </w:tc>
        <w:tc>
          <w:tcPr>
            <w:tcW w:w="960" w:type="dxa"/>
            <w:tcBorders>
              <w:top w:val="nil"/>
              <w:left w:val="nil"/>
              <w:bottom w:val="single" w:sz="8" w:space="0" w:color="auto"/>
              <w:right w:val="single" w:sz="8" w:space="0" w:color="auto"/>
            </w:tcBorders>
            <w:vAlign w:val="center"/>
            <w:hideMark/>
          </w:tcPr>
          <w:p w14:paraId="4BA37AB1"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6%</w:t>
            </w:r>
          </w:p>
        </w:tc>
        <w:tc>
          <w:tcPr>
            <w:tcW w:w="960" w:type="dxa"/>
            <w:tcBorders>
              <w:top w:val="nil"/>
              <w:left w:val="nil"/>
              <w:bottom w:val="single" w:sz="8" w:space="0" w:color="auto"/>
              <w:right w:val="single" w:sz="8" w:space="0" w:color="auto"/>
            </w:tcBorders>
            <w:vAlign w:val="center"/>
            <w:hideMark/>
          </w:tcPr>
          <w:p w14:paraId="59A6BDD4"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6CCD4C93"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AFF8616"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47</w:t>
            </w:r>
          </w:p>
        </w:tc>
      </w:tr>
      <w:tr w:rsidR="008F778B" w:rsidRPr="008F778B" w14:paraId="4E7A03DD" w14:textId="77777777" w:rsidTr="008F778B">
        <w:trPr>
          <w:trHeight w:val="439"/>
        </w:trPr>
        <w:tc>
          <w:tcPr>
            <w:tcW w:w="1540" w:type="dxa"/>
            <w:tcBorders>
              <w:top w:val="nil"/>
              <w:left w:val="single" w:sz="8" w:space="0" w:color="auto"/>
              <w:bottom w:val="single" w:sz="8" w:space="0" w:color="auto"/>
              <w:right w:val="single" w:sz="8" w:space="0" w:color="auto"/>
            </w:tcBorders>
            <w:vAlign w:val="center"/>
            <w:hideMark/>
          </w:tcPr>
          <w:p w14:paraId="239E5786" w14:textId="77777777" w:rsidR="008F778B" w:rsidRPr="000D03BB" w:rsidRDefault="008F778B" w:rsidP="008F778B">
            <w:pPr>
              <w:rPr>
                <w:rFonts w:ascii="Century Gothic" w:eastAsia="Times New Roman" w:hAnsi="Century Gothic" w:cs="Calibri"/>
                <w:color w:val="000000"/>
                <w:szCs w:val="22"/>
                <w:lang w:eastAsia="en-US"/>
              </w:rPr>
            </w:pPr>
            <w:proofErr w:type="spellStart"/>
            <w:r w:rsidRPr="000D03BB">
              <w:rPr>
                <w:rFonts w:ascii="Century Gothic" w:eastAsia="Times New Roman" w:hAnsi="Century Gothic" w:cs="Calibri"/>
                <w:color w:val="000000"/>
                <w:szCs w:val="22"/>
                <w:lang w:eastAsia="en-US"/>
              </w:rPr>
              <w:t>Ribicoff</w:t>
            </w:r>
            <w:proofErr w:type="spellEnd"/>
            <w:r w:rsidRPr="000D03BB">
              <w:rPr>
                <w:rFonts w:ascii="Century Gothic" w:eastAsia="Times New Roman" w:hAnsi="Century Gothic" w:cs="Calibri"/>
                <w:color w:val="000000"/>
                <w:szCs w:val="22"/>
                <w:lang w:eastAsia="en-US"/>
              </w:rPr>
              <w:t xml:space="preserve"> - 9%</w:t>
            </w:r>
          </w:p>
        </w:tc>
        <w:tc>
          <w:tcPr>
            <w:tcW w:w="960" w:type="dxa"/>
            <w:tcBorders>
              <w:top w:val="nil"/>
              <w:left w:val="nil"/>
              <w:bottom w:val="single" w:sz="8" w:space="0" w:color="auto"/>
              <w:right w:val="single" w:sz="8" w:space="0" w:color="auto"/>
            </w:tcBorders>
            <w:vAlign w:val="center"/>
            <w:hideMark/>
          </w:tcPr>
          <w:p w14:paraId="0C907FA2"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23</w:t>
            </w:r>
          </w:p>
        </w:tc>
        <w:tc>
          <w:tcPr>
            <w:tcW w:w="960" w:type="dxa"/>
            <w:tcBorders>
              <w:top w:val="nil"/>
              <w:left w:val="nil"/>
              <w:bottom w:val="single" w:sz="8" w:space="0" w:color="auto"/>
              <w:right w:val="single" w:sz="8" w:space="0" w:color="auto"/>
            </w:tcBorders>
            <w:vAlign w:val="center"/>
            <w:hideMark/>
          </w:tcPr>
          <w:p w14:paraId="1E7D1610"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52%</w:t>
            </w:r>
          </w:p>
        </w:tc>
        <w:tc>
          <w:tcPr>
            <w:tcW w:w="960" w:type="dxa"/>
            <w:tcBorders>
              <w:top w:val="nil"/>
              <w:left w:val="nil"/>
              <w:bottom w:val="single" w:sz="8" w:space="0" w:color="auto"/>
              <w:right w:val="single" w:sz="8" w:space="0" w:color="auto"/>
            </w:tcBorders>
            <w:vAlign w:val="center"/>
            <w:hideMark/>
          </w:tcPr>
          <w:p w14:paraId="3FC41DBB"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17</w:t>
            </w:r>
          </w:p>
        </w:tc>
        <w:tc>
          <w:tcPr>
            <w:tcW w:w="960" w:type="dxa"/>
            <w:tcBorders>
              <w:top w:val="nil"/>
              <w:left w:val="nil"/>
              <w:bottom w:val="single" w:sz="8" w:space="0" w:color="auto"/>
              <w:right w:val="single" w:sz="8" w:space="0" w:color="auto"/>
            </w:tcBorders>
            <w:vAlign w:val="center"/>
            <w:hideMark/>
          </w:tcPr>
          <w:p w14:paraId="61B5786E"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39%</w:t>
            </w:r>
          </w:p>
        </w:tc>
        <w:tc>
          <w:tcPr>
            <w:tcW w:w="960" w:type="dxa"/>
            <w:tcBorders>
              <w:top w:val="nil"/>
              <w:left w:val="nil"/>
              <w:bottom w:val="single" w:sz="8" w:space="0" w:color="auto"/>
              <w:right w:val="single" w:sz="8" w:space="0" w:color="auto"/>
            </w:tcBorders>
            <w:vAlign w:val="center"/>
            <w:hideMark/>
          </w:tcPr>
          <w:p w14:paraId="09DA0A93"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4</w:t>
            </w:r>
          </w:p>
        </w:tc>
        <w:tc>
          <w:tcPr>
            <w:tcW w:w="960" w:type="dxa"/>
            <w:tcBorders>
              <w:top w:val="nil"/>
              <w:left w:val="nil"/>
              <w:bottom w:val="single" w:sz="8" w:space="0" w:color="auto"/>
              <w:right w:val="single" w:sz="8" w:space="0" w:color="auto"/>
            </w:tcBorders>
            <w:vAlign w:val="center"/>
            <w:hideMark/>
          </w:tcPr>
          <w:p w14:paraId="0CD4717D"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9%</w:t>
            </w:r>
          </w:p>
        </w:tc>
        <w:tc>
          <w:tcPr>
            <w:tcW w:w="960" w:type="dxa"/>
            <w:tcBorders>
              <w:top w:val="nil"/>
              <w:left w:val="nil"/>
              <w:bottom w:val="single" w:sz="8" w:space="0" w:color="auto"/>
              <w:right w:val="single" w:sz="8" w:space="0" w:color="auto"/>
            </w:tcBorders>
            <w:vAlign w:val="center"/>
            <w:hideMark/>
          </w:tcPr>
          <w:p w14:paraId="4D1271D8"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7A65677"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234FFBC2"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44</w:t>
            </w:r>
          </w:p>
        </w:tc>
      </w:tr>
      <w:tr w:rsidR="008F778B" w:rsidRPr="008F778B" w14:paraId="7EDE0CC0" w14:textId="77777777" w:rsidTr="008F778B">
        <w:trPr>
          <w:trHeight w:val="421"/>
        </w:trPr>
        <w:tc>
          <w:tcPr>
            <w:tcW w:w="1540" w:type="dxa"/>
            <w:tcBorders>
              <w:top w:val="nil"/>
              <w:left w:val="single" w:sz="8" w:space="0" w:color="auto"/>
              <w:bottom w:val="single" w:sz="8" w:space="0" w:color="auto"/>
              <w:right w:val="single" w:sz="8" w:space="0" w:color="auto"/>
            </w:tcBorders>
            <w:vAlign w:val="center"/>
            <w:hideMark/>
          </w:tcPr>
          <w:p w14:paraId="39F30C94" w14:textId="77777777" w:rsidR="008F778B" w:rsidRPr="000D03BB" w:rsidRDefault="008F778B" w:rsidP="008F778B">
            <w:pPr>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Stanley Justice</w:t>
            </w:r>
          </w:p>
        </w:tc>
        <w:tc>
          <w:tcPr>
            <w:tcW w:w="960" w:type="dxa"/>
            <w:tcBorders>
              <w:top w:val="nil"/>
              <w:left w:val="nil"/>
              <w:bottom w:val="single" w:sz="8" w:space="0" w:color="auto"/>
              <w:right w:val="single" w:sz="8" w:space="0" w:color="auto"/>
            </w:tcBorders>
            <w:vAlign w:val="center"/>
            <w:hideMark/>
          </w:tcPr>
          <w:p w14:paraId="3C3654B2"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5</w:t>
            </w:r>
          </w:p>
        </w:tc>
        <w:tc>
          <w:tcPr>
            <w:tcW w:w="960" w:type="dxa"/>
            <w:tcBorders>
              <w:top w:val="nil"/>
              <w:left w:val="nil"/>
              <w:bottom w:val="single" w:sz="8" w:space="0" w:color="auto"/>
              <w:right w:val="single" w:sz="8" w:space="0" w:color="auto"/>
            </w:tcBorders>
            <w:vAlign w:val="center"/>
            <w:hideMark/>
          </w:tcPr>
          <w:p w14:paraId="0B5BFCB8"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79%</w:t>
            </w:r>
          </w:p>
        </w:tc>
        <w:tc>
          <w:tcPr>
            <w:tcW w:w="960" w:type="dxa"/>
            <w:tcBorders>
              <w:top w:val="nil"/>
              <w:left w:val="nil"/>
              <w:bottom w:val="single" w:sz="8" w:space="0" w:color="auto"/>
              <w:right w:val="single" w:sz="8" w:space="0" w:color="auto"/>
            </w:tcBorders>
            <w:vAlign w:val="center"/>
            <w:hideMark/>
          </w:tcPr>
          <w:p w14:paraId="62FAE054"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w:t>
            </w:r>
          </w:p>
        </w:tc>
        <w:tc>
          <w:tcPr>
            <w:tcW w:w="960" w:type="dxa"/>
            <w:tcBorders>
              <w:top w:val="nil"/>
              <w:left w:val="nil"/>
              <w:bottom w:val="single" w:sz="8" w:space="0" w:color="auto"/>
              <w:right w:val="single" w:sz="8" w:space="0" w:color="auto"/>
            </w:tcBorders>
            <w:vAlign w:val="center"/>
            <w:hideMark/>
          </w:tcPr>
          <w:p w14:paraId="4D7CED47"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15%</w:t>
            </w:r>
          </w:p>
        </w:tc>
        <w:tc>
          <w:tcPr>
            <w:tcW w:w="960" w:type="dxa"/>
            <w:tcBorders>
              <w:top w:val="nil"/>
              <w:left w:val="nil"/>
              <w:bottom w:val="single" w:sz="8" w:space="0" w:color="auto"/>
              <w:right w:val="single" w:sz="8" w:space="0" w:color="auto"/>
            </w:tcBorders>
            <w:vAlign w:val="center"/>
            <w:hideMark/>
          </w:tcPr>
          <w:p w14:paraId="4CA792CF"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3B7FD1E"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6%</w:t>
            </w:r>
          </w:p>
        </w:tc>
        <w:tc>
          <w:tcPr>
            <w:tcW w:w="960" w:type="dxa"/>
            <w:tcBorders>
              <w:top w:val="nil"/>
              <w:left w:val="nil"/>
              <w:bottom w:val="single" w:sz="8" w:space="0" w:color="auto"/>
              <w:right w:val="single" w:sz="8" w:space="0" w:color="auto"/>
            </w:tcBorders>
            <w:vAlign w:val="center"/>
            <w:hideMark/>
          </w:tcPr>
          <w:p w14:paraId="547653A5"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A73C26C"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25F68F24"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7</w:t>
            </w:r>
          </w:p>
        </w:tc>
      </w:tr>
      <w:tr w:rsidR="008F778B" w:rsidRPr="008F778B" w14:paraId="2201D6E7" w14:textId="77777777" w:rsidTr="008F778B">
        <w:trPr>
          <w:trHeight w:val="610"/>
        </w:trPr>
        <w:tc>
          <w:tcPr>
            <w:tcW w:w="1540" w:type="dxa"/>
            <w:tcBorders>
              <w:top w:val="nil"/>
              <w:left w:val="single" w:sz="8" w:space="0" w:color="auto"/>
              <w:bottom w:val="single" w:sz="8" w:space="0" w:color="auto"/>
              <w:right w:val="single" w:sz="8" w:space="0" w:color="auto"/>
            </w:tcBorders>
            <w:vAlign w:val="center"/>
            <w:hideMark/>
          </w:tcPr>
          <w:p w14:paraId="279C1631" w14:textId="77777777" w:rsidR="008F778B" w:rsidRPr="000D03BB" w:rsidRDefault="008F778B" w:rsidP="008F778B">
            <w:pPr>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Valley Townhouses</w:t>
            </w:r>
          </w:p>
        </w:tc>
        <w:tc>
          <w:tcPr>
            <w:tcW w:w="960" w:type="dxa"/>
            <w:tcBorders>
              <w:top w:val="nil"/>
              <w:left w:val="nil"/>
              <w:bottom w:val="single" w:sz="8" w:space="0" w:color="auto"/>
              <w:right w:val="single" w:sz="8" w:space="0" w:color="auto"/>
            </w:tcBorders>
            <w:vAlign w:val="center"/>
            <w:hideMark/>
          </w:tcPr>
          <w:p w14:paraId="2A0C13C5"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22</w:t>
            </w:r>
          </w:p>
        </w:tc>
        <w:tc>
          <w:tcPr>
            <w:tcW w:w="960" w:type="dxa"/>
            <w:tcBorders>
              <w:top w:val="nil"/>
              <w:left w:val="nil"/>
              <w:bottom w:val="single" w:sz="8" w:space="0" w:color="auto"/>
              <w:right w:val="single" w:sz="8" w:space="0" w:color="auto"/>
            </w:tcBorders>
            <w:vAlign w:val="center"/>
            <w:hideMark/>
          </w:tcPr>
          <w:p w14:paraId="2C5F285C"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79%</w:t>
            </w:r>
          </w:p>
        </w:tc>
        <w:tc>
          <w:tcPr>
            <w:tcW w:w="960" w:type="dxa"/>
            <w:tcBorders>
              <w:top w:val="nil"/>
              <w:left w:val="nil"/>
              <w:bottom w:val="single" w:sz="8" w:space="0" w:color="auto"/>
              <w:right w:val="single" w:sz="8" w:space="0" w:color="auto"/>
            </w:tcBorders>
            <w:vAlign w:val="center"/>
            <w:hideMark/>
          </w:tcPr>
          <w:p w14:paraId="599C2950"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6</w:t>
            </w:r>
          </w:p>
        </w:tc>
        <w:tc>
          <w:tcPr>
            <w:tcW w:w="960" w:type="dxa"/>
            <w:tcBorders>
              <w:top w:val="nil"/>
              <w:left w:val="nil"/>
              <w:bottom w:val="single" w:sz="8" w:space="0" w:color="auto"/>
              <w:right w:val="single" w:sz="8" w:space="0" w:color="auto"/>
            </w:tcBorders>
            <w:vAlign w:val="center"/>
            <w:hideMark/>
          </w:tcPr>
          <w:p w14:paraId="56E9BE60"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21%</w:t>
            </w:r>
          </w:p>
        </w:tc>
        <w:tc>
          <w:tcPr>
            <w:tcW w:w="960" w:type="dxa"/>
            <w:tcBorders>
              <w:top w:val="nil"/>
              <w:left w:val="nil"/>
              <w:bottom w:val="single" w:sz="8" w:space="0" w:color="auto"/>
              <w:right w:val="single" w:sz="8" w:space="0" w:color="auto"/>
            </w:tcBorders>
            <w:vAlign w:val="center"/>
            <w:hideMark/>
          </w:tcPr>
          <w:p w14:paraId="60393A52"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0E7F46A4"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43C5B5CE"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2DC6A78"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2CED2DC6"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28</w:t>
            </w:r>
          </w:p>
        </w:tc>
      </w:tr>
      <w:tr w:rsidR="008F778B" w:rsidRPr="008F778B" w14:paraId="3EE0E98F" w14:textId="77777777" w:rsidTr="008F778B">
        <w:trPr>
          <w:trHeight w:val="700"/>
        </w:trPr>
        <w:tc>
          <w:tcPr>
            <w:tcW w:w="1540" w:type="dxa"/>
            <w:tcBorders>
              <w:top w:val="nil"/>
              <w:left w:val="single" w:sz="8" w:space="0" w:color="auto"/>
              <w:bottom w:val="single" w:sz="8" w:space="0" w:color="auto"/>
              <w:right w:val="single" w:sz="8" w:space="0" w:color="auto"/>
            </w:tcBorders>
            <w:vAlign w:val="center"/>
            <w:hideMark/>
          </w:tcPr>
          <w:p w14:paraId="3B9E2AD1" w14:textId="77777777" w:rsidR="008F778B" w:rsidRPr="000D03BB" w:rsidRDefault="008F778B" w:rsidP="008F778B">
            <w:pPr>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Waverly Townhouses</w:t>
            </w:r>
          </w:p>
        </w:tc>
        <w:tc>
          <w:tcPr>
            <w:tcW w:w="960" w:type="dxa"/>
            <w:tcBorders>
              <w:top w:val="nil"/>
              <w:left w:val="nil"/>
              <w:bottom w:val="single" w:sz="8" w:space="0" w:color="auto"/>
              <w:right w:val="single" w:sz="8" w:space="0" w:color="auto"/>
            </w:tcBorders>
            <w:vAlign w:val="center"/>
            <w:hideMark/>
          </w:tcPr>
          <w:p w14:paraId="3DDD7808"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30</w:t>
            </w:r>
          </w:p>
        </w:tc>
        <w:tc>
          <w:tcPr>
            <w:tcW w:w="960" w:type="dxa"/>
            <w:tcBorders>
              <w:top w:val="nil"/>
              <w:left w:val="nil"/>
              <w:bottom w:val="single" w:sz="8" w:space="0" w:color="auto"/>
              <w:right w:val="single" w:sz="8" w:space="0" w:color="auto"/>
            </w:tcBorders>
            <w:vAlign w:val="center"/>
            <w:hideMark/>
          </w:tcPr>
          <w:p w14:paraId="74529828"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68%</w:t>
            </w:r>
          </w:p>
        </w:tc>
        <w:tc>
          <w:tcPr>
            <w:tcW w:w="960" w:type="dxa"/>
            <w:tcBorders>
              <w:top w:val="nil"/>
              <w:left w:val="nil"/>
              <w:bottom w:val="single" w:sz="8" w:space="0" w:color="auto"/>
              <w:right w:val="single" w:sz="8" w:space="0" w:color="auto"/>
            </w:tcBorders>
            <w:vAlign w:val="center"/>
            <w:hideMark/>
          </w:tcPr>
          <w:p w14:paraId="1FA41ACA"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14</w:t>
            </w:r>
          </w:p>
        </w:tc>
        <w:tc>
          <w:tcPr>
            <w:tcW w:w="960" w:type="dxa"/>
            <w:tcBorders>
              <w:top w:val="nil"/>
              <w:left w:val="nil"/>
              <w:bottom w:val="single" w:sz="8" w:space="0" w:color="auto"/>
              <w:right w:val="single" w:sz="8" w:space="0" w:color="auto"/>
            </w:tcBorders>
            <w:vAlign w:val="center"/>
            <w:hideMark/>
          </w:tcPr>
          <w:p w14:paraId="75A46C5B"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32%</w:t>
            </w:r>
          </w:p>
        </w:tc>
        <w:tc>
          <w:tcPr>
            <w:tcW w:w="960" w:type="dxa"/>
            <w:tcBorders>
              <w:top w:val="nil"/>
              <w:left w:val="nil"/>
              <w:bottom w:val="single" w:sz="8" w:space="0" w:color="auto"/>
              <w:right w:val="single" w:sz="8" w:space="0" w:color="auto"/>
            </w:tcBorders>
            <w:vAlign w:val="center"/>
            <w:hideMark/>
          </w:tcPr>
          <w:p w14:paraId="3FDDC902"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A752592"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B2F35B2"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1D2BB779"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312A4D36"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44</w:t>
            </w:r>
          </w:p>
        </w:tc>
      </w:tr>
      <w:tr w:rsidR="008F778B" w:rsidRPr="008F778B" w14:paraId="08541CD4" w14:textId="77777777" w:rsidTr="008F778B">
        <w:trPr>
          <w:trHeight w:val="619"/>
        </w:trPr>
        <w:tc>
          <w:tcPr>
            <w:tcW w:w="1540" w:type="dxa"/>
            <w:tcBorders>
              <w:top w:val="nil"/>
              <w:left w:val="single" w:sz="8" w:space="0" w:color="auto"/>
              <w:bottom w:val="single" w:sz="8" w:space="0" w:color="auto"/>
              <w:right w:val="single" w:sz="8" w:space="0" w:color="auto"/>
            </w:tcBorders>
            <w:vAlign w:val="center"/>
            <w:hideMark/>
          </w:tcPr>
          <w:p w14:paraId="556CDDBA" w14:textId="77777777" w:rsidR="008F778B" w:rsidRPr="000D03BB" w:rsidRDefault="008F778B" w:rsidP="008F778B">
            <w:pPr>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Winslow Celentano</w:t>
            </w:r>
          </w:p>
        </w:tc>
        <w:tc>
          <w:tcPr>
            <w:tcW w:w="960" w:type="dxa"/>
            <w:tcBorders>
              <w:top w:val="nil"/>
              <w:left w:val="nil"/>
              <w:bottom w:val="single" w:sz="8" w:space="0" w:color="auto"/>
              <w:right w:val="single" w:sz="8" w:space="0" w:color="auto"/>
            </w:tcBorders>
            <w:vAlign w:val="center"/>
            <w:hideMark/>
          </w:tcPr>
          <w:p w14:paraId="4C830D0C"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53</w:t>
            </w:r>
          </w:p>
        </w:tc>
        <w:tc>
          <w:tcPr>
            <w:tcW w:w="960" w:type="dxa"/>
            <w:tcBorders>
              <w:top w:val="nil"/>
              <w:left w:val="nil"/>
              <w:bottom w:val="single" w:sz="8" w:space="0" w:color="auto"/>
              <w:right w:val="single" w:sz="8" w:space="0" w:color="auto"/>
            </w:tcBorders>
            <w:vAlign w:val="center"/>
            <w:hideMark/>
          </w:tcPr>
          <w:p w14:paraId="5A987573"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90%</w:t>
            </w:r>
          </w:p>
        </w:tc>
        <w:tc>
          <w:tcPr>
            <w:tcW w:w="960" w:type="dxa"/>
            <w:tcBorders>
              <w:top w:val="nil"/>
              <w:left w:val="nil"/>
              <w:bottom w:val="single" w:sz="8" w:space="0" w:color="auto"/>
              <w:right w:val="single" w:sz="8" w:space="0" w:color="auto"/>
            </w:tcBorders>
            <w:vAlign w:val="center"/>
            <w:hideMark/>
          </w:tcPr>
          <w:p w14:paraId="25DEB2CB"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6</w:t>
            </w:r>
          </w:p>
        </w:tc>
        <w:tc>
          <w:tcPr>
            <w:tcW w:w="960" w:type="dxa"/>
            <w:tcBorders>
              <w:top w:val="nil"/>
              <w:left w:val="nil"/>
              <w:bottom w:val="single" w:sz="8" w:space="0" w:color="auto"/>
              <w:right w:val="single" w:sz="8" w:space="0" w:color="auto"/>
            </w:tcBorders>
            <w:vAlign w:val="center"/>
            <w:hideMark/>
          </w:tcPr>
          <w:p w14:paraId="6B7DCC71"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10%</w:t>
            </w:r>
          </w:p>
        </w:tc>
        <w:tc>
          <w:tcPr>
            <w:tcW w:w="960" w:type="dxa"/>
            <w:tcBorders>
              <w:top w:val="nil"/>
              <w:left w:val="nil"/>
              <w:bottom w:val="single" w:sz="8" w:space="0" w:color="auto"/>
              <w:right w:val="single" w:sz="8" w:space="0" w:color="auto"/>
            </w:tcBorders>
            <w:vAlign w:val="center"/>
            <w:hideMark/>
          </w:tcPr>
          <w:p w14:paraId="5418FBD1"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5D816900"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48A60A4E"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24E61BFE"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0%</w:t>
            </w:r>
          </w:p>
        </w:tc>
        <w:tc>
          <w:tcPr>
            <w:tcW w:w="960" w:type="dxa"/>
            <w:tcBorders>
              <w:top w:val="nil"/>
              <w:left w:val="nil"/>
              <w:bottom w:val="single" w:sz="8" w:space="0" w:color="auto"/>
              <w:right w:val="single" w:sz="8" w:space="0" w:color="auto"/>
            </w:tcBorders>
            <w:vAlign w:val="center"/>
            <w:hideMark/>
          </w:tcPr>
          <w:p w14:paraId="2ACCA7F5" w14:textId="77777777" w:rsidR="008F778B" w:rsidRPr="000D03BB" w:rsidRDefault="008F778B" w:rsidP="008F778B">
            <w:pPr>
              <w:jc w:val="right"/>
              <w:rPr>
                <w:rFonts w:ascii="Century Gothic" w:eastAsia="Times New Roman" w:hAnsi="Century Gothic" w:cs="Calibri"/>
                <w:color w:val="000000"/>
                <w:szCs w:val="22"/>
                <w:lang w:eastAsia="en-US"/>
              </w:rPr>
            </w:pPr>
            <w:r w:rsidRPr="000D03BB">
              <w:rPr>
                <w:rFonts w:ascii="Century Gothic" w:eastAsia="Times New Roman" w:hAnsi="Century Gothic" w:cs="Calibri"/>
                <w:color w:val="000000"/>
                <w:szCs w:val="22"/>
                <w:lang w:eastAsia="en-US"/>
              </w:rPr>
              <w:t>59</w:t>
            </w:r>
          </w:p>
        </w:tc>
      </w:tr>
      <w:tr w:rsidR="00680A2A" w:rsidRPr="008F778B" w14:paraId="294EC060" w14:textId="77777777" w:rsidTr="008F778B">
        <w:trPr>
          <w:trHeight w:val="615"/>
        </w:trPr>
        <w:tc>
          <w:tcPr>
            <w:tcW w:w="1540" w:type="dxa"/>
            <w:tcBorders>
              <w:top w:val="nil"/>
              <w:left w:val="single" w:sz="8" w:space="0" w:color="auto"/>
              <w:bottom w:val="single" w:sz="8" w:space="0" w:color="auto"/>
              <w:right w:val="single" w:sz="8" w:space="0" w:color="auto"/>
            </w:tcBorders>
            <w:shd w:val="clear" w:color="000000" w:fill="D9D9D9"/>
            <w:vAlign w:val="center"/>
            <w:hideMark/>
          </w:tcPr>
          <w:p w14:paraId="1DE294AF" w14:textId="6C46FCB9" w:rsidR="008F778B" w:rsidRPr="000D03BB" w:rsidRDefault="008F778B" w:rsidP="008F778B">
            <w:pPr>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 xml:space="preserve"> </w:t>
            </w:r>
            <w:r w:rsidR="0044250A" w:rsidRPr="000D03BB">
              <w:rPr>
                <w:rFonts w:ascii="Century Gothic" w:eastAsia="Times New Roman" w:hAnsi="Century Gothic" w:cs="Calibri"/>
                <w:b/>
                <w:bCs/>
                <w:color w:val="000000"/>
                <w:szCs w:val="22"/>
                <w:lang w:eastAsia="en-US"/>
              </w:rPr>
              <w:t>TOTAL /</w:t>
            </w:r>
            <w:r w:rsidRPr="000D03BB">
              <w:rPr>
                <w:rFonts w:ascii="Century Gothic" w:eastAsia="Times New Roman" w:hAnsi="Century Gothic" w:cs="Calibri"/>
                <w:b/>
                <w:bCs/>
                <w:color w:val="000000"/>
                <w:szCs w:val="22"/>
                <w:lang w:eastAsia="en-US"/>
              </w:rPr>
              <w:t xml:space="preserve"> AVERAGE %</w:t>
            </w:r>
          </w:p>
        </w:tc>
        <w:tc>
          <w:tcPr>
            <w:tcW w:w="960" w:type="dxa"/>
            <w:tcBorders>
              <w:top w:val="nil"/>
              <w:left w:val="nil"/>
              <w:bottom w:val="single" w:sz="8" w:space="0" w:color="auto"/>
              <w:right w:val="single" w:sz="8" w:space="0" w:color="auto"/>
            </w:tcBorders>
            <w:shd w:val="clear" w:color="000000" w:fill="D9D9D9"/>
            <w:vAlign w:val="center"/>
            <w:hideMark/>
          </w:tcPr>
          <w:p w14:paraId="186EC2BC" w14:textId="7E2FE3B8" w:rsidR="008F778B" w:rsidRPr="000D03BB" w:rsidRDefault="008F778B" w:rsidP="008F778B">
            <w:pPr>
              <w:jc w:val="right"/>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1064</w:t>
            </w:r>
          </w:p>
        </w:tc>
        <w:tc>
          <w:tcPr>
            <w:tcW w:w="960" w:type="dxa"/>
            <w:tcBorders>
              <w:top w:val="nil"/>
              <w:left w:val="nil"/>
              <w:bottom w:val="single" w:sz="8" w:space="0" w:color="auto"/>
              <w:right w:val="single" w:sz="8" w:space="0" w:color="auto"/>
            </w:tcBorders>
            <w:shd w:val="clear" w:color="000000" w:fill="D9D9D9"/>
            <w:vAlign w:val="center"/>
            <w:hideMark/>
          </w:tcPr>
          <w:p w14:paraId="6C3172DF" w14:textId="77777777" w:rsidR="008F778B" w:rsidRPr="000D03BB" w:rsidRDefault="008F778B" w:rsidP="008F778B">
            <w:pPr>
              <w:jc w:val="right"/>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73%</w:t>
            </w:r>
          </w:p>
        </w:tc>
        <w:tc>
          <w:tcPr>
            <w:tcW w:w="960" w:type="dxa"/>
            <w:tcBorders>
              <w:top w:val="nil"/>
              <w:left w:val="nil"/>
              <w:bottom w:val="single" w:sz="8" w:space="0" w:color="auto"/>
              <w:right w:val="single" w:sz="8" w:space="0" w:color="auto"/>
            </w:tcBorders>
            <w:shd w:val="clear" w:color="000000" w:fill="D9D9D9"/>
            <w:vAlign w:val="center"/>
            <w:hideMark/>
          </w:tcPr>
          <w:p w14:paraId="4010C747" w14:textId="77777777" w:rsidR="008F778B" w:rsidRPr="000D03BB" w:rsidRDefault="008F778B" w:rsidP="008F778B">
            <w:pPr>
              <w:jc w:val="right"/>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260</w:t>
            </w:r>
          </w:p>
        </w:tc>
        <w:tc>
          <w:tcPr>
            <w:tcW w:w="960" w:type="dxa"/>
            <w:tcBorders>
              <w:top w:val="nil"/>
              <w:left w:val="nil"/>
              <w:bottom w:val="single" w:sz="8" w:space="0" w:color="auto"/>
              <w:right w:val="single" w:sz="8" w:space="0" w:color="auto"/>
            </w:tcBorders>
            <w:shd w:val="clear" w:color="000000" w:fill="D9D9D9"/>
            <w:vAlign w:val="center"/>
            <w:hideMark/>
          </w:tcPr>
          <w:p w14:paraId="5EB9C8C8" w14:textId="77777777" w:rsidR="008F778B" w:rsidRPr="000D03BB" w:rsidRDefault="008F778B" w:rsidP="008F778B">
            <w:pPr>
              <w:jc w:val="right"/>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22%</w:t>
            </w:r>
          </w:p>
        </w:tc>
        <w:tc>
          <w:tcPr>
            <w:tcW w:w="960" w:type="dxa"/>
            <w:tcBorders>
              <w:top w:val="nil"/>
              <w:left w:val="nil"/>
              <w:bottom w:val="single" w:sz="8" w:space="0" w:color="auto"/>
              <w:right w:val="single" w:sz="8" w:space="0" w:color="auto"/>
            </w:tcBorders>
            <w:shd w:val="clear" w:color="000000" w:fill="D9D9D9"/>
            <w:vAlign w:val="center"/>
            <w:hideMark/>
          </w:tcPr>
          <w:p w14:paraId="18588044" w14:textId="77777777" w:rsidR="008F778B" w:rsidRPr="000D03BB" w:rsidRDefault="008F778B" w:rsidP="008F778B">
            <w:pPr>
              <w:jc w:val="right"/>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64</w:t>
            </w:r>
          </w:p>
        </w:tc>
        <w:tc>
          <w:tcPr>
            <w:tcW w:w="960" w:type="dxa"/>
            <w:tcBorders>
              <w:top w:val="nil"/>
              <w:left w:val="nil"/>
              <w:bottom w:val="single" w:sz="8" w:space="0" w:color="auto"/>
              <w:right w:val="single" w:sz="8" w:space="0" w:color="auto"/>
            </w:tcBorders>
            <w:shd w:val="clear" w:color="000000" w:fill="D9D9D9"/>
            <w:vAlign w:val="center"/>
            <w:hideMark/>
          </w:tcPr>
          <w:p w14:paraId="163D81DA" w14:textId="77777777" w:rsidR="008F778B" w:rsidRPr="000D03BB" w:rsidRDefault="008F778B" w:rsidP="008F778B">
            <w:pPr>
              <w:jc w:val="right"/>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5%</w:t>
            </w:r>
          </w:p>
        </w:tc>
        <w:tc>
          <w:tcPr>
            <w:tcW w:w="960" w:type="dxa"/>
            <w:tcBorders>
              <w:top w:val="nil"/>
              <w:left w:val="nil"/>
              <w:bottom w:val="single" w:sz="8" w:space="0" w:color="auto"/>
              <w:right w:val="single" w:sz="8" w:space="0" w:color="auto"/>
            </w:tcBorders>
            <w:shd w:val="clear" w:color="000000" w:fill="D9D9D9"/>
            <w:vAlign w:val="center"/>
            <w:hideMark/>
          </w:tcPr>
          <w:p w14:paraId="50AB572B" w14:textId="77777777" w:rsidR="008F778B" w:rsidRPr="000D03BB" w:rsidRDefault="008F778B" w:rsidP="008F778B">
            <w:pPr>
              <w:jc w:val="right"/>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1</w:t>
            </w:r>
          </w:p>
        </w:tc>
        <w:tc>
          <w:tcPr>
            <w:tcW w:w="960" w:type="dxa"/>
            <w:tcBorders>
              <w:top w:val="nil"/>
              <w:left w:val="nil"/>
              <w:bottom w:val="single" w:sz="8" w:space="0" w:color="auto"/>
              <w:right w:val="single" w:sz="8" w:space="0" w:color="auto"/>
            </w:tcBorders>
            <w:shd w:val="clear" w:color="000000" w:fill="D9D9D9"/>
            <w:vAlign w:val="center"/>
            <w:hideMark/>
          </w:tcPr>
          <w:p w14:paraId="583BF7B1" w14:textId="77777777" w:rsidR="008F778B" w:rsidRPr="000D03BB" w:rsidRDefault="008F778B" w:rsidP="008F778B">
            <w:pPr>
              <w:jc w:val="right"/>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0%</w:t>
            </w:r>
          </w:p>
        </w:tc>
        <w:tc>
          <w:tcPr>
            <w:tcW w:w="960" w:type="dxa"/>
            <w:tcBorders>
              <w:top w:val="nil"/>
              <w:left w:val="nil"/>
              <w:bottom w:val="single" w:sz="8" w:space="0" w:color="auto"/>
              <w:right w:val="single" w:sz="8" w:space="0" w:color="auto"/>
            </w:tcBorders>
            <w:shd w:val="clear" w:color="000000" w:fill="D9D9D9"/>
            <w:vAlign w:val="center"/>
            <w:hideMark/>
          </w:tcPr>
          <w:p w14:paraId="0F9A30CC" w14:textId="0E3FFA2A" w:rsidR="008F778B" w:rsidRPr="000D03BB" w:rsidRDefault="008F778B" w:rsidP="008F778B">
            <w:pPr>
              <w:jc w:val="right"/>
              <w:rPr>
                <w:rFonts w:ascii="Century Gothic" w:eastAsia="Times New Roman" w:hAnsi="Century Gothic" w:cs="Calibri"/>
                <w:b/>
                <w:bCs/>
                <w:color w:val="000000"/>
                <w:szCs w:val="22"/>
                <w:lang w:eastAsia="en-US"/>
              </w:rPr>
            </w:pPr>
            <w:r w:rsidRPr="000D03BB">
              <w:rPr>
                <w:rFonts w:ascii="Century Gothic" w:eastAsia="Times New Roman" w:hAnsi="Century Gothic" w:cs="Calibri"/>
                <w:b/>
                <w:bCs/>
                <w:color w:val="000000"/>
                <w:szCs w:val="22"/>
                <w:lang w:eastAsia="en-US"/>
              </w:rPr>
              <w:t>1389</w:t>
            </w:r>
          </w:p>
        </w:tc>
      </w:tr>
    </w:tbl>
    <w:p w14:paraId="46E1342B" w14:textId="77777777" w:rsidR="008F778B" w:rsidRDefault="008F778B" w:rsidP="008F778B">
      <w:pPr>
        <w:rPr>
          <w:rFonts w:ascii="Times New Roman" w:eastAsia="Times New Roman" w:hAnsi="Times New Roman"/>
          <w:szCs w:val="22"/>
        </w:rPr>
      </w:pPr>
    </w:p>
    <w:p w14:paraId="42C04AB8" w14:textId="77777777" w:rsidR="008F778B" w:rsidRDefault="008F778B" w:rsidP="008F778B">
      <w:pPr>
        <w:rPr>
          <w:rFonts w:ascii="Times New Roman" w:eastAsia="Times New Roman" w:hAnsi="Times New Roman"/>
          <w:szCs w:val="22"/>
        </w:rPr>
      </w:pPr>
    </w:p>
    <w:p w14:paraId="41957950" w14:textId="77777777" w:rsidR="008F778B" w:rsidRDefault="008F778B" w:rsidP="00B777E5">
      <w:pPr>
        <w:rPr>
          <w:rFonts w:ascii="Times New Roman" w:eastAsia="Times New Roman" w:hAnsi="Times New Roman"/>
          <w:szCs w:val="22"/>
        </w:rPr>
      </w:pPr>
    </w:p>
    <w:p w14:paraId="21E88E5F" w14:textId="77777777" w:rsidR="006A0E45" w:rsidRDefault="006A0E45" w:rsidP="00B777E5">
      <w:pPr>
        <w:rPr>
          <w:rFonts w:ascii="Times New Roman" w:eastAsia="Times New Roman" w:hAnsi="Times New Roman"/>
          <w:szCs w:val="22"/>
        </w:rPr>
      </w:pPr>
    </w:p>
    <w:p w14:paraId="59967D82" w14:textId="717F4A02" w:rsidR="006A0E45" w:rsidRPr="00B777E5" w:rsidRDefault="006A0E45" w:rsidP="00B777E5">
      <w:pPr>
        <w:rPr>
          <w:rFonts w:ascii="Times New Roman" w:eastAsia="Times New Roman" w:hAnsi="Times New Roman"/>
          <w:szCs w:val="22"/>
        </w:rPr>
      </w:pPr>
      <w:r>
        <w:rPr>
          <w:noProof/>
        </w:rPr>
        <w:drawing>
          <wp:inline distT="0" distB="0" distL="0" distR="0" wp14:anchorId="3B471FCB" wp14:editId="565C9EEC">
            <wp:extent cx="6436659" cy="3030220"/>
            <wp:effectExtent l="0" t="0" r="2540" b="17780"/>
            <wp:docPr id="1654268130" name="Chart 1">
              <a:extLst xmlns:a="http://schemas.openxmlformats.org/drawingml/2006/main">
                <a:ext uri="{FF2B5EF4-FFF2-40B4-BE49-F238E27FC236}">
                  <a16:creationId xmlns:a16="http://schemas.microsoft.com/office/drawing/2014/main" id="{D6239F2A-41AA-441B-AF40-EA6A46A7D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D33202" w14:textId="3A01E8AA" w:rsidR="0E6C54AB" w:rsidRDefault="0E6C54AB" w:rsidP="46B3BF7C">
      <w:pPr>
        <w:rPr>
          <w:rFonts w:eastAsia="MS PGothic"/>
          <w:szCs w:val="22"/>
        </w:rPr>
      </w:pPr>
    </w:p>
    <w:p w14:paraId="7DE04600" w14:textId="549C8F20" w:rsidR="7AC9FF43" w:rsidRDefault="7AC9FF43" w:rsidP="46B3BF7C"/>
    <w:p w14:paraId="516D24AC" w14:textId="77AE3AC3" w:rsidR="00861A41" w:rsidRPr="00861A41" w:rsidRDefault="00861A41" w:rsidP="00861A41">
      <w:pPr>
        <w:rPr>
          <w:rFonts w:ascii="Times New Roman" w:eastAsia="Times New Roman" w:hAnsi="Times New Roman"/>
          <w:sz w:val="24"/>
          <w:lang w:eastAsia="en-US"/>
        </w:rPr>
      </w:pPr>
    </w:p>
    <w:p w14:paraId="4EAB0565" w14:textId="366E83BA" w:rsidR="00FC071D" w:rsidRDefault="00FC071D" w:rsidP="0E6C54AB">
      <w:pPr>
        <w:rPr>
          <w:rFonts w:ascii="Times New Roman" w:hAnsi="Times New Roman"/>
        </w:rPr>
      </w:pPr>
    </w:p>
    <w:p w14:paraId="74414C78" w14:textId="77777777" w:rsidR="00EE1982" w:rsidRDefault="00EE1982" w:rsidP="0E6C54AB">
      <w:pPr>
        <w:rPr>
          <w:rFonts w:ascii="Times New Roman" w:hAnsi="Times New Roman"/>
        </w:rPr>
      </w:pPr>
    </w:p>
    <w:p w14:paraId="56DDBD2E" w14:textId="16E3AF1D" w:rsidR="00D520AC" w:rsidRPr="00AC5087" w:rsidRDefault="0D0DCAFA">
      <w:pPr>
        <w:rPr>
          <w:rStyle w:val="IntenseEmphasis"/>
          <w:rFonts w:ascii="Century Gothic" w:hAnsi="Century Gothic"/>
          <w:color w:val="auto"/>
          <w:sz w:val="22"/>
          <w:szCs w:val="22"/>
        </w:rPr>
      </w:pPr>
      <w:r w:rsidRPr="00AC5087">
        <w:rPr>
          <w:rStyle w:val="IntenseEmphasis"/>
          <w:rFonts w:ascii="Century Gothic" w:hAnsi="Century Gothic"/>
          <w:color w:val="auto"/>
          <w:sz w:val="22"/>
          <w:szCs w:val="22"/>
        </w:rPr>
        <w:lastRenderedPageBreak/>
        <w:t>Outcomes</w:t>
      </w:r>
    </w:p>
    <w:p w14:paraId="1A93AEC5" w14:textId="0733ECD6" w:rsidR="00D520AC" w:rsidRPr="00AC5087" w:rsidRDefault="00D520AC" w:rsidP="0E6C54AB">
      <w:pPr>
        <w:rPr>
          <w:rStyle w:val="IntenseEmphasis"/>
          <w:rFonts w:ascii="Century Gothic" w:hAnsi="Century Gothic"/>
          <w:color w:val="auto"/>
          <w:sz w:val="22"/>
          <w:szCs w:val="22"/>
        </w:rPr>
      </w:pPr>
    </w:p>
    <w:p w14:paraId="1E6326F7" w14:textId="33C8E55F" w:rsidR="00D520AC" w:rsidRPr="00AC5087" w:rsidRDefault="00DE679F" w:rsidP="0E6C54AB">
      <w:pPr>
        <w:rPr>
          <w:rStyle w:val="IntenseEmphasis"/>
          <w:rFonts w:ascii="Century Gothic" w:hAnsi="Century Gothic"/>
          <w:color w:val="auto"/>
          <w:sz w:val="22"/>
          <w:szCs w:val="22"/>
        </w:rPr>
      </w:pPr>
      <w:r>
        <w:rPr>
          <w:rStyle w:val="IntenseEmphasis"/>
          <w:rFonts w:ascii="Century Gothic" w:hAnsi="Century Gothic"/>
          <w:color w:val="auto"/>
          <w:sz w:val="22"/>
          <w:szCs w:val="22"/>
        </w:rPr>
        <w:t xml:space="preserve"> Internal</w:t>
      </w:r>
      <w:r w:rsidR="6F174C93" w:rsidRPr="00AC5087">
        <w:rPr>
          <w:rStyle w:val="IntenseEmphasis"/>
          <w:rFonts w:ascii="Century Gothic" w:hAnsi="Century Gothic"/>
          <w:color w:val="auto"/>
          <w:sz w:val="22"/>
          <w:szCs w:val="22"/>
        </w:rPr>
        <w:t xml:space="preserve"> Metrics</w:t>
      </w:r>
    </w:p>
    <w:tbl>
      <w:tblPr>
        <w:tblStyle w:val="TableGrid"/>
        <w:tblW w:w="9502" w:type="dxa"/>
        <w:tblLook w:val="04A0" w:firstRow="1" w:lastRow="0" w:firstColumn="1" w:lastColumn="0" w:noHBand="0" w:noVBand="1"/>
      </w:tblPr>
      <w:tblGrid>
        <w:gridCol w:w="1959"/>
        <w:gridCol w:w="1267"/>
        <w:gridCol w:w="2145"/>
        <w:gridCol w:w="2691"/>
        <w:gridCol w:w="1440"/>
      </w:tblGrid>
      <w:tr w:rsidR="00193B19" w:rsidRPr="00712BEB" w14:paraId="310B5793" w14:textId="77777777" w:rsidTr="090392C3">
        <w:trPr>
          <w:trHeight w:val="504"/>
        </w:trPr>
        <w:tc>
          <w:tcPr>
            <w:tcW w:w="9502" w:type="dxa"/>
            <w:gridSpan w:val="5"/>
            <w:tcBorders>
              <w:top w:val="nil"/>
              <w:left w:val="single" w:sz="6" w:space="0" w:color="BFBFBF" w:themeColor="background1" w:themeShade="BF"/>
              <w:bottom w:val="single" w:sz="24" w:space="0" w:color="B5333C" w:themeColor="accent2"/>
              <w:right w:val="nil"/>
            </w:tcBorders>
            <w:shd w:val="clear" w:color="auto" w:fill="808080" w:themeFill="background1" w:themeFillShade="80"/>
            <w:hideMark/>
          </w:tcPr>
          <w:p w14:paraId="3E03C0E1" w14:textId="77777777" w:rsidR="00193B19" w:rsidRPr="00AC5087" w:rsidRDefault="00193B19" w:rsidP="004C65D3">
            <w:pPr>
              <w:jc w:val="center"/>
              <w:rPr>
                <w:rFonts w:ascii="Century Gothic" w:hAnsi="Century Gothic"/>
                <w:szCs w:val="22"/>
              </w:rPr>
            </w:pPr>
            <w:r w:rsidRPr="00AC5087">
              <w:rPr>
                <w:rFonts w:ascii="Century Gothic" w:hAnsi="Century Gothic"/>
                <w:szCs w:val="22"/>
              </w:rPr>
              <w:t>HC #2: Units of Housing Preserved</w:t>
            </w:r>
          </w:p>
        </w:tc>
      </w:tr>
      <w:tr w:rsidR="00193B19" w:rsidRPr="00712BEB" w14:paraId="70964C0D" w14:textId="77777777" w:rsidTr="090392C3">
        <w:trPr>
          <w:trHeight w:val="825"/>
        </w:trPr>
        <w:tc>
          <w:tcPr>
            <w:tcW w:w="2010" w:type="dxa"/>
            <w:tcBorders>
              <w:top w:val="single" w:sz="24" w:space="0" w:color="B5333C" w:themeColor="accent2"/>
              <w:left w:val="nil"/>
              <w:bottom w:val="nil"/>
              <w:right w:val="single" w:sz="6" w:space="0" w:color="D9D9D9" w:themeColor="background1" w:themeShade="D9"/>
            </w:tcBorders>
            <w:shd w:val="clear" w:color="auto" w:fill="BFBFBF" w:themeFill="background1" w:themeFillShade="BF"/>
            <w:vAlign w:val="center"/>
            <w:hideMark/>
          </w:tcPr>
          <w:p w14:paraId="1B2B6218" w14:textId="77777777" w:rsidR="00193B19" w:rsidRPr="00AC5087" w:rsidRDefault="00193B19" w:rsidP="655A2699">
            <w:pPr>
              <w:jc w:val="center"/>
              <w:rPr>
                <w:rFonts w:ascii="Century Gothic" w:hAnsi="Century Gothic"/>
                <w:b/>
                <w:bCs/>
              </w:rPr>
            </w:pPr>
            <w:r w:rsidRPr="00AC5087">
              <w:rPr>
                <w:rFonts w:ascii="Century Gothic" w:hAnsi="Century Gothic"/>
                <w:b/>
                <w:bCs/>
              </w:rPr>
              <w:t>Unit of Measurement</w:t>
            </w:r>
          </w:p>
        </w:tc>
        <w:tc>
          <w:tcPr>
            <w:tcW w:w="1065" w:type="dxa"/>
            <w:tcBorders>
              <w:top w:val="single" w:sz="24" w:space="0" w:color="B5333C" w:themeColor="accent2"/>
              <w:left w:val="single" w:sz="6" w:space="0" w:color="D9D9D9" w:themeColor="background1" w:themeShade="D9"/>
              <w:bottom w:val="nil"/>
              <w:right w:val="single" w:sz="6" w:space="0" w:color="D9D9D9" w:themeColor="background1" w:themeShade="D9"/>
            </w:tcBorders>
            <w:shd w:val="clear" w:color="auto" w:fill="BFBFBF" w:themeFill="background1" w:themeFillShade="BF"/>
            <w:vAlign w:val="center"/>
            <w:hideMark/>
          </w:tcPr>
          <w:p w14:paraId="6A5EF554" w14:textId="77777777" w:rsidR="00193B19" w:rsidRPr="00AC5087" w:rsidRDefault="00193B19" w:rsidP="655A2699">
            <w:pPr>
              <w:jc w:val="center"/>
              <w:rPr>
                <w:rFonts w:ascii="Century Gothic" w:hAnsi="Century Gothic"/>
                <w:b/>
                <w:bCs/>
              </w:rPr>
            </w:pPr>
            <w:r w:rsidRPr="00AC5087">
              <w:rPr>
                <w:rFonts w:ascii="Century Gothic" w:hAnsi="Century Gothic"/>
                <w:b/>
                <w:bCs/>
              </w:rPr>
              <w:t>Baseline</w:t>
            </w:r>
          </w:p>
        </w:tc>
        <w:tc>
          <w:tcPr>
            <w:tcW w:w="2145" w:type="dxa"/>
            <w:tcBorders>
              <w:top w:val="single" w:sz="24" w:space="0" w:color="B5333C" w:themeColor="accent2"/>
              <w:left w:val="single" w:sz="6" w:space="0" w:color="D9D9D9" w:themeColor="background1" w:themeShade="D9"/>
              <w:bottom w:val="nil"/>
              <w:right w:val="single" w:sz="6" w:space="0" w:color="D9D9D9" w:themeColor="background1" w:themeShade="D9"/>
            </w:tcBorders>
            <w:shd w:val="clear" w:color="auto" w:fill="BFBFBF" w:themeFill="background1" w:themeFillShade="BF"/>
            <w:vAlign w:val="center"/>
            <w:hideMark/>
          </w:tcPr>
          <w:p w14:paraId="57F683B6" w14:textId="77777777" w:rsidR="00193B19" w:rsidRPr="00AC5087" w:rsidRDefault="00193B19" w:rsidP="655A2699">
            <w:pPr>
              <w:jc w:val="center"/>
              <w:rPr>
                <w:rFonts w:ascii="Century Gothic" w:hAnsi="Century Gothic"/>
                <w:b/>
                <w:bCs/>
              </w:rPr>
            </w:pPr>
            <w:r w:rsidRPr="00AC5087">
              <w:rPr>
                <w:rFonts w:ascii="Century Gothic" w:hAnsi="Century Gothic"/>
                <w:b/>
                <w:bCs/>
              </w:rPr>
              <w:t>Benchmark*</w:t>
            </w:r>
          </w:p>
        </w:tc>
        <w:tc>
          <w:tcPr>
            <w:tcW w:w="2962" w:type="dxa"/>
            <w:tcBorders>
              <w:top w:val="single" w:sz="24" w:space="0" w:color="B5333C" w:themeColor="accent2"/>
              <w:left w:val="single" w:sz="6" w:space="0" w:color="D9D9D9" w:themeColor="background1" w:themeShade="D9"/>
              <w:bottom w:val="nil"/>
              <w:right w:val="single" w:sz="6" w:space="0" w:color="D9D9D9" w:themeColor="background1" w:themeShade="D9"/>
            </w:tcBorders>
            <w:shd w:val="clear" w:color="auto" w:fill="BFBFBF" w:themeFill="background1" w:themeFillShade="BF"/>
            <w:vAlign w:val="center"/>
            <w:hideMark/>
          </w:tcPr>
          <w:p w14:paraId="2727C20C" w14:textId="77777777" w:rsidR="00193B19" w:rsidRPr="00AC5087" w:rsidRDefault="00193B19" w:rsidP="655A2699">
            <w:pPr>
              <w:jc w:val="center"/>
              <w:rPr>
                <w:rFonts w:ascii="Century Gothic" w:hAnsi="Century Gothic"/>
                <w:b/>
                <w:bCs/>
              </w:rPr>
            </w:pPr>
            <w:r w:rsidRPr="00AC5087">
              <w:rPr>
                <w:rFonts w:ascii="Century Gothic" w:hAnsi="Century Gothic"/>
                <w:b/>
                <w:bCs/>
              </w:rPr>
              <w:t>Outcome</w:t>
            </w:r>
          </w:p>
        </w:tc>
        <w:tc>
          <w:tcPr>
            <w:tcW w:w="1320" w:type="dxa"/>
            <w:tcBorders>
              <w:top w:val="single" w:sz="24" w:space="0" w:color="B5333C" w:themeColor="accent2"/>
              <w:left w:val="single" w:sz="6" w:space="0" w:color="D9D9D9" w:themeColor="background1" w:themeShade="D9"/>
              <w:bottom w:val="nil"/>
              <w:right w:val="nil"/>
            </w:tcBorders>
            <w:shd w:val="clear" w:color="auto" w:fill="BFBFBF" w:themeFill="background1" w:themeFillShade="BF"/>
            <w:vAlign w:val="center"/>
            <w:hideMark/>
          </w:tcPr>
          <w:p w14:paraId="3B4C1389" w14:textId="77777777" w:rsidR="00193B19" w:rsidRPr="00AC5087" w:rsidRDefault="00193B19" w:rsidP="655A2699">
            <w:pPr>
              <w:jc w:val="center"/>
              <w:rPr>
                <w:rFonts w:ascii="Century Gothic" w:hAnsi="Century Gothic"/>
                <w:b/>
                <w:bCs/>
              </w:rPr>
            </w:pPr>
            <w:r w:rsidRPr="00AC5087">
              <w:rPr>
                <w:rFonts w:ascii="Century Gothic" w:hAnsi="Century Gothic"/>
                <w:b/>
                <w:bCs/>
              </w:rPr>
              <w:t>Benchmark Achieved?</w:t>
            </w:r>
          </w:p>
        </w:tc>
      </w:tr>
      <w:tr w:rsidR="00193B19" w:rsidRPr="00712BEB" w14:paraId="3D7D58BE" w14:textId="77777777" w:rsidTr="090392C3">
        <w:trPr>
          <w:trHeight w:val="1875"/>
        </w:trPr>
        <w:tc>
          <w:tcPr>
            <w:tcW w:w="2010" w:type="dxa"/>
            <w:tcBorders>
              <w:top w:val="nil"/>
              <w:left w:val="nil"/>
              <w:bottom w:val="single" w:sz="6" w:space="0" w:color="D9D9D9" w:themeColor="background1" w:themeShade="D9"/>
              <w:right w:val="single" w:sz="6" w:space="0" w:color="D9D9D9" w:themeColor="background1" w:themeShade="D9"/>
            </w:tcBorders>
            <w:hideMark/>
          </w:tcPr>
          <w:p w14:paraId="50F09465" w14:textId="77777777" w:rsidR="00193B19" w:rsidRPr="00AC5087" w:rsidRDefault="00193B19" w:rsidP="004C65D3">
            <w:pPr>
              <w:rPr>
                <w:rFonts w:ascii="Century Gothic" w:hAnsi="Century Gothic"/>
                <w:szCs w:val="22"/>
              </w:rPr>
            </w:pPr>
            <w:r w:rsidRPr="00AC5087">
              <w:rPr>
                <w:rFonts w:ascii="Century Gothic" w:hAnsi="Century Gothic"/>
                <w:szCs w:val="22"/>
              </w:rPr>
              <w:t xml:space="preserve">Number of housing units </w:t>
            </w:r>
            <w:proofErr w:type="gramStart"/>
            <w:r w:rsidRPr="00AC5087">
              <w:rPr>
                <w:rFonts w:ascii="Century Gothic" w:hAnsi="Century Gothic"/>
                <w:szCs w:val="22"/>
              </w:rPr>
              <w:t>preserved</w:t>
            </w:r>
            <w:proofErr w:type="gramEnd"/>
            <w:r w:rsidRPr="00AC5087">
              <w:rPr>
                <w:rFonts w:ascii="Century Gothic" w:hAnsi="Century Gothic"/>
                <w:szCs w:val="22"/>
              </w:rPr>
              <w:t xml:space="preserve"> for households at or below 80% AMI that would otherwise not be available</w:t>
            </w:r>
          </w:p>
        </w:tc>
        <w:tc>
          <w:tcPr>
            <w:tcW w:w="1065"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hideMark/>
          </w:tcPr>
          <w:p w14:paraId="3879C254" w14:textId="77777777" w:rsidR="00193B19" w:rsidRPr="00AC5087" w:rsidRDefault="00193B19" w:rsidP="004C65D3">
            <w:pPr>
              <w:rPr>
                <w:rFonts w:ascii="Century Gothic" w:hAnsi="Century Gothic"/>
                <w:szCs w:val="22"/>
              </w:rPr>
            </w:pPr>
            <w:r w:rsidRPr="00AC5087">
              <w:rPr>
                <w:rFonts w:ascii="Century Gothic" w:hAnsi="Century Gothic"/>
                <w:szCs w:val="22"/>
              </w:rPr>
              <w:t>1,970 occupied units (baseline 2001)</w:t>
            </w:r>
          </w:p>
        </w:tc>
        <w:tc>
          <w:tcPr>
            <w:tcW w:w="2145"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noWrap/>
            <w:hideMark/>
          </w:tcPr>
          <w:p w14:paraId="3220EFFA" w14:textId="77777777" w:rsidR="00193B19" w:rsidRPr="00AC5087" w:rsidRDefault="00193B19" w:rsidP="004C65D3">
            <w:pPr>
              <w:rPr>
                <w:rFonts w:ascii="Century Gothic" w:hAnsi="Century Gothic"/>
                <w:szCs w:val="22"/>
              </w:rPr>
            </w:pPr>
            <w:r w:rsidRPr="00AC5087">
              <w:rPr>
                <w:rFonts w:ascii="Century Gothic" w:hAnsi="Century Gothic"/>
                <w:szCs w:val="22"/>
              </w:rPr>
              <w:t xml:space="preserve">Decrease of not more than 5% from previous year (limited to de </w:t>
            </w:r>
            <w:proofErr w:type="spellStart"/>
            <w:r w:rsidRPr="00AC5087">
              <w:rPr>
                <w:rFonts w:ascii="Century Gothic" w:hAnsi="Century Gothic"/>
                <w:szCs w:val="22"/>
              </w:rPr>
              <w:t>minimus</w:t>
            </w:r>
            <w:proofErr w:type="spellEnd"/>
            <w:r w:rsidRPr="00AC5087">
              <w:rPr>
                <w:rFonts w:ascii="Century Gothic" w:hAnsi="Century Gothic"/>
                <w:szCs w:val="22"/>
              </w:rPr>
              <w:t xml:space="preserve"> reduction); </w:t>
            </w:r>
          </w:p>
        </w:tc>
        <w:tc>
          <w:tcPr>
            <w:tcW w:w="2962"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hideMark/>
          </w:tcPr>
          <w:p w14:paraId="72D54DAF" w14:textId="587DF4A8" w:rsidR="0832F042" w:rsidRPr="00AC5087" w:rsidRDefault="0832F042" w:rsidP="090392C3">
            <w:pPr>
              <w:rPr>
                <w:rFonts w:ascii="Century Gothic" w:eastAsia="Times New Roman" w:hAnsi="Century Gothic"/>
              </w:rPr>
            </w:pPr>
            <w:r w:rsidRPr="00AC5087">
              <w:rPr>
                <w:rFonts w:ascii="Century Gothic" w:eastAsia="Times New Roman" w:hAnsi="Century Gothic"/>
              </w:rPr>
              <w:t xml:space="preserve">2024: </w:t>
            </w:r>
            <w:r w:rsidR="00F60F30">
              <w:rPr>
                <w:rFonts w:ascii="Century Gothic" w:eastAsia="Times New Roman" w:hAnsi="Century Gothic"/>
              </w:rPr>
              <w:t>2817</w:t>
            </w:r>
          </w:p>
          <w:p w14:paraId="7384F9BF" w14:textId="34C2A991" w:rsidR="00B83268" w:rsidRPr="00AC5087" w:rsidRDefault="0ABE2E25" w:rsidP="4566E4F4">
            <w:pPr>
              <w:rPr>
                <w:rFonts w:ascii="Century Gothic" w:eastAsia="Times New Roman" w:hAnsi="Century Gothic"/>
              </w:rPr>
            </w:pPr>
            <w:r w:rsidRPr="00AC5087">
              <w:rPr>
                <w:rFonts w:ascii="Century Gothic" w:eastAsia="Times New Roman" w:hAnsi="Century Gothic"/>
              </w:rPr>
              <w:t xml:space="preserve">2023: </w:t>
            </w:r>
            <w:r w:rsidR="13258DA1" w:rsidRPr="00AC5087">
              <w:rPr>
                <w:rFonts w:ascii="Century Gothic" w:eastAsia="Times New Roman" w:hAnsi="Century Gothic"/>
              </w:rPr>
              <w:t>2,7</w:t>
            </w:r>
            <w:r w:rsidR="6663A2D4" w:rsidRPr="00AC5087">
              <w:rPr>
                <w:rFonts w:ascii="Century Gothic" w:eastAsia="Times New Roman" w:hAnsi="Century Gothic"/>
              </w:rPr>
              <w:t>88</w:t>
            </w:r>
            <w:r w:rsidR="42B793A3" w:rsidRPr="00AC5087">
              <w:rPr>
                <w:rFonts w:ascii="Century Gothic" w:eastAsia="Times New Roman" w:hAnsi="Century Gothic"/>
              </w:rPr>
              <w:t>*</w:t>
            </w:r>
          </w:p>
          <w:p w14:paraId="478DFD1A" w14:textId="0FDEDB05" w:rsidR="7108C7AC" w:rsidRPr="00AC5087" w:rsidRDefault="4DC9FCA5" w:rsidP="4566E4F4">
            <w:pPr>
              <w:rPr>
                <w:rFonts w:ascii="Century Gothic" w:eastAsia="Times New Roman" w:hAnsi="Century Gothic"/>
              </w:rPr>
            </w:pPr>
            <w:r w:rsidRPr="00AC5087">
              <w:rPr>
                <w:rFonts w:ascii="Century Gothic" w:eastAsia="Times New Roman" w:hAnsi="Century Gothic"/>
              </w:rPr>
              <w:t>2022: 2,</w:t>
            </w:r>
            <w:r w:rsidR="11FB16B9" w:rsidRPr="00AC5087">
              <w:rPr>
                <w:rFonts w:ascii="Century Gothic" w:eastAsia="Times New Roman" w:hAnsi="Century Gothic"/>
              </w:rPr>
              <w:t>246</w:t>
            </w:r>
            <w:r w:rsidRPr="00AC5087">
              <w:rPr>
                <w:rFonts w:ascii="Century Gothic" w:eastAsia="Times New Roman" w:hAnsi="Century Gothic"/>
              </w:rPr>
              <w:t xml:space="preserve"> units</w:t>
            </w:r>
          </w:p>
          <w:p w14:paraId="34A30D08" w14:textId="77777777" w:rsidR="00193B19" w:rsidRPr="00AC5087" w:rsidRDefault="51F3C30B" w:rsidP="004C65D3">
            <w:pPr>
              <w:rPr>
                <w:rFonts w:ascii="Century Gothic" w:hAnsi="Century Gothic"/>
              </w:rPr>
            </w:pPr>
            <w:r w:rsidRPr="00AC5087">
              <w:rPr>
                <w:rFonts w:ascii="Century Gothic" w:hAnsi="Century Gothic"/>
              </w:rPr>
              <w:t>2021: 2,246 units</w:t>
            </w:r>
            <w:r w:rsidR="00193B19" w:rsidRPr="00AC5087">
              <w:rPr>
                <w:rStyle w:val="FootnoteReference"/>
                <w:rFonts w:ascii="Century Gothic" w:hAnsi="Century Gothic"/>
              </w:rPr>
              <w:footnoteReference w:id="12"/>
            </w:r>
          </w:p>
          <w:p w14:paraId="6E37C31F" w14:textId="7DD7AE81" w:rsidR="00193B19" w:rsidRPr="00AC5087" w:rsidRDefault="00193B19" w:rsidP="4566E4F4">
            <w:pPr>
              <w:rPr>
                <w:rFonts w:ascii="Century Gothic" w:eastAsia="MS PGothic" w:hAnsi="Century Gothic"/>
                <w:szCs w:val="22"/>
              </w:rPr>
            </w:pPr>
          </w:p>
        </w:tc>
        <w:tc>
          <w:tcPr>
            <w:tcW w:w="1320" w:type="dxa"/>
            <w:tcBorders>
              <w:top w:val="nil"/>
              <w:left w:val="single" w:sz="6" w:space="0" w:color="D9D9D9" w:themeColor="background1" w:themeShade="D9"/>
              <w:bottom w:val="single" w:sz="6" w:space="0" w:color="D9D9D9" w:themeColor="background1" w:themeShade="D9"/>
              <w:right w:val="nil"/>
            </w:tcBorders>
            <w:hideMark/>
          </w:tcPr>
          <w:p w14:paraId="6C456695" w14:textId="764781F8" w:rsidR="00193B19" w:rsidRPr="00AC5087" w:rsidRDefault="00F60F30">
            <w:pPr>
              <w:rPr>
                <w:rFonts w:ascii="Century Gothic" w:eastAsia="MS PGothic" w:hAnsi="Century Gothic"/>
                <w:szCs w:val="22"/>
              </w:rPr>
            </w:pPr>
            <w:r>
              <w:rPr>
                <w:rFonts w:ascii="Century Gothic" w:hAnsi="Century Gothic"/>
              </w:rPr>
              <w:t>No</w:t>
            </w:r>
          </w:p>
        </w:tc>
      </w:tr>
    </w:tbl>
    <w:p w14:paraId="0CC2392F" w14:textId="77777777" w:rsidR="00193B19" w:rsidRDefault="2D2B0F03" w:rsidP="46B3BF7C">
      <w:pPr>
        <w:rPr>
          <w:rFonts w:ascii="Century Gothic" w:hAnsi="Century Gothic"/>
          <w:i/>
          <w:iCs/>
          <w:sz w:val="18"/>
          <w:szCs w:val="18"/>
        </w:rPr>
      </w:pPr>
      <w:r w:rsidRPr="00AC5087">
        <w:rPr>
          <w:rFonts w:ascii="Century Gothic" w:hAnsi="Century Gothic"/>
          <w:i/>
          <w:iCs/>
          <w:sz w:val="18"/>
          <w:szCs w:val="18"/>
        </w:rPr>
        <w:t xml:space="preserve">* ECC/HANH’s baseline of LIPH occupied units was 1,970. As ECC/HANH repositions its portfolio units transfer from LIPH to other platforms.  The benchmark is the combined number of LIPH and redeveloped units on the PBV, LIHTC and RAD platforms.  </w:t>
      </w:r>
    </w:p>
    <w:p w14:paraId="3C23A104" w14:textId="286091D6" w:rsidR="7593FA32" w:rsidRPr="00AC5087" w:rsidRDefault="7593FA32" w:rsidP="46B3BF7C">
      <w:pPr>
        <w:rPr>
          <w:rFonts w:ascii="Century Gothic" w:hAnsi="Century Gothic"/>
          <w:i/>
          <w:iCs/>
          <w:sz w:val="18"/>
          <w:szCs w:val="18"/>
        </w:rPr>
      </w:pPr>
      <w:r w:rsidRPr="00AC5087">
        <w:rPr>
          <w:rFonts w:ascii="Century Gothic" w:hAnsi="Century Gothic"/>
          <w:i/>
          <w:iCs/>
          <w:sz w:val="18"/>
          <w:szCs w:val="18"/>
        </w:rPr>
        <w:t xml:space="preserve">FY2023 </w:t>
      </w:r>
      <w:r w:rsidR="69A95CF9" w:rsidRPr="00AC5087">
        <w:rPr>
          <w:rFonts w:ascii="Century Gothic" w:hAnsi="Century Gothic"/>
          <w:i/>
          <w:iCs/>
          <w:sz w:val="18"/>
          <w:szCs w:val="18"/>
        </w:rPr>
        <w:t xml:space="preserve">- </w:t>
      </w:r>
      <w:r w:rsidRPr="00AC5087">
        <w:rPr>
          <w:rFonts w:ascii="Century Gothic" w:hAnsi="Century Gothic"/>
          <w:i/>
          <w:iCs/>
          <w:sz w:val="18"/>
          <w:szCs w:val="18"/>
        </w:rPr>
        <w:t>LIPH Units (1022) + Total ECC/HANH red</w:t>
      </w:r>
      <w:r w:rsidR="0D207B84" w:rsidRPr="00AC5087">
        <w:rPr>
          <w:rFonts w:ascii="Century Gothic" w:hAnsi="Century Gothic"/>
          <w:i/>
          <w:iCs/>
          <w:sz w:val="18"/>
          <w:szCs w:val="18"/>
        </w:rPr>
        <w:t>e</w:t>
      </w:r>
      <w:r w:rsidRPr="00AC5087">
        <w:rPr>
          <w:rFonts w:ascii="Century Gothic" w:hAnsi="Century Gothic"/>
          <w:i/>
          <w:iCs/>
          <w:sz w:val="18"/>
          <w:szCs w:val="18"/>
        </w:rPr>
        <w:t>veloped PBVS</w:t>
      </w:r>
      <w:r w:rsidR="372387D8" w:rsidRPr="00AC5087">
        <w:rPr>
          <w:rFonts w:ascii="Century Gothic" w:hAnsi="Century Gothic"/>
          <w:i/>
          <w:iCs/>
          <w:sz w:val="18"/>
          <w:szCs w:val="18"/>
        </w:rPr>
        <w:t xml:space="preserve"> (305) + Non-RAD PBVS (1461) = 2788.</w:t>
      </w:r>
    </w:p>
    <w:p w14:paraId="72628D95" w14:textId="77777777" w:rsidR="00F60F30" w:rsidRDefault="00F60F30" w:rsidP="00C43A12">
      <w:pPr>
        <w:rPr>
          <w:rFonts w:ascii="Century Gothic" w:hAnsi="Century Gothic"/>
          <w:i/>
          <w:szCs w:val="22"/>
        </w:rPr>
      </w:pPr>
    </w:p>
    <w:p w14:paraId="33998E64" w14:textId="77777777" w:rsidR="008F7BA8" w:rsidRDefault="008F7BA8" w:rsidP="00C43A12">
      <w:pPr>
        <w:rPr>
          <w:rFonts w:ascii="Century Gothic" w:hAnsi="Century Gothic"/>
          <w:i/>
          <w:szCs w:val="22"/>
        </w:rPr>
      </w:pPr>
    </w:p>
    <w:p w14:paraId="595193C9" w14:textId="1B804F03" w:rsidR="0087531D" w:rsidRPr="00AC5087" w:rsidRDefault="00E64FFF" w:rsidP="00C43A12">
      <w:pPr>
        <w:rPr>
          <w:rStyle w:val="IntenseEmphasis"/>
          <w:rFonts w:ascii="Century Gothic" w:hAnsi="Century Gothic"/>
          <w:color w:val="auto"/>
          <w:sz w:val="22"/>
          <w:szCs w:val="22"/>
        </w:rPr>
      </w:pPr>
      <w:r w:rsidRPr="00AC5087">
        <w:rPr>
          <w:rStyle w:val="IntenseEmphasis"/>
          <w:rFonts w:ascii="Century Gothic" w:hAnsi="Century Gothic"/>
          <w:color w:val="auto"/>
          <w:sz w:val="22"/>
          <w:szCs w:val="22"/>
        </w:rPr>
        <w:t>Internal Metrics</w:t>
      </w:r>
    </w:p>
    <w:p w14:paraId="3DFDB966" w14:textId="7EA48746" w:rsidR="00B459EE" w:rsidRPr="00AC5087" w:rsidRDefault="00B459EE">
      <w:pPr>
        <w:rPr>
          <w:rFonts w:ascii="Century Gothic" w:hAnsi="Century Gothic"/>
          <w:szCs w:val="22"/>
        </w:rPr>
      </w:pPr>
    </w:p>
    <w:tbl>
      <w:tblPr>
        <w:tblStyle w:val="TableGrid"/>
        <w:tblW w:w="9360" w:type="dxa"/>
        <w:tblLayout w:type="fixed"/>
        <w:tblLook w:val="04A0" w:firstRow="1" w:lastRow="0" w:firstColumn="1" w:lastColumn="0" w:noHBand="0" w:noVBand="1"/>
      </w:tblPr>
      <w:tblGrid>
        <w:gridCol w:w="1800"/>
        <w:gridCol w:w="1170"/>
        <w:gridCol w:w="2070"/>
        <w:gridCol w:w="2970"/>
        <w:gridCol w:w="1350"/>
      </w:tblGrid>
      <w:tr w:rsidR="009E30A0" w:rsidRPr="00712BEB" w14:paraId="269D9999" w14:textId="77777777" w:rsidTr="00EE1982">
        <w:trPr>
          <w:trHeight w:val="234"/>
        </w:trPr>
        <w:tc>
          <w:tcPr>
            <w:tcW w:w="9360" w:type="dxa"/>
            <w:gridSpan w:val="5"/>
            <w:tcBorders>
              <w:top w:val="nil"/>
              <w:left w:val="nil"/>
              <w:bottom w:val="single" w:sz="24" w:space="0" w:color="B5333C" w:themeColor="accent2"/>
              <w:right w:val="nil"/>
            </w:tcBorders>
            <w:shd w:val="clear" w:color="auto" w:fill="808080" w:themeFill="background1" w:themeFillShade="80"/>
          </w:tcPr>
          <w:p w14:paraId="49BE5A5E" w14:textId="45533506" w:rsidR="00B459EE" w:rsidRPr="00AC5087" w:rsidRDefault="00B459EE" w:rsidP="00532250">
            <w:pPr>
              <w:jc w:val="center"/>
              <w:rPr>
                <w:rFonts w:ascii="Century Gothic" w:hAnsi="Century Gothic"/>
                <w:b/>
                <w:i/>
                <w:szCs w:val="22"/>
              </w:rPr>
            </w:pPr>
          </w:p>
        </w:tc>
      </w:tr>
      <w:tr w:rsidR="009E30A0" w:rsidRPr="00712BEB" w14:paraId="162531C4" w14:textId="77777777" w:rsidTr="0E71204A">
        <w:trPr>
          <w:trHeight w:val="363"/>
        </w:trPr>
        <w:tc>
          <w:tcPr>
            <w:tcW w:w="9360" w:type="dxa"/>
            <w:gridSpan w:val="5"/>
            <w:tcBorders>
              <w:top w:val="single" w:sz="24" w:space="0" w:color="B5333C" w:themeColor="accent2"/>
              <w:left w:val="nil"/>
              <w:bottom w:val="single" w:sz="4" w:space="0" w:color="D9D9D9" w:themeColor="background1" w:themeShade="D9"/>
              <w:right w:val="nil"/>
            </w:tcBorders>
            <w:shd w:val="clear" w:color="auto" w:fill="808080" w:themeFill="background1" w:themeFillShade="80"/>
            <w:hideMark/>
          </w:tcPr>
          <w:p w14:paraId="071A4712" w14:textId="77777777" w:rsidR="00B459EE" w:rsidRPr="00F60F30" w:rsidRDefault="00B459EE" w:rsidP="00532250">
            <w:pPr>
              <w:jc w:val="center"/>
              <w:rPr>
                <w:rFonts w:ascii="Century Gothic" w:hAnsi="Century Gothic"/>
                <w:b/>
                <w:szCs w:val="22"/>
              </w:rPr>
            </w:pPr>
            <w:r w:rsidRPr="00F60F30">
              <w:rPr>
                <w:rFonts w:ascii="Century Gothic" w:hAnsi="Century Gothic"/>
                <w:b/>
                <w:szCs w:val="22"/>
              </w:rPr>
              <w:t>Internal Metric #9: Income eligibility</w:t>
            </w:r>
          </w:p>
        </w:tc>
      </w:tr>
      <w:tr w:rsidR="009E30A0" w:rsidRPr="00712BEB" w14:paraId="032B932F" w14:textId="77777777" w:rsidTr="0E71204A">
        <w:trPr>
          <w:trHeight w:val="656"/>
        </w:trPr>
        <w:tc>
          <w:tcPr>
            <w:tcW w:w="180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BF2F6D5" w14:textId="323835A9" w:rsidR="00E161C0" w:rsidRPr="00F60F30" w:rsidRDefault="00E161C0" w:rsidP="00853DD8">
            <w:pPr>
              <w:jc w:val="center"/>
              <w:rPr>
                <w:rFonts w:ascii="Century Gothic" w:hAnsi="Century Gothic"/>
                <w:szCs w:val="22"/>
              </w:rPr>
            </w:pPr>
            <w:r w:rsidRPr="00F60F30">
              <w:rPr>
                <w:rFonts w:ascii="Century Gothic" w:hAnsi="Century Gothic"/>
                <w:b/>
                <w:szCs w:val="22"/>
              </w:rPr>
              <w:t xml:space="preserve">Unit of </w:t>
            </w:r>
            <w:r w:rsidR="00EE1982" w:rsidRPr="00F60F30">
              <w:rPr>
                <w:rFonts w:ascii="Century Gothic" w:hAnsi="Century Gothic"/>
                <w:b/>
                <w:szCs w:val="22"/>
              </w:rPr>
              <w:t>Measurement</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2F41FEC" w14:textId="77777777" w:rsidR="00E161C0" w:rsidRPr="00F60F30" w:rsidRDefault="00E161C0" w:rsidP="00853DD8">
            <w:pPr>
              <w:jc w:val="center"/>
              <w:rPr>
                <w:rFonts w:ascii="Century Gothic" w:hAnsi="Century Gothic"/>
                <w:szCs w:val="22"/>
              </w:rPr>
            </w:pPr>
            <w:r w:rsidRPr="00F60F30">
              <w:rPr>
                <w:rFonts w:ascii="Century Gothic" w:hAnsi="Century Gothic"/>
                <w:b/>
                <w:szCs w:val="22"/>
              </w:rPr>
              <w:t>Baseline</w:t>
            </w:r>
          </w:p>
        </w:tc>
        <w:tc>
          <w:tcPr>
            <w:tcW w:w="20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A7972B6" w14:textId="77777777" w:rsidR="00E161C0" w:rsidRPr="00F60F30" w:rsidRDefault="00E161C0" w:rsidP="00853DD8">
            <w:pPr>
              <w:jc w:val="center"/>
              <w:rPr>
                <w:rFonts w:ascii="Century Gothic" w:hAnsi="Century Gothic"/>
                <w:szCs w:val="22"/>
              </w:rPr>
            </w:pPr>
            <w:r w:rsidRPr="00F60F30">
              <w:rPr>
                <w:rFonts w:ascii="Century Gothic" w:hAnsi="Century Gothic"/>
                <w:b/>
                <w:szCs w:val="22"/>
              </w:rPr>
              <w:t>Benchmark</w:t>
            </w:r>
          </w:p>
        </w:tc>
        <w:tc>
          <w:tcPr>
            <w:tcW w:w="2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03258A7" w14:textId="77777777" w:rsidR="00E161C0" w:rsidRPr="00F60F30" w:rsidRDefault="00E161C0" w:rsidP="00853DD8">
            <w:pPr>
              <w:jc w:val="center"/>
              <w:rPr>
                <w:rFonts w:ascii="Century Gothic" w:hAnsi="Century Gothic"/>
                <w:b/>
                <w:szCs w:val="22"/>
                <w:u w:val="single"/>
              </w:rPr>
            </w:pPr>
            <w:r w:rsidRPr="00F60F30">
              <w:rPr>
                <w:rFonts w:ascii="Century Gothic" w:hAnsi="Century Gothic"/>
                <w:b/>
                <w:szCs w:val="22"/>
              </w:rPr>
              <w:t>Outcome</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tcPr>
          <w:p w14:paraId="567FE2C5" w14:textId="77777777" w:rsidR="00E161C0" w:rsidRPr="00F60F30" w:rsidRDefault="00E161C0" w:rsidP="00853DD8">
            <w:pPr>
              <w:jc w:val="center"/>
              <w:rPr>
                <w:rFonts w:ascii="Century Gothic" w:hAnsi="Century Gothic"/>
                <w:szCs w:val="22"/>
              </w:rPr>
            </w:pPr>
            <w:r w:rsidRPr="00F60F30">
              <w:rPr>
                <w:rFonts w:ascii="Century Gothic" w:hAnsi="Century Gothic"/>
                <w:b/>
                <w:szCs w:val="22"/>
              </w:rPr>
              <w:t>Benchmark Achieved?</w:t>
            </w:r>
          </w:p>
        </w:tc>
      </w:tr>
      <w:tr w:rsidR="009E30A0" w:rsidRPr="00712BEB" w14:paraId="0EFE272A" w14:textId="77777777" w:rsidTr="0E71204A">
        <w:trPr>
          <w:trHeight w:val="4400"/>
        </w:trPr>
        <w:tc>
          <w:tcPr>
            <w:tcW w:w="180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9BA2FF7" w14:textId="77777777" w:rsidR="00E161C0" w:rsidRPr="008A3AE7" w:rsidRDefault="00E161C0" w:rsidP="00E161C0">
            <w:pPr>
              <w:rPr>
                <w:rFonts w:ascii="Century Gothic" w:hAnsi="Century Gothic"/>
                <w:szCs w:val="22"/>
              </w:rPr>
            </w:pPr>
            <w:r w:rsidRPr="008A3AE7">
              <w:rPr>
                <w:rFonts w:ascii="Century Gothic" w:hAnsi="Century Gothic"/>
                <w:szCs w:val="22"/>
              </w:rPr>
              <w:t>Number of households at below 30% Area Median Income (AMI)</w:t>
            </w:r>
          </w:p>
        </w:tc>
        <w:tc>
          <w:tcPr>
            <w:tcW w:w="1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6CEF1EC" w14:textId="77777777" w:rsidR="00E161C0" w:rsidRPr="008A3AE7" w:rsidRDefault="00874F0A" w:rsidP="00443123">
            <w:pPr>
              <w:rPr>
                <w:rFonts w:ascii="Century Gothic" w:hAnsi="Century Gothic"/>
                <w:szCs w:val="22"/>
              </w:rPr>
            </w:pPr>
            <w:r w:rsidRPr="008A3AE7">
              <w:rPr>
                <w:rFonts w:ascii="Century Gothic" w:hAnsi="Century Gothic"/>
                <w:szCs w:val="22"/>
              </w:rPr>
              <w:t>N/A</w:t>
            </w:r>
          </w:p>
        </w:tc>
        <w:tc>
          <w:tcPr>
            <w:tcW w:w="20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C23B763" w14:textId="77777777" w:rsidR="00E161C0" w:rsidRPr="008A3AE7" w:rsidRDefault="00E161C0" w:rsidP="00E161C0">
            <w:pPr>
              <w:rPr>
                <w:rFonts w:ascii="Century Gothic" w:hAnsi="Century Gothic"/>
                <w:szCs w:val="22"/>
              </w:rPr>
            </w:pPr>
            <w:r w:rsidRPr="008A3AE7">
              <w:rPr>
                <w:rFonts w:ascii="Century Gothic" w:hAnsi="Century Gothic"/>
                <w:szCs w:val="22"/>
              </w:rPr>
              <w:t xml:space="preserve">No less than 40% of the PBVs awarded in any year will be awarded to families with incomes at or below 30% of the </w:t>
            </w:r>
            <w:proofErr w:type="gramStart"/>
            <w:r w:rsidRPr="008A3AE7">
              <w:rPr>
                <w:rFonts w:ascii="Century Gothic" w:hAnsi="Century Gothic"/>
                <w:szCs w:val="22"/>
              </w:rPr>
              <w:t>area</w:t>
            </w:r>
            <w:proofErr w:type="gramEnd"/>
            <w:r w:rsidRPr="008A3AE7">
              <w:rPr>
                <w:rFonts w:ascii="Century Gothic" w:hAnsi="Century Gothic"/>
                <w:szCs w:val="22"/>
              </w:rPr>
              <w:t xml:space="preserve"> median income, adjusted for family size.</w:t>
            </w:r>
          </w:p>
        </w:tc>
        <w:tc>
          <w:tcPr>
            <w:tcW w:w="2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CD1B207" w14:textId="538AB806" w:rsidR="3D1723A7" w:rsidRPr="008A3AE7" w:rsidRDefault="3D1723A7" w:rsidP="090392C3">
            <w:pPr>
              <w:rPr>
                <w:rFonts w:ascii="Century Gothic" w:hAnsi="Century Gothic"/>
              </w:rPr>
            </w:pPr>
            <w:r w:rsidRPr="008A3AE7">
              <w:rPr>
                <w:rFonts w:ascii="Century Gothic" w:hAnsi="Century Gothic"/>
              </w:rPr>
              <w:t>2024</w:t>
            </w:r>
          </w:p>
          <w:p w14:paraId="2DDBD26D" w14:textId="72C3A09D" w:rsidR="5817644E" w:rsidRPr="008A3AE7" w:rsidRDefault="16B1AC3A" w:rsidP="00486062">
            <w:pPr>
              <w:pStyle w:val="ListParagraph"/>
              <w:numPr>
                <w:ilvl w:val="0"/>
                <w:numId w:val="63"/>
              </w:numPr>
              <w:ind w:left="250" w:hanging="250"/>
              <w:rPr>
                <w:rFonts w:ascii="Century Gothic" w:hAnsi="Century Gothic"/>
              </w:rPr>
            </w:pPr>
            <w:r w:rsidRPr="008A3AE7">
              <w:rPr>
                <w:rFonts w:ascii="Century Gothic" w:hAnsi="Century Gothic"/>
              </w:rPr>
              <w:t xml:space="preserve"> </w:t>
            </w:r>
            <w:r w:rsidR="7575116E" w:rsidRPr="008A3AE7">
              <w:rPr>
                <w:rFonts w:ascii="Century Gothic" w:hAnsi="Century Gothic"/>
              </w:rPr>
              <w:t xml:space="preserve">81% </w:t>
            </w:r>
            <w:r w:rsidR="4086DD2A" w:rsidRPr="008A3AE7">
              <w:rPr>
                <w:rFonts w:ascii="Century Gothic" w:hAnsi="Century Gothic"/>
              </w:rPr>
              <w:t>of</w:t>
            </w:r>
            <w:r w:rsidRPr="008A3AE7">
              <w:rPr>
                <w:rFonts w:ascii="Century Gothic" w:hAnsi="Century Gothic"/>
              </w:rPr>
              <w:t xml:space="preserve"> families in applicable developments have incomes below 30% AMI (see above Income Eligibility table for more information)</w:t>
            </w:r>
          </w:p>
          <w:p w14:paraId="6540AAE0" w14:textId="644040CF" w:rsidR="003B22C7" w:rsidRPr="008A3AE7" w:rsidRDefault="003B22C7" w:rsidP="00747668">
            <w:pPr>
              <w:pStyle w:val="ListParagraph"/>
              <w:ind w:left="250"/>
              <w:rPr>
                <w:rFonts w:ascii="Century Gothic" w:hAnsi="Century Gothic"/>
              </w:rPr>
            </w:pPr>
          </w:p>
          <w:p w14:paraId="0B46C115" w14:textId="7B18FE56" w:rsidR="3D1723A7" w:rsidRPr="008A3AE7" w:rsidRDefault="071B1D82" w:rsidP="00486062">
            <w:pPr>
              <w:pStyle w:val="ListParagraph"/>
              <w:numPr>
                <w:ilvl w:val="0"/>
                <w:numId w:val="63"/>
              </w:numPr>
              <w:ind w:left="250" w:hanging="250"/>
              <w:rPr>
                <w:rFonts w:ascii="Century Gothic" w:hAnsi="Century Gothic"/>
              </w:rPr>
            </w:pPr>
            <w:r w:rsidRPr="008A3AE7">
              <w:rPr>
                <w:rFonts w:ascii="Century Gothic" w:hAnsi="Century Gothic"/>
              </w:rPr>
              <w:t xml:space="preserve">Brookside I </w:t>
            </w:r>
            <w:r w:rsidR="548B31F7" w:rsidRPr="008A3AE7">
              <w:rPr>
                <w:rFonts w:ascii="Century Gothic" w:hAnsi="Century Gothic"/>
              </w:rPr>
              <w:t>–</w:t>
            </w:r>
            <w:r w:rsidR="2D337B4B" w:rsidRPr="008A3AE7">
              <w:rPr>
                <w:rFonts w:ascii="Century Gothic" w:hAnsi="Century Gothic"/>
              </w:rPr>
              <w:t>-</w:t>
            </w:r>
            <w:r w:rsidR="31423E39" w:rsidRPr="008A3AE7">
              <w:rPr>
                <w:rFonts w:ascii="Century Gothic" w:hAnsi="Century Gothic"/>
              </w:rPr>
              <w:t>100</w:t>
            </w:r>
            <w:r w:rsidR="16B1AC3A" w:rsidRPr="008A3AE7">
              <w:rPr>
                <w:rFonts w:ascii="Century Gothic" w:hAnsi="Century Gothic"/>
              </w:rPr>
              <w:t xml:space="preserve">% </w:t>
            </w:r>
            <w:r w:rsidR="28135916" w:rsidRPr="008A3AE7">
              <w:rPr>
                <w:rFonts w:ascii="Century Gothic" w:hAnsi="Century Gothic"/>
              </w:rPr>
              <w:t>(1 household)</w:t>
            </w:r>
            <w:r w:rsidR="008C74BD" w:rsidRPr="008A3AE7">
              <w:rPr>
                <w:rFonts w:ascii="Century Gothic" w:hAnsi="Century Gothic"/>
              </w:rPr>
              <w:t xml:space="preserve"> </w:t>
            </w:r>
            <w:r w:rsidR="008C74BD">
              <w:rPr>
                <w:rFonts w:ascii="Century Gothic" w:hAnsi="Century Gothic"/>
              </w:rPr>
              <w:t xml:space="preserve">- </w:t>
            </w:r>
            <w:r w:rsidR="008C74BD" w:rsidRPr="008A3AE7">
              <w:rPr>
                <w:rFonts w:ascii="Century Gothic" w:hAnsi="Century Gothic"/>
              </w:rPr>
              <w:t>New Admissions below the 30% AMI</w:t>
            </w:r>
          </w:p>
          <w:p w14:paraId="66845C8E" w14:textId="7D51FA5F" w:rsidR="5160CC34" w:rsidRPr="008A3AE7" w:rsidRDefault="5160CC34" w:rsidP="003B22C7">
            <w:pPr>
              <w:pStyle w:val="ListParagraph"/>
              <w:ind w:left="250"/>
              <w:rPr>
                <w:rFonts w:ascii="Century Gothic" w:hAnsi="Century Gothic"/>
                <w:szCs w:val="22"/>
              </w:rPr>
            </w:pPr>
          </w:p>
          <w:p w14:paraId="5F31CC2E" w14:textId="74378ADF" w:rsidR="6083E47B" w:rsidRPr="008A3AE7" w:rsidRDefault="7DE1D8F7" w:rsidP="00486062">
            <w:pPr>
              <w:pStyle w:val="ListParagraph"/>
              <w:numPr>
                <w:ilvl w:val="0"/>
                <w:numId w:val="63"/>
              </w:numPr>
              <w:ind w:left="250" w:hanging="250"/>
              <w:rPr>
                <w:rFonts w:ascii="Century Gothic" w:hAnsi="Century Gothic"/>
              </w:rPr>
            </w:pPr>
            <w:r w:rsidRPr="008A3AE7">
              <w:rPr>
                <w:rFonts w:ascii="Century Gothic" w:hAnsi="Century Gothic"/>
              </w:rPr>
              <w:t xml:space="preserve">Brookside II </w:t>
            </w:r>
            <w:r w:rsidR="20A26731" w:rsidRPr="008A3AE7">
              <w:rPr>
                <w:rFonts w:ascii="Century Gothic" w:hAnsi="Century Gothic"/>
              </w:rPr>
              <w:t>–</w:t>
            </w:r>
            <w:r w:rsidR="00747668" w:rsidRPr="008A3AE7">
              <w:rPr>
                <w:rFonts w:ascii="Century Gothic" w:hAnsi="Century Gothic"/>
              </w:rPr>
              <w:t>-</w:t>
            </w:r>
            <w:r w:rsidR="28135916" w:rsidRPr="008A3AE7">
              <w:rPr>
                <w:rFonts w:ascii="Century Gothic" w:hAnsi="Century Gothic"/>
              </w:rPr>
              <w:t xml:space="preserve"> </w:t>
            </w:r>
            <w:r w:rsidR="1F9030A0" w:rsidRPr="008A3AE7">
              <w:rPr>
                <w:rFonts w:ascii="Century Gothic" w:hAnsi="Century Gothic"/>
              </w:rPr>
              <w:t>0%</w:t>
            </w:r>
            <w:r w:rsidR="65292F9F" w:rsidRPr="008A3AE7">
              <w:rPr>
                <w:rFonts w:ascii="Century Gothic" w:hAnsi="Century Gothic"/>
              </w:rPr>
              <w:t xml:space="preserve"> (0 households)</w:t>
            </w:r>
            <w:r w:rsidR="1F9030A0" w:rsidRPr="008A3AE7">
              <w:rPr>
                <w:rFonts w:ascii="Century Gothic" w:hAnsi="Century Gothic"/>
              </w:rPr>
              <w:t xml:space="preserve"> </w:t>
            </w:r>
            <w:r w:rsidR="008C74BD">
              <w:rPr>
                <w:rFonts w:ascii="Century Gothic" w:hAnsi="Century Gothic"/>
              </w:rPr>
              <w:t xml:space="preserve">- </w:t>
            </w:r>
            <w:r w:rsidR="008C74BD" w:rsidRPr="008A3AE7">
              <w:rPr>
                <w:rFonts w:ascii="Century Gothic" w:hAnsi="Century Gothic"/>
              </w:rPr>
              <w:t xml:space="preserve">New </w:t>
            </w:r>
            <w:r w:rsidR="008C74BD" w:rsidRPr="008A3AE7">
              <w:rPr>
                <w:rFonts w:ascii="Century Gothic" w:hAnsi="Century Gothic"/>
              </w:rPr>
              <w:lastRenderedPageBreak/>
              <w:t>Admissions below the 30% AMI</w:t>
            </w:r>
          </w:p>
          <w:p w14:paraId="2008B6CB" w14:textId="6C9951F4" w:rsidR="7BAD4E77" w:rsidRPr="008A3AE7" w:rsidRDefault="7BAD4E77" w:rsidP="003B22C7">
            <w:pPr>
              <w:pStyle w:val="ListParagraph"/>
              <w:ind w:left="250"/>
              <w:rPr>
                <w:rFonts w:ascii="Century Gothic" w:hAnsi="Century Gothic"/>
                <w:szCs w:val="22"/>
              </w:rPr>
            </w:pPr>
          </w:p>
          <w:p w14:paraId="6A92E451" w14:textId="18758E92" w:rsidR="3D1723A7" w:rsidRPr="008A3AE7" w:rsidRDefault="097BF743" w:rsidP="00486062">
            <w:pPr>
              <w:pStyle w:val="ListParagraph"/>
              <w:numPr>
                <w:ilvl w:val="0"/>
                <w:numId w:val="63"/>
              </w:numPr>
              <w:ind w:left="250" w:hanging="250"/>
              <w:rPr>
                <w:rFonts w:ascii="Century Gothic" w:hAnsi="Century Gothic"/>
              </w:rPr>
            </w:pPr>
            <w:r w:rsidRPr="008A3AE7">
              <w:rPr>
                <w:rFonts w:ascii="Century Gothic" w:hAnsi="Century Gothic"/>
              </w:rPr>
              <w:t xml:space="preserve">Brookside I - </w:t>
            </w:r>
            <w:r w:rsidR="600E81C4" w:rsidRPr="008A3AE7">
              <w:rPr>
                <w:rFonts w:ascii="Century Gothic" w:hAnsi="Century Gothic"/>
              </w:rPr>
              <w:t>53</w:t>
            </w:r>
            <w:r w:rsidR="77D79061" w:rsidRPr="008A3AE7">
              <w:rPr>
                <w:rFonts w:ascii="Century Gothic" w:hAnsi="Century Gothic"/>
              </w:rPr>
              <w:t>%</w:t>
            </w:r>
            <w:r w:rsidR="5C3F54C0" w:rsidRPr="008A3AE7">
              <w:rPr>
                <w:rFonts w:ascii="Century Gothic" w:hAnsi="Century Gothic"/>
              </w:rPr>
              <w:t xml:space="preserve"> of all households are at or below 30% AMI.</w:t>
            </w:r>
          </w:p>
          <w:p w14:paraId="34396D6B" w14:textId="01F3A0A1" w:rsidR="3D1723A7" w:rsidRPr="008A3AE7" w:rsidRDefault="3D1723A7" w:rsidP="003B22C7">
            <w:pPr>
              <w:pStyle w:val="ListParagraph"/>
              <w:rPr>
                <w:rFonts w:ascii="Century Gothic" w:hAnsi="Century Gothic"/>
              </w:rPr>
            </w:pPr>
          </w:p>
          <w:p w14:paraId="225C5868" w14:textId="3051FA7C" w:rsidR="3D1723A7" w:rsidRPr="008A3AE7" w:rsidRDefault="3A07A3F0" w:rsidP="00486062">
            <w:pPr>
              <w:pStyle w:val="ListParagraph"/>
              <w:numPr>
                <w:ilvl w:val="0"/>
                <w:numId w:val="63"/>
              </w:numPr>
              <w:ind w:left="250" w:hanging="250"/>
              <w:rPr>
                <w:rFonts w:ascii="Century Gothic" w:hAnsi="Century Gothic"/>
              </w:rPr>
            </w:pPr>
            <w:r w:rsidRPr="008A3AE7">
              <w:rPr>
                <w:rFonts w:ascii="Century Gothic" w:hAnsi="Century Gothic"/>
              </w:rPr>
              <w:t xml:space="preserve">Brookside II - </w:t>
            </w:r>
            <w:r w:rsidR="4308D7D6" w:rsidRPr="008A3AE7">
              <w:rPr>
                <w:rFonts w:ascii="Century Gothic" w:hAnsi="Century Gothic"/>
              </w:rPr>
              <w:t>48</w:t>
            </w:r>
            <w:r w:rsidR="22D31F63" w:rsidRPr="008A3AE7">
              <w:rPr>
                <w:rFonts w:ascii="Century Gothic" w:hAnsi="Century Gothic"/>
              </w:rPr>
              <w:t>% of all households are at or below 30% AMI.</w:t>
            </w:r>
          </w:p>
          <w:p w14:paraId="37D3CEC2" w14:textId="72CE51AF" w:rsidR="090392C3" w:rsidRPr="008A3AE7" w:rsidRDefault="090392C3" w:rsidP="090392C3">
            <w:pPr>
              <w:rPr>
                <w:rFonts w:ascii="Century Gothic" w:hAnsi="Century Gothic"/>
              </w:rPr>
            </w:pPr>
          </w:p>
          <w:p w14:paraId="44B3419F" w14:textId="20695913" w:rsidR="003432DD" w:rsidRPr="008A3AE7" w:rsidRDefault="76FDAD69" w:rsidP="003432DD">
            <w:pPr>
              <w:rPr>
                <w:rFonts w:ascii="Century Gothic" w:hAnsi="Century Gothic"/>
              </w:rPr>
            </w:pPr>
            <w:r w:rsidRPr="008A3AE7">
              <w:rPr>
                <w:rFonts w:ascii="Century Gothic" w:hAnsi="Century Gothic"/>
              </w:rPr>
              <w:t>2023</w:t>
            </w:r>
          </w:p>
          <w:p w14:paraId="2BE94056" w14:textId="687395E9" w:rsidR="003432DD" w:rsidRPr="008A3AE7" w:rsidRDefault="6495412E" w:rsidP="00486062">
            <w:pPr>
              <w:pStyle w:val="ListParagraph"/>
              <w:numPr>
                <w:ilvl w:val="0"/>
                <w:numId w:val="63"/>
              </w:numPr>
              <w:ind w:left="250" w:hanging="250"/>
              <w:rPr>
                <w:rFonts w:ascii="Century Gothic" w:hAnsi="Century Gothic"/>
              </w:rPr>
            </w:pPr>
            <w:r w:rsidRPr="008A3AE7">
              <w:rPr>
                <w:rFonts w:ascii="Century Gothic" w:hAnsi="Century Gothic"/>
              </w:rPr>
              <w:t xml:space="preserve"> 87%</w:t>
            </w:r>
            <w:r w:rsidR="18A2D43C" w:rsidRPr="008A3AE7">
              <w:rPr>
                <w:rFonts w:ascii="Century Gothic" w:hAnsi="Century Gothic"/>
              </w:rPr>
              <w:t xml:space="preserve"> of families in applicable developments have incomes below 30% AMI (see above Income Eligibility table for more information)</w:t>
            </w:r>
          </w:p>
          <w:p w14:paraId="2E55F956" w14:textId="3B4558B8" w:rsidR="003432DD" w:rsidRPr="008A3AE7" w:rsidRDefault="46520821" w:rsidP="00486062">
            <w:pPr>
              <w:pStyle w:val="ListParagraph"/>
              <w:numPr>
                <w:ilvl w:val="0"/>
                <w:numId w:val="63"/>
              </w:numPr>
              <w:ind w:left="250" w:hanging="250"/>
              <w:rPr>
                <w:rFonts w:ascii="Century Gothic" w:hAnsi="Century Gothic"/>
              </w:rPr>
            </w:pPr>
            <w:r w:rsidRPr="008A3AE7">
              <w:rPr>
                <w:rFonts w:ascii="Century Gothic" w:hAnsi="Century Gothic"/>
              </w:rPr>
              <w:t>100</w:t>
            </w:r>
            <w:r w:rsidR="18A2D43C" w:rsidRPr="008A3AE7">
              <w:rPr>
                <w:rFonts w:ascii="Century Gothic" w:hAnsi="Century Gothic"/>
              </w:rPr>
              <w:t xml:space="preserve">% of new PBV households at Brookside Phase I families were at or below </w:t>
            </w:r>
            <w:proofErr w:type="gramStart"/>
            <w:r w:rsidR="18A2D43C" w:rsidRPr="008A3AE7">
              <w:rPr>
                <w:rFonts w:ascii="Century Gothic" w:hAnsi="Century Gothic"/>
              </w:rPr>
              <w:t>the 30</w:t>
            </w:r>
            <w:proofErr w:type="gramEnd"/>
            <w:r w:rsidR="18A2D43C" w:rsidRPr="008A3AE7">
              <w:rPr>
                <w:rFonts w:ascii="Century Gothic" w:hAnsi="Century Gothic"/>
              </w:rPr>
              <w:t xml:space="preserve">% AMI. </w:t>
            </w:r>
            <w:r w:rsidR="63D265AE" w:rsidRPr="008A3AE7">
              <w:rPr>
                <w:rFonts w:ascii="Century Gothic" w:hAnsi="Century Gothic"/>
              </w:rPr>
              <w:t>This represents two households.</w:t>
            </w:r>
          </w:p>
          <w:p w14:paraId="334B26C5" w14:textId="147CE52D" w:rsidR="003432DD" w:rsidRPr="008A3AE7" w:rsidRDefault="4806DD38" w:rsidP="00486062">
            <w:pPr>
              <w:pStyle w:val="ListParagraph"/>
              <w:numPr>
                <w:ilvl w:val="0"/>
                <w:numId w:val="63"/>
              </w:numPr>
              <w:ind w:left="250" w:hanging="250"/>
              <w:rPr>
                <w:rFonts w:ascii="Century Gothic" w:hAnsi="Century Gothic"/>
              </w:rPr>
            </w:pPr>
            <w:proofErr w:type="gramStart"/>
            <w:r w:rsidRPr="008A3AE7">
              <w:rPr>
                <w:rFonts w:ascii="Century Gothic" w:hAnsi="Century Gothic"/>
              </w:rPr>
              <w:t>51</w:t>
            </w:r>
            <w:r w:rsidR="50BC30E1" w:rsidRPr="008A3AE7">
              <w:rPr>
                <w:rFonts w:ascii="Century Gothic" w:hAnsi="Century Gothic"/>
              </w:rPr>
              <w:t>%</w:t>
            </w:r>
            <w:r w:rsidR="18A2D43C" w:rsidRPr="008A3AE7">
              <w:rPr>
                <w:rFonts w:ascii="Century Gothic" w:hAnsi="Century Gothic"/>
              </w:rPr>
              <w:t>%</w:t>
            </w:r>
            <w:proofErr w:type="gramEnd"/>
            <w:r w:rsidR="18A2D43C" w:rsidRPr="008A3AE7">
              <w:rPr>
                <w:rFonts w:ascii="Century Gothic" w:hAnsi="Century Gothic"/>
              </w:rPr>
              <w:t xml:space="preserve"> of all households at Brookside Phase I are at or below 30% AMI.</w:t>
            </w:r>
          </w:p>
          <w:p w14:paraId="651B14D4" w14:textId="5A9E393E" w:rsidR="003432DD" w:rsidRPr="008A3AE7" w:rsidRDefault="7E88F9F0" w:rsidP="00486062">
            <w:pPr>
              <w:pStyle w:val="ListParagraph"/>
              <w:numPr>
                <w:ilvl w:val="0"/>
                <w:numId w:val="63"/>
              </w:numPr>
              <w:ind w:left="250" w:hanging="250"/>
              <w:rPr>
                <w:rFonts w:ascii="Century Gothic" w:hAnsi="Century Gothic"/>
              </w:rPr>
            </w:pPr>
            <w:r w:rsidRPr="008A3AE7">
              <w:rPr>
                <w:rFonts w:ascii="Century Gothic" w:hAnsi="Century Gothic"/>
              </w:rPr>
              <w:t>80</w:t>
            </w:r>
            <w:r w:rsidR="18A2D43C" w:rsidRPr="008A3AE7">
              <w:rPr>
                <w:rFonts w:ascii="Century Gothic" w:hAnsi="Century Gothic"/>
              </w:rPr>
              <w:t>% of new PBV households at Brookside Phase II were at or below 30% AMI.</w:t>
            </w:r>
            <w:r w:rsidR="0AF528BC" w:rsidRPr="008A3AE7">
              <w:rPr>
                <w:rFonts w:ascii="Century Gothic" w:hAnsi="Century Gothic"/>
              </w:rPr>
              <w:t xml:space="preserve"> This represents four households.</w:t>
            </w:r>
          </w:p>
          <w:p w14:paraId="5AFAEADF" w14:textId="50401212" w:rsidR="003432DD"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46% of all households at Brookside Phase II are at or below 30% AMI.</w:t>
            </w:r>
          </w:p>
          <w:p w14:paraId="76547F44" w14:textId="77777777" w:rsidR="00FC071D" w:rsidRPr="008A3AE7" w:rsidRDefault="00FC071D" w:rsidP="1B3F2E6D">
            <w:pPr>
              <w:rPr>
                <w:rFonts w:ascii="Century Gothic" w:hAnsi="Century Gothic"/>
              </w:rPr>
            </w:pPr>
          </w:p>
          <w:p w14:paraId="6399A525" w14:textId="70E096F4" w:rsidR="31E533C5" w:rsidRPr="008A3AE7" w:rsidRDefault="31E533C5" w:rsidP="1B3F2E6D">
            <w:pPr>
              <w:rPr>
                <w:rFonts w:ascii="Century Gothic" w:hAnsi="Century Gothic"/>
              </w:rPr>
            </w:pPr>
            <w:r w:rsidRPr="008A3AE7">
              <w:rPr>
                <w:rFonts w:ascii="Century Gothic" w:hAnsi="Century Gothic"/>
              </w:rPr>
              <w:t>2022</w:t>
            </w:r>
          </w:p>
          <w:p w14:paraId="7D235F98" w14:textId="6FE2070B" w:rsidR="3B55F75D"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64% of families in applicable developments have incomes below 30% AMI (see above Income Eligibility table for more information)</w:t>
            </w:r>
          </w:p>
          <w:p w14:paraId="686C3E4A" w14:textId="2D248B42" w:rsidR="5B0ABF1E"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lastRenderedPageBreak/>
              <w:t xml:space="preserve">2% of new PBV households at Brookside Phase I families were at or below the 30% AMI. </w:t>
            </w:r>
          </w:p>
          <w:p w14:paraId="73B8596F" w14:textId="1F4CDCE9" w:rsidR="5B0ABF1E"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60% of all households at Brookside Phase I are at or below 30% AMI.</w:t>
            </w:r>
          </w:p>
          <w:p w14:paraId="3C0395B7" w14:textId="6777EAEA" w:rsidR="5B0ABF1E"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2% of new PBV households at Brookside Phase II were at or below 30% AMI.</w:t>
            </w:r>
          </w:p>
          <w:p w14:paraId="39ED980F" w14:textId="293CED3B" w:rsidR="5B0ABF1E"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52% of all households at Brookside Phase II are at or below 30% AMI.</w:t>
            </w:r>
          </w:p>
          <w:p w14:paraId="33158621" w14:textId="77777777" w:rsidR="00E161C0" w:rsidRPr="008A3AE7" w:rsidRDefault="00E161C0" w:rsidP="0021013C">
            <w:pPr>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5BC77C73" w14:textId="56DFA577" w:rsidR="00E161C0" w:rsidRPr="008A3AE7" w:rsidRDefault="3098E4E1" w:rsidP="00E161C0">
            <w:pPr>
              <w:rPr>
                <w:rFonts w:ascii="Century Gothic" w:hAnsi="Century Gothic"/>
              </w:rPr>
            </w:pPr>
            <w:r w:rsidRPr="008A3AE7">
              <w:rPr>
                <w:rFonts w:ascii="Century Gothic" w:hAnsi="Century Gothic"/>
              </w:rPr>
              <w:lastRenderedPageBreak/>
              <w:t>Yes</w:t>
            </w:r>
          </w:p>
        </w:tc>
      </w:tr>
    </w:tbl>
    <w:p w14:paraId="47313280" w14:textId="7DEAA60C" w:rsidR="00351DEA" w:rsidRPr="008A3AE7" w:rsidRDefault="00351DEA">
      <w:pPr>
        <w:rPr>
          <w:rFonts w:ascii="Century Gothic" w:hAnsi="Century Gothic"/>
        </w:rPr>
      </w:pPr>
    </w:p>
    <w:tbl>
      <w:tblPr>
        <w:tblStyle w:val="TableGrid"/>
        <w:tblW w:w="9990" w:type="dxa"/>
        <w:tblInd w:w="-630" w:type="dxa"/>
        <w:tblLayout w:type="fixed"/>
        <w:tblLook w:val="04A0" w:firstRow="1" w:lastRow="0" w:firstColumn="1" w:lastColumn="0" w:noHBand="0" w:noVBand="1"/>
      </w:tblPr>
      <w:tblGrid>
        <w:gridCol w:w="2355"/>
        <w:gridCol w:w="1100"/>
        <w:gridCol w:w="2425"/>
        <w:gridCol w:w="2760"/>
        <w:gridCol w:w="1350"/>
      </w:tblGrid>
      <w:tr w:rsidR="003F3BF8" w:rsidRPr="00712BEB" w14:paraId="3CB082B1" w14:textId="77777777" w:rsidTr="713A9CE6">
        <w:trPr>
          <w:trHeight w:val="360"/>
        </w:trPr>
        <w:tc>
          <w:tcPr>
            <w:tcW w:w="9990" w:type="dxa"/>
            <w:gridSpan w:val="5"/>
            <w:tcBorders>
              <w:top w:val="nil"/>
              <w:left w:val="nil"/>
              <w:bottom w:val="single" w:sz="24" w:space="0" w:color="B5333C" w:themeColor="accent2"/>
              <w:right w:val="nil"/>
            </w:tcBorders>
            <w:shd w:val="clear" w:color="auto" w:fill="808080" w:themeFill="background1" w:themeFillShade="80"/>
          </w:tcPr>
          <w:p w14:paraId="456B33D6" w14:textId="77777777" w:rsidR="00351DEA" w:rsidRPr="008A3AE7" w:rsidRDefault="00351DEA" w:rsidP="00532250">
            <w:pPr>
              <w:jc w:val="center"/>
              <w:rPr>
                <w:rFonts w:ascii="Century Gothic" w:hAnsi="Century Gothic"/>
                <w:szCs w:val="22"/>
              </w:rPr>
            </w:pPr>
            <w:r w:rsidRPr="008A3AE7">
              <w:rPr>
                <w:rFonts w:ascii="Century Gothic" w:hAnsi="Century Gothic"/>
                <w:b/>
                <w:szCs w:val="22"/>
              </w:rPr>
              <w:t>Redevelopment Metrics (continued)</w:t>
            </w:r>
          </w:p>
        </w:tc>
      </w:tr>
      <w:tr w:rsidR="004B46D2" w:rsidRPr="00712BEB" w14:paraId="4444735B" w14:textId="77777777" w:rsidTr="713A9CE6">
        <w:trPr>
          <w:trHeight w:val="360"/>
        </w:trPr>
        <w:tc>
          <w:tcPr>
            <w:tcW w:w="9990" w:type="dxa"/>
            <w:gridSpan w:val="5"/>
            <w:tcBorders>
              <w:top w:val="single" w:sz="24" w:space="0" w:color="B5333C" w:themeColor="accent2"/>
              <w:left w:val="nil"/>
              <w:bottom w:val="single" w:sz="4" w:space="0" w:color="D9D9D9" w:themeColor="background1" w:themeShade="D9"/>
              <w:right w:val="nil"/>
            </w:tcBorders>
            <w:shd w:val="clear" w:color="auto" w:fill="808080" w:themeFill="background1" w:themeFillShade="80"/>
            <w:vAlign w:val="center"/>
          </w:tcPr>
          <w:p w14:paraId="5A9293FF" w14:textId="77777777" w:rsidR="00351DEA" w:rsidRPr="002245EE" w:rsidRDefault="00351DEA" w:rsidP="00443123">
            <w:pPr>
              <w:jc w:val="center"/>
              <w:rPr>
                <w:rFonts w:ascii="Century Gothic" w:hAnsi="Century Gothic"/>
                <w:b/>
                <w:szCs w:val="22"/>
              </w:rPr>
            </w:pPr>
            <w:r w:rsidRPr="002245EE">
              <w:rPr>
                <w:rFonts w:ascii="Century Gothic" w:hAnsi="Century Gothic"/>
                <w:b/>
                <w:szCs w:val="22"/>
              </w:rPr>
              <w:t>Internal Metric #9: Income eligibility (continued)</w:t>
            </w:r>
          </w:p>
        </w:tc>
      </w:tr>
      <w:tr w:rsidR="0032063E" w:rsidRPr="00712BEB" w14:paraId="50828AAA" w14:textId="77777777" w:rsidTr="713A9CE6">
        <w:trPr>
          <w:trHeight w:val="647"/>
        </w:trPr>
        <w:tc>
          <w:tcPr>
            <w:tcW w:w="23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10A3C1C" w14:textId="77777777" w:rsidR="00E161C0" w:rsidRPr="002245EE" w:rsidRDefault="00E161C0" w:rsidP="00853DD8">
            <w:pPr>
              <w:jc w:val="center"/>
              <w:rPr>
                <w:rFonts w:ascii="Century Gothic" w:hAnsi="Century Gothic"/>
                <w:szCs w:val="22"/>
              </w:rPr>
            </w:pPr>
            <w:r w:rsidRPr="002245EE">
              <w:rPr>
                <w:rFonts w:ascii="Century Gothic" w:hAnsi="Century Gothic"/>
                <w:b/>
                <w:szCs w:val="22"/>
              </w:rPr>
              <w:t>Unit of Measurement</w:t>
            </w:r>
          </w:p>
        </w:tc>
        <w:tc>
          <w:tcPr>
            <w:tcW w:w="11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0B0ADAD" w14:textId="77777777" w:rsidR="00E161C0" w:rsidRPr="002245EE" w:rsidRDefault="00E161C0" w:rsidP="00853DD8">
            <w:pPr>
              <w:jc w:val="center"/>
              <w:rPr>
                <w:rFonts w:ascii="Century Gothic" w:hAnsi="Century Gothic"/>
                <w:szCs w:val="22"/>
              </w:rPr>
            </w:pPr>
            <w:r w:rsidRPr="002245EE">
              <w:rPr>
                <w:rFonts w:ascii="Century Gothic" w:hAnsi="Century Gothic"/>
                <w:b/>
                <w:szCs w:val="22"/>
              </w:rPr>
              <w:t>Baseline</w:t>
            </w:r>
          </w:p>
        </w:tc>
        <w:tc>
          <w:tcPr>
            <w:tcW w:w="24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503A5D5" w14:textId="77777777" w:rsidR="00E161C0" w:rsidRPr="002245EE" w:rsidRDefault="00E161C0" w:rsidP="00853DD8">
            <w:pPr>
              <w:jc w:val="center"/>
              <w:rPr>
                <w:rFonts w:ascii="Century Gothic" w:hAnsi="Century Gothic"/>
                <w:szCs w:val="22"/>
              </w:rPr>
            </w:pPr>
            <w:r w:rsidRPr="002245EE">
              <w:rPr>
                <w:rFonts w:ascii="Century Gothic" w:hAnsi="Century Gothic"/>
                <w:b/>
                <w:szCs w:val="22"/>
              </w:rPr>
              <w:t>Benchmark</w:t>
            </w:r>
          </w:p>
        </w:tc>
        <w:tc>
          <w:tcPr>
            <w:tcW w:w="2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7FDAA02" w14:textId="77777777" w:rsidR="00E161C0" w:rsidRPr="002245EE" w:rsidRDefault="00E161C0" w:rsidP="00853DD8">
            <w:pPr>
              <w:jc w:val="center"/>
              <w:rPr>
                <w:rFonts w:ascii="Century Gothic" w:hAnsi="Century Gothic"/>
                <w:b/>
                <w:szCs w:val="22"/>
                <w:u w:val="single"/>
              </w:rPr>
            </w:pPr>
            <w:r w:rsidRPr="002245EE">
              <w:rPr>
                <w:rFonts w:ascii="Century Gothic" w:hAnsi="Century Gothic"/>
                <w:b/>
                <w:szCs w:val="22"/>
              </w:rPr>
              <w:t>Outcome</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tcPr>
          <w:p w14:paraId="796FC918" w14:textId="77777777" w:rsidR="00E161C0" w:rsidRPr="002245EE" w:rsidRDefault="00E161C0" w:rsidP="00853DD8">
            <w:pPr>
              <w:jc w:val="center"/>
              <w:rPr>
                <w:rFonts w:ascii="Century Gothic" w:hAnsi="Century Gothic"/>
                <w:szCs w:val="22"/>
              </w:rPr>
            </w:pPr>
            <w:r w:rsidRPr="002245EE">
              <w:rPr>
                <w:rFonts w:ascii="Century Gothic" w:hAnsi="Century Gothic"/>
                <w:b/>
                <w:szCs w:val="22"/>
              </w:rPr>
              <w:t>Benchmark Achieved?</w:t>
            </w:r>
          </w:p>
        </w:tc>
      </w:tr>
      <w:tr w:rsidR="0032063E" w:rsidRPr="00712BEB" w14:paraId="198D96BC" w14:textId="77777777" w:rsidTr="713A9CE6">
        <w:trPr>
          <w:trHeight w:val="1430"/>
        </w:trPr>
        <w:tc>
          <w:tcPr>
            <w:tcW w:w="23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B0E79CB" w14:textId="77777777" w:rsidR="00E161C0" w:rsidRPr="008A3AE7" w:rsidRDefault="00E161C0" w:rsidP="00E161C0">
            <w:pPr>
              <w:rPr>
                <w:rFonts w:ascii="Century Gothic" w:hAnsi="Century Gothic"/>
                <w:szCs w:val="22"/>
              </w:rPr>
            </w:pPr>
            <w:r w:rsidRPr="008A3AE7">
              <w:rPr>
                <w:rFonts w:ascii="Century Gothic" w:hAnsi="Century Gothic"/>
                <w:szCs w:val="22"/>
              </w:rPr>
              <w:t>Number of households between 50% AMI and 80% Area Median Income (AMI)</w:t>
            </w:r>
          </w:p>
        </w:tc>
        <w:tc>
          <w:tcPr>
            <w:tcW w:w="11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5633903" w14:textId="77777777" w:rsidR="00E161C0" w:rsidRPr="008A3AE7" w:rsidRDefault="00874F0A" w:rsidP="00E161C0">
            <w:pPr>
              <w:rPr>
                <w:rFonts w:ascii="Century Gothic" w:hAnsi="Century Gothic"/>
                <w:szCs w:val="22"/>
              </w:rPr>
            </w:pPr>
            <w:r w:rsidRPr="008A3AE7">
              <w:rPr>
                <w:rFonts w:ascii="Century Gothic" w:hAnsi="Century Gothic"/>
                <w:szCs w:val="22"/>
              </w:rPr>
              <w:t>N/A</w:t>
            </w:r>
          </w:p>
        </w:tc>
        <w:tc>
          <w:tcPr>
            <w:tcW w:w="24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A8F00E1" w14:textId="77777777" w:rsidR="00275190" w:rsidRPr="008A3AE7" w:rsidRDefault="00E161C0" w:rsidP="00E161C0">
            <w:pPr>
              <w:rPr>
                <w:rFonts w:ascii="Century Gothic" w:hAnsi="Century Gothic"/>
                <w:szCs w:val="22"/>
              </w:rPr>
            </w:pPr>
            <w:r w:rsidRPr="008A3AE7">
              <w:rPr>
                <w:rFonts w:ascii="Century Gothic" w:hAnsi="Century Gothic"/>
                <w:szCs w:val="22"/>
              </w:rPr>
              <w:t xml:space="preserve">15% of the PBVs may be allocated to families with incomes between 50 and 80% of AMI </w:t>
            </w:r>
            <w:r w:rsidR="00275190" w:rsidRPr="008A3AE7">
              <w:rPr>
                <w:rFonts w:ascii="Century Gothic" w:hAnsi="Century Gothic"/>
                <w:szCs w:val="22"/>
              </w:rPr>
              <w:t xml:space="preserve">at </w:t>
            </w:r>
            <w:r w:rsidRPr="008A3AE7">
              <w:rPr>
                <w:rFonts w:ascii="Century Gothic" w:hAnsi="Century Gothic"/>
                <w:szCs w:val="22"/>
                <w:u w:val="single"/>
              </w:rPr>
              <w:t>Brookside Phase I rental</w:t>
            </w:r>
          </w:p>
          <w:p w14:paraId="1B219AF2" w14:textId="77777777" w:rsidR="00E161C0" w:rsidRPr="008A3AE7" w:rsidRDefault="00E161C0" w:rsidP="00E161C0">
            <w:pPr>
              <w:rPr>
                <w:rFonts w:ascii="Century Gothic" w:hAnsi="Century Gothic"/>
                <w:szCs w:val="22"/>
              </w:rPr>
            </w:pPr>
            <w:r w:rsidRPr="008A3AE7">
              <w:rPr>
                <w:rFonts w:ascii="Century Gothic" w:hAnsi="Century Gothic"/>
                <w:szCs w:val="22"/>
              </w:rPr>
              <w:t xml:space="preserve"> </w:t>
            </w:r>
            <w:r w:rsidRPr="008A3AE7">
              <w:rPr>
                <w:rFonts w:ascii="Century Gothic" w:hAnsi="Century Gothic"/>
                <w:szCs w:val="22"/>
              </w:rPr>
              <w:br/>
              <w:t xml:space="preserve">45% of PBV may be allocated to families with incomes between 50 and 80% AMI </w:t>
            </w:r>
            <w:r w:rsidR="00275190" w:rsidRPr="008A3AE7">
              <w:rPr>
                <w:rFonts w:ascii="Century Gothic" w:hAnsi="Century Gothic"/>
                <w:szCs w:val="22"/>
              </w:rPr>
              <w:t>at</w:t>
            </w:r>
            <w:r w:rsidRPr="008A3AE7">
              <w:rPr>
                <w:rFonts w:ascii="Century Gothic" w:hAnsi="Century Gothic"/>
                <w:szCs w:val="22"/>
              </w:rPr>
              <w:t xml:space="preserve"> </w:t>
            </w:r>
            <w:r w:rsidRPr="008A3AE7">
              <w:rPr>
                <w:rFonts w:ascii="Century Gothic" w:hAnsi="Century Gothic"/>
                <w:szCs w:val="22"/>
                <w:u w:val="single"/>
              </w:rPr>
              <w:t>Brookside Phase II rental</w:t>
            </w:r>
          </w:p>
        </w:tc>
        <w:tc>
          <w:tcPr>
            <w:tcW w:w="2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92EA614" w14:textId="0136A643" w:rsidR="4992A9E4" w:rsidRPr="008A3AE7" w:rsidRDefault="0E552D06" w:rsidP="090392C3">
            <w:pPr>
              <w:rPr>
                <w:rFonts w:ascii="Century Gothic" w:hAnsi="Century Gothic"/>
              </w:rPr>
            </w:pPr>
            <w:r w:rsidRPr="008A3AE7">
              <w:rPr>
                <w:rFonts w:ascii="Century Gothic" w:hAnsi="Century Gothic"/>
              </w:rPr>
              <w:t>202</w:t>
            </w:r>
            <w:r w:rsidR="728DF205" w:rsidRPr="008A3AE7">
              <w:rPr>
                <w:rFonts w:ascii="Century Gothic" w:hAnsi="Century Gothic"/>
              </w:rPr>
              <w:t>4</w:t>
            </w:r>
          </w:p>
          <w:p w14:paraId="48E9DA4B" w14:textId="43F2EE1F" w:rsidR="4992A9E4" w:rsidRPr="008A3AE7" w:rsidRDefault="00DC9364" w:rsidP="00486062">
            <w:pPr>
              <w:pStyle w:val="ListParagraph"/>
              <w:numPr>
                <w:ilvl w:val="0"/>
                <w:numId w:val="63"/>
              </w:numPr>
              <w:ind w:left="250" w:hanging="250"/>
              <w:rPr>
                <w:rFonts w:ascii="Century Gothic" w:hAnsi="Century Gothic"/>
              </w:rPr>
            </w:pPr>
            <w:r w:rsidRPr="008A3AE7">
              <w:rPr>
                <w:rFonts w:ascii="Century Gothic" w:hAnsi="Century Gothic"/>
              </w:rPr>
              <w:t xml:space="preserve">Brookside I </w:t>
            </w:r>
            <w:r w:rsidR="00EA22D5">
              <w:rPr>
                <w:rFonts w:ascii="Century Gothic" w:hAnsi="Century Gothic"/>
              </w:rPr>
              <w:t xml:space="preserve">– 0% </w:t>
            </w:r>
            <w:r w:rsidR="002636EB">
              <w:rPr>
                <w:rFonts w:ascii="Century Gothic" w:hAnsi="Century Gothic"/>
              </w:rPr>
              <w:t xml:space="preserve">- </w:t>
            </w:r>
            <w:r w:rsidR="00087AB0">
              <w:rPr>
                <w:rFonts w:ascii="Century Gothic" w:hAnsi="Century Gothic"/>
              </w:rPr>
              <w:t>(n</w:t>
            </w:r>
            <w:r w:rsidR="76002ABC" w:rsidRPr="008A3AE7">
              <w:rPr>
                <w:rFonts w:ascii="Century Gothic" w:hAnsi="Century Gothic"/>
              </w:rPr>
              <w:t xml:space="preserve">ew </w:t>
            </w:r>
            <w:r w:rsidR="00087AB0">
              <w:rPr>
                <w:rFonts w:ascii="Century Gothic" w:hAnsi="Century Gothic"/>
              </w:rPr>
              <w:t>a</w:t>
            </w:r>
            <w:r w:rsidR="76002ABC" w:rsidRPr="008A3AE7">
              <w:rPr>
                <w:rFonts w:ascii="Century Gothic" w:hAnsi="Century Gothic"/>
              </w:rPr>
              <w:t xml:space="preserve">dmissions </w:t>
            </w:r>
            <w:r w:rsidR="7E26A4D4" w:rsidRPr="008A3AE7">
              <w:rPr>
                <w:rFonts w:ascii="Century Gothic" w:hAnsi="Century Gothic"/>
              </w:rPr>
              <w:t>between 50% &amp; 80% AMI</w:t>
            </w:r>
            <w:r w:rsidR="00087AB0">
              <w:rPr>
                <w:rFonts w:ascii="Century Gothic" w:hAnsi="Century Gothic"/>
              </w:rPr>
              <w:t>))</w:t>
            </w:r>
            <w:r w:rsidR="7E26A4D4" w:rsidRPr="008A3AE7">
              <w:rPr>
                <w:rFonts w:ascii="Century Gothic" w:hAnsi="Century Gothic"/>
              </w:rPr>
              <w:t xml:space="preserve"> </w:t>
            </w:r>
          </w:p>
          <w:p w14:paraId="7EE65126" w14:textId="6C585478" w:rsidR="14765DCA" w:rsidRPr="008A3AE7" w:rsidRDefault="14765DCA" w:rsidP="00486062">
            <w:pPr>
              <w:pStyle w:val="ListParagraph"/>
              <w:numPr>
                <w:ilvl w:val="0"/>
                <w:numId w:val="63"/>
              </w:numPr>
              <w:ind w:left="250" w:hanging="250"/>
              <w:rPr>
                <w:rFonts w:ascii="Century Gothic" w:hAnsi="Century Gothic"/>
              </w:rPr>
            </w:pPr>
            <w:r w:rsidRPr="008A3AE7">
              <w:rPr>
                <w:rFonts w:ascii="Century Gothic" w:hAnsi="Century Gothic"/>
              </w:rPr>
              <w:t xml:space="preserve">Brookside II </w:t>
            </w:r>
            <w:r w:rsidR="00EA22D5">
              <w:rPr>
                <w:rFonts w:ascii="Century Gothic" w:hAnsi="Century Gothic"/>
              </w:rPr>
              <w:t xml:space="preserve">– 0% </w:t>
            </w:r>
            <w:r w:rsidR="00087AB0">
              <w:rPr>
                <w:rFonts w:ascii="Century Gothic" w:hAnsi="Century Gothic"/>
              </w:rPr>
              <w:t>(n</w:t>
            </w:r>
            <w:r w:rsidR="3C60A355" w:rsidRPr="008A3AE7">
              <w:rPr>
                <w:rFonts w:ascii="Century Gothic" w:hAnsi="Century Gothic"/>
              </w:rPr>
              <w:t xml:space="preserve">ew </w:t>
            </w:r>
            <w:r w:rsidR="00E9461A">
              <w:rPr>
                <w:rFonts w:ascii="Century Gothic" w:hAnsi="Century Gothic"/>
              </w:rPr>
              <w:t>a</w:t>
            </w:r>
            <w:r w:rsidR="3C60A355" w:rsidRPr="008A3AE7">
              <w:rPr>
                <w:rFonts w:ascii="Century Gothic" w:hAnsi="Century Gothic"/>
              </w:rPr>
              <w:t>dmissions</w:t>
            </w:r>
            <w:r w:rsidRPr="008A3AE7">
              <w:rPr>
                <w:rFonts w:ascii="Century Gothic" w:hAnsi="Century Gothic"/>
              </w:rPr>
              <w:t xml:space="preserve"> between 50% &amp; 80% AMI</w:t>
            </w:r>
            <w:r w:rsidR="00E9461A">
              <w:rPr>
                <w:rFonts w:ascii="Century Gothic" w:hAnsi="Century Gothic"/>
              </w:rPr>
              <w:t>)</w:t>
            </w:r>
            <w:r w:rsidR="002245EE">
              <w:rPr>
                <w:rFonts w:ascii="Century Gothic" w:hAnsi="Century Gothic"/>
              </w:rPr>
              <w:t xml:space="preserve"> </w:t>
            </w:r>
          </w:p>
          <w:p w14:paraId="569A7182" w14:textId="7C6B5542" w:rsidR="02DFBA52" w:rsidRPr="008A3AE7" w:rsidRDefault="02DFBA52" w:rsidP="002245EE">
            <w:pPr>
              <w:pStyle w:val="ListParagraph"/>
              <w:ind w:left="250"/>
              <w:rPr>
                <w:rFonts w:ascii="Century Gothic" w:hAnsi="Century Gothic"/>
                <w:szCs w:val="22"/>
              </w:rPr>
            </w:pPr>
          </w:p>
          <w:p w14:paraId="6597F29D" w14:textId="345846CB" w:rsidR="4992A9E4" w:rsidRPr="008A3AE7" w:rsidRDefault="7E26A4D4" w:rsidP="00486062">
            <w:pPr>
              <w:pStyle w:val="ListParagraph"/>
              <w:numPr>
                <w:ilvl w:val="0"/>
                <w:numId w:val="63"/>
              </w:numPr>
              <w:ind w:left="250" w:hanging="250"/>
              <w:rPr>
                <w:rFonts w:ascii="Century Gothic" w:hAnsi="Century Gothic"/>
              </w:rPr>
            </w:pPr>
            <w:r w:rsidRPr="008A3AE7">
              <w:rPr>
                <w:rFonts w:ascii="Century Gothic" w:hAnsi="Century Gothic"/>
              </w:rPr>
              <w:t xml:space="preserve">Brookside I </w:t>
            </w:r>
            <w:r w:rsidR="00EA22D5">
              <w:rPr>
                <w:rFonts w:ascii="Century Gothic" w:hAnsi="Century Gothic"/>
              </w:rPr>
              <w:t xml:space="preserve">– 35% </w:t>
            </w:r>
            <w:r w:rsidR="00BF1E51">
              <w:rPr>
                <w:rFonts w:ascii="Century Gothic" w:hAnsi="Century Gothic"/>
              </w:rPr>
              <w:t>(a</w:t>
            </w:r>
            <w:r w:rsidR="572532B0" w:rsidRPr="008A3AE7">
              <w:rPr>
                <w:rFonts w:ascii="Century Gothic" w:hAnsi="Century Gothic"/>
              </w:rPr>
              <w:t>llocation</w:t>
            </w:r>
            <w:r w:rsidRPr="008A3AE7">
              <w:rPr>
                <w:rFonts w:ascii="Century Gothic" w:hAnsi="Century Gothic"/>
              </w:rPr>
              <w:t xml:space="preserve"> between the 50% to 80% AMI</w:t>
            </w:r>
            <w:r w:rsidR="00BF1E51">
              <w:rPr>
                <w:rFonts w:ascii="Century Gothic" w:hAnsi="Century Gothic"/>
              </w:rPr>
              <w:t>)</w:t>
            </w:r>
            <w:r w:rsidR="1A5D0861" w:rsidRPr="008A3AE7">
              <w:rPr>
                <w:rFonts w:ascii="Century Gothic" w:hAnsi="Century Gothic"/>
              </w:rPr>
              <w:t xml:space="preserve"> </w:t>
            </w:r>
          </w:p>
          <w:p w14:paraId="5BD6E03D" w14:textId="19227F3D" w:rsidR="4992A9E4" w:rsidRPr="008A3AE7" w:rsidRDefault="7E26A4D4" w:rsidP="00486062">
            <w:pPr>
              <w:pStyle w:val="ListParagraph"/>
              <w:numPr>
                <w:ilvl w:val="0"/>
                <w:numId w:val="63"/>
              </w:numPr>
              <w:ind w:left="250" w:hanging="250"/>
              <w:rPr>
                <w:rFonts w:ascii="Century Gothic" w:hAnsi="Century Gothic"/>
              </w:rPr>
            </w:pPr>
            <w:r w:rsidRPr="008A3AE7">
              <w:rPr>
                <w:rFonts w:ascii="Century Gothic" w:hAnsi="Century Gothic"/>
              </w:rPr>
              <w:t xml:space="preserve">Brookside II </w:t>
            </w:r>
            <w:r w:rsidR="00BF1E51">
              <w:rPr>
                <w:rFonts w:ascii="Century Gothic" w:hAnsi="Century Gothic"/>
              </w:rPr>
              <w:t>– 33%</w:t>
            </w:r>
            <w:r w:rsidR="008D26A6">
              <w:rPr>
                <w:rFonts w:ascii="Century Gothic" w:hAnsi="Century Gothic"/>
              </w:rPr>
              <w:t xml:space="preserve"> (a</w:t>
            </w:r>
            <w:r w:rsidR="1A5D0861" w:rsidRPr="008A3AE7">
              <w:rPr>
                <w:rFonts w:ascii="Century Gothic" w:hAnsi="Century Gothic"/>
              </w:rPr>
              <w:t>llocation</w:t>
            </w:r>
            <w:r w:rsidRPr="008A3AE7">
              <w:rPr>
                <w:rFonts w:ascii="Century Gothic" w:hAnsi="Century Gothic"/>
              </w:rPr>
              <w:t xml:space="preserve"> between the 50% &amp; 80% AMI</w:t>
            </w:r>
            <w:r w:rsidR="008D26A6">
              <w:rPr>
                <w:rFonts w:ascii="Century Gothic" w:hAnsi="Century Gothic"/>
              </w:rPr>
              <w:t xml:space="preserve">) </w:t>
            </w:r>
          </w:p>
          <w:p w14:paraId="79430EE7" w14:textId="4C31B651" w:rsidR="090392C3" w:rsidRPr="008A3AE7" w:rsidRDefault="090392C3" w:rsidP="090392C3">
            <w:pPr>
              <w:rPr>
                <w:rFonts w:ascii="Century Gothic" w:hAnsi="Century Gothic"/>
              </w:rPr>
            </w:pPr>
          </w:p>
          <w:p w14:paraId="13D5D9CD" w14:textId="77777777" w:rsidR="008C74BD" w:rsidRDefault="008C74BD" w:rsidP="00A25DB4">
            <w:pPr>
              <w:rPr>
                <w:rFonts w:ascii="Century Gothic" w:hAnsi="Century Gothic"/>
              </w:rPr>
            </w:pPr>
          </w:p>
          <w:p w14:paraId="48F804CD" w14:textId="77777777" w:rsidR="008C74BD" w:rsidRDefault="008C74BD" w:rsidP="00A25DB4">
            <w:pPr>
              <w:rPr>
                <w:rFonts w:ascii="Century Gothic" w:hAnsi="Century Gothic"/>
              </w:rPr>
            </w:pPr>
          </w:p>
          <w:p w14:paraId="3317280E" w14:textId="0E114E5D" w:rsidR="00A25DB4" w:rsidRPr="008A3AE7" w:rsidRDefault="70B546D3" w:rsidP="00A25DB4">
            <w:pPr>
              <w:rPr>
                <w:rFonts w:ascii="Century Gothic" w:hAnsi="Century Gothic"/>
              </w:rPr>
            </w:pPr>
            <w:r w:rsidRPr="008A3AE7">
              <w:rPr>
                <w:rFonts w:ascii="Century Gothic" w:hAnsi="Century Gothic"/>
              </w:rPr>
              <w:t>2023</w:t>
            </w:r>
          </w:p>
          <w:p w14:paraId="1A686B6B" w14:textId="5DC7ADB2" w:rsidR="00A25DB4"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 xml:space="preserve">0% of new PBV households at Brookside Phase I families were </w:t>
            </w:r>
            <w:r w:rsidRPr="008A3AE7">
              <w:rPr>
                <w:rFonts w:ascii="Century Gothic" w:hAnsi="Century Gothic"/>
              </w:rPr>
              <w:lastRenderedPageBreak/>
              <w:t xml:space="preserve">between 50% &amp; 80% AMI. </w:t>
            </w:r>
          </w:p>
          <w:p w14:paraId="32EDA28B" w14:textId="46074D08" w:rsidR="00A25DB4" w:rsidRPr="008A3AE7" w:rsidRDefault="6B4C8A4B" w:rsidP="00486062">
            <w:pPr>
              <w:pStyle w:val="ListParagraph"/>
              <w:numPr>
                <w:ilvl w:val="0"/>
                <w:numId w:val="63"/>
              </w:numPr>
              <w:ind w:left="250" w:hanging="250"/>
              <w:rPr>
                <w:rFonts w:ascii="Century Gothic" w:hAnsi="Century Gothic"/>
              </w:rPr>
            </w:pPr>
            <w:r w:rsidRPr="008A3AE7">
              <w:rPr>
                <w:rFonts w:ascii="Century Gothic" w:hAnsi="Century Gothic"/>
              </w:rPr>
              <w:t xml:space="preserve">33% </w:t>
            </w:r>
            <w:r w:rsidR="14C0AA3A" w:rsidRPr="008A3AE7">
              <w:rPr>
                <w:rFonts w:ascii="Century Gothic" w:hAnsi="Century Gothic"/>
              </w:rPr>
              <w:t xml:space="preserve">of TOTAL households at Brookside Phase I were between </w:t>
            </w:r>
            <w:proofErr w:type="gramStart"/>
            <w:r w:rsidR="14C0AA3A" w:rsidRPr="008A3AE7">
              <w:rPr>
                <w:rFonts w:ascii="Century Gothic" w:hAnsi="Century Gothic"/>
              </w:rPr>
              <w:t>the 50</w:t>
            </w:r>
            <w:proofErr w:type="gramEnd"/>
            <w:r w:rsidR="14C0AA3A" w:rsidRPr="008A3AE7">
              <w:rPr>
                <w:rFonts w:ascii="Century Gothic" w:hAnsi="Century Gothic"/>
              </w:rPr>
              <w:t>% to 80% AMI.</w:t>
            </w:r>
          </w:p>
          <w:p w14:paraId="00EA0B3C" w14:textId="0122AAC7" w:rsidR="00A25DB4" w:rsidRPr="008A3AE7" w:rsidRDefault="144362D6" w:rsidP="00486062">
            <w:pPr>
              <w:pStyle w:val="ListParagraph"/>
              <w:numPr>
                <w:ilvl w:val="0"/>
                <w:numId w:val="63"/>
              </w:numPr>
              <w:ind w:left="250" w:hanging="250"/>
              <w:rPr>
                <w:rFonts w:ascii="Century Gothic" w:hAnsi="Century Gothic"/>
              </w:rPr>
            </w:pPr>
            <w:r w:rsidRPr="008A3AE7">
              <w:rPr>
                <w:rFonts w:ascii="Century Gothic" w:hAnsi="Century Gothic"/>
              </w:rPr>
              <w:t xml:space="preserve"> 0</w:t>
            </w:r>
            <w:r w:rsidR="63FABB85" w:rsidRPr="008A3AE7">
              <w:rPr>
                <w:rFonts w:ascii="Century Gothic" w:hAnsi="Century Gothic"/>
              </w:rPr>
              <w:t>% of new PBV households at Brookside Phase II were between 50% &amp; 80% AMI.</w:t>
            </w:r>
            <w:r w:rsidR="08905D45" w:rsidRPr="008A3AE7">
              <w:rPr>
                <w:rFonts w:ascii="Century Gothic" w:hAnsi="Century Gothic"/>
              </w:rPr>
              <w:t xml:space="preserve"> </w:t>
            </w:r>
          </w:p>
          <w:p w14:paraId="72F01623" w14:textId="5349CE5E" w:rsidR="00A25DB4"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33% of total households at Brookside Phase II were between the 50% &amp; 80% AMI</w:t>
            </w:r>
            <w:proofErr w:type="gramStart"/>
            <w:r w:rsidRPr="008A3AE7">
              <w:rPr>
                <w:rFonts w:ascii="Century Gothic" w:hAnsi="Century Gothic"/>
              </w:rPr>
              <w:t>.</w:t>
            </w:r>
            <w:r w:rsidR="5D9BF178" w:rsidRPr="008A3AE7">
              <w:rPr>
                <w:rFonts w:ascii="Century Gothic" w:hAnsi="Century Gothic"/>
              </w:rPr>
              <w:t>12</w:t>
            </w:r>
            <w:proofErr w:type="gramEnd"/>
            <w:r w:rsidR="5D9BF178" w:rsidRPr="008A3AE7">
              <w:rPr>
                <w:rFonts w:ascii="Century Gothic" w:hAnsi="Century Gothic"/>
              </w:rPr>
              <w:t xml:space="preserve">% </w:t>
            </w:r>
            <w:r w:rsidR="14C0AA3A" w:rsidRPr="008A3AE7">
              <w:rPr>
                <w:rFonts w:ascii="Century Gothic" w:hAnsi="Century Gothic"/>
              </w:rPr>
              <w:t>of families in applicable developments have incomes between 50% &amp; 80% AMI</w:t>
            </w:r>
          </w:p>
          <w:p w14:paraId="76B030B6" w14:textId="77777777" w:rsidR="00A25DB4" w:rsidRPr="008A3AE7" w:rsidRDefault="00A25DB4" w:rsidP="0D8BAA9B">
            <w:pPr>
              <w:rPr>
                <w:rFonts w:ascii="Century Gothic" w:hAnsi="Century Gothic"/>
              </w:rPr>
            </w:pPr>
          </w:p>
          <w:p w14:paraId="37CED59D" w14:textId="12A247FB" w:rsidR="2F2E9342" w:rsidRPr="008A3AE7" w:rsidRDefault="2F2E9342" w:rsidP="0D8BAA9B">
            <w:pPr>
              <w:rPr>
                <w:rFonts w:ascii="Century Gothic" w:hAnsi="Century Gothic"/>
              </w:rPr>
            </w:pPr>
            <w:r w:rsidRPr="008A3AE7">
              <w:rPr>
                <w:rFonts w:ascii="Century Gothic" w:hAnsi="Century Gothic"/>
              </w:rPr>
              <w:t>2022</w:t>
            </w:r>
          </w:p>
          <w:p w14:paraId="17A65275" w14:textId="2AB02BBC" w:rsidR="2F2E9342"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 xml:space="preserve">3% of new PBV households at Brookside Phase I families were between 50% &amp; 80% AMI. </w:t>
            </w:r>
          </w:p>
          <w:p w14:paraId="6D1C06AB" w14:textId="61559D18" w:rsidR="395D896D"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 xml:space="preserve">52% of TOTAL households at Brookside Phase I were between </w:t>
            </w:r>
            <w:proofErr w:type="gramStart"/>
            <w:r w:rsidRPr="008A3AE7">
              <w:rPr>
                <w:rFonts w:ascii="Century Gothic" w:hAnsi="Century Gothic"/>
              </w:rPr>
              <w:t>the 50</w:t>
            </w:r>
            <w:proofErr w:type="gramEnd"/>
            <w:r w:rsidRPr="008A3AE7">
              <w:rPr>
                <w:rFonts w:ascii="Century Gothic" w:hAnsi="Century Gothic"/>
              </w:rPr>
              <w:t>% to 80% AMI.</w:t>
            </w:r>
          </w:p>
          <w:p w14:paraId="2F30A6B5" w14:textId="73117E22" w:rsidR="2F2E9342"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4% of new PBV households at Brookside Phase II were between 50% &amp; 80% AMI.</w:t>
            </w:r>
          </w:p>
          <w:p w14:paraId="2159B294" w14:textId="7D448C98" w:rsidR="18599D47" w:rsidRPr="008A3AE7" w:rsidRDefault="04C6631A" w:rsidP="00486062">
            <w:pPr>
              <w:pStyle w:val="ListParagraph"/>
              <w:numPr>
                <w:ilvl w:val="0"/>
                <w:numId w:val="63"/>
              </w:numPr>
              <w:ind w:left="250" w:hanging="250"/>
              <w:rPr>
                <w:rFonts w:ascii="Century Gothic" w:hAnsi="Century Gothic"/>
              </w:rPr>
            </w:pPr>
            <w:r w:rsidRPr="008A3AE7">
              <w:rPr>
                <w:rFonts w:ascii="Century Gothic" w:hAnsi="Century Gothic"/>
              </w:rPr>
              <w:t xml:space="preserve">16% of total households at Brookside Phase II were between </w:t>
            </w:r>
            <w:proofErr w:type="gramStart"/>
            <w:r w:rsidRPr="008A3AE7">
              <w:rPr>
                <w:rFonts w:ascii="Century Gothic" w:hAnsi="Century Gothic"/>
              </w:rPr>
              <w:t>the 50</w:t>
            </w:r>
            <w:proofErr w:type="gramEnd"/>
            <w:r w:rsidRPr="008A3AE7">
              <w:rPr>
                <w:rFonts w:ascii="Century Gothic" w:hAnsi="Century Gothic"/>
              </w:rPr>
              <w:t>% &amp; 80% AMI.</w:t>
            </w:r>
          </w:p>
          <w:p w14:paraId="34D9470D" w14:textId="105389B7" w:rsidR="0D8BAA9B" w:rsidRPr="00223985" w:rsidRDefault="04C6631A" w:rsidP="002A35F2">
            <w:pPr>
              <w:pStyle w:val="ListParagraph"/>
              <w:numPr>
                <w:ilvl w:val="0"/>
                <w:numId w:val="63"/>
              </w:numPr>
              <w:ind w:left="250" w:hanging="250"/>
              <w:rPr>
                <w:rFonts w:ascii="Century Gothic" w:eastAsia="MS PGothic" w:hAnsi="Century Gothic"/>
              </w:rPr>
            </w:pPr>
            <w:r w:rsidRPr="00223985">
              <w:rPr>
                <w:rFonts w:ascii="Century Gothic" w:hAnsi="Century Gothic"/>
              </w:rPr>
              <w:t xml:space="preserve">5% of families in applicable developments have </w:t>
            </w:r>
            <w:r w:rsidRPr="00223985">
              <w:rPr>
                <w:rFonts w:ascii="Century Gothic" w:hAnsi="Century Gothic"/>
              </w:rPr>
              <w:lastRenderedPageBreak/>
              <w:t>incomes between 50% &amp; 80% AMI.</w:t>
            </w:r>
          </w:p>
          <w:p w14:paraId="5F2B7F60" w14:textId="31B92DC0" w:rsidR="001717CC" w:rsidRPr="008A3AE7" w:rsidRDefault="001717CC" w:rsidP="00FC071D">
            <w:pPr>
              <w:pStyle w:val="ListParagraph"/>
              <w:rPr>
                <w:rFonts w:ascii="Century Gothic" w:eastAsia="MS PGothic" w:hAnsi="Century Gothic"/>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2C2784B" w14:textId="4DD84000" w:rsidR="00E161C0" w:rsidRPr="008A3AE7" w:rsidRDefault="409F0580" w:rsidP="00E161C0">
            <w:pPr>
              <w:rPr>
                <w:rFonts w:ascii="Century Gothic" w:hAnsi="Century Gothic"/>
              </w:rPr>
            </w:pPr>
            <w:r w:rsidRPr="008A3AE7">
              <w:rPr>
                <w:rFonts w:ascii="Century Gothic" w:hAnsi="Century Gothic"/>
              </w:rPr>
              <w:lastRenderedPageBreak/>
              <w:t>No</w:t>
            </w:r>
          </w:p>
        </w:tc>
      </w:tr>
    </w:tbl>
    <w:p w14:paraId="67751B46" w14:textId="6D08047E" w:rsidR="0E6C54AB" w:rsidRPr="00D44C64" w:rsidRDefault="0E6C54AB" w:rsidP="0E6C54AB">
      <w:pPr>
        <w:rPr>
          <w:rFonts w:ascii="Century Gothic" w:hAnsi="Century Gothic"/>
        </w:rPr>
      </w:pPr>
    </w:p>
    <w:p w14:paraId="40A67C88" w14:textId="03FD1BB5" w:rsidR="003455FD" w:rsidRPr="00D44C64" w:rsidRDefault="003455FD" w:rsidP="00DB4609">
      <w:pPr>
        <w:pStyle w:val="Heading4"/>
        <w:rPr>
          <w:rStyle w:val="SubtleEmphasis"/>
          <w:rFonts w:ascii="Century Gothic" w:hAnsi="Century Gothic" w:cs="Times New Roman"/>
          <w:color w:val="808080" w:themeColor="background1" w:themeShade="80"/>
          <w:sz w:val="22"/>
        </w:rPr>
      </w:pPr>
      <w:r w:rsidRPr="00D44C64">
        <w:rPr>
          <w:rStyle w:val="SubtleEmphasis"/>
          <w:rFonts w:ascii="Century Gothic" w:hAnsi="Century Gothic" w:cs="Times New Roman"/>
          <w:color w:val="808080" w:themeColor="background1" w:themeShade="80"/>
          <w:sz w:val="22"/>
        </w:rPr>
        <w:t>Actual Non-Significant Changes</w:t>
      </w:r>
    </w:p>
    <w:p w14:paraId="1373617A" w14:textId="7ABF5CA5" w:rsidR="003455FD" w:rsidRPr="00D44C64" w:rsidRDefault="4512D4E9" w:rsidP="4566E4F4">
      <w:pPr>
        <w:pStyle w:val="Heading4"/>
        <w:rPr>
          <w:rStyle w:val="SubtleEmphasis"/>
          <w:rFonts w:ascii="Century Gothic" w:hAnsi="Century Gothic" w:cs="Times New Roman"/>
          <w:b w:val="0"/>
          <w:color w:val="auto"/>
          <w:sz w:val="22"/>
        </w:rPr>
      </w:pPr>
      <w:r w:rsidRPr="00D44C64">
        <w:rPr>
          <w:rStyle w:val="SubtleEmphasis"/>
          <w:rFonts w:ascii="Century Gothic" w:hAnsi="Century Gothic" w:cs="Times New Roman"/>
          <w:b w:val="0"/>
          <w:color w:val="auto"/>
          <w:sz w:val="22"/>
        </w:rPr>
        <w:t>None</w:t>
      </w:r>
    </w:p>
    <w:p w14:paraId="2BF83556" w14:textId="04D4AF63" w:rsidR="002E6847" w:rsidRPr="00D44C64" w:rsidRDefault="002E6847" w:rsidP="006A0E45">
      <w:pPr>
        <w:pStyle w:val="Heading4"/>
        <w:rPr>
          <w:rStyle w:val="SubtleEmphasis"/>
          <w:rFonts w:ascii="Century Gothic" w:hAnsi="Century Gothic" w:cs="Times New Roman"/>
          <w:color w:val="808080" w:themeColor="background1" w:themeShade="80"/>
          <w:sz w:val="22"/>
        </w:rPr>
      </w:pPr>
      <w:r w:rsidRPr="00D44C64">
        <w:rPr>
          <w:rStyle w:val="SubtleEmphasis"/>
          <w:rFonts w:ascii="Century Gothic" w:hAnsi="Century Gothic" w:cs="Times New Roman"/>
          <w:color w:val="808080" w:themeColor="background1" w:themeShade="80"/>
          <w:sz w:val="22"/>
        </w:rPr>
        <w:t>Actual Significant Changes</w:t>
      </w:r>
    </w:p>
    <w:p w14:paraId="15D0796D" w14:textId="39B11019" w:rsidR="002E6847" w:rsidRPr="00D44C64" w:rsidRDefault="00351745" w:rsidP="732A48CF">
      <w:pPr>
        <w:rPr>
          <w:rFonts w:ascii="Century Gothic" w:hAnsi="Century Gothic"/>
          <w:b/>
        </w:rPr>
      </w:pPr>
      <w:r w:rsidRPr="00D44C64">
        <w:rPr>
          <w:rFonts w:ascii="Century Gothic" w:hAnsi="Century Gothic"/>
        </w:rPr>
        <w:t>None</w:t>
      </w:r>
    </w:p>
    <w:p w14:paraId="51E66CA4" w14:textId="77777777" w:rsidR="008C74BD" w:rsidRDefault="008C74BD" w:rsidP="00FF1ECA">
      <w:pPr>
        <w:rPr>
          <w:rFonts w:ascii="Century Gothic" w:hAnsi="Century Gothic"/>
          <w:b/>
          <w:bCs/>
          <w:szCs w:val="22"/>
        </w:rPr>
      </w:pPr>
      <w:bookmarkStart w:id="89" w:name="_Toc438788123"/>
      <w:bookmarkStart w:id="90" w:name="_Toc89871154"/>
      <w:bookmarkStart w:id="91" w:name="_Hlk112754344"/>
      <w:bookmarkEnd w:id="86"/>
    </w:p>
    <w:p w14:paraId="06B53219" w14:textId="77777777" w:rsidR="008C74BD" w:rsidRDefault="008C74BD" w:rsidP="00FF1ECA">
      <w:pPr>
        <w:rPr>
          <w:rFonts w:ascii="Century Gothic" w:hAnsi="Century Gothic"/>
          <w:b/>
          <w:bCs/>
          <w:szCs w:val="22"/>
        </w:rPr>
      </w:pPr>
    </w:p>
    <w:p w14:paraId="3B8F3428" w14:textId="72113815" w:rsidR="005841CB" w:rsidRPr="00D44C64" w:rsidRDefault="008C74BD" w:rsidP="008F7BA8">
      <w:pPr>
        <w:spacing w:after="160" w:line="276" w:lineRule="auto"/>
        <w:rPr>
          <w:rFonts w:ascii="Century Gothic" w:hAnsi="Century Gothic"/>
          <w:b/>
          <w:bCs/>
          <w:szCs w:val="22"/>
        </w:rPr>
      </w:pPr>
      <w:r>
        <w:rPr>
          <w:rFonts w:ascii="Century Gothic" w:hAnsi="Century Gothic"/>
          <w:b/>
          <w:bCs/>
          <w:szCs w:val="22"/>
        </w:rPr>
        <w:br w:type="page"/>
      </w:r>
      <w:r w:rsidR="00DE6A54" w:rsidRPr="00D44C64">
        <w:rPr>
          <w:rFonts w:ascii="Century Gothic" w:hAnsi="Century Gothic"/>
          <w:b/>
          <w:bCs/>
          <w:noProof/>
        </w:rPr>
        <w:lastRenderedPageBreak/>
        <mc:AlternateContent>
          <mc:Choice Requires="wps">
            <w:drawing>
              <wp:anchor distT="0" distB="0" distL="114300" distR="114300" simplePos="0" relativeHeight="251658255" behindDoc="0" locked="0" layoutInCell="1" allowOverlap="1" wp14:anchorId="504801D9" wp14:editId="033FA14E">
                <wp:simplePos x="0" y="0"/>
                <wp:positionH relativeFrom="margin">
                  <wp:posOffset>5433060</wp:posOffset>
                </wp:positionH>
                <wp:positionV relativeFrom="paragraph">
                  <wp:posOffset>350520</wp:posOffset>
                </wp:positionV>
                <wp:extent cx="1143000" cy="327660"/>
                <wp:effectExtent l="0" t="0" r="0" b="0"/>
                <wp:wrapTight wrapText="bothSides">
                  <wp:wrapPolygon edited="0">
                    <wp:start x="0" y="0"/>
                    <wp:lineTo x="0" y="21349"/>
                    <wp:lineTo x="21600" y="21349"/>
                    <wp:lineTo x="21600" y="0"/>
                    <wp:lineTo x="0" y="0"/>
                  </wp:wrapPolygon>
                </wp:wrapTight>
                <wp:docPr id="475"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27660"/>
                        </a:xfrm>
                        <a:prstGeom prst="round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E8185" w14:textId="77777777" w:rsidR="009F26DD" w:rsidRDefault="009F26DD" w:rsidP="005841CB">
                            <w:pPr>
                              <w:jc w:val="center"/>
                              <w:rPr>
                                <w:b/>
                                <w:szCs w:val="20"/>
                              </w:rPr>
                            </w:pPr>
                            <w:r w:rsidRPr="004F7D1C">
                              <w:rPr>
                                <w:b/>
                                <w:szCs w:val="20"/>
                              </w:rPr>
                              <w:t>Housing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4801D9" id="Rectangle: Rounded Corners 74" o:spid="_x0000_s1044" style="position:absolute;margin-left:427.8pt;margin-top:27.6pt;width:90pt;height:25.8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" fillcolor="#b5333c [3205]" strokecolor="white [3212]" strokeweight="1pt">
                <v:stroke joinstyle="miter"/>
                <v:path arrowok="t"/>
                <v:textbox>
                  <w:txbxContent>
                    <w:p w14:paraId="1F3E8185" w14:textId="77777777" w:rsidR="009F26DD" w:rsidRDefault="009F26DD" w:rsidP="005841CB">
                      <w:pPr>
                        <w:jc w:val="center"/>
                        <w:rPr>
                          <w:b/>
                          <w:szCs w:val="20"/>
                        </w:rPr>
                      </w:pPr>
                      <w:r w:rsidRPr="004F7D1C">
                        <w:rPr>
                          <w:b/>
                          <w:szCs w:val="20"/>
                        </w:rPr>
                        <w:t>Housing Choice</w:t>
                      </w:r>
                    </w:p>
                  </w:txbxContent>
                </v:textbox>
                <w10:wrap type="tight" anchorx="margin"/>
              </v:roundrect>
            </w:pict>
          </mc:Fallback>
        </mc:AlternateContent>
      </w:r>
      <w:r w:rsidR="005841CB" w:rsidRPr="00D44C64">
        <w:rPr>
          <w:rFonts w:ascii="Century Gothic" w:hAnsi="Century Gothic"/>
          <w:b/>
          <w:bCs/>
          <w:szCs w:val="22"/>
        </w:rPr>
        <w:t>Initiative – 1.6 Deconcentration of Poverty (promoting expanded housing opportunities for HCV and PBV program)</w:t>
      </w:r>
      <w:bookmarkEnd w:id="89"/>
      <w:bookmarkEnd w:id="90"/>
    </w:p>
    <w:p w14:paraId="68FCB2B5" w14:textId="77777777" w:rsidR="00FF1ECA" w:rsidRPr="00D44C64" w:rsidRDefault="00FF1ECA" w:rsidP="00D44C64">
      <w:pPr>
        <w:rPr>
          <w:rFonts w:ascii="Century Gothic" w:hAnsi="Century Gothic"/>
          <w:szCs w:val="22"/>
        </w:rPr>
      </w:pPr>
    </w:p>
    <w:p w14:paraId="7FD0C85B" w14:textId="7D90EDDA" w:rsidR="005841CB" w:rsidRPr="00D44C64" w:rsidRDefault="005841CB" w:rsidP="005841CB">
      <w:pPr>
        <w:rPr>
          <w:rFonts w:ascii="Century Gothic" w:eastAsia="Calibri" w:hAnsi="Century Gothic"/>
          <w:szCs w:val="22"/>
        </w:rPr>
      </w:pPr>
      <w:r w:rsidRPr="00D44C64">
        <w:rPr>
          <w:rFonts w:ascii="Century Gothic" w:eastAsia="Calibri" w:hAnsi="Century Gothic"/>
          <w:szCs w:val="22"/>
        </w:rPr>
        <w:t xml:space="preserve">Approved in FY08 and implemented in FY09. </w:t>
      </w:r>
      <w:r w:rsidR="00860F13" w:rsidRPr="00D44C64">
        <w:rPr>
          <w:rFonts w:ascii="Century Gothic" w:eastAsia="Calibri" w:hAnsi="Century Gothic"/>
          <w:szCs w:val="22"/>
        </w:rPr>
        <w:t xml:space="preserve"> Updated in FY2020.</w:t>
      </w:r>
    </w:p>
    <w:p w14:paraId="07A3457F" w14:textId="77777777" w:rsidR="005841CB" w:rsidRPr="00D44C64" w:rsidRDefault="005841CB" w:rsidP="005841CB">
      <w:pPr>
        <w:rPr>
          <w:rFonts w:ascii="Century Gothic" w:hAnsi="Century Gothic"/>
          <w:szCs w:val="22"/>
        </w:rPr>
      </w:pPr>
    </w:p>
    <w:p w14:paraId="1DADC51F" w14:textId="1C0490BA" w:rsidR="005841CB" w:rsidRPr="00D44C64" w:rsidRDefault="0E88B26B" w:rsidP="0E6C54AB">
      <w:pPr>
        <w:pStyle w:val="Heading4"/>
        <w:rPr>
          <w:rStyle w:val="SubtleEmphasis"/>
          <w:rFonts w:ascii="Century Gothic" w:hAnsi="Century Gothic" w:cs="Times New Roman"/>
          <w:sz w:val="22"/>
        </w:rPr>
      </w:pPr>
      <w:r w:rsidRPr="00D44C64">
        <w:rPr>
          <w:rStyle w:val="SubtleEmphasis"/>
          <w:rFonts w:ascii="Century Gothic" w:hAnsi="Century Gothic" w:cs="Times New Roman"/>
          <w:sz w:val="22"/>
        </w:rPr>
        <w:t xml:space="preserve">Description </w:t>
      </w:r>
    </w:p>
    <w:p w14:paraId="4C475957" w14:textId="51374EF3" w:rsidR="001C730A" w:rsidRPr="00D44C64" w:rsidRDefault="001C730A" w:rsidP="001C730A">
      <w:pPr>
        <w:autoSpaceDE w:val="0"/>
        <w:autoSpaceDN w:val="0"/>
        <w:adjustRightInd w:val="0"/>
        <w:rPr>
          <w:rFonts w:ascii="Century Gothic" w:eastAsia="Calibri" w:hAnsi="Century Gothic"/>
          <w:bCs/>
          <w:szCs w:val="22"/>
        </w:rPr>
      </w:pPr>
      <w:r w:rsidRPr="00D44C64">
        <w:rPr>
          <w:rFonts w:ascii="Century Gothic" w:eastAsia="Calibri" w:hAnsi="Century Gothic"/>
          <w:bCs/>
          <w:szCs w:val="22"/>
        </w:rPr>
        <w:t xml:space="preserve">Under ECC/HANH’s MTW Agreement with HUD, ECC/HANH is authorized to develop its own Leased Housing Program through exceptions to the standard HCV program, for the purposes of creating a successful program with stable landlords, high-quality properties, and mixed-income neighborhoods. This includes reasonable policies for setting rents and subsidy levels for tenant-based assistance. </w:t>
      </w:r>
    </w:p>
    <w:p w14:paraId="505143A7" w14:textId="77777777" w:rsidR="008F5AEF" w:rsidRPr="00D44C64" w:rsidRDefault="008F5AEF" w:rsidP="001C730A">
      <w:pPr>
        <w:autoSpaceDE w:val="0"/>
        <w:autoSpaceDN w:val="0"/>
        <w:adjustRightInd w:val="0"/>
        <w:rPr>
          <w:rFonts w:ascii="Century Gothic" w:eastAsia="Calibri" w:hAnsi="Century Gothic"/>
          <w:bCs/>
          <w:szCs w:val="22"/>
        </w:rPr>
      </w:pPr>
    </w:p>
    <w:p w14:paraId="48560EE8" w14:textId="79B79085" w:rsidR="008F5AEF" w:rsidRPr="008C74BD" w:rsidRDefault="008F5AEF" w:rsidP="008F5AEF">
      <w:pPr>
        <w:autoSpaceDE w:val="0"/>
        <w:autoSpaceDN w:val="0"/>
        <w:adjustRightInd w:val="0"/>
        <w:rPr>
          <w:rFonts w:ascii="Century Gothic" w:eastAsia="Calibri" w:hAnsi="Century Gothic"/>
          <w:b/>
          <w:bCs/>
          <w:i/>
          <w:iCs/>
          <w:color w:val="000000" w:themeColor="text1"/>
        </w:rPr>
      </w:pPr>
      <w:r w:rsidRPr="008C74BD">
        <w:rPr>
          <w:rFonts w:ascii="Century Gothic" w:eastAsia="Calibri" w:hAnsi="Century Gothic"/>
          <w:b/>
          <w:bCs/>
          <w:i/>
          <w:iCs/>
          <w:color w:val="000000" w:themeColor="text1"/>
        </w:rPr>
        <w:t>Exception Rents</w:t>
      </w:r>
    </w:p>
    <w:p w14:paraId="2886B180" w14:textId="588BAD51" w:rsidR="008F5AEF" w:rsidRPr="00D44C64" w:rsidRDefault="006663AD" w:rsidP="008F5AEF">
      <w:pPr>
        <w:autoSpaceDE w:val="0"/>
        <w:autoSpaceDN w:val="0"/>
        <w:adjustRightInd w:val="0"/>
        <w:rPr>
          <w:rFonts w:ascii="Century Gothic" w:eastAsia="Calibri" w:hAnsi="Century Gothic"/>
          <w:color w:val="000000"/>
        </w:rPr>
      </w:pPr>
      <w:r w:rsidRPr="00D44C64">
        <w:rPr>
          <w:rFonts w:ascii="Century Gothic" w:eastAsia="Calibri" w:hAnsi="Century Gothic"/>
          <w:color w:val="000000" w:themeColor="text1"/>
        </w:rPr>
        <w:t xml:space="preserve">During FY2008, </w:t>
      </w:r>
      <w:r w:rsidR="008F5AEF" w:rsidRPr="00D44C64">
        <w:rPr>
          <w:rFonts w:ascii="Century Gothic" w:eastAsia="Calibri" w:hAnsi="Century Gothic"/>
          <w:color w:val="000000" w:themeColor="text1"/>
        </w:rPr>
        <w:t xml:space="preserve">ECC/HANH implemented MTW Rent Standards that allowed ECC/HANH to approve exception rents up to 150% of the Voucher Payment Standard (VPS) to allow families to access housing in the following cases: </w:t>
      </w:r>
    </w:p>
    <w:p w14:paraId="52543F76" w14:textId="77777777" w:rsidR="008F5AEF" w:rsidRPr="00D44C64" w:rsidRDefault="008F5AEF" w:rsidP="00486062">
      <w:pPr>
        <w:pStyle w:val="ListParagraph"/>
        <w:numPr>
          <w:ilvl w:val="0"/>
          <w:numId w:val="71"/>
        </w:numPr>
        <w:autoSpaceDE w:val="0"/>
        <w:autoSpaceDN w:val="0"/>
        <w:adjustRightInd w:val="0"/>
        <w:rPr>
          <w:rFonts w:ascii="Century Gothic" w:eastAsia="Calibri" w:hAnsi="Century Gothic"/>
          <w:bCs/>
          <w:color w:val="000000"/>
          <w:szCs w:val="22"/>
        </w:rPr>
      </w:pPr>
      <w:r w:rsidRPr="00D44C64">
        <w:rPr>
          <w:rFonts w:ascii="Century Gothic" w:eastAsia="Calibri" w:hAnsi="Century Gothic"/>
          <w:color w:val="000000" w:themeColor="text1"/>
          <w:szCs w:val="22"/>
        </w:rPr>
        <w:t xml:space="preserve">Wheelchair accessible units. </w:t>
      </w:r>
    </w:p>
    <w:p w14:paraId="0513620B" w14:textId="77777777" w:rsidR="008F5AEF" w:rsidRPr="00D44C64" w:rsidRDefault="008F5AEF" w:rsidP="00486062">
      <w:pPr>
        <w:pStyle w:val="ListParagraph"/>
        <w:numPr>
          <w:ilvl w:val="0"/>
          <w:numId w:val="71"/>
        </w:numPr>
        <w:autoSpaceDE w:val="0"/>
        <w:autoSpaceDN w:val="0"/>
        <w:adjustRightInd w:val="0"/>
        <w:rPr>
          <w:rFonts w:ascii="Century Gothic" w:eastAsia="Calibri" w:hAnsi="Century Gothic"/>
          <w:bCs/>
          <w:color w:val="000000"/>
          <w:szCs w:val="22"/>
        </w:rPr>
      </w:pPr>
      <w:r w:rsidRPr="00D44C64">
        <w:rPr>
          <w:rFonts w:ascii="Century Gothic" w:eastAsia="Calibri" w:hAnsi="Century Gothic"/>
          <w:color w:val="000000" w:themeColor="text1"/>
          <w:szCs w:val="22"/>
        </w:rPr>
        <w:t xml:space="preserve">Large bedroom-size units, (4 bedrooms or larger). </w:t>
      </w:r>
    </w:p>
    <w:p w14:paraId="53A5011C" w14:textId="77777777" w:rsidR="008F5AEF" w:rsidRPr="00D44C64" w:rsidRDefault="008F5AEF" w:rsidP="00486062">
      <w:pPr>
        <w:pStyle w:val="ListParagraph"/>
        <w:numPr>
          <w:ilvl w:val="0"/>
          <w:numId w:val="71"/>
        </w:numPr>
        <w:autoSpaceDE w:val="0"/>
        <w:autoSpaceDN w:val="0"/>
        <w:adjustRightInd w:val="0"/>
        <w:rPr>
          <w:rFonts w:ascii="Century Gothic" w:eastAsia="Calibri" w:hAnsi="Century Gothic"/>
          <w:bCs/>
          <w:color w:val="000000"/>
          <w:szCs w:val="22"/>
        </w:rPr>
      </w:pPr>
      <w:r w:rsidRPr="00D44C64">
        <w:rPr>
          <w:rFonts w:ascii="Century Gothic" w:eastAsia="Calibri" w:hAnsi="Century Gothic"/>
          <w:color w:val="000000" w:themeColor="text1"/>
          <w:szCs w:val="22"/>
        </w:rPr>
        <w:t xml:space="preserve">Expanded housing opportunities in neighborhoods with low concentrations of poverty. </w:t>
      </w:r>
    </w:p>
    <w:p w14:paraId="7C286317" w14:textId="77777777" w:rsidR="008F5AEF" w:rsidRPr="00D44C64" w:rsidRDefault="008F5AEF" w:rsidP="00486062">
      <w:pPr>
        <w:pStyle w:val="ListParagraph"/>
        <w:numPr>
          <w:ilvl w:val="0"/>
          <w:numId w:val="71"/>
        </w:numPr>
        <w:autoSpaceDE w:val="0"/>
        <w:autoSpaceDN w:val="0"/>
        <w:adjustRightInd w:val="0"/>
        <w:rPr>
          <w:rFonts w:ascii="Century Gothic" w:eastAsia="Calibri" w:hAnsi="Century Gothic"/>
          <w:bCs/>
          <w:color w:val="000000"/>
          <w:szCs w:val="22"/>
        </w:rPr>
      </w:pPr>
      <w:r w:rsidRPr="00D44C64">
        <w:rPr>
          <w:rFonts w:ascii="Century Gothic" w:eastAsia="Calibri" w:hAnsi="Century Gothic"/>
          <w:color w:val="000000" w:themeColor="text1"/>
          <w:szCs w:val="22"/>
        </w:rPr>
        <w:t>Housing opportunities in new development projects that include significant public investment to promote revitalization of neighborhoods; and</w:t>
      </w:r>
    </w:p>
    <w:p w14:paraId="346E53FB" w14:textId="77777777" w:rsidR="008F5AEF" w:rsidRPr="00D44C64" w:rsidRDefault="008F5AEF" w:rsidP="00486062">
      <w:pPr>
        <w:pStyle w:val="ListParagraph"/>
        <w:numPr>
          <w:ilvl w:val="0"/>
          <w:numId w:val="71"/>
        </w:numPr>
        <w:autoSpaceDE w:val="0"/>
        <w:autoSpaceDN w:val="0"/>
        <w:adjustRightInd w:val="0"/>
        <w:rPr>
          <w:rFonts w:ascii="Century Gothic" w:eastAsia="Calibri" w:hAnsi="Century Gothic"/>
          <w:bCs/>
          <w:color w:val="000000"/>
          <w:szCs w:val="22"/>
        </w:rPr>
      </w:pPr>
      <w:r w:rsidRPr="00D44C64">
        <w:rPr>
          <w:rFonts w:ascii="Century Gothic" w:eastAsia="Calibri" w:hAnsi="Century Gothic"/>
          <w:color w:val="000000" w:themeColor="text1"/>
          <w:szCs w:val="22"/>
        </w:rPr>
        <w:t xml:space="preserve"> Mixed-income housing opportunities that promote expanded housing opportunities and de-concentration of poverty. </w:t>
      </w:r>
    </w:p>
    <w:p w14:paraId="079889F2" w14:textId="77777777" w:rsidR="008F5AEF" w:rsidRPr="00D44C64" w:rsidRDefault="008F5AEF" w:rsidP="00486062">
      <w:pPr>
        <w:pStyle w:val="ListParagraph"/>
        <w:numPr>
          <w:ilvl w:val="0"/>
          <w:numId w:val="71"/>
        </w:numPr>
        <w:autoSpaceDE w:val="0"/>
        <w:autoSpaceDN w:val="0"/>
        <w:adjustRightInd w:val="0"/>
        <w:rPr>
          <w:rFonts w:ascii="Century Gothic" w:eastAsia="Calibri" w:hAnsi="Century Gothic"/>
          <w:bCs/>
          <w:color w:val="000000"/>
          <w:szCs w:val="22"/>
        </w:rPr>
      </w:pPr>
      <w:r w:rsidRPr="00D44C64">
        <w:rPr>
          <w:rFonts w:ascii="Century Gothic" w:eastAsia="Calibri" w:hAnsi="Century Gothic"/>
          <w:color w:val="000000" w:themeColor="text1"/>
          <w:szCs w:val="22"/>
        </w:rPr>
        <w:t>ECC/HANH approved budget-based rent increases for landlords who make major capital improvements in their property, including accessibility modifications.</w:t>
      </w:r>
    </w:p>
    <w:p w14:paraId="3F2FA529" w14:textId="77777777" w:rsidR="00AF184D" w:rsidRPr="00D44C64" w:rsidRDefault="00AF184D" w:rsidP="001C730A">
      <w:pPr>
        <w:autoSpaceDE w:val="0"/>
        <w:autoSpaceDN w:val="0"/>
        <w:adjustRightInd w:val="0"/>
        <w:rPr>
          <w:rFonts w:ascii="Century Gothic" w:eastAsia="Calibri" w:hAnsi="Century Gothic"/>
          <w:bCs/>
          <w:szCs w:val="22"/>
        </w:rPr>
      </w:pPr>
    </w:p>
    <w:p w14:paraId="5953659B" w14:textId="77777777" w:rsidR="00647ECC" w:rsidRPr="00D44C64" w:rsidRDefault="001C730A" w:rsidP="001C730A">
      <w:pPr>
        <w:autoSpaceDE w:val="0"/>
        <w:autoSpaceDN w:val="0"/>
        <w:adjustRightInd w:val="0"/>
        <w:rPr>
          <w:rFonts w:ascii="Century Gothic" w:eastAsia="Calibri" w:hAnsi="Century Gothic"/>
          <w:bCs/>
          <w:szCs w:val="22"/>
        </w:rPr>
      </w:pPr>
      <w:r w:rsidRPr="00D44C64">
        <w:rPr>
          <w:rFonts w:ascii="Century Gothic" w:eastAsia="Calibri" w:hAnsi="Century Gothic"/>
          <w:bCs/>
          <w:szCs w:val="22"/>
        </w:rPr>
        <w:t xml:space="preserve">Requests for MTW Rent Standards will be reviewed on a case-by-case basis. Under no circumstances may ECC/HANH approve an MTW Rent Standard above 150% without prior HUD approval. </w:t>
      </w:r>
    </w:p>
    <w:p w14:paraId="123107F8" w14:textId="77777777" w:rsidR="00647ECC" w:rsidRPr="00D44C64" w:rsidRDefault="00647ECC" w:rsidP="001C730A">
      <w:pPr>
        <w:autoSpaceDE w:val="0"/>
        <w:autoSpaceDN w:val="0"/>
        <w:adjustRightInd w:val="0"/>
        <w:rPr>
          <w:rFonts w:ascii="Century Gothic" w:eastAsia="Calibri" w:hAnsi="Century Gothic"/>
          <w:bCs/>
          <w:szCs w:val="22"/>
        </w:rPr>
      </w:pPr>
    </w:p>
    <w:p w14:paraId="075CCE54" w14:textId="4329BF62" w:rsidR="001C730A" w:rsidRPr="00D44C64" w:rsidRDefault="001C730A" w:rsidP="001C730A">
      <w:pPr>
        <w:autoSpaceDE w:val="0"/>
        <w:autoSpaceDN w:val="0"/>
        <w:adjustRightInd w:val="0"/>
        <w:rPr>
          <w:rFonts w:ascii="Century Gothic" w:eastAsia="Calibri" w:hAnsi="Century Gothic"/>
          <w:bCs/>
          <w:szCs w:val="22"/>
        </w:rPr>
      </w:pPr>
      <w:r w:rsidRPr="00D44C64">
        <w:rPr>
          <w:rFonts w:ascii="Century Gothic" w:eastAsia="Calibri" w:hAnsi="Century Gothic"/>
          <w:bCs/>
          <w:szCs w:val="22"/>
        </w:rPr>
        <w:t xml:space="preserve">ECC/HANH </w:t>
      </w:r>
      <w:r w:rsidR="00647ECC" w:rsidRPr="00D44C64">
        <w:rPr>
          <w:rFonts w:ascii="Century Gothic" w:eastAsia="Calibri" w:hAnsi="Century Gothic"/>
          <w:bCs/>
          <w:szCs w:val="22"/>
        </w:rPr>
        <w:t>continues to</w:t>
      </w:r>
      <w:r w:rsidRPr="00D44C64">
        <w:rPr>
          <w:rFonts w:ascii="Century Gothic" w:eastAsia="Calibri" w:hAnsi="Century Gothic"/>
          <w:bCs/>
          <w:szCs w:val="22"/>
        </w:rPr>
        <w:t xml:space="preserve"> reexamine its MTW Rent Standards monthly to ensure that ECC/HANH does not exceed 120% of the FMRs in the mean Rent Standard, which includes HAP payments to landlords, HAP RAD Payments, tenant rent payments to landlords, and any utility allowance amounts.</w:t>
      </w:r>
    </w:p>
    <w:p w14:paraId="0F0A7965" w14:textId="77777777" w:rsidR="001C730A" w:rsidRPr="00D44C64" w:rsidRDefault="001C730A" w:rsidP="002B3E3D">
      <w:pPr>
        <w:autoSpaceDE w:val="0"/>
        <w:autoSpaceDN w:val="0"/>
        <w:adjustRightInd w:val="0"/>
        <w:rPr>
          <w:rFonts w:ascii="Century Gothic" w:eastAsia="Calibri" w:hAnsi="Century Gothic"/>
          <w:bCs/>
          <w:szCs w:val="22"/>
        </w:rPr>
      </w:pPr>
    </w:p>
    <w:p w14:paraId="012A9418" w14:textId="77777777" w:rsidR="001C730A" w:rsidRPr="00D44C64" w:rsidRDefault="001C730A" w:rsidP="001C730A">
      <w:pPr>
        <w:autoSpaceDE w:val="0"/>
        <w:autoSpaceDN w:val="0"/>
        <w:adjustRightInd w:val="0"/>
        <w:rPr>
          <w:rFonts w:ascii="Century Gothic" w:eastAsia="Calibri" w:hAnsi="Century Gothic"/>
          <w:b/>
          <w:bCs/>
          <w:i/>
          <w:iCs/>
          <w:color w:val="000000" w:themeColor="text1"/>
        </w:rPr>
      </w:pPr>
      <w:r w:rsidRPr="00D44C64">
        <w:rPr>
          <w:rFonts w:ascii="Century Gothic" w:eastAsia="Calibri" w:hAnsi="Century Gothic"/>
          <w:b/>
          <w:bCs/>
          <w:i/>
          <w:iCs/>
          <w:color w:val="000000" w:themeColor="text1"/>
        </w:rPr>
        <w:t>Mobility Counseling and Incentives</w:t>
      </w:r>
    </w:p>
    <w:p w14:paraId="29BFEFED" w14:textId="77777777" w:rsidR="001C730A" w:rsidRPr="00D44C64" w:rsidRDefault="001C730A" w:rsidP="002B3E3D">
      <w:pPr>
        <w:autoSpaceDE w:val="0"/>
        <w:autoSpaceDN w:val="0"/>
        <w:adjustRightInd w:val="0"/>
        <w:rPr>
          <w:rFonts w:ascii="Century Gothic" w:eastAsia="Calibri" w:hAnsi="Century Gothic"/>
          <w:bCs/>
          <w:szCs w:val="22"/>
        </w:rPr>
      </w:pPr>
    </w:p>
    <w:p w14:paraId="78D33A62" w14:textId="77777777" w:rsidR="00A10A9F" w:rsidRPr="00D44C64" w:rsidRDefault="002B3E3D" w:rsidP="00A10A9F">
      <w:pPr>
        <w:autoSpaceDE w:val="0"/>
        <w:autoSpaceDN w:val="0"/>
        <w:adjustRightInd w:val="0"/>
        <w:rPr>
          <w:rFonts w:ascii="Century Gothic" w:eastAsia="Calibri" w:hAnsi="Century Gothic"/>
          <w:bCs/>
          <w:szCs w:val="22"/>
        </w:rPr>
      </w:pPr>
      <w:r w:rsidRPr="00D44C64">
        <w:rPr>
          <w:rFonts w:ascii="Century Gothic" w:eastAsia="Calibri" w:hAnsi="Century Gothic"/>
          <w:bCs/>
          <w:szCs w:val="22"/>
        </w:rPr>
        <w:t xml:space="preserve">ECC/HANH provides mobility counseling services for voucher participants to assist </w:t>
      </w:r>
      <w:r w:rsidR="00A10A9F" w:rsidRPr="00D44C64">
        <w:rPr>
          <w:rFonts w:ascii="Century Gothic" w:eastAsia="Calibri" w:hAnsi="Century Gothic"/>
          <w:bCs/>
          <w:szCs w:val="22"/>
        </w:rPr>
        <w:t xml:space="preserve">in </w:t>
      </w:r>
      <w:r w:rsidRPr="00D44C64">
        <w:rPr>
          <w:rFonts w:ascii="Century Gothic" w:eastAsia="Calibri" w:hAnsi="Century Gothic"/>
          <w:bCs/>
          <w:szCs w:val="22"/>
        </w:rPr>
        <w:t xml:space="preserve">their search for housing in non-impacted areas.  </w:t>
      </w:r>
      <w:r w:rsidR="00A10A9F" w:rsidRPr="00D44C64">
        <w:rPr>
          <w:rFonts w:ascii="Century Gothic" w:eastAsia="Calibri" w:hAnsi="Century Gothic"/>
          <w:bCs/>
          <w:szCs w:val="22"/>
        </w:rPr>
        <w:t xml:space="preserve">The non-impacted areas are the East Shore, Downtown and Westville neighborhood.  </w:t>
      </w:r>
    </w:p>
    <w:p w14:paraId="5A73CC4B" w14:textId="77777777" w:rsidR="00A10A9F" w:rsidRPr="00D44C64" w:rsidRDefault="00A10A9F" w:rsidP="00A10A9F">
      <w:pPr>
        <w:autoSpaceDE w:val="0"/>
        <w:autoSpaceDN w:val="0"/>
        <w:adjustRightInd w:val="0"/>
        <w:rPr>
          <w:rFonts w:ascii="Century Gothic" w:eastAsia="Calibri" w:hAnsi="Century Gothic"/>
          <w:bCs/>
          <w:szCs w:val="22"/>
        </w:rPr>
      </w:pPr>
      <w:r w:rsidRPr="00D44C64">
        <w:rPr>
          <w:rFonts w:ascii="Century Gothic" w:eastAsia="Calibri" w:hAnsi="Century Gothic"/>
          <w:bCs/>
          <w:szCs w:val="22"/>
        </w:rPr>
        <w:t>(Census tracts, 1401, 1410, 1411 and 1428)</w:t>
      </w:r>
    </w:p>
    <w:p w14:paraId="721C0804" w14:textId="77777777" w:rsidR="00700083" w:rsidRPr="00D44C64" w:rsidRDefault="00700083" w:rsidP="002B3E3D">
      <w:pPr>
        <w:autoSpaceDE w:val="0"/>
        <w:autoSpaceDN w:val="0"/>
        <w:adjustRightInd w:val="0"/>
        <w:rPr>
          <w:rFonts w:ascii="Century Gothic" w:eastAsia="Calibri" w:hAnsi="Century Gothic"/>
          <w:bCs/>
          <w:szCs w:val="22"/>
        </w:rPr>
      </w:pPr>
    </w:p>
    <w:p w14:paraId="45A58DCC" w14:textId="77777777" w:rsidR="008C74BD" w:rsidRDefault="00437C25" w:rsidP="008678F7">
      <w:pPr>
        <w:spacing w:after="160" w:line="278" w:lineRule="auto"/>
      </w:pPr>
      <w:r w:rsidRPr="188A1EBF">
        <w:rPr>
          <w:rFonts w:ascii="Century Gothic" w:eastAsia="Times New Roman" w:hAnsi="Century Gothic"/>
        </w:rPr>
        <w:t xml:space="preserve">In FY23, ECC/HANH </w:t>
      </w:r>
      <w:proofErr w:type="gramStart"/>
      <w:r w:rsidRPr="188A1EBF">
        <w:rPr>
          <w:rFonts w:ascii="Century Gothic" w:eastAsia="Times New Roman" w:hAnsi="Century Gothic"/>
        </w:rPr>
        <w:t>entered into</w:t>
      </w:r>
      <w:proofErr w:type="gramEnd"/>
      <w:r w:rsidRPr="188A1EBF">
        <w:rPr>
          <w:rFonts w:ascii="Century Gothic" w:eastAsia="Times New Roman" w:hAnsi="Century Gothic"/>
        </w:rPr>
        <w:t xml:space="preserve"> a contract with Mobility Works to review and improve the impact of our </w:t>
      </w:r>
      <w:r w:rsidRPr="008C74BD">
        <w:rPr>
          <w:rFonts w:ascii="Century Gothic" w:eastAsia="Times New Roman" w:hAnsi="Century Gothic"/>
        </w:rPr>
        <w:t>initiative</w:t>
      </w:r>
      <w:r w:rsidR="008C74BD" w:rsidRPr="008C74BD">
        <w:rPr>
          <w:rFonts w:ascii="Century Gothic" w:hAnsi="Century Gothic"/>
        </w:rPr>
        <w:t>.  This contract continued in FY24.</w:t>
      </w:r>
      <w:r w:rsidR="008C74BD">
        <w:t xml:space="preserve">  </w:t>
      </w:r>
    </w:p>
    <w:p w14:paraId="4724F2F3" w14:textId="62ADB4EC" w:rsidR="008C74BD" w:rsidRDefault="00CA50BD" w:rsidP="008678F7">
      <w:pPr>
        <w:spacing w:after="160" w:line="278" w:lineRule="auto"/>
        <w:rPr>
          <w:rFonts w:ascii="Century Gothic" w:hAnsi="Century Gothic"/>
        </w:rPr>
      </w:pPr>
      <w:r w:rsidRPr="188A1EBF">
        <w:rPr>
          <w:rFonts w:ascii="Century Gothic" w:hAnsi="Century Gothic"/>
        </w:rPr>
        <w:lastRenderedPageBreak/>
        <w:t xml:space="preserve">Mobility </w:t>
      </w:r>
      <w:r w:rsidR="00614FC5" w:rsidRPr="188A1EBF">
        <w:rPr>
          <w:rFonts w:ascii="Century Gothic" w:hAnsi="Century Gothic"/>
        </w:rPr>
        <w:t>Works provided</w:t>
      </w:r>
      <w:r w:rsidR="43348DE8" w:rsidRPr="188A1EBF">
        <w:rPr>
          <w:rFonts w:ascii="Century Gothic" w:hAnsi="Century Gothic"/>
        </w:rPr>
        <w:t xml:space="preserve"> the following deliverables</w:t>
      </w:r>
      <w:r w:rsidR="008C74BD">
        <w:rPr>
          <w:rFonts w:ascii="Century Gothic" w:hAnsi="Century Gothic"/>
        </w:rPr>
        <w:t>. A</w:t>
      </w:r>
      <w:r w:rsidR="56223C93" w:rsidRPr="188A1EBF">
        <w:rPr>
          <w:rFonts w:ascii="Century Gothic" w:hAnsi="Century Gothic"/>
        </w:rPr>
        <w:t xml:space="preserve"> </w:t>
      </w:r>
      <w:r w:rsidR="008678F7" w:rsidRPr="188A1EBF">
        <w:rPr>
          <w:rFonts w:ascii="Century Gothic" w:hAnsi="Century Gothic"/>
        </w:rPr>
        <w:t>comprehensive review of the organization’s</w:t>
      </w:r>
      <w:r w:rsidR="00A34BE2" w:rsidRPr="188A1EBF">
        <w:rPr>
          <w:rFonts w:ascii="Century Gothic" w:hAnsi="Century Gothic"/>
        </w:rPr>
        <w:t xml:space="preserve"> current program</w:t>
      </w:r>
      <w:r w:rsidR="008678F7" w:rsidRPr="188A1EBF">
        <w:rPr>
          <w:rFonts w:ascii="Century Gothic" w:hAnsi="Century Gothic"/>
        </w:rPr>
        <w:t xml:space="preserve"> offerings, processes, procedures, and outcomes to identify opportunities for increased impact. They </w:t>
      </w:r>
      <w:r w:rsidR="008C74BD">
        <w:rPr>
          <w:rFonts w:ascii="Century Gothic" w:hAnsi="Century Gothic"/>
        </w:rPr>
        <w:t xml:space="preserve">also </w:t>
      </w:r>
      <w:r w:rsidR="008678F7" w:rsidRPr="188A1EBF">
        <w:rPr>
          <w:rFonts w:ascii="Century Gothic" w:hAnsi="Century Gothic"/>
        </w:rPr>
        <w:t xml:space="preserve">developed program evaluation tools, including tailored questions and assessment measures, to determine program success and areas for improvement. </w:t>
      </w:r>
    </w:p>
    <w:p w14:paraId="7D2E0165" w14:textId="679CF871" w:rsidR="008C74BD" w:rsidRDefault="008C74BD" w:rsidP="008678F7">
      <w:pPr>
        <w:spacing w:after="160" w:line="278" w:lineRule="auto"/>
        <w:rPr>
          <w:rFonts w:ascii="Century Gothic" w:hAnsi="Century Gothic"/>
        </w:rPr>
      </w:pPr>
      <w:proofErr w:type="gramStart"/>
      <w:r>
        <w:rPr>
          <w:rFonts w:ascii="Century Gothic" w:hAnsi="Century Gothic"/>
        </w:rPr>
        <w:t>In order t</w:t>
      </w:r>
      <w:r w:rsidR="008678F7" w:rsidRPr="188A1EBF">
        <w:rPr>
          <w:rFonts w:ascii="Century Gothic" w:hAnsi="Century Gothic"/>
        </w:rPr>
        <w:t>o</w:t>
      </w:r>
      <w:proofErr w:type="gramEnd"/>
      <w:r w:rsidR="008678F7" w:rsidRPr="188A1EBF">
        <w:rPr>
          <w:rFonts w:ascii="Century Gothic" w:hAnsi="Century Gothic"/>
        </w:rPr>
        <w:t xml:space="preserve"> enhance stakeholder engagement, they created a communication plan aimed at effectively conveying the benefits of housing mobility to participants, landlords, policymakers, and others. </w:t>
      </w:r>
      <w:r>
        <w:rPr>
          <w:rFonts w:ascii="Century Gothic" w:hAnsi="Century Gothic"/>
        </w:rPr>
        <w:t xml:space="preserve"> </w:t>
      </w:r>
      <w:r w:rsidR="008678F7" w:rsidRPr="188A1EBF">
        <w:rPr>
          <w:rFonts w:ascii="Century Gothic" w:hAnsi="Century Gothic"/>
        </w:rPr>
        <w:t xml:space="preserve">Mobility Works also developed participant resources, such as neighborhood maps of non-impacted areas, informational materials, and promotional content for briefing sessions. </w:t>
      </w:r>
    </w:p>
    <w:p w14:paraId="3C11A706" w14:textId="77777777" w:rsidR="008C74BD" w:rsidRDefault="008678F7" w:rsidP="008678F7">
      <w:pPr>
        <w:spacing w:after="160" w:line="278" w:lineRule="auto"/>
        <w:rPr>
          <w:rFonts w:ascii="Century Gothic" w:hAnsi="Century Gothic"/>
        </w:rPr>
      </w:pPr>
      <w:r w:rsidRPr="188A1EBF">
        <w:rPr>
          <w:rFonts w:ascii="Century Gothic" w:hAnsi="Century Gothic"/>
        </w:rPr>
        <w:t xml:space="preserve">For landlords, they designed resource fair plans, lease-up process flowcharts, customer service guides, and satisfaction surveys to support recruitment and retention efforts. </w:t>
      </w:r>
    </w:p>
    <w:p w14:paraId="4648BE41" w14:textId="0E1E1291" w:rsidR="008C74BD" w:rsidRDefault="008678F7" w:rsidP="008678F7">
      <w:pPr>
        <w:spacing w:after="160" w:line="278" w:lineRule="auto"/>
        <w:rPr>
          <w:rFonts w:ascii="Century Gothic" w:hAnsi="Century Gothic"/>
        </w:rPr>
      </w:pPr>
      <w:r w:rsidRPr="188A1EBF">
        <w:rPr>
          <w:rFonts w:ascii="Century Gothic" w:hAnsi="Century Gothic"/>
        </w:rPr>
        <w:t xml:space="preserve">Additionally, they conducted research </w:t>
      </w:r>
      <w:r w:rsidR="008C74BD">
        <w:rPr>
          <w:rFonts w:ascii="Century Gothic" w:hAnsi="Century Gothic"/>
        </w:rPr>
        <w:t>to determine</w:t>
      </w:r>
      <w:r w:rsidRPr="188A1EBF">
        <w:rPr>
          <w:rFonts w:ascii="Century Gothic" w:hAnsi="Century Gothic"/>
        </w:rPr>
        <w:t xml:space="preserve"> successful practices,</w:t>
      </w:r>
      <w:r w:rsidR="008C74BD">
        <w:rPr>
          <w:rFonts w:ascii="Century Gothic" w:hAnsi="Century Gothic"/>
        </w:rPr>
        <w:t xml:space="preserve"> </w:t>
      </w:r>
      <w:proofErr w:type="gramStart"/>
      <w:r w:rsidR="008C74BD">
        <w:rPr>
          <w:rFonts w:ascii="Century Gothic" w:hAnsi="Century Gothic"/>
        </w:rPr>
        <w:t>to include</w:t>
      </w:r>
      <w:proofErr w:type="gramEnd"/>
      <w:r w:rsidRPr="188A1EBF">
        <w:rPr>
          <w:rFonts w:ascii="Century Gothic" w:hAnsi="Century Gothic"/>
        </w:rPr>
        <w:t xml:space="preserve"> HCV movers, FSS participants, and agency mobility efforts, while identifying best practices for data collection and management. </w:t>
      </w:r>
    </w:p>
    <w:p w14:paraId="6CA9801C" w14:textId="0C417596" w:rsidR="008678F7" w:rsidRPr="00C1691F" w:rsidRDefault="008678F7" w:rsidP="008678F7">
      <w:pPr>
        <w:spacing w:after="160" w:line="278" w:lineRule="auto"/>
        <w:rPr>
          <w:rFonts w:ascii="Century Gothic" w:hAnsi="Century Gothic"/>
        </w:rPr>
      </w:pPr>
      <w:r w:rsidRPr="188A1EBF">
        <w:rPr>
          <w:rFonts w:ascii="Century Gothic" w:hAnsi="Century Gothic"/>
        </w:rPr>
        <w:t>Lastly, they identified potential funding opportunities and provided support with grant applications and funding letters, contributing to the program's sustainability and growth.</w:t>
      </w:r>
    </w:p>
    <w:p w14:paraId="49F0B0AB" w14:textId="0861C40C" w:rsidR="00437C25" w:rsidRPr="008A4599" w:rsidRDefault="00437C25" w:rsidP="00437C25">
      <w:pPr>
        <w:autoSpaceDE w:val="0"/>
        <w:autoSpaceDN w:val="0"/>
        <w:adjustRightInd w:val="0"/>
        <w:rPr>
          <w:rFonts w:ascii="Century Gothic" w:eastAsia="Times New Roman" w:hAnsi="Century Gothic"/>
        </w:rPr>
      </w:pPr>
      <w:r w:rsidRPr="188A1EBF">
        <w:rPr>
          <w:rFonts w:ascii="Century Gothic" w:eastAsia="Times New Roman" w:hAnsi="Century Gothic"/>
        </w:rPr>
        <w:t>Additionally, ECC/HANH, in conjunction with the State of CT Department of Housing, applied and was awarded the HUD Mobility Grant</w:t>
      </w:r>
      <w:r w:rsidR="008C74BD">
        <w:rPr>
          <w:rFonts w:ascii="Century Gothic" w:eastAsia="Times New Roman" w:hAnsi="Century Gothic"/>
        </w:rPr>
        <w:t xml:space="preserve">, </w:t>
      </w:r>
      <w:r w:rsidRPr="188A1EBF">
        <w:rPr>
          <w:rFonts w:ascii="Century Gothic" w:eastAsia="Times New Roman" w:hAnsi="Century Gothic"/>
        </w:rPr>
        <w:t xml:space="preserve">allowing for expansion of our efforts into the Greater New Haven Region.  </w:t>
      </w:r>
      <w:r w:rsidR="008C74BD">
        <w:rPr>
          <w:rFonts w:ascii="Century Gothic" w:eastAsia="Times New Roman" w:hAnsi="Century Gothic"/>
        </w:rPr>
        <w:t>This expansion</w:t>
      </w:r>
      <w:r w:rsidR="1B8296C9" w:rsidRPr="188A1EBF">
        <w:rPr>
          <w:rFonts w:ascii="Century Gothic" w:eastAsia="Times New Roman" w:hAnsi="Century Gothic"/>
        </w:rPr>
        <w:t xml:space="preserve"> will </w:t>
      </w:r>
      <w:r w:rsidR="00656945">
        <w:rPr>
          <w:rFonts w:ascii="Century Gothic" w:eastAsia="Times New Roman" w:hAnsi="Century Gothic"/>
        </w:rPr>
        <w:t xml:space="preserve">begin </w:t>
      </w:r>
      <w:r w:rsidR="1B8296C9" w:rsidRPr="188A1EBF">
        <w:rPr>
          <w:rFonts w:ascii="Century Gothic" w:eastAsia="Times New Roman" w:hAnsi="Century Gothic"/>
        </w:rPr>
        <w:t>in FY25.</w:t>
      </w:r>
    </w:p>
    <w:p w14:paraId="161B38DB" w14:textId="77777777" w:rsidR="00437C25" w:rsidRPr="008A4599" w:rsidRDefault="00437C25" w:rsidP="002B3E3D">
      <w:pPr>
        <w:autoSpaceDE w:val="0"/>
        <w:autoSpaceDN w:val="0"/>
        <w:adjustRightInd w:val="0"/>
        <w:rPr>
          <w:rFonts w:ascii="Century Gothic" w:eastAsia="Calibri" w:hAnsi="Century Gothic"/>
          <w:bCs/>
          <w:szCs w:val="22"/>
        </w:rPr>
      </w:pPr>
    </w:p>
    <w:p w14:paraId="1047EB6C" w14:textId="77777777" w:rsidR="00656945" w:rsidRDefault="002B3E3D" w:rsidP="008A4599">
      <w:pPr>
        <w:autoSpaceDE w:val="0"/>
        <w:autoSpaceDN w:val="0"/>
        <w:adjustRightInd w:val="0"/>
        <w:rPr>
          <w:rFonts w:ascii="Century Gothic" w:eastAsia="Calibri" w:hAnsi="Century Gothic"/>
          <w:bCs/>
          <w:szCs w:val="22"/>
        </w:rPr>
      </w:pPr>
      <w:r w:rsidRPr="008A4599">
        <w:rPr>
          <w:rFonts w:ascii="Century Gothic" w:hAnsi="Century Gothic"/>
          <w:szCs w:val="22"/>
        </w:rPr>
        <w:t>Subject to funding availability, f</w:t>
      </w:r>
      <w:r w:rsidRPr="008A4599">
        <w:rPr>
          <w:rFonts w:ascii="Century Gothic" w:eastAsia="Calibri" w:hAnsi="Century Gothic"/>
          <w:bCs/>
          <w:szCs w:val="22"/>
        </w:rPr>
        <w:t xml:space="preserve">amilies that agree to participate in mobility counseling and </w:t>
      </w:r>
      <w:r w:rsidR="00656945">
        <w:rPr>
          <w:rFonts w:ascii="Century Gothic" w:eastAsia="Calibri" w:hAnsi="Century Gothic"/>
          <w:bCs/>
          <w:szCs w:val="22"/>
        </w:rPr>
        <w:t>move</w:t>
      </w:r>
      <w:r w:rsidRPr="008A4599">
        <w:rPr>
          <w:rFonts w:ascii="Century Gothic" w:eastAsia="Calibri" w:hAnsi="Century Gothic"/>
          <w:bCs/>
          <w:szCs w:val="22"/>
        </w:rPr>
        <w:t xml:space="preserve"> to census tracts in areas with low concentrations of poverty</w:t>
      </w:r>
      <w:r w:rsidR="00656945">
        <w:rPr>
          <w:rFonts w:ascii="Century Gothic" w:eastAsia="Calibri" w:hAnsi="Century Gothic"/>
          <w:bCs/>
          <w:szCs w:val="22"/>
        </w:rPr>
        <w:t>,</w:t>
      </w:r>
      <w:r w:rsidRPr="008A4599">
        <w:rPr>
          <w:rFonts w:ascii="Century Gothic" w:eastAsia="Calibri" w:hAnsi="Century Gothic"/>
          <w:bCs/>
          <w:szCs w:val="22"/>
        </w:rPr>
        <w:t xml:space="preserve"> will be given the opportunity for the following incentives:</w:t>
      </w:r>
      <w:r w:rsidR="00C95A41" w:rsidRPr="008A4599">
        <w:rPr>
          <w:rFonts w:ascii="Century Gothic" w:eastAsia="Calibri" w:hAnsi="Century Gothic"/>
          <w:bCs/>
          <w:szCs w:val="22"/>
        </w:rPr>
        <w:t xml:space="preserve"> </w:t>
      </w:r>
    </w:p>
    <w:p w14:paraId="7D3B4324" w14:textId="728507AB" w:rsidR="002B3E3D" w:rsidRPr="008A4599" w:rsidRDefault="00656945" w:rsidP="00656945">
      <w:pPr>
        <w:autoSpaceDE w:val="0"/>
        <w:autoSpaceDN w:val="0"/>
        <w:adjustRightInd w:val="0"/>
        <w:ind w:left="360"/>
        <w:rPr>
          <w:rFonts w:ascii="Century Gothic" w:eastAsia="Calibri" w:hAnsi="Century Gothic"/>
          <w:szCs w:val="22"/>
        </w:rPr>
      </w:pPr>
      <w:r>
        <w:rPr>
          <w:rFonts w:ascii="Century Gothic" w:eastAsia="Calibri" w:hAnsi="Century Gothic"/>
          <w:bCs/>
          <w:szCs w:val="22"/>
        </w:rPr>
        <w:t>1.</w:t>
      </w:r>
      <w:r w:rsidR="002B3E3D" w:rsidRPr="008A4599">
        <w:rPr>
          <w:rFonts w:ascii="Century Gothic" w:eastAsia="Calibri" w:hAnsi="Century Gothic"/>
          <w:szCs w:val="22"/>
        </w:rPr>
        <w:t>Application fees paid for up to 3 units (anticipating $30 per application or $90 per family)</w:t>
      </w:r>
    </w:p>
    <w:p w14:paraId="658BB742" w14:textId="77777777" w:rsidR="002B3E3D" w:rsidRPr="008A4599" w:rsidRDefault="002B3E3D" w:rsidP="002B3E3D">
      <w:pPr>
        <w:autoSpaceDE w:val="0"/>
        <w:autoSpaceDN w:val="0"/>
        <w:adjustRightInd w:val="0"/>
        <w:ind w:firstLine="360"/>
        <w:rPr>
          <w:rFonts w:ascii="Century Gothic" w:eastAsia="Calibri" w:hAnsi="Century Gothic"/>
          <w:bCs/>
          <w:szCs w:val="22"/>
        </w:rPr>
      </w:pPr>
      <w:r w:rsidRPr="008A4599">
        <w:rPr>
          <w:rFonts w:ascii="Century Gothic" w:eastAsia="Calibri" w:hAnsi="Century Gothic"/>
          <w:bCs/>
          <w:szCs w:val="22"/>
        </w:rPr>
        <w:t>2.</w:t>
      </w:r>
      <w:r w:rsidRPr="008A4599">
        <w:rPr>
          <w:rFonts w:ascii="Century Gothic" w:eastAsia="Calibri" w:hAnsi="Century Gothic"/>
          <w:bCs/>
          <w:szCs w:val="22"/>
        </w:rPr>
        <w:tab/>
        <w:t>Security deposit assistance (up to one month of contract rent) or</w:t>
      </w:r>
    </w:p>
    <w:p w14:paraId="3C02507E" w14:textId="77777777" w:rsidR="002B3E3D" w:rsidRDefault="002B3E3D" w:rsidP="002B3E3D">
      <w:pPr>
        <w:autoSpaceDE w:val="0"/>
        <w:autoSpaceDN w:val="0"/>
        <w:adjustRightInd w:val="0"/>
        <w:ind w:left="360"/>
        <w:rPr>
          <w:rFonts w:ascii="Century Gothic" w:eastAsia="Calibri" w:hAnsi="Century Gothic"/>
          <w:szCs w:val="22"/>
        </w:rPr>
      </w:pPr>
      <w:r w:rsidRPr="008A4599">
        <w:rPr>
          <w:rFonts w:ascii="Century Gothic" w:eastAsia="Calibri" w:hAnsi="Century Gothic"/>
          <w:szCs w:val="22"/>
        </w:rPr>
        <w:t>3. Assistance with repayment of past utility debts that would prevent a family from securing utilities in their own name (up to payment standard for family size)</w:t>
      </w:r>
    </w:p>
    <w:p w14:paraId="137539C1" w14:textId="77777777" w:rsidR="00656945" w:rsidRPr="008A4599" w:rsidRDefault="00656945" w:rsidP="002B3E3D">
      <w:pPr>
        <w:autoSpaceDE w:val="0"/>
        <w:autoSpaceDN w:val="0"/>
        <w:adjustRightInd w:val="0"/>
        <w:ind w:left="360"/>
        <w:rPr>
          <w:rFonts w:ascii="Century Gothic" w:eastAsia="Calibri" w:hAnsi="Century Gothic"/>
          <w:szCs w:val="22"/>
        </w:rPr>
      </w:pPr>
    </w:p>
    <w:p w14:paraId="2F5F2B6C" w14:textId="17A7FE42" w:rsidR="002B3E3D" w:rsidRPr="008A4599" w:rsidRDefault="002B3E3D" w:rsidP="002B3E3D">
      <w:pPr>
        <w:autoSpaceDE w:val="0"/>
        <w:autoSpaceDN w:val="0"/>
        <w:adjustRightInd w:val="0"/>
        <w:rPr>
          <w:rFonts w:ascii="Century Gothic" w:hAnsi="Century Gothic"/>
          <w:szCs w:val="22"/>
        </w:rPr>
      </w:pPr>
      <w:proofErr w:type="gramStart"/>
      <w:r w:rsidRPr="008A4599">
        <w:rPr>
          <w:rFonts w:ascii="Century Gothic" w:hAnsi="Century Gothic"/>
          <w:szCs w:val="22"/>
        </w:rPr>
        <w:t>In order to</w:t>
      </w:r>
      <w:proofErr w:type="gramEnd"/>
      <w:r w:rsidRPr="008A4599">
        <w:rPr>
          <w:rFonts w:ascii="Century Gothic" w:hAnsi="Century Gothic"/>
          <w:szCs w:val="22"/>
        </w:rPr>
        <w:t xml:space="preserve"> provide families, the opportunity to lease units in areas with low concentrations of poverty and subject to funding availability, ECC/HANH may </w:t>
      </w:r>
      <w:r w:rsidR="00C95A41" w:rsidRPr="008A4599">
        <w:rPr>
          <w:rFonts w:ascii="Century Gothic" w:hAnsi="Century Gothic"/>
          <w:szCs w:val="22"/>
        </w:rPr>
        <w:t xml:space="preserve">also </w:t>
      </w:r>
      <w:r w:rsidRPr="008A4599">
        <w:rPr>
          <w:rFonts w:ascii="Century Gothic" w:hAnsi="Century Gothic"/>
          <w:szCs w:val="22"/>
        </w:rPr>
        <w:t>offer landlords that are new to the HCV program an incentive fee based on the census tract and size of the unit placed under contract. The incentive fees are payable at initial lease execution. The decision whether to offer an incentive fee is at the discretion of ECC/HANH.</w:t>
      </w:r>
    </w:p>
    <w:p w14:paraId="71119FC1" w14:textId="77777777" w:rsidR="002B3E3D" w:rsidRPr="008A4599" w:rsidRDefault="002B3E3D" w:rsidP="002B3E3D">
      <w:pPr>
        <w:autoSpaceDE w:val="0"/>
        <w:autoSpaceDN w:val="0"/>
        <w:adjustRightInd w:val="0"/>
        <w:rPr>
          <w:rFonts w:ascii="Century Gothic" w:hAnsi="Century Gothic"/>
          <w:szCs w:val="22"/>
        </w:rPr>
      </w:pPr>
    </w:p>
    <w:p w14:paraId="4C2AA0EE" w14:textId="77777777" w:rsidR="002B3E3D" w:rsidRPr="008A4599" w:rsidRDefault="002B3E3D" w:rsidP="002B3E3D">
      <w:pPr>
        <w:autoSpaceDE w:val="0"/>
        <w:autoSpaceDN w:val="0"/>
        <w:adjustRightInd w:val="0"/>
        <w:rPr>
          <w:rFonts w:ascii="Century Gothic" w:eastAsia="Calibri" w:hAnsi="Century Gothic"/>
          <w:bCs/>
          <w:szCs w:val="22"/>
        </w:rPr>
      </w:pPr>
      <w:r w:rsidRPr="008A4599">
        <w:rPr>
          <w:rFonts w:ascii="Century Gothic" w:eastAsia="Calibri" w:hAnsi="Century Gothic"/>
          <w:bCs/>
          <w:szCs w:val="22"/>
        </w:rPr>
        <w:t>Additionally, landlords in non-impacted areas may receive incentive payments upon their first lease up with ECC/HANH in the HCV program.</w:t>
      </w:r>
    </w:p>
    <w:p w14:paraId="1A6CA101" w14:textId="77777777" w:rsidR="002B3E3D" w:rsidRPr="008A4599" w:rsidRDefault="002B3E3D" w:rsidP="002B3E3D">
      <w:pPr>
        <w:autoSpaceDE w:val="0"/>
        <w:autoSpaceDN w:val="0"/>
        <w:adjustRightInd w:val="0"/>
        <w:rPr>
          <w:rFonts w:ascii="Century Gothic" w:hAnsi="Century Gothic"/>
          <w:szCs w:val="22"/>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31"/>
        <w:gridCol w:w="125"/>
        <w:gridCol w:w="2306"/>
        <w:gridCol w:w="250"/>
      </w:tblGrid>
      <w:tr w:rsidR="002B3E3D" w:rsidRPr="006D0519" w14:paraId="3101D02F" w14:textId="77777777">
        <w:trPr>
          <w:trHeight w:val="90"/>
        </w:trPr>
        <w:tc>
          <w:tcPr>
            <w:tcW w:w="2556" w:type="dxa"/>
            <w:gridSpan w:val="2"/>
            <w:tcBorders>
              <w:top w:val="none" w:sz="6" w:space="0" w:color="auto"/>
              <w:bottom w:val="none" w:sz="6" w:space="0" w:color="auto"/>
              <w:right w:val="none" w:sz="6" w:space="0" w:color="auto"/>
            </w:tcBorders>
          </w:tcPr>
          <w:p w14:paraId="54697555" w14:textId="77777777" w:rsidR="002B3E3D" w:rsidRPr="008A4599" w:rsidRDefault="002B3E3D">
            <w:pPr>
              <w:autoSpaceDE w:val="0"/>
              <w:autoSpaceDN w:val="0"/>
              <w:adjustRightInd w:val="0"/>
              <w:rPr>
                <w:rFonts w:ascii="Century Gothic" w:hAnsi="Century Gothic"/>
                <w:color w:val="000000"/>
                <w:szCs w:val="22"/>
              </w:rPr>
            </w:pPr>
            <w:r w:rsidRPr="008A4599">
              <w:rPr>
                <w:rFonts w:ascii="Century Gothic" w:hAnsi="Century Gothic"/>
                <w:color w:val="000000"/>
                <w:szCs w:val="22"/>
              </w:rPr>
              <w:t xml:space="preserve">Unit Size </w:t>
            </w:r>
          </w:p>
        </w:tc>
        <w:tc>
          <w:tcPr>
            <w:tcW w:w="2556" w:type="dxa"/>
            <w:gridSpan w:val="2"/>
            <w:tcBorders>
              <w:top w:val="none" w:sz="6" w:space="0" w:color="auto"/>
              <w:left w:val="none" w:sz="6" w:space="0" w:color="auto"/>
              <w:bottom w:val="none" w:sz="6" w:space="0" w:color="auto"/>
            </w:tcBorders>
          </w:tcPr>
          <w:p w14:paraId="6CC73324" w14:textId="77777777" w:rsidR="002B3E3D" w:rsidRPr="008A4599" w:rsidRDefault="002B3E3D">
            <w:pPr>
              <w:autoSpaceDE w:val="0"/>
              <w:autoSpaceDN w:val="0"/>
              <w:adjustRightInd w:val="0"/>
              <w:rPr>
                <w:rFonts w:ascii="Century Gothic" w:hAnsi="Century Gothic"/>
                <w:color w:val="000000"/>
                <w:szCs w:val="22"/>
              </w:rPr>
            </w:pPr>
            <w:r w:rsidRPr="008A4599">
              <w:rPr>
                <w:rFonts w:ascii="Century Gothic" w:hAnsi="Century Gothic"/>
                <w:color w:val="000000"/>
                <w:szCs w:val="22"/>
              </w:rPr>
              <w:t xml:space="preserve">Amount </w:t>
            </w:r>
          </w:p>
        </w:tc>
      </w:tr>
      <w:tr w:rsidR="002B3E3D" w:rsidRPr="006D0519" w14:paraId="165D9CF9" w14:textId="77777777">
        <w:trPr>
          <w:trHeight w:val="90"/>
        </w:trPr>
        <w:tc>
          <w:tcPr>
            <w:tcW w:w="2556" w:type="dxa"/>
            <w:gridSpan w:val="2"/>
            <w:tcBorders>
              <w:top w:val="none" w:sz="6" w:space="0" w:color="auto"/>
              <w:bottom w:val="none" w:sz="6" w:space="0" w:color="auto"/>
              <w:right w:val="none" w:sz="6" w:space="0" w:color="auto"/>
            </w:tcBorders>
          </w:tcPr>
          <w:p w14:paraId="2D9C6854" w14:textId="77777777" w:rsidR="002B3E3D" w:rsidRPr="008A4599" w:rsidRDefault="002B3E3D">
            <w:pPr>
              <w:autoSpaceDE w:val="0"/>
              <w:autoSpaceDN w:val="0"/>
              <w:adjustRightInd w:val="0"/>
              <w:rPr>
                <w:rFonts w:ascii="Century Gothic" w:hAnsi="Century Gothic"/>
                <w:color w:val="000000"/>
                <w:szCs w:val="22"/>
              </w:rPr>
            </w:pPr>
            <w:r w:rsidRPr="008A4599">
              <w:rPr>
                <w:rFonts w:ascii="Century Gothic" w:hAnsi="Century Gothic"/>
                <w:color w:val="000000"/>
                <w:szCs w:val="22"/>
              </w:rPr>
              <w:t xml:space="preserve">1 Bedroom </w:t>
            </w:r>
          </w:p>
        </w:tc>
        <w:tc>
          <w:tcPr>
            <w:tcW w:w="2556" w:type="dxa"/>
            <w:gridSpan w:val="2"/>
            <w:tcBorders>
              <w:top w:val="none" w:sz="6" w:space="0" w:color="auto"/>
              <w:left w:val="none" w:sz="6" w:space="0" w:color="auto"/>
              <w:bottom w:val="none" w:sz="6" w:space="0" w:color="auto"/>
            </w:tcBorders>
          </w:tcPr>
          <w:p w14:paraId="645B1C68" w14:textId="57390D22" w:rsidR="002B3E3D" w:rsidRPr="008A4599" w:rsidRDefault="00656945">
            <w:pPr>
              <w:autoSpaceDE w:val="0"/>
              <w:autoSpaceDN w:val="0"/>
              <w:adjustRightInd w:val="0"/>
              <w:rPr>
                <w:rFonts w:ascii="Century Gothic" w:hAnsi="Century Gothic"/>
                <w:color w:val="000000"/>
                <w:szCs w:val="22"/>
              </w:rPr>
            </w:pPr>
            <w:r>
              <w:rPr>
                <w:rFonts w:ascii="Century Gothic" w:hAnsi="Century Gothic"/>
                <w:color w:val="000000"/>
                <w:szCs w:val="22"/>
              </w:rPr>
              <w:t xml:space="preserve">  </w:t>
            </w:r>
            <w:r w:rsidR="002B3E3D" w:rsidRPr="008A4599">
              <w:rPr>
                <w:rFonts w:ascii="Century Gothic" w:hAnsi="Century Gothic"/>
                <w:color w:val="000000"/>
                <w:szCs w:val="22"/>
              </w:rPr>
              <w:t xml:space="preserve">$175 </w:t>
            </w:r>
          </w:p>
        </w:tc>
      </w:tr>
      <w:tr w:rsidR="002B3E3D" w:rsidRPr="006D0519" w14:paraId="5B00215B" w14:textId="77777777">
        <w:trPr>
          <w:gridAfter w:val="1"/>
          <w:wAfter w:w="250" w:type="dxa"/>
          <w:trHeight w:val="90"/>
        </w:trPr>
        <w:tc>
          <w:tcPr>
            <w:tcW w:w="2431" w:type="dxa"/>
            <w:tcBorders>
              <w:top w:val="none" w:sz="6" w:space="0" w:color="auto"/>
              <w:bottom w:val="none" w:sz="6" w:space="0" w:color="auto"/>
              <w:right w:val="none" w:sz="6" w:space="0" w:color="auto"/>
            </w:tcBorders>
          </w:tcPr>
          <w:p w14:paraId="205BB21C" w14:textId="77777777" w:rsidR="002B3E3D" w:rsidRPr="008A4599" w:rsidRDefault="002B3E3D">
            <w:pPr>
              <w:autoSpaceDE w:val="0"/>
              <w:autoSpaceDN w:val="0"/>
              <w:adjustRightInd w:val="0"/>
              <w:rPr>
                <w:rFonts w:ascii="Century Gothic" w:hAnsi="Century Gothic"/>
                <w:color w:val="000000"/>
                <w:szCs w:val="22"/>
              </w:rPr>
            </w:pPr>
            <w:r w:rsidRPr="008A4599">
              <w:rPr>
                <w:rFonts w:ascii="Century Gothic" w:hAnsi="Century Gothic"/>
                <w:color w:val="000000"/>
                <w:szCs w:val="22"/>
              </w:rPr>
              <w:t xml:space="preserve">2 Bedroom </w:t>
            </w:r>
          </w:p>
        </w:tc>
        <w:tc>
          <w:tcPr>
            <w:tcW w:w="2431" w:type="dxa"/>
            <w:gridSpan w:val="2"/>
            <w:tcBorders>
              <w:top w:val="none" w:sz="6" w:space="0" w:color="auto"/>
              <w:left w:val="none" w:sz="6" w:space="0" w:color="auto"/>
              <w:bottom w:val="none" w:sz="6" w:space="0" w:color="auto"/>
            </w:tcBorders>
          </w:tcPr>
          <w:p w14:paraId="78CC91BE" w14:textId="6B1C839D" w:rsidR="002B3E3D" w:rsidRPr="008A4599" w:rsidRDefault="00656945">
            <w:pPr>
              <w:autoSpaceDE w:val="0"/>
              <w:autoSpaceDN w:val="0"/>
              <w:adjustRightInd w:val="0"/>
              <w:rPr>
                <w:rFonts w:ascii="Century Gothic" w:hAnsi="Century Gothic"/>
                <w:color w:val="000000"/>
                <w:szCs w:val="22"/>
              </w:rPr>
            </w:pPr>
            <w:r>
              <w:rPr>
                <w:rFonts w:ascii="Century Gothic" w:hAnsi="Century Gothic"/>
                <w:color w:val="000000"/>
                <w:szCs w:val="22"/>
              </w:rPr>
              <w:t xml:space="preserve">    </w:t>
            </w:r>
            <w:r w:rsidR="002B3E3D" w:rsidRPr="008A4599">
              <w:rPr>
                <w:rFonts w:ascii="Century Gothic" w:hAnsi="Century Gothic"/>
                <w:color w:val="000000"/>
                <w:szCs w:val="22"/>
              </w:rPr>
              <w:t xml:space="preserve">$275 </w:t>
            </w:r>
          </w:p>
        </w:tc>
      </w:tr>
      <w:tr w:rsidR="002B3E3D" w:rsidRPr="006D0519" w14:paraId="7B05C155" w14:textId="77777777">
        <w:trPr>
          <w:gridAfter w:val="1"/>
          <w:wAfter w:w="250" w:type="dxa"/>
          <w:trHeight w:val="90"/>
        </w:trPr>
        <w:tc>
          <w:tcPr>
            <w:tcW w:w="2431" w:type="dxa"/>
            <w:tcBorders>
              <w:top w:val="none" w:sz="6" w:space="0" w:color="auto"/>
              <w:bottom w:val="none" w:sz="6" w:space="0" w:color="auto"/>
              <w:right w:val="none" w:sz="6" w:space="0" w:color="auto"/>
            </w:tcBorders>
          </w:tcPr>
          <w:p w14:paraId="2F0C794D" w14:textId="77777777" w:rsidR="002B3E3D" w:rsidRPr="008A4599" w:rsidRDefault="002B3E3D">
            <w:pPr>
              <w:autoSpaceDE w:val="0"/>
              <w:autoSpaceDN w:val="0"/>
              <w:adjustRightInd w:val="0"/>
              <w:rPr>
                <w:rFonts w:ascii="Century Gothic" w:hAnsi="Century Gothic"/>
                <w:color w:val="000000"/>
                <w:szCs w:val="22"/>
              </w:rPr>
            </w:pPr>
            <w:r w:rsidRPr="008A4599">
              <w:rPr>
                <w:rFonts w:ascii="Century Gothic" w:hAnsi="Century Gothic"/>
                <w:color w:val="000000"/>
                <w:szCs w:val="22"/>
              </w:rPr>
              <w:t xml:space="preserve">3 Bedroom </w:t>
            </w:r>
          </w:p>
        </w:tc>
        <w:tc>
          <w:tcPr>
            <w:tcW w:w="2431" w:type="dxa"/>
            <w:gridSpan w:val="2"/>
            <w:tcBorders>
              <w:top w:val="none" w:sz="6" w:space="0" w:color="auto"/>
              <w:left w:val="none" w:sz="6" w:space="0" w:color="auto"/>
              <w:bottom w:val="none" w:sz="6" w:space="0" w:color="auto"/>
            </w:tcBorders>
          </w:tcPr>
          <w:p w14:paraId="0C963F44" w14:textId="42E4257F" w:rsidR="002B3E3D" w:rsidRPr="008A4599" w:rsidRDefault="00656945">
            <w:pPr>
              <w:autoSpaceDE w:val="0"/>
              <w:autoSpaceDN w:val="0"/>
              <w:adjustRightInd w:val="0"/>
              <w:rPr>
                <w:rFonts w:ascii="Century Gothic" w:hAnsi="Century Gothic"/>
                <w:color w:val="000000"/>
                <w:szCs w:val="22"/>
              </w:rPr>
            </w:pPr>
            <w:r>
              <w:rPr>
                <w:rFonts w:ascii="Century Gothic" w:hAnsi="Century Gothic"/>
                <w:color w:val="000000"/>
                <w:szCs w:val="22"/>
              </w:rPr>
              <w:t xml:space="preserve">    </w:t>
            </w:r>
            <w:r w:rsidR="002B3E3D" w:rsidRPr="008A4599">
              <w:rPr>
                <w:rFonts w:ascii="Century Gothic" w:hAnsi="Century Gothic"/>
                <w:color w:val="000000"/>
                <w:szCs w:val="22"/>
              </w:rPr>
              <w:t xml:space="preserve">$475 </w:t>
            </w:r>
          </w:p>
        </w:tc>
      </w:tr>
      <w:tr w:rsidR="002B3E3D" w:rsidRPr="006D0519" w14:paraId="128F9FB0" w14:textId="77777777">
        <w:trPr>
          <w:gridAfter w:val="1"/>
          <w:wAfter w:w="250" w:type="dxa"/>
          <w:trHeight w:val="90"/>
        </w:trPr>
        <w:tc>
          <w:tcPr>
            <w:tcW w:w="2431" w:type="dxa"/>
            <w:tcBorders>
              <w:top w:val="none" w:sz="6" w:space="0" w:color="auto"/>
              <w:bottom w:val="none" w:sz="6" w:space="0" w:color="auto"/>
              <w:right w:val="none" w:sz="6" w:space="0" w:color="auto"/>
            </w:tcBorders>
          </w:tcPr>
          <w:p w14:paraId="26D6CB79" w14:textId="77777777" w:rsidR="002B3E3D" w:rsidRPr="008A4599" w:rsidRDefault="002B3E3D">
            <w:pPr>
              <w:autoSpaceDE w:val="0"/>
              <w:autoSpaceDN w:val="0"/>
              <w:adjustRightInd w:val="0"/>
              <w:rPr>
                <w:rFonts w:ascii="Century Gothic" w:hAnsi="Century Gothic"/>
                <w:color w:val="000000"/>
                <w:szCs w:val="22"/>
              </w:rPr>
            </w:pPr>
            <w:r w:rsidRPr="008A4599">
              <w:rPr>
                <w:rFonts w:ascii="Century Gothic" w:hAnsi="Century Gothic"/>
                <w:color w:val="000000"/>
                <w:szCs w:val="22"/>
              </w:rPr>
              <w:t xml:space="preserve">4+ Bedroom </w:t>
            </w:r>
          </w:p>
        </w:tc>
        <w:tc>
          <w:tcPr>
            <w:tcW w:w="2431" w:type="dxa"/>
            <w:gridSpan w:val="2"/>
            <w:tcBorders>
              <w:top w:val="none" w:sz="6" w:space="0" w:color="auto"/>
              <w:left w:val="none" w:sz="6" w:space="0" w:color="auto"/>
              <w:bottom w:val="none" w:sz="6" w:space="0" w:color="auto"/>
            </w:tcBorders>
          </w:tcPr>
          <w:p w14:paraId="1948A286" w14:textId="3FAABD7C" w:rsidR="002B3E3D" w:rsidRPr="008A4599" w:rsidRDefault="00656945">
            <w:pPr>
              <w:autoSpaceDE w:val="0"/>
              <w:autoSpaceDN w:val="0"/>
              <w:adjustRightInd w:val="0"/>
              <w:rPr>
                <w:rFonts w:ascii="Century Gothic" w:hAnsi="Century Gothic"/>
                <w:color w:val="000000"/>
                <w:szCs w:val="22"/>
              </w:rPr>
            </w:pPr>
            <w:r>
              <w:rPr>
                <w:rFonts w:ascii="Century Gothic" w:hAnsi="Century Gothic"/>
                <w:color w:val="000000"/>
                <w:szCs w:val="22"/>
              </w:rPr>
              <w:t xml:space="preserve">    </w:t>
            </w:r>
            <w:r w:rsidR="002B3E3D" w:rsidRPr="008A4599">
              <w:rPr>
                <w:rFonts w:ascii="Century Gothic" w:hAnsi="Century Gothic"/>
                <w:color w:val="000000"/>
                <w:szCs w:val="22"/>
              </w:rPr>
              <w:t xml:space="preserve">$550 </w:t>
            </w:r>
          </w:p>
        </w:tc>
      </w:tr>
    </w:tbl>
    <w:p w14:paraId="5F9C7950" w14:textId="19A1778A" w:rsidR="005841CB" w:rsidRPr="008A4599" w:rsidRDefault="27A17BB9" w:rsidP="0E6C54AB">
      <w:pPr>
        <w:rPr>
          <w:rStyle w:val="SubtleEmphasis"/>
          <w:rFonts w:ascii="Century Gothic" w:hAnsi="Century Gothic"/>
          <w:b/>
          <w:bCs/>
          <w:sz w:val="22"/>
          <w:szCs w:val="22"/>
        </w:rPr>
      </w:pPr>
      <w:r w:rsidRPr="008A4599">
        <w:rPr>
          <w:rFonts w:ascii="Century Gothic" w:eastAsia="Franklin Gothic Book" w:hAnsi="Century Gothic" w:cs="Franklin Gothic Book"/>
          <w:szCs w:val="22"/>
        </w:rPr>
        <w:lastRenderedPageBreak/>
        <w:t xml:space="preserve"> </w:t>
      </w:r>
      <w:r w:rsidR="0E88B26B" w:rsidRPr="008A4599">
        <w:rPr>
          <w:rStyle w:val="SubtleEmphasis"/>
          <w:rFonts w:ascii="Century Gothic" w:hAnsi="Century Gothic"/>
          <w:b/>
          <w:bCs/>
          <w:sz w:val="22"/>
          <w:szCs w:val="22"/>
        </w:rPr>
        <w:t>Impact</w:t>
      </w:r>
    </w:p>
    <w:p w14:paraId="64A43F49" w14:textId="6AE2475A" w:rsidR="210974AB" w:rsidRDefault="210974AB" w:rsidP="188A1EBF">
      <w:pPr>
        <w:rPr>
          <w:rFonts w:ascii="Century Gothic" w:hAnsi="Century Gothic"/>
        </w:rPr>
      </w:pPr>
      <w:r w:rsidRPr="188A1EBF">
        <w:rPr>
          <w:rFonts w:ascii="Century Gothic" w:hAnsi="Century Gothic"/>
        </w:rPr>
        <w:t xml:space="preserve">At the beginning of FY2024, </w:t>
      </w:r>
      <w:r w:rsidR="004A42E2">
        <w:rPr>
          <w:rFonts w:ascii="Century Gothic" w:hAnsi="Century Gothic"/>
        </w:rPr>
        <w:t xml:space="preserve">there were </w:t>
      </w:r>
      <w:r w:rsidRPr="00656945">
        <w:rPr>
          <w:rFonts w:ascii="Century Gothic" w:hAnsi="Century Gothic"/>
        </w:rPr>
        <w:t>3</w:t>
      </w:r>
      <w:r w:rsidR="00656945">
        <w:rPr>
          <w:rFonts w:ascii="Century Gothic" w:hAnsi="Century Gothic"/>
        </w:rPr>
        <w:t>,</w:t>
      </w:r>
      <w:r w:rsidR="1537172C" w:rsidRPr="00656945">
        <w:rPr>
          <w:rFonts w:ascii="Century Gothic" w:hAnsi="Century Gothic"/>
        </w:rPr>
        <w:t>415</w:t>
      </w:r>
      <w:r w:rsidR="00720DFC">
        <w:rPr>
          <w:rFonts w:ascii="Century Gothic" w:hAnsi="Century Gothic"/>
        </w:rPr>
        <w:t xml:space="preserve"> </w:t>
      </w:r>
      <w:r w:rsidRPr="188A1EBF">
        <w:rPr>
          <w:rFonts w:ascii="Century Gothic" w:hAnsi="Century Gothic"/>
        </w:rPr>
        <w:t>TBV participants</w:t>
      </w:r>
      <w:r w:rsidR="00016C83">
        <w:rPr>
          <w:rFonts w:ascii="Century Gothic" w:hAnsi="Century Gothic"/>
        </w:rPr>
        <w:t xml:space="preserve"> and </w:t>
      </w:r>
      <w:r w:rsidR="00592794">
        <w:rPr>
          <w:rFonts w:ascii="Century Gothic" w:hAnsi="Century Gothic"/>
        </w:rPr>
        <w:t xml:space="preserve">215 </w:t>
      </w:r>
      <w:r w:rsidR="00093401">
        <w:rPr>
          <w:rFonts w:ascii="Century Gothic" w:hAnsi="Century Gothic"/>
        </w:rPr>
        <w:t xml:space="preserve">(6%) </w:t>
      </w:r>
      <w:r w:rsidRPr="188A1EBF">
        <w:rPr>
          <w:rFonts w:ascii="Century Gothic" w:hAnsi="Century Gothic"/>
        </w:rPr>
        <w:t xml:space="preserve">were living in non-impacted neighborhoods in New Haven.  </w:t>
      </w:r>
      <w:r w:rsidR="00093401">
        <w:rPr>
          <w:rFonts w:ascii="Century Gothic" w:hAnsi="Century Gothic"/>
        </w:rPr>
        <w:t xml:space="preserve">These are families with </w:t>
      </w:r>
      <w:proofErr w:type="gramStart"/>
      <w:r w:rsidR="00093401">
        <w:rPr>
          <w:rFonts w:ascii="Century Gothic" w:hAnsi="Century Gothic"/>
        </w:rPr>
        <w:t>a TBV</w:t>
      </w:r>
      <w:proofErr w:type="gramEnd"/>
      <w:r w:rsidR="00093401">
        <w:rPr>
          <w:rFonts w:ascii="Century Gothic" w:hAnsi="Century Gothic"/>
        </w:rPr>
        <w:t xml:space="preserve"> only and </w:t>
      </w:r>
      <w:proofErr w:type="gramStart"/>
      <w:r w:rsidR="00093401">
        <w:rPr>
          <w:rFonts w:ascii="Century Gothic" w:hAnsi="Century Gothic"/>
        </w:rPr>
        <w:t>does</w:t>
      </w:r>
      <w:proofErr w:type="gramEnd"/>
      <w:r w:rsidR="00093401">
        <w:rPr>
          <w:rFonts w:ascii="Century Gothic" w:hAnsi="Century Gothic"/>
        </w:rPr>
        <w:t xml:space="preserve"> not</w:t>
      </w:r>
      <w:r w:rsidRPr="188A1EBF">
        <w:rPr>
          <w:rFonts w:ascii="Century Gothic" w:hAnsi="Century Gothic"/>
        </w:rPr>
        <w:t xml:space="preserve"> include families that live in a PBV or RAD/PBV unit.</w:t>
      </w:r>
      <w:r w:rsidR="316B5CE8" w:rsidRPr="188A1EBF">
        <w:rPr>
          <w:rFonts w:ascii="Century Gothic" w:hAnsi="Century Gothic"/>
        </w:rPr>
        <w:t xml:space="preserve">  </w:t>
      </w:r>
    </w:p>
    <w:p w14:paraId="1C27BB49" w14:textId="77777777" w:rsidR="009A0144" w:rsidRDefault="009A0144" w:rsidP="188A1EBF">
      <w:pPr>
        <w:rPr>
          <w:rFonts w:ascii="Century Gothic" w:hAnsi="Century Gothic"/>
        </w:rPr>
      </w:pPr>
    </w:p>
    <w:p w14:paraId="36CD4359" w14:textId="05D84308" w:rsidR="009A0144" w:rsidRPr="008A4599" w:rsidRDefault="009A0144" w:rsidP="009A0144">
      <w:pPr>
        <w:rPr>
          <w:rFonts w:ascii="Century Gothic" w:hAnsi="Century Gothic"/>
        </w:rPr>
      </w:pPr>
      <w:r w:rsidRPr="188A1EBF">
        <w:rPr>
          <w:rFonts w:ascii="Century Gothic" w:hAnsi="Century Gothic"/>
        </w:rPr>
        <w:t xml:space="preserve">At the </w:t>
      </w:r>
      <w:r w:rsidR="00814759">
        <w:rPr>
          <w:rFonts w:ascii="Century Gothic" w:hAnsi="Century Gothic"/>
        </w:rPr>
        <w:t>end</w:t>
      </w:r>
      <w:r w:rsidRPr="188A1EBF">
        <w:rPr>
          <w:rFonts w:ascii="Century Gothic" w:hAnsi="Century Gothic"/>
        </w:rPr>
        <w:t xml:space="preserve"> of FY2024, </w:t>
      </w:r>
      <w:r w:rsidR="00814759">
        <w:rPr>
          <w:rFonts w:ascii="Century Gothic" w:hAnsi="Century Gothic"/>
        </w:rPr>
        <w:t>there were 3</w:t>
      </w:r>
      <w:r w:rsidR="00656945">
        <w:rPr>
          <w:rFonts w:ascii="Century Gothic" w:hAnsi="Century Gothic"/>
        </w:rPr>
        <w:t>,</w:t>
      </w:r>
      <w:r w:rsidR="00814759">
        <w:rPr>
          <w:rFonts w:ascii="Century Gothic" w:hAnsi="Century Gothic"/>
        </w:rPr>
        <w:t xml:space="preserve">413 TBV </w:t>
      </w:r>
      <w:r w:rsidR="00256E00">
        <w:rPr>
          <w:rFonts w:ascii="Century Gothic" w:hAnsi="Century Gothic"/>
        </w:rPr>
        <w:t xml:space="preserve">participants </w:t>
      </w:r>
      <w:r w:rsidR="00016C83">
        <w:rPr>
          <w:rFonts w:ascii="Century Gothic" w:hAnsi="Century Gothic"/>
        </w:rPr>
        <w:t xml:space="preserve">and </w:t>
      </w:r>
      <w:r w:rsidRPr="188A1EBF">
        <w:rPr>
          <w:rFonts w:ascii="Century Gothic" w:hAnsi="Century Gothic"/>
        </w:rPr>
        <w:t xml:space="preserve">212 (6%) were living in non-impacted neighborhoods in New Haven, which does not reflect </w:t>
      </w:r>
      <w:r w:rsidR="00BA584E">
        <w:rPr>
          <w:rFonts w:ascii="Century Gothic" w:hAnsi="Century Gothic"/>
        </w:rPr>
        <w:t>a significant change</w:t>
      </w:r>
      <w:r w:rsidRPr="188A1EBF">
        <w:rPr>
          <w:rFonts w:ascii="Century Gothic" w:hAnsi="Century Gothic"/>
        </w:rPr>
        <w:t xml:space="preserve">.   </w:t>
      </w:r>
    </w:p>
    <w:p w14:paraId="6C91F768" w14:textId="77777777" w:rsidR="009A0144" w:rsidRDefault="009A0144" w:rsidP="188A1EBF">
      <w:pPr>
        <w:rPr>
          <w:rFonts w:ascii="Century Gothic" w:hAnsi="Century Gothic"/>
        </w:rPr>
      </w:pPr>
    </w:p>
    <w:p w14:paraId="67BEDE49" w14:textId="77777777" w:rsidR="00EC5A9E" w:rsidRPr="008A4599" w:rsidRDefault="00EC5A9E" w:rsidP="00EC5A9E">
      <w:pPr>
        <w:rPr>
          <w:rFonts w:ascii="Century Gothic" w:hAnsi="Century Gothic"/>
        </w:rPr>
      </w:pPr>
      <w:r w:rsidRPr="008A4599">
        <w:rPr>
          <w:rFonts w:ascii="Century Gothic" w:hAnsi="Century Gothic"/>
        </w:rPr>
        <w:t>The breakdown of the families residing in the four census tracts is:</w:t>
      </w:r>
    </w:p>
    <w:p w14:paraId="206290A8" w14:textId="77777777" w:rsidR="00EC5A9E" w:rsidRPr="008A4599" w:rsidRDefault="00EC5A9E" w:rsidP="00486062">
      <w:pPr>
        <w:pStyle w:val="ListParagraph"/>
        <w:numPr>
          <w:ilvl w:val="0"/>
          <w:numId w:val="114"/>
        </w:numPr>
        <w:rPr>
          <w:rFonts w:ascii="Century Gothic" w:eastAsia="MS PGothic" w:hAnsi="Century Gothic"/>
        </w:rPr>
      </w:pPr>
      <w:r w:rsidRPr="008A4599">
        <w:rPr>
          <w:rFonts w:ascii="Century Gothic" w:hAnsi="Century Gothic"/>
        </w:rPr>
        <w:t xml:space="preserve">1401 - 122 families </w:t>
      </w:r>
    </w:p>
    <w:p w14:paraId="0054335C" w14:textId="77777777" w:rsidR="00EC5A9E" w:rsidRPr="008A4599" w:rsidRDefault="00EC5A9E" w:rsidP="00486062">
      <w:pPr>
        <w:pStyle w:val="ListParagraph"/>
        <w:numPr>
          <w:ilvl w:val="0"/>
          <w:numId w:val="114"/>
        </w:numPr>
        <w:rPr>
          <w:rFonts w:ascii="Century Gothic" w:eastAsia="MS PGothic" w:hAnsi="Century Gothic"/>
        </w:rPr>
      </w:pPr>
      <w:r w:rsidRPr="008A4599">
        <w:rPr>
          <w:rFonts w:ascii="Century Gothic" w:hAnsi="Century Gothic"/>
        </w:rPr>
        <w:t xml:space="preserve">1410 - 24 families </w:t>
      </w:r>
    </w:p>
    <w:p w14:paraId="3942F7FC" w14:textId="77777777" w:rsidR="00EC5A9E" w:rsidRPr="008A4599" w:rsidRDefault="00EC5A9E" w:rsidP="00486062">
      <w:pPr>
        <w:pStyle w:val="ListParagraph"/>
        <w:numPr>
          <w:ilvl w:val="0"/>
          <w:numId w:val="114"/>
        </w:numPr>
        <w:rPr>
          <w:rFonts w:ascii="Century Gothic" w:eastAsia="MS PGothic" w:hAnsi="Century Gothic"/>
        </w:rPr>
      </w:pPr>
      <w:r w:rsidRPr="008A4599">
        <w:rPr>
          <w:rFonts w:ascii="Century Gothic" w:hAnsi="Century Gothic"/>
        </w:rPr>
        <w:t xml:space="preserve">1411 – 36 families  </w:t>
      </w:r>
    </w:p>
    <w:p w14:paraId="593054CA" w14:textId="77777777" w:rsidR="00EC5A9E" w:rsidRPr="008A4599" w:rsidRDefault="00EC5A9E" w:rsidP="00486062">
      <w:pPr>
        <w:pStyle w:val="ListParagraph"/>
        <w:numPr>
          <w:ilvl w:val="0"/>
          <w:numId w:val="114"/>
        </w:numPr>
        <w:rPr>
          <w:rFonts w:ascii="Century Gothic" w:eastAsia="MS PGothic" w:hAnsi="Century Gothic"/>
        </w:rPr>
      </w:pPr>
      <w:r w:rsidRPr="008A4599">
        <w:rPr>
          <w:rFonts w:ascii="Century Gothic" w:hAnsi="Century Gothic"/>
        </w:rPr>
        <w:t xml:space="preserve">1428 – 30 families </w:t>
      </w:r>
    </w:p>
    <w:p w14:paraId="6C7F7157" w14:textId="77777777" w:rsidR="00EC5A9E" w:rsidRPr="008A4599" w:rsidRDefault="00EC5A9E" w:rsidP="188A1EBF">
      <w:pPr>
        <w:rPr>
          <w:rFonts w:ascii="Century Gothic" w:hAnsi="Century Gothic"/>
        </w:rPr>
      </w:pPr>
    </w:p>
    <w:p w14:paraId="62EA6F32" w14:textId="432D3F40" w:rsidR="210974AB" w:rsidRPr="008A4599" w:rsidRDefault="316B5CE8" w:rsidP="090392C3">
      <w:pPr>
        <w:rPr>
          <w:rFonts w:ascii="Century Gothic" w:hAnsi="Century Gothic"/>
        </w:rPr>
      </w:pPr>
      <w:r w:rsidRPr="188A1EBF">
        <w:rPr>
          <w:rFonts w:ascii="Century Gothic" w:hAnsi="Century Gothic"/>
        </w:rPr>
        <w:t xml:space="preserve">There are also </w:t>
      </w:r>
      <w:r w:rsidR="5A3F34A7" w:rsidRPr="188A1EBF">
        <w:rPr>
          <w:rFonts w:ascii="Century Gothic" w:hAnsi="Century Gothic"/>
        </w:rPr>
        <w:t>19</w:t>
      </w:r>
      <w:r w:rsidR="6BA0F7E4" w:rsidRPr="188A1EBF">
        <w:rPr>
          <w:rFonts w:ascii="Century Gothic" w:hAnsi="Century Gothic"/>
        </w:rPr>
        <w:t xml:space="preserve"> </w:t>
      </w:r>
      <w:r w:rsidRPr="188A1EBF">
        <w:rPr>
          <w:rFonts w:ascii="Century Gothic" w:hAnsi="Century Gothic"/>
        </w:rPr>
        <w:t>PBV participants who live in a PBV development within one of the deconcentrated census tracts</w:t>
      </w:r>
      <w:r w:rsidR="005260C1">
        <w:rPr>
          <w:rFonts w:ascii="Century Gothic" w:hAnsi="Century Gothic"/>
        </w:rPr>
        <w:t xml:space="preserve"> (1401)</w:t>
      </w:r>
      <w:r w:rsidR="00256065">
        <w:rPr>
          <w:rFonts w:ascii="Century Gothic" w:hAnsi="Century Gothic"/>
        </w:rPr>
        <w:t xml:space="preserve">, </w:t>
      </w:r>
      <w:r w:rsidRPr="188A1EBF">
        <w:rPr>
          <w:rFonts w:ascii="Century Gothic" w:hAnsi="Century Gothic"/>
        </w:rPr>
        <w:t xml:space="preserve">for a total of </w:t>
      </w:r>
      <w:r w:rsidR="352544C9" w:rsidRPr="188A1EBF">
        <w:rPr>
          <w:rFonts w:ascii="Century Gothic" w:hAnsi="Century Gothic"/>
        </w:rPr>
        <w:t>234</w:t>
      </w:r>
      <w:r w:rsidRPr="188A1EBF">
        <w:rPr>
          <w:rFonts w:ascii="Century Gothic" w:hAnsi="Century Gothic"/>
        </w:rPr>
        <w:t xml:space="preserve"> participants</w:t>
      </w:r>
      <w:r w:rsidR="00656945">
        <w:rPr>
          <w:rFonts w:ascii="Century Gothic" w:hAnsi="Century Gothic"/>
        </w:rPr>
        <w:t xml:space="preserve">. </w:t>
      </w:r>
      <w:r w:rsidR="2130F791" w:rsidRPr="188A1EBF">
        <w:rPr>
          <w:rFonts w:ascii="Century Gothic" w:hAnsi="Century Gothic"/>
        </w:rPr>
        <w:t>7</w:t>
      </w:r>
      <w:r w:rsidRPr="188A1EBF">
        <w:rPr>
          <w:rFonts w:ascii="Century Gothic" w:hAnsi="Century Gothic"/>
        </w:rPr>
        <w:t>% of all our TBV and PBV households</w:t>
      </w:r>
      <w:r w:rsidR="00256065">
        <w:rPr>
          <w:rFonts w:ascii="Century Gothic" w:hAnsi="Century Gothic"/>
        </w:rPr>
        <w:t xml:space="preserve"> live in deconcentrated areas</w:t>
      </w:r>
      <w:r w:rsidRPr="188A1EBF">
        <w:rPr>
          <w:rFonts w:ascii="Century Gothic" w:hAnsi="Century Gothic"/>
        </w:rPr>
        <w:t>.</w:t>
      </w:r>
    </w:p>
    <w:p w14:paraId="46C6CEB9" w14:textId="36E48B81" w:rsidR="002D3757" w:rsidRPr="008A4599" w:rsidRDefault="002D3757" w:rsidP="090392C3">
      <w:pPr>
        <w:rPr>
          <w:rFonts w:ascii="Century Gothic" w:hAnsi="Century Gothic"/>
        </w:rPr>
      </w:pPr>
    </w:p>
    <w:p w14:paraId="2E6CABD8" w14:textId="1C42CF94" w:rsidR="004D0B5C" w:rsidRPr="008A4599" w:rsidRDefault="004D0B5C" w:rsidP="090392C3">
      <w:pPr>
        <w:rPr>
          <w:rFonts w:ascii="Century Gothic" w:eastAsia="Calibri" w:hAnsi="Century Gothic"/>
          <w:b/>
          <w:bCs/>
          <w:i/>
          <w:iCs/>
          <w:color w:val="000000" w:themeColor="text1"/>
        </w:rPr>
      </w:pPr>
      <w:r w:rsidRPr="008A4599">
        <w:rPr>
          <w:rFonts w:ascii="Century Gothic" w:eastAsia="Calibri" w:hAnsi="Century Gothic"/>
          <w:b/>
          <w:bCs/>
          <w:i/>
          <w:iCs/>
          <w:color w:val="000000" w:themeColor="text1"/>
        </w:rPr>
        <w:t>Mobility Counseling</w:t>
      </w:r>
    </w:p>
    <w:p w14:paraId="0E3C7983" w14:textId="77777777" w:rsidR="004D0B5C" w:rsidRPr="008A4599" w:rsidRDefault="004D0B5C" w:rsidP="090392C3">
      <w:pPr>
        <w:rPr>
          <w:rFonts w:ascii="Century Gothic" w:hAnsi="Century Gothic"/>
        </w:rPr>
      </w:pPr>
    </w:p>
    <w:p w14:paraId="62574B61" w14:textId="77777777" w:rsidR="00656945" w:rsidRDefault="57BF98AF" w:rsidP="56558BA2">
      <w:pPr>
        <w:rPr>
          <w:rFonts w:ascii="Century Gothic" w:hAnsi="Century Gothic"/>
        </w:rPr>
      </w:pPr>
      <w:r w:rsidRPr="188A1EBF">
        <w:rPr>
          <w:rFonts w:ascii="Century Gothic" w:hAnsi="Century Gothic"/>
        </w:rPr>
        <w:t>At the close of FY</w:t>
      </w:r>
      <w:r w:rsidR="0F06A1D4" w:rsidRPr="188A1EBF">
        <w:rPr>
          <w:rFonts w:ascii="Century Gothic" w:hAnsi="Century Gothic"/>
        </w:rPr>
        <w:t>2024</w:t>
      </w:r>
      <w:r w:rsidRPr="188A1EBF">
        <w:rPr>
          <w:rFonts w:ascii="Century Gothic" w:hAnsi="Century Gothic"/>
        </w:rPr>
        <w:t xml:space="preserve">, </w:t>
      </w:r>
      <w:r w:rsidR="7E50FC75" w:rsidRPr="00E628CA">
        <w:rPr>
          <w:rFonts w:ascii="Century Gothic" w:hAnsi="Century Gothic"/>
        </w:rPr>
        <w:t>645</w:t>
      </w:r>
      <w:r w:rsidR="1DA56DBC" w:rsidRPr="188A1EBF">
        <w:rPr>
          <w:rFonts w:ascii="Century Gothic" w:hAnsi="Century Gothic"/>
        </w:rPr>
        <w:t xml:space="preserve"> </w:t>
      </w:r>
      <w:r w:rsidR="47386CBB" w:rsidRPr="188A1EBF">
        <w:rPr>
          <w:rFonts w:ascii="Century Gothic" w:hAnsi="Century Gothic"/>
        </w:rPr>
        <w:t xml:space="preserve">families </w:t>
      </w:r>
      <w:r w:rsidR="53D492C8" w:rsidRPr="188A1EBF">
        <w:rPr>
          <w:rFonts w:ascii="Century Gothic" w:hAnsi="Century Gothic"/>
        </w:rPr>
        <w:t xml:space="preserve">were </w:t>
      </w:r>
      <w:r w:rsidR="5BCCB4FB" w:rsidRPr="188A1EBF">
        <w:rPr>
          <w:rFonts w:ascii="Century Gothic" w:hAnsi="Century Gothic"/>
        </w:rPr>
        <w:t>referred for</w:t>
      </w:r>
      <w:r w:rsidRPr="188A1EBF">
        <w:rPr>
          <w:rFonts w:ascii="Century Gothic" w:hAnsi="Century Gothic"/>
        </w:rPr>
        <w:t xml:space="preserve"> mobility support</w:t>
      </w:r>
      <w:r w:rsidR="10BA7A60" w:rsidRPr="188A1EBF">
        <w:rPr>
          <w:rFonts w:ascii="Century Gothic" w:hAnsi="Century Gothic"/>
        </w:rPr>
        <w:t>/counseling</w:t>
      </w:r>
      <w:r w:rsidR="00D953E7">
        <w:rPr>
          <w:rFonts w:ascii="Century Gothic" w:hAnsi="Century Gothic"/>
        </w:rPr>
        <w:t>.</w:t>
      </w:r>
      <w:r w:rsidR="3D8BCA67" w:rsidRPr="188A1EBF">
        <w:rPr>
          <w:rFonts w:ascii="Century Gothic" w:hAnsi="Century Gothic"/>
        </w:rPr>
        <w:t xml:space="preserve"> </w:t>
      </w:r>
      <w:r w:rsidR="00656945">
        <w:rPr>
          <w:rFonts w:ascii="Century Gothic" w:hAnsi="Century Gothic"/>
        </w:rPr>
        <w:t xml:space="preserve"> Four</w:t>
      </w:r>
      <w:r w:rsidR="6E5558FC" w:rsidRPr="188A1EBF">
        <w:rPr>
          <w:rFonts w:ascii="Century Gothic" w:hAnsi="Century Gothic"/>
        </w:rPr>
        <w:t xml:space="preserve"> </w:t>
      </w:r>
      <w:r w:rsidR="47386CBB" w:rsidRPr="188A1EBF">
        <w:rPr>
          <w:rFonts w:ascii="Century Gothic" w:hAnsi="Century Gothic"/>
        </w:rPr>
        <w:t>of the families who received mobility counseling chose</w:t>
      </w:r>
      <w:r w:rsidRPr="188A1EBF">
        <w:rPr>
          <w:rFonts w:ascii="Century Gothic" w:hAnsi="Century Gothic"/>
        </w:rPr>
        <w:t xml:space="preserve"> </w:t>
      </w:r>
      <w:r w:rsidR="106AE27F" w:rsidRPr="188A1EBF">
        <w:rPr>
          <w:rFonts w:ascii="Century Gothic" w:hAnsi="Century Gothic"/>
        </w:rPr>
        <w:t xml:space="preserve">to </w:t>
      </w:r>
      <w:r w:rsidR="47386CBB" w:rsidRPr="188A1EBF">
        <w:rPr>
          <w:rFonts w:ascii="Century Gothic" w:hAnsi="Century Gothic"/>
        </w:rPr>
        <w:t xml:space="preserve">move to one of </w:t>
      </w:r>
      <w:r w:rsidR="106AE27F" w:rsidRPr="188A1EBF">
        <w:rPr>
          <w:rFonts w:ascii="Century Gothic" w:hAnsi="Century Gothic"/>
        </w:rPr>
        <w:t>the deconcentrated neighborhoods</w:t>
      </w:r>
      <w:r w:rsidR="47386CBB" w:rsidRPr="188A1EBF">
        <w:rPr>
          <w:rFonts w:ascii="Century Gothic" w:hAnsi="Century Gothic"/>
        </w:rPr>
        <w:t xml:space="preserve">. </w:t>
      </w:r>
      <w:r w:rsidR="00656945">
        <w:rPr>
          <w:rFonts w:ascii="Century Gothic" w:hAnsi="Century Gothic"/>
        </w:rPr>
        <w:t xml:space="preserve"> </w:t>
      </w:r>
      <w:r w:rsidR="0B3A0A3F" w:rsidRPr="188A1EBF">
        <w:rPr>
          <w:rFonts w:ascii="Century Gothic" w:hAnsi="Century Gothic"/>
        </w:rPr>
        <w:t xml:space="preserve">Two families moved </w:t>
      </w:r>
      <w:r w:rsidR="00E9513C">
        <w:rPr>
          <w:rFonts w:ascii="Century Gothic" w:hAnsi="Century Gothic"/>
        </w:rPr>
        <w:t>to</w:t>
      </w:r>
      <w:r w:rsidR="0B3A0A3F" w:rsidRPr="188A1EBF">
        <w:rPr>
          <w:rFonts w:ascii="Century Gothic" w:hAnsi="Century Gothic"/>
        </w:rPr>
        <w:t xml:space="preserve"> 1412</w:t>
      </w:r>
      <w:r w:rsidR="00783D3F">
        <w:rPr>
          <w:rFonts w:ascii="Century Gothic" w:hAnsi="Century Gothic"/>
        </w:rPr>
        <w:t xml:space="preserve"> (East Shore)</w:t>
      </w:r>
      <w:r w:rsidR="00E9513C">
        <w:rPr>
          <w:rFonts w:ascii="Century Gothic" w:hAnsi="Century Gothic"/>
        </w:rPr>
        <w:t xml:space="preserve">, </w:t>
      </w:r>
      <w:r w:rsidR="0B3A0A3F" w:rsidRPr="188A1EBF">
        <w:rPr>
          <w:rFonts w:ascii="Century Gothic" w:hAnsi="Century Gothic"/>
        </w:rPr>
        <w:t xml:space="preserve">one </w:t>
      </w:r>
      <w:r w:rsidR="008114D8">
        <w:rPr>
          <w:rFonts w:ascii="Century Gothic" w:hAnsi="Century Gothic"/>
        </w:rPr>
        <w:t>to</w:t>
      </w:r>
      <w:r w:rsidR="0B3A0A3F" w:rsidRPr="188A1EBF">
        <w:rPr>
          <w:rFonts w:ascii="Century Gothic" w:hAnsi="Century Gothic"/>
        </w:rPr>
        <w:t xml:space="preserve"> 1410 </w:t>
      </w:r>
      <w:r w:rsidR="1E236943" w:rsidRPr="188A1EBF">
        <w:rPr>
          <w:rFonts w:ascii="Century Gothic" w:hAnsi="Century Gothic"/>
        </w:rPr>
        <w:t>(</w:t>
      </w:r>
      <w:r w:rsidR="002746BE">
        <w:rPr>
          <w:rFonts w:ascii="Century Gothic" w:hAnsi="Century Gothic"/>
        </w:rPr>
        <w:t>Westville</w:t>
      </w:r>
      <w:r w:rsidR="1E236943" w:rsidRPr="188A1EBF">
        <w:rPr>
          <w:rFonts w:ascii="Century Gothic" w:hAnsi="Century Gothic"/>
        </w:rPr>
        <w:t xml:space="preserve">) </w:t>
      </w:r>
      <w:r w:rsidR="0B3A0A3F" w:rsidRPr="188A1EBF">
        <w:rPr>
          <w:rFonts w:ascii="Century Gothic" w:hAnsi="Century Gothic"/>
        </w:rPr>
        <w:t xml:space="preserve">and </w:t>
      </w:r>
      <w:r w:rsidR="008114D8">
        <w:rPr>
          <w:rFonts w:ascii="Century Gothic" w:hAnsi="Century Gothic"/>
        </w:rPr>
        <w:t>one to 1411</w:t>
      </w:r>
      <w:r w:rsidR="002746BE">
        <w:rPr>
          <w:rFonts w:ascii="Century Gothic" w:hAnsi="Century Gothic"/>
        </w:rPr>
        <w:t>(Westville)</w:t>
      </w:r>
      <w:r w:rsidR="00656945">
        <w:rPr>
          <w:rFonts w:ascii="Century Gothic" w:hAnsi="Century Gothic"/>
        </w:rPr>
        <w:t xml:space="preserve">.  </w:t>
      </w:r>
      <w:r w:rsidR="00E7560F">
        <w:rPr>
          <w:rFonts w:ascii="Century Gothic" w:hAnsi="Century Gothic"/>
        </w:rPr>
        <w:t>There also were</w:t>
      </w:r>
      <w:r w:rsidR="5A7CFD3E" w:rsidRPr="188A1EBF">
        <w:rPr>
          <w:rFonts w:ascii="Century Gothic" w:hAnsi="Century Gothic"/>
        </w:rPr>
        <w:t>1</w:t>
      </w:r>
      <w:r w:rsidR="26FBD8AB" w:rsidRPr="188A1EBF">
        <w:rPr>
          <w:rFonts w:ascii="Century Gothic" w:hAnsi="Century Gothic"/>
        </w:rPr>
        <w:t>1</w:t>
      </w:r>
      <w:r w:rsidRPr="188A1EBF">
        <w:rPr>
          <w:rFonts w:ascii="Century Gothic" w:hAnsi="Century Gothic"/>
        </w:rPr>
        <w:t xml:space="preserve"> families </w:t>
      </w:r>
      <w:r w:rsidR="00E7560F">
        <w:rPr>
          <w:rFonts w:ascii="Century Gothic" w:hAnsi="Century Gothic"/>
        </w:rPr>
        <w:t>who were able to find units on their own</w:t>
      </w:r>
      <w:r w:rsidRPr="188A1EBF">
        <w:rPr>
          <w:rFonts w:ascii="Century Gothic" w:hAnsi="Century Gothic"/>
        </w:rPr>
        <w:t>.</w:t>
      </w:r>
      <w:r w:rsidR="5E450B27" w:rsidRPr="188A1EBF">
        <w:rPr>
          <w:rFonts w:ascii="Century Gothic" w:hAnsi="Century Gothic"/>
        </w:rPr>
        <w:t xml:space="preserve"> </w:t>
      </w:r>
      <w:r w:rsidR="2E37A398" w:rsidRPr="188A1EBF">
        <w:rPr>
          <w:rFonts w:ascii="Century Gothic" w:hAnsi="Century Gothic"/>
        </w:rPr>
        <w:t xml:space="preserve"> </w:t>
      </w:r>
    </w:p>
    <w:p w14:paraId="269A1D07" w14:textId="77777777" w:rsidR="00656945" w:rsidRDefault="00656945" w:rsidP="56558BA2">
      <w:pPr>
        <w:rPr>
          <w:rFonts w:ascii="Century Gothic" w:hAnsi="Century Gothic"/>
        </w:rPr>
      </w:pPr>
    </w:p>
    <w:p w14:paraId="36556039" w14:textId="459D0716" w:rsidR="005841CB" w:rsidRDefault="00E7560F" w:rsidP="56558BA2">
      <w:pPr>
        <w:rPr>
          <w:rFonts w:ascii="Century Gothic" w:hAnsi="Century Gothic"/>
        </w:rPr>
      </w:pPr>
      <w:r>
        <w:rPr>
          <w:rFonts w:ascii="Century Gothic" w:hAnsi="Century Gothic"/>
        </w:rPr>
        <w:t>Some of the challenges in fin</w:t>
      </w:r>
      <w:r w:rsidR="00117DBE">
        <w:rPr>
          <w:rFonts w:ascii="Century Gothic" w:hAnsi="Century Gothic"/>
        </w:rPr>
        <w:t>ding housing in the deconcentrated areas</w:t>
      </w:r>
      <w:r w:rsidR="00E448B2">
        <w:rPr>
          <w:rFonts w:ascii="Century Gothic" w:hAnsi="Century Gothic"/>
        </w:rPr>
        <w:t xml:space="preserve">, were </w:t>
      </w:r>
      <w:r w:rsidR="756C639D" w:rsidRPr="188A1EBF">
        <w:rPr>
          <w:rFonts w:ascii="Century Gothic" w:hAnsi="Century Gothic"/>
        </w:rPr>
        <w:t xml:space="preserve">lack of rental homes in these neighborhoods </w:t>
      </w:r>
      <w:r w:rsidR="00F048D6">
        <w:rPr>
          <w:rFonts w:ascii="Century Gothic" w:hAnsi="Century Gothic"/>
        </w:rPr>
        <w:t xml:space="preserve">that have many </w:t>
      </w:r>
      <w:r w:rsidR="0007116D">
        <w:rPr>
          <w:rFonts w:ascii="Century Gothic" w:hAnsi="Century Gothic"/>
        </w:rPr>
        <w:t>homeowner</w:t>
      </w:r>
      <w:r w:rsidR="00F048D6">
        <w:rPr>
          <w:rFonts w:ascii="Century Gothic" w:hAnsi="Century Gothic"/>
        </w:rPr>
        <w:t xml:space="preserve"> residences</w:t>
      </w:r>
      <w:r w:rsidR="756C639D" w:rsidRPr="188A1EBF">
        <w:rPr>
          <w:rFonts w:ascii="Century Gothic" w:hAnsi="Century Gothic"/>
        </w:rPr>
        <w:t>.</w:t>
      </w:r>
      <w:r w:rsidR="3D845C67" w:rsidRPr="188A1EBF">
        <w:rPr>
          <w:rFonts w:ascii="Century Gothic" w:hAnsi="Century Gothic"/>
        </w:rPr>
        <w:t xml:space="preserve"> </w:t>
      </w:r>
    </w:p>
    <w:p w14:paraId="1B7AC2C3" w14:textId="77777777" w:rsidR="00E66448" w:rsidRDefault="00E66448" w:rsidP="56558BA2">
      <w:pPr>
        <w:rPr>
          <w:rFonts w:ascii="Century Gothic" w:hAnsi="Century Gothic"/>
        </w:rPr>
      </w:pPr>
    </w:p>
    <w:p w14:paraId="44A5413C" w14:textId="78B58505" w:rsidR="00F048D6" w:rsidRPr="00F048D6" w:rsidRDefault="00F048D6" w:rsidP="56558BA2">
      <w:pPr>
        <w:rPr>
          <w:rFonts w:ascii="Century Gothic" w:hAnsi="Century Gothic"/>
          <w:b/>
          <w:bCs/>
        </w:rPr>
      </w:pPr>
      <w:r w:rsidRPr="00F048D6">
        <w:rPr>
          <w:rFonts w:ascii="Century Gothic" w:hAnsi="Century Gothic"/>
          <w:b/>
          <w:bCs/>
        </w:rPr>
        <w:t>Landlord Incentive</w:t>
      </w:r>
    </w:p>
    <w:p w14:paraId="7F091590" w14:textId="77777777" w:rsidR="00F048D6" w:rsidRDefault="00F048D6" w:rsidP="56558BA2">
      <w:pPr>
        <w:rPr>
          <w:rFonts w:ascii="Century Gothic" w:hAnsi="Century Gothic"/>
        </w:rPr>
      </w:pPr>
    </w:p>
    <w:p w14:paraId="5910B008" w14:textId="77777777" w:rsidR="00F048D6" w:rsidRDefault="00F048D6" w:rsidP="00F048D6">
      <w:pPr>
        <w:rPr>
          <w:rFonts w:ascii="Century Gothic" w:eastAsia="Times New Roman" w:hAnsi="Century Gothic"/>
        </w:rPr>
      </w:pPr>
      <w:r w:rsidRPr="4DE4AED8">
        <w:rPr>
          <w:rFonts w:ascii="Century Gothic" w:eastAsia="Times New Roman" w:hAnsi="Century Gothic"/>
        </w:rPr>
        <w:t xml:space="preserve">In FY24 </w:t>
      </w:r>
      <w:r w:rsidRPr="48E02B3D">
        <w:rPr>
          <w:rFonts w:ascii="Century Gothic" w:eastAsia="Times New Roman" w:hAnsi="Century Gothic"/>
        </w:rPr>
        <w:t xml:space="preserve">ECC disbursed three </w:t>
      </w:r>
      <w:r w:rsidRPr="4DE4AED8">
        <w:rPr>
          <w:rFonts w:ascii="Century Gothic" w:eastAsia="Times New Roman" w:hAnsi="Century Gothic"/>
        </w:rPr>
        <w:t xml:space="preserve">landlord incentives </w:t>
      </w:r>
      <w:r w:rsidRPr="48E02B3D">
        <w:rPr>
          <w:rFonts w:ascii="Century Gothic" w:eastAsia="Times New Roman" w:hAnsi="Century Gothic"/>
        </w:rPr>
        <w:t>totaling $1,225.</w:t>
      </w:r>
      <w:r w:rsidRPr="4DE4AED8">
        <w:rPr>
          <w:rFonts w:ascii="Century Gothic" w:eastAsia="Times New Roman" w:hAnsi="Century Gothic"/>
        </w:rPr>
        <w:t xml:space="preserve"> Two landlords received $475 </w:t>
      </w:r>
      <w:r w:rsidRPr="48E02B3D">
        <w:rPr>
          <w:rFonts w:ascii="Century Gothic" w:eastAsia="Times New Roman" w:hAnsi="Century Gothic"/>
        </w:rPr>
        <w:t xml:space="preserve">each </w:t>
      </w:r>
      <w:r w:rsidRPr="4DE4AED8">
        <w:rPr>
          <w:rFonts w:ascii="Century Gothic" w:eastAsia="Times New Roman" w:hAnsi="Century Gothic"/>
        </w:rPr>
        <w:t xml:space="preserve">for </w:t>
      </w:r>
      <w:r w:rsidRPr="3646FFF2">
        <w:rPr>
          <w:rFonts w:ascii="Century Gothic" w:eastAsia="Times New Roman" w:hAnsi="Century Gothic"/>
        </w:rPr>
        <w:t xml:space="preserve">leasing </w:t>
      </w:r>
      <w:r w:rsidRPr="48E02B3D">
        <w:rPr>
          <w:rFonts w:ascii="Century Gothic" w:eastAsia="Times New Roman" w:hAnsi="Century Gothic"/>
        </w:rPr>
        <w:t>to</w:t>
      </w:r>
      <w:r w:rsidRPr="3646FFF2">
        <w:rPr>
          <w:rFonts w:ascii="Century Gothic" w:eastAsia="Times New Roman" w:hAnsi="Century Gothic"/>
        </w:rPr>
        <w:t xml:space="preserve"> </w:t>
      </w:r>
      <w:r w:rsidRPr="78F6BA1F">
        <w:rPr>
          <w:rFonts w:ascii="Century Gothic" w:eastAsia="Times New Roman" w:hAnsi="Century Gothic"/>
        </w:rPr>
        <w:t xml:space="preserve">participants </w:t>
      </w:r>
      <w:r w:rsidRPr="3646FFF2">
        <w:rPr>
          <w:rFonts w:ascii="Century Gothic" w:eastAsia="Times New Roman" w:hAnsi="Century Gothic"/>
        </w:rPr>
        <w:t>in three</w:t>
      </w:r>
      <w:r w:rsidRPr="77649626">
        <w:rPr>
          <w:rFonts w:ascii="Century Gothic" w:eastAsia="Times New Roman" w:hAnsi="Century Gothic"/>
        </w:rPr>
        <w:t>-</w:t>
      </w:r>
      <w:r w:rsidRPr="3646FFF2">
        <w:rPr>
          <w:rFonts w:ascii="Century Gothic" w:eastAsia="Times New Roman" w:hAnsi="Century Gothic"/>
        </w:rPr>
        <w:t xml:space="preserve">bedroom </w:t>
      </w:r>
      <w:r w:rsidRPr="48E02B3D">
        <w:rPr>
          <w:rFonts w:ascii="Century Gothic" w:eastAsia="Times New Roman" w:hAnsi="Century Gothic"/>
        </w:rPr>
        <w:t>units.</w:t>
      </w:r>
      <w:r w:rsidRPr="3646FFF2">
        <w:rPr>
          <w:rFonts w:ascii="Century Gothic" w:eastAsia="Times New Roman" w:hAnsi="Century Gothic"/>
        </w:rPr>
        <w:t xml:space="preserve"> </w:t>
      </w:r>
      <w:r w:rsidRPr="1AAAA803">
        <w:rPr>
          <w:rFonts w:ascii="Century Gothic" w:eastAsia="Times New Roman" w:hAnsi="Century Gothic"/>
        </w:rPr>
        <w:t xml:space="preserve">One landlord received </w:t>
      </w:r>
      <w:r w:rsidRPr="48E02B3D">
        <w:rPr>
          <w:rFonts w:ascii="Century Gothic" w:eastAsia="Times New Roman" w:hAnsi="Century Gothic"/>
        </w:rPr>
        <w:t>$275 for leasing a two</w:t>
      </w:r>
      <w:r w:rsidRPr="77649626">
        <w:rPr>
          <w:rFonts w:ascii="Century Gothic" w:eastAsia="Times New Roman" w:hAnsi="Century Gothic"/>
        </w:rPr>
        <w:t>-</w:t>
      </w:r>
      <w:r w:rsidRPr="48E02B3D">
        <w:rPr>
          <w:rFonts w:ascii="Century Gothic" w:eastAsia="Times New Roman" w:hAnsi="Century Gothic"/>
        </w:rPr>
        <w:t xml:space="preserve"> bedroom</w:t>
      </w:r>
      <w:r w:rsidRPr="78F6BA1F">
        <w:rPr>
          <w:rFonts w:ascii="Century Gothic" w:eastAsia="Times New Roman" w:hAnsi="Century Gothic"/>
        </w:rPr>
        <w:t xml:space="preserve"> </w:t>
      </w:r>
      <w:r w:rsidRPr="2CF6A0B4">
        <w:rPr>
          <w:rFonts w:ascii="Century Gothic" w:eastAsia="Times New Roman" w:hAnsi="Century Gothic"/>
        </w:rPr>
        <w:t>unit</w:t>
      </w:r>
      <w:r w:rsidRPr="78F6BA1F">
        <w:rPr>
          <w:rFonts w:ascii="Century Gothic" w:eastAsia="Times New Roman" w:hAnsi="Century Gothic"/>
        </w:rPr>
        <w:t xml:space="preserve"> to a participant.</w:t>
      </w:r>
    </w:p>
    <w:p w14:paraId="2035CA5E" w14:textId="51AA7187" w:rsidR="006961CE" w:rsidRPr="008A4599" w:rsidRDefault="006961CE" w:rsidP="4566E4F4">
      <w:pPr>
        <w:rPr>
          <w:rFonts w:ascii="Century Gothic" w:eastAsia="Calibri" w:hAnsi="Century Gothic"/>
        </w:rPr>
      </w:pPr>
    </w:p>
    <w:p w14:paraId="1DA590BD" w14:textId="0F09FD25" w:rsidR="004D0B5C" w:rsidRPr="008A4599" w:rsidRDefault="004D0B5C" w:rsidP="008A4599">
      <w:pPr>
        <w:rPr>
          <w:rFonts w:ascii="Century Gothic" w:eastAsia="MS PGothic" w:hAnsi="Century Gothic"/>
        </w:rPr>
      </w:pPr>
      <w:r w:rsidRPr="008A4599">
        <w:rPr>
          <w:rFonts w:ascii="Century Gothic" w:eastAsia="Calibri" w:hAnsi="Century Gothic"/>
          <w:b/>
          <w:bCs/>
          <w:i/>
          <w:iCs/>
          <w:color w:val="000000" w:themeColor="text1"/>
        </w:rPr>
        <w:t>Average Income</w:t>
      </w:r>
    </w:p>
    <w:p w14:paraId="5427CEA0" w14:textId="77777777" w:rsidR="003C3B12" w:rsidRPr="008A4599" w:rsidRDefault="003C3B12" w:rsidP="002D3757">
      <w:pPr>
        <w:rPr>
          <w:rFonts w:ascii="Century Gothic" w:hAnsi="Century Gothic"/>
        </w:rPr>
      </w:pPr>
    </w:p>
    <w:p w14:paraId="5B8B5120" w14:textId="102062EA" w:rsidR="006F1D5B" w:rsidRPr="008A4599" w:rsidRDefault="792D4318" w:rsidP="7AF60685">
      <w:pPr>
        <w:rPr>
          <w:rFonts w:ascii="Century Gothic" w:hAnsi="Century Gothic"/>
        </w:rPr>
      </w:pPr>
      <w:r w:rsidRPr="188A1EBF">
        <w:rPr>
          <w:rFonts w:ascii="Century Gothic" w:hAnsi="Century Gothic"/>
        </w:rPr>
        <w:t>The</w:t>
      </w:r>
      <w:r w:rsidR="71A8D0AA" w:rsidRPr="188A1EBF">
        <w:rPr>
          <w:rFonts w:ascii="Century Gothic" w:hAnsi="Century Gothic"/>
        </w:rPr>
        <w:t xml:space="preserve"> average household income </w:t>
      </w:r>
      <w:r w:rsidR="434AC96C" w:rsidRPr="188A1EBF">
        <w:rPr>
          <w:rFonts w:ascii="Century Gothic" w:hAnsi="Century Gothic"/>
        </w:rPr>
        <w:t>($</w:t>
      </w:r>
      <w:r w:rsidR="0007116D" w:rsidRPr="188A1EBF">
        <w:rPr>
          <w:rFonts w:ascii="Century Gothic" w:hAnsi="Century Gothic"/>
        </w:rPr>
        <w:t>20,908)</w:t>
      </w:r>
      <w:r w:rsidR="26F352C7" w:rsidRPr="188A1EBF">
        <w:rPr>
          <w:rFonts w:ascii="Century Gothic" w:hAnsi="Century Gothic"/>
        </w:rPr>
        <w:t xml:space="preserve"> of</w:t>
      </w:r>
      <w:r w:rsidR="6ABCEBBA" w:rsidRPr="188A1EBF">
        <w:rPr>
          <w:rFonts w:ascii="Century Gothic" w:hAnsi="Century Gothic"/>
        </w:rPr>
        <w:t xml:space="preserve"> </w:t>
      </w:r>
      <w:r w:rsidR="71A8D0AA" w:rsidRPr="188A1EBF">
        <w:rPr>
          <w:rFonts w:ascii="Century Gothic" w:hAnsi="Century Gothic"/>
        </w:rPr>
        <w:t xml:space="preserve">families who live in non-impacted </w:t>
      </w:r>
      <w:r w:rsidR="27B77944" w:rsidRPr="188A1EBF">
        <w:rPr>
          <w:rFonts w:ascii="Century Gothic" w:hAnsi="Century Gothic"/>
        </w:rPr>
        <w:t>neighborhoods</w:t>
      </w:r>
      <w:r w:rsidR="71A8D0AA" w:rsidRPr="188A1EBF">
        <w:rPr>
          <w:rFonts w:ascii="Century Gothic" w:hAnsi="Century Gothic"/>
        </w:rPr>
        <w:t xml:space="preserve"> </w:t>
      </w:r>
      <w:r w:rsidR="28960BAC" w:rsidRPr="188A1EBF">
        <w:rPr>
          <w:rFonts w:ascii="Century Gothic" w:hAnsi="Century Gothic"/>
        </w:rPr>
        <w:t>is</w:t>
      </w:r>
      <w:r w:rsidR="2F6DD6DF" w:rsidRPr="188A1EBF">
        <w:rPr>
          <w:rFonts w:ascii="Century Gothic" w:hAnsi="Century Gothic"/>
        </w:rPr>
        <w:t xml:space="preserve"> </w:t>
      </w:r>
      <w:r w:rsidR="574B3E71" w:rsidRPr="188A1EBF">
        <w:rPr>
          <w:rFonts w:ascii="Century Gothic" w:hAnsi="Century Gothic"/>
        </w:rPr>
        <w:t>4</w:t>
      </w:r>
      <w:r w:rsidR="27945D24" w:rsidRPr="188A1EBF">
        <w:rPr>
          <w:rFonts w:ascii="Century Gothic" w:hAnsi="Century Gothic"/>
        </w:rPr>
        <w:t xml:space="preserve">% </w:t>
      </w:r>
      <w:r w:rsidR="28960BAC" w:rsidRPr="188A1EBF">
        <w:rPr>
          <w:rFonts w:ascii="Century Gothic" w:hAnsi="Century Gothic"/>
        </w:rPr>
        <w:t xml:space="preserve">percent </w:t>
      </w:r>
      <w:r w:rsidR="56E3091B" w:rsidRPr="188A1EBF">
        <w:rPr>
          <w:rFonts w:ascii="Century Gothic" w:hAnsi="Century Gothic"/>
        </w:rPr>
        <w:t xml:space="preserve">lower </w:t>
      </w:r>
      <w:r w:rsidR="5FE24350" w:rsidRPr="188A1EBF">
        <w:rPr>
          <w:rFonts w:ascii="Century Gothic" w:hAnsi="Century Gothic"/>
        </w:rPr>
        <w:t>than</w:t>
      </w:r>
      <w:r w:rsidR="26F352C7" w:rsidRPr="188A1EBF">
        <w:rPr>
          <w:rFonts w:ascii="Century Gothic" w:hAnsi="Century Gothic"/>
        </w:rPr>
        <w:t xml:space="preserve"> </w:t>
      </w:r>
      <w:r w:rsidR="71A8D0AA" w:rsidRPr="188A1EBF">
        <w:rPr>
          <w:rFonts w:ascii="Century Gothic" w:hAnsi="Century Gothic"/>
        </w:rPr>
        <w:t xml:space="preserve">the entire ECC/HANH HCV-assisted population </w:t>
      </w:r>
      <w:r w:rsidR="002D1DBE">
        <w:rPr>
          <w:rFonts w:ascii="Century Gothic" w:hAnsi="Century Gothic"/>
        </w:rPr>
        <w:t>(</w:t>
      </w:r>
      <w:r w:rsidR="71A8D0AA" w:rsidRPr="188A1EBF">
        <w:rPr>
          <w:rFonts w:ascii="Century Gothic" w:hAnsi="Century Gothic"/>
        </w:rPr>
        <w:t>$</w:t>
      </w:r>
      <w:r w:rsidR="015AEFCA" w:rsidRPr="188A1EBF">
        <w:rPr>
          <w:rFonts w:ascii="Century Gothic" w:hAnsi="Century Gothic"/>
        </w:rPr>
        <w:t>21,758</w:t>
      </w:r>
      <w:r w:rsidR="002D1DBE">
        <w:rPr>
          <w:rFonts w:ascii="Century Gothic" w:hAnsi="Century Gothic"/>
        </w:rPr>
        <w:t>)</w:t>
      </w:r>
      <w:r w:rsidR="7658E2DF" w:rsidRPr="188A1EBF">
        <w:rPr>
          <w:rFonts w:ascii="Century Gothic" w:hAnsi="Century Gothic"/>
        </w:rPr>
        <w:t>.</w:t>
      </w:r>
      <w:r w:rsidR="71A8D0AA" w:rsidRPr="188A1EBF">
        <w:rPr>
          <w:rFonts w:ascii="Century Gothic" w:hAnsi="Century Gothic"/>
        </w:rPr>
        <w:t xml:space="preserve"> </w:t>
      </w:r>
      <w:r w:rsidR="1AF861B9" w:rsidRPr="188A1EBF">
        <w:rPr>
          <w:rFonts w:ascii="Century Gothic" w:hAnsi="Century Gothic"/>
        </w:rPr>
        <w:t xml:space="preserve"> </w:t>
      </w:r>
      <w:r w:rsidR="6031EF4A" w:rsidRPr="188A1EBF">
        <w:rPr>
          <w:rFonts w:ascii="Century Gothic" w:hAnsi="Century Gothic"/>
        </w:rPr>
        <w:t xml:space="preserve"> </w:t>
      </w:r>
    </w:p>
    <w:p w14:paraId="545F10BE" w14:textId="7DFA0E68" w:rsidR="188A1EBF" w:rsidRDefault="188A1EBF" w:rsidP="188A1EBF">
      <w:pPr>
        <w:rPr>
          <w:rFonts w:ascii="Century Gothic" w:hAnsi="Century Gothic"/>
        </w:rPr>
      </w:pPr>
    </w:p>
    <w:p w14:paraId="7A473614" w14:textId="09673EF7" w:rsidR="396CB521" w:rsidRDefault="382B5B40" w:rsidP="396CB521">
      <w:pPr>
        <w:rPr>
          <w:rFonts w:ascii="Century Gothic" w:eastAsia="Calibri" w:hAnsi="Century Gothic"/>
          <w:color w:val="000000" w:themeColor="text1"/>
        </w:rPr>
      </w:pPr>
      <w:r w:rsidRPr="188A1EBF">
        <w:rPr>
          <w:rFonts w:ascii="Century Gothic" w:hAnsi="Century Gothic"/>
        </w:rPr>
        <w:t xml:space="preserve">However, there </w:t>
      </w:r>
      <w:r w:rsidR="00F048D6">
        <w:rPr>
          <w:rFonts w:ascii="Century Gothic" w:hAnsi="Century Gothic"/>
        </w:rPr>
        <w:t>was</w:t>
      </w:r>
      <w:r w:rsidRPr="188A1EBF">
        <w:rPr>
          <w:rFonts w:ascii="Century Gothic" w:hAnsi="Century Gothic"/>
        </w:rPr>
        <w:t xml:space="preserve"> a </w:t>
      </w:r>
      <w:r w:rsidR="72005FEB" w:rsidRPr="188A1EBF">
        <w:rPr>
          <w:rFonts w:ascii="Century Gothic" w:hAnsi="Century Gothic"/>
        </w:rPr>
        <w:t>14</w:t>
      </w:r>
      <w:r w:rsidRPr="188A1EBF">
        <w:rPr>
          <w:rFonts w:ascii="Century Gothic" w:hAnsi="Century Gothic"/>
        </w:rPr>
        <w:t xml:space="preserve">% </w:t>
      </w:r>
      <w:r w:rsidR="003C3B12" w:rsidRPr="188A1EBF">
        <w:rPr>
          <w:rFonts w:ascii="Century Gothic" w:hAnsi="Century Gothic"/>
        </w:rPr>
        <w:t xml:space="preserve">increase </w:t>
      </w:r>
      <w:r w:rsidRPr="188A1EBF">
        <w:rPr>
          <w:rFonts w:ascii="Century Gothic" w:hAnsi="Century Gothic"/>
        </w:rPr>
        <w:t>from FY202</w:t>
      </w:r>
      <w:r w:rsidR="73B5271B" w:rsidRPr="188A1EBF">
        <w:rPr>
          <w:rFonts w:ascii="Century Gothic" w:hAnsi="Century Gothic"/>
        </w:rPr>
        <w:t>3</w:t>
      </w:r>
      <w:r w:rsidRPr="188A1EBF">
        <w:rPr>
          <w:rFonts w:ascii="Century Gothic" w:hAnsi="Century Gothic"/>
        </w:rPr>
        <w:t xml:space="preserve"> ($</w:t>
      </w:r>
      <w:r w:rsidR="6CADC0E2" w:rsidRPr="188A1EBF">
        <w:rPr>
          <w:rFonts w:ascii="Century Gothic" w:hAnsi="Century Gothic"/>
        </w:rPr>
        <w:t>18,240</w:t>
      </w:r>
      <w:r w:rsidRPr="188A1EBF">
        <w:rPr>
          <w:rFonts w:ascii="Century Gothic" w:hAnsi="Century Gothic"/>
        </w:rPr>
        <w:t>)</w:t>
      </w:r>
      <w:r w:rsidR="008262DA" w:rsidRPr="188A1EBF">
        <w:rPr>
          <w:rFonts w:ascii="Century Gothic" w:hAnsi="Century Gothic"/>
        </w:rPr>
        <w:t>, for families who live in non-impacted areas</w:t>
      </w:r>
      <w:r w:rsidRPr="188A1EBF">
        <w:rPr>
          <w:rFonts w:ascii="Century Gothic" w:hAnsi="Century Gothic"/>
        </w:rPr>
        <w:t xml:space="preserve">. </w:t>
      </w:r>
    </w:p>
    <w:p w14:paraId="1F4525B4" w14:textId="77777777" w:rsidR="00D03D65" w:rsidRDefault="00D03D65" w:rsidP="396CB521">
      <w:pPr>
        <w:rPr>
          <w:rFonts w:ascii="Century Gothic" w:eastAsia="Calibri" w:hAnsi="Century Gothic"/>
          <w:color w:val="000000" w:themeColor="text1"/>
        </w:rPr>
      </w:pPr>
    </w:p>
    <w:p w14:paraId="5E55C1D3" w14:textId="7C79A650" w:rsidR="00D03D65" w:rsidRDefault="00D22C8B" w:rsidP="396CB521">
      <w:pPr>
        <w:rPr>
          <w:rFonts w:ascii="Century Gothic" w:eastAsia="Calibri" w:hAnsi="Century Gothic"/>
          <w:b/>
          <w:bCs/>
          <w:i/>
          <w:iCs/>
          <w:color w:val="000000" w:themeColor="text1"/>
        </w:rPr>
      </w:pPr>
      <w:r w:rsidRPr="004E399F">
        <w:rPr>
          <w:rFonts w:ascii="Century Gothic" w:eastAsia="Calibri" w:hAnsi="Century Gothic"/>
          <w:b/>
          <w:bCs/>
          <w:i/>
          <w:iCs/>
          <w:color w:val="000000" w:themeColor="text1"/>
        </w:rPr>
        <w:t>Exception Rents</w:t>
      </w:r>
    </w:p>
    <w:p w14:paraId="32BFF748" w14:textId="77777777" w:rsidR="00BE289E" w:rsidRDefault="00BE289E" w:rsidP="396CB521">
      <w:pPr>
        <w:rPr>
          <w:rFonts w:ascii="Century Gothic" w:eastAsia="Calibri" w:hAnsi="Century Gothic"/>
          <w:b/>
          <w:bCs/>
          <w:color w:val="000000" w:themeColor="text1"/>
        </w:rPr>
      </w:pPr>
    </w:p>
    <w:p w14:paraId="5452F5B2" w14:textId="58E72CDF" w:rsidR="00BE289E" w:rsidRPr="00F048D6" w:rsidRDefault="00BE289E" w:rsidP="396CB521">
      <w:pPr>
        <w:rPr>
          <w:rFonts w:ascii="Century Gothic" w:eastAsia="Calibri" w:hAnsi="Century Gothic"/>
          <w:color w:val="000000" w:themeColor="text1"/>
        </w:rPr>
      </w:pPr>
      <w:r w:rsidRPr="004E399F">
        <w:rPr>
          <w:rFonts w:ascii="Century Gothic" w:eastAsia="Calibri" w:hAnsi="Century Gothic"/>
          <w:color w:val="000000" w:themeColor="text1"/>
        </w:rPr>
        <w:t>ECC</w:t>
      </w:r>
      <w:r>
        <w:rPr>
          <w:rFonts w:ascii="Century Gothic" w:eastAsia="Calibri" w:hAnsi="Century Gothic"/>
          <w:color w:val="000000" w:themeColor="text1"/>
        </w:rPr>
        <w:t xml:space="preserve">/HANH received and approved </w:t>
      </w:r>
      <w:r w:rsidR="00ED367A">
        <w:rPr>
          <w:rFonts w:ascii="Century Gothic" w:eastAsia="Calibri" w:hAnsi="Century Gothic"/>
          <w:color w:val="000000" w:themeColor="text1"/>
        </w:rPr>
        <w:t>seven (7) requests for exception</w:t>
      </w:r>
      <w:r w:rsidR="004B468D">
        <w:rPr>
          <w:rFonts w:ascii="Century Gothic" w:eastAsia="Calibri" w:hAnsi="Century Gothic"/>
          <w:color w:val="000000" w:themeColor="text1"/>
        </w:rPr>
        <w:t xml:space="preserve"> rents</w:t>
      </w:r>
      <w:r w:rsidR="000B429D">
        <w:rPr>
          <w:rFonts w:ascii="Century Gothic" w:eastAsia="Calibri" w:hAnsi="Century Gothic"/>
          <w:color w:val="000000" w:themeColor="text1"/>
        </w:rPr>
        <w:t xml:space="preserve"> for an average</w:t>
      </w:r>
      <w:r w:rsidR="00ED2621">
        <w:rPr>
          <w:rFonts w:ascii="Century Gothic" w:eastAsia="Calibri" w:hAnsi="Century Gothic"/>
          <w:color w:val="000000" w:themeColor="text1"/>
        </w:rPr>
        <w:t xml:space="preserve"> </w:t>
      </w:r>
      <w:r w:rsidR="008B4E53">
        <w:rPr>
          <w:rFonts w:ascii="Century Gothic" w:eastAsia="Calibri" w:hAnsi="Century Gothic"/>
          <w:color w:val="000000" w:themeColor="text1"/>
        </w:rPr>
        <w:t xml:space="preserve">payment standard </w:t>
      </w:r>
      <w:r w:rsidR="004B468D">
        <w:rPr>
          <w:rFonts w:ascii="Century Gothic" w:eastAsia="Calibri" w:hAnsi="Century Gothic"/>
          <w:color w:val="000000" w:themeColor="text1"/>
        </w:rPr>
        <w:t xml:space="preserve">of </w:t>
      </w:r>
      <w:r w:rsidR="00ED2621">
        <w:rPr>
          <w:rFonts w:ascii="Century Gothic" w:eastAsia="Calibri" w:hAnsi="Century Gothic"/>
          <w:color w:val="000000" w:themeColor="text1"/>
        </w:rPr>
        <w:t>127%</w:t>
      </w:r>
      <w:r w:rsidR="00C467F3">
        <w:rPr>
          <w:rFonts w:ascii="Century Gothic" w:eastAsia="Calibri" w:hAnsi="Century Gothic"/>
          <w:color w:val="000000" w:themeColor="text1"/>
        </w:rPr>
        <w:t xml:space="preserve">. </w:t>
      </w:r>
      <w:r w:rsidR="00F057D9">
        <w:rPr>
          <w:rFonts w:ascii="Century Gothic" w:eastAsia="Calibri" w:hAnsi="Century Gothic"/>
          <w:color w:val="000000" w:themeColor="text1"/>
        </w:rPr>
        <w:t xml:space="preserve"> This allowed </w:t>
      </w:r>
      <w:r w:rsidR="004A7135">
        <w:rPr>
          <w:rFonts w:ascii="Century Gothic" w:eastAsia="Calibri" w:hAnsi="Century Gothic"/>
          <w:color w:val="000000" w:themeColor="text1"/>
        </w:rPr>
        <w:t xml:space="preserve">7 </w:t>
      </w:r>
      <w:r w:rsidR="00F057D9">
        <w:rPr>
          <w:rFonts w:ascii="Century Gothic" w:eastAsia="Calibri" w:hAnsi="Century Gothic"/>
          <w:color w:val="000000" w:themeColor="text1"/>
        </w:rPr>
        <w:t>families to rent units</w:t>
      </w:r>
      <w:r w:rsidR="004E399F">
        <w:rPr>
          <w:rFonts w:ascii="Century Gothic" w:eastAsia="Calibri" w:hAnsi="Century Gothic"/>
          <w:color w:val="000000" w:themeColor="text1"/>
        </w:rPr>
        <w:t xml:space="preserve"> that otherwise may not have been available to them.</w:t>
      </w:r>
      <w:r w:rsidR="00ED2621">
        <w:rPr>
          <w:rFonts w:ascii="Century Gothic" w:eastAsia="Calibri" w:hAnsi="Century Gothic"/>
          <w:color w:val="000000" w:themeColor="text1"/>
        </w:rPr>
        <w:t xml:space="preserve"> </w:t>
      </w:r>
    </w:p>
    <w:p w14:paraId="44ECEE4E" w14:textId="50A7D1D8" w:rsidR="662A423E" w:rsidRPr="008A4599" w:rsidRDefault="005841CB" w:rsidP="2FA64051">
      <w:pPr>
        <w:pStyle w:val="Heading4"/>
        <w:rPr>
          <w:rStyle w:val="SubtleEmphasis"/>
          <w:rFonts w:ascii="Century Gothic" w:hAnsi="Century Gothic" w:cs="Times New Roman"/>
          <w:sz w:val="22"/>
        </w:rPr>
      </w:pPr>
      <w:r w:rsidRPr="008A4599">
        <w:rPr>
          <w:rStyle w:val="SubtleEmphasis"/>
          <w:rFonts w:ascii="Century Gothic" w:hAnsi="Century Gothic" w:cs="Times New Roman"/>
          <w:sz w:val="22"/>
        </w:rPr>
        <w:lastRenderedPageBreak/>
        <w:t>Outcomes</w:t>
      </w:r>
    </w:p>
    <w:p w14:paraId="26AA0B16" w14:textId="2C32F82D" w:rsidR="005841CB" w:rsidRPr="008A4599" w:rsidRDefault="008F7BA8" w:rsidP="005841CB">
      <w:pPr>
        <w:rPr>
          <w:rStyle w:val="IntenseEmphasis"/>
          <w:rFonts w:ascii="Century Gothic" w:hAnsi="Century Gothic"/>
          <w:sz w:val="22"/>
          <w:szCs w:val="22"/>
        </w:rPr>
      </w:pPr>
      <w:r>
        <w:rPr>
          <w:rStyle w:val="IntenseEmphasis"/>
          <w:rFonts w:ascii="Century Gothic" w:hAnsi="Century Gothic"/>
          <w:sz w:val="22"/>
          <w:szCs w:val="22"/>
        </w:rPr>
        <w:t>Internal</w:t>
      </w:r>
      <w:r w:rsidR="1BC546A9" w:rsidRPr="008A4599">
        <w:rPr>
          <w:rStyle w:val="IntenseEmphasis"/>
          <w:rFonts w:ascii="Century Gothic" w:hAnsi="Century Gothic"/>
          <w:sz w:val="22"/>
          <w:szCs w:val="22"/>
        </w:rPr>
        <w:t xml:space="preserve"> Metrics</w:t>
      </w:r>
    </w:p>
    <w:p w14:paraId="49B822C4" w14:textId="7E9EC88B" w:rsidR="7AC9FF43" w:rsidRPr="008A4599" w:rsidRDefault="7AC9FF43" w:rsidP="7AC9FF43">
      <w:pPr>
        <w:rPr>
          <w:rStyle w:val="IntenseEmphasis"/>
          <w:rFonts w:ascii="Century Gothic" w:hAnsi="Century Gothic"/>
          <w:sz w:val="22"/>
          <w:szCs w:val="22"/>
        </w:rPr>
      </w:pPr>
    </w:p>
    <w:p w14:paraId="4A31E57E" w14:textId="7C8F43F4" w:rsidR="1D4AE248" w:rsidRPr="008A4599" w:rsidRDefault="1D4AE248" w:rsidP="7AC9FF43">
      <w:pPr>
        <w:rPr>
          <w:rFonts w:ascii="Century Gothic" w:eastAsia="Calibri" w:hAnsi="Century Gothic"/>
        </w:rPr>
      </w:pPr>
      <w:r w:rsidRPr="008A4599">
        <w:rPr>
          <w:rFonts w:ascii="Century Gothic" w:eastAsia="Calibri" w:hAnsi="Century Gothic"/>
        </w:rPr>
        <w:t xml:space="preserve">ECC/HANH measures </w:t>
      </w:r>
      <w:r w:rsidR="00B74714" w:rsidRPr="008A4599">
        <w:rPr>
          <w:rFonts w:ascii="Century Gothic" w:eastAsia="Calibri" w:hAnsi="Century Gothic"/>
        </w:rPr>
        <w:t xml:space="preserve">the </w:t>
      </w:r>
      <w:r w:rsidRPr="008A4599">
        <w:rPr>
          <w:rFonts w:ascii="Century Gothic" w:eastAsia="Calibri" w:hAnsi="Century Gothic"/>
        </w:rPr>
        <w:t xml:space="preserve">increase in HCV moves to deconcentration areas seeking to improve by more than 2% over the prior year. </w:t>
      </w:r>
    </w:p>
    <w:p w14:paraId="4DBEF8C4" w14:textId="7424C8D9" w:rsidR="7AC9FF43" w:rsidRPr="008A4599" w:rsidRDefault="7AC9FF43" w:rsidP="7AC9FF43">
      <w:pPr>
        <w:rPr>
          <w:rFonts w:ascii="Century Gothic" w:eastAsia="Calibri" w:hAnsi="Century Gothic"/>
        </w:rPr>
      </w:pPr>
    </w:p>
    <w:p w14:paraId="5F8BD660" w14:textId="0B3149EB" w:rsidR="1C67719E" w:rsidRPr="008A4599" w:rsidRDefault="22A2E8A1" w:rsidP="7AC9FF43">
      <w:pPr>
        <w:rPr>
          <w:rFonts w:ascii="Century Gothic" w:eastAsia="Calibri" w:hAnsi="Century Gothic"/>
        </w:rPr>
      </w:pPr>
      <w:r w:rsidRPr="188A1EBF">
        <w:rPr>
          <w:rFonts w:ascii="Century Gothic" w:eastAsia="Calibri" w:hAnsi="Century Gothic"/>
        </w:rPr>
        <w:t xml:space="preserve">There was </w:t>
      </w:r>
      <w:r w:rsidR="678567BC" w:rsidRPr="188A1EBF">
        <w:rPr>
          <w:rFonts w:ascii="Century Gothic" w:eastAsia="Calibri" w:hAnsi="Century Gothic"/>
        </w:rPr>
        <w:t>an</w:t>
      </w:r>
      <w:r w:rsidR="20D9123B" w:rsidRPr="188A1EBF">
        <w:rPr>
          <w:rFonts w:ascii="Century Gothic" w:eastAsia="Calibri" w:hAnsi="Century Gothic"/>
        </w:rPr>
        <w:t xml:space="preserve"> </w:t>
      </w:r>
      <w:r w:rsidR="7E7B1F41" w:rsidRPr="00852FA0">
        <w:rPr>
          <w:rFonts w:ascii="Century Gothic" w:eastAsia="Calibri" w:hAnsi="Century Gothic"/>
        </w:rPr>
        <w:t>8</w:t>
      </w:r>
      <w:r w:rsidR="007F4EC5" w:rsidRPr="00852FA0">
        <w:rPr>
          <w:rFonts w:ascii="Century Gothic" w:eastAsia="Calibri" w:hAnsi="Century Gothic"/>
        </w:rPr>
        <w:t>8</w:t>
      </w:r>
      <w:r w:rsidRPr="00852FA0">
        <w:rPr>
          <w:rFonts w:ascii="Century Gothic" w:eastAsia="Calibri" w:hAnsi="Century Gothic"/>
        </w:rPr>
        <w:t>%</w:t>
      </w:r>
      <w:r w:rsidRPr="188A1EBF">
        <w:rPr>
          <w:rFonts w:ascii="Century Gothic" w:eastAsia="Calibri" w:hAnsi="Century Gothic"/>
        </w:rPr>
        <w:t xml:space="preserve"> increase in movers from FY202</w:t>
      </w:r>
      <w:r w:rsidR="224A5189" w:rsidRPr="188A1EBF">
        <w:rPr>
          <w:rFonts w:ascii="Century Gothic" w:eastAsia="Calibri" w:hAnsi="Century Gothic"/>
        </w:rPr>
        <w:t>3</w:t>
      </w:r>
      <w:r w:rsidRPr="188A1EBF">
        <w:rPr>
          <w:rFonts w:ascii="Century Gothic" w:eastAsia="Calibri" w:hAnsi="Century Gothic"/>
        </w:rPr>
        <w:t xml:space="preserve"> (8) to FY202</w:t>
      </w:r>
      <w:r w:rsidR="2C3057C4" w:rsidRPr="188A1EBF">
        <w:rPr>
          <w:rFonts w:ascii="Century Gothic" w:eastAsia="Calibri" w:hAnsi="Century Gothic"/>
        </w:rPr>
        <w:t>4</w:t>
      </w:r>
      <w:r w:rsidRPr="188A1EBF">
        <w:rPr>
          <w:rFonts w:ascii="Century Gothic" w:eastAsia="Calibri" w:hAnsi="Century Gothic"/>
        </w:rPr>
        <w:t xml:space="preserve"> </w:t>
      </w:r>
      <w:r w:rsidRPr="00852FA0">
        <w:rPr>
          <w:rFonts w:ascii="Century Gothic" w:eastAsia="Calibri" w:hAnsi="Century Gothic"/>
        </w:rPr>
        <w:t>(</w:t>
      </w:r>
      <w:r w:rsidR="22FFB813" w:rsidRPr="00852FA0">
        <w:rPr>
          <w:rFonts w:ascii="Century Gothic" w:eastAsia="Calibri" w:hAnsi="Century Gothic"/>
        </w:rPr>
        <w:t>15</w:t>
      </w:r>
      <w:r w:rsidRPr="00852FA0">
        <w:rPr>
          <w:rFonts w:ascii="Century Gothic" w:eastAsia="Calibri" w:hAnsi="Century Gothic"/>
        </w:rPr>
        <w:t xml:space="preserve">). </w:t>
      </w:r>
    </w:p>
    <w:p w14:paraId="0F637538" w14:textId="34433F4A" w:rsidR="7AC9FF43" w:rsidRPr="008A4599" w:rsidRDefault="7AC9FF43" w:rsidP="7AC9FF43">
      <w:pPr>
        <w:rPr>
          <w:rFonts w:ascii="Century Gothic" w:eastAsia="Calibri" w:hAnsi="Century Gothic"/>
        </w:rPr>
      </w:pPr>
    </w:p>
    <w:p w14:paraId="184259AB" w14:textId="72D5CFAD" w:rsidR="66ECA9BC" w:rsidRPr="008A4599" w:rsidRDefault="5A21D3EB" w:rsidP="7AC9FF43">
      <w:pPr>
        <w:rPr>
          <w:rFonts w:ascii="Century Gothic" w:eastAsia="Calibri" w:hAnsi="Century Gothic"/>
        </w:rPr>
      </w:pPr>
      <w:r w:rsidRPr="008A4599">
        <w:rPr>
          <w:rFonts w:ascii="Century Gothic" w:eastAsia="Calibri" w:hAnsi="Century Gothic"/>
        </w:rPr>
        <w:t>***</w:t>
      </w:r>
      <w:r w:rsidR="11B8F79B" w:rsidRPr="008A4599">
        <w:rPr>
          <w:rFonts w:ascii="Century Gothic" w:eastAsia="Calibri" w:hAnsi="Century Gothic"/>
        </w:rPr>
        <w:t>Sample Tracker</w:t>
      </w:r>
    </w:p>
    <w:p w14:paraId="32C294C5" w14:textId="7F8E00C7" w:rsidR="7AC9FF43" w:rsidRPr="008A4599" w:rsidRDefault="7AC9FF43" w:rsidP="7AC9FF43">
      <w:pPr>
        <w:rPr>
          <w:rFonts w:ascii="Century Gothic" w:eastAsia="Calibri" w:hAnsi="Century Gothic" w:cs="Calibri"/>
          <w:sz w:val="20"/>
          <w:szCs w:val="20"/>
        </w:rPr>
      </w:pPr>
    </w:p>
    <w:tbl>
      <w:tblPr>
        <w:tblW w:w="0" w:type="auto"/>
        <w:tblInd w:w="-95" w:type="dxa"/>
        <w:tblLook w:val="04A0" w:firstRow="1" w:lastRow="0" w:firstColumn="1" w:lastColumn="0" w:noHBand="0" w:noVBand="1"/>
      </w:tblPr>
      <w:tblGrid>
        <w:gridCol w:w="1548"/>
        <w:gridCol w:w="1491"/>
        <w:gridCol w:w="1794"/>
        <w:gridCol w:w="1794"/>
        <w:gridCol w:w="1697"/>
        <w:gridCol w:w="1697"/>
      </w:tblGrid>
      <w:tr w:rsidR="003F3BF8" w:rsidRPr="006D0519" w14:paraId="0FE65649" w14:textId="77777777" w:rsidTr="1341F25B">
        <w:trPr>
          <w:trHeight w:val="1620"/>
          <w:tblHeader/>
        </w:trPr>
        <w:tc>
          <w:tcPr>
            <w:tcW w:w="1557" w:type="dxa"/>
            <w:tcBorders>
              <w:top w:val="single" w:sz="4" w:space="0" w:color="auto"/>
              <w:left w:val="single" w:sz="4" w:space="0" w:color="auto"/>
              <w:bottom w:val="single" w:sz="4" w:space="0" w:color="auto"/>
              <w:right w:val="single" w:sz="4" w:space="0" w:color="auto"/>
            </w:tcBorders>
            <w:vAlign w:val="bottom"/>
          </w:tcPr>
          <w:p w14:paraId="1603E907" w14:textId="4CF5965E" w:rsidR="7AC9FF43" w:rsidRPr="008A4599" w:rsidRDefault="7AC9FF43" w:rsidP="7AC9FF43">
            <w:pPr>
              <w:rPr>
                <w:rFonts w:ascii="Century Gothic" w:hAnsi="Century Gothic"/>
              </w:rPr>
            </w:pPr>
            <w:r w:rsidRPr="008A4599">
              <w:rPr>
                <w:rFonts w:ascii="Century Gothic" w:hAnsi="Century Gothic"/>
              </w:rPr>
              <w:t>Sample Percent Increase Tracker </w:t>
            </w:r>
          </w:p>
        </w:tc>
        <w:tc>
          <w:tcPr>
            <w:tcW w:w="1323" w:type="dxa"/>
            <w:tcBorders>
              <w:top w:val="single" w:sz="4" w:space="0" w:color="auto"/>
              <w:left w:val="nil"/>
              <w:bottom w:val="single" w:sz="4" w:space="0" w:color="auto"/>
              <w:right w:val="single" w:sz="4" w:space="0" w:color="auto"/>
            </w:tcBorders>
            <w:vAlign w:val="bottom"/>
          </w:tcPr>
          <w:p w14:paraId="4D46237C" w14:textId="2D23E84C" w:rsidR="7AC9FF43" w:rsidRPr="008A4599" w:rsidRDefault="766B5A31" w:rsidP="7AC9FF43">
            <w:pPr>
              <w:jc w:val="center"/>
              <w:rPr>
                <w:rFonts w:ascii="Century Gothic" w:hAnsi="Century Gothic"/>
              </w:rPr>
            </w:pPr>
            <w:r w:rsidRPr="008A4599">
              <w:rPr>
                <w:rFonts w:ascii="Century Gothic" w:hAnsi="Century Gothic"/>
              </w:rPr>
              <w:t>Previous FY Percentage (</w:t>
            </w:r>
            <w:r w:rsidR="0B2BD048" w:rsidRPr="008A4599">
              <w:rPr>
                <w:rFonts w:ascii="Century Gothic" w:hAnsi="Century Gothic"/>
              </w:rPr>
              <w:t>20</w:t>
            </w:r>
            <w:r w:rsidR="5BCC4F0C" w:rsidRPr="008A4599">
              <w:rPr>
                <w:rFonts w:ascii="Century Gothic" w:hAnsi="Century Gothic"/>
              </w:rPr>
              <w:t>2</w:t>
            </w:r>
            <w:r w:rsidR="6E2C14E3" w:rsidRPr="008A4599">
              <w:rPr>
                <w:rFonts w:ascii="Century Gothic" w:hAnsi="Century Gothic"/>
              </w:rPr>
              <w:t>3</w:t>
            </w:r>
            <w:r w:rsidRPr="008A4599">
              <w:rPr>
                <w:rFonts w:ascii="Century Gothic" w:hAnsi="Century Gothic"/>
              </w:rPr>
              <w:t>)</w:t>
            </w:r>
          </w:p>
        </w:tc>
        <w:tc>
          <w:tcPr>
            <w:tcW w:w="1800" w:type="dxa"/>
            <w:tcBorders>
              <w:top w:val="single" w:sz="4" w:space="0" w:color="auto"/>
              <w:left w:val="nil"/>
              <w:bottom w:val="single" w:sz="4" w:space="0" w:color="auto"/>
              <w:right w:val="single" w:sz="4" w:space="0" w:color="auto"/>
            </w:tcBorders>
            <w:vAlign w:val="bottom"/>
          </w:tcPr>
          <w:p w14:paraId="3E227E16" w14:textId="18355882" w:rsidR="7AC9FF43" w:rsidRPr="008A4599" w:rsidRDefault="766B5A31" w:rsidP="7AC9FF43">
            <w:pPr>
              <w:jc w:val="center"/>
              <w:rPr>
                <w:rFonts w:ascii="Century Gothic" w:hAnsi="Century Gothic"/>
              </w:rPr>
            </w:pPr>
            <w:r w:rsidRPr="008A4599">
              <w:rPr>
                <w:rFonts w:ascii="Century Gothic" w:hAnsi="Century Gothic"/>
              </w:rPr>
              <w:t>Current FY Percentage (</w:t>
            </w:r>
            <w:r w:rsidR="0B2BD048" w:rsidRPr="008A4599">
              <w:rPr>
                <w:rFonts w:ascii="Century Gothic" w:hAnsi="Century Gothic"/>
              </w:rPr>
              <w:t>20</w:t>
            </w:r>
            <w:r w:rsidR="1C393716" w:rsidRPr="008A4599">
              <w:rPr>
                <w:rFonts w:ascii="Century Gothic" w:hAnsi="Century Gothic"/>
              </w:rPr>
              <w:t>2</w:t>
            </w:r>
            <w:r w:rsidR="76A8A447" w:rsidRPr="008A4599">
              <w:rPr>
                <w:rFonts w:ascii="Century Gothic" w:hAnsi="Century Gothic"/>
              </w:rPr>
              <w:t>4)</w:t>
            </w:r>
          </w:p>
        </w:tc>
        <w:tc>
          <w:tcPr>
            <w:tcW w:w="1800" w:type="dxa"/>
            <w:tcBorders>
              <w:top w:val="single" w:sz="4" w:space="0" w:color="auto"/>
              <w:left w:val="nil"/>
              <w:bottom w:val="single" w:sz="4" w:space="0" w:color="auto"/>
              <w:right w:val="single" w:sz="4" w:space="0" w:color="auto"/>
            </w:tcBorders>
            <w:vAlign w:val="bottom"/>
          </w:tcPr>
          <w:p w14:paraId="539CAD10" w14:textId="5CE6A8C8" w:rsidR="7AC9FF43" w:rsidRPr="008A4599" w:rsidRDefault="7AC9FF43" w:rsidP="7AC9FF43">
            <w:pPr>
              <w:jc w:val="center"/>
              <w:rPr>
                <w:rFonts w:ascii="Century Gothic" w:hAnsi="Century Gothic"/>
              </w:rPr>
            </w:pPr>
            <w:r w:rsidRPr="008A4599">
              <w:rPr>
                <w:rFonts w:ascii="Century Gothic" w:hAnsi="Century Gothic"/>
              </w:rPr>
              <w:t>Goal - Percentage Increase</w:t>
            </w:r>
          </w:p>
        </w:tc>
        <w:tc>
          <w:tcPr>
            <w:tcW w:w="1710" w:type="dxa"/>
            <w:tcBorders>
              <w:top w:val="single" w:sz="4" w:space="0" w:color="auto"/>
              <w:left w:val="nil"/>
              <w:bottom w:val="single" w:sz="4" w:space="0" w:color="auto"/>
              <w:right w:val="single" w:sz="4" w:space="0" w:color="auto"/>
            </w:tcBorders>
            <w:vAlign w:val="bottom"/>
          </w:tcPr>
          <w:p w14:paraId="0BFA8642" w14:textId="3C8D603F" w:rsidR="7AC9FF43" w:rsidRPr="008A4599" w:rsidRDefault="7AC9FF43" w:rsidP="7AC9FF43">
            <w:pPr>
              <w:jc w:val="center"/>
              <w:rPr>
                <w:rFonts w:ascii="Century Gothic" w:hAnsi="Century Gothic"/>
              </w:rPr>
            </w:pPr>
            <w:r w:rsidRPr="008A4599">
              <w:rPr>
                <w:rFonts w:ascii="Century Gothic" w:hAnsi="Century Gothic"/>
              </w:rPr>
              <w:t xml:space="preserve">2% of </w:t>
            </w:r>
            <w:r w:rsidRPr="008A4599">
              <w:rPr>
                <w:rFonts w:ascii="Century Gothic" w:hAnsi="Century Gothic"/>
              </w:rPr>
              <w:br/>
              <w:t>Previous Year (20</w:t>
            </w:r>
            <w:r w:rsidR="7AA8A5A6" w:rsidRPr="008A4599">
              <w:rPr>
                <w:rFonts w:ascii="Century Gothic" w:hAnsi="Century Gothic"/>
              </w:rPr>
              <w:t>23</w:t>
            </w:r>
            <w:r w:rsidRPr="008A4599">
              <w:rPr>
                <w:rFonts w:ascii="Century Gothic" w:hAnsi="Century Gothic"/>
              </w:rPr>
              <w:t>)</w:t>
            </w:r>
          </w:p>
        </w:tc>
        <w:tc>
          <w:tcPr>
            <w:tcW w:w="1710" w:type="dxa"/>
            <w:tcBorders>
              <w:top w:val="single" w:sz="4" w:space="0" w:color="auto"/>
              <w:left w:val="nil"/>
              <w:bottom w:val="single" w:sz="4" w:space="0" w:color="auto"/>
              <w:right w:val="single" w:sz="4" w:space="0" w:color="auto"/>
            </w:tcBorders>
            <w:vAlign w:val="bottom"/>
          </w:tcPr>
          <w:p w14:paraId="1923F98C" w14:textId="77777777" w:rsidR="7AC9FF43" w:rsidRPr="008A4599" w:rsidRDefault="7AC9FF43" w:rsidP="7AC9FF43">
            <w:pPr>
              <w:jc w:val="center"/>
              <w:rPr>
                <w:rFonts w:ascii="Century Gothic" w:hAnsi="Century Gothic"/>
              </w:rPr>
            </w:pPr>
            <w:r w:rsidRPr="008A4599">
              <w:rPr>
                <w:rFonts w:ascii="Century Gothic" w:hAnsi="Century Gothic"/>
              </w:rPr>
              <w:t xml:space="preserve">Is Current Percent </w:t>
            </w:r>
            <w:r w:rsidRPr="008A4599">
              <w:rPr>
                <w:rFonts w:ascii="Century Gothic" w:hAnsi="Century Gothic"/>
              </w:rPr>
              <w:br/>
              <w:t>Equal to or Greater than 2% of Previous Year?</w:t>
            </w:r>
          </w:p>
        </w:tc>
      </w:tr>
      <w:tr w:rsidR="003F3BF8" w:rsidRPr="006D0519" w14:paraId="06F9E92A" w14:textId="77777777" w:rsidTr="0007116D">
        <w:trPr>
          <w:trHeight w:val="647"/>
          <w:tblHeader/>
        </w:trPr>
        <w:tc>
          <w:tcPr>
            <w:tcW w:w="1557" w:type="dxa"/>
            <w:tcBorders>
              <w:top w:val="nil"/>
              <w:left w:val="single" w:sz="4" w:space="0" w:color="auto"/>
              <w:bottom w:val="single" w:sz="4" w:space="0" w:color="auto"/>
              <w:right w:val="single" w:sz="4" w:space="0" w:color="auto"/>
            </w:tcBorders>
            <w:vAlign w:val="bottom"/>
          </w:tcPr>
          <w:p w14:paraId="3FF29275" w14:textId="57074E6C" w:rsidR="7AC9FF43" w:rsidRPr="008A4599" w:rsidRDefault="0B2BD048" w:rsidP="7AC9FF43">
            <w:pPr>
              <w:jc w:val="center"/>
              <w:rPr>
                <w:rFonts w:ascii="Century Gothic" w:hAnsi="Century Gothic"/>
              </w:rPr>
            </w:pPr>
            <w:r w:rsidRPr="008A4599">
              <w:rPr>
                <w:rFonts w:ascii="Century Gothic" w:hAnsi="Century Gothic"/>
              </w:rPr>
              <w:t>FY2</w:t>
            </w:r>
            <w:r w:rsidR="08511EAB" w:rsidRPr="008A4599">
              <w:rPr>
                <w:rFonts w:ascii="Century Gothic" w:hAnsi="Century Gothic"/>
              </w:rPr>
              <w:t>02</w:t>
            </w:r>
            <w:r w:rsidR="65C18F71" w:rsidRPr="008A4599">
              <w:rPr>
                <w:rFonts w:ascii="Century Gothic" w:hAnsi="Century Gothic"/>
              </w:rPr>
              <w:t>4</w:t>
            </w:r>
          </w:p>
        </w:tc>
        <w:tc>
          <w:tcPr>
            <w:tcW w:w="1323" w:type="dxa"/>
            <w:tcBorders>
              <w:top w:val="nil"/>
              <w:left w:val="nil"/>
              <w:bottom w:val="single" w:sz="4" w:space="0" w:color="auto"/>
              <w:right w:val="single" w:sz="4" w:space="0" w:color="auto"/>
            </w:tcBorders>
            <w:vAlign w:val="bottom"/>
          </w:tcPr>
          <w:p w14:paraId="061EB3AA" w14:textId="4971A0F4" w:rsidR="7AC9FF43" w:rsidRPr="008A4599" w:rsidRDefault="6017E9C9" w:rsidP="7AC9FF43">
            <w:pPr>
              <w:jc w:val="center"/>
              <w:rPr>
                <w:rFonts w:ascii="Century Gothic" w:hAnsi="Century Gothic"/>
              </w:rPr>
            </w:pPr>
            <w:r w:rsidRPr="008A4599">
              <w:rPr>
                <w:rFonts w:ascii="Century Gothic" w:hAnsi="Century Gothic"/>
              </w:rPr>
              <w:t>0</w:t>
            </w:r>
            <w:r w:rsidR="537DB038" w:rsidRPr="008A4599">
              <w:rPr>
                <w:rFonts w:ascii="Century Gothic" w:hAnsi="Century Gothic"/>
              </w:rPr>
              <w:t>%</w:t>
            </w:r>
          </w:p>
        </w:tc>
        <w:tc>
          <w:tcPr>
            <w:tcW w:w="1800" w:type="dxa"/>
            <w:tcBorders>
              <w:top w:val="nil"/>
              <w:left w:val="nil"/>
              <w:bottom w:val="single" w:sz="4" w:space="0" w:color="auto"/>
              <w:right w:val="single" w:sz="4" w:space="0" w:color="auto"/>
            </w:tcBorders>
            <w:vAlign w:val="bottom"/>
          </w:tcPr>
          <w:p w14:paraId="1673C3E9" w14:textId="386A4E22" w:rsidR="7AC9FF43" w:rsidRPr="008A4599" w:rsidRDefault="1E97A119" w:rsidP="7AC9FF43">
            <w:pPr>
              <w:jc w:val="center"/>
              <w:rPr>
                <w:rFonts w:ascii="Century Gothic" w:eastAsia="MS PGothic" w:hAnsi="Century Gothic"/>
              </w:rPr>
            </w:pPr>
            <w:r w:rsidRPr="008A4599">
              <w:rPr>
                <w:rFonts w:ascii="Century Gothic" w:hAnsi="Century Gothic"/>
              </w:rPr>
              <w:t>87</w:t>
            </w:r>
            <w:r w:rsidR="766B5A31" w:rsidRPr="008A4599">
              <w:rPr>
                <w:rFonts w:ascii="Century Gothic" w:hAnsi="Century Gothic"/>
              </w:rPr>
              <w:t>%</w:t>
            </w:r>
          </w:p>
        </w:tc>
        <w:tc>
          <w:tcPr>
            <w:tcW w:w="1800" w:type="dxa"/>
            <w:tcBorders>
              <w:top w:val="nil"/>
              <w:left w:val="nil"/>
              <w:bottom w:val="single" w:sz="4" w:space="0" w:color="auto"/>
              <w:right w:val="single" w:sz="4" w:space="0" w:color="auto"/>
            </w:tcBorders>
            <w:vAlign w:val="bottom"/>
          </w:tcPr>
          <w:p w14:paraId="4BBB0897" w14:textId="1E72BE90" w:rsidR="7AC9FF43" w:rsidRPr="008A4599" w:rsidRDefault="7AC9FF43" w:rsidP="7AC9FF43">
            <w:pPr>
              <w:jc w:val="center"/>
              <w:rPr>
                <w:rFonts w:ascii="Century Gothic" w:hAnsi="Century Gothic"/>
              </w:rPr>
            </w:pPr>
            <w:r w:rsidRPr="008A4599">
              <w:rPr>
                <w:rFonts w:ascii="Century Gothic" w:hAnsi="Century Gothic"/>
              </w:rPr>
              <w:t>2%</w:t>
            </w:r>
          </w:p>
        </w:tc>
        <w:tc>
          <w:tcPr>
            <w:tcW w:w="1710" w:type="dxa"/>
            <w:tcBorders>
              <w:top w:val="nil"/>
              <w:left w:val="nil"/>
              <w:bottom w:val="single" w:sz="4" w:space="0" w:color="auto"/>
              <w:right w:val="single" w:sz="4" w:space="0" w:color="auto"/>
            </w:tcBorders>
            <w:vAlign w:val="bottom"/>
          </w:tcPr>
          <w:p w14:paraId="5FBB64A2" w14:textId="6EC703DA" w:rsidR="7AC9FF43" w:rsidRPr="008A4599" w:rsidRDefault="2BF58DE9" w:rsidP="7AC9FF43">
            <w:pPr>
              <w:jc w:val="center"/>
              <w:rPr>
                <w:rFonts w:ascii="Century Gothic" w:hAnsi="Century Gothic"/>
              </w:rPr>
            </w:pPr>
            <w:r w:rsidRPr="008A4599">
              <w:rPr>
                <w:rFonts w:ascii="Century Gothic" w:hAnsi="Century Gothic"/>
              </w:rPr>
              <w:t>0</w:t>
            </w:r>
            <w:r w:rsidR="766B5A31" w:rsidRPr="008A4599">
              <w:rPr>
                <w:rFonts w:ascii="Century Gothic" w:hAnsi="Century Gothic"/>
              </w:rPr>
              <w:t>%</w:t>
            </w:r>
          </w:p>
        </w:tc>
        <w:tc>
          <w:tcPr>
            <w:tcW w:w="1710" w:type="dxa"/>
            <w:tcBorders>
              <w:top w:val="nil"/>
              <w:left w:val="nil"/>
              <w:bottom w:val="single" w:sz="4" w:space="0" w:color="auto"/>
              <w:right w:val="single" w:sz="4" w:space="0" w:color="auto"/>
            </w:tcBorders>
            <w:vAlign w:val="bottom"/>
          </w:tcPr>
          <w:p w14:paraId="6DB39128" w14:textId="7FABC0B9" w:rsidR="7AC9FF43" w:rsidRPr="008A4599" w:rsidRDefault="3D7E83D8" w:rsidP="7AC9FF43">
            <w:pPr>
              <w:jc w:val="center"/>
              <w:rPr>
                <w:rFonts w:ascii="Century Gothic" w:hAnsi="Century Gothic"/>
              </w:rPr>
            </w:pPr>
            <w:r w:rsidRPr="008A4599">
              <w:rPr>
                <w:rFonts w:ascii="Century Gothic" w:hAnsi="Century Gothic"/>
              </w:rPr>
              <w:t>Yes</w:t>
            </w:r>
          </w:p>
        </w:tc>
      </w:tr>
    </w:tbl>
    <w:p w14:paraId="5BF67839" w14:textId="212B490F" w:rsidR="7AC9FF43" w:rsidRDefault="7AC9FF43" w:rsidP="7AC9FF43">
      <w:pPr>
        <w:rPr>
          <w:rFonts w:ascii="Century Gothic" w:eastAsia="MS PGothic" w:hAnsi="Century Gothic"/>
        </w:rPr>
      </w:pPr>
    </w:p>
    <w:tbl>
      <w:tblPr>
        <w:tblStyle w:val="TableGrid"/>
        <w:tblW w:w="9936" w:type="dxa"/>
        <w:tblLook w:val="04A0" w:firstRow="1" w:lastRow="0" w:firstColumn="1" w:lastColumn="0" w:noHBand="0" w:noVBand="1"/>
      </w:tblPr>
      <w:tblGrid>
        <w:gridCol w:w="2718"/>
        <w:gridCol w:w="1704"/>
        <w:gridCol w:w="1882"/>
        <w:gridCol w:w="2130"/>
        <w:gridCol w:w="1502"/>
      </w:tblGrid>
      <w:tr w:rsidR="005841CB" w:rsidRPr="006D0519" w14:paraId="34FD20B7" w14:textId="77777777" w:rsidTr="7AF60685">
        <w:trPr>
          <w:trHeight w:val="400"/>
        </w:trPr>
        <w:tc>
          <w:tcPr>
            <w:tcW w:w="9936" w:type="dxa"/>
            <w:gridSpan w:val="5"/>
            <w:tcBorders>
              <w:top w:val="nil"/>
              <w:left w:val="nil"/>
              <w:bottom w:val="single" w:sz="24" w:space="0" w:color="B5333C" w:themeColor="accent2"/>
              <w:right w:val="nil"/>
            </w:tcBorders>
            <w:shd w:val="clear" w:color="auto" w:fill="808080" w:themeFill="background1" w:themeFillShade="80"/>
            <w:hideMark/>
          </w:tcPr>
          <w:p w14:paraId="6E5B05DF" w14:textId="77777777" w:rsidR="005841CB" w:rsidRPr="008A4599" w:rsidRDefault="005841CB" w:rsidP="00D02BEE">
            <w:pPr>
              <w:jc w:val="center"/>
              <w:rPr>
                <w:rFonts w:ascii="Century Gothic" w:hAnsi="Century Gothic"/>
                <w:i/>
                <w:szCs w:val="22"/>
              </w:rPr>
            </w:pPr>
            <w:r w:rsidRPr="008A4599">
              <w:rPr>
                <w:rFonts w:ascii="Century Gothic" w:hAnsi="Century Gothic"/>
                <w:szCs w:val="22"/>
              </w:rPr>
              <w:t>HC #5: Increase in Resident Mobility</w:t>
            </w:r>
          </w:p>
        </w:tc>
      </w:tr>
      <w:tr w:rsidR="005841CB" w:rsidRPr="006D0519" w14:paraId="49E6C156" w14:textId="77777777" w:rsidTr="002D3757">
        <w:trPr>
          <w:trHeight w:val="255"/>
        </w:trPr>
        <w:tc>
          <w:tcPr>
            <w:tcW w:w="2718"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6DDCEB1D" w14:textId="77777777" w:rsidR="005841CB" w:rsidRPr="008A4599" w:rsidRDefault="005841CB" w:rsidP="655A2699">
            <w:pPr>
              <w:jc w:val="center"/>
              <w:rPr>
                <w:rFonts w:ascii="Century Gothic" w:hAnsi="Century Gothic"/>
                <w:b/>
                <w:bCs/>
              </w:rPr>
            </w:pPr>
            <w:r w:rsidRPr="008A4599">
              <w:rPr>
                <w:rFonts w:ascii="Century Gothic" w:hAnsi="Century Gothic"/>
                <w:b/>
                <w:bCs/>
              </w:rPr>
              <w:t>Unit of Measurement</w:t>
            </w:r>
          </w:p>
        </w:tc>
        <w:tc>
          <w:tcPr>
            <w:tcW w:w="1704"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F34A12F" w14:textId="77777777" w:rsidR="005841CB" w:rsidRPr="008A4599" w:rsidRDefault="005841CB" w:rsidP="655A2699">
            <w:pPr>
              <w:jc w:val="center"/>
              <w:rPr>
                <w:rFonts w:ascii="Century Gothic" w:hAnsi="Century Gothic"/>
                <w:b/>
                <w:bCs/>
              </w:rPr>
            </w:pPr>
            <w:r w:rsidRPr="008A4599">
              <w:rPr>
                <w:rFonts w:ascii="Century Gothic" w:hAnsi="Century Gothic"/>
                <w:b/>
                <w:bCs/>
              </w:rPr>
              <w:t>Baseline</w:t>
            </w:r>
          </w:p>
        </w:tc>
        <w:tc>
          <w:tcPr>
            <w:tcW w:w="188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1186669" w14:textId="77777777" w:rsidR="005841CB" w:rsidRPr="008A4599" w:rsidRDefault="005841CB" w:rsidP="655A2699">
            <w:pPr>
              <w:jc w:val="center"/>
              <w:rPr>
                <w:rFonts w:ascii="Century Gothic" w:hAnsi="Century Gothic"/>
                <w:b/>
                <w:bCs/>
              </w:rPr>
            </w:pPr>
            <w:r w:rsidRPr="008A4599">
              <w:rPr>
                <w:rFonts w:ascii="Century Gothic" w:hAnsi="Century Gothic"/>
                <w:b/>
                <w:bCs/>
              </w:rPr>
              <w:t>Benchmark</w:t>
            </w:r>
          </w:p>
        </w:tc>
        <w:tc>
          <w:tcPr>
            <w:tcW w:w="213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01D97EC" w14:textId="77777777" w:rsidR="005841CB" w:rsidRPr="008A4599" w:rsidRDefault="005841CB" w:rsidP="655A2699">
            <w:pPr>
              <w:jc w:val="center"/>
              <w:rPr>
                <w:rFonts w:ascii="Century Gothic" w:hAnsi="Century Gothic"/>
                <w:b/>
                <w:bCs/>
              </w:rPr>
            </w:pPr>
            <w:r w:rsidRPr="008A4599">
              <w:rPr>
                <w:rFonts w:ascii="Century Gothic" w:hAnsi="Century Gothic"/>
                <w:b/>
                <w:bCs/>
              </w:rPr>
              <w:t>Outcome</w:t>
            </w:r>
          </w:p>
        </w:tc>
        <w:tc>
          <w:tcPr>
            <w:tcW w:w="1502"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5A5A010A" w14:textId="77777777" w:rsidR="005841CB" w:rsidRPr="008A4599" w:rsidRDefault="005841CB" w:rsidP="655A2699">
            <w:pPr>
              <w:jc w:val="center"/>
              <w:rPr>
                <w:rFonts w:ascii="Century Gothic" w:hAnsi="Century Gothic"/>
                <w:b/>
                <w:bCs/>
              </w:rPr>
            </w:pPr>
            <w:r w:rsidRPr="008A4599">
              <w:rPr>
                <w:rFonts w:ascii="Century Gothic" w:hAnsi="Century Gothic"/>
                <w:b/>
                <w:bCs/>
              </w:rPr>
              <w:t>Benchmark Achieved?</w:t>
            </w:r>
          </w:p>
        </w:tc>
      </w:tr>
    </w:tbl>
    <w:tbl>
      <w:tblPr>
        <w:tblW w:w="9936" w:type="dxa"/>
        <w:tblLook w:val="04A0" w:firstRow="1" w:lastRow="0" w:firstColumn="1" w:lastColumn="0" w:noHBand="0" w:noVBand="1"/>
      </w:tblPr>
      <w:tblGrid>
        <w:gridCol w:w="2765"/>
        <w:gridCol w:w="1717"/>
        <w:gridCol w:w="1885"/>
        <w:gridCol w:w="2115"/>
        <w:gridCol w:w="1454"/>
      </w:tblGrid>
      <w:tr w:rsidR="005841CB" w:rsidRPr="006D0519" w14:paraId="40538EEE" w14:textId="77777777" w:rsidTr="169FF47A">
        <w:trPr>
          <w:trHeight w:val="1709"/>
        </w:trPr>
        <w:tc>
          <w:tcPr>
            <w:tcW w:w="276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3493DEE1" w14:textId="77777777" w:rsidR="005841CB" w:rsidRPr="008A4599" w:rsidRDefault="005841CB" w:rsidP="00D02BEE">
            <w:pPr>
              <w:rPr>
                <w:rFonts w:ascii="Century Gothic" w:hAnsi="Century Gothic"/>
                <w:szCs w:val="22"/>
              </w:rPr>
            </w:pPr>
            <w:r w:rsidRPr="008A4599">
              <w:rPr>
                <w:rFonts w:ascii="Century Gothic" w:hAnsi="Century Gothic"/>
                <w:szCs w:val="22"/>
              </w:rPr>
              <w:t xml:space="preserve">Annual number of incremental households </w:t>
            </w:r>
            <w:proofErr w:type="gramStart"/>
            <w:r w:rsidRPr="008A4599">
              <w:rPr>
                <w:rFonts w:ascii="Century Gothic" w:hAnsi="Century Gothic"/>
                <w:szCs w:val="22"/>
              </w:rPr>
              <w:t>leased-up</w:t>
            </w:r>
            <w:proofErr w:type="gramEnd"/>
            <w:r w:rsidRPr="008A4599">
              <w:rPr>
                <w:rFonts w:ascii="Century Gothic" w:hAnsi="Century Gothic"/>
                <w:szCs w:val="22"/>
              </w:rPr>
              <w:t xml:space="preserve"> in low poverty areas* because of the activity</w:t>
            </w:r>
          </w:p>
        </w:tc>
        <w:tc>
          <w:tcPr>
            <w:tcW w:w="17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7DA2107" w14:textId="77777777" w:rsidR="005841CB" w:rsidRPr="008A4599" w:rsidRDefault="005841CB" w:rsidP="00D02BEE">
            <w:pPr>
              <w:jc w:val="center"/>
              <w:rPr>
                <w:rFonts w:ascii="Century Gothic" w:hAnsi="Century Gothic"/>
                <w:szCs w:val="22"/>
              </w:rPr>
            </w:pPr>
            <w:r w:rsidRPr="008A4599">
              <w:rPr>
                <w:rFonts w:ascii="Century Gothic" w:hAnsi="Century Gothic"/>
                <w:szCs w:val="22"/>
              </w:rPr>
              <w:t>0 (2008)</w:t>
            </w:r>
          </w:p>
        </w:tc>
        <w:tc>
          <w:tcPr>
            <w:tcW w:w="1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631C15D" w14:textId="7B556B0E" w:rsidR="005841CB" w:rsidRPr="008A4599" w:rsidRDefault="396C2621" w:rsidP="00D02BEE">
            <w:pPr>
              <w:jc w:val="center"/>
              <w:rPr>
                <w:rFonts w:ascii="Century Gothic" w:eastAsia="MS PGothic" w:hAnsi="Century Gothic"/>
              </w:rPr>
            </w:pPr>
            <w:r w:rsidRPr="008A4599">
              <w:rPr>
                <w:rFonts w:ascii="Century Gothic" w:hAnsi="Century Gothic"/>
              </w:rPr>
              <w:t>Greater than 2% increase over prior year</w:t>
            </w:r>
          </w:p>
        </w:tc>
        <w:tc>
          <w:tcPr>
            <w:tcW w:w="21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0AD92F5" w14:textId="07267738" w:rsidR="14E9407D" w:rsidRDefault="1A865A8D" w:rsidP="090392C3">
            <w:pPr>
              <w:rPr>
                <w:rFonts w:ascii="Century Gothic" w:hAnsi="Century Gothic"/>
              </w:rPr>
            </w:pPr>
            <w:r w:rsidRPr="008A4599">
              <w:rPr>
                <w:rFonts w:ascii="Century Gothic" w:hAnsi="Century Gothic"/>
              </w:rPr>
              <w:t xml:space="preserve">2024 - </w:t>
            </w:r>
            <w:r w:rsidR="00F048D6">
              <w:rPr>
                <w:rFonts w:ascii="Century Gothic" w:hAnsi="Century Gothic"/>
              </w:rPr>
              <w:t>8</w:t>
            </w:r>
            <w:r w:rsidR="0230909E" w:rsidRPr="008A4599">
              <w:rPr>
                <w:rFonts w:ascii="Century Gothic" w:hAnsi="Century Gothic"/>
              </w:rPr>
              <w:t>8</w:t>
            </w:r>
            <w:r w:rsidRPr="008A4599">
              <w:rPr>
                <w:rFonts w:ascii="Century Gothic" w:hAnsi="Century Gothic"/>
              </w:rPr>
              <w:t>% (</w:t>
            </w:r>
            <w:r w:rsidR="496E368A" w:rsidRPr="008A4599">
              <w:rPr>
                <w:rFonts w:ascii="Century Gothic" w:hAnsi="Century Gothic"/>
              </w:rPr>
              <w:t>15</w:t>
            </w:r>
            <w:r w:rsidRPr="008A4599">
              <w:rPr>
                <w:rFonts w:ascii="Century Gothic" w:hAnsi="Century Gothic"/>
              </w:rPr>
              <w:t>)</w:t>
            </w:r>
          </w:p>
          <w:p w14:paraId="53FFF515" w14:textId="77777777" w:rsidR="00F048D6" w:rsidRPr="008A4599" w:rsidRDefault="00F048D6" w:rsidP="090392C3">
            <w:pPr>
              <w:rPr>
                <w:rFonts w:ascii="Century Gothic" w:hAnsi="Century Gothic"/>
              </w:rPr>
            </w:pPr>
          </w:p>
          <w:p w14:paraId="24FC85C2" w14:textId="61D599D5" w:rsidR="0B8BBFB4" w:rsidRPr="008A4599" w:rsidRDefault="1E42057D" w:rsidP="4B60C82B">
            <w:pPr>
              <w:rPr>
                <w:rFonts w:ascii="Century Gothic" w:hAnsi="Century Gothic"/>
              </w:rPr>
            </w:pPr>
            <w:r w:rsidRPr="008A4599">
              <w:rPr>
                <w:rFonts w:ascii="Century Gothic" w:hAnsi="Century Gothic"/>
              </w:rPr>
              <w:t>2023</w:t>
            </w:r>
            <w:r w:rsidR="100A3EC9" w:rsidRPr="008A4599">
              <w:rPr>
                <w:rFonts w:ascii="Century Gothic" w:hAnsi="Century Gothic"/>
              </w:rPr>
              <w:t xml:space="preserve"> </w:t>
            </w:r>
            <w:r w:rsidRPr="008A4599">
              <w:rPr>
                <w:rFonts w:ascii="Century Gothic" w:hAnsi="Century Gothic"/>
              </w:rPr>
              <w:t>-</w:t>
            </w:r>
            <w:r w:rsidR="78211545" w:rsidRPr="008A4599">
              <w:rPr>
                <w:rFonts w:ascii="Century Gothic" w:hAnsi="Century Gothic"/>
              </w:rPr>
              <w:t xml:space="preserve"> </w:t>
            </w:r>
            <w:r w:rsidR="1CAFA2A1" w:rsidRPr="008A4599">
              <w:rPr>
                <w:rFonts w:ascii="Century Gothic" w:hAnsi="Century Gothic"/>
              </w:rPr>
              <w:t>0%</w:t>
            </w:r>
            <w:r w:rsidR="54AF945E" w:rsidRPr="008A4599">
              <w:rPr>
                <w:rFonts w:ascii="Century Gothic" w:hAnsi="Century Gothic"/>
              </w:rPr>
              <w:t xml:space="preserve"> (8)</w:t>
            </w:r>
          </w:p>
          <w:p w14:paraId="31EDEFDD" w14:textId="5E621D85" w:rsidR="20F5EBE2" w:rsidRPr="008A4599" w:rsidRDefault="07F44B34" w:rsidP="3C3EEDA0">
            <w:pPr>
              <w:rPr>
                <w:rFonts w:ascii="Century Gothic" w:hAnsi="Century Gothic"/>
              </w:rPr>
            </w:pPr>
            <w:r w:rsidRPr="008A4599">
              <w:rPr>
                <w:rFonts w:ascii="Century Gothic" w:hAnsi="Century Gothic"/>
              </w:rPr>
              <w:t>2022</w:t>
            </w:r>
            <w:r w:rsidR="71997867" w:rsidRPr="008A4599">
              <w:rPr>
                <w:rFonts w:ascii="Century Gothic" w:hAnsi="Century Gothic"/>
              </w:rPr>
              <w:t xml:space="preserve"> </w:t>
            </w:r>
            <w:r w:rsidRPr="008A4599">
              <w:rPr>
                <w:rFonts w:ascii="Century Gothic" w:hAnsi="Century Gothic"/>
              </w:rPr>
              <w:t>-</w:t>
            </w:r>
            <w:r w:rsidR="3DBE31D4" w:rsidRPr="008A4599">
              <w:rPr>
                <w:rFonts w:ascii="Century Gothic" w:hAnsi="Century Gothic"/>
              </w:rPr>
              <w:t xml:space="preserve"> </w:t>
            </w:r>
            <w:r w:rsidR="67CA490E" w:rsidRPr="008A4599">
              <w:rPr>
                <w:rFonts w:ascii="Century Gothic" w:hAnsi="Century Gothic"/>
              </w:rPr>
              <w:t>27%</w:t>
            </w:r>
            <w:r w:rsidR="56DC9156" w:rsidRPr="008A4599">
              <w:rPr>
                <w:rFonts w:ascii="Century Gothic" w:hAnsi="Century Gothic"/>
              </w:rPr>
              <w:t xml:space="preserve"> (8)</w:t>
            </w:r>
          </w:p>
          <w:p w14:paraId="768A4B73" w14:textId="75136575" w:rsidR="0069000A" w:rsidRPr="008A4599" w:rsidRDefault="573B8A9E" w:rsidP="0069000A">
            <w:pPr>
              <w:rPr>
                <w:rFonts w:ascii="Century Gothic" w:hAnsi="Century Gothic"/>
              </w:rPr>
            </w:pPr>
            <w:r w:rsidRPr="008A4599">
              <w:rPr>
                <w:rFonts w:ascii="Century Gothic" w:hAnsi="Century Gothic"/>
              </w:rPr>
              <w:t>2021</w:t>
            </w:r>
            <w:r w:rsidR="04A4A8C5" w:rsidRPr="008A4599">
              <w:rPr>
                <w:rFonts w:ascii="Century Gothic" w:hAnsi="Century Gothic"/>
              </w:rPr>
              <w:t>-</w:t>
            </w:r>
            <w:r w:rsidR="007054C2" w:rsidRPr="008A4599">
              <w:rPr>
                <w:rFonts w:ascii="Century Gothic" w:hAnsi="Century Gothic"/>
              </w:rPr>
              <w:t xml:space="preserve"> </w:t>
            </w:r>
            <w:r w:rsidR="2FBAC329" w:rsidRPr="008A4599">
              <w:rPr>
                <w:rFonts w:ascii="Century Gothic" w:hAnsi="Century Gothic"/>
              </w:rPr>
              <w:t>15%</w:t>
            </w:r>
            <w:r w:rsidR="44645D11" w:rsidRPr="008A4599">
              <w:rPr>
                <w:rFonts w:ascii="Century Gothic" w:hAnsi="Century Gothic"/>
              </w:rPr>
              <w:t xml:space="preserve"> </w:t>
            </w:r>
            <w:r w:rsidR="6AD94EB9" w:rsidRPr="008A4599">
              <w:rPr>
                <w:rFonts w:ascii="Century Gothic" w:hAnsi="Century Gothic"/>
              </w:rPr>
              <w:t>(11)</w:t>
            </w:r>
          </w:p>
          <w:p w14:paraId="17047F60" w14:textId="164BE5BA" w:rsidR="759B0BE9" w:rsidRPr="008A4599" w:rsidRDefault="16690F1A" w:rsidP="0849012C">
            <w:pPr>
              <w:rPr>
                <w:rFonts w:ascii="Century Gothic" w:eastAsia="MS PGothic" w:hAnsi="Century Gothic"/>
              </w:rPr>
            </w:pPr>
            <w:r w:rsidRPr="008A4599">
              <w:rPr>
                <w:rFonts w:ascii="Century Gothic" w:eastAsia="MS PGothic" w:hAnsi="Century Gothic"/>
              </w:rPr>
              <w:t xml:space="preserve">2020- </w:t>
            </w:r>
            <w:r w:rsidR="1099D7AC" w:rsidRPr="008A4599">
              <w:rPr>
                <w:rFonts w:ascii="Century Gothic" w:eastAsia="MS PGothic" w:hAnsi="Century Gothic"/>
              </w:rPr>
              <w:t>27</w:t>
            </w:r>
            <w:r w:rsidR="007054C2" w:rsidRPr="008A4599">
              <w:rPr>
                <w:rFonts w:ascii="Century Gothic" w:eastAsia="MS PGothic" w:hAnsi="Century Gothic"/>
              </w:rPr>
              <w:t>%</w:t>
            </w:r>
            <w:r w:rsidR="1099D7AC" w:rsidRPr="008A4599">
              <w:rPr>
                <w:rFonts w:ascii="Century Gothic" w:eastAsia="MS PGothic" w:hAnsi="Century Gothic"/>
              </w:rPr>
              <w:t xml:space="preserve"> </w:t>
            </w:r>
            <w:r w:rsidR="007054C2" w:rsidRPr="008A4599">
              <w:rPr>
                <w:rFonts w:ascii="Century Gothic" w:eastAsia="MS PGothic" w:hAnsi="Century Gothic"/>
              </w:rPr>
              <w:t>(</w:t>
            </w:r>
            <w:r w:rsidR="1099D7AC" w:rsidRPr="008A4599">
              <w:rPr>
                <w:rFonts w:ascii="Century Gothic" w:eastAsia="MS PGothic" w:hAnsi="Century Gothic"/>
              </w:rPr>
              <w:t>13</w:t>
            </w:r>
            <w:r w:rsidR="007054C2" w:rsidRPr="008A4599">
              <w:rPr>
                <w:rFonts w:ascii="Century Gothic" w:eastAsia="MS PGothic" w:hAnsi="Century Gothic"/>
              </w:rPr>
              <w:t>)</w:t>
            </w:r>
            <w:r w:rsidRPr="008A4599">
              <w:rPr>
                <w:rFonts w:ascii="Century Gothic" w:eastAsia="MS PGothic" w:hAnsi="Century Gothic"/>
              </w:rPr>
              <w:t xml:space="preserve"> </w:t>
            </w:r>
          </w:p>
          <w:p w14:paraId="641210F7" w14:textId="47E05A42" w:rsidR="005841CB" w:rsidRPr="008A4599" w:rsidRDefault="54CA6565" w:rsidP="00D02BEE">
            <w:pPr>
              <w:rPr>
                <w:rFonts w:ascii="Century Gothic" w:hAnsi="Century Gothic"/>
              </w:rPr>
            </w:pPr>
            <w:r w:rsidRPr="008A4599">
              <w:rPr>
                <w:rFonts w:ascii="Century Gothic" w:hAnsi="Century Gothic"/>
              </w:rPr>
              <w:t xml:space="preserve">  </w:t>
            </w:r>
          </w:p>
        </w:tc>
        <w:tc>
          <w:tcPr>
            <w:tcW w:w="145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hideMark/>
          </w:tcPr>
          <w:p w14:paraId="2421D0CA" w14:textId="070F565B" w:rsidR="005841CB" w:rsidRPr="008A4599" w:rsidRDefault="01334E4C" w:rsidP="00D02BEE">
            <w:pPr>
              <w:rPr>
                <w:rFonts w:ascii="Century Gothic" w:hAnsi="Century Gothic"/>
              </w:rPr>
            </w:pPr>
            <w:r w:rsidRPr="008A4599">
              <w:rPr>
                <w:rFonts w:ascii="Century Gothic" w:hAnsi="Century Gothic"/>
              </w:rPr>
              <w:t xml:space="preserve"> Yes</w:t>
            </w:r>
          </w:p>
        </w:tc>
      </w:tr>
    </w:tbl>
    <w:p w14:paraId="5FC47D59" w14:textId="5ED5269A" w:rsidR="6B711D13" w:rsidRPr="008A4599" w:rsidRDefault="6B711D13">
      <w:pPr>
        <w:rPr>
          <w:rFonts w:ascii="Century Gothic" w:hAnsi="Century Gothic"/>
          <w:sz w:val="20"/>
          <w:szCs w:val="20"/>
        </w:rPr>
      </w:pPr>
    </w:p>
    <w:p w14:paraId="3767FA57" w14:textId="77777777" w:rsidR="005841CB" w:rsidRPr="00F048D6" w:rsidRDefault="005841CB" w:rsidP="005841CB">
      <w:pPr>
        <w:rPr>
          <w:rFonts w:ascii="Century Gothic" w:hAnsi="Century Gothic"/>
          <w:i/>
          <w:iCs/>
          <w:sz w:val="18"/>
          <w:szCs w:val="18"/>
        </w:rPr>
      </w:pPr>
      <w:r w:rsidRPr="00F048D6">
        <w:rPr>
          <w:rFonts w:ascii="Century Gothic" w:hAnsi="Century Gothic"/>
          <w:i/>
          <w:iCs/>
          <w:sz w:val="18"/>
          <w:szCs w:val="18"/>
        </w:rPr>
        <w:t>* Low poverty areas include the following U.S. Census Tracts: 1401, 1410, 1411, and 1428</w:t>
      </w:r>
    </w:p>
    <w:p w14:paraId="056FBD01" w14:textId="77777777" w:rsidR="0053007F" w:rsidRPr="00F048D6" w:rsidRDefault="0053007F" w:rsidP="0053007F">
      <w:pPr>
        <w:rPr>
          <w:rFonts w:ascii="Century Gothic" w:hAnsi="Century Gothic"/>
          <w:i/>
          <w:sz w:val="18"/>
          <w:szCs w:val="18"/>
        </w:rPr>
      </w:pPr>
      <w:r w:rsidRPr="00F048D6">
        <w:rPr>
          <w:rFonts w:ascii="Century Gothic" w:hAnsi="Century Gothic"/>
          <w:i/>
          <w:sz w:val="18"/>
          <w:szCs w:val="18"/>
        </w:rPr>
        <w:t>** This benchmark was new as of FY17 and was reevaluated in FY19. No changes to the benchmark</w:t>
      </w:r>
    </w:p>
    <w:p w14:paraId="286DE5B3" w14:textId="3703CEB4" w:rsidR="42057827" w:rsidRPr="00F048D6" w:rsidRDefault="0B2DDEB2" w:rsidP="46B3BF7C">
      <w:pPr>
        <w:rPr>
          <w:rFonts w:ascii="Century Gothic" w:eastAsia="Times New Roman" w:hAnsi="Century Gothic"/>
          <w:i/>
          <w:iCs/>
          <w:sz w:val="18"/>
          <w:szCs w:val="18"/>
        </w:rPr>
      </w:pPr>
      <w:r w:rsidRPr="00F048D6">
        <w:rPr>
          <w:rFonts w:ascii="Century Gothic" w:eastAsia="Calibri" w:hAnsi="Century Gothic" w:cs="Calibri"/>
          <w:sz w:val="18"/>
          <w:szCs w:val="18"/>
          <w:u w:val="single"/>
        </w:rPr>
        <w:t xml:space="preserve">*** </w:t>
      </w:r>
      <w:r w:rsidR="22F011C0" w:rsidRPr="00F048D6">
        <w:rPr>
          <w:rFonts w:ascii="Century Gothic" w:eastAsia="Times New Roman" w:hAnsi="Century Gothic"/>
          <w:sz w:val="18"/>
          <w:szCs w:val="18"/>
          <w:u w:val="single"/>
        </w:rPr>
        <w:t>2% higher</w:t>
      </w:r>
      <w:r w:rsidR="22F011C0" w:rsidRPr="00F048D6">
        <w:rPr>
          <w:rFonts w:ascii="Century Gothic" w:eastAsia="Times New Roman" w:hAnsi="Century Gothic"/>
          <w:sz w:val="18"/>
          <w:szCs w:val="18"/>
        </w:rPr>
        <w:t xml:space="preserve"> of all Section 8 movers who moved to low poverty census tracts in the FY, compared to the total count of movers who moved to low poverty census tracts at the end of the last completed FY.</w:t>
      </w:r>
    </w:p>
    <w:p w14:paraId="678DBDC3" w14:textId="534D7936" w:rsidR="1D18127D" w:rsidRPr="00F048D6" w:rsidRDefault="22F011C0" w:rsidP="46B3BF7C">
      <w:pPr>
        <w:rPr>
          <w:rFonts w:ascii="Century Gothic" w:eastAsia="Times New Roman" w:hAnsi="Century Gothic"/>
          <w:i/>
          <w:iCs/>
          <w:sz w:val="18"/>
          <w:szCs w:val="18"/>
        </w:rPr>
      </w:pPr>
      <w:r w:rsidRPr="00F048D6">
        <w:rPr>
          <w:rFonts w:ascii="Century Gothic" w:eastAsia="Times New Roman" w:hAnsi="Century Gothic"/>
          <w:i/>
          <w:iCs/>
          <w:sz w:val="18"/>
          <w:szCs w:val="18"/>
        </w:rPr>
        <w:t>Example</w:t>
      </w:r>
      <w:proofErr w:type="gramStart"/>
      <w:r w:rsidRPr="00F048D6">
        <w:rPr>
          <w:rFonts w:ascii="Century Gothic" w:eastAsia="Times New Roman" w:hAnsi="Century Gothic"/>
          <w:i/>
          <w:iCs/>
          <w:sz w:val="18"/>
          <w:szCs w:val="18"/>
        </w:rPr>
        <w:t>:  If</w:t>
      </w:r>
      <w:proofErr w:type="gramEnd"/>
      <w:r w:rsidRPr="00F048D6">
        <w:rPr>
          <w:rFonts w:ascii="Century Gothic" w:eastAsia="Times New Roman" w:hAnsi="Century Gothic"/>
          <w:i/>
          <w:iCs/>
          <w:sz w:val="18"/>
          <w:szCs w:val="18"/>
        </w:rPr>
        <w:t xml:space="preserve"> In FY 2018 the percent of families who moved to low poverty areas is 2.75%, the percent of families in FY19 must </w:t>
      </w:r>
      <w:proofErr w:type="gramStart"/>
      <w:r w:rsidRPr="00F048D6">
        <w:rPr>
          <w:rFonts w:ascii="Century Gothic" w:eastAsia="Times New Roman" w:hAnsi="Century Gothic"/>
          <w:i/>
          <w:iCs/>
          <w:sz w:val="18"/>
          <w:szCs w:val="18"/>
        </w:rPr>
        <w:t>be of</w:t>
      </w:r>
      <w:proofErr w:type="gramEnd"/>
      <w:r w:rsidRPr="00F048D6">
        <w:rPr>
          <w:rFonts w:ascii="Century Gothic" w:eastAsia="Times New Roman" w:hAnsi="Century Gothic"/>
          <w:i/>
          <w:iCs/>
          <w:sz w:val="18"/>
          <w:szCs w:val="18"/>
        </w:rPr>
        <w:t xml:space="preserve"> at least 4.75%, which is 2% higher than the total percent of families who moved to an area of low poverty in FY18.</w:t>
      </w:r>
    </w:p>
    <w:p w14:paraId="13B52246" w14:textId="77777777" w:rsidR="0053007F" w:rsidRDefault="0053007F" w:rsidP="6B711D13">
      <w:pPr>
        <w:rPr>
          <w:rFonts w:ascii="Century Gothic" w:eastAsia="MS PGothic" w:hAnsi="Century Gothic"/>
          <w:i/>
          <w:iCs/>
          <w:szCs w:val="22"/>
        </w:rPr>
      </w:pPr>
    </w:p>
    <w:p w14:paraId="60148E60" w14:textId="77777777" w:rsidR="0007116D" w:rsidRDefault="0007116D" w:rsidP="6B711D13">
      <w:pPr>
        <w:rPr>
          <w:rFonts w:ascii="Century Gothic" w:eastAsia="MS PGothic" w:hAnsi="Century Gothic"/>
          <w:i/>
          <w:iCs/>
          <w:szCs w:val="22"/>
        </w:rPr>
      </w:pPr>
    </w:p>
    <w:p w14:paraId="117ADF4A" w14:textId="77777777" w:rsidR="0007116D" w:rsidRDefault="0007116D" w:rsidP="6B711D13">
      <w:pPr>
        <w:rPr>
          <w:rFonts w:ascii="Century Gothic" w:eastAsia="MS PGothic" w:hAnsi="Century Gothic"/>
          <w:i/>
          <w:iCs/>
          <w:szCs w:val="22"/>
        </w:rPr>
      </w:pPr>
    </w:p>
    <w:p w14:paraId="4C165140" w14:textId="77777777" w:rsidR="0007116D" w:rsidRDefault="0007116D" w:rsidP="6B711D13">
      <w:pPr>
        <w:rPr>
          <w:rFonts w:ascii="Century Gothic" w:eastAsia="MS PGothic" w:hAnsi="Century Gothic"/>
          <w:i/>
          <w:iCs/>
          <w:szCs w:val="22"/>
        </w:rPr>
      </w:pPr>
    </w:p>
    <w:p w14:paraId="6B2802DB" w14:textId="77777777" w:rsidR="0007116D" w:rsidRDefault="0007116D" w:rsidP="6B711D13">
      <w:pPr>
        <w:rPr>
          <w:rFonts w:ascii="Century Gothic" w:eastAsia="MS PGothic" w:hAnsi="Century Gothic"/>
          <w:i/>
          <w:iCs/>
          <w:szCs w:val="22"/>
        </w:rPr>
      </w:pPr>
    </w:p>
    <w:p w14:paraId="6F7F6331" w14:textId="77777777" w:rsidR="0007116D" w:rsidRDefault="0007116D" w:rsidP="6B711D13">
      <w:pPr>
        <w:rPr>
          <w:rFonts w:ascii="Century Gothic" w:eastAsia="MS PGothic" w:hAnsi="Century Gothic"/>
          <w:i/>
          <w:iCs/>
          <w:szCs w:val="22"/>
        </w:rPr>
      </w:pPr>
    </w:p>
    <w:p w14:paraId="67669018" w14:textId="77777777" w:rsidR="0007116D" w:rsidRDefault="0007116D" w:rsidP="6B711D13">
      <w:pPr>
        <w:rPr>
          <w:rFonts w:ascii="Century Gothic" w:eastAsia="MS PGothic" w:hAnsi="Century Gothic"/>
          <w:i/>
          <w:iCs/>
          <w:szCs w:val="22"/>
        </w:rPr>
      </w:pPr>
    </w:p>
    <w:p w14:paraId="3E005E85" w14:textId="77777777" w:rsidR="0007116D" w:rsidRDefault="0007116D" w:rsidP="6B711D13">
      <w:pPr>
        <w:rPr>
          <w:rFonts w:ascii="Century Gothic" w:eastAsia="MS PGothic" w:hAnsi="Century Gothic"/>
          <w:i/>
          <w:iCs/>
          <w:szCs w:val="22"/>
        </w:rPr>
      </w:pPr>
    </w:p>
    <w:p w14:paraId="68C2ED0E" w14:textId="77777777" w:rsidR="0007116D" w:rsidRDefault="0007116D" w:rsidP="6B711D13">
      <w:pPr>
        <w:rPr>
          <w:rFonts w:ascii="Century Gothic" w:eastAsia="MS PGothic" w:hAnsi="Century Gothic"/>
          <w:i/>
          <w:iCs/>
          <w:szCs w:val="22"/>
        </w:rPr>
      </w:pPr>
    </w:p>
    <w:p w14:paraId="287A87A3" w14:textId="77777777" w:rsidR="0007116D" w:rsidRPr="00367F45" w:rsidRDefault="0007116D" w:rsidP="6B711D13">
      <w:pPr>
        <w:rPr>
          <w:rFonts w:ascii="Century Gothic" w:eastAsia="MS PGothic" w:hAnsi="Century Gothic"/>
          <w:i/>
          <w:iCs/>
          <w:szCs w:val="22"/>
        </w:rPr>
      </w:pPr>
    </w:p>
    <w:tbl>
      <w:tblPr>
        <w:tblStyle w:val="TableGrid"/>
        <w:tblW w:w="9936" w:type="dxa"/>
        <w:tblLook w:val="04A0" w:firstRow="1" w:lastRow="0" w:firstColumn="1" w:lastColumn="0" w:noHBand="0" w:noVBand="1"/>
      </w:tblPr>
      <w:tblGrid>
        <w:gridCol w:w="3248"/>
        <w:gridCol w:w="1480"/>
        <w:gridCol w:w="1978"/>
        <w:gridCol w:w="1753"/>
        <w:gridCol w:w="1477"/>
      </w:tblGrid>
      <w:tr w:rsidR="6B711D13" w:rsidRPr="00367F45" w14:paraId="288D3C9E" w14:textId="77777777" w:rsidTr="5A58023C">
        <w:trPr>
          <w:trHeight w:val="400"/>
        </w:trPr>
        <w:tc>
          <w:tcPr>
            <w:tcW w:w="9936" w:type="dxa"/>
            <w:gridSpan w:val="5"/>
            <w:tcBorders>
              <w:top w:val="nil"/>
              <w:left w:val="nil"/>
              <w:bottom w:val="single" w:sz="24" w:space="0" w:color="B5333C" w:themeColor="accent2"/>
              <w:right w:val="nil"/>
            </w:tcBorders>
            <w:shd w:val="clear" w:color="auto" w:fill="808080" w:themeFill="background1" w:themeFillShade="80"/>
          </w:tcPr>
          <w:p w14:paraId="3133F6C6" w14:textId="45533506" w:rsidR="6B711D13" w:rsidRPr="00367F45" w:rsidRDefault="6B711D13" w:rsidP="6B711D13">
            <w:pPr>
              <w:jc w:val="center"/>
              <w:rPr>
                <w:rFonts w:ascii="Century Gothic" w:hAnsi="Century Gothic"/>
                <w:b/>
                <w:bCs/>
                <w:i/>
                <w:iCs/>
              </w:rPr>
            </w:pPr>
          </w:p>
        </w:tc>
      </w:tr>
      <w:tr w:rsidR="6B711D13" w:rsidRPr="00367F45" w14:paraId="3F0390A9" w14:textId="77777777" w:rsidTr="5A58023C">
        <w:trPr>
          <w:trHeight w:val="400"/>
        </w:trPr>
        <w:tc>
          <w:tcPr>
            <w:tcW w:w="9936" w:type="dxa"/>
            <w:gridSpan w:val="5"/>
            <w:tcBorders>
              <w:top w:val="single" w:sz="24" w:space="0" w:color="B5333C" w:themeColor="accent2"/>
              <w:left w:val="nil"/>
              <w:bottom w:val="single" w:sz="4" w:space="0" w:color="D9D9D9" w:themeColor="background1" w:themeShade="D9"/>
              <w:right w:val="nil"/>
            </w:tcBorders>
            <w:shd w:val="clear" w:color="auto" w:fill="808080" w:themeFill="background1" w:themeFillShade="80"/>
          </w:tcPr>
          <w:p w14:paraId="68B87A44" w14:textId="58F9A584" w:rsidR="6B711D13" w:rsidRPr="00367F45" w:rsidRDefault="6B711D13" w:rsidP="6B711D13">
            <w:pPr>
              <w:jc w:val="center"/>
              <w:rPr>
                <w:rFonts w:ascii="Century Gothic" w:hAnsi="Century Gothic"/>
                <w:b/>
                <w:bCs/>
              </w:rPr>
            </w:pPr>
            <w:r w:rsidRPr="00367F45">
              <w:rPr>
                <w:rFonts w:ascii="Century Gothic" w:hAnsi="Century Gothic"/>
                <w:b/>
                <w:bCs/>
              </w:rPr>
              <w:t xml:space="preserve">Internal Metric: </w:t>
            </w:r>
            <w:r w:rsidR="294B3333" w:rsidRPr="00367F45">
              <w:rPr>
                <w:rFonts w:ascii="Century Gothic" w:hAnsi="Century Gothic"/>
                <w:b/>
                <w:bCs/>
              </w:rPr>
              <w:t>Exception Rents Granted</w:t>
            </w:r>
          </w:p>
        </w:tc>
      </w:tr>
      <w:tr w:rsidR="6B711D13" w:rsidRPr="00367F45" w14:paraId="16CBEC0D" w14:textId="77777777" w:rsidTr="5A58023C">
        <w:trPr>
          <w:trHeight w:val="656"/>
        </w:trPr>
        <w:tc>
          <w:tcPr>
            <w:tcW w:w="298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CB5ADD0" w14:textId="77777777" w:rsidR="6B711D13" w:rsidRPr="00367F45" w:rsidRDefault="6B711D13" w:rsidP="6B711D13">
            <w:pPr>
              <w:jc w:val="center"/>
              <w:rPr>
                <w:rFonts w:ascii="Century Gothic" w:hAnsi="Century Gothic"/>
              </w:rPr>
            </w:pPr>
            <w:r w:rsidRPr="00367F45">
              <w:rPr>
                <w:rFonts w:ascii="Century Gothic" w:hAnsi="Century Gothic"/>
                <w:b/>
                <w:bCs/>
              </w:rPr>
              <w:t>Unit of Measurement</w:t>
            </w:r>
          </w:p>
        </w:tc>
        <w:tc>
          <w:tcPr>
            <w:tcW w:w="1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E1F7059" w14:textId="77777777" w:rsidR="6B711D13" w:rsidRPr="00367F45" w:rsidRDefault="6B711D13" w:rsidP="6B711D13">
            <w:pPr>
              <w:jc w:val="center"/>
              <w:rPr>
                <w:rFonts w:ascii="Century Gothic" w:hAnsi="Century Gothic"/>
              </w:rPr>
            </w:pPr>
            <w:r w:rsidRPr="00367F45">
              <w:rPr>
                <w:rFonts w:ascii="Century Gothic" w:hAnsi="Century Gothic"/>
                <w:b/>
                <w:bCs/>
              </w:rPr>
              <w:t>Baseline</w:t>
            </w:r>
          </w:p>
        </w:tc>
        <w:tc>
          <w:tcPr>
            <w:tcW w:w="20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EFC4C72" w14:textId="77777777" w:rsidR="6B711D13" w:rsidRPr="00367F45" w:rsidRDefault="6B711D13" w:rsidP="6B711D13">
            <w:pPr>
              <w:jc w:val="center"/>
              <w:rPr>
                <w:rFonts w:ascii="Century Gothic" w:hAnsi="Century Gothic"/>
              </w:rPr>
            </w:pPr>
            <w:r w:rsidRPr="00367F45">
              <w:rPr>
                <w:rFonts w:ascii="Century Gothic" w:hAnsi="Century Gothic"/>
                <w:b/>
                <w:bCs/>
              </w:rPr>
              <w:t>Benchmark</w:t>
            </w:r>
          </w:p>
        </w:tc>
        <w:tc>
          <w:tcPr>
            <w:tcW w:w="1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9A4089E" w14:textId="77777777" w:rsidR="6B711D13" w:rsidRPr="00367F45" w:rsidRDefault="6B711D13" w:rsidP="6B711D13">
            <w:pPr>
              <w:jc w:val="center"/>
              <w:rPr>
                <w:rFonts w:ascii="Century Gothic" w:hAnsi="Century Gothic"/>
                <w:b/>
                <w:bCs/>
                <w:u w:val="single"/>
              </w:rPr>
            </w:pPr>
            <w:r w:rsidRPr="00367F45">
              <w:rPr>
                <w:rFonts w:ascii="Century Gothic" w:hAnsi="Century Gothic"/>
                <w:b/>
                <w:bCs/>
              </w:rPr>
              <w:t>Outcome</w:t>
            </w:r>
          </w:p>
        </w:tc>
        <w:tc>
          <w:tcPr>
            <w:tcW w:w="148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tcPr>
          <w:p w14:paraId="1BA04703" w14:textId="77777777" w:rsidR="6B711D13" w:rsidRPr="00367F45" w:rsidRDefault="6B711D13" w:rsidP="6B711D13">
            <w:pPr>
              <w:jc w:val="center"/>
              <w:rPr>
                <w:rFonts w:ascii="Century Gothic" w:hAnsi="Century Gothic"/>
              </w:rPr>
            </w:pPr>
            <w:r w:rsidRPr="00367F45">
              <w:rPr>
                <w:rFonts w:ascii="Century Gothic" w:hAnsi="Century Gothic"/>
                <w:b/>
                <w:bCs/>
              </w:rPr>
              <w:t>Benchmark Achieved?</w:t>
            </w:r>
          </w:p>
        </w:tc>
      </w:tr>
      <w:tr w:rsidR="6B711D13" w:rsidRPr="00367F45" w14:paraId="66676918" w14:textId="77777777" w:rsidTr="008A4599">
        <w:trPr>
          <w:trHeight w:val="2870"/>
        </w:trPr>
        <w:tc>
          <w:tcPr>
            <w:tcW w:w="298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tbl>
            <w:tblPr>
              <w:tblW w:w="2889" w:type="dxa"/>
              <w:tblLook w:val="04A0" w:firstRow="1" w:lastRow="0" w:firstColumn="1" w:lastColumn="0" w:noHBand="0" w:noVBand="1"/>
            </w:tblPr>
            <w:tblGrid>
              <w:gridCol w:w="1499"/>
              <w:gridCol w:w="867"/>
              <w:gridCol w:w="222"/>
              <w:gridCol w:w="222"/>
              <w:gridCol w:w="222"/>
            </w:tblGrid>
            <w:tr w:rsidR="6B711D13" w:rsidRPr="00367F45" w14:paraId="4FC121FB" w14:textId="77777777" w:rsidTr="00477E11">
              <w:trPr>
                <w:trHeight w:val="3428"/>
              </w:trPr>
              <w:tc>
                <w:tcPr>
                  <w:tcW w:w="134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3E6FBEB" w14:textId="77777777" w:rsidR="6B711D13" w:rsidRPr="00367F45" w:rsidRDefault="6B711D13" w:rsidP="6B711D13">
                  <w:pPr>
                    <w:rPr>
                      <w:rFonts w:ascii="Century Gothic" w:hAnsi="Century Gothic"/>
                    </w:rPr>
                  </w:pPr>
                  <w:r w:rsidRPr="00367F45">
                    <w:rPr>
                      <w:rFonts w:ascii="Century Gothic" w:hAnsi="Century Gothic"/>
                    </w:rPr>
                    <w:t>Annual number of incremental households with exception rents approved due to bedroom size issue because of the activity</w:t>
                  </w:r>
                </w:p>
              </w:tc>
              <w:tc>
                <w:tcPr>
                  <w:tcW w:w="7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59E6F5" w14:textId="77777777" w:rsidR="6B711D13" w:rsidRPr="00367F45" w:rsidRDefault="6B711D13" w:rsidP="6B711D13">
                  <w:pPr>
                    <w:jc w:val="center"/>
                    <w:rPr>
                      <w:rFonts w:ascii="Century Gothic" w:hAnsi="Century Gothic"/>
                    </w:rPr>
                  </w:pPr>
                  <w:r w:rsidRPr="00367F45">
                    <w:rPr>
                      <w:rFonts w:ascii="Century Gothic" w:hAnsi="Century Gothic"/>
                    </w:rPr>
                    <w:t>0 (2008)</w:t>
                  </w:r>
                </w:p>
              </w:tc>
              <w:tc>
                <w:tcPr>
                  <w:tcW w:w="3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B859F4" w14:textId="5C1E2993" w:rsidR="6B711D13" w:rsidRPr="00367F45" w:rsidRDefault="6B711D13" w:rsidP="6B711D13">
                  <w:pPr>
                    <w:jc w:val="center"/>
                    <w:rPr>
                      <w:rFonts w:ascii="Century Gothic" w:hAnsi="Century Gothic"/>
                    </w:rPr>
                  </w:pPr>
                </w:p>
              </w:tc>
              <w:tc>
                <w:tcPr>
                  <w:tcW w:w="2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D0AB10" w14:textId="754E5BF7" w:rsidR="6B711D13" w:rsidRPr="00367F45" w:rsidRDefault="6B711D13" w:rsidP="6B711D13">
                  <w:pPr>
                    <w:rPr>
                      <w:rFonts w:ascii="Century Gothic" w:eastAsia="MS PGothic" w:hAnsi="Century Gothic"/>
                    </w:rPr>
                  </w:pPr>
                </w:p>
              </w:tc>
              <w:tc>
                <w:tcPr>
                  <w:tcW w:w="2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A5FE534" w14:textId="18F21B69" w:rsidR="262D654A" w:rsidRPr="00367F45" w:rsidRDefault="262D654A">
                  <w:pPr>
                    <w:rPr>
                      <w:rFonts w:ascii="Century Gothic" w:hAnsi="Century Gothic"/>
                    </w:rPr>
                  </w:pPr>
                </w:p>
              </w:tc>
            </w:tr>
            <w:tr w:rsidR="6B711D13" w:rsidRPr="00367F45" w14:paraId="5D3B3AF8" w14:textId="77777777" w:rsidTr="002D3757">
              <w:trPr>
                <w:trHeight w:val="2520"/>
              </w:trPr>
              <w:tc>
                <w:tcPr>
                  <w:tcW w:w="134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992FAF3" w14:textId="77777777" w:rsidR="6B711D13" w:rsidRPr="00367F45" w:rsidRDefault="6B711D13" w:rsidP="6B711D13">
                  <w:pPr>
                    <w:rPr>
                      <w:rFonts w:ascii="Century Gothic" w:eastAsia="MS PGothic" w:hAnsi="Century Gothic"/>
                    </w:rPr>
                  </w:pPr>
                  <w:r w:rsidRPr="00367F45">
                    <w:rPr>
                      <w:rFonts w:ascii="Century Gothic" w:hAnsi="Century Gothic"/>
                    </w:rPr>
                    <w:t>Annual number of incremental households with exception rents approved due to an accessibility issue because of the activity</w:t>
                  </w:r>
                </w:p>
              </w:tc>
              <w:tc>
                <w:tcPr>
                  <w:tcW w:w="7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E01B7E" w14:textId="77777777" w:rsidR="6B711D13" w:rsidRPr="00367F45" w:rsidRDefault="6B711D13" w:rsidP="6B711D13">
                  <w:pPr>
                    <w:jc w:val="center"/>
                    <w:rPr>
                      <w:rFonts w:ascii="Century Gothic" w:hAnsi="Century Gothic"/>
                    </w:rPr>
                  </w:pPr>
                  <w:r w:rsidRPr="00367F45">
                    <w:rPr>
                      <w:rFonts w:ascii="Century Gothic" w:hAnsi="Century Gothic"/>
                    </w:rPr>
                    <w:t>0 (2008)</w:t>
                  </w:r>
                </w:p>
              </w:tc>
              <w:tc>
                <w:tcPr>
                  <w:tcW w:w="3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D9DAE4" w14:textId="475F6647" w:rsidR="6B711D13" w:rsidRPr="00367F45" w:rsidRDefault="6B711D13" w:rsidP="6B711D13">
                  <w:pPr>
                    <w:jc w:val="center"/>
                    <w:rPr>
                      <w:rFonts w:ascii="Century Gothic" w:hAnsi="Century Gothic"/>
                    </w:rPr>
                  </w:pPr>
                </w:p>
              </w:tc>
              <w:tc>
                <w:tcPr>
                  <w:tcW w:w="2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879CD1" w14:textId="10DE5696" w:rsidR="6B711D13" w:rsidRPr="00367F45" w:rsidRDefault="6B711D13" w:rsidP="6B711D13">
                  <w:pPr>
                    <w:rPr>
                      <w:rFonts w:ascii="Century Gothic" w:eastAsia="MS PGothic" w:hAnsi="Century Gothic"/>
                    </w:rPr>
                  </w:pPr>
                </w:p>
              </w:tc>
              <w:tc>
                <w:tcPr>
                  <w:tcW w:w="2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C4859BE" w14:textId="5858FCB3" w:rsidR="7F80DDD2" w:rsidRPr="00367F45" w:rsidRDefault="7F80DDD2">
                  <w:pPr>
                    <w:rPr>
                      <w:rFonts w:ascii="Century Gothic" w:hAnsi="Century Gothic"/>
                    </w:rPr>
                  </w:pPr>
                </w:p>
              </w:tc>
            </w:tr>
          </w:tbl>
          <w:p w14:paraId="1829E12D" w14:textId="7B36F19B" w:rsidR="6B711D13" w:rsidRPr="00367F45" w:rsidRDefault="6B711D13" w:rsidP="6B711D13">
            <w:pPr>
              <w:rPr>
                <w:rFonts w:ascii="Century Gothic" w:eastAsia="MS PGothic" w:hAnsi="Century Gothic"/>
              </w:rPr>
            </w:pPr>
          </w:p>
        </w:tc>
        <w:tc>
          <w:tcPr>
            <w:tcW w:w="1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B402CA" w14:textId="0AB02D88" w:rsidR="6B711D13" w:rsidRPr="00367F45" w:rsidRDefault="6B711D13" w:rsidP="2E15630C">
            <w:pPr>
              <w:rPr>
                <w:rFonts w:ascii="Century Gothic" w:hAnsi="Century Gothic"/>
              </w:rPr>
            </w:pPr>
          </w:p>
          <w:p w14:paraId="0B2F80F3" w14:textId="06D9A27A" w:rsidR="6B711D13" w:rsidRPr="00367F45" w:rsidRDefault="6B711D13" w:rsidP="2E15630C">
            <w:pPr>
              <w:rPr>
                <w:rFonts w:ascii="Century Gothic" w:eastAsia="MS PGothic" w:hAnsi="Century Gothic"/>
              </w:rPr>
            </w:pPr>
          </w:p>
          <w:p w14:paraId="154A8920" w14:textId="61FBF09D" w:rsidR="6B711D13" w:rsidRPr="00367F45" w:rsidRDefault="6B711D13" w:rsidP="2E15630C">
            <w:pPr>
              <w:rPr>
                <w:rFonts w:ascii="Century Gothic" w:eastAsia="MS PGothic" w:hAnsi="Century Gothic"/>
              </w:rPr>
            </w:pPr>
          </w:p>
          <w:p w14:paraId="33A7D660" w14:textId="7D3DCABB" w:rsidR="6B711D13" w:rsidRPr="00367F45" w:rsidRDefault="48CA2C74" w:rsidP="39066CDC">
            <w:pPr>
              <w:jc w:val="center"/>
              <w:rPr>
                <w:rFonts w:ascii="Century Gothic" w:hAnsi="Century Gothic"/>
              </w:rPr>
            </w:pPr>
            <w:r w:rsidRPr="00367F45">
              <w:rPr>
                <w:rFonts w:ascii="Century Gothic" w:hAnsi="Century Gothic"/>
              </w:rPr>
              <w:t>1**</w:t>
            </w:r>
          </w:p>
          <w:p w14:paraId="7BC82107" w14:textId="5B9691CB" w:rsidR="6B711D13" w:rsidRPr="00367F45" w:rsidRDefault="6B711D13" w:rsidP="39066CDC">
            <w:pPr>
              <w:jc w:val="center"/>
              <w:rPr>
                <w:rFonts w:ascii="Century Gothic" w:hAnsi="Century Gothic"/>
              </w:rPr>
            </w:pPr>
          </w:p>
          <w:p w14:paraId="14754954" w14:textId="101ADEFF" w:rsidR="6B711D13" w:rsidRPr="00367F45" w:rsidRDefault="6B711D13" w:rsidP="39066CDC">
            <w:pPr>
              <w:jc w:val="center"/>
              <w:rPr>
                <w:rFonts w:ascii="Century Gothic" w:hAnsi="Century Gothic"/>
              </w:rPr>
            </w:pPr>
          </w:p>
          <w:p w14:paraId="4EA026C4" w14:textId="50174D27" w:rsidR="6B711D13" w:rsidRPr="00367F45" w:rsidRDefault="6B711D13" w:rsidP="39066CDC">
            <w:pPr>
              <w:jc w:val="center"/>
              <w:rPr>
                <w:rFonts w:ascii="Century Gothic" w:hAnsi="Century Gothic"/>
              </w:rPr>
            </w:pPr>
          </w:p>
          <w:p w14:paraId="76F59A79" w14:textId="532128BD" w:rsidR="6B711D13" w:rsidRPr="00367F45" w:rsidRDefault="6B711D13" w:rsidP="39066CDC">
            <w:pPr>
              <w:jc w:val="center"/>
              <w:rPr>
                <w:rFonts w:ascii="Century Gothic" w:hAnsi="Century Gothic"/>
              </w:rPr>
            </w:pPr>
          </w:p>
          <w:p w14:paraId="71781D9E" w14:textId="59E92068" w:rsidR="6B711D13" w:rsidRPr="00367F45" w:rsidRDefault="6B711D13" w:rsidP="39066CDC">
            <w:pPr>
              <w:jc w:val="center"/>
              <w:rPr>
                <w:rFonts w:ascii="Century Gothic" w:hAnsi="Century Gothic"/>
              </w:rPr>
            </w:pPr>
          </w:p>
          <w:p w14:paraId="0AD36B4A" w14:textId="577ACCAE" w:rsidR="6B711D13" w:rsidRPr="00367F45" w:rsidRDefault="6B711D13" w:rsidP="39066CDC">
            <w:pPr>
              <w:jc w:val="center"/>
              <w:rPr>
                <w:rFonts w:ascii="Century Gothic" w:hAnsi="Century Gothic"/>
              </w:rPr>
            </w:pPr>
          </w:p>
          <w:p w14:paraId="1D417B70" w14:textId="55A6D191" w:rsidR="6B711D13" w:rsidRPr="00367F45" w:rsidRDefault="6B711D13" w:rsidP="39066CDC">
            <w:pPr>
              <w:jc w:val="center"/>
              <w:rPr>
                <w:rFonts w:ascii="Century Gothic" w:hAnsi="Century Gothic"/>
              </w:rPr>
            </w:pPr>
          </w:p>
          <w:p w14:paraId="7570E525" w14:textId="1B0DF6A3" w:rsidR="6B711D13" w:rsidRPr="00367F45" w:rsidRDefault="6B711D13" w:rsidP="39066CDC">
            <w:pPr>
              <w:jc w:val="center"/>
              <w:rPr>
                <w:rFonts w:ascii="Century Gothic" w:hAnsi="Century Gothic"/>
              </w:rPr>
            </w:pPr>
          </w:p>
          <w:p w14:paraId="37B0886A" w14:textId="11AE9554" w:rsidR="6B711D13" w:rsidRPr="00367F45" w:rsidRDefault="6B711D13" w:rsidP="39066CDC">
            <w:pPr>
              <w:jc w:val="center"/>
              <w:rPr>
                <w:rFonts w:ascii="Century Gothic" w:hAnsi="Century Gothic"/>
              </w:rPr>
            </w:pPr>
          </w:p>
          <w:p w14:paraId="4B3B87B3" w14:textId="7D498AF9" w:rsidR="6B711D13" w:rsidRPr="00367F45" w:rsidRDefault="6B711D13" w:rsidP="39066CDC">
            <w:pPr>
              <w:jc w:val="center"/>
              <w:rPr>
                <w:rFonts w:ascii="Century Gothic" w:hAnsi="Century Gothic"/>
              </w:rPr>
            </w:pPr>
          </w:p>
          <w:p w14:paraId="5FFAD86F" w14:textId="0B2A65BD" w:rsidR="6B711D13" w:rsidRPr="00367F45" w:rsidRDefault="6B711D13" w:rsidP="39066CDC">
            <w:pPr>
              <w:jc w:val="center"/>
              <w:rPr>
                <w:rFonts w:ascii="Century Gothic" w:hAnsi="Century Gothic"/>
              </w:rPr>
            </w:pPr>
          </w:p>
          <w:p w14:paraId="73C64265" w14:textId="23D8ACF3" w:rsidR="6B711D13" w:rsidRPr="00367F45" w:rsidRDefault="6B711D13" w:rsidP="39066CDC">
            <w:pPr>
              <w:jc w:val="center"/>
              <w:rPr>
                <w:rFonts w:ascii="Century Gothic" w:hAnsi="Century Gothic"/>
              </w:rPr>
            </w:pPr>
          </w:p>
          <w:p w14:paraId="197899C7" w14:textId="53C89F72" w:rsidR="6B711D13" w:rsidRPr="00367F45" w:rsidRDefault="6B711D13" w:rsidP="39066CDC">
            <w:pPr>
              <w:jc w:val="center"/>
              <w:rPr>
                <w:rFonts w:ascii="Century Gothic" w:hAnsi="Century Gothic"/>
              </w:rPr>
            </w:pPr>
          </w:p>
          <w:p w14:paraId="1CF2B122" w14:textId="7D3DCABB" w:rsidR="6B711D13" w:rsidRPr="00367F45" w:rsidRDefault="48CA2C74" w:rsidP="39066CDC">
            <w:pPr>
              <w:jc w:val="center"/>
              <w:rPr>
                <w:rFonts w:ascii="Century Gothic" w:hAnsi="Century Gothic"/>
              </w:rPr>
            </w:pPr>
            <w:r w:rsidRPr="00367F45">
              <w:rPr>
                <w:rFonts w:ascii="Century Gothic" w:hAnsi="Century Gothic"/>
              </w:rPr>
              <w:t>10***</w:t>
            </w:r>
          </w:p>
          <w:p w14:paraId="70ED73FC" w14:textId="7D3DCABB" w:rsidR="6B711D13" w:rsidRPr="00367F45" w:rsidRDefault="6B711D13" w:rsidP="6B711D13">
            <w:pPr>
              <w:rPr>
                <w:rFonts w:ascii="Century Gothic" w:eastAsia="MS PGothic" w:hAnsi="Century Gothic"/>
                <w:szCs w:val="22"/>
              </w:rPr>
            </w:pPr>
          </w:p>
        </w:tc>
        <w:tc>
          <w:tcPr>
            <w:tcW w:w="20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8E5D5B5" w14:textId="7B556B0E" w:rsidR="6B711D13" w:rsidRPr="00367F45" w:rsidRDefault="7F716BBC" w:rsidP="3F06B8E4">
            <w:pPr>
              <w:jc w:val="center"/>
              <w:rPr>
                <w:rFonts w:ascii="Century Gothic" w:eastAsia="MS PGothic" w:hAnsi="Century Gothic"/>
              </w:rPr>
            </w:pPr>
            <w:r w:rsidRPr="00367F45">
              <w:rPr>
                <w:rFonts w:ascii="Century Gothic" w:hAnsi="Century Gothic"/>
              </w:rPr>
              <w:t>Greater than 2% increase over prior year</w:t>
            </w:r>
          </w:p>
          <w:p w14:paraId="50F271E6" w14:textId="336476BC" w:rsidR="6B711D13" w:rsidRPr="00367F45" w:rsidRDefault="6B711D13" w:rsidP="3F06B8E4">
            <w:pPr>
              <w:jc w:val="center"/>
              <w:rPr>
                <w:rFonts w:ascii="Century Gothic" w:hAnsi="Century Gothic"/>
              </w:rPr>
            </w:pPr>
          </w:p>
          <w:p w14:paraId="0F8F6ECA" w14:textId="0DD2C6C8" w:rsidR="6B711D13" w:rsidRPr="00367F45" w:rsidRDefault="6B711D13" w:rsidP="3F06B8E4">
            <w:pPr>
              <w:jc w:val="center"/>
              <w:rPr>
                <w:rFonts w:ascii="Century Gothic" w:hAnsi="Century Gothic"/>
              </w:rPr>
            </w:pPr>
          </w:p>
          <w:p w14:paraId="3DF02C1D" w14:textId="7C909C73" w:rsidR="6B711D13" w:rsidRPr="00367F45" w:rsidRDefault="6B711D13" w:rsidP="3F06B8E4">
            <w:pPr>
              <w:jc w:val="center"/>
              <w:rPr>
                <w:rFonts w:ascii="Century Gothic" w:hAnsi="Century Gothic"/>
              </w:rPr>
            </w:pPr>
          </w:p>
          <w:p w14:paraId="0B89658F" w14:textId="39E2BA52" w:rsidR="6B711D13" w:rsidRPr="00367F45" w:rsidRDefault="6B711D13" w:rsidP="3F06B8E4">
            <w:pPr>
              <w:jc w:val="center"/>
              <w:rPr>
                <w:rFonts w:ascii="Century Gothic" w:hAnsi="Century Gothic"/>
              </w:rPr>
            </w:pPr>
          </w:p>
          <w:p w14:paraId="32A47D2C" w14:textId="355AC4CB" w:rsidR="6B711D13" w:rsidRPr="00367F45" w:rsidRDefault="6B711D13" w:rsidP="3F06B8E4">
            <w:pPr>
              <w:jc w:val="center"/>
              <w:rPr>
                <w:rFonts w:ascii="Century Gothic" w:hAnsi="Century Gothic"/>
              </w:rPr>
            </w:pPr>
          </w:p>
          <w:p w14:paraId="50E10088" w14:textId="4F03E2E7" w:rsidR="6B711D13" w:rsidRPr="00367F45" w:rsidRDefault="6B711D13" w:rsidP="3F06B8E4">
            <w:pPr>
              <w:jc w:val="center"/>
              <w:rPr>
                <w:rFonts w:ascii="Century Gothic" w:hAnsi="Century Gothic"/>
              </w:rPr>
            </w:pPr>
          </w:p>
          <w:p w14:paraId="44DAE1A0" w14:textId="09BDAB36" w:rsidR="6B711D13" w:rsidRPr="00367F45" w:rsidRDefault="6B711D13" w:rsidP="3F06B8E4">
            <w:pPr>
              <w:jc w:val="center"/>
              <w:rPr>
                <w:rFonts w:ascii="Century Gothic" w:hAnsi="Century Gothic"/>
              </w:rPr>
            </w:pPr>
          </w:p>
          <w:p w14:paraId="1D4FCA0E" w14:textId="092F9DAD" w:rsidR="39066CDC" w:rsidRPr="00367F45" w:rsidRDefault="39066CDC" w:rsidP="39066CDC">
            <w:pPr>
              <w:jc w:val="center"/>
              <w:rPr>
                <w:rFonts w:ascii="Century Gothic" w:hAnsi="Century Gothic"/>
              </w:rPr>
            </w:pPr>
          </w:p>
          <w:p w14:paraId="207C12F3" w14:textId="24E948BD" w:rsidR="39066CDC" w:rsidRPr="00367F45" w:rsidRDefault="39066CDC" w:rsidP="39066CDC">
            <w:pPr>
              <w:jc w:val="center"/>
              <w:rPr>
                <w:rFonts w:ascii="Century Gothic" w:hAnsi="Century Gothic"/>
              </w:rPr>
            </w:pPr>
          </w:p>
          <w:p w14:paraId="5A1DACF6" w14:textId="3ECD9F5E" w:rsidR="39066CDC" w:rsidRPr="00367F45" w:rsidRDefault="39066CDC" w:rsidP="39066CDC">
            <w:pPr>
              <w:jc w:val="center"/>
              <w:rPr>
                <w:rFonts w:ascii="Century Gothic" w:hAnsi="Century Gothic"/>
              </w:rPr>
            </w:pPr>
          </w:p>
          <w:p w14:paraId="5FAA9D2E" w14:textId="047A8E27" w:rsidR="39066CDC" w:rsidRPr="00367F45" w:rsidRDefault="39066CDC" w:rsidP="39066CDC">
            <w:pPr>
              <w:jc w:val="center"/>
              <w:rPr>
                <w:rFonts w:ascii="Century Gothic" w:hAnsi="Century Gothic"/>
              </w:rPr>
            </w:pPr>
          </w:p>
          <w:p w14:paraId="025856C5" w14:textId="7B556B0E" w:rsidR="6B711D13" w:rsidRPr="00367F45" w:rsidRDefault="7F716BBC" w:rsidP="3F06B8E4">
            <w:pPr>
              <w:jc w:val="center"/>
              <w:rPr>
                <w:rFonts w:ascii="Century Gothic" w:eastAsia="MS PGothic" w:hAnsi="Century Gothic"/>
              </w:rPr>
            </w:pPr>
            <w:r w:rsidRPr="00367F45">
              <w:rPr>
                <w:rFonts w:ascii="Century Gothic" w:hAnsi="Century Gothic"/>
              </w:rPr>
              <w:t>Greater than 2% increase over prior year</w:t>
            </w:r>
          </w:p>
          <w:p w14:paraId="57732FA4" w14:textId="0D2C54C0" w:rsidR="6B711D13" w:rsidRPr="00367F45" w:rsidRDefault="6B711D13" w:rsidP="6B711D13">
            <w:pPr>
              <w:rPr>
                <w:rFonts w:ascii="Century Gothic" w:eastAsia="MS PGothic" w:hAnsi="Century Gothic"/>
              </w:rPr>
            </w:pPr>
          </w:p>
        </w:tc>
        <w:tc>
          <w:tcPr>
            <w:tcW w:w="1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44AB7D" w14:textId="1A4AA83F" w:rsidR="0A6B212A" w:rsidRDefault="5FE3ADDE" w:rsidP="090392C3">
            <w:pPr>
              <w:rPr>
                <w:rFonts w:ascii="Century Gothic" w:eastAsia="Times New Roman" w:hAnsi="Century Gothic"/>
              </w:rPr>
            </w:pPr>
            <w:r w:rsidRPr="00367F45">
              <w:rPr>
                <w:rFonts w:ascii="Century Gothic" w:eastAsia="Times New Roman" w:hAnsi="Century Gothic"/>
              </w:rPr>
              <w:t>2024</w:t>
            </w:r>
            <w:r w:rsidR="5D6B6DF3" w:rsidRPr="00367F45">
              <w:rPr>
                <w:rFonts w:ascii="Century Gothic" w:eastAsia="Times New Roman" w:hAnsi="Century Gothic"/>
              </w:rPr>
              <w:t xml:space="preserve"> –</w:t>
            </w:r>
            <w:r w:rsidR="00DB479F" w:rsidRPr="00367F45">
              <w:rPr>
                <w:rFonts w:ascii="Century Gothic" w:eastAsia="Times New Roman" w:hAnsi="Century Gothic"/>
              </w:rPr>
              <w:t>more than 2</w:t>
            </w:r>
            <w:r w:rsidR="00112D9F" w:rsidRPr="00367F45">
              <w:rPr>
                <w:rFonts w:ascii="Century Gothic" w:eastAsia="Times New Roman" w:hAnsi="Century Gothic"/>
              </w:rPr>
              <w:t>% (</w:t>
            </w:r>
            <w:r w:rsidR="6CC945EC" w:rsidRPr="00367F45">
              <w:rPr>
                <w:rFonts w:ascii="Century Gothic" w:eastAsia="Times New Roman" w:hAnsi="Century Gothic"/>
              </w:rPr>
              <w:t>4</w:t>
            </w:r>
            <w:r w:rsidRPr="00367F45">
              <w:rPr>
                <w:rFonts w:ascii="Century Gothic" w:eastAsia="Times New Roman" w:hAnsi="Century Gothic"/>
              </w:rPr>
              <w:t>)</w:t>
            </w:r>
          </w:p>
          <w:p w14:paraId="5EBE5A6D" w14:textId="77777777" w:rsidR="00F048D6" w:rsidRPr="00367F45" w:rsidRDefault="00F048D6" w:rsidP="090392C3">
            <w:pPr>
              <w:rPr>
                <w:rFonts w:ascii="Century Gothic" w:eastAsia="Times New Roman" w:hAnsi="Century Gothic"/>
              </w:rPr>
            </w:pPr>
          </w:p>
          <w:p w14:paraId="15A20EF4" w14:textId="08F2AAB2" w:rsidR="006871E2" w:rsidRPr="00367F45" w:rsidRDefault="1F13267A" w:rsidP="006871E2">
            <w:pPr>
              <w:rPr>
                <w:rFonts w:ascii="Century Gothic" w:eastAsia="Times New Roman" w:hAnsi="Century Gothic"/>
              </w:rPr>
            </w:pPr>
            <w:r w:rsidRPr="00367F45">
              <w:rPr>
                <w:rFonts w:ascii="Century Gothic" w:eastAsia="Times New Roman" w:hAnsi="Century Gothic"/>
              </w:rPr>
              <w:t>2023</w:t>
            </w:r>
            <w:r w:rsidR="1C48A6CB" w:rsidRPr="00367F45">
              <w:rPr>
                <w:rFonts w:ascii="Century Gothic" w:eastAsia="Times New Roman" w:hAnsi="Century Gothic"/>
              </w:rPr>
              <w:t xml:space="preserve"> </w:t>
            </w:r>
            <w:r w:rsidR="007054C2" w:rsidRPr="00367F45">
              <w:rPr>
                <w:rFonts w:ascii="Century Gothic" w:eastAsia="Times New Roman" w:hAnsi="Century Gothic"/>
              </w:rPr>
              <w:t>-</w:t>
            </w:r>
            <w:r w:rsidR="131622F2" w:rsidRPr="00367F45">
              <w:rPr>
                <w:rFonts w:ascii="Century Gothic" w:eastAsia="Times New Roman" w:hAnsi="Century Gothic"/>
              </w:rPr>
              <w:t>0</w:t>
            </w:r>
            <w:r w:rsidR="251C6B3E" w:rsidRPr="00367F45">
              <w:rPr>
                <w:rFonts w:ascii="Century Gothic" w:eastAsia="Times New Roman" w:hAnsi="Century Gothic"/>
              </w:rPr>
              <w:t>%</w:t>
            </w:r>
            <w:r w:rsidR="007054C2" w:rsidRPr="00367F45">
              <w:rPr>
                <w:rFonts w:ascii="Century Gothic" w:eastAsia="Times New Roman" w:hAnsi="Century Gothic"/>
              </w:rPr>
              <w:t xml:space="preserve"> (0)</w:t>
            </w:r>
          </w:p>
          <w:p w14:paraId="2908DA28" w14:textId="68949AF5" w:rsidR="3F06B8E4" w:rsidRPr="00367F45" w:rsidRDefault="4926BD30" w:rsidP="3F06B8E4">
            <w:pPr>
              <w:rPr>
                <w:rFonts w:ascii="Century Gothic" w:eastAsia="Times New Roman" w:hAnsi="Century Gothic"/>
              </w:rPr>
            </w:pPr>
            <w:r w:rsidRPr="00367F45">
              <w:rPr>
                <w:rFonts w:ascii="Century Gothic" w:eastAsia="Times New Roman" w:hAnsi="Century Gothic"/>
              </w:rPr>
              <w:t>2022-</w:t>
            </w:r>
            <w:r w:rsidR="007054C2" w:rsidRPr="00367F45">
              <w:rPr>
                <w:rFonts w:ascii="Century Gothic" w:eastAsia="Times New Roman" w:hAnsi="Century Gothic"/>
              </w:rPr>
              <w:t xml:space="preserve"> 0</w:t>
            </w:r>
            <w:r w:rsidR="00B37982" w:rsidRPr="00367F45">
              <w:rPr>
                <w:rFonts w:ascii="Century Gothic" w:eastAsia="Times New Roman" w:hAnsi="Century Gothic"/>
              </w:rPr>
              <w:t>% (</w:t>
            </w:r>
            <w:r w:rsidR="007054C2" w:rsidRPr="00367F45">
              <w:rPr>
                <w:rFonts w:ascii="Century Gothic" w:eastAsia="Times New Roman" w:hAnsi="Century Gothic"/>
              </w:rPr>
              <w:t>0)</w:t>
            </w:r>
          </w:p>
          <w:p w14:paraId="495FEBA7" w14:textId="334AE227" w:rsidR="6B711D13" w:rsidRPr="00367F45" w:rsidRDefault="72D90D4A" w:rsidP="40127544">
            <w:pPr>
              <w:rPr>
                <w:rFonts w:ascii="Century Gothic" w:eastAsia="Times New Roman" w:hAnsi="Century Gothic"/>
              </w:rPr>
            </w:pPr>
            <w:r w:rsidRPr="00367F45">
              <w:rPr>
                <w:rFonts w:ascii="Century Gothic" w:eastAsia="Times New Roman" w:hAnsi="Century Gothic"/>
              </w:rPr>
              <w:t>2021</w:t>
            </w:r>
            <w:r w:rsidR="007054C2" w:rsidRPr="00367F45">
              <w:rPr>
                <w:rFonts w:ascii="Century Gothic" w:eastAsia="Times New Roman" w:hAnsi="Century Gothic"/>
              </w:rPr>
              <w:t>- 0</w:t>
            </w:r>
            <w:r w:rsidR="00B37982" w:rsidRPr="00367F45">
              <w:rPr>
                <w:rFonts w:ascii="Century Gothic" w:eastAsia="Times New Roman" w:hAnsi="Century Gothic"/>
              </w:rPr>
              <w:t>% (</w:t>
            </w:r>
            <w:r w:rsidR="007054C2" w:rsidRPr="00367F45">
              <w:rPr>
                <w:rFonts w:ascii="Century Gothic" w:eastAsia="Times New Roman" w:hAnsi="Century Gothic"/>
              </w:rPr>
              <w:t>0)</w:t>
            </w:r>
          </w:p>
          <w:p w14:paraId="4134E1B5" w14:textId="708667BD" w:rsidR="6B711D13" w:rsidRPr="00367F45" w:rsidRDefault="72D90D4A" w:rsidP="40127544">
            <w:pPr>
              <w:rPr>
                <w:rFonts w:ascii="Century Gothic" w:eastAsia="Times New Roman" w:hAnsi="Century Gothic"/>
              </w:rPr>
            </w:pPr>
            <w:r w:rsidRPr="00367F45">
              <w:rPr>
                <w:rFonts w:ascii="Century Gothic" w:eastAsia="Times New Roman" w:hAnsi="Century Gothic"/>
              </w:rPr>
              <w:t>2020-</w:t>
            </w:r>
            <w:r w:rsidR="007054C2" w:rsidRPr="00367F45">
              <w:rPr>
                <w:rFonts w:ascii="Century Gothic" w:eastAsia="Times New Roman" w:hAnsi="Century Gothic"/>
              </w:rPr>
              <w:t xml:space="preserve"> 0</w:t>
            </w:r>
            <w:r w:rsidR="00B37982" w:rsidRPr="00367F45">
              <w:rPr>
                <w:rFonts w:ascii="Century Gothic" w:eastAsia="Times New Roman" w:hAnsi="Century Gothic"/>
              </w:rPr>
              <w:t>% (</w:t>
            </w:r>
            <w:r w:rsidR="007054C2" w:rsidRPr="00367F45">
              <w:rPr>
                <w:rFonts w:ascii="Century Gothic" w:eastAsia="Times New Roman" w:hAnsi="Century Gothic"/>
              </w:rPr>
              <w:t>0)</w:t>
            </w:r>
          </w:p>
          <w:p w14:paraId="028AC0A9" w14:textId="30A0EDFE" w:rsidR="6B711D13" w:rsidRPr="00367F45" w:rsidRDefault="6B711D13" w:rsidP="0849012C">
            <w:pPr>
              <w:rPr>
                <w:rFonts w:ascii="Century Gothic" w:eastAsia="Times New Roman" w:hAnsi="Century Gothic"/>
              </w:rPr>
            </w:pPr>
          </w:p>
          <w:p w14:paraId="558E2790" w14:textId="754E5BF7" w:rsidR="6B711D13" w:rsidRPr="00367F45" w:rsidRDefault="6B711D13" w:rsidP="40127544">
            <w:pPr>
              <w:rPr>
                <w:rFonts w:ascii="Century Gothic" w:eastAsia="Times New Roman" w:hAnsi="Century Gothic"/>
              </w:rPr>
            </w:pPr>
          </w:p>
          <w:p w14:paraId="32C3D0A2" w14:textId="377EBD1F" w:rsidR="6B711D13" w:rsidRPr="00367F45" w:rsidRDefault="6B711D13" w:rsidP="40127544">
            <w:pPr>
              <w:rPr>
                <w:rFonts w:ascii="Century Gothic" w:eastAsia="Times New Roman" w:hAnsi="Century Gothic"/>
              </w:rPr>
            </w:pPr>
          </w:p>
          <w:p w14:paraId="5F853A46" w14:textId="77777777" w:rsidR="00277E1A" w:rsidRPr="00367F45" w:rsidRDefault="00277E1A" w:rsidP="40127544">
            <w:pPr>
              <w:rPr>
                <w:rFonts w:ascii="Century Gothic" w:eastAsia="Times New Roman" w:hAnsi="Century Gothic"/>
              </w:rPr>
            </w:pPr>
          </w:p>
          <w:p w14:paraId="3FC6133D" w14:textId="77777777" w:rsidR="00277E1A" w:rsidRPr="00367F45" w:rsidRDefault="00277E1A" w:rsidP="40127544">
            <w:pPr>
              <w:rPr>
                <w:rFonts w:ascii="Century Gothic" w:eastAsia="Times New Roman" w:hAnsi="Century Gothic"/>
              </w:rPr>
            </w:pPr>
          </w:p>
          <w:p w14:paraId="31B73DC2" w14:textId="77777777" w:rsidR="00277E1A" w:rsidRPr="00367F45" w:rsidRDefault="00277E1A" w:rsidP="40127544">
            <w:pPr>
              <w:rPr>
                <w:rFonts w:ascii="Century Gothic" w:eastAsia="Times New Roman" w:hAnsi="Century Gothic"/>
              </w:rPr>
            </w:pPr>
          </w:p>
          <w:p w14:paraId="05B99C4F" w14:textId="77777777" w:rsidR="00277E1A" w:rsidRPr="00367F45" w:rsidRDefault="00277E1A" w:rsidP="40127544">
            <w:pPr>
              <w:rPr>
                <w:rFonts w:ascii="Century Gothic" w:eastAsia="Times New Roman" w:hAnsi="Century Gothic"/>
              </w:rPr>
            </w:pPr>
          </w:p>
          <w:p w14:paraId="0335E474" w14:textId="77777777" w:rsidR="00277E1A" w:rsidRPr="00367F45" w:rsidRDefault="00277E1A" w:rsidP="40127544">
            <w:pPr>
              <w:rPr>
                <w:rFonts w:ascii="Century Gothic" w:eastAsia="Times New Roman" w:hAnsi="Century Gothic"/>
              </w:rPr>
            </w:pPr>
          </w:p>
          <w:p w14:paraId="2B04F80A" w14:textId="77777777" w:rsidR="00277E1A" w:rsidRPr="00367F45" w:rsidRDefault="00277E1A" w:rsidP="40127544">
            <w:pPr>
              <w:rPr>
                <w:rFonts w:ascii="Century Gothic" w:eastAsia="Times New Roman" w:hAnsi="Century Gothic"/>
              </w:rPr>
            </w:pPr>
          </w:p>
          <w:p w14:paraId="6A36B7F9" w14:textId="77777777" w:rsidR="00277E1A" w:rsidRPr="00367F45" w:rsidRDefault="00277E1A" w:rsidP="40127544">
            <w:pPr>
              <w:rPr>
                <w:rFonts w:ascii="Century Gothic" w:eastAsia="Times New Roman" w:hAnsi="Century Gothic"/>
              </w:rPr>
            </w:pPr>
          </w:p>
          <w:p w14:paraId="7F351768" w14:textId="363506E0" w:rsidR="007054C2" w:rsidRPr="00367F45" w:rsidRDefault="628EB0CE" w:rsidP="090392C3">
            <w:pPr>
              <w:rPr>
                <w:rFonts w:ascii="Century Gothic" w:eastAsia="Times New Roman" w:hAnsi="Century Gothic"/>
              </w:rPr>
            </w:pPr>
            <w:r w:rsidRPr="00367F45">
              <w:rPr>
                <w:rFonts w:ascii="Century Gothic" w:eastAsia="Times New Roman" w:hAnsi="Century Gothic"/>
              </w:rPr>
              <w:t>2024 -</w:t>
            </w:r>
            <w:r w:rsidR="00DB479F" w:rsidRPr="00367F45">
              <w:rPr>
                <w:rFonts w:ascii="Century Gothic" w:eastAsia="Times New Roman" w:hAnsi="Century Gothic"/>
              </w:rPr>
              <w:t xml:space="preserve"> more than 2</w:t>
            </w:r>
            <w:r w:rsidRPr="00367F45">
              <w:rPr>
                <w:rFonts w:ascii="Century Gothic" w:eastAsia="Times New Roman" w:hAnsi="Century Gothic"/>
              </w:rPr>
              <w:t>% (</w:t>
            </w:r>
            <w:r w:rsidR="0627236E" w:rsidRPr="00367F45">
              <w:rPr>
                <w:rFonts w:ascii="Century Gothic" w:eastAsia="Times New Roman" w:hAnsi="Century Gothic"/>
              </w:rPr>
              <w:t>3</w:t>
            </w:r>
            <w:r w:rsidRPr="00367F45">
              <w:rPr>
                <w:rFonts w:ascii="Century Gothic" w:eastAsia="Times New Roman" w:hAnsi="Century Gothic"/>
              </w:rPr>
              <w:t>)</w:t>
            </w:r>
          </w:p>
          <w:p w14:paraId="6B2AC4FE" w14:textId="0B7199CB" w:rsidR="007054C2" w:rsidRPr="00367F45" w:rsidRDefault="5BA895E8" w:rsidP="090392C3">
            <w:pPr>
              <w:rPr>
                <w:rFonts w:ascii="Century Gothic" w:eastAsia="Times New Roman" w:hAnsi="Century Gothic"/>
              </w:rPr>
            </w:pPr>
            <w:r w:rsidRPr="00367F45">
              <w:rPr>
                <w:rFonts w:ascii="Century Gothic" w:eastAsia="Times New Roman" w:hAnsi="Century Gothic"/>
              </w:rPr>
              <w:t>2023 -0% (0)</w:t>
            </w:r>
          </w:p>
          <w:p w14:paraId="62D4473F" w14:textId="6D80CBFA" w:rsidR="007054C2" w:rsidRPr="00367F45" w:rsidRDefault="007054C2" w:rsidP="007054C2">
            <w:pPr>
              <w:rPr>
                <w:rFonts w:ascii="Century Gothic" w:eastAsia="Times New Roman" w:hAnsi="Century Gothic"/>
              </w:rPr>
            </w:pPr>
            <w:r w:rsidRPr="00367F45">
              <w:rPr>
                <w:rFonts w:ascii="Century Gothic" w:eastAsia="Times New Roman" w:hAnsi="Century Gothic"/>
              </w:rPr>
              <w:t>2022- 0</w:t>
            </w:r>
            <w:r w:rsidR="00B37982" w:rsidRPr="00367F45">
              <w:rPr>
                <w:rFonts w:ascii="Century Gothic" w:eastAsia="Times New Roman" w:hAnsi="Century Gothic"/>
              </w:rPr>
              <w:t>% (</w:t>
            </w:r>
            <w:r w:rsidRPr="00367F45">
              <w:rPr>
                <w:rFonts w:ascii="Century Gothic" w:eastAsia="Times New Roman" w:hAnsi="Century Gothic"/>
              </w:rPr>
              <w:t>0)</w:t>
            </w:r>
          </w:p>
          <w:p w14:paraId="04BE2936" w14:textId="670F59AF" w:rsidR="007054C2" w:rsidRPr="00367F45" w:rsidRDefault="007054C2" w:rsidP="007054C2">
            <w:pPr>
              <w:rPr>
                <w:rFonts w:ascii="Century Gothic" w:eastAsia="Times New Roman" w:hAnsi="Century Gothic"/>
              </w:rPr>
            </w:pPr>
            <w:r w:rsidRPr="00367F45">
              <w:rPr>
                <w:rFonts w:ascii="Century Gothic" w:eastAsia="Times New Roman" w:hAnsi="Century Gothic"/>
              </w:rPr>
              <w:t>2021- 0</w:t>
            </w:r>
            <w:r w:rsidR="00B37982" w:rsidRPr="00367F45">
              <w:rPr>
                <w:rFonts w:ascii="Century Gothic" w:eastAsia="Times New Roman" w:hAnsi="Century Gothic"/>
              </w:rPr>
              <w:t>% (</w:t>
            </w:r>
            <w:r w:rsidRPr="00367F45">
              <w:rPr>
                <w:rFonts w:ascii="Century Gothic" w:eastAsia="Times New Roman" w:hAnsi="Century Gothic"/>
              </w:rPr>
              <w:t>0)</w:t>
            </w:r>
          </w:p>
          <w:p w14:paraId="0E3FB09F" w14:textId="75AFAE0E" w:rsidR="007054C2" w:rsidRPr="00367F45" w:rsidRDefault="007054C2" w:rsidP="007054C2">
            <w:pPr>
              <w:rPr>
                <w:rFonts w:ascii="Century Gothic" w:eastAsia="Times New Roman" w:hAnsi="Century Gothic"/>
              </w:rPr>
            </w:pPr>
            <w:r w:rsidRPr="00367F45">
              <w:rPr>
                <w:rFonts w:ascii="Century Gothic" w:eastAsia="Times New Roman" w:hAnsi="Century Gothic"/>
              </w:rPr>
              <w:t>2020- 0</w:t>
            </w:r>
            <w:r w:rsidR="00B37982" w:rsidRPr="00367F45">
              <w:rPr>
                <w:rFonts w:ascii="Century Gothic" w:eastAsia="Times New Roman" w:hAnsi="Century Gothic"/>
              </w:rPr>
              <w:t>% (</w:t>
            </w:r>
            <w:r w:rsidRPr="00367F45">
              <w:rPr>
                <w:rFonts w:ascii="Century Gothic" w:eastAsia="Times New Roman" w:hAnsi="Century Gothic"/>
              </w:rPr>
              <w:t>0)</w:t>
            </w:r>
          </w:p>
          <w:p w14:paraId="3FAE7F89" w14:textId="34DB57A3" w:rsidR="6B711D13" w:rsidRPr="00367F45" w:rsidRDefault="6B711D13" w:rsidP="0849012C">
            <w:pPr>
              <w:rPr>
                <w:rFonts w:ascii="Century Gothic" w:eastAsia="MS PGothic" w:hAnsi="Century Gothic"/>
                <w:szCs w:val="22"/>
              </w:rPr>
            </w:pPr>
          </w:p>
          <w:p w14:paraId="0C2AA42C" w14:textId="08D18114" w:rsidR="6B711D13" w:rsidRPr="00367F45" w:rsidRDefault="6B711D13" w:rsidP="6B711D13">
            <w:pPr>
              <w:rPr>
                <w:rFonts w:ascii="Century Gothic" w:eastAsia="MS PGothic" w:hAnsi="Century Gothic"/>
              </w:rPr>
            </w:pPr>
          </w:p>
        </w:tc>
        <w:tc>
          <w:tcPr>
            <w:tcW w:w="148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08C1E331" w14:textId="6598D452" w:rsidR="6B711D13" w:rsidRPr="00367F45" w:rsidRDefault="000D4A31">
            <w:pPr>
              <w:rPr>
                <w:rFonts w:ascii="Century Gothic" w:hAnsi="Century Gothic"/>
              </w:rPr>
            </w:pPr>
            <w:r w:rsidRPr="00367F45">
              <w:rPr>
                <w:rFonts w:ascii="Century Gothic" w:hAnsi="Century Gothic"/>
              </w:rPr>
              <w:t>Yes</w:t>
            </w:r>
          </w:p>
          <w:p w14:paraId="468988B3" w14:textId="482234DF" w:rsidR="6B711D13" w:rsidRPr="00367F45" w:rsidRDefault="6B711D13" w:rsidP="098AF8C5">
            <w:pPr>
              <w:rPr>
                <w:rFonts w:ascii="Century Gothic" w:eastAsia="MS PGothic" w:hAnsi="Century Gothic"/>
                <w:szCs w:val="22"/>
              </w:rPr>
            </w:pPr>
          </w:p>
          <w:p w14:paraId="767D78CD" w14:textId="482234DF" w:rsidR="6B711D13" w:rsidRPr="00367F45" w:rsidRDefault="6B711D13" w:rsidP="098AF8C5">
            <w:pPr>
              <w:rPr>
                <w:rFonts w:ascii="Century Gothic" w:eastAsia="MS PGothic" w:hAnsi="Century Gothic"/>
                <w:szCs w:val="22"/>
              </w:rPr>
            </w:pPr>
          </w:p>
          <w:p w14:paraId="40B6D77A" w14:textId="482234DF" w:rsidR="6B711D13" w:rsidRPr="00367F45" w:rsidRDefault="6B711D13" w:rsidP="098AF8C5">
            <w:pPr>
              <w:rPr>
                <w:rFonts w:ascii="Century Gothic" w:eastAsia="MS PGothic" w:hAnsi="Century Gothic"/>
                <w:szCs w:val="22"/>
              </w:rPr>
            </w:pPr>
          </w:p>
          <w:p w14:paraId="7E6441A2" w14:textId="482234DF" w:rsidR="6B711D13" w:rsidRPr="00367F45" w:rsidRDefault="6B711D13" w:rsidP="098AF8C5">
            <w:pPr>
              <w:rPr>
                <w:rFonts w:ascii="Century Gothic" w:eastAsia="MS PGothic" w:hAnsi="Century Gothic"/>
                <w:szCs w:val="22"/>
              </w:rPr>
            </w:pPr>
          </w:p>
          <w:p w14:paraId="39F58A78" w14:textId="482234DF" w:rsidR="6B711D13" w:rsidRPr="00367F45" w:rsidRDefault="6B711D13" w:rsidP="098AF8C5">
            <w:pPr>
              <w:rPr>
                <w:rFonts w:ascii="Century Gothic" w:eastAsia="MS PGothic" w:hAnsi="Century Gothic"/>
                <w:szCs w:val="22"/>
              </w:rPr>
            </w:pPr>
          </w:p>
          <w:p w14:paraId="6E0DC164" w14:textId="482234DF" w:rsidR="6B711D13" w:rsidRPr="00367F45" w:rsidRDefault="6B711D13" w:rsidP="098AF8C5">
            <w:pPr>
              <w:rPr>
                <w:rFonts w:ascii="Century Gothic" w:eastAsia="MS PGothic" w:hAnsi="Century Gothic"/>
                <w:szCs w:val="22"/>
              </w:rPr>
            </w:pPr>
          </w:p>
          <w:p w14:paraId="7BCC4631" w14:textId="482234DF" w:rsidR="6B711D13" w:rsidRPr="00367F45" w:rsidRDefault="6B711D13" w:rsidP="098AF8C5">
            <w:pPr>
              <w:rPr>
                <w:rFonts w:ascii="Century Gothic" w:eastAsia="MS PGothic" w:hAnsi="Century Gothic"/>
                <w:szCs w:val="22"/>
              </w:rPr>
            </w:pPr>
          </w:p>
          <w:p w14:paraId="1E7D1C93" w14:textId="482234DF" w:rsidR="6B711D13" w:rsidRPr="00367F45" w:rsidRDefault="6B711D13" w:rsidP="098AF8C5">
            <w:pPr>
              <w:rPr>
                <w:rFonts w:ascii="Century Gothic" w:eastAsia="MS PGothic" w:hAnsi="Century Gothic"/>
                <w:szCs w:val="22"/>
              </w:rPr>
            </w:pPr>
          </w:p>
          <w:p w14:paraId="2CAB26DC" w14:textId="482234DF" w:rsidR="6B711D13" w:rsidRPr="00367F45" w:rsidRDefault="6B711D13" w:rsidP="098AF8C5">
            <w:pPr>
              <w:rPr>
                <w:rFonts w:ascii="Century Gothic" w:eastAsia="MS PGothic" w:hAnsi="Century Gothic"/>
                <w:szCs w:val="22"/>
              </w:rPr>
            </w:pPr>
          </w:p>
          <w:p w14:paraId="27C15529" w14:textId="482234DF" w:rsidR="6B711D13" w:rsidRPr="00367F45" w:rsidRDefault="6B711D13" w:rsidP="098AF8C5">
            <w:pPr>
              <w:rPr>
                <w:rFonts w:ascii="Century Gothic" w:eastAsia="MS PGothic" w:hAnsi="Century Gothic"/>
                <w:szCs w:val="22"/>
              </w:rPr>
            </w:pPr>
          </w:p>
          <w:p w14:paraId="3F675D0E" w14:textId="482234DF" w:rsidR="6B711D13" w:rsidRPr="00367F45" w:rsidRDefault="6B711D13" w:rsidP="098AF8C5">
            <w:pPr>
              <w:rPr>
                <w:rFonts w:ascii="Century Gothic" w:eastAsia="MS PGothic" w:hAnsi="Century Gothic"/>
                <w:szCs w:val="22"/>
              </w:rPr>
            </w:pPr>
          </w:p>
          <w:p w14:paraId="384E6DDF" w14:textId="482234DF" w:rsidR="6B711D13" w:rsidRPr="00367F45" w:rsidRDefault="6B711D13" w:rsidP="098AF8C5">
            <w:pPr>
              <w:rPr>
                <w:rFonts w:ascii="Century Gothic" w:eastAsia="MS PGothic" w:hAnsi="Century Gothic"/>
                <w:szCs w:val="22"/>
              </w:rPr>
            </w:pPr>
          </w:p>
          <w:p w14:paraId="423F4D6D" w14:textId="482234DF" w:rsidR="6B711D13" w:rsidRPr="00367F45" w:rsidRDefault="6B711D13" w:rsidP="098AF8C5">
            <w:pPr>
              <w:rPr>
                <w:rFonts w:ascii="Century Gothic" w:eastAsia="MS PGothic" w:hAnsi="Century Gothic"/>
                <w:szCs w:val="22"/>
              </w:rPr>
            </w:pPr>
          </w:p>
          <w:p w14:paraId="7AC2503F" w14:textId="482234DF" w:rsidR="6B711D13" w:rsidRPr="00367F45" w:rsidRDefault="6B711D13" w:rsidP="098AF8C5">
            <w:pPr>
              <w:rPr>
                <w:rFonts w:ascii="Century Gothic" w:eastAsia="MS PGothic" w:hAnsi="Century Gothic"/>
                <w:szCs w:val="22"/>
              </w:rPr>
            </w:pPr>
          </w:p>
          <w:p w14:paraId="4A5CEA1C" w14:textId="482234DF" w:rsidR="6B711D13" w:rsidRPr="00367F45" w:rsidRDefault="6B711D13" w:rsidP="098AF8C5">
            <w:pPr>
              <w:rPr>
                <w:rFonts w:ascii="Century Gothic" w:eastAsia="MS PGothic" w:hAnsi="Century Gothic"/>
                <w:szCs w:val="22"/>
              </w:rPr>
            </w:pPr>
          </w:p>
          <w:p w14:paraId="63D4C9EA" w14:textId="377D8758" w:rsidR="6B711D13" w:rsidRPr="00367F45" w:rsidRDefault="6B711D13" w:rsidP="090392C3">
            <w:pPr>
              <w:rPr>
                <w:rFonts w:ascii="Century Gothic" w:eastAsia="MS PGothic" w:hAnsi="Century Gothic"/>
              </w:rPr>
            </w:pPr>
          </w:p>
        </w:tc>
      </w:tr>
    </w:tbl>
    <w:p w14:paraId="65B1C33C" w14:textId="4BB0EAEC" w:rsidR="6B711D13" w:rsidRPr="00367F45" w:rsidRDefault="6B711D13" w:rsidP="6B711D13">
      <w:pPr>
        <w:rPr>
          <w:rFonts w:ascii="Century Gothic" w:eastAsia="MS PGothic" w:hAnsi="Century Gothic"/>
          <w:i/>
          <w:iCs/>
          <w:szCs w:val="22"/>
        </w:rPr>
      </w:pPr>
    </w:p>
    <w:p w14:paraId="4BBA7397" w14:textId="4CBB8E60" w:rsidR="009217DE" w:rsidRPr="00367F45" w:rsidRDefault="00AF12B2" w:rsidP="00C45D1D">
      <w:pPr>
        <w:pStyle w:val="Heading4"/>
        <w:rPr>
          <w:rFonts w:ascii="Century Gothic" w:hAnsi="Century Gothic" w:cs="Times New Roman"/>
          <w:iCs w:val="0"/>
          <w:color w:val="595959" w:themeColor="text1" w:themeTint="A6"/>
        </w:rPr>
      </w:pPr>
      <w:r w:rsidRPr="00367F45">
        <w:rPr>
          <w:rStyle w:val="SubtleEmphasis"/>
          <w:rFonts w:ascii="Century Gothic" w:hAnsi="Century Gothic" w:cs="Times New Roman"/>
          <w:sz w:val="22"/>
        </w:rPr>
        <w:t>Actual Non-signif</w:t>
      </w:r>
      <w:r w:rsidR="009217DE" w:rsidRPr="00367F45">
        <w:rPr>
          <w:rStyle w:val="SubtleEmphasis"/>
          <w:rFonts w:ascii="Century Gothic" w:hAnsi="Century Gothic" w:cs="Times New Roman"/>
          <w:sz w:val="22"/>
        </w:rPr>
        <w:t>icant changes</w:t>
      </w:r>
    </w:p>
    <w:p w14:paraId="0D8B0EEE" w14:textId="2F360AAF" w:rsidR="73D73114" w:rsidRPr="008A4599" w:rsidRDefault="73D73114" w:rsidP="2D03861B">
      <w:pPr>
        <w:rPr>
          <w:rFonts w:ascii="Century Gothic" w:eastAsia="Times New Roman" w:hAnsi="Century Gothic"/>
        </w:rPr>
      </w:pPr>
      <w:proofErr w:type="gramStart"/>
      <w:r w:rsidRPr="00367F45">
        <w:rPr>
          <w:rFonts w:ascii="Century Gothic" w:eastAsia="Times New Roman" w:hAnsi="Century Gothic"/>
        </w:rPr>
        <w:t>In an effort to</w:t>
      </w:r>
      <w:proofErr w:type="gramEnd"/>
      <w:r w:rsidRPr="00367F45">
        <w:rPr>
          <w:rFonts w:ascii="Century Gothic" w:eastAsia="Times New Roman" w:hAnsi="Century Gothic"/>
        </w:rPr>
        <w:t xml:space="preserve"> broaden the opportunities for a participant to lease up in a non-impacted area, such as East</w:t>
      </w:r>
      <w:r w:rsidRPr="008A4599">
        <w:rPr>
          <w:rFonts w:ascii="Century Gothic" w:eastAsia="Times New Roman" w:hAnsi="Century Gothic"/>
        </w:rPr>
        <w:t xml:space="preserve"> Shore, Downtown and Westville, ECC/HANH revised the landlord incentives to allow landlords/owners in the non-impacted area, the opportunity to re-lease a unit for up to three families.  This will give a new family an opportunity to move to the unit once the current family moves out.</w:t>
      </w:r>
    </w:p>
    <w:p w14:paraId="0EAAA519" w14:textId="36C9C58C" w:rsidR="009217DE" w:rsidRPr="008A4599" w:rsidRDefault="009217DE" w:rsidP="005841CB">
      <w:pPr>
        <w:pStyle w:val="Heading4"/>
        <w:rPr>
          <w:rStyle w:val="SubtleEmphasis"/>
          <w:rFonts w:ascii="Century Gothic" w:hAnsi="Century Gothic" w:cs="Times New Roman"/>
          <w:sz w:val="22"/>
        </w:rPr>
      </w:pPr>
      <w:r w:rsidRPr="008A4599">
        <w:rPr>
          <w:rStyle w:val="SubtleEmphasis"/>
          <w:rFonts w:ascii="Century Gothic" w:hAnsi="Century Gothic" w:cs="Times New Roman"/>
          <w:sz w:val="22"/>
        </w:rPr>
        <w:t>Actual Significant Changes</w:t>
      </w:r>
      <w:r w:rsidR="00993608" w:rsidRPr="008A4599">
        <w:rPr>
          <w:rStyle w:val="SubtleEmphasis"/>
          <w:rFonts w:ascii="Century Gothic" w:hAnsi="Century Gothic" w:cs="Times New Roman"/>
          <w:sz w:val="22"/>
        </w:rPr>
        <w:tab/>
      </w:r>
    </w:p>
    <w:p w14:paraId="7E7D77F8" w14:textId="2CD6E943" w:rsidR="009217DE" w:rsidRPr="008A4599" w:rsidRDefault="4530409A" w:rsidP="6B711D13">
      <w:pPr>
        <w:pStyle w:val="NoSpacing"/>
        <w:rPr>
          <w:rFonts w:ascii="Century Gothic" w:hAnsi="Century Gothic" w:cs="Times New Roman"/>
          <w:b w:val="0"/>
          <w:color w:val="auto"/>
          <w:sz w:val="22"/>
          <w:szCs w:val="22"/>
          <w:lang w:eastAsia="zh-CN"/>
        </w:rPr>
      </w:pPr>
      <w:r w:rsidRPr="008A4599">
        <w:rPr>
          <w:rFonts w:ascii="Century Gothic" w:hAnsi="Century Gothic" w:cs="Times New Roman"/>
          <w:b w:val="0"/>
          <w:color w:val="auto"/>
          <w:sz w:val="22"/>
          <w:szCs w:val="22"/>
          <w:lang w:eastAsia="zh-CN"/>
        </w:rPr>
        <w:t>None</w:t>
      </w:r>
    </w:p>
    <w:p w14:paraId="2EF26421" w14:textId="5D7D392D" w:rsidR="009176BA" w:rsidRDefault="009176BA" w:rsidP="007966B9">
      <w:pPr>
        <w:pStyle w:val="MTWHeader2"/>
        <w:rPr>
          <w:rFonts w:ascii="Century Gothic" w:hAnsi="Century Gothic" w:cs="Times New Roman"/>
          <w:sz w:val="22"/>
          <w:szCs w:val="22"/>
        </w:rPr>
      </w:pPr>
      <w:bookmarkStart w:id="92" w:name="_Toc470178831"/>
      <w:bookmarkStart w:id="93" w:name="_Toc470179735"/>
      <w:bookmarkStart w:id="94" w:name="_Toc89871155"/>
      <w:bookmarkStart w:id="95" w:name="_Hlk112754371"/>
      <w:bookmarkEnd w:id="91"/>
      <w:r>
        <w:rPr>
          <w:rFonts w:ascii="Century Gothic" w:hAnsi="Century Gothic" w:cs="Times New Roman"/>
          <w:sz w:val="22"/>
          <w:szCs w:val="22"/>
        </w:rPr>
        <w:br w:type="page"/>
      </w:r>
    </w:p>
    <w:p w14:paraId="0915387E" w14:textId="23F801A2" w:rsidR="00BE68FF" w:rsidRPr="001B7B17" w:rsidRDefault="00DE6A54" w:rsidP="007966B9">
      <w:pPr>
        <w:pStyle w:val="MTWHeader2"/>
        <w:rPr>
          <w:rFonts w:ascii="Century Gothic" w:hAnsi="Century Gothic" w:cs="Times New Roman"/>
          <w:sz w:val="22"/>
          <w:szCs w:val="22"/>
        </w:rPr>
      </w:pPr>
      <w:r w:rsidRPr="001B7B17">
        <w:rPr>
          <w:rFonts w:ascii="Century Gothic" w:hAnsi="Century Gothic"/>
          <w:sz w:val="22"/>
          <w:szCs w:val="22"/>
        </w:rPr>
        <w:lastRenderedPageBreak/>
        <mc:AlternateContent>
          <mc:Choice Requires="wps">
            <w:drawing>
              <wp:anchor distT="0" distB="0" distL="114300" distR="114300" simplePos="0" relativeHeight="251658249" behindDoc="0" locked="0" layoutInCell="1" allowOverlap="1" wp14:anchorId="182E9E8D" wp14:editId="5CA18271">
                <wp:simplePos x="0" y="0"/>
                <wp:positionH relativeFrom="margin">
                  <wp:align>right</wp:align>
                </wp:positionH>
                <wp:positionV relativeFrom="paragraph">
                  <wp:posOffset>289560</wp:posOffset>
                </wp:positionV>
                <wp:extent cx="1196340" cy="304800"/>
                <wp:effectExtent l="0" t="0" r="3810" b="0"/>
                <wp:wrapTight wrapText="bothSides">
                  <wp:wrapPolygon edited="0">
                    <wp:start x="0" y="0"/>
                    <wp:lineTo x="0" y="21600"/>
                    <wp:lineTo x="21669" y="21600"/>
                    <wp:lineTo x="21669" y="0"/>
                    <wp:lineTo x="0" y="0"/>
                  </wp:wrapPolygon>
                </wp:wrapTight>
                <wp:docPr id="474"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340" cy="304800"/>
                        </a:xfrm>
                        <a:prstGeom prst="round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AF936" w14:textId="77777777" w:rsidR="009F26DD" w:rsidRDefault="009F26DD" w:rsidP="00954509">
                            <w:pPr>
                              <w:jc w:val="center"/>
                              <w:rPr>
                                <w:b/>
                                <w:szCs w:val="20"/>
                              </w:rPr>
                            </w:pPr>
                            <w:r w:rsidRPr="004F7D1C">
                              <w:rPr>
                                <w:b/>
                                <w:szCs w:val="20"/>
                              </w:rPr>
                              <w:t>Housing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2E9E8D" id="Rectangle: Rounded Corners 75" o:spid="_x0000_s1045" style="position:absolute;margin-left:43pt;margin-top:22.8pt;width:94.2pt;height:24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" fillcolor="#b5333c [3205]" strokecolor="white [3212]" strokeweight="1pt">
                <v:stroke joinstyle="miter"/>
                <v:path arrowok="t"/>
                <v:textbox>
                  <w:txbxContent>
                    <w:p w14:paraId="5EBAF936" w14:textId="77777777" w:rsidR="009F26DD" w:rsidRDefault="009F26DD" w:rsidP="00954509">
                      <w:pPr>
                        <w:jc w:val="center"/>
                        <w:rPr>
                          <w:b/>
                          <w:szCs w:val="20"/>
                        </w:rPr>
                      </w:pPr>
                      <w:r w:rsidRPr="004F7D1C">
                        <w:rPr>
                          <w:b/>
                          <w:szCs w:val="20"/>
                        </w:rPr>
                        <w:t>Housing Choice</w:t>
                      </w:r>
                    </w:p>
                  </w:txbxContent>
                </v:textbox>
                <w10:wrap type="tight" anchorx="margin"/>
              </v:roundrect>
            </w:pict>
          </mc:Fallback>
        </mc:AlternateContent>
      </w:r>
      <w:bookmarkStart w:id="96" w:name="_Toc470178832"/>
      <w:bookmarkStart w:id="97" w:name="_Toc470179736"/>
      <w:bookmarkStart w:id="98" w:name="_Toc502307787"/>
      <w:bookmarkStart w:id="99" w:name="_Toc528927262"/>
      <w:bookmarkEnd w:id="92"/>
      <w:bookmarkEnd w:id="93"/>
      <w:r w:rsidR="00E64FFF" w:rsidRPr="001B7B17">
        <w:rPr>
          <w:rFonts w:ascii="Century Gothic" w:hAnsi="Century Gothic" w:cs="Times New Roman"/>
          <w:sz w:val="22"/>
          <w:szCs w:val="22"/>
        </w:rPr>
        <w:t>Initiative 1.7 – Tenant-Based Vouchers for Supportive Housing for the Homeless</w:t>
      </w:r>
      <w:bookmarkEnd w:id="94"/>
      <w:bookmarkEnd w:id="96"/>
      <w:bookmarkEnd w:id="97"/>
      <w:bookmarkEnd w:id="98"/>
      <w:bookmarkEnd w:id="99"/>
      <w:r w:rsidR="00E64FFF" w:rsidRPr="001B7B17">
        <w:rPr>
          <w:rFonts w:ascii="Century Gothic" w:hAnsi="Century Gothic" w:cs="Times New Roman"/>
          <w:sz w:val="22"/>
          <w:szCs w:val="22"/>
        </w:rPr>
        <w:t xml:space="preserve"> </w:t>
      </w:r>
    </w:p>
    <w:p w14:paraId="0E24E469" w14:textId="353A57C1" w:rsidR="00BE68FF" w:rsidRPr="001B7B17" w:rsidRDefault="00E64FFF" w:rsidP="00BE68FF">
      <w:pPr>
        <w:rPr>
          <w:rFonts w:ascii="Century Gothic" w:eastAsia="Calibri" w:hAnsi="Century Gothic"/>
          <w:szCs w:val="22"/>
        </w:rPr>
      </w:pPr>
      <w:r w:rsidRPr="001B7B17">
        <w:rPr>
          <w:rFonts w:ascii="Century Gothic" w:eastAsia="Calibri" w:hAnsi="Century Gothic"/>
          <w:szCs w:val="22"/>
        </w:rPr>
        <w:t xml:space="preserve">Approved in </w:t>
      </w:r>
      <w:r w:rsidR="00F360D2" w:rsidRPr="001B7B17">
        <w:rPr>
          <w:rFonts w:ascii="Century Gothic" w:eastAsia="Calibri" w:hAnsi="Century Gothic"/>
          <w:szCs w:val="22"/>
        </w:rPr>
        <w:t>FY10</w:t>
      </w:r>
      <w:r w:rsidRPr="001B7B17">
        <w:rPr>
          <w:rFonts w:ascii="Century Gothic" w:eastAsia="Calibri" w:hAnsi="Century Gothic"/>
          <w:szCs w:val="22"/>
        </w:rPr>
        <w:t xml:space="preserve"> and implemented in </w:t>
      </w:r>
      <w:r w:rsidR="00F360D2" w:rsidRPr="001B7B17">
        <w:rPr>
          <w:rFonts w:ascii="Century Gothic" w:eastAsia="Calibri" w:hAnsi="Century Gothic"/>
          <w:szCs w:val="22"/>
        </w:rPr>
        <w:t>FY11</w:t>
      </w:r>
      <w:r w:rsidR="00373E31" w:rsidRPr="001B7B17">
        <w:rPr>
          <w:rFonts w:ascii="Century Gothic" w:eastAsia="Calibri" w:hAnsi="Century Gothic"/>
          <w:szCs w:val="22"/>
        </w:rPr>
        <w:t>.</w:t>
      </w:r>
    </w:p>
    <w:p w14:paraId="385B512F" w14:textId="4540C228" w:rsidR="00954509" w:rsidRPr="001B7B17" w:rsidRDefault="00DE6A54" w:rsidP="6B711D13">
      <w:pPr>
        <w:ind w:left="7920"/>
        <w:rPr>
          <w:rStyle w:val="SubtleEmphasis"/>
          <w:rFonts w:ascii="Century Gothic" w:eastAsia="MS PGothic" w:hAnsi="Century Gothic"/>
          <w:color w:val="auto"/>
          <w:sz w:val="22"/>
          <w:szCs w:val="22"/>
        </w:rPr>
      </w:pPr>
      <w:r w:rsidRPr="001B7B17">
        <w:rPr>
          <w:rFonts w:ascii="Century Gothic" w:hAnsi="Century Gothic"/>
          <w:noProof/>
          <w:szCs w:val="22"/>
        </w:rPr>
        <mc:AlternateContent>
          <mc:Choice Requires="wps">
            <w:drawing>
              <wp:inline distT="0" distB="0" distL="0" distR="0" wp14:anchorId="241F134F" wp14:editId="7CBEF819">
                <wp:extent cx="1197610" cy="297180"/>
                <wp:effectExtent l="9525" t="9525" r="12065" b="7620"/>
                <wp:docPr id="473"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7610" cy="297180"/>
                        </a:xfrm>
                        <a:prstGeom prst="roundRect">
                          <a:avLst>
                            <a:gd name="adj" fmla="val 16667"/>
                          </a:avLst>
                        </a:prstGeom>
                        <a:solidFill>
                          <a:schemeClr val="accent2">
                            <a:lumMod val="100000"/>
                            <a:lumOff val="0"/>
                          </a:schemeClr>
                        </a:solidFill>
                        <a:ln w="12700">
                          <a:solidFill>
                            <a:schemeClr val="bg1">
                              <a:lumMod val="100000"/>
                              <a:lumOff val="0"/>
                            </a:schemeClr>
                          </a:solidFill>
                          <a:miter lim="800000"/>
                          <a:headEnd/>
                          <a:tailEnd/>
                        </a:ln>
                      </wps:spPr>
                      <wps:txbx>
                        <w:txbxContent>
                          <w:p w14:paraId="439A74B4" w14:textId="77777777" w:rsidR="009F26DD" w:rsidRDefault="009F26DD" w:rsidP="00CE3AFE">
                            <w:pPr>
                              <w:jc w:val="center"/>
                              <w:rPr>
                                <w:b/>
                                <w:szCs w:val="20"/>
                              </w:rPr>
                            </w:pPr>
                            <w:r>
                              <w:rPr>
                                <w:b/>
                                <w:szCs w:val="20"/>
                              </w:rPr>
                              <w:t xml:space="preserve">Self-Sufficiency </w:t>
                            </w:r>
                          </w:p>
                        </w:txbxContent>
                      </wps:txbx>
                      <wps:bodyPr rot="0" vert="horz" wrap="square" lIns="91440" tIns="45720" rIns="91440" bIns="45720" anchor="ctr" anchorCtr="0" upright="1">
                        <a:noAutofit/>
                      </wps:bodyPr>
                    </wps:wsp>
                  </a:graphicData>
                </a:graphic>
              </wp:inline>
            </w:drawing>
          </mc:Choice>
          <mc:Fallback>
            <w:pict>
              <v:roundrect w14:anchorId="241F134F" id="Rectangle: Rounded Corners 76" o:spid="_x0000_s1046" style="width:94.3pt;height:2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" fillcolor="#b5333c [3205]" strokecolor="white [3212]" strokeweight="1pt">
                <v:stroke joinstyle="miter"/>
                <v:path arrowok="t"/>
                <v:textbox>
                  <w:txbxContent>
                    <w:p w14:paraId="439A74B4" w14:textId="77777777" w:rsidR="009F26DD" w:rsidRDefault="009F26DD" w:rsidP="00CE3AFE">
                      <w:pPr>
                        <w:jc w:val="center"/>
                        <w:rPr>
                          <w:b/>
                          <w:szCs w:val="20"/>
                        </w:rPr>
                      </w:pPr>
                      <w:r>
                        <w:rPr>
                          <w:b/>
                          <w:szCs w:val="20"/>
                        </w:rPr>
                        <w:t xml:space="preserve">Self-Sufficiency </w:t>
                      </w:r>
                    </w:p>
                  </w:txbxContent>
                </v:textbox>
                <w10:anchorlock/>
              </v:roundrect>
            </w:pict>
          </mc:Fallback>
        </mc:AlternateContent>
      </w:r>
    </w:p>
    <w:p w14:paraId="22464507" w14:textId="16D388C0" w:rsidR="00A406EE" w:rsidRPr="001B7B17" w:rsidRDefault="05391976" w:rsidP="0E6C54AB">
      <w:pPr>
        <w:pStyle w:val="Heading4"/>
        <w:rPr>
          <w:rStyle w:val="SubtleEmphasis"/>
          <w:rFonts w:ascii="Century Gothic" w:hAnsi="Century Gothic" w:cs="Times New Roman"/>
          <w:color w:val="808080" w:themeColor="background1" w:themeShade="80"/>
          <w:sz w:val="22"/>
        </w:rPr>
      </w:pPr>
      <w:r w:rsidRPr="001B7B17">
        <w:rPr>
          <w:rStyle w:val="SubtleEmphasis"/>
          <w:rFonts w:ascii="Century Gothic" w:hAnsi="Century Gothic" w:cs="Times New Roman"/>
          <w:color w:val="808080" w:themeColor="background1" w:themeShade="80"/>
          <w:sz w:val="22"/>
        </w:rPr>
        <w:t>Description</w:t>
      </w:r>
    </w:p>
    <w:p w14:paraId="6298D22A" w14:textId="38CA19FB" w:rsidR="00A67876" w:rsidRPr="001B7B17" w:rsidRDefault="00A67876" w:rsidP="00A406EE">
      <w:pPr>
        <w:autoSpaceDE w:val="0"/>
        <w:autoSpaceDN w:val="0"/>
        <w:adjustRightInd w:val="0"/>
        <w:rPr>
          <w:rFonts w:ascii="Century Gothic" w:eastAsia="MS PGothic" w:hAnsi="Century Gothic"/>
          <w:szCs w:val="22"/>
        </w:rPr>
      </w:pPr>
    </w:p>
    <w:p w14:paraId="5478AA48" w14:textId="508487C6" w:rsidR="00E57538" w:rsidRPr="001B7B17" w:rsidRDefault="00E57538" w:rsidP="6D1A6FC4">
      <w:pPr>
        <w:autoSpaceDE w:val="0"/>
        <w:autoSpaceDN w:val="0"/>
        <w:adjustRightInd w:val="0"/>
        <w:rPr>
          <w:rFonts w:ascii="Century Gothic" w:eastAsia="Calibri" w:hAnsi="Century Gothic"/>
          <w:color w:val="000000"/>
          <w:szCs w:val="22"/>
        </w:rPr>
      </w:pPr>
      <w:r w:rsidRPr="001B7B17">
        <w:rPr>
          <w:rFonts w:ascii="Century Gothic" w:eastAsia="Calibri" w:hAnsi="Century Gothic"/>
          <w:color w:val="000000" w:themeColor="text1"/>
          <w:szCs w:val="22"/>
        </w:rPr>
        <w:t xml:space="preserve">ECC/HANH has strategically allocated housing choice voucher resources to support the goal of ending homelessness in New Haven. ECC/HANH partners with the City of New Haven, regional entities, Continuum of Care agencies (COC), shelters, transitional and permanent housing providers to identify chronically homeless individuals and families. ECC/HANH has entered </w:t>
      </w:r>
      <w:proofErr w:type="gramStart"/>
      <w:r w:rsidRPr="001B7B17">
        <w:rPr>
          <w:rFonts w:ascii="Century Gothic" w:eastAsia="Calibri" w:hAnsi="Century Gothic"/>
          <w:color w:val="000000" w:themeColor="text1"/>
          <w:szCs w:val="22"/>
        </w:rPr>
        <w:t>in</w:t>
      </w:r>
      <w:proofErr w:type="gramEnd"/>
      <w:r w:rsidRPr="001B7B17">
        <w:rPr>
          <w:rFonts w:ascii="Century Gothic" w:eastAsia="Calibri" w:hAnsi="Century Gothic"/>
          <w:color w:val="000000" w:themeColor="text1"/>
          <w:szCs w:val="22"/>
        </w:rPr>
        <w:t xml:space="preserve"> Memoranda of Understanding (MOU) with community organizations that provide housing to homeless individuals and families and supportive services. These organizations assess and prioritize referrals to ECC/HANH to provide housing vouchers to the most vulnerable and chronically homeless individuals and families.</w:t>
      </w:r>
    </w:p>
    <w:p w14:paraId="1663C741" w14:textId="508487C6" w:rsidR="003C09C2" w:rsidRPr="001B7B17" w:rsidRDefault="003C09C2" w:rsidP="00A406EE">
      <w:pPr>
        <w:autoSpaceDE w:val="0"/>
        <w:autoSpaceDN w:val="0"/>
        <w:adjustRightInd w:val="0"/>
        <w:rPr>
          <w:rFonts w:ascii="Century Gothic" w:eastAsia="Calibri" w:hAnsi="Century Gothic"/>
          <w:szCs w:val="22"/>
        </w:rPr>
      </w:pPr>
    </w:p>
    <w:p w14:paraId="73213EE2" w14:textId="5E401EFA" w:rsidR="00C05BB8" w:rsidRPr="001B7B17" w:rsidRDefault="25261C19" w:rsidP="0E6C54AB">
      <w:pPr>
        <w:rPr>
          <w:rFonts w:ascii="Century Gothic" w:eastAsia="Times New Roman" w:hAnsi="Century Gothic"/>
          <w:szCs w:val="22"/>
        </w:rPr>
      </w:pPr>
      <w:bookmarkStart w:id="100" w:name="_Hlk90568960"/>
      <w:r w:rsidRPr="001B7B17">
        <w:rPr>
          <w:rFonts w:ascii="Century Gothic" w:eastAsia="Times New Roman" w:hAnsi="Century Gothic"/>
          <w:szCs w:val="22"/>
        </w:rPr>
        <w:t xml:space="preserve">At the beginning of </w:t>
      </w:r>
      <w:r w:rsidR="00507047" w:rsidRPr="001B7B17">
        <w:rPr>
          <w:rFonts w:ascii="Century Gothic" w:eastAsia="Times New Roman" w:hAnsi="Century Gothic"/>
          <w:szCs w:val="22"/>
        </w:rPr>
        <w:t>FY24</w:t>
      </w:r>
      <w:r w:rsidRPr="001B7B17">
        <w:rPr>
          <w:rFonts w:ascii="Century Gothic" w:eastAsia="Times New Roman" w:hAnsi="Century Gothic"/>
          <w:szCs w:val="22"/>
        </w:rPr>
        <w:t xml:space="preserve">, ECC/HANH had </w:t>
      </w:r>
      <w:r w:rsidR="00C74806" w:rsidRPr="001B7B17">
        <w:rPr>
          <w:rFonts w:ascii="Century Gothic" w:eastAsia="Times New Roman" w:hAnsi="Century Gothic"/>
          <w:szCs w:val="22"/>
        </w:rPr>
        <w:t xml:space="preserve">222 </w:t>
      </w:r>
      <w:r w:rsidRPr="001B7B17">
        <w:rPr>
          <w:rFonts w:ascii="Century Gothic" w:eastAsia="Times New Roman" w:hAnsi="Century Gothic"/>
          <w:szCs w:val="22"/>
        </w:rPr>
        <w:t xml:space="preserve">tenant-based vouchers allocated to serve individuals that meet one or more of the following criteria. </w:t>
      </w:r>
    </w:p>
    <w:bookmarkEnd w:id="100"/>
    <w:p w14:paraId="5D766C18" w14:textId="508487C6" w:rsidR="00C05BB8" w:rsidRPr="001B7B17" w:rsidRDefault="00C05BB8" w:rsidP="00486062">
      <w:pPr>
        <w:pStyle w:val="ListParagraph"/>
        <w:numPr>
          <w:ilvl w:val="0"/>
          <w:numId w:val="74"/>
        </w:numPr>
        <w:spacing w:before="120" w:after="120"/>
        <w:rPr>
          <w:rFonts w:ascii="Century Gothic" w:eastAsia="Times New Roman" w:hAnsi="Century Gothic"/>
          <w:szCs w:val="22"/>
        </w:rPr>
      </w:pPr>
      <w:r w:rsidRPr="001B7B17">
        <w:rPr>
          <w:rFonts w:ascii="Century Gothic" w:eastAsia="Times New Roman" w:hAnsi="Century Gothic"/>
          <w:szCs w:val="22"/>
        </w:rPr>
        <w:t>chronically homeless</w:t>
      </w:r>
    </w:p>
    <w:p w14:paraId="231DC8A3" w14:textId="508487C6" w:rsidR="005716E3" w:rsidRPr="001B7B17" w:rsidRDefault="00B5119C" w:rsidP="00486062">
      <w:pPr>
        <w:pStyle w:val="ListParagraph"/>
        <w:numPr>
          <w:ilvl w:val="0"/>
          <w:numId w:val="74"/>
        </w:numPr>
        <w:spacing w:before="120" w:after="120"/>
        <w:rPr>
          <w:rFonts w:ascii="Century Gothic" w:eastAsia="Times New Roman" w:hAnsi="Century Gothic"/>
          <w:szCs w:val="22"/>
        </w:rPr>
      </w:pPr>
      <w:r w:rsidRPr="001B7B17">
        <w:rPr>
          <w:rFonts w:ascii="Century Gothic" w:eastAsia="Times New Roman" w:hAnsi="Century Gothic"/>
          <w:szCs w:val="22"/>
        </w:rPr>
        <w:t>h</w:t>
      </w:r>
      <w:r w:rsidR="005716E3" w:rsidRPr="001B7B17">
        <w:rPr>
          <w:rFonts w:ascii="Century Gothic" w:eastAsia="Times New Roman" w:hAnsi="Century Gothic"/>
          <w:szCs w:val="22"/>
        </w:rPr>
        <w:t>omeless families</w:t>
      </w:r>
    </w:p>
    <w:p w14:paraId="48A6C89E" w14:textId="508487C6" w:rsidR="00C05BB8" w:rsidRPr="001B7B17" w:rsidRDefault="00B5119C" w:rsidP="00486062">
      <w:pPr>
        <w:pStyle w:val="ListParagraph"/>
        <w:numPr>
          <w:ilvl w:val="0"/>
          <w:numId w:val="74"/>
        </w:numPr>
        <w:spacing w:before="120" w:after="120"/>
        <w:rPr>
          <w:rFonts w:ascii="Century Gothic" w:eastAsia="Times New Roman" w:hAnsi="Century Gothic"/>
          <w:szCs w:val="22"/>
        </w:rPr>
      </w:pPr>
      <w:r w:rsidRPr="001B7B17">
        <w:rPr>
          <w:rFonts w:ascii="Century Gothic" w:eastAsia="Times New Roman" w:hAnsi="Century Gothic"/>
          <w:szCs w:val="22"/>
        </w:rPr>
        <w:t>f</w:t>
      </w:r>
      <w:r w:rsidR="005716E3" w:rsidRPr="001B7B17">
        <w:rPr>
          <w:rFonts w:ascii="Century Gothic" w:eastAsia="Times New Roman" w:hAnsi="Century Gothic"/>
          <w:szCs w:val="22"/>
        </w:rPr>
        <w:t xml:space="preserve">amilies </w:t>
      </w:r>
      <w:r w:rsidRPr="001B7B17">
        <w:rPr>
          <w:rFonts w:ascii="Century Gothic" w:eastAsia="Times New Roman" w:hAnsi="Century Gothic"/>
          <w:szCs w:val="22"/>
        </w:rPr>
        <w:t xml:space="preserve">receiving services from Child Protective Services </w:t>
      </w:r>
      <w:r w:rsidR="005716E3" w:rsidRPr="001B7B17">
        <w:rPr>
          <w:rFonts w:ascii="Century Gothic" w:eastAsia="Times New Roman" w:hAnsi="Century Gothic"/>
          <w:szCs w:val="22"/>
        </w:rPr>
        <w:t xml:space="preserve"> </w:t>
      </w:r>
    </w:p>
    <w:p w14:paraId="4C56C547" w14:textId="77777777" w:rsidR="00065738" w:rsidRPr="001B7B17" w:rsidRDefault="0DC89322" w:rsidP="00486062">
      <w:pPr>
        <w:pStyle w:val="ListParagraph"/>
        <w:numPr>
          <w:ilvl w:val="0"/>
          <w:numId w:val="74"/>
        </w:numPr>
        <w:spacing w:before="120" w:after="120"/>
        <w:rPr>
          <w:rFonts w:ascii="Century Gothic" w:hAnsi="Century Gothic"/>
          <w:szCs w:val="22"/>
        </w:rPr>
      </w:pPr>
      <w:r w:rsidRPr="001B7B17">
        <w:rPr>
          <w:rFonts w:ascii="Century Gothic" w:eastAsia="Times New Roman" w:hAnsi="Century Gothic"/>
          <w:szCs w:val="22"/>
        </w:rPr>
        <w:t>formerly incarcerated individuals</w:t>
      </w:r>
    </w:p>
    <w:p w14:paraId="3FA01F8C" w14:textId="527FCE86" w:rsidR="00A768F3" w:rsidRPr="001B7B17" w:rsidRDefault="78F229A3" w:rsidP="0E6C54AB">
      <w:pPr>
        <w:spacing w:before="120" w:after="120"/>
        <w:rPr>
          <w:rFonts w:ascii="Century Gothic" w:eastAsia="Calibri" w:hAnsi="Century Gothic"/>
          <w:szCs w:val="22"/>
        </w:rPr>
      </w:pPr>
      <w:r w:rsidRPr="001B7B17">
        <w:rPr>
          <w:rFonts w:ascii="Century Gothic" w:eastAsia="Calibri" w:hAnsi="Century Gothic"/>
          <w:szCs w:val="22"/>
        </w:rPr>
        <w:t xml:space="preserve">8 vouchers </w:t>
      </w:r>
      <w:r w:rsidR="00D16931" w:rsidRPr="001B7B17">
        <w:rPr>
          <w:rFonts w:ascii="Century Gothic" w:eastAsia="Calibri" w:hAnsi="Century Gothic"/>
          <w:szCs w:val="22"/>
        </w:rPr>
        <w:t xml:space="preserve">were </w:t>
      </w:r>
      <w:r w:rsidR="00E13E75" w:rsidRPr="001B7B17">
        <w:rPr>
          <w:rFonts w:ascii="Century Gothic" w:eastAsia="Calibri" w:hAnsi="Century Gothic"/>
          <w:szCs w:val="22"/>
        </w:rPr>
        <w:t>removed</w:t>
      </w:r>
      <w:r w:rsidR="00D16931" w:rsidRPr="001B7B17">
        <w:rPr>
          <w:rFonts w:ascii="Century Gothic" w:eastAsia="Calibri" w:hAnsi="Century Gothic"/>
          <w:szCs w:val="22"/>
        </w:rPr>
        <w:t xml:space="preserve"> in F</w:t>
      </w:r>
      <w:r w:rsidR="00AE4759" w:rsidRPr="001B7B17">
        <w:rPr>
          <w:rFonts w:ascii="Century Gothic" w:eastAsia="Calibri" w:hAnsi="Century Gothic"/>
          <w:szCs w:val="22"/>
        </w:rPr>
        <w:t>Y2</w:t>
      </w:r>
      <w:r w:rsidR="00E13E75" w:rsidRPr="001B7B17">
        <w:rPr>
          <w:rFonts w:ascii="Century Gothic" w:eastAsia="Calibri" w:hAnsi="Century Gothic"/>
          <w:szCs w:val="22"/>
        </w:rPr>
        <w:t xml:space="preserve">4 </w:t>
      </w:r>
      <w:r w:rsidR="004E3F7C" w:rsidRPr="001B7B17">
        <w:rPr>
          <w:rFonts w:ascii="Century Gothic" w:eastAsia="Calibri" w:hAnsi="Century Gothic"/>
          <w:szCs w:val="22"/>
        </w:rPr>
        <w:t xml:space="preserve">due </w:t>
      </w:r>
      <w:r w:rsidR="000F110F" w:rsidRPr="001B7B17">
        <w:rPr>
          <w:rFonts w:ascii="Century Gothic" w:eastAsia="Calibri" w:hAnsi="Century Gothic"/>
          <w:szCs w:val="22"/>
        </w:rPr>
        <w:t>t</w:t>
      </w:r>
      <w:r w:rsidR="004E3F7C" w:rsidRPr="001B7B17">
        <w:rPr>
          <w:rFonts w:ascii="Century Gothic" w:eastAsia="Calibri" w:hAnsi="Century Gothic"/>
          <w:szCs w:val="22"/>
        </w:rPr>
        <w:t xml:space="preserve">o </w:t>
      </w:r>
      <w:r w:rsidR="00865CC6" w:rsidRPr="001B7B17">
        <w:rPr>
          <w:rFonts w:ascii="Century Gothic" w:eastAsia="Calibri" w:hAnsi="Century Gothic"/>
          <w:szCs w:val="22"/>
        </w:rPr>
        <w:t>attrition</w:t>
      </w:r>
      <w:r w:rsidR="00980A40" w:rsidRPr="001B7B17">
        <w:rPr>
          <w:rFonts w:ascii="Century Gothic" w:eastAsia="Calibri" w:hAnsi="Century Gothic"/>
          <w:szCs w:val="22"/>
        </w:rPr>
        <w:t xml:space="preserve"> </w:t>
      </w:r>
      <w:r w:rsidR="00621A62" w:rsidRPr="001B7B17">
        <w:rPr>
          <w:rFonts w:ascii="Century Gothic" w:eastAsia="Calibri" w:hAnsi="Century Gothic"/>
          <w:szCs w:val="22"/>
        </w:rPr>
        <w:t xml:space="preserve">and </w:t>
      </w:r>
      <w:r w:rsidR="0045499C" w:rsidRPr="001B7B17">
        <w:rPr>
          <w:rFonts w:ascii="Century Gothic" w:eastAsia="Calibri" w:hAnsi="Century Gothic"/>
          <w:szCs w:val="22"/>
        </w:rPr>
        <w:t xml:space="preserve">20 </w:t>
      </w:r>
      <w:r w:rsidR="008C4765" w:rsidRPr="001B7B17">
        <w:rPr>
          <w:rFonts w:ascii="Century Gothic" w:eastAsia="Calibri" w:hAnsi="Century Gothic"/>
          <w:szCs w:val="22"/>
        </w:rPr>
        <w:t>vouchers added to Supportive Housing/Homelessness</w:t>
      </w:r>
      <w:r w:rsidR="00DF22A4" w:rsidRPr="001B7B17">
        <w:rPr>
          <w:rFonts w:ascii="Century Gothic" w:eastAsia="Calibri" w:hAnsi="Century Gothic"/>
          <w:szCs w:val="22"/>
        </w:rPr>
        <w:t xml:space="preserve"> Prevention</w:t>
      </w:r>
      <w:r w:rsidR="008C4765" w:rsidRPr="001B7B17">
        <w:rPr>
          <w:rFonts w:ascii="Century Gothic" w:eastAsia="Calibri" w:hAnsi="Century Gothic"/>
          <w:szCs w:val="22"/>
        </w:rPr>
        <w:t xml:space="preserve"> </w:t>
      </w:r>
      <w:r w:rsidR="00E4001A" w:rsidRPr="001B7B17">
        <w:rPr>
          <w:rFonts w:ascii="Century Gothic" w:eastAsia="Calibri" w:hAnsi="Century Gothic"/>
          <w:szCs w:val="22"/>
        </w:rPr>
        <w:t xml:space="preserve">and </w:t>
      </w:r>
      <w:r w:rsidRPr="001B7B17">
        <w:rPr>
          <w:rFonts w:ascii="Century Gothic" w:eastAsia="Calibri" w:hAnsi="Century Gothic"/>
          <w:szCs w:val="22"/>
        </w:rPr>
        <w:t>Re-Entry Fresh Start to support homeless former offenders who are engaged with Fresh Start</w:t>
      </w:r>
      <w:r w:rsidR="00DF22A4" w:rsidRPr="001B7B17">
        <w:rPr>
          <w:rFonts w:ascii="Century Gothic" w:eastAsia="Calibri" w:hAnsi="Century Gothic"/>
          <w:szCs w:val="22"/>
        </w:rPr>
        <w:t xml:space="preserve">, for a total of 234 vouchers allocated to support </w:t>
      </w:r>
      <w:r w:rsidR="00C11570" w:rsidRPr="001B7B17">
        <w:rPr>
          <w:rFonts w:ascii="Century Gothic" w:eastAsia="Calibri" w:hAnsi="Century Gothic"/>
          <w:szCs w:val="22"/>
        </w:rPr>
        <w:t>the effort to end homelessness</w:t>
      </w:r>
      <w:r w:rsidRPr="001B7B17">
        <w:rPr>
          <w:rFonts w:ascii="Century Gothic" w:eastAsia="Calibri" w:hAnsi="Century Gothic"/>
          <w:szCs w:val="22"/>
        </w:rPr>
        <w:t>.</w:t>
      </w:r>
    </w:p>
    <w:p w14:paraId="7CEFB7EB" w14:textId="432A91BF" w:rsidR="00A768F3" w:rsidRPr="00E01BF1" w:rsidRDefault="00A768F3" w:rsidP="0E6C54AB">
      <w:pPr>
        <w:spacing w:before="120" w:after="120"/>
        <w:rPr>
          <w:rFonts w:ascii="Times New Roman" w:hAnsi="Times New Roman"/>
        </w:rPr>
        <w:sectPr w:rsidR="00A768F3" w:rsidRPr="00E01BF1" w:rsidSect="00213968">
          <w:pgSz w:w="12240" w:h="15840"/>
          <w:pgMar w:top="1152" w:right="1152" w:bottom="1152" w:left="1152" w:header="720" w:footer="720" w:gutter="0"/>
          <w:cols w:space="720"/>
          <w:titlePg/>
          <w:docGrid w:linePitch="360"/>
        </w:sectPr>
      </w:pPr>
    </w:p>
    <w:p w14:paraId="2E19FB9A" w14:textId="7DE9E4DE" w:rsidR="002541CA" w:rsidRDefault="03673595">
      <w:pPr>
        <w:spacing w:after="160" w:line="276" w:lineRule="auto"/>
        <w:rPr>
          <w:rFonts w:ascii="Century Gothic" w:hAnsi="Century Gothic"/>
        </w:rPr>
      </w:pPr>
      <w:bookmarkStart w:id="101" w:name="_Hlk90568933"/>
      <w:r w:rsidRPr="000133DB">
        <w:rPr>
          <w:rFonts w:ascii="Century Gothic" w:hAnsi="Century Gothic"/>
        </w:rPr>
        <w:lastRenderedPageBreak/>
        <w:t>The chart below details ECC/HANH’s use of housing vouchers to end homelessness in New Haven.</w:t>
      </w:r>
    </w:p>
    <w:tbl>
      <w:tblPr>
        <w:tblW w:w="10710" w:type="dxa"/>
        <w:tblBorders>
          <w:top w:val="nil"/>
          <w:left w:val="nil"/>
          <w:bottom w:val="nil"/>
          <w:right w:val="nil"/>
        </w:tblBorders>
        <w:tblLayout w:type="fixed"/>
        <w:tblLook w:val="04A0" w:firstRow="1" w:lastRow="0" w:firstColumn="1" w:lastColumn="0" w:noHBand="0" w:noVBand="1"/>
      </w:tblPr>
      <w:tblGrid>
        <w:gridCol w:w="1620"/>
        <w:gridCol w:w="1260"/>
        <w:gridCol w:w="810"/>
        <w:gridCol w:w="1080"/>
        <w:gridCol w:w="900"/>
        <w:gridCol w:w="450"/>
        <w:gridCol w:w="900"/>
        <w:gridCol w:w="720"/>
        <w:gridCol w:w="810"/>
        <w:gridCol w:w="270"/>
        <w:gridCol w:w="900"/>
        <w:gridCol w:w="990"/>
      </w:tblGrid>
      <w:tr w:rsidR="00985784" w:rsidRPr="007E4AFF" w14:paraId="7F171824" w14:textId="77777777" w:rsidTr="004B36F4">
        <w:trPr>
          <w:cantSplit/>
          <w:trHeight w:val="1350"/>
          <w:tblHeader/>
        </w:trPr>
        <w:tc>
          <w:tcPr>
            <w:tcW w:w="1620" w:type="dxa"/>
            <w:tcBorders>
              <w:top w:val="nil"/>
              <w:left w:val="nil"/>
              <w:bottom w:val="single" w:sz="24" w:space="0" w:color="B5333C" w:themeColor="accent2"/>
              <w:right w:val="single" w:sz="4" w:space="0" w:color="D9D9D9" w:themeColor="background1" w:themeShade="D9"/>
            </w:tcBorders>
            <w:shd w:val="clear" w:color="auto" w:fill="808080" w:themeFill="background1" w:themeFillShade="80"/>
            <w:vAlign w:val="bottom"/>
          </w:tcPr>
          <w:p w14:paraId="32976B16" w14:textId="77777777" w:rsidR="00985784" w:rsidRPr="00F157F7" w:rsidRDefault="00985784" w:rsidP="00356124">
            <w:pPr>
              <w:jc w:val="center"/>
              <w:rPr>
                <w:rFonts w:ascii="Century Gothic" w:eastAsia="Times New Roman" w:hAnsi="Century Gothic"/>
                <w:b/>
                <w:sz w:val="16"/>
                <w:szCs w:val="16"/>
              </w:rPr>
            </w:pPr>
            <w:r w:rsidRPr="00F157F7">
              <w:rPr>
                <w:rFonts w:ascii="Century Gothic" w:eastAsia="Times New Roman" w:hAnsi="Century Gothic"/>
                <w:b/>
                <w:sz w:val="16"/>
                <w:szCs w:val="16"/>
                <w:lang w:eastAsia="en-US"/>
              </w:rPr>
              <w:t>TBV Supportive Housing Efforts</w:t>
            </w:r>
          </w:p>
        </w:tc>
        <w:tc>
          <w:tcPr>
            <w:tcW w:w="126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bottom"/>
          </w:tcPr>
          <w:p w14:paraId="75F3F578" w14:textId="77777777" w:rsidR="00985784" w:rsidRPr="00F157F7" w:rsidRDefault="00985784" w:rsidP="00356124">
            <w:pPr>
              <w:rPr>
                <w:rFonts w:ascii="Century Gothic" w:eastAsia="Times New Roman" w:hAnsi="Century Gothic"/>
                <w:b/>
                <w:sz w:val="16"/>
                <w:szCs w:val="16"/>
              </w:rPr>
            </w:pPr>
            <w:r w:rsidRPr="00F157F7">
              <w:rPr>
                <w:rFonts w:ascii="Century Gothic" w:eastAsia="Times New Roman" w:hAnsi="Century Gothic"/>
                <w:b/>
                <w:sz w:val="16"/>
                <w:szCs w:val="16"/>
                <w:lang w:eastAsia="en-US"/>
              </w:rPr>
              <w:t>Description</w:t>
            </w:r>
          </w:p>
        </w:tc>
        <w:tc>
          <w:tcPr>
            <w:tcW w:w="81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bottom"/>
          </w:tcPr>
          <w:p w14:paraId="2B1CEB90" w14:textId="4F72B8CA" w:rsidR="00985784" w:rsidRPr="00F157F7" w:rsidRDefault="00112D9F" w:rsidP="3C3EEDA0">
            <w:pPr>
              <w:jc w:val="center"/>
              <w:rPr>
                <w:rFonts w:ascii="Century Gothic" w:eastAsia="Times New Roman" w:hAnsi="Century Gothic"/>
                <w:b/>
                <w:bCs/>
                <w:sz w:val="16"/>
                <w:szCs w:val="16"/>
              </w:rPr>
            </w:pPr>
            <w:r w:rsidRPr="00F157F7">
              <w:rPr>
                <w:rFonts w:ascii="Century Gothic" w:eastAsia="Times New Roman" w:hAnsi="Century Gothic"/>
                <w:b/>
                <w:bCs/>
                <w:sz w:val="16"/>
                <w:szCs w:val="16"/>
                <w:lang w:eastAsia="en-US"/>
              </w:rPr>
              <w:t>2024 Voucher</w:t>
            </w:r>
            <w:r w:rsidR="00985784" w:rsidRPr="00F157F7">
              <w:rPr>
                <w:rFonts w:ascii="Century Gothic" w:eastAsia="Times New Roman" w:hAnsi="Century Gothic"/>
                <w:b/>
                <w:bCs/>
                <w:sz w:val="16"/>
                <w:szCs w:val="16"/>
                <w:lang w:eastAsia="en-US"/>
              </w:rPr>
              <w:t xml:space="preserve"> Baseline</w:t>
            </w:r>
          </w:p>
        </w:tc>
        <w:tc>
          <w:tcPr>
            <w:tcW w:w="108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bottom"/>
          </w:tcPr>
          <w:p w14:paraId="0F85CD9B" w14:textId="77777777" w:rsidR="00985784" w:rsidRPr="00F157F7" w:rsidRDefault="00985784" w:rsidP="00356124">
            <w:pPr>
              <w:jc w:val="center"/>
              <w:rPr>
                <w:rFonts w:ascii="Century Gothic" w:eastAsia="Times New Roman" w:hAnsi="Century Gothic"/>
                <w:b/>
                <w:sz w:val="16"/>
                <w:szCs w:val="16"/>
              </w:rPr>
            </w:pPr>
            <w:r w:rsidRPr="00F157F7">
              <w:rPr>
                <w:rFonts w:ascii="Century Gothic" w:eastAsia="Times New Roman" w:hAnsi="Century Gothic"/>
                <w:b/>
                <w:sz w:val="16"/>
                <w:szCs w:val="16"/>
                <w:lang w:eastAsia="en-US"/>
              </w:rPr>
              <w:t>Planned Units to be Removed</w:t>
            </w:r>
          </w:p>
        </w:tc>
        <w:tc>
          <w:tcPr>
            <w:tcW w:w="90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bottom"/>
          </w:tcPr>
          <w:p w14:paraId="1B2D6211" w14:textId="77777777" w:rsidR="00985784" w:rsidRPr="00F157F7" w:rsidRDefault="00985784" w:rsidP="0D8BAA9B">
            <w:pPr>
              <w:jc w:val="center"/>
              <w:rPr>
                <w:rFonts w:ascii="Century Gothic" w:eastAsia="Times New Roman" w:hAnsi="Century Gothic"/>
                <w:b/>
                <w:bCs/>
                <w:sz w:val="16"/>
                <w:szCs w:val="16"/>
              </w:rPr>
            </w:pPr>
            <w:r w:rsidRPr="00F157F7">
              <w:rPr>
                <w:rFonts w:ascii="Century Gothic" w:eastAsia="Times New Roman" w:hAnsi="Century Gothic"/>
                <w:b/>
                <w:bCs/>
                <w:sz w:val="16"/>
                <w:szCs w:val="16"/>
                <w:lang w:eastAsia="en-US"/>
              </w:rPr>
              <w:t>Actual Units Removed</w:t>
            </w:r>
          </w:p>
        </w:tc>
        <w:tc>
          <w:tcPr>
            <w:tcW w:w="450" w:type="dxa"/>
            <w:tcBorders>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tcPr>
          <w:p w14:paraId="6AD1AA19" w14:textId="77777777" w:rsidR="00985784" w:rsidRPr="00F157F7" w:rsidRDefault="00985784" w:rsidP="00356124">
            <w:pPr>
              <w:jc w:val="center"/>
              <w:rPr>
                <w:rFonts w:ascii="Century Gothic" w:eastAsia="Times New Roman" w:hAnsi="Century Gothic"/>
                <w:b/>
                <w:sz w:val="16"/>
                <w:szCs w:val="16"/>
                <w:lang w:eastAsia="en-US"/>
              </w:rPr>
            </w:pPr>
          </w:p>
        </w:tc>
        <w:tc>
          <w:tcPr>
            <w:tcW w:w="90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bottom"/>
          </w:tcPr>
          <w:p w14:paraId="3717E6D7" w14:textId="2D27CC34" w:rsidR="00985784" w:rsidRPr="00F157F7" w:rsidRDefault="00985784" w:rsidP="00356124">
            <w:pPr>
              <w:jc w:val="center"/>
              <w:rPr>
                <w:rFonts w:ascii="Century Gothic" w:eastAsia="Times New Roman" w:hAnsi="Century Gothic"/>
                <w:b/>
                <w:sz w:val="16"/>
                <w:szCs w:val="16"/>
              </w:rPr>
            </w:pPr>
            <w:r w:rsidRPr="00F157F7">
              <w:rPr>
                <w:rFonts w:ascii="Century Gothic" w:eastAsia="Times New Roman" w:hAnsi="Century Gothic"/>
                <w:b/>
                <w:sz w:val="16"/>
                <w:szCs w:val="16"/>
                <w:lang w:eastAsia="en-US"/>
              </w:rPr>
              <w:t>Planned Units to be Added</w:t>
            </w:r>
          </w:p>
        </w:tc>
        <w:tc>
          <w:tcPr>
            <w:tcW w:w="72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bottom"/>
          </w:tcPr>
          <w:p w14:paraId="2AFF9694" w14:textId="77777777" w:rsidR="00985784" w:rsidRPr="00F157F7" w:rsidRDefault="00985784" w:rsidP="00356124">
            <w:pPr>
              <w:jc w:val="center"/>
              <w:rPr>
                <w:rFonts w:ascii="Century Gothic" w:eastAsia="Times New Roman" w:hAnsi="Century Gothic"/>
                <w:b/>
                <w:sz w:val="16"/>
                <w:szCs w:val="16"/>
              </w:rPr>
            </w:pPr>
            <w:r w:rsidRPr="00F157F7">
              <w:rPr>
                <w:rFonts w:ascii="Century Gothic" w:eastAsia="Times New Roman" w:hAnsi="Century Gothic"/>
                <w:b/>
                <w:sz w:val="16"/>
                <w:szCs w:val="16"/>
                <w:lang w:eastAsia="en-US"/>
              </w:rPr>
              <w:t>Actual Units Added</w:t>
            </w:r>
          </w:p>
        </w:tc>
        <w:tc>
          <w:tcPr>
            <w:tcW w:w="81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bottom"/>
          </w:tcPr>
          <w:p w14:paraId="2A4088C1" w14:textId="154842B9" w:rsidR="00985784" w:rsidRPr="00F157F7" w:rsidRDefault="00985784" w:rsidP="3C3EEDA0">
            <w:pPr>
              <w:jc w:val="center"/>
              <w:rPr>
                <w:rFonts w:ascii="Century Gothic" w:eastAsia="Times New Roman" w:hAnsi="Century Gothic"/>
                <w:b/>
                <w:bCs/>
                <w:sz w:val="16"/>
                <w:szCs w:val="16"/>
              </w:rPr>
            </w:pPr>
            <w:r w:rsidRPr="00F157F7">
              <w:rPr>
                <w:rFonts w:ascii="Century Gothic" w:eastAsia="Times New Roman" w:hAnsi="Century Gothic"/>
                <w:b/>
                <w:bCs/>
                <w:sz w:val="16"/>
                <w:szCs w:val="16"/>
                <w:lang w:eastAsia="en-US"/>
              </w:rPr>
              <w:t>Actual Units at end of FY 2024</w:t>
            </w:r>
          </w:p>
        </w:tc>
        <w:tc>
          <w:tcPr>
            <w:tcW w:w="270" w:type="dxa"/>
            <w:tcBorders>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tcPr>
          <w:p w14:paraId="2644A02C" w14:textId="77777777" w:rsidR="00985784" w:rsidRPr="00F157F7" w:rsidRDefault="00985784" w:rsidP="00356124">
            <w:pPr>
              <w:jc w:val="center"/>
              <w:rPr>
                <w:rFonts w:ascii="Century Gothic" w:eastAsia="Times New Roman" w:hAnsi="Century Gothic"/>
                <w:b/>
                <w:sz w:val="16"/>
                <w:szCs w:val="16"/>
                <w:lang w:eastAsia="en-US"/>
              </w:rPr>
            </w:pPr>
          </w:p>
        </w:tc>
        <w:tc>
          <w:tcPr>
            <w:tcW w:w="90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bottom"/>
          </w:tcPr>
          <w:p w14:paraId="08CB178D" w14:textId="158EE71A" w:rsidR="00985784" w:rsidRPr="00F157F7" w:rsidRDefault="00985784" w:rsidP="00356124">
            <w:pPr>
              <w:jc w:val="center"/>
              <w:rPr>
                <w:rFonts w:ascii="Century Gothic" w:eastAsia="Times New Roman" w:hAnsi="Century Gothic"/>
                <w:b/>
                <w:sz w:val="16"/>
                <w:szCs w:val="16"/>
              </w:rPr>
            </w:pPr>
            <w:r w:rsidRPr="00F157F7">
              <w:rPr>
                <w:rFonts w:ascii="Century Gothic" w:eastAsia="Times New Roman" w:hAnsi="Century Gothic"/>
                <w:b/>
                <w:sz w:val="16"/>
                <w:szCs w:val="16"/>
                <w:lang w:eastAsia="en-US"/>
              </w:rPr>
              <w:t xml:space="preserve">Actual Number of </w:t>
            </w:r>
            <w:r w:rsidRPr="00F157F7">
              <w:rPr>
                <w:rFonts w:ascii="Century Gothic" w:eastAsia="Times New Roman" w:hAnsi="Century Gothic"/>
                <w:b/>
                <w:sz w:val="16"/>
                <w:szCs w:val="16"/>
                <w:lang w:eastAsia="en-US"/>
              </w:rPr>
              <w:br/>
              <w:t>Vouchers Utilized</w:t>
            </w:r>
          </w:p>
        </w:tc>
        <w:tc>
          <w:tcPr>
            <w:tcW w:w="99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bottom"/>
          </w:tcPr>
          <w:p w14:paraId="725341FA" w14:textId="77777777" w:rsidR="00985784" w:rsidRPr="00F157F7" w:rsidRDefault="00985784" w:rsidP="003F0D12">
            <w:pPr>
              <w:rPr>
                <w:rFonts w:ascii="Century Gothic" w:eastAsia="Times New Roman" w:hAnsi="Century Gothic"/>
                <w:b/>
                <w:bCs/>
                <w:sz w:val="16"/>
                <w:szCs w:val="16"/>
              </w:rPr>
            </w:pPr>
            <w:r w:rsidRPr="00F157F7">
              <w:rPr>
                <w:rFonts w:ascii="Century Gothic" w:eastAsia="Times New Roman" w:hAnsi="Century Gothic"/>
                <w:b/>
                <w:bCs/>
                <w:sz w:val="16"/>
                <w:szCs w:val="16"/>
                <w:lang w:eastAsia="en-US"/>
              </w:rPr>
              <w:t xml:space="preserve">Percentage of </w:t>
            </w:r>
            <w:r w:rsidRPr="00F157F7">
              <w:rPr>
                <w:rFonts w:ascii="Century Gothic" w:hAnsi="Century Gothic"/>
                <w:sz w:val="16"/>
                <w:szCs w:val="16"/>
              </w:rPr>
              <w:br/>
            </w:r>
            <w:r w:rsidRPr="00F157F7">
              <w:rPr>
                <w:rFonts w:ascii="Century Gothic" w:eastAsia="Times New Roman" w:hAnsi="Century Gothic"/>
                <w:b/>
                <w:bCs/>
                <w:sz w:val="16"/>
                <w:szCs w:val="16"/>
                <w:lang w:eastAsia="en-US"/>
              </w:rPr>
              <w:t>Vouchers Utilized</w:t>
            </w:r>
          </w:p>
        </w:tc>
      </w:tr>
      <w:tr w:rsidR="00985784" w:rsidRPr="007E4AFF" w14:paraId="59158127" w14:textId="77777777" w:rsidTr="004B36F4">
        <w:trPr>
          <w:trHeight w:hRule="exact" w:val="1077"/>
        </w:trPr>
        <w:tc>
          <w:tcPr>
            <w:tcW w:w="1620"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340614E4" w14:textId="77777777" w:rsidR="00985784" w:rsidRPr="008236EE" w:rsidRDefault="00985784" w:rsidP="00356124">
            <w:pPr>
              <w:rPr>
                <w:rFonts w:ascii="Century Gothic" w:eastAsia="Times New Roman" w:hAnsi="Century Gothic"/>
                <w:sz w:val="16"/>
                <w:szCs w:val="16"/>
              </w:rPr>
            </w:pPr>
            <w:r w:rsidRPr="008236EE">
              <w:rPr>
                <w:rFonts w:ascii="Century Gothic" w:eastAsia="Times New Roman" w:hAnsi="Century Gothic"/>
                <w:sz w:val="16"/>
                <w:szCs w:val="16"/>
                <w:lang w:eastAsia="en-US"/>
              </w:rPr>
              <w:t>Tenant Based DHMAS Supportive – Housing First</w:t>
            </w:r>
          </w:p>
        </w:tc>
        <w:tc>
          <w:tcPr>
            <w:tcW w:w="126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85C3363" w14:textId="77777777" w:rsidR="00985784" w:rsidRPr="008236EE" w:rsidRDefault="00985784" w:rsidP="00356124">
            <w:pPr>
              <w:rPr>
                <w:rFonts w:ascii="Century Gothic" w:eastAsia="Times New Roman" w:hAnsi="Century Gothic"/>
                <w:sz w:val="16"/>
                <w:szCs w:val="16"/>
              </w:rPr>
            </w:pPr>
            <w:r w:rsidRPr="008236EE">
              <w:rPr>
                <w:rFonts w:ascii="Century Gothic" w:eastAsia="Times New Roman" w:hAnsi="Century Gothic"/>
                <w:sz w:val="16"/>
                <w:szCs w:val="16"/>
                <w:lang w:eastAsia="en-US"/>
              </w:rPr>
              <w:t>Supportive Housing</w:t>
            </w:r>
          </w:p>
        </w:tc>
        <w:tc>
          <w:tcPr>
            <w:tcW w:w="81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42C3E86" w14:textId="77777777" w:rsidR="00985784" w:rsidRPr="008236EE" w:rsidRDefault="00985784" w:rsidP="003F0D12">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rPr>
              <w:t>10</w:t>
            </w:r>
          </w:p>
        </w:tc>
        <w:tc>
          <w:tcPr>
            <w:tcW w:w="108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0676131" w14:textId="77777777" w:rsidR="00985784" w:rsidRPr="008236EE" w:rsidRDefault="00985784" w:rsidP="003F0D12">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0</w:t>
            </w:r>
          </w:p>
        </w:tc>
        <w:tc>
          <w:tcPr>
            <w:tcW w:w="90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908455B" w14:textId="77777777" w:rsidR="00985784" w:rsidRPr="008236EE" w:rsidRDefault="00985784" w:rsidP="003F0D12">
            <w:pPr>
              <w:autoSpaceDE w:val="0"/>
              <w:autoSpaceDN w:val="0"/>
              <w:adjustRightInd w:val="0"/>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0 </w:t>
            </w:r>
          </w:p>
        </w:tc>
        <w:tc>
          <w:tcPr>
            <w:tcW w:w="45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53FD314" w14:textId="77777777" w:rsidR="00985784" w:rsidRPr="008236EE" w:rsidRDefault="00985784" w:rsidP="003F0D12">
            <w:pPr>
              <w:autoSpaceDE w:val="0"/>
              <w:autoSpaceDN w:val="0"/>
              <w:adjustRightInd w:val="0"/>
              <w:ind w:left="886" w:hanging="886"/>
              <w:jc w:val="center"/>
              <w:rPr>
                <w:rFonts w:ascii="Century Gothic" w:eastAsia="Times New Roman" w:hAnsi="Century Gothic"/>
                <w:sz w:val="16"/>
                <w:szCs w:val="16"/>
                <w:lang w:eastAsia="en-US"/>
              </w:rPr>
            </w:pPr>
          </w:p>
        </w:tc>
        <w:tc>
          <w:tcPr>
            <w:tcW w:w="90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D598283" w14:textId="04F27A05" w:rsidR="00985784" w:rsidRPr="008236EE" w:rsidRDefault="00985784" w:rsidP="003F0D12">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0</w:t>
            </w:r>
          </w:p>
        </w:tc>
        <w:tc>
          <w:tcPr>
            <w:tcW w:w="72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DF095E2" w14:textId="77777777" w:rsidR="00985784" w:rsidRPr="008236EE" w:rsidRDefault="00985784" w:rsidP="003F0D12">
            <w:pPr>
              <w:autoSpaceDE w:val="0"/>
              <w:autoSpaceDN w:val="0"/>
              <w:adjustRightInd w:val="0"/>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0</w:t>
            </w:r>
          </w:p>
        </w:tc>
        <w:tc>
          <w:tcPr>
            <w:tcW w:w="81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1B2E514" w14:textId="77777777" w:rsidR="00985784" w:rsidRPr="008236EE" w:rsidRDefault="00985784" w:rsidP="003F0D12">
            <w:pPr>
              <w:autoSpaceDE w:val="0"/>
              <w:autoSpaceDN w:val="0"/>
              <w:adjustRightInd w:val="0"/>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10</w:t>
            </w:r>
          </w:p>
        </w:tc>
        <w:tc>
          <w:tcPr>
            <w:tcW w:w="2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5B5207B" w14:textId="77777777" w:rsidR="00985784" w:rsidRPr="008236EE" w:rsidRDefault="00985784">
            <w:pPr>
              <w:ind w:left="886" w:hanging="886"/>
              <w:jc w:val="center"/>
              <w:rPr>
                <w:rFonts w:ascii="Century Gothic" w:eastAsia="MS PGothic" w:hAnsi="Century Gothic"/>
                <w:sz w:val="16"/>
                <w:szCs w:val="16"/>
                <w:lang w:eastAsia="en-US"/>
              </w:rPr>
            </w:pPr>
          </w:p>
        </w:tc>
        <w:tc>
          <w:tcPr>
            <w:tcW w:w="90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70B1245" w14:textId="437A4BA7" w:rsidR="00985784" w:rsidRPr="008236EE" w:rsidRDefault="00985784">
            <w:pPr>
              <w:ind w:left="886" w:hanging="886"/>
              <w:jc w:val="center"/>
              <w:rPr>
                <w:rFonts w:ascii="Century Gothic" w:eastAsia="MS PGothic" w:hAnsi="Century Gothic"/>
                <w:sz w:val="16"/>
                <w:szCs w:val="16"/>
                <w:lang w:eastAsia="en-US"/>
              </w:rPr>
            </w:pPr>
            <w:r w:rsidRPr="008236EE">
              <w:rPr>
                <w:rFonts w:ascii="Century Gothic" w:eastAsia="MS PGothic" w:hAnsi="Century Gothic"/>
                <w:sz w:val="16"/>
                <w:szCs w:val="16"/>
                <w:lang w:eastAsia="en-US"/>
              </w:rPr>
              <w:t>9</w:t>
            </w:r>
          </w:p>
        </w:tc>
        <w:tc>
          <w:tcPr>
            <w:tcW w:w="99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EC8D162" w14:textId="45F8B8A5" w:rsidR="00985784" w:rsidRPr="008236EE" w:rsidRDefault="00985784" w:rsidP="5A58023C">
            <w:pPr>
              <w:ind w:left="886" w:hanging="886"/>
              <w:jc w:val="center"/>
              <w:rPr>
                <w:rFonts w:ascii="Century Gothic" w:eastAsia="Times New Roman" w:hAnsi="Century Gothic"/>
                <w:sz w:val="16"/>
                <w:szCs w:val="16"/>
                <w:lang w:eastAsia="en-US"/>
              </w:rPr>
            </w:pPr>
            <w:r w:rsidRPr="008236EE">
              <w:rPr>
                <w:rFonts w:ascii="Century Gothic" w:eastAsia="Times New Roman" w:hAnsi="Century Gothic"/>
                <w:sz w:val="16"/>
                <w:szCs w:val="16"/>
                <w:lang w:eastAsia="en-US"/>
              </w:rPr>
              <w:t>90%</w:t>
            </w:r>
          </w:p>
        </w:tc>
      </w:tr>
      <w:tr w:rsidR="00985784" w:rsidRPr="007E4AFF" w14:paraId="604E710D" w14:textId="77777777" w:rsidTr="004B36F4">
        <w:trPr>
          <w:trHeight w:hRule="exact" w:val="1027"/>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2908AC3B" w14:textId="77777777" w:rsidR="00985784" w:rsidRPr="008236EE" w:rsidRDefault="00985784" w:rsidP="00356124">
            <w:pPr>
              <w:rPr>
                <w:rFonts w:ascii="Century Gothic" w:eastAsia="Times New Roman" w:hAnsi="Century Gothic"/>
                <w:sz w:val="16"/>
                <w:szCs w:val="16"/>
              </w:rPr>
            </w:pPr>
            <w:r w:rsidRPr="008236EE">
              <w:rPr>
                <w:rFonts w:ascii="Century Gothic" w:eastAsia="Times New Roman" w:hAnsi="Century Gothic"/>
                <w:sz w:val="16"/>
                <w:szCs w:val="16"/>
                <w:lang w:eastAsia="en-US"/>
              </w:rPr>
              <w:t>DMHAS Mental Health</w:t>
            </w:r>
            <w:r w:rsidRPr="008236EE">
              <w:rPr>
                <w:rFonts w:ascii="Century Gothic" w:eastAsia="Times New Roman" w:hAnsi="Century Gothic"/>
                <w:sz w:val="16"/>
                <w:szCs w:val="16"/>
              </w:rPr>
              <w:t xml:space="preserve"> </w:t>
            </w:r>
            <w:r w:rsidRPr="008236EE">
              <w:rPr>
                <w:rFonts w:ascii="Century Gothic" w:eastAsia="Times New Roman" w:hAnsi="Century Gothic"/>
                <w:sz w:val="16"/>
                <w:szCs w:val="16"/>
                <w:lang w:eastAsia="en-US"/>
              </w:rPr>
              <w:t>Transformation Grant – FUSE</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CC41EF6" w14:textId="77777777" w:rsidR="00985784" w:rsidRPr="008236EE" w:rsidRDefault="00985784" w:rsidP="00356124">
            <w:pPr>
              <w:rPr>
                <w:rFonts w:ascii="Century Gothic" w:eastAsia="Times New Roman" w:hAnsi="Century Gothic"/>
                <w:sz w:val="16"/>
                <w:szCs w:val="16"/>
              </w:rPr>
            </w:pPr>
            <w:r w:rsidRPr="008236EE">
              <w:rPr>
                <w:rFonts w:ascii="Century Gothic" w:eastAsia="Times New Roman" w:hAnsi="Century Gothic"/>
                <w:sz w:val="16"/>
                <w:szCs w:val="16"/>
                <w:lang w:eastAsia="en-US"/>
              </w:rPr>
              <w:t>Supportive Housing</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AE4A0CE" w14:textId="77777777" w:rsidR="00985784" w:rsidRPr="008236EE" w:rsidRDefault="00985784" w:rsidP="003F0D12">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10</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FF9C5B8" w14:textId="77777777" w:rsidR="00985784" w:rsidRPr="008236EE" w:rsidRDefault="00985784" w:rsidP="003F0D12">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0</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C22F73D" w14:textId="77777777" w:rsidR="00985784" w:rsidRPr="008236EE" w:rsidRDefault="00985784" w:rsidP="003F0D12">
            <w:pPr>
              <w:autoSpaceDE w:val="0"/>
              <w:autoSpaceDN w:val="0"/>
              <w:adjustRightInd w:val="0"/>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0 </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C4059D4" w14:textId="77777777" w:rsidR="00985784" w:rsidRPr="008236EE" w:rsidRDefault="00985784" w:rsidP="003F0D12">
            <w:pPr>
              <w:autoSpaceDE w:val="0"/>
              <w:autoSpaceDN w:val="0"/>
              <w:adjustRightInd w:val="0"/>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473BF5F" w14:textId="22395360" w:rsidR="00985784" w:rsidRPr="008236EE" w:rsidRDefault="00985784" w:rsidP="003F0D12">
            <w:pPr>
              <w:autoSpaceDE w:val="0"/>
              <w:autoSpaceDN w:val="0"/>
              <w:adjustRightInd w:val="0"/>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0</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7815BAF" w14:textId="77777777" w:rsidR="00985784" w:rsidRPr="008236EE" w:rsidRDefault="00985784" w:rsidP="003F0D12">
            <w:pPr>
              <w:autoSpaceDE w:val="0"/>
              <w:autoSpaceDN w:val="0"/>
              <w:adjustRightInd w:val="0"/>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8A6F695" w14:textId="77777777" w:rsidR="00985784" w:rsidRPr="008236EE" w:rsidRDefault="00985784" w:rsidP="003F0D12">
            <w:pPr>
              <w:autoSpaceDE w:val="0"/>
              <w:autoSpaceDN w:val="0"/>
              <w:adjustRightInd w:val="0"/>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10</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04B45B4" w14:textId="77777777" w:rsidR="00985784" w:rsidRPr="008236EE" w:rsidRDefault="00985784" w:rsidP="2C805A1A">
            <w:pPr>
              <w:autoSpaceDE w:val="0"/>
              <w:autoSpaceDN w:val="0"/>
              <w:adjustRightInd w:val="0"/>
              <w:ind w:left="886" w:hanging="886"/>
              <w:jc w:val="center"/>
              <w:rPr>
                <w:rFonts w:ascii="Century Gothic" w:eastAsia="Times New Roman" w:hAnsi="Century Gothic"/>
                <w:sz w:val="16"/>
                <w:szCs w:val="16"/>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84E79D7" w14:textId="6E5A7BC6" w:rsidR="00985784" w:rsidRPr="008236EE" w:rsidRDefault="00985784" w:rsidP="2C805A1A">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rPr>
              <w:t>8</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5A4DA10" w14:textId="7F27FBCA" w:rsidR="00985784" w:rsidRPr="008236EE" w:rsidRDefault="00985784" w:rsidP="003F0D12">
            <w:pPr>
              <w:ind w:left="886" w:hanging="886"/>
              <w:jc w:val="center"/>
              <w:rPr>
                <w:rFonts w:ascii="Century Gothic" w:eastAsia="MS PGothic" w:hAnsi="Century Gothic"/>
                <w:sz w:val="16"/>
                <w:szCs w:val="16"/>
                <w:lang w:eastAsia="en-US"/>
              </w:rPr>
            </w:pPr>
            <w:r w:rsidRPr="008236EE">
              <w:rPr>
                <w:rFonts w:ascii="Century Gothic" w:eastAsia="MS PGothic" w:hAnsi="Century Gothic"/>
                <w:sz w:val="16"/>
                <w:szCs w:val="16"/>
                <w:lang w:eastAsia="en-US"/>
              </w:rPr>
              <w:t>80</w:t>
            </w:r>
          </w:p>
        </w:tc>
      </w:tr>
      <w:tr w:rsidR="00985784" w:rsidRPr="007E4AFF" w14:paraId="7F57AB05" w14:textId="77777777" w:rsidTr="004B36F4">
        <w:trPr>
          <w:trHeight w:hRule="exact" w:val="892"/>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3C53E660" w14:textId="77777777" w:rsidR="00985784" w:rsidRPr="008236EE" w:rsidRDefault="00985784" w:rsidP="00356124">
            <w:pPr>
              <w:rPr>
                <w:rFonts w:ascii="Century Gothic" w:eastAsia="Times New Roman" w:hAnsi="Century Gothic"/>
                <w:sz w:val="16"/>
                <w:szCs w:val="16"/>
              </w:rPr>
            </w:pPr>
            <w:r w:rsidRPr="008236EE">
              <w:rPr>
                <w:rFonts w:ascii="Century Gothic" w:eastAsia="Times New Roman" w:hAnsi="Century Gothic"/>
                <w:sz w:val="16"/>
                <w:szCs w:val="16"/>
                <w:lang w:eastAsia="en-US"/>
              </w:rPr>
              <w:t>Family Options – Homeless</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79B9C4DE" w14:textId="77777777" w:rsidR="00985784" w:rsidRPr="008236EE" w:rsidRDefault="00985784" w:rsidP="00356124">
            <w:pPr>
              <w:rPr>
                <w:rFonts w:ascii="Century Gothic" w:eastAsia="Times New Roman" w:hAnsi="Century Gothic"/>
                <w:sz w:val="16"/>
                <w:szCs w:val="16"/>
              </w:rPr>
            </w:pPr>
            <w:r w:rsidRPr="008236EE">
              <w:rPr>
                <w:rFonts w:ascii="Century Gothic" w:eastAsia="Times New Roman" w:hAnsi="Century Gothic"/>
                <w:sz w:val="16"/>
                <w:szCs w:val="16"/>
                <w:lang w:eastAsia="en-US"/>
              </w:rPr>
              <w:t>Supportive Housing</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6C26A3D" w14:textId="77777777" w:rsidR="00985784" w:rsidRPr="008236EE" w:rsidRDefault="00985784" w:rsidP="003F0D12">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15</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B728E16" w14:textId="044D9B7E" w:rsidR="00985784" w:rsidRPr="008236EE" w:rsidRDefault="00985784">
            <w:pPr>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 xml:space="preserve"> 7</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4C1B95D" w14:textId="73A3F148" w:rsidR="00985784" w:rsidRPr="008236EE" w:rsidRDefault="00985784" w:rsidP="003F0D12">
            <w:pPr>
              <w:autoSpaceDE w:val="0"/>
              <w:autoSpaceDN w:val="0"/>
              <w:adjustRightInd w:val="0"/>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7 </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8754B65" w14:textId="77777777" w:rsidR="00985784" w:rsidRPr="008236EE" w:rsidRDefault="00985784" w:rsidP="003F0D12">
            <w:pPr>
              <w:autoSpaceDE w:val="0"/>
              <w:autoSpaceDN w:val="0"/>
              <w:adjustRightInd w:val="0"/>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6F0D052" w14:textId="71D1CB68" w:rsidR="00985784" w:rsidRPr="008236EE" w:rsidRDefault="00985784" w:rsidP="003F0D12">
            <w:pPr>
              <w:autoSpaceDE w:val="0"/>
              <w:autoSpaceDN w:val="0"/>
              <w:adjustRightInd w:val="0"/>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0</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F74A1B9" w14:textId="77777777" w:rsidR="00985784" w:rsidRPr="008236EE" w:rsidRDefault="00985784" w:rsidP="003F0D12">
            <w:pPr>
              <w:autoSpaceDE w:val="0"/>
              <w:autoSpaceDN w:val="0"/>
              <w:adjustRightInd w:val="0"/>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86CF812" w14:textId="78CE78BF" w:rsidR="00985784" w:rsidRPr="008236EE" w:rsidRDefault="00985784">
            <w:pPr>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8</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0602F22" w14:textId="77777777" w:rsidR="00985784" w:rsidRPr="008236EE" w:rsidRDefault="00985784" w:rsidP="2C805A1A">
            <w:pPr>
              <w:autoSpaceDE w:val="0"/>
              <w:autoSpaceDN w:val="0"/>
              <w:adjustRightInd w:val="0"/>
              <w:ind w:left="886" w:hanging="886"/>
              <w:jc w:val="center"/>
              <w:rPr>
                <w:rFonts w:ascii="Century Gothic" w:eastAsia="Times New Roman" w:hAnsi="Century Gothic"/>
                <w:sz w:val="16"/>
                <w:szCs w:val="16"/>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7775976A" w14:textId="4AE3632A" w:rsidR="00985784" w:rsidRPr="008236EE" w:rsidRDefault="00985784" w:rsidP="2C805A1A">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rPr>
              <w:t>8</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753EA548" w14:textId="3BF36F7E" w:rsidR="00985784" w:rsidRPr="008236EE" w:rsidRDefault="00985784" w:rsidP="5A58023C">
            <w:pPr>
              <w:ind w:left="886" w:hanging="886"/>
              <w:jc w:val="center"/>
              <w:rPr>
                <w:rFonts w:ascii="Century Gothic" w:eastAsia="Times New Roman" w:hAnsi="Century Gothic"/>
                <w:sz w:val="16"/>
                <w:szCs w:val="16"/>
                <w:lang w:eastAsia="en-US"/>
              </w:rPr>
            </w:pPr>
            <w:r w:rsidRPr="008236EE">
              <w:rPr>
                <w:rFonts w:ascii="Century Gothic" w:eastAsia="Times New Roman" w:hAnsi="Century Gothic"/>
                <w:sz w:val="16"/>
                <w:szCs w:val="16"/>
                <w:lang w:eastAsia="en-US"/>
              </w:rPr>
              <w:t>100</w:t>
            </w:r>
          </w:p>
        </w:tc>
      </w:tr>
      <w:tr w:rsidR="00985784" w:rsidRPr="007E4AFF" w14:paraId="12B461F8" w14:textId="77777777" w:rsidTr="004B36F4">
        <w:trPr>
          <w:trHeight w:hRule="exact" w:val="460"/>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6148E65C" w14:textId="77777777" w:rsidR="00985784" w:rsidRPr="008236EE" w:rsidRDefault="00985784" w:rsidP="00356124">
            <w:pPr>
              <w:rPr>
                <w:rFonts w:ascii="Century Gothic" w:eastAsia="Times New Roman" w:hAnsi="Century Gothic"/>
                <w:sz w:val="16"/>
                <w:szCs w:val="16"/>
              </w:rPr>
            </w:pPr>
            <w:r w:rsidRPr="008236EE">
              <w:rPr>
                <w:rFonts w:ascii="Century Gothic" w:eastAsia="Times New Roman" w:hAnsi="Century Gothic"/>
                <w:sz w:val="16"/>
                <w:szCs w:val="16"/>
                <w:lang w:eastAsia="en-US"/>
              </w:rPr>
              <w:t>Permanent Enrichment</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4BA47E4" w14:textId="77777777" w:rsidR="00985784" w:rsidRPr="008236EE" w:rsidRDefault="00985784" w:rsidP="00356124">
            <w:pPr>
              <w:rPr>
                <w:rFonts w:ascii="Century Gothic" w:eastAsia="Times New Roman" w:hAnsi="Century Gothic"/>
                <w:sz w:val="16"/>
                <w:szCs w:val="16"/>
              </w:rPr>
            </w:pPr>
            <w:r w:rsidRPr="008236EE">
              <w:rPr>
                <w:rFonts w:ascii="Century Gothic" w:eastAsia="Times New Roman" w:hAnsi="Century Gothic"/>
                <w:sz w:val="16"/>
                <w:szCs w:val="16"/>
                <w:lang w:eastAsia="en-US"/>
              </w:rPr>
              <w:t>Supportive Housing</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964C1F5" w14:textId="77777777" w:rsidR="00985784" w:rsidRPr="008236EE" w:rsidRDefault="00985784" w:rsidP="003F0D12">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10</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9719C75" w14:textId="77777777" w:rsidR="00985784" w:rsidRPr="008236EE" w:rsidRDefault="00985784" w:rsidP="003F0D12">
            <w:pPr>
              <w:autoSpaceDE w:val="0"/>
              <w:autoSpaceDN w:val="0"/>
              <w:adjustRightInd w:val="0"/>
              <w:ind w:left="886" w:hanging="886"/>
              <w:jc w:val="center"/>
              <w:rPr>
                <w:rFonts w:ascii="Century Gothic" w:eastAsia="Times New Roman" w:hAnsi="Century Gothic"/>
                <w:sz w:val="16"/>
                <w:szCs w:val="16"/>
              </w:rPr>
            </w:pPr>
            <w:r w:rsidRPr="008236EE">
              <w:rPr>
                <w:rFonts w:ascii="Century Gothic" w:eastAsia="Times New Roman" w:hAnsi="Century Gothic"/>
                <w:sz w:val="16"/>
                <w:szCs w:val="16"/>
                <w:lang w:eastAsia="en-US"/>
              </w:rPr>
              <w:t>0</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68C2725" w14:textId="77777777" w:rsidR="00985784" w:rsidRPr="008236EE" w:rsidRDefault="00985784" w:rsidP="003F0D12">
            <w:pPr>
              <w:autoSpaceDE w:val="0"/>
              <w:autoSpaceDN w:val="0"/>
              <w:adjustRightInd w:val="0"/>
              <w:jc w:val="right"/>
              <w:rPr>
                <w:rFonts w:ascii="Century Gothic" w:eastAsia="Times New Roman" w:hAnsi="Century Gothic"/>
                <w:sz w:val="16"/>
                <w:szCs w:val="16"/>
              </w:rPr>
            </w:pPr>
            <w:r w:rsidRPr="008236EE">
              <w:rPr>
                <w:rFonts w:ascii="Century Gothic" w:eastAsia="Times New Roman" w:hAnsi="Century Gothic"/>
                <w:sz w:val="16"/>
                <w:szCs w:val="16"/>
                <w:lang w:eastAsia="en-US"/>
              </w:rPr>
              <w:t>0 </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DB0B567" w14:textId="77777777" w:rsidR="00985784" w:rsidRPr="008236EE" w:rsidRDefault="00985784" w:rsidP="4566E4F4">
            <w:pPr>
              <w:autoSpaceDE w:val="0"/>
              <w:autoSpaceDN w:val="0"/>
              <w:adjustRightInd w:val="0"/>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9C68CD6" w14:textId="1EAF1476" w:rsidR="00985784" w:rsidRPr="00C46840" w:rsidRDefault="00985784" w:rsidP="4566E4F4">
            <w:pPr>
              <w:autoSpaceDE w:val="0"/>
              <w:autoSpaceDN w:val="0"/>
              <w:adjustRightInd w:val="0"/>
              <w:jc w:val="center"/>
              <w:rPr>
                <w:rFonts w:ascii="Century Gothic" w:eastAsia="Times New Roman" w:hAnsi="Century Gothic"/>
                <w:sz w:val="16"/>
                <w:szCs w:val="16"/>
              </w:rPr>
            </w:pPr>
            <w:r w:rsidRPr="00C46840">
              <w:rPr>
                <w:rFonts w:ascii="Century Gothic" w:eastAsia="Times New Roman" w:hAnsi="Century Gothic"/>
                <w:sz w:val="16"/>
                <w:szCs w:val="16"/>
                <w:lang w:eastAsia="en-US"/>
              </w:rPr>
              <w:t>0</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115B1C7" w14:textId="77777777" w:rsidR="00985784" w:rsidRPr="00C46840" w:rsidRDefault="00985784" w:rsidP="003F0D12">
            <w:pPr>
              <w:autoSpaceDE w:val="0"/>
              <w:autoSpaceDN w:val="0"/>
              <w:adjustRightInd w:val="0"/>
              <w:jc w:val="right"/>
              <w:rPr>
                <w:rFonts w:ascii="Century Gothic" w:eastAsia="Times New Roman" w:hAnsi="Century Gothic"/>
                <w:sz w:val="16"/>
                <w:szCs w:val="16"/>
              </w:rPr>
            </w:pPr>
            <w:r w:rsidRPr="00C46840">
              <w:rPr>
                <w:rFonts w:ascii="Century Gothic" w:eastAsia="Times New Roman" w:hAnsi="Century Gothic"/>
                <w:sz w:val="16"/>
                <w:szCs w:val="16"/>
                <w:lang w:eastAsia="en-US"/>
              </w:rPr>
              <w:t>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851F66F" w14:textId="77777777" w:rsidR="00985784" w:rsidRPr="00C46840" w:rsidRDefault="00985784" w:rsidP="003F0D12">
            <w:pPr>
              <w:autoSpaceDE w:val="0"/>
              <w:autoSpaceDN w:val="0"/>
              <w:adjustRightInd w:val="0"/>
              <w:jc w:val="right"/>
              <w:rPr>
                <w:rFonts w:ascii="Century Gothic" w:eastAsia="Times New Roman" w:hAnsi="Century Gothic"/>
                <w:sz w:val="16"/>
                <w:szCs w:val="16"/>
              </w:rPr>
            </w:pPr>
            <w:r w:rsidRPr="00C46840">
              <w:rPr>
                <w:rFonts w:ascii="Century Gothic" w:eastAsia="Times New Roman" w:hAnsi="Century Gothic"/>
                <w:sz w:val="16"/>
                <w:szCs w:val="16"/>
                <w:lang w:eastAsia="en-US"/>
              </w:rPr>
              <w:t>10</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54EFDD6" w14:textId="77777777" w:rsidR="00985784" w:rsidRPr="008236EE" w:rsidRDefault="00985784" w:rsidP="5A58023C">
            <w:pPr>
              <w:ind w:left="886" w:hanging="886"/>
              <w:jc w:val="center"/>
              <w:rPr>
                <w:rFonts w:ascii="Century Gothic" w:eastAsia="MS PGothic" w:hAnsi="Century Gothic"/>
                <w:sz w:val="16"/>
                <w:szCs w:val="16"/>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B67E3AE" w14:textId="5853E397" w:rsidR="00985784" w:rsidRPr="00C46840" w:rsidRDefault="00985784" w:rsidP="5A58023C">
            <w:pPr>
              <w:ind w:left="886" w:hanging="886"/>
              <w:jc w:val="center"/>
              <w:rPr>
                <w:rFonts w:ascii="Century Gothic" w:eastAsia="MS PGothic" w:hAnsi="Century Gothic"/>
                <w:sz w:val="16"/>
                <w:szCs w:val="16"/>
              </w:rPr>
            </w:pPr>
            <w:r w:rsidRPr="00C46840">
              <w:rPr>
                <w:rFonts w:ascii="Century Gothic" w:eastAsia="MS PGothic" w:hAnsi="Century Gothic"/>
                <w:sz w:val="16"/>
                <w:szCs w:val="16"/>
              </w:rPr>
              <w:t>8</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B965E82" w14:textId="770E0FA5" w:rsidR="00985784" w:rsidRPr="00C46840" w:rsidRDefault="00985784" w:rsidP="5A58023C">
            <w:pPr>
              <w:autoSpaceDE w:val="0"/>
              <w:autoSpaceDN w:val="0"/>
              <w:adjustRightInd w:val="0"/>
              <w:ind w:left="886" w:hanging="886"/>
              <w:jc w:val="center"/>
              <w:rPr>
                <w:rFonts w:ascii="Century Gothic" w:eastAsia="Times New Roman" w:hAnsi="Century Gothic"/>
                <w:sz w:val="16"/>
                <w:szCs w:val="16"/>
                <w:lang w:eastAsia="en-US"/>
              </w:rPr>
            </w:pPr>
            <w:r w:rsidRPr="00C46840">
              <w:rPr>
                <w:rFonts w:ascii="Century Gothic" w:eastAsia="Times New Roman" w:hAnsi="Century Gothic"/>
                <w:sz w:val="16"/>
                <w:szCs w:val="16"/>
                <w:lang w:eastAsia="en-US"/>
              </w:rPr>
              <w:t>80%</w:t>
            </w:r>
          </w:p>
        </w:tc>
      </w:tr>
      <w:tr w:rsidR="00985784" w:rsidRPr="007E4AFF" w14:paraId="6DE32FCC" w14:textId="77777777" w:rsidTr="004B36F4">
        <w:trPr>
          <w:trHeight w:hRule="exact" w:val="685"/>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2D57DF5D" w14:textId="7D348D5D" w:rsidR="00985784" w:rsidRPr="00C46840" w:rsidRDefault="00985784" w:rsidP="00356124">
            <w:pPr>
              <w:rPr>
                <w:rFonts w:ascii="Century Gothic" w:eastAsia="Times New Roman" w:hAnsi="Century Gothic"/>
                <w:sz w:val="16"/>
                <w:szCs w:val="16"/>
                <w:lang w:eastAsia="en-US"/>
              </w:rPr>
            </w:pPr>
            <w:r w:rsidRPr="00C46840">
              <w:rPr>
                <w:rFonts w:ascii="Century Gothic" w:eastAsia="Times New Roman" w:hAnsi="Century Gothic"/>
                <w:sz w:val="16"/>
                <w:szCs w:val="16"/>
                <w:lang w:eastAsia="en-US"/>
              </w:rPr>
              <w:t>Foreclosure Protection</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F20ACA2" w14:textId="14FDA6FC" w:rsidR="00985784" w:rsidRPr="00C46840" w:rsidRDefault="00985784" w:rsidP="00356124">
            <w:pPr>
              <w:rPr>
                <w:rFonts w:ascii="Century Gothic" w:eastAsia="Times New Roman" w:hAnsi="Century Gothic"/>
                <w:sz w:val="16"/>
                <w:szCs w:val="16"/>
                <w:lang w:eastAsia="en-US"/>
              </w:rPr>
            </w:pPr>
            <w:r w:rsidRPr="00C46840">
              <w:rPr>
                <w:rFonts w:ascii="Century Gothic" w:eastAsia="Times New Roman" w:hAnsi="Century Gothic"/>
                <w:sz w:val="16"/>
                <w:szCs w:val="16"/>
                <w:lang w:eastAsia="en-US"/>
              </w:rPr>
              <w:t>Foreclosure Protection</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38B7F05" w14:textId="6EAEEA96" w:rsidR="00985784" w:rsidRPr="00C46840" w:rsidRDefault="00985784">
            <w:pPr>
              <w:ind w:left="886" w:hanging="886"/>
              <w:jc w:val="center"/>
              <w:rPr>
                <w:rFonts w:ascii="Century Gothic" w:eastAsia="Times New Roman" w:hAnsi="Century Gothic"/>
                <w:sz w:val="16"/>
                <w:szCs w:val="16"/>
              </w:rPr>
            </w:pPr>
            <w:r w:rsidRPr="00C46840">
              <w:rPr>
                <w:rFonts w:ascii="Century Gothic" w:eastAsia="Times New Roman" w:hAnsi="Century Gothic"/>
                <w:sz w:val="16"/>
                <w:szCs w:val="16"/>
                <w:lang w:eastAsia="en-US"/>
              </w:rPr>
              <w:t>15</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994B72F" w14:textId="5FDC7594" w:rsidR="00985784" w:rsidRPr="00C46840" w:rsidRDefault="00985784">
            <w:pPr>
              <w:ind w:left="886" w:hanging="886"/>
              <w:jc w:val="center"/>
              <w:rPr>
                <w:rFonts w:ascii="Century Gothic" w:eastAsia="Times New Roman" w:hAnsi="Century Gothic"/>
                <w:sz w:val="16"/>
                <w:szCs w:val="16"/>
              </w:rPr>
            </w:pPr>
            <w:r w:rsidRPr="00C46840">
              <w:rPr>
                <w:rFonts w:ascii="Century Gothic" w:eastAsia="Times New Roman" w:hAnsi="Century Gothic"/>
                <w:sz w:val="16"/>
                <w:szCs w:val="16"/>
                <w:lang w:eastAsia="en-US"/>
              </w:rPr>
              <w:t>3</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9447425" w14:textId="33F79B33" w:rsidR="00985784" w:rsidRPr="00C46840" w:rsidRDefault="00985784" w:rsidP="003F0D12">
            <w:pPr>
              <w:autoSpaceDE w:val="0"/>
              <w:autoSpaceDN w:val="0"/>
              <w:adjustRightInd w:val="0"/>
              <w:jc w:val="right"/>
              <w:rPr>
                <w:rFonts w:ascii="Century Gothic" w:eastAsia="Times New Roman" w:hAnsi="Century Gothic"/>
                <w:sz w:val="16"/>
                <w:szCs w:val="16"/>
                <w:lang w:eastAsia="en-US"/>
              </w:rPr>
            </w:pPr>
            <w:r w:rsidRPr="00C46840">
              <w:rPr>
                <w:rFonts w:ascii="Century Gothic" w:eastAsia="Times New Roman" w:hAnsi="Century Gothic"/>
                <w:sz w:val="16"/>
                <w:szCs w:val="16"/>
                <w:lang w:eastAsia="en-US"/>
              </w:rPr>
              <w:t>1</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BC29DB5" w14:textId="77777777" w:rsidR="00985784" w:rsidRPr="00C46840" w:rsidRDefault="00985784" w:rsidP="003F0D12">
            <w:pPr>
              <w:autoSpaceDE w:val="0"/>
              <w:autoSpaceDN w:val="0"/>
              <w:adjustRightInd w:val="0"/>
              <w:ind w:left="886" w:hanging="886"/>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22882C4" w14:textId="5E083413" w:rsidR="00985784" w:rsidRPr="00C46840" w:rsidRDefault="00985784" w:rsidP="003F0D12">
            <w:pPr>
              <w:autoSpaceDE w:val="0"/>
              <w:autoSpaceDN w:val="0"/>
              <w:adjustRightInd w:val="0"/>
              <w:ind w:left="886" w:hanging="886"/>
              <w:jc w:val="center"/>
              <w:rPr>
                <w:rFonts w:ascii="Century Gothic" w:eastAsia="Times New Roman" w:hAnsi="Century Gothic"/>
                <w:sz w:val="16"/>
                <w:szCs w:val="16"/>
                <w:lang w:eastAsia="en-US"/>
              </w:rPr>
            </w:pPr>
            <w:r w:rsidRPr="00C46840">
              <w:rPr>
                <w:rFonts w:ascii="Century Gothic" w:eastAsia="Times New Roman" w:hAnsi="Century Gothic"/>
                <w:sz w:val="16"/>
                <w:szCs w:val="16"/>
                <w:lang w:eastAsia="en-US"/>
              </w:rPr>
              <w:t>0</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72D4C15" w14:textId="7454D788" w:rsidR="00985784" w:rsidRPr="00C46840" w:rsidRDefault="00985784" w:rsidP="003F0D12">
            <w:pPr>
              <w:autoSpaceDE w:val="0"/>
              <w:autoSpaceDN w:val="0"/>
              <w:adjustRightInd w:val="0"/>
              <w:jc w:val="right"/>
              <w:rPr>
                <w:rFonts w:ascii="Century Gothic" w:eastAsia="Times New Roman" w:hAnsi="Century Gothic"/>
                <w:sz w:val="16"/>
                <w:szCs w:val="16"/>
                <w:lang w:eastAsia="en-US"/>
              </w:rPr>
            </w:pPr>
            <w:r w:rsidRPr="00C46840">
              <w:rPr>
                <w:rFonts w:ascii="Century Gothic" w:eastAsia="Times New Roman" w:hAnsi="Century Gothic"/>
                <w:sz w:val="16"/>
                <w:szCs w:val="16"/>
                <w:lang w:eastAsia="en-US"/>
              </w:rPr>
              <w:t>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FCC81EA" w14:textId="10F2E614" w:rsidR="00985784" w:rsidRPr="00C46840" w:rsidRDefault="00985784" w:rsidP="003F0D12">
            <w:pPr>
              <w:autoSpaceDE w:val="0"/>
              <w:autoSpaceDN w:val="0"/>
              <w:adjustRightInd w:val="0"/>
              <w:jc w:val="right"/>
              <w:rPr>
                <w:rFonts w:ascii="Century Gothic" w:eastAsia="Times New Roman" w:hAnsi="Century Gothic"/>
                <w:sz w:val="16"/>
                <w:szCs w:val="16"/>
                <w:lang w:eastAsia="en-US"/>
              </w:rPr>
            </w:pPr>
            <w:r w:rsidRPr="00C46840">
              <w:rPr>
                <w:rFonts w:ascii="Century Gothic" w:eastAsia="Times New Roman" w:hAnsi="Century Gothic"/>
                <w:sz w:val="16"/>
                <w:szCs w:val="16"/>
                <w:lang w:eastAsia="en-US"/>
              </w:rPr>
              <w:t>14</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A0E88F2" w14:textId="77777777" w:rsidR="00985784" w:rsidRPr="00C46840" w:rsidRDefault="00985784" w:rsidP="003F0D12">
            <w:pPr>
              <w:ind w:left="886" w:hanging="886"/>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3A0E85E" w14:textId="618BC4EC" w:rsidR="00985784" w:rsidRPr="00C46840" w:rsidRDefault="00985784" w:rsidP="003F0D12">
            <w:pPr>
              <w:ind w:left="886" w:hanging="886"/>
              <w:jc w:val="center"/>
              <w:rPr>
                <w:rFonts w:ascii="Century Gothic" w:eastAsia="Times New Roman" w:hAnsi="Century Gothic"/>
                <w:sz w:val="16"/>
                <w:szCs w:val="16"/>
                <w:lang w:eastAsia="en-US"/>
              </w:rPr>
            </w:pPr>
            <w:r w:rsidRPr="00C46840">
              <w:rPr>
                <w:rFonts w:ascii="Century Gothic" w:eastAsia="Times New Roman" w:hAnsi="Century Gothic"/>
                <w:sz w:val="16"/>
                <w:szCs w:val="16"/>
                <w:lang w:eastAsia="en-US"/>
              </w:rPr>
              <w:t>14</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EFF2961" w14:textId="22EAFAA7" w:rsidR="00985784" w:rsidRPr="00C46840" w:rsidRDefault="00985784" w:rsidP="003F0D12">
            <w:pPr>
              <w:ind w:left="886" w:hanging="886"/>
              <w:jc w:val="center"/>
              <w:rPr>
                <w:rFonts w:ascii="Century Gothic" w:eastAsia="Times New Roman" w:hAnsi="Century Gothic"/>
                <w:sz w:val="16"/>
                <w:szCs w:val="16"/>
                <w:lang w:eastAsia="en-US"/>
              </w:rPr>
            </w:pPr>
            <w:r w:rsidRPr="00C46840">
              <w:rPr>
                <w:rFonts w:ascii="Century Gothic" w:eastAsia="Times New Roman" w:hAnsi="Century Gothic"/>
                <w:sz w:val="16"/>
                <w:szCs w:val="16"/>
                <w:lang w:eastAsia="en-US"/>
              </w:rPr>
              <w:t>100%</w:t>
            </w:r>
          </w:p>
        </w:tc>
      </w:tr>
      <w:tr w:rsidR="00985784" w:rsidRPr="007E4AFF" w14:paraId="30273522" w14:textId="77777777" w:rsidTr="004B36F4">
        <w:trPr>
          <w:trHeight w:hRule="exact" w:val="685"/>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2D1F182C" w14:textId="77777777" w:rsidR="00985784" w:rsidRPr="00E320D5" w:rsidRDefault="00985784" w:rsidP="00356124">
            <w:pPr>
              <w:rPr>
                <w:rFonts w:ascii="Century Gothic" w:eastAsia="Times New Roman" w:hAnsi="Century Gothic"/>
                <w:sz w:val="16"/>
                <w:szCs w:val="16"/>
              </w:rPr>
            </w:pPr>
            <w:r w:rsidRPr="00E320D5">
              <w:rPr>
                <w:rFonts w:ascii="Century Gothic" w:eastAsia="Times New Roman" w:hAnsi="Century Gothic"/>
                <w:sz w:val="16"/>
                <w:szCs w:val="16"/>
                <w:lang w:eastAsia="en-US"/>
              </w:rPr>
              <w:t>Family Unification Supportive Housing</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CEF28DA" w14:textId="77777777" w:rsidR="00985784" w:rsidRPr="00E320D5" w:rsidRDefault="00985784" w:rsidP="00356124">
            <w:pPr>
              <w:rPr>
                <w:rFonts w:ascii="Century Gothic" w:eastAsia="Times New Roman" w:hAnsi="Century Gothic"/>
                <w:sz w:val="16"/>
                <w:szCs w:val="16"/>
              </w:rPr>
            </w:pPr>
            <w:r w:rsidRPr="00E320D5">
              <w:rPr>
                <w:rFonts w:ascii="Century Gothic" w:eastAsia="Times New Roman" w:hAnsi="Century Gothic"/>
                <w:sz w:val="16"/>
                <w:szCs w:val="16"/>
                <w:lang w:eastAsia="en-US"/>
              </w:rPr>
              <w:t>DCF Family</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DFEF702" w14:textId="77777777"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lang w:eastAsia="en-US"/>
              </w:rPr>
              <w:t>20</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956C9F6" w14:textId="77777777"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lang w:eastAsia="en-US"/>
              </w:rPr>
              <w:t>0</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718ED215" w14:textId="77777777" w:rsidR="00985784" w:rsidRPr="00E320D5" w:rsidRDefault="00985784" w:rsidP="003F0D12">
            <w:pPr>
              <w:autoSpaceDE w:val="0"/>
              <w:autoSpaceDN w:val="0"/>
              <w:adjustRightInd w:val="0"/>
              <w:jc w:val="right"/>
              <w:rPr>
                <w:rFonts w:ascii="Century Gothic" w:eastAsia="Times New Roman" w:hAnsi="Century Gothic"/>
                <w:sz w:val="16"/>
                <w:szCs w:val="16"/>
              </w:rPr>
            </w:pPr>
            <w:r w:rsidRPr="00E320D5">
              <w:rPr>
                <w:rFonts w:ascii="Century Gothic" w:eastAsia="Times New Roman" w:hAnsi="Century Gothic"/>
                <w:sz w:val="16"/>
                <w:szCs w:val="16"/>
                <w:lang w:eastAsia="en-US"/>
              </w:rPr>
              <w:t>0 </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24F58E4" w14:textId="77777777"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F1E692A" w14:textId="2014A01E"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lang w:eastAsia="en-US"/>
              </w:rPr>
              <w:t>0</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CB53BB7" w14:textId="77777777" w:rsidR="00985784" w:rsidRPr="00E320D5" w:rsidRDefault="00985784" w:rsidP="003F0D12">
            <w:pPr>
              <w:autoSpaceDE w:val="0"/>
              <w:autoSpaceDN w:val="0"/>
              <w:adjustRightInd w:val="0"/>
              <w:jc w:val="right"/>
              <w:rPr>
                <w:rFonts w:ascii="Century Gothic" w:eastAsia="Times New Roman" w:hAnsi="Century Gothic"/>
                <w:sz w:val="16"/>
                <w:szCs w:val="16"/>
              </w:rPr>
            </w:pPr>
            <w:r w:rsidRPr="00E320D5">
              <w:rPr>
                <w:rFonts w:ascii="Century Gothic" w:eastAsia="Times New Roman" w:hAnsi="Century Gothic"/>
                <w:sz w:val="16"/>
                <w:szCs w:val="16"/>
                <w:lang w:eastAsia="en-US"/>
              </w:rPr>
              <w:t>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FC08B95" w14:textId="77777777" w:rsidR="00985784" w:rsidRPr="00E320D5" w:rsidRDefault="00985784" w:rsidP="003F0D12">
            <w:pPr>
              <w:autoSpaceDE w:val="0"/>
              <w:autoSpaceDN w:val="0"/>
              <w:adjustRightInd w:val="0"/>
              <w:jc w:val="right"/>
              <w:rPr>
                <w:rFonts w:ascii="Century Gothic" w:eastAsia="Times New Roman" w:hAnsi="Century Gothic"/>
                <w:sz w:val="16"/>
                <w:szCs w:val="16"/>
              </w:rPr>
            </w:pPr>
            <w:r w:rsidRPr="00E320D5">
              <w:rPr>
                <w:rFonts w:ascii="Century Gothic" w:eastAsia="Times New Roman" w:hAnsi="Century Gothic"/>
                <w:sz w:val="16"/>
                <w:szCs w:val="16"/>
                <w:lang w:eastAsia="en-US"/>
              </w:rPr>
              <w:t>20</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D8C0F5C" w14:textId="77777777" w:rsidR="00985784" w:rsidRPr="00E320D5" w:rsidRDefault="00985784" w:rsidP="003F0D12">
            <w:pPr>
              <w:ind w:left="886" w:hanging="886"/>
              <w:jc w:val="center"/>
              <w:rPr>
                <w:rFonts w:ascii="Century Gothic" w:eastAsia="MS PGothic"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8B7C47F" w14:textId="2783FCF5" w:rsidR="00985784" w:rsidRPr="00E320D5" w:rsidRDefault="00985784" w:rsidP="003F0D12">
            <w:pPr>
              <w:ind w:left="886" w:hanging="886"/>
              <w:jc w:val="center"/>
              <w:rPr>
                <w:rFonts w:ascii="Century Gothic" w:eastAsia="MS PGothic" w:hAnsi="Century Gothic"/>
                <w:sz w:val="16"/>
                <w:szCs w:val="16"/>
                <w:lang w:eastAsia="en-US"/>
              </w:rPr>
            </w:pPr>
            <w:r w:rsidRPr="00E320D5">
              <w:rPr>
                <w:rFonts w:ascii="Century Gothic" w:eastAsia="MS PGothic" w:hAnsi="Century Gothic"/>
                <w:sz w:val="16"/>
                <w:szCs w:val="16"/>
                <w:lang w:eastAsia="en-US"/>
              </w:rPr>
              <w:t>19</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CFA0F3B" w14:textId="16281E27" w:rsidR="00985784" w:rsidRPr="00E320D5" w:rsidRDefault="00985784" w:rsidP="5A58023C">
            <w:pPr>
              <w:ind w:left="886" w:hanging="886"/>
              <w:jc w:val="center"/>
              <w:rPr>
                <w:rFonts w:ascii="Century Gothic" w:eastAsia="Times New Roman" w:hAnsi="Century Gothic"/>
                <w:sz w:val="16"/>
                <w:szCs w:val="16"/>
                <w:lang w:eastAsia="en-US"/>
              </w:rPr>
            </w:pPr>
            <w:r w:rsidRPr="00E320D5">
              <w:rPr>
                <w:rFonts w:ascii="Century Gothic" w:eastAsia="Times New Roman" w:hAnsi="Century Gothic"/>
                <w:sz w:val="16"/>
                <w:szCs w:val="16"/>
                <w:lang w:eastAsia="en-US"/>
              </w:rPr>
              <w:t>95%</w:t>
            </w:r>
          </w:p>
        </w:tc>
      </w:tr>
      <w:tr w:rsidR="00985784" w:rsidRPr="007E4AFF" w14:paraId="6C15D5E8" w14:textId="77777777" w:rsidTr="004B36F4">
        <w:trPr>
          <w:trHeight w:val="1065"/>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6B2E2600" w14:textId="77777777" w:rsidR="00985784" w:rsidRPr="00E320D5" w:rsidRDefault="00985784" w:rsidP="00356124">
            <w:pPr>
              <w:rPr>
                <w:rFonts w:ascii="Century Gothic" w:eastAsia="Times New Roman" w:hAnsi="Century Gothic"/>
                <w:sz w:val="16"/>
                <w:szCs w:val="16"/>
              </w:rPr>
            </w:pPr>
            <w:r w:rsidRPr="00E320D5">
              <w:rPr>
                <w:rFonts w:ascii="Century Gothic" w:eastAsia="Times New Roman" w:hAnsi="Century Gothic"/>
                <w:sz w:val="16"/>
                <w:szCs w:val="16"/>
                <w:lang w:eastAsia="en-US"/>
              </w:rPr>
              <w:t>Homelessness/Imminent Danger of Homelessness</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474C73B" w14:textId="77777777" w:rsidR="00985784" w:rsidRPr="00E320D5" w:rsidRDefault="00985784" w:rsidP="00356124">
            <w:pPr>
              <w:rPr>
                <w:rFonts w:ascii="Century Gothic" w:eastAsia="Times New Roman" w:hAnsi="Century Gothic"/>
                <w:sz w:val="16"/>
                <w:szCs w:val="16"/>
              </w:rPr>
            </w:pPr>
            <w:r w:rsidRPr="00E320D5">
              <w:rPr>
                <w:rFonts w:ascii="Century Gothic" w:eastAsia="Times New Roman" w:hAnsi="Century Gothic"/>
                <w:sz w:val="16"/>
                <w:szCs w:val="16"/>
                <w:lang w:eastAsia="en-US"/>
              </w:rPr>
              <w:t>(Formerly Foreclosure PBV)</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F0C1EBD" w14:textId="77777777"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lang w:eastAsia="en-US"/>
              </w:rPr>
              <w:t>40</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F041F9D" w14:textId="77777777"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lang w:eastAsia="en-US"/>
              </w:rPr>
              <w:t>0</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C3D93B1" w14:textId="2672DC92" w:rsidR="00985784" w:rsidRPr="00E320D5" w:rsidRDefault="00985784" w:rsidP="003F0D12">
            <w:pPr>
              <w:jc w:val="right"/>
              <w:rPr>
                <w:rFonts w:ascii="Century Gothic" w:eastAsia="MS PGothic" w:hAnsi="Century Gothic"/>
                <w:sz w:val="16"/>
                <w:szCs w:val="16"/>
              </w:rPr>
            </w:pPr>
            <w:r w:rsidRPr="00E320D5">
              <w:rPr>
                <w:rFonts w:ascii="Century Gothic" w:eastAsia="Times New Roman" w:hAnsi="Century Gothic"/>
                <w:sz w:val="16"/>
                <w:szCs w:val="16"/>
                <w:lang w:eastAsia="en-US"/>
              </w:rPr>
              <w:t>0</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9E4602C" w14:textId="77777777"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157B5FC" w14:textId="6E24191D"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lang w:eastAsia="en-US"/>
              </w:rPr>
              <w:t>0</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CED3F5E" w14:textId="77777777" w:rsidR="00985784" w:rsidRPr="00E320D5" w:rsidRDefault="00985784" w:rsidP="003F0D12">
            <w:pPr>
              <w:autoSpaceDE w:val="0"/>
              <w:autoSpaceDN w:val="0"/>
              <w:adjustRightInd w:val="0"/>
              <w:jc w:val="right"/>
              <w:rPr>
                <w:rFonts w:ascii="Century Gothic" w:eastAsia="Times New Roman" w:hAnsi="Century Gothic"/>
                <w:sz w:val="16"/>
                <w:szCs w:val="16"/>
              </w:rPr>
            </w:pPr>
            <w:r w:rsidRPr="00E320D5">
              <w:rPr>
                <w:rFonts w:ascii="Century Gothic" w:eastAsia="Times New Roman" w:hAnsi="Century Gothic"/>
                <w:sz w:val="16"/>
                <w:szCs w:val="16"/>
                <w:lang w:eastAsia="en-US"/>
              </w:rPr>
              <w:t>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4A4C32E" w14:textId="77777777" w:rsidR="00985784" w:rsidRPr="00E320D5" w:rsidRDefault="00985784" w:rsidP="003F0D12">
            <w:pPr>
              <w:autoSpaceDE w:val="0"/>
              <w:autoSpaceDN w:val="0"/>
              <w:adjustRightInd w:val="0"/>
              <w:jc w:val="right"/>
              <w:rPr>
                <w:rFonts w:ascii="Century Gothic" w:eastAsia="Times New Roman" w:hAnsi="Century Gothic"/>
                <w:sz w:val="16"/>
                <w:szCs w:val="16"/>
              </w:rPr>
            </w:pPr>
            <w:r w:rsidRPr="00E320D5">
              <w:rPr>
                <w:rFonts w:ascii="Century Gothic" w:eastAsia="Times New Roman" w:hAnsi="Century Gothic"/>
                <w:sz w:val="16"/>
                <w:szCs w:val="16"/>
                <w:lang w:eastAsia="en-US"/>
              </w:rPr>
              <w:t>40</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D3B54A0" w14:textId="77777777" w:rsidR="00985784" w:rsidRPr="00E320D5" w:rsidRDefault="00985784" w:rsidP="2C805A1A">
            <w:pPr>
              <w:autoSpaceDE w:val="0"/>
              <w:autoSpaceDN w:val="0"/>
              <w:adjustRightInd w:val="0"/>
              <w:ind w:left="886" w:hanging="886"/>
              <w:jc w:val="center"/>
              <w:rPr>
                <w:rFonts w:ascii="Century Gothic" w:eastAsia="Times New Roman" w:hAnsi="Century Gothic"/>
                <w:sz w:val="16"/>
                <w:szCs w:val="16"/>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FE08C5F" w14:textId="24D22753" w:rsidR="00985784" w:rsidRPr="00E320D5" w:rsidRDefault="00985784" w:rsidP="2C805A1A">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rPr>
              <w:t>29</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7475F3C6" w14:textId="75420CB6" w:rsidR="00985784" w:rsidRPr="00E320D5" w:rsidRDefault="00985784" w:rsidP="5A58023C">
            <w:pPr>
              <w:autoSpaceDE w:val="0"/>
              <w:autoSpaceDN w:val="0"/>
              <w:adjustRightInd w:val="0"/>
              <w:ind w:left="886" w:hanging="886"/>
              <w:jc w:val="center"/>
              <w:rPr>
                <w:rFonts w:ascii="Century Gothic" w:eastAsia="Times New Roman" w:hAnsi="Century Gothic"/>
                <w:sz w:val="16"/>
                <w:szCs w:val="16"/>
                <w:lang w:eastAsia="en-US"/>
              </w:rPr>
            </w:pPr>
            <w:r w:rsidRPr="00E320D5">
              <w:rPr>
                <w:rFonts w:ascii="Century Gothic" w:eastAsia="Times New Roman" w:hAnsi="Century Gothic"/>
                <w:sz w:val="16"/>
                <w:szCs w:val="16"/>
                <w:lang w:eastAsia="en-US"/>
              </w:rPr>
              <w:t>73%</w:t>
            </w:r>
          </w:p>
        </w:tc>
      </w:tr>
      <w:tr w:rsidR="00985784" w:rsidRPr="007E4AFF" w14:paraId="161AFB71" w14:textId="77777777" w:rsidTr="004B36F4">
        <w:trPr>
          <w:trHeight w:val="690"/>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7B2D3615" w14:textId="2B7CBAD1" w:rsidR="00985784" w:rsidRPr="00E320D5" w:rsidRDefault="00985784" w:rsidP="1B075540">
            <w:pPr>
              <w:rPr>
                <w:rFonts w:ascii="Century Gothic" w:eastAsia="Times New Roman" w:hAnsi="Century Gothic"/>
                <w:sz w:val="16"/>
                <w:szCs w:val="16"/>
                <w:lang w:eastAsia="en-US"/>
              </w:rPr>
            </w:pPr>
            <w:r w:rsidRPr="00E320D5">
              <w:rPr>
                <w:rFonts w:ascii="Century Gothic" w:eastAsia="Times New Roman" w:hAnsi="Century Gothic"/>
                <w:sz w:val="16"/>
                <w:szCs w:val="16"/>
                <w:lang w:eastAsia="en-US"/>
              </w:rPr>
              <w:t xml:space="preserve">Supportive Housing/Homelessness Prevention </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760827C6" w14:textId="2B7CBAD1" w:rsidR="00985784" w:rsidRPr="00E320D5" w:rsidRDefault="00985784" w:rsidP="1B075540">
            <w:pPr>
              <w:rPr>
                <w:rFonts w:ascii="Century Gothic" w:eastAsia="Times New Roman" w:hAnsi="Century Gothic"/>
                <w:sz w:val="16"/>
                <w:szCs w:val="16"/>
                <w:lang w:eastAsia="en-US"/>
              </w:rPr>
            </w:pPr>
            <w:r w:rsidRPr="00E320D5">
              <w:rPr>
                <w:rFonts w:ascii="Century Gothic" w:eastAsia="MS PGothic" w:hAnsi="Century Gothic"/>
                <w:sz w:val="16"/>
                <w:szCs w:val="16"/>
                <w:lang w:eastAsia="en-US"/>
              </w:rPr>
              <w:t>Supportive Housing/Homelessness Prevention</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352EE33" w14:textId="2B7CBAD1" w:rsidR="00985784" w:rsidRPr="00E320D5" w:rsidRDefault="00985784" w:rsidP="003F0D12">
            <w:pPr>
              <w:ind w:left="886" w:hanging="886"/>
              <w:jc w:val="center"/>
              <w:rPr>
                <w:rFonts w:ascii="Century Gothic" w:eastAsia="Times New Roman" w:hAnsi="Century Gothic"/>
                <w:sz w:val="16"/>
                <w:szCs w:val="16"/>
                <w:lang w:eastAsia="en-US"/>
              </w:rPr>
            </w:pPr>
            <w:r w:rsidRPr="00E320D5">
              <w:rPr>
                <w:rFonts w:ascii="Century Gothic" w:eastAsia="MS PGothic" w:hAnsi="Century Gothic"/>
                <w:sz w:val="16"/>
                <w:szCs w:val="16"/>
                <w:lang w:eastAsia="en-US"/>
              </w:rPr>
              <w:t>51</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CBDBB07" w14:textId="2B7CBAD1" w:rsidR="00985784" w:rsidRPr="00E320D5" w:rsidRDefault="00985784" w:rsidP="003F0D12">
            <w:pPr>
              <w:ind w:left="886" w:hanging="886"/>
              <w:jc w:val="center"/>
              <w:rPr>
                <w:rFonts w:ascii="Century Gothic" w:eastAsia="Times New Roman" w:hAnsi="Century Gothic"/>
                <w:sz w:val="16"/>
                <w:szCs w:val="16"/>
                <w:lang w:eastAsia="en-US"/>
              </w:rPr>
            </w:pPr>
            <w:r w:rsidRPr="00E320D5">
              <w:rPr>
                <w:rFonts w:ascii="Century Gothic" w:eastAsia="MS PGothic" w:hAnsi="Century Gothic"/>
                <w:sz w:val="16"/>
                <w:szCs w:val="16"/>
                <w:lang w:eastAsia="en-US"/>
              </w:rPr>
              <w:t>0</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64A4EDE" w14:textId="3CD45072" w:rsidR="00985784" w:rsidRPr="00E320D5" w:rsidRDefault="00985784" w:rsidP="4566E4F4">
            <w:pPr>
              <w:jc w:val="right"/>
              <w:rPr>
                <w:rFonts w:ascii="Century Gothic" w:eastAsia="MS PGothic" w:hAnsi="Century Gothic"/>
                <w:sz w:val="16"/>
                <w:szCs w:val="16"/>
              </w:rPr>
            </w:pPr>
            <w:r w:rsidRPr="00E320D5">
              <w:rPr>
                <w:rFonts w:ascii="Century Gothic" w:eastAsia="MS PGothic" w:hAnsi="Century Gothic"/>
                <w:sz w:val="16"/>
                <w:szCs w:val="16"/>
                <w:lang w:eastAsia="en-US"/>
              </w:rPr>
              <w:t>0</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F3FB582" w14:textId="77777777" w:rsidR="00985784" w:rsidRPr="00E320D5" w:rsidRDefault="00985784">
            <w:pPr>
              <w:ind w:left="886" w:hanging="886"/>
              <w:jc w:val="center"/>
              <w:rPr>
                <w:rFonts w:ascii="Century Gothic" w:eastAsia="MS PGothic"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C9C43AC" w14:textId="03C1073F" w:rsidR="00985784" w:rsidRPr="00E320D5" w:rsidRDefault="00985784">
            <w:pPr>
              <w:ind w:left="886" w:hanging="886"/>
              <w:jc w:val="center"/>
              <w:rPr>
                <w:rFonts w:ascii="Century Gothic" w:eastAsia="Calibri" w:hAnsi="Century Gothic" w:cs="Calibri"/>
                <w:sz w:val="16"/>
                <w:szCs w:val="16"/>
              </w:rPr>
            </w:pPr>
            <w:r w:rsidRPr="00E320D5">
              <w:rPr>
                <w:rFonts w:ascii="Century Gothic" w:eastAsia="MS PGothic" w:hAnsi="Century Gothic"/>
                <w:sz w:val="16"/>
                <w:szCs w:val="16"/>
                <w:lang w:eastAsia="en-US"/>
              </w:rPr>
              <w:t>10</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F364525" w14:textId="4FDFE878" w:rsidR="00985784" w:rsidRPr="00E320D5" w:rsidRDefault="00985784" w:rsidP="003F0D12">
            <w:pPr>
              <w:jc w:val="right"/>
              <w:rPr>
                <w:rFonts w:ascii="Century Gothic" w:eastAsia="Times New Roman" w:hAnsi="Century Gothic"/>
                <w:sz w:val="16"/>
                <w:szCs w:val="16"/>
                <w:lang w:eastAsia="en-US"/>
              </w:rPr>
            </w:pPr>
            <w:r w:rsidRPr="00E320D5">
              <w:rPr>
                <w:rFonts w:ascii="Century Gothic" w:eastAsia="MS PGothic" w:hAnsi="Century Gothic"/>
                <w:sz w:val="16"/>
                <w:szCs w:val="16"/>
                <w:lang w:eastAsia="en-US"/>
              </w:rPr>
              <w:t>10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C28B1E5" w14:textId="76DE15AE" w:rsidR="00985784" w:rsidRPr="00E320D5" w:rsidRDefault="00985784" w:rsidP="003F0D12">
            <w:pPr>
              <w:jc w:val="right"/>
              <w:rPr>
                <w:rFonts w:ascii="Century Gothic" w:eastAsia="Times New Roman" w:hAnsi="Century Gothic"/>
                <w:sz w:val="16"/>
                <w:szCs w:val="16"/>
                <w:lang w:eastAsia="en-US"/>
              </w:rPr>
            </w:pPr>
            <w:r w:rsidRPr="00E320D5">
              <w:rPr>
                <w:rFonts w:ascii="Century Gothic" w:eastAsia="Times New Roman" w:hAnsi="Century Gothic"/>
                <w:sz w:val="16"/>
                <w:szCs w:val="16"/>
                <w:lang w:eastAsia="en-US"/>
              </w:rPr>
              <w:t>61</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94594A9" w14:textId="77777777" w:rsidR="00985784" w:rsidRPr="00E320D5" w:rsidRDefault="00985784" w:rsidP="003F0D12">
            <w:pPr>
              <w:ind w:left="886" w:hanging="886"/>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DDF5BB7" w14:textId="704F9CF7" w:rsidR="00985784" w:rsidRPr="00E320D5" w:rsidRDefault="00985784" w:rsidP="003F0D12">
            <w:pPr>
              <w:ind w:left="886" w:hanging="886"/>
              <w:jc w:val="center"/>
              <w:rPr>
                <w:rFonts w:ascii="Century Gothic" w:eastAsia="Times New Roman" w:hAnsi="Century Gothic"/>
                <w:sz w:val="16"/>
                <w:szCs w:val="16"/>
                <w:lang w:eastAsia="en-US"/>
              </w:rPr>
            </w:pPr>
            <w:r w:rsidRPr="00E320D5">
              <w:rPr>
                <w:rFonts w:ascii="Century Gothic" w:eastAsia="Times New Roman" w:hAnsi="Century Gothic"/>
                <w:sz w:val="16"/>
                <w:szCs w:val="16"/>
                <w:lang w:eastAsia="en-US"/>
              </w:rPr>
              <w:t>44</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C310556" w14:textId="281D20A5" w:rsidR="00985784" w:rsidRPr="00E320D5" w:rsidRDefault="00985784" w:rsidP="003F0D12">
            <w:pPr>
              <w:ind w:left="886" w:hanging="886"/>
              <w:jc w:val="center"/>
              <w:rPr>
                <w:rFonts w:ascii="Century Gothic" w:eastAsia="Times New Roman" w:hAnsi="Century Gothic"/>
                <w:sz w:val="16"/>
                <w:szCs w:val="16"/>
                <w:lang w:eastAsia="en-US"/>
              </w:rPr>
            </w:pPr>
            <w:r w:rsidRPr="00E320D5">
              <w:rPr>
                <w:rFonts w:ascii="Century Gothic" w:eastAsia="Times New Roman" w:hAnsi="Century Gothic"/>
                <w:sz w:val="16"/>
                <w:szCs w:val="16"/>
                <w:lang w:eastAsia="en-US"/>
              </w:rPr>
              <w:t>72%</w:t>
            </w:r>
          </w:p>
        </w:tc>
      </w:tr>
      <w:tr w:rsidR="00985784" w:rsidRPr="007E4AFF" w14:paraId="26D63DBA" w14:textId="77777777" w:rsidTr="004B36F4">
        <w:trPr>
          <w:trHeight w:hRule="exact" w:val="1198"/>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5716F607" w14:textId="77777777" w:rsidR="00985784" w:rsidRPr="00E320D5" w:rsidRDefault="00985784" w:rsidP="00356124">
            <w:pPr>
              <w:rPr>
                <w:rFonts w:ascii="Century Gothic" w:eastAsia="Times New Roman" w:hAnsi="Century Gothic"/>
                <w:sz w:val="16"/>
                <w:szCs w:val="16"/>
              </w:rPr>
            </w:pPr>
            <w:r w:rsidRPr="00E320D5">
              <w:rPr>
                <w:rFonts w:ascii="Century Gothic" w:eastAsia="Times New Roman" w:hAnsi="Century Gothic"/>
                <w:sz w:val="16"/>
                <w:szCs w:val="16"/>
                <w:lang w:eastAsia="en-US"/>
              </w:rPr>
              <w:t>Project Longevity</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6E9485B" w14:textId="075D47D2" w:rsidR="00985784" w:rsidRPr="00E320D5" w:rsidRDefault="00985784" w:rsidP="00356124">
            <w:pPr>
              <w:rPr>
                <w:rFonts w:ascii="Century Gothic" w:eastAsia="Times New Roman" w:hAnsi="Century Gothic"/>
                <w:sz w:val="16"/>
                <w:szCs w:val="16"/>
              </w:rPr>
            </w:pPr>
            <w:r w:rsidRPr="00E320D5">
              <w:rPr>
                <w:rFonts w:ascii="Century Gothic" w:eastAsia="Times New Roman" w:hAnsi="Century Gothic"/>
                <w:sz w:val="16"/>
                <w:szCs w:val="16"/>
                <w:lang w:eastAsia="en-US"/>
              </w:rPr>
              <w:t>25 vouchers for city initiative targeting homeless former offenders engaged with Project Longevity</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E898E6B" w14:textId="77777777"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lang w:eastAsia="en-US"/>
              </w:rPr>
              <w:t>25</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E298406" w14:textId="77777777"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lang w:eastAsia="en-US"/>
              </w:rPr>
              <w:t>0</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79BABC42" w14:textId="77777777" w:rsidR="00985784" w:rsidRPr="00E320D5" w:rsidRDefault="00985784" w:rsidP="003F0D12">
            <w:pPr>
              <w:autoSpaceDE w:val="0"/>
              <w:autoSpaceDN w:val="0"/>
              <w:adjustRightInd w:val="0"/>
              <w:jc w:val="right"/>
              <w:rPr>
                <w:rFonts w:ascii="Century Gothic" w:eastAsia="Times New Roman" w:hAnsi="Century Gothic"/>
                <w:sz w:val="16"/>
                <w:szCs w:val="16"/>
              </w:rPr>
            </w:pPr>
            <w:r w:rsidRPr="00E320D5">
              <w:rPr>
                <w:rFonts w:ascii="Century Gothic" w:eastAsia="Times New Roman" w:hAnsi="Century Gothic"/>
                <w:sz w:val="16"/>
                <w:szCs w:val="16"/>
                <w:lang w:eastAsia="en-US"/>
              </w:rPr>
              <w:t>0 </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485E0E2" w14:textId="77777777"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BD52744" w14:textId="2785010C" w:rsidR="00985784" w:rsidRPr="00E320D5" w:rsidRDefault="00985784" w:rsidP="003F0D12">
            <w:pPr>
              <w:autoSpaceDE w:val="0"/>
              <w:autoSpaceDN w:val="0"/>
              <w:adjustRightInd w:val="0"/>
              <w:ind w:left="886" w:hanging="886"/>
              <w:jc w:val="center"/>
              <w:rPr>
                <w:rFonts w:ascii="Century Gothic" w:eastAsia="Times New Roman" w:hAnsi="Century Gothic"/>
                <w:sz w:val="16"/>
                <w:szCs w:val="16"/>
              </w:rPr>
            </w:pPr>
            <w:r w:rsidRPr="00E320D5">
              <w:rPr>
                <w:rFonts w:ascii="Century Gothic" w:eastAsia="Times New Roman" w:hAnsi="Century Gothic"/>
                <w:sz w:val="16"/>
                <w:szCs w:val="16"/>
                <w:lang w:eastAsia="en-US"/>
              </w:rPr>
              <w:t>0</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B5015C7" w14:textId="1AA75C4F" w:rsidR="00985784" w:rsidRPr="00E320D5" w:rsidRDefault="00985784" w:rsidP="4566E4F4">
            <w:pPr>
              <w:jc w:val="right"/>
              <w:rPr>
                <w:rFonts w:ascii="Century Gothic" w:eastAsia="MS PGothic" w:hAnsi="Century Gothic"/>
                <w:sz w:val="16"/>
                <w:szCs w:val="16"/>
              </w:rPr>
            </w:pPr>
            <w:r w:rsidRPr="00E320D5">
              <w:rPr>
                <w:rFonts w:ascii="Century Gothic" w:eastAsia="Times New Roman" w:hAnsi="Century Gothic"/>
                <w:sz w:val="16"/>
                <w:szCs w:val="16"/>
                <w:lang w:eastAsia="en-US"/>
              </w:rPr>
              <w:t>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A601E01" w14:textId="77777777" w:rsidR="00985784" w:rsidRPr="00E320D5" w:rsidRDefault="00985784" w:rsidP="003F0D12">
            <w:pPr>
              <w:autoSpaceDE w:val="0"/>
              <w:autoSpaceDN w:val="0"/>
              <w:adjustRightInd w:val="0"/>
              <w:jc w:val="right"/>
              <w:rPr>
                <w:rFonts w:ascii="Century Gothic" w:eastAsia="Times New Roman" w:hAnsi="Century Gothic"/>
                <w:sz w:val="16"/>
                <w:szCs w:val="16"/>
              </w:rPr>
            </w:pPr>
            <w:r w:rsidRPr="00E320D5">
              <w:rPr>
                <w:rFonts w:ascii="Century Gothic" w:eastAsia="Times New Roman" w:hAnsi="Century Gothic"/>
                <w:b/>
                <w:bCs/>
                <w:sz w:val="16"/>
                <w:szCs w:val="16"/>
                <w:lang w:eastAsia="en-US"/>
              </w:rPr>
              <w:t>25</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FFC2FB5" w14:textId="77777777" w:rsidR="00985784" w:rsidRPr="00E320D5" w:rsidRDefault="00985784" w:rsidP="003F0D12">
            <w:pPr>
              <w:ind w:left="886" w:hanging="886"/>
              <w:jc w:val="center"/>
              <w:rPr>
                <w:rFonts w:ascii="Century Gothic" w:eastAsia="MS PGothic"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746BD45E" w14:textId="59BDC35A" w:rsidR="00985784" w:rsidRPr="00E320D5" w:rsidRDefault="00985784" w:rsidP="003F0D12">
            <w:pPr>
              <w:ind w:left="886" w:hanging="886"/>
              <w:jc w:val="center"/>
              <w:rPr>
                <w:rFonts w:ascii="Century Gothic" w:eastAsia="MS PGothic" w:hAnsi="Century Gothic"/>
                <w:sz w:val="16"/>
                <w:szCs w:val="16"/>
                <w:lang w:eastAsia="en-US"/>
              </w:rPr>
            </w:pPr>
            <w:r w:rsidRPr="00E320D5">
              <w:rPr>
                <w:rFonts w:ascii="Century Gothic" w:eastAsia="MS PGothic" w:hAnsi="Century Gothic"/>
                <w:sz w:val="16"/>
                <w:szCs w:val="16"/>
                <w:lang w:eastAsia="en-US"/>
              </w:rPr>
              <w:t>14</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7BF0957" w14:textId="2D1421AE" w:rsidR="00985784" w:rsidRPr="00E320D5" w:rsidRDefault="00985784" w:rsidP="003F0D12">
            <w:pPr>
              <w:ind w:left="886" w:hanging="886"/>
              <w:jc w:val="center"/>
              <w:rPr>
                <w:rFonts w:ascii="Century Gothic" w:eastAsia="Times New Roman" w:hAnsi="Century Gothic"/>
                <w:sz w:val="16"/>
                <w:szCs w:val="16"/>
                <w:lang w:eastAsia="en-US"/>
              </w:rPr>
            </w:pPr>
            <w:r w:rsidRPr="00E320D5">
              <w:rPr>
                <w:rFonts w:ascii="Century Gothic" w:eastAsia="Times New Roman" w:hAnsi="Century Gothic"/>
                <w:sz w:val="16"/>
                <w:szCs w:val="16"/>
                <w:lang w:eastAsia="en-US"/>
              </w:rPr>
              <w:t>56%</w:t>
            </w:r>
          </w:p>
        </w:tc>
      </w:tr>
      <w:tr w:rsidR="00985784" w:rsidRPr="007E4AFF" w14:paraId="2FFEF7AD" w14:textId="77777777" w:rsidTr="004B36F4">
        <w:trPr>
          <w:trHeight w:hRule="exact" w:val="901"/>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040ACA5D" w14:textId="77777777" w:rsidR="00985784" w:rsidRPr="00F157F7" w:rsidRDefault="00985784" w:rsidP="00356124">
            <w:pPr>
              <w:rPr>
                <w:rFonts w:ascii="Century Gothic" w:eastAsia="Times New Roman" w:hAnsi="Century Gothic"/>
                <w:sz w:val="16"/>
                <w:szCs w:val="16"/>
              </w:rPr>
            </w:pPr>
            <w:r w:rsidRPr="00F157F7">
              <w:rPr>
                <w:rFonts w:ascii="Century Gothic" w:eastAsia="Times New Roman" w:hAnsi="Century Gothic"/>
                <w:sz w:val="16"/>
                <w:szCs w:val="16"/>
                <w:lang w:eastAsia="en-US"/>
              </w:rPr>
              <w:t>Re-entry Fresh Start</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E541600" w14:textId="2B090C50" w:rsidR="00985784" w:rsidRPr="00F157F7" w:rsidRDefault="00985784" w:rsidP="4566E4F4">
            <w:pPr>
              <w:rPr>
                <w:rFonts w:ascii="Century Gothic" w:eastAsia="Times New Roman" w:hAnsi="Century Gothic"/>
                <w:sz w:val="16"/>
                <w:szCs w:val="16"/>
              </w:rPr>
            </w:pPr>
            <w:r w:rsidRPr="00F157F7">
              <w:rPr>
                <w:rFonts w:ascii="Century Gothic" w:eastAsia="Times New Roman" w:hAnsi="Century Gothic"/>
                <w:sz w:val="16"/>
                <w:szCs w:val="16"/>
                <w:lang w:eastAsia="en-US"/>
              </w:rPr>
              <w:t>26 vouchers for city initiative targeting homeless former offenders engaged with Fresh Start</w:t>
            </w:r>
          </w:p>
          <w:p w14:paraId="2D01F155" w14:textId="2B7332E6" w:rsidR="00985784" w:rsidRPr="00F157F7" w:rsidRDefault="00985784" w:rsidP="4566E4F4">
            <w:pPr>
              <w:rPr>
                <w:rFonts w:ascii="Century Gothic" w:eastAsia="MS PGothic" w:hAnsi="Century Gothic"/>
                <w:sz w:val="16"/>
                <w:szCs w:val="16"/>
                <w:lang w:eastAsia="en-US"/>
              </w:rPr>
            </w:pP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3E940F6A" w14:textId="1F1CC90F" w:rsidR="00985784" w:rsidRPr="00F157F7" w:rsidRDefault="00985784" w:rsidP="003F0D12">
            <w:pPr>
              <w:ind w:left="886" w:hanging="886"/>
              <w:jc w:val="center"/>
              <w:rPr>
                <w:rFonts w:ascii="Century Gothic" w:eastAsia="MS PGothic" w:hAnsi="Century Gothic"/>
                <w:sz w:val="16"/>
                <w:szCs w:val="16"/>
              </w:rPr>
            </w:pPr>
            <w:r w:rsidRPr="00F157F7">
              <w:rPr>
                <w:rFonts w:ascii="Century Gothic" w:eastAsia="Times New Roman" w:hAnsi="Century Gothic"/>
                <w:sz w:val="16"/>
                <w:szCs w:val="16"/>
                <w:lang w:eastAsia="en-US"/>
              </w:rPr>
              <w:t xml:space="preserve"> 26</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1201E90" w14:textId="77777777" w:rsidR="00985784" w:rsidRPr="00F157F7" w:rsidRDefault="00985784" w:rsidP="003F0D12">
            <w:pPr>
              <w:autoSpaceDE w:val="0"/>
              <w:autoSpaceDN w:val="0"/>
              <w:adjustRightInd w:val="0"/>
              <w:ind w:left="886" w:hanging="886"/>
              <w:jc w:val="center"/>
              <w:rPr>
                <w:rFonts w:ascii="Century Gothic" w:eastAsia="Times New Roman" w:hAnsi="Century Gothic"/>
                <w:sz w:val="16"/>
                <w:szCs w:val="16"/>
              </w:rPr>
            </w:pPr>
            <w:r w:rsidRPr="00F157F7">
              <w:rPr>
                <w:rFonts w:ascii="Century Gothic" w:eastAsia="Times New Roman" w:hAnsi="Century Gothic"/>
                <w:sz w:val="16"/>
                <w:szCs w:val="16"/>
                <w:lang w:eastAsia="en-US"/>
              </w:rPr>
              <w:t>0</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84157F9" w14:textId="77777777" w:rsidR="00985784" w:rsidRPr="00F157F7" w:rsidRDefault="00985784" w:rsidP="003F0D12">
            <w:pPr>
              <w:autoSpaceDE w:val="0"/>
              <w:autoSpaceDN w:val="0"/>
              <w:adjustRightInd w:val="0"/>
              <w:jc w:val="right"/>
              <w:rPr>
                <w:rFonts w:ascii="Century Gothic" w:eastAsia="Times New Roman" w:hAnsi="Century Gothic"/>
                <w:sz w:val="16"/>
                <w:szCs w:val="16"/>
              </w:rPr>
            </w:pPr>
            <w:r w:rsidRPr="00F157F7">
              <w:rPr>
                <w:rFonts w:ascii="Century Gothic" w:eastAsia="Times New Roman" w:hAnsi="Century Gothic"/>
                <w:sz w:val="16"/>
                <w:szCs w:val="16"/>
                <w:lang w:eastAsia="en-US"/>
              </w:rPr>
              <w:t>0</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9252155" w14:textId="77777777" w:rsidR="00985784" w:rsidRPr="00E320D5" w:rsidRDefault="00985784" w:rsidP="000B2B2A">
            <w:pPr>
              <w:ind w:left="886" w:hanging="886"/>
              <w:jc w:val="center"/>
              <w:rPr>
                <w:rFonts w:ascii="Century Gothic" w:eastAsia="Times New Roman" w:hAnsi="Century Gothic"/>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5DD8C73E" w14:textId="2FCCA6BB" w:rsidR="00985784" w:rsidRPr="00F157F7" w:rsidRDefault="00985784" w:rsidP="000B2B2A">
            <w:pPr>
              <w:ind w:left="886" w:hanging="886"/>
              <w:jc w:val="center"/>
              <w:rPr>
                <w:rFonts w:ascii="Century Gothic" w:eastAsia="Times New Roman" w:hAnsi="Century Gothic"/>
                <w:sz w:val="16"/>
                <w:szCs w:val="16"/>
              </w:rPr>
            </w:pPr>
            <w:r w:rsidRPr="00F157F7">
              <w:rPr>
                <w:rFonts w:ascii="Century Gothic" w:eastAsia="Times New Roman" w:hAnsi="Century Gothic"/>
                <w:sz w:val="16"/>
                <w:szCs w:val="16"/>
                <w:lang w:eastAsia="en-US"/>
              </w:rPr>
              <w:t>8</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06082EB" w14:textId="2D4301BD" w:rsidR="00985784" w:rsidRPr="00F157F7" w:rsidRDefault="00985784" w:rsidP="4566E4F4">
            <w:pPr>
              <w:autoSpaceDE w:val="0"/>
              <w:autoSpaceDN w:val="0"/>
              <w:adjustRightInd w:val="0"/>
              <w:jc w:val="right"/>
              <w:rPr>
                <w:rFonts w:ascii="Century Gothic" w:eastAsia="Times New Roman" w:hAnsi="Century Gothic"/>
                <w:sz w:val="16"/>
                <w:szCs w:val="16"/>
                <w:lang w:eastAsia="en-US"/>
              </w:rPr>
            </w:pPr>
            <w:r w:rsidRPr="00F157F7">
              <w:rPr>
                <w:rFonts w:ascii="Century Gothic" w:eastAsia="Times New Roman" w:hAnsi="Century Gothic"/>
                <w:sz w:val="16"/>
                <w:szCs w:val="16"/>
                <w:lang w:eastAsia="en-US"/>
              </w:rPr>
              <w:t>10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718B52B3" w14:textId="6A5F270C" w:rsidR="00985784" w:rsidRPr="00F157F7" w:rsidRDefault="00985784">
            <w:pPr>
              <w:jc w:val="right"/>
              <w:rPr>
                <w:rFonts w:ascii="Century Gothic" w:eastAsia="Times New Roman" w:hAnsi="Century Gothic"/>
                <w:sz w:val="16"/>
                <w:szCs w:val="16"/>
              </w:rPr>
            </w:pPr>
            <w:r w:rsidRPr="00F157F7">
              <w:rPr>
                <w:rFonts w:ascii="Century Gothic" w:eastAsia="Times New Roman" w:hAnsi="Century Gothic"/>
                <w:b/>
                <w:bCs/>
                <w:sz w:val="16"/>
                <w:szCs w:val="16"/>
                <w:lang w:eastAsia="en-US"/>
              </w:rPr>
              <w:t>36</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1600040" w14:textId="77777777" w:rsidR="00985784" w:rsidRPr="00E320D5" w:rsidRDefault="00985784">
            <w:pPr>
              <w:ind w:left="886" w:hanging="886"/>
              <w:jc w:val="center"/>
              <w:rPr>
                <w:rFonts w:ascii="Century Gothic" w:eastAsia="MS PGothic" w:hAnsi="Century Gothic"/>
                <w:sz w:val="16"/>
                <w:szCs w:val="16"/>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8F09B5C" w14:textId="0D3D3D29" w:rsidR="00985784" w:rsidRPr="00F157F7" w:rsidRDefault="00985784">
            <w:pPr>
              <w:ind w:left="886" w:hanging="886"/>
              <w:jc w:val="center"/>
              <w:rPr>
                <w:rFonts w:ascii="Century Gothic" w:eastAsia="MS PGothic" w:hAnsi="Century Gothic"/>
                <w:sz w:val="16"/>
                <w:szCs w:val="16"/>
              </w:rPr>
            </w:pPr>
            <w:r w:rsidRPr="00F157F7">
              <w:rPr>
                <w:rFonts w:ascii="Century Gothic" w:eastAsia="MS PGothic" w:hAnsi="Century Gothic"/>
                <w:sz w:val="16"/>
                <w:szCs w:val="16"/>
              </w:rPr>
              <w:t>28</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184D57E" w14:textId="48F0F945" w:rsidR="00985784" w:rsidRPr="00F157F7" w:rsidRDefault="00985784" w:rsidP="69F54F67">
            <w:pPr>
              <w:ind w:left="886" w:hanging="886"/>
              <w:jc w:val="center"/>
              <w:rPr>
                <w:rFonts w:ascii="Century Gothic" w:eastAsia="Times New Roman" w:hAnsi="Century Gothic"/>
                <w:sz w:val="16"/>
                <w:szCs w:val="16"/>
              </w:rPr>
            </w:pPr>
            <w:r w:rsidRPr="00F157F7">
              <w:rPr>
                <w:rFonts w:ascii="Century Gothic" w:eastAsia="Times New Roman" w:hAnsi="Century Gothic"/>
                <w:sz w:val="16"/>
                <w:szCs w:val="16"/>
                <w:lang w:eastAsia="en-US"/>
              </w:rPr>
              <w:t>78%</w:t>
            </w:r>
          </w:p>
        </w:tc>
      </w:tr>
      <w:tr w:rsidR="00985784" w:rsidRPr="007E4AFF" w14:paraId="0928F3A2" w14:textId="77777777" w:rsidTr="004B36F4">
        <w:trPr>
          <w:trHeight w:hRule="exact" w:val="730"/>
        </w:trPr>
        <w:tc>
          <w:tcPr>
            <w:tcW w:w="162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bottom"/>
          </w:tcPr>
          <w:p w14:paraId="63706476" w14:textId="77777777" w:rsidR="00985784" w:rsidRPr="00F157F7" w:rsidRDefault="00985784" w:rsidP="00356124">
            <w:pPr>
              <w:rPr>
                <w:rFonts w:ascii="Century Gothic" w:eastAsia="Times New Roman" w:hAnsi="Century Gothic"/>
                <w:sz w:val="16"/>
                <w:szCs w:val="16"/>
              </w:rPr>
            </w:pPr>
            <w:r w:rsidRPr="00F157F7">
              <w:rPr>
                <w:rFonts w:ascii="Century Gothic" w:eastAsia="Times New Roman" w:hAnsi="Century Gothic"/>
                <w:b/>
                <w:sz w:val="16"/>
                <w:szCs w:val="16"/>
                <w:lang w:eastAsia="en-US"/>
              </w:rPr>
              <w:t>Supportive Housing Efforts Subtotal</w:t>
            </w:r>
          </w:p>
        </w:tc>
        <w:tc>
          <w:tcPr>
            <w:tcW w:w="12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9CB010B" w14:textId="77777777" w:rsidR="00985784" w:rsidRPr="00F157F7" w:rsidRDefault="00985784" w:rsidP="00356124">
            <w:pPr>
              <w:rPr>
                <w:rFonts w:ascii="Century Gothic" w:eastAsia="Times New Roman" w:hAnsi="Century Gothic"/>
                <w:sz w:val="16"/>
                <w:szCs w:val="16"/>
              </w:rPr>
            </w:pPr>
            <w:r w:rsidRPr="00F157F7">
              <w:rPr>
                <w:rFonts w:ascii="Century Gothic" w:eastAsia="Times New Roman" w:hAnsi="Century Gothic"/>
                <w:sz w:val="16"/>
                <w:szCs w:val="16"/>
                <w:lang w:eastAsia="en-US"/>
              </w:rPr>
              <w:t> </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BF3FEB4" w14:textId="298A01DD" w:rsidR="00985784" w:rsidRPr="00F157F7" w:rsidRDefault="00985784" w:rsidP="5CD6827B">
            <w:pPr>
              <w:ind w:left="886" w:hanging="886"/>
              <w:jc w:val="center"/>
              <w:rPr>
                <w:rFonts w:ascii="Century Gothic" w:eastAsia="Times New Roman" w:hAnsi="Century Gothic"/>
                <w:b/>
                <w:bCs/>
                <w:sz w:val="16"/>
                <w:szCs w:val="16"/>
                <w:lang w:eastAsia="en-US"/>
              </w:rPr>
            </w:pPr>
            <w:r w:rsidRPr="00F157F7">
              <w:rPr>
                <w:rFonts w:ascii="Century Gothic" w:eastAsia="Times New Roman" w:hAnsi="Century Gothic"/>
                <w:b/>
                <w:bCs/>
                <w:sz w:val="16"/>
                <w:szCs w:val="16"/>
                <w:lang w:eastAsia="en-US"/>
              </w:rPr>
              <w:t xml:space="preserve"> 222</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4A7F14F5" w14:textId="09D639A2" w:rsidR="00985784" w:rsidRPr="00F157F7" w:rsidRDefault="00985784" w:rsidP="5CD6827B">
            <w:pPr>
              <w:autoSpaceDE w:val="0"/>
              <w:autoSpaceDN w:val="0"/>
              <w:adjustRightInd w:val="0"/>
              <w:ind w:left="886" w:hanging="886"/>
              <w:jc w:val="center"/>
              <w:rPr>
                <w:rFonts w:ascii="Century Gothic" w:eastAsia="Times New Roman" w:hAnsi="Century Gothic"/>
                <w:sz w:val="16"/>
                <w:szCs w:val="16"/>
              </w:rPr>
            </w:pPr>
            <w:r w:rsidRPr="00F157F7">
              <w:rPr>
                <w:rFonts w:ascii="Century Gothic" w:eastAsia="Times New Roman" w:hAnsi="Century Gothic"/>
                <w:b/>
                <w:bCs/>
                <w:sz w:val="16"/>
                <w:szCs w:val="16"/>
                <w:lang w:eastAsia="en-US"/>
              </w:rPr>
              <w:t>10</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0853E57B" w14:textId="576F675D" w:rsidR="00985784" w:rsidRPr="00F157F7" w:rsidRDefault="00985784" w:rsidP="5CD6827B">
            <w:pPr>
              <w:autoSpaceDE w:val="0"/>
              <w:autoSpaceDN w:val="0"/>
              <w:adjustRightInd w:val="0"/>
              <w:jc w:val="right"/>
              <w:rPr>
                <w:rFonts w:ascii="Century Gothic" w:eastAsia="Times New Roman" w:hAnsi="Century Gothic"/>
                <w:b/>
                <w:bCs/>
                <w:sz w:val="16"/>
                <w:szCs w:val="16"/>
                <w:lang w:eastAsia="en-US"/>
              </w:rPr>
            </w:pPr>
            <w:r w:rsidRPr="00F157F7">
              <w:rPr>
                <w:rFonts w:ascii="Century Gothic" w:eastAsia="Times New Roman" w:hAnsi="Century Gothic"/>
                <w:b/>
                <w:bCs/>
                <w:sz w:val="16"/>
                <w:szCs w:val="16"/>
                <w:lang w:eastAsia="en-US"/>
              </w:rPr>
              <w:t>8</w:t>
            </w:r>
          </w:p>
        </w:tc>
        <w:tc>
          <w:tcPr>
            <w:tcW w:w="4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C8DBB8F" w14:textId="77777777" w:rsidR="00985784" w:rsidRPr="00F157F7" w:rsidRDefault="00985784" w:rsidP="5CD6827B">
            <w:pPr>
              <w:ind w:left="886" w:hanging="886"/>
              <w:jc w:val="center"/>
              <w:rPr>
                <w:rFonts w:ascii="Century Gothic" w:eastAsia="Times New Roman" w:hAnsi="Century Gothic"/>
                <w:b/>
                <w:bCs/>
                <w:sz w:val="16"/>
                <w:szCs w:val="16"/>
                <w:lang w:eastAsia="en-US"/>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1597576F" w14:textId="7E5FCECE" w:rsidR="00985784" w:rsidRPr="00F157F7" w:rsidRDefault="00985784" w:rsidP="5CD6827B">
            <w:pPr>
              <w:ind w:left="886" w:hanging="886"/>
              <w:jc w:val="center"/>
              <w:rPr>
                <w:rFonts w:ascii="Century Gothic" w:eastAsia="Times New Roman" w:hAnsi="Century Gothic"/>
                <w:b/>
                <w:bCs/>
                <w:sz w:val="16"/>
                <w:szCs w:val="16"/>
                <w:lang w:eastAsia="en-US"/>
              </w:rPr>
            </w:pPr>
            <w:r w:rsidRPr="00F157F7">
              <w:rPr>
                <w:rFonts w:ascii="Century Gothic" w:eastAsia="Times New Roman" w:hAnsi="Century Gothic"/>
                <w:b/>
                <w:bCs/>
                <w:sz w:val="16"/>
                <w:szCs w:val="16"/>
                <w:lang w:eastAsia="en-US"/>
              </w:rPr>
              <w:t>18</w:t>
            </w:r>
          </w:p>
        </w:tc>
        <w:tc>
          <w:tcPr>
            <w:tcW w:w="72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A01F631" w14:textId="0BCB2489" w:rsidR="00985784" w:rsidRPr="00F157F7" w:rsidRDefault="00985784" w:rsidP="4566E4F4">
            <w:pPr>
              <w:autoSpaceDE w:val="0"/>
              <w:autoSpaceDN w:val="0"/>
              <w:adjustRightInd w:val="0"/>
              <w:jc w:val="right"/>
              <w:rPr>
                <w:rFonts w:ascii="Century Gothic" w:eastAsia="Times New Roman" w:hAnsi="Century Gothic"/>
                <w:sz w:val="16"/>
                <w:szCs w:val="16"/>
              </w:rPr>
            </w:pPr>
            <w:r w:rsidRPr="00F157F7">
              <w:rPr>
                <w:rFonts w:ascii="Century Gothic" w:eastAsia="Times New Roman" w:hAnsi="Century Gothic"/>
                <w:b/>
                <w:bCs/>
                <w:sz w:val="16"/>
                <w:szCs w:val="16"/>
                <w:lang w:eastAsia="en-US"/>
              </w:rPr>
              <w:t>20</w:t>
            </w:r>
          </w:p>
        </w:tc>
        <w:tc>
          <w:tcPr>
            <w:tcW w:w="8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84EB0D5" w14:textId="6E984F8B" w:rsidR="00985784" w:rsidRPr="00F157F7" w:rsidRDefault="00985784" w:rsidP="5CD6827B">
            <w:pPr>
              <w:jc w:val="right"/>
              <w:rPr>
                <w:rFonts w:ascii="Century Gothic" w:eastAsia="Times New Roman" w:hAnsi="Century Gothic"/>
                <w:b/>
                <w:bCs/>
                <w:sz w:val="16"/>
                <w:szCs w:val="16"/>
                <w:lang w:eastAsia="en-US"/>
              </w:rPr>
            </w:pPr>
            <w:r w:rsidRPr="00F157F7">
              <w:rPr>
                <w:rFonts w:ascii="Century Gothic" w:eastAsia="Times New Roman" w:hAnsi="Century Gothic"/>
                <w:b/>
                <w:bCs/>
                <w:sz w:val="16"/>
                <w:szCs w:val="16"/>
                <w:lang w:eastAsia="en-US"/>
              </w:rPr>
              <w:t>234</w:t>
            </w:r>
          </w:p>
        </w:tc>
        <w:tc>
          <w:tcPr>
            <w:tcW w:w="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1EDD3EF" w14:textId="77777777" w:rsidR="00985784" w:rsidRPr="00C46840" w:rsidRDefault="00985784" w:rsidP="003F0D12">
            <w:pPr>
              <w:autoSpaceDE w:val="0"/>
              <w:autoSpaceDN w:val="0"/>
              <w:adjustRightInd w:val="0"/>
              <w:ind w:left="886" w:hanging="886"/>
              <w:jc w:val="center"/>
              <w:rPr>
                <w:rFonts w:ascii="Century Gothic" w:eastAsia="Times New Roman" w:hAnsi="Century Gothic"/>
                <w:sz w:val="16"/>
                <w:szCs w:val="16"/>
              </w:rPr>
            </w:pP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2DE2BEF6" w14:textId="05C016BE" w:rsidR="00985784" w:rsidRPr="00F157F7" w:rsidRDefault="00985784" w:rsidP="4566E4F4">
            <w:pPr>
              <w:ind w:left="886" w:hanging="886"/>
              <w:jc w:val="center"/>
              <w:rPr>
                <w:rFonts w:ascii="Century Gothic" w:eastAsia="Times New Roman" w:hAnsi="Century Gothic"/>
                <w:sz w:val="16"/>
                <w:szCs w:val="16"/>
              </w:rPr>
            </w:pPr>
            <w:r w:rsidRPr="00F157F7">
              <w:rPr>
                <w:rFonts w:ascii="Century Gothic" w:eastAsia="Times New Roman" w:hAnsi="Century Gothic"/>
                <w:sz w:val="16"/>
                <w:szCs w:val="16"/>
              </w:rPr>
              <w:t>181</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bottom"/>
          </w:tcPr>
          <w:p w14:paraId="6EC4A633" w14:textId="3F927C35" w:rsidR="00985784" w:rsidRPr="00F157F7" w:rsidRDefault="00985784">
            <w:pPr>
              <w:ind w:left="886" w:hanging="886"/>
              <w:jc w:val="center"/>
              <w:rPr>
                <w:rFonts w:ascii="Century Gothic" w:eastAsia="Times New Roman" w:hAnsi="Century Gothic"/>
                <w:sz w:val="16"/>
                <w:szCs w:val="16"/>
              </w:rPr>
            </w:pPr>
            <w:r w:rsidRPr="00F157F7">
              <w:rPr>
                <w:rFonts w:ascii="Century Gothic" w:eastAsia="Times New Roman" w:hAnsi="Century Gothic"/>
                <w:b/>
                <w:bCs/>
                <w:sz w:val="16"/>
                <w:szCs w:val="16"/>
                <w:lang w:eastAsia="en-US"/>
              </w:rPr>
              <w:t>77%</w:t>
            </w:r>
          </w:p>
        </w:tc>
      </w:tr>
      <w:bookmarkEnd w:id="101"/>
    </w:tbl>
    <w:p w14:paraId="52BC0357" w14:textId="77777777" w:rsidR="00623EE2" w:rsidRDefault="00623EE2" w:rsidP="0E6C54AB">
      <w:pPr>
        <w:rPr>
          <w:rFonts w:ascii="Times New Roman" w:eastAsia="Calibri" w:hAnsi="Times New Roman"/>
        </w:rPr>
      </w:pPr>
    </w:p>
    <w:p w14:paraId="4DA39AF0" w14:textId="4C20B581" w:rsidR="497F36A6" w:rsidRPr="00C46840" w:rsidRDefault="45849695" w:rsidP="0E6C54AB">
      <w:pPr>
        <w:rPr>
          <w:rFonts w:ascii="Century Gothic" w:eastAsia="Calibri" w:hAnsi="Century Gothic"/>
        </w:rPr>
        <w:sectPr w:rsidR="497F36A6" w:rsidRPr="00C46840" w:rsidSect="004B36F4">
          <w:pgSz w:w="12240" w:h="15840"/>
          <w:pgMar w:top="1152" w:right="1152" w:bottom="1152" w:left="1152" w:header="720" w:footer="720" w:gutter="0"/>
          <w:cols w:space="720"/>
          <w:titlePg/>
          <w:docGrid w:linePitch="360"/>
        </w:sectPr>
      </w:pPr>
      <w:r w:rsidRPr="00F157F7">
        <w:rPr>
          <w:rFonts w:ascii="Century Gothic" w:eastAsia="Calibri" w:hAnsi="Century Gothic"/>
        </w:rPr>
        <w:t>Most of these voucher allocations rely on referrals from outside sources. At the close of FY</w:t>
      </w:r>
      <w:r w:rsidR="78B532E5" w:rsidRPr="00F157F7">
        <w:rPr>
          <w:rFonts w:ascii="Century Gothic" w:eastAsia="Calibri" w:hAnsi="Century Gothic"/>
        </w:rPr>
        <w:t>24</w:t>
      </w:r>
      <w:r w:rsidRPr="00F157F7">
        <w:rPr>
          <w:rFonts w:ascii="Century Gothic" w:eastAsia="Calibri" w:hAnsi="Century Gothic"/>
        </w:rPr>
        <w:t xml:space="preserve">, utilization of these vouchers </w:t>
      </w:r>
      <w:r w:rsidR="00985784">
        <w:rPr>
          <w:rFonts w:ascii="Century Gothic" w:eastAsia="Calibri" w:hAnsi="Century Gothic"/>
        </w:rPr>
        <w:t xml:space="preserve">was </w:t>
      </w:r>
      <w:r w:rsidR="7CC370EF" w:rsidRPr="00C46840">
        <w:rPr>
          <w:rFonts w:ascii="Century Gothic" w:eastAsia="Calibri" w:hAnsi="Century Gothic"/>
        </w:rPr>
        <w:t>77</w:t>
      </w:r>
      <w:r w:rsidRPr="00C46840">
        <w:rPr>
          <w:rFonts w:ascii="Century Gothic" w:eastAsia="Calibri" w:hAnsi="Century Gothic"/>
        </w:rPr>
        <w:t xml:space="preserve">%. </w:t>
      </w:r>
    </w:p>
    <w:p w14:paraId="3AF2D9D4" w14:textId="0D0DF52E" w:rsidR="00A406EE" w:rsidRPr="00C46840" w:rsidRDefault="7BFF5FB3" w:rsidP="0D8BAA9B">
      <w:pPr>
        <w:pStyle w:val="Heading4"/>
        <w:rPr>
          <w:rStyle w:val="SubtleEmphasis"/>
          <w:rFonts w:ascii="Century Gothic" w:hAnsi="Century Gothic" w:cs="Times New Roman"/>
          <w:color w:val="808080" w:themeColor="background1" w:themeShade="80"/>
          <w:sz w:val="22"/>
        </w:rPr>
      </w:pPr>
      <w:r w:rsidRPr="00C46840">
        <w:rPr>
          <w:rStyle w:val="SubtleEmphasis"/>
          <w:rFonts w:ascii="Century Gothic" w:hAnsi="Century Gothic" w:cs="Times New Roman"/>
          <w:color w:val="808080" w:themeColor="background1" w:themeShade="80"/>
          <w:sz w:val="22"/>
        </w:rPr>
        <w:lastRenderedPageBreak/>
        <w:t>Impact</w:t>
      </w:r>
    </w:p>
    <w:p w14:paraId="2F2A5AB9" w14:textId="77777777" w:rsidR="009F3914" w:rsidRDefault="10D2B657" w:rsidP="003F0D12">
      <w:pPr>
        <w:jc w:val="both"/>
        <w:rPr>
          <w:rFonts w:ascii="Century Gothic" w:eastAsia="Times New Roman" w:hAnsi="Century Gothic"/>
        </w:rPr>
      </w:pPr>
      <w:r w:rsidRPr="00C46840">
        <w:rPr>
          <w:rFonts w:ascii="Century Gothic" w:eastAsia="Times New Roman" w:hAnsi="Century Gothic"/>
        </w:rPr>
        <w:t xml:space="preserve">Due to the homelessness crisis in our city and our nation, this initiative is critical and a necessity. This initiative is a small but mighty step that ECC/HANH has taken to eradicate this epidemic. </w:t>
      </w:r>
    </w:p>
    <w:p w14:paraId="6ED84B7B" w14:textId="77777777" w:rsidR="009F3914" w:rsidRDefault="009F3914" w:rsidP="003F0D12">
      <w:pPr>
        <w:jc w:val="both"/>
        <w:rPr>
          <w:rFonts w:ascii="Century Gothic" w:eastAsia="Times New Roman" w:hAnsi="Century Gothic"/>
        </w:rPr>
      </w:pPr>
    </w:p>
    <w:p w14:paraId="5B7C1E87" w14:textId="6F90D3A7" w:rsidR="009F3914" w:rsidRDefault="10D2B657" w:rsidP="003F0D12">
      <w:pPr>
        <w:jc w:val="both"/>
        <w:rPr>
          <w:rFonts w:ascii="Century Gothic" w:eastAsia="Times New Roman" w:hAnsi="Century Gothic"/>
        </w:rPr>
      </w:pPr>
      <w:r w:rsidRPr="00C46840">
        <w:rPr>
          <w:rFonts w:ascii="Century Gothic" w:eastAsia="Times New Roman" w:hAnsi="Century Gothic"/>
        </w:rPr>
        <w:t xml:space="preserve">ECC/HANH’s initiative to engage area Agencies that provide supportive services to individuals and families who are near homelessness or chronologically homeless on a path to stability and self-sufficiency is important and impactful.  Studies show that </w:t>
      </w:r>
      <w:r w:rsidR="0044250A" w:rsidRPr="00C46840">
        <w:rPr>
          <w:rFonts w:ascii="Century Gothic" w:eastAsia="Times New Roman" w:hAnsi="Century Gothic"/>
        </w:rPr>
        <w:t>one</w:t>
      </w:r>
      <w:r w:rsidRPr="00C46840">
        <w:rPr>
          <w:rFonts w:ascii="Century Gothic" w:eastAsia="Times New Roman" w:hAnsi="Century Gothic"/>
        </w:rPr>
        <w:t xml:space="preserve"> of the major obstacles to</w:t>
      </w:r>
      <w:r w:rsidR="009F3914">
        <w:rPr>
          <w:rFonts w:ascii="Century Gothic" w:eastAsia="Times New Roman" w:hAnsi="Century Gothic"/>
        </w:rPr>
        <w:t xml:space="preserve"> </w:t>
      </w:r>
      <w:r w:rsidRPr="00C46840">
        <w:rPr>
          <w:rFonts w:ascii="Century Gothic" w:eastAsia="Times New Roman" w:hAnsi="Century Gothic"/>
        </w:rPr>
        <w:t xml:space="preserve">self-sufficiency is access to decent and affordable homes for families. </w:t>
      </w:r>
    </w:p>
    <w:p w14:paraId="3C1CEFBA" w14:textId="77777777" w:rsidR="009F3914" w:rsidRDefault="009F3914" w:rsidP="003F0D12">
      <w:pPr>
        <w:jc w:val="both"/>
        <w:rPr>
          <w:rFonts w:ascii="Century Gothic" w:eastAsia="Times New Roman" w:hAnsi="Century Gothic"/>
        </w:rPr>
      </w:pPr>
    </w:p>
    <w:p w14:paraId="19EDA8D5" w14:textId="43AC17E1" w:rsidR="005E581F" w:rsidRPr="00C46840" w:rsidRDefault="10D2B657" w:rsidP="003F0D12">
      <w:pPr>
        <w:jc w:val="both"/>
        <w:rPr>
          <w:rFonts w:ascii="Century Gothic" w:eastAsia="Times New Roman" w:hAnsi="Century Gothic"/>
        </w:rPr>
      </w:pPr>
      <w:r w:rsidRPr="00C46840">
        <w:rPr>
          <w:rFonts w:ascii="Century Gothic" w:eastAsia="Times New Roman" w:hAnsi="Century Gothic"/>
        </w:rPr>
        <w:t xml:space="preserve">As ECC/HANH continues to assist these individuals and families, our secondary focus will be assisting them in obtaining self-sufficiency so they can move </w:t>
      </w:r>
      <w:r w:rsidR="1558E99B" w:rsidRPr="00C46840">
        <w:rPr>
          <w:rFonts w:ascii="Century Gothic" w:eastAsia="Times New Roman" w:hAnsi="Century Gothic"/>
        </w:rPr>
        <w:t>on,</w:t>
      </w:r>
      <w:r w:rsidR="6AF6683E" w:rsidRPr="00C46840">
        <w:rPr>
          <w:rFonts w:ascii="Century Gothic" w:eastAsia="Times New Roman" w:hAnsi="Century Gothic"/>
        </w:rPr>
        <w:t xml:space="preserve"> </w:t>
      </w:r>
      <w:r w:rsidRPr="00C46840">
        <w:rPr>
          <w:rFonts w:ascii="Century Gothic" w:eastAsia="Times New Roman" w:hAnsi="Century Gothic"/>
        </w:rPr>
        <w:t xml:space="preserve">and </w:t>
      </w:r>
      <w:r w:rsidR="7D502A31" w:rsidRPr="00C46840">
        <w:rPr>
          <w:rFonts w:ascii="Century Gothic" w:eastAsia="Times New Roman" w:hAnsi="Century Gothic"/>
        </w:rPr>
        <w:t xml:space="preserve">the </w:t>
      </w:r>
      <w:r w:rsidRPr="00C46840">
        <w:rPr>
          <w:rFonts w:ascii="Century Gothic" w:eastAsia="Times New Roman" w:hAnsi="Century Gothic"/>
        </w:rPr>
        <w:t>voucher can be available for others who are in need.</w:t>
      </w:r>
    </w:p>
    <w:p w14:paraId="4BFBB4F5" w14:textId="3D26423D" w:rsidR="005E581F" w:rsidRPr="00C46840" w:rsidRDefault="005E581F" w:rsidP="0E6C54AB">
      <w:pPr>
        <w:pStyle w:val="NoSpacing"/>
        <w:jc w:val="both"/>
        <w:rPr>
          <w:rFonts w:ascii="Century Gothic" w:eastAsia="MS PGothic" w:hAnsi="Century Gothic" w:cs="Arial"/>
          <w:sz w:val="22"/>
          <w:szCs w:val="22"/>
        </w:rPr>
      </w:pPr>
    </w:p>
    <w:p w14:paraId="0D3E9FE3" w14:textId="77777777" w:rsidR="009F3914" w:rsidRDefault="39EED177" w:rsidP="46B3BF7C">
      <w:pPr>
        <w:pStyle w:val="NoSpacing"/>
        <w:jc w:val="both"/>
        <w:rPr>
          <w:rFonts w:ascii="Century Gothic" w:hAnsi="Century Gothic" w:cs="Times New Roman"/>
          <w:b w:val="0"/>
          <w:color w:val="auto"/>
          <w:sz w:val="22"/>
          <w:szCs w:val="22"/>
          <w:lang w:eastAsia="zh-CN"/>
        </w:rPr>
      </w:pPr>
      <w:r w:rsidRPr="00C46840">
        <w:rPr>
          <w:rFonts w:ascii="Century Gothic" w:hAnsi="Century Gothic" w:cs="Times New Roman"/>
          <w:b w:val="0"/>
          <w:color w:val="auto"/>
          <w:sz w:val="22"/>
          <w:szCs w:val="22"/>
          <w:lang w:eastAsia="zh-CN"/>
        </w:rPr>
        <w:t>At the start of FY2</w:t>
      </w:r>
      <w:r w:rsidR="1D4DA258" w:rsidRPr="00C46840">
        <w:rPr>
          <w:rFonts w:ascii="Century Gothic" w:hAnsi="Century Gothic" w:cs="Times New Roman"/>
          <w:b w:val="0"/>
          <w:color w:val="auto"/>
          <w:sz w:val="22"/>
          <w:szCs w:val="22"/>
          <w:lang w:eastAsia="zh-CN"/>
        </w:rPr>
        <w:t>4</w:t>
      </w:r>
      <w:r w:rsidRPr="00C46840">
        <w:rPr>
          <w:rFonts w:ascii="Century Gothic" w:hAnsi="Century Gothic" w:cs="Times New Roman"/>
          <w:b w:val="0"/>
          <w:color w:val="auto"/>
          <w:sz w:val="22"/>
          <w:szCs w:val="22"/>
          <w:lang w:eastAsia="zh-CN"/>
        </w:rPr>
        <w:t xml:space="preserve">, </w:t>
      </w:r>
      <w:r w:rsidR="6594CDC9" w:rsidRPr="00C46840">
        <w:rPr>
          <w:rFonts w:ascii="Century Gothic" w:hAnsi="Century Gothic" w:cs="Times New Roman"/>
          <w:b w:val="0"/>
          <w:color w:val="auto"/>
          <w:sz w:val="22"/>
          <w:szCs w:val="22"/>
          <w:lang w:eastAsia="zh-CN"/>
        </w:rPr>
        <w:t>150</w:t>
      </w:r>
      <w:r w:rsidR="6373C457" w:rsidRPr="00C46840">
        <w:rPr>
          <w:rFonts w:ascii="Century Gothic" w:hAnsi="Century Gothic" w:cs="Times New Roman"/>
          <w:b w:val="0"/>
          <w:color w:val="auto"/>
          <w:sz w:val="22"/>
          <w:szCs w:val="22"/>
          <w:lang w:eastAsia="zh-CN"/>
        </w:rPr>
        <w:t xml:space="preserve"> </w:t>
      </w:r>
      <w:r w:rsidRPr="00C46840">
        <w:rPr>
          <w:rFonts w:ascii="Century Gothic" w:hAnsi="Century Gothic" w:cs="Times New Roman"/>
          <w:b w:val="0"/>
          <w:color w:val="auto"/>
          <w:sz w:val="22"/>
          <w:szCs w:val="22"/>
          <w:lang w:eastAsia="zh-CN"/>
        </w:rPr>
        <w:t xml:space="preserve">of the </w:t>
      </w:r>
      <w:r w:rsidR="3062FA5F" w:rsidRPr="00C46840">
        <w:rPr>
          <w:rFonts w:ascii="Century Gothic" w:hAnsi="Century Gothic" w:cs="Times New Roman"/>
          <w:b w:val="0"/>
          <w:color w:val="auto"/>
          <w:sz w:val="22"/>
          <w:szCs w:val="22"/>
          <w:lang w:eastAsia="zh-CN"/>
        </w:rPr>
        <w:t>222</w:t>
      </w:r>
      <w:r w:rsidR="1BDD2E27" w:rsidRPr="00C46840">
        <w:rPr>
          <w:rFonts w:ascii="Century Gothic" w:hAnsi="Century Gothic" w:cs="Times New Roman"/>
          <w:b w:val="0"/>
          <w:color w:val="auto"/>
          <w:sz w:val="22"/>
          <w:szCs w:val="22"/>
          <w:lang w:eastAsia="zh-CN"/>
        </w:rPr>
        <w:t xml:space="preserve"> </w:t>
      </w:r>
      <w:r w:rsidRPr="00C46840">
        <w:rPr>
          <w:rFonts w:ascii="Century Gothic" w:hAnsi="Century Gothic" w:cs="Times New Roman"/>
          <w:b w:val="0"/>
          <w:color w:val="auto"/>
          <w:sz w:val="22"/>
          <w:szCs w:val="22"/>
          <w:lang w:eastAsia="zh-CN"/>
        </w:rPr>
        <w:t xml:space="preserve">vouchers allocated were used for a total utilization rate of </w:t>
      </w:r>
      <w:r w:rsidR="48EB5333" w:rsidRPr="00C46840">
        <w:rPr>
          <w:rFonts w:ascii="Century Gothic" w:hAnsi="Century Gothic" w:cs="Times New Roman"/>
          <w:b w:val="0"/>
          <w:color w:val="auto"/>
          <w:sz w:val="22"/>
          <w:szCs w:val="22"/>
          <w:lang w:eastAsia="zh-CN"/>
        </w:rPr>
        <w:t>68</w:t>
      </w:r>
      <w:r w:rsidRPr="00C46840">
        <w:rPr>
          <w:rFonts w:ascii="Century Gothic" w:hAnsi="Century Gothic" w:cs="Times New Roman"/>
          <w:b w:val="0"/>
          <w:color w:val="auto"/>
          <w:sz w:val="22"/>
          <w:szCs w:val="22"/>
          <w:lang w:eastAsia="zh-CN"/>
        </w:rPr>
        <w:t xml:space="preserve">%. </w:t>
      </w:r>
    </w:p>
    <w:p w14:paraId="301D1BFA" w14:textId="77777777" w:rsidR="009F3914" w:rsidRDefault="009F3914" w:rsidP="46B3BF7C">
      <w:pPr>
        <w:pStyle w:val="NoSpacing"/>
        <w:jc w:val="both"/>
        <w:rPr>
          <w:rFonts w:ascii="Century Gothic" w:hAnsi="Century Gothic" w:cs="Times New Roman"/>
          <w:b w:val="0"/>
          <w:color w:val="auto"/>
          <w:sz w:val="22"/>
          <w:szCs w:val="22"/>
          <w:lang w:eastAsia="zh-CN"/>
        </w:rPr>
      </w:pPr>
    </w:p>
    <w:p w14:paraId="0888D88A" w14:textId="36889085" w:rsidR="00F26883" w:rsidRDefault="39EED177" w:rsidP="46B3BF7C">
      <w:pPr>
        <w:pStyle w:val="NoSpacing"/>
        <w:jc w:val="both"/>
        <w:rPr>
          <w:rFonts w:ascii="Century Gothic" w:hAnsi="Century Gothic" w:cs="Times New Roman"/>
          <w:b w:val="0"/>
          <w:color w:val="auto"/>
          <w:sz w:val="22"/>
          <w:szCs w:val="22"/>
          <w:lang w:eastAsia="zh-CN"/>
        </w:rPr>
      </w:pPr>
      <w:r w:rsidRPr="00C46840">
        <w:rPr>
          <w:rFonts w:ascii="Century Gothic" w:hAnsi="Century Gothic" w:cs="Times New Roman"/>
          <w:b w:val="0"/>
          <w:color w:val="auto"/>
          <w:sz w:val="22"/>
          <w:szCs w:val="22"/>
          <w:lang w:eastAsia="zh-CN"/>
        </w:rPr>
        <w:t>At the close of FY2</w:t>
      </w:r>
      <w:r w:rsidR="47D8F895" w:rsidRPr="00C46840">
        <w:rPr>
          <w:rFonts w:ascii="Century Gothic" w:hAnsi="Century Gothic" w:cs="Times New Roman"/>
          <w:b w:val="0"/>
          <w:color w:val="auto"/>
          <w:sz w:val="22"/>
          <w:szCs w:val="22"/>
          <w:lang w:eastAsia="zh-CN"/>
        </w:rPr>
        <w:t>4</w:t>
      </w:r>
      <w:r w:rsidRPr="00C46840">
        <w:rPr>
          <w:rFonts w:ascii="Century Gothic" w:hAnsi="Century Gothic" w:cs="Times New Roman"/>
          <w:b w:val="0"/>
          <w:color w:val="auto"/>
          <w:sz w:val="22"/>
          <w:szCs w:val="22"/>
          <w:lang w:eastAsia="zh-CN"/>
        </w:rPr>
        <w:t xml:space="preserve">, </w:t>
      </w:r>
      <w:r w:rsidR="00125FA3" w:rsidRPr="00C46840">
        <w:rPr>
          <w:rFonts w:ascii="Century Gothic" w:hAnsi="Century Gothic" w:cs="Times New Roman"/>
          <w:b w:val="0"/>
          <w:color w:val="auto"/>
          <w:sz w:val="22"/>
          <w:szCs w:val="22"/>
          <w:lang w:eastAsia="zh-CN"/>
        </w:rPr>
        <w:t xml:space="preserve">181 </w:t>
      </w:r>
      <w:r w:rsidRPr="00C46840">
        <w:rPr>
          <w:rFonts w:ascii="Century Gothic" w:hAnsi="Century Gothic" w:cs="Times New Roman"/>
          <w:b w:val="0"/>
          <w:color w:val="auto"/>
          <w:sz w:val="22"/>
          <w:szCs w:val="22"/>
          <w:lang w:eastAsia="zh-CN"/>
        </w:rPr>
        <w:t xml:space="preserve">of </w:t>
      </w:r>
      <w:r w:rsidR="3F14B8D8" w:rsidRPr="00C46840">
        <w:rPr>
          <w:rFonts w:ascii="Century Gothic" w:hAnsi="Century Gothic" w:cs="Times New Roman"/>
          <w:b w:val="0"/>
          <w:color w:val="auto"/>
          <w:sz w:val="22"/>
          <w:szCs w:val="22"/>
          <w:lang w:eastAsia="zh-CN"/>
        </w:rPr>
        <w:t>234</w:t>
      </w:r>
      <w:r w:rsidRPr="00C46840">
        <w:rPr>
          <w:rFonts w:ascii="Century Gothic" w:hAnsi="Century Gothic" w:cs="Times New Roman"/>
          <w:b w:val="0"/>
          <w:color w:val="auto"/>
          <w:sz w:val="22"/>
          <w:szCs w:val="22"/>
          <w:lang w:eastAsia="zh-CN"/>
        </w:rPr>
        <w:t xml:space="preserve"> allocated vouchers were utilized representing at </w:t>
      </w:r>
      <w:r w:rsidR="00125FA3" w:rsidRPr="00C46840">
        <w:rPr>
          <w:rFonts w:ascii="Century Gothic" w:hAnsi="Century Gothic" w:cs="Times New Roman"/>
          <w:b w:val="0"/>
          <w:color w:val="auto"/>
          <w:sz w:val="22"/>
          <w:szCs w:val="22"/>
          <w:lang w:eastAsia="zh-CN"/>
        </w:rPr>
        <w:t>77</w:t>
      </w:r>
      <w:r w:rsidRPr="00C46840">
        <w:rPr>
          <w:rFonts w:ascii="Century Gothic" w:hAnsi="Century Gothic" w:cs="Times New Roman"/>
          <w:b w:val="0"/>
          <w:color w:val="auto"/>
          <w:sz w:val="22"/>
          <w:szCs w:val="22"/>
          <w:lang w:eastAsia="zh-CN"/>
        </w:rPr>
        <w:t xml:space="preserve">% utilization rate.  </w:t>
      </w:r>
      <w:r w:rsidR="57A7E56E" w:rsidRPr="00C46840">
        <w:rPr>
          <w:rFonts w:ascii="Century Gothic" w:hAnsi="Century Gothic" w:cs="Times New Roman"/>
          <w:b w:val="0"/>
          <w:color w:val="auto"/>
          <w:sz w:val="22"/>
          <w:szCs w:val="22"/>
          <w:lang w:eastAsia="zh-CN"/>
        </w:rPr>
        <w:t xml:space="preserve">Throughout the year, </w:t>
      </w:r>
      <w:r w:rsidR="34BFDE28" w:rsidRPr="00C46840">
        <w:rPr>
          <w:rFonts w:ascii="Century Gothic" w:hAnsi="Century Gothic" w:cs="Times New Roman"/>
          <w:b w:val="0"/>
          <w:color w:val="auto"/>
          <w:sz w:val="22"/>
          <w:szCs w:val="22"/>
          <w:lang w:eastAsia="zh-CN"/>
        </w:rPr>
        <w:t>29</w:t>
      </w:r>
      <w:r w:rsidR="57A7E56E" w:rsidRPr="00C46840">
        <w:rPr>
          <w:rFonts w:ascii="Century Gothic" w:hAnsi="Century Gothic" w:cs="Times New Roman"/>
          <w:b w:val="0"/>
          <w:color w:val="auto"/>
          <w:sz w:val="22"/>
          <w:szCs w:val="22"/>
          <w:lang w:eastAsia="zh-CN"/>
        </w:rPr>
        <w:t xml:space="preserve"> referrals were rece</w:t>
      </w:r>
      <w:r w:rsidR="7E602414" w:rsidRPr="00C46840">
        <w:rPr>
          <w:rFonts w:ascii="Century Gothic" w:hAnsi="Century Gothic" w:cs="Times New Roman"/>
          <w:b w:val="0"/>
          <w:color w:val="auto"/>
          <w:sz w:val="22"/>
          <w:szCs w:val="22"/>
          <w:lang w:eastAsia="zh-CN"/>
        </w:rPr>
        <w:t>iv</w:t>
      </w:r>
      <w:r w:rsidR="57A7E56E" w:rsidRPr="00C46840">
        <w:rPr>
          <w:rFonts w:ascii="Century Gothic" w:hAnsi="Century Gothic" w:cs="Times New Roman"/>
          <w:b w:val="0"/>
          <w:color w:val="auto"/>
          <w:sz w:val="22"/>
          <w:szCs w:val="22"/>
          <w:lang w:eastAsia="zh-CN"/>
        </w:rPr>
        <w:t xml:space="preserve">ed resulting in </w:t>
      </w:r>
      <w:r w:rsidR="79CA3F8E" w:rsidRPr="00C46840">
        <w:rPr>
          <w:rFonts w:ascii="Century Gothic" w:hAnsi="Century Gothic" w:cs="Times New Roman"/>
          <w:b w:val="0"/>
          <w:color w:val="auto"/>
          <w:sz w:val="22"/>
          <w:szCs w:val="22"/>
          <w:lang w:eastAsia="zh-CN"/>
        </w:rPr>
        <w:t>19</w:t>
      </w:r>
      <w:r w:rsidR="57A7E56E" w:rsidRPr="00C46840">
        <w:rPr>
          <w:rFonts w:ascii="Century Gothic" w:hAnsi="Century Gothic" w:cs="Times New Roman"/>
          <w:b w:val="0"/>
          <w:color w:val="auto"/>
          <w:sz w:val="22"/>
          <w:szCs w:val="22"/>
          <w:lang w:eastAsia="zh-CN"/>
        </w:rPr>
        <w:t xml:space="preserve"> lease ups. </w:t>
      </w:r>
    </w:p>
    <w:p w14:paraId="069C140C" w14:textId="62B6723C" w:rsidR="00F26883" w:rsidRDefault="00F26883" w:rsidP="46B3BF7C">
      <w:pPr>
        <w:pStyle w:val="NoSpacing"/>
        <w:jc w:val="both"/>
        <w:rPr>
          <w:rFonts w:ascii="Century Gothic" w:hAnsi="Century Gothic" w:cs="Times New Roman"/>
          <w:b w:val="0"/>
          <w:color w:val="auto"/>
          <w:sz w:val="22"/>
          <w:szCs w:val="22"/>
          <w:lang w:eastAsia="zh-CN"/>
        </w:rPr>
      </w:pPr>
    </w:p>
    <w:p w14:paraId="7E5AAE4F" w14:textId="62C8298C" w:rsidR="00F26883" w:rsidRDefault="00720BD0" w:rsidP="46B3BF7C">
      <w:pPr>
        <w:pStyle w:val="NoSpacing"/>
        <w:jc w:val="both"/>
        <w:rPr>
          <w:rFonts w:ascii="Century Gothic" w:hAnsi="Century Gothic" w:cs="Times New Roman"/>
          <w:b w:val="0"/>
          <w:color w:val="auto"/>
          <w:sz w:val="22"/>
          <w:szCs w:val="22"/>
          <w:lang w:eastAsia="zh-CN"/>
        </w:rPr>
      </w:pPr>
      <w:r>
        <w:rPr>
          <w:rFonts w:ascii="Century Gothic" w:hAnsi="Century Gothic" w:cs="Times New Roman"/>
          <w:b w:val="0"/>
          <w:color w:val="auto"/>
          <w:sz w:val="22"/>
          <w:szCs w:val="22"/>
          <w:lang w:eastAsia="zh-CN"/>
        </w:rPr>
        <w:t>The referrals were fro</w:t>
      </w:r>
      <w:r w:rsidR="008445FD">
        <w:rPr>
          <w:rFonts w:ascii="Century Gothic" w:hAnsi="Century Gothic" w:cs="Times New Roman"/>
          <w:b w:val="0"/>
          <w:color w:val="auto"/>
          <w:sz w:val="22"/>
          <w:szCs w:val="22"/>
          <w:lang w:eastAsia="zh-CN"/>
        </w:rPr>
        <w:t xml:space="preserve">m </w:t>
      </w:r>
      <w:r w:rsidR="00F26883">
        <w:rPr>
          <w:rFonts w:ascii="Century Gothic" w:hAnsi="Century Gothic" w:cs="Times New Roman"/>
          <w:b w:val="0"/>
          <w:color w:val="auto"/>
          <w:sz w:val="22"/>
          <w:szCs w:val="22"/>
          <w:lang w:eastAsia="zh-CN"/>
        </w:rPr>
        <w:t>the following agencies:</w:t>
      </w:r>
    </w:p>
    <w:p w14:paraId="4E49E0CF" w14:textId="0C869E06" w:rsidR="00F26883" w:rsidRDefault="008445FD" w:rsidP="00486062">
      <w:pPr>
        <w:pStyle w:val="NoSpacing"/>
        <w:numPr>
          <w:ilvl w:val="0"/>
          <w:numId w:val="128"/>
        </w:numPr>
        <w:jc w:val="both"/>
        <w:rPr>
          <w:rFonts w:ascii="Century Gothic" w:hAnsi="Century Gothic" w:cs="Times New Roman"/>
          <w:b w:val="0"/>
          <w:color w:val="auto"/>
          <w:sz w:val="22"/>
          <w:szCs w:val="22"/>
          <w:lang w:eastAsia="zh-CN"/>
        </w:rPr>
      </w:pPr>
      <w:r>
        <w:rPr>
          <w:rFonts w:ascii="Century Gothic" w:hAnsi="Century Gothic" w:cs="Times New Roman"/>
          <w:b w:val="0"/>
          <w:color w:val="auto"/>
          <w:sz w:val="22"/>
          <w:szCs w:val="22"/>
          <w:lang w:eastAsia="zh-CN"/>
        </w:rPr>
        <w:t>Project Longevity</w:t>
      </w:r>
    </w:p>
    <w:p w14:paraId="61D9D7F1" w14:textId="49B54AC5" w:rsidR="00F26883" w:rsidRDefault="008445FD" w:rsidP="00486062">
      <w:pPr>
        <w:pStyle w:val="NoSpacing"/>
        <w:numPr>
          <w:ilvl w:val="0"/>
          <w:numId w:val="128"/>
        </w:numPr>
        <w:jc w:val="both"/>
        <w:rPr>
          <w:rFonts w:ascii="Century Gothic" w:hAnsi="Century Gothic" w:cs="Times New Roman"/>
          <w:b w:val="0"/>
          <w:color w:val="auto"/>
          <w:sz w:val="22"/>
          <w:szCs w:val="22"/>
          <w:lang w:eastAsia="zh-CN"/>
        </w:rPr>
      </w:pPr>
      <w:r>
        <w:rPr>
          <w:rFonts w:ascii="Century Gothic" w:hAnsi="Century Gothic" w:cs="Times New Roman"/>
          <w:b w:val="0"/>
          <w:color w:val="auto"/>
          <w:sz w:val="22"/>
          <w:szCs w:val="22"/>
          <w:lang w:eastAsia="zh-CN"/>
        </w:rPr>
        <w:t>Project re-Entry</w:t>
      </w:r>
      <w:r w:rsidR="00DD4023">
        <w:rPr>
          <w:rFonts w:ascii="Century Gothic" w:hAnsi="Century Gothic" w:cs="Times New Roman"/>
          <w:b w:val="0"/>
          <w:color w:val="auto"/>
          <w:sz w:val="22"/>
          <w:szCs w:val="22"/>
          <w:lang w:eastAsia="zh-CN"/>
        </w:rPr>
        <w:t xml:space="preserve"> </w:t>
      </w:r>
    </w:p>
    <w:p w14:paraId="3800EA57" w14:textId="6FDE6868" w:rsidR="00F26883" w:rsidRDefault="00DD4023" w:rsidP="00486062">
      <w:pPr>
        <w:pStyle w:val="NoSpacing"/>
        <w:numPr>
          <w:ilvl w:val="0"/>
          <w:numId w:val="128"/>
        </w:numPr>
        <w:jc w:val="both"/>
        <w:rPr>
          <w:rFonts w:ascii="Century Gothic" w:hAnsi="Century Gothic" w:cs="Times New Roman"/>
          <w:b w:val="0"/>
          <w:color w:val="auto"/>
          <w:sz w:val="22"/>
          <w:szCs w:val="22"/>
          <w:lang w:eastAsia="zh-CN"/>
        </w:rPr>
      </w:pPr>
      <w:r>
        <w:rPr>
          <w:rFonts w:ascii="Century Gothic" w:hAnsi="Century Gothic" w:cs="Times New Roman"/>
          <w:b w:val="0"/>
          <w:color w:val="auto"/>
          <w:sz w:val="22"/>
          <w:szCs w:val="22"/>
          <w:lang w:eastAsia="zh-CN"/>
        </w:rPr>
        <w:t>FUS</w:t>
      </w:r>
      <w:r w:rsidR="00F26883">
        <w:rPr>
          <w:rFonts w:ascii="Century Gothic" w:hAnsi="Century Gothic" w:cs="Times New Roman"/>
          <w:b w:val="0"/>
          <w:color w:val="auto"/>
          <w:sz w:val="22"/>
          <w:szCs w:val="22"/>
          <w:lang w:eastAsia="zh-CN"/>
        </w:rPr>
        <w:t>E</w:t>
      </w:r>
    </w:p>
    <w:p w14:paraId="3FF3C136" w14:textId="624CD844" w:rsidR="00F26883" w:rsidRDefault="00F26883" w:rsidP="00486062">
      <w:pPr>
        <w:pStyle w:val="NoSpacing"/>
        <w:numPr>
          <w:ilvl w:val="0"/>
          <w:numId w:val="128"/>
        </w:numPr>
        <w:jc w:val="both"/>
        <w:rPr>
          <w:rFonts w:ascii="Century Gothic" w:hAnsi="Century Gothic" w:cs="Times New Roman"/>
          <w:b w:val="0"/>
          <w:color w:val="auto"/>
          <w:sz w:val="22"/>
          <w:szCs w:val="22"/>
          <w:lang w:eastAsia="zh-CN"/>
        </w:rPr>
      </w:pPr>
      <w:r>
        <w:rPr>
          <w:rFonts w:ascii="Century Gothic" w:hAnsi="Century Gothic" w:cs="Times New Roman"/>
          <w:b w:val="0"/>
          <w:color w:val="auto"/>
          <w:sz w:val="22"/>
          <w:szCs w:val="22"/>
          <w:lang w:eastAsia="zh-CN"/>
        </w:rPr>
        <w:t>Christian Community Agency (CCA)</w:t>
      </w:r>
    </w:p>
    <w:p w14:paraId="298A58C8" w14:textId="195E3750" w:rsidR="00F26883" w:rsidRDefault="00F26883" w:rsidP="00486062">
      <w:pPr>
        <w:pStyle w:val="NoSpacing"/>
        <w:numPr>
          <w:ilvl w:val="0"/>
          <w:numId w:val="128"/>
        </w:numPr>
        <w:jc w:val="both"/>
        <w:rPr>
          <w:rFonts w:ascii="Century Gothic" w:hAnsi="Century Gothic" w:cs="Times New Roman"/>
          <w:b w:val="0"/>
          <w:color w:val="auto"/>
          <w:sz w:val="22"/>
          <w:szCs w:val="22"/>
          <w:lang w:eastAsia="zh-CN"/>
        </w:rPr>
      </w:pPr>
      <w:r>
        <w:rPr>
          <w:rFonts w:ascii="Century Gothic" w:hAnsi="Century Gothic" w:cs="Times New Roman"/>
          <w:b w:val="0"/>
          <w:color w:val="auto"/>
          <w:sz w:val="22"/>
          <w:szCs w:val="22"/>
          <w:lang w:eastAsia="zh-CN"/>
        </w:rPr>
        <w:t>Department of Children and Families (DCF)</w:t>
      </w:r>
    </w:p>
    <w:p w14:paraId="1509B193" w14:textId="6F7EE599" w:rsidR="00361A82" w:rsidRDefault="00154773" w:rsidP="00486062">
      <w:pPr>
        <w:pStyle w:val="NoSpacing"/>
        <w:numPr>
          <w:ilvl w:val="0"/>
          <w:numId w:val="128"/>
        </w:numPr>
        <w:jc w:val="both"/>
        <w:rPr>
          <w:rFonts w:ascii="Century Gothic" w:hAnsi="Century Gothic" w:cs="Times New Roman"/>
          <w:b w:val="0"/>
          <w:color w:val="auto"/>
          <w:sz w:val="22"/>
          <w:szCs w:val="22"/>
          <w:lang w:eastAsia="zh-CN"/>
        </w:rPr>
      </w:pPr>
      <w:r>
        <w:rPr>
          <w:rFonts w:ascii="Century Gothic" w:hAnsi="Century Gothic" w:cs="Times New Roman"/>
          <w:b w:val="0"/>
          <w:color w:val="auto"/>
          <w:sz w:val="22"/>
          <w:szCs w:val="22"/>
          <w:lang w:eastAsia="zh-CN"/>
        </w:rPr>
        <w:t xml:space="preserve">Greater New Haven Coordinated </w:t>
      </w:r>
      <w:r w:rsidR="00325B94">
        <w:rPr>
          <w:rFonts w:ascii="Century Gothic" w:hAnsi="Century Gothic" w:cs="Times New Roman"/>
          <w:b w:val="0"/>
          <w:color w:val="auto"/>
          <w:sz w:val="22"/>
          <w:szCs w:val="22"/>
          <w:lang w:eastAsia="zh-CN"/>
        </w:rPr>
        <w:t>A</w:t>
      </w:r>
      <w:r w:rsidR="003E42B0">
        <w:rPr>
          <w:rFonts w:ascii="Century Gothic" w:hAnsi="Century Gothic" w:cs="Times New Roman"/>
          <w:b w:val="0"/>
          <w:color w:val="auto"/>
          <w:sz w:val="22"/>
          <w:szCs w:val="22"/>
          <w:lang w:eastAsia="zh-CN"/>
        </w:rPr>
        <w:t xml:space="preserve">ccess </w:t>
      </w:r>
      <w:r w:rsidR="007772CE">
        <w:rPr>
          <w:rFonts w:ascii="Century Gothic" w:hAnsi="Century Gothic" w:cs="Times New Roman"/>
          <w:b w:val="0"/>
          <w:color w:val="auto"/>
          <w:sz w:val="22"/>
          <w:szCs w:val="22"/>
          <w:lang w:eastAsia="zh-CN"/>
        </w:rPr>
        <w:t>N</w:t>
      </w:r>
      <w:r w:rsidR="003E42B0">
        <w:rPr>
          <w:rFonts w:ascii="Century Gothic" w:hAnsi="Century Gothic" w:cs="Times New Roman"/>
          <w:b w:val="0"/>
          <w:color w:val="auto"/>
          <w:sz w:val="22"/>
          <w:szCs w:val="22"/>
          <w:lang w:eastAsia="zh-CN"/>
        </w:rPr>
        <w:t>etwork (GNHCAN</w:t>
      </w:r>
      <w:r w:rsidR="00361A82">
        <w:rPr>
          <w:rFonts w:ascii="Century Gothic" w:hAnsi="Century Gothic" w:cs="Times New Roman"/>
          <w:b w:val="0"/>
          <w:color w:val="auto"/>
          <w:sz w:val="22"/>
          <w:szCs w:val="22"/>
          <w:lang w:eastAsia="zh-CN"/>
        </w:rPr>
        <w:t>)</w:t>
      </w:r>
    </w:p>
    <w:p w14:paraId="2F4CBADE" w14:textId="28FA4688" w:rsidR="007772CE" w:rsidRDefault="007772CE" w:rsidP="008B1BA0">
      <w:pPr>
        <w:pStyle w:val="NoSpacing"/>
        <w:ind w:left="720"/>
        <w:jc w:val="both"/>
        <w:rPr>
          <w:rFonts w:ascii="Century Gothic" w:hAnsi="Century Gothic" w:cs="Times New Roman"/>
          <w:b w:val="0"/>
          <w:color w:val="auto"/>
          <w:sz w:val="22"/>
          <w:szCs w:val="22"/>
          <w:lang w:eastAsia="zh-CN"/>
        </w:rPr>
      </w:pPr>
    </w:p>
    <w:p w14:paraId="0C4632D0" w14:textId="26B8A7CA" w:rsidR="5C7B08CC" w:rsidRPr="00C46840" w:rsidRDefault="7254309E" w:rsidP="007772CE">
      <w:pPr>
        <w:pStyle w:val="NoSpacing"/>
        <w:jc w:val="both"/>
        <w:rPr>
          <w:rFonts w:ascii="Century Gothic" w:hAnsi="Century Gothic" w:cs="Times New Roman"/>
          <w:b w:val="0"/>
          <w:color w:val="auto"/>
          <w:sz w:val="22"/>
          <w:szCs w:val="22"/>
          <w:lang w:eastAsia="zh-CN"/>
        </w:rPr>
      </w:pPr>
      <w:r w:rsidRPr="00C46840">
        <w:rPr>
          <w:rFonts w:ascii="Century Gothic" w:hAnsi="Century Gothic" w:cs="Times New Roman"/>
          <w:b w:val="0"/>
          <w:color w:val="auto"/>
          <w:sz w:val="22"/>
          <w:szCs w:val="22"/>
          <w:lang w:eastAsia="zh-CN"/>
        </w:rPr>
        <w:t>ECC/HANH will continue to work with th</w:t>
      </w:r>
      <w:r w:rsidR="2808E178" w:rsidRPr="00C46840">
        <w:rPr>
          <w:rFonts w:ascii="Century Gothic" w:hAnsi="Century Gothic" w:cs="Times New Roman"/>
          <w:b w:val="0"/>
          <w:color w:val="auto"/>
          <w:sz w:val="22"/>
          <w:szCs w:val="22"/>
          <w:lang w:eastAsia="zh-CN"/>
        </w:rPr>
        <w:t xml:space="preserve">e agencies for referrals to fill </w:t>
      </w:r>
      <w:r w:rsidR="23AA9C1C" w:rsidRPr="00C46840">
        <w:rPr>
          <w:rFonts w:ascii="Century Gothic" w:hAnsi="Century Gothic" w:cs="Times New Roman"/>
          <w:b w:val="0"/>
          <w:color w:val="auto"/>
          <w:sz w:val="22"/>
          <w:szCs w:val="22"/>
          <w:lang w:eastAsia="zh-CN"/>
        </w:rPr>
        <w:t>any</w:t>
      </w:r>
      <w:r w:rsidR="2808E178" w:rsidRPr="00C46840">
        <w:rPr>
          <w:rFonts w:ascii="Century Gothic" w:hAnsi="Century Gothic" w:cs="Times New Roman"/>
          <w:b w:val="0"/>
          <w:color w:val="auto"/>
          <w:sz w:val="22"/>
          <w:szCs w:val="22"/>
          <w:lang w:eastAsia="zh-CN"/>
        </w:rPr>
        <w:t xml:space="preserve"> vacancies.</w:t>
      </w:r>
    </w:p>
    <w:p w14:paraId="55447695" w14:textId="24DC25E4" w:rsidR="0E6C54AB" w:rsidRPr="00C46840" w:rsidRDefault="0E6C54AB" w:rsidP="0E6C54AB">
      <w:pPr>
        <w:pStyle w:val="NoSpacing"/>
        <w:jc w:val="both"/>
        <w:rPr>
          <w:rFonts w:ascii="Century Gothic" w:eastAsia="Times New Roman" w:hAnsi="Century Gothic"/>
          <w:b w:val="0"/>
          <w:color w:val="auto"/>
        </w:rPr>
      </w:pPr>
    </w:p>
    <w:p w14:paraId="2CFDA835" w14:textId="00CE987E" w:rsidR="7370C1E3" w:rsidRPr="00C46840" w:rsidRDefault="7566C6F0" w:rsidP="46B3BF7C">
      <w:pPr>
        <w:pStyle w:val="NoSpacing"/>
        <w:jc w:val="both"/>
        <w:rPr>
          <w:rFonts w:ascii="Century Gothic" w:hAnsi="Century Gothic" w:cs="Times New Roman"/>
          <w:b w:val="0"/>
          <w:color w:val="auto"/>
          <w:sz w:val="22"/>
          <w:szCs w:val="22"/>
          <w:lang w:eastAsia="zh-CN"/>
        </w:rPr>
      </w:pPr>
      <w:r w:rsidRPr="00C46840">
        <w:rPr>
          <w:rFonts w:ascii="Century Gothic" w:hAnsi="Century Gothic" w:cs="Times New Roman"/>
          <w:b w:val="0"/>
          <w:color w:val="auto"/>
          <w:sz w:val="22"/>
          <w:szCs w:val="22"/>
          <w:lang w:eastAsia="zh-CN"/>
        </w:rPr>
        <w:t xml:space="preserve">Supportive services are provided by </w:t>
      </w:r>
      <w:r w:rsidR="69863725" w:rsidRPr="00C46840">
        <w:rPr>
          <w:rFonts w:ascii="Century Gothic" w:hAnsi="Century Gothic" w:cs="Times New Roman"/>
          <w:b w:val="0"/>
          <w:color w:val="auto"/>
          <w:sz w:val="22"/>
          <w:szCs w:val="22"/>
          <w:lang w:eastAsia="zh-CN"/>
        </w:rPr>
        <w:t xml:space="preserve">the referral agencies, </w:t>
      </w:r>
      <w:r w:rsidR="00D97A04" w:rsidRPr="00C46840">
        <w:rPr>
          <w:rFonts w:ascii="Century Gothic" w:hAnsi="Century Gothic" w:cs="Times New Roman"/>
          <w:b w:val="0"/>
          <w:color w:val="auto"/>
          <w:sz w:val="22"/>
          <w:szCs w:val="22"/>
          <w:lang w:eastAsia="zh-CN"/>
        </w:rPr>
        <w:t>therefore</w:t>
      </w:r>
      <w:r w:rsidR="69863725" w:rsidRPr="00C46840">
        <w:rPr>
          <w:rFonts w:ascii="Century Gothic" w:hAnsi="Century Gothic" w:cs="Times New Roman"/>
          <w:b w:val="0"/>
          <w:color w:val="auto"/>
          <w:sz w:val="22"/>
          <w:szCs w:val="22"/>
          <w:lang w:eastAsia="zh-CN"/>
        </w:rPr>
        <w:t xml:space="preserve"> </w:t>
      </w:r>
      <w:proofErr w:type="gramStart"/>
      <w:r w:rsidR="69863725" w:rsidRPr="00C46840">
        <w:rPr>
          <w:rFonts w:ascii="Century Gothic" w:hAnsi="Century Gothic" w:cs="Times New Roman"/>
          <w:b w:val="0"/>
          <w:color w:val="auto"/>
          <w:sz w:val="22"/>
          <w:szCs w:val="22"/>
          <w:lang w:eastAsia="zh-CN"/>
        </w:rPr>
        <w:t>all of</w:t>
      </w:r>
      <w:proofErr w:type="gramEnd"/>
      <w:r w:rsidR="69863725" w:rsidRPr="00C46840">
        <w:rPr>
          <w:rFonts w:ascii="Century Gothic" w:hAnsi="Century Gothic" w:cs="Times New Roman"/>
          <w:b w:val="0"/>
          <w:color w:val="auto"/>
          <w:sz w:val="22"/>
          <w:szCs w:val="22"/>
          <w:lang w:eastAsia="zh-CN"/>
        </w:rPr>
        <w:t xml:space="preserve"> </w:t>
      </w:r>
      <w:r w:rsidR="00AF5128" w:rsidRPr="00C46840">
        <w:rPr>
          <w:rFonts w:ascii="Century Gothic" w:hAnsi="Century Gothic" w:cs="Times New Roman"/>
          <w:b w:val="0"/>
          <w:color w:val="auto"/>
          <w:sz w:val="22"/>
          <w:szCs w:val="22"/>
          <w:lang w:eastAsia="zh-CN"/>
        </w:rPr>
        <w:t xml:space="preserve">the </w:t>
      </w:r>
      <w:r w:rsidR="008236EE" w:rsidRPr="00C46840">
        <w:rPr>
          <w:rFonts w:ascii="Century Gothic" w:hAnsi="Century Gothic" w:cs="Times New Roman"/>
          <w:b w:val="0"/>
          <w:color w:val="auto"/>
          <w:sz w:val="22"/>
          <w:szCs w:val="22"/>
          <w:lang w:eastAsia="zh-CN"/>
        </w:rPr>
        <w:t xml:space="preserve">181 </w:t>
      </w:r>
      <w:r w:rsidRPr="00C46840">
        <w:rPr>
          <w:rFonts w:ascii="Century Gothic" w:hAnsi="Century Gothic" w:cs="Times New Roman"/>
          <w:b w:val="0"/>
          <w:color w:val="auto"/>
          <w:sz w:val="22"/>
          <w:szCs w:val="22"/>
          <w:lang w:eastAsia="zh-CN"/>
        </w:rPr>
        <w:t>hous</w:t>
      </w:r>
      <w:r w:rsidR="41C29168" w:rsidRPr="00C46840">
        <w:rPr>
          <w:rFonts w:ascii="Century Gothic" w:hAnsi="Century Gothic" w:cs="Times New Roman"/>
          <w:b w:val="0"/>
          <w:color w:val="auto"/>
          <w:sz w:val="22"/>
          <w:szCs w:val="22"/>
          <w:lang w:eastAsia="zh-CN"/>
        </w:rPr>
        <w:t>e</w:t>
      </w:r>
      <w:r w:rsidRPr="00C46840">
        <w:rPr>
          <w:rFonts w:ascii="Century Gothic" w:hAnsi="Century Gothic" w:cs="Times New Roman"/>
          <w:b w:val="0"/>
          <w:color w:val="auto"/>
          <w:sz w:val="22"/>
          <w:szCs w:val="22"/>
          <w:lang w:eastAsia="zh-CN"/>
        </w:rPr>
        <w:t xml:space="preserve">holds received supportive services.  </w:t>
      </w:r>
      <w:r w:rsidR="70E311ED" w:rsidRPr="00C46840">
        <w:rPr>
          <w:rFonts w:ascii="Century Gothic" w:hAnsi="Century Gothic" w:cs="Times New Roman"/>
          <w:b w:val="0"/>
          <w:color w:val="auto"/>
          <w:sz w:val="22"/>
          <w:szCs w:val="22"/>
          <w:lang w:eastAsia="zh-CN"/>
        </w:rPr>
        <w:t xml:space="preserve">However, ECC/HANH will engage the families in the FSS </w:t>
      </w:r>
      <w:r w:rsidR="00D97A04" w:rsidRPr="00C46840">
        <w:rPr>
          <w:rFonts w:ascii="Century Gothic" w:hAnsi="Century Gothic" w:cs="Times New Roman"/>
          <w:b w:val="0"/>
          <w:color w:val="auto"/>
          <w:sz w:val="22"/>
          <w:szCs w:val="22"/>
          <w:lang w:eastAsia="zh-CN"/>
        </w:rPr>
        <w:t>program</w:t>
      </w:r>
      <w:r w:rsidR="70E311ED" w:rsidRPr="00C46840">
        <w:rPr>
          <w:rFonts w:ascii="Century Gothic" w:hAnsi="Century Gothic" w:cs="Times New Roman"/>
          <w:b w:val="0"/>
          <w:color w:val="auto"/>
          <w:sz w:val="22"/>
          <w:szCs w:val="22"/>
          <w:lang w:eastAsia="zh-CN"/>
        </w:rPr>
        <w:t xml:space="preserve"> to provide additional services.</w:t>
      </w:r>
    </w:p>
    <w:p w14:paraId="48B3911E" w14:textId="78433074" w:rsidR="0E6C54AB" w:rsidRPr="00C46840" w:rsidRDefault="0E6C54AB" w:rsidP="0E6C54AB">
      <w:pPr>
        <w:pStyle w:val="NoSpacing"/>
        <w:jc w:val="both"/>
        <w:rPr>
          <w:rFonts w:ascii="Century Gothic" w:hAnsi="Century Gothic" w:cs="Times New Roman"/>
          <w:sz w:val="22"/>
          <w:szCs w:val="22"/>
          <w:lang w:eastAsia="zh-CN"/>
        </w:rPr>
      </w:pPr>
    </w:p>
    <w:p w14:paraId="4114DA34" w14:textId="7D05148F" w:rsidR="00623EE2" w:rsidRPr="00C46840" w:rsidRDefault="0F9E2764" w:rsidP="0E6C54AB">
      <w:pPr>
        <w:rPr>
          <w:rFonts w:ascii="Century Gothic" w:eastAsia="Times New Roman" w:hAnsi="Century Gothic"/>
        </w:rPr>
      </w:pPr>
      <w:r w:rsidRPr="00C46840">
        <w:rPr>
          <w:rFonts w:ascii="Century Gothic" w:eastAsia="Calibri" w:hAnsi="Century Gothic"/>
        </w:rPr>
        <w:t>The</w:t>
      </w:r>
      <w:r w:rsidR="62D92D7A" w:rsidRPr="00C46840">
        <w:rPr>
          <w:rFonts w:ascii="Century Gothic" w:eastAsia="Calibri" w:hAnsi="Century Gothic"/>
        </w:rPr>
        <w:t>se families are now stably house</w:t>
      </w:r>
      <w:r w:rsidR="7DBCA166" w:rsidRPr="00C46840">
        <w:rPr>
          <w:rFonts w:ascii="Century Gothic" w:eastAsia="Calibri" w:hAnsi="Century Gothic"/>
        </w:rPr>
        <w:t>d and</w:t>
      </w:r>
      <w:r w:rsidR="034836CD" w:rsidRPr="00C46840">
        <w:rPr>
          <w:rFonts w:ascii="Century Gothic" w:eastAsia="Calibri" w:hAnsi="Century Gothic"/>
        </w:rPr>
        <w:t xml:space="preserve"> focus</w:t>
      </w:r>
      <w:r w:rsidR="2FC69A0D" w:rsidRPr="00C46840">
        <w:rPr>
          <w:rFonts w:ascii="Century Gothic" w:eastAsia="Calibri" w:hAnsi="Century Gothic"/>
        </w:rPr>
        <w:t>ed</w:t>
      </w:r>
      <w:r w:rsidR="034836CD" w:rsidRPr="00C46840">
        <w:rPr>
          <w:rFonts w:ascii="Century Gothic" w:eastAsia="Calibri" w:hAnsi="Century Gothic"/>
        </w:rPr>
        <w:t xml:space="preserve"> on </w:t>
      </w:r>
      <w:r w:rsidR="77D75FF0" w:rsidRPr="00C46840">
        <w:rPr>
          <w:rFonts w:ascii="Century Gothic" w:eastAsia="Calibri" w:hAnsi="Century Gothic"/>
        </w:rPr>
        <w:t xml:space="preserve">increasing their </w:t>
      </w:r>
      <w:r w:rsidRPr="00C46840">
        <w:rPr>
          <w:rFonts w:ascii="Century Gothic" w:eastAsia="Calibri" w:hAnsi="Century Gothic"/>
        </w:rPr>
        <w:t xml:space="preserve">average </w:t>
      </w:r>
      <w:r w:rsidR="77D75FF0" w:rsidRPr="00C46840">
        <w:rPr>
          <w:rFonts w:ascii="Century Gothic" w:eastAsia="Calibri" w:hAnsi="Century Gothic"/>
        </w:rPr>
        <w:t>household income</w:t>
      </w:r>
      <w:r w:rsidR="7692124D" w:rsidRPr="00C46840">
        <w:rPr>
          <w:rFonts w:ascii="Century Gothic" w:eastAsia="Calibri" w:hAnsi="Century Gothic"/>
        </w:rPr>
        <w:t xml:space="preserve">. </w:t>
      </w:r>
      <w:r w:rsidRPr="00C46840">
        <w:rPr>
          <w:rFonts w:ascii="Century Gothic" w:eastAsia="Calibri" w:hAnsi="Century Gothic"/>
        </w:rPr>
        <w:t xml:space="preserve"> </w:t>
      </w:r>
      <w:r w:rsidR="6966BA86" w:rsidRPr="00C46840">
        <w:rPr>
          <w:rFonts w:ascii="Century Gothic" w:eastAsia="Calibri" w:hAnsi="Century Gothic"/>
        </w:rPr>
        <w:t xml:space="preserve">There was an increase of </w:t>
      </w:r>
      <w:r w:rsidR="407A7C1C" w:rsidRPr="00C46840">
        <w:rPr>
          <w:rFonts w:ascii="Century Gothic" w:eastAsia="Calibri" w:hAnsi="Century Gothic"/>
        </w:rPr>
        <w:t>19</w:t>
      </w:r>
      <w:r w:rsidR="6966BA86" w:rsidRPr="00C46840">
        <w:rPr>
          <w:rFonts w:ascii="Century Gothic" w:eastAsia="Calibri" w:hAnsi="Century Gothic"/>
        </w:rPr>
        <w:t xml:space="preserve">% on </w:t>
      </w:r>
      <w:r w:rsidR="0066114E" w:rsidRPr="00C46840">
        <w:rPr>
          <w:rFonts w:ascii="Century Gothic" w:eastAsia="Calibri" w:hAnsi="Century Gothic"/>
        </w:rPr>
        <w:t xml:space="preserve">the </w:t>
      </w:r>
      <w:r w:rsidR="6966BA86" w:rsidRPr="00C46840">
        <w:rPr>
          <w:rFonts w:ascii="Century Gothic" w:eastAsia="Calibri" w:hAnsi="Century Gothic"/>
        </w:rPr>
        <w:t>family's average income from FY 202</w:t>
      </w:r>
      <w:r w:rsidR="0C156556" w:rsidRPr="00C46840">
        <w:rPr>
          <w:rFonts w:ascii="Century Gothic" w:eastAsia="Calibri" w:hAnsi="Century Gothic"/>
        </w:rPr>
        <w:t>3</w:t>
      </w:r>
      <w:r w:rsidR="0066114E" w:rsidRPr="00C46840">
        <w:rPr>
          <w:rFonts w:ascii="Century Gothic" w:eastAsia="Calibri" w:hAnsi="Century Gothic"/>
        </w:rPr>
        <w:t xml:space="preserve"> ($1</w:t>
      </w:r>
      <w:r w:rsidR="00A61C23" w:rsidRPr="00C46840">
        <w:rPr>
          <w:rFonts w:ascii="Century Gothic" w:eastAsia="Calibri" w:hAnsi="Century Gothic"/>
        </w:rPr>
        <w:t xml:space="preserve">3,949) </w:t>
      </w:r>
      <w:r w:rsidR="6966BA86" w:rsidRPr="00C46840">
        <w:rPr>
          <w:rFonts w:ascii="Century Gothic" w:eastAsia="Calibri" w:hAnsi="Century Gothic"/>
        </w:rPr>
        <w:t>to FY 202</w:t>
      </w:r>
      <w:r w:rsidR="65EC25F2" w:rsidRPr="00C46840">
        <w:rPr>
          <w:rFonts w:ascii="Century Gothic" w:eastAsia="Calibri" w:hAnsi="Century Gothic"/>
        </w:rPr>
        <w:t>4</w:t>
      </w:r>
      <w:r w:rsidR="00A61C23" w:rsidRPr="00C46840">
        <w:rPr>
          <w:rFonts w:ascii="Century Gothic" w:eastAsia="Calibri" w:hAnsi="Century Gothic"/>
        </w:rPr>
        <w:t xml:space="preserve"> ($16</w:t>
      </w:r>
      <w:r w:rsidR="00D01A4D" w:rsidRPr="00C46840">
        <w:rPr>
          <w:rFonts w:ascii="Century Gothic" w:eastAsia="Calibri" w:hAnsi="Century Gothic"/>
        </w:rPr>
        <w:t xml:space="preserve">,533) </w:t>
      </w:r>
      <w:r w:rsidR="00214A0F" w:rsidRPr="00C46840">
        <w:rPr>
          <w:rFonts w:ascii="Century Gothic" w:eastAsia="Calibri" w:hAnsi="Century Gothic"/>
        </w:rPr>
        <w:t xml:space="preserve">and a 30% increase </w:t>
      </w:r>
      <w:r w:rsidR="00956C1B" w:rsidRPr="00C46840">
        <w:rPr>
          <w:rFonts w:ascii="Century Gothic" w:eastAsia="Calibri" w:hAnsi="Century Gothic"/>
        </w:rPr>
        <w:t>from baseline</w:t>
      </w:r>
      <w:r w:rsidR="0030437B" w:rsidRPr="00C46840">
        <w:rPr>
          <w:rFonts w:ascii="Century Gothic" w:eastAsia="Calibri" w:hAnsi="Century Gothic"/>
        </w:rPr>
        <w:t xml:space="preserve"> ($12,643)</w:t>
      </w:r>
      <w:r w:rsidR="6966BA86" w:rsidRPr="00C46840">
        <w:rPr>
          <w:rFonts w:ascii="Century Gothic" w:eastAsia="Calibri" w:hAnsi="Century Gothic"/>
        </w:rPr>
        <w:t>.</w:t>
      </w:r>
      <w:r w:rsidR="6966BA86" w:rsidRPr="00C46840">
        <w:rPr>
          <w:rFonts w:ascii="Century Gothic" w:eastAsia="Times New Roman" w:hAnsi="Century Gothic"/>
        </w:rPr>
        <w:t xml:space="preserve">  </w:t>
      </w:r>
    </w:p>
    <w:p w14:paraId="701B3469" w14:textId="77777777" w:rsidR="00623EE2" w:rsidRPr="00C46840" w:rsidRDefault="00623EE2" w:rsidP="0E6C54AB">
      <w:pPr>
        <w:rPr>
          <w:rFonts w:ascii="Century Gothic" w:eastAsia="Times New Roman" w:hAnsi="Century Gothic"/>
        </w:rPr>
      </w:pPr>
    </w:p>
    <w:p w14:paraId="3194E89F" w14:textId="43442D81" w:rsidR="1B3F2E6D" w:rsidRPr="00C46840" w:rsidRDefault="7449E972" w:rsidP="169FF47A">
      <w:pPr>
        <w:rPr>
          <w:rFonts w:ascii="Century Gothic" w:eastAsia="Times New Roman" w:hAnsi="Century Gothic"/>
        </w:rPr>
      </w:pPr>
      <w:r w:rsidRPr="00C46840">
        <w:rPr>
          <w:rFonts w:ascii="Century Gothic" w:eastAsia="Times New Roman" w:hAnsi="Century Gothic"/>
        </w:rPr>
        <w:t xml:space="preserve">While this year over year income increase is important, when considering the baseline income at program inception and </w:t>
      </w:r>
      <w:r w:rsidR="00B84F88" w:rsidRPr="00C46840">
        <w:rPr>
          <w:rFonts w:ascii="Century Gothic" w:eastAsia="Times New Roman" w:hAnsi="Century Gothic"/>
        </w:rPr>
        <w:t>simply considering</w:t>
      </w:r>
      <w:r w:rsidRPr="00C46840">
        <w:rPr>
          <w:rFonts w:ascii="Century Gothic" w:eastAsia="Times New Roman" w:hAnsi="Century Gothic"/>
        </w:rPr>
        <w:t xml:space="preserve"> a year over year increase at 3%, a </w:t>
      </w:r>
      <w:r w:rsidR="1C80A989" w:rsidRPr="00C46840">
        <w:rPr>
          <w:rFonts w:ascii="Century Gothic" w:eastAsia="Times New Roman" w:hAnsi="Century Gothic"/>
        </w:rPr>
        <w:t xml:space="preserve">comparable </w:t>
      </w:r>
      <w:r w:rsidRPr="00C46840">
        <w:rPr>
          <w:rFonts w:ascii="Century Gothic" w:eastAsia="Times New Roman" w:hAnsi="Century Gothic"/>
        </w:rPr>
        <w:t>202</w:t>
      </w:r>
      <w:r w:rsidR="0879652A" w:rsidRPr="00C46840">
        <w:rPr>
          <w:rFonts w:ascii="Century Gothic" w:eastAsia="Times New Roman" w:hAnsi="Century Gothic"/>
        </w:rPr>
        <w:t>4</w:t>
      </w:r>
      <w:r w:rsidRPr="00C46840">
        <w:rPr>
          <w:rFonts w:ascii="Century Gothic" w:eastAsia="Times New Roman" w:hAnsi="Century Gothic"/>
        </w:rPr>
        <w:t xml:space="preserve"> average income </w:t>
      </w:r>
      <w:r w:rsidR="739BC80E" w:rsidRPr="00C46840">
        <w:rPr>
          <w:rFonts w:ascii="Century Gothic" w:eastAsia="Times New Roman" w:hAnsi="Century Gothic"/>
        </w:rPr>
        <w:t xml:space="preserve">would likely be around </w:t>
      </w:r>
      <w:r w:rsidRPr="00C46840">
        <w:rPr>
          <w:rFonts w:ascii="Century Gothic" w:eastAsia="Times New Roman" w:hAnsi="Century Gothic"/>
        </w:rPr>
        <w:t>$17,</w:t>
      </w:r>
      <w:r w:rsidR="00D21969" w:rsidRPr="00C46840">
        <w:rPr>
          <w:rFonts w:ascii="Century Gothic" w:eastAsia="Times New Roman" w:hAnsi="Century Gothic"/>
        </w:rPr>
        <w:t>204</w:t>
      </w:r>
      <w:r w:rsidR="26C4CAF2" w:rsidRPr="00C46840">
        <w:rPr>
          <w:rFonts w:ascii="Century Gothic" w:eastAsia="Times New Roman" w:hAnsi="Century Gothic"/>
        </w:rPr>
        <w:t xml:space="preserve">.  This suggests even greater hardship being experienced for families entering our program from homelessness and the need for more aggressive interventions to assist these families in </w:t>
      </w:r>
      <w:proofErr w:type="gramStart"/>
      <w:r w:rsidR="26C4CAF2" w:rsidRPr="00C46840">
        <w:rPr>
          <w:rFonts w:ascii="Century Gothic" w:eastAsia="Times New Roman" w:hAnsi="Century Gothic"/>
        </w:rPr>
        <w:t>attaining housing</w:t>
      </w:r>
      <w:proofErr w:type="gramEnd"/>
      <w:r w:rsidR="26C4CAF2" w:rsidRPr="00C46840">
        <w:rPr>
          <w:rFonts w:ascii="Century Gothic" w:eastAsia="Times New Roman" w:hAnsi="Century Gothic"/>
        </w:rPr>
        <w:t xml:space="preserve"> stability and increasing family income. </w:t>
      </w:r>
      <w:r w:rsidRPr="00C46840">
        <w:rPr>
          <w:rFonts w:ascii="Century Gothic" w:eastAsia="Times New Roman" w:hAnsi="Century Gothic"/>
        </w:rPr>
        <w:t xml:space="preserve"> </w:t>
      </w:r>
    </w:p>
    <w:p w14:paraId="3BD03A9F" w14:textId="7ECF4B31" w:rsidR="1B3F2E6D" w:rsidRPr="00C46840" w:rsidRDefault="04483292" w:rsidP="0E6C54AB">
      <w:pPr>
        <w:rPr>
          <w:rFonts w:ascii="Century Gothic" w:eastAsia="Times New Roman" w:hAnsi="Century Gothic"/>
        </w:rPr>
      </w:pPr>
      <w:r w:rsidRPr="00C46840">
        <w:rPr>
          <w:rFonts w:ascii="Century Gothic" w:eastAsia="Calibri" w:hAnsi="Century Gothic"/>
        </w:rPr>
        <w:t xml:space="preserve"> </w:t>
      </w:r>
    </w:p>
    <w:p w14:paraId="29F6563D" w14:textId="54502080" w:rsidR="0060104F" w:rsidRPr="00C46840" w:rsidRDefault="6E6C109D" w:rsidP="0E6C54AB">
      <w:pPr>
        <w:rPr>
          <w:rFonts w:ascii="Century Gothic" w:eastAsia="Calibri" w:hAnsi="Century Gothic"/>
        </w:rPr>
      </w:pPr>
      <w:r w:rsidRPr="00C46840">
        <w:rPr>
          <w:rFonts w:ascii="Century Gothic" w:eastAsia="Calibri" w:hAnsi="Century Gothic"/>
        </w:rPr>
        <w:t>Despite the need for these vouchers, issues with utilization persist.  ECC/HANH will continue to work with the Supportive Service providers and the Coordinated Access Network on receiving referrals to increase utilization and assist a homeless family or individual.</w:t>
      </w:r>
    </w:p>
    <w:p w14:paraId="10BFAAFD" w14:textId="77777777" w:rsidR="00623EE2" w:rsidRDefault="00623EE2" w:rsidP="0E6C54AB">
      <w:pPr>
        <w:rPr>
          <w:rFonts w:ascii="Century Gothic" w:eastAsia="Calibri" w:hAnsi="Century Gothic"/>
        </w:rPr>
      </w:pPr>
    </w:p>
    <w:p w14:paraId="79B63693" w14:textId="77777777" w:rsidR="002834A9" w:rsidRDefault="002834A9" w:rsidP="0E6C54AB">
      <w:pPr>
        <w:rPr>
          <w:rFonts w:ascii="Century Gothic" w:eastAsia="Calibri" w:hAnsi="Century Gothic"/>
        </w:rPr>
      </w:pPr>
    </w:p>
    <w:p w14:paraId="06FE12DF" w14:textId="77777777" w:rsidR="00A406EE" w:rsidRDefault="00A406EE" w:rsidP="00623EE2">
      <w:pPr>
        <w:rPr>
          <w:rStyle w:val="SubtleEmphasis"/>
          <w:rFonts w:ascii="Century Gothic" w:hAnsi="Century Gothic"/>
          <w:color w:val="808080" w:themeColor="background1" w:themeShade="80"/>
          <w:sz w:val="22"/>
        </w:rPr>
      </w:pPr>
      <w:r w:rsidRPr="00C46840">
        <w:rPr>
          <w:rStyle w:val="SubtleEmphasis"/>
          <w:rFonts w:ascii="Century Gothic" w:hAnsi="Century Gothic"/>
          <w:color w:val="808080" w:themeColor="background1" w:themeShade="80"/>
          <w:sz w:val="22"/>
        </w:rPr>
        <w:lastRenderedPageBreak/>
        <w:t>Outcomes</w:t>
      </w:r>
    </w:p>
    <w:p w14:paraId="1387523D" w14:textId="77777777" w:rsidR="008F7BA8" w:rsidRPr="00C46840" w:rsidRDefault="008F7BA8" w:rsidP="00623EE2">
      <w:pPr>
        <w:rPr>
          <w:rStyle w:val="SubtleEmphasis"/>
          <w:rFonts w:ascii="Century Gothic" w:hAnsi="Century Gothic"/>
          <w:color w:val="808080" w:themeColor="background1" w:themeShade="80"/>
          <w:sz w:val="22"/>
        </w:rPr>
      </w:pPr>
    </w:p>
    <w:p w14:paraId="5C26990D" w14:textId="5B461C4B" w:rsidR="00A406EE" w:rsidRPr="00C46840" w:rsidRDefault="008F7BA8" w:rsidP="00C43A12">
      <w:pPr>
        <w:rPr>
          <w:rStyle w:val="IntenseEmphasis"/>
          <w:rFonts w:ascii="Century Gothic" w:hAnsi="Century Gothic"/>
          <w:color w:val="auto"/>
          <w:sz w:val="22"/>
          <w:szCs w:val="22"/>
        </w:rPr>
      </w:pPr>
      <w:r>
        <w:rPr>
          <w:rStyle w:val="IntenseEmphasis"/>
          <w:rFonts w:ascii="Century Gothic" w:hAnsi="Century Gothic"/>
          <w:color w:val="auto"/>
          <w:sz w:val="22"/>
          <w:szCs w:val="22"/>
        </w:rPr>
        <w:t xml:space="preserve">Internal </w:t>
      </w:r>
      <w:r w:rsidRPr="00C46840">
        <w:rPr>
          <w:rStyle w:val="IntenseEmphasis"/>
          <w:rFonts w:ascii="Century Gothic" w:hAnsi="Century Gothic"/>
          <w:color w:val="auto"/>
          <w:sz w:val="22"/>
          <w:szCs w:val="22"/>
        </w:rPr>
        <w:t>Metrics</w:t>
      </w:r>
    </w:p>
    <w:p w14:paraId="4FCA6FB9" w14:textId="77777777" w:rsidR="00A406EE" w:rsidRPr="00C46840" w:rsidRDefault="00A406EE" w:rsidP="00A406EE">
      <w:pPr>
        <w:rPr>
          <w:rFonts w:ascii="Century Gothic" w:hAnsi="Century Gothic"/>
          <w:b/>
          <w:szCs w:val="22"/>
        </w:rPr>
      </w:pPr>
    </w:p>
    <w:tbl>
      <w:tblPr>
        <w:tblStyle w:val="TableGrid"/>
        <w:tblW w:w="0" w:type="auto"/>
        <w:tblLook w:val="04A0" w:firstRow="1" w:lastRow="0" w:firstColumn="1" w:lastColumn="0" w:noHBand="0" w:noVBand="1"/>
      </w:tblPr>
      <w:tblGrid>
        <w:gridCol w:w="2790"/>
        <w:gridCol w:w="1834"/>
        <w:gridCol w:w="1730"/>
        <w:gridCol w:w="1688"/>
        <w:gridCol w:w="1894"/>
      </w:tblGrid>
      <w:tr w:rsidR="008434F3" w:rsidRPr="003337FD" w14:paraId="6A2EA445" w14:textId="77777777" w:rsidTr="169FF47A">
        <w:trPr>
          <w:trHeight w:val="400"/>
        </w:trPr>
        <w:tc>
          <w:tcPr>
            <w:tcW w:w="9936" w:type="dxa"/>
            <w:gridSpan w:val="5"/>
            <w:tcBorders>
              <w:top w:val="nil"/>
              <w:left w:val="nil"/>
              <w:bottom w:val="single" w:sz="24" w:space="0" w:color="B5333C" w:themeColor="accent2"/>
              <w:right w:val="nil"/>
            </w:tcBorders>
            <w:shd w:val="clear" w:color="auto" w:fill="808080" w:themeFill="background1" w:themeFillShade="80"/>
            <w:hideMark/>
          </w:tcPr>
          <w:p w14:paraId="242CEA8B" w14:textId="77777777" w:rsidR="00A406EE" w:rsidRPr="00C46840" w:rsidRDefault="00A406EE" w:rsidP="00BB4265">
            <w:pPr>
              <w:pStyle w:val="Heading4"/>
              <w:rPr>
                <w:rFonts w:ascii="Century Gothic" w:hAnsi="Century Gothic" w:cs="Times New Roman"/>
                <w:i/>
              </w:rPr>
            </w:pPr>
            <w:r w:rsidRPr="00C46840">
              <w:rPr>
                <w:rStyle w:val="SubtleEmphasis"/>
                <w:rFonts w:ascii="Century Gothic" w:hAnsi="Century Gothic" w:cs="Times New Roman"/>
                <w:color w:val="auto"/>
                <w:sz w:val="22"/>
              </w:rPr>
              <w:t>SS #1: Increase in Household Income</w:t>
            </w:r>
          </w:p>
        </w:tc>
      </w:tr>
      <w:tr w:rsidR="008434F3" w:rsidRPr="003337FD" w14:paraId="364947C7" w14:textId="77777777" w:rsidTr="169FF47A">
        <w:trPr>
          <w:trHeight w:val="340"/>
        </w:trPr>
        <w:tc>
          <w:tcPr>
            <w:tcW w:w="2790"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A60D9BD" w14:textId="77777777" w:rsidR="00A406EE" w:rsidRPr="007B1640" w:rsidRDefault="00A406EE" w:rsidP="00532250">
            <w:pPr>
              <w:jc w:val="center"/>
              <w:rPr>
                <w:rFonts w:ascii="Century Gothic" w:hAnsi="Century Gothic"/>
                <w:b/>
                <w:szCs w:val="22"/>
              </w:rPr>
            </w:pPr>
            <w:r w:rsidRPr="007B1640">
              <w:rPr>
                <w:rFonts w:ascii="Century Gothic" w:hAnsi="Century Gothic"/>
                <w:b/>
                <w:szCs w:val="22"/>
              </w:rPr>
              <w:t>Unit of Measurement</w:t>
            </w:r>
          </w:p>
        </w:tc>
        <w:tc>
          <w:tcPr>
            <w:tcW w:w="1834"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08DE601" w14:textId="77777777" w:rsidR="00A406EE" w:rsidRPr="007B1640" w:rsidRDefault="00A406EE" w:rsidP="00532250">
            <w:pPr>
              <w:jc w:val="center"/>
              <w:rPr>
                <w:rFonts w:ascii="Century Gothic" w:hAnsi="Century Gothic"/>
                <w:b/>
                <w:szCs w:val="22"/>
              </w:rPr>
            </w:pPr>
            <w:r w:rsidRPr="007B1640">
              <w:rPr>
                <w:rFonts w:ascii="Century Gothic" w:hAnsi="Century Gothic"/>
                <w:b/>
                <w:szCs w:val="22"/>
              </w:rPr>
              <w:t>Baseline</w:t>
            </w:r>
          </w:p>
        </w:tc>
        <w:tc>
          <w:tcPr>
            <w:tcW w:w="173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2EBD6CA3" w14:textId="77777777" w:rsidR="00A406EE" w:rsidRPr="007B1640" w:rsidRDefault="00A406EE" w:rsidP="00532250">
            <w:pPr>
              <w:jc w:val="center"/>
              <w:rPr>
                <w:rFonts w:ascii="Century Gothic" w:hAnsi="Century Gothic"/>
                <w:b/>
                <w:szCs w:val="22"/>
              </w:rPr>
            </w:pPr>
            <w:r w:rsidRPr="007B1640">
              <w:rPr>
                <w:rFonts w:ascii="Century Gothic" w:hAnsi="Century Gothic"/>
                <w:b/>
                <w:szCs w:val="22"/>
              </w:rPr>
              <w:t>Benchmark</w:t>
            </w:r>
          </w:p>
        </w:tc>
        <w:tc>
          <w:tcPr>
            <w:tcW w:w="1688"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3FD6C80" w14:textId="77777777" w:rsidR="00A406EE" w:rsidRPr="007B1640" w:rsidRDefault="00A406EE" w:rsidP="00532250">
            <w:pPr>
              <w:jc w:val="center"/>
              <w:rPr>
                <w:rFonts w:ascii="Century Gothic" w:hAnsi="Century Gothic"/>
                <w:b/>
                <w:szCs w:val="22"/>
              </w:rPr>
            </w:pPr>
            <w:r w:rsidRPr="007B1640">
              <w:rPr>
                <w:rFonts w:ascii="Century Gothic" w:hAnsi="Century Gothic"/>
                <w:b/>
                <w:szCs w:val="22"/>
              </w:rPr>
              <w:t>Outcome</w:t>
            </w:r>
          </w:p>
        </w:tc>
        <w:tc>
          <w:tcPr>
            <w:tcW w:w="1894"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C3848B0" w14:textId="77777777" w:rsidR="00A406EE" w:rsidRPr="007B1640" w:rsidRDefault="00A406EE" w:rsidP="00532250">
            <w:pPr>
              <w:jc w:val="center"/>
              <w:rPr>
                <w:rFonts w:ascii="Century Gothic" w:hAnsi="Century Gothic"/>
                <w:b/>
                <w:szCs w:val="22"/>
              </w:rPr>
            </w:pPr>
            <w:r w:rsidRPr="007B1640">
              <w:rPr>
                <w:rFonts w:ascii="Century Gothic" w:hAnsi="Century Gothic"/>
                <w:b/>
                <w:szCs w:val="22"/>
              </w:rPr>
              <w:t>Benchmark Achieved?</w:t>
            </w:r>
          </w:p>
        </w:tc>
      </w:tr>
      <w:tr w:rsidR="008434F3" w:rsidRPr="003337FD" w14:paraId="1495861A" w14:textId="77777777" w:rsidTr="169FF47A">
        <w:trPr>
          <w:trHeight w:val="920"/>
        </w:trPr>
        <w:tc>
          <w:tcPr>
            <w:tcW w:w="2790" w:type="dxa"/>
            <w:tcBorders>
              <w:top w:val="single" w:sz="4" w:space="0" w:color="D9D9D9" w:themeColor="background1" w:themeShade="D9"/>
              <w:left w:val="nil"/>
              <w:bottom w:val="nil"/>
              <w:right w:val="single" w:sz="4" w:space="0" w:color="D9D9D9" w:themeColor="background1" w:themeShade="D9"/>
            </w:tcBorders>
            <w:hideMark/>
          </w:tcPr>
          <w:p w14:paraId="34536DD8" w14:textId="77777777" w:rsidR="00A406EE" w:rsidRPr="007B1640" w:rsidRDefault="00A406EE" w:rsidP="00A406EE">
            <w:pPr>
              <w:rPr>
                <w:rFonts w:ascii="Century Gothic" w:hAnsi="Century Gothic"/>
                <w:szCs w:val="22"/>
              </w:rPr>
            </w:pPr>
            <w:r w:rsidRPr="007B1640">
              <w:rPr>
                <w:rFonts w:ascii="Century Gothic" w:hAnsi="Century Gothic"/>
                <w:szCs w:val="22"/>
              </w:rPr>
              <w:t>Average total household income for households affected by this policy in dollars</w:t>
            </w:r>
          </w:p>
        </w:tc>
        <w:tc>
          <w:tcPr>
            <w:tcW w:w="1834" w:type="dxa"/>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hideMark/>
          </w:tcPr>
          <w:p w14:paraId="19713651" w14:textId="77777777" w:rsidR="00115442" w:rsidRPr="007B1640" w:rsidRDefault="05391976" w:rsidP="0E6C54AB">
            <w:pPr>
              <w:rPr>
                <w:rFonts w:ascii="Century Gothic" w:hAnsi="Century Gothic"/>
              </w:rPr>
            </w:pPr>
            <w:r w:rsidRPr="007B1640">
              <w:rPr>
                <w:rFonts w:ascii="Century Gothic" w:hAnsi="Century Gothic"/>
              </w:rPr>
              <w:t>$12,643 (2013)</w:t>
            </w:r>
            <w:r w:rsidR="00A406EE" w:rsidRPr="007B1640">
              <w:rPr>
                <w:rStyle w:val="EndnoteReference"/>
                <w:rFonts w:ascii="Century Gothic" w:hAnsi="Century Gothic"/>
              </w:rPr>
              <w:endnoteReference w:id="2"/>
            </w:r>
          </w:p>
          <w:p w14:paraId="391A6DD1" w14:textId="77777777" w:rsidR="00C7671A" w:rsidRPr="007B1640" w:rsidRDefault="00C7671A" w:rsidP="0E6C54AB">
            <w:pPr>
              <w:rPr>
                <w:rFonts w:ascii="Century Gothic" w:hAnsi="Century Gothic"/>
              </w:rPr>
            </w:pPr>
          </w:p>
          <w:p w14:paraId="7FA9B50E" w14:textId="136476A4" w:rsidR="00C7671A" w:rsidRPr="007B1640" w:rsidRDefault="00C7671A" w:rsidP="0E6C54AB">
            <w:pPr>
              <w:rPr>
                <w:rFonts w:ascii="Century Gothic" w:hAnsi="Century Gothic"/>
              </w:rPr>
            </w:pPr>
            <w:r w:rsidRPr="007B1640">
              <w:rPr>
                <w:rFonts w:ascii="Century Gothic" w:hAnsi="Century Gothic"/>
              </w:rPr>
              <w:t>$17,204</w:t>
            </w:r>
            <w:r w:rsidR="008E56F7" w:rsidRPr="007B1640">
              <w:rPr>
                <w:rFonts w:ascii="Century Gothic" w:hAnsi="Century Gothic"/>
              </w:rPr>
              <w:t xml:space="preserve"> </w:t>
            </w:r>
            <w:r w:rsidR="00D2023F" w:rsidRPr="007B1640">
              <w:rPr>
                <w:rFonts w:ascii="Century Gothic" w:hAnsi="Century Gothic"/>
              </w:rPr>
              <w:t xml:space="preserve">(2024 </w:t>
            </w:r>
            <w:r w:rsidR="008E56F7" w:rsidRPr="007B1640">
              <w:rPr>
                <w:rFonts w:ascii="Century Gothic" w:hAnsi="Century Gothic"/>
              </w:rPr>
              <w:t>adjusted f</w:t>
            </w:r>
            <w:r w:rsidR="00D2023F" w:rsidRPr="007B1640">
              <w:rPr>
                <w:rFonts w:ascii="Century Gothic" w:hAnsi="Century Gothic"/>
              </w:rPr>
              <w:t xml:space="preserve">or </w:t>
            </w:r>
            <w:r w:rsidR="00F32E1A" w:rsidRPr="007B1640">
              <w:rPr>
                <w:rFonts w:ascii="Century Gothic" w:hAnsi="Century Gothic"/>
              </w:rPr>
              <w:t>inflation)</w:t>
            </w:r>
          </w:p>
        </w:tc>
        <w:tc>
          <w:tcPr>
            <w:tcW w:w="1730" w:type="dxa"/>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hideMark/>
          </w:tcPr>
          <w:p w14:paraId="2C93E621" w14:textId="4BAA578A" w:rsidR="00A406EE" w:rsidRPr="007B1640" w:rsidRDefault="00A406EE" w:rsidP="00A406EE">
            <w:pPr>
              <w:rPr>
                <w:rFonts w:ascii="Century Gothic" w:hAnsi="Century Gothic"/>
              </w:rPr>
            </w:pPr>
            <w:r w:rsidRPr="007B1640">
              <w:rPr>
                <w:rFonts w:ascii="Century Gothic" w:hAnsi="Century Gothic"/>
              </w:rPr>
              <w:t>Steady increase in average household income</w:t>
            </w:r>
            <w:r w:rsidR="7E951945" w:rsidRPr="007B1640">
              <w:rPr>
                <w:rFonts w:ascii="Century Gothic" w:hAnsi="Century Gothic"/>
              </w:rPr>
              <w:t xml:space="preserve"> over prior year</w:t>
            </w:r>
          </w:p>
        </w:tc>
        <w:tc>
          <w:tcPr>
            <w:tcW w:w="1688" w:type="dxa"/>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hideMark/>
          </w:tcPr>
          <w:p w14:paraId="34FAD491" w14:textId="28EA2C30" w:rsidR="6284F1F1" w:rsidRPr="007B1640" w:rsidRDefault="260F891B" w:rsidP="0189D8D6">
            <w:pPr>
              <w:rPr>
                <w:rFonts w:ascii="Century Gothic" w:hAnsi="Century Gothic"/>
              </w:rPr>
            </w:pPr>
            <w:r w:rsidRPr="007B1640">
              <w:rPr>
                <w:rFonts w:ascii="Century Gothic" w:hAnsi="Century Gothic"/>
              </w:rPr>
              <w:t>2024</w:t>
            </w:r>
            <w:r w:rsidR="355246AA" w:rsidRPr="007B1640">
              <w:rPr>
                <w:rFonts w:ascii="Century Gothic" w:hAnsi="Century Gothic"/>
              </w:rPr>
              <w:t>:</w:t>
            </w:r>
            <w:r w:rsidR="27AFD3B1" w:rsidRPr="007B1640">
              <w:rPr>
                <w:rFonts w:ascii="Century Gothic" w:hAnsi="Century Gothic"/>
              </w:rPr>
              <w:t xml:space="preserve"> </w:t>
            </w:r>
            <w:r w:rsidR="1D4756AD" w:rsidRPr="007B1640">
              <w:rPr>
                <w:rFonts w:ascii="Century Gothic" w:hAnsi="Century Gothic"/>
              </w:rPr>
              <w:t>$</w:t>
            </w:r>
            <w:r w:rsidR="00D31215" w:rsidRPr="007B1640">
              <w:rPr>
                <w:rFonts w:ascii="Century Gothic" w:hAnsi="Century Gothic"/>
              </w:rPr>
              <w:t>16,533</w:t>
            </w:r>
            <w:r w:rsidR="000D498D" w:rsidRPr="007B1640">
              <w:rPr>
                <w:rFonts w:ascii="Century Gothic" w:hAnsi="Century Gothic"/>
              </w:rPr>
              <w:t xml:space="preserve"> </w:t>
            </w:r>
            <w:r w:rsidR="00D31215" w:rsidRPr="007B1640">
              <w:rPr>
                <w:rFonts w:ascii="Century Gothic" w:hAnsi="Century Gothic"/>
              </w:rPr>
              <w:t>(</w:t>
            </w:r>
            <w:r w:rsidR="65A2CAE8" w:rsidRPr="007B1640">
              <w:rPr>
                <w:rFonts w:ascii="Century Gothic" w:hAnsi="Century Gothic"/>
              </w:rPr>
              <w:t>19</w:t>
            </w:r>
            <w:r w:rsidRPr="007B1640">
              <w:rPr>
                <w:rFonts w:ascii="Century Gothic" w:hAnsi="Century Gothic"/>
              </w:rPr>
              <w:t>% increase)</w:t>
            </w:r>
          </w:p>
          <w:p w14:paraId="184B0278" w14:textId="729DD9AF" w:rsidR="0189D8D6" w:rsidRPr="007B1640" w:rsidRDefault="0189D8D6" w:rsidP="0189D8D6">
            <w:pPr>
              <w:rPr>
                <w:rFonts w:ascii="Century Gothic" w:hAnsi="Century Gothic"/>
              </w:rPr>
            </w:pPr>
          </w:p>
          <w:p w14:paraId="03A70DA6" w14:textId="5D6A3956" w:rsidR="000E7116" w:rsidRPr="007B1640" w:rsidRDefault="0EB6AEDE" w:rsidP="000E7116">
            <w:pPr>
              <w:rPr>
                <w:rFonts w:ascii="Century Gothic" w:hAnsi="Century Gothic"/>
              </w:rPr>
            </w:pPr>
            <w:r w:rsidRPr="007B1640">
              <w:rPr>
                <w:rFonts w:ascii="Century Gothic" w:hAnsi="Century Gothic"/>
              </w:rPr>
              <w:t>2023: $</w:t>
            </w:r>
            <w:r w:rsidR="3A8C0730" w:rsidRPr="007B1640">
              <w:rPr>
                <w:rFonts w:ascii="Century Gothic" w:hAnsi="Century Gothic"/>
              </w:rPr>
              <w:t>13,949</w:t>
            </w:r>
            <w:r w:rsidR="03918FD7" w:rsidRPr="007B1640">
              <w:rPr>
                <w:rFonts w:ascii="Century Gothic" w:hAnsi="Century Gothic"/>
              </w:rPr>
              <w:t xml:space="preserve"> (</w:t>
            </w:r>
            <w:r w:rsidR="70CCFE79" w:rsidRPr="007B1640">
              <w:rPr>
                <w:rFonts w:ascii="Century Gothic" w:hAnsi="Century Gothic"/>
              </w:rPr>
              <w:t>20</w:t>
            </w:r>
            <w:r w:rsidR="03918FD7" w:rsidRPr="007B1640">
              <w:rPr>
                <w:rFonts w:ascii="Century Gothic" w:hAnsi="Century Gothic"/>
              </w:rPr>
              <w:t>% increase)</w:t>
            </w:r>
          </w:p>
          <w:p w14:paraId="16DF8E7B" w14:textId="77777777" w:rsidR="00623EE2" w:rsidRPr="007B1640" w:rsidRDefault="00623EE2" w:rsidP="3C3EEDA0">
            <w:pPr>
              <w:rPr>
                <w:rFonts w:ascii="Century Gothic" w:hAnsi="Century Gothic"/>
              </w:rPr>
            </w:pPr>
          </w:p>
          <w:p w14:paraId="29C61364" w14:textId="6D6D5840" w:rsidR="4EC6B62D" w:rsidRPr="007B1640" w:rsidRDefault="1A48C7E6" w:rsidP="3C3EEDA0">
            <w:pPr>
              <w:rPr>
                <w:rFonts w:ascii="Century Gothic" w:hAnsi="Century Gothic"/>
              </w:rPr>
            </w:pPr>
            <w:r w:rsidRPr="007B1640">
              <w:rPr>
                <w:rFonts w:ascii="Century Gothic" w:hAnsi="Century Gothic"/>
              </w:rPr>
              <w:t>2022: $11,5</w:t>
            </w:r>
            <w:r w:rsidR="524185F8" w:rsidRPr="007B1640">
              <w:rPr>
                <w:rFonts w:ascii="Century Gothic" w:hAnsi="Century Gothic"/>
              </w:rPr>
              <w:t>65</w:t>
            </w:r>
            <w:r w:rsidR="509FD2EF" w:rsidRPr="007B1640">
              <w:rPr>
                <w:rFonts w:ascii="Century Gothic" w:hAnsi="Century Gothic"/>
              </w:rPr>
              <w:t xml:space="preserve"> (3% increase)</w:t>
            </w:r>
          </w:p>
          <w:p w14:paraId="1BA2D779" w14:textId="77777777" w:rsidR="00623EE2" w:rsidRPr="007B1640" w:rsidRDefault="00623EE2" w:rsidP="3C3EEDA0">
            <w:pPr>
              <w:rPr>
                <w:rFonts w:ascii="Century Gothic" w:hAnsi="Century Gothic"/>
              </w:rPr>
            </w:pPr>
          </w:p>
          <w:p w14:paraId="5ABBF9DB" w14:textId="3568B179" w:rsidR="297454D8" w:rsidRPr="007B1640" w:rsidRDefault="7A5783B7" w:rsidP="332E49E3">
            <w:pPr>
              <w:rPr>
                <w:rFonts w:ascii="Century Gothic" w:hAnsi="Century Gothic"/>
              </w:rPr>
            </w:pPr>
            <w:r w:rsidRPr="007B1640">
              <w:rPr>
                <w:rFonts w:ascii="Century Gothic" w:hAnsi="Century Gothic"/>
              </w:rPr>
              <w:t xml:space="preserve">2021: </w:t>
            </w:r>
            <w:r w:rsidR="27FE8E56" w:rsidRPr="007B1640">
              <w:rPr>
                <w:rFonts w:ascii="Century Gothic" w:hAnsi="Century Gothic"/>
              </w:rPr>
              <w:t>$</w:t>
            </w:r>
            <w:r w:rsidR="54338945" w:rsidRPr="007B1640">
              <w:rPr>
                <w:rFonts w:ascii="Century Gothic" w:hAnsi="Century Gothic"/>
              </w:rPr>
              <w:t>11,264</w:t>
            </w:r>
            <w:r w:rsidR="696AAEF0" w:rsidRPr="007B1640">
              <w:rPr>
                <w:rFonts w:ascii="Century Gothic" w:hAnsi="Century Gothic"/>
              </w:rPr>
              <w:t xml:space="preserve"> (11% increase)</w:t>
            </w:r>
          </w:p>
          <w:p w14:paraId="081EF4FA" w14:textId="309886E6" w:rsidR="00CB7A2A" w:rsidRPr="007B1640" w:rsidRDefault="00CB7A2A" w:rsidP="00A406EE">
            <w:pPr>
              <w:rPr>
                <w:rFonts w:ascii="Century Gothic" w:hAnsi="Century Gothic"/>
                <w:szCs w:val="22"/>
              </w:rPr>
            </w:pPr>
            <w:r w:rsidRPr="007B1640">
              <w:rPr>
                <w:rFonts w:ascii="Century Gothic" w:hAnsi="Century Gothic"/>
              </w:rPr>
              <w:t>2020: $10,136</w:t>
            </w:r>
          </w:p>
          <w:p w14:paraId="11F838FA" w14:textId="05DB39AB" w:rsidR="00A406EE" w:rsidRPr="007B1640" w:rsidRDefault="50A20996" w:rsidP="3C3EEDA0">
            <w:pPr>
              <w:rPr>
                <w:rFonts w:ascii="Century Gothic" w:hAnsi="Century Gothic"/>
              </w:rPr>
            </w:pPr>
            <w:r w:rsidRPr="007B1640">
              <w:rPr>
                <w:rFonts w:ascii="Century Gothic" w:hAnsi="Century Gothic"/>
              </w:rPr>
              <w:t xml:space="preserve">   </w:t>
            </w:r>
          </w:p>
        </w:tc>
        <w:tc>
          <w:tcPr>
            <w:tcW w:w="1894" w:type="dxa"/>
            <w:tcBorders>
              <w:top w:val="single" w:sz="4" w:space="0" w:color="D9D9D9" w:themeColor="background1" w:themeShade="D9"/>
              <w:left w:val="single" w:sz="4" w:space="0" w:color="D9D9D9" w:themeColor="background1" w:themeShade="D9"/>
              <w:bottom w:val="nil"/>
              <w:right w:val="nil"/>
            </w:tcBorders>
            <w:hideMark/>
          </w:tcPr>
          <w:p w14:paraId="7AAE879D" w14:textId="7F7D0F61" w:rsidR="00A406EE" w:rsidRPr="007B1640" w:rsidRDefault="4F08F261">
            <w:pPr>
              <w:rPr>
                <w:rFonts w:ascii="Century Gothic" w:hAnsi="Century Gothic"/>
              </w:rPr>
            </w:pPr>
            <w:r w:rsidRPr="007B1640">
              <w:rPr>
                <w:rFonts w:ascii="Century Gothic" w:hAnsi="Century Gothic"/>
              </w:rPr>
              <w:t xml:space="preserve"> Yes</w:t>
            </w:r>
          </w:p>
        </w:tc>
      </w:tr>
      <w:tr w:rsidR="008434F3" w:rsidRPr="003337FD" w14:paraId="70324559" w14:textId="77777777" w:rsidTr="169FF47A">
        <w:trPr>
          <w:trHeight w:val="400"/>
        </w:trPr>
        <w:tc>
          <w:tcPr>
            <w:tcW w:w="9936" w:type="dxa"/>
            <w:gridSpan w:val="5"/>
            <w:tcBorders>
              <w:top w:val="nil"/>
              <w:left w:val="nil"/>
              <w:bottom w:val="single" w:sz="24" w:space="0" w:color="B5333C" w:themeColor="accent2"/>
              <w:right w:val="nil"/>
            </w:tcBorders>
            <w:shd w:val="clear" w:color="auto" w:fill="808080" w:themeFill="background1" w:themeFillShade="80"/>
            <w:hideMark/>
          </w:tcPr>
          <w:p w14:paraId="474654DC" w14:textId="77777777" w:rsidR="00A406EE" w:rsidRPr="00FF58AE" w:rsidRDefault="00A406EE" w:rsidP="00532250">
            <w:pPr>
              <w:jc w:val="center"/>
              <w:rPr>
                <w:rFonts w:ascii="Century Gothic" w:hAnsi="Century Gothic"/>
                <w:b/>
                <w:szCs w:val="22"/>
              </w:rPr>
            </w:pPr>
            <w:r w:rsidRPr="00FF58AE">
              <w:rPr>
                <w:rFonts w:ascii="Century Gothic" w:hAnsi="Century Gothic"/>
                <w:b/>
                <w:szCs w:val="22"/>
              </w:rPr>
              <w:t>SS #5: Households Assisted by Services that Increase Self-Sufficiency</w:t>
            </w:r>
          </w:p>
        </w:tc>
      </w:tr>
      <w:tr w:rsidR="00A406EE" w:rsidRPr="003337FD" w14:paraId="6446BDB2" w14:textId="77777777" w:rsidTr="169FF47A">
        <w:trPr>
          <w:trHeight w:val="1146"/>
        </w:trPr>
        <w:tc>
          <w:tcPr>
            <w:tcW w:w="27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539B67D5" w14:textId="77777777" w:rsidR="00A406EE" w:rsidRPr="00FF58AE" w:rsidRDefault="00A406EE" w:rsidP="00A406EE">
            <w:pPr>
              <w:rPr>
                <w:rFonts w:ascii="Century Gothic" w:hAnsi="Century Gothic"/>
                <w:szCs w:val="22"/>
              </w:rPr>
            </w:pPr>
            <w:r w:rsidRPr="00FF58AE">
              <w:rPr>
                <w:rFonts w:ascii="Century Gothic" w:hAnsi="Century Gothic"/>
                <w:szCs w:val="22"/>
              </w:rPr>
              <w:t>Percentage of homeless households enrolled in program receiving supportive services</w:t>
            </w:r>
          </w:p>
        </w:tc>
        <w:tc>
          <w:tcPr>
            <w:tcW w:w="18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BEB4401" w14:textId="77777777" w:rsidR="00A406EE" w:rsidRPr="00FF58AE" w:rsidRDefault="00A406EE" w:rsidP="00A406EE">
            <w:pPr>
              <w:rPr>
                <w:rFonts w:ascii="Century Gothic" w:hAnsi="Century Gothic"/>
                <w:szCs w:val="22"/>
              </w:rPr>
            </w:pPr>
            <w:r w:rsidRPr="00FF58AE">
              <w:rPr>
                <w:rFonts w:ascii="Century Gothic" w:hAnsi="Century Gothic"/>
                <w:szCs w:val="22"/>
              </w:rPr>
              <w:t>0 (2010)</w:t>
            </w:r>
          </w:p>
        </w:tc>
        <w:tc>
          <w:tcPr>
            <w:tcW w:w="17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B9C83DF" w14:textId="77777777" w:rsidR="00A406EE" w:rsidRPr="00FF58AE" w:rsidRDefault="495F161D" w:rsidP="0E6C54AB">
            <w:pPr>
              <w:rPr>
                <w:rFonts w:ascii="Century Gothic" w:hAnsi="Century Gothic"/>
              </w:rPr>
            </w:pPr>
            <w:r w:rsidRPr="00FF58AE">
              <w:rPr>
                <w:rFonts w:ascii="Century Gothic" w:hAnsi="Century Gothic"/>
              </w:rPr>
              <w:t>100% receiving supportive services</w:t>
            </w:r>
          </w:p>
        </w:tc>
        <w:tc>
          <w:tcPr>
            <w:tcW w:w="16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79E2FD0" w14:textId="072F6BC4" w:rsidR="065BE451" w:rsidRPr="00FF58AE" w:rsidRDefault="7F21843A" w:rsidP="0189D8D6">
            <w:pPr>
              <w:rPr>
                <w:rFonts w:ascii="Century Gothic" w:hAnsi="Century Gothic"/>
              </w:rPr>
            </w:pPr>
            <w:r w:rsidRPr="00FF58AE">
              <w:rPr>
                <w:rFonts w:ascii="Century Gothic" w:hAnsi="Century Gothic"/>
              </w:rPr>
              <w:t xml:space="preserve">2024: </w:t>
            </w:r>
            <w:r w:rsidR="1D7FF849" w:rsidRPr="00FF58AE">
              <w:rPr>
                <w:rFonts w:ascii="Century Gothic" w:hAnsi="Century Gothic"/>
              </w:rPr>
              <w:t>100</w:t>
            </w:r>
            <w:r w:rsidRPr="00FF58AE">
              <w:rPr>
                <w:rFonts w:ascii="Century Gothic" w:hAnsi="Century Gothic"/>
              </w:rPr>
              <w:t>%</w:t>
            </w:r>
          </w:p>
          <w:p w14:paraId="55319363" w14:textId="4721DEE1" w:rsidR="000E7116" w:rsidRPr="00FF58AE" w:rsidRDefault="42A6A999" w:rsidP="000E7116">
            <w:pPr>
              <w:rPr>
                <w:rFonts w:ascii="Century Gothic" w:hAnsi="Century Gothic"/>
              </w:rPr>
            </w:pPr>
            <w:r w:rsidRPr="00FF58AE">
              <w:rPr>
                <w:rFonts w:ascii="Century Gothic" w:hAnsi="Century Gothic"/>
              </w:rPr>
              <w:t>2023:</w:t>
            </w:r>
            <w:r w:rsidR="0729AAD7" w:rsidRPr="00FF58AE">
              <w:rPr>
                <w:rFonts w:ascii="Century Gothic" w:hAnsi="Century Gothic"/>
              </w:rPr>
              <w:t>100</w:t>
            </w:r>
            <w:r w:rsidR="7D2CE153" w:rsidRPr="00FF58AE">
              <w:rPr>
                <w:rFonts w:ascii="Century Gothic" w:hAnsi="Century Gothic"/>
              </w:rPr>
              <w:t>%</w:t>
            </w:r>
          </w:p>
          <w:p w14:paraId="10C7AE63" w14:textId="6A1B268C" w:rsidR="00A406EE" w:rsidRPr="00FF58AE" w:rsidRDefault="669F80F0" w:rsidP="3C3EEDA0">
            <w:pPr>
              <w:rPr>
                <w:rFonts w:ascii="Century Gothic" w:hAnsi="Century Gothic"/>
              </w:rPr>
            </w:pPr>
            <w:r w:rsidRPr="00FF58AE">
              <w:rPr>
                <w:rFonts w:ascii="Century Gothic" w:hAnsi="Century Gothic"/>
              </w:rPr>
              <w:t>2022:100%</w:t>
            </w:r>
          </w:p>
          <w:p w14:paraId="4505B826" w14:textId="723A293D" w:rsidR="00A406EE" w:rsidRPr="00FF58AE" w:rsidRDefault="00A406EE" w:rsidP="0E6C54AB">
            <w:pPr>
              <w:rPr>
                <w:rFonts w:ascii="Century Gothic" w:eastAsia="MS PGothic" w:hAnsi="Century Gothic"/>
              </w:rPr>
            </w:pPr>
          </w:p>
        </w:tc>
        <w:tc>
          <w:tcPr>
            <w:tcW w:w="18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0776667F" w14:textId="4B6C65A8" w:rsidR="00A406EE" w:rsidRPr="00FF58AE" w:rsidRDefault="00A406EE" w:rsidP="00A406EE">
            <w:pPr>
              <w:rPr>
                <w:rFonts w:ascii="Century Gothic" w:hAnsi="Century Gothic"/>
                <w:szCs w:val="22"/>
              </w:rPr>
            </w:pPr>
            <w:r w:rsidRPr="00FF58AE">
              <w:rPr>
                <w:rFonts w:ascii="Century Gothic" w:hAnsi="Century Gothic"/>
                <w:szCs w:val="22"/>
              </w:rPr>
              <w:t>Yes</w:t>
            </w:r>
          </w:p>
        </w:tc>
      </w:tr>
    </w:tbl>
    <w:p w14:paraId="08E85246" w14:textId="2B46D363" w:rsidR="00A406EE" w:rsidRPr="00FF58AE" w:rsidDel="00044C76" w:rsidRDefault="00A406EE" w:rsidP="00A406EE">
      <w:pPr>
        <w:rPr>
          <w:rFonts w:ascii="Century Gothic" w:hAnsi="Century Gothic"/>
          <w:b/>
          <w:szCs w:val="22"/>
        </w:rPr>
      </w:pPr>
    </w:p>
    <w:tbl>
      <w:tblPr>
        <w:tblStyle w:val="TableGrid"/>
        <w:tblW w:w="0" w:type="auto"/>
        <w:tblLook w:val="04A0" w:firstRow="1" w:lastRow="0" w:firstColumn="1" w:lastColumn="0" w:noHBand="0" w:noVBand="1"/>
      </w:tblPr>
      <w:tblGrid>
        <w:gridCol w:w="2787"/>
        <w:gridCol w:w="1636"/>
        <w:gridCol w:w="1843"/>
        <w:gridCol w:w="1695"/>
        <w:gridCol w:w="1975"/>
      </w:tblGrid>
      <w:tr w:rsidR="008434F3" w:rsidRPr="003337FD" w14:paraId="15774F35" w14:textId="77777777" w:rsidTr="169FF47A">
        <w:trPr>
          <w:trHeight w:val="390"/>
        </w:trPr>
        <w:tc>
          <w:tcPr>
            <w:tcW w:w="9936" w:type="dxa"/>
            <w:gridSpan w:val="5"/>
            <w:tcBorders>
              <w:top w:val="nil"/>
              <w:left w:val="nil"/>
              <w:bottom w:val="single" w:sz="24" w:space="0" w:color="B5333C" w:themeColor="accent2"/>
              <w:right w:val="nil"/>
            </w:tcBorders>
            <w:shd w:val="clear" w:color="auto" w:fill="808080" w:themeFill="background1" w:themeFillShade="80"/>
            <w:hideMark/>
          </w:tcPr>
          <w:p w14:paraId="1513036E" w14:textId="7B7C5003" w:rsidR="00A406EE" w:rsidRPr="00FF58AE" w:rsidRDefault="00B20E83" w:rsidP="00532250">
            <w:pPr>
              <w:jc w:val="center"/>
              <w:rPr>
                <w:rFonts w:ascii="Century Gothic" w:hAnsi="Century Gothic"/>
                <w:b/>
                <w:i/>
                <w:szCs w:val="22"/>
              </w:rPr>
            </w:pPr>
            <w:r w:rsidRPr="00FF58AE">
              <w:rPr>
                <w:rFonts w:ascii="Century Gothic" w:hAnsi="Century Gothic"/>
                <w:b/>
                <w:szCs w:val="22"/>
              </w:rPr>
              <w:br w:type="page"/>
            </w:r>
            <w:r w:rsidR="00A406EE" w:rsidRPr="00FF58AE">
              <w:rPr>
                <w:rFonts w:ascii="Century Gothic" w:hAnsi="Century Gothic"/>
                <w:b/>
                <w:szCs w:val="22"/>
              </w:rPr>
              <w:t>HC #1: Additional Units of Housing Made Available</w:t>
            </w:r>
          </w:p>
        </w:tc>
      </w:tr>
      <w:tr w:rsidR="008434F3" w:rsidRPr="003337FD" w14:paraId="465FBB41" w14:textId="77777777" w:rsidTr="169FF47A">
        <w:trPr>
          <w:trHeight w:val="340"/>
        </w:trPr>
        <w:tc>
          <w:tcPr>
            <w:tcW w:w="2787"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D26593B" w14:textId="77777777" w:rsidR="00A406EE" w:rsidRPr="00FF58AE" w:rsidRDefault="00A406EE" w:rsidP="00532250">
            <w:pPr>
              <w:jc w:val="center"/>
              <w:rPr>
                <w:rFonts w:ascii="Century Gothic" w:hAnsi="Century Gothic"/>
                <w:b/>
                <w:szCs w:val="22"/>
              </w:rPr>
            </w:pPr>
            <w:r w:rsidRPr="00FF58AE">
              <w:rPr>
                <w:rFonts w:ascii="Century Gothic" w:hAnsi="Century Gothic"/>
                <w:b/>
                <w:szCs w:val="22"/>
              </w:rPr>
              <w:t>Unit of Measurement</w:t>
            </w:r>
          </w:p>
        </w:tc>
        <w:tc>
          <w:tcPr>
            <w:tcW w:w="1636"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6339F004" w14:textId="77777777" w:rsidR="00A406EE" w:rsidRPr="00FF58AE" w:rsidRDefault="00A406EE" w:rsidP="00532250">
            <w:pPr>
              <w:jc w:val="center"/>
              <w:rPr>
                <w:rFonts w:ascii="Century Gothic" w:hAnsi="Century Gothic"/>
                <w:b/>
                <w:szCs w:val="22"/>
              </w:rPr>
            </w:pPr>
            <w:r w:rsidRPr="00FF58AE">
              <w:rPr>
                <w:rFonts w:ascii="Century Gothic" w:hAnsi="Century Gothic"/>
                <w:b/>
                <w:szCs w:val="22"/>
              </w:rPr>
              <w:t>Baseline</w:t>
            </w:r>
          </w:p>
        </w:tc>
        <w:tc>
          <w:tcPr>
            <w:tcW w:w="184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0B9C383" w14:textId="77777777" w:rsidR="00A406EE" w:rsidRPr="00FF58AE" w:rsidRDefault="00A406EE" w:rsidP="00532250">
            <w:pPr>
              <w:jc w:val="center"/>
              <w:rPr>
                <w:rFonts w:ascii="Century Gothic" w:hAnsi="Century Gothic"/>
                <w:b/>
                <w:szCs w:val="22"/>
              </w:rPr>
            </w:pPr>
            <w:r w:rsidRPr="00FF58AE">
              <w:rPr>
                <w:rFonts w:ascii="Century Gothic" w:hAnsi="Century Gothic"/>
                <w:b/>
                <w:szCs w:val="22"/>
              </w:rPr>
              <w:t>Benchmark</w:t>
            </w:r>
          </w:p>
        </w:tc>
        <w:tc>
          <w:tcPr>
            <w:tcW w:w="1695"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18E4E4F" w14:textId="77777777" w:rsidR="00A406EE" w:rsidRPr="00FF58AE" w:rsidRDefault="00A406EE" w:rsidP="00532250">
            <w:pPr>
              <w:jc w:val="center"/>
              <w:rPr>
                <w:rFonts w:ascii="Century Gothic" w:hAnsi="Century Gothic"/>
                <w:b/>
                <w:szCs w:val="22"/>
              </w:rPr>
            </w:pPr>
            <w:r w:rsidRPr="00FF58AE">
              <w:rPr>
                <w:rFonts w:ascii="Century Gothic" w:hAnsi="Century Gothic"/>
                <w:b/>
                <w:szCs w:val="22"/>
              </w:rPr>
              <w:t>Outcome</w:t>
            </w:r>
          </w:p>
        </w:tc>
        <w:tc>
          <w:tcPr>
            <w:tcW w:w="1975"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3B5EFEBF" w14:textId="77777777" w:rsidR="00A406EE" w:rsidRPr="00FF58AE" w:rsidRDefault="00A406EE" w:rsidP="00532250">
            <w:pPr>
              <w:jc w:val="center"/>
              <w:rPr>
                <w:rFonts w:ascii="Century Gothic" w:hAnsi="Century Gothic"/>
                <w:b/>
                <w:szCs w:val="22"/>
              </w:rPr>
            </w:pPr>
            <w:r w:rsidRPr="00FF58AE">
              <w:rPr>
                <w:rFonts w:ascii="Century Gothic" w:hAnsi="Century Gothic"/>
                <w:b/>
                <w:szCs w:val="22"/>
              </w:rPr>
              <w:t>Benchmark Achieved?</w:t>
            </w:r>
          </w:p>
        </w:tc>
      </w:tr>
      <w:tr w:rsidR="00A406EE" w:rsidRPr="003337FD" w14:paraId="04E8AEAD" w14:textId="77777777" w:rsidTr="169FF47A">
        <w:trPr>
          <w:trHeight w:val="1950"/>
        </w:trPr>
        <w:tc>
          <w:tcPr>
            <w:tcW w:w="27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619F8C98" w14:textId="77777777" w:rsidR="00A406EE" w:rsidRPr="00FF58AE" w:rsidRDefault="00A406EE" w:rsidP="00A406EE">
            <w:pPr>
              <w:rPr>
                <w:rFonts w:ascii="Century Gothic" w:hAnsi="Century Gothic"/>
                <w:szCs w:val="22"/>
              </w:rPr>
            </w:pPr>
            <w:r w:rsidRPr="00FF58AE">
              <w:rPr>
                <w:rFonts w:ascii="Century Gothic" w:hAnsi="Century Gothic"/>
                <w:szCs w:val="22"/>
              </w:rPr>
              <w:t>Additional permanent housing made available to homeless families</w:t>
            </w:r>
          </w:p>
        </w:tc>
        <w:tc>
          <w:tcPr>
            <w:tcW w:w="1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0E19735" w14:textId="77777777" w:rsidR="00A406EE" w:rsidRPr="00FF58AE" w:rsidRDefault="00A406EE" w:rsidP="00A406EE">
            <w:pPr>
              <w:rPr>
                <w:rFonts w:ascii="Century Gothic" w:hAnsi="Century Gothic"/>
                <w:szCs w:val="22"/>
              </w:rPr>
            </w:pPr>
            <w:r w:rsidRPr="00FF58AE">
              <w:rPr>
                <w:rFonts w:ascii="Century Gothic" w:hAnsi="Century Gothic"/>
                <w:szCs w:val="22"/>
              </w:rPr>
              <w:t>0 (2010)</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972ACFD" w14:textId="32B96963" w:rsidR="00A406EE" w:rsidRPr="00FF58AE" w:rsidRDefault="32D0C7BC" w:rsidP="00A406EE">
            <w:pPr>
              <w:rPr>
                <w:rFonts w:ascii="Century Gothic" w:hAnsi="Century Gothic"/>
              </w:rPr>
            </w:pPr>
            <w:r w:rsidRPr="00FF58AE">
              <w:rPr>
                <w:rFonts w:ascii="Century Gothic" w:hAnsi="Century Gothic"/>
              </w:rPr>
              <w:t xml:space="preserve">At least </w:t>
            </w:r>
            <w:r w:rsidR="3BE772CC" w:rsidRPr="00FF58AE">
              <w:rPr>
                <w:rFonts w:ascii="Century Gothic" w:hAnsi="Century Gothic"/>
              </w:rPr>
              <w:t>10</w:t>
            </w:r>
            <w:r w:rsidR="287A4B5F" w:rsidRPr="00FF58AE">
              <w:rPr>
                <w:rFonts w:ascii="Century Gothic" w:hAnsi="Century Gothic"/>
              </w:rPr>
              <w:t xml:space="preserve"> new families </w:t>
            </w:r>
            <w:proofErr w:type="gramStart"/>
            <w:r w:rsidR="287A4B5F" w:rsidRPr="00FF58AE">
              <w:rPr>
                <w:rFonts w:ascii="Century Gothic" w:hAnsi="Century Gothic"/>
              </w:rPr>
              <w:t>housed</w:t>
            </w:r>
            <w:proofErr w:type="gramEnd"/>
            <w:r w:rsidR="287A4B5F" w:rsidRPr="00FF58AE">
              <w:rPr>
                <w:rFonts w:ascii="Century Gothic" w:hAnsi="Century Gothic"/>
              </w:rPr>
              <w:t xml:space="preserve"> per year</w:t>
            </w:r>
          </w:p>
        </w:tc>
        <w:tc>
          <w:tcPr>
            <w:tcW w:w="16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D1FA1F2" w14:textId="4F9E6786" w:rsidR="17E9E14A" w:rsidRPr="00FF58AE" w:rsidRDefault="711F36F0" w:rsidP="0189D8D6">
            <w:pPr>
              <w:rPr>
                <w:rFonts w:ascii="Century Gothic" w:hAnsi="Century Gothic"/>
              </w:rPr>
            </w:pPr>
            <w:r w:rsidRPr="00FF58AE">
              <w:rPr>
                <w:rFonts w:ascii="Century Gothic" w:hAnsi="Century Gothic"/>
              </w:rPr>
              <w:t xml:space="preserve">2024: </w:t>
            </w:r>
            <w:r w:rsidR="1D579038" w:rsidRPr="00FF58AE">
              <w:rPr>
                <w:rFonts w:ascii="Century Gothic" w:hAnsi="Century Gothic"/>
              </w:rPr>
              <w:t>19</w:t>
            </w:r>
          </w:p>
          <w:p w14:paraId="7B7B451E" w14:textId="25076269" w:rsidR="000E7116" w:rsidRPr="00FF58AE" w:rsidRDefault="4B72EF25" w:rsidP="000E7116">
            <w:pPr>
              <w:rPr>
                <w:rFonts w:ascii="Century Gothic" w:hAnsi="Century Gothic"/>
              </w:rPr>
            </w:pPr>
            <w:r w:rsidRPr="00FF58AE">
              <w:rPr>
                <w:rFonts w:ascii="Century Gothic" w:hAnsi="Century Gothic"/>
              </w:rPr>
              <w:t xml:space="preserve">2023: </w:t>
            </w:r>
            <w:r w:rsidR="45941CF4" w:rsidRPr="00FF58AE">
              <w:rPr>
                <w:rFonts w:ascii="Century Gothic" w:hAnsi="Century Gothic"/>
              </w:rPr>
              <w:t>14</w:t>
            </w:r>
          </w:p>
          <w:p w14:paraId="257B3C6B" w14:textId="7B4B358F" w:rsidR="10F58ADF" w:rsidRPr="00FF58AE" w:rsidRDefault="10F58ADF" w:rsidP="3C3EEDA0">
            <w:pPr>
              <w:rPr>
                <w:rFonts w:ascii="Century Gothic" w:hAnsi="Century Gothic"/>
              </w:rPr>
            </w:pPr>
            <w:r w:rsidRPr="00FF58AE">
              <w:rPr>
                <w:rFonts w:ascii="Century Gothic" w:hAnsi="Century Gothic"/>
              </w:rPr>
              <w:t xml:space="preserve">2022: </w:t>
            </w:r>
            <w:r w:rsidR="58148609" w:rsidRPr="00FF58AE">
              <w:rPr>
                <w:rFonts w:ascii="Century Gothic" w:hAnsi="Century Gothic"/>
              </w:rPr>
              <w:t>3</w:t>
            </w:r>
          </w:p>
          <w:p w14:paraId="621B93EC" w14:textId="506E0189" w:rsidR="00BD39D5" w:rsidRPr="00FF58AE" w:rsidRDefault="005E6ED5" w:rsidP="00A406EE">
            <w:pPr>
              <w:rPr>
                <w:rFonts w:ascii="Century Gothic" w:hAnsi="Century Gothic"/>
              </w:rPr>
            </w:pPr>
            <w:r w:rsidRPr="00FF58AE">
              <w:rPr>
                <w:rFonts w:ascii="Century Gothic" w:hAnsi="Century Gothic"/>
              </w:rPr>
              <w:t>2021</w:t>
            </w:r>
            <w:r w:rsidR="00490ABA" w:rsidRPr="00FF58AE">
              <w:rPr>
                <w:rFonts w:ascii="Century Gothic" w:hAnsi="Century Gothic"/>
              </w:rPr>
              <w:t xml:space="preserve">: </w:t>
            </w:r>
            <w:r w:rsidR="50548AF2" w:rsidRPr="00FF58AE">
              <w:rPr>
                <w:rFonts w:ascii="Century Gothic" w:hAnsi="Century Gothic"/>
              </w:rPr>
              <w:t>11</w:t>
            </w:r>
          </w:p>
          <w:p w14:paraId="24BFBDF4" w14:textId="04F6FC67" w:rsidR="00CB7A2A" w:rsidRPr="00FF58AE" w:rsidRDefault="00CB7A2A" w:rsidP="00A406EE">
            <w:pPr>
              <w:rPr>
                <w:rFonts w:ascii="Century Gothic" w:hAnsi="Century Gothic"/>
              </w:rPr>
            </w:pPr>
            <w:r w:rsidRPr="00FF58AE">
              <w:rPr>
                <w:rFonts w:ascii="Century Gothic" w:hAnsi="Century Gothic"/>
              </w:rPr>
              <w:t>2020: 1</w:t>
            </w:r>
          </w:p>
          <w:p w14:paraId="11244057" w14:textId="7C9D3D39" w:rsidR="00A406EE" w:rsidRPr="00FF58AE" w:rsidRDefault="00A406EE" w:rsidP="6B711D13">
            <w:pPr>
              <w:rPr>
                <w:rFonts w:ascii="Century Gothic" w:hAnsi="Century Gothic"/>
              </w:rPr>
            </w:pPr>
          </w:p>
          <w:p w14:paraId="088EF63E" w14:textId="29667F25" w:rsidR="00A406EE" w:rsidRPr="00FF58AE" w:rsidRDefault="214C454D" w:rsidP="3C3EEDA0">
            <w:pPr>
              <w:rPr>
                <w:rFonts w:ascii="Century Gothic" w:hAnsi="Century Gothic"/>
              </w:rPr>
            </w:pPr>
            <w:r w:rsidRPr="00FF58AE">
              <w:rPr>
                <w:rFonts w:ascii="Century Gothic" w:hAnsi="Century Gothic"/>
              </w:rPr>
              <w:t xml:space="preserve">  </w:t>
            </w: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6F8964B0" w14:textId="089B6A89" w:rsidR="00A406EE" w:rsidRPr="00FF58AE" w:rsidRDefault="2C313C72" w:rsidP="4EC18A89">
            <w:pPr>
              <w:rPr>
                <w:rFonts w:ascii="Century Gothic" w:hAnsi="Century Gothic"/>
              </w:rPr>
            </w:pPr>
            <w:r w:rsidRPr="00FF58AE">
              <w:rPr>
                <w:rFonts w:ascii="Century Gothic" w:hAnsi="Century Gothic"/>
              </w:rPr>
              <w:t xml:space="preserve"> </w:t>
            </w:r>
            <w:r w:rsidR="07C93706" w:rsidRPr="00FF58AE">
              <w:rPr>
                <w:rFonts w:ascii="Century Gothic" w:hAnsi="Century Gothic"/>
              </w:rPr>
              <w:t>Yes</w:t>
            </w:r>
          </w:p>
        </w:tc>
      </w:tr>
    </w:tbl>
    <w:p w14:paraId="3C8626B4" w14:textId="77777777" w:rsidR="00B30BA7" w:rsidRPr="00FF58AE" w:rsidRDefault="00B30BA7" w:rsidP="00EF57E8">
      <w:pPr>
        <w:pStyle w:val="Heading4"/>
        <w:rPr>
          <w:rStyle w:val="SubtleEmphasis"/>
          <w:rFonts w:ascii="Century Gothic" w:hAnsi="Century Gothic" w:cs="Times New Roman"/>
          <w:color w:val="808080" w:themeColor="background1" w:themeShade="80"/>
          <w:sz w:val="22"/>
        </w:rPr>
      </w:pPr>
      <w:r w:rsidRPr="00FF58AE">
        <w:rPr>
          <w:rStyle w:val="SubtleEmphasis"/>
          <w:rFonts w:ascii="Century Gothic" w:hAnsi="Century Gothic" w:cs="Times New Roman"/>
          <w:color w:val="808080" w:themeColor="background1" w:themeShade="80"/>
          <w:sz w:val="22"/>
        </w:rPr>
        <w:t>Actual Non-Significant Changes</w:t>
      </w:r>
    </w:p>
    <w:p w14:paraId="3587B90D" w14:textId="2EF2F10B" w:rsidR="00B30BA7" w:rsidRPr="00FF58AE" w:rsidRDefault="0385C3DA">
      <w:pPr>
        <w:pStyle w:val="Heading4"/>
        <w:rPr>
          <w:rFonts w:ascii="Century Gothic" w:eastAsia="MS PGothic" w:hAnsi="Century Gothic" w:cs="Arial"/>
          <w:bCs/>
        </w:rPr>
      </w:pPr>
      <w:r w:rsidRPr="00FF58AE">
        <w:rPr>
          <w:rFonts w:ascii="Century Gothic" w:eastAsia="Times New Roman" w:hAnsi="Century Gothic" w:cs="Times New Roman"/>
          <w:b w:val="0"/>
          <w:color w:val="auto"/>
        </w:rPr>
        <w:t>None</w:t>
      </w:r>
    </w:p>
    <w:p w14:paraId="6847649B" w14:textId="77777777" w:rsidR="00B30BA7" w:rsidRPr="00FF58AE" w:rsidRDefault="00B30BA7" w:rsidP="169FF47A">
      <w:pPr>
        <w:pStyle w:val="Heading4"/>
        <w:rPr>
          <w:rStyle w:val="SubtleEmphasis"/>
          <w:rFonts w:ascii="Century Gothic" w:hAnsi="Century Gothic" w:cs="Times New Roman"/>
          <w:color w:val="808080" w:themeColor="background1" w:themeShade="80"/>
          <w:sz w:val="22"/>
        </w:rPr>
      </w:pPr>
      <w:r w:rsidRPr="00FF58AE">
        <w:rPr>
          <w:rStyle w:val="SubtleEmphasis"/>
          <w:rFonts w:ascii="Century Gothic" w:hAnsi="Century Gothic" w:cs="Times New Roman"/>
          <w:color w:val="808080" w:themeColor="background1" w:themeShade="80"/>
          <w:sz w:val="22"/>
        </w:rPr>
        <w:t>Actual Significant Changes</w:t>
      </w:r>
    </w:p>
    <w:p w14:paraId="4600E25F" w14:textId="3889809A" w:rsidR="4428B944" w:rsidRPr="00FF58AE" w:rsidRDefault="4428B944" w:rsidP="003337FD">
      <w:pPr>
        <w:rPr>
          <w:rFonts w:ascii="Century Gothic" w:hAnsi="Century Gothic"/>
        </w:rPr>
      </w:pPr>
      <w:r w:rsidRPr="00FF58AE">
        <w:rPr>
          <w:rFonts w:ascii="Century Gothic" w:hAnsi="Century Gothic"/>
        </w:rPr>
        <w:t>None</w:t>
      </w:r>
    </w:p>
    <w:p w14:paraId="45F9A9AF" w14:textId="232282C0" w:rsidR="00E32532" w:rsidRPr="0020355D" w:rsidDel="00636670" w:rsidRDefault="00E32532" w:rsidP="4566E4F4">
      <w:pPr>
        <w:spacing w:after="160" w:line="276" w:lineRule="auto"/>
        <w:rPr>
          <w:rFonts w:eastAsia="MS PGothic"/>
          <w:szCs w:val="22"/>
        </w:rPr>
      </w:pPr>
    </w:p>
    <w:p w14:paraId="73BF5B0B" w14:textId="3AB22BF5" w:rsidR="00851795" w:rsidRPr="00AF1E5A" w:rsidRDefault="00D90959" w:rsidP="00405123">
      <w:pPr>
        <w:rPr>
          <w:rFonts w:ascii="Century Gothic" w:eastAsia="Calibri" w:hAnsi="Century Gothic"/>
          <w:b/>
          <w:bCs/>
          <w:szCs w:val="22"/>
        </w:rPr>
      </w:pPr>
      <w:bookmarkStart w:id="102" w:name="_Toc3305577"/>
      <w:bookmarkStart w:id="103" w:name="_Toc89871158"/>
      <w:bookmarkStart w:id="104" w:name="_Hlk112754416"/>
      <w:bookmarkEnd w:id="95"/>
      <w:r w:rsidRPr="00AF1E5A">
        <w:rPr>
          <w:rFonts w:ascii="Century Gothic" w:eastAsia="Calibri" w:hAnsi="Century Gothic"/>
          <w:b/>
          <w:bCs/>
          <w:szCs w:val="22"/>
        </w:rPr>
        <w:lastRenderedPageBreak/>
        <w:t>Initiative 1.9 – Increase the Allowed Percentage of Project Based Voucher (“PBV”) Units from 75 Percent to 100 Percent in a Mixed Financed Development</w:t>
      </w:r>
      <w:bookmarkEnd w:id="102"/>
      <w:bookmarkEnd w:id="103"/>
    </w:p>
    <w:p w14:paraId="463C4A7A" w14:textId="1E24555F" w:rsidR="00851795" w:rsidRPr="00AF1E5A" w:rsidRDefault="00DE6A54" w:rsidP="00851795">
      <w:pPr>
        <w:pStyle w:val="MTWHeader2"/>
        <w:ind w:left="7200" w:firstLine="720"/>
        <w:rPr>
          <w:rFonts w:ascii="Century Gothic" w:hAnsi="Century Gothic"/>
        </w:rPr>
      </w:pPr>
      <w:r w:rsidRPr="00AF1E5A">
        <w:rPr>
          <w:rFonts w:ascii="Century Gothic" w:hAnsi="Century Gothic"/>
        </w:rPr>
        <mc:AlternateContent>
          <mc:Choice Requires="wps">
            <w:drawing>
              <wp:inline distT="0" distB="0" distL="0" distR="0" wp14:anchorId="3B17047F" wp14:editId="060237D3">
                <wp:extent cx="1212850" cy="304800"/>
                <wp:effectExtent l="9525" t="9525" r="6350" b="9525"/>
                <wp:docPr id="465" name="Rectangle: Rounded Corners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0" cy="304800"/>
                        </a:xfrm>
                        <a:prstGeom prst="roundRect">
                          <a:avLst>
                            <a:gd name="adj" fmla="val 16667"/>
                          </a:avLst>
                        </a:prstGeom>
                        <a:solidFill>
                          <a:schemeClr val="accent2">
                            <a:lumMod val="100000"/>
                            <a:lumOff val="0"/>
                          </a:schemeClr>
                        </a:solidFill>
                        <a:ln w="12700">
                          <a:solidFill>
                            <a:schemeClr val="bg1">
                              <a:lumMod val="100000"/>
                              <a:lumOff val="0"/>
                            </a:schemeClr>
                          </a:solidFill>
                          <a:miter lim="800000"/>
                          <a:headEnd/>
                          <a:tailEnd/>
                        </a:ln>
                      </wps:spPr>
                      <wps:txbx>
                        <w:txbxContent>
                          <w:p w14:paraId="12020D27" w14:textId="61A2F495" w:rsidR="009F26DD" w:rsidRDefault="009A2E04" w:rsidP="00851795">
                            <w:pPr>
                              <w:jc w:val="center"/>
                              <w:rPr>
                                <w:b/>
                                <w:szCs w:val="20"/>
                              </w:rPr>
                            </w:pPr>
                            <w:r w:rsidRPr="004F7D1C">
                              <w:rPr>
                                <w:b/>
                                <w:szCs w:val="20"/>
                              </w:rPr>
                              <w:t>Housing Choice</w:t>
                            </w:r>
                          </w:p>
                        </w:txbxContent>
                      </wps:txbx>
                      <wps:bodyPr rot="0" vert="horz" wrap="square" lIns="91440" tIns="45720" rIns="91440" bIns="45720" anchor="ctr" anchorCtr="0" upright="1">
                        <a:noAutofit/>
                      </wps:bodyPr>
                    </wps:wsp>
                  </a:graphicData>
                </a:graphic>
              </wp:inline>
            </w:drawing>
          </mc:Choice>
          <mc:Fallback>
            <w:pict>
              <v:roundrect w14:anchorId="3B17047F" id="Rectangle: Rounded Corners 77" o:spid="_x0000_s1047" style="width:95.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" fillcolor="#b5333c [3205]" strokecolor="white [3212]" strokeweight="1pt">
                <v:stroke joinstyle="miter"/>
                <v:path arrowok="t"/>
                <v:textbox>
                  <w:txbxContent>
                    <w:p w14:paraId="12020D27" w14:textId="61A2F495" w:rsidR="009F26DD" w:rsidRDefault="009A2E04" w:rsidP="00851795">
                      <w:pPr>
                        <w:jc w:val="center"/>
                        <w:rPr>
                          <w:b/>
                          <w:szCs w:val="20"/>
                        </w:rPr>
                      </w:pPr>
                      <w:r w:rsidRPr="004F7D1C">
                        <w:rPr>
                          <w:b/>
                          <w:szCs w:val="20"/>
                        </w:rPr>
                        <w:t>Housing Choice</w:t>
                      </w:r>
                    </w:p>
                  </w:txbxContent>
                </v:textbox>
                <w10:anchorlock/>
              </v:roundrect>
            </w:pict>
          </mc:Fallback>
        </mc:AlternateContent>
      </w:r>
    </w:p>
    <w:p w14:paraId="3D28FA64" w14:textId="4E5AE3CF" w:rsidR="00937052" w:rsidRPr="00AF1E5A" w:rsidRDefault="00937052" w:rsidP="00937052">
      <w:pPr>
        <w:rPr>
          <w:rFonts w:ascii="Century Gothic" w:eastAsia="Calibri" w:hAnsi="Century Gothic"/>
        </w:rPr>
      </w:pPr>
      <w:r w:rsidRPr="00AF1E5A">
        <w:rPr>
          <w:rFonts w:ascii="Century Gothic" w:eastAsia="Calibri" w:hAnsi="Century Gothic"/>
        </w:rPr>
        <w:t>Approved in FY12 and implemented in FY13.</w:t>
      </w:r>
    </w:p>
    <w:p w14:paraId="681AAB3D" w14:textId="77777777" w:rsidR="00937052" w:rsidRPr="00AF1E5A" w:rsidRDefault="00937052" w:rsidP="00937052">
      <w:pPr>
        <w:rPr>
          <w:rFonts w:ascii="Century Gothic" w:hAnsi="Century Gothic"/>
        </w:rPr>
      </w:pPr>
    </w:p>
    <w:p w14:paraId="622825FD" w14:textId="63B6BABD" w:rsidR="00937052" w:rsidRPr="00AF1E5A" w:rsidRDefault="1F70F87B" w:rsidP="00937052">
      <w:pPr>
        <w:pStyle w:val="Heading4"/>
        <w:rPr>
          <w:rFonts w:ascii="Century Gothic" w:hAnsi="Century Gothic" w:cs="Times New Roman"/>
        </w:rPr>
      </w:pPr>
      <w:r w:rsidRPr="00AF1E5A">
        <w:rPr>
          <w:rFonts w:ascii="Century Gothic" w:hAnsi="Century Gothic" w:cs="Times New Roman"/>
        </w:rPr>
        <w:t>Description</w:t>
      </w:r>
    </w:p>
    <w:p w14:paraId="39464B27" w14:textId="7443BD9B" w:rsidR="00937052" w:rsidRPr="00AF1E5A" w:rsidRDefault="420BFAE8" w:rsidP="0E6C54AB">
      <w:pPr>
        <w:autoSpaceDE w:val="0"/>
        <w:autoSpaceDN w:val="0"/>
        <w:adjustRightInd w:val="0"/>
        <w:rPr>
          <w:rFonts w:ascii="Century Gothic" w:eastAsia="Calibri" w:hAnsi="Century Gothic"/>
        </w:rPr>
      </w:pPr>
      <w:r w:rsidRPr="00AF1E5A">
        <w:rPr>
          <w:rFonts w:ascii="Century Gothic" w:eastAsia="Calibri" w:hAnsi="Century Gothic"/>
        </w:rPr>
        <w:t xml:space="preserve">At baseline in FY2012, </w:t>
      </w:r>
      <w:r w:rsidR="1F70F87B" w:rsidRPr="00AF1E5A">
        <w:rPr>
          <w:rFonts w:ascii="Century Gothic" w:eastAsia="Calibri" w:hAnsi="Century Gothic"/>
        </w:rPr>
        <w:t xml:space="preserve">ECC/HANH completed a Project Needs Assessment (PNA) of its entire portfolio. The PNA shows that over the next 20 years, ECC/HANH’s needs </w:t>
      </w:r>
      <w:proofErr w:type="gramStart"/>
      <w:r w:rsidR="1F70F87B" w:rsidRPr="00AF1E5A">
        <w:rPr>
          <w:rFonts w:ascii="Century Gothic" w:eastAsia="Calibri" w:hAnsi="Century Gothic"/>
        </w:rPr>
        <w:t>would</w:t>
      </w:r>
      <w:proofErr w:type="gramEnd"/>
      <w:r w:rsidR="1F70F87B" w:rsidRPr="00AF1E5A">
        <w:rPr>
          <w:rFonts w:ascii="Century Gothic" w:eastAsia="Calibri" w:hAnsi="Century Gothic"/>
        </w:rPr>
        <w:t xml:space="preserve"> exceed available funds by a ratio of more than 3:1. To address this funding gap and help assure the long-term viability of the portfolio, ECC/HANH </w:t>
      </w:r>
      <w:r w:rsidR="3695704E" w:rsidRPr="00AF1E5A">
        <w:rPr>
          <w:rFonts w:ascii="Century Gothic" w:eastAsia="Calibri" w:hAnsi="Century Gothic"/>
        </w:rPr>
        <w:t>used</w:t>
      </w:r>
      <w:r w:rsidR="1F70F87B" w:rsidRPr="00AF1E5A">
        <w:rPr>
          <w:rFonts w:ascii="Century Gothic" w:eastAsia="Calibri" w:hAnsi="Century Gothic"/>
        </w:rPr>
        <w:t xml:space="preserve"> the PNA to develop an asset management strategy for each of its developments. Part of this strategy include</w:t>
      </w:r>
      <w:r w:rsidR="10EF3003" w:rsidRPr="00AF1E5A">
        <w:rPr>
          <w:rFonts w:ascii="Century Gothic" w:eastAsia="Calibri" w:hAnsi="Century Gothic"/>
        </w:rPr>
        <w:t>s</w:t>
      </w:r>
      <w:r w:rsidR="1F70F87B" w:rsidRPr="00AF1E5A">
        <w:rPr>
          <w:rFonts w:ascii="Century Gothic" w:eastAsia="Calibri" w:hAnsi="Century Gothic"/>
        </w:rPr>
        <w:t xml:space="preserve"> converting existing public housing </w:t>
      </w:r>
      <w:proofErr w:type="gramStart"/>
      <w:r w:rsidR="1F70F87B" w:rsidRPr="00AF1E5A">
        <w:rPr>
          <w:rFonts w:ascii="Century Gothic" w:eastAsia="Calibri" w:hAnsi="Century Gothic"/>
        </w:rPr>
        <w:t>to</w:t>
      </w:r>
      <w:proofErr w:type="gramEnd"/>
      <w:r w:rsidR="1F70F87B" w:rsidRPr="00AF1E5A">
        <w:rPr>
          <w:rFonts w:ascii="Century Gothic" w:eastAsia="Calibri" w:hAnsi="Century Gothic"/>
        </w:rPr>
        <w:t xml:space="preserve"> Project-Based Assistance under Section 8(o) (13). ECC/HANH would dispose of properties under Section 18 of the Housing Act of 1937 or Rental Assistance Demonstration (RAD) prior to conversion to Project-Based Vouchers.</w:t>
      </w:r>
    </w:p>
    <w:p w14:paraId="58BDF4C1" w14:textId="77777777" w:rsidR="00937052" w:rsidRPr="00AF1E5A" w:rsidRDefault="00937052" w:rsidP="00937052">
      <w:pPr>
        <w:autoSpaceDE w:val="0"/>
        <w:autoSpaceDN w:val="0"/>
        <w:adjustRightInd w:val="0"/>
        <w:rPr>
          <w:rFonts w:ascii="Century Gothic" w:eastAsia="Calibri" w:hAnsi="Century Gothic"/>
        </w:rPr>
      </w:pPr>
    </w:p>
    <w:p w14:paraId="0A6364F0" w14:textId="77777777" w:rsidR="00937052" w:rsidRPr="00AF1E5A" w:rsidRDefault="00937052" w:rsidP="00937052">
      <w:pPr>
        <w:autoSpaceDE w:val="0"/>
        <w:autoSpaceDN w:val="0"/>
        <w:adjustRightInd w:val="0"/>
        <w:rPr>
          <w:rFonts w:ascii="Century Gothic" w:eastAsia="Calibri" w:hAnsi="Century Gothic"/>
        </w:rPr>
      </w:pPr>
      <w:r w:rsidRPr="00AF1E5A">
        <w:rPr>
          <w:rFonts w:ascii="Century Gothic" w:eastAsia="Calibri" w:hAnsi="Century Gothic"/>
        </w:rPr>
        <w:t>ECC/HANH analyzed the feasibility of converting Annual Contribution Contract (“ACC”) units to Project-Based Units using criteria like those set forth under Section 22. ECC/HANH will increase its flexibility to allocate the number of units in a project from 75% (as previously approved by HUD) to 100%, which will allow for the conversion of ACC units to PBV units. This will provide the cash flow necessary to enable ECC/HANH to borrow private funds to rehabilitate aging developments in the portfolio. ECC/HANH also seeks to waive the requirement of one-year tenancy to allow participants greater flexibility.</w:t>
      </w:r>
    </w:p>
    <w:p w14:paraId="6DA7BFE5" w14:textId="77777777" w:rsidR="002A785F" w:rsidRPr="00AF1E5A" w:rsidRDefault="002A785F" w:rsidP="00937052">
      <w:pPr>
        <w:autoSpaceDE w:val="0"/>
        <w:autoSpaceDN w:val="0"/>
        <w:adjustRightInd w:val="0"/>
        <w:rPr>
          <w:rFonts w:ascii="Century Gothic" w:eastAsia="Calibri" w:hAnsi="Century Gothic"/>
        </w:rPr>
      </w:pPr>
    </w:p>
    <w:p w14:paraId="58C1C411" w14:textId="6886CFF0" w:rsidR="002A785F" w:rsidRPr="00AF1E5A" w:rsidRDefault="08A57290" w:rsidP="0E6C54AB">
      <w:pPr>
        <w:rPr>
          <w:rFonts w:ascii="Century Gothic" w:eastAsia="Calibri" w:hAnsi="Century Gothic"/>
        </w:rPr>
      </w:pPr>
      <w:r w:rsidRPr="00AF1E5A">
        <w:rPr>
          <w:rFonts w:ascii="Century Gothic" w:eastAsia="Calibri" w:hAnsi="Century Gothic"/>
        </w:rPr>
        <w:t>The majority of ECC</w:t>
      </w:r>
      <w:r w:rsidR="55A9B73A" w:rsidRPr="00AF1E5A">
        <w:rPr>
          <w:rFonts w:ascii="Century Gothic" w:eastAsia="Calibri" w:hAnsi="Century Gothic"/>
        </w:rPr>
        <w:t>/HANH</w:t>
      </w:r>
      <w:r w:rsidRPr="00AF1E5A">
        <w:rPr>
          <w:rFonts w:ascii="Century Gothic" w:eastAsia="Calibri" w:hAnsi="Century Gothic"/>
        </w:rPr>
        <w:t>’s LIPH conversions create mixed income communities replacing all former LIPH units and adding 20% market rate units.  Achieving this requires the ability to increase the per</w:t>
      </w:r>
      <w:r w:rsidR="01D9B08E" w:rsidRPr="00AF1E5A">
        <w:rPr>
          <w:rFonts w:ascii="Century Gothic" w:eastAsia="Calibri" w:hAnsi="Century Gothic"/>
        </w:rPr>
        <w:t>centage of PBVs placed at each development.</w:t>
      </w:r>
    </w:p>
    <w:p w14:paraId="289CEC40" w14:textId="3B4D9791" w:rsidR="0E6C54AB" w:rsidRPr="00AF1E5A" w:rsidRDefault="0E6C54AB" w:rsidP="0E6C54AB">
      <w:pPr>
        <w:rPr>
          <w:rFonts w:ascii="Century Gothic" w:eastAsia="Calibri" w:hAnsi="Century Gothic"/>
        </w:rPr>
      </w:pPr>
    </w:p>
    <w:p w14:paraId="57BA2AC7" w14:textId="1623F0E7" w:rsidR="00937052" w:rsidRPr="00AF1E5A" w:rsidRDefault="1F70F87B" w:rsidP="0E6C54AB">
      <w:pPr>
        <w:autoSpaceDE w:val="0"/>
        <w:autoSpaceDN w:val="0"/>
        <w:adjustRightInd w:val="0"/>
        <w:rPr>
          <w:rFonts w:ascii="Century Gothic" w:eastAsia="Calibri" w:hAnsi="Century Gothic"/>
        </w:rPr>
      </w:pPr>
      <w:r w:rsidRPr="00AF1E5A">
        <w:rPr>
          <w:rFonts w:ascii="Century Gothic" w:eastAsia="Calibri" w:hAnsi="Century Gothic"/>
        </w:rPr>
        <w:t xml:space="preserve">Mobility is offered by allowing tenants the option to vacate the development during rehabilitation and to choose between returning upon the completion of the rehabilitation or to accept a Tenant-Based Voucher </w:t>
      </w:r>
      <w:r w:rsidR="3B6111BB" w:rsidRPr="00AF1E5A">
        <w:rPr>
          <w:rFonts w:ascii="Century Gothic" w:eastAsia="Calibri" w:hAnsi="Century Gothic"/>
        </w:rPr>
        <w:t>and</w:t>
      </w:r>
      <w:r w:rsidRPr="00AF1E5A">
        <w:rPr>
          <w:rFonts w:ascii="Century Gothic" w:eastAsia="Calibri" w:hAnsi="Century Gothic"/>
        </w:rPr>
        <w:t xml:space="preserve"> </w:t>
      </w:r>
      <w:proofErr w:type="gramStart"/>
      <w:r w:rsidRPr="00AF1E5A">
        <w:rPr>
          <w:rFonts w:ascii="Century Gothic" w:eastAsia="Calibri" w:hAnsi="Century Gothic"/>
        </w:rPr>
        <w:t>relocate</w:t>
      </w:r>
      <w:proofErr w:type="gramEnd"/>
      <w:r w:rsidRPr="00AF1E5A">
        <w:rPr>
          <w:rFonts w:ascii="Century Gothic" w:eastAsia="Calibri" w:hAnsi="Century Gothic"/>
        </w:rPr>
        <w:t xml:space="preserve"> permanently. ECC/HANH will provide all the assistance and counseling as required under Section 18 or the Uniform Relocation Act, if applicable. </w:t>
      </w:r>
    </w:p>
    <w:p w14:paraId="1C07EFC8" w14:textId="77777777" w:rsidR="00937052" w:rsidRPr="00AF1E5A" w:rsidRDefault="00937052" w:rsidP="00937052">
      <w:pPr>
        <w:autoSpaceDE w:val="0"/>
        <w:autoSpaceDN w:val="0"/>
        <w:adjustRightInd w:val="0"/>
        <w:rPr>
          <w:rFonts w:ascii="Century Gothic" w:eastAsia="Calibri" w:hAnsi="Century Gothic"/>
        </w:rPr>
      </w:pPr>
    </w:p>
    <w:p w14:paraId="77869D2D" w14:textId="77777777" w:rsidR="00937052" w:rsidRPr="00AF1E5A" w:rsidRDefault="00937052" w:rsidP="00937052">
      <w:pPr>
        <w:autoSpaceDE w:val="0"/>
        <w:autoSpaceDN w:val="0"/>
        <w:adjustRightInd w:val="0"/>
        <w:rPr>
          <w:rFonts w:ascii="Century Gothic" w:eastAsia="Calibri" w:hAnsi="Century Gothic"/>
        </w:rPr>
      </w:pPr>
      <w:r w:rsidRPr="00AF1E5A">
        <w:rPr>
          <w:rFonts w:ascii="Century Gothic" w:eastAsia="Calibri" w:hAnsi="Century Gothic"/>
        </w:rPr>
        <w:t>Attachment C. Section D(e) authorizes ECC/HANH to determine the percentage of housing voucher assistance that it is permitted to project-base. Section D(e) waives certain provisions of Section 8(o) (13) of the Act that prohibits ECC/HANH from awarding more than 25 percent of the dwelling units in any building with project-based assistance. In cases in which project-based units are needed to ensure viability of mixed-finance projects, ECC/HANH, under its 2010 Plan, received authorization to project-base up to 75 percent of the units in the development, provided the project leverages non-public housing authority investments and increases housing choices for low-income families. ECC/HANH continues to use its authorization to project-base up to 100 percent of the units in a public housing development that is disposed of in connection with the submission of a Section 18 disposition application to HUD.</w:t>
      </w:r>
    </w:p>
    <w:p w14:paraId="0248B92B" w14:textId="77777777" w:rsidR="00937052" w:rsidRPr="00AF1E5A" w:rsidRDefault="00937052" w:rsidP="00937052">
      <w:pPr>
        <w:autoSpaceDE w:val="0"/>
        <w:autoSpaceDN w:val="0"/>
        <w:adjustRightInd w:val="0"/>
        <w:rPr>
          <w:rFonts w:ascii="Century Gothic" w:eastAsia="Calibri" w:hAnsi="Century Gothic"/>
        </w:rPr>
      </w:pPr>
    </w:p>
    <w:p w14:paraId="3AF456CD" w14:textId="77777777" w:rsidR="00937052" w:rsidRPr="00AF1E5A" w:rsidRDefault="00937052" w:rsidP="00937052">
      <w:pPr>
        <w:autoSpaceDE w:val="0"/>
        <w:autoSpaceDN w:val="0"/>
        <w:adjustRightInd w:val="0"/>
        <w:rPr>
          <w:rFonts w:ascii="Century Gothic" w:eastAsia="Calibri" w:hAnsi="Century Gothic"/>
        </w:rPr>
      </w:pPr>
      <w:r w:rsidRPr="00AF1E5A">
        <w:rPr>
          <w:rFonts w:ascii="Century Gothic" w:eastAsia="Calibri" w:hAnsi="Century Gothic"/>
        </w:rPr>
        <w:lastRenderedPageBreak/>
        <w:t xml:space="preserve">ECC/HANH will limit the number of project-based units in non-mixed-finance projects to no more than 50 percent of the units in the project. ECC/HANH may </w:t>
      </w:r>
      <w:proofErr w:type="gramStart"/>
      <w:r w:rsidRPr="00AF1E5A">
        <w:rPr>
          <w:rFonts w:ascii="Century Gothic" w:eastAsia="Calibri" w:hAnsi="Century Gothic"/>
        </w:rPr>
        <w:t>project-base</w:t>
      </w:r>
      <w:proofErr w:type="gramEnd"/>
      <w:r w:rsidRPr="00AF1E5A">
        <w:rPr>
          <w:rFonts w:ascii="Century Gothic" w:eastAsia="Calibri" w:hAnsi="Century Gothic"/>
        </w:rPr>
        <w:t xml:space="preserve"> up to 75 percent of the units in such project, if the project meets the following criteria: </w:t>
      </w:r>
    </w:p>
    <w:p w14:paraId="4AB2C872" w14:textId="77777777" w:rsidR="00937052" w:rsidRPr="00AF1E5A" w:rsidRDefault="00937052" w:rsidP="00486062">
      <w:pPr>
        <w:numPr>
          <w:ilvl w:val="1"/>
          <w:numId w:val="76"/>
        </w:numPr>
        <w:autoSpaceDE w:val="0"/>
        <w:autoSpaceDN w:val="0"/>
        <w:adjustRightInd w:val="0"/>
        <w:spacing w:before="120" w:after="120"/>
        <w:ind w:left="1526"/>
        <w:rPr>
          <w:rFonts w:ascii="Century Gothic" w:eastAsia="Calibri" w:hAnsi="Century Gothic"/>
        </w:rPr>
      </w:pPr>
      <w:r w:rsidRPr="00AF1E5A">
        <w:rPr>
          <w:rFonts w:ascii="Century Gothic" w:eastAsia="Calibri" w:hAnsi="Century Gothic"/>
        </w:rPr>
        <w:t>Will provide replacement units for public housing units lost because of demolition or disposition.</w:t>
      </w:r>
    </w:p>
    <w:p w14:paraId="47C0A351" w14:textId="77777777" w:rsidR="00937052" w:rsidRPr="00AF1E5A" w:rsidRDefault="00937052" w:rsidP="00486062">
      <w:pPr>
        <w:numPr>
          <w:ilvl w:val="1"/>
          <w:numId w:val="76"/>
        </w:numPr>
        <w:autoSpaceDE w:val="0"/>
        <w:autoSpaceDN w:val="0"/>
        <w:adjustRightInd w:val="0"/>
        <w:spacing w:before="120" w:after="120"/>
        <w:ind w:left="1526"/>
        <w:rPr>
          <w:rFonts w:ascii="Century Gothic" w:eastAsia="Calibri" w:hAnsi="Century Gothic"/>
        </w:rPr>
      </w:pPr>
      <w:proofErr w:type="gramStart"/>
      <w:r w:rsidRPr="00AF1E5A">
        <w:rPr>
          <w:rFonts w:ascii="Century Gothic" w:eastAsia="Calibri" w:hAnsi="Century Gothic"/>
        </w:rPr>
        <w:t>Is</w:t>
      </w:r>
      <w:proofErr w:type="gramEnd"/>
      <w:r w:rsidRPr="00AF1E5A">
        <w:rPr>
          <w:rFonts w:ascii="Century Gothic" w:eastAsia="Calibri" w:hAnsi="Century Gothic"/>
        </w:rPr>
        <w:t xml:space="preserve"> undertaken in an area where significant investments are being made.</w:t>
      </w:r>
    </w:p>
    <w:p w14:paraId="44463577" w14:textId="77777777" w:rsidR="00937052" w:rsidRPr="00AF1E5A" w:rsidRDefault="00937052" w:rsidP="00486062">
      <w:pPr>
        <w:numPr>
          <w:ilvl w:val="1"/>
          <w:numId w:val="76"/>
        </w:numPr>
        <w:autoSpaceDE w:val="0"/>
        <w:autoSpaceDN w:val="0"/>
        <w:adjustRightInd w:val="0"/>
        <w:spacing w:before="120" w:after="120"/>
        <w:ind w:left="1526"/>
        <w:rPr>
          <w:rFonts w:ascii="Century Gothic" w:eastAsia="Calibri" w:hAnsi="Century Gothic"/>
        </w:rPr>
      </w:pPr>
      <w:proofErr w:type="gramStart"/>
      <w:r w:rsidRPr="00AF1E5A">
        <w:rPr>
          <w:rFonts w:ascii="Century Gothic" w:eastAsia="Calibri" w:hAnsi="Century Gothic"/>
        </w:rPr>
        <w:t>Will</w:t>
      </w:r>
      <w:proofErr w:type="gramEnd"/>
      <w:r w:rsidRPr="00AF1E5A">
        <w:rPr>
          <w:rFonts w:ascii="Century Gothic" w:eastAsia="Calibri" w:hAnsi="Century Gothic"/>
        </w:rPr>
        <w:t xml:space="preserve"> help to reduce the concentration of very low-income families, or </w:t>
      </w:r>
    </w:p>
    <w:p w14:paraId="547DE44E" w14:textId="77777777" w:rsidR="00937052" w:rsidRPr="00AF1E5A" w:rsidRDefault="00937052" w:rsidP="00486062">
      <w:pPr>
        <w:numPr>
          <w:ilvl w:val="1"/>
          <w:numId w:val="76"/>
        </w:numPr>
        <w:autoSpaceDE w:val="0"/>
        <w:autoSpaceDN w:val="0"/>
        <w:adjustRightInd w:val="0"/>
        <w:spacing w:before="120" w:after="120"/>
        <w:ind w:left="1526"/>
        <w:rPr>
          <w:rFonts w:ascii="Century Gothic" w:eastAsia="Calibri" w:hAnsi="Century Gothic"/>
        </w:rPr>
      </w:pPr>
      <w:proofErr w:type="gramStart"/>
      <w:r w:rsidRPr="00AF1E5A">
        <w:rPr>
          <w:rFonts w:ascii="Century Gothic" w:eastAsia="Calibri" w:hAnsi="Century Gothic"/>
        </w:rPr>
        <w:t>Is</w:t>
      </w:r>
      <w:proofErr w:type="gramEnd"/>
      <w:r w:rsidRPr="00AF1E5A">
        <w:rPr>
          <w:rFonts w:ascii="Century Gothic" w:eastAsia="Calibri" w:hAnsi="Century Gothic"/>
        </w:rPr>
        <w:t xml:space="preserve"> in areas that provide increased access to transportation or employment opportunities. </w:t>
      </w:r>
    </w:p>
    <w:p w14:paraId="7CAC6883" w14:textId="42EEF01A" w:rsidR="00937052" w:rsidRPr="00AF1E5A" w:rsidRDefault="4D8A9349" w:rsidP="00937052">
      <w:pPr>
        <w:autoSpaceDE w:val="0"/>
        <w:autoSpaceDN w:val="0"/>
        <w:adjustRightInd w:val="0"/>
        <w:rPr>
          <w:rFonts w:ascii="Century Gothic" w:eastAsia="Calibri" w:hAnsi="Century Gothic"/>
        </w:rPr>
      </w:pPr>
      <w:r w:rsidRPr="00AF1E5A">
        <w:rPr>
          <w:rFonts w:ascii="Century Gothic" w:eastAsia="Calibri" w:hAnsi="Century Gothic"/>
        </w:rPr>
        <w:t xml:space="preserve">Under the prior MTW Demonstration Agreement, ECC/HANH was specifically authorized to aid up to 50 percent of the units in a project. This authorization has been essential in helping to promote increased housing opportunities, as well as in leveraging private funds. HUD’s development of the Rental Assistance Demonstration (RAD) Program has made this initiative unnecessary for projects approved for RAD </w:t>
      </w:r>
      <w:proofErr w:type="gramStart"/>
      <w:r w:rsidRPr="00AF1E5A">
        <w:rPr>
          <w:rFonts w:ascii="Century Gothic" w:eastAsia="Calibri" w:hAnsi="Century Gothic"/>
        </w:rPr>
        <w:t>conversion</w:t>
      </w:r>
      <w:r w:rsidR="6CA1C474" w:rsidRPr="00AF1E5A">
        <w:rPr>
          <w:rFonts w:ascii="Century Gothic" w:eastAsia="Calibri" w:hAnsi="Century Gothic"/>
        </w:rPr>
        <w:t>,</w:t>
      </w:r>
      <w:proofErr w:type="gramEnd"/>
      <w:r w:rsidR="6CA1C474" w:rsidRPr="00AF1E5A">
        <w:rPr>
          <w:rFonts w:ascii="Century Gothic" w:eastAsia="Calibri" w:hAnsi="Century Gothic"/>
        </w:rPr>
        <w:t xml:space="preserve"> however, it is maintained for capital investment in non-RAD properties.  </w:t>
      </w:r>
    </w:p>
    <w:p w14:paraId="679FBA23" w14:textId="77777777" w:rsidR="00937052" w:rsidRPr="00AF1E5A" w:rsidRDefault="00937052" w:rsidP="00937052">
      <w:pPr>
        <w:pStyle w:val="Heading4"/>
        <w:rPr>
          <w:rFonts w:ascii="Century Gothic" w:hAnsi="Century Gothic" w:cs="Times New Roman"/>
        </w:rPr>
      </w:pPr>
      <w:r w:rsidRPr="00AF1E5A">
        <w:rPr>
          <w:rFonts w:ascii="Century Gothic" w:hAnsi="Century Gothic" w:cs="Times New Roman"/>
        </w:rPr>
        <w:t>Impact</w:t>
      </w:r>
    </w:p>
    <w:p w14:paraId="77A49ABF" w14:textId="7D7768AE" w:rsidR="00937052" w:rsidRPr="00AF1E5A" w:rsidRDefault="00937052" w:rsidP="6B711D13">
      <w:pPr>
        <w:rPr>
          <w:rFonts w:ascii="Century Gothic" w:hAnsi="Century Gothic"/>
        </w:rPr>
      </w:pPr>
      <w:r w:rsidRPr="00AF1E5A">
        <w:rPr>
          <w:rFonts w:ascii="Century Gothic" w:hAnsi="Century Gothic"/>
        </w:rPr>
        <w:t xml:space="preserve">This initiative helps to increase the supply of affordable housing in areas that: promote de-concentration of poverty, offer accessibility to employment, schools, shopping, and transportation, and are undergoing other significant investments. ECC/HANH has a development pipeline that </w:t>
      </w:r>
      <w:r w:rsidR="72B925B7" w:rsidRPr="00AF1E5A">
        <w:rPr>
          <w:rFonts w:ascii="Century Gothic" w:hAnsi="Century Gothic"/>
        </w:rPr>
        <w:t>utilize</w:t>
      </w:r>
      <w:r w:rsidR="2D4611D6" w:rsidRPr="00AF1E5A">
        <w:rPr>
          <w:rFonts w:ascii="Century Gothic" w:hAnsi="Century Gothic"/>
        </w:rPr>
        <w:t>s</w:t>
      </w:r>
      <w:r w:rsidRPr="00AF1E5A">
        <w:rPr>
          <w:rFonts w:ascii="Century Gothic" w:hAnsi="Century Gothic"/>
        </w:rPr>
        <w:t xml:space="preserve"> this initiative. ECC/HANH exceeded the benchmark for leveraged dollars (with a 2:1 ratio) and saw a decrease in crime (by 10 percent).</w:t>
      </w:r>
    </w:p>
    <w:p w14:paraId="421836A7" w14:textId="0DEF413F" w:rsidR="00937052" w:rsidRPr="00AF1E5A" w:rsidRDefault="00937052" w:rsidP="6B711D13">
      <w:pPr>
        <w:rPr>
          <w:rFonts w:ascii="Century Gothic" w:hAnsi="Century Gothic"/>
        </w:rPr>
      </w:pPr>
    </w:p>
    <w:p w14:paraId="7EA2F810" w14:textId="23423170" w:rsidR="00B00C7B" w:rsidRPr="00AF1E5A" w:rsidRDefault="7E8E6243" w:rsidP="00B00C7B">
      <w:pPr>
        <w:spacing w:after="160" w:line="276" w:lineRule="auto"/>
        <w:rPr>
          <w:rFonts w:ascii="Century Gothic" w:hAnsi="Century Gothic"/>
        </w:rPr>
      </w:pPr>
      <w:r w:rsidRPr="00AF1E5A">
        <w:rPr>
          <w:rFonts w:ascii="Century Gothic" w:hAnsi="Century Gothic"/>
        </w:rPr>
        <w:t xml:space="preserve">With the advent of the Rental Assistance Demonstration Program and ECC/HANH’s success utilizing this tool, the </w:t>
      </w:r>
      <w:r w:rsidR="69C0ED29" w:rsidRPr="00AF1E5A">
        <w:rPr>
          <w:rFonts w:ascii="Century Gothic" w:hAnsi="Century Gothic"/>
        </w:rPr>
        <w:t>flexibilities</w:t>
      </w:r>
      <w:r w:rsidRPr="00AF1E5A">
        <w:rPr>
          <w:rFonts w:ascii="Century Gothic" w:hAnsi="Century Gothic"/>
        </w:rPr>
        <w:t xml:space="preserve"> provided under this initiative have not been needed to achieve the goal of preserving deeply affordable units while reposit</w:t>
      </w:r>
      <w:r w:rsidR="31FE6E5C" w:rsidRPr="00AF1E5A">
        <w:rPr>
          <w:rFonts w:ascii="Century Gothic" w:hAnsi="Century Gothic"/>
        </w:rPr>
        <w:t>ioning the LIPH portfolio</w:t>
      </w:r>
      <w:r w:rsidRPr="00AF1E5A">
        <w:rPr>
          <w:rFonts w:ascii="Century Gothic" w:hAnsi="Century Gothic"/>
        </w:rPr>
        <w:t xml:space="preserve">.  </w:t>
      </w:r>
      <w:r w:rsidR="5BFB8F1E" w:rsidRPr="00AF1E5A">
        <w:rPr>
          <w:rFonts w:ascii="Century Gothic" w:hAnsi="Century Gothic"/>
        </w:rPr>
        <w:t xml:space="preserve"> </w:t>
      </w:r>
    </w:p>
    <w:p w14:paraId="41CC6D06" w14:textId="77777777" w:rsidR="00963F1F" w:rsidRPr="00AF1E5A" w:rsidRDefault="00963F1F" w:rsidP="00963F1F">
      <w:pPr>
        <w:autoSpaceDE w:val="0"/>
        <w:autoSpaceDN w:val="0"/>
        <w:adjustRightInd w:val="0"/>
        <w:rPr>
          <w:rFonts w:ascii="Century Gothic" w:eastAsia="Calibri" w:hAnsi="Century Gothic"/>
        </w:rPr>
      </w:pPr>
      <w:r w:rsidRPr="00AF1E5A">
        <w:rPr>
          <w:rFonts w:ascii="Century Gothic" w:eastAsia="Calibri" w:hAnsi="Century Gothic"/>
        </w:rPr>
        <w:t xml:space="preserve">During FY2024, no actions were taken pursuant to this initiative. </w:t>
      </w:r>
    </w:p>
    <w:p w14:paraId="6A1BE6A6" w14:textId="77777777" w:rsidR="00445BA4" w:rsidRDefault="00445BA4" w:rsidP="00B00C7B">
      <w:pPr>
        <w:pStyle w:val="Heading4"/>
        <w:rPr>
          <w:rFonts w:ascii="Century Gothic" w:hAnsi="Century Gothic" w:cs="Times New Roman"/>
        </w:rPr>
      </w:pPr>
    </w:p>
    <w:p w14:paraId="253ED1F6" w14:textId="62DD97F8" w:rsidR="00937052" w:rsidRPr="00AF1E5A" w:rsidRDefault="00937052" w:rsidP="00B00C7B">
      <w:pPr>
        <w:pStyle w:val="Heading4"/>
        <w:rPr>
          <w:rFonts w:ascii="Century Gothic" w:hAnsi="Century Gothic" w:cs="Times New Roman"/>
        </w:rPr>
      </w:pPr>
      <w:r w:rsidRPr="00AF1E5A">
        <w:rPr>
          <w:rFonts w:ascii="Century Gothic" w:hAnsi="Century Gothic" w:cs="Times New Roman"/>
        </w:rPr>
        <w:t>Outcomes</w:t>
      </w:r>
    </w:p>
    <w:p w14:paraId="76098AE1" w14:textId="388C3AA5" w:rsidR="00937052" w:rsidRPr="00AF1E5A" w:rsidRDefault="008F7BA8" w:rsidP="00937052">
      <w:pPr>
        <w:rPr>
          <w:rFonts w:ascii="Century Gothic" w:hAnsi="Century Gothic"/>
          <w:b/>
          <w:bCs/>
          <w:iCs/>
          <w:szCs w:val="22"/>
        </w:rPr>
      </w:pPr>
      <w:r>
        <w:rPr>
          <w:rFonts w:ascii="Century Gothic" w:hAnsi="Century Gothic"/>
          <w:b/>
          <w:bCs/>
          <w:iCs/>
          <w:szCs w:val="22"/>
        </w:rPr>
        <w:t>Internal</w:t>
      </w:r>
      <w:r w:rsidR="00937052" w:rsidRPr="00AF1E5A">
        <w:rPr>
          <w:rFonts w:ascii="Century Gothic" w:hAnsi="Century Gothic"/>
          <w:b/>
          <w:bCs/>
          <w:iCs/>
          <w:szCs w:val="22"/>
        </w:rPr>
        <w:t xml:space="preserve"> Metrics</w:t>
      </w:r>
    </w:p>
    <w:p w14:paraId="6721C2A3" w14:textId="77777777" w:rsidR="00937052" w:rsidRPr="00AF1E5A" w:rsidRDefault="00937052" w:rsidP="00937052">
      <w:pPr>
        <w:rPr>
          <w:rFonts w:ascii="Century Gothic" w:hAnsi="Century Gothic"/>
          <w:b/>
          <w:szCs w:val="22"/>
        </w:rPr>
      </w:pPr>
    </w:p>
    <w:tbl>
      <w:tblPr>
        <w:tblStyle w:val="TableGrid7"/>
        <w:tblW w:w="9895" w:type="dxa"/>
        <w:tblLayout w:type="fixed"/>
        <w:tblLook w:val="04A0" w:firstRow="1" w:lastRow="0" w:firstColumn="1" w:lastColumn="0" w:noHBand="0" w:noVBand="1"/>
      </w:tblPr>
      <w:tblGrid>
        <w:gridCol w:w="2970"/>
        <w:gridCol w:w="1530"/>
        <w:gridCol w:w="1530"/>
        <w:gridCol w:w="2430"/>
        <w:gridCol w:w="1435"/>
      </w:tblGrid>
      <w:tr w:rsidR="00937052" w:rsidRPr="00AF1E5A" w14:paraId="2593F41A" w14:textId="77777777" w:rsidTr="0E71204A">
        <w:trPr>
          <w:trHeight w:val="400"/>
        </w:trPr>
        <w:tc>
          <w:tcPr>
            <w:tcW w:w="9895" w:type="dxa"/>
            <w:gridSpan w:val="5"/>
            <w:tcBorders>
              <w:top w:val="nil"/>
              <w:left w:val="nil"/>
              <w:bottom w:val="single" w:sz="24" w:space="0" w:color="B5333C" w:themeColor="accent2"/>
              <w:right w:val="nil"/>
            </w:tcBorders>
            <w:shd w:val="clear" w:color="auto" w:fill="808080" w:themeFill="background1" w:themeFillShade="80"/>
            <w:hideMark/>
          </w:tcPr>
          <w:p w14:paraId="1534CC72" w14:textId="77777777" w:rsidR="00937052" w:rsidRPr="00AF1E5A" w:rsidRDefault="00937052" w:rsidP="004C65D3">
            <w:pPr>
              <w:jc w:val="center"/>
              <w:rPr>
                <w:rFonts w:ascii="Century Gothic" w:hAnsi="Century Gothic"/>
                <w:b/>
                <w:bCs/>
                <w:iCs/>
                <w:szCs w:val="22"/>
              </w:rPr>
            </w:pPr>
            <w:r w:rsidRPr="00AF1E5A">
              <w:rPr>
                <w:rFonts w:ascii="Century Gothic" w:hAnsi="Century Gothic"/>
                <w:b/>
                <w:bCs/>
                <w:iCs/>
                <w:szCs w:val="22"/>
              </w:rPr>
              <w:t>HC #2: Units of Housing Preserved</w:t>
            </w:r>
          </w:p>
        </w:tc>
      </w:tr>
      <w:tr w:rsidR="00937052" w:rsidRPr="00AF1E5A" w14:paraId="352601F1" w14:textId="77777777" w:rsidTr="0E71204A">
        <w:trPr>
          <w:trHeight w:val="340"/>
        </w:trPr>
        <w:tc>
          <w:tcPr>
            <w:tcW w:w="2970"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808563F" w14:textId="77777777" w:rsidR="00937052" w:rsidRPr="00AF1E5A" w:rsidRDefault="00937052" w:rsidP="004C65D3">
            <w:pPr>
              <w:jc w:val="center"/>
              <w:rPr>
                <w:rFonts w:ascii="Century Gothic" w:hAnsi="Century Gothic"/>
                <w:b/>
                <w:bCs/>
                <w:szCs w:val="22"/>
              </w:rPr>
            </w:pPr>
            <w:r w:rsidRPr="00AF1E5A">
              <w:rPr>
                <w:rFonts w:ascii="Century Gothic" w:hAnsi="Century Gothic"/>
                <w:b/>
                <w:bCs/>
                <w:szCs w:val="22"/>
              </w:rPr>
              <w:t>Unit of Measurement</w:t>
            </w:r>
          </w:p>
        </w:tc>
        <w:tc>
          <w:tcPr>
            <w:tcW w:w="153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2E18FB2" w14:textId="77777777" w:rsidR="00937052" w:rsidRPr="00AF1E5A" w:rsidRDefault="00937052" w:rsidP="004C65D3">
            <w:pPr>
              <w:jc w:val="center"/>
              <w:rPr>
                <w:rFonts w:ascii="Century Gothic" w:hAnsi="Century Gothic"/>
                <w:b/>
                <w:bCs/>
                <w:szCs w:val="22"/>
              </w:rPr>
            </w:pPr>
            <w:r w:rsidRPr="00AF1E5A">
              <w:rPr>
                <w:rFonts w:ascii="Century Gothic" w:hAnsi="Century Gothic"/>
                <w:b/>
                <w:bCs/>
                <w:szCs w:val="22"/>
              </w:rPr>
              <w:t>Baseline</w:t>
            </w:r>
          </w:p>
        </w:tc>
        <w:tc>
          <w:tcPr>
            <w:tcW w:w="153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2526D38" w14:textId="77777777" w:rsidR="00937052" w:rsidRPr="00AF1E5A" w:rsidRDefault="00937052" w:rsidP="004C65D3">
            <w:pPr>
              <w:jc w:val="center"/>
              <w:rPr>
                <w:rFonts w:ascii="Century Gothic" w:hAnsi="Century Gothic"/>
                <w:b/>
                <w:bCs/>
                <w:szCs w:val="22"/>
              </w:rPr>
            </w:pPr>
            <w:r w:rsidRPr="00AF1E5A">
              <w:rPr>
                <w:rFonts w:ascii="Century Gothic" w:hAnsi="Century Gothic"/>
                <w:b/>
                <w:bCs/>
                <w:szCs w:val="22"/>
              </w:rPr>
              <w:t>Benchmark</w:t>
            </w:r>
          </w:p>
        </w:tc>
        <w:tc>
          <w:tcPr>
            <w:tcW w:w="243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7F34B0BE" w14:textId="77777777" w:rsidR="00937052" w:rsidRPr="00AF1E5A" w:rsidRDefault="00937052" w:rsidP="004C65D3">
            <w:pPr>
              <w:jc w:val="center"/>
              <w:rPr>
                <w:rFonts w:ascii="Century Gothic" w:hAnsi="Century Gothic"/>
                <w:b/>
                <w:bCs/>
                <w:szCs w:val="22"/>
              </w:rPr>
            </w:pPr>
            <w:r w:rsidRPr="00AF1E5A">
              <w:rPr>
                <w:rFonts w:ascii="Century Gothic" w:hAnsi="Century Gothic"/>
                <w:b/>
                <w:bCs/>
                <w:szCs w:val="22"/>
              </w:rPr>
              <w:t>Outcome</w:t>
            </w:r>
          </w:p>
        </w:tc>
        <w:tc>
          <w:tcPr>
            <w:tcW w:w="1435"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236D5A18" w14:textId="77777777" w:rsidR="00937052" w:rsidRPr="00AF1E5A" w:rsidRDefault="00937052" w:rsidP="004C65D3">
            <w:pPr>
              <w:jc w:val="center"/>
              <w:rPr>
                <w:rFonts w:ascii="Century Gothic" w:hAnsi="Century Gothic"/>
                <w:b/>
                <w:bCs/>
                <w:szCs w:val="22"/>
              </w:rPr>
            </w:pPr>
            <w:r w:rsidRPr="00AF1E5A">
              <w:rPr>
                <w:rFonts w:ascii="Century Gothic" w:hAnsi="Century Gothic"/>
                <w:b/>
                <w:bCs/>
                <w:szCs w:val="22"/>
              </w:rPr>
              <w:t>Benchmark Achieved?</w:t>
            </w:r>
          </w:p>
        </w:tc>
      </w:tr>
      <w:tr w:rsidR="00937052" w:rsidRPr="00AF1E5A" w14:paraId="3268298C" w14:textId="77777777" w:rsidTr="0E71204A">
        <w:trPr>
          <w:trHeight w:val="920"/>
        </w:trPr>
        <w:tc>
          <w:tcPr>
            <w:tcW w:w="297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0E254F5F" w14:textId="77777777" w:rsidR="00937052" w:rsidRPr="00AF1E5A" w:rsidRDefault="00937052" w:rsidP="004C65D3">
            <w:pPr>
              <w:rPr>
                <w:rFonts w:ascii="Century Gothic" w:hAnsi="Century Gothic"/>
                <w:szCs w:val="22"/>
              </w:rPr>
            </w:pPr>
            <w:r w:rsidRPr="00AF1E5A">
              <w:rPr>
                <w:rFonts w:ascii="Century Gothic" w:hAnsi="Century Gothic"/>
                <w:szCs w:val="22"/>
              </w:rPr>
              <w:t xml:space="preserve">Number of housing units </w:t>
            </w:r>
            <w:proofErr w:type="gramStart"/>
            <w:r w:rsidRPr="00AF1E5A">
              <w:rPr>
                <w:rFonts w:ascii="Century Gothic" w:hAnsi="Century Gothic"/>
                <w:szCs w:val="22"/>
              </w:rPr>
              <w:t>preserved</w:t>
            </w:r>
            <w:proofErr w:type="gramEnd"/>
            <w:r w:rsidRPr="00AF1E5A">
              <w:rPr>
                <w:rFonts w:ascii="Century Gothic" w:hAnsi="Century Gothic"/>
                <w:szCs w:val="22"/>
              </w:rPr>
              <w:t xml:space="preserve"> for households at or below 80% AMI that would otherwise not be available</w:t>
            </w:r>
          </w:p>
        </w:tc>
        <w:tc>
          <w:tcPr>
            <w:tcW w:w="1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862BAAA" w14:textId="62DBCCDF" w:rsidR="00937052" w:rsidRPr="00AF1E5A" w:rsidRDefault="002033BA" w:rsidP="004C65D3">
            <w:pPr>
              <w:rPr>
                <w:rFonts w:ascii="Century Gothic" w:hAnsi="Century Gothic"/>
                <w:szCs w:val="22"/>
              </w:rPr>
            </w:pPr>
            <w:r w:rsidRPr="00AF1E5A">
              <w:rPr>
                <w:rFonts w:ascii="Century Gothic" w:hAnsi="Century Gothic"/>
                <w:szCs w:val="22"/>
              </w:rPr>
              <w:t>1,97</w:t>
            </w:r>
            <w:r w:rsidR="005E36F4" w:rsidRPr="00AF1E5A">
              <w:rPr>
                <w:rFonts w:ascii="Century Gothic" w:hAnsi="Century Gothic"/>
                <w:szCs w:val="22"/>
              </w:rPr>
              <w:t>0</w:t>
            </w:r>
            <w:r w:rsidR="00937052" w:rsidRPr="00AF1E5A">
              <w:rPr>
                <w:rFonts w:ascii="Century Gothic" w:hAnsi="Century Gothic"/>
                <w:szCs w:val="22"/>
              </w:rPr>
              <w:t xml:space="preserve"> units (frozen 2001 base)</w:t>
            </w:r>
          </w:p>
        </w:tc>
        <w:tc>
          <w:tcPr>
            <w:tcW w:w="1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0E9FECB8" w14:textId="438869D3" w:rsidR="00937052" w:rsidRPr="00AF1E5A" w:rsidRDefault="00937052" w:rsidP="004C65D3">
            <w:pPr>
              <w:rPr>
                <w:rFonts w:ascii="Century Gothic" w:hAnsi="Century Gothic"/>
                <w:szCs w:val="22"/>
              </w:rPr>
            </w:pPr>
            <w:r w:rsidRPr="00AF1E5A">
              <w:rPr>
                <w:rFonts w:ascii="Century Gothic" w:hAnsi="Century Gothic"/>
                <w:szCs w:val="22"/>
              </w:rPr>
              <w:t xml:space="preserve">Decrease of </w:t>
            </w:r>
            <w:r w:rsidR="005E36F4" w:rsidRPr="00AF1E5A">
              <w:rPr>
                <w:rFonts w:ascii="Century Gothic" w:hAnsi="Century Gothic"/>
                <w:szCs w:val="22"/>
              </w:rPr>
              <w:t xml:space="preserve">no more than </w:t>
            </w:r>
            <w:r w:rsidRPr="00AF1E5A">
              <w:rPr>
                <w:rFonts w:ascii="Century Gothic" w:hAnsi="Century Gothic"/>
                <w:szCs w:val="22"/>
              </w:rPr>
              <w:t>5% from previous year</w:t>
            </w:r>
          </w:p>
        </w:tc>
        <w:tc>
          <w:tcPr>
            <w:tcW w:w="24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0932DD6" w14:textId="25ECF6D4" w:rsidR="71C6DB21" w:rsidRPr="00AF1E5A" w:rsidRDefault="009A3CD0" w:rsidP="33229EB5">
            <w:pPr>
              <w:rPr>
                <w:rFonts w:ascii="Century Gothic" w:hAnsi="Century Gothic"/>
              </w:rPr>
            </w:pPr>
            <w:r>
              <w:rPr>
                <w:rFonts w:ascii="Century Gothic" w:hAnsi="Century Gothic"/>
              </w:rPr>
              <w:t>*</w:t>
            </w:r>
            <w:r w:rsidR="71C6DB21" w:rsidRPr="00B63D5A">
              <w:rPr>
                <w:rFonts w:ascii="Century Gothic" w:hAnsi="Century Gothic"/>
              </w:rPr>
              <w:t xml:space="preserve">2024- </w:t>
            </w:r>
            <w:r w:rsidR="002834A9" w:rsidRPr="00B63D5A">
              <w:rPr>
                <w:rFonts w:ascii="Century Gothic" w:hAnsi="Century Gothic"/>
              </w:rPr>
              <w:t>2817</w:t>
            </w:r>
            <w:r w:rsidR="71C6DB21" w:rsidRPr="00B63D5A">
              <w:rPr>
                <w:rFonts w:ascii="Century Gothic" w:hAnsi="Century Gothic"/>
              </w:rPr>
              <w:t xml:space="preserve"> units</w:t>
            </w:r>
          </w:p>
          <w:p w14:paraId="7B0FE4C8" w14:textId="25030326" w:rsidR="33229EB5" w:rsidRPr="00AF1E5A" w:rsidRDefault="33229EB5" w:rsidP="33229EB5">
            <w:pPr>
              <w:rPr>
                <w:rFonts w:ascii="Century Gothic" w:hAnsi="Century Gothic"/>
              </w:rPr>
            </w:pPr>
          </w:p>
          <w:p w14:paraId="18B6B63E" w14:textId="6E8A7748" w:rsidR="003A330E" w:rsidRPr="00AF1E5A" w:rsidRDefault="0AC12DA1" w:rsidP="003A330E">
            <w:pPr>
              <w:rPr>
                <w:rFonts w:ascii="Century Gothic" w:hAnsi="Century Gothic"/>
              </w:rPr>
            </w:pPr>
            <w:r w:rsidRPr="00AF1E5A">
              <w:rPr>
                <w:rFonts w:ascii="Century Gothic" w:hAnsi="Century Gothic"/>
              </w:rPr>
              <w:t>202</w:t>
            </w:r>
            <w:r w:rsidR="1D89D641" w:rsidRPr="00AF1E5A">
              <w:rPr>
                <w:rFonts w:ascii="Century Gothic" w:hAnsi="Century Gothic"/>
              </w:rPr>
              <w:t>3</w:t>
            </w:r>
            <w:r w:rsidRPr="00AF1E5A">
              <w:rPr>
                <w:rFonts w:ascii="Century Gothic" w:hAnsi="Century Gothic"/>
              </w:rPr>
              <w:t>-</w:t>
            </w:r>
            <w:r w:rsidR="351D3F55" w:rsidRPr="00AF1E5A">
              <w:rPr>
                <w:rFonts w:ascii="Century Gothic" w:hAnsi="Century Gothic"/>
              </w:rPr>
              <w:t xml:space="preserve"> </w:t>
            </w:r>
            <w:r w:rsidR="5331AA0C" w:rsidRPr="00AF1E5A">
              <w:rPr>
                <w:rFonts w:ascii="Century Gothic" w:hAnsi="Century Gothic"/>
              </w:rPr>
              <w:t>2,7</w:t>
            </w:r>
            <w:r w:rsidR="53AFC380" w:rsidRPr="00AF1E5A">
              <w:rPr>
                <w:rFonts w:ascii="Century Gothic" w:hAnsi="Century Gothic"/>
              </w:rPr>
              <w:t>8</w:t>
            </w:r>
            <w:r w:rsidR="5331AA0C" w:rsidRPr="00AF1E5A">
              <w:rPr>
                <w:rFonts w:ascii="Century Gothic" w:hAnsi="Century Gothic"/>
              </w:rPr>
              <w:t xml:space="preserve">8 </w:t>
            </w:r>
            <w:r w:rsidRPr="00AF1E5A">
              <w:rPr>
                <w:rFonts w:ascii="Century Gothic" w:hAnsi="Century Gothic"/>
              </w:rPr>
              <w:t>units</w:t>
            </w:r>
          </w:p>
          <w:p w14:paraId="317B41C8" w14:textId="510F062F" w:rsidR="003A330E" w:rsidRPr="00AF1E5A" w:rsidRDefault="003A330E" w:rsidP="003A330E">
            <w:pPr>
              <w:rPr>
                <w:rFonts w:ascii="Century Gothic" w:hAnsi="Century Gothic"/>
              </w:rPr>
            </w:pPr>
            <w:r w:rsidRPr="00AF1E5A">
              <w:rPr>
                <w:rFonts w:ascii="Century Gothic" w:hAnsi="Century Gothic"/>
              </w:rPr>
              <w:t>2022- 2,246 units</w:t>
            </w:r>
          </w:p>
          <w:p w14:paraId="284903F8" w14:textId="486D0AD2" w:rsidR="00937052" w:rsidRPr="00AF1E5A" w:rsidRDefault="7310619B" w:rsidP="004C65D3">
            <w:pPr>
              <w:rPr>
                <w:rFonts w:ascii="Century Gothic" w:hAnsi="Century Gothic"/>
              </w:rPr>
            </w:pPr>
            <w:r w:rsidRPr="00AF1E5A">
              <w:rPr>
                <w:rFonts w:ascii="Century Gothic" w:hAnsi="Century Gothic"/>
              </w:rPr>
              <w:t xml:space="preserve">2021- </w:t>
            </w:r>
            <w:r w:rsidR="43FC1155" w:rsidRPr="00AF1E5A">
              <w:rPr>
                <w:rFonts w:ascii="Century Gothic" w:hAnsi="Century Gothic"/>
              </w:rPr>
              <w:t>2</w:t>
            </w:r>
            <w:r w:rsidR="77D532A6" w:rsidRPr="00AF1E5A">
              <w:rPr>
                <w:rFonts w:ascii="Century Gothic" w:hAnsi="Century Gothic"/>
              </w:rPr>
              <w:t>,246</w:t>
            </w:r>
            <w:r w:rsidRPr="00AF1E5A">
              <w:rPr>
                <w:rFonts w:ascii="Century Gothic" w:hAnsi="Century Gothic"/>
              </w:rPr>
              <w:t xml:space="preserve"> units</w:t>
            </w:r>
          </w:p>
          <w:p w14:paraId="0D3965A8" w14:textId="5391959D" w:rsidR="00937052" w:rsidRPr="00AF1E5A" w:rsidRDefault="00937052" w:rsidP="004C65D3">
            <w:pPr>
              <w:rPr>
                <w:rFonts w:ascii="Century Gothic" w:hAnsi="Century Gothic"/>
                <w:szCs w:val="22"/>
              </w:rPr>
            </w:pP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6DFD8870" w14:textId="61367C17" w:rsidR="00937052" w:rsidRPr="00AF1E5A" w:rsidRDefault="00937052" w:rsidP="33229EB5">
            <w:pPr>
              <w:rPr>
                <w:rFonts w:ascii="Century Gothic" w:hAnsi="Century Gothic"/>
              </w:rPr>
            </w:pPr>
          </w:p>
        </w:tc>
      </w:tr>
    </w:tbl>
    <w:p w14:paraId="48BE3279" w14:textId="3977145D" w:rsidR="00D1318D" w:rsidRPr="00573A4E" w:rsidRDefault="009A3CD0" w:rsidP="00D1318D">
      <w:pPr>
        <w:rPr>
          <w:rFonts w:ascii="Century Gothic" w:hAnsi="Century Gothic"/>
          <w:i/>
          <w:iCs/>
          <w:sz w:val="18"/>
          <w:szCs w:val="18"/>
        </w:rPr>
      </w:pPr>
      <w:r>
        <w:rPr>
          <w:rFonts w:ascii="Century Gothic" w:hAnsi="Century Gothic"/>
          <w:i/>
          <w:iCs/>
          <w:sz w:val="18"/>
          <w:szCs w:val="18"/>
        </w:rPr>
        <w:t>*</w:t>
      </w:r>
      <w:r w:rsidR="00D1318D" w:rsidRPr="00573A4E">
        <w:rPr>
          <w:rFonts w:ascii="Century Gothic" w:hAnsi="Century Gothic"/>
          <w:i/>
          <w:iCs/>
          <w:sz w:val="18"/>
          <w:szCs w:val="18"/>
        </w:rPr>
        <w:t>FY2024 – LIPH Units (821) + LIHTC PBV (307) + LIHTC RAD/PBV (1689) = 2817</w:t>
      </w:r>
    </w:p>
    <w:p w14:paraId="610EB93F" w14:textId="77777777" w:rsidR="00937052" w:rsidRDefault="00937052" w:rsidP="00937052">
      <w:pPr>
        <w:rPr>
          <w:rFonts w:ascii="Century Gothic" w:hAnsi="Century Gothic"/>
        </w:rPr>
      </w:pPr>
    </w:p>
    <w:p w14:paraId="16F2A444" w14:textId="77777777" w:rsidR="00445BA4" w:rsidRPr="00AF1E5A" w:rsidRDefault="00445BA4" w:rsidP="00937052">
      <w:pPr>
        <w:rPr>
          <w:rFonts w:ascii="Century Gothic" w:hAnsi="Century Gothic"/>
        </w:rPr>
      </w:pPr>
    </w:p>
    <w:tbl>
      <w:tblPr>
        <w:tblStyle w:val="TableGrid7"/>
        <w:tblW w:w="10121" w:type="dxa"/>
        <w:tblInd w:w="-5" w:type="dxa"/>
        <w:tblLook w:val="04A0" w:firstRow="1" w:lastRow="0" w:firstColumn="1" w:lastColumn="0" w:noHBand="0" w:noVBand="1"/>
      </w:tblPr>
      <w:tblGrid>
        <w:gridCol w:w="3639"/>
        <w:gridCol w:w="1105"/>
        <w:gridCol w:w="1658"/>
        <w:gridCol w:w="2279"/>
        <w:gridCol w:w="1440"/>
      </w:tblGrid>
      <w:tr w:rsidR="00F714A4" w:rsidRPr="00AF1E5A" w14:paraId="5F640612" w14:textId="77777777" w:rsidTr="46316ACA">
        <w:trPr>
          <w:trHeight w:val="340"/>
        </w:trPr>
        <w:tc>
          <w:tcPr>
            <w:tcW w:w="10121" w:type="dxa"/>
            <w:gridSpan w:val="5"/>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0CE59A7B" w14:textId="77777777" w:rsidR="00937052" w:rsidRPr="00AF1E5A" w:rsidRDefault="00937052" w:rsidP="004C65D3">
            <w:pPr>
              <w:jc w:val="center"/>
              <w:rPr>
                <w:rFonts w:ascii="Century Gothic" w:hAnsi="Century Gothic"/>
                <w:b/>
              </w:rPr>
            </w:pPr>
            <w:r w:rsidRPr="00AF1E5A">
              <w:rPr>
                <w:rFonts w:ascii="Century Gothic" w:hAnsi="Century Gothic"/>
                <w:b/>
              </w:rPr>
              <w:lastRenderedPageBreak/>
              <w:t>CE #4: Increase in Resources Leveraged (MTW Leverage Ratios)</w:t>
            </w:r>
          </w:p>
        </w:tc>
      </w:tr>
      <w:tr w:rsidR="00353996" w:rsidRPr="00AF1E5A" w14:paraId="0F0A3EAE" w14:textId="77777777" w:rsidTr="00B07A97">
        <w:trPr>
          <w:trHeight w:val="340"/>
        </w:trPr>
        <w:tc>
          <w:tcPr>
            <w:tcW w:w="3729"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B49D2E2" w14:textId="77777777" w:rsidR="00937052" w:rsidRPr="00AF1E5A" w:rsidRDefault="00937052" w:rsidP="004C65D3">
            <w:pPr>
              <w:jc w:val="center"/>
              <w:rPr>
                <w:rFonts w:ascii="Century Gothic" w:hAnsi="Century Gothic"/>
                <w:b/>
              </w:rPr>
            </w:pPr>
            <w:r w:rsidRPr="00AF1E5A">
              <w:rPr>
                <w:rFonts w:ascii="Century Gothic" w:hAnsi="Century Gothic"/>
                <w:b/>
              </w:rPr>
              <w:t>Unit of Measurement</w:t>
            </w:r>
          </w:p>
        </w:tc>
        <w:tc>
          <w:tcPr>
            <w:tcW w:w="999"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7A2BE29E" w14:textId="77777777" w:rsidR="00937052" w:rsidRPr="00AF1E5A" w:rsidRDefault="00937052" w:rsidP="004C65D3">
            <w:pPr>
              <w:jc w:val="center"/>
              <w:rPr>
                <w:rFonts w:ascii="Century Gothic" w:hAnsi="Century Gothic"/>
                <w:b/>
              </w:rPr>
            </w:pPr>
            <w:r w:rsidRPr="00AF1E5A">
              <w:rPr>
                <w:rFonts w:ascii="Century Gothic" w:hAnsi="Century Gothic"/>
                <w:b/>
              </w:rPr>
              <w:t>Baseline</w:t>
            </w:r>
          </w:p>
        </w:tc>
        <w:tc>
          <w:tcPr>
            <w:tcW w:w="16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00A1C249" w14:textId="77777777" w:rsidR="00937052" w:rsidRPr="00AF1E5A" w:rsidRDefault="00937052" w:rsidP="004C65D3">
            <w:pPr>
              <w:jc w:val="center"/>
              <w:rPr>
                <w:rFonts w:ascii="Century Gothic" w:hAnsi="Century Gothic"/>
                <w:b/>
              </w:rPr>
            </w:pPr>
            <w:r w:rsidRPr="00AF1E5A">
              <w:rPr>
                <w:rFonts w:ascii="Century Gothic" w:hAnsi="Century Gothic"/>
                <w:b/>
              </w:rPr>
              <w:t>Benchmark</w:t>
            </w:r>
          </w:p>
        </w:tc>
        <w:tc>
          <w:tcPr>
            <w:tcW w:w="2335"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58A719CC" w14:textId="77777777" w:rsidR="00937052" w:rsidRPr="00AF1E5A" w:rsidRDefault="00937052" w:rsidP="004C65D3">
            <w:pPr>
              <w:jc w:val="center"/>
              <w:rPr>
                <w:rFonts w:ascii="Century Gothic" w:hAnsi="Century Gothic"/>
                <w:b/>
              </w:rPr>
            </w:pPr>
            <w:r w:rsidRPr="00AF1E5A">
              <w:rPr>
                <w:rFonts w:ascii="Century Gothic" w:hAnsi="Century Gothic"/>
                <w:b/>
              </w:rPr>
              <w:t>Outcome</w:t>
            </w:r>
          </w:p>
        </w:tc>
        <w:tc>
          <w:tcPr>
            <w:tcW w:w="1388"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D95988E" w14:textId="77777777" w:rsidR="00937052" w:rsidRPr="00AF1E5A" w:rsidRDefault="00937052" w:rsidP="004C65D3">
            <w:pPr>
              <w:jc w:val="center"/>
              <w:rPr>
                <w:rFonts w:ascii="Century Gothic" w:hAnsi="Century Gothic"/>
                <w:b/>
              </w:rPr>
            </w:pPr>
            <w:r w:rsidRPr="00AF1E5A">
              <w:rPr>
                <w:rFonts w:ascii="Century Gothic" w:hAnsi="Century Gothic"/>
                <w:b/>
              </w:rPr>
              <w:t>Benchmark Achieved?</w:t>
            </w:r>
          </w:p>
        </w:tc>
      </w:tr>
      <w:tr w:rsidR="00415D33" w:rsidRPr="00AF1E5A" w14:paraId="2295B474"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17134A71" w14:textId="77777777" w:rsidR="00937052" w:rsidRPr="00AF1E5A" w:rsidRDefault="00937052" w:rsidP="004C65D3">
            <w:pPr>
              <w:rPr>
                <w:rFonts w:ascii="Century Gothic" w:hAnsi="Century Gothic"/>
              </w:rPr>
            </w:pPr>
            <w:r w:rsidRPr="00AF1E5A">
              <w:rPr>
                <w:rFonts w:ascii="Century Gothic" w:hAnsi="Century Gothic"/>
              </w:rPr>
              <w:t xml:space="preserve">Brookside I </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A1B917D"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EA94A57"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95D4F4" w14:textId="77777777" w:rsidR="00937052" w:rsidRPr="00AF1E5A" w:rsidRDefault="00937052" w:rsidP="004C65D3">
            <w:pPr>
              <w:rPr>
                <w:rFonts w:ascii="Century Gothic" w:hAnsi="Century Gothic"/>
              </w:rPr>
            </w:pPr>
            <w:r w:rsidRPr="00AF1E5A">
              <w:rPr>
                <w:rFonts w:ascii="Century Gothic" w:hAnsi="Century Gothic"/>
              </w:rPr>
              <w:t>2016: 2.3</w:t>
            </w:r>
          </w:p>
          <w:p w14:paraId="62177D77" w14:textId="77777777" w:rsidR="00937052" w:rsidRPr="00AF1E5A" w:rsidRDefault="00937052" w:rsidP="004C65D3">
            <w:pPr>
              <w:rPr>
                <w:rFonts w:ascii="Century Gothic" w:hAnsi="Century Gothic"/>
              </w:rPr>
            </w:pPr>
            <w:r w:rsidRPr="00AF1E5A">
              <w:rPr>
                <w:rFonts w:ascii="Century Gothic" w:hAnsi="Century Gothic"/>
              </w:rPr>
              <w:t>2015: 2.3</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3A351C91" w14:textId="77777777" w:rsidR="00937052" w:rsidRPr="00AF1E5A" w:rsidRDefault="00937052" w:rsidP="004C65D3">
            <w:pPr>
              <w:rPr>
                <w:rFonts w:ascii="Century Gothic" w:hAnsi="Century Gothic"/>
              </w:rPr>
            </w:pPr>
            <w:r w:rsidRPr="00AF1E5A">
              <w:rPr>
                <w:rFonts w:ascii="Century Gothic" w:hAnsi="Century Gothic"/>
              </w:rPr>
              <w:t>Yes</w:t>
            </w:r>
          </w:p>
        </w:tc>
      </w:tr>
      <w:tr w:rsidR="00415D33" w:rsidRPr="00AF1E5A" w14:paraId="17C5F39E"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64388E72" w14:textId="77777777" w:rsidR="00937052" w:rsidRPr="00AF1E5A" w:rsidRDefault="00937052" w:rsidP="004C65D3">
            <w:pPr>
              <w:rPr>
                <w:rFonts w:ascii="Century Gothic" w:hAnsi="Century Gothic"/>
              </w:rPr>
            </w:pPr>
            <w:r w:rsidRPr="00AF1E5A">
              <w:rPr>
                <w:rFonts w:ascii="Century Gothic" w:hAnsi="Century Gothic"/>
              </w:rPr>
              <w:t xml:space="preserve">Brookside II </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8BD901E"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B4EAD88"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464240F" w14:textId="77777777" w:rsidR="00937052" w:rsidRPr="00AF1E5A" w:rsidRDefault="00937052" w:rsidP="004C65D3">
            <w:pPr>
              <w:rPr>
                <w:rFonts w:ascii="Century Gothic" w:hAnsi="Century Gothic"/>
              </w:rPr>
            </w:pPr>
            <w:r w:rsidRPr="00AF1E5A">
              <w:rPr>
                <w:rFonts w:ascii="Century Gothic" w:hAnsi="Century Gothic"/>
              </w:rPr>
              <w:t>2016: 7.5</w:t>
            </w:r>
          </w:p>
          <w:p w14:paraId="30C80B46" w14:textId="77777777" w:rsidR="00937052" w:rsidRPr="00AF1E5A" w:rsidRDefault="00937052" w:rsidP="004C65D3">
            <w:pPr>
              <w:rPr>
                <w:rFonts w:ascii="Century Gothic" w:hAnsi="Century Gothic"/>
              </w:rPr>
            </w:pPr>
            <w:r w:rsidRPr="00AF1E5A">
              <w:rPr>
                <w:rFonts w:ascii="Century Gothic" w:hAnsi="Century Gothic"/>
              </w:rPr>
              <w:t>2015: 7.5</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05653C46" w14:textId="77777777" w:rsidR="00937052" w:rsidRPr="00AF1E5A" w:rsidRDefault="00937052" w:rsidP="004C65D3">
            <w:pPr>
              <w:rPr>
                <w:rFonts w:ascii="Century Gothic" w:hAnsi="Century Gothic"/>
              </w:rPr>
            </w:pPr>
            <w:r w:rsidRPr="00AF1E5A">
              <w:rPr>
                <w:rFonts w:ascii="Century Gothic" w:hAnsi="Century Gothic"/>
              </w:rPr>
              <w:t>Yes</w:t>
            </w:r>
          </w:p>
        </w:tc>
      </w:tr>
      <w:tr w:rsidR="00415D33" w:rsidRPr="00AF1E5A" w14:paraId="26A1C1FA"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201FB1FE" w14:textId="77777777" w:rsidR="00937052" w:rsidRPr="00AF1E5A" w:rsidRDefault="00937052" w:rsidP="004C65D3">
            <w:pPr>
              <w:rPr>
                <w:rFonts w:ascii="Century Gothic" w:hAnsi="Century Gothic"/>
              </w:rPr>
            </w:pPr>
            <w:r w:rsidRPr="00AF1E5A">
              <w:rPr>
                <w:rFonts w:ascii="Century Gothic" w:hAnsi="Century Gothic"/>
              </w:rPr>
              <w:t xml:space="preserve">Rockview I </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AFC1C96"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4E192FD"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CD0CE59" w14:textId="77777777" w:rsidR="00937052" w:rsidRPr="00AF1E5A" w:rsidRDefault="00937052" w:rsidP="004C65D3">
            <w:pPr>
              <w:rPr>
                <w:rFonts w:ascii="Century Gothic" w:hAnsi="Century Gothic"/>
              </w:rPr>
            </w:pPr>
            <w:r w:rsidRPr="00AF1E5A">
              <w:rPr>
                <w:rFonts w:ascii="Century Gothic" w:hAnsi="Century Gothic"/>
              </w:rPr>
              <w:t>2016: 4.6</w:t>
            </w:r>
          </w:p>
          <w:p w14:paraId="01890F64" w14:textId="77777777" w:rsidR="00937052" w:rsidRPr="00AF1E5A" w:rsidRDefault="00937052" w:rsidP="004C65D3">
            <w:pPr>
              <w:rPr>
                <w:rFonts w:ascii="Century Gothic" w:hAnsi="Century Gothic"/>
              </w:rPr>
            </w:pPr>
            <w:r w:rsidRPr="00AF1E5A">
              <w:rPr>
                <w:rFonts w:ascii="Century Gothic" w:hAnsi="Century Gothic"/>
              </w:rPr>
              <w:t>2015: 4.6</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022027C1" w14:textId="77777777" w:rsidR="00937052" w:rsidRPr="00AF1E5A" w:rsidRDefault="00937052" w:rsidP="004C65D3">
            <w:pPr>
              <w:rPr>
                <w:rFonts w:ascii="Century Gothic" w:hAnsi="Century Gothic"/>
              </w:rPr>
            </w:pPr>
            <w:r w:rsidRPr="00AF1E5A">
              <w:rPr>
                <w:rFonts w:ascii="Century Gothic" w:hAnsi="Century Gothic"/>
              </w:rPr>
              <w:t>Yes</w:t>
            </w:r>
          </w:p>
        </w:tc>
      </w:tr>
      <w:tr w:rsidR="00415D33" w:rsidRPr="00AF1E5A" w14:paraId="2F7EB22E"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269B4EE7" w14:textId="77777777" w:rsidR="00937052" w:rsidRPr="00AF1E5A" w:rsidRDefault="00937052" w:rsidP="004C65D3">
            <w:pPr>
              <w:rPr>
                <w:rFonts w:ascii="Century Gothic" w:hAnsi="Century Gothic"/>
              </w:rPr>
            </w:pPr>
            <w:r w:rsidRPr="00AF1E5A">
              <w:rPr>
                <w:rFonts w:ascii="Century Gothic" w:hAnsi="Century Gothic"/>
              </w:rPr>
              <w:t xml:space="preserve">122 Wilmot Road </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F2EAC27"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C8F2727"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ADDD03C" w14:textId="77777777" w:rsidR="00937052" w:rsidRPr="00AF1E5A" w:rsidRDefault="00937052" w:rsidP="004C65D3">
            <w:pPr>
              <w:rPr>
                <w:rFonts w:ascii="Century Gothic" w:hAnsi="Century Gothic"/>
              </w:rPr>
            </w:pPr>
            <w:r w:rsidRPr="00AF1E5A">
              <w:rPr>
                <w:rFonts w:ascii="Century Gothic" w:hAnsi="Century Gothic"/>
              </w:rPr>
              <w:t>2016: 3.2</w:t>
            </w:r>
          </w:p>
          <w:p w14:paraId="7A8A4D72" w14:textId="77777777" w:rsidR="00937052" w:rsidRPr="00AF1E5A" w:rsidRDefault="00937052" w:rsidP="004C65D3">
            <w:pPr>
              <w:rPr>
                <w:rFonts w:ascii="Century Gothic" w:hAnsi="Century Gothic"/>
              </w:rPr>
            </w:pPr>
            <w:r w:rsidRPr="00AF1E5A">
              <w:rPr>
                <w:rFonts w:ascii="Century Gothic" w:hAnsi="Century Gothic"/>
              </w:rPr>
              <w:t>2015: 3.2</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6CA0717" w14:textId="77777777" w:rsidR="00937052" w:rsidRPr="00AF1E5A" w:rsidRDefault="00937052" w:rsidP="004C65D3">
            <w:pPr>
              <w:rPr>
                <w:rFonts w:ascii="Century Gothic" w:hAnsi="Century Gothic"/>
              </w:rPr>
            </w:pPr>
            <w:r w:rsidRPr="00AF1E5A">
              <w:rPr>
                <w:rFonts w:ascii="Century Gothic" w:hAnsi="Century Gothic"/>
              </w:rPr>
              <w:t>Yes</w:t>
            </w:r>
          </w:p>
        </w:tc>
      </w:tr>
      <w:tr w:rsidR="00415D33" w:rsidRPr="00AF1E5A" w14:paraId="64F18EED"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2A866AB9" w14:textId="77777777" w:rsidR="00937052" w:rsidRPr="00AF1E5A" w:rsidRDefault="00937052" w:rsidP="004C65D3">
            <w:pPr>
              <w:rPr>
                <w:rFonts w:ascii="Century Gothic" w:hAnsi="Century Gothic"/>
              </w:rPr>
            </w:pPr>
            <w:r w:rsidRPr="00AF1E5A">
              <w:rPr>
                <w:rFonts w:ascii="Century Gothic" w:hAnsi="Century Gothic"/>
              </w:rPr>
              <w:t>Brookside Homeownership</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1B91726"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4B9BB69"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457843C" w14:textId="77777777" w:rsidR="00937052" w:rsidRPr="00AF1E5A" w:rsidRDefault="00937052" w:rsidP="004C65D3">
            <w:pPr>
              <w:rPr>
                <w:rFonts w:ascii="Century Gothic" w:hAnsi="Century Gothic"/>
              </w:rPr>
            </w:pPr>
            <w:r w:rsidRPr="00AF1E5A">
              <w:rPr>
                <w:rFonts w:ascii="Century Gothic" w:hAnsi="Century Gothic"/>
              </w:rPr>
              <w:t>2016: 1.7</w:t>
            </w:r>
          </w:p>
          <w:p w14:paraId="3C78E184" w14:textId="77777777" w:rsidR="00937052" w:rsidRPr="00AF1E5A" w:rsidRDefault="00937052" w:rsidP="004C65D3">
            <w:pPr>
              <w:rPr>
                <w:rFonts w:ascii="Century Gothic" w:hAnsi="Century Gothic"/>
              </w:rPr>
            </w:pPr>
            <w:r w:rsidRPr="00AF1E5A">
              <w:rPr>
                <w:rFonts w:ascii="Century Gothic" w:hAnsi="Century Gothic"/>
              </w:rPr>
              <w:t>2015: 1.6</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04705821" w14:textId="77777777" w:rsidR="00937052" w:rsidRPr="00AF1E5A" w:rsidRDefault="00937052" w:rsidP="004C65D3">
            <w:pPr>
              <w:rPr>
                <w:rFonts w:ascii="Century Gothic" w:hAnsi="Century Gothic"/>
              </w:rPr>
            </w:pPr>
            <w:r w:rsidRPr="00AF1E5A">
              <w:rPr>
                <w:rFonts w:ascii="Century Gothic" w:hAnsi="Century Gothic"/>
              </w:rPr>
              <w:t>Yes</w:t>
            </w:r>
          </w:p>
        </w:tc>
      </w:tr>
      <w:tr w:rsidR="00415D33" w:rsidRPr="00AF1E5A" w14:paraId="083F2FFB"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220508FE" w14:textId="77777777" w:rsidR="00937052" w:rsidRPr="00AF1E5A" w:rsidRDefault="00937052" w:rsidP="004C65D3">
            <w:pPr>
              <w:rPr>
                <w:rFonts w:ascii="Century Gothic" w:hAnsi="Century Gothic"/>
              </w:rPr>
            </w:pPr>
            <w:proofErr w:type="spellStart"/>
            <w:r w:rsidRPr="00AF1E5A">
              <w:rPr>
                <w:rFonts w:ascii="Century Gothic" w:hAnsi="Century Gothic"/>
              </w:rPr>
              <w:t>Ribicoff</w:t>
            </w:r>
            <w:proofErr w:type="spellEnd"/>
            <w:r w:rsidRPr="00AF1E5A">
              <w:rPr>
                <w:rFonts w:ascii="Century Gothic" w:hAnsi="Century Gothic"/>
              </w:rPr>
              <w:t xml:space="preserve"> I </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636CB85"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F2A7F96"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C6D8844" w14:textId="77777777" w:rsidR="00937052" w:rsidRPr="00AF1E5A" w:rsidRDefault="00937052" w:rsidP="004C65D3">
            <w:pPr>
              <w:rPr>
                <w:rFonts w:ascii="Century Gothic" w:hAnsi="Century Gothic"/>
              </w:rPr>
            </w:pPr>
            <w:r w:rsidRPr="00AF1E5A">
              <w:rPr>
                <w:rFonts w:ascii="Century Gothic" w:hAnsi="Century Gothic"/>
              </w:rPr>
              <w:t>2016: 6.1</w:t>
            </w:r>
          </w:p>
          <w:p w14:paraId="21116C66" w14:textId="77777777" w:rsidR="00937052" w:rsidRPr="00AF1E5A" w:rsidRDefault="00937052" w:rsidP="004C65D3">
            <w:pPr>
              <w:rPr>
                <w:rFonts w:ascii="Century Gothic" w:hAnsi="Century Gothic"/>
              </w:rPr>
            </w:pPr>
            <w:r w:rsidRPr="00AF1E5A">
              <w:rPr>
                <w:rFonts w:ascii="Century Gothic" w:hAnsi="Century Gothic"/>
              </w:rPr>
              <w:t>2015: 6.1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34785AC6" w14:textId="77777777" w:rsidR="00937052" w:rsidRPr="00AF1E5A" w:rsidRDefault="00937052" w:rsidP="004C65D3">
            <w:pPr>
              <w:rPr>
                <w:rFonts w:ascii="Century Gothic" w:hAnsi="Century Gothic"/>
              </w:rPr>
            </w:pPr>
            <w:r w:rsidRPr="00AF1E5A">
              <w:rPr>
                <w:rFonts w:ascii="Century Gothic" w:hAnsi="Century Gothic"/>
              </w:rPr>
              <w:t>Yes</w:t>
            </w:r>
          </w:p>
        </w:tc>
      </w:tr>
      <w:tr w:rsidR="00415D33" w:rsidRPr="00AF1E5A" w14:paraId="011B02CF"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7B205FAF" w14:textId="77777777" w:rsidR="00937052" w:rsidRPr="00AF1E5A" w:rsidRDefault="00937052" w:rsidP="004C65D3">
            <w:pPr>
              <w:rPr>
                <w:rFonts w:ascii="Century Gothic" w:hAnsi="Century Gothic"/>
              </w:rPr>
            </w:pPr>
            <w:proofErr w:type="spellStart"/>
            <w:r w:rsidRPr="00AF1E5A">
              <w:rPr>
                <w:rFonts w:ascii="Century Gothic" w:hAnsi="Century Gothic"/>
              </w:rPr>
              <w:t>Ribicoff</w:t>
            </w:r>
            <w:proofErr w:type="spellEnd"/>
            <w:r w:rsidRPr="00AF1E5A">
              <w:rPr>
                <w:rFonts w:ascii="Century Gothic" w:hAnsi="Century Gothic"/>
              </w:rPr>
              <w:t xml:space="preserve"> II </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403C2EC"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F59A56F"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D2C7B06" w14:textId="77777777" w:rsidR="00937052" w:rsidRPr="00AF1E5A" w:rsidRDefault="00937052" w:rsidP="004C65D3">
            <w:pPr>
              <w:rPr>
                <w:rFonts w:ascii="Century Gothic" w:hAnsi="Century Gothic"/>
              </w:rPr>
            </w:pPr>
            <w:r w:rsidRPr="00AF1E5A">
              <w:rPr>
                <w:rFonts w:ascii="Century Gothic" w:hAnsi="Century Gothic"/>
              </w:rPr>
              <w:t>2016: 1.2</w:t>
            </w:r>
          </w:p>
          <w:p w14:paraId="5E787E01" w14:textId="77777777" w:rsidR="00937052" w:rsidRPr="00AF1E5A" w:rsidRDefault="00937052" w:rsidP="004C65D3">
            <w:pPr>
              <w:rPr>
                <w:rFonts w:ascii="Century Gothic" w:hAnsi="Century Gothic"/>
              </w:rPr>
            </w:pPr>
            <w:r w:rsidRPr="00AF1E5A">
              <w:rPr>
                <w:rFonts w:ascii="Century Gothic" w:hAnsi="Century Gothic"/>
              </w:rPr>
              <w:t>2015: 1.2</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4F86CAB3" w14:textId="77777777" w:rsidR="00937052" w:rsidRPr="00AF1E5A" w:rsidRDefault="00937052" w:rsidP="004C65D3">
            <w:pPr>
              <w:rPr>
                <w:rFonts w:ascii="Century Gothic" w:hAnsi="Century Gothic"/>
              </w:rPr>
            </w:pPr>
            <w:r w:rsidRPr="00AF1E5A">
              <w:rPr>
                <w:rFonts w:ascii="Century Gothic" w:hAnsi="Century Gothic"/>
              </w:rPr>
              <w:t>No</w:t>
            </w:r>
          </w:p>
        </w:tc>
      </w:tr>
      <w:tr w:rsidR="00415D33" w:rsidRPr="00AF1E5A" w14:paraId="64F215BD"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04476125" w14:textId="77777777" w:rsidR="00937052" w:rsidRPr="00AF1E5A" w:rsidRDefault="00937052" w:rsidP="004C65D3">
            <w:pPr>
              <w:rPr>
                <w:rFonts w:ascii="Century Gothic" w:hAnsi="Century Gothic"/>
              </w:rPr>
            </w:pPr>
            <w:r w:rsidRPr="00AF1E5A">
              <w:rPr>
                <w:rFonts w:ascii="Century Gothic" w:hAnsi="Century Gothic"/>
              </w:rPr>
              <w:t>Quinnipiac Terrace I</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16686C8"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54D90CA"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BB85FB6" w14:textId="77777777" w:rsidR="00937052" w:rsidRPr="00AF1E5A" w:rsidRDefault="00937052" w:rsidP="004C65D3">
            <w:pPr>
              <w:rPr>
                <w:rFonts w:ascii="Century Gothic" w:hAnsi="Century Gothic"/>
              </w:rPr>
            </w:pPr>
            <w:r w:rsidRPr="00AF1E5A">
              <w:rPr>
                <w:rFonts w:ascii="Century Gothic" w:hAnsi="Century Gothic"/>
              </w:rPr>
              <w:t>2016: 5.5</w:t>
            </w:r>
          </w:p>
          <w:p w14:paraId="4B3CAA26" w14:textId="77777777" w:rsidR="00937052" w:rsidRPr="00AF1E5A" w:rsidRDefault="00937052" w:rsidP="004C65D3">
            <w:pPr>
              <w:rPr>
                <w:rFonts w:ascii="Century Gothic" w:hAnsi="Century Gothic"/>
              </w:rPr>
            </w:pPr>
            <w:r w:rsidRPr="00AF1E5A">
              <w:rPr>
                <w:rFonts w:ascii="Century Gothic" w:hAnsi="Century Gothic"/>
              </w:rPr>
              <w:t>2015: 5.5</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71585642" w14:textId="77777777" w:rsidR="00937052" w:rsidRPr="00AF1E5A" w:rsidRDefault="00937052" w:rsidP="004C65D3">
            <w:pPr>
              <w:rPr>
                <w:rFonts w:ascii="Century Gothic" w:hAnsi="Century Gothic"/>
              </w:rPr>
            </w:pPr>
            <w:r w:rsidRPr="00AF1E5A">
              <w:rPr>
                <w:rFonts w:ascii="Century Gothic" w:hAnsi="Century Gothic"/>
              </w:rPr>
              <w:t>Yes</w:t>
            </w:r>
          </w:p>
        </w:tc>
      </w:tr>
      <w:tr w:rsidR="00415D33" w:rsidRPr="00AF1E5A" w14:paraId="1E43CC1A"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638E5ED" w14:textId="77777777" w:rsidR="00937052" w:rsidRPr="00AF1E5A" w:rsidRDefault="00937052" w:rsidP="004C65D3">
            <w:pPr>
              <w:rPr>
                <w:rFonts w:ascii="Century Gothic" w:hAnsi="Century Gothic"/>
              </w:rPr>
            </w:pPr>
            <w:r w:rsidRPr="00AF1E5A">
              <w:rPr>
                <w:rFonts w:ascii="Century Gothic" w:hAnsi="Century Gothic"/>
              </w:rPr>
              <w:t>Quinnipiac Terrace II</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FD98F03"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8503EBC"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9836133" w14:textId="77777777" w:rsidR="00937052" w:rsidRPr="00AF1E5A" w:rsidRDefault="00937052" w:rsidP="004C65D3">
            <w:pPr>
              <w:rPr>
                <w:rFonts w:ascii="Century Gothic" w:hAnsi="Century Gothic"/>
              </w:rPr>
            </w:pPr>
            <w:r w:rsidRPr="00AF1E5A">
              <w:rPr>
                <w:rFonts w:ascii="Century Gothic" w:hAnsi="Century Gothic"/>
              </w:rPr>
              <w:t>2016: 8.6</w:t>
            </w:r>
          </w:p>
          <w:p w14:paraId="2034D67E" w14:textId="77777777" w:rsidR="00937052" w:rsidRPr="00AF1E5A" w:rsidRDefault="00937052" w:rsidP="004C65D3">
            <w:pPr>
              <w:rPr>
                <w:rFonts w:ascii="Century Gothic" w:hAnsi="Century Gothic"/>
              </w:rPr>
            </w:pPr>
            <w:r w:rsidRPr="00AF1E5A">
              <w:rPr>
                <w:rFonts w:ascii="Century Gothic" w:hAnsi="Century Gothic"/>
              </w:rPr>
              <w:t>2015: 8.6</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6156802" w14:textId="77777777" w:rsidR="00937052" w:rsidRPr="00AF1E5A" w:rsidRDefault="00937052" w:rsidP="004C65D3">
            <w:pPr>
              <w:rPr>
                <w:rFonts w:ascii="Century Gothic" w:hAnsi="Century Gothic"/>
              </w:rPr>
            </w:pPr>
            <w:r w:rsidRPr="00AF1E5A">
              <w:rPr>
                <w:rFonts w:ascii="Century Gothic" w:hAnsi="Century Gothic"/>
              </w:rPr>
              <w:t>Yes</w:t>
            </w:r>
          </w:p>
        </w:tc>
      </w:tr>
      <w:tr w:rsidR="00415D33" w:rsidRPr="00AF1E5A" w14:paraId="6F9EACD7"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29F9BDD7" w14:textId="77777777" w:rsidR="00937052" w:rsidRPr="00AF1E5A" w:rsidRDefault="00937052" w:rsidP="004C65D3">
            <w:pPr>
              <w:rPr>
                <w:rFonts w:ascii="Century Gothic" w:hAnsi="Century Gothic"/>
              </w:rPr>
            </w:pPr>
            <w:r w:rsidRPr="00AF1E5A">
              <w:rPr>
                <w:rFonts w:ascii="Century Gothic" w:hAnsi="Century Gothic"/>
              </w:rPr>
              <w:t>Quinnipiac Terrace III</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CF4A404"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0450F2A"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4636C56" w14:textId="77777777" w:rsidR="00937052" w:rsidRPr="00AF1E5A" w:rsidRDefault="00937052" w:rsidP="004C65D3">
            <w:pPr>
              <w:rPr>
                <w:rFonts w:ascii="Century Gothic" w:hAnsi="Century Gothic"/>
              </w:rPr>
            </w:pPr>
            <w:r w:rsidRPr="00AF1E5A">
              <w:rPr>
                <w:rFonts w:ascii="Century Gothic" w:hAnsi="Century Gothic"/>
              </w:rPr>
              <w:t>2016: 4.2</w:t>
            </w:r>
          </w:p>
          <w:p w14:paraId="25401449" w14:textId="77777777" w:rsidR="00937052" w:rsidRPr="00AF1E5A" w:rsidRDefault="00937052" w:rsidP="004C65D3">
            <w:pPr>
              <w:rPr>
                <w:rFonts w:ascii="Century Gothic" w:hAnsi="Century Gothic"/>
              </w:rPr>
            </w:pPr>
            <w:r w:rsidRPr="00AF1E5A">
              <w:rPr>
                <w:rFonts w:ascii="Century Gothic" w:hAnsi="Century Gothic"/>
              </w:rPr>
              <w:t>2015: 4.2</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656EBBE" w14:textId="77777777" w:rsidR="00937052" w:rsidRPr="00AF1E5A" w:rsidRDefault="00937052" w:rsidP="004C65D3">
            <w:pPr>
              <w:rPr>
                <w:rFonts w:ascii="Century Gothic" w:hAnsi="Century Gothic"/>
              </w:rPr>
            </w:pPr>
            <w:r w:rsidRPr="00AF1E5A">
              <w:rPr>
                <w:rFonts w:ascii="Century Gothic" w:hAnsi="Century Gothic"/>
              </w:rPr>
              <w:t>Yes</w:t>
            </w:r>
          </w:p>
        </w:tc>
      </w:tr>
      <w:tr w:rsidR="00415D33" w:rsidRPr="00AF1E5A" w14:paraId="71A3F897"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559A59F" w14:textId="77777777" w:rsidR="00937052" w:rsidRPr="00AF1E5A" w:rsidRDefault="00937052" w:rsidP="004C65D3">
            <w:pPr>
              <w:rPr>
                <w:rFonts w:ascii="Century Gothic" w:hAnsi="Century Gothic"/>
              </w:rPr>
            </w:pPr>
            <w:r w:rsidRPr="00AF1E5A">
              <w:rPr>
                <w:rFonts w:ascii="Century Gothic" w:hAnsi="Century Gothic"/>
              </w:rPr>
              <w:t>Eastview I</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B33A5CB"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76C3F34"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EC17B4B" w14:textId="77777777" w:rsidR="00937052" w:rsidRPr="00AF1E5A" w:rsidRDefault="00937052" w:rsidP="004C65D3">
            <w:pPr>
              <w:rPr>
                <w:rFonts w:ascii="Century Gothic" w:hAnsi="Century Gothic"/>
              </w:rPr>
            </w:pPr>
            <w:r w:rsidRPr="00AF1E5A">
              <w:rPr>
                <w:rFonts w:ascii="Century Gothic" w:hAnsi="Century Gothic"/>
              </w:rPr>
              <w:t>2016: 0.6</w:t>
            </w:r>
          </w:p>
          <w:p w14:paraId="4FA3B813" w14:textId="77777777" w:rsidR="00937052" w:rsidRPr="00AF1E5A" w:rsidRDefault="00937052" w:rsidP="004C65D3">
            <w:pPr>
              <w:rPr>
                <w:rFonts w:ascii="Century Gothic" w:hAnsi="Century Gothic"/>
              </w:rPr>
            </w:pPr>
            <w:r w:rsidRPr="00AF1E5A">
              <w:rPr>
                <w:rFonts w:ascii="Century Gothic" w:hAnsi="Century Gothic"/>
              </w:rPr>
              <w:t>2015: 0.6</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56D983D9" w14:textId="77777777" w:rsidR="00937052" w:rsidRPr="00AF1E5A" w:rsidRDefault="00937052" w:rsidP="004C65D3">
            <w:pPr>
              <w:rPr>
                <w:rFonts w:ascii="Century Gothic" w:hAnsi="Century Gothic"/>
              </w:rPr>
            </w:pPr>
            <w:r w:rsidRPr="00AF1E5A">
              <w:rPr>
                <w:rFonts w:ascii="Century Gothic" w:hAnsi="Century Gothic"/>
              </w:rPr>
              <w:t>No</w:t>
            </w:r>
          </w:p>
        </w:tc>
      </w:tr>
      <w:tr w:rsidR="00415D33" w:rsidRPr="00AF1E5A" w14:paraId="5F02C32A"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A84B41D" w14:textId="77777777" w:rsidR="00937052" w:rsidRPr="00AF1E5A" w:rsidRDefault="00937052" w:rsidP="004C65D3">
            <w:pPr>
              <w:rPr>
                <w:rFonts w:ascii="Century Gothic" w:hAnsi="Century Gothic"/>
              </w:rPr>
            </w:pPr>
            <w:r w:rsidRPr="00AF1E5A">
              <w:rPr>
                <w:rFonts w:ascii="Century Gothic" w:hAnsi="Century Gothic"/>
              </w:rPr>
              <w:t>Rowe</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FFE8EBC" w14:textId="77777777" w:rsidR="00937052" w:rsidRPr="00AF1E5A" w:rsidRDefault="00937052" w:rsidP="004C65D3">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3B67FBD" w14:textId="77777777" w:rsidR="00937052" w:rsidRPr="00AF1E5A" w:rsidRDefault="00937052" w:rsidP="004C65D3">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B4F4D66" w14:textId="77777777" w:rsidR="00937052" w:rsidRPr="00AF1E5A" w:rsidRDefault="00937052" w:rsidP="004C65D3">
            <w:pPr>
              <w:rPr>
                <w:rFonts w:ascii="Century Gothic" w:hAnsi="Century Gothic"/>
              </w:rPr>
            </w:pPr>
            <w:r w:rsidRPr="00AF1E5A">
              <w:rPr>
                <w:rFonts w:ascii="Century Gothic" w:hAnsi="Century Gothic"/>
              </w:rPr>
              <w:t>2016: 4.5</w:t>
            </w:r>
          </w:p>
          <w:p w14:paraId="2C5936CB" w14:textId="77777777" w:rsidR="00937052" w:rsidRPr="00AF1E5A" w:rsidRDefault="00937052" w:rsidP="004C65D3">
            <w:pPr>
              <w:rPr>
                <w:rFonts w:ascii="Century Gothic" w:hAnsi="Century Gothic"/>
              </w:rPr>
            </w:pPr>
            <w:r w:rsidRPr="00AF1E5A">
              <w:rPr>
                <w:rFonts w:ascii="Century Gothic" w:hAnsi="Century Gothic"/>
              </w:rPr>
              <w:t>2015: 4.5</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7597E395" w14:textId="77777777" w:rsidR="00937052" w:rsidRPr="00AF1E5A" w:rsidRDefault="00937052" w:rsidP="004C65D3">
            <w:pPr>
              <w:rPr>
                <w:rFonts w:ascii="Century Gothic" w:hAnsi="Century Gothic"/>
              </w:rPr>
            </w:pPr>
            <w:r w:rsidRPr="00AF1E5A">
              <w:rPr>
                <w:rFonts w:ascii="Century Gothic" w:hAnsi="Century Gothic"/>
              </w:rPr>
              <w:t>Yes</w:t>
            </w:r>
          </w:p>
        </w:tc>
      </w:tr>
      <w:tr w:rsidR="0032063E" w:rsidRPr="00AF1E5A" w14:paraId="7E9823D3"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0805FBCD" w14:textId="77777777" w:rsidR="00937052" w:rsidRPr="00AF1E5A" w:rsidRDefault="00937052" w:rsidP="00D703A9">
            <w:pPr>
              <w:rPr>
                <w:rFonts w:ascii="Century Gothic" w:hAnsi="Century Gothic"/>
              </w:rPr>
            </w:pPr>
            <w:proofErr w:type="spellStart"/>
            <w:r w:rsidRPr="00AF1E5A">
              <w:rPr>
                <w:rFonts w:ascii="Century Gothic" w:hAnsi="Century Gothic"/>
              </w:rPr>
              <w:t>Farnam</w:t>
            </w:r>
            <w:proofErr w:type="spellEnd"/>
            <w:r w:rsidRPr="00AF1E5A">
              <w:rPr>
                <w:rFonts w:ascii="Century Gothic" w:hAnsi="Century Gothic"/>
              </w:rPr>
              <w:t xml:space="preserve"> Phase 1</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8999D45" w14:textId="77777777" w:rsidR="00937052" w:rsidRPr="00AF1E5A" w:rsidRDefault="00937052" w:rsidP="00D703A9">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83349F0" w14:textId="77777777" w:rsidR="00937052" w:rsidRPr="00AF1E5A" w:rsidRDefault="00937052" w:rsidP="00D703A9">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2A86F48" w14:textId="77777777" w:rsidR="00937052" w:rsidRPr="00AF1E5A" w:rsidRDefault="00937052" w:rsidP="00D703A9">
            <w:pPr>
              <w:rPr>
                <w:rFonts w:ascii="Century Gothic" w:hAnsi="Century Gothic"/>
              </w:rPr>
            </w:pPr>
            <w:r w:rsidRPr="00AF1E5A">
              <w:rPr>
                <w:rFonts w:ascii="Century Gothic" w:hAnsi="Century Gothic"/>
              </w:rPr>
              <w:t>2016: 3.1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62C1D0A1" w14:textId="77777777" w:rsidR="00937052" w:rsidRPr="00AF1E5A" w:rsidRDefault="00937052" w:rsidP="00D703A9">
            <w:pPr>
              <w:rPr>
                <w:rFonts w:ascii="Century Gothic" w:hAnsi="Century Gothic"/>
              </w:rPr>
            </w:pPr>
            <w:r w:rsidRPr="00AF1E5A">
              <w:rPr>
                <w:rFonts w:ascii="Century Gothic" w:hAnsi="Century Gothic"/>
              </w:rPr>
              <w:t>Yes</w:t>
            </w:r>
          </w:p>
        </w:tc>
      </w:tr>
      <w:tr w:rsidR="0032063E" w:rsidRPr="00AF1E5A" w14:paraId="000E2765"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49E6F612" w14:textId="5837939E" w:rsidR="00937052" w:rsidRPr="00AF1E5A" w:rsidRDefault="666499E1" w:rsidP="00D703A9">
            <w:pPr>
              <w:rPr>
                <w:rFonts w:ascii="Century Gothic" w:hAnsi="Century Gothic"/>
              </w:rPr>
            </w:pPr>
            <w:r w:rsidRPr="00AF1E5A">
              <w:rPr>
                <w:rFonts w:ascii="Century Gothic" w:hAnsi="Century Gothic"/>
              </w:rPr>
              <w:t>Rockview Phase 2</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C7ADEC4" w14:textId="6C04B5F1" w:rsidR="00937052" w:rsidRPr="00AF1E5A" w:rsidRDefault="00937052" w:rsidP="00D703A9">
            <w:pPr>
              <w:rPr>
                <w:rFonts w:ascii="Century Gothic" w:hAnsi="Century Gothic"/>
              </w:rPr>
            </w:pPr>
            <w:r w:rsidRPr="00AF1E5A">
              <w:rPr>
                <w:rFonts w:ascii="Century Gothic" w:hAnsi="Century Gothic"/>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0C0D0F4" w14:textId="1BDA4DEF" w:rsidR="00937052" w:rsidRPr="00AF1E5A" w:rsidRDefault="00937052" w:rsidP="00D703A9">
            <w:pPr>
              <w:rPr>
                <w:rFonts w:ascii="Century Gothic" w:hAnsi="Century Gothic"/>
              </w:rPr>
            </w:pPr>
            <w:r w:rsidRPr="00AF1E5A">
              <w:rPr>
                <w:rFonts w:ascii="Century Gothic" w:hAnsi="Century Gothic"/>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01D12FC" w14:textId="714485AF" w:rsidR="00937052" w:rsidRPr="00AF1E5A" w:rsidRDefault="07905AC2" w:rsidP="00D703A9">
            <w:pPr>
              <w:rPr>
                <w:rFonts w:ascii="Century Gothic" w:hAnsi="Century Gothic"/>
              </w:rPr>
            </w:pPr>
            <w:r w:rsidRPr="00AF1E5A">
              <w:rPr>
                <w:rFonts w:ascii="Century Gothic" w:hAnsi="Century Gothic"/>
              </w:rPr>
              <w:t>2019:</w:t>
            </w:r>
            <w:r w:rsidR="0FB432A8" w:rsidRPr="00AF1E5A">
              <w:rPr>
                <w:rFonts w:ascii="Century Gothic" w:hAnsi="Century Gothic"/>
              </w:rPr>
              <w:t>12.1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466E0811" w14:textId="76181D96" w:rsidR="00937052" w:rsidRPr="00AF1E5A" w:rsidRDefault="00937052" w:rsidP="00D703A9">
            <w:pPr>
              <w:rPr>
                <w:rFonts w:ascii="Century Gothic" w:hAnsi="Century Gothic"/>
              </w:rPr>
            </w:pPr>
            <w:r w:rsidRPr="00AF1E5A">
              <w:rPr>
                <w:rFonts w:ascii="Century Gothic" w:hAnsi="Century Gothic"/>
              </w:rPr>
              <w:t>Yes</w:t>
            </w:r>
          </w:p>
        </w:tc>
      </w:tr>
      <w:tr w:rsidR="0032063E" w:rsidRPr="00AF1E5A" w14:paraId="4387ADCF"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7EE7E004" w14:textId="773B7CD8" w:rsidR="4B60C82B" w:rsidRPr="00AF1E5A" w:rsidRDefault="4B60C82B">
            <w:pPr>
              <w:rPr>
                <w:rFonts w:ascii="Century Gothic" w:eastAsia="Times New Roman" w:hAnsi="Century Gothic"/>
                <w:sz w:val="21"/>
                <w:szCs w:val="21"/>
              </w:rPr>
            </w:pPr>
            <w:proofErr w:type="spellStart"/>
            <w:r w:rsidRPr="00AF1E5A">
              <w:rPr>
                <w:rFonts w:ascii="Century Gothic" w:eastAsia="Times New Roman" w:hAnsi="Century Gothic"/>
                <w:sz w:val="21"/>
                <w:szCs w:val="21"/>
              </w:rPr>
              <w:t>Farnam</w:t>
            </w:r>
            <w:proofErr w:type="spellEnd"/>
            <w:r w:rsidRPr="00AF1E5A">
              <w:rPr>
                <w:rFonts w:ascii="Century Gothic" w:eastAsia="Times New Roman" w:hAnsi="Century Gothic"/>
                <w:sz w:val="21"/>
                <w:szCs w:val="21"/>
              </w:rPr>
              <w:t xml:space="preserve"> Phase 2</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11320D" w14:textId="1045D1A5" w:rsidR="4B60C82B" w:rsidRPr="00AF1E5A" w:rsidRDefault="4B60C82B">
            <w:pPr>
              <w:rPr>
                <w:rFonts w:ascii="Century Gothic" w:hAnsi="Century Gothic"/>
              </w:rPr>
            </w:pPr>
            <w:r w:rsidRPr="00AF1E5A">
              <w:rPr>
                <w:rFonts w:ascii="Century Gothic" w:eastAsia="Times New Roman" w:hAnsi="Century Gothic"/>
                <w:sz w:val="21"/>
                <w:szCs w:val="21"/>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1DC26C5" w14:textId="2893B3B2"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A7FB26" w14:textId="52C599A1"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2012/22: 14.8:1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09E5BB84" w14:textId="32265C59" w:rsidR="4B60C82B" w:rsidRPr="00AF1E5A" w:rsidRDefault="4B60C82B">
            <w:pPr>
              <w:rPr>
                <w:rFonts w:ascii="Century Gothic" w:hAnsi="Century Gothic"/>
              </w:rPr>
            </w:pPr>
            <w:r w:rsidRPr="00AF1E5A">
              <w:rPr>
                <w:rFonts w:ascii="Century Gothic" w:eastAsia="Times New Roman" w:hAnsi="Century Gothic"/>
                <w:sz w:val="21"/>
                <w:szCs w:val="21"/>
              </w:rPr>
              <w:t>Yes</w:t>
            </w:r>
          </w:p>
        </w:tc>
      </w:tr>
      <w:tr w:rsidR="0032063E" w:rsidRPr="00AF1E5A" w14:paraId="50B6D1D7"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7989449A" w14:textId="4B543C8F"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RAD 1</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B6D2E0F" w14:textId="0C51B36A" w:rsidR="4B60C82B" w:rsidRPr="00AF1E5A" w:rsidRDefault="4B60C82B">
            <w:pPr>
              <w:rPr>
                <w:rFonts w:ascii="Century Gothic" w:hAnsi="Century Gothic"/>
              </w:rPr>
            </w:pPr>
            <w:r w:rsidRPr="00AF1E5A">
              <w:rPr>
                <w:rFonts w:ascii="Century Gothic" w:eastAsia="Times New Roman" w:hAnsi="Century Gothic"/>
                <w:sz w:val="21"/>
                <w:szCs w:val="21"/>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4DB92E" w14:textId="5F23FAF0"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012D91" w14:textId="40A6176D"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2018 – 8.6:1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6BBDA46D" w14:textId="73329CF8" w:rsidR="4B60C82B" w:rsidRPr="00AF1E5A" w:rsidRDefault="4B60C82B">
            <w:pPr>
              <w:rPr>
                <w:rFonts w:ascii="Century Gothic" w:hAnsi="Century Gothic"/>
              </w:rPr>
            </w:pPr>
            <w:r w:rsidRPr="00AF1E5A">
              <w:rPr>
                <w:rFonts w:ascii="Century Gothic" w:eastAsia="Times New Roman" w:hAnsi="Century Gothic"/>
                <w:sz w:val="21"/>
                <w:szCs w:val="21"/>
              </w:rPr>
              <w:t>Yes</w:t>
            </w:r>
          </w:p>
        </w:tc>
      </w:tr>
      <w:tr w:rsidR="0032063E" w:rsidRPr="00AF1E5A" w14:paraId="29EBE8E3"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4A2BBB2E" w14:textId="1B6DA546"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RAD 2</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86C309" w14:textId="44647A0F" w:rsidR="4B60C82B" w:rsidRPr="00AF1E5A" w:rsidRDefault="4B60C82B">
            <w:pPr>
              <w:rPr>
                <w:rFonts w:ascii="Century Gothic" w:hAnsi="Century Gothic"/>
              </w:rPr>
            </w:pPr>
            <w:r w:rsidRPr="00AF1E5A">
              <w:rPr>
                <w:rFonts w:ascii="Century Gothic" w:eastAsia="Times New Roman" w:hAnsi="Century Gothic"/>
                <w:sz w:val="21"/>
                <w:szCs w:val="21"/>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B4AC26" w14:textId="67D3BD6A"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43844FD" w14:textId="3175852B"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2019 – 2.3:1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78823760" w14:textId="0F725360" w:rsidR="4B60C82B" w:rsidRPr="00AF1E5A" w:rsidRDefault="4B60C82B">
            <w:pPr>
              <w:rPr>
                <w:rFonts w:ascii="Century Gothic" w:hAnsi="Century Gothic"/>
              </w:rPr>
            </w:pPr>
            <w:r w:rsidRPr="00AF1E5A">
              <w:rPr>
                <w:rFonts w:ascii="Century Gothic" w:eastAsia="Times New Roman" w:hAnsi="Century Gothic"/>
                <w:sz w:val="21"/>
                <w:szCs w:val="21"/>
              </w:rPr>
              <w:t>Yes</w:t>
            </w:r>
          </w:p>
        </w:tc>
      </w:tr>
      <w:tr w:rsidR="0032063E" w:rsidRPr="00AF1E5A" w14:paraId="7E49B6C3"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3628F7CD" w14:textId="53043E71"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RAD 3</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EBB523" w14:textId="79EAF04D" w:rsidR="4B60C82B" w:rsidRPr="00AF1E5A" w:rsidRDefault="4B60C82B">
            <w:pPr>
              <w:rPr>
                <w:rFonts w:ascii="Century Gothic" w:hAnsi="Century Gothic"/>
              </w:rPr>
            </w:pPr>
            <w:r w:rsidRPr="00AF1E5A">
              <w:rPr>
                <w:rFonts w:ascii="Century Gothic" w:eastAsia="Times New Roman" w:hAnsi="Century Gothic"/>
                <w:sz w:val="21"/>
                <w:szCs w:val="21"/>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2A1AC53" w14:textId="5725527C"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F357DE1" w14:textId="1510175F"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2020 – 2.9:1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73D5D7D6" w14:textId="6027FECC" w:rsidR="4B60C82B" w:rsidRPr="00AF1E5A" w:rsidRDefault="4B60C82B">
            <w:pPr>
              <w:rPr>
                <w:rFonts w:ascii="Century Gothic" w:hAnsi="Century Gothic"/>
              </w:rPr>
            </w:pPr>
            <w:r w:rsidRPr="00AF1E5A">
              <w:rPr>
                <w:rFonts w:ascii="Century Gothic" w:eastAsia="Times New Roman" w:hAnsi="Century Gothic"/>
                <w:sz w:val="21"/>
                <w:szCs w:val="21"/>
              </w:rPr>
              <w:t>Yes</w:t>
            </w:r>
          </w:p>
        </w:tc>
      </w:tr>
      <w:tr w:rsidR="0032063E" w:rsidRPr="00AF1E5A" w14:paraId="1FC6E3B8"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1FD8E75D" w14:textId="7F1000FD"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RAD 4</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66A4AF9" w14:textId="7002F3A0" w:rsidR="4B60C82B" w:rsidRPr="00AF1E5A" w:rsidRDefault="4B60C82B">
            <w:pPr>
              <w:rPr>
                <w:rFonts w:ascii="Century Gothic" w:hAnsi="Century Gothic"/>
              </w:rPr>
            </w:pPr>
            <w:r w:rsidRPr="00AF1E5A">
              <w:rPr>
                <w:rFonts w:ascii="Century Gothic" w:eastAsia="Times New Roman" w:hAnsi="Century Gothic"/>
                <w:sz w:val="21"/>
                <w:szCs w:val="21"/>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C04D74" w14:textId="12DEE2FC"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00BC7C" w14:textId="13FD24F1"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2021 – 5.8:1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18BB4EC0" w14:textId="251067CE" w:rsidR="4B60C82B" w:rsidRPr="00AF1E5A" w:rsidRDefault="4B60C82B">
            <w:pPr>
              <w:rPr>
                <w:rFonts w:ascii="Century Gothic" w:hAnsi="Century Gothic"/>
              </w:rPr>
            </w:pPr>
            <w:r w:rsidRPr="00AF1E5A">
              <w:rPr>
                <w:rFonts w:ascii="Century Gothic" w:eastAsia="Times New Roman" w:hAnsi="Century Gothic"/>
                <w:sz w:val="21"/>
                <w:szCs w:val="21"/>
              </w:rPr>
              <w:t>Yes</w:t>
            </w:r>
          </w:p>
        </w:tc>
      </w:tr>
      <w:tr w:rsidR="0032063E" w:rsidRPr="00AF1E5A" w14:paraId="0FA43416"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23C353CF" w14:textId="69D527B9"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McConaughy Terrace</w:t>
            </w:r>
          </w:p>
          <w:p w14:paraId="19BBCDA3" w14:textId="44E6F237"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 xml:space="preserve"> </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C0D3BF" w14:textId="49F25DD0" w:rsidR="4B60C82B" w:rsidRPr="00AF1E5A" w:rsidRDefault="4B60C82B">
            <w:pPr>
              <w:rPr>
                <w:rFonts w:ascii="Century Gothic" w:hAnsi="Century Gothic"/>
              </w:rPr>
            </w:pPr>
            <w:r w:rsidRPr="00AF1E5A">
              <w:rPr>
                <w:rFonts w:ascii="Century Gothic" w:eastAsia="Times New Roman" w:hAnsi="Century Gothic"/>
                <w:sz w:val="21"/>
                <w:szCs w:val="21"/>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4BF576" w14:textId="5EE88BB1"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257E5B" w14:textId="6B5233BD"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2023: 31:1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17B1DD79" w14:textId="0945AF46" w:rsidR="4B60C82B" w:rsidRPr="00AF1E5A" w:rsidRDefault="4B60C82B">
            <w:pPr>
              <w:rPr>
                <w:rFonts w:ascii="Century Gothic" w:hAnsi="Century Gothic"/>
              </w:rPr>
            </w:pPr>
            <w:r w:rsidRPr="00AF1E5A">
              <w:rPr>
                <w:rFonts w:ascii="Century Gothic" w:eastAsia="Times New Roman" w:hAnsi="Century Gothic"/>
                <w:sz w:val="21"/>
                <w:szCs w:val="21"/>
              </w:rPr>
              <w:t>Yes</w:t>
            </w:r>
          </w:p>
        </w:tc>
      </w:tr>
      <w:tr w:rsidR="0032063E" w:rsidRPr="00AF1E5A" w14:paraId="62E202A4" w14:textId="77777777" w:rsidTr="00B07A97">
        <w:trPr>
          <w:trHeight w:val="340"/>
        </w:trPr>
        <w:tc>
          <w:tcPr>
            <w:tcW w:w="372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98A849F" w14:textId="119C2FCF" w:rsidR="4B60C82B" w:rsidRPr="00AF1E5A" w:rsidRDefault="4B60C82B">
            <w:pPr>
              <w:rPr>
                <w:rFonts w:ascii="Century Gothic" w:eastAsia="Times New Roman" w:hAnsi="Century Gothic"/>
                <w:sz w:val="21"/>
                <w:szCs w:val="21"/>
              </w:rPr>
            </w:pPr>
            <w:r w:rsidRPr="00AF1E5A">
              <w:rPr>
                <w:rFonts w:ascii="Century Gothic" w:eastAsia="Times New Roman" w:hAnsi="Century Gothic"/>
                <w:sz w:val="21"/>
                <w:szCs w:val="21"/>
              </w:rPr>
              <w:t>Valley Townhomes</w:t>
            </w:r>
          </w:p>
        </w:tc>
        <w:tc>
          <w:tcPr>
            <w:tcW w:w="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DB66F19" w14:textId="6787890E" w:rsidR="4B60C82B" w:rsidRPr="00AF1E5A" w:rsidRDefault="4B60C82B">
            <w:pPr>
              <w:rPr>
                <w:rFonts w:ascii="Century Gothic" w:hAnsi="Century Gothic"/>
              </w:rPr>
            </w:pPr>
            <w:r w:rsidRPr="00AF1E5A">
              <w:rPr>
                <w:rFonts w:ascii="Century Gothic" w:eastAsia="Times New Roman" w:hAnsi="Century Gothic"/>
                <w:sz w:val="21"/>
                <w:szCs w:val="21"/>
              </w:rPr>
              <w:t>1.7</w:t>
            </w:r>
          </w:p>
        </w:tc>
        <w:tc>
          <w:tcPr>
            <w:tcW w:w="1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53F304" w14:textId="6F7715D6" w:rsidR="4B60C82B" w:rsidRPr="00AF1E5A" w:rsidRDefault="4B60C82B">
            <w:pPr>
              <w:rPr>
                <w:rFonts w:ascii="Century Gothic" w:hAnsi="Century Gothic"/>
              </w:rPr>
            </w:pPr>
            <w:r w:rsidRPr="00AF1E5A">
              <w:rPr>
                <w:rFonts w:ascii="Century Gothic" w:eastAsia="Times New Roman" w:hAnsi="Century Gothic"/>
                <w:sz w:val="21"/>
                <w:szCs w:val="21"/>
              </w:rPr>
              <w:t>2.0</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CE5904" w14:textId="3208B9AD" w:rsidR="4B60C82B" w:rsidRPr="00AF1E5A" w:rsidRDefault="4B60C82B">
            <w:pPr>
              <w:rPr>
                <w:rFonts w:ascii="Century Gothic" w:hAnsi="Century Gothic"/>
              </w:rPr>
            </w:pPr>
            <w:r w:rsidRPr="00AF1E5A">
              <w:rPr>
                <w:rFonts w:ascii="Century Gothic" w:eastAsia="Times New Roman" w:hAnsi="Century Gothic"/>
                <w:sz w:val="21"/>
                <w:szCs w:val="21"/>
              </w:rPr>
              <w:t>2022: 15:1</w:t>
            </w:r>
          </w:p>
        </w:tc>
        <w:tc>
          <w:tcPr>
            <w:tcW w:w="13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7AB1C4EB" w14:textId="1D5E70D8" w:rsidR="4B60C82B" w:rsidRPr="00AF1E5A" w:rsidRDefault="4B60C82B">
            <w:pPr>
              <w:rPr>
                <w:rFonts w:ascii="Century Gothic" w:hAnsi="Century Gothic"/>
              </w:rPr>
            </w:pPr>
            <w:r w:rsidRPr="00AF1E5A">
              <w:rPr>
                <w:rFonts w:ascii="Century Gothic" w:eastAsia="Times New Roman" w:hAnsi="Century Gothic"/>
                <w:sz w:val="21"/>
                <w:szCs w:val="21"/>
              </w:rPr>
              <w:t>Yes</w:t>
            </w:r>
          </w:p>
        </w:tc>
      </w:tr>
    </w:tbl>
    <w:p w14:paraId="1F235F42" w14:textId="77777777" w:rsidR="002A785F" w:rsidRPr="00AF1E5A" w:rsidRDefault="002A785F" w:rsidP="00937052">
      <w:pPr>
        <w:rPr>
          <w:rFonts w:ascii="Century Gothic" w:hAnsi="Century Gothic"/>
          <w:i/>
        </w:rPr>
      </w:pPr>
    </w:p>
    <w:p w14:paraId="3849AA4F" w14:textId="53632F88" w:rsidR="00937052" w:rsidRPr="002834A9" w:rsidRDefault="00937052" w:rsidP="00937052">
      <w:pPr>
        <w:rPr>
          <w:rFonts w:ascii="Century Gothic" w:hAnsi="Century Gothic"/>
          <w:sz w:val="18"/>
          <w:szCs w:val="18"/>
        </w:rPr>
      </w:pPr>
      <w:r w:rsidRPr="002834A9">
        <w:rPr>
          <w:rFonts w:ascii="Century Gothic" w:hAnsi="Century Gothic"/>
          <w:i/>
          <w:sz w:val="18"/>
          <w:szCs w:val="18"/>
        </w:rPr>
        <w:t>*Baselines taken from Quinnipiac Terrace/Quinnipiac Terrace 2</w:t>
      </w:r>
    </w:p>
    <w:p w14:paraId="055BA349" w14:textId="6500F4A7" w:rsidR="00937052" w:rsidRPr="002834A9" w:rsidRDefault="00937052" w:rsidP="00937052">
      <w:pPr>
        <w:spacing w:after="160" w:line="276" w:lineRule="auto"/>
        <w:rPr>
          <w:rFonts w:ascii="Century Gothic" w:hAnsi="Century Gothic"/>
          <w:b/>
          <w:sz w:val="18"/>
          <w:szCs w:val="18"/>
        </w:rPr>
      </w:pPr>
      <w:r w:rsidRPr="002834A9">
        <w:rPr>
          <w:rFonts w:ascii="Century Gothic" w:hAnsi="Century Gothic"/>
          <w:b/>
          <w:sz w:val="18"/>
          <w:szCs w:val="18"/>
        </w:rPr>
        <w:br w:type="page"/>
      </w:r>
    </w:p>
    <w:tbl>
      <w:tblPr>
        <w:tblStyle w:val="TableGrid7"/>
        <w:tblW w:w="9926" w:type="dxa"/>
        <w:tblLook w:val="04A0" w:firstRow="1" w:lastRow="0" w:firstColumn="1" w:lastColumn="0" w:noHBand="0" w:noVBand="1"/>
      </w:tblPr>
      <w:tblGrid>
        <w:gridCol w:w="3512"/>
        <w:gridCol w:w="1134"/>
        <w:gridCol w:w="1440"/>
        <w:gridCol w:w="2400"/>
        <w:gridCol w:w="1440"/>
      </w:tblGrid>
      <w:tr w:rsidR="00937052" w:rsidRPr="00AF1E5A" w14:paraId="6F257038" w14:textId="77777777" w:rsidTr="69506C91">
        <w:trPr>
          <w:trHeight w:val="380"/>
        </w:trPr>
        <w:tc>
          <w:tcPr>
            <w:tcW w:w="9926" w:type="dxa"/>
            <w:gridSpan w:val="5"/>
            <w:tcBorders>
              <w:top w:val="nil"/>
              <w:left w:val="nil"/>
              <w:bottom w:val="single" w:sz="24" w:space="0" w:color="B5333C" w:themeColor="accent2"/>
              <w:right w:val="nil"/>
            </w:tcBorders>
            <w:shd w:val="clear" w:color="auto" w:fill="808080" w:themeFill="background1" w:themeFillShade="80"/>
            <w:hideMark/>
          </w:tcPr>
          <w:p w14:paraId="2793E0D7" w14:textId="77777777" w:rsidR="00937052" w:rsidRPr="00AF1E5A" w:rsidRDefault="00937052" w:rsidP="004C65D3">
            <w:pPr>
              <w:jc w:val="center"/>
              <w:rPr>
                <w:rFonts w:ascii="Century Gothic" w:hAnsi="Century Gothic"/>
                <w:b/>
              </w:rPr>
            </w:pPr>
            <w:r w:rsidRPr="00AF1E5A">
              <w:rPr>
                <w:rFonts w:ascii="Century Gothic" w:hAnsi="Century Gothic"/>
                <w:b/>
              </w:rPr>
              <w:lastRenderedPageBreak/>
              <w:t>Internal Metric #1: Increase in Agency Revenue*</w:t>
            </w:r>
          </w:p>
        </w:tc>
      </w:tr>
      <w:tr w:rsidR="00937052" w:rsidRPr="00AF1E5A" w14:paraId="758D5CB1" w14:textId="77777777" w:rsidTr="69506C91">
        <w:trPr>
          <w:trHeight w:val="340"/>
        </w:trPr>
        <w:tc>
          <w:tcPr>
            <w:tcW w:w="3651" w:type="dxa"/>
            <w:tcBorders>
              <w:top w:val="single" w:sz="24" w:space="0" w:color="B5333C" w:themeColor="accent2"/>
              <w:left w:val="nil"/>
              <w:bottom w:val="nil"/>
              <w:right w:val="single" w:sz="4" w:space="0" w:color="D9D9D9" w:themeColor="background1" w:themeShade="D9"/>
            </w:tcBorders>
            <w:shd w:val="clear" w:color="auto" w:fill="BFBFBF" w:themeFill="background1" w:themeFillShade="BF"/>
            <w:vAlign w:val="center"/>
            <w:hideMark/>
          </w:tcPr>
          <w:p w14:paraId="0A4F0590" w14:textId="77777777" w:rsidR="00937052" w:rsidRPr="00AF1E5A" w:rsidRDefault="00937052" w:rsidP="004C65D3">
            <w:pPr>
              <w:jc w:val="center"/>
              <w:rPr>
                <w:rFonts w:ascii="Century Gothic" w:hAnsi="Century Gothic"/>
                <w:b/>
              </w:rPr>
            </w:pPr>
            <w:r w:rsidRPr="00AF1E5A">
              <w:rPr>
                <w:rFonts w:ascii="Century Gothic" w:hAnsi="Century Gothic"/>
                <w:b/>
              </w:rPr>
              <w:t>Unit of Measurement</w:t>
            </w:r>
          </w:p>
        </w:tc>
        <w:tc>
          <w:tcPr>
            <w:tcW w:w="1137"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hideMark/>
          </w:tcPr>
          <w:p w14:paraId="14952A79" w14:textId="77777777" w:rsidR="00937052" w:rsidRPr="00AF1E5A" w:rsidRDefault="00937052" w:rsidP="004C65D3">
            <w:pPr>
              <w:jc w:val="center"/>
              <w:rPr>
                <w:rFonts w:ascii="Century Gothic" w:hAnsi="Century Gothic"/>
                <w:b/>
              </w:rPr>
            </w:pPr>
            <w:r w:rsidRPr="00AF1E5A">
              <w:rPr>
                <w:rFonts w:ascii="Century Gothic" w:hAnsi="Century Gothic"/>
                <w:b/>
              </w:rPr>
              <w:t>Baseline</w:t>
            </w:r>
          </w:p>
        </w:tc>
        <w:tc>
          <w:tcPr>
            <w:tcW w:w="1344"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hideMark/>
          </w:tcPr>
          <w:p w14:paraId="398B3089" w14:textId="77777777" w:rsidR="00937052" w:rsidRPr="00AF1E5A" w:rsidRDefault="00937052" w:rsidP="004C65D3">
            <w:pPr>
              <w:jc w:val="center"/>
              <w:rPr>
                <w:rFonts w:ascii="Century Gothic" w:hAnsi="Century Gothic"/>
                <w:b/>
              </w:rPr>
            </w:pPr>
            <w:r w:rsidRPr="00AF1E5A">
              <w:rPr>
                <w:rFonts w:ascii="Century Gothic" w:hAnsi="Century Gothic"/>
                <w:b/>
              </w:rPr>
              <w:t>Benchmark</w:t>
            </w:r>
          </w:p>
        </w:tc>
        <w:tc>
          <w:tcPr>
            <w:tcW w:w="2400"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hideMark/>
          </w:tcPr>
          <w:p w14:paraId="2BD1C3AC" w14:textId="77777777" w:rsidR="00937052" w:rsidRPr="00AF1E5A" w:rsidRDefault="00937052" w:rsidP="004C65D3">
            <w:pPr>
              <w:jc w:val="center"/>
              <w:rPr>
                <w:rFonts w:ascii="Century Gothic" w:hAnsi="Century Gothic"/>
                <w:b/>
              </w:rPr>
            </w:pPr>
            <w:r w:rsidRPr="00AF1E5A">
              <w:rPr>
                <w:rFonts w:ascii="Century Gothic" w:hAnsi="Century Gothic"/>
                <w:b/>
              </w:rPr>
              <w:t>Outcome</w:t>
            </w:r>
          </w:p>
        </w:tc>
        <w:tc>
          <w:tcPr>
            <w:tcW w:w="1394" w:type="dxa"/>
            <w:tcBorders>
              <w:top w:val="single" w:sz="24" w:space="0" w:color="B5333C" w:themeColor="accent2"/>
              <w:left w:val="single" w:sz="4" w:space="0" w:color="D9D9D9" w:themeColor="background1" w:themeShade="D9"/>
              <w:bottom w:val="nil"/>
              <w:right w:val="nil"/>
            </w:tcBorders>
            <w:shd w:val="clear" w:color="auto" w:fill="BFBFBF" w:themeFill="background1" w:themeFillShade="BF"/>
            <w:vAlign w:val="center"/>
            <w:hideMark/>
          </w:tcPr>
          <w:p w14:paraId="294C7766" w14:textId="77777777" w:rsidR="00937052" w:rsidRPr="00AF1E5A" w:rsidRDefault="00937052" w:rsidP="004C65D3">
            <w:pPr>
              <w:jc w:val="center"/>
              <w:rPr>
                <w:rFonts w:ascii="Century Gothic" w:hAnsi="Century Gothic"/>
                <w:b/>
              </w:rPr>
            </w:pPr>
            <w:r w:rsidRPr="00AF1E5A">
              <w:rPr>
                <w:rFonts w:ascii="Century Gothic" w:hAnsi="Century Gothic"/>
                <w:b/>
              </w:rPr>
              <w:t>Benchmark Achieved?</w:t>
            </w:r>
          </w:p>
        </w:tc>
      </w:tr>
      <w:tr w:rsidR="00937052" w:rsidRPr="00AF1E5A" w14:paraId="22DCCFC0" w14:textId="77777777" w:rsidTr="69506C91">
        <w:trPr>
          <w:trHeight w:val="620"/>
        </w:trPr>
        <w:tc>
          <w:tcPr>
            <w:tcW w:w="3651" w:type="dxa"/>
            <w:tcBorders>
              <w:top w:val="nil"/>
              <w:left w:val="nil"/>
              <w:bottom w:val="single" w:sz="4" w:space="0" w:color="D9D9D9" w:themeColor="background1" w:themeShade="D9"/>
              <w:right w:val="single" w:sz="4" w:space="0" w:color="D9D9D9" w:themeColor="background1" w:themeShade="D9"/>
            </w:tcBorders>
          </w:tcPr>
          <w:p w14:paraId="4B29EDEF" w14:textId="77777777" w:rsidR="00937052" w:rsidRPr="00AF1E5A" w:rsidRDefault="00937052" w:rsidP="004C65D3">
            <w:pPr>
              <w:rPr>
                <w:rFonts w:ascii="Century Gothic" w:hAnsi="Century Gothic"/>
              </w:rPr>
            </w:pPr>
            <w:r w:rsidRPr="00AF1E5A">
              <w:rPr>
                <w:rFonts w:ascii="Century Gothic" w:hAnsi="Century Gothic"/>
              </w:rPr>
              <w:t xml:space="preserve">Increase in Agency Revenue – </w:t>
            </w:r>
            <w:proofErr w:type="spellStart"/>
            <w:r w:rsidRPr="00AF1E5A">
              <w:rPr>
                <w:rFonts w:ascii="Century Gothic" w:hAnsi="Century Gothic"/>
              </w:rPr>
              <w:t>Farnam</w:t>
            </w:r>
            <w:proofErr w:type="spellEnd"/>
            <w:r w:rsidRPr="00AF1E5A">
              <w:rPr>
                <w:rFonts w:ascii="Century Gothic" w:hAnsi="Century Gothic"/>
              </w:rPr>
              <w:t xml:space="preserve"> Phase 1 Redevelopment Fees</w:t>
            </w:r>
          </w:p>
        </w:tc>
        <w:tc>
          <w:tcPr>
            <w:tcW w:w="1137"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99B893" w14:textId="77777777" w:rsidR="00937052" w:rsidRPr="00AF1E5A" w:rsidRDefault="00937052" w:rsidP="004C65D3">
            <w:pPr>
              <w:rPr>
                <w:rFonts w:ascii="Century Gothic" w:hAnsi="Century Gothic"/>
              </w:rPr>
            </w:pPr>
            <w:r w:rsidRPr="00AF1E5A">
              <w:rPr>
                <w:rFonts w:ascii="Century Gothic" w:hAnsi="Century Gothic"/>
              </w:rPr>
              <w:t>$0</w:t>
            </w:r>
          </w:p>
        </w:tc>
        <w:tc>
          <w:tcPr>
            <w:tcW w:w="1344"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4AB591" w14:textId="77777777" w:rsidR="00937052" w:rsidRPr="00AF1E5A" w:rsidRDefault="00937052" w:rsidP="004C65D3">
            <w:pPr>
              <w:rPr>
                <w:rFonts w:ascii="Century Gothic" w:hAnsi="Century Gothic"/>
              </w:rPr>
            </w:pPr>
            <w:r w:rsidRPr="00AF1E5A">
              <w:rPr>
                <w:rFonts w:ascii="Century Gothic" w:hAnsi="Century Gothic"/>
              </w:rPr>
              <w:t>$0</w:t>
            </w:r>
          </w:p>
        </w:tc>
        <w:tc>
          <w:tcPr>
            <w:tcW w:w="240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13247789" w14:textId="77777777" w:rsidR="00937052" w:rsidRPr="00AF1E5A" w:rsidRDefault="00937052" w:rsidP="004C65D3">
            <w:pPr>
              <w:rPr>
                <w:rFonts w:ascii="Century Gothic" w:hAnsi="Century Gothic"/>
              </w:rPr>
            </w:pPr>
            <w:r w:rsidRPr="00AF1E5A">
              <w:rPr>
                <w:rFonts w:ascii="Century Gothic" w:hAnsi="Century Gothic"/>
              </w:rPr>
              <w:t>2017: $890,453</w:t>
            </w:r>
          </w:p>
        </w:tc>
        <w:tc>
          <w:tcPr>
            <w:tcW w:w="1394" w:type="dxa"/>
            <w:tcBorders>
              <w:top w:val="nil"/>
              <w:left w:val="single" w:sz="4" w:space="0" w:color="D9D9D9" w:themeColor="background1" w:themeShade="D9"/>
              <w:bottom w:val="single" w:sz="4" w:space="0" w:color="D9D9D9" w:themeColor="background1" w:themeShade="D9"/>
              <w:right w:val="nil"/>
            </w:tcBorders>
            <w:vAlign w:val="center"/>
          </w:tcPr>
          <w:p w14:paraId="790A7FFC" w14:textId="77777777" w:rsidR="00937052" w:rsidRPr="00AF1E5A" w:rsidRDefault="00937052" w:rsidP="004C65D3">
            <w:pPr>
              <w:rPr>
                <w:rFonts w:ascii="Century Gothic" w:hAnsi="Century Gothic"/>
              </w:rPr>
            </w:pPr>
            <w:r w:rsidRPr="00AF1E5A">
              <w:rPr>
                <w:rFonts w:ascii="Century Gothic" w:hAnsi="Century Gothic"/>
              </w:rPr>
              <w:t>Yes</w:t>
            </w:r>
          </w:p>
        </w:tc>
      </w:tr>
      <w:tr w:rsidR="00937052" w:rsidRPr="00AF1E5A" w14:paraId="45058B78" w14:textId="77777777" w:rsidTr="69506C91">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C1AAD21" w14:textId="77777777" w:rsidR="00937052" w:rsidRPr="00AF1E5A" w:rsidRDefault="00937052" w:rsidP="004C65D3">
            <w:pPr>
              <w:rPr>
                <w:rFonts w:ascii="Century Gothic" w:hAnsi="Century Gothic"/>
              </w:rPr>
            </w:pPr>
            <w:r w:rsidRPr="00AF1E5A">
              <w:rPr>
                <w:rFonts w:ascii="Century Gothic" w:hAnsi="Century Gothic"/>
              </w:rPr>
              <w:t xml:space="preserve">Increase in Agency Revenue – </w:t>
            </w:r>
            <w:proofErr w:type="spellStart"/>
            <w:r w:rsidRPr="00AF1E5A">
              <w:rPr>
                <w:rFonts w:ascii="Century Gothic" w:hAnsi="Century Gothic"/>
              </w:rPr>
              <w:t>Ribicoff</w:t>
            </w:r>
            <w:proofErr w:type="spellEnd"/>
            <w:r w:rsidRPr="00AF1E5A">
              <w:rPr>
                <w:rFonts w:ascii="Century Gothic" w:hAnsi="Century Gothic"/>
              </w:rPr>
              <w:t xml:space="preserve"> 9%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707D30" w14:textId="77777777" w:rsidR="00937052" w:rsidRPr="00AF1E5A" w:rsidRDefault="00937052" w:rsidP="004C65D3">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7F8F1A" w14:textId="77777777" w:rsidR="00937052" w:rsidRPr="00AF1E5A" w:rsidRDefault="00937052" w:rsidP="004C65D3">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3CA1AB3E" w14:textId="77777777" w:rsidR="00937052" w:rsidRPr="00AF1E5A" w:rsidRDefault="00937052" w:rsidP="004C65D3">
            <w:pPr>
              <w:rPr>
                <w:rFonts w:ascii="Century Gothic" w:hAnsi="Century Gothic"/>
              </w:rPr>
            </w:pPr>
            <w:r w:rsidRPr="00AF1E5A">
              <w:rPr>
                <w:rFonts w:ascii="Century Gothic" w:hAnsi="Century Gothic"/>
              </w:rPr>
              <w:t>2016: $2,000,000</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2133385A" w14:textId="77777777" w:rsidR="00937052" w:rsidRPr="00AF1E5A" w:rsidRDefault="00937052" w:rsidP="004C65D3">
            <w:pPr>
              <w:rPr>
                <w:rFonts w:ascii="Century Gothic" w:hAnsi="Century Gothic"/>
              </w:rPr>
            </w:pPr>
            <w:r w:rsidRPr="00AF1E5A">
              <w:rPr>
                <w:rFonts w:ascii="Century Gothic" w:hAnsi="Century Gothic"/>
              </w:rPr>
              <w:t>Yes</w:t>
            </w:r>
          </w:p>
        </w:tc>
      </w:tr>
      <w:tr w:rsidR="00937052" w:rsidRPr="00AF1E5A" w14:paraId="76C318E5" w14:textId="77777777" w:rsidTr="69506C91">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0C44BF8" w14:textId="77777777" w:rsidR="00937052" w:rsidRPr="00AF1E5A" w:rsidRDefault="00937052" w:rsidP="004C65D3">
            <w:pPr>
              <w:rPr>
                <w:rFonts w:ascii="Century Gothic" w:hAnsi="Century Gothic"/>
              </w:rPr>
            </w:pPr>
            <w:r w:rsidRPr="00AF1E5A">
              <w:rPr>
                <w:rFonts w:ascii="Century Gothic" w:hAnsi="Century Gothic"/>
              </w:rPr>
              <w:t xml:space="preserve">Increase in Agency Revenue – </w:t>
            </w:r>
            <w:proofErr w:type="spellStart"/>
            <w:r w:rsidRPr="00AF1E5A">
              <w:rPr>
                <w:rFonts w:ascii="Century Gothic" w:hAnsi="Century Gothic"/>
              </w:rPr>
              <w:t>Ribicoff</w:t>
            </w:r>
            <w:proofErr w:type="spellEnd"/>
            <w:r w:rsidRPr="00AF1E5A">
              <w:rPr>
                <w:rFonts w:ascii="Century Gothic" w:hAnsi="Century Gothic"/>
              </w:rPr>
              <w:t xml:space="preserve"> 4%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3269D" w14:textId="77777777" w:rsidR="00937052" w:rsidRPr="00AF1E5A" w:rsidRDefault="00937052" w:rsidP="004C65D3">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0D0D61" w14:textId="77777777" w:rsidR="00937052" w:rsidRPr="00AF1E5A" w:rsidRDefault="00937052" w:rsidP="004C65D3">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12C73E5B" w14:textId="77777777" w:rsidR="00937052" w:rsidRPr="00AF1E5A" w:rsidRDefault="00937052" w:rsidP="004C65D3">
            <w:pPr>
              <w:rPr>
                <w:rFonts w:ascii="Century Gothic" w:hAnsi="Century Gothic"/>
              </w:rPr>
            </w:pPr>
            <w:r w:rsidRPr="00AF1E5A">
              <w:rPr>
                <w:rFonts w:ascii="Century Gothic" w:hAnsi="Century Gothic"/>
              </w:rPr>
              <w:t>2016: $2,077,570</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00AFE3CE" w14:textId="77777777" w:rsidR="00937052" w:rsidRPr="00AF1E5A" w:rsidRDefault="00937052" w:rsidP="004C65D3">
            <w:pPr>
              <w:rPr>
                <w:rFonts w:ascii="Century Gothic" w:hAnsi="Century Gothic"/>
              </w:rPr>
            </w:pPr>
            <w:r w:rsidRPr="00AF1E5A">
              <w:rPr>
                <w:rFonts w:ascii="Century Gothic" w:hAnsi="Century Gothic"/>
              </w:rPr>
              <w:t>Yes</w:t>
            </w:r>
          </w:p>
        </w:tc>
      </w:tr>
      <w:tr w:rsidR="00937052" w:rsidRPr="00AF1E5A" w14:paraId="509DA003" w14:textId="77777777" w:rsidTr="69506C91">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59EF8D6" w14:textId="77777777" w:rsidR="00937052" w:rsidRPr="00AF1E5A" w:rsidRDefault="00937052" w:rsidP="004C65D3">
            <w:pPr>
              <w:rPr>
                <w:rFonts w:ascii="Century Gothic" w:hAnsi="Century Gothic"/>
              </w:rPr>
            </w:pPr>
            <w:r w:rsidRPr="00AF1E5A">
              <w:rPr>
                <w:rFonts w:ascii="Century Gothic" w:hAnsi="Century Gothic"/>
              </w:rPr>
              <w:t>Increase in Agency Revenue – Fair Haven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BD017C" w14:textId="77777777" w:rsidR="00937052" w:rsidRPr="00AF1E5A" w:rsidRDefault="00937052" w:rsidP="004C65D3">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EEC06D" w14:textId="77777777" w:rsidR="00937052" w:rsidRPr="00AF1E5A" w:rsidRDefault="00937052" w:rsidP="004C65D3">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1958C8ED" w14:textId="77777777" w:rsidR="00937052" w:rsidRPr="00AF1E5A" w:rsidRDefault="00937052" w:rsidP="004C65D3">
            <w:pPr>
              <w:rPr>
                <w:rFonts w:ascii="Century Gothic" w:hAnsi="Century Gothic"/>
              </w:rPr>
            </w:pPr>
            <w:r w:rsidRPr="00AF1E5A">
              <w:rPr>
                <w:rFonts w:ascii="Century Gothic" w:hAnsi="Century Gothic"/>
              </w:rPr>
              <w:t>2016: $2,905,743</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E20EFD4" w14:textId="77777777" w:rsidR="00937052" w:rsidRPr="00AF1E5A" w:rsidRDefault="00937052" w:rsidP="004C65D3">
            <w:pPr>
              <w:rPr>
                <w:rFonts w:ascii="Century Gothic" w:hAnsi="Century Gothic"/>
              </w:rPr>
            </w:pPr>
            <w:r w:rsidRPr="00AF1E5A">
              <w:rPr>
                <w:rFonts w:ascii="Century Gothic" w:hAnsi="Century Gothic"/>
              </w:rPr>
              <w:t>Yes</w:t>
            </w:r>
          </w:p>
        </w:tc>
      </w:tr>
      <w:tr w:rsidR="00937052" w:rsidRPr="00AF1E5A" w14:paraId="03172294" w14:textId="77777777" w:rsidTr="69506C91">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A1060A4" w14:textId="2A4D2B9E" w:rsidR="00937052" w:rsidRPr="00AF1E5A" w:rsidRDefault="00937052" w:rsidP="004C65D3">
            <w:pPr>
              <w:rPr>
                <w:rFonts w:ascii="Century Gothic" w:hAnsi="Century Gothic"/>
              </w:rPr>
            </w:pPr>
            <w:r w:rsidRPr="00AF1E5A">
              <w:rPr>
                <w:rFonts w:ascii="Century Gothic" w:hAnsi="Century Gothic"/>
              </w:rPr>
              <w:t>Increase in agency revenue - Rowe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84D57" w14:textId="77777777" w:rsidR="00937052" w:rsidRPr="00AF1E5A" w:rsidRDefault="00937052" w:rsidP="004C65D3">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9BF3AC" w14:textId="77777777" w:rsidR="00937052" w:rsidRPr="00AF1E5A" w:rsidRDefault="00937052" w:rsidP="004C65D3">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70DFEB11" w14:textId="77777777" w:rsidR="00937052" w:rsidRPr="00AF1E5A" w:rsidRDefault="00937052" w:rsidP="004C65D3">
            <w:pPr>
              <w:rPr>
                <w:rFonts w:ascii="Century Gothic" w:hAnsi="Century Gothic"/>
              </w:rPr>
            </w:pPr>
            <w:r w:rsidRPr="00AF1E5A">
              <w:rPr>
                <w:rFonts w:ascii="Century Gothic" w:hAnsi="Century Gothic"/>
              </w:rPr>
              <w:t>2014: $893,374</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5949E65B" w14:textId="77777777" w:rsidR="00937052" w:rsidRPr="00AF1E5A" w:rsidRDefault="00937052" w:rsidP="004C65D3">
            <w:pPr>
              <w:rPr>
                <w:rFonts w:ascii="Century Gothic" w:hAnsi="Century Gothic"/>
              </w:rPr>
            </w:pPr>
            <w:r w:rsidRPr="00AF1E5A">
              <w:rPr>
                <w:rFonts w:ascii="Century Gothic" w:hAnsi="Century Gothic"/>
              </w:rPr>
              <w:t>Yes</w:t>
            </w:r>
          </w:p>
        </w:tc>
      </w:tr>
      <w:tr w:rsidR="00937052" w:rsidRPr="00AF1E5A" w14:paraId="058D57D8" w14:textId="77777777" w:rsidTr="69506C91">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2996425C" w14:textId="77777777" w:rsidR="00937052" w:rsidRPr="00AF1E5A" w:rsidRDefault="00937052" w:rsidP="004C65D3">
            <w:pPr>
              <w:rPr>
                <w:rFonts w:ascii="Century Gothic" w:hAnsi="Century Gothic"/>
              </w:rPr>
            </w:pPr>
            <w:r w:rsidRPr="00AF1E5A">
              <w:rPr>
                <w:rFonts w:ascii="Century Gothic" w:hAnsi="Century Gothic"/>
              </w:rPr>
              <w:t xml:space="preserve">Increase in agency revenue - Brookside Phase I redevelopment fees </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7C9EEA" w14:textId="77777777" w:rsidR="00937052" w:rsidRPr="00AF1E5A" w:rsidRDefault="00937052" w:rsidP="004C65D3">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E9392C" w14:textId="77777777" w:rsidR="00937052" w:rsidRPr="00AF1E5A" w:rsidRDefault="00937052" w:rsidP="004C65D3">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7D430F5E" w14:textId="77777777" w:rsidR="00937052" w:rsidRPr="00AF1E5A" w:rsidRDefault="00937052" w:rsidP="004C65D3">
            <w:pPr>
              <w:rPr>
                <w:rFonts w:ascii="Century Gothic" w:hAnsi="Century Gothic"/>
              </w:rPr>
            </w:pPr>
            <w:r w:rsidRPr="00AF1E5A">
              <w:rPr>
                <w:rFonts w:ascii="Century Gothic" w:hAnsi="Century Gothic"/>
              </w:rPr>
              <w:t>2014: $1,081,094</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0B186CE" w14:textId="77777777" w:rsidR="00937052" w:rsidRPr="00AF1E5A" w:rsidRDefault="00937052" w:rsidP="004C65D3">
            <w:pPr>
              <w:rPr>
                <w:rFonts w:ascii="Century Gothic" w:hAnsi="Century Gothic"/>
              </w:rPr>
            </w:pPr>
            <w:r w:rsidRPr="00AF1E5A">
              <w:rPr>
                <w:rFonts w:ascii="Century Gothic" w:hAnsi="Century Gothic"/>
              </w:rPr>
              <w:t>Yes</w:t>
            </w:r>
          </w:p>
        </w:tc>
      </w:tr>
      <w:tr w:rsidR="00937052" w:rsidRPr="00AF1E5A" w14:paraId="1BE3008F" w14:textId="77777777" w:rsidTr="69506C91">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A6FA621" w14:textId="77777777" w:rsidR="00937052" w:rsidRPr="00AF1E5A" w:rsidRDefault="00937052" w:rsidP="004C65D3">
            <w:pPr>
              <w:rPr>
                <w:rFonts w:ascii="Century Gothic" w:hAnsi="Century Gothic"/>
              </w:rPr>
            </w:pPr>
            <w:r w:rsidRPr="00AF1E5A">
              <w:rPr>
                <w:rFonts w:ascii="Century Gothic" w:hAnsi="Century Gothic"/>
              </w:rPr>
              <w:t xml:space="preserve">Increase in agency revenue - Brookside Phase II redevelopment fees </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44FD5B" w14:textId="77777777" w:rsidR="00937052" w:rsidRPr="00AF1E5A" w:rsidRDefault="00937052" w:rsidP="004C65D3">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B85CD5" w14:textId="77777777" w:rsidR="00937052" w:rsidRPr="00AF1E5A" w:rsidRDefault="00937052" w:rsidP="004C65D3">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50CE29E0" w14:textId="77777777" w:rsidR="00937052" w:rsidRPr="00AF1E5A" w:rsidRDefault="00937052" w:rsidP="004C65D3">
            <w:pPr>
              <w:rPr>
                <w:rFonts w:ascii="Century Gothic" w:hAnsi="Century Gothic"/>
              </w:rPr>
            </w:pPr>
            <w:r w:rsidRPr="00AF1E5A">
              <w:rPr>
                <w:rFonts w:ascii="Century Gothic" w:hAnsi="Century Gothic"/>
              </w:rPr>
              <w:t>2014: $725,704</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10294FB1" w14:textId="77777777" w:rsidR="00937052" w:rsidRPr="00AF1E5A" w:rsidRDefault="00937052" w:rsidP="004C65D3">
            <w:pPr>
              <w:rPr>
                <w:rFonts w:ascii="Century Gothic" w:hAnsi="Century Gothic"/>
              </w:rPr>
            </w:pPr>
            <w:r w:rsidRPr="00AF1E5A">
              <w:rPr>
                <w:rFonts w:ascii="Century Gothic" w:hAnsi="Century Gothic"/>
              </w:rPr>
              <w:t>Yes</w:t>
            </w:r>
          </w:p>
        </w:tc>
      </w:tr>
      <w:tr w:rsidR="00937052" w:rsidRPr="00AF1E5A" w14:paraId="4D7350A8" w14:textId="77777777" w:rsidTr="69506C91">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E993DD2" w14:textId="77777777" w:rsidR="00937052" w:rsidRPr="00AF1E5A" w:rsidRDefault="00937052" w:rsidP="004C65D3">
            <w:pPr>
              <w:rPr>
                <w:rFonts w:ascii="Century Gothic" w:hAnsi="Century Gothic"/>
              </w:rPr>
            </w:pPr>
            <w:r w:rsidRPr="00AF1E5A">
              <w:rPr>
                <w:rFonts w:ascii="Century Gothic" w:hAnsi="Century Gothic"/>
              </w:rPr>
              <w:t xml:space="preserve">Increase in agency revenue - Rockview Phase I redevelopment fees </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E59342" w14:textId="77777777" w:rsidR="00937052" w:rsidRPr="00AF1E5A" w:rsidRDefault="00937052" w:rsidP="004C65D3">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4F0918" w14:textId="77777777" w:rsidR="00937052" w:rsidRPr="00AF1E5A" w:rsidRDefault="00937052" w:rsidP="004C65D3">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2C1CA773" w14:textId="77777777" w:rsidR="00937052" w:rsidRPr="00AF1E5A" w:rsidRDefault="00937052" w:rsidP="004C65D3">
            <w:pPr>
              <w:rPr>
                <w:rFonts w:ascii="Century Gothic" w:hAnsi="Century Gothic"/>
              </w:rPr>
            </w:pPr>
            <w:r w:rsidRPr="00AF1E5A">
              <w:rPr>
                <w:rFonts w:ascii="Century Gothic" w:hAnsi="Century Gothic"/>
              </w:rPr>
              <w:t>2014: $744,389</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250B66D" w14:textId="77777777" w:rsidR="00937052" w:rsidRPr="00AF1E5A" w:rsidRDefault="00937052" w:rsidP="004C65D3">
            <w:pPr>
              <w:rPr>
                <w:rFonts w:ascii="Century Gothic" w:hAnsi="Century Gothic"/>
              </w:rPr>
            </w:pPr>
            <w:r w:rsidRPr="00AF1E5A">
              <w:rPr>
                <w:rFonts w:ascii="Century Gothic" w:hAnsi="Century Gothic"/>
              </w:rPr>
              <w:t>Yes</w:t>
            </w:r>
          </w:p>
        </w:tc>
      </w:tr>
      <w:tr w:rsidR="186FD4DE" w:rsidRPr="00AF1E5A" w14:paraId="6E6BFA9E" w14:textId="77777777" w:rsidTr="69506C91">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0DB7532" w14:textId="10E8F8F1" w:rsidR="237B0016" w:rsidRPr="00AF1E5A" w:rsidRDefault="237B0016" w:rsidP="5A1A82B3">
            <w:pPr>
              <w:rPr>
                <w:rFonts w:ascii="Century Gothic" w:hAnsi="Century Gothic"/>
              </w:rPr>
            </w:pPr>
            <w:r w:rsidRPr="00AF1E5A">
              <w:rPr>
                <w:rFonts w:ascii="Century Gothic" w:hAnsi="Century Gothic"/>
              </w:rPr>
              <w:t>Increase in agency revenue - Rockview Phase II redevelopment fees</w:t>
            </w:r>
          </w:p>
          <w:p w14:paraId="727BDAB0" w14:textId="4EC608A6" w:rsidR="186FD4DE" w:rsidRPr="00AF1E5A" w:rsidRDefault="186FD4DE" w:rsidP="186FD4DE">
            <w:pPr>
              <w:rPr>
                <w:rFonts w:ascii="Century Gothic" w:eastAsia="MS PGothic" w:hAnsi="Century Gothic"/>
                <w:szCs w:val="22"/>
              </w:rPr>
            </w:pP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0E74FB" w14:textId="776DB56C" w:rsidR="186FD4DE" w:rsidRPr="00AF1E5A" w:rsidRDefault="237B0016" w:rsidP="186FD4DE">
            <w:pPr>
              <w:rPr>
                <w:rFonts w:ascii="Century Gothic" w:eastAsia="MS PGothic" w:hAnsi="Century Gothic"/>
              </w:rPr>
            </w:pPr>
            <w:r w:rsidRPr="00AF1E5A">
              <w:rPr>
                <w:rFonts w:ascii="Century Gothic" w:eastAsia="MS PGothic" w:hAnsi="Century Gothic"/>
                <w:szCs w:val="22"/>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891B6" w14:textId="776DB56C" w:rsidR="186FD4DE" w:rsidRPr="00AF1E5A" w:rsidRDefault="237B0016" w:rsidP="186FD4DE">
            <w:pPr>
              <w:rPr>
                <w:rFonts w:ascii="Century Gothic" w:eastAsia="MS PGothic" w:hAnsi="Century Gothic"/>
              </w:rPr>
            </w:pPr>
            <w:r w:rsidRPr="00AF1E5A">
              <w:rPr>
                <w:rFonts w:ascii="Century Gothic" w:eastAsia="MS PGothic" w:hAnsi="Century Gothic"/>
                <w:szCs w:val="22"/>
              </w:rPr>
              <w:t>$0</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6A025598" w14:textId="5BBE773E" w:rsidR="186FD4DE" w:rsidRPr="00AF1E5A" w:rsidRDefault="7CDA0A4A" w:rsidP="186FD4DE">
            <w:pPr>
              <w:rPr>
                <w:rFonts w:ascii="Century Gothic" w:eastAsia="MS PGothic" w:hAnsi="Century Gothic"/>
              </w:rPr>
            </w:pPr>
            <w:r w:rsidRPr="00AF1E5A">
              <w:rPr>
                <w:rFonts w:ascii="Century Gothic" w:eastAsia="MS PGothic" w:hAnsi="Century Gothic"/>
              </w:rPr>
              <w:t>2019</w:t>
            </w:r>
            <w:r w:rsidR="6F50DF50" w:rsidRPr="00AF1E5A">
              <w:rPr>
                <w:rFonts w:ascii="Century Gothic" w:eastAsia="MS PGothic" w:hAnsi="Century Gothic"/>
              </w:rPr>
              <w:t>:</w:t>
            </w:r>
            <w:r w:rsidR="7B78D28B" w:rsidRPr="00AF1E5A">
              <w:rPr>
                <w:rFonts w:ascii="Century Gothic" w:eastAsia="MS PGothic" w:hAnsi="Century Gothic"/>
              </w:rPr>
              <w:t xml:space="preserve"> </w:t>
            </w:r>
            <w:r w:rsidR="5CEB0E25" w:rsidRPr="00AF1E5A">
              <w:rPr>
                <w:rFonts w:ascii="Century Gothic" w:eastAsia="MS PGothic" w:hAnsi="Century Gothic"/>
              </w:rPr>
              <w:t>$</w:t>
            </w:r>
            <w:r w:rsidR="716A30B6" w:rsidRPr="00AF1E5A">
              <w:rPr>
                <w:rFonts w:ascii="Century Gothic" w:eastAsia="MS PGothic" w:hAnsi="Century Gothic"/>
              </w:rPr>
              <w:t>2,551,148</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2FFBB669" w14:textId="3F2FF8D4" w:rsidR="186FD4DE" w:rsidRPr="00AF1E5A" w:rsidRDefault="237B0016" w:rsidP="186FD4DE">
            <w:pPr>
              <w:rPr>
                <w:rFonts w:ascii="Century Gothic" w:eastAsia="MS PGothic" w:hAnsi="Century Gothic"/>
                <w:szCs w:val="22"/>
              </w:rPr>
            </w:pPr>
            <w:r w:rsidRPr="00AF1E5A">
              <w:rPr>
                <w:rFonts w:ascii="Century Gothic" w:eastAsia="MS PGothic" w:hAnsi="Century Gothic"/>
              </w:rPr>
              <w:t>Yes</w:t>
            </w:r>
          </w:p>
        </w:tc>
      </w:tr>
      <w:tr w:rsidR="00937052" w:rsidRPr="00AF1E5A" w14:paraId="12ACDED4" w14:textId="77777777" w:rsidTr="69506C91">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BEA2DCC" w14:textId="6D8F105B" w:rsidR="00937052" w:rsidRPr="00AF1E5A" w:rsidRDefault="00937052" w:rsidP="004C65D3">
            <w:pPr>
              <w:rPr>
                <w:rFonts w:ascii="Century Gothic" w:hAnsi="Century Gothic"/>
              </w:rPr>
            </w:pPr>
            <w:r w:rsidRPr="00AF1E5A">
              <w:rPr>
                <w:rFonts w:ascii="Century Gothic" w:hAnsi="Century Gothic"/>
              </w:rPr>
              <w:t>Increase in agency revenue - 122 Wilmot Road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EBD31C" w14:textId="77777777" w:rsidR="00937052" w:rsidRPr="00AF1E5A" w:rsidRDefault="00937052" w:rsidP="004C65D3">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0EB783" w14:textId="77777777" w:rsidR="00937052" w:rsidRPr="00AF1E5A" w:rsidRDefault="00937052" w:rsidP="004C65D3">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42A2C401" w14:textId="77777777" w:rsidR="00937052" w:rsidRPr="00AF1E5A" w:rsidRDefault="00937052" w:rsidP="004C65D3">
            <w:pPr>
              <w:rPr>
                <w:rFonts w:ascii="Century Gothic" w:hAnsi="Century Gothic"/>
              </w:rPr>
            </w:pPr>
            <w:r w:rsidRPr="00AF1E5A">
              <w:rPr>
                <w:rFonts w:ascii="Century Gothic" w:hAnsi="Century Gothic"/>
              </w:rPr>
              <w:t>2014: $1,419,767</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011AB09E" w14:textId="1B5080E1" w:rsidR="00937052" w:rsidRPr="00AF1E5A" w:rsidRDefault="00937052" w:rsidP="5B1DECE6">
            <w:pPr>
              <w:rPr>
                <w:rFonts w:ascii="Century Gothic" w:hAnsi="Century Gothic"/>
              </w:rPr>
            </w:pPr>
            <w:r w:rsidRPr="00AF1E5A">
              <w:rPr>
                <w:rFonts w:ascii="Century Gothic" w:hAnsi="Century Gothic"/>
              </w:rPr>
              <w:t>Yes</w:t>
            </w:r>
          </w:p>
          <w:p w14:paraId="1A6440A0" w14:textId="63F5C6ED" w:rsidR="00937052" w:rsidRPr="00AF1E5A" w:rsidRDefault="00937052" w:rsidP="186FD4DE">
            <w:pPr>
              <w:rPr>
                <w:rFonts w:ascii="Century Gothic" w:eastAsia="MS PGothic" w:hAnsi="Century Gothic"/>
                <w:szCs w:val="22"/>
              </w:rPr>
            </w:pPr>
          </w:p>
          <w:p w14:paraId="794622AA" w14:textId="0F5332BF" w:rsidR="00937052" w:rsidRPr="00AF1E5A" w:rsidRDefault="00937052" w:rsidP="004C65D3">
            <w:pPr>
              <w:rPr>
                <w:rFonts w:ascii="Century Gothic" w:eastAsia="MS PGothic" w:hAnsi="Century Gothic"/>
              </w:rPr>
            </w:pPr>
          </w:p>
        </w:tc>
      </w:tr>
      <w:tr w:rsidR="002A785F" w:rsidRPr="00AF1E5A" w14:paraId="67D278E4" w14:textId="77777777" w:rsidTr="00A6350A">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1C19F717" w14:textId="097C3DDE" w:rsidR="002A785F" w:rsidRPr="00AF1E5A" w:rsidRDefault="2CB857B9" w:rsidP="002A785F">
            <w:pPr>
              <w:rPr>
                <w:rFonts w:ascii="Century Gothic" w:hAnsi="Century Gothic"/>
              </w:rPr>
            </w:pPr>
            <w:proofErr w:type="spellStart"/>
            <w:r w:rsidRPr="00AF1E5A">
              <w:rPr>
                <w:rFonts w:ascii="Century Gothic" w:hAnsi="Century Gothic"/>
              </w:rPr>
              <w:t>Farnam</w:t>
            </w:r>
            <w:proofErr w:type="spellEnd"/>
            <w:r w:rsidRPr="00AF1E5A">
              <w:rPr>
                <w:rFonts w:ascii="Century Gothic" w:hAnsi="Century Gothic"/>
              </w:rPr>
              <w:t xml:space="preserve"> Phase 2</w:t>
            </w:r>
            <w:r w:rsidR="1C9A21B1" w:rsidRPr="00AF1E5A">
              <w:rPr>
                <w:rFonts w:ascii="Century Gothic" w:hAnsi="Century Gothic"/>
              </w:rPr>
              <w:t xml:space="preserve">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181F30" w14:textId="77777777" w:rsidR="4B60C82B" w:rsidRPr="00AF1E5A" w:rsidRDefault="4B60C82B" w:rsidP="4B60C82B">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C762A5" w14:textId="77777777" w:rsidR="4B60C82B" w:rsidRPr="00AF1E5A" w:rsidRDefault="4B60C82B" w:rsidP="4B60C82B">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1AD4C836" w14:textId="05F12442" w:rsidR="002A785F" w:rsidRPr="00AF1E5A" w:rsidRDefault="2CB1FE2A" w:rsidP="002A785F">
            <w:pPr>
              <w:rPr>
                <w:rFonts w:ascii="Century Gothic" w:hAnsi="Century Gothic"/>
              </w:rPr>
            </w:pPr>
            <w:r w:rsidRPr="00AF1E5A">
              <w:rPr>
                <w:rFonts w:ascii="Century Gothic" w:hAnsi="Century Gothic"/>
              </w:rPr>
              <w:t>2022:</w:t>
            </w:r>
            <w:r w:rsidR="3C741B56" w:rsidRPr="00AF1E5A">
              <w:rPr>
                <w:rFonts w:ascii="Century Gothic" w:hAnsi="Century Gothic"/>
              </w:rPr>
              <w:t xml:space="preserve"> $4,592,143</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A41A487" w14:textId="1B5080E1" w:rsidR="002A785F" w:rsidRPr="00AF1E5A" w:rsidRDefault="16FEAFA3" w:rsidP="4B60C82B">
            <w:pPr>
              <w:rPr>
                <w:rFonts w:ascii="Century Gothic" w:hAnsi="Century Gothic"/>
              </w:rPr>
            </w:pPr>
            <w:r w:rsidRPr="00AF1E5A">
              <w:rPr>
                <w:rFonts w:ascii="Century Gothic" w:hAnsi="Century Gothic"/>
              </w:rPr>
              <w:t>Yes</w:t>
            </w:r>
          </w:p>
          <w:p w14:paraId="70116EBF" w14:textId="5389F292" w:rsidR="002A785F" w:rsidRPr="00AF1E5A" w:rsidRDefault="002A785F" w:rsidP="4B60C82B">
            <w:pPr>
              <w:rPr>
                <w:rFonts w:ascii="Century Gothic" w:hAnsi="Century Gothic"/>
              </w:rPr>
            </w:pPr>
          </w:p>
        </w:tc>
      </w:tr>
      <w:tr w:rsidR="002A785F" w:rsidRPr="00AF1E5A" w14:paraId="2FB3F223" w14:textId="77777777" w:rsidTr="00A6350A">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43874DDD" w14:textId="5DD4BE73" w:rsidR="002A785F" w:rsidRPr="00AF1E5A" w:rsidRDefault="1559CA43" w:rsidP="4B60C82B">
            <w:pPr>
              <w:rPr>
                <w:rFonts w:ascii="Century Gothic" w:hAnsi="Century Gothic"/>
              </w:rPr>
            </w:pPr>
            <w:r w:rsidRPr="00AF1E5A">
              <w:rPr>
                <w:rFonts w:ascii="Century Gothic" w:hAnsi="Century Gothic"/>
              </w:rPr>
              <w:t>RAD 1</w:t>
            </w:r>
            <w:r w:rsidR="495A9A2E" w:rsidRPr="00AF1E5A">
              <w:rPr>
                <w:rFonts w:ascii="Century Gothic" w:hAnsi="Century Gothic"/>
              </w:rPr>
              <w:t xml:space="preserve">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16B3BA" w14:textId="77777777" w:rsidR="4B60C82B" w:rsidRPr="00AF1E5A" w:rsidRDefault="4B60C82B" w:rsidP="4B60C82B">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BC1433" w14:textId="77777777" w:rsidR="4B60C82B" w:rsidRPr="00AF1E5A" w:rsidRDefault="4B60C82B" w:rsidP="4B60C82B">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1877B5A6" w14:textId="37D715BC" w:rsidR="002A785F" w:rsidRPr="00AF1E5A" w:rsidRDefault="7E82A0ED" w:rsidP="002A785F">
            <w:pPr>
              <w:rPr>
                <w:rFonts w:ascii="Century Gothic" w:hAnsi="Century Gothic"/>
              </w:rPr>
            </w:pPr>
            <w:r w:rsidRPr="00AF1E5A">
              <w:rPr>
                <w:rFonts w:ascii="Century Gothic" w:hAnsi="Century Gothic"/>
              </w:rPr>
              <w:t>201</w:t>
            </w:r>
            <w:r w:rsidR="5CB5285C" w:rsidRPr="00AF1E5A">
              <w:rPr>
                <w:rFonts w:ascii="Century Gothic" w:hAnsi="Century Gothic"/>
              </w:rPr>
              <w:t>9</w:t>
            </w:r>
            <w:r w:rsidRPr="00AF1E5A">
              <w:rPr>
                <w:rFonts w:ascii="Century Gothic" w:hAnsi="Century Gothic"/>
              </w:rPr>
              <w:t>:</w:t>
            </w:r>
            <w:r w:rsidR="4B58E4A2" w:rsidRPr="00AF1E5A">
              <w:rPr>
                <w:rFonts w:ascii="Century Gothic" w:hAnsi="Century Gothic"/>
              </w:rPr>
              <w:t xml:space="preserve"> $1,548,190</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88BB66B" w14:textId="1B5080E1" w:rsidR="002A785F" w:rsidRPr="00AF1E5A" w:rsidRDefault="0D3ED2FF" w:rsidP="4B60C82B">
            <w:pPr>
              <w:rPr>
                <w:rFonts w:ascii="Century Gothic" w:hAnsi="Century Gothic"/>
              </w:rPr>
            </w:pPr>
            <w:r w:rsidRPr="00AF1E5A">
              <w:rPr>
                <w:rFonts w:ascii="Century Gothic" w:hAnsi="Century Gothic"/>
              </w:rPr>
              <w:t>Yes</w:t>
            </w:r>
          </w:p>
          <w:p w14:paraId="4380651D" w14:textId="260E87BD" w:rsidR="002A785F" w:rsidRPr="00AF1E5A" w:rsidRDefault="002A785F" w:rsidP="4B60C82B">
            <w:pPr>
              <w:rPr>
                <w:rFonts w:ascii="Century Gothic" w:hAnsi="Century Gothic"/>
              </w:rPr>
            </w:pPr>
          </w:p>
        </w:tc>
      </w:tr>
      <w:tr w:rsidR="002A785F" w:rsidRPr="00AF1E5A" w14:paraId="50E831CF" w14:textId="77777777" w:rsidTr="00A6350A">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FED2EE2" w14:textId="5DB4022B" w:rsidR="002A785F" w:rsidRPr="00AF1E5A" w:rsidRDefault="1559CA43" w:rsidP="4B60C82B">
            <w:pPr>
              <w:rPr>
                <w:rFonts w:ascii="Century Gothic" w:hAnsi="Century Gothic"/>
              </w:rPr>
            </w:pPr>
            <w:r w:rsidRPr="00AF1E5A">
              <w:rPr>
                <w:rFonts w:ascii="Century Gothic" w:hAnsi="Century Gothic"/>
              </w:rPr>
              <w:t>RAD 2</w:t>
            </w:r>
            <w:r w:rsidR="3CAEFD3D" w:rsidRPr="00AF1E5A">
              <w:rPr>
                <w:rFonts w:ascii="Century Gothic" w:hAnsi="Century Gothic"/>
              </w:rPr>
              <w:t xml:space="preserve">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F2783C" w14:textId="77777777" w:rsidR="4B60C82B" w:rsidRPr="00AF1E5A" w:rsidRDefault="4B60C82B" w:rsidP="4B60C82B">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9D2266" w14:textId="77777777" w:rsidR="4B60C82B" w:rsidRPr="00AF1E5A" w:rsidRDefault="4B60C82B" w:rsidP="4B60C82B">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3BB6CBFD" w14:textId="3A48FB9F" w:rsidR="002A785F" w:rsidRPr="00AF1E5A" w:rsidRDefault="65F5B6FD" w:rsidP="002A785F">
            <w:pPr>
              <w:rPr>
                <w:rFonts w:ascii="Century Gothic" w:hAnsi="Century Gothic"/>
              </w:rPr>
            </w:pPr>
            <w:r w:rsidRPr="00AF1E5A">
              <w:rPr>
                <w:rFonts w:ascii="Century Gothic" w:hAnsi="Century Gothic"/>
              </w:rPr>
              <w:t>20</w:t>
            </w:r>
            <w:r w:rsidR="12844C4B" w:rsidRPr="00AF1E5A">
              <w:rPr>
                <w:rFonts w:ascii="Century Gothic" w:hAnsi="Century Gothic"/>
              </w:rPr>
              <w:t>20</w:t>
            </w:r>
            <w:r w:rsidRPr="00AF1E5A">
              <w:rPr>
                <w:rFonts w:ascii="Century Gothic" w:hAnsi="Century Gothic"/>
              </w:rPr>
              <w:t>:</w:t>
            </w:r>
            <w:r w:rsidR="686B31F6" w:rsidRPr="00AF1E5A">
              <w:rPr>
                <w:rFonts w:ascii="Century Gothic" w:hAnsi="Century Gothic"/>
              </w:rPr>
              <w:t xml:space="preserve"> $1,751,100</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4D0EB5F" w14:textId="1B5080E1" w:rsidR="002A785F" w:rsidRPr="00AF1E5A" w:rsidRDefault="5C930AA7" w:rsidP="4B60C82B">
            <w:pPr>
              <w:rPr>
                <w:rFonts w:ascii="Century Gothic" w:hAnsi="Century Gothic"/>
              </w:rPr>
            </w:pPr>
            <w:r w:rsidRPr="00AF1E5A">
              <w:rPr>
                <w:rFonts w:ascii="Century Gothic" w:hAnsi="Century Gothic"/>
              </w:rPr>
              <w:t>Yes</w:t>
            </w:r>
          </w:p>
          <w:p w14:paraId="6EBC8286" w14:textId="098EA2CC" w:rsidR="002A785F" w:rsidRPr="00AF1E5A" w:rsidRDefault="002A785F" w:rsidP="4B60C82B">
            <w:pPr>
              <w:rPr>
                <w:rFonts w:ascii="Century Gothic" w:hAnsi="Century Gothic"/>
              </w:rPr>
            </w:pPr>
          </w:p>
        </w:tc>
      </w:tr>
      <w:tr w:rsidR="002A785F" w:rsidRPr="00AF1E5A" w14:paraId="0197D466" w14:textId="77777777" w:rsidTr="00A6350A">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43F5EE99" w14:textId="4F1C5ADF" w:rsidR="002A785F" w:rsidRPr="00AF1E5A" w:rsidRDefault="1559CA43" w:rsidP="4B60C82B">
            <w:pPr>
              <w:rPr>
                <w:rFonts w:ascii="Century Gothic" w:hAnsi="Century Gothic"/>
              </w:rPr>
            </w:pPr>
            <w:r w:rsidRPr="00AF1E5A">
              <w:rPr>
                <w:rFonts w:ascii="Century Gothic" w:hAnsi="Century Gothic"/>
              </w:rPr>
              <w:t>RAD 3</w:t>
            </w:r>
            <w:r w:rsidR="453DF587" w:rsidRPr="00AF1E5A">
              <w:rPr>
                <w:rFonts w:ascii="Century Gothic" w:hAnsi="Century Gothic"/>
              </w:rPr>
              <w:t xml:space="preserve">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A91AAE" w14:textId="77777777" w:rsidR="4B60C82B" w:rsidRPr="00AF1E5A" w:rsidRDefault="4B60C82B" w:rsidP="4B60C82B">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055CBD" w14:textId="77777777" w:rsidR="4B60C82B" w:rsidRPr="00AF1E5A" w:rsidRDefault="4B60C82B" w:rsidP="4B60C82B">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70E840D5" w14:textId="45C9D92E" w:rsidR="002A785F" w:rsidRPr="00AF1E5A" w:rsidRDefault="2DA65E7A" w:rsidP="002A785F">
            <w:pPr>
              <w:rPr>
                <w:rFonts w:ascii="Century Gothic" w:hAnsi="Century Gothic"/>
              </w:rPr>
            </w:pPr>
            <w:r w:rsidRPr="00AF1E5A">
              <w:rPr>
                <w:rFonts w:ascii="Century Gothic" w:hAnsi="Century Gothic"/>
              </w:rPr>
              <w:t>202</w:t>
            </w:r>
            <w:r w:rsidR="2494CD7E" w:rsidRPr="00AF1E5A">
              <w:rPr>
                <w:rFonts w:ascii="Century Gothic" w:hAnsi="Century Gothic"/>
              </w:rPr>
              <w:t>1</w:t>
            </w:r>
            <w:r w:rsidRPr="00AF1E5A">
              <w:rPr>
                <w:rFonts w:ascii="Century Gothic" w:hAnsi="Century Gothic"/>
              </w:rPr>
              <w:t>:</w:t>
            </w:r>
            <w:r w:rsidR="5E20E738" w:rsidRPr="00AF1E5A">
              <w:rPr>
                <w:rFonts w:ascii="Century Gothic" w:hAnsi="Century Gothic"/>
              </w:rPr>
              <w:t xml:space="preserve"> $2,550,500</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27730FE0" w14:textId="1B5080E1" w:rsidR="002A785F" w:rsidRPr="00AF1E5A" w:rsidRDefault="5AA1BCF9" w:rsidP="4B60C82B">
            <w:pPr>
              <w:rPr>
                <w:rFonts w:ascii="Century Gothic" w:hAnsi="Century Gothic"/>
              </w:rPr>
            </w:pPr>
            <w:r w:rsidRPr="00AF1E5A">
              <w:rPr>
                <w:rFonts w:ascii="Century Gothic" w:hAnsi="Century Gothic"/>
              </w:rPr>
              <w:t>Yes</w:t>
            </w:r>
          </w:p>
          <w:p w14:paraId="190C2298" w14:textId="44A1F1E5" w:rsidR="002A785F" w:rsidRPr="00AF1E5A" w:rsidRDefault="002A785F" w:rsidP="4B60C82B">
            <w:pPr>
              <w:rPr>
                <w:rFonts w:ascii="Century Gothic" w:hAnsi="Century Gothic"/>
              </w:rPr>
            </w:pPr>
          </w:p>
        </w:tc>
      </w:tr>
      <w:tr w:rsidR="002A785F" w:rsidRPr="00AF1E5A" w14:paraId="632128BB" w14:textId="77777777" w:rsidTr="00A6350A">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A1A79BC" w14:textId="70D54AD9" w:rsidR="002A785F" w:rsidRPr="00AF1E5A" w:rsidRDefault="1559CA43" w:rsidP="4B60C82B">
            <w:pPr>
              <w:rPr>
                <w:rFonts w:ascii="Century Gothic" w:hAnsi="Century Gothic"/>
              </w:rPr>
            </w:pPr>
            <w:r w:rsidRPr="00AF1E5A">
              <w:rPr>
                <w:rFonts w:ascii="Century Gothic" w:hAnsi="Century Gothic"/>
              </w:rPr>
              <w:t>RAD 4</w:t>
            </w:r>
            <w:r w:rsidR="491C9005" w:rsidRPr="00AF1E5A">
              <w:rPr>
                <w:rFonts w:ascii="Century Gothic" w:hAnsi="Century Gothic"/>
              </w:rPr>
              <w:t xml:space="preserve">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166A57" w14:textId="77777777" w:rsidR="4B60C82B" w:rsidRPr="00AF1E5A" w:rsidRDefault="4B60C82B" w:rsidP="4B60C82B">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CBDA68" w14:textId="77777777" w:rsidR="4B60C82B" w:rsidRPr="00AF1E5A" w:rsidRDefault="4B60C82B" w:rsidP="4B60C82B">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40BCAAE3" w14:textId="4C07F670" w:rsidR="002A785F" w:rsidRPr="00AF1E5A" w:rsidRDefault="5240ACB9" w:rsidP="002A785F">
            <w:pPr>
              <w:rPr>
                <w:rFonts w:ascii="Century Gothic" w:hAnsi="Century Gothic"/>
              </w:rPr>
            </w:pPr>
            <w:r w:rsidRPr="00AF1E5A">
              <w:rPr>
                <w:rFonts w:ascii="Century Gothic" w:hAnsi="Century Gothic"/>
              </w:rPr>
              <w:t>2022:</w:t>
            </w:r>
            <w:r w:rsidR="6CD83CFD" w:rsidRPr="00AF1E5A">
              <w:rPr>
                <w:rFonts w:ascii="Century Gothic" w:hAnsi="Century Gothic"/>
              </w:rPr>
              <w:t xml:space="preserve"> </w:t>
            </w:r>
            <w:r w:rsidR="36823D02" w:rsidRPr="00AF1E5A">
              <w:rPr>
                <w:rFonts w:ascii="Century Gothic" w:hAnsi="Century Gothic"/>
              </w:rPr>
              <w:t>$2,198,267</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05A679E1" w14:textId="1B5080E1" w:rsidR="002A785F" w:rsidRPr="00AF1E5A" w:rsidRDefault="43968B5D" w:rsidP="4B60C82B">
            <w:pPr>
              <w:rPr>
                <w:rFonts w:ascii="Century Gothic" w:hAnsi="Century Gothic"/>
              </w:rPr>
            </w:pPr>
            <w:r w:rsidRPr="00AF1E5A">
              <w:rPr>
                <w:rFonts w:ascii="Century Gothic" w:hAnsi="Century Gothic"/>
              </w:rPr>
              <w:t>Yes</w:t>
            </w:r>
          </w:p>
          <w:p w14:paraId="20F49C69" w14:textId="2607C2D0" w:rsidR="002A785F" w:rsidRPr="00AF1E5A" w:rsidRDefault="002A785F" w:rsidP="4B60C82B">
            <w:pPr>
              <w:rPr>
                <w:rFonts w:ascii="Century Gothic" w:hAnsi="Century Gothic"/>
              </w:rPr>
            </w:pPr>
          </w:p>
        </w:tc>
      </w:tr>
      <w:tr w:rsidR="002A785F" w:rsidRPr="00AF1E5A" w14:paraId="460539C2" w14:textId="77777777" w:rsidTr="00A6350A">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485A2BF" w14:textId="721EDFE8" w:rsidR="1559CA43" w:rsidRPr="00AF1E5A" w:rsidRDefault="1559CA43" w:rsidP="4B60C82B">
            <w:pPr>
              <w:rPr>
                <w:rFonts w:ascii="Century Gothic" w:hAnsi="Century Gothic"/>
              </w:rPr>
            </w:pPr>
            <w:r w:rsidRPr="00AF1E5A">
              <w:rPr>
                <w:rFonts w:ascii="Century Gothic" w:hAnsi="Century Gothic"/>
              </w:rPr>
              <w:t>McConaughy Terrace</w:t>
            </w:r>
            <w:r w:rsidR="3DF1D80E" w:rsidRPr="00AF1E5A">
              <w:rPr>
                <w:rFonts w:ascii="Century Gothic" w:hAnsi="Century Gothic"/>
              </w:rPr>
              <w:t xml:space="preserve"> Redevelopment Fees</w:t>
            </w:r>
          </w:p>
          <w:p w14:paraId="66C98DC4" w14:textId="77777777" w:rsidR="002A785F" w:rsidRPr="00AF1E5A" w:rsidRDefault="002A785F" w:rsidP="002A785F">
            <w:pPr>
              <w:rPr>
                <w:rFonts w:ascii="Century Gothic" w:hAnsi="Century Gothic"/>
              </w:rPr>
            </w:pP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E4786A" w14:textId="77777777" w:rsidR="4B60C82B" w:rsidRPr="00AF1E5A" w:rsidRDefault="4B60C82B" w:rsidP="4B60C82B">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085F6F" w14:textId="77777777" w:rsidR="4B60C82B" w:rsidRPr="00AF1E5A" w:rsidRDefault="4B60C82B" w:rsidP="4B60C82B">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7C47BC48" w14:textId="5923B6C5" w:rsidR="002A785F" w:rsidRPr="00AF1E5A" w:rsidRDefault="0CFFEA9F" w:rsidP="002A785F">
            <w:pPr>
              <w:rPr>
                <w:rFonts w:ascii="Century Gothic" w:hAnsi="Century Gothic"/>
              </w:rPr>
            </w:pPr>
            <w:r w:rsidRPr="00AF1E5A">
              <w:rPr>
                <w:rFonts w:ascii="Century Gothic" w:hAnsi="Century Gothic"/>
              </w:rPr>
              <w:t>2024:</w:t>
            </w:r>
            <w:r w:rsidR="53A0F23D" w:rsidRPr="00AF1E5A">
              <w:rPr>
                <w:rFonts w:ascii="Century Gothic" w:hAnsi="Century Gothic"/>
              </w:rPr>
              <w:t xml:space="preserve"> $5,085,509</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BB29AA4" w14:textId="1B5080E1" w:rsidR="002A785F" w:rsidRPr="00AF1E5A" w:rsidRDefault="430C4E26" w:rsidP="4B60C82B">
            <w:pPr>
              <w:rPr>
                <w:rFonts w:ascii="Century Gothic" w:hAnsi="Century Gothic"/>
              </w:rPr>
            </w:pPr>
            <w:r w:rsidRPr="00AF1E5A">
              <w:rPr>
                <w:rFonts w:ascii="Century Gothic" w:hAnsi="Century Gothic"/>
              </w:rPr>
              <w:t>Yes</w:t>
            </w:r>
          </w:p>
          <w:p w14:paraId="670F0379" w14:textId="2664F003" w:rsidR="002A785F" w:rsidRPr="00AF1E5A" w:rsidRDefault="002A785F" w:rsidP="4B60C82B">
            <w:pPr>
              <w:rPr>
                <w:rFonts w:ascii="Century Gothic" w:hAnsi="Century Gothic"/>
              </w:rPr>
            </w:pPr>
          </w:p>
        </w:tc>
      </w:tr>
      <w:tr w:rsidR="002A785F" w:rsidRPr="00AF1E5A" w14:paraId="475EA542" w14:textId="77777777" w:rsidTr="00A6350A">
        <w:trPr>
          <w:trHeight w:val="620"/>
        </w:trPr>
        <w:tc>
          <w:tcPr>
            <w:tcW w:w="36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42F5FF0B" w14:textId="5E8CFC9A" w:rsidR="002A785F" w:rsidRPr="00AF1E5A" w:rsidRDefault="1559CA43" w:rsidP="4B60C82B">
            <w:pPr>
              <w:rPr>
                <w:rFonts w:ascii="Century Gothic" w:hAnsi="Century Gothic"/>
              </w:rPr>
            </w:pPr>
            <w:r w:rsidRPr="00AF1E5A">
              <w:rPr>
                <w:rFonts w:ascii="Century Gothic" w:hAnsi="Century Gothic"/>
              </w:rPr>
              <w:lastRenderedPageBreak/>
              <w:t>Valley Townhomes</w:t>
            </w:r>
            <w:r w:rsidR="0EE31788" w:rsidRPr="00AF1E5A">
              <w:rPr>
                <w:rFonts w:ascii="Century Gothic" w:hAnsi="Century Gothic"/>
              </w:rPr>
              <w:t xml:space="preserve"> Redevelopment Fees</w:t>
            </w:r>
          </w:p>
        </w:tc>
        <w:tc>
          <w:tcPr>
            <w:tcW w:w="11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5D9013" w14:textId="77777777" w:rsidR="4B60C82B" w:rsidRPr="00AF1E5A" w:rsidRDefault="4B60C82B" w:rsidP="4B60C82B">
            <w:pPr>
              <w:rPr>
                <w:rFonts w:ascii="Century Gothic" w:hAnsi="Century Gothic"/>
              </w:rPr>
            </w:pPr>
            <w:r w:rsidRPr="00AF1E5A">
              <w:rPr>
                <w:rFonts w:ascii="Century Gothic" w:hAnsi="Century Gothic"/>
              </w:rPr>
              <w:t>$0</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999139" w14:textId="77777777" w:rsidR="4B60C82B" w:rsidRPr="00AF1E5A" w:rsidRDefault="4B60C82B" w:rsidP="4B60C82B">
            <w:pPr>
              <w:rPr>
                <w:rFonts w:ascii="Century Gothic" w:hAnsi="Century Gothic"/>
              </w:rPr>
            </w:pPr>
            <w:r w:rsidRPr="00AF1E5A">
              <w:rPr>
                <w:rFonts w:ascii="Century Gothic" w:hAnsi="Century Gothic"/>
              </w:rPr>
              <w:t xml:space="preserve">$0 </w:t>
            </w:r>
          </w:p>
        </w:tc>
        <w:tc>
          <w:tcPr>
            <w:tcW w:w="24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52CFCED6" w14:textId="4FD7DEAD" w:rsidR="002A785F" w:rsidRPr="00AF1E5A" w:rsidRDefault="7BB93C98" w:rsidP="002A785F">
            <w:pPr>
              <w:rPr>
                <w:rFonts w:ascii="Century Gothic" w:hAnsi="Century Gothic"/>
              </w:rPr>
            </w:pPr>
            <w:r w:rsidRPr="00AF1E5A">
              <w:rPr>
                <w:rFonts w:ascii="Century Gothic" w:hAnsi="Century Gothic"/>
              </w:rPr>
              <w:t>2023:</w:t>
            </w:r>
            <w:r w:rsidR="75B38951" w:rsidRPr="00AF1E5A">
              <w:rPr>
                <w:rFonts w:ascii="Century Gothic" w:hAnsi="Century Gothic"/>
              </w:rPr>
              <w:t xml:space="preserve"> $2,054,734</w:t>
            </w:r>
          </w:p>
        </w:tc>
        <w:tc>
          <w:tcPr>
            <w:tcW w:w="139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B840B8B" w14:textId="1B5080E1" w:rsidR="002A785F" w:rsidRPr="00AF1E5A" w:rsidRDefault="1C3ECFD1" w:rsidP="4B60C82B">
            <w:pPr>
              <w:rPr>
                <w:rFonts w:ascii="Century Gothic" w:hAnsi="Century Gothic"/>
              </w:rPr>
            </w:pPr>
            <w:r w:rsidRPr="00AF1E5A">
              <w:rPr>
                <w:rFonts w:ascii="Century Gothic" w:hAnsi="Century Gothic"/>
              </w:rPr>
              <w:t>Yes</w:t>
            </w:r>
          </w:p>
          <w:p w14:paraId="093EC029" w14:textId="5D42182A" w:rsidR="002A785F" w:rsidRPr="00AF1E5A" w:rsidRDefault="002A785F" w:rsidP="4B60C82B">
            <w:pPr>
              <w:rPr>
                <w:rFonts w:ascii="Century Gothic" w:hAnsi="Century Gothic"/>
              </w:rPr>
            </w:pPr>
          </w:p>
        </w:tc>
      </w:tr>
    </w:tbl>
    <w:p w14:paraId="5C05421D" w14:textId="77777777" w:rsidR="002A785F" w:rsidRPr="00AF1E5A" w:rsidRDefault="002A785F" w:rsidP="00937052">
      <w:pPr>
        <w:rPr>
          <w:rFonts w:ascii="Century Gothic" w:hAnsi="Century Gothic"/>
          <w:i/>
        </w:rPr>
      </w:pPr>
    </w:p>
    <w:p w14:paraId="0CED234A" w14:textId="38426523" w:rsidR="00937052" w:rsidRDefault="00937052" w:rsidP="00937052">
      <w:pPr>
        <w:rPr>
          <w:rFonts w:ascii="Century Gothic" w:hAnsi="Century Gothic"/>
          <w:i/>
          <w:sz w:val="18"/>
          <w:szCs w:val="18"/>
        </w:rPr>
      </w:pPr>
      <w:r w:rsidRPr="00AF1E5A">
        <w:rPr>
          <w:rFonts w:ascii="Century Gothic" w:hAnsi="Century Gothic"/>
          <w:i/>
          <w:sz w:val="18"/>
          <w:szCs w:val="18"/>
        </w:rPr>
        <w:t xml:space="preserve">* ECC/HANH has created a new stream of revenue from redevelopment activities. The redevelopment fees and ECC/HANH administrative costs are reimbursed by the development </w:t>
      </w:r>
      <w:proofErr w:type="gramStart"/>
      <w:r w:rsidRPr="00AF1E5A">
        <w:rPr>
          <w:rFonts w:ascii="Century Gothic" w:hAnsi="Century Gothic"/>
          <w:i/>
          <w:sz w:val="18"/>
          <w:szCs w:val="18"/>
        </w:rPr>
        <w:t>budget</w:t>
      </w:r>
      <w:proofErr w:type="gramEnd"/>
      <w:r w:rsidRPr="00AF1E5A">
        <w:rPr>
          <w:rFonts w:ascii="Century Gothic" w:hAnsi="Century Gothic"/>
          <w:i/>
          <w:sz w:val="18"/>
          <w:szCs w:val="18"/>
        </w:rPr>
        <w:t xml:space="preserve"> and revenue is reinvested in future redevelopment efforts.</w:t>
      </w:r>
    </w:p>
    <w:p w14:paraId="7D4C49A7" w14:textId="77777777" w:rsidR="00AF1E5A" w:rsidRDefault="00AF1E5A" w:rsidP="00937052">
      <w:pPr>
        <w:rPr>
          <w:rFonts w:ascii="Century Gothic" w:hAnsi="Century Gothic"/>
          <w:i/>
          <w:sz w:val="18"/>
          <w:szCs w:val="18"/>
        </w:rPr>
      </w:pPr>
    </w:p>
    <w:p w14:paraId="226602EB" w14:textId="77777777" w:rsidR="00AF1E5A" w:rsidRPr="00AF1E5A" w:rsidRDefault="00AF1E5A" w:rsidP="00937052">
      <w:pPr>
        <w:rPr>
          <w:rFonts w:ascii="Century Gothic" w:hAnsi="Century Gothic"/>
          <w:i/>
          <w:sz w:val="18"/>
          <w:szCs w:val="18"/>
        </w:rPr>
      </w:pPr>
    </w:p>
    <w:p w14:paraId="5320FCCE" w14:textId="77777777" w:rsidR="00937052" w:rsidRPr="00AF1E5A" w:rsidRDefault="00937052" w:rsidP="00937052">
      <w:pPr>
        <w:rPr>
          <w:rFonts w:ascii="Century Gothic" w:hAnsi="Century Gothic"/>
          <w:b/>
        </w:rPr>
      </w:pPr>
      <w:r w:rsidRPr="00AF1E5A">
        <w:rPr>
          <w:rFonts w:ascii="Century Gothic" w:hAnsi="Century Gothic"/>
          <w:b/>
        </w:rPr>
        <w:t>Internal Metrics</w:t>
      </w:r>
    </w:p>
    <w:p w14:paraId="338F510A" w14:textId="77777777" w:rsidR="00937052" w:rsidRPr="00AF1E5A" w:rsidRDefault="00937052" w:rsidP="00937052">
      <w:pPr>
        <w:rPr>
          <w:rFonts w:ascii="Century Gothic" w:hAnsi="Century Gothic"/>
          <w:b/>
        </w:rPr>
      </w:pPr>
    </w:p>
    <w:tbl>
      <w:tblPr>
        <w:tblStyle w:val="TableGrid7"/>
        <w:tblW w:w="10260" w:type="dxa"/>
        <w:tblLayout w:type="fixed"/>
        <w:tblLook w:val="04A0" w:firstRow="1" w:lastRow="0" w:firstColumn="1" w:lastColumn="0" w:noHBand="0" w:noVBand="1"/>
      </w:tblPr>
      <w:tblGrid>
        <w:gridCol w:w="1800"/>
        <w:gridCol w:w="3438"/>
        <w:gridCol w:w="1890"/>
        <w:gridCol w:w="1692"/>
        <w:gridCol w:w="1440"/>
      </w:tblGrid>
      <w:tr w:rsidR="00937052" w:rsidRPr="00AF1E5A" w14:paraId="4A323DE1" w14:textId="77777777" w:rsidTr="0E6C54AB">
        <w:trPr>
          <w:trHeight w:val="400"/>
        </w:trPr>
        <w:tc>
          <w:tcPr>
            <w:tcW w:w="10260" w:type="dxa"/>
            <w:gridSpan w:val="5"/>
            <w:tcBorders>
              <w:top w:val="nil"/>
              <w:left w:val="nil"/>
              <w:bottom w:val="single" w:sz="24" w:space="0" w:color="B5333C" w:themeColor="accent2"/>
              <w:right w:val="nil"/>
            </w:tcBorders>
            <w:shd w:val="clear" w:color="auto" w:fill="808080" w:themeFill="background1" w:themeFillShade="80"/>
            <w:hideMark/>
          </w:tcPr>
          <w:p w14:paraId="1C24C8A6" w14:textId="77777777" w:rsidR="00937052" w:rsidRPr="00AF1E5A" w:rsidRDefault="00937052" w:rsidP="004C65D3">
            <w:pPr>
              <w:jc w:val="center"/>
              <w:rPr>
                <w:rFonts w:ascii="Century Gothic" w:hAnsi="Century Gothic"/>
                <w:b/>
              </w:rPr>
            </w:pPr>
            <w:r w:rsidRPr="00AF1E5A">
              <w:rPr>
                <w:rFonts w:ascii="Century Gothic" w:hAnsi="Century Gothic"/>
                <w:b/>
              </w:rPr>
              <w:t>Redevelopment Metrics</w:t>
            </w:r>
          </w:p>
        </w:tc>
      </w:tr>
      <w:tr w:rsidR="00937052" w:rsidRPr="00AF1E5A" w14:paraId="3F53B9D8" w14:textId="77777777" w:rsidTr="0E6C54AB">
        <w:trPr>
          <w:trHeight w:val="400"/>
        </w:trPr>
        <w:tc>
          <w:tcPr>
            <w:tcW w:w="10260" w:type="dxa"/>
            <w:gridSpan w:val="5"/>
            <w:tcBorders>
              <w:top w:val="single" w:sz="24" w:space="0" w:color="B5333C" w:themeColor="accent2"/>
              <w:left w:val="nil"/>
              <w:bottom w:val="single" w:sz="4" w:space="0" w:color="D9D9D9" w:themeColor="background1" w:themeShade="D9"/>
              <w:right w:val="nil"/>
            </w:tcBorders>
            <w:shd w:val="clear" w:color="auto" w:fill="808080" w:themeFill="background1" w:themeFillShade="80"/>
          </w:tcPr>
          <w:p w14:paraId="047CB5B6" w14:textId="77777777" w:rsidR="00937052" w:rsidRPr="00AF1E5A" w:rsidRDefault="00937052" w:rsidP="004C65D3">
            <w:pPr>
              <w:jc w:val="center"/>
              <w:rPr>
                <w:rFonts w:ascii="Century Gothic" w:hAnsi="Century Gothic"/>
                <w:b/>
              </w:rPr>
            </w:pPr>
            <w:r w:rsidRPr="00AF1E5A">
              <w:rPr>
                <w:rFonts w:ascii="Century Gothic" w:hAnsi="Century Gothic"/>
                <w:b/>
              </w:rPr>
              <w:t>Internal Metric #7: Crime rate</w:t>
            </w:r>
          </w:p>
        </w:tc>
      </w:tr>
      <w:tr w:rsidR="00937052" w:rsidRPr="00AF1E5A" w14:paraId="24C43F8C" w14:textId="77777777" w:rsidTr="0E6C54AB">
        <w:trPr>
          <w:trHeight w:val="340"/>
        </w:trPr>
        <w:tc>
          <w:tcPr>
            <w:tcW w:w="180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0A0D6C30" w14:textId="77777777" w:rsidR="00937052" w:rsidRPr="00AF1E5A" w:rsidRDefault="00937052" w:rsidP="004C65D3">
            <w:pPr>
              <w:jc w:val="center"/>
              <w:rPr>
                <w:rFonts w:ascii="Century Gothic" w:hAnsi="Century Gothic"/>
                <w:b/>
              </w:rPr>
            </w:pPr>
            <w:r w:rsidRPr="00AF1E5A">
              <w:rPr>
                <w:rFonts w:ascii="Century Gothic" w:hAnsi="Century Gothic"/>
                <w:b/>
              </w:rPr>
              <w:t>Unit of Measurement</w:t>
            </w:r>
          </w:p>
        </w:tc>
        <w:tc>
          <w:tcPr>
            <w:tcW w:w="34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FFC2350" w14:textId="77777777" w:rsidR="00937052" w:rsidRPr="00AF1E5A" w:rsidRDefault="00937052" w:rsidP="004C65D3">
            <w:pPr>
              <w:jc w:val="center"/>
              <w:rPr>
                <w:rFonts w:ascii="Century Gothic" w:hAnsi="Century Gothic"/>
                <w:b/>
              </w:rPr>
            </w:pPr>
            <w:r w:rsidRPr="00AF1E5A">
              <w:rPr>
                <w:rFonts w:ascii="Century Gothic" w:hAnsi="Century Gothic"/>
                <w:b/>
              </w:rPr>
              <w:t>Baseline</w:t>
            </w:r>
          </w:p>
        </w:tc>
        <w:tc>
          <w:tcPr>
            <w:tcW w:w="18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6E37E8B" w14:textId="77777777" w:rsidR="00937052" w:rsidRPr="00AF1E5A" w:rsidRDefault="00937052" w:rsidP="004C65D3">
            <w:pPr>
              <w:jc w:val="center"/>
              <w:rPr>
                <w:rFonts w:ascii="Century Gothic" w:hAnsi="Century Gothic"/>
                <w:b/>
              </w:rPr>
            </w:pPr>
            <w:r w:rsidRPr="00AF1E5A">
              <w:rPr>
                <w:rFonts w:ascii="Century Gothic" w:hAnsi="Century Gothic"/>
                <w:b/>
              </w:rPr>
              <w:t>Benchmark</w:t>
            </w:r>
          </w:p>
        </w:tc>
        <w:tc>
          <w:tcPr>
            <w:tcW w:w="16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207A631B" w14:textId="77777777" w:rsidR="00937052" w:rsidRPr="00AF1E5A" w:rsidRDefault="00937052" w:rsidP="004C65D3">
            <w:pPr>
              <w:jc w:val="center"/>
              <w:rPr>
                <w:rFonts w:ascii="Century Gothic" w:hAnsi="Century Gothic"/>
                <w:b/>
              </w:rPr>
            </w:pPr>
            <w:r w:rsidRPr="00AF1E5A">
              <w:rPr>
                <w:rFonts w:ascii="Century Gothic" w:hAnsi="Century Gothic"/>
                <w:b/>
              </w:rPr>
              <w:t>Outcome</w:t>
            </w:r>
          </w:p>
        </w:tc>
        <w:tc>
          <w:tcPr>
            <w:tcW w:w="144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1238B6A9" w14:textId="77777777" w:rsidR="00937052" w:rsidRPr="00AF1E5A" w:rsidRDefault="00937052" w:rsidP="004C65D3">
            <w:pPr>
              <w:jc w:val="center"/>
              <w:rPr>
                <w:rFonts w:ascii="Century Gothic" w:hAnsi="Century Gothic"/>
                <w:b/>
              </w:rPr>
            </w:pPr>
            <w:r w:rsidRPr="00AF1E5A">
              <w:rPr>
                <w:rFonts w:ascii="Century Gothic" w:hAnsi="Century Gothic"/>
                <w:b/>
              </w:rPr>
              <w:t>Benchmark Achieved?</w:t>
            </w:r>
          </w:p>
        </w:tc>
      </w:tr>
      <w:tr w:rsidR="00937052" w:rsidRPr="00AF1E5A" w14:paraId="25A60903" w14:textId="77777777" w:rsidTr="0E6C54AB">
        <w:trPr>
          <w:trHeight w:val="1475"/>
        </w:trPr>
        <w:tc>
          <w:tcPr>
            <w:tcW w:w="180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17C6A2A5" w14:textId="77777777" w:rsidR="00937052" w:rsidRPr="00AF1E5A" w:rsidRDefault="00937052" w:rsidP="004C65D3">
            <w:pPr>
              <w:rPr>
                <w:rFonts w:ascii="Century Gothic" w:hAnsi="Century Gothic"/>
              </w:rPr>
            </w:pPr>
            <w:r w:rsidRPr="00AF1E5A">
              <w:rPr>
                <w:rFonts w:ascii="Century Gothic" w:hAnsi="Century Gothic"/>
              </w:rPr>
              <w:t>Crime rate statistics, pre and post redevelopment</w:t>
            </w:r>
          </w:p>
        </w:tc>
        <w:tc>
          <w:tcPr>
            <w:tcW w:w="34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A5A640A" w14:textId="77777777" w:rsidR="00937052" w:rsidRPr="00AF1E5A" w:rsidRDefault="00937052" w:rsidP="004C65D3">
            <w:pPr>
              <w:rPr>
                <w:rFonts w:ascii="Century Gothic" w:hAnsi="Century Gothic"/>
              </w:rPr>
            </w:pPr>
            <w:r w:rsidRPr="00AF1E5A">
              <w:rPr>
                <w:rFonts w:ascii="Century Gothic" w:hAnsi="Century Gothic"/>
              </w:rPr>
              <w:t>Quinnipiac major crimes in FY 2003: 13.</w:t>
            </w:r>
            <w:r w:rsidRPr="00AF1E5A">
              <w:rPr>
                <w:rFonts w:ascii="Century Gothic" w:hAnsi="Century Gothic"/>
              </w:rPr>
              <w:br/>
              <w:t>West Rock (122 Wilmot, Brookside I and II) major crimes in FY 2005: 47</w:t>
            </w:r>
          </w:p>
        </w:tc>
        <w:tc>
          <w:tcPr>
            <w:tcW w:w="18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8BCB424" w14:textId="77777777" w:rsidR="00937052" w:rsidRPr="00AF1E5A" w:rsidRDefault="00937052" w:rsidP="004C65D3">
            <w:pPr>
              <w:rPr>
                <w:rFonts w:ascii="Century Gothic" w:hAnsi="Century Gothic"/>
              </w:rPr>
            </w:pPr>
            <w:r w:rsidRPr="00AF1E5A">
              <w:rPr>
                <w:rFonts w:ascii="Century Gothic" w:hAnsi="Century Gothic"/>
              </w:rPr>
              <w:t>10% reduction in number of major crimes.</w:t>
            </w:r>
          </w:p>
        </w:tc>
        <w:tc>
          <w:tcPr>
            <w:tcW w:w="16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645A814" w14:textId="1F95DD0C" w:rsidR="00D40B35" w:rsidRDefault="00D40B35" w:rsidP="4BC3B597">
            <w:pPr>
              <w:rPr>
                <w:rFonts w:ascii="Century Gothic" w:hAnsi="Century Gothic"/>
              </w:rPr>
            </w:pPr>
            <w:r>
              <w:rPr>
                <w:rFonts w:ascii="Century Gothic" w:hAnsi="Century Gothic"/>
              </w:rPr>
              <w:t xml:space="preserve">FY24 </w:t>
            </w:r>
            <w:r w:rsidR="00392849">
              <w:rPr>
                <w:rFonts w:ascii="Century Gothic" w:hAnsi="Century Gothic"/>
              </w:rPr>
              <w:t>–</w:t>
            </w:r>
            <w:r>
              <w:rPr>
                <w:rFonts w:ascii="Century Gothic" w:hAnsi="Century Gothic"/>
              </w:rPr>
              <w:t xml:space="preserve"> Avera</w:t>
            </w:r>
            <w:r w:rsidR="00392849">
              <w:rPr>
                <w:rFonts w:ascii="Century Gothic" w:hAnsi="Century Gothic"/>
              </w:rPr>
              <w:t>ge 1.5</w:t>
            </w:r>
          </w:p>
          <w:p w14:paraId="0E8D0277" w14:textId="77777777" w:rsidR="00445BA4" w:rsidRDefault="00445BA4" w:rsidP="4BC3B597">
            <w:pPr>
              <w:rPr>
                <w:rFonts w:ascii="Century Gothic" w:hAnsi="Century Gothic"/>
              </w:rPr>
            </w:pPr>
          </w:p>
          <w:p w14:paraId="6777C7C7" w14:textId="77777777" w:rsidR="00392849" w:rsidRDefault="00392849" w:rsidP="4BC3B597">
            <w:pPr>
              <w:rPr>
                <w:rFonts w:ascii="Century Gothic" w:hAnsi="Century Gothic"/>
              </w:rPr>
            </w:pPr>
            <w:r>
              <w:rPr>
                <w:rFonts w:ascii="Century Gothic" w:hAnsi="Century Gothic"/>
              </w:rPr>
              <w:t>FY23 – Average 1.9</w:t>
            </w:r>
          </w:p>
          <w:p w14:paraId="76609EDF" w14:textId="77777777" w:rsidR="00445BA4" w:rsidRDefault="00445BA4" w:rsidP="4BC3B597">
            <w:pPr>
              <w:rPr>
                <w:rFonts w:ascii="Century Gothic" w:hAnsi="Century Gothic"/>
              </w:rPr>
            </w:pPr>
          </w:p>
          <w:p w14:paraId="6EE0994B" w14:textId="77777777" w:rsidR="00445BA4" w:rsidRDefault="00445BA4" w:rsidP="00445BA4">
            <w:pPr>
              <w:rPr>
                <w:rFonts w:ascii="Century Gothic" w:hAnsi="Century Gothic"/>
              </w:rPr>
            </w:pPr>
            <w:r w:rsidRPr="00392849">
              <w:rPr>
                <w:rFonts w:ascii="Century Gothic" w:hAnsi="Century Gothic"/>
              </w:rPr>
              <w:t>Refer to Appendix 12: Number of Major Crimes.</w:t>
            </w:r>
            <w:r w:rsidRPr="00AF1E5A">
              <w:rPr>
                <w:rFonts w:ascii="Century Gothic" w:hAnsi="Century Gothic"/>
              </w:rPr>
              <w:t xml:space="preserve"> </w:t>
            </w:r>
          </w:p>
          <w:p w14:paraId="3A57A11F" w14:textId="254E9351" w:rsidR="00445BA4" w:rsidRPr="00AF1E5A" w:rsidRDefault="00445BA4" w:rsidP="4BC3B597">
            <w:pPr>
              <w:rPr>
                <w:rFonts w:ascii="Century Gothic" w:hAnsi="Century Gothic"/>
                <w:highlight w:val="yellow"/>
              </w:rPr>
            </w:pPr>
          </w:p>
        </w:tc>
        <w:tc>
          <w:tcPr>
            <w:tcW w:w="144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4ECCE625" w14:textId="77777777" w:rsidR="00937052" w:rsidRPr="00AF1E5A" w:rsidRDefault="00937052" w:rsidP="004C65D3">
            <w:pPr>
              <w:rPr>
                <w:rFonts w:ascii="Century Gothic" w:hAnsi="Century Gothic"/>
              </w:rPr>
            </w:pPr>
            <w:r w:rsidRPr="00AF1E5A">
              <w:rPr>
                <w:rFonts w:ascii="Century Gothic" w:hAnsi="Century Gothic"/>
              </w:rPr>
              <w:t>Yes</w:t>
            </w:r>
          </w:p>
        </w:tc>
      </w:tr>
    </w:tbl>
    <w:p w14:paraId="71A909D2" w14:textId="77777777" w:rsidR="00944FCD" w:rsidRPr="00AF1E5A" w:rsidRDefault="00944FCD" w:rsidP="00944FCD">
      <w:pPr>
        <w:pStyle w:val="Heading4"/>
        <w:rPr>
          <w:rStyle w:val="SubtleEmphasis"/>
          <w:rFonts w:ascii="Century Gothic" w:hAnsi="Century Gothic" w:cs="Times New Roman"/>
          <w:color w:val="808080" w:themeColor="background1" w:themeShade="80"/>
          <w:sz w:val="22"/>
        </w:rPr>
      </w:pPr>
      <w:r w:rsidRPr="00AF1E5A">
        <w:rPr>
          <w:rStyle w:val="SubtleEmphasis"/>
          <w:rFonts w:ascii="Century Gothic" w:hAnsi="Century Gothic" w:cs="Times New Roman"/>
          <w:color w:val="808080" w:themeColor="background1" w:themeShade="80"/>
          <w:sz w:val="22"/>
        </w:rPr>
        <w:t>Actual Non-Significant Changes</w:t>
      </w:r>
    </w:p>
    <w:p w14:paraId="7CEA9F84" w14:textId="3B851E75" w:rsidR="00944FCD" w:rsidRPr="00AF1E5A" w:rsidRDefault="5801F4D4" w:rsidP="00944FCD">
      <w:pPr>
        <w:rPr>
          <w:rFonts w:ascii="Century Gothic" w:hAnsi="Century Gothic"/>
        </w:rPr>
      </w:pPr>
      <w:r w:rsidRPr="00AF1E5A">
        <w:rPr>
          <w:rFonts w:ascii="Century Gothic" w:hAnsi="Century Gothic"/>
        </w:rPr>
        <w:t>None</w:t>
      </w:r>
    </w:p>
    <w:p w14:paraId="4FF69040" w14:textId="77777777" w:rsidR="00944FCD" w:rsidRPr="00AF1E5A" w:rsidRDefault="00944FCD" w:rsidP="00944FCD">
      <w:pPr>
        <w:rPr>
          <w:rFonts w:ascii="Century Gothic" w:hAnsi="Century Gothic"/>
        </w:rPr>
      </w:pPr>
    </w:p>
    <w:p w14:paraId="6338EB0F" w14:textId="77777777" w:rsidR="00944FCD" w:rsidRPr="00AF1E5A" w:rsidRDefault="00944FCD" w:rsidP="00944FCD">
      <w:pPr>
        <w:rPr>
          <w:rStyle w:val="SubtleEmphasis"/>
          <w:rFonts w:ascii="Century Gothic" w:eastAsiaTheme="majorEastAsia" w:hAnsi="Century Gothic"/>
          <w:b/>
          <w:color w:val="808080" w:themeColor="background1" w:themeShade="80"/>
          <w:sz w:val="22"/>
          <w:szCs w:val="22"/>
        </w:rPr>
      </w:pPr>
      <w:r w:rsidRPr="00AF1E5A">
        <w:rPr>
          <w:rStyle w:val="SubtleEmphasis"/>
          <w:rFonts w:ascii="Century Gothic" w:eastAsiaTheme="majorEastAsia" w:hAnsi="Century Gothic"/>
          <w:b/>
          <w:color w:val="808080" w:themeColor="background1" w:themeShade="80"/>
          <w:sz w:val="22"/>
          <w:szCs w:val="22"/>
        </w:rPr>
        <w:t>Actual Significant Changes</w:t>
      </w:r>
    </w:p>
    <w:p w14:paraId="199E87A7" w14:textId="12652D6F" w:rsidR="00944FCD" w:rsidRPr="00AF1E5A" w:rsidRDefault="12D881DA" w:rsidP="00944FCD">
      <w:pPr>
        <w:rPr>
          <w:rFonts w:ascii="Century Gothic" w:hAnsi="Century Gothic"/>
        </w:rPr>
      </w:pPr>
      <w:r w:rsidRPr="00AF1E5A">
        <w:rPr>
          <w:rFonts w:ascii="Century Gothic" w:hAnsi="Century Gothic"/>
        </w:rPr>
        <w:t>None</w:t>
      </w:r>
    </w:p>
    <w:p w14:paraId="72AB36DD" w14:textId="77777777" w:rsidR="0007004C" w:rsidRPr="00AF1E5A" w:rsidRDefault="0007004C" w:rsidP="00944FCD">
      <w:pPr>
        <w:rPr>
          <w:rFonts w:ascii="Century Gothic" w:hAnsi="Century Gothic"/>
        </w:rPr>
      </w:pPr>
    </w:p>
    <w:p w14:paraId="644A8A6E" w14:textId="06CFB69C" w:rsidR="00D95A77" w:rsidRPr="00AF1E5A" w:rsidRDefault="00D95A77" w:rsidP="000B74D5">
      <w:pPr>
        <w:rPr>
          <w:rFonts w:ascii="Century Gothic" w:hAnsi="Century Gothic"/>
          <w:szCs w:val="22"/>
        </w:rPr>
      </w:pPr>
    </w:p>
    <w:p w14:paraId="052D79B1" w14:textId="7D2D1FE9" w:rsidR="655A2699" w:rsidRPr="00AF1E5A" w:rsidRDefault="655A2699">
      <w:pPr>
        <w:rPr>
          <w:rFonts w:ascii="Century Gothic" w:hAnsi="Century Gothic"/>
        </w:rPr>
      </w:pPr>
      <w:r w:rsidRPr="00AF1E5A">
        <w:rPr>
          <w:rFonts w:ascii="Century Gothic" w:hAnsi="Century Gothic"/>
        </w:rPr>
        <w:br w:type="page"/>
      </w:r>
    </w:p>
    <w:bookmarkStart w:id="105" w:name="_Toc470178833"/>
    <w:bookmarkStart w:id="106" w:name="_Toc470179737"/>
    <w:bookmarkStart w:id="107" w:name="_Toc502307789"/>
    <w:bookmarkStart w:id="108" w:name="_Toc528927264"/>
    <w:bookmarkStart w:id="109" w:name="_Toc89871159"/>
    <w:bookmarkStart w:id="110" w:name="_Hlk112754449"/>
    <w:bookmarkEnd w:id="104"/>
    <w:p w14:paraId="5B8F83D9" w14:textId="5F7ED736" w:rsidR="002F05B0" w:rsidRPr="009A7DCE" w:rsidRDefault="00DE6A54" w:rsidP="007966B9">
      <w:pPr>
        <w:pStyle w:val="MTWHeader2"/>
        <w:rPr>
          <w:rFonts w:ascii="Century Gothic" w:hAnsi="Century Gothic" w:cs="Times New Roman"/>
          <w:caps/>
          <w:spacing w:val="20"/>
          <w:sz w:val="22"/>
          <w:szCs w:val="22"/>
        </w:rPr>
      </w:pPr>
      <w:r w:rsidRPr="009A7DCE">
        <w:rPr>
          <w:rFonts w:ascii="Century Gothic" w:hAnsi="Century Gothic"/>
        </w:rPr>
        <w:lastRenderedPageBreak/>
        <mc:AlternateContent>
          <mc:Choice Requires="wps">
            <w:drawing>
              <wp:anchor distT="0" distB="0" distL="114300" distR="114300" simplePos="0" relativeHeight="251658250" behindDoc="0" locked="0" layoutInCell="1" allowOverlap="1" wp14:anchorId="676FFBCC" wp14:editId="68C16CFB">
                <wp:simplePos x="0" y="0"/>
                <wp:positionH relativeFrom="margin">
                  <wp:posOffset>5116830</wp:posOffset>
                </wp:positionH>
                <wp:positionV relativeFrom="paragraph">
                  <wp:posOffset>255270</wp:posOffset>
                </wp:positionV>
                <wp:extent cx="1205230" cy="358140"/>
                <wp:effectExtent l="0" t="0" r="0" b="3810"/>
                <wp:wrapTight wrapText="bothSides">
                  <wp:wrapPolygon edited="0">
                    <wp:start x="0" y="0"/>
                    <wp:lineTo x="0" y="21830"/>
                    <wp:lineTo x="21509" y="21830"/>
                    <wp:lineTo x="21509" y="0"/>
                    <wp:lineTo x="0" y="0"/>
                  </wp:wrapPolygon>
                </wp:wrapTight>
                <wp:docPr id="464"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5230" cy="358140"/>
                        </a:xfrm>
                        <a:prstGeom prst="round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5C016" w14:textId="77777777" w:rsidR="009F26DD" w:rsidRDefault="009F26DD" w:rsidP="00D00682">
                            <w:pPr>
                              <w:jc w:val="center"/>
                              <w:rPr>
                                <w:b/>
                                <w:szCs w:val="20"/>
                              </w:rPr>
                            </w:pPr>
                            <w:r w:rsidRPr="004F7D1C">
                              <w:rPr>
                                <w:b/>
                                <w:szCs w:val="20"/>
                              </w:rPr>
                              <w:t>Housing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6FFBCC" id="Rectangle: Rounded Corners 78" o:spid="_x0000_s1048" style="position:absolute;margin-left:402.9pt;margin-top:20.1pt;width:94.9pt;height:28.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" fillcolor="#b5333c [3205]" strokecolor="white [3212]" strokeweight="1pt">
                <v:stroke joinstyle="miter"/>
                <v:path arrowok="t"/>
                <v:textbox>
                  <w:txbxContent>
                    <w:p w14:paraId="3A25C016" w14:textId="77777777" w:rsidR="009F26DD" w:rsidRDefault="009F26DD" w:rsidP="00D00682">
                      <w:pPr>
                        <w:jc w:val="center"/>
                        <w:rPr>
                          <w:b/>
                          <w:szCs w:val="20"/>
                        </w:rPr>
                      </w:pPr>
                      <w:r w:rsidRPr="004F7D1C">
                        <w:rPr>
                          <w:b/>
                          <w:szCs w:val="20"/>
                        </w:rPr>
                        <w:t>Housing Choice</w:t>
                      </w:r>
                    </w:p>
                  </w:txbxContent>
                </v:textbox>
                <w10:wrap type="tight" anchorx="margin"/>
              </v:roundrect>
            </w:pict>
          </mc:Fallback>
        </mc:AlternateContent>
      </w:r>
      <w:r w:rsidR="793A2642" w:rsidRPr="009A7DCE">
        <w:rPr>
          <w:rFonts w:ascii="Century Gothic" w:hAnsi="Century Gothic" w:cs="Times New Roman"/>
          <w:sz w:val="22"/>
          <w:szCs w:val="22"/>
        </w:rPr>
        <w:t xml:space="preserve">Initiative 1.11 – Increase the Percentage of Housing Choice Voucher Budget Authority for the Agency that is </w:t>
      </w:r>
      <w:r w:rsidR="6F9AEF4B" w:rsidRPr="009A7DCE">
        <w:rPr>
          <w:rFonts w:ascii="Century Gothic" w:hAnsi="Century Gothic" w:cs="Times New Roman"/>
          <w:sz w:val="22"/>
          <w:szCs w:val="22"/>
        </w:rPr>
        <w:t>permitted</w:t>
      </w:r>
      <w:r w:rsidR="793A2642" w:rsidRPr="009A7DCE">
        <w:rPr>
          <w:rFonts w:ascii="Century Gothic" w:hAnsi="Century Gothic" w:cs="Times New Roman"/>
          <w:sz w:val="22"/>
          <w:szCs w:val="22"/>
        </w:rPr>
        <w:t xml:space="preserve"> to Project</w:t>
      </w:r>
      <w:r w:rsidR="400987C5" w:rsidRPr="009A7DCE">
        <w:rPr>
          <w:rFonts w:ascii="Century Gothic" w:hAnsi="Century Gothic" w:cs="Times New Roman"/>
          <w:sz w:val="22"/>
          <w:szCs w:val="22"/>
        </w:rPr>
        <w:t>-</w:t>
      </w:r>
      <w:r w:rsidR="793A2642" w:rsidRPr="009A7DCE">
        <w:rPr>
          <w:rFonts w:ascii="Century Gothic" w:hAnsi="Century Gothic" w:cs="Times New Roman"/>
          <w:sz w:val="22"/>
          <w:szCs w:val="22"/>
        </w:rPr>
        <w:t>Base from 20 Percent up to 25 Percent</w:t>
      </w:r>
      <w:bookmarkEnd w:id="105"/>
      <w:bookmarkEnd w:id="106"/>
      <w:bookmarkEnd w:id="107"/>
      <w:bookmarkEnd w:id="108"/>
      <w:bookmarkEnd w:id="109"/>
    </w:p>
    <w:p w14:paraId="2BC2099B" w14:textId="330B59BB" w:rsidR="00BE68FF" w:rsidRPr="009A7DCE" w:rsidRDefault="00E64FFF" w:rsidP="00BE68FF">
      <w:pPr>
        <w:rPr>
          <w:rFonts w:ascii="Century Gothic" w:eastAsia="Calibri" w:hAnsi="Century Gothic"/>
          <w:szCs w:val="22"/>
        </w:rPr>
      </w:pPr>
      <w:r w:rsidRPr="009A7DCE">
        <w:rPr>
          <w:rFonts w:ascii="Century Gothic" w:eastAsia="Calibri" w:hAnsi="Century Gothic"/>
          <w:szCs w:val="22"/>
        </w:rPr>
        <w:t xml:space="preserve">Approved in </w:t>
      </w:r>
      <w:r w:rsidR="00F360D2" w:rsidRPr="009A7DCE">
        <w:rPr>
          <w:rFonts w:ascii="Century Gothic" w:eastAsia="Calibri" w:hAnsi="Century Gothic"/>
          <w:szCs w:val="22"/>
        </w:rPr>
        <w:t>FY13</w:t>
      </w:r>
      <w:r w:rsidRPr="009A7DCE">
        <w:rPr>
          <w:rFonts w:ascii="Century Gothic" w:eastAsia="Calibri" w:hAnsi="Century Gothic"/>
          <w:szCs w:val="22"/>
        </w:rPr>
        <w:t xml:space="preserve"> and implemented in </w:t>
      </w:r>
      <w:r w:rsidR="00F360D2" w:rsidRPr="009A7DCE">
        <w:rPr>
          <w:rFonts w:ascii="Century Gothic" w:eastAsia="Calibri" w:hAnsi="Century Gothic"/>
          <w:szCs w:val="22"/>
        </w:rPr>
        <w:t>FY14</w:t>
      </w:r>
      <w:r w:rsidR="000B74D5" w:rsidRPr="009A7DCE">
        <w:rPr>
          <w:rFonts w:ascii="Century Gothic" w:eastAsia="Calibri" w:hAnsi="Century Gothic"/>
          <w:szCs w:val="22"/>
        </w:rPr>
        <w:t xml:space="preserve">. </w:t>
      </w:r>
    </w:p>
    <w:p w14:paraId="4DF736C1" w14:textId="4EB3B832" w:rsidR="003A2606" w:rsidRPr="009A7DCE" w:rsidRDefault="003A2606" w:rsidP="00BE68FF">
      <w:pPr>
        <w:rPr>
          <w:rFonts w:ascii="Century Gothic" w:hAnsi="Century Gothic"/>
          <w:szCs w:val="22"/>
        </w:rPr>
      </w:pPr>
    </w:p>
    <w:p w14:paraId="1FFC73D7" w14:textId="1C61C381" w:rsidR="00973C6E" w:rsidRPr="009A7DCE" w:rsidRDefault="6F174C93" w:rsidP="0E6C54AB">
      <w:pPr>
        <w:pStyle w:val="Heading4"/>
        <w:rPr>
          <w:rStyle w:val="SubtleEmphasis"/>
          <w:rFonts w:ascii="Century Gothic" w:hAnsi="Century Gothic" w:cs="Times New Roman"/>
          <w:color w:val="808080" w:themeColor="background1" w:themeShade="80"/>
          <w:sz w:val="22"/>
        </w:rPr>
      </w:pPr>
      <w:r w:rsidRPr="009A7DCE">
        <w:rPr>
          <w:rStyle w:val="SubtleEmphasis"/>
          <w:rFonts w:ascii="Century Gothic" w:hAnsi="Century Gothic" w:cs="Times New Roman"/>
          <w:color w:val="808080" w:themeColor="background1" w:themeShade="80"/>
          <w:sz w:val="22"/>
        </w:rPr>
        <w:t>Description</w:t>
      </w:r>
    </w:p>
    <w:p w14:paraId="32F4BDE6" w14:textId="28B9D11C" w:rsidR="00745C1B" w:rsidRPr="006B7599" w:rsidRDefault="00745C1B" w:rsidP="188A1EBF">
      <w:pPr>
        <w:rPr>
          <w:rFonts w:ascii="Century Gothic" w:hAnsi="Century Gothic"/>
        </w:rPr>
      </w:pPr>
      <w:r w:rsidRPr="006B7599">
        <w:rPr>
          <w:rFonts w:ascii="Century Gothic" w:hAnsi="Century Gothic"/>
          <w:lang w:eastAsia="en-US"/>
        </w:rPr>
        <w:t>This initiative</w:t>
      </w:r>
      <w:r w:rsidRPr="006B7599">
        <w:rPr>
          <w:rFonts w:ascii="Century Gothic" w:hAnsi="Century Gothic"/>
        </w:rPr>
        <w:t xml:space="preserve"> continues redevelopment efforts of underperforming public housing assets</w:t>
      </w:r>
      <w:r w:rsidR="006127B4" w:rsidRPr="006B7599">
        <w:rPr>
          <w:rFonts w:ascii="Century Gothic" w:hAnsi="Century Gothic"/>
        </w:rPr>
        <w:t xml:space="preserve"> and</w:t>
      </w:r>
      <w:r w:rsidRPr="006B7599">
        <w:rPr>
          <w:rFonts w:ascii="Century Gothic" w:hAnsi="Century Gothic"/>
        </w:rPr>
        <w:t xml:space="preserve"> increases housing choices for residents. </w:t>
      </w:r>
      <w:r w:rsidR="00523871" w:rsidRPr="006B7599">
        <w:rPr>
          <w:rFonts w:ascii="Century Gothic" w:hAnsi="Century Gothic"/>
        </w:rPr>
        <w:t>Th</w:t>
      </w:r>
      <w:r w:rsidR="000F5F9D" w:rsidRPr="006B7599">
        <w:rPr>
          <w:rFonts w:ascii="Century Gothic" w:hAnsi="Century Gothic"/>
        </w:rPr>
        <w:t>is</w:t>
      </w:r>
      <w:r w:rsidR="00523871" w:rsidRPr="006B7599">
        <w:rPr>
          <w:rFonts w:ascii="Century Gothic" w:hAnsi="Century Gothic"/>
        </w:rPr>
        <w:t xml:space="preserve"> authority </w:t>
      </w:r>
      <w:r w:rsidRPr="006B7599">
        <w:rPr>
          <w:rFonts w:ascii="Century Gothic" w:hAnsi="Century Gothic"/>
        </w:rPr>
        <w:t xml:space="preserve">allows ECC/HANH to use up to 25% </w:t>
      </w:r>
      <w:r w:rsidR="006127B4" w:rsidRPr="006B7599">
        <w:rPr>
          <w:rFonts w:ascii="Century Gothic" w:hAnsi="Century Gothic"/>
        </w:rPr>
        <w:t xml:space="preserve">of </w:t>
      </w:r>
      <w:r w:rsidRPr="006B7599">
        <w:rPr>
          <w:rFonts w:ascii="Century Gothic" w:hAnsi="Century Gothic"/>
        </w:rPr>
        <w:t>housing vouchers to leverage funds for redevelopment of ECC/HANH’s aging public housing stock.</w:t>
      </w:r>
      <w:r w:rsidRPr="00D00549">
        <w:rPr>
          <w:rFonts w:ascii="Century Gothic" w:hAnsi="Century Gothic"/>
        </w:rPr>
        <w:t xml:space="preserve"> </w:t>
      </w:r>
    </w:p>
    <w:p w14:paraId="7225DC45" w14:textId="776DB56C" w:rsidR="00745C1B" w:rsidRPr="009A7DCE" w:rsidRDefault="00745C1B" w:rsidP="00745C1B">
      <w:pPr>
        <w:rPr>
          <w:rFonts w:ascii="Century Gothic" w:hAnsi="Century Gothic"/>
        </w:rPr>
      </w:pPr>
    </w:p>
    <w:p w14:paraId="2B5E281F" w14:textId="776DB56C" w:rsidR="004B2F1D" w:rsidRPr="009A7DCE" w:rsidRDefault="00745C1B" w:rsidP="00745C1B">
      <w:pPr>
        <w:rPr>
          <w:rFonts w:ascii="Century Gothic" w:hAnsi="Century Gothic"/>
        </w:rPr>
      </w:pPr>
      <w:r w:rsidRPr="009A7DCE">
        <w:rPr>
          <w:rFonts w:ascii="Century Gothic" w:hAnsi="Century Gothic"/>
        </w:rPr>
        <w:t xml:space="preserve">This initiative was considered prior to the advent of the RAD program. The percentage of MTW project-basing did not include the full conversion of ACC sites to PBVs. The </w:t>
      </w:r>
      <w:r w:rsidR="001B73EE" w:rsidRPr="009A7DCE">
        <w:rPr>
          <w:rFonts w:ascii="Century Gothic" w:hAnsi="Century Gothic"/>
        </w:rPr>
        <w:t>adoption of</w:t>
      </w:r>
      <w:r w:rsidRPr="009A7DCE">
        <w:rPr>
          <w:rFonts w:ascii="Century Gothic" w:hAnsi="Century Gothic"/>
        </w:rPr>
        <w:t xml:space="preserve"> RAD increased the proportion of the portfolio allowable for project-basing. </w:t>
      </w:r>
    </w:p>
    <w:p w14:paraId="6D011890" w14:textId="776DB56C" w:rsidR="004B2F1D" w:rsidRPr="009A7DCE" w:rsidRDefault="004B2F1D" w:rsidP="00745C1B">
      <w:pPr>
        <w:rPr>
          <w:rFonts w:ascii="Century Gothic" w:hAnsi="Century Gothic"/>
        </w:rPr>
      </w:pPr>
    </w:p>
    <w:p w14:paraId="31803A5A" w14:textId="4EE1A116" w:rsidR="00745C1B" w:rsidRPr="00BD42BB" w:rsidRDefault="136D23E9" w:rsidP="0E71204A">
      <w:pPr>
        <w:rPr>
          <w:rFonts w:ascii="Century Gothic" w:hAnsi="Century Gothic"/>
        </w:rPr>
      </w:pPr>
      <w:r w:rsidRPr="009A7DCE">
        <w:rPr>
          <w:rFonts w:ascii="Century Gothic" w:hAnsi="Century Gothic"/>
        </w:rPr>
        <w:t xml:space="preserve">ECC/HANH’s current percentage of non-RAD </w:t>
      </w:r>
      <w:r w:rsidR="51C17FE7" w:rsidRPr="009A7DCE">
        <w:rPr>
          <w:rFonts w:ascii="Century Gothic" w:hAnsi="Century Gothic"/>
        </w:rPr>
        <w:t>project based</w:t>
      </w:r>
      <w:r w:rsidR="02FA69FB" w:rsidRPr="009A7DCE">
        <w:rPr>
          <w:rFonts w:ascii="Century Gothic" w:hAnsi="Century Gothic"/>
        </w:rPr>
        <w:t xml:space="preserve"> MTW vouchers is </w:t>
      </w:r>
      <w:r w:rsidR="00503B07">
        <w:rPr>
          <w:rFonts w:ascii="Century Gothic" w:hAnsi="Century Gothic"/>
        </w:rPr>
        <w:t>12</w:t>
      </w:r>
      <w:r w:rsidR="02FA69FB" w:rsidRPr="009A7DCE">
        <w:rPr>
          <w:rFonts w:ascii="Century Gothic" w:hAnsi="Century Gothic"/>
        </w:rPr>
        <w:t>%</w:t>
      </w:r>
      <w:r w:rsidR="1BA60FE4" w:rsidRPr="009A7DCE">
        <w:rPr>
          <w:rFonts w:ascii="Century Gothic" w:hAnsi="Century Gothic"/>
        </w:rPr>
        <w:t xml:space="preserve">, </w:t>
      </w:r>
      <w:r w:rsidR="747FEB3E" w:rsidRPr="009A7DCE">
        <w:rPr>
          <w:rFonts w:ascii="Century Gothic" w:hAnsi="Century Gothic"/>
        </w:rPr>
        <w:t xml:space="preserve">equivalent to </w:t>
      </w:r>
      <w:r w:rsidR="1BA60FE4" w:rsidRPr="009A7DCE">
        <w:rPr>
          <w:rFonts w:ascii="Century Gothic" w:hAnsi="Century Gothic"/>
        </w:rPr>
        <w:t xml:space="preserve">a total </w:t>
      </w:r>
      <w:r w:rsidR="61A48E8E" w:rsidRPr="009A7DCE">
        <w:rPr>
          <w:rFonts w:ascii="Century Gothic" w:hAnsi="Century Gothic"/>
        </w:rPr>
        <w:t xml:space="preserve">of </w:t>
      </w:r>
      <w:r w:rsidR="34D2FD83" w:rsidRPr="009A7DCE">
        <w:rPr>
          <w:rFonts w:ascii="Century Gothic" w:hAnsi="Century Gothic"/>
        </w:rPr>
        <w:t>610</w:t>
      </w:r>
      <w:r w:rsidR="2C5752A3" w:rsidRPr="009A7DCE">
        <w:rPr>
          <w:rFonts w:ascii="Century Gothic" w:hAnsi="Century Gothic"/>
        </w:rPr>
        <w:t xml:space="preserve"> </w:t>
      </w:r>
      <w:r w:rsidR="1BA60FE4" w:rsidRPr="009A7DCE">
        <w:rPr>
          <w:rFonts w:ascii="Century Gothic" w:hAnsi="Century Gothic"/>
        </w:rPr>
        <w:t>vouchers</w:t>
      </w:r>
      <w:r w:rsidR="00445BA4" w:rsidRPr="00445BA4">
        <w:rPr>
          <w:rFonts w:ascii="Century Gothic" w:hAnsi="Century Gothic"/>
        </w:rPr>
        <w:t xml:space="preserve"> </w:t>
      </w:r>
      <w:r w:rsidR="00445BA4" w:rsidRPr="00BD42BB">
        <w:rPr>
          <w:rFonts w:ascii="Century Gothic" w:hAnsi="Century Gothic"/>
        </w:rPr>
        <w:t xml:space="preserve">out of a non-RAD voucher base of </w:t>
      </w:r>
      <w:r w:rsidR="00445BA4">
        <w:rPr>
          <w:rFonts w:ascii="Century Gothic" w:hAnsi="Century Gothic"/>
        </w:rPr>
        <w:t>4906</w:t>
      </w:r>
      <w:r w:rsidR="1BA60FE4" w:rsidRPr="009A7DCE">
        <w:rPr>
          <w:rFonts w:ascii="Century Gothic" w:hAnsi="Century Gothic"/>
        </w:rPr>
        <w:t>.</w:t>
      </w:r>
      <w:r w:rsidR="002629D5" w:rsidRPr="009A7DCE">
        <w:rPr>
          <w:rStyle w:val="FootnoteReference"/>
          <w:rFonts w:ascii="Century Gothic" w:hAnsi="Century Gothic"/>
        </w:rPr>
        <w:footnoteReference w:id="13"/>
      </w:r>
      <w:r w:rsidR="35A17CF1" w:rsidRPr="00BD42BB">
        <w:rPr>
          <w:rFonts w:ascii="Century Gothic" w:hAnsi="Century Gothic"/>
        </w:rPr>
        <w:t xml:space="preserve"> </w:t>
      </w:r>
      <w:r w:rsidR="001D79BB">
        <w:rPr>
          <w:rFonts w:ascii="Century Gothic" w:hAnsi="Century Gothic"/>
        </w:rPr>
        <w:t xml:space="preserve"> </w:t>
      </w:r>
      <w:r w:rsidR="00B41527">
        <w:rPr>
          <w:rFonts w:ascii="Century Gothic" w:hAnsi="Century Gothic"/>
        </w:rPr>
        <w:t>Although, some PBVs were awarded, t</w:t>
      </w:r>
      <w:r w:rsidR="001D79BB">
        <w:rPr>
          <w:rFonts w:ascii="Century Gothic" w:hAnsi="Century Gothic"/>
        </w:rPr>
        <w:t xml:space="preserve">here was also a reduction of </w:t>
      </w:r>
      <w:r w:rsidR="00B41527">
        <w:rPr>
          <w:rFonts w:ascii="Century Gothic" w:hAnsi="Century Gothic"/>
        </w:rPr>
        <w:t xml:space="preserve">other </w:t>
      </w:r>
      <w:r w:rsidR="001D79BB">
        <w:rPr>
          <w:rFonts w:ascii="Century Gothic" w:hAnsi="Century Gothic"/>
        </w:rPr>
        <w:t>PBV</w:t>
      </w:r>
      <w:r w:rsidR="00B41527">
        <w:rPr>
          <w:rFonts w:ascii="Century Gothic" w:hAnsi="Century Gothic"/>
        </w:rPr>
        <w:t xml:space="preserve"> </w:t>
      </w:r>
      <w:r w:rsidR="004F6382">
        <w:rPr>
          <w:rFonts w:ascii="Century Gothic" w:hAnsi="Century Gothic"/>
        </w:rPr>
        <w:t>contracts in</w:t>
      </w:r>
      <w:r w:rsidR="001D79BB">
        <w:rPr>
          <w:rFonts w:ascii="Century Gothic" w:hAnsi="Century Gothic"/>
        </w:rPr>
        <w:t xml:space="preserve"> FY2024.  </w:t>
      </w:r>
      <w:r w:rsidR="418C589C" w:rsidRPr="00BD42BB">
        <w:rPr>
          <w:rFonts w:ascii="Century Gothic" w:hAnsi="Century Gothic"/>
        </w:rPr>
        <w:t xml:space="preserve">At current voucher budget authorization levels, reaching 25% is the equivalent </w:t>
      </w:r>
      <w:r w:rsidR="00445BA4">
        <w:rPr>
          <w:rFonts w:ascii="Century Gothic" w:hAnsi="Century Gothic"/>
        </w:rPr>
        <w:t>of</w:t>
      </w:r>
      <w:r w:rsidR="7F5DC0BB" w:rsidRPr="00BD42BB">
        <w:rPr>
          <w:rFonts w:ascii="Century Gothic" w:hAnsi="Century Gothic"/>
        </w:rPr>
        <w:t xml:space="preserve"> </w:t>
      </w:r>
      <w:r w:rsidR="00C06750">
        <w:rPr>
          <w:rFonts w:ascii="Century Gothic" w:hAnsi="Century Gothic"/>
        </w:rPr>
        <w:t xml:space="preserve">approximately </w:t>
      </w:r>
      <w:r w:rsidR="00445BA4">
        <w:rPr>
          <w:rFonts w:ascii="Century Gothic" w:hAnsi="Century Gothic"/>
        </w:rPr>
        <w:t xml:space="preserve">an </w:t>
      </w:r>
      <w:r w:rsidR="006614F3">
        <w:rPr>
          <w:rFonts w:ascii="Century Gothic" w:hAnsi="Century Gothic"/>
        </w:rPr>
        <w:t xml:space="preserve">additional </w:t>
      </w:r>
      <w:r w:rsidR="00C06750">
        <w:rPr>
          <w:rFonts w:ascii="Century Gothic" w:hAnsi="Century Gothic"/>
        </w:rPr>
        <w:t>615</w:t>
      </w:r>
      <w:r w:rsidR="006614F3">
        <w:rPr>
          <w:rFonts w:ascii="Century Gothic" w:hAnsi="Century Gothic"/>
        </w:rPr>
        <w:t xml:space="preserve"> </w:t>
      </w:r>
      <w:r w:rsidR="6A858488" w:rsidRPr="00BD42BB">
        <w:rPr>
          <w:rFonts w:ascii="Century Gothic" w:hAnsi="Century Gothic"/>
        </w:rPr>
        <w:t xml:space="preserve">vouchers to remain compliant with this initiative. </w:t>
      </w:r>
    </w:p>
    <w:p w14:paraId="1377E01F" w14:textId="77777777" w:rsidR="00745C1B" w:rsidRPr="00BD42BB" w:rsidRDefault="00745C1B" w:rsidP="00C41555">
      <w:pPr>
        <w:pStyle w:val="Heading4"/>
        <w:rPr>
          <w:rStyle w:val="SubtleEmphasis"/>
          <w:rFonts w:ascii="Century Gothic" w:hAnsi="Century Gothic" w:cs="Times New Roman"/>
          <w:color w:val="808080" w:themeColor="background1" w:themeShade="80"/>
          <w:sz w:val="22"/>
        </w:rPr>
      </w:pPr>
      <w:r w:rsidRPr="00BD42BB">
        <w:rPr>
          <w:rStyle w:val="SubtleEmphasis"/>
          <w:rFonts w:ascii="Century Gothic" w:hAnsi="Century Gothic" w:cs="Times New Roman"/>
          <w:color w:val="808080" w:themeColor="background1" w:themeShade="80"/>
          <w:sz w:val="22"/>
        </w:rPr>
        <w:t>Impact</w:t>
      </w:r>
    </w:p>
    <w:p w14:paraId="334B38B2" w14:textId="193CDC65" w:rsidR="00757459" w:rsidRPr="00BD42BB" w:rsidRDefault="6F134F35" w:rsidP="2B47D2C6">
      <w:pPr>
        <w:autoSpaceDE w:val="0"/>
        <w:autoSpaceDN w:val="0"/>
        <w:adjustRightInd w:val="0"/>
        <w:rPr>
          <w:rFonts w:ascii="Century Gothic" w:hAnsi="Century Gothic"/>
        </w:rPr>
      </w:pPr>
      <w:r w:rsidRPr="00BD42BB">
        <w:rPr>
          <w:rFonts w:ascii="Century Gothic" w:hAnsi="Century Gothic"/>
        </w:rPr>
        <w:t>ECC/HANH uses its ability to project</w:t>
      </w:r>
      <w:r w:rsidR="694ADC1B" w:rsidRPr="00BD42BB">
        <w:rPr>
          <w:rFonts w:ascii="Century Gothic" w:hAnsi="Century Gothic"/>
        </w:rPr>
        <w:t>-</w:t>
      </w:r>
      <w:proofErr w:type="gramStart"/>
      <w:r w:rsidR="694ADC1B" w:rsidRPr="00BD42BB">
        <w:rPr>
          <w:rFonts w:ascii="Century Gothic" w:hAnsi="Century Gothic"/>
        </w:rPr>
        <w:t>base</w:t>
      </w:r>
      <w:proofErr w:type="gramEnd"/>
      <w:r w:rsidR="694ADC1B" w:rsidRPr="00BD42BB">
        <w:rPr>
          <w:rFonts w:ascii="Century Gothic" w:hAnsi="Century Gothic"/>
        </w:rPr>
        <w:t xml:space="preserve"> vouchers </w:t>
      </w:r>
      <w:proofErr w:type="gramStart"/>
      <w:r w:rsidR="694ADC1B" w:rsidRPr="00BD42BB">
        <w:rPr>
          <w:rFonts w:ascii="Century Gothic" w:hAnsi="Century Gothic"/>
        </w:rPr>
        <w:t>in order to</w:t>
      </w:r>
      <w:proofErr w:type="gramEnd"/>
      <w:r w:rsidR="694ADC1B" w:rsidRPr="00BD42BB">
        <w:rPr>
          <w:rFonts w:ascii="Century Gothic" w:hAnsi="Century Gothic"/>
        </w:rPr>
        <w:t xml:space="preserve"> increase the availability of quality affordable housing options.  </w:t>
      </w:r>
      <w:r w:rsidR="4F3649D2" w:rsidRPr="00BD42BB">
        <w:rPr>
          <w:rFonts w:ascii="Century Gothic" w:hAnsi="Century Gothic"/>
        </w:rPr>
        <w:t xml:space="preserve"> </w:t>
      </w:r>
    </w:p>
    <w:p w14:paraId="6E0B2E93" w14:textId="3EDC4736" w:rsidR="00DF08F8" w:rsidRPr="00BD42BB" w:rsidRDefault="00DF08F8" w:rsidP="2B47D2C6">
      <w:pPr>
        <w:autoSpaceDE w:val="0"/>
        <w:autoSpaceDN w:val="0"/>
        <w:adjustRightInd w:val="0"/>
        <w:rPr>
          <w:rFonts w:ascii="Century Gothic" w:hAnsi="Century Gothic"/>
        </w:rPr>
      </w:pPr>
    </w:p>
    <w:p w14:paraId="67CACC71" w14:textId="5CD21BC5" w:rsidR="003A2606" w:rsidRPr="00BD42BB" w:rsidRDefault="00757459" w:rsidP="000B2B2A">
      <w:pPr>
        <w:pStyle w:val="Heading4"/>
        <w:rPr>
          <w:rStyle w:val="SubtleEmphasis"/>
          <w:rFonts w:ascii="Century Gothic" w:hAnsi="Century Gothic"/>
          <w:color w:val="808080" w:themeColor="background1" w:themeShade="80"/>
          <w:sz w:val="22"/>
        </w:rPr>
      </w:pPr>
      <w:r w:rsidRPr="00BD42BB">
        <w:rPr>
          <w:rStyle w:val="SubtleEmphasis"/>
          <w:rFonts w:ascii="Century Gothic" w:hAnsi="Century Gothic" w:cs="Times New Roman"/>
          <w:color w:val="808080" w:themeColor="background1" w:themeShade="80"/>
          <w:sz w:val="22"/>
        </w:rPr>
        <w:t>O</w:t>
      </w:r>
      <w:r w:rsidR="00E64FFF" w:rsidRPr="00BD42BB">
        <w:rPr>
          <w:rStyle w:val="SubtleEmphasis"/>
          <w:rFonts w:ascii="Century Gothic" w:hAnsi="Century Gothic" w:cs="Times New Roman"/>
          <w:color w:val="808080" w:themeColor="background1" w:themeShade="80"/>
          <w:sz w:val="22"/>
        </w:rPr>
        <w:t>utcomes</w:t>
      </w:r>
    </w:p>
    <w:p w14:paraId="6A120BB3" w14:textId="59498692" w:rsidR="00D520AC" w:rsidRPr="00BD42BB" w:rsidRDefault="000B6D85" w:rsidP="00C77BC9">
      <w:pPr>
        <w:rPr>
          <w:rFonts w:ascii="Century Gothic" w:hAnsi="Century Gothic"/>
          <w:szCs w:val="22"/>
        </w:rPr>
      </w:pPr>
      <w:r>
        <w:rPr>
          <w:rStyle w:val="IntenseEmphasis"/>
          <w:rFonts w:ascii="Century Gothic" w:hAnsi="Century Gothic"/>
          <w:color w:val="auto"/>
          <w:sz w:val="22"/>
          <w:szCs w:val="22"/>
        </w:rPr>
        <w:t>Internal</w:t>
      </w:r>
      <w:r w:rsidR="00E64FFF" w:rsidRPr="00BD42BB">
        <w:rPr>
          <w:rStyle w:val="IntenseEmphasis"/>
          <w:rFonts w:ascii="Century Gothic" w:hAnsi="Century Gothic"/>
          <w:color w:val="auto"/>
          <w:sz w:val="22"/>
          <w:szCs w:val="22"/>
        </w:rPr>
        <w:t xml:space="preserve"> Metrics</w:t>
      </w:r>
    </w:p>
    <w:p w14:paraId="5157CD82" w14:textId="77777777" w:rsidR="003A2606" w:rsidRPr="00BD42BB" w:rsidRDefault="003A2606" w:rsidP="00CB1B99">
      <w:pPr>
        <w:rPr>
          <w:rFonts w:ascii="Century Gothic" w:hAnsi="Century Gothic"/>
          <w:b/>
          <w:szCs w:val="22"/>
        </w:rPr>
      </w:pPr>
    </w:p>
    <w:tbl>
      <w:tblPr>
        <w:tblStyle w:val="TableGrid"/>
        <w:tblW w:w="0" w:type="auto"/>
        <w:tblLayout w:type="fixed"/>
        <w:tblLook w:val="04A0" w:firstRow="1" w:lastRow="0" w:firstColumn="1" w:lastColumn="0" w:noHBand="0" w:noVBand="1"/>
      </w:tblPr>
      <w:tblGrid>
        <w:gridCol w:w="2610"/>
        <w:gridCol w:w="1710"/>
        <w:gridCol w:w="1710"/>
        <w:gridCol w:w="2520"/>
        <w:gridCol w:w="1376"/>
      </w:tblGrid>
      <w:tr w:rsidR="009E30A0" w:rsidRPr="00BD42BB" w14:paraId="67AF1D16" w14:textId="77777777" w:rsidTr="188A1EBF">
        <w:trPr>
          <w:trHeight w:val="400"/>
        </w:trPr>
        <w:tc>
          <w:tcPr>
            <w:tcW w:w="9926" w:type="dxa"/>
            <w:gridSpan w:val="5"/>
            <w:tcBorders>
              <w:top w:val="nil"/>
              <w:left w:val="nil"/>
              <w:bottom w:val="single" w:sz="24" w:space="0" w:color="B5333C" w:themeColor="accent2"/>
              <w:right w:val="nil"/>
            </w:tcBorders>
            <w:shd w:val="clear" w:color="auto" w:fill="808080" w:themeFill="background1" w:themeFillShade="80"/>
            <w:hideMark/>
          </w:tcPr>
          <w:p w14:paraId="3073DB41" w14:textId="77777777" w:rsidR="00CB1B99" w:rsidRPr="00BD42BB" w:rsidRDefault="005E6224" w:rsidP="00C77BC9">
            <w:pPr>
              <w:jc w:val="center"/>
              <w:rPr>
                <w:rFonts w:ascii="Century Gothic" w:eastAsia="Calibri" w:hAnsi="Century Gothic"/>
                <w:b/>
                <w:i/>
                <w:szCs w:val="22"/>
              </w:rPr>
            </w:pPr>
            <w:r w:rsidRPr="00BD42BB">
              <w:rPr>
                <w:rFonts w:ascii="Century Gothic" w:hAnsi="Century Gothic"/>
                <w:b/>
                <w:szCs w:val="22"/>
              </w:rPr>
              <w:t>HC #2: Units of Housing Preserved</w:t>
            </w:r>
          </w:p>
        </w:tc>
      </w:tr>
      <w:tr w:rsidR="009E30A0" w:rsidRPr="00BD42BB" w14:paraId="6C4E3644" w14:textId="77777777" w:rsidTr="188A1EBF">
        <w:trPr>
          <w:trHeight w:val="400"/>
        </w:trPr>
        <w:tc>
          <w:tcPr>
            <w:tcW w:w="2610"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tcPr>
          <w:p w14:paraId="43FBB1FA" w14:textId="77777777" w:rsidR="008975C8" w:rsidRPr="00BD42BB" w:rsidRDefault="008975C8">
            <w:pPr>
              <w:jc w:val="center"/>
              <w:rPr>
                <w:rFonts w:ascii="Century Gothic" w:hAnsi="Century Gothic"/>
                <w:b/>
                <w:szCs w:val="22"/>
              </w:rPr>
            </w:pPr>
            <w:r w:rsidRPr="00BD42BB">
              <w:rPr>
                <w:rFonts w:ascii="Century Gothic" w:hAnsi="Century Gothic"/>
                <w:b/>
                <w:szCs w:val="22"/>
              </w:rPr>
              <w:t>Unit of Measurement</w:t>
            </w:r>
          </w:p>
        </w:tc>
        <w:tc>
          <w:tcPr>
            <w:tcW w:w="171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29E7AD9F" w14:textId="77777777" w:rsidR="008975C8" w:rsidRPr="00BD42BB" w:rsidRDefault="008975C8">
            <w:pPr>
              <w:jc w:val="center"/>
              <w:rPr>
                <w:rFonts w:ascii="Century Gothic" w:hAnsi="Century Gothic"/>
                <w:b/>
                <w:szCs w:val="22"/>
              </w:rPr>
            </w:pPr>
            <w:r w:rsidRPr="00BD42BB">
              <w:rPr>
                <w:rFonts w:ascii="Century Gothic" w:hAnsi="Century Gothic"/>
                <w:b/>
                <w:szCs w:val="22"/>
              </w:rPr>
              <w:t>Baseline</w:t>
            </w:r>
          </w:p>
        </w:tc>
        <w:tc>
          <w:tcPr>
            <w:tcW w:w="171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37FC7285" w14:textId="77777777" w:rsidR="008975C8" w:rsidRPr="00BD42BB" w:rsidRDefault="008975C8">
            <w:pPr>
              <w:jc w:val="center"/>
              <w:rPr>
                <w:rFonts w:ascii="Century Gothic" w:hAnsi="Century Gothic"/>
                <w:b/>
                <w:szCs w:val="22"/>
              </w:rPr>
            </w:pPr>
            <w:r w:rsidRPr="00BD42BB">
              <w:rPr>
                <w:rFonts w:ascii="Century Gothic" w:hAnsi="Century Gothic"/>
                <w:b/>
                <w:szCs w:val="22"/>
              </w:rPr>
              <w:t>Benchmark</w:t>
            </w:r>
          </w:p>
        </w:tc>
        <w:tc>
          <w:tcPr>
            <w:tcW w:w="252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6AC23646" w14:textId="77777777" w:rsidR="008975C8" w:rsidRPr="00BD42BB" w:rsidRDefault="008975C8">
            <w:pPr>
              <w:jc w:val="center"/>
              <w:rPr>
                <w:rFonts w:ascii="Century Gothic" w:hAnsi="Century Gothic"/>
                <w:b/>
                <w:szCs w:val="22"/>
              </w:rPr>
            </w:pPr>
            <w:r w:rsidRPr="00BD42BB">
              <w:rPr>
                <w:rFonts w:ascii="Century Gothic" w:hAnsi="Century Gothic"/>
                <w:b/>
                <w:szCs w:val="22"/>
              </w:rPr>
              <w:t>Outcome</w:t>
            </w:r>
          </w:p>
        </w:tc>
        <w:tc>
          <w:tcPr>
            <w:tcW w:w="1376"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tcPr>
          <w:p w14:paraId="37A91317" w14:textId="77777777" w:rsidR="008975C8" w:rsidRPr="00BD42BB" w:rsidRDefault="008975C8">
            <w:pPr>
              <w:jc w:val="center"/>
              <w:rPr>
                <w:rFonts w:ascii="Century Gothic" w:hAnsi="Century Gothic"/>
                <w:b/>
                <w:szCs w:val="22"/>
              </w:rPr>
            </w:pPr>
            <w:r w:rsidRPr="00BD42BB">
              <w:rPr>
                <w:rFonts w:ascii="Century Gothic" w:hAnsi="Century Gothic"/>
                <w:b/>
                <w:szCs w:val="22"/>
              </w:rPr>
              <w:t>Benchmark Achieved?</w:t>
            </w:r>
          </w:p>
        </w:tc>
      </w:tr>
      <w:tr w:rsidR="009E30A0" w:rsidRPr="00BD42BB" w14:paraId="5368F651" w14:textId="77777777" w:rsidTr="188A1EBF">
        <w:trPr>
          <w:trHeight w:val="62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0F84B189" w14:textId="77777777" w:rsidR="00272C5E" w:rsidRPr="00BD42BB" w:rsidRDefault="005E6224" w:rsidP="00272C5E">
            <w:pPr>
              <w:shd w:val="clear" w:color="auto" w:fill="FFFFFF"/>
              <w:rPr>
                <w:rFonts w:ascii="Century Gothic" w:eastAsia="Calibri" w:hAnsi="Century Gothic"/>
                <w:szCs w:val="22"/>
              </w:rPr>
            </w:pPr>
            <w:r w:rsidRPr="00BD42BB">
              <w:rPr>
                <w:rFonts w:ascii="Century Gothic" w:eastAsia="Calibri" w:hAnsi="Century Gothic"/>
                <w:szCs w:val="22"/>
              </w:rPr>
              <w:t xml:space="preserve">Number of housing units </w:t>
            </w:r>
            <w:proofErr w:type="gramStart"/>
            <w:r w:rsidRPr="00BD42BB">
              <w:rPr>
                <w:rFonts w:ascii="Century Gothic" w:eastAsia="Calibri" w:hAnsi="Century Gothic"/>
                <w:szCs w:val="22"/>
              </w:rPr>
              <w:t>preserved</w:t>
            </w:r>
            <w:proofErr w:type="gramEnd"/>
            <w:r w:rsidRPr="00BD42BB">
              <w:rPr>
                <w:rFonts w:ascii="Century Gothic" w:eastAsia="Calibri" w:hAnsi="Century Gothic"/>
                <w:szCs w:val="22"/>
              </w:rPr>
              <w:t xml:space="preserve"> for households at or below 80% AMI that would otherwise not be available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09B9EB9" w14:textId="5DE330EC" w:rsidR="00272C5E" w:rsidRPr="00BD42BB" w:rsidRDefault="00BE1AFC" w:rsidP="00272C5E">
            <w:pPr>
              <w:shd w:val="clear" w:color="auto" w:fill="FFFFFF"/>
              <w:rPr>
                <w:rFonts w:ascii="Century Gothic" w:eastAsia="Calibri" w:hAnsi="Century Gothic"/>
                <w:szCs w:val="22"/>
              </w:rPr>
            </w:pPr>
            <w:r w:rsidRPr="00BD42BB">
              <w:rPr>
                <w:rFonts w:ascii="Century Gothic" w:eastAsia="Calibri" w:hAnsi="Century Gothic"/>
                <w:szCs w:val="22"/>
              </w:rPr>
              <w:t>1,970</w:t>
            </w:r>
            <w:r w:rsidR="005E6224" w:rsidRPr="00BD42BB">
              <w:rPr>
                <w:rFonts w:ascii="Century Gothic" w:eastAsia="Calibri" w:hAnsi="Century Gothic"/>
                <w:szCs w:val="22"/>
              </w:rPr>
              <w:t xml:space="preserve"> units (frozen 2001 base)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1D2503C3" w14:textId="15F4ABE0" w:rsidR="00272C5E" w:rsidRPr="00BD42BB" w:rsidRDefault="00E64FFF" w:rsidP="00272C5E">
            <w:pPr>
              <w:shd w:val="clear" w:color="auto" w:fill="FFFFFF"/>
              <w:rPr>
                <w:rFonts w:ascii="Century Gothic" w:eastAsia="Calibri" w:hAnsi="Century Gothic"/>
                <w:szCs w:val="22"/>
              </w:rPr>
            </w:pPr>
            <w:r w:rsidRPr="00BD42BB">
              <w:rPr>
                <w:rFonts w:ascii="Century Gothic" w:hAnsi="Century Gothic"/>
                <w:szCs w:val="22"/>
              </w:rPr>
              <w:t xml:space="preserve">Decrease of </w:t>
            </w:r>
            <w:r w:rsidR="00BE1AFC" w:rsidRPr="00BD42BB">
              <w:rPr>
                <w:rFonts w:ascii="Century Gothic" w:hAnsi="Century Gothic"/>
                <w:szCs w:val="22"/>
              </w:rPr>
              <w:t xml:space="preserve">not more than </w:t>
            </w:r>
            <w:r w:rsidRPr="00BD42BB">
              <w:rPr>
                <w:rFonts w:ascii="Century Gothic" w:hAnsi="Century Gothic"/>
                <w:szCs w:val="22"/>
              </w:rPr>
              <w:t>5% from previous year</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5815445" w14:textId="01718C4D" w:rsidR="04382E30" w:rsidRDefault="5CCA8457" w:rsidP="33229EB5">
            <w:pPr>
              <w:rPr>
                <w:rFonts w:ascii="Century Gothic" w:hAnsi="Century Gothic"/>
              </w:rPr>
            </w:pPr>
            <w:r w:rsidRPr="00BD42BB">
              <w:rPr>
                <w:rFonts w:ascii="Century Gothic" w:hAnsi="Century Gothic"/>
              </w:rPr>
              <w:t xml:space="preserve">2024: </w:t>
            </w:r>
            <w:r w:rsidR="004B2E89">
              <w:rPr>
                <w:rFonts w:ascii="Century Gothic" w:hAnsi="Century Gothic"/>
              </w:rPr>
              <w:t>2,817</w:t>
            </w:r>
            <w:r w:rsidRPr="00BD42BB">
              <w:rPr>
                <w:rFonts w:ascii="Century Gothic" w:hAnsi="Century Gothic"/>
              </w:rPr>
              <w:t xml:space="preserve"> units*</w:t>
            </w:r>
          </w:p>
          <w:p w14:paraId="7DB2D839" w14:textId="77777777" w:rsidR="0053558F" w:rsidRPr="00BD42BB" w:rsidRDefault="0053558F" w:rsidP="33229EB5">
            <w:pPr>
              <w:rPr>
                <w:rFonts w:ascii="Century Gothic" w:hAnsi="Century Gothic"/>
              </w:rPr>
            </w:pPr>
          </w:p>
          <w:p w14:paraId="076BE0BC" w14:textId="2DC8FEFF" w:rsidR="00231B43" w:rsidRPr="00BD42BB" w:rsidRDefault="364AE959">
            <w:pPr>
              <w:rPr>
                <w:rFonts w:ascii="Century Gothic" w:hAnsi="Century Gothic"/>
              </w:rPr>
            </w:pPr>
            <w:r w:rsidRPr="00BD42BB">
              <w:rPr>
                <w:rFonts w:ascii="Century Gothic" w:hAnsi="Century Gothic"/>
              </w:rPr>
              <w:t xml:space="preserve">2023: </w:t>
            </w:r>
            <w:r w:rsidR="00D02DBC">
              <w:rPr>
                <w:rFonts w:ascii="Century Gothic" w:hAnsi="Century Gothic"/>
              </w:rPr>
              <w:t>2,788</w:t>
            </w:r>
            <w:r w:rsidR="17B84CAF" w:rsidRPr="00BD42BB">
              <w:rPr>
                <w:rFonts w:ascii="Century Gothic" w:hAnsi="Century Gothic"/>
              </w:rPr>
              <w:t xml:space="preserve"> units*</w:t>
            </w:r>
          </w:p>
          <w:p w14:paraId="3695FCDF" w14:textId="7CDD57BA" w:rsidR="009677B4" w:rsidRPr="00BD42BB" w:rsidRDefault="70B32941" w:rsidP="46B3BF7C">
            <w:pPr>
              <w:shd w:val="clear" w:color="auto" w:fill="FFFFFF" w:themeFill="background1"/>
              <w:rPr>
                <w:rFonts w:ascii="Century Gothic" w:hAnsi="Century Gothic"/>
              </w:rPr>
            </w:pPr>
            <w:r w:rsidRPr="00BD42BB">
              <w:rPr>
                <w:rFonts w:ascii="Century Gothic" w:hAnsi="Century Gothic"/>
              </w:rPr>
              <w:t>2022; 2,246</w:t>
            </w:r>
            <w:r w:rsidR="4D06B8D9" w:rsidRPr="00BD42BB">
              <w:rPr>
                <w:rFonts w:ascii="Century Gothic" w:hAnsi="Century Gothic"/>
              </w:rPr>
              <w:t xml:space="preserve"> units</w:t>
            </w:r>
          </w:p>
          <w:p w14:paraId="4DA863AB" w14:textId="5536E903" w:rsidR="00272C5E" w:rsidRPr="00BD42BB" w:rsidRDefault="00BE1AFC" w:rsidP="00272C5E">
            <w:pPr>
              <w:shd w:val="clear" w:color="auto" w:fill="FFFFFF"/>
              <w:rPr>
                <w:rFonts w:ascii="Century Gothic" w:eastAsia="Calibri" w:hAnsi="Century Gothic"/>
                <w:szCs w:val="22"/>
              </w:rPr>
            </w:pPr>
            <w:r w:rsidRPr="00BD42BB">
              <w:rPr>
                <w:rFonts w:ascii="Century Gothic" w:hAnsi="Century Gothic"/>
                <w:szCs w:val="22"/>
              </w:rPr>
              <w:t>2021:  2,246</w:t>
            </w:r>
            <w:r w:rsidR="00E33859" w:rsidRPr="00BD42BB">
              <w:rPr>
                <w:rFonts w:ascii="Century Gothic" w:hAnsi="Century Gothic"/>
                <w:szCs w:val="22"/>
              </w:rPr>
              <w:t xml:space="preserve"> units </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50046379" w14:textId="01AB966C" w:rsidR="00AA2B63" w:rsidRPr="00BD42BB" w:rsidRDefault="00445BA4" w:rsidP="0E71204A">
            <w:pPr>
              <w:shd w:val="clear" w:color="auto" w:fill="FFFFFF" w:themeFill="background1"/>
              <w:rPr>
                <w:rFonts w:ascii="Century Gothic" w:hAnsi="Century Gothic"/>
              </w:rPr>
            </w:pPr>
            <w:r>
              <w:rPr>
                <w:rFonts w:ascii="Century Gothic" w:hAnsi="Century Gothic"/>
              </w:rPr>
              <w:t>No</w:t>
            </w:r>
          </w:p>
        </w:tc>
      </w:tr>
      <w:tr w:rsidR="6B711D13" w:rsidRPr="00BD42BB" w14:paraId="29EE0DDA" w14:textId="77777777" w:rsidTr="188A1EBF">
        <w:trPr>
          <w:trHeight w:val="62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06735CA1" w14:textId="05818DFC" w:rsidR="1355AEFD" w:rsidRPr="00BD42BB" w:rsidRDefault="1355AEFD" w:rsidP="6B711D13">
            <w:pPr>
              <w:shd w:val="clear" w:color="auto" w:fill="FFFFFF" w:themeFill="background1"/>
              <w:rPr>
                <w:rFonts w:ascii="Century Gothic" w:eastAsia="Calibri" w:hAnsi="Century Gothic"/>
              </w:rPr>
            </w:pPr>
            <w:r w:rsidRPr="00BD42BB">
              <w:rPr>
                <w:rFonts w:ascii="Century Gothic" w:eastAsia="Calibri" w:hAnsi="Century Gothic"/>
              </w:rPr>
              <w:t xml:space="preserve">Number of housing units </w:t>
            </w:r>
            <w:proofErr w:type="gramStart"/>
            <w:r w:rsidRPr="00BD42BB">
              <w:rPr>
                <w:rFonts w:ascii="Century Gothic" w:eastAsia="Calibri" w:hAnsi="Century Gothic"/>
              </w:rPr>
              <w:t>preserved</w:t>
            </w:r>
            <w:proofErr w:type="gramEnd"/>
            <w:r w:rsidRPr="00BD42BB">
              <w:rPr>
                <w:rFonts w:ascii="Century Gothic" w:eastAsia="Calibri" w:hAnsi="Century Gothic"/>
              </w:rPr>
              <w:t xml:space="preserve"> for </w:t>
            </w:r>
            <w:r w:rsidRPr="00BD42BB">
              <w:rPr>
                <w:rFonts w:ascii="Century Gothic" w:eastAsia="Calibri" w:hAnsi="Century Gothic"/>
              </w:rPr>
              <w:lastRenderedPageBreak/>
              <w:t>households at or below 80% AMI that would otherwise not be available (non ECC/HANH projects)</w:t>
            </w:r>
          </w:p>
          <w:p w14:paraId="0B3876A1" w14:textId="0D696B3F" w:rsidR="6B711D13" w:rsidRPr="00BD42BB" w:rsidRDefault="6B711D13" w:rsidP="6B711D13">
            <w:pPr>
              <w:rPr>
                <w:rFonts w:ascii="Century Gothic" w:eastAsia="MS PGothic" w:hAnsi="Century Gothic"/>
                <w:szCs w:val="22"/>
              </w:rPr>
            </w:pP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77B9C0D" w14:textId="6FEAAC8C" w:rsidR="6B711D13" w:rsidRPr="00BD42BB" w:rsidRDefault="6B711D13" w:rsidP="6B711D13">
            <w:pPr>
              <w:rPr>
                <w:rFonts w:ascii="Century Gothic" w:eastAsia="MS PGothic" w:hAnsi="Century Gothic"/>
                <w:szCs w:val="22"/>
              </w:rPr>
            </w:pP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7945CCD7" w14:textId="0198B32D" w:rsidR="1355AEFD" w:rsidRPr="00BD42BB" w:rsidRDefault="1355AEFD" w:rsidP="6B711D13">
            <w:pPr>
              <w:rPr>
                <w:rFonts w:ascii="Century Gothic" w:eastAsia="MS PGothic" w:hAnsi="Century Gothic"/>
                <w:szCs w:val="22"/>
              </w:rPr>
            </w:pPr>
            <w:r w:rsidRPr="00BD42BB">
              <w:rPr>
                <w:rFonts w:ascii="Century Gothic" w:eastAsia="Times New Roman" w:hAnsi="Century Gothic"/>
                <w:szCs w:val="22"/>
              </w:rPr>
              <w:t>A</w:t>
            </w:r>
            <w:r w:rsidRPr="00BD42BB">
              <w:rPr>
                <w:rFonts w:ascii="Century Gothic" w:hAnsi="Century Gothic"/>
                <w:szCs w:val="22"/>
              </w:rPr>
              <w:t xml:space="preserve">nnual PBV awards </w:t>
            </w:r>
            <w:r w:rsidRPr="00BD42BB">
              <w:rPr>
                <w:rFonts w:ascii="Century Gothic" w:hAnsi="Century Gothic"/>
                <w:szCs w:val="22"/>
              </w:rPr>
              <w:lastRenderedPageBreak/>
              <w:t>consistent with ECC/HANH MTW Annual Plan</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7C6FDEB" w14:textId="5FBD347F" w:rsidR="0635D830" w:rsidRPr="00BD42BB" w:rsidRDefault="6FEBF882" w:rsidP="33229EB5">
            <w:pPr>
              <w:rPr>
                <w:rFonts w:ascii="Century Gothic" w:eastAsia="Times New Roman" w:hAnsi="Century Gothic"/>
              </w:rPr>
            </w:pPr>
            <w:r w:rsidRPr="00BD42BB">
              <w:rPr>
                <w:rFonts w:ascii="Century Gothic" w:eastAsia="Times New Roman" w:hAnsi="Century Gothic"/>
              </w:rPr>
              <w:lastRenderedPageBreak/>
              <w:t xml:space="preserve">2024: </w:t>
            </w:r>
            <w:r w:rsidR="20BA74A7" w:rsidRPr="00BD42BB">
              <w:rPr>
                <w:rFonts w:ascii="Century Gothic" w:eastAsia="Times New Roman" w:hAnsi="Century Gothic"/>
              </w:rPr>
              <w:t>20</w:t>
            </w:r>
            <w:r w:rsidR="157C2A4D" w:rsidRPr="00BD42BB">
              <w:rPr>
                <w:rFonts w:ascii="Century Gothic" w:eastAsia="Times New Roman" w:hAnsi="Century Gothic"/>
              </w:rPr>
              <w:t xml:space="preserve"> </w:t>
            </w:r>
            <w:r w:rsidRPr="00BD42BB">
              <w:rPr>
                <w:rFonts w:ascii="Century Gothic" w:eastAsia="Times New Roman" w:hAnsi="Century Gothic"/>
              </w:rPr>
              <w:t>units awarded</w:t>
            </w:r>
          </w:p>
          <w:p w14:paraId="549036D4" w14:textId="32F4ABC3" w:rsidR="00231B43" w:rsidRPr="00BD42BB" w:rsidRDefault="695BA6CC">
            <w:pPr>
              <w:rPr>
                <w:rFonts w:ascii="Century Gothic" w:eastAsia="Times New Roman" w:hAnsi="Century Gothic"/>
              </w:rPr>
            </w:pPr>
            <w:r w:rsidRPr="00BD42BB">
              <w:rPr>
                <w:rFonts w:ascii="Century Gothic" w:eastAsia="Times New Roman" w:hAnsi="Century Gothic"/>
              </w:rPr>
              <w:lastRenderedPageBreak/>
              <w:t xml:space="preserve">2023: </w:t>
            </w:r>
            <w:r w:rsidR="5742D187" w:rsidRPr="00BD42BB">
              <w:rPr>
                <w:rFonts w:ascii="Century Gothic" w:eastAsia="Times New Roman" w:hAnsi="Century Gothic"/>
              </w:rPr>
              <w:t>19</w:t>
            </w:r>
            <w:r w:rsidR="3011C67D" w:rsidRPr="00BD42BB">
              <w:rPr>
                <w:rFonts w:ascii="Century Gothic" w:eastAsia="Times New Roman" w:hAnsi="Century Gothic"/>
              </w:rPr>
              <w:t xml:space="preserve"> units awarded</w:t>
            </w:r>
          </w:p>
          <w:p w14:paraId="5A2BE858" w14:textId="0EA7C07D" w:rsidR="009677B4" w:rsidRPr="00BD42BB" w:rsidRDefault="009677B4" w:rsidP="6B711D13">
            <w:pPr>
              <w:rPr>
                <w:rFonts w:ascii="Century Gothic" w:eastAsia="Times New Roman" w:hAnsi="Century Gothic"/>
                <w:szCs w:val="22"/>
              </w:rPr>
            </w:pPr>
            <w:r w:rsidRPr="00BD42BB">
              <w:rPr>
                <w:rFonts w:ascii="Century Gothic" w:eastAsia="Times New Roman" w:hAnsi="Century Gothic"/>
                <w:szCs w:val="22"/>
              </w:rPr>
              <w:t>2022: 0 units awarded</w:t>
            </w:r>
          </w:p>
          <w:p w14:paraId="2AD60251" w14:textId="2746976D" w:rsidR="1355AEFD" w:rsidRPr="00BD42BB" w:rsidRDefault="1355AEFD" w:rsidP="6B711D13">
            <w:pPr>
              <w:rPr>
                <w:rFonts w:ascii="Century Gothic" w:eastAsia="Times New Roman" w:hAnsi="Century Gothic"/>
                <w:szCs w:val="22"/>
              </w:rPr>
            </w:pPr>
            <w:r w:rsidRPr="00BD42BB">
              <w:rPr>
                <w:rFonts w:ascii="Century Gothic" w:eastAsia="Times New Roman" w:hAnsi="Century Gothic"/>
                <w:szCs w:val="22"/>
              </w:rPr>
              <w:t>2021: 100 units awarded</w:t>
            </w:r>
          </w:p>
          <w:p w14:paraId="0DE49682" w14:textId="77777777" w:rsidR="1355AEFD" w:rsidRDefault="1355AEFD" w:rsidP="6B711D13">
            <w:pPr>
              <w:rPr>
                <w:rFonts w:ascii="Century Gothic" w:eastAsia="Times New Roman" w:hAnsi="Century Gothic"/>
                <w:szCs w:val="22"/>
              </w:rPr>
            </w:pPr>
            <w:r w:rsidRPr="00BD42BB">
              <w:rPr>
                <w:rFonts w:ascii="Century Gothic" w:eastAsia="Times New Roman" w:hAnsi="Century Gothic"/>
                <w:szCs w:val="22"/>
              </w:rPr>
              <w:t>2020: 100 units awarded</w:t>
            </w:r>
          </w:p>
          <w:p w14:paraId="616E5A11" w14:textId="519544EB" w:rsidR="00B41527" w:rsidRPr="00BD42BB" w:rsidRDefault="00B41527" w:rsidP="6B711D13">
            <w:pPr>
              <w:rPr>
                <w:rFonts w:ascii="Century Gothic" w:eastAsia="Times New Roman" w:hAnsi="Century Gothic"/>
                <w:szCs w:val="22"/>
              </w:rPr>
            </w:pP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1735A077" w14:textId="2D543763" w:rsidR="1355AEFD" w:rsidRPr="00BD42BB" w:rsidRDefault="1355AEFD" w:rsidP="6B711D13">
            <w:pPr>
              <w:rPr>
                <w:rFonts w:ascii="Century Gothic" w:eastAsia="Times New Roman" w:hAnsi="Century Gothic"/>
              </w:rPr>
            </w:pPr>
          </w:p>
        </w:tc>
      </w:tr>
      <w:tr w:rsidR="009E30A0" w:rsidRPr="00BD42BB" w14:paraId="2F9D3BE8" w14:textId="77777777" w:rsidTr="188A1EBF">
        <w:trPr>
          <w:trHeight w:val="400"/>
        </w:trPr>
        <w:tc>
          <w:tcPr>
            <w:tcW w:w="9926" w:type="dxa"/>
            <w:gridSpan w:val="5"/>
            <w:tcBorders>
              <w:top w:val="nil"/>
              <w:left w:val="nil"/>
              <w:bottom w:val="single" w:sz="4" w:space="0" w:color="D9D9D9" w:themeColor="background1" w:themeShade="D9"/>
              <w:right w:val="nil"/>
            </w:tcBorders>
            <w:shd w:val="clear" w:color="auto" w:fill="808080" w:themeFill="background1" w:themeFillShade="80"/>
            <w:hideMark/>
          </w:tcPr>
          <w:p w14:paraId="7CBE67B3" w14:textId="77777777" w:rsidR="00CB1B99" w:rsidRPr="00BD42BB" w:rsidRDefault="005E6224" w:rsidP="00C77BC9">
            <w:pPr>
              <w:jc w:val="center"/>
              <w:rPr>
                <w:rFonts w:ascii="Century Gothic" w:eastAsia="Calibri" w:hAnsi="Century Gothic"/>
                <w:b/>
                <w:i/>
                <w:szCs w:val="22"/>
              </w:rPr>
            </w:pPr>
            <w:r w:rsidRPr="00BD42BB">
              <w:rPr>
                <w:rFonts w:ascii="Century Gothic" w:hAnsi="Century Gothic"/>
                <w:b/>
                <w:szCs w:val="22"/>
              </w:rPr>
              <w:t>CE #4: Increase in Resources Leveraged</w:t>
            </w:r>
          </w:p>
        </w:tc>
      </w:tr>
      <w:tr w:rsidR="009E30A0" w:rsidRPr="00BD42BB" w14:paraId="41A48CC8"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E10131D"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 xml:space="preserve">Brookside I </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9BA2597"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540D477"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323C56D" w14:textId="77777777" w:rsidR="00344105" w:rsidRPr="00BD42BB" w:rsidRDefault="00344105" w:rsidP="00344105">
            <w:pPr>
              <w:rPr>
                <w:rFonts w:ascii="Century Gothic" w:hAnsi="Century Gothic"/>
                <w:szCs w:val="22"/>
              </w:rPr>
            </w:pPr>
            <w:r w:rsidRPr="00BD42BB">
              <w:rPr>
                <w:rFonts w:ascii="Century Gothic" w:hAnsi="Century Gothic"/>
                <w:szCs w:val="22"/>
              </w:rPr>
              <w:t>2016: 2.3</w:t>
            </w:r>
          </w:p>
          <w:p w14:paraId="6E59CB86"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2.3</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05E1C739"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34355B92"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60B99B89"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 xml:space="preserve">Brookside II </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B90D087"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D9CAB41"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E6298C8" w14:textId="77777777" w:rsidR="00344105" w:rsidRPr="00BD42BB" w:rsidRDefault="00344105" w:rsidP="00344105">
            <w:pPr>
              <w:rPr>
                <w:rFonts w:ascii="Century Gothic" w:hAnsi="Century Gothic"/>
                <w:szCs w:val="22"/>
              </w:rPr>
            </w:pPr>
            <w:r w:rsidRPr="00BD42BB">
              <w:rPr>
                <w:rFonts w:ascii="Century Gothic" w:hAnsi="Century Gothic"/>
                <w:szCs w:val="22"/>
              </w:rPr>
              <w:t>2016: 7.5</w:t>
            </w:r>
          </w:p>
          <w:p w14:paraId="378C0507"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7.5</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11A9A541"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61071C97"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7E06C946"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 xml:space="preserve">Rockview I </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5648F71"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DDFDC8F"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01D331C" w14:textId="77777777" w:rsidR="00344105" w:rsidRPr="00BD42BB" w:rsidRDefault="00344105" w:rsidP="00344105">
            <w:pPr>
              <w:rPr>
                <w:rFonts w:ascii="Century Gothic" w:hAnsi="Century Gothic"/>
                <w:szCs w:val="22"/>
              </w:rPr>
            </w:pPr>
            <w:r w:rsidRPr="00BD42BB">
              <w:rPr>
                <w:rFonts w:ascii="Century Gothic" w:hAnsi="Century Gothic"/>
                <w:szCs w:val="22"/>
              </w:rPr>
              <w:t>2016: 4.6</w:t>
            </w:r>
          </w:p>
          <w:p w14:paraId="2B3EBF38"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4.6</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13A9F89"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6E47EB4C"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68E0B42E"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 xml:space="preserve">122 Wilmot Road </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F6D350F"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B994CF3"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329F192" w14:textId="77777777" w:rsidR="00344105" w:rsidRPr="00BD42BB" w:rsidRDefault="00344105" w:rsidP="00344105">
            <w:pPr>
              <w:rPr>
                <w:rFonts w:ascii="Century Gothic" w:hAnsi="Century Gothic"/>
                <w:szCs w:val="22"/>
              </w:rPr>
            </w:pPr>
            <w:r w:rsidRPr="00BD42BB">
              <w:rPr>
                <w:rFonts w:ascii="Century Gothic" w:hAnsi="Century Gothic"/>
                <w:szCs w:val="22"/>
              </w:rPr>
              <w:t>2016: 3.2</w:t>
            </w:r>
          </w:p>
          <w:p w14:paraId="2B257270"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3.2</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56A40B07"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6ADBDC46"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581AC80E"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Brookside Homeownership</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679AE42"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51EE667"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D79E1C0" w14:textId="77777777" w:rsidR="00344105" w:rsidRPr="00BD42BB" w:rsidRDefault="00344105" w:rsidP="00344105">
            <w:pPr>
              <w:rPr>
                <w:rFonts w:ascii="Century Gothic" w:hAnsi="Century Gothic"/>
                <w:szCs w:val="22"/>
              </w:rPr>
            </w:pPr>
            <w:r w:rsidRPr="00BD42BB">
              <w:rPr>
                <w:rFonts w:ascii="Century Gothic" w:hAnsi="Century Gothic"/>
                <w:szCs w:val="22"/>
              </w:rPr>
              <w:t>2016: 1.7</w:t>
            </w:r>
          </w:p>
          <w:p w14:paraId="67D63E8A"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1.6</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12A3264"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509B2ABF"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0F9E613E" w14:textId="77777777" w:rsidR="00344105" w:rsidRPr="00BD42BB" w:rsidRDefault="00344105" w:rsidP="00344105">
            <w:pPr>
              <w:shd w:val="clear" w:color="auto" w:fill="FFFFFF"/>
              <w:rPr>
                <w:rFonts w:ascii="Century Gothic" w:eastAsia="Calibri" w:hAnsi="Century Gothic"/>
                <w:szCs w:val="22"/>
              </w:rPr>
            </w:pPr>
            <w:proofErr w:type="spellStart"/>
            <w:r w:rsidRPr="00BD42BB">
              <w:rPr>
                <w:rFonts w:ascii="Century Gothic" w:hAnsi="Century Gothic"/>
                <w:szCs w:val="22"/>
              </w:rPr>
              <w:t>Ribicoff</w:t>
            </w:r>
            <w:proofErr w:type="spellEnd"/>
            <w:r w:rsidRPr="00BD42BB">
              <w:rPr>
                <w:rFonts w:ascii="Century Gothic" w:hAnsi="Century Gothic"/>
                <w:szCs w:val="22"/>
              </w:rPr>
              <w:t xml:space="preserve"> I </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A054C15"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844A32F"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352EF3" w14:textId="77777777" w:rsidR="00344105" w:rsidRPr="00BD42BB" w:rsidRDefault="00344105" w:rsidP="00344105">
            <w:pPr>
              <w:rPr>
                <w:rFonts w:ascii="Century Gothic" w:hAnsi="Century Gothic"/>
                <w:szCs w:val="22"/>
              </w:rPr>
            </w:pPr>
            <w:r w:rsidRPr="00BD42BB">
              <w:rPr>
                <w:rFonts w:ascii="Century Gothic" w:hAnsi="Century Gothic"/>
                <w:szCs w:val="22"/>
              </w:rPr>
              <w:t>2016: 6.1</w:t>
            </w:r>
          </w:p>
          <w:p w14:paraId="6F56D0D4"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6.1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709649D4"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59334730"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6BC3CE68" w14:textId="77777777" w:rsidR="00344105" w:rsidRPr="00BD42BB" w:rsidRDefault="00344105" w:rsidP="00344105">
            <w:pPr>
              <w:shd w:val="clear" w:color="auto" w:fill="FFFFFF"/>
              <w:rPr>
                <w:rFonts w:ascii="Century Gothic" w:eastAsia="Calibri" w:hAnsi="Century Gothic"/>
                <w:szCs w:val="22"/>
              </w:rPr>
            </w:pPr>
            <w:proofErr w:type="spellStart"/>
            <w:r w:rsidRPr="00BD42BB">
              <w:rPr>
                <w:rFonts w:ascii="Century Gothic" w:hAnsi="Century Gothic"/>
                <w:szCs w:val="22"/>
              </w:rPr>
              <w:t>Ribicoff</w:t>
            </w:r>
            <w:proofErr w:type="spellEnd"/>
            <w:r w:rsidRPr="00BD42BB">
              <w:rPr>
                <w:rFonts w:ascii="Century Gothic" w:hAnsi="Century Gothic"/>
                <w:szCs w:val="22"/>
              </w:rPr>
              <w:t xml:space="preserve"> II </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1D250A2"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C6C4393"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0692762" w14:textId="77777777" w:rsidR="00344105" w:rsidRPr="00BD42BB" w:rsidRDefault="00344105" w:rsidP="00344105">
            <w:pPr>
              <w:rPr>
                <w:rFonts w:ascii="Century Gothic" w:hAnsi="Century Gothic"/>
                <w:szCs w:val="22"/>
              </w:rPr>
            </w:pPr>
            <w:r w:rsidRPr="00BD42BB">
              <w:rPr>
                <w:rFonts w:ascii="Century Gothic" w:hAnsi="Century Gothic"/>
                <w:szCs w:val="22"/>
              </w:rPr>
              <w:t>2016: 1.2</w:t>
            </w:r>
          </w:p>
          <w:p w14:paraId="4D18B14B"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1.2</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47566A27"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No</w:t>
            </w:r>
          </w:p>
        </w:tc>
      </w:tr>
      <w:tr w:rsidR="009E30A0" w:rsidRPr="00BD42BB" w14:paraId="5ADCFBE2"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1F3EE14B"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Quinnipiac Terrace I</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A55C074"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6C5038C"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F25F0CB" w14:textId="77777777" w:rsidR="00344105" w:rsidRPr="00BD42BB" w:rsidRDefault="00344105" w:rsidP="00344105">
            <w:pPr>
              <w:rPr>
                <w:rFonts w:ascii="Century Gothic" w:hAnsi="Century Gothic"/>
                <w:szCs w:val="22"/>
              </w:rPr>
            </w:pPr>
            <w:r w:rsidRPr="00BD42BB">
              <w:rPr>
                <w:rFonts w:ascii="Century Gothic" w:hAnsi="Century Gothic"/>
                <w:szCs w:val="22"/>
              </w:rPr>
              <w:t>2016: 5.5</w:t>
            </w:r>
          </w:p>
          <w:p w14:paraId="4D937AE8"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5.5</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DDEE3FC"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32D784AC"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6AB7F5ED"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Quinnipiac Terrace II</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E62635C"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F8A873B"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072AEDC" w14:textId="77777777" w:rsidR="00344105" w:rsidRPr="00BD42BB" w:rsidRDefault="00344105" w:rsidP="00344105">
            <w:pPr>
              <w:rPr>
                <w:rFonts w:ascii="Century Gothic" w:hAnsi="Century Gothic"/>
                <w:szCs w:val="22"/>
              </w:rPr>
            </w:pPr>
            <w:r w:rsidRPr="00BD42BB">
              <w:rPr>
                <w:rFonts w:ascii="Century Gothic" w:hAnsi="Century Gothic"/>
                <w:szCs w:val="22"/>
              </w:rPr>
              <w:t>2016: 8.6</w:t>
            </w:r>
          </w:p>
          <w:p w14:paraId="5AAB1240"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8.6</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6FE80367"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2A26799B"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110996E0"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Quinnipiac Terrace III</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7EDC16E"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7225953"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C9A01E" w14:textId="77777777" w:rsidR="00344105" w:rsidRPr="00BD42BB" w:rsidRDefault="00344105" w:rsidP="00344105">
            <w:pPr>
              <w:rPr>
                <w:rFonts w:ascii="Century Gothic" w:hAnsi="Century Gothic"/>
                <w:szCs w:val="22"/>
              </w:rPr>
            </w:pPr>
            <w:r w:rsidRPr="00BD42BB">
              <w:rPr>
                <w:rFonts w:ascii="Century Gothic" w:hAnsi="Century Gothic"/>
                <w:szCs w:val="22"/>
              </w:rPr>
              <w:t>2016: 4.2</w:t>
            </w:r>
          </w:p>
          <w:p w14:paraId="41106601"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4.2</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D261CAA"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0912D21D"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2113EC9A"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Eastview I</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46899C1"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BDF315F"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75BC17" w14:textId="77777777" w:rsidR="00344105" w:rsidRPr="00BD42BB" w:rsidRDefault="00344105" w:rsidP="00344105">
            <w:pPr>
              <w:rPr>
                <w:rFonts w:ascii="Century Gothic" w:hAnsi="Century Gothic"/>
                <w:szCs w:val="22"/>
              </w:rPr>
            </w:pPr>
            <w:r w:rsidRPr="00BD42BB">
              <w:rPr>
                <w:rFonts w:ascii="Century Gothic" w:hAnsi="Century Gothic"/>
                <w:szCs w:val="22"/>
              </w:rPr>
              <w:t>2016: 0.6</w:t>
            </w:r>
          </w:p>
          <w:p w14:paraId="1BBD8923"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0.6</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5142C1D4"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No</w:t>
            </w:r>
          </w:p>
        </w:tc>
      </w:tr>
      <w:tr w:rsidR="009E30A0" w:rsidRPr="00BD42BB" w14:paraId="7621C988"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2134BD2"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Rowe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950945A"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3580B1A"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3AEA615" w14:textId="77777777" w:rsidR="00344105" w:rsidRPr="00BD42BB" w:rsidRDefault="00344105" w:rsidP="00344105">
            <w:pPr>
              <w:rPr>
                <w:rFonts w:ascii="Century Gothic" w:hAnsi="Century Gothic"/>
                <w:szCs w:val="22"/>
              </w:rPr>
            </w:pPr>
            <w:r w:rsidRPr="00BD42BB">
              <w:rPr>
                <w:rFonts w:ascii="Century Gothic" w:hAnsi="Century Gothic"/>
                <w:szCs w:val="22"/>
              </w:rPr>
              <w:t>2016: 4.5</w:t>
            </w:r>
          </w:p>
          <w:p w14:paraId="4E2651F7"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2015: 4.5</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F233E82" w14:textId="77777777" w:rsidR="00344105" w:rsidRPr="00BD42BB" w:rsidRDefault="00344105" w:rsidP="00344105">
            <w:pPr>
              <w:shd w:val="clear" w:color="auto" w:fill="FFFFFF"/>
              <w:rPr>
                <w:rFonts w:ascii="Century Gothic" w:eastAsia="Calibri" w:hAnsi="Century Gothic"/>
                <w:szCs w:val="22"/>
              </w:rPr>
            </w:pPr>
            <w:r w:rsidRPr="00BD42BB">
              <w:rPr>
                <w:rFonts w:ascii="Century Gothic" w:hAnsi="Century Gothic"/>
                <w:szCs w:val="22"/>
              </w:rPr>
              <w:t>Yes</w:t>
            </w:r>
          </w:p>
        </w:tc>
      </w:tr>
      <w:tr w:rsidR="009E30A0" w:rsidRPr="00BD42BB" w14:paraId="11FF78A3"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093D4B1D" w14:textId="77777777" w:rsidR="00344105" w:rsidRPr="00BD42BB" w:rsidRDefault="00344105" w:rsidP="00344105">
            <w:pPr>
              <w:rPr>
                <w:rFonts w:ascii="Century Gothic" w:hAnsi="Century Gothic"/>
                <w:szCs w:val="22"/>
              </w:rPr>
            </w:pPr>
            <w:proofErr w:type="spellStart"/>
            <w:r w:rsidRPr="00BD42BB">
              <w:rPr>
                <w:rFonts w:ascii="Century Gothic" w:hAnsi="Century Gothic"/>
                <w:szCs w:val="22"/>
              </w:rPr>
              <w:t>Farnam</w:t>
            </w:r>
            <w:proofErr w:type="spellEnd"/>
            <w:r w:rsidRPr="00BD42BB">
              <w:rPr>
                <w:rFonts w:ascii="Century Gothic" w:hAnsi="Century Gothic"/>
                <w:szCs w:val="22"/>
              </w:rPr>
              <w:t xml:space="preserve"> Phase 1</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F774FCF" w14:textId="77777777" w:rsidR="00344105" w:rsidRPr="00BD42BB" w:rsidRDefault="00344105" w:rsidP="00344105">
            <w:pPr>
              <w:rPr>
                <w:rFonts w:ascii="Century Gothic"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F3D7B7B" w14:textId="77777777" w:rsidR="00344105" w:rsidRPr="00BD42BB" w:rsidRDefault="00344105" w:rsidP="00344105">
            <w:pPr>
              <w:rPr>
                <w:rFonts w:ascii="Century Gothic"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4B7223C" w14:textId="77777777" w:rsidR="00344105" w:rsidRPr="00BD42BB" w:rsidRDefault="00344105" w:rsidP="00344105">
            <w:pPr>
              <w:rPr>
                <w:rFonts w:ascii="Century Gothic" w:hAnsi="Century Gothic"/>
                <w:szCs w:val="22"/>
              </w:rPr>
            </w:pPr>
            <w:r w:rsidRPr="00BD42BB">
              <w:rPr>
                <w:rFonts w:ascii="Century Gothic" w:hAnsi="Century Gothic"/>
                <w:szCs w:val="22"/>
              </w:rPr>
              <w:t>2016: 3.1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0A917B7" w14:textId="77777777" w:rsidR="00344105" w:rsidRPr="00BD42BB" w:rsidRDefault="00344105" w:rsidP="00344105">
            <w:pPr>
              <w:rPr>
                <w:rFonts w:ascii="Century Gothic" w:hAnsi="Century Gothic"/>
                <w:szCs w:val="22"/>
              </w:rPr>
            </w:pPr>
            <w:r w:rsidRPr="00BD42BB">
              <w:rPr>
                <w:rFonts w:ascii="Century Gothic" w:hAnsi="Century Gothic"/>
                <w:szCs w:val="22"/>
              </w:rPr>
              <w:t>Yes</w:t>
            </w:r>
          </w:p>
        </w:tc>
      </w:tr>
      <w:tr w:rsidR="009E30A0" w:rsidRPr="00BD42BB" w14:paraId="3772D562"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10C3BEB0" w14:textId="77777777" w:rsidR="00344105" w:rsidRPr="00BD42BB" w:rsidRDefault="00344105" w:rsidP="00344105">
            <w:pPr>
              <w:rPr>
                <w:rFonts w:ascii="Century Gothic" w:hAnsi="Century Gothic"/>
                <w:szCs w:val="22"/>
              </w:rPr>
            </w:pPr>
            <w:r w:rsidRPr="00BD42BB">
              <w:rPr>
                <w:rFonts w:ascii="Century Gothic" w:hAnsi="Century Gothic"/>
                <w:szCs w:val="22"/>
              </w:rPr>
              <w:t xml:space="preserve">Fair Haven </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07725A0" w14:textId="77777777" w:rsidR="00344105" w:rsidRPr="00BD42BB" w:rsidRDefault="00344105" w:rsidP="00344105">
            <w:pPr>
              <w:rPr>
                <w:rFonts w:ascii="Century Gothic" w:hAnsi="Century Gothic"/>
                <w:szCs w:val="22"/>
              </w:rPr>
            </w:pPr>
            <w:r w:rsidRPr="00BD42BB">
              <w:rPr>
                <w:rFonts w:ascii="Century Gothic" w:hAnsi="Century Gothic"/>
                <w:szCs w:val="22"/>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5EB541A" w14:textId="77777777" w:rsidR="00344105" w:rsidRPr="00BD42BB" w:rsidRDefault="00344105" w:rsidP="00344105">
            <w:pPr>
              <w:rPr>
                <w:rFonts w:ascii="Century Gothic" w:hAnsi="Century Gothic"/>
                <w:szCs w:val="22"/>
              </w:rPr>
            </w:pPr>
            <w:r w:rsidRPr="00BD42BB">
              <w:rPr>
                <w:rFonts w:ascii="Century Gothic" w:hAnsi="Century Gothic"/>
                <w:szCs w:val="22"/>
              </w:rPr>
              <w:t>2.0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0062F48" w14:textId="77777777" w:rsidR="00344105" w:rsidRPr="00BD42BB" w:rsidRDefault="00344105" w:rsidP="00344105">
            <w:pPr>
              <w:rPr>
                <w:rFonts w:ascii="Century Gothic" w:hAnsi="Century Gothic"/>
                <w:szCs w:val="22"/>
              </w:rPr>
            </w:pPr>
            <w:r w:rsidRPr="00BD42BB">
              <w:rPr>
                <w:rFonts w:ascii="Century Gothic" w:hAnsi="Century Gothic"/>
                <w:szCs w:val="22"/>
              </w:rPr>
              <w:t>2015: 3.1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8509BB9" w14:textId="77777777" w:rsidR="00344105" w:rsidRPr="00BD42BB" w:rsidRDefault="00344105" w:rsidP="00344105">
            <w:pPr>
              <w:rPr>
                <w:rFonts w:ascii="Century Gothic" w:hAnsi="Century Gothic"/>
                <w:szCs w:val="22"/>
              </w:rPr>
            </w:pPr>
            <w:r w:rsidRPr="00BD42BB">
              <w:rPr>
                <w:rFonts w:ascii="Century Gothic" w:hAnsi="Century Gothic"/>
                <w:szCs w:val="22"/>
              </w:rPr>
              <w:t>Yes</w:t>
            </w:r>
          </w:p>
        </w:tc>
      </w:tr>
      <w:tr w:rsidR="46316ACA" w:rsidRPr="00BD42BB" w14:paraId="3CF73786"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6CBB7E93" w14:textId="7BC7975D" w:rsidR="670C9A85" w:rsidRPr="00BD42BB" w:rsidRDefault="670C9A85" w:rsidP="46316ACA">
            <w:pPr>
              <w:rPr>
                <w:rFonts w:ascii="Century Gothic" w:hAnsi="Century Gothic"/>
              </w:rPr>
            </w:pPr>
            <w:proofErr w:type="spellStart"/>
            <w:r w:rsidRPr="00BD42BB">
              <w:rPr>
                <w:rFonts w:ascii="Century Gothic" w:hAnsi="Century Gothic"/>
              </w:rPr>
              <w:t>Farnam</w:t>
            </w:r>
            <w:proofErr w:type="spellEnd"/>
            <w:r w:rsidRPr="00BD42BB">
              <w:rPr>
                <w:rFonts w:ascii="Century Gothic" w:hAnsi="Century Gothic"/>
              </w:rPr>
              <w:t xml:space="preserve"> Phase 2</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975AE09" w14:textId="689E85B5" w:rsidR="46316ACA" w:rsidRPr="00BD42BB" w:rsidRDefault="088351EC" w:rsidP="46316ACA">
            <w:pPr>
              <w:rPr>
                <w:rFonts w:ascii="Century Gothic" w:hAnsi="Century Gothic"/>
              </w:rPr>
            </w:pPr>
            <w:r w:rsidRPr="4EAA8E20">
              <w:rPr>
                <w:rFonts w:ascii="Century Gothic" w:hAnsi="Century Gothic"/>
              </w:rPr>
              <w:t>1</w:t>
            </w:r>
            <w:r w:rsidRPr="1C742F23">
              <w:rPr>
                <w:rFonts w:ascii="Century Gothic" w:hAnsi="Century Gothic"/>
              </w:rPr>
              <w:t>.7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36182A1" w14:textId="7DD9AE3A" w:rsidR="46316ACA" w:rsidRPr="00BD42BB" w:rsidRDefault="386C67C7" w:rsidP="46316ACA">
            <w:pPr>
              <w:rPr>
                <w:rFonts w:ascii="Century Gothic" w:hAnsi="Century Gothic"/>
              </w:rPr>
            </w:pPr>
            <w:r w:rsidRPr="1C742F23">
              <w:rPr>
                <w:rFonts w:ascii="Century Gothic" w:hAnsi="Century Gothic"/>
              </w:rPr>
              <w:t>2.</w:t>
            </w:r>
            <w:r w:rsidR="46316ACA" w:rsidRPr="00BD42BB">
              <w:rPr>
                <w:rFonts w:ascii="Century Gothic" w:hAnsi="Century Gothic"/>
              </w:rPr>
              <w:t xml:space="preserve">0 </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E0F30B8" w14:textId="3E43A54B" w:rsidR="46316ACA" w:rsidRPr="00BD42BB" w:rsidRDefault="3719308C" w:rsidP="46316ACA">
            <w:pPr>
              <w:rPr>
                <w:rFonts w:ascii="Century Gothic" w:hAnsi="Century Gothic"/>
              </w:rPr>
            </w:pPr>
            <w:r w:rsidRPr="00BD42BB">
              <w:rPr>
                <w:rFonts w:ascii="Century Gothic" w:hAnsi="Century Gothic"/>
              </w:rPr>
              <w:t xml:space="preserve">2022: </w:t>
            </w:r>
            <w:r w:rsidR="4D3142B7" w:rsidRPr="1C742F23">
              <w:rPr>
                <w:rFonts w:ascii="Century Gothic" w:hAnsi="Century Gothic"/>
              </w:rPr>
              <w:t>14.8</w:t>
            </w:r>
            <w:r w:rsidR="265D13BE" w:rsidRPr="1C742F23">
              <w:rPr>
                <w:rFonts w:ascii="Century Gothic" w:hAnsi="Century Gothic"/>
              </w:rPr>
              <w:t>:1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520D67EC" w14:textId="1B5080E1" w:rsidR="46316ACA" w:rsidRPr="00BD42BB" w:rsidRDefault="46316ACA" w:rsidP="46316ACA">
            <w:pPr>
              <w:rPr>
                <w:rFonts w:ascii="Century Gothic" w:hAnsi="Century Gothic"/>
              </w:rPr>
            </w:pPr>
            <w:r w:rsidRPr="00BD42BB">
              <w:rPr>
                <w:rFonts w:ascii="Century Gothic" w:hAnsi="Century Gothic"/>
              </w:rPr>
              <w:t>Yes</w:t>
            </w:r>
          </w:p>
          <w:p w14:paraId="50B85FC3" w14:textId="5389F292" w:rsidR="46316ACA" w:rsidRPr="00BD42BB" w:rsidRDefault="46316ACA" w:rsidP="46316ACA">
            <w:pPr>
              <w:rPr>
                <w:rFonts w:ascii="Century Gothic" w:hAnsi="Century Gothic"/>
              </w:rPr>
            </w:pPr>
          </w:p>
        </w:tc>
      </w:tr>
      <w:tr w:rsidR="46316ACA" w:rsidRPr="00BD42BB" w14:paraId="6581703A"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48BD1EC2" w14:textId="3EA25A53" w:rsidR="46316ACA" w:rsidRPr="00BD42BB" w:rsidRDefault="3C610353" w:rsidP="46316ACA">
            <w:pPr>
              <w:rPr>
                <w:rFonts w:ascii="Century Gothic" w:hAnsi="Century Gothic"/>
              </w:rPr>
            </w:pPr>
            <w:r w:rsidRPr="188A1EBF">
              <w:rPr>
                <w:rFonts w:ascii="Century Gothic" w:hAnsi="Century Gothic"/>
              </w:rPr>
              <w:t>RAD 1</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C514C6D" w14:textId="3A8AC2A4" w:rsidR="46316ACA" w:rsidRPr="00BD42BB" w:rsidRDefault="25694CD1" w:rsidP="46316ACA">
            <w:pPr>
              <w:rPr>
                <w:rFonts w:ascii="Century Gothic" w:hAnsi="Century Gothic"/>
              </w:rPr>
            </w:pPr>
            <w:r w:rsidRPr="1C742F23">
              <w:rPr>
                <w:rFonts w:ascii="Century Gothic" w:hAnsi="Century Gothic"/>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718FE14" w14:textId="3DA72BB3" w:rsidR="46316ACA" w:rsidRPr="00BD42BB" w:rsidRDefault="0424B4AF" w:rsidP="46316ACA">
            <w:pPr>
              <w:rPr>
                <w:rFonts w:ascii="Century Gothic" w:hAnsi="Century Gothic"/>
              </w:rPr>
            </w:pPr>
            <w:r w:rsidRPr="1C742F23">
              <w:rPr>
                <w:rFonts w:ascii="Century Gothic" w:hAnsi="Century Gothic"/>
              </w:rPr>
              <w:t>2.</w:t>
            </w:r>
            <w:r w:rsidR="46316ACA" w:rsidRPr="00BD42BB">
              <w:rPr>
                <w:rFonts w:ascii="Century Gothic" w:hAnsi="Century Gothic"/>
              </w:rPr>
              <w:t xml:space="preserve">0 </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33D022A" w14:textId="35E3D834" w:rsidR="46316ACA" w:rsidRPr="00BD42BB" w:rsidRDefault="71B67894" w:rsidP="46316ACA">
            <w:pPr>
              <w:rPr>
                <w:rFonts w:ascii="Century Gothic" w:hAnsi="Century Gothic"/>
              </w:rPr>
            </w:pPr>
            <w:r w:rsidRPr="1C742F23">
              <w:rPr>
                <w:rFonts w:ascii="Century Gothic" w:hAnsi="Century Gothic"/>
              </w:rPr>
              <w:t>201</w:t>
            </w:r>
            <w:r w:rsidR="66E4CB5A" w:rsidRPr="1C742F23">
              <w:rPr>
                <w:rFonts w:ascii="Century Gothic" w:hAnsi="Century Gothic"/>
              </w:rPr>
              <w:t>8</w:t>
            </w:r>
            <w:r w:rsidRPr="1C742F23">
              <w:rPr>
                <w:rFonts w:ascii="Century Gothic" w:hAnsi="Century Gothic"/>
              </w:rPr>
              <w:t xml:space="preserve">: </w:t>
            </w:r>
            <w:r w:rsidR="03E7635B" w:rsidRPr="1C742F23">
              <w:rPr>
                <w:rFonts w:ascii="Century Gothic" w:hAnsi="Century Gothic"/>
              </w:rPr>
              <w:t>8.6</w:t>
            </w:r>
            <w:r w:rsidR="35115984" w:rsidRPr="1C742F23">
              <w:rPr>
                <w:rFonts w:ascii="Century Gothic" w:hAnsi="Century Gothic"/>
              </w:rPr>
              <w:t>:1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11ECF2A7" w14:textId="1B5080E1" w:rsidR="46316ACA" w:rsidRPr="00BD42BB" w:rsidRDefault="46316ACA" w:rsidP="46316ACA">
            <w:pPr>
              <w:rPr>
                <w:rFonts w:ascii="Century Gothic" w:hAnsi="Century Gothic"/>
              </w:rPr>
            </w:pPr>
            <w:r w:rsidRPr="00BD42BB">
              <w:rPr>
                <w:rFonts w:ascii="Century Gothic" w:hAnsi="Century Gothic"/>
              </w:rPr>
              <w:t>Yes</w:t>
            </w:r>
          </w:p>
          <w:p w14:paraId="6C65B667" w14:textId="260E87BD" w:rsidR="46316ACA" w:rsidRPr="00BD42BB" w:rsidRDefault="46316ACA" w:rsidP="46316ACA">
            <w:pPr>
              <w:rPr>
                <w:rFonts w:ascii="Century Gothic" w:hAnsi="Century Gothic"/>
              </w:rPr>
            </w:pPr>
          </w:p>
        </w:tc>
      </w:tr>
      <w:tr w:rsidR="46316ACA" w:rsidRPr="00BD42BB" w14:paraId="046E8AEA"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5142E1FE" w14:textId="016670CC" w:rsidR="46316ACA" w:rsidRPr="00BD42BB" w:rsidRDefault="71B67894" w:rsidP="46316ACA">
            <w:pPr>
              <w:rPr>
                <w:rFonts w:ascii="Century Gothic" w:hAnsi="Century Gothic"/>
              </w:rPr>
            </w:pPr>
            <w:r w:rsidRPr="1C742F23">
              <w:rPr>
                <w:rFonts w:ascii="Century Gothic" w:hAnsi="Century Gothic"/>
              </w:rPr>
              <w:t>RAD 2</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132EAC1" w14:textId="204F4980" w:rsidR="46316ACA" w:rsidRPr="00BD42BB" w:rsidRDefault="1775150B" w:rsidP="46316ACA">
            <w:pPr>
              <w:rPr>
                <w:rFonts w:ascii="Century Gothic" w:hAnsi="Century Gothic"/>
              </w:rPr>
            </w:pPr>
            <w:r w:rsidRPr="1C742F23">
              <w:rPr>
                <w:rFonts w:ascii="Century Gothic" w:hAnsi="Century Gothic"/>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AA1F888" w14:textId="2B98F04A" w:rsidR="46316ACA" w:rsidRPr="00BD42BB" w:rsidRDefault="081B3AFC" w:rsidP="46316ACA">
            <w:pPr>
              <w:rPr>
                <w:rFonts w:ascii="Century Gothic" w:hAnsi="Century Gothic"/>
              </w:rPr>
            </w:pPr>
            <w:r w:rsidRPr="1C742F23">
              <w:rPr>
                <w:rFonts w:ascii="Century Gothic" w:hAnsi="Century Gothic"/>
              </w:rPr>
              <w:t>2.</w:t>
            </w:r>
            <w:r w:rsidR="46316ACA" w:rsidRPr="00BD42BB">
              <w:rPr>
                <w:rFonts w:ascii="Century Gothic" w:hAnsi="Century Gothic"/>
              </w:rPr>
              <w:t>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CEC52B4" w14:textId="374CDAFA" w:rsidR="46316ACA" w:rsidRPr="00BD42BB" w:rsidRDefault="71B67894" w:rsidP="46316ACA">
            <w:pPr>
              <w:rPr>
                <w:rFonts w:ascii="Century Gothic" w:hAnsi="Century Gothic"/>
              </w:rPr>
            </w:pPr>
            <w:r w:rsidRPr="1C742F23">
              <w:rPr>
                <w:rFonts w:ascii="Century Gothic" w:hAnsi="Century Gothic"/>
              </w:rPr>
              <w:t>20</w:t>
            </w:r>
            <w:r w:rsidR="3E9F49A4" w:rsidRPr="1C742F23">
              <w:rPr>
                <w:rFonts w:ascii="Century Gothic" w:hAnsi="Century Gothic"/>
              </w:rPr>
              <w:t>19</w:t>
            </w:r>
            <w:r w:rsidRPr="1C742F23">
              <w:rPr>
                <w:rFonts w:ascii="Century Gothic" w:hAnsi="Century Gothic"/>
              </w:rPr>
              <w:t xml:space="preserve">: </w:t>
            </w:r>
            <w:r w:rsidR="6BBC3DF9" w:rsidRPr="1C742F23">
              <w:rPr>
                <w:rFonts w:ascii="Century Gothic" w:hAnsi="Century Gothic"/>
              </w:rPr>
              <w:t>2.3:1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1763D455" w14:textId="1B5080E1" w:rsidR="46316ACA" w:rsidRPr="00BD42BB" w:rsidRDefault="46316ACA" w:rsidP="46316ACA">
            <w:pPr>
              <w:rPr>
                <w:rFonts w:ascii="Century Gothic" w:hAnsi="Century Gothic"/>
              </w:rPr>
            </w:pPr>
            <w:r w:rsidRPr="00BD42BB">
              <w:rPr>
                <w:rFonts w:ascii="Century Gothic" w:hAnsi="Century Gothic"/>
              </w:rPr>
              <w:t>Yes</w:t>
            </w:r>
          </w:p>
          <w:p w14:paraId="1E108C90" w14:textId="098EA2CC" w:rsidR="46316ACA" w:rsidRPr="00BD42BB" w:rsidRDefault="46316ACA" w:rsidP="46316ACA">
            <w:pPr>
              <w:rPr>
                <w:rFonts w:ascii="Century Gothic" w:hAnsi="Century Gothic"/>
              </w:rPr>
            </w:pPr>
          </w:p>
        </w:tc>
      </w:tr>
      <w:tr w:rsidR="46316ACA" w:rsidRPr="00BD42BB" w14:paraId="4D4CBD04"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16775ACD" w14:textId="08A5E488" w:rsidR="46316ACA" w:rsidRPr="00BD42BB" w:rsidRDefault="71B67894" w:rsidP="46316ACA">
            <w:pPr>
              <w:rPr>
                <w:rFonts w:ascii="Century Gothic" w:hAnsi="Century Gothic"/>
              </w:rPr>
            </w:pPr>
            <w:r w:rsidRPr="1C742F23">
              <w:rPr>
                <w:rFonts w:ascii="Century Gothic" w:hAnsi="Century Gothic"/>
              </w:rPr>
              <w:t xml:space="preserve">RAD 3 </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F5FE540" w14:textId="001FB902" w:rsidR="46316ACA" w:rsidRPr="00BD42BB" w:rsidRDefault="60363A44" w:rsidP="46316ACA">
            <w:pPr>
              <w:rPr>
                <w:rFonts w:ascii="Century Gothic" w:hAnsi="Century Gothic"/>
              </w:rPr>
            </w:pPr>
            <w:r w:rsidRPr="1C742F23">
              <w:rPr>
                <w:rFonts w:ascii="Century Gothic" w:hAnsi="Century Gothic"/>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D98DFD5" w14:textId="7850B274" w:rsidR="46316ACA" w:rsidRPr="00BD42BB" w:rsidRDefault="34459A97" w:rsidP="46316ACA">
            <w:pPr>
              <w:rPr>
                <w:rFonts w:ascii="Century Gothic" w:hAnsi="Century Gothic"/>
              </w:rPr>
            </w:pPr>
            <w:r w:rsidRPr="1C742F23">
              <w:rPr>
                <w:rFonts w:ascii="Century Gothic" w:hAnsi="Century Gothic"/>
              </w:rPr>
              <w:t>2.</w:t>
            </w:r>
            <w:r w:rsidR="46316ACA" w:rsidRPr="00BD42BB">
              <w:rPr>
                <w:rFonts w:ascii="Century Gothic" w:hAnsi="Century Gothic"/>
              </w:rPr>
              <w:t>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CCCD523" w14:textId="38A7B37B" w:rsidR="46316ACA" w:rsidRPr="00BD42BB" w:rsidRDefault="71B67894" w:rsidP="46316ACA">
            <w:pPr>
              <w:rPr>
                <w:rFonts w:ascii="Century Gothic" w:hAnsi="Century Gothic"/>
              </w:rPr>
            </w:pPr>
            <w:r w:rsidRPr="1C742F23">
              <w:rPr>
                <w:rFonts w:ascii="Century Gothic" w:hAnsi="Century Gothic"/>
              </w:rPr>
              <w:t>202</w:t>
            </w:r>
            <w:r w:rsidR="198EF74C" w:rsidRPr="1C742F23">
              <w:rPr>
                <w:rFonts w:ascii="Century Gothic" w:hAnsi="Century Gothic"/>
              </w:rPr>
              <w:t>0</w:t>
            </w:r>
            <w:r w:rsidRPr="1C742F23">
              <w:rPr>
                <w:rFonts w:ascii="Century Gothic" w:hAnsi="Century Gothic"/>
              </w:rPr>
              <w:t xml:space="preserve">: </w:t>
            </w:r>
            <w:r w:rsidR="0F438984" w:rsidRPr="1C742F23">
              <w:rPr>
                <w:rFonts w:ascii="Century Gothic" w:hAnsi="Century Gothic"/>
              </w:rPr>
              <w:t>2.9:1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787A7CE5" w14:textId="1B5080E1" w:rsidR="46316ACA" w:rsidRPr="00BD42BB" w:rsidRDefault="46316ACA" w:rsidP="46316ACA">
            <w:pPr>
              <w:rPr>
                <w:rFonts w:ascii="Century Gothic" w:hAnsi="Century Gothic"/>
              </w:rPr>
            </w:pPr>
            <w:r w:rsidRPr="00BD42BB">
              <w:rPr>
                <w:rFonts w:ascii="Century Gothic" w:hAnsi="Century Gothic"/>
              </w:rPr>
              <w:t>Yes</w:t>
            </w:r>
          </w:p>
          <w:p w14:paraId="5E70516B" w14:textId="44A1F1E5" w:rsidR="46316ACA" w:rsidRPr="00BD42BB" w:rsidRDefault="46316ACA" w:rsidP="46316ACA">
            <w:pPr>
              <w:rPr>
                <w:rFonts w:ascii="Century Gothic" w:hAnsi="Century Gothic"/>
              </w:rPr>
            </w:pPr>
          </w:p>
        </w:tc>
      </w:tr>
      <w:tr w:rsidR="46316ACA" w:rsidRPr="00BD42BB" w14:paraId="42DD7F5C"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652D57FA" w14:textId="6BBB9BAC" w:rsidR="46316ACA" w:rsidRPr="00BD42BB" w:rsidRDefault="71B67894" w:rsidP="46316ACA">
            <w:pPr>
              <w:rPr>
                <w:rFonts w:ascii="Century Gothic" w:hAnsi="Century Gothic"/>
              </w:rPr>
            </w:pPr>
            <w:r w:rsidRPr="1C742F23">
              <w:rPr>
                <w:rFonts w:ascii="Century Gothic" w:hAnsi="Century Gothic"/>
              </w:rPr>
              <w:t xml:space="preserve">RAD </w:t>
            </w:r>
            <w:r w:rsidR="0A400469" w:rsidRPr="1C742F23">
              <w:rPr>
                <w:rFonts w:ascii="Century Gothic" w:hAnsi="Century Gothic"/>
              </w:rPr>
              <w:t>4</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96B0FF8" w14:textId="3ED6FBBB" w:rsidR="46316ACA" w:rsidRPr="00BD42BB" w:rsidRDefault="271309DF" w:rsidP="46316ACA">
            <w:pPr>
              <w:rPr>
                <w:rFonts w:ascii="Century Gothic" w:hAnsi="Century Gothic"/>
              </w:rPr>
            </w:pPr>
            <w:r w:rsidRPr="1C742F23">
              <w:rPr>
                <w:rFonts w:ascii="Century Gothic" w:hAnsi="Century Gothic"/>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9AC9F18" w14:textId="1853C68E" w:rsidR="46316ACA" w:rsidRPr="00BD42BB" w:rsidRDefault="6B910211" w:rsidP="46316ACA">
            <w:pPr>
              <w:rPr>
                <w:rFonts w:ascii="Century Gothic" w:hAnsi="Century Gothic"/>
              </w:rPr>
            </w:pPr>
            <w:r w:rsidRPr="1C742F23">
              <w:rPr>
                <w:rFonts w:ascii="Century Gothic" w:hAnsi="Century Gothic"/>
              </w:rPr>
              <w:t>2.</w:t>
            </w:r>
            <w:r w:rsidR="46316ACA" w:rsidRPr="00BD42BB">
              <w:rPr>
                <w:rFonts w:ascii="Century Gothic" w:hAnsi="Century Gothic"/>
              </w:rPr>
              <w:t>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B8800E8" w14:textId="770805F6" w:rsidR="46316ACA" w:rsidRPr="00BD42BB" w:rsidRDefault="0922E6C5" w:rsidP="46316ACA">
            <w:pPr>
              <w:rPr>
                <w:rFonts w:ascii="Century Gothic" w:hAnsi="Century Gothic"/>
              </w:rPr>
            </w:pPr>
            <w:r w:rsidRPr="1C742F23">
              <w:rPr>
                <w:rFonts w:ascii="Century Gothic" w:hAnsi="Century Gothic"/>
              </w:rPr>
              <w:t>202</w:t>
            </w:r>
            <w:r w:rsidR="30E7DFF8" w:rsidRPr="1C742F23">
              <w:rPr>
                <w:rFonts w:ascii="Century Gothic" w:hAnsi="Century Gothic"/>
              </w:rPr>
              <w:t>1</w:t>
            </w:r>
            <w:r w:rsidRPr="1C742F23">
              <w:rPr>
                <w:rFonts w:ascii="Century Gothic" w:hAnsi="Century Gothic"/>
              </w:rPr>
              <w:t>:</w:t>
            </w:r>
            <w:r w:rsidR="192F032F" w:rsidRPr="1C742F23">
              <w:rPr>
                <w:rFonts w:ascii="Century Gothic" w:hAnsi="Century Gothic"/>
              </w:rPr>
              <w:t xml:space="preserve"> </w:t>
            </w:r>
            <w:r w:rsidR="3B416D20" w:rsidRPr="1C742F23">
              <w:rPr>
                <w:rFonts w:ascii="Century Gothic" w:hAnsi="Century Gothic"/>
              </w:rPr>
              <w:t>5.8:1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5EC02900" w14:textId="1B5080E1" w:rsidR="46316ACA" w:rsidRPr="00BD42BB" w:rsidRDefault="46316ACA" w:rsidP="46316ACA">
            <w:pPr>
              <w:rPr>
                <w:rFonts w:ascii="Century Gothic" w:hAnsi="Century Gothic"/>
              </w:rPr>
            </w:pPr>
            <w:r w:rsidRPr="00BD42BB">
              <w:rPr>
                <w:rFonts w:ascii="Century Gothic" w:hAnsi="Century Gothic"/>
              </w:rPr>
              <w:t>Yes</w:t>
            </w:r>
          </w:p>
          <w:p w14:paraId="44FFBAF7" w14:textId="2607C2D0" w:rsidR="46316ACA" w:rsidRPr="00BD42BB" w:rsidRDefault="46316ACA" w:rsidP="46316ACA">
            <w:pPr>
              <w:rPr>
                <w:rFonts w:ascii="Century Gothic" w:hAnsi="Century Gothic"/>
              </w:rPr>
            </w:pPr>
          </w:p>
        </w:tc>
      </w:tr>
      <w:tr w:rsidR="46316ACA" w:rsidRPr="00BD42BB" w14:paraId="403387E7"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57C541B7" w14:textId="2AF2BFA6" w:rsidR="46316ACA" w:rsidRPr="00BD42BB" w:rsidRDefault="46316ACA" w:rsidP="46316ACA">
            <w:pPr>
              <w:rPr>
                <w:rFonts w:ascii="Century Gothic" w:hAnsi="Century Gothic"/>
              </w:rPr>
            </w:pPr>
            <w:r w:rsidRPr="00BD42BB">
              <w:rPr>
                <w:rFonts w:ascii="Century Gothic" w:hAnsi="Century Gothic"/>
              </w:rPr>
              <w:t>McConaughy Terrace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A748B8C" w14:textId="0D28440D" w:rsidR="46316ACA" w:rsidRPr="00BD42BB" w:rsidRDefault="2450F5F3" w:rsidP="46316ACA">
            <w:pPr>
              <w:rPr>
                <w:rFonts w:ascii="Century Gothic" w:hAnsi="Century Gothic"/>
              </w:rPr>
            </w:pPr>
            <w:r w:rsidRPr="1C742F23">
              <w:rPr>
                <w:rFonts w:ascii="Century Gothic" w:hAnsi="Century Gothic"/>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A459123" w14:textId="5CD461FE" w:rsidR="46316ACA" w:rsidRPr="00BD42BB" w:rsidRDefault="388344C4" w:rsidP="46316ACA">
            <w:pPr>
              <w:rPr>
                <w:rFonts w:ascii="Century Gothic" w:hAnsi="Century Gothic"/>
              </w:rPr>
            </w:pPr>
            <w:r w:rsidRPr="1C742F23">
              <w:rPr>
                <w:rFonts w:ascii="Century Gothic" w:hAnsi="Century Gothic"/>
              </w:rPr>
              <w:t>2.</w:t>
            </w:r>
            <w:r w:rsidR="46316ACA" w:rsidRPr="00BD42BB">
              <w:rPr>
                <w:rFonts w:ascii="Century Gothic" w:hAnsi="Century Gothic"/>
              </w:rPr>
              <w:t>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A35ADDC" w14:textId="034C7A13" w:rsidR="46316ACA" w:rsidRPr="00BD42BB" w:rsidRDefault="71B67894" w:rsidP="46316ACA">
            <w:pPr>
              <w:rPr>
                <w:rFonts w:ascii="Century Gothic" w:hAnsi="Century Gothic"/>
              </w:rPr>
            </w:pPr>
            <w:r w:rsidRPr="1C742F23">
              <w:rPr>
                <w:rFonts w:ascii="Century Gothic" w:hAnsi="Century Gothic"/>
              </w:rPr>
              <w:t>202</w:t>
            </w:r>
            <w:r w:rsidR="0D6962DF" w:rsidRPr="1C742F23">
              <w:rPr>
                <w:rFonts w:ascii="Century Gothic" w:hAnsi="Century Gothic"/>
              </w:rPr>
              <w:t>3</w:t>
            </w:r>
            <w:r w:rsidRPr="1C742F23">
              <w:rPr>
                <w:rFonts w:ascii="Century Gothic" w:hAnsi="Century Gothic"/>
              </w:rPr>
              <w:t xml:space="preserve">: </w:t>
            </w:r>
            <w:r w:rsidR="01873F0B" w:rsidRPr="1C742F23">
              <w:rPr>
                <w:rFonts w:ascii="Century Gothic" w:hAnsi="Century Gothic"/>
              </w:rPr>
              <w:t>31:1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60F2CFD6" w14:textId="1B5080E1" w:rsidR="46316ACA" w:rsidRPr="00BD42BB" w:rsidRDefault="46316ACA" w:rsidP="46316ACA">
            <w:pPr>
              <w:rPr>
                <w:rFonts w:ascii="Century Gothic" w:hAnsi="Century Gothic"/>
              </w:rPr>
            </w:pPr>
            <w:r w:rsidRPr="00BD42BB">
              <w:rPr>
                <w:rFonts w:ascii="Century Gothic" w:hAnsi="Century Gothic"/>
              </w:rPr>
              <w:t>Yes</w:t>
            </w:r>
          </w:p>
          <w:p w14:paraId="6B002BE0" w14:textId="2664F003" w:rsidR="46316ACA" w:rsidRPr="00BD42BB" w:rsidRDefault="46316ACA" w:rsidP="46316ACA">
            <w:pPr>
              <w:rPr>
                <w:rFonts w:ascii="Century Gothic" w:hAnsi="Century Gothic"/>
              </w:rPr>
            </w:pPr>
          </w:p>
        </w:tc>
      </w:tr>
      <w:tr w:rsidR="46316ACA" w:rsidRPr="00BD42BB" w14:paraId="26B5D36C" w14:textId="77777777" w:rsidTr="188A1EBF">
        <w:trPr>
          <w:trHeight w:val="34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280A8A42" w14:textId="6E96D769" w:rsidR="46316ACA" w:rsidRPr="00BD42BB" w:rsidRDefault="46316ACA" w:rsidP="46316ACA">
            <w:pPr>
              <w:rPr>
                <w:rFonts w:ascii="Century Gothic" w:hAnsi="Century Gothic"/>
              </w:rPr>
            </w:pPr>
            <w:r w:rsidRPr="00BD42BB">
              <w:rPr>
                <w:rFonts w:ascii="Century Gothic" w:hAnsi="Century Gothic"/>
              </w:rPr>
              <w:t xml:space="preserve">Valley Townhomes </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6329237" w14:textId="78BFC586" w:rsidR="46316ACA" w:rsidRPr="00BD42BB" w:rsidRDefault="603E4544" w:rsidP="46316ACA">
            <w:pPr>
              <w:rPr>
                <w:rFonts w:ascii="Century Gothic" w:hAnsi="Century Gothic"/>
              </w:rPr>
            </w:pPr>
            <w:r w:rsidRPr="1C742F23">
              <w:rPr>
                <w:rFonts w:ascii="Century Gothic" w:hAnsi="Century Gothic"/>
              </w:rPr>
              <w:t>1.7</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D6AE8C1" w14:textId="30CBC4A2" w:rsidR="46316ACA" w:rsidRPr="00BD42BB" w:rsidRDefault="1E7647FA" w:rsidP="46316ACA">
            <w:pPr>
              <w:rPr>
                <w:rFonts w:ascii="Century Gothic" w:hAnsi="Century Gothic"/>
              </w:rPr>
            </w:pPr>
            <w:r w:rsidRPr="1C742F23">
              <w:rPr>
                <w:rFonts w:ascii="Century Gothic" w:hAnsi="Century Gothic"/>
              </w:rPr>
              <w:t>2.</w:t>
            </w:r>
            <w:r w:rsidR="46316ACA" w:rsidRPr="00BD42BB">
              <w:rPr>
                <w:rFonts w:ascii="Century Gothic" w:hAnsi="Century Gothic"/>
              </w:rPr>
              <w:t>0</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A347A5A" w14:textId="0F738A15" w:rsidR="46316ACA" w:rsidRPr="00BD42BB" w:rsidRDefault="71B67894" w:rsidP="46316ACA">
            <w:pPr>
              <w:rPr>
                <w:rFonts w:ascii="Century Gothic" w:hAnsi="Century Gothic"/>
              </w:rPr>
            </w:pPr>
            <w:r w:rsidRPr="1C742F23">
              <w:rPr>
                <w:rFonts w:ascii="Century Gothic" w:hAnsi="Century Gothic"/>
              </w:rPr>
              <w:t>202</w:t>
            </w:r>
            <w:r w:rsidR="0248C647" w:rsidRPr="1C742F23">
              <w:rPr>
                <w:rFonts w:ascii="Century Gothic" w:hAnsi="Century Gothic"/>
              </w:rPr>
              <w:t>2</w:t>
            </w:r>
            <w:r w:rsidRPr="1C742F23">
              <w:rPr>
                <w:rFonts w:ascii="Century Gothic" w:hAnsi="Century Gothic"/>
              </w:rPr>
              <w:t xml:space="preserve">: </w:t>
            </w:r>
            <w:r w:rsidR="2D1346A6" w:rsidRPr="1C742F23">
              <w:rPr>
                <w:rFonts w:ascii="Century Gothic" w:hAnsi="Century Gothic"/>
              </w:rPr>
              <w:t>15:1</w:t>
            </w:r>
          </w:p>
        </w:tc>
        <w:tc>
          <w:tcPr>
            <w:tcW w:w="13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58205F72" w14:textId="1B5080E1" w:rsidR="46316ACA" w:rsidRPr="00BD42BB" w:rsidRDefault="46316ACA" w:rsidP="46316ACA">
            <w:pPr>
              <w:rPr>
                <w:rFonts w:ascii="Century Gothic" w:hAnsi="Century Gothic"/>
              </w:rPr>
            </w:pPr>
            <w:r w:rsidRPr="00BD42BB">
              <w:rPr>
                <w:rFonts w:ascii="Century Gothic" w:hAnsi="Century Gothic"/>
              </w:rPr>
              <w:t>Yes</w:t>
            </w:r>
          </w:p>
          <w:p w14:paraId="2B353D05" w14:textId="5D42182A" w:rsidR="46316ACA" w:rsidRPr="00BD42BB" w:rsidRDefault="46316ACA" w:rsidP="46316ACA">
            <w:pPr>
              <w:rPr>
                <w:rFonts w:ascii="Century Gothic" w:hAnsi="Century Gothic"/>
              </w:rPr>
            </w:pPr>
          </w:p>
        </w:tc>
      </w:tr>
    </w:tbl>
    <w:p w14:paraId="4B70EDE3" w14:textId="26A38F1E" w:rsidR="0087531D" w:rsidRPr="00E0275F" w:rsidRDefault="59596409" w:rsidP="0E71204A">
      <w:pPr>
        <w:rPr>
          <w:rFonts w:ascii="Century Gothic" w:eastAsia="Calibri" w:hAnsi="Century Gothic"/>
          <w:i/>
          <w:iCs/>
          <w:sz w:val="18"/>
          <w:szCs w:val="18"/>
        </w:rPr>
      </w:pPr>
      <w:r w:rsidRPr="00E0275F">
        <w:rPr>
          <w:rFonts w:ascii="Century Gothic" w:eastAsia="Calibri" w:hAnsi="Century Gothic"/>
          <w:i/>
          <w:iCs/>
          <w:sz w:val="18"/>
          <w:szCs w:val="18"/>
        </w:rPr>
        <w:t>Baselines taken from Quinnipiac Terrace/Quinnipiac Terrace 2</w:t>
      </w:r>
    </w:p>
    <w:p w14:paraId="425F0C27" w14:textId="06DDACBE" w:rsidR="0E71204A" w:rsidRPr="00E0275F" w:rsidRDefault="0E71204A" w:rsidP="0E71204A">
      <w:pPr>
        <w:rPr>
          <w:rFonts w:ascii="Century Gothic" w:eastAsia="Calibri" w:hAnsi="Century Gothic"/>
          <w:i/>
          <w:iCs/>
          <w:sz w:val="18"/>
          <w:szCs w:val="18"/>
        </w:rPr>
      </w:pPr>
    </w:p>
    <w:p w14:paraId="04178623" w14:textId="444693F4" w:rsidR="00FA7BC0" w:rsidRPr="00E0275F" w:rsidRDefault="0C1E4E83" w:rsidP="0E71204A">
      <w:pPr>
        <w:spacing w:after="160" w:line="276" w:lineRule="auto"/>
        <w:rPr>
          <w:rFonts w:ascii="Century Gothic" w:eastAsia="Times New Roman" w:hAnsi="Century Gothic"/>
          <w:i/>
          <w:iCs/>
          <w:sz w:val="18"/>
          <w:szCs w:val="18"/>
        </w:rPr>
      </w:pPr>
      <w:r w:rsidRPr="00E0275F">
        <w:rPr>
          <w:rFonts w:ascii="Century Gothic" w:eastAsia="Times New Roman" w:hAnsi="Century Gothic"/>
          <w:i/>
          <w:iCs/>
          <w:sz w:val="18"/>
          <w:szCs w:val="18"/>
        </w:rPr>
        <w:t>*FY23-</w:t>
      </w:r>
      <w:r w:rsidR="109F1AB7" w:rsidRPr="00E0275F">
        <w:rPr>
          <w:rFonts w:ascii="Century Gothic" w:eastAsia="Times New Roman" w:hAnsi="Century Gothic"/>
          <w:i/>
          <w:iCs/>
          <w:sz w:val="18"/>
          <w:szCs w:val="18"/>
        </w:rPr>
        <w:t xml:space="preserve"> 1022</w:t>
      </w:r>
      <w:r w:rsidRPr="00E0275F">
        <w:rPr>
          <w:rFonts w:ascii="Century Gothic" w:eastAsia="Times New Roman" w:hAnsi="Century Gothic"/>
          <w:i/>
          <w:iCs/>
          <w:sz w:val="18"/>
          <w:szCs w:val="18"/>
        </w:rPr>
        <w:t xml:space="preserve"> </w:t>
      </w:r>
      <w:r w:rsidR="328FF327" w:rsidRPr="00E0275F">
        <w:rPr>
          <w:rFonts w:ascii="Century Gothic" w:eastAsia="Times New Roman" w:hAnsi="Century Gothic"/>
          <w:i/>
          <w:iCs/>
          <w:sz w:val="18"/>
          <w:szCs w:val="18"/>
        </w:rPr>
        <w:t>(</w:t>
      </w:r>
      <w:r w:rsidRPr="00E0275F">
        <w:rPr>
          <w:rFonts w:ascii="Century Gothic" w:eastAsia="Times New Roman" w:hAnsi="Century Gothic"/>
          <w:i/>
          <w:iCs/>
          <w:sz w:val="18"/>
          <w:szCs w:val="18"/>
        </w:rPr>
        <w:t>LIPH units</w:t>
      </w:r>
      <w:r w:rsidR="0CCAE2EE" w:rsidRPr="00E0275F">
        <w:rPr>
          <w:rFonts w:ascii="Century Gothic" w:eastAsia="Times New Roman" w:hAnsi="Century Gothic"/>
          <w:i/>
          <w:iCs/>
          <w:sz w:val="18"/>
          <w:szCs w:val="18"/>
        </w:rPr>
        <w:t>)</w:t>
      </w:r>
      <w:r w:rsidRPr="00E0275F">
        <w:rPr>
          <w:rFonts w:ascii="Century Gothic" w:eastAsia="Times New Roman" w:hAnsi="Century Gothic"/>
          <w:i/>
          <w:iCs/>
          <w:sz w:val="18"/>
          <w:szCs w:val="18"/>
        </w:rPr>
        <w:t xml:space="preserve"> + </w:t>
      </w:r>
      <w:r w:rsidR="66A995C4" w:rsidRPr="00E0275F">
        <w:rPr>
          <w:rFonts w:ascii="Century Gothic" w:eastAsia="Times New Roman" w:hAnsi="Century Gothic"/>
          <w:i/>
          <w:iCs/>
          <w:sz w:val="18"/>
          <w:szCs w:val="18"/>
        </w:rPr>
        <w:t xml:space="preserve">2104 </w:t>
      </w:r>
      <w:r w:rsidR="03F096B3" w:rsidRPr="00E0275F">
        <w:rPr>
          <w:rFonts w:ascii="Century Gothic" w:eastAsia="Times New Roman" w:hAnsi="Century Gothic"/>
          <w:i/>
          <w:iCs/>
          <w:sz w:val="18"/>
          <w:szCs w:val="18"/>
        </w:rPr>
        <w:t>(</w:t>
      </w:r>
      <w:r w:rsidRPr="00E0275F">
        <w:rPr>
          <w:rFonts w:ascii="Century Gothic" w:eastAsia="Times New Roman" w:hAnsi="Century Gothic"/>
          <w:i/>
          <w:iCs/>
          <w:sz w:val="18"/>
          <w:szCs w:val="18"/>
        </w:rPr>
        <w:t>all PBV and RAD/PBV</w:t>
      </w:r>
      <w:r w:rsidR="64022F7C" w:rsidRPr="00E0275F">
        <w:rPr>
          <w:rFonts w:ascii="Century Gothic" w:eastAsia="Times New Roman" w:hAnsi="Century Gothic"/>
          <w:i/>
          <w:iCs/>
          <w:sz w:val="18"/>
          <w:szCs w:val="18"/>
        </w:rPr>
        <w:t>)</w:t>
      </w:r>
      <w:r w:rsidRPr="00E0275F">
        <w:rPr>
          <w:rFonts w:ascii="Century Gothic" w:eastAsia="Times New Roman" w:hAnsi="Century Gothic"/>
          <w:i/>
          <w:iCs/>
          <w:sz w:val="18"/>
          <w:szCs w:val="18"/>
        </w:rPr>
        <w:t xml:space="preserve"> </w:t>
      </w:r>
      <w:r w:rsidR="22C35CDE" w:rsidRPr="00E0275F">
        <w:rPr>
          <w:rFonts w:ascii="Century Gothic" w:eastAsia="Times New Roman" w:hAnsi="Century Gothic"/>
          <w:i/>
          <w:iCs/>
          <w:sz w:val="18"/>
          <w:szCs w:val="18"/>
        </w:rPr>
        <w:t>= 3126</w:t>
      </w:r>
    </w:p>
    <w:p w14:paraId="3608A2B4" w14:textId="77FBB017" w:rsidR="6BA68D91" w:rsidRPr="00E0275F" w:rsidRDefault="6BA68D91" w:rsidP="0E71204A">
      <w:pPr>
        <w:spacing w:after="160" w:line="276" w:lineRule="auto"/>
        <w:rPr>
          <w:rFonts w:ascii="Century Gothic" w:eastAsia="Times New Roman" w:hAnsi="Century Gothic"/>
          <w:i/>
          <w:iCs/>
          <w:sz w:val="18"/>
          <w:szCs w:val="18"/>
        </w:rPr>
      </w:pPr>
      <w:r w:rsidRPr="00E0275F">
        <w:rPr>
          <w:rFonts w:ascii="Century Gothic" w:eastAsia="Times New Roman" w:hAnsi="Century Gothic"/>
          <w:i/>
          <w:iCs/>
          <w:sz w:val="18"/>
          <w:szCs w:val="18"/>
        </w:rPr>
        <w:t>*</w:t>
      </w:r>
      <w:r w:rsidR="479D65B8" w:rsidRPr="00E0275F">
        <w:rPr>
          <w:rFonts w:ascii="Century Gothic" w:eastAsia="Times New Roman" w:hAnsi="Century Gothic"/>
          <w:i/>
          <w:iCs/>
          <w:sz w:val="18"/>
          <w:szCs w:val="18"/>
        </w:rPr>
        <w:t xml:space="preserve">FY24- 821 (LIPH units) + </w:t>
      </w:r>
      <w:r w:rsidR="6A7D9AC3" w:rsidRPr="00E0275F">
        <w:rPr>
          <w:rFonts w:ascii="Century Gothic" w:eastAsia="Times New Roman" w:hAnsi="Century Gothic"/>
          <w:i/>
          <w:iCs/>
          <w:sz w:val="18"/>
          <w:szCs w:val="18"/>
        </w:rPr>
        <w:t xml:space="preserve">2299 </w:t>
      </w:r>
      <w:r w:rsidR="479D65B8" w:rsidRPr="00E0275F">
        <w:rPr>
          <w:rFonts w:ascii="Century Gothic" w:eastAsia="Times New Roman" w:hAnsi="Century Gothic"/>
          <w:i/>
          <w:iCs/>
          <w:sz w:val="18"/>
          <w:szCs w:val="18"/>
        </w:rPr>
        <w:t>(all PBV and RAD/PBV) = 312</w:t>
      </w:r>
      <w:r w:rsidR="0FFE6D0A" w:rsidRPr="00E0275F">
        <w:rPr>
          <w:rFonts w:ascii="Century Gothic" w:eastAsia="Times New Roman" w:hAnsi="Century Gothic"/>
          <w:i/>
          <w:iCs/>
          <w:sz w:val="18"/>
          <w:szCs w:val="18"/>
        </w:rPr>
        <w:t>0</w:t>
      </w:r>
    </w:p>
    <w:p w14:paraId="755DDEEC" w14:textId="4100D546" w:rsidR="0087531D" w:rsidRPr="00BD42BB" w:rsidRDefault="00E64FFF" w:rsidP="00344105">
      <w:pPr>
        <w:spacing w:after="160" w:line="276" w:lineRule="auto"/>
        <w:rPr>
          <w:rStyle w:val="IntenseEmphasis"/>
          <w:rFonts w:ascii="Century Gothic" w:hAnsi="Century Gothic"/>
          <w:color w:val="auto"/>
          <w:sz w:val="22"/>
          <w:szCs w:val="22"/>
        </w:rPr>
      </w:pPr>
      <w:r w:rsidRPr="00BD42BB">
        <w:rPr>
          <w:rStyle w:val="IntenseEmphasis"/>
          <w:rFonts w:ascii="Century Gothic" w:hAnsi="Century Gothic"/>
          <w:color w:val="auto"/>
          <w:sz w:val="22"/>
          <w:szCs w:val="22"/>
        </w:rPr>
        <w:lastRenderedPageBreak/>
        <w:t>Internal Metrics</w:t>
      </w:r>
    </w:p>
    <w:tbl>
      <w:tblPr>
        <w:tblStyle w:val="TableGrid"/>
        <w:tblW w:w="0" w:type="auto"/>
        <w:tblLayout w:type="fixed"/>
        <w:tblLook w:val="04A0" w:firstRow="1" w:lastRow="0" w:firstColumn="1" w:lastColumn="0" w:noHBand="0" w:noVBand="1"/>
      </w:tblPr>
      <w:tblGrid>
        <w:gridCol w:w="2610"/>
        <w:gridCol w:w="1710"/>
        <w:gridCol w:w="1710"/>
        <w:gridCol w:w="2520"/>
        <w:gridCol w:w="1350"/>
      </w:tblGrid>
      <w:tr w:rsidR="009E30A0" w:rsidRPr="00BD42BB" w14:paraId="3EC54463" w14:textId="77777777" w:rsidTr="0E71204A">
        <w:trPr>
          <w:trHeight w:val="400"/>
        </w:trPr>
        <w:tc>
          <w:tcPr>
            <w:tcW w:w="9900" w:type="dxa"/>
            <w:gridSpan w:val="5"/>
            <w:tcBorders>
              <w:top w:val="nil"/>
              <w:left w:val="nil"/>
              <w:bottom w:val="single" w:sz="24" w:space="0" w:color="B5333C" w:themeColor="accent2"/>
              <w:right w:val="nil"/>
            </w:tcBorders>
            <w:shd w:val="clear" w:color="auto" w:fill="808080" w:themeFill="background1" w:themeFillShade="80"/>
            <w:hideMark/>
          </w:tcPr>
          <w:p w14:paraId="2D3E0151" w14:textId="77777777" w:rsidR="008975C8" w:rsidRPr="00BD42BB" w:rsidRDefault="008975C8" w:rsidP="008975C8">
            <w:pPr>
              <w:jc w:val="center"/>
              <w:rPr>
                <w:rFonts w:ascii="Century Gothic" w:eastAsia="Calibri" w:hAnsi="Century Gothic"/>
                <w:b/>
                <w:i/>
                <w:szCs w:val="22"/>
              </w:rPr>
            </w:pPr>
            <w:r w:rsidRPr="00BD42BB">
              <w:rPr>
                <w:rFonts w:ascii="Century Gothic" w:hAnsi="Century Gothic"/>
                <w:b/>
                <w:szCs w:val="22"/>
              </w:rPr>
              <w:t>Redevelopment Metrics</w:t>
            </w:r>
          </w:p>
        </w:tc>
      </w:tr>
      <w:tr w:rsidR="009E30A0" w:rsidRPr="00BD42BB" w14:paraId="5818EBC9" w14:textId="77777777" w:rsidTr="0E71204A">
        <w:trPr>
          <w:trHeight w:val="400"/>
        </w:trPr>
        <w:tc>
          <w:tcPr>
            <w:tcW w:w="2610"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tcPr>
          <w:p w14:paraId="30DD5A24" w14:textId="77777777" w:rsidR="008975C8" w:rsidRPr="00BD42BB" w:rsidRDefault="008975C8" w:rsidP="008975C8">
            <w:pPr>
              <w:jc w:val="center"/>
              <w:rPr>
                <w:rFonts w:ascii="Century Gothic" w:hAnsi="Century Gothic"/>
                <w:b/>
                <w:szCs w:val="22"/>
              </w:rPr>
            </w:pPr>
            <w:r w:rsidRPr="00BD42BB">
              <w:rPr>
                <w:rFonts w:ascii="Century Gothic" w:hAnsi="Century Gothic"/>
                <w:b/>
                <w:szCs w:val="22"/>
              </w:rPr>
              <w:t>Unit of Measurement</w:t>
            </w:r>
          </w:p>
        </w:tc>
        <w:tc>
          <w:tcPr>
            <w:tcW w:w="171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36D7D831" w14:textId="77777777" w:rsidR="008975C8" w:rsidRPr="00BD42BB" w:rsidRDefault="008975C8" w:rsidP="008975C8">
            <w:pPr>
              <w:jc w:val="center"/>
              <w:rPr>
                <w:rFonts w:ascii="Century Gothic" w:hAnsi="Century Gothic"/>
                <w:b/>
                <w:szCs w:val="22"/>
              </w:rPr>
            </w:pPr>
            <w:r w:rsidRPr="00BD42BB">
              <w:rPr>
                <w:rFonts w:ascii="Century Gothic" w:hAnsi="Century Gothic"/>
                <w:b/>
                <w:szCs w:val="22"/>
              </w:rPr>
              <w:t>Baseline</w:t>
            </w:r>
          </w:p>
        </w:tc>
        <w:tc>
          <w:tcPr>
            <w:tcW w:w="171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118DA3B9" w14:textId="77777777" w:rsidR="008975C8" w:rsidRPr="00BD42BB" w:rsidRDefault="008975C8" w:rsidP="008975C8">
            <w:pPr>
              <w:jc w:val="center"/>
              <w:rPr>
                <w:rFonts w:ascii="Century Gothic" w:hAnsi="Century Gothic"/>
                <w:b/>
                <w:szCs w:val="22"/>
              </w:rPr>
            </w:pPr>
            <w:r w:rsidRPr="00BD42BB">
              <w:rPr>
                <w:rFonts w:ascii="Century Gothic" w:hAnsi="Century Gothic"/>
                <w:b/>
                <w:szCs w:val="22"/>
              </w:rPr>
              <w:t>Benchmark</w:t>
            </w:r>
          </w:p>
        </w:tc>
        <w:tc>
          <w:tcPr>
            <w:tcW w:w="252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01CEB479" w14:textId="77777777" w:rsidR="008975C8" w:rsidRPr="00BD42BB" w:rsidRDefault="008975C8" w:rsidP="008975C8">
            <w:pPr>
              <w:jc w:val="center"/>
              <w:rPr>
                <w:rFonts w:ascii="Century Gothic" w:hAnsi="Century Gothic"/>
                <w:b/>
                <w:szCs w:val="22"/>
              </w:rPr>
            </w:pPr>
            <w:r w:rsidRPr="00BD42BB">
              <w:rPr>
                <w:rFonts w:ascii="Century Gothic" w:hAnsi="Century Gothic"/>
                <w:b/>
                <w:szCs w:val="22"/>
              </w:rPr>
              <w:t>Outcome</w:t>
            </w:r>
          </w:p>
        </w:tc>
        <w:tc>
          <w:tcPr>
            <w:tcW w:w="135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tcPr>
          <w:p w14:paraId="71EE2546" w14:textId="77777777" w:rsidR="008975C8" w:rsidRPr="00BD42BB" w:rsidRDefault="008975C8" w:rsidP="008975C8">
            <w:pPr>
              <w:jc w:val="center"/>
              <w:rPr>
                <w:rFonts w:ascii="Century Gothic" w:hAnsi="Century Gothic"/>
                <w:b/>
                <w:szCs w:val="22"/>
              </w:rPr>
            </w:pPr>
            <w:r w:rsidRPr="00BD42BB">
              <w:rPr>
                <w:rFonts w:ascii="Century Gothic" w:hAnsi="Century Gothic"/>
                <w:b/>
                <w:szCs w:val="22"/>
              </w:rPr>
              <w:t>Benchmark Achieved?</w:t>
            </w:r>
          </w:p>
        </w:tc>
      </w:tr>
      <w:tr w:rsidR="009E30A0" w:rsidRPr="00BD42BB" w14:paraId="5C4EBC83" w14:textId="77777777" w:rsidTr="0E71204A">
        <w:trPr>
          <w:trHeight w:val="521"/>
        </w:trPr>
        <w:tc>
          <w:tcPr>
            <w:tcW w:w="9900" w:type="dxa"/>
            <w:gridSpan w:val="5"/>
            <w:tcBorders>
              <w:top w:val="single" w:sz="4" w:space="0" w:color="D9D9D9" w:themeColor="background1" w:themeShade="D9"/>
              <w:left w:val="nil"/>
              <w:bottom w:val="single" w:sz="4" w:space="0" w:color="D9D9D9" w:themeColor="background1" w:themeShade="D9"/>
              <w:right w:val="nil"/>
            </w:tcBorders>
            <w:shd w:val="clear" w:color="auto" w:fill="808080" w:themeFill="background1" w:themeFillShade="80"/>
          </w:tcPr>
          <w:p w14:paraId="5527E59F" w14:textId="77777777" w:rsidR="008975C8" w:rsidRPr="00BD42BB" w:rsidRDefault="008975C8" w:rsidP="00C77BC9">
            <w:pPr>
              <w:jc w:val="center"/>
              <w:rPr>
                <w:rFonts w:ascii="Century Gothic" w:hAnsi="Century Gothic"/>
                <w:b/>
                <w:szCs w:val="22"/>
              </w:rPr>
            </w:pPr>
          </w:p>
          <w:p w14:paraId="35B42DD3" w14:textId="04EE179F" w:rsidR="008975C8" w:rsidRPr="00BD42BB" w:rsidRDefault="00F360D2" w:rsidP="007966B9">
            <w:pPr>
              <w:pStyle w:val="MTWHeader2"/>
              <w:rPr>
                <w:rFonts w:ascii="Century Gothic" w:hAnsi="Century Gothic" w:cs="Times New Roman"/>
                <w:sz w:val="22"/>
                <w:szCs w:val="22"/>
              </w:rPr>
            </w:pPr>
            <w:r w:rsidRPr="00BD42BB">
              <w:rPr>
                <w:rFonts w:ascii="Century Gothic" w:hAnsi="Century Gothic" w:cs="Times New Roman"/>
                <w:sz w:val="22"/>
                <w:szCs w:val="22"/>
              </w:rPr>
              <w:t>Internal Metric #12: HCV Budget Authority for the Agency that is Permitted to Project-Base</w:t>
            </w:r>
          </w:p>
        </w:tc>
      </w:tr>
      <w:tr w:rsidR="009E30A0" w:rsidRPr="00BD42BB" w14:paraId="017FCA17" w14:textId="77777777" w:rsidTr="0E71204A">
        <w:trPr>
          <w:trHeight w:val="620"/>
        </w:trPr>
        <w:tc>
          <w:tcPr>
            <w:tcW w:w="26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3A2C4A8" w14:textId="6A113189" w:rsidR="00F360D2" w:rsidRPr="00BD42BB" w:rsidRDefault="00F360D2" w:rsidP="00F360D2">
            <w:pPr>
              <w:shd w:val="clear" w:color="auto" w:fill="FFFFFF"/>
              <w:rPr>
                <w:rFonts w:ascii="Century Gothic" w:hAnsi="Century Gothic"/>
                <w:szCs w:val="22"/>
              </w:rPr>
            </w:pPr>
            <w:r w:rsidRPr="00BD42BB">
              <w:rPr>
                <w:rFonts w:ascii="Century Gothic" w:eastAsia="Calibri" w:hAnsi="Century Gothic"/>
                <w:szCs w:val="22"/>
              </w:rPr>
              <w:t xml:space="preserve">Overall </w:t>
            </w:r>
            <w:r w:rsidR="007F16D6" w:rsidRPr="00BD42BB">
              <w:rPr>
                <w:rFonts w:ascii="Century Gothic" w:eastAsia="Calibri" w:hAnsi="Century Gothic"/>
                <w:szCs w:val="22"/>
              </w:rPr>
              <w:t>ECC/HANH</w:t>
            </w:r>
            <w:r w:rsidRPr="00BD42BB">
              <w:rPr>
                <w:rFonts w:ascii="Century Gothic" w:eastAsia="Calibri" w:hAnsi="Century Gothic"/>
                <w:szCs w:val="22"/>
              </w:rPr>
              <w:t xml:space="preserve"> percentage of PBV/HCV**</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5F3D6B" w14:textId="77777777" w:rsidR="00F360D2" w:rsidRPr="00BD42BB" w:rsidRDefault="00F360D2" w:rsidP="00C77BC9">
            <w:pPr>
              <w:shd w:val="clear" w:color="auto" w:fill="FFFFFF"/>
              <w:jc w:val="center"/>
              <w:rPr>
                <w:rFonts w:ascii="Century Gothic" w:hAnsi="Century Gothic"/>
                <w:szCs w:val="22"/>
              </w:rPr>
            </w:pPr>
            <w:r w:rsidRPr="00BD42BB">
              <w:rPr>
                <w:rFonts w:ascii="Century Gothic" w:eastAsia="Calibri" w:hAnsi="Century Gothic"/>
                <w:szCs w:val="22"/>
              </w:rPr>
              <w:t>11% (FY13)</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2EC40A4A" w14:textId="0E322411" w:rsidR="00F360D2" w:rsidRPr="00BD42BB" w:rsidRDefault="52ED8EFA" w:rsidP="6B711D13">
            <w:pPr>
              <w:shd w:val="clear" w:color="auto" w:fill="FFFFFF" w:themeFill="background1"/>
              <w:jc w:val="center"/>
              <w:rPr>
                <w:rFonts w:ascii="Century Gothic" w:hAnsi="Century Gothic"/>
              </w:rPr>
            </w:pPr>
            <w:r w:rsidRPr="00BD42BB">
              <w:rPr>
                <w:rFonts w:ascii="Century Gothic" w:eastAsia="Calibri" w:hAnsi="Century Gothic"/>
              </w:rPr>
              <w:t xml:space="preserve">Up to </w:t>
            </w:r>
            <w:r w:rsidR="00F360D2" w:rsidRPr="00BD42BB">
              <w:rPr>
                <w:rFonts w:ascii="Century Gothic" w:eastAsia="Calibri" w:hAnsi="Century Gothic"/>
              </w:rPr>
              <w:t>25%</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5CFA4E" w14:textId="59A1680E" w:rsidR="3F78C0D3" w:rsidRPr="00BD42BB" w:rsidRDefault="06AE58FC" w:rsidP="33229EB5">
            <w:pPr>
              <w:shd w:val="clear" w:color="auto" w:fill="FFFFFF" w:themeFill="background1"/>
              <w:rPr>
                <w:rFonts w:ascii="Century Gothic" w:eastAsia="Calibri" w:hAnsi="Century Gothic"/>
              </w:rPr>
            </w:pPr>
            <w:r w:rsidRPr="00BD42BB">
              <w:rPr>
                <w:rFonts w:ascii="Century Gothic" w:eastAsia="Calibri" w:hAnsi="Century Gothic"/>
              </w:rPr>
              <w:t xml:space="preserve">2024: </w:t>
            </w:r>
            <w:r w:rsidR="29B64204" w:rsidRPr="26FB1516">
              <w:rPr>
                <w:rFonts w:ascii="Century Gothic" w:eastAsia="Calibri" w:hAnsi="Century Gothic"/>
              </w:rPr>
              <w:t>1</w:t>
            </w:r>
            <w:r w:rsidR="67B7F55F" w:rsidRPr="26FB1516">
              <w:rPr>
                <w:rFonts w:ascii="Century Gothic" w:eastAsia="Calibri" w:hAnsi="Century Gothic"/>
              </w:rPr>
              <w:t>2</w:t>
            </w:r>
            <w:r w:rsidRPr="00BD42BB">
              <w:rPr>
                <w:rFonts w:ascii="Century Gothic" w:eastAsia="Calibri" w:hAnsi="Century Gothic"/>
              </w:rPr>
              <w:t>%**</w:t>
            </w:r>
          </w:p>
          <w:p w14:paraId="438FAC05" w14:textId="2B8D65C1" w:rsidR="33229EB5" w:rsidRPr="00BD42BB" w:rsidRDefault="33229EB5" w:rsidP="33229EB5">
            <w:pPr>
              <w:shd w:val="clear" w:color="auto" w:fill="FFFFFF" w:themeFill="background1"/>
              <w:rPr>
                <w:rFonts w:ascii="Century Gothic" w:eastAsia="Calibri" w:hAnsi="Century Gothic"/>
              </w:rPr>
            </w:pPr>
          </w:p>
          <w:p w14:paraId="4D245DE2" w14:textId="57E09375" w:rsidR="000619DC" w:rsidRPr="00BD42BB" w:rsidRDefault="56E0ED90" w:rsidP="56558BA2">
            <w:pPr>
              <w:shd w:val="clear" w:color="auto" w:fill="FFFFFF" w:themeFill="background1"/>
              <w:rPr>
                <w:rFonts w:ascii="Century Gothic" w:eastAsia="Calibri" w:hAnsi="Century Gothic"/>
              </w:rPr>
            </w:pPr>
            <w:r w:rsidRPr="00BD42BB">
              <w:rPr>
                <w:rFonts w:ascii="Century Gothic" w:eastAsia="Calibri" w:hAnsi="Century Gothic"/>
              </w:rPr>
              <w:t xml:space="preserve">2023: </w:t>
            </w:r>
            <w:r w:rsidR="51BD1F50" w:rsidRPr="00BD42BB">
              <w:rPr>
                <w:rFonts w:ascii="Century Gothic" w:eastAsia="Calibri" w:hAnsi="Century Gothic"/>
              </w:rPr>
              <w:t>1</w:t>
            </w:r>
            <w:r w:rsidR="60933BCC" w:rsidRPr="00BD42BB">
              <w:rPr>
                <w:rFonts w:ascii="Century Gothic" w:eastAsia="Calibri" w:hAnsi="Century Gothic"/>
              </w:rPr>
              <w:t>5</w:t>
            </w:r>
            <w:r w:rsidRPr="00BD42BB">
              <w:rPr>
                <w:rFonts w:ascii="Century Gothic" w:eastAsia="Calibri" w:hAnsi="Century Gothic"/>
              </w:rPr>
              <w:t>%</w:t>
            </w:r>
            <w:r w:rsidR="4C7FB451" w:rsidRPr="00BD42BB">
              <w:rPr>
                <w:rFonts w:ascii="Century Gothic" w:eastAsia="Calibri" w:hAnsi="Century Gothic"/>
              </w:rPr>
              <w:t>**</w:t>
            </w:r>
          </w:p>
          <w:p w14:paraId="6A3844E8" w14:textId="3BB5EBD0" w:rsidR="00B755D5" w:rsidRPr="00BD42BB" w:rsidRDefault="00B755D5" w:rsidP="6A46A6B1">
            <w:pPr>
              <w:shd w:val="clear" w:color="auto" w:fill="FFFFFF" w:themeFill="background1"/>
              <w:rPr>
                <w:rFonts w:ascii="Century Gothic" w:eastAsia="Calibri" w:hAnsi="Century Gothic"/>
                <w:szCs w:val="22"/>
              </w:rPr>
            </w:pPr>
            <w:r w:rsidRPr="00BD42BB">
              <w:rPr>
                <w:rFonts w:ascii="Century Gothic" w:eastAsia="Calibri" w:hAnsi="Century Gothic"/>
                <w:szCs w:val="22"/>
              </w:rPr>
              <w:t xml:space="preserve">2022: </w:t>
            </w:r>
            <w:r w:rsidR="00A47ADC" w:rsidRPr="00BD42BB">
              <w:rPr>
                <w:rFonts w:ascii="Century Gothic" w:eastAsia="Calibri" w:hAnsi="Century Gothic"/>
                <w:szCs w:val="22"/>
              </w:rPr>
              <w:t>12%</w:t>
            </w:r>
          </w:p>
          <w:p w14:paraId="495EC086" w14:textId="2FB913C5" w:rsidR="002629D5" w:rsidRPr="00BD42BB" w:rsidRDefault="002629D5" w:rsidP="6A46A6B1">
            <w:pPr>
              <w:shd w:val="clear" w:color="auto" w:fill="FFFFFF" w:themeFill="background1"/>
              <w:rPr>
                <w:rFonts w:ascii="Century Gothic" w:eastAsia="Calibri" w:hAnsi="Century Gothic"/>
                <w:szCs w:val="22"/>
              </w:rPr>
            </w:pPr>
            <w:r w:rsidRPr="00BD42BB">
              <w:rPr>
                <w:rFonts w:ascii="Century Gothic" w:eastAsia="Calibri" w:hAnsi="Century Gothic"/>
                <w:szCs w:val="22"/>
              </w:rPr>
              <w:t>20</w:t>
            </w:r>
            <w:r w:rsidR="00E33859" w:rsidRPr="00BD42BB">
              <w:rPr>
                <w:rFonts w:ascii="Century Gothic" w:eastAsia="Calibri" w:hAnsi="Century Gothic"/>
                <w:szCs w:val="22"/>
              </w:rPr>
              <w:t>21</w:t>
            </w:r>
            <w:r w:rsidRPr="00BD42BB">
              <w:rPr>
                <w:rFonts w:ascii="Century Gothic" w:eastAsia="Calibri" w:hAnsi="Century Gothic"/>
                <w:szCs w:val="22"/>
              </w:rPr>
              <w:t xml:space="preserve">: </w:t>
            </w:r>
            <w:r w:rsidR="00E33859" w:rsidRPr="00BD42BB">
              <w:rPr>
                <w:rFonts w:ascii="Century Gothic" w:eastAsia="Calibri" w:hAnsi="Century Gothic"/>
                <w:szCs w:val="22"/>
              </w:rPr>
              <w:t>11</w:t>
            </w:r>
            <w:r w:rsidRPr="00BD42BB">
              <w:rPr>
                <w:rFonts w:ascii="Century Gothic" w:eastAsia="Calibri" w:hAnsi="Century Gothic"/>
                <w:szCs w:val="22"/>
              </w:rPr>
              <w:t>%</w:t>
            </w:r>
          </w:p>
          <w:p w14:paraId="12E81C47" w14:textId="3BA3EB0A" w:rsidR="00F360D2" w:rsidRPr="00BD42BB" w:rsidRDefault="00F360D2" w:rsidP="00B67A81">
            <w:pPr>
              <w:shd w:val="clear" w:color="auto" w:fill="FFFFFF"/>
              <w:rPr>
                <w:rFonts w:ascii="Century Gothic" w:eastAsia="Calibri"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D917D46" w14:textId="3F9D09E4" w:rsidR="00F360D2" w:rsidRPr="00BD42BB" w:rsidRDefault="00E83A86" w:rsidP="33229EB5">
            <w:pPr>
              <w:shd w:val="clear" w:color="auto" w:fill="FFFFFF" w:themeFill="background1"/>
              <w:rPr>
                <w:rFonts w:ascii="Century Gothic" w:hAnsi="Century Gothic"/>
              </w:rPr>
            </w:pPr>
            <w:r w:rsidRPr="00BD42BB">
              <w:rPr>
                <w:rFonts w:ascii="Century Gothic" w:eastAsia="Calibri" w:hAnsi="Century Gothic"/>
              </w:rPr>
              <w:t>Yes</w:t>
            </w:r>
          </w:p>
        </w:tc>
      </w:tr>
    </w:tbl>
    <w:p w14:paraId="1E7877F3" w14:textId="77777777" w:rsidR="00D46776" w:rsidRDefault="3F46E2E4" w:rsidP="46B3BF7C">
      <w:pPr>
        <w:rPr>
          <w:rFonts w:ascii="Century Gothic" w:hAnsi="Century Gothic"/>
          <w:sz w:val="18"/>
          <w:szCs w:val="18"/>
        </w:rPr>
      </w:pPr>
      <w:r w:rsidRPr="00E0275F">
        <w:rPr>
          <w:rFonts w:ascii="Century Gothic" w:hAnsi="Century Gothic"/>
          <w:sz w:val="18"/>
          <w:szCs w:val="18"/>
        </w:rPr>
        <w:t>* ECC/HANH has created a new stream of revenue from redevelopment activities. The redevelopment fees</w:t>
      </w:r>
      <w:r w:rsidR="00C734E7" w:rsidRPr="00E0275F">
        <w:rPr>
          <w:rFonts w:ascii="Century Gothic" w:hAnsi="Century Gothic"/>
          <w:sz w:val="18"/>
          <w:szCs w:val="18"/>
        </w:rPr>
        <w:t xml:space="preserve"> and ECC/HANH administrative costs are reimbursed by the development </w:t>
      </w:r>
      <w:proofErr w:type="gramStart"/>
      <w:r w:rsidR="00C734E7" w:rsidRPr="00E0275F">
        <w:rPr>
          <w:rFonts w:ascii="Century Gothic" w:hAnsi="Century Gothic"/>
          <w:sz w:val="18"/>
          <w:szCs w:val="18"/>
        </w:rPr>
        <w:t>budget</w:t>
      </w:r>
      <w:proofErr w:type="gramEnd"/>
      <w:r w:rsidR="00C734E7" w:rsidRPr="00E0275F">
        <w:rPr>
          <w:rFonts w:ascii="Century Gothic" w:hAnsi="Century Gothic"/>
          <w:sz w:val="18"/>
          <w:szCs w:val="18"/>
        </w:rPr>
        <w:t xml:space="preserve"> and revenue is reinvested in future redevelopment efforts. </w:t>
      </w:r>
    </w:p>
    <w:p w14:paraId="0963F14F" w14:textId="77777777" w:rsidR="00E0275F" w:rsidRPr="00E0275F" w:rsidRDefault="00E0275F" w:rsidP="46B3BF7C">
      <w:pPr>
        <w:rPr>
          <w:rFonts w:ascii="Century Gothic" w:hAnsi="Century Gothic"/>
          <w:sz w:val="18"/>
          <w:szCs w:val="18"/>
        </w:rPr>
      </w:pPr>
    </w:p>
    <w:p w14:paraId="15F19043" w14:textId="48BAB901" w:rsidR="77A5C0E0" w:rsidRDefault="77A5C0E0" w:rsidP="46B3BF7C">
      <w:pPr>
        <w:rPr>
          <w:rFonts w:ascii="Century Gothic" w:eastAsia="Times New Roman" w:hAnsi="Century Gothic"/>
          <w:sz w:val="18"/>
          <w:szCs w:val="18"/>
        </w:rPr>
      </w:pPr>
      <w:r w:rsidRPr="00E0275F">
        <w:rPr>
          <w:rFonts w:ascii="Century Gothic" w:eastAsia="Times New Roman" w:hAnsi="Century Gothic"/>
          <w:sz w:val="18"/>
          <w:szCs w:val="18"/>
        </w:rPr>
        <w:t xml:space="preserve">The non-RAD PB allocation is </w:t>
      </w:r>
      <w:r w:rsidR="2E58AFB8" w:rsidRPr="7E4EF20A">
        <w:rPr>
          <w:rFonts w:ascii="Century Gothic" w:eastAsia="Times New Roman" w:hAnsi="Century Gothic"/>
          <w:sz w:val="18"/>
          <w:szCs w:val="18"/>
        </w:rPr>
        <w:t>12</w:t>
      </w:r>
      <w:r w:rsidRPr="00E0275F">
        <w:rPr>
          <w:rFonts w:ascii="Century Gothic" w:eastAsia="Times New Roman" w:hAnsi="Century Gothic"/>
          <w:sz w:val="18"/>
          <w:szCs w:val="18"/>
        </w:rPr>
        <w:t xml:space="preserve">%*, </w:t>
      </w:r>
    </w:p>
    <w:p w14:paraId="6CDF0671" w14:textId="42F5897E" w:rsidR="00E0275F" w:rsidRPr="00E0275F" w:rsidRDefault="00E0275F" w:rsidP="00E0275F">
      <w:pPr>
        <w:rPr>
          <w:rFonts w:ascii="Century Gothic" w:eastAsia="Times New Roman" w:hAnsi="Century Gothic"/>
          <w:i/>
          <w:iCs/>
          <w:sz w:val="18"/>
          <w:szCs w:val="18"/>
        </w:rPr>
      </w:pPr>
      <w:r w:rsidRPr="00E0275F">
        <w:rPr>
          <w:rFonts w:ascii="Century Gothic" w:eastAsia="Times New Roman" w:hAnsi="Century Gothic"/>
          <w:i/>
          <w:iCs/>
          <w:sz w:val="18"/>
          <w:szCs w:val="18"/>
        </w:rPr>
        <w:t>*(Total voucher count (</w:t>
      </w:r>
      <w:r w:rsidR="0C6D5201" w:rsidRPr="7E4EF20A">
        <w:rPr>
          <w:rFonts w:ascii="Century Gothic" w:eastAsia="Times New Roman" w:hAnsi="Century Gothic"/>
          <w:i/>
          <w:iCs/>
          <w:sz w:val="18"/>
          <w:szCs w:val="18"/>
        </w:rPr>
        <w:t>6595</w:t>
      </w:r>
      <w:r w:rsidRPr="00E0275F">
        <w:rPr>
          <w:rFonts w:ascii="Century Gothic" w:eastAsia="Times New Roman" w:hAnsi="Century Gothic"/>
          <w:i/>
          <w:iCs/>
          <w:sz w:val="18"/>
          <w:szCs w:val="18"/>
        </w:rPr>
        <w:t>) - RAD/PBV (1689) = non-RAD vouchers (</w:t>
      </w:r>
      <w:r w:rsidR="65B14695" w:rsidRPr="2148EAD8">
        <w:rPr>
          <w:rFonts w:ascii="Century Gothic" w:eastAsia="Times New Roman" w:hAnsi="Century Gothic"/>
          <w:i/>
          <w:iCs/>
          <w:sz w:val="18"/>
          <w:szCs w:val="18"/>
        </w:rPr>
        <w:t>4,906</w:t>
      </w:r>
      <w:r w:rsidRPr="00E0275F">
        <w:rPr>
          <w:rFonts w:ascii="Century Gothic" w:eastAsia="Times New Roman" w:hAnsi="Century Gothic"/>
          <w:i/>
          <w:iCs/>
          <w:sz w:val="18"/>
          <w:szCs w:val="18"/>
        </w:rPr>
        <w:t xml:space="preserve">))  </w:t>
      </w:r>
    </w:p>
    <w:p w14:paraId="430716F6" w14:textId="2324E9B5" w:rsidR="00E0275F" w:rsidRPr="00E0275F" w:rsidRDefault="00E0275F" w:rsidP="00E0275F">
      <w:pPr>
        <w:rPr>
          <w:rFonts w:ascii="Century Gothic" w:eastAsia="Times New Roman" w:hAnsi="Century Gothic"/>
          <w:i/>
          <w:iCs/>
          <w:sz w:val="18"/>
          <w:szCs w:val="18"/>
        </w:rPr>
      </w:pPr>
      <w:r w:rsidRPr="00E0275F">
        <w:rPr>
          <w:rFonts w:ascii="Century Gothic" w:eastAsia="Times New Roman" w:hAnsi="Century Gothic"/>
          <w:i/>
          <w:iCs/>
          <w:sz w:val="18"/>
          <w:szCs w:val="18"/>
        </w:rPr>
        <w:t xml:space="preserve">(PBV (610) is </w:t>
      </w:r>
      <w:r w:rsidRPr="2148EAD8">
        <w:rPr>
          <w:rFonts w:ascii="Century Gothic" w:eastAsia="Times New Roman" w:hAnsi="Century Gothic"/>
          <w:i/>
          <w:iCs/>
          <w:sz w:val="18"/>
          <w:szCs w:val="18"/>
        </w:rPr>
        <w:t>1</w:t>
      </w:r>
      <w:r w:rsidR="36D0470C" w:rsidRPr="2148EAD8">
        <w:rPr>
          <w:rFonts w:ascii="Century Gothic" w:eastAsia="Times New Roman" w:hAnsi="Century Gothic"/>
          <w:i/>
          <w:iCs/>
          <w:sz w:val="18"/>
          <w:szCs w:val="18"/>
        </w:rPr>
        <w:t>2</w:t>
      </w:r>
      <w:r w:rsidRPr="00E0275F">
        <w:rPr>
          <w:rFonts w:ascii="Century Gothic" w:eastAsia="Times New Roman" w:hAnsi="Century Gothic"/>
          <w:i/>
          <w:iCs/>
          <w:sz w:val="18"/>
          <w:szCs w:val="18"/>
        </w:rPr>
        <w:t>% of total non-RAD vouchers (</w:t>
      </w:r>
      <w:r w:rsidR="521942A9" w:rsidRPr="2148EAD8">
        <w:rPr>
          <w:rFonts w:ascii="Century Gothic" w:eastAsia="Times New Roman" w:hAnsi="Century Gothic"/>
          <w:i/>
          <w:iCs/>
          <w:sz w:val="18"/>
          <w:szCs w:val="18"/>
        </w:rPr>
        <w:t>4,906</w:t>
      </w:r>
      <w:r w:rsidRPr="00E0275F">
        <w:rPr>
          <w:rFonts w:ascii="Century Gothic" w:eastAsia="Times New Roman" w:hAnsi="Century Gothic"/>
          <w:i/>
          <w:iCs/>
          <w:sz w:val="18"/>
          <w:szCs w:val="18"/>
        </w:rPr>
        <w:t>))</w:t>
      </w:r>
    </w:p>
    <w:p w14:paraId="2DC45D53" w14:textId="77777777" w:rsidR="00E0275F" w:rsidRPr="00E0275F" w:rsidRDefault="00E0275F" w:rsidP="46B3BF7C">
      <w:pPr>
        <w:rPr>
          <w:rFonts w:ascii="Century Gothic" w:eastAsia="Times New Roman" w:hAnsi="Century Gothic"/>
          <w:sz w:val="18"/>
          <w:szCs w:val="18"/>
        </w:rPr>
      </w:pPr>
    </w:p>
    <w:p w14:paraId="2ACB757C" w14:textId="7E09EE70" w:rsidR="77A5C0E0" w:rsidRPr="00E0275F" w:rsidRDefault="3E1DEED2" w:rsidP="0E71204A">
      <w:pPr>
        <w:rPr>
          <w:rFonts w:ascii="Century Gothic" w:eastAsia="Times New Roman" w:hAnsi="Century Gothic"/>
          <w:i/>
          <w:iCs/>
          <w:sz w:val="18"/>
          <w:szCs w:val="18"/>
        </w:rPr>
      </w:pPr>
      <w:r w:rsidRPr="00E0275F">
        <w:rPr>
          <w:rFonts w:ascii="Century Gothic" w:eastAsia="Times New Roman" w:hAnsi="Century Gothic"/>
          <w:i/>
          <w:iCs/>
          <w:sz w:val="18"/>
          <w:szCs w:val="18"/>
        </w:rPr>
        <w:t>FY23</w:t>
      </w:r>
      <w:r w:rsidR="00434CF0" w:rsidRPr="00E0275F">
        <w:rPr>
          <w:rFonts w:ascii="Century Gothic" w:eastAsia="Times New Roman" w:hAnsi="Century Gothic"/>
          <w:i/>
          <w:iCs/>
          <w:sz w:val="18"/>
          <w:szCs w:val="18"/>
        </w:rPr>
        <w:t>**</w:t>
      </w:r>
      <w:r w:rsidR="76E4E099" w:rsidRPr="00E0275F">
        <w:rPr>
          <w:rFonts w:ascii="Century Gothic" w:eastAsia="Times New Roman" w:hAnsi="Century Gothic"/>
          <w:i/>
          <w:iCs/>
          <w:sz w:val="18"/>
          <w:szCs w:val="18"/>
        </w:rPr>
        <w:t xml:space="preserve">Total voucher count (5637) - RAD/PBV (1461) = </w:t>
      </w:r>
      <w:r w:rsidR="6B069F1F" w:rsidRPr="00E0275F">
        <w:rPr>
          <w:rFonts w:ascii="Century Gothic" w:eastAsia="Times New Roman" w:hAnsi="Century Gothic"/>
          <w:i/>
          <w:iCs/>
          <w:sz w:val="18"/>
          <w:szCs w:val="18"/>
        </w:rPr>
        <w:t>n</w:t>
      </w:r>
      <w:r w:rsidR="76E4E099" w:rsidRPr="00E0275F">
        <w:rPr>
          <w:rFonts w:ascii="Century Gothic" w:eastAsia="Times New Roman" w:hAnsi="Century Gothic"/>
          <w:i/>
          <w:iCs/>
          <w:sz w:val="18"/>
          <w:szCs w:val="18"/>
        </w:rPr>
        <w:t>on-RAD vouchers (</w:t>
      </w:r>
      <w:proofErr w:type="gramStart"/>
      <w:r w:rsidR="76E4E099" w:rsidRPr="00E0275F">
        <w:rPr>
          <w:rFonts w:ascii="Century Gothic" w:eastAsia="Times New Roman" w:hAnsi="Century Gothic"/>
          <w:i/>
          <w:iCs/>
          <w:sz w:val="18"/>
          <w:szCs w:val="18"/>
        </w:rPr>
        <w:t>4176</w:t>
      </w:r>
      <w:r w:rsidR="7A2A072D" w:rsidRPr="00E0275F">
        <w:rPr>
          <w:rFonts w:ascii="Century Gothic" w:eastAsia="Times New Roman" w:hAnsi="Century Gothic"/>
          <w:i/>
          <w:iCs/>
          <w:sz w:val="18"/>
          <w:szCs w:val="18"/>
        </w:rPr>
        <w:t>)} {</w:t>
      </w:r>
      <w:proofErr w:type="gramEnd"/>
      <w:r w:rsidR="76E4E099" w:rsidRPr="00E0275F">
        <w:rPr>
          <w:rFonts w:ascii="Century Gothic" w:eastAsia="Times New Roman" w:hAnsi="Century Gothic"/>
          <w:i/>
          <w:iCs/>
          <w:sz w:val="18"/>
          <w:szCs w:val="18"/>
        </w:rPr>
        <w:t xml:space="preserve">PBV (643) </w:t>
      </w:r>
      <w:proofErr w:type="gramStart"/>
      <w:r w:rsidR="76E4E099" w:rsidRPr="00E0275F">
        <w:rPr>
          <w:rFonts w:ascii="Century Gothic" w:eastAsia="Times New Roman" w:hAnsi="Century Gothic"/>
          <w:i/>
          <w:iCs/>
          <w:sz w:val="18"/>
          <w:szCs w:val="18"/>
        </w:rPr>
        <w:t>is</w:t>
      </w:r>
      <w:proofErr w:type="gramEnd"/>
      <w:r w:rsidR="76E4E099" w:rsidRPr="00E0275F">
        <w:rPr>
          <w:rFonts w:ascii="Century Gothic" w:eastAsia="Times New Roman" w:hAnsi="Century Gothic"/>
          <w:i/>
          <w:iCs/>
          <w:sz w:val="18"/>
          <w:szCs w:val="18"/>
        </w:rPr>
        <w:t xml:space="preserve"> 15% of total </w:t>
      </w:r>
      <w:r w:rsidR="7A2A072D" w:rsidRPr="00E0275F">
        <w:rPr>
          <w:rFonts w:ascii="Century Gothic" w:eastAsia="Times New Roman" w:hAnsi="Century Gothic"/>
          <w:i/>
          <w:iCs/>
          <w:sz w:val="18"/>
          <w:szCs w:val="18"/>
        </w:rPr>
        <w:t>n</w:t>
      </w:r>
      <w:r w:rsidR="76E4E099" w:rsidRPr="00E0275F">
        <w:rPr>
          <w:rFonts w:ascii="Century Gothic" w:eastAsia="Times New Roman" w:hAnsi="Century Gothic"/>
          <w:i/>
          <w:iCs/>
          <w:sz w:val="18"/>
          <w:szCs w:val="18"/>
        </w:rPr>
        <w:t>on-RAD voucher</w:t>
      </w:r>
      <w:r w:rsidR="060FCBCC" w:rsidRPr="00E0275F">
        <w:rPr>
          <w:rFonts w:ascii="Century Gothic" w:eastAsia="Times New Roman" w:hAnsi="Century Gothic"/>
          <w:i/>
          <w:iCs/>
          <w:sz w:val="18"/>
          <w:szCs w:val="18"/>
        </w:rPr>
        <w:t>s}</w:t>
      </w:r>
    </w:p>
    <w:p w14:paraId="73AF79FD" w14:textId="3718163C" w:rsidR="46B3BF7C" w:rsidRPr="00BD42BB" w:rsidRDefault="46B3BF7C" w:rsidP="0E71204A">
      <w:pPr>
        <w:rPr>
          <w:rFonts w:ascii="Century Gothic" w:eastAsia="Times New Roman" w:hAnsi="Century Gothic"/>
          <w:i/>
          <w:iCs/>
          <w:sz w:val="20"/>
          <w:szCs w:val="20"/>
        </w:rPr>
      </w:pPr>
    </w:p>
    <w:p w14:paraId="04BB520D" w14:textId="7CD9C2D8" w:rsidR="46B3BF7C" w:rsidRPr="00BD42BB" w:rsidRDefault="46B3BF7C" w:rsidP="0E71204A">
      <w:pPr>
        <w:rPr>
          <w:rFonts w:ascii="Century Gothic" w:hAnsi="Century Gothic"/>
          <w:highlight w:val="yellow"/>
        </w:rPr>
      </w:pPr>
    </w:p>
    <w:p w14:paraId="1DCC5B1E" w14:textId="77777777" w:rsidR="225A7664" w:rsidRPr="00BD42BB" w:rsidRDefault="225A7664" w:rsidP="332E49E3">
      <w:pPr>
        <w:pStyle w:val="Heading4"/>
        <w:rPr>
          <w:rStyle w:val="SubtleEmphasis"/>
          <w:rFonts w:ascii="Century Gothic" w:hAnsi="Century Gothic" w:cs="Times New Roman"/>
          <w:color w:val="808080" w:themeColor="background1" w:themeShade="80"/>
          <w:sz w:val="22"/>
        </w:rPr>
      </w:pPr>
      <w:bookmarkStart w:id="112" w:name="_Toc470178834"/>
      <w:bookmarkStart w:id="113" w:name="_Toc470179738"/>
      <w:bookmarkStart w:id="114" w:name="_Toc502307790"/>
      <w:bookmarkStart w:id="115" w:name="_Toc528927265"/>
      <w:r w:rsidRPr="00BD42BB">
        <w:rPr>
          <w:rStyle w:val="SubtleEmphasis"/>
          <w:rFonts w:ascii="Century Gothic" w:hAnsi="Century Gothic" w:cs="Times New Roman"/>
          <w:color w:val="808080" w:themeColor="background1" w:themeShade="80"/>
          <w:sz w:val="22"/>
        </w:rPr>
        <w:t>Actual Non-Significant Changes</w:t>
      </w:r>
    </w:p>
    <w:p w14:paraId="7A5A259F" w14:textId="35D5B0E0" w:rsidR="332E49E3" w:rsidRPr="00BD42BB" w:rsidRDefault="00E33859">
      <w:pPr>
        <w:rPr>
          <w:rFonts w:ascii="Century Gothic" w:hAnsi="Century Gothic"/>
          <w:szCs w:val="22"/>
        </w:rPr>
      </w:pPr>
      <w:r w:rsidRPr="00BD42BB">
        <w:rPr>
          <w:rFonts w:ascii="Century Gothic" w:hAnsi="Century Gothic"/>
          <w:szCs w:val="22"/>
        </w:rPr>
        <w:t>None</w:t>
      </w:r>
    </w:p>
    <w:p w14:paraId="0F90FBB8" w14:textId="77777777" w:rsidR="332E49E3" w:rsidRPr="00BD42BB" w:rsidRDefault="332E49E3">
      <w:pPr>
        <w:rPr>
          <w:rFonts w:ascii="Century Gothic" w:hAnsi="Century Gothic"/>
          <w:szCs w:val="22"/>
        </w:rPr>
      </w:pPr>
    </w:p>
    <w:p w14:paraId="57C88A87" w14:textId="6EEA2BFF" w:rsidR="00E33859" w:rsidRPr="00BD42BB" w:rsidRDefault="00E33859">
      <w:pPr>
        <w:rPr>
          <w:rFonts w:ascii="Century Gothic" w:hAnsi="Century Gothic"/>
        </w:rPr>
      </w:pPr>
    </w:p>
    <w:p w14:paraId="27F8803B" w14:textId="77777777" w:rsidR="00F463C5" w:rsidRPr="00BD42BB" w:rsidRDefault="6E9C3D34" w:rsidP="56558BA2">
      <w:pPr>
        <w:rPr>
          <w:rStyle w:val="SubtleEmphasis"/>
          <w:rFonts w:ascii="Century Gothic" w:eastAsiaTheme="majorEastAsia" w:hAnsi="Century Gothic"/>
          <w:b/>
          <w:bCs/>
          <w:color w:val="808080" w:themeColor="background1" w:themeShade="80"/>
          <w:sz w:val="22"/>
          <w:szCs w:val="22"/>
        </w:rPr>
      </w:pPr>
      <w:r w:rsidRPr="00BD42BB">
        <w:rPr>
          <w:rStyle w:val="SubtleEmphasis"/>
          <w:rFonts w:ascii="Century Gothic" w:eastAsiaTheme="majorEastAsia" w:hAnsi="Century Gothic"/>
          <w:b/>
          <w:bCs/>
          <w:color w:val="808080" w:themeColor="background1" w:themeShade="80"/>
          <w:sz w:val="22"/>
          <w:szCs w:val="22"/>
        </w:rPr>
        <w:t>Actual Significant Changes</w:t>
      </w:r>
    </w:p>
    <w:p w14:paraId="28C78CC3" w14:textId="4CAB2EA7" w:rsidR="332E49E3" w:rsidRPr="00BD42BB" w:rsidRDefault="7DAD4350" w:rsidP="56558BA2">
      <w:pPr>
        <w:rPr>
          <w:rFonts w:ascii="Century Gothic" w:hAnsi="Century Gothic"/>
        </w:rPr>
      </w:pPr>
      <w:r w:rsidRPr="00BD42BB">
        <w:rPr>
          <w:rFonts w:ascii="Century Gothic" w:hAnsi="Century Gothic"/>
        </w:rPr>
        <w:t>None</w:t>
      </w:r>
    </w:p>
    <w:p w14:paraId="17843D10" w14:textId="5CAB727F" w:rsidR="6B711D13" w:rsidRPr="00BD42BB" w:rsidRDefault="6B711D13" w:rsidP="6B711D13">
      <w:pPr>
        <w:rPr>
          <w:rStyle w:val="SubtleEmphasis"/>
          <w:rFonts w:ascii="Century Gothic" w:eastAsiaTheme="majorEastAsia" w:hAnsi="Century Gothic"/>
          <w:b/>
          <w:bCs/>
          <w:color w:val="808080" w:themeColor="background1" w:themeShade="80"/>
          <w:sz w:val="22"/>
          <w:szCs w:val="22"/>
        </w:rPr>
      </w:pPr>
    </w:p>
    <w:bookmarkEnd w:id="110"/>
    <w:p w14:paraId="600E417B" w14:textId="62A6CEA1" w:rsidR="7AC9FF43" w:rsidRDefault="7AC9FF43" w:rsidP="7AC9FF43">
      <w:pPr>
        <w:rPr>
          <w:rFonts w:ascii="Times New Roman" w:hAnsi="Times New Roman"/>
        </w:rPr>
      </w:pPr>
    </w:p>
    <w:p w14:paraId="67B333C1" w14:textId="77777777" w:rsidR="009265DE" w:rsidRDefault="009265DE" w:rsidP="7AC9FF43">
      <w:pPr>
        <w:rPr>
          <w:rFonts w:ascii="Times New Roman" w:hAnsi="Times New Roman"/>
        </w:rPr>
      </w:pPr>
    </w:p>
    <w:p w14:paraId="6746CA5F" w14:textId="77777777" w:rsidR="009265DE" w:rsidRDefault="009265DE" w:rsidP="7AC9FF43">
      <w:pPr>
        <w:rPr>
          <w:rFonts w:ascii="Times New Roman" w:hAnsi="Times New Roman"/>
        </w:rPr>
      </w:pPr>
    </w:p>
    <w:p w14:paraId="18ABA5E0" w14:textId="7883CBED" w:rsidR="004F6382" w:rsidRDefault="004F6382" w:rsidP="7AC9FF43">
      <w:pPr>
        <w:rPr>
          <w:rFonts w:ascii="Times New Roman" w:hAnsi="Times New Roman"/>
        </w:rPr>
      </w:pPr>
      <w:r>
        <w:rPr>
          <w:rFonts w:ascii="Times New Roman" w:hAnsi="Times New Roman"/>
        </w:rPr>
        <w:br w:type="page"/>
      </w:r>
    </w:p>
    <w:bookmarkStart w:id="116" w:name="_Toc470178835"/>
    <w:bookmarkStart w:id="117" w:name="_Toc470179739"/>
    <w:bookmarkStart w:id="118" w:name="_Toc502307791"/>
    <w:bookmarkStart w:id="119" w:name="_Toc528927266"/>
    <w:bookmarkStart w:id="120" w:name="_Toc89871161"/>
    <w:bookmarkStart w:id="121" w:name="_Hlk112337077"/>
    <w:bookmarkEnd w:id="112"/>
    <w:bookmarkEnd w:id="113"/>
    <w:bookmarkEnd w:id="114"/>
    <w:bookmarkEnd w:id="115"/>
    <w:p w14:paraId="21F09B44" w14:textId="0881FC51" w:rsidR="00E45E09" w:rsidRPr="006C0877" w:rsidRDefault="00DE6A54" w:rsidP="00CC490C">
      <w:pPr>
        <w:rPr>
          <w:rFonts w:ascii="Century Gothic" w:hAnsi="Century Gothic"/>
          <w:b/>
          <w:bCs/>
          <w:szCs w:val="22"/>
        </w:rPr>
      </w:pPr>
      <w:r w:rsidRPr="006C0877">
        <w:rPr>
          <w:rFonts w:ascii="Century Gothic" w:hAnsi="Century Gothic"/>
          <w:b/>
          <w:bCs/>
          <w:noProof/>
        </w:rPr>
        <w:lastRenderedPageBreak/>
        <mc:AlternateContent>
          <mc:Choice Requires="wps">
            <w:drawing>
              <wp:anchor distT="0" distB="0" distL="114300" distR="114300" simplePos="0" relativeHeight="251658251" behindDoc="0" locked="0" layoutInCell="1" allowOverlap="1" wp14:anchorId="390B4EA3" wp14:editId="4FFF2B4C">
                <wp:simplePos x="0" y="0"/>
                <wp:positionH relativeFrom="margin">
                  <wp:posOffset>5105400</wp:posOffset>
                </wp:positionH>
                <wp:positionV relativeFrom="paragraph">
                  <wp:posOffset>312420</wp:posOffset>
                </wp:positionV>
                <wp:extent cx="1197610" cy="304800"/>
                <wp:effectExtent l="0" t="0" r="2540" b="0"/>
                <wp:wrapTight wrapText="bothSides">
                  <wp:wrapPolygon edited="0">
                    <wp:start x="0" y="0"/>
                    <wp:lineTo x="0" y="21600"/>
                    <wp:lineTo x="21646" y="21600"/>
                    <wp:lineTo x="21646" y="0"/>
                    <wp:lineTo x="0" y="0"/>
                  </wp:wrapPolygon>
                </wp:wrapTight>
                <wp:docPr id="462"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7610" cy="304800"/>
                        </a:xfrm>
                        <a:prstGeom prst="round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FB905" w14:textId="77777777" w:rsidR="009F26DD" w:rsidRDefault="009F26DD" w:rsidP="00FB6E24">
                            <w:pPr>
                              <w:jc w:val="center"/>
                              <w:rPr>
                                <w:b/>
                                <w:szCs w:val="20"/>
                              </w:rPr>
                            </w:pPr>
                            <w:r w:rsidRPr="004F7D1C">
                              <w:rPr>
                                <w:b/>
                                <w:szCs w:val="20"/>
                              </w:rPr>
                              <w:t>Housing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0B4EA3" id="Rectangle: Rounded Corners 79" o:spid="_x0000_s1049" style="position:absolute;margin-left:402pt;margin-top:24.6pt;width:94.3pt;height:2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" fillcolor="#b5333c [3205]" strokecolor="white [3212]" strokeweight="1pt">
                <v:stroke joinstyle="miter"/>
                <v:path arrowok="t"/>
                <v:textbox>
                  <w:txbxContent>
                    <w:p w14:paraId="483FB905" w14:textId="77777777" w:rsidR="009F26DD" w:rsidRDefault="009F26DD" w:rsidP="00FB6E24">
                      <w:pPr>
                        <w:jc w:val="center"/>
                        <w:rPr>
                          <w:b/>
                          <w:szCs w:val="20"/>
                        </w:rPr>
                      </w:pPr>
                      <w:r w:rsidRPr="004F7D1C">
                        <w:rPr>
                          <w:b/>
                          <w:szCs w:val="20"/>
                        </w:rPr>
                        <w:t>Housing Choice</w:t>
                      </w:r>
                    </w:p>
                  </w:txbxContent>
                </v:textbox>
                <w10:wrap type="tight" anchorx="margin"/>
              </v:roundrect>
            </w:pict>
          </mc:Fallback>
        </mc:AlternateContent>
      </w:r>
      <w:r w:rsidR="00CC490C" w:rsidRPr="006C0877">
        <w:rPr>
          <w:rFonts w:ascii="Century Gothic" w:eastAsia="Times New Roman" w:hAnsi="Century Gothic"/>
          <w:b/>
          <w:bCs/>
          <w:szCs w:val="22"/>
        </w:rPr>
        <w:t>Initiative</w:t>
      </w:r>
      <w:r w:rsidR="00E64FFF" w:rsidRPr="006C0877">
        <w:rPr>
          <w:rFonts w:ascii="Century Gothic" w:eastAsia="Times New Roman" w:hAnsi="Century Gothic"/>
          <w:b/>
          <w:bCs/>
          <w:szCs w:val="22"/>
        </w:rPr>
        <w:t xml:space="preserve"> 1.15</w:t>
      </w:r>
      <w:r w:rsidR="00D902FE" w:rsidRPr="006C0877">
        <w:rPr>
          <w:rFonts w:ascii="Century Gothic" w:eastAsia="Times New Roman" w:hAnsi="Century Gothic"/>
          <w:b/>
          <w:bCs/>
          <w:szCs w:val="22"/>
        </w:rPr>
        <w:t>-1.17</w:t>
      </w:r>
      <w:r w:rsidR="00E64FFF" w:rsidRPr="006C0877">
        <w:rPr>
          <w:rFonts w:ascii="Century Gothic" w:eastAsia="Times New Roman" w:hAnsi="Century Gothic"/>
          <w:b/>
          <w:bCs/>
          <w:szCs w:val="22"/>
        </w:rPr>
        <w:t xml:space="preserve"> – </w:t>
      </w:r>
      <w:r w:rsidR="00E45E09" w:rsidRPr="006C0877">
        <w:rPr>
          <w:rFonts w:ascii="Century Gothic" w:eastAsia="Times New Roman" w:hAnsi="Century Gothic"/>
          <w:b/>
          <w:bCs/>
          <w:szCs w:val="22"/>
        </w:rPr>
        <w:t xml:space="preserve">West Rock Transformation Plan/Major Redevelopment Efforts (Previously </w:t>
      </w:r>
      <w:r w:rsidR="00E45E09" w:rsidRPr="006C0877">
        <w:rPr>
          <w:rFonts w:ascii="Century Gothic" w:hAnsi="Century Gothic"/>
          <w:b/>
          <w:bCs/>
          <w:szCs w:val="22"/>
        </w:rPr>
        <w:t>Initiative 1.13</w:t>
      </w:r>
    </w:p>
    <w:p w14:paraId="1D91833D" w14:textId="1C6C8A26" w:rsidR="00A374BF" w:rsidRPr="006C0877" w:rsidRDefault="00E64FFF" w:rsidP="007966B9">
      <w:pPr>
        <w:pStyle w:val="MTWHeader2"/>
        <w:rPr>
          <w:rFonts w:ascii="Century Gothic" w:hAnsi="Century Gothic" w:cs="Times New Roman"/>
          <w:sz w:val="22"/>
          <w:szCs w:val="22"/>
        </w:rPr>
      </w:pPr>
      <w:r w:rsidRPr="006C0877">
        <w:rPr>
          <w:rFonts w:ascii="Century Gothic" w:hAnsi="Century Gothic" w:cs="Times New Roman"/>
          <w:sz w:val="22"/>
          <w:szCs w:val="22"/>
        </w:rPr>
        <w:t>RAD Finance Development for Rockview Phase II Rental</w:t>
      </w:r>
      <w:bookmarkEnd w:id="116"/>
      <w:bookmarkEnd w:id="117"/>
      <w:bookmarkEnd w:id="118"/>
      <w:bookmarkEnd w:id="119"/>
      <w:r w:rsidR="00965D49" w:rsidRPr="006C0877">
        <w:rPr>
          <w:rFonts w:ascii="Century Gothic" w:hAnsi="Century Gothic" w:cs="Times New Roman"/>
          <w:sz w:val="22"/>
          <w:szCs w:val="22"/>
        </w:rPr>
        <w:t xml:space="preserve"> and Westville Manor Transformation Plan</w:t>
      </w:r>
      <w:bookmarkEnd w:id="120"/>
      <w:r w:rsidR="009C0A7A" w:rsidRPr="006C0877">
        <w:rPr>
          <w:rFonts w:ascii="Century Gothic" w:hAnsi="Century Gothic" w:cs="Times New Roman"/>
          <w:sz w:val="22"/>
          <w:szCs w:val="22"/>
        </w:rPr>
        <w:t>)</w:t>
      </w:r>
      <w:r w:rsidR="00900714" w:rsidRPr="006C0877">
        <w:rPr>
          <w:rFonts w:ascii="Century Gothic" w:hAnsi="Century Gothic" w:cs="Times New Roman"/>
          <w:sz w:val="22"/>
          <w:szCs w:val="22"/>
        </w:rPr>
        <w:t xml:space="preserve"> </w:t>
      </w:r>
    </w:p>
    <w:bookmarkEnd w:id="121"/>
    <w:p w14:paraId="5141650D" w14:textId="3364BFE4" w:rsidR="00A374BF" w:rsidRPr="006C0877" w:rsidRDefault="00E64FFF" w:rsidP="00A374BF">
      <w:pPr>
        <w:rPr>
          <w:rFonts w:ascii="Century Gothic" w:eastAsia="Calibri" w:hAnsi="Century Gothic"/>
          <w:szCs w:val="22"/>
        </w:rPr>
      </w:pPr>
      <w:r w:rsidRPr="006C0877">
        <w:rPr>
          <w:rFonts w:ascii="Century Gothic" w:eastAsia="Calibri" w:hAnsi="Century Gothic"/>
          <w:szCs w:val="22"/>
        </w:rPr>
        <w:t xml:space="preserve">Approved in </w:t>
      </w:r>
      <w:r w:rsidR="00F360D2" w:rsidRPr="006C0877">
        <w:rPr>
          <w:rFonts w:ascii="Century Gothic" w:eastAsia="Calibri" w:hAnsi="Century Gothic"/>
          <w:szCs w:val="22"/>
        </w:rPr>
        <w:t>FY14</w:t>
      </w:r>
      <w:r w:rsidRPr="006C0877">
        <w:rPr>
          <w:rFonts w:ascii="Century Gothic" w:eastAsia="Calibri" w:hAnsi="Century Gothic"/>
          <w:szCs w:val="22"/>
        </w:rPr>
        <w:t xml:space="preserve"> and implemented in </w:t>
      </w:r>
      <w:r w:rsidR="00F360D2" w:rsidRPr="006C0877">
        <w:rPr>
          <w:rFonts w:ascii="Century Gothic" w:eastAsia="Calibri" w:hAnsi="Century Gothic"/>
          <w:szCs w:val="22"/>
        </w:rPr>
        <w:t>FY17</w:t>
      </w:r>
      <w:r w:rsidR="00E91151" w:rsidRPr="006C0877">
        <w:rPr>
          <w:rFonts w:ascii="Century Gothic" w:eastAsia="Calibri" w:hAnsi="Century Gothic"/>
          <w:szCs w:val="22"/>
        </w:rPr>
        <w:t>.</w:t>
      </w:r>
    </w:p>
    <w:p w14:paraId="3B2251CA" w14:textId="79B7878F" w:rsidR="00E45E09" w:rsidRPr="006C0877" w:rsidRDefault="00E45E09" w:rsidP="00A374BF">
      <w:pPr>
        <w:rPr>
          <w:rFonts w:ascii="Century Gothic" w:eastAsia="Calibri" w:hAnsi="Century Gothic"/>
          <w:szCs w:val="22"/>
        </w:rPr>
      </w:pPr>
      <w:r w:rsidRPr="006C0877">
        <w:rPr>
          <w:rFonts w:ascii="Century Gothic" w:eastAsia="Calibri" w:hAnsi="Century Gothic"/>
          <w:szCs w:val="22"/>
        </w:rPr>
        <w:t>Revised in FY2021</w:t>
      </w:r>
    </w:p>
    <w:p w14:paraId="54CE92FD" w14:textId="77777777" w:rsidR="00A374BF" w:rsidRPr="006C0877" w:rsidRDefault="00A374BF" w:rsidP="00A374BF">
      <w:pPr>
        <w:rPr>
          <w:rFonts w:ascii="Century Gothic" w:hAnsi="Century Gothic"/>
          <w:szCs w:val="22"/>
        </w:rPr>
      </w:pPr>
    </w:p>
    <w:p w14:paraId="13E9EA00" w14:textId="326275DA" w:rsidR="00A374BF" w:rsidRPr="006C0877" w:rsidRDefault="6F174C93" w:rsidP="0E6C54AB">
      <w:pPr>
        <w:pStyle w:val="Heading4"/>
        <w:rPr>
          <w:rStyle w:val="SubtleEmphasis"/>
          <w:rFonts w:ascii="Century Gothic" w:hAnsi="Century Gothic" w:cs="Times New Roman"/>
          <w:color w:val="808080" w:themeColor="background1" w:themeShade="80"/>
          <w:sz w:val="22"/>
        </w:rPr>
      </w:pPr>
      <w:r w:rsidRPr="006C0877">
        <w:rPr>
          <w:rStyle w:val="SubtleEmphasis"/>
          <w:rFonts w:ascii="Century Gothic" w:hAnsi="Century Gothic" w:cs="Times New Roman"/>
          <w:color w:val="808080" w:themeColor="background1" w:themeShade="80"/>
          <w:sz w:val="22"/>
        </w:rPr>
        <w:t>Description</w:t>
      </w:r>
    </w:p>
    <w:p w14:paraId="470202E1" w14:textId="7056E33E" w:rsidR="0E6C54AB" w:rsidRPr="006C0877" w:rsidRDefault="0E6C54AB" w:rsidP="0E6C54AB">
      <w:pPr>
        <w:rPr>
          <w:rFonts w:ascii="Century Gothic" w:hAnsi="Century Gothic"/>
        </w:rPr>
      </w:pPr>
    </w:p>
    <w:p w14:paraId="34377E85" w14:textId="77777777" w:rsidR="0000531C" w:rsidRPr="006C0877" w:rsidRDefault="2F5C2A96" w:rsidP="0E6C54AB">
      <w:pPr>
        <w:rPr>
          <w:rFonts w:ascii="Century Gothic" w:hAnsi="Century Gothic"/>
        </w:rPr>
      </w:pPr>
      <w:r w:rsidRPr="006C0877">
        <w:rPr>
          <w:rFonts w:ascii="Century Gothic" w:hAnsi="Century Gothic"/>
        </w:rPr>
        <w:t xml:space="preserve">The West Rock neighborhood located in the Western most side of New Haven, adjacent to the neighboring suburb of Hamden, is a </w:t>
      </w:r>
      <w:r w:rsidR="31A61177" w:rsidRPr="006C0877">
        <w:rPr>
          <w:rFonts w:ascii="Century Gothic" w:hAnsi="Century Gothic"/>
        </w:rPr>
        <w:t>community home</w:t>
      </w:r>
      <w:r w:rsidR="749A6864" w:rsidRPr="006C0877">
        <w:rPr>
          <w:rFonts w:ascii="Century Gothic" w:hAnsi="Century Gothic"/>
        </w:rPr>
        <w:t xml:space="preserve"> to numerous </w:t>
      </w:r>
      <w:r w:rsidR="5188DFDC" w:rsidRPr="006C0877">
        <w:rPr>
          <w:rFonts w:ascii="Century Gothic" w:hAnsi="Century Gothic"/>
        </w:rPr>
        <w:t>low-income</w:t>
      </w:r>
      <w:r w:rsidR="749A6864" w:rsidRPr="006C0877">
        <w:rPr>
          <w:rFonts w:ascii="Century Gothic" w:hAnsi="Century Gothic"/>
        </w:rPr>
        <w:t xml:space="preserve"> public housing developments </w:t>
      </w:r>
      <w:r w:rsidR="0000531C" w:rsidRPr="006C0877">
        <w:rPr>
          <w:rFonts w:ascii="Century Gothic" w:hAnsi="Century Gothic"/>
        </w:rPr>
        <w:t xml:space="preserve">that </w:t>
      </w:r>
      <w:proofErr w:type="gramStart"/>
      <w:r w:rsidR="0000531C" w:rsidRPr="006C0877">
        <w:rPr>
          <w:rFonts w:ascii="Century Gothic" w:hAnsi="Century Gothic"/>
        </w:rPr>
        <w:t xml:space="preserve">were </w:t>
      </w:r>
      <w:r w:rsidR="749A6864" w:rsidRPr="006C0877">
        <w:rPr>
          <w:rFonts w:ascii="Century Gothic" w:hAnsi="Century Gothic"/>
        </w:rPr>
        <w:t>in need of</w:t>
      </w:r>
      <w:proofErr w:type="gramEnd"/>
      <w:r w:rsidR="749A6864" w:rsidRPr="006C0877">
        <w:rPr>
          <w:rFonts w:ascii="Century Gothic" w:hAnsi="Century Gothic"/>
        </w:rPr>
        <w:t xml:space="preserve"> redevelopment. </w:t>
      </w:r>
    </w:p>
    <w:p w14:paraId="1A7C7BC4" w14:textId="77777777" w:rsidR="0000531C" w:rsidRPr="006C0877" w:rsidRDefault="0000531C" w:rsidP="0E6C54AB">
      <w:pPr>
        <w:rPr>
          <w:rFonts w:ascii="Century Gothic" w:hAnsi="Century Gothic"/>
        </w:rPr>
      </w:pPr>
    </w:p>
    <w:p w14:paraId="3F84A44F" w14:textId="2579250F" w:rsidR="66D071AA" w:rsidRPr="006C0877" w:rsidRDefault="749A6864" w:rsidP="0E6C54AB">
      <w:pPr>
        <w:rPr>
          <w:rFonts w:ascii="Century Gothic" w:hAnsi="Century Gothic"/>
        </w:rPr>
      </w:pPr>
      <w:r w:rsidRPr="006C0877">
        <w:rPr>
          <w:rFonts w:ascii="Century Gothic" w:hAnsi="Century Gothic"/>
        </w:rPr>
        <w:t>ECC/HANH’s strategic plan for transformation of this community include</w:t>
      </w:r>
      <w:r w:rsidR="0000531C" w:rsidRPr="006C0877">
        <w:rPr>
          <w:rFonts w:ascii="Century Gothic" w:hAnsi="Century Gothic"/>
        </w:rPr>
        <w:t>d</w:t>
      </w:r>
      <w:r w:rsidRPr="006C0877">
        <w:rPr>
          <w:rFonts w:ascii="Century Gothic" w:hAnsi="Century Gothic"/>
        </w:rPr>
        <w:t xml:space="preserve"> the complete redev</w:t>
      </w:r>
      <w:r w:rsidR="19B83A89" w:rsidRPr="006C0877">
        <w:rPr>
          <w:rFonts w:ascii="Century Gothic" w:hAnsi="Century Gothic"/>
        </w:rPr>
        <w:t xml:space="preserve">elopment and reinvestment in this community </w:t>
      </w:r>
      <w:r w:rsidR="0000531C" w:rsidRPr="006C0877">
        <w:rPr>
          <w:rFonts w:ascii="Century Gothic" w:hAnsi="Century Gothic"/>
        </w:rPr>
        <w:t xml:space="preserve">which had </w:t>
      </w:r>
      <w:r w:rsidR="19B83A89" w:rsidRPr="006C0877">
        <w:rPr>
          <w:rFonts w:ascii="Century Gothic" w:hAnsi="Century Gothic"/>
        </w:rPr>
        <w:t>significant poverty concentration.  ECC/HANH’s vision include</w:t>
      </w:r>
      <w:r w:rsidR="00F03697" w:rsidRPr="006C0877">
        <w:rPr>
          <w:rFonts w:ascii="Century Gothic" w:hAnsi="Century Gothic"/>
        </w:rPr>
        <w:t>d</w:t>
      </w:r>
      <w:r w:rsidR="19B83A89" w:rsidRPr="006C0877">
        <w:rPr>
          <w:rFonts w:ascii="Century Gothic" w:hAnsi="Century Gothic"/>
        </w:rPr>
        <w:t xml:space="preserve"> redevelopment into mixed income communities rich with </w:t>
      </w:r>
      <w:r w:rsidR="299452F5" w:rsidRPr="006C0877">
        <w:rPr>
          <w:rFonts w:ascii="Century Gothic" w:hAnsi="Century Gothic"/>
        </w:rPr>
        <w:t>services and amenities.  This in</w:t>
      </w:r>
      <w:r w:rsidR="598338C0" w:rsidRPr="006C0877">
        <w:rPr>
          <w:rFonts w:ascii="Century Gothic" w:hAnsi="Century Gothic"/>
        </w:rPr>
        <w:t>itiative</w:t>
      </w:r>
      <w:r w:rsidR="299452F5" w:rsidRPr="006C0877">
        <w:rPr>
          <w:rFonts w:ascii="Century Gothic" w:hAnsi="Century Gothic"/>
        </w:rPr>
        <w:t xml:space="preserve"> has evolved to be inclusive of the redevelopment of Brookside, Rockview, Westville Manor, McConaughy Terrace, and Valley Townhouses and the addition of new units and community </w:t>
      </w:r>
      <w:r w:rsidR="3DC5E9F0" w:rsidRPr="006C0877">
        <w:rPr>
          <w:rFonts w:ascii="Century Gothic" w:hAnsi="Century Gothic"/>
        </w:rPr>
        <w:t>amenities.</w:t>
      </w:r>
    </w:p>
    <w:p w14:paraId="594C69FD" w14:textId="77777777" w:rsidR="00B91DFA" w:rsidRPr="006C0877" w:rsidRDefault="00B91DFA" w:rsidP="00C41555">
      <w:pPr>
        <w:pStyle w:val="Heading4"/>
        <w:rPr>
          <w:rFonts w:ascii="Century Gothic" w:eastAsiaTheme="minorEastAsia" w:hAnsi="Century Gothic" w:cs="Times New Roman"/>
          <w:b w:val="0"/>
          <w:iCs w:val="0"/>
          <w:color w:val="auto"/>
          <w:szCs w:val="24"/>
        </w:rPr>
      </w:pPr>
    </w:p>
    <w:p w14:paraId="2EBE90EC" w14:textId="1734A28B" w:rsidR="00A76FEC" w:rsidRPr="006C0877" w:rsidRDefault="6F174C93" w:rsidP="00C41555">
      <w:pPr>
        <w:pStyle w:val="Heading4"/>
        <w:rPr>
          <w:rFonts w:ascii="Century Gothic" w:hAnsi="Century Gothic" w:cs="Times New Roman"/>
        </w:rPr>
      </w:pPr>
      <w:r w:rsidRPr="006C0877">
        <w:rPr>
          <w:rStyle w:val="SubtleEmphasis"/>
          <w:rFonts w:ascii="Century Gothic" w:hAnsi="Century Gothic" w:cs="Times New Roman"/>
          <w:color w:val="808080" w:themeColor="background1" w:themeShade="80"/>
          <w:sz w:val="22"/>
        </w:rPr>
        <w:t>Impact</w:t>
      </w:r>
    </w:p>
    <w:p w14:paraId="743D6CAF" w14:textId="248A4C85" w:rsidR="003762E9" w:rsidRPr="006C0877" w:rsidRDefault="6749A964" w:rsidP="645EA24E">
      <w:pPr>
        <w:rPr>
          <w:rFonts w:ascii="Century Gothic" w:hAnsi="Century Gothic"/>
        </w:rPr>
      </w:pPr>
      <w:r w:rsidRPr="006C0877">
        <w:rPr>
          <w:rFonts w:ascii="Century Gothic" w:hAnsi="Century Gothic"/>
        </w:rPr>
        <w:t>ECC/HANH has strategically redeveloped the West Rock neighborhood</w:t>
      </w:r>
      <w:r w:rsidR="0975D227" w:rsidRPr="006C0877">
        <w:rPr>
          <w:rFonts w:ascii="Century Gothic" w:hAnsi="Century Gothic"/>
        </w:rPr>
        <w:t>,</w:t>
      </w:r>
      <w:r w:rsidRPr="006C0877">
        <w:rPr>
          <w:rFonts w:ascii="Century Gothic" w:hAnsi="Century Gothic"/>
        </w:rPr>
        <w:t xml:space="preserve"> </w:t>
      </w:r>
      <w:r w:rsidR="215F8371" w:rsidRPr="006C0877">
        <w:rPr>
          <w:rFonts w:ascii="Century Gothic" w:hAnsi="Century Gothic"/>
        </w:rPr>
        <w:t xml:space="preserve">transforming obsolete public housing and commercial sites into vibrant mixed-income communities.  </w:t>
      </w:r>
      <w:r w:rsidR="7C2A750A" w:rsidRPr="006C0877">
        <w:rPr>
          <w:rFonts w:ascii="Century Gothic" w:hAnsi="Century Gothic"/>
        </w:rPr>
        <w:t>F</w:t>
      </w:r>
      <w:r w:rsidRPr="006C0877">
        <w:rPr>
          <w:rFonts w:ascii="Century Gothic" w:hAnsi="Century Gothic"/>
        </w:rPr>
        <w:t>our low-income public housing sites</w:t>
      </w:r>
      <w:r w:rsidR="24A506BC" w:rsidRPr="006C0877">
        <w:rPr>
          <w:rFonts w:ascii="Century Gothic" w:hAnsi="Century Gothic"/>
        </w:rPr>
        <w:t>,</w:t>
      </w:r>
      <w:r w:rsidRPr="006C0877">
        <w:rPr>
          <w:rFonts w:ascii="Century Gothic" w:hAnsi="Century Gothic"/>
        </w:rPr>
        <w:t xml:space="preserve"> Brookside, Rockview, </w:t>
      </w:r>
      <w:proofErr w:type="spellStart"/>
      <w:r w:rsidRPr="006C0877">
        <w:rPr>
          <w:rFonts w:ascii="Century Gothic" w:hAnsi="Century Gothic"/>
        </w:rPr>
        <w:t>Ribicoff</w:t>
      </w:r>
      <w:proofErr w:type="spellEnd"/>
      <w:r w:rsidRPr="006C0877">
        <w:rPr>
          <w:rFonts w:ascii="Century Gothic" w:hAnsi="Century Gothic"/>
        </w:rPr>
        <w:t xml:space="preserve"> Cottages and Wilmot Crossing</w:t>
      </w:r>
      <w:r w:rsidR="3C1A8A0E" w:rsidRPr="006C0877">
        <w:rPr>
          <w:rFonts w:ascii="Century Gothic" w:hAnsi="Century Gothic"/>
        </w:rPr>
        <w:t>,</w:t>
      </w:r>
      <w:r w:rsidRPr="006C0877">
        <w:rPr>
          <w:rFonts w:ascii="Century Gothic" w:hAnsi="Century Gothic"/>
        </w:rPr>
        <w:t xml:space="preserve"> </w:t>
      </w:r>
      <w:r w:rsidR="19EB633D" w:rsidRPr="006C0877">
        <w:rPr>
          <w:rFonts w:ascii="Century Gothic" w:hAnsi="Century Gothic"/>
        </w:rPr>
        <w:t>have</w:t>
      </w:r>
      <w:r w:rsidRPr="006C0877">
        <w:rPr>
          <w:rFonts w:ascii="Century Gothic" w:hAnsi="Century Gothic"/>
        </w:rPr>
        <w:t xml:space="preserve"> all been completed</w:t>
      </w:r>
      <w:r w:rsidR="1C636CB1" w:rsidRPr="006C0877">
        <w:rPr>
          <w:rFonts w:ascii="Century Gothic" w:hAnsi="Century Gothic"/>
        </w:rPr>
        <w:t>.</w:t>
      </w:r>
      <w:r w:rsidRPr="006C0877">
        <w:rPr>
          <w:rFonts w:ascii="Century Gothic" w:hAnsi="Century Gothic"/>
        </w:rPr>
        <w:t xml:space="preserve"> </w:t>
      </w:r>
    </w:p>
    <w:p w14:paraId="035296D5" w14:textId="77777777" w:rsidR="003762E9" w:rsidRPr="006C0877" w:rsidRDefault="003762E9" w:rsidP="0E6C54AB">
      <w:pPr>
        <w:rPr>
          <w:rFonts w:ascii="Century Gothic" w:hAnsi="Century Gothic"/>
        </w:rPr>
      </w:pPr>
    </w:p>
    <w:p w14:paraId="05696C66" w14:textId="77777777" w:rsidR="00F96DEF" w:rsidRPr="006C0877" w:rsidRDefault="4D51CA7D" w:rsidP="57BC466A">
      <w:pPr>
        <w:rPr>
          <w:rFonts w:ascii="Century Gothic" w:hAnsi="Century Gothic"/>
        </w:rPr>
      </w:pPr>
      <w:r w:rsidRPr="006C0877">
        <w:rPr>
          <w:rFonts w:ascii="Century Gothic" w:hAnsi="Century Gothic"/>
        </w:rPr>
        <w:t xml:space="preserve">The redevelopment effort has brought </w:t>
      </w:r>
      <w:r w:rsidR="00F96DEF" w:rsidRPr="006C0877">
        <w:rPr>
          <w:rFonts w:ascii="Century Gothic" w:hAnsi="Century Gothic"/>
        </w:rPr>
        <w:t xml:space="preserve">approximately 700 </w:t>
      </w:r>
      <w:r w:rsidRPr="006C0877">
        <w:rPr>
          <w:rFonts w:ascii="Century Gothic" w:hAnsi="Century Gothic"/>
        </w:rPr>
        <w:t xml:space="preserve">units of affordable and market rate rental housing, new homeownership units, and upgraded community space and commercial space into the West Rock community. </w:t>
      </w:r>
    </w:p>
    <w:p w14:paraId="477227A1" w14:textId="77777777" w:rsidR="00F96DEF" w:rsidRPr="006C0877" w:rsidRDefault="00F96DEF" w:rsidP="57BC466A">
      <w:pPr>
        <w:rPr>
          <w:rFonts w:ascii="Century Gothic" w:hAnsi="Century Gothic"/>
        </w:rPr>
      </w:pPr>
    </w:p>
    <w:p w14:paraId="56F8A800" w14:textId="21FB7988" w:rsidR="4F5DE4A0" w:rsidRPr="006C0877" w:rsidRDefault="4D51CA7D" w:rsidP="57BC466A">
      <w:pPr>
        <w:rPr>
          <w:rFonts w:ascii="Century Gothic" w:hAnsi="Century Gothic"/>
        </w:rPr>
      </w:pPr>
      <w:r w:rsidRPr="006C0877">
        <w:rPr>
          <w:rFonts w:ascii="Century Gothic" w:hAnsi="Century Gothic"/>
        </w:rPr>
        <w:t>ECC/HANH has also worked successfully with the City of New Haven and the Town of Hamden to open a long-closed road, creating an access way into the community from the Town of Hamden</w:t>
      </w:r>
      <w:r w:rsidR="696ABEED" w:rsidRPr="006C0877">
        <w:rPr>
          <w:rFonts w:ascii="Century Gothic" w:hAnsi="Century Gothic"/>
        </w:rPr>
        <w:t xml:space="preserve">, providing access to retail and employment </w:t>
      </w:r>
      <w:r w:rsidR="1FC7AC17" w:rsidRPr="006C0877">
        <w:rPr>
          <w:rFonts w:ascii="Century Gothic" w:hAnsi="Century Gothic"/>
        </w:rPr>
        <w:t>opportunities.</w:t>
      </w:r>
      <w:r w:rsidRPr="006C0877">
        <w:rPr>
          <w:rFonts w:ascii="Century Gothic" w:hAnsi="Century Gothic"/>
        </w:rPr>
        <w:t xml:space="preserve"> </w:t>
      </w:r>
    </w:p>
    <w:p w14:paraId="1E8C5418" w14:textId="640F6AAF" w:rsidR="4F5DE4A0" w:rsidRPr="006C0877" w:rsidRDefault="4F5DE4A0" w:rsidP="57BC466A">
      <w:pPr>
        <w:rPr>
          <w:rFonts w:ascii="Century Gothic" w:hAnsi="Century Gothic"/>
        </w:rPr>
      </w:pPr>
    </w:p>
    <w:p w14:paraId="5009189C" w14:textId="338F67E6" w:rsidR="4F5DE4A0" w:rsidRPr="006C0877" w:rsidRDefault="7D065A73" w:rsidP="57BC466A">
      <w:pPr>
        <w:rPr>
          <w:rFonts w:ascii="Century Gothic" w:hAnsi="Century Gothic"/>
        </w:rPr>
      </w:pPr>
      <w:r w:rsidRPr="188A1EBF">
        <w:rPr>
          <w:rFonts w:ascii="Century Gothic" w:hAnsi="Century Gothic"/>
        </w:rPr>
        <w:t xml:space="preserve">Redevelopment of Valley Townhouses and McConaughy Terrace advanced during </w:t>
      </w:r>
      <w:r w:rsidR="00F96DEF" w:rsidRPr="188A1EBF">
        <w:rPr>
          <w:rFonts w:ascii="Century Gothic" w:hAnsi="Century Gothic"/>
        </w:rPr>
        <w:t>FY24</w:t>
      </w:r>
      <w:r w:rsidRPr="188A1EBF">
        <w:rPr>
          <w:rFonts w:ascii="Century Gothic" w:hAnsi="Century Gothic"/>
        </w:rPr>
        <w:t xml:space="preserve">. </w:t>
      </w:r>
      <w:r w:rsidR="4135AA66" w:rsidRPr="188A1EBF">
        <w:rPr>
          <w:rFonts w:ascii="Century Gothic" w:hAnsi="Century Gothic"/>
        </w:rPr>
        <w:t xml:space="preserve"> Valley </w:t>
      </w:r>
      <w:r w:rsidR="2BCF52C1" w:rsidRPr="188A1EBF">
        <w:rPr>
          <w:rFonts w:ascii="Century Gothic" w:hAnsi="Century Gothic"/>
        </w:rPr>
        <w:t xml:space="preserve">Townhouses </w:t>
      </w:r>
      <w:r w:rsidR="4135AA66" w:rsidRPr="188A1EBF">
        <w:rPr>
          <w:rFonts w:ascii="Century Gothic" w:hAnsi="Century Gothic"/>
        </w:rPr>
        <w:t xml:space="preserve">was completed in June of 2024, </w:t>
      </w:r>
      <w:r w:rsidR="3D68C593" w:rsidRPr="188A1EBF">
        <w:rPr>
          <w:rFonts w:ascii="Century Gothic" w:hAnsi="Century Gothic"/>
        </w:rPr>
        <w:t>creating</w:t>
      </w:r>
      <w:r w:rsidR="4135AA66" w:rsidRPr="188A1EBF">
        <w:rPr>
          <w:rFonts w:ascii="Century Gothic" w:hAnsi="Century Gothic"/>
        </w:rPr>
        <w:t xml:space="preserve"> 40 units including 32 RAD replacement units</w:t>
      </w:r>
      <w:r w:rsidR="61199107" w:rsidRPr="188A1EBF">
        <w:rPr>
          <w:rFonts w:ascii="Century Gothic" w:hAnsi="Century Gothic"/>
        </w:rPr>
        <w:t xml:space="preserve"> and 8 market units</w:t>
      </w:r>
      <w:r w:rsidR="4135AA66" w:rsidRPr="188A1EBF">
        <w:rPr>
          <w:rFonts w:ascii="Century Gothic" w:hAnsi="Century Gothic"/>
        </w:rPr>
        <w:t xml:space="preserve">.  </w:t>
      </w:r>
    </w:p>
    <w:p w14:paraId="5584EFEE" w14:textId="3DB0F764" w:rsidR="4F5DE4A0" w:rsidRPr="006C0877" w:rsidRDefault="4F5DE4A0" w:rsidP="57BC466A">
      <w:pPr>
        <w:rPr>
          <w:rFonts w:ascii="Century Gothic" w:hAnsi="Century Gothic"/>
        </w:rPr>
      </w:pPr>
    </w:p>
    <w:p w14:paraId="171BC0D3" w14:textId="72C2F865" w:rsidR="4F5DE4A0" w:rsidRPr="006C0877" w:rsidRDefault="4135AA66" w:rsidP="57BC466A">
      <w:pPr>
        <w:rPr>
          <w:rFonts w:ascii="Century Gothic" w:hAnsi="Century Gothic"/>
        </w:rPr>
      </w:pPr>
      <w:r w:rsidRPr="006C0877">
        <w:rPr>
          <w:rFonts w:ascii="Century Gothic" w:hAnsi="Century Gothic"/>
        </w:rPr>
        <w:t>McConaughy Terrace closed in FY23 as a hybrid 9%/4% LIHTC development</w:t>
      </w:r>
      <w:r w:rsidR="00B41527">
        <w:rPr>
          <w:rFonts w:ascii="Century Gothic" w:hAnsi="Century Gothic"/>
        </w:rPr>
        <w:t>,</w:t>
      </w:r>
      <w:r w:rsidRPr="006C0877">
        <w:rPr>
          <w:rFonts w:ascii="Century Gothic" w:hAnsi="Century Gothic"/>
        </w:rPr>
        <w:t xml:space="preserve"> </w:t>
      </w:r>
      <w:r w:rsidR="60DF96AF" w:rsidRPr="006C0877">
        <w:rPr>
          <w:rFonts w:ascii="Century Gothic" w:hAnsi="Century Gothic"/>
        </w:rPr>
        <w:t>which</w:t>
      </w:r>
      <w:r w:rsidRPr="006C0877">
        <w:rPr>
          <w:rFonts w:ascii="Century Gothic" w:hAnsi="Century Gothic"/>
        </w:rPr>
        <w:t xml:space="preserve"> include</w:t>
      </w:r>
      <w:r w:rsidR="00B41527">
        <w:rPr>
          <w:rFonts w:ascii="Century Gothic" w:hAnsi="Century Gothic"/>
        </w:rPr>
        <w:t>d</w:t>
      </w:r>
      <w:r w:rsidRPr="006C0877">
        <w:rPr>
          <w:rFonts w:ascii="Century Gothic" w:hAnsi="Century Gothic"/>
        </w:rPr>
        <w:t xml:space="preserve"> the rehabilitation of 196 units and the</w:t>
      </w:r>
      <w:r w:rsidR="255C05FF" w:rsidRPr="006C0877">
        <w:rPr>
          <w:rFonts w:ascii="Century Gothic" w:hAnsi="Century Gothic"/>
        </w:rPr>
        <w:t xml:space="preserve"> creation of 26 new units.  All 196 existing LIPH units </w:t>
      </w:r>
      <w:r w:rsidR="00B41527">
        <w:rPr>
          <w:rFonts w:ascii="Century Gothic" w:hAnsi="Century Gothic"/>
        </w:rPr>
        <w:t xml:space="preserve">were </w:t>
      </w:r>
      <w:r w:rsidR="255C05FF" w:rsidRPr="006C0877">
        <w:rPr>
          <w:rFonts w:ascii="Century Gothic" w:hAnsi="Century Gothic"/>
        </w:rPr>
        <w:t xml:space="preserve">replaced on site with RAD PBV units.  </w:t>
      </w:r>
    </w:p>
    <w:p w14:paraId="37C7672A" w14:textId="15C5BC00" w:rsidR="4F5DE4A0" w:rsidRPr="006C0877" w:rsidRDefault="4F5DE4A0" w:rsidP="57BC466A">
      <w:pPr>
        <w:rPr>
          <w:rFonts w:ascii="Century Gothic" w:hAnsi="Century Gothic"/>
        </w:rPr>
      </w:pPr>
    </w:p>
    <w:p w14:paraId="2BE5508D" w14:textId="6FBEF6AB" w:rsidR="4F5DE4A0" w:rsidRDefault="7D065A73" w:rsidP="0E6C54AB">
      <w:pPr>
        <w:rPr>
          <w:rFonts w:ascii="Century Gothic" w:hAnsi="Century Gothic"/>
        </w:rPr>
      </w:pPr>
      <w:r w:rsidRPr="006C0877">
        <w:rPr>
          <w:rFonts w:ascii="Century Gothic" w:hAnsi="Century Gothic"/>
        </w:rPr>
        <w:t>Planned inclusion of new senior units at 34 Level St</w:t>
      </w:r>
      <w:r w:rsidR="6D2EE37E" w:rsidRPr="006C0877">
        <w:rPr>
          <w:rFonts w:ascii="Century Gothic" w:hAnsi="Century Gothic"/>
        </w:rPr>
        <w:t>reet</w:t>
      </w:r>
      <w:r w:rsidRPr="006C0877">
        <w:rPr>
          <w:rFonts w:ascii="Century Gothic" w:hAnsi="Century Gothic"/>
        </w:rPr>
        <w:t xml:space="preserve"> </w:t>
      </w:r>
      <w:r w:rsidR="4BC5C7F3" w:rsidRPr="006C0877">
        <w:rPr>
          <w:rFonts w:ascii="Century Gothic" w:hAnsi="Century Gothic"/>
        </w:rPr>
        <w:t>a</w:t>
      </w:r>
      <w:r w:rsidRPr="006C0877">
        <w:rPr>
          <w:rFonts w:ascii="Century Gothic" w:hAnsi="Century Gothic"/>
        </w:rPr>
        <w:t xml:space="preserve">nd </w:t>
      </w:r>
      <w:r w:rsidR="5CBD346D" w:rsidRPr="006C0877">
        <w:rPr>
          <w:rFonts w:ascii="Century Gothic" w:hAnsi="Century Gothic"/>
        </w:rPr>
        <w:t xml:space="preserve">redevelopment of </w:t>
      </w:r>
      <w:r w:rsidRPr="006C0877">
        <w:rPr>
          <w:rFonts w:ascii="Century Gothic" w:hAnsi="Century Gothic"/>
        </w:rPr>
        <w:t>Westville</w:t>
      </w:r>
      <w:r w:rsidR="4077F025" w:rsidRPr="006C0877">
        <w:rPr>
          <w:rFonts w:ascii="Century Gothic" w:hAnsi="Century Gothic"/>
        </w:rPr>
        <w:t xml:space="preserve"> Manor</w:t>
      </w:r>
      <w:r w:rsidR="46C6A4F3" w:rsidRPr="006C0877">
        <w:rPr>
          <w:rFonts w:ascii="Century Gothic" w:hAnsi="Century Gothic"/>
        </w:rPr>
        <w:t xml:space="preserve"> are both expected to advance during </w:t>
      </w:r>
      <w:r w:rsidR="00030B0C" w:rsidRPr="006C0877">
        <w:rPr>
          <w:rFonts w:ascii="Century Gothic" w:hAnsi="Century Gothic"/>
        </w:rPr>
        <w:t>FY25</w:t>
      </w:r>
      <w:r w:rsidR="46C6A4F3" w:rsidRPr="006C0877">
        <w:rPr>
          <w:rFonts w:ascii="Century Gothic" w:hAnsi="Century Gothic"/>
        </w:rPr>
        <w:t>.</w:t>
      </w:r>
    </w:p>
    <w:p w14:paraId="1DBDC9B6" w14:textId="77777777" w:rsidR="006C0877" w:rsidRPr="006C0877" w:rsidRDefault="006C0877" w:rsidP="0E6C54AB">
      <w:pPr>
        <w:rPr>
          <w:rFonts w:ascii="Century Gothic" w:hAnsi="Century Gothic"/>
        </w:rPr>
      </w:pPr>
    </w:p>
    <w:p w14:paraId="390C4CFC" w14:textId="49E7E776" w:rsidR="0E6C54AB" w:rsidRPr="006C0877" w:rsidRDefault="0E6C54AB" w:rsidP="0E6C54AB">
      <w:pPr>
        <w:rPr>
          <w:rFonts w:ascii="Century Gothic" w:hAnsi="Century Gothic"/>
          <w:u w:val="single"/>
        </w:rPr>
      </w:pPr>
    </w:p>
    <w:p w14:paraId="6C99CD11" w14:textId="77777777" w:rsidR="006C0877" w:rsidRPr="006C0877" w:rsidRDefault="22A644D0" w:rsidP="1B4A8018">
      <w:pPr>
        <w:rPr>
          <w:rFonts w:ascii="Century Gothic" w:hAnsi="Century Gothic"/>
          <w:b/>
          <w:bCs/>
          <w:lang w:eastAsia="en-US"/>
        </w:rPr>
      </w:pPr>
      <w:r w:rsidRPr="006C0877">
        <w:rPr>
          <w:rFonts w:ascii="Century Gothic" w:hAnsi="Century Gothic"/>
          <w:b/>
          <w:bCs/>
          <w:u w:val="single"/>
        </w:rPr>
        <w:lastRenderedPageBreak/>
        <w:t>West Rock Community:</w:t>
      </w:r>
      <w:r w:rsidRPr="006C0877">
        <w:rPr>
          <w:rFonts w:ascii="Century Gothic" w:hAnsi="Century Gothic"/>
          <w:b/>
          <w:bCs/>
          <w:lang w:eastAsia="en-US"/>
        </w:rPr>
        <w:t xml:space="preserve"> </w:t>
      </w:r>
    </w:p>
    <w:p w14:paraId="04D9A7CD" w14:textId="549ED68D" w:rsidR="009B60A4" w:rsidRPr="006C0877" w:rsidRDefault="22A644D0" w:rsidP="1B4A8018">
      <w:pPr>
        <w:rPr>
          <w:rFonts w:ascii="Century Gothic" w:hAnsi="Century Gothic"/>
          <w:lang w:eastAsia="en-US"/>
        </w:rPr>
      </w:pPr>
      <w:r w:rsidRPr="006C0877">
        <w:rPr>
          <w:rFonts w:ascii="Century Gothic" w:hAnsi="Century Gothic"/>
          <w:lang w:eastAsia="en-US"/>
        </w:rPr>
        <w:t xml:space="preserve">The West Rock community, which originally included Rockview Terrace, Brookside Manor, and </w:t>
      </w:r>
      <w:proofErr w:type="spellStart"/>
      <w:r w:rsidRPr="006C0877">
        <w:rPr>
          <w:rFonts w:ascii="Century Gothic" w:hAnsi="Century Gothic"/>
          <w:lang w:eastAsia="en-US"/>
        </w:rPr>
        <w:t>Ribicoff</w:t>
      </w:r>
      <w:proofErr w:type="spellEnd"/>
      <w:r w:rsidRPr="006C0877">
        <w:rPr>
          <w:rFonts w:ascii="Century Gothic" w:hAnsi="Century Gothic"/>
          <w:lang w:eastAsia="en-US"/>
        </w:rPr>
        <w:t xml:space="preserve"> Cottages, was developed as affordable housing in the 1950s and 1960s in what at that time was an outlying area with little access to public service or job opportunities.  Westville Manor was constructed in the Westrock neighborhood in the 1980s.  ECC/HANH’s goal has been to redevelop these aged and poor performing assets with a viable, sustainable, and connected community known as the Westrock Redevelopment Plan.  </w:t>
      </w:r>
    </w:p>
    <w:p w14:paraId="58F3AC32" w14:textId="77777777" w:rsidR="009B60A4" w:rsidRPr="006C0877" w:rsidRDefault="009B60A4" w:rsidP="1B4A8018">
      <w:pPr>
        <w:rPr>
          <w:rFonts w:ascii="Century Gothic" w:hAnsi="Century Gothic"/>
          <w:lang w:eastAsia="en-US"/>
        </w:rPr>
      </w:pPr>
    </w:p>
    <w:p w14:paraId="4A4B76A2" w14:textId="77777777" w:rsidR="006C0877" w:rsidRDefault="22A644D0" w:rsidP="1B4A8018">
      <w:pPr>
        <w:rPr>
          <w:rFonts w:ascii="Century Gothic" w:hAnsi="Century Gothic"/>
          <w:lang w:eastAsia="en-US"/>
        </w:rPr>
      </w:pPr>
      <w:r w:rsidRPr="006C0877">
        <w:rPr>
          <w:rFonts w:ascii="Century Gothic" w:hAnsi="Century Gothic"/>
          <w:lang w:eastAsia="en-US"/>
        </w:rPr>
        <w:t xml:space="preserve">Rockview Terrace, Brookside Manor, and </w:t>
      </w:r>
      <w:proofErr w:type="spellStart"/>
      <w:r w:rsidRPr="006C0877">
        <w:rPr>
          <w:rFonts w:ascii="Century Gothic" w:hAnsi="Century Gothic"/>
          <w:lang w:eastAsia="en-US"/>
        </w:rPr>
        <w:t>Ribicoff</w:t>
      </w:r>
      <w:proofErr w:type="spellEnd"/>
      <w:r w:rsidRPr="006C0877">
        <w:rPr>
          <w:rFonts w:ascii="Century Gothic" w:hAnsi="Century Gothic"/>
          <w:lang w:eastAsia="en-US"/>
        </w:rPr>
        <w:t xml:space="preserve"> Cottages have all been demolished and reconstructed through a series of development projects funded through mixed finance vehicles.  In addition to these three redevelopments, ECC/HANH also developed Wilmot Crossing on a gateway location to the Westrock neighborhood.  Wilmo</w:t>
      </w:r>
      <w:r w:rsidR="207B1C2A" w:rsidRPr="006C0877">
        <w:rPr>
          <w:rFonts w:ascii="Century Gothic" w:hAnsi="Century Gothic"/>
          <w:lang w:eastAsia="en-US"/>
        </w:rPr>
        <w:t>n</w:t>
      </w:r>
      <w:r w:rsidRPr="006C0877">
        <w:rPr>
          <w:rFonts w:ascii="Century Gothic" w:hAnsi="Century Gothic"/>
          <w:lang w:eastAsia="en-US"/>
        </w:rPr>
        <w:t>t Crossing includes senior and disabled housing, a community store, and a full-service medical clinic.  The redevelopment of Valley Townhomes and the substantial redevelopment of McConaughy Terrace were added to the Westrock initiative in FY21, along with 34 Level Street</w:t>
      </w:r>
      <w:r w:rsidR="001F5231" w:rsidRPr="006C0877">
        <w:rPr>
          <w:rFonts w:ascii="Century Gothic" w:hAnsi="Century Gothic"/>
          <w:lang w:eastAsia="en-US"/>
        </w:rPr>
        <w:t xml:space="preserve">. </w:t>
      </w:r>
    </w:p>
    <w:p w14:paraId="25C61A6C" w14:textId="77777777" w:rsidR="006C0877" w:rsidRDefault="006C0877" w:rsidP="1B4A8018">
      <w:pPr>
        <w:rPr>
          <w:rFonts w:ascii="Century Gothic" w:hAnsi="Century Gothic"/>
          <w:lang w:eastAsia="en-US"/>
        </w:rPr>
      </w:pPr>
    </w:p>
    <w:p w14:paraId="1C07F689" w14:textId="39AFBBD8" w:rsidR="00F321A5" w:rsidRPr="006C0877" w:rsidRDefault="001F5231" w:rsidP="1B4A8018">
      <w:pPr>
        <w:rPr>
          <w:rFonts w:ascii="Century Gothic" w:hAnsi="Century Gothic"/>
          <w:lang w:eastAsia="en-US"/>
        </w:rPr>
      </w:pPr>
      <w:r w:rsidRPr="006C0877">
        <w:rPr>
          <w:rFonts w:ascii="Century Gothic" w:hAnsi="Century Gothic"/>
          <w:lang w:eastAsia="en-US"/>
        </w:rPr>
        <w:t>These activities have transformed obsolete public housing into vibrant mixed-income communities that brought approximately 700 units of affordable and market rate rental housing, homeownership, associated community space and commercial space into the West Rock community</w:t>
      </w:r>
    </w:p>
    <w:p w14:paraId="7889AA1A" w14:textId="77777777" w:rsidR="00F321A5" w:rsidRPr="006C0877" w:rsidRDefault="00F321A5" w:rsidP="00F321A5">
      <w:pPr>
        <w:rPr>
          <w:rFonts w:ascii="Century Gothic" w:hAnsi="Century Gothic"/>
          <w:szCs w:val="22"/>
        </w:rPr>
      </w:pPr>
    </w:p>
    <w:p w14:paraId="6766AFAF" w14:textId="77777777" w:rsidR="006C0877" w:rsidRDefault="00F321A5" w:rsidP="00F321A5">
      <w:pPr>
        <w:rPr>
          <w:rFonts w:ascii="Century Gothic" w:hAnsi="Century Gothic"/>
          <w:szCs w:val="22"/>
        </w:rPr>
      </w:pPr>
      <w:r w:rsidRPr="006C0877">
        <w:rPr>
          <w:rFonts w:ascii="Century Gothic" w:hAnsi="Century Gothic"/>
          <w:b/>
          <w:bCs/>
          <w:szCs w:val="22"/>
          <w:u w:val="single"/>
        </w:rPr>
        <w:t>Westville Manor Transformation Plan</w:t>
      </w:r>
      <w:r w:rsidR="00D03809" w:rsidRPr="006C0877">
        <w:rPr>
          <w:rFonts w:ascii="Century Gothic" w:hAnsi="Century Gothic"/>
          <w:b/>
          <w:bCs/>
          <w:szCs w:val="22"/>
          <w:u w:val="single"/>
        </w:rPr>
        <w:t>:</w:t>
      </w:r>
      <w:r w:rsidR="00D03809" w:rsidRPr="006C0877">
        <w:rPr>
          <w:rFonts w:ascii="Century Gothic" w:hAnsi="Century Gothic"/>
          <w:bCs/>
          <w:szCs w:val="22"/>
        </w:rPr>
        <w:t xml:space="preserve"> </w:t>
      </w:r>
    </w:p>
    <w:p w14:paraId="35163B26" w14:textId="77777777" w:rsidR="00B41527" w:rsidRDefault="00F321A5" w:rsidP="00F321A5">
      <w:pPr>
        <w:rPr>
          <w:rFonts w:ascii="Century Gothic" w:hAnsi="Century Gothic"/>
          <w:szCs w:val="22"/>
        </w:rPr>
      </w:pPr>
      <w:r w:rsidRPr="006C0877">
        <w:rPr>
          <w:rFonts w:ascii="Century Gothic" w:hAnsi="Century Gothic"/>
          <w:szCs w:val="22"/>
        </w:rPr>
        <w:t xml:space="preserve">Westville Manor is a 150-unit low-income public housing development, and the only ECC/HANH property in the West Rock neighborhood that has not yet been redeveloped. </w:t>
      </w:r>
    </w:p>
    <w:p w14:paraId="4AA7AA3B" w14:textId="77777777" w:rsidR="00B41527" w:rsidRDefault="00B41527" w:rsidP="00F321A5">
      <w:pPr>
        <w:rPr>
          <w:rFonts w:ascii="Century Gothic" w:hAnsi="Century Gothic"/>
          <w:szCs w:val="22"/>
        </w:rPr>
      </w:pPr>
    </w:p>
    <w:p w14:paraId="0CE573D1" w14:textId="77D05330" w:rsidR="00F321A5" w:rsidRPr="006C0877" w:rsidRDefault="00F321A5" w:rsidP="00F321A5">
      <w:pPr>
        <w:rPr>
          <w:rFonts w:ascii="Century Gothic" w:hAnsi="Century Gothic"/>
          <w:szCs w:val="22"/>
          <w:u w:val="single"/>
        </w:rPr>
      </w:pPr>
      <w:r w:rsidRPr="006C0877">
        <w:rPr>
          <w:rFonts w:ascii="Century Gothic" w:hAnsi="Century Gothic"/>
          <w:szCs w:val="22"/>
        </w:rPr>
        <w:t>Westville Manor was targeted for redevelopment for several reasons</w:t>
      </w:r>
      <w:r w:rsidR="0044250A" w:rsidRPr="006C0877">
        <w:rPr>
          <w:rFonts w:ascii="Century Gothic" w:hAnsi="Century Gothic"/>
          <w:szCs w:val="22"/>
        </w:rPr>
        <w:t>: the</w:t>
      </w:r>
      <w:r w:rsidRPr="006C0877">
        <w:rPr>
          <w:rFonts w:ascii="Century Gothic" w:hAnsi="Century Gothic"/>
          <w:szCs w:val="22"/>
        </w:rPr>
        <w:t xml:space="preserve"> development is challenged for access, egress and security due to poor design, and has a lack of defensible space as it is surrounded by the densely forested West Rock Ridge State Park.  The development is situated in steep terrain with poor drainage leading to water infiltration issues. Due to these design flaws Westville Manor has become increasingly obsolete.</w:t>
      </w:r>
    </w:p>
    <w:p w14:paraId="5998CF53" w14:textId="77777777" w:rsidR="00F321A5" w:rsidRPr="006C0877" w:rsidRDefault="00F321A5" w:rsidP="00F321A5">
      <w:pPr>
        <w:rPr>
          <w:rFonts w:ascii="Century Gothic" w:hAnsi="Century Gothic"/>
          <w:szCs w:val="22"/>
        </w:rPr>
      </w:pPr>
    </w:p>
    <w:p w14:paraId="6B710490" w14:textId="13EE141B" w:rsidR="00F321A5" w:rsidRPr="006C0877" w:rsidRDefault="3BD76570" w:rsidP="645EA24E">
      <w:pPr>
        <w:rPr>
          <w:rFonts w:ascii="Century Gothic" w:hAnsi="Century Gothic"/>
        </w:rPr>
      </w:pPr>
      <w:r w:rsidRPr="006C0877">
        <w:rPr>
          <w:rFonts w:ascii="Century Gothic" w:hAnsi="Century Gothic"/>
        </w:rPr>
        <w:t>The Westville Manor transformation plan will include the demolition of all units and the replacement</w:t>
      </w:r>
      <w:r w:rsidR="00B41527">
        <w:rPr>
          <w:rFonts w:ascii="Century Gothic" w:hAnsi="Century Gothic"/>
        </w:rPr>
        <w:t xml:space="preserve"> of</w:t>
      </w:r>
      <w:r w:rsidRPr="006C0877">
        <w:rPr>
          <w:rFonts w:ascii="Century Gothic" w:hAnsi="Century Gothic"/>
        </w:rPr>
        <w:t xml:space="preserve"> units either onsite or at Rockview Phase 2 (Initiative 1.15), within walking distance of Westville Manor.</w:t>
      </w:r>
      <w:r w:rsidR="00E7235C" w:rsidRPr="006C0877">
        <w:rPr>
          <w:rFonts w:ascii="Century Gothic" w:hAnsi="Century Gothic"/>
        </w:rPr>
        <w:t xml:space="preserve"> </w:t>
      </w:r>
      <w:r w:rsidRPr="006C0877">
        <w:rPr>
          <w:rFonts w:ascii="Century Gothic" w:hAnsi="Century Gothic"/>
        </w:rPr>
        <w:t xml:space="preserve"> Rockview Phase 2, which </w:t>
      </w:r>
      <w:r w:rsidR="6F0A3A96" w:rsidRPr="006C0877">
        <w:rPr>
          <w:rFonts w:ascii="Century Gothic" w:hAnsi="Century Gothic"/>
        </w:rPr>
        <w:t>was</w:t>
      </w:r>
      <w:r w:rsidRPr="006C0877">
        <w:rPr>
          <w:rFonts w:ascii="Century Gothic" w:hAnsi="Century Gothic"/>
        </w:rPr>
        <w:t xml:space="preserve"> approved by HUD as an offsite component of Westville Manor,</w:t>
      </w:r>
      <w:r w:rsidR="1BA8651E" w:rsidRPr="006C0877">
        <w:rPr>
          <w:rFonts w:ascii="Century Gothic" w:hAnsi="Century Gothic"/>
        </w:rPr>
        <w:t xml:space="preserve"> </w:t>
      </w:r>
      <w:r w:rsidR="16C05C78" w:rsidRPr="006C0877">
        <w:rPr>
          <w:rFonts w:ascii="Century Gothic" w:hAnsi="Century Gothic"/>
        </w:rPr>
        <w:t>was completed</w:t>
      </w:r>
      <w:r w:rsidRPr="006C0877">
        <w:rPr>
          <w:rFonts w:ascii="Century Gothic" w:hAnsi="Century Gothic"/>
        </w:rPr>
        <w:t xml:space="preserve"> in the summer of 2020.</w:t>
      </w:r>
    </w:p>
    <w:p w14:paraId="19E40F42" w14:textId="2611C665" w:rsidR="00F321A5" w:rsidRPr="006C0877" w:rsidRDefault="00F321A5" w:rsidP="645EA24E">
      <w:pPr>
        <w:rPr>
          <w:rFonts w:ascii="Century Gothic" w:hAnsi="Century Gothic"/>
        </w:rPr>
      </w:pPr>
    </w:p>
    <w:p w14:paraId="5656780C" w14:textId="659DAF53" w:rsidR="00F321A5" w:rsidRPr="006C0877" w:rsidRDefault="430DD33F" w:rsidP="197B9397">
      <w:pPr>
        <w:rPr>
          <w:rFonts w:ascii="Century Gothic" w:hAnsi="Century Gothic"/>
        </w:rPr>
      </w:pPr>
      <w:r w:rsidRPr="006C0877">
        <w:rPr>
          <w:rFonts w:ascii="Century Gothic" w:hAnsi="Century Gothic"/>
        </w:rPr>
        <w:t>Rockview Terrace 2 contains</w:t>
      </w:r>
      <w:r w:rsidR="3BD76570" w:rsidRPr="006C0877">
        <w:rPr>
          <w:rFonts w:ascii="Century Gothic" w:hAnsi="Century Gothic"/>
        </w:rPr>
        <w:t xml:space="preserve"> 62 HUD approved replacement units, leaving a balance of 81 RAD replacement units to be constructed on the current site of Westville Manor. The redeveloped property will tie into the West </w:t>
      </w:r>
      <w:r w:rsidR="4F89ACA1" w:rsidRPr="006C0877">
        <w:rPr>
          <w:rFonts w:ascii="Century Gothic" w:hAnsi="Century Gothic"/>
        </w:rPr>
        <w:t>Rock State Park</w:t>
      </w:r>
      <w:r w:rsidR="3BD76570" w:rsidRPr="006C0877">
        <w:rPr>
          <w:rFonts w:ascii="Century Gothic" w:hAnsi="Century Gothic"/>
        </w:rPr>
        <w:t xml:space="preserve"> trail system, allowing residents to take full advantage of the location’s natural setting.</w:t>
      </w:r>
    </w:p>
    <w:p w14:paraId="4E48367B" w14:textId="77777777" w:rsidR="00F321A5" w:rsidRPr="006C0877" w:rsidRDefault="00F321A5" w:rsidP="00F321A5">
      <w:pPr>
        <w:rPr>
          <w:rFonts w:ascii="Century Gothic" w:hAnsi="Century Gothic"/>
          <w:szCs w:val="22"/>
        </w:rPr>
      </w:pPr>
    </w:p>
    <w:p w14:paraId="435EE985" w14:textId="5021F816" w:rsidR="00F321A5" w:rsidRPr="006C0877" w:rsidRDefault="0EA67ECF" w:rsidP="0E6C54AB">
      <w:pPr>
        <w:rPr>
          <w:rFonts w:ascii="Century Gothic" w:hAnsi="Century Gothic"/>
        </w:rPr>
      </w:pPr>
      <w:r w:rsidRPr="006C0877">
        <w:rPr>
          <w:rFonts w:ascii="Century Gothic" w:hAnsi="Century Gothic"/>
        </w:rPr>
        <w:t xml:space="preserve">It is the intent of ECC/HANH to fully redevelop Westville Manor development in the West Rock neighborhood under a RAD/mixed finance model.   The redevelopment of Westville Manor will necessitate the phased demolition of all existing buildings, abatement of hazardous materials, the construction of 109 units including 87 townhouse style units, and completely reconstructed infrastructure.  In addition to new water, sewer, and storm water service to alleviate groundwater and runoff issues, a series of three new roadways will be constructed which will be conveyed to the City of New Haven upon completion of the </w:t>
      </w:r>
      <w:r w:rsidRPr="006C0877">
        <w:rPr>
          <w:rFonts w:ascii="Century Gothic" w:hAnsi="Century Gothic"/>
        </w:rPr>
        <w:lastRenderedPageBreak/>
        <w:t xml:space="preserve">development.  The long-term sustainability achieved through high construction standards and passive house design will likely require that the TDC initiative be triggered and that the MTW flexibility be used to provide capital costs and to supplement operating costs through a “RAD PBV overhang” to allow for the maximization of private financing.  ECC/HANH will make every effort to maximize the leverage of non-MTW resources through the 9% LIHTC, state funding programs, and private financing.  </w:t>
      </w:r>
    </w:p>
    <w:p w14:paraId="2B316F2E" w14:textId="77777777" w:rsidR="00F321A5" w:rsidRPr="006C0877" w:rsidRDefault="00F321A5" w:rsidP="00D03809">
      <w:pPr>
        <w:rPr>
          <w:rFonts w:ascii="Century Gothic" w:hAnsi="Century Gothic"/>
          <w:szCs w:val="22"/>
        </w:rPr>
      </w:pPr>
    </w:p>
    <w:p w14:paraId="42E29D12" w14:textId="77777777" w:rsidR="00B41527" w:rsidRDefault="00F321A5" w:rsidP="00F321A5">
      <w:pPr>
        <w:rPr>
          <w:rFonts w:ascii="Century Gothic" w:hAnsi="Century Gothic"/>
        </w:rPr>
      </w:pPr>
      <w:r w:rsidRPr="006C0877">
        <w:rPr>
          <w:rFonts w:ascii="Century Gothic" w:hAnsi="Century Gothic"/>
        </w:rPr>
        <w:t xml:space="preserve">To initiate the Westville Manor redevelopment plan, ECC/HANH contracted with a Master Planner entity to lead and design the planning process.  A series of community meetings and a design charrette were conducted in August and September of 2018 to obtain community and resident input. </w:t>
      </w:r>
    </w:p>
    <w:p w14:paraId="3495EDF2" w14:textId="77777777" w:rsidR="00B41527" w:rsidRDefault="00B41527" w:rsidP="00F321A5">
      <w:pPr>
        <w:rPr>
          <w:rFonts w:ascii="Century Gothic" w:hAnsi="Century Gothic"/>
        </w:rPr>
      </w:pPr>
    </w:p>
    <w:p w14:paraId="228305B7" w14:textId="676CD0D3" w:rsidR="00F321A5" w:rsidRPr="006C0877" w:rsidRDefault="00F321A5" w:rsidP="00F321A5">
      <w:pPr>
        <w:rPr>
          <w:rFonts w:ascii="Century Gothic" w:hAnsi="Century Gothic"/>
        </w:rPr>
      </w:pPr>
      <w:r w:rsidRPr="006C0877">
        <w:rPr>
          <w:rFonts w:ascii="Century Gothic" w:hAnsi="Century Gothic"/>
        </w:rPr>
        <w:t xml:space="preserve">Residents, </w:t>
      </w:r>
      <w:r w:rsidR="00410E5B" w:rsidRPr="006C0877">
        <w:rPr>
          <w:rFonts w:ascii="Century Gothic" w:hAnsi="Century Gothic"/>
        </w:rPr>
        <w:t>several</w:t>
      </w:r>
      <w:r w:rsidRPr="006C0877">
        <w:rPr>
          <w:rFonts w:ascii="Century Gothic" w:hAnsi="Century Gothic"/>
        </w:rPr>
        <w:t xml:space="preserve"> community-based organizations and private supporters of Westville Manor helped shape the framework of the redevelopment vision. A major participant group were current Westville Manor residents.  Residents played a key role in multiple charrette committees and were an invaluable resource in the design and layout of the overall </w:t>
      </w:r>
      <w:r w:rsidR="00B41527">
        <w:rPr>
          <w:rFonts w:ascii="Century Gothic" w:hAnsi="Century Gothic"/>
        </w:rPr>
        <w:t xml:space="preserve">units and </w:t>
      </w:r>
      <w:r w:rsidRPr="006C0877">
        <w:rPr>
          <w:rFonts w:ascii="Century Gothic" w:hAnsi="Century Gothic"/>
        </w:rPr>
        <w:t xml:space="preserve">development.  The process included </w:t>
      </w:r>
      <w:proofErr w:type="spellStart"/>
      <w:proofErr w:type="gramStart"/>
      <w:r w:rsidRPr="006C0877">
        <w:rPr>
          <w:rFonts w:ascii="Century Gothic" w:hAnsi="Century Gothic"/>
        </w:rPr>
        <w:t>break out</w:t>
      </w:r>
      <w:proofErr w:type="spellEnd"/>
      <w:proofErr w:type="gramEnd"/>
      <w:r w:rsidRPr="006C0877">
        <w:rPr>
          <w:rFonts w:ascii="Century Gothic" w:hAnsi="Century Gothic"/>
        </w:rPr>
        <w:t xml:space="preserve"> sessions and drop-ins where residents voiced their opinions on several aspects of the vision. The three-day design charrette was an intensive and productive workshop with effective community participation and real time feedback resulting in a consensus plan.</w:t>
      </w:r>
    </w:p>
    <w:p w14:paraId="177EF455" w14:textId="77777777" w:rsidR="00F321A5" w:rsidRPr="006C0877" w:rsidRDefault="00F321A5" w:rsidP="00F321A5">
      <w:pPr>
        <w:rPr>
          <w:rFonts w:ascii="Century Gothic" w:hAnsi="Century Gothic"/>
          <w:szCs w:val="22"/>
        </w:rPr>
      </w:pPr>
    </w:p>
    <w:p w14:paraId="7C7012DA" w14:textId="3075A97F" w:rsidR="00F321A5" w:rsidRPr="006C0877" w:rsidRDefault="00C41555" w:rsidP="00F321A5">
      <w:pPr>
        <w:rPr>
          <w:rFonts w:ascii="Century Gothic" w:hAnsi="Century Gothic"/>
          <w:szCs w:val="22"/>
        </w:rPr>
      </w:pPr>
      <w:r w:rsidRPr="006C0877">
        <w:rPr>
          <w:rFonts w:ascii="Century Gothic" w:hAnsi="Century Gothic"/>
          <w:szCs w:val="22"/>
        </w:rPr>
        <w:t>In addition</w:t>
      </w:r>
      <w:r w:rsidR="00F321A5" w:rsidRPr="006C0877">
        <w:rPr>
          <w:rFonts w:ascii="Century Gothic" w:hAnsi="Century Gothic"/>
          <w:szCs w:val="22"/>
        </w:rPr>
        <w:t xml:space="preserve"> to supporting the provision of high quality affordable rental housing to the residents of the Westville Manor community, input from the community has focused on providing comprehensive, high quality supportive services programming for residents, promoting long-term economic self-sufficiency and providing residents with access to training, educational opportunities and employment. </w:t>
      </w:r>
    </w:p>
    <w:p w14:paraId="7234B602" w14:textId="77777777" w:rsidR="00F834DF" w:rsidRPr="006C0877" w:rsidRDefault="00F834DF" w:rsidP="00F321A5">
      <w:pPr>
        <w:rPr>
          <w:rFonts w:ascii="Century Gothic" w:hAnsi="Century Gothic"/>
          <w:szCs w:val="22"/>
        </w:rPr>
      </w:pPr>
    </w:p>
    <w:p w14:paraId="53356079" w14:textId="3B6036EF" w:rsidR="00B41527" w:rsidRDefault="4379F625" w:rsidP="00F321A5">
      <w:pPr>
        <w:rPr>
          <w:rFonts w:ascii="Century Gothic" w:hAnsi="Century Gothic"/>
        </w:rPr>
      </w:pPr>
      <w:r w:rsidRPr="2DE64BB2">
        <w:rPr>
          <w:rFonts w:ascii="Century Gothic" w:hAnsi="Century Gothic"/>
        </w:rPr>
        <w:t xml:space="preserve">The on-site units will be replaced through a bifurcated process to </w:t>
      </w:r>
      <w:r w:rsidR="0044250A" w:rsidRPr="2DE64BB2">
        <w:rPr>
          <w:rFonts w:ascii="Century Gothic" w:hAnsi="Century Gothic"/>
        </w:rPr>
        <w:t>ensure</w:t>
      </w:r>
      <w:r w:rsidRPr="2DE64BB2">
        <w:rPr>
          <w:rFonts w:ascii="Century Gothic" w:hAnsi="Century Gothic"/>
        </w:rPr>
        <w:t xml:space="preserve"> that resident displacement will be </w:t>
      </w:r>
      <w:r w:rsidR="405D2B9B" w:rsidRPr="2DE64BB2">
        <w:rPr>
          <w:rFonts w:ascii="Century Gothic" w:hAnsi="Century Gothic"/>
        </w:rPr>
        <w:t>minimized,</w:t>
      </w:r>
      <w:r w:rsidRPr="2DE64BB2">
        <w:rPr>
          <w:rFonts w:ascii="Century Gothic" w:hAnsi="Century Gothic"/>
        </w:rPr>
        <w:t xml:space="preserve"> and that unit demolition will occur in </w:t>
      </w:r>
      <w:r w:rsidR="00D97A04" w:rsidRPr="2DE64BB2">
        <w:rPr>
          <w:rFonts w:ascii="Century Gothic" w:hAnsi="Century Gothic"/>
        </w:rPr>
        <w:t>phased</w:t>
      </w:r>
      <w:r w:rsidRPr="2DE64BB2">
        <w:rPr>
          <w:rFonts w:ascii="Century Gothic" w:hAnsi="Century Gothic"/>
        </w:rPr>
        <w:t xml:space="preserve"> manner upon receipt of funding.  The on-site redevelopment plans include the incorporation of 20% market rate units to assure that the replacement development is not only sustainable but also a neighborhood of choice.  </w:t>
      </w:r>
    </w:p>
    <w:p w14:paraId="6B7CB285" w14:textId="77777777" w:rsidR="00B41527" w:rsidRDefault="00B41527" w:rsidP="00F321A5">
      <w:pPr>
        <w:rPr>
          <w:rFonts w:ascii="Century Gothic" w:hAnsi="Century Gothic"/>
        </w:rPr>
      </w:pPr>
    </w:p>
    <w:p w14:paraId="72903B50" w14:textId="41C2DBF2" w:rsidR="00F321A5" w:rsidRPr="006C0877" w:rsidRDefault="4379F625" w:rsidP="00F321A5">
      <w:pPr>
        <w:rPr>
          <w:rFonts w:ascii="Century Gothic" w:hAnsi="Century Gothic"/>
        </w:rPr>
      </w:pPr>
      <w:r w:rsidRPr="2DE64BB2">
        <w:rPr>
          <w:rFonts w:ascii="Century Gothic" w:hAnsi="Century Gothic"/>
        </w:rPr>
        <w:t xml:space="preserve">It </w:t>
      </w:r>
      <w:r w:rsidR="0BDE1D2C" w:rsidRPr="2DE64BB2">
        <w:rPr>
          <w:rFonts w:ascii="Century Gothic" w:hAnsi="Century Gothic"/>
        </w:rPr>
        <w:t>was the</w:t>
      </w:r>
      <w:r w:rsidRPr="2DE64BB2">
        <w:rPr>
          <w:rFonts w:ascii="Century Gothic" w:hAnsi="Century Gothic"/>
        </w:rPr>
        <w:t xml:space="preserve"> intention of ECC/HANH to seek 9% LIHTC funding in the fall of </w:t>
      </w:r>
      <w:r w:rsidR="260BA700" w:rsidRPr="2DE64BB2">
        <w:rPr>
          <w:rFonts w:ascii="Century Gothic" w:hAnsi="Century Gothic"/>
        </w:rPr>
        <w:t>202</w:t>
      </w:r>
      <w:r w:rsidR="52D67A0D" w:rsidRPr="2DE64BB2">
        <w:rPr>
          <w:rFonts w:ascii="Century Gothic" w:hAnsi="Century Gothic"/>
        </w:rPr>
        <w:t>1</w:t>
      </w:r>
      <w:r w:rsidRPr="2DE64BB2">
        <w:rPr>
          <w:rFonts w:ascii="Century Gothic" w:hAnsi="Century Gothic"/>
        </w:rPr>
        <w:t xml:space="preserve"> for the first </w:t>
      </w:r>
      <w:r w:rsidR="405D2B9B" w:rsidRPr="2DE64BB2">
        <w:rPr>
          <w:rFonts w:ascii="Century Gothic" w:hAnsi="Century Gothic"/>
        </w:rPr>
        <w:t>50-unit</w:t>
      </w:r>
      <w:r w:rsidRPr="2DE64BB2">
        <w:rPr>
          <w:rFonts w:ascii="Century Gothic" w:hAnsi="Century Gothic"/>
        </w:rPr>
        <w:t xml:space="preserve"> phase and in </w:t>
      </w:r>
      <w:r w:rsidR="260BA700" w:rsidRPr="2DE64BB2">
        <w:rPr>
          <w:rFonts w:ascii="Century Gothic" w:hAnsi="Century Gothic"/>
        </w:rPr>
        <w:t>202</w:t>
      </w:r>
      <w:r w:rsidR="41A4D246" w:rsidRPr="2DE64BB2">
        <w:rPr>
          <w:rFonts w:ascii="Century Gothic" w:hAnsi="Century Gothic"/>
        </w:rPr>
        <w:t>2</w:t>
      </w:r>
      <w:r w:rsidRPr="2DE64BB2">
        <w:rPr>
          <w:rFonts w:ascii="Century Gothic" w:hAnsi="Century Gothic"/>
        </w:rPr>
        <w:t xml:space="preserve"> for the second </w:t>
      </w:r>
      <w:r w:rsidR="4AED8A58" w:rsidRPr="2DE64BB2">
        <w:rPr>
          <w:rFonts w:ascii="Century Gothic" w:hAnsi="Century Gothic"/>
        </w:rPr>
        <w:t>59-unit</w:t>
      </w:r>
      <w:r w:rsidRPr="2DE64BB2">
        <w:rPr>
          <w:rFonts w:ascii="Century Gothic" w:hAnsi="Century Gothic"/>
        </w:rPr>
        <w:t xml:space="preserve"> phase.</w:t>
      </w:r>
      <w:r w:rsidR="5FB3FB7C" w:rsidRPr="2DE64BB2">
        <w:rPr>
          <w:rFonts w:ascii="Century Gothic" w:hAnsi="Century Gothic"/>
        </w:rPr>
        <w:t xml:space="preserve">  This application was not successful but will be resubmitted under </w:t>
      </w:r>
      <w:r w:rsidR="6BEF0761" w:rsidRPr="2DE64BB2">
        <w:rPr>
          <w:rFonts w:ascii="Century Gothic" w:hAnsi="Century Gothic"/>
        </w:rPr>
        <w:t>the 202</w:t>
      </w:r>
      <w:r w:rsidR="3CD99C5D" w:rsidRPr="2DE64BB2">
        <w:rPr>
          <w:rFonts w:ascii="Century Gothic" w:hAnsi="Century Gothic"/>
        </w:rPr>
        <w:t>5</w:t>
      </w:r>
      <w:r w:rsidR="6BEF0761" w:rsidRPr="2DE64BB2">
        <w:rPr>
          <w:rFonts w:ascii="Century Gothic" w:hAnsi="Century Gothic"/>
        </w:rPr>
        <w:t xml:space="preserve"> Connecticut Housing F</w:t>
      </w:r>
      <w:r w:rsidR="6E6FDFA8" w:rsidRPr="2DE64BB2">
        <w:rPr>
          <w:rFonts w:ascii="Century Gothic" w:hAnsi="Century Gothic"/>
        </w:rPr>
        <w:t>i</w:t>
      </w:r>
      <w:r w:rsidR="6BEF0761" w:rsidRPr="2DE64BB2">
        <w:rPr>
          <w:rFonts w:ascii="Century Gothic" w:hAnsi="Century Gothic"/>
        </w:rPr>
        <w:t>nance Authority 9% LIHTC round for Phase 1 onsite</w:t>
      </w:r>
      <w:r w:rsidR="5FB3FB7C" w:rsidRPr="2DE64BB2">
        <w:rPr>
          <w:rFonts w:ascii="Century Gothic" w:hAnsi="Century Gothic"/>
        </w:rPr>
        <w:t>.</w:t>
      </w:r>
    </w:p>
    <w:p w14:paraId="1D553524" w14:textId="77777777" w:rsidR="00F321A5" w:rsidRPr="006C0877" w:rsidRDefault="00F321A5" w:rsidP="00F321A5">
      <w:pPr>
        <w:rPr>
          <w:rFonts w:ascii="Century Gothic" w:hAnsi="Century Gothic"/>
          <w:szCs w:val="22"/>
        </w:rPr>
      </w:pPr>
    </w:p>
    <w:p w14:paraId="68E46A43" w14:textId="727D244A" w:rsidR="00F321A5" w:rsidRPr="006C0877" w:rsidRDefault="00F321A5" w:rsidP="00D03809">
      <w:pPr>
        <w:rPr>
          <w:rFonts w:ascii="Century Gothic" w:hAnsi="Century Gothic"/>
        </w:rPr>
      </w:pPr>
      <w:r w:rsidRPr="2DE64BB2">
        <w:rPr>
          <w:rFonts w:ascii="Century Gothic" w:hAnsi="Century Gothic"/>
        </w:rPr>
        <w:t xml:space="preserve">ECC/HANH received </w:t>
      </w:r>
      <w:r w:rsidR="00434CF0" w:rsidRPr="2DE64BB2">
        <w:rPr>
          <w:rFonts w:ascii="Century Gothic" w:hAnsi="Century Gothic"/>
        </w:rPr>
        <w:t>approval</w:t>
      </w:r>
      <w:r w:rsidRPr="2DE64BB2">
        <w:rPr>
          <w:rFonts w:ascii="Century Gothic" w:hAnsi="Century Gothic"/>
        </w:rPr>
        <w:t xml:space="preserve"> from both the City of New Haven City Plan Commission and the Board of Alders for the Westville Manor Planned Development District (PDD).  These approvals allow ECC/HANH to proceed with the completion of architectural plans and other required development documents.    HUD has </w:t>
      </w:r>
      <w:r w:rsidR="00434CF0" w:rsidRPr="2DE64BB2">
        <w:rPr>
          <w:rFonts w:ascii="Century Gothic" w:hAnsi="Century Gothic"/>
        </w:rPr>
        <w:t>approved</w:t>
      </w:r>
      <w:r w:rsidRPr="2DE64BB2">
        <w:rPr>
          <w:rFonts w:ascii="Century Gothic" w:hAnsi="Century Gothic"/>
        </w:rPr>
        <w:t xml:space="preserve"> </w:t>
      </w:r>
      <w:proofErr w:type="gramStart"/>
      <w:r w:rsidRPr="2DE64BB2">
        <w:rPr>
          <w:rFonts w:ascii="Century Gothic" w:hAnsi="Century Gothic"/>
        </w:rPr>
        <w:t>a CHAP</w:t>
      </w:r>
      <w:proofErr w:type="gramEnd"/>
      <w:r w:rsidRPr="2DE64BB2">
        <w:rPr>
          <w:rFonts w:ascii="Century Gothic" w:hAnsi="Century Gothic"/>
        </w:rPr>
        <w:t xml:space="preserve"> for this development. The project architect </w:t>
      </w:r>
      <w:r w:rsidR="6B14F310" w:rsidRPr="2DE64BB2">
        <w:rPr>
          <w:rFonts w:ascii="Century Gothic" w:hAnsi="Century Gothic"/>
        </w:rPr>
        <w:t>has</w:t>
      </w:r>
      <w:r w:rsidRPr="2DE64BB2">
        <w:rPr>
          <w:rFonts w:ascii="Century Gothic" w:hAnsi="Century Gothic"/>
        </w:rPr>
        <w:t xml:space="preserve"> been procured</w:t>
      </w:r>
      <w:r w:rsidR="51092762" w:rsidRPr="2DE64BB2">
        <w:rPr>
          <w:rFonts w:ascii="Century Gothic" w:hAnsi="Century Gothic"/>
        </w:rPr>
        <w:t>, a bid has been issued for a General Contractor,</w:t>
      </w:r>
      <w:r w:rsidRPr="2DE64BB2">
        <w:rPr>
          <w:rFonts w:ascii="Century Gothic" w:hAnsi="Century Gothic"/>
        </w:rPr>
        <w:t xml:space="preserve"> and the pre-construction process is proceeding as planned.</w:t>
      </w:r>
    </w:p>
    <w:p w14:paraId="70313CD9" w14:textId="77777777" w:rsidR="0052619C" w:rsidRPr="006C0877" w:rsidRDefault="0052619C" w:rsidP="0052619C">
      <w:pPr>
        <w:ind w:firstLine="360"/>
        <w:rPr>
          <w:rStyle w:val="SubtleEmphasis"/>
          <w:rFonts w:ascii="Century Gothic" w:hAnsi="Century Gothic"/>
          <w:iCs w:val="0"/>
          <w:color w:val="auto"/>
          <w:sz w:val="22"/>
          <w:szCs w:val="22"/>
        </w:rPr>
      </w:pPr>
    </w:p>
    <w:p w14:paraId="322FD018" w14:textId="77777777" w:rsidR="00D80C65" w:rsidRPr="006C0877" w:rsidRDefault="6E37D067" w:rsidP="00F321A5">
      <w:pPr>
        <w:rPr>
          <w:rFonts w:ascii="Century Gothic" w:hAnsi="Century Gothic"/>
          <w:b/>
          <w:bCs/>
        </w:rPr>
      </w:pPr>
      <w:r w:rsidRPr="006C0877">
        <w:rPr>
          <w:rFonts w:ascii="Century Gothic" w:hAnsi="Century Gothic"/>
          <w:b/>
          <w:bCs/>
          <w:u w:val="single"/>
        </w:rPr>
        <w:t>Development of Rockview Phase 2</w:t>
      </w:r>
      <w:r w:rsidR="747E5E0F" w:rsidRPr="006C0877">
        <w:rPr>
          <w:rFonts w:ascii="Century Gothic" w:hAnsi="Century Gothic"/>
          <w:b/>
          <w:bCs/>
          <w:u w:val="single"/>
        </w:rPr>
        <w:t>:</w:t>
      </w:r>
      <w:r w:rsidR="747E5E0F" w:rsidRPr="006C0877">
        <w:rPr>
          <w:rFonts w:ascii="Century Gothic" w:hAnsi="Century Gothic"/>
          <w:b/>
          <w:bCs/>
        </w:rPr>
        <w:t xml:space="preserve"> </w:t>
      </w:r>
    </w:p>
    <w:p w14:paraId="420A6120" w14:textId="3A999D2E" w:rsidR="00F321A5" w:rsidRPr="006C0877" w:rsidRDefault="6E37D067" w:rsidP="00F321A5">
      <w:pPr>
        <w:rPr>
          <w:rFonts w:ascii="Century Gothic" w:hAnsi="Century Gothic"/>
          <w:u w:val="single"/>
        </w:rPr>
      </w:pPr>
      <w:r w:rsidRPr="006C0877">
        <w:rPr>
          <w:rFonts w:ascii="Century Gothic" w:hAnsi="Century Gothic"/>
        </w:rPr>
        <w:t xml:space="preserve">As an off-site component of Westville Manor, Rockview Phase 2 is a critical component of ECC/HANH’s long-term redevelopment of the West Rock neighborhood as the first phase in the Westville Manor redevelopment.  Rockview Phase 2 is a 78-unit townhouse development </w:t>
      </w:r>
      <w:r w:rsidRPr="006C0877">
        <w:rPr>
          <w:rFonts w:ascii="Century Gothic" w:hAnsi="Century Gothic"/>
        </w:rPr>
        <w:lastRenderedPageBreak/>
        <w:t>located on a portion of the site of the former Rockview</w:t>
      </w:r>
      <w:r w:rsidR="2BABF6AE" w:rsidRPr="006C0877">
        <w:rPr>
          <w:rFonts w:ascii="Century Gothic" w:hAnsi="Century Gothic"/>
        </w:rPr>
        <w:t xml:space="preserve"> Terrace</w:t>
      </w:r>
      <w:r w:rsidRPr="006C0877">
        <w:rPr>
          <w:rFonts w:ascii="Century Gothic" w:hAnsi="Century Gothic"/>
        </w:rPr>
        <w:t xml:space="preserve">.  </w:t>
      </w:r>
      <w:r w:rsidR="1BF08C9B" w:rsidRPr="006C0877">
        <w:rPr>
          <w:rFonts w:ascii="Century Gothic" w:hAnsi="Century Gothic"/>
        </w:rPr>
        <w:t xml:space="preserve">HUD approved using the 62 RAD units as an off-site component of Westville Manor, furthering the ECC/HANH initiative of replacing public housing units with MTW block grant funds.  </w:t>
      </w:r>
      <w:r w:rsidR="5FF85D6F" w:rsidRPr="006C0877">
        <w:rPr>
          <w:rFonts w:ascii="Century Gothic" w:hAnsi="Century Gothic"/>
        </w:rPr>
        <w:t>ECC/HANH construct</w:t>
      </w:r>
      <w:r w:rsidR="765C2EED" w:rsidRPr="006C0877">
        <w:rPr>
          <w:rFonts w:ascii="Century Gothic" w:hAnsi="Century Gothic"/>
        </w:rPr>
        <w:t>ed</w:t>
      </w:r>
      <w:r w:rsidR="5FF85D6F" w:rsidRPr="006C0877">
        <w:rPr>
          <w:rFonts w:ascii="Century Gothic" w:hAnsi="Century Gothic"/>
        </w:rPr>
        <w:t xml:space="preserve"> 62 RAD unit</w:t>
      </w:r>
      <w:r w:rsidR="49ADD70D" w:rsidRPr="006C0877">
        <w:rPr>
          <w:rFonts w:ascii="Century Gothic" w:hAnsi="Century Gothic"/>
        </w:rPr>
        <w:t xml:space="preserve">s </w:t>
      </w:r>
      <w:r w:rsidR="5FF85D6F" w:rsidRPr="006C0877">
        <w:rPr>
          <w:rFonts w:ascii="Century Gothic" w:hAnsi="Century Gothic"/>
        </w:rPr>
        <w:t xml:space="preserve">and 16 non-income restricted units.  </w:t>
      </w:r>
      <w:r w:rsidRPr="006C0877">
        <w:rPr>
          <w:rFonts w:ascii="Century Gothic" w:hAnsi="Century Gothic"/>
        </w:rPr>
        <w:t xml:space="preserve">Rockview Phase 2 will </w:t>
      </w:r>
      <w:r w:rsidR="41C2C9C1" w:rsidRPr="006C0877">
        <w:rPr>
          <w:rFonts w:ascii="Century Gothic" w:hAnsi="Century Gothic"/>
        </w:rPr>
        <w:t>crosscut</w:t>
      </w:r>
      <w:r w:rsidRPr="006C0877">
        <w:rPr>
          <w:rFonts w:ascii="Century Gothic" w:hAnsi="Century Gothic"/>
        </w:rPr>
        <w:t xml:space="preserve"> and coordinate with </w:t>
      </w:r>
      <w:r w:rsidR="6F69EF45" w:rsidRPr="006C0877">
        <w:rPr>
          <w:rFonts w:ascii="Century Gothic" w:hAnsi="Century Gothic"/>
        </w:rPr>
        <w:t>several</w:t>
      </w:r>
      <w:r w:rsidRPr="006C0877">
        <w:rPr>
          <w:rFonts w:ascii="Century Gothic" w:hAnsi="Century Gothic"/>
        </w:rPr>
        <w:t xml:space="preserve"> other initiatives, including TDC, the development of replacement public housing units, and </w:t>
      </w:r>
      <w:r w:rsidR="5D709C56" w:rsidRPr="006C0877">
        <w:rPr>
          <w:rFonts w:ascii="Century Gothic" w:hAnsi="Century Gothic"/>
        </w:rPr>
        <w:t>Westville Manor</w:t>
      </w:r>
      <w:r w:rsidRPr="006C0877">
        <w:rPr>
          <w:rFonts w:ascii="Century Gothic" w:hAnsi="Century Gothic"/>
        </w:rPr>
        <w:t xml:space="preserve">.  </w:t>
      </w:r>
    </w:p>
    <w:p w14:paraId="7DD2885D" w14:textId="588A5C41" w:rsidR="6B711D13" w:rsidRPr="006C0877" w:rsidRDefault="6B711D13" w:rsidP="6B711D13">
      <w:pPr>
        <w:rPr>
          <w:rFonts w:ascii="Century Gothic" w:eastAsia="MS PGothic" w:hAnsi="Century Gothic"/>
          <w:szCs w:val="22"/>
        </w:rPr>
      </w:pPr>
    </w:p>
    <w:p w14:paraId="5514B7ED" w14:textId="77777777" w:rsidR="00790055" w:rsidRPr="006C0877" w:rsidRDefault="1B1C1B64" w:rsidP="6B711D13">
      <w:pPr>
        <w:shd w:val="clear" w:color="auto" w:fill="FFFFFF" w:themeFill="background1"/>
        <w:rPr>
          <w:rFonts w:ascii="Century Gothic" w:hAnsi="Century Gothic"/>
        </w:rPr>
      </w:pPr>
      <w:r w:rsidRPr="006C0877">
        <w:rPr>
          <w:rFonts w:ascii="Century Gothic" w:hAnsi="Century Gothic"/>
        </w:rPr>
        <w:t xml:space="preserve">MTW flexibility is required to complete both Rockview Phase 2 and the Westville Manor on-site redevelopment.  These developments also trigger the requirement for Alternate TDC. Both are being constructed per ECC/HANH’s design standards.  These design standards require the inclusion of more costly, yet sustainable, construction standards including but not limited to cementitious </w:t>
      </w:r>
      <w:proofErr w:type="gramStart"/>
      <w:r w:rsidRPr="006C0877">
        <w:rPr>
          <w:rFonts w:ascii="Century Gothic" w:hAnsi="Century Gothic"/>
        </w:rPr>
        <w:t>siding</w:t>
      </w:r>
      <w:proofErr w:type="gramEnd"/>
      <w:r w:rsidRPr="006C0877">
        <w:rPr>
          <w:rFonts w:ascii="Century Gothic" w:hAnsi="Century Gothic"/>
        </w:rPr>
        <w:t xml:space="preserve">, quality flooring, and energy efficient HVAC and design component.  These townhouse units are being constructed to meet full HERS compliance.  </w:t>
      </w:r>
    </w:p>
    <w:p w14:paraId="61E29A24" w14:textId="77777777" w:rsidR="00790055" w:rsidRPr="006C0877" w:rsidRDefault="00790055" w:rsidP="6B711D13">
      <w:pPr>
        <w:shd w:val="clear" w:color="auto" w:fill="FFFFFF" w:themeFill="background1"/>
        <w:rPr>
          <w:rFonts w:ascii="Century Gothic" w:hAnsi="Century Gothic"/>
        </w:rPr>
      </w:pPr>
    </w:p>
    <w:p w14:paraId="28E162D8" w14:textId="26DF6178" w:rsidR="00D80C65" w:rsidRPr="006C0877" w:rsidRDefault="1B1C1B64" w:rsidP="6B711D13">
      <w:pPr>
        <w:shd w:val="clear" w:color="auto" w:fill="FFFFFF" w:themeFill="background1"/>
        <w:rPr>
          <w:rFonts w:ascii="Century Gothic" w:hAnsi="Century Gothic"/>
        </w:rPr>
      </w:pPr>
      <w:r w:rsidRPr="006C0877">
        <w:rPr>
          <w:rFonts w:ascii="Century Gothic" w:hAnsi="Century Gothic"/>
        </w:rPr>
        <w:t xml:space="preserve">In addition to sustainable design standards, the project includes the construction of new infrastructure </w:t>
      </w:r>
      <w:r w:rsidR="00434CF0" w:rsidRPr="006C0877">
        <w:rPr>
          <w:rFonts w:ascii="Century Gothic" w:hAnsi="Century Gothic"/>
        </w:rPr>
        <w:t>including</w:t>
      </w:r>
      <w:r w:rsidRPr="006C0877">
        <w:rPr>
          <w:rFonts w:ascii="Century Gothic" w:hAnsi="Century Gothic"/>
        </w:rPr>
        <w:t xml:space="preserve"> water, sanitary sewer, storm sewer, and the construction of two new streets which will be conveyed to the City of New Haven upon completion.  MTW flexibility through the provision of capital funds and RAD PBV overhang is required to </w:t>
      </w:r>
      <w:proofErr w:type="gramStart"/>
      <w:r w:rsidRPr="006C0877">
        <w:rPr>
          <w:rFonts w:ascii="Century Gothic" w:hAnsi="Century Gothic"/>
        </w:rPr>
        <w:t>assure</w:t>
      </w:r>
      <w:proofErr w:type="gramEnd"/>
      <w:r w:rsidRPr="006C0877">
        <w:rPr>
          <w:rFonts w:ascii="Century Gothic" w:hAnsi="Century Gothic"/>
        </w:rPr>
        <w:t xml:space="preserve"> that the funding application would be competitive under competitive 9% LIHTC competition.  </w:t>
      </w:r>
    </w:p>
    <w:p w14:paraId="63C68D26" w14:textId="77777777" w:rsidR="00D80C65" w:rsidRPr="006C0877" w:rsidRDefault="00D80C65" w:rsidP="6B711D13">
      <w:pPr>
        <w:shd w:val="clear" w:color="auto" w:fill="FFFFFF" w:themeFill="background1"/>
        <w:rPr>
          <w:rFonts w:ascii="Century Gothic" w:hAnsi="Century Gothic"/>
        </w:rPr>
      </w:pPr>
    </w:p>
    <w:p w14:paraId="02F7AB52" w14:textId="4B8260C0" w:rsidR="00F321A5" w:rsidRPr="006C0877" w:rsidRDefault="1B1C1B64" w:rsidP="6B711D13">
      <w:pPr>
        <w:shd w:val="clear" w:color="auto" w:fill="FFFFFF" w:themeFill="background1"/>
        <w:rPr>
          <w:rFonts w:ascii="Century Gothic" w:hAnsi="Century Gothic"/>
        </w:rPr>
      </w:pPr>
      <w:r w:rsidRPr="006C0877">
        <w:rPr>
          <w:rFonts w:ascii="Century Gothic" w:hAnsi="Century Gothic"/>
        </w:rPr>
        <w:t xml:space="preserve">For Rockview Phase 2, these assistance vehicles allowed ECC/HANH to maximize the leverage of non-MTW funding sources, including a HUD 221(d) loan and State of Connecticut capital funding.  The same financial structure is anticipated for Westville Manor.  The financial closing for Rockview Phase 2 occurred on June 20, </w:t>
      </w:r>
      <w:r w:rsidR="00131718" w:rsidRPr="006C0877">
        <w:rPr>
          <w:rFonts w:ascii="Century Gothic" w:hAnsi="Century Gothic"/>
        </w:rPr>
        <w:t>2019,</w:t>
      </w:r>
      <w:r w:rsidRPr="006C0877">
        <w:rPr>
          <w:rFonts w:ascii="Century Gothic" w:hAnsi="Century Gothic"/>
        </w:rPr>
        <w:t xml:space="preserve"> and construction is </w:t>
      </w:r>
      <w:r w:rsidR="00AF5128" w:rsidRPr="006C0877">
        <w:rPr>
          <w:rFonts w:ascii="Century Gothic" w:hAnsi="Century Gothic"/>
        </w:rPr>
        <w:t>complete,</w:t>
      </w:r>
      <w:r w:rsidRPr="006C0877">
        <w:rPr>
          <w:rFonts w:ascii="Century Gothic" w:hAnsi="Century Gothic"/>
        </w:rPr>
        <w:t xml:space="preserve"> and units are fully leased.  </w:t>
      </w:r>
    </w:p>
    <w:p w14:paraId="4609AF3E" w14:textId="177311D4" w:rsidR="00F321A5" w:rsidRPr="006C0877" w:rsidRDefault="33384EF0" w:rsidP="6B711D13">
      <w:pPr>
        <w:pStyle w:val="NoSpacing"/>
        <w:shd w:val="clear" w:color="auto" w:fill="FFFFFF" w:themeFill="background1"/>
        <w:rPr>
          <w:rFonts w:ascii="Century Gothic" w:hAnsi="Century Gothic" w:cs="Times New Roman"/>
          <w:b w:val="0"/>
          <w:color w:val="auto"/>
          <w:sz w:val="22"/>
          <w:szCs w:val="22"/>
        </w:rPr>
      </w:pPr>
      <w:r w:rsidRPr="006C0877">
        <w:rPr>
          <w:rFonts w:ascii="Century Gothic" w:hAnsi="Century Gothic" w:cs="Times New Roman"/>
          <w:b w:val="0"/>
          <w:color w:val="auto"/>
          <w:sz w:val="22"/>
          <w:szCs w:val="22"/>
        </w:rPr>
        <w:t xml:space="preserve">  </w:t>
      </w:r>
    </w:p>
    <w:p w14:paraId="499C513A" w14:textId="77777777" w:rsidR="00B41527" w:rsidRDefault="5E18AC73" w:rsidP="00F321A5">
      <w:pPr>
        <w:pStyle w:val="NoSpacing"/>
        <w:rPr>
          <w:rFonts w:ascii="Century Gothic" w:hAnsi="Century Gothic" w:cs="Times New Roman"/>
          <w:b w:val="0"/>
          <w:color w:val="auto"/>
          <w:sz w:val="22"/>
          <w:szCs w:val="22"/>
        </w:rPr>
      </w:pPr>
      <w:r w:rsidRPr="006C0877">
        <w:rPr>
          <w:rFonts w:ascii="Century Gothic" w:hAnsi="Century Gothic" w:cs="Times New Roman"/>
          <w:b w:val="0"/>
          <w:color w:val="auto"/>
          <w:sz w:val="22"/>
          <w:szCs w:val="22"/>
        </w:rPr>
        <w:t xml:space="preserve">The goal </w:t>
      </w:r>
      <w:r w:rsidR="3A9FEF40" w:rsidRPr="006C0877">
        <w:rPr>
          <w:rFonts w:ascii="Century Gothic" w:hAnsi="Century Gothic" w:cs="Times New Roman"/>
          <w:b w:val="0"/>
          <w:color w:val="auto"/>
          <w:sz w:val="22"/>
          <w:szCs w:val="22"/>
        </w:rPr>
        <w:t>was</w:t>
      </w:r>
      <w:r w:rsidRPr="006C0877">
        <w:rPr>
          <w:rFonts w:ascii="Century Gothic" w:hAnsi="Century Gothic" w:cs="Times New Roman"/>
          <w:b w:val="0"/>
          <w:color w:val="auto"/>
          <w:sz w:val="22"/>
          <w:szCs w:val="22"/>
        </w:rPr>
        <w:t xml:space="preserve"> to transform an obsolete housing complex into a vibrant mixed-income housing choice development that would both maintain affordable housing opportunities for our residents while creating a vibrant new neighborhood that include</w:t>
      </w:r>
      <w:r w:rsidR="00C837AB" w:rsidRPr="006C0877">
        <w:rPr>
          <w:rFonts w:ascii="Century Gothic" w:hAnsi="Century Gothic" w:cs="Times New Roman"/>
          <w:b w:val="0"/>
          <w:color w:val="auto"/>
          <w:sz w:val="22"/>
          <w:szCs w:val="22"/>
        </w:rPr>
        <w:t>s</w:t>
      </w:r>
      <w:r w:rsidRPr="006C0877">
        <w:rPr>
          <w:rFonts w:ascii="Century Gothic" w:hAnsi="Century Gothic" w:cs="Times New Roman"/>
          <w:b w:val="0"/>
          <w:color w:val="auto"/>
          <w:sz w:val="22"/>
          <w:szCs w:val="22"/>
        </w:rPr>
        <w:t xml:space="preserve"> a public park and the construction of a community centric low-rise 20 unit building that include</w:t>
      </w:r>
      <w:r w:rsidR="00C72FC8" w:rsidRPr="006C0877">
        <w:rPr>
          <w:rFonts w:ascii="Century Gothic" w:hAnsi="Century Gothic" w:cs="Times New Roman"/>
          <w:b w:val="0"/>
          <w:color w:val="auto"/>
          <w:sz w:val="22"/>
          <w:szCs w:val="22"/>
        </w:rPr>
        <w:t>s</w:t>
      </w:r>
      <w:r w:rsidRPr="006C0877">
        <w:rPr>
          <w:rFonts w:ascii="Century Gothic" w:hAnsi="Century Gothic" w:cs="Times New Roman"/>
          <w:b w:val="0"/>
          <w:color w:val="auto"/>
          <w:sz w:val="22"/>
          <w:szCs w:val="22"/>
        </w:rPr>
        <w:t xml:space="preserve"> community meeting space, management offices, and various social service offices.   </w:t>
      </w:r>
    </w:p>
    <w:p w14:paraId="46B6FAF0" w14:textId="77777777" w:rsidR="00B41527" w:rsidRDefault="00B41527" w:rsidP="00F321A5">
      <w:pPr>
        <w:pStyle w:val="NoSpacing"/>
        <w:rPr>
          <w:rFonts w:ascii="Century Gothic" w:hAnsi="Century Gothic" w:cs="Times New Roman"/>
          <w:b w:val="0"/>
          <w:color w:val="auto"/>
          <w:sz w:val="22"/>
          <w:szCs w:val="22"/>
        </w:rPr>
      </w:pPr>
    </w:p>
    <w:p w14:paraId="5D065579" w14:textId="77777777" w:rsidR="00B41527" w:rsidRDefault="5E18AC73" w:rsidP="00F321A5">
      <w:pPr>
        <w:pStyle w:val="NoSpacing"/>
        <w:rPr>
          <w:rFonts w:ascii="Century Gothic" w:hAnsi="Century Gothic" w:cs="Times New Roman"/>
          <w:b w:val="0"/>
          <w:color w:val="auto"/>
          <w:sz w:val="22"/>
          <w:szCs w:val="22"/>
        </w:rPr>
      </w:pPr>
      <w:r w:rsidRPr="006C0877">
        <w:rPr>
          <w:rFonts w:ascii="Century Gothic" w:hAnsi="Century Gothic" w:cs="Times New Roman"/>
          <w:b w:val="0"/>
          <w:color w:val="auto"/>
          <w:sz w:val="22"/>
          <w:szCs w:val="22"/>
        </w:rPr>
        <w:t xml:space="preserve">The impact of the completed project is </w:t>
      </w:r>
      <w:r w:rsidR="00BA7387" w:rsidRPr="006C0877">
        <w:rPr>
          <w:rFonts w:ascii="Century Gothic" w:hAnsi="Century Gothic" w:cs="Times New Roman"/>
          <w:b w:val="0"/>
          <w:color w:val="auto"/>
          <w:sz w:val="22"/>
          <w:szCs w:val="22"/>
        </w:rPr>
        <w:t>promoting</w:t>
      </w:r>
      <w:r w:rsidRPr="006C0877">
        <w:rPr>
          <w:rFonts w:ascii="Century Gothic" w:hAnsi="Century Gothic" w:cs="Times New Roman"/>
          <w:b w:val="0"/>
          <w:color w:val="auto"/>
          <w:sz w:val="22"/>
          <w:szCs w:val="22"/>
        </w:rPr>
        <w:t xml:space="preserve"> housing choice for low-income families by eliminating a poor-performing housing option and improving housing choice options, reducing density and therefore improving the quality of housing and making the development more marketable, improving the lease-up rate and decreasing turnover and increasing connectivity to commercial and job centers through expanded bus service being added in conjunction with the redevelopment. </w:t>
      </w:r>
    </w:p>
    <w:p w14:paraId="31934255" w14:textId="77777777" w:rsidR="00B41527" w:rsidRDefault="00B41527" w:rsidP="00F321A5">
      <w:pPr>
        <w:pStyle w:val="NoSpacing"/>
        <w:rPr>
          <w:rFonts w:ascii="Century Gothic" w:hAnsi="Century Gothic" w:cs="Times New Roman"/>
          <w:b w:val="0"/>
          <w:color w:val="auto"/>
          <w:sz w:val="22"/>
          <w:szCs w:val="22"/>
        </w:rPr>
      </w:pPr>
    </w:p>
    <w:p w14:paraId="7C94BA48" w14:textId="5709E496" w:rsidR="00F321A5" w:rsidRPr="006C0877" w:rsidRDefault="5E18AC73" w:rsidP="00F321A5">
      <w:pPr>
        <w:pStyle w:val="NoSpacing"/>
        <w:rPr>
          <w:rFonts w:ascii="Century Gothic" w:hAnsi="Century Gothic" w:cs="Times New Roman"/>
          <w:b w:val="0"/>
          <w:color w:val="auto"/>
          <w:sz w:val="22"/>
          <w:szCs w:val="22"/>
        </w:rPr>
      </w:pPr>
      <w:r w:rsidRPr="006C0877">
        <w:rPr>
          <w:rFonts w:ascii="Century Gothic" w:hAnsi="Century Gothic" w:cs="Times New Roman"/>
          <w:b w:val="0"/>
          <w:color w:val="auto"/>
          <w:sz w:val="22"/>
          <w:szCs w:val="22"/>
        </w:rPr>
        <w:t>ECC/HANH also anticipates a reduction in crime and an increase in occupancy, which also supports development of the surrounding neighborhood with new businesses and a renewed sense of community.</w:t>
      </w:r>
    </w:p>
    <w:p w14:paraId="092288BC" w14:textId="7C2FD881" w:rsidR="1B4A8018" w:rsidRDefault="1B4A8018" w:rsidP="1B4A8018">
      <w:pPr>
        <w:pStyle w:val="NoSpacing"/>
        <w:rPr>
          <w:rFonts w:ascii="Century Gothic" w:eastAsia="MS PGothic" w:hAnsi="Century Gothic" w:cs="Arial"/>
          <w:bCs/>
          <w:sz w:val="22"/>
          <w:szCs w:val="22"/>
        </w:rPr>
      </w:pPr>
    </w:p>
    <w:p w14:paraId="5614B355" w14:textId="77777777" w:rsidR="00434CF0" w:rsidRDefault="00434CF0" w:rsidP="4566E4F4">
      <w:pPr>
        <w:pStyle w:val="NoSpacing"/>
        <w:rPr>
          <w:rFonts w:ascii="Century Gothic" w:eastAsia="Times New Roman" w:hAnsi="Century Gothic" w:cs="Times New Roman"/>
          <w:color w:val="auto"/>
          <w:sz w:val="22"/>
          <w:szCs w:val="22"/>
        </w:rPr>
      </w:pPr>
    </w:p>
    <w:p w14:paraId="2F389E50" w14:textId="77777777" w:rsidR="00434CF0" w:rsidRDefault="00434CF0" w:rsidP="4566E4F4">
      <w:pPr>
        <w:pStyle w:val="NoSpacing"/>
        <w:rPr>
          <w:rFonts w:ascii="Century Gothic" w:eastAsia="Times New Roman" w:hAnsi="Century Gothic" w:cs="Times New Roman"/>
          <w:color w:val="auto"/>
          <w:sz w:val="22"/>
          <w:szCs w:val="22"/>
        </w:rPr>
      </w:pPr>
    </w:p>
    <w:p w14:paraId="63D14A13" w14:textId="77777777" w:rsidR="00434CF0" w:rsidRDefault="00434CF0" w:rsidP="4566E4F4">
      <w:pPr>
        <w:pStyle w:val="NoSpacing"/>
        <w:rPr>
          <w:rFonts w:ascii="Century Gothic" w:eastAsia="Times New Roman" w:hAnsi="Century Gothic" w:cs="Times New Roman"/>
          <w:color w:val="auto"/>
          <w:sz w:val="22"/>
          <w:szCs w:val="22"/>
        </w:rPr>
      </w:pPr>
    </w:p>
    <w:p w14:paraId="5D5ACD67" w14:textId="77777777" w:rsidR="00434CF0" w:rsidRDefault="00434CF0" w:rsidP="4566E4F4">
      <w:pPr>
        <w:pStyle w:val="NoSpacing"/>
        <w:rPr>
          <w:rFonts w:ascii="Century Gothic" w:eastAsia="Times New Roman" w:hAnsi="Century Gothic" w:cs="Times New Roman"/>
          <w:color w:val="auto"/>
          <w:sz w:val="22"/>
          <w:szCs w:val="22"/>
        </w:rPr>
      </w:pPr>
    </w:p>
    <w:p w14:paraId="6F58B556" w14:textId="77777777" w:rsidR="00434CF0" w:rsidRDefault="00434CF0" w:rsidP="4566E4F4">
      <w:pPr>
        <w:pStyle w:val="NoSpacing"/>
        <w:rPr>
          <w:rFonts w:ascii="Century Gothic" w:eastAsia="Times New Roman" w:hAnsi="Century Gothic" w:cs="Times New Roman"/>
          <w:color w:val="auto"/>
          <w:sz w:val="22"/>
          <w:szCs w:val="22"/>
        </w:rPr>
      </w:pPr>
    </w:p>
    <w:p w14:paraId="4F27B79E" w14:textId="7F86BEF5" w:rsidR="1B4A8018" w:rsidRPr="006C0877" w:rsidRDefault="5EBA2BB6" w:rsidP="4566E4F4">
      <w:pPr>
        <w:pStyle w:val="NoSpacing"/>
        <w:rPr>
          <w:rFonts w:ascii="Century Gothic" w:eastAsia="Times New Roman" w:hAnsi="Century Gothic" w:cs="Times New Roman"/>
          <w:color w:val="auto"/>
          <w:sz w:val="22"/>
          <w:szCs w:val="22"/>
        </w:rPr>
      </w:pPr>
      <w:r w:rsidRPr="006C0877">
        <w:rPr>
          <w:rFonts w:ascii="Century Gothic" w:eastAsia="Times New Roman" w:hAnsi="Century Gothic" w:cs="Times New Roman"/>
          <w:color w:val="auto"/>
          <w:sz w:val="22"/>
          <w:szCs w:val="22"/>
        </w:rPr>
        <w:lastRenderedPageBreak/>
        <w:t>The Westrock initiative was revised in 2021 to include the redevelopment of Valley Street Townhomes, McConaughy Terrace, and 34 Level Street.</w:t>
      </w:r>
    </w:p>
    <w:p w14:paraId="3BF12B48" w14:textId="488C5F36" w:rsidR="1B4A8018" w:rsidRPr="006C0877" w:rsidRDefault="1B1C1B64" w:rsidP="4566E4F4">
      <w:pPr>
        <w:pStyle w:val="NoSpacing"/>
        <w:rPr>
          <w:rFonts w:ascii="Century Gothic" w:eastAsia="Times New Roman" w:hAnsi="Century Gothic" w:cs="Times New Roman"/>
          <w:color w:val="auto"/>
          <w:sz w:val="22"/>
          <w:szCs w:val="22"/>
        </w:rPr>
      </w:pPr>
      <w:r w:rsidRPr="006C0877">
        <w:rPr>
          <w:rFonts w:ascii="Century Gothic" w:eastAsia="Times New Roman" w:hAnsi="Century Gothic" w:cs="Times New Roman"/>
          <w:color w:val="auto"/>
          <w:sz w:val="22"/>
          <w:szCs w:val="22"/>
        </w:rPr>
        <w:t xml:space="preserve"> </w:t>
      </w:r>
    </w:p>
    <w:p w14:paraId="7988F610" w14:textId="0D183ED4" w:rsidR="1B4A8018" w:rsidRPr="006C0877" w:rsidRDefault="567E0DB1" w:rsidP="69506C91">
      <w:pPr>
        <w:rPr>
          <w:rFonts w:ascii="Century Gothic" w:eastAsia="Times New Roman" w:hAnsi="Century Gothic"/>
          <w:b/>
          <w:u w:val="single"/>
        </w:rPr>
      </w:pPr>
      <w:r w:rsidRPr="006C0877">
        <w:rPr>
          <w:rFonts w:ascii="Century Gothic" w:eastAsia="Times New Roman" w:hAnsi="Century Gothic"/>
          <w:b/>
          <w:u w:val="single"/>
        </w:rPr>
        <w:t>McConaughy Terra</w:t>
      </w:r>
      <w:r w:rsidR="6F6250B1" w:rsidRPr="006C0877">
        <w:rPr>
          <w:rFonts w:ascii="Century Gothic" w:eastAsia="Times New Roman" w:hAnsi="Century Gothic"/>
          <w:b/>
          <w:u w:val="single"/>
        </w:rPr>
        <w:t>c</w:t>
      </w:r>
      <w:r w:rsidRPr="006C0877">
        <w:rPr>
          <w:rFonts w:ascii="Century Gothic" w:eastAsia="Times New Roman" w:hAnsi="Century Gothic"/>
          <w:b/>
          <w:u w:val="single"/>
        </w:rPr>
        <w:t>e</w:t>
      </w:r>
    </w:p>
    <w:p w14:paraId="7004E9E4" w14:textId="77777777" w:rsidR="00AF10E9" w:rsidRPr="006C0877" w:rsidRDefault="2378D4A7" w:rsidP="4B60C82B">
      <w:pPr>
        <w:rPr>
          <w:rFonts w:ascii="Century Gothic" w:eastAsia="Times New Roman" w:hAnsi="Century Gothic"/>
        </w:rPr>
      </w:pPr>
      <w:r w:rsidRPr="006C0877">
        <w:rPr>
          <w:rFonts w:ascii="Century Gothic" w:eastAsia="Times New Roman" w:hAnsi="Century Gothic"/>
        </w:rPr>
        <w:t xml:space="preserve">In FY 2021 ECC/HANH began the process of undertaking the redevelopment of McConaughy Terrace to convert the property to a Project based Voucher model using the Rental Assistance Demonstration Program (RAD).  </w:t>
      </w:r>
    </w:p>
    <w:p w14:paraId="17FF7A37" w14:textId="77777777" w:rsidR="00AF10E9" w:rsidRPr="006C0877" w:rsidRDefault="00AF10E9" w:rsidP="4B60C82B">
      <w:pPr>
        <w:rPr>
          <w:rFonts w:ascii="Century Gothic" w:eastAsia="Times New Roman" w:hAnsi="Century Gothic"/>
        </w:rPr>
      </w:pPr>
    </w:p>
    <w:p w14:paraId="319DD81C" w14:textId="0628D691" w:rsidR="1B4A8018" w:rsidRPr="006C0877" w:rsidRDefault="2378D4A7" w:rsidP="4B60C82B">
      <w:pPr>
        <w:rPr>
          <w:rFonts w:ascii="Century Gothic" w:eastAsia="Times New Roman" w:hAnsi="Century Gothic"/>
        </w:rPr>
      </w:pPr>
      <w:r w:rsidRPr="006C0877">
        <w:rPr>
          <w:rFonts w:ascii="Century Gothic" w:eastAsia="Times New Roman" w:hAnsi="Century Gothic"/>
        </w:rPr>
        <w:t>McConaughy Terrace currently contains 201 units of townhouse style family rental units within two different building types.  These building types include four-unit buildings referred to as 4-plexes and traditional horizontal townhouse units containing 6 units each.  McConaughy Terrace was built in the 1940s</w:t>
      </w:r>
      <w:r w:rsidR="3D2A7A70" w:rsidRPr="006C0877">
        <w:rPr>
          <w:rFonts w:ascii="Century Gothic" w:eastAsia="Times New Roman" w:hAnsi="Century Gothic"/>
        </w:rPr>
        <w:t>.</w:t>
      </w:r>
      <w:r w:rsidR="6D99CF77" w:rsidRPr="006C0877">
        <w:rPr>
          <w:rFonts w:ascii="Century Gothic" w:eastAsia="Times New Roman" w:hAnsi="Century Gothic"/>
        </w:rPr>
        <w:t xml:space="preserve"> The conversion of this development to RAD </w:t>
      </w:r>
      <w:r w:rsidR="007E3CC8" w:rsidRPr="006C0877">
        <w:rPr>
          <w:rFonts w:ascii="Century Gothic" w:eastAsia="Times New Roman" w:hAnsi="Century Gothic"/>
        </w:rPr>
        <w:t>w</w:t>
      </w:r>
      <w:r w:rsidR="0025039C" w:rsidRPr="006C0877">
        <w:rPr>
          <w:rFonts w:ascii="Century Gothic" w:eastAsia="Times New Roman" w:hAnsi="Century Gothic"/>
        </w:rPr>
        <w:t>as completed in</w:t>
      </w:r>
      <w:r w:rsidR="6D99CF77" w:rsidRPr="006C0877">
        <w:rPr>
          <w:rFonts w:ascii="Century Gothic" w:eastAsia="Times New Roman" w:hAnsi="Century Gothic"/>
        </w:rPr>
        <w:t xml:space="preserve"> FY</w:t>
      </w:r>
      <w:r w:rsidR="61BB5394" w:rsidRPr="006C0877">
        <w:rPr>
          <w:rFonts w:ascii="Century Gothic" w:eastAsia="Times New Roman" w:hAnsi="Century Gothic"/>
        </w:rPr>
        <w:t>20</w:t>
      </w:r>
      <w:r w:rsidR="6D99CF77" w:rsidRPr="006C0877">
        <w:rPr>
          <w:rFonts w:ascii="Century Gothic" w:eastAsia="Times New Roman" w:hAnsi="Century Gothic"/>
        </w:rPr>
        <w:t>2</w:t>
      </w:r>
      <w:r w:rsidR="7D5DB4CF" w:rsidRPr="006C0877">
        <w:rPr>
          <w:rFonts w:ascii="Century Gothic" w:eastAsia="Times New Roman" w:hAnsi="Century Gothic"/>
        </w:rPr>
        <w:t>4</w:t>
      </w:r>
      <w:r w:rsidR="6D99CF77" w:rsidRPr="006C0877">
        <w:rPr>
          <w:rFonts w:ascii="Century Gothic" w:eastAsia="Times New Roman" w:hAnsi="Century Gothic"/>
        </w:rPr>
        <w:t xml:space="preserve">. </w:t>
      </w:r>
      <w:r w:rsidRPr="006C0877">
        <w:rPr>
          <w:rFonts w:ascii="Century Gothic" w:eastAsia="Times New Roman" w:hAnsi="Century Gothic"/>
        </w:rPr>
        <w:t xml:space="preserve"> </w:t>
      </w:r>
    </w:p>
    <w:p w14:paraId="58211BD3" w14:textId="46738572" w:rsidR="1B4A8018" w:rsidRPr="006C0877" w:rsidRDefault="1B1C1B64" w:rsidP="4566E4F4">
      <w:pPr>
        <w:rPr>
          <w:rFonts w:ascii="Century Gothic" w:eastAsia="Times New Roman" w:hAnsi="Century Gothic"/>
          <w:szCs w:val="22"/>
        </w:rPr>
      </w:pPr>
      <w:r w:rsidRPr="006C0877">
        <w:rPr>
          <w:rFonts w:ascii="Century Gothic" w:eastAsia="Times New Roman" w:hAnsi="Century Gothic"/>
          <w:szCs w:val="22"/>
        </w:rPr>
        <w:t xml:space="preserve"> </w:t>
      </w:r>
    </w:p>
    <w:p w14:paraId="38CF7C08" w14:textId="6A96999C" w:rsidR="1B4A8018" w:rsidRPr="006C0877" w:rsidRDefault="1D8A4CF8" w:rsidP="4B60C82B">
      <w:pPr>
        <w:rPr>
          <w:rFonts w:ascii="Century Gothic" w:eastAsia="Times New Roman" w:hAnsi="Century Gothic"/>
        </w:rPr>
      </w:pPr>
      <w:r w:rsidRPr="006C0877">
        <w:rPr>
          <w:rFonts w:ascii="Century Gothic" w:eastAsia="Times New Roman" w:hAnsi="Century Gothic"/>
        </w:rPr>
        <w:t>The redevelopment plan</w:t>
      </w:r>
      <w:r w:rsidR="00452B3B" w:rsidRPr="006C0877">
        <w:rPr>
          <w:rFonts w:ascii="Century Gothic" w:eastAsia="Times New Roman" w:hAnsi="Century Gothic"/>
        </w:rPr>
        <w:t xml:space="preserve"> was</w:t>
      </w:r>
      <w:r w:rsidRPr="006C0877">
        <w:rPr>
          <w:rFonts w:ascii="Century Gothic" w:eastAsia="Times New Roman" w:hAnsi="Century Gothic"/>
        </w:rPr>
        <w:t xml:space="preserve"> to substantially rehabilitate all existing units and to construct up to </w:t>
      </w:r>
      <w:r w:rsidR="73B07858" w:rsidRPr="006C0877">
        <w:rPr>
          <w:rFonts w:ascii="Century Gothic" w:eastAsia="Times New Roman" w:hAnsi="Century Gothic"/>
        </w:rPr>
        <w:t>26</w:t>
      </w:r>
      <w:r w:rsidRPr="006C0877">
        <w:rPr>
          <w:rFonts w:ascii="Century Gothic" w:eastAsia="Times New Roman" w:hAnsi="Century Gothic"/>
        </w:rPr>
        <w:t xml:space="preserve"> additional units by constructing </w:t>
      </w:r>
      <w:r w:rsidR="1DC3591D" w:rsidRPr="006C0877">
        <w:rPr>
          <w:rFonts w:ascii="Century Gothic" w:eastAsia="Times New Roman" w:hAnsi="Century Gothic"/>
        </w:rPr>
        <w:t xml:space="preserve">six </w:t>
      </w:r>
      <w:r w:rsidRPr="006C0877">
        <w:rPr>
          <w:rFonts w:ascii="Century Gothic" w:eastAsia="Times New Roman" w:hAnsi="Century Gothic"/>
        </w:rPr>
        <w:t>new buildings similar in size and scale to the existing 4-plex units currently located within the development.   The expansion of existing affordable units will help to address the overwhelming need for affordable housing in the New Haven area. The new proposed units</w:t>
      </w:r>
      <w:r w:rsidR="00507CD3" w:rsidRPr="006C0877">
        <w:rPr>
          <w:rFonts w:ascii="Century Gothic" w:eastAsia="Times New Roman" w:hAnsi="Century Gothic"/>
        </w:rPr>
        <w:t xml:space="preserve"> </w:t>
      </w:r>
      <w:r w:rsidR="001D4CED" w:rsidRPr="006C0877">
        <w:rPr>
          <w:rFonts w:ascii="Century Gothic" w:eastAsia="Times New Roman" w:hAnsi="Century Gothic"/>
        </w:rPr>
        <w:t xml:space="preserve">will be </w:t>
      </w:r>
      <w:r w:rsidRPr="006C0877">
        <w:rPr>
          <w:rFonts w:ascii="Century Gothic" w:eastAsia="Times New Roman" w:hAnsi="Century Gothic"/>
        </w:rPr>
        <w:t xml:space="preserve">constructed </w:t>
      </w:r>
      <w:proofErr w:type="gramStart"/>
      <w:r w:rsidRPr="006C0877">
        <w:rPr>
          <w:rFonts w:ascii="Century Gothic" w:eastAsia="Times New Roman" w:hAnsi="Century Gothic"/>
        </w:rPr>
        <w:t>per</w:t>
      </w:r>
      <w:proofErr w:type="gramEnd"/>
      <w:r w:rsidRPr="006C0877">
        <w:rPr>
          <w:rFonts w:ascii="Century Gothic" w:eastAsia="Times New Roman" w:hAnsi="Century Gothic"/>
        </w:rPr>
        <w:t xml:space="preserve"> ECC/HANH’s sustainable design standards.  These design standards require the inclusion of more costly, yet sustainable, construction standards including but not limited to cementitious </w:t>
      </w:r>
      <w:proofErr w:type="gramStart"/>
      <w:r w:rsidRPr="006C0877">
        <w:rPr>
          <w:rFonts w:ascii="Century Gothic" w:eastAsia="Times New Roman" w:hAnsi="Century Gothic"/>
        </w:rPr>
        <w:t>siding</w:t>
      </w:r>
      <w:proofErr w:type="gramEnd"/>
      <w:r w:rsidRPr="006C0877">
        <w:rPr>
          <w:rFonts w:ascii="Century Gothic" w:eastAsia="Times New Roman" w:hAnsi="Century Gothic"/>
        </w:rPr>
        <w:t xml:space="preserve">, quality flooring, and energy efficient HVAC and design components.  To the extent feasible, the rehabilitation of existing units will increase energy efficiency and incorporate other sustainability measures.  These newly constructed units will also allow for the inclusion of accessible units at McConaughy Terrace.  The development, dating from the 1940s, </w:t>
      </w:r>
      <w:r w:rsidR="00E43BB5" w:rsidRPr="006C0877">
        <w:rPr>
          <w:rFonts w:ascii="Century Gothic" w:eastAsia="Times New Roman" w:hAnsi="Century Gothic"/>
        </w:rPr>
        <w:t xml:space="preserve">did </w:t>
      </w:r>
      <w:r w:rsidRPr="006C0877">
        <w:rPr>
          <w:rFonts w:ascii="Century Gothic" w:eastAsia="Times New Roman" w:hAnsi="Century Gothic"/>
        </w:rPr>
        <w:t xml:space="preserve">not have any accessible units.  Ten </w:t>
      </w:r>
      <w:r w:rsidR="00F04B8A" w:rsidRPr="006C0877">
        <w:rPr>
          <w:rFonts w:ascii="Century Gothic" w:eastAsia="Times New Roman" w:hAnsi="Century Gothic"/>
        </w:rPr>
        <w:t xml:space="preserve">(10) </w:t>
      </w:r>
      <w:r w:rsidRPr="006C0877">
        <w:rPr>
          <w:rFonts w:ascii="Century Gothic" w:eastAsia="Times New Roman" w:hAnsi="Century Gothic"/>
        </w:rPr>
        <w:t>new accessible units are included in the design plans.</w:t>
      </w:r>
    </w:p>
    <w:p w14:paraId="0C50AA7B" w14:textId="6FB566E7" w:rsidR="4B60C82B" w:rsidRPr="006C0877" w:rsidRDefault="4B60C82B" w:rsidP="4B60C82B">
      <w:pPr>
        <w:rPr>
          <w:rFonts w:ascii="Century Gothic" w:eastAsia="Times New Roman" w:hAnsi="Century Gothic"/>
        </w:rPr>
      </w:pPr>
    </w:p>
    <w:p w14:paraId="76EAD4DD" w14:textId="6BBB3E17" w:rsidR="7C3452FD" w:rsidRPr="006C0877" w:rsidRDefault="15D5F1CD" w:rsidP="7AF60685">
      <w:pPr>
        <w:rPr>
          <w:rFonts w:ascii="Century Gothic" w:eastAsia="Times New Roman" w:hAnsi="Century Gothic"/>
        </w:rPr>
      </w:pPr>
      <w:r w:rsidRPr="006C0877">
        <w:rPr>
          <w:rFonts w:ascii="Century Gothic" w:eastAsia="Times New Roman" w:hAnsi="Century Gothic"/>
        </w:rPr>
        <w:t xml:space="preserve">McConaughy Terrace was awarded competitive 9% Low Income Housing Tax Credits and 4% Low Income Housing Tax Credits.  The financial closings </w:t>
      </w:r>
      <w:r w:rsidR="4330FF70" w:rsidRPr="006C0877">
        <w:rPr>
          <w:rFonts w:ascii="Century Gothic" w:eastAsia="Times New Roman" w:hAnsi="Century Gothic"/>
        </w:rPr>
        <w:t xml:space="preserve">occurred in December of </w:t>
      </w:r>
      <w:proofErr w:type="gramStart"/>
      <w:r w:rsidR="4330FF70" w:rsidRPr="006C0877">
        <w:rPr>
          <w:rFonts w:ascii="Century Gothic" w:eastAsia="Times New Roman" w:hAnsi="Century Gothic"/>
        </w:rPr>
        <w:t>2024</w:t>
      </w:r>
      <w:proofErr w:type="gramEnd"/>
      <w:r w:rsidR="4330FF70" w:rsidRPr="006C0877">
        <w:rPr>
          <w:rFonts w:ascii="Century Gothic" w:eastAsia="Times New Roman" w:hAnsi="Century Gothic"/>
        </w:rPr>
        <w:t xml:space="preserve"> and the development is currently under construction with a targ</w:t>
      </w:r>
      <w:r w:rsidR="2E922964" w:rsidRPr="006C0877">
        <w:rPr>
          <w:rFonts w:ascii="Century Gothic" w:eastAsia="Times New Roman" w:hAnsi="Century Gothic"/>
        </w:rPr>
        <w:t>e</w:t>
      </w:r>
      <w:r w:rsidR="4330FF70" w:rsidRPr="006C0877">
        <w:rPr>
          <w:rFonts w:ascii="Century Gothic" w:eastAsia="Times New Roman" w:hAnsi="Century Gothic"/>
        </w:rPr>
        <w:t xml:space="preserve">ted completion in June 2025.  </w:t>
      </w:r>
      <w:r w:rsidRPr="006C0877">
        <w:rPr>
          <w:rFonts w:ascii="Century Gothic" w:eastAsia="Times New Roman" w:hAnsi="Century Gothic"/>
        </w:rPr>
        <w:t xml:space="preserve">  It is anticipated that construction will take 18 months to </w:t>
      </w:r>
      <w:proofErr w:type="gramStart"/>
      <w:r w:rsidRPr="006C0877">
        <w:rPr>
          <w:rFonts w:ascii="Century Gothic" w:eastAsia="Times New Roman" w:hAnsi="Century Gothic"/>
        </w:rPr>
        <w:t>assure</w:t>
      </w:r>
      <w:proofErr w:type="gramEnd"/>
      <w:r w:rsidRPr="006C0877">
        <w:rPr>
          <w:rFonts w:ascii="Century Gothic" w:eastAsia="Times New Roman" w:hAnsi="Century Gothic"/>
        </w:rPr>
        <w:t xml:space="preserve"> that all required relocation activities will comply with the Uniform Relocation Act, applicable RAD notices, and family needs.  Under this scenario the redevelopment will be complete, and all units </w:t>
      </w:r>
      <w:proofErr w:type="gramStart"/>
      <w:r w:rsidRPr="006C0877">
        <w:rPr>
          <w:rFonts w:ascii="Century Gothic" w:eastAsia="Times New Roman" w:hAnsi="Century Gothic"/>
        </w:rPr>
        <w:t>re</w:t>
      </w:r>
      <w:proofErr w:type="gramEnd"/>
      <w:r w:rsidRPr="006C0877">
        <w:rPr>
          <w:rFonts w:ascii="Century Gothic" w:eastAsia="Times New Roman" w:hAnsi="Century Gothic"/>
        </w:rPr>
        <w:t xml:space="preserve">-occupied by the end of the </w:t>
      </w:r>
      <w:r w:rsidR="59F15F8D" w:rsidRPr="006C0877">
        <w:rPr>
          <w:rFonts w:ascii="Century Gothic" w:eastAsia="Times New Roman" w:hAnsi="Century Gothic"/>
        </w:rPr>
        <w:t xml:space="preserve">second </w:t>
      </w:r>
      <w:r w:rsidRPr="006C0877">
        <w:rPr>
          <w:rFonts w:ascii="Century Gothic" w:eastAsia="Times New Roman" w:hAnsi="Century Gothic"/>
        </w:rPr>
        <w:t xml:space="preserve">quarter of </w:t>
      </w:r>
      <w:r w:rsidR="342E2158" w:rsidRPr="006C0877">
        <w:rPr>
          <w:rFonts w:ascii="Century Gothic" w:eastAsia="Times New Roman" w:hAnsi="Century Gothic"/>
        </w:rPr>
        <w:t>FY2025</w:t>
      </w:r>
      <w:r w:rsidRPr="006C0877">
        <w:rPr>
          <w:rFonts w:ascii="Century Gothic" w:eastAsia="Times New Roman" w:hAnsi="Century Gothic"/>
        </w:rPr>
        <w:t xml:space="preserve">.  </w:t>
      </w:r>
    </w:p>
    <w:p w14:paraId="65C6EDE6" w14:textId="2BC5F133" w:rsidR="1B4A8018" w:rsidRPr="006C0877" w:rsidRDefault="1B1C1B64" w:rsidP="4566E4F4">
      <w:pPr>
        <w:rPr>
          <w:rFonts w:ascii="Century Gothic" w:eastAsia="Times New Roman" w:hAnsi="Century Gothic"/>
          <w:szCs w:val="22"/>
        </w:rPr>
      </w:pPr>
      <w:r w:rsidRPr="006C0877">
        <w:rPr>
          <w:rFonts w:ascii="Century Gothic" w:eastAsia="Times New Roman" w:hAnsi="Century Gothic"/>
          <w:szCs w:val="22"/>
        </w:rPr>
        <w:t xml:space="preserve"> </w:t>
      </w:r>
    </w:p>
    <w:p w14:paraId="0BC7CE30" w14:textId="2ACB5C00" w:rsidR="1B4A8018" w:rsidRPr="006C0877" w:rsidRDefault="48DEEBAE" w:rsidP="69506C91">
      <w:pPr>
        <w:spacing w:line="257" w:lineRule="auto"/>
        <w:rPr>
          <w:rFonts w:ascii="Century Gothic" w:eastAsia="Times New Roman" w:hAnsi="Century Gothic"/>
          <w:b/>
          <w:bCs/>
          <w:u w:val="single"/>
        </w:rPr>
      </w:pPr>
      <w:r w:rsidRPr="006C0877">
        <w:rPr>
          <w:rFonts w:ascii="Century Gothic" w:eastAsia="Times New Roman" w:hAnsi="Century Gothic"/>
          <w:b/>
          <w:bCs/>
          <w:u w:val="single"/>
        </w:rPr>
        <w:t>Valley Street</w:t>
      </w:r>
    </w:p>
    <w:p w14:paraId="4655E338" w14:textId="24464F7B" w:rsidR="00064646" w:rsidRPr="006C0877" w:rsidRDefault="40407149" w:rsidP="0E6C54AB">
      <w:pPr>
        <w:spacing w:line="257" w:lineRule="auto"/>
        <w:rPr>
          <w:rFonts w:ascii="Century Gothic" w:eastAsia="Times New Roman" w:hAnsi="Century Gothic"/>
        </w:rPr>
      </w:pPr>
      <w:r w:rsidRPr="006C0877">
        <w:rPr>
          <w:rFonts w:ascii="Century Gothic" w:eastAsia="Times New Roman" w:hAnsi="Century Gothic"/>
        </w:rPr>
        <w:t>In FY 2021 Valley Street Townhomes received an award from the U.S. Department of Housing and Urban Development (HUD) under its Rental Assistance Demonstration (RAD) portfolio award to convert public housing units to Section 8 project-based rental assistance contracts.   Valley Street Townhomes is located at 210-290 Valley Street, New Haven.  ECC</w:t>
      </w:r>
      <w:r w:rsidR="6F751288" w:rsidRPr="006C0877">
        <w:rPr>
          <w:rFonts w:ascii="Century Gothic" w:eastAsia="Times New Roman" w:hAnsi="Century Gothic"/>
        </w:rPr>
        <w:t>/HANH</w:t>
      </w:r>
      <w:r w:rsidRPr="006C0877">
        <w:rPr>
          <w:rFonts w:ascii="Century Gothic" w:eastAsia="Times New Roman" w:hAnsi="Century Gothic"/>
        </w:rPr>
        <w:t xml:space="preserve"> </w:t>
      </w:r>
      <w:r w:rsidR="7776A1F5" w:rsidRPr="006C0877">
        <w:rPr>
          <w:rFonts w:ascii="Century Gothic" w:eastAsia="Times New Roman" w:hAnsi="Century Gothic"/>
        </w:rPr>
        <w:t>was approved</w:t>
      </w:r>
      <w:r w:rsidRPr="006C0877">
        <w:rPr>
          <w:rFonts w:ascii="Century Gothic" w:eastAsia="Times New Roman" w:hAnsi="Century Gothic"/>
        </w:rPr>
        <w:t xml:space="preserve"> to demolish and reconstruct this development as part of the conversion to RAD PBVs.  Valley Street contain</w:t>
      </w:r>
      <w:r w:rsidR="002F2CFE" w:rsidRPr="006C0877">
        <w:rPr>
          <w:rFonts w:ascii="Century Gothic" w:eastAsia="Times New Roman" w:hAnsi="Century Gothic"/>
        </w:rPr>
        <w:t>ed</w:t>
      </w:r>
      <w:r w:rsidRPr="006C0877">
        <w:rPr>
          <w:rFonts w:ascii="Century Gothic" w:eastAsia="Times New Roman" w:hAnsi="Century Gothic"/>
        </w:rPr>
        <w:t xml:space="preserve"> 40 units of family housing constructed in a townhouse style and lack</w:t>
      </w:r>
      <w:r w:rsidR="002F2CFE" w:rsidRPr="006C0877">
        <w:rPr>
          <w:rFonts w:ascii="Century Gothic" w:eastAsia="Times New Roman" w:hAnsi="Century Gothic"/>
        </w:rPr>
        <w:t>ed</w:t>
      </w:r>
      <w:r w:rsidRPr="006C0877">
        <w:rPr>
          <w:rFonts w:ascii="Century Gothic" w:eastAsia="Times New Roman" w:hAnsi="Century Gothic"/>
        </w:rPr>
        <w:t xml:space="preserve"> accessible units.  Valley Street</w:t>
      </w:r>
      <w:r w:rsidR="002F2CFE" w:rsidRPr="006C0877">
        <w:rPr>
          <w:rFonts w:ascii="Century Gothic" w:eastAsia="Times New Roman" w:hAnsi="Century Gothic"/>
        </w:rPr>
        <w:t xml:space="preserve"> was</w:t>
      </w:r>
      <w:r w:rsidRPr="006C0877">
        <w:rPr>
          <w:rFonts w:ascii="Century Gothic" w:eastAsia="Times New Roman" w:hAnsi="Century Gothic"/>
        </w:rPr>
        <w:t xml:space="preserve"> plagued by water infiltration and mold due to poor design and construction standards and </w:t>
      </w:r>
      <w:r w:rsidR="00F45AF4" w:rsidRPr="006C0877">
        <w:rPr>
          <w:rFonts w:ascii="Century Gothic" w:eastAsia="Times New Roman" w:hAnsi="Century Gothic"/>
        </w:rPr>
        <w:t xml:space="preserve">had </w:t>
      </w:r>
      <w:r w:rsidRPr="006C0877">
        <w:rPr>
          <w:rFonts w:ascii="Century Gothic" w:eastAsia="Times New Roman" w:hAnsi="Century Gothic"/>
        </w:rPr>
        <w:t xml:space="preserve">been determined to be more costly to rehabilitate than it would be to demolish and reconstruct on site.  </w:t>
      </w:r>
    </w:p>
    <w:p w14:paraId="1C92BA82" w14:textId="77777777" w:rsidR="00064646" w:rsidRPr="006C0877" w:rsidRDefault="00064646" w:rsidP="0E6C54AB">
      <w:pPr>
        <w:spacing w:line="257" w:lineRule="auto"/>
        <w:rPr>
          <w:rFonts w:ascii="Century Gothic" w:eastAsia="Times New Roman" w:hAnsi="Century Gothic"/>
        </w:rPr>
      </w:pPr>
    </w:p>
    <w:p w14:paraId="2D1F03D5" w14:textId="51DDC612" w:rsidR="1B4A8018" w:rsidRPr="006C0877" w:rsidRDefault="40407149" w:rsidP="0E6C54AB">
      <w:pPr>
        <w:spacing w:line="257" w:lineRule="auto"/>
        <w:rPr>
          <w:rFonts w:ascii="Century Gothic" w:eastAsia="Times New Roman" w:hAnsi="Century Gothic"/>
        </w:rPr>
      </w:pPr>
      <w:r w:rsidRPr="006C0877">
        <w:rPr>
          <w:rFonts w:ascii="Century Gothic" w:eastAsia="Times New Roman" w:hAnsi="Century Gothic"/>
        </w:rPr>
        <w:t xml:space="preserve">The proposed demolition and new construction of 40 units (32 RAD LIHTC and 8 unassisted market units) to replace the existing Valley Townhouses </w:t>
      </w:r>
      <w:r w:rsidR="00064646" w:rsidRPr="006C0877">
        <w:rPr>
          <w:rFonts w:ascii="Century Gothic" w:eastAsia="Times New Roman" w:hAnsi="Century Gothic"/>
        </w:rPr>
        <w:t xml:space="preserve">was </w:t>
      </w:r>
      <w:r w:rsidRPr="006C0877">
        <w:rPr>
          <w:rFonts w:ascii="Century Gothic" w:eastAsia="Times New Roman" w:hAnsi="Century Gothic"/>
        </w:rPr>
        <w:t xml:space="preserve">included as part of </w:t>
      </w:r>
      <w:r w:rsidR="29FDFE04" w:rsidRPr="006C0877">
        <w:rPr>
          <w:rFonts w:ascii="Century Gothic" w:eastAsia="Times New Roman" w:hAnsi="Century Gothic"/>
        </w:rPr>
        <w:t>ECC/</w:t>
      </w:r>
      <w:r w:rsidRPr="006C0877">
        <w:rPr>
          <w:rFonts w:ascii="Century Gothic" w:eastAsia="Times New Roman" w:hAnsi="Century Gothic"/>
        </w:rPr>
        <w:t xml:space="preserve">HANH's </w:t>
      </w:r>
      <w:r w:rsidRPr="006C0877">
        <w:rPr>
          <w:rFonts w:ascii="Century Gothic" w:eastAsia="Times New Roman" w:hAnsi="Century Gothic"/>
        </w:rPr>
        <w:lastRenderedPageBreak/>
        <w:t xml:space="preserve">RAD portfolio award. The multi-family property </w:t>
      </w:r>
      <w:r w:rsidR="00DD2BB9" w:rsidRPr="006C0877">
        <w:rPr>
          <w:rFonts w:ascii="Century Gothic" w:eastAsia="Times New Roman" w:hAnsi="Century Gothic"/>
        </w:rPr>
        <w:t>had</w:t>
      </w:r>
      <w:r w:rsidRPr="006C0877">
        <w:rPr>
          <w:rFonts w:ascii="Century Gothic" w:eastAsia="Times New Roman" w:hAnsi="Century Gothic"/>
        </w:rPr>
        <w:t xml:space="preserve"> a total of 39 rental apartments plus one apartment used as a community center on a site of approximately 3.21 acres. Construction of the property was completed in 1974, with capital work in 1995 and 2012.  These more recent improvements </w:t>
      </w:r>
      <w:r w:rsidR="00F92E93" w:rsidRPr="006C0877">
        <w:rPr>
          <w:rFonts w:ascii="Century Gothic" w:eastAsia="Times New Roman" w:hAnsi="Century Gothic"/>
        </w:rPr>
        <w:t xml:space="preserve">had </w:t>
      </w:r>
      <w:r w:rsidRPr="006C0877">
        <w:rPr>
          <w:rFonts w:ascii="Century Gothic" w:eastAsia="Times New Roman" w:hAnsi="Century Gothic"/>
        </w:rPr>
        <w:t xml:space="preserve">not been able to correct the moisture issues which led to a recurring mold problem that </w:t>
      </w:r>
      <w:r w:rsidR="00F92E93" w:rsidRPr="006C0877">
        <w:rPr>
          <w:rFonts w:ascii="Century Gothic" w:eastAsia="Times New Roman" w:hAnsi="Century Gothic"/>
        </w:rPr>
        <w:t xml:space="preserve">would </w:t>
      </w:r>
      <w:r w:rsidRPr="006C0877">
        <w:rPr>
          <w:rFonts w:ascii="Century Gothic" w:eastAsia="Times New Roman" w:hAnsi="Century Gothic"/>
        </w:rPr>
        <w:t>only be exacerbated by climate changes.</w:t>
      </w:r>
    </w:p>
    <w:p w14:paraId="6631ED9D" w14:textId="19C8FC53" w:rsidR="1B4A8018" w:rsidRPr="006C0877" w:rsidRDefault="1B1C1B64" w:rsidP="4566E4F4">
      <w:pPr>
        <w:rPr>
          <w:rFonts w:ascii="Century Gothic" w:eastAsia="Times New Roman" w:hAnsi="Century Gothic"/>
          <w:b/>
          <w:bCs/>
          <w:szCs w:val="22"/>
        </w:rPr>
      </w:pPr>
      <w:r w:rsidRPr="006C0877">
        <w:rPr>
          <w:rFonts w:ascii="Century Gothic" w:eastAsia="Times New Roman" w:hAnsi="Century Gothic"/>
          <w:b/>
          <w:bCs/>
          <w:szCs w:val="22"/>
        </w:rPr>
        <w:t xml:space="preserve"> </w:t>
      </w:r>
    </w:p>
    <w:p w14:paraId="0731E238" w14:textId="60444421" w:rsidR="1B4A8018" w:rsidRPr="006C0877" w:rsidRDefault="24CE4C16" w:rsidP="4B60C82B">
      <w:pPr>
        <w:rPr>
          <w:rFonts w:ascii="Century Gothic" w:eastAsia="Times New Roman" w:hAnsi="Century Gothic"/>
        </w:rPr>
      </w:pPr>
      <w:r w:rsidRPr="3480B329">
        <w:rPr>
          <w:rFonts w:ascii="Century Gothic" w:eastAsia="Times New Roman" w:hAnsi="Century Gothic"/>
        </w:rPr>
        <w:t xml:space="preserve">Valley Street townhomes received 9% LIHTC funding </w:t>
      </w:r>
      <w:r w:rsidR="00F92E93" w:rsidRPr="3480B329">
        <w:rPr>
          <w:rFonts w:ascii="Century Gothic" w:eastAsia="Times New Roman" w:hAnsi="Century Gothic"/>
        </w:rPr>
        <w:t>as well as</w:t>
      </w:r>
      <w:r w:rsidRPr="3480B329">
        <w:rPr>
          <w:rFonts w:ascii="Century Gothic" w:eastAsia="Times New Roman" w:hAnsi="Century Gothic"/>
        </w:rPr>
        <w:t xml:space="preserve"> other funding sources.  </w:t>
      </w:r>
      <w:r w:rsidR="687DB791" w:rsidRPr="3480B329">
        <w:rPr>
          <w:rFonts w:ascii="Century Gothic" w:eastAsia="Times New Roman" w:hAnsi="Century Gothic"/>
        </w:rPr>
        <w:t>RAD conversion was planned for FY202</w:t>
      </w:r>
      <w:r w:rsidR="0103D525" w:rsidRPr="3480B329">
        <w:rPr>
          <w:rFonts w:ascii="Century Gothic" w:eastAsia="Times New Roman" w:hAnsi="Century Gothic"/>
        </w:rPr>
        <w:t>2</w:t>
      </w:r>
      <w:r w:rsidR="687DB791" w:rsidRPr="3480B329">
        <w:rPr>
          <w:rFonts w:ascii="Century Gothic" w:eastAsia="Times New Roman" w:hAnsi="Century Gothic"/>
        </w:rPr>
        <w:t xml:space="preserve">, </w:t>
      </w:r>
      <w:r w:rsidR="0B8E2DC7" w:rsidRPr="3480B329">
        <w:rPr>
          <w:rFonts w:ascii="Century Gothic" w:eastAsia="Times New Roman" w:hAnsi="Century Gothic"/>
        </w:rPr>
        <w:t xml:space="preserve">however, </w:t>
      </w:r>
      <w:r w:rsidR="055AF9AA" w:rsidRPr="3480B329">
        <w:rPr>
          <w:rFonts w:ascii="Century Gothic" w:eastAsia="Times New Roman" w:hAnsi="Century Gothic"/>
        </w:rPr>
        <w:t xml:space="preserve">due to rising interest rates and covid related cost increases, </w:t>
      </w:r>
      <w:r w:rsidRPr="3480B329">
        <w:rPr>
          <w:rFonts w:ascii="Century Gothic" w:eastAsia="Times New Roman" w:hAnsi="Century Gothic"/>
        </w:rPr>
        <w:t>the Valley Street closing occur</w:t>
      </w:r>
      <w:r w:rsidR="44A354DC" w:rsidRPr="3480B329">
        <w:rPr>
          <w:rFonts w:ascii="Century Gothic" w:eastAsia="Times New Roman" w:hAnsi="Century Gothic"/>
        </w:rPr>
        <w:t>red</w:t>
      </w:r>
      <w:r w:rsidRPr="3480B329">
        <w:rPr>
          <w:rFonts w:ascii="Century Gothic" w:eastAsia="Times New Roman" w:hAnsi="Century Gothic"/>
        </w:rPr>
        <w:t xml:space="preserve"> in the first quarter of FY23.  </w:t>
      </w:r>
      <w:r w:rsidR="6D5611A9" w:rsidRPr="3480B329">
        <w:rPr>
          <w:rFonts w:ascii="Century Gothic" w:eastAsia="Times New Roman" w:hAnsi="Century Gothic"/>
        </w:rPr>
        <w:t>Construction proceed</w:t>
      </w:r>
      <w:r w:rsidR="07D74E5C" w:rsidRPr="3480B329">
        <w:rPr>
          <w:rFonts w:ascii="Century Gothic" w:eastAsia="Times New Roman" w:hAnsi="Century Gothic"/>
        </w:rPr>
        <w:t>ed as planned and was completed in June 2024.</w:t>
      </w:r>
      <w:r w:rsidR="6D5611A9" w:rsidRPr="3480B329">
        <w:rPr>
          <w:rFonts w:ascii="Century Gothic" w:eastAsia="Times New Roman" w:hAnsi="Century Gothic"/>
        </w:rPr>
        <w:t xml:space="preserve">  </w:t>
      </w:r>
      <w:r w:rsidRPr="3480B329">
        <w:rPr>
          <w:rFonts w:ascii="Century Gothic" w:eastAsia="Times New Roman" w:hAnsi="Century Gothic"/>
        </w:rPr>
        <w:t xml:space="preserve">All current residents </w:t>
      </w:r>
      <w:r w:rsidR="00D5258A" w:rsidRPr="3480B329">
        <w:rPr>
          <w:rFonts w:ascii="Century Gothic" w:eastAsia="Times New Roman" w:hAnsi="Century Gothic"/>
        </w:rPr>
        <w:t>were</w:t>
      </w:r>
      <w:r w:rsidRPr="3480B329">
        <w:rPr>
          <w:rFonts w:ascii="Century Gothic" w:eastAsia="Times New Roman" w:hAnsi="Century Gothic"/>
        </w:rPr>
        <w:t xml:space="preserve"> </w:t>
      </w:r>
      <w:proofErr w:type="gramStart"/>
      <w:r w:rsidRPr="3480B329">
        <w:rPr>
          <w:rFonts w:ascii="Century Gothic" w:eastAsia="Times New Roman" w:hAnsi="Century Gothic"/>
        </w:rPr>
        <w:t>provided</w:t>
      </w:r>
      <w:proofErr w:type="gramEnd"/>
      <w:r w:rsidRPr="3480B329">
        <w:rPr>
          <w:rFonts w:ascii="Century Gothic" w:eastAsia="Times New Roman" w:hAnsi="Century Gothic"/>
        </w:rPr>
        <w:t xml:space="preserve"> full RAD and URA relocation rights including the right to return to the completed development.</w:t>
      </w:r>
      <w:r w:rsidR="4DD16B52" w:rsidRPr="260DAAFE">
        <w:rPr>
          <w:rFonts w:ascii="Century Gothic" w:eastAsia="Times New Roman" w:hAnsi="Century Gothic"/>
        </w:rPr>
        <w:t xml:space="preserve"> </w:t>
      </w:r>
      <w:r w:rsidR="003E2B70">
        <w:rPr>
          <w:rFonts w:ascii="Century Gothic" w:eastAsia="Times New Roman" w:hAnsi="Century Gothic"/>
        </w:rPr>
        <w:t xml:space="preserve"> </w:t>
      </w:r>
      <w:r w:rsidR="4DD16B52" w:rsidRPr="3F1E85E3">
        <w:rPr>
          <w:rFonts w:ascii="Century Gothic" w:eastAsia="Times New Roman" w:hAnsi="Century Gothic"/>
        </w:rPr>
        <w:t>All units were fully occupied in FY2024.</w:t>
      </w:r>
    </w:p>
    <w:p w14:paraId="1ED8D2CB" w14:textId="46689C6F" w:rsidR="1B4A8018" w:rsidRPr="006C0877" w:rsidRDefault="1B4A8018" w:rsidP="4566E4F4">
      <w:pPr>
        <w:pStyle w:val="NoSpacing"/>
        <w:rPr>
          <w:rFonts w:ascii="Century Gothic" w:eastAsia="Times New Roman" w:hAnsi="Century Gothic" w:cs="Times New Roman"/>
          <w:sz w:val="22"/>
          <w:szCs w:val="22"/>
        </w:rPr>
      </w:pPr>
    </w:p>
    <w:p w14:paraId="3E33F52B" w14:textId="7946CD03" w:rsidR="1B4A8018" w:rsidRPr="006C0877" w:rsidRDefault="48DEEBAE" w:rsidP="69506C91">
      <w:pPr>
        <w:pStyle w:val="NoSpacing"/>
        <w:rPr>
          <w:rFonts w:ascii="Century Gothic" w:eastAsia="Times New Roman" w:hAnsi="Century Gothic" w:cs="Times New Roman"/>
          <w:color w:val="auto"/>
          <w:sz w:val="22"/>
          <w:szCs w:val="22"/>
          <w:u w:val="single"/>
        </w:rPr>
      </w:pPr>
      <w:r w:rsidRPr="006C0877">
        <w:rPr>
          <w:rFonts w:ascii="Century Gothic" w:eastAsia="Times New Roman" w:hAnsi="Century Gothic" w:cs="Times New Roman"/>
          <w:color w:val="auto"/>
          <w:sz w:val="22"/>
          <w:szCs w:val="22"/>
          <w:u w:val="single"/>
        </w:rPr>
        <w:t>34 Level Street</w:t>
      </w:r>
    </w:p>
    <w:p w14:paraId="5E116B79" w14:textId="086F6302" w:rsidR="008E428F" w:rsidRPr="006C0877" w:rsidRDefault="326EE979" w:rsidP="4B60C82B">
      <w:pPr>
        <w:rPr>
          <w:rFonts w:ascii="Century Gothic" w:eastAsia="Times New Roman" w:hAnsi="Century Gothic"/>
          <w:color w:val="000000" w:themeColor="text1"/>
        </w:rPr>
      </w:pPr>
      <w:r w:rsidRPr="006C0877">
        <w:rPr>
          <w:rFonts w:ascii="Century Gothic" w:eastAsia="Times New Roman" w:hAnsi="Century Gothic"/>
        </w:rPr>
        <w:t>ECC</w:t>
      </w:r>
      <w:r w:rsidR="349AF9D7" w:rsidRPr="006C0877">
        <w:rPr>
          <w:rFonts w:ascii="Century Gothic" w:eastAsia="Times New Roman" w:hAnsi="Century Gothic"/>
        </w:rPr>
        <w:t>/HANH</w:t>
      </w:r>
      <w:r w:rsidRPr="006C0877">
        <w:rPr>
          <w:rFonts w:ascii="Century Gothic" w:eastAsia="Times New Roman" w:hAnsi="Century Gothic"/>
        </w:rPr>
        <w:t xml:space="preserve"> purchased 34 Level Street, New Haven, CT.   The property has been </w:t>
      </w:r>
      <w:r w:rsidR="128E058B" w:rsidRPr="006C0877">
        <w:rPr>
          <w:rFonts w:ascii="Century Gothic" w:eastAsia="Times New Roman" w:hAnsi="Century Gothic"/>
        </w:rPr>
        <w:t xml:space="preserve">unoccupied </w:t>
      </w:r>
      <w:r w:rsidRPr="006C0877">
        <w:rPr>
          <w:rFonts w:ascii="Century Gothic" w:eastAsia="Times New Roman" w:hAnsi="Century Gothic"/>
        </w:rPr>
        <w:t xml:space="preserve">since 2010.  The property </w:t>
      </w:r>
      <w:proofErr w:type="gramStart"/>
      <w:r w:rsidRPr="006C0877">
        <w:rPr>
          <w:rFonts w:ascii="Century Gothic" w:eastAsia="Times New Roman" w:hAnsi="Century Gothic"/>
        </w:rPr>
        <w:t>is located in</w:t>
      </w:r>
      <w:proofErr w:type="gramEnd"/>
      <w:r w:rsidRPr="006C0877">
        <w:rPr>
          <w:rFonts w:ascii="Century Gothic" w:eastAsia="Times New Roman" w:hAnsi="Century Gothic"/>
        </w:rPr>
        <w:t xml:space="preserve"> the West Rock neighborhood directly adjacent to Westville Manor.  The redevelopment plan is to demolish the existing </w:t>
      </w:r>
      <w:r w:rsidR="0471DD3C" w:rsidRPr="006C0877">
        <w:rPr>
          <w:rFonts w:ascii="Century Gothic" w:eastAsia="Times New Roman" w:hAnsi="Century Gothic"/>
        </w:rPr>
        <w:t xml:space="preserve">unused commercial </w:t>
      </w:r>
      <w:r w:rsidRPr="006C0877">
        <w:rPr>
          <w:rFonts w:ascii="Century Gothic" w:eastAsia="Times New Roman" w:hAnsi="Century Gothic"/>
        </w:rPr>
        <w:t>building and redevelop the subject property as a 5</w:t>
      </w:r>
      <w:r w:rsidR="2C27EFBD" w:rsidRPr="006C0877">
        <w:rPr>
          <w:rFonts w:ascii="Century Gothic" w:eastAsia="Times New Roman" w:hAnsi="Century Gothic"/>
        </w:rPr>
        <w:t>1</w:t>
      </w:r>
      <w:r w:rsidRPr="006C0877">
        <w:rPr>
          <w:rFonts w:ascii="Century Gothic" w:eastAsia="Times New Roman" w:hAnsi="Century Gothic"/>
        </w:rPr>
        <w:t xml:space="preserve">unit </w:t>
      </w:r>
      <w:r w:rsidR="3B197A72" w:rsidRPr="006C0877">
        <w:rPr>
          <w:rFonts w:ascii="Century Gothic" w:eastAsia="Times New Roman" w:hAnsi="Century Gothic"/>
        </w:rPr>
        <w:t xml:space="preserve">HUD 202 </w:t>
      </w:r>
      <w:r w:rsidRPr="006C0877">
        <w:rPr>
          <w:rFonts w:ascii="Century Gothic" w:eastAsia="Times New Roman" w:hAnsi="Century Gothic"/>
        </w:rPr>
        <w:t xml:space="preserve">development that will </w:t>
      </w:r>
      <w:proofErr w:type="gramStart"/>
      <w:r w:rsidRPr="006C0877">
        <w:rPr>
          <w:rFonts w:ascii="Century Gothic" w:eastAsia="Times New Roman" w:hAnsi="Century Gothic"/>
        </w:rPr>
        <w:t>allow for</w:t>
      </w:r>
      <w:proofErr w:type="gramEnd"/>
      <w:r w:rsidRPr="006C0877">
        <w:rPr>
          <w:rFonts w:ascii="Century Gothic" w:eastAsia="Times New Roman" w:hAnsi="Century Gothic"/>
        </w:rPr>
        <w:t xml:space="preserve"> the elderly to live independently</w:t>
      </w:r>
      <w:r w:rsidR="003832B3" w:rsidRPr="006C0877">
        <w:rPr>
          <w:rFonts w:ascii="Century Gothic" w:eastAsia="Times New Roman" w:hAnsi="Century Gothic"/>
        </w:rPr>
        <w:t>.</w:t>
      </w:r>
      <w:r w:rsidRPr="006C0877">
        <w:rPr>
          <w:rFonts w:ascii="Century Gothic" w:eastAsia="Times New Roman" w:hAnsi="Century Gothic"/>
        </w:rPr>
        <w:t xml:space="preserve"> </w:t>
      </w:r>
      <w:r w:rsidR="4DE1EC5B" w:rsidRPr="006C0877">
        <w:rPr>
          <w:rFonts w:ascii="Century Gothic" w:eastAsia="Times New Roman" w:hAnsi="Century Gothic"/>
          <w:color w:val="000000" w:themeColor="text1"/>
        </w:rPr>
        <w:t>Glendower unsuccessfully applied for 2021 HUD Section 202 Supportive Housing for the Elderly program.  The score under the 2021 round was very competitive and a propos</w:t>
      </w:r>
      <w:r w:rsidR="03ECA035" w:rsidRPr="006C0877">
        <w:rPr>
          <w:rFonts w:ascii="Century Gothic" w:eastAsia="Times New Roman" w:hAnsi="Century Gothic"/>
          <w:color w:val="000000" w:themeColor="text1"/>
        </w:rPr>
        <w:t>a</w:t>
      </w:r>
      <w:r w:rsidR="4DE1EC5B" w:rsidRPr="006C0877">
        <w:rPr>
          <w:rFonts w:ascii="Century Gothic" w:eastAsia="Times New Roman" w:hAnsi="Century Gothic"/>
          <w:color w:val="000000" w:themeColor="text1"/>
        </w:rPr>
        <w:t>l w</w:t>
      </w:r>
      <w:r w:rsidR="590FAFEF" w:rsidRPr="006C0877">
        <w:rPr>
          <w:rFonts w:ascii="Century Gothic" w:eastAsia="Times New Roman" w:hAnsi="Century Gothic"/>
          <w:color w:val="000000" w:themeColor="text1"/>
        </w:rPr>
        <w:t>as</w:t>
      </w:r>
      <w:r w:rsidR="4DE1EC5B" w:rsidRPr="006C0877">
        <w:rPr>
          <w:rFonts w:ascii="Century Gothic" w:eastAsia="Times New Roman" w:hAnsi="Century Gothic"/>
          <w:color w:val="000000" w:themeColor="text1"/>
        </w:rPr>
        <w:t xml:space="preserve"> resubmitted under the 202</w:t>
      </w:r>
      <w:r w:rsidR="2A2DB6CD" w:rsidRPr="006C0877">
        <w:rPr>
          <w:rFonts w:ascii="Century Gothic" w:eastAsia="Times New Roman" w:hAnsi="Century Gothic"/>
          <w:color w:val="000000" w:themeColor="text1"/>
        </w:rPr>
        <w:t>3</w:t>
      </w:r>
      <w:r w:rsidR="4DE1EC5B" w:rsidRPr="006C0877">
        <w:rPr>
          <w:rFonts w:ascii="Century Gothic" w:eastAsia="Times New Roman" w:hAnsi="Century Gothic"/>
          <w:color w:val="000000" w:themeColor="text1"/>
        </w:rPr>
        <w:t xml:space="preserve"> round.   </w:t>
      </w:r>
      <w:r w:rsidR="17254CEC" w:rsidRPr="006C0877">
        <w:rPr>
          <w:rFonts w:ascii="Century Gothic" w:eastAsia="Times New Roman" w:hAnsi="Century Gothic"/>
          <w:color w:val="000000" w:themeColor="text1"/>
        </w:rPr>
        <w:t xml:space="preserve">This application was successfully awarded in September 2023.  </w:t>
      </w:r>
      <w:r w:rsidR="4DE1EC5B" w:rsidRPr="006C0877">
        <w:rPr>
          <w:rFonts w:ascii="Century Gothic" w:eastAsia="Times New Roman" w:hAnsi="Century Gothic"/>
          <w:color w:val="000000" w:themeColor="text1"/>
        </w:rPr>
        <w:t xml:space="preserve">A mixed-finance model will be used with funding sources including Low Income Housing Tax Credits, Section 202 funds, and MTW funding.  </w:t>
      </w:r>
      <w:r w:rsidR="69B40123" w:rsidRPr="006C0877">
        <w:rPr>
          <w:rFonts w:ascii="Century Gothic" w:eastAsia="Times New Roman" w:hAnsi="Century Gothic"/>
          <w:color w:val="000000" w:themeColor="text1"/>
        </w:rPr>
        <w:t xml:space="preserve">The project will convert to a RAD </w:t>
      </w:r>
      <w:r w:rsidR="43BC3899" w:rsidRPr="006C0877">
        <w:rPr>
          <w:rFonts w:ascii="Century Gothic" w:eastAsia="Times New Roman" w:hAnsi="Century Gothic"/>
          <w:color w:val="000000" w:themeColor="text1"/>
        </w:rPr>
        <w:t>PBRA using the HUD 202 PRAC as a basis.</w:t>
      </w:r>
      <w:r w:rsidR="5F9C450F" w:rsidRPr="006C0877">
        <w:rPr>
          <w:rFonts w:ascii="Century Gothic" w:eastAsia="Times New Roman" w:hAnsi="Century Gothic"/>
          <w:color w:val="000000" w:themeColor="text1"/>
        </w:rPr>
        <w:t xml:space="preserve">  Closing is targeted for the 2</w:t>
      </w:r>
      <w:r w:rsidR="5F9C450F" w:rsidRPr="006C0877">
        <w:rPr>
          <w:rFonts w:ascii="Century Gothic" w:eastAsia="Times New Roman" w:hAnsi="Century Gothic"/>
          <w:color w:val="000000" w:themeColor="text1"/>
          <w:vertAlign w:val="superscript"/>
        </w:rPr>
        <w:t>nd</w:t>
      </w:r>
      <w:r w:rsidR="5F9C450F" w:rsidRPr="006C0877">
        <w:rPr>
          <w:rFonts w:ascii="Century Gothic" w:eastAsia="Times New Roman" w:hAnsi="Century Gothic"/>
          <w:color w:val="000000" w:themeColor="text1"/>
        </w:rPr>
        <w:t xml:space="preserve"> quarter of 2025.</w:t>
      </w:r>
    </w:p>
    <w:p w14:paraId="361B672A" w14:textId="77777777" w:rsidR="000A4668" w:rsidRPr="006C0877" w:rsidRDefault="000A4668" w:rsidP="4566E4F4">
      <w:pPr>
        <w:pStyle w:val="NoSpacing"/>
        <w:rPr>
          <w:rStyle w:val="SubtleEmphasis"/>
          <w:rFonts w:ascii="Century Gothic" w:eastAsia="Times New Roman" w:hAnsi="Century Gothic" w:cs="Times New Roman"/>
          <w:color w:val="auto"/>
          <w:sz w:val="22"/>
          <w:szCs w:val="22"/>
        </w:rPr>
      </w:pPr>
    </w:p>
    <w:p w14:paraId="5DC02C25" w14:textId="77777777" w:rsidR="002A38F8" w:rsidRDefault="002A38F8" w:rsidP="4566E4F4">
      <w:pPr>
        <w:pStyle w:val="Heading4"/>
        <w:rPr>
          <w:rStyle w:val="SubtleEmphasis"/>
          <w:rFonts w:ascii="Century Gothic" w:eastAsia="Times New Roman" w:hAnsi="Century Gothic" w:cs="Times New Roman"/>
          <w:color w:val="808080" w:themeColor="background1" w:themeShade="80"/>
          <w:sz w:val="22"/>
        </w:rPr>
      </w:pPr>
      <w:r>
        <w:rPr>
          <w:rStyle w:val="SubtleEmphasis"/>
          <w:rFonts w:ascii="Century Gothic" w:eastAsia="Times New Roman" w:hAnsi="Century Gothic" w:cs="Times New Roman"/>
          <w:color w:val="808080" w:themeColor="background1" w:themeShade="80"/>
          <w:sz w:val="22"/>
        </w:rPr>
        <w:br w:type="page"/>
      </w:r>
    </w:p>
    <w:p w14:paraId="6F61EAA7" w14:textId="77D5BCFD" w:rsidR="00A374BF" w:rsidRPr="006C0877" w:rsidRDefault="233EE849" w:rsidP="4566E4F4">
      <w:pPr>
        <w:pStyle w:val="Heading4"/>
        <w:rPr>
          <w:rStyle w:val="SubtleEmphasis"/>
          <w:rFonts w:ascii="Century Gothic" w:eastAsia="Times New Roman" w:hAnsi="Century Gothic" w:cs="Times New Roman"/>
          <w:color w:val="808080" w:themeColor="background1" w:themeShade="80"/>
          <w:sz w:val="22"/>
        </w:rPr>
      </w:pPr>
      <w:r w:rsidRPr="006C0877">
        <w:rPr>
          <w:rStyle w:val="SubtleEmphasis"/>
          <w:rFonts w:ascii="Century Gothic" w:eastAsia="Times New Roman" w:hAnsi="Century Gothic" w:cs="Times New Roman"/>
          <w:color w:val="808080" w:themeColor="background1" w:themeShade="80"/>
          <w:sz w:val="22"/>
        </w:rPr>
        <w:lastRenderedPageBreak/>
        <w:t>Outcomes</w:t>
      </w:r>
    </w:p>
    <w:p w14:paraId="6F79D0DC" w14:textId="0A8363EA" w:rsidR="005844A4" w:rsidRPr="003E2B70" w:rsidRDefault="00E12275" w:rsidP="4566E4F4">
      <w:pPr>
        <w:rPr>
          <w:rFonts w:ascii="Century Gothic" w:eastAsia="Times New Roman" w:hAnsi="Century Gothic"/>
          <w:b/>
          <w:bCs/>
          <w:iCs/>
          <w:szCs w:val="22"/>
        </w:rPr>
      </w:pPr>
      <w:r>
        <w:rPr>
          <w:rStyle w:val="IntenseEmphasis"/>
          <w:rFonts w:ascii="Century Gothic" w:eastAsia="Times New Roman" w:hAnsi="Century Gothic"/>
          <w:color w:val="auto"/>
          <w:sz w:val="22"/>
          <w:szCs w:val="22"/>
        </w:rPr>
        <w:t>Internal</w:t>
      </w:r>
      <w:r w:rsidR="233EE849" w:rsidRPr="006C0877">
        <w:rPr>
          <w:rStyle w:val="IntenseEmphasis"/>
          <w:rFonts w:ascii="Century Gothic" w:eastAsia="Times New Roman" w:hAnsi="Century Gothic"/>
          <w:color w:val="auto"/>
          <w:sz w:val="22"/>
          <w:szCs w:val="22"/>
        </w:rPr>
        <w:t xml:space="preserve"> Metrics</w:t>
      </w:r>
    </w:p>
    <w:p w14:paraId="0F3ADF93" w14:textId="69A8BDB2" w:rsidR="00253357" w:rsidRPr="00266C89" w:rsidRDefault="00253357" w:rsidP="00253357">
      <w:pPr>
        <w:pStyle w:val="CommentText"/>
        <w:rPr>
          <w:rFonts w:ascii="Century Gothic" w:hAnsi="Century Gothic"/>
          <w:i/>
          <w:sz w:val="18"/>
          <w:szCs w:val="18"/>
        </w:rPr>
      </w:pPr>
      <w:r w:rsidRPr="00266C89">
        <w:rPr>
          <w:rFonts w:ascii="Century Gothic" w:hAnsi="Century Gothic"/>
          <w:i/>
          <w:sz w:val="18"/>
          <w:szCs w:val="18"/>
        </w:rPr>
        <w:t xml:space="preserve">* </w:t>
      </w:r>
      <w:r w:rsidR="00BE4471" w:rsidRPr="00266C89">
        <w:rPr>
          <w:rFonts w:ascii="Century Gothic" w:hAnsi="Century Gothic"/>
          <w:i/>
          <w:sz w:val="18"/>
          <w:szCs w:val="18"/>
        </w:rPr>
        <w:t>Per FY19 Plan, HC#3 will no longer</w:t>
      </w:r>
      <w:r w:rsidRPr="00266C89">
        <w:rPr>
          <w:rFonts w:ascii="Century Gothic" w:hAnsi="Century Gothic"/>
          <w:i/>
          <w:sz w:val="18"/>
          <w:szCs w:val="18"/>
        </w:rPr>
        <w:t xml:space="preserve"> be </w:t>
      </w:r>
      <w:r w:rsidR="00BE4471" w:rsidRPr="00266C89">
        <w:rPr>
          <w:rFonts w:ascii="Century Gothic" w:hAnsi="Century Gothic"/>
          <w:i/>
          <w:sz w:val="18"/>
          <w:szCs w:val="18"/>
        </w:rPr>
        <w:t>reported on under this initiative</w:t>
      </w:r>
      <w:r w:rsidRPr="00266C89">
        <w:rPr>
          <w:rFonts w:ascii="Century Gothic" w:hAnsi="Century Gothic"/>
          <w:i/>
          <w:sz w:val="18"/>
          <w:szCs w:val="18"/>
        </w:rPr>
        <w:t xml:space="preserve"> beginning </w:t>
      </w:r>
      <w:r w:rsidR="001D6E82" w:rsidRPr="00266C89">
        <w:rPr>
          <w:rFonts w:ascii="Century Gothic" w:hAnsi="Century Gothic"/>
          <w:i/>
          <w:sz w:val="18"/>
          <w:szCs w:val="18"/>
        </w:rPr>
        <w:t>FY19</w:t>
      </w:r>
      <w:r w:rsidR="00BE4471" w:rsidRPr="00266C89">
        <w:rPr>
          <w:rFonts w:ascii="Century Gothic" w:hAnsi="Century Gothic"/>
          <w:i/>
          <w:sz w:val="18"/>
          <w:szCs w:val="18"/>
        </w:rPr>
        <w:t>.</w:t>
      </w:r>
      <w:r w:rsidRPr="00266C89">
        <w:rPr>
          <w:rFonts w:ascii="Century Gothic" w:hAnsi="Century Gothic"/>
          <w:i/>
          <w:sz w:val="18"/>
          <w:szCs w:val="18"/>
        </w:rPr>
        <w:t xml:space="preserve"> </w:t>
      </w:r>
    </w:p>
    <w:tbl>
      <w:tblPr>
        <w:tblStyle w:val="TableGrid1"/>
        <w:tblpPr w:leftFromText="180" w:rightFromText="180" w:vertAnchor="text" w:horzAnchor="margin" w:tblpY="-70"/>
        <w:tblW w:w="4881" w:type="pct"/>
        <w:tblLook w:val="04A0" w:firstRow="1" w:lastRow="0" w:firstColumn="1" w:lastColumn="0" w:noHBand="0" w:noVBand="1"/>
      </w:tblPr>
      <w:tblGrid>
        <w:gridCol w:w="2608"/>
        <w:gridCol w:w="1829"/>
        <w:gridCol w:w="1573"/>
        <w:gridCol w:w="2029"/>
        <w:gridCol w:w="1661"/>
      </w:tblGrid>
      <w:tr w:rsidR="003E2B70" w:rsidRPr="006C0877" w14:paraId="0A3115FA" w14:textId="77777777" w:rsidTr="002A35F2">
        <w:trPr>
          <w:trHeight w:val="353"/>
        </w:trPr>
        <w:tc>
          <w:tcPr>
            <w:tcW w:w="5000" w:type="pct"/>
            <w:gridSpan w:val="5"/>
            <w:tcBorders>
              <w:top w:val="nil"/>
              <w:left w:val="nil"/>
              <w:bottom w:val="single" w:sz="24" w:space="0" w:color="B5333C" w:themeColor="accent2"/>
              <w:right w:val="nil"/>
            </w:tcBorders>
            <w:shd w:val="clear" w:color="auto" w:fill="808080" w:themeFill="background1" w:themeFillShade="80"/>
          </w:tcPr>
          <w:p w14:paraId="78B9C7C0" w14:textId="77777777" w:rsidR="003E2B70" w:rsidRPr="006C0877" w:rsidRDefault="003E2B70" w:rsidP="002A35F2">
            <w:pPr>
              <w:jc w:val="center"/>
              <w:rPr>
                <w:rFonts w:ascii="Century Gothic" w:hAnsi="Century Gothic"/>
                <w:b/>
                <w:bCs/>
                <w:i/>
                <w:iCs/>
                <w:szCs w:val="22"/>
              </w:rPr>
            </w:pPr>
            <w:r w:rsidRPr="006C0877">
              <w:rPr>
                <w:rFonts w:ascii="Century Gothic" w:hAnsi="Century Gothic"/>
                <w:b/>
                <w:bCs/>
                <w:i/>
                <w:iCs/>
                <w:szCs w:val="22"/>
              </w:rPr>
              <w:t>HC #1: Additional Units of Housing Made Available</w:t>
            </w:r>
          </w:p>
        </w:tc>
      </w:tr>
      <w:tr w:rsidR="003E2B70" w:rsidRPr="006C0877" w14:paraId="0E62CBDA" w14:textId="77777777" w:rsidTr="002A35F2">
        <w:trPr>
          <w:trHeight w:val="591"/>
        </w:trPr>
        <w:tc>
          <w:tcPr>
            <w:tcW w:w="1344" w:type="pct"/>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824C9CD" w14:textId="77777777" w:rsidR="003E2B70" w:rsidRPr="006C0877" w:rsidRDefault="003E2B70" w:rsidP="002A35F2">
            <w:pPr>
              <w:jc w:val="center"/>
              <w:rPr>
                <w:rFonts w:ascii="Century Gothic" w:hAnsi="Century Gothic"/>
                <w:b/>
                <w:bCs/>
                <w:szCs w:val="22"/>
              </w:rPr>
            </w:pPr>
            <w:r w:rsidRPr="006C0877">
              <w:rPr>
                <w:rFonts w:ascii="Century Gothic" w:hAnsi="Century Gothic"/>
                <w:b/>
                <w:bCs/>
                <w:szCs w:val="22"/>
              </w:rPr>
              <w:t>Unit of Measurement</w:t>
            </w:r>
          </w:p>
        </w:tc>
        <w:tc>
          <w:tcPr>
            <w:tcW w:w="943" w:type="pct"/>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565E76DE" w14:textId="77777777" w:rsidR="003E2B70" w:rsidRPr="006C0877" w:rsidRDefault="003E2B70" w:rsidP="002A35F2">
            <w:pPr>
              <w:jc w:val="center"/>
              <w:rPr>
                <w:rFonts w:ascii="Century Gothic" w:hAnsi="Century Gothic"/>
                <w:b/>
                <w:bCs/>
                <w:szCs w:val="22"/>
              </w:rPr>
            </w:pPr>
            <w:r w:rsidRPr="006C0877">
              <w:rPr>
                <w:rFonts w:ascii="Century Gothic" w:hAnsi="Century Gothic"/>
                <w:b/>
                <w:bCs/>
                <w:szCs w:val="22"/>
              </w:rPr>
              <w:t>Baseline</w:t>
            </w:r>
          </w:p>
        </w:tc>
        <w:tc>
          <w:tcPr>
            <w:tcW w:w="811" w:type="pct"/>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010301BD" w14:textId="77777777" w:rsidR="003E2B70" w:rsidRPr="006C0877" w:rsidRDefault="003E2B70" w:rsidP="002A35F2">
            <w:pPr>
              <w:jc w:val="center"/>
              <w:rPr>
                <w:rFonts w:ascii="Century Gothic" w:hAnsi="Century Gothic"/>
                <w:b/>
                <w:bCs/>
                <w:szCs w:val="22"/>
              </w:rPr>
            </w:pPr>
            <w:r w:rsidRPr="006C0877">
              <w:rPr>
                <w:rFonts w:ascii="Century Gothic" w:hAnsi="Century Gothic"/>
                <w:b/>
                <w:bCs/>
                <w:szCs w:val="22"/>
              </w:rPr>
              <w:t>Benchmark</w:t>
            </w:r>
          </w:p>
        </w:tc>
        <w:tc>
          <w:tcPr>
            <w:tcW w:w="1046" w:type="pct"/>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6B665007" w14:textId="77777777" w:rsidR="003E2B70" w:rsidRPr="006C0877" w:rsidRDefault="003E2B70" w:rsidP="002A35F2">
            <w:pPr>
              <w:jc w:val="center"/>
              <w:rPr>
                <w:rFonts w:ascii="Century Gothic" w:hAnsi="Century Gothic"/>
                <w:b/>
                <w:bCs/>
              </w:rPr>
            </w:pPr>
            <w:r w:rsidRPr="006C0877">
              <w:rPr>
                <w:rFonts w:ascii="Century Gothic" w:hAnsi="Century Gothic"/>
                <w:b/>
                <w:bCs/>
              </w:rPr>
              <w:t>Outcome</w:t>
            </w:r>
          </w:p>
        </w:tc>
        <w:tc>
          <w:tcPr>
            <w:tcW w:w="856" w:type="pct"/>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4F19085E" w14:textId="77777777" w:rsidR="003E2B70" w:rsidRPr="006C0877" w:rsidRDefault="003E2B70" w:rsidP="002A35F2">
            <w:pPr>
              <w:jc w:val="center"/>
              <w:rPr>
                <w:rFonts w:ascii="Century Gothic" w:hAnsi="Century Gothic"/>
                <w:b/>
                <w:bCs/>
                <w:szCs w:val="22"/>
              </w:rPr>
            </w:pPr>
            <w:r w:rsidRPr="006C0877">
              <w:rPr>
                <w:rFonts w:ascii="Century Gothic" w:hAnsi="Century Gothic"/>
                <w:b/>
                <w:bCs/>
                <w:szCs w:val="22"/>
              </w:rPr>
              <w:t>Benchmark Achieved?</w:t>
            </w:r>
          </w:p>
        </w:tc>
      </w:tr>
      <w:tr w:rsidR="003E2B70" w:rsidRPr="006C0877" w14:paraId="7803EA31" w14:textId="77777777" w:rsidTr="002A35F2">
        <w:trPr>
          <w:trHeight w:val="522"/>
        </w:trPr>
        <w:tc>
          <w:tcPr>
            <w:tcW w:w="1344"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7F332B87" w14:textId="77777777" w:rsidR="003E2B70" w:rsidRPr="006C0877" w:rsidRDefault="003E2B70" w:rsidP="002A35F2">
            <w:pPr>
              <w:rPr>
                <w:rFonts w:ascii="Century Gothic" w:hAnsi="Century Gothic"/>
                <w:szCs w:val="22"/>
              </w:rPr>
            </w:pPr>
            <w:r w:rsidRPr="006C0877">
              <w:rPr>
                <w:rFonts w:ascii="Century Gothic" w:hAnsi="Century Gothic"/>
                <w:szCs w:val="22"/>
              </w:rPr>
              <w:t>Number of new housing units made available for households at or below 80% AMI because of this activity (increase)</w:t>
            </w:r>
          </w:p>
        </w:tc>
        <w:tc>
          <w:tcPr>
            <w:tcW w:w="94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919E93B" w14:textId="77777777" w:rsidR="003E2B70" w:rsidRPr="006C0877" w:rsidRDefault="003E2B70" w:rsidP="002A35F2">
            <w:pPr>
              <w:rPr>
                <w:rFonts w:ascii="Century Gothic" w:hAnsi="Century Gothic"/>
                <w:szCs w:val="22"/>
              </w:rPr>
            </w:pPr>
            <w:r w:rsidRPr="006C0877">
              <w:rPr>
                <w:rFonts w:ascii="Century Gothic" w:hAnsi="Century Gothic"/>
                <w:szCs w:val="22"/>
              </w:rPr>
              <w:t>150 units</w:t>
            </w:r>
          </w:p>
        </w:tc>
        <w:tc>
          <w:tcPr>
            <w:tcW w:w="8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2155AC5" w14:textId="77777777" w:rsidR="003E2B70" w:rsidRPr="006C0877" w:rsidRDefault="003E2B70" w:rsidP="002A35F2">
            <w:pPr>
              <w:rPr>
                <w:rFonts w:ascii="Century Gothic" w:hAnsi="Century Gothic"/>
              </w:rPr>
            </w:pPr>
            <w:r w:rsidRPr="006C0877">
              <w:rPr>
                <w:rFonts w:ascii="Century Gothic" w:hAnsi="Century Gothic"/>
              </w:rPr>
              <w:t>201units</w:t>
            </w:r>
          </w:p>
        </w:tc>
        <w:tc>
          <w:tcPr>
            <w:tcW w:w="10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480558" w14:textId="77777777" w:rsidR="003E2B70" w:rsidRDefault="003E2B70" w:rsidP="002A35F2">
            <w:pPr>
              <w:rPr>
                <w:rFonts w:ascii="Century Gothic" w:hAnsi="Century Gothic"/>
              </w:rPr>
            </w:pPr>
            <w:r w:rsidRPr="009E36E1">
              <w:rPr>
                <w:rFonts w:ascii="Century Gothic" w:hAnsi="Century Gothic"/>
              </w:rPr>
              <w:t xml:space="preserve">2024: </w:t>
            </w:r>
            <w:r>
              <w:rPr>
                <w:rFonts w:ascii="Century Gothic" w:hAnsi="Century Gothic"/>
              </w:rPr>
              <w:t>236 (Valley Townhouses and McConaughy Terrace</w:t>
            </w:r>
          </w:p>
          <w:p w14:paraId="6E01C946" w14:textId="77777777" w:rsidR="003E2B70" w:rsidRPr="006C0877" w:rsidRDefault="003E2B70" w:rsidP="002A35F2">
            <w:pPr>
              <w:rPr>
                <w:rFonts w:ascii="Century Gothic" w:hAnsi="Century Gothic"/>
              </w:rPr>
            </w:pPr>
          </w:p>
          <w:p w14:paraId="55936722" w14:textId="77777777" w:rsidR="003E2B70" w:rsidRPr="006C0877" w:rsidRDefault="003E2B70" w:rsidP="002A35F2">
            <w:pPr>
              <w:rPr>
                <w:rFonts w:ascii="Century Gothic" w:hAnsi="Century Gothic"/>
              </w:rPr>
            </w:pPr>
            <w:r w:rsidRPr="006C0877">
              <w:rPr>
                <w:rFonts w:ascii="Century Gothic" w:hAnsi="Century Gothic"/>
              </w:rPr>
              <w:t>2023: 78</w:t>
            </w:r>
          </w:p>
        </w:tc>
        <w:tc>
          <w:tcPr>
            <w:tcW w:w="856"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12E861FD" w14:textId="4035B090" w:rsidR="003E2B70" w:rsidRPr="003E2B70" w:rsidRDefault="003E2B70" w:rsidP="002A35F2">
            <w:pPr>
              <w:rPr>
                <w:rFonts w:ascii="Century Gothic" w:hAnsi="Century Gothic"/>
              </w:rPr>
            </w:pPr>
            <w:r w:rsidRPr="003E2B70">
              <w:rPr>
                <w:rFonts w:ascii="Century Gothic" w:hAnsi="Century Gothic"/>
              </w:rPr>
              <w:t>Yes</w:t>
            </w:r>
          </w:p>
        </w:tc>
      </w:tr>
      <w:tr w:rsidR="003E2B70" w:rsidRPr="006C0877" w14:paraId="2BFC629C" w14:textId="77777777" w:rsidTr="002A35F2">
        <w:trPr>
          <w:trHeight w:val="389"/>
        </w:trPr>
        <w:tc>
          <w:tcPr>
            <w:tcW w:w="5000" w:type="pct"/>
            <w:gridSpan w:val="5"/>
            <w:tcBorders>
              <w:top w:val="single" w:sz="4" w:space="0" w:color="D9D9D9" w:themeColor="background1" w:themeShade="D9"/>
              <w:left w:val="nil"/>
              <w:bottom w:val="single" w:sz="4" w:space="0" w:color="D9D9D9" w:themeColor="background1" w:themeShade="D9"/>
              <w:right w:val="nil"/>
            </w:tcBorders>
            <w:shd w:val="clear" w:color="auto" w:fill="808080" w:themeFill="background1" w:themeFillShade="80"/>
          </w:tcPr>
          <w:p w14:paraId="493C5E59" w14:textId="77777777" w:rsidR="003E2B70" w:rsidRPr="006C0877" w:rsidRDefault="003E2B70" w:rsidP="002A35F2">
            <w:pPr>
              <w:jc w:val="center"/>
              <w:rPr>
                <w:rFonts w:ascii="Century Gothic" w:hAnsi="Century Gothic"/>
                <w:b/>
                <w:bCs/>
                <w:szCs w:val="22"/>
              </w:rPr>
            </w:pPr>
            <w:r w:rsidRPr="006C0877">
              <w:rPr>
                <w:rFonts w:ascii="Century Gothic" w:hAnsi="Century Gothic"/>
                <w:b/>
                <w:bCs/>
                <w:szCs w:val="22"/>
              </w:rPr>
              <w:t>HC #2: Units of Housing Preserved *</w:t>
            </w:r>
          </w:p>
        </w:tc>
      </w:tr>
      <w:tr w:rsidR="003E2B70" w:rsidRPr="006C0877" w14:paraId="21CBCC2F" w14:textId="77777777" w:rsidTr="002A35F2">
        <w:trPr>
          <w:trHeight w:val="522"/>
        </w:trPr>
        <w:tc>
          <w:tcPr>
            <w:tcW w:w="1344"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C5FD231" w14:textId="77777777" w:rsidR="003E2B70" w:rsidRPr="006C0877" w:rsidRDefault="003E2B70" w:rsidP="002A35F2">
            <w:pPr>
              <w:rPr>
                <w:rFonts w:ascii="Century Gothic" w:hAnsi="Century Gothic"/>
                <w:szCs w:val="22"/>
              </w:rPr>
            </w:pPr>
            <w:r w:rsidRPr="006C0877">
              <w:rPr>
                <w:rFonts w:ascii="Century Gothic" w:hAnsi="Century Gothic"/>
                <w:szCs w:val="22"/>
              </w:rPr>
              <w:t xml:space="preserve">Number of new housing units </w:t>
            </w:r>
            <w:proofErr w:type="gramStart"/>
            <w:r w:rsidRPr="006C0877">
              <w:rPr>
                <w:rFonts w:ascii="Century Gothic" w:hAnsi="Century Gothic"/>
                <w:szCs w:val="22"/>
              </w:rPr>
              <w:t>preserved</w:t>
            </w:r>
            <w:proofErr w:type="gramEnd"/>
            <w:r w:rsidRPr="006C0877">
              <w:rPr>
                <w:rFonts w:ascii="Century Gothic" w:hAnsi="Century Gothic"/>
                <w:szCs w:val="22"/>
              </w:rPr>
              <w:t xml:space="preserve"> for households at or below 80% AMI that would otherwise not be available</w:t>
            </w:r>
          </w:p>
        </w:tc>
        <w:tc>
          <w:tcPr>
            <w:tcW w:w="94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30F5B45" w14:textId="77777777" w:rsidR="003E2B70" w:rsidRPr="006C0877" w:rsidRDefault="003E2B70" w:rsidP="002A35F2">
            <w:pPr>
              <w:rPr>
                <w:rFonts w:ascii="Century Gothic" w:hAnsi="Century Gothic"/>
                <w:b/>
                <w:bCs/>
                <w:szCs w:val="22"/>
              </w:rPr>
            </w:pPr>
            <w:r w:rsidRPr="006C0877">
              <w:rPr>
                <w:rFonts w:ascii="Century Gothic" w:hAnsi="Century Gothic"/>
                <w:szCs w:val="22"/>
              </w:rPr>
              <w:t>1,970 (frozen 2001 base)</w:t>
            </w:r>
          </w:p>
        </w:tc>
        <w:tc>
          <w:tcPr>
            <w:tcW w:w="8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2D4C1F" w14:textId="77777777" w:rsidR="003E2B70" w:rsidRPr="006C0877" w:rsidRDefault="003E2B70" w:rsidP="002A35F2">
            <w:pPr>
              <w:rPr>
                <w:rFonts w:ascii="Century Gothic" w:hAnsi="Century Gothic"/>
              </w:rPr>
            </w:pPr>
            <w:r w:rsidRPr="006C0877">
              <w:rPr>
                <w:rFonts w:ascii="Century Gothic" w:hAnsi="Century Gothic"/>
              </w:rPr>
              <w:t xml:space="preserve"> 2,788</w:t>
            </w:r>
          </w:p>
        </w:tc>
        <w:tc>
          <w:tcPr>
            <w:tcW w:w="10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CE03DF" w14:textId="3E98FB51" w:rsidR="003E2B70" w:rsidRPr="006C0877" w:rsidRDefault="003E2B70" w:rsidP="002A35F2">
            <w:pPr>
              <w:rPr>
                <w:rFonts w:ascii="Century Gothic" w:hAnsi="Century Gothic"/>
                <w:b/>
                <w:bCs/>
                <w:szCs w:val="22"/>
              </w:rPr>
            </w:pPr>
            <w:r>
              <w:rPr>
                <w:rFonts w:ascii="Century Gothic" w:hAnsi="Century Gothic"/>
                <w:szCs w:val="22"/>
              </w:rPr>
              <w:t>2024: 2817</w:t>
            </w:r>
          </w:p>
        </w:tc>
        <w:tc>
          <w:tcPr>
            <w:tcW w:w="856"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15776E36" w14:textId="77777777" w:rsidR="003E2B70" w:rsidRPr="006C0877" w:rsidRDefault="003E2B70" w:rsidP="002A35F2">
            <w:pPr>
              <w:rPr>
                <w:rFonts w:ascii="Century Gothic" w:hAnsi="Century Gothic"/>
              </w:rPr>
            </w:pPr>
            <w:r w:rsidRPr="006C0877">
              <w:rPr>
                <w:rFonts w:ascii="Century Gothic" w:hAnsi="Century Gothic"/>
              </w:rPr>
              <w:t>Yes</w:t>
            </w:r>
          </w:p>
        </w:tc>
      </w:tr>
      <w:tr w:rsidR="003E2B70" w:rsidRPr="006C0877" w14:paraId="15FB188A" w14:textId="77777777" w:rsidTr="002A35F2">
        <w:trPr>
          <w:trHeight w:val="416"/>
        </w:trPr>
        <w:tc>
          <w:tcPr>
            <w:tcW w:w="5000" w:type="pct"/>
            <w:gridSpan w:val="5"/>
            <w:tcBorders>
              <w:top w:val="single" w:sz="4" w:space="0" w:color="D9D9D9" w:themeColor="background1" w:themeShade="D9"/>
              <w:left w:val="nil"/>
              <w:bottom w:val="single" w:sz="4" w:space="0" w:color="D9D9D9" w:themeColor="background1" w:themeShade="D9"/>
              <w:right w:val="nil"/>
            </w:tcBorders>
            <w:shd w:val="clear" w:color="auto" w:fill="808080" w:themeFill="background1" w:themeFillShade="80"/>
          </w:tcPr>
          <w:p w14:paraId="2264F441" w14:textId="77777777" w:rsidR="003E2B70" w:rsidRPr="006C0877" w:rsidRDefault="003E2B70" w:rsidP="002A35F2">
            <w:pPr>
              <w:jc w:val="center"/>
              <w:rPr>
                <w:rFonts w:ascii="Century Gothic" w:hAnsi="Century Gothic"/>
                <w:b/>
                <w:bCs/>
                <w:szCs w:val="22"/>
              </w:rPr>
            </w:pPr>
          </w:p>
        </w:tc>
      </w:tr>
      <w:tr w:rsidR="003E2B70" w:rsidRPr="006C0877" w14:paraId="15B80240" w14:textId="77777777" w:rsidTr="002A35F2">
        <w:trPr>
          <w:trHeight w:val="522"/>
        </w:trPr>
        <w:tc>
          <w:tcPr>
            <w:tcW w:w="1344"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CE91F14" w14:textId="77777777" w:rsidR="003E2B70" w:rsidRPr="006C0877" w:rsidRDefault="003E2B70" w:rsidP="002A35F2">
            <w:pPr>
              <w:rPr>
                <w:rFonts w:ascii="Century Gothic" w:hAnsi="Century Gothic"/>
                <w:szCs w:val="22"/>
              </w:rPr>
            </w:pPr>
          </w:p>
        </w:tc>
        <w:tc>
          <w:tcPr>
            <w:tcW w:w="94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5A1DE6" w14:textId="77777777" w:rsidR="003E2B70" w:rsidRPr="006C0877" w:rsidRDefault="003E2B70" w:rsidP="002A35F2">
            <w:pPr>
              <w:rPr>
                <w:rFonts w:ascii="Century Gothic" w:hAnsi="Century Gothic"/>
                <w:szCs w:val="22"/>
              </w:rPr>
            </w:pPr>
          </w:p>
        </w:tc>
        <w:tc>
          <w:tcPr>
            <w:tcW w:w="8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3A0660" w14:textId="77777777" w:rsidR="003E2B70" w:rsidRPr="006C0877" w:rsidRDefault="003E2B70" w:rsidP="002A35F2">
            <w:pPr>
              <w:rPr>
                <w:rFonts w:ascii="Century Gothic" w:hAnsi="Century Gothic"/>
                <w:szCs w:val="22"/>
              </w:rPr>
            </w:pPr>
          </w:p>
        </w:tc>
        <w:tc>
          <w:tcPr>
            <w:tcW w:w="10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137A9A" w14:textId="77777777" w:rsidR="003E2B70" w:rsidRPr="006C0877" w:rsidRDefault="003E2B70" w:rsidP="002A35F2">
            <w:pPr>
              <w:rPr>
                <w:rFonts w:ascii="Century Gothic" w:hAnsi="Century Gothic"/>
                <w:szCs w:val="22"/>
              </w:rPr>
            </w:pPr>
          </w:p>
        </w:tc>
        <w:tc>
          <w:tcPr>
            <w:tcW w:w="856"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95324CF" w14:textId="77777777" w:rsidR="003E2B70" w:rsidRPr="006C0877" w:rsidRDefault="003E2B70" w:rsidP="002A35F2">
            <w:pPr>
              <w:rPr>
                <w:rFonts w:ascii="Century Gothic" w:hAnsi="Century Gothic"/>
                <w:szCs w:val="22"/>
              </w:rPr>
            </w:pPr>
          </w:p>
        </w:tc>
      </w:tr>
    </w:tbl>
    <w:p w14:paraId="45B073DA" w14:textId="2C187544" w:rsidR="6CFD8792" w:rsidRPr="006C0877" w:rsidRDefault="00E64FFF" w:rsidP="6B711D13">
      <w:pPr>
        <w:rPr>
          <w:rStyle w:val="SubtleEmphasis"/>
          <w:rFonts w:ascii="Century Gothic" w:hAnsi="Century Gothic"/>
          <w:color w:val="808080" w:themeColor="background1" w:themeShade="80"/>
          <w:sz w:val="22"/>
          <w:szCs w:val="22"/>
        </w:rPr>
      </w:pPr>
      <w:r w:rsidRPr="006C0877">
        <w:rPr>
          <w:rFonts w:ascii="Century Gothic" w:hAnsi="Century Gothic"/>
        </w:rPr>
        <w:br/>
      </w:r>
      <w:r w:rsidR="6CFD8792" w:rsidRPr="006C0877">
        <w:rPr>
          <w:rStyle w:val="SubtleEmphasis"/>
          <w:rFonts w:ascii="Century Gothic" w:hAnsi="Century Gothic"/>
          <w:color w:val="808080" w:themeColor="background1" w:themeShade="80"/>
          <w:sz w:val="22"/>
          <w:szCs w:val="22"/>
        </w:rPr>
        <w:t>Actual Non-Significant Changes</w:t>
      </w:r>
    </w:p>
    <w:p w14:paraId="774CD9E1" w14:textId="52664643" w:rsidR="332E49E3" w:rsidRPr="006C0877" w:rsidRDefault="312EB2CC">
      <w:pPr>
        <w:rPr>
          <w:rFonts w:ascii="Century Gothic" w:hAnsi="Century Gothic"/>
          <w:szCs w:val="22"/>
        </w:rPr>
      </w:pPr>
      <w:r w:rsidRPr="006C0877">
        <w:rPr>
          <w:rFonts w:ascii="Century Gothic" w:hAnsi="Century Gothic"/>
          <w:szCs w:val="22"/>
        </w:rPr>
        <w:t>None</w:t>
      </w:r>
    </w:p>
    <w:p w14:paraId="37295BD3" w14:textId="77777777" w:rsidR="332E49E3" w:rsidRPr="006C0877" w:rsidRDefault="332E49E3">
      <w:pPr>
        <w:rPr>
          <w:rFonts w:ascii="Century Gothic" w:hAnsi="Century Gothic"/>
        </w:rPr>
      </w:pPr>
    </w:p>
    <w:p w14:paraId="5F2DC1EF" w14:textId="1B93AB22" w:rsidR="6CFD8792" w:rsidRPr="006C0877" w:rsidRDefault="6CFD8792" w:rsidP="332E49E3">
      <w:pPr>
        <w:rPr>
          <w:rStyle w:val="SubtleEmphasis"/>
          <w:rFonts w:ascii="Century Gothic" w:eastAsiaTheme="majorEastAsia" w:hAnsi="Century Gothic"/>
          <w:b/>
          <w:bCs/>
          <w:color w:val="808080" w:themeColor="background1" w:themeShade="80"/>
          <w:sz w:val="22"/>
          <w:szCs w:val="22"/>
        </w:rPr>
      </w:pPr>
      <w:r w:rsidRPr="006C0877">
        <w:rPr>
          <w:rStyle w:val="SubtleEmphasis"/>
          <w:rFonts w:ascii="Century Gothic" w:eastAsiaTheme="majorEastAsia" w:hAnsi="Century Gothic"/>
          <w:b/>
          <w:bCs/>
          <w:color w:val="808080" w:themeColor="background1" w:themeShade="80"/>
          <w:sz w:val="22"/>
          <w:szCs w:val="22"/>
        </w:rPr>
        <w:t>Actual Significant Changes</w:t>
      </w:r>
    </w:p>
    <w:p w14:paraId="58A40726" w14:textId="4E03CF90" w:rsidR="332E49E3" w:rsidRPr="006C0877" w:rsidRDefault="05A2B3F8">
      <w:pPr>
        <w:rPr>
          <w:rFonts w:ascii="Century Gothic" w:hAnsi="Century Gothic"/>
        </w:rPr>
      </w:pPr>
      <w:r w:rsidRPr="006C0877">
        <w:rPr>
          <w:rFonts w:ascii="Century Gothic" w:hAnsi="Century Gothic"/>
          <w:szCs w:val="22"/>
        </w:rPr>
        <w:t>None</w:t>
      </w:r>
    </w:p>
    <w:p w14:paraId="70116304" w14:textId="77777777" w:rsidR="332E49E3" w:rsidRPr="006C0877" w:rsidRDefault="332E49E3">
      <w:pPr>
        <w:rPr>
          <w:rFonts w:ascii="Century Gothic" w:hAnsi="Century Gothic"/>
        </w:rPr>
      </w:pPr>
    </w:p>
    <w:p w14:paraId="29ABE991" w14:textId="77777777" w:rsidR="00B714CD" w:rsidRDefault="00B714CD" w:rsidP="00913D31">
      <w:pPr>
        <w:pStyle w:val="MTWHeader2"/>
        <w:rPr>
          <w:rFonts w:ascii="Times New Roman" w:hAnsi="Times New Roman" w:cs="Times New Roman"/>
          <w:sz w:val="22"/>
          <w:szCs w:val="22"/>
        </w:rPr>
      </w:pPr>
    </w:p>
    <w:p w14:paraId="49DD8A50" w14:textId="77777777" w:rsidR="006C0877" w:rsidRDefault="006C0877" w:rsidP="00913D31">
      <w:pPr>
        <w:pStyle w:val="MTWHeader2"/>
        <w:rPr>
          <w:rFonts w:ascii="Times New Roman" w:hAnsi="Times New Roman" w:cs="Times New Roman"/>
          <w:sz w:val="22"/>
          <w:szCs w:val="22"/>
        </w:rPr>
      </w:pPr>
    </w:p>
    <w:p w14:paraId="6AD9940A" w14:textId="77777777" w:rsidR="006C0877" w:rsidRDefault="006C0877" w:rsidP="00913D31">
      <w:pPr>
        <w:pStyle w:val="MTWHeader2"/>
        <w:rPr>
          <w:rFonts w:ascii="Times New Roman" w:hAnsi="Times New Roman" w:cs="Times New Roman"/>
          <w:sz w:val="22"/>
          <w:szCs w:val="22"/>
        </w:rPr>
      </w:pPr>
    </w:p>
    <w:p w14:paraId="06731C60" w14:textId="77777777" w:rsidR="006C0877" w:rsidRDefault="006C0877" w:rsidP="00913D31">
      <w:pPr>
        <w:pStyle w:val="MTWHeader2"/>
        <w:rPr>
          <w:rFonts w:ascii="Times New Roman" w:hAnsi="Times New Roman" w:cs="Times New Roman"/>
          <w:sz w:val="22"/>
          <w:szCs w:val="22"/>
        </w:rPr>
      </w:pPr>
    </w:p>
    <w:p w14:paraId="6B11138B" w14:textId="77777777" w:rsidR="006C0877" w:rsidRDefault="006C0877" w:rsidP="00913D31">
      <w:pPr>
        <w:pStyle w:val="MTWHeader2"/>
        <w:rPr>
          <w:rFonts w:ascii="Times New Roman" w:hAnsi="Times New Roman" w:cs="Times New Roman"/>
          <w:sz w:val="22"/>
          <w:szCs w:val="22"/>
        </w:rPr>
      </w:pPr>
    </w:p>
    <w:p w14:paraId="52954827" w14:textId="77777777" w:rsidR="006C0877" w:rsidRDefault="006C0877" w:rsidP="00913D31">
      <w:pPr>
        <w:pStyle w:val="MTWHeader2"/>
        <w:rPr>
          <w:rFonts w:ascii="Times New Roman" w:hAnsi="Times New Roman" w:cs="Times New Roman"/>
          <w:sz w:val="22"/>
          <w:szCs w:val="22"/>
        </w:rPr>
      </w:pPr>
    </w:p>
    <w:p w14:paraId="7DE0620A" w14:textId="77777777" w:rsidR="006C0877" w:rsidRDefault="006C0877" w:rsidP="00913D31">
      <w:pPr>
        <w:pStyle w:val="MTWHeader2"/>
        <w:rPr>
          <w:rFonts w:ascii="Times New Roman" w:hAnsi="Times New Roman" w:cs="Times New Roman"/>
          <w:sz w:val="22"/>
          <w:szCs w:val="22"/>
        </w:rPr>
      </w:pPr>
    </w:p>
    <w:p w14:paraId="3D6E6742" w14:textId="77777777" w:rsidR="006C0877" w:rsidRDefault="006C0877" w:rsidP="00913D31">
      <w:pPr>
        <w:pStyle w:val="MTWHeader2"/>
        <w:rPr>
          <w:rFonts w:ascii="Times New Roman" w:hAnsi="Times New Roman" w:cs="Times New Roman"/>
          <w:sz w:val="22"/>
          <w:szCs w:val="22"/>
        </w:rPr>
      </w:pPr>
    </w:p>
    <w:p w14:paraId="0981B8D2" w14:textId="6607F079" w:rsidR="000A7290" w:rsidRDefault="000A7290" w:rsidP="00913D31">
      <w:pPr>
        <w:pStyle w:val="MTWHeader2"/>
        <w:rPr>
          <w:rFonts w:ascii="Times New Roman" w:hAnsi="Times New Roman" w:cs="Times New Roman"/>
          <w:sz w:val="22"/>
          <w:szCs w:val="22"/>
        </w:rPr>
      </w:pPr>
      <w:r>
        <w:rPr>
          <w:rFonts w:ascii="Times New Roman" w:hAnsi="Times New Roman" w:cs="Times New Roman"/>
          <w:sz w:val="22"/>
          <w:szCs w:val="22"/>
        </w:rPr>
        <w:br w:type="page"/>
      </w:r>
    </w:p>
    <w:p w14:paraId="7F18CD1E" w14:textId="7ABC2CB3" w:rsidR="00913D31" w:rsidRDefault="10D72899" w:rsidP="00913D31">
      <w:pPr>
        <w:pStyle w:val="MTWHeader2"/>
        <w:rPr>
          <w:rFonts w:ascii="Century Gothic" w:hAnsi="Century Gothic" w:cs="Times New Roman"/>
          <w:sz w:val="22"/>
          <w:szCs w:val="22"/>
        </w:rPr>
      </w:pPr>
      <w:r w:rsidRPr="004E44A8">
        <w:rPr>
          <w:rFonts w:ascii="Century Gothic" w:hAnsi="Century Gothic" w:cs="Times New Roman"/>
          <w:sz w:val="22"/>
          <w:szCs w:val="22"/>
        </w:rPr>
        <w:lastRenderedPageBreak/>
        <w:t>Initiative 1.16 – Crawford Manor Transformation Plan</w:t>
      </w:r>
    </w:p>
    <w:p w14:paraId="7582037D" w14:textId="2194B4BE" w:rsidR="00913D31" w:rsidRPr="004E44A8" w:rsidRDefault="00DE6A54" w:rsidP="00913D31">
      <w:pPr>
        <w:rPr>
          <w:rFonts w:ascii="Century Gothic" w:eastAsiaTheme="majorEastAsia" w:hAnsi="Century Gothic"/>
          <w:b/>
          <w:bCs/>
          <w:szCs w:val="22"/>
        </w:rPr>
      </w:pPr>
      <w:r w:rsidRPr="004E44A8">
        <w:rPr>
          <w:rFonts w:ascii="Century Gothic" w:hAnsi="Century Gothic"/>
          <w:b/>
          <w:bCs/>
          <w:noProof/>
        </w:rPr>
        <mc:AlternateContent>
          <mc:Choice Requires="wps">
            <w:drawing>
              <wp:anchor distT="0" distB="0" distL="114300" distR="114300" simplePos="0" relativeHeight="251658258" behindDoc="0" locked="0" layoutInCell="1" allowOverlap="1" wp14:anchorId="486EE749" wp14:editId="3E96284C">
                <wp:simplePos x="0" y="0"/>
                <wp:positionH relativeFrom="margin">
                  <wp:align>right</wp:align>
                </wp:positionH>
                <wp:positionV relativeFrom="paragraph">
                  <wp:posOffset>11430</wp:posOffset>
                </wp:positionV>
                <wp:extent cx="1318260" cy="304800"/>
                <wp:effectExtent l="0" t="0" r="0" b="0"/>
                <wp:wrapNone/>
                <wp:docPr id="461"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304800"/>
                        </a:xfrm>
                        <a:prstGeom prst="roundRect">
                          <a:avLst/>
                        </a:prstGeom>
                        <a:solidFill>
                          <a:srgbClr val="B5333C"/>
                        </a:solidFill>
                        <a:ln w="12700" cap="flat" cmpd="sng" algn="ctr">
                          <a:solidFill>
                            <a:sysClr val="window" lastClr="FFFFFF"/>
                          </a:solidFill>
                          <a:prstDash val="solid"/>
                          <a:miter lim="800000"/>
                        </a:ln>
                        <a:effectLst/>
                      </wps:spPr>
                      <wps:txbx>
                        <w:txbxContent>
                          <w:p w14:paraId="12E1891C" w14:textId="77777777" w:rsidR="00913D31" w:rsidRPr="004C470A" w:rsidRDefault="00913D31" w:rsidP="00913D31">
                            <w:pPr>
                              <w:jc w:val="center"/>
                              <w:rPr>
                                <w:b/>
                                <w:color w:val="FFFFFF" w:themeColor="background1"/>
                                <w:szCs w:val="20"/>
                              </w:rPr>
                            </w:pPr>
                            <w:r w:rsidRPr="004C470A">
                              <w:rPr>
                                <w:b/>
                                <w:color w:val="FFFFFF" w:themeColor="background1"/>
                                <w:szCs w:val="20"/>
                              </w:rPr>
                              <w:t>Housing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6EE749" id="Rectangle: Rounded Corners 80" o:spid="_x0000_s1050" style="position:absolute;margin-left:52.6pt;margin-top:.9pt;width:103.8pt;height:24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" fillcolor="#b5333c" strokecolor="window" strokeweight="1pt">
                <v:stroke joinstyle="miter"/>
                <v:path arrowok="t"/>
                <v:textbox>
                  <w:txbxContent>
                    <w:p w14:paraId="12E1891C" w14:textId="77777777" w:rsidR="00913D31" w:rsidRPr="004C470A" w:rsidRDefault="00913D31" w:rsidP="00913D31">
                      <w:pPr>
                        <w:jc w:val="center"/>
                        <w:rPr>
                          <w:b/>
                          <w:color w:val="FFFFFF" w:themeColor="background1"/>
                          <w:szCs w:val="20"/>
                        </w:rPr>
                      </w:pPr>
                      <w:r w:rsidRPr="004C470A">
                        <w:rPr>
                          <w:b/>
                          <w:color w:val="FFFFFF" w:themeColor="background1"/>
                          <w:szCs w:val="20"/>
                        </w:rPr>
                        <w:t>Housing Choice</w:t>
                      </w:r>
                    </w:p>
                  </w:txbxContent>
                </v:textbox>
                <w10:wrap anchorx="margin"/>
              </v:roundrect>
            </w:pict>
          </mc:Fallback>
        </mc:AlternateContent>
      </w:r>
      <w:r w:rsidR="00913D31" w:rsidRPr="004E44A8">
        <w:rPr>
          <w:rFonts w:ascii="Century Gothic" w:eastAsiaTheme="majorEastAsia" w:hAnsi="Century Gothic"/>
          <w:b/>
          <w:bCs/>
          <w:szCs w:val="22"/>
        </w:rPr>
        <w:t>Approved in FY13, implemented in FY16, and placed on hold in FY17.</w:t>
      </w:r>
    </w:p>
    <w:p w14:paraId="65BC645D" w14:textId="5CE6F3D6" w:rsidR="00EA1DB3" w:rsidRPr="004E44A8" w:rsidRDefault="00EA1DB3" w:rsidP="00913D31">
      <w:pPr>
        <w:rPr>
          <w:rFonts w:ascii="Century Gothic" w:eastAsiaTheme="majorEastAsia" w:hAnsi="Century Gothic"/>
          <w:b/>
          <w:bCs/>
          <w:szCs w:val="22"/>
        </w:rPr>
      </w:pPr>
      <w:r w:rsidRPr="004E44A8">
        <w:rPr>
          <w:rFonts w:ascii="Century Gothic" w:eastAsiaTheme="majorEastAsia" w:hAnsi="Century Gothic"/>
          <w:b/>
          <w:bCs/>
          <w:szCs w:val="22"/>
        </w:rPr>
        <w:t>Moved to Active in FY22</w:t>
      </w:r>
    </w:p>
    <w:p w14:paraId="078270BE" w14:textId="77777777" w:rsidR="004E44A8" w:rsidRDefault="004E44A8" w:rsidP="00913D31">
      <w:pPr>
        <w:pStyle w:val="Heading4"/>
        <w:rPr>
          <w:rFonts w:ascii="Century Gothic" w:hAnsi="Century Gothic" w:cs="Times New Roman"/>
        </w:rPr>
      </w:pPr>
    </w:p>
    <w:p w14:paraId="24434A9E" w14:textId="50988DBD" w:rsidR="00913D31" w:rsidRPr="004E44A8" w:rsidRDefault="38F6B635" w:rsidP="00913D31">
      <w:pPr>
        <w:pStyle w:val="Heading4"/>
        <w:rPr>
          <w:rFonts w:ascii="Century Gothic" w:hAnsi="Century Gothic" w:cs="Times New Roman"/>
        </w:rPr>
      </w:pPr>
      <w:r w:rsidRPr="004E44A8">
        <w:rPr>
          <w:rFonts w:ascii="Century Gothic" w:hAnsi="Century Gothic" w:cs="Times New Roman"/>
        </w:rPr>
        <w:t>Description</w:t>
      </w:r>
    </w:p>
    <w:p w14:paraId="48EA4446" w14:textId="6EB37196" w:rsidR="006B3B0F" w:rsidRPr="004E44A8" w:rsidRDefault="006B3B0F" w:rsidP="006B3B0F">
      <w:pPr>
        <w:rPr>
          <w:rFonts w:ascii="Century Gothic" w:hAnsi="Century Gothic"/>
          <w:szCs w:val="22"/>
        </w:rPr>
      </w:pPr>
      <w:r w:rsidRPr="004E44A8">
        <w:rPr>
          <w:rFonts w:ascii="Century Gothic" w:hAnsi="Century Gothic"/>
          <w:szCs w:val="22"/>
        </w:rPr>
        <w:t xml:space="preserve">ECC/HANH applied for the Choice Neighborhoods Initiative Planning Grant, but it was not awarded. </w:t>
      </w:r>
      <w:r w:rsidR="00B8485E" w:rsidRPr="004E44A8">
        <w:rPr>
          <w:rFonts w:ascii="Century Gothic" w:hAnsi="Century Gothic"/>
          <w:szCs w:val="22"/>
        </w:rPr>
        <w:t>Therefore, t</w:t>
      </w:r>
      <w:r w:rsidRPr="004E44A8">
        <w:rPr>
          <w:rFonts w:ascii="Century Gothic" w:hAnsi="Century Gothic"/>
          <w:szCs w:val="22"/>
        </w:rPr>
        <w:t xml:space="preserve">his initiative was placed on hold while an alternative plan and timeline was devised.  </w:t>
      </w:r>
      <w:r w:rsidR="00B8485E" w:rsidRPr="004E44A8">
        <w:rPr>
          <w:rFonts w:ascii="Century Gothic" w:hAnsi="Century Gothic"/>
          <w:szCs w:val="22"/>
        </w:rPr>
        <w:t>The initiative was removed from on hold status in FY2022.</w:t>
      </w:r>
    </w:p>
    <w:p w14:paraId="42524292" w14:textId="77777777" w:rsidR="006B3B0F" w:rsidRPr="004E44A8" w:rsidRDefault="006B3B0F" w:rsidP="006B3B0F">
      <w:pPr>
        <w:rPr>
          <w:rFonts w:ascii="Century Gothic" w:hAnsi="Century Gothic"/>
          <w:szCs w:val="22"/>
        </w:rPr>
      </w:pPr>
    </w:p>
    <w:p w14:paraId="5706FB11" w14:textId="4F952144" w:rsidR="006B3B0F" w:rsidRPr="004E44A8" w:rsidRDefault="06ACBEB3" w:rsidP="46B3BF7C">
      <w:pPr>
        <w:rPr>
          <w:rFonts w:ascii="Century Gothic" w:hAnsi="Century Gothic"/>
        </w:rPr>
      </w:pPr>
      <w:r w:rsidRPr="004E44A8">
        <w:rPr>
          <w:rFonts w:ascii="Century Gothic" w:hAnsi="Century Gothic"/>
        </w:rPr>
        <w:t xml:space="preserve">The redevelopment plan for </w:t>
      </w:r>
      <w:r w:rsidR="7C2117A9" w:rsidRPr="004E44A8">
        <w:rPr>
          <w:rFonts w:ascii="Century Gothic" w:hAnsi="Century Gothic"/>
        </w:rPr>
        <w:t xml:space="preserve">Crawford Manor </w:t>
      </w:r>
      <w:r w:rsidRPr="004E44A8">
        <w:rPr>
          <w:rFonts w:ascii="Century Gothic" w:hAnsi="Century Gothic"/>
        </w:rPr>
        <w:t>is to use</w:t>
      </w:r>
      <w:r w:rsidR="7C2117A9" w:rsidRPr="004E44A8">
        <w:rPr>
          <w:rFonts w:ascii="Century Gothic" w:hAnsi="Century Gothic"/>
        </w:rPr>
        <w:t xml:space="preserve"> a combination of State and Federal Historic Tax Credits as well as Low Income Housing Tax Credits. Crawford Manor was designed by world-renowned architect Paul Rudolph in the 1960’s brutalist style.  Paul Rudolph was the Dean of the Yale School of Architecture at the </w:t>
      </w:r>
      <w:proofErr w:type="gramStart"/>
      <w:r w:rsidR="7C2117A9" w:rsidRPr="004E44A8">
        <w:rPr>
          <w:rFonts w:ascii="Century Gothic" w:hAnsi="Century Gothic"/>
        </w:rPr>
        <w:t>time</w:t>
      </w:r>
      <w:proofErr w:type="gramEnd"/>
      <w:r w:rsidR="7C2117A9" w:rsidRPr="004E44A8">
        <w:rPr>
          <w:rFonts w:ascii="Century Gothic" w:hAnsi="Century Gothic"/>
        </w:rPr>
        <w:t xml:space="preserve"> and this building is considered a local landmark and is listed on the national registry of Historic places.  The listing on the National Register limits the type of rehabilitation that can be completed but also opens the redevelopment to non-MTW capital.  </w:t>
      </w:r>
    </w:p>
    <w:p w14:paraId="1460A325" w14:textId="02A31081" w:rsidR="00B8485E" w:rsidRPr="004E44A8" w:rsidRDefault="00B8485E" w:rsidP="46B3BF7C">
      <w:pPr>
        <w:rPr>
          <w:rFonts w:ascii="Century Gothic" w:hAnsi="Century Gothic"/>
        </w:rPr>
      </w:pPr>
    </w:p>
    <w:p w14:paraId="7622BF66" w14:textId="0C099611" w:rsidR="00B8485E" w:rsidRPr="004E44A8" w:rsidRDefault="1C5C1F0C" w:rsidP="46B3BF7C">
      <w:pPr>
        <w:rPr>
          <w:rFonts w:ascii="Century Gothic" w:eastAsia="Times New Roman" w:hAnsi="Century Gothic"/>
        </w:rPr>
      </w:pPr>
      <w:r w:rsidRPr="004E44A8">
        <w:rPr>
          <w:rFonts w:ascii="Century Gothic" w:hAnsi="Century Gothic"/>
        </w:rPr>
        <w:t xml:space="preserve">The property currently contains 109 units in a mixture of studio and 1-bedroom units.  If approved by the State Historic Preservation Office, a small number of units would be combined to allow for the inclusion of additional 1 bedroom or 2-bedroom ADA units.  Under no circumstances will </w:t>
      </w:r>
      <w:proofErr w:type="gramStart"/>
      <w:r w:rsidRPr="004E44A8">
        <w:rPr>
          <w:rFonts w:ascii="Century Gothic" w:hAnsi="Century Gothic"/>
        </w:rPr>
        <w:t>the di</w:t>
      </w:r>
      <w:proofErr w:type="gramEnd"/>
      <w:r w:rsidRPr="004E44A8">
        <w:rPr>
          <w:rFonts w:ascii="Century Gothic" w:hAnsi="Century Gothic"/>
        </w:rPr>
        <w:t xml:space="preserve"> minimis reduction of 5% be exceeded</w:t>
      </w:r>
      <w:r w:rsidRPr="004E44A8">
        <w:rPr>
          <w:rFonts w:ascii="Century Gothic" w:eastAsia="Times New Roman" w:hAnsi="Century Gothic"/>
        </w:rPr>
        <w:t xml:space="preserve"> and affordable square footage will remain the same.</w:t>
      </w:r>
    </w:p>
    <w:p w14:paraId="51B1FCAF" w14:textId="36C0CEDB" w:rsidR="00B8485E" w:rsidRPr="004E44A8" w:rsidRDefault="00B8485E" w:rsidP="46B3BF7C">
      <w:pPr>
        <w:rPr>
          <w:rFonts w:ascii="Century Gothic" w:hAnsi="Century Gothic"/>
        </w:rPr>
      </w:pPr>
    </w:p>
    <w:p w14:paraId="32C598C6" w14:textId="77087FAA" w:rsidR="00B8485E" w:rsidRPr="004E44A8" w:rsidRDefault="5EB98AD2" w:rsidP="46B3BF7C">
      <w:pPr>
        <w:rPr>
          <w:rFonts w:ascii="Century Gothic" w:hAnsi="Century Gothic"/>
          <w:lang w:eastAsia="en-US"/>
        </w:rPr>
      </w:pPr>
      <w:r w:rsidRPr="004E44A8">
        <w:rPr>
          <w:rFonts w:ascii="Century Gothic" w:hAnsi="Century Gothic"/>
        </w:rPr>
        <w:t xml:space="preserve">The preservation of 109 affordable units in this non-impacted area will promote ECC/HANH’s goal of assisting residents towards self-sufficiency as well as increase the economic development in this area.  The residents will live in an area where they will </w:t>
      </w:r>
      <w:r w:rsidR="0044250A">
        <w:rPr>
          <w:rFonts w:ascii="Century Gothic" w:hAnsi="Century Gothic"/>
        </w:rPr>
        <w:t xml:space="preserve">have </w:t>
      </w:r>
      <w:r w:rsidRPr="004E44A8">
        <w:rPr>
          <w:rFonts w:ascii="Century Gothic" w:hAnsi="Century Gothic"/>
        </w:rPr>
        <w:t>access to supportive services, access to jobs, high quality early learning programs, public assets, public transportation, high-quality public schools and education programs and hospitals and health care facilities.</w:t>
      </w:r>
    </w:p>
    <w:p w14:paraId="2293B560" w14:textId="77777777" w:rsidR="006B3B0F" w:rsidRPr="004E44A8" w:rsidRDefault="006B3B0F" w:rsidP="006B3B0F">
      <w:pPr>
        <w:rPr>
          <w:rFonts w:ascii="Century Gothic" w:hAnsi="Century Gothic"/>
          <w:szCs w:val="22"/>
        </w:rPr>
      </w:pPr>
    </w:p>
    <w:p w14:paraId="6E6FE45A" w14:textId="4240972D" w:rsidR="00913D31" w:rsidRPr="004E44A8" w:rsidRDefault="22CC5ADA" w:rsidP="00913D31">
      <w:pPr>
        <w:pStyle w:val="Heading4"/>
        <w:rPr>
          <w:rFonts w:ascii="Century Gothic" w:hAnsi="Century Gothic" w:cs="Times New Roman"/>
        </w:rPr>
      </w:pPr>
      <w:r w:rsidRPr="004E44A8">
        <w:rPr>
          <w:rFonts w:ascii="Century Gothic" w:hAnsi="Century Gothic" w:cs="Times New Roman"/>
        </w:rPr>
        <w:t>I</w:t>
      </w:r>
      <w:r w:rsidR="629D1E68" w:rsidRPr="004E44A8">
        <w:rPr>
          <w:rFonts w:ascii="Century Gothic" w:hAnsi="Century Gothic" w:cs="Times New Roman"/>
        </w:rPr>
        <w:t>mpact</w:t>
      </w:r>
    </w:p>
    <w:p w14:paraId="2E7958D0" w14:textId="6F2EB5F9" w:rsidR="6EBB6727" w:rsidRPr="004E44A8" w:rsidRDefault="6EBB6727" w:rsidP="46B3BF7C">
      <w:pPr>
        <w:rPr>
          <w:rFonts w:ascii="Century Gothic" w:hAnsi="Century Gothic"/>
          <w:lang w:eastAsia="en-US"/>
        </w:rPr>
      </w:pPr>
      <w:r w:rsidRPr="2DE64BB2">
        <w:rPr>
          <w:rFonts w:ascii="Century Gothic" w:hAnsi="Century Gothic"/>
        </w:rPr>
        <w:t xml:space="preserve">The intention was to complete architectural plans and seek funding in the second quarter of FY2022, however that did not occur.  Since Crawford Manor is listed on the National Registry of Historic Places, the State and Federal Historic Tax credit process is very specialized, and we have determined that </w:t>
      </w:r>
      <w:r w:rsidR="0044250A" w:rsidRPr="2DE64BB2">
        <w:rPr>
          <w:rFonts w:ascii="Century Gothic" w:hAnsi="Century Gothic"/>
        </w:rPr>
        <w:t>a</w:t>
      </w:r>
      <w:r w:rsidRPr="2DE64BB2">
        <w:rPr>
          <w:rFonts w:ascii="Century Gothic" w:hAnsi="Century Gothic"/>
        </w:rPr>
        <w:t xml:space="preserve"> historic consultant is required to comp</w:t>
      </w:r>
      <w:r w:rsidR="0044250A">
        <w:rPr>
          <w:rFonts w:ascii="Century Gothic" w:hAnsi="Century Gothic"/>
        </w:rPr>
        <w:t>l</w:t>
      </w:r>
      <w:r w:rsidRPr="2DE64BB2">
        <w:rPr>
          <w:rFonts w:ascii="Century Gothic" w:hAnsi="Century Gothic"/>
        </w:rPr>
        <w:t xml:space="preserve">ete the process properly.  The procurement process for this consultant </w:t>
      </w:r>
      <w:r w:rsidR="00CE0474">
        <w:rPr>
          <w:rFonts w:ascii="Century Gothic" w:hAnsi="Century Gothic"/>
        </w:rPr>
        <w:t xml:space="preserve">has started </w:t>
      </w:r>
      <w:r w:rsidR="00CE0474" w:rsidRPr="2DE64BB2">
        <w:rPr>
          <w:rFonts w:ascii="Century Gothic" w:hAnsi="Century Gothic"/>
        </w:rPr>
        <w:t>and</w:t>
      </w:r>
      <w:r w:rsidRPr="2DE64BB2">
        <w:rPr>
          <w:rFonts w:ascii="Century Gothic" w:hAnsi="Century Gothic"/>
        </w:rPr>
        <w:t xml:space="preserve"> a consultant is expected to be hired in </w:t>
      </w:r>
      <w:r w:rsidR="0028775A" w:rsidRPr="2DE64BB2">
        <w:rPr>
          <w:rFonts w:ascii="Century Gothic" w:hAnsi="Century Gothic"/>
        </w:rPr>
        <w:t>FY202</w:t>
      </w:r>
      <w:r w:rsidR="0028775A">
        <w:rPr>
          <w:rFonts w:ascii="Century Gothic" w:hAnsi="Century Gothic"/>
        </w:rPr>
        <w:t>5</w:t>
      </w:r>
      <w:r w:rsidRPr="2DE64BB2">
        <w:rPr>
          <w:rFonts w:ascii="Century Gothic" w:hAnsi="Century Gothic"/>
        </w:rPr>
        <w:t>.   ECC/HANH also started the procurement process for an architect and construction manager and plans on completing 40% of the design documents and obtaining city planning approval. </w:t>
      </w:r>
    </w:p>
    <w:p w14:paraId="59569ADE" w14:textId="07D4F133" w:rsidR="46B3BF7C" w:rsidRPr="004E44A8" w:rsidRDefault="46B3BF7C" w:rsidP="46B3BF7C">
      <w:pPr>
        <w:rPr>
          <w:rFonts w:ascii="Century Gothic" w:hAnsi="Century Gothic"/>
        </w:rPr>
      </w:pPr>
    </w:p>
    <w:p w14:paraId="63C1F868" w14:textId="15A74BC0" w:rsidR="594C1003" w:rsidRPr="004E44A8" w:rsidRDefault="0044250A" w:rsidP="46B3BF7C">
      <w:pPr>
        <w:rPr>
          <w:rFonts w:ascii="Century Gothic" w:hAnsi="Century Gothic"/>
          <w:color w:val="FF0000"/>
          <w:szCs w:val="22"/>
        </w:rPr>
      </w:pPr>
      <w:r w:rsidRPr="004E44A8">
        <w:rPr>
          <w:rFonts w:ascii="Century Gothic" w:hAnsi="Century Gothic"/>
        </w:rPr>
        <w:t>Repositioning</w:t>
      </w:r>
      <w:r w:rsidR="594C1003" w:rsidRPr="004E44A8">
        <w:rPr>
          <w:rFonts w:ascii="Century Gothic" w:hAnsi="Century Gothic"/>
        </w:rPr>
        <w:t xml:space="preserve"> </w:t>
      </w:r>
      <w:r w:rsidR="52FA525E" w:rsidRPr="004E44A8">
        <w:rPr>
          <w:rFonts w:ascii="Century Gothic" w:hAnsi="Century Gothic"/>
        </w:rPr>
        <w:t>Crawford Manor</w:t>
      </w:r>
      <w:r w:rsidR="594C1003" w:rsidRPr="004E44A8">
        <w:rPr>
          <w:rFonts w:ascii="Century Gothic" w:hAnsi="Century Gothic"/>
        </w:rPr>
        <w:t xml:space="preserve"> to </w:t>
      </w:r>
      <w:r w:rsidR="103139C5" w:rsidRPr="004E44A8">
        <w:rPr>
          <w:rFonts w:ascii="Century Gothic" w:hAnsi="Century Gothic"/>
        </w:rPr>
        <w:t xml:space="preserve">a </w:t>
      </w:r>
      <w:r w:rsidR="594C1003" w:rsidRPr="004E44A8">
        <w:rPr>
          <w:rFonts w:ascii="Century Gothic" w:hAnsi="Century Gothic"/>
        </w:rPr>
        <w:t>RAD PBV</w:t>
      </w:r>
      <w:r w:rsidR="350C7558" w:rsidRPr="004E44A8">
        <w:rPr>
          <w:rFonts w:ascii="Century Gothic" w:hAnsi="Century Gothic"/>
        </w:rPr>
        <w:t xml:space="preserve"> </w:t>
      </w:r>
      <w:r w:rsidR="3EBFC895" w:rsidRPr="004E44A8">
        <w:rPr>
          <w:rFonts w:ascii="Century Gothic" w:hAnsi="Century Gothic"/>
        </w:rPr>
        <w:t>platform</w:t>
      </w:r>
      <w:r w:rsidR="594C1003" w:rsidRPr="004E44A8">
        <w:rPr>
          <w:rFonts w:ascii="Century Gothic" w:hAnsi="Century Gothic"/>
        </w:rPr>
        <w:t xml:space="preserve"> will allow for the </w:t>
      </w:r>
      <w:r w:rsidR="79EAFC29" w:rsidRPr="004E44A8">
        <w:rPr>
          <w:rFonts w:ascii="Century Gothic" w:hAnsi="Century Gothic"/>
        </w:rPr>
        <w:t xml:space="preserve">use </w:t>
      </w:r>
      <w:r w:rsidR="594C1003" w:rsidRPr="004E44A8">
        <w:rPr>
          <w:rFonts w:ascii="Century Gothic" w:hAnsi="Century Gothic"/>
        </w:rPr>
        <w:t xml:space="preserve">of a mixed-finance </w:t>
      </w:r>
      <w:r w:rsidR="2F82C0C5" w:rsidRPr="004E44A8">
        <w:rPr>
          <w:rFonts w:ascii="Century Gothic" w:hAnsi="Century Gothic"/>
        </w:rPr>
        <w:t>model</w:t>
      </w:r>
      <w:r w:rsidR="594C1003" w:rsidRPr="004E44A8">
        <w:rPr>
          <w:rFonts w:ascii="Century Gothic" w:hAnsi="Century Gothic"/>
        </w:rPr>
        <w:t xml:space="preserve"> to </w:t>
      </w:r>
      <w:r w:rsidRPr="004E44A8">
        <w:rPr>
          <w:rFonts w:ascii="Century Gothic" w:hAnsi="Century Gothic"/>
        </w:rPr>
        <w:t>ensure</w:t>
      </w:r>
      <w:r w:rsidR="594C1003" w:rsidRPr="004E44A8">
        <w:rPr>
          <w:rFonts w:ascii="Century Gothic" w:hAnsi="Century Gothic"/>
        </w:rPr>
        <w:t xml:space="preserve"> that the development will be sustainable for at least 20 years.</w:t>
      </w:r>
      <w:r w:rsidR="47139933" w:rsidRPr="004E44A8">
        <w:rPr>
          <w:rFonts w:ascii="Century Gothic" w:hAnsi="Century Gothic"/>
        </w:rPr>
        <w:t xml:space="preserve"> </w:t>
      </w:r>
      <w:r w:rsidR="47139933" w:rsidRPr="004E44A8">
        <w:rPr>
          <w:rFonts w:ascii="Century Gothic" w:hAnsi="Century Gothic"/>
          <w:color w:val="FF0000"/>
        </w:rPr>
        <w:t xml:space="preserve"> </w:t>
      </w:r>
    </w:p>
    <w:p w14:paraId="1F90273A" w14:textId="09486D66" w:rsidR="46B3BF7C" w:rsidRDefault="46B3BF7C" w:rsidP="46B3BF7C">
      <w:pPr>
        <w:pStyle w:val="NoSpacing"/>
        <w:rPr>
          <w:rFonts w:ascii="Century Gothic" w:hAnsi="Century Gothic" w:cs="Times New Roman"/>
          <w:bCs/>
          <w:color w:val="A6A6A6" w:themeColor="background1" w:themeShade="A6"/>
          <w:sz w:val="22"/>
          <w:szCs w:val="22"/>
        </w:rPr>
      </w:pPr>
    </w:p>
    <w:p w14:paraId="7FC62EEC" w14:textId="77777777" w:rsidR="002A38F8" w:rsidRDefault="002A38F8" w:rsidP="46B3BF7C">
      <w:pPr>
        <w:pStyle w:val="NoSpacing"/>
        <w:rPr>
          <w:rFonts w:ascii="Century Gothic" w:hAnsi="Century Gothic" w:cs="Times New Roman"/>
          <w:bCs/>
          <w:color w:val="A6A6A6" w:themeColor="background1" w:themeShade="A6"/>
          <w:sz w:val="22"/>
          <w:szCs w:val="22"/>
        </w:rPr>
      </w:pPr>
    </w:p>
    <w:p w14:paraId="1F2EE3C8" w14:textId="77777777" w:rsidR="002A38F8" w:rsidRPr="004E44A8" w:rsidRDefault="002A38F8" w:rsidP="46B3BF7C">
      <w:pPr>
        <w:pStyle w:val="NoSpacing"/>
        <w:rPr>
          <w:rFonts w:ascii="Century Gothic" w:hAnsi="Century Gothic" w:cs="Times New Roman"/>
          <w:bCs/>
          <w:color w:val="A6A6A6" w:themeColor="background1" w:themeShade="A6"/>
          <w:sz w:val="22"/>
          <w:szCs w:val="22"/>
        </w:rPr>
      </w:pPr>
    </w:p>
    <w:p w14:paraId="50BB9A6C" w14:textId="7ABE04DA" w:rsidR="2AD177D4" w:rsidRPr="004E44A8" w:rsidRDefault="2AD177D4" w:rsidP="00B714CD">
      <w:pPr>
        <w:pStyle w:val="Heading4"/>
        <w:rPr>
          <w:rFonts w:ascii="Century Gothic" w:hAnsi="Century Gothic"/>
        </w:rPr>
      </w:pPr>
      <w:r w:rsidRPr="004E44A8">
        <w:rPr>
          <w:rFonts w:ascii="Century Gothic" w:hAnsi="Century Gothic" w:cs="Times New Roman"/>
        </w:rPr>
        <w:lastRenderedPageBreak/>
        <w:t>Outcomes</w:t>
      </w:r>
    </w:p>
    <w:p w14:paraId="348444E0" w14:textId="53FD7897" w:rsidR="2AD177D4" w:rsidRPr="004E44A8" w:rsidRDefault="2AD177D4" w:rsidP="00B714CD">
      <w:pPr>
        <w:rPr>
          <w:rFonts w:ascii="Century Gothic" w:hAnsi="Century Gothic"/>
        </w:rPr>
      </w:pPr>
      <w:r w:rsidRPr="004E44A8">
        <w:rPr>
          <w:rFonts w:ascii="Century Gothic" w:eastAsia="Times New Roman" w:hAnsi="Century Gothic"/>
        </w:rPr>
        <w:t>Crawford Manor Transformation is still in the planning stages.</w:t>
      </w:r>
    </w:p>
    <w:p w14:paraId="7602D3B6" w14:textId="73541FAA" w:rsidR="46B3BF7C" w:rsidRPr="004E44A8" w:rsidRDefault="46B3BF7C" w:rsidP="46B3BF7C">
      <w:pPr>
        <w:rPr>
          <w:rFonts w:ascii="Century Gothic" w:eastAsia="Times New Roman" w:hAnsi="Century Gothic"/>
        </w:rPr>
      </w:pPr>
    </w:p>
    <w:p w14:paraId="24A84E69" w14:textId="6D9B78CD" w:rsidR="00913D31" w:rsidRPr="004E44A8" w:rsidRDefault="00E12275" w:rsidP="00913D31">
      <w:pPr>
        <w:rPr>
          <w:rFonts w:ascii="Century Gothic" w:hAnsi="Century Gothic"/>
          <w:b/>
          <w:bCs/>
          <w:iCs/>
          <w:szCs w:val="22"/>
        </w:rPr>
      </w:pPr>
      <w:r>
        <w:rPr>
          <w:rFonts w:ascii="Century Gothic" w:hAnsi="Century Gothic"/>
          <w:b/>
          <w:bCs/>
          <w:iCs/>
          <w:szCs w:val="22"/>
        </w:rPr>
        <w:t>Internal</w:t>
      </w:r>
      <w:r w:rsidR="00913D31" w:rsidRPr="004E44A8">
        <w:rPr>
          <w:rFonts w:ascii="Century Gothic" w:hAnsi="Century Gothic"/>
          <w:b/>
          <w:bCs/>
          <w:iCs/>
          <w:szCs w:val="22"/>
        </w:rPr>
        <w:t xml:space="preserve"> Metrics</w:t>
      </w:r>
    </w:p>
    <w:p w14:paraId="67D4CA7D" w14:textId="77777777" w:rsidR="00913D31" w:rsidRPr="004E44A8" w:rsidRDefault="00913D31" w:rsidP="00913D31">
      <w:pPr>
        <w:rPr>
          <w:rFonts w:ascii="Century Gothic" w:hAnsi="Century Gothic"/>
          <w:b/>
          <w:szCs w:val="22"/>
        </w:rPr>
      </w:pPr>
    </w:p>
    <w:tbl>
      <w:tblPr>
        <w:tblStyle w:val="TableGrid7"/>
        <w:tblW w:w="0" w:type="auto"/>
        <w:tblLook w:val="04A0" w:firstRow="1" w:lastRow="0" w:firstColumn="1" w:lastColumn="0" w:noHBand="0" w:noVBand="1"/>
      </w:tblPr>
      <w:tblGrid>
        <w:gridCol w:w="3434"/>
        <w:gridCol w:w="1105"/>
        <w:gridCol w:w="1859"/>
        <w:gridCol w:w="1797"/>
        <w:gridCol w:w="1741"/>
      </w:tblGrid>
      <w:tr w:rsidR="00913D31" w:rsidRPr="004E44A8" w14:paraId="7E4BFC9A" w14:textId="77777777" w:rsidTr="0D8BAA9B">
        <w:trPr>
          <w:trHeight w:val="400"/>
        </w:trPr>
        <w:tc>
          <w:tcPr>
            <w:tcW w:w="9936" w:type="dxa"/>
            <w:gridSpan w:val="5"/>
            <w:tcBorders>
              <w:top w:val="nil"/>
              <w:left w:val="nil"/>
              <w:bottom w:val="single" w:sz="24" w:space="0" w:color="B5333C" w:themeColor="accent2"/>
              <w:right w:val="nil"/>
            </w:tcBorders>
            <w:shd w:val="clear" w:color="auto" w:fill="808080" w:themeFill="background1" w:themeFillShade="80"/>
            <w:hideMark/>
          </w:tcPr>
          <w:p w14:paraId="69690E06" w14:textId="77777777" w:rsidR="00913D31" w:rsidRPr="004E44A8" w:rsidRDefault="00913D31" w:rsidP="00B80A01">
            <w:pPr>
              <w:jc w:val="center"/>
              <w:rPr>
                <w:rFonts w:ascii="Century Gothic" w:hAnsi="Century Gothic"/>
                <w:b/>
                <w:bCs/>
                <w:iCs/>
                <w:szCs w:val="22"/>
              </w:rPr>
            </w:pPr>
            <w:r w:rsidRPr="004E44A8">
              <w:rPr>
                <w:rFonts w:ascii="Century Gothic" w:hAnsi="Century Gothic"/>
                <w:b/>
                <w:bCs/>
                <w:iCs/>
                <w:szCs w:val="22"/>
              </w:rPr>
              <w:t>HC #2: Units of Housing Preserved</w:t>
            </w:r>
          </w:p>
        </w:tc>
      </w:tr>
      <w:tr w:rsidR="00913D31" w:rsidRPr="004E44A8" w14:paraId="6D1765A5" w14:textId="77777777" w:rsidTr="0D8BAA9B">
        <w:trPr>
          <w:trHeight w:val="320"/>
        </w:trPr>
        <w:tc>
          <w:tcPr>
            <w:tcW w:w="3464"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426ACE3" w14:textId="77777777" w:rsidR="00913D31" w:rsidRPr="004E44A8" w:rsidRDefault="00913D31" w:rsidP="00B80A01">
            <w:pPr>
              <w:jc w:val="center"/>
              <w:rPr>
                <w:rFonts w:ascii="Century Gothic" w:hAnsi="Century Gothic"/>
                <w:b/>
                <w:bCs/>
                <w:szCs w:val="22"/>
              </w:rPr>
            </w:pPr>
            <w:r w:rsidRPr="004E44A8">
              <w:rPr>
                <w:rFonts w:ascii="Century Gothic" w:hAnsi="Century Gothic"/>
                <w:b/>
                <w:bCs/>
                <w:szCs w:val="22"/>
              </w:rPr>
              <w:t>Unit of Measurement</w:t>
            </w:r>
          </w:p>
        </w:tc>
        <w:tc>
          <w:tcPr>
            <w:tcW w:w="1054"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AC34D92" w14:textId="77777777" w:rsidR="00913D31" w:rsidRPr="004E44A8" w:rsidRDefault="00913D31" w:rsidP="00B80A01">
            <w:pPr>
              <w:jc w:val="center"/>
              <w:rPr>
                <w:rFonts w:ascii="Century Gothic" w:hAnsi="Century Gothic"/>
                <w:b/>
                <w:bCs/>
                <w:szCs w:val="22"/>
              </w:rPr>
            </w:pPr>
            <w:r w:rsidRPr="004E44A8">
              <w:rPr>
                <w:rFonts w:ascii="Century Gothic" w:hAnsi="Century Gothic"/>
                <w:b/>
                <w:bCs/>
                <w:szCs w:val="22"/>
              </w:rPr>
              <w:t>Baseline</w:t>
            </w:r>
          </w:p>
        </w:tc>
        <w:tc>
          <w:tcPr>
            <w:tcW w:w="1866"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518389FE" w14:textId="77777777" w:rsidR="00913D31" w:rsidRPr="004E44A8" w:rsidRDefault="00913D31" w:rsidP="00B80A01">
            <w:pPr>
              <w:jc w:val="center"/>
              <w:rPr>
                <w:rFonts w:ascii="Century Gothic" w:hAnsi="Century Gothic"/>
                <w:b/>
                <w:bCs/>
                <w:szCs w:val="22"/>
              </w:rPr>
            </w:pPr>
            <w:r w:rsidRPr="004E44A8">
              <w:rPr>
                <w:rFonts w:ascii="Century Gothic" w:hAnsi="Century Gothic"/>
                <w:b/>
                <w:bCs/>
                <w:szCs w:val="22"/>
              </w:rPr>
              <w:t>Benchmark</w:t>
            </w:r>
          </w:p>
        </w:tc>
        <w:tc>
          <w:tcPr>
            <w:tcW w:w="1806"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E51B8B4" w14:textId="77777777" w:rsidR="00913D31" w:rsidRPr="004E44A8" w:rsidRDefault="00913D31" w:rsidP="00B80A01">
            <w:pPr>
              <w:jc w:val="center"/>
              <w:rPr>
                <w:rFonts w:ascii="Century Gothic" w:hAnsi="Century Gothic"/>
                <w:b/>
                <w:bCs/>
                <w:szCs w:val="22"/>
              </w:rPr>
            </w:pPr>
            <w:r w:rsidRPr="004E44A8">
              <w:rPr>
                <w:rFonts w:ascii="Century Gothic" w:hAnsi="Century Gothic"/>
                <w:b/>
                <w:bCs/>
                <w:szCs w:val="22"/>
              </w:rPr>
              <w:t>Outcome</w:t>
            </w:r>
          </w:p>
        </w:tc>
        <w:tc>
          <w:tcPr>
            <w:tcW w:w="1746"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6027ACA7" w14:textId="77777777" w:rsidR="00913D31" w:rsidRPr="004E44A8" w:rsidRDefault="00913D31" w:rsidP="00B80A01">
            <w:pPr>
              <w:jc w:val="center"/>
              <w:rPr>
                <w:rFonts w:ascii="Century Gothic" w:hAnsi="Century Gothic"/>
                <w:b/>
                <w:bCs/>
                <w:szCs w:val="22"/>
              </w:rPr>
            </w:pPr>
            <w:r w:rsidRPr="004E44A8">
              <w:rPr>
                <w:rFonts w:ascii="Century Gothic" w:hAnsi="Century Gothic"/>
                <w:b/>
                <w:bCs/>
                <w:szCs w:val="22"/>
              </w:rPr>
              <w:t>Benchmark Achieved?</w:t>
            </w:r>
          </w:p>
        </w:tc>
      </w:tr>
      <w:tr w:rsidR="00913D31" w:rsidRPr="004E44A8" w14:paraId="1DB243C9" w14:textId="77777777" w:rsidTr="0D8BAA9B">
        <w:trPr>
          <w:trHeight w:val="300"/>
        </w:trPr>
        <w:tc>
          <w:tcPr>
            <w:tcW w:w="346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35A3691F" w14:textId="77777777" w:rsidR="00913D31" w:rsidRPr="004E44A8" w:rsidRDefault="00913D31" w:rsidP="00B80A01">
            <w:pPr>
              <w:rPr>
                <w:rFonts w:ascii="Century Gothic" w:hAnsi="Century Gothic"/>
                <w:szCs w:val="22"/>
              </w:rPr>
            </w:pPr>
            <w:r w:rsidRPr="004E44A8">
              <w:rPr>
                <w:rFonts w:ascii="Century Gothic" w:hAnsi="Century Gothic"/>
                <w:szCs w:val="22"/>
              </w:rPr>
              <w:t xml:space="preserve">Number of housing units </w:t>
            </w:r>
            <w:proofErr w:type="gramStart"/>
            <w:r w:rsidRPr="004E44A8">
              <w:rPr>
                <w:rFonts w:ascii="Century Gothic" w:hAnsi="Century Gothic"/>
                <w:szCs w:val="22"/>
              </w:rPr>
              <w:t>preserved</w:t>
            </w:r>
            <w:proofErr w:type="gramEnd"/>
            <w:r w:rsidRPr="004E44A8">
              <w:rPr>
                <w:rFonts w:ascii="Century Gothic" w:hAnsi="Century Gothic"/>
                <w:szCs w:val="22"/>
              </w:rPr>
              <w:t xml:space="preserve"> for households at or below 80% AMI that would otherwise not be available (increase). </w:t>
            </w:r>
          </w:p>
        </w:tc>
        <w:tc>
          <w:tcPr>
            <w:tcW w:w="105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9049F9B" w14:textId="77777777" w:rsidR="00913D31" w:rsidRPr="004E44A8" w:rsidRDefault="00913D31" w:rsidP="00B80A01">
            <w:pPr>
              <w:rPr>
                <w:rFonts w:ascii="Century Gothic" w:hAnsi="Century Gothic"/>
                <w:szCs w:val="22"/>
              </w:rPr>
            </w:pPr>
            <w:r w:rsidRPr="004E44A8">
              <w:rPr>
                <w:rFonts w:ascii="Century Gothic" w:hAnsi="Century Gothic"/>
                <w:szCs w:val="22"/>
              </w:rPr>
              <w:t>104 units</w:t>
            </w:r>
          </w:p>
        </w:tc>
        <w:tc>
          <w:tcPr>
            <w:tcW w:w="18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16BD2E1" w14:textId="77777777" w:rsidR="00913D31" w:rsidRPr="004E44A8" w:rsidRDefault="00913D31" w:rsidP="00B80A01">
            <w:pPr>
              <w:rPr>
                <w:rFonts w:ascii="Century Gothic" w:hAnsi="Century Gothic"/>
                <w:szCs w:val="22"/>
              </w:rPr>
            </w:pPr>
            <w:r w:rsidRPr="004E44A8">
              <w:rPr>
                <w:rFonts w:ascii="Century Gothic" w:hAnsi="Century Gothic"/>
                <w:szCs w:val="22"/>
              </w:rPr>
              <w:t>99 units</w:t>
            </w:r>
          </w:p>
        </w:tc>
        <w:tc>
          <w:tcPr>
            <w:tcW w:w="18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085C5D9" w14:textId="42A613A5" w:rsidR="00913D31" w:rsidRPr="004E44A8" w:rsidRDefault="469F861B" w:rsidP="3C3EEDA0">
            <w:pPr>
              <w:rPr>
                <w:rFonts w:ascii="Century Gothic" w:hAnsi="Century Gothic"/>
              </w:rPr>
            </w:pPr>
            <w:r w:rsidRPr="004E44A8">
              <w:rPr>
                <w:rFonts w:ascii="Century Gothic" w:hAnsi="Century Gothic"/>
              </w:rPr>
              <w:t>0</w:t>
            </w:r>
            <w:r w:rsidR="691C5FF4" w:rsidRPr="004E44A8">
              <w:rPr>
                <w:rFonts w:ascii="Century Gothic" w:hAnsi="Century Gothic"/>
              </w:rPr>
              <w:t xml:space="preserve"> preserved to date</w:t>
            </w:r>
          </w:p>
        </w:tc>
        <w:tc>
          <w:tcPr>
            <w:tcW w:w="174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6703F3F1" w14:textId="784C8711" w:rsidR="00913D31" w:rsidRPr="004E44A8" w:rsidRDefault="633A4D70">
            <w:pPr>
              <w:rPr>
                <w:rFonts w:ascii="Century Gothic" w:eastAsia="MS PGothic" w:hAnsi="Century Gothic"/>
                <w:szCs w:val="22"/>
              </w:rPr>
            </w:pPr>
            <w:r w:rsidRPr="004E44A8">
              <w:rPr>
                <w:rFonts w:ascii="Century Gothic" w:hAnsi="Century Gothic"/>
              </w:rPr>
              <w:t>No</w:t>
            </w:r>
          </w:p>
        </w:tc>
      </w:tr>
    </w:tbl>
    <w:p w14:paraId="5FE9F727" w14:textId="77777777" w:rsidR="00B714CD" w:rsidRPr="004E44A8" w:rsidRDefault="00B714CD" w:rsidP="46B3BF7C">
      <w:pPr>
        <w:rPr>
          <w:rFonts w:ascii="Century Gothic" w:hAnsi="Century Gothic"/>
        </w:rPr>
      </w:pPr>
      <w:bookmarkStart w:id="122" w:name="_Hlk112339729"/>
    </w:p>
    <w:p w14:paraId="0D20E5E6" w14:textId="7349590B" w:rsidR="0014202B" w:rsidRPr="004E44A8" w:rsidRDefault="451EFEEE" w:rsidP="46B3BF7C">
      <w:pPr>
        <w:rPr>
          <w:rStyle w:val="SubtleEmphasis"/>
          <w:rFonts w:ascii="Century Gothic" w:hAnsi="Century Gothic"/>
          <w:b/>
          <w:bCs/>
          <w:color w:val="808080" w:themeColor="background1" w:themeShade="80"/>
          <w:sz w:val="22"/>
          <w:szCs w:val="22"/>
        </w:rPr>
      </w:pPr>
      <w:r w:rsidRPr="004E44A8">
        <w:rPr>
          <w:rStyle w:val="SubtleEmphasis"/>
          <w:rFonts w:ascii="Century Gothic" w:hAnsi="Century Gothic"/>
          <w:b/>
          <w:bCs/>
          <w:color w:val="808080" w:themeColor="background1" w:themeShade="80"/>
          <w:sz w:val="22"/>
          <w:szCs w:val="22"/>
        </w:rPr>
        <w:t>Actual Non-Significant Changes</w:t>
      </w:r>
    </w:p>
    <w:p w14:paraId="6945FBF1" w14:textId="38B086F6" w:rsidR="5EAAD59E" w:rsidRPr="004E44A8" w:rsidRDefault="5EAAD59E" w:rsidP="46B3BF7C">
      <w:pPr>
        <w:rPr>
          <w:rStyle w:val="SubtleEmphasis"/>
          <w:rFonts w:ascii="Century Gothic" w:hAnsi="Century Gothic"/>
          <w:color w:val="808080" w:themeColor="background1" w:themeShade="80"/>
          <w:sz w:val="22"/>
          <w:szCs w:val="22"/>
        </w:rPr>
      </w:pPr>
      <w:r w:rsidRPr="004E44A8">
        <w:rPr>
          <w:rStyle w:val="SubtleEmphasis"/>
          <w:rFonts w:ascii="Century Gothic" w:hAnsi="Century Gothic"/>
          <w:color w:val="808080" w:themeColor="background1" w:themeShade="80"/>
          <w:sz w:val="22"/>
          <w:szCs w:val="22"/>
        </w:rPr>
        <w:t>None</w:t>
      </w:r>
    </w:p>
    <w:p w14:paraId="6FFE5EFD" w14:textId="77777777" w:rsidR="0014202B" w:rsidRPr="004E44A8" w:rsidRDefault="0014202B" w:rsidP="0014202B">
      <w:pPr>
        <w:rPr>
          <w:rFonts w:ascii="Century Gothic" w:hAnsi="Century Gothic"/>
        </w:rPr>
      </w:pPr>
    </w:p>
    <w:p w14:paraId="52F0FD94" w14:textId="77777777" w:rsidR="0014202B" w:rsidRPr="004E44A8" w:rsidRDefault="53EB3D3D" w:rsidP="3C3EEDA0">
      <w:pPr>
        <w:rPr>
          <w:rStyle w:val="SubtleEmphasis"/>
          <w:rFonts w:ascii="Century Gothic" w:eastAsiaTheme="majorEastAsia" w:hAnsi="Century Gothic"/>
          <w:b/>
          <w:bCs/>
          <w:color w:val="808080" w:themeColor="background1" w:themeShade="80"/>
          <w:sz w:val="22"/>
          <w:szCs w:val="22"/>
        </w:rPr>
      </w:pPr>
      <w:r w:rsidRPr="004E44A8">
        <w:rPr>
          <w:rStyle w:val="SubtleEmphasis"/>
          <w:rFonts w:ascii="Century Gothic" w:eastAsiaTheme="majorEastAsia" w:hAnsi="Century Gothic"/>
          <w:b/>
          <w:bCs/>
          <w:color w:val="808080" w:themeColor="background1" w:themeShade="80"/>
          <w:sz w:val="22"/>
          <w:szCs w:val="22"/>
        </w:rPr>
        <w:t>Actual Significant Changes</w:t>
      </w:r>
    </w:p>
    <w:p w14:paraId="1D2EBB36" w14:textId="6B2A9239" w:rsidR="0E129042" w:rsidRPr="004E44A8" w:rsidRDefault="5A5AA6E6" w:rsidP="3C3EEDA0">
      <w:pPr>
        <w:rPr>
          <w:rStyle w:val="SubtleEmphasis"/>
          <w:rFonts w:ascii="Century Gothic" w:eastAsia="MS PGothic" w:hAnsi="Century Gothic"/>
          <w:color w:val="auto"/>
          <w:sz w:val="22"/>
          <w:szCs w:val="22"/>
        </w:rPr>
      </w:pPr>
      <w:r w:rsidRPr="004E44A8">
        <w:rPr>
          <w:rStyle w:val="SubtleEmphasis"/>
          <w:rFonts w:ascii="Century Gothic" w:eastAsiaTheme="majorEastAsia" w:hAnsi="Century Gothic"/>
          <w:color w:val="auto"/>
          <w:sz w:val="22"/>
          <w:szCs w:val="22"/>
        </w:rPr>
        <w:t>No</w:t>
      </w:r>
      <w:r w:rsidR="322DF187" w:rsidRPr="004E44A8">
        <w:rPr>
          <w:rStyle w:val="SubtleEmphasis"/>
          <w:rFonts w:ascii="Century Gothic" w:eastAsiaTheme="majorEastAsia" w:hAnsi="Century Gothic"/>
          <w:color w:val="auto"/>
          <w:sz w:val="22"/>
          <w:szCs w:val="22"/>
        </w:rPr>
        <w:t>ne</w:t>
      </w:r>
    </w:p>
    <w:p w14:paraId="75F5C6D7" w14:textId="77777777" w:rsidR="0014202B" w:rsidRPr="004E44A8" w:rsidRDefault="0014202B" w:rsidP="0014202B">
      <w:pPr>
        <w:rPr>
          <w:rFonts w:ascii="Century Gothic" w:hAnsi="Century Gothic"/>
        </w:rPr>
      </w:pPr>
    </w:p>
    <w:bookmarkEnd w:id="122"/>
    <w:p w14:paraId="49DC10AC" w14:textId="16103E32" w:rsidR="6F807E50" w:rsidRDefault="6F807E50" w:rsidP="6F807E50">
      <w:pPr>
        <w:rPr>
          <w:rFonts w:ascii="Times New Roman" w:hAnsi="Times New Roman"/>
        </w:rPr>
      </w:pPr>
    </w:p>
    <w:p w14:paraId="215C6F67" w14:textId="5E11BB73" w:rsidR="6F807E50" w:rsidRDefault="6F807E50" w:rsidP="6F807E50">
      <w:pPr>
        <w:rPr>
          <w:rFonts w:ascii="Times New Roman" w:hAnsi="Times New Roman"/>
        </w:rPr>
      </w:pPr>
    </w:p>
    <w:p w14:paraId="4B10271C" w14:textId="77777777" w:rsidR="004E44A8" w:rsidRDefault="004E44A8" w:rsidP="6F807E50">
      <w:pPr>
        <w:rPr>
          <w:rFonts w:ascii="Times New Roman" w:hAnsi="Times New Roman"/>
        </w:rPr>
      </w:pPr>
    </w:p>
    <w:p w14:paraId="7B5B8866" w14:textId="368CA8EF" w:rsidR="004E44A8" w:rsidRDefault="004E44A8" w:rsidP="6F807E50">
      <w:pPr>
        <w:rPr>
          <w:rFonts w:ascii="Times New Roman" w:hAnsi="Times New Roman"/>
        </w:rPr>
      </w:pPr>
      <w:r>
        <w:rPr>
          <w:rFonts w:ascii="Times New Roman" w:hAnsi="Times New Roman"/>
        </w:rPr>
        <w:br w:type="page"/>
      </w:r>
    </w:p>
    <w:bookmarkStart w:id="123" w:name="_Hlk112755208"/>
    <w:p w14:paraId="0E8E0CF2" w14:textId="0D105314" w:rsidR="00DE484C" w:rsidRPr="00F75FAE" w:rsidRDefault="00DE6A54" w:rsidP="00DE484C">
      <w:pPr>
        <w:rPr>
          <w:rFonts w:ascii="Century Gothic" w:eastAsia="Times New Roman" w:hAnsi="Century Gothic"/>
          <w:b/>
        </w:rPr>
      </w:pPr>
      <w:r w:rsidRPr="00F75FAE">
        <w:rPr>
          <w:rFonts w:ascii="Century Gothic" w:hAnsi="Century Gothic"/>
          <w:noProof/>
        </w:rPr>
        <w:lastRenderedPageBreak/>
        <mc:AlternateContent>
          <mc:Choice Requires="wps">
            <w:drawing>
              <wp:anchor distT="0" distB="0" distL="114300" distR="114300" simplePos="0" relativeHeight="251658264" behindDoc="0" locked="0" layoutInCell="1" allowOverlap="1" wp14:anchorId="3A87685C" wp14:editId="0C2F4901">
                <wp:simplePos x="0" y="0"/>
                <wp:positionH relativeFrom="margin">
                  <wp:posOffset>5172075</wp:posOffset>
                </wp:positionH>
                <wp:positionV relativeFrom="paragraph">
                  <wp:posOffset>213995</wp:posOffset>
                </wp:positionV>
                <wp:extent cx="1318260" cy="304800"/>
                <wp:effectExtent l="0" t="0" r="0" b="0"/>
                <wp:wrapNone/>
                <wp:docPr id="460"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304800"/>
                        </a:xfrm>
                        <a:prstGeom prst="roundRect">
                          <a:avLst/>
                        </a:prstGeom>
                        <a:solidFill>
                          <a:srgbClr val="B5333C"/>
                        </a:solidFill>
                        <a:ln w="12700" cap="flat" cmpd="sng" algn="ctr">
                          <a:solidFill>
                            <a:sysClr val="window" lastClr="FFFFFF"/>
                          </a:solidFill>
                          <a:prstDash val="solid"/>
                          <a:miter lim="800000"/>
                        </a:ln>
                        <a:effectLst/>
                      </wps:spPr>
                      <wps:txbx>
                        <w:txbxContent>
                          <w:p w14:paraId="72A8F869" w14:textId="77777777" w:rsidR="00F55EC8" w:rsidRPr="004C470A" w:rsidRDefault="00F55EC8" w:rsidP="00F55EC8">
                            <w:pPr>
                              <w:jc w:val="center"/>
                              <w:rPr>
                                <w:b/>
                                <w:color w:val="FFFFFF" w:themeColor="background1"/>
                                <w:szCs w:val="20"/>
                              </w:rPr>
                            </w:pPr>
                            <w:r w:rsidRPr="004C470A">
                              <w:rPr>
                                <w:b/>
                                <w:color w:val="FFFFFF" w:themeColor="background1"/>
                                <w:szCs w:val="20"/>
                              </w:rPr>
                              <w:t>Housing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87685C" id="Rectangle: Rounded Corners 81" o:spid="_x0000_s1051" style="position:absolute;margin-left:407.25pt;margin-top:16.85pt;width:103.8pt;height:24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" fillcolor="#b5333c" strokecolor="window" strokeweight="1pt">
                <v:stroke joinstyle="miter"/>
                <v:path arrowok="t"/>
                <v:textbox>
                  <w:txbxContent>
                    <w:p w14:paraId="72A8F869" w14:textId="77777777" w:rsidR="00F55EC8" w:rsidRPr="004C470A" w:rsidRDefault="00F55EC8" w:rsidP="00F55EC8">
                      <w:pPr>
                        <w:jc w:val="center"/>
                        <w:rPr>
                          <w:b/>
                          <w:color w:val="FFFFFF" w:themeColor="background1"/>
                          <w:szCs w:val="20"/>
                        </w:rPr>
                      </w:pPr>
                      <w:r w:rsidRPr="004C470A">
                        <w:rPr>
                          <w:b/>
                          <w:color w:val="FFFFFF" w:themeColor="background1"/>
                          <w:szCs w:val="20"/>
                        </w:rPr>
                        <w:t>Housing Choice</w:t>
                      </w:r>
                    </w:p>
                  </w:txbxContent>
                </v:textbox>
                <w10:wrap anchorx="margin"/>
              </v:roundrect>
            </w:pict>
          </mc:Fallback>
        </mc:AlternateContent>
      </w:r>
      <w:r w:rsidR="00DE484C" w:rsidRPr="00F75FAE">
        <w:rPr>
          <w:rFonts w:ascii="Century Gothic" w:hAnsi="Century Gothic"/>
          <w:b/>
        </w:rPr>
        <w:t>1.21 – Initiative Expanded Jurisdiction: Creating Housing Opportunities Outside of the City of New Haven in Areas of Opportunity (Previously Initiative 3.6)</w:t>
      </w:r>
    </w:p>
    <w:p w14:paraId="7A93527D" w14:textId="2F5826CF" w:rsidR="00DE484C" w:rsidRPr="00F75FAE" w:rsidRDefault="00F55EC8" w:rsidP="00DE484C">
      <w:pPr>
        <w:rPr>
          <w:rFonts w:ascii="Century Gothic" w:eastAsia="MS PGothic" w:hAnsi="Century Gothic"/>
          <w:b/>
        </w:rPr>
      </w:pPr>
      <w:r w:rsidRPr="00F75FAE">
        <w:rPr>
          <w:rFonts w:ascii="Century Gothic" w:eastAsia="MS PGothic" w:hAnsi="Century Gothic"/>
          <w:b/>
        </w:rPr>
        <w:tab/>
      </w:r>
      <w:r w:rsidRPr="00F75FAE">
        <w:rPr>
          <w:rFonts w:ascii="Century Gothic" w:eastAsia="MS PGothic" w:hAnsi="Century Gothic"/>
          <w:b/>
        </w:rPr>
        <w:tab/>
      </w:r>
      <w:r w:rsidRPr="00F75FAE">
        <w:rPr>
          <w:rFonts w:ascii="Century Gothic" w:eastAsia="MS PGothic" w:hAnsi="Century Gothic"/>
          <w:b/>
        </w:rPr>
        <w:tab/>
      </w:r>
      <w:r w:rsidRPr="00F75FAE">
        <w:rPr>
          <w:rFonts w:ascii="Century Gothic" w:eastAsia="MS PGothic" w:hAnsi="Century Gothic"/>
          <w:b/>
        </w:rPr>
        <w:tab/>
      </w:r>
      <w:r w:rsidRPr="00F75FAE">
        <w:rPr>
          <w:rFonts w:ascii="Century Gothic" w:eastAsia="MS PGothic" w:hAnsi="Century Gothic"/>
          <w:b/>
        </w:rPr>
        <w:tab/>
      </w:r>
      <w:r w:rsidRPr="00F75FAE">
        <w:rPr>
          <w:rFonts w:ascii="Century Gothic" w:eastAsia="MS PGothic" w:hAnsi="Century Gothic"/>
          <w:b/>
        </w:rPr>
        <w:tab/>
      </w:r>
      <w:r w:rsidRPr="00F75FAE">
        <w:rPr>
          <w:rFonts w:ascii="Century Gothic" w:eastAsia="MS PGothic" w:hAnsi="Century Gothic"/>
          <w:b/>
        </w:rPr>
        <w:tab/>
      </w:r>
      <w:r w:rsidRPr="00F75FAE">
        <w:rPr>
          <w:rFonts w:ascii="Century Gothic" w:eastAsia="MS PGothic" w:hAnsi="Century Gothic"/>
          <w:b/>
        </w:rPr>
        <w:tab/>
      </w:r>
      <w:r w:rsidRPr="00F75FAE">
        <w:rPr>
          <w:rFonts w:ascii="Century Gothic" w:eastAsia="MS PGothic" w:hAnsi="Century Gothic"/>
          <w:b/>
        </w:rPr>
        <w:tab/>
      </w:r>
      <w:r w:rsidRPr="00F75FAE">
        <w:rPr>
          <w:rFonts w:ascii="Century Gothic" w:eastAsia="MS PGothic" w:hAnsi="Century Gothic"/>
          <w:b/>
        </w:rPr>
        <w:tab/>
      </w:r>
      <w:r w:rsidRPr="00F75FAE">
        <w:rPr>
          <w:rFonts w:ascii="Century Gothic" w:eastAsia="MS PGothic" w:hAnsi="Century Gothic"/>
          <w:b/>
        </w:rPr>
        <w:tab/>
      </w:r>
    </w:p>
    <w:p w14:paraId="00D0768E" w14:textId="5AD6E886" w:rsidR="00DE484C" w:rsidRPr="00F75FAE" w:rsidRDefault="00DE484C" w:rsidP="00DE484C">
      <w:pPr>
        <w:rPr>
          <w:rFonts w:ascii="Century Gothic" w:hAnsi="Century Gothic"/>
        </w:rPr>
      </w:pPr>
      <w:r w:rsidRPr="00F75FAE">
        <w:rPr>
          <w:rFonts w:ascii="Century Gothic" w:hAnsi="Century Gothic"/>
        </w:rPr>
        <w:t xml:space="preserve">Proposed and </w:t>
      </w:r>
      <w:r w:rsidR="00AF5128" w:rsidRPr="00F75FAE">
        <w:rPr>
          <w:rFonts w:ascii="Century Gothic" w:hAnsi="Century Gothic"/>
        </w:rPr>
        <w:t>approved</w:t>
      </w:r>
      <w:r w:rsidRPr="00F75FAE">
        <w:rPr>
          <w:rFonts w:ascii="Century Gothic" w:hAnsi="Century Gothic"/>
        </w:rPr>
        <w:t xml:space="preserve"> in FY2019</w:t>
      </w:r>
    </w:p>
    <w:p w14:paraId="5860E3DA" w14:textId="05F8EBDA" w:rsidR="00DE484C" w:rsidRPr="00F75FAE" w:rsidRDefault="01040EF5" w:rsidP="0E6C54AB">
      <w:pPr>
        <w:pStyle w:val="Heading4"/>
        <w:rPr>
          <w:rStyle w:val="SubtleEmphasis"/>
          <w:rFonts w:ascii="Century Gothic" w:hAnsi="Century Gothic"/>
          <w:color w:val="808080" w:themeColor="background1" w:themeShade="80"/>
          <w:sz w:val="22"/>
        </w:rPr>
      </w:pPr>
      <w:r w:rsidRPr="00F75FAE">
        <w:rPr>
          <w:rStyle w:val="SubtleEmphasis"/>
          <w:rFonts w:ascii="Century Gothic" w:hAnsi="Century Gothic"/>
          <w:color w:val="808080" w:themeColor="background1" w:themeShade="80"/>
          <w:sz w:val="22"/>
        </w:rPr>
        <w:t>Description</w:t>
      </w:r>
    </w:p>
    <w:p w14:paraId="1811F9DE" w14:textId="1793693B" w:rsidR="00DE484C" w:rsidRPr="00F75FAE" w:rsidRDefault="00DE484C" w:rsidP="00DE484C">
      <w:pPr>
        <w:rPr>
          <w:rFonts w:ascii="Century Gothic" w:hAnsi="Century Gothic"/>
        </w:rPr>
      </w:pPr>
      <w:r w:rsidRPr="00F75FAE">
        <w:rPr>
          <w:rFonts w:ascii="Century Gothic" w:hAnsi="Century Gothic"/>
        </w:rPr>
        <w:t xml:space="preserve">This initiative proposes to expand the jurisdiction of the ECC/HANH and its instrumentalities to develop affordable housing or site project-based vouchers in areas that have been identified as “opportunity areas”.  Opportunity areas have been mapped in the State of CT by the Open Communities Alliance and identify areas that are “opportunity-rich” </w:t>
      </w:r>
      <w:proofErr w:type="gramStart"/>
      <w:r w:rsidRPr="00F75FAE">
        <w:rPr>
          <w:rFonts w:ascii="Century Gothic" w:hAnsi="Century Gothic"/>
        </w:rPr>
        <w:t>with regard to</w:t>
      </w:r>
      <w:proofErr w:type="gramEnd"/>
      <w:r w:rsidRPr="00F75FAE">
        <w:rPr>
          <w:rFonts w:ascii="Century Gothic" w:hAnsi="Century Gothic"/>
        </w:rPr>
        <w:t xml:space="preserve"> educational outcomes, employment access, poverty, crime rates and more.  While the City of New Haven doesn’t fare well across several of these measures, it is in </w:t>
      </w:r>
      <w:proofErr w:type="gramStart"/>
      <w:r w:rsidRPr="00F75FAE">
        <w:rPr>
          <w:rFonts w:ascii="Century Gothic" w:hAnsi="Century Gothic"/>
        </w:rPr>
        <w:t>close proximity</w:t>
      </w:r>
      <w:proofErr w:type="gramEnd"/>
      <w:r w:rsidRPr="00F75FAE">
        <w:rPr>
          <w:rFonts w:ascii="Century Gothic" w:hAnsi="Century Gothic"/>
        </w:rPr>
        <w:t xml:space="preserve"> (within 15 miles) </w:t>
      </w:r>
      <w:r w:rsidR="0044250A" w:rsidRPr="00F75FAE">
        <w:rPr>
          <w:rFonts w:ascii="Century Gothic" w:hAnsi="Century Gothic"/>
        </w:rPr>
        <w:t>to</w:t>
      </w:r>
      <w:r w:rsidRPr="00F75FAE">
        <w:rPr>
          <w:rFonts w:ascii="Century Gothic" w:hAnsi="Century Gothic"/>
        </w:rPr>
        <w:t xml:space="preserve"> many towns that are considered High and Very High Opportunity.  While some of these towns are developing senior housing, unfortunately, these towns have been slow to develop housing for families or disabled residents.  </w:t>
      </w:r>
    </w:p>
    <w:p w14:paraId="04AB6629" w14:textId="77777777" w:rsidR="00DE484C" w:rsidRPr="00F75FAE" w:rsidRDefault="00DE484C" w:rsidP="00DE484C">
      <w:pPr>
        <w:rPr>
          <w:rFonts w:ascii="Century Gothic" w:eastAsia="MS PGothic" w:hAnsi="Century Gothic"/>
        </w:rPr>
      </w:pPr>
    </w:p>
    <w:p w14:paraId="7A6B796D" w14:textId="77777777" w:rsidR="00491DFF" w:rsidRPr="00F75FAE" w:rsidRDefault="630CDEE7" w:rsidP="00DE484C">
      <w:pPr>
        <w:rPr>
          <w:rFonts w:ascii="Century Gothic" w:hAnsi="Century Gothic"/>
        </w:rPr>
      </w:pPr>
      <w:r w:rsidRPr="00F75FAE">
        <w:rPr>
          <w:rFonts w:ascii="Century Gothic" w:hAnsi="Century Gothic"/>
        </w:rPr>
        <w:t xml:space="preserve">When looking at the availability of affordable housing resources, these resources fall disproportionately in communities of very low and low opportunity.  New Haven has the region’s largest percentage of government-assisted public housing.  The City’s Consolidated Plan notes the need for a more “balanced approach of market-rate and affordable units, spread more evenly across the entire South Central CT region”.  </w:t>
      </w:r>
    </w:p>
    <w:p w14:paraId="3DE0EF58" w14:textId="77777777" w:rsidR="00491DFF" w:rsidRPr="00F75FAE" w:rsidRDefault="00491DFF" w:rsidP="00DE484C">
      <w:pPr>
        <w:rPr>
          <w:rFonts w:ascii="Century Gothic" w:hAnsi="Century Gothic"/>
        </w:rPr>
      </w:pPr>
    </w:p>
    <w:p w14:paraId="3E7AE253" w14:textId="08E46AC6" w:rsidR="00DE484C" w:rsidRPr="00F75FAE" w:rsidRDefault="630CDEE7" w:rsidP="00DE484C">
      <w:pPr>
        <w:rPr>
          <w:rFonts w:ascii="Century Gothic" w:hAnsi="Century Gothic"/>
        </w:rPr>
      </w:pPr>
      <w:r w:rsidRPr="00F75FAE">
        <w:rPr>
          <w:rFonts w:ascii="Century Gothic" w:hAnsi="Century Gothic"/>
        </w:rPr>
        <w:t>ECC/HANH and its instrumentality, The Glendower Group,</w:t>
      </w:r>
      <w:r w:rsidR="0FAB5CF9" w:rsidRPr="00F75FAE">
        <w:rPr>
          <w:rFonts w:ascii="Century Gothic" w:hAnsi="Century Gothic"/>
        </w:rPr>
        <w:t xml:space="preserve"> is</w:t>
      </w:r>
      <w:r w:rsidRPr="00F75FAE">
        <w:rPr>
          <w:rFonts w:ascii="Century Gothic" w:hAnsi="Century Gothic"/>
        </w:rPr>
        <w:t xml:space="preserve"> </w:t>
      </w:r>
      <w:r w:rsidR="2F3B0888" w:rsidRPr="00F75FAE">
        <w:rPr>
          <w:rFonts w:ascii="Century Gothic" w:hAnsi="Century Gothic"/>
        </w:rPr>
        <w:t xml:space="preserve">a </w:t>
      </w:r>
      <w:r w:rsidRPr="00F75FAE">
        <w:rPr>
          <w:rFonts w:ascii="Century Gothic" w:hAnsi="Century Gothic"/>
        </w:rPr>
        <w:t xml:space="preserve">major developer and subsidizer of affordable housing in this region.  This initiative proposes to allow ECC/HANH and Glendower to expand its reach into neighboring areas of opportunity.  </w:t>
      </w:r>
    </w:p>
    <w:p w14:paraId="0B49632C" w14:textId="77777777" w:rsidR="00DE484C" w:rsidRPr="00F75FAE" w:rsidRDefault="00DE484C" w:rsidP="00DE484C">
      <w:pPr>
        <w:rPr>
          <w:rFonts w:ascii="Century Gothic" w:eastAsia="MS PGothic" w:hAnsi="Century Gothic"/>
        </w:rPr>
      </w:pPr>
    </w:p>
    <w:p w14:paraId="196E3A5F" w14:textId="22F2EC0B" w:rsidR="00DE484C" w:rsidRPr="00F75FAE" w:rsidRDefault="20B6281E" w:rsidP="00DE484C">
      <w:pPr>
        <w:rPr>
          <w:rFonts w:ascii="Century Gothic" w:hAnsi="Century Gothic"/>
        </w:rPr>
      </w:pPr>
      <w:r w:rsidRPr="00F75FAE">
        <w:rPr>
          <w:rFonts w:ascii="Century Gothic" w:hAnsi="Century Gothic"/>
        </w:rPr>
        <w:t xml:space="preserve">Currently, achieving significant increases in mobility moves to areas of deconcentrated poverty has been difficult.  Most ECC/HANH assisted families lease in the City of New Haven – a </w:t>
      </w:r>
      <w:r w:rsidR="13F38FBE" w:rsidRPr="00F75FAE">
        <w:rPr>
          <w:rFonts w:ascii="Century Gothic" w:hAnsi="Century Gothic"/>
        </w:rPr>
        <w:t>city</w:t>
      </w:r>
      <w:r w:rsidRPr="00F75FAE">
        <w:rPr>
          <w:rFonts w:ascii="Century Gothic" w:hAnsi="Century Gothic"/>
        </w:rPr>
        <w:t xml:space="preserve"> of high rates of poverty (over 25% of families live in poverty).  Affordable housing in the city is increasing with over 20 % of housing units subsidized.   Most census tracts in the city are classified as concentrated poverty areas.   This initiative seeks to allow ECC/HANH and its instrumentalities to develop housing opportunities that allow families from ECC/HANH waitlists to obtain housing opportunities that currently do not exist.</w:t>
      </w:r>
    </w:p>
    <w:p w14:paraId="3641A778" w14:textId="07F10CC5" w:rsidR="4566E4F4" w:rsidRPr="00F75FAE" w:rsidRDefault="4566E4F4" w:rsidP="4BC3B597">
      <w:pPr>
        <w:rPr>
          <w:rFonts w:ascii="Century Gothic" w:hAnsi="Century Gothic"/>
        </w:rPr>
      </w:pPr>
    </w:p>
    <w:p w14:paraId="2FB8FEF9" w14:textId="0CEE2B23" w:rsidR="00C25845" w:rsidRPr="00F75FAE" w:rsidRDefault="00DF22BA" w:rsidP="4566E4F4">
      <w:pPr>
        <w:rPr>
          <w:rFonts w:ascii="Century Gothic" w:eastAsia="MS PGothic" w:hAnsi="Century Gothic"/>
          <w:b/>
          <w:bCs/>
          <w:szCs w:val="22"/>
        </w:rPr>
      </w:pPr>
      <w:r w:rsidRPr="00F75FAE">
        <w:rPr>
          <w:rFonts w:ascii="Century Gothic" w:eastAsia="MS PGothic" w:hAnsi="Century Gothic"/>
          <w:b/>
          <w:bCs/>
          <w:szCs w:val="22"/>
        </w:rPr>
        <w:t>Impact</w:t>
      </w:r>
    </w:p>
    <w:p w14:paraId="27F98A26" w14:textId="77777777" w:rsidR="00DF22BA" w:rsidRPr="00F75FAE" w:rsidRDefault="00DF22BA" w:rsidP="4566E4F4">
      <w:pPr>
        <w:rPr>
          <w:rFonts w:ascii="Century Gothic" w:eastAsia="MS PGothic" w:hAnsi="Century Gothic"/>
          <w:b/>
          <w:bCs/>
          <w:szCs w:val="22"/>
        </w:rPr>
      </w:pPr>
    </w:p>
    <w:p w14:paraId="4BAABED7" w14:textId="52DE0E06" w:rsidR="00DF22BA" w:rsidRPr="00F75FAE" w:rsidRDefault="00DF22BA" w:rsidP="00DF22BA">
      <w:pPr>
        <w:autoSpaceDE w:val="0"/>
        <w:autoSpaceDN w:val="0"/>
        <w:adjustRightInd w:val="0"/>
        <w:rPr>
          <w:rFonts w:ascii="Century Gothic" w:hAnsi="Century Gothic"/>
          <w:szCs w:val="22"/>
        </w:rPr>
      </w:pPr>
      <w:r w:rsidRPr="00F75FAE">
        <w:rPr>
          <w:rFonts w:ascii="Century Gothic" w:hAnsi="Century Gothic"/>
          <w:szCs w:val="22"/>
        </w:rPr>
        <w:t xml:space="preserve">The “Opportunity areas” are areas identifies as “opportunity-rich” with </w:t>
      </w:r>
      <w:r w:rsidR="00570164" w:rsidRPr="00F75FAE">
        <w:rPr>
          <w:rFonts w:ascii="Century Gothic" w:hAnsi="Century Gothic"/>
          <w:szCs w:val="22"/>
        </w:rPr>
        <w:t xml:space="preserve">potentially </w:t>
      </w:r>
      <w:r w:rsidRPr="00F75FAE">
        <w:rPr>
          <w:rFonts w:ascii="Century Gothic" w:hAnsi="Century Gothic"/>
          <w:szCs w:val="22"/>
        </w:rPr>
        <w:t xml:space="preserve">greater access to educational outcomes, employment, lower poverty and reduced crime rates and more.  While the City of New Haven doesn’t fare well across several of these measures, it is in </w:t>
      </w:r>
      <w:proofErr w:type="gramStart"/>
      <w:r w:rsidRPr="00F75FAE">
        <w:rPr>
          <w:rFonts w:ascii="Century Gothic" w:hAnsi="Century Gothic"/>
          <w:szCs w:val="22"/>
        </w:rPr>
        <w:t>close proximity</w:t>
      </w:r>
      <w:proofErr w:type="gramEnd"/>
      <w:r w:rsidRPr="00F75FAE">
        <w:rPr>
          <w:rFonts w:ascii="Century Gothic" w:hAnsi="Century Gothic"/>
          <w:szCs w:val="22"/>
        </w:rPr>
        <w:t xml:space="preserve"> (within 15 miles) </w:t>
      </w:r>
      <w:r w:rsidR="0044250A" w:rsidRPr="00F75FAE">
        <w:rPr>
          <w:rFonts w:ascii="Century Gothic" w:hAnsi="Century Gothic"/>
          <w:szCs w:val="22"/>
        </w:rPr>
        <w:t>to</w:t>
      </w:r>
      <w:r w:rsidRPr="00F75FAE">
        <w:rPr>
          <w:rFonts w:ascii="Century Gothic" w:hAnsi="Century Gothic"/>
          <w:szCs w:val="22"/>
        </w:rPr>
        <w:t xml:space="preserve"> many towns that are considered High and Very High Opportunity.  </w:t>
      </w:r>
    </w:p>
    <w:p w14:paraId="70681B3D" w14:textId="77777777" w:rsidR="00DF22BA" w:rsidRPr="00F75FAE" w:rsidRDefault="00DF22BA" w:rsidP="00DF22BA">
      <w:pPr>
        <w:autoSpaceDE w:val="0"/>
        <w:autoSpaceDN w:val="0"/>
        <w:adjustRightInd w:val="0"/>
        <w:rPr>
          <w:rFonts w:ascii="Century Gothic" w:hAnsi="Century Gothic"/>
          <w:szCs w:val="22"/>
        </w:rPr>
      </w:pPr>
    </w:p>
    <w:p w14:paraId="64E9EAE5" w14:textId="7E81C0AA" w:rsidR="00DF22BA" w:rsidRPr="00F75FAE" w:rsidRDefault="00DF22BA" w:rsidP="00DF22BA">
      <w:pPr>
        <w:autoSpaceDE w:val="0"/>
        <w:autoSpaceDN w:val="0"/>
        <w:adjustRightInd w:val="0"/>
        <w:rPr>
          <w:rFonts w:ascii="Century Gothic" w:hAnsi="Century Gothic"/>
          <w:szCs w:val="22"/>
        </w:rPr>
      </w:pPr>
      <w:r w:rsidRPr="00F75FAE">
        <w:rPr>
          <w:rFonts w:ascii="Century Gothic" w:hAnsi="Century Gothic"/>
          <w:szCs w:val="22"/>
        </w:rPr>
        <w:t>There are approximately four neighborhoods in New Haven which are considered deconcentrated or high opportunity and due to the tight rental market, it has been difficult for most families to find housing. This initiative seeks to allow ECC/HANH and its instrumentalities to develop housing opportunities that allow families from ECC/HANH waitlists to obtain housing opportunities that currently do not exist in all areas of the city of New Haven and gives families housing choice opportunities.</w:t>
      </w:r>
    </w:p>
    <w:p w14:paraId="5536569F" w14:textId="77777777" w:rsidR="008D1CEF" w:rsidRPr="00F75FAE" w:rsidRDefault="008D1CEF" w:rsidP="00DF22BA">
      <w:pPr>
        <w:autoSpaceDE w:val="0"/>
        <w:autoSpaceDN w:val="0"/>
        <w:adjustRightInd w:val="0"/>
        <w:rPr>
          <w:rFonts w:ascii="Century Gothic" w:hAnsi="Century Gothic"/>
          <w:szCs w:val="22"/>
        </w:rPr>
      </w:pPr>
    </w:p>
    <w:p w14:paraId="37AE175D" w14:textId="464B149C" w:rsidR="008D1CEF" w:rsidRPr="00F75FAE" w:rsidRDefault="008D1CEF" w:rsidP="008D1CEF">
      <w:pPr>
        <w:rPr>
          <w:rFonts w:ascii="Century Gothic" w:hAnsi="Century Gothic"/>
        </w:rPr>
      </w:pPr>
      <w:r w:rsidRPr="00F75FAE">
        <w:rPr>
          <w:rFonts w:ascii="Century Gothic" w:hAnsi="Century Gothic"/>
        </w:rPr>
        <w:lastRenderedPageBreak/>
        <w:t>During FY 2021, ECC/HANH identified a partner agency through its competitive PBV RFP to develop housing in the neighboring town of Branford</w:t>
      </w:r>
      <w:r w:rsidR="00AE53F4" w:rsidRPr="00F75FAE">
        <w:rPr>
          <w:rFonts w:ascii="Century Gothic" w:hAnsi="Century Gothic"/>
        </w:rPr>
        <w:t>,</w:t>
      </w:r>
      <w:r w:rsidRPr="00F75FAE">
        <w:rPr>
          <w:rFonts w:ascii="Century Gothic" w:hAnsi="Century Gothic"/>
        </w:rPr>
        <w:t xml:space="preserve"> CT.  ECC/HANH awarded 40 units of PBV to this developer for the redevelopment of a formerly elderly only development into family affordable housing of which 40 </w:t>
      </w:r>
      <w:r w:rsidR="00AE53F4" w:rsidRPr="00F75FAE">
        <w:rPr>
          <w:rFonts w:ascii="Century Gothic" w:hAnsi="Century Gothic"/>
        </w:rPr>
        <w:t xml:space="preserve">housing choice vouchers </w:t>
      </w:r>
      <w:r w:rsidRPr="00F75FAE">
        <w:rPr>
          <w:rFonts w:ascii="Century Gothic" w:hAnsi="Century Gothic"/>
        </w:rPr>
        <w:t>will be subsidized by ECC/HANH</w:t>
      </w:r>
      <w:r w:rsidR="00AE53F4" w:rsidRPr="00F75FAE">
        <w:rPr>
          <w:rFonts w:ascii="Century Gothic" w:hAnsi="Century Gothic"/>
        </w:rPr>
        <w:t>.</w:t>
      </w:r>
      <w:r w:rsidRPr="00F75FAE">
        <w:rPr>
          <w:rFonts w:ascii="Century Gothic" w:hAnsi="Century Gothic"/>
        </w:rPr>
        <w:t xml:space="preserve"> </w:t>
      </w:r>
      <w:r w:rsidR="00AE53F4" w:rsidRPr="00F75FAE">
        <w:rPr>
          <w:rFonts w:ascii="Century Gothic" w:hAnsi="Century Gothic"/>
        </w:rPr>
        <w:t xml:space="preserve"> </w:t>
      </w:r>
      <w:r w:rsidRPr="00F75FAE">
        <w:rPr>
          <w:rFonts w:ascii="Century Gothic" w:hAnsi="Century Gothic"/>
        </w:rPr>
        <w:t xml:space="preserve">20 vouchers </w:t>
      </w:r>
      <w:r w:rsidR="002146C7">
        <w:rPr>
          <w:rFonts w:ascii="Century Gothic" w:hAnsi="Century Gothic"/>
        </w:rPr>
        <w:t>were</w:t>
      </w:r>
      <w:r w:rsidRPr="00F75FAE">
        <w:rPr>
          <w:rFonts w:ascii="Century Gothic" w:hAnsi="Century Gothic"/>
        </w:rPr>
        <w:t xml:space="preserve"> allocated for current </w:t>
      </w:r>
      <w:r w:rsidR="0044250A" w:rsidRPr="00F75FAE">
        <w:rPr>
          <w:rFonts w:ascii="Century Gothic" w:hAnsi="Century Gothic"/>
        </w:rPr>
        <w:t>residents,</w:t>
      </w:r>
      <w:r w:rsidRPr="00F75FAE">
        <w:rPr>
          <w:rFonts w:ascii="Century Gothic" w:hAnsi="Century Gothic"/>
        </w:rPr>
        <w:t xml:space="preserve"> and 20 vouchers </w:t>
      </w:r>
      <w:r w:rsidR="002146C7">
        <w:rPr>
          <w:rFonts w:ascii="Century Gothic" w:hAnsi="Century Gothic"/>
        </w:rPr>
        <w:t>were</w:t>
      </w:r>
      <w:r w:rsidRPr="00F75FAE">
        <w:rPr>
          <w:rFonts w:ascii="Century Gothic" w:hAnsi="Century Gothic"/>
        </w:rPr>
        <w:t xml:space="preserve"> allocated for applicants on the HCV waiting list</w:t>
      </w:r>
      <w:r w:rsidR="002146C7">
        <w:rPr>
          <w:rFonts w:ascii="Century Gothic" w:hAnsi="Century Gothic"/>
        </w:rPr>
        <w:t>.</w:t>
      </w:r>
    </w:p>
    <w:p w14:paraId="2CC32D3E" w14:textId="77777777" w:rsidR="008D1CEF" w:rsidRPr="00F75FAE" w:rsidRDefault="008D1CEF" w:rsidP="008D1CEF">
      <w:pPr>
        <w:rPr>
          <w:rFonts w:ascii="Century Gothic" w:hAnsi="Century Gothic"/>
        </w:rPr>
      </w:pPr>
    </w:p>
    <w:p w14:paraId="7CDBB49E" w14:textId="3B7A690B" w:rsidR="5D081AA3" w:rsidRPr="00F75FAE" w:rsidRDefault="002146C7" w:rsidP="2D03861B">
      <w:pPr>
        <w:rPr>
          <w:rFonts w:ascii="Century Gothic" w:eastAsia="Times New Roman" w:hAnsi="Century Gothic"/>
        </w:rPr>
      </w:pPr>
      <w:r>
        <w:rPr>
          <w:rFonts w:ascii="Century Gothic" w:eastAsia="Times New Roman" w:hAnsi="Century Gothic"/>
        </w:rPr>
        <w:t>In</w:t>
      </w:r>
      <w:r w:rsidR="38D8A4BF" w:rsidRPr="00F75FAE">
        <w:rPr>
          <w:rFonts w:ascii="Century Gothic" w:eastAsia="Times New Roman" w:hAnsi="Century Gothic"/>
        </w:rPr>
        <w:t xml:space="preserve"> FY 2022, ECC/HANH </w:t>
      </w:r>
      <w:proofErr w:type="gramStart"/>
      <w:r w:rsidR="38D8A4BF" w:rsidRPr="00F75FAE">
        <w:rPr>
          <w:rFonts w:ascii="Century Gothic" w:eastAsia="Times New Roman" w:hAnsi="Century Gothic"/>
        </w:rPr>
        <w:t>entered into</w:t>
      </w:r>
      <w:proofErr w:type="gramEnd"/>
      <w:r w:rsidR="38D8A4BF" w:rsidRPr="00F75FAE">
        <w:rPr>
          <w:rFonts w:ascii="Century Gothic" w:eastAsia="Times New Roman" w:hAnsi="Century Gothic"/>
        </w:rPr>
        <w:t xml:space="preserve"> an MOU with Branford Housing Authority and completed the AHAP for the undeveloped portion of the property.  The groundbreaking occurred in FY2022, and construction and lease up </w:t>
      </w:r>
      <w:proofErr w:type="gramStart"/>
      <w:r w:rsidR="0F8BF334" w:rsidRPr="00F75FAE">
        <w:rPr>
          <w:rFonts w:ascii="Century Gothic" w:eastAsia="Times New Roman" w:hAnsi="Century Gothic"/>
        </w:rPr>
        <w:t>was</w:t>
      </w:r>
      <w:proofErr w:type="gramEnd"/>
      <w:r w:rsidR="0F8BF334" w:rsidRPr="00F75FAE">
        <w:rPr>
          <w:rFonts w:ascii="Century Gothic" w:eastAsia="Times New Roman" w:hAnsi="Century Gothic"/>
        </w:rPr>
        <w:t xml:space="preserve"> completed in FY2024</w:t>
      </w:r>
      <w:r w:rsidR="38D8A4BF" w:rsidRPr="00F75FAE">
        <w:rPr>
          <w:rFonts w:ascii="Century Gothic" w:eastAsia="Times New Roman" w:hAnsi="Century Gothic"/>
        </w:rPr>
        <w:t>.</w:t>
      </w:r>
      <w:r w:rsidR="00F75FAE" w:rsidRPr="00F75FAE">
        <w:rPr>
          <w:rFonts w:ascii="Century Gothic" w:eastAsia="Times New Roman" w:hAnsi="Century Gothic"/>
        </w:rPr>
        <w:t xml:space="preserve"> </w:t>
      </w:r>
      <w:r w:rsidR="00F75FAE">
        <w:rPr>
          <w:rFonts w:ascii="Century Gothic" w:eastAsia="Times New Roman" w:hAnsi="Century Gothic"/>
        </w:rPr>
        <w:t xml:space="preserve"> </w:t>
      </w:r>
      <w:r w:rsidR="3C130894" w:rsidRPr="00F75FAE">
        <w:rPr>
          <w:rFonts w:ascii="Century Gothic" w:eastAsia="Times New Roman" w:hAnsi="Century Gothic"/>
        </w:rPr>
        <w:t>Lease up for the 19 of the 20 vouchers for current residents was completed in FY2023</w:t>
      </w:r>
      <w:r w:rsidR="053B139A" w:rsidRPr="00F75FAE">
        <w:rPr>
          <w:rFonts w:ascii="Century Gothic" w:eastAsia="Times New Roman" w:hAnsi="Century Gothic"/>
        </w:rPr>
        <w:t>, and the remaining 21 units were leased in FY2024.</w:t>
      </w:r>
    </w:p>
    <w:p w14:paraId="1E476EB3" w14:textId="191720F5" w:rsidR="0E6C54AB" w:rsidRPr="00F75FAE" w:rsidRDefault="0E6C54AB" w:rsidP="0E71204A">
      <w:pPr>
        <w:rPr>
          <w:rFonts w:ascii="Century Gothic" w:eastAsia="Times New Roman" w:hAnsi="Century Gothic"/>
          <w:sz w:val="20"/>
          <w:szCs w:val="20"/>
        </w:rPr>
      </w:pPr>
    </w:p>
    <w:p w14:paraId="4C7FA646" w14:textId="42080C92" w:rsidR="0E6C54AB" w:rsidRPr="00F75FAE" w:rsidRDefault="0E6C54AB" w:rsidP="0E6C54AB">
      <w:pPr>
        <w:rPr>
          <w:rFonts w:ascii="Century Gothic" w:eastAsia="MS PGothic" w:hAnsi="Century Gothic"/>
        </w:rPr>
      </w:pPr>
    </w:p>
    <w:p w14:paraId="31BA49B8" w14:textId="0FD94373" w:rsidR="7A9DC76E" w:rsidRDefault="7A9DC76E">
      <w:pPr>
        <w:rPr>
          <w:rFonts w:ascii="Century Gothic" w:eastAsia="MS PGothic" w:hAnsi="Century Gothic"/>
          <w:b/>
          <w:bCs/>
        </w:rPr>
      </w:pPr>
      <w:r w:rsidRPr="00F75FAE">
        <w:rPr>
          <w:rFonts w:ascii="Century Gothic" w:eastAsia="MS PGothic" w:hAnsi="Century Gothic"/>
          <w:b/>
          <w:bCs/>
        </w:rPr>
        <w:t>Outcome</w:t>
      </w:r>
    </w:p>
    <w:p w14:paraId="45EEDC1C" w14:textId="3689D05A" w:rsidR="002A38F8" w:rsidRPr="00F75FAE" w:rsidRDefault="002A38F8">
      <w:pPr>
        <w:rPr>
          <w:rFonts w:ascii="Century Gothic" w:eastAsia="MS PGothic" w:hAnsi="Century Gothic"/>
          <w:b/>
          <w:bCs/>
        </w:rPr>
      </w:pPr>
      <w:r>
        <w:rPr>
          <w:rFonts w:ascii="Century Gothic" w:eastAsia="MS PGothic" w:hAnsi="Century Gothic"/>
          <w:b/>
          <w:bCs/>
        </w:rPr>
        <w:t>Internal Metrics</w:t>
      </w:r>
    </w:p>
    <w:p w14:paraId="0DFB2F30" w14:textId="49FC4C8E" w:rsidR="00DE484C" w:rsidRPr="00F75FAE" w:rsidRDefault="00DE484C" w:rsidP="00DE484C">
      <w:pPr>
        <w:tabs>
          <w:tab w:val="left" w:pos="990"/>
          <w:tab w:val="left" w:pos="3510"/>
        </w:tabs>
        <w:rPr>
          <w:rFonts w:ascii="Century Gothic" w:eastAsia="Calibri" w:hAnsi="Century Gothic" w:cs="Calibri"/>
          <w:b/>
          <w:bCs/>
          <w:sz w:val="16"/>
          <w:szCs w:val="16"/>
        </w:rPr>
      </w:pPr>
    </w:p>
    <w:p w14:paraId="784DEA59" w14:textId="77777777" w:rsidR="00DE484C" w:rsidRPr="00F75FAE" w:rsidRDefault="00DE484C" w:rsidP="00DE484C">
      <w:pPr>
        <w:jc w:val="center"/>
        <w:rPr>
          <w:rFonts w:ascii="Century Gothic" w:eastAsia="Calibri" w:hAnsi="Century Gothic" w:cs="Calibri"/>
          <w:b/>
          <w:i/>
        </w:rPr>
      </w:pPr>
      <w:r w:rsidRPr="00F75FAE">
        <w:rPr>
          <w:rFonts w:ascii="Century Gothic" w:eastAsia="Calibri" w:hAnsi="Century Gothic" w:cs="Calibri"/>
          <w:b/>
          <w:i/>
        </w:rPr>
        <w:t>HC #1: Additional Units of Housing Made Available</w:t>
      </w:r>
    </w:p>
    <w:tbl>
      <w:tblPr>
        <w:tblStyle w:val="TableGrid"/>
        <w:tblW w:w="0" w:type="auto"/>
        <w:tblLayout w:type="fixed"/>
        <w:tblLook w:val="04A0" w:firstRow="1" w:lastRow="0" w:firstColumn="1" w:lastColumn="0" w:noHBand="0" w:noVBand="1"/>
      </w:tblPr>
      <w:tblGrid>
        <w:gridCol w:w="2730"/>
        <w:gridCol w:w="1875"/>
        <w:gridCol w:w="1890"/>
        <w:gridCol w:w="1890"/>
        <w:gridCol w:w="1800"/>
      </w:tblGrid>
      <w:tr w:rsidR="00DE484C" w:rsidRPr="00F75FAE" w14:paraId="0A655983" w14:textId="77777777" w:rsidTr="0E71204A">
        <w:tc>
          <w:tcPr>
            <w:tcW w:w="2730" w:type="dxa"/>
            <w:tcBorders>
              <w:top w:val="single" w:sz="18" w:space="0" w:color="auto"/>
              <w:left w:val="single" w:sz="18" w:space="0" w:color="auto"/>
              <w:bottom w:val="single" w:sz="18" w:space="0" w:color="auto"/>
              <w:right w:val="single" w:sz="18" w:space="0" w:color="auto"/>
            </w:tcBorders>
            <w:shd w:val="clear" w:color="auto" w:fill="E5E5E5"/>
            <w:vAlign w:val="center"/>
          </w:tcPr>
          <w:p w14:paraId="60245516" w14:textId="77777777" w:rsidR="00DE484C" w:rsidRPr="00F75FAE" w:rsidRDefault="00DE484C" w:rsidP="00B80A01">
            <w:pPr>
              <w:jc w:val="center"/>
              <w:rPr>
                <w:rFonts w:ascii="Century Gothic" w:eastAsia="Calibri" w:hAnsi="Century Gothic" w:cs="Calibri"/>
                <w:b/>
                <w:color w:val="000000" w:themeColor="text1"/>
              </w:rPr>
            </w:pPr>
            <w:r w:rsidRPr="00F75FAE">
              <w:rPr>
                <w:rFonts w:ascii="Century Gothic" w:eastAsia="Calibri" w:hAnsi="Century Gothic" w:cs="Calibri"/>
                <w:b/>
              </w:rPr>
              <w:t xml:space="preserve">Unit of </w:t>
            </w:r>
            <w:r w:rsidRPr="00F75FAE">
              <w:rPr>
                <w:rFonts w:ascii="Century Gothic" w:eastAsia="Calibri" w:hAnsi="Century Gothic" w:cs="Calibri"/>
                <w:b/>
                <w:color w:val="000000" w:themeColor="text1"/>
              </w:rPr>
              <w:t>Measurement</w:t>
            </w:r>
          </w:p>
        </w:tc>
        <w:tc>
          <w:tcPr>
            <w:tcW w:w="1875" w:type="dxa"/>
            <w:tcBorders>
              <w:top w:val="single" w:sz="18" w:space="0" w:color="auto"/>
              <w:left w:val="single" w:sz="18" w:space="0" w:color="auto"/>
              <w:bottom w:val="single" w:sz="18" w:space="0" w:color="auto"/>
              <w:right w:val="single" w:sz="18" w:space="0" w:color="auto"/>
            </w:tcBorders>
            <w:shd w:val="clear" w:color="auto" w:fill="E5E5E5"/>
            <w:vAlign w:val="center"/>
          </w:tcPr>
          <w:p w14:paraId="6CE11776" w14:textId="77777777" w:rsidR="00DE484C" w:rsidRPr="00F75FAE" w:rsidRDefault="00DE484C" w:rsidP="00B80A01">
            <w:pPr>
              <w:jc w:val="center"/>
              <w:rPr>
                <w:rFonts w:ascii="Century Gothic" w:eastAsia="Calibri" w:hAnsi="Century Gothic" w:cs="Calibri"/>
                <w:b/>
                <w:color w:val="000000" w:themeColor="text1"/>
              </w:rPr>
            </w:pPr>
            <w:r w:rsidRPr="00F75FAE">
              <w:rPr>
                <w:rFonts w:ascii="Century Gothic" w:eastAsia="Calibri" w:hAnsi="Century Gothic" w:cs="Calibri"/>
                <w:b/>
                <w:color w:val="000000" w:themeColor="text1"/>
              </w:rPr>
              <w:t>Baseline</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124E0E58" w14:textId="77777777" w:rsidR="00DE484C" w:rsidRPr="00F75FAE" w:rsidRDefault="00DE484C" w:rsidP="00B80A01">
            <w:pPr>
              <w:jc w:val="center"/>
              <w:rPr>
                <w:rFonts w:ascii="Century Gothic" w:eastAsia="Calibri" w:hAnsi="Century Gothic" w:cs="Calibri"/>
                <w:b/>
                <w:color w:val="000000" w:themeColor="text1"/>
              </w:rPr>
            </w:pPr>
            <w:r w:rsidRPr="00F75FAE">
              <w:rPr>
                <w:rFonts w:ascii="Century Gothic" w:eastAsia="Calibri" w:hAnsi="Century Gothic" w:cs="Calibri"/>
                <w:b/>
                <w:color w:val="000000" w:themeColor="text1"/>
              </w:rPr>
              <w:t>Benchmark</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5788FED7" w14:textId="77777777" w:rsidR="00DE484C" w:rsidRPr="00F75FAE" w:rsidRDefault="00DE484C" w:rsidP="00B80A01">
            <w:pPr>
              <w:jc w:val="center"/>
              <w:rPr>
                <w:rFonts w:ascii="Century Gothic" w:eastAsia="Calibri" w:hAnsi="Century Gothic" w:cs="Calibri"/>
                <w:b/>
                <w:color w:val="000000" w:themeColor="text1"/>
              </w:rPr>
            </w:pPr>
            <w:r w:rsidRPr="00F75FAE">
              <w:rPr>
                <w:rFonts w:ascii="Century Gothic" w:eastAsia="Calibri" w:hAnsi="Century Gothic" w:cs="Calibri"/>
                <w:b/>
                <w:color w:val="000000" w:themeColor="text1"/>
              </w:rPr>
              <w:t>Outcome</w:t>
            </w:r>
          </w:p>
        </w:tc>
        <w:tc>
          <w:tcPr>
            <w:tcW w:w="1800" w:type="dxa"/>
            <w:tcBorders>
              <w:top w:val="single" w:sz="18" w:space="0" w:color="auto"/>
              <w:left w:val="single" w:sz="18" w:space="0" w:color="auto"/>
              <w:bottom w:val="single" w:sz="18" w:space="0" w:color="auto"/>
              <w:right w:val="single" w:sz="18" w:space="0" w:color="auto"/>
            </w:tcBorders>
            <w:shd w:val="clear" w:color="auto" w:fill="E5E5E5"/>
            <w:vAlign w:val="center"/>
          </w:tcPr>
          <w:p w14:paraId="3DA552C6" w14:textId="77777777" w:rsidR="00DE484C" w:rsidRPr="00F75FAE" w:rsidRDefault="00DE484C" w:rsidP="00B80A01">
            <w:pPr>
              <w:jc w:val="center"/>
              <w:rPr>
                <w:rFonts w:ascii="Century Gothic" w:eastAsia="Calibri" w:hAnsi="Century Gothic" w:cs="Calibri"/>
                <w:b/>
                <w:color w:val="000000" w:themeColor="text1"/>
              </w:rPr>
            </w:pPr>
            <w:r w:rsidRPr="00F75FAE">
              <w:rPr>
                <w:rFonts w:ascii="Century Gothic" w:eastAsia="Calibri" w:hAnsi="Century Gothic" w:cs="Calibri"/>
                <w:b/>
                <w:color w:val="000000" w:themeColor="text1"/>
              </w:rPr>
              <w:t>Benchmark Achieved?</w:t>
            </w:r>
          </w:p>
        </w:tc>
      </w:tr>
      <w:tr w:rsidR="00DE484C" w:rsidRPr="00F75FAE" w14:paraId="71B6C6C3" w14:textId="77777777" w:rsidTr="0E71204A">
        <w:tc>
          <w:tcPr>
            <w:tcW w:w="2730" w:type="dxa"/>
            <w:tcBorders>
              <w:top w:val="single" w:sz="18" w:space="0" w:color="auto"/>
              <w:left w:val="single" w:sz="18" w:space="0" w:color="auto"/>
              <w:bottom w:val="single" w:sz="18" w:space="0" w:color="auto"/>
              <w:right w:val="single" w:sz="18" w:space="0" w:color="auto"/>
            </w:tcBorders>
          </w:tcPr>
          <w:p w14:paraId="6D27B96C" w14:textId="77777777" w:rsidR="00DE484C" w:rsidRPr="00F75FAE" w:rsidRDefault="00DE484C" w:rsidP="00B80A01">
            <w:pPr>
              <w:rPr>
                <w:rFonts w:ascii="Century Gothic" w:hAnsi="Century Gothic"/>
                <w:szCs w:val="22"/>
              </w:rPr>
            </w:pPr>
            <w:r w:rsidRPr="00F75FAE">
              <w:rPr>
                <w:rFonts w:ascii="Century Gothic" w:eastAsia="Calibri" w:hAnsi="Century Gothic"/>
                <w:szCs w:val="22"/>
              </w:rPr>
              <w:t xml:space="preserve">Number of new housing units made available for households at or below 80% AMI </w:t>
            </w:r>
            <w:proofErr w:type="gramStart"/>
            <w:r w:rsidRPr="00F75FAE">
              <w:rPr>
                <w:rFonts w:ascii="Century Gothic" w:eastAsia="Calibri" w:hAnsi="Century Gothic"/>
                <w:szCs w:val="22"/>
              </w:rPr>
              <w:t>as a result of</w:t>
            </w:r>
            <w:proofErr w:type="gramEnd"/>
            <w:r w:rsidRPr="00F75FAE">
              <w:rPr>
                <w:rFonts w:ascii="Century Gothic" w:eastAsia="Calibri" w:hAnsi="Century Gothic"/>
                <w:szCs w:val="22"/>
              </w:rPr>
              <w:t xml:space="preserve"> the activity (increase). If units reach a specific type of household, give that type in this box.</w:t>
            </w:r>
          </w:p>
        </w:tc>
        <w:tc>
          <w:tcPr>
            <w:tcW w:w="1875" w:type="dxa"/>
            <w:tcBorders>
              <w:top w:val="single" w:sz="18" w:space="0" w:color="auto"/>
              <w:left w:val="single" w:sz="18" w:space="0" w:color="auto"/>
              <w:bottom w:val="single" w:sz="18" w:space="0" w:color="auto"/>
              <w:right w:val="single" w:sz="18" w:space="0" w:color="auto"/>
            </w:tcBorders>
          </w:tcPr>
          <w:p w14:paraId="28016556" w14:textId="64BF5B63" w:rsidR="00DE484C" w:rsidRPr="00F75FAE" w:rsidRDefault="004B3AEF" w:rsidP="00B80A01">
            <w:pPr>
              <w:rPr>
                <w:rFonts w:ascii="Century Gothic" w:eastAsia="Calibri" w:hAnsi="Century Gothic"/>
                <w:szCs w:val="22"/>
              </w:rPr>
            </w:pPr>
            <w:r w:rsidRPr="00F75FAE">
              <w:rPr>
                <w:rFonts w:ascii="Century Gothic" w:eastAsia="Calibri" w:hAnsi="Century Gothic"/>
                <w:szCs w:val="22"/>
              </w:rPr>
              <w:t>Z</w:t>
            </w:r>
            <w:r w:rsidR="00DE484C" w:rsidRPr="00F75FAE">
              <w:rPr>
                <w:rFonts w:ascii="Century Gothic" w:eastAsia="Calibri" w:hAnsi="Century Gothic"/>
                <w:szCs w:val="22"/>
              </w:rPr>
              <w:t>ero</w:t>
            </w:r>
            <w:r w:rsidRPr="00F75FAE">
              <w:rPr>
                <w:rFonts w:ascii="Century Gothic" w:eastAsia="Calibri" w:hAnsi="Century Gothic"/>
                <w:szCs w:val="22"/>
              </w:rPr>
              <w:t xml:space="preserve"> (0)</w:t>
            </w:r>
          </w:p>
        </w:tc>
        <w:tc>
          <w:tcPr>
            <w:tcW w:w="1890" w:type="dxa"/>
            <w:tcBorders>
              <w:top w:val="single" w:sz="18" w:space="0" w:color="auto"/>
              <w:left w:val="single" w:sz="18" w:space="0" w:color="auto"/>
              <w:bottom w:val="single" w:sz="18" w:space="0" w:color="auto"/>
              <w:right w:val="single" w:sz="18" w:space="0" w:color="auto"/>
            </w:tcBorders>
          </w:tcPr>
          <w:p w14:paraId="5A1E7E4E" w14:textId="57AAAC4C" w:rsidR="00DE484C" w:rsidRPr="00F75FAE" w:rsidRDefault="45312718" w:rsidP="4566E4F4">
            <w:pPr>
              <w:rPr>
                <w:rFonts w:ascii="Century Gothic" w:eastAsia="MS PGothic" w:hAnsi="Century Gothic"/>
              </w:rPr>
            </w:pPr>
            <w:r w:rsidRPr="00F75FAE">
              <w:rPr>
                <w:rFonts w:ascii="Century Gothic" w:eastAsia="Calibri" w:hAnsi="Century Gothic"/>
              </w:rPr>
              <w:t>Not to exceed 5% of ECC</w:t>
            </w:r>
            <w:r w:rsidR="3269D050" w:rsidRPr="00F75FAE">
              <w:rPr>
                <w:rFonts w:ascii="Century Gothic" w:eastAsia="Calibri" w:hAnsi="Century Gothic"/>
              </w:rPr>
              <w:t>/</w:t>
            </w:r>
            <w:r w:rsidRPr="00F75FAE">
              <w:rPr>
                <w:rFonts w:ascii="Century Gothic" w:eastAsia="Calibri" w:hAnsi="Century Gothic"/>
              </w:rPr>
              <w:t>HANH’s total non-RAD voucher authority</w:t>
            </w:r>
          </w:p>
          <w:p w14:paraId="5D990018" w14:textId="6EB42434" w:rsidR="00DE484C" w:rsidRPr="00F75FAE" w:rsidRDefault="00DE484C" w:rsidP="4566E4F4">
            <w:pPr>
              <w:rPr>
                <w:rFonts w:ascii="Century Gothic" w:eastAsia="MS PGothic" w:hAnsi="Century Gothic"/>
                <w:szCs w:val="22"/>
              </w:rPr>
            </w:pPr>
          </w:p>
          <w:p w14:paraId="58996CE2" w14:textId="6D91B1A3" w:rsidR="00DE484C" w:rsidRPr="00F75FAE" w:rsidRDefault="00DE484C" w:rsidP="69F54F67">
            <w:pPr>
              <w:rPr>
                <w:rFonts w:ascii="Century Gothic" w:eastAsia="Calibri" w:hAnsi="Century Gothic"/>
              </w:rPr>
            </w:pPr>
          </w:p>
        </w:tc>
        <w:tc>
          <w:tcPr>
            <w:tcW w:w="1890" w:type="dxa"/>
            <w:tcBorders>
              <w:top w:val="single" w:sz="18" w:space="0" w:color="auto"/>
              <w:left w:val="single" w:sz="18" w:space="0" w:color="auto"/>
              <w:bottom w:val="single" w:sz="18" w:space="0" w:color="auto"/>
              <w:right w:val="single" w:sz="18" w:space="0" w:color="auto"/>
            </w:tcBorders>
          </w:tcPr>
          <w:p w14:paraId="2BFE664F" w14:textId="165BE1F4" w:rsidR="18364222" w:rsidRPr="00F75FAE" w:rsidRDefault="3D0C74BF" w:rsidP="6F807E50">
            <w:pPr>
              <w:rPr>
                <w:rFonts w:ascii="Century Gothic" w:eastAsia="Calibri" w:hAnsi="Century Gothic"/>
              </w:rPr>
            </w:pPr>
            <w:r w:rsidRPr="00F75FAE">
              <w:rPr>
                <w:rFonts w:ascii="Century Gothic" w:eastAsia="Calibri" w:hAnsi="Century Gothic"/>
              </w:rPr>
              <w:t xml:space="preserve">2024: </w:t>
            </w:r>
            <w:r w:rsidR="52CF0D6A" w:rsidRPr="00F75FAE">
              <w:rPr>
                <w:rFonts w:ascii="Century Gothic" w:eastAsia="Calibri" w:hAnsi="Century Gothic"/>
              </w:rPr>
              <w:t>21</w:t>
            </w:r>
          </w:p>
          <w:p w14:paraId="10F2EF60" w14:textId="57062508" w:rsidR="00DE484C" w:rsidRPr="00F75FAE" w:rsidRDefault="3D0C74BF" w:rsidP="4B60C82B">
            <w:pPr>
              <w:rPr>
                <w:rFonts w:ascii="Century Gothic" w:eastAsia="Calibri" w:hAnsi="Century Gothic"/>
              </w:rPr>
            </w:pPr>
            <w:r w:rsidRPr="00F75FAE">
              <w:rPr>
                <w:rFonts w:ascii="Century Gothic" w:eastAsia="Calibri" w:hAnsi="Century Gothic"/>
              </w:rPr>
              <w:t xml:space="preserve">2023: </w:t>
            </w:r>
            <w:r w:rsidR="6E9E7AAC" w:rsidRPr="00F75FAE">
              <w:rPr>
                <w:rFonts w:ascii="Century Gothic" w:eastAsia="Calibri" w:hAnsi="Century Gothic"/>
              </w:rPr>
              <w:t>19</w:t>
            </w:r>
          </w:p>
        </w:tc>
        <w:tc>
          <w:tcPr>
            <w:tcW w:w="1800" w:type="dxa"/>
            <w:tcBorders>
              <w:top w:val="single" w:sz="18" w:space="0" w:color="auto"/>
              <w:left w:val="single" w:sz="18" w:space="0" w:color="auto"/>
              <w:bottom w:val="single" w:sz="18" w:space="0" w:color="auto"/>
              <w:right w:val="single" w:sz="18" w:space="0" w:color="auto"/>
            </w:tcBorders>
          </w:tcPr>
          <w:p w14:paraId="52D5DE1C" w14:textId="1C76F66A" w:rsidR="00DE484C" w:rsidRPr="00F75FAE" w:rsidRDefault="300D6121">
            <w:pPr>
              <w:rPr>
                <w:rFonts w:ascii="Century Gothic" w:eastAsia="Calibri" w:hAnsi="Century Gothic"/>
              </w:rPr>
            </w:pPr>
            <w:r w:rsidRPr="00F75FAE" w:rsidDel="6A7173F0">
              <w:rPr>
                <w:rFonts w:ascii="Century Gothic" w:eastAsia="Calibri" w:hAnsi="Century Gothic"/>
              </w:rPr>
              <w:t>Yes</w:t>
            </w:r>
          </w:p>
        </w:tc>
      </w:tr>
    </w:tbl>
    <w:p w14:paraId="0BF42AF1" w14:textId="77777777" w:rsidR="00DE484C" w:rsidRPr="00F75FAE" w:rsidRDefault="00DE484C" w:rsidP="00DE484C">
      <w:pPr>
        <w:pStyle w:val="Heading4"/>
        <w:rPr>
          <w:rStyle w:val="SubtleEmphasis"/>
          <w:rFonts w:ascii="Century Gothic" w:hAnsi="Century Gothic"/>
          <w:color w:val="808080" w:themeColor="background1" w:themeShade="80"/>
          <w:sz w:val="22"/>
        </w:rPr>
      </w:pPr>
      <w:r w:rsidRPr="00F75FAE">
        <w:rPr>
          <w:rStyle w:val="SubtleEmphasis"/>
          <w:rFonts w:ascii="Century Gothic" w:hAnsi="Century Gothic" w:cs="Times New Roman"/>
          <w:color w:val="808080" w:themeColor="background1" w:themeShade="80"/>
          <w:sz w:val="22"/>
        </w:rPr>
        <w:t>Actual Non-Significant Changes</w:t>
      </w:r>
    </w:p>
    <w:p w14:paraId="31201C05" w14:textId="77777777" w:rsidR="00DE484C" w:rsidRPr="00F75FAE" w:rsidRDefault="00DE484C" w:rsidP="00DE484C">
      <w:pPr>
        <w:rPr>
          <w:rFonts w:ascii="Century Gothic" w:hAnsi="Century Gothic"/>
        </w:rPr>
      </w:pPr>
      <w:r w:rsidRPr="00F75FAE">
        <w:rPr>
          <w:rFonts w:ascii="Century Gothic" w:hAnsi="Century Gothic"/>
        </w:rPr>
        <w:t>None</w:t>
      </w:r>
    </w:p>
    <w:p w14:paraId="07FE38E1" w14:textId="30C098CE" w:rsidR="4566E4F4" w:rsidRPr="00F75FAE" w:rsidRDefault="4566E4F4" w:rsidP="4566E4F4">
      <w:pPr>
        <w:rPr>
          <w:rFonts w:ascii="Century Gothic" w:eastAsia="MS PGothic" w:hAnsi="Century Gothic"/>
          <w:szCs w:val="22"/>
        </w:rPr>
      </w:pPr>
    </w:p>
    <w:p w14:paraId="4AF09CB1" w14:textId="77777777" w:rsidR="00DE484C" w:rsidRPr="00F75FAE" w:rsidRDefault="00DE484C" w:rsidP="00DE484C">
      <w:pPr>
        <w:rPr>
          <w:rStyle w:val="SubtleEmphasis"/>
          <w:rFonts w:ascii="Century Gothic" w:eastAsiaTheme="majorEastAsia" w:hAnsi="Century Gothic"/>
          <w:b/>
          <w:bCs/>
          <w:color w:val="808080" w:themeColor="background1" w:themeShade="80"/>
          <w:sz w:val="22"/>
          <w:szCs w:val="22"/>
        </w:rPr>
      </w:pPr>
      <w:r w:rsidRPr="00F75FAE">
        <w:rPr>
          <w:rStyle w:val="SubtleEmphasis"/>
          <w:rFonts w:ascii="Century Gothic" w:eastAsiaTheme="majorEastAsia" w:hAnsi="Century Gothic"/>
          <w:b/>
          <w:bCs/>
          <w:color w:val="808080" w:themeColor="background1" w:themeShade="80"/>
          <w:sz w:val="22"/>
          <w:szCs w:val="22"/>
        </w:rPr>
        <w:t>Actual Significant Changes</w:t>
      </w:r>
    </w:p>
    <w:p w14:paraId="1D12060F" w14:textId="0BACE99C" w:rsidR="39F0821C" w:rsidRPr="00F75FAE" w:rsidRDefault="4D67EC17" w:rsidP="39F0821C">
      <w:pPr>
        <w:rPr>
          <w:rFonts w:ascii="Century Gothic" w:hAnsi="Century Gothic"/>
        </w:rPr>
      </w:pPr>
      <w:r w:rsidRPr="00F75FAE">
        <w:rPr>
          <w:rFonts w:ascii="Century Gothic" w:hAnsi="Century Gothic"/>
        </w:rPr>
        <w:t>None</w:t>
      </w:r>
    </w:p>
    <w:p w14:paraId="0D1D4C47" w14:textId="7ED1F2F2" w:rsidR="00C35F1D" w:rsidRPr="00E52FAA" w:rsidRDefault="00DE484C" w:rsidP="00C35F1D">
      <w:pPr>
        <w:pStyle w:val="MTWHeader2"/>
        <w:rPr>
          <w:rFonts w:ascii="Century Gothic" w:hAnsi="Century Gothic" w:cs="Times New Roman"/>
          <w:sz w:val="22"/>
          <w:szCs w:val="22"/>
        </w:rPr>
      </w:pPr>
      <w:r>
        <w:br w:type="page"/>
      </w:r>
      <w:bookmarkStart w:id="124" w:name="_Hlk112755384"/>
      <w:bookmarkEnd w:id="123"/>
      <w:r w:rsidR="522A772C" w:rsidRPr="00E52FAA">
        <w:rPr>
          <w:rFonts w:ascii="Century Gothic" w:hAnsi="Century Gothic" w:cs="Times New Roman"/>
          <w:sz w:val="22"/>
          <w:szCs w:val="22"/>
        </w:rPr>
        <w:lastRenderedPageBreak/>
        <w:t xml:space="preserve">1.22 Initiative 3.7 Non-Traditional Supportive Housing with Time Limited Support for Families Transitioning from Homelessness </w:t>
      </w:r>
    </w:p>
    <w:p w14:paraId="3803EF13" w14:textId="77777777" w:rsidR="00C35F1D" w:rsidRPr="00E52FAA" w:rsidRDefault="00C35F1D" w:rsidP="00C35F1D">
      <w:pPr>
        <w:rPr>
          <w:rFonts w:ascii="Century Gothic" w:hAnsi="Century Gothic"/>
        </w:rPr>
      </w:pPr>
      <w:r w:rsidRPr="00E52FAA">
        <w:rPr>
          <w:rFonts w:ascii="Century Gothic" w:hAnsi="Century Gothic"/>
        </w:rPr>
        <w:t xml:space="preserve">Approved in FY19. </w:t>
      </w:r>
    </w:p>
    <w:p w14:paraId="09F776FC" w14:textId="0A23534C" w:rsidR="00C35F1D" w:rsidRPr="00367F45" w:rsidRDefault="00DE6A54" w:rsidP="00C35F1D">
      <w:pPr>
        <w:ind w:left="7920"/>
        <w:rPr>
          <w:rFonts w:ascii="Century Gothic" w:eastAsia="MS PGothic" w:hAnsi="Century Gothic"/>
        </w:rPr>
      </w:pPr>
      <w:r w:rsidRPr="00E52FAA">
        <w:rPr>
          <w:rFonts w:ascii="Century Gothic" w:hAnsi="Century Gothic"/>
          <w:noProof/>
        </w:rPr>
        <mc:AlternateContent>
          <mc:Choice Requires="wps">
            <w:drawing>
              <wp:anchor distT="0" distB="0" distL="114300" distR="114300" simplePos="0" relativeHeight="251658259" behindDoc="0" locked="0" layoutInCell="1" allowOverlap="1" wp14:anchorId="32DA6A46" wp14:editId="36BCF582">
                <wp:simplePos x="0" y="0"/>
                <wp:positionH relativeFrom="margin">
                  <wp:posOffset>3622040</wp:posOffset>
                </wp:positionH>
                <wp:positionV relativeFrom="paragraph">
                  <wp:posOffset>6985</wp:posOffset>
                </wp:positionV>
                <wp:extent cx="1318260" cy="298450"/>
                <wp:effectExtent l="0" t="0" r="0" b="6350"/>
                <wp:wrapNone/>
                <wp:docPr id="459"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298450"/>
                        </a:xfrm>
                        <a:prstGeom prst="roundRect">
                          <a:avLst/>
                        </a:prstGeom>
                        <a:solidFill>
                          <a:srgbClr val="B5333C"/>
                        </a:solidFill>
                        <a:ln w="12700" cap="flat" cmpd="sng" algn="ctr">
                          <a:solidFill>
                            <a:sysClr val="window" lastClr="FFFFFF"/>
                          </a:solidFill>
                          <a:prstDash val="solid"/>
                          <a:miter lim="800000"/>
                        </a:ln>
                        <a:effectLst/>
                      </wps:spPr>
                      <wps:txbx>
                        <w:txbxContent>
                          <w:p w14:paraId="232E6218" w14:textId="77777777" w:rsidR="00C35F1D" w:rsidRPr="004C470A" w:rsidRDefault="00C35F1D" w:rsidP="00C35F1D">
                            <w:pPr>
                              <w:jc w:val="center"/>
                              <w:rPr>
                                <w:b/>
                                <w:color w:val="FFFFFF" w:themeColor="background1"/>
                                <w:szCs w:val="20"/>
                              </w:rPr>
                            </w:pPr>
                            <w:r w:rsidRPr="004C470A">
                              <w:rPr>
                                <w:b/>
                                <w:color w:val="FFFFFF" w:themeColor="background1"/>
                                <w:szCs w:val="20"/>
                              </w:rPr>
                              <w:t>Housing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2DA6A46" id="Rectangle: Rounded Corners 82" o:spid="_x0000_s1052" style="position:absolute;left:0;text-align:left;margin-left:285.2pt;margin-top:.55pt;width:103.8pt;height:23.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" fillcolor="#b5333c" strokecolor="window" strokeweight="1pt">
                <v:stroke joinstyle="miter"/>
                <v:path arrowok="t"/>
                <v:textbox>
                  <w:txbxContent>
                    <w:p w14:paraId="232E6218" w14:textId="77777777" w:rsidR="00C35F1D" w:rsidRPr="004C470A" w:rsidRDefault="00C35F1D" w:rsidP="00C35F1D">
                      <w:pPr>
                        <w:jc w:val="center"/>
                        <w:rPr>
                          <w:b/>
                          <w:color w:val="FFFFFF" w:themeColor="background1"/>
                          <w:szCs w:val="20"/>
                        </w:rPr>
                      </w:pPr>
                      <w:r w:rsidRPr="004C470A">
                        <w:rPr>
                          <w:b/>
                          <w:color w:val="FFFFFF" w:themeColor="background1"/>
                          <w:szCs w:val="20"/>
                        </w:rPr>
                        <w:t>Housing Choice</w:t>
                      </w:r>
                    </w:p>
                  </w:txbxContent>
                </v:textbox>
                <w10:wrap anchorx="margin"/>
              </v:roundrect>
            </w:pict>
          </mc:Fallback>
        </mc:AlternateContent>
      </w:r>
      <w:r w:rsidRPr="00E52FAA">
        <w:rPr>
          <w:rFonts w:ascii="Century Gothic" w:hAnsi="Century Gothic"/>
          <w:noProof/>
        </w:rPr>
        <mc:AlternateContent>
          <mc:Choice Requires="wps">
            <w:drawing>
              <wp:inline distT="0" distB="0" distL="0" distR="0" wp14:anchorId="16E07C86" wp14:editId="23E6B3AB">
                <wp:extent cx="1318260" cy="312420"/>
                <wp:effectExtent l="9525" t="9525" r="15240" b="11430"/>
                <wp:docPr id="458"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8260" cy="312420"/>
                        </a:xfrm>
                        <a:prstGeom prst="roundRect">
                          <a:avLst>
                            <a:gd name="adj" fmla="val 16667"/>
                          </a:avLst>
                        </a:prstGeom>
                        <a:solidFill>
                          <a:srgbClr val="B5333C"/>
                        </a:solidFill>
                        <a:ln w="12700">
                          <a:solidFill>
                            <a:srgbClr val="FFFFFF"/>
                          </a:solidFill>
                          <a:miter lim="800000"/>
                          <a:headEnd/>
                          <a:tailEnd/>
                        </a:ln>
                      </wps:spPr>
                      <wps:txbx>
                        <w:txbxContent>
                          <w:p w14:paraId="5AB033EF" w14:textId="77777777" w:rsidR="00C35F1D" w:rsidRPr="00EC5276" w:rsidRDefault="00C35F1D" w:rsidP="00C35F1D">
                            <w:pPr>
                              <w:jc w:val="center"/>
                              <w:rPr>
                                <w:b/>
                                <w:color w:val="FFFFFF" w:themeColor="background1"/>
                                <w:szCs w:val="20"/>
                              </w:rPr>
                            </w:pPr>
                            <w:r w:rsidRPr="00EC5276">
                              <w:rPr>
                                <w:b/>
                                <w:color w:val="FFFFFF" w:themeColor="background1"/>
                                <w:szCs w:val="20"/>
                              </w:rPr>
                              <w:t>Self-Sufficiency</w:t>
                            </w:r>
                          </w:p>
                        </w:txbxContent>
                      </wps:txbx>
                      <wps:bodyPr rot="0" vert="horz" wrap="square" lIns="91440" tIns="45720" rIns="91440" bIns="45720" anchor="ctr" anchorCtr="0" upright="1">
                        <a:noAutofit/>
                      </wps:bodyPr>
                    </wps:wsp>
                  </a:graphicData>
                </a:graphic>
              </wp:inline>
            </w:drawing>
          </mc:Choice>
          <mc:Fallback>
            <w:pict>
              <v:roundrect w14:anchorId="16E07C86" id="Rectangle: Rounded Corners 83" o:spid="_x0000_s1053" style="width:103.8pt;height:24.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" fillcolor="#b5333c" strokecolor="white" strokeweight="1pt">
                <v:stroke joinstyle="miter"/>
                <v:path arrowok="t"/>
                <v:textbox>
                  <w:txbxContent>
                    <w:p w14:paraId="5AB033EF" w14:textId="77777777" w:rsidR="00C35F1D" w:rsidRPr="00EC5276" w:rsidRDefault="00C35F1D" w:rsidP="00C35F1D">
                      <w:pPr>
                        <w:jc w:val="center"/>
                        <w:rPr>
                          <w:b/>
                          <w:color w:val="FFFFFF" w:themeColor="background1"/>
                          <w:szCs w:val="20"/>
                        </w:rPr>
                      </w:pPr>
                      <w:r w:rsidRPr="00EC5276">
                        <w:rPr>
                          <w:b/>
                          <w:color w:val="FFFFFF" w:themeColor="background1"/>
                          <w:szCs w:val="20"/>
                        </w:rPr>
                        <w:t>Self-Sufficiency</w:t>
                      </w:r>
                    </w:p>
                  </w:txbxContent>
                </v:textbox>
                <w10:anchorlock/>
              </v:roundrect>
            </w:pict>
          </mc:Fallback>
        </mc:AlternateContent>
      </w:r>
    </w:p>
    <w:p w14:paraId="759C552B" w14:textId="1C4119E8" w:rsidR="00C35F1D" w:rsidRPr="00367F45" w:rsidRDefault="5C2C357D" w:rsidP="00C35F1D">
      <w:pPr>
        <w:pStyle w:val="Heading4"/>
        <w:rPr>
          <w:rFonts w:ascii="Century Gothic" w:hAnsi="Century Gothic" w:cs="Times New Roman"/>
        </w:rPr>
      </w:pPr>
      <w:r w:rsidRPr="00367F45">
        <w:rPr>
          <w:rFonts w:ascii="Century Gothic" w:hAnsi="Century Gothic" w:cs="Times New Roman"/>
        </w:rPr>
        <w:t>Description</w:t>
      </w:r>
    </w:p>
    <w:p w14:paraId="00F55893" w14:textId="58986249" w:rsidR="00C35F1D" w:rsidRPr="00367F45" w:rsidRDefault="261FC215" w:rsidP="7D08BF33">
      <w:pPr>
        <w:rPr>
          <w:rFonts w:ascii="Century Gothic" w:eastAsia="Times New Roman" w:hAnsi="Century Gothic"/>
          <w:szCs w:val="22"/>
        </w:rPr>
      </w:pPr>
      <w:r w:rsidRPr="00367F45">
        <w:rPr>
          <w:rFonts w:ascii="Century Gothic" w:hAnsi="Century Gothic"/>
        </w:rPr>
        <w:t>ECC/HANH</w:t>
      </w:r>
      <w:r w:rsidR="639DCF5C" w:rsidRPr="00367F45">
        <w:rPr>
          <w:rFonts w:ascii="Century Gothic" w:hAnsi="Century Gothic"/>
        </w:rPr>
        <w:t xml:space="preserve"> has </w:t>
      </w:r>
      <w:r w:rsidRPr="00367F45">
        <w:rPr>
          <w:rFonts w:ascii="Century Gothic" w:hAnsi="Century Gothic"/>
        </w:rPr>
        <w:t>co-develop</w:t>
      </w:r>
      <w:r w:rsidR="639DCF5C" w:rsidRPr="00367F45">
        <w:rPr>
          <w:rFonts w:ascii="Century Gothic" w:hAnsi="Century Gothic"/>
        </w:rPr>
        <w:t xml:space="preserve">ed </w:t>
      </w:r>
      <w:r w:rsidRPr="00367F45">
        <w:rPr>
          <w:rFonts w:ascii="Century Gothic" w:hAnsi="Century Gothic"/>
        </w:rPr>
        <w:t xml:space="preserve">non-traditional housing </w:t>
      </w:r>
      <w:proofErr w:type="gramStart"/>
      <w:r w:rsidRPr="00367F45">
        <w:rPr>
          <w:rFonts w:ascii="Century Gothic" w:hAnsi="Century Gothic"/>
        </w:rPr>
        <w:t>supports</w:t>
      </w:r>
      <w:proofErr w:type="gramEnd"/>
      <w:r w:rsidRPr="00367F45">
        <w:rPr>
          <w:rFonts w:ascii="Century Gothic" w:hAnsi="Century Gothic"/>
        </w:rPr>
        <w:t xml:space="preserve"> for units of affordable housing for families transitioning from homelessness. This support is targeted toward families seeking economic self-sufficiency following shelter and transitional housing</w:t>
      </w:r>
      <w:r w:rsidR="2ECC0853" w:rsidRPr="00367F45">
        <w:rPr>
          <w:rFonts w:ascii="Century Gothic" w:hAnsi="Century Gothic"/>
        </w:rPr>
        <w:t>,</w:t>
      </w:r>
      <w:r w:rsidRPr="00367F45">
        <w:rPr>
          <w:rFonts w:ascii="Century Gothic" w:hAnsi="Century Gothic"/>
        </w:rPr>
        <w:t xml:space="preserve"> offered through a community provider. The first project developed under this initiative </w:t>
      </w:r>
      <w:r w:rsidR="2EE171CB" w:rsidRPr="00367F45">
        <w:rPr>
          <w:rFonts w:ascii="Century Gothic" w:hAnsi="Century Gothic"/>
        </w:rPr>
        <w:t>is</w:t>
      </w:r>
      <w:r w:rsidRPr="00367F45">
        <w:rPr>
          <w:rFonts w:ascii="Century Gothic" w:hAnsi="Century Gothic"/>
        </w:rPr>
        <w:t xml:space="preserve"> </w:t>
      </w:r>
      <w:r w:rsidR="00BA7387" w:rsidRPr="00367F45">
        <w:rPr>
          <w:rFonts w:ascii="Century Gothic" w:hAnsi="Century Gothic"/>
        </w:rPr>
        <w:t>an</w:t>
      </w:r>
      <w:r w:rsidRPr="00367F45">
        <w:rPr>
          <w:rFonts w:ascii="Century Gothic" w:hAnsi="Century Gothic"/>
        </w:rPr>
        <w:t xml:space="preserve"> </w:t>
      </w:r>
      <w:r w:rsidR="0961979B" w:rsidRPr="00367F45">
        <w:rPr>
          <w:rFonts w:ascii="Century Gothic" w:hAnsi="Century Gothic"/>
        </w:rPr>
        <w:t>18</w:t>
      </w:r>
      <w:r w:rsidRPr="00367F45">
        <w:rPr>
          <w:rFonts w:ascii="Century Gothic" w:hAnsi="Century Gothic"/>
        </w:rPr>
        <w:t>-</w:t>
      </w:r>
      <w:r w:rsidR="00486062" w:rsidRPr="00367F45">
        <w:rPr>
          <w:rFonts w:ascii="Century Gothic" w:hAnsi="Century Gothic"/>
        </w:rPr>
        <w:t>unit</w:t>
      </w:r>
      <w:r w:rsidR="00486062" w:rsidRPr="00367F45">
        <w:rPr>
          <w:rFonts w:ascii="Century Gothic" w:eastAsia="Times New Roman" w:hAnsi="Century Gothic"/>
          <w:color w:val="0E101A"/>
          <w:szCs w:val="22"/>
        </w:rPr>
        <w:t xml:space="preserve"> (</w:t>
      </w:r>
      <w:r w:rsidR="00325421" w:rsidRPr="00367F45">
        <w:rPr>
          <w:rFonts w:ascii="Century Gothic" w:eastAsia="Times New Roman" w:hAnsi="Century Gothic"/>
          <w:color w:val="0E101A"/>
          <w:szCs w:val="22"/>
        </w:rPr>
        <w:t xml:space="preserve">1BR, 2BR, and 3BR) </w:t>
      </w:r>
      <w:r w:rsidRPr="00367F45">
        <w:rPr>
          <w:rFonts w:ascii="Century Gothic" w:hAnsi="Century Gothic"/>
        </w:rPr>
        <w:t xml:space="preserve">development owned by Christian Community Action (CCA). </w:t>
      </w:r>
      <w:r w:rsidR="58DC1ACD" w:rsidRPr="00367F45">
        <w:rPr>
          <w:rFonts w:ascii="Century Gothic" w:hAnsi="Century Gothic"/>
        </w:rPr>
        <w:t xml:space="preserve"> </w:t>
      </w:r>
      <w:r w:rsidR="002733EE" w:rsidRPr="00367F45">
        <w:rPr>
          <w:rFonts w:ascii="Century Gothic" w:hAnsi="Century Gothic"/>
        </w:rPr>
        <w:t xml:space="preserve">The primary </w:t>
      </w:r>
      <w:r w:rsidR="00706525" w:rsidRPr="00367F45">
        <w:rPr>
          <w:rFonts w:ascii="Century Gothic" w:hAnsi="Century Gothic"/>
        </w:rPr>
        <w:t>objective</w:t>
      </w:r>
      <w:r w:rsidR="002733EE" w:rsidRPr="00367F45">
        <w:rPr>
          <w:rFonts w:ascii="Century Gothic" w:hAnsi="Century Gothic"/>
        </w:rPr>
        <w:t xml:space="preserve"> is to assist </w:t>
      </w:r>
      <w:proofErr w:type="gramStart"/>
      <w:r w:rsidR="002733EE" w:rsidRPr="00367F45">
        <w:rPr>
          <w:rFonts w:ascii="Century Gothic" w:hAnsi="Century Gothic"/>
        </w:rPr>
        <w:t>the families</w:t>
      </w:r>
      <w:proofErr w:type="gramEnd"/>
      <w:r w:rsidR="002733EE" w:rsidRPr="00367F45">
        <w:rPr>
          <w:rFonts w:ascii="Century Gothic" w:hAnsi="Century Gothic"/>
        </w:rPr>
        <w:t xml:space="preserve"> </w:t>
      </w:r>
      <w:r w:rsidR="0044250A" w:rsidRPr="00367F45">
        <w:rPr>
          <w:rFonts w:ascii="Century Gothic" w:hAnsi="Century Gothic"/>
        </w:rPr>
        <w:t>in</w:t>
      </w:r>
      <w:r w:rsidR="008358BE" w:rsidRPr="00367F45">
        <w:rPr>
          <w:rFonts w:ascii="Century Gothic" w:hAnsi="Century Gothic"/>
        </w:rPr>
        <w:t xml:space="preserve"> identif</w:t>
      </w:r>
      <w:r w:rsidR="009853EB" w:rsidRPr="00367F45">
        <w:rPr>
          <w:rFonts w:ascii="Century Gothic" w:hAnsi="Century Gothic"/>
        </w:rPr>
        <w:t xml:space="preserve">ying goals, </w:t>
      </w:r>
      <w:r w:rsidR="58DC1ACD" w:rsidRPr="00367F45">
        <w:rPr>
          <w:rFonts w:ascii="Century Gothic" w:eastAsia="Times New Roman" w:hAnsi="Century Gothic"/>
          <w:color w:val="0E101A"/>
          <w:szCs w:val="22"/>
        </w:rPr>
        <w:t>focus</w:t>
      </w:r>
      <w:r w:rsidR="009853EB" w:rsidRPr="00367F45">
        <w:rPr>
          <w:rFonts w:ascii="Century Gothic" w:eastAsia="Times New Roman" w:hAnsi="Century Gothic"/>
          <w:color w:val="0E101A"/>
          <w:szCs w:val="22"/>
        </w:rPr>
        <w:t>ing</w:t>
      </w:r>
      <w:r w:rsidR="58DC1ACD" w:rsidRPr="00367F45">
        <w:rPr>
          <w:rFonts w:ascii="Century Gothic" w:eastAsia="Times New Roman" w:hAnsi="Century Gothic"/>
          <w:color w:val="0E101A"/>
          <w:szCs w:val="22"/>
        </w:rPr>
        <w:t xml:space="preserve"> on their economic growth and </w:t>
      </w:r>
      <w:r w:rsidR="00350C81" w:rsidRPr="00367F45">
        <w:rPr>
          <w:rFonts w:ascii="Century Gothic" w:eastAsia="Times New Roman" w:hAnsi="Century Gothic"/>
          <w:color w:val="0E101A"/>
          <w:szCs w:val="22"/>
        </w:rPr>
        <w:t>assisting them on t</w:t>
      </w:r>
      <w:r w:rsidR="00F32731" w:rsidRPr="00367F45">
        <w:rPr>
          <w:rFonts w:ascii="Century Gothic" w:eastAsia="Times New Roman" w:hAnsi="Century Gothic"/>
          <w:color w:val="0E101A"/>
          <w:szCs w:val="22"/>
        </w:rPr>
        <w:t xml:space="preserve">he </w:t>
      </w:r>
      <w:r w:rsidR="58DC1ACD" w:rsidRPr="00367F45">
        <w:rPr>
          <w:rFonts w:ascii="Century Gothic" w:eastAsia="Times New Roman" w:hAnsi="Century Gothic"/>
          <w:color w:val="0E101A"/>
          <w:szCs w:val="22"/>
        </w:rPr>
        <w:t xml:space="preserve">pathway </w:t>
      </w:r>
      <w:r w:rsidR="00F32731" w:rsidRPr="00367F45">
        <w:rPr>
          <w:rFonts w:ascii="Century Gothic" w:eastAsia="Times New Roman" w:hAnsi="Century Gothic"/>
          <w:color w:val="0E101A"/>
          <w:szCs w:val="22"/>
        </w:rPr>
        <w:t xml:space="preserve">to their </w:t>
      </w:r>
      <w:r w:rsidR="58DC1ACD" w:rsidRPr="00367F45">
        <w:rPr>
          <w:rFonts w:ascii="Century Gothic" w:eastAsia="Times New Roman" w:hAnsi="Century Gothic"/>
          <w:color w:val="0E101A"/>
          <w:szCs w:val="22"/>
        </w:rPr>
        <w:t>desired career</w:t>
      </w:r>
      <w:r w:rsidR="00F32731" w:rsidRPr="00367F45">
        <w:rPr>
          <w:rFonts w:ascii="Century Gothic" w:eastAsia="Times New Roman" w:hAnsi="Century Gothic"/>
          <w:color w:val="0E101A"/>
          <w:szCs w:val="22"/>
        </w:rPr>
        <w:t>s.</w:t>
      </w:r>
    </w:p>
    <w:p w14:paraId="2F2EEDF1" w14:textId="525E5295" w:rsidR="00C35F1D" w:rsidRPr="00367F45" w:rsidRDefault="00C35F1D" w:rsidP="7D08BF33">
      <w:pPr>
        <w:rPr>
          <w:rFonts w:ascii="Century Gothic" w:hAnsi="Century Gothic"/>
        </w:rPr>
      </w:pPr>
    </w:p>
    <w:p w14:paraId="097C5899" w14:textId="2B0BEFAA" w:rsidR="00C35F1D" w:rsidRPr="00367F45" w:rsidRDefault="261FC215" w:rsidP="145A5A95">
      <w:pPr>
        <w:rPr>
          <w:rFonts w:ascii="Century Gothic" w:hAnsi="Century Gothic"/>
        </w:rPr>
      </w:pPr>
      <w:r w:rsidRPr="00367F45">
        <w:rPr>
          <w:rFonts w:ascii="Century Gothic" w:hAnsi="Century Gothic"/>
        </w:rPr>
        <w:t xml:space="preserve">This </w:t>
      </w:r>
      <w:r w:rsidR="003D264E" w:rsidRPr="00367F45">
        <w:rPr>
          <w:rFonts w:ascii="Century Gothic" w:hAnsi="Century Gothic"/>
        </w:rPr>
        <w:t xml:space="preserve">initiative </w:t>
      </w:r>
      <w:r w:rsidR="00ED608C" w:rsidRPr="00367F45">
        <w:rPr>
          <w:rFonts w:ascii="Century Gothic" w:hAnsi="Century Gothic"/>
        </w:rPr>
        <w:t>is</w:t>
      </w:r>
      <w:r w:rsidRPr="00367F45">
        <w:rPr>
          <w:rFonts w:ascii="Century Gothic" w:hAnsi="Century Gothic"/>
        </w:rPr>
        <w:t xml:space="preserve"> a 10-year PILOT program and at the conclusion of the pilot period, ECC/HANH will determine if it </w:t>
      </w:r>
      <w:proofErr w:type="gramStart"/>
      <w:r w:rsidRPr="00367F45">
        <w:rPr>
          <w:rFonts w:ascii="Century Gothic" w:hAnsi="Century Gothic"/>
        </w:rPr>
        <w:t>will make</w:t>
      </w:r>
      <w:proofErr w:type="gramEnd"/>
      <w:r w:rsidRPr="00367F45">
        <w:rPr>
          <w:rFonts w:ascii="Century Gothic" w:hAnsi="Century Gothic"/>
        </w:rPr>
        <w:t xml:space="preserve"> this </w:t>
      </w:r>
      <w:r w:rsidR="26BF8B80" w:rsidRPr="00367F45">
        <w:rPr>
          <w:rFonts w:ascii="Century Gothic" w:hAnsi="Century Gothic"/>
        </w:rPr>
        <w:t>i</w:t>
      </w:r>
      <w:r w:rsidR="12B26656" w:rsidRPr="00367F45">
        <w:rPr>
          <w:rFonts w:ascii="Century Gothic" w:hAnsi="Century Gothic"/>
        </w:rPr>
        <w:t>nitiative</w:t>
      </w:r>
      <w:r w:rsidRPr="00367F45">
        <w:rPr>
          <w:rFonts w:ascii="Century Gothic" w:hAnsi="Century Gothic"/>
        </w:rPr>
        <w:t xml:space="preserve"> a permanent activity.  </w:t>
      </w:r>
    </w:p>
    <w:p w14:paraId="7FE42D70" w14:textId="307D1B97" w:rsidR="7D08BF33" w:rsidRPr="00367F45" w:rsidRDefault="7D08BF33" w:rsidP="7D08BF33">
      <w:pPr>
        <w:rPr>
          <w:rFonts w:ascii="Century Gothic" w:hAnsi="Century Gothic"/>
        </w:rPr>
      </w:pPr>
    </w:p>
    <w:p w14:paraId="2E860588" w14:textId="25ABD6AC" w:rsidR="003D264E" w:rsidRPr="00367F45" w:rsidRDefault="003D264E" w:rsidP="003D264E">
      <w:pPr>
        <w:rPr>
          <w:rFonts w:ascii="Century Gothic" w:hAnsi="Century Gothic"/>
        </w:rPr>
      </w:pPr>
      <w:r w:rsidRPr="00367F45">
        <w:rPr>
          <w:rFonts w:ascii="Century Gothic" w:hAnsi="Century Gothic"/>
        </w:rPr>
        <w:t xml:space="preserve">Program participants are identified from shelters owned and managed by CCA and from other family shelter providers in the greater New Haven area. Families receive case management support to achieve work goals that support independent living.  </w:t>
      </w:r>
      <w:r w:rsidR="00C062AB" w:rsidRPr="00367F45">
        <w:rPr>
          <w:rFonts w:ascii="Century Gothic" w:hAnsi="Century Gothic"/>
        </w:rPr>
        <w:t xml:space="preserve">Participants are housed and engaged </w:t>
      </w:r>
      <w:r w:rsidRPr="00367F45">
        <w:rPr>
          <w:rFonts w:ascii="Century Gothic" w:hAnsi="Century Gothic"/>
        </w:rPr>
        <w:t xml:space="preserve">in </w:t>
      </w:r>
      <w:r w:rsidR="000C5AAC" w:rsidRPr="00367F45">
        <w:rPr>
          <w:rFonts w:ascii="Century Gothic" w:hAnsi="Century Gothic"/>
        </w:rPr>
        <w:t xml:space="preserve">the program for </w:t>
      </w:r>
      <w:r w:rsidRPr="00367F45">
        <w:rPr>
          <w:rFonts w:ascii="Century Gothic" w:hAnsi="Century Gothic"/>
        </w:rPr>
        <w:t xml:space="preserve">24 to 36 months, with a maximum period of housing subsidy support for 36 months. </w:t>
      </w:r>
    </w:p>
    <w:p w14:paraId="0192963F" w14:textId="77777777" w:rsidR="00590CA2" w:rsidRPr="00367F45" w:rsidRDefault="00590CA2" w:rsidP="7A144062">
      <w:pPr>
        <w:rPr>
          <w:rFonts w:ascii="Century Gothic" w:hAnsi="Century Gothic"/>
          <w:szCs w:val="22"/>
        </w:rPr>
      </w:pPr>
    </w:p>
    <w:p w14:paraId="010C7428" w14:textId="76883411" w:rsidR="00C35F1D" w:rsidRPr="00367F45" w:rsidRDefault="00C35F1D" w:rsidP="7A144062">
      <w:pPr>
        <w:rPr>
          <w:rFonts w:ascii="Century Gothic" w:hAnsi="Century Gothic"/>
        </w:rPr>
      </w:pPr>
      <w:r w:rsidRPr="00367F45">
        <w:rPr>
          <w:rFonts w:ascii="Century Gothic" w:hAnsi="Century Gothic"/>
        </w:rPr>
        <w:t xml:space="preserve">Once families graduate from the program, </w:t>
      </w:r>
      <w:r w:rsidR="00517AA9" w:rsidRPr="00367F45">
        <w:rPr>
          <w:rFonts w:ascii="Century Gothic" w:hAnsi="Century Gothic"/>
        </w:rPr>
        <w:t xml:space="preserve">at either the </w:t>
      </w:r>
      <w:r w:rsidR="00E52FAA" w:rsidRPr="00367F45">
        <w:rPr>
          <w:rFonts w:ascii="Century Gothic" w:hAnsi="Century Gothic"/>
        </w:rPr>
        <w:t>24- or 36-month</w:t>
      </w:r>
      <w:r w:rsidR="00517AA9" w:rsidRPr="00367F45">
        <w:rPr>
          <w:rFonts w:ascii="Century Gothic" w:hAnsi="Century Gothic"/>
        </w:rPr>
        <w:t xml:space="preserve"> mark, </w:t>
      </w:r>
      <w:r w:rsidRPr="00367F45">
        <w:rPr>
          <w:rFonts w:ascii="Century Gothic" w:hAnsi="Century Gothic"/>
        </w:rPr>
        <w:t xml:space="preserve">they will receive an additional year of support and mentorship. These services will be provided by CCA’s ARISE Center. </w:t>
      </w:r>
    </w:p>
    <w:p w14:paraId="3A072DB7" w14:textId="1FBBB4EE" w:rsidR="00C35F1D" w:rsidRPr="00367F45" w:rsidRDefault="00C35F1D" w:rsidP="7A144062">
      <w:pPr>
        <w:rPr>
          <w:rFonts w:ascii="Century Gothic" w:hAnsi="Century Gothic"/>
        </w:rPr>
      </w:pPr>
    </w:p>
    <w:p w14:paraId="27323520" w14:textId="0C3C0798" w:rsidR="00C35F1D" w:rsidRPr="00367F45" w:rsidRDefault="00C35F1D" w:rsidP="7AC9FF43">
      <w:pPr>
        <w:rPr>
          <w:rFonts w:ascii="Century Gothic" w:hAnsi="Century Gothic"/>
        </w:rPr>
      </w:pPr>
      <w:r w:rsidRPr="00367F45">
        <w:rPr>
          <w:rFonts w:ascii="Century Gothic" w:hAnsi="Century Gothic"/>
        </w:rPr>
        <w:t xml:space="preserve">The ARISE (Accessing Resources for Independence, Skill-Building and Employment) Center serves families that are residing within the CCA Hillside Family Shelter (HFS) and </w:t>
      </w:r>
      <w:proofErr w:type="gramStart"/>
      <w:r w:rsidRPr="00367F45">
        <w:rPr>
          <w:rFonts w:ascii="Century Gothic" w:hAnsi="Century Gothic"/>
        </w:rPr>
        <w:t>Stepping Stone</w:t>
      </w:r>
      <w:proofErr w:type="gramEnd"/>
      <w:r w:rsidRPr="00367F45">
        <w:rPr>
          <w:rFonts w:ascii="Century Gothic" w:hAnsi="Century Gothic"/>
        </w:rPr>
        <w:t xml:space="preserve"> Transitional Housing Program (SSTHP), as well as serving families for up to one year after they have moved from a CCA housing program and into permanent housing. The purposes of the ARISE Center services are to increase employability and promote family health, wellness, and stability through the work of the ARISE Employment Services and Child and Family Services.</w:t>
      </w:r>
    </w:p>
    <w:p w14:paraId="4C2CD156" w14:textId="77777777" w:rsidR="00C35F1D" w:rsidRPr="00367F45" w:rsidRDefault="00C35F1D" w:rsidP="00C35F1D">
      <w:pPr>
        <w:tabs>
          <w:tab w:val="left" w:pos="0"/>
        </w:tabs>
        <w:ind w:left="1440"/>
        <w:rPr>
          <w:rFonts w:ascii="Century Gothic" w:hAnsi="Century Gothic"/>
          <w:szCs w:val="22"/>
        </w:rPr>
      </w:pPr>
    </w:p>
    <w:p w14:paraId="6E67B05F" w14:textId="22B5DDF4" w:rsidR="00C35F1D" w:rsidRPr="00367F45" w:rsidRDefault="00C35F1D" w:rsidP="7AC9FF43">
      <w:pPr>
        <w:rPr>
          <w:rFonts w:ascii="Century Gothic" w:hAnsi="Century Gothic"/>
        </w:rPr>
      </w:pPr>
      <w:r w:rsidRPr="00367F45">
        <w:rPr>
          <w:rFonts w:ascii="Century Gothic" w:hAnsi="Century Gothic"/>
        </w:rPr>
        <w:t xml:space="preserve">ECC/HANH </w:t>
      </w:r>
      <w:r w:rsidR="00E86C9F" w:rsidRPr="00367F45">
        <w:rPr>
          <w:rFonts w:ascii="Century Gothic" w:hAnsi="Century Gothic"/>
        </w:rPr>
        <w:t>provides</w:t>
      </w:r>
      <w:r w:rsidRPr="00367F45">
        <w:rPr>
          <w:rFonts w:ascii="Century Gothic" w:hAnsi="Century Gothic"/>
        </w:rPr>
        <w:t xml:space="preserve"> non-traditional housing support modeled on the housing choice voucher program with subsidy paid at the </w:t>
      </w:r>
      <w:r w:rsidR="00486062">
        <w:rPr>
          <w:rFonts w:ascii="Century Gothic" w:hAnsi="Century Gothic"/>
        </w:rPr>
        <w:t>1</w:t>
      </w:r>
      <w:r w:rsidRPr="00367F45">
        <w:rPr>
          <w:rFonts w:ascii="Century Gothic" w:hAnsi="Century Gothic"/>
        </w:rPr>
        <w:t xml:space="preserve">10% payment standard.  Program income generated from the use of housing choice vouchers will be used to support necessary improvements to the building and to offset a portion of the administrative expenses associated with the program delivery model. </w:t>
      </w:r>
    </w:p>
    <w:p w14:paraId="1AE62E71" w14:textId="77777777" w:rsidR="00C35F1D" w:rsidRPr="00367F45" w:rsidRDefault="00C35F1D" w:rsidP="00C35F1D">
      <w:pPr>
        <w:tabs>
          <w:tab w:val="left" w:pos="0"/>
        </w:tabs>
        <w:ind w:left="1440"/>
        <w:rPr>
          <w:rFonts w:ascii="Century Gothic" w:hAnsi="Century Gothic"/>
          <w:szCs w:val="22"/>
        </w:rPr>
      </w:pPr>
    </w:p>
    <w:p w14:paraId="0B905755" w14:textId="2E51438C" w:rsidR="00C35F1D" w:rsidRPr="00367F45" w:rsidRDefault="6037A820" w:rsidP="0E71204A">
      <w:pPr>
        <w:rPr>
          <w:rFonts w:ascii="Century Gothic" w:hAnsi="Century Gothic"/>
        </w:rPr>
      </w:pPr>
      <w:r w:rsidRPr="00367F45">
        <w:rPr>
          <w:rFonts w:ascii="Century Gothic" w:hAnsi="Century Gothic"/>
        </w:rPr>
        <w:t xml:space="preserve">All </w:t>
      </w:r>
      <w:r w:rsidR="00650423" w:rsidRPr="00367F45">
        <w:rPr>
          <w:rFonts w:ascii="Century Gothic" w:hAnsi="Century Gothic"/>
        </w:rPr>
        <w:t>p</w:t>
      </w:r>
      <w:r w:rsidRPr="00367F45">
        <w:rPr>
          <w:rFonts w:ascii="Century Gothic" w:hAnsi="Century Gothic"/>
        </w:rPr>
        <w:t xml:space="preserve">rogram </w:t>
      </w:r>
      <w:r w:rsidR="00650423" w:rsidRPr="00367F45">
        <w:rPr>
          <w:rFonts w:ascii="Century Gothic" w:hAnsi="Century Gothic"/>
        </w:rPr>
        <w:t>p</w:t>
      </w:r>
      <w:r w:rsidRPr="00367F45">
        <w:rPr>
          <w:rFonts w:ascii="Century Gothic" w:hAnsi="Century Gothic"/>
        </w:rPr>
        <w:t xml:space="preserve">articipants will agree to a maximum period of housing subsidy support of 36 months.  At the end of the program period, unless otherwise authorized, it is the expectation that families will move into non-subsidized permanent housing, identify subsidized housing options inside or outside of the City of New Haven, or pursue other housing options for their families. </w:t>
      </w:r>
    </w:p>
    <w:p w14:paraId="3B7306C9" w14:textId="77777777" w:rsidR="00C35F1D" w:rsidRPr="00367F45" w:rsidRDefault="00C35F1D" w:rsidP="00C35F1D">
      <w:pPr>
        <w:pStyle w:val="ListParagraph"/>
        <w:ind w:left="1440"/>
        <w:rPr>
          <w:rFonts w:ascii="Century Gothic" w:hAnsi="Century Gothic"/>
          <w:b/>
          <w:szCs w:val="22"/>
        </w:rPr>
      </w:pPr>
    </w:p>
    <w:p w14:paraId="58C4C062" w14:textId="3F9B9022" w:rsidR="00C35F1D" w:rsidRPr="00367F45" w:rsidRDefault="00C35F1D" w:rsidP="7AC9FF43">
      <w:pPr>
        <w:rPr>
          <w:rFonts w:ascii="Century Gothic" w:hAnsi="Century Gothic"/>
        </w:rPr>
      </w:pPr>
      <w:r w:rsidRPr="00367F45">
        <w:rPr>
          <w:rFonts w:ascii="Century Gothic" w:hAnsi="Century Gothic"/>
        </w:rPr>
        <w:t xml:space="preserve">The 10-year pilot program is based on the following assumptions.  </w:t>
      </w:r>
    </w:p>
    <w:p w14:paraId="396399FF" w14:textId="6B8BFE77" w:rsidR="00C35F1D" w:rsidRPr="00367F45" w:rsidRDefault="00C35F1D" w:rsidP="7AC9FF43">
      <w:pPr>
        <w:rPr>
          <w:rFonts w:ascii="Century Gothic" w:hAnsi="Century Gothic"/>
        </w:rPr>
      </w:pPr>
    </w:p>
    <w:p w14:paraId="078D40C1" w14:textId="25069C7C" w:rsidR="00C35F1D" w:rsidRPr="00486062" w:rsidRDefault="00C35F1D" w:rsidP="00486062">
      <w:pPr>
        <w:pStyle w:val="ListParagraph"/>
        <w:numPr>
          <w:ilvl w:val="0"/>
          <w:numId w:val="134"/>
        </w:numPr>
        <w:rPr>
          <w:rFonts w:ascii="Century Gothic" w:hAnsi="Century Gothic"/>
        </w:rPr>
      </w:pPr>
      <w:r w:rsidRPr="00486062">
        <w:rPr>
          <w:rFonts w:ascii="Century Gothic" w:hAnsi="Century Gothic"/>
        </w:rPr>
        <w:t xml:space="preserve">1-year acquisition, renovations, and initial lease up period for program participants. </w:t>
      </w:r>
    </w:p>
    <w:p w14:paraId="35C01587" w14:textId="77777777" w:rsidR="00486062" w:rsidRPr="00486062" w:rsidRDefault="00486062" w:rsidP="00486062">
      <w:pPr>
        <w:pStyle w:val="ListParagraph"/>
        <w:ind w:left="1155"/>
        <w:rPr>
          <w:rFonts w:ascii="Century Gothic" w:hAnsi="Century Gothic"/>
        </w:rPr>
      </w:pPr>
    </w:p>
    <w:p w14:paraId="1BB53FBC" w14:textId="2224FA54" w:rsidR="00C35F1D" w:rsidRPr="00367F45" w:rsidRDefault="00C35F1D" w:rsidP="00486062">
      <w:pPr>
        <w:ind w:left="720"/>
        <w:rPr>
          <w:rFonts w:ascii="Century Gothic" w:hAnsi="Century Gothic"/>
        </w:rPr>
      </w:pPr>
      <w:r w:rsidRPr="00367F45">
        <w:rPr>
          <w:rFonts w:ascii="Century Gothic" w:hAnsi="Century Gothic"/>
        </w:rPr>
        <w:t xml:space="preserve">(b) Completion of three thirty-six-month program cycles for participants, which will be approximately 50 individuals and families.  </w:t>
      </w:r>
    </w:p>
    <w:p w14:paraId="19FACA34" w14:textId="65CD39E8" w:rsidR="00C35F1D" w:rsidRPr="00367F45" w:rsidRDefault="00C35F1D" w:rsidP="7AC9FF43">
      <w:pPr>
        <w:rPr>
          <w:rFonts w:ascii="Century Gothic" w:hAnsi="Century Gothic"/>
        </w:rPr>
      </w:pPr>
    </w:p>
    <w:p w14:paraId="46D81B9F" w14:textId="104E23A8" w:rsidR="00C35F1D" w:rsidRPr="00367F45" w:rsidRDefault="00C35F1D" w:rsidP="7AC9FF43">
      <w:pPr>
        <w:rPr>
          <w:rFonts w:ascii="Century Gothic" w:hAnsi="Century Gothic"/>
        </w:rPr>
      </w:pPr>
      <w:r w:rsidRPr="00367F45">
        <w:rPr>
          <w:rFonts w:ascii="Century Gothic" w:hAnsi="Century Gothic"/>
        </w:rPr>
        <w:t>Our goal during this period is for 70% of our families to transition out of the program with higher incomes and into non-subsidized housing options. Participants who either do not meet the program requirements and are voluntarily or involuntarily released from the program, or who fail to identify housing options for themselves when the program will be completed, will have to seek outside support to address their unmet housing needs. All program participants will continue to have access to ARISE Center staff once they leave the program to support their efforts to become or remain self-sufficient.</w:t>
      </w:r>
    </w:p>
    <w:p w14:paraId="26F7D221" w14:textId="77777777" w:rsidR="000F3695" w:rsidRPr="00367F45" w:rsidRDefault="000F3695" w:rsidP="00C35F1D">
      <w:pPr>
        <w:tabs>
          <w:tab w:val="left" w:pos="0"/>
        </w:tabs>
        <w:rPr>
          <w:rFonts w:ascii="Century Gothic" w:hAnsi="Century Gothic"/>
          <w:szCs w:val="22"/>
        </w:rPr>
      </w:pPr>
    </w:p>
    <w:p w14:paraId="371D7002" w14:textId="6F08281D" w:rsidR="00C35F1D" w:rsidRPr="00367F45" w:rsidRDefault="003931B9" w:rsidP="00C35F1D">
      <w:pPr>
        <w:tabs>
          <w:tab w:val="left" w:pos="0"/>
        </w:tabs>
        <w:rPr>
          <w:rFonts w:ascii="Century Gothic" w:hAnsi="Century Gothic"/>
          <w:szCs w:val="22"/>
        </w:rPr>
      </w:pPr>
      <w:r w:rsidRPr="00367F45">
        <w:rPr>
          <w:rFonts w:ascii="Century Gothic" w:hAnsi="Century Gothic"/>
          <w:szCs w:val="22"/>
        </w:rPr>
        <w:t>If</w:t>
      </w:r>
      <w:r w:rsidR="00C35F1D" w:rsidRPr="00367F45">
        <w:rPr>
          <w:rFonts w:ascii="Century Gothic" w:hAnsi="Century Gothic"/>
          <w:szCs w:val="22"/>
        </w:rPr>
        <w:t xml:space="preserve"> program model does not meet its intended results, ECC/HANH, working in concert with CCA, can either choose to make significant changes to the program model, or transition the development into more traditional subsidized housing development for families in New Haven, that would be subject to the normal requirements of ECC/HANH. </w:t>
      </w:r>
    </w:p>
    <w:p w14:paraId="7F5EDF8E" w14:textId="77777777" w:rsidR="00C35F1D" w:rsidRPr="00367F45" w:rsidRDefault="00C35F1D" w:rsidP="00C35F1D">
      <w:pPr>
        <w:tabs>
          <w:tab w:val="left" w:pos="0"/>
        </w:tabs>
        <w:ind w:left="1440"/>
        <w:rPr>
          <w:rFonts w:ascii="Century Gothic" w:hAnsi="Century Gothic"/>
          <w:szCs w:val="22"/>
        </w:rPr>
      </w:pPr>
    </w:p>
    <w:p w14:paraId="75B33AD3" w14:textId="38700A3D" w:rsidR="00C35F1D" w:rsidRPr="00367F45" w:rsidRDefault="00C35F1D" w:rsidP="00C35F1D">
      <w:pPr>
        <w:tabs>
          <w:tab w:val="left" w:pos="0"/>
        </w:tabs>
        <w:rPr>
          <w:rFonts w:ascii="Century Gothic" w:hAnsi="Century Gothic"/>
          <w:szCs w:val="22"/>
        </w:rPr>
      </w:pPr>
      <w:r w:rsidRPr="00367F45">
        <w:rPr>
          <w:rFonts w:ascii="Century Gothic" w:hAnsi="Century Gothic"/>
          <w:szCs w:val="22"/>
        </w:rPr>
        <w:t xml:space="preserve">Selection Process, Eligibility and Criteria Families will be selected for participation </w:t>
      </w:r>
      <w:r w:rsidR="0044250A" w:rsidRPr="00367F45">
        <w:rPr>
          <w:rFonts w:ascii="Century Gothic" w:hAnsi="Century Gothic"/>
          <w:szCs w:val="22"/>
        </w:rPr>
        <w:t>in</w:t>
      </w:r>
      <w:r w:rsidRPr="00367F45">
        <w:rPr>
          <w:rFonts w:ascii="Century Gothic" w:hAnsi="Century Gothic"/>
          <w:szCs w:val="22"/>
        </w:rPr>
        <w:t xml:space="preserve"> CCA’s Moving to Work Program based on submission of completed application, income guidelines and willingness to fully </w:t>
      </w:r>
      <w:r w:rsidR="0044250A" w:rsidRPr="00367F45">
        <w:rPr>
          <w:rFonts w:ascii="Century Gothic" w:hAnsi="Century Gothic"/>
          <w:szCs w:val="22"/>
        </w:rPr>
        <w:t>participate</w:t>
      </w:r>
      <w:r w:rsidRPr="00367F45">
        <w:rPr>
          <w:rFonts w:ascii="Century Gothic" w:hAnsi="Century Gothic"/>
          <w:szCs w:val="22"/>
        </w:rPr>
        <w:t xml:space="preserve"> in the Program. </w:t>
      </w:r>
    </w:p>
    <w:p w14:paraId="77E4B4BF" w14:textId="77777777" w:rsidR="00C35F1D" w:rsidRPr="00367F45" w:rsidRDefault="00C35F1D" w:rsidP="00C35F1D">
      <w:pPr>
        <w:tabs>
          <w:tab w:val="left" w:pos="0"/>
        </w:tabs>
        <w:ind w:left="1440"/>
        <w:rPr>
          <w:rFonts w:ascii="Century Gothic" w:hAnsi="Century Gothic"/>
          <w:szCs w:val="22"/>
        </w:rPr>
      </w:pPr>
      <w:r w:rsidRPr="00367F45">
        <w:rPr>
          <w:rFonts w:ascii="Century Gothic" w:hAnsi="Century Gothic"/>
          <w:szCs w:val="22"/>
        </w:rPr>
        <w:t xml:space="preserve"> </w:t>
      </w:r>
    </w:p>
    <w:p w14:paraId="2169FD8B" w14:textId="3177246D" w:rsidR="00C35F1D" w:rsidRPr="00367F45" w:rsidRDefault="00C35F1D" w:rsidP="7AC9FF43">
      <w:pPr>
        <w:rPr>
          <w:rFonts w:ascii="Century Gothic" w:hAnsi="Century Gothic"/>
        </w:rPr>
      </w:pPr>
      <w:r w:rsidRPr="00367F45">
        <w:rPr>
          <w:rFonts w:ascii="Century Gothic" w:hAnsi="Century Gothic"/>
        </w:rPr>
        <w:t xml:space="preserve">Families that are homeless or at risk of homelessness, where the heads of household make a commitment to participate fully in the Program must submit a pre-application.  All completed pre-applications will be time and date stamped and added to a waitlist maintained by CCA Workforce Housing Program.  As openings </w:t>
      </w:r>
      <w:r w:rsidR="0044250A" w:rsidRPr="00367F45">
        <w:rPr>
          <w:rFonts w:ascii="Century Gothic" w:hAnsi="Century Gothic"/>
        </w:rPr>
        <w:t>become</w:t>
      </w:r>
      <w:r w:rsidRPr="00367F45">
        <w:rPr>
          <w:rFonts w:ascii="Century Gothic" w:hAnsi="Century Gothic"/>
        </w:rPr>
        <w:t xml:space="preserve"> available families will be scheduled for a pre-screening interview.  </w:t>
      </w:r>
    </w:p>
    <w:p w14:paraId="76E2272D" w14:textId="38F838B8" w:rsidR="00C35F1D" w:rsidRPr="00367F45" w:rsidRDefault="00C35F1D" w:rsidP="7AC9FF43">
      <w:pPr>
        <w:rPr>
          <w:rFonts w:ascii="Century Gothic" w:hAnsi="Century Gothic"/>
        </w:rPr>
      </w:pPr>
    </w:p>
    <w:p w14:paraId="01D3F0CA" w14:textId="494C2C4C" w:rsidR="00C35F1D" w:rsidRPr="00367F45" w:rsidRDefault="00C35F1D" w:rsidP="7AC9FF43">
      <w:pPr>
        <w:rPr>
          <w:rFonts w:ascii="Century Gothic" w:hAnsi="Century Gothic"/>
        </w:rPr>
      </w:pPr>
      <w:r w:rsidRPr="00367F45">
        <w:rPr>
          <w:rFonts w:ascii="Century Gothic" w:hAnsi="Century Gothic"/>
        </w:rPr>
        <w:t xml:space="preserve">The Pre- Screening staff (the </w:t>
      </w:r>
      <w:r w:rsidR="00473761" w:rsidRPr="00367F45">
        <w:rPr>
          <w:rFonts w:ascii="Century Gothic" w:hAnsi="Century Gothic"/>
        </w:rPr>
        <w:t>D</w:t>
      </w:r>
      <w:r w:rsidRPr="00367F45">
        <w:rPr>
          <w:rFonts w:ascii="Century Gothic" w:hAnsi="Century Gothic"/>
        </w:rPr>
        <w:t xml:space="preserve">irector of </w:t>
      </w:r>
      <w:r w:rsidR="00473761" w:rsidRPr="00367F45">
        <w:rPr>
          <w:rFonts w:ascii="Century Gothic" w:hAnsi="Century Gothic"/>
        </w:rPr>
        <w:t>H</w:t>
      </w:r>
      <w:r w:rsidRPr="00367F45">
        <w:rPr>
          <w:rFonts w:ascii="Century Gothic" w:hAnsi="Century Gothic"/>
        </w:rPr>
        <w:t xml:space="preserve">ousing services and </w:t>
      </w:r>
      <w:r w:rsidR="00E100A2" w:rsidRPr="00367F45">
        <w:rPr>
          <w:rFonts w:ascii="Century Gothic" w:hAnsi="Century Gothic"/>
        </w:rPr>
        <w:t>F</w:t>
      </w:r>
      <w:r w:rsidRPr="00367F45">
        <w:rPr>
          <w:rFonts w:ascii="Century Gothic" w:hAnsi="Century Gothic"/>
        </w:rPr>
        <w:t xml:space="preserve">amily </w:t>
      </w:r>
      <w:r w:rsidR="00E100A2" w:rsidRPr="00367F45">
        <w:rPr>
          <w:rFonts w:ascii="Century Gothic" w:hAnsi="Century Gothic"/>
        </w:rPr>
        <w:t>C</w:t>
      </w:r>
      <w:r w:rsidRPr="00367F45">
        <w:rPr>
          <w:rFonts w:ascii="Century Gothic" w:hAnsi="Century Gothic"/>
        </w:rPr>
        <w:t xml:space="preserve">oaches) will conduct a needs assessment focusing on the following areas:  </w:t>
      </w:r>
    </w:p>
    <w:p w14:paraId="3628E24C" w14:textId="4BCDB070" w:rsidR="00C35F1D" w:rsidRPr="00367F45" w:rsidRDefault="00C35F1D" w:rsidP="00486062">
      <w:pPr>
        <w:pStyle w:val="ListParagraph"/>
        <w:numPr>
          <w:ilvl w:val="0"/>
          <w:numId w:val="113"/>
        </w:numPr>
        <w:rPr>
          <w:rFonts w:ascii="Century Gothic" w:eastAsia="MS PGothic" w:hAnsi="Century Gothic"/>
          <w:szCs w:val="22"/>
        </w:rPr>
      </w:pPr>
      <w:r w:rsidRPr="00367F45">
        <w:rPr>
          <w:rFonts w:ascii="Century Gothic" w:hAnsi="Century Gothic"/>
        </w:rPr>
        <w:t xml:space="preserve">income </w:t>
      </w:r>
    </w:p>
    <w:p w14:paraId="66CD4797" w14:textId="2CF68B69" w:rsidR="00C35F1D" w:rsidRPr="00367F45" w:rsidRDefault="00C35F1D" w:rsidP="00486062">
      <w:pPr>
        <w:pStyle w:val="ListParagraph"/>
        <w:numPr>
          <w:ilvl w:val="0"/>
          <w:numId w:val="113"/>
        </w:numPr>
        <w:rPr>
          <w:rFonts w:ascii="Century Gothic" w:eastAsia="MS PGothic" w:hAnsi="Century Gothic"/>
          <w:szCs w:val="22"/>
        </w:rPr>
      </w:pPr>
      <w:r w:rsidRPr="00367F45">
        <w:rPr>
          <w:rFonts w:ascii="Century Gothic" w:hAnsi="Century Gothic"/>
        </w:rPr>
        <w:t xml:space="preserve">employment </w:t>
      </w:r>
    </w:p>
    <w:p w14:paraId="3C9C465E" w14:textId="094F0301" w:rsidR="00C35F1D" w:rsidRPr="00367F45" w:rsidRDefault="00C35F1D" w:rsidP="00486062">
      <w:pPr>
        <w:pStyle w:val="ListParagraph"/>
        <w:numPr>
          <w:ilvl w:val="0"/>
          <w:numId w:val="113"/>
        </w:numPr>
        <w:rPr>
          <w:rFonts w:ascii="Century Gothic" w:eastAsia="MS PGothic" w:hAnsi="Century Gothic"/>
          <w:szCs w:val="22"/>
        </w:rPr>
      </w:pPr>
      <w:r w:rsidRPr="00367F45">
        <w:rPr>
          <w:rFonts w:ascii="Century Gothic" w:hAnsi="Century Gothic"/>
        </w:rPr>
        <w:t xml:space="preserve">childcare </w:t>
      </w:r>
    </w:p>
    <w:p w14:paraId="3EE4C0E9" w14:textId="3732F842" w:rsidR="00C35F1D" w:rsidRPr="00367F45" w:rsidRDefault="00C35F1D" w:rsidP="00486062">
      <w:pPr>
        <w:pStyle w:val="ListParagraph"/>
        <w:numPr>
          <w:ilvl w:val="0"/>
          <w:numId w:val="113"/>
        </w:numPr>
        <w:rPr>
          <w:rFonts w:ascii="Century Gothic" w:eastAsia="MS PGothic" w:hAnsi="Century Gothic"/>
          <w:szCs w:val="22"/>
        </w:rPr>
      </w:pPr>
      <w:r w:rsidRPr="00367F45">
        <w:rPr>
          <w:rFonts w:ascii="Century Gothic" w:hAnsi="Century Gothic"/>
        </w:rPr>
        <w:t xml:space="preserve">housing and health </w:t>
      </w:r>
    </w:p>
    <w:p w14:paraId="195AFF49" w14:textId="276E0906" w:rsidR="00C35F1D" w:rsidRPr="00367F45" w:rsidRDefault="00C35F1D" w:rsidP="00486062">
      <w:pPr>
        <w:pStyle w:val="ListParagraph"/>
        <w:numPr>
          <w:ilvl w:val="0"/>
          <w:numId w:val="113"/>
        </w:numPr>
        <w:rPr>
          <w:rFonts w:ascii="Century Gothic" w:hAnsi="Century Gothic"/>
        </w:rPr>
      </w:pPr>
      <w:r w:rsidRPr="00367F45">
        <w:rPr>
          <w:rFonts w:ascii="Century Gothic" w:hAnsi="Century Gothic"/>
        </w:rPr>
        <w:t xml:space="preserve">description of the Program goals </w:t>
      </w:r>
    </w:p>
    <w:p w14:paraId="5E40D948" w14:textId="506BF5FD" w:rsidR="00C35F1D" w:rsidRPr="00367F45" w:rsidRDefault="00C35F1D" w:rsidP="00486062">
      <w:pPr>
        <w:pStyle w:val="ListParagraph"/>
        <w:numPr>
          <w:ilvl w:val="0"/>
          <w:numId w:val="113"/>
        </w:numPr>
        <w:rPr>
          <w:rFonts w:ascii="Century Gothic" w:eastAsia="MS PGothic" w:hAnsi="Century Gothic"/>
          <w:szCs w:val="22"/>
        </w:rPr>
      </w:pPr>
      <w:r w:rsidRPr="00367F45">
        <w:rPr>
          <w:rFonts w:ascii="Century Gothic" w:hAnsi="Century Gothic"/>
        </w:rPr>
        <w:t xml:space="preserve">opportunities for the family to move to greater independence. </w:t>
      </w:r>
    </w:p>
    <w:p w14:paraId="7A6B63BC" w14:textId="711FCF84" w:rsidR="00C35F1D" w:rsidRPr="00367F45" w:rsidRDefault="00C35F1D" w:rsidP="7AC9FF43">
      <w:pPr>
        <w:rPr>
          <w:rFonts w:ascii="Century Gothic" w:eastAsia="MS PGothic" w:hAnsi="Century Gothic"/>
          <w:szCs w:val="22"/>
        </w:rPr>
      </w:pPr>
    </w:p>
    <w:p w14:paraId="595A4BB7" w14:textId="77777777" w:rsidR="00486062" w:rsidRDefault="00C35F1D" w:rsidP="7AC9FF43">
      <w:pPr>
        <w:rPr>
          <w:rFonts w:ascii="Century Gothic" w:hAnsi="Century Gothic"/>
        </w:rPr>
      </w:pPr>
      <w:r w:rsidRPr="00367F45">
        <w:rPr>
          <w:rFonts w:ascii="Century Gothic" w:hAnsi="Century Gothic"/>
        </w:rPr>
        <w:t xml:space="preserve">The family will complete a full application to the Program.  Along with the “full application” families will be required to submit the following documentation:  </w:t>
      </w:r>
    </w:p>
    <w:p w14:paraId="6C28AC2B" w14:textId="77777777" w:rsidR="00486062" w:rsidRPr="00486062" w:rsidRDefault="00C35F1D" w:rsidP="00486062">
      <w:pPr>
        <w:pStyle w:val="ListParagraph"/>
        <w:numPr>
          <w:ilvl w:val="0"/>
          <w:numId w:val="135"/>
        </w:numPr>
        <w:rPr>
          <w:rFonts w:ascii="Century Gothic" w:eastAsia="MS PGothic" w:hAnsi="Century Gothic"/>
          <w:szCs w:val="22"/>
        </w:rPr>
      </w:pPr>
      <w:r w:rsidRPr="00486062">
        <w:rPr>
          <w:rFonts w:ascii="Century Gothic" w:hAnsi="Century Gothic"/>
        </w:rPr>
        <w:t xml:space="preserve">proof of homelessness (letter from shelter provider), </w:t>
      </w:r>
    </w:p>
    <w:p w14:paraId="1991B920" w14:textId="77777777" w:rsidR="00486062" w:rsidRPr="00486062" w:rsidRDefault="00C35F1D" w:rsidP="00486062">
      <w:pPr>
        <w:pStyle w:val="ListParagraph"/>
        <w:numPr>
          <w:ilvl w:val="0"/>
          <w:numId w:val="135"/>
        </w:numPr>
        <w:rPr>
          <w:rFonts w:ascii="Century Gothic" w:eastAsia="MS PGothic" w:hAnsi="Century Gothic"/>
          <w:szCs w:val="22"/>
        </w:rPr>
      </w:pPr>
      <w:r w:rsidRPr="00486062">
        <w:rPr>
          <w:rFonts w:ascii="Century Gothic" w:hAnsi="Century Gothic"/>
        </w:rPr>
        <w:t xml:space="preserve">proof of income from all income sources, </w:t>
      </w:r>
    </w:p>
    <w:p w14:paraId="3B4A83D7" w14:textId="77777777" w:rsidR="00486062" w:rsidRPr="00486062" w:rsidRDefault="00C35F1D" w:rsidP="00486062">
      <w:pPr>
        <w:pStyle w:val="ListParagraph"/>
        <w:numPr>
          <w:ilvl w:val="0"/>
          <w:numId w:val="135"/>
        </w:numPr>
        <w:rPr>
          <w:rFonts w:ascii="Century Gothic" w:eastAsia="MS PGothic" w:hAnsi="Century Gothic"/>
          <w:szCs w:val="22"/>
        </w:rPr>
      </w:pPr>
      <w:r w:rsidRPr="00486062">
        <w:rPr>
          <w:rFonts w:ascii="Century Gothic" w:hAnsi="Century Gothic"/>
        </w:rPr>
        <w:t xml:space="preserve">photo identification, </w:t>
      </w:r>
    </w:p>
    <w:p w14:paraId="764E749A" w14:textId="77777777" w:rsidR="00486062" w:rsidRPr="00486062" w:rsidRDefault="00C35F1D" w:rsidP="00486062">
      <w:pPr>
        <w:pStyle w:val="ListParagraph"/>
        <w:numPr>
          <w:ilvl w:val="0"/>
          <w:numId w:val="135"/>
        </w:numPr>
        <w:rPr>
          <w:rFonts w:ascii="Century Gothic" w:eastAsia="MS PGothic" w:hAnsi="Century Gothic"/>
          <w:szCs w:val="22"/>
        </w:rPr>
      </w:pPr>
      <w:r w:rsidRPr="00486062">
        <w:rPr>
          <w:rFonts w:ascii="Century Gothic" w:hAnsi="Century Gothic"/>
        </w:rPr>
        <w:t xml:space="preserve">birth certificate, </w:t>
      </w:r>
    </w:p>
    <w:p w14:paraId="2E03D450" w14:textId="77777777" w:rsidR="00486062" w:rsidRPr="00486062" w:rsidRDefault="00C35F1D" w:rsidP="00486062">
      <w:pPr>
        <w:pStyle w:val="ListParagraph"/>
        <w:numPr>
          <w:ilvl w:val="0"/>
          <w:numId w:val="135"/>
        </w:numPr>
        <w:rPr>
          <w:rFonts w:ascii="Century Gothic" w:eastAsia="MS PGothic" w:hAnsi="Century Gothic"/>
          <w:szCs w:val="22"/>
        </w:rPr>
      </w:pPr>
      <w:r w:rsidRPr="00486062">
        <w:rPr>
          <w:rFonts w:ascii="Century Gothic" w:hAnsi="Century Gothic"/>
        </w:rPr>
        <w:t xml:space="preserve">social security card, </w:t>
      </w:r>
    </w:p>
    <w:p w14:paraId="1BF70C95" w14:textId="3ADC3C58" w:rsidR="00C35F1D" w:rsidRPr="00486062" w:rsidRDefault="00C35F1D" w:rsidP="00486062">
      <w:pPr>
        <w:pStyle w:val="ListParagraph"/>
        <w:numPr>
          <w:ilvl w:val="0"/>
          <w:numId w:val="135"/>
        </w:numPr>
        <w:rPr>
          <w:rFonts w:ascii="Century Gothic" w:eastAsia="MS PGothic" w:hAnsi="Century Gothic"/>
          <w:szCs w:val="22"/>
        </w:rPr>
      </w:pPr>
      <w:r w:rsidRPr="00486062">
        <w:rPr>
          <w:rFonts w:ascii="Century Gothic" w:hAnsi="Century Gothic"/>
        </w:rPr>
        <w:t xml:space="preserve">health insurance </w:t>
      </w:r>
      <w:proofErr w:type="gramStart"/>
      <w:r w:rsidRPr="00486062">
        <w:rPr>
          <w:rFonts w:ascii="Century Gothic" w:hAnsi="Century Gothic"/>
        </w:rPr>
        <w:t>card</w:t>
      </w:r>
      <w:proofErr w:type="gramEnd"/>
      <w:r w:rsidRPr="00486062">
        <w:rPr>
          <w:rFonts w:ascii="Century Gothic" w:hAnsi="Century Gothic"/>
        </w:rPr>
        <w:t xml:space="preserve"> for all household members and immunization </w:t>
      </w:r>
      <w:proofErr w:type="gramStart"/>
      <w:r w:rsidRPr="00486062">
        <w:rPr>
          <w:rFonts w:ascii="Century Gothic" w:hAnsi="Century Gothic"/>
        </w:rPr>
        <w:t>record</w:t>
      </w:r>
      <w:proofErr w:type="gramEnd"/>
      <w:r w:rsidRPr="00486062">
        <w:rPr>
          <w:rFonts w:ascii="Century Gothic" w:hAnsi="Century Gothic"/>
        </w:rPr>
        <w:t xml:space="preserve"> (all the children). </w:t>
      </w:r>
    </w:p>
    <w:p w14:paraId="6FAA7A15" w14:textId="77777777" w:rsidR="00C35F1D" w:rsidRPr="00367F45" w:rsidRDefault="00C35F1D" w:rsidP="00C35F1D">
      <w:pPr>
        <w:tabs>
          <w:tab w:val="left" w:pos="0"/>
        </w:tabs>
        <w:ind w:left="1440"/>
        <w:rPr>
          <w:rFonts w:ascii="Century Gothic" w:hAnsi="Century Gothic"/>
          <w:szCs w:val="22"/>
        </w:rPr>
      </w:pPr>
      <w:r w:rsidRPr="00367F45">
        <w:rPr>
          <w:rFonts w:ascii="Century Gothic" w:hAnsi="Century Gothic"/>
          <w:szCs w:val="22"/>
        </w:rPr>
        <w:t xml:space="preserve"> </w:t>
      </w:r>
    </w:p>
    <w:p w14:paraId="7A1A5C2E" w14:textId="414B5250" w:rsidR="00C35F1D" w:rsidRPr="00367F45" w:rsidRDefault="00C35F1D" w:rsidP="00C35F1D">
      <w:pPr>
        <w:tabs>
          <w:tab w:val="left" w:pos="0"/>
        </w:tabs>
        <w:rPr>
          <w:rFonts w:ascii="Century Gothic" w:hAnsi="Century Gothic"/>
          <w:szCs w:val="22"/>
        </w:rPr>
      </w:pPr>
      <w:r w:rsidRPr="00367F45">
        <w:rPr>
          <w:rFonts w:ascii="Century Gothic" w:hAnsi="Century Gothic"/>
          <w:szCs w:val="22"/>
        </w:rPr>
        <w:lastRenderedPageBreak/>
        <w:t>To be eligible, household income cannot exceed the income limit of the New Haven-Meriden Area Median Income of Very Low (50%) Income Limit (see income guideline below)</w:t>
      </w:r>
      <w:r w:rsidR="00486062">
        <w:rPr>
          <w:rFonts w:ascii="Century Gothic" w:hAnsi="Century Gothic"/>
          <w:szCs w:val="22"/>
        </w:rPr>
        <w:t>.</w:t>
      </w:r>
    </w:p>
    <w:tbl>
      <w:tblPr>
        <w:tblpPr w:leftFromText="180" w:rightFromText="180" w:vertAnchor="text" w:horzAnchor="margin" w:tblpXSpec="right" w:tblpY="185"/>
        <w:tblW w:w="10261" w:type="dxa"/>
        <w:shd w:val="clear" w:color="auto" w:fill="FFFFFF"/>
        <w:tblCellMar>
          <w:left w:w="0" w:type="dxa"/>
          <w:right w:w="0" w:type="dxa"/>
        </w:tblCellMar>
        <w:tblLook w:val="04A0" w:firstRow="1" w:lastRow="0" w:firstColumn="1" w:lastColumn="0" w:noHBand="0" w:noVBand="1"/>
      </w:tblPr>
      <w:tblGrid>
        <w:gridCol w:w="2837"/>
        <w:gridCol w:w="928"/>
        <w:gridCol w:w="928"/>
        <w:gridCol w:w="928"/>
        <w:gridCol w:w="928"/>
        <w:gridCol w:w="928"/>
        <w:gridCol w:w="928"/>
        <w:gridCol w:w="928"/>
        <w:gridCol w:w="928"/>
      </w:tblGrid>
      <w:tr w:rsidR="00C35F1D" w:rsidRPr="00367F45" w14:paraId="5C870246" w14:textId="77777777" w:rsidTr="6EDDC8C1">
        <w:trPr>
          <w:trHeight w:val="288"/>
        </w:trPr>
        <w:tc>
          <w:tcPr>
            <w:tcW w:w="10261" w:type="dxa"/>
            <w:gridSpan w:val="9"/>
            <w:tcBorders>
              <w:top w:val="single" w:sz="8" w:space="0" w:color="auto"/>
              <w:left w:val="single" w:sz="8" w:space="0" w:color="auto"/>
              <w:bottom w:val="single" w:sz="8" w:space="0" w:color="auto"/>
              <w:right w:val="single" w:sz="8" w:space="0" w:color="000000" w:themeColor="text1"/>
            </w:tcBorders>
            <w:shd w:val="clear" w:color="auto" w:fill="FFFFFF" w:themeFill="background1"/>
            <w:noWrap/>
            <w:tcMar>
              <w:top w:w="0" w:type="dxa"/>
              <w:left w:w="108" w:type="dxa"/>
              <w:bottom w:w="0" w:type="dxa"/>
              <w:right w:w="108" w:type="dxa"/>
            </w:tcMar>
            <w:vAlign w:val="bottom"/>
            <w:hideMark/>
          </w:tcPr>
          <w:p w14:paraId="604F47EC" w14:textId="77777777" w:rsidR="00C35F1D" w:rsidRPr="00367F45" w:rsidRDefault="0A26039F" w:rsidP="69506C91">
            <w:pPr>
              <w:rPr>
                <w:rFonts w:ascii="Century Gothic" w:eastAsia="Calibri" w:hAnsi="Century Gothic"/>
                <w:color w:val="222222"/>
              </w:rPr>
            </w:pPr>
            <w:r w:rsidRPr="00367F45">
              <w:rPr>
                <w:rFonts w:ascii="Century Gothic" w:eastAsia="Calibri" w:hAnsi="Century Gothic"/>
                <w:b/>
                <w:bCs/>
                <w:color w:val="000000" w:themeColor="text1"/>
              </w:rPr>
              <w:t>Income Criteria:   Total Household income cannot exceed the income limit for each household size:</w:t>
            </w:r>
          </w:p>
        </w:tc>
      </w:tr>
      <w:tr w:rsidR="00C35F1D" w:rsidRPr="00367F45" w14:paraId="3A4F71BB" w14:textId="77777777" w:rsidTr="6EDDC8C1">
        <w:trPr>
          <w:trHeight w:val="288"/>
        </w:trPr>
        <w:tc>
          <w:tcPr>
            <w:tcW w:w="10261" w:type="dxa"/>
            <w:gridSpan w:val="9"/>
            <w:tcBorders>
              <w:top w:val="nil"/>
              <w:left w:val="single" w:sz="8" w:space="0" w:color="auto"/>
              <w:bottom w:val="single" w:sz="8" w:space="0" w:color="auto"/>
              <w:right w:val="single" w:sz="8" w:space="0" w:color="000000" w:themeColor="text1"/>
            </w:tcBorders>
            <w:shd w:val="clear" w:color="auto" w:fill="FFFFFF" w:themeFill="background1"/>
            <w:noWrap/>
            <w:tcMar>
              <w:top w:w="0" w:type="dxa"/>
              <w:left w:w="108" w:type="dxa"/>
              <w:bottom w:w="0" w:type="dxa"/>
              <w:right w:w="108" w:type="dxa"/>
            </w:tcMar>
            <w:vAlign w:val="bottom"/>
            <w:hideMark/>
          </w:tcPr>
          <w:p w14:paraId="426F1397" w14:textId="0663D159" w:rsidR="00C35F1D" w:rsidRPr="00367F45" w:rsidRDefault="3858BAC6" w:rsidP="6F807E50">
            <w:pPr>
              <w:rPr>
                <w:rFonts w:ascii="Century Gothic" w:eastAsia="Calibri" w:hAnsi="Century Gothic"/>
                <w:b/>
                <w:bCs/>
                <w:color w:val="000000" w:themeColor="text1"/>
              </w:rPr>
            </w:pPr>
            <w:r w:rsidRPr="00367F45">
              <w:rPr>
                <w:rFonts w:ascii="Century Gothic" w:eastAsia="Calibri" w:hAnsi="Century Gothic"/>
                <w:b/>
                <w:bCs/>
                <w:color w:val="000000" w:themeColor="text1"/>
              </w:rPr>
              <w:t>New Haven-Meriden Area Median Income - Very Low (50%) Income Limit</w:t>
            </w:r>
            <w:r w:rsidR="206C97FF" w:rsidRPr="00367F45">
              <w:rPr>
                <w:rFonts w:ascii="Century Gothic" w:eastAsia="Calibri" w:hAnsi="Century Gothic"/>
                <w:b/>
                <w:bCs/>
                <w:color w:val="000000" w:themeColor="text1"/>
              </w:rPr>
              <w:t xml:space="preserve"> for FY</w:t>
            </w:r>
            <w:r w:rsidR="34F56FA4" w:rsidRPr="00367F45">
              <w:rPr>
                <w:rFonts w:ascii="Century Gothic" w:eastAsia="Calibri" w:hAnsi="Century Gothic"/>
                <w:b/>
                <w:bCs/>
                <w:color w:val="000000" w:themeColor="text1"/>
              </w:rPr>
              <w:t>2024</w:t>
            </w:r>
            <w:r w:rsidR="6FEBE133" w:rsidRPr="00367F45">
              <w:rPr>
                <w:rFonts w:ascii="Century Gothic" w:eastAsia="Calibri" w:hAnsi="Century Gothic"/>
                <w:b/>
                <w:bCs/>
                <w:color w:val="000000" w:themeColor="text1"/>
              </w:rPr>
              <w:t xml:space="preserve"> </w:t>
            </w:r>
          </w:p>
        </w:tc>
      </w:tr>
      <w:tr w:rsidR="00C35F1D" w:rsidRPr="00367F45" w14:paraId="258ABA29" w14:textId="77777777" w:rsidTr="6EDDC8C1">
        <w:trPr>
          <w:trHeight w:val="288"/>
        </w:trPr>
        <w:tc>
          <w:tcPr>
            <w:tcW w:w="2837"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14CADFAA" w14:textId="77777777" w:rsidR="00C35F1D" w:rsidRPr="00367F45" w:rsidRDefault="00C35F1D" w:rsidP="00B80A01">
            <w:pPr>
              <w:rPr>
                <w:rFonts w:ascii="Century Gothic" w:eastAsia="Calibri" w:hAnsi="Century Gothic"/>
                <w:color w:val="222222"/>
                <w:szCs w:val="22"/>
              </w:rPr>
            </w:pPr>
            <w:r w:rsidRPr="00367F45">
              <w:rPr>
                <w:rFonts w:ascii="Century Gothic" w:eastAsia="Calibri" w:hAnsi="Century Gothic"/>
                <w:b/>
                <w:bCs/>
                <w:color w:val="000000"/>
                <w:szCs w:val="22"/>
              </w:rPr>
              <w:t>Household size</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5F3303C" w14:textId="77777777" w:rsidR="00C35F1D" w:rsidRPr="00367F45" w:rsidRDefault="00C35F1D" w:rsidP="00B80A01">
            <w:pPr>
              <w:jc w:val="right"/>
              <w:rPr>
                <w:rFonts w:ascii="Century Gothic" w:eastAsia="Calibri" w:hAnsi="Century Gothic"/>
                <w:color w:val="222222"/>
                <w:szCs w:val="22"/>
              </w:rPr>
            </w:pPr>
            <w:r w:rsidRPr="00367F45">
              <w:rPr>
                <w:rFonts w:ascii="Century Gothic" w:eastAsia="Calibri" w:hAnsi="Century Gothic"/>
                <w:b/>
                <w:bCs/>
                <w:color w:val="000000"/>
                <w:szCs w:val="22"/>
              </w:rPr>
              <w:t>1</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1D8E3F79" w14:textId="77777777" w:rsidR="00C35F1D" w:rsidRPr="00367F45" w:rsidRDefault="00C35F1D" w:rsidP="00B80A01">
            <w:pPr>
              <w:jc w:val="right"/>
              <w:rPr>
                <w:rFonts w:ascii="Century Gothic" w:eastAsia="Calibri" w:hAnsi="Century Gothic"/>
                <w:color w:val="222222"/>
                <w:szCs w:val="22"/>
              </w:rPr>
            </w:pPr>
            <w:r w:rsidRPr="00367F45">
              <w:rPr>
                <w:rFonts w:ascii="Century Gothic" w:eastAsia="Calibri" w:hAnsi="Century Gothic"/>
                <w:b/>
                <w:bCs/>
                <w:color w:val="000000"/>
                <w:szCs w:val="22"/>
              </w:rPr>
              <w:t>2</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525B7FB" w14:textId="77777777" w:rsidR="00C35F1D" w:rsidRPr="00367F45" w:rsidRDefault="00C35F1D" w:rsidP="00B80A01">
            <w:pPr>
              <w:jc w:val="right"/>
              <w:rPr>
                <w:rFonts w:ascii="Century Gothic" w:eastAsia="Calibri" w:hAnsi="Century Gothic"/>
                <w:color w:val="222222"/>
                <w:szCs w:val="22"/>
              </w:rPr>
            </w:pPr>
            <w:r w:rsidRPr="00367F45">
              <w:rPr>
                <w:rFonts w:ascii="Century Gothic" w:eastAsia="Calibri" w:hAnsi="Century Gothic"/>
                <w:b/>
                <w:bCs/>
                <w:color w:val="000000"/>
                <w:szCs w:val="22"/>
              </w:rPr>
              <w:t>3</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3100CC6" w14:textId="77777777" w:rsidR="00C35F1D" w:rsidRPr="00367F45" w:rsidRDefault="00C35F1D" w:rsidP="00B80A01">
            <w:pPr>
              <w:jc w:val="right"/>
              <w:rPr>
                <w:rFonts w:ascii="Century Gothic" w:eastAsia="Calibri" w:hAnsi="Century Gothic"/>
                <w:color w:val="222222"/>
                <w:szCs w:val="22"/>
              </w:rPr>
            </w:pPr>
            <w:r w:rsidRPr="00367F45">
              <w:rPr>
                <w:rFonts w:ascii="Century Gothic" w:eastAsia="Calibri" w:hAnsi="Century Gothic"/>
                <w:b/>
                <w:bCs/>
                <w:color w:val="000000"/>
                <w:szCs w:val="22"/>
              </w:rPr>
              <w:t>4</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59C6D3AE" w14:textId="77777777" w:rsidR="00C35F1D" w:rsidRPr="00367F45" w:rsidRDefault="00C35F1D" w:rsidP="00B80A01">
            <w:pPr>
              <w:jc w:val="right"/>
              <w:rPr>
                <w:rFonts w:ascii="Century Gothic" w:eastAsia="Calibri" w:hAnsi="Century Gothic"/>
                <w:color w:val="222222"/>
                <w:szCs w:val="22"/>
              </w:rPr>
            </w:pPr>
            <w:r w:rsidRPr="00367F45">
              <w:rPr>
                <w:rFonts w:ascii="Century Gothic" w:eastAsia="Calibri" w:hAnsi="Century Gothic"/>
                <w:b/>
                <w:bCs/>
                <w:color w:val="000000"/>
                <w:szCs w:val="22"/>
              </w:rPr>
              <w:t>5</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3BB3AC8D" w14:textId="77777777" w:rsidR="00C35F1D" w:rsidRPr="00367F45" w:rsidRDefault="00C35F1D" w:rsidP="00B80A01">
            <w:pPr>
              <w:jc w:val="right"/>
              <w:rPr>
                <w:rFonts w:ascii="Century Gothic" w:eastAsia="Calibri" w:hAnsi="Century Gothic"/>
                <w:color w:val="222222"/>
                <w:szCs w:val="22"/>
              </w:rPr>
            </w:pPr>
            <w:r w:rsidRPr="00367F45">
              <w:rPr>
                <w:rFonts w:ascii="Century Gothic" w:eastAsia="Calibri" w:hAnsi="Century Gothic"/>
                <w:b/>
                <w:bCs/>
                <w:color w:val="000000"/>
                <w:szCs w:val="22"/>
              </w:rPr>
              <w:t>6</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6EF7E1A" w14:textId="77777777" w:rsidR="00C35F1D" w:rsidRPr="00367F45" w:rsidRDefault="00C35F1D" w:rsidP="00B80A01">
            <w:pPr>
              <w:jc w:val="right"/>
              <w:rPr>
                <w:rFonts w:ascii="Century Gothic" w:eastAsia="Calibri" w:hAnsi="Century Gothic"/>
                <w:color w:val="222222"/>
                <w:szCs w:val="22"/>
              </w:rPr>
            </w:pPr>
            <w:r w:rsidRPr="00367F45">
              <w:rPr>
                <w:rFonts w:ascii="Century Gothic" w:eastAsia="Calibri" w:hAnsi="Century Gothic"/>
                <w:b/>
                <w:bCs/>
                <w:color w:val="000000"/>
                <w:szCs w:val="22"/>
              </w:rPr>
              <w:t>7</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5CC5A654" w14:textId="77777777" w:rsidR="00C35F1D" w:rsidRPr="00367F45" w:rsidRDefault="00C35F1D" w:rsidP="00B80A01">
            <w:pPr>
              <w:jc w:val="right"/>
              <w:rPr>
                <w:rFonts w:ascii="Century Gothic" w:eastAsia="Calibri" w:hAnsi="Century Gothic"/>
                <w:color w:val="222222"/>
                <w:szCs w:val="22"/>
              </w:rPr>
            </w:pPr>
            <w:r w:rsidRPr="00367F45">
              <w:rPr>
                <w:rFonts w:ascii="Century Gothic" w:eastAsia="Calibri" w:hAnsi="Century Gothic"/>
                <w:b/>
                <w:bCs/>
                <w:color w:val="000000"/>
                <w:szCs w:val="22"/>
              </w:rPr>
              <w:t>8</w:t>
            </w:r>
          </w:p>
        </w:tc>
      </w:tr>
      <w:tr w:rsidR="00C35F1D" w:rsidRPr="00367F45" w14:paraId="750846F7" w14:textId="77777777" w:rsidTr="6EDDC8C1">
        <w:trPr>
          <w:trHeight w:val="300"/>
        </w:trPr>
        <w:tc>
          <w:tcPr>
            <w:tcW w:w="2837"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561481F9" w14:textId="77777777" w:rsidR="00C35F1D" w:rsidRPr="00367F45" w:rsidRDefault="00C35F1D" w:rsidP="00B80A01">
            <w:pPr>
              <w:rPr>
                <w:rFonts w:ascii="Century Gothic" w:eastAsia="Calibri" w:hAnsi="Century Gothic"/>
                <w:color w:val="222222"/>
                <w:szCs w:val="22"/>
              </w:rPr>
            </w:pPr>
            <w:r w:rsidRPr="00367F45">
              <w:rPr>
                <w:rFonts w:ascii="Century Gothic" w:eastAsia="Calibri" w:hAnsi="Century Gothic"/>
                <w:b/>
                <w:bCs/>
                <w:color w:val="000000"/>
                <w:szCs w:val="22"/>
              </w:rPr>
              <w:t>Income Limit:</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6BCB0772" w14:textId="6E2C8F70" w:rsidR="00C35F1D" w:rsidRPr="00367F45" w:rsidRDefault="6F3B3450">
            <w:pPr>
              <w:jc w:val="right"/>
              <w:rPr>
                <w:rFonts w:ascii="Century Gothic" w:eastAsia="Calibri" w:hAnsi="Century Gothic"/>
                <w:b/>
                <w:bCs/>
                <w:color w:val="000000" w:themeColor="text1"/>
              </w:rPr>
            </w:pPr>
            <w:r w:rsidRPr="00367F45">
              <w:rPr>
                <w:rFonts w:ascii="Century Gothic" w:eastAsia="Calibri" w:hAnsi="Century Gothic"/>
                <w:b/>
                <w:bCs/>
                <w:color w:val="000000" w:themeColor="text1"/>
              </w:rPr>
              <w:t xml:space="preserve"> </w:t>
            </w:r>
            <w:r w:rsidR="7649A6F0" w:rsidRPr="00367F45">
              <w:rPr>
                <w:rFonts w:ascii="Century Gothic" w:eastAsia="Calibri" w:hAnsi="Century Gothic"/>
                <w:b/>
                <w:bCs/>
                <w:color w:val="000000" w:themeColor="text1"/>
              </w:rPr>
              <w:t>40,650</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66E98005" w14:textId="38FDE067" w:rsidR="00C35F1D" w:rsidRPr="00367F45" w:rsidRDefault="064F00B8" w:rsidP="6EDDC8C1">
            <w:pPr>
              <w:jc w:val="right"/>
              <w:rPr>
                <w:rFonts w:ascii="Century Gothic" w:eastAsia="Times New Roman" w:hAnsi="Century Gothic"/>
              </w:rPr>
            </w:pPr>
            <w:r w:rsidRPr="00367F45">
              <w:rPr>
                <w:rFonts w:ascii="Century Gothic" w:eastAsia="Calibri" w:hAnsi="Century Gothic"/>
                <w:b/>
                <w:bCs/>
                <w:color w:val="000000" w:themeColor="text1"/>
              </w:rPr>
              <w:t xml:space="preserve"> </w:t>
            </w:r>
            <w:r w:rsidR="4A9203CA" w:rsidRPr="00367F45">
              <w:rPr>
                <w:rFonts w:ascii="Century Gothic" w:eastAsia="Calibri" w:hAnsi="Century Gothic"/>
                <w:b/>
                <w:bCs/>
                <w:color w:val="000000" w:themeColor="text1"/>
              </w:rPr>
              <w:t>46,450</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26E13754" w14:textId="101016DC" w:rsidR="00C35F1D" w:rsidRPr="00367F45" w:rsidRDefault="0015A29C" w:rsidP="6EDDC8C1">
            <w:pPr>
              <w:jc w:val="right"/>
              <w:rPr>
                <w:rFonts w:ascii="Century Gothic" w:eastAsia="Times New Roman" w:hAnsi="Century Gothic"/>
              </w:rPr>
            </w:pPr>
            <w:r w:rsidRPr="00367F45">
              <w:rPr>
                <w:rFonts w:ascii="Century Gothic" w:eastAsia="Calibri" w:hAnsi="Century Gothic"/>
                <w:b/>
                <w:bCs/>
                <w:color w:val="000000" w:themeColor="text1"/>
              </w:rPr>
              <w:t xml:space="preserve"> </w:t>
            </w:r>
            <w:r w:rsidR="77FE357A" w:rsidRPr="00367F45">
              <w:rPr>
                <w:rFonts w:ascii="Century Gothic" w:eastAsia="Calibri" w:hAnsi="Century Gothic"/>
                <w:b/>
                <w:bCs/>
                <w:color w:val="000000" w:themeColor="text1"/>
              </w:rPr>
              <w:t>52,250</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2914607E" w14:textId="1E1C5D9E" w:rsidR="00C35F1D" w:rsidRPr="00367F45" w:rsidRDefault="4A3E9DA6" w:rsidP="6EDDC8C1">
            <w:pPr>
              <w:jc w:val="right"/>
              <w:rPr>
                <w:rFonts w:ascii="Century Gothic" w:eastAsia="Times New Roman" w:hAnsi="Century Gothic"/>
              </w:rPr>
            </w:pPr>
            <w:r w:rsidRPr="00367F45">
              <w:rPr>
                <w:rFonts w:ascii="Century Gothic" w:eastAsia="Calibri" w:hAnsi="Century Gothic"/>
                <w:b/>
                <w:bCs/>
                <w:color w:val="000000" w:themeColor="text1"/>
              </w:rPr>
              <w:t xml:space="preserve"> </w:t>
            </w:r>
            <w:r w:rsidR="7760C8CD" w:rsidRPr="00367F45">
              <w:rPr>
                <w:rFonts w:ascii="Century Gothic" w:eastAsia="Calibri" w:hAnsi="Century Gothic"/>
                <w:b/>
                <w:bCs/>
                <w:color w:val="000000" w:themeColor="text1"/>
              </w:rPr>
              <w:t>58,050</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0DC6867C" w14:textId="452B957D" w:rsidR="00C35F1D" w:rsidRPr="00367F45" w:rsidRDefault="7CC3B495" w:rsidP="6EDDC8C1">
            <w:pPr>
              <w:jc w:val="right"/>
              <w:rPr>
                <w:rFonts w:ascii="Century Gothic" w:eastAsia="Times New Roman" w:hAnsi="Century Gothic"/>
              </w:rPr>
            </w:pPr>
            <w:r w:rsidRPr="00367F45">
              <w:rPr>
                <w:rFonts w:ascii="Century Gothic" w:eastAsia="Calibri" w:hAnsi="Century Gothic"/>
                <w:b/>
                <w:bCs/>
                <w:color w:val="000000" w:themeColor="text1"/>
              </w:rPr>
              <w:t xml:space="preserve"> </w:t>
            </w:r>
            <w:r w:rsidR="2E2F5A07" w:rsidRPr="00367F45">
              <w:rPr>
                <w:rFonts w:ascii="Century Gothic" w:eastAsia="Calibri" w:hAnsi="Century Gothic"/>
                <w:b/>
                <w:bCs/>
                <w:color w:val="000000" w:themeColor="text1"/>
              </w:rPr>
              <w:t>62,700</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14220C2E" w14:textId="33D7EB25" w:rsidR="00C35F1D" w:rsidRPr="00367F45" w:rsidRDefault="69D67632">
            <w:pPr>
              <w:jc w:val="right"/>
              <w:rPr>
                <w:rFonts w:ascii="Century Gothic" w:eastAsia="Calibri" w:hAnsi="Century Gothic"/>
                <w:b/>
                <w:bCs/>
                <w:color w:val="000000" w:themeColor="text1"/>
              </w:rPr>
            </w:pPr>
            <w:r w:rsidRPr="00367F45">
              <w:rPr>
                <w:rFonts w:ascii="Century Gothic" w:eastAsia="Calibri" w:hAnsi="Century Gothic"/>
                <w:b/>
                <w:bCs/>
                <w:color w:val="000000" w:themeColor="text1"/>
              </w:rPr>
              <w:t xml:space="preserve"> </w:t>
            </w:r>
            <w:r w:rsidR="540F0B44" w:rsidRPr="00367F45">
              <w:rPr>
                <w:rFonts w:ascii="Century Gothic" w:eastAsia="Calibri" w:hAnsi="Century Gothic"/>
                <w:b/>
                <w:bCs/>
                <w:color w:val="000000" w:themeColor="text1"/>
              </w:rPr>
              <w:t>67,350</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939FEF9" w14:textId="31B183FD" w:rsidR="00C35F1D" w:rsidRPr="00367F45" w:rsidRDefault="6645D7CD" w:rsidP="6EDDC8C1">
            <w:pPr>
              <w:jc w:val="right"/>
              <w:rPr>
                <w:rFonts w:ascii="Century Gothic" w:eastAsia="Times New Roman" w:hAnsi="Century Gothic"/>
              </w:rPr>
            </w:pPr>
            <w:r w:rsidRPr="00367F45">
              <w:rPr>
                <w:rFonts w:ascii="Century Gothic" w:eastAsia="Calibri" w:hAnsi="Century Gothic"/>
                <w:b/>
                <w:bCs/>
                <w:color w:val="000000" w:themeColor="text1"/>
              </w:rPr>
              <w:t xml:space="preserve"> </w:t>
            </w:r>
            <w:r w:rsidR="444518C2" w:rsidRPr="00367F45">
              <w:rPr>
                <w:rFonts w:ascii="Century Gothic" w:eastAsia="Calibri" w:hAnsi="Century Gothic"/>
                <w:b/>
                <w:bCs/>
                <w:color w:val="000000" w:themeColor="text1"/>
              </w:rPr>
              <w:t>72,000</w:t>
            </w:r>
          </w:p>
        </w:tc>
        <w:tc>
          <w:tcPr>
            <w:tcW w:w="92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0F7947D" w14:textId="0C67375F" w:rsidR="00C35F1D" w:rsidRPr="00367F45" w:rsidRDefault="09E6FD42" w:rsidP="6EDDC8C1">
            <w:pPr>
              <w:jc w:val="right"/>
              <w:rPr>
                <w:rFonts w:ascii="Century Gothic" w:eastAsia="Times New Roman" w:hAnsi="Century Gothic"/>
              </w:rPr>
            </w:pPr>
            <w:r w:rsidRPr="00367F45">
              <w:rPr>
                <w:rFonts w:ascii="Century Gothic" w:eastAsia="Calibri" w:hAnsi="Century Gothic"/>
                <w:b/>
                <w:bCs/>
                <w:color w:val="000000" w:themeColor="text1"/>
              </w:rPr>
              <w:t xml:space="preserve"> </w:t>
            </w:r>
            <w:r w:rsidR="00E5B932" w:rsidRPr="00367F45">
              <w:rPr>
                <w:rFonts w:ascii="Century Gothic" w:eastAsia="Calibri" w:hAnsi="Century Gothic"/>
                <w:b/>
                <w:bCs/>
                <w:color w:val="000000" w:themeColor="text1"/>
              </w:rPr>
              <w:t>76,650</w:t>
            </w:r>
          </w:p>
        </w:tc>
      </w:tr>
    </w:tbl>
    <w:p w14:paraId="101A481F" w14:textId="77777777" w:rsidR="00C35F1D" w:rsidRPr="00367F45" w:rsidRDefault="00C35F1D" w:rsidP="00C35F1D">
      <w:pPr>
        <w:pStyle w:val="Heading4"/>
        <w:rPr>
          <w:rFonts w:ascii="Century Gothic" w:hAnsi="Century Gothic" w:cs="Times New Roman"/>
        </w:rPr>
      </w:pPr>
      <w:r w:rsidRPr="00367F45">
        <w:rPr>
          <w:rFonts w:ascii="Century Gothic" w:hAnsi="Century Gothic" w:cs="Times New Roman"/>
        </w:rPr>
        <w:t>Impact</w:t>
      </w:r>
    </w:p>
    <w:p w14:paraId="198FFB28" w14:textId="77777777" w:rsidR="00486062" w:rsidRDefault="091D1E38" w:rsidP="4566E4F4">
      <w:pPr>
        <w:rPr>
          <w:rFonts w:ascii="Century Gothic" w:hAnsi="Century Gothic"/>
        </w:rPr>
      </w:pPr>
      <w:r w:rsidRPr="00367F45">
        <w:rPr>
          <w:rFonts w:ascii="Century Gothic" w:hAnsi="Century Gothic"/>
        </w:rPr>
        <w:t>ECC/HANH</w:t>
      </w:r>
      <w:r w:rsidR="5284F6DE" w:rsidRPr="00367F45">
        <w:rPr>
          <w:rFonts w:ascii="Century Gothic" w:hAnsi="Century Gothic"/>
        </w:rPr>
        <w:t xml:space="preserve"> worked with the CCA, on a timeline for rehabilitation and</w:t>
      </w:r>
      <w:r w:rsidR="00486062">
        <w:rPr>
          <w:rFonts w:ascii="Century Gothic" w:hAnsi="Century Gothic"/>
        </w:rPr>
        <w:t xml:space="preserve"> </w:t>
      </w:r>
      <w:r w:rsidR="5284F6DE" w:rsidRPr="00367F45">
        <w:rPr>
          <w:rFonts w:ascii="Century Gothic" w:hAnsi="Century Gothic"/>
        </w:rPr>
        <w:t xml:space="preserve">financing.  </w:t>
      </w:r>
    </w:p>
    <w:p w14:paraId="60A00F10" w14:textId="008215EE" w:rsidR="00C35F1D" w:rsidRPr="00367F45" w:rsidRDefault="5284F6DE" w:rsidP="4566E4F4">
      <w:pPr>
        <w:rPr>
          <w:rFonts w:ascii="Century Gothic" w:hAnsi="Century Gothic"/>
        </w:rPr>
      </w:pPr>
      <w:r w:rsidRPr="00367F45">
        <w:rPr>
          <w:rFonts w:ascii="Century Gothic" w:hAnsi="Century Gothic"/>
        </w:rPr>
        <w:t xml:space="preserve">Construction was completed </w:t>
      </w:r>
      <w:r w:rsidR="00A33613" w:rsidRPr="00367F45">
        <w:rPr>
          <w:rFonts w:ascii="Century Gothic" w:hAnsi="Century Gothic"/>
        </w:rPr>
        <w:t xml:space="preserve">in </w:t>
      </w:r>
      <w:r w:rsidRPr="00367F45">
        <w:rPr>
          <w:rFonts w:ascii="Century Gothic" w:hAnsi="Century Gothic"/>
        </w:rPr>
        <w:t>FY2021.  Program guidelines were developed and approved</w:t>
      </w:r>
      <w:r w:rsidR="005579B8" w:rsidRPr="00367F45">
        <w:rPr>
          <w:rFonts w:ascii="Century Gothic" w:hAnsi="Century Gothic"/>
        </w:rPr>
        <w:t xml:space="preserve"> and lease</w:t>
      </w:r>
      <w:r w:rsidRPr="00367F45">
        <w:rPr>
          <w:rFonts w:ascii="Century Gothic" w:hAnsi="Century Gothic"/>
        </w:rPr>
        <w:t xml:space="preserve"> up</w:t>
      </w:r>
      <w:r w:rsidR="7FA432E0" w:rsidRPr="00367F45">
        <w:rPr>
          <w:rFonts w:ascii="Century Gothic" w:hAnsi="Century Gothic"/>
        </w:rPr>
        <w:t xml:space="preserve"> began in FY2022. </w:t>
      </w:r>
    </w:p>
    <w:p w14:paraId="0C3FA40D" w14:textId="1CE7921A" w:rsidR="00C35F1D" w:rsidRPr="00367F45" w:rsidRDefault="00C35F1D" w:rsidP="4566E4F4">
      <w:pPr>
        <w:rPr>
          <w:rFonts w:ascii="Century Gothic" w:hAnsi="Century Gothic"/>
        </w:rPr>
      </w:pPr>
    </w:p>
    <w:p w14:paraId="3A23ECBC" w14:textId="41727199" w:rsidR="00C35F1D" w:rsidRPr="00367F45" w:rsidRDefault="55DA4F71" w:rsidP="7AC9FF43">
      <w:pPr>
        <w:rPr>
          <w:rFonts w:ascii="Century Gothic" w:hAnsi="Century Gothic"/>
        </w:rPr>
      </w:pPr>
      <w:r w:rsidRPr="00367F45">
        <w:rPr>
          <w:rFonts w:ascii="Century Gothic" w:hAnsi="Century Gothic"/>
        </w:rPr>
        <w:t>At th</w:t>
      </w:r>
      <w:r w:rsidR="7BDB78FD" w:rsidRPr="00367F45">
        <w:rPr>
          <w:rFonts w:ascii="Century Gothic" w:hAnsi="Century Gothic"/>
        </w:rPr>
        <w:t>e</w:t>
      </w:r>
      <w:r w:rsidRPr="00367F45">
        <w:rPr>
          <w:rFonts w:ascii="Century Gothic" w:hAnsi="Century Gothic"/>
        </w:rPr>
        <w:t xml:space="preserve"> end of FY 2022, there were 15 families leased.  By m</w:t>
      </w:r>
      <w:r w:rsidR="3B52B422" w:rsidRPr="00367F45">
        <w:rPr>
          <w:rFonts w:ascii="Century Gothic" w:hAnsi="Century Gothic"/>
        </w:rPr>
        <w:t xml:space="preserve">id </w:t>
      </w:r>
      <w:r w:rsidRPr="00367F45">
        <w:rPr>
          <w:rFonts w:ascii="Century Gothic" w:hAnsi="Century Gothic"/>
        </w:rPr>
        <w:t xml:space="preserve">FY2023, 18 families were </w:t>
      </w:r>
      <w:r w:rsidR="00892CBB" w:rsidRPr="00367F45">
        <w:rPr>
          <w:rFonts w:ascii="Century Gothic" w:hAnsi="Century Gothic"/>
        </w:rPr>
        <w:t>leased.</w:t>
      </w:r>
      <w:r w:rsidR="001477FD" w:rsidRPr="00367F45">
        <w:rPr>
          <w:rFonts w:ascii="Century Gothic" w:hAnsi="Century Gothic"/>
        </w:rPr>
        <w:t xml:space="preserve"> </w:t>
      </w:r>
      <w:r w:rsidR="00192F9A" w:rsidRPr="00367F45">
        <w:rPr>
          <w:rFonts w:ascii="Century Gothic" w:hAnsi="Century Gothic"/>
        </w:rPr>
        <w:t>At the end of</w:t>
      </w:r>
      <w:r w:rsidR="59AFE4E1" w:rsidRPr="00367F45">
        <w:rPr>
          <w:rFonts w:ascii="Century Gothic" w:hAnsi="Century Gothic"/>
        </w:rPr>
        <w:t xml:space="preserve"> </w:t>
      </w:r>
      <w:r w:rsidR="6F38B943" w:rsidRPr="00367F45">
        <w:rPr>
          <w:rFonts w:ascii="Century Gothic" w:hAnsi="Century Gothic"/>
        </w:rPr>
        <w:t>FY2024</w:t>
      </w:r>
      <w:r w:rsidR="59AFE4E1" w:rsidRPr="00367F45">
        <w:rPr>
          <w:rFonts w:ascii="Century Gothic" w:hAnsi="Century Gothic"/>
        </w:rPr>
        <w:t xml:space="preserve"> </w:t>
      </w:r>
      <w:r w:rsidR="00192F9A" w:rsidRPr="00367F45">
        <w:rPr>
          <w:rFonts w:ascii="Century Gothic" w:hAnsi="Century Gothic"/>
        </w:rPr>
        <w:t>there were</w:t>
      </w:r>
      <w:r w:rsidR="001477FD" w:rsidRPr="00367F45">
        <w:rPr>
          <w:rFonts w:ascii="Century Gothic" w:hAnsi="Century Gothic"/>
        </w:rPr>
        <w:t xml:space="preserve"> </w:t>
      </w:r>
      <w:r w:rsidR="59AFE4E1" w:rsidRPr="00367F45">
        <w:rPr>
          <w:rFonts w:ascii="Century Gothic" w:hAnsi="Century Gothic"/>
        </w:rPr>
        <w:t>15 families</w:t>
      </w:r>
      <w:r w:rsidR="0721B772" w:rsidRPr="00367F45">
        <w:rPr>
          <w:rFonts w:ascii="Century Gothic" w:hAnsi="Century Gothic"/>
        </w:rPr>
        <w:t xml:space="preserve">.  </w:t>
      </w:r>
      <w:r w:rsidR="001D3581" w:rsidRPr="00367F45">
        <w:rPr>
          <w:rFonts w:ascii="Century Gothic" w:hAnsi="Century Gothic"/>
        </w:rPr>
        <w:t xml:space="preserve"> The </w:t>
      </w:r>
      <w:r w:rsidR="007B2C13" w:rsidRPr="00367F45">
        <w:rPr>
          <w:rFonts w:ascii="Century Gothic" w:hAnsi="Century Gothic"/>
        </w:rPr>
        <w:t xml:space="preserve">3 </w:t>
      </w:r>
      <w:r w:rsidR="001D3581" w:rsidRPr="00367F45">
        <w:rPr>
          <w:rFonts w:ascii="Century Gothic" w:hAnsi="Century Gothic"/>
        </w:rPr>
        <w:t>vacancies were due to</w:t>
      </w:r>
      <w:r w:rsidR="005E6710" w:rsidRPr="00367F45">
        <w:rPr>
          <w:rFonts w:ascii="Century Gothic" w:hAnsi="Century Gothic"/>
        </w:rPr>
        <w:t xml:space="preserve"> one</w:t>
      </w:r>
      <w:r w:rsidR="007B2C13" w:rsidRPr="00367F45">
        <w:rPr>
          <w:rFonts w:ascii="Century Gothic" w:hAnsi="Century Gothic"/>
        </w:rPr>
        <w:t xml:space="preserve"> family exiting the program due to non-compliance</w:t>
      </w:r>
      <w:r w:rsidR="0051113C" w:rsidRPr="00367F45">
        <w:rPr>
          <w:rFonts w:ascii="Century Gothic" w:hAnsi="Century Gothic"/>
        </w:rPr>
        <w:t xml:space="preserve"> and </w:t>
      </w:r>
      <w:r w:rsidR="005E6710" w:rsidRPr="00367F45">
        <w:rPr>
          <w:rFonts w:ascii="Century Gothic" w:hAnsi="Century Gothic"/>
        </w:rPr>
        <w:t xml:space="preserve">two families successfully </w:t>
      </w:r>
      <w:r w:rsidR="0048636C" w:rsidRPr="00367F45">
        <w:rPr>
          <w:rFonts w:ascii="Century Gothic" w:hAnsi="Century Gothic"/>
        </w:rPr>
        <w:t xml:space="preserve">exiting the program </w:t>
      </w:r>
      <w:r w:rsidR="00491999" w:rsidRPr="00367F45">
        <w:rPr>
          <w:rFonts w:ascii="Century Gothic" w:hAnsi="Century Gothic"/>
        </w:rPr>
        <w:t xml:space="preserve">with permanent housing. </w:t>
      </w:r>
      <w:r w:rsidR="6FBB2CBB" w:rsidRPr="00367F45">
        <w:rPr>
          <w:rFonts w:ascii="Century Gothic" w:hAnsi="Century Gothic"/>
        </w:rPr>
        <w:t>ECC/HANH and CCA are working to lease up the additional slots in FY202</w:t>
      </w:r>
      <w:r w:rsidR="5E6CF8AE" w:rsidRPr="00367F45">
        <w:rPr>
          <w:rFonts w:ascii="Century Gothic" w:hAnsi="Century Gothic"/>
        </w:rPr>
        <w:t>5</w:t>
      </w:r>
      <w:r w:rsidR="6FBB2CBB" w:rsidRPr="00367F45">
        <w:rPr>
          <w:rFonts w:ascii="Century Gothic" w:hAnsi="Century Gothic"/>
        </w:rPr>
        <w:t>.</w:t>
      </w:r>
    </w:p>
    <w:p w14:paraId="7A2CB13E" w14:textId="4AA73F7B" w:rsidR="00C35F1D" w:rsidRPr="00367F45" w:rsidRDefault="00C35F1D" w:rsidP="7AC9FF43">
      <w:pPr>
        <w:rPr>
          <w:rFonts w:ascii="Century Gothic" w:hAnsi="Century Gothic"/>
        </w:rPr>
      </w:pPr>
    </w:p>
    <w:p w14:paraId="7A504119" w14:textId="35B22F7D" w:rsidR="00C35F1D" w:rsidRPr="00D72138" w:rsidRDefault="012416EF" w:rsidP="7AC9FF43">
      <w:pPr>
        <w:rPr>
          <w:rFonts w:ascii="Century Gothic" w:hAnsi="Century Gothic"/>
        </w:rPr>
      </w:pPr>
      <w:r w:rsidRPr="001A39CC">
        <w:rPr>
          <w:rFonts w:ascii="Century Gothic" w:hAnsi="Century Gothic"/>
        </w:rPr>
        <w:t>100% of the household ha</w:t>
      </w:r>
      <w:r w:rsidR="121A55DC" w:rsidRPr="001A39CC">
        <w:rPr>
          <w:rFonts w:ascii="Century Gothic" w:hAnsi="Century Gothic"/>
        </w:rPr>
        <w:t>ve</w:t>
      </w:r>
      <w:r w:rsidRPr="001A39CC">
        <w:rPr>
          <w:rFonts w:ascii="Century Gothic" w:hAnsi="Century Gothic"/>
        </w:rPr>
        <w:t xml:space="preserve"> children</w:t>
      </w:r>
      <w:r w:rsidR="00486062">
        <w:rPr>
          <w:rFonts w:ascii="Century Gothic" w:hAnsi="Century Gothic"/>
        </w:rPr>
        <w:t xml:space="preserve">, </w:t>
      </w:r>
      <w:r w:rsidRPr="001A39CC">
        <w:rPr>
          <w:rFonts w:ascii="Century Gothic" w:hAnsi="Century Gothic"/>
        </w:rPr>
        <w:t>with</w:t>
      </w:r>
      <w:r w:rsidR="675E437A" w:rsidRPr="001A39CC">
        <w:rPr>
          <w:rFonts w:ascii="Century Gothic" w:hAnsi="Century Gothic"/>
        </w:rPr>
        <w:t xml:space="preserve"> </w:t>
      </w:r>
      <w:r w:rsidR="0249767F" w:rsidRPr="001A39CC">
        <w:rPr>
          <w:rFonts w:ascii="Century Gothic" w:hAnsi="Century Gothic"/>
        </w:rPr>
        <w:t>66</w:t>
      </w:r>
      <w:r w:rsidR="675E437A" w:rsidRPr="001A39CC">
        <w:rPr>
          <w:rFonts w:ascii="Century Gothic" w:hAnsi="Century Gothic"/>
        </w:rPr>
        <w:t xml:space="preserve">% </w:t>
      </w:r>
      <w:r w:rsidR="4BCB8607" w:rsidRPr="001A39CC">
        <w:rPr>
          <w:rFonts w:ascii="Century Gothic" w:hAnsi="Century Gothic"/>
        </w:rPr>
        <w:t>of the household</w:t>
      </w:r>
      <w:r w:rsidR="3A75D351" w:rsidRPr="001A39CC">
        <w:rPr>
          <w:rFonts w:ascii="Century Gothic" w:hAnsi="Century Gothic"/>
        </w:rPr>
        <w:t>s</w:t>
      </w:r>
      <w:r w:rsidR="4BCB8607" w:rsidRPr="001A39CC">
        <w:rPr>
          <w:rFonts w:ascii="Century Gothic" w:hAnsi="Century Gothic"/>
        </w:rPr>
        <w:t xml:space="preserve"> with</w:t>
      </w:r>
      <w:r w:rsidR="675E437A" w:rsidRPr="001A39CC">
        <w:rPr>
          <w:rFonts w:ascii="Century Gothic" w:hAnsi="Century Gothic"/>
        </w:rPr>
        <w:t xml:space="preserve"> 2 or more children. </w:t>
      </w:r>
      <w:r w:rsidR="2DF9034D" w:rsidRPr="001A39CC">
        <w:rPr>
          <w:rFonts w:ascii="Century Gothic" w:hAnsi="Century Gothic"/>
        </w:rPr>
        <w:t xml:space="preserve"> The children </w:t>
      </w:r>
      <w:r w:rsidR="363906F8" w:rsidRPr="001A39CC">
        <w:rPr>
          <w:rFonts w:ascii="Century Gothic" w:hAnsi="Century Gothic"/>
        </w:rPr>
        <w:t xml:space="preserve">range in age from </w:t>
      </w:r>
      <w:r w:rsidR="00486062">
        <w:rPr>
          <w:rFonts w:ascii="Century Gothic" w:hAnsi="Century Gothic"/>
        </w:rPr>
        <w:t>2</w:t>
      </w:r>
      <w:r w:rsidR="363906F8" w:rsidRPr="001A39CC">
        <w:rPr>
          <w:rFonts w:ascii="Century Gothic" w:hAnsi="Century Gothic"/>
        </w:rPr>
        <w:t xml:space="preserve"> t</w:t>
      </w:r>
      <w:r w:rsidR="0044250A">
        <w:rPr>
          <w:rFonts w:ascii="Century Gothic" w:hAnsi="Century Gothic"/>
        </w:rPr>
        <w:t xml:space="preserve">o </w:t>
      </w:r>
      <w:r w:rsidR="363906F8" w:rsidRPr="001A39CC">
        <w:rPr>
          <w:rFonts w:ascii="Century Gothic" w:hAnsi="Century Gothic"/>
        </w:rPr>
        <w:t>20.</w:t>
      </w:r>
      <w:r w:rsidR="555921EE" w:rsidRPr="001A39CC">
        <w:rPr>
          <w:rFonts w:ascii="Century Gothic" w:hAnsi="Century Gothic"/>
        </w:rPr>
        <w:t xml:space="preserve"> </w:t>
      </w:r>
      <w:r w:rsidR="00486062">
        <w:rPr>
          <w:rFonts w:ascii="Century Gothic" w:hAnsi="Century Gothic"/>
        </w:rPr>
        <w:t xml:space="preserve"> </w:t>
      </w:r>
      <w:r w:rsidR="333D28B3" w:rsidRPr="001A39CC">
        <w:rPr>
          <w:rFonts w:ascii="Century Gothic" w:hAnsi="Century Gothic"/>
        </w:rPr>
        <w:t>Nineteen</w:t>
      </w:r>
      <w:r w:rsidR="555921EE" w:rsidRPr="001A39CC">
        <w:rPr>
          <w:rFonts w:ascii="Century Gothic" w:hAnsi="Century Gothic"/>
        </w:rPr>
        <w:t xml:space="preserve"> </w:t>
      </w:r>
      <w:r w:rsidR="03B71B99" w:rsidRPr="001A39CC">
        <w:rPr>
          <w:rFonts w:ascii="Century Gothic" w:hAnsi="Century Gothic"/>
        </w:rPr>
        <w:t>children are of school age.</w:t>
      </w:r>
      <w:r w:rsidR="2DF9034D" w:rsidRPr="001A39CC">
        <w:rPr>
          <w:rFonts w:ascii="Century Gothic" w:hAnsi="Century Gothic"/>
        </w:rPr>
        <w:t xml:space="preserve">  </w:t>
      </w:r>
      <w:r w:rsidR="40B6C62D" w:rsidRPr="001A39CC">
        <w:rPr>
          <w:rFonts w:ascii="Century Gothic" w:hAnsi="Century Gothic"/>
        </w:rPr>
        <w:t xml:space="preserve">1 household is a </w:t>
      </w:r>
      <w:r w:rsidR="7D6CF82F" w:rsidRPr="001A39CC">
        <w:rPr>
          <w:rFonts w:ascii="Century Gothic" w:hAnsi="Century Gothic"/>
        </w:rPr>
        <w:t xml:space="preserve">2-parent household. </w:t>
      </w:r>
      <w:r w:rsidR="00486062">
        <w:rPr>
          <w:rFonts w:ascii="Century Gothic" w:hAnsi="Century Gothic"/>
        </w:rPr>
        <w:t xml:space="preserve"> </w:t>
      </w:r>
      <w:r w:rsidR="2CC5DF12" w:rsidRPr="001A39CC">
        <w:rPr>
          <w:rFonts w:ascii="Century Gothic" w:hAnsi="Century Gothic"/>
        </w:rPr>
        <w:t>All 15 households have documented goals and plans in CCA’s Homeless Manag</w:t>
      </w:r>
      <w:r w:rsidR="25190FA1" w:rsidRPr="001A39CC">
        <w:rPr>
          <w:rFonts w:ascii="Century Gothic" w:hAnsi="Century Gothic"/>
        </w:rPr>
        <w:t>ement Information System (HMIS)</w:t>
      </w:r>
      <w:r w:rsidR="164A19E9" w:rsidRPr="001A39CC">
        <w:rPr>
          <w:rFonts w:ascii="Century Gothic" w:hAnsi="Century Gothic"/>
        </w:rPr>
        <w:t xml:space="preserve"> and are actively working with family coaches.</w:t>
      </w:r>
      <w:r w:rsidR="05D44799" w:rsidRPr="001A39CC">
        <w:rPr>
          <w:rFonts w:ascii="Century Gothic" w:hAnsi="Century Gothic"/>
        </w:rPr>
        <w:t xml:space="preserve"> 9</w:t>
      </w:r>
      <w:r w:rsidR="68921591" w:rsidRPr="001A39CC">
        <w:rPr>
          <w:rFonts w:ascii="Century Gothic" w:hAnsi="Century Gothic"/>
        </w:rPr>
        <w:t>4</w:t>
      </w:r>
      <w:r w:rsidR="05D44799" w:rsidRPr="001A39CC">
        <w:rPr>
          <w:rFonts w:ascii="Century Gothic" w:hAnsi="Century Gothic"/>
        </w:rPr>
        <w:t>% of the households are minority households.</w:t>
      </w:r>
    </w:p>
    <w:p w14:paraId="400233A8" w14:textId="29660A71" w:rsidR="00C35F1D" w:rsidRPr="00D72138" w:rsidRDefault="00C35F1D" w:rsidP="7AC9FF43">
      <w:pPr>
        <w:rPr>
          <w:rFonts w:ascii="Century Gothic" w:hAnsi="Century Gothic"/>
        </w:rPr>
      </w:pPr>
    </w:p>
    <w:p w14:paraId="5B4D79B1" w14:textId="57B39088" w:rsidR="00C35F1D" w:rsidRPr="00D72138" w:rsidRDefault="2DF9034D" w:rsidP="39F0821C">
      <w:pPr>
        <w:rPr>
          <w:rFonts w:ascii="Century Gothic" w:eastAsia="MS PGothic" w:hAnsi="Century Gothic"/>
        </w:rPr>
      </w:pPr>
      <w:r w:rsidRPr="00D72138">
        <w:rPr>
          <w:rFonts w:ascii="Century Gothic" w:hAnsi="Century Gothic"/>
        </w:rPr>
        <w:t>Having a stable place to li</w:t>
      </w:r>
      <w:r w:rsidR="2735EFFC" w:rsidRPr="00D72138">
        <w:rPr>
          <w:rFonts w:ascii="Century Gothic" w:hAnsi="Century Gothic"/>
        </w:rPr>
        <w:t>ve will give the families stability to be able to look for stable employment and provide foo</w:t>
      </w:r>
      <w:r w:rsidR="69DBFC9B" w:rsidRPr="00D72138">
        <w:rPr>
          <w:rFonts w:ascii="Century Gothic" w:hAnsi="Century Gothic"/>
        </w:rPr>
        <w:t>d and essentials for the family.  Stable housing will also benefit the children in their education and other areas of their lives.</w:t>
      </w:r>
      <w:r w:rsidR="69DEFD2A" w:rsidRPr="00D72138">
        <w:rPr>
          <w:rFonts w:ascii="Century Gothic" w:hAnsi="Century Gothic"/>
        </w:rPr>
        <w:t xml:space="preserve">  </w:t>
      </w:r>
    </w:p>
    <w:p w14:paraId="1CC1AB91" w14:textId="26136B02" w:rsidR="4566E4F4" w:rsidRPr="00D72138" w:rsidRDefault="4566E4F4" w:rsidP="4566E4F4">
      <w:pPr>
        <w:rPr>
          <w:rFonts w:ascii="Century Gothic" w:hAnsi="Century Gothic"/>
        </w:rPr>
      </w:pPr>
    </w:p>
    <w:p w14:paraId="05F465CB" w14:textId="7B5FA334" w:rsidR="29C33E1C" w:rsidRPr="00D72138" w:rsidRDefault="0B25D94A">
      <w:pPr>
        <w:rPr>
          <w:rFonts w:ascii="Century Gothic" w:eastAsia="Times New Roman" w:hAnsi="Century Gothic"/>
          <w:color w:val="0E101A"/>
        </w:rPr>
      </w:pPr>
      <w:r w:rsidRPr="00D72138">
        <w:rPr>
          <w:rFonts w:ascii="Century Gothic" w:eastAsia="Times New Roman" w:hAnsi="Century Gothic"/>
          <w:color w:val="0E101A"/>
        </w:rPr>
        <w:t>In FY2024, there are</w:t>
      </w:r>
      <w:r w:rsidR="275B930B" w:rsidRPr="00D72138">
        <w:rPr>
          <w:rFonts w:ascii="Century Gothic" w:eastAsia="Times New Roman" w:hAnsi="Century Gothic"/>
          <w:color w:val="0E101A"/>
        </w:rPr>
        <w:t xml:space="preserve"> </w:t>
      </w:r>
      <w:r w:rsidR="55AE3579" w:rsidRPr="00D72138">
        <w:rPr>
          <w:rFonts w:ascii="Century Gothic" w:eastAsia="Times New Roman" w:hAnsi="Century Gothic"/>
          <w:color w:val="0E101A"/>
        </w:rPr>
        <w:t>15 households</w:t>
      </w:r>
      <w:r w:rsidR="2C3A0AD1" w:rsidRPr="00D72138">
        <w:rPr>
          <w:rFonts w:ascii="Century Gothic" w:eastAsia="Times New Roman" w:hAnsi="Century Gothic"/>
          <w:color w:val="0E101A"/>
        </w:rPr>
        <w:t xml:space="preserve"> and </w:t>
      </w:r>
      <w:r w:rsidR="275B930B" w:rsidRPr="00D72138">
        <w:rPr>
          <w:rFonts w:ascii="Century Gothic" w:eastAsia="Times New Roman" w:hAnsi="Century Gothic"/>
          <w:color w:val="0E101A"/>
        </w:rPr>
        <w:t>16 adults (</w:t>
      </w:r>
      <w:r w:rsidR="275B930B" w:rsidRPr="00D72138">
        <w:rPr>
          <w:rFonts w:ascii="Century Gothic" w:eastAsia="Times New Roman" w:hAnsi="Century Gothic"/>
          <w:i/>
          <w:color w:val="0E101A"/>
        </w:rPr>
        <w:t>there is one two-parent household</w:t>
      </w:r>
      <w:r w:rsidR="275B930B" w:rsidRPr="00D72138">
        <w:rPr>
          <w:rFonts w:ascii="Century Gothic" w:eastAsia="Times New Roman" w:hAnsi="Century Gothic"/>
          <w:color w:val="0E101A"/>
        </w:rPr>
        <w:t xml:space="preserve">), </w:t>
      </w:r>
      <w:r w:rsidR="2DB400E6" w:rsidRPr="00D72138">
        <w:rPr>
          <w:rFonts w:ascii="Century Gothic" w:eastAsia="Times New Roman" w:hAnsi="Century Gothic"/>
          <w:color w:val="0E101A"/>
        </w:rPr>
        <w:t>who</w:t>
      </w:r>
      <w:r w:rsidR="275B930B" w:rsidRPr="00D72138">
        <w:rPr>
          <w:rFonts w:ascii="Century Gothic" w:eastAsia="Times New Roman" w:hAnsi="Century Gothic"/>
          <w:color w:val="0E101A"/>
        </w:rPr>
        <w:t xml:space="preserve"> have worked closely with their Family Coach and outlined goals to be accomplished for higher education, employment, and/or increased income.  </w:t>
      </w:r>
    </w:p>
    <w:p w14:paraId="4909380A" w14:textId="36E018C1" w:rsidR="29C33E1C" w:rsidRPr="00D72138" w:rsidRDefault="275B930B">
      <w:pPr>
        <w:rPr>
          <w:rFonts w:ascii="Century Gothic" w:eastAsia="Times New Roman" w:hAnsi="Century Gothic"/>
          <w:color w:val="0E101A"/>
          <w:szCs w:val="22"/>
        </w:rPr>
      </w:pPr>
      <w:r w:rsidRPr="00D72138">
        <w:rPr>
          <w:rFonts w:ascii="Century Gothic" w:eastAsia="Times New Roman" w:hAnsi="Century Gothic"/>
          <w:color w:val="0E101A"/>
          <w:szCs w:val="22"/>
        </w:rPr>
        <w:t xml:space="preserve"> </w:t>
      </w:r>
    </w:p>
    <w:p w14:paraId="1B7980AC" w14:textId="0C339AF6" w:rsidR="29C33E1C" w:rsidRPr="00D72138" w:rsidRDefault="275B930B" w:rsidP="3E8BB527">
      <w:pPr>
        <w:rPr>
          <w:rFonts w:ascii="Century Gothic" w:eastAsia="Times New Roman" w:hAnsi="Century Gothic"/>
          <w:color w:val="0E101A"/>
        </w:rPr>
      </w:pPr>
      <w:r w:rsidRPr="00D72138">
        <w:rPr>
          <w:rFonts w:ascii="Century Gothic" w:eastAsia="Times New Roman" w:hAnsi="Century Gothic"/>
          <w:color w:val="0E101A"/>
        </w:rPr>
        <w:t xml:space="preserve">Of the 16 adults, </w:t>
      </w:r>
      <w:r w:rsidR="1B05A42D" w:rsidRPr="00D72138">
        <w:rPr>
          <w:rFonts w:ascii="Century Gothic" w:eastAsia="Times New Roman" w:hAnsi="Century Gothic"/>
          <w:color w:val="0E101A"/>
        </w:rPr>
        <w:t xml:space="preserve">8 </w:t>
      </w:r>
      <w:r w:rsidR="749F4A73" w:rsidRPr="00D72138">
        <w:rPr>
          <w:rFonts w:ascii="Century Gothic" w:eastAsia="Times New Roman" w:hAnsi="Century Gothic"/>
          <w:color w:val="0E101A"/>
        </w:rPr>
        <w:t>(</w:t>
      </w:r>
      <w:r w:rsidR="2B32ACA8" w:rsidRPr="00D72138">
        <w:rPr>
          <w:rFonts w:ascii="Century Gothic" w:eastAsia="Times New Roman" w:hAnsi="Century Gothic"/>
          <w:color w:val="0E101A"/>
        </w:rPr>
        <w:t>50</w:t>
      </w:r>
      <w:r w:rsidR="749F4A73" w:rsidRPr="00D72138">
        <w:rPr>
          <w:rFonts w:ascii="Century Gothic" w:eastAsia="Times New Roman" w:hAnsi="Century Gothic"/>
          <w:color w:val="0E101A"/>
        </w:rPr>
        <w:t xml:space="preserve">%) </w:t>
      </w:r>
      <w:r w:rsidR="1B05A42D" w:rsidRPr="00D72138">
        <w:rPr>
          <w:rFonts w:ascii="Century Gothic" w:eastAsia="Times New Roman" w:hAnsi="Century Gothic"/>
          <w:color w:val="0E101A"/>
        </w:rPr>
        <w:t>are pursuing education goals</w:t>
      </w:r>
    </w:p>
    <w:p w14:paraId="729A08EA" w14:textId="0EA1FFA5" w:rsidR="29C33E1C" w:rsidRPr="00D72138" w:rsidRDefault="275B930B" w:rsidP="00486062">
      <w:pPr>
        <w:pStyle w:val="ListParagraph"/>
        <w:numPr>
          <w:ilvl w:val="0"/>
          <w:numId w:val="121"/>
        </w:numPr>
        <w:rPr>
          <w:rFonts w:ascii="Century Gothic" w:eastAsia="Times New Roman" w:hAnsi="Century Gothic"/>
          <w:i/>
          <w:iCs/>
          <w:color w:val="0E101A"/>
          <w:szCs w:val="22"/>
        </w:rPr>
      </w:pPr>
      <w:r w:rsidRPr="00D72138">
        <w:rPr>
          <w:rFonts w:ascii="Century Gothic" w:eastAsia="Times New Roman" w:hAnsi="Century Gothic"/>
          <w:color w:val="0E101A"/>
        </w:rPr>
        <w:t>4 are seeking higher education</w:t>
      </w:r>
    </w:p>
    <w:p w14:paraId="0E78B127" w14:textId="669A96CA" w:rsidR="29C33E1C" w:rsidRPr="00D72138" w:rsidRDefault="275B930B" w:rsidP="00486062">
      <w:pPr>
        <w:pStyle w:val="ListParagraph"/>
        <w:numPr>
          <w:ilvl w:val="0"/>
          <w:numId w:val="121"/>
        </w:numPr>
        <w:rPr>
          <w:rFonts w:ascii="Century Gothic" w:eastAsia="Times New Roman" w:hAnsi="Century Gothic"/>
          <w:i/>
          <w:iCs/>
          <w:color w:val="0E101A"/>
          <w:szCs w:val="22"/>
        </w:rPr>
      </w:pPr>
      <w:r w:rsidRPr="00D72138">
        <w:rPr>
          <w:rFonts w:ascii="Century Gothic" w:eastAsia="Times New Roman" w:hAnsi="Century Gothic"/>
          <w:color w:val="0E101A"/>
        </w:rPr>
        <w:t xml:space="preserve">2 are enrolled in a GED program, and </w:t>
      </w:r>
    </w:p>
    <w:p w14:paraId="1847273B" w14:textId="0D800BF7" w:rsidR="29C33E1C" w:rsidRPr="00D72138" w:rsidRDefault="275B930B" w:rsidP="00486062">
      <w:pPr>
        <w:pStyle w:val="ListParagraph"/>
        <w:numPr>
          <w:ilvl w:val="0"/>
          <w:numId w:val="121"/>
        </w:numPr>
        <w:rPr>
          <w:rFonts w:ascii="Century Gothic" w:eastAsia="Times New Roman" w:hAnsi="Century Gothic"/>
          <w:i/>
          <w:iCs/>
          <w:color w:val="0E101A"/>
          <w:szCs w:val="22"/>
        </w:rPr>
      </w:pPr>
      <w:r w:rsidRPr="00D72138">
        <w:rPr>
          <w:rFonts w:ascii="Century Gothic" w:eastAsia="Times New Roman" w:hAnsi="Century Gothic"/>
          <w:color w:val="0E101A"/>
        </w:rPr>
        <w:t xml:space="preserve">2 are attending college </w:t>
      </w:r>
      <w:r w:rsidRPr="00D72138">
        <w:rPr>
          <w:rFonts w:ascii="Century Gothic" w:eastAsia="Times New Roman" w:hAnsi="Century Gothic"/>
          <w:i/>
          <w:color w:val="0E101A"/>
        </w:rPr>
        <w:t>(one is working to complete her BA at Southern University to become a librarian, and the other is attending Gateway Community College for Nursing).</w:t>
      </w:r>
    </w:p>
    <w:p w14:paraId="245E7C6C" w14:textId="79053AAA" w:rsidR="3E8BB527" w:rsidRPr="00D72138" w:rsidRDefault="3E8BB527" w:rsidP="00D72138">
      <w:pPr>
        <w:pStyle w:val="ListParagraph"/>
        <w:rPr>
          <w:rFonts w:ascii="Century Gothic" w:eastAsia="Times New Roman" w:hAnsi="Century Gothic"/>
          <w:i/>
          <w:iCs/>
          <w:color w:val="0E101A"/>
          <w:szCs w:val="22"/>
        </w:rPr>
      </w:pPr>
    </w:p>
    <w:p w14:paraId="59FC4AC1" w14:textId="113297AE" w:rsidR="29C33E1C" w:rsidRPr="00D72138" w:rsidRDefault="275B930B">
      <w:pPr>
        <w:rPr>
          <w:rFonts w:ascii="Century Gothic" w:eastAsia="Times New Roman" w:hAnsi="Century Gothic"/>
          <w:color w:val="0E101A"/>
        </w:rPr>
      </w:pPr>
      <w:r w:rsidRPr="00D72138">
        <w:rPr>
          <w:rFonts w:ascii="Century Gothic" w:eastAsia="Times New Roman" w:hAnsi="Century Gothic"/>
          <w:color w:val="0E101A"/>
        </w:rPr>
        <w:t>Of the 16 adults, 9</w:t>
      </w:r>
      <w:r w:rsidR="2A784ED0" w:rsidRPr="00D72138">
        <w:rPr>
          <w:rFonts w:ascii="Century Gothic" w:eastAsia="Times New Roman" w:hAnsi="Century Gothic"/>
          <w:color w:val="0E101A"/>
        </w:rPr>
        <w:t xml:space="preserve"> (</w:t>
      </w:r>
      <w:r w:rsidR="750B77EB" w:rsidRPr="00D72138">
        <w:rPr>
          <w:rFonts w:ascii="Century Gothic" w:eastAsia="Times New Roman" w:hAnsi="Century Gothic"/>
          <w:color w:val="0E101A"/>
        </w:rPr>
        <w:t>60</w:t>
      </w:r>
      <w:r w:rsidRPr="00D72138">
        <w:rPr>
          <w:rFonts w:ascii="Century Gothic" w:eastAsia="Times New Roman" w:hAnsi="Century Gothic"/>
          <w:color w:val="0E101A"/>
        </w:rPr>
        <w:t>%</w:t>
      </w:r>
      <w:r w:rsidR="3FBA43FB" w:rsidRPr="00D72138">
        <w:rPr>
          <w:rFonts w:ascii="Century Gothic" w:eastAsia="Times New Roman" w:hAnsi="Century Gothic"/>
          <w:color w:val="0E101A"/>
        </w:rPr>
        <w:t>)</w:t>
      </w:r>
      <w:r w:rsidRPr="00D72138">
        <w:rPr>
          <w:rFonts w:ascii="Century Gothic" w:eastAsia="Times New Roman" w:hAnsi="Century Gothic"/>
          <w:color w:val="0E101A"/>
        </w:rPr>
        <w:t xml:space="preserve"> are employed: 8 are employed full-time, and one is employed part-time.  </w:t>
      </w:r>
    </w:p>
    <w:p w14:paraId="537B19D7" w14:textId="1D5D5C3D" w:rsidR="29C33E1C" w:rsidRPr="00D72138" w:rsidRDefault="29C33E1C" w:rsidP="7D08BF33">
      <w:pPr>
        <w:rPr>
          <w:rFonts w:ascii="Century Gothic" w:eastAsia="Times New Roman" w:hAnsi="Century Gothic"/>
          <w:szCs w:val="22"/>
        </w:rPr>
      </w:pPr>
    </w:p>
    <w:p w14:paraId="764025E4" w14:textId="132445B5" w:rsidR="29C33E1C" w:rsidRPr="00D72138" w:rsidRDefault="275B930B">
      <w:pPr>
        <w:rPr>
          <w:rFonts w:ascii="Century Gothic" w:eastAsia="Times New Roman" w:hAnsi="Century Gothic"/>
          <w:color w:val="0E101A"/>
          <w:szCs w:val="22"/>
        </w:rPr>
      </w:pPr>
      <w:r w:rsidRPr="00D72138">
        <w:rPr>
          <w:rFonts w:ascii="Century Gothic" w:eastAsia="Times New Roman" w:hAnsi="Century Gothic"/>
          <w:color w:val="0E101A"/>
          <w:szCs w:val="22"/>
        </w:rPr>
        <w:t>Listed are some of the professionals:</w:t>
      </w:r>
    </w:p>
    <w:p w14:paraId="01BE5BCA" w14:textId="77777777" w:rsidR="00486062" w:rsidRDefault="275B930B" w:rsidP="00486062">
      <w:pPr>
        <w:pStyle w:val="ListParagraph"/>
        <w:numPr>
          <w:ilvl w:val="0"/>
          <w:numId w:val="136"/>
        </w:numPr>
        <w:rPr>
          <w:rFonts w:ascii="Century Gothic" w:eastAsia="Times New Roman" w:hAnsi="Century Gothic"/>
          <w:color w:val="0E101A"/>
          <w:szCs w:val="22"/>
        </w:rPr>
      </w:pPr>
      <w:r w:rsidRPr="00486062">
        <w:rPr>
          <w:rFonts w:ascii="Century Gothic" w:eastAsia="Times New Roman" w:hAnsi="Century Gothic"/>
          <w:color w:val="0E101A"/>
          <w:szCs w:val="22"/>
        </w:rPr>
        <w:t>LP Nurse</w:t>
      </w:r>
    </w:p>
    <w:p w14:paraId="27484563" w14:textId="77777777" w:rsidR="00486062" w:rsidRDefault="275B930B" w:rsidP="00486062">
      <w:pPr>
        <w:pStyle w:val="ListParagraph"/>
        <w:numPr>
          <w:ilvl w:val="0"/>
          <w:numId w:val="136"/>
        </w:numPr>
        <w:rPr>
          <w:rFonts w:ascii="Century Gothic" w:eastAsia="Times New Roman" w:hAnsi="Century Gothic"/>
          <w:color w:val="0E101A"/>
          <w:szCs w:val="22"/>
        </w:rPr>
      </w:pPr>
      <w:r w:rsidRPr="00486062">
        <w:rPr>
          <w:rFonts w:ascii="Century Gothic" w:eastAsia="Times New Roman" w:hAnsi="Century Gothic"/>
          <w:color w:val="0E101A"/>
          <w:szCs w:val="22"/>
        </w:rPr>
        <w:t>Phlebotomist</w:t>
      </w:r>
    </w:p>
    <w:p w14:paraId="11AB23D9" w14:textId="77777777" w:rsidR="00486062" w:rsidRDefault="275B930B" w:rsidP="00486062">
      <w:pPr>
        <w:pStyle w:val="ListParagraph"/>
        <w:numPr>
          <w:ilvl w:val="0"/>
          <w:numId w:val="136"/>
        </w:numPr>
        <w:rPr>
          <w:rFonts w:ascii="Century Gothic" w:eastAsia="Times New Roman" w:hAnsi="Century Gothic"/>
          <w:color w:val="0E101A"/>
          <w:szCs w:val="22"/>
        </w:rPr>
      </w:pPr>
      <w:r w:rsidRPr="00486062">
        <w:rPr>
          <w:rFonts w:ascii="Century Gothic" w:eastAsia="Times New Roman" w:hAnsi="Century Gothic"/>
          <w:color w:val="0E101A"/>
          <w:szCs w:val="22"/>
        </w:rPr>
        <w:t xml:space="preserve">Pharmacy Technician </w:t>
      </w:r>
    </w:p>
    <w:p w14:paraId="7A5D0B17" w14:textId="77777777" w:rsidR="00486062" w:rsidRDefault="275B930B" w:rsidP="00486062">
      <w:pPr>
        <w:pStyle w:val="ListParagraph"/>
        <w:numPr>
          <w:ilvl w:val="0"/>
          <w:numId w:val="136"/>
        </w:numPr>
        <w:rPr>
          <w:rFonts w:ascii="Century Gothic" w:eastAsia="Times New Roman" w:hAnsi="Century Gothic"/>
          <w:color w:val="0E101A"/>
          <w:szCs w:val="22"/>
        </w:rPr>
      </w:pPr>
      <w:r w:rsidRPr="00486062">
        <w:rPr>
          <w:rFonts w:ascii="Century Gothic" w:eastAsia="Times New Roman" w:hAnsi="Century Gothic"/>
          <w:color w:val="0E101A"/>
          <w:szCs w:val="22"/>
        </w:rPr>
        <w:lastRenderedPageBreak/>
        <w:t>Administrative Assistant</w:t>
      </w:r>
    </w:p>
    <w:p w14:paraId="5477120A" w14:textId="77777777" w:rsidR="00486062" w:rsidRDefault="275B930B" w:rsidP="00486062">
      <w:pPr>
        <w:pStyle w:val="ListParagraph"/>
        <w:numPr>
          <w:ilvl w:val="0"/>
          <w:numId w:val="136"/>
        </w:numPr>
        <w:rPr>
          <w:rFonts w:ascii="Century Gothic" w:eastAsia="Times New Roman" w:hAnsi="Century Gothic"/>
          <w:color w:val="0E101A"/>
          <w:szCs w:val="22"/>
        </w:rPr>
      </w:pPr>
      <w:r w:rsidRPr="00486062">
        <w:rPr>
          <w:rFonts w:ascii="Century Gothic" w:eastAsia="Times New Roman" w:hAnsi="Century Gothic"/>
          <w:color w:val="0E101A"/>
          <w:szCs w:val="22"/>
        </w:rPr>
        <w:t>Home Health Aide</w:t>
      </w:r>
    </w:p>
    <w:p w14:paraId="34600032" w14:textId="77777777" w:rsidR="00486062" w:rsidRDefault="275B930B" w:rsidP="00486062">
      <w:pPr>
        <w:pStyle w:val="ListParagraph"/>
        <w:numPr>
          <w:ilvl w:val="0"/>
          <w:numId w:val="136"/>
        </w:numPr>
        <w:rPr>
          <w:rFonts w:ascii="Century Gothic" w:eastAsia="Times New Roman" w:hAnsi="Century Gothic"/>
          <w:color w:val="0E101A"/>
          <w:szCs w:val="22"/>
        </w:rPr>
      </w:pPr>
      <w:r w:rsidRPr="00486062">
        <w:rPr>
          <w:rFonts w:ascii="Century Gothic" w:eastAsia="Times New Roman" w:hAnsi="Century Gothic"/>
          <w:color w:val="0E101A"/>
          <w:szCs w:val="22"/>
        </w:rPr>
        <w:t>Food Service</w:t>
      </w:r>
    </w:p>
    <w:p w14:paraId="141E3CF0" w14:textId="00D2DC74" w:rsidR="29C33E1C" w:rsidRPr="00486062" w:rsidRDefault="275B930B" w:rsidP="00486062">
      <w:pPr>
        <w:pStyle w:val="ListParagraph"/>
        <w:numPr>
          <w:ilvl w:val="0"/>
          <w:numId w:val="136"/>
        </w:numPr>
        <w:rPr>
          <w:rFonts w:ascii="Century Gothic" w:eastAsia="Times New Roman" w:hAnsi="Century Gothic"/>
          <w:color w:val="0E101A"/>
          <w:szCs w:val="22"/>
        </w:rPr>
      </w:pPr>
      <w:r w:rsidRPr="00486062">
        <w:rPr>
          <w:rFonts w:ascii="Century Gothic" w:eastAsia="Times New Roman" w:hAnsi="Century Gothic"/>
          <w:color w:val="0E101A"/>
          <w:szCs w:val="22"/>
        </w:rPr>
        <w:t>Cashier</w:t>
      </w:r>
    </w:p>
    <w:p w14:paraId="384A0792" w14:textId="09C77CB2" w:rsidR="29C33E1C" w:rsidRPr="00D72138" w:rsidRDefault="275B930B">
      <w:pPr>
        <w:rPr>
          <w:rFonts w:ascii="Century Gothic" w:eastAsia="Times New Roman" w:hAnsi="Century Gothic"/>
          <w:b/>
          <w:bCs/>
          <w:color w:val="0E101A"/>
          <w:szCs w:val="22"/>
        </w:rPr>
      </w:pPr>
      <w:r w:rsidRPr="00D72138">
        <w:rPr>
          <w:rFonts w:ascii="Century Gothic" w:eastAsia="Times New Roman" w:hAnsi="Century Gothic"/>
          <w:b/>
          <w:bCs/>
          <w:color w:val="0E101A"/>
          <w:szCs w:val="22"/>
        </w:rPr>
        <w:t xml:space="preserve"> </w:t>
      </w:r>
    </w:p>
    <w:p w14:paraId="3F72DD75" w14:textId="6DC194A6" w:rsidR="29C33E1C" w:rsidRPr="00D72138" w:rsidRDefault="275B930B">
      <w:pPr>
        <w:rPr>
          <w:rFonts w:ascii="Century Gothic" w:eastAsia="Times New Roman" w:hAnsi="Century Gothic"/>
          <w:b/>
          <w:color w:val="0E101A"/>
        </w:rPr>
      </w:pPr>
      <w:r w:rsidRPr="00D72138">
        <w:rPr>
          <w:rFonts w:ascii="Century Gothic" w:eastAsia="Times New Roman" w:hAnsi="Century Gothic"/>
          <w:b/>
          <w:color w:val="0E101A"/>
        </w:rPr>
        <w:t>Partnerships</w:t>
      </w:r>
    </w:p>
    <w:p w14:paraId="7DA9DF79" w14:textId="7C550E17" w:rsidR="3E8BB527" w:rsidRPr="00D72138" w:rsidRDefault="3E8BB527" w:rsidP="3E8BB527">
      <w:pPr>
        <w:rPr>
          <w:rFonts w:ascii="Century Gothic" w:eastAsia="Times New Roman" w:hAnsi="Century Gothic"/>
          <w:b/>
          <w:bCs/>
          <w:color w:val="0E101A"/>
        </w:rPr>
      </w:pPr>
    </w:p>
    <w:p w14:paraId="1BDCC92B" w14:textId="64E886D5" w:rsidR="070F963B" w:rsidRPr="00D72138" w:rsidRDefault="070F963B" w:rsidP="3E8BB527">
      <w:pPr>
        <w:rPr>
          <w:rFonts w:ascii="Century Gothic" w:eastAsia="Times New Roman" w:hAnsi="Century Gothic"/>
          <w:color w:val="0E101A"/>
        </w:rPr>
      </w:pPr>
      <w:r w:rsidRPr="00486062">
        <w:rPr>
          <w:rFonts w:ascii="Century Gothic" w:eastAsia="Times New Roman" w:hAnsi="Century Gothic"/>
          <w:color w:val="0E101A"/>
        </w:rPr>
        <w:t>Family</w:t>
      </w:r>
      <w:r w:rsidR="0A11B11E" w:rsidRPr="00486062">
        <w:rPr>
          <w:rFonts w:ascii="Century Gothic" w:eastAsia="Times New Roman" w:hAnsi="Century Gothic"/>
          <w:color w:val="0E101A"/>
        </w:rPr>
        <w:t xml:space="preserve"> coaches work with the family and the</w:t>
      </w:r>
      <w:r w:rsidR="0A11B11E" w:rsidRPr="00D72138">
        <w:rPr>
          <w:rFonts w:ascii="Century Gothic" w:eastAsia="Times New Roman" w:hAnsi="Century Gothic"/>
          <w:color w:val="0E101A"/>
        </w:rPr>
        <w:t xml:space="preserve"> Employment (ARISE) Center to develop the Family Action Plan (FAP) with the HOH(s). </w:t>
      </w:r>
      <w:r w:rsidR="2D404E05" w:rsidRPr="00D72138">
        <w:rPr>
          <w:rFonts w:ascii="Century Gothic" w:eastAsia="Times New Roman" w:hAnsi="Century Gothic"/>
          <w:color w:val="0E101A"/>
        </w:rPr>
        <w:t xml:space="preserve">The Employment Specialist at ARISE assists the families with creating professional resumes, obtaining professional clothing for interviews, and access to applying for jobs online when necessary.  </w:t>
      </w:r>
    </w:p>
    <w:p w14:paraId="286E2BC3" w14:textId="7D7CC1B2" w:rsidR="29C33E1C" w:rsidRPr="00302AE0" w:rsidRDefault="29C33E1C">
      <w:pPr>
        <w:rPr>
          <w:rFonts w:ascii="Century Gothic" w:eastAsia="Times New Roman" w:hAnsi="Century Gothic"/>
          <w:color w:val="0E101A"/>
        </w:rPr>
      </w:pPr>
    </w:p>
    <w:p w14:paraId="486B736B" w14:textId="2AB09858" w:rsidR="29C33E1C" w:rsidRPr="00CD02B1" w:rsidRDefault="275B930B">
      <w:pPr>
        <w:rPr>
          <w:rFonts w:ascii="Century Gothic" w:eastAsia="Times New Roman" w:hAnsi="Century Gothic"/>
          <w:color w:val="0E101A"/>
        </w:rPr>
      </w:pPr>
      <w:r w:rsidRPr="00302AE0">
        <w:rPr>
          <w:rFonts w:ascii="Century Gothic" w:eastAsia="Times New Roman" w:hAnsi="Century Gothic"/>
          <w:color w:val="0E101A"/>
        </w:rPr>
        <w:t xml:space="preserve">The Child and Family Specialist </w:t>
      </w:r>
      <w:r w:rsidR="062FB245" w:rsidRPr="00CD02B1">
        <w:rPr>
          <w:rFonts w:ascii="Century Gothic" w:eastAsia="Times New Roman" w:hAnsi="Century Gothic"/>
          <w:color w:val="0E101A"/>
        </w:rPr>
        <w:t>at</w:t>
      </w:r>
      <w:r w:rsidRPr="00CD02B1">
        <w:rPr>
          <w:rFonts w:ascii="Century Gothic" w:eastAsia="Times New Roman" w:hAnsi="Century Gothic"/>
          <w:color w:val="0E101A"/>
        </w:rPr>
        <w:t xml:space="preserve"> ARISE </w:t>
      </w:r>
      <w:r w:rsidR="4B2D2064" w:rsidRPr="00CD02B1">
        <w:rPr>
          <w:rFonts w:ascii="Century Gothic" w:eastAsia="Times New Roman" w:hAnsi="Century Gothic"/>
          <w:color w:val="0E101A"/>
        </w:rPr>
        <w:t xml:space="preserve">also </w:t>
      </w:r>
      <w:r w:rsidRPr="00CD02B1">
        <w:rPr>
          <w:rFonts w:ascii="Century Gothic" w:eastAsia="Times New Roman" w:hAnsi="Century Gothic"/>
          <w:color w:val="0E101A"/>
        </w:rPr>
        <w:t>assists the family with education</w:t>
      </w:r>
      <w:r w:rsidR="45E476E7" w:rsidRPr="00CD02B1">
        <w:rPr>
          <w:rFonts w:ascii="Century Gothic" w:eastAsia="Times New Roman" w:hAnsi="Century Gothic"/>
          <w:color w:val="0E101A"/>
        </w:rPr>
        <w:t>al goals,</w:t>
      </w:r>
      <w:r w:rsidRPr="00CD02B1">
        <w:rPr>
          <w:rFonts w:ascii="Century Gothic" w:eastAsia="Times New Roman" w:hAnsi="Century Gothic"/>
          <w:color w:val="0E101A"/>
        </w:rPr>
        <w:t xml:space="preserve"> for the adults and children. </w:t>
      </w:r>
    </w:p>
    <w:p w14:paraId="29A425B5" w14:textId="3901CEC7" w:rsidR="29C33E1C" w:rsidRPr="00CD02B1" w:rsidRDefault="275B930B">
      <w:pPr>
        <w:rPr>
          <w:rFonts w:ascii="Century Gothic" w:eastAsia="Times New Roman" w:hAnsi="Century Gothic"/>
          <w:color w:val="0E101A"/>
          <w:szCs w:val="22"/>
        </w:rPr>
      </w:pPr>
      <w:r w:rsidRPr="00CD02B1">
        <w:rPr>
          <w:rFonts w:ascii="Century Gothic" w:eastAsia="Times New Roman" w:hAnsi="Century Gothic"/>
          <w:color w:val="0E101A"/>
          <w:szCs w:val="22"/>
        </w:rPr>
        <w:t xml:space="preserve"> </w:t>
      </w:r>
    </w:p>
    <w:p w14:paraId="455DA65B" w14:textId="3CDCBA79" w:rsidR="275B930B" w:rsidRPr="00CD02B1" w:rsidRDefault="275B930B" w:rsidP="3E8BB527">
      <w:pPr>
        <w:rPr>
          <w:rFonts w:ascii="Century Gothic" w:eastAsia="Times New Roman" w:hAnsi="Century Gothic"/>
          <w:color w:val="0E101A"/>
        </w:rPr>
      </w:pPr>
      <w:r w:rsidRPr="00CD02B1">
        <w:rPr>
          <w:rFonts w:ascii="Century Gothic" w:eastAsia="Times New Roman" w:hAnsi="Century Gothic"/>
          <w:color w:val="0E101A"/>
        </w:rPr>
        <w:t xml:space="preserve">CCA has </w:t>
      </w:r>
      <w:r w:rsidR="69610D5B" w:rsidRPr="00CD02B1">
        <w:rPr>
          <w:rFonts w:ascii="Century Gothic" w:eastAsia="Times New Roman" w:hAnsi="Century Gothic"/>
          <w:color w:val="0E101A"/>
        </w:rPr>
        <w:t xml:space="preserve">also </w:t>
      </w:r>
      <w:r w:rsidRPr="00CD02B1">
        <w:rPr>
          <w:rFonts w:ascii="Century Gothic" w:eastAsia="Times New Roman" w:hAnsi="Century Gothic"/>
          <w:color w:val="0E101A"/>
        </w:rPr>
        <w:t xml:space="preserve">partnered with several community organizations and agencies that </w:t>
      </w:r>
      <w:proofErr w:type="gramStart"/>
      <w:r w:rsidRPr="00CD02B1">
        <w:rPr>
          <w:rFonts w:ascii="Century Gothic" w:eastAsia="Times New Roman" w:hAnsi="Century Gothic"/>
          <w:color w:val="0E101A"/>
        </w:rPr>
        <w:t>provide assistance</w:t>
      </w:r>
      <w:proofErr w:type="gramEnd"/>
      <w:r w:rsidRPr="00CD02B1">
        <w:rPr>
          <w:rFonts w:ascii="Century Gothic" w:eastAsia="Times New Roman" w:hAnsi="Century Gothic"/>
          <w:color w:val="0E101A"/>
        </w:rPr>
        <w:t xml:space="preserve"> and needed items for the families</w:t>
      </w:r>
      <w:r w:rsidR="20C4E232" w:rsidRPr="00CD02B1">
        <w:rPr>
          <w:rFonts w:ascii="Century Gothic" w:eastAsia="Times New Roman" w:hAnsi="Century Gothic"/>
          <w:color w:val="0E101A"/>
        </w:rPr>
        <w:t xml:space="preserve">.  </w:t>
      </w:r>
    </w:p>
    <w:p w14:paraId="2B3B528F" w14:textId="26CD03F6" w:rsidR="3E8BB527" w:rsidRPr="00CD02B1" w:rsidRDefault="3E8BB527" w:rsidP="3E8BB527">
      <w:pPr>
        <w:rPr>
          <w:rFonts w:ascii="Century Gothic" w:eastAsia="Times New Roman" w:hAnsi="Century Gothic"/>
          <w:color w:val="0E101A"/>
        </w:rPr>
      </w:pPr>
    </w:p>
    <w:p w14:paraId="6898EB55" w14:textId="7411E252" w:rsidR="20C4E232" w:rsidRPr="004C5BEF" w:rsidRDefault="20C4E232" w:rsidP="3E8BB527">
      <w:pPr>
        <w:rPr>
          <w:rFonts w:ascii="Century Gothic" w:eastAsia="Times New Roman" w:hAnsi="Century Gothic"/>
          <w:color w:val="0E101A"/>
        </w:rPr>
      </w:pPr>
      <w:r w:rsidRPr="00F4031D">
        <w:rPr>
          <w:rFonts w:ascii="Century Gothic" w:eastAsia="Times New Roman" w:hAnsi="Century Gothic"/>
          <w:color w:val="0E101A"/>
        </w:rPr>
        <w:t>Organizations and agencies</w:t>
      </w:r>
      <w:r w:rsidR="275B930B" w:rsidRPr="00F4031D">
        <w:rPr>
          <w:rFonts w:ascii="Century Gothic" w:eastAsia="Times New Roman" w:hAnsi="Century Gothic"/>
          <w:color w:val="0E101A"/>
        </w:rPr>
        <w:t xml:space="preserve"> </w:t>
      </w:r>
      <w:r w:rsidR="0149019B" w:rsidRPr="00F4031D">
        <w:rPr>
          <w:rFonts w:ascii="Century Gothic" w:eastAsia="Times New Roman" w:hAnsi="Century Gothic"/>
          <w:color w:val="0E101A"/>
        </w:rPr>
        <w:t>to include</w:t>
      </w:r>
      <w:r w:rsidR="506D3D88" w:rsidRPr="00F4031D">
        <w:rPr>
          <w:rFonts w:ascii="Century Gothic" w:eastAsia="Times New Roman" w:hAnsi="Century Gothic"/>
          <w:color w:val="0E101A"/>
        </w:rPr>
        <w:t>:</w:t>
      </w:r>
    </w:p>
    <w:p w14:paraId="62BE5A2B" w14:textId="41E745F1" w:rsidR="275B930B" w:rsidRPr="000F4CFD" w:rsidRDefault="275B930B" w:rsidP="00486062">
      <w:pPr>
        <w:pStyle w:val="ListParagraph"/>
        <w:numPr>
          <w:ilvl w:val="0"/>
          <w:numId w:val="120"/>
        </w:numPr>
        <w:rPr>
          <w:rFonts w:ascii="Century Gothic" w:eastAsia="Times New Roman" w:hAnsi="Century Gothic"/>
          <w:color w:val="0E101A"/>
          <w:szCs w:val="22"/>
        </w:rPr>
      </w:pPr>
      <w:r w:rsidRPr="004C5BEF">
        <w:rPr>
          <w:rFonts w:ascii="Century Gothic" w:eastAsia="Times New Roman" w:hAnsi="Century Gothic"/>
          <w:color w:val="0E101A"/>
        </w:rPr>
        <w:t>CT Money School</w:t>
      </w:r>
    </w:p>
    <w:p w14:paraId="0FA1730B" w14:textId="41DA336C" w:rsidR="275B930B" w:rsidRPr="000F4CFD" w:rsidRDefault="275B930B" w:rsidP="00486062">
      <w:pPr>
        <w:pStyle w:val="ListParagraph"/>
        <w:numPr>
          <w:ilvl w:val="0"/>
          <w:numId w:val="120"/>
        </w:numPr>
        <w:rPr>
          <w:rFonts w:ascii="Century Gothic" w:eastAsia="Times New Roman" w:hAnsi="Century Gothic"/>
          <w:color w:val="0E101A"/>
          <w:szCs w:val="22"/>
        </w:rPr>
      </w:pPr>
      <w:r w:rsidRPr="000F4CFD">
        <w:rPr>
          <w:rFonts w:ascii="Century Gothic" w:eastAsia="Times New Roman" w:hAnsi="Century Gothic"/>
          <w:color w:val="0E101A"/>
        </w:rPr>
        <w:t>New Haven STRIVE</w:t>
      </w:r>
    </w:p>
    <w:p w14:paraId="4E5B5D27" w14:textId="63763371" w:rsidR="275B930B" w:rsidRPr="000F4CFD" w:rsidRDefault="275B930B" w:rsidP="00486062">
      <w:pPr>
        <w:pStyle w:val="ListParagraph"/>
        <w:numPr>
          <w:ilvl w:val="0"/>
          <w:numId w:val="120"/>
        </w:numPr>
        <w:rPr>
          <w:rFonts w:ascii="Century Gothic" w:eastAsia="Times New Roman" w:hAnsi="Century Gothic"/>
          <w:color w:val="0E101A"/>
        </w:rPr>
      </w:pPr>
      <w:r w:rsidRPr="000F4CFD">
        <w:rPr>
          <w:rFonts w:ascii="Century Gothic" w:eastAsia="Times New Roman" w:hAnsi="Century Gothic"/>
          <w:color w:val="0E101A"/>
        </w:rPr>
        <w:t xml:space="preserve">American Job Center </w:t>
      </w:r>
    </w:p>
    <w:p w14:paraId="3FD4CA64" w14:textId="6A2328C2" w:rsidR="275B930B" w:rsidRPr="00C41AD5" w:rsidRDefault="275B930B" w:rsidP="00486062">
      <w:pPr>
        <w:pStyle w:val="ListParagraph"/>
        <w:numPr>
          <w:ilvl w:val="0"/>
          <w:numId w:val="120"/>
        </w:numPr>
        <w:rPr>
          <w:rFonts w:ascii="Century Gothic" w:eastAsia="Times New Roman" w:hAnsi="Century Gothic"/>
          <w:color w:val="0E101A"/>
          <w:szCs w:val="22"/>
        </w:rPr>
      </w:pPr>
      <w:r w:rsidRPr="00C41AD5">
        <w:rPr>
          <w:rFonts w:ascii="Century Gothic" w:eastAsia="Times New Roman" w:hAnsi="Century Gothic"/>
          <w:color w:val="0E101A"/>
        </w:rPr>
        <w:t>Delta Sigma Theta</w:t>
      </w:r>
      <w:r w:rsidR="02F7D118" w:rsidRPr="00C41AD5">
        <w:rPr>
          <w:rFonts w:ascii="Century Gothic" w:eastAsia="Times New Roman" w:hAnsi="Century Gothic"/>
          <w:color w:val="0E101A"/>
        </w:rPr>
        <w:t xml:space="preserve"> Sorority, Inc.</w:t>
      </w:r>
      <w:r w:rsidRPr="00C41AD5">
        <w:rPr>
          <w:rFonts w:ascii="Century Gothic" w:eastAsia="Times New Roman" w:hAnsi="Century Gothic"/>
          <w:color w:val="0E101A"/>
        </w:rPr>
        <w:t xml:space="preserve">, </w:t>
      </w:r>
    </w:p>
    <w:p w14:paraId="7F7DDC9A" w14:textId="7AD8BB81" w:rsidR="023D5A2E" w:rsidRPr="00C41AD5" w:rsidRDefault="023D5A2E" w:rsidP="00486062">
      <w:pPr>
        <w:pStyle w:val="ListParagraph"/>
        <w:numPr>
          <w:ilvl w:val="0"/>
          <w:numId w:val="120"/>
        </w:numPr>
        <w:rPr>
          <w:rFonts w:ascii="Century Gothic" w:eastAsia="Times New Roman" w:hAnsi="Century Gothic"/>
          <w:color w:val="0E101A"/>
          <w:szCs w:val="22"/>
        </w:rPr>
      </w:pPr>
      <w:r w:rsidRPr="00C41AD5">
        <w:rPr>
          <w:rFonts w:ascii="Century Gothic" w:eastAsia="Times New Roman" w:hAnsi="Century Gothic"/>
          <w:color w:val="0E101A"/>
        </w:rPr>
        <w:t>T</w:t>
      </w:r>
      <w:r w:rsidR="275B930B" w:rsidRPr="00C41AD5">
        <w:rPr>
          <w:rFonts w:ascii="Century Gothic" w:eastAsia="Times New Roman" w:hAnsi="Century Gothic"/>
          <w:color w:val="0E101A"/>
        </w:rPr>
        <w:t>he Manufacturing and Community Technical (MATCH)</w:t>
      </w:r>
    </w:p>
    <w:p w14:paraId="5ADE59AE" w14:textId="77777777" w:rsidR="00137618" w:rsidRPr="00137618" w:rsidRDefault="275B930B" w:rsidP="00486062">
      <w:pPr>
        <w:pStyle w:val="ListParagraph"/>
        <w:numPr>
          <w:ilvl w:val="0"/>
          <w:numId w:val="120"/>
        </w:numPr>
        <w:rPr>
          <w:rFonts w:ascii="Century Gothic" w:eastAsia="Times New Roman" w:hAnsi="Century Gothic"/>
          <w:color w:val="0E101A"/>
          <w:szCs w:val="22"/>
        </w:rPr>
      </w:pPr>
      <w:r w:rsidRPr="00C41AD5">
        <w:rPr>
          <w:rFonts w:ascii="Century Gothic" w:eastAsia="Times New Roman" w:hAnsi="Century Gothic"/>
          <w:color w:val="0E101A"/>
        </w:rPr>
        <w:t>Little Scientist, a children program</w:t>
      </w:r>
    </w:p>
    <w:p w14:paraId="58CD6565" w14:textId="4E778962" w:rsidR="275B930B" w:rsidRPr="00C41AD5" w:rsidRDefault="275B930B" w:rsidP="00137618">
      <w:pPr>
        <w:pStyle w:val="ListParagraph"/>
        <w:rPr>
          <w:rFonts w:ascii="Century Gothic" w:eastAsia="Times New Roman" w:hAnsi="Century Gothic"/>
          <w:color w:val="0E101A"/>
          <w:szCs w:val="22"/>
        </w:rPr>
      </w:pPr>
      <w:r w:rsidRPr="00C41AD5">
        <w:rPr>
          <w:rFonts w:ascii="Century Gothic" w:eastAsia="Times New Roman" w:hAnsi="Century Gothic"/>
          <w:color w:val="0E101A"/>
        </w:rPr>
        <w:t xml:space="preserve"> </w:t>
      </w:r>
    </w:p>
    <w:p w14:paraId="0C3F909C" w14:textId="159AC071" w:rsidR="71BB087E" w:rsidRPr="003F4A12" w:rsidRDefault="71BB087E" w:rsidP="3E8BB527">
      <w:pPr>
        <w:rPr>
          <w:rFonts w:ascii="Century Gothic" w:eastAsia="Times New Roman" w:hAnsi="Century Gothic"/>
          <w:color w:val="0E101A"/>
          <w:szCs w:val="22"/>
        </w:rPr>
      </w:pPr>
      <w:r w:rsidRPr="00C41AD5">
        <w:rPr>
          <w:rFonts w:ascii="Century Gothic" w:eastAsia="Times New Roman" w:hAnsi="Century Gothic"/>
          <w:color w:val="0E101A"/>
        </w:rPr>
        <w:t xml:space="preserve">CCA is also </w:t>
      </w:r>
      <w:r w:rsidR="275B930B" w:rsidRPr="00C41AD5">
        <w:rPr>
          <w:rFonts w:ascii="Century Gothic" w:eastAsia="Times New Roman" w:hAnsi="Century Gothic"/>
          <w:color w:val="0E101A"/>
        </w:rPr>
        <w:t>working to develop a partnership with Creative Harmony Clinical Services</w:t>
      </w:r>
      <w:r w:rsidR="55B09E29" w:rsidRPr="003F4A12">
        <w:rPr>
          <w:rFonts w:ascii="Century Gothic" w:eastAsia="Times New Roman" w:hAnsi="Century Gothic"/>
          <w:color w:val="0E101A"/>
        </w:rPr>
        <w:t>,</w:t>
      </w:r>
      <w:r w:rsidR="275B930B" w:rsidRPr="003F4A12">
        <w:rPr>
          <w:rFonts w:ascii="Century Gothic" w:eastAsia="Times New Roman" w:hAnsi="Century Gothic"/>
          <w:color w:val="0E101A"/>
        </w:rPr>
        <w:t xml:space="preserve"> to offer therapeutic services for </w:t>
      </w:r>
      <w:r w:rsidR="371DEF29" w:rsidRPr="003F4A12">
        <w:rPr>
          <w:rFonts w:ascii="Century Gothic" w:eastAsia="Times New Roman" w:hAnsi="Century Gothic"/>
          <w:color w:val="0E101A"/>
        </w:rPr>
        <w:t xml:space="preserve">the </w:t>
      </w:r>
      <w:r w:rsidR="275B930B" w:rsidRPr="003F4A12">
        <w:rPr>
          <w:rFonts w:ascii="Century Gothic" w:eastAsia="Times New Roman" w:hAnsi="Century Gothic"/>
          <w:color w:val="0E101A"/>
        </w:rPr>
        <w:t xml:space="preserve">families to overcome the barriers which led to homelessness. </w:t>
      </w:r>
    </w:p>
    <w:p w14:paraId="308D429F" w14:textId="46CBFC65" w:rsidR="29C33E1C" w:rsidRPr="003F4A12" w:rsidRDefault="29C33E1C" w:rsidP="7D08BF33">
      <w:pPr>
        <w:rPr>
          <w:rFonts w:ascii="Century Gothic" w:eastAsia="Times New Roman" w:hAnsi="Century Gothic"/>
          <w:szCs w:val="22"/>
        </w:rPr>
      </w:pPr>
    </w:p>
    <w:p w14:paraId="5BDFA791" w14:textId="27371707" w:rsidR="29C33E1C" w:rsidRPr="003F4A12" w:rsidRDefault="59345AEC">
      <w:pPr>
        <w:rPr>
          <w:rFonts w:ascii="Century Gothic" w:eastAsia="Times New Roman" w:hAnsi="Century Gothic"/>
          <w:color w:val="0E101A"/>
          <w:szCs w:val="22"/>
        </w:rPr>
      </w:pPr>
      <w:r w:rsidRPr="003F4A12">
        <w:rPr>
          <w:rFonts w:ascii="Century Gothic" w:eastAsia="Times New Roman" w:hAnsi="Century Gothic"/>
          <w:color w:val="0E101A"/>
          <w:szCs w:val="22"/>
        </w:rPr>
        <w:t>In FY 2023, two families exited the program for permanent housing, and FY 2024, four families exited and moved to permanent housing.</w:t>
      </w:r>
    </w:p>
    <w:p w14:paraId="31A90F05" w14:textId="77777777" w:rsidR="002E10F3" w:rsidRPr="003F4A12" w:rsidRDefault="002E10F3">
      <w:pPr>
        <w:rPr>
          <w:rFonts w:ascii="Century Gothic" w:eastAsia="Times New Roman" w:hAnsi="Century Gothic"/>
          <w:color w:val="0E101A"/>
          <w:szCs w:val="22"/>
        </w:rPr>
      </w:pPr>
    </w:p>
    <w:p w14:paraId="0B13EE95" w14:textId="2A352B3F" w:rsidR="29C33E1C" w:rsidRPr="003F4A12" w:rsidRDefault="364F5155" w:rsidP="3E8BB527">
      <w:pPr>
        <w:rPr>
          <w:rFonts w:ascii="Century Gothic" w:eastAsia="MS PGothic" w:hAnsi="Century Gothic"/>
        </w:rPr>
      </w:pPr>
      <w:r w:rsidRPr="003F4A12">
        <w:rPr>
          <w:rFonts w:ascii="Century Gothic" w:eastAsia="MS PGothic" w:hAnsi="Century Gothic"/>
        </w:rPr>
        <w:t xml:space="preserve">ECC/HANH anticipates making </w:t>
      </w:r>
      <w:r w:rsidR="15CA2CD9" w:rsidRPr="003F4A12">
        <w:rPr>
          <w:rFonts w:ascii="Century Gothic" w:eastAsia="MS PGothic" w:hAnsi="Century Gothic"/>
        </w:rPr>
        <w:t xml:space="preserve">families </w:t>
      </w:r>
      <w:r w:rsidRPr="003F4A12">
        <w:rPr>
          <w:rFonts w:ascii="Century Gothic" w:eastAsia="MS PGothic" w:hAnsi="Century Gothic"/>
        </w:rPr>
        <w:t>self</w:t>
      </w:r>
      <w:r w:rsidR="28FF6427" w:rsidRPr="003F4A12">
        <w:rPr>
          <w:rFonts w:ascii="Century Gothic" w:eastAsia="MS PGothic" w:hAnsi="Century Gothic"/>
        </w:rPr>
        <w:t>-</w:t>
      </w:r>
      <w:r w:rsidRPr="003F4A12">
        <w:rPr>
          <w:rFonts w:ascii="Century Gothic" w:eastAsia="MS PGothic" w:hAnsi="Century Gothic"/>
        </w:rPr>
        <w:t xml:space="preserve">sufficient and successful with this initiative and will </w:t>
      </w:r>
      <w:r w:rsidR="568C050D" w:rsidRPr="003F4A12">
        <w:rPr>
          <w:rFonts w:ascii="Century Gothic" w:eastAsia="MS PGothic" w:hAnsi="Century Gothic"/>
        </w:rPr>
        <w:t xml:space="preserve">continue to </w:t>
      </w:r>
      <w:r w:rsidR="1493FDCB" w:rsidRPr="003F4A12">
        <w:rPr>
          <w:rFonts w:ascii="Century Gothic" w:eastAsia="MS PGothic" w:hAnsi="Century Gothic"/>
        </w:rPr>
        <w:t>work with CCA to track their progre</w:t>
      </w:r>
      <w:r w:rsidR="0C8CF29C" w:rsidRPr="003F4A12">
        <w:rPr>
          <w:rFonts w:ascii="Century Gothic" w:eastAsia="MS PGothic" w:hAnsi="Century Gothic"/>
        </w:rPr>
        <w:t>ss</w:t>
      </w:r>
      <w:r w:rsidR="1493FDCB" w:rsidRPr="003F4A12">
        <w:rPr>
          <w:rFonts w:ascii="Century Gothic" w:eastAsia="MS PGothic" w:hAnsi="Century Gothic"/>
        </w:rPr>
        <w:t>.</w:t>
      </w:r>
    </w:p>
    <w:p w14:paraId="207EC190" w14:textId="218E96BC" w:rsidR="0E6C54AB" w:rsidRPr="003F4A12" w:rsidRDefault="0E6C54AB" w:rsidP="0E6C54AB">
      <w:pPr>
        <w:rPr>
          <w:rFonts w:ascii="Century Gothic" w:eastAsia="MS PGothic" w:hAnsi="Century Gothic"/>
        </w:rPr>
      </w:pPr>
    </w:p>
    <w:tbl>
      <w:tblPr>
        <w:tblStyle w:val="TableGrid"/>
        <w:tblW w:w="0" w:type="auto"/>
        <w:tblLayout w:type="fixed"/>
        <w:tblLook w:val="06A0" w:firstRow="1" w:lastRow="0" w:firstColumn="1" w:lastColumn="0" w:noHBand="1" w:noVBand="1"/>
      </w:tblPr>
      <w:tblGrid>
        <w:gridCol w:w="1543"/>
        <w:gridCol w:w="1543"/>
        <w:gridCol w:w="1543"/>
        <w:gridCol w:w="1543"/>
        <w:gridCol w:w="1543"/>
        <w:gridCol w:w="1543"/>
        <w:gridCol w:w="1543"/>
      </w:tblGrid>
      <w:tr w:rsidR="0E6C54AB" w:rsidRPr="00367F45" w14:paraId="5F2B92DD" w14:textId="77777777" w:rsidTr="0E71204A">
        <w:trPr>
          <w:trHeight w:val="300"/>
        </w:trPr>
        <w:tc>
          <w:tcPr>
            <w:tcW w:w="1543" w:type="dxa"/>
          </w:tcPr>
          <w:p w14:paraId="169B0D6A" w14:textId="0FBC59FA" w:rsidR="4B381638" w:rsidRPr="003F4A12" w:rsidRDefault="4B381638" w:rsidP="0E6C54AB">
            <w:pPr>
              <w:rPr>
                <w:rFonts w:ascii="Century Gothic" w:eastAsia="MS PGothic" w:hAnsi="Century Gothic"/>
              </w:rPr>
            </w:pPr>
            <w:r w:rsidRPr="003F4A12">
              <w:rPr>
                <w:rFonts w:ascii="Century Gothic" w:eastAsia="MS PGothic" w:hAnsi="Century Gothic"/>
              </w:rPr>
              <w:t>Enrollment year</w:t>
            </w:r>
          </w:p>
        </w:tc>
        <w:tc>
          <w:tcPr>
            <w:tcW w:w="1543" w:type="dxa"/>
          </w:tcPr>
          <w:p w14:paraId="7933C618" w14:textId="21FE9DF7" w:rsidR="4B381638" w:rsidRPr="003F4A12" w:rsidRDefault="4B381638" w:rsidP="0E6C54AB">
            <w:pPr>
              <w:rPr>
                <w:rFonts w:ascii="Century Gothic" w:eastAsia="MS PGothic" w:hAnsi="Century Gothic"/>
              </w:rPr>
            </w:pPr>
            <w:r w:rsidRPr="003F4A12">
              <w:rPr>
                <w:rFonts w:ascii="Century Gothic" w:eastAsia="MS PGothic" w:hAnsi="Century Gothic"/>
              </w:rPr>
              <w:t>Number of new families enrolled</w:t>
            </w:r>
          </w:p>
        </w:tc>
        <w:tc>
          <w:tcPr>
            <w:tcW w:w="1543" w:type="dxa"/>
          </w:tcPr>
          <w:p w14:paraId="76B342EF" w14:textId="0CE03265" w:rsidR="4B381638" w:rsidRPr="003F4A12" w:rsidRDefault="4B381638" w:rsidP="0E6C54AB">
            <w:pPr>
              <w:rPr>
                <w:rFonts w:ascii="Century Gothic" w:eastAsia="MS PGothic" w:hAnsi="Century Gothic"/>
              </w:rPr>
            </w:pPr>
            <w:r w:rsidRPr="003F4A12">
              <w:rPr>
                <w:rFonts w:ascii="Century Gothic" w:eastAsia="MS PGothic" w:hAnsi="Century Gothic"/>
              </w:rPr>
              <w:t>Average family income at enrollment</w:t>
            </w:r>
          </w:p>
        </w:tc>
        <w:tc>
          <w:tcPr>
            <w:tcW w:w="1543" w:type="dxa"/>
          </w:tcPr>
          <w:p w14:paraId="227D0D5A" w14:textId="6C288B04" w:rsidR="4B381638" w:rsidRPr="003F4A12" w:rsidRDefault="4B381638" w:rsidP="0E6C54AB">
            <w:pPr>
              <w:rPr>
                <w:rFonts w:ascii="Century Gothic" w:eastAsia="MS PGothic" w:hAnsi="Century Gothic"/>
              </w:rPr>
            </w:pPr>
            <w:r w:rsidRPr="003F4A12">
              <w:rPr>
                <w:rFonts w:ascii="Century Gothic" w:eastAsia="MS PGothic" w:hAnsi="Century Gothic"/>
              </w:rPr>
              <w:t>Average family income at close of FY</w:t>
            </w:r>
            <w:r w:rsidR="2CE37842" w:rsidRPr="05295833">
              <w:rPr>
                <w:rFonts w:ascii="Century Gothic" w:eastAsia="MS PGothic" w:hAnsi="Century Gothic"/>
              </w:rPr>
              <w:t>24</w:t>
            </w:r>
          </w:p>
        </w:tc>
        <w:tc>
          <w:tcPr>
            <w:tcW w:w="1543" w:type="dxa"/>
          </w:tcPr>
          <w:p w14:paraId="6B6A127F" w14:textId="1E036873" w:rsidR="4B381638" w:rsidRPr="003F4A12" w:rsidRDefault="4B381638" w:rsidP="0E6C54AB">
            <w:pPr>
              <w:rPr>
                <w:rFonts w:ascii="Century Gothic" w:eastAsia="MS PGothic" w:hAnsi="Century Gothic"/>
              </w:rPr>
            </w:pPr>
            <w:r w:rsidRPr="003F4A12">
              <w:rPr>
                <w:rFonts w:ascii="Century Gothic" w:eastAsia="MS PGothic" w:hAnsi="Century Gothic"/>
              </w:rPr>
              <w:t># enrolled in training or employed</w:t>
            </w:r>
          </w:p>
        </w:tc>
        <w:tc>
          <w:tcPr>
            <w:tcW w:w="1543" w:type="dxa"/>
          </w:tcPr>
          <w:p w14:paraId="152A59B9" w14:textId="76780DC1" w:rsidR="4B381638" w:rsidRPr="003F4A12" w:rsidRDefault="4B381638" w:rsidP="0E6C54AB">
            <w:pPr>
              <w:rPr>
                <w:rFonts w:ascii="Century Gothic" w:eastAsia="MS PGothic" w:hAnsi="Century Gothic"/>
              </w:rPr>
            </w:pPr>
            <w:r w:rsidRPr="003F4A12">
              <w:rPr>
                <w:rFonts w:ascii="Century Gothic" w:eastAsia="MS PGothic" w:hAnsi="Century Gothic"/>
              </w:rPr>
              <w:t># who left program</w:t>
            </w:r>
          </w:p>
        </w:tc>
        <w:tc>
          <w:tcPr>
            <w:tcW w:w="1543" w:type="dxa"/>
          </w:tcPr>
          <w:p w14:paraId="0861D2ED" w14:textId="5C48926E" w:rsidR="4B381638" w:rsidRPr="003F4A12" w:rsidRDefault="4B381638" w:rsidP="0E6C54AB">
            <w:pPr>
              <w:rPr>
                <w:rFonts w:ascii="Century Gothic" w:eastAsia="MS PGothic" w:hAnsi="Century Gothic"/>
              </w:rPr>
            </w:pPr>
            <w:r w:rsidRPr="003F4A12">
              <w:rPr>
                <w:rFonts w:ascii="Century Gothic" w:eastAsia="MS PGothic" w:hAnsi="Century Gothic"/>
              </w:rPr>
              <w:t># who achieved self sufficiency</w:t>
            </w:r>
          </w:p>
        </w:tc>
      </w:tr>
      <w:tr w:rsidR="0E6C54AB" w:rsidRPr="00367F45" w14:paraId="15395824" w14:textId="77777777" w:rsidTr="0E71204A">
        <w:trPr>
          <w:trHeight w:val="300"/>
        </w:trPr>
        <w:tc>
          <w:tcPr>
            <w:tcW w:w="1543" w:type="dxa"/>
          </w:tcPr>
          <w:p w14:paraId="36ED2757" w14:textId="04594759" w:rsidR="4B381638" w:rsidRPr="003F4A12" w:rsidRDefault="4B381638" w:rsidP="0E6C54AB">
            <w:pPr>
              <w:rPr>
                <w:rFonts w:ascii="Century Gothic" w:eastAsia="MS PGothic" w:hAnsi="Century Gothic"/>
              </w:rPr>
            </w:pPr>
            <w:r w:rsidRPr="003F4A12">
              <w:rPr>
                <w:rFonts w:ascii="Century Gothic" w:eastAsia="MS PGothic" w:hAnsi="Century Gothic"/>
              </w:rPr>
              <w:t>FY2022</w:t>
            </w:r>
          </w:p>
        </w:tc>
        <w:tc>
          <w:tcPr>
            <w:tcW w:w="1543" w:type="dxa"/>
          </w:tcPr>
          <w:p w14:paraId="7EC8D680" w14:textId="5D5163D0" w:rsidR="4B381638" w:rsidRPr="003F4A12" w:rsidRDefault="4B381638" w:rsidP="0E6C54AB">
            <w:pPr>
              <w:rPr>
                <w:rFonts w:ascii="Century Gothic" w:eastAsia="MS PGothic" w:hAnsi="Century Gothic"/>
              </w:rPr>
            </w:pPr>
            <w:r w:rsidRPr="003F4A12">
              <w:rPr>
                <w:rFonts w:ascii="Century Gothic" w:eastAsia="MS PGothic" w:hAnsi="Century Gothic"/>
              </w:rPr>
              <w:t>15</w:t>
            </w:r>
          </w:p>
        </w:tc>
        <w:tc>
          <w:tcPr>
            <w:tcW w:w="1543" w:type="dxa"/>
          </w:tcPr>
          <w:p w14:paraId="74AC0779" w14:textId="5F5612A9" w:rsidR="4B381638" w:rsidRPr="003F4A12" w:rsidRDefault="4B381638" w:rsidP="0E6C54AB">
            <w:pPr>
              <w:rPr>
                <w:rFonts w:ascii="Century Gothic" w:eastAsia="MS PGothic" w:hAnsi="Century Gothic"/>
              </w:rPr>
            </w:pPr>
            <w:r w:rsidRPr="003F4A12">
              <w:rPr>
                <w:rFonts w:ascii="Century Gothic" w:eastAsia="MS PGothic" w:hAnsi="Century Gothic"/>
              </w:rPr>
              <w:t>$</w:t>
            </w:r>
            <w:r w:rsidR="006344E4">
              <w:rPr>
                <w:rFonts w:ascii="Century Gothic" w:eastAsia="MS PGothic" w:hAnsi="Century Gothic"/>
              </w:rPr>
              <w:t>12,942</w:t>
            </w:r>
          </w:p>
        </w:tc>
        <w:tc>
          <w:tcPr>
            <w:tcW w:w="1543" w:type="dxa"/>
          </w:tcPr>
          <w:p w14:paraId="242D4F5D" w14:textId="095ECC64" w:rsidR="4B381638" w:rsidRPr="003F4A12" w:rsidRDefault="4B381638" w:rsidP="0E6C54AB">
            <w:pPr>
              <w:rPr>
                <w:rFonts w:ascii="Century Gothic" w:eastAsia="MS PGothic" w:hAnsi="Century Gothic"/>
              </w:rPr>
            </w:pPr>
            <w:r w:rsidRPr="003F4A12">
              <w:rPr>
                <w:rFonts w:ascii="Century Gothic" w:eastAsia="MS PGothic" w:hAnsi="Century Gothic"/>
              </w:rPr>
              <w:t>$17,305</w:t>
            </w:r>
          </w:p>
        </w:tc>
        <w:tc>
          <w:tcPr>
            <w:tcW w:w="1543" w:type="dxa"/>
          </w:tcPr>
          <w:p w14:paraId="00C8BBA1" w14:textId="162A4487" w:rsidR="4B381638" w:rsidRPr="003F4A12" w:rsidRDefault="4B381638" w:rsidP="0E6C54AB">
            <w:pPr>
              <w:rPr>
                <w:rFonts w:ascii="Century Gothic" w:eastAsia="MS PGothic" w:hAnsi="Century Gothic"/>
              </w:rPr>
            </w:pPr>
            <w:r w:rsidRPr="003F4A12">
              <w:rPr>
                <w:rFonts w:ascii="Century Gothic" w:eastAsia="MS PGothic" w:hAnsi="Century Gothic"/>
              </w:rPr>
              <w:t>7</w:t>
            </w:r>
          </w:p>
        </w:tc>
        <w:tc>
          <w:tcPr>
            <w:tcW w:w="1543" w:type="dxa"/>
          </w:tcPr>
          <w:p w14:paraId="22C1F20D" w14:textId="0FD2A7CD" w:rsidR="0E6C54AB" w:rsidRPr="003F4A12" w:rsidRDefault="757BE533" w:rsidP="0E6C54AB">
            <w:pPr>
              <w:rPr>
                <w:rFonts w:ascii="Century Gothic" w:eastAsia="MS PGothic" w:hAnsi="Century Gothic"/>
              </w:rPr>
            </w:pPr>
            <w:r w:rsidRPr="003F4A12">
              <w:rPr>
                <w:rFonts w:ascii="Century Gothic" w:eastAsia="MS PGothic" w:hAnsi="Century Gothic"/>
              </w:rPr>
              <w:t>0</w:t>
            </w:r>
          </w:p>
        </w:tc>
        <w:tc>
          <w:tcPr>
            <w:tcW w:w="1543" w:type="dxa"/>
          </w:tcPr>
          <w:p w14:paraId="6D48819E" w14:textId="5CB871A9" w:rsidR="0E6C54AB" w:rsidRPr="003F4A12" w:rsidRDefault="006344E4" w:rsidP="0E6C54AB">
            <w:pPr>
              <w:rPr>
                <w:rFonts w:ascii="Century Gothic" w:eastAsia="MS PGothic" w:hAnsi="Century Gothic"/>
              </w:rPr>
            </w:pPr>
            <w:r>
              <w:rPr>
                <w:rFonts w:ascii="Century Gothic" w:eastAsia="MS PGothic" w:hAnsi="Century Gothic"/>
              </w:rPr>
              <w:t>0</w:t>
            </w:r>
          </w:p>
        </w:tc>
      </w:tr>
      <w:tr w:rsidR="0E6C54AB" w:rsidRPr="00367F45" w14:paraId="370EAAFA" w14:textId="77777777" w:rsidTr="0E71204A">
        <w:trPr>
          <w:trHeight w:val="300"/>
        </w:trPr>
        <w:tc>
          <w:tcPr>
            <w:tcW w:w="1543" w:type="dxa"/>
          </w:tcPr>
          <w:p w14:paraId="08EDFA8F" w14:textId="7CA52B30" w:rsidR="4B381638" w:rsidRPr="003F4A12" w:rsidRDefault="4B381638" w:rsidP="0E6C54AB">
            <w:pPr>
              <w:rPr>
                <w:rFonts w:ascii="Century Gothic" w:eastAsia="MS PGothic" w:hAnsi="Century Gothic"/>
              </w:rPr>
            </w:pPr>
            <w:r w:rsidRPr="003F4A12">
              <w:rPr>
                <w:rFonts w:ascii="Century Gothic" w:eastAsia="MS PGothic" w:hAnsi="Century Gothic"/>
              </w:rPr>
              <w:t>FY2023</w:t>
            </w:r>
          </w:p>
        </w:tc>
        <w:tc>
          <w:tcPr>
            <w:tcW w:w="1543" w:type="dxa"/>
          </w:tcPr>
          <w:p w14:paraId="4952315A" w14:textId="28A4F809" w:rsidR="116C2EC0" w:rsidRPr="003F4A12" w:rsidRDefault="116C2EC0" w:rsidP="0E6C54AB">
            <w:pPr>
              <w:rPr>
                <w:rFonts w:ascii="Century Gothic" w:eastAsia="MS PGothic" w:hAnsi="Century Gothic"/>
              </w:rPr>
            </w:pPr>
            <w:r w:rsidRPr="003F4A12">
              <w:rPr>
                <w:rFonts w:ascii="Century Gothic" w:eastAsia="MS PGothic" w:hAnsi="Century Gothic"/>
              </w:rPr>
              <w:t>3</w:t>
            </w:r>
          </w:p>
        </w:tc>
        <w:tc>
          <w:tcPr>
            <w:tcW w:w="1543" w:type="dxa"/>
          </w:tcPr>
          <w:p w14:paraId="24D75DCB" w14:textId="4CA0D6D4" w:rsidR="0E6C54AB" w:rsidRPr="003F4A12" w:rsidRDefault="006344E4" w:rsidP="0E6C54AB">
            <w:pPr>
              <w:rPr>
                <w:rFonts w:ascii="Century Gothic" w:eastAsia="MS PGothic" w:hAnsi="Century Gothic"/>
              </w:rPr>
            </w:pPr>
            <w:r>
              <w:rPr>
                <w:rFonts w:ascii="Century Gothic" w:eastAsia="MS PGothic" w:hAnsi="Century Gothic"/>
              </w:rPr>
              <w:t>$12,840</w:t>
            </w:r>
          </w:p>
        </w:tc>
        <w:tc>
          <w:tcPr>
            <w:tcW w:w="1543" w:type="dxa"/>
          </w:tcPr>
          <w:p w14:paraId="2D212981" w14:textId="0CD4BE82" w:rsidR="4B381638" w:rsidRPr="003F4A12" w:rsidRDefault="4B381638" w:rsidP="0E6C54AB">
            <w:pPr>
              <w:rPr>
                <w:rFonts w:ascii="Century Gothic" w:eastAsia="MS PGothic" w:hAnsi="Century Gothic"/>
              </w:rPr>
            </w:pPr>
            <w:r w:rsidRPr="003F4A12">
              <w:rPr>
                <w:rFonts w:ascii="Century Gothic" w:eastAsia="MS PGothic" w:hAnsi="Century Gothic"/>
              </w:rPr>
              <w:t>$17,004</w:t>
            </w:r>
          </w:p>
        </w:tc>
        <w:tc>
          <w:tcPr>
            <w:tcW w:w="1543" w:type="dxa"/>
          </w:tcPr>
          <w:p w14:paraId="35F9BE78" w14:textId="587E9279" w:rsidR="4B381638" w:rsidRPr="003F4A12" w:rsidRDefault="4B381638" w:rsidP="0E6C54AB">
            <w:pPr>
              <w:rPr>
                <w:rFonts w:ascii="Century Gothic" w:eastAsia="MS PGothic" w:hAnsi="Century Gothic"/>
              </w:rPr>
            </w:pPr>
            <w:r w:rsidRPr="003F4A12">
              <w:rPr>
                <w:rFonts w:ascii="Century Gothic" w:eastAsia="MS PGothic" w:hAnsi="Century Gothic"/>
              </w:rPr>
              <w:t>11</w:t>
            </w:r>
          </w:p>
        </w:tc>
        <w:tc>
          <w:tcPr>
            <w:tcW w:w="1543" w:type="dxa"/>
          </w:tcPr>
          <w:p w14:paraId="32FCF754" w14:textId="7EC6C523" w:rsidR="4B381638" w:rsidRPr="003F4A12" w:rsidRDefault="001E2D1F" w:rsidP="0E6C54AB">
            <w:pPr>
              <w:rPr>
                <w:rFonts w:ascii="Century Gothic" w:eastAsia="MS PGothic" w:hAnsi="Century Gothic"/>
              </w:rPr>
            </w:pPr>
            <w:r w:rsidRPr="003F4A12">
              <w:rPr>
                <w:rFonts w:ascii="Century Gothic" w:eastAsia="MS PGothic" w:hAnsi="Century Gothic"/>
              </w:rPr>
              <w:t>2</w:t>
            </w:r>
          </w:p>
        </w:tc>
        <w:tc>
          <w:tcPr>
            <w:tcW w:w="1543" w:type="dxa"/>
          </w:tcPr>
          <w:p w14:paraId="6D2F5ED4" w14:textId="1AE69D6C" w:rsidR="0E6C54AB" w:rsidRPr="003F4A12" w:rsidRDefault="006344E4" w:rsidP="0E6C54AB">
            <w:pPr>
              <w:rPr>
                <w:rFonts w:ascii="Century Gothic" w:eastAsia="MS PGothic" w:hAnsi="Century Gothic"/>
              </w:rPr>
            </w:pPr>
            <w:r>
              <w:rPr>
                <w:rFonts w:ascii="Century Gothic" w:eastAsia="MS PGothic" w:hAnsi="Century Gothic"/>
              </w:rPr>
              <w:t>2</w:t>
            </w:r>
          </w:p>
        </w:tc>
      </w:tr>
      <w:tr w:rsidR="6F807E50" w:rsidRPr="00367F45" w14:paraId="14FED81F" w14:textId="77777777" w:rsidTr="0E71204A">
        <w:trPr>
          <w:trHeight w:val="300"/>
        </w:trPr>
        <w:tc>
          <w:tcPr>
            <w:tcW w:w="1543" w:type="dxa"/>
          </w:tcPr>
          <w:p w14:paraId="7A484BF0" w14:textId="4EFB46F9" w:rsidR="4FA03C75" w:rsidRPr="003F4A12" w:rsidRDefault="4FA03C75" w:rsidP="6F807E50">
            <w:pPr>
              <w:rPr>
                <w:rFonts w:ascii="Century Gothic" w:eastAsia="MS PGothic" w:hAnsi="Century Gothic"/>
              </w:rPr>
            </w:pPr>
            <w:r w:rsidRPr="003F4A12">
              <w:rPr>
                <w:rFonts w:ascii="Century Gothic" w:eastAsia="MS PGothic" w:hAnsi="Century Gothic"/>
              </w:rPr>
              <w:t>FY2024</w:t>
            </w:r>
          </w:p>
        </w:tc>
        <w:tc>
          <w:tcPr>
            <w:tcW w:w="1543" w:type="dxa"/>
          </w:tcPr>
          <w:p w14:paraId="2FE035FB" w14:textId="42E87579" w:rsidR="6F807E50" w:rsidRPr="00E273C4" w:rsidRDefault="00187D28" w:rsidP="6F807E50">
            <w:pPr>
              <w:rPr>
                <w:rFonts w:ascii="Century Gothic" w:eastAsia="MS PGothic" w:hAnsi="Century Gothic"/>
              </w:rPr>
            </w:pPr>
            <w:r>
              <w:rPr>
                <w:rFonts w:ascii="Century Gothic" w:eastAsia="MS PGothic" w:hAnsi="Century Gothic"/>
              </w:rPr>
              <w:t>0</w:t>
            </w:r>
          </w:p>
        </w:tc>
        <w:tc>
          <w:tcPr>
            <w:tcW w:w="1543" w:type="dxa"/>
          </w:tcPr>
          <w:p w14:paraId="7EEDD1EC" w14:textId="699FE01E" w:rsidR="6F807E50" w:rsidRPr="00E273C4" w:rsidRDefault="007F2637" w:rsidP="6F807E50">
            <w:pPr>
              <w:rPr>
                <w:rFonts w:ascii="Century Gothic" w:eastAsia="MS PGothic" w:hAnsi="Century Gothic"/>
              </w:rPr>
            </w:pPr>
            <w:r>
              <w:rPr>
                <w:rFonts w:ascii="Century Gothic" w:eastAsia="MS PGothic" w:hAnsi="Century Gothic"/>
              </w:rPr>
              <w:t xml:space="preserve"> </w:t>
            </w:r>
            <w:r w:rsidR="006344E4">
              <w:rPr>
                <w:rFonts w:ascii="Century Gothic" w:eastAsia="MS PGothic" w:hAnsi="Century Gothic"/>
              </w:rPr>
              <w:t>$12,024</w:t>
            </w:r>
          </w:p>
        </w:tc>
        <w:tc>
          <w:tcPr>
            <w:tcW w:w="1543" w:type="dxa"/>
          </w:tcPr>
          <w:p w14:paraId="1728E3EC" w14:textId="1FDD225A" w:rsidR="6F807E50" w:rsidRPr="00E273C4" w:rsidRDefault="00187D28" w:rsidP="6F807E50">
            <w:pPr>
              <w:rPr>
                <w:rFonts w:ascii="Century Gothic" w:eastAsia="MS PGothic" w:hAnsi="Century Gothic"/>
              </w:rPr>
            </w:pPr>
            <w:r>
              <w:rPr>
                <w:rFonts w:ascii="Century Gothic" w:eastAsia="MS PGothic" w:hAnsi="Century Gothic"/>
              </w:rPr>
              <w:t>$18,972</w:t>
            </w:r>
          </w:p>
        </w:tc>
        <w:tc>
          <w:tcPr>
            <w:tcW w:w="1543" w:type="dxa"/>
          </w:tcPr>
          <w:p w14:paraId="0B70898D" w14:textId="7D5DF210" w:rsidR="6F807E50" w:rsidRPr="00E273C4" w:rsidRDefault="00976B25" w:rsidP="6F807E50">
            <w:pPr>
              <w:rPr>
                <w:rFonts w:ascii="Century Gothic" w:eastAsia="MS PGothic" w:hAnsi="Century Gothic"/>
              </w:rPr>
            </w:pPr>
            <w:r>
              <w:rPr>
                <w:rFonts w:ascii="Century Gothic" w:eastAsia="MS PGothic" w:hAnsi="Century Gothic"/>
              </w:rPr>
              <w:t>11</w:t>
            </w:r>
          </w:p>
        </w:tc>
        <w:tc>
          <w:tcPr>
            <w:tcW w:w="1543" w:type="dxa"/>
          </w:tcPr>
          <w:p w14:paraId="17B28A6E" w14:textId="695741DB" w:rsidR="6F807E50" w:rsidRPr="00E273C4" w:rsidRDefault="00976B25" w:rsidP="6F807E50">
            <w:pPr>
              <w:rPr>
                <w:rFonts w:ascii="Century Gothic" w:eastAsia="MS PGothic" w:hAnsi="Century Gothic"/>
              </w:rPr>
            </w:pPr>
            <w:r>
              <w:rPr>
                <w:rFonts w:ascii="Century Gothic" w:eastAsia="MS PGothic" w:hAnsi="Century Gothic"/>
              </w:rPr>
              <w:t>5</w:t>
            </w:r>
          </w:p>
        </w:tc>
        <w:tc>
          <w:tcPr>
            <w:tcW w:w="1543" w:type="dxa"/>
          </w:tcPr>
          <w:p w14:paraId="18722911" w14:textId="2054BD44" w:rsidR="6F807E50" w:rsidRPr="00E273C4" w:rsidRDefault="00976B25" w:rsidP="6F807E50">
            <w:pPr>
              <w:rPr>
                <w:rFonts w:ascii="Century Gothic" w:eastAsia="MS PGothic" w:hAnsi="Century Gothic"/>
              </w:rPr>
            </w:pPr>
            <w:r>
              <w:rPr>
                <w:rFonts w:ascii="Century Gothic" w:eastAsia="MS PGothic" w:hAnsi="Century Gothic"/>
              </w:rPr>
              <w:t>3</w:t>
            </w:r>
          </w:p>
        </w:tc>
      </w:tr>
    </w:tbl>
    <w:p w14:paraId="06317EE0" w14:textId="77777777" w:rsidR="004C5BEF" w:rsidRDefault="004C5BEF" w:rsidP="00C35F1D">
      <w:pPr>
        <w:pStyle w:val="Heading4"/>
        <w:rPr>
          <w:rFonts w:ascii="Century Gothic" w:hAnsi="Century Gothic" w:cs="Times New Roman"/>
        </w:rPr>
      </w:pPr>
    </w:p>
    <w:p w14:paraId="5300B6A6" w14:textId="77777777" w:rsidR="002D4C19" w:rsidRDefault="002D4C19" w:rsidP="002D4C19"/>
    <w:p w14:paraId="0C5E5FFB" w14:textId="77777777" w:rsidR="002D4C19" w:rsidRPr="002D4C19" w:rsidRDefault="002D4C19" w:rsidP="002D4C19"/>
    <w:p w14:paraId="4642707D" w14:textId="6DC3A8D9" w:rsidR="00C35F1D" w:rsidRPr="00E273C4" w:rsidRDefault="00C35F1D" w:rsidP="00C35F1D">
      <w:pPr>
        <w:pStyle w:val="Heading4"/>
        <w:rPr>
          <w:rFonts w:ascii="Century Gothic" w:hAnsi="Century Gothic" w:cs="Times New Roman"/>
        </w:rPr>
      </w:pPr>
      <w:r w:rsidRPr="00E273C4">
        <w:rPr>
          <w:rFonts w:ascii="Century Gothic" w:hAnsi="Century Gothic" w:cs="Times New Roman"/>
        </w:rPr>
        <w:lastRenderedPageBreak/>
        <w:t>Outcomes</w:t>
      </w:r>
    </w:p>
    <w:p w14:paraId="7DE2488B" w14:textId="261677D1" w:rsidR="00C35F1D" w:rsidRPr="00E273C4" w:rsidRDefault="00E12275" w:rsidP="1B3F2E6D">
      <w:pPr>
        <w:rPr>
          <w:rFonts w:ascii="Century Gothic" w:hAnsi="Century Gothic"/>
          <w:b/>
          <w:bCs/>
        </w:rPr>
      </w:pPr>
      <w:r>
        <w:rPr>
          <w:rFonts w:ascii="Century Gothic" w:hAnsi="Century Gothic"/>
          <w:b/>
          <w:bCs/>
        </w:rPr>
        <w:t xml:space="preserve">Internal </w:t>
      </w:r>
      <w:r w:rsidR="522A772C" w:rsidRPr="00E273C4">
        <w:rPr>
          <w:rFonts w:ascii="Century Gothic" w:hAnsi="Century Gothic"/>
          <w:b/>
          <w:bCs/>
        </w:rPr>
        <w:t>Metrics</w:t>
      </w:r>
    </w:p>
    <w:p w14:paraId="6D05F43B" w14:textId="77777777" w:rsidR="00C35F1D" w:rsidRPr="00E273C4" w:rsidRDefault="00C35F1D" w:rsidP="00C35F1D">
      <w:pPr>
        <w:rPr>
          <w:rFonts w:ascii="Century Gothic" w:hAnsi="Century Gothic"/>
          <w:szCs w:val="22"/>
        </w:rPr>
      </w:pPr>
    </w:p>
    <w:tbl>
      <w:tblPr>
        <w:tblStyle w:val="TableGrid7"/>
        <w:tblW w:w="0" w:type="auto"/>
        <w:tblLook w:val="04A0" w:firstRow="1" w:lastRow="0" w:firstColumn="1" w:lastColumn="0" w:noHBand="0" w:noVBand="1"/>
      </w:tblPr>
      <w:tblGrid>
        <w:gridCol w:w="2699"/>
        <w:gridCol w:w="1741"/>
        <w:gridCol w:w="1870"/>
        <w:gridCol w:w="1970"/>
        <w:gridCol w:w="1646"/>
      </w:tblGrid>
      <w:tr w:rsidR="00C35F1D" w:rsidRPr="00367F45" w14:paraId="36961E97" w14:textId="77777777" w:rsidTr="6F807E50">
        <w:trPr>
          <w:trHeight w:val="400"/>
        </w:trPr>
        <w:tc>
          <w:tcPr>
            <w:tcW w:w="9926" w:type="dxa"/>
            <w:gridSpan w:val="5"/>
            <w:tcBorders>
              <w:top w:val="nil"/>
              <w:left w:val="nil"/>
              <w:bottom w:val="single" w:sz="24" w:space="0" w:color="B5333C" w:themeColor="accent2"/>
              <w:right w:val="nil"/>
            </w:tcBorders>
            <w:shd w:val="clear" w:color="auto" w:fill="808080" w:themeFill="background1" w:themeFillShade="80"/>
          </w:tcPr>
          <w:p w14:paraId="18775F77" w14:textId="77777777" w:rsidR="00C35F1D" w:rsidRPr="00E273C4" w:rsidRDefault="00C35F1D" w:rsidP="00B80A01">
            <w:pPr>
              <w:jc w:val="center"/>
              <w:rPr>
                <w:rFonts w:ascii="Century Gothic" w:hAnsi="Century Gothic"/>
                <w:b/>
                <w:szCs w:val="22"/>
              </w:rPr>
            </w:pPr>
            <w:r w:rsidRPr="00E273C4">
              <w:rPr>
                <w:rFonts w:ascii="Century Gothic" w:hAnsi="Century Gothic"/>
                <w:b/>
                <w:szCs w:val="22"/>
              </w:rPr>
              <w:t>SS#1: Increase household income</w:t>
            </w:r>
          </w:p>
        </w:tc>
      </w:tr>
      <w:tr w:rsidR="00C35F1D" w:rsidRPr="00367F45" w14:paraId="63736F4F" w14:textId="77777777" w:rsidTr="6F807E50">
        <w:trPr>
          <w:trHeight w:val="340"/>
        </w:trPr>
        <w:tc>
          <w:tcPr>
            <w:tcW w:w="269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8204FD6" w14:textId="77777777" w:rsidR="00C35F1D" w:rsidRPr="005E412C" w:rsidRDefault="00C35F1D" w:rsidP="00B80A01">
            <w:pPr>
              <w:jc w:val="center"/>
              <w:rPr>
                <w:rFonts w:ascii="Century Gothic" w:hAnsi="Century Gothic"/>
                <w:b/>
                <w:szCs w:val="22"/>
              </w:rPr>
            </w:pPr>
            <w:r w:rsidRPr="005E412C">
              <w:rPr>
                <w:rFonts w:ascii="Century Gothic" w:hAnsi="Century Gothic"/>
                <w:b/>
                <w:szCs w:val="22"/>
              </w:rPr>
              <w:t>Unit of Measurement</w:t>
            </w:r>
          </w:p>
        </w:tc>
        <w:tc>
          <w:tcPr>
            <w:tcW w:w="1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AA39B6F" w14:textId="77777777" w:rsidR="00C35F1D" w:rsidRPr="005E412C" w:rsidRDefault="522A772C" w:rsidP="1B3F2E6D">
            <w:pPr>
              <w:jc w:val="center"/>
              <w:rPr>
                <w:rFonts w:ascii="Century Gothic" w:hAnsi="Century Gothic"/>
                <w:b/>
                <w:bCs/>
              </w:rPr>
            </w:pPr>
            <w:r w:rsidRPr="005E412C">
              <w:rPr>
                <w:rFonts w:ascii="Century Gothic" w:hAnsi="Century Gothic"/>
                <w:b/>
                <w:bCs/>
              </w:rPr>
              <w:t>Baseline</w:t>
            </w: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018ED13D" w14:textId="77777777" w:rsidR="00C35F1D" w:rsidRPr="005E412C" w:rsidRDefault="00C35F1D" w:rsidP="00B80A01">
            <w:pPr>
              <w:jc w:val="center"/>
              <w:rPr>
                <w:rFonts w:ascii="Century Gothic" w:hAnsi="Century Gothic"/>
                <w:b/>
                <w:szCs w:val="22"/>
              </w:rPr>
            </w:pPr>
            <w:r w:rsidRPr="005E412C">
              <w:rPr>
                <w:rFonts w:ascii="Century Gothic" w:hAnsi="Century Gothic"/>
                <w:b/>
                <w:szCs w:val="22"/>
              </w:rPr>
              <w:t>Benchmark</w:t>
            </w:r>
          </w:p>
        </w:tc>
        <w:tc>
          <w:tcPr>
            <w:tcW w:w="1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5EFDB174" w14:textId="77777777" w:rsidR="00C35F1D" w:rsidRPr="005E412C" w:rsidRDefault="00C35F1D" w:rsidP="00B80A01">
            <w:pPr>
              <w:jc w:val="center"/>
              <w:rPr>
                <w:rFonts w:ascii="Century Gothic" w:hAnsi="Century Gothic"/>
                <w:b/>
                <w:szCs w:val="22"/>
              </w:rPr>
            </w:pPr>
            <w:r w:rsidRPr="005E412C">
              <w:rPr>
                <w:rFonts w:ascii="Century Gothic" w:hAnsi="Century Gothic"/>
                <w:b/>
                <w:szCs w:val="22"/>
              </w:rPr>
              <w:t>Outcome</w:t>
            </w:r>
          </w:p>
        </w:tc>
        <w:tc>
          <w:tcPr>
            <w:tcW w:w="164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458D93FF" w14:textId="77777777" w:rsidR="00C35F1D" w:rsidRPr="005E412C" w:rsidRDefault="00C35F1D" w:rsidP="00B80A01">
            <w:pPr>
              <w:jc w:val="center"/>
              <w:rPr>
                <w:rFonts w:ascii="Century Gothic" w:hAnsi="Century Gothic"/>
                <w:b/>
                <w:szCs w:val="22"/>
              </w:rPr>
            </w:pPr>
            <w:r w:rsidRPr="005E412C">
              <w:rPr>
                <w:rFonts w:ascii="Century Gothic" w:hAnsi="Century Gothic"/>
                <w:b/>
                <w:szCs w:val="22"/>
              </w:rPr>
              <w:t>Benchmark Achieved?</w:t>
            </w:r>
          </w:p>
        </w:tc>
      </w:tr>
      <w:tr w:rsidR="00C35F1D" w:rsidRPr="00367F45" w14:paraId="15B90254" w14:textId="77777777" w:rsidTr="6F807E50">
        <w:trPr>
          <w:trHeight w:val="1035"/>
        </w:trPr>
        <w:tc>
          <w:tcPr>
            <w:tcW w:w="269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E820316" w14:textId="77777777" w:rsidR="00C35F1D" w:rsidRPr="005E412C" w:rsidRDefault="00C35F1D" w:rsidP="00B80A01">
            <w:pPr>
              <w:rPr>
                <w:rFonts w:ascii="Century Gothic" w:hAnsi="Century Gothic"/>
                <w:szCs w:val="22"/>
              </w:rPr>
            </w:pPr>
            <w:r w:rsidRPr="005E412C">
              <w:rPr>
                <w:rFonts w:ascii="Century Gothic" w:hAnsi="Century Gothic"/>
                <w:szCs w:val="22"/>
              </w:rPr>
              <w:t xml:space="preserve">Family income </w:t>
            </w:r>
          </w:p>
        </w:tc>
        <w:tc>
          <w:tcPr>
            <w:tcW w:w="1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2C0517" w14:textId="73F49DDB" w:rsidR="00C35F1D" w:rsidRPr="005E412C" w:rsidRDefault="522A772C" w:rsidP="1B3F2E6D">
            <w:pPr>
              <w:rPr>
                <w:rFonts w:ascii="Century Gothic" w:hAnsi="Century Gothic"/>
              </w:rPr>
            </w:pPr>
            <w:r w:rsidRPr="005E412C">
              <w:rPr>
                <w:rFonts w:ascii="Century Gothic" w:hAnsi="Century Gothic"/>
              </w:rPr>
              <w:t>As families are enrolled baseline household income will be determined.  At baseline, family income will be below levels required for unassisted housing</w:t>
            </w:r>
          </w:p>
          <w:p w14:paraId="40BBCDC7" w14:textId="604F3D95" w:rsidR="00C35F1D" w:rsidRPr="005E412C" w:rsidRDefault="00C35F1D" w:rsidP="1B3F2E6D">
            <w:pPr>
              <w:rPr>
                <w:rFonts w:ascii="Century Gothic" w:eastAsia="MS PGothic" w:hAnsi="Century Gothic"/>
                <w:szCs w:val="22"/>
              </w:rPr>
            </w:pPr>
          </w:p>
          <w:p w14:paraId="3CBD5795" w14:textId="2BDE1790" w:rsidR="00C35F1D" w:rsidRPr="005E412C" w:rsidRDefault="2F9E02ED" w:rsidP="1B3F2E6D">
            <w:pPr>
              <w:rPr>
                <w:rFonts w:ascii="Century Gothic" w:eastAsia="MS PGothic" w:hAnsi="Century Gothic"/>
                <w:szCs w:val="22"/>
              </w:rPr>
            </w:pPr>
            <w:r w:rsidRPr="005E412C">
              <w:rPr>
                <w:rFonts w:ascii="Century Gothic" w:eastAsia="MS PGothic" w:hAnsi="Century Gothic"/>
                <w:szCs w:val="22"/>
              </w:rPr>
              <w:t xml:space="preserve">$17,305 </w:t>
            </w:r>
            <w:r w:rsidR="323481AF" w:rsidRPr="005E412C">
              <w:rPr>
                <w:rFonts w:ascii="Century Gothic" w:eastAsia="MS PGothic" w:hAnsi="Century Gothic"/>
                <w:szCs w:val="22"/>
              </w:rPr>
              <w:t>(</w:t>
            </w:r>
            <w:r w:rsidRPr="005E412C">
              <w:rPr>
                <w:rFonts w:ascii="Century Gothic" w:eastAsia="MS PGothic" w:hAnsi="Century Gothic"/>
                <w:szCs w:val="22"/>
              </w:rPr>
              <w:t>average gross income of initial</w:t>
            </w:r>
            <w:r w:rsidR="1E2BB60A" w:rsidRPr="005E412C">
              <w:rPr>
                <w:rFonts w:ascii="Century Gothic" w:eastAsia="MS PGothic" w:hAnsi="Century Gothic"/>
                <w:szCs w:val="22"/>
              </w:rPr>
              <w:t xml:space="preserve"> families)</w:t>
            </w: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0CAA170" w14:textId="0F4CC42F" w:rsidR="00C35F1D" w:rsidRPr="005E412C" w:rsidRDefault="0625A140" w:rsidP="4566E4F4">
            <w:pPr>
              <w:rPr>
                <w:rFonts w:ascii="Century Gothic" w:hAnsi="Century Gothic"/>
              </w:rPr>
            </w:pPr>
            <w:r w:rsidRPr="005E412C">
              <w:rPr>
                <w:rFonts w:ascii="Century Gothic" w:hAnsi="Century Gothic"/>
              </w:rPr>
              <w:t>33% of families will experience an increase in family income</w:t>
            </w:r>
          </w:p>
          <w:p w14:paraId="76000B39" w14:textId="2215B6EF" w:rsidR="00C35F1D" w:rsidRPr="005E412C" w:rsidRDefault="00C35F1D" w:rsidP="4566E4F4">
            <w:pPr>
              <w:rPr>
                <w:rFonts w:ascii="Century Gothic" w:eastAsia="MS PGothic" w:hAnsi="Century Gothic"/>
                <w:szCs w:val="22"/>
              </w:rPr>
            </w:pPr>
          </w:p>
          <w:p w14:paraId="46D5BAE2" w14:textId="7246A6C7" w:rsidR="00C35F1D" w:rsidRPr="005E412C" w:rsidRDefault="115B003D" w:rsidP="4566E4F4">
            <w:pPr>
              <w:rPr>
                <w:rFonts w:ascii="Century Gothic" w:eastAsia="MS PGothic" w:hAnsi="Century Gothic"/>
                <w:szCs w:val="22"/>
              </w:rPr>
            </w:pPr>
            <w:r w:rsidRPr="005E412C">
              <w:rPr>
                <w:rFonts w:ascii="Century Gothic" w:eastAsia="MS PGothic" w:hAnsi="Century Gothic"/>
                <w:szCs w:val="22"/>
              </w:rPr>
              <w:t>6</w:t>
            </w:r>
          </w:p>
        </w:tc>
        <w:tc>
          <w:tcPr>
            <w:tcW w:w="1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12F4BC" w14:textId="54433EAC" w:rsidR="14CC49AC" w:rsidRDefault="14CC49AC" w:rsidP="6F807E50">
            <w:pPr>
              <w:rPr>
                <w:rFonts w:ascii="Century Gothic" w:hAnsi="Century Gothic"/>
              </w:rPr>
            </w:pPr>
            <w:r w:rsidRPr="005E412C">
              <w:rPr>
                <w:rFonts w:ascii="Century Gothic" w:hAnsi="Century Gothic"/>
              </w:rPr>
              <w:t xml:space="preserve">2024: </w:t>
            </w:r>
            <w:r w:rsidR="00976B25" w:rsidRPr="005B2D92">
              <w:rPr>
                <w:rFonts w:ascii="Century Gothic" w:hAnsi="Century Gothic"/>
              </w:rPr>
              <w:t>33% (5 of the 15 families</w:t>
            </w:r>
            <w:r w:rsidR="004C4210">
              <w:rPr>
                <w:rFonts w:ascii="Century Gothic" w:hAnsi="Century Gothic"/>
              </w:rPr>
              <w:t>)</w:t>
            </w:r>
            <w:r w:rsidR="00976B25" w:rsidRPr="005B2D92">
              <w:rPr>
                <w:rFonts w:ascii="Century Gothic" w:hAnsi="Century Gothic"/>
              </w:rPr>
              <w:t xml:space="preserve"> </w:t>
            </w:r>
          </w:p>
          <w:p w14:paraId="26A6E7D2" w14:textId="77777777" w:rsidR="00976B25" w:rsidRPr="005E412C" w:rsidRDefault="00976B25" w:rsidP="6F807E50">
            <w:pPr>
              <w:rPr>
                <w:rFonts w:ascii="Century Gothic" w:hAnsi="Century Gothic"/>
              </w:rPr>
            </w:pPr>
          </w:p>
          <w:p w14:paraId="7DD9C7C8" w14:textId="718D17E7" w:rsidR="00677EAE" w:rsidRPr="005E412C" w:rsidRDefault="78571893" w:rsidP="7AC9FF43">
            <w:pPr>
              <w:rPr>
                <w:rFonts w:ascii="Century Gothic" w:hAnsi="Century Gothic"/>
              </w:rPr>
            </w:pPr>
            <w:r w:rsidRPr="005E412C">
              <w:rPr>
                <w:rFonts w:ascii="Century Gothic" w:hAnsi="Century Gothic"/>
              </w:rPr>
              <w:t>2023</w:t>
            </w:r>
            <w:r w:rsidR="003317E0" w:rsidRPr="005E412C">
              <w:rPr>
                <w:rFonts w:ascii="Century Gothic" w:hAnsi="Century Gothic"/>
              </w:rPr>
              <w:t>: 33</w:t>
            </w:r>
            <w:r w:rsidR="5FBFB21A" w:rsidRPr="005E412C">
              <w:rPr>
                <w:rFonts w:ascii="Century Gothic" w:hAnsi="Century Gothic"/>
              </w:rPr>
              <w:t>% (5 of</w:t>
            </w:r>
            <w:r w:rsidRPr="005E412C">
              <w:rPr>
                <w:rFonts w:ascii="Century Gothic" w:hAnsi="Century Gothic"/>
              </w:rPr>
              <w:t xml:space="preserve"> the </w:t>
            </w:r>
            <w:r w:rsidR="5FBFB21A" w:rsidRPr="005E412C">
              <w:rPr>
                <w:rFonts w:ascii="Century Gothic" w:hAnsi="Century Gothic"/>
              </w:rPr>
              <w:t>15 families</w:t>
            </w:r>
            <w:r w:rsidR="004C4210">
              <w:rPr>
                <w:rFonts w:ascii="Century Gothic" w:hAnsi="Century Gothic"/>
              </w:rPr>
              <w:t>)</w:t>
            </w:r>
            <w:r w:rsidR="5E32A79F" w:rsidRPr="005E412C">
              <w:rPr>
                <w:rFonts w:ascii="Century Gothic" w:hAnsi="Century Gothic"/>
              </w:rPr>
              <w:t xml:space="preserve"> </w:t>
            </w:r>
          </w:p>
          <w:p w14:paraId="78F6C5C7" w14:textId="7F5D844F" w:rsidR="00677EAE" w:rsidRPr="005E412C" w:rsidRDefault="00677EAE" w:rsidP="7AC9FF43">
            <w:pPr>
              <w:rPr>
                <w:rFonts w:ascii="Century Gothic" w:hAnsi="Century Gothic"/>
              </w:rPr>
            </w:pPr>
          </w:p>
          <w:p w14:paraId="7FB8A759" w14:textId="73F8842F" w:rsidR="00677EAE" w:rsidRPr="005E412C" w:rsidRDefault="77DBC106" w:rsidP="00677EAE">
            <w:pPr>
              <w:rPr>
                <w:rFonts w:ascii="Century Gothic" w:hAnsi="Century Gothic"/>
              </w:rPr>
            </w:pPr>
            <w:r w:rsidRPr="005E412C">
              <w:rPr>
                <w:rFonts w:ascii="Century Gothic" w:hAnsi="Century Gothic"/>
              </w:rPr>
              <w:t>1</w:t>
            </w:r>
            <w:r w:rsidR="2675E262" w:rsidRPr="005E412C">
              <w:rPr>
                <w:rFonts w:ascii="Century Gothic" w:hAnsi="Century Gothic"/>
              </w:rPr>
              <w:t>3</w:t>
            </w:r>
            <w:r w:rsidR="00976B25">
              <w:rPr>
                <w:rFonts w:ascii="Century Gothic" w:hAnsi="Century Gothic"/>
              </w:rPr>
              <w:t xml:space="preserve"> </w:t>
            </w:r>
            <w:r w:rsidR="3262A5A6" w:rsidRPr="005E412C">
              <w:rPr>
                <w:rFonts w:ascii="Century Gothic" w:hAnsi="Century Gothic"/>
              </w:rPr>
              <w:t xml:space="preserve">of the </w:t>
            </w:r>
            <w:r w:rsidR="6C1E1719" w:rsidRPr="005E412C">
              <w:rPr>
                <w:rFonts w:ascii="Century Gothic" w:hAnsi="Century Gothic"/>
              </w:rPr>
              <w:t>1</w:t>
            </w:r>
            <w:r w:rsidR="6F333307" w:rsidRPr="005E412C">
              <w:rPr>
                <w:rFonts w:ascii="Century Gothic" w:hAnsi="Century Gothic"/>
              </w:rPr>
              <w:t>5 f</w:t>
            </w:r>
            <w:r w:rsidR="3262A5A6" w:rsidRPr="005E412C">
              <w:rPr>
                <w:rFonts w:ascii="Century Gothic" w:hAnsi="Century Gothic"/>
              </w:rPr>
              <w:t xml:space="preserve">amilies </w:t>
            </w:r>
            <w:r w:rsidR="45C8DCB1" w:rsidRPr="005E412C">
              <w:rPr>
                <w:rFonts w:ascii="Century Gothic" w:hAnsi="Century Gothic"/>
              </w:rPr>
              <w:t xml:space="preserve">have </w:t>
            </w:r>
            <w:proofErr w:type="gramStart"/>
            <w:r w:rsidR="45C8DCB1" w:rsidRPr="005E412C">
              <w:rPr>
                <w:rFonts w:ascii="Century Gothic" w:hAnsi="Century Gothic"/>
              </w:rPr>
              <w:t>income</w:t>
            </w:r>
            <w:r w:rsidR="00677EAE" w:rsidRPr="005E412C">
              <w:rPr>
                <w:rFonts w:ascii="Century Gothic" w:hAnsi="Century Gothic"/>
              </w:rPr>
              <w:t xml:space="preserve"> at</w:t>
            </w:r>
            <w:proofErr w:type="gramEnd"/>
            <w:r w:rsidR="00677EAE" w:rsidRPr="005E412C">
              <w:rPr>
                <w:rFonts w:ascii="Century Gothic" w:hAnsi="Century Gothic"/>
              </w:rPr>
              <w:t xml:space="preserve"> under 30% AMI. </w:t>
            </w:r>
          </w:p>
          <w:p w14:paraId="69F8FB03" w14:textId="0563D43E" w:rsidR="00677EAE" w:rsidRPr="005E412C" w:rsidRDefault="00677EAE" w:rsidP="00677EAE">
            <w:pPr>
              <w:rPr>
                <w:rFonts w:ascii="Century Gothic" w:hAnsi="Century Gothic"/>
              </w:rPr>
            </w:pPr>
            <w:r w:rsidRPr="005E412C">
              <w:rPr>
                <w:rFonts w:ascii="Century Gothic" w:hAnsi="Century Gothic"/>
              </w:rPr>
              <w:t xml:space="preserve">2 families </w:t>
            </w:r>
            <w:r w:rsidR="055E3BE4" w:rsidRPr="005E412C">
              <w:rPr>
                <w:rFonts w:ascii="Century Gothic" w:hAnsi="Century Gothic"/>
              </w:rPr>
              <w:t>have income</w:t>
            </w:r>
            <w:r w:rsidR="3262A5A6" w:rsidRPr="005E412C">
              <w:rPr>
                <w:rFonts w:ascii="Century Gothic" w:hAnsi="Century Gothic"/>
              </w:rPr>
              <w:t xml:space="preserve"> </w:t>
            </w:r>
            <w:r w:rsidR="6B12954D" w:rsidRPr="005E412C">
              <w:rPr>
                <w:rFonts w:ascii="Century Gothic" w:hAnsi="Century Gothic"/>
              </w:rPr>
              <w:t>between</w:t>
            </w:r>
            <w:r w:rsidRPr="005E412C">
              <w:rPr>
                <w:rFonts w:ascii="Century Gothic" w:hAnsi="Century Gothic"/>
              </w:rPr>
              <w:t xml:space="preserve"> 30% to 50% AMI. </w:t>
            </w:r>
          </w:p>
          <w:p w14:paraId="19F28ED4" w14:textId="521743E5" w:rsidR="00677EAE" w:rsidRPr="005E412C" w:rsidRDefault="00677EAE" w:rsidP="00677EAE">
            <w:pPr>
              <w:rPr>
                <w:rFonts w:ascii="Century Gothic" w:hAnsi="Century Gothic"/>
              </w:rPr>
            </w:pPr>
            <w:r w:rsidRPr="005E412C">
              <w:rPr>
                <w:rFonts w:ascii="Century Gothic" w:hAnsi="Century Gothic"/>
              </w:rPr>
              <w:t>The average household gross income is $</w:t>
            </w:r>
            <w:r w:rsidR="7FCCE807" w:rsidRPr="005E412C">
              <w:rPr>
                <w:rFonts w:ascii="Century Gothic" w:hAnsi="Century Gothic"/>
              </w:rPr>
              <w:t>17,</w:t>
            </w:r>
            <w:r w:rsidR="48F354ED" w:rsidRPr="005E412C">
              <w:rPr>
                <w:rFonts w:ascii="Century Gothic" w:hAnsi="Century Gothic"/>
              </w:rPr>
              <w:t>004</w:t>
            </w:r>
          </w:p>
          <w:p w14:paraId="1F3D832D" w14:textId="6066F637" w:rsidR="7AC9FF43" w:rsidRPr="005E412C" w:rsidRDefault="7AC9FF43" w:rsidP="7AC9FF43">
            <w:pPr>
              <w:rPr>
                <w:rFonts w:ascii="Century Gothic" w:hAnsi="Century Gothic"/>
              </w:rPr>
            </w:pPr>
          </w:p>
          <w:p w14:paraId="5B267AB9" w14:textId="577F7E21" w:rsidR="00C35F1D" w:rsidRPr="005E412C" w:rsidRDefault="115B003D" w:rsidP="4566E4F4">
            <w:pPr>
              <w:rPr>
                <w:rFonts w:ascii="Century Gothic" w:hAnsi="Century Gothic"/>
              </w:rPr>
            </w:pPr>
            <w:r w:rsidRPr="005E412C">
              <w:rPr>
                <w:rFonts w:ascii="Century Gothic" w:hAnsi="Century Gothic"/>
              </w:rPr>
              <w:t>2022</w:t>
            </w:r>
            <w:r w:rsidR="003317E0" w:rsidRPr="005E412C">
              <w:rPr>
                <w:rFonts w:ascii="Century Gothic" w:hAnsi="Century Gothic"/>
              </w:rPr>
              <w:t>: 13</w:t>
            </w:r>
            <w:r w:rsidR="31770B55" w:rsidRPr="005E412C">
              <w:rPr>
                <w:rFonts w:ascii="Century Gothic" w:hAnsi="Century Gothic"/>
              </w:rPr>
              <w:t xml:space="preserve"> of the 15 families leased enrolled at </w:t>
            </w:r>
            <w:r w:rsidR="281C5A32" w:rsidRPr="005E412C">
              <w:rPr>
                <w:rFonts w:ascii="Century Gothic" w:hAnsi="Century Gothic"/>
              </w:rPr>
              <w:t>under 30</w:t>
            </w:r>
            <w:r w:rsidR="31770B55" w:rsidRPr="005E412C">
              <w:rPr>
                <w:rFonts w:ascii="Century Gothic" w:hAnsi="Century Gothic"/>
              </w:rPr>
              <w:t>% AMI</w:t>
            </w:r>
            <w:r w:rsidR="22695FCD" w:rsidRPr="005E412C">
              <w:rPr>
                <w:rFonts w:ascii="Century Gothic" w:hAnsi="Century Gothic"/>
              </w:rPr>
              <w:t xml:space="preserve">. </w:t>
            </w:r>
          </w:p>
          <w:p w14:paraId="1006C50F" w14:textId="3BC8485A" w:rsidR="00C35F1D" w:rsidRPr="005E412C" w:rsidRDefault="22695FCD" w:rsidP="4566E4F4">
            <w:pPr>
              <w:rPr>
                <w:rFonts w:ascii="Century Gothic" w:hAnsi="Century Gothic"/>
              </w:rPr>
            </w:pPr>
            <w:r w:rsidRPr="005E412C">
              <w:rPr>
                <w:rFonts w:ascii="Century Gothic" w:hAnsi="Century Gothic"/>
              </w:rPr>
              <w:t xml:space="preserve">2 families fell within </w:t>
            </w:r>
            <w:proofErr w:type="gramStart"/>
            <w:r w:rsidRPr="005E412C">
              <w:rPr>
                <w:rFonts w:ascii="Century Gothic" w:hAnsi="Century Gothic"/>
              </w:rPr>
              <w:t>the 30</w:t>
            </w:r>
            <w:proofErr w:type="gramEnd"/>
            <w:r w:rsidRPr="005E412C">
              <w:rPr>
                <w:rFonts w:ascii="Century Gothic" w:hAnsi="Century Gothic"/>
              </w:rPr>
              <w:t>% to 50% AMI.</w:t>
            </w:r>
            <w:r w:rsidR="7880A9E9" w:rsidRPr="005E412C">
              <w:rPr>
                <w:rFonts w:ascii="Century Gothic" w:hAnsi="Century Gothic"/>
              </w:rPr>
              <w:t xml:space="preserve"> </w:t>
            </w:r>
          </w:p>
          <w:p w14:paraId="106F3C15" w14:textId="072C0C4D" w:rsidR="00C35F1D" w:rsidRPr="005E412C" w:rsidRDefault="7880A9E9" w:rsidP="1B3F2E6D">
            <w:pPr>
              <w:rPr>
                <w:rFonts w:ascii="Century Gothic" w:hAnsi="Century Gothic"/>
              </w:rPr>
            </w:pPr>
            <w:r w:rsidRPr="005E412C">
              <w:rPr>
                <w:rFonts w:ascii="Century Gothic" w:hAnsi="Century Gothic"/>
              </w:rPr>
              <w:t>The average household gross income is $17,305</w:t>
            </w:r>
          </w:p>
        </w:tc>
        <w:tc>
          <w:tcPr>
            <w:tcW w:w="164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1660AC27" w14:textId="008B5A82" w:rsidR="00C35F1D" w:rsidRPr="005E412C" w:rsidRDefault="63B9041D" w:rsidP="1B3F2E6D">
            <w:pPr>
              <w:rPr>
                <w:rFonts w:ascii="Century Gothic" w:hAnsi="Century Gothic"/>
              </w:rPr>
            </w:pPr>
            <w:r w:rsidRPr="005E412C">
              <w:rPr>
                <w:rFonts w:ascii="Century Gothic" w:hAnsi="Century Gothic"/>
              </w:rPr>
              <w:t xml:space="preserve"> Yes</w:t>
            </w:r>
          </w:p>
        </w:tc>
      </w:tr>
    </w:tbl>
    <w:p w14:paraId="759AFFCB" w14:textId="77777777" w:rsidR="00C35F1D" w:rsidRPr="00BB7CB2" w:rsidRDefault="00C35F1D" w:rsidP="00C35F1D">
      <w:pPr>
        <w:rPr>
          <w:rFonts w:ascii="Century Gothic" w:hAnsi="Century Gothic"/>
          <w:szCs w:val="22"/>
        </w:rPr>
      </w:pPr>
    </w:p>
    <w:tbl>
      <w:tblPr>
        <w:tblStyle w:val="TableGrid7"/>
        <w:tblW w:w="0" w:type="auto"/>
        <w:tblLook w:val="04A0" w:firstRow="1" w:lastRow="0" w:firstColumn="1" w:lastColumn="0" w:noHBand="0" w:noVBand="1"/>
      </w:tblPr>
      <w:tblGrid>
        <w:gridCol w:w="2699"/>
        <w:gridCol w:w="1741"/>
        <w:gridCol w:w="1870"/>
        <w:gridCol w:w="1970"/>
        <w:gridCol w:w="1646"/>
      </w:tblGrid>
      <w:tr w:rsidR="00C35F1D" w:rsidRPr="00367F45" w14:paraId="6F980B93" w14:textId="77777777" w:rsidTr="6F807E50">
        <w:trPr>
          <w:trHeight w:val="400"/>
        </w:trPr>
        <w:tc>
          <w:tcPr>
            <w:tcW w:w="9926" w:type="dxa"/>
            <w:gridSpan w:val="5"/>
            <w:tcBorders>
              <w:top w:val="nil"/>
              <w:left w:val="nil"/>
              <w:bottom w:val="single" w:sz="24" w:space="0" w:color="B5333C" w:themeColor="accent2"/>
              <w:right w:val="nil"/>
            </w:tcBorders>
            <w:shd w:val="clear" w:color="auto" w:fill="808080" w:themeFill="background1" w:themeFillShade="80"/>
          </w:tcPr>
          <w:p w14:paraId="56540030" w14:textId="77777777" w:rsidR="00C35F1D" w:rsidRPr="00BB7CB2" w:rsidRDefault="00C35F1D" w:rsidP="00B80A01">
            <w:pPr>
              <w:jc w:val="center"/>
              <w:rPr>
                <w:rFonts w:ascii="Century Gothic" w:hAnsi="Century Gothic"/>
                <w:b/>
                <w:szCs w:val="22"/>
              </w:rPr>
            </w:pPr>
            <w:r w:rsidRPr="00BB7CB2">
              <w:rPr>
                <w:rFonts w:ascii="Century Gothic" w:hAnsi="Century Gothic"/>
                <w:b/>
                <w:szCs w:val="22"/>
              </w:rPr>
              <w:t>SS#3: Increase positive outcomes in employment status</w:t>
            </w:r>
          </w:p>
        </w:tc>
      </w:tr>
      <w:tr w:rsidR="00C35F1D" w:rsidRPr="00367F45" w14:paraId="04506169" w14:textId="77777777" w:rsidTr="6F807E50">
        <w:trPr>
          <w:trHeight w:val="340"/>
        </w:trPr>
        <w:tc>
          <w:tcPr>
            <w:tcW w:w="269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700F3F3" w14:textId="77777777" w:rsidR="00C35F1D" w:rsidRPr="00BB7CB2" w:rsidRDefault="00C35F1D" w:rsidP="00B80A01">
            <w:pPr>
              <w:jc w:val="center"/>
              <w:rPr>
                <w:rFonts w:ascii="Century Gothic" w:hAnsi="Century Gothic"/>
                <w:b/>
                <w:szCs w:val="22"/>
              </w:rPr>
            </w:pPr>
            <w:r w:rsidRPr="00BB7CB2">
              <w:rPr>
                <w:rFonts w:ascii="Century Gothic" w:hAnsi="Century Gothic"/>
                <w:b/>
                <w:szCs w:val="22"/>
              </w:rPr>
              <w:t>Unit of Measurement</w:t>
            </w:r>
          </w:p>
        </w:tc>
        <w:tc>
          <w:tcPr>
            <w:tcW w:w="1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A9B7A55" w14:textId="77777777" w:rsidR="00C35F1D" w:rsidRPr="00BB7CB2" w:rsidRDefault="00C35F1D" w:rsidP="00B80A01">
            <w:pPr>
              <w:jc w:val="center"/>
              <w:rPr>
                <w:rFonts w:ascii="Century Gothic" w:hAnsi="Century Gothic"/>
                <w:b/>
                <w:szCs w:val="22"/>
              </w:rPr>
            </w:pPr>
            <w:r w:rsidRPr="00BB7CB2">
              <w:rPr>
                <w:rFonts w:ascii="Century Gothic" w:hAnsi="Century Gothic"/>
                <w:b/>
                <w:szCs w:val="22"/>
              </w:rPr>
              <w:t>Baseline</w:t>
            </w: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79B0EC89" w14:textId="77777777" w:rsidR="00C35F1D" w:rsidRPr="00BB7CB2" w:rsidRDefault="00C35F1D" w:rsidP="00B80A01">
            <w:pPr>
              <w:jc w:val="center"/>
              <w:rPr>
                <w:rFonts w:ascii="Century Gothic" w:hAnsi="Century Gothic"/>
                <w:b/>
                <w:szCs w:val="22"/>
              </w:rPr>
            </w:pPr>
            <w:r w:rsidRPr="00BB7CB2">
              <w:rPr>
                <w:rFonts w:ascii="Century Gothic" w:hAnsi="Century Gothic"/>
                <w:b/>
                <w:szCs w:val="22"/>
              </w:rPr>
              <w:t>Benchmark</w:t>
            </w:r>
          </w:p>
        </w:tc>
        <w:tc>
          <w:tcPr>
            <w:tcW w:w="1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36F45EC" w14:textId="77777777" w:rsidR="00C35F1D" w:rsidRPr="00BB7CB2" w:rsidRDefault="55A44C25" w:rsidP="0D8BAA9B">
            <w:pPr>
              <w:jc w:val="center"/>
              <w:rPr>
                <w:rFonts w:ascii="Century Gothic" w:hAnsi="Century Gothic"/>
                <w:b/>
                <w:bCs/>
              </w:rPr>
            </w:pPr>
            <w:r w:rsidRPr="00BB7CB2">
              <w:rPr>
                <w:rFonts w:ascii="Century Gothic" w:hAnsi="Century Gothic"/>
                <w:b/>
                <w:bCs/>
              </w:rPr>
              <w:t>Outcome</w:t>
            </w:r>
          </w:p>
        </w:tc>
        <w:tc>
          <w:tcPr>
            <w:tcW w:w="164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2EDA35D8" w14:textId="77777777" w:rsidR="00C35F1D" w:rsidRPr="00BB7CB2" w:rsidRDefault="00C35F1D" w:rsidP="00B80A01">
            <w:pPr>
              <w:jc w:val="center"/>
              <w:rPr>
                <w:rFonts w:ascii="Century Gothic" w:hAnsi="Century Gothic"/>
                <w:b/>
                <w:szCs w:val="22"/>
              </w:rPr>
            </w:pPr>
            <w:r w:rsidRPr="00BB7CB2">
              <w:rPr>
                <w:rFonts w:ascii="Century Gothic" w:hAnsi="Century Gothic"/>
                <w:b/>
                <w:szCs w:val="22"/>
              </w:rPr>
              <w:t>Benchmark Achieved?</w:t>
            </w:r>
          </w:p>
        </w:tc>
      </w:tr>
      <w:tr w:rsidR="00C35F1D" w:rsidRPr="00367F45" w14:paraId="156E9FC4" w14:textId="77777777" w:rsidTr="6F807E50">
        <w:trPr>
          <w:trHeight w:val="1035"/>
        </w:trPr>
        <w:tc>
          <w:tcPr>
            <w:tcW w:w="269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1AB5A6A1" w14:textId="77777777" w:rsidR="00C35F1D" w:rsidRPr="00BB7CB2" w:rsidRDefault="00C35F1D" w:rsidP="00B80A01">
            <w:pPr>
              <w:rPr>
                <w:rFonts w:ascii="Century Gothic" w:hAnsi="Century Gothic"/>
                <w:szCs w:val="22"/>
              </w:rPr>
            </w:pPr>
            <w:r w:rsidRPr="00BB7CB2">
              <w:rPr>
                <w:rFonts w:ascii="Century Gothic" w:hAnsi="Century Gothic"/>
                <w:szCs w:val="22"/>
              </w:rPr>
              <w:t xml:space="preserve">Enrollment in part- and full-time employment  </w:t>
            </w:r>
          </w:p>
        </w:tc>
        <w:tc>
          <w:tcPr>
            <w:tcW w:w="1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4E0AE4" w14:textId="6AC86FC5" w:rsidR="00C35F1D" w:rsidRPr="00BB7CB2" w:rsidRDefault="0625A140" w:rsidP="4566E4F4">
            <w:pPr>
              <w:rPr>
                <w:rFonts w:ascii="Century Gothic" w:hAnsi="Century Gothic"/>
              </w:rPr>
            </w:pPr>
            <w:r w:rsidRPr="00BB7CB2">
              <w:rPr>
                <w:rFonts w:ascii="Century Gothic" w:hAnsi="Century Gothic"/>
              </w:rPr>
              <w:t xml:space="preserve">At baseline, all families will be engaged in workforce training or educational </w:t>
            </w:r>
            <w:r w:rsidRPr="00BB7CB2">
              <w:rPr>
                <w:rFonts w:ascii="Century Gothic" w:hAnsi="Century Gothic"/>
              </w:rPr>
              <w:lastRenderedPageBreak/>
              <w:t>program, part time employment or full-time employment</w:t>
            </w:r>
          </w:p>
          <w:p w14:paraId="6D227F18" w14:textId="110F4CE1" w:rsidR="00C35F1D" w:rsidRPr="00BB7CB2" w:rsidRDefault="00C35F1D" w:rsidP="4566E4F4">
            <w:pPr>
              <w:rPr>
                <w:rFonts w:ascii="Century Gothic" w:eastAsia="MS PGothic" w:hAnsi="Century Gothic"/>
                <w:szCs w:val="22"/>
              </w:rPr>
            </w:pPr>
          </w:p>
          <w:p w14:paraId="45C62BC8" w14:textId="0C5B13C2" w:rsidR="00C35F1D" w:rsidRPr="00BB7CB2" w:rsidRDefault="00C35F1D" w:rsidP="4566E4F4">
            <w:pPr>
              <w:rPr>
                <w:rFonts w:ascii="Century Gothic" w:eastAsia="MS PGothic" w:hAnsi="Century Gothic"/>
                <w:szCs w:val="22"/>
              </w:rPr>
            </w:pP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8A6176" w14:textId="355CF3CC" w:rsidR="00C35F1D" w:rsidRPr="00BB7CB2" w:rsidRDefault="57749301" w:rsidP="4566E4F4">
            <w:pPr>
              <w:rPr>
                <w:rFonts w:ascii="Century Gothic" w:eastAsia="MS PGothic" w:hAnsi="Century Gothic"/>
                <w:szCs w:val="22"/>
              </w:rPr>
            </w:pPr>
            <w:r w:rsidRPr="00BB7CB2">
              <w:rPr>
                <w:rFonts w:ascii="Century Gothic" w:eastAsia="Times New Roman" w:hAnsi="Century Gothic"/>
                <w:szCs w:val="22"/>
              </w:rPr>
              <w:lastRenderedPageBreak/>
              <w:t xml:space="preserve"> 50% of families will be enrolled in a </w:t>
            </w:r>
            <w:proofErr w:type="gramStart"/>
            <w:r w:rsidRPr="00BB7CB2">
              <w:rPr>
                <w:rFonts w:ascii="Century Gothic" w:eastAsia="Times New Roman" w:hAnsi="Century Gothic"/>
                <w:szCs w:val="22"/>
              </w:rPr>
              <w:t>part time</w:t>
            </w:r>
            <w:proofErr w:type="gramEnd"/>
            <w:r w:rsidRPr="00BB7CB2">
              <w:rPr>
                <w:rFonts w:ascii="Century Gothic" w:eastAsia="Times New Roman" w:hAnsi="Century Gothic"/>
                <w:szCs w:val="22"/>
              </w:rPr>
              <w:t xml:space="preserve"> or </w:t>
            </w:r>
            <w:proofErr w:type="gramStart"/>
            <w:r w:rsidRPr="00BB7CB2">
              <w:rPr>
                <w:rFonts w:ascii="Century Gothic" w:eastAsia="Times New Roman" w:hAnsi="Century Gothic"/>
                <w:szCs w:val="22"/>
              </w:rPr>
              <w:t>fulltime</w:t>
            </w:r>
            <w:proofErr w:type="gramEnd"/>
            <w:r w:rsidRPr="00BB7CB2">
              <w:rPr>
                <w:rFonts w:ascii="Century Gothic" w:eastAsia="Times New Roman" w:hAnsi="Century Gothic"/>
                <w:szCs w:val="22"/>
              </w:rPr>
              <w:t xml:space="preserve"> employment by the end of </w:t>
            </w:r>
            <w:r w:rsidRPr="00BB7CB2">
              <w:rPr>
                <w:rFonts w:ascii="Century Gothic" w:eastAsia="Times New Roman" w:hAnsi="Century Gothic"/>
                <w:szCs w:val="22"/>
              </w:rPr>
              <w:lastRenderedPageBreak/>
              <w:t>year 1 of their admission to the program.</w:t>
            </w:r>
          </w:p>
        </w:tc>
        <w:tc>
          <w:tcPr>
            <w:tcW w:w="1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E600EF" w14:textId="1F5D0735" w:rsidR="17082302" w:rsidRPr="00BB7CB2" w:rsidRDefault="17082302" w:rsidP="6F807E50">
            <w:pPr>
              <w:rPr>
                <w:rFonts w:ascii="Century Gothic" w:hAnsi="Century Gothic"/>
              </w:rPr>
            </w:pPr>
            <w:r w:rsidRPr="00BB7CB2">
              <w:rPr>
                <w:rFonts w:ascii="Century Gothic" w:hAnsi="Century Gothic"/>
              </w:rPr>
              <w:lastRenderedPageBreak/>
              <w:t>2024:</w:t>
            </w:r>
            <w:r w:rsidR="006344E4">
              <w:rPr>
                <w:rFonts w:ascii="Century Gothic" w:hAnsi="Century Gothic"/>
              </w:rPr>
              <w:t xml:space="preserve"> 73%</w:t>
            </w:r>
          </w:p>
          <w:p w14:paraId="2D3AD33A" w14:textId="077E8A93" w:rsidR="00A401CE" w:rsidRPr="005E3AB5" w:rsidRDefault="002AF718" w:rsidP="4566E4F4">
            <w:pPr>
              <w:rPr>
                <w:rFonts w:ascii="Century Gothic" w:hAnsi="Century Gothic"/>
              </w:rPr>
            </w:pPr>
            <w:r w:rsidRPr="005E3AB5">
              <w:rPr>
                <w:rFonts w:ascii="Century Gothic" w:hAnsi="Century Gothic"/>
              </w:rPr>
              <w:t>2023</w:t>
            </w:r>
            <w:r w:rsidR="00AE602B" w:rsidRPr="005E3AB5">
              <w:rPr>
                <w:rFonts w:ascii="Century Gothic" w:hAnsi="Century Gothic"/>
              </w:rPr>
              <w:t>:</w:t>
            </w:r>
            <w:r w:rsidRPr="005E3AB5">
              <w:rPr>
                <w:rFonts w:ascii="Century Gothic" w:hAnsi="Century Gothic"/>
              </w:rPr>
              <w:t xml:space="preserve"> </w:t>
            </w:r>
            <w:r w:rsidR="261C9CD3" w:rsidRPr="005E3AB5">
              <w:rPr>
                <w:rFonts w:ascii="Century Gothic" w:hAnsi="Century Gothic"/>
              </w:rPr>
              <w:t>75</w:t>
            </w:r>
            <w:r w:rsidRPr="005E3AB5">
              <w:rPr>
                <w:rFonts w:ascii="Century Gothic" w:hAnsi="Century Gothic"/>
              </w:rPr>
              <w:t>%</w:t>
            </w:r>
          </w:p>
          <w:p w14:paraId="7DC9C27B" w14:textId="70B06327" w:rsidR="00C35F1D" w:rsidRPr="00BB7CB2" w:rsidRDefault="7B98D879" w:rsidP="4566E4F4">
            <w:pPr>
              <w:rPr>
                <w:rFonts w:ascii="Century Gothic" w:eastAsia="MS PGothic" w:hAnsi="Century Gothic"/>
                <w:szCs w:val="22"/>
              </w:rPr>
            </w:pPr>
            <w:r w:rsidRPr="005E3AB5">
              <w:rPr>
                <w:rFonts w:ascii="Century Gothic" w:hAnsi="Century Gothic"/>
              </w:rPr>
              <w:t>2022</w:t>
            </w:r>
            <w:r w:rsidR="00AE602B" w:rsidRPr="005E3AB5">
              <w:rPr>
                <w:rFonts w:ascii="Century Gothic" w:hAnsi="Century Gothic"/>
              </w:rPr>
              <w:t>:</w:t>
            </w:r>
            <w:r w:rsidRPr="005E3AB5">
              <w:rPr>
                <w:rFonts w:ascii="Century Gothic" w:hAnsi="Century Gothic"/>
              </w:rPr>
              <w:t xml:space="preserve"> 43</w:t>
            </w:r>
            <w:r w:rsidRPr="00BB7CB2">
              <w:rPr>
                <w:rFonts w:ascii="Century Gothic" w:hAnsi="Century Gothic"/>
              </w:rPr>
              <w:t>%</w:t>
            </w:r>
          </w:p>
        </w:tc>
        <w:tc>
          <w:tcPr>
            <w:tcW w:w="164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036E7FD" w14:textId="1A1A46F0" w:rsidR="00C35F1D" w:rsidRPr="00BB7CB2" w:rsidRDefault="51706C5B">
            <w:pPr>
              <w:rPr>
                <w:rFonts w:ascii="Century Gothic" w:hAnsi="Century Gothic"/>
              </w:rPr>
            </w:pPr>
            <w:r w:rsidRPr="00BB7CB2">
              <w:rPr>
                <w:rFonts w:ascii="Century Gothic" w:hAnsi="Century Gothic"/>
              </w:rPr>
              <w:t xml:space="preserve"> </w:t>
            </w:r>
            <w:r w:rsidR="5F85CB93" w:rsidRPr="00BB7CB2">
              <w:rPr>
                <w:rFonts w:ascii="Century Gothic" w:hAnsi="Century Gothic"/>
              </w:rPr>
              <w:t>Yes</w:t>
            </w:r>
          </w:p>
        </w:tc>
      </w:tr>
      <w:tr w:rsidR="00C35F1D" w:rsidRPr="00367F45" w14:paraId="3257F7A6" w14:textId="77777777" w:rsidTr="6F807E50">
        <w:trPr>
          <w:trHeight w:val="400"/>
        </w:trPr>
        <w:tc>
          <w:tcPr>
            <w:tcW w:w="9926" w:type="dxa"/>
            <w:gridSpan w:val="5"/>
            <w:tcBorders>
              <w:top w:val="nil"/>
              <w:left w:val="nil"/>
              <w:bottom w:val="single" w:sz="24" w:space="0" w:color="B5333C" w:themeColor="accent2"/>
              <w:right w:val="nil"/>
            </w:tcBorders>
            <w:shd w:val="clear" w:color="auto" w:fill="808080" w:themeFill="background1" w:themeFillShade="80"/>
          </w:tcPr>
          <w:p w14:paraId="2E7DFCCC" w14:textId="77777777" w:rsidR="00C35F1D" w:rsidRPr="004C5BEF" w:rsidRDefault="00C35F1D" w:rsidP="00B80A01">
            <w:pPr>
              <w:jc w:val="center"/>
              <w:rPr>
                <w:rFonts w:ascii="Century Gothic" w:hAnsi="Century Gothic"/>
                <w:b/>
                <w:szCs w:val="22"/>
              </w:rPr>
            </w:pPr>
            <w:r w:rsidRPr="004C5BEF">
              <w:rPr>
                <w:rFonts w:ascii="Century Gothic" w:hAnsi="Century Gothic"/>
                <w:b/>
                <w:szCs w:val="22"/>
              </w:rPr>
              <w:t>SS#8: Households transitioned to self sufficiency</w:t>
            </w:r>
          </w:p>
        </w:tc>
      </w:tr>
      <w:tr w:rsidR="00C35F1D" w:rsidRPr="00367F45" w14:paraId="1C17FE90" w14:textId="77777777" w:rsidTr="6F807E50">
        <w:trPr>
          <w:trHeight w:val="340"/>
        </w:trPr>
        <w:tc>
          <w:tcPr>
            <w:tcW w:w="269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73C47777" w14:textId="77777777" w:rsidR="00C35F1D" w:rsidRPr="004C5BEF" w:rsidRDefault="00C35F1D" w:rsidP="00B80A01">
            <w:pPr>
              <w:jc w:val="center"/>
              <w:rPr>
                <w:rFonts w:ascii="Century Gothic" w:hAnsi="Century Gothic"/>
                <w:b/>
                <w:szCs w:val="22"/>
              </w:rPr>
            </w:pPr>
            <w:r w:rsidRPr="004C5BEF">
              <w:rPr>
                <w:rFonts w:ascii="Century Gothic" w:hAnsi="Century Gothic"/>
                <w:b/>
                <w:szCs w:val="22"/>
              </w:rPr>
              <w:t>Unit of Measurement</w:t>
            </w:r>
          </w:p>
        </w:tc>
        <w:tc>
          <w:tcPr>
            <w:tcW w:w="1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5327FA1A" w14:textId="77777777" w:rsidR="00C35F1D" w:rsidRPr="004C5BEF" w:rsidRDefault="00C35F1D" w:rsidP="00B80A01">
            <w:pPr>
              <w:jc w:val="center"/>
              <w:rPr>
                <w:rFonts w:ascii="Century Gothic" w:hAnsi="Century Gothic"/>
                <w:b/>
                <w:szCs w:val="22"/>
              </w:rPr>
            </w:pPr>
            <w:r w:rsidRPr="004C5BEF">
              <w:rPr>
                <w:rFonts w:ascii="Century Gothic" w:hAnsi="Century Gothic"/>
                <w:b/>
                <w:szCs w:val="22"/>
              </w:rPr>
              <w:t>Baseline</w:t>
            </w: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FB2AA9C" w14:textId="77777777" w:rsidR="00C35F1D" w:rsidRPr="004C5BEF" w:rsidRDefault="00C35F1D" w:rsidP="00B80A01">
            <w:pPr>
              <w:jc w:val="center"/>
              <w:rPr>
                <w:rFonts w:ascii="Century Gothic" w:hAnsi="Century Gothic"/>
                <w:b/>
                <w:szCs w:val="22"/>
              </w:rPr>
            </w:pPr>
            <w:r w:rsidRPr="004C5BEF">
              <w:rPr>
                <w:rFonts w:ascii="Century Gothic" w:hAnsi="Century Gothic"/>
                <w:b/>
                <w:szCs w:val="22"/>
              </w:rPr>
              <w:t>Benchmark</w:t>
            </w:r>
          </w:p>
        </w:tc>
        <w:tc>
          <w:tcPr>
            <w:tcW w:w="1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448037B" w14:textId="77777777" w:rsidR="00C35F1D" w:rsidRPr="004C5BEF" w:rsidRDefault="00C35F1D" w:rsidP="00B80A01">
            <w:pPr>
              <w:jc w:val="center"/>
              <w:rPr>
                <w:rFonts w:ascii="Century Gothic" w:hAnsi="Century Gothic"/>
                <w:b/>
                <w:szCs w:val="22"/>
              </w:rPr>
            </w:pPr>
            <w:r w:rsidRPr="004C5BEF">
              <w:rPr>
                <w:rFonts w:ascii="Century Gothic" w:hAnsi="Century Gothic"/>
                <w:b/>
                <w:szCs w:val="22"/>
              </w:rPr>
              <w:t>Outcome</w:t>
            </w:r>
          </w:p>
        </w:tc>
        <w:tc>
          <w:tcPr>
            <w:tcW w:w="164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19BA533D" w14:textId="77777777" w:rsidR="00C35F1D" w:rsidRPr="004C5BEF" w:rsidRDefault="00C35F1D" w:rsidP="00B80A01">
            <w:pPr>
              <w:jc w:val="center"/>
              <w:rPr>
                <w:rFonts w:ascii="Century Gothic" w:hAnsi="Century Gothic"/>
                <w:b/>
                <w:szCs w:val="22"/>
              </w:rPr>
            </w:pPr>
            <w:r w:rsidRPr="004C5BEF">
              <w:rPr>
                <w:rFonts w:ascii="Century Gothic" w:hAnsi="Century Gothic"/>
                <w:b/>
                <w:szCs w:val="22"/>
              </w:rPr>
              <w:t>Benchmark Achieved?</w:t>
            </w:r>
          </w:p>
        </w:tc>
      </w:tr>
      <w:tr w:rsidR="00C35F1D" w:rsidRPr="00367F45" w14:paraId="1CA99603" w14:textId="77777777" w:rsidTr="6F807E50">
        <w:trPr>
          <w:trHeight w:val="1035"/>
        </w:trPr>
        <w:tc>
          <w:tcPr>
            <w:tcW w:w="269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F8DA504" w14:textId="77777777" w:rsidR="00C35F1D" w:rsidRPr="004C5BEF" w:rsidRDefault="00C35F1D" w:rsidP="00B80A01">
            <w:pPr>
              <w:rPr>
                <w:rFonts w:ascii="Century Gothic" w:hAnsi="Century Gothic"/>
                <w:szCs w:val="22"/>
              </w:rPr>
            </w:pPr>
            <w:r w:rsidRPr="004C5BEF">
              <w:rPr>
                <w:rFonts w:ascii="Century Gothic" w:hAnsi="Century Gothic"/>
                <w:szCs w:val="22"/>
              </w:rPr>
              <w:t xml:space="preserve">Transition to access housing without assistance  </w:t>
            </w:r>
          </w:p>
        </w:tc>
        <w:tc>
          <w:tcPr>
            <w:tcW w:w="1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D31A00" w14:textId="732B4450" w:rsidR="00C35F1D" w:rsidRPr="004C5BEF" w:rsidRDefault="522A772C" w:rsidP="1B3F2E6D">
            <w:pPr>
              <w:rPr>
                <w:rFonts w:ascii="Century Gothic" w:hAnsi="Century Gothic"/>
              </w:rPr>
            </w:pPr>
            <w:r w:rsidRPr="004C5BEF">
              <w:rPr>
                <w:rFonts w:ascii="Century Gothic" w:hAnsi="Century Gothic"/>
              </w:rPr>
              <w:t>At baseline, no families will meet economic self-sufficiency measures as indicated by ability to lease unassisted in the market</w:t>
            </w:r>
            <w:r w:rsidR="4E68C903" w:rsidRPr="004C5BEF">
              <w:rPr>
                <w:rFonts w:ascii="Century Gothic" w:hAnsi="Century Gothic"/>
              </w:rPr>
              <w:t xml:space="preserve"> </w:t>
            </w:r>
          </w:p>
          <w:p w14:paraId="752013E1" w14:textId="1D33DC9D" w:rsidR="00C35F1D" w:rsidRPr="004C5BEF" w:rsidRDefault="00C35F1D" w:rsidP="1B3F2E6D">
            <w:pPr>
              <w:rPr>
                <w:rFonts w:ascii="Century Gothic" w:hAnsi="Century Gothic"/>
              </w:rPr>
            </w:pPr>
          </w:p>
          <w:p w14:paraId="580067F6" w14:textId="6E8B6C6D" w:rsidR="00C35F1D" w:rsidRPr="004C5BEF" w:rsidRDefault="4E68C903" w:rsidP="1B3F2E6D">
            <w:pPr>
              <w:rPr>
                <w:rFonts w:ascii="Century Gothic" w:hAnsi="Century Gothic"/>
              </w:rPr>
            </w:pPr>
            <w:r w:rsidRPr="004C5BEF">
              <w:rPr>
                <w:rFonts w:ascii="Century Gothic" w:hAnsi="Century Gothic"/>
              </w:rPr>
              <w:t>0</w:t>
            </w: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2A13C95" w14:textId="77777777" w:rsidR="00C35F1D" w:rsidRPr="004C5BEF" w:rsidRDefault="00C35F1D" w:rsidP="00B80A01">
            <w:pPr>
              <w:rPr>
                <w:rFonts w:ascii="Century Gothic" w:hAnsi="Century Gothic"/>
                <w:szCs w:val="22"/>
              </w:rPr>
            </w:pPr>
            <w:r w:rsidRPr="004C5BEF">
              <w:rPr>
                <w:rFonts w:ascii="Century Gothic" w:hAnsi="Century Gothic"/>
                <w:szCs w:val="22"/>
              </w:rPr>
              <w:t>About 33% of families are anticipated to reach self-sufficiency goals in year one</w:t>
            </w:r>
          </w:p>
        </w:tc>
        <w:tc>
          <w:tcPr>
            <w:tcW w:w="1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FB7707" w14:textId="1362A01D" w:rsidR="16F197AA" w:rsidRDefault="16F197AA" w:rsidP="6F807E50">
            <w:pPr>
              <w:rPr>
                <w:rFonts w:ascii="Century Gothic" w:eastAsia="Times New Roman" w:hAnsi="Century Gothic"/>
              </w:rPr>
            </w:pPr>
            <w:r w:rsidRPr="004C5BEF">
              <w:rPr>
                <w:rFonts w:ascii="Century Gothic" w:eastAsia="Times New Roman" w:hAnsi="Century Gothic"/>
              </w:rPr>
              <w:t>2024:</w:t>
            </w:r>
            <w:r w:rsidR="004B47E0">
              <w:rPr>
                <w:rFonts w:ascii="Century Gothic" w:eastAsia="Times New Roman" w:hAnsi="Century Gothic"/>
              </w:rPr>
              <w:t xml:space="preserve"> </w:t>
            </w:r>
            <w:r w:rsidR="00691D07">
              <w:rPr>
                <w:rFonts w:ascii="Century Gothic" w:eastAsia="Times New Roman" w:hAnsi="Century Gothic"/>
              </w:rPr>
              <w:t xml:space="preserve">20% </w:t>
            </w:r>
            <w:r w:rsidR="00BB7CB2" w:rsidRPr="005B2D92">
              <w:rPr>
                <w:rFonts w:ascii="Century Gothic" w:eastAsia="Times New Roman" w:hAnsi="Century Gothic"/>
              </w:rPr>
              <w:t xml:space="preserve">(5) of </w:t>
            </w:r>
            <w:proofErr w:type="gramStart"/>
            <w:r w:rsidR="00BB7CB2" w:rsidRPr="005B2D92">
              <w:rPr>
                <w:rFonts w:ascii="Century Gothic" w:eastAsia="Times New Roman" w:hAnsi="Century Gothic"/>
              </w:rPr>
              <w:t>the families</w:t>
            </w:r>
            <w:proofErr w:type="gramEnd"/>
            <w:r w:rsidR="00BB7CB2" w:rsidRPr="005B2D92">
              <w:rPr>
                <w:rFonts w:ascii="Century Gothic" w:eastAsia="Times New Roman" w:hAnsi="Century Gothic"/>
              </w:rPr>
              <w:t xml:space="preserve"> reached a self-sufficiency goal by gaining employment or better employment in year one</w:t>
            </w:r>
          </w:p>
          <w:p w14:paraId="1BBB88E0" w14:textId="77777777" w:rsidR="00BB7CB2" w:rsidRPr="005D79F4" w:rsidRDefault="00BB7CB2" w:rsidP="6F807E50">
            <w:pPr>
              <w:rPr>
                <w:rFonts w:ascii="Century Gothic" w:eastAsia="Times New Roman" w:hAnsi="Century Gothic"/>
              </w:rPr>
            </w:pPr>
          </w:p>
          <w:p w14:paraId="1E9DEF68" w14:textId="5A55B256" w:rsidR="00C35F1D" w:rsidRPr="005D79F4" w:rsidRDefault="17D61DB6" w:rsidP="0E6C54AB">
            <w:pPr>
              <w:rPr>
                <w:rFonts w:ascii="Century Gothic" w:eastAsia="Times New Roman" w:hAnsi="Century Gothic"/>
              </w:rPr>
            </w:pPr>
            <w:r w:rsidRPr="005D79F4">
              <w:rPr>
                <w:rFonts w:ascii="Century Gothic" w:eastAsia="Times New Roman" w:hAnsi="Century Gothic"/>
              </w:rPr>
              <w:t xml:space="preserve">2023:  </w:t>
            </w:r>
            <w:r w:rsidR="00BB7CB2">
              <w:rPr>
                <w:rFonts w:ascii="Century Gothic" w:eastAsia="Times New Roman" w:hAnsi="Century Gothic"/>
              </w:rPr>
              <w:t>20</w:t>
            </w:r>
            <w:r w:rsidR="5CED735B" w:rsidRPr="005D79F4">
              <w:rPr>
                <w:rFonts w:ascii="Century Gothic" w:eastAsia="Times New Roman" w:hAnsi="Century Gothic"/>
              </w:rPr>
              <w:t>% (</w:t>
            </w:r>
            <w:r w:rsidR="00BB7CB2">
              <w:rPr>
                <w:rFonts w:ascii="Century Gothic" w:eastAsia="Times New Roman" w:hAnsi="Century Gothic"/>
              </w:rPr>
              <w:t>3</w:t>
            </w:r>
            <w:r w:rsidR="5CED735B" w:rsidRPr="005D79F4">
              <w:rPr>
                <w:rFonts w:ascii="Century Gothic" w:eastAsia="Times New Roman" w:hAnsi="Century Gothic"/>
              </w:rPr>
              <w:t xml:space="preserve">) of the families </w:t>
            </w:r>
            <w:r w:rsidR="5F21568D" w:rsidRPr="005D79F4">
              <w:rPr>
                <w:rFonts w:ascii="Century Gothic" w:eastAsia="Times New Roman" w:hAnsi="Century Gothic"/>
              </w:rPr>
              <w:t xml:space="preserve">reached a self-sufficiency goal by </w:t>
            </w:r>
            <w:r w:rsidR="00B37982" w:rsidRPr="005D79F4">
              <w:rPr>
                <w:rFonts w:ascii="Century Gothic" w:eastAsia="Times New Roman" w:hAnsi="Century Gothic"/>
              </w:rPr>
              <w:t>gaining employment</w:t>
            </w:r>
            <w:r w:rsidR="5CED735B" w:rsidRPr="005D79F4">
              <w:rPr>
                <w:rFonts w:ascii="Century Gothic" w:eastAsia="Times New Roman" w:hAnsi="Century Gothic"/>
              </w:rPr>
              <w:t xml:space="preserve"> or better employment in year one</w:t>
            </w:r>
            <w:r w:rsidRPr="005D79F4">
              <w:rPr>
                <w:rFonts w:ascii="Century Gothic" w:eastAsia="Times New Roman" w:hAnsi="Century Gothic"/>
              </w:rPr>
              <w:t xml:space="preserve"> </w:t>
            </w:r>
          </w:p>
        </w:tc>
        <w:tc>
          <w:tcPr>
            <w:tcW w:w="164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2BF62301" w14:textId="3E185D87" w:rsidR="00C35F1D" w:rsidRPr="005D79F4" w:rsidRDefault="6BCF6D38" w:rsidP="46B3BF7C">
            <w:pPr>
              <w:rPr>
                <w:rFonts w:ascii="Century Gothic" w:hAnsi="Century Gothic"/>
              </w:rPr>
            </w:pPr>
            <w:r w:rsidRPr="005D79F4">
              <w:rPr>
                <w:rFonts w:ascii="Century Gothic" w:hAnsi="Century Gothic"/>
              </w:rPr>
              <w:t xml:space="preserve"> No</w:t>
            </w:r>
          </w:p>
        </w:tc>
      </w:tr>
    </w:tbl>
    <w:p w14:paraId="30ECB0DB" w14:textId="0A87FEFA" w:rsidR="00C35F1D" w:rsidRPr="005D79F4" w:rsidRDefault="592C477C" w:rsidP="4566E4F4">
      <w:pPr>
        <w:rPr>
          <w:rFonts w:ascii="Century Gothic" w:hAnsi="Century Gothic"/>
        </w:rPr>
      </w:pPr>
      <w:r w:rsidRPr="005D79F4">
        <w:rPr>
          <w:rFonts w:ascii="Century Gothic" w:hAnsi="Century Gothic"/>
        </w:rPr>
        <w:t xml:space="preserve">  </w:t>
      </w:r>
    </w:p>
    <w:tbl>
      <w:tblPr>
        <w:tblStyle w:val="TableGrid7"/>
        <w:tblW w:w="0" w:type="auto"/>
        <w:tblLook w:val="04A0" w:firstRow="1" w:lastRow="0" w:firstColumn="1" w:lastColumn="0" w:noHBand="0" w:noVBand="1"/>
      </w:tblPr>
      <w:tblGrid>
        <w:gridCol w:w="2699"/>
        <w:gridCol w:w="1741"/>
        <w:gridCol w:w="1870"/>
        <w:gridCol w:w="1970"/>
        <w:gridCol w:w="1646"/>
      </w:tblGrid>
      <w:tr w:rsidR="00C35F1D" w:rsidRPr="00367F45" w14:paraId="376BA5CB" w14:textId="77777777" w:rsidTr="6F807E50">
        <w:trPr>
          <w:trHeight w:val="400"/>
        </w:trPr>
        <w:tc>
          <w:tcPr>
            <w:tcW w:w="9926" w:type="dxa"/>
            <w:gridSpan w:val="5"/>
            <w:tcBorders>
              <w:top w:val="nil"/>
              <w:left w:val="nil"/>
              <w:bottom w:val="single" w:sz="24" w:space="0" w:color="B5333C" w:themeColor="accent2"/>
              <w:right w:val="nil"/>
            </w:tcBorders>
            <w:shd w:val="clear" w:color="auto" w:fill="808080" w:themeFill="background1" w:themeFillShade="80"/>
          </w:tcPr>
          <w:p w14:paraId="03498B24" w14:textId="77777777" w:rsidR="00C35F1D" w:rsidRPr="005D79F4" w:rsidRDefault="00C35F1D" w:rsidP="00B80A01">
            <w:pPr>
              <w:jc w:val="center"/>
              <w:rPr>
                <w:rFonts w:ascii="Century Gothic" w:hAnsi="Century Gothic"/>
                <w:b/>
                <w:szCs w:val="22"/>
              </w:rPr>
            </w:pPr>
            <w:r w:rsidRPr="005D79F4">
              <w:rPr>
                <w:rFonts w:ascii="Century Gothic" w:hAnsi="Century Gothic"/>
                <w:b/>
                <w:szCs w:val="22"/>
              </w:rPr>
              <w:t>HC#1: Additional units of housing made available</w:t>
            </w:r>
          </w:p>
        </w:tc>
      </w:tr>
      <w:tr w:rsidR="00C35F1D" w:rsidRPr="00367F45" w14:paraId="1FCD99A3" w14:textId="77777777" w:rsidTr="6F807E50">
        <w:trPr>
          <w:trHeight w:val="340"/>
        </w:trPr>
        <w:tc>
          <w:tcPr>
            <w:tcW w:w="269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7C41BB0" w14:textId="77777777" w:rsidR="00C35F1D" w:rsidRPr="005D79F4" w:rsidRDefault="00C35F1D" w:rsidP="00B80A01">
            <w:pPr>
              <w:jc w:val="center"/>
              <w:rPr>
                <w:rFonts w:ascii="Century Gothic" w:hAnsi="Century Gothic"/>
                <w:b/>
                <w:szCs w:val="22"/>
              </w:rPr>
            </w:pPr>
            <w:r w:rsidRPr="005D79F4">
              <w:rPr>
                <w:rFonts w:ascii="Century Gothic" w:hAnsi="Century Gothic"/>
                <w:b/>
                <w:szCs w:val="22"/>
              </w:rPr>
              <w:t>Unit of Measurement</w:t>
            </w:r>
          </w:p>
        </w:tc>
        <w:tc>
          <w:tcPr>
            <w:tcW w:w="1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79670F98" w14:textId="77777777" w:rsidR="00C35F1D" w:rsidRPr="005D79F4" w:rsidRDefault="00C35F1D" w:rsidP="00B80A01">
            <w:pPr>
              <w:jc w:val="center"/>
              <w:rPr>
                <w:rFonts w:ascii="Century Gothic" w:hAnsi="Century Gothic"/>
                <w:b/>
                <w:szCs w:val="22"/>
              </w:rPr>
            </w:pPr>
            <w:r w:rsidRPr="005D79F4">
              <w:rPr>
                <w:rFonts w:ascii="Century Gothic" w:hAnsi="Century Gothic"/>
                <w:b/>
                <w:szCs w:val="22"/>
              </w:rPr>
              <w:t>Baseline</w:t>
            </w: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01CE2033" w14:textId="77777777" w:rsidR="00C35F1D" w:rsidRPr="005D79F4" w:rsidRDefault="00C35F1D" w:rsidP="00B80A01">
            <w:pPr>
              <w:jc w:val="center"/>
              <w:rPr>
                <w:rFonts w:ascii="Century Gothic" w:hAnsi="Century Gothic"/>
                <w:b/>
                <w:szCs w:val="22"/>
              </w:rPr>
            </w:pPr>
            <w:r w:rsidRPr="005D79F4">
              <w:rPr>
                <w:rFonts w:ascii="Century Gothic" w:hAnsi="Century Gothic"/>
                <w:b/>
                <w:szCs w:val="22"/>
              </w:rPr>
              <w:t>Benchmark</w:t>
            </w:r>
          </w:p>
        </w:tc>
        <w:tc>
          <w:tcPr>
            <w:tcW w:w="1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5BB6003E" w14:textId="77777777" w:rsidR="00C35F1D" w:rsidRPr="005D79F4" w:rsidRDefault="00C35F1D" w:rsidP="00B80A01">
            <w:pPr>
              <w:jc w:val="center"/>
              <w:rPr>
                <w:rFonts w:ascii="Century Gothic" w:hAnsi="Century Gothic"/>
                <w:b/>
                <w:szCs w:val="22"/>
              </w:rPr>
            </w:pPr>
            <w:r w:rsidRPr="005D79F4">
              <w:rPr>
                <w:rFonts w:ascii="Century Gothic" w:hAnsi="Century Gothic"/>
                <w:b/>
                <w:szCs w:val="22"/>
              </w:rPr>
              <w:t>Outcome</w:t>
            </w:r>
          </w:p>
        </w:tc>
        <w:tc>
          <w:tcPr>
            <w:tcW w:w="164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703441CF" w14:textId="77777777" w:rsidR="00C35F1D" w:rsidRPr="005D79F4" w:rsidRDefault="00C35F1D" w:rsidP="00B80A01">
            <w:pPr>
              <w:jc w:val="center"/>
              <w:rPr>
                <w:rFonts w:ascii="Century Gothic" w:hAnsi="Century Gothic"/>
                <w:b/>
                <w:szCs w:val="22"/>
              </w:rPr>
            </w:pPr>
            <w:r w:rsidRPr="005D79F4">
              <w:rPr>
                <w:rFonts w:ascii="Century Gothic" w:hAnsi="Century Gothic"/>
                <w:b/>
                <w:szCs w:val="22"/>
              </w:rPr>
              <w:t>Benchmark Achieved?</w:t>
            </w:r>
          </w:p>
        </w:tc>
      </w:tr>
      <w:tr w:rsidR="00C35F1D" w:rsidRPr="00367F45" w14:paraId="1EAF481F" w14:textId="77777777" w:rsidTr="6F807E50">
        <w:trPr>
          <w:trHeight w:val="1035"/>
        </w:trPr>
        <w:tc>
          <w:tcPr>
            <w:tcW w:w="269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2D8BCA5F" w14:textId="77777777" w:rsidR="00C35F1D" w:rsidRPr="005D79F4" w:rsidRDefault="00C35F1D" w:rsidP="00B80A01">
            <w:pPr>
              <w:rPr>
                <w:rFonts w:ascii="Century Gothic" w:hAnsi="Century Gothic"/>
                <w:szCs w:val="22"/>
              </w:rPr>
            </w:pPr>
            <w:r w:rsidRPr="005D79F4">
              <w:rPr>
                <w:rFonts w:ascii="Century Gothic" w:hAnsi="Century Gothic"/>
                <w:szCs w:val="22"/>
              </w:rPr>
              <w:t xml:space="preserve">Housing units </w:t>
            </w:r>
          </w:p>
        </w:tc>
        <w:tc>
          <w:tcPr>
            <w:tcW w:w="1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6DF7547" w14:textId="77777777" w:rsidR="00C35F1D" w:rsidRPr="005D79F4" w:rsidRDefault="00C35F1D" w:rsidP="00B80A01">
            <w:pPr>
              <w:rPr>
                <w:rFonts w:ascii="Century Gothic" w:hAnsi="Century Gothic"/>
                <w:szCs w:val="22"/>
              </w:rPr>
            </w:pPr>
            <w:r w:rsidRPr="005D79F4">
              <w:rPr>
                <w:rFonts w:ascii="Century Gothic" w:hAnsi="Century Gothic"/>
                <w:szCs w:val="22"/>
              </w:rPr>
              <w:t>At baseline, 0 units of term limited nontraditional housing are available.</w:t>
            </w: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A30BAC" w14:textId="77777777" w:rsidR="00C35F1D" w:rsidRPr="005D79F4" w:rsidRDefault="00C35F1D" w:rsidP="00B80A01">
            <w:pPr>
              <w:rPr>
                <w:rFonts w:ascii="Century Gothic" w:hAnsi="Century Gothic"/>
                <w:szCs w:val="22"/>
              </w:rPr>
            </w:pPr>
            <w:r w:rsidRPr="005D79F4">
              <w:rPr>
                <w:rFonts w:ascii="Century Gothic" w:hAnsi="Century Gothic"/>
                <w:szCs w:val="22"/>
              </w:rPr>
              <w:t>By year one, 18 new units of term limited nontraditional housing units will be available</w:t>
            </w:r>
          </w:p>
        </w:tc>
        <w:tc>
          <w:tcPr>
            <w:tcW w:w="1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85777D" w14:textId="69D5F13D" w:rsidR="57C49549" w:rsidRPr="005D79F4" w:rsidRDefault="57C49549" w:rsidP="6F807E50">
            <w:pPr>
              <w:rPr>
                <w:rFonts w:ascii="Century Gothic" w:hAnsi="Century Gothic"/>
              </w:rPr>
            </w:pPr>
            <w:r w:rsidRPr="005D79F4">
              <w:rPr>
                <w:rFonts w:ascii="Century Gothic" w:hAnsi="Century Gothic"/>
              </w:rPr>
              <w:t>2024:</w:t>
            </w:r>
            <w:r w:rsidR="0044459A">
              <w:rPr>
                <w:rFonts w:ascii="Century Gothic" w:hAnsi="Century Gothic"/>
              </w:rPr>
              <w:t xml:space="preserve"> 18</w:t>
            </w:r>
          </w:p>
          <w:p w14:paraId="7B038804" w14:textId="4641213D" w:rsidR="00C35F1D" w:rsidRPr="005D79F4" w:rsidRDefault="57C49549" w:rsidP="39F0821C">
            <w:pPr>
              <w:rPr>
                <w:rFonts w:ascii="Century Gothic" w:hAnsi="Century Gothic"/>
              </w:rPr>
            </w:pPr>
            <w:r w:rsidRPr="005D79F4">
              <w:rPr>
                <w:rFonts w:ascii="Century Gothic" w:hAnsi="Century Gothic"/>
              </w:rPr>
              <w:t>2023:</w:t>
            </w:r>
            <w:r w:rsidR="004263D2">
              <w:rPr>
                <w:rFonts w:ascii="Century Gothic" w:hAnsi="Century Gothic"/>
              </w:rPr>
              <w:t xml:space="preserve"> </w:t>
            </w:r>
            <w:r w:rsidR="00AF213C">
              <w:rPr>
                <w:rFonts w:ascii="Century Gothic" w:hAnsi="Century Gothic"/>
              </w:rPr>
              <w:t>18</w:t>
            </w:r>
          </w:p>
        </w:tc>
        <w:tc>
          <w:tcPr>
            <w:tcW w:w="164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51860D0B" w14:textId="75EAFC9B" w:rsidR="00C35F1D" w:rsidRPr="005D79F4" w:rsidRDefault="7F63AEFB" w:rsidP="00B80A01">
            <w:pPr>
              <w:rPr>
                <w:rFonts w:ascii="Century Gothic" w:hAnsi="Century Gothic"/>
              </w:rPr>
            </w:pPr>
            <w:r w:rsidRPr="005D79F4">
              <w:rPr>
                <w:rFonts w:ascii="Century Gothic" w:hAnsi="Century Gothic"/>
              </w:rPr>
              <w:t xml:space="preserve">Yes </w:t>
            </w:r>
          </w:p>
        </w:tc>
      </w:tr>
    </w:tbl>
    <w:p w14:paraId="456EA108" w14:textId="77777777" w:rsidR="00C35F1D" w:rsidRPr="005D79F4" w:rsidRDefault="00C35F1D" w:rsidP="00C35F1D">
      <w:pPr>
        <w:pStyle w:val="Heading4"/>
        <w:rPr>
          <w:rStyle w:val="SubtleEmphasis"/>
          <w:rFonts w:ascii="Century Gothic" w:hAnsi="Century Gothic"/>
          <w:color w:val="808080" w:themeColor="background1" w:themeShade="80"/>
          <w:sz w:val="22"/>
        </w:rPr>
      </w:pPr>
      <w:r w:rsidRPr="005D79F4">
        <w:rPr>
          <w:rStyle w:val="SubtleEmphasis"/>
          <w:rFonts w:ascii="Century Gothic" w:hAnsi="Century Gothic" w:cs="Times New Roman"/>
          <w:color w:val="808080" w:themeColor="background1" w:themeShade="80"/>
          <w:sz w:val="22"/>
        </w:rPr>
        <w:t>Actual Non-Significant Changes</w:t>
      </w:r>
    </w:p>
    <w:p w14:paraId="40248C98" w14:textId="77777777" w:rsidR="00C35F1D" w:rsidRPr="005D79F4" w:rsidRDefault="00C35F1D" w:rsidP="00C35F1D">
      <w:pPr>
        <w:rPr>
          <w:rFonts w:ascii="Century Gothic" w:hAnsi="Century Gothic"/>
        </w:rPr>
      </w:pPr>
      <w:r w:rsidRPr="005D79F4">
        <w:rPr>
          <w:rFonts w:ascii="Century Gothic" w:hAnsi="Century Gothic"/>
        </w:rPr>
        <w:t>None</w:t>
      </w:r>
    </w:p>
    <w:p w14:paraId="55327125" w14:textId="77777777" w:rsidR="00C35F1D" w:rsidRPr="005D79F4" w:rsidRDefault="00C35F1D" w:rsidP="00C35F1D">
      <w:pPr>
        <w:rPr>
          <w:rFonts w:ascii="Century Gothic" w:hAnsi="Century Gothic"/>
        </w:rPr>
      </w:pPr>
    </w:p>
    <w:p w14:paraId="2CD494A8" w14:textId="77777777" w:rsidR="00C35F1D" w:rsidRPr="005D79F4" w:rsidRDefault="00C35F1D" w:rsidP="00C35F1D">
      <w:pPr>
        <w:rPr>
          <w:rFonts w:ascii="Century Gothic" w:hAnsi="Century Gothic"/>
        </w:rPr>
      </w:pPr>
    </w:p>
    <w:p w14:paraId="7257AD45" w14:textId="77777777" w:rsidR="00C35F1D" w:rsidRPr="005D79F4" w:rsidRDefault="00C35F1D" w:rsidP="00C35F1D">
      <w:pPr>
        <w:rPr>
          <w:rStyle w:val="SubtleEmphasis"/>
          <w:rFonts w:ascii="Century Gothic" w:eastAsiaTheme="majorEastAsia" w:hAnsi="Century Gothic"/>
          <w:b/>
          <w:bCs/>
          <w:color w:val="808080" w:themeColor="background1" w:themeShade="80"/>
          <w:sz w:val="22"/>
          <w:szCs w:val="22"/>
        </w:rPr>
      </w:pPr>
      <w:r w:rsidRPr="005D79F4">
        <w:rPr>
          <w:rStyle w:val="SubtleEmphasis"/>
          <w:rFonts w:ascii="Century Gothic" w:eastAsiaTheme="majorEastAsia" w:hAnsi="Century Gothic"/>
          <w:b/>
          <w:bCs/>
          <w:color w:val="808080" w:themeColor="background1" w:themeShade="80"/>
          <w:sz w:val="22"/>
          <w:szCs w:val="22"/>
        </w:rPr>
        <w:t>Actual Significant Changes</w:t>
      </w:r>
    </w:p>
    <w:p w14:paraId="289F31C5" w14:textId="77777777" w:rsidR="00C35F1D" w:rsidRPr="005D79F4" w:rsidRDefault="00C35F1D" w:rsidP="00C35F1D">
      <w:pPr>
        <w:rPr>
          <w:rFonts w:ascii="Century Gothic" w:hAnsi="Century Gothic"/>
        </w:rPr>
      </w:pPr>
      <w:r w:rsidRPr="005D79F4">
        <w:rPr>
          <w:rFonts w:ascii="Century Gothic" w:hAnsi="Century Gothic"/>
        </w:rPr>
        <w:t>None</w:t>
      </w:r>
    </w:p>
    <w:bookmarkEnd w:id="124"/>
    <w:p w14:paraId="15E4F661" w14:textId="019EED66" w:rsidR="0001231C" w:rsidRPr="005D79F4" w:rsidRDefault="0001231C" w:rsidP="00425AF3">
      <w:pPr>
        <w:rPr>
          <w:rFonts w:ascii="Century Gothic" w:hAnsi="Century Gothic"/>
          <w:b/>
        </w:rPr>
      </w:pPr>
    </w:p>
    <w:p w14:paraId="7070F8E2" w14:textId="5116A78F" w:rsidR="00ED79CA" w:rsidRPr="003317E0" w:rsidRDefault="002D4C19" w:rsidP="003317E0">
      <w:pPr>
        <w:rPr>
          <w:rFonts w:ascii="Century Gothic" w:hAnsi="Century Gothic"/>
          <w:b/>
          <w:bCs/>
        </w:rPr>
      </w:pPr>
      <w:r>
        <w:rPr>
          <w:rFonts w:ascii="Century Gothic" w:hAnsi="Century Gothic"/>
          <w:b/>
        </w:rPr>
        <w:br w:type="page"/>
      </w:r>
      <w:bookmarkStart w:id="125" w:name="_Toc88648450"/>
      <w:bookmarkStart w:id="126" w:name="_Hlk112339660"/>
      <w:r w:rsidR="00ED79CA" w:rsidRPr="003317E0">
        <w:rPr>
          <w:rFonts w:ascii="Century Gothic" w:hAnsi="Century Gothic"/>
          <w:b/>
          <w:bCs/>
        </w:rPr>
        <w:lastRenderedPageBreak/>
        <w:t>Initiative 1.23 - St Luke’s Whalley Avenue Development</w:t>
      </w:r>
      <w:bookmarkEnd w:id="125"/>
    </w:p>
    <w:p w14:paraId="663D4259" w14:textId="0E253E5C" w:rsidR="00EA1DB3" w:rsidRPr="00FD7489" w:rsidRDefault="00DE6A54" w:rsidP="46B3BF7C">
      <w:pPr>
        <w:pStyle w:val="Subheading"/>
        <w:rPr>
          <w:rFonts w:ascii="Century Gothic" w:eastAsia="Times New Roman" w:hAnsi="Century Gothic" w:cs="Times New Roman"/>
          <w:b w:val="0"/>
          <w:color w:val="auto"/>
          <w:sz w:val="22"/>
          <w:szCs w:val="22"/>
        </w:rPr>
      </w:pPr>
      <w:r w:rsidRPr="00FD7489">
        <w:rPr>
          <w:rFonts w:ascii="Century Gothic" w:hAnsi="Century Gothic"/>
          <w:noProof/>
        </w:rPr>
        <mc:AlternateContent>
          <mc:Choice Requires="wps">
            <w:drawing>
              <wp:anchor distT="0" distB="0" distL="114300" distR="114300" simplePos="0" relativeHeight="251658265" behindDoc="0" locked="0" layoutInCell="1" allowOverlap="1" wp14:anchorId="19A2BFD2" wp14:editId="16EC61B0">
                <wp:simplePos x="0" y="0"/>
                <wp:positionH relativeFrom="margin">
                  <wp:posOffset>5211445</wp:posOffset>
                </wp:positionH>
                <wp:positionV relativeFrom="paragraph">
                  <wp:posOffset>152400</wp:posOffset>
                </wp:positionV>
                <wp:extent cx="1318260" cy="304800"/>
                <wp:effectExtent l="0" t="0" r="0" b="0"/>
                <wp:wrapNone/>
                <wp:docPr id="457"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304800"/>
                        </a:xfrm>
                        <a:prstGeom prst="roundRect">
                          <a:avLst/>
                        </a:prstGeom>
                        <a:solidFill>
                          <a:srgbClr val="B5333C"/>
                        </a:solidFill>
                        <a:ln w="12700" cap="flat" cmpd="sng" algn="ctr">
                          <a:solidFill>
                            <a:sysClr val="window" lastClr="FFFFFF"/>
                          </a:solidFill>
                          <a:prstDash val="solid"/>
                          <a:miter lim="800000"/>
                        </a:ln>
                        <a:effectLst/>
                      </wps:spPr>
                      <wps:txbx>
                        <w:txbxContent>
                          <w:p w14:paraId="15ACFDB5" w14:textId="77777777" w:rsidR="00F55EC8" w:rsidRPr="004C470A" w:rsidRDefault="00F55EC8" w:rsidP="00F55EC8">
                            <w:pPr>
                              <w:jc w:val="center"/>
                              <w:rPr>
                                <w:b/>
                                <w:color w:val="FFFFFF" w:themeColor="background1"/>
                                <w:szCs w:val="20"/>
                              </w:rPr>
                            </w:pPr>
                            <w:r w:rsidRPr="004C470A">
                              <w:rPr>
                                <w:b/>
                                <w:color w:val="FFFFFF" w:themeColor="background1"/>
                                <w:szCs w:val="20"/>
                              </w:rPr>
                              <w:t>Housing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A2BFD2" id="Rectangle: Rounded Corners 84" o:spid="_x0000_s1054" style="position:absolute;margin-left:410.35pt;margin-top:12pt;width:103.8pt;height:24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" fillcolor="#b5333c" strokecolor="window" strokeweight="1pt">
                <v:stroke joinstyle="miter"/>
                <v:path arrowok="t"/>
                <v:textbox>
                  <w:txbxContent>
                    <w:p w14:paraId="15ACFDB5" w14:textId="77777777" w:rsidR="00F55EC8" w:rsidRPr="004C470A" w:rsidRDefault="00F55EC8" w:rsidP="00F55EC8">
                      <w:pPr>
                        <w:jc w:val="center"/>
                        <w:rPr>
                          <w:b/>
                          <w:color w:val="FFFFFF" w:themeColor="background1"/>
                          <w:szCs w:val="20"/>
                        </w:rPr>
                      </w:pPr>
                      <w:r w:rsidRPr="004C470A">
                        <w:rPr>
                          <w:b/>
                          <w:color w:val="FFFFFF" w:themeColor="background1"/>
                          <w:szCs w:val="20"/>
                        </w:rPr>
                        <w:t>Housing Choice</w:t>
                      </w:r>
                    </w:p>
                  </w:txbxContent>
                </v:textbox>
                <w10:wrap anchorx="margin"/>
              </v:roundrect>
            </w:pict>
          </mc:Fallback>
        </mc:AlternateContent>
      </w:r>
      <w:r w:rsidR="0B3E4D87" w:rsidRPr="00FD7489">
        <w:rPr>
          <w:rFonts w:ascii="Century Gothic" w:eastAsia="Times New Roman" w:hAnsi="Century Gothic" w:cs="Times New Roman"/>
          <w:b w:val="0"/>
          <w:color w:val="auto"/>
          <w:sz w:val="22"/>
          <w:szCs w:val="22"/>
        </w:rPr>
        <w:t xml:space="preserve">Approved and </w:t>
      </w:r>
      <w:r w:rsidR="00AF5128" w:rsidRPr="00FD7489">
        <w:rPr>
          <w:rFonts w:ascii="Century Gothic" w:eastAsia="Times New Roman" w:hAnsi="Century Gothic" w:cs="Times New Roman"/>
          <w:b w:val="0"/>
          <w:color w:val="auto"/>
          <w:sz w:val="22"/>
          <w:szCs w:val="22"/>
        </w:rPr>
        <w:t>implemented</w:t>
      </w:r>
      <w:r w:rsidR="0B3E4D87" w:rsidRPr="00FD7489">
        <w:rPr>
          <w:rFonts w:ascii="Century Gothic" w:eastAsia="Times New Roman" w:hAnsi="Century Gothic" w:cs="Times New Roman"/>
          <w:b w:val="0"/>
          <w:color w:val="auto"/>
          <w:sz w:val="22"/>
          <w:szCs w:val="22"/>
        </w:rPr>
        <w:t xml:space="preserve"> in FY22</w:t>
      </w:r>
    </w:p>
    <w:p w14:paraId="3908EE4A" w14:textId="19A451BB" w:rsidR="00ED79CA" w:rsidRPr="00FD7489" w:rsidRDefault="00ED79CA" w:rsidP="00ED79CA">
      <w:pPr>
        <w:ind w:firstLine="576"/>
        <w:rPr>
          <w:rFonts w:ascii="Century Gothic" w:hAnsi="Century Gothic"/>
          <w:b/>
          <w:bCs/>
          <w:szCs w:val="22"/>
        </w:rPr>
      </w:pPr>
    </w:p>
    <w:p w14:paraId="108235E6" w14:textId="549421FB" w:rsidR="00476DEB" w:rsidRPr="00FD7489" w:rsidRDefault="723AA27E" w:rsidP="0E6C54AB">
      <w:pPr>
        <w:pStyle w:val="Heading4"/>
        <w:rPr>
          <w:rStyle w:val="SubtleEmphasis"/>
          <w:rFonts w:ascii="Century Gothic" w:hAnsi="Century Gothic" w:cs="Times New Roman"/>
          <w:color w:val="808080" w:themeColor="background1" w:themeShade="80"/>
          <w:sz w:val="22"/>
        </w:rPr>
      </w:pPr>
      <w:r w:rsidRPr="00FD7489">
        <w:rPr>
          <w:rStyle w:val="SubtleEmphasis"/>
          <w:rFonts w:ascii="Century Gothic" w:hAnsi="Century Gothic" w:cs="Times New Roman"/>
          <w:color w:val="808080" w:themeColor="background1" w:themeShade="80"/>
          <w:sz w:val="22"/>
        </w:rPr>
        <w:t>Description</w:t>
      </w:r>
    </w:p>
    <w:p w14:paraId="6E7943D0" w14:textId="6476ABEC" w:rsidR="00ED79CA" w:rsidRPr="00FD7489" w:rsidRDefault="003FD06B" w:rsidP="00720A17">
      <w:pPr>
        <w:rPr>
          <w:rFonts w:ascii="Century Gothic" w:hAnsi="Century Gothic"/>
        </w:rPr>
      </w:pPr>
      <w:r w:rsidRPr="00FD7489">
        <w:rPr>
          <w:rFonts w:ascii="Century Gothic" w:hAnsi="Century Gothic"/>
        </w:rPr>
        <w:t>ECC/HANH through its instrumentality The Glendower Group, seeks to partner with a community</w:t>
      </w:r>
      <w:r w:rsidR="07531541" w:rsidRPr="00FD7489">
        <w:rPr>
          <w:rFonts w:ascii="Century Gothic" w:hAnsi="Century Gothic"/>
        </w:rPr>
        <w:t>-</w:t>
      </w:r>
      <w:r w:rsidRPr="00FD7489">
        <w:rPr>
          <w:rFonts w:ascii="Century Gothic" w:hAnsi="Century Gothic"/>
        </w:rPr>
        <w:t>based developer, St. Luke’s Development Corporation to redevelop</w:t>
      </w:r>
      <w:r w:rsidR="56B4CC7C" w:rsidRPr="00FD7489">
        <w:rPr>
          <w:rFonts w:ascii="Century Gothic" w:hAnsi="Century Gothic"/>
        </w:rPr>
        <w:t>,</w:t>
      </w:r>
      <w:r w:rsidRPr="00FD7489">
        <w:rPr>
          <w:rFonts w:ascii="Century Gothic" w:hAnsi="Century Gothic"/>
        </w:rPr>
        <w:t xml:space="preserve"> multiple adjacent commercial parcels along Whalley Avenue just walking distance from downtown New Haven and Yale University into a premier mixed-use development including commercial/retail space and market and affordable units. Currently under design, the project plans will provide for a comprehensive transformation of the corner of Whalley Avenue and Sperry Streets in the city of New Haven. </w:t>
      </w:r>
    </w:p>
    <w:p w14:paraId="3D2B756E" w14:textId="77777777" w:rsidR="00ED79CA" w:rsidRPr="00FD7489" w:rsidRDefault="00ED79CA" w:rsidP="00ED79CA">
      <w:pPr>
        <w:pStyle w:val="ListParagraph"/>
        <w:rPr>
          <w:rFonts w:ascii="Century Gothic" w:hAnsi="Century Gothic"/>
          <w:szCs w:val="22"/>
        </w:rPr>
      </w:pPr>
    </w:p>
    <w:p w14:paraId="140D93C2" w14:textId="2350BEC4" w:rsidR="00ED79CA" w:rsidRPr="00FD7489" w:rsidRDefault="74E72C85" w:rsidP="00720A17">
      <w:pPr>
        <w:rPr>
          <w:rFonts w:ascii="Century Gothic" w:hAnsi="Century Gothic"/>
        </w:rPr>
      </w:pPr>
      <w:r w:rsidRPr="00FD7489">
        <w:rPr>
          <w:rFonts w:ascii="Century Gothic" w:hAnsi="Century Gothic"/>
        </w:rPr>
        <w:t xml:space="preserve">The project’s parcels are in a newly designated “opportunity zone,” where certain investments will be eligible for preferential federal tax treatment. The Project shall consist of </w:t>
      </w:r>
      <w:r w:rsidR="4A288FD3" w:rsidRPr="00FD7489">
        <w:rPr>
          <w:rFonts w:ascii="Century Gothic" w:hAnsi="Century Gothic"/>
        </w:rPr>
        <w:t>up to</w:t>
      </w:r>
      <w:r w:rsidRPr="00FD7489">
        <w:rPr>
          <w:rFonts w:ascii="Century Gothic" w:hAnsi="Century Gothic"/>
        </w:rPr>
        <w:t xml:space="preserve"> </w:t>
      </w:r>
      <w:r w:rsidR="6269A561" w:rsidRPr="00FD7489">
        <w:rPr>
          <w:rFonts w:ascii="Century Gothic" w:hAnsi="Century Gothic"/>
        </w:rPr>
        <w:t>forty-nine</w:t>
      </w:r>
      <w:r w:rsidR="5BE2D654" w:rsidRPr="00FD7489">
        <w:rPr>
          <w:rFonts w:ascii="Century Gothic" w:hAnsi="Century Gothic"/>
        </w:rPr>
        <w:t xml:space="preserve"> (</w:t>
      </w:r>
      <w:r w:rsidR="575EA7CD" w:rsidRPr="00FD7489">
        <w:rPr>
          <w:rFonts w:ascii="Century Gothic" w:hAnsi="Century Gothic"/>
        </w:rPr>
        <w:t>49</w:t>
      </w:r>
      <w:r w:rsidR="5BE2D654" w:rsidRPr="00FD7489">
        <w:rPr>
          <w:rFonts w:ascii="Century Gothic" w:hAnsi="Century Gothic"/>
        </w:rPr>
        <w:t>)</w:t>
      </w:r>
      <w:r w:rsidR="063D506F" w:rsidRPr="00FD7489">
        <w:rPr>
          <w:rFonts w:ascii="Century Gothic" w:hAnsi="Century Gothic"/>
        </w:rPr>
        <w:t xml:space="preserve"> </w:t>
      </w:r>
      <w:r w:rsidRPr="00FD7489">
        <w:rPr>
          <w:rFonts w:ascii="Century Gothic" w:hAnsi="Century Gothic"/>
        </w:rPr>
        <w:t>residential units and appurtenant commercial or retail space. The occupancy and income requirements shall conform to the requirements for “qualified residential projects” under section 142 of the Internal Revenue Code as well as the requirements of any other funding program.</w:t>
      </w:r>
      <w:r w:rsidR="6DE821EF" w:rsidRPr="00FD7489">
        <w:rPr>
          <w:rFonts w:ascii="Century Gothic" w:hAnsi="Century Gothic"/>
        </w:rPr>
        <w:t xml:space="preserve">  The St Luke’s Whalley Avenue Development Project will include the demolition of the commercial structures located at 117-125 and 129 Whalley Ave. and raze a multi-family building over ground floor commercial/retail space with a lower-level buildout for community access and use.</w:t>
      </w:r>
    </w:p>
    <w:p w14:paraId="4744C1F8" w14:textId="73D134D1" w:rsidR="00ED79CA" w:rsidRPr="00FD7489" w:rsidRDefault="00ED79CA" w:rsidP="3C3EEDA0">
      <w:pPr>
        <w:pStyle w:val="ListParagraph"/>
        <w:rPr>
          <w:rFonts w:ascii="Century Gothic" w:eastAsia="MS PGothic" w:hAnsi="Century Gothic"/>
          <w:szCs w:val="22"/>
        </w:rPr>
      </w:pPr>
    </w:p>
    <w:p w14:paraId="146D7D3D" w14:textId="25706DBF" w:rsidR="00ED79CA" w:rsidRPr="00FD7489" w:rsidRDefault="2BA3FC04" w:rsidP="00720A17">
      <w:pPr>
        <w:rPr>
          <w:rFonts w:ascii="Century Gothic" w:hAnsi="Century Gothic"/>
        </w:rPr>
      </w:pPr>
      <w:r w:rsidRPr="00FD7489">
        <w:rPr>
          <w:rFonts w:ascii="Century Gothic" w:hAnsi="Century Gothic"/>
        </w:rPr>
        <w:t>St. Luke’s Development Corporation (SLDC) has acquired parcels located at 117-125 &amp; 129 Whalley, 10-12 Dickerman, and 34-36 Sperry. SLDC requires certain predevelopment and development services in connection with the development of the Project, has determined a need for a co-developer to assist with the development of the Project, and desires to work with Glendower as co-developer to undertake the Project.</w:t>
      </w:r>
    </w:p>
    <w:p w14:paraId="70DB53B2" w14:textId="77777777" w:rsidR="00720A17" w:rsidRPr="00FD7489" w:rsidRDefault="00720A17" w:rsidP="00720A17">
      <w:pPr>
        <w:rPr>
          <w:rFonts w:ascii="Century Gothic" w:hAnsi="Century Gothic"/>
        </w:rPr>
      </w:pPr>
    </w:p>
    <w:p w14:paraId="531EB4CC" w14:textId="12B93D1E" w:rsidR="00ED79CA" w:rsidRPr="00FD7489" w:rsidRDefault="34C5CA8C" w:rsidP="00720A17">
      <w:pPr>
        <w:rPr>
          <w:rFonts w:ascii="Century Gothic" w:hAnsi="Century Gothic"/>
        </w:rPr>
      </w:pPr>
      <w:r w:rsidRPr="00FD7489">
        <w:rPr>
          <w:rFonts w:ascii="Century Gothic" w:hAnsi="Century Gothic"/>
        </w:rPr>
        <w:t xml:space="preserve">The St Luke’s Whalley Avenue Development Project will redevelop multiple adjacent commercial parcels along Whalley Avenue just walking distance from downtown New Haven and Yale University into a premier mixed-use development including commercial/retail space and market and affordable units. </w:t>
      </w:r>
    </w:p>
    <w:p w14:paraId="45B067A8" w14:textId="77777777" w:rsidR="00720A17" w:rsidRPr="00FD7489" w:rsidRDefault="00720A17" w:rsidP="00720A17">
      <w:pPr>
        <w:rPr>
          <w:rFonts w:ascii="Century Gothic" w:hAnsi="Century Gothic"/>
        </w:rPr>
      </w:pPr>
    </w:p>
    <w:p w14:paraId="5C0AE753" w14:textId="18E93559" w:rsidR="00ED79CA" w:rsidRPr="00FD7489" w:rsidRDefault="610C6BB1" w:rsidP="00720A17">
      <w:pPr>
        <w:rPr>
          <w:rFonts w:ascii="Century Gothic" w:hAnsi="Century Gothic"/>
        </w:rPr>
      </w:pPr>
      <w:r w:rsidRPr="00FD7489">
        <w:rPr>
          <w:rFonts w:ascii="Century Gothic" w:hAnsi="Century Gothic"/>
        </w:rPr>
        <w:t xml:space="preserve">In 1997, congregants of St. Luke’s Episcopal Church founded St. Luke’s Development Corporation (SLDC), a not-for-profit corporation </w:t>
      </w:r>
      <w:proofErr w:type="gramStart"/>
      <w:r w:rsidRPr="00FD7489">
        <w:rPr>
          <w:rFonts w:ascii="Century Gothic" w:hAnsi="Century Gothic"/>
        </w:rPr>
        <w:t>in order to</w:t>
      </w:r>
      <w:proofErr w:type="gramEnd"/>
      <w:r w:rsidRPr="00FD7489">
        <w:rPr>
          <w:rFonts w:ascii="Century Gothic" w:hAnsi="Century Gothic"/>
        </w:rPr>
        <w:t xml:space="preserve"> provide neighborhood retail amenities, high-quality affordable housing, and affordable office space in New Haven’s Dixwell neighborhood and on Whalley Avenue. SLDC’s first project, Josephine Jarvis Gray Senior Housing, completed in 2007, provides eighteen affordable units for elderly residents in New Haven’s Dixwell neighborhood. Additionally, SLDC has developed an eighteen-unit, $3 million low-income senior housing facility located at 120 Goffe Street and has managed the $595,000 rehabilitation of a two-family home at 16 Dickerman Street.  </w:t>
      </w:r>
    </w:p>
    <w:p w14:paraId="37B510C6" w14:textId="77777777" w:rsidR="00720A17" w:rsidRPr="00FD7489" w:rsidRDefault="00720A17" w:rsidP="00720A17">
      <w:pPr>
        <w:rPr>
          <w:rFonts w:ascii="Century Gothic" w:hAnsi="Century Gothic"/>
        </w:rPr>
      </w:pPr>
    </w:p>
    <w:p w14:paraId="60F6478D" w14:textId="2B8ADB98" w:rsidR="00ED79CA" w:rsidRPr="00FD7489" w:rsidRDefault="60519709" w:rsidP="00720A17">
      <w:pPr>
        <w:rPr>
          <w:rFonts w:ascii="Century Gothic" w:hAnsi="Century Gothic"/>
        </w:rPr>
      </w:pPr>
      <w:r w:rsidRPr="00FD7489">
        <w:rPr>
          <w:rFonts w:ascii="Century Gothic" w:hAnsi="Century Gothic"/>
        </w:rPr>
        <w:t>The Glendower Group (Glendower)</w:t>
      </w:r>
      <w:r w:rsidR="001A0AA0" w:rsidRPr="00FD7489">
        <w:rPr>
          <w:rFonts w:ascii="Century Gothic" w:hAnsi="Century Gothic"/>
        </w:rPr>
        <w:t>,</w:t>
      </w:r>
      <w:r w:rsidRPr="00FD7489">
        <w:rPr>
          <w:rFonts w:ascii="Century Gothic" w:hAnsi="Century Gothic"/>
        </w:rPr>
        <w:t xml:space="preserve"> </w:t>
      </w:r>
      <w:r w:rsidR="001A0AA0" w:rsidRPr="00FD7489">
        <w:rPr>
          <w:rFonts w:ascii="Century Gothic" w:hAnsi="Century Gothic"/>
        </w:rPr>
        <w:t xml:space="preserve">a </w:t>
      </w:r>
      <w:r w:rsidRPr="00FD7489">
        <w:rPr>
          <w:rFonts w:ascii="Century Gothic" w:hAnsi="Century Gothic"/>
        </w:rPr>
        <w:t>nonprofit 501(c)(3) corporation established in November 2001</w:t>
      </w:r>
      <w:r w:rsidR="6D632C0C" w:rsidRPr="00FD7489">
        <w:rPr>
          <w:rFonts w:ascii="Century Gothic" w:hAnsi="Century Gothic"/>
        </w:rPr>
        <w:t>,</w:t>
      </w:r>
      <w:r w:rsidRPr="00FD7489">
        <w:rPr>
          <w:rFonts w:ascii="Century Gothic" w:hAnsi="Century Gothic"/>
        </w:rPr>
        <w:t xml:space="preserve"> is an instrumentality to ECC/HANH.  Glendower has been engaged in the development of real property for the past 20 years and has successfully developed over $560 million worth of developments in New Haven, Connecticut: Glendower is at the forefront of those leading the private sector market in affordable housing.  Glendower provides comprehensive and integrated real estate development services specializing in affordable </w:t>
      </w:r>
      <w:r w:rsidRPr="00FD7489">
        <w:rPr>
          <w:rFonts w:ascii="Century Gothic" w:hAnsi="Century Gothic"/>
        </w:rPr>
        <w:lastRenderedPageBreak/>
        <w:t xml:space="preserve">housing. Glendower’s vision has always been high-quality, innovative, and fiscally sound housing for families. </w:t>
      </w:r>
    </w:p>
    <w:p w14:paraId="4AE077C7" w14:textId="014B5211" w:rsidR="00ED79CA" w:rsidRPr="00FD7489" w:rsidRDefault="52D590EA" w:rsidP="4566E4F4">
      <w:pPr>
        <w:pStyle w:val="ListParagraph"/>
        <w:rPr>
          <w:rFonts w:ascii="Century Gothic" w:hAnsi="Century Gothic"/>
        </w:rPr>
      </w:pPr>
      <w:r w:rsidRPr="00FD7489">
        <w:rPr>
          <w:rFonts w:ascii="Century Gothic" w:hAnsi="Century Gothic"/>
        </w:rPr>
        <w:t xml:space="preserve"> </w:t>
      </w:r>
      <w:r w:rsidR="34C5CA8C" w:rsidRPr="00FD7489">
        <w:rPr>
          <w:rFonts w:ascii="Century Gothic" w:hAnsi="Century Gothic"/>
        </w:rPr>
        <w:t xml:space="preserve"> </w:t>
      </w:r>
    </w:p>
    <w:p w14:paraId="205FF752" w14:textId="03EBA1A2" w:rsidR="00ED79CA" w:rsidRPr="00FD7489" w:rsidRDefault="00ED79CA" w:rsidP="00720A17">
      <w:pPr>
        <w:rPr>
          <w:rFonts w:ascii="Century Gothic" w:hAnsi="Century Gothic"/>
          <w:szCs w:val="22"/>
        </w:rPr>
      </w:pPr>
      <w:r w:rsidRPr="00FD7489">
        <w:rPr>
          <w:rFonts w:ascii="Century Gothic" w:hAnsi="Century Gothic"/>
          <w:szCs w:val="22"/>
        </w:rPr>
        <w:t xml:space="preserve">This mixed income project will contribute to </w:t>
      </w:r>
      <w:proofErr w:type="gramStart"/>
      <w:r w:rsidRPr="00FD7489">
        <w:rPr>
          <w:rFonts w:ascii="Century Gothic" w:hAnsi="Century Gothic"/>
          <w:szCs w:val="22"/>
        </w:rPr>
        <w:t>promote</w:t>
      </w:r>
      <w:proofErr w:type="gramEnd"/>
      <w:r w:rsidRPr="00FD7489">
        <w:rPr>
          <w:rFonts w:ascii="Century Gothic" w:hAnsi="Century Gothic"/>
          <w:szCs w:val="22"/>
        </w:rPr>
        <w:t xml:space="preserve"> healthy lives, a strong community and robust economy. Residents of the Whalley Avenue building will have easy access to area amenities providing </w:t>
      </w:r>
      <w:r w:rsidR="001669CB" w:rsidRPr="00FD7489">
        <w:rPr>
          <w:rFonts w:ascii="Century Gothic" w:hAnsi="Century Gothic"/>
          <w:szCs w:val="22"/>
        </w:rPr>
        <w:t>them with</w:t>
      </w:r>
      <w:r w:rsidRPr="00FD7489">
        <w:rPr>
          <w:rFonts w:ascii="Century Gothic" w:hAnsi="Century Gothic"/>
          <w:szCs w:val="22"/>
        </w:rPr>
        <w:t xml:space="preserve"> the opportunity to participate in social activities and services available in their community. The pedestrian-friendly layout of the project will offer increased traffic to new and existing businesses leasing the commercial space, and the new building will improve curb appeal as it becomes the gateway to one of New Haven’s most active commercial districts.</w:t>
      </w:r>
    </w:p>
    <w:p w14:paraId="1C9FB917" w14:textId="77777777" w:rsidR="00ED79CA" w:rsidRPr="00FD7489" w:rsidRDefault="00ED79CA" w:rsidP="00ED79CA">
      <w:pPr>
        <w:pStyle w:val="ListParagraph"/>
        <w:rPr>
          <w:rFonts w:ascii="Century Gothic" w:hAnsi="Century Gothic"/>
        </w:rPr>
      </w:pPr>
    </w:p>
    <w:p w14:paraId="7B2FF5F3" w14:textId="77777777" w:rsidR="003E36F6" w:rsidRPr="00FD7489" w:rsidRDefault="0E6FA393" w:rsidP="000B45F9">
      <w:pPr>
        <w:rPr>
          <w:rFonts w:ascii="Century Gothic" w:hAnsi="Century Gothic"/>
        </w:rPr>
      </w:pPr>
      <w:r w:rsidRPr="00FD7489">
        <w:rPr>
          <w:rFonts w:ascii="Century Gothic" w:hAnsi="Century Gothic"/>
        </w:rPr>
        <w:t xml:space="preserve">To assist in the development of this affordable housing development, Elm City Communities will provide up to </w:t>
      </w:r>
      <w:r w:rsidR="27EB65C7" w:rsidRPr="00FD7489">
        <w:rPr>
          <w:rFonts w:ascii="Century Gothic" w:hAnsi="Century Gothic"/>
        </w:rPr>
        <w:t>4</w:t>
      </w:r>
      <w:r w:rsidR="2934ABDD" w:rsidRPr="00FD7489">
        <w:rPr>
          <w:rFonts w:ascii="Century Gothic" w:hAnsi="Century Gothic"/>
        </w:rPr>
        <w:t>4</w:t>
      </w:r>
      <w:r w:rsidRPr="00FD7489">
        <w:rPr>
          <w:rFonts w:ascii="Century Gothic" w:hAnsi="Century Gothic"/>
        </w:rPr>
        <w:t xml:space="preserve"> project-based vouchers utilizing </w:t>
      </w:r>
      <w:proofErr w:type="gramStart"/>
      <w:r w:rsidRPr="00FD7489">
        <w:rPr>
          <w:rFonts w:ascii="Century Gothic" w:hAnsi="Century Gothic"/>
        </w:rPr>
        <w:t>flexibilities</w:t>
      </w:r>
      <w:proofErr w:type="gramEnd"/>
      <w:r w:rsidRPr="00FD7489">
        <w:rPr>
          <w:rFonts w:ascii="Century Gothic" w:hAnsi="Century Gothic"/>
        </w:rPr>
        <w:t xml:space="preserve"> previously approved under MTW Plans.  </w:t>
      </w:r>
      <w:r w:rsidR="360C9A1D" w:rsidRPr="00FD7489">
        <w:rPr>
          <w:rFonts w:ascii="Century Gothic" w:hAnsi="Century Gothic"/>
        </w:rPr>
        <w:t xml:space="preserve">The balance of units will be non-income restricted market rate units.  </w:t>
      </w:r>
      <w:bookmarkStart w:id="127" w:name="_Hlk97128269"/>
    </w:p>
    <w:p w14:paraId="67241BCA" w14:textId="77777777" w:rsidR="003E36F6" w:rsidRPr="00FD7489" w:rsidRDefault="003E36F6" w:rsidP="000B45F9">
      <w:pPr>
        <w:rPr>
          <w:rFonts w:ascii="Century Gothic" w:hAnsi="Century Gothic"/>
        </w:rPr>
      </w:pPr>
    </w:p>
    <w:p w14:paraId="63E78875" w14:textId="45B98B27" w:rsidR="000B45F9" w:rsidRPr="00FD7489" w:rsidRDefault="0E6FA393" w:rsidP="000B45F9">
      <w:pPr>
        <w:rPr>
          <w:rFonts w:ascii="Century Gothic" w:eastAsia="Times New Roman" w:hAnsi="Century Gothic"/>
          <w:color w:val="000000" w:themeColor="text1"/>
        </w:rPr>
      </w:pPr>
      <w:r w:rsidRPr="00FD7489">
        <w:rPr>
          <w:rFonts w:ascii="Century Gothic" w:hAnsi="Century Gothic"/>
        </w:rPr>
        <w:t xml:space="preserve">The project-based vouchers will be issued, consistent with all other ECC/HANH </w:t>
      </w:r>
      <w:r w:rsidR="1FD3727C" w:rsidRPr="00FD7489">
        <w:rPr>
          <w:rFonts w:ascii="Century Gothic" w:hAnsi="Century Gothic"/>
        </w:rPr>
        <w:t>project-based</w:t>
      </w:r>
      <w:r w:rsidRPr="00FD7489">
        <w:rPr>
          <w:rFonts w:ascii="Century Gothic" w:hAnsi="Century Gothic"/>
        </w:rPr>
        <w:t xml:space="preserve"> vouchers activities and will be issued in accordance with the HUD regulations and ECC/HANH redevelopment efforts.</w:t>
      </w:r>
      <w:bookmarkEnd w:id="127"/>
      <w:r w:rsidRPr="00FD7489">
        <w:rPr>
          <w:rFonts w:ascii="Century Gothic" w:hAnsi="Century Gothic"/>
        </w:rPr>
        <w:t xml:space="preserve"> The Glendower Group will act as co-developer and will assist in the planning, implementation, and management of the property.  Architectural plans are in the process of being completed</w:t>
      </w:r>
      <w:r w:rsidR="66288C3D" w:rsidRPr="00FD7489">
        <w:rPr>
          <w:rFonts w:ascii="Century Gothic" w:hAnsi="Century Gothic"/>
        </w:rPr>
        <w:t>.  M</w:t>
      </w:r>
      <w:r w:rsidRPr="00FD7489">
        <w:rPr>
          <w:rFonts w:ascii="Century Gothic" w:hAnsi="Century Gothic"/>
        </w:rPr>
        <w:t>ultiple applications</w:t>
      </w:r>
      <w:r w:rsidR="37FFCDEB" w:rsidRPr="00FD7489">
        <w:rPr>
          <w:rFonts w:ascii="Century Gothic" w:hAnsi="Century Gothic"/>
        </w:rPr>
        <w:t xml:space="preserve"> have received funding including a $6</w:t>
      </w:r>
      <w:r w:rsidR="16223A43" w:rsidRPr="00FD7489">
        <w:rPr>
          <w:rFonts w:ascii="Century Gothic" w:hAnsi="Century Gothic"/>
        </w:rPr>
        <w:t>5</w:t>
      </w:r>
      <w:r w:rsidRPr="00FD7489" w:rsidDel="0E6FA393">
        <w:rPr>
          <w:rFonts w:ascii="Century Gothic" w:hAnsi="Century Gothic"/>
        </w:rPr>
        <w:t>0</w:t>
      </w:r>
      <w:r w:rsidR="37FFCDEB" w:rsidRPr="00FD7489">
        <w:rPr>
          <w:rFonts w:ascii="Century Gothic" w:hAnsi="Century Gothic"/>
        </w:rPr>
        <w:t>,000 Federal Home Loan Grant and a $6,000,000</w:t>
      </w:r>
      <w:r w:rsidR="07AD32F7" w:rsidRPr="00FD7489">
        <w:rPr>
          <w:rFonts w:ascii="Century Gothic" w:hAnsi="Century Gothic"/>
        </w:rPr>
        <w:t xml:space="preserve"> State of Connecticut Community Investment fund award. </w:t>
      </w:r>
      <w:r w:rsidRPr="00FD7489">
        <w:rPr>
          <w:rFonts w:ascii="Century Gothic" w:hAnsi="Century Gothic"/>
        </w:rPr>
        <w:t xml:space="preserve"> It is anticipated that this development will use a 4% LIHTC mixed-finance model with a closing anticipated in FY2</w:t>
      </w:r>
      <w:r w:rsidR="28C32F9C" w:rsidRPr="00FD7489">
        <w:rPr>
          <w:rFonts w:ascii="Century Gothic" w:hAnsi="Century Gothic"/>
        </w:rPr>
        <w:t>5</w:t>
      </w:r>
      <w:r w:rsidRPr="00FD7489">
        <w:rPr>
          <w:rFonts w:ascii="Century Gothic" w:hAnsi="Century Gothic"/>
        </w:rPr>
        <w:t>.</w:t>
      </w:r>
      <w:r w:rsidR="0046664C" w:rsidRPr="00FD7489">
        <w:rPr>
          <w:rFonts w:ascii="Century Gothic" w:hAnsi="Century Gothic"/>
        </w:rPr>
        <w:t xml:space="preserve">  </w:t>
      </w:r>
      <w:r w:rsidR="000B45F9" w:rsidRPr="00FD7489">
        <w:rPr>
          <w:rFonts w:ascii="Century Gothic" w:eastAsia="Times New Roman" w:hAnsi="Century Gothic"/>
          <w:color w:val="000000" w:themeColor="text1"/>
        </w:rPr>
        <w:t xml:space="preserve">The project will convert to </w:t>
      </w:r>
      <w:proofErr w:type="gramStart"/>
      <w:r w:rsidR="000B45F9" w:rsidRPr="00FD7489">
        <w:rPr>
          <w:rFonts w:ascii="Century Gothic" w:eastAsia="Times New Roman" w:hAnsi="Century Gothic"/>
          <w:color w:val="000000" w:themeColor="text1"/>
        </w:rPr>
        <w:t>a RAD</w:t>
      </w:r>
      <w:proofErr w:type="gramEnd"/>
      <w:r w:rsidR="000B45F9" w:rsidRPr="00FD7489">
        <w:rPr>
          <w:rFonts w:ascii="Century Gothic" w:eastAsia="Times New Roman" w:hAnsi="Century Gothic"/>
          <w:color w:val="000000" w:themeColor="text1"/>
        </w:rPr>
        <w:t xml:space="preserve"> based model using in-place Faircloth Vouchers.</w:t>
      </w:r>
    </w:p>
    <w:p w14:paraId="368C78F4" w14:textId="446AD249" w:rsidR="00ED79CA" w:rsidRPr="00FD7489" w:rsidRDefault="00ED79CA" w:rsidP="3C3EEDA0">
      <w:pPr>
        <w:pStyle w:val="ListParagraph"/>
        <w:rPr>
          <w:rFonts w:ascii="Century Gothic" w:hAnsi="Century Gothic"/>
        </w:rPr>
      </w:pPr>
    </w:p>
    <w:p w14:paraId="448209EB" w14:textId="33176CBE" w:rsidR="00C8120E" w:rsidRPr="00FD7489" w:rsidRDefault="00C8120E" w:rsidP="4B60C82B">
      <w:pPr>
        <w:pStyle w:val="ListParagraph"/>
        <w:rPr>
          <w:rFonts w:ascii="Century Gothic" w:hAnsi="Century Gothic"/>
        </w:rPr>
      </w:pPr>
    </w:p>
    <w:p w14:paraId="21F494F6" w14:textId="77777777" w:rsidR="00C8120E" w:rsidRPr="00FD7489" w:rsidRDefault="00C8120E" w:rsidP="000B45F9">
      <w:pPr>
        <w:pStyle w:val="Heading4"/>
        <w:rPr>
          <w:rFonts w:ascii="Century Gothic" w:hAnsi="Century Gothic" w:cs="Times New Roman"/>
        </w:rPr>
      </w:pPr>
      <w:r w:rsidRPr="00FD7489">
        <w:rPr>
          <w:rStyle w:val="SubtleEmphasis"/>
          <w:rFonts w:ascii="Century Gothic" w:hAnsi="Century Gothic" w:cs="Times New Roman"/>
          <w:color w:val="808080" w:themeColor="background1" w:themeShade="80"/>
          <w:sz w:val="22"/>
        </w:rPr>
        <w:t>Impact</w:t>
      </w:r>
    </w:p>
    <w:p w14:paraId="1E9B9521" w14:textId="07F530B1" w:rsidR="00C8120E" w:rsidRPr="00FD7489" w:rsidRDefault="42AC3A2A" w:rsidP="000B45F9">
      <w:pPr>
        <w:rPr>
          <w:rFonts w:ascii="Century Gothic" w:eastAsia="Times New Roman" w:hAnsi="Century Gothic"/>
        </w:rPr>
      </w:pPr>
      <w:r w:rsidRPr="00FD7489">
        <w:rPr>
          <w:rFonts w:ascii="Century Gothic" w:eastAsia="Times New Roman" w:hAnsi="Century Gothic"/>
        </w:rPr>
        <w:t xml:space="preserve">The creation of up to </w:t>
      </w:r>
      <w:r w:rsidR="21E9E00B" w:rsidRPr="00FD7489">
        <w:rPr>
          <w:rFonts w:ascii="Century Gothic" w:eastAsia="Times New Roman" w:hAnsi="Century Gothic"/>
        </w:rPr>
        <w:t>49</w:t>
      </w:r>
      <w:r w:rsidRPr="00FD7489">
        <w:rPr>
          <w:rFonts w:ascii="Century Gothic" w:eastAsia="Times New Roman" w:hAnsi="Century Gothic"/>
        </w:rPr>
        <w:t xml:space="preserve"> units of affordable and mixed-income housing in a key location adjacent to downtown New Haven and Yale University.  The site is walkable to a major grocery store, pharmacy, and other service and retail establishments.  The site is also served by a 24/7 </w:t>
      </w:r>
      <w:r w:rsidR="57138926" w:rsidRPr="00FD7489">
        <w:rPr>
          <w:rFonts w:ascii="Century Gothic" w:eastAsia="Times New Roman" w:hAnsi="Century Gothic"/>
        </w:rPr>
        <w:t xml:space="preserve">CT </w:t>
      </w:r>
      <w:r w:rsidR="1BAAA368" w:rsidRPr="00FD7489">
        <w:rPr>
          <w:rFonts w:ascii="Century Gothic" w:eastAsia="Times New Roman" w:hAnsi="Century Gothic"/>
        </w:rPr>
        <w:t>Transit</w:t>
      </w:r>
      <w:r w:rsidR="57138926" w:rsidRPr="00FD7489">
        <w:rPr>
          <w:rFonts w:ascii="Century Gothic" w:eastAsia="Times New Roman" w:hAnsi="Century Gothic"/>
        </w:rPr>
        <w:t xml:space="preserve"> </w:t>
      </w:r>
      <w:r w:rsidRPr="00FD7489">
        <w:rPr>
          <w:rFonts w:ascii="Century Gothic" w:eastAsia="Times New Roman" w:hAnsi="Century Gothic"/>
        </w:rPr>
        <w:t>bus service with links to downtown New Haven and the multi-modal Union Station.</w:t>
      </w:r>
    </w:p>
    <w:p w14:paraId="240A3C4D" w14:textId="43A90B66" w:rsidR="145A5A95" w:rsidRPr="00FD7489" w:rsidRDefault="145A5A95" w:rsidP="145A5A95">
      <w:pPr>
        <w:ind w:left="720"/>
        <w:rPr>
          <w:rFonts w:ascii="Century Gothic" w:eastAsia="Times New Roman" w:hAnsi="Century Gothic"/>
          <w:b/>
          <w:bCs/>
        </w:rPr>
      </w:pPr>
    </w:p>
    <w:p w14:paraId="4F032D59" w14:textId="65C42443" w:rsidR="003B7C4F" w:rsidRPr="00FD7489" w:rsidRDefault="386939FD" w:rsidP="000B45F9">
      <w:pPr>
        <w:rPr>
          <w:rFonts w:ascii="Century Gothic" w:eastAsia="Times New Roman" w:hAnsi="Century Gothic"/>
        </w:rPr>
      </w:pPr>
      <w:r w:rsidRPr="00FD7489">
        <w:rPr>
          <w:rFonts w:ascii="Century Gothic" w:eastAsia="Times New Roman" w:hAnsi="Century Gothic"/>
        </w:rPr>
        <w:t xml:space="preserve">Due to costs related to the demolition of ancillary buildings and the new construction of a new approximate </w:t>
      </w:r>
      <w:r w:rsidR="709243E0" w:rsidRPr="00FD7489">
        <w:rPr>
          <w:rFonts w:ascii="Century Gothic" w:eastAsia="Times New Roman" w:hAnsi="Century Gothic"/>
        </w:rPr>
        <w:t>49</w:t>
      </w:r>
      <w:r w:rsidRPr="00FD7489">
        <w:rPr>
          <w:rFonts w:ascii="Century Gothic" w:eastAsia="Times New Roman" w:hAnsi="Century Gothic"/>
        </w:rPr>
        <w:t xml:space="preserve">-unit residential building, the development of St Luke’s Whalley Ave is only feasible through a mixed finance model which includes the inclusion of Low-Income Tax Credit (LIHTC) equity and private financing. It is ECC/HANH’s intent to make a loan to the partnership to assist with the redevelopment that shall be repaid from operating cashflow.  It is anticipated that construction will take 18 months to </w:t>
      </w:r>
      <w:proofErr w:type="gramStart"/>
      <w:r w:rsidRPr="00FD7489">
        <w:rPr>
          <w:rFonts w:ascii="Century Gothic" w:eastAsia="Times New Roman" w:hAnsi="Century Gothic"/>
        </w:rPr>
        <w:t>assure</w:t>
      </w:r>
      <w:proofErr w:type="gramEnd"/>
      <w:r w:rsidRPr="00FD7489">
        <w:rPr>
          <w:rFonts w:ascii="Century Gothic" w:eastAsia="Times New Roman" w:hAnsi="Century Gothic"/>
        </w:rPr>
        <w:t xml:space="preserve"> that all required relocation activities will comply with the Uniform Relocation Act.  Under this scenario the redevelopment will be complete, and all units occupied by the </w:t>
      </w:r>
      <w:r w:rsidR="47858898" w:rsidRPr="00FD7489">
        <w:rPr>
          <w:rFonts w:ascii="Century Gothic" w:eastAsia="Times New Roman" w:hAnsi="Century Gothic"/>
        </w:rPr>
        <w:t>s</w:t>
      </w:r>
      <w:r w:rsidR="1473EF22" w:rsidRPr="00FD7489">
        <w:rPr>
          <w:rFonts w:ascii="Century Gothic" w:eastAsia="Times New Roman" w:hAnsi="Century Gothic"/>
        </w:rPr>
        <w:t>econd</w:t>
      </w:r>
      <w:r w:rsidR="17DA2131" w:rsidRPr="00FD7489">
        <w:rPr>
          <w:rFonts w:ascii="Century Gothic" w:eastAsia="Times New Roman" w:hAnsi="Century Gothic"/>
        </w:rPr>
        <w:t xml:space="preserve"> </w:t>
      </w:r>
      <w:r w:rsidRPr="00FD7489">
        <w:rPr>
          <w:rFonts w:ascii="Century Gothic" w:eastAsia="Times New Roman" w:hAnsi="Century Gothic"/>
        </w:rPr>
        <w:t>quarter of calendar year 202</w:t>
      </w:r>
      <w:r w:rsidR="554CC33D" w:rsidRPr="00FD7489">
        <w:rPr>
          <w:rFonts w:ascii="Century Gothic" w:eastAsia="Times New Roman" w:hAnsi="Century Gothic"/>
        </w:rPr>
        <w:t>6</w:t>
      </w:r>
      <w:r w:rsidRPr="00FD7489">
        <w:rPr>
          <w:rFonts w:ascii="Century Gothic" w:eastAsia="Times New Roman" w:hAnsi="Century Gothic"/>
        </w:rPr>
        <w:t>.</w:t>
      </w:r>
    </w:p>
    <w:p w14:paraId="1CCA061F" w14:textId="77777777" w:rsidR="003B7C4F" w:rsidRPr="00FD7489" w:rsidRDefault="003B7C4F" w:rsidP="4566E4F4">
      <w:pPr>
        <w:ind w:left="720"/>
        <w:rPr>
          <w:rFonts w:ascii="Century Gothic" w:eastAsia="Times New Roman" w:hAnsi="Century Gothic"/>
          <w:b/>
        </w:rPr>
      </w:pPr>
    </w:p>
    <w:p w14:paraId="7CDE6EB0" w14:textId="7469BA1D" w:rsidR="2E4A606E" w:rsidRPr="00FD7489" w:rsidRDefault="7F7D2900" w:rsidP="000B45F9">
      <w:pPr>
        <w:jc w:val="both"/>
        <w:rPr>
          <w:rFonts w:ascii="Century Gothic" w:eastAsia="Times New Roman" w:hAnsi="Century Gothic"/>
        </w:rPr>
      </w:pPr>
      <w:r w:rsidRPr="188A1EBF">
        <w:rPr>
          <w:rFonts w:ascii="Century Gothic" w:eastAsia="Times New Roman" w:hAnsi="Century Gothic"/>
        </w:rPr>
        <w:t xml:space="preserve">St Lukes is progressing as planned with an anticipated RAD closing of the </w:t>
      </w:r>
      <w:r w:rsidR="6E8D703E" w:rsidRPr="188A1EBF">
        <w:rPr>
          <w:rFonts w:ascii="Century Gothic" w:eastAsia="Times New Roman" w:hAnsi="Century Gothic"/>
        </w:rPr>
        <w:t>second</w:t>
      </w:r>
      <w:r w:rsidRPr="188A1EBF">
        <w:rPr>
          <w:rFonts w:ascii="Century Gothic" w:eastAsia="Times New Roman" w:hAnsi="Century Gothic"/>
        </w:rPr>
        <w:t xml:space="preserve"> quarter of FY2025.  City Plan approval has been </w:t>
      </w:r>
      <w:proofErr w:type="gramStart"/>
      <w:r w:rsidRPr="188A1EBF">
        <w:rPr>
          <w:rFonts w:ascii="Century Gothic" w:eastAsia="Times New Roman" w:hAnsi="Century Gothic"/>
        </w:rPr>
        <w:t>obtained</w:t>
      </w:r>
      <w:proofErr w:type="gramEnd"/>
      <w:r w:rsidRPr="188A1EBF">
        <w:rPr>
          <w:rFonts w:ascii="Century Gothic" w:eastAsia="Times New Roman" w:hAnsi="Century Gothic"/>
        </w:rPr>
        <w:t xml:space="preserve"> and the architectural team is progressing with </w:t>
      </w:r>
      <w:r w:rsidR="5DCA310C" w:rsidRPr="188A1EBF">
        <w:rPr>
          <w:rFonts w:ascii="Century Gothic" w:eastAsia="Times New Roman" w:hAnsi="Century Gothic"/>
        </w:rPr>
        <w:t xml:space="preserve">the </w:t>
      </w:r>
      <w:r w:rsidRPr="188A1EBF">
        <w:rPr>
          <w:rFonts w:ascii="Century Gothic" w:eastAsia="Times New Roman" w:hAnsi="Century Gothic"/>
        </w:rPr>
        <w:t>design documents.  A</w:t>
      </w:r>
      <w:r w:rsidR="49D61F59" w:rsidRPr="188A1EBF">
        <w:rPr>
          <w:rFonts w:ascii="Century Gothic" w:eastAsia="Times New Roman" w:hAnsi="Century Gothic"/>
        </w:rPr>
        <w:t xml:space="preserve"> </w:t>
      </w:r>
      <w:r w:rsidRPr="188A1EBF">
        <w:rPr>
          <w:rFonts w:ascii="Century Gothic" w:eastAsia="Times New Roman" w:hAnsi="Century Gothic"/>
        </w:rPr>
        <w:t>Construction</w:t>
      </w:r>
      <w:r w:rsidR="5EC1CDAE" w:rsidRPr="188A1EBF">
        <w:rPr>
          <w:rFonts w:ascii="Century Gothic" w:eastAsia="Times New Roman" w:hAnsi="Century Gothic"/>
        </w:rPr>
        <w:t xml:space="preserve"> </w:t>
      </w:r>
      <w:r w:rsidRPr="188A1EBF">
        <w:rPr>
          <w:rFonts w:ascii="Century Gothic" w:eastAsia="Times New Roman" w:hAnsi="Century Gothic"/>
        </w:rPr>
        <w:t>Manager at Risk has been chosen and the development team has been awar</w:t>
      </w:r>
      <w:r w:rsidR="2E374FB8" w:rsidRPr="188A1EBF">
        <w:rPr>
          <w:rFonts w:ascii="Century Gothic" w:eastAsia="Times New Roman" w:hAnsi="Century Gothic"/>
        </w:rPr>
        <w:t>d</w:t>
      </w:r>
      <w:r w:rsidRPr="188A1EBF">
        <w:rPr>
          <w:rFonts w:ascii="Century Gothic" w:eastAsia="Times New Roman" w:hAnsi="Century Gothic"/>
        </w:rPr>
        <w:t>ed a $6</w:t>
      </w:r>
      <w:r w:rsidR="6733DD6B" w:rsidRPr="188A1EBF">
        <w:rPr>
          <w:rFonts w:ascii="Century Gothic" w:eastAsia="Times New Roman" w:hAnsi="Century Gothic"/>
        </w:rPr>
        <w:t xml:space="preserve"> </w:t>
      </w:r>
      <w:r w:rsidRPr="188A1EBF">
        <w:rPr>
          <w:rFonts w:ascii="Century Gothic" w:eastAsia="Times New Roman" w:hAnsi="Century Gothic"/>
        </w:rPr>
        <w:t>million State CIF grant.</w:t>
      </w:r>
    </w:p>
    <w:p w14:paraId="1C31F4DC" w14:textId="52F4C262" w:rsidR="46B3BF7C" w:rsidRPr="00FD7489" w:rsidRDefault="46B3BF7C" w:rsidP="46B3BF7C">
      <w:pPr>
        <w:ind w:firstLine="720"/>
        <w:jc w:val="both"/>
        <w:rPr>
          <w:rFonts w:ascii="Century Gothic" w:eastAsia="Times New Roman" w:hAnsi="Century Gothic"/>
        </w:rPr>
      </w:pPr>
    </w:p>
    <w:p w14:paraId="3F211B92" w14:textId="72F2FE7E" w:rsidR="4066B223" w:rsidRPr="00FD7489" w:rsidRDefault="4066B223" w:rsidP="000B45F9">
      <w:pPr>
        <w:jc w:val="both"/>
        <w:rPr>
          <w:rFonts w:ascii="Century Gothic" w:eastAsia="Times New Roman" w:hAnsi="Century Gothic"/>
        </w:rPr>
      </w:pPr>
      <w:r w:rsidRPr="00FD7489">
        <w:rPr>
          <w:rFonts w:ascii="Century Gothic" w:eastAsia="Times New Roman" w:hAnsi="Century Gothic"/>
        </w:rPr>
        <w:t>This initiative is still in the planning stages.</w:t>
      </w:r>
    </w:p>
    <w:p w14:paraId="31EA33F7" w14:textId="5B5B71D0" w:rsidR="00257870" w:rsidRPr="00FD7489" w:rsidRDefault="00257870" w:rsidP="000B45F9">
      <w:pPr>
        <w:tabs>
          <w:tab w:val="left" w:pos="3510"/>
        </w:tabs>
        <w:jc w:val="both"/>
        <w:rPr>
          <w:rFonts w:ascii="Century Gothic" w:eastAsia="Times New Roman" w:hAnsi="Century Gothic"/>
        </w:rPr>
      </w:pPr>
    </w:p>
    <w:p w14:paraId="000E8125" w14:textId="77777777" w:rsidR="00C8120E" w:rsidRPr="00FD7489" w:rsidRDefault="00A30E40" w:rsidP="000B45F9">
      <w:pPr>
        <w:pStyle w:val="Heading4"/>
        <w:rPr>
          <w:rStyle w:val="SubtleEmphasis"/>
          <w:rFonts w:ascii="Century Gothic" w:hAnsi="Century Gothic" w:cs="Times New Roman"/>
          <w:color w:val="808080" w:themeColor="background1" w:themeShade="80"/>
          <w:sz w:val="22"/>
        </w:rPr>
      </w:pPr>
      <w:r w:rsidRPr="00FD7489">
        <w:rPr>
          <w:rStyle w:val="SubtleEmphasis"/>
          <w:rFonts w:ascii="Century Gothic" w:hAnsi="Century Gothic" w:cs="Times New Roman"/>
          <w:color w:val="808080" w:themeColor="background1" w:themeShade="80"/>
          <w:sz w:val="22"/>
        </w:rPr>
        <w:lastRenderedPageBreak/>
        <w:t>Outcomes</w:t>
      </w:r>
    </w:p>
    <w:p w14:paraId="06A82FD2" w14:textId="3EC749D4" w:rsidR="46B3BF7C" w:rsidRPr="00FD7489" w:rsidRDefault="46B3BF7C" w:rsidP="000B45F9">
      <w:pPr>
        <w:rPr>
          <w:rFonts w:ascii="Century Gothic" w:hAnsi="Century Gothic"/>
        </w:rPr>
      </w:pPr>
    </w:p>
    <w:p w14:paraId="477D28BB" w14:textId="6B26BC07" w:rsidR="00C8120E" w:rsidRPr="00FD7489" w:rsidRDefault="00F12C23" w:rsidP="000B45F9">
      <w:pPr>
        <w:rPr>
          <w:rStyle w:val="IntenseEmphasis"/>
          <w:rFonts w:ascii="Century Gothic" w:hAnsi="Century Gothic"/>
          <w:color w:val="auto"/>
          <w:sz w:val="22"/>
          <w:szCs w:val="22"/>
        </w:rPr>
      </w:pPr>
      <w:r>
        <w:rPr>
          <w:rStyle w:val="IntenseEmphasis"/>
          <w:rFonts w:ascii="Century Gothic" w:hAnsi="Century Gothic"/>
          <w:color w:val="auto"/>
          <w:sz w:val="22"/>
          <w:szCs w:val="22"/>
        </w:rPr>
        <w:t xml:space="preserve"> Internal</w:t>
      </w:r>
      <w:r w:rsidR="00C8120E" w:rsidRPr="00FD7489">
        <w:rPr>
          <w:rStyle w:val="IntenseEmphasis"/>
          <w:rFonts w:ascii="Century Gothic" w:hAnsi="Century Gothic"/>
          <w:color w:val="auto"/>
          <w:sz w:val="22"/>
          <w:szCs w:val="22"/>
        </w:rPr>
        <w:t xml:space="preserve"> Metrics</w:t>
      </w:r>
    </w:p>
    <w:tbl>
      <w:tblPr>
        <w:tblpPr w:leftFromText="180" w:rightFromText="180" w:vertAnchor="text" w:horzAnchor="margin" w:tblpY="99"/>
        <w:tblW w:w="10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1890"/>
        <w:gridCol w:w="1890"/>
        <w:gridCol w:w="1890"/>
        <w:gridCol w:w="1800"/>
      </w:tblGrid>
      <w:tr w:rsidR="00ED79CA" w:rsidRPr="00FD7489" w14:paraId="1AA26E37" w14:textId="77777777" w:rsidTr="188A1EBF">
        <w:tc>
          <w:tcPr>
            <w:tcW w:w="10170" w:type="dxa"/>
            <w:gridSpan w:val="5"/>
            <w:tcBorders>
              <w:top w:val="single" w:sz="18" w:space="0" w:color="auto"/>
              <w:left w:val="single" w:sz="18" w:space="0" w:color="auto"/>
              <w:bottom w:val="single" w:sz="18" w:space="0" w:color="auto"/>
              <w:right w:val="single" w:sz="18" w:space="0" w:color="auto"/>
            </w:tcBorders>
            <w:hideMark/>
          </w:tcPr>
          <w:p w14:paraId="05E0C2EB" w14:textId="77777777" w:rsidR="00ED79CA" w:rsidRPr="00FD7489" w:rsidRDefault="00ED79CA" w:rsidP="00B80A01">
            <w:pPr>
              <w:pStyle w:val="paragraph"/>
              <w:spacing w:before="0" w:beforeAutospacing="0" w:after="0" w:afterAutospacing="0"/>
              <w:jc w:val="center"/>
              <w:textAlignment w:val="baseline"/>
              <w:rPr>
                <w:rFonts w:ascii="Century Gothic" w:hAnsi="Century Gothic" w:cs="Segoe UI"/>
                <w:sz w:val="18"/>
                <w:szCs w:val="18"/>
                <w:u w:val="single"/>
              </w:rPr>
            </w:pPr>
            <w:bookmarkStart w:id="128" w:name="_Hlk96598301"/>
            <w:r w:rsidRPr="00FD7489">
              <w:rPr>
                <w:rStyle w:val="normaltextrun"/>
                <w:rFonts w:ascii="Century Gothic" w:hAnsi="Century Gothic"/>
                <w:b/>
                <w:bCs/>
                <w:i/>
                <w:iCs/>
                <w:u w:val="single"/>
              </w:rPr>
              <w:t>HC #1: Additional Units of Housing Made Available</w:t>
            </w:r>
            <w:r w:rsidRPr="00FD7489">
              <w:rPr>
                <w:rStyle w:val="eop"/>
                <w:rFonts w:ascii="Century Gothic" w:hAnsi="Century Gothic"/>
                <w:u w:val="single"/>
              </w:rPr>
              <w:t> </w:t>
            </w:r>
          </w:p>
        </w:tc>
      </w:tr>
      <w:tr w:rsidR="00ED79CA" w:rsidRPr="00FD7489" w14:paraId="0FC46EA3" w14:textId="77777777" w:rsidTr="188A1EBF">
        <w:tc>
          <w:tcPr>
            <w:tcW w:w="2700" w:type="dxa"/>
            <w:tcBorders>
              <w:top w:val="single" w:sz="18" w:space="0" w:color="auto"/>
              <w:left w:val="single" w:sz="18" w:space="0" w:color="auto"/>
              <w:bottom w:val="single" w:sz="18" w:space="0" w:color="auto"/>
              <w:right w:val="single" w:sz="18" w:space="0" w:color="auto"/>
            </w:tcBorders>
            <w:vAlign w:val="center"/>
            <w:hideMark/>
          </w:tcPr>
          <w:p w14:paraId="646AFA56" w14:textId="77777777" w:rsidR="00ED79CA" w:rsidRPr="00FD7489" w:rsidRDefault="00ED79CA" w:rsidP="00B80A01">
            <w:pPr>
              <w:pStyle w:val="paragraph"/>
              <w:spacing w:before="0" w:beforeAutospacing="0" w:after="0" w:afterAutospacing="0"/>
              <w:jc w:val="center"/>
              <w:textAlignment w:val="baseline"/>
              <w:rPr>
                <w:rFonts w:ascii="Century Gothic" w:hAnsi="Century Gothic"/>
                <w:sz w:val="18"/>
                <w:szCs w:val="18"/>
                <w:u w:val="single"/>
              </w:rPr>
            </w:pPr>
            <w:r w:rsidRPr="00FD7489">
              <w:rPr>
                <w:rStyle w:val="normaltextrun"/>
                <w:rFonts w:ascii="Century Gothic" w:hAnsi="Century Gothic"/>
                <w:b/>
                <w:bCs/>
                <w:u w:val="single"/>
              </w:rPr>
              <w:t>Unit of Measurement</w:t>
            </w:r>
            <w:r w:rsidRPr="00FD7489">
              <w:rPr>
                <w:rStyle w:val="eop"/>
                <w:rFonts w:ascii="Century Gothic" w:hAnsi="Century Gothic"/>
                <w:u w:val="single"/>
              </w:rPr>
              <w:t> </w:t>
            </w:r>
          </w:p>
        </w:tc>
        <w:tc>
          <w:tcPr>
            <w:tcW w:w="1890" w:type="dxa"/>
            <w:tcBorders>
              <w:top w:val="nil"/>
              <w:left w:val="single" w:sz="18" w:space="0" w:color="auto"/>
              <w:bottom w:val="single" w:sz="18" w:space="0" w:color="auto"/>
              <w:right w:val="single" w:sz="18" w:space="0" w:color="auto"/>
            </w:tcBorders>
            <w:vAlign w:val="center"/>
            <w:hideMark/>
          </w:tcPr>
          <w:p w14:paraId="7712A495" w14:textId="77777777" w:rsidR="00ED79CA" w:rsidRPr="00FD7489" w:rsidRDefault="00ED79CA" w:rsidP="00B80A01">
            <w:pPr>
              <w:pStyle w:val="paragraph"/>
              <w:spacing w:before="0" w:beforeAutospacing="0" w:after="0" w:afterAutospacing="0"/>
              <w:jc w:val="center"/>
              <w:textAlignment w:val="baseline"/>
              <w:rPr>
                <w:rFonts w:ascii="Century Gothic" w:hAnsi="Century Gothic"/>
                <w:sz w:val="18"/>
                <w:szCs w:val="18"/>
                <w:u w:val="single"/>
              </w:rPr>
            </w:pPr>
            <w:r w:rsidRPr="00FD7489">
              <w:rPr>
                <w:rStyle w:val="normaltextrun"/>
                <w:rFonts w:ascii="Century Gothic" w:hAnsi="Century Gothic"/>
                <w:b/>
                <w:bCs/>
                <w:u w:val="single"/>
              </w:rPr>
              <w:t>Baseline</w:t>
            </w:r>
            <w:r w:rsidRPr="00FD7489">
              <w:rPr>
                <w:rStyle w:val="eop"/>
                <w:rFonts w:ascii="Century Gothic" w:hAnsi="Century Gothic"/>
                <w:u w:val="single"/>
              </w:rPr>
              <w:t> </w:t>
            </w:r>
          </w:p>
        </w:tc>
        <w:tc>
          <w:tcPr>
            <w:tcW w:w="1890" w:type="dxa"/>
            <w:tcBorders>
              <w:top w:val="nil"/>
              <w:left w:val="single" w:sz="18" w:space="0" w:color="auto"/>
              <w:bottom w:val="single" w:sz="18" w:space="0" w:color="auto"/>
              <w:right w:val="single" w:sz="18" w:space="0" w:color="auto"/>
            </w:tcBorders>
            <w:vAlign w:val="center"/>
            <w:hideMark/>
          </w:tcPr>
          <w:p w14:paraId="2140E530" w14:textId="77777777" w:rsidR="00ED79CA" w:rsidRPr="00FD7489" w:rsidRDefault="00ED79CA" w:rsidP="00B80A01">
            <w:pPr>
              <w:pStyle w:val="paragraph"/>
              <w:spacing w:before="0" w:beforeAutospacing="0" w:after="0" w:afterAutospacing="0"/>
              <w:jc w:val="center"/>
              <w:textAlignment w:val="baseline"/>
              <w:rPr>
                <w:rFonts w:ascii="Century Gothic" w:hAnsi="Century Gothic"/>
                <w:sz w:val="18"/>
                <w:szCs w:val="18"/>
                <w:u w:val="single"/>
              </w:rPr>
            </w:pPr>
            <w:r w:rsidRPr="00FD7489">
              <w:rPr>
                <w:rStyle w:val="normaltextrun"/>
                <w:rFonts w:ascii="Century Gothic" w:hAnsi="Century Gothic"/>
                <w:b/>
                <w:bCs/>
                <w:u w:val="single"/>
              </w:rPr>
              <w:t>Benchmark</w:t>
            </w:r>
            <w:r w:rsidRPr="00FD7489">
              <w:rPr>
                <w:rStyle w:val="eop"/>
                <w:rFonts w:ascii="Century Gothic" w:hAnsi="Century Gothic"/>
                <w:u w:val="single"/>
              </w:rPr>
              <w:t> </w:t>
            </w:r>
          </w:p>
        </w:tc>
        <w:tc>
          <w:tcPr>
            <w:tcW w:w="1890" w:type="dxa"/>
            <w:tcBorders>
              <w:top w:val="nil"/>
              <w:left w:val="single" w:sz="18" w:space="0" w:color="auto"/>
              <w:bottom w:val="single" w:sz="18" w:space="0" w:color="auto"/>
              <w:right w:val="single" w:sz="18" w:space="0" w:color="auto"/>
            </w:tcBorders>
            <w:vAlign w:val="center"/>
            <w:hideMark/>
          </w:tcPr>
          <w:p w14:paraId="51A51C0E" w14:textId="77777777" w:rsidR="00ED79CA" w:rsidRPr="00FD7489" w:rsidRDefault="47FF1295" w:rsidP="1B3F2E6D">
            <w:pPr>
              <w:pStyle w:val="paragraph"/>
              <w:spacing w:before="0" w:beforeAutospacing="0" w:after="0" w:afterAutospacing="0"/>
              <w:jc w:val="center"/>
              <w:textAlignment w:val="baseline"/>
              <w:rPr>
                <w:rFonts w:ascii="Century Gothic" w:hAnsi="Century Gothic" w:cs="Segoe UI"/>
                <w:sz w:val="18"/>
                <w:szCs w:val="18"/>
                <w:u w:val="single"/>
              </w:rPr>
            </w:pPr>
            <w:r w:rsidRPr="00FD7489">
              <w:rPr>
                <w:rStyle w:val="normaltextrun"/>
                <w:rFonts w:ascii="Century Gothic" w:hAnsi="Century Gothic"/>
                <w:b/>
                <w:bCs/>
                <w:u w:val="single"/>
              </w:rPr>
              <w:t>Outcome</w:t>
            </w:r>
            <w:r w:rsidRPr="00FD7489">
              <w:rPr>
                <w:rStyle w:val="eop"/>
                <w:rFonts w:ascii="Century Gothic" w:hAnsi="Century Gothic"/>
                <w:u w:val="single"/>
              </w:rPr>
              <w:t> </w:t>
            </w:r>
          </w:p>
        </w:tc>
        <w:tc>
          <w:tcPr>
            <w:tcW w:w="1800" w:type="dxa"/>
            <w:tcBorders>
              <w:top w:val="nil"/>
              <w:left w:val="single" w:sz="18" w:space="0" w:color="auto"/>
              <w:bottom w:val="single" w:sz="18" w:space="0" w:color="auto"/>
              <w:right w:val="single" w:sz="18" w:space="0" w:color="auto"/>
            </w:tcBorders>
            <w:vAlign w:val="center"/>
            <w:hideMark/>
          </w:tcPr>
          <w:p w14:paraId="46323913" w14:textId="77777777" w:rsidR="00ED79CA" w:rsidRPr="00FD7489" w:rsidRDefault="47FF1295" w:rsidP="1B3F2E6D">
            <w:pPr>
              <w:pStyle w:val="paragraph"/>
              <w:spacing w:before="0" w:beforeAutospacing="0" w:after="0" w:afterAutospacing="0"/>
              <w:jc w:val="center"/>
              <w:textAlignment w:val="baseline"/>
              <w:rPr>
                <w:rFonts w:ascii="Century Gothic" w:hAnsi="Century Gothic" w:cs="Segoe UI"/>
                <w:sz w:val="18"/>
                <w:szCs w:val="18"/>
                <w:u w:val="single"/>
              </w:rPr>
            </w:pPr>
            <w:r w:rsidRPr="00FD7489">
              <w:rPr>
                <w:rStyle w:val="normaltextrun"/>
                <w:rFonts w:ascii="Century Gothic" w:hAnsi="Century Gothic"/>
                <w:b/>
                <w:bCs/>
                <w:u w:val="single"/>
              </w:rPr>
              <w:t>Benchmark Achieved?</w:t>
            </w:r>
            <w:r w:rsidRPr="00FD7489">
              <w:rPr>
                <w:rStyle w:val="eop"/>
                <w:rFonts w:ascii="Century Gothic" w:hAnsi="Century Gothic"/>
                <w:u w:val="single"/>
              </w:rPr>
              <w:t> </w:t>
            </w:r>
          </w:p>
        </w:tc>
      </w:tr>
      <w:tr w:rsidR="00ED79CA" w:rsidRPr="00FD7489" w14:paraId="573820A2" w14:textId="77777777" w:rsidTr="188A1EBF">
        <w:trPr>
          <w:trHeight w:val="1890"/>
        </w:trPr>
        <w:tc>
          <w:tcPr>
            <w:tcW w:w="2700" w:type="dxa"/>
            <w:tcBorders>
              <w:top w:val="single" w:sz="18" w:space="0" w:color="auto"/>
              <w:left w:val="single" w:sz="18" w:space="0" w:color="auto"/>
              <w:bottom w:val="single" w:sz="18" w:space="0" w:color="auto"/>
              <w:right w:val="single" w:sz="18" w:space="0" w:color="auto"/>
            </w:tcBorders>
            <w:hideMark/>
          </w:tcPr>
          <w:p w14:paraId="7DD529CB" w14:textId="2BEC96A3" w:rsidR="00ED79CA" w:rsidRPr="00FD7489" w:rsidRDefault="610C6BB1" w:rsidP="46B3BF7C">
            <w:pPr>
              <w:pStyle w:val="paragraph"/>
              <w:spacing w:before="0" w:beforeAutospacing="0" w:after="0" w:afterAutospacing="0"/>
              <w:textAlignment w:val="baseline"/>
              <w:rPr>
                <w:rStyle w:val="eop"/>
                <w:rFonts w:ascii="Century Gothic" w:hAnsi="Century Gothic"/>
                <w:sz w:val="22"/>
                <w:szCs w:val="22"/>
              </w:rPr>
            </w:pPr>
            <w:r w:rsidRPr="00FD7489">
              <w:rPr>
                <w:rStyle w:val="normaltextrun"/>
                <w:rFonts w:ascii="Century Gothic" w:hAnsi="Century Gothic"/>
                <w:sz w:val="22"/>
                <w:szCs w:val="22"/>
              </w:rPr>
              <w:t xml:space="preserve">Number of new housing units made available for households at or below 80% AMI </w:t>
            </w:r>
            <w:proofErr w:type="gramStart"/>
            <w:r w:rsidRPr="00FD7489">
              <w:rPr>
                <w:rStyle w:val="normaltextrun"/>
                <w:rFonts w:ascii="Century Gothic" w:hAnsi="Century Gothic"/>
                <w:sz w:val="22"/>
                <w:szCs w:val="22"/>
              </w:rPr>
              <w:t>as a result of</w:t>
            </w:r>
            <w:proofErr w:type="gramEnd"/>
            <w:r w:rsidRPr="00FD7489">
              <w:rPr>
                <w:rStyle w:val="normaltextrun"/>
                <w:rFonts w:ascii="Century Gothic" w:hAnsi="Century Gothic"/>
                <w:sz w:val="22"/>
                <w:szCs w:val="22"/>
              </w:rPr>
              <w:t xml:space="preserve"> the activity (increase). </w:t>
            </w:r>
            <w:r w:rsidRPr="00FD7489">
              <w:rPr>
                <w:rStyle w:val="eop"/>
                <w:rFonts w:ascii="Century Gothic" w:hAnsi="Century Gothic"/>
                <w:sz w:val="22"/>
                <w:szCs w:val="22"/>
              </w:rPr>
              <w:t xml:space="preserve">  </w:t>
            </w:r>
          </w:p>
          <w:p w14:paraId="75B154FE" w14:textId="6A6EE37B" w:rsidR="00ED79CA" w:rsidRPr="00FD7489" w:rsidRDefault="00ED79CA" w:rsidP="46B3BF7C">
            <w:pPr>
              <w:pStyle w:val="paragraph"/>
              <w:spacing w:before="0" w:beforeAutospacing="0" w:after="0" w:afterAutospacing="0"/>
              <w:textAlignment w:val="baseline"/>
              <w:rPr>
                <w:rStyle w:val="eop"/>
                <w:rFonts w:ascii="Century Gothic" w:hAnsi="Century Gothic"/>
                <w:b/>
                <w:bCs/>
                <w:sz w:val="22"/>
                <w:szCs w:val="22"/>
              </w:rPr>
            </w:pPr>
          </w:p>
        </w:tc>
        <w:tc>
          <w:tcPr>
            <w:tcW w:w="1890" w:type="dxa"/>
            <w:tcBorders>
              <w:top w:val="single" w:sz="18" w:space="0" w:color="auto"/>
              <w:left w:val="single" w:sz="18" w:space="0" w:color="auto"/>
              <w:bottom w:val="single" w:sz="18" w:space="0" w:color="auto"/>
              <w:right w:val="single" w:sz="18" w:space="0" w:color="auto"/>
            </w:tcBorders>
            <w:hideMark/>
          </w:tcPr>
          <w:p w14:paraId="72029B2E" w14:textId="76332313" w:rsidR="00ED79CA" w:rsidRPr="00FD7489" w:rsidRDefault="610C6BB1" w:rsidP="46B3BF7C">
            <w:pPr>
              <w:pStyle w:val="paragraph"/>
              <w:spacing w:before="0" w:beforeAutospacing="0" w:after="0" w:afterAutospacing="0"/>
              <w:textAlignment w:val="baseline"/>
              <w:rPr>
                <w:rFonts w:ascii="Century Gothic" w:hAnsi="Century Gothic"/>
                <w:b/>
                <w:bCs/>
                <w:sz w:val="22"/>
                <w:szCs w:val="22"/>
              </w:rPr>
            </w:pPr>
            <w:r w:rsidRPr="00FD7489">
              <w:rPr>
                <w:rStyle w:val="normaltextrun"/>
                <w:rFonts w:ascii="Century Gothic" w:hAnsi="Century Gothic"/>
                <w:sz w:val="22"/>
                <w:szCs w:val="22"/>
              </w:rPr>
              <w:t xml:space="preserve">Housing units of this type prior to implementation of the activity (number). </w:t>
            </w:r>
          </w:p>
          <w:p w14:paraId="0FE9E2DE" w14:textId="522CFDA5" w:rsidR="00ED79CA" w:rsidRPr="00FD7489" w:rsidRDefault="00ED79CA" w:rsidP="46B3BF7C">
            <w:pPr>
              <w:pStyle w:val="paragraph"/>
              <w:spacing w:before="0" w:beforeAutospacing="0" w:after="0" w:afterAutospacing="0"/>
              <w:textAlignment w:val="baseline"/>
              <w:rPr>
                <w:rFonts w:ascii="Century Gothic" w:hAnsi="Century Gothic"/>
                <w:b/>
                <w:bCs/>
                <w:sz w:val="22"/>
                <w:szCs w:val="22"/>
              </w:rPr>
            </w:pPr>
          </w:p>
          <w:p w14:paraId="0DFAB8B6" w14:textId="0DB65685" w:rsidR="00ED79CA" w:rsidRPr="00FD7489" w:rsidRDefault="610C6BB1" w:rsidP="46B3BF7C">
            <w:pPr>
              <w:pStyle w:val="paragraph"/>
              <w:spacing w:before="0" w:beforeAutospacing="0" w:after="0" w:afterAutospacing="0"/>
              <w:textAlignment w:val="baseline"/>
              <w:rPr>
                <w:rFonts w:ascii="Century Gothic" w:hAnsi="Century Gothic"/>
                <w:b/>
                <w:bCs/>
                <w:sz w:val="22"/>
                <w:szCs w:val="22"/>
              </w:rPr>
            </w:pPr>
            <w:r w:rsidRPr="00FD7489">
              <w:rPr>
                <w:rFonts w:ascii="Century Gothic" w:hAnsi="Century Gothic"/>
                <w:b/>
                <w:bCs/>
                <w:sz w:val="22"/>
                <w:szCs w:val="22"/>
              </w:rPr>
              <w:t>0</w:t>
            </w:r>
          </w:p>
        </w:tc>
        <w:tc>
          <w:tcPr>
            <w:tcW w:w="1890" w:type="dxa"/>
            <w:tcBorders>
              <w:top w:val="single" w:sz="18" w:space="0" w:color="auto"/>
              <w:left w:val="single" w:sz="18" w:space="0" w:color="auto"/>
              <w:bottom w:val="single" w:sz="18" w:space="0" w:color="auto"/>
              <w:right w:val="single" w:sz="18" w:space="0" w:color="auto"/>
            </w:tcBorders>
            <w:hideMark/>
          </w:tcPr>
          <w:p w14:paraId="4509521B" w14:textId="458398F0" w:rsidR="00ED79CA" w:rsidRPr="00FD7489" w:rsidRDefault="00ED79CA" w:rsidP="46B3BF7C">
            <w:pPr>
              <w:pStyle w:val="paragraph"/>
              <w:spacing w:before="0" w:beforeAutospacing="0" w:after="0" w:afterAutospacing="0"/>
              <w:textAlignment w:val="baseline"/>
              <w:rPr>
                <w:rStyle w:val="eop"/>
                <w:rFonts w:ascii="Century Gothic" w:hAnsi="Century Gothic"/>
                <w:sz w:val="22"/>
                <w:szCs w:val="22"/>
              </w:rPr>
            </w:pPr>
          </w:p>
          <w:p w14:paraId="119F9E7E" w14:textId="77777777" w:rsidR="00ED79CA" w:rsidRPr="00FD7489" w:rsidRDefault="00ED79CA" w:rsidP="00B80A01">
            <w:pPr>
              <w:pStyle w:val="paragraph"/>
              <w:spacing w:before="0" w:beforeAutospacing="0" w:after="0" w:afterAutospacing="0"/>
              <w:textAlignment w:val="baseline"/>
              <w:rPr>
                <w:rStyle w:val="eop"/>
                <w:rFonts w:ascii="Century Gothic" w:hAnsi="Century Gothic"/>
                <w:sz w:val="22"/>
                <w:szCs w:val="22"/>
              </w:rPr>
            </w:pPr>
          </w:p>
          <w:p w14:paraId="33900298" w14:textId="793AB0C3" w:rsidR="00ED79CA" w:rsidRPr="00FD7489" w:rsidRDefault="00ED79CA" w:rsidP="188A1EBF">
            <w:pPr>
              <w:pStyle w:val="paragraph"/>
              <w:spacing w:before="0" w:beforeAutospacing="0" w:after="0" w:afterAutospacing="0"/>
              <w:textAlignment w:val="baseline"/>
              <w:rPr>
                <w:rFonts w:ascii="Century Gothic" w:hAnsi="Century Gothic"/>
                <w:sz w:val="22"/>
                <w:szCs w:val="22"/>
              </w:rPr>
            </w:pPr>
            <w:r w:rsidRPr="188A1EBF">
              <w:rPr>
                <w:rStyle w:val="eop"/>
                <w:rFonts w:ascii="Century Gothic" w:hAnsi="Century Gothic"/>
                <w:sz w:val="22"/>
                <w:szCs w:val="22"/>
              </w:rPr>
              <w:t xml:space="preserve">Up to </w:t>
            </w:r>
            <w:r w:rsidR="3DF01D34" w:rsidRPr="188A1EBF">
              <w:rPr>
                <w:rStyle w:val="eop"/>
                <w:rFonts w:ascii="Century Gothic" w:hAnsi="Century Gothic"/>
                <w:b/>
                <w:bCs/>
                <w:sz w:val="22"/>
                <w:szCs w:val="22"/>
              </w:rPr>
              <w:t>49</w:t>
            </w:r>
          </w:p>
        </w:tc>
        <w:tc>
          <w:tcPr>
            <w:tcW w:w="1890" w:type="dxa"/>
            <w:tcBorders>
              <w:top w:val="single" w:sz="18" w:space="0" w:color="auto"/>
              <w:left w:val="single" w:sz="18" w:space="0" w:color="auto"/>
              <w:bottom w:val="single" w:sz="18" w:space="0" w:color="auto"/>
              <w:right w:val="single" w:sz="18" w:space="0" w:color="auto"/>
            </w:tcBorders>
            <w:hideMark/>
          </w:tcPr>
          <w:p w14:paraId="23D39FA7" w14:textId="08CCE2C8" w:rsidR="651606D0" w:rsidRPr="00FD7489" w:rsidRDefault="7F315BF5" w:rsidP="57BC466A">
            <w:pPr>
              <w:pStyle w:val="paragraph"/>
              <w:spacing w:before="0" w:beforeAutospacing="0" w:after="0" w:afterAutospacing="0"/>
              <w:rPr>
                <w:rFonts w:ascii="Century Gothic" w:hAnsi="Century Gothic"/>
                <w:sz w:val="22"/>
                <w:szCs w:val="22"/>
              </w:rPr>
            </w:pPr>
            <w:r w:rsidRPr="00FD7489">
              <w:rPr>
                <w:rFonts w:ascii="Century Gothic" w:hAnsi="Century Gothic"/>
                <w:sz w:val="22"/>
                <w:szCs w:val="22"/>
              </w:rPr>
              <w:t>2024:</w:t>
            </w:r>
            <w:r w:rsidR="46A3F5E7" w:rsidRPr="00FD7489">
              <w:rPr>
                <w:rFonts w:ascii="Century Gothic" w:hAnsi="Century Gothic"/>
                <w:sz w:val="22"/>
                <w:szCs w:val="22"/>
              </w:rPr>
              <w:t>0</w:t>
            </w:r>
          </w:p>
          <w:p w14:paraId="6F01FF19" w14:textId="64C460AA" w:rsidR="00ED79CA" w:rsidRPr="00FD7489" w:rsidRDefault="55DC1019" w:rsidP="6F807E50">
            <w:pPr>
              <w:pStyle w:val="paragraph"/>
              <w:spacing w:before="0" w:beforeAutospacing="0" w:after="0" w:afterAutospacing="0"/>
              <w:rPr>
                <w:rFonts w:ascii="Century Gothic" w:hAnsi="Century Gothic"/>
              </w:rPr>
            </w:pPr>
            <w:r w:rsidRPr="00FD7489">
              <w:rPr>
                <w:rFonts w:ascii="Century Gothic" w:hAnsi="Century Gothic"/>
                <w:sz w:val="22"/>
                <w:szCs w:val="22"/>
              </w:rPr>
              <w:t>2023: 0</w:t>
            </w:r>
          </w:p>
          <w:p w14:paraId="2D3DD7B9" w14:textId="5F3C8B45" w:rsidR="00ED79CA" w:rsidRPr="00FD7489" w:rsidRDefault="55DC1019" w:rsidP="6F807E50">
            <w:pPr>
              <w:pStyle w:val="paragraph"/>
              <w:spacing w:before="0" w:beforeAutospacing="0" w:after="0" w:afterAutospacing="0"/>
              <w:rPr>
                <w:rFonts w:ascii="Century Gothic" w:hAnsi="Century Gothic"/>
              </w:rPr>
            </w:pPr>
            <w:r w:rsidRPr="00FD7489">
              <w:rPr>
                <w:rFonts w:ascii="Century Gothic" w:hAnsi="Century Gothic"/>
                <w:sz w:val="22"/>
                <w:szCs w:val="22"/>
              </w:rPr>
              <w:t xml:space="preserve">2022: </w:t>
            </w:r>
            <w:r w:rsidR="0705B4B8" w:rsidRPr="00FD7489">
              <w:rPr>
                <w:rFonts w:ascii="Century Gothic" w:hAnsi="Century Gothic"/>
                <w:sz w:val="22"/>
                <w:szCs w:val="22"/>
              </w:rPr>
              <w:t>0</w:t>
            </w:r>
          </w:p>
          <w:p w14:paraId="3889A01C" w14:textId="77777777" w:rsidR="00ED79CA" w:rsidRPr="00FD7489" w:rsidRDefault="00ED79CA" w:rsidP="00B80A01">
            <w:pPr>
              <w:pStyle w:val="paragraph"/>
              <w:spacing w:before="0" w:beforeAutospacing="0" w:after="0" w:afterAutospacing="0"/>
              <w:jc w:val="center"/>
              <w:textAlignment w:val="baseline"/>
              <w:rPr>
                <w:rFonts w:ascii="Century Gothic" w:hAnsi="Century Gothic"/>
                <w:sz w:val="22"/>
                <w:szCs w:val="22"/>
              </w:rPr>
            </w:pPr>
          </w:p>
        </w:tc>
        <w:tc>
          <w:tcPr>
            <w:tcW w:w="1800" w:type="dxa"/>
            <w:tcBorders>
              <w:top w:val="single" w:sz="18" w:space="0" w:color="auto"/>
              <w:left w:val="single" w:sz="18" w:space="0" w:color="auto"/>
              <w:bottom w:val="single" w:sz="18" w:space="0" w:color="auto"/>
              <w:right w:val="single" w:sz="18" w:space="0" w:color="auto"/>
            </w:tcBorders>
            <w:hideMark/>
          </w:tcPr>
          <w:p w14:paraId="12D02C17" w14:textId="6A6A4A06" w:rsidR="00ED79CA" w:rsidRPr="00FD7489" w:rsidRDefault="7D1AFE3A" w:rsidP="46B3BF7C">
            <w:pPr>
              <w:pStyle w:val="paragraph"/>
              <w:spacing w:before="0" w:beforeAutospacing="0" w:after="0" w:afterAutospacing="0"/>
              <w:rPr>
                <w:rStyle w:val="eop"/>
                <w:rFonts w:ascii="Century Gothic" w:hAnsi="Century Gothic"/>
              </w:rPr>
            </w:pPr>
            <w:r w:rsidRPr="00FD7489">
              <w:rPr>
                <w:rStyle w:val="eop"/>
                <w:rFonts w:ascii="Century Gothic" w:hAnsi="Century Gothic"/>
                <w:sz w:val="22"/>
                <w:szCs w:val="22"/>
              </w:rPr>
              <w:t>No</w:t>
            </w:r>
          </w:p>
        </w:tc>
      </w:tr>
    </w:tbl>
    <w:p w14:paraId="1F48BC1F" w14:textId="77777777" w:rsidR="00ED79CA" w:rsidRPr="00FD7489" w:rsidRDefault="00ED79CA" w:rsidP="00ED79CA">
      <w:pPr>
        <w:pStyle w:val="ListParagraph"/>
        <w:ind w:left="2160"/>
        <w:rPr>
          <w:rFonts w:ascii="Century Gothic" w:hAnsi="Century Gothic"/>
          <w:b/>
          <w:bCs/>
          <w:szCs w:val="22"/>
        </w:rPr>
      </w:pPr>
    </w:p>
    <w:tbl>
      <w:tblPr>
        <w:tblW w:w="101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86"/>
        <w:gridCol w:w="1897"/>
        <w:gridCol w:w="1440"/>
        <w:gridCol w:w="3324"/>
        <w:gridCol w:w="1800"/>
      </w:tblGrid>
      <w:tr w:rsidR="00ED79CA" w:rsidRPr="00FD7489" w14:paraId="0E7E4985" w14:textId="77777777" w:rsidTr="003317E0">
        <w:tc>
          <w:tcPr>
            <w:tcW w:w="10147" w:type="dxa"/>
            <w:gridSpan w:val="5"/>
            <w:tcBorders>
              <w:bottom w:val="single" w:sz="18" w:space="0" w:color="auto"/>
            </w:tcBorders>
          </w:tcPr>
          <w:p w14:paraId="4465BFDD" w14:textId="77777777" w:rsidR="00ED79CA" w:rsidRPr="00FD7489" w:rsidRDefault="00ED79CA" w:rsidP="00B80A01">
            <w:pPr>
              <w:jc w:val="center"/>
              <w:rPr>
                <w:rFonts w:ascii="Century Gothic" w:hAnsi="Century Gothic"/>
                <w:b/>
                <w:i/>
                <w:szCs w:val="22"/>
              </w:rPr>
            </w:pPr>
            <w:r w:rsidRPr="00FD7489">
              <w:rPr>
                <w:rFonts w:ascii="Century Gothic" w:hAnsi="Century Gothic"/>
                <w:b/>
                <w:i/>
                <w:szCs w:val="22"/>
              </w:rPr>
              <w:t>CE #4: Increase in Resources Leveraged</w:t>
            </w:r>
          </w:p>
        </w:tc>
      </w:tr>
      <w:tr w:rsidR="00ED79CA" w:rsidRPr="00FD7489" w14:paraId="1BC78A13" w14:textId="77777777" w:rsidTr="003317E0">
        <w:tc>
          <w:tcPr>
            <w:tcW w:w="1686" w:type="dxa"/>
            <w:vAlign w:val="center"/>
          </w:tcPr>
          <w:p w14:paraId="1DD72AB1" w14:textId="77777777" w:rsidR="00ED79CA" w:rsidRPr="00FD7489" w:rsidRDefault="00ED79CA" w:rsidP="00B80A01">
            <w:pPr>
              <w:jc w:val="center"/>
              <w:rPr>
                <w:rFonts w:ascii="Century Gothic" w:hAnsi="Century Gothic"/>
                <w:b/>
                <w:szCs w:val="22"/>
              </w:rPr>
            </w:pPr>
            <w:r w:rsidRPr="00FD7489">
              <w:rPr>
                <w:rFonts w:ascii="Century Gothic" w:hAnsi="Century Gothic"/>
                <w:b/>
                <w:szCs w:val="22"/>
              </w:rPr>
              <w:t>Unit of Measurement</w:t>
            </w:r>
          </w:p>
        </w:tc>
        <w:tc>
          <w:tcPr>
            <w:tcW w:w="1897" w:type="dxa"/>
            <w:vAlign w:val="center"/>
          </w:tcPr>
          <w:p w14:paraId="628D84B1" w14:textId="77777777" w:rsidR="00ED79CA" w:rsidRPr="00FD7489" w:rsidRDefault="00ED79CA" w:rsidP="00B80A01">
            <w:pPr>
              <w:jc w:val="center"/>
              <w:rPr>
                <w:rFonts w:ascii="Century Gothic" w:hAnsi="Century Gothic"/>
                <w:b/>
                <w:szCs w:val="22"/>
              </w:rPr>
            </w:pPr>
            <w:r w:rsidRPr="00FD7489">
              <w:rPr>
                <w:rFonts w:ascii="Century Gothic" w:hAnsi="Century Gothic"/>
                <w:b/>
                <w:szCs w:val="22"/>
              </w:rPr>
              <w:t>Baseline</w:t>
            </w:r>
          </w:p>
        </w:tc>
        <w:tc>
          <w:tcPr>
            <w:tcW w:w="1440" w:type="dxa"/>
            <w:vAlign w:val="center"/>
          </w:tcPr>
          <w:p w14:paraId="6A286393" w14:textId="77777777" w:rsidR="00ED79CA" w:rsidRPr="00FD7489" w:rsidRDefault="00ED79CA" w:rsidP="00B80A01">
            <w:pPr>
              <w:jc w:val="center"/>
              <w:rPr>
                <w:rFonts w:ascii="Century Gothic" w:hAnsi="Century Gothic"/>
                <w:b/>
                <w:szCs w:val="22"/>
              </w:rPr>
            </w:pPr>
            <w:r w:rsidRPr="00FD7489">
              <w:rPr>
                <w:rFonts w:ascii="Century Gothic" w:hAnsi="Century Gothic"/>
                <w:b/>
                <w:szCs w:val="22"/>
              </w:rPr>
              <w:t>Benchmark</w:t>
            </w:r>
          </w:p>
        </w:tc>
        <w:tc>
          <w:tcPr>
            <w:tcW w:w="3324" w:type="dxa"/>
            <w:vAlign w:val="center"/>
          </w:tcPr>
          <w:p w14:paraId="2A80E01C" w14:textId="77777777" w:rsidR="00ED79CA" w:rsidRPr="00FD7489" w:rsidRDefault="47FF1295" w:rsidP="1B3F2E6D">
            <w:pPr>
              <w:jc w:val="center"/>
              <w:rPr>
                <w:rFonts w:ascii="Century Gothic" w:hAnsi="Century Gothic"/>
                <w:b/>
                <w:bCs/>
              </w:rPr>
            </w:pPr>
            <w:r w:rsidRPr="00FD7489">
              <w:rPr>
                <w:rFonts w:ascii="Century Gothic" w:hAnsi="Century Gothic"/>
                <w:b/>
                <w:bCs/>
              </w:rPr>
              <w:t>Outcome</w:t>
            </w:r>
          </w:p>
        </w:tc>
        <w:tc>
          <w:tcPr>
            <w:tcW w:w="1800" w:type="dxa"/>
            <w:vAlign w:val="center"/>
          </w:tcPr>
          <w:p w14:paraId="2D22669E" w14:textId="77777777" w:rsidR="00ED79CA" w:rsidRPr="00FD7489" w:rsidRDefault="47FF1295" w:rsidP="1B3F2E6D">
            <w:pPr>
              <w:jc w:val="center"/>
              <w:rPr>
                <w:rFonts w:ascii="Century Gothic" w:hAnsi="Century Gothic"/>
                <w:b/>
                <w:bCs/>
              </w:rPr>
            </w:pPr>
            <w:r w:rsidRPr="00FD7489">
              <w:rPr>
                <w:rFonts w:ascii="Century Gothic" w:hAnsi="Century Gothic"/>
                <w:b/>
                <w:bCs/>
              </w:rPr>
              <w:t>Benchmark Achieved?</w:t>
            </w:r>
          </w:p>
        </w:tc>
      </w:tr>
      <w:tr w:rsidR="00ED79CA" w:rsidRPr="00FD7489" w14:paraId="514478B0" w14:textId="77777777" w:rsidTr="003317E0">
        <w:trPr>
          <w:trHeight w:val="1994"/>
        </w:trPr>
        <w:tc>
          <w:tcPr>
            <w:tcW w:w="1686" w:type="dxa"/>
          </w:tcPr>
          <w:p w14:paraId="5108CA1A" w14:textId="77777777" w:rsidR="00ED79CA" w:rsidRPr="00FD7489" w:rsidRDefault="610C6BB1" w:rsidP="46B3BF7C">
            <w:pPr>
              <w:rPr>
                <w:rFonts w:ascii="Century Gothic" w:eastAsia="Times New Roman" w:hAnsi="Century Gothic"/>
                <w:b/>
                <w:bCs/>
              </w:rPr>
            </w:pPr>
            <w:r w:rsidRPr="00FD7489">
              <w:rPr>
                <w:rFonts w:ascii="Century Gothic" w:eastAsia="Times New Roman" w:hAnsi="Century Gothic"/>
                <w:b/>
                <w:bCs/>
              </w:rPr>
              <w:t>Amount of funds leveraged in dollars (increase).</w:t>
            </w:r>
          </w:p>
          <w:p w14:paraId="593E210F" w14:textId="77777777" w:rsidR="00ED79CA" w:rsidRPr="00FD7489" w:rsidRDefault="00ED79CA" w:rsidP="46B3BF7C">
            <w:pPr>
              <w:rPr>
                <w:rFonts w:ascii="Century Gothic" w:eastAsia="Times New Roman" w:hAnsi="Century Gothic"/>
                <w:b/>
                <w:bCs/>
              </w:rPr>
            </w:pPr>
          </w:p>
          <w:p w14:paraId="3F871F94" w14:textId="55ADA42D" w:rsidR="00ED79CA" w:rsidRPr="00FD7489" w:rsidRDefault="00ED79CA" w:rsidP="4C4F5E4A">
            <w:pPr>
              <w:rPr>
                <w:rFonts w:ascii="Century Gothic" w:eastAsia="Times New Roman" w:hAnsi="Century Gothic"/>
                <w:b/>
                <w:bCs/>
              </w:rPr>
            </w:pPr>
          </w:p>
        </w:tc>
        <w:tc>
          <w:tcPr>
            <w:tcW w:w="1897" w:type="dxa"/>
          </w:tcPr>
          <w:p w14:paraId="51DB4198" w14:textId="6013572B" w:rsidR="00ED79CA" w:rsidRPr="00FD7489" w:rsidRDefault="610C6BB1" w:rsidP="46B3BF7C">
            <w:pPr>
              <w:rPr>
                <w:rFonts w:ascii="Century Gothic" w:eastAsia="Times New Roman" w:hAnsi="Century Gothic"/>
                <w:b/>
                <w:bCs/>
              </w:rPr>
            </w:pPr>
            <w:r w:rsidRPr="00FD7489">
              <w:rPr>
                <w:rFonts w:ascii="Century Gothic" w:eastAsia="Times New Roman" w:hAnsi="Century Gothic"/>
                <w:b/>
                <w:bCs/>
              </w:rPr>
              <w:t xml:space="preserve">Amount leveraged prior to implementation of the activity (in dollars). </w:t>
            </w:r>
          </w:p>
          <w:p w14:paraId="134A7161" w14:textId="0353C459" w:rsidR="00ED79CA" w:rsidRPr="00FD7489" w:rsidRDefault="00ED79CA" w:rsidP="46B3BF7C">
            <w:pPr>
              <w:rPr>
                <w:rFonts w:ascii="Century Gothic" w:eastAsia="Times New Roman" w:hAnsi="Century Gothic"/>
                <w:b/>
                <w:bCs/>
              </w:rPr>
            </w:pPr>
          </w:p>
          <w:p w14:paraId="3DD35685" w14:textId="6C1ACF6A" w:rsidR="00ED79CA" w:rsidRPr="00FD7489" w:rsidRDefault="610C6BB1" w:rsidP="4C4F5E4A">
            <w:pPr>
              <w:rPr>
                <w:rFonts w:ascii="Century Gothic" w:eastAsia="Times New Roman" w:hAnsi="Century Gothic"/>
                <w:b/>
                <w:bCs/>
              </w:rPr>
            </w:pPr>
            <w:r w:rsidRPr="00FD7489">
              <w:rPr>
                <w:rFonts w:ascii="Century Gothic" w:eastAsia="Times New Roman" w:hAnsi="Century Gothic"/>
                <w:b/>
                <w:bCs/>
              </w:rPr>
              <w:t>$0</w:t>
            </w:r>
          </w:p>
        </w:tc>
        <w:tc>
          <w:tcPr>
            <w:tcW w:w="1440" w:type="dxa"/>
          </w:tcPr>
          <w:p w14:paraId="0D2F5431" w14:textId="48963A4F" w:rsidR="00ED79CA" w:rsidRPr="00FD7489" w:rsidRDefault="00ED79CA" w:rsidP="46B3BF7C">
            <w:pPr>
              <w:rPr>
                <w:rFonts w:ascii="Century Gothic" w:eastAsia="Times New Roman" w:hAnsi="Century Gothic"/>
              </w:rPr>
            </w:pPr>
          </w:p>
          <w:p w14:paraId="639E57E9" w14:textId="47B08B8D" w:rsidR="00ED79CA" w:rsidRPr="00FD7489" w:rsidRDefault="610C6BB1" w:rsidP="46B3BF7C">
            <w:pPr>
              <w:rPr>
                <w:rFonts w:ascii="Century Gothic" w:eastAsia="Times New Roman" w:hAnsi="Century Gothic"/>
              </w:rPr>
            </w:pPr>
            <w:r w:rsidRPr="00FD7489">
              <w:rPr>
                <w:rFonts w:ascii="Century Gothic" w:eastAsia="Times New Roman" w:hAnsi="Century Gothic"/>
              </w:rPr>
              <w:t xml:space="preserve"> $29M</w:t>
            </w:r>
          </w:p>
        </w:tc>
        <w:tc>
          <w:tcPr>
            <w:tcW w:w="3324" w:type="dxa"/>
          </w:tcPr>
          <w:p w14:paraId="38C7B828" w14:textId="5AC2E05D" w:rsidR="00996294" w:rsidRPr="00FD7489" w:rsidRDefault="14F68D0E" w:rsidP="54BD8CC3">
            <w:pPr>
              <w:pStyle w:val="paragraph"/>
              <w:spacing w:before="0" w:beforeAutospacing="0" w:after="0" w:afterAutospacing="0"/>
              <w:rPr>
                <w:rFonts w:ascii="Century Gothic" w:hAnsi="Century Gothic"/>
              </w:rPr>
            </w:pPr>
            <w:r w:rsidRPr="54BD8CC3">
              <w:rPr>
                <w:rFonts w:ascii="Century Gothic" w:hAnsi="Century Gothic"/>
                <w:sz w:val="22"/>
                <w:szCs w:val="22"/>
              </w:rPr>
              <w:t>2024:</w:t>
            </w:r>
            <w:r w:rsidR="001F0A5A">
              <w:rPr>
                <w:rFonts w:ascii="Century Gothic" w:hAnsi="Century Gothic"/>
                <w:sz w:val="22"/>
                <w:szCs w:val="22"/>
              </w:rPr>
              <w:t xml:space="preserve"> </w:t>
            </w:r>
            <w:r w:rsidR="00D13636">
              <w:rPr>
                <w:rFonts w:ascii="Century Gothic" w:hAnsi="Century Gothic"/>
                <w:sz w:val="22"/>
                <w:szCs w:val="22"/>
              </w:rPr>
              <w:t>$0</w:t>
            </w:r>
          </w:p>
          <w:p w14:paraId="659A03A5" w14:textId="13800224" w:rsidR="00996294" w:rsidRPr="00FD7489" w:rsidRDefault="2F4284B7" w:rsidP="188A1EBF">
            <w:pPr>
              <w:pStyle w:val="paragraph"/>
              <w:spacing w:before="0" w:beforeAutospacing="0" w:after="0" w:afterAutospacing="0"/>
              <w:rPr>
                <w:rFonts w:ascii="Century Gothic" w:hAnsi="Century Gothic"/>
              </w:rPr>
            </w:pPr>
            <w:r w:rsidRPr="188A1EBF">
              <w:rPr>
                <w:rFonts w:ascii="Century Gothic" w:hAnsi="Century Gothic"/>
                <w:sz w:val="22"/>
                <w:szCs w:val="22"/>
              </w:rPr>
              <w:t xml:space="preserve">2023: </w:t>
            </w:r>
            <w:r w:rsidR="4294FAA2" w:rsidRPr="188A1EBF">
              <w:rPr>
                <w:rFonts w:ascii="Century Gothic" w:hAnsi="Century Gothic"/>
                <w:sz w:val="22"/>
                <w:szCs w:val="22"/>
              </w:rPr>
              <w:t>$</w:t>
            </w:r>
            <w:r w:rsidR="4BC87BA8" w:rsidRPr="188A1EBF">
              <w:rPr>
                <w:rFonts w:ascii="Century Gothic" w:hAnsi="Century Gothic"/>
                <w:sz w:val="22"/>
                <w:szCs w:val="22"/>
              </w:rPr>
              <w:t>0</w:t>
            </w:r>
          </w:p>
          <w:p w14:paraId="59F37204" w14:textId="55654E0C" w:rsidR="00996294" w:rsidRPr="00FD7489" w:rsidRDefault="3A1DE9F6" w:rsidP="4C4F5E4A">
            <w:pPr>
              <w:pStyle w:val="paragraph"/>
              <w:spacing w:before="0" w:beforeAutospacing="0" w:after="0" w:afterAutospacing="0"/>
              <w:rPr>
                <w:rFonts w:ascii="Century Gothic" w:hAnsi="Century Gothic"/>
                <w:sz w:val="22"/>
                <w:szCs w:val="22"/>
              </w:rPr>
            </w:pPr>
            <w:r w:rsidRPr="00FD7489">
              <w:rPr>
                <w:rFonts w:ascii="Century Gothic" w:hAnsi="Century Gothic"/>
                <w:sz w:val="22"/>
                <w:szCs w:val="22"/>
              </w:rPr>
              <w:t xml:space="preserve">2022: </w:t>
            </w:r>
            <w:r w:rsidR="0D32511C" w:rsidRPr="51F3DF13">
              <w:rPr>
                <w:rFonts w:ascii="Century Gothic" w:hAnsi="Century Gothic"/>
                <w:sz w:val="22"/>
                <w:szCs w:val="22"/>
              </w:rPr>
              <w:t>$</w:t>
            </w:r>
            <w:r w:rsidRPr="00FD7489">
              <w:rPr>
                <w:rFonts w:ascii="Century Gothic" w:hAnsi="Century Gothic"/>
                <w:sz w:val="22"/>
                <w:szCs w:val="22"/>
              </w:rPr>
              <w:t>0</w:t>
            </w:r>
          </w:p>
          <w:p w14:paraId="3C145BAD" w14:textId="34DB1424" w:rsidR="00ED79CA" w:rsidRPr="00FD7489" w:rsidRDefault="00ED79CA" w:rsidP="4C4F5E4A">
            <w:pPr>
              <w:rPr>
                <w:rFonts w:ascii="Century Gothic" w:eastAsia="Times New Roman" w:hAnsi="Century Gothic"/>
              </w:rPr>
            </w:pPr>
          </w:p>
        </w:tc>
        <w:tc>
          <w:tcPr>
            <w:tcW w:w="1800" w:type="dxa"/>
          </w:tcPr>
          <w:p w14:paraId="740DD22A" w14:textId="175A3423" w:rsidR="00ED79CA" w:rsidRPr="00FD7489" w:rsidRDefault="6A045810" w:rsidP="46B3BF7C">
            <w:pPr>
              <w:rPr>
                <w:rFonts w:ascii="Century Gothic" w:eastAsia="Times New Roman" w:hAnsi="Century Gothic"/>
              </w:rPr>
            </w:pPr>
            <w:r w:rsidRPr="00FD7489">
              <w:rPr>
                <w:rFonts w:ascii="Century Gothic" w:eastAsia="Times New Roman" w:hAnsi="Century Gothic"/>
              </w:rPr>
              <w:t>No</w:t>
            </w:r>
          </w:p>
        </w:tc>
      </w:tr>
    </w:tbl>
    <w:p w14:paraId="4AD6D346" w14:textId="77777777" w:rsidR="00ED79CA" w:rsidRPr="00647721" w:rsidRDefault="00ED79CA" w:rsidP="00ED79CA">
      <w:pPr>
        <w:pStyle w:val="ListParagraph"/>
        <w:ind w:left="990"/>
        <w:rPr>
          <w:rFonts w:ascii="Century Gothic" w:hAnsi="Century Gothic"/>
          <w:b/>
          <w:bCs/>
          <w:szCs w:val="22"/>
        </w:rPr>
      </w:pPr>
    </w:p>
    <w:bookmarkEnd w:id="128"/>
    <w:p w14:paraId="7F2258D9" w14:textId="77777777" w:rsidR="00C8120E" w:rsidRPr="00647721" w:rsidRDefault="00C8120E" w:rsidP="00ED79CA">
      <w:pPr>
        <w:rPr>
          <w:rStyle w:val="SubtleEmphasis"/>
          <w:rFonts w:ascii="Century Gothic" w:hAnsi="Century Gothic"/>
          <w:color w:val="808080" w:themeColor="background1" w:themeShade="80"/>
          <w:sz w:val="22"/>
          <w:szCs w:val="22"/>
        </w:rPr>
      </w:pPr>
    </w:p>
    <w:p w14:paraId="1B71F0EF" w14:textId="517E8E35" w:rsidR="00290DB3" w:rsidRPr="00647721" w:rsidRDefault="6B0DEF4F" w:rsidP="00ED79CA">
      <w:pPr>
        <w:rPr>
          <w:rStyle w:val="SubtleEmphasis"/>
          <w:rFonts w:ascii="Century Gothic" w:hAnsi="Century Gothic"/>
          <w:b/>
          <w:bCs/>
          <w:color w:val="808080" w:themeColor="background1" w:themeShade="80"/>
          <w:sz w:val="22"/>
          <w:szCs w:val="22"/>
        </w:rPr>
      </w:pPr>
      <w:r w:rsidRPr="00647721">
        <w:rPr>
          <w:rStyle w:val="SubtleEmphasis"/>
          <w:rFonts w:ascii="Century Gothic" w:hAnsi="Century Gothic"/>
          <w:b/>
          <w:bCs/>
          <w:color w:val="808080" w:themeColor="background1" w:themeShade="80"/>
          <w:sz w:val="22"/>
          <w:szCs w:val="22"/>
        </w:rPr>
        <w:t>Actual Non-Significant Changes</w:t>
      </w:r>
    </w:p>
    <w:p w14:paraId="70385BE9" w14:textId="3EDBC909" w:rsidR="5CFAC501" w:rsidRPr="00647721" w:rsidRDefault="348C3F0B" w:rsidP="4566E4F4">
      <w:pPr>
        <w:rPr>
          <w:rStyle w:val="SubtleEmphasis"/>
          <w:rFonts w:ascii="Century Gothic" w:eastAsia="MS PGothic" w:hAnsi="Century Gothic"/>
          <w:b/>
          <w:bCs/>
          <w:color w:val="808080" w:themeColor="background1" w:themeShade="80"/>
          <w:sz w:val="22"/>
          <w:szCs w:val="22"/>
        </w:rPr>
      </w:pPr>
      <w:r w:rsidRPr="00647721">
        <w:rPr>
          <w:rStyle w:val="SubtleEmphasis"/>
          <w:rFonts w:ascii="Century Gothic" w:eastAsia="MS PGothic" w:hAnsi="Century Gothic"/>
          <w:b/>
          <w:bCs/>
          <w:color w:val="808080" w:themeColor="background1" w:themeShade="80"/>
          <w:sz w:val="22"/>
          <w:szCs w:val="22"/>
        </w:rPr>
        <w:t xml:space="preserve">None </w:t>
      </w:r>
    </w:p>
    <w:p w14:paraId="5A85CD37" w14:textId="77777777" w:rsidR="000B45F9" w:rsidRPr="00647721" w:rsidRDefault="000B45F9" w:rsidP="3C3EEDA0">
      <w:pPr>
        <w:rPr>
          <w:rStyle w:val="SubtleEmphasis"/>
          <w:rFonts w:ascii="Century Gothic" w:hAnsi="Century Gothic"/>
          <w:color w:val="808080" w:themeColor="background1" w:themeShade="80"/>
          <w:sz w:val="22"/>
          <w:szCs w:val="22"/>
        </w:rPr>
      </w:pPr>
    </w:p>
    <w:p w14:paraId="5B40D1C2" w14:textId="77777777" w:rsidR="000B45F9" w:rsidRPr="00647721" w:rsidRDefault="000B45F9" w:rsidP="3C3EEDA0">
      <w:pPr>
        <w:rPr>
          <w:rStyle w:val="SubtleEmphasis"/>
          <w:rFonts w:ascii="Century Gothic" w:eastAsiaTheme="majorEastAsia" w:hAnsi="Century Gothic"/>
          <w:color w:val="808080" w:themeColor="background1" w:themeShade="80"/>
          <w:sz w:val="22"/>
          <w:szCs w:val="22"/>
        </w:rPr>
      </w:pPr>
    </w:p>
    <w:p w14:paraId="339F729A" w14:textId="027EF31A" w:rsidR="00C8120E" w:rsidRPr="00647721" w:rsidRDefault="6B0DEF4F" w:rsidP="3C3EEDA0">
      <w:pPr>
        <w:rPr>
          <w:rStyle w:val="SubtleEmphasis"/>
          <w:rFonts w:ascii="Century Gothic" w:eastAsiaTheme="majorEastAsia" w:hAnsi="Century Gothic"/>
          <w:color w:val="808080" w:themeColor="background1" w:themeShade="80"/>
          <w:sz w:val="22"/>
          <w:szCs w:val="22"/>
        </w:rPr>
      </w:pPr>
      <w:r w:rsidRPr="00647721">
        <w:rPr>
          <w:rStyle w:val="SubtleEmphasis"/>
          <w:rFonts w:ascii="Century Gothic" w:eastAsiaTheme="majorEastAsia" w:hAnsi="Century Gothic"/>
          <w:color w:val="808080" w:themeColor="background1" w:themeShade="80"/>
          <w:sz w:val="22"/>
          <w:szCs w:val="22"/>
        </w:rPr>
        <w:t>Actual Significant Changes</w:t>
      </w:r>
    </w:p>
    <w:p w14:paraId="4AC55358" w14:textId="00D84B3F" w:rsidR="4D7718E8" w:rsidRPr="00647721" w:rsidRDefault="4D7718E8" w:rsidP="3C3EEDA0">
      <w:pPr>
        <w:rPr>
          <w:rStyle w:val="SubtleEmphasis"/>
          <w:rFonts w:ascii="Century Gothic" w:eastAsia="MS PGothic" w:hAnsi="Century Gothic"/>
          <w:color w:val="auto"/>
          <w:sz w:val="22"/>
          <w:szCs w:val="22"/>
        </w:rPr>
      </w:pPr>
      <w:r w:rsidRPr="00647721">
        <w:rPr>
          <w:rStyle w:val="SubtleEmphasis"/>
          <w:rFonts w:ascii="Century Gothic" w:eastAsiaTheme="majorEastAsia" w:hAnsi="Century Gothic"/>
          <w:color w:val="auto"/>
          <w:sz w:val="22"/>
          <w:szCs w:val="22"/>
        </w:rPr>
        <w:t>None</w:t>
      </w:r>
    </w:p>
    <w:p w14:paraId="49DCB884" w14:textId="64B01146" w:rsidR="00C8120E" w:rsidRPr="00647721" w:rsidRDefault="00C8120E" w:rsidP="00C8120E">
      <w:pPr>
        <w:rPr>
          <w:rStyle w:val="SubtleEmphasis"/>
          <w:rFonts w:ascii="Century Gothic" w:eastAsiaTheme="majorEastAsia" w:hAnsi="Century Gothic"/>
          <w:b/>
          <w:bCs/>
          <w:color w:val="808080" w:themeColor="background1" w:themeShade="80"/>
          <w:sz w:val="22"/>
          <w:szCs w:val="22"/>
        </w:rPr>
      </w:pPr>
    </w:p>
    <w:p w14:paraId="5193919B" w14:textId="77777777" w:rsidR="00C8120E" w:rsidRDefault="00C8120E" w:rsidP="00C8120E">
      <w:pPr>
        <w:rPr>
          <w:rStyle w:val="SubtleEmphasis"/>
          <w:rFonts w:ascii="Times New Roman" w:eastAsiaTheme="majorEastAsia" w:hAnsi="Times New Roman"/>
          <w:b/>
          <w:bCs/>
          <w:color w:val="808080" w:themeColor="background1" w:themeShade="80"/>
          <w:sz w:val="22"/>
          <w:szCs w:val="22"/>
        </w:rPr>
      </w:pPr>
    </w:p>
    <w:p w14:paraId="6D05CBE6" w14:textId="51384B8E" w:rsidR="003317E0" w:rsidRDefault="003317E0" w:rsidP="00ED79CA">
      <w:pPr>
        <w:rPr>
          <w:rFonts w:ascii="Franklin Gothic Book" w:hAnsi="Franklin Gothic Book"/>
        </w:rPr>
      </w:pPr>
      <w:r>
        <w:rPr>
          <w:rFonts w:ascii="Franklin Gothic Book" w:hAnsi="Franklin Gothic Book"/>
        </w:rPr>
        <w:br w:type="page"/>
      </w:r>
    </w:p>
    <w:bookmarkEnd w:id="126"/>
    <w:p w14:paraId="049754E0" w14:textId="74DA6F33" w:rsidR="00B04C09" w:rsidRPr="0037731C" w:rsidRDefault="00DE6A54" w:rsidP="006C10EA">
      <w:pPr>
        <w:rPr>
          <w:rFonts w:ascii="Century Gothic" w:hAnsi="Century Gothic"/>
          <w:b/>
          <w:bCs/>
        </w:rPr>
      </w:pPr>
      <w:r w:rsidRPr="0037731C">
        <w:rPr>
          <w:rFonts w:ascii="Century Gothic" w:hAnsi="Century Gothic"/>
          <w:noProof/>
        </w:rPr>
        <w:lastRenderedPageBreak/>
        <mc:AlternateContent>
          <mc:Choice Requires="wps">
            <w:drawing>
              <wp:anchor distT="0" distB="0" distL="114300" distR="114300" simplePos="0" relativeHeight="251658269" behindDoc="0" locked="0" layoutInCell="1" allowOverlap="1" wp14:anchorId="671EC962" wp14:editId="1EC7E28B">
                <wp:simplePos x="0" y="0"/>
                <wp:positionH relativeFrom="margin">
                  <wp:posOffset>4562475</wp:posOffset>
                </wp:positionH>
                <wp:positionV relativeFrom="paragraph">
                  <wp:posOffset>171450</wp:posOffset>
                </wp:positionV>
                <wp:extent cx="1876425" cy="304800"/>
                <wp:effectExtent l="0" t="0" r="9525" b="0"/>
                <wp:wrapNone/>
                <wp:docPr id="456"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76425" cy="304800"/>
                        </a:xfrm>
                        <a:prstGeom prst="roundRect">
                          <a:avLst/>
                        </a:prstGeom>
                        <a:solidFill>
                          <a:srgbClr val="B5333C"/>
                        </a:solidFill>
                        <a:ln w="12700" cap="flat" cmpd="sng" algn="ctr">
                          <a:solidFill>
                            <a:sysClr val="window" lastClr="FFFFFF"/>
                          </a:solidFill>
                          <a:prstDash val="solid"/>
                          <a:miter lim="800000"/>
                        </a:ln>
                        <a:effectLst/>
                      </wps:spPr>
                      <wps:txbx>
                        <w:txbxContent>
                          <w:p w14:paraId="4CCA1223" w14:textId="77777777" w:rsidR="00B04C09" w:rsidRPr="004C470A" w:rsidRDefault="00B04C09" w:rsidP="00B04C09">
                            <w:pPr>
                              <w:jc w:val="center"/>
                              <w:rPr>
                                <w:b/>
                                <w:color w:val="FFFFFF" w:themeColor="background1"/>
                                <w:szCs w:val="20"/>
                              </w:rPr>
                            </w:pPr>
                            <w:r w:rsidRPr="004C470A">
                              <w:rPr>
                                <w:b/>
                                <w:color w:val="FFFFFF" w:themeColor="background1"/>
                                <w:szCs w:val="20"/>
                              </w:rPr>
                              <w:t>Housing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1EC962" id="Rectangle: Rounded Corners 85" o:spid="_x0000_s1055" style="position:absolute;margin-left:359.25pt;margin-top:13.5pt;width:147.75pt;height:24pt;flip:x;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" fillcolor="#b5333c" strokecolor="window" strokeweight="1pt">
                <v:stroke joinstyle="miter"/>
                <v:path arrowok="t"/>
                <v:textbox>
                  <w:txbxContent>
                    <w:p w14:paraId="4CCA1223" w14:textId="77777777" w:rsidR="00B04C09" w:rsidRPr="004C470A" w:rsidRDefault="00B04C09" w:rsidP="00B04C09">
                      <w:pPr>
                        <w:jc w:val="center"/>
                        <w:rPr>
                          <w:b/>
                          <w:color w:val="FFFFFF" w:themeColor="background1"/>
                          <w:szCs w:val="20"/>
                        </w:rPr>
                      </w:pPr>
                      <w:r w:rsidRPr="004C470A">
                        <w:rPr>
                          <w:b/>
                          <w:color w:val="FFFFFF" w:themeColor="background1"/>
                          <w:szCs w:val="20"/>
                        </w:rPr>
                        <w:t>Housing Choice</w:t>
                      </w:r>
                    </w:p>
                  </w:txbxContent>
                </v:textbox>
                <w10:wrap anchorx="margin"/>
              </v:roundrect>
            </w:pict>
          </mc:Fallback>
        </mc:AlternateContent>
      </w:r>
      <w:bookmarkStart w:id="129" w:name="_IV._Approved_MTW_1"/>
      <w:bookmarkStart w:id="130" w:name="_Hlk130317423"/>
      <w:bookmarkStart w:id="131" w:name="_Hlk130317256"/>
      <w:bookmarkStart w:id="132" w:name="_Hlk134541825"/>
      <w:bookmarkEnd w:id="129"/>
      <w:r w:rsidR="6D5FA662" w:rsidRPr="0037731C">
        <w:rPr>
          <w:rFonts w:ascii="Century Gothic" w:hAnsi="Century Gothic"/>
          <w:b/>
          <w:bCs/>
        </w:rPr>
        <w:t>Initiative 1.28 - Increase Lease Up Success Rate for HCV Families</w:t>
      </w:r>
      <w:r w:rsidR="00B04C09" w:rsidRPr="0037731C">
        <w:rPr>
          <w:rFonts w:ascii="Century Gothic" w:hAnsi="Century Gothic"/>
        </w:rPr>
        <w:tab/>
      </w:r>
      <w:r w:rsidR="00B04C09" w:rsidRPr="0037731C">
        <w:rPr>
          <w:rFonts w:ascii="Century Gothic" w:hAnsi="Century Gothic"/>
        </w:rPr>
        <w:tab/>
      </w:r>
      <w:r w:rsidR="00B04C09" w:rsidRPr="0037731C">
        <w:rPr>
          <w:rFonts w:ascii="Century Gothic" w:hAnsi="Century Gothic"/>
        </w:rPr>
        <w:tab/>
      </w:r>
      <w:r w:rsidR="00B04C09" w:rsidRPr="0037731C">
        <w:rPr>
          <w:rFonts w:ascii="Century Gothic" w:hAnsi="Century Gothic"/>
        </w:rPr>
        <w:tab/>
      </w:r>
    </w:p>
    <w:p w14:paraId="3C9FBD8A" w14:textId="77777777" w:rsidR="00B04C09" w:rsidRPr="0037731C" w:rsidRDefault="00B04C09" w:rsidP="00B04C09">
      <w:pPr>
        <w:spacing w:line="257" w:lineRule="auto"/>
        <w:rPr>
          <w:rFonts w:ascii="Century Gothic" w:eastAsia="Franklin Gothic Book" w:hAnsi="Century Gothic"/>
        </w:rPr>
      </w:pPr>
    </w:p>
    <w:p w14:paraId="57372F63" w14:textId="55E32CFF" w:rsidR="00B04C09" w:rsidRPr="0037731C" w:rsidRDefault="77227426" w:rsidP="145A5A95">
      <w:pPr>
        <w:rPr>
          <w:rFonts w:ascii="Century Gothic" w:eastAsia="Calibri" w:hAnsi="Century Gothic"/>
          <w:b/>
          <w:bCs/>
        </w:rPr>
      </w:pPr>
      <w:r w:rsidRPr="0037731C">
        <w:rPr>
          <w:rFonts w:ascii="Century Gothic" w:eastAsia="Calibri" w:hAnsi="Century Gothic"/>
          <w:b/>
          <w:bCs/>
        </w:rPr>
        <w:t>Plan Year Approved, Implemented, Amended</w:t>
      </w:r>
    </w:p>
    <w:p w14:paraId="07421FBC" w14:textId="77777777" w:rsidR="00BC7922" w:rsidRPr="0037731C" w:rsidRDefault="00BC7922" w:rsidP="00345CDA">
      <w:pPr>
        <w:rPr>
          <w:rFonts w:ascii="Century Gothic" w:eastAsia="Calibri" w:hAnsi="Century Gothic"/>
          <w:b/>
          <w:bCs/>
        </w:rPr>
      </w:pPr>
    </w:p>
    <w:p w14:paraId="65EBA761" w14:textId="30D40813" w:rsidR="00304D10" w:rsidRPr="0037731C" w:rsidRDefault="77227426" w:rsidP="145A5A95">
      <w:pPr>
        <w:rPr>
          <w:rFonts w:ascii="Century Gothic" w:eastAsia="Calibri" w:hAnsi="Century Gothic"/>
        </w:rPr>
      </w:pPr>
      <w:r w:rsidRPr="0037731C">
        <w:rPr>
          <w:rFonts w:ascii="Century Gothic" w:eastAsia="Calibri" w:hAnsi="Century Gothic"/>
        </w:rPr>
        <w:t>Approved and implemented in FY2023</w:t>
      </w:r>
      <w:r w:rsidR="00345CDA" w:rsidRPr="0037731C">
        <w:rPr>
          <w:rFonts w:ascii="Century Gothic" w:eastAsia="Calibri" w:hAnsi="Century Gothic"/>
        </w:rPr>
        <w:t>.</w:t>
      </w:r>
    </w:p>
    <w:p w14:paraId="7B21D8D4" w14:textId="21F1AB75" w:rsidR="00B04C09" w:rsidRPr="0037731C" w:rsidRDefault="00B04C09" w:rsidP="00B04C09">
      <w:pPr>
        <w:rPr>
          <w:rFonts w:ascii="Century Gothic" w:eastAsia="Franklin Gothic Book" w:hAnsi="Century Gothic"/>
        </w:rPr>
      </w:pPr>
    </w:p>
    <w:p w14:paraId="4F4B7341" w14:textId="5624FEFC" w:rsidR="00304D10" w:rsidRPr="0037731C" w:rsidRDefault="64F966E0" w:rsidP="00345CDA">
      <w:pPr>
        <w:rPr>
          <w:rFonts w:ascii="Century Gothic" w:eastAsia="Franklin Gothic Book" w:hAnsi="Century Gothic"/>
          <w:b/>
          <w:bCs/>
        </w:rPr>
      </w:pPr>
      <w:r w:rsidRPr="0037731C">
        <w:rPr>
          <w:rFonts w:ascii="Century Gothic" w:eastAsia="Franklin Gothic Book" w:hAnsi="Century Gothic"/>
          <w:b/>
          <w:bCs/>
        </w:rPr>
        <w:t>Description</w:t>
      </w:r>
    </w:p>
    <w:p w14:paraId="0627EE39" w14:textId="77777777" w:rsidR="00304D10" w:rsidRPr="0037731C" w:rsidRDefault="00304D10" w:rsidP="00304D10">
      <w:pPr>
        <w:rPr>
          <w:rFonts w:ascii="Century Gothic" w:eastAsia="Franklin Gothic Book" w:hAnsi="Century Gothic"/>
          <w:b/>
          <w:bCs/>
        </w:rPr>
      </w:pPr>
    </w:p>
    <w:p w14:paraId="5C88447C" w14:textId="0D55E1B9" w:rsidR="00B04C09" w:rsidRPr="0037731C" w:rsidRDefault="77E4090F" w:rsidP="145A5A95">
      <w:pPr>
        <w:rPr>
          <w:rFonts w:ascii="Century Gothic" w:eastAsia="Franklin Gothic Book" w:hAnsi="Century Gothic"/>
        </w:rPr>
      </w:pPr>
      <w:r w:rsidRPr="0037731C">
        <w:rPr>
          <w:rFonts w:ascii="Century Gothic" w:eastAsia="Franklin Gothic Book" w:hAnsi="Century Gothic"/>
        </w:rPr>
        <w:t xml:space="preserve">Due to the tight rental market, some HCV families are having difficulty finding affordable units (apartments) to utilize their housing choice vouchers. Some of the challenges include having to pay multiple application fees when looking at multiple apartments to lease, not having the security deposits to rent an apartment, </w:t>
      </w:r>
      <w:r w:rsidR="6B4D4BED" w:rsidRPr="0037731C">
        <w:rPr>
          <w:rFonts w:ascii="Century Gothic" w:eastAsia="Franklin Gothic Book" w:hAnsi="Century Gothic"/>
        </w:rPr>
        <w:t xml:space="preserve">challenges </w:t>
      </w:r>
      <w:r w:rsidR="00384A00" w:rsidRPr="0037731C">
        <w:rPr>
          <w:rFonts w:ascii="Century Gothic" w:eastAsia="Franklin Gothic Book" w:hAnsi="Century Gothic"/>
        </w:rPr>
        <w:t xml:space="preserve">in </w:t>
      </w:r>
      <w:r w:rsidRPr="0037731C">
        <w:rPr>
          <w:rFonts w:ascii="Century Gothic" w:eastAsia="Franklin Gothic Book" w:hAnsi="Century Gothic"/>
        </w:rPr>
        <w:t xml:space="preserve">finding larger size bedroom apartments and landlords </w:t>
      </w:r>
      <w:r w:rsidR="00384A00" w:rsidRPr="0037731C">
        <w:rPr>
          <w:rFonts w:ascii="Century Gothic" w:eastAsia="Franklin Gothic Book" w:hAnsi="Century Gothic"/>
        </w:rPr>
        <w:t xml:space="preserve">not </w:t>
      </w:r>
      <w:r w:rsidRPr="0037731C">
        <w:rPr>
          <w:rFonts w:ascii="Century Gothic" w:eastAsia="Franklin Gothic Book" w:hAnsi="Century Gothic"/>
        </w:rPr>
        <w:t>willing to accept proposed contract rents.</w:t>
      </w:r>
    </w:p>
    <w:p w14:paraId="72B83278" w14:textId="77777777" w:rsidR="00B04C09" w:rsidRPr="0037731C" w:rsidRDefault="00B04C09" w:rsidP="145A5A95">
      <w:pPr>
        <w:rPr>
          <w:rFonts w:ascii="Century Gothic" w:eastAsia="Franklin Gothic Book" w:hAnsi="Century Gothic"/>
        </w:rPr>
      </w:pPr>
    </w:p>
    <w:p w14:paraId="1F75153D" w14:textId="236B2104" w:rsidR="00B04C09" w:rsidRPr="0037731C" w:rsidRDefault="6D5FA662" w:rsidP="145A5A95">
      <w:pPr>
        <w:rPr>
          <w:rFonts w:ascii="Century Gothic" w:eastAsia="Franklin Gothic Book" w:hAnsi="Century Gothic"/>
        </w:rPr>
      </w:pPr>
      <w:r w:rsidRPr="0037731C">
        <w:rPr>
          <w:rFonts w:ascii="Century Gothic" w:eastAsia="Franklin Gothic Book" w:hAnsi="Century Gothic"/>
        </w:rPr>
        <w:t>Landlords have also expressed challenges in renting to HCV families due to apartments not passing the initial HQS inspections and the 60-day notice period for a family to move from one apartment to another</w:t>
      </w:r>
      <w:r w:rsidR="00384A00" w:rsidRPr="0037731C">
        <w:rPr>
          <w:rFonts w:ascii="Century Gothic" w:eastAsia="Franklin Gothic Book" w:hAnsi="Century Gothic"/>
        </w:rPr>
        <w:t xml:space="preserve">, in which </w:t>
      </w:r>
      <w:r w:rsidR="00B14066" w:rsidRPr="0037731C">
        <w:rPr>
          <w:rFonts w:ascii="Century Gothic" w:eastAsia="Franklin Gothic Book" w:hAnsi="Century Gothic"/>
        </w:rPr>
        <w:t>they potentially lose rental income</w:t>
      </w:r>
      <w:r w:rsidRPr="0037731C">
        <w:rPr>
          <w:rFonts w:ascii="Century Gothic" w:eastAsia="Franklin Gothic Book" w:hAnsi="Century Gothic"/>
        </w:rPr>
        <w:t>.</w:t>
      </w:r>
    </w:p>
    <w:p w14:paraId="69BC9183" w14:textId="77777777" w:rsidR="00B04C09" w:rsidRPr="0037731C" w:rsidRDefault="00B04C09" w:rsidP="145A5A95">
      <w:pPr>
        <w:rPr>
          <w:rFonts w:ascii="Century Gothic" w:eastAsia="Franklin Gothic Book" w:hAnsi="Century Gothic"/>
        </w:rPr>
      </w:pPr>
    </w:p>
    <w:p w14:paraId="02272BF4" w14:textId="0A58319E" w:rsidR="00B04C09" w:rsidRPr="0037731C" w:rsidRDefault="3C748C6E" w:rsidP="145A5A95">
      <w:pPr>
        <w:rPr>
          <w:rFonts w:ascii="Century Gothic" w:eastAsia="Franklin Gothic Book" w:hAnsi="Century Gothic"/>
        </w:rPr>
      </w:pPr>
      <w:r w:rsidRPr="0037731C">
        <w:rPr>
          <w:rFonts w:ascii="Century Gothic" w:eastAsia="Franklin Gothic Book" w:hAnsi="Century Gothic"/>
        </w:rPr>
        <w:t xml:space="preserve">ECC/HANH </w:t>
      </w:r>
      <w:r w:rsidR="006C10EA" w:rsidRPr="0037731C">
        <w:rPr>
          <w:rFonts w:ascii="Century Gothic" w:eastAsia="Franklin Gothic Book" w:hAnsi="Century Gothic"/>
        </w:rPr>
        <w:t>proposed an</w:t>
      </w:r>
      <w:r w:rsidR="49324A80" w:rsidRPr="0037731C">
        <w:rPr>
          <w:rFonts w:ascii="Century Gothic" w:eastAsia="Franklin Gothic Book" w:hAnsi="Century Gothic"/>
        </w:rPr>
        <w:t xml:space="preserve"> array of incentives to assist </w:t>
      </w:r>
      <w:r w:rsidRPr="0037731C">
        <w:rPr>
          <w:rFonts w:ascii="Century Gothic" w:eastAsia="Franklin Gothic Book" w:hAnsi="Century Gothic"/>
        </w:rPr>
        <w:t>tenant</w:t>
      </w:r>
      <w:r w:rsidR="00B14066" w:rsidRPr="0037731C">
        <w:rPr>
          <w:rFonts w:ascii="Century Gothic" w:eastAsia="Franklin Gothic Book" w:hAnsi="Century Gothic"/>
        </w:rPr>
        <w:t xml:space="preserve">s to include </w:t>
      </w:r>
      <w:r w:rsidRPr="0037731C">
        <w:rPr>
          <w:rFonts w:ascii="Century Gothic" w:eastAsia="Franklin Gothic Book" w:hAnsi="Century Gothic"/>
        </w:rPr>
        <w:t xml:space="preserve">mobility counseling options and landlord incentives </w:t>
      </w:r>
      <w:r w:rsidR="00B14066" w:rsidRPr="0037731C">
        <w:rPr>
          <w:rFonts w:ascii="Century Gothic" w:eastAsia="Franklin Gothic Book" w:hAnsi="Century Gothic"/>
        </w:rPr>
        <w:t xml:space="preserve">which </w:t>
      </w:r>
      <w:r w:rsidRPr="0037731C">
        <w:rPr>
          <w:rFonts w:ascii="Century Gothic" w:eastAsia="Franklin Gothic Book" w:hAnsi="Century Gothic"/>
        </w:rPr>
        <w:t xml:space="preserve">support the HCV families </w:t>
      </w:r>
      <w:r w:rsidR="00B14066" w:rsidRPr="0037731C">
        <w:rPr>
          <w:rFonts w:ascii="Century Gothic" w:eastAsia="Franklin Gothic Book" w:hAnsi="Century Gothic"/>
        </w:rPr>
        <w:t xml:space="preserve">in </w:t>
      </w:r>
      <w:r w:rsidRPr="0037731C">
        <w:rPr>
          <w:rFonts w:ascii="Century Gothic" w:eastAsia="Franklin Gothic Book" w:hAnsi="Century Gothic"/>
        </w:rPr>
        <w:t>finding affordable housing of choice, leasing up quicker and not having vouchers expire before finding housing.</w:t>
      </w:r>
    </w:p>
    <w:p w14:paraId="33CDEF8E" w14:textId="77777777" w:rsidR="00B04C09" w:rsidRPr="0037731C" w:rsidRDefault="00B04C09" w:rsidP="00B04C09">
      <w:pPr>
        <w:rPr>
          <w:rFonts w:ascii="Century Gothic" w:eastAsia="Franklin Gothic Book" w:hAnsi="Century Gothic"/>
        </w:rPr>
      </w:pPr>
    </w:p>
    <w:p w14:paraId="304CAD20" w14:textId="755D82DA" w:rsidR="0E6C54AB" w:rsidRPr="0037731C" w:rsidRDefault="0E6C54AB" w:rsidP="0E6C54AB">
      <w:pPr>
        <w:rPr>
          <w:rFonts w:ascii="Century Gothic" w:eastAsia="Calibri" w:hAnsi="Century Gothic"/>
          <w:sz w:val="20"/>
          <w:szCs w:val="20"/>
        </w:rPr>
      </w:pPr>
    </w:p>
    <w:p w14:paraId="734A954A" w14:textId="77777777" w:rsidR="00B04C09" w:rsidRPr="0037731C" w:rsidRDefault="6D5FA662" w:rsidP="145A5A95">
      <w:pPr>
        <w:rPr>
          <w:rFonts w:ascii="Century Gothic" w:eastAsia="Calibri" w:hAnsi="Century Gothic"/>
          <w:b/>
          <w:bCs/>
        </w:rPr>
      </w:pPr>
      <w:r w:rsidRPr="0037731C">
        <w:rPr>
          <w:rFonts w:ascii="Century Gothic" w:eastAsia="Calibri" w:hAnsi="Century Gothic"/>
          <w:b/>
          <w:bCs/>
        </w:rPr>
        <w:t>Mobility Counseling, Tenant Assistance and Landlord Incentive Payments</w:t>
      </w:r>
    </w:p>
    <w:p w14:paraId="0F4E2F9F" w14:textId="6FDD63EE" w:rsidR="00B04C09" w:rsidRPr="0037731C" w:rsidRDefault="6D5FA662" w:rsidP="145A5A95">
      <w:pPr>
        <w:spacing w:line="259" w:lineRule="auto"/>
        <w:rPr>
          <w:rFonts w:ascii="Century Gothic" w:eastAsia="Calibri" w:hAnsi="Century Gothic"/>
        </w:rPr>
      </w:pPr>
      <w:r w:rsidRPr="0037731C">
        <w:rPr>
          <w:rFonts w:ascii="Century Gothic" w:eastAsia="Calibri" w:hAnsi="Century Gothic"/>
        </w:rPr>
        <w:t xml:space="preserve">ECC/HANH provides mobility counseling services for voucher participants to assist </w:t>
      </w:r>
      <w:r w:rsidR="008323CC" w:rsidRPr="0037731C">
        <w:rPr>
          <w:rFonts w:ascii="Century Gothic" w:eastAsia="Calibri" w:hAnsi="Century Gothic"/>
        </w:rPr>
        <w:t xml:space="preserve">in </w:t>
      </w:r>
      <w:r w:rsidRPr="0037731C">
        <w:rPr>
          <w:rFonts w:ascii="Century Gothic" w:eastAsia="Calibri" w:hAnsi="Century Gothic"/>
        </w:rPr>
        <w:t xml:space="preserve">their search for housing in all areas of the city.  </w:t>
      </w:r>
      <w:r w:rsidR="008323CC" w:rsidRPr="0037731C">
        <w:rPr>
          <w:rFonts w:ascii="Century Gothic" w:eastAsia="Calibri" w:hAnsi="Century Gothic"/>
        </w:rPr>
        <w:t xml:space="preserve">If participants </w:t>
      </w:r>
      <w:r w:rsidR="000607D7" w:rsidRPr="0037731C">
        <w:rPr>
          <w:rFonts w:ascii="Century Gothic" w:eastAsia="Calibri" w:hAnsi="Century Gothic"/>
        </w:rPr>
        <w:t xml:space="preserve">choose mobility counseling </w:t>
      </w:r>
      <w:r w:rsidR="003D7D7B" w:rsidRPr="0037731C">
        <w:rPr>
          <w:rFonts w:ascii="Century Gothic" w:eastAsia="Calibri" w:hAnsi="Century Gothic"/>
        </w:rPr>
        <w:t>services</w:t>
      </w:r>
      <w:r w:rsidR="0037731C">
        <w:rPr>
          <w:rFonts w:ascii="Century Gothic" w:eastAsia="Calibri" w:hAnsi="Century Gothic"/>
        </w:rPr>
        <w:t>,</w:t>
      </w:r>
      <w:r w:rsidR="0019053D" w:rsidRPr="0037731C">
        <w:rPr>
          <w:rFonts w:ascii="Century Gothic" w:eastAsia="Calibri" w:hAnsi="Century Gothic"/>
        </w:rPr>
        <w:t xml:space="preserve"> </w:t>
      </w:r>
      <w:r w:rsidR="000607D7" w:rsidRPr="0037731C">
        <w:rPr>
          <w:rFonts w:ascii="Century Gothic" w:eastAsia="Calibri" w:hAnsi="Century Gothic"/>
        </w:rPr>
        <w:t>transportation to see the u</w:t>
      </w:r>
      <w:r w:rsidR="003D7D7B" w:rsidRPr="0037731C">
        <w:rPr>
          <w:rFonts w:ascii="Century Gothic" w:eastAsia="Calibri" w:hAnsi="Century Gothic"/>
        </w:rPr>
        <w:t xml:space="preserve">nits or transportation costs may </w:t>
      </w:r>
      <w:r w:rsidR="0019053D" w:rsidRPr="0037731C">
        <w:rPr>
          <w:rFonts w:ascii="Century Gothic" w:eastAsia="Calibri" w:hAnsi="Century Gothic"/>
        </w:rPr>
        <w:t xml:space="preserve">also </w:t>
      </w:r>
      <w:r w:rsidR="003D7D7B" w:rsidRPr="0037731C">
        <w:rPr>
          <w:rFonts w:ascii="Century Gothic" w:eastAsia="Calibri" w:hAnsi="Century Gothic"/>
        </w:rPr>
        <w:t>be covered</w:t>
      </w:r>
      <w:r w:rsidRPr="0037731C">
        <w:rPr>
          <w:rFonts w:ascii="Century Gothic" w:eastAsia="Calibri" w:hAnsi="Century Gothic"/>
        </w:rPr>
        <w:t xml:space="preserve">.  </w:t>
      </w:r>
    </w:p>
    <w:p w14:paraId="4585A46D" w14:textId="77777777" w:rsidR="00B04C09" w:rsidRPr="0037731C" w:rsidRDefault="00B04C09" w:rsidP="145A5A95">
      <w:pPr>
        <w:spacing w:line="259" w:lineRule="auto"/>
        <w:rPr>
          <w:rFonts w:ascii="Century Gothic" w:eastAsia="Calibri" w:hAnsi="Century Gothic"/>
        </w:rPr>
      </w:pPr>
    </w:p>
    <w:p w14:paraId="3301D63F" w14:textId="03264051" w:rsidR="00B04C09" w:rsidRPr="0037731C" w:rsidRDefault="6D5FA662" w:rsidP="145A5A95">
      <w:pPr>
        <w:spacing w:line="259" w:lineRule="auto"/>
        <w:rPr>
          <w:rFonts w:ascii="Century Gothic" w:eastAsia="Calibri" w:hAnsi="Century Gothic"/>
        </w:rPr>
      </w:pPr>
      <w:r w:rsidRPr="0037731C">
        <w:rPr>
          <w:rFonts w:ascii="Century Gothic" w:eastAsia="Calibri" w:hAnsi="Century Gothic"/>
        </w:rPr>
        <w:t xml:space="preserve">ECC/HANH </w:t>
      </w:r>
      <w:r w:rsidR="00EF655A" w:rsidRPr="0037731C">
        <w:rPr>
          <w:rFonts w:ascii="Century Gothic" w:eastAsia="Calibri" w:hAnsi="Century Gothic"/>
        </w:rPr>
        <w:t xml:space="preserve">proposed </w:t>
      </w:r>
      <w:r w:rsidRPr="0037731C">
        <w:rPr>
          <w:rFonts w:ascii="Century Gothic" w:eastAsia="Calibri" w:hAnsi="Century Gothic"/>
        </w:rPr>
        <w:t>the following assistance to participants.</w:t>
      </w:r>
    </w:p>
    <w:p w14:paraId="6884F0E5" w14:textId="77777777" w:rsidR="00B04C09" w:rsidRPr="0037731C" w:rsidRDefault="00B04C09" w:rsidP="145A5A95">
      <w:pPr>
        <w:spacing w:line="259" w:lineRule="auto"/>
        <w:rPr>
          <w:rFonts w:ascii="Century Gothic" w:eastAsia="Calibri" w:hAnsi="Century Gothic"/>
        </w:rPr>
      </w:pPr>
    </w:p>
    <w:p w14:paraId="4F1A825E" w14:textId="77777777" w:rsidR="00B04C09" w:rsidRPr="0037731C" w:rsidRDefault="6D5FA662" w:rsidP="145A5A95">
      <w:pPr>
        <w:rPr>
          <w:rFonts w:ascii="Century Gothic" w:eastAsia="Calibri" w:hAnsi="Century Gothic"/>
        </w:rPr>
      </w:pPr>
      <w:r w:rsidRPr="0037731C">
        <w:rPr>
          <w:rFonts w:ascii="Century Gothic" w:hAnsi="Century Gothic"/>
        </w:rPr>
        <w:t>Subject to funding availability, f</w:t>
      </w:r>
      <w:r w:rsidRPr="0037731C">
        <w:rPr>
          <w:rFonts w:ascii="Century Gothic" w:eastAsia="Calibri" w:hAnsi="Century Gothic"/>
        </w:rPr>
        <w:t>amilies that agree to participate in mobility counseling will be given the opportunity for the following:</w:t>
      </w:r>
    </w:p>
    <w:p w14:paraId="47082FAF" w14:textId="654EA02A" w:rsidR="00B04C09" w:rsidRPr="0037731C" w:rsidRDefault="5EB8875B" w:rsidP="00486062">
      <w:pPr>
        <w:pStyle w:val="ListParagraph"/>
        <w:numPr>
          <w:ilvl w:val="0"/>
          <w:numId w:val="115"/>
        </w:numPr>
        <w:rPr>
          <w:rFonts w:ascii="Century Gothic" w:eastAsia="Calibri" w:hAnsi="Century Gothic"/>
        </w:rPr>
      </w:pPr>
      <w:r w:rsidRPr="0037731C">
        <w:rPr>
          <w:rFonts w:ascii="Century Gothic" w:eastAsia="Calibri" w:hAnsi="Century Gothic"/>
        </w:rPr>
        <w:t xml:space="preserve">Application fees </w:t>
      </w:r>
      <w:r w:rsidR="001669CB">
        <w:rPr>
          <w:rFonts w:ascii="Century Gothic" w:eastAsia="Calibri" w:hAnsi="Century Gothic"/>
        </w:rPr>
        <w:t xml:space="preserve">are </w:t>
      </w:r>
      <w:proofErr w:type="gramStart"/>
      <w:r w:rsidRPr="0037731C">
        <w:rPr>
          <w:rFonts w:ascii="Century Gothic" w:eastAsia="Calibri" w:hAnsi="Century Gothic"/>
        </w:rPr>
        <w:t>paid</w:t>
      </w:r>
      <w:r w:rsidR="004F6AB5" w:rsidRPr="0037731C">
        <w:rPr>
          <w:rFonts w:ascii="Century Gothic" w:eastAsia="Calibri" w:hAnsi="Century Gothic"/>
        </w:rPr>
        <w:t>,</w:t>
      </w:r>
      <w:proofErr w:type="gramEnd"/>
      <w:r w:rsidRPr="0037731C">
        <w:rPr>
          <w:rFonts w:ascii="Century Gothic" w:eastAsia="Calibri" w:hAnsi="Century Gothic"/>
        </w:rPr>
        <w:t xml:space="preserve"> for up to 3 units (anticipating $30 per application or $90 per family)</w:t>
      </w:r>
      <w:r w:rsidR="004F6AB5" w:rsidRPr="0037731C">
        <w:rPr>
          <w:rFonts w:ascii="Century Gothic" w:eastAsia="Calibri" w:hAnsi="Century Gothic"/>
        </w:rPr>
        <w:t>.</w:t>
      </w:r>
    </w:p>
    <w:p w14:paraId="4730287B" w14:textId="77777777" w:rsidR="004F6AB5" w:rsidRPr="0037731C" w:rsidRDefault="004F6AB5" w:rsidP="004F6AB5">
      <w:pPr>
        <w:rPr>
          <w:rFonts w:ascii="Century Gothic" w:eastAsia="Calibri" w:hAnsi="Century Gothic"/>
        </w:rPr>
      </w:pPr>
    </w:p>
    <w:p w14:paraId="269424B8" w14:textId="27A274A3" w:rsidR="004F6AB5" w:rsidRPr="0037731C" w:rsidRDefault="004F6AB5" w:rsidP="004F6AB5">
      <w:pPr>
        <w:rPr>
          <w:rFonts w:ascii="Century Gothic" w:eastAsia="Calibri" w:hAnsi="Century Gothic"/>
        </w:rPr>
      </w:pPr>
      <w:r w:rsidRPr="0037731C">
        <w:rPr>
          <w:rFonts w:ascii="Century Gothic" w:eastAsia="Calibri" w:hAnsi="Century Gothic"/>
        </w:rPr>
        <w:t>And the option for Security Deposit or Utility Deposit assistance.</w:t>
      </w:r>
    </w:p>
    <w:p w14:paraId="0389D202" w14:textId="5BED5CB2" w:rsidR="006C10EA" w:rsidRPr="0037731C" w:rsidRDefault="5EB8875B" w:rsidP="00486062">
      <w:pPr>
        <w:pStyle w:val="ListParagraph"/>
        <w:numPr>
          <w:ilvl w:val="0"/>
          <w:numId w:val="115"/>
        </w:numPr>
        <w:rPr>
          <w:rFonts w:ascii="Century Gothic" w:eastAsia="Calibri" w:hAnsi="Century Gothic"/>
        </w:rPr>
      </w:pPr>
      <w:r w:rsidRPr="0037731C">
        <w:rPr>
          <w:rFonts w:ascii="Century Gothic" w:eastAsia="Calibri" w:hAnsi="Century Gothic"/>
        </w:rPr>
        <w:t>Security deposit assistance</w:t>
      </w:r>
    </w:p>
    <w:p w14:paraId="0A3A5D60" w14:textId="5912F7F9" w:rsidR="00705BBA" w:rsidRPr="0037731C" w:rsidRDefault="00705BBA" w:rsidP="00486062">
      <w:pPr>
        <w:pStyle w:val="ListParagraph"/>
        <w:numPr>
          <w:ilvl w:val="0"/>
          <w:numId w:val="116"/>
        </w:numPr>
        <w:rPr>
          <w:rFonts w:ascii="Century Gothic" w:eastAsia="Calibri" w:hAnsi="Century Gothic"/>
        </w:rPr>
      </w:pPr>
      <w:r w:rsidRPr="0037731C">
        <w:rPr>
          <w:rFonts w:ascii="Century Gothic" w:eastAsia="Calibri" w:hAnsi="Century Gothic"/>
        </w:rPr>
        <w:t>U</w:t>
      </w:r>
      <w:r w:rsidR="5EB8875B" w:rsidRPr="0037731C">
        <w:rPr>
          <w:rFonts w:ascii="Century Gothic" w:eastAsia="Calibri" w:hAnsi="Century Gothic"/>
        </w:rPr>
        <w:t xml:space="preserve">p to one month of </w:t>
      </w:r>
      <w:r w:rsidRPr="0037731C">
        <w:rPr>
          <w:rFonts w:ascii="Century Gothic" w:eastAsia="Calibri" w:hAnsi="Century Gothic"/>
        </w:rPr>
        <w:t xml:space="preserve">the </w:t>
      </w:r>
      <w:proofErr w:type="gramStart"/>
      <w:r w:rsidR="5EB8875B" w:rsidRPr="0037731C">
        <w:rPr>
          <w:rFonts w:ascii="Century Gothic" w:eastAsia="Calibri" w:hAnsi="Century Gothic"/>
        </w:rPr>
        <w:t>contract rent</w:t>
      </w:r>
      <w:proofErr w:type="gramEnd"/>
      <w:r w:rsidR="00B701BA" w:rsidRPr="0037731C">
        <w:rPr>
          <w:rFonts w:ascii="Century Gothic" w:eastAsia="Calibri" w:hAnsi="Century Gothic"/>
        </w:rPr>
        <w:t>.</w:t>
      </w:r>
    </w:p>
    <w:p w14:paraId="7984A240" w14:textId="71273EEE" w:rsidR="004F6AB5" w:rsidRPr="0037731C" w:rsidRDefault="00705BBA" w:rsidP="00486062">
      <w:pPr>
        <w:pStyle w:val="ListParagraph"/>
        <w:numPr>
          <w:ilvl w:val="0"/>
          <w:numId w:val="116"/>
        </w:numPr>
        <w:rPr>
          <w:rFonts w:ascii="Century Gothic" w:hAnsi="Century Gothic"/>
        </w:rPr>
      </w:pPr>
      <w:r w:rsidRPr="0037731C">
        <w:rPr>
          <w:rFonts w:ascii="Century Gothic" w:hAnsi="Century Gothic"/>
        </w:rPr>
        <w:t>F</w:t>
      </w:r>
      <w:r w:rsidR="6D5FA662" w:rsidRPr="0037731C">
        <w:rPr>
          <w:rFonts w:ascii="Century Gothic" w:hAnsi="Century Gothic"/>
        </w:rPr>
        <w:t>or initial move-ins and paid directly to the owner on behalf of the</w:t>
      </w:r>
      <w:r w:rsidRPr="0037731C">
        <w:rPr>
          <w:rFonts w:ascii="Century Gothic" w:hAnsi="Century Gothic"/>
        </w:rPr>
        <w:t xml:space="preserve"> </w:t>
      </w:r>
      <w:r w:rsidR="6D5FA662" w:rsidRPr="0037731C">
        <w:rPr>
          <w:rFonts w:ascii="Century Gothic" w:hAnsi="Century Gothic"/>
        </w:rPr>
        <w:t xml:space="preserve">family when other resources cannot.  </w:t>
      </w:r>
    </w:p>
    <w:p w14:paraId="1985F015" w14:textId="6D272AA5" w:rsidR="004F6AB5" w:rsidRPr="0037731C" w:rsidRDefault="004F6AB5" w:rsidP="00486062">
      <w:pPr>
        <w:pStyle w:val="ListParagraph"/>
        <w:numPr>
          <w:ilvl w:val="0"/>
          <w:numId w:val="116"/>
        </w:numPr>
        <w:rPr>
          <w:rFonts w:ascii="Century Gothic" w:hAnsi="Century Gothic"/>
        </w:rPr>
      </w:pPr>
      <w:r w:rsidRPr="0037731C">
        <w:rPr>
          <w:rFonts w:ascii="Century Gothic" w:hAnsi="Century Gothic"/>
        </w:rPr>
        <w:t>The security deposit will be returned to ECC/HANH and will follow the family from one unit to the next.</w:t>
      </w:r>
    </w:p>
    <w:p w14:paraId="5A74E382" w14:textId="396997E1" w:rsidR="004F6AB5" w:rsidRPr="0037731C" w:rsidRDefault="004F6AB5" w:rsidP="00705BBA">
      <w:pPr>
        <w:ind w:left="1080"/>
        <w:rPr>
          <w:rFonts w:ascii="Century Gothic" w:eastAsia="Calibri" w:hAnsi="Century Gothic"/>
          <w:b/>
          <w:bCs/>
        </w:rPr>
      </w:pPr>
      <w:r w:rsidRPr="0037731C">
        <w:rPr>
          <w:rFonts w:ascii="Century Gothic" w:eastAsia="Calibri" w:hAnsi="Century Gothic"/>
        </w:rPr>
        <w:tab/>
      </w:r>
      <w:r w:rsidR="00B701BA" w:rsidRPr="0037731C">
        <w:rPr>
          <w:rFonts w:ascii="Century Gothic" w:eastAsia="Calibri" w:hAnsi="Century Gothic"/>
        </w:rPr>
        <w:tab/>
      </w:r>
      <w:r w:rsidR="00B701BA" w:rsidRPr="0037731C">
        <w:rPr>
          <w:rFonts w:ascii="Century Gothic" w:eastAsia="Calibri" w:hAnsi="Century Gothic"/>
        </w:rPr>
        <w:tab/>
      </w:r>
      <w:r w:rsidR="00B701BA" w:rsidRPr="0037731C">
        <w:rPr>
          <w:rFonts w:ascii="Century Gothic" w:eastAsia="Calibri" w:hAnsi="Century Gothic"/>
        </w:rPr>
        <w:tab/>
      </w:r>
      <w:r w:rsidRPr="0037731C">
        <w:rPr>
          <w:rFonts w:ascii="Century Gothic" w:eastAsia="Calibri" w:hAnsi="Century Gothic"/>
          <w:b/>
          <w:bCs/>
        </w:rPr>
        <w:t>OR</w:t>
      </w:r>
    </w:p>
    <w:p w14:paraId="0F8E3E74" w14:textId="77777777" w:rsidR="00B701BA" w:rsidRPr="0037731C" w:rsidRDefault="6A2925FF" w:rsidP="00486062">
      <w:pPr>
        <w:pStyle w:val="ListParagraph"/>
        <w:numPr>
          <w:ilvl w:val="0"/>
          <w:numId w:val="115"/>
        </w:numPr>
        <w:rPr>
          <w:rFonts w:ascii="Century Gothic" w:hAnsi="Century Gothic"/>
        </w:rPr>
      </w:pPr>
      <w:r w:rsidRPr="0037731C">
        <w:rPr>
          <w:rFonts w:ascii="Century Gothic" w:hAnsi="Century Gothic"/>
        </w:rPr>
        <w:t>Utility deposit assistance</w:t>
      </w:r>
      <w:r w:rsidR="00705BBA" w:rsidRPr="0037731C">
        <w:rPr>
          <w:rFonts w:ascii="Century Gothic" w:hAnsi="Century Gothic"/>
        </w:rPr>
        <w:t xml:space="preserve"> for </w:t>
      </w:r>
      <w:r w:rsidRPr="0037731C">
        <w:rPr>
          <w:rFonts w:ascii="Century Gothic" w:hAnsi="Century Gothic"/>
        </w:rPr>
        <w:t>family’s utility deposit expenses</w:t>
      </w:r>
    </w:p>
    <w:p w14:paraId="3F6CD4D4" w14:textId="4A13155F" w:rsidR="00705BBA" w:rsidRPr="0037731C" w:rsidRDefault="00B701BA" w:rsidP="00486062">
      <w:pPr>
        <w:pStyle w:val="ListParagraph"/>
        <w:numPr>
          <w:ilvl w:val="0"/>
          <w:numId w:val="118"/>
        </w:numPr>
        <w:rPr>
          <w:rFonts w:ascii="Century Gothic" w:hAnsi="Century Gothic"/>
        </w:rPr>
      </w:pPr>
      <w:r w:rsidRPr="0037731C">
        <w:rPr>
          <w:rFonts w:ascii="Century Gothic" w:eastAsia="Calibri" w:hAnsi="Century Gothic"/>
        </w:rPr>
        <w:t>Up to the payment standard for family size</w:t>
      </w:r>
      <w:r w:rsidRPr="0037731C">
        <w:rPr>
          <w:rFonts w:ascii="Century Gothic" w:hAnsi="Century Gothic"/>
        </w:rPr>
        <w:t>.</w:t>
      </w:r>
      <w:r w:rsidR="6A2925FF" w:rsidRPr="0037731C">
        <w:rPr>
          <w:rFonts w:ascii="Century Gothic" w:hAnsi="Century Gothic"/>
        </w:rPr>
        <w:t xml:space="preserve"> </w:t>
      </w:r>
    </w:p>
    <w:p w14:paraId="4848EAEB" w14:textId="538748DD" w:rsidR="004F6AB5" w:rsidRPr="0037731C" w:rsidRDefault="00705BBA" w:rsidP="00486062">
      <w:pPr>
        <w:pStyle w:val="ListParagraph"/>
        <w:numPr>
          <w:ilvl w:val="0"/>
          <w:numId w:val="117"/>
        </w:numPr>
        <w:rPr>
          <w:rFonts w:ascii="Century Gothic" w:eastAsia="Calibri" w:hAnsi="Century Gothic"/>
        </w:rPr>
      </w:pPr>
      <w:r w:rsidRPr="0037731C">
        <w:rPr>
          <w:rFonts w:ascii="Century Gothic" w:hAnsi="Century Gothic"/>
        </w:rPr>
        <w:t>I</w:t>
      </w:r>
      <w:r w:rsidR="6A2925FF" w:rsidRPr="0037731C">
        <w:rPr>
          <w:rFonts w:ascii="Century Gothic" w:hAnsi="Century Gothic"/>
        </w:rPr>
        <w:t>ncludes connection</w:t>
      </w:r>
      <w:r w:rsidR="006C10EA" w:rsidRPr="0037731C">
        <w:rPr>
          <w:rFonts w:ascii="Century Gothic" w:hAnsi="Century Gothic"/>
        </w:rPr>
        <w:t xml:space="preserve"> </w:t>
      </w:r>
      <w:r w:rsidR="6D5FA662" w:rsidRPr="0037731C">
        <w:rPr>
          <w:rFonts w:ascii="Century Gothic" w:hAnsi="Century Gothic"/>
        </w:rPr>
        <w:t>fees required for the utilities to be supplied by the tenant under the lease</w:t>
      </w:r>
      <w:r w:rsidRPr="0037731C">
        <w:rPr>
          <w:rFonts w:ascii="Century Gothic" w:eastAsia="Calibri" w:hAnsi="Century Gothic"/>
        </w:rPr>
        <w:t xml:space="preserve">.  </w:t>
      </w:r>
    </w:p>
    <w:p w14:paraId="41D27556" w14:textId="69291877" w:rsidR="00705BBA" w:rsidRPr="0037731C" w:rsidRDefault="00705BBA" w:rsidP="00486062">
      <w:pPr>
        <w:pStyle w:val="ListParagraph"/>
        <w:numPr>
          <w:ilvl w:val="0"/>
          <w:numId w:val="117"/>
        </w:numPr>
        <w:rPr>
          <w:rFonts w:ascii="Century Gothic" w:eastAsia="Calibri" w:hAnsi="Century Gothic"/>
        </w:rPr>
      </w:pPr>
      <w:r w:rsidRPr="0037731C">
        <w:rPr>
          <w:rFonts w:ascii="Century Gothic" w:eastAsia="Calibri" w:hAnsi="Century Gothic"/>
        </w:rPr>
        <w:t>Assistance with repayment of past utility debts that would prevent a family from securing utilities in their</w:t>
      </w:r>
      <w:r w:rsidR="004F6AB5" w:rsidRPr="0037731C">
        <w:rPr>
          <w:rFonts w:ascii="Century Gothic" w:eastAsia="Calibri" w:hAnsi="Century Gothic"/>
        </w:rPr>
        <w:t xml:space="preserve"> </w:t>
      </w:r>
      <w:r w:rsidRPr="0037731C">
        <w:rPr>
          <w:rFonts w:ascii="Century Gothic" w:eastAsia="Calibri" w:hAnsi="Century Gothic"/>
        </w:rPr>
        <w:t>own name</w:t>
      </w:r>
      <w:r w:rsidR="00B701BA" w:rsidRPr="0037731C">
        <w:rPr>
          <w:rFonts w:ascii="Century Gothic" w:eastAsia="Calibri" w:hAnsi="Century Gothic"/>
        </w:rPr>
        <w:t>.</w:t>
      </w:r>
      <w:r w:rsidRPr="0037731C">
        <w:rPr>
          <w:rFonts w:ascii="Century Gothic" w:eastAsia="Calibri" w:hAnsi="Century Gothic"/>
        </w:rPr>
        <w:t xml:space="preserve"> </w:t>
      </w:r>
    </w:p>
    <w:p w14:paraId="7D66C84E" w14:textId="77777777" w:rsidR="00B701BA" w:rsidRPr="0037731C" w:rsidRDefault="004F6AB5" w:rsidP="00486062">
      <w:pPr>
        <w:pStyle w:val="ListParagraph"/>
        <w:numPr>
          <w:ilvl w:val="0"/>
          <w:numId w:val="117"/>
        </w:numPr>
        <w:rPr>
          <w:rFonts w:ascii="Century Gothic" w:hAnsi="Century Gothic"/>
        </w:rPr>
      </w:pPr>
      <w:r w:rsidRPr="0037731C">
        <w:rPr>
          <w:rFonts w:ascii="Century Gothic" w:hAnsi="Century Gothic"/>
        </w:rPr>
        <w:lastRenderedPageBreak/>
        <w:t xml:space="preserve">ECC/HANH may pay the utility deposit assistance directly to the utility company or may pay the assistance to the family when other resources cannot. </w:t>
      </w:r>
    </w:p>
    <w:p w14:paraId="5F79CF82" w14:textId="77777777" w:rsidR="00B701BA" w:rsidRPr="0037731C" w:rsidRDefault="004F6AB5" w:rsidP="00486062">
      <w:pPr>
        <w:pStyle w:val="ListParagraph"/>
        <w:numPr>
          <w:ilvl w:val="0"/>
          <w:numId w:val="117"/>
        </w:numPr>
        <w:rPr>
          <w:rFonts w:ascii="Century Gothic" w:hAnsi="Century Gothic"/>
        </w:rPr>
      </w:pPr>
      <w:r w:rsidRPr="0037731C">
        <w:rPr>
          <w:rFonts w:ascii="Century Gothic" w:hAnsi="Century Gothic"/>
        </w:rPr>
        <w:t xml:space="preserve">If paid to the family, ECC/HANH will require documentation the family paid the utility deposit. </w:t>
      </w:r>
    </w:p>
    <w:p w14:paraId="658E4DB4" w14:textId="43F31502" w:rsidR="006C10EA" w:rsidRPr="0037731C" w:rsidRDefault="004F6AB5" w:rsidP="00486062">
      <w:pPr>
        <w:pStyle w:val="ListParagraph"/>
        <w:numPr>
          <w:ilvl w:val="0"/>
          <w:numId w:val="117"/>
        </w:numPr>
        <w:rPr>
          <w:rFonts w:ascii="Century Gothic" w:hAnsi="Century Gothic"/>
        </w:rPr>
      </w:pPr>
      <w:r w:rsidRPr="0037731C">
        <w:rPr>
          <w:rFonts w:ascii="Century Gothic" w:hAnsi="Century Gothic"/>
        </w:rPr>
        <w:t>ECC/HANH will not require the utility supplier or family to return the utility deposit assistance to the ECC/HANH.</w:t>
      </w:r>
    </w:p>
    <w:p w14:paraId="38CB0260" w14:textId="77777777" w:rsidR="004F6AB5" w:rsidRPr="0037731C" w:rsidRDefault="004F6AB5" w:rsidP="004F6AB5">
      <w:pPr>
        <w:rPr>
          <w:rFonts w:ascii="Century Gothic" w:hAnsi="Century Gothic"/>
        </w:rPr>
      </w:pPr>
    </w:p>
    <w:p w14:paraId="462748D7" w14:textId="5D10D3C2" w:rsidR="00772D82" w:rsidRPr="0037731C" w:rsidRDefault="00772D82" w:rsidP="00772D82">
      <w:pPr>
        <w:rPr>
          <w:rFonts w:ascii="Century Gothic" w:eastAsia="Calibri" w:hAnsi="Century Gothic"/>
        </w:rPr>
      </w:pPr>
      <w:r w:rsidRPr="0037731C">
        <w:rPr>
          <w:rFonts w:ascii="Century Gothic" w:eastAsia="Calibri" w:hAnsi="Century Gothic"/>
        </w:rPr>
        <w:t>The decision whether to offer the above assistance is at the discretion of ECC/HANH</w:t>
      </w:r>
      <w:r w:rsidR="00B701BA" w:rsidRPr="0037731C">
        <w:rPr>
          <w:rFonts w:ascii="Century Gothic" w:eastAsia="Calibri" w:hAnsi="Century Gothic"/>
        </w:rPr>
        <w:t>.</w:t>
      </w:r>
      <w:r w:rsidRPr="0037731C">
        <w:rPr>
          <w:rFonts w:ascii="Century Gothic" w:eastAsia="Calibri" w:hAnsi="Century Gothic"/>
        </w:rPr>
        <w:t xml:space="preserve"> </w:t>
      </w:r>
    </w:p>
    <w:p w14:paraId="3456BDB1" w14:textId="77777777" w:rsidR="00B04C09" w:rsidRPr="0037731C" w:rsidRDefault="00B04C09" w:rsidP="00772D82">
      <w:pPr>
        <w:rPr>
          <w:rFonts w:ascii="Century Gothic" w:eastAsia="Calibri" w:hAnsi="Century Gothic"/>
        </w:rPr>
      </w:pPr>
    </w:p>
    <w:p w14:paraId="7EB80850" w14:textId="53D17ABF" w:rsidR="00B04C09" w:rsidRPr="0037731C" w:rsidRDefault="00756E4C" w:rsidP="145A5A95">
      <w:pPr>
        <w:rPr>
          <w:rFonts w:ascii="Century Gothic" w:eastAsia="Calibri" w:hAnsi="Century Gothic"/>
        </w:rPr>
      </w:pPr>
      <w:r w:rsidRPr="0037731C">
        <w:rPr>
          <w:rFonts w:ascii="Century Gothic" w:eastAsia="Calibri" w:hAnsi="Century Gothic"/>
        </w:rPr>
        <w:t>There will be</w:t>
      </w:r>
      <w:r w:rsidR="00EF655A" w:rsidRPr="0037731C">
        <w:rPr>
          <w:rFonts w:ascii="Century Gothic" w:eastAsia="Calibri" w:hAnsi="Century Gothic"/>
        </w:rPr>
        <w:t xml:space="preserve"> </w:t>
      </w:r>
      <w:r w:rsidR="6D5FA662" w:rsidRPr="0037731C">
        <w:rPr>
          <w:rFonts w:ascii="Century Gothic" w:eastAsia="Calibri" w:hAnsi="Century Gothic"/>
        </w:rPr>
        <w:t>an automatic voucher extension for families working with a Mobility Counselor Specialist. This will be processed by the HCV Department upon receiving progress update reports from the mobility counselor</w:t>
      </w:r>
      <w:r w:rsidR="00252DFB" w:rsidRPr="0037731C">
        <w:rPr>
          <w:rFonts w:ascii="Century Gothic" w:eastAsia="Calibri" w:hAnsi="Century Gothic"/>
        </w:rPr>
        <w:t xml:space="preserve"> and</w:t>
      </w:r>
      <w:r w:rsidR="6D5FA662" w:rsidRPr="0037731C">
        <w:rPr>
          <w:rFonts w:ascii="Century Gothic" w:eastAsia="Calibri" w:hAnsi="Century Gothic"/>
        </w:rPr>
        <w:t xml:space="preserve"> </w:t>
      </w:r>
      <w:r w:rsidR="004E3680" w:rsidRPr="0037731C">
        <w:rPr>
          <w:rFonts w:ascii="Century Gothic" w:eastAsia="Calibri" w:hAnsi="Century Gothic"/>
        </w:rPr>
        <w:t>documenting any</w:t>
      </w:r>
      <w:r w:rsidR="6D5FA662" w:rsidRPr="0037731C">
        <w:rPr>
          <w:rFonts w:ascii="Century Gothic" w:eastAsia="Calibri" w:hAnsi="Century Gothic"/>
        </w:rPr>
        <w:t xml:space="preserve"> challenges that the family may have in finding a suitable unit.</w:t>
      </w:r>
    </w:p>
    <w:p w14:paraId="7523DD2B" w14:textId="77777777" w:rsidR="00B04C09" w:rsidRPr="0037731C" w:rsidRDefault="00B04C09" w:rsidP="145A5A95">
      <w:pPr>
        <w:rPr>
          <w:rFonts w:ascii="Century Gothic" w:eastAsia="Calibri" w:hAnsi="Century Gothic"/>
        </w:rPr>
      </w:pPr>
    </w:p>
    <w:p w14:paraId="7BE8C16A" w14:textId="623A0F89" w:rsidR="00B04C09" w:rsidRPr="0037731C" w:rsidRDefault="6D5FA662" w:rsidP="145A5A95">
      <w:pPr>
        <w:rPr>
          <w:rFonts w:ascii="Century Gothic" w:eastAsia="Calibri" w:hAnsi="Century Gothic"/>
        </w:rPr>
      </w:pPr>
      <w:r w:rsidRPr="0037731C">
        <w:rPr>
          <w:rFonts w:ascii="Century Gothic" w:eastAsia="Calibri" w:hAnsi="Century Gothic"/>
        </w:rPr>
        <w:t xml:space="preserve">ECC/HANH </w:t>
      </w:r>
      <w:r w:rsidR="00756E4C" w:rsidRPr="0037731C">
        <w:rPr>
          <w:rFonts w:ascii="Century Gothic" w:eastAsia="Calibri" w:hAnsi="Century Gothic"/>
        </w:rPr>
        <w:t xml:space="preserve">may </w:t>
      </w:r>
      <w:r w:rsidRPr="0037731C">
        <w:rPr>
          <w:rFonts w:ascii="Century Gothic" w:eastAsia="Calibri" w:hAnsi="Century Gothic"/>
        </w:rPr>
        <w:t xml:space="preserve">also allow families to move to another jurisdiction if they are </w:t>
      </w:r>
      <w:proofErr w:type="gramStart"/>
      <w:r w:rsidRPr="0037731C">
        <w:rPr>
          <w:rFonts w:ascii="Century Gothic" w:eastAsia="Calibri" w:hAnsi="Century Gothic"/>
        </w:rPr>
        <w:t>experiencing difficulty</w:t>
      </w:r>
      <w:proofErr w:type="gramEnd"/>
      <w:r w:rsidRPr="0037731C">
        <w:rPr>
          <w:rFonts w:ascii="Century Gothic" w:eastAsia="Calibri" w:hAnsi="Century Gothic"/>
        </w:rPr>
        <w:t xml:space="preserve"> in finding housing in New Haven.  The request will be reviewed and approved at the discretion of the V.P. of HCV.</w:t>
      </w:r>
    </w:p>
    <w:p w14:paraId="2B50F705" w14:textId="77777777" w:rsidR="00B04C09" w:rsidRPr="0037731C" w:rsidRDefault="00B04C09" w:rsidP="145A5A95">
      <w:pPr>
        <w:rPr>
          <w:rFonts w:ascii="Century Gothic" w:eastAsia="Calibri" w:hAnsi="Century Gothic"/>
        </w:rPr>
      </w:pPr>
    </w:p>
    <w:p w14:paraId="5C2149DD" w14:textId="5C392F53" w:rsidR="00B04C09" w:rsidRPr="0037731C" w:rsidRDefault="00756E4C" w:rsidP="145A5A95">
      <w:pPr>
        <w:rPr>
          <w:rFonts w:ascii="Century Gothic" w:eastAsia="Calibri" w:hAnsi="Century Gothic"/>
        </w:rPr>
      </w:pPr>
      <w:r w:rsidRPr="0037731C">
        <w:rPr>
          <w:rFonts w:ascii="Century Gothic" w:eastAsia="Calibri" w:hAnsi="Century Gothic"/>
        </w:rPr>
        <w:t>Landlords</w:t>
      </w:r>
      <w:r w:rsidR="00556B9B" w:rsidRPr="0037731C">
        <w:rPr>
          <w:rFonts w:ascii="Century Gothic" w:eastAsia="Calibri" w:hAnsi="Century Gothic"/>
        </w:rPr>
        <w:t xml:space="preserve"> </w:t>
      </w:r>
      <w:r w:rsidR="6D5FA662" w:rsidRPr="0037731C">
        <w:rPr>
          <w:rFonts w:ascii="Century Gothic" w:eastAsia="Calibri" w:hAnsi="Century Gothic"/>
        </w:rPr>
        <w:t xml:space="preserve">may receive a </w:t>
      </w:r>
      <w:r w:rsidR="00F00BB6" w:rsidRPr="0037731C">
        <w:rPr>
          <w:rFonts w:ascii="Century Gothic" w:eastAsia="Calibri" w:hAnsi="Century Gothic"/>
        </w:rPr>
        <w:t>one-time</w:t>
      </w:r>
      <w:r w:rsidR="6D5FA662" w:rsidRPr="0037731C">
        <w:rPr>
          <w:rFonts w:ascii="Century Gothic" w:eastAsia="Calibri" w:hAnsi="Century Gothic"/>
        </w:rPr>
        <w:t xml:space="preserve"> incentive payment upon their first lease up with ECC/HANH in the HCV program.  This will assist a landlord in bridging the financial gap while waiting for a new family to move in once a vacant unit is made ready for occupancy.</w:t>
      </w:r>
    </w:p>
    <w:p w14:paraId="041B9554" w14:textId="77777777" w:rsidR="00B04C09" w:rsidRPr="0037731C" w:rsidRDefault="00B04C09" w:rsidP="145A5A95">
      <w:pPr>
        <w:rPr>
          <w:rFonts w:ascii="Century Gothic" w:eastAsia="Calibri" w:hAnsi="Century Gothic"/>
        </w:rPr>
      </w:pPr>
    </w:p>
    <w:tbl>
      <w:tblPr>
        <w:tblStyle w:val="TableGrid"/>
        <w:tblW w:w="0" w:type="auto"/>
        <w:tblInd w:w="135" w:type="dxa"/>
        <w:tblLayout w:type="fixed"/>
        <w:tblLook w:val="04A0" w:firstRow="1" w:lastRow="0" w:firstColumn="1" w:lastColumn="0" w:noHBand="0" w:noVBand="1"/>
      </w:tblPr>
      <w:tblGrid>
        <w:gridCol w:w="4100"/>
        <w:gridCol w:w="5260"/>
      </w:tblGrid>
      <w:tr w:rsidR="00B04C09" w:rsidRPr="0037731C" w14:paraId="2F20DEB8" w14:textId="77777777" w:rsidTr="145A5A95">
        <w:trPr>
          <w:trHeight w:val="285"/>
        </w:trPr>
        <w:tc>
          <w:tcPr>
            <w:tcW w:w="4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C7C87"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 xml:space="preserve">Unit Size </w:t>
            </w:r>
          </w:p>
        </w:tc>
        <w:tc>
          <w:tcPr>
            <w:tcW w:w="5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8205AE"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 xml:space="preserve">Amount </w:t>
            </w:r>
          </w:p>
        </w:tc>
      </w:tr>
      <w:tr w:rsidR="00B04C09" w:rsidRPr="0037731C" w14:paraId="23411C27" w14:textId="77777777" w:rsidTr="145A5A95">
        <w:trPr>
          <w:trHeight w:val="270"/>
        </w:trPr>
        <w:tc>
          <w:tcPr>
            <w:tcW w:w="4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D1216"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 xml:space="preserve">1 Bedroom </w:t>
            </w:r>
          </w:p>
        </w:tc>
        <w:tc>
          <w:tcPr>
            <w:tcW w:w="5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B9647"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$175</w:t>
            </w:r>
          </w:p>
        </w:tc>
      </w:tr>
      <w:tr w:rsidR="00B04C09" w:rsidRPr="0037731C" w14:paraId="60EEADC3" w14:textId="77777777" w:rsidTr="145A5A95">
        <w:trPr>
          <w:trHeight w:val="285"/>
        </w:trPr>
        <w:tc>
          <w:tcPr>
            <w:tcW w:w="4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E1CF66"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 xml:space="preserve">2 Bedroom </w:t>
            </w:r>
          </w:p>
        </w:tc>
        <w:tc>
          <w:tcPr>
            <w:tcW w:w="5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E3D9E"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$275</w:t>
            </w:r>
          </w:p>
        </w:tc>
      </w:tr>
      <w:tr w:rsidR="00B04C09" w:rsidRPr="0037731C" w14:paraId="65F6FE19" w14:textId="77777777" w:rsidTr="145A5A95">
        <w:trPr>
          <w:trHeight w:val="270"/>
        </w:trPr>
        <w:tc>
          <w:tcPr>
            <w:tcW w:w="4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8D0A1A"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 xml:space="preserve">3 Bedroom </w:t>
            </w:r>
          </w:p>
        </w:tc>
        <w:tc>
          <w:tcPr>
            <w:tcW w:w="5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C94F61"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$475</w:t>
            </w:r>
          </w:p>
        </w:tc>
      </w:tr>
      <w:tr w:rsidR="00B04C09" w:rsidRPr="0037731C" w14:paraId="6058091B" w14:textId="77777777" w:rsidTr="145A5A95">
        <w:trPr>
          <w:trHeight w:val="270"/>
        </w:trPr>
        <w:tc>
          <w:tcPr>
            <w:tcW w:w="4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7EF852"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 xml:space="preserve">4+ Bedroom </w:t>
            </w:r>
          </w:p>
        </w:tc>
        <w:tc>
          <w:tcPr>
            <w:tcW w:w="5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94990" w14:textId="77777777" w:rsidR="00B04C09" w:rsidRPr="0037731C" w:rsidRDefault="6D5FA662" w:rsidP="145A5A95">
            <w:pPr>
              <w:spacing w:line="276" w:lineRule="auto"/>
              <w:rPr>
                <w:rFonts w:ascii="Century Gothic" w:hAnsi="Century Gothic"/>
                <w:color w:val="000000" w:themeColor="text1"/>
              </w:rPr>
            </w:pPr>
            <w:r w:rsidRPr="0037731C">
              <w:rPr>
                <w:rFonts w:ascii="Century Gothic" w:hAnsi="Century Gothic"/>
                <w:color w:val="000000" w:themeColor="text1"/>
              </w:rPr>
              <w:t>$550</w:t>
            </w:r>
          </w:p>
        </w:tc>
      </w:tr>
    </w:tbl>
    <w:p w14:paraId="2C622AF3" w14:textId="77777777" w:rsidR="00B04C09" w:rsidRPr="0037731C" w:rsidRDefault="00B04C09" w:rsidP="145A5A95">
      <w:pPr>
        <w:rPr>
          <w:rFonts w:ascii="Century Gothic" w:eastAsia="Calibri" w:hAnsi="Century Gothic"/>
        </w:rPr>
      </w:pPr>
    </w:p>
    <w:p w14:paraId="4D167375" w14:textId="2FB7976D" w:rsidR="00B04C09" w:rsidRPr="0037731C" w:rsidRDefault="00756E4C" w:rsidP="145A5A95">
      <w:pPr>
        <w:rPr>
          <w:rFonts w:ascii="Century Gothic" w:eastAsia="Calibri" w:hAnsi="Century Gothic"/>
        </w:rPr>
      </w:pPr>
      <w:r w:rsidRPr="0037731C">
        <w:rPr>
          <w:rFonts w:ascii="Century Gothic" w:eastAsia="Calibri" w:hAnsi="Century Gothic"/>
        </w:rPr>
        <w:t>Landlords</w:t>
      </w:r>
      <w:r w:rsidR="6D5FA662" w:rsidRPr="0037731C">
        <w:rPr>
          <w:rFonts w:ascii="Century Gothic" w:eastAsia="Calibri" w:hAnsi="Century Gothic"/>
        </w:rPr>
        <w:t xml:space="preserve"> who are engaged with a family who is receiving mobility counseling will </w:t>
      </w:r>
      <w:r w:rsidRPr="0037731C">
        <w:rPr>
          <w:rFonts w:ascii="Century Gothic" w:eastAsia="Calibri" w:hAnsi="Century Gothic"/>
        </w:rPr>
        <w:t xml:space="preserve">also </w:t>
      </w:r>
      <w:r w:rsidR="6D5FA662" w:rsidRPr="0037731C">
        <w:rPr>
          <w:rFonts w:ascii="Century Gothic" w:eastAsia="Calibri" w:hAnsi="Century Gothic"/>
        </w:rPr>
        <w:t xml:space="preserve">receive an HQS checklist upon initial engagement with a family </w:t>
      </w:r>
      <w:proofErr w:type="gramStart"/>
      <w:r w:rsidR="6D5FA662" w:rsidRPr="0037731C">
        <w:rPr>
          <w:rFonts w:ascii="Century Gothic" w:eastAsia="Calibri" w:hAnsi="Century Gothic"/>
        </w:rPr>
        <w:t>in order to</w:t>
      </w:r>
      <w:proofErr w:type="gramEnd"/>
      <w:r w:rsidR="6D5FA662" w:rsidRPr="0037731C">
        <w:rPr>
          <w:rFonts w:ascii="Century Gothic" w:eastAsia="Calibri" w:hAnsi="Century Gothic"/>
        </w:rPr>
        <w:t xml:space="preserve"> be prepared for an HQS inspection.</w:t>
      </w:r>
    </w:p>
    <w:p w14:paraId="4E0E7F1C" w14:textId="77777777" w:rsidR="00772D82" w:rsidRPr="0037731C" w:rsidRDefault="00772D82" w:rsidP="00B04C09">
      <w:pPr>
        <w:rPr>
          <w:rFonts w:ascii="Century Gothic" w:eastAsia="Calibri" w:hAnsi="Century Gothic"/>
        </w:rPr>
      </w:pPr>
    </w:p>
    <w:p w14:paraId="505271E0" w14:textId="0187C1A5" w:rsidR="0088101F" w:rsidRPr="0037731C" w:rsidRDefault="0088101F" w:rsidP="0088101F">
      <w:pPr>
        <w:rPr>
          <w:rFonts w:ascii="Century Gothic" w:eastAsia="Franklin Gothic Book" w:hAnsi="Century Gothic"/>
        </w:rPr>
      </w:pPr>
      <w:r w:rsidRPr="0037731C">
        <w:rPr>
          <w:rFonts w:ascii="Century Gothic" w:eastAsia="Franklin Gothic Book" w:hAnsi="Century Gothic"/>
        </w:rPr>
        <w:t xml:space="preserve">In FY2008, ECC/HANH received HUD approval, to approve an MTW Rent Standard up to 150% of the FMR. </w:t>
      </w:r>
    </w:p>
    <w:p w14:paraId="6DC4824F" w14:textId="77777777" w:rsidR="0088101F" w:rsidRPr="0037731C" w:rsidRDefault="0088101F" w:rsidP="00B04C09">
      <w:pPr>
        <w:rPr>
          <w:rFonts w:ascii="Century Gothic" w:eastAsia="Calibri" w:hAnsi="Century Gothic"/>
        </w:rPr>
      </w:pPr>
    </w:p>
    <w:p w14:paraId="29146177" w14:textId="679BB56D" w:rsidR="00772D82" w:rsidRPr="0037731C" w:rsidRDefault="6D5FA662" w:rsidP="00B04C09">
      <w:pPr>
        <w:rPr>
          <w:rFonts w:ascii="Century Gothic" w:eastAsia="Franklin Gothic Book" w:hAnsi="Century Gothic"/>
        </w:rPr>
      </w:pPr>
      <w:r w:rsidRPr="0037731C">
        <w:rPr>
          <w:rFonts w:ascii="Century Gothic" w:eastAsia="Franklin Gothic Book" w:hAnsi="Century Gothic"/>
        </w:rPr>
        <w:t xml:space="preserve">ECC/HANH </w:t>
      </w:r>
      <w:r w:rsidR="0088101F" w:rsidRPr="0037731C">
        <w:rPr>
          <w:rFonts w:ascii="Century Gothic" w:eastAsia="Franklin Gothic Book" w:hAnsi="Century Gothic"/>
        </w:rPr>
        <w:t xml:space="preserve">will </w:t>
      </w:r>
      <w:r w:rsidRPr="0037731C">
        <w:rPr>
          <w:rFonts w:ascii="Century Gothic" w:eastAsia="Franklin Gothic Book" w:hAnsi="Century Gothic"/>
        </w:rPr>
        <w:t xml:space="preserve">approve exception rents in the following cases: </w:t>
      </w:r>
    </w:p>
    <w:p w14:paraId="56AA0C08" w14:textId="77777777" w:rsidR="000E3C54" w:rsidRPr="0037731C" w:rsidRDefault="6D5FA662" w:rsidP="00486062">
      <w:pPr>
        <w:pStyle w:val="ListParagraph"/>
        <w:numPr>
          <w:ilvl w:val="0"/>
          <w:numId w:val="109"/>
        </w:numPr>
        <w:rPr>
          <w:rFonts w:ascii="Century Gothic" w:hAnsi="Century Gothic"/>
        </w:rPr>
      </w:pPr>
      <w:r w:rsidRPr="0037731C">
        <w:rPr>
          <w:rFonts w:ascii="Century Gothic" w:eastAsia="Franklin Gothic Book" w:hAnsi="Century Gothic"/>
        </w:rPr>
        <w:t xml:space="preserve">Wheelchair accessible </w:t>
      </w:r>
      <w:proofErr w:type="gramStart"/>
      <w:r w:rsidRPr="0037731C">
        <w:rPr>
          <w:rFonts w:ascii="Century Gothic" w:eastAsia="Franklin Gothic Book" w:hAnsi="Century Gothic"/>
        </w:rPr>
        <w:t>units;</w:t>
      </w:r>
      <w:proofErr w:type="gramEnd"/>
      <w:r w:rsidRPr="0037731C">
        <w:rPr>
          <w:rFonts w:ascii="Century Gothic" w:eastAsia="Franklin Gothic Book" w:hAnsi="Century Gothic"/>
        </w:rPr>
        <w:t xml:space="preserve"> </w:t>
      </w:r>
    </w:p>
    <w:p w14:paraId="01DF0208" w14:textId="77777777" w:rsidR="000E3C54" w:rsidRPr="0037731C" w:rsidRDefault="6D5FA662" w:rsidP="00486062">
      <w:pPr>
        <w:pStyle w:val="ListParagraph"/>
        <w:numPr>
          <w:ilvl w:val="0"/>
          <w:numId w:val="109"/>
        </w:numPr>
        <w:rPr>
          <w:rFonts w:ascii="Century Gothic" w:hAnsi="Century Gothic"/>
        </w:rPr>
      </w:pPr>
      <w:r w:rsidRPr="0037731C">
        <w:rPr>
          <w:rFonts w:ascii="Century Gothic" w:eastAsia="Franklin Gothic Book" w:hAnsi="Century Gothic"/>
        </w:rPr>
        <w:t>Large bedroom-size units, (4 bedrooms or larger</w:t>
      </w:r>
      <w:proofErr w:type="gramStart"/>
      <w:r w:rsidRPr="0037731C">
        <w:rPr>
          <w:rFonts w:ascii="Century Gothic" w:eastAsia="Franklin Gothic Book" w:hAnsi="Century Gothic"/>
        </w:rPr>
        <w:t>);</w:t>
      </w:r>
      <w:proofErr w:type="gramEnd"/>
      <w:r w:rsidRPr="0037731C">
        <w:rPr>
          <w:rFonts w:ascii="Century Gothic" w:eastAsia="Franklin Gothic Book" w:hAnsi="Century Gothic"/>
        </w:rPr>
        <w:t xml:space="preserve"> </w:t>
      </w:r>
    </w:p>
    <w:p w14:paraId="2D22212F" w14:textId="77777777" w:rsidR="000E3C54" w:rsidRPr="0037731C" w:rsidRDefault="6D5FA662" w:rsidP="00486062">
      <w:pPr>
        <w:pStyle w:val="ListParagraph"/>
        <w:numPr>
          <w:ilvl w:val="0"/>
          <w:numId w:val="109"/>
        </w:numPr>
        <w:rPr>
          <w:rFonts w:ascii="Century Gothic" w:hAnsi="Century Gothic"/>
        </w:rPr>
      </w:pPr>
      <w:r w:rsidRPr="0037731C">
        <w:rPr>
          <w:rFonts w:ascii="Century Gothic" w:eastAsia="Franklin Gothic Book" w:hAnsi="Century Gothic"/>
        </w:rPr>
        <w:t xml:space="preserve">Expanded housing opportunities in neighborhoods with low concentrations of </w:t>
      </w:r>
      <w:proofErr w:type="gramStart"/>
      <w:r w:rsidRPr="0037731C">
        <w:rPr>
          <w:rFonts w:ascii="Century Gothic" w:eastAsia="Franklin Gothic Book" w:hAnsi="Century Gothic"/>
        </w:rPr>
        <w:t>poverty;</w:t>
      </w:r>
      <w:proofErr w:type="gramEnd"/>
      <w:r w:rsidRPr="0037731C">
        <w:rPr>
          <w:rFonts w:ascii="Century Gothic" w:eastAsia="Franklin Gothic Book" w:hAnsi="Century Gothic"/>
        </w:rPr>
        <w:t xml:space="preserve"> </w:t>
      </w:r>
    </w:p>
    <w:p w14:paraId="34A3220E" w14:textId="77777777" w:rsidR="000E3C54" w:rsidRPr="0037731C" w:rsidRDefault="6D5FA662" w:rsidP="00486062">
      <w:pPr>
        <w:pStyle w:val="ListParagraph"/>
        <w:numPr>
          <w:ilvl w:val="0"/>
          <w:numId w:val="109"/>
        </w:numPr>
        <w:rPr>
          <w:rFonts w:ascii="Century Gothic" w:hAnsi="Century Gothic"/>
        </w:rPr>
      </w:pPr>
      <w:r w:rsidRPr="0037731C">
        <w:rPr>
          <w:rFonts w:ascii="Century Gothic" w:eastAsia="Franklin Gothic Book" w:hAnsi="Century Gothic"/>
        </w:rPr>
        <w:t xml:space="preserve">Housing opportunities in new development projects that include significant public investment to promote revitalization of neighborhoods; and </w:t>
      </w:r>
    </w:p>
    <w:p w14:paraId="4FFC644F" w14:textId="05554E22" w:rsidR="00B04C09" w:rsidRPr="0037731C" w:rsidRDefault="76C30083" w:rsidP="00486062">
      <w:pPr>
        <w:pStyle w:val="ListParagraph"/>
        <w:numPr>
          <w:ilvl w:val="0"/>
          <w:numId w:val="109"/>
        </w:numPr>
        <w:rPr>
          <w:rFonts w:ascii="Century Gothic" w:hAnsi="Century Gothic"/>
        </w:rPr>
      </w:pPr>
      <w:r w:rsidRPr="0037731C">
        <w:rPr>
          <w:rFonts w:ascii="Century Gothic" w:eastAsia="Franklin Gothic Book" w:hAnsi="Century Gothic"/>
        </w:rPr>
        <w:t xml:space="preserve">Mixed-income housing </w:t>
      </w:r>
      <w:proofErr w:type="gramStart"/>
      <w:r w:rsidRPr="0037731C">
        <w:rPr>
          <w:rFonts w:ascii="Century Gothic" w:eastAsia="Franklin Gothic Book" w:hAnsi="Century Gothic"/>
        </w:rPr>
        <w:t>opportunities that</w:t>
      </w:r>
      <w:proofErr w:type="gramEnd"/>
      <w:r w:rsidRPr="0037731C">
        <w:rPr>
          <w:rFonts w:ascii="Century Gothic" w:eastAsia="Franklin Gothic Book" w:hAnsi="Century Gothic"/>
        </w:rPr>
        <w:t xml:space="preserve"> promote expanded housing opportunities and deconcentration of poverty. </w:t>
      </w:r>
    </w:p>
    <w:p w14:paraId="4F88612E" w14:textId="77777777" w:rsidR="0088101F" w:rsidRPr="0037731C" w:rsidRDefault="0088101F" w:rsidP="0088101F">
      <w:pPr>
        <w:pStyle w:val="ListParagraph"/>
        <w:rPr>
          <w:rFonts w:ascii="Century Gothic" w:hAnsi="Century Gothic"/>
        </w:rPr>
      </w:pPr>
    </w:p>
    <w:p w14:paraId="7708D0D3" w14:textId="3213768C" w:rsidR="0088101F" w:rsidRPr="0037731C" w:rsidRDefault="0088101F" w:rsidP="0088101F">
      <w:pPr>
        <w:rPr>
          <w:rFonts w:ascii="Century Gothic" w:eastAsia="Franklin Gothic Book" w:hAnsi="Century Gothic"/>
        </w:rPr>
      </w:pPr>
      <w:r w:rsidRPr="0037731C">
        <w:rPr>
          <w:rFonts w:ascii="Century Gothic" w:eastAsia="Franklin Gothic Book" w:hAnsi="Century Gothic"/>
        </w:rPr>
        <w:t xml:space="preserve">ECC/HANH will not approve an MTW Rent Standard above 150% without prior HUD approval and requests for MTW Rent Standards above </w:t>
      </w:r>
      <w:proofErr w:type="gramStart"/>
      <w:r w:rsidRPr="0037731C">
        <w:rPr>
          <w:rFonts w:ascii="Century Gothic" w:eastAsia="Franklin Gothic Book" w:hAnsi="Century Gothic"/>
        </w:rPr>
        <w:t>120%,</w:t>
      </w:r>
      <w:proofErr w:type="gramEnd"/>
      <w:r w:rsidRPr="0037731C">
        <w:rPr>
          <w:rFonts w:ascii="Century Gothic" w:eastAsia="Franklin Gothic Book" w:hAnsi="Century Gothic"/>
        </w:rPr>
        <w:t xml:space="preserve"> will be reviewed on a case-by-case basis. </w:t>
      </w:r>
    </w:p>
    <w:p w14:paraId="20A11314" w14:textId="28402890" w:rsidR="00B04C09" w:rsidRPr="0037731C" w:rsidRDefault="00B04C09" w:rsidP="00B04C09">
      <w:pPr>
        <w:rPr>
          <w:rFonts w:ascii="Century Gothic" w:hAnsi="Century Gothic"/>
        </w:rPr>
      </w:pPr>
    </w:p>
    <w:p w14:paraId="5E659AB7" w14:textId="5A431F63" w:rsidR="00B04C09" w:rsidRPr="0037731C" w:rsidRDefault="6D5FA662" w:rsidP="00B04C09">
      <w:pPr>
        <w:rPr>
          <w:rFonts w:ascii="Century Gothic" w:hAnsi="Century Gothic"/>
        </w:rPr>
      </w:pPr>
      <w:r w:rsidRPr="0037731C">
        <w:rPr>
          <w:rFonts w:ascii="Century Gothic" w:eastAsia="Franklin Gothic Book" w:hAnsi="Century Gothic"/>
        </w:rPr>
        <w:lastRenderedPageBreak/>
        <w:t xml:space="preserve">In addition, ECC/HANH </w:t>
      </w:r>
      <w:r w:rsidR="000E3C54" w:rsidRPr="0037731C">
        <w:rPr>
          <w:rFonts w:ascii="Century Gothic" w:eastAsia="Franklin Gothic Book" w:hAnsi="Century Gothic"/>
        </w:rPr>
        <w:t xml:space="preserve">will approve </w:t>
      </w:r>
      <w:r w:rsidRPr="0037731C">
        <w:rPr>
          <w:rFonts w:ascii="Century Gothic" w:eastAsia="Franklin Gothic Book" w:hAnsi="Century Gothic"/>
        </w:rPr>
        <w:t xml:space="preserve">budget-based rent increases for landlords who make major capital improvements in their property, including accessibility modifications. </w:t>
      </w:r>
    </w:p>
    <w:p w14:paraId="7AED3E03" w14:textId="77777777" w:rsidR="00B04C09" w:rsidRPr="0037731C" w:rsidRDefault="00B04C09" w:rsidP="145A5A95">
      <w:pPr>
        <w:rPr>
          <w:rFonts w:ascii="Century Gothic" w:eastAsia="Franklin Gothic Book" w:hAnsi="Century Gothic"/>
        </w:rPr>
      </w:pPr>
    </w:p>
    <w:p w14:paraId="7A70E9A1" w14:textId="50906743" w:rsidR="00B04C09" w:rsidRPr="0037731C" w:rsidRDefault="6D5FA662" w:rsidP="145A5A95">
      <w:pPr>
        <w:rPr>
          <w:rFonts w:ascii="Century Gothic" w:eastAsia="Franklin Gothic Book" w:hAnsi="Century Gothic"/>
        </w:rPr>
      </w:pPr>
      <w:r w:rsidRPr="0037731C">
        <w:rPr>
          <w:rFonts w:ascii="Century Gothic" w:eastAsia="Franklin Gothic Book" w:hAnsi="Century Gothic"/>
        </w:rPr>
        <w:t xml:space="preserve">ECC/HANH will </w:t>
      </w:r>
      <w:r w:rsidR="000E3C54" w:rsidRPr="0037731C">
        <w:rPr>
          <w:rFonts w:ascii="Century Gothic" w:eastAsia="Franklin Gothic Book" w:hAnsi="Century Gothic"/>
        </w:rPr>
        <w:t xml:space="preserve">also </w:t>
      </w:r>
      <w:r w:rsidRPr="0037731C">
        <w:rPr>
          <w:rFonts w:ascii="Century Gothic" w:eastAsia="Franklin Gothic Book" w:hAnsi="Century Gothic"/>
        </w:rPr>
        <w:t>reexamine its MTW Rent Standards monthly to ensure that ECC/HANH does not exceed 120% of the FMRs in the mean Rent Standard, which includes HAP payments to landlords, HAP RAD Payments, tenant rent payments to landlords, and any utility allowance amounts.</w:t>
      </w:r>
    </w:p>
    <w:p w14:paraId="2537EB57" w14:textId="77777777" w:rsidR="00B04C09" w:rsidRPr="0037731C" w:rsidRDefault="00B04C09" w:rsidP="145A5A95">
      <w:pPr>
        <w:rPr>
          <w:rFonts w:ascii="Century Gothic" w:hAnsi="Century Gothic"/>
          <w:b/>
          <w:bCs/>
        </w:rPr>
      </w:pPr>
    </w:p>
    <w:p w14:paraId="1403BBEA" w14:textId="1F6C3EB6" w:rsidR="00304D10" w:rsidRPr="0037731C" w:rsidRDefault="0088101F" w:rsidP="41C1CCED">
      <w:pPr>
        <w:keepNext/>
        <w:keepLines/>
        <w:spacing w:before="120" w:after="80"/>
        <w:outlineLvl w:val="3"/>
        <w:rPr>
          <w:rFonts w:ascii="Century Gothic" w:eastAsiaTheme="majorEastAsia" w:hAnsi="Century Gothic"/>
          <w:b/>
          <w:bCs/>
          <w:color w:val="808080" w:themeColor="background1" w:themeShade="80"/>
        </w:rPr>
      </w:pPr>
      <w:r w:rsidRPr="0037731C">
        <w:rPr>
          <w:rFonts w:ascii="Century Gothic" w:eastAsiaTheme="majorEastAsia" w:hAnsi="Century Gothic"/>
          <w:b/>
          <w:bCs/>
          <w:color w:val="808080" w:themeColor="background1" w:themeShade="80"/>
        </w:rPr>
        <w:t>Impact</w:t>
      </w:r>
    </w:p>
    <w:p w14:paraId="43C1DF13" w14:textId="77777777" w:rsidR="00400D97" w:rsidRPr="0037731C" w:rsidRDefault="580D9B4F" w:rsidP="0088101F">
      <w:pPr>
        <w:keepNext/>
        <w:keepLines/>
        <w:spacing w:before="120" w:after="80"/>
        <w:rPr>
          <w:rFonts w:ascii="Century Gothic" w:hAnsi="Century Gothic"/>
        </w:rPr>
      </w:pPr>
      <w:r w:rsidRPr="0037731C">
        <w:rPr>
          <w:rFonts w:ascii="Century Gothic" w:hAnsi="Century Gothic"/>
        </w:rPr>
        <w:t>In FY2</w:t>
      </w:r>
      <w:r w:rsidR="13905057" w:rsidRPr="0037731C">
        <w:rPr>
          <w:rFonts w:ascii="Century Gothic" w:hAnsi="Century Gothic"/>
        </w:rPr>
        <w:t>024</w:t>
      </w:r>
      <w:r w:rsidRPr="0037731C">
        <w:rPr>
          <w:rFonts w:ascii="Century Gothic" w:hAnsi="Century Gothic"/>
        </w:rPr>
        <w:t xml:space="preserve">, </w:t>
      </w:r>
      <w:r w:rsidR="7E246A8E" w:rsidRPr="0037731C">
        <w:rPr>
          <w:rFonts w:ascii="Century Gothic" w:hAnsi="Century Gothic"/>
        </w:rPr>
        <w:t xml:space="preserve">ECC/HANH provided </w:t>
      </w:r>
      <w:r w:rsidR="00400D97" w:rsidRPr="0037731C">
        <w:rPr>
          <w:rFonts w:ascii="Century Gothic" w:hAnsi="Century Gothic"/>
        </w:rPr>
        <w:t>the following participant incentives</w:t>
      </w:r>
    </w:p>
    <w:p w14:paraId="6A457867" w14:textId="16DB9B88" w:rsidR="00400D97" w:rsidRPr="0037731C" w:rsidRDefault="00220513" w:rsidP="00486062">
      <w:pPr>
        <w:pStyle w:val="ListParagraph"/>
        <w:keepNext/>
        <w:keepLines/>
        <w:numPr>
          <w:ilvl w:val="0"/>
          <w:numId w:val="122"/>
        </w:numPr>
        <w:spacing w:before="120" w:after="80"/>
        <w:rPr>
          <w:rFonts w:ascii="Century Gothic" w:eastAsia="MS PGothic" w:hAnsi="Century Gothic"/>
        </w:rPr>
      </w:pPr>
      <w:r w:rsidRPr="0037731C">
        <w:rPr>
          <w:rFonts w:ascii="Century Gothic" w:hAnsi="Century Gothic"/>
        </w:rPr>
        <w:t>S</w:t>
      </w:r>
      <w:r w:rsidR="7E246A8E" w:rsidRPr="0037731C">
        <w:rPr>
          <w:rFonts w:ascii="Century Gothic" w:hAnsi="Century Gothic"/>
        </w:rPr>
        <w:t xml:space="preserve">ecurity deposit assistance for </w:t>
      </w:r>
      <w:r w:rsidR="569F9A3F" w:rsidRPr="0037731C">
        <w:rPr>
          <w:rFonts w:ascii="Century Gothic" w:hAnsi="Century Gothic"/>
        </w:rPr>
        <w:t>70</w:t>
      </w:r>
      <w:r w:rsidR="7E246A8E" w:rsidRPr="0037731C">
        <w:rPr>
          <w:rFonts w:ascii="Century Gothic" w:hAnsi="Century Gothic"/>
        </w:rPr>
        <w:t xml:space="preserve"> </w:t>
      </w:r>
      <w:r w:rsidR="2C7326C7" w:rsidRPr="0037731C">
        <w:rPr>
          <w:rFonts w:ascii="Century Gothic" w:hAnsi="Century Gothic"/>
        </w:rPr>
        <w:t>families,</w:t>
      </w:r>
      <w:r w:rsidR="7E246A8E" w:rsidRPr="0037731C">
        <w:rPr>
          <w:rFonts w:ascii="Century Gothic" w:hAnsi="Century Gothic"/>
        </w:rPr>
        <w:t xml:space="preserve"> totaling $</w:t>
      </w:r>
      <w:r w:rsidR="57F90A2E" w:rsidRPr="0037731C">
        <w:rPr>
          <w:rFonts w:ascii="Century Gothic" w:hAnsi="Century Gothic"/>
        </w:rPr>
        <w:t>108,097</w:t>
      </w:r>
      <w:r w:rsidR="7E246A8E" w:rsidRPr="0037731C">
        <w:rPr>
          <w:rFonts w:ascii="Century Gothic" w:hAnsi="Century Gothic"/>
        </w:rPr>
        <w:t xml:space="preserve">. </w:t>
      </w:r>
      <w:r w:rsidR="5C5CB089" w:rsidRPr="0037731C">
        <w:rPr>
          <w:rFonts w:ascii="Century Gothic" w:hAnsi="Century Gothic"/>
        </w:rPr>
        <w:t xml:space="preserve"> </w:t>
      </w:r>
      <w:r w:rsidR="00033068" w:rsidRPr="0037731C">
        <w:rPr>
          <w:rFonts w:ascii="Century Gothic" w:hAnsi="Century Gothic"/>
        </w:rPr>
        <w:t xml:space="preserve">                </w:t>
      </w:r>
    </w:p>
    <w:p w14:paraId="60F8B6EA" w14:textId="296F38EF" w:rsidR="4C4F5E4A" w:rsidRPr="0037731C" w:rsidRDefault="00400D97" w:rsidP="00486062">
      <w:pPr>
        <w:pStyle w:val="ListParagraph"/>
        <w:keepNext/>
        <w:keepLines/>
        <w:numPr>
          <w:ilvl w:val="0"/>
          <w:numId w:val="122"/>
        </w:numPr>
        <w:spacing w:before="120" w:after="80"/>
        <w:rPr>
          <w:rFonts w:ascii="Century Gothic" w:eastAsia="MS PGothic" w:hAnsi="Century Gothic"/>
        </w:rPr>
      </w:pPr>
      <w:r w:rsidRPr="0037731C">
        <w:rPr>
          <w:rFonts w:ascii="Century Gothic" w:hAnsi="Century Gothic"/>
        </w:rPr>
        <w:t>Application fee</w:t>
      </w:r>
      <w:r w:rsidR="00220513" w:rsidRPr="0037731C">
        <w:rPr>
          <w:rFonts w:ascii="Century Gothic" w:hAnsi="Century Gothic"/>
        </w:rPr>
        <w:t xml:space="preserve"> assistance for</w:t>
      </w:r>
      <w:r w:rsidR="7E246A8E" w:rsidRPr="0037731C">
        <w:rPr>
          <w:rFonts w:ascii="Century Gothic" w:hAnsi="Century Gothic"/>
        </w:rPr>
        <w:t xml:space="preserve"> </w:t>
      </w:r>
      <w:r w:rsidR="495655ED" w:rsidRPr="0037731C">
        <w:rPr>
          <w:rFonts w:ascii="Century Gothic" w:hAnsi="Century Gothic"/>
        </w:rPr>
        <w:t>110</w:t>
      </w:r>
      <w:r w:rsidR="7E246A8E" w:rsidRPr="0037731C">
        <w:rPr>
          <w:rFonts w:ascii="Century Gothic" w:hAnsi="Century Gothic"/>
        </w:rPr>
        <w:t xml:space="preserve"> families totaling $</w:t>
      </w:r>
      <w:r w:rsidR="0484929E" w:rsidRPr="0037731C">
        <w:rPr>
          <w:rFonts w:ascii="Century Gothic" w:hAnsi="Century Gothic"/>
        </w:rPr>
        <w:t xml:space="preserve"> 9,337</w:t>
      </w:r>
      <w:r w:rsidR="4A2A713E" w:rsidRPr="0037731C">
        <w:rPr>
          <w:rFonts w:ascii="Century Gothic" w:hAnsi="Century Gothic"/>
        </w:rPr>
        <w:t>.</w:t>
      </w:r>
    </w:p>
    <w:p w14:paraId="0B90A405" w14:textId="431EB668" w:rsidR="00B07700" w:rsidRPr="0037731C" w:rsidRDefault="00B07700" w:rsidP="00486062">
      <w:pPr>
        <w:pStyle w:val="ListParagraph"/>
        <w:keepNext/>
        <w:keepLines/>
        <w:numPr>
          <w:ilvl w:val="0"/>
          <w:numId w:val="122"/>
        </w:numPr>
        <w:spacing w:before="120" w:after="80"/>
        <w:rPr>
          <w:rFonts w:ascii="Century Gothic" w:hAnsi="Century Gothic"/>
        </w:rPr>
      </w:pPr>
      <w:r w:rsidRPr="0037731C">
        <w:rPr>
          <w:rFonts w:ascii="Century Gothic" w:hAnsi="Century Gothic"/>
        </w:rPr>
        <w:t>Landlord incentive for 1 landlord in the amount of $425.</w:t>
      </w:r>
    </w:p>
    <w:p w14:paraId="55B48692" w14:textId="55BFA377" w:rsidR="00E8487B" w:rsidRPr="0037731C" w:rsidRDefault="00E8487B" w:rsidP="00E8487B">
      <w:pPr>
        <w:keepNext/>
        <w:keepLines/>
        <w:spacing w:before="120" w:after="80"/>
        <w:rPr>
          <w:rFonts w:ascii="Century Gothic" w:hAnsi="Century Gothic"/>
        </w:rPr>
      </w:pPr>
      <w:r w:rsidRPr="0037731C">
        <w:rPr>
          <w:rFonts w:ascii="Century Gothic" w:hAnsi="Century Gothic"/>
        </w:rPr>
        <w:t>$117,859 in MTW funds was spent on this initiative.</w:t>
      </w:r>
    </w:p>
    <w:p w14:paraId="0D2FC61B" w14:textId="78997D12" w:rsidR="00B07700" w:rsidRPr="0037731C" w:rsidRDefault="37A3479F" w:rsidP="00B07700">
      <w:pPr>
        <w:keepNext/>
        <w:keepLines/>
        <w:spacing w:before="120" w:after="80"/>
        <w:rPr>
          <w:rFonts w:ascii="Century Gothic" w:hAnsi="Century Gothic"/>
        </w:rPr>
      </w:pPr>
      <w:r w:rsidRPr="0037731C">
        <w:rPr>
          <w:rFonts w:ascii="Century Gothic" w:hAnsi="Century Gothic"/>
        </w:rPr>
        <w:t xml:space="preserve">0 participants utilized the utility deposit </w:t>
      </w:r>
      <w:r w:rsidR="3D424752" w:rsidRPr="0037731C">
        <w:rPr>
          <w:rFonts w:ascii="Century Gothic" w:hAnsi="Century Gothic"/>
        </w:rPr>
        <w:t>assistance</w:t>
      </w:r>
      <w:r w:rsidR="00B07700" w:rsidRPr="0037731C">
        <w:rPr>
          <w:rFonts w:ascii="Century Gothic" w:hAnsi="Century Gothic"/>
        </w:rPr>
        <w:t>.</w:t>
      </w:r>
      <w:r w:rsidRPr="0037731C">
        <w:rPr>
          <w:rFonts w:ascii="Century Gothic" w:hAnsi="Century Gothic"/>
        </w:rPr>
        <w:t xml:space="preserve"> </w:t>
      </w:r>
    </w:p>
    <w:p w14:paraId="3D4B23C1" w14:textId="1F815F8D" w:rsidR="00B57CF1" w:rsidRPr="0037731C" w:rsidRDefault="61659674" w:rsidP="00B07700">
      <w:pPr>
        <w:keepNext/>
        <w:keepLines/>
        <w:spacing w:before="120" w:after="80"/>
        <w:rPr>
          <w:rFonts w:ascii="Century Gothic" w:eastAsia="Times New Roman" w:hAnsi="Century Gothic"/>
        </w:rPr>
      </w:pPr>
      <w:r w:rsidRPr="188A1EBF">
        <w:rPr>
          <w:rFonts w:ascii="Century Gothic" w:eastAsia="Times New Roman" w:hAnsi="Century Gothic"/>
        </w:rPr>
        <w:t xml:space="preserve">During FY 2024, </w:t>
      </w:r>
      <w:r w:rsidR="00B07700" w:rsidRPr="188A1EBF">
        <w:rPr>
          <w:rFonts w:ascii="Century Gothic" w:eastAsia="Times New Roman" w:hAnsi="Century Gothic"/>
        </w:rPr>
        <w:t xml:space="preserve">ECC/HANH </w:t>
      </w:r>
      <w:r w:rsidRPr="188A1EBF">
        <w:rPr>
          <w:rFonts w:ascii="Century Gothic" w:eastAsia="Times New Roman" w:hAnsi="Century Gothic"/>
        </w:rPr>
        <w:t xml:space="preserve">saw a significant increase in the number of applicants and participants utilizing </w:t>
      </w:r>
      <w:r w:rsidR="00EF11E8" w:rsidRPr="188A1EBF">
        <w:rPr>
          <w:rFonts w:ascii="Century Gothic" w:eastAsia="Times New Roman" w:hAnsi="Century Gothic"/>
        </w:rPr>
        <w:t>the mobility counseling services</w:t>
      </w:r>
      <w:r w:rsidRPr="188A1EBF">
        <w:rPr>
          <w:rFonts w:ascii="Century Gothic" w:eastAsia="Times New Roman" w:hAnsi="Century Gothic"/>
        </w:rPr>
        <w:t>. In FY 2023, 19 families accessed these services, while in FY 2024</w:t>
      </w:r>
      <w:r w:rsidRPr="0060627A">
        <w:rPr>
          <w:rFonts w:ascii="Century Gothic" w:eastAsia="Times New Roman" w:hAnsi="Century Gothic"/>
        </w:rPr>
        <w:t xml:space="preserve">, </w:t>
      </w:r>
      <w:r w:rsidR="3039E67B" w:rsidRPr="0060627A">
        <w:rPr>
          <w:rFonts w:ascii="Century Gothic" w:eastAsia="Times New Roman" w:hAnsi="Century Gothic"/>
        </w:rPr>
        <w:t>645</w:t>
      </w:r>
      <w:r w:rsidR="0009732D" w:rsidRPr="188A1EBF">
        <w:rPr>
          <w:rFonts w:ascii="Century Gothic" w:eastAsia="Times New Roman" w:hAnsi="Century Gothic"/>
        </w:rPr>
        <w:t xml:space="preserve"> </w:t>
      </w:r>
      <w:r w:rsidRPr="188A1EBF">
        <w:rPr>
          <w:rFonts w:ascii="Century Gothic" w:eastAsia="Times New Roman" w:hAnsi="Century Gothic"/>
        </w:rPr>
        <w:t>families</w:t>
      </w:r>
      <w:r w:rsidR="00B57CF1" w:rsidRPr="188A1EBF">
        <w:rPr>
          <w:rFonts w:ascii="Century Gothic" w:eastAsia="Times New Roman" w:hAnsi="Century Gothic"/>
        </w:rPr>
        <w:t xml:space="preserve"> accessed the services</w:t>
      </w:r>
      <w:r w:rsidR="00602DF1" w:rsidRPr="188A1EBF">
        <w:rPr>
          <w:rFonts w:ascii="Century Gothic" w:eastAsia="Times New Roman" w:hAnsi="Century Gothic"/>
        </w:rPr>
        <w:t xml:space="preserve"> with </w:t>
      </w:r>
      <w:r w:rsidR="00317ABC">
        <w:rPr>
          <w:rFonts w:ascii="Century Gothic" w:eastAsia="Times New Roman" w:hAnsi="Century Gothic"/>
        </w:rPr>
        <w:t>288</w:t>
      </w:r>
      <w:r w:rsidR="00823D55">
        <w:rPr>
          <w:rFonts w:ascii="Century Gothic" w:eastAsia="Times New Roman" w:hAnsi="Century Gothic"/>
        </w:rPr>
        <w:t xml:space="preserve"> </w:t>
      </w:r>
      <w:r w:rsidR="00602DF1" w:rsidRPr="188A1EBF">
        <w:rPr>
          <w:rFonts w:ascii="Century Gothic" w:eastAsia="Times New Roman" w:hAnsi="Century Gothic"/>
        </w:rPr>
        <w:t>families leasing up in units</w:t>
      </w:r>
      <w:r w:rsidRPr="188A1EBF">
        <w:rPr>
          <w:rFonts w:ascii="Century Gothic" w:eastAsia="Times New Roman" w:hAnsi="Century Gothic"/>
        </w:rPr>
        <w:t xml:space="preserve">. </w:t>
      </w:r>
    </w:p>
    <w:p w14:paraId="40E8E32A" w14:textId="4A64D1FF" w:rsidR="06B23676" w:rsidRPr="0037731C" w:rsidRDefault="61659674" w:rsidP="00B07700">
      <w:pPr>
        <w:keepNext/>
        <w:keepLines/>
        <w:spacing w:before="120" w:after="80"/>
        <w:rPr>
          <w:rFonts w:ascii="Century Gothic" w:hAnsi="Century Gothic"/>
        </w:rPr>
      </w:pPr>
      <w:r w:rsidRPr="0037731C">
        <w:rPr>
          <w:rFonts w:ascii="Century Gothic" w:eastAsia="Times New Roman" w:hAnsi="Century Gothic"/>
        </w:rPr>
        <w:t xml:space="preserve">This growth primarily resulted from the marketing strategies implemented during FY 2024. </w:t>
      </w:r>
      <w:r w:rsidR="002F009F" w:rsidRPr="0037731C">
        <w:rPr>
          <w:rFonts w:ascii="Century Gothic" w:eastAsia="Times New Roman" w:hAnsi="Century Gothic"/>
        </w:rPr>
        <w:t xml:space="preserve"> </w:t>
      </w:r>
      <w:r w:rsidRPr="0037731C">
        <w:rPr>
          <w:rFonts w:ascii="Century Gothic" w:eastAsia="Times New Roman" w:hAnsi="Century Gothic"/>
        </w:rPr>
        <w:t>The mobility</w:t>
      </w:r>
      <w:r w:rsidR="002F009F" w:rsidRPr="0037731C">
        <w:rPr>
          <w:rFonts w:ascii="Century Gothic" w:eastAsia="Times New Roman" w:hAnsi="Century Gothic"/>
        </w:rPr>
        <w:t xml:space="preserve"> counseling</w:t>
      </w:r>
      <w:r w:rsidRPr="0037731C">
        <w:rPr>
          <w:rFonts w:ascii="Century Gothic" w:eastAsia="Times New Roman" w:hAnsi="Century Gothic"/>
        </w:rPr>
        <w:t xml:space="preserve"> team conducted a presentation of our mobility services during our Housing Choice Voucher briefings and made the mobility counseling form </w:t>
      </w:r>
      <w:r w:rsidR="5C053AB9" w:rsidRPr="0037731C">
        <w:rPr>
          <w:rFonts w:ascii="Century Gothic" w:eastAsia="Times New Roman" w:hAnsi="Century Gothic"/>
        </w:rPr>
        <w:t xml:space="preserve">available </w:t>
      </w:r>
      <w:r w:rsidRPr="0037731C">
        <w:rPr>
          <w:rFonts w:ascii="Century Gothic" w:eastAsia="Times New Roman" w:hAnsi="Century Gothic"/>
        </w:rPr>
        <w:t>for all families, regardless of whether they intended to use the service or not. When informed verbally about these services, many families expressed interest and chose to participate.</w:t>
      </w:r>
    </w:p>
    <w:p w14:paraId="5D5056AB" w14:textId="4F0E2B1C" w:rsidR="26CC7D08" w:rsidRPr="0037731C" w:rsidRDefault="26CC7D08" w:rsidP="26CC7D08">
      <w:pPr>
        <w:rPr>
          <w:rFonts w:ascii="Century Gothic" w:hAnsi="Century Gothic"/>
        </w:rPr>
      </w:pPr>
    </w:p>
    <w:p w14:paraId="0FDEEA1A" w14:textId="6CBBD94A" w:rsidR="00304D10" w:rsidRPr="0037731C" w:rsidRDefault="000F5EBB" w:rsidP="145A5A95">
      <w:pPr>
        <w:rPr>
          <w:rFonts w:ascii="Century Gothic" w:hAnsi="Century Gothic"/>
          <w:b/>
          <w:bCs/>
        </w:rPr>
      </w:pPr>
      <w:r>
        <w:rPr>
          <w:rFonts w:ascii="Century Gothic" w:hAnsi="Century Gothic"/>
          <w:b/>
          <w:bCs/>
        </w:rPr>
        <w:t>Internal</w:t>
      </w:r>
      <w:r w:rsidR="77227426" w:rsidRPr="0037731C">
        <w:rPr>
          <w:rFonts w:ascii="Century Gothic" w:hAnsi="Century Gothic"/>
          <w:b/>
          <w:bCs/>
        </w:rPr>
        <w:t xml:space="preserve"> Metrics</w:t>
      </w:r>
    </w:p>
    <w:p w14:paraId="11B83CBD" w14:textId="77777777" w:rsidR="00B04C09" w:rsidRPr="0037731C" w:rsidRDefault="6D5FA662" w:rsidP="145A5A95">
      <w:pPr>
        <w:jc w:val="center"/>
        <w:rPr>
          <w:rFonts w:ascii="Century Gothic" w:eastAsia="Calibri" w:hAnsi="Century Gothic"/>
          <w:b/>
          <w:bCs/>
          <w:i/>
          <w:iCs/>
          <w:szCs w:val="22"/>
        </w:rPr>
      </w:pPr>
      <w:r w:rsidRPr="0037731C">
        <w:rPr>
          <w:rFonts w:ascii="Century Gothic" w:eastAsia="Calibri" w:hAnsi="Century Gothic"/>
          <w:b/>
          <w:bCs/>
          <w:i/>
          <w:iCs/>
          <w:szCs w:val="22"/>
        </w:rPr>
        <w:t>HC #1: Additional Units of Housing Made Available</w:t>
      </w:r>
    </w:p>
    <w:tbl>
      <w:tblPr>
        <w:tblStyle w:val="TableGrid"/>
        <w:tblW w:w="0" w:type="auto"/>
        <w:tblLayout w:type="fixed"/>
        <w:tblLook w:val="04A0" w:firstRow="1" w:lastRow="0" w:firstColumn="1" w:lastColumn="0" w:noHBand="0" w:noVBand="1"/>
      </w:tblPr>
      <w:tblGrid>
        <w:gridCol w:w="2730"/>
        <w:gridCol w:w="1875"/>
        <w:gridCol w:w="1890"/>
        <w:gridCol w:w="1890"/>
        <w:gridCol w:w="1800"/>
      </w:tblGrid>
      <w:tr w:rsidR="00B04C09" w:rsidRPr="0037731C" w14:paraId="4CA879A1" w14:textId="77777777" w:rsidTr="2DE64BB2">
        <w:trPr>
          <w:trHeight w:val="300"/>
        </w:trPr>
        <w:tc>
          <w:tcPr>
            <w:tcW w:w="2730" w:type="dxa"/>
            <w:tcBorders>
              <w:top w:val="single" w:sz="18" w:space="0" w:color="auto"/>
              <w:left w:val="single" w:sz="18" w:space="0" w:color="auto"/>
              <w:bottom w:val="single" w:sz="18" w:space="0" w:color="auto"/>
              <w:right w:val="single" w:sz="18" w:space="0" w:color="auto"/>
            </w:tcBorders>
            <w:shd w:val="clear" w:color="auto" w:fill="E5E5E5"/>
            <w:vAlign w:val="center"/>
          </w:tcPr>
          <w:p w14:paraId="63FEC6BF" w14:textId="77777777" w:rsidR="00B04C09" w:rsidRPr="0037731C" w:rsidRDefault="6D5FA662" w:rsidP="145A5A95">
            <w:pPr>
              <w:jc w:val="center"/>
              <w:rPr>
                <w:rFonts w:ascii="Century Gothic" w:eastAsia="Calibri" w:hAnsi="Century Gothic"/>
                <w:b/>
                <w:bCs/>
                <w:color w:val="000000" w:themeColor="text1"/>
                <w:szCs w:val="22"/>
              </w:rPr>
            </w:pPr>
            <w:r w:rsidRPr="0037731C">
              <w:rPr>
                <w:rFonts w:ascii="Century Gothic" w:eastAsia="Calibri" w:hAnsi="Century Gothic"/>
                <w:b/>
                <w:bCs/>
                <w:szCs w:val="22"/>
              </w:rPr>
              <w:t xml:space="preserve">Unit of </w:t>
            </w:r>
            <w:r w:rsidRPr="0037731C">
              <w:rPr>
                <w:rFonts w:ascii="Century Gothic" w:eastAsia="Calibri" w:hAnsi="Century Gothic"/>
                <w:b/>
                <w:bCs/>
                <w:color w:val="000000" w:themeColor="text1"/>
                <w:szCs w:val="22"/>
              </w:rPr>
              <w:t>Measurement</w:t>
            </w:r>
          </w:p>
        </w:tc>
        <w:tc>
          <w:tcPr>
            <w:tcW w:w="1875" w:type="dxa"/>
            <w:tcBorders>
              <w:top w:val="single" w:sz="18" w:space="0" w:color="auto"/>
              <w:left w:val="single" w:sz="18" w:space="0" w:color="auto"/>
              <w:bottom w:val="single" w:sz="18" w:space="0" w:color="auto"/>
              <w:right w:val="single" w:sz="18" w:space="0" w:color="auto"/>
            </w:tcBorders>
            <w:shd w:val="clear" w:color="auto" w:fill="E5E5E5"/>
            <w:vAlign w:val="center"/>
          </w:tcPr>
          <w:p w14:paraId="401B6E0B" w14:textId="77777777" w:rsidR="00B04C09" w:rsidRPr="0037731C" w:rsidRDefault="6D5FA662" w:rsidP="145A5A95">
            <w:pPr>
              <w:jc w:val="center"/>
              <w:rPr>
                <w:rFonts w:ascii="Century Gothic" w:eastAsia="Calibri" w:hAnsi="Century Gothic"/>
                <w:b/>
                <w:bCs/>
                <w:color w:val="000000" w:themeColor="text1"/>
                <w:szCs w:val="22"/>
              </w:rPr>
            </w:pPr>
            <w:r w:rsidRPr="0037731C">
              <w:rPr>
                <w:rFonts w:ascii="Century Gothic" w:eastAsia="Calibri" w:hAnsi="Century Gothic"/>
                <w:b/>
                <w:bCs/>
                <w:color w:val="000000" w:themeColor="text1"/>
                <w:szCs w:val="22"/>
              </w:rPr>
              <w:t>Baseline</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775981F8" w14:textId="77777777" w:rsidR="00B04C09" w:rsidRPr="0037731C" w:rsidRDefault="6D5FA662" w:rsidP="145A5A95">
            <w:pPr>
              <w:jc w:val="center"/>
              <w:rPr>
                <w:rFonts w:ascii="Century Gothic" w:eastAsia="Calibri" w:hAnsi="Century Gothic"/>
                <w:b/>
                <w:bCs/>
                <w:color w:val="000000" w:themeColor="text1"/>
                <w:szCs w:val="22"/>
              </w:rPr>
            </w:pPr>
            <w:r w:rsidRPr="0037731C">
              <w:rPr>
                <w:rFonts w:ascii="Century Gothic" w:eastAsia="Calibri" w:hAnsi="Century Gothic"/>
                <w:b/>
                <w:bCs/>
                <w:color w:val="000000" w:themeColor="text1"/>
                <w:szCs w:val="22"/>
              </w:rPr>
              <w:t>Benchmark</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3FDC0F77" w14:textId="77777777" w:rsidR="00B04C09" w:rsidRPr="0037731C" w:rsidRDefault="6D5FA662" w:rsidP="145A5A95">
            <w:pPr>
              <w:jc w:val="center"/>
              <w:rPr>
                <w:rFonts w:ascii="Century Gothic" w:eastAsia="Calibri" w:hAnsi="Century Gothic"/>
                <w:b/>
                <w:bCs/>
                <w:color w:val="000000" w:themeColor="text1"/>
                <w:szCs w:val="22"/>
              </w:rPr>
            </w:pPr>
            <w:r w:rsidRPr="0037731C">
              <w:rPr>
                <w:rFonts w:ascii="Century Gothic" w:eastAsia="Calibri" w:hAnsi="Century Gothic"/>
                <w:b/>
                <w:bCs/>
                <w:color w:val="000000" w:themeColor="text1"/>
                <w:szCs w:val="22"/>
              </w:rPr>
              <w:t>Outcome</w:t>
            </w:r>
          </w:p>
        </w:tc>
        <w:tc>
          <w:tcPr>
            <w:tcW w:w="1800" w:type="dxa"/>
            <w:tcBorders>
              <w:top w:val="single" w:sz="18" w:space="0" w:color="auto"/>
              <w:left w:val="single" w:sz="18" w:space="0" w:color="auto"/>
              <w:bottom w:val="single" w:sz="18" w:space="0" w:color="auto"/>
              <w:right w:val="single" w:sz="18" w:space="0" w:color="auto"/>
            </w:tcBorders>
            <w:shd w:val="clear" w:color="auto" w:fill="E5E5E5"/>
            <w:vAlign w:val="center"/>
          </w:tcPr>
          <w:p w14:paraId="784A122E" w14:textId="77777777" w:rsidR="00B04C09" w:rsidRPr="0037731C" w:rsidRDefault="6D5FA662" w:rsidP="145A5A95">
            <w:pPr>
              <w:jc w:val="center"/>
              <w:rPr>
                <w:rFonts w:ascii="Century Gothic" w:eastAsia="Calibri" w:hAnsi="Century Gothic"/>
                <w:b/>
                <w:bCs/>
                <w:color w:val="000000" w:themeColor="text1"/>
                <w:szCs w:val="22"/>
              </w:rPr>
            </w:pPr>
            <w:r w:rsidRPr="0037731C">
              <w:rPr>
                <w:rFonts w:ascii="Century Gothic" w:eastAsia="Calibri" w:hAnsi="Century Gothic"/>
                <w:b/>
                <w:bCs/>
                <w:color w:val="000000" w:themeColor="text1"/>
                <w:szCs w:val="22"/>
              </w:rPr>
              <w:t>Benchmark Achieved?</w:t>
            </w:r>
          </w:p>
        </w:tc>
      </w:tr>
      <w:tr w:rsidR="00B04C09" w:rsidRPr="0037731C" w14:paraId="6C52EDAD" w14:textId="77777777" w:rsidTr="2DE64BB2">
        <w:trPr>
          <w:trHeight w:val="300"/>
        </w:trPr>
        <w:tc>
          <w:tcPr>
            <w:tcW w:w="2730" w:type="dxa"/>
            <w:tcBorders>
              <w:top w:val="single" w:sz="18" w:space="0" w:color="auto"/>
              <w:left w:val="single" w:sz="18" w:space="0" w:color="auto"/>
              <w:bottom w:val="single" w:sz="18" w:space="0" w:color="auto"/>
              <w:right w:val="single" w:sz="18" w:space="0" w:color="auto"/>
            </w:tcBorders>
          </w:tcPr>
          <w:p w14:paraId="764EE655" w14:textId="77777777" w:rsidR="00B04C09" w:rsidRPr="0037731C" w:rsidRDefault="6D5FA662" w:rsidP="00EB46F3">
            <w:pPr>
              <w:rPr>
                <w:rFonts w:ascii="Century Gothic" w:hAnsi="Century Gothic"/>
                <w:szCs w:val="22"/>
              </w:rPr>
            </w:pPr>
            <w:r w:rsidRPr="0037731C">
              <w:rPr>
                <w:rFonts w:ascii="Century Gothic" w:eastAsia="Calibri" w:hAnsi="Century Gothic"/>
                <w:szCs w:val="22"/>
              </w:rPr>
              <w:t xml:space="preserve">Number of new housing units made available for households at or below 80% AMI </w:t>
            </w:r>
            <w:proofErr w:type="gramStart"/>
            <w:r w:rsidRPr="0037731C">
              <w:rPr>
                <w:rFonts w:ascii="Century Gothic" w:eastAsia="Calibri" w:hAnsi="Century Gothic"/>
                <w:szCs w:val="22"/>
              </w:rPr>
              <w:t>as a result of</w:t>
            </w:r>
            <w:proofErr w:type="gramEnd"/>
            <w:r w:rsidRPr="0037731C">
              <w:rPr>
                <w:rFonts w:ascii="Century Gothic" w:eastAsia="Calibri" w:hAnsi="Century Gothic"/>
                <w:szCs w:val="22"/>
              </w:rPr>
              <w:t xml:space="preserve"> the activity (increase). If units reach a specific type of household, give that type in this box.</w:t>
            </w:r>
          </w:p>
          <w:p w14:paraId="4BE74AB5" w14:textId="77777777" w:rsidR="00B04C09" w:rsidRPr="0037731C" w:rsidRDefault="00B04C09" w:rsidP="00EB46F3">
            <w:pPr>
              <w:rPr>
                <w:rFonts w:ascii="Century Gothic" w:eastAsia="Calibri" w:hAnsi="Century Gothic"/>
                <w:szCs w:val="22"/>
              </w:rPr>
            </w:pPr>
          </w:p>
          <w:p w14:paraId="0329D71A" w14:textId="77777777" w:rsidR="00B04C09" w:rsidRPr="0037731C" w:rsidRDefault="00B04C09" w:rsidP="00EB46F3">
            <w:pPr>
              <w:rPr>
                <w:rFonts w:ascii="Century Gothic" w:eastAsia="Calibri" w:hAnsi="Century Gothic"/>
                <w:szCs w:val="22"/>
              </w:rPr>
            </w:pPr>
          </w:p>
        </w:tc>
        <w:tc>
          <w:tcPr>
            <w:tcW w:w="1875" w:type="dxa"/>
            <w:tcBorders>
              <w:top w:val="single" w:sz="18" w:space="0" w:color="auto"/>
              <w:left w:val="single" w:sz="18" w:space="0" w:color="auto"/>
              <w:bottom w:val="single" w:sz="18" w:space="0" w:color="auto"/>
              <w:right w:val="single" w:sz="18" w:space="0" w:color="auto"/>
            </w:tcBorders>
          </w:tcPr>
          <w:p w14:paraId="2EB85DC8" w14:textId="77777777" w:rsidR="00B04C09" w:rsidRPr="0037731C" w:rsidRDefault="00B04C09" w:rsidP="00EB46F3">
            <w:pPr>
              <w:rPr>
                <w:rFonts w:ascii="Century Gothic" w:eastAsia="Calibri" w:hAnsi="Century Gothic"/>
                <w:szCs w:val="22"/>
              </w:rPr>
            </w:pPr>
          </w:p>
          <w:p w14:paraId="71F29067" w14:textId="77777777" w:rsidR="00B04C09" w:rsidRPr="0037731C" w:rsidRDefault="6D5FA662" w:rsidP="00EB46F3">
            <w:pPr>
              <w:rPr>
                <w:rFonts w:ascii="Century Gothic" w:eastAsia="Calibri" w:hAnsi="Century Gothic"/>
                <w:szCs w:val="22"/>
              </w:rPr>
            </w:pPr>
            <w:r w:rsidRPr="0037731C">
              <w:rPr>
                <w:rFonts w:ascii="Century Gothic" w:eastAsia="Calibri" w:hAnsi="Century Gothic"/>
                <w:szCs w:val="22"/>
              </w:rPr>
              <w:t>0</w:t>
            </w:r>
          </w:p>
        </w:tc>
        <w:tc>
          <w:tcPr>
            <w:tcW w:w="1890" w:type="dxa"/>
            <w:tcBorders>
              <w:top w:val="single" w:sz="18" w:space="0" w:color="auto"/>
              <w:left w:val="single" w:sz="18" w:space="0" w:color="auto"/>
              <w:bottom w:val="single" w:sz="18" w:space="0" w:color="auto"/>
              <w:right w:val="single" w:sz="18" w:space="0" w:color="auto"/>
            </w:tcBorders>
          </w:tcPr>
          <w:p w14:paraId="28292EEC" w14:textId="77777777" w:rsidR="00B04C09" w:rsidRPr="0037731C" w:rsidRDefault="00B04C09" w:rsidP="00EB46F3">
            <w:pPr>
              <w:rPr>
                <w:rFonts w:ascii="Century Gothic" w:eastAsia="Calibri" w:hAnsi="Century Gothic"/>
                <w:szCs w:val="22"/>
              </w:rPr>
            </w:pPr>
          </w:p>
          <w:p w14:paraId="4EF9DED0" w14:textId="77777777" w:rsidR="00B04C09" w:rsidRPr="0037731C" w:rsidRDefault="6D5FA662" w:rsidP="00D745EF">
            <w:pPr>
              <w:spacing w:line="259" w:lineRule="auto"/>
              <w:rPr>
                <w:rFonts w:ascii="Century Gothic" w:eastAsia="Times New Roman" w:hAnsi="Century Gothic"/>
                <w:szCs w:val="22"/>
              </w:rPr>
            </w:pPr>
            <w:r w:rsidRPr="0037731C">
              <w:rPr>
                <w:rFonts w:ascii="Century Gothic" w:eastAsia="Times New Roman" w:hAnsi="Century Gothic"/>
                <w:szCs w:val="22"/>
              </w:rPr>
              <w:t>30</w:t>
            </w:r>
          </w:p>
        </w:tc>
        <w:tc>
          <w:tcPr>
            <w:tcW w:w="1890" w:type="dxa"/>
            <w:tcBorders>
              <w:top w:val="single" w:sz="18" w:space="0" w:color="auto"/>
              <w:left w:val="single" w:sz="18" w:space="0" w:color="auto"/>
              <w:bottom w:val="single" w:sz="18" w:space="0" w:color="auto"/>
              <w:right w:val="single" w:sz="18" w:space="0" w:color="auto"/>
            </w:tcBorders>
          </w:tcPr>
          <w:p w14:paraId="5C70F81E" w14:textId="0DA1178F" w:rsidR="00342F5D" w:rsidRDefault="1E12DAF5" w:rsidP="5E13C87F">
            <w:pPr>
              <w:rPr>
                <w:rFonts w:ascii="Century Gothic" w:eastAsia="Calibri" w:hAnsi="Century Gothic"/>
              </w:rPr>
            </w:pPr>
            <w:r w:rsidRPr="2DE64BB2">
              <w:rPr>
                <w:rFonts w:ascii="Century Gothic" w:eastAsia="Calibri" w:hAnsi="Century Gothic"/>
              </w:rPr>
              <w:t>2024:</w:t>
            </w:r>
            <w:r w:rsidR="460FB7B7" w:rsidRPr="2DE64BB2">
              <w:rPr>
                <w:rFonts w:ascii="Century Gothic" w:eastAsia="Calibri" w:hAnsi="Century Gothic"/>
              </w:rPr>
              <w:t xml:space="preserve"> </w:t>
            </w:r>
            <w:r w:rsidR="0011474A">
              <w:rPr>
                <w:rFonts w:ascii="Century Gothic" w:eastAsia="Calibri" w:hAnsi="Century Gothic"/>
              </w:rPr>
              <w:t>2</w:t>
            </w:r>
            <w:r w:rsidR="00823D55">
              <w:rPr>
                <w:rFonts w:ascii="Century Gothic" w:eastAsia="Calibri" w:hAnsi="Century Gothic"/>
              </w:rPr>
              <w:t>88</w:t>
            </w:r>
          </w:p>
          <w:p w14:paraId="62E5B70D" w14:textId="3A8005F2" w:rsidR="00996294" w:rsidRPr="0037731C" w:rsidRDefault="67D4D5EE" w:rsidP="5E13C87F">
            <w:pPr>
              <w:rPr>
                <w:rFonts w:ascii="Century Gothic" w:eastAsia="Calibri" w:hAnsi="Century Gothic"/>
                <w:szCs w:val="22"/>
              </w:rPr>
            </w:pPr>
            <w:r w:rsidRPr="0037731C">
              <w:rPr>
                <w:rFonts w:ascii="Century Gothic" w:eastAsia="Calibri" w:hAnsi="Century Gothic"/>
                <w:szCs w:val="22"/>
              </w:rPr>
              <w:t xml:space="preserve">2023: </w:t>
            </w:r>
            <w:r w:rsidR="319F5C6F" w:rsidRPr="0037731C">
              <w:rPr>
                <w:rFonts w:ascii="Century Gothic" w:eastAsia="Calibri" w:hAnsi="Century Gothic"/>
                <w:szCs w:val="22"/>
              </w:rPr>
              <w:t>19</w:t>
            </w:r>
          </w:p>
        </w:tc>
        <w:tc>
          <w:tcPr>
            <w:tcW w:w="1800" w:type="dxa"/>
            <w:tcBorders>
              <w:top w:val="single" w:sz="18" w:space="0" w:color="auto"/>
              <w:left w:val="single" w:sz="18" w:space="0" w:color="auto"/>
              <w:bottom w:val="single" w:sz="18" w:space="0" w:color="auto"/>
              <w:right w:val="single" w:sz="18" w:space="0" w:color="auto"/>
            </w:tcBorders>
          </w:tcPr>
          <w:p w14:paraId="5B5CEE1E" w14:textId="5CAB1DD0" w:rsidR="00B04C09" w:rsidRPr="0037731C" w:rsidRDefault="00B04C09" w:rsidP="5E13C87F">
            <w:pPr>
              <w:rPr>
                <w:rFonts w:ascii="Century Gothic" w:eastAsia="Calibri" w:hAnsi="Century Gothic"/>
                <w:szCs w:val="22"/>
              </w:rPr>
            </w:pPr>
          </w:p>
          <w:p w14:paraId="21AC5C05" w14:textId="299C3A42" w:rsidR="00B04C09" w:rsidRPr="0037731C" w:rsidRDefault="4C8AD048" w:rsidP="6F807E50">
            <w:pPr>
              <w:rPr>
                <w:rFonts w:ascii="Century Gothic" w:eastAsia="Calibri" w:hAnsi="Century Gothic"/>
              </w:rPr>
            </w:pPr>
            <w:r w:rsidRPr="0037731C">
              <w:rPr>
                <w:rFonts w:ascii="Century Gothic" w:eastAsia="Calibri" w:hAnsi="Century Gothic"/>
              </w:rPr>
              <w:t>Yes</w:t>
            </w:r>
          </w:p>
        </w:tc>
      </w:tr>
    </w:tbl>
    <w:p w14:paraId="39EB9AD3" w14:textId="204ACE5F" w:rsidR="00160B4D" w:rsidRPr="00082467" w:rsidRDefault="00160B4D" w:rsidP="00B04C09">
      <w:pPr>
        <w:rPr>
          <w:rFonts w:ascii="Century Gothic" w:hAnsi="Century Gothic"/>
          <w:b/>
          <w:bCs/>
          <w:szCs w:val="22"/>
        </w:rPr>
      </w:pPr>
    </w:p>
    <w:p w14:paraId="70DBC5D6" w14:textId="679281C0" w:rsidR="00160B4D" w:rsidRPr="00082467" w:rsidRDefault="77A59A36" w:rsidP="00B04C09">
      <w:pPr>
        <w:rPr>
          <w:rFonts w:ascii="Century Gothic" w:hAnsi="Century Gothic"/>
          <w:b/>
          <w:bCs/>
          <w:szCs w:val="22"/>
        </w:rPr>
      </w:pPr>
      <w:r w:rsidRPr="00082467">
        <w:rPr>
          <w:rFonts w:ascii="Century Gothic" w:hAnsi="Century Gothic"/>
          <w:b/>
          <w:bCs/>
          <w:szCs w:val="22"/>
        </w:rPr>
        <w:t>Actual Non-Significant Changes</w:t>
      </w:r>
    </w:p>
    <w:p w14:paraId="32280046" w14:textId="16D6A9E2" w:rsidR="7287DC1A" w:rsidRPr="00082467" w:rsidRDefault="10A43475" w:rsidP="7287DC1A">
      <w:pPr>
        <w:rPr>
          <w:rFonts w:ascii="Century Gothic" w:hAnsi="Century Gothic"/>
          <w:szCs w:val="22"/>
        </w:rPr>
      </w:pPr>
      <w:r w:rsidRPr="00082467">
        <w:rPr>
          <w:rFonts w:ascii="Century Gothic" w:hAnsi="Century Gothic"/>
          <w:szCs w:val="22"/>
        </w:rPr>
        <w:t>None</w:t>
      </w:r>
    </w:p>
    <w:p w14:paraId="7BF3B85E" w14:textId="0EE69990" w:rsidR="00497E3E" w:rsidRPr="00082467" w:rsidRDefault="00497E3E" w:rsidP="00497E3E">
      <w:pPr>
        <w:rPr>
          <w:rFonts w:ascii="Century Gothic" w:hAnsi="Century Gothic"/>
          <w:b/>
          <w:bCs/>
          <w:szCs w:val="22"/>
        </w:rPr>
      </w:pPr>
      <w:r w:rsidRPr="00082467">
        <w:rPr>
          <w:rFonts w:ascii="Century Gothic" w:hAnsi="Century Gothic"/>
          <w:b/>
          <w:bCs/>
          <w:szCs w:val="22"/>
        </w:rPr>
        <w:t>Actual Significant Changes</w:t>
      </w:r>
    </w:p>
    <w:p w14:paraId="2A98A231" w14:textId="7552E822" w:rsidR="0E71204A" w:rsidRDefault="00497E3E" w:rsidP="0E71204A">
      <w:pPr>
        <w:rPr>
          <w:rFonts w:ascii="Times New Roman" w:hAnsi="Times New Roman"/>
          <w:b/>
          <w:bCs/>
        </w:rPr>
      </w:pPr>
      <w:r>
        <w:rPr>
          <w:rFonts w:ascii="Century Gothic" w:hAnsi="Century Gothic"/>
          <w:szCs w:val="22"/>
        </w:rPr>
        <w:t>None</w:t>
      </w:r>
      <w:bookmarkEnd w:id="130"/>
    </w:p>
    <w:p w14:paraId="5929B123" w14:textId="676A2056" w:rsidR="00DC11A4" w:rsidRPr="0060627A" w:rsidRDefault="561B0B29" w:rsidP="00DC11A4">
      <w:pPr>
        <w:rPr>
          <w:rFonts w:ascii="Century Gothic" w:hAnsi="Century Gothic"/>
          <w:b/>
          <w:bCs/>
          <w:szCs w:val="22"/>
        </w:rPr>
      </w:pPr>
      <w:r w:rsidRPr="0060627A">
        <w:rPr>
          <w:rFonts w:ascii="Century Gothic" w:hAnsi="Century Gothic"/>
        </w:rPr>
        <w:lastRenderedPageBreak/>
        <w:t xml:space="preserve"> </w:t>
      </w:r>
      <w:bookmarkStart w:id="133" w:name="_Hlk112765527"/>
      <w:bookmarkEnd w:id="131"/>
      <w:bookmarkEnd w:id="132"/>
      <w:r w:rsidR="00DC11A4" w:rsidRPr="0060627A">
        <w:rPr>
          <w:rFonts w:ascii="Century Gothic" w:hAnsi="Century Gothic"/>
          <w:b/>
          <w:bCs/>
          <w:szCs w:val="22"/>
        </w:rPr>
        <w:t>Initiative 2.1 – Family Self-Sufficiency (FSS) Program</w:t>
      </w:r>
    </w:p>
    <w:p w14:paraId="2F7D83AD" w14:textId="086B7887" w:rsidR="00DC11A4" w:rsidRPr="00FB2D7E" w:rsidRDefault="21A7D4D2" w:rsidP="00DC11A4">
      <w:pPr>
        <w:rPr>
          <w:rFonts w:ascii="Century Gothic" w:hAnsi="Century Gothic"/>
          <w:szCs w:val="22"/>
        </w:rPr>
      </w:pPr>
      <w:r w:rsidRPr="0060627A">
        <w:rPr>
          <w:rFonts w:ascii="Century Gothic" w:hAnsi="Century Gothic"/>
        </w:rPr>
        <w:t>Approved and implemented in FY07.</w:t>
      </w:r>
      <w:r w:rsidR="0DA26FDA" w:rsidRPr="0060627A">
        <w:rPr>
          <w:rFonts w:ascii="Century Gothic" w:hAnsi="Century Gothic"/>
          <w:noProof/>
        </w:rPr>
        <w:t xml:space="preserve"> </w:t>
      </w:r>
      <w:r w:rsidR="00F55EC8" w:rsidRPr="0060627A">
        <w:rPr>
          <w:rFonts w:ascii="Century Gothic" w:hAnsi="Century Gothic"/>
          <w:noProof/>
        </w:rPr>
        <w:tab/>
      </w:r>
      <w:r w:rsidR="00F55EC8" w:rsidRPr="0060627A">
        <w:rPr>
          <w:rFonts w:ascii="Century Gothic" w:hAnsi="Century Gothic"/>
          <w:noProof/>
        </w:rPr>
        <w:tab/>
      </w:r>
      <w:r w:rsidR="00F55EC8" w:rsidRPr="0060627A">
        <w:rPr>
          <w:rFonts w:ascii="Century Gothic" w:hAnsi="Century Gothic"/>
          <w:noProof/>
        </w:rPr>
        <w:tab/>
      </w:r>
      <w:r w:rsidR="00F55EC8" w:rsidRPr="0060627A">
        <w:rPr>
          <w:rFonts w:ascii="Century Gothic" w:hAnsi="Century Gothic"/>
          <w:noProof/>
        </w:rPr>
        <w:tab/>
      </w:r>
      <w:r w:rsidR="00F55EC8" w:rsidRPr="0060627A">
        <w:rPr>
          <w:rFonts w:ascii="Century Gothic" w:hAnsi="Century Gothic"/>
          <w:noProof/>
        </w:rPr>
        <w:tab/>
      </w:r>
      <w:r w:rsidR="00F55EC8" w:rsidRPr="0060627A">
        <w:rPr>
          <w:rFonts w:ascii="Century Gothic" w:hAnsi="Century Gothic"/>
          <w:noProof/>
        </w:rPr>
        <w:tab/>
      </w:r>
      <w:r w:rsidR="00F55EC8" w:rsidRPr="0060627A">
        <w:rPr>
          <w:rFonts w:ascii="Century Gothic" w:hAnsi="Century Gothic"/>
          <w:noProof/>
        </w:rPr>
        <w:tab/>
      </w:r>
      <w:r w:rsidR="00DE6A54" w:rsidRPr="00FB2D7E">
        <w:rPr>
          <w:rFonts w:ascii="Century Gothic" w:hAnsi="Century Gothic"/>
          <w:noProof/>
        </w:rPr>
        <mc:AlternateContent>
          <mc:Choice Requires="wps">
            <w:drawing>
              <wp:inline distT="0" distB="0" distL="0" distR="0" wp14:anchorId="340F0473" wp14:editId="30A80946">
                <wp:extent cx="1154702" cy="801189"/>
                <wp:effectExtent l="0" t="0" r="26670" b="18415"/>
                <wp:docPr id="455"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4702" cy="801189"/>
                        </a:xfrm>
                        <a:prstGeom prst="roundRect">
                          <a:avLst>
                            <a:gd name="adj" fmla="val 46698"/>
                          </a:avLst>
                        </a:prstGeom>
                        <a:solidFill>
                          <a:srgbClr val="B5333C"/>
                        </a:solidFill>
                        <a:ln w="12700">
                          <a:solidFill>
                            <a:srgbClr val="FFFFFF"/>
                          </a:solidFill>
                          <a:miter lim="800000"/>
                          <a:headEnd/>
                          <a:tailEnd/>
                        </a:ln>
                      </wps:spPr>
                      <wps:txbx>
                        <w:txbxContent>
                          <w:p w14:paraId="5A4B5379" w14:textId="77777777" w:rsidR="00F55EC8" w:rsidRPr="00EC5276" w:rsidRDefault="00F55EC8" w:rsidP="00F55EC8">
                            <w:pPr>
                              <w:jc w:val="center"/>
                              <w:rPr>
                                <w:b/>
                                <w:color w:val="FFFFFF" w:themeColor="background1"/>
                                <w:szCs w:val="20"/>
                              </w:rPr>
                            </w:pPr>
                            <w:r w:rsidRPr="00EC5276">
                              <w:rPr>
                                <w:b/>
                                <w:color w:val="FFFFFF" w:themeColor="background1"/>
                                <w:szCs w:val="20"/>
                              </w:rPr>
                              <w:t>Self-Sufficiency</w:t>
                            </w:r>
                          </w:p>
                        </w:txbxContent>
                      </wps:txbx>
                      <wps:bodyPr rot="0" vert="horz" wrap="square" lIns="91440" tIns="45720" rIns="91440" bIns="45720" anchor="ctr" anchorCtr="0" upright="1">
                        <a:noAutofit/>
                      </wps:bodyPr>
                    </wps:wsp>
                  </a:graphicData>
                </a:graphic>
              </wp:inline>
            </w:drawing>
          </mc:Choice>
          <mc:Fallback>
            <w:pict>
              <v:roundrect w14:anchorId="340F0473" id="Rectangle: Rounded Corners 86" o:spid="_x0000_s1056" style="width:90.9pt;height:63.1pt;visibility:visible;mso-wrap-style:square;mso-left-percent:-10001;mso-top-percent:-10001;mso-position-horizontal:absolute;mso-position-horizontal-relative:char;mso-position-vertical:absolute;mso-position-vertical-relative:line;mso-left-percent:-10001;mso-top-percent:-10001;v-text-anchor:middle" arcsize="30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" fillcolor="#b5333c" strokecolor="white" strokeweight="1pt">
                <v:stroke joinstyle="miter"/>
                <v:path arrowok="t"/>
                <v:textbox>
                  <w:txbxContent>
                    <w:p w14:paraId="5A4B5379" w14:textId="77777777" w:rsidR="00F55EC8" w:rsidRPr="00EC5276" w:rsidRDefault="00F55EC8" w:rsidP="00F55EC8">
                      <w:pPr>
                        <w:jc w:val="center"/>
                        <w:rPr>
                          <w:b/>
                          <w:color w:val="FFFFFF" w:themeColor="background1"/>
                          <w:szCs w:val="20"/>
                        </w:rPr>
                      </w:pPr>
                      <w:r w:rsidRPr="00EC5276">
                        <w:rPr>
                          <w:b/>
                          <w:color w:val="FFFFFF" w:themeColor="background1"/>
                          <w:szCs w:val="20"/>
                        </w:rPr>
                        <w:t>Self-Sufficiency</w:t>
                      </w:r>
                    </w:p>
                  </w:txbxContent>
                </v:textbox>
                <w10:anchorlock/>
              </v:roundrect>
            </w:pict>
          </mc:Fallback>
        </mc:AlternateContent>
      </w:r>
    </w:p>
    <w:p w14:paraId="1EFDBBA2" w14:textId="1DFB8C4A" w:rsidR="0E6C54AB" w:rsidRPr="00FB2D7E" w:rsidRDefault="005169D1" w:rsidP="0E6C54AB">
      <w:pPr>
        <w:keepNext/>
        <w:keepLines/>
        <w:spacing w:before="120" w:after="80"/>
        <w:outlineLvl w:val="3"/>
        <w:rPr>
          <w:rFonts w:ascii="Century Gothic" w:eastAsiaTheme="majorEastAsia" w:hAnsi="Century Gothic"/>
          <w:b/>
          <w:bCs/>
          <w:color w:val="808080" w:themeColor="background1" w:themeShade="80"/>
        </w:rPr>
      </w:pPr>
      <w:r w:rsidRPr="00FB2D7E">
        <w:rPr>
          <w:rFonts w:ascii="Century Gothic" w:hAnsi="Century Gothic"/>
          <w:noProof/>
        </w:rPr>
        <mc:AlternateContent>
          <mc:Choice Requires="wpg">
            <w:drawing>
              <wp:anchor distT="45720" distB="45720" distL="182880" distR="182880" simplePos="0" relativeHeight="251658266" behindDoc="0" locked="0" layoutInCell="1" allowOverlap="1" wp14:anchorId="5DBA16B2" wp14:editId="010042F0">
                <wp:simplePos x="0" y="0"/>
                <wp:positionH relativeFrom="margin">
                  <wp:posOffset>3369945</wp:posOffset>
                </wp:positionH>
                <wp:positionV relativeFrom="margin">
                  <wp:posOffset>609600</wp:posOffset>
                </wp:positionV>
                <wp:extent cx="3230880" cy="1632585"/>
                <wp:effectExtent l="0" t="0" r="7620" b="5715"/>
                <wp:wrapSquare wrapText="bothSides"/>
                <wp:docPr id="45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0880" cy="1632585"/>
                          <a:chOff x="-120047" y="-285431"/>
                          <a:chExt cx="3641966" cy="1185619"/>
                        </a:xfrm>
                      </wpg:grpSpPr>
                      <wps:wsp>
                        <wps:cNvPr id="64" name="Rectangle 64"/>
                        <wps:cNvSpPr/>
                        <wps:spPr>
                          <a:xfrm>
                            <a:off x="-45529" y="-285431"/>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BC3A1" w14:textId="068EBF75" w:rsidR="00FD4B26" w:rsidRDefault="00FD4B26">
                              <w:pPr>
                                <w:jc w:val="center"/>
                                <w:rPr>
                                  <w:rFonts w:asciiTheme="majorHAnsi" w:eastAsiaTheme="majorEastAsia" w:hAnsiTheme="majorHAnsi" w:cstheme="majorBidi"/>
                                  <w:color w:val="FFFFFF" w:themeColor="background1"/>
                                  <w:sz w:val="24"/>
                                  <w:szCs w:val="28"/>
                                </w:rPr>
                              </w:pPr>
                              <w:r>
                                <w:rPr>
                                  <w:caps/>
                                  <w:color w:val="B7A241" w:themeColor="accent1"/>
                                  <w:sz w:val="26"/>
                                  <w:szCs w:val="26"/>
                                </w:rPr>
                                <w:t>Families participating in ECC/HANH FSS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120047" y="-3863"/>
                            <a:ext cx="3567448" cy="904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1EA91" w14:textId="44FAFDA5" w:rsidR="00FD4B26" w:rsidRDefault="00EB66AA">
                              <w:pPr>
                                <w:rPr>
                                  <w:caps/>
                                  <w:color w:val="B7A241" w:themeColor="accent1"/>
                                  <w:sz w:val="26"/>
                                  <w:szCs w:val="26"/>
                                </w:rPr>
                              </w:pPr>
                              <w:r>
                                <w:rPr>
                                  <w:caps/>
                                  <w:color w:val="B7A241" w:themeColor="accent1"/>
                                  <w:sz w:val="26"/>
                                  <w:szCs w:val="26"/>
                                </w:rPr>
                                <w:t>82</w:t>
                              </w:r>
                              <w:r w:rsidR="00517068">
                                <w:rPr>
                                  <w:caps/>
                                  <w:color w:val="B7A241" w:themeColor="accent1"/>
                                  <w:sz w:val="26"/>
                                  <w:szCs w:val="26"/>
                                </w:rPr>
                                <w:t>% of the total available fss slots are filled</w:t>
                              </w:r>
                            </w:p>
                            <w:p w14:paraId="79BC6F3C" w14:textId="46863772" w:rsidR="00FD4B26" w:rsidRDefault="003F1938">
                              <w:pPr>
                                <w:rPr>
                                  <w:caps/>
                                  <w:color w:val="B7A241" w:themeColor="accent1"/>
                                  <w:sz w:val="26"/>
                                  <w:szCs w:val="26"/>
                                </w:rPr>
                              </w:pPr>
                              <w:r>
                                <w:rPr>
                                  <w:caps/>
                                  <w:color w:val="B7A241" w:themeColor="accent1"/>
                                  <w:sz w:val="26"/>
                                  <w:szCs w:val="26"/>
                                </w:rPr>
                                <w:t xml:space="preserve">3 </w:t>
                              </w:r>
                              <w:r w:rsidR="00B07A97">
                                <w:rPr>
                                  <w:caps/>
                                  <w:color w:val="B7A241" w:themeColor="accent1"/>
                                  <w:sz w:val="26"/>
                                  <w:szCs w:val="26"/>
                                </w:rPr>
                                <w:t>new homeowners</w:t>
                              </w:r>
                            </w:p>
                            <w:p w14:paraId="6B0BE829" w14:textId="3D0DA175" w:rsidR="005169D1" w:rsidRPr="005169D1" w:rsidRDefault="005169D1">
                              <w:pPr>
                                <w:rPr>
                                  <w:rFonts w:cs="Calibri"/>
                                  <w:caps/>
                                  <w:color w:val="B7A241" w:themeColor="accent1"/>
                                  <w:sz w:val="24"/>
                                </w:rPr>
                              </w:pPr>
                              <w:r w:rsidRPr="005169D1">
                                <w:rPr>
                                  <w:rFonts w:eastAsia="Times New Roman" w:cs="Calibri"/>
                                  <w:sz w:val="24"/>
                                </w:rPr>
                                <w:t xml:space="preserve">8% </w:t>
                              </w:r>
                              <w:r>
                                <w:rPr>
                                  <w:rFonts w:eastAsia="Times New Roman" w:cs="Calibri"/>
                                  <w:sz w:val="24"/>
                                </w:rPr>
                                <w:t>OPENED SAFE AND AFFORDABLE BANK ACCOUNTS</w:t>
                              </w:r>
                            </w:p>
                            <w:p w14:paraId="781C2DFF" w14:textId="5A65D65B" w:rsidR="009D75EB" w:rsidRDefault="003C0A56">
                              <w:pPr>
                                <w:rPr>
                                  <w:caps/>
                                  <w:color w:val="B7A241" w:themeColor="accent1"/>
                                  <w:sz w:val="26"/>
                                  <w:szCs w:val="26"/>
                                </w:rPr>
                              </w:pPr>
                              <w:r>
                                <w:rPr>
                                  <w:caps/>
                                  <w:color w:val="B7A241" w:themeColor="accent1"/>
                                  <w:sz w:val="26"/>
                                  <w:szCs w:val="26"/>
                                </w:rPr>
                                <w:t>46</w:t>
                              </w:r>
                              <w:r w:rsidR="009D75EB">
                                <w:rPr>
                                  <w:caps/>
                                  <w:color w:val="B7A241" w:themeColor="accent1"/>
                                  <w:sz w:val="26"/>
                                  <w:szCs w:val="26"/>
                                </w:rPr>
                                <w:t>% increase in savings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BA16B2" id="Group 87" o:spid="_x0000_s1057" style="position:absolute;margin-left:265.35pt;margin-top:48pt;width:254.4pt;height:128.55pt;z-index:251658266;mso-wrap-distance-left:14.4pt;mso-wrap-distance-top:3.6pt;mso-wrap-distance-right:14.4pt;mso-wrap-distance-bottom:3.6pt;mso-position-horizontal-relative:margin;mso-position-vertical-relative:margin;mso-width-relative:margin;mso-height-relative:margin" coordorigin="-1200,-2854" coordsize="36419,1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">
                <v:rect id="Rectangle 64" o:spid="_x0000_s1058" style="position:absolute;left:-455;top:-2854;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" fillcolor="#b7a241 [3204]" stroked="f" strokeweight="1pt">
                  <v:textbox>
                    <w:txbxContent>
                      <w:p w14:paraId="6E5BC3A1" w14:textId="068EBF75" w:rsidR="00FD4B26" w:rsidRDefault="00FD4B26">
                        <w:pPr>
                          <w:jc w:val="center"/>
                          <w:rPr>
                            <w:rFonts w:asciiTheme="majorHAnsi" w:eastAsiaTheme="majorEastAsia" w:hAnsiTheme="majorHAnsi" w:cstheme="majorBidi"/>
                            <w:color w:val="FFFFFF" w:themeColor="background1"/>
                            <w:sz w:val="24"/>
                            <w:szCs w:val="28"/>
                          </w:rPr>
                        </w:pPr>
                        <w:r>
                          <w:rPr>
                            <w:caps/>
                            <w:color w:val="B7A241" w:themeColor="accent1"/>
                            <w:sz w:val="26"/>
                            <w:szCs w:val="26"/>
                          </w:rPr>
                          <w:t>Families participating in ECC/HANH FSS program</w:t>
                        </w:r>
                      </w:p>
                    </w:txbxContent>
                  </v:textbox>
                </v:rect>
                <v:shape id="Text Box 75" o:spid="_x0000_s1059" type="#_x0000_t202" style="position:absolute;left:-1200;top:-38;width:35674;height:9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" filled="f" stroked="f" strokeweight=".5pt">
                  <v:textbox inset=",7.2pt,,0">
                    <w:txbxContent>
                      <w:p w14:paraId="5D21EA91" w14:textId="44FAFDA5" w:rsidR="00FD4B26" w:rsidRDefault="00EB66AA">
                        <w:pPr>
                          <w:rPr>
                            <w:caps/>
                            <w:color w:val="B7A241" w:themeColor="accent1"/>
                            <w:sz w:val="26"/>
                            <w:szCs w:val="26"/>
                          </w:rPr>
                        </w:pPr>
                        <w:r>
                          <w:rPr>
                            <w:caps/>
                            <w:color w:val="B7A241" w:themeColor="accent1"/>
                            <w:sz w:val="26"/>
                            <w:szCs w:val="26"/>
                          </w:rPr>
                          <w:t>82</w:t>
                        </w:r>
                        <w:r w:rsidR="00517068">
                          <w:rPr>
                            <w:caps/>
                            <w:color w:val="B7A241" w:themeColor="accent1"/>
                            <w:sz w:val="26"/>
                            <w:szCs w:val="26"/>
                          </w:rPr>
                          <w:t>% of the total available fss slots are filled</w:t>
                        </w:r>
                      </w:p>
                      <w:p w14:paraId="79BC6F3C" w14:textId="46863772" w:rsidR="00FD4B26" w:rsidRDefault="003F1938">
                        <w:pPr>
                          <w:rPr>
                            <w:caps/>
                            <w:color w:val="B7A241" w:themeColor="accent1"/>
                            <w:sz w:val="26"/>
                            <w:szCs w:val="26"/>
                          </w:rPr>
                        </w:pPr>
                        <w:r>
                          <w:rPr>
                            <w:caps/>
                            <w:color w:val="B7A241" w:themeColor="accent1"/>
                            <w:sz w:val="26"/>
                            <w:szCs w:val="26"/>
                          </w:rPr>
                          <w:t xml:space="preserve">3 </w:t>
                        </w:r>
                        <w:r w:rsidR="00B07A97">
                          <w:rPr>
                            <w:caps/>
                            <w:color w:val="B7A241" w:themeColor="accent1"/>
                            <w:sz w:val="26"/>
                            <w:szCs w:val="26"/>
                          </w:rPr>
                          <w:t>new homeowners</w:t>
                        </w:r>
                      </w:p>
                      <w:p w14:paraId="6B0BE829" w14:textId="3D0DA175" w:rsidR="005169D1" w:rsidRPr="005169D1" w:rsidRDefault="005169D1">
                        <w:pPr>
                          <w:rPr>
                            <w:rFonts w:cs="Calibri"/>
                            <w:caps/>
                            <w:color w:val="B7A241" w:themeColor="accent1"/>
                            <w:sz w:val="24"/>
                          </w:rPr>
                        </w:pPr>
                        <w:r w:rsidRPr="005169D1">
                          <w:rPr>
                            <w:rFonts w:eastAsia="Times New Roman" w:cs="Calibri"/>
                            <w:sz w:val="24"/>
                          </w:rPr>
                          <w:t xml:space="preserve">8% </w:t>
                        </w:r>
                        <w:r>
                          <w:rPr>
                            <w:rFonts w:eastAsia="Times New Roman" w:cs="Calibri"/>
                            <w:sz w:val="24"/>
                          </w:rPr>
                          <w:t>OPENED SAFE AND AFFORDABLE BANK ACCOUNTS</w:t>
                        </w:r>
                      </w:p>
                      <w:p w14:paraId="781C2DFF" w14:textId="5A65D65B" w:rsidR="009D75EB" w:rsidRDefault="003C0A56">
                        <w:pPr>
                          <w:rPr>
                            <w:caps/>
                            <w:color w:val="B7A241" w:themeColor="accent1"/>
                            <w:sz w:val="26"/>
                            <w:szCs w:val="26"/>
                          </w:rPr>
                        </w:pPr>
                        <w:r>
                          <w:rPr>
                            <w:caps/>
                            <w:color w:val="B7A241" w:themeColor="accent1"/>
                            <w:sz w:val="26"/>
                            <w:szCs w:val="26"/>
                          </w:rPr>
                          <w:t>46</w:t>
                        </w:r>
                        <w:r w:rsidR="009D75EB">
                          <w:rPr>
                            <w:caps/>
                            <w:color w:val="B7A241" w:themeColor="accent1"/>
                            <w:sz w:val="26"/>
                            <w:szCs w:val="26"/>
                          </w:rPr>
                          <w:t>% increase in savings</w:t>
                        </w:r>
                      </w:p>
                    </w:txbxContent>
                  </v:textbox>
                </v:shape>
                <w10:wrap type="square" anchorx="margin" anchory="margin"/>
              </v:group>
            </w:pict>
          </mc:Fallback>
        </mc:AlternateContent>
      </w:r>
    </w:p>
    <w:p w14:paraId="0298F4C5" w14:textId="2E9D818B" w:rsidR="001375DA" w:rsidRPr="00FB2D7E" w:rsidRDefault="001375DA" w:rsidP="0E6C54AB">
      <w:pPr>
        <w:keepNext/>
        <w:keepLines/>
        <w:spacing w:before="120" w:after="80"/>
        <w:outlineLvl w:val="3"/>
        <w:rPr>
          <w:rFonts w:ascii="Century Gothic" w:eastAsiaTheme="majorEastAsia" w:hAnsi="Century Gothic"/>
          <w:b/>
          <w:bCs/>
          <w:color w:val="808080" w:themeColor="background1" w:themeShade="80"/>
        </w:rPr>
      </w:pPr>
    </w:p>
    <w:p w14:paraId="6A374D31" w14:textId="5624FEFC" w:rsidR="001375DA" w:rsidRPr="00FB2D7E" w:rsidRDefault="42DB0B30" w:rsidP="0E6C54AB">
      <w:pPr>
        <w:keepNext/>
        <w:keepLines/>
        <w:spacing w:before="120" w:after="80"/>
        <w:rPr>
          <w:rFonts w:ascii="Century Gothic" w:eastAsia="Franklin Gothic Book" w:hAnsi="Century Gothic"/>
          <w:b/>
          <w:bCs/>
        </w:rPr>
      </w:pPr>
      <w:r w:rsidRPr="00FB2D7E">
        <w:rPr>
          <w:rFonts w:ascii="Century Gothic" w:eastAsia="Franklin Gothic Book" w:hAnsi="Century Gothic"/>
          <w:b/>
          <w:bCs/>
        </w:rPr>
        <w:t>Description</w:t>
      </w:r>
    </w:p>
    <w:p w14:paraId="78609CAC" w14:textId="1B41FB0C" w:rsidR="0E6C54AB" w:rsidRPr="00FB2D7E" w:rsidRDefault="0E6C54AB" w:rsidP="0E6C54AB">
      <w:pPr>
        <w:rPr>
          <w:rFonts w:ascii="Century Gothic" w:hAnsi="Century Gothic"/>
        </w:rPr>
      </w:pPr>
    </w:p>
    <w:p w14:paraId="5D9F0066" w14:textId="6B38EAC3" w:rsidR="001375DA" w:rsidRPr="00FB2D7E" w:rsidRDefault="3DC53FEF" w:rsidP="001375DA">
      <w:pPr>
        <w:rPr>
          <w:rFonts w:ascii="Century Gothic" w:hAnsi="Century Gothic"/>
        </w:rPr>
      </w:pPr>
      <w:r w:rsidRPr="00FB2D7E">
        <w:rPr>
          <w:rFonts w:ascii="Century Gothic" w:hAnsi="Century Gothic"/>
        </w:rPr>
        <w:t xml:space="preserve">ECC/HANH’s FSS program provides intensive counseling and case management services to help participant families achieve their self-sufficiency goals, according to each family’s needs. Adding new services has allowed ECC/HANH to provide much needed support to a larger number of LIPH and Section 8 residents. </w:t>
      </w:r>
      <w:r w:rsidR="4683E0C6" w:rsidRPr="00FB2D7E">
        <w:rPr>
          <w:rFonts w:ascii="Century Gothic" w:hAnsi="Century Gothic"/>
        </w:rPr>
        <w:t xml:space="preserve">Service referrals focus </w:t>
      </w:r>
      <w:proofErr w:type="gramStart"/>
      <w:r w:rsidR="4683E0C6" w:rsidRPr="00FB2D7E">
        <w:rPr>
          <w:rFonts w:ascii="Century Gothic" w:hAnsi="Century Gothic"/>
        </w:rPr>
        <w:t>on:</w:t>
      </w:r>
      <w:proofErr w:type="gramEnd"/>
      <w:r w:rsidR="12BC0426" w:rsidRPr="00FB2D7E">
        <w:rPr>
          <w:rFonts w:ascii="Century Gothic" w:hAnsi="Century Gothic"/>
        </w:rPr>
        <w:t xml:space="preserve"> education, literacy, GED preparation, vocational and job skills and financial management. </w:t>
      </w:r>
    </w:p>
    <w:p w14:paraId="085B0BD9" w14:textId="4DC5D7D1" w:rsidR="001375DA" w:rsidRPr="00FB2D7E" w:rsidRDefault="001375DA" w:rsidP="001375DA">
      <w:pPr>
        <w:rPr>
          <w:rFonts w:ascii="Century Gothic" w:hAnsi="Century Gothic"/>
          <w:szCs w:val="22"/>
        </w:rPr>
      </w:pPr>
    </w:p>
    <w:p w14:paraId="708AAFC0" w14:textId="29136F64" w:rsidR="001375DA" w:rsidRPr="00FB2D7E" w:rsidRDefault="001375DA" w:rsidP="001375DA">
      <w:pPr>
        <w:rPr>
          <w:rFonts w:ascii="Century Gothic" w:hAnsi="Century Gothic"/>
          <w:szCs w:val="22"/>
        </w:rPr>
      </w:pPr>
    </w:p>
    <w:p w14:paraId="2AE0E239" w14:textId="77777777" w:rsidR="00310654" w:rsidRPr="00FB2D7E" w:rsidRDefault="00310654" w:rsidP="1B4A8018">
      <w:pPr>
        <w:rPr>
          <w:rFonts w:ascii="Century Gothic" w:hAnsi="Century Gothic"/>
        </w:rPr>
      </w:pPr>
    </w:p>
    <w:p w14:paraId="0AF5C657" w14:textId="77777777" w:rsidR="00310654" w:rsidRPr="00FB2D7E" w:rsidRDefault="00310654" w:rsidP="1B4A8018">
      <w:pPr>
        <w:rPr>
          <w:rFonts w:ascii="Century Gothic" w:hAnsi="Century Gothic"/>
        </w:rPr>
      </w:pPr>
    </w:p>
    <w:p w14:paraId="13853DAE" w14:textId="72B88C5A" w:rsidR="001375DA" w:rsidRPr="00FB2D7E" w:rsidRDefault="00F8127D" w:rsidP="1B4A8018">
      <w:pPr>
        <w:rPr>
          <w:rFonts w:ascii="Century Gothic" w:hAnsi="Century Gothic"/>
        </w:rPr>
      </w:pPr>
      <w:r w:rsidRPr="00FB2D7E">
        <w:rPr>
          <w:rFonts w:ascii="Century Gothic" w:hAnsi="Century Gothic"/>
          <w:noProof/>
          <w:szCs w:val="22"/>
          <w:lang w:eastAsia="en-US"/>
        </w:rPr>
        <w:drawing>
          <wp:anchor distT="0" distB="0" distL="114300" distR="114300" simplePos="0" relativeHeight="251658246" behindDoc="0" locked="0" layoutInCell="1" allowOverlap="1" wp14:anchorId="5A04CA5B" wp14:editId="68EB7298">
            <wp:simplePos x="0" y="0"/>
            <wp:positionH relativeFrom="column">
              <wp:posOffset>3176270</wp:posOffset>
            </wp:positionH>
            <wp:positionV relativeFrom="paragraph">
              <wp:posOffset>9221</wp:posOffset>
            </wp:positionV>
            <wp:extent cx="3482975" cy="2468880"/>
            <wp:effectExtent l="0" t="0" r="3175" b="7620"/>
            <wp:wrapSquare wrapText="bothSides"/>
            <wp:docPr id="93"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1375DA" w:rsidRPr="00FB2D7E">
        <w:rPr>
          <w:rFonts w:ascii="Century Gothic" w:hAnsi="Century Gothic"/>
        </w:rPr>
        <w:t>The MTW FSS program serves up to 1,</w:t>
      </w:r>
      <w:r w:rsidR="00291955" w:rsidRPr="00FB2D7E">
        <w:rPr>
          <w:rFonts w:ascii="Century Gothic" w:hAnsi="Century Gothic"/>
        </w:rPr>
        <w:t xml:space="preserve">158 </w:t>
      </w:r>
      <w:r w:rsidR="001375DA" w:rsidRPr="00FB2D7E">
        <w:rPr>
          <w:rFonts w:ascii="Century Gothic" w:hAnsi="Century Gothic"/>
        </w:rPr>
        <w:t xml:space="preserve">families. </w:t>
      </w:r>
    </w:p>
    <w:p w14:paraId="34B5B0CE" w14:textId="52B7DD7B" w:rsidR="001375DA" w:rsidRDefault="001375DA" w:rsidP="001375DA">
      <w:pPr>
        <w:spacing w:after="160" w:line="276" w:lineRule="auto"/>
        <w:rPr>
          <w:rFonts w:ascii="Century Gothic" w:hAnsi="Century Gothic"/>
          <w:szCs w:val="22"/>
        </w:rPr>
      </w:pPr>
      <w:r w:rsidRPr="00FB2D7E">
        <w:rPr>
          <w:rFonts w:ascii="Century Gothic" w:hAnsi="Century Gothic"/>
          <w:szCs w:val="22"/>
        </w:rPr>
        <w:t xml:space="preserve">The following table details the number of enrollment slots for each program. </w:t>
      </w:r>
    </w:p>
    <w:p w14:paraId="30D31B19" w14:textId="386293C5" w:rsidR="00F70347" w:rsidRPr="00FB2D7E" w:rsidRDefault="00F70347" w:rsidP="001375DA">
      <w:pPr>
        <w:spacing w:after="160" w:line="276" w:lineRule="auto"/>
        <w:rPr>
          <w:rFonts w:ascii="Century Gothic" w:hAnsi="Century Gothic"/>
          <w:szCs w:val="22"/>
        </w:rPr>
      </w:pPr>
      <w:r>
        <w:rPr>
          <w:rFonts w:ascii="Century Gothic" w:hAnsi="Century Gothic"/>
          <w:szCs w:val="22"/>
        </w:rPr>
        <w:t xml:space="preserve">ECC/HANH is slightly </w:t>
      </w:r>
      <w:proofErr w:type="gramStart"/>
      <w:r>
        <w:rPr>
          <w:rFonts w:ascii="Century Gothic" w:hAnsi="Century Gothic"/>
          <w:szCs w:val="22"/>
        </w:rPr>
        <w:t>over i</w:t>
      </w:r>
      <w:r w:rsidR="00934F4C">
        <w:rPr>
          <w:rFonts w:ascii="Century Gothic" w:hAnsi="Century Gothic"/>
          <w:szCs w:val="22"/>
        </w:rPr>
        <w:t>n</w:t>
      </w:r>
      <w:proofErr w:type="gramEnd"/>
      <w:r w:rsidR="00934F4C">
        <w:rPr>
          <w:rFonts w:ascii="Century Gothic" w:hAnsi="Century Gothic"/>
          <w:szCs w:val="22"/>
        </w:rPr>
        <w:t xml:space="preserve"> the </w:t>
      </w:r>
      <w:r w:rsidR="00854176">
        <w:rPr>
          <w:rFonts w:ascii="Century Gothic" w:hAnsi="Century Gothic"/>
          <w:szCs w:val="22"/>
        </w:rPr>
        <w:t>number</w:t>
      </w:r>
      <w:r w:rsidR="00934F4C">
        <w:rPr>
          <w:rFonts w:ascii="Century Gothic" w:hAnsi="Century Gothic"/>
          <w:szCs w:val="22"/>
        </w:rPr>
        <w:t xml:space="preserve"> of families it has allocated to serve.</w:t>
      </w:r>
    </w:p>
    <w:tbl>
      <w:tblPr>
        <w:tblStyle w:val="TableGrid61"/>
        <w:tblW w:w="10799" w:type="dxa"/>
        <w:tblLook w:val="04A0" w:firstRow="1" w:lastRow="0" w:firstColumn="1" w:lastColumn="0" w:noHBand="0" w:noVBand="1"/>
      </w:tblPr>
      <w:tblGrid>
        <w:gridCol w:w="1929"/>
        <w:gridCol w:w="1692"/>
        <w:gridCol w:w="1687"/>
        <w:gridCol w:w="1395"/>
        <w:gridCol w:w="2016"/>
        <w:gridCol w:w="2080"/>
      </w:tblGrid>
      <w:tr w:rsidR="001375DA" w:rsidRPr="00FB2D7E" w14:paraId="4A2EEE9A" w14:textId="77777777" w:rsidTr="4168308A">
        <w:tc>
          <w:tcPr>
            <w:tcW w:w="1737" w:type="dxa"/>
            <w:tcBorders>
              <w:top w:val="nil"/>
              <w:left w:val="nil"/>
              <w:bottom w:val="single" w:sz="24" w:space="0" w:color="B5333C" w:themeColor="accent2"/>
              <w:right w:val="single" w:sz="4" w:space="0" w:color="D9D9D9" w:themeColor="background1" w:themeShade="D9"/>
            </w:tcBorders>
            <w:shd w:val="clear" w:color="auto" w:fill="808080" w:themeFill="background1" w:themeFillShade="80"/>
            <w:vAlign w:val="center"/>
          </w:tcPr>
          <w:p w14:paraId="394CAC1F" w14:textId="77777777" w:rsidR="001375DA" w:rsidRPr="00FB2D7E" w:rsidRDefault="001375DA" w:rsidP="001375DA">
            <w:pPr>
              <w:jc w:val="center"/>
              <w:rPr>
                <w:rFonts w:ascii="Century Gothic" w:hAnsi="Century Gothic"/>
                <w:b/>
                <w:szCs w:val="22"/>
              </w:rPr>
            </w:pPr>
            <w:r w:rsidRPr="00FB2D7E">
              <w:rPr>
                <w:rFonts w:ascii="Century Gothic" w:hAnsi="Century Gothic"/>
                <w:b/>
                <w:szCs w:val="22"/>
              </w:rPr>
              <w:t>Program</w:t>
            </w:r>
          </w:p>
        </w:tc>
        <w:tc>
          <w:tcPr>
            <w:tcW w:w="1737" w:type="dxa"/>
            <w:tcBorders>
              <w:top w:val="nil"/>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vAlign w:val="center"/>
          </w:tcPr>
          <w:p w14:paraId="4D740092" w14:textId="77777777" w:rsidR="001375DA" w:rsidRPr="00FB2D7E" w:rsidRDefault="001375DA" w:rsidP="001375DA">
            <w:pPr>
              <w:jc w:val="center"/>
              <w:rPr>
                <w:rFonts w:ascii="Century Gothic" w:hAnsi="Century Gothic"/>
                <w:b/>
                <w:szCs w:val="22"/>
              </w:rPr>
            </w:pPr>
            <w:r w:rsidRPr="00FB2D7E">
              <w:rPr>
                <w:rFonts w:ascii="Century Gothic" w:hAnsi="Century Gothic"/>
                <w:b/>
                <w:szCs w:val="22"/>
              </w:rPr>
              <w:t>Number of Slots</w:t>
            </w:r>
          </w:p>
        </w:tc>
        <w:tc>
          <w:tcPr>
            <w:tcW w:w="1737" w:type="dxa"/>
            <w:tcBorders>
              <w:top w:val="nil"/>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vAlign w:val="center"/>
          </w:tcPr>
          <w:p w14:paraId="308BC724" w14:textId="43B107D5" w:rsidR="308A8DB5" w:rsidRPr="00FB2D7E" w:rsidRDefault="5749B690" w:rsidP="2C805A1A">
            <w:pPr>
              <w:jc w:val="center"/>
              <w:rPr>
                <w:rFonts w:ascii="Century Gothic" w:eastAsia="MS PGothic" w:hAnsi="Century Gothic"/>
                <w:b/>
                <w:bCs/>
              </w:rPr>
            </w:pPr>
            <w:r w:rsidRPr="00FB2D7E">
              <w:rPr>
                <w:rFonts w:ascii="Century Gothic" w:eastAsia="MS PGothic" w:hAnsi="Century Gothic"/>
                <w:b/>
                <w:bCs/>
              </w:rPr>
              <w:t xml:space="preserve">Number Served in </w:t>
            </w:r>
            <w:r w:rsidR="1E8D878F" w:rsidRPr="00FB2D7E">
              <w:rPr>
                <w:rFonts w:ascii="Century Gothic" w:eastAsia="MS PGothic" w:hAnsi="Century Gothic"/>
                <w:b/>
                <w:bCs/>
              </w:rPr>
              <w:t>202</w:t>
            </w:r>
            <w:r w:rsidR="453435A7" w:rsidRPr="00FB2D7E">
              <w:rPr>
                <w:rFonts w:ascii="Century Gothic" w:eastAsia="MS PGothic" w:hAnsi="Century Gothic"/>
                <w:b/>
                <w:bCs/>
              </w:rPr>
              <w:t>4</w:t>
            </w:r>
          </w:p>
        </w:tc>
        <w:tc>
          <w:tcPr>
            <w:tcW w:w="1424" w:type="dxa"/>
            <w:tcBorders>
              <w:top w:val="nil"/>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vAlign w:val="center"/>
          </w:tcPr>
          <w:p w14:paraId="7646BCAC" w14:textId="77777777" w:rsidR="001375DA" w:rsidRPr="00FB2D7E" w:rsidRDefault="001375DA" w:rsidP="001375DA">
            <w:pPr>
              <w:jc w:val="center"/>
              <w:rPr>
                <w:rFonts w:ascii="Century Gothic" w:hAnsi="Century Gothic"/>
                <w:b/>
                <w:szCs w:val="22"/>
              </w:rPr>
            </w:pPr>
            <w:r w:rsidRPr="00FB2D7E">
              <w:rPr>
                <w:rFonts w:ascii="Century Gothic" w:hAnsi="Century Gothic"/>
                <w:b/>
                <w:szCs w:val="22"/>
              </w:rPr>
              <w:t>Benefits from Escrow</w:t>
            </w:r>
          </w:p>
        </w:tc>
        <w:tc>
          <w:tcPr>
            <w:tcW w:w="2050" w:type="dxa"/>
            <w:tcBorders>
              <w:top w:val="nil"/>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vAlign w:val="center"/>
          </w:tcPr>
          <w:p w14:paraId="12C1184F" w14:textId="77777777" w:rsidR="001375DA" w:rsidRPr="00FB2D7E" w:rsidRDefault="001375DA" w:rsidP="001375DA">
            <w:pPr>
              <w:jc w:val="center"/>
              <w:rPr>
                <w:rFonts w:ascii="Century Gothic" w:hAnsi="Century Gothic"/>
                <w:b/>
                <w:szCs w:val="22"/>
              </w:rPr>
            </w:pPr>
            <w:r w:rsidRPr="00FB2D7E">
              <w:rPr>
                <w:rFonts w:ascii="Century Gothic" w:hAnsi="Century Gothic"/>
                <w:b/>
                <w:szCs w:val="22"/>
              </w:rPr>
              <w:t>Owner</w:t>
            </w:r>
          </w:p>
        </w:tc>
        <w:tc>
          <w:tcPr>
            <w:tcW w:w="2114" w:type="dxa"/>
            <w:tcBorders>
              <w:top w:val="nil"/>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14CE5210" w14:textId="77777777" w:rsidR="001375DA" w:rsidRPr="00FB2D7E" w:rsidRDefault="001375DA" w:rsidP="001375DA">
            <w:pPr>
              <w:jc w:val="center"/>
              <w:rPr>
                <w:rFonts w:ascii="Century Gothic" w:hAnsi="Century Gothic"/>
                <w:b/>
                <w:szCs w:val="22"/>
              </w:rPr>
            </w:pPr>
            <w:r w:rsidRPr="00FB2D7E">
              <w:rPr>
                <w:rFonts w:ascii="Century Gothic" w:hAnsi="Century Gothic"/>
                <w:b/>
                <w:szCs w:val="22"/>
              </w:rPr>
              <w:t>Supports</w:t>
            </w:r>
          </w:p>
        </w:tc>
      </w:tr>
      <w:tr w:rsidR="001375DA" w:rsidRPr="00FB2D7E" w14:paraId="29C2B1DF" w14:textId="77777777" w:rsidTr="4168308A">
        <w:tc>
          <w:tcPr>
            <w:tcW w:w="1737" w:type="dxa"/>
            <w:tcBorders>
              <w:top w:val="single" w:sz="24" w:space="0" w:color="B5333C" w:themeColor="accent2"/>
              <w:left w:val="nil"/>
              <w:bottom w:val="single" w:sz="4" w:space="0" w:color="D9D9D9" w:themeColor="background1" w:themeShade="D9"/>
              <w:right w:val="single" w:sz="4" w:space="0" w:color="D9D9D9" w:themeColor="background1" w:themeShade="D9"/>
            </w:tcBorders>
            <w:vAlign w:val="center"/>
          </w:tcPr>
          <w:p w14:paraId="05846C08" w14:textId="77777777" w:rsidR="001375DA" w:rsidRPr="00FB2D7E" w:rsidRDefault="001375DA" w:rsidP="001375DA">
            <w:pPr>
              <w:rPr>
                <w:rFonts w:ascii="Century Gothic" w:hAnsi="Century Gothic"/>
                <w:szCs w:val="22"/>
              </w:rPr>
            </w:pPr>
            <w:r w:rsidRPr="00FB2D7E">
              <w:rPr>
                <w:rFonts w:ascii="Century Gothic" w:hAnsi="Century Gothic"/>
                <w:szCs w:val="22"/>
              </w:rPr>
              <w:t>HUD FSS Grant Funded Slots</w:t>
            </w:r>
          </w:p>
        </w:tc>
        <w:tc>
          <w:tcPr>
            <w:tcW w:w="1737"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311977" w14:textId="77777777" w:rsidR="001375DA" w:rsidRPr="00FB2D7E" w:rsidRDefault="001375DA" w:rsidP="001375DA">
            <w:pPr>
              <w:jc w:val="center"/>
              <w:rPr>
                <w:rFonts w:ascii="Century Gothic" w:hAnsi="Century Gothic"/>
                <w:szCs w:val="22"/>
              </w:rPr>
            </w:pPr>
            <w:r w:rsidRPr="00FB2D7E">
              <w:rPr>
                <w:rFonts w:ascii="Century Gothic" w:hAnsi="Century Gothic"/>
                <w:szCs w:val="22"/>
              </w:rPr>
              <w:t>150</w:t>
            </w:r>
          </w:p>
        </w:tc>
        <w:tc>
          <w:tcPr>
            <w:tcW w:w="1737"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2C2728" w14:textId="41B40E40" w:rsidR="2A137AEF" w:rsidRPr="00FB2D7E" w:rsidRDefault="6333423F" w:rsidP="145A5A95">
            <w:pPr>
              <w:rPr>
                <w:rFonts w:ascii="Century Gothic" w:eastAsia="MS PGothic" w:hAnsi="Century Gothic"/>
              </w:rPr>
            </w:pPr>
            <w:r w:rsidRPr="00FB2D7E">
              <w:rPr>
                <w:rFonts w:ascii="Century Gothic" w:eastAsia="MS PGothic" w:hAnsi="Century Gothic"/>
              </w:rPr>
              <w:t>123</w:t>
            </w:r>
          </w:p>
        </w:tc>
        <w:tc>
          <w:tcPr>
            <w:tcW w:w="1424"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AACAAA" w14:textId="77777777" w:rsidR="001375DA" w:rsidRPr="00FB2D7E" w:rsidRDefault="001375DA" w:rsidP="001375DA">
            <w:pPr>
              <w:rPr>
                <w:rFonts w:ascii="Century Gothic" w:hAnsi="Century Gothic"/>
                <w:szCs w:val="22"/>
              </w:rPr>
            </w:pPr>
            <w:r w:rsidRPr="00FB2D7E">
              <w:rPr>
                <w:rFonts w:ascii="Century Gothic" w:hAnsi="Century Gothic"/>
                <w:szCs w:val="22"/>
              </w:rPr>
              <w:t>Yes</w:t>
            </w:r>
          </w:p>
        </w:tc>
        <w:tc>
          <w:tcPr>
            <w:tcW w:w="205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2DACD4" w14:textId="77777777" w:rsidR="001375DA" w:rsidRPr="00FB2D7E" w:rsidRDefault="001375DA" w:rsidP="001375DA">
            <w:pPr>
              <w:rPr>
                <w:rFonts w:ascii="Century Gothic" w:hAnsi="Century Gothic"/>
                <w:szCs w:val="22"/>
              </w:rPr>
            </w:pPr>
            <w:r w:rsidRPr="00FB2D7E">
              <w:rPr>
                <w:rFonts w:ascii="Century Gothic" w:hAnsi="Century Gothic"/>
                <w:szCs w:val="22"/>
              </w:rPr>
              <w:t>FSS Coordinators</w:t>
            </w:r>
          </w:p>
        </w:tc>
        <w:tc>
          <w:tcPr>
            <w:tcW w:w="2114" w:type="dxa"/>
            <w:tcBorders>
              <w:top w:val="single" w:sz="24" w:space="0" w:color="B5333C" w:themeColor="accent2"/>
              <w:left w:val="single" w:sz="4" w:space="0" w:color="D9D9D9" w:themeColor="background1" w:themeShade="D9"/>
              <w:bottom w:val="single" w:sz="4" w:space="0" w:color="D9D9D9" w:themeColor="background1" w:themeShade="D9"/>
              <w:right w:val="nil"/>
            </w:tcBorders>
            <w:vAlign w:val="center"/>
          </w:tcPr>
          <w:p w14:paraId="744C2F62" w14:textId="7719BFF6" w:rsidR="001375DA" w:rsidRPr="00FB2D7E" w:rsidRDefault="1B4A8018" w:rsidP="1B4A8018">
            <w:pPr>
              <w:rPr>
                <w:rFonts w:ascii="Century Gothic" w:hAnsi="Century Gothic"/>
              </w:rPr>
            </w:pPr>
            <w:r w:rsidRPr="00FB2D7E">
              <w:rPr>
                <w:rFonts w:ascii="Century Gothic" w:hAnsi="Century Gothic"/>
              </w:rPr>
              <w:t>RSCs, CED Managers &amp; Supervisors</w:t>
            </w:r>
          </w:p>
        </w:tc>
      </w:tr>
      <w:tr w:rsidR="001375DA" w:rsidRPr="00FB2D7E" w14:paraId="69807840" w14:textId="77777777" w:rsidTr="4168308A">
        <w:tc>
          <w:tcPr>
            <w:tcW w:w="173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2D2E87D0" w14:textId="77777777" w:rsidR="001375DA" w:rsidRPr="00FB2D7E" w:rsidRDefault="001375DA" w:rsidP="001375DA">
            <w:pPr>
              <w:rPr>
                <w:rFonts w:ascii="Century Gothic" w:hAnsi="Century Gothic"/>
                <w:szCs w:val="22"/>
              </w:rPr>
            </w:pPr>
            <w:r w:rsidRPr="00FB2D7E">
              <w:rPr>
                <w:rFonts w:ascii="Century Gothic" w:hAnsi="Century Gothic"/>
                <w:szCs w:val="22"/>
              </w:rPr>
              <w:t>CARES Program</w:t>
            </w:r>
          </w:p>
        </w:tc>
        <w:tc>
          <w:tcPr>
            <w:tcW w:w="17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220211" w14:textId="47CB8F27" w:rsidR="001375DA" w:rsidRPr="00FB2D7E" w:rsidRDefault="350A89A3" w:rsidP="2C805A1A">
            <w:pPr>
              <w:jc w:val="center"/>
              <w:rPr>
                <w:rFonts w:ascii="Century Gothic" w:hAnsi="Century Gothic"/>
              </w:rPr>
            </w:pPr>
            <w:r w:rsidRPr="00FB2D7E">
              <w:rPr>
                <w:rFonts w:ascii="Century Gothic" w:hAnsi="Century Gothic"/>
              </w:rPr>
              <w:t>Up to 17</w:t>
            </w:r>
            <w:r w:rsidR="5477C97C" w:rsidRPr="00FB2D7E">
              <w:rPr>
                <w:rFonts w:ascii="Century Gothic" w:hAnsi="Century Gothic"/>
              </w:rPr>
              <w:t xml:space="preserve">7 </w:t>
            </w:r>
          </w:p>
          <w:p w14:paraId="6D1CFB32" w14:textId="6C62BB43" w:rsidR="001375DA" w:rsidRPr="00FB2D7E" w:rsidRDefault="5477C97C" w:rsidP="2C805A1A">
            <w:pPr>
              <w:jc w:val="center"/>
              <w:rPr>
                <w:rFonts w:ascii="Century Gothic" w:hAnsi="Century Gothic"/>
              </w:rPr>
            </w:pPr>
            <w:r w:rsidRPr="00FB2D7E">
              <w:rPr>
                <w:rFonts w:ascii="Century Gothic" w:hAnsi="Century Gothic"/>
              </w:rPr>
              <w:t>(</w:t>
            </w:r>
            <w:r w:rsidR="2F839CCB" w:rsidRPr="00FB2D7E">
              <w:rPr>
                <w:rFonts w:ascii="Century Gothic" w:hAnsi="Century Gothic"/>
              </w:rPr>
              <w:t xml:space="preserve">number </w:t>
            </w:r>
            <w:r w:rsidRPr="00FB2D7E">
              <w:rPr>
                <w:rFonts w:ascii="Century Gothic" w:hAnsi="Century Gothic"/>
              </w:rPr>
              <w:t>includ</w:t>
            </w:r>
            <w:r w:rsidR="487344FB" w:rsidRPr="00FB2D7E">
              <w:rPr>
                <w:rFonts w:ascii="Century Gothic" w:hAnsi="Century Gothic"/>
              </w:rPr>
              <w:t>e</w:t>
            </w:r>
            <w:r w:rsidR="1B428FD1" w:rsidRPr="00FB2D7E">
              <w:rPr>
                <w:rFonts w:ascii="Century Gothic" w:hAnsi="Century Gothic"/>
              </w:rPr>
              <w:t xml:space="preserve">s </w:t>
            </w:r>
            <w:r w:rsidRPr="00FB2D7E">
              <w:rPr>
                <w:rFonts w:ascii="Century Gothic" w:hAnsi="Century Gothic"/>
              </w:rPr>
              <w:t xml:space="preserve">60 units currently exempt and </w:t>
            </w:r>
            <w:r w:rsidRPr="00FB2D7E">
              <w:rPr>
                <w:rFonts w:ascii="Century Gothic" w:hAnsi="Century Gothic"/>
              </w:rPr>
              <w:lastRenderedPageBreak/>
              <w:t>16 currently market rate)</w:t>
            </w:r>
          </w:p>
        </w:tc>
        <w:tc>
          <w:tcPr>
            <w:tcW w:w="17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E97DDC" w14:textId="49E021C4" w:rsidR="2A137AEF" w:rsidRPr="00FB2D7E" w:rsidRDefault="45A11EF2" w:rsidP="2C805A1A">
            <w:pPr>
              <w:rPr>
                <w:rFonts w:ascii="Century Gothic" w:eastAsia="MS PGothic" w:hAnsi="Century Gothic"/>
              </w:rPr>
            </w:pPr>
            <w:r w:rsidRPr="00FB2D7E">
              <w:rPr>
                <w:rFonts w:ascii="Century Gothic" w:eastAsia="MS PGothic" w:hAnsi="Century Gothic"/>
              </w:rPr>
              <w:lastRenderedPageBreak/>
              <w:t>90</w:t>
            </w:r>
            <w:r w:rsidR="2A8A990E" w:rsidRPr="00FB2D7E">
              <w:rPr>
                <w:rFonts w:ascii="Century Gothic" w:eastAsia="MS PGothic" w:hAnsi="Century Gothic"/>
              </w:rPr>
              <w:t xml:space="preserve"> </w:t>
            </w:r>
          </w:p>
        </w:tc>
        <w:tc>
          <w:tcPr>
            <w:tcW w:w="14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DD95B1" w14:textId="77777777" w:rsidR="001375DA" w:rsidRPr="00FB2D7E" w:rsidRDefault="001375DA" w:rsidP="001375DA">
            <w:pPr>
              <w:rPr>
                <w:rFonts w:ascii="Century Gothic" w:hAnsi="Century Gothic"/>
                <w:szCs w:val="22"/>
              </w:rPr>
            </w:pPr>
            <w:r w:rsidRPr="00FB2D7E">
              <w:rPr>
                <w:rFonts w:ascii="Century Gothic" w:hAnsi="Century Gothic"/>
                <w:szCs w:val="22"/>
              </w:rPr>
              <w:t>Yes</w:t>
            </w:r>
          </w:p>
        </w:tc>
        <w:tc>
          <w:tcPr>
            <w:tcW w:w="20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C469C3" w14:textId="77777777" w:rsidR="001375DA" w:rsidRPr="00FB2D7E" w:rsidRDefault="001375DA" w:rsidP="001375DA">
            <w:pPr>
              <w:rPr>
                <w:rFonts w:ascii="Century Gothic" w:hAnsi="Century Gothic"/>
                <w:szCs w:val="22"/>
              </w:rPr>
            </w:pPr>
            <w:r w:rsidRPr="00FB2D7E">
              <w:rPr>
                <w:rFonts w:ascii="Century Gothic" w:hAnsi="Century Gothic"/>
                <w:szCs w:val="22"/>
              </w:rPr>
              <w:t>CARES Coordinator</w:t>
            </w:r>
          </w:p>
        </w:tc>
        <w:tc>
          <w:tcPr>
            <w:tcW w:w="211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601A3C19" w14:textId="5997F3ED" w:rsidR="001375DA" w:rsidRPr="00FB2D7E" w:rsidRDefault="1B4A8018" w:rsidP="1B4A8018">
            <w:pPr>
              <w:rPr>
                <w:rFonts w:ascii="Century Gothic" w:hAnsi="Century Gothic"/>
              </w:rPr>
            </w:pPr>
            <w:r w:rsidRPr="00FB2D7E">
              <w:rPr>
                <w:rFonts w:ascii="Century Gothic" w:hAnsi="Century Gothic"/>
              </w:rPr>
              <w:t>CED Managers &amp; Supervisors</w:t>
            </w:r>
          </w:p>
        </w:tc>
      </w:tr>
      <w:tr w:rsidR="001375DA" w:rsidRPr="00FB2D7E" w14:paraId="16F587BC" w14:textId="77777777" w:rsidTr="4168308A">
        <w:tc>
          <w:tcPr>
            <w:tcW w:w="173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092220B" w14:textId="77777777" w:rsidR="001375DA" w:rsidRPr="00FB2D7E" w:rsidRDefault="001375DA" w:rsidP="001375DA">
            <w:pPr>
              <w:rPr>
                <w:rFonts w:ascii="Century Gothic" w:hAnsi="Century Gothic"/>
                <w:szCs w:val="22"/>
              </w:rPr>
            </w:pPr>
            <w:r w:rsidRPr="00FB2D7E">
              <w:rPr>
                <w:rFonts w:ascii="Century Gothic" w:hAnsi="Century Gothic"/>
                <w:szCs w:val="22"/>
              </w:rPr>
              <w:t>Work-able families</w:t>
            </w:r>
          </w:p>
        </w:tc>
        <w:tc>
          <w:tcPr>
            <w:tcW w:w="17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30BDF7" w14:textId="77777777" w:rsidR="001375DA" w:rsidRPr="00FB2D7E" w:rsidRDefault="001375DA" w:rsidP="001375DA">
            <w:pPr>
              <w:jc w:val="center"/>
              <w:rPr>
                <w:rFonts w:ascii="Century Gothic" w:hAnsi="Century Gothic"/>
                <w:szCs w:val="22"/>
              </w:rPr>
            </w:pPr>
            <w:r w:rsidRPr="00FB2D7E">
              <w:rPr>
                <w:rFonts w:ascii="Century Gothic" w:hAnsi="Century Gothic"/>
                <w:szCs w:val="22"/>
              </w:rPr>
              <w:t>60</w:t>
            </w:r>
          </w:p>
          <w:p w14:paraId="45F46886" w14:textId="77777777" w:rsidR="001375DA" w:rsidRPr="00FB2D7E" w:rsidRDefault="001375DA" w:rsidP="001375DA">
            <w:pPr>
              <w:jc w:val="center"/>
              <w:rPr>
                <w:rFonts w:ascii="Century Gothic" w:hAnsi="Century Gothic"/>
                <w:szCs w:val="22"/>
              </w:rPr>
            </w:pPr>
          </w:p>
          <w:p w14:paraId="4C5AC012" w14:textId="77777777" w:rsidR="001375DA" w:rsidRPr="00FB2D7E" w:rsidRDefault="001375DA" w:rsidP="001375DA">
            <w:pPr>
              <w:jc w:val="center"/>
              <w:rPr>
                <w:rFonts w:ascii="Century Gothic" w:hAnsi="Century Gothic"/>
                <w:szCs w:val="22"/>
              </w:rPr>
            </w:pPr>
            <w:r w:rsidRPr="00FB2D7E">
              <w:rPr>
                <w:rFonts w:ascii="Century Gothic" w:hAnsi="Century Gothic"/>
                <w:szCs w:val="22"/>
              </w:rPr>
              <w:t>200</w:t>
            </w:r>
          </w:p>
        </w:tc>
        <w:tc>
          <w:tcPr>
            <w:tcW w:w="17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B06878" w14:textId="1BC6AE8B" w:rsidR="2A137AEF" w:rsidRPr="00FB2D7E" w:rsidRDefault="3062C683" w:rsidP="4FD73E00">
            <w:pPr>
              <w:jc w:val="both"/>
              <w:rPr>
                <w:rFonts w:ascii="Century Gothic" w:eastAsia="MS PGothic" w:hAnsi="Century Gothic"/>
              </w:rPr>
            </w:pPr>
            <w:r w:rsidRPr="00FB2D7E">
              <w:rPr>
                <w:rFonts w:ascii="Century Gothic" w:eastAsia="MS PGothic" w:hAnsi="Century Gothic"/>
              </w:rPr>
              <w:t>185</w:t>
            </w:r>
          </w:p>
        </w:tc>
        <w:tc>
          <w:tcPr>
            <w:tcW w:w="14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874688" w14:textId="0529B9BF" w:rsidR="001375DA" w:rsidRPr="00FB2D7E" w:rsidRDefault="74799D37" w:rsidP="2C805A1A">
            <w:pPr>
              <w:rPr>
                <w:rFonts w:ascii="Century Gothic" w:hAnsi="Century Gothic"/>
              </w:rPr>
            </w:pPr>
            <w:r w:rsidRPr="00FB2D7E">
              <w:rPr>
                <w:rFonts w:ascii="Century Gothic" w:hAnsi="Century Gothic"/>
              </w:rPr>
              <w:t>No</w:t>
            </w:r>
          </w:p>
          <w:p w14:paraId="70A9C0FF" w14:textId="77777777" w:rsidR="001375DA" w:rsidRPr="00FB2D7E" w:rsidRDefault="001375DA" w:rsidP="001375DA">
            <w:pPr>
              <w:rPr>
                <w:rFonts w:ascii="Century Gothic" w:hAnsi="Century Gothic"/>
                <w:szCs w:val="22"/>
              </w:rPr>
            </w:pPr>
          </w:p>
          <w:p w14:paraId="3B5DDE90" w14:textId="725C31D9" w:rsidR="001375DA" w:rsidRPr="00FB2D7E" w:rsidRDefault="74799D37" w:rsidP="2C805A1A">
            <w:pPr>
              <w:rPr>
                <w:rFonts w:ascii="Century Gothic" w:hAnsi="Century Gothic"/>
              </w:rPr>
            </w:pPr>
            <w:r w:rsidRPr="00FB2D7E">
              <w:rPr>
                <w:rFonts w:ascii="Century Gothic" w:hAnsi="Century Gothic"/>
              </w:rPr>
              <w:t>No</w:t>
            </w:r>
          </w:p>
        </w:tc>
        <w:tc>
          <w:tcPr>
            <w:tcW w:w="20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3011C2" w14:textId="77777777" w:rsidR="001375DA" w:rsidRPr="00FB2D7E" w:rsidRDefault="001375DA" w:rsidP="001375DA">
            <w:pPr>
              <w:rPr>
                <w:rFonts w:ascii="Century Gothic" w:hAnsi="Century Gothic"/>
                <w:szCs w:val="22"/>
              </w:rPr>
            </w:pPr>
            <w:r w:rsidRPr="00FB2D7E">
              <w:rPr>
                <w:rFonts w:ascii="Century Gothic" w:hAnsi="Century Gothic"/>
                <w:szCs w:val="22"/>
              </w:rPr>
              <w:t>Program Managers</w:t>
            </w:r>
          </w:p>
          <w:p w14:paraId="1E25F1FB" w14:textId="77777777" w:rsidR="001375DA" w:rsidRPr="00FB2D7E" w:rsidRDefault="001375DA" w:rsidP="001375DA">
            <w:pPr>
              <w:rPr>
                <w:rFonts w:ascii="Century Gothic" w:hAnsi="Century Gothic"/>
                <w:szCs w:val="22"/>
              </w:rPr>
            </w:pPr>
          </w:p>
          <w:p w14:paraId="30C0EDFF" w14:textId="77777777" w:rsidR="001375DA" w:rsidRPr="00FB2D7E" w:rsidRDefault="001375DA" w:rsidP="001375DA">
            <w:pPr>
              <w:rPr>
                <w:rFonts w:ascii="Century Gothic" w:hAnsi="Century Gothic"/>
                <w:szCs w:val="22"/>
              </w:rPr>
            </w:pPr>
            <w:r w:rsidRPr="00FB2D7E">
              <w:rPr>
                <w:rFonts w:ascii="Century Gothic" w:hAnsi="Century Gothic"/>
                <w:szCs w:val="22"/>
              </w:rPr>
              <w:t>FSS Coordinators</w:t>
            </w:r>
          </w:p>
        </w:tc>
        <w:tc>
          <w:tcPr>
            <w:tcW w:w="211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47711DF" w14:textId="06640410" w:rsidR="001375DA" w:rsidRPr="00FB2D7E" w:rsidRDefault="1B4A8018" w:rsidP="1B4A8018">
            <w:pPr>
              <w:rPr>
                <w:rFonts w:ascii="Century Gothic" w:hAnsi="Century Gothic"/>
              </w:rPr>
            </w:pPr>
            <w:r w:rsidRPr="00FB2D7E">
              <w:rPr>
                <w:rFonts w:ascii="Century Gothic" w:hAnsi="Century Gothic"/>
              </w:rPr>
              <w:t>FSS Coordinators, CED Managers &amp; Supervisors, RSCs</w:t>
            </w:r>
          </w:p>
        </w:tc>
      </w:tr>
      <w:tr w:rsidR="001375DA" w:rsidRPr="00FB2D7E" w14:paraId="609FB68A" w14:textId="77777777" w:rsidTr="4168308A">
        <w:tc>
          <w:tcPr>
            <w:tcW w:w="173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464E42D" w14:textId="77777777" w:rsidR="001375DA" w:rsidRPr="00553760" w:rsidRDefault="001375DA" w:rsidP="001375DA">
            <w:pPr>
              <w:rPr>
                <w:rFonts w:ascii="Century Gothic" w:hAnsi="Century Gothic"/>
                <w:szCs w:val="22"/>
              </w:rPr>
            </w:pPr>
            <w:r w:rsidRPr="00553760">
              <w:rPr>
                <w:rFonts w:ascii="Century Gothic" w:hAnsi="Century Gothic"/>
                <w:szCs w:val="22"/>
              </w:rPr>
              <w:t>Elderly/Disabled</w:t>
            </w:r>
          </w:p>
        </w:tc>
        <w:tc>
          <w:tcPr>
            <w:tcW w:w="17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928AFC" w14:textId="77777777" w:rsidR="001375DA" w:rsidRPr="00553760" w:rsidRDefault="6E18FC5E" w:rsidP="4566E4F4">
            <w:pPr>
              <w:jc w:val="center"/>
              <w:rPr>
                <w:rFonts w:ascii="Century Gothic" w:hAnsi="Century Gothic"/>
              </w:rPr>
            </w:pPr>
            <w:r w:rsidRPr="00553760">
              <w:rPr>
                <w:rFonts w:ascii="Century Gothic" w:hAnsi="Century Gothic"/>
              </w:rPr>
              <w:t>570</w:t>
            </w:r>
          </w:p>
        </w:tc>
        <w:tc>
          <w:tcPr>
            <w:tcW w:w="17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57EFB" w14:textId="3A992960" w:rsidR="2A137AEF" w:rsidRPr="00553760" w:rsidRDefault="798DBDE9" w:rsidP="2C805A1A">
            <w:pPr>
              <w:rPr>
                <w:rFonts w:ascii="Century Gothic" w:eastAsia="MS PGothic" w:hAnsi="Century Gothic"/>
              </w:rPr>
            </w:pPr>
            <w:r w:rsidRPr="00553760">
              <w:rPr>
                <w:rFonts w:ascii="Century Gothic" w:eastAsia="MS PGothic" w:hAnsi="Century Gothic"/>
              </w:rPr>
              <w:t xml:space="preserve"> </w:t>
            </w:r>
            <w:r w:rsidR="7CF758A0" w:rsidRPr="00553760">
              <w:rPr>
                <w:rFonts w:ascii="Century Gothic" w:eastAsia="MS PGothic" w:hAnsi="Century Gothic"/>
              </w:rPr>
              <w:t>765</w:t>
            </w:r>
          </w:p>
        </w:tc>
        <w:tc>
          <w:tcPr>
            <w:tcW w:w="14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EAA9F5" w14:textId="77777777" w:rsidR="001375DA" w:rsidRPr="00553760" w:rsidRDefault="001375DA" w:rsidP="001375DA">
            <w:pPr>
              <w:rPr>
                <w:rFonts w:ascii="Century Gothic" w:hAnsi="Century Gothic"/>
                <w:szCs w:val="22"/>
              </w:rPr>
            </w:pPr>
            <w:r w:rsidRPr="00553760">
              <w:rPr>
                <w:rFonts w:ascii="Century Gothic" w:hAnsi="Century Gothic"/>
                <w:szCs w:val="22"/>
              </w:rPr>
              <w:t>No</w:t>
            </w:r>
          </w:p>
        </w:tc>
        <w:tc>
          <w:tcPr>
            <w:tcW w:w="20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86EFA0" w14:textId="77777777" w:rsidR="001375DA" w:rsidRPr="00553760" w:rsidRDefault="001375DA" w:rsidP="001375DA">
            <w:pPr>
              <w:rPr>
                <w:rFonts w:ascii="Century Gothic" w:hAnsi="Century Gothic"/>
                <w:szCs w:val="22"/>
              </w:rPr>
            </w:pPr>
            <w:r w:rsidRPr="00553760">
              <w:rPr>
                <w:rFonts w:ascii="Century Gothic" w:hAnsi="Century Gothic"/>
                <w:szCs w:val="22"/>
              </w:rPr>
              <w:t>RS Coordinators</w:t>
            </w:r>
          </w:p>
        </w:tc>
        <w:tc>
          <w:tcPr>
            <w:tcW w:w="211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5A39BE0" w14:textId="0AD944B3" w:rsidR="001375DA" w:rsidRPr="00553760" w:rsidRDefault="1B4A8018" w:rsidP="1B4A8018">
            <w:pPr>
              <w:rPr>
                <w:rFonts w:ascii="Century Gothic" w:hAnsi="Century Gothic"/>
              </w:rPr>
            </w:pPr>
            <w:r w:rsidRPr="00553760">
              <w:rPr>
                <w:rFonts w:ascii="Century Gothic" w:hAnsi="Century Gothic"/>
              </w:rPr>
              <w:t>CED Managers &amp; Supervisors, FSS coordinators</w:t>
            </w:r>
          </w:p>
        </w:tc>
      </w:tr>
      <w:tr w:rsidR="001375DA" w:rsidRPr="00356BA9" w14:paraId="6658DFCA" w14:textId="77777777" w:rsidTr="4168308A">
        <w:tc>
          <w:tcPr>
            <w:tcW w:w="173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6A2AC7FD" w14:textId="77777777" w:rsidR="001375DA" w:rsidRPr="00356BA9" w:rsidRDefault="001375DA" w:rsidP="001375DA">
            <w:pPr>
              <w:rPr>
                <w:rFonts w:ascii="Century Gothic" w:hAnsi="Century Gothic"/>
                <w:b/>
                <w:szCs w:val="22"/>
              </w:rPr>
            </w:pPr>
            <w:r w:rsidRPr="00356BA9">
              <w:rPr>
                <w:rFonts w:ascii="Century Gothic" w:hAnsi="Century Gothic"/>
                <w:b/>
                <w:szCs w:val="22"/>
              </w:rPr>
              <w:t>TOTAL</w:t>
            </w:r>
          </w:p>
        </w:tc>
        <w:tc>
          <w:tcPr>
            <w:tcW w:w="17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0647186B" w14:textId="0D76A9C5" w:rsidR="001375DA" w:rsidRPr="00356BA9" w:rsidRDefault="001375DA" w:rsidP="001375DA">
            <w:pPr>
              <w:jc w:val="center"/>
              <w:rPr>
                <w:rFonts w:ascii="Century Gothic" w:hAnsi="Century Gothic"/>
                <w:b/>
                <w:szCs w:val="22"/>
              </w:rPr>
            </w:pPr>
            <w:r w:rsidRPr="00356BA9">
              <w:rPr>
                <w:rFonts w:ascii="Century Gothic" w:hAnsi="Century Gothic"/>
                <w:b/>
                <w:szCs w:val="22"/>
              </w:rPr>
              <w:t>115</w:t>
            </w:r>
            <w:r w:rsidR="000A086D" w:rsidRPr="00356BA9">
              <w:rPr>
                <w:rFonts w:ascii="Century Gothic" w:hAnsi="Century Gothic"/>
                <w:b/>
                <w:szCs w:val="22"/>
              </w:rPr>
              <w:t>8</w:t>
            </w:r>
          </w:p>
        </w:tc>
        <w:tc>
          <w:tcPr>
            <w:tcW w:w="17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270CA3FE" w14:textId="6C78EC4F" w:rsidR="4168308A" w:rsidRPr="00356BA9" w:rsidRDefault="4168308A" w:rsidP="4168308A">
            <w:pPr>
              <w:rPr>
                <w:rFonts w:ascii="Century Gothic" w:eastAsia="MS PGothic" w:hAnsi="Century Gothic"/>
                <w:b/>
                <w:bCs/>
              </w:rPr>
            </w:pPr>
          </w:p>
          <w:p w14:paraId="15E12007" w14:textId="383DC4A0" w:rsidR="2A137AEF" w:rsidRPr="00356BA9" w:rsidRDefault="643957C3" w:rsidP="2C805A1A">
            <w:pPr>
              <w:rPr>
                <w:rFonts w:ascii="Century Gothic" w:eastAsia="MS PGothic" w:hAnsi="Century Gothic"/>
                <w:b/>
                <w:bCs/>
              </w:rPr>
            </w:pPr>
            <w:r w:rsidRPr="00356BA9">
              <w:rPr>
                <w:rFonts w:ascii="Century Gothic" w:eastAsia="MS PGothic" w:hAnsi="Century Gothic"/>
                <w:b/>
                <w:bCs/>
              </w:rPr>
              <w:t xml:space="preserve"> </w:t>
            </w:r>
            <w:r w:rsidRPr="00B91BEE">
              <w:rPr>
                <w:rFonts w:ascii="Century Gothic" w:eastAsia="MS PGothic" w:hAnsi="Century Gothic"/>
                <w:b/>
                <w:bCs/>
              </w:rPr>
              <w:t xml:space="preserve"> </w:t>
            </w:r>
            <w:r w:rsidR="0376E72D" w:rsidRPr="00B91BEE">
              <w:rPr>
                <w:rFonts w:ascii="Century Gothic" w:eastAsia="MS PGothic" w:hAnsi="Century Gothic"/>
                <w:b/>
                <w:bCs/>
              </w:rPr>
              <w:t>1163</w:t>
            </w:r>
          </w:p>
        </w:tc>
        <w:tc>
          <w:tcPr>
            <w:tcW w:w="14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70807CBC" w14:textId="77777777" w:rsidR="001375DA" w:rsidRPr="00356BA9" w:rsidRDefault="001375DA" w:rsidP="001375DA">
            <w:pPr>
              <w:rPr>
                <w:rFonts w:ascii="Century Gothic" w:hAnsi="Century Gothic"/>
                <w:b/>
                <w:szCs w:val="22"/>
              </w:rPr>
            </w:pPr>
          </w:p>
        </w:tc>
        <w:tc>
          <w:tcPr>
            <w:tcW w:w="20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0C3E3D86" w14:textId="77777777" w:rsidR="001375DA" w:rsidRPr="00356BA9" w:rsidRDefault="001375DA" w:rsidP="001375DA">
            <w:pPr>
              <w:rPr>
                <w:rFonts w:ascii="Century Gothic" w:hAnsi="Century Gothic"/>
                <w:b/>
                <w:szCs w:val="22"/>
              </w:rPr>
            </w:pPr>
          </w:p>
        </w:tc>
        <w:tc>
          <w:tcPr>
            <w:tcW w:w="211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4ACAEFA8" w14:textId="77777777" w:rsidR="001375DA" w:rsidRPr="00356BA9" w:rsidRDefault="001375DA" w:rsidP="001375DA">
            <w:pPr>
              <w:rPr>
                <w:rFonts w:ascii="Century Gothic" w:hAnsi="Century Gothic"/>
                <w:b/>
                <w:szCs w:val="22"/>
              </w:rPr>
            </w:pPr>
          </w:p>
        </w:tc>
      </w:tr>
    </w:tbl>
    <w:p w14:paraId="7A8E2777" w14:textId="77777777" w:rsidR="001375DA" w:rsidRPr="00356BA9" w:rsidRDefault="001375DA" w:rsidP="001375DA">
      <w:pPr>
        <w:rPr>
          <w:rFonts w:ascii="Century Gothic" w:hAnsi="Century Gothic"/>
          <w:szCs w:val="22"/>
        </w:rPr>
      </w:pPr>
    </w:p>
    <w:p w14:paraId="3A8CED54" w14:textId="77777777" w:rsidR="001375DA" w:rsidRPr="00356BA9" w:rsidRDefault="001375DA" w:rsidP="655A2699">
      <w:pPr>
        <w:keepNext/>
        <w:keepLines/>
        <w:spacing w:before="120" w:after="80"/>
        <w:outlineLvl w:val="3"/>
        <w:rPr>
          <w:rFonts w:ascii="Century Gothic" w:eastAsiaTheme="majorEastAsia" w:hAnsi="Century Gothic"/>
          <w:b/>
          <w:bCs/>
          <w:color w:val="808080" w:themeColor="background1" w:themeShade="80"/>
        </w:rPr>
      </w:pPr>
      <w:r w:rsidRPr="00356BA9">
        <w:rPr>
          <w:rFonts w:ascii="Century Gothic" w:eastAsiaTheme="majorEastAsia" w:hAnsi="Century Gothic"/>
          <w:b/>
          <w:bCs/>
          <w:color w:val="808080" w:themeColor="background1" w:themeShade="80"/>
        </w:rPr>
        <w:t>Impact</w:t>
      </w:r>
    </w:p>
    <w:p w14:paraId="70D518C0" w14:textId="1BAB0244" w:rsidR="6B3FDE59" w:rsidRPr="00356BA9" w:rsidRDefault="776ACC71" w:rsidP="0E6C54AB">
      <w:pPr>
        <w:rPr>
          <w:rFonts w:ascii="Century Gothic" w:eastAsia="Times New Roman" w:hAnsi="Century Gothic"/>
        </w:rPr>
      </w:pPr>
      <w:r w:rsidRPr="00356BA9">
        <w:rPr>
          <w:rFonts w:ascii="Century Gothic" w:eastAsia="Times New Roman" w:hAnsi="Century Gothic"/>
        </w:rPr>
        <w:t xml:space="preserve">This initiative is expected to increase the self-sufficiency of residents through employment, specialized training, higher education and increased earnings and savings. </w:t>
      </w:r>
    </w:p>
    <w:p w14:paraId="3919F9C0" w14:textId="41B7F4F5" w:rsidR="6B3FDE59" w:rsidRPr="00356BA9" w:rsidRDefault="6B3FDE59" w:rsidP="0E6C54AB">
      <w:pPr>
        <w:rPr>
          <w:rFonts w:ascii="Century Gothic" w:eastAsia="Times New Roman" w:hAnsi="Century Gothic"/>
        </w:rPr>
      </w:pPr>
    </w:p>
    <w:p w14:paraId="5330033A" w14:textId="66409F76" w:rsidR="00F409F9" w:rsidRPr="00356BA9" w:rsidRDefault="358C2DCB" w:rsidP="0E6C54AB">
      <w:pPr>
        <w:rPr>
          <w:rFonts w:ascii="Century Gothic" w:hAnsi="Century Gothic"/>
        </w:rPr>
      </w:pPr>
      <w:r w:rsidRPr="00356BA9">
        <w:rPr>
          <w:rFonts w:ascii="Century Gothic" w:hAnsi="Century Gothic"/>
        </w:rPr>
        <w:t>At baseline ECC/HANH’s FSS program was serving approximately 450 families and has grown to 11</w:t>
      </w:r>
      <w:r w:rsidR="06A031DA" w:rsidRPr="00356BA9">
        <w:rPr>
          <w:rFonts w:ascii="Century Gothic" w:hAnsi="Century Gothic"/>
        </w:rPr>
        <w:t>63</w:t>
      </w:r>
      <w:r w:rsidR="003F1938" w:rsidRPr="00356BA9">
        <w:rPr>
          <w:rFonts w:ascii="Century Gothic" w:hAnsi="Century Gothic"/>
        </w:rPr>
        <w:t xml:space="preserve">, a </w:t>
      </w:r>
      <w:r w:rsidR="58AEC673" w:rsidRPr="00356BA9">
        <w:rPr>
          <w:rFonts w:ascii="Century Gothic" w:hAnsi="Century Gothic"/>
        </w:rPr>
        <w:t xml:space="preserve">158% increase since baseline. </w:t>
      </w:r>
      <w:r w:rsidR="2B427D59" w:rsidRPr="00356BA9">
        <w:rPr>
          <w:rFonts w:ascii="Century Gothic" w:hAnsi="Century Gothic"/>
        </w:rPr>
        <w:t xml:space="preserve"> </w:t>
      </w:r>
      <w:r w:rsidR="474680D3" w:rsidRPr="00356BA9">
        <w:rPr>
          <w:rFonts w:ascii="Century Gothic" w:hAnsi="Century Gothic"/>
        </w:rPr>
        <w:t xml:space="preserve"> </w:t>
      </w:r>
      <w:r w:rsidR="71DB389C" w:rsidRPr="00356BA9">
        <w:rPr>
          <w:rFonts w:ascii="Century Gothic" w:hAnsi="Century Gothic"/>
        </w:rPr>
        <w:t xml:space="preserve"> </w:t>
      </w:r>
    </w:p>
    <w:p w14:paraId="54FE5DF3" w14:textId="77777777" w:rsidR="005A03BA" w:rsidRPr="00356BA9" w:rsidRDefault="005A03BA" w:rsidP="0E6C54AB">
      <w:pPr>
        <w:rPr>
          <w:rFonts w:ascii="Century Gothic" w:hAnsi="Century Gothic"/>
        </w:rPr>
      </w:pPr>
    </w:p>
    <w:p w14:paraId="26266114" w14:textId="21DD0A3B" w:rsidR="6B3FDE59" w:rsidRPr="00356BA9" w:rsidRDefault="4E3F0C55" w:rsidP="0E6C54AB">
      <w:pPr>
        <w:rPr>
          <w:rFonts w:ascii="Century Gothic" w:eastAsia="Times New Roman" w:hAnsi="Century Gothic"/>
        </w:rPr>
      </w:pPr>
      <w:r w:rsidRPr="00356BA9">
        <w:rPr>
          <w:rFonts w:ascii="Century Gothic" w:hAnsi="Century Gothic"/>
        </w:rPr>
        <w:t>In FY</w:t>
      </w:r>
      <w:r w:rsidR="3A1437B7" w:rsidRPr="00356BA9">
        <w:rPr>
          <w:rFonts w:ascii="Century Gothic" w:hAnsi="Century Gothic"/>
        </w:rPr>
        <w:t>20</w:t>
      </w:r>
      <w:r w:rsidRPr="00356BA9">
        <w:rPr>
          <w:rFonts w:ascii="Century Gothic" w:hAnsi="Century Gothic"/>
        </w:rPr>
        <w:t>2</w:t>
      </w:r>
      <w:r w:rsidR="67906593" w:rsidRPr="00356BA9">
        <w:rPr>
          <w:rFonts w:ascii="Century Gothic" w:hAnsi="Century Gothic"/>
        </w:rPr>
        <w:t>3</w:t>
      </w:r>
      <w:r w:rsidRPr="00356BA9">
        <w:rPr>
          <w:rFonts w:ascii="Century Gothic" w:hAnsi="Century Gothic"/>
        </w:rPr>
        <w:t xml:space="preserve">, ECC/HANH served </w:t>
      </w:r>
      <w:r w:rsidR="32465158" w:rsidRPr="00356BA9">
        <w:rPr>
          <w:rFonts w:ascii="Century Gothic" w:hAnsi="Century Gothic"/>
        </w:rPr>
        <w:t xml:space="preserve">1127 </w:t>
      </w:r>
      <w:r w:rsidRPr="00356BA9">
        <w:rPr>
          <w:rFonts w:ascii="Century Gothic" w:hAnsi="Century Gothic"/>
        </w:rPr>
        <w:t xml:space="preserve">families. </w:t>
      </w:r>
      <w:r w:rsidR="358C2DCB" w:rsidRPr="00356BA9">
        <w:rPr>
          <w:rFonts w:ascii="Century Gothic" w:hAnsi="Century Gothic"/>
        </w:rPr>
        <w:t xml:space="preserve"> </w:t>
      </w:r>
      <w:r w:rsidR="127AE9F8" w:rsidRPr="00356BA9">
        <w:rPr>
          <w:rFonts w:ascii="Century Gothic" w:eastAsia="Times New Roman" w:hAnsi="Century Gothic"/>
        </w:rPr>
        <w:t>In FY202</w:t>
      </w:r>
      <w:r w:rsidR="79C23227" w:rsidRPr="00356BA9">
        <w:rPr>
          <w:rFonts w:ascii="Century Gothic" w:eastAsia="Times New Roman" w:hAnsi="Century Gothic"/>
        </w:rPr>
        <w:t>4</w:t>
      </w:r>
      <w:r w:rsidR="127AE9F8" w:rsidRPr="00356BA9">
        <w:rPr>
          <w:rFonts w:ascii="Century Gothic" w:eastAsia="Times New Roman" w:hAnsi="Century Gothic"/>
        </w:rPr>
        <w:t>,</w:t>
      </w:r>
      <w:r w:rsidR="0796471B" w:rsidRPr="00356BA9">
        <w:rPr>
          <w:rFonts w:ascii="Century Gothic" w:eastAsia="Times New Roman" w:hAnsi="Century Gothic"/>
        </w:rPr>
        <w:t xml:space="preserve"> there </w:t>
      </w:r>
      <w:r w:rsidR="00987977" w:rsidRPr="00356BA9">
        <w:rPr>
          <w:rFonts w:ascii="Century Gothic" w:eastAsia="Times New Roman" w:hAnsi="Century Gothic"/>
        </w:rPr>
        <w:t>was</w:t>
      </w:r>
      <w:r w:rsidR="0796471B" w:rsidRPr="00356BA9">
        <w:rPr>
          <w:rFonts w:ascii="Century Gothic" w:eastAsia="Times New Roman" w:hAnsi="Century Gothic"/>
        </w:rPr>
        <w:t xml:space="preserve"> a</w:t>
      </w:r>
      <w:r w:rsidR="655185B8" w:rsidRPr="00356BA9">
        <w:rPr>
          <w:rFonts w:ascii="Century Gothic" w:eastAsia="Times New Roman" w:hAnsi="Century Gothic"/>
        </w:rPr>
        <w:t xml:space="preserve"> </w:t>
      </w:r>
      <w:r w:rsidR="0796471B" w:rsidRPr="00356BA9">
        <w:rPr>
          <w:rFonts w:ascii="Century Gothic" w:eastAsia="Times New Roman" w:hAnsi="Century Gothic"/>
        </w:rPr>
        <w:t>4%</w:t>
      </w:r>
      <w:r w:rsidR="127AE9F8" w:rsidRPr="00356BA9">
        <w:rPr>
          <w:rFonts w:ascii="Century Gothic" w:eastAsia="Times New Roman" w:hAnsi="Century Gothic"/>
        </w:rPr>
        <w:t xml:space="preserve"> increase in participation from FY202</w:t>
      </w:r>
      <w:r w:rsidR="73CCE5FE" w:rsidRPr="00356BA9">
        <w:rPr>
          <w:rFonts w:ascii="Century Gothic" w:eastAsia="Times New Roman" w:hAnsi="Century Gothic"/>
        </w:rPr>
        <w:t>3</w:t>
      </w:r>
      <w:r w:rsidR="127AE9F8" w:rsidRPr="00356BA9">
        <w:rPr>
          <w:rFonts w:ascii="Century Gothic" w:eastAsia="Times New Roman" w:hAnsi="Century Gothic"/>
        </w:rPr>
        <w:t xml:space="preserve">.  </w:t>
      </w:r>
    </w:p>
    <w:p w14:paraId="5F09507B" w14:textId="77777777" w:rsidR="00310654" w:rsidRPr="00356BA9" w:rsidRDefault="00310654" w:rsidP="0E6C54AB">
      <w:pPr>
        <w:rPr>
          <w:rFonts w:ascii="Century Gothic" w:eastAsia="Times New Roman" w:hAnsi="Century Gothic"/>
        </w:rPr>
      </w:pPr>
    </w:p>
    <w:p w14:paraId="68AF90B3" w14:textId="77777777" w:rsidR="008710BA" w:rsidRPr="00C35EA7" w:rsidRDefault="4F9B4E4B" w:rsidP="0E6C54AB">
      <w:pPr>
        <w:spacing w:after="160" w:line="276" w:lineRule="auto"/>
        <w:rPr>
          <w:rFonts w:ascii="Century Gothic" w:eastAsia="MS PGothic" w:hAnsi="Century Gothic"/>
        </w:rPr>
      </w:pPr>
      <w:r w:rsidRPr="00356BA9">
        <w:rPr>
          <w:rFonts w:ascii="Century Gothic" w:eastAsia="MS PGothic" w:hAnsi="Century Gothic"/>
        </w:rPr>
        <w:t>Families participating in several of the MTW FSS such as CARES and HUD FSS have demonstrated growth in annual family income and have exceeded the New Haven AMI of $</w:t>
      </w:r>
      <w:r w:rsidR="0CCCA781" w:rsidRPr="00356BA9">
        <w:rPr>
          <w:rFonts w:ascii="Century Gothic" w:eastAsia="MS PGothic" w:hAnsi="Century Gothic"/>
        </w:rPr>
        <w:t xml:space="preserve"> </w:t>
      </w:r>
      <w:r w:rsidR="62611F25" w:rsidRPr="00356BA9">
        <w:rPr>
          <w:rFonts w:ascii="Century Gothic" w:eastAsia="MS PGothic" w:hAnsi="Century Gothic"/>
        </w:rPr>
        <w:t>54,305</w:t>
      </w:r>
      <w:r w:rsidRPr="00356BA9">
        <w:rPr>
          <w:rFonts w:ascii="Century Gothic" w:eastAsia="MS PGothic" w:hAnsi="Century Gothic"/>
        </w:rPr>
        <w:t>.</w:t>
      </w:r>
      <w:r w:rsidRPr="00C35EA7">
        <w:rPr>
          <w:rFonts w:ascii="Century Gothic" w:eastAsia="MS PGothic" w:hAnsi="Century Gothic"/>
        </w:rPr>
        <w:t xml:space="preserve"> </w:t>
      </w:r>
    </w:p>
    <w:p w14:paraId="45598352" w14:textId="6B76F64A" w:rsidR="6B3FDE59" w:rsidRPr="00C35EA7" w:rsidRDefault="008710BA" w:rsidP="0E6C54AB">
      <w:pPr>
        <w:spacing w:after="160" w:line="276" w:lineRule="auto"/>
        <w:rPr>
          <w:rFonts w:ascii="Century Gothic" w:eastAsia="MS PGothic" w:hAnsi="Century Gothic"/>
        </w:rPr>
      </w:pPr>
      <w:r w:rsidRPr="00C35EA7">
        <w:rPr>
          <w:rFonts w:ascii="Century Gothic" w:eastAsia="MS PGothic" w:hAnsi="Century Gothic"/>
        </w:rPr>
        <w:t>ECC/HANH</w:t>
      </w:r>
      <w:r w:rsidR="4F9B4E4B" w:rsidRPr="00C35EA7">
        <w:rPr>
          <w:rFonts w:ascii="Century Gothic" w:eastAsia="MS PGothic" w:hAnsi="Century Gothic"/>
        </w:rPr>
        <w:t xml:space="preserve"> continue</w:t>
      </w:r>
      <w:r w:rsidRPr="00C35EA7">
        <w:rPr>
          <w:rFonts w:ascii="Century Gothic" w:eastAsia="MS PGothic" w:hAnsi="Century Gothic"/>
        </w:rPr>
        <w:t>s</w:t>
      </w:r>
      <w:r w:rsidR="4F9B4E4B" w:rsidRPr="00C35EA7">
        <w:rPr>
          <w:rFonts w:ascii="Century Gothic" w:eastAsia="MS PGothic" w:hAnsi="Century Gothic"/>
        </w:rPr>
        <w:t xml:space="preserve"> to show growth in the employment status of our families with more families in full time, rather than </w:t>
      </w:r>
      <w:proofErr w:type="gramStart"/>
      <w:r w:rsidR="4F9B4E4B" w:rsidRPr="00C35EA7">
        <w:rPr>
          <w:rFonts w:ascii="Century Gothic" w:eastAsia="MS PGothic" w:hAnsi="Century Gothic"/>
        </w:rPr>
        <w:t>part time</w:t>
      </w:r>
      <w:proofErr w:type="gramEnd"/>
      <w:r w:rsidR="4F9B4E4B" w:rsidRPr="00C35EA7">
        <w:rPr>
          <w:rFonts w:ascii="Century Gothic" w:eastAsia="MS PGothic" w:hAnsi="Century Gothic"/>
        </w:rPr>
        <w:t xml:space="preserve"> employment as well as increased credit scores and personal savings.  Enrollment in education and training programs remains strong. </w:t>
      </w:r>
    </w:p>
    <w:p w14:paraId="35A99DDE" w14:textId="7F479F7F" w:rsidR="00E5560E" w:rsidRPr="00C35EA7" w:rsidRDefault="4F9B4E4B" w:rsidP="0189D8D6">
      <w:pPr>
        <w:rPr>
          <w:rFonts w:ascii="Century Gothic" w:hAnsi="Century Gothic"/>
        </w:rPr>
      </w:pPr>
      <w:r w:rsidRPr="00C35EA7">
        <w:rPr>
          <w:rFonts w:ascii="Century Gothic" w:hAnsi="Century Gothic"/>
        </w:rPr>
        <w:t xml:space="preserve">At baseline, of the </w:t>
      </w:r>
      <w:r w:rsidR="59C7277F" w:rsidRPr="00C35EA7">
        <w:rPr>
          <w:rFonts w:ascii="Century Gothic" w:hAnsi="Century Gothic"/>
        </w:rPr>
        <w:t>“</w:t>
      </w:r>
      <w:r w:rsidRPr="00C35EA7">
        <w:rPr>
          <w:rFonts w:ascii="Century Gothic" w:hAnsi="Century Gothic"/>
        </w:rPr>
        <w:t>workable families</w:t>
      </w:r>
      <w:r w:rsidR="4DF1124A" w:rsidRPr="00C35EA7">
        <w:rPr>
          <w:rFonts w:ascii="Century Gothic" w:hAnsi="Century Gothic"/>
        </w:rPr>
        <w:t>”</w:t>
      </w:r>
      <w:r w:rsidRPr="00C35EA7">
        <w:rPr>
          <w:rFonts w:ascii="Century Gothic" w:hAnsi="Century Gothic"/>
        </w:rPr>
        <w:t xml:space="preserve">, </w:t>
      </w:r>
      <w:r w:rsidR="41D6B6DB" w:rsidRPr="00C35EA7">
        <w:rPr>
          <w:rFonts w:ascii="Century Gothic" w:hAnsi="Century Gothic"/>
        </w:rPr>
        <w:t>50%</w:t>
      </w:r>
      <w:r w:rsidRPr="00C35EA7">
        <w:rPr>
          <w:rFonts w:ascii="Century Gothic" w:hAnsi="Century Gothic"/>
        </w:rPr>
        <w:t xml:space="preserve"> of the families were employed and </w:t>
      </w:r>
      <w:r w:rsidR="205462E4" w:rsidRPr="00C35EA7">
        <w:rPr>
          <w:rFonts w:ascii="Century Gothic" w:hAnsi="Century Gothic"/>
        </w:rPr>
        <w:t xml:space="preserve">50% </w:t>
      </w:r>
      <w:r w:rsidRPr="00C35EA7">
        <w:rPr>
          <w:rFonts w:ascii="Century Gothic" w:hAnsi="Century Gothic"/>
        </w:rPr>
        <w:t xml:space="preserve">were unemployed.  </w:t>
      </w:r>
      <w:r w:rsidR="0FE2C481" w:rsidRPr="00C35EA7">
        <w:rPr>
          <w:rFonts w:ascii="Century Gothic" w:hAnsi="Century Gothic"/>
        </w:rPr>
        <w:t xml:space="preserve">In FY24, </w:t>
      </w:r>
      <w:r w:rsidR="2B8A5FE5" w:rsidRPr="00C35EA7">
        <w:rPr>
          <w:rFonts w:ascii="Century Gothic" w:hAnsi="Century Gothic"/>
        </w:rPr>
        <w:t>66% of the workable families were employed, a 16% increase</w:t>
      </w:r>
      <w:r w:rsidR="00E5560E" w:rsidRPr="00C35EA7">
        <w:rPr>
          <w:rFonts w:ascii="Century Gothic" w:hAnsi="Century Gothic"/>
        </w:rPr>
        <w:t xml:space="preserve"> above baseline</w:t>
      </w:r>
      <w:r w:rsidR="2B8A5FE5" w:rsidRPr="00C35EA7">
        <w:rPr>
          <w:rFonts w:ascii="Century Gothic" w:hAnsi="Century Gothic"/>
        </w:rPr>
        <w:t xml:space="preserve">. </w:t>
      </w:r>
      <w:r w:rsidR="181DA644" w:rsidRPr="00C35EA7">
        <w:rPr>
          <w:rFonts w:ascii="Century Gothic" w:hAnsi="Century Gothic"/>
        </w:rPr>
        <w:t xml:space="preserve"> </w:t>
      </w:r>
    </w:p>
    <w:p w14:paraId="607CCCDE" w14:textId="77777777" w:rsidR="00E5560E" w:rsidRPr="00C35EA7" w:rsidRDefault="00E5560E" w:rsidP="0189D8D6">
      <w:pPr>
        <w:rPr>
          <w:rFonts w:ascii="Century Gothic" w:hAnsi="Century Gothic"/>
        </w:rPr>
      </w:pPr>
    </w:p>
    <w:p w14:paraId="065BAAF2" w14:textId="153472BD" w:rsidR="6B3FDE59" w:rsidRPr="00C35EA7" w:rsidRDefault="4F9B4E4B" w:rsidP="0189D8D6">
      <w:pPr>
        <w:rPr>
          <w:rFonts w:ascii="Century Gothic" w:eastAsia="Lato" w:hAnsi="Century Gothic" w:cs="Lato"/>
          <w:color w:val="444444"/>
          <w:sz w:val="24"/>
        </w:rPr>
      </w:pPr>
      <w:r w:rsidRPr="00C35EA7">
        <w:rPr>
          <w:rFonts w:ascii="Century Gothic" w:hAnsi="Century Gothic"/>
        </w:rPr>
        <w:t xml:space="preserve">As the </w:t>
      </w:r>
      <w:r w:rsidR="14165D98" w:rsidRPr="00C35EA7">
        <w:rPr>
          <w:rFonts w:ascii="Century Gothic" w:hAnsi="Century Gothic"/>
        </w:rPr>
        <w:t xml:space="preserve">FSS </w:t>
      </w:r>
      <w:r w:rsidRPr="00C35EA7">
        <w:rPr>
          <w:rFonts w:ascii="Century Gothic" w:hAnsi="Century Gothic"/>
        </w:rPr>
        <w:t xml:space="preserve">program has grown, we have specifically </w:t>
      </w:r>
      <w:r w:rsidR="00E5560E" w:rsidRPr="00C35EA7">
        <w:rPr>
          <w:rFonts w:ascii="Century Gothic" w:hAnsi="Century Gothic"/>
        </w:rPr>
        <w:t xml:space="preserve">worked with </w:t>
      </w:r>
      <w:r w:rsidRPr="00C35EA7">
        <w:rPr>
          <w:rFonts w:ascii="Century Gothic" w:hAnsi="Century Gothic"/>
        </w:rPr>
        <w:t xml:space="preserve">unemployed families with a goal of </w:t>
      </w:r>
      <w:r w:rsidR="00EA35DD" w:rsidRPr="00C35EA7">
        <w:rPr>
          <w:rFonts w:ascii="Century Gothic" w:hAnsi="Century Gothic"/>
        </w:rPr>
        <w:t xml:space="preserve">helping </w:t>
      </w:r>
      <w:r w:rsidRPr="00C35EA7">
        <w:rPr>
          <w:rFonts w:ascii="Century Gothic" w:hAnsi="Century Gothic"/>
        </w:rPr>
        <w:t xml:space="preserve">them </w:t>
      </w:r>
      <w:r w:rsidR="00EA35DD" w:rsidRPr="00C35EA7">
        <w:rPr>
          <w:rFonts w:ascii="Century Gothic" w:hAnsi="Century Gothic"/>
        </w:rPr>
        <w:t xml:space="preserve">get </w:t>
      </w:r>
      <w:r w:rsidRPr="00C35EA7">
        <w:rPr>
          <w:rFonts w:ascii="Century Gothic" w:hAnsi="Century Gothic"/>
        </w:rPr>
        <w:t xml:space="preserve">employment. The </w:t>
      </w:r>
      <w:r w:rsidR="0095EF03" w:rsidRPr="00C35EA7">
        <w:rPr>
          <w:rFonts w:ascii="Century Gothic" w:hAnsi="Century Gothic"/>
        </w:rPr>
        <w:t>number of</w:t>
      </w:r>
      <w:r w:rsidRPr="00C35EA7">
        <w:rPr>
          <w:rFonts w:ascii="Century Gothic" w:hAnsi="Century Gothic"/>
        </w:rPr>
        <w:t xml:space="preserve"> unemployed families has decreased significantly from baseline and from the past two </w:t>
      </w:r>
      <w:proofErr w:type="gramStart"/>
      <w:r w:rsidRPr="00C35EA7">
        <w:rPr>
          <w:rFonts w:ascii="Century Gothic" w:hAnsi="Century Gothic"/>
        </w:rPr>
        <w:t>years</w:t>
      </w:r>
      <w:proofErr w:type="gramEnd"/>
      <w:r w:rsidRPr="00C35EA7">
        <w:rPr>
          <w:rFonts w:ascii="Century Gothic" w:hAnsi="Century Gothic"/>
        </w:rPr>
        <w:t xml:space="preserve"> which represents some recovery from the surge in unemployment during the pandemic impacted years</w:t>
      </w:r>
      <w:r w:rsidR="00517068" w:rsidRPr="00C35EA7">
        <w:rPr>
          <w:rFonts w:ascii="Century Gothic" w:hAnsi="Century Gothic"/>
        </w:rPr>
        <w:t>.</w:t>
      </w:r>
    </w:p>
    <w:p w14:paraId="2596AD12" w14:textId="2E2EDAD2" w:rsidR="6B3FDE59" w:rsidRPr="00C35EA7" w:rsidRDefault="6B3FDE59" w:rsidP="0E6C54AB">
      <w:pPr>
        <w:rPr>
          <w:rFonts w:ascii="Century Gothic" w:eastAsia="Times New Roman" w:hAnsi="Century Gothic"/>
        </w:rPr>
      </w:pPr>
    </w:p>
    <w:p w14:paraId="29C1615C" w14:textId="6996A0C6" w:rsidR="00517068" w:rsidRPr="00C35EA7" w:rsidRDefault="74F6C49A" w:rsidP="2C805A1A">
      <w:pPr>
        <w:rPr>
          <w:rFonts w:ascii="Century Gothic" w:eastAsia="Times New Roman" w:hAnsi="Century Gothic"/>
        </w:rPr>
      </w:pPr>
      <w:r w:rsidRPr="00C35EA7">
        <w:rPr>
          <w:rFonts w:ascii="Century Gothic" w:eastAsia="Times New Roman" w:hAnsi="Century Gothic"/>
        </w:rPr>
        <w:t>In FY202</w:t>
      </w:r>
      <w:r w:rsidR="37C907F5" w:rsidRPr="00C35EA7">
        <w:rPr>
          <w:rFonts w:ascii="Century Gothic" w:eastAsia="Times New Roman" w:hAnsi="Century Gothic"/>
        </w:rPr>
        <w:t>4</w:t>
      </w:r>
      <w:r w:rsidRPr="00C35EA7">
        <w:rPr>
          <w:rFonts w:ascii="Century Gothic" w:eastAsia="Times New Roman" w:hAnsi="Century Gothic"/>
        </w:rPr>
        <w:t xml:space="preserve">, ECC/HANH </w:t>
      </w:r>
      <w:r w:rsidR="1CA4F925" w:rsidRPr="00C35EA7">
        <w:rPr>
          <w:rFonts w:ascii="Century Gothic" w:eastAsia="Times New Roman" w:hAnsi="Century Gothic"/>
        </w:rPr>
        <w:t>continued</w:t>
      </w:r>
      <w:r w:rsidRPr="00C35EA7">
        <w:rPr>
          <w:rFonts w:ascii="Century Gothic" w:eastAsia="Times New Roman" w:hAnsi="Century Gothic"/>
        </w:rPr>
        <w:t xml:space="preserve"> offering program</w:t>
      </w:r>
      <w:r w:rsidR="37307377" w:rsidRPr="00C35EA7">
        <w:rPr>
          <w:rFonts w:ascii="Century Gothic" w:eastAsia="Times New Roman" w:hAnsi="Century Gothic"/>
        </w:rPr>
        <w:t xml:space="preserve">s </w:t>
      </w:r>
      <w:r w:rsidR="6BCB9B4A" w:rsidRPr="00C35EA7">
        <w:rPr>
          <w:rFonts w:ascii="Century Gothic" w:eastAsia="Times New Roman" w:hAnsi="Century Gothic"/>
        </w:rPr>
        <w:t xml:space="preserve">that </w:t>
      </w:r>
      <w:r w:rsidR="75C0FE61" w:rsidRPr="00C35EA7">
        <w:rPr>
          <w:rFonts w:ascii="Century Gothic" w:eastAsia="Times New Roman" w:hAnsi="Century Gothic"/>
        </w:rPr>
        <w:t>included</w:t>
      </w:r>
      <w:r w:rsidR="05AB94DB" w:rsidRPr="00C35EA7">
        <w:rPr>
          <w:rFonts w:ascii="Century Gothic" w:eastAsia="Times New Roman" w:hAnsi="Century Gothic"/>
        </w:rPr>
        <w:t xml:space="preserve"> </w:t>
      </w:r>
      <w:r w:rsidRPr="00C35EA7">
        <w:rPr>
          <w:rFonts w:ascii="Century Gothic" w:eastAsia="Times New Roman" w:hAnsi="Century Gothic"/>
        </w:rPr>
        <w:t>empow</w:t>
      </w:r>
      <w:r w:rsidR="2D8CDF0E" w:rsidRPr="00C35EA7">
        <w:rPr>
          <w:rFonts w:ascii="Century Gothic" w:eastAsia="Times New Roman" w:hAnsi="Century Gothic"/>
        </w:rPr>
        <w:t>erment</w:t>
      </w:r>
      <w:r w:rsidR="0A07AC4D" w:rsidRPr="00C35EA7">
        <w:rPr>
          <w:rFonts w:ascii="Century Gothic" w:eastAsia="Times New Roman" w:hAnsi="Century Gothic"/>
        </w:rPr>
        <w:t xml:space="preserve"> seminars</w:t>
      </w:r>
      <w:r w:rsidR="2D8CDF0E" w:rsidRPr="00C35EA7">
        <w:rPr>
          <w:rFonts w:ascii="Century Gothic" w:eastAsia="Times New Roman" w:hAnsi="Century Gothic"/>
        </w:rPr>
        <w:t>, childcare, financial literacy and mental health</w:t>
      </w:r>
      <w:r w:rsidR="57E31A80" w:rsidRPr="00C35EA7">
        <w:rPr>
          <w:rFonts w:ascii="Century Gothic" w:eastAsia="Times New Roman" w:hAnsi="Century Gothic"/>
        </w:rPr>
        <w:t xml:space="preserve"> </w:t>
      </w:r>
      <w:r w:rsidR="00F14D3E" w:rsidRPr="00C35EA7">
        <w:rPr>
          <w:rFonts w:ascii="Century Gothic" w:eastAsia="Times New Roman" w:hAnsi="Century Gothic"/>
        </w:rPr>
        <w:t xml:space="preserve">services </w:t>
      </w:r>
      <w:r w:rsidR="57E31A80" w:rsidRPr="00C35EA7">
        <w:rPr>
          <w:rFonts w:ascii="Century Gothic" w:eastAsia="Times New Roman" w:hAnsi="Century Gothic"/>
        </w:rPr>
        <w:t>as well as</w:t>
      </w:r>
      <w:r w:rsidR="00799399" w:rsidRPr="00C35EA7">
        <w:rPr>
          <w:rFonts w:ascii="Century Gothic" w:eastAsia="Times New Roman" w:hAnsi="Century Gothic"/>
        </w:rPr>
        <w:t xml:space="preserve"> </w:t>
      </w:r>
      <w:r w:rsidR="2D8CDF0E" w:rsidRPr="00C35EA7">
        <w:rPr>
          <w:rFonts w:ascii="Century Gothic" w:eastAsia="Times New Roman" w:hAnsi="Century Gothic"/>
        </w:rPr>
        <w:t>promot</w:t>
      </w:r>
      <w:r w:rsidR="4FE4ECA6" w:rsidRPr="00C35EA7">
        <w:rPr>
          <w:rFonts w:ascii="Century Gothic" w:eastAsia="Times New Roman" w:hAnsi="Century Gothic"/>
        </w:rPr>
        <w:t>ing</w:t>
      </w:r>
      <w:r w:rsidR="2D8CDF0E" w:rsidRPr="00C35EA7">
        <w:rPr>
          <w:rFonts w:ascii="Century Gothic" w:eastAsia="Times New Roman" w:hAnsi="Century Gothic"/>
        </w:rPr>
        <w:t xml:space="preserve"> class</w:t>
      </w:r>
      <w:r w:rsidR="690E0CC1" w:rsidRPr="00C35EA7">
        <w:rPr>
          <w:rFonts w:ascii="Century Gothic" w:eastAsia="Times New Roman" w:hAnsi="Century Gothic"/>
        </w:rPr>
        <w:t>es</w:t>
      </w:r>
      <w:r w:rsidR="2D8CDF0E" w:rsidRPr="00C35EA7">
        <w:rPr>
          <w:rFonts w:ascii="Century Gothic" w:eastAsia="Times New Roman" w:hAnsi="Century Gothic"/>
        </w:rPr>
        <w:t xml:space="preserve"> to better serve </w:t>
      </w:r>
      <w:r w:rsidR="4493ADA3" w:rsidRPr="00C35EA7">
        <w:rPr>
          <w:rFonts w:ascii="Century Gothic" w:eastAsia="Times New Roman" w:hAnsi="Century Gothic"/>
        </w:rPr>
        <w:t xml:space="preserve">the </w:t>
      </w:r>
      <w:r w:rsidR="2D8CDF0E" w:rsidRPr="00C35EA7">
        <w:rPr>
          <w:rFonts w:ascii="Century Gothic" w:eastAsia="Times New Roman" w:hAnsi="Century Gothic"/>
        </w:rPr>
        <w:t>residents’ needs</w:t>
      </w:r>
      <w:r w:rsidR="63D8DDF8" w:rsidRPr="00C35EA7">
        <w:rPr>
          <w:rFonts w:ascii="Century Gothic" w:eastAsia="Times New Roman" w:hAnsi="Century Gothic"/>
        </w:rPr>
        <w:t xml:space="preserve">.  ECC/HANH </w:t>
      </w:r>
      <w:r w:rsidR="00B07A97" w:rsidRPr="00C35EA7">
        <w:rPr>
          <w:rFonts w:ascii="Century Gothic" w:eastAsia="Times New Roman" w:hAnsi="Century Gothic"/>
        </w:rPr>
        <w:t>also partnered</w:t>
      </w:r>
      <w:r w:rsidR="2D8CDF0E" w:rsidRPr="00C35EA7">
        <w:rPr>
          <w:rFonts w:ascii="Century Gothic" w:eastAsia="Times New Roman" w:hAnsi="Century Gothic"/>
        </w:rPr>
        <w:t xml:space="preserve"> with other agencies that are a part of the Program Coordinating Committee (PCC)</w:t>
      </w:r>
      <w:r w:rsidR="03F225B5" w:rsidRPr="00C35EA7">
        <w:rPr>
          <w:rFonts w:ascii="Century Gothic" w:eastAsia="Times New Roman" w:hAnsi="Century Gothic"/>
        </w:rPr>
        <w:t xml:space="preserve"> to offer additional programs</w:t>
      </w:r>
      <w:r w:rsidR="2D8CDF0E" w:rsidRPr="00C35EA7">
        <w:rPr>
          <w:rFonts w:ascii="Century Gothic" w:eastAsia="Times New Roman" w:hAnsi="Century Gothic"/>
        </w:rPr>
        <w:t xml:space="preserve">.  </w:t>
      </w:r>
    </w:p>
    <w:p w14:paraId="33DAA76D" w14:textId="77777777" w:rsidR="00517068" w:rsidRPr="00C35EA7" w:rsidRDefault="00517068" w:rsidP="2C805A1A">
      <w:pPr>
        <w:rPr>
          <w:rFonts w:ascii="Century Gothic" w:eastAsia="Times New Roman" w:hAnsi="Century Gothic"/>
        </w:rPr>
      </w:pPr>
    </w:p>
    <w:p w14:paraId="3381211E" w14:textId="1E591B57" w:rsidR="00517068" w:rsidRPr="00C35EA7" w:rsidRDefault="1CA4F925" w:rsidP="2C805A1A">
      <w:pPr>
        <w:rPr>
          <w:rFonts w:ascii="Century Gothic" w:eastAsia="Times New Roman" w:hAnsi="Century Gothic"/>
        </w:rPr>
      </w:pPr>
      <w:r w:rsidRPr="00C35EA7">
        <w:rPr>
          <w:rFonts w:ascii="Century Gothic" w:eastAsia="Times New Roman" w:hAnsi="Century Gothic"/>
        </w:rPr>
        <w:t>Throughout the year</w:t>
      </w:r>
      <w:r w:rsidR="0668D0EC" w:rsidRPr="00C35EA7">
        <w:rPr>
          <w:rFonts w:ascii="Century Gothic" w:eastAsia="Times New Roman" w:hAnsi="Century Gothic"/>
        </w:rPr>
        <w:t xml:space="preserve">, </w:t>
      </w:r>
      <w:r w:rsidR="29990B90" w:rsidRPr="00C35EA7">
        <w:rPr>
          <w:rFonts w:ascii="Century Gothic" w:eastAsia="Times New Roman" w:hAnsi="Century Gothic"/>
        </w:rPr>
        <w:t xml:space="preserve">some </w:t>
      </w:r>
      <w:r w:rsidR="2F712EAF" w:rsidRPr="00C35EA7">
        <w:rPr>
          <w:rFonts w:ascii="Century Gothic" w:eastAsia="Times New Roman" w:hAnsi="Century Gothic"/>
        </w:rPr>
        <w:t>wo</w:t>
      </w:r>
      <w:r w:rsidR="5EFF8444" w:rsidRPr="00C35EA7">
        <w:rPr>
          <w:rFonts w:ascii="Century Gothic" w:eastAsia="Times New Roman" w:hAnsi="Century Gothic"/>
        </w:rPr>
        <w:t xml:space="preserve">rkshops </w:t>
      </w:r>
      <w:r w:rsidR="1D20A861" w:rsidRPr="00C35EA7">
        <w:rPr>
          <w:rFonts w:ascii="Century Gothic" w:eastAsia="Times New Roman" w:hAnsi="Century Gothic"/>
        </w:rPr>
        <w:t>continued to be</w:t>
      </w:r>
      <w:r w:rsidR="5EFF8444" w:rsidRPr="00C35EA7">
        <w:rPr>
          <w:rFonts w:ascii="Century Gothic" w:eastAsia="Times New Roman" w:hAnsi="Century Gothic"/>
        </w:rPr>
        <w:t xml:space="preserve"> presented virtually</w:t>
      </w:r>
      <w:r w:rsidR="2F956565" w:rsidRPr="00C35EA7">
        <w:rPr>
          <w:rFonts w:ascii="Century Gothic" w:eastAsia="Times New Roman" w:hAnsi="Century Gothic"/>
        </w:rPr>
        <w:t>, to accommodate the needs and schedules of residents</w:t>
      </w:r>
      <w:r w:rsidR="25014054" w:rsidRPr="00C35EA7">
        <w:rPr>
          <w:rFonts w:ascii="Century Gothic" w:eastAsia="Times New Roman" w:hAnsi="Century Gothic"/>
        </w:rPr>
        <w:t>, however</w:t>
      </w:r>
      <w:r w:rsidR="0A0A8705" w:rsidRPr="00C35EA7">
        <w:rPr>
          <w:rFonts w:ascii="Century Gothic" w:eastAsia="Times New Roman" w:hAnsi="Century Gothic"/>
        </w:rPr>
        <w:t>,</w:t>
      </w:r>
      <w:r w:rsidR="715D7476" w:rsidRPr="00C35EA7">
        <w:rPr>
          <w:rFonts w:ascii="Century Gothic" w:eastAsia="Times New Roman" w:hAnsi="Century Gothic"/>
        </w:rPr>
        <w:t xml:space="preserve"> </w:t>
      </w:r>
      <w:r w:rsidR="00517068" w:rsidRPr="00C35EA7">
        <w:rPr>
          <w:rFonts w:ascii="Century Gothic" w:eastAsia="Times New Roman" w:hAnsi="Century Gothic"/>
        </w:rPr>
        <w:t xml:space="preserve">ECC/HANH </w:t>
      </w:r>
      <w:r w:rsidR="715D7476" w:rsidRPr="00C35EA7">
        <w:rPr>
          <w:rFonts w:ascii="Century Gothic" w:eastAsia="Times New Roman" w:hAnsi="Century Gothic"/>
        </w:rPr>
        <w:t>also offered</w:t>
      </w:r>
      <w:r w:rsidR="5EFF8444" w:rsidRPr="00C35EA7">
        <w:rPr>
          <w:rFonts w:ascii="Century Gothic" w:eastAsia="Times New Roman" w:hAnsi="Century Gothic"/>
        </w:rPr>
        <w:t xml:space="preserve"> on-site </w:t>
      </w:r>
      <w:r w:rsidR="582F0FF9" w:rsidRPr="00C35EA7">
        <w:rPr>
          <w:rFonts w:ascii="Century Gothic" w:eastAsia="Times New Roman" w:hAnsi="Century Gothic"/>
        </w:rPr>
        <w:t xml:space="preserve">activities such as </w:t>
      </w:r>
      <w:r w:rsidR="5EFF8444" w:rsidRPr="00C35EA7">
        <w:rPr>
          <w:rFonts w:ascii="Century Gothic" w:eastAsia="Times New Roman" w:hAnsi="Century Gothic"/>
        </w:rPr>
        <w:t>computer classes, job skills training and employment assistance</w:t>
      </w:r>
      <w:r w:rsidR="7F72882F" w:rsidRPr="00C35EA7">
        <w:rPr>
          <w:rFonts w:ascii="Century Gothic" w:eastAsia="Times New Roman" w:hAnsi="Century Gothic"/>
        </w:rPr>
        <w:t xml:space="preserve"> workshops</w:t>
      </w:r>
      <w:r w:rsidR="7233B663" w:rsidRPr="00C35EA7">
        <w:rPr>
          <w:rFonts w:ascii="Century Gothic" w:eastAsia="Times New Roman" w:hAnsi="Century Gothic"/>
        </w:rPr>
        <w:t xml:space="preserve">. </w:t>
      </w:r>
      <w:r w:rsidR="5EFF8444" w:rsidRPr="00C35EA7">
        <w:rPr>
          <w:rFonts w:ascii="Century Gothic" w:eastAsia="Times New Roman" w:hAnsi="Century Gothic"/>
        </w:rPr>
        <w:t xml:space="preserve"> </w:t>
      </w:r>
      <w:r w:rsidR="0F3EF3D5" w:rsidRPr="00C35EA7">
        <w:rPr>
          <w:rFonts w:ascii="Century Gothic" w:eastAsia="Times New Roman" w:hAnsi="Century Gothic"/>
        </w:rPr>
        <w:t xml:space="preserve"> </w:t>
      </w:r>
    </w:p>
    <w:p w14:paraId="7718C27C" w14:textId="77777777" w:rsidR="00517068" w:rsidRPr="00C35EA7" w:rsidRDefault="00517068" w:rsidP="2C805A1A">
      <w:pPr>
        <w:rPr>
          <w:rFonts w:ascii="Century Gothic" w:eastAsia="Times New Roman" w:hAnsi="Century Gothic"/>
        </w:rPr>
      </w:pPr>
    </w:p>
    <w:p w14:paraId="1FAE1573" w14:textId="77777777" w:rsidR="00B6204D" w:rsidRPr="00C35EA7" w:rsidRDefault="4058E913" w:rsidP="2C805A1A">
      <w:pPr>
        <w:rPr>
          <w:rFonts w:ascii="Century Gothic" w:eastAsia="Times New Roman" w:hAnsi="Century Gothic"/>
        </w:rPr>
      </w:pPr>
      <w:r w:rsidRPr="00C35EA7">
        <w:rPr>
          <w:rFonts w:ascii="Century Gothic" w:eastAsia="Times New Roman" w:hAnsi="Century Gothic"/>
        </w:rPr>
        <w:lastRenderedPageBreak/>
        <w:t>There were</w:t>
      </w:r>
      <w:r w:rsidR="15B68ADE" w:rsidRPr="00C35EA7">
        <w:rPr>
          <w:rFonts w:ascii="Century Gothic" w:eastAsia="Times New Roman" w:hAnsi="Century Gothic"/>
        </w:rPr>
        <w:t xml:space="preserve"> </w:t>
      </w:r>
      <w:r w:rsidR="7CC99A26" w:rsidRPr="00C35EA7">
        <w:rPr>
          <w:rFonts w:ascii="Century Gothic" w:eastAsia="Times New Roman" w:hAnsi="Century Gothic"/>
        </w:rPr>
        <w:t xml:space="preserve">128 </w:t>
      </w:r>
      <w:r w:rsidR="15B68ADE" w:rsidRPr="00C35EA7">
        <w:rPr>
          <w:rFonts w:ascii="Century Gothic" w:eastAsia="Times New Roman" w:hAnsi="Century Gothic"/>
        </w:rPr>
        <w:t>workshops</w:t>
      </w:r>
      <w:r w:rsidR="45C1304F" w:rsidRPr="00C35EA7">
        <w:rPr>
          <w:rFonts w:ascii="Century Gothic" w:eastAsia="Times New Roman" w:hAnsi="Century Gothic"/>
        </w:rPr>
        <w:t xml:space="preserve"> held in FY202</w:t>
      </w:r>
      <w:r w:rsidR="631FF983" w:rsidRPr="00C35EA7">
        <w:rPr>
          <w:rFonts w:ascii="Century Gothic" w:eastAsia="Times New Roman" w:hAnsi="Century Gothic"/>
        </w:rPr>
        <w:t>4</w:t>
      </w:r>
      <w:r w:rsidR="7B18A71F" w:rsidRPr="00C35EA7">
        <w:rPr>
          <w:rFonts w:ascii="Century Gothic" w:eastAsia="Times New Roman" w:hAnsi="Century Gothic"/>
        </w:rPr>
        <w:t xml:space="preserve"> </w:t>
      </w:r>
      <w:r w:rsidR="2C0B77C3" w:rsidRPr="00C35EA7">
        <w:rPr>
          <w:rFonts w:ascii="Century Gothic" w:eastAsia="Times New Roman" w:hAnsi="Century Gothic"/>
        </w:rPr>
        <w:t xml:space="preserve">with </w:t>
      </w:r>
      <w:r w:rsidR="13E94F97" w:rsidRPr="00C35EA7">
        <w:rPr>
          <w:rFonts w:ascii="Century Gothic" w:eastAsia="Times New Roman" w:hAnsi="Century Gothic"/>
        </w:rPr>
        <w:t>1,541</w:t>
      </w:r>
      <w:r w:rsidR="00C1511F" w:rsidRPr="00C35EA7">
        <w:rPr>
          <w:rFonts w:ascii="Century Gothic" w:eastAsia="Times New Roman" w:hAnsi="Century Gothic"/>
        </w:rPr>
        <w:t xml:space="preserve"> attendees.</w:t>
      </w:r>
      <w:r w:rsidR="13E94F97" w:rsidRPr="00C35EA7">
        <w:rPr>
          <w:rFonts w:ascii="Century Gothic" w:eastAsia="Times New Roman" w:hAnsi="Century Gothic"/>
        </w:rPr>
        <w:t xml:space="preserve"> </w:t>
      </w:r>
      <w:r w:rsidR="3972C0F9" w:rsidRPr="00C35EA7">
        <w:rPr>
          <w:rFonts w:ascii="Century Gothic" w:eastAsia="Times New Roman" w:hAnsi="Century Gothic"/>
        </w:rPr>
        <w:t xml:space="preserve"> </w:t>
      </w:r>
    </w:p>
    <w:p w14:paraId="00E46E46" w14:textId="77777777" w:rsidR="00B6204D" w:rsidRPr="00C35EA7" w:rsidRDefault="00B6204D" w:rsidP="2C805A1A">
      <w:pPr>
        <w:rPr>
          <w:rFonts w:ascii="Century Gothic" w:eastAsia="Times New Roman" w:hAnsi="Century Gothic"/>
        </w:rPr>
      </w:pPr>
    </w:p>
    <w:p w14:paraId="40DF00E6" w14:textId="413B6975" w:rsidR="4C639906" w:rsidRPr="00C35EA7" w:rsidRDefault="505441CC" w:rsidP="2C805A1A">
      <w:pPr>
        <w:rPr>
          <w:rFonts w:ascii="Century Gothic" w:eastAsia="Times New Roman" w:hAnsi="Century Gothic"/>
        </w:rPr>
      </w:pPr>
      <w:r w:rsidRPr="00C35EA7">
        <w:rPr>
          <w:rFonts w:ascii="Century Gothic" w:eastAsia="Times New Roman" w:hAnsi="Century Gothic"/>
        </w:rPr>
        <w:t>In FY2024,</w:t>
      </w:r>
      <w:r w:rsidR="3E6614AE" w:rsidRPr="00C35EA7">
        <w:rPr>
          <w:rFonts w:ascii="Century Gothic" w:eastAsia="Times New Roman" w:hAnsi="Century Gothic"/>
        </w:rPr>
        <w:t xml:space="preserve"> </w:t>
      </w:r>
      <w:r w:rsidR="22000691" w:rsidRPr="00C35EA7">
        <w:rPr>
          <w:rFonts w:ascii="Century Gothic" w:eastAsia="Times New Roman" w:hAnsi="Century Gothic"/>
        </w:rPr>
        <w:t>add</w:t>
      </w:r>
      <w:r w:rsidR="00D55886" w:rsidRPr="00C35EA7">
        <w:rPr>
          <w:rFonts w:ascii="Century Gothic" w:eastAsia="Times New Roman" w:hAnsi="Century Gothic"/>
        </w:rPr>
        <w:t>ed</w:t>
      </w:r>
      <w:r w:rsidR="047C576B" w:rsidRPr="00C35EA7">
        <w:rPr>
          <w:rFonts w:ascii="Century Gothic" w:eastAsia="Times New Roman" w:hAnsi="Century Gothic"/>
        </w:rPr>
        <w:t xml:space="preserve"> </w:t>
      </w:r>
      <w:r w:rsidR="6E7C98BF" w:rsidRPr="00C35EA7">
        <w:rPr>
          <w:rFonts w:ascii="Century Gothic" w:eastAsia="Times New Roman" w:hAnsi="Century Gothic"/>
        </w:rPr>
        <w:t xml:space="preserve">to the </w:t>
      </w:r>
      <w:r w:rsidR="22000691" w:rsidRPr="00C35EA7">
        <w:rPr>
          <w:rFonts w:ascii="Century Gothic" w:eastAsia="Times New Roman" w:hAnsi="Century Gothic"/>
        </w:rPr>
        <w:t xml:space="preserve">workshop </w:t>
      </w:r>
      <w:r w:rsidR="00FF7A97" w:rsidRPr="00C35EA7">
        <w:rPr>
          <w:rFonts w:ascii="Century Gothic" w:eastAsia="Times New Roman" w:hAnsi="Century Gothic"/>
        </w:rPr>
        <w:t xml:space="preserve">topics </w:t>
      </w:r>
      <w:proofErr w:type="gramStart"/>
      <w:r w:rsidR="00FF7A97" w:rsidRPr="00C35EA7">
        <w:rPr>
          <w:rFonts w:ascii="Century Gothic" w:eastAsia="Times New Roman" w:hAnsi="Century Gothic"/>
        </w:rPr>
        <w:t>to</w:t>
      </w:r>
      <w:r w:rsidR="701370AD" w:rsidRPr="00C35EA7">
        <w:rPr>
          <w:rFonts w:ascii="Century Gothic" w:eastAsia="Times New Roman" w:hAnsi="Century Gothic"/>
        </w:rPr>
        <w:t xml:space="preserve"> includ</w:t>
      </w:r>
      <w:r w:rsidR="005A159F" w:rsidRPr="00C35EA7">
        <w:rPr>
          <w:rFonts w:ascii="Century Gothic" w:eastAsia="Times New Roman" w:hAnsi="Century Gothic"/>
        </w:rPr>
        <w:t>e</w:t>
      </w:r>
      <w:proofErr w:type="gramEnd"/>
      <w:r w:rsidR="005A159F" w:rsidRPr="00C35EA7">
        <w:rPr>
          <w:rFonts w:ascii="Century Gothic" w:eastAsia="Times New Roman" w:hAnsi="Century Gothic"/>
        </w:rPr>
        <w:t xml:space="preserve"> </w:t>
      </w:r>
      <w:r w:rsidR="701370AD" w:rsidRPr="00C35EA7">
        <w:rPr>
          <w:rFonts w:ascii="Century Gothic" w:eastAsia="Times New Roman" w:hAnsi="Century Gothic"/>
        </w:rPr>
        <w:t xml:space="preserve">increased job training and development support, health and wellness, </w:t>
      </w:r>
      <w:r w:rsidR="6C15D9F4" w:rsidRPr="00C35EA7">
        <w:rPr>
          <w:rFonts w:ascii="Century Gothic" w:eastAsia="Times New Roman" w:hAnsi="Century Gothic"/>
        </w:rPr>
        <w:t>computer literacy</w:t>
      </w:r>
      <w:r w:rsidR="160819A0" w:rsidRPr="00C35EA7">
        <w:rPr>
          <w:rFonts w:ascii="Century Gothic" w:eastAsia="Times New Roman" w:hAnsi="Century Gothic"/>
        </w:rPr>
        <w:t xml:space="preserve">, safety and security, </w:t>
      </w:r>
      <w:r w:rsidR="6C15D9F4" w:rsidRPr="00C35EA7">
        <w:rPr>
          <w:rFonts w:ascii="Century Gothic" w:eastAsia="Times New Roman" w:hAnsi="Century Gothic"/>
        </w:rPr>
        <w:t>Section 3 workshops and courses</w:t>
      </w:r>
      <w:r w:rsidR="42792C7C" w:rsidRPr="00C35EA7">
        <w:rPr>
          <w:rFonts w:ascii="Century Gothic" w:eastAsia="Times New Roman" w:hAnsi="Century Gothic"/>
        </w:rPr>
        <w:t>.</w:t>
      </w:r>
      <w:r w:rsidR="005A159F" w:rsidRPr="00C35EA7">
        <w:rPr>
          <w:rFonts w:ascii="Century Gothic" w:eastAsia="Times New Roman" w:hAnsi="Century Gothic"/>
        </w:rPr>
        <w:t xml:space="preserve"> </w:t>
      </w:r>
      <w:r w:rsidR="001467B4" w:rsidRPr="00C35EA7">
        <w:rPr>
          <w:rFonts w:ascii="Century Gothic" w:eastAsia="Times New Roman" w:hAnsi="Century Gothic"/>
        </w:rPr>
        <w:t>ECC/HANH also</w:t>
      </w:r>
      <w:r w:rsidR="005A159F" w:rsidRPr="00C35EA7">
        <w:rPr>
          <w:rFonts w:ascii="Century Gothic" w:eastAsia="Times New Roman" w:hAnsi="Century Gothic"/>
        </w:rPr>
        <w:t xml:space="preserve"> conducted additional outreach to encourage more participation from Workable and Elderly/Disabled families</w:t>
      </w:r>
    </w:p>
    <w:p w14:paraId="7842BE0F" w14:textId="242D29A7" w:rsidR="3DF94C20" w:rsidRPr="00C35EA7" w:rsidRDefault="3DF94C20" w:rsidP="3DF94C20">
      <w:pPr>
        <w:rPr>
          <w:rFonts w:ascii="Century Gothic" w:eastAsia="MS PGothic" w:hAnsi="Century Gothic"/>
          <w:szCs w:val="22"/>
        </w:rPr>
      </w:pPr>
    </w:p>
    <w:p w14:paraId="330E1AE1" w14:textId="2721932F" w:rsidR="1B4A8018" w:rsidRPr="00C35EA7" w:rsidRDefault="12C6ADD1" w:rsidP="00CA7619">
      <w:pPr>
        <w:rPr>
          <w:rFonts w:ascii="Century Gothic" w:eastAsia="Times New Roman" w:hAnsi="Century Gothic"/>
        </w:rPr>
      </w:pPr>
      <w:r w:rsidRPr="00C35EA7">
        <w:rPr>
          <w:rFonts w:ascii="Century Gothic" w:eastAsia="Times New Roman" w:hAnsi="Century Gothic"/>
        </w:rPr>
        <w:t xml:space="preserve">ECC/HANH </w:t>
      </w:r>
      <w:proofErr w:type="gramStart"/>
      <w:r w:rsidRPr="00C35EA7">
        <w:rPr>
          <w:rFonts w:ascii="Century Gothic" w:eastAsia="Times New Roman" w:hAnsi="Century Gothic"/>
        </w:rPr>
        <w:t>celebrated</w:t>
      </w:r>
      <w:proofErr w:type="gramEnd"/>
      <w:r w:rsidR="0B08C661" w:rsidRPr="00C35EA7">
        <w:rPr>
          <w:rFonts w:ascii="Century Gothic" w:eastAsia="Times New Roman" w:hAnsi="Century Gothic"/>
        </w:rPr>
        <w:t xml:space="preserve"> </w:t>
      </w:r>
      <w:r w:rsidR="469FA0BF" w:rsidRPr="00C35EA7">
        <w:rPr>
          <w:rFonts w:ascii="Century Gothic" w:eastAsia="Times New Roman" w:hAnsi="Century Gothic"/>
        </w:rPr>
        <w:t xml:space="preserve">3 </w:t>
      </w:r>
      <w:r w:rsidRPr="00C35EA7">
        <w:rPr>
          <w:rFonts w:ascii="Century Gothic" w:eastAsia="Times New Roman" w:hAnsi="Century Gothic"/>
        </w:rPr>
        <w:t>families who became homeowners in FY202</w:t>
      </w:r>
      <w:r w:rsidR="2061639A" w:rsidRPr="00C35EA7">
        <w:rPr>
          <w:rFonts w:ascii="Century Gothic" w:eastAsia="Times New Roman" w:hAnsi="Century Gothic"/>
        </w:rPr>
        <w:t>4</w:t>
      </w:r>
      <w:r w:rsidRPr="00C35EA7">
        <w:rPr>
          <w:rFonts w:ascii="Century Gothic" w:eastAsia="Times New Roman" w:hAnsi="Century Gothic"/>
        </w:rPr>
        <w:t xml:space="preserve">, </w:t>
      </w:r>
      <w:r w:rsidR="1BE0C443" w:rsidRPr="00C35EA7">
        <w:rPr>
          <w:rFonts w:ascii="Century Gothic" w:eastAsia="Times New Roman" w:hAnsi="Century Gothic"/>
        </w:rPr>
        <w:t>d</w:t>
      </w:r>
      <w:r w:rsidR="5AF81888" w:rsidRPr="00C35EA7">
        <w:rPr>
          <w:rFonts w:ascii="Century Gothic" w:eastAsia="Times New Roman" w:hAnsi="Century Gothic"/>
        </w:rPr>
        <w:t xml:space="preserve">espite </w:t>
      </w:r>
      <w:r w:rsidR="281E9C9E" w:rsidRPr="00C35EA7">
        <w:rPr>
          <w:rFonts w:ascii="Century Gothic" w:eastAsia="Times New Roman" w:hAnsi="Century Gothic"/>
        </w:rPr>
        <w:t>the contin</w:t>
      </w:r>
      <w:r w:rsidR="7F5B918D" w:rsidRPr="00C35EA7">
        <w:rPr>
          <w:rFonts w:ascii="Century Gothic" w:eastAsia="Times New Roman" w:hAnsi="Century Gothic"/>
        </w:rPr>
        <w:t>u</w:t>
      </w:r>
      <w:r w:rsidR="281E9C9E" w:rsidRPr="00C35EA7">
        <w:rPr>
          <w:rFonts w:ascii="Century Gothic" w:eastAsia="Times New Roman" w:hAnsi="Century Gothic"/>
        </w:rPr>
        <w:t xml:space="preserve">ed </w:t>
      </w:r>
      <w:r w:rsidR="5AF81888" w:rsidRPr="00C35EA7">
        <w:rPr>
          <w:rFonts w:ascii="Century Gothic" w:eastAsia="Times New Roman" w:hAnsi="Century Gothic"/>
        </w:rPr>
        <w:t>challeng</w:t>
      </w:r>
      <w:r w:rsidR="2DF15985" w:rsidRPr="00C35EA7">
        <w:rPr>
          <w:rFonts w:ascii="Century Gothic" w:eastAsia="Times New Roman" w:hAnsi="Century Gothic"/>
        </w:rPr>
        <w:t xml:space="preserve">es </w:t>
      </w:r>
      <w:r w:rsidR="68F45A75" w:rsidRPr="00C35EA7">
        <w:rPr>
          <w:rFonts w:ascii="Century Gothic" w:eastAsia="Times New Roman" w:hAnsi="Century Gothic"/>
        </w:rPr>
        <w:t xml:space="preserve">in the </w:t>
      </w:r>
      <w:r w:rsidR="59D4248B" w:rsidRPr="00C35EA7">
        <w:rPr>
          <w:rFonts w:ascii="Century Gothic" w:eastAsia="Times New Roman" w:hAnsi="Century Gothic"/>
        </w:rPr>
        <w:t>real estate</w:t>
      </w:r>
      <w:r w:rsidR="5AF81888" w:rsidRPr="00C35EA7">
        <w:rPr>
          <w:rFonts w:ascii="Century Gothic" w:eastAsia="Times New Roman" w:hAnsi="Century Gothic"/>
        </w:rPr>
        <w:t xml:space="preserve"> market</w:t>
      </w:r>
      <w:r w:rsidR="42772002" w:rsidRPr="00C35EA7">
        <w:rPr>
          <w:rFonts w:ascii="Century Gothic" w:eastAsia="Times New Roman" w:hAnsi="Century Gothic"/>
        </w:rPr>
        <w:t xml:space="preserve">. </w:t>
      </w:r>
      <w:r w:rsidR="5487593A" w:rsidRPr="00C35EA7">
        <w:rPr>
          <w:rFonts w:ascii="Century Gothic" w:eastAsia="Times New Roman" w:hAnsi="Century Gothic"/>
        </w:rPr>
        <w:t xml:space="preserve"> </w:t>
      </w:r>
      <w:r w:rsidR="26B70FAD" w:rsidRPr="00C35EA7">
        <w:rPr>
          <w:rFonts w:ascii="Century Gothic" w:eastAsia="Times New Roman" w:hAnsi="Century Gothic"/>
        </w:rPr>
        <w:t>This was achie</w:t>
      </w:r>
      <w:r w:rsidR="7D6246B5" w:rsidRPr="00C35EA7">
        <w:rPr>
          <w:rFonts w:ascii="Century Gothic" w:eastAsia="Times New Roman" w:hAnsi="Century Gothic"/>
        </w:rPr>
        <w:t>ve</w:t>
      </w:r>
      <w:r w:rsidR="26B70FAD" w:rsidRPr="00C35EA7">
        <w:rPr>
          <w:rFonts w:ascii="Century Gothic" w:eastAsia="Times New Roman" w:hAnsi="Century Gothic"/>
        </w:rPr>
        <w:t xml:space="preserve">d by the </w:t>
      </w:r>
      <w:r w:rsidR="5B2D4998" w:rsidRPr="00C35EA7">
        <w:rPr>
          <w:rFonts w:ascii="Century Gothic" w:eastAsia="Times New Roman" w:hAnsi="Century Gothic"/>
          <w:color w:val="000000" w:themeColor="text1"/>
        </w:rPr>
        <w:t xml:space="preserve">FSS </w:t>
      </w:r>
      <w:r w:rsidR="36CC4EE1" w:rsidRPr="00C35EA7">
        <w:rPr>
          <w:rFonts w:ascii="Century Gothic" w:eastAsia="Times New Roman" w:hAnsi="Century Gothic"/>
          <w:color w:val="000000" w:themeColor="text1"/>
        </w:rPr>
        <w:t xml:space="preserve">Staff </w:t>
      </w:r>
      <w:r w:rsidR="08860B7D" w:rsidRPr="00C35EA7">
        <w:rPr>
          <w:rFonts w:ascii="Century Gothic" w:eastAsia="Times New Roman" w:hAnsi="Century Gothic"/>
          <w:color w:val="000000" w:themeColor="text1"/>
        </w:rPr>
        <w:t xml:space="preserve">assisting </w:t>
      </w:r>
      <w:r w:rsidR="5B2D4998" w:rsidRPr="00C35EA7">
        <w:rPr>
          <w:rFonts w:ascii="Century Gothic" w:eastAsia="Times New Roman" w:hAnsi="Century Gothic"/>
          <w:color w:val="000000" w:themeColor="text1"/>
        </w:rPr>
        <w:t xml:space="preserve">families </w:t>
      </w:r>
      <w:r w:rsidR="0F6B72EF" w:rsidRPr="00C35EA7">
        <w:rPr>
          <w:rFonts w:ascii="Century Gothic" w:eastAsia="Times New Roman" w:hAnsi="Century Gothic"/>
          <w:color w:val="000000" w:themeColor="text1"/>
        </w:rPr>
        <w:t xml:space="preserve">in setting </w:t>
      </w:r>
      <w:r w:rsidR="5B2D4998" w:rsidRPr="00C35EA7">
        <w:rPr>
          <w:rFonts w:ascii="Century Gothic" w:eastAsia="Times New Roman" w:hAnsi="Century Gothic"/>
          <w:color w:val="000000" w:themeColor="text1"/>
        </w:rPr>
        <w:t>self-sufficiency goal</w:t>
      </w:r>
      <w:r w:rsidR="56ECA800" w:rsidRPr="00C35EA7">
        <w:rPr>
          <w:rFonts w:ascii="Century Gothic" w:eastAsia="Times New Roman" w:hAnsi="Century Gothic"/>
          <w:color w:val="000000" w:themeColor="text1"/>
        </w:rPr>
        <w:t>s</w:t>
      </w:r>
      <w:r w:rsidR="5B2D4998" w:rsidRPr="00C35EA7">
        <w:rPr>
          <w:rFonts w:ascii="Century Gothic" w:eastAsia="Times New Roman" w:hAnsi="Century Gothic"/>
          <w:color w:val="000000" w:themeColor="text1"/>
        </w:rPr>
        <w:t xml:space="preserve"> that </w:t>
      </w:r>
      <w:r w:rsidR="2A2E6C22" w:rsidRPr="00C35EA7">
        <w:rPr>
          <w:rFonts w:ascii="Century Gothic" w:eastAsia="Times New Roman" w:hAnsi="Century Gothic"/>
          <w:color w:val="000000" w:themeColor="text1"/>
        </w:rPr>
        <w:t>helped them gain</w:t>
      </w:r>
      <w:r w:rsidR="5B2D4998" w:rsidRPr="00C35EA7">
        <w:rPr>
          <w:rFonts w:ascii="Century Gothic" w:eastAsia="Times New Roman" w:hAnsi="Century Gothic"/>
          <w:color w:val="000000" w:themeColor="text1"/>
        </w:rPr>
        <w:t xml:space="preserve"> </w:t>
      </w:r>
      <w:r w:rsidR="4012842B" w:rsidRPr="00C35EA7">
        <w:rPr>
          <w:rFonts w:ascii="Century Gothic" w:eastAsia="Times New Roman" w:hAnsi="Century Gothic"/>
          <w:color w:val="000000" w:themeColor="text1"/>
        </w:rPr>
        <w:t xml:space="preserve">full time or better </w:t>
      </w:r>
      <w:r w:rsidR="5B2D4998" w:rsidRPr="00C35EA7">
        <w:rPr>
          <w:rFonts w:ascii="Century Gothic" w:eastAsia="Times New Roman" w:hAnsi="Century Gothic"/>
          <w:color w:val="000000" w:themeColor="text1"/>
        </w:rPr>
        <w:t xml:space="preserve">employment, </w:t>
      </w:r>
      <w:r w:rsidR="041BB15E" w:rsidRPr="00C35EA7">
        <w:rPr>
          <w:rFonts w:ascii="Century Gothic" w:eastAsia="Times New Roman" w:hAnsi="Century Gothic"/>
          <w:color w:val="000000" w:themeColor="text1"/>
        </w:rPr>
        <w:t xml:space="preserve">attend </w:t>
      </w:r>
      <w:r w:rsidR="5B2D4998" w:rsidRPr="00C35EA7">
        <w:rPr>
          <w:rFonts w:ascii="Century Gothic" w:eastAsia="Times New Roman" w:hAnsi="Century Gothic"/>
          <w:color w:val="000000" w:themeColor="text1"/>
        </w:rPr>
        <w:t>specialized training</w:t>
      </w:r>
      <w:r w:rsidR="43081F52" w:rsidRPr="00C35EA7">
        <w:rPr>
          <w:rFonts w:ascii="Century Gothic" w:eastAsia="Times New Roman" w:hAnsi="Century Gothic"/>
          <w:color w:val="000000" w:themeColor="text1"/>
        </w:rPr>
        <w:t xml:space="preserve"> classes</w:t>
      </w:r>
      <w:r w:rsidR="5B2D4998" w:rsidRPr="00C35EA7">
        <w:rPr>
          <w:rFonts w:ascii="Century Gothic" w:eastAsia="Times New Roman" w:hAnsi="Century Gothic"/>
          <w:color w:val="000000" w:themeColor="text1"/>
        </w:rPr>
        <w:t xml:space="preserve">, </w:t>
      </w:r>
      <w:r w:rsidR="041ACAB6" w:rsidRPr="00C35EA7">
        <w:rPr>
          <w:rFonts w:ascii="Century Gothic" w:eastAsia="Times New Roman" w:hAnsi="Century Gothic"/>
          <w:color w:val="000000" w:themeColor="text1"/>
        </w:rPr>
        <w:t xml:space="preserve">obtain </w:t>
      </w:r>
      <w:r w:rsidR="5B2D4998" w:rsidRPr="00C35EA7">
        <w:rPr>
          <w:rFonts w:ascii="Century Gothic" w:eastAsia="Times New Roman" w:hAnsi="Century Gothic"/>
          <w:color w:val="000000" w:themeColor="text1"/>
        </w:rPr>
        <w:t xml:space="preserve">higher education, and </w:t>
      </w:r>
      <w:r w:rsidR="2257B285" w:rsidRPr="00C35EA7">
        <w:rPr>
          <w:rFonts w:ascii="Century Gothic" w:eastAsia="Times New Roman" w:hAnsi="Century Gothic"/>
          <w:color w:val="000000" w:themeColor="text1"/>
        </w:rPr>
        <w:t xml:space="preserve">increase their efforts in </w:t>
      </w:r>
      <w:r w:rsidR="5B2D4998" w:rsidRPr="00C35EA7">
        <w:rPr>
          <w:rFonts w:ascii="Century Gothic" w:eastAsia="Times New Roman" w:hAnsi="Century Gothic"/>
          <w:color w:val="000000" w:themeColor="text1"/>
        </w:rPr>
        <w:t>asset building</w:t>
      </w:r>
      <w:r w:rsidR="0511AEB9" w:rsidRPr="00C35EA7">
        <w:rPr>
          <w:rFonts w:ascii="Century Gothic" w:eastAsia="Times New Roman" w:hAnsi="Century Gothic"/>
          <w:color w:val="000000" w:themeColor="text1"/>
        </w:rPr>
        <w:t xml:space="preserve"> through </w:t>
      </w:r>
      <w:r w:rsidR="6C52AFAB" w:rsidRPr="00C35EA7">
        <w:rPr>
          <w:rFonts w:ascii="Century Gothic" w:eastAsia="Times New Roman" w:hAnsi="Century Gothic"/>
          <w:color w:val="000000" w:themeColor="text1"/>
        </w:rPr>
        <w:t xml:space="preserve">the </w:t>
      </w:r>
      <w:r w:rsidR="5B2D4998" w:rsidRPr="00C35EA7">
        <w:rPr>
          <w:rFonts w:ascii="Century Gothic" w:eastAsia="Times New Roman" w:hAnsi="Century Gothic"/>
          <w:color w:val="000000" w:themeColor="text1"/>
        </w:rPr>
        <w:t xml:space="preserve">required one-on-one meetings with a </w:t>
      </w:r>
      <w:r w:rsidR="5EB604DC" w:rsidRPr="00C35EA7">
        <w:rPr>
          <w:rFonts w:ascii="Century Gothic" w:eastAsia="Times New Roman" w:hAnsi="Century Gothic"/>
          <w:color w:val="000000" w:themeColor="text1"/>
        </w:rPr>
        <w:t xml:space="preserve">FSS </w:t>
      </w:r>
      <w:r w:rsidR="5B2D4998" w:rsidRPr="00C35EA7">
        <w:rPr>
          <w:rFonts w:ascii="Century Gothic" w:eastAsia="Times New Roman" w:hAnsi="Century Gothic"/>
          <w:color w:val="000000" w:themeColor="text1"/>
        </w:rPr>
        <w:t>Coordinator</w:t>
      </w:r>
      <w:r w:rsidR="61735020" w:rsidRPr="00C35EA7">
        <w:rPr>
          <w:rFonts w:ascii="Century Gothic" w:eastAsia="Times New Roman" w:hAnsi="Century Gothic"/>
          <w:color w:val="000000" w:themeColor="text1"/>
        </w:rPr>
        <w:t>.</w:t>
      </w:r>
      <w:r w:rsidR="5B2D4998" w:rsidRPr="00C35EA7">
        <w:rPr>
          <w:rFonts w:ascii="Century Gothic" w:eastAsia="Times New Roman" w:hAnsi="Century Gothic"/>
          <w:color w:val="000000" w:themeColor="text1"/>
        </w:rPr>
        <w:t xml:space="preserve"> </w:t>
      </w:r>
      <w:r w:rsidR="11D95AD9" w:rsidRPr="00C35EA7">
        <w:rPr>
          <w:rFonts w:ascii="Century Gothic" w:eastAsia="Times New Roman" w:hAnsi="Century Gothic"/>
          <w:color w:val="000000" w:themeColor="text1"/>
        </w:rPr>
        <w:t xml:space="preserve"> </w:t>
      </w:r>
      <w:r w:rsidR="5B2D4998" w:rsidRPr="00C35EA7">
        <w:rPr>
          <w:rFonts w:ascii="Century Gothic" w:eastAsia="Times New Roman" w:hAnsi="Century Gothic"/>
          <w:color w:val="000000" w:themeColor="text1"/>
        </w:rPr>
        <w:t xml:space="preserve">FSS staff </w:t>
      </w:r>
      <w:r w:rsidR="5D5CDE3C" w:rsidRPr="00C35EA7">
        <w:rPr>
          <w:rFonts w:ascii="Century Gothic" w:eastAsia="Times New Roman" w:hAnsi="Century Gothic"/>
          <w:color w:val="000000" w:themeColor="text1"/>
        </w:rPr>
        <w:t xml:space="preserve">also </w:t>
      </w:r>
      <w:r w:rsidR="5B2D4998" w:rsidRPr="00C35EA7">
        <w:rPr>
          <w:rFonts w:ascii="Century Gothic" w:eastAsia="Times New Roman" w:hAnsi="Century Gothic"/>
          <w:color w:val="000000" w:themeColor="text1"/>
        </w:rPr>
        <w:t>conduct</w:t>
      </w:r>
      <w:r w:rsidR="7CB63816" w:rsidRPr="00C35EA7">
        <w:rPr>
          <w:rFonts w:ascii="Century Gothic" w:eastAsia="Times New Roman" w:hAnsi="Century Gothic"/>
          <w:color w:val="000000" w:themeColor="text1"/>
        </w:rPr>
        <w:t>ed</w:t>
      </w:r>
      <w:r w:rsidR="5B2D4998" w:rsidRPr="00C35EA7">
        <w:rPr>
          <w:rFonts w:ascii="Century Gothic" w:eastAsia="Times New Roman" w:hAnsi="Century Gothic"/>
          <w:color w:val="000000" w:themeColor="text1"/>
        </w:rPr>
        <w:t xml:space="preserve"> outreach </w:t>
      </w:r>
      <w:r w:rsidR="682C5E84" w:rsidRPr="00C35EA7">
        <w:rPr>
          <w:rFonts w:ascii="Century Gothic" w:eastAsia="Times New Roman" w:hAnsi="Century Gothic"/>
          <w:color w:val="000000" w:themeColor="text1"/>
        </w:rPr>
        <w:t xml:space="preserve">in the developments </w:t>
      </w:r>
      <w:r w:rsidR="5B2D4998" w:rsidRPr="00C35EA7">
        <w:rPr>
          <w:rFonts w:ascii="Century Gothic" w:eastAsia="Times New Roman" w:hAnsi="Century Gothic"/>
          <w:color w:val="000000" w:themeColor="text1"/>
        </w:rPr>
        <w:t>to</w:t>
      </w:r>
      <w:r w:rsidR="720A1AB7" w:rsidRPr="00C35EA7">
        <w:rPr>
          <w:rFonts w:ascii="Century Gothic" w:eastAsia="Times New Roman" w:hAnsi="Century Gothic"/>
          <w:color w:val="000000" w:themeColor="text1"/>
        </w:rPr>
        <w:t xml:space="preserve"> </w:t>
      </w:r>
      <w:r w:rsidR="7CA591B5" w:rsidRPr="00C35EA7">
        <w:rPr>
          <w:rFonts w:ascii="Century Gothic" w:eastAsia="Times New Roman" w:hAnsi="Century Gothic"/>
          <w:color w:val="000000" w:themeColor="text1"/>
        </w:rPr>
        <w:t>encourage</w:t>
      </w:r>
      <w:r w:rsidR="5B2D4998" w:rsidRPr="00C35EA7">
        <w:rPr>
          <w:rFonts w:ascii="Century Gothic" w:eastAsia="Times New Roman" w:hAnsi="Century Gothic"/>
          <w:color w:val="000000" w:themeColor="text1"/>
        </w:rPr>
        <w:t xml:space="preserve"> all residents to effectively gain and maintain access to resources that can assist </w:t>
      </w:r>
      <w:r w:rsidR="5F73F4AD" w:rsidRPr="00C35EA7">
        <w:rPr>
          <w:rFonts w:ascii="Century Gothic" w:eastAsia="Times New Roman" w:hAnsi="Century Gothic"/>
          <w:color w:val="000000" w:themeColor="text1"/>
        </w:rPr>
        <w:t>them</w:t>
      </w:r>
      <w:r w:rsidR="5B2D4998" w:rsidRPr="00C35EA7">
        <w:rPr>
          <w:rFonts w:ascii="Century Gothic" w:eastAsia="Times New Roman" w:hAnsi="Century Gothic"/>
          <w:color w:val="000000" w:themeColor="text1"/>
        </w:rPr>
        <w:t xml:space="preserve"> in pursuing opportunities in achieving self-sufficiency.  </w:t>
      </w:r>
    </w:p>
    <w:p w14:paraId="03816FD1" w14:textId="2BE2B94B" w:rsidR="1B4A8018" w:rsidRPr="00C35EA7" w:rsidRDefault="1B4A8018" w:rsidP="0E6C54AB">
      <w:pPr>
        <w:spacing w:line="276" w:lineRule="auto"/>
        <w:rPr>
          <w:rFonts w:ascii="Century Gothic" w:eastAsia="MS PGothic" w:hAnsi="Century Gothic"/>
          <w:highlight w:val="yellow"/>
        </w:rPr>
      </w:pPr>
    </w:p>
    <w:p w14:paraId="12DE4F66" w14:textId="77777777" w:rsidR="0063709D" w:rsidRPr="00BF4AA9" w:rsidRDefault="0D1F2328" w:rsidP="188A1EBF">
      <w:pPr>
        <w:spacing w:line="276" w:lineRule="auto"/>
        <w:jc w:val="both"/>
        <w:rPr>
          <w:rFonts w:ascii="Century Gothic" w:eastAsia="Times New Roman" w:hAnsi="Century Gothic"/>
          <w:color w:val="000000" w:themeColor="text1"/>
        </w:rPr>
      </w:pPr>
      <w:r w:rsidRPr="003E7FBB">
        <w:rPr>
          <w:rFonts w:ascii="Century Gothic" w:eastAsia="Times New Roman" w:hAnsi="Century Gothic"/>
          <w:color w:val="000000" w:themeColor="text1"/>
        </w:rPr>
        <w:t xml:space="preserve">In </w:t>
      </w:r>
      <w:r w:rsidR="55E45D2E" w:rsidRPr="003E7FBB">
        <w:rPr>
          <w:rFonts w:ascii="Century Gothic" w:eastAsia="Times New Roman" w:hAnsi="Century Gothic"/>
          <w:color w:val="000000" w:themeColor="text1"/>
        </w:rPr>
        <w:t>FY2</w:t>
      </w:r>
      <w:r w:rsidR="431FCFBF" w:rsidRPr="00BF4AA9">
        <w:rPr>
          <w:rFonts w:ascii="Century Gothic" w:eastAsia="Times New Roman" w:hAnsi="Century Gothic"/>
          <w:color w:val="000000" w:themeColor="text1"/>
        </w:rPr>
        <w:t>4</w:t>
      </w:r>
      <w:r w:rsidRPr="003E7FBB">
        <w:rPr>
          <w:rFonts w:ascii="Century Gothic" w:eastAsia="Times New Roman" w:hAnsi="Century Gothic"/>
          <w:color w:val="000000" w:themeColor="text1"/>
        </w:rPr>
        <w:t xml:space="preserve">, </w:t>
      </w:r>
      <w:r w:rsidR="032DE361" w:rsidRPr="003E7FBB">
        <w:rPr>
          <w:rFonts w:ascii="Century Gothic" w:eastAsia="Times New Roman" w:hAnsi="Century Gothic"/>
          <w:color w:val="000000" w:themeColor="text1"/>
        </w:rPr>
        <w:t xml:space="preserve">the </w:t>
      </w:r>
      <w:r w:rsidR="214B5163" w:rsidRPr="00BF4AA9">
        <w:rPr>
          <w:rFonts w:ascii="Century Gothic" w:eastAsia="Times New Roman" w:hAnsi="Century Gothic"/>
          <w:color w:val="000000" w:themeColor="text1"/>
        </w:rPr>
        <w:t>1163</w:t>
      </w:r>
      <w:r w:rsidR="214B5163" w:rsidRPr="003E7FBB">
        <w:rPr>
          <w:rFonts w:ascii="Century Gothic" w:eastAsia="Times New Roman" w:hAnsi="Century Gothic"/>
          <w:color w:val="000000" w:themeColor="text1"/>
        </w:rPr>
        <w:t xml:space="preserve"> </w:t>
      </w:r>
      <w:r w:rsidRPr="003E7FBB">
        <w:rPr>
          <w:rFonts w:ascii="Century Gothic" w:eastAsia="Times New Roman" w:hAnsi="Century Gothic"/>
          <w:color w:val="000000" w:themeColor="text1"/>
        </w:rPr>
        <w:t xml:space="preserve">residents enrolled in the FSS program had an </w:t>
      </w:r>
      <w:proofErr w:type="gramStart"/>
      <w:r w:rsidRPr="003E7FBB">
        <w:rPr>
          <w:rFonts w:ascii="Century Gothic" w:eastAsia="Times New Roman" w:hAnsi="Century Gothic"/>
          <w:color w:val="000000" w:themeColor="text1"/>
        </w:rPr>
        <w:t>average earned</w:t>
      </w:r>
      <w:proofErr w:type="gramEnd"/>
      <w:r w:rsidRPr="003E7FBB">
        <w:rPr>
          <w:rFonts w:ascii="Century Gothic" w:eastAsia="Times New Roman" w:hAnsi="Century Gothic"/>
          <w:color w:val="000000" w:themeColor="text1"/>
        </w:rPr>
        <w:t xml:space="preserve"> household income of $</w:t>
      </w:r>
      <w:proofErr w:type="gramStart"/>
      <w:r w:rsidR="18C6330B" w:rsidRPr="00BF4AA9">
        <w:rPr>
          <w:rFonts w:ascii="Century Gothic" w:eastAsia="Times New Roman" w:hAnsi="Century Gothic"/>
          <w:color w:val="000000" w:themeColor="text1"/>
        </w:rPr>
        <w:t>28,908</w:t>
      </w:r>
      <w:proofErr w:type="gramEnd"/>
      <w:r w:rsidR="44808A55" w:rsidRPr="00BF4AA9">
        <w:rPr>
          <w:rFonts w:ascii="Century Gothic" w:eastAsia="Times New Roman" w:hAnsi="Century Gothic"/>
          <w:color w:val="000000" w:themeColor="text1"/>
        </w:rPr>
        <w:t xml:space="preserve"> </w:t>
      </w:r>
      <w:r w:rsidR="00B07A97" w:rsidRPr="003E7FBB">
        <w:rPr>
          <w:rFonts w:ascii="Century Gothic" w:eastAsia="Times New Roman" w:hAnsi="Century Gothic"/>
          <w:color w:val="000000" w:themeColor="text1"/>
        </w:rPr>
        <w:t>which</w:t>
      </w:r>
      <w:r w:rsidR="37080D5B" w:rsidRPr="003E7FBB">
        <w:rPr>
          <w:rFonts w:ascii="Century Gothic" w:eastAsia="Times New Roman" w:hAnsi="Century Gothic"/>
          <w:color w:val="000000" w:themeColor="text1"/>
        </w:rPr>
        <w:t xml:space="preserve"> is a</w:t>
      </w:r>
      <w:r w:rsidR="529A7672" w:rsidRPr="003E7FBB">
        <w:rPr>
          <w:rFonts w:ascii="Century Gothic" w:eastAsia="Times New Roman" w:hAnsi="Century Gothic"/>
          <w:color w:val="000000" w:themeColor="text1"/>
        </w:rPr>
        <w:t xml:space="preserve"> </w:t>
      </w:r>
      <w:r w:rsidR="635C23D2" w:rsidRPr="00BF4AA9">
        <w:rPr>
          <w:rFonts w:ascii="Century Gothic" w:eastAsia="Times New Roman" w:hAnsi="Century Gothic"/>
          <w:color w:val="000000" w:themeColor="text1"/>
        </w:rPr>
        <w:t>7</w:t>
      </w:r>
      <w:r w:rsidR="6553A4AB" w:rsidRPr="003E7FBB">
        <w:rPr>
          <w:rFonts w:ascii="Century Gothic" w:eastAsia="Times New Roman" w:hAnsi="Century Gothic"/>
          <w:color w:val="000000" w:themeColor="text1"/>
        </w:rPr>
        <w:t>% decrease from the $</w:t>
      </w:r>
      <w:r w:rsidR="4978FE42" w:rsidRPr="00BF4AA9">
        <w:rPr>
          <w:rFonts w:ascii="Century Gothic" w:eastAsia="Times New Roman" w:hAnsi="Century Gothic"/>
          <w:color w:val="000000" w:themeColor="text1"/>
        </w:rPr>
        <w:t>31</w:t>
      </w:r>
      <w:r w:rsidR="5EFF36C9" w:rsidRPr="00BF4AA9">
        <w:rPr>
          <w:rFonts w:ascii="Century Gothic" w:eastAsia="Times New Roman" w:hAnsi="Century Gothic"/>
          <w:color w:val="000000" w:themeColor="text1"/>
        </w:rPr>
        <w:t>,</w:t>
      </w:r>
      <w:r w:rsidR="4978FE42" w:rsidRPr="00BF4AA9">
        <w:rPr>
          <w:rFonts w:ascii="Century Gothic" w:eastAsia="Times New Roman" w:hAnsi="Century Gothic"/>
          <w:color w:val="000000" w:themeColor="text1"/>
        </w:rPr>
        <w:t>204</w:t>
      </w:r>
      <w:r w:rsidR="11E1C303" w:rsidRPr="003E7FBB">
        <w:rPr>
          <w:rFonts w:ascii="Century Gothic" w:eastAsia="Times New Roman" w:hAnsi="Century Gothic"/>
          <w:color w:val="000000" w:themeColor="text1"/>
        </w:rPr>
        <w:t xml:space="preserve"> </w:t>
      </w:r>
      <w:r w:rsidR="6553A4AB" w:rsidRPr="003E7FBB">
        <w:rPr>
          <w:rFonts w:ascii="Century Gothic" w:eastAsia="Times New Roman" w:hAnsi="Century Gothic"/>
          <w:color w:val="000000" w:themeColor="text1"/>
        </w:rPr>
        <w:t>average earned household income reported in FY2</w:t>
      </w:r>
      <w:r w:rsidR="4A5EFA64" w:rsidRPr="00BF4AA9">
        <w:rPr>
          <w:rFonts w:ascii="Century Gothic" w:eastAsia="Times New Roman" w:hAnsi="Century Gothic"/>
          <w:color w:val="000000" w:themeColor="text1"/>
        </w:rPr>
        <w:t>3</w:t>
      </w:r>
      <w:r w:rsidR="6553A4AB" w:rsidRPr="003E7FBB">
        <w:rPr>
          <w:rFonts w:ascii="Century Gothic" w:eastAsia="Times New Roman" w:hAnsi="Century Gothic"/>
          <w:color w:val="000000" w:themeColor="text1"/>
        </w:rPr>
        <w:t>.</w:t>
      </w:r>
      <w:r w:rsidR="6553A4AB" w:rsidRPr="188A1EBF">
        <w:rPr>
          <w:rFonts w:ascii="Century Gothic" w:eastAsia="Times New Roman" w:hAnsi="Century Gothic"/>
          <w:color w:val="000000" w:themeColor="text1"/>
        </w:rPr>
        <w:t xml:space="preserve"> </w:t>
      </w:r>
    </w:p>
    <w:p w14:paraId="3C4B27CC" w14:textId="77777777" w:rsidR="0063709D" w:rsidRPr="00C35EA7" w:rsidRDefault="0063709D" w:rsidP="0E6C54AB">
      <w:pPr>
        <w:spacing w:line="276" w:lineRule="auto"/>
        <w:jc w:val="both"/>
        <w:rPr>
          <w:rFonts w:ascii="Century Gothic" w:eastAsia="Times New Roman" w:hAnsi="Century Gothic"/>
          <w:color w:val="000000" w:themeColor="text1"/>
        </w:rPr>
      </w:pPr>
    </w:p>
    <w:p w14:paraId="49D3394F" w14:textId="1F49810D" w:rsidR="1B4A8018" w:rsidRPr="00C35EA7" w:rsidRDefault="240026B4" w:rsidP="188A1EBF">
      <w:pPr>
        <w:spacing w:line="276" w:lineRule="auto"/>
        <w:jc w:val="both"/>
        <w:rPr>
          <w:rFonts w:ascii="Century Gothic" w:eastAsia="Times New Roman" w:hAnsi="Century Gothic"/>
          <w:color w:val="000000" w:themeColor="text1"/>
        </w:rPr>
      </w:pPr>
      <w:r w:rsidRPr="188A1EBF">
        <w:rPr>
          <w:rFonts w:ascii="Century Gothic" w:eastAsia="Times New Roman" w:hAnsi="Century Gothic"/>
          <w:color w:val="000000" w:themeColor="text1"/>
        </w:rPr>
        <w:t>In FY202</w:t>
      </w:r>
      <w:r w:rsidR="6698EC8B" w:rsidRPr="188A1EBF">
        <w:rPr>
          <w:rFonts w:ascii="Century Gothic" w:eastAsia="Times New Roman" w:hAnsi="Century Gothic"/>
          <w:color w:val="000000" w:themeColor="text1"/>
        </w:rPr>
        <w:t>3</w:t>
      </w:r>
      <w:r w:rsidRPr="188A1EBF">
        <w:rPr>
          <w:rFonts w:ascii="Century Gothic" w:eastAsia="Times New Roman" w:hAnsi="Century Gothic"/>
          <w:color w:val="000000" w:themeColor="text1"/>
        </w:rPr>
        <w:t>, ECC/HANH identified families who are “work</w:t>
      </w:r>
      <w:r w:rsidR="1C23FB83" w:rsidRPr="188A1EBF">
        <w:rPr>
          <w:rFonts w:ascii="Century Gothic" w:eastAsia="Times New Roman" w:hAnsi="Century Gothic"/>
          <w:color w:val="000000" w:themeColor="text1"/>
        </w:rPr>
        <w:t>-</w:t>
      </w:r>
      <w:r w:rsidRPr="188A1EBF">
        <w:rPr>
          <w:rFonts w:ascii="Century Gothic" w:eastAsia="Times New Roman" w:hAnsi="Century Gothic"/>
          <w:color w:val="000000" w:themeColor="text1"/>
        </w:rPr>
        <w:t xml:space="preserve">able” who were not previously identified and included their household income in </w:t>
      </w:r>
      <w:r w:rsidR="7A0885BB" w:rsidRPr="188A1EBF">
        <w:rPr>
          <w:rFonts w:ascii="Century Gothic" w:eastAsia="Times New Roman" w:hAnsi="Century Gothic"/>
          <w:color w:val="000000" w:themeColor="text1"/>
        </w:rPr>
        <w:t xml:space="preserve">the average. </w:t>
      </w:r>
      <w:proofErr w:type="gramStart"/>
      <w:r w:rsidR="7A0885BB" w:rsidRPr="188A1EBF">
        <w:rPr>
          <w:rFonts w:ascii="Century Gothic" w:eastAsia="Times New Roman" w:hAnsi="Century Gothic"/>
          <w:color w:val="000000" w:themeColor="text1"/>
        </w:rPr>
        <w:t>Due to the fact that</w:t>
      </w:r>
      <w:proofErr w:type="gramEnd"/>
      <w:r w:rsidR="7A0885BB" w:rsidRPr="188A1EBF">
        <w:rPr>
          <w:rFonts w:ascii="Century Gothic" w:eastAsia="Times New Roman" w:hAnsi="Century Gothic"/>
          <w:color w:val="000000" w:themeColor="text1"/>
        </w:rPr>
        <w:t xml:space="preserve"> some </w:t>
      </w:r>
      <w:r w:rsidR="746E04B2" w:rsidRPr="188A1EBF">
        <w:rPr>
          <w:rFonts w:ascii="Century Gothic" w:eastAsia="Times New Roman" w:hAnsi="Century Gothic"/>
          <w:color w:val="000000" w:themeColor="text1"/>
        </w:rPr>
        <w:t>families</w:t>
      </w:r>
      <w:r w:rsidR="7A0885BB" w:rsidRPr="188A1EBF">
        <w:rPr>
          <w:rFonts w:ascii="Century Gothic" w:eastAsia="Times New Roman" w:hAnsi="Century Gothic"/>
          <w:color w:val="000000" w:themeColor="text1"/>
        </w:rPr>
        <w:t xml:space="preserve"> </w:t>
      </w:r>
      <w:r w:rsidR="72C5BDAD" w:rsidRPr="188A1EBF">
        <w:rPr>
          <w:rFonts w:ascii="Century Gothic" w:eastAsia="Times New Roman" w:hAnsi="Century Gothic"/>
          <w:color w:val="000000" w:themeColor="text1"/>
        </w:rPr>
        <w:t>(1</w:t>
      </w:r>
      <w:r w:rsidR="568BA8CE" w:rsidRPr="188A1EBF">
        <w:rPr>
          <w:rFonts w:ascii="Century Gothic" w:eastAsia="Times New Roman" w:hAnsi="Century Gothic"/>
          <w:color w:val="000000" w:themeColor="text1"/>
        </w:rPr>
        <w:t>03</w:t>
      </w:r>
      <w:r w:rsidR="72C5BDAD" w:rsidRPr="188A1EBF">
        <w:rPr>
          <w:rFonts w:ascii="Century Gothic" w:eastAsia="Times New Roman" w:hAnsi="Century Gothic"/>
          <w:color w:val="000000" w:themeColor="text1"/>
        </w:rPr>
        <w:t xml:space="preserve">) </w:t>
      </w:r>
      <w:r w:rsidR="7A0885BB" w:rsidRPr="188A1EBF">
        <w:rPr>
          <w:rFonts w:ascii="Century Gothic" w:eastAsia="Times New Roman" w:hAnsi="Century Gothic"/>
          <w:color w:val="000000" w:themeColor="text1"/>
        </w:rPr>
        <w:t xml:space="preserve">were not working or </w:t>
      </w:r>
      <w:r w:rsidR="51411C02" w:rsidRPr="188A1EBF">
        <w:rPr>
          <w:rFonts w:ascii="Century Gothic" w:eastAsia="Times New Roman" w:hAnsi="Century Gothic"/>
          <w:color w:val="000000" w:themeColor="text1"/>
        </w:rPr>
        <w:t xml:space="preserve">only </w:t>
      </w:r>
      <w:r w:rsidR="7A0885BB" w:rsidRPr="188A1EBF">
        <w:rPr>
          <w:rFonts w:ascii="Century Gothic" w:eastAsia="Times New Roman" w:hAnsi="Century Gothic"/>
          <w:color w:val="000000" w:themeColor="text1"/>
        </w:rPr>
        <w:t xml:space="preserve">working part time, it caused the </w:t>
      </w:r>
      <w:proofErr w:type="gramStart"/>
      <w:r w:rsidR="7A0885BB" w:rsidRPr="188A1EBF">
        <w:rPr>
          <w:rFonts w:ascii="Century Gothic" w:eastAsia="Times New Roman" w:hAnsi="Century Gothic"/>
          <w:color w:val="000000" w:themeColor="text1"/>
        </w:rPr>
        <w:t xml:space="preserve">average </w:t>
      </w:r>
      <w:r w:rsidR="3E859F5B" w:rsidRPr="188A1EBF">
        <w:rPr>
          <w:rFonts w:ascii="Century Gothic" w:eastAsia="Times New Roman" w:hAnsi="Century Gothic"/>
          <w:color w:val="000000" w:themeColor="text1"/>
        </w:rPr>
        <w:t>earned</w:t>
      </w:r>
      <w:proofErr w:type="gramEnd"/>
      <w:r w:rsidR="3E859F5B" w:rsidRPr="188A1EBF">
        <w:rPr>
          <w:rFonts w:ascii="Century Gothic" w:eastAsia="Times New Roman" w:hAnsi="Century Gothic"/>
          <w:color w:val="000000" w:themeColor="text1"/>
        </w:rPr>
        <w:t xml:space="preserve"> household income </w:t>
      </w:r>
      <w:r w:rsidR="7A0885BB" w:rsidRPr="188A1EBF">
        <w:rPr>
          <w:rFonts w:ascii="Century Gothic" w:eastAsia="Times New Roman" w:hAnsi="Century Gothic"/>
          <w:color w:val="000000" w:themeColor="text1"/>
        </w:rPr>
        <w:t>to decrease</w:t>
      </w:r>
      <w:r w:rsidR="6AEA0EDA" w:rsidRPr="188A1EBF">
        <w:rPr>
          <w:rFonts w:ascii="Century Gothic" w:eastAsia="Times New Roman" w:hAnsi="Century Gothic"/>
          <w:color w:val="000000" w:themeColor="text1"/>
        </w:rPr>
        <w:t xml:space="preserve"> from the previous year</w:t>
      </w:r>
      <w:r w:rsidR="7A0885BB" w:rsidRPr="188A1EBF">
        <w:rPr>
          <w:rFonts w:ascii="Century Gothic" w:eastAsia="Times New Roman" w:hAnsi="Century Gothic"/>
          <w:color w:val="000000" w:themeColor="text1"/>
        </w:rPr>
        <w:t xml:space="preserve">. </w:t>
      </w:r>
      <w:r w:rsidR="00252BED" w:rsidRPr="188A1EBF">
        <w:rPr>
          <w:rFonts w:ascii="Century Gothic" w:eastAsia="Times New Roman" w:hAnsi="Century Gothic"/>
          <w:color w:val="000000" w:themeColor="text1"/>
        </w:rPr>
        <w:t xml:space="preserve">The </w:t>
      </w:r>
      <w:r w:rsidR="659078E8" w:rsidRPr="188A1EBF">
        <w:rPr>
          <w:rFonts w:ascii="Century Gothic" w:eastAsia="Times New Roman" w:hAnsi="Century Gothic"/>
          <w:color w:val="000000" w:themeColor="text1"/>
        </w:rPr>
        <w:t>Resident Services Coordinators actively support</w:t>
      </w:r>
      <w:r w:rsidR="001076D9" w:rsidRPr="188A1EBF">
        <w:rPr>
          <w:rFonts w:ascii="Century Gothic" w:eastAsia="Times New Roman" w:hAnsi="Century Gothic"/>
          <w:color w:val="000000" w:themeColor="text1"/>
        </w:rPr>
        <w:t>ed</w:t>
      </w:r>
      <w:r w:rsidR="659078E8" w:rsidRPr="188A1EBF">
        <w:rPr>
          <w:rFonts w:ascii="Century Gothic" w:eastAsia="Times New Roman" w:hAnsi="Century Gothic"/>
          <w:color w:val="000000" w:themeColor="text1"/>
        </w:rPr>
        <w:t xml:space="preserve"> unemployed families to address barriers to employment and </w:t>
      </w:r>
      <w:r w:rsidR="000B3545" w:rsidRPr="188A1EBF">
        <w:rPr>
          <w:rFonts w:ascii="Century Gothic" w:eastAsia="Times New Roman" w:hAnsi="Century Gothic"/>
          <w:color w:val="000000" w:themeColor="text1"/>
        </w:rPr>
        <w:t xml:space="preserve">to </w:t>
      </w:r>
      <w:r w:rsidR="659078E8" w:rsidRPr="188A1EBF">
        <w:rPr>
          <w:rFonts w:ascii="Century Gothic" w:eastAsia="Times New Roman" w:hAnsi="Century Gothic"/>
          <w:color w:val="000000" w:themeColor="text1"/>
        </w:rPr>
        <w:t xml:space="preserve">assist with employment resources.  </w:t>
      </w:r>
      <w:r w:rsidR="1977AB0F" w:rsidRPr="188A1EBF">
        <w:rPr>
          <w:rFonts w:ascii="Century Gothic" w:eastAsia="Times New Roman" w:hAnsi="Century Gothic"/>
          <w:color w:val="000000" w:themeColor="text1"/>
        </w:rPr>
        <w:t>Workshops and programs were created to support unemployed residents.</w:t>
      </w:r>
      <w:r w:rsidR="53737644" w:rsidRPr="188A1EBF">
        <w:rPr>
          <w:rFonts w:ascii="Century Gothic" w:eastAsia="Times New Roman" w:hAnsi="Century Gothic"/>
          <w:color w:val="000000" w:themeColor="text1"/>
        </w:rPr>
        <w:t xml:space="preserve"> Because of additional families- decreased.</w:t>
      </w:r>
    </w:p>
    <w:p w14:paraId="7DCEC165" w14:textId="2CCF3D51" w:rsidR="1B4A8018" w:rsidRPr="00C35EA7" w:rsidRDefault="1B4A8018" w:rsidP="0E6C54AB">
      <w:pPr>
        <w:spacing w:line="276" w:lineRule="auto"/>
        <w:jc w:val="both"/>
        <w:rPr>
          <w:rFonts w:ascii="Century Gothic" w:eastAsia="Times New Roman" w:hAnsi="Century Gothic"/>
        </w:rPr>
      </w:pPr>
    </w:p>
    <w:p w14:paraId="43C250E0" w14:textId="140FFA87" w:rsidR="0E6C54AB" w:rsidRPr="00BE6E59" w:rsidRDefault="7625F6C1" w:rsidP="00BE6E59">
      <w:pPr>
        <w:spacing w:line="276" w:lineRule="auto"/>
        <w:jc w:val="both"/>
        <w:rPr>
          <w:rFonts w:ascii="Century Gothic" w:eastAsia="Times New Roman" w:hAnsi="Century Gothic"/>
        </w:rPr>
      </w:pPr>
      <w:r w:rsidRPr="00C35EA7">
        <w:rPr>
          <w:rFonts w:ascii="Century Gothic" w:eastAsia="Times New Roman" w:hAnsi="Century Gothic"/>
        </w:rPr>
        <w:t xml:space="preserve">For the participants </w:t>
      </w:r>
      <w:r w:rsidR="7C7A3DA4" w:rsidRPr="00C35EA7">
        <w:rPr>
          <w:rFonts w:ascii="Century Gothic" w:eastAsia="Times New Roman" w:hAnsi="Century Gothic"/>
        </w:rPr>
        <w:t>i</w:t>
      </w:r>
      <w:r w:rsidR="6553A4AB" w:rsidRPr="00C35EA7">
        <w:rPr>
          <w:rFonts w:ascii="Century Gothic" w:eastAsia="Times New Roman" w:hAnsi="Century Gothic"/>
        </w:rPr>
        <w:t>n the HUD FSS and CARES programs</w:t>
      </w:r>
      <w:r w:rsidR="4FBE8E7E" w:rsidRPr="00C35EA7">
        <w:rPr>
          <w:rFonts w:ascii="Century Gothic" w:eastAsia="Times New Roman" w:hAnsi="Century Gothic"/>
        </w:rPr>
        <w:t xml:space="preserve">, </w:t>
      </w:r>
      <w:r w:rsidR="6553A4AB" w:rsidRPr="00C35EA7">
        <w:rPr>
          <w:rFonts w:ascii="Century Gothic" w:eastAsia="Times New Roman" w:hAnsi="Century Gothic"/>
        </w:rPr>
        <w:t>the average income is $3</w:t>
      </w:r>
      <w:r w:rsidR="0C24D601" w:rsidRPr="00C35EA7">
        <w:rPr>
          <w:rFonts w:ascii="Century Gothic" w:eastAsia="Times New Roman" w:hAnsi="Century Gothic"/>
        </w:rPr>
        <w:t>9</w:t>
      </w:r>
      <w:r w:rsidR="6553A4AB" w:rsidRPr="00C35EA7">
        <w:rPr>
          <w:rFonts w:ascii="Century Gothic" w:eastAsia="Times New Roman" w:hAnsi="Century Gothic"/>
        </w:rPr>
        <w:t>,000</w:t>
      </w:r>
      <w:r w:rsidR="1425F8BE" w:rsidRPr="00C35EA7">
        <w:rPr>
          <w:rFonts w:ascii="Century Gothic" w:eastAsia="Times New Roman" w:hAnsi="Century Gothic"/>
        </w:rPr>
        <w:t xml:space="preserve">, which is </w:t>
      </w:r>
      <w:r w:rsidR="4F0A6FF8" w:rsidRPr="00C35EA7">
        <w:rPr>
          <w:rFonts w:ascii="Century Gothic" w:eastAsia="Times New Roman" w:hAnsi="Century Gothic"/>
        </w:rPr>
        <w:t>34%</w:t>
      </w:r>
      <w:r w:rsidR="1425F8BE" w:rsidRPr="00C35EA7">
        <w:rPr>
          <w:rFonts w:ascii="Century Gothic" w:eastAsia="Times New Roman" w:hAnsi="Century Gothic"/>
        </w:rPr>
        <w:t xml:space="preserve"> </w:t>
      </w:r>
      <w:r w:rsidR="798911BD" w:rsidRPr="00C35EA7">
        <w:rPr>
          <w:rFonts w:ascii="Century Gothic" w:eastAsia="Times New Roman" w:hAnsi="Century Gothic"/>
        </w:rPr>
        <w:t xml:space="preserve">higher </w:t>
      </w:r>
      <w:r w:rsidR="1425F8BE" w:rsidRPr="00C35EA7">
        <w:rPr>
          <w:rFonts w:ascii="Century Gothic" w:eastAsia="Times New Roman" w:hAnsi="Century Gothic"/>
        </w:rPr>
        <w:t>than the average</w:t>
      </w:r>
      <w:r w:rsidR="55E669CF" w:rsidRPr="00C35EA7">
        <w:rPr>
          <w:rFonts w:ascii="Century Gothic" w:eastAsia="Times New Roman" w:hAnsi="Century Gothic"/>
        </w:rPr>
        <w:t xml:space="preserve"> for all FSS participants</w:t>
      </w:r>
      <w:r w:rsidR="00B20799">
        <w:rPr>
          <w:rFonts w:ascii="Century Gothic" w:eastAsia="Times New Roman" w:hAnsi="Century Gothic"/>
        </w:rPr>
        <w:t xml:space="preserve"> </w:t>
      </w:r>
      <w:r w:rsidR="662ED75E" w:rsidRPr="00C35EA7">
        <w:rPr>
          <w:rFonts w:ascii="Century Gothic" w:eastAsia="Times New Roman" w:hAnsi="Century Gothic"/>
        </w:rPr>
        <w:t>($28,908)</w:t>
      </w:r>
      <w:r w:rsidR="6553A4AB" w:rsidRPr="00C35EA7">
        <w:rPr>
          <w:rFonts w:ascii="Century Gothic" w:eastAsia="Times New Roman" w:hAnsi="Century Gothic"/>
        </w:rPr>
        <w:t xml:space="preserve">. </w:t>
      </w:r>
      <w:r w:rsidR="3BCBECF2" w:rsidRPr="00C35EA7">
        <w:rPr>
          <w:rFonts w:ascii="Century Gothic" w:eastAsia="Times New Roman" w:hAnsi="Century Gothic"/>
        </w:rPr>
        <w:t xml:space="preserve"> </w:t>
      </w:r>
      <w:r w:rsidR="20A58CB1" w:rsidRPr="00C35EA7">
        <w:rPr>
          <w:rFonts w:ascii="Century Gothic" w:eastAsia="Times New Roman" w:hAnsi="Century Gothic"/>
        </w:rPr>
        <w:t xml:space="preserve">This </w:t>
      </w:r>
      <w:proofErr w:type="gramStart"/>
      <w:r w:rsidR="20A58CB1" w:rsidRPr="00C35EA7">
        <w:rPr>
          <w:rFonts w:ascii="Century Gothic" w:eastAsia="Times New Roman" w:hAnsi="Century Gothic"/>
        </w:rPr>
        <w:t>an</w:t>
      </w:r>
      <w:proofErr w:type="gramEnd"/>
      <w:r w:rsidR="20A58CB1" w:rsidRPr="00C35EA7">
        <w:rPr>
          <w:rFonts w:ascii="Century Gothic" w:eastAsia="Times New Roman" w:hAnsi="Century Gothic"/>
        </w:rPr>
        <w:t xml:space="preserve"> indication that participating in </w:t>
      </w:r>
      <w:r w:rsidR="6553A4AB" w:rsidRPr="00C35EA7">
        <w:rPr>
          <w:rFonts w:ascii="Century Gothic" w:eastAsia="Times New Roman" w:hAnsi="Century Gothic"/>
        </w:rPr>
        <w:t>FSS program</w:t>
      </w:r>
      <w:r w:rsidR="4C7E0964" w:rsidRPr="00C35EA7">
        <w:rPr>
          <w:rFonts w:ascii="Century Gothic" w:eastAsia="Times New Roman" w:hAnsi="Century Gothic"/>
        </w:rPr>
        <w:t>s will assist families in incr</w:t>
      </w:r>
      <w:r w:rsidR="571AFF9C" w:rsidRPr="00C35EA7">
        <w:rPr>
          <w:rFonts w:ascii="Century Gothic" w:eastAsia="Times New Roman" w:hAnsi="Century Gothic"/>
        </w:rPr>
        <w:t>e</w:t>
      </w:r>
      <w:r w:rsidR="4C7E0964" w:rsidRPr="00C35EA7">
        <w:rPr>
          <w:rFonts w:ascii="Century Gothic" w:eastAsia="Times New Roman" w:hAnsi="Century Gothic"/>
        </w:rPr>
        <w:t>asing their household income</w:t>
      </w:r>
      <w:r w:rsidR="7C77464E" w:rsidRPr="00C35EA7">
        <w:rPr>
          <w:rFonts w:ascii="Century Gothic" w:eastAsia="Times New Roman" w:hAnsi="Century Gothic"/>
        </w:rPr>
        <w:t>. The goal is to reach the</w:t>
      </w:r>
      <w:r w:rsidR="45C0E7EB" w:rsidRPr="00C35EA7">
        <w:rPr>
          <w:rFonts w:ascii="Century Gothic" w:eastAsia="Times New Roman" w:hAnsi="Century Gothic"/>
        </w:rPr>
        <w:t xml:space="preserve"> </w:t>
      </w:r>
      <w:r w:rsidR="0D1F2328" w:rsidRPr="00C35EA7">
        <w:rPr>
          <w:rFonts w:ascii="Century Gothic" w:eastAsia="Times New Roman" w:hAnsi="Century Gothic"/>
        </w:rPr>
        <w:t>New Haven AMI of $</w:t>
      </w:r>
      <w:r w:rsidR="76057AB5" w:rsidRPr="00C35EA7">
        <w:rPr>
          <w:rFonts w:ascii="Century Gothic" w:eastAsia="Times New Roman" w:hAnsi="Century Gothic"/>
        </w:rPr>
        <w:t>54,305</w:t>
      </w:r>
      <w:r w:rsidR="7EF3284F" w:rsidRPr="00C35EA7">
        <w:rPr>
          <w:rFonts w:ascii="Century Gothic" w:eastAsia="Times New Roman" w:hAnsi="Century Gothic"/>
        </w:rPr>
        <w:t xml:space="preserve">. </w:t>
      </w:r>
      <w:r w:rsidR="34ACF4F5" w:rsidRPr="00C35EA7">
        <w:rPr>
          <w:rFonts w:ascii="Century Gothic" w:eastAsia="Times New Roman" w:hAnsi="Century Gothic"/>
        </w:rPr>
        <w:t xml:space="preserve"> </w:t>
      </w:r>
    </w:p>
    <w:p w14:paraId="1EC69885" w14:textId="77777777" w:rsidR="0044440D" w:rsidRPr="00C35EA7" w:rsidRDefault="0044440D" w:rsidP="0044440D">
      <w:pPr>
        <w:rPr>
          <w:rFonts w:ascii="Century Gothic" w:eastAsia="Times New Roman" w:hAnsi="Century Gothic"/>
          <w:sz w:val="24"/>
          <w:lang w:eastAsia="en-US"/>
        </w:rPr>
      </w:pPr>
      <w:r w:rsidRPr="00C35EA7">
        <w:rPr>
          <w:rFonts w:ascii="Century Gothic" w:eastAsia="Times New Roman" w:hAnsi="Century Gothic"/>
          <w:noProof/>
          <w:sz w:val="24"/>
          <w:lang w:eastAsia="en-US"/>
        </w:rPr>
        <w:lastRenderedPageBreak/>
        <w:drawing>
          <wp:inline distT="0" distB="0" distL="0" distR="0" wp14:anchorId="43D5E555" wp14:editId="4041D739">
            <wp:extent cx="4972685" cy="3030855"/>
            <wp:effectExtent l="0" t="0" r="0" b="0"/>
            <wp:docPr id="1081129943" name="Picture 8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29943" name="Picture 1081129943" descr="Chart, line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2685" cy="3030855"/>
                    </a:xfrm>
                    <a:prstGeom prst="rect">
                      <a:avLst/>
                    </a:prstGeom>
                    <a:noFill/>
                    <a:ln>
                      <a:noFill/>
                    </a:ln>
                  </pic:spPr>
                </pic:pic>
              </a:graphicData>
            </a:graphic>
          </wp:inline>
        </w:drawing>
      </w:r>
    </w:p>
    <w:p w14:paraId="05BA7874" w14:textId="4EEBC657" w:rsidR="00BCB500" w:rsidRPr="00C35EA7" w:rsidRDefault="6DE05348" w:rsidP="00517068">
      <w:pPr>
        <w:spacing w:line="276" w:lineRule="auto"/>
        <w:jc w:val="center"/>
        <w:rPr>
          <w:rFonts w:ascii="Century Gothic" w:eastAsia="Times New Roman" w:hAnsi="Century Gothic"/>
          <w:b/>
          <w:bCs/>
        </w:rPr>
      </w:pPr>
      <w:r w:rsidRPr="00C35EA7">
        <w:rPr>
          <w:rFonts w:ascii="Century Gothic" w:eastAsia="Times New Roman" w:hAnsi="Century Gothic"/>
          <w:b/>
          <w:bCs/>
        </w:rPr>
        <w:t>FSS PROGRAM – AVERAGE INCOME</w:t>
      </w:r>
    </w:p>
    <w:p w14:paraId="480D019A" w14:textId="62F0D1CB" w:rsidR="00BCB500" w:rsidRPr="00C35EA7" w:rsidRDefault="00BCB500" w:rsidP="00517068">
      <w:pPr>
        <w:spacing w:line="276" w:lineRule="auto"/>
        <w:jc w:val="center"/>
        <w:rPr>
          <w:rFonts w:ascii="Century Gothic" w:hAnsi="Century Gothic"/>
        </w:rPr>
      </w:pPr>
    </w:p>
    <w:p w14:paraId="1EC4B00E" w14:textId="055FDAF5" w:rsidR="00F91A50" w:rsidRPr="00C35EA7" w:rsidRDefault="00DE6A54" w:rsidP="2A137AEF">
      <w:pPr>
        <w:spacing w:line="276" w:lineRule="auto"/>
        <w:jc w:val="both"/>
        <w:rPr>
          <w:rFonts w:ascii="Century Gothic" w:eastAsia="Times New Roman" w:hAnsi="Century Gothic"/>
          <w:color w:val="000000" w:themeColor="text1"/>
        </w:rPr>
      </w:pPr>
      <w:r w:rsidRPr="00C35EA7">
        <w:rPr>
          <w:rFonts w:ascii="Century Gothic" w:hAnsi="Century Gothic"/>
          <w:noProof/>
        </w:rPr>
        <mc:AlternateContent>
          <mc:Choice Requires="wpg">
            <w:drawing>
              <wp:anchor distT="0" distB="0" distL="114300" distR="114300" simplePos="0" relativeHeight="251658262" behindDoc="0" locked="0" layoutInCell="1" allowOverlap="1" wp14:anchorId="001E67B5" wp14:editId="16E90B36">
                <wp:simplePos x="0" y="0"/>
                <wp:positionH relativeFrom="margin">
                  <wp:posOffset>4815205</wp:posOffset>
                </wp:positionH>
                <wp:positionV relativeFrom="paragraph">
                  <wp:posOffset>93345</wp:posOffset>
                </wp:positionV>
                <wp:extent cx="1922780" cy="1896745"/>
                <wp:effectExtent l="0" t="0" r="0" b="0"/>
                <wp:wrapNone/>
                <wp:docPr id="45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2780" cy="1896745"/>
                          <a:chOff x="-2740870" y="4267402"/>
                          <a:chExt cx="3033101" cy="2827020"/>
                        </a:xfrm>
                      </wpg:grpSpPr>
                      <pic:pic xmlns:pic="http://schemas.openxmlformats.org/drawingml/2006/picture">
                        <pic:nvPicPr>
                          <pic:cNvPr id="92" name="Graphic 26" descr="House"/>
                          <pic:cNvPicPr>
                            <a:picLocks noChangeAspect="1"/>
                          </pic:cNvPicPr>
                        </pic:nvPicPr>
                        <pic:blipFill>
                          <a:blip r:embed="rId20" cstate="print"/>
                          <a:stretch>
                            <a:fillRect/>
                          </a:stretch>
                        </pic:blipFill>
                        <pic:spPr>
                          <a:xfrm>
                            <a:off x="-2559996" y="4267402"/>
                            <a:ext cx="2827020" cy="2827020"/>
                          </a:xfrm>
                          <a:prstGeom prst="rect">
                            <a:avLst/>
                          </a:prstGeom>
                        </pic:spPr>
                      </pic:pic>
                      <wps:wsp>
                        <wps:cNvPr id="94" name="Text Box 27"/>
                        <wps:cNvSpPr txBox="1">
                          <a:spLocks noChangeArrowheads="1"/>
                        </wps:cNvSpPr>
                        <wps:spPr bwMode="auto">
                          <a:xfrm>
                            <a:off x="-2740870" y="4605648"/>
                            <a:ext cx="3033101" cy="2359267"/>
                          </a:xfrm>
                          <a:prstGeom prst="rect">
                            <a:avLst/>
                          </a:prstGeom>
                          <a:noFill/>
                          <a:ln>
                            <a:noFill/>
                          </a:ln>
                        </wps:spPr>
                        <wps:txbx>
                          <w:txbxContent>
                            <w:p w14:paraId="441C3D93" w14:textId="77777777" w:rsidR="00F91A50" w:rsidRDefault="00F91A50" w:rsidP="00F91A50">
                              <w:pPr>
                                <w:rPr>
                                  <w:rFonts w:ascii="Arial Black" w:hAnsi="Arial Black"/>
                                  <w:color w:val="B5333C"/>
                                  <w:sz w:val="36"/>
                                  <w:szCs w:val="36"/>
                                </w:rPr>
                              </w:pPr>
                            </w:p>
                            <w:p w14:paraId="0A73132A" w14:textId="5B1BDAD9" w:rsidR="00F91A50" w:rsidRDefault="00286031" w:rsidP="00286031">
                              <w:pPr>
                                <w:rPr>
                                  <w:rFonts w:ascii="Arial Black" w:hAnsi="Arial Black"/>
                                  <w:color w:val="B5333C"/>
                                  <w:sz w:val="144"/>
                                  <w:szCs w:val="110"/>
                                </w:rPr>
                              </w:pPr>
                              <w:r>
                                <w:rPr>
                                  <w:rFonts w:ascii="Arial Black" w:hAnsi="Arial Black"/>
                                  <w:color w:val="B5333C"/>
                                  <w:sz w:val="36"/>
                                  <w:szCs w:val="36"/>
                                </w:rPr>
                                <w:t xml:space="preserve">         </w:t>
                              </w:r>
                              <w:r w:rsidR="00517068">
                                <w:rPr>
                                  <w:rFonts w:ascii="Arial Black" w:hAnsi="Arial Black"/>
                                  <w:color w:val="B5333C"/>
                                  <w:sz w:val="36"/>
                                  <w:szCs w:val="36"/>
                                </w:rPr>
                                <w:t xml:space="preserve">35 </w:t>
                              </w:r>
                            </w:p>
                            <w:p w14:paraId="0DCC1BD2" w14:textId="32F0BC7A" w:rsidR="00286031" w:rsidRPr="00286031" w:rsidRDefault="00517068" w:rsidP="00517068">
                              <w:pPr>
                                <w:jc w:val="center"/>
                                <w:rPr>
                                  <w:rFonts w:ascii="Arial Black" w:hAnsi="Arial Black"/>
                                  <w:color w:val="B5333C"/>
                                  <w:sz w:val="18"/>
                                  <w:szCs w:val="18"/>
                                </w:rPr>
                              </w:pPr>
                              <w:r>
                                <w:rPr>
                                  <w:rFonts w:ascii="Arial Black" w:hAnsi="Arial Black"/>
                                  <w:color w:val="B5333C"/>
                                  <w:sz w:val="18"/>
                                  <w:szCs w:val="18"/>
                                </w:rPr>
                                <w:t xml:space="preserve">Point </w:t>
                              </w:r>
                              <w:r w:rsidR="00F91A50" w:rsidRPr="00286031">
                                <w:rPr>
                                  <w:rFonts w:ascii="Arial Black" w:hAnsi="Arial Black"/>
                                  <w:color w:val="B5333C"/>
                                  <w:sz w:val="18"/>
                                  <w:szCs w:val="18"/>
                                </w:rPr>
                                <w:t>Increase in</w:t>
                              </w:r>
                            </w:p>
                            <w:p w14:paraId="143EEC33" w14:textId="10D0DCFE" w:rsidR="00286031" w:rsidRPr="00286031" w:rsidRDefault="00F91A50" w:rsidP="00517068">
                              <w:pPr>
                                <w:jc w:val="center"/>
                                <w:rPr>
                                  <w:rFonts w:ascii="Arial Black" w:hAnsi="Arial Black"/>
                                  <w:color w:val="B5333C"/>
                                  <w:sz w:val="18"/>
                                  <w:szCs w:val="18"/>
                                </w:rPr>
                              </w:pPr>
                              <w:r w:rsidRPr="00286031">
                                <w:rPr>
                                  <w:rFonts w:ascii="Arial Black" w:hAnsi="Arial Black"/>
                                  <w:color w:val="B5333C"/>
                                  <w:sz w:val="18"/>
                                  <w:szCs w:val="18"/>
                                </w:rPr>
                                <w:t>average</w:t>
                              </w:r>
                            </w:p>
                            <w:p w14:paraId="7BB2E5CE" w14:textId="37BAC7F4" w:rsidR="00F91A50" w:rsidRPr="00286031" w:rsidRDefault="00F91A50" w:rsidP="00517068">
                              <w:pPr>
                                <w:jc w:val="center"/>
                                <w:rPr>
                                  <w:rFonts w:cs="Arial"/>
                                  <w:b/>
                                  <w:i/>
                                  <w:color w:val="B5333C"/>
                                  <w:sz w:val="18"/>
                                  <w:szCs w:val="18"/>
                                </w:rPr>
                              </w:pPr>
                              <w:r w:rsidRPr="00286031">
                                <w:rPr>
                                  <w:rFonts w:ascii="Arial Black" w:hAnsi="Arial Black"/>
                                  <w:color w:val="B5333C"/>
                                  <w:sz w:val="18"/>
                                  <w:szCs w:val="18"/>
                                </w:rPr>
                                <w:t>credit score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E67B5" id="Group 90" o:spid="_x0000_s1060" style="position:absolute;left:0;text-align:left;margin-left:379.15pt;margin-top:7.35pt;width:151.4pt;height:149.35pt;z-index:251658262;mso-position-horizontal-relative:margin;mso-position-vertical-relative:text" coordorigin="-27408,42674" coordsize="3033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">
                <v:shape id="Graphic 26" o:spid="_x0000_s1061" type="#_x0000_t75" alt="House" style="position:absolute;left:-25599;top:42674;width:28269;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">
                  <v:imagedata r:id="rId21" o:title="House"/>
                </v:shape>
                <v:shape id="Text Box 27" o:spid="_x0000_s1062" type="#_x0000_t202" style="position:absolute;left:-27408;top:46056;width:30330;height:2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441C3D93" w14:textId="77777777" w:rsidR="00F91A50" w:rsidRDefault="00F91A50" w:rsidP="00F91A50">
                        <w:pPr>
                          <w:rPr>
                            <w:rFonts w:ascii="Arial Black" w:hAnsi="Arial Black"/>
                            <w:color w:val="B5333C"/>
                            <w:sz w:val="36"/>
                            <w:szCs w:val="36"/>
                          </w:rPr>
                        </w:pPr>
                      </w:p>
                      <w:p w14:paraId="0A73132A" w14:textId="5B1BDAD9" w:rsidR="00F91A50" w:rsidRDefault="00286031" w:rsidP="00286031">
                        <w:pPr>
                          <w:rPr>
                            <w:rFonts w:ascii="Arial Black" w:hAnsi="Arial Black"/>
                            <w:color w:val="B5333C"/>
                            <w:sz w:val="144"/>
                            <w:szCs w:val="110"/>
                          </w:rPr>
                        </w:pPr>
                        <w:r>
                          <w:rPr>
                            <w:rFonts w:ascii="Arial Black" w:hAnsi="Arial Black"/>
                            <w:color w:val="B5333C"/>
                            <w:sz w:val="36"/>
                            <w:szCs w:val="36"/>
                          </w:rPr>
                          <w:t xml:space="preserve">         </w:t>
                        </w:r>
                        <w:r w:rsidR="00517068">
                          <w:rPr>
                            <w:rFonts w:ascii="Arial Black" w:hAnsi="Arial Black"/>
                            <w:color w:val="B5333C"/>
                            <w:sz w:val="36"/>
                            <w:szCs w:val="36"/>
                          </w:rPr>
                          <w:t xml:space="preserve">35 </w:t>
                        </w:r>
                      </w:p>
                      <w:p w14:paraId="0DCC1BD2" w14:textId="32F0BC7A" w:rsidR="00286031" w:rsidRPr="00286031" w:rsidRDefault="00517068" w:rsidP="00517068">
                        <w:pPr>
                          <w:jc w:val="center"/>
                          <w:rPr>
                            <w:rFonts w:ascii="Arial Black" w:hAnsi="Arial Black"/>
                            <w:color w:val="B5333C"/>
                            <w:sz w:val="18"/>
                            <w:szCs w:val="18"/>
                          </w:rPr>
                        </w:pPr>
                        <w:r>
                          <w:rPr>
                            <w:rFonts w:ascii="Arial Black" w:hAnsi="Arial Black"/>
                            <w:color w:val="B5333C"/>
                            <w:sz w:val="18"/>
                            <w:szCs w:val="18"/>
                          </w:rPr>
                          <w:t xml:space="preserve">Point </w:t>
                        </w:r>
                        <w:r w:rsidR="00F91A50" w:rsidRPr="00286031">
                          <w:rPr>
                            <w:rFonts w:ascii="Arial Black" w:hAnsi="Arial Black"/>
                            <w:color w:val="B5333C"/>
                            <w:sz w:val="18"/>
                            <w:szCs w:val="18"/>
                          </w:rPr>
                          <w:t>Increase in</w:t>
                        </w:r>
                      </w:p>
                      <w:p w14:paraId="143EEC33" w14:textId="10D0DCFE" w:rsidR="00286031" w:rsidRPr="00286031" w:rsidRDefault="00F91A50" w:rsidP="00517068">
                        <w:pPr>
                          <w:jc w:val="center"/>
                          <w:rPr>
                            <w:rFonts w:ascii="Arial Black" w:hAnsi="Arial Black"/>
                            <w:color w:val="B5333C"/>
                            <w:sz w:val="18"/>
                            <w:szCs w:val="18"/>
                          </w:rPr>
                        </w:pPr>
                        <w:r w:rsidRPr="00286031">
                          <w:rPr>
                            <w:rFonts w:ascii="Arial Black" w:hAnsi="Arial Black"/>
                            <w:color w:val="B5333C"/>
                            <w:sz w:val="18"/>
                            <w:szCs w:val="18"/>
                          </w:rPr>
                          <w:t>average</w:t>
                        </w:r>
                      </w:p>
                      <w:p w14:paraId="7BB2E5CE" w14:textId="37BAC7F4" w:rsidR="00F91A50" w:rsidRPr="00286031" w:rsidRDefault="00F91A50" w:rsidP="00517068">
                        <w:pPr>
                          <w:jc w:val="center"/>
                          <w:rPr>
                            <w:rFonts w:cs="Arial"/>
                            <w:b/>
                            <w:i/>
                            <w:color w:val="B5333C"/>
                            <w:sz w:val="18"/>
                            <w:szCs w:val="18"/>
                          </w:rPr>
                        </w:pPr>
                        <w:r w:rsidRPr="00286031">
                          <w:rPr>
                            <w:rFonts w:ascii="Arial Black" w:hAnsi="Arial Black"/>
                            <w:color w:val="B5333C"/>
                            <w:sz w:val="18"/>
                            <w:szCs w:val="18"/>
                          </w:rPr>
                          <w:t>credit score</w:t>
                        </w:r>
                      </w:p>
                    </w:txbxContent>
                  </v:textbox>
                </v:shape>
                <w10:wrap anchorx="margin"/>
              </v:group>
            </w:pict>
          </mc:Fallback>
        </mc:AlternateContent>
      </w:r>
      <w:r w:rsidRPr="00C35EA7">
        <w:rPr>
          <w:rFonts w:ascii="Century Gothic" w:hAnsi="Century Gothic"/>
          <w:noProof/>
        </w:rPr>
        <mc:AlternateContent>
          <mc:Choice Requires="wpg">
            <w:drawing>
              <wp:anchor distT="0" distB="0" distL="114300" distR="114300" simplePos="0" relativeHeight="251658261" behindDoc="0" locked="0" layoutInCell="1" allowOverlap="1" wp14:anchorId="33E94AAF" wp14:editId="0B7BA436">
                <wp:simplePos x="0" y="0"/>
                <wp:positionH relativeFrom="margin">
                  <wp:posOffset>2362835</wp:posOffset>
                </wp:positionH>
                <wp:positionV relativeFrom="paragraph">
                  <wp:posOffset>7620</wp:posOffset>
                </wp:positionV>
                <wp:extent cx="1991360" cy="2108835"/>
                <wp:effectExtent l="0" t="0" r="0" b="0"/>
                <wp:wrapNone/>
                <wp:docPr id="45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1360" cy="2108835"/>
                          <a:chOff x="-2740870" y="4267402"/>
                          <a:chExt cx="3033101" cy="2827020"/>
                        </a:xfrm>
                      </wpg:grpSpPr>
                      <pic:pic xmlns:pic="http://schemas.openxmlformats.org/drawingml/2006/picture">
                        <pic:nvPicPr>
                          <pic:cNvPr id="86" name="Graphic 26" descr="House"/>
                          <pic:cNvPicPr>
                            <a:picLocks noChangeAspect="1"/>
                          </pic:cNvPicPr>
                        </pic:nvPicPr>
                        <pic:blipFill>
                          <a:blip r:embed="rId20" cstate="print"/>
                          <a:stretch>
                            <a:fillRect/>
                          </a:stretch>
                        </pic:blipFill>
                        <pic:spPr>
                          <a:xfrm>
                            <a:off x="-2559996" y="4267402"/>
                            <a:ext cx="2827020" cy="2827020"/>
                          </a:xfrm>
                          <a:prstGeom prst="rect">
                            <a:avLst/>
                          </a:prstGeom>
                        </pic:spPr>
                      </pic:pic>
                      <wps:wsp>
                        <wps:cNvPr id="87" name="Text Box 27"/>
                        <wps:cNvSpPr txBox="1">
                          <a:spLocks noChangeArrowheads="1"/>
                        </wps:cNvSpPr>
                        <wps:spPr bwMode="auto">
                          <a:xfrm>
                            <a:off x="-2740870" y="4558465"/>
                            <a:ext cx="3033101" cy="2406451"/>
                          </a:xfrm>
                          <a:prstGeom prst="rect">
                            <a:avLst/>
                          </a:prstGeom>
                          <a:noFill/>
                          <a:ln>
                            <a:noFill/>
                          </a:ln>
                        </wps:spPr>
                        <wps:txbx>
                          <w:txbxContent>
                            <w:p w14:paraId="5272B4A9" w14:textId="35EB2B9B" w:rsidR="00C55163" w:rsidRDefault="00286031" w:rsidP="00C55163">
                              <w:pPr>
                                <w:rPr>
                                  <w:rFonts w:ascii="Arial Black" w:hAnsi="Arial Black"/>
                                  <w:color w:val="B5333C"/>
                                  <w:sz w:val="36"/>
                                  <w:szCs w:val="36"/>
                                </w:rPr>
                              </w:pPr>
                              <w:r>
                                <w:rPr>
                                  <w:rFonts w:ascii="Arial Black" w:hAnsi="Arial Black"/>
                                  <w:color w:val="B5333C"/>
                                  <w:sz w:val="36"/>
                                  <w:szCs w:val="36"/>
                                </w:rPr>
                                <w:t xml:space="preserve"> </w:t>
                              </w:r>
                            </w:p>
                            <w:p w14:paraId="2DD11BDC" w14:textId="77777777" w:rsidR="00517068" w:rsidRDefault="00C55163" w:rsidP="00C55163">
                              <w:pPr>
                                <w:rPr>
                                  <w:rFonts w:ascii="Arial Black" w:hAnsi="Arial Black"/>
                                  <w:color w:val="B5333C"/>
                                  <w:sz w:val="36"/>
                                  <w:szCs w:val="36"/>
                                </w:rPr>
                              </w:pPr>
                              <w:r>
                                <w:rPr>
                                  <w:rFonts w:ascii="Arial Black" w:hAnsi="Arial Black"/>
                                  <w:color w:val="B5333C"/>
                                  <w:sz w:val="36"/>
                                  <w:szCs w:val="36"/>
                                </w:rPr>
                                <w:t xml:space="preserve">   </w:t>
                              </w:r>
                              <w:r w:rsidR="00286031">
                                <w:rPr>
                                  <w:rFonts w:ascii="Arial Black" w:hAnsi="Arial Black"/>
                                  <w:color w:val="B5333C"/>
                                  <w:sz w:val="36"/>
                                  <w:szCs w:val="36"/>
                                </w:rPr>
                                <w:t xml:space="preserve">    </w:t>
                              </w:r>
                            </w:p>
                            <w:p w14:paraId="73C0B5E6" w14:textId="576C0B8F" w:rsidR="00C55163" w:rsidRDefault="00DD07D1" w:rsidP="00517068">
                              <w:pPr>
                                <w:jc w:val="center"/>
                                <w:rPr>
                                  <w:rFonts w:ascii="Arial Black" w:hAnsi="Arial Black"/>
                                  <w:color w:val="B5333C"/>
                                  <w:sz w:val="144"/>
                                  <w:szCs w:val="110"/>
                                </w:rPr>
                              </w:pPr>
                              <w:r>
                                <w:rPr>
                                  <w:rFonts w:ascii="Arial Black" w:hAnsi="Arial Black"/>
                                  <w:color w:val="B5333C"/>
                                  <w:sz w:val="36"/>
                                  <w:szCs w:val="36"/>
                                </w:rPr>
                                <w:t>27</w:t>
                              </w:r>
                              <w:r w:rsidR="00517068">
                                <w:rPr>
                                  <w:rFonts w:ascii="Arial Black" w:hAnsi="Arial Black"/>
                                  <w:color w:val="B5333C"/>
                                  <w:sz w:val="36"/>
                                  <w:szCs w:val="36"/>
                                </w:rPr>
                                <w:t>%</w:t>
                              </w:r>
                            </w:p>
                            <w:p w14:paraId="6C7EA082" w14:textId="12F7A04C" w:rsidR="00C55163" w:rsidRPr="00286031" w:rsidRDefault="00517068" w:rsidP="00517068">
                              <w:pPr>
                                <w:jc w:val="center"/>
                                <w:rPr>
                                  <w:rFonts w:cs="Arial"/>
                                  <w:b/>
                                  <w:i/>
                                  <w:color w:val="B5333C"/>
                                  <w:sz w:val="18"/>
                                  <w:szCs w:val="18"/>
                                </w:rPr>
                              </w:pPr>
                              <w:r>
                                <w:rPr>
                                  <w:rFonts w:ascii="Arial Black" w:hAnsi="Arial Black"/>
                                  <w:color w:val="B5333C"/>
                                  <w:sz w:val="18"/>
                                  <w:szCs w:val="18"/>
                                </w:rPr>
                                <w:t>D</w:t>
                              </w:r>
                              <w:r w:rsidR="00C55163" w:rsidRPr="00286031">
                                <w:rPr>
                                  <w:rFonts w:ascii="Arial Black" w:hAnsi="Arial Black"/>
                                  <w:color w:val="B5333C"/>
                                  <w:sz w:val="18"/>
                                  <w:szCs w:val="18"/>
                                </w:rPr>
                                <w:t>ebt reduction</w:t>
                              </w:r>
                              <w:r>
                                <w:rPr>
                                  <w:rFonts w:ascii="Arial Black" w:hAnsi="Arial Black"/>
                                  <w:color w:val="B5333C"/>
                                  <w:sz w:val="18"/>
                                  <w:szCs w:val="1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94AAF" id="Group 91" o:spid="_x0000_s1063" style="position:absolute;left:0;text-align:left;margin-left:186.05pt;margin-top:.6pt;width:156.8pt;height:166.05pt;z-index:251658261;mso-position-horizontal-relative:margin;mso-position-vertical-relative:text" coordorigin="-27408,42674" coordsize="3033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">
                <v:shape id="Graphic 26" o:spid="_x0000_s1064" type="#_x0000_t75" alt="House" style="position:absolute;left:-25599;top:42674;width:28269;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">
                  <v:imagedata r:id="rId21" o:title="House"/>
                </v:shape>
                <v:shape id="Text Box 27" o:spid="_x0000_s1065" type="#_x0000_t202" style="position:absolute;left:-27408;top:45584;width:30330;height:2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5272B4A9" w14:textId="35EB2B9B" w:rsidR="00C55163" w:rsidRDefault="00286031" w:rsidP="00C55163">
                        <w:pPr>
                          <w:rPr>
                            <w:rFonts w:ascii="Arial Black" w:hAnsi="Arial Black"/>
                            <w:color w:val="B5333C"/>
                            <w:sz w:val="36"/>
                            <w:szCs w:val="36"/>
                          </w:rPr>
                        </w:pPr>
                        <w:r>
                          <w:rPr>
                            <w:rFonts w:ascii="Arial Black" w:hAnsi="Arial Black"/>
                            <w:color w:val="B5333C"/>
                            <w:sz w:val="36"/>
                            <w:szCs w:val="36"/>
                          </w:rPr>
                          <w:t xml:space="preserve"> </w:t>
                        </w:r>
                      </w:p>
                      <w:p w14:paraId="2DD11BDC" w14:textId="77777777" w:rsidR="00517068" w:rsidRDefault="00C55163" w:rsidP="00C55163">
                        <w:pPr>
                          <w:rPr>
                            <w:rFonts w:ascii="Arial Black" w:hAnsi="Arial Black"/>
                            <w:color w:val="B5333C"/>
                            <w:sz w:val="36"/>
                            <w:szCs w:val="36"/>
                          </w:rPr>
                        </w:pPr>
                        <w:r>
                          <w:rPr>
                            <w:rFonts w:ascii="Arial Black" w:hAnsi="Arial Black"/>
                            <w:color w:val="B5333C"/>
                            <w:sz w:val="36"/>
                            <w:szCs w:val="36"/>
                          </w:rPr>
                          <w:t xml:space="preserve">   </w:t>
                        </w:r>
                        <w:r w:rsidR="00286031">
                          <w:rPr>
                            <w:rFonts w:ascii="Arial Black" w:hAnsi="Arial Black"/>
                            <w:color w:val="B5333C"/>
                            <w:sz w:val="36"/>
                            <w:szCs w:val="36"/>
                          </w:rPr>
                          <w:t xml:space="preserve">    </w:t>
                        </w:r>
                      </w:p>
                      <w:p w14:paraId="73C0B5E6" w14:textId="576C0B8F" w:rsidR="00C55163" w:rsidRDefault="00DD07D1" w:rsidP="00517068">
                        <w:pPr>
                          <w:jc w:val="center"/>
                          <w:rPr>
                            <w:rFonts w:ascii="Arial Black" w:hAnsi="Arial Black"/>
                            <w:color w:val="B5333C"/>
                            <w:sz w:val="144"/>
                            <w:szCs w:val="110"/>
                          </w:rPr>
                        </w:pPr>
                        <w:r>
                          <w:rPr>
                            <w:rFonts w:ascii="Arial Black" w:hAnsi="Arial Black"/>
                            <w:color w:val="B5333C"/>
                            <w:sz w:val="36"/>
                            <w:szCs w:val="36"/>
                          </w:rPr>
                          <w:t>27</w:t>
                        </w:r>
                        <w:r w:rsidR="00517068">
                          <w:rPr>
                            <w:rFonts w:ascii="Arial Black" w:hAnsi="Arial Black"/>
                            <w:color w:val="B5333C"/>
                            <w:sz w:val="36"/>
                            <w:szCs w:val="36"/>
                          </w:rPr>
                          <w:t>%</w:t>
                        </w:r>
                      </w:p>
                      <w:p w14:paraId="6C7EA082" w14:textId="12F7A04C" w:rsidR="00C55163" w:rsidRPr="00286031" w:rsidRDefault="00517068" w:rsidP="00517068">
                        <w:pPr>
                          <w:jc w:val="center"/>
                          <w:rPr>
                            <w:rFonts w:cs="Arial"/>
                            <w:b/>
                            <w:i/>
                            <w:color w:val="B5333C"/>
                            <w:sz w:val="18"/>
                            <w:szCs w:val="18"/>
                          </w:rPr>
                        </w:pPr>
                        <w:r>
                          <w:rPr>
                            <w:rFonts w:ascii="Arial Black" w:hAnsi="Arial Black"/>
                            <w:color w:val="B5333C"/>
                            <w:sz w:val="18"/>
                            <w:szCs w:val="18"/>
                          </w:rPr>
                          <w:t>D</w:t>
                        </w:r>
                        <w:r w:rsidR="00C55163" w:rsidRPr="00286031">
                          <w:rPr>
                            <w:rFonts w:ascii="Arial Black" w:hAnsi="Arial Black"/>
                            <w:color w:val="B5333C"/>
                            <w:sz w:val="18"/>
                            <w:szCs w:val="18"/>
                          </w:rPr>
                          <w:t>ebt reduction</w:t>
                        </w:r>
                        <w:r>
                          <w:rPr>
                            <w:rFonts w:ascii="Arial Black" w:hAnsi="Arial Black"/>
                            <w:color w:val="B5333C"/>
                            <w:sz w:val="18"/>
                            <w:szCs w:val="18"/>
                          </w:rPr>
                          <w:t xml:space="preserve"> </w:t>
                        </w:r>
                      </w:p>
                    </w:txbxContent>
                  </v:textbox>
                </v:shape>
                <w10:wrap anchorx="margin"/>
              </v:group>
            </w:pict>
          </mc:Fallback>
        </mc:AlternateContent>
      </w:r>
    </w:p>
    <w:p w14:paraId="0878350A" w14:textId="358AECC5" w:rsidR="00F91A50" w:rsidRPr="00712D80" w:rsidRDefault="00DE6A54" w:rsidP="2A137AEF">
      <w:pPr>
        <w:spacing w:line="276" w:lineRule="auto"/>
        <w:jc w:val="both"/>
        <w:rPr>
          <w:rFonts w:ascii="Century Gothic" w:eastAsia="Times New Roman" w:hAnsi="Century Gothic"/>
          <w:color w:val="000000" w:themeColor="text1"/>
        </w:rPr>
      </w:pPr>
      <w:r w:rsidRPr="00712D80">
        <w:rPr>
          <w:rFonts w:ascii="Century Gothic" w:hAnsi="Century Gothic"/>
          <w:noProof/>
        </w:rPr>
        <mc:AlternateContent>
          <mc:Choice Requires="wpg">
            <w:drawing>
              <wp:anchor distT="0" distB="0" distL="114300" distR="114300" simplePos="0" relativeHeight="251658263" behindDoc="0" locked="0" layoutInCell="1" allowOverlap="1" wp14:anchorId="76872681" wp14:editId="56C3EDE9">
                <wp:simplePos x="0" y="0"/>
                <wp:positionH relativeFrom="margin">
                  <wp:align>left</wp:align>
                </wp:positionH>
                <wp:positionV relativeFrom="paragraph">
                  <wp:posOffset>45085</wp:posOffset>
                </wp:positionV>
                <wp:extent cx="2033905" cy="1743075"/>
                <wp:effectExtent l="0" t="0" r="0" b="0"/>
                <wp:wrapNone/>
                <wp:docPr id="45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3905" cy="1743075"/>
                          <a:chOff x="-2740870" y="4267402"/>
                          <a:chExt cx="3033101" cy="2827020"/>
                        </a:xfrm>
                      </wpg:grpSpPr>
                      <pic:pic xmlns:pic="http://schemas.openxmlformats.org/drawingml/2006/picture">
                        <pic:nvPicPr>
                          <pic:cNvPr id="451" name="Graphic 26" descr="House"/>
                          <pic:cNvPicPr>
                            <a:picLocks noChangeAspect="1"/>
                          </pic:cNvPicPr>
                        </pic:nvPicPr>
                        <pic:blipFill>
                          <a:blip r:embed="rId20" cstate="print"/>
                          <a:stretch>
                            <a:fillRect/>
                          </a:stretch>
                        </pic:blipFill>
                        <pic:spPr>
                          <a:xfrm>
                            <a:off x="-2559996" y="4267402"/>
                            <a:ext cx="2827020" cy="2827020"/>
                          </a:xfrm>
                          <a:prstGeom prst="rect">
                            <a:avLst/>
                          </a:prstGeom>
                        </pic:spPr>
                      </pic:pic>
                      <wps:wsp>
                        <wps:cNvPr id="101" name="Text Box 27"/>
                        <wps:cNvSpPr txBox="1">
                          <a:spLocks noChangeArrowheads="1"/>
                        </wps:cNvSpPr>
                        <wps:spPr bwMode="auto">
                          <a:xfrm>
                            <a:off x="-2740870" y="4713432"/>
                            <a:ext cx="3033101" cy="2251484"/>
                          </a:xfrm>
                          <a:prstGeom prst="rect">
                            <a:avLst/>
                          </a:prstGeom>
                          <a:noFill/>
                          <a:ln>
                            <a:noFill/>
                          </a:ln>
                        </wps:spPr>
                        <wps:txbx>
                          <w:txbxContent>
                            <w:p w14:paraId="40742108" w14:textId="77777777" w:rsidR="00F91A50" w:rsidRDefault="00F91A50" w:rsidP="00F91A50">
                              <w:pPr>
                                <w:rPr>
                                  <w:rFonts w:ascii="Arial Black" w:hAnsi="Arial Black"/>
                                  <w:color w:val="B5333C"/>
                                  <w:sz w:val="36"/>
                                  <w:szCs w:val="36"/>
                                </w:rPr>
                              </w:pPr>
                            </w:p>
                            <w:p w14:paraId="422408EC" w14:textId="631B478C" w:rsidR="00F91A50" w:rsidRDefault="00F91A50" w:rsidP="00F91A50">
                              <w:pPr>
                                <w:rPr>
                                  <w:rFonts w:ascii="Arial Black" w:hAnsi="Arial Black"/>
                                  <w:color w:val="B5333C"/>
                                  <w:sz w:val="144"/>
                                  <w:szCs w:val="110"/>
                                </w:rPr>
                              </w:pPr>
                              <w:r>
                                <w:rPr>
                                  <w:rFonts w:ascii="Arial Black" w:hAnsi="Arial Black"/>
                                  <w:color w:val="B5333C"/>
                                  <w:sz w:val="36"/>
                                  <w:szCs w:val="36"/>
                                </w:rPr>
                                <w:t xml:space="preserve">   </w:t>
                              </w:r>
                              <w:r w:rsidR="00286031">
                                <w:rPr>
                                  <w:rFonts w:ascii="Arial Black" w:hAnsi="Arial Black"/>
                                  <w:color w:val="B5333C"/>
                                  <w:sz w:val="36"/>
                                  <w:szCs w:val="36"/>
                                </w:rPr>
                                <w:t xml:space="preserve">     </w:t>
                              </w:r>
                              <w:r w:rsidRPr="00C55163">
                                <w:rPr>
                                  <w:rFonts w:ascii="Arial Black" w:hAnsi="Arial Black"/>
                                  <w:color w:val="B5333C"/>
                                  <w:sz w:val="36"/>
                                  <w:szCs w:val="36"/>
                                </w:rPr>
                                <w:t>$</w:t>
                              </w:r>
                              <w:r w:rsidR="00B8043C">
                                <w:rPr>
                                  <w:rFonts w:ascii="Arial Black" w:hAnsi="Arial Black"/>
                                  <w:color w:val="B5333C"/>
                                  <w:sz w:val="36"/>
                                  <w:szCs w:val="36"/>
                                </w:rPr>
                                <w:t xml:space="preserve">29k </w:t>
                              </w:r>
                            </w:p>
                            <w:p w14:paraId="7B77177A" w14:textId="75BD8C0F" w:rsidR="00F91A50" w:rsidRPr="00086D9B" w:rsidRDefault="00F91A50" w:rsidP="00F91A50">
                              <w:pPr>
                                <w:rPr>
                                  <w:rFonts w:cs="Arial"/>
                                  <w:b/>
                                  <w:i/>
                                  <w:color w:val="B5333C"/>
                                  <w:sz w:val="18"/>
                                  <w:szCs w:val="18"/>
                                </w:rPr>
                              </w:pPr>
                              <w:r>
                                <w:rPr>
                                  <w:rFonts w:ascii="Arial Black" w:hAnsi="Arial Black"/>
                                  <w:color w:val="B5333C"/>
                                  <w:sz w:val="20"/>
                                  <w:szCs w:val="20"/>
                                </w:rPr>
                                <w:t xml:space="preserve">   </w:t>
                              </w:r>
                              <w:r w:rsidRPr="00086D9B">
                                <w:rPr>
                                  <w:rFonts w:ascii="Arial Black" w:hAnsi="Arial Black"/>
                                  <w:color w:val="B5333C"/>
                                  <w:sz w:val="18"/>
                                  <w:szCs w:val="18"/>
                                </w:rPr>
                                <w:t xml:space="preserve">Average </w:t>
                              </w:r>
                              <w:r w:rsidR="006449B6" w:rsidRPr="00086D9B">
                                <w:rPr>
                                  <w:rFonts w:ascii="Arial Black" w:hAnsi="Arial Black"/>
                                  <w:color w:val="B5333C"/>
                                  <w:sz w:val="18"/>
                                  <w:szCs w:val="18"/>
                                </w:rPr>
                                <w:t xml:space="preserve">earned </w:t>
                              </w:r>
                              <w:r w:rsidRPr="00086D9B">
                                <w:rPr>
                                  <w:rFonts w:ascii="Arial Black" w:hAnsi="Arial Black"/>
                                  <w:color w:val="B5333C"/>
                                  <w:sz w:val="18"/>
                                  <w:szCs w:val="18"/>
                                </w:rPr>
                                <w:t>income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72681" id="Group 92" o:spid="_x0000_s1066" style="position:absolute;left:0;text-align:left;margin-left:0;margin-top:3.55pt;width:160.15pt;height:137.25pt;z-index:251658263;mso-position-horizontal:left;mso-position-horizontal-relative:margin;mso-position-vertical-relative:text" coordorigin="-27408,42674" coordsize="3033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">
                <v:shape id="Graphic 26" o:spid="_x0000_s1067" type="#_x0000_t75" alt="House" style="position:absolute;left:-25599;top:42674;width:28269;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">
                  <v:imagedata r:id="rId21" o:title="House"/>
                </v:shape>
                <v:shape id="Text Box 27" o:spid="_x0000_s1068" type="#_x0000_t202" style="position:absolute;left:-27408;top:47134;width:30330;height:2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40742108" w14:textId="77777777" w:rsidR="00F91A50" w:rsidRDefault="00F91A50" w:rsidP="00F91A50">
                        <w:pPr>
                          <w:rPr>
                            <w:rFonts w:ascii="Arial Black" w:hAnsi="Arial Black"/>
                            <w:color w:val="B5333C"/>
                            <w:sz w:val="36"/>
                            <w:szCs w:val="36"/>
                          </w:rPr>
                        </w:pPr>
                      </w:p>
                      <w:p w14:paraId="422408EC" w14:textId="631B478C" w:rsidR="00F91A50" w:rsidRDefault="00F91A50" w:rsidP="00F91A50">
                        <w:pPr>
                          <w:rPr>
                            <w:rFonts w:ascii="Arial Black" w:hAnsi="Arial Black"/>
                            <w:color w:val="B5333C"/>
                            <w:sz w:val="144"/>
                            <w:szCs w:val="110"/>
                          </w:rPr>
                        </w:pPr>
                        <w:r>
                          <w:rPr>
                            <w:rFonts w:ascii="Arial Black" w:hAnsi="Arial Black"/>
                            <w:color w:val="B5333C"/>
                            <w:sz w:val="36"/>
                            <w:szCs w:val="36"/>
                          </w:rPr>
                          <w:t xml:space="preserve">   </w:t>
                        </w:r>
                        <w:r w:rsidR="00286031">
                          <w:rPr>
                            <w:rFonts w:ascii="Arial Black" w:hAnsi="Arial Black"/>
                            <w:color w:val="B5333C"/>
                            <w:sz w:val="36"/>
                            <w:szCs w:val="36"/>
                          </w:rPr>
                          <w:t xml:space="preserve">     </w:t>
                        </w:r>
                        <w:r w:rsidRPr="00C55163">
                          <w:rPr>
                            <w:rFonts w:ascii="Arial Black" w:hAnsi="Arial Black"/>
                            <w:color w:val="B5333C"/>
                            <w:sz w:val="36"/>
                            <w:szCs w:val="36"/>
                          </w:rPr>
                          <w:t>$</w:t>
                        </w:r>
                        <w:r w:rsidR="00B8043C">
                          <w:rPr>
                            <w:rFonts w:ascii="Arial Black" w:hAnsi="Arial Black"/>
                            <w:color w:val="B5333C"/>
                            <w:sz w:val="36"/>
                            <w:szCs w:val="36"/>
                          </w:rPr>
                          <w:t xml:space="preserve">29k </w:t>
                        </w:r>
                      </w:p>
                      <w:p w14:paraId="7B77177A" w14:textId="75BD8C0F" w:rsidR="00F91A50" w:rsidRPr="00086D9B" w:rsidRDefault="00F91A50" w:rsidP="00F91A50">
                        <w:pPr>
                          <w:rPr>
                            <w:rFonts w:cs="Arial"/>
                            <w:b/>
                            <w:i/>
                            <w:color w:val="B5333C"/>
                            <w:sz w:val="18"/>
                            <w:szCs w:val="18"/>
                          </w:rPr>
                        </w:pPr>
                        <w:r>
                          <w:rPr>
                            <w:rFonts w:ascii="Arial Black" w:hAnsi="Arial Black"/>
                            <w:color w:val="B5333C"/>
                            <w:sz w:val="20"/>
                            <w:szCs w:val="20"/>
                          </w:rPr>
                          <w:t xml:space="preserve">   </w:t>
                        </w:r>
                        <w:r w:rsidRPr="00086D9B">
                          <w:rPr>
                            <w:rFonts w:ascii="Arial Black" w:hAnsi="Arial Black"/>
                            <w:color w:val="B5333C"/>
                            <w:sz w:val="18"/>
                            <w:szCs w:val="18"/>
                          </w:rPr>
                          <w:t xml:space="preserve">Average </w:t>
                        </w:r>
                        <w:r w:rsidR="006449B6" w:rsidRPr="00086D9B">
                          <w:rPr>
                            <w:rFonts w:ascii="Arial Black" w:hAnsi="Arial Black"/>
                            <w:color w:val="B5333C"/>
                            <w:sz w:val="18"/>
                            <w:szCs w:val="18"/>
                          </w:rPr>
                          <w:t xml:space="preserve">earned </w:t>
                        </w:r>
                        <w:r w:rsidRPr="00086D9B">
                          <w:rPr>
                            <w:rFonts w:ascii="Arial Black" w:hAnsi="Arial Black"/>
                            <w:color w:val="B5333C"/>
                            <w:sz w:val="18"/>
                            <w:szCs w:val="18"/>
                          </w:rPr>
                          <w:t>income</w:t>
                        </w:r>
                      </w:p>
                    </w:txbxContent>
                  </v:textbox>
                </v:shape>
                <w10:wrap anchorx="margin"/>
              </v:group>
            </w:pict>
          </mc:Fallback>
        </mc:AlternateContent>
      </w:r>
    </w:p>
    <w:p w14:paraId="2CA2B3DB" w14:textId="0AD2153C" w:rsidR="00F91A50" w:rsidRPr="00712D80" w:rsidRDefault="00F91A50" w:rsidP="2A137AEF">
      <w:pPr>
        <w:spacing w:line="276" w:lineRule="auto"/>
        <w:jc w:val="both"/>
        <w:rPr>
          <w:rFonts w:ascii="Century Gothic" w:eastAsia="Times New Roman" w:hAnsi="Century Gothic"/>
          <w:color w:val="000000" w:themeColor="text1"/>
        </w:rPr>
      </w:pPr>
    </w:p>
    <w:p w14:paraId="1F4AA7F4" w14:textId="77777777" w:rsidR="00F91A50" w:rsidRPr="00712D80" w:rsidRDefault="00F91A50" w:rsidP="2A137AEF">
      <w:pPr>
        <w:spacing w:line="276" w:lineRule="auto"/>
        <w:jc w:val="both"/>
        <w:rPr>
          <w:rFonts w:ascii="Century Gothic" w:eastAsia="Times New Roman" w:hAnsi="Century Gothic"/>
          <w:color w:val="000000" w:themeColor="text1"/>
        </w:rPr>
      </w:pPr>
    </w:p>
    <w:p w14:paraId="12F35ED2" w14:textId="7EDEF1C0" w:rsidR="00F41FAD" w:rsidRPr="00712D80" w:rsidRDefault="00F41FAD" w:rsidP="0D8BAA9B">
      <w:pPr>
        <w:rPr>
          <w:rFonts w:ascii="Century Gothic" w:eastAsia="Times New Roman" w:hAnsi="Century Gothic"/>
          <w:color w:val="000000" w:themeColor="text1"/>
        </w:rPr>
      </w:pPr>
    </w:p>
    <w:p w14:paraId="0909E1C0" w14:textId="5024FC2D" w:rsidR="00F41FAD" w:rsidRPr="00712D80" w:rsidRDefault="00286031" w:rsidP="0D8BAA9B">
      <w:pPr>
        <w:rPr>
          <w:rFonts w:ascii="Century Gothic" w:eastAsia="Times New Roman" w:hAnsi="Century Gothic"/>
          <w:color w:val="000000" w:themeColor="text1"/>
        </w:rPr>
      </w:pPr>
      <w:r w:rsidRPr="00712D80">
        <w:rPr>
          <w:rFonts w:ascii="Century Gothic" w:eastAsia="Times New Roman" w:hAnsi="Century Gothic"/>
          <w:color w:val="000000" w:themeColor="text1"/>
        </w:rPr>
        <w:t xml:space="preserve"> </w:t>
      </w:r>
    </w:p>
    <w:p w14:paraId="3FEC9F37" w14:textId="3062D5D1" w:rsidR="00F91A50" w:rsidRPr="00712D80" w:rsidRDefault="00F91A50" w:rsidP="006114C1">
      <w:pPr>
        <w:jc w:val="both"/>
        <w:rPr>
          <w:rFonts w:ascii="Century Gothic" w:eastAsia="Times New Roman" w:hAnsi="Century Gothic"/>
          <w:color w:val="000000" w:themeColor="text1"/>
        </w:rPr>
      </w:pPr>
    </w:p>
    <w:p w14:paraId="79C7BEB1" w14:textId="77777777" w:rsidR="00712D80" w:rsidRDefault="00712D80" w:rsidP="0189D8D6">
      <w:pPr>
        <w:jc w:val="both"/>
        <w:rPr>
          <w:rFonts w:ascii="Century Gothic" w:eastAsia="Times New Roman" w:hAnsi="Century Gothic"/>
          <w:color w:val="000000" w:themeColor="text1"/>
        </w:rPr>
      </w:pPr>
    </w:p>
    <w:p w14:paraId="4B60EA36" w14:textId="77777777" w:rsidR="00712D80" w:rsidRDefault="00712D80" w:rsidP="0189D8D6">
      <w:pPr>
        <w:jc w:val="both"/>
        <w:rPr>
          <w:rFonts w:ascii="Century Gothic" w:eastAsia="Times New Roman" w:hAnsi="Century Gothic"/>
          <w:color w:val="000000" w:themeColor="text1"/>
        </w:rPr>
      </w:pPr>
    </w:p>
    <w:p w14:paraId="6FFA9163" w14:textId="77777777" w:rsidR="00712D80" w:rsidRDefault="00712D80" w:rsidP="0189D8D6">
      <w:pPr>
        <w:jc w:val="both"/>
        <w:rPr>
          <w:rFonts w:ascii="Century Gothic" w:eastAsia="Times New Roman" w:hAnsi="Century Gothic"/>
          <w:color w:val="000000" w:themeColor="text1"/>
        </w:rPr>
      </w:pPr>
    </w:p>
    <w:p w14:paraId="561E3AA3" w14:textId="1FAAA14C" w:rsidR="0A1193BC" w:rsidRPr="00712D80" w:rsidRDefault="014E6C15" w:rsidP="0189D8D6">
      <w:pPr>
        <w:jc w:val="both"/>
        <w:rPr>
          <w:rFonts w:ascii="Century Gothic" w:eastAsia="Times New Roman" w:hAnsi="Century Gothic"/>
        </w:rPr>
      </w:pPr>
      <w:r w:rsidRPr="00712D80">
        <w:rPr>
          <w:rFonts w:ascii="Century Gothic" w:eastAsia="Times New Roman" w:hAnsi="Century Gothic"/>
          <w:color w:val="000000" w:themeColor="text1"/>
        </w:rPr>
        <w:t>ECC/HANH</w:t>
      </w:r>
      <w:r w:rsidR="01F03323" w:rsidRPr="00712D80">
        <w:rPr>
          <w:rFonts w:ascii="Century Gothic" w:eastAsia="Times New Roman" w:hAnsi="Century Gothic"/>
          <w:color w:val="000000" w:themeColor="text1"/>
        </w:rPr>
        <w:t xml:space="preserve"> partnered with the </w:t>
      </w:r>
      <w:r w:rsidR="2EE3262D" w:rsidRPr="00712D80">
        <w:rPr>
          <w:rFonts w:ascii="Century Gothic" w:eastAsia="Times New Roman" w:hAnsi="Century Gothic"/>
          <w:color w:val="000000" w:themeColor="text1"/>
        </w:rPr>
        <w:t>Cities for Financial Empowerment Fund Financial Empowerment and assisted</w:t>
      </w:r>
      <w:r w:rsidR="4E1602FF" w:rsidRPr="00712D80">
        <w:rPr>
          <w:rFonts w:ascii="Century Gothic" w:eastAsia="Times New Roman" w:hAnsi="Century Gothic"/>
          <w:color w:val="000000" w:themeColor="text1"/>
        </w:rPr>
        <w:t xml:space="preserve"> </w:t>
      </w:r>
      <w:r w:rsidR="0E6E5733" w:rsidRPr="00712D80">
        <w:rPr>
          <w:rFonts w:ascii="Century Gothic" w:eastAsia="Times New Roman" w:hAnsi="Century Gothic"/>
          <w:color w:val="000000" w:themeColor="text1"/>
        </w:rPr>
        <w:t>235</w:t>
      </w:r>
      <w:r w:rsidR="43545B1E" w:rsidRPr="00712D80">
        <w:rPr>
          <w:rFonts w:ascii="Century Gothic" w:eastAsia="Times New Roman" w:hAnsi="Century Gothic"/>
          <w:color w:val="000000" w:themeColor="text1"/>
        </w:rPr>
        <w:t xml:space="preserve"> </w:t>
      </w:r>
      <w:r w:rsidR="2EE3262D" w:rsidRPr="00712D80">
        <w:rPr>
          <w:rFonts w:ascii="Century Gothic" w:eastAsia="Times New Roman" w:hAnsi="Century Gothic"/>
          <w:color w:val="000000" w:themeColor="text1"/>
        </w:rPr>
        <w:t>residents with imp</w:t>
      </w:r>
      <w:r w:rsidR="47D63B69" w:rsidRPr="00712D80">
        <w:rPr>
          <w:rFonts w:ascii="Century Gothic" w:eastAsia="Times New Roman" w:hAnsi="Century Gothic"/>
          <w:color w:val="000000" w:themeColor="text1"/>
        </w:rPr>
        <w:t xml:space="preserve">roving their credit scores and eliminating debt.  </w:t>
      </w:r>
      <w:r w:rsidR="4EB86FC3" w:rsidRPr="00712D80">
        <w:rPr>
          <w:rFonts w:ascii="Century Gothic" w:eastAsia="Times New Roman" w:hAnsi="Century Gothic"/>
        </w:rPr>
        <w:t xml:space="preserve">The </w:t>
      </w:r>
      <w:r w:rsidRPr="00712D80">
        <w:rPr>
          <w:rFonts w:ascii="Century Gothic" w:eastAsia="Times New Roman" w:hAnsi="Century Gothic"/>
        </w:rPr>
        <w:t xml:space="preserve">residents received </w:t>
      </w:r>
      <w:r w:rsidR="337B65B3" w:rsidRPr="00712D80">
        <w:rPr>
          <w:rFonts w:ascii="Century Gothic" w:eastAsia="Times New Roman" w:hAnsi="Century Gothic"/>
        </w:rPr>
        <w:t xml:space="preserve">intensive, one-on-one </w:t>
      </w:r>
      <w:r w:rsidRPr="00712D80">
        <w:rPr>
          <w:rFonts w:ascii="Century Gothic" w:eastAsia="Times New Roman" w:hAnsi="Century Gothic"/>
        </w:rPr>
        <w:t xml:space="preserve">financial literacy </w:t>
      </w:r>
      <w:r w:rsidR="00D97A04" w:rsidRPr="00712D80">
        <w:rPr>
          <w:rFonts w:ascii="Century Gothic" w:eastAsia="Times New Roman" w:hAnsi="Century Gothic"/>
        </w:rPr>
        <w:t>services and</w:t>
      </w:r>
      <w:r w:rsidR="57D61C39" w:rsidRPr="00712D80">
        <w:rPr>
          <w:rFonts w:ascii="Century Gothic" w:eastAsia="Times New Roman" w:hAnsi="Century Gothic"/>
        </w:rPr>
        <w:t xml:space="preserve"> </w:t>
      </w:r>
      <w:r w:rsidRPr="00712D80">
        <w:rPr>
          <w:rFonts w:ascii="Century Gothic" w:eastAsia="Times New Roman" w:hAnsi="Century Gothic"/>
        </w:rPr>
        <w:t xml:space="preserve">over </w:t>
      </w:r>
      <w:r w:rsidR="25650BA4" w:rsidRPr="00712D80">
        <w:rPr>
          <w:rFonts w:ascii="Century Gothic" w:eastAsia="Times New Roman" w:hAnsi="Century Gothic"/>
        </w:rPr>
        <w:t>315</w:t>
      </w:r>
      <w:r w:rsidR="004672F2" w:rsidRPr="00712D80">
        <w:rPr>
          <w:rFonts w:ascii="Century Gothic" w:eastAsia="Times New Roman" w:hAnsi="Century Gothic"/>
        </w:rPr>
        <w:t xml:space="preserve"> </w:t>
      </w:r>
      <w:r w:rsidRPr="00712D80">
        <w:rPr>
          <w:rFonts w:ascii="Century Gothic" w:eastAsia="Times New Roman" w:hAnsi="Century Gothic"/>
        </w:rPr>
        <w:t>one-to-one budgeting sessions</w:t>
      </w:r>
      <w:r w:rsidR="120EB534" w:rsidRPr="00712D80">
        <w:rPr>
          <w:rFonts w:ascii="Century Gothic" w:eastAsia="Times New Roman" w:hAnsi="Century Gothic"/>
        </w:rPr>
        <w:t xml:space="preserve">. </w:t>
      </w:r>
      <w:r w:rsidRPr="00712D80">
        <w:rPr>
          <w:rFonts w:ascii="Century Gothic" w:eastAsia="Times New Roman" w:hAnsi="Century Gothic"/>
        </w:rPr>
        <w:t xml:space="preserve"> </w:t>
      </w:r>
    </w:p>
    <w:p w14:paraId="1A874523" w14:textId="4EF96E90" w:rsidR="0A1193BC" w:rsidRPr="00712D80" w:rsidRDefault="0A1193BC" w:rsidP="0189D8D6">
      <w:pPr>
        <w:jc w:val="both"/>
        <w:rPr>
          <w:rFonts w:ascii="Century Gothic" w:eastAsia="Times New Roman" w:hAnsi="Century Gothic"/>
        </w:rPr>
      </w:pPr>
    </w:p>
    <w:p w14:paraId="3E844042" w14:textId="67B1FE93" w:rsidR="0A1193BC" w:rsidRPr="00712D80" w:rsidRDefault="724A29EF" w:rsidP="0189D8D6">
      <w:pPr>
        <w:jc w:val="both"/>
        <w:rPr>
          <w:rFonts w:ascii="Century Gothic" w:eastAsia="Times New Roman" w:hAnsi="Century Gothic"/>
        </w:rPr>
      </w:pPr>
      <w:r w:rsidRPr="00712D80">
        <w:rPr>
          <w:rFonts w:ascii="Century Gothic" w:eastAsia="Times New Roman" w:hAnsi="Century Gothic"/>
        </w:rPr>
        <w:t>The goals that were met included</w:t>
      </w:r>
      <w:r w:rsidR="6A480029" w:rsidRPr="00712D80">
        <w:rPr>
          <w:rFonts w:ascii="Century Gothic" w:eastAsia="Times New Roman" w:hAnsi="Century Gothic"/>
        </w:rPr>
        <w:t>:</w:t>
      </w:r>
    </w:p>
    <w:p w14:paraId="2F13E092" w14:textId="61E89781" w:rsidR="03BA9EFA" w:rsidRPr="00712D80" w:rsidRDefault="04C6631A" w:rsidP="00486062">
      <w:pPr>
        <w:pStyle w:val="ListParagraph"/>
        <w:numPr>
          <w:ilvl w:val="0"/>
          <w:numId w:val="106"/>
        </w:numPr>
        <w:jc w:val="both"/>
        <w:rPr>
          <w:rFonts w:ascii="Century Gothic" w:eastAsia="Times New Roman" w:hAnsi="Century Gothic"/>
        </w:rPr>
      </w:pPr>
      <w:r w:rsidRPr="00712D80">
        <w:rPr>
          <w:rFonts w:ascii="Century Gothic" w:eastAsia="Times New Roman" w:hAnsi="Century Gothic"/>
        </w:rPr>
        <w:t>Average credit score increased by 35 points after receiving services (</w:t>
      </w:r>
      <w:r w:rsidR="6D325437" w:rsidRPr="00712D80">
        <w:rPr>
          <w:rFonts w:ascii="Century Gothic" w:eastAsia="Times New Roman" w:hAnsi="Century Gothic"/>
        </w:rPr>
        <w:t xml:space="preserve">54 </w:t>
      </w:r>
      <w:r w:rsidRPr="00712D80">
        <w:rPr>
          <w:rFonts w:ascii="Century Gothic" w:eastAsia="Times New Roman" w:hAnsi="Century Gothic"/>
        </w:rPr>
        <w:t xml:space="preserve">residents) </w:t>
      </w:r>
    </w:p>
    <w:p w14:paraId="3F257322" w14:textId="2B43960A" w:rsidR="03BA9EFA" w:rsidRPr="00712D80" w:rsidRDefault="04C6631A" w:rsidP="00486062">
      <w:pPr>
        <w:pStyle w:val="ListParagraph"/>
        <w:numPr>
          <w:ilvl w:val="0"/>
          <w:numId w:val="106"/>
        </w:numPr>
        <w:jc w:val="both"/>
        <w:rPr>
          <w:rFonts w:ascii="Century Gothic" w:eastAsia="MS PGothic" w:hAnsi="Century Gothic"/>
        </w:rPr>
      </w:pPr>
      <w:r w:rsidRPr="00712D80">
        <w:rPr>
          <w:rFonts w:ascii="Century Gothic" w:eastAsia="Times New Roman" w:hAnsi="Century Gothic"/>
        </w:rPr>
        <w:t>1</w:t>
      </w:r>
      <w:r w:rsidR="67D87ED7" w:rsidRPr="00712D80">
        <w:rPr>
          <w:rFonts w:ascii="Century Gothic" w:eastAsia="Times New Roman" w:hAnsi="Century Gothic"/>
        </w:rPr>
        <w:t>8</w:t>
      </w:r>
      <w:r w:rsidRPr="00712D80">
        <w:rPr>
          <w:rFonts w:ascii="Century Gothic" w:eastAsia="Times New Roman" w:hAnsi="Century Gothic"/>
        </w:rPr>
        <w:t xml:space="preserve"> opened safe and affordable bank account (</w:t>
      </w:r>
      <w:r w:rsidR="72B48210" w:rsidRPr="00712D80">
        <w:rPr>
          <w:rFonts w:ascii="Century Gothic" w:eastAsia="Times New Roman" w:hAnsi="Century Gothic"/>
        </w:rPr>
        <w:t>8</w:t>
      </w:r>
      <w:r w:rsidRPr="00712D80">
        <w:rPr>
          <w:rFonts w:ascii="Century Gothic" w:eastAsia="Times New Roman" w:hAnsi="Century Gothic"/>
        </w:rPr>
        <w:t>%)</w:t>
      </w:r>
    </w:p>
    <w:p w14:paraId="068DB434" w14:textId="4CC98D5F" w:rsidR="03BA9EFA" w:rsidRPr="00712D80" w:rsidRDefault="4D016C4E" w:rsidP="00486062">
      <w:pPr>
        <w:pStyle w:val="ListParagraph"/>
        <w:numPr>
          <w:ilvl w:val="0"/>
          <w:numId w:val="106"/>
        </w:numPr>
        <w:tabs>
          <w:tab w:val="left" w:pos="2160"/>
        </w:tabs>
        <w:jc w:val="both"/>
        <w:rPr>
          <w:rFonts w:ascii="Century Gothic" w:eastAsia="Times New Roman" w:hAnsi="Century Gothic"/>
        </w:rPr>
      </w:pPr>
      <w:r w:rsidRPr="00712D80">
        <w:rPr>
          <w:rFonts w:ascii="Century Gothic" w:eastAsia="Times New Roman" w:hAnsi="Century Gothic"/>
        </w:rPr>
        <w:t>109</w:t>
      </w:r>
      <w:r w:rsidR="6902A836" w:rsidRPr="00712D80">
        <w:rPr>
          <w:rFonts w:ascii="Century Gothic" w:eastAsia="Times New Roman" w:hAnsi="Century Gothic"/>
        </w:rPr>
        <w:t xml:space="preserve"> </w:t>
      </w:r>
      <w:r w:rsidR="04C6631A" w:rsidRPr="00712D80">
        <w:rPr>
          <w:rFonts w:ascii="Century Gothic" w:eastAsia="Times New Roman" w:hAnsi="Century Gothic"/>
        </w:rPr>
        <w:t xml:space="preserve">increased </w:t>
      </w:r>
      <w:r w:rsidR="2D25EC72" w:rsidRPr="00712D80">
        <w:rPr>
          <w:rFonts w:ascii="Century Gothic" w:eastAsia="Times New Roman" w:hAnsi="Century Gothic"/>
        </w:rPr>
        <w:t>their savings</w:t>
      </w:r>
      <w:r w:rsidR="04C6631A" w:rsidRPr="00712D80">
        <w:rPr>
          <w:rFonts w:ascii="Century Gothic" w:eastAsia="Times New Roman" w:hAnsi="Century Gothic"/>
        </w:rPr>
        <w:t xml:space="preserve"> (</w:t>
      </w:r>
      <w:r w:rsidR="0E9ED368" w:rsidRPr="00712D80">
        <w:rPr>
          <w:rFonts w:ascii="Century Gothic" w:eastAsia="Times New Roman" w:hAnsi="Century Gothic"/>
        </w:rPr>
        <w:t>46</w:t>
      </w:r>
      <w:r w:rsidR="1456042E" w:rsidRPr="00712D80">
        <w:rPr>
          <w:rFonts w:ascii="Century Gothic" w:eastAsia="Times New Roman" w:hAnsi="Century Gothic"/>
        </w:rPr>
        <w:t xml:space="preserve"> </w:t>
      </w:r>
      <w:r w:rsidR="04C6631A" w:rsidRPr="00712D80">
        <w:rPr>
          <w:rFonts w:ascii="Century Gothic" w:eastAsia="Times New Roman" w:hAnsi="Century Gothic"/>
        </w:rPr>
        <w:t>%)</w:t>
      </w:r>
    </w:p>
    <w:p w14:paraId="45A5107D" w14:textId="0C1741A9" w:rsidR="03BA9EFA" w:rsidRPr="00712D80" w:rsidRDefault="04C6631A" w:rsidP="00486062">
      <w:pPr>
        <w:pStyle w:val="ListParagraph"/>
        <w:numPr>
          <w:ilvl w:val="0"/>
          <w:numId w:val="106"/>
        </w:numPr>
        <w:tabs>
          <w:tab w:val="left" w:pos="2160"/>
        </w:tabs>
        <w:jc w:val="both"/>
        <w:rPr>
          <w:rFonts w:ascii="Century Gothic" w:eastAsia="Times New Roman" w:hAnsi="Century Gothic"/>
        </w:rPr>
      </w:pPr>
      <w:r w:rsidRPr="00712D80">
        <w:rPr>
          <w:rFonts w:ascii="Century Gothic" w:eastAsia="Times New Roman" w:hAnsi="Century Gothic"/>
        </w:rPr>
        <w:t xml:space="preserve">1 established credit </w:t>
      </w:r>
      <w:r w:rsidR="7A6E26D3" w:rsidRPr="00712D80">
        <w:rPr>
          <w:rFonts w:ascii="Century Gothic" w:eastAsia="Times New Roman" w:hAnsi="Century Gothic"/>
        </w:rPr>
        <w:t>(1%)</w:t>
      </w:r>
    </w:p>
    <w:p w14:paraId="2C7D6FCF" w14:textId="05D39BF0" w:rsidR="03BA9EFA" w:rsidRPr="00712D80" w:rsidRDefault="77E06ACD" w:rsidP="00486062">
      <w:pPr>
        <w:pStyle w:val="ListParagraph"/>
        <w:numPr>
          <w:ilvl w:val="0"/>
          <w:numId w:val="106"/>
        </w:numPr>
        <w:tabs>
          <w:tab w:val="left" w:pos="2160"/>
        </w:tabs>
        <w:jc w:val="both"/>
        <w:rPr>
          <w:rFonts w:ascii="Century Gothic" w:eastAsia="Times New Roman" w:hAnsi="Century Gothic"/>
        </w:rPr>
      </w:pPr>
      <w:r w:rsidRPr="00712D80">
        <w:rPr>
          <w:rFonts w:ascii="Century Gothic" w:eastAsia="Times New Roman" w:hAnsi="Century Gothic"/>
        </w:rPr>
        <w:t xml:space="preserve">105 </w:t>
      </w:r>
      <w:r w:rsidR="04C6631A" w:rsidRPr="00712D80">
        <w:rPr>
          <w:rFonts w:ascii="Century Gothic" w:eastAsia="Times New Roman" w:hAnsi="Century Gothic"/>
        </w:rPr>
        <w:t>reduced delinquent accounts (4</w:t>
      </w:r>
      <w:r w:rsidR="6B1713A0" w:rsidRPr="00712D80">
        <w:rPr>
          <w:rFonts w:ascii="Century Gothic" w:eastAsia="Times New Roman" w:hAnsi="Century Gothic"/>
        </w:rPr>
        <w:t>5</w:t>
      </w:r>
      <w:r w:rsidR="04C6631A" w:rsidRPr="00712D80">
        <w:rPr>
          <w:rFonts w:ascii="Century Gothic" w:eastAsia="Times New Roman" w:hAnsi="Century Gothic"/>
        </w:rPr>
        <w:t>%)</w:t>
      </w:r>
    </w:p>
    <w:p w14:paraId="05711DA8" w14:textId="33090A27" w:rsidR="03BA9EFA" w:rsidRPr="00712D80" w:rsidRDefault="4C0546E7" w:rsidP="00486062">
      <w:pPr>
        <w:pStyle w:val="ListParagraph"/>
        <w:numPr>
          <w:ilvl w:val="0"/>
          <w:numId w:val="106"/>
        </w:numPr>
        <w:tabs>
          <w:tab w:val="left" w:pos="2160"/>
        </w:tabs>
        <w:jc w:val="both"/>
        <w:rPr>
          <w:rFonts w:ascii="Century Gothic" w:eastAsia="Times New Roman" w:hAnsi="Century Gothic"/>
        </w:rPr>
      </w:pPr>
      <w:r w:rsidRPr="00712D80">
        <w:rPr>
          <w:rFonts w:ascii="Century Gothic" w:eastAsia="Times New Roman" w:hAnsi="Century Gothic"/>
        </w:rPr>
        <w:t xml:space="preserve">64 </w:t>
      </w:r>
      <w:r w:rsidR="04C6631A" w:rsidRPr="00712D80">
        <w:rPr>
          <w:rFonts w:ascii="Century Gothic" w:eastAsia="Times New Roman" w:hAnsi="Century Gothic"/>
        </w:rPr>
        <w:t>reduced non-mortgage debt by 10% (</w:t>
      </w:r>
      <w:r w:rsidR="2D2575C0" w:rsidRPr="00712D80">
        <w:rPr>
          <w:rFonts w:ascii="Century Gothic" w:eastAsia="Times New Roman" w:hAnsi="Century Gothic"/>
        </w:rPr>
        <w:t>27</w:t>
      </w:r>
      <w:r w:rsidR="04C6631A" w:rsidRPr="00712D80">
        <w:rPr>
          <w:rFonts w:ascii="Century Gothic" w:eastAsia="Times New Roman" w:hAnsi="Century Gothic"/>
        </w:rPr>
        <w:t>%)</w:t>
      </w:r>
    </w:p>
    <w:p w14:paraId="086EFCA7" w14:textId="04E08D17" w:rsidR="03BA9EFA" w:rsidRPr="00712D80" w:rsidRDefault="5B9A693D" w:rsidP="00486062">
      <w:pPr>
        <w:pStyle w:val="ListParagraph"/>
        <w:numPr>
          <w:ilvl w:val="0"/>
          <w:numId w:val="106"/>
        </w:numPr>
        <w:tabs>
          <w:tab w:val="left" w:pos="2160"/>
        </w:tabs>
        <w:jc w:val="both"/>
        <w:rPr>
          <w:rFonts w:ascii="Century Gothic" w:eastAsia="Times New Roman" w:hAnsi="Century Gothic"/>
        </w:rPr>
      </w:pPr>
      <w:r w:rsidRPr="00712D80">
        <w:rPr>
          <w:rFonts w:ascii="Century Gothic" w:eastAsia="Times New Roman" w:hAnsi="Century Gothic"/>
        </w:rPr>
        <w:t>8</w:t>
      </w:r>
      <w:r w:rsidR="04C6631A" w:rsidRPr="00712D80">
        <w:rPr>
          <w:rFonts w:ascii="Century Gothic" w:eastAsia="Times New Roman" w:hAnsi="Century Gothic"/>
        </w:rPr>
        <w:t xml:space="preserve"> accessed </w:t>
      </w:r>
      <w:r w:rsidR="1D91EE68" w:rsidRPr="00712D80">
        <w:rPr>
          <w:rFonts w:ascii="Century Gothic" w:eastAsia="Times New Roman" w:hAnsi="Century Gothic"/>
        </w:rPr>
        <w:t xml:space="preserve">additional </w:t>
      </w:r>
      <w:r w:rsidR="04C6631A" w:rsidRPr="00712D80">
        <w:rPr>
          <w:rFonts w:ascii="Century Gothic" w:eastAsia="Times New Roman" w:hAnsi="Century Gothic"/>
        </w:rPr>
        <w:t>public support program</w:t>
      </w:r>
      <w:r w:rsidR="06390CAB" w:rsidRPr="00712D80">
        <w:rPr>
          <w:rFonts w:ascii="Century Gothic" w:eastAsia="Times New Roman" w:hAnsi="Century Gothic"/>
        </w:rPr>
        <w:t>s</w:t>
      </w:r>
      <w:r w:rsidR="04C6631A" w:rsidRPr="00712D80">
        <w:rPr>
          <w:rFonts w:ascii="Century Gothic" w:eastAsia="Times New Roman" w:hAnsi="Century Gothic"/>
        </w:rPr>
        <w:t xml:space="preserve"> (</w:t>
      </w:r>
      <w:r w:rsidR="2846877D" w:rsidRPr="00712D80">
        <w:rPr>
          <w:rFonts w:ascii="Century Gothic" w:eastAsia="Times New Roman" w:hAnsi="Century Gothic"/>
        </w:rPr>
        <w:t>3</w:t>
      </w:r>
      <w:r w:rsidR="04C6631A" w:rsidRPr="00712D80">
        <w:rPr>
          <w:rFonts w:ascii="Century Gothic" w:eastAsia="Times New Roman" w:hAnsi="Century Gothic"/>
        </w:rPr>
        <w:t>%)</w:t>
      </w:r>
    </w:p>
    <w:p w14:paraId="56029DE4" w14:textId="31EB59FA" w:rsidR="029451F4" w:rsidRPr="00712D80" w:rsidRDefault="029451F4" w:rsidP="005169D1">
      <w:pPr>
        <w:tabs>
          <w:tab w:val="left" w:pos="2160"/>
        </w:tabs>
        <w:jc w:val="both"/>
        <w:rPr>
          <w:rFonts w:ascii="Century Gothic" w:eastAsia="Times New Roman" w:hAnsi="Century Gothic"/>
          <w:szCs w:val="22"/>
        </w:rPr>
      </w:pPr>
    </w:p>
    <w:p w14:paraId="17A544A7" w14:textId="42477D7B" w:rsidR="029451F4" w:rsidRPr="00712D80" w:rsidRDefault="029451F4" w:rsidP="029451F4">
      <w:pPr>
        <w:tabs>
          <w:tab w:val="left" w:pos="2160"/>
        </w:tabs>
        <w:jc w:val="both"/>
        <w:rPr>
          <w:rFonts w:ascii="Century Gothic" w:eastAsia="Times New Roman" w:hAnsi="Century Gothic"/>
          <w:szCs w:val="22"/>
        </w:rPr>
      </w:pPr>
    </w:p>
    <w:p w14:paraId="601FC17F" w14:textId="0C74CE92" w:rsidR="4F19B4E9" w:rsidRPr="00712D80" w:rsidRDefault="4F19B4E9" w:rsidP="005169D1">
      <w:pPr>
        <w:jc w:val="both"/>
        <w:rPr>
          <w:rFonts w:ascii="Century Gothic" w:eastAsia="Times New Roman" w:hAnsi="Century Gothic"/>
          <w:sz w:val="24"/>
        </w:rPr>
      </w:pPr>
    </w:p>
    <w:p w14:paraId="4F550465" w14:textId="78796E6F" w:rsidR="029451F4" w:rsidRPr="00712D80" w:rsidRDefault="029451F4" w:rsidP="029451F4">
      <w:pPr>
        <w:tabs>
          <w:tab w:val="left" w:pos="2160"/>
        </w:tabs>
        <w:jc w:val="both"/>
        <w:rPr>
          <w:rFonts w:ascii="Century Gothic" w:eastAsia="Times New Roman" w:hAnsi="Century Gothic"/>
          <w:szCs w:val="22"/>
        </w:rPr>
      </w:pPr>
    </w:p>
    <w:p w14:paraId="5DF0DD5C" w14:textId="3BC88582" w:rsidR="2C805A1A" w:rsidRPr="00712D80" w:rsidRDefault="00712D80" w:rsidP="764CED1E">
      <w:pPr>
        <w:tabs>
          <w:tab w:val="left" w:pos="2160"/>
        </w:tabs>
        <w:jc w:val="both"/>
        <w:rPr>
          <w:rFonts w:ascii="Century Gothic" w:eastAsia="Times New Roman" w:hAnsi="Century Gothic"/>
        </w:rPr>
      </w:pPr>
      <w:r w:rsidRPr="00712D80">
        <w:rPr>
          <w:rFonts w:ascii="Century Gothic" w:hAnsi="Century Gothic"/>
          <w:noProof/>
        </w:rPr>
        <w:lastRenderedPageBreak/>
        <mc:AlternateContent>
          <mc:Choice Requires="wps">
            <w:drawing>
              <wp:anchor distT="91440" distB="91440" distL="114300" distR="114300" simplePos="0" relativeHeight="251658273" behindDoc="0" locked="0" layoutInCell="1" allowOverlap="1" wp14:anchorId="200A584F" wp14:editId="1D765841">
                <wp:simplePos x="0" y="0"/>
                <wp:positionH relativeFrom="margin">
                  <wp:posOffset>1201420</wp:posOffset>
                </wp:positionH>
                <wp:positionV relativeFrom="paragraph">
                  <wp:posOffset>3787775</wp:posOffset>
                </wp:positionV>
                <wp:extent cx="4267200" cy="790575"/>
                <wp:effectExtent l="0" t="0" r="0" b="0"/>
                <wp:wrapTopAndBottom/>
                <wp:docPr id="14792615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790575"/>
                        </a:xfrm>
                        <a:prstGeom prst="rect">
                          <a:avLst/>
                        </a:prstGeom>
                        <a:noFill/>
                        <a:ln w="9525">
                          <a:noFill/>
                          <a:miter lim="800000"/>
                          <a:headEnd/>
                          <a:tailEnd/>
                        </a:ln>
                      </wps:spPr>
                      <wps:txbx>
                        <w:txbxContent>
                          <w:p w14:paraId="7298620A" w14:textId="5E9E6177" w:rsidR="000B57F0" w:rsidRPr="00576382" w:rsidRDefault="000B57F0" w:rsidP="000B57F0">
                            <w:pPr>
                              <w:pBdr>
                                <w:top w:val="single" w:sz="24" w:space="8" w:color="B7A241" w:themeColor="accent1"/>
                                <w:bottom w:val="single" w:sz="24" w:space="8" w:color="B7A241" w:themeColor="accent1"/>
                              </w:pBdr>
                              <w:rPr>
                                <w:color w:val="B7A241" w:themeColor="accent1"/>
                                <w:sz w:val="24"/>
                              </w:rPr>
                            </w:pPr>
                            <w:r>
                              <w:rPr>
                                <w:i/>
                                <w:iCs/>
                                <w:color w:val="B7A241" w:themeColor="accent1"/>
                                <w:sz w:val="24"/>
                              </w:rPr>
                              <w:t xml:space="preserve">One successful </w:t>
                            </w:r>
                            <w:r w:rsidR="009723EB" w:rsidRPr="00576382">
                              <w:rPr>
                                <w:color w:val="B7A241" w:themeColor="accent1"/>
                                <w:sz w:val="24"/>
                              </w:rPr>
                              <w:t xml:space="preserve">resident </w:t>
                            </w:r>
                            <w:r w:rsidR="005F66DE">
                              <w:rPr>
                                <w:color w:val="B7A241" w:themeColor="accent1"/>
                                <w:sz w:val="24"/>
                              </w:rPr>
                              <w:t>began working for the first time</w:t>
                            </w:r>
                            <w:r w:rsidR="00576382">
                              <w:rPr>
                                <w:color w:val="B7A241" w:themeColor="accent1"/>
                                <w:sz w:val="24"/>
                              </w:rPr>
                              <w:t>, as a paraprofessional in the NHPS and is proud of herself and brought pride to her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A584F" id="Text Box 93" o:spid="_x0000_s1069" type="#_x0000_t202" style="position:absolute;left:0;text-align:left;margin-left:94.6pt;margin-top:298.25pt;width:336pt;height:62.25pt;z-index:251658273;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" filled="f" stroked="f">
                <v:textbox>
                  <w:txbxContent>
                    <w:p w14:paraId="7298620A" w14:textId="5E9E6177" w:rsidR="000B57F0" w:rsidRPr="00576382" w:rsidRDefault="000B57F0" w:rsidP="000B57F0">
                      <w:pPr>
                        <w:pBdr>
                          <w:top w:val="single" w:sz="24" w:space="8" w:color="B7A241" w:themeColor="accent1"/>
                          <w:bottom w:val="single" w:sz="24" w:space="8" w:color="B7A241" w:themeColor="accent1"/>
                        </w:pBdr>
                        <w:rPr>
                          <w:color w:val="B7A241" w:themeColor="accent1"/>
                          <w:sz w:val="24"/>
                        </w:rPr>
                      </w:pPr>
                      <w:r>
                        <w:rPr>
                          <w:i/>
                          <w:iCs/>
                          <w:color w:val="B7A241" w:themeColor="accent1"/>
                          <w:sz w:val="24"/>
                        </w:rPr>
                        <w:t xml:space="preserve">One successful </w:t>
                      </w:r>
                      <w:r w:rsidR="009723EB" w:rsidRPr="00576382">
                        <w:rPr>
                          <w:color w:val="B7A241" w:themeColor="accent1"/>
                          <w:sz w:val="24"/>
                        </w:rPr>
                        <w:t xml:space="preserve">resident </w:t>
                      </w:r>
                      <w:r w:rsidR="005F66DE">
                        <w:rPr>
                          <w:color w:val="B7A241" w:themeColor="accent1"/>
                          <w:sz w:val="24"/>
                        </w:rPr>
                        <w:t>began working for the first time</w:t>
                      </w:r>
                      <w:r w:rsidR="00576382">
                        <w:rPr>
                          <w:color w:val="B7A241" w:themeColor="accent1"/>
                          <w:sz w:val="24"/>
                        </w:rPr>
                        <w:t>, as a paraprofessional in the NHPS and is proud of herself and brought pride to her children.</w:t>
                      </w:r>
                    </w:p>
                  </w:txbxContent>
                </v:textbox>
                <w10:wrap type="topAndBottom" anchorx="margin"/>
              </v:shape>
            </w:pict>
          </mc:Fallback>
        </mc:AlternateContent>
      </w:r>
      <w:r w:rsidR="009723EB" w:rsidRPr="00712D80">
        <w:rPr>
          <w:rFonts w:ascii="Century Gothic" w:hAnsi="Century Gothic"/>
          <w:noProof/>
        </w:rPr>
        <mc:AlternateContent>
          <mc:Choice Requires="wps">
            <w:drawing>
              <wp:anchor distT="91440" distB="91440" distL="114300" distR="114300" simplePos="0" relativeHeight="251658272" behindDoc="0" locked="0" layoutInCell="1" allowOverlap="1" wp14:anchorId="1FA14167" wp14:editId="27DEFF8C">
                <wp:simplePos x="0" y="0"/>
                <wp:positionH relativeFrom="page">
                  <wp:posOffset>1905000</wp:posOffset>
                </wp:positionH>
                <wp:positionV relativeFrom="paragraph">
                  <wp:posOffset>4725035</wp:posOffset>
                </wp:positionV>
                <wp:extent cx="4352925" cy="1085850"/>
                <wp:effectExtent l="0" t="0" r="0" b="0"/>
                <wp:wrapTopAndBottom/>
                <wp:docPr id="8876946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085850"/>
                        </a:xfrm>
                        <a:prstGeom prst="rect">
                          <a:avLst/>
                        </a:prstGeom>
                        <a:noFill/>
                        <a:ln w="9525">
                          <a:noFill/>
                          <a:miter lim="800000"/>
                          <a:headEnd/>
                          <a:tailEnd/>
                        </a:ln>
                      </wps:spPr>
                      <wps:txbx>
                        <w:txbxContent>
                          <w:p w14:paraId="52D60F86" w14:textId="2B7FDD15" w:rsidR="000B57F0" w:rsidRDefault="000B57F0" w:rsidP="000B57F0">
                            <w:pPr>
                              <w:pBdr>
                                <w:top w:val="single" w:sz="24" w:space="8" w:color="B7A241" w:themeColor="accent1"/>
                                <w:bottom w:val="single" w:sz="24" w:space="8" w:color="B7A241" w:themeColor="accent1"/>
                              </w:pBdr>
                              <w:rPr>
                                <w:i/>
                                <w:iCs/>
                                <w:color w:val="B7A241" w:themeColor="accent1"/>
                                <w:sz w:val="24"/>
                              </w:rPr>
                            </w:pPr>
                            <w:r>
                              <w:rPr>
                                <w:i/>
                                <w:iCs/>
                                <w:color w:val="B7A241" w:themeColor="accent1"/>
                                <w:sz w:val="24"/>
                              </w:rPr>
                              <w:t xml:space="preserve">One successful resident </w:t>
                            </w:r>
                            <w:r w:rsidR="006E44D4">
                              <w:rPr>
                                <w:i/>
                                <w:iCs/>
                                <w:color w:val="B7A241" w:themeColor="accent1"/>
                                <w:sz w:val="24"/>
                              </w:rPr>
                              <w:t xml:space="preserve">graduated from the </w:t>
                            </w:r>
                            <w:r w:rsidR="001F2ECF">
                              <w:rPr>
                                <w:i/>
                                <w:iCs/>
                                <w:color w:val="B7A241" w:themeColor="accent1"/>
                                <w:sz w:val="24"/>
                              </w:rPr>
                              <w:t xml:space="preserve">FSS program </w:t>
                            </w:r>
                            <w:r w:rsidR="00B34434">
                              <w:rPr>
                                <w:i/>
                                <w:iCs/>
                                <w:color w:val="B7A241" w:themeColor="accent1"/>
                                <w:sz w:val="24"/>
                              </w:rPr>
                              <w:t>with $28,252 in escrow</w:t>
                            </w:r>
                            <w:r w:rsidR="00824CE7">
                              <w:rPr>
                                <w:i/>
                                <w:iCs/>
                                <w:color w:val="B7A241" w:themeColor="accent1"/>
                                <w:sz w:val="24"/>
                              </w:rPr>
                              <w:t xml:space="preserve"> and </w:t>
                            </w:r>
                            <w:r w:rsidR="00577DC8">
                              <w:rPr>
                                <w:i/>
                                <w:iCs/>
                                <w:color w:val="B7A241" w:themeColor="accent1"/>
                                <w:sz w:val="24"/>
                              </w:rPr>
                              <w:t>a credit score of 790</w:t>
                            </w:r>
                            <w:r w:rsidR="005F366A">
                              <w:rPr>
                                <w:i/>
                                <w:iCs/>
                                <w:color w:val="B7A241" w:themeColor="accent1"/>
                                <w:sz w:val="24"/>
                              </w:rPr>
                              <w:t xml:space="preserve"> and increased his annual </w:t>
                            </w:r>
                            <w:r w:rsidR="00EA6780">
                              <w:rPr>
                                <w:i/>
                                <w:iCs/>
                                <w:color w:val="B7A241" w:themeColor="accent1"/>
                                <w:sz w:val="24"/>
                              </w:rPr>
                              <w:t>salary from $21,000 to $4</w:t>
                            </w:r>
                            <w:r w:rsidR="001E7454">
                              <w:rPr>
                                <w:i/>
                                <w:iCs/>
                                <w:color w:val="B7A241" w:themeColor="accent1"/>
                                <w:sz w:val="24"/>
                              </w:rPr>
                              <w:t>6,458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14167" id="Text Box 94" o:spid="_x0000_s1070" type="#_x0000_t202" style="position:absolute;left:0;text-align:left;margin-left:150pt;margin-top:372.05pt;width:342.75pt;height:85.5pt;z-index:25165827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" filled="f" stroked="f">
                <v:textbox>
                  <w:txbxContent>
                    <w:p w14:paraId="52D60F86" w14:textId="2B7FDD15" w:rsidR="000B57F0" w:rsidRDefault="000B57F0" w:rsidP="000B57F0">
                      <w:pPr>
                        <w:pBdr>
                          <w:top w:val="single" w:sz="24" w:space="8" w:color="B7A241" w:themeColor="accent1"/>
                          <w:bottom w:val="single" w:sz="24" w:space="8" w:color="B7A241" w:themeColor="accent1"/>
                        </w:pBdr>
                        <w:rPr>
                          <w:i/>
                          <w:iCs/>
                          <w:color w:val="B7A241" w:themeColor="accent1"/>
                          <w:sz w:val="24"/>
                        </w:rPr>
                      </w:pPr>
                      <w:r>
                        <w:rPr>
                          <w:i/>
                          <w:iCs/>
                          <w:color w:val="B7A241" w:themeColor="accent1"/>
                          <w:sz w:val="24"/>
                        </w:rPr>
                        <w:t xml:space="preserve">One successful resident </w:t>
                      </w:r>
                      <w:r w:rsidR="006E44D4">
                        <w:rPr>
                          <w:i/>
                          <w:iCs/>
                          <w:color w:val="B7A241" w:themeColor="accent1"/>
                          <w:sz w:val="24"/>
                        </w:rPr>
                        <w:t xml:space="preserve">graduated from the </w:t>
                      </w:r>
                      <w:r w:rsidR="001F2ECF">
                        <w:rPr>
                          <w:i/>
                          <w:iCs/>
                          <w:color w:val="B7A241" w:themeColor="accent1"/>
                          <w:sz w:val="24"/>
                        </w:rPr>
                        <w:t xml:space="preserve">FSS program </w:t>
                      </w:r>
                      <w:r w:rsidR="00B34434">
                        <w:rPr>
                          <w:i/>
                          <w:iCs/>
                          <w:color w:val="B7A241" w:themeColor="accent1"/>
                          <w:sz w:val="24"/>
                        </w:rPr>
                        <w:t>with $28,252 in escrow</w:t>
                      </w:r>
                      <w:r w:rsidR="00824CE7">
                        <w:rPr>
                          <w:i/>
                          <w:iCs/>
                          <w:color w:val="B7A241" w:themeColor="accent1"/>
                          <w:sz w:val="24"/>
                        </w:rPr>
                        <w:t xml:space="preserve"> and </w:t>
                      </w:r>
                      <w:r w:rsidR="00577DC8">
                        <w:rPr>
                          <w:i/>
                          <w:iCs/>
                          <w:color w:val="B7A241" w:themeColor="accent1"/>
                          <w:sz w:val="24"/>
                        </w:rPr>
                        <w:t>a credit score of 790</w:t>
                      </w:r>
                      <w:r w:rsidR="005F366A">
                        <w:rPr>
                          <w:i/>
                          <w:iCs/>
                          <w:color w:val="B7A241" w:themeColor="accent1"/>
                          <w:sz w:val="24"/>
                        </w:rPr>
                        <w:t xml:space="preserve"> and increased his annual </w:t>
                      </w:r>
                      <w:r w:rsidR="00EA6780">
                        <w:rPr>
                          <w:i/>
                          <w:iCs/>
                          <w:color w:val="B7A241" w:themeColor="accent1"/>
                          <w:sz w:val="24"/>
                        </w:rPr>
                        <w:t>salary from $21,000 to $4</w:t>
                      </w:r>
                      <w:r w:rsidR="001E7454">
                        <w:rPr>
                          <w:i/>
                          <w:iCs/>
                          <w:color w:val="B7A241" w:themeColor="accent1"/>
                          <w:sz w:val="24"/>
                        </w:rPr>
                        <w:t>6,458</w:t>
                      </w:r>
                    </w:p>
                  </w:txbxContent>
                </v:textbox>
                <w10:wrap type="topAndBottom" anchorx="page"/>
              </v:shape>
            </w:pict>
          </mc:Fallback>
        </mc:AlternateContent>
      </w:r>
      <w:r w:rsidR="009723EB" w:rsidRPr="00712D80">
        <w:rPr>
          <w:rFonts w:ascii="Century Gothic" w:hAnsi="Century Gothic"/>
          <w:noProof/>
        </w:rPr>
        <mc:AlternateContent>
          <mc:Choice Requires="wps">
            <w:drawing>
              <wp:anchor distT="91440" distB="91440" distL="114300" distR="114300" simplePos="0" relativeHeight="251658267" behindDoc="0" locked="0" layoutInCell="1" allowOverlap="1" wp14:anchorId="70D46135" wp14:editId="164D89C7">
                <wp:simplePos x="0" y="0"/>
                <wp:positionH relativeFrom="page">
                  <wp:posOffset>1932940</wp:posOffset>
                </wp:positionH>
                <wp:positionV relativeFrom="paragraph">
                  <wp:posOffset>2324735</wp:posOffset>
                </wp:positionV>
                <wp:extent cx="4295775" cy="1152525"/>
                <wp:effectExtent l="0" t="0" r="0" b="0"/>
                <wp:wrapTopAndBottom/>
                <wp:docPr id="4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152525"/>
                        </a:xfrm>
                        <a:prstGeom prst="rect">
                          <a:avLst/>
                        </a:prstGeom>
                        <a:noFill/>
                        <a:ln w="9525">
                          <a:noFill/>
                          <a:miter lim="800000"/>
                          <a:headEnd/>
                          <a:tailEnd/>
                        </a:ln>
                      </wps:spPr>
                      <wps:txbx>
                        <w:txbxContent>
                          <w:p w14:paraId="5BC3F183" w14:textId="73216C4E" w:rsidR="00CA7619" w:rsidRDefault="00CA7619">
                            <w:pPr>
                              <w:pBdr>
                                <w:top w:val="single" w:sz="24" w:space="8" w:color="B7A241" w:themeColor="accent1"/>
                                <w:bottom w:val="single" w:sz="24" w:space="8" w:color="B7A241" w:themeColor="accent1"/>
                              </w:pBdr>
                              <w:rPr>
                                <w:i/>
                                <w:iCs/>
                                <w:color w:val="B7A241" w:themeColor="accent1"/>
                                <w:sz w:val="24"/>
                              </w:rPr>
                            </w:pPr>
                            <w:r>
                              <w:rPr>
                                <w:i/>
                                <w:iCs/>
                                <w:color w:val="B7A241" w:themeColor="accent1"/>
                                <w:sz w:val="24"/>
                              </w:rPr>
                              <w:t xml:space="preserve">One successful resident </w:t>
                            </w:r>
                            <w:r w:rsidR="000B57F0">
                              <w:rPr>
                                <w:i/>
                                <w:iCs/>
                                <w:color w:val="B7A241" w:themeColor="accent1"/>
                                <w:sz w:val="24"/>
                              </w:rPr>
                              <w:t xml:space="preserve">enrolled in the FFSS program in 2017 </w:t>
                            </w:r>
                            <w:r w:rsidR="00326671">
                              <w:rPr>
                                <w:i/>
                                <w:iCs/>
                                <w:color w:val="B7A241" w:themeColor="accent1"/>
                                <w:sz w:val="24"/>
                              </w:rPr>
                              <w:t xml:space="preserve">and increased her annual income </w:t>
                            </w:r>
                            <w:r w:rsidR="00237A09">
                              <w:rPr>
                                <w:i/>
                                <w:iCs/>
                                <w:color w:val="B7A241" w:themeColor="accent1"/>
                                <w:sz w:val="24"/>
                              </w:rPr>
                              <w:t>f</w:t>
                            </w:r>
                            <w:r w:rsidR="00655172">
                              <w:rPr>
                                <w:i/>
                                <w:iCs/>
                                <w:color w:val="B7A241" w:themeColor="accent1"/>
                                <w:sz w:val="24"/>
                              </w:rPr>
                              <w:t>rom $10</w:t>
                            </w:r>
                            <w:r w:rsidR="00375650">
                              <w:rPr>
                                <w:i/>
                                <w:iCs/>
                                <w:color w:val="B7A241" w:themeColor="accent1"/>
                                <w:sz w:val="24"/>
                              </w:rPr>
                              <w:t>,140 to $37,009</w:t>
                            </w:r>
                            <w:r w:rsidR="000B57F0">
                              <w:rPr>
                                <w:i/>
                                <w:iCs/>
                                <w:color w:val="B7A241" w:themeColor="accent1"/>
                                <w:sz w:val="24"/>
                              </w:rPr>
                              <w:t xml:space="preserve">, increased her FICO score to </w:t>
                            </w:r>
                            <w:r w:rsidR="00683AA0">
                              <w:rPr>
                                <w:i/>
                                <w:iCs/>
                                <w:color w:val="B7A241" w:themeColor="accent1"/>
                                <w:sz w:val="24"/>
                              </w:rPr>
                              <w:t>753</w:t>
                            </w:r>
                            <w:r w:rsidR="000B57F0">
                              <w:rPr>
                                <w:i/>
                                <w:iCs/>
                                <w:color w:val="B7A241" w:themeColor="accent1"/>
                                <w:sz w:val="24"/>
                              </w:rPr>
                              <w:t>accrued $</w:t>
                            </w:r>
                            <w:r w:rsidR="00D966C3">
                              <w:rPr>
                                <w:i/>
                                <w:iCs/>
                                <w:color w:val="B7A241" w:themeColor="accent1"/>
                                <w:sz w:val="24"/>
                              </w:rPr>
                              <w:t>34,721</w:t>
                            </w:r>
                            <w:r w:rsidR="000B57F0">
                              <w:rPr>
                                <w:i/>
                                <w:iCs/>
                                <w:color w:val="B7A241" w:themeColor="accent1"/>
                                <w:sz w:val="24"/>
                              </w:rPr>
                              <w:t xml:space="preserve"> in escrow.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46135" id="Text Box 95" o:spid="_x0000_s1071" type="#_x0000_t202" style="position:absolute;left:0;text-align:left;margin-left:152.2pt;margin-top:183.05pt;width:338.25pt;height:90.75pt;z-index:251658267;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" filled="f" stroked="f">
                <v:textbox>
                  <w:txbxContent>
                    <w:p w14:paraId="5BC3F183" w14:textId="73216C4E" w:rsidR="00CA7619" w:rsidRDefault="00CA7619">
                      <w:pPr>
                        <w:pBdr>
                          <w:top w:val="single" w:sz="24" w:space="8" w:color="B7A241" w:themeColor="accent1"/>
                          <w:bottom w:val="single" w:sz="24" w:space="8" w:color="B7A241" w:themeColor="accent1"/>
                        </w:pBdr>
                        <w:rPr>
                          <w:i/>
                          <w:iCs/>
                          <w:color w:val="B7A241" w:themeColor="accent1"/>
                          <w:sz w:val="24"/>
                        </w:rPr>
                      </w:pPr>
                      <w:r>
                        <w:rPr>
                          <w:i/>
                          <w:iCs/>
                          <w:color w:val="B7A241" w:themeColor="accent1"/>
                          <w:sz w:val="24"/>
                        </w:rPr>
                        <w:t xml:space="preserve">One successful resident </w:t>
                      </w:r>
                      <w:r w:rsidR="000B57F0">
                        <w:rPr>
                          <w:i/>
                          <w:iCs/>
                          <w:color w:val="B7A241" w:themeColor="accent1"/>
                          <w:sz w:val="24"/>
                        </w:rPr>
                        <w:t xml:space="preserve">enrolled in the FFSS program in 2017 </w:t>
                      </w:r>
                      <w:r w:rsidR="00326671">
                        <w:rPr>
                          <w:i/>
                          <w:iCs/>
                          <w:color w:val="B7A241" w:themeColor="accent1"/>
                          <w:sz w:val="24"/>
                        </w:rPr>
                        <w:t xml:space="preserve">and increased her annual income </w:t>
                      </w:r>
                      <w:r w:rsidR="00237A09">
                        <w:rPr>
                          <w:i/>
                          <w:iCs/>
                          <w:color w:val="B7A241" w:themeColor="accent1"/>
                          <w:sz w:val="24"/>
                        </w:rPr>
                        <w:t>f</w:t>
                      </w:r>
                      <w:r w:rsidR="00655172">
                        <w:rPr>
                          <w:i/>
                          <w:iCs/>
                          <w:color w:val="B7A241" w:themeColor="accent1"/>
                          <w:sz w:val="24"/>
                        </w:rPr>
                        <w:t>rom $10</w:t>
                      </w:r>
                      <w:r w:rsidR="00375650">
                        <w:rPr>
                          <w:i/>
                          <w:iCs/>
                          <w:color w:val="B7A241" w:themeColor="accent1"/>
                          <w:sz w:val="24"/>
                        </w:rPr>
                        <w:t>,140 to $37,009</w:t>
                      </w:r>
                      <w:r w:rsidR="000B57F0">
                        <w:rPr>
                          <w:i/>
                          <w:iCs/>
                          <w:color w:val="B7A241" w:themeColor="accent1"/>
                          <w:sz w:val="24"/>
                        </w:rPr>
                        <w:t xml:space="preserve">, increased her FICO score to </w:t>
                      </w:r>
                      <w:r w:rsidR="00683AA0">
                        <w:rPr>
                          <w:i/>
                          <w:iCs/>
                          <w:color w:val="B7A241" w:themeColor="accent1"/>
                          <w:sz w:val="24"/>
                        </w:rPr>
                        <w:t>753</w:t>
                      </w:r>
                      <w:r w:rsidR="000B57F0">
                        <w:rPr>
                          <w:i/>
                          <w:iCs/>
                          <w:color w:val="B7A241" w:themeColor="accent1"/>
                          <w:sz w:val="24"/>
                        </w:rPr>
                        <w:t>accrued $</w:t>
                      </w:r>
                      <w:r w:rsidR="00D966C3">
                        <w:rPr>
                          <w:i/>
                          <w:iCs/>
                          <w:color w:val="B7A241" w:themeColor="accent1"/>
                          <w:sz w:val="24"/>
                        </w:rPr>
                        <w:t>34,721</w:t>
                      </w:r>
                      <w:r w:rsidR="000B57F0">
                        <w:rPr>
                          <w:i/>
                          <w:iCs/>
                          <w:color w:val="B7A241" w:themeColor="accent1"/>
                          <w:sz w:val="24"/>
                        </w:rPr>
                        <w:t xml:space="preserve"> in escrow.</w:t>
                      </w:r>
                    </w:p>
                  </w:txbxContent>
                </v:textbox>
                <w10:wrap type="topAndBottom" anchorx="page"/>
              </v:shape>
            </w:pict>
          </mc:Fallback>
        </mc:AlternateContent>
      </w:r>
      <w:r w:rsidR="009723EB" w:rsidRPr="00712D80">
        <w:rPr>
          <w:rFonts w:ascii="Century Gothic" w:hAnsi="Century Gothic"/>
          <w:noProof/>
        </w:rPr>
        <mc:AlternateContent>
          <mc:Choice Requires="wps">
            <w:drawing>
              <wp:anchor distT="91440" distB="91440" distL="114300" distR="114300" simplePos="0" relativeHeight="251658268" behindDoc="0" locked="0" layoutInCell="1" allowOverlap="1" wp14:anchorId="2774C9C1" wp14:editId="4971A179">
                <wp:simplePos x="0" y="0"/>
                <wp:positionH relativeFrom="page">
                  <wp:posOffset>1895475</wp:posOffset>
                </wp:positionH>
                <wp:positionV relativeFrom="paragraph">
                  <wp:posOffset>1248410</wp:posOffset>
                </wp:positionV>
                <wp:extent cx="4314825" cy="847725"/>
                <wp:effectExtent l="0" t="0" r="0" b="0"/>
                <wp:wrapTopAndBottom/>
                <wp:docPr id="44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847725"/>
                        </a:xfrm>
                        <a:prstGeom prst="rect">
                          <a:avLst/>
                        </a:prstGeom>
                        <a:noFill/>
                        <a:ln w="9525">
                          <a:noFill/>
                          <a:miter lim="800000"/>
                          <a:headEnd/>
                          <a:tailEnd/>
                        </a:ln>
                      </wps:spPr>
                      <wps:txbx>
                        <w:txbxContent>
                          <w:p w14:paraId="2DD142BB" w14:textId="310BB6C6" w:rsidR="00CA7619" w:rsidRDefault="00CA7619">
                            <w:pPr>
                              <w:pBdr>
                                <w:top w:val="single" w:sz="24" w:space="8" w:color="B7A241" w:themeColor="accent1"/>
                                <w:bottom w:val="single" w:sz="24" w:space="8" w:color="B7A241" w:themeColor="accent1"/>
                              </w:pBdr>
                              <w:rPr>
                                <w:i/>
                                <w:iCs/>
                                <w:color w:val="B7A241" w:themeColor="accent1"/>
                                <w:sz w:val="24"/>
                              </w:rPr>
                            </w:pPr>
                            <w:r>
                              <w:rPr>
                                <w:i/>
                                <w:iCs/>
                                <w:color w:val="B7A241" w:themeColor="accent1"/>
                                <w:sz w:val="24"/>
                              </w:rPr>
                              <w:t xml:space="preserve">One resident </w:t>
                            </w:r>
                            <w:r w:rsidR="006F42F6">
                              <w:rPr>
                                <w:i/>
                                <w:iCs/>
                                <w:color w:val="B7A241" w:themeColor="accent1"/>
                                <w:sz w:val="24"/>
                              </w:rPr>
                              <w:t xml:space="preserve">returned </w:t>
                            </w:r>
                            <w:r w:rsidR="00F25329">
                              <w:rPr>
                                <w:i/>
                                <w:iCs/>
                                <w:color w:val="B7A241" w:themeColor="accent1"/>
                                <w:sz w:val="24"/>
                              </w:rPr>
                              <w:t xml:space="preserve">to work as a health aid and has been </w:t>
                            </w:r>
                            <w:r w:rsidR="00583B2B">
                              <w:rPr>
                                <w:i/>
                                <w:iCs/>
                                <w:color w:val="B7A241" w:themeColor="accent1"/>
                                <w:sz w:val="24"/>
                              </w:rPr>
                              <w:t xml:space="preserve">gainfully employed for over </w:t>
                            </w:r>
                            <w:r w:rsidR="003043CB">
                              <w:rPr>
                                <w:i/>
                                <w:iCs/>
                                <w:color w:val="B7A241" w:themeColor="accent1"/>
                                <w:sz w:val="24"/>
                              </w:rPr>
                              <w:t>12 months</w:t>
                            </w:r>
                            <w:r w:rsidR="000C6D93">
                              <w:rPr>
                                <w:i/>
                                <w:iCs/>
                                <w:color w:val="B7A241" w:themeColor="accent1"/>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4C9C1" id="Text Box 96" o:spid="_x0000_s1072" type="#_x0000_t202" style="position:absolute;left:0;text-align:left;margin-left:149.25pt;margin-top:98.3pt;width:339.75pt;height:66.75pt;z-index:2516582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" filled="f" stroked="f">
                <v:textbox>
                  <w:txbxContent>
                    <w:p w14:paraId="2DD142BB" w14:textId="310BB6C6" w:rsidR="00CA7619" w:rsidRDefault="00CA7619">
                      <w:pPr>
                        <w:pBdr>
                          <w:top w:val="single" w:sz="24" w:space="8" w:color="B7A241" w:themeColor="accent1"/>
                          <w:bottom w:val="single" w:sz="24" w:space="8" w:color="B7A241" w:themeColor="accent1"/>
                        </w:pBdr>
                        <w:rPr>
                          <w:i/>
                          <w:iCs/>
                          <w:color w:val="B7A241" w:themeColor="accent1"/>
                          <w:sz w:val="24"/>
                        </w:rPr>
                      </w:pPr>
                      <w:r>
                        <w:rPr>
                          <w:i/>
                          <w:iCs/>
                          <w:color w:val="B7A241" w:themeColor="accent1"/>
                          <w:sz w:val="24"/>
                        </w:rPr>
                        <w:t xml:space="preserve">One resident </w:t>
                      </w:r>
                      <w:r w:rsidR="006F42F6">
                        <w:rPr>
                          <w:i/>
                          <w:iCs/>
                          <w:color w:val="B7A241" w:themeColor="accent1"/>
                          <w:sz w:val="24"/>
                        </w:rPr>
                        <w:t xml:space="preserve">returned </w:t>
                      </w:r>
                      <w:r w:rsidR="00F25329">
                        <w:rPr>
                          <w:i/>
                          <w:iCs/>
                          <w:color w:val="B7A241" w:themeColor="accent1"/>
                          <w:sz w:val="24"/>
                        </w:rPr>
                        <w:t xml:space="preserve">to work as a health aid and has been </w:t>
                      </w:r>
                      <w:r w:rsidR="00583B2B">
                        <w:rPr>
                          <w:i/>
                          <w:iCs/>
                          <w:color w:val="B7A241" w:themeColor="accent1"/>
                          <w:sz w:val="24"/>
                        </w:rPr>
                        <w:t xml:space="preserve">gainfully employed for over </w:t>
                      </w:r>
                      <w:r w:rsidR="003043CB">
                        <w:rPr>
                          <w:i/>
                          <w:iCs/>
                          <w:color w:val="B7A241" w:themeColor="accent1"/>
                          <w:sz w:val="24"/>
                        </w:rPr>
                        <w:t>12 months</w:t>
                      </w:r>
                      <w:r w:rsidR="000C6D93">
                        <w:rPr>
                          <w:i/>
                          <w:iCs/>
                          <w:color w:val="B7A241" w:themeColor="accent1"/>
                          <w:sz w:val="24"/>
                        </w:rPr>
                        <w:t>.</w:t>
                      </w:r>
                    </w:p>
                  </w:txbxContent>
                </v:textbox>
                <w10:wrap type="topAndBottom" anchorx="page"/>
              </v:shape>
            </w:pict>
          </mc:Fallback>
        </mc:AlternateContent>
      </w:r>
      <w:r w:rsidR="009723EB" w:rsidRPr="00712D80">
        <w:rPr>
          <w:rFonts w:ascii="Century Gothic" w:hAnsi="Century Gothic"/>
          <w:noProof/>
        </w:rPr>
        <mc:AlternateContent>
          <mc:Choice Requires="wps">
            <w:drawing>
              <wp:anchor distT="91440" distB="91440" distL="114300" distR="114300" simplePos="0" relativeHeight="251658274" behindDoc="0" locked="0" layoutInCell="1" allowOverlap="1" wp14:anchorId="37868D21" wp14:editId="34F40C76">
                <wp:simplePos x="0" y="0"/>
                <wp:positionH relativeFrom="margin">
                  <wp:posOffset>2095500</wp:posOffset>
                </wp:positionH>
                <wp:positionV relativeFrom="paragraph">
                  <wp:posOffset>635</wp:posOffset>
                </wp:positionV>
                <wp:extent cx="2914650" cy="828675"/>
                <wp:effectExtent l="0" t="0" r="0" b="0"/>
                <wp:wrapTopAndBottom/>
                <wp:docPr id="15629658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828675"/>
                        </a:xfrm>
                        <a:prstGeom prst="rect">
                          <a:avLst/>
                        </a:prstGeom>
                        <a:noFill/>
                        <a:ln w="9525">
                          <a:noFill/>
                          <a:miter lim="800000"/>
                          <a:headEnd/>
                          <a:tailEnd/>
                        </a:ln>
                      </wps:spPr>
                      <wps:txbx>
                        <w:txbxContent>
                          <w:p w14:paraId="12F61C98" w14:textId="16F15376" w:rsidR="009723EB" w:rsidRDefault="009723EB" w:rsidP="009723EB">
                            <w:pPr>
                              <w:pBdr>
                                <w:top w:val="single" w:sz="24" w:space="8" w:color="B7A241" w:themeColor="accent1"/>
                                <w:bottom w:val="single" w:sz="24" w:space="8" w:color="B7A241" w:themeColor="accent1"/>
                              </w:pBdr>
                              <w:jc w:val="center"/>
                              <w:rPr>
                                <w:rFonts w:ascii="Times New Roman" w:hAnsi="Times New Roman"/>
                                <w:b/>
                                <w:bCs/>
                                <w:i/>
                                <w:iCs/>
                                <w:color w:val="B7A241" w:themeColor="accent1"/>
                                <w:sz w:val="32"/>
                                <w:szCs w:val="32"/>
                              </w:rPr>
                            </w:pPr>
                            <w:r w:rsidRPr="009723EB">
                              <w:rPr>
                                <w:rFonts w:ascii="Times New Roman" w:hAnsi="Times New Roman"/>
                                <w:b/>
                                <w:bCs/>
                                <w:i/>
                                <w:iCs/>
                                <w:color w:val="B7A241" w:themeColor="accent1"/>
                                <w:sz w:val="32"/>
                                <w:szCs w:val="32"/>
                              </w:rPr>
                              <w:t>PARTICIPANT HIGHLIGHTS</w:t>
                            </w:r>
                          </w:p>
                          <w:p w14:paraId="053E95F1" w14:textId="1EF4087B" w:rsidR="009723EB" w:rsidRPr="009723EB" w:rsidRDefault="009723EB" w:rsidP="009723EB">
                            <w:pPr>
                              <w:pBdr>
                                <w:top w:val="single" w:sz="24" w:space="8" w:color="B7A241" w:themeColor="accent1"/>
                                <w:bottom w:val="single" w:sz="24" w:space="8" w:color="B7A241" w:themeColor="accent1"/>
                              </w:pBdr>
                              <w:jc w:val="center"/>
                              <w:rPr>
                                <w:rFonts w:ascii="Times New Roman" w:hAnsi="Times New Roman"/>
                                <w:i/>
                                <w:iCs/>
                                <w:color w:val="B7A241" w:themeColor="accent1"/>
                                <w:sz w:val="32"/>
                                <w:szCs w:val="32"/>
                              </w:rPr>
                            </w:pPr>
                            <w:r w:rsidRPr="009723EB">
                              <w:rPr>
                                <w:rFonts w:ascii="Times New Roman" w:hAnsi="Times New Roman"/>
                                <w:b/>
                                <w:bCs/>
                                <w:i/>
                                <w:iCs/>
                                <w:color w:val="B7A241" w:themeColor="accent1"/>
                                <w:sz w:val="32"/>
                                <w:szCs w:val="32"/>
                              </w:rPr>
                              <w:t>AND SUCCESSES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68D21" id="Text Box 97" o:spid="_x0000_s1073" type="#_x0000_t202" style="position:absolute;left:0;text-align:left;margin-left:165pt;margin-top:.05pt;width:229.5pt;height:65.25pt;z-index:25165827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" filled="f" stroked="f">
                <v:textbox>
                  <w:txbxContent>
                    <w:p w14:paraId="12F61C98" w14:textId="16F15376" w:rsidR="009723EB" w:rsidRDefault="009723EB" w:rsidP="009723EB">
                      <w:pPr>
                        <w:pBdr>
                          <w:top w:val="single" w:sz="24" w:space="8" w:color="B7A241" w:themeColor="accent1"/>
                          <w:bottom w:val="single" w:sz="24" w:space="8" w:color="B7A241" w:themeColor="accent1"/>
                        </w:pBdr>
                        <w:jc w:val="center"/>
                        <w:rPr>
                          <w:rFonts w:ascii="Times New Roman" w:hAnsi="Times New Roman"/>
                          <w:b/>
                          <w:bCs/>
                          <w:i/>
                          <w:iCs/>
                          <w:color w:val="B7A241" w:themeColor="accent1"/>
                          <w:sz w:val="32"/>
                          <w:szCs w:val="32"/>
                        </w:rPr>
                      </w:pPr>
                      <w:r w:rsidRPr="009723EB">
                        <w:rPr>
                          <w:rFonts w:ascii="Times New Roman" w:hAnsi="Times New Roman"/>
                          <w:b/>
                          <w:bCs/>
                          <w:i/>
                          <w:iCs/>
                          <w:color w:val="B7A241" w:themeColor="accent1"/>
                          <w:sz w:val="32"/>
                          <w:szCs w:val="32"/>
                        </w:rPr>
                        <w:t>PARTICIPANT HIGHLIGHTS</w:t>
                      </w:r>
                    </w:p>
                    <w:p w14:paraId="053E95F1" w14:textId="1EF4087B" w:rsidR="009723EB" w:rsidRPr="009723EB" w:rsidRDefault="009723EB" w:rsidP="009723EB">
                      <w:pPr>
                        <w:pBdr>
                          <w:top w:val="single" w:sz="24" w:space="8" w:color="B7A241" w:themeColor="accent1"/>
                          <w:bottom w:val="single" w:sz="24" w:space="8" w:color="B7A241" w:themeColor="accent1"/>
                        </w:pBdr>
                        <w:jc w:val="center"/>
                        <w:rPr>
                          <w:rFonts w:ascii="Times New Roman" w:hAnsi="Times New Roman"/>
                          <w:i/>
                          <w:iCs/>
                          <w:color w:val="B7A241" w:themeColor="accent1"/>
                          <w:sz w:val="32"/>
                          <w:szCs w:val="32"/>
                        </w:rPr>
                      </w:pPr>
                      <w:r w:rsidRPr="009723EB">
                        <w:rPr>
                          <w:rFonts w:ascii="Times New Roman" w:hAnsi="Times New Roman"/>
                          <w:b/>
                          <w:bCs/>
                          <w:i/>
                          <w:iCs/>
                          <w:color w:val="B7A241" w:themeColor="accent1"/>
                          <w:sz w:val="32"/>
                          <w:szCs w:val="32"/>
                        </w:rPr>
                        <w:t>AND SUCCESSES</w:t>
                      </w:r>
                    </w:p>
                  </w:txbxContent>
                </v:textbox>
                <w10:wrap type="topAndBottom" anchorx="margin"/>
              </v:shape>
            </w:pict>
          </mc:Fallback>
        </mc:AlternateContent>
      </w:r>
    </w:p>
    <w:p w14:paraId="674AFFDD" w14:textId="77FD0A62" w:rsidR="2C805A1A" w:rsidRPr="00712D80" w:rsidRDefault="2C805A1A" w:rsidP="764CED1E">
      <w:pPr>
        <w:tabs>
          <w:tab w:val="left" w:pos="2160"/>
        </w:tabs>
        <w:jc w:val="both"/>
        <w:rPr>
          <w:rFonts w:ascii="Century Gothic" w:eastAsia="Times New Roman" w:hAnsi="Century Gothic"/>
        </w:rPr>
      </w:pPr>
    </w:p>
    <w:p w14:paraId="1D2C9E0F" w14:textId="231A84A5" w:rsidR="001375DA" w:rsidRPr="00712D80" w:rsidRDefault="001375DA" w:rsidP="00BE6E59">
      <w:pPr>
        <w:rPr>
          <w:rFonts w:ascii="Century Gothic" w:eastAsiaTheme="majorEastAsia" w:hAnsi="Century Gothic"/>
          <w:b/>
          <w:color w:val="808080" w:themeColor="background1" w:themeShade="80"/>
        </w:rPr>
      </w:pPr>
      <w:r w:rsidRPr="00712D80">
        <w:rPr>
          <w:rFonts w:ascii="Century Gothic" w:eastAsiaTheme="majorEastAsia" w:hAnsi="Century Gothic"/>
          <w:b/>
          <w:color w:val="808080" w:themeColor="background1" w:themeShade="80"/>
        </w:rPr>
        <w:t>Outcomes</w:t>
      </w:r>
    </w:p>
    <w:p w14:paraId="53B87266" w14:textId="77777777" w:rsidR="001375DA" w:rsidRPr="00712D80" w:rsidRDefault="001375DA" w:rsidP="001375DA">
      <w:pPr>
        <w:rPr>
          <w:rFonts w:ascii="Century Gothic" w:hAnsi="Century Gothic"/>
          <w:szCs w:val="22"/>
        </w:rPr>
      </w:pPr>
    </w:p>
    <w:p w14:paraId="6609A1CC" w14:textId="286F33FA" w:rsidR="001375DA" w:rsidRPr="00712D80" w:rsidRDefault="000F5EBB" w:rsidP="001375DA">
      <w:pPr>
        <w:rPr>
          <w:rFonts w:ascii="Century Gothic" w:hAnsi="Century Gothic"/>
          <w:b/>
          <w:bCs/>
          <w:iCs/>
          <w:szCs w:val="22"/>
        </w:rPr>
      </w:pPr>
      <w:r>
        <w:rPr>
          <w:rFonts w:ascii="Century Gothic" w:hAnsi="Century Gothic"/>
          <w:b/>
          <w:bCs/>
          <w:iCs/>
          <w:szCs w:val="22"/>
        </w:rPr>
        <w:t>Internal</w:t>
      </w:r>
      <w:r w:rsidR="001375DA" w:rsidRPr="00712D80">
        <w:rPr>
          <w:rFonts w:ascii="Century Gothic" w:hAnsi="Century Gothic"/>
          <w:b/>
          <w:bCs/>
          <w:iCs/>
          <w:szCs w:val="22"/>
        </w:rPr>
        <w:t xml:space="preserve"> Metrics</w:t>
      </w:r>
    </w:p>
    <w:p w14:paraId="7D7CB3E1" w14:textId="77777777" w:rsidR="001375DA" w:rsidRPr="00712D80" w:rsidRDefault="001375DA" w:rsidP="001375DA">
      <w:pPr>
        <w:rPr>
          <w:rFonts w:ascii="Century Gothic" w:hAnsi="Century Gothic"/>
          <w:b/>
          <w:szCs w:val="22"/>
        </w:rPr>
      </w:pPr>
    </w:p>
    <w:p w14:paraId="721C7336" w14:textId="77777777" w:rsidR="003E7FBB" w:rsidRPr="00712D80" w:rsidRDefault="003E7FBB" w:rsidP="001375DA">
      <w:pPr>
        <w:rPr>
          <w:rFonts w:ascii="Century Gothic" w:hAnsi="Century Gothic"/>
          <w:b/>
          <w:szCs w:val="22"/>
        </w:rPr>
      </w:pPr>
    </w:p>
    <w:tbl>
      <w:tblPr>
        <w:tblStyle w:val="TableGrid61"/>
        <w:tblW w:w="9900" w:type="dxa"/>
        <w:tblLayout w:type="fixed"/>
        <w:tblLook w:val="04A0" w:firstRow="1" w:lastRow="0" w:firstColumn="1" w:lastColumn="0" w:noHBand="0" w:noVBand="1"/>
      </w:tblPr>
      <w:tblGrid>
        <w:gridCol w:w="1800"/>
        <w:gridCol w:w="1800"/>
        <w:gridCol w:w="1890"/>
        <w:gridCol w:w="3060"/>
        <w:gridCol w:w="1350"/>
      </w:tblGrid>
      <w:tr w:rsidR="001375DA" w:rsidRPr="00712D80" w14:paraId="1B91B374" w14:textId="77777777" w:rsidTr="188A1EBF">
        <w:trPr>
          <w:trHeight w:val="400"/>
        </w:trPr>
        <w:tc>
          <w:tcPr>
            <w:tcW w:w="9900" w:type="dxa"/>
            <w:gridSpan w:val="5"/>
            <w:tcBorders>
              <w:top w:val="nil"/>
              <w:left w:val="nil"/>
              <w:bottom w:val="single" w:sz="24" w:space="0" w:color="B5333C" w:themeColor="accent2"/>
              <w:right w:val="nil"/>
            </w:tcBorders>
            <w:shd w:val="clear" w:color="auto" w:fill="808080" w:themeFill="background1" w:themeFillShade="80"/>
            <w:hideMark/>
          </w:tcPr>
          <w:p w14:paraId="3306810E" w14:textId="77777777" w:rsidR="001375DA" w:rsidRPr="00712D80" w:rsidRDefault="001375DA" w:rsidP="001375DA">
            <w:pPr>
              <w:jc w:val="center"/>
              <w:rPr>
                <w:rFonts w:ascii="Century Gothic" w:hAnsi="Century Gothic"/>
                <w:b/>
                <w:szCs w:val="22"/>
              </w:rPr>
            </w:pPr>
            <w:r w:rsidRPr="00712D80">
              <w:rPr>
                <w:rFonts w:ascii="Century Gothic" w:hAnsi="Century Gothic"/>
                <w:b/>
                <w:szCs w:val="22"/>
              </w:rPr>
              <w:t>SS #1: Increase in Household Income</w:t>
            </w:r>
          </w:p>
        </w:tc>
      </w:tr>
      <w:tr w:rsidR="001375DA" w:rsidRPr="00712D80" w14:paraId="0554ABB3" w14:textId="77777777" w:rsidTr="188A1EBF">
        <w:trPr>
          <w:trHeight w:val="340"/>
        </w:trPr>
        <w:tc>
          <w:tcPr>
            <w:tcW w:w="1800"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F9E39EA" w14:textId="77777777" w:rsidR="001375DA" w:rsidRPr="00712D80" w:rsidRDefault="001375DA" w:rsidP="001375DA">
            <w:pPr>
              <w:jc w:val="center"/>
              <w:rPr>
                <w:rFonts w:ascii="Century Gothic" w:hAnsi="Century Gothic"/>
                <w:b/>
                <w:szCs w:val="22"/>
              </w:rPr>
            </w:pPr>
            <w:r w:rsidRPr="00712D80">
              <w:rPr>
                <w:rFonts w:ascii="Century Gothic" w:hAnsi="Century Gothic"/>
                <w:b/>
                <w:szCs w:val="22"/>
              </w:rPr>
              <w:t>Unit of Measurement</w:t>
            </w:r>
          </w:p>
        </w:tc>
        <w:tc>
          <w:tcPr>
            <w:tcW w:w="180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4209881" w14:textId="77777777" w:rsidR="001375DA" w:rsidRPr="00712D80" w:rsidRDefault="001375DA" w:rsidP="001375DA">
            <w:pPr>
              <w:jc w:val="center"/>
              <w:rPr>
                <w:rFonts w:ascii="Century Gothic" w:hAnsi="Century Gothic"/>
                <w:b/>
                <w:szCs w:val="22"/>
              </w:rPr>
            </w:pPr>
            <w:r w:rsidRPr="00712D80">
              <w:rPr>
                <w:rFonts w:ascii="Century Gothic" w:hAnsi="Century Gothic"/>
                <w:b/>
                <w:szCs w:val="22"/>
              </w:rPr>
              <w:t>Baseline</w:t>
            </w:r>
          </w:p>
        </w:tc>
        <w:tc>
          <w:tcPr>
            <w:tcW w:w="189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6187662D" w14:textId="77777777" w:rsidR="001375DA" w:rsidRPr="00712D80" w:rsidRDefault="001375DA" w:rsidP="001375DA">
            <w:pPr>
              <w:jc w:val="center"/>
              <w:rPr>
                <w:rFonts w:ascii="Century Gothic" w:hAnsi="Century Gothic"/>
                <w:b/>
                <w:szCs w:val="22"/>
              </w:rPr>
            </w:pPr>
            <w:r w:rsidRPr="00712D80">
              <w:rPr>
                <w:rFonts w:ascii="Century Gothic" w:hAnsi="Century Gothic"/>
                <w:b/>
                <w:szCs w:val="22"/>
              </w:rPr>
              <w:t>Benchmark</w:t>
            </w:r>
          </w:p>
        </w:tc>
        <w:tc>
          <w:tcPr>
            <w:tcW w:w="306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2267B9F8" w14:textId="77777777" w:rsidR="001375DA" w:rsidRPr="00712D80" w:rsidRDefault="1B4A8018" w:rsidP="1B4A8018">
            <w:pPr>
              <w:jc w:val="center"/>
              <w:rPr>
                <w:rFonts w:ascii="Century Gothic" w:eastAsia="Times New Roman" w:hAnsi="Century Gothic"/>
                <w:b/>
                <w:bCs/>
                <w:szCs w:val="22"/>
              </w:rPr>
            </w:pPr>
            <w:r w:rsidRPr="00712D80">
              <w:rPr>
                <w:rFonts w:ascii="Century Gothic" w:eastAsia="Times New Roman" w:hAnsi="Century Gothic"/>
                <w:b/>
                <w:bCs/>
                <w:szCs w:val="22"/>
              </w:rPr>
              <w:t>Outcome</w:t>
            </w:r>
          </w:p>
        </w:tc>
        <w:tc>
          <w:tcPr>
            <w:tcW w:w="135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00562EF9" w14:textId="77777777" w:rsidR="001375DA" w:rsidRPr="00712D80" w:rsidRDefault="001375DA" w:rsidP="001375DA">
            <w:pPr>
              <w:jc w:val="center"/>
              <w:rPr>
                <w:rFonts w:ascii="Century Gothic" w:hAnsi="Century Gothic"/>
                <w:b/>
                <w:szCs w:val="22"/>
              </w:rPr>
            </w:pPr>
            <w:r w:rsidRPr="00712D80">
              <w:rPr>
                <w:rFonts w:ascii="Century Gothic" w:hAnsi="Century Gothic"/>
                <w:b/>
                <w:szCs w:val="22"/>
              </w:rPr>
              <w:t>Benchmark Achieved?</w:t>
            </w:r>
          </w:p>
        </w:tc>
      </w:tr>
      <w:tr w:rsidR="001375DA" w:rsidRPr="00712D80" w14:paraId="0D42DBBC" w14:textId="77777777" w:rsidTr="188A1EBF">
        <w:trPr>
          <w:trHeight w:val="620"/>
        </w:trPr>
        <w:tc>
          <w:tcPr>
            <w:tcW w:w="180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1C4BB012" w14:textId="77777777" w:rsidR="001375DA" w:rsidRPr="00712D80" w:rsidRDefault="001375DA" w:rsidP="001375DA">
            <w:pPr>
              <w:rPr>
                <w:rFonts w:ascii="Century Gothic" w:hAnsi="Century Gothic"/>
                <w:szCs w:val="22"/>
              </w:rPr>
            </w:pPr>
            <w:r w:rsidRPr="00712D80">
              <w:rPr>
                <w:rFonts w:ascii="Century Gothic" w:hAnsi="Century Gothic"/>
                <w:szCs w:val="22"/>
              </w:rPr>
              <w:t xml:space="preserve">Average earnings (wages) of </w:t>
            </w:r>
            <w:r w:rsidRPr="00712D80">
              <w:rPr>
                <w:rFonts w:ascii="Century Gothic" w:hAnsi="Century Gothic"/>
                <w:szCs w:val="22"/>
              </w:rPr>
              <w:lastRenderedPageBreak/>
              <w:t>households enrolled in FSS Program**</w:t>
            </w:r>
          </w:p>
        </w:tc>
        <w:tc>
          <w:tcPr>
            <w:tcW w:w="18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EAE73AD" w14:textId="77777777" w:rsidR="001375DA" w:rsidRPr="00712D80" w:rsidRDefault="001375DA" w:rsidP="001375DA">
            <w:pPr>
              <w:rPr>
                <w:rFonts w:ascii="Century Gothic" w:hAnsi="Century Gothic"/>
                <w:szCs w:val="22"/>
              </w:rPr>
            </w:pPr>
            <w:r w:rsidRPr="00712D80">
              <w:rPr>
                <w:rFonts w:ascii="Century Gothic" w:hAnsi="Century Gothic"/>
                <w:szCs w:val="22"/>
              </w:rPr>
              <w:lastRenderedPageBreak/>
              <w:t>$4,082 (2013)</w:t>
            </w:r>
          </w:p>
        </w:tc>
        <w:tc>
          <w:tcPr>
            <w:tcW w:w="18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1A92E41" w14:textId="1F4FEA1B" w:rsidR="001375DA" w:rsidRPr="00712D80" w:rsidRDefault="001375DA" w:rsidP="6B711D13">
            <w:pPr>
              <w:rPr>
                <w:rFonts w:ascii="Century Gothic" w:hAnsi="Century Gothic"/>
              </w:rPr>
            </w:pPr>
            <w:r w:rsidRPr="00712D80">
              <w:rPr>
                <w:rFonts w:ascii="Century Gothic" w:hAnsi="Century Gothic"/>
              </w:rPr>
              <w:t xml:space="preserve">Steady increase in average </w:t>
            </w:r>
            <w:r w:rsidRPr="00712D80">
              <w:rPr>
                <w:rFonts w:ascii="Century Gothic" w:hAnsi="Century Gothic"/>
              </w:rPr>
              <w:lastRenderedPageBreak/>
              <w:t xml:space="preserve">household </w:t>
            </w:r>
            <w:r w:rsidR="008F259B" w:rsidRPr="00712D80">
              <w:rPr>
                <w:rFonts w:ascii="Century Gothic" w:hAnsi="Century Gothic"/>
              </w:rPr>
              <w:t>earnings.</w:t>
            </w:r>
            <w:r w:rsidR="49313F7A" w:rsidRPr="00712D80">
              <w:rPr>
                <w:rFonts w:ascii="Century Gothic" w:hAnsi="Century Gothic"/>
              </w:rPr>
              <w:t xml:space="preserve"> </w:t>
            </w:r>
          </w:p>
          <w:p w14:paraId="348812FA" w14:textId="0450F60F" w:rsidR="001375DA" w:rsidRPr="00712D80" w:rsidRDefault="001375DA" w:rsidP="6B711D13">
            <w:pPr>
              <w:rPr>
                <w:rFonts w:ascii="Century Gothic" w:hAnsi="Century Gothic"/>
              </w:rPr>
            </w:pPr>
          </w:p>
          <w:p w14:paraId="25986BEF" w14:textId="72EC1FAE" w:rsidR="001375DA" w:rsidRPr="00712D80" w:rsidRDefault="1B4A8018" w:rsidP="001375DA">
            <w:pPr>
              <w:rPr>
                <w:rFonts w:ascii="Century Gothic" w:hAnsi="Century Gothic"/>
              </w:rPr>
            </w:pPr>
            <w:r w:rsidRPr="00712D80">
              <w:rPr>
                <w:rFonts w:ascii="Century Gothic" w:hAnsi="Century Gothic"/>
              </w:rPr>
              <w:t>Long-term Goal: meet or exceed NH AMI $</w:t>
            </w:r>
            <w:r w:rsidR="76AF3ED8" w:rsidRPr="00712D80">
              <w:rPr>
                <w:rFonts w:ascii="Century Gothic" w:hAnsi="Century Gothic"/>
              </w:rPr>
              <w:t>54,950</w:t>
            </w:r>
          </w:p>
        </w:tc>
        <w:tc>
          <w:tcPr>
            <w:tcW w:w="30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BD01FFF" w14:textId="6606DBDA" w:rsidR="5DD99416" w:rsidRPr="00712D80" w:rsidRDefault="667AF35F" w:rsidP="6F807E50">
            <w:pPr>
              <w:rPr>
                <w:rFonts w:ascii="Century Gothic" w:eastAsia="Times New Roman" w:hAnsi="Century Gothic"/>
              </w:rPr>
            </w:pPr>
            <w:r w:rsidRPr="188A1EBF">
              <w:rPr>
                <w:rFonts w:ascii="Century Gothic" w:eastAsia="Times New Roman" w:hAnsi="Century Gothic"/>
              </w:rPr>
              <w:lastRenderedPageBreak/>
              <w:t xml:space="preserve">2024: </w:t>
            </w:r>
            <w:r w:rsidR="67F85586" w:rsidRPr="188A1EBF">
              <w:rPr>
                <w:rFonts w:ascii="Century Gothic" w:eastAsia="Times New Roman" w:hAnsi="Century Gothic"/>
              </w:rPr>
              <w:t>$</w:t>
            </w:r>
            <w:r w:rsidR="706A1604" w:rsidRPr="188A1EBF">
              <w:rPr>
                <w:rFonts w:ascii="Century Gothic" w:eastAsia="Times New Roman" w:hAnsi="Century Gothic"/>
              </w:rPr>
              <w:t>28,908 (7% decrease)</w:t>
            </w:r>
          </w:p>
          <w:p w14:paraId="4A3A05CE" w14:textId="6E61ECD5" w:rsidR="002A68D0" w:rsidRPr="00712D80" w:rsidRDefault="5EF615FC" w:rsidP="0E6C54AB">
            <w:pPr>
              <w:textAlignment w:val="baseline"/>
              <w:rPr>
                <w:rFonts w:ascii="Century Gothic" w:eastAsia="Times New Roman" w:hAnsi="Century Gothic"/>
              </w:rPr>
            </w:pPr>
            <w:r w:rsidRPr="00712D80">
              <w:rPr>
                <w:rFonts w:ascii="Century Gothic" w:eastAsia="Times New Roman" w:hAnsi="Century Gothic"/>
              </w:rPr>
              <w:lastRenderedPageBreak/>
              <w:t>2023</w:t>
            </w:r>
            <w:r w:rsidR="48114B9B" w:rsidRPr="00712D80">
              <w:rPr>
                <w:rFonts w:ascii="Century Gothic" w:eastAsia="Times New Roman" w:hAnsi="Century Gothic"/>
              </w:rPr>
              <w:t xml:space="preserve">: </w:t>
            </w:r>
            <w:r w:rsidR="034F1BD0" w:rsidRPr="00712D80">
              <w:rPr>
                <w:rFonts w:ascii="Century Gothic" w:eastAsia="Times New Roman" w:hAnsi="Century Gothic"/>
              </w:rPr>
              <w:t>$31,204</w:t>
            </w:r>
            <w:r w:rsidR="1E8072D9" w:rsidRPr="00712D80">
              <w:rPr>
                <w:rFonts w:ascii="Century Gothic" w:eastAsia="Times New Roman" w:hAnsi="Century Gothic"/>
              </w:rPr>
              <w:t xml:space="preserve"> (31% decrease)</w:t>
            </w:r>
          </w:p>
          <w:p w14:paraId="534B41E8" w14:textId="6A7AB0ED" w:rsidR="1B4A8018" w:rsidRPr="00712D80" w:rsidRDefault="776ACC71" w:rsidP="0E6C54AB">
            <w:pPr>
              <w:rPr>
                <w:rFonts w:ascii="Century Gothic" w:eastAsia="Times New Roman" w:hAnsi="Century Gothic"/>
              </w:rPr>
            </w:pPr>
            <w:r w:rsidRPr="00712D80">
              <w:rPr>
                <w:rFonts w:ascii="Century Gothic" w:eastAsia="Times New Roman" w:hAnsi="Century Gothic"/>
              </w:rPr>
              <w:t>2022: $45,122</w:t>
            </w:r>
            <w:r w:rsidR="3601C415" w:rsidRPr="00712D80">
              <w:rPr>
                <w:rFonts w:ascii="Century Gothic" w:eastAsia="Times New Roman" w:hAnsi="Century Gothic"/>
              </w:rPr>
              <w:t xml:space="preserve"> (37% increase)</w:t>
            </w:r>
          </w:p>
          <w:p w14:paraId="477208D8" w14:textId="15B15EA4" w:rsidR="008D79D3" w:rsidRPr="00712D80" w:rsidRDefault="776ACC71" w:rsidP="0E6C54AB">
            <w:pPr>
              <w:rPr>
                <w:rFonts w:ascii="Century Gothic" w:eastAsia="Times New Roman" w:hAnsi="Century Gothic"/>
              </w:rPr>
            </w:pPr>
            <w:r w:rsidRPr="00712D80">
              <w:rPr>
                <w:rFonts w:ascii="Century Gothic" w:eastAsia="Times New Roman" w:hAnsi="Century Gothic"/>
              </w:rPr>
              <w:t xml:space="preserve">2021: $32,864 </w:t>
            </w:r>
            <w:r w:rsidR="2FD80514" w:rsidRPr="00712D80">
              <w:rPr>
                <w:rFonts w:ascii="Century Gothic" w:eastAsia="Times New Roman" w:hAnsi="Century Gothic"/>
              </w:rPr>
              <w:t>(2% decrease)</w:t>
            </w:r>
          </w:p>
          <w:p w14:paraId="637174DE" w14:textId="5B758B68" w:rsidR="001375DA" w:rsidRPr="00712D80" w:rsidRDefault="776ACC71" w:rsidP="0E6C54AB">
            <w:pPr>
              <w:rPr>
                <w:rFonts w:ascii="Century Gothic" w:eastAsia="Times New Roman" w:hAnsi="Century Gothic"/>
              </w:rPr>
            </w:pPr>
            <w:r w:rsidRPr="00712D80">
              <w:rPr>
                <w:rFonts w:ascii="Century Gothic" w:eastAsia="Times New Roman" w:hAnsi="Century Gothic"/>
              </w:rPr>
              <w:t>2020: $33,633</w:t>
            </w:r>
          </w:p>
          <w:p w14:paraId="3767BAAC" w14:textId="70DCBA38" w:rsidR="001375DA" w:rsidRPr="00712D80" w:rsidRDefault="776ACC71" w:rsidP="0E6C54AB">
            <w:pPr>
              <w:rPr>
                <w:rFonts w:ascii="Century Gothic" w:eastAsia="Times New Roman" w:hAnsi="Century Gothic"/>
              </w:rPr>
            </w:pPr>
            <w:r w:rsidRPr="00712D80">
              <w:rPr>
                <w:rFonts w:ascii="Century Gothic" w:eastAsia="Times New Roman" w:hAnsi="Century Gothic"/>
              </w:rPr>
              <w:t>Prior years’ average income: $24,072</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171291C" w14:textId="233148E4" w:rsidR="001375DA" w:rsidRPr="00712D80" w:rsidRDefault="338512F2" w:rsidP="0E6C54AB">
            <w:pPr>
              <w:rPr>
                <w:rFonts w:ascii="Century Gothic" w:hAnsi="Century Gothic"/>
              </w:rPr>
            </w:pPr>
            <w:r w:rsidRPr="00712D80">
              <w:rPr>
                <w:rFonts w:ascii="Century Gothic" w:hAnsi="Century Gothic"/>
              </w:rPr>
              <w:lastRenderedPageBreak/>
              <w:t>No</w:t>
            </w:r>
            <w:r w:rsidR="5952B66C" w:rsidRPr="00712D80">
              <w:rPr>
                <w:rFonts w:ascii="Century Gothic" w:hAnsi="Century Gothic"/>
              </w:rPr>
              <w:t xml:space="preserve"> </w:t>
            </w:r>
          </w:p>
        </w:tc>
      </w:tr>
    </w:tbl>
    <w:p w14:paraId="58F4767D" w14:textId="77777777" w:rsidR="001375DA" w:rsidRPr="00F266B4" w:rsidRDefault="001375DA" w:rsidP="001375DA">
      <w:pPr>
        <w:rPr>
          <w:rFonts w:ascii="Century Gothic" w:hAnsi="Century Gothic"/>
          <w:szCs w:val="22"/>
        </w:rPr>
      </w:pPr>
    </w:p>
    <w:tbl>
      <w:tblPr>
        <w:tblStyle w:val="TableGrid61"/>
        <w:tblW w:w="10143" w:type="dxa"/>
        <w:tblInd w:w="-5" w:type="dxa"/>
        <w:tblLook w:val="04A0" w:firstRow="1" w:lastRow="0" w:firstColumn="1" w:lastColumn="0" w:noHBand="0" w:noVBand="1"/>
      </w:tblPr>
      <w:tblGrid>
        <w:gridCol w:w="1723"/>
        <w:gridCol w:w="456"/>
        <w:gridCol w:w="1553"/>
        <w:gridCol w:w="380"/>
        <w:gridCol w:w="1509"/>
        <w:gridCol w:w="172"/>
        <w:gridCol w:w="2608"/>
        <w:gridCol w:w="172"/>
        <w:gridCol w:w="1570"/>
      </w:tblGrid>
      <w:tr w:rsidR="003F3BF8" w:rsidRPr="00F266B4" w14:paraId="72645A59" w14:textId="77777777" w:rsidTr="128C9D46">
        <w:trPr>
          <w:trHeight w:val="390"/>
          <w:tblHeader/>
        </w:trPr>
        <w:tc>
          <w:tcPr>
            <w:tcW w:w="10143" w:type="dxa"/>
            <w:gridSpan w:val="9"/>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808080" w:themeFill="background1" w:themeFillShade="80"/>
            <w:hideMark/>
          </w:tcPr>
          <w:p w14:paraId="35728648" w14:textId="77777777" w:rsidR="001375DA" w:rsidRPr="00F266B4" w:rsidRDefault="001375DA" w:rsidP="001375DA">
            <w:pPr>
              <w:jc w:val="center"/>
              <w:rPr>
                <w:rFonts w:ascii="Century Gothic" w:hAnsi="Century Gothic"/>
                <w:b/>
                <w:szCs w:val="22"/>
              </w:rPr>
            </w:pPr>
            <w:r w:rsidRPr="00F266B4">
              <w:rPr>
                <w:rFonts w:ascii="Century Gothic" w:hAnsi="Century Gothic"/>
                <w:b/>
                <w:szCs w:val="22"/>
              </w:rPr>
              <w:t>SS #3: Increase in Positive Outcomes in Employment Status</w:t>
            </w:r>
          </w:p>
          <w:p w14:paraId="05964F14" w14:textId="77777777" w:rsidR="001375DA" w:rsidRPr="00F266B4" w:rsidRDefault="001375DA" w:rsidP="001375DA">
            <w:pPr>
              <w:tabs>
                <w:tab w:val="left" w:pos="7501"/>
              </w:tabs>
              <w:rPr>
                <w:rFonts w:ascii="Century Gothic" w:hAnsi="Century Gothic"/>
                <w:szCs w:val="22"/>
              </w:rPr>
            </w:pPr>
          </w:p>
        </w:tc>
      </w:tr>
      <w:tr w:rsidR="0032063E" w:rsidRPr="00F266B4" w14:paraId="0E50A6CC" w14:textId="77777777" w:rsidTr="128C9D46">
        <w:trPr>
          <w:trHeight w:val="4395"/>
        </w:trPr>
        <w:tc>
          <w:tcPr>
            <w:tcW w:w="172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0EEB0F5B" w14:textId="77777777" w:rsidR="001375DA" w:rsidRPr="00F266B4" w:rsidRDefault="001375DA" w:rsidP="001375DA">
            <w:pPr>
              <w:rPr>
                <w:rFonts w:ascii="Century Gothic" w:hAnsi="Century Gothic"/>
                <w:szCs w:val="22"/>
              </w:rPr>
            </w:pPr>
            <w:r w:rsidRPr="00F266B4">
              <w:rPr>
                <w:rFonts w:ascii="Century Gothic" w:hAnsi="Century Gothic"/>
                <w:szCs w:val="22"/>
              </w:rPr>
              <w:t>Employed full- time***</w:t>
            </w:r>
          </w:p>
          <w:p w14:paraId="6AB8D5D2" w14:textId="77777777" w:rsidR="001375DA" w:rsidRPr="00F266B4" w:rsidRDefault="001375DA" w:rsidP="001375DA">
            <w:pPr>
              <w:rPr>
                <w:rFonts w:ascii="Century Gothic" w:hAnsi="Century Gothic"/>
                <w:szCs w:val="22"/>
              </w:rPr>
            </w:pPr>
          </w:p>
          <w:p w14:paraId="4FEFC93B" w14:textId="77777777" w:rsidR="001375DA" w:rsidRPr="00F266B4" w:rsidRDefault="001375DA" w:rsidP="001375DA">
            <w:pPr>
              <w:rPr>
                <w:rFonts w:ascii="Century Gothic" w:hAnsi="Century Gothic"/>
                <w:szCs w:val="22"/>
              </w:rPr>
            </w:pPr>
            <w:r w:rsidRPr="00F266B4">
              <w:rPr>
                <w:rFonts w:ascii="Century Gothic" w:hAnsi="Century Gothic"/>
                <w:szCs w:val="22"/>
              </w:rPr>
              <w:t>Employed part- time</w:t>
            </w:r>
          </w:p>
          <w:p w14:paraId="3D07C482" w14:textId="77777777" w:rsidR="001375DA" w:rsidRPr="00F266B4" w:rsidRDefault="001375DA" w:rsidP="001375DA">
            <w:pPr>
              <w:rPr>
                <w:rFonts w:ascii="Century Gothic" w:hAnsi="Century Gothic"/>
                <w:szCs w:val="22"/>
              </w:rPr>
            </w:pPr>
          </w:p>
          <w:p w14:paraId="6E0A9487" w14:textId="77777777" w:rsidR="001375DA" w:rsidRPr="00F266B4" w:rsidRDefault="001375DA" w:rsidP="001375DA">
            <w:pPr>
              <w:rPr>
                <w:rFonts w:ascii="Century Gothic" w:hAnsi="Century Gothic"/>
                <w:szCs w:val="22"/>
              </w:rPr>
            </w:pPr>
            <w:r w:rsidRPr="00F266B4">
              <w:rPr>
                <w:rFonts w:ascii="Century Gothic" w:hAnsi="Century Gothic"/>
                <w:szCs w:val="22"/>
              </w:rPr>
              <w:t>Enrolled in an educational program</w:t>
            </w:r>
          </w:p>
          <w:p w14:paraId="26F0EF10" w14:textId="77777777" w:rsidR="001375DA" w:rsidRPr="00F266B4" w:rsidRDefault="001375DA" w:rsidP="001375DA">
            <w:pPr>
              <w:rPr>
                <w:rFonts w:ascii="Century Gothic" w:hAnsi="Century Gothic"/>
                <w:szCs w:val="22"/>
              </w:rPr>
            </w:pPr>
          </w:p>
          <w:p w14:paraId="04100192" w14:textId="77777777" w:rsidR="001375DA" w:rsidRPr="00F266B4" w:rsidRDefault="001375DA" w:rsidP="001375DA">
            <w:pPr>
              <w:rPr>
                <w:rFonts w:ascii="Century Gothic" w:hAnsi="Century Gothic"/>
                <w:szCs w:val="22"/>
              </w:rPr>
            </w:pPr>
            <w:r w:rsidRPr="00F266B4">
              <w:rPr>
                <w:rFonts w:ascii="Century Gothic" w:hAnsi="Century Gothic"/>
                <w:szCs w:val="22"/>
              </w:rPr>
              <w:t>Enrolled in job training program</w:t>
            </w:r>
          </w:p>
          <w:p w14:paraId="7518FFD3" w14:textId="77777777" w:rsidR="001375DA" w:rsidRPr="00F266B4" w:rsidRDefault="001375DA" w:rsidP="001375DA">
            <w:pPr>
              <w:rPr>
                <w:rFonts w:ascii="Century Gothic" w:hAnsi="Century Gothic"/>
                <w:szCs w:val="22"/>
              </w:rPr>
            </w:pPr>
          </w:p>
          <w:p w14:paraId="5B1B2DEC" w14:textId="77777777" w:rsidR="001375DA" w:rsidRPr="00F266B4" w:rsidRDefault="001375DA" w:rsidP="001375DA">
            <w:pPr>
              <w:rPr>
                <w:rFonts w:ascii="Century Gothic" w:hAnsi="Century Gothic"/>
                <w:szCs w:val="22"/>
              </w:rPr>
            </w:pPr>
            <w:r w:rsidRPr="00F266B4">
              <w:rPr>
                <w:rFonts w:ascii="Century Gothic" w:hAnsi="Century Gothic"/>
                <w:szCs w:val="22"/>
              </w:rPr>
              <w:t>Unemployed</w:t>
            </w:r>
          </w:p>
          <w:p w14:paraId="3CBDA2B5" w14:textId="77777777" w:rsidR="001375DA" w:rsidRPr="00F266B4" w:rsidRDefault="001375DA" w:rsidP="001375DA">
            <w:pPr>
              <w:rPr>
                <w:rFonts w:ascii="Century Gothic" w:hAnsi="Century Gothic"/>
                <w:szCs w:val="22"/>
              </w:rPr>
            </w:pPr>
          </w:p>
          <w:p w14:paraId="5217C9C7" w14:textId="77777777" w:rsidR="001375DA" w:rsidRPr="00F266B4" w:rsidRDefault="001375DA" w:rsidP="001375DA">
            <w:pPr>
              <w:rPr>
                <w:rFonts w:ascii="Century Gothic" w:hAnsi="Century Gothic"/>
                <w:szCs w:val="22"/>
              </w:rPr>
            </w:pPr>
            <w:r w:rsidRPr="00F266B4">
              <w:rPr>
                <w:rFonts w:ascii="Century Gothic" w:hAnsi="Century Gothic"/>
                <w:szCs w:val="22"/>
              </w:rPr>
              <w:t>Other</w:t>
            </w:r>
          </w:p>
          <w:p w14:paraId="75A4B0D4" w14:textId="77777777" w:rsidR="001375DA" w:rsidRPr="00F266B4" w:rsidRDefault="001375DA" w:rsidP="001375DA">
            <w:pPr>
              <w:rPr>
                <w:rFonts w:ascii="Century Gothic" w:hAnsi="Century Gothic"/>
                <w:szCs w:val="22"/>
              </w:rPr>
            </w:pPr>
          </w:p>
          <w:p w14:paraId="4A20B78A" w14:textId="77777777" w:rsidR="001375DA" w:rsidRPr="00F266B4" w:rsidRDefault="001375DA" w:rsidP="001375DA">
            <w:pPr>
              <w:rPr>
                <w:rFonts w:ascii="Century Gothic" w:hAnsi="Century Gothic"/>
                <w:szCs w:val="22"/>
              </w:rPr>
            </w:pPr>
          </w:p>
          <w:p w14:paraId="642E1328" w14:textId="77777777" w:rsidR="001375DA" w:rsidRPr="00F266B4" w:rsidRDefault="001375DA" w:rsidP="001375DA">
            <w:pPr>
              <w:rPr>
                <w:rFonts w:ascii="Century Gothic" w:hAnsi="Century Gothic"/>
                <w:szCs w:val="22"/>
              </w:rPr>
            </w:pPr>
          </w:p>
        </w:tc>
        <w:tc>
          <w:tcPr>
            <w:tcW w:w="238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6A1C032" w14:textId="77777777" w:rsidR="001375DA" w:rsidRPr="00F266B4" w:rsidRDefault="001375DA" w:rsidP="001375DA">
            <w:pPr>
              <w:rPr>
                <w:rFonts w:ascii="Century Gothic" w:hAnsi="Century Gothic"/>
                <w:szCs w:val="22"/>
              </w:rPr>
            </w:pPr>
            <w:r w:rsidRPr="00F266B4">
              <w:rPr>
                <w:rFonts w:ascii="Century Gothic" w:hAnsi="Century Gothic"/>
                <w:szCs w:val="22"/>
                <w:u w:val="single"/>
              </w:rPr>
              <w:t>2014</w:t>
            </w:r>
            <w:r w:rsidRPr="00F266B4">
              <w:rPr>
                <w:rFonts w:ascii="Century Gothic" w:hAnsi="Century Gothic"/>
                <w:szCs w:val="22"/>
              </w:rPr>
              <w:br/>
              <w:t>- Employed FT: 22</w:t>
            </w:r>
          </w:p>
          <w:p w14:paraId="16570FC4" w14:textId="77777777" w:rsidR="001375DA" w:rsidRPr="00F266B4" w:rsidRDefault="001375DA" w:rsidP="001375DA">
            <w:pPr>
              <w:rPr>
                <w:rFonts w:ascii="Century Gothic" w:hAnsi="Century Gothic"/>
                <w:szCs w:val="22"/>
              </w:rPr>
            </w:pPr>
            <w:r w:rsidRPr="00F266B4">
              <w:rPr>
                <w:rFonts w:ascii="Century Gothic" w:hAnsi="Century Gothic"/>
                <w:szCs w:val="22"/>
              </w:rPr>
              <w:br/>
              <w:t>- Employed PT: 93</w:t>
            </w:r>
          </w:p>
          <w:p w14:paraId="25047E43" w14:textId="77777777" w:rsidR="001375DA" w:rsidRPr="00F266B4" w:rsidRDefault="001375DA" w:rsidP="001375DA">
            <w:pPr>
              <w:rPr>
                <w:rFonts w:ascii="Century Gothic" w:hAnsi="Century Gothic"/>
                <w:szCs w:val="22"/>
              </w:rPr>
            </w:pPr>
            <w:r w:rsidRPr="00F266B4">
              <w:rPr>
                <w:rFonts w:ascii="Century Gothic" w:hAnsi="Century Gothic"/>
                <w:szCs w:val="22"/>
              </w:rPr>
              <w:br/>
              <w:t>- Enrolled in education:</w:t>
            </w:r>
          </w:p>
          <w:p w14:paraId="386CA2B0" w14:textId="77777777" w:rsidR="001375DA" w:rsidRPr="00F266B4" w:rsidRDefault="001375DA" w:rsidP="001375DA">
            <w:pPr>
              <w:rPr>
                <w:rFonts w:ascii="Century Gothic" w:hAnsi="Century Gothic"/>
                <w:szCs w:val="22"/>
              </w:rPr>
            </w:pPr>
            <w:r w:rsidRPr="00F266B4">
              <w:rPr>
                <w:rFonts w:ascii="Century Gothic" w:hAnsi="Century Gothic"/>
                <w:szCs w:val="22"/>
              </w:rPr>
              <w:t>228</w:t>
            </w:r>
          </w:p>
          <w:p w14:paraId="3AAA0551" w14:textId="77777777" w:rsidR="001375DA" w:rsidRPr="00F266B4" w:rsidRDefault="001375DA" w:rsidP="001375DA">
            <w:pPr>
              <w:rPr>
                <w:rFonts w:ascii="Century Gothic" w:hAnsi="Century Gothic"/>
                <w:szCs w:val="22"/>
              </w:rPr>
            </w:pPr>
            <w:r w:rsidRPr="00F266B4">
              <w:rPr>
                <w:rFonts w:ascii="Century Gothic" w:hAnsi="Century Gothic"/>
                <w:szCs w:val="22"/>
              </w:rPr>
              <w:br/>
              <w:t>- Enrolled in job training: n/a</w:t>
            </w:r>
            <w:r w:rsidRPr="00F266B4">
              <w:rPr>
                <w:rFonts w:ascii="Century Gothic" w:hAnsi="Century Gothic"/>
                <w:szCs w:val="22"/>
              </w:rPr>
              <w:br/>
            </w:r>
          </w:p>
          <w:p w14:paraId="279AC3ED" w14:textId="77777777" w:rsidR="001375DA" w:rsidRPr="00F266B4" w:rsidRDefault="001375DA" w:rsidP="001375DA">
            <w:pPr>
              <w:rPr>
                <w:rFonts w:ascii="Century Gothic" w:hAnsi="Century Gothic"/>
                <w:szCs w:val="22"/>
              </w:rPr>
            </w:pPr>
            <w:r w:rsidRPr="00F266B4">
              <w:rPr>
                <w:rFonts w:ascii="Century Gothic" w:hAnsi="Century Gothic"/>
                <w:szCs w:val="22"/>
              </w:rPr>
              <w:t>- Unemployed: 113</w:t>
            </w:r>
            <w:r w:rsidRPr="00F266B4">
              <w:rPr>
                <w:rFonts w:ascii="Century Gothic" w:hAnsi="Century Gothic"/>
                <w:szCs w:val="22"/>
              </w:rPr>
              <w:br/>
            </w:r>
          </w:p>
          <w:p w14:paraId="775B2A38" w14:textId="77777777" w:rsidR="001375DA" w:rsidRPr="00F266B4" w:rsidRDefault="001375DA" w:rsidP="001375DA">
            <w:pPr>
              <w:rPr>
                <w:rFonts w:ascii="Century Gothic" w:hAnsi="Century Gothic"/>
                <w:szCs w:val="22"/>
                <w:u w:val="single"/>
              </w:rPr>
            </w:pPr>
            <w:r w:rsidRPr="00F266B4">
              <w:rPr>
                <w:rFonts w:ascii="Century Gothic" w:hAnsi="Century Gothic"/>
                <w:szCs w:val="22"/>
              </w:rPr>
              <w:t>- Other: N/A</w:t>
            </w:r>
          </w:p>
        </w:tc>
        <w:tc>
          <w:tcPr>
            <w:tcW w:w="168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F6F9F59" w14:textId="77777777" w:rsidR="001375DA" w:rsidRPr="00F266B4" w:rsidRDefault="46B25FD2" w:rsidP="0E6C54AB">
            <w:pPr>
              <w:rPr>
                <w:rFonts w:ascii="Century Gothic" w:eastAsia="Times New Roman" w:hAnsi="Century Gothic"/>
              </w:rPr>
            </w:pPr>
            <w:r w:rsidRPr="00F266B4">
              <w:rPr>
                <w:rFonts w:ascii="Century Gothic" w:eastAsia="Times New Roman" w:hAnsi="Century Gothic"/>
              </w:rPr>
              <w:t>Steady increase in full-time employment for FSS participants</w:t>
            </w:r>
          </w:p>
        </w:tc>
        <w:tc>
          <w:tcPr>
            <w:tcW w:w="278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6901F57" w14:textId="2575591E" w:rsidR="49DF6DF2" w:rsidRPr="00F266B4" w:rsidRDefault="49DF6DF2" w:rsidP="6F807E50">
            <w:pPr>
              <w:rPr>
                <w:rFonts w:ascii="Century Gothic" w:eastAsia="Times New Roman" w:hAnsi="Century Gothic"/>
              </w:rPr>
            </w:pPr>
            <w:r w:rsidRPr="00F266B4">
              <w:rPr>
                <w:rFonts w:ascii="Century Gothic" w:eastAsia="Times New Roman" w:hAnsi="Century Gothic"/>
              </w:rPr>
              <w:t>2024:</w:t>
            </w:r>
          </w:p>
          <w:p w14:paraId="600972C2" w14:textId="6814ED68" w:rsidR="49DF6DF2" w:rsidRPr="00F266B4" w:rsidRDefault="49DF6DF2" w:rsidP="6F807E50">
            <w:pPr>
              <w:rPr>
                <w:rFonts w:ascii="Century Gothic" w:eastAsia="Times New Roman" w:hAnsi="Century Gothic"/>
              </w:rPr>
            </w:pPr>
            <w:r w:rsidRPr="00F266B4">
              <w:rPr>
                <w:rFonts w:ascii="Century Gothic" w:eastAsia="Times New Roman" w:hAnsi="Century Gothic"/>
              </w:rPr>
              <w:t>Employed FT:</w:t>
            </w:r>
            <w:r w:rsidR="033B2647" w:rsidRPr="00F266B4">
              <w:rPr>
                <w:rFonts w:ascii="Century Gothic" w:eastAsia="Times New Roman" w:hAnsi="Century Gothic"/>
              </w:rPr>
              <w:t>132</w:t>
            </w:r>
            <w:r w:rsidRPr="00F266B4">
              <w:rPr>
                <w:rFonts w:ascii="Century Gothic" w:eastAsia="Times New Roman" w:hAnsi="Century Gothic"/>
              </w:rPr>
              <w:t xml:space="preserve"> </w:t>
            </w:r>
            <w:r w:rsidR="2E56D136" w:rsidRPr="00F266B4">
              <w:rPr>
                <w:rFonts w:ascii="Century Gothic" w:eastAsia="Times New Roman" w:hAnsi="Century Gothic"/>
              </w:rPr>
              <w:t>(</w:t>
            </w:r>
            <w:r w:rsidR="072A37BA" w:rsidRPr="00F266B4">
              <w:rPr>
                <w:rFonts w:ascii="Century Gothic" w:eastAsia="Times New Roman" w:hAnsi="Century Gothic"/>
              </w:rPr>
              <w:t>15</w:t>
            </w:r>
            <w:r w:rsidR="2E56D136" w:rsidRPr="00F266B4">
              <w:rPr>
                <w:rFonts w:ascii="Century Gothic" w:eastAsia="Times New Roman" w:hAnsi="Century Gothic"/>
              </w:rPr>
              <w:t xml:space="preserve">% </w:t>
            </w:r>
            <w:r w:rsidR="68D7C326" w:rsidRPr="00F266B4">
              <w:rPr>
                <w:rFonts w:ascii="Century Gothic" w:eastAsia="Times New Roman" w:hAnsi="Century Gothic"/>
              </w:rPr>
              <w:t>decrease</w:t>
            </w:r>
            <w:r w:rsidRPr="00F266B4">
              <w:rPr>
                <w:rFonts w:ascii="Century Gothic" w:eastAsia="Times New Roman" w:hAnsi="Century Gothic"/>
              </w:rPr>
              <w:t>)</w:t>
            </w:r>
          </w:p>
          <w:p w14:paraId="30FF97E1" w14:textId="3BB86181" w:rsidR="49DF6DF2" w:rsidRPr="00F266B4" w:rsidRDefault="49DF6DF2" w:rsidP="6F807E50">
            <w:pPr>
              <w:rPr>
                <w:rFonts w:ascii="Century Gothic" w:eastAsia="Times New Roman" w:hAnsi="Century Gothic"/>
                <w:i/>
                <w:iCs/>
              </w:rPr>
            </w:pPr>
            <w:r w:rsidRPr="00F266B4">
              <w:rPr>
                <w:rFonts w:ascii="Century Gothic" w:eastAsia="Times New Roman" w:hAnsi="Century Gothic"/>
                <w:i/>
                <w:iCs/>
              </w:rPr>
              <w:t>Employed PT</w:t>
            </w:r>
            <w:r w:rsidR="001669CB" w:rsidRPr="00F266B4">
              <w:rPr>
                <w:rFonts w:ascii="Century Gothic" w:eastAsia="Times New Roman" w:hAnsi="Century Gothic"/>
                <w:i/>
                <w:iCs/>
              </w:rPr>
              <w:t>: 387</w:t>
            </w:r>
          </w:p>
          <w:p w14:paraId="3DB276E0" w14:textId="395F7B6E" w:rsidR="49DF6DF2" w:rsidRPr="00F266B4" w:rsidRDefault="49DF6DF2" w:rsidP="6F807E50">
            <w:pPr>
              <w:rPr>
                <w:rFonts w:ascii="Century Gothic" w:eastAsia="Times New Roman" w:hAnsi="Century Gothic"/>
                <w:i/>
                <w:iCs/>
              </w:rPr>
            </w:pPr>
            <w:r w:rsidRPr="00F266B4">
              <w:rPr>
                <w:rFonts w:ascii="Century Gothic" w:eastAsia="Times New Roman" w:hAnsi="Century Gothic"/>
                <w:i/>
                <w:iCs/>
              </w:rPr>
              <w:t>Enrolled Education</w:t>
            </w:r>
            <w:r w:rsidR="001669CB" w:rsidRPr="00F266B4">
              <w:rPr>
                <w:rFonts w:ascii="Century Gothic" w:eastAsia="Times New Roman" w:hAnsi="Century Gothic"/>
                <w:i/>
                <w:iCs/>
              </w:rPr>
              <w:t>: 135</w:t>
            </w:r>
          </w:p>
          <w:p w14:paraId="1522E9FD" w14:textId="6A1AF4A8" w:rsidR="49DF6DF2" w:rsidRPr="00F266B4" w:rsidRDefault="49DF6DF2" w:rsidP="6F807E50">
            <w:pPr>
              <w:rPr>
                <w:rFonts w:ascii="Century Gothic" w:eastAsia="Times New Roman" w:hAnsi="Century Gothic"/>
                <w:i/>
                <w:iCs/>
              </w:rPr>
            </w:pPr>
            <w:proofErr w:type="gramStart"/>
            <w:r w:rsidRPr="00F266B4">
              <w:rPr>
                <w:rFonts w:ascii="Century Gothic" w:eastAsia="Times New Roman" w:hAnsi="Century Gothic"/>
                <w:i/>
                <w:iCs/>
              </w:rPr>
              <w:t>Enrolled Job Training</w:t>
            </w:r>
            <w:proofErr w:type="gramEnd"/>
            <w:r w:rsidRPr="00F266B4">
              <w:rPr>
                <w:rFonts w:ascii="Century Gothic" w:eastAsia="Times New Roman" w:hAnsi="Century Gothic"/>
                <w:i/>
                <w:iCs/>
              </w:rPr>
              <w:t xml:space="preserve">: </w:t>
            </w:r>
            <w:r w:rsidR="09BF7260" w:rsidRPr="00F266B4">
              <w:rPr>
                <w:rFonts w:ascii="Century Gothic" w:eastAsia="Times New Roman" w:hAnsi="Century Gothic"/>
                <w:i/>
                <w:iCs/>
              </w:rPr>
              <w:t>121</w:t>
            </w:r>
          </w:p>
          <w:p w14:paraId="04D14F6B" w14:textId="3B923A70" w:rsidR="49DF6DF2" w:rsidRPr="00F266B4" w:rsidRDefault="49DF6DF2" w:rsidP="6F807E50">
            <w:pPr>
              <w:rPr>
                <w:rFonts w:ascii="Century Gothic" w:eastAsia="Times New Roman" w:hAnsi="Century Gothic"/>
                <w:i/>
                <w:iCs/>
              </w:rPr>
            </w:pPr>
            <w:r w:rsidRPr="00F266B4">
              <w:rPr>
                <w:rFonts w:ascii="Century Gothic" w:eastAsia="Times New Roman" w:hAnsi="Century Gothic"/>
                <w:i/>
                <w:iCs/>
              </w:rPr>
              <w:t xml:space="preserve">Unemployed: </w:t>
            </w:r>
            <w:r w:rsidR="5BE2543E" w:rsidRPr="00F266B4">
              <w:rPr>
                <w:rFonts w:ascii="Century Gothic" w:eastAsia="Times New Roman" w:hAnsi="Century Gothic"/>
                <w:i/>
                <w:iCs/>
              </w:rPr>
              <w:t>135</w:t>
            </w:r>
          </w:p>
          <w:p w14:paraId="20BD136C" w14:textId="727741FE" w:rsidR="6F807E50" w:rsidRPr="00F266B4" w:rsidRDefault="6F807E50" w:rsidP="6F807E50">
            <w:pPr>
              <w:rPr>
                <w:rFonts w:ascii="Century Gothic" w:eastAsia="Times New Roman" w:hAnsi="Century Gothic"/>
              </w:rPr>
            </w:pPr>
          </w:p>
          <w:p w14:paraId="2F551E6F" w14:textId="2FAE570C" w:rsidR="002A68D0" w:rsidRPr="00F266B4" w:rsidRDefault="5EF615FC" w:rsidP="0E6C54AB">
            <w:pPr>
              <w:textAlignment w:val="baseline"/>
              <w:rPr>
                <w:rFonts w:ascii="Century Gothic" w:eastAsia="Times New Roman" w:hAnsi="Century Gothic"/>
              </w:rPr>
            </w:pPr>
            <w:r w:rsidRPr="00F266B4">
              <w:rPr>
                <w:rFonts w:ascii="Century Gothic" w:eastAsia="Times New Roman" w:hAnsi="Century Gothic"/>
              </w:rPr>
              <w:t>2023</w:t>
            </w:r>
            <w:r w:rsidR="48114B9B" w:rsidRPr="00F266B4">
              <w:rPr>
                <w:rFonts w:ascii="Century Gothic" w:eastAsia="Times New Roman" w:hAnsi="Century Gothic"/>
              </w:rPr>
              <w:t>:</w:t>
            </w:r>
          </w:p>
          <w:p w14:paraId="6F7D5BDE" w14:textId="45B680F4" w:rsidR="002A68D0" w:rsidRPr="00F266B4" w:rsidRDefault="48114B9B" w:rsidP="0E6C54AB">
            <w:pPr>
              <w:textAlignment w:val="baseline"/>
              <w:rPr>
                <w:rFonts w:ascii="Century Gothic" w:eastAsia="Times New Roman" w:hAnsi="Century Gothic"/>
              </w:rPr>
            </w:pPr>
            <w:r w:rsidRPr="00F266B4">
              <w:rPr>
                <w:rFonts w:ascii="Century Gothic" w:eastAsia="Times New Roman" w:hAnsi="Century Gothic"/>
              </w:rPr>
              <w:t>Employed FT</w:t>
            </w:r>
            <w:r w:rsidR="001669CB" w:rsidRPr="00F266B4">
              <w:rPr>
                <w:rFonts w:ascii="Century Gothic" w:eastAsia="Times New Roman" w:hAnsi="Century Gothic"/>
              </w:rPr>
              <w:t>: 157</w:t>
            </w:r>
            <w:r w:rsidR="78FE5933" w:rsidRPr="00F266B4">
              <w:rPr>
                <w:rFonts w:ascii="Century Gothic" w:eastAsia="Times New Roman" w:hAnsi="Century Gothic"/>
              </w:rPr>
              <w:t xml:space="preserve"> (185% increase)</w:t>
            </w:r>
          </w:p>
          <w:p w14:paraId="373A41CB" w14:textId="1FC15008" w:rsidR="002A68D0" w:rsidRPr="00F266B4" w:rsidRDefault="48114B9B" w:rsidP="0E6C54AB">
            <w:pPr>
              <w:textAlignment w:val="baseline"/>
              <w:rPr>
                <w:rFonts w:ascii="Century Gothic" w:eastAsia="Times New Roman" w:hAnsi="Century Gothic"/>
                <w:i/>
                <w:iCs/>
              </w:rPr>
            </w:pPr>
            <w:r w:rsidRPr="00F266B4">
              <w:rPr>
                <w:rFonts w:ascii="Century Gothic" w:eastAsia="Times New Roman" w:hAnsi="Century Gothic"/>
                <w:i/>
                <w:iCs/>
              </w:rPr>
              <w:t>Employed PT</w:t>
            </w:r>
            <w:r w:rsidR="001669CB" w:rsidRPr="00F266B4">
              <w:rPr>
                <w:rFonts w:ascii="Century Gothic" w:eastAsia="Times New Roman" w:hAnsi="Century Gothic"/>
                <w:i/>
                <w:iCs/>
              </w:rPr>
              <w:t>: 67</w:t>
            </w:r>
          </w:p>
          <w:p w14:paraId="50FAE32F" w14:textId="4C7C7CAC" w:rsidR="002A68D0" w:rsidRPr="00F266B4" w:rsidRDefault="48114B9B" w:rsidP="0E6C54AB">
            <w:pPr>
              <w:textAlignment w:val="baseline"/>
              <w:rPr>
                <w:rFonts w:ascii="Century Gothic" w:eastAsia="Times New Roman" w:hAnsi="Century Gothic"/>
                <w:i/>
                <w:iCs/>
              </w:rPr>
            </w:pPr>
            <w:r w:rsidRPr="00F266B4">
              <w:rPr>
                <w:rFonts w:ascii="Century Gothic" w:eastAsia="Times New Roman" w:hAnsi="Century Gothic"/>
                <w:i/>
                <w:iCs/>
              </w:rPr>
              <w:t>Enrolled Education</w:t>
            </w:r>
            <w:r w:rsidR="001669CB" w:rsidRPr="00F266B4">
              <w:rPr>
                <w:rFonts w:ascii="Century Gothic" w:eastAsia="Times New Roman" w:hAnsi="Century Gothic"/>
                <w:i/>
                <w:iCs/>
              </w:rPr>
              <w:t>: 200</w:t>
            </w:r>
          </w:p>
          <w:p w14:paraId="43EA6521" w14:textId="46DDDD0F" w:rsidR="002A68D0" w:rsidRPr="00F266B4" w:rsidRDefault="48114B9B" w:rsidP="0E6C54AB">
            <w:pPr>
              <w:textAlignment w:val="baseline"/>
              <w:rPr>
                <w:rFonts w:ascii="Century Gothic" w:eastAsia="Times New Roman" w:hAnsi="Century Gothic"/>
                <w:i/>
                <w:iCs/>
              </w:rPr>
            </w:pPr>
            <w:r w:rsidRPr="00F266B4">
              <w:rPr>
                <w:rFonts w:ascii="Century Gothic" w:eastAsia="Times New Roman" w:hAnsi="Century Gothic"/>
                <w:i/>
                <w:iCs/>
              </w:rPr>
              <w:t xml:space="preserve">Enrolled Job Training: </w:t>
            </w:r>
            <w:r w:rsidR="21F8D122" w:rsidRPr="00F266B4">
              <w:rPr>
                <w:rFonts w:ascii="Century Gothic" w:eastAsia="Times New Roman" w:hAnsi="Century Gothic"/>
                <w:i/>
                <w:iCs/>
              </w:rPr>
              <w:t>25</w:t>
            </w:r>
          </w:p>
          <w:p w14:paraId="123681C7" w14:textId="0A6EAF91" w:rsidR="002A68D0" w:rsidRPr="00F266B4" w:rsidRDefault="48114B9B" w:rsidP="0E6C54AB">
            <w:pPr>
              <w:textAlignment w:val="baseline"/>
              <w:rPr>
                <w:rFonts w:ascii="Century Gothic" w:eastAsia="Times New Roman" w:hAnsi="Century Gothic"/>
                <w:i/>
                <w:iCs/>
              </w:rPr>
            </w:pPr>
            <w:r w:rsidRPr="00F266B4">
              <w:rPr>
                <w:rFonts w:ascii="Century Gothic" w:eastAsia="Times New Roman" w:hAnsi="Century Gothic"/>
                <w:i/>
                <w:iCs/>
              </w:rPr>
              <w:t xml:space="preserve">Unemployed: </w:t>
            </w:r>
            <w:r w:rsidR="6C8F2F13" w:rsidRPr="00F266B4">
              <w:rPr>
                <w:rFonts w:ascii="Century Gothic" w:eastAsia="Times New Roman" w:hAnsi="Century Gothic"/>
                <w:i/>
                <w:iCs/>
              </w:rPr>
              <w:t>154</w:t>
            </w:r>
          </w:p>
          <w:p w14:paraId="5C300805" w14:textId="69119FC2" w:rsidR="2C805A1A" w:rsidRPr="00F266B4" w:rsidRDefault="2C805A1A" w:rsidP="0E6C54AB">
            <w:pPr>
              <w:rPr>
                <w:rFonts w:ascii="Century Gothic" w:eastAsia="Times New Roman" w:hAnsi="Century Gothic"/>
              </w:rPr>
            </w:pPr>
          </w:p>
          <w:p w14:paraId="2C49EB2B" w14:textId="49FAA994" w:rsidR="1B4A8018" w:rsidRPr="00F266B4" w:rsidRDefault="776ACC71" w:rsidP="0E6C54AB">
            <w:pPr>
              <w:rPr>
                <w:rFonts w:ascii="Century Gothic" w:eastAsia="Times New Roman" w:hAnsi="Century Gothic"/>
              </w:rPr>
            </w:pPr>
            <w:r w:rsidRPr="00F266B4">
              <w:rPr>
                <w:rFonts w:ascii="Century Gothic" w:eastAsia="Times New Roman" w:hAnsi="Century Gothic"/>
              </w:rPr>
              <w:t>2022:</w:t>
            </w:r>
          </w:p>
          <w:p w14:paraId="5D977DFB" w14:textId="2CD76193" w:rsidR="1B4A8018" w:rsidRPr="00F266B4" w:rsidRDefault="776ACC71" w:rsidP="0E6C54AB">
            <w:pPr>
              <w:spacing w:line="264" w:lineRule="auto"/>
              <w:jc w:val="both"/>
              <w:rPr>
                <w:rFonts w:ascii="Century Gothic" w:eastAsia="Times New Roman" w:hAnsi="Century Gothic"/>
                <w:color w:val="000000" w:themeColor="text1"/>
              </w:rPr>
            </w:pPr>
            <w:r w:rsidRPr="00F266B4">
              <w:rPr>
                <w:rFonts w:ascii="Century Gothic" w:eastAsia="Times New Roman" w:hAnsi="Century Gothic"/>
                <w:color w:val="000000" w:themeColor="text1"/>
              </w:rPr>
              <w:t>- Employed FT</w:t>
            </w:r>
            <w:r w:rsidR="001669CB" w:rsidRPr="00F266B4">
              <w:rPr>
                <w:rFonts w:ascii="Century Gothic" w:eastAsia="Times New Roman" w:hAnsi="Century Gothic"/>
                <w:color w:val="000000" w:themeColor="text1"/>
              </w:rPr>
              <w:t>: 55</w:t>
            </w:r>
          </w:p>
          <w:p w14:paraId="1289677B" w14:textId="3B785B57" w:rsidR="1B4A8018" w:rsidRPr="00F266B4" w:rsidRDefault="776ACC71" w:rsidP="0E6C54AB">
            <w:pPr>
              <w:spacing w:line="264" w:lineRule="auto"/>
              <w:jc w:val="both"/>
              <w:rPr>
                <w:rFonts w:ascii="Century Gothic" w:eastAsia="Times New Roman" w:hAnsi="Century Gothic"/>
                <w:i/>
                <w:iCs/>
                <w:color w:val="000000" w:themeColor="text1"/>
              </w:rPr>
            </w:pPr>
            <w:r w:rsidRPr="00F266B4">
              <w:rPr>
                <w:rFonts w:ascii="Century Gothic" w:eastAsia="Times New Roman" w:hAnsi="Century Gothic"/>
                <w:i/>
                <w:iCs/>
                <w:color w:val="000000" w:themeColor="text1"/>
              </w:rPr>
              <w:t>- Employed PT</w:t>
            </w:r>
            <w:r w:rsidR="001669CB" w:rsidRPr="00F266B4">
              <w:rPr>
                <w:rFonts w:ascii="Century Gothic" w:eastAsia="Times New Roman" w:hAnsi="Century Gothic"/>
                <w:i/>
                <w:iCs/>
                <w:color w:val="000000" w:themeColor="text1"/>
              </w:rPr>
              <w:t>: 7</w:t>
            </w:r>
          </w:p>
          <w:p w14:paraId="4BDD90C3" w14:textId="3E97DD8F" w:rsidR="1B4A8018" w:rsidRPr="00F266B4" w:rsidRDefault="776ACC71" w:rsidP="0E6C54AB">
            <w:pPr>
              <w:spacing w:line="264" w:lineRule="auto"/>
              <w:jc w:val="both"/>
              <w:rPr>
                <w:rFonts w:ascii="Century Gothic" w:eastAsia="Times New Roman" w:hAnsi="Century Gothic"/>
                <w:i/>
                <w:iCs/>
                <w:color w:val="000000" w:themeColor="text1"/>
              </w:rPr>
            </w:pPr>
            <w:r w:rsidRPr="00F266B4">
              <w:rPr>
                <w:rFonts w:ascii="Century Gothic" w:eastAsia="Times New Roman" w:hAnsi="Century Gothic"/>
                <w:i/>
                <w:iCs/>
                <w:color w:val="000000" w:themeColor="text1"/>
              </w:rPr>
              <w:t>-Enrolled</w:t>
            </w:r>
            <w:r w:rsidR="00D97A04" w:rsidRPr="00F266B4">
              <w:rPr>
                <w:rFonts w:ascii="Century Gothic" w:eastAsia="Times New Roman" w:hAnsi="Century Gothic"/>
                <w:i/>
                <w:iCs/>
                <w:color w:val="000000" w:themeColor="text1"/>
              </w:rPr>
              <w:t xml:space="preserve"> in Education</w:t>
            </w:r>
            <w:r w:rsidR="001669CB" w:rsidRPr="00F266B4">
              <w:rPr>
                <w:rFonts w:ascii="Century Gothic" w:eastAsia="Times New Roman" w:hAnsi="Century Gothic"/>
                <w:i/>
                <w:iCs/>
                <w:color w:val="000000" w:themeColor="text1"/>
              </w:rPr>
              <w:t>: 94</w:t>
            </w:r>
          </w:p>
          <w:p w14:paraId="1AD35268" w14:textId="59532DD6" w:rsidR="1B4A8018" w:rsidRPr="00F266B4" w:rsidRDefault="776ACC71" w:rsidP="0E6C54AB">
            <w:pPr>
              <w:spacing w:line="264" w:lineRule="auto"/>
              <w:jc w:val="both"/>
              <w:rPr>
                <w:rFonts w:ascii="Century Gothic" w:eastAsia="Times New Roman" w:hAnsi="Century Gothic"/>
                <w:i/>
                <w:iCs/>
                <w:color w:val="000000" w:themeColor="text1"/>
              </w:rPr>
            </w:pPr>
            <w:r w:rsidRPr="00F266B4">
              <w:rPr>
                <w:rFonts w:ascii="Century Gothic" w:eastAsia="Times New Roman" w:hAnsi="Century Gothic"/>
                <w:i/>
                <w:iCs/>
                <w:color w:val="000000" w:themeColor="text1"/>
              </w:rPr>
              <w:t>-Enrolled Job Training: 13</w:t>
            </w:r>
          </w:p>
          <w:p w14:paraId="0B45EB39" w14:textId="48599925" w:rsidR="1B4A8018" w:rsidRPr="00F266B4" w:rsidRDefault="776ACC71" w:rsidP="0E6C54AB">
            <w:pPr>
              <w:spacing w:line="264" w:lineRule="auto"/>
              <w:jc w:val="both"/>
              <w:rPr>
                <w:rFonts w:ascii="Century Gothic" w:eastAsia="Times New Roman" w:hAnsi="Century Gothic"/>
                <w:i/>
                <w:iCs/>
                <w:color w:val="000000" w:themeColor="text1"/>
              </w:rPr>
            </w:pPr>
            <w:r w:rsidRPr="00F266B4">
              <w:rPr>
                <w:rFonts w:ascii="Century Gothic" w:eastAsia="Times New Roman" w:hAnsi="Century Gothic"/>
                <w:i/>
                <w:iCs/>
                <w:color w:val="000000" w:themeColor="text1"/>
              </w:rPr>
              <w:t>- Unemployed: 13</w:t>
            </w:r>
          </w:p>
          <w:p w14:paraId="08A3ED20" w14:textId="2ACAF9B9" w:rsidR="1B4A8018" w:rsidRPr="00F266B4" w:rsidRDefault="776ACC71" w:rsidP="0E6C54AB">
            <w:pPr>
              <w:spacing w:line="264" w:lineRule="auto"/>
              <w:jc w:val="both"/>
              <w:rPr>
                <w:rFonts w:ascii="Century Gothic" w:eastAsia="Times New Roman" w:hAnsi="Century Gothic"/>
                <w:i/>
                <w:iCs/>
                <w:color w:val="000000" w:themeColor="text1"/>
              </w:rPr>
            </w:pPr>
            <w:r w:rsidRPr="00F266B4">
              <w:rPr>
                <w:rFonts w:ascii="Century Gothic" w:eastAsia="Times New Roman" w:hAnsi="Century Gothic"/>
                <w:i/>
                <w:iCs/>
                <w:color w:val="000000" w:themeColor="text1"/>
              </w:rPr>
              <w:t>- Self Employed: 3</w:t>
            </w:r>
          </w:p>
          <w:p w14:paraId="7575FE7B" w14:textId="7A869DF3" w:rsidR="1B4A8018" w:rsidRPr="00F266B4" w:rsidRDefault="776ACC71" w:rsidP="0E6C54AB">
            <w:pPr>
              <w:spacing w:line="264" w:lineRule="auto"/>
              <w:jc w:val="both"/>
              <w:rPr>
                <w:rFonts w:ascii="Century Gothic" w:eastAsia="Times New Roman" w:hAnsi="Century Gothic"/>
                <w:i/>
                <w:iCs/>
                <w:color w:val="000000" w:themeColor="text1"/>
              </w:rPr>
            </w:pPr>
            <w:r w:rsidRPr="00F266B4">
              <w:rPr>
                <w:rFonts w:ascii="Century Gothic" w:eastAsia="Times New Roman" w:hAnsi="Century Gothic"/>
                <w:i/>
                <w:iCs/>
                <w:color w:val="000000" w:themeColor="text1"/>
              </w:rPr>
              <w:t>- E/D: 16</w:t>
            </w:r>
          </w:p>
          <w:p w14:paraId="3E19C452" w14:textId="471F74DE" w:rsidR="1B4A8018" w:rsidRPr="00F266B4" w:rsidRDefault="1B4A8018" w:rsidP="0E6C54AB">
            <w:pPr>
              <w:rPr>
                <w:rFonts w:ascii="Century Gothic" w:eastAsia="Times New Roman" w:hAnsi="Century Gothic"/>
              </w:rPr>
            </w:pPr>
          </w:p>
          <w:p w14:paraId="70F17526" w14:textId="3DC2F42B" w:rsidR="15190002" w:rsidRPr="00F266B4" w:rsidRDefault="187B1DB6" w:rsidP="0E6C54AB">
            <w:pPr>
              <w:rPr>
                <w:rFonts w:ascii="Century Gothic" w:eastAsia="Times New Roman" w:hAnsi="Century Gothic"/>
              </w:rPr>
            </w:pPr>
            <w:r w:rsidRPr="00F266B4">
              <w:rPr>
                <w:rFonts w:ascii="Century Gothic" w:eastAsia="Times New Roman" w:hAnsi="Century Gothic"/>
              </w:rPr>
              <w:t>202</w:t>
            </w:r>
            <w:r w:rsidR="424C6EA1" w:rsidRPr="00F266B4">
              <w:rPr>
                <w:rFonts w:ascii="Century Gothic" w:eastAsia="Times New Roman" w:hAnsi="Century Gothic"/>
              </w:rPr>
              <w:t>1</w:t>
            </w:r>
            <w:r w:rsidR="530CDEAE" w:rsidRPr="00F266B4">
              <w:rPr>
                <w:rFonts w:ascii="Century Gothic" w:eastAsia="Times New Roman" w:hAnsi="Century Gothic"/>
              </w:rPr>
              <w:t xml:space="preserve">:  </w:t>
            </w:r>
          </w:p>
          <w:p w14:paraId="0524DD6E" w14:textId="418F5BB9" w:rsidR="6FDB3FEA" w:rsidRPr="00F266B4" w:rsidRDefault="35325157" w:rsidP="0E6C54AB">
            <w:pPr>
              <w:rPr>
                <w:rFonts w:ascii="Century Gothic" w:eastAsia="Times New Roman" w:hAnsi="Century Gothic"/>
              </w:rPr>
            </w:pPr>
            <w:r w:rsidRPr="00F266B4">
              <w:rPr>
                <w:rFonts w:ascii="Century Gothic" w:eastAsia="Times New Roman" w:hAnsi="Century Gothic"/>
              </w:rPr>
              <w:t>- Employed FT: 55</w:t>
            </w:r>
          </w:p>
          <w:p w14:paraId="2AA2F5ED" w14:textId="1E529C5B" w:rsidR="6FDB3FEA" w:rsidRPr="00F266B4" w:rsidRDefault="35325157" w:rsidP="0E6C54AB">
            <w:pPr>
              <w:rPr>
                <w:rFonts w:ascii="Century Gothic" w:eastAsia="Times New Roman" w:hAnsi="Century Gothic"/>
                <w:i/>
                <w:iCs/>
              </w:rPr>
            </w:pPr>
            <w:r w:rsidRPr="00F266B4">
              <w:rPr>
                <w:rFonts w:ascii="Century Gothic" w:eastAsia="Times New Roman" w:hAnsi="Century Gothic"/>
                <w:i/>
                <w:iCs/>
              </w:rPr>
              <w:t>- Employed PT: 14</w:t>
            </w:r>
          </w:p>
          <w:p w14:paraId="1205EFE0" w14:textId="6F19CE8B" w:rsidR="6FDB3FEA" w:rsidRPr="00F266B4" w:rsidRDefault="35325157" w:rsidP="0E6C54AB">
            <w:pPr>
              <w:rPr>
                <w:rFonts w:ascii="Century Gothic" w:eastAsia="Times New Roman" w:hAnsi="Century Gothic"/>
                <w:i/>
                <w:iCs/>
              </w:rPr>
            </w:pPr>
            <w:r w:rsidRPr="00F266B4">
              <w:rPr>
                <w:rFonts w:ascii="Century Gothic" w:eastAsia="Times New Roman" w:hAnsi="Century Gothic"/>
                <w:i/>
                <w:iCs/>
              </w:rPr>
              <w:t>- Enrolled Education: 103</w:t>
            </w:r>
          </w:p>
          <w:p w14:paraId="7289652D" w14:textId="2D3B6B74" w:rsidR="6FDB3FEA" w:rsidRPr="00F266B4" w:rsidRDefault="35325157" w:rsidP="0E6C54AB">
            <w:pPr>
              <w:rPr>
                <w:rFonts w:ascii="Century Gothic" w:eastAsia="Times New Roman" w:hAnsi="Century Gothic"/>
                <w:i/>
                <w:iCs/>
              </w:rPr>
            </w:pPr>
            <w:r w:rsidRPr="00F266B4">
              <w:rPr>
                <w:rFonts w:ascii="Century Gothic" w:eastAsia="Times New Roman" w:hAnsi="Century Gothic"/>
                <w:i/>
                <w:iCs/>
              </w:rPr>
              <w:t xml:space="preserve">- </w:t>
            </w:r>
            <w:proofErr w:type="gramStart"/>
            <w:r w:rsidRPr="00F266B4">
              <w:rPr>
                <w:rFonts w:ascii="Century Gothic" w:eastAsia="Times New Roman" w:hAnsi="Century Gothic"/>
                <w:i/>
                <w:iCs/>
              </w:rPr>
              <w:t>Enrolled Job Training</w:t>
            </w:r>
            <w:proofErr w:type="gramEnd"/>
            <w:r w:rsidRPr="00F266B4">
              <w:rPr>
                <w:rFonts w:ascii="Century Gothic" w:eastAsia="Times New Roman" w:hAnsi="Century Gothic"/>
                <w:i/>
                <w:iCs/>
              </w:rPr>
              <w:t>: 10</w:t>
            </w:r>
          </w:p>
          <w:p w14:paraId="7E6055E6" w14:textId="0B9EEB48" w:rsidR="6FDB3FEA" w:rsidRPr="00F266B4" w:rsidRDefault="35325157" w:rsidP="0E6C54AB">
            <w:pPr>
              <w:rPr>
                <w:rFonts w:ascii="Century Gothic" w:eastAsia="Times New Roman" w:hAnsi="Century Gothic"/>
                <w:i/>
                <w:iCs/>
              </w:rPr>
            </w:pPr>
            <w:r w:rsidRPr="00F266B4">
              <w:rPr>
                <w:rFonts w:ascii="Century Gothic" w:eastAsia="Times New Roman" w:hAnsi="Century Gothic"/>
                <w:i/>
                <w:iCs/>
              </w:rPr>
              <w:t>- Unemployed: 585</w:t>
            </w:r>
          </w:p>
          <w:p w14:paraId="6791BA7B" w14:textId="7E3CB422" w:rsidR="008D79D3" w:rsidRPr="00F266B4" w:rsidRDefault="008D79D3" w:rsidP="0E6C54AB">
            <w:pPr>
              <w:rPr>
                <w:rFonts w:ascii="Century Gothic" w:eastAsia="Times New Roman" w:hAnsi="Century Gothic"/>
              </w:rPr>
            </w:pPr>
          </w:p>
          <w:p w14:paraId="78412705" w14:textId="059F3448" w:rsidR="001375DA" w:rsidRPr="00F266B4" w:rsidRDefault="46B25FD2" w:rsidP="0E6C54AB">
            <w:pPr>
              <w:rPr>
                <w:rFonts w:ascii="Century Gothic" w:eastAsia="Times New Roman" w:hAnsi="Century Gothic"/>
              </w:rPr>
            </w:pPr>
            <w:r w:rsidRPr="00F266B4">
              <w:rPr>
                <w:rFonts w:ascii="Century Gothic" w:eastAsia="Times New Roman" w:hAnsi="Century Gothic"/>
              </w:rPr>
              <w:lastRenderedPageBreak/>
              <w:t>2020:</w:t>
            </w:r>
          </w:p>
          <w:p w14:paraId="7682D73C" w14:textId="77777777" w:rsidR="001375DA" w:rsidRPr="00F266B4" w:rsidRDefault="46B25FD2" w:rsidP="0E6C54AB">
            <w:pPr>
              <w:rPr>
                <w:rFonts w:ascii="Century Gothic" w:eastAsia="Times New Roman" w:hAnsi="Century Gothic"/>
              </w:rPr>
            </w:pPr>
            <w:r w:rsidRPr="00F266B4">
              <w:rPr>
                <w:rFonts w:ascii="Century Gothic" w:eastAsia="Times New Roman" w:hAnsi="Century Gothic"/>
              </w:rPr>
              <w:t>- Employed FT: 68</w:t>
            </w:r>
          </w:p>
          <w:p w14:paraId="148812B5" w14:textId="77777777" w:rsidR="001375DA" w:rsidRPr="00F266B4" w:rsidRDefault="46B25FD2" w:rsidP="0E6C54AB">
            <w:pPr>
              <w:rPr>
                <w:rFonts w:ascii="Century Gothic" w:eastAsia="Times New Roman" w:hAnsi="Century Gothic"/>
                <w:i/>
                <w:iCs/>
              </w:rPr>
            </w:pPr>
            <w:r w:rsidRPr="00F266B4">
              <w:rPr>
                <w:rFonts w:ascii="Century Gothic" w:eastAsia="Times New Roman" w:hAnsi="Century Gothic"/>
                <w:i/>
                <w:iCs/>
              </w:rPr>
              <w:t>- Employed PT: 15</w:t>
            </w:r>
          </w:p>
          <w:p w14:paraId="4342719C" w14:textId="63D73260" w:rsidR="001375DA" w:rsidRPr="00F266B4" w:rsidRDefault="46B25FD2" w:rsidP="0E6C54AB">
            <w:pPr>
              <w:rPr>
                <w:rFonts w:ascii="Century Gothic" w:eastAsia="Times New Roman" w:hAnsi="Century Gothic"/>
                <w:i/>
                <w:iCs/>
              </w:rPr>
            </w:pPr>
            <w:r w:rsidRPr="00F266B4">
              <w:rPr>
                <w:rFonts w:ascii="Century Gothic" w:eastAsia="Times New Roman" w:hAnsi="Century Gothic"/>
                <w:i/>
                <w:iCs/>
              </w:rPr>
              <w:t>- Enrolled Education: 107</w:t>
            </w:r>
          </w:p>
          <w:p w14:paraId="670D4EED" w14:textId="3DE0987E" w:rsidR="001375DA" w:rsidRPr="00F266B4" w:rsidRDefault="46B25FD2" w:rsidP="0E6C54AB">
            <w:pPr>
              <w:rPr>
                <w:rFonts w:ascii="Century Gothic" w:eastAsia="Times New Roman" w:hAnsi="Century Gothic"/>
                <w:i/>
                <w:iCs/>
              </w:rPr>
            </w:pPr>
            <w:r w:rsidRPr="00F266B4">
              <w:rPr>
                <w:rFonts w:ascii="Century Gothic" w:eastAsia="Times New Roman" w:hAnsi="Century Gothic"/>
                <w:i/>
                <w:iCs/>
              </w:rPr>
              <w:t>- Enrolled Job Training: 9</w:t>
            </w:r>
          </w:p>
          <w:p w14:paraId="0E6ABB04" w14:textId="261A8CAE" w:rsidR="001375DA" w:rsidRPr="00F266B4" w:rsidRDefault="46B25FD2" w:rsidP="00BE6E59">
            <w:pPr>
              <w:rPr>
                <w:rFonts w:ascii="Century Gothic" w:eastAsia="Times New Roman" w:hAnsi="Century Gothic"/>
              </w:rPr>
            </w:pPr>
            <w:r w:rsidRPr="00F266B4">
              <w:rPr>
                <w:rFonts w:ascii="Century Gothic" w:eastAsia="Times New Roman" w:hAnsi="Century Gothic"/>
                <w:i/>
                <w:iCs/>
              </w:rPr>
              <w:t>- Unemployed: 591</w:t>
            </w:r>
          </w:p>
        </w:tc>
        <w:tc>
          <w:tcPr>
            <w:tcW w:w="15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F9550FC" w14:textId="69B73E08" w:rsidR="004E5BB4" w:rsidRPr="00F266B4" w:rsidRDefault="54A9C122">
            <w:pPr>
              <w:rPr>
                <w:rFonts w:ascii="Century Gothic" w:hAnsi="Century Gothic"/>
              </w:rPr>
            </w:pPr>
            <w:r w:rsidRPr="00F266B4">
              <w:rPr>
                <w:rFonts w:ascii="Century Gothic" w:hAnsi="Century Gothic"/>
              </w:rPr>
              <w:lastRenderedPageBreak/>
              <w:t xml:space="preserve"> No</w:t>
            </w:r>
          </w:p>
        </w:tc>
      </w:tr>
      <w:tr w:rsidR="0032063E" w:rsidRPr="00F266B4" w14:paraId="47E15952" w14:textId="77777777" w:rsidTr="128C9D46">
        <w:trPr>
          <w:trHeight w:val="350"/>
        </w:trPr>
        <w:tc>
          <w:tcPr>
            <w:tcW w:w="172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471B8C04" w14:textId="77777777" w:rsidR="001375DA" w:rsidRPr="00F266B4" w:rsidRDefault="001375DA" w:rsidP="001375DA">
            <w:pPr>
              <w:rPr>
                <w:rFonts w:ascii="Century Gothic" w:hAnsi="Century Gothic"/>
                <w:szCs w:val="22"/>
              </w:rPr>
            </w:pPr>
          </w:p>
        </w:tc>
        <w:tc>
          <w:tcPr>
            <w:tcW w:w="238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D7603B" w14:textId="77777777" w:rsidR="001375DA" w:rsidRPr="00F266B4" w:rsidRDefault="001375DA" w:rsidP="001375DA">
            <w:pPr>
              <w:rPr>
                <w:rFonts w:ascii="Century Gothic" w:hAnsi="Century Gothic"/>
                <w:szCs w:val="22"/>
                <w:u w:val="single"/>
              </w:rPr>
            </w:pPr>
          </w:p>
        </w:tc>
        <w:tc>
          <w:tcPr>
            <w:tcW w:w="168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9364B2" w14:textId="77777777" w:rsidR="001375DA" w:rsidRPr="00F266B4" w:rsidRDefault="001375DA" w:rsidP="001375DA">
            <w:pPr>
              <w:rPr>
                <w:rFonts w:ascii="Century Gothic" w:hAnsi="Century Gothic"/>
                <w:szCs w:val="22"/>
              </w:rPr>
            </w:pPr>
          </w:p>
        </w:tc>
        <w:tc>
          <w:tcPr>
            <w:tcW w:w="278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8AA90D" w14:textId="77777777" w:rsidR="001375DA" w:rsidRPr="00F266B4" w:rsidRDefault="001375DA" w:rsidP="001375DA">
            <w:pPr>
              <w:rPr>
                <w:rFonts w:ascii="Century Gothic" w:hAnsi="Century Gothic"/>
                <w:szCs w:val="22"/>
              </w:rPr>
            </w:pPr>
          </w:p>
        </w:tc>
        <w:tc>
          <w:tcPr>
            <w:tcW w:w="15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76842DE3" w14:textId="77777777" w:rsidR="001375DA" w:rsidRPr="00F266B4" w:rsidRDefault="001375DA" w:rsidP="001375DA">
            <w:pPr>
              <w:rPr>
                <w:rFonts w:ascii="Century Gothic" w:hAnsi="Century Gothic"/>
                <w:szCs w:val="22"/>
              </w:rPr>
            </w:pPr>
          </w:p>
        </w:tc>
      </w:tr>
      <w:tr w:rsidR="003F3BF8" w:rsidRPr="00F266B4" w14:paraId="65923959" w14:textId="77777777" w:rsidTr="128C9D46">
        <w:trPr>
          <w:trHeight w:val="400"/>
        </w:trPr>
        <w:tc>
          <w:tcPr>
            <w:tcW w:w="10143" w:type="dxa"/>
            <w:gridSpan w:val="9"/>
            <w:tcBorders>
              <w:top w:val="nil"/>
              <w:left w:val="nil"/>
              <w:bottom w:val="single" w:sz="24" w:space="0" w:color="B5333C" w:themeColor="accent2"/>
              <w:right w:val="nil"/>
            </w:tcBorders>
            <w:shd w:val="clear" w:color="auto" w:fill="808080" w:themeFill="background1" w:themeFillShade="80"/>
            <w:hideMark/>
          </w:tcPr>
          <w:p w14:paraId="2B2C825F" w14:textId="77777777" w:rsidR="001375DA" w:rsidRPr="00F266B4" w:rsidRDefault="001375DA" w:rsidP="001375DA">
            <w:pPr>
              <w:jc w:val="center"/>
              <w:rPr>
                <w:rFonts w:ascii="Century Gothic" w:hAnsi="Century Gothic"/>
                <w:b/>
                <w:szCs w:val="22"/>
              </w:rPr>
            </w:pPr>
            <w:r w:rsidRPr="00F266B4">
              <w:rPr>
                <w:rFonts w:ascii="Century Gothic" w:hAnsi="Century Gothic"/>
                <w:b/>
                <w:szCs w:val="22"/>
              </w:rPr>
              <w:t>SS #5: Households Assisted by Services that Increase Self Sufficiency</w:t>
            </w:r>
          </w:p>
        </w:tc>
      </w:tr>
      <w:tr w:rsidR="0032063E" w:rsidRPr="00F266B4" w14:paraId="5545919E" w14:textId="77777777" w:rsidTr="128C9D46">
        <w:trPr>
          <w:trHeight w:val="340"/>
        </w:trPr>
        <w:tc>
          <w:tcPr>
            <w:tcW w:w="2179" w:type="dxa"/>
            <w:gridSpan w:val="2"/>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5AEE612" w14:textId="77777777" w:rsidR="001375DA" w:rsidRPr="00F266B4" w:rsidRDefault="001375DA" w:rsidP="001375DA">
            <w:pPr>
              <w:jc w:val="center"/>
              <w:rPr>
                <w:rFonts w:ascii="Century Gothic" w:hAnsi="Century Gothic"/>
                <w:b/>
                <w:szCs w:val="22"/>
              </w:rPr>
            </w:pPr>
            <w:r w:rsidRPr="00F266B4">
              <w:rPr>
                <w:rFonts w:ascii="Century Gothic" w:hAnsi="Century Gothic"/>
                <w:b/>
                <w:szCs w:val="22"/>
              </w:rPr>
              <w:t>Unit of Measurement</w:t>
            </w:r>
          </w:p>
        </w:tc>
        <w:tc>
          <w:tcPr>
            <w:tcW w:w="155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1BD191C" w14:textId="77777777" w:rsidR="001375DA" w:rsidRPr="00F266B4" w:rsidRDefault="001375DA" w:rsidP="001375DA">
            <w:pPr>
              <w:jc w:val="center"/>
              <w:rPr>
                <w:rFonts w:ascii="Century Gothic" w:hAnsi="Century Gothic"/>
                <w:b/>
                <w:szCs w:val="22"/>
              </w:rPr>
            </w:pPr>
            <w:r w:rsidRPr="00F266B4">
              <w:rPr>
                <w:rFonts w:ascii="Century Gothic" w:hAnsi="Century Gothic"/>
                <w:b/>
                <w:szCs w:val="22"/>
              </w:rPr>
              <w:t>Baseline</w:t>
            </w:r>
          </w:p>
        </w:tc>
        <w:tc>
          <w:tcPr>
            <w:tcW w:w="1889" w:type="dxa"/>
            <w:gridSpan w:val="2"/>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E78EF1C" w14:textId="77777777" w:rsidR="001375DA" w:rsidRPr="00F266B4" w:rsidRDefault="001375DA" w:rsidP="001375DA">
            <w:pPr>
              <w:jc w:val="center"/>
              <w:rPr>
                <w:rFonts w:ascii="Century Gothic" w:hAnsi="Century Gothic"/>
                <w:b/>
                <w:szCs w:val="22"/>
              </w:rPr>
            </w:pPr>
            <w:r w:rsidRPr="00F266B4">
              <w:rPr>
                <w:rFonts w:ascii="Century Gothic" w:hAnsi="Century Gothic"/>
                <w:b/>
                <w:szCs w:val="22"/>
              </w:rPr>
              <w:t>Benchmark</w:t>
            </w:r>
          </w:p>
        </w:tc>
        <w:tc>
          <w:tcPr>
            <w:tcW w:w="2780" w:type="dxa"/>
            <w:gridSpan w:val="2"/>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2079D7E5" w14:textId="77777777" w:rsidR="001375DA" w:rsidRPr="00F266B4" w:rsidRDefault="001375DA" w:rsidP="001375DA">
            <w:pPr>
              <w:jc w:val="center"/>
              <w:rPr>
                <w:rFonts w:ascii="Century Gothic" w:hAnsi="Century Gothic"/>
                <w:b/>
                <w:szCs w:val="22"/>
              </w:rPr>
            </w:pPr>
            <w:r w:rsidRPr="00F266B4">
              <w:rPr>
                <w:rFonts w:ascii="Century Gothic" w:hAnsi="Century Gothic"/>
                <w:b/>
                <w:szCs w:val="22"/>
              </w:rPr>
              <w:t>Outcome</w:t>
            </w:r>
          </w:p>
        </w:tc>
        <w:tc>
          <w:tcPr>
            <w:tcW w:w="1742" w:type="dxa"/>
            <w:gridSpan w:val="2"/>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7D5C340B" w14:textId="77777777" w:rsidR="001375DA" w:rsidRPr="00F266B4" w:rsidRDefault="001375DA" w:rsidP="001375DA">
            <w:pPr>
              <w:jc w:val="center"/>
              <w:rPr>
                <w:rFonts w:ascii="Century Gothic" w:hAnsi="Century Gothic"/>
                <w:b/>
                <w:szCs w:val="22"/>
              </w:rPr>
            </w:pPr>
            <w:r w:rsidRPr="00F266B4">
              <w:rPr>
                <w:rFonts w:ascii="Century Gothic" w:hAnsi="Century Gothic"/>
                <w:b/>
                <w:szCs w:val="22"/>
              </w:rPr>
              <w:t>Benchmark Achieved?</w:t>
            </w:r>
          </w:p>
        </w:tc>
      </w:tr>
      <w:tr w:rsidR="00415D33" w:rsidRPr="00F266B4" w14:paraId="01E7FE86" w14:textId="77777777" w:rsidTr="128C9D46">
        <w:trPr>
          <w:trHeight w:val="1035"/>
        </w:trPr>
        <w:tc>
          <w:tcPr>
            <w:tcW w:w="2179"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68F02B8B" w14:textId="77777777" w:rsidR="001375DA" w:rsidRPr="00F266B4" w:rsidRDefault="001375DA" w:rsidP="7AF60685">
            <w:pPr>
              <w:rPr>
                <w:rFonts w:ascii="Century Gothic" w:hAnsi="Century Gothic"/>
              </w:rPr>
            </w:pPr>
            <w:r w:rsidRPr="00F266B4">
              <w:rPr>
                <w:rFonts w:ascii="Century Gothic" w:hAnsi="Century Gothic"/>
              </w:rPr>
              <w:t>Number of FSS households that have taken vocational and computer classes (excluding Specialized Training)</w:t>
            </w:r>
          </w:p>
        </w:tc>
        <w:tc>
          <w:tcPr>
            <w:tcW w:w="15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0C368D5" w14:textId="77777777" w:rsidR="001375DA" w:rsidRPr="00F266B4" w:rsidRDefault="001375DA" w:rsidP="001375DA">
            <w:pPr>
              <w:jc w:val="center"/>
              <w:rPr>
                <w:rFonts w:ascii="Century Gothic" w:hAnsi="Century Gothic"/>
                <w:szCs w:val="22"/>
              </w:rPr>
            </w:pPr>
            <w:r w:rsidRPr="00F266B4">
              <w:rPr>
                <w:rFonts w:ascii="Century Gothic" w:hAnsi="Century Gothic"/>
                <w:szCs w:val="22"/>
              </w:rPr>
              <w:t>155 (2013)</w:t>
            </w:r>
          </w:p>
        </w:tc>
        <w:tc>
          <w:tcPr>
            <w:tcW w:w="18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3999E74" w14:textId="77777777" w:rsidR="001375DA" w:rsidRPr="00F266B4" w:rsidRDefault="1B4A8018" w:rsidP="1B4A8018">
            <w:pPr>
              <w:jc w:val="center"/>
              <w:rPr>
                <w:rFonts w:ascii="Century Gothic" w:hAnsi="Century Gothic"/>
              </w:rPr>
            </w:pPr>
            <w:r w:rsidRPr="00F266B4">
              <w:rPr>
                <w:rFonts w:ascii="Century Gothic" w:hAnsi="Century Gothic"/>
              </w:rPr>
              <w:t>200</w:t>
            </w:r>
          </w:p>
        </w:tc>
        <w:tc>
          <w:tcPr>
            <w:tcW w:w="278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7E806D9" w14:textId="10691540" w:rsidR="510AB650" w:rsidRPr="00F266B4" w:rsidRDefault="510AB650" w:rsidP="6F807E50">
            <w:pPr>
              <w:rPr>
                <w:rFonts w:ascii="Century Gothic" w:eastAsia="Times New Roman" w:hAnsi="Century Gothic"/>
              </w:rPr>
            </w:pPr>
            <w:r w:rsidRPr="00F266B4">
              <w:rPr>
                <w:rFonts w:ascii="Century Gothic" w:eastAsia="Times New Roman" w:hAnsi="Century Gothic"/>
              </w:rPr>
              <w:t>2024: Total Enrollment</w:t>
            </w:r>
          </w:p>
          <w:p w14:paraId="519A707E" w14:textId="73E487A4" w:rsidR="510AB650" w:rsidRPr="00F266B4" w:rsidRDefault="1D0AFAC8" w:rsidP="128C9D46">
            <w:pPr>
              <w:rPr>
                <w:rFonts w:ascii="Century Gothic" w:eastAsia="Times New Roman" w:hAnsi="Century Gothic"/>
              </w:rPr>
            </w:pPr>
            <w:r w:rsidRPr="128C9D46">
              <w:rPr>
                <w:rFonts w:ascii="Century Gothic" w:eastAsia="Times New Roman" w:hAnsi="Century Gothic"/>
              </w:rPr>
              <w:t>Education:</w:t>
            </w:r>
            <w:r w:rsidR="276A2CDC" w:rsidRPr="128C9D46">
              <w:rPr>
                <w:rFonts w:ascii="Century Gothic" w:eastAsia="Times New Roman" w:hAnsi="Century Gothic"/>
              </w:rPr>
              <w:t xml:space="preserve"> 522</w:t>
            </w:r>
          </w:p>
          <w:p w14:paraId="6C5D2F03" w14:textId="66E7110F" w:rsidR="510AB650" w:rsidRPr="00F266B4" w:rsidRDefault="1D0AFAC8" w:rsidP="6F807E50">
            <w:pPr>
              <w:rPr>
                <w:rFonts w:ascii="Century Gothic" w:eastAsia="Times New Roman" w:hAnsi="Century Gothic"/>
              </w:rPr>
            </w:pPr>
            <w:r w:rsidRPr="128C9D46">
              <w:rPr>
                <w:rFonts w:ascii="Century Gothic" w:eastAsia="Times New Roman" w:hAnsi="Century Gothic"/>
              </w:rPr>
              <w:t xml:space="preserve">Job Training: </w:t>
            </w:r>
            <w:r w:rsidR="0F900C59" w:rsidRPr="128C9D46">
              <w:rPr>
                <w:rFonts w:ascii="Century Gothic" w:eastAsia="Times New Roman" w:hAnsi="Century Gothic"/>
              </w:rPr>
              <w:t>136</w:t>
            </w:r>
          </w:p>
          <w:p w14:paraId="7651E433" w14:textId="7F0F2ED4" w:rsidR="510AB650" w:rsidRPr="00F266B4" w:rsidRDefault="510AB650" w:rsidP="6F807E50">
            <w:pPr>
              <w:rPr>
                <w:rFonts w:ascii="Century Gothic" w:eastAsia="Times New Roman" w:hAnsi="Century Gothic"/>
              </w:rPr>
            </w:pPr>
            <w:r w:rsidRPr="00F266B4">
              <w:rPr>
                <w:rFonts w:ascii="Century Gothic" w:eastAsia="Times New Roman" w:hAnsi="Century Gothic"/>
              </w:rPr>
              <w:t xml:space="preserve">Computer classes: </w:t>
            </w:r>
            <w:r w:rsidR="455D5687" w:rsidRPr="00F266B4">
              <w:rPr>
                <w:rFonts w:ascii="Century Gothic" w:eastAsia="Times New Roman" w:hAnsi="Century Gothic"/>
              </w:rPr>
              <w:t>30</w:t>
            </w:r>
          </w:p>
          <w:p w14:paraId="7B3EDBFF" w14:textId="1C488CAA" w:rsidR="510AB650" w:rsidRPr="00F266B4" w:rsidRDefault="510AB650" w:rsidP="6F807E50">
            <w:pPr>
              <w:rPr>
                <w:rFonts w:ascii="Century Gothic" w:eastAsia="Times New Roman" w:hAnsi="Century Gothic"/>
              </w:rPr>
            </w:pPr>
            <w:r w:rsidRPr="00F266B4">
              <w:rPr>
                <w:rFonts w:ascii="Century Gothic" w:eastAsia="Times New Roman" w:hAnsi="Century Gothic"/>
              </w:rPr>
              <w:t xml:space="preserve">Educational Courses: </w:t>
            </w:r>
            <w:r w:rsidR="2CBF82E9" w:rsidRPr="00F266B4">
              <w:rPr>
                <w:rFonts w:ascii="Century Gothic" w:eastAsia="Times New Roman" w:hAnsi="Century Gothic"/>
              </w:rPr>
              <w:t>356</w:t>
            </w:r>
          </w:p>
          <w:p w14:paraId="640A67FD" w14:textId="1145CA27" w:rsidR="6F807E50" w:rsidRPr="00F266B4" w:rsidRDefault="6F807E50" w:rsidP="6F807E50">
            <w:pPr>
              <w:rPr>
                <w:rFonts w:ascii="Century Gothic" w:eastAsia="Times New Roman" w:hAnsi="Century Gothic"/>
              </w:rPr>
            </w:pPr>
          </w:p>
          <w:p w14:paraId="4FBA2EEF" w14:textId="41D0707B" w:rsidR="004E5BB4" w:rsidRPr="00F266B4" w:rsidRDefault="1DC2AC8A" w:rsidP="4C4F5E4A">
            <w:pPr>
              <w:rPr>
                <w:rFonts w:ascii="Century Gothic" w:eastAsia="Times New Roman" w:hAnsi="Century Gothic"/>
              </w:rPr>
            </w:pPr>
            <w:r w:rsidRPr="00F266B4">
              <w:rPr>
                <w:rFonts w:ascii="Century Gothic" w:eastAsia="Times New Roman" w:hAnsi="Century Gothic"/>
              </w:rPr>
              <w:t>2023:</w:t>
            </w:r>
            <w:r w:rsidR="6129C583" w:rsidRPr="00F266B4">
              <w:rPr>
                <w:rFonts w:ascii="Century Gothic" w:eastAsia="Times New Roman" w:hAnsi="Century Gothic"/>
              </w:rPr>
              <w:t xml:space="preserve"> Total Enrollment 515</w:t>
            </w:r>
          </w:p>
          <w:p w14:paraId="34A75C65" w14:textId="2EF170C7" w:rsidR="004E5BB4" w:rsidRPr="00F266B4" w:rsidRDefault="404EC2F7" w:rsidP="4C4F5E4A">
            <w:pPr>
              <w:textAlignment w:val="baseline"/>
              <w:rPr>
                <w:rFonts w:ascii="Century Gothic" w:eastAsia="Times New Roman" w:hAnsi="Century Gothic"/>
              </w:rPr>
            </w:pPr>
            <w:r w:rsidRPr="00F266B4">
              <w:rPr>
                <w:rFonts w:ascii="Century Gothic" w:eastAsia="Times New Roman" w:hAnsi="Century Gothic"/>
              </w:rPr>
              <w:t>Education:</w:t>
            </w:r>
            <w:r w:rsidR="1DC2AC8A" w:rsidRPr="00F266B4">
              <w:rPr>
                <w:rFonts w:ascii="Century Gothic" w:eastAsia="Times New Roman" w:hAnsi="Century Gothic"/>
              </w:rPr>
              <w:t xml:space="preserve"> </w:t>
            </w:r>
            <w:r w:rsidR="6005F4B6" w:rsidRPr="00F266B4">
              <w:rPr>
                <w:rFonts w:ascii="Century Gothic" w:eastAsia="Times New Roman" w:hAnsi="Century Gothic"/>
              </w:rPr>
              <w:t>200</w:t>
            </w:r>
          </w:p>
          <w:p w14:paraId="139052CE" w14:textId="06F5F583" w:rsidR="004E5BB4" w:rsidRPr="00F266B4" w:rsidRDefault="404EC2F7" w:rsidP="4C4F5E4A">
            <w:pPr>
              <w:textAlignment w:val="baseline"/>
              <w:rPr>
                <w:rFonts w:ascii="Century Gothic" w:eastAsia="Times New Roman" w:hAnsi="Century Gothic"/>
              </w:rPr>
            </w:pPr>
            <w:r w:rsidRPr="00F266B4">
              <w:rPr>
                <w:rFonts w:ascii="Century Gothic" w:eastAsia="Times New Roman" w:hAnsi="Century Gothic"/>
              </w:rPr>
              <w:t xml:space="preserve">Job Training: </w:t>
            </w:r>
            <w:r w:rsidR="0CBF5549" w:rsidRPr="00F266B4">
              <w:rPr>
                <w:rFonts w:ascii="Century Gothic" w:eastAsia="Times New Roman" w:hAnsi="Century Gothic"/>
              </w:rPr>
              <w:t>55</w:t>
            </w:r>
          </w:p>
          <w:p w14:paraId="22C56096" w14:textId="7D888CD0" w:rsidR="004E5BB4" w:rsidRPr="00F266B4" w:rsidRDefault="20686588" w:rsidP="4C4F5E4A">
            <w:pPr>
              <w:textAlignment w:val="baseline"/>
              <w:rPr>
                <w:rFonts w:ascii="Century Gothic" w:eastAsia="Times New Roman" w:hAnsi="Century Gothic"/>
              </w:rPr>
            </w:pPr>
            <w:r w:rsidRPr="00F266B4">
              <w:rPr>
                <w:rFonts w:ascii="Century Gothic" w:eastAsia="Times New Roman" w:hAnsi="Century Gothic"/>
              </w:rPr>
              <w:t xml:space="preserve">Computer classes: </w:t>
            </w:r>
            <w:r w:rsidR="50A83E98" w:rsidRPr="00F266B4">
              <w:rPr>
                <w:rFonts w:ascii="Century Gothic" w:eastAsia="Times New Roman" w:hAnsi="Century Gothic"/>
              </w:rPr>
              <w:t>30</w:t>
            </w:r>
          </w:p>
          <w:p w14:paraId="6B09082A" w14:textId="624E79AB" w:rsidR="3AD39052" w:rsidRPr="00F266B4" w:rsidRDefault="50A83E98" w:rsidP="4C4F5E4A">
            <w:pPr>
              <w:rPr>
                <w:rFonts w:ascii="Century Gothic" w:eastAsia="Times New Roman" w:hAnsi="Century Gothic"/>
              </w:rPr>
            </w:pPr>
            <w:r w:rsidRPr="00F266B4">
              <w:rPr>
                <w:rFonts w:ascii="Century Gothic" w:eastAsia="Times New Roman" w:hAnsi="Century Gothic"/>
              </w:rPr>
              <w:t>Educational Courses: 230</w:t>
            </w:r>
          </w:p>
          <w:p w14:paraId="118054CC" w14:textId="77777777" w:rsidR="004E5BB4" w:rsidRPr="00F266B4" w:rsidRDefault="004E5BB4" w:rsidP="2A137AEF">
            <w:pPr>
              <w:spacing w:line="264" w:lineRule="auto"/>
              <w:jc w:val="both"/>
              <w:rPr>
                <w:rFonts w:ascii="Century Gothic" w:eastAsia="Times New Roman" w:hAnsi="Century Gothic"/>
                <w:color w:val="000000" w:themeColor="text1"/>
              </w:rPr>
            </w:pPr>
          </w:p>
          <w:p w14:paraId="49538D68" w14:textId="3BE71083" w:rsidR="1B4A8018" w:rsidRPr="00F266B4" w:rsidRDefault="1FE9E443" w:rsidP="2A137AEF">
            <w:pPr>
              <w:spacing w:line="264" w:lineRule="auto"/>
              <w:jc w:val="both"/>
              <w:rPr>
                <w:rFonts w:ascii="Century Gothic" w:eastAsia="Times New Roman" w:hAnsi="Century Gothic"/>
                <w:color w:val="000000" w:themeColor="text1"/>
              </w:rPr>
            </w:pPr>
            <w:r w:rsidRPr="00F266B4">
              <w:rPr>
                <w:rFonts w:ascii="Century Gothic" w:eastAsia="Times New Roman" w:hAnsi="Century Gothic"/>
                <w:color w:val="000000" w:themeColor="text1"/>
              </w:rPr>
              <w:t xml:space="preserve">2022: </w:t>
            </w:r>
            <w:r w:rsidR="2AC568A4" w:rsidRPr="00F266B4">
              <w:rPr>
                <w:rFonts w:ascii="Century Gothic" w:eastAsia="Times New Roman" w:hAnsi="Century Gothic"/>
                <w:color w:val="000000" w:themeColor="text1"/>
              </w:rPr>
              <w:t>Total 260</w:t>
            </w:r>
          </w:p>
          <w:p w14:paraId="701AA1A2" w14:textId="54294113" w:rsidR="1B4A8018" w:rsidRPr="00F266B4" w:rsidRDefault="0CB98D05" w:rsidP="2A137AEF">
            <w:pPr>
              <w:spacing w:line="264" w:lineRule="auto"/>
              <w:jc w:val="both"/>
              <w:rPr>
                <w:rFonts w:ascii="Century Gothic" w:eastAsia="Times New Roman" w:hAnsi="Century Gothic"/>
                <w:color w:val="000000" w:themeColor="text1"/>
              </w:rPr>
            </w:pPr>
            <w:r w:rsidRPr="00F266B4">
              <w:rPr>
                <w:rFonts w:ascii="Century Gothic" w:eastAsia="Times New Roman" w:hAnsi="Century Gothic"/>
                <w:color w:val="000000" w:themeColor="text1"/>
              </w:rPr>
              <w:t>117 Computer class</w:t>
            </w:r>
          </w:p>
          <w:p w14:paraId="13C0D01D" w14:textId="5F71DF13" w:rsidR="1B4A8018" w:rsidRPr="00F266B4" w:rsidRDefault="0CB98D05" w:rsidP="2A137AEF">
            <w:pPr>
              <w:spacing w:line="264" w:lineRule="auto"/>
              <w:jc w:val="both"/>
              <w:rPr>
                <w:rFonts w:ascii="Century Gothic" w:eastAsia="Times New Roman" w:hAnsi="Century Gothic"/>
                <w:color w:val="000000" w:themeColor="text1"/>
              </w:rPr>
            </w:pPr>
            <w:r w:rsidRPr="00F266B4">
              <w:rPr>
                <w:rFonts w:ascii="Century Gothic" w:eastAsia="Times New Roman" w:hAnsi="Century Gothic"/>
                <w:color w:val="000000" w:themeColor="text1"/>
              </w:rPr>
              <w:t xml:space="preserve">137 Educational  </w:t>
            </w:r>
          </w:p>
          <w:p w14:paraId="15F68DEE" w14:textId="504ABA8A" w:rsidR="1B4A8018" w:rsidRPr="00F266B4" w:rsidRDefault="0CB98D05" w:rsidP="2A137AEF">
            <w:pPr>
              <w:spacing w:line="264" w:lineRule="auto"/>
              <w:jc w:val="both"/>
              <w:rPr>
                <w:rFonts w:ascii="Century Gothic" w:eastAsia="Times New Roman" w:hAnsi="Century Gothic"/>
                <w:color w:val="000000" w:themeColor="text1"/>
              </w:rPr>
            </w:pPr>
            <w:r w:rsidRPr="00F266B4">
              <w:rPr>
                <w:rFonts w:ascii="Century Gothic" w:eastAsia="Times New Roman" w:hAnsi="Century Gothic"/>
                <w:color w:val="000000" w:themeColor="text1"/>
              </w:rPr>
              <w:t>6 CDA Course</w:t>
            </w:r>
          </w:p>
          <w:p w14:paraId="52D33EAE" w14:textId="19BC8D47" w:rsidR="001375DA" w:rsidRPr="00F266B4" w:rsidRDefault="001375DA" w:rsidP="0E6C54AB">
            <w:pPr>
              <w:spacing w:line="264" w:lineRule="auto"/>
              <w:jc w:val="both"/>
              <w:rPr>
                <w:rFonts w:ascii="Century Gothic" w:eastAsia="Times New Roman" w:hAnsi="Century Gothic"/>
                <w:color w:val="000000" w:themeColor="text1"/>
              </w:rPr>
            </w:pPr>
          </w:p>
        </w:tc>
        <w:tc>
          <w:tcPr>
            <w:tcW w:w="174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hideMark/>
          </w:tcPr>
          <w:p w14:paraId="0D188D0E" w14:textId="0C9A4967" w:rsidR="001375DA" w:rsidRPr="00F266B4" w:rsidRDefault="1B4A8018" w:rsidP="1B4A8018">
            <w:pPr>
              <w:rPr>
                <w:rFonts w:ascii="Century Gothic" w:hAnsi="Century Gothic"/>
              </w:rPr>
            </w:pPr>
            <w:r w:rsidRPr="00F266B4" w:rsidDel="40D113D4">
              <w:rPr>
                <w:rFonts w:ascii="Century Gothic" w:hAnsi="Century Gothic"/>
              </w:rPr>
              <w:t>Yes</w:t>
            </w:r>
            <w:r w:rsidR="1E94F732" w:rsidRPr="00F266B4">
              <w:rPr>
                <w:rFonts w:ascii="Century Gothic" w:hAnsi="Century Gothic"/>
              </w:rPr>
              <w:t xml:space="preserve"> </w:t>
            </w:r>
          </w:p>
        </w:tc>
      </w:tr>
    </w:tbl>
    <w:p w14:paraId="3C1C0324" w14:textId="03C3C06C" w:rsidR="001375DA" w:rsidRPr="00F266B4" w:rsidRDefault="657C3F12" w:rsidP="1B3F2E6D">
      <w:pPr>
        <w:rPr>
          <w:rFonts w:ascii="Century Gothic" w:hAnsi="Century Gothic"/>
          <w:i/>
          <w:iCs/>
          <w:sz w:val="18"/>
          <w:szCs w:val="18"/>
          <w:lang w:eastAsia="en-US"/>
        </w:rPr>
      </w:pPr>
      <w:r w:rsidRPr="00F266B4">
        <w:rPr>
          <w:rFonts w:ascii="Century Gothic" w:hAnsi="Century Gothic"/>
          <w:i/>
          <w:iCs/>
          <w:sz w:val="18"/>
          <w:szCs w:val="18"/>
          <w:lang w:eastAsia="en-US"/>
        </w:rPr>
        <w:t xml:space="preserve">* This data </w:t>
      </w:r>
      <w:r w:rsidR="2CBDD451" w:rsidRPr="00F266B4">
        <w:rPr>
          <w:rFonts w:ascii="Century Gothic" w:hAnsi="Century Gothic"/>
          <w:i/>
          <w:iCs/>
          <w:sz w:val="18"/>
          <w:szCs w:val="18"/>
          <w:lang w:eastAsia="en-US"/>
        </w:rPr>
        <w:t xml:space="preserve">includes </w:t>
      </w:r>
      <w:r w:rsidRPr="00F266B4">
        <w:rPr>
          <w:rFonts w:ascii="Century Gothic" w:hAnsi="Century Gothic"/>
          <w:i/>
          <w:iCs/>
          <w:sz w:val="18"/>
          <w:szCs w:val="18"/>
          <w:lang w:eastAsia="en-US"/>
        </w:rPr>
        <w:t>SEHOP, CARES, elderly/disabled, resident-owned business services, and specialized services</w:t>
      </w:r>
    </w:p>
    <w:p w14:paraId="19B15938" w14:textId="77777777" w:rsidR="001375DA" w:rsidRPr="00F266B4" w:rsidRDefault="001375DA" w:rsidP="001375DA">
      <w:pPr>
        <w:rPr>
          <w:rFonts w:ascii="Century Gothic" w:hAnsi="Century Gothic"/>
          <w:i/>
          <w:sz w:val="18"/>
          <w:szCs w:val="18"/>
          <w:lang w:eastAsia="en-US"/>
        </w:rPr>
      </w:pPr>
      <w:r w:rsidRPr="00F266B4">
        <w:rPr>
          <w:rFonts w:ascii="Century Gothic" w:hAnsi="Century Gothic"/>
          <w:i/>
          <w:sz w:val="18"/>
          <w:szCs w:val="18"/>
          <w:lang w:eastAsia="en-US"/>
        </w:rPr>
        <w:t xml:space="preserve">** Average earnings include wages and other earnings. Note that 20% of FSS participants did not have income in FY17, but 50% in FY14 and 52% in FY13. In FY19 this average includes Work-able, FSS, &amp; CARES Families. </w:t>
      </w:r>
    </w:p>
    <w:p w14:paraId="43B87B5B" w14:textId="77777777" w:rsidR="001375DA" w:rsidRPr="00F266B4" w:rsidRDefault="657C3F12" w:rsidP="1B3F2E6D">
      <w:pPr>
        <w:rPr>
          <w:rFonts w:ascii="Century Gothic" w:hAnsi="Century Gothic"/>
          <w:i/>
          <w:iCs/>
          <w:sz w:val="18"/>
          <w:szCs w:val="18"/>
          <w:lang w:eastAsia="en-US"/>
        </w:rPr>
      </w:pPr>
      <w:r w:rsidRPr="00F266B4">
        <w:rPr>
          <w:rFonts w:ascii="Century Gothic" w:hAnsi="Century Gothic"/>
          <w:i/>
          <w:iCs/>
          <w:sz w:val="18"/>
          <w:szCs w:val="18"/>
          <w:lang w:eastAsia="en-US"/>
        </w:rPr>
        <w:t xml:space="preserve">*** Full-time employment if earned income (wages + self-employment) equates to 30 hours/week at CT minimum wage; unemployed assumes no wages. All FSS participants in FSS Log considered to be enrolled in educational </w:t>
      </w:r>
      <w:proofErr w:type="gramStart"/>
      <w:r w:rsidRPr="00F266B4">
        <w:rPr>
          <w:rFonts w:ascii="Century Gothic" w:hAnsi="Century Gothic"/>
          <w:i/>
          <w:iCs/>
          <w:sz w:val="18"/>
          <w:szCs w:val="18"/>
          <w:lang w:eastAsia="en-US"/>
        </w:rPr>
        <w:t>program</w:t>
      </w:r>
      <w:proofErr w:type="gramEnd"/>
      <w:r w:rsidRPr="00F266B4">
        <w:rPr>
          <w:rFonts w:ascii="Century Gothic" w:hAnsi="Century Gothic"/>
          <w:i/>
          <w:iCs/>
          <w:sz w:val="18"/>
          <w:szCs w:val="18"/>
          <w:lang w:eastAsia="en-US"/>
        </w:rPr>
        <w:t xml:space="preserve">. </w:t>
      </w:r>
    </w:p>
    <w:p w14:paraId="17612CE0" w14:textId="77777777" w:rsidR="001375DA" w:rsidRPr="00F266B4" w:rsidRDefault="001375DA" w:rsidP="001375DA">
      <w:pPr>
        <w:rPr>
          <w:rFonts w:ascii="Century Gothic" w:hAnsi="Century Gothic"/>
          <w:szCs w:val="22"/>
        </w:rPr>
      </w:pPr>
    </w:p>
    <w:tbl>
      <w:tblPr>
        <w:tblW w:w="10960" w:type="dxa"/>
        <w:tblInd w:w="-10" w:type="dxa"/>
        <w:tblCellMar>
          <w:left w:w="0" w:type="dxa"/>
          <w:right w:w="0" w:type="dxa"/>
        </w:tblCellMar>
        <w:tblLook w:val="04A0" w:firstRow="1" w:lastRow="0" w:firstColumn="1" w:lastColumn="0" w:noHBand="0" w:noVBand="1"/>
      </w:tblPr>
      <w:tblGrid>
        <w:gridCol w:w="2150"/>
        <w:gridCol w:w="1194"/>
        <w:gridCol w:w="1702"/>
        <w:gridCol w:w="3696"/>
        <w:gridCol w:w="1158"/>
        <w:gridCol w:w="1060"/>
      </w:tblGrid>
      <w:tr w:rsidR="008F720A" w:rsidRPr="00F266B4" w14:paraId="014B36B9" w14:textId="77777777" w:rsidTr="0E6C54AB">
        <w:trPr>
          <w:trHeight w:val="400"/>
        </w:trPr>
        <w:tc>
          <w:tcPr>
            <w:tcW w:w="10960" w:type="dxa"/>
            <w:gridSpan w:val="6"/>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808080" w:themeFill="background1" w:themeFillShade="80"/>
            <w:tcMar>
              <w:top w:w="0" w:type="dxa"/>
              <w:left w:w="108" w:type="dxa"/>
              <w:bottom w:w="0" w:type="dxa"/>
              <w:right w:w="108" w:type="dxa"/>
            </w:tcMar>
            <w:hideMark/>
          </w:tcPr>
          <w:p w14:paraId="4897C41C" w14:textId="77777777" w:rsidR="008F720A" w:rsidRPr="00F266B4" w:rsidRDefault="008F720A" w:rsidP="00A97E80">
            <w:pPr>
              <w:jc w:val="center"/>
              <w:rPr>
                <w:rFonts w:ascii="Century Gothic" w:hAnsi="Century Gothic"/>
                <w:b/>
                <w:bCs/>
                <w:szCs w:val="22"/>
              </w:rPr>
            </w:pPr>
            <w:r w:rsidRPr="00F266B4">
              <w:rPr>
                <w:rFonts w:ascii="Century Gothic" w:hAnsi="Century Gothic"/>
                <w:b/>
                <w:bCs/>
                <w:szCs w:val="22"/>
              </w:rPr>
              <w:lastRenderedPageBreak/>
              <w:t>SS #8: Households Transitioned to Self-Sufficiency</w:t>
            </w:r>
          </w:p>
        </w:tc>
      </w:tr>
      <w:tr w:rsidR="008F720A" w:rsidRPr="00F266B4" w14:paraId="78BEDE78" w14:textId="77777777" w:rsidTr="0E6C54AB">
        <w:trPr>
          <w:gridAfter w:val="1"/>
          <w:wAfter w:w="1060" w:type="dxa"/>
          <w:trHeight w:val="1215"/>
        </w:trPr>
        <w:tc>
          <w:tcPr>
            <w:tcW w:w="215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3D7F14CC" w14:textId="7DCFB2A6" w:rsidR="008F720A" w:rsidRPr="00F266B4" w:rsidRDefault="008F720A" w:rsidP="00A97E80">
            <w:pPr>
              <w:rPr>
                <w:rFonts w:ascii="Century Gothic" w:hAnsi="Century Gothic"/>
              </w:rPr>
            </w:pPr>
            <w:r w:rsidRPr="00F266B4">
              <w:rPr>
                <w:rFonts w:ascii="Century Gothic" w:hAnsi="Century Gothic"/>
              </w:rPr>
              <w:t xml:space="preserve">Number of households who </w:t>
            </w:r>
            <w:r w:rsidR="00224355" w:rsidRPr="00F266B4">
              <w:rPr>
                <w:rFonts w:ascii="Century Gothic" w:hAnsi="Century Gothic"/>
              </w:rPr>
              <w:t xml:space="preserve">achieve </w:t>
            </w:r>
            <w:r w:rsidR="00426407" w:rsidRPr="00F266B4">
              <w:rPr>
                <w:rFonts w:ascii="Century Gothic" w:hAnsi="Century Gothic"/>
              </w:rPr>
              <w:t xml:space="preserve">homeownership </w:t>
            </w:r>
          </w:p>
        </w:tc>
        <w:tc>
          <w:tcPr>
            <w:tcW w:w="1194"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4F4DBBCA" w14:textId="7DCFB2A6" w:rsidR="008F720A" w:rsidRPr="00F266B4" w:rsidRDefault="5618F69A" w:rsidP="00A97E80">
            <w:pPr>
              <w:rPr>
                <w:rFonts w:ascii="Century Gothic" w:eastAsia="MS PGothic" w:hAnsi="Century Gothic"/>
              </w:rPr>
            </w:pPr>
            <w:r w:rsidRPr="00F266B4">
              <w:rPr>
                <w:rFonts w:ascii="Century Gothic" w:hAnsi="Century Gothic"/>
              </w:rPr>
              <w:t>10</w:t>
            </w:r>
          </w:p>
        </w:tc>
        <w:tc>
          <w:tcPr>
            <w:tcW w:w="1702"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742A05FA" w14:textId="52F9EF88" w:rsidR="008F720A" w:rsidRPr="00F266B4" w:rsidRDefault="1B4A8018" w:rsidP="00A97E80">
            <w:pPr>
              <w:rPr>
                <w:rFonts w:ascii="Century Gothic" w:hAnsi="Century Gothic"/>
              </w:rPr>
            </w:pPr>
            <w:r w:rsidRPr="00F266B4">
              <w:rPr>
                <w:rFonts w:ascii="Century Gothic" w:eastAsia="Times New Roman" w:hAnsi="Century Gothic"/>
                <w:color w:val="000000" w:themeColor="text1"/>
              </w:rPr>
              <w:t>Steady increase in</w:t>
            </w:r>
            <w:r w:rsidRPr="00F266B4">
              <w:rPr>
                <w:rFonts w:ascii="Century Gothic" w:hAnsi="Century Gothic"/>
              </w:rPr>
              <w:t xml:space="preserve"> new homeowners annually</w:t>
            </w:r>
          </w:p>
        </w:tc>
        <w:tc>
          <w:tcPr>
            <w:tcW w:w="3696"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3DF9AF09" w14:textId="5BC9A06D" w:rsidR="59863D55" w:rsidRPr="00F266B4" w:rsidRDefault="59863D55" w:rsidP="640A8AE1">
            <w:pPr>
              <w:rPr>
                <w:rFonts w:ascii="Century Gothic" w:eastAsia="Times New Roman" w:hAnsi="Century Gothic"/>
              </w:rPr>
            </w:pPr>
            <w:r w:rsidRPr="00F266B4">
              <w:rPr>
                <w:rFonts w:ascii="Century Gothic" w:eastAsia="Times New Roman" w:hAnsi="Century Gothic"/>
              </w:rPr>
              <w:t>2024: 3</w:t>
            </w:r>
          </w:p>
          <w:p w14:paraId="05D2D301" w14:textId="4048D0E2" w:rsidR="008572F7" w:rsidRPr="00F266B4" w:rsidRDefault="64FCB60F" w:rsidP="0E6C54AB">
            <w:pPr>
              <w:rPr>
                <w:rFonts w:ascii="Century Gothic" w:eastAsia="Times New Roman" w:hAnsi="Century Gothic"/>
              </w:rPr>
            </w:pPr>
            <w:r w:rsidRPr="00F266B4">
              <w:rPr>
                <w:rFonts w:ascii="Century Gothic" w:eastAsia="Times New Roman" w:hAnsi="Century Gothic"/>
              </w:rPr>
              <w:t>2023:</w:t>
            </w:r>
            <w:r w:rsidR="6DBC6289" w:rsidRPr="00F266B4">
              <w:rPr>
                <w:rFonts w:ascii="Century Gothic" w:eastAsia="Times New Roman" w:hAnsi="Century Gothic"/>
              </w:rPr>
              <w:t xml:space="preserve"> 4</w:t>
            </w:r>
            <w:r w:rsidR="5175A93C" w:rsidRPr="00F266B4">
              <w:rPr>
                <w:rFonts w:ascii="Century Gothic" w:eastAsia="Times New Roman" w:hAnsi="Century Gothic"/>
              </w:rPr>
              <w:t xml:space="preserve"> (33%</w:t>
            </w:r>
            <w:r w:rsidR="004E3680" w:rsidRPr="00F266B4">
              <w:rPr>
                <w:rFonts w:ascii="Century Gothic" w:eastAsia="Times New Roman" w:hAnsi="Century Gothic"/>
              </w:rPr>
              <w:t xml:space="preserve"> increase</w:t>
            </w:r>
            <w:r w:rsidR="5175A93C" w:rsidRPr="00F266B4">
              <w:rPr>
                <w:rFonts w:ascii="Century Gothic" w:eastAsia="Times New Roman" w:hAnsi="Century Gothic"/>
              </w:rPr>
              <w:t>)</w:t>
            </w:r>
          </w:p>
          <w:p w14:paraId="753D488A" w14:textId="2872AAAD" w:rsidR="1B4A8018" w:rsidRPr="00F266B4" w:rsidRDefault="776ACC71" w:rsidP="0E6C54AB">
            <w:pPr>
              <w:rPr>
                <w:rFonts w:ascii="Century Gothic" w:eastAsia="Times New Roman" w:hAnsi="Century Gothic"/>
              </w:rPr>
            </w:pPr>
            <w:r w:rsidRPr="00F266B4">
              <w:rPr>
                <w:rFonts w:ascii="Century Gothic" w:eastAsia="Times New Roman" w:hAnsi="Century Gothic"/>
              </w:rPr>
              <w:t>2022: 3</w:t>
            </w:r>
            <w:r w:rsidR="004E3680" w:rsidRPr="00F266B4">
              <w:rPr>
                <w:rFonts w:ascii="Century Gothic" w:eastAsia="Times New Roman" w:hAnsi="Century Gothic"/>
              </w:rPr>
              <w:t xml:space="preserve"> </w:t>
            </w:r>
          </w:p>
          <w:p w14:paraId="0B34409C" w14:textId="7DCFB2A6" w:rsidR="008F720A" w:rsidRPr="00F266B4" w:rsidRDefault="3D50990B" w:rsidP="0E6C54AB">
            <w:pPr>
              <w:rPr>
                <w:rFonts w:ascii="Century Gothic" w:eastAsia="Times New Roman" w:hAnsi="Century Gothic"/>
              </w:rPr>
            </w:pPr>
            <w:r w:rsidRPr="00F266B4">
              <w:rPr>
                <w:rFonts w:ascii="Century Gothic" w:eastAsia="Times New Roman" w:hAnsi="Century Gothic"/>
              </w:rPr>
              <w:t xml:space="preserve">2021: </w:t>
            </w:r>
            <w:r w:rsidR="50D052E3" w:rsidRPr="00F266B4">
              <w:rPr>
                <w:rFonts w:ascii="Century Gothic" w:eastAsia="Times New Roman" w:hAnsi="Century Gothic"/>
              </w:rPr>
              <w:t>19</w:t>
            </w:r>
          </w:p>
          <w:p w14:paraId="46423BB9" w14:textId="7DCFB2A6" w:rsidR="70A913AF" w:rsidRPr="00F266B4" w:rsidRDefault="78BA6FCC" w:rsidP="0E6C54AB">
            <w:pPr>
              <w:rPr>
                <w:rFonts w:ascii="Century Gothic" w:eastAsia="Times New Roman" w:hAnsi="Century Gothic"/>
              </w:rPr>
            </w:pPr>
            <w:r w:rsidRPr="00F266B4">
              <w:rPr>
                <w:rFonts w:ascii="Century Gothic" w:eastAsia="Times New Roman" w:hAnsi="Century Gothic"/>
              </w:rPr>
              <w:t>2020:</w:t>
            </w:r>
            <w:r w:rsidR="0CB0C10C" w:rsidRPr="00F266B4">
              <w:rPr>
                <w:rFonts w:ascii="Century Gothic" w:eastAsia="Times New Roman" w:hAnsi="Century Gothic"/>
              </w:rPr>
              <w:t xml:space="preserve"> </w:t>
            </w:r>
            <w:r w:rsidR="186490A5" w:rsidRPr="00F266B4">
              <w:rPr>
                <w:rFonts w:ascii="Century Gothic" w:eastAsia="Times New Roman" w:hAnsi="Century Gothic"/>
              </w:rPr>
              <w:t>18</w:t>
            </w:r>
          </w:p>
          <w:p w14:paraId="44E64FCB" w14:textId="16AD9B70" w:rsidR="008F720A" w:rsidRPr="00F266B4" w:rsidRDefault="008F720A" w:rsidP="00A97E80">
            <w:pPr>
              <w:rPr>
                <w:rFonts w:ascii="Century Gothic" w:hAnsi="Century Gothic"/>
              </w:rPr>
            </w:pPr>
          </w:p>
        </w:tc>
        <w:tc>
          <w:tcPr>
            <w:tcW w:w="1158"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528FFBE2" w14:textId="5E3AB01F" w:rsidR="008F720A" w:rsidRPr="00F266B4" w:rsidRDefault="02A6C1A1" w:rsidP="00A97E80">
            <w:pPr>
              <w:rPr>
                <w:rFonts w:ascii="Century Gothic" w:hAnsi="Century Gothic"/>
              </w:rPr>
            </w:pPr>
            <w:r w:rsidRPr="00F266B4">
              <w:rPr>
                <w:rFonts w:ascii="Century Gothic" w:hAnsi="Century Gothic"/>
              </w:rPr>
              <w:t xml:space="preserve">No </w:t>
            </w:r>
          </w:p>
        </w:tc>
      </w:tr>
    </w:tbl>
    <w:p w14:paraId="6AAF2DA8" w14:textId="3285D96D" w:rsidR="007960AF" w:rsidRPr="00F266B4" w:rsidRDefault="48590AD6" w:rsidP="001375DA">
      <w:pPr>
        <w:rPr>
          <w:rFonts w:ascii="Century Gothic" w:hAnsi="Century Gothic"/>
          <w:sz w:val="18"/>
          <w:szCs w:val="18"/>
        </w:rPr>
      </w:pPr>
      <w:r w:rsidRPr="00F266B4">
        <w:rPr>
          <w:rFonts w:ascii="Century Gothic" w:hAnsi="Century Gothic"/>
          <w:sz w:val="18"/>
          <w:szCs w:val="18"/>
        </w:rPr>
        <w:t>*</w:t>
      </w:r>
      <w:r w:rsidRPr="00F266B4">
        <w:rPr>
          <w:rFonts w:ascii="Century Gothic" w:hAnsi="Century Gothic"/>
          <w:i/>
          <w:iCs/>
          <w:sz w:val="18"/>
          <w:szCs w:val="18"/>
        </w:rPr>
        <w:t>The outcome includes all programs under the FSS initiative</w:t>
      </w:r>
    </w:p>
    <w:p w14:paraId="1648F74C" w14:textId="2C211715" w:rsidR="0E6C54AB" w:rsidRPr="00F266B4" w:rsidRDefault="0E6C54AB" w:rsidP="0E6C54AB">
      <w:pPr>
        <w:rPr>
          <w:rStyle w:val="SubtleEmphasis"/>
          <w:rFonts w:ascii="Century Gothic" w:eastAsiaTheme="majorEastAsia" w:hAnsi="Century Gothic"/>
          <w:b/>
          <w:bCs/>
          <w:color w:val="808080" w:themeColor="background1" w:themeShade="80"/>
          <w:sz w:val="22"/>
          <w:szCs w:val="22"/>
        </w:rPr>
      </w:pPr>
    </w:p>
    <w:p w14:paraId="25BF382F" w14:textId="53AED65A" w:rsidR="008F632C" w:rsidRPr="00F266B4" w:rsidRDefault="5351F9D0" w:rsidP="0E6C54AB">
      <w:pPr>
        <w:spacing w:after="160" w:line="276" w:lineRule="auto"/>
        <w:rPr>
          <w:rStyle w:val="SubtleEmphasis"/>
          <w:rFonts w:ascii="Century Gothic" w:hAnsi="Century Gothic"/>
          <w:b/>
          <w:bCs/>
          <w:color w:val="auto"/>
          <w:sz w:val="22"/>
          <w:szCs w:val="22"/>
        </w:rPr>
      </w:pPr>
      <w:r w:rsidRPr="00F266B4">
        <w:rPr>
          <w:rStyle w:val="SubtleEmphasis"/>
          <w:rFonts w:ascii="Century Gothic" w:eastAsiaTheme="majorEastAsia" w:hAnsi="Century Gothic"/>
          <w:b/>
          <w:bCs/>
          <w:color w:val="808080" w:themeColor="background1" w:themeShade="80"/>
          <w:sz w:val="22"/>
          <w:szCs w:val="22"/>
        </w:rPr>
        <w:t>Actual Non-significant Changes</w:t>
      </w:r>
    </w:p>
    <w:p w14:paraId="495EB00F" w14:textId="1C37DA52" w:rsidR="3C150AC3" w:rsidRPr="00F266B4" w:rsidRDefault="22BF62E5" w:rsidP="008F632C">
      <w:pPr>
        <w:spacing w:after="160" w:line="276" w:lineRule="auto"/>
        <w:rPr>
          <w:rFonts w:ascii="Century Gothic" w:hAnsi="Century Gothic"/>
          <w:b/>
        </w:rPr>
      </w:pPr>
      <w:r w:rsidRPr="00F266B4">
        <w:rPr>
          <w:rFonts w:ascii="Century Gothic" w:hAnsi="Century Gothic"/>
          <w:szCs w:val="22"/>
        </w:rPr>
        <w:t>None</w:t>
      </w:r>
    </w:p>
    <w:p w14:paraId="005AD4B9" w14:textId="6274CB2E" w:rsidR="3C150AC3" w:rsidRPr="00F266B4" w:rsidRDefault="3C150AC3" w:rsidP="3C150AC3">
      <w:pPr>
        <w:rPr>
          <w:rFonts w:ascii="Century Gothic" w:hAnsi="Century Gothic"/>
          <w:szCs w:val="22"/>
        </w:rPr>
      </w:pPr>
    </w:p>
    <w:p w14:paraId="06D20406" w14:textId="44926877" w:rsidR="3D11C1A6" w:rsidRPr="00F266B4" w:rsidRDefault="3D11C1A6" w:rsidP="3C150AC3">
      <w:pPr>
        <w:rPr>
          <w:rStyle w:val="SubtleEmphasis"/>
          <w:rFonts w:ascii="Century Gothic" w:eastAsia="MS PGothic" w:hAnsi="Century Gothic"/>
          <w:b/>
          <w:bCs/>
          <w:color w:val="808080" w:themeColor="background1" w:themeShade="80"/>
          <w:sz w:val="22"/>
          <w:szCs w:val="22"/>
        </w:rPr>
      </w:pPr>
      <w:r w:rsidRPr="00F266B4">
        <w:rPr>
          <w:rStyle w:val="SubtleEmphasis"/>
          <w:rFonts w:ascii="Century Gothic" w:eastAsiaTheme="majorEastAsia" w:hAnsi="Century Gothic"/>
          <w:b/>
          <w:bCs/>
          <w:color w:val="808080" w:themeColor="background1" w:themeShade="80"/>
          <w:sz w:val="22"/>
          <w:szCs w:val="22"/>
        </w:rPr>
        <w:t>Actual Significant Changes</w:t>
      </w:r>
    </w:p>
    <w:p w14:paraId="302ADEA4" w14:textId="0F897A84" w:rsidR="3C150AC3" w:rsidRPr="00F266B4" w:rsidRDefault="45F9555F" w:rsidP="3C150AC3">
      <w:pPr>
        <w:rPr>
          <w:rFonts w:ascii="Century Gothic" w:hAnsi="Century Gothic"/>
          <w:szCs w:val="22"/>
        </w:rPr>
      </w:pPr>
      <w:r w:rsidRPr="00F266B4">
        <w:rPr>
          <w:rFonts w:ascii="Century Gothic" w:hAnsi="Century Gothic"/>
          <w:szCs w:val="22"/>
        </w:rPr>
        <w:t>None</w:t>
      </w:r>
    </w:p>
    <w:p w14:paraId="76BE1CB4" w14:textId="68573AD1" w:rsidR="3C150AC3" w:rsidRPr="00F266B4" w:rsidRDefault="3C150AC3" w:rsidP="2591D084">
      <w:pPr>
        <w:rPr>
          <w:rFonts w:ascii="Century Gothic" w:hAnsi="Century Gothic"/>
          <w:szCs w:val="22"/>
        </w:rPr>
      </w:pPr>
    </w:p>
    <w:p w14:paraId="2607119E" w14:textId="77777777" w:rsidR="008F632C" w:rsidRPr="00F266B4" w:rsidRDefault="008F632C" w:rsidP="7AF60685">
      <w:pPr>
        <w:rPr>
          <w:rFonts w:ascii="Century Gothic" w:hAnsi="Century Gothic"/>
        </w:rPr>
      </w:pPr>
    </w:p>
    <w:p w14:paraId="23A670B9" w14:textId="70E52CC4" w:rsidR="4C4F5E4A" w:rsidRDefault="4C4F5E4A" w:rsidP="4C4F5E4A">
      <w:pPr>
        <w:rPr>
          <w:rFonts w:eastAsia="MS PGothic"/>
        </w:rPr>
      </w:pPr>
      <w:bookmarkStart w:id="134" w:name="_Hlk112765560"/>
      <w:bookmarkEnd w:id="133"/>
    </w:p>
    <w:p w14:paraId="593355D5" w14:textId="77777777" w:rsidR="00F266B4" w:rsidRDefault="00F266B4" w:rsidP="4C4F5E4A">
      <w:pPr>
        <w:rPr>
          <w:rFonts w:eastAsia="MS PGothic"/>
        </w:rPr>
      </w:pPr>
    </w:p>
    <w:p w14:paraId="72BDC4C4" w14:textId="77777777" w:rsidR="00F266B4" w:rsidRDefault="00F266B4" w:rsidP="4C4F5E4A">
      <w:pPr>
        <w:rPr>
          <w:rFonts w:eastAsia="MS PGothic"/>
        </w:rPr>
      </w:pPr>
    </w:p>
    <w:p w14:paraId="05EC5A47" w14:textId="77777777" w:rsidR="00F266B4" w:rsidRDefault="00F266B4" w:rsidP="4C4F5E4A">
      <w:pPr>
        <w:rPr>
          <w:rFonts w:eastAsia="MS PGothic"/>
        </w:rPr>
      </w:pPr>
    </w:p>
    <w:p w14:paraId="5A14DC1A" w14:textId="77777777" w:rsidR="00F266B4" w:rsidRDefault="00F266B4" w:rsidP="4C4F5E4A">
      <w:pPr>
        <w:rPr>
          <w:rFonts w:eastAsia="MS PGothic"/>
        </w:rPr>
      </w:pPr>
    </w:p>
    <w:p w14:paraId="11D26E3B" w14:textId="77777777" w:rsidR="00F266B4" w:rsidRDefault="00F266B4" w:rsidP="4C4F5E4A">
      <w:pPr>
        <w:rPr>
          <w:rFonts w:eastAsia="MS PGothic"/>
        </w:rPr>
      </w:pPr>
    </w:p>
    <w:p w14:paraId="61625491" w14:textId="77777777" w:rsidR="00F266B4" w:rsidRDefault="00F266B4" w:rsidP="4C4F5E4A">
      <w:pPr>
        <w:rPr>
          <w:rFonts w:eastAsia="MS PGothic"/>
        </w:rPr>
      </w:pPr>
    </w:p>
    <w:p w14:paraId="5BDBC71D" w14:textId="17711BFD" w:rsidR="00492D52" w:rsidRDefault="00492D52" w:rsidP="4C4F5E4A">
      <w:pPr>
        <w:rPr>
          <w:rFonts w:eastAsia="MS PGothic"/>
        </w:rPr>
      </w:pPr>
      <w:r>
        <w:rPr>
          <w:rFonts w:eastAsia="MS PGothic"/>
        </w:rPr>
        <w:br w:type="page"/>
      </w:r>
    </w:p>
    <w:p w14:paraId="29E4E0A1" w14:textId="3F4425BF" w:rsidR="00CF332B" w:rsidRPr="002864AA" w:rsidRDefault="00CF332B" w:rsidP="00BD2CC4">
      <w:pPr>
        <w:pStyle w:val="MTWHeader2"/>
        <w:rPr>
          <w:rFonts w:ascii="Century Gothic" w:hAnsi="Century Gothic"/>
          <w:sz w:val="22"/>
          <w:szCs w:val="22"/>
        </w:rPr>
      </w:pPr>
      <w:bookmarkStart w:id="135" w:name="_Toc89871162"/>
      <w:bookmarkStart w:id="136" w:name="_Hlk112765585"/>
      <w:bookmarkEnd w:id="134"/>
      <w:r w:rsidRPr="002864AA">
        <w:rPr>
          <w:rFonts w:ascii="Century Gothic" w:hAnsi="Century Gothic" w:cs="Times New Roman"/>
          <w:sz w:val="22"/>
          <w:szCs w:val="22"/>
        </w:rPr>
        <w:lastRenderedPageBreak/>
        <w:t>Initiative 2.3 – CARES (Caring About Resident Economic Self-Sufficiency)</w:t>
      </w:r>
      <w:bookmarkEnd w:id="135"/>
    </w:p>
    <w:p w14:paraId="4C8A5468" w14:textId="77777777" w:rsidR="00CF332B" w:rsidRPr="002864AA" w:rsidRDefault="00CF332B" w:rsidP="00CF332B">
      <w:pPr>
        <w:rPr>
          <w:rFonts w:ascii="Century Gothic" w:hAnsi="Century Gothic"/>
          <w:szCs w:val="22"/>
          <w:lang w:eastAsia="en-US"/>
        </w:rPr>
      </w:pPr>
    </w:p>
    <w:p w14:paraId="34B2A9FD" w14:textId="77777777" w:rsidR="004329A5" w:rsidRPr="002864AA" w:rsidRDefault="00CF332B" w:rsidP="00CF332B">
      <w:pPr>
        <w:rPr>
          <w:rFonts w:ascii="Century Gothic" w:hAnsi="Century Gothic"/>
          <w:szCs w:val="22"/>
        </w:rPr>
      </w:pPr>
      <w:r w:rsidRPr="002864AA">
        <w:rPr>
          <w:rFonts w:ascii="Century Gothic" w:hAnsi="Century Gothic"/>
          <w:szCs w:val="22"/>
        </w:rPr>
        <w:t>Approved in FY12 and implemented in FY13.</w:t>
      </w:r>
    </w:p>
    <w:p w14:paraId="71D50467" w14:textId="58C71A56" w:rsidR="00CF332B" w:rsidRPr="002864AA" w:rsidRDefault="000614FE" w:rsidP="004329A5">
      <w:pPr>
        <w:ind w:left="7920" w:firstLine="720"/>
        <w:rPr>
          <w:rFonts w:ascii="Century Gothic" w:hAnsi="Century Gothic"/>
          <w:szCs w:val="22"/>
        </w:rPr>
      </w:pPr>
      <w:r w:rsidRPr="002864AA">
        <w:rPr>
          <w:rFonts w:ascii="Century Gothic" w:hAnsi="Century Gothic"/>
          <w:noProof/>
          <w:szCs w:val="22"/>
        </w:rPr>
        <w:t xml:space="preserve"> </w:t>
      </w:r>
      <w:r w:rsidR="00DE6A54" w:rsidRPr="002864AA">
        <w:rPr>
          <w:rFonts w:ascii="Century Gothic" w:hAnsi="Century Gothic"/>
          <w:noProof/>
          <w:szCs w:val="22"/>
        </w:rPr>
        <mc:AlternateContent>
          <mc:Choice Requires="wps">
            <w:drawing>
              <wp:inline distT="0" distB="0" distL="0" distR="0" wp14:anchorId="52C22012" wp14:editId="0D6E3A81">
                <wp:extent cx="1119505" cy="312420"/>
                <wp:effectExtent l="9525" t="9525" r="13970" b="11430"/>
                <wp:docPr id="62"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9505" cy="312420"/>
                        </a:xfrm>
                        <a:prstGeom prst="roundRect">
                          <a:avLst>
                            <a:gd name="adj" fmla="val 16667"/>
                          </a:avLst>
                        </a:prstGeom>
                        <a:solidFill>
                          <a:srgbClr val="B5333C"/>
                        </a:solidFill>
                        <a:ln w="12700">
                          <a:solidFill>
                            <a:srgbClr val="FFFFFF"/>
                          </a:solidFill>
                          <a:miter lim="800000"/>
                          <a:headEnd/>
                          <a:tailEnd/>
                        </a:ln>
                      </wps:spPr>
                      <wps:txbx>
                        <w:txbxContent>
                          <w:p w14:paraId="4D7EFF94" w14:textId="77777777" w:rsidR="000614FE" w:rsidRPr="00EC5276" w:rsidRDefault="000614FE" w:rsidP="000614FE">
                            <w:pPr>
                              <w:jc w:val="center"/>
                              <w:rPr>
                                <w:b/>
                                <w:color w:val="FFFFFF" w:themeColor="background1"/>
                                <w:szCs w:val="20"/>
                              </w:rPr>
                            </w:pPr>
                            <w:r w:rsidRPr="00EC5276">
                              <w:rPr>
                                <w:b/>
                                <w:color w:val="FFFFFF" w:themeColor="background1"/>
                                <w:szCs w:val="20"/>
                              </w:rPr>
                              <w:t>Self-Sufficiency</w:t>
                            </w:r>
                          </w:p>
                        </w:txbxContent>
                      </wps:txbx>
                      <wps:bodyPr rot="0" vert="horz" wrap="square" lIns="91440" tIns="45720" rIns="91440" bIns="45720" anchor="ctr" anchorCtr="0" upright="1">
                        <a:noAutofit/>
                      </wps:bodyPr>
                    </wps:wsp>
                  </a:graphicData>
                </a:graphic>
              </wp:inline>
            </w:drawing>
          </mc:Choice>
          <mc:Fallback>
            <w:pict>
              <v:roundrect w14:anchorId="52C22012" id="Rectangle: Rounded Corners 98" o:spid="_x0000_s1074" style="width:88.15pt;height:24.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" fillcolor="#b5333c" strokecolor="white" strokeweight="1pt">
                <v:stroke joinstyle="miter"/>
                <v:path arrowok="t"/>
                <v:textbox>
                  <w:txbxContent>
                    <w:p w14:paraId="4D7EFF94" w14:textId="77777777" w:rsidR="000614FE" w:rsidRPr="00EC5276" w:rsidRDefault="000614FE" w:rsidP="000614FE">
                      <w:pPr>
                        <w:jc w:val="center"/>
                        <w:rPr>
                          <w:b/>
                          <w:color w:val="FFFFFF" w:themeColor="background1"/>
                          <w:szCs w:val="20"/>
                        </w:rPr>
                      </w:pPr>
                      <w:r w:rsidRPr="00EC5276">
                        <w:rPr>
                          <w:b/>
                          <w:color w:val="FFFFFF" w:themeColor="background1"/>
                          <w:szCs w:val="20"/>
                        </w:rPr>
                        <w:t>Self-Sufficiency</w:t>
                      </w:r>
                    </w:p>
                  </w:txbxContent>
                </v:textbox>
                <w10:anchorlock/>
              </v:roundrect>
            </w:pict>
          </mc:Fallback>
        </mc:AlternateContent>
      </w:r>
    </w:p>
    <w:p w14:paraId="1416CF78" w14:textId="77777777" w:rsidR="00CF332B" w:rsidRPr="002864AA" w:rsidRDefault="00CF332B" w:rsidP="00CF332B">
      <w:pPr>
        <w:rPr>
          <w:rFonts w:ascii="Century Gothic" w:hAnsi="Century Gothic"/>
          <w:szCs w:val="22"/>
        </w:rPr>
      </w:pPr>
    </w:p>
    <w:p w14:paraId="4A21DF5F" w14:textId="7FB49EBD" w:rsidR="00CF332B" w:rsidRPr="002864AA" w:rsidRDefault="44CA3C25" w:rsidP="0E6C54AB">
      <w:pPr>
        <w:keepNext/>
        <w:keepLines/>
        <w:spacing w:before="120" w:after="80"/>
        <w:outlineLvl w:val="3"/>
        <w:rPr>
          <w:rFonts w:ascii="Century Gothic" w:eastAsiaTheme="majorEastAsia" w:hAnsi="Century Gothic"/>
          <w:b/>
          <w:bCs/>
          <w:color w:val="808080" w:themeColor="background1" w:themeShade="80"/>
          <w:szCs w:val="22"/>
        </w:rPr>
      </w:pPr>
      <w:r w:rsidRPr="002864AA">
        <w:rPr>
          <w:rFonts w:ascii="Century Gothic" w:eastAsiaTheme="majorEastAsia" w:hAnsi="Century Gothic"/>
          <w:b/>
          <w:bCs/>
          <w:color w:val="808080" w:themeColor="background1" w:themeShade="80"/>
          <w:szCs w:val="22"/>
        </w:rPr>
        <w:t>Description</w:t>
      </w:r>
    </w:p>
    <w:p w14:paraId="6015CFD8" w14:textId="4758E47E" w:rsidR="00FB7D27" w:rsidRDefault="383B7673" w:rsidP="0E6C54AB">
      <w:pPr>
        <w:rPr>
          <w:rFonts w:ascii="Century Gothic" w:hAnsi="Century Gothic"/>
          <w:szCs w:val="22"/>
        </w:rPr>
      </w:pPr>
      <w:r w:rsidRPr="002864AA">
        <w:rPr>
          <w:rFonts w:ascii="Century Gothic" w:hAnsi="Century Gothic"/>
          <w:szCs w:val="22"/>
        </w:rPr>
        <w:t>In FY201</w:t>
      </w:r>
      <w:r w:rsidR="63ED1A62" w:rsidRPr="002864AA">
        <w:rPr>
          <w:rFonts w:ascii="Century Gothic" w:hAnsi="Century Gothic"/>
          <w:szCs w:val="22"/>
        </w:rPr>
        <w:t>3</w:t>
      </w:r>
      <w:r w:rsidR="44CA3C25" w:rsidRPr="002864AA">
        <w:rPr>
          <w:rFonts w:ascii="Century Gothic" w:hAnsi="Century Gothic"/>
          <w:szCs w:val="22"/>
        </w:rPr>
        <w:t xml:space="preserve"> ECC/HANH developed a pilot self-sufficiency plan for the Brookside Phase II and Rockview</w:t>
      </w:r>
      <w:r w:rsidR="000B2909">
        <w:rPr>
          <w:rFonts w:ascii="Century Gothic" w:hAnsi="Century Gothic"/>
          <w:szCs w:val="22"/>
        </w:rPr>
        <w:t xml:space="preserve"> I</w:t>
      </w:r>
      <w:r w:rsidR="44CA3C25" w:rsidRPr="002864AA">
        <w:rPr>
          <w:rFonts w:ascii="Century Gothic" w:hAnsi="Century Gothic"/>
          <w:szCs w:val="22"/>
        </w:rPr>
        <w:t xml:space="preserve"> development</w:t>
      </w:r>
      <w:r w:rsidR="002864AA">
        <w:rPr>
          <w:rFonts w:ascii="Century Gothic" w:hAnsi="Century Gothic"/>
          <w:szCs w:val="22"/>
        </w:rPr>
        <w:t>s</w:t>
      </w:r>
      <w:r w:rsidR="44CA3C25" w:rsidRPr="002864AA">
        <w:rPr>
          <w:rFonts w:ascii="Century Gothic" w:hAnsi="Century Gothic"/>
          <w:szCs w:val="22"/>
        </w:rPr>
        <w:t xml:space="preserve"> that encompassed HUD’s continued mission to increase self-sufficiency among residents and promote accountability. </w:t>
      </w:r>
    </w:p>
    <w:p w14:paraId="148EB175" w14:textId="77777777" w:rsidR="00FB7D27" w:rsidRDefault="00FB7D27" w:rsidP="0E6C54AB">
      <w:pPr>
        <w:rPr>
          <w:rFonts w:ascii="Century Gothic" w:hAnsi="Century Gothic"/>
          <w:szCs w:val="22"/>
        </w:rPr>
      </w:pPr>
    </w:p>
    <w:p w14:paraId="721A0127" w14:textId="157DC22B" w:rsidR="00CF332B" w:rsidRPr="002864AA" w:rsidRDefault="44CA3C25" w:rsidP="0E6C54AB">
      <w:pPr>
        <w:rPr>
          <w:rFonts w:ascii="Century Gothic" w:hAnsi="Century Gothic"/>
          <w:szCs w:val="22"/>
        </w:rPr>
      </w:pPr>
      <w:r w:rsidRPr="002864AA">
        <w:rPr>
          <w:rFonts w:ascii="Century Gothic" w:hAnsi="Century Gothic"/>
          <w:szCs w:val="22"/>
        </w:rPr>
        <w:t xml:space="preserve">The C.A.R.E.S. Program (Caring About Resident Economic Self-Sufficiency) introduced the concept of term limits into the public housing and Section 8 programs administered by ECC/HANH. All residents, except those who are exempt under the program requirements, will be subject to a 72-month time limit on receiving rental assistance. </w:t>
      </w:r>
    </w:p>
    <w:p w14:paraId="4236BB1D" w14:textId="7347022C" w:rsidR="00CF332B" w:rsidRPr="002864AA" w:rsidRDefault="00CF332B" w:rsidP="0E6C54AB">
      <w:pPr>
        <w:rPr>
          <w:rFonts w:ascii="Century Gothic" w:hAnsi="Century Gothic"/>
          <w:szCs w:val="22"/>
        </w:rPr>
      </w:pPr>
    </w:p>
    <w:p w14:paraId="3EE2FD32" w14:textId="77777777" w:rsidR="0020054F" w:rsidRDefault="44CA3C25" w:rsidP="0E6C54AB">
      <w:pPr>
        <w:rPr>
          <w:rFonts w:ascii="Century Gothic" w:hAnsi="Century Gothic"/>
          <w:szCs w:val="22"/>
        </w:rPr>
      </w:pPr>
      <w:r w:rsidRPr="002864AA">
        <w:rPr>
          <w:rFonts w:ascii="Century Gothic" w:hAnsi="Century Gothic"/>
          <w:szCs w:val="22"/>
        </w:rPr>
        <w:t xml:space="preserve">The second component of the program requires certain individuals to participate in an extensive 24-month case management, supportive services program designed to overcome barriers to becoming self-sufficient. </w:t>
      </w:r>
    </w:p>
    <w:p w14:paraId="0559717C" w14:textId="77777777" w:rsidR="0020054F" w:rsidRDefault="0020054F" w:rsidP="0E6C54AB">
      <w:pPr>
        <w:rPr>
          <w:rFonts w:ascii="Century Gothic" w:hAnsi="Century Gothic"/>
          <w:szCs w:val="22"/>
        </w:rPr>
      </w:pPr>
    </w:p>
    <w:p w14:paraId="108322DF" w14:textId="40B1F038" w:rsidR="00CF332B" w:rsidRPr="002864AA" w:rsidRDefault="44CA3C25" w:rsidP="0E6C54AB">
      <w:pPr>
        <w:rPr>
          <w:rFonts w:ascii="Century Gothic" w:hAnsi="Century Gothic"/>
          <w:szCs w:val="22"/>
        </w:rPr>
      </w:pPr>
      <w:r w:rsidRPr="002864AA">
        <w:rPr>
          <w:rFonts w:ascii="Century Gothic" w:hAnsi="Century Gothic"/>
          <w:szCs w:val="22"/>
        </w:rPr>
        <w:t xml:space="preserve">Residents returning to Brookside Phase I after redevelopment </w:t>
      </w:r>
      <w:r w:rsidR="7489EFA3" w:rsidRPr="002864AA">
        <w:rPr>
          <w:rFonts w:ascii="Century Gothic" w:hAnsi="Century Gothic"/>
          <w:szCs w:val="22"/>
        </w:rPr>
        <w:t>were</w:t>
      </w:r>
      <w:r w:rsidRPr="002864AA">
        <w:rPr>
          <w:rFonts w:ascii="Century Gothic" w:hAnsi="Century Gothic"/>
          <w:szCs w:val="22"/>
        </w:rPr>
        <w:t xml:space="preserve"> exempt but </w:t>
      </w:r>
      <w:r w:rsidR="7110D859" w:rsidRPr="002864AA">
        <w:rPr>
          <w:rFonts w:ascii="Century Gothic" w:hAnsi="Century Gothic"/>
          <w:szCs w:val="22"/>
        </w:rPr>
        <w:t xml:space="preserve">could </w:t>
      </w:r>
      <w:r w:rsidRPr="002864AA">
        <w:rPr>
          <w:rFonts w:ascii="Century Gothic" w:hAnsi="Century Gothic"/>
          <w:szCs w:val="22"/>
        </w:rPr>
        <w:t xml:space="preserve">voluntarily participate in the program. ECC/HANH </w:t>
      </w:r>
      <w:r w:rsidR="1B79A0F9" w:rsidRPr="002864AA">
        <w:rPr>
          <w:rFonts w:ascii="Century Gothic" w:hAnsi="Century Gothic"/>
          <w:szCs w:val="22"/>
        </w:rPr>
        <w:t xml:space="preserve">is </w:t>
      </w:r>
      <w:r w:rsidRPr="002864AA">
        <w:rPr>
          <w:rFonts w:ascii="Century Gothic" w:hAnsi="Century Gothic"/>
          <w:szCs w:val="22"/>
        </w:rPr>
        <w:t>us</w:t>
      </w:r>
      <w:r w:rsidR="38082451" w:rsidRPr="002864AA">
        <w:rPr>
          <w:rFonts w:ascii="Century Gothic" w:hAnsi="Century Gothic"/>
          <w:szCs w:val="22"/>
        </w:rPr>
        <w:t>ing</w:t>
      </w:r>
      <w:r w:rsidRPr="002864AA">
        <w:rPr>
          <w:rFonts w:ascii="Century Gothic" w:hAnsi="Century Gothic"/>
          <w:szCs w:val="22"/>
        </w:rPr>
        <w:t xml:space="preserve"> its MTW flexibility to fund the required social services component of this program.</w:t>
      </w:r>
    </w:p>
    <w:p w14:paraId="11DD72F2" w14:textId="77777777" w:rsidR="00CF332B" w:rsidRPr="002864AA" w:rsidRDefault="00CF332B" w:rsidP="00CF332B">
      <w:pPr>
        <w:rPr>
          <w:rFonts w:ascii="Century Gothic" w:hAnsi="Century Gothic"/>
          <w:szCs w:val="22"/>
        </w:rPr>
      </w:pPr>
    </w:p>
    <w:p w14:paraId="70ACFF23" w14:textId="77777777" w:rsidR="000B2909" w:rsidRDefault="00CF332B" w:rsidP="2A137AEF">
      <w:pPr>
        <w:rPr>
          <w:rFonts w:ascii="Century Gothic" w:hAnsi="Century Gothic"/>
          <w:szCs w:val="22"/>
        </w:rPr>
      </w:pPr>
      <w:r w:rsidRPr="002864AA">
        <w:rPr>
          <w:rFonts w:ascii="Century Gothic" w:hAnsi="Century Gothic"/>
          <w:szCs w:val="22"/>
        </w:rPr>
        <w:t xml:space="preserve">Prior to signing a lease at the newly redeveloped Brookside Phase II </w:t>
      </w:r>
      <w:r w:rsidR="23F62A87" w:rsidRPr="002864AA">
        <w:rPr>
          <w:rFonts w:ascii="Century Gothic" w:hAnsi="Century Gothic"/>
          <w:szCs w:val="22"/>
        </w:rPr>
        <w:t xml:space="preserve">and Rockview I </w:t>
      </w:r>
      <w:r w:rsidRPr="002864AA">
        <w:rPr>
          <w:rFonts w:ascii="Century Gothic" w:hAnsi="Century Gothic"/>
          <w:szCs w:val="22"/>
        </w:rPr>
        <w:t xml:space="preserve">site, all residents will have a pre-orientation that will explain the CARES Program. </w:t>
      </w:r>
    </w:p>
    <w:p w14:paraId="646255F0" w14:textId="77777777" w:rsidR="000B2909" w:rsidRDefault="000B2909" w:rsidP="2A137AEF">
      <w:pPr>
        <w:rPr>
          <w:rFonts w:ascii="Century Gothic" w:hAnsi="Century Gothic"/>
          <w:szCs w:val="22"/>
        </w:rPr>
      </w:pPr>
    </w:p>
    <w:p w14:paraId="778F6EA6" w14:textId="795C48D0" w:rsidR="00CF332B" w:rsidRPr="002864AA" w:rsidRDefault="00CF332B" w:rsidP="2A137AEF">
      <w:pPr>
        <w:rPr>
          <w:rFonts w:ascii="Century Gothic" w:hAnsi="Century Gothic"/>
          <w:szCs w:val="22"/>
        </w:rPr>
      </w:pPr>
      <w:r w:rsidRPr="002864AA">
        <w:rPr>
          <w:rFonts w:ascii="Century Gothic" w:hAnsi="Century Gothic"/>
          <w:szCs w:val="22"/>
        </w:rPr>
        <w:t xml:space="preserve">At the end of the 72-month limit receiving rental assistance, the rent will be adjusted to a flat rent (public housing) or market rent (PBV), less any prorated assistance for household members who are seniors, 18 years of age or under, disabled or otherwise exempt, as described in the plan. </w:t>
      </w:r>
    </w:p>
    <w:p w14:paraId="5494D41C" w14:textId="77777777" w:rsidR="00CF332B" w:rsidRPr="002864AA" w:rsidRDefault="00CF332B" w:rsidP="00CF332B">
      <w:pPr>
        <w:rPr>
          <w:rFonts w:ascii="Century Gothic" w:hAnsi="Century Gothic"/>
          <w:szCs w:val="22"/>
        </w:rPr>
      </w:pPr>
    </w:p>
    <w:p w14:paraId="6C9A0F1C" w14:textId="687F1D5D" w:rsidR="00CF332B" w:rsidRDefault="00CF332B" w:rsidP="00CF332B">
      <w:pPr>
        <w:rPr>
          <w:rFonts w:ascii="Century Gothic" w:hAnsi="Century Gothic"/>
          <w:szCs w:val="22"/>
        </w:rPr>
      </w:pPr>
      <w:r w:rsidRPr="002864AA">
        <w:rPr>
          <w:rFonts w:ascii="Century Gothic" w:hAnsi="Century Gothic"/>
          <w:szCs w:val="22"/>
        </w:rPr>
        <w:t xml:space="preserve">ECC/HANH recognizes that there are individuals </w:t>
      </w:r>
      <w:proofErr w:type="gramStart"/>
      <w:r w:rsidRPr="002864AA">
        <w:rPr>
          <w:rFonts w:ascii="Century Gothic" w:hAnsi="Century Gothic"/>
          <w:szCs w:val="22"/>
        </w:rPr>
        <w:t>who</w:t>
      </w:r>
      <w:proofErr w:type="gramEnd"/>
      <w:r w:rsidRPr="002864AA">
        <w:rPr>
          <w:rFonts w:ascii="Century Gothic" w:hAnsi="Century Gothic"/>
          <w:szCs w:val="22"/>
        </w:rPr>
        <w:t xml:space="preserve"> due to no fault of their </w:t>
      </w:r>
      <w:proofErr w:type="gramStart"/>
      <w:r w:rsidRPr="002864AA">
        <w:rPr>
          <w:rFonts w:ascii="Century Gothic" w:hAnsi="Century Gothic"/>
          <w:szCs w:val="22"/>
        </w:rPr>
        <w:t>own</w:t>
      </w:r>
      <w:proofErr w:type="gramEnd"/>
      <w:r w:rsidRPr="002864AA">
        <w:rPr>
          <w:rFonts w:ascii="Century Gothic" w:hAnsi="Century Gothic"/>
          <w:szCs w:val="22"/>
        </w:rPr>
        <w:t xml:space="preserve"> will not be able to achieve self-sufficiency on their own. Non-exempt individuals who have an Individual Service Plan (ISP) and case </w:t>
      </w:r>
      <w:r w:rsidR="009561DE" w:rsidRPr="002864AA">
        <w:rPr>
          <w:rFonts w:ascii="Century Gothic" w:hAnsi="Century Gothic"/>
          <w:szCs w:val="22"/>
        </w:rPr>
        <w:t>manag</w:t>
      </w:r>
      <w:r w:rsidR="009561DE">
        <w:rPr>
          <w:rFonts w:ascii="Century Gothic" w:hAnsi="Century Gothic"/>
          <w:szCs w:val="22"/>
        </w:rPr>
        <w:t>ement</w:t>
      </w:r>
      <w:r w:rsidR="009561DE" w:rsidRPr="002864AA">
        <w:rPr>
          <w:rFonts w:ascii="Century Gothic" w:hAnsi="Century Gothic"/>
          <w:szCs w:val="22"/>
        </w:rPr>
        <w:t xml:space="preserve"> </w:t>
      </w:r>
      <w:r w:rsidRPr="002864AA">
        <w:rPr>
          <w:rFonts w:ascii="Century Gothic" w:hAnsi="Century Gothic"/>
          <w:szCs w:val="22"/>
        </w:rPr>
        <w:t xml:space="preserve">and show progress towards the goals of the plan will continue to be able to receive rental assistance if they continue to make progress towards their goals. There are two levels of engagement in the program: Full CARES and Transition CARES. This engagement is outlined here:  </w:t>
      </w:r>
    </w:p>
    <w:p w14:paraId="153F8CE0" w14:textId="77777777" w:rsidR="00C26AE4" w:rsidRDefault="00C26AE4" w:rsidP="00CF332B">
      <w:pPr>
        <w:rPr>
          <w:rFonts w:ascii="Century Gothic" w:hAnsi="Century Gothic"/>
          <w:szCs w:val="22"/>
        </w:rPr>
      </w:pPr>
    </w:p>
    <w:tbl>
      <w:tblPr>
        <w:tblW w:w="0" w:type="auto"/>
        <w:tblCellMar>
          <w:left w:w="0" w:type="dxa"/>
          <w:right w:w="0" w:type="dxa"/>
        </w:tblCellMar>
        <w:tblLook w:val="04A0" w:firstRow="1" w:lastRow="0" w:firstColumn="1" w:lastColumn="0" w:noHBand="0" w:noVBand="1"/>
      </w:tblPr>
      <w:tblGrid>
        <w:gridCol w:w="4963"/>
        <w:gridCol w:w="4963"/>
      </w:tblGrid>
      <w:tr w:rsidR="00CF332B" w:rsidRPr="002864AA" w14:paraId="009CE10C" w14:textId="77777777" w:rsidTr="00C26AE4">
        <w:tc>
          <w:tcPr>
            <w:tcW w:w="4963" w:type="dxa"/>
            <w:tcBorders>
              <w:top w:val="single" w:sz="4" w:space="0" w:color="auto"/>
              <w:left w:val="single" w:sz="4" w:space="0" w:color="auto"/>
              <w:right w:val="single" w:sz="4" w:space="0" w:color="auto"/>
            </w:tcBorders>
            <w:tcMar>
              <w:top w:w="0" w:type="dxa"/>
              <w:left w:w="108" w:type="dxa"/>
              <w:bottom w:w="0" w:type="dxa"/>
              <w:right w:w="108" w:type="dxa"/>
            </w:tcMar>
            <w:hideMark/>
          </w:tcPr>
          <w:p w14:paraId="760B8868" w14:textId="77777777" w:rsidR="00CF332B" w:rsidRDefault="00CF332B" w:rsidP="00C26AE4">
            <w:pPr>
              <w:spacing w:before="240"/>
              <w:jc w:val="center"/>
              <w:rPr>
                <w:rFonts w:ascii="Century Gothic" w:hAnsi="Century Gothic"/>
                <w:b/>
                <w:bCs/>
                <w:szCs w:val="22"/>
              </w:rPr>
            </w:pPr>
            <w:r w:rsidRPr="002864AA">
              <w:rPr>
                <w:rFonts w:ascii="Century Gothic" w:hAnsi="Century Gothic"/>
                <w:b/>
                <w:bCs/>
                <w:szCs w:val="22"/>
              </w:rPr>
              <w:t>Full CARES Participant</w:t>
            </w:r>
          </w:p>
          <w:p w14:paraId="6D429650" w14:textId="77777777" w:rsidR="00C26AE4" w:rsidRPr="002864AA" w:rsidRDefault="00C26AE4" w:rsidP="00C26AE4">
            <w:pPr>
              <w:spacing w:before="240"/>
              <w:jc w:val="center"/>
              <w:rPr>
                <w:rFonts w:ascii="Century Gothic" w:hAnsi="Century Gothic"/>
                <w:b/>
                <w:bCs/>
                <w:szCs w:val="22"/>
              </w:rPr>
            </w:pPr>
          </w:p>
        </w:tc>
        <w:tc>
          <w:tcPr>
            <w:tcW w:w="4963" w:type="dxa"/>
            <w:tcBorders>
              <w:top w:val="single" w:sz="4" w:space="0" w:color="auto"/>
              <w:left w:val="single" w:sz="4" w:space="0" w:color="auto"/>
              <w:right w:val="single" w:sz="4" w:space="0" w:color="auto"/>
            </w:tcBorders>
            <w:tcMar>
              <w:top w:w="0" w:type="dxa"/>
              <w:left w:w="108" w:type="dxa"/>
              <w:bottom w:w="0" w:type="dxa"/>
              <w:right w:w="108" w:type="dxa"/>
            </w:tcMar>
            <w:hideMark/>
          </w:tcPr>
          <w:p w14:paraId="2E8D5FB1" w14:textId="77777777" w:rsidR="00CF332B" w:rsidRPr="002864AA" w:rsidRDefault="00CF332B" w:rsidP="00C26AE4">
            <w:pPr>
              <w:spacing w:before="240"/>
              <w:jc w:val="center"/>
              <w:rPr>
                <w:rFonts w:ascii="Century Gothic" w:hAnsi="Century Gothic"/>
                <w:b/>
                <w:bCs/>
                <w:szCs w:val="22"/>
              </w:rPr>
            </w:pPr>
            <w:r w:rsidRPr="002864AA">
              <w:rPr>
                <w:rFonts w:ascii="Century Gothic" w:hAnsi="Century Gothic"/>
                <w:b/>
                <w:bCs/>
                <w:szCs w:val="22"/>
              </w:rPr>
              <w:t>Transition CARES Participant</w:t>
            </w:r>
          </w:p>
        </w:tc>
      </w:tr>
      <w:tr w:rsidR="00CF332B" w:rsidRPr="002864AA" w14:paraId="75051120" w14:textId="77777777" w:rsidTr="00C26AE4">
        <w:tc>
          <w:tcPr>
            <w:tcW w:w="4963" w:type="dxa"/>
            <w:tcBorders>
              <w:left w:val="single" w:sz="4" w:space="0" w:color="auto"/>
              <w:right w:val="single" w:sz="4" w:space="0" w:color="auto"/>
            </w:tcBorders>
            <w:tcMar>
              <w:top w:w="0" w:type="dxa"/>
              <w:left w:w="108" w:type="dxa"/>
              <w:bottom w:w="0" w:type="dxa"/>
              <w:right w:w="108" w:type="dxa"/>
            </w:tcMar>
            <w:hideMark/>
          </w:tcPr>
          <w:p w14:paraId="1D723160" w14:textId="77777777" w:rsidR="00CF332B" w:rsidRPr="00AB4125" w:rsidRDefault="00CF332B" w:rsidP="00AB4125">
            <w:pPr>
              <w:rPr>
                <w:rFonts w:ascii="Century Gothic" w:eastAsia="Times New Roman" w:hAnsi="Century Gothic"/>
                <w:szCs w:val="22"/>
              </w:rPr>
            </w:pPr>
            <w:r w:rsidRPr="00AB4125">
              <w:rPr>
                <w:rFonts w:ascii="Century Gothic" w:eastAsia="Times New Roman" w:hAnsi="Century Gothic"/>
                <w:szCs w:val="22"/>
              </w:rPr>
              <w:t>Has education and job skills that match demand in labor market</w:t>
            </w:r>
          </w:p>
        </w:tc>
        <w:tc>
          <w:tcPr>
            <w:tcW w:w="4963" w:type="dxa"/>
            <w:tcBorders>
              <w:left w:val="single" w:sz="4" w:space="0" w:color="auto"/>
              <w:right w:val="single" w:sz="4" w:space="0" w:color="auto"/>
            </w:tcBorders>
            <w:tcMar>
              <w:top w:w="0" w:type="dxa"/>
              <w:left w:w="108" w:type="dxa"/>
              <w:bottom w:w="0" w:type="dxa"/>
              <w:right w:w="108" w:type="dxa"/>
            </w:tcMar>
            <w:hideMark/>
          </w:tcPr>
          <w:p w14:paraId="40DCE334" w14:textId="77777777" w:rsidR="00CF332B" w:rsidRPr="002864AA" w:rsidRDefault="00CF332B" w:rsidP="00AB4125">
            <w:pPr>
              <w:contextualSpacing/>
              <w:rPr>
                <w:rFonts w:ascii="Century Gothic" w:eastAsia="Times New Roman" w:hAnsi="Century Gothic"/>
                <w:szCs w:val="22"/>
              </w:rPr>
            </w:pPr>
            <w:r w:rsidRPr="002864AA">
              <w:rPr>
                <w:rFonts w:ascii="Century Gothic" w:eastAsia="Times New Roman" w:hAnsi="Century Gothic"/>
                <w:szCs w:val="22"/>
              </w:rPr>
              <w:t>Does not have education and/or job skills that match demand in labor market</w:t>
            </w:r>
          </w:p>
        </w:tc>
      </w:tr>
      <w:tr w:rsidR="00CF332B" w:rsidRPr="002864AA" w14:paraId="0587D056" w14:textId="77777777" w:rsidTr="00C26AE4">
        <w:tc>
          <w:tcPr>
            <w:tcW w:w="4963" w:type="dxa"/>
            <w:tcBorders>
              <w:left w:val="single" w:sz="4" w:space="0" w:color="auto"/>
              <w:bottom w:val="single" w:sz="4" w:space="0" w:color="auto"/>
              <w:right w:val="single" w:sz="4" w:space="0" w:color="auto"/>
            </w:tcBorders>
            <w:tcMar>
              <w:top w:w="0" w:type="dxa"/>
              <w:left w:w="108" w:type="dxa"/>
              <w:bottom w:w="0" w:type="dxa"/>
              <w:right w:w="108" w:type="dxa"/>
            </w:tcMar>
            <w:hideMark/>
          </w:tcPr>
          <w:p w14:paraId="565DC442" w14:textId="77777777" w:rsidR="00AB4125" w:rsidRDefault="00AB4125" w:rsidP="00AB4125">
            <w:pPr>
              <w:spacing w:before="240"/>
              <w:contextualSpacing/>
              <w:rPr>
                <w:rFonts w:ascii="Century Gothic" w:eastAsia="Times New Roman" w:hAnsi="Century Gothic"/>
                <w:szCs w:val="22"/>
              </w:rPr>
            </w:pPr>
          </w:p>
          <w:p w14:paraId="5E6EE8DE" w14:textId="7381D1E2" w:rsidR="00CF332B" w:rsidRPr="002864AA" w:rsidRDefault="00CF332B" w:rsidP="00AB4125">
            <w:pPr>
              <w:spacing w:before="240"/>
              <w:contextualSpacing/>
              <w:rPr>
                <w:rFonts w:ascii="Century Gothic" w:eastAsia="Times New Roman" w:hAnsi="Century Gothic"/>
                <w:szCs w:val="22"/>
              </w:rPr>
            </w:pPr>
            <w:r w:rsidRPr="002864AA">
              <w:rPr>
                <w:rFonts w:ascii="Century Gothic" w:eastAsia="Times New Roman" w:hAnsi="Century Gothic"/>
                <w:szCs w:val="22"/>
              </w:rPr>
              <w:t xml:space="preserve">Typically </w:t>
            </w:r>
            <w:proofErr w:type="gramStart"/>
            <w:r w:rsidRPr="002864AA">
              <w:rPr>
                <w:rFonts w:ascii="Century Gothic" w:eastAsia="Times New Roman" w:hAnsi="Century Gothic"/>
                <w:szCs w:val="22"/>
              </w:rPr>
              <w:t>works</w:t>
            </w:r>
            <w:proofErr w:type="gramEnd"/>
            <w:r w:rsidRPr="002864AA">
              <w:rPr>
                <w:rFonts w:ascii="Century Gothic" w:eastAsia="Times New Roman" w:hAnsi="Century Gothic"/>
                <w:szCs w:val="22"/>
              </w:rPr>
              <w:t xml:space="preserve"> full-time and </w:t>
            </w:r>
            <w:proofErr w:type="gramStart"/>
            <w:r w:rsidRPr="002864AA">
              <w:rPr>
                <w:rFonts w:ascii="Century Gothic" w:eastAsia="Times New Roman" w:hAnsi="Century Gothic"/>
                <w:szCs w:val="22"/>
              </w:rPr>
              <w:t>earns</w:t>
            </w:r>
            <w:proofErr w:type="gramEnd"/>
            <w:r w:rsidRPr="002864AA">
              <w:rPr>
                <w:rFonts w:ascii="Century Gothic" w:eastAsia="Times New Roman" w:hAnsi="Century Gothic"/>
                <w:szCs w:val="22"/>
              </w:rPr>
              <w:t xml:space="preserve"> a livable wage</w:t>
            </w:r>
          </w:p>
        </w:tc>
        <w:tc>
          <w:tcPr>
            <w:tcW w:w="4963" w:type="dxa"/>
            <w:tcBorders>
              <w:left w:val="single" w:sz="4" w:space="0" w:color="auto"/>
              <w:bottom w:val="single" w:sz="4" w:space="0" w:color="auto"/>
              <w:right w:val="single" w:sz="4" w:space="0" w:color="auto"/>
            </w:tcBorders>
            <w:tcMar>
              <w:top w:w="0" w:type="dxa"/>
              <w:left w:w="108" w:type="dxa"/>
              <w:bottom w:w="0" w:type="dxa"/>
              <w:right w:w="108" w:type="dxa"/>
            </w:tcMar>
          </w:tcPr>
          <w:p w14:paraId="7246145B" w14:textId="77777777" w:rsidR="00CF332B" w:rsidRPr="002864AA" w:rsidRDefault="00CF332B" w:rsidP="00AB4125">
            <w:pPr>
              <w:spacing w:before="240"/>
              <w:contextualSpacing/>
              <w:rPr>
                <w:rFonts w:ascii="Century Gothic" w:eastAsia="Times New Roman" w:hAnsi="Century Gothic"/>
                <w:szCs w:val="22"/>
              </w:rPr>
            </w:pPr>
            <w:r w:rsidRPr="002864AA">
              <w:rPr>
                <w:rFonts w:ascii="Century Gothic" w:eastAsia="Times New Roman" w:hAnsi="Century Gothic"/>
                <w:szCs w:val="22"/>
              </w:rPr>
              <w:t xml:space="preserve">Typically </w:t>
            </w:r>
            <w:proofErr w:type="gramStart"/>
            <w:r w:rsidRPr="002864AA">
              <w:rPr>
                <w:rFonts w:ascii="Century Gothic" w:eastAsia="Times New Roman" w:hAnsi="Century Gothic"/>
                <w:szCs w:val="22"/>
              </w:rPr>
              <w:t>works</w:t>
            </w:r>
            <w:proofErr w:type="gramEnd"/>
            <w:r w:rsidRPr="002864AA">
              <w:rPr>
                <w:rFonts w:ascii="Century Gothic" w:eastAsia="Times New Roman" w:hAnsi="Century Gothic"/>
                <w:szCs w:val="22"/>
              </w:rPr>
              <w:t xml:space="preserve"> part-time and/or </w:t>
            </w:r>
            <w:proofErr w:type="gramStart"/>
            <w:r w:rsidRPr="002864AA">
              <w:rPr>
                <w:rFonts w:ascii="Century Gothic" w:eastAsia="Times New Roman" w:hAnsi="Century Gothic"/>
                <w:szCs w:val="22"/>
              </w:rPr>
              <w:t>needs</w:t>
            </w:r>
            <w:proofErr w:type="gramEnd"/>
            <w:r w:rsidRPr="002864AA">
              <w:rPr>
                <w:rFonts w:ascii="Century Gothic" w:eastAsia="Times New Roman" w:hAnsi="Century Gothic"/>
                <w:szCs w:val="22"/>
              </w:rPr>
              <w:t xml:space="preserve"> job training to obtain higher wages or full-time employment</w:t>
            </w:r>
          </w:p>
        </w:tc>
      </w:tr>
    </w:tbl>
    <w:p w14:paraId="371AA339" w14:textId="475DFF35" w:rsidR="1B3F2E6D" w:rsidRPr="002864AA" w:rsidRDefault="1B3F2E6D">
      <w:pPr>
        <w:rPr>
          <w:rFonts w:ascii="Century Gothic" w:hAnsi="Century Gothic"/>
          <w:szCs w:val="22"/>
        </w:rPr>
      </w:pPr>
    </w:p>
    <w:p w14:paraId="46502EA9" w14:textId="77777777" w:rsidR="00CF332B" w:rsidRPr="002864AA" w:rsidRDefault="00CF332B" w:rsidP="00CF332B">
      <w:pPr>
        <w:rPr>
          <w:rFonts w:ascii="Century Gothic" w:eastAsiaTheme="minorHAnsi" w:hAnsi="Century Gothic"/>
          <w:szCs w:val="22"/>
        </w:rPr>
      </w:pPr>
    </w:p>
    <w:p w14:paraId="7A3C7BA1" w14:textId="77777777" w:rsidR="007713C3" w:rsidRPr="002864AA" w:rsidRDefault="44CA3C25" w:rsidP="0E6C54AB">
      <w:pPr>
        <w:rPr>
          <w:rFonts w:ascii="Century Gothic" w:hAnsi="Century Gothic"/>
          <w:szCs w:val="22"/>
        </w:rPr>
      </w:pPr>
      <w:r w:rsidRPr="002864AA">
        <w:rPr>
          <w:rFonts w:ascii="Century Gothic" w:hAnsi="Century Gothic"/>
          <w:szCs w:val="22"/>
        </w:rPr>
        <w:t xml:space="preserve">Residents and participants are incentivized to enroll in the CARES program because of the intensive supportive services offered, the escrow payment, and the increased control over the use of their escrow account funds (including subsidy dollars). </w:t>
      </w:r>
    </w:p>
    <w:p w14:paraId="355A50DF" w14:textId="77777777" w:rsidR="007713C3" w:rsidRPr="002864AA" w:rsidRDefault="007713C3" w:rsidP="0E6C54AB">
      <w:pPr>
        <w:rPr>
          <w:rFonts w:ascii="Century Gothic" w:hAnsi="Century Gothic"/>
          <w:szCs w:val="22"/>
        </w:rPr>
      </w:pPr>
    </w:p>
    <w:p w14:paraId="0D1AE4CF" w14:textId="0C8DD9EC" w:rsidR="00CF332B" w:rsidRPr="002864AA" w:rsidRDefault="44CA3C25" w:rsidP="0E6C54AB">
      <w:pPr>
        <w:rPr>
          <w:rFonts w:ascii="Century Gothic" w:hAnsi="Century Gothic"/>
          <w:szCs w:val="22"/>
          <w:lang w:eastAsia="en-US"/>
        </w:rPr>
      </w:pPr>
      <w:r w:rsidRPr="002864AA">
        <w:rPr>
          <w:rFonts w:ascii="Century Gothic" w:hAnsi="Century Gothic"/>
          <w:szCs w:val="22"/>
        </w:rPr>
        <w:t xml:space="preserve">In addition to the intensive supportive services </w:t>
      </w:r>
      <w:r w:rsidR="00AC37C7">
        <w:rPr>
          <w:rFonts w:ascii="Century Gothic" w:hAnsi="Century Gothic"/>
          <w:szCs w:val="22"/>
        </w:rPr>
        <w:t>(</w:t>
      </w:r>
      <w:r w:rsidRPr="002864AA">
        <w:rPr>
          <w:rFonts w:ascii="Century Gothic" w:hAnsi="Century Gothic"/>
          <w:szCs w:val="22"/>
        </w:rPr>
        <w:t>for 24 months during the 72-month rental period</w:t>
      </w:r>
      <w:r w:rsidR="00AC37C7">
        <w:rPr>
          <w:rFonts w:ascii="Century Gothic" w:hAnsi="Century Gothic"/>
          <w:szCs w:val="22"/>
        </w:rPr>
        <w:t>)</w:t>
      </w:r>
      <w:r w:rsidRPr="002864AA">
        <w:rPr>
          <w:rFonts w:ascii="Century Gothic" w:hAnsi="Century Gothic"/>
          <w:szCs w:val="22"/>
        </w:rPr>
        <w:t xml:space="preserve">, residents </w:t>
      </w:r>
      <w:r w:rsidR="4399D4FB" w:rsidRPr="002864AA">
        <w:rPr>
          <w:rFonts w:ascii="Century Gothic" w:hAnsi="Century Gothic"/>
          <w:szCs w:val="22"/>
        </w:rPr>
        <w:t xml:space="preserve">can </w:t>
      </w:r>
      <w:r w:rsidRPr="002864AA">
        <w:rPr>
          <w:rFonts w:ascii="Century Gothic" w:hAnsi="Century Gothic"/>
          <w:szCs w:val="22"/>
        </w:rPr>
        <w:t>also receive a lump sum payment</w:t>
      </w:r>
      <w:r w:rsidR="4B5F0F97" w:rsidRPr="002864AA">
        <w:rPr>
          <w:rFonts w:ascii="Century Gothic" w:hAnsi="Century Gothic"/>
          <w:szCs w:val="22"/>
        </w:rPr>
        <w:t xml:space="preserve"> from an escrow account</w:t>
      </w:r>
      <w:r w:rsidRPr="002864AA">
        <w:rPr>
          <w:rFonts w:ascii="Century Gothic" w:hAnsi="Century Gothic"/>
          <w:szCs w:val="22"/>
        </w:rPr>
        <w:t xml:space="preserve">. </w:t>
      </w:r>
      <w:r w:rsidR="30D8A7FF" w:rsidRPr="002864AA">
        <w:rPr>
          <w:rFonts w:ascii="Century Gothic" w:hAnsi="Century Gothic"/>
          <w:szCs w:val="22"/>
        </w:rPr>
        <w:t xml:space="preserve"> Funds are</w:t>
      </w:r>
      <w:r w:rsidRPr="002864AA">
        <w:rPr>
          <w:rFonts w:ascii="Century Gothic" w:hAnsi="Century Gothic"/>
          <w:szCs w:val="22"/>
        </w:rPr>
        <w:t xml:space="preserve"> deposited into </w:t>
      </w:r>
      <w:r w:rsidR="12F154C5" w:rsidRPr="002864AA">
        <w:rPr>
          <w:rFonts w:ascii="Century Gothic" w:hAnsi="Century Gothic"/>
          <w:szCs w:val="22"/>
        </w:rPr>
        <w:t xml:space="preserve">a </w:t>
      </w:r>
      <w:r w:rsidRPr="002864AA">
        <w:rPr>
          <w:rFonts w:ascii="Century Gothic" w:hAnsi="Century Gothic"/>
          <w:szCs w:val="22"/>
        </w:rPr>
        <w:t>REEF</w:t>
      </w:r>
      <w:r w:rsidR="751C9D59" w:rsidRPr="002864AA">
        <w:rPr>
          <w:rFonts w:ascii="Century Gothic" w:hAnsi="Century Gothic"/>
          <w:szCs w:val="22"/>
        </w:rPr>
        <w:t xml:space="preserve"> account</w:t>
      </w:r>
      <w:r w:rsidRPr="002864AA">
        <w:rPr>
          <w:rFonts w:ascii="Century Gothic" w:hAnsi="Century Gothic"/>
          <w:szCs w:val="22"/>
        </w:rPr>
        <w:t xml:space="preserve"> and released upon</w:t>
      </w:r>
      <w:r w:rsidR="1EA75305" w:rsidRPr="002864AA">
        <w:rPr>
          <w:rFonts w:ascii="Century Gothic" w:hAnsi="Century Gothic"/>
          <w:szCs w:val="22"/>
        </w:rPr>
        <w:t xml:space="preserve"> the participant’s</w:t>
      </w:r>
      <w:r w:rsidRPr="002864AA">
        <w:rPr>
          <w:rFonts w:ascii="Century Gothic" w:hAnsi="Century Gothic"/>
          <w:szCs w:val="22"/>
        </w:rPr>
        <w:t xml:space="preserve"> graduation from CARES. The monthly subsidy payment will be pre-determined at an initial assessment conducted prior to lease up.</w:t>
      </w:r>
    </w:p>
    <w:p w14:paraId="5BC8A3C0" w14:textId="77777777" w:rsidR="00CF332B" w:rsidRPr="002864AA" w:rsidRDefault="00CF332B" w:rsidP="00CF332B">
      <w:pPr>
        <w:rPr>
          <w:rFonts w:ascii="Century Gothic" w:hAnsi="Century Gothic"/>
          <w:szCs w:val="22"/>
        </w:rPr>
      </w:pPr>
    </w:p>
    <w:p w14:paraId="3B3EF2B0" w14:textId="77777777" w:rsidR="00CF332B" w:rsidRPr="002864AA" w:rsidRDefault="00CF332B" w:rsidP="00CF332B">
      <w:pPr>
        <w:rPr>
          <w:rFonts w:ascii="Century Gothic" w:hAnsi="Century Gothic"/>
          <w:szCs w:val="22"/>
        </w:rPr>
      </w:pPr>
      <w:r w:rsidRPr="002864AA">
        <w:rPr>
          <w:rFonts w:ascii="Century Gothic" w:hAnsi="Century Gothic"/>
          <w:szCs w:val="22"/>
        </w:rPr>
        <w:t>The funds in the REEF (accessible at or after year three) may be used to cover the following costs:</w:t>
      </w:r>
    </w:p>
    <w:p w14:paraId="78F12007" w14:textId="1E3C049D" w:rsidR="00CF332B" w:rsidRPr="002864AA" w:rsidRDefault="00CF332B" w:rsidP="00486062">
      <w:pPr>
        <w:numPr>
          <w:ilvl w:val="0"/>
          <w:numId w:val="70"/>
        </w:numPr>
        <w:spacing w:before="120" w:after="120"/>
        <w:contextualSpacing/>
        <w:rPr>
          <w:rFonts w:ascii="Century Gothic" w:eastAsia="Times New Roman" w:hAnsi="Century Gothic"/>
          <w:szCs w:val="22"/>
        </w:rPr>
      </w:pPr>
      <w:r w:rsidRPr="002864AA">
        <w:rPr>
          <w:rFonts w:ascii="Century Gothic" w:eastAsia="Times New Roman" w:hAnsi="Century Gothic"/>
          <w:szCs w:val="22"/>
        </w:rPr>
        <w:t xml:space="preserve">a hardship (as defined under the </w:t>
      </w:r>
      <w:r w:rsidR="007713C3" w:rsidRPr="002864AA">
        <w:rPr>
          <w:rFonts w:ascii="Century Gothic" w:eastAsia="Times New Roman" w:hAnsi="Century Gothic"/>
          <w:szCs w:val="22"/>
        </w:rPr>
        <w:t xml:space="preserve">CARES </w:t>
      </w:r>
      <w:r w:rsidRPr="002864AA">
        <w:rPr>
          <w:rFonts w:ascii="Century Gothic" w:eastAsia="Times New Roman" w:hAnsi="Century Gothic"/>
          <w:szCs w:val="22"/>
        </w:rPr>
        <w:t>Hardship Policy and Guidelines)</w:t>
      </w:r>
    </w:p>
    <w:p w14:paraId="5566A16E" w14:textId="77777777" w:rsidR="00CF332B" w:rsidRPr="002864AA" w:rsidRDefault="00CF332B" w:rsidP="00486062">
      <w:pPr>
        <w:numPr>
          <w:ilvl w:val="0"/>
          <w:numId w:val="70"/>
        </w:numPr>
        <w:spacing w:before="120" w:after="120"/>
        <w:contextualSpacing/>
        <w:rPr>
          <w:rFonts w:ascii="Century Gothic" w:eastAsia="Times New Roman" w:hAnsi="Century Gothic"/>
          <w:szCs w:val="22"/>
        </w:rPr>
      </w:pPr>
      <w:r w:rsidRPr="002864AA">
        <w:rPr>
          <w:rFonts w:ascii="Century Gothic" w:eastAsia="Times New Roman" w:hAnsi="Century Gothic"/>
          <w:szCs w:val="22"/>
        </w:rPr>
        <w:t>purchase of a vehicle to attain or maintain employment (a one-time payment not to exceed $3,000 after all other options have been exhausted)</w:t>
      </w:r>
    </w:p>
    <w:p w14:paraId="5D4BE096" w14:textId="77777777" w:rsidR="00CF332B" w:rsidRPr="002864AA" w:rsidRDefault="00CF332B" w:rsidP="00486062">
      <w:pPr>
        <w:numPr>
          <w:ilvl w:val="0"/>
          <w:numId w:val="70"/>
        </w:numPr>
        <w:spacing w:before="120" w:after="120"/>
        <w:contextualSpacing/>
        <w:rPr>
          <w:rFonts w:ascii="Century Gothic" w:eastAsia="Times New Roman" w:hAnsi="Century Gothic"/>
          <w:szCs w:val="22"/>
        </w:rPr>
      </w:pPr>
      <w:r w:rsidRPr="002864AA">
        <w:rPr>
          <w:rFonts w:ascii="Century Gothic" w:eastAsia="Times New Roman" w:hAnsi="Century Gothic"/>
          <w:szCs w:val="22"/>
        </w:rPr>
        <w:t>costs to start a small business (a one-time payment not to exceed $2,500 after all other options have been exhausted)</w:t>
      </w:r>
    </w:p>
    <w:p w14:paraId="42F3BC59" w14:textId="77777777" w:rsidR="00CF332B" w:rsidRPr="002864AA" w:rsidRDefault="00CF332B" w:rsidP="00486062">
      <w:pPr>
        <w:numPr>
          <w:ilvl w:val="0"/>
          <w:numId w:val="70"/>
        </w:numPr>
        <w:spacing w:before="120" w:after="120"/>
        <w:contextualSpacing/>
        <w:rPr>
          <w:rFonts w:ascii="Century Gothic" w:eastAsia="Times New Roman" w:hAnsi="Century Gothic"/>
          <w:szCs w:val="22"/>
        </w:rPr>
      </w:pPr>
      <w:r w:rsidRPr="002864AA">
        <w:rPr>
          <w:rFonts w:ascii="Century Gothic" w:eastAsia="Times New Roman" w:hAnsi="Century Gothic"/>
          <w:szCs w:val="22"/>
        </w:rPr>
        <w:t>purchase of a computer</w:t>
      </w:r>
    </w:p>
    <w:p w14:paraId="1B8D84B7" w14:textId="77777777" w:rsidR="00CF332B" w:rsidRPr="002864AA" w:rsidRDefault="44CA3C25" w:rsidP="00486062">
      <w:pPr>
        <w:numPr>
          <w:ilvl w:val="0"/>
          <w:numId w:val="70"/>
        </w:numPr>
        <w:spacing w:before="120" w:after="120"/>
        <w:contextualSpacing/>
        <w:rPr>
          <w:rFonts w:ascii="Century Gothic" w:eastAsia="Times New Roman" w:hAnsi="Century Gothic"/>
          <w:szCs w:val="22"/>
        </w:rPr>
      </w:pPr>
      <w:r w:rsidRPr="002864AA">
        <w:rPr>
          <w:rFonts w:ascii="Century Gothic" w:eastAsia="Times New Roman" w:hAnsi="Century Gothic"/>
          <w:szCs w:val="22"/>
        </w:rPr>
        <w:t>enrollment in higher education, subject to the approval of ECC/HANH</w:t>
      </w:r>
    </w:p>
    <w:p w14:paraId="06B2C9B1" w14:textId="3EC8DC96" w:rsidR="0E6C54AB" w:rsidRPr="002864AA" w:rsidRDefault="0E6C54AB" w:rsidP="00B07A97">
      <w:pPr>
        <w:spacing w:before="120" w:after="120"/>
        <w:contextualSpacing/>
        <w:rPr>
          <w:rFonts w:ascii="Century Gothic" w:eastAsia="MS PGothic" w:hAnsi="Century Gothic"/>
          <w:szCs w:val="22"/>
        </w:rPr>
      </w:pPr>
    </w:p>
    <w:p w14:paraId="1F2926EA" w14:textId="008870E0" w:rsidR="00CF332B" w:rsidRDefault="44CA3C25" w:rsidP="00CF332B">
      <w:pPr>
        <w:rPr>
          <w:rFonts w:ascii="Century Gothic" w:hAnsi="Century Gothic"/>
          <w:szCs w:val="22"/>
        </w:rPr>
      </w:pPr>
      <w:r w:rsidRPr="002864AA">
        <w:rPr>
          <w:rFonts w:ascii="Century Gothic" w:hAnsi="Century Gothic"/>
          <w:szCs w:val="22"/>
        </w:rPr>
        <w:t xml:space="preserve">While most intensive supportive services are provided during the first two years of the program, all participants </w:t>
      </w:r>
      <w:r w:rsidR="680B56E4" w:rsidRPr="002864AA">
        <w:rPr>
          <w:rFonts w:ascii="Century Gothic" w:hAnsi="Century Gothic"/>
          <w:szCs w:val="22"/>
        </w:rPr>
        <w:t>can receive</w:t>
      </w:r>
      <w:r w:rsidRPr="002864AA">
        <w:rPr>
          <w:rFonts w:ascii="Century Gothic" w:hAnsi="Century Gothic"/>
          <w:szCs w:val="22"/>
        </w:rPr>
        <w:t xml:space="preserve"> support as needed. ECC/HANH anticipates that as barriers are addressed, the need for such intensive support will wane. This policy and procedural change </w:t>
      </w:r>
      <w:r w:rsidR="768FC686" w:rsidRPr="002864AA">
        <w:rPr>
          <w:rFonts w:ascii="Century Gothic" w:hAnsi="Century Gothic"/>
          <w:szCs w:val="22"/>
        </w:rPr>
        <w:t>have</w:t>
      </w:r>
      <w:r w:rsidRPr="002864AA">
        <w:rPr>
          <w:rFonts w:ascii="Century Gothic" w:hAnsi="Century Gothic"/>
          <w:szCs w:val="22"/>
        </w:rPr>
        <w:t xml:space="preserve"> resulted in modifications to the MTW Plan, ACOP and Administrative Plan.</w:t>
      </w:r>
    </w:p>
    <w:p w14:paraId="77C5CCA3" w14:textId="77777777" w:rsidR="00657185" w:rsidRPr="002864AA" w:rsidRDefault="00657185" w:rsidP="00CF332B">
      <w:pPr>
        <w:rPr>
          <w:rFonts w:ascii="Century Gothic" w:hAnsi="Century Gothic"/>
          <w:szCs w:val="22"/>
        </w:rPr>
      </w:pPr>
    </w:p>
    <w:p w14:paraId="3E3C6CCB" w14:textId="32385672" w:rsidR="00657185" w:rsidRPr="002A13CF" w:rsidRDefault="00657185" w:rsidP="00657185">
      <w:pPr>
        <w:rPr>
          <w:rFonts w:ascii="Century Gothic" w:hAnsi="Century Gothic"/>
          <w:szCs w:val="22"/>
        </w:rPr>
      </w:pPr>
      <w:r w:rsidRPr="0094684A">
        <w:rPr>
          <w:rFonts w:ascii="Century Gothic" w:eastAsia="MS PGothic" w:hAnsi="Century Gothic"/>
          <w:szCs w:val="22"/>
        </w:rPr>
        <w:t xml:space="preserve">During FY2020, program changes were made in recognition of the global pandemic. This allowed families who experience </w:t>
      </w:r>
      <w:r w:rsidRPr="002A13CF">
        <w:rPr>
          <w:rFonts w:ascii="Century Gothic" w:hAnsi="Century Gothic"/>
          <w:szCs w:val="22"/>
        </w:rPr>
        <w:t xml:space="preserve">a loss of income </w:t>
      </w:r>
      <w:proofErr w:type="gramStart"/>
      <w:r w:rsidRPr="002A13CF">
        <w:rPr>
          <w:rFonts w:ascii="Century Gothic" w:hAnsi="Century Gothic"/>
          <w:szCs w:val="22"/>
        </w:rPr>
        <w:t>as a result of</w:t>
      </w:r>
      <w:proofErr w:type="gramEnd"/>
      <w:r w:rsidRPr="002A13CF">
        <w:rPr>
          <w:rFonts w:ascii="Century Gothic" w:hAnsi="Century Gothic"/>
          <w:szCs w:val="22"/>
        </w:rPr>
        <w:t xml:space="preserve"> a natural disaster, local, state or national emergency such as COVID19 or the like, the opportunity to submit a request for interim rent change. The family must be able to provide documentation that proves that the loss of income is related to this specific situation listed under this category.</w:t>
      </w:r>
    </w:p>
    <w:p w14:paraId="5F7D6388" w14:textId="7108AFEB" w:rsidR="007A5FF7" w:rsidRPr="002864AA" w:rsidRDefault="11C6E5D4" w:rsidP="0E6C54AB">
      <w:pPr>
        <w:rPr>
          <w:rFonts w:ascii="Century Gothic" w:eastAsia="MS PGothic" w:hAnsi="Century Gothic"/>
          <w:szCs w:val="22"/>
        </w:rPr>
      </w:pPr>
      <w:r w:rsidRPr="002864AA">
        <w:rPr>
          <w:rFonts w:ascii="Century Gothic" w:eastAsia="MS PGothic" w:hAnsi="Century Gothic"/>
          <w:szCs w:val="22"/>
        </w:rPr>
        <w:t xml:space="preserve"> </w:t>
      </w:r>
    </w:p>
    <w:p w14:paraId="4932BF93" w14:textId="77777777" w:rsidR="00CF332B" w:rsidRDefault="44CA3C25" w:rsidP="0000725D">
      <w:pPr>
        <w:rPr>
          <w:rFonts w:ascii="Century Gothic" w:eastAsiaTheme="majorEastAsia" w:hAnsi="Century Gothic"/>
          <w:b/>
          <w:bCs/>
          <w:color w:val="808080" w:themeColor="background1" w:themeShade="80"/>
          <w:szCs w:val="22"/>
        </w:rPr>
      </w:pPr>
      <w:r w:rsidRPr="002864AA">
        <w:rPr>
          <w:rFonts w:ascii="Century Gothic" w:eastAsiaTheme="majorEastAsia" w:hAnsi="Century Gothic"/>
          <w:b/>
          <w:bCs/>
          <w:color w:val="808080" w:themeColor="background1" w:themeShade="80"/>
          <w:szCs w:val="22"/>
        </w:rPr>
        <w:t>Impact</w:t>
      </w:r>
    </w:p>
    <w:p w14:paraId="38694777" w14:textId="77777777" w:rsidR="007A5FF7" w:rsidRDefault="007A5FF7" w:rsidP="0000725D">
      <w:pPr>
        <w:rPr>
          <w:rFonts w:ascii="Century Gothic" w:eastAsiaTheme="majorEastAsia" w:hAnsi="Century Gothic"/>
          <w:b/>
          <w:bCs/>
          <w:color w:val="808080" w:themeColor="background1" w:themeShade="80"/>
          <w:szCs w:val="22"/>
        </w:rPr>
      </w:pPr>
    </w:p>
    <w:p w14:paraId="3C8FA283" w14:textId="77777777" w:rsidR="007B4269" w:rsidRDefault="007A5FF7" w:rsidP="007B4269">
      <w:pPr>
        <w:rPr>
          <w:rFonts w:ascii="Century Gothic" w:eastAsiaTheme="majorEastAsia" w:hAnsi="Century Gothic"/>
          <w:b/>
          <w:bCs/>
          <w:i/>
          <w:iCs/>
          <w:color w:val="808080" w:themeColor="background1" w:themeShade="80"/>
          <w:szCs w:val="22"/>
        </w:rPr>
      </w:pPr>
      <w:r w:rsidRPr="007A5FF7">
        <w:rPr>
          <w:rFonts w:ascii="Century Gothic" w:eastAsiaTheme="majorEastAsia" w:hAnsi="Century Gothic"/>
          <w:b/>
          <w:bCs/>
          <w:i/>
          <w:iCs/>
          <w:color w:val="808080" w:themeColor="background1" w:themeShade="80"/>
          <w:szCs w:val="22"/>
        </w:rPr>
        <w:t>Enrollment</w:t>
      </w:r>
    </w:p>
    <w:p w14:paraId="7969EECA" w14:textId="77777777" w:rsidR="007B4269" w:rsidRDefault="51050E05" w:rsidP="007B4269">
      <w:pPr>
        <w:rPr>
          <w:rFonts w:ascii="Century Gothic" w:eastAsiaTheme="majorEastAsia" w:hAnsi="Century Gothic"/>
          <w:b/>
          <w:bCs/>
          <w:i/>
          <w:iCs/>
          <w:color w:val="808080" w:themeColor="background1" w:themeShade="80"/>
          <w:szCs w:val="22"/>
        </w:rPr>
      </w:pPr>
      <w:r w:rsidRPr="002864AA">
        <w:rPr>
          <w:rFonts w:ascii="Century Gothic" w:eastAsia="Times New Roman" w:hAnsi="Century Gothic"/>
          <w:szCs w:val="22"/>
        </w:rPr>
        <w:t xml:space="preserve">The CARES program continues to provide </w:t>
      </w:r>
      <w:r w:rsidR="006B54E2">
        <w:rPr>
          <w:rFonts w:ascii="Century Gothic" w:eastAsia="Times New Roman" w:hAnsi="Century Gothic"/>
          <w:szCs w:val="22"/>
        </w:rPr>
        <w:t xml:space="preserve">tools, </w:t>
      </w:r>
      <w:r w:rsidRPr="002864AA">
        <w:rPr>
          <w:rFonts w:ascii="Century Gothic" w:eastAsia="Times New Roman" w:hAnsi="Century Gothic"/>
          <w:szCs w:val="22"/>
        </w:rPr>
        <w:t>case management</w:t>
      </w:r>
      <w:r w:rsidR="00E45B35">
        <w:rPr>
          <w:rFonts w:ascii="Century Gothic" w:eastAsia="Times New Roman" w:hAnsi="Century Gothic"/>
          <w:szCs w:val="22"/>
        </w:rPr>
        <w:t xml:space="preserve"> </w:t>
      </w:r>
      <w:r w:rsidR="006B54E2">
        <w:rPr>
          <w:rFonts w:ascii="Century Gothic" w:eastAsia="Times New Roman" w:hAnsi="Century Gothic"/>
          <w:szCs w:val="22"/>
        </w:rPr>
        <w:t xml:space="preserve">and </w:t>
      </w:r>
      <w:r w:rsidRPr="002864AA">
        <w:rPr>
          <w:rFonts w:ascii="Century Gothic" w:eastAsia="Times New Roman" w:hAnsi="Century Gothic"/>
          <w:szCs w:val="22"/>
        </w:rPr>
        <w:t>resources to support participants</w:t>
      </w:r>
      <w:r w:rsidR="005D540A">
        <w:rPr>
          <w:rFonts w:ascii="Century Gothic" w:eastAsia="Times New Roman" w:hAnsi="Century Gothic"/>
          <w:szCs w:val="22"/>
        </w:rPr>
        <w:t>/households</w:t>
      </w:r>
      <w:r w:rsidRPr="002864AA">
        <w:rPr>
          <w:rFonts w:ascii="Century Gothic" w:eastAsia="Times New Roman" w:hAnsi="Century Gothic"/>
          <w:szCs w:val="22"/>
        </w:rPr>
        <w:t xml:space="preserve"> in reaching self-sufficiency.  </w:t>
      </w:r>
    </w:p>
    <w:p w14:paraId="024B8C09" w14:textId="77777777" w:rsidR="007B4269" w:rsidRDefault="007B4269" w:rsidP="007B4269">
      <w:pPr>
        <w:rPr>
          <w:rFonts w:ascii="Century Gothic" w:eastAsiaTheme="majorEastAsia" w:hAnsi="Century Gothic"/>
          <w:b/>
          <w:bCs/>
          <w:i/>
          <w:iCs/>
          <w:color w:val="808080" w:themeColor="background1" w:themeShade="80"/>
          <w:szCs w:val="22"/>
        </w:rPr>
      </w:pPr>
    </w:p>
    <w:p w14:paraId="3109BD3A" w14:textId="77777777" w:rsidR="007B4269" w:rsidRDefault="51050E05" w:rsidP="007B4269">
      <w:pPr>
        <w:rPr>
          <w:rFonts w:ascii="Century Gothic" w:eastAsiaTheme="majorEastAsia" w:hAnsi="Century Gothic"/>
          <w:b/>
          <w:bCs/>
          <w:i/>
          <w:iCs/>
          <w:color w:val="808080" w:themeColor="background1" w:themeShade="80"/>
          <w:szCs w:val="22"/>
        </w:rPr>
      </w:pPr>
      <w:r w:rsidRPr="074331A9">
        <w:rPr>
          <w:rFonts w:ascii="Century Gothic" w:eastAsia="Times New Roman" w:hAnsi="Century Gothic"/>
        </w:rPr>
        <w:t>Based on the total number of units at both Brookside II &amp; Rockview</w:t>
      </w:r>
      <w:r w:rsidR="005771A2">
        <w:rPr>
          <w:rFonts w:ascii="Century Gothic" w:eastAsia="Times New Roman" w:hAnsi="Century Gothic"/>
        </w:rPr>
        <w:t xml:space="preserve"> I</w:t>
      </w:r>
      <w:r w:rsidRPr="074331A9">
        <w:rPr>
          <w:rFonts w:ascii="Century Gothic" w:eastAsia="Times New Roman" w:hAnsi="Century Gothic"/>
        </w:rPr>
        <w:t xml:space="preserve">, the program </w:t>
      </w:r>
      <w:r w:rsidR="009B6515">
        <w:rPr>
          <w:rFonts w:ascii="Century Gothic" w:eastAsia="Times New Roman" w:hAnsi="Century Gothic"/>
        </w:rPr>
        <w:t xml:space="preserve">supports </w:t>
      </w:r>
      <w:r w:rsidR="009B6515" w:rsidRPr="074331A9">
        <w:rPr>
          <w:rFonts w:ascii="Century Gothic" w:eastAsia="Times New Roman" w:hAnsi="Century Gothic"/>
        </w:rPr>
        <w:t>up</w:t>
      </w:r>
      <w:r w:rsidRPr="074331A9">
        <w:rPr>
          <w:rFonts w:ascii="Century Gothic" w:eastAsia="Times New Roman" w:hAnsi="Century Gothic"/>
        </w:rPr>
        <w:t xml:space="preserve"> to </w:t>
      </w:r>
      <w:r w:rsidR="003339A7">
        <w:rPr>
          <w:rFonts w:ascii="Century Gothic" w:eastAsia="Times New Roman" w:hAnsi="Century Gothic"/>
        </w:rPr>
        <w:t>1</w:t>
      </w:r>
      <w:r w:rsidR="00632A37">
        <w:rPr>
          <w:rFonts w:ascii="Century Gothic" w:eastAsia="Times New Roman" w:hAnsi="Century Gothic"/>
        </w:rPr>
        <w:t>78 households</w:t>
      </w:r>
      <w:r w:rsidR="007D0574" w:rsidRPr="074331A9">
        <w:rPr>
          <w:rFonts w:ascii="Century Gothic" w:eastAsia="Times New Roman" w:hAnsi="Century Gothic"/>
        </w:rPr>
        <w:t>, 101</w:t>
      </w:r>
      <w:r w:rsidR="0032638A" w:rsidRPr="074331A9">
        <w:rPr>
          <w:rFonts w:ascii="Century Gothic" w:eastAsia="Times New Roman" w:hAnsi="Century Gothic"/>
        </w:rPr>
        <w:t xml:space="preserve"> </w:t>
      </w:r>
      <w:r w:rsidR="00962766" w:rsidRPr="074331A9">
        <w:rPr>
          <w:rFonts w:ascii="Century Gothic" w:eastAsia="Times New Roman" w:hAnsi="Century Gothic"/>
        </w:rPr>
        <w:t>at</w:t>
      </w:r>
      <w:r w:rsidRPr="074331A9">
        <w:rPr>
          <w:rFonts w:ascii="Century Gothic" w:eastAsia="Times New Roman" w:hAnsi="Century Gothic"/>
        </w:rPr>
        <w:t xml:space="preserve"> Brookside II</w:t>
      </w:r>
      <w:r w:rsidR="0050548F">
        <w:rPr>
          <w:rFonts w:ascii="Century Gothic" w:eastAsia="Times New Roman" w:hAnsi="Century Gothic"/>
        </w:rPr>
        <w:t xml:space="preserve"> and</w:t>
      </w:r>
      <w:r w:rsidR="00632A37">
        <w:rPr>
          <w:rFonts w:ascii="Century Gothic" w:eastAsia="Times New Roman" w:hAnsi="Century Gothic"/>
        </w:rPr>
        <w:t xml:space="preserve"> </w:t>
      </w:r>
      <w:r w:rsidR="00962766" w:rsidRPr="074331A9">
        <w:rPr>
          <w:rFonts w:ascii="Century Gothic" w:eastAsia="Times New Roman" w:hAnsi="Century Gothic"/>
        </w:rPr>
        <w:t xml:space="preserve">77 </w:t>
      </w:r>
      <w:r w:rsidR="00CA34DA" w:rsidRPr="074331A9">
        <w:rPr>
          <w:rFonts w:ascii="Century Gothic" w:eastAsia="Times New Roman" w:hAnsi="Century Gothic"/>
        </w:rPr>
        <w:t>at</w:t>
      </w:r>
      <w:r w:rsidRPr="074331A9">
        <w:rPr>
          <w:rFonts w:ascii="Century Gothic" w:eastAsia="Times New Roman" w:hAnsi="Century Gothic"/>
        </w:rPr>
        <w:t xml:space="preserve"> Rockview </w:t>
      </w:r>
      <w:r w:rsidR="3051D7FF" w:rsidRPr="074331A9">
        <w:rPr>
          <w:rFonts w:ascii="Century Gothic" w:eastAsia="Times New Roman" w:hAnsi="Century Gothic"/>
        </w:rPr>
        <w:t>I</w:t>
      </w:r>
      <w:r w:rsidR="00632A37">
        <w:rPr>
          <w:rFonts w:ascii="Century Gothic" w:eastAsia="Times New Roman" w:hAnsi="Century Gothic"/>
        </w:rPr>
        <w:t xml:space="preserve">. </w:t>
      </w:r>
      <w:r w:rsidR="009B6515">
        <w:rPr>
          <w:rFonts w:ascii="Century Gothic" w:eastAsia="Times New Roman" w:hAnsi="Century Gothic"/>
        </w:rPr>
        <w:t xml:space="preserve"> </w:t>
      </w:r>
      <w:r w:rsidR="00632A37">
        <w:rPr>
          <w:rFonts w:ascii="Century Gothic" w:eastAsia="Times New Roman" w:hAnsi="Century Gothic"/>
        </w:rPr>
        <w:t xml:space="preserve">There are 2 additional </w:t>
      </w:r>
      <w:r w:rsidR="009B6515">
        <w:rPr>
          <w:rFonts w:ascii="Century Gothic" w:eastAsia="Times New Roman" w:hAnsi="Century Gothic"/>
        </w:rPr>
        <w:t xml:space="preserve">households </w:t>
      </w:r>
      <w:r w:rsidR="00632A37">
        <w:rPr>
          <w:rFonts w:ascii="Century Gothic" w:eastAsia="Times New Roman" w:hAnsi="Century Gothic"/>
        </w:rPr>
        <w:t xml:space="preserve">at Brookside </w:t>
      </w:r>
      <w:r w:rsidR="005771A2">
        <w:rPr>
          <w:rFonts w:ascii="Century Gothic" w:eastAsia="Times New Roman" w:hAnsi="Century Gothic"/>
        </w:rPr>
        <w:t>I</w:t>
      </w:r>
      <w:r w:rsidR="00632A37">
        <w:rPr>
          <w:rFonts w:ascii="Century Gothic" w:eastAsia="Times New Roman" w:hAnsi="Century Gothic"/>
        </w:rPr>
        <w:t xml:space="preserve"> that are also enrolled in CARES for a total number of 180 households</w:t>
      </w:r>
      <w:r w:rsidR="005771A2">
        <w:rPr>
          <w:rFonts w:ascii="Century Gothic" w:eastAsia="Times New Roman" w:hAnsi="Century Gothic"/>
        </w:rPr>
        <w:t>.</w:t>
      </w:r>
    </w:p>
    <w:p w14:paraId="5634DFC4" w14:textId="77777777" w:rsidR="007B4269" w:rsidRDefault="007B4269" w:rsidP="007B4269">
      <w:pPr>
        <w:rPr>
          <w:rFonts w:ascii="Century Gothic" w:eastAsiaTheme="majorEastAsia" w:hAnsi="Century Gothic"/>
          <w:b/>
          <w:bCs/>
          <w:i/>
          <w:iCs/>
          <w:color w:val="808080" w:themeColor="background1" w:themeShade="80"/>
          <w:szCs w:val="22"/>
        </w:rPr>
      </w:pPr>
    </w:p>
    <w:p w14:paraId="0B46028E" w14:textId="5DAD236C" w:rsidR="006C37AE" w:rsidRPr="007B4269" w:rsidRDefault="004E73C4" w:rsidP="007B4269">
      <w:pPr>
        <w:rPr>
          <w:rFonts w:ascii="Century Gothic" w:eastAsiaTheme="majorEastAsia" w:hAnsi="Century Gothic"/>
          <w:b/>
          <w:bCs/>
          <w:i/>
          <w:iCs/>
          <w:color w:val="808080" w:themeColor="background1" w:themeShade="80"/>
          <w:szCs w:val="22"/>
        </w:rPr>
      </w:pPr>
      <w:r w:rsidRPr="188A1EBF">
        <w:rPr>
          <w:rFonts w:ascii="Century Gothic" w:eastAsia="Times New Roman" w:hAnsi="Century Gothic"/>
        </w:rPr>
        <w:t>There are 6</w:t>
      </w:r>
      <w:r w:rsidR="3E1D63D2" w:rsidRPr="188A1EBF">
        <w:rPr>
          <w:rFonts w:ascii="Century Gothic" w:eastAsia="Times New Roman" w:hAnsi="Century Gothic"/>
        </w:rPr>
        <w:t>9</w:t>
      </w:r>
      <w:r w:rsidRPr="188A1EBF">
        <w:rPr>
          <w:rFonts w:ascii="Century Gothic" w:eastAsia="Times New Roman" w:hAnsi="Century Gothic"/>
        </w:rPr>
        <w:t xml:space="preserve"> residents who are exempt from CARES</w:t>
      </w:r>
      <w:r w:rsidR="006C37AE" w:rsidRPr="188A1EBF">
        <w:rPr>
          <w:rFonts w:ascii="Century Gothic" w:eastAsia="Times New Roman" w:hAnsi="Century Gothic"/>
        </w:rPr>
        <w:t xml:space="preserve">, </w:t>
      </w:r>
      <w:r w:rsidR="006C37AE" w:rsidRPr="005606F0">
        <w:rPr>
          <w:rFonts w:ascii="Century Gothic" w:eastAsia="Times New Roman" w:hAnsi="Century Gothic"/>
        </w:rPr>
        <w:t>3</w:t>
      </w:r>
      <w:r w:rsidR="005606F0" w:rsidRPr="005606F0">
        <w:rPr>
          <w:rFonts w:ascii="Century Gothic" w:eastAsia="Times New Roman" w:hAnsi="Century Gothic"/>
        </w:rPr>
        <w:t>8</w:t>
      </w:r>
      <w:r w:rsidR="006C37AE" w:rsidRPr="005606F0">
        <w:rPr>
          <w:rFonts w:ascii="Century Gothic" w:eastAsia="Times New Roman" w:hAnsi="Century Gothic"/>
        </w:rPr>
        <w:t>%</w:t>
      </w:r>
      <w:r w:rsidR="006C37AE" w:rsidRPr="188A1EBF">
        <w:rPr>
          <w:rFonts w:ascii="Century Gothic" w:eastAsia="Times New Roman" w:hAnsi="Century Gothic"/>
        </w:rPr>
        <w:t xml:space="preserve"> of the total available slots</w:t>
      </w:r>
      <w:r w:rsidR="008B69C6" w:rsidRPr="188A1EBF">
        <w:rPr>
          <w:rFonts w:ascii="Century Gothic" w:eastAsia="Times New Roman" w:hAnsi="Century Gothic"/>
        </w:rPr>
        <w:t xml:space="preserve"> (</w:t>
      </w:r>
      <w:r w:rsidR="003643E1" w:rsidRPr="188A1EBF">
        <w:rPr>
          <w:rFonts w:ascii="Century Gothic" w:eastAsia="Times New Roman" w:hAnsi="Century Gothic"/>
        </w:rPr>
        <w:t>180</w:t>
      </w:r>
      <w:r w:rsidR="008B69C6" w:rsidRPr="188A1EBF">
        <w:rPr>
          <w:rFonts w:ascii="Century Gothic" w:eastAsia="Times New Roman" w:hAnsi="Century Gothic"/>
        </w:rPr>
        <w:t>)</w:t>
      </w:r>
      <w:r w:rsidR="0015397A" w:rsidRPr="188A1EBF">
        <w:rPr>
          <w:rFonts w:ascii="Century Gothic" w:eastAsia="Times New Roman" w:hAnsi="Century Gothic"/>
        </w:rPr>
        <w:t>, which leaves 11</w:t>
      </w:r>
      <w:r w:rsidR="00256F44" w:rsidRPr="188A1EBF">
        <w:rPr>
          <w:rFonts w:ascii="Century Gothic" w:eastAsia="Times New Roman" w:hAnsi="Century Gothic"/>
        </w:rPr>
        <w:t>4</w:t>
      </w:r>
      <w:r w:rsidR="0015397A" w:rsidRPr="188A1EBF">
        <w:rPr>
          <w:rFonts w:ascii="Century Gothic" w:eastAsia="Times New Roman" w:hAnsi="Century Gothic"/>
        </w:rPr>
        <w:t xml:space="preserve"> available slots</w:t>
      </w:r>
      <w:r w:rsidR="006C37AE" w:rsidRPr="188A1EBF">
        <w:rPr>
          <w:rFonts w:ascii="Century Gothic" w:eastAsia="Times New Roman" w:hAnsi="Century Gothic"/>
        </w:rPr>
        <w:t xml:space="preserve">. </w:t>
      </w:r>
    </w:p>
    <w:p w14:paraId="7B912A17" w14:textId="25ED1016" w:rsidR="004F39DB" w:rsidRDefault="4423AD60" w:rsidP="433078B2">
      <w:pPr>
        <w:keepNext/>
        <w:keepLines/>
        <w:spacing w:before="120" w:after="80"/>
        <w:rPr>
          <w:rFonts w:ascii="Century Gothic" w:eastAsia="Times New Roman" w:hAnsi="Century Gothic"/>
          <w:szCs w:val="22"/>
        </w:rPr>
      </w:pPr>
      <w:r w:rsidRPr="002864AA">
        <w:rPr>
          <w:rFonts w:ascii="Century Gothic" w:eastAsia="Times New Roman" w:hAnsi="Century Gothic"/>
          <w:szCs w:val="22"/>
        </w:rPr>
        <w:lastRenderedPageBreak/>
        <w:t xml:space="preserve">At the </w:t>
      </w:r>
      <w:r w:rsidR="6568C1FE" w:rsidRPr="002864AA">
        <w:rPr>
          <w:rFonts w:ascii="Century Gothic" w:eastAsia="Times New Roman" w:hAnsi="Century Gothic"/>
          <w:szCs w:val="22"/>
        </w:rPr>
        <w:t>b</w:t>
      </w:r>
      <w:r w:rsidRPr="002864AA">
        <w:rPr>
          <w:rFonts w:ascii="Century Gothic" w:eastAsia="Times New Roman" w:hAnsi="Century Gothic"/>
          <w:szCs w:val="22"/>
        </w:rPr>
        <w:t xml:space="preserve">eginning of FY24, 90 </w:t>
      </w:r>
      <w:r w:rsidR="00DB7E5D" w:rsidRPr="002864AA">
        <w:rPr>
          <w:rFonts w:ascii="Century Gothic" w:eastAsia="Times New Roman" w:hAnsi="Century Gothic"/>
          <w:szCs w:val="22"/>
        </w:rPr>
        <w:t xml:space="preserve">of the </w:t>
      </w:r>
      <w:r w:rsidR="0025618F">
        <w:rPr>
          <w:rFonts w:ascii="Century Gothic" w:eastAsia="Times New Roman" w:hAnsi="Century Gothic"/>
          <w:szCs w:val="22"/>
        </w:rPr>
        <w:t>11</w:t>
      </w:r>
      <w:r w:rsidR="00256F44">
        <w:rPr>
          <w:rFonts w:ascii="Century Gothic" w:eastAsia="Times New Roman" w:hAnsi="Century Gothic"/>
          <w:szCs w:val="22"/>
        </w:rPr>
        <w:t>4</w:t>
      </w:r>
      <w:r w:rsidR="00DB7E5D" w:rsidRPr="002864AA">
        <w:rPr>
          <w:rFonts w:ascii="Century Gothic" w:eastAsia="Times New Roman" w:hAnsi="Century Gothic"/>
          <w:szCs w:val="22"/>
        </w:rPr>
        <w:t xml:space="preserve"> </w:t>
      </w:r>
      <w:r w:rsidR="00CF4539">
        <w:rPr>
          <w:rFonts w:ascii="Century Gothic" w:eastAsia="Times New Roman" w:hAnsi="Century Gothic"/>
          <w:szCs w:val="22"/>
        </w:rPr>
        <w:t>households</w:t>
      </w:r>
      <w:r w:rsidRPr="002864AA">
        <w:rPr>
          <w:rFonts w:ascii="Century Gothic" w:eastAsia="Times New Roman" w:hAnsi="Century Gothic"/>
          <w:szCs w:val="22"/>
        </w:rPr>
        <w:t xml:space="preserve"> </w:t>
      </w:r>
      <w:r w:rsidR="00C469B7">
        <w:rPr>
          <w:rFonts w:ascii="Century Gothic" w:eastAsia="Times New Roman" w:hAnsi="Century Gothic"/>
          <w:szCs w:val="22"/>
        </w:rPr>
        <w:t>(</w:t>
      </w:r>
      <w:r w:rsidR="0012470F">
        <w:rPr>
          <w:rFonts w:ascii="Century Gothic" w:eastAsia="Times New Roman" w:hAnsi="Century Gothic"/>
          <w:szCs w:val="22"/>
        </w:rPr>
        <w:t>79</w:t>
      </w:r>
      <w:r w:rsidR="00C469B7">
        <w:rPr>
          <w:rFonts w:ascii="Century Gothic" w:eastAsia="Times New Roman" w:hAnsi="Century Gothic"/>
          <w:szCs w:val="22"/>
        </w:rPr>
        <w:t>%</w:t>
      </w:r>
      <w:r w:rsidR="004F39DB">
        <w:rPr>
          <w:rFonts w:ascii="Century Gothic" w:eastAsia="Times New Roman" w:hAnsi="Century Gothic"/>
          <w:szCs w:val="22"/>
        </w:rPr>
        <w:t xml:space="preserve">) were </w:t>
      </w:r>
      <w:r w:rsidRPr="002864AA">
        <w:rPr>
          <w:rFonts w:ascii="Century Gothic" w:eastAsia="Times New Roman" w:hAnsi="Century Gothic"/>
          <w:szCs w:val="22"/>
        </w:rPr>
        <w:t>enrolled in CARES</w:t>
      </w:r>
      <w:r w:rsidR="00544BE0">
        <w:rPr>
          <w:rFonts w:ascii="Century Gothic" w:eastAsia="Times New Roman" w:hAnsi="Century Gothic"/>
          <w:szCs w:val="22"/>
        </w:rPr>
        <w:t xml:space="preserve">, </w:t>
      </w:r>
      <w:r w:rsidR="005D540A">
        <w:rPr>
          <w:rFonts w:ascii="Century Gothic" w:eastAsia="Times New Roman" w:hAnsi="Century Gothic"/>
          <w:szCs w:val="22"/>
        </w:rPr>
        <w:t>(</w:t>
      </w:r>
      <w:r w:rsidR="00CF4539" w:rsidRPr="00517EB7">
        <w:rPr>
          <w:rFonts w:ascii="Century Gothic" w:eastAsia="Times New Roman" w:hAnsi="Century Gothic"/>
        </w:rPr>
        <w:t>37 Transitional and 53 Full</w:t>
      </w:r>
      <w:r w:rsidR="005D540A">
        <w:rPr>
          <w:rFonts w:ascii="Century Gothic" w:eastAsia="Times New Roman" w:hAnsi="Century Gothic"/>
        </w:rPr>
        <w:t>)</w:t>
      </w:r>
      <w:r w:rsidR="00517EB7">
        <w:rPr>
          <w:rFonts w:ascii="Century Gothic" w:eastAsia="Times New Roman" w:hAnsi="Century Gothic"/>
        </w:rPr>
        <w:t>.</w:t>
      </w:r>
    </w:p>
    <w:p w14:paraId="42A39E4C" w14:textId="0E9E3093" w:rsidR="00CB4B71" w:rsidRPr="0038313F" w:rsidRDefault="421BA28A" w:rsidP="433078B2">
      <w:pPr>
        <w:keepNext/>
        <w:keepLines/>
        <w:spacing w:before="120" w:after="80"/>
        <w:rPr>
          <w:rFonts w:ascii="Century Gothic" w:eastAsia="Times New Roman" w:hAnsi="Century Gothic"/>
          <w:szCs w:val="22"/>
        </w:rPr>
      </w:pPr>
      <w:r w:rsidRPr="002864AA">
        <w:rPr>
          <w:rFonts w:ascii="Century Gothic" w:eastAsia="Times New Roman" w:hAnsi="Century Gothic"/>
          <w:szCs w:val="22"/>
        </w:rPr>
        <w:t>At the end of FY</w:t>
      </w:r>
      <w:r w:rsidR="54C56E0B" w:rsidRPr="002864AA">
        <w:rPr>
          <w:rFonts w:ascii="Century Gothic" w:eastAsia="Times New Roman" w:hAnsi="Century Gothic"/>
          <w:szCs w:val="22"/>
        </w:rPr>
        <w:t>24</w:t>
      </w:r>
      <w:r w:rsidRPr="002864AA">
        <w:rPr>
          <w:rFonts w:ascii="Century Gothic" w:eastAsia="Times New Roman" w:hAnsi="Century Gothic"/>
          <w:szCs w:val="22"/>
        </w:rPr>
        <w:t xml:space="preserve">, </w:t>
      </w:r>
      <w:r w:rsidR="72BA8CAD" w:rsidRPr="002864AA">
        <w:rPr>
          <w:rFonts w:ascii="Century Gothic" w:eastAsia="Times New Roman" w:hAnsi="Century Gothic"/>
          <w:szCs w:val="22"/>
        </w:rPr>
        <w:t>78</w:t>
      </w:r>
      <w:r w:rsidR="70D88764" w:rsidRPr="002864AA">
        <w:rPr>
          <w:rFonts w:ascii="Century Gothic" w:eastAsia="Times New Roman" w:hAnsi="Century Gothic"/>
          <w:szCs w:val="22"/>
        </w:rPr>
        <w:t xml:space="preserve"> </w:t>
      </w:r>
      <w:r w:rsidR="009B3D69">
        <w:rPr>
          <w:rFonts w:ascii="Century Gothic" w:eastAsia="Times New Roman" w:hAnsi="Century Gothic"/>
          <w:szCs w:val="22"/>
        </w:rPr>
        <w:t xml:space="preserve">households </w:t>
      </w:r>
      <w:r w:rsidRPr="002864AA">
        <w:rPr>
          <w:rFonts w:ascii="Century Gothic" w:eastAsia="Times New Roman" w:hAnsi="Century Gothic"/>
          <w:szCs w:val="22"/>
        </w:rPr>
        <w:t>(</w:t>
      </w:r>
      <w:r w:rsidR="00836D62">
        <w:rPr>
          <w:rFonts w:ascii="Century Gothic" w:eastAsia="Times New Roman" w:hAnsi="Century Gothic"/>
          <w:szCs w:val="22"/>
        </w:rPr>
        <w:t>68</w:t>
      </w:r>
      <w:r w:rsidRPr="002864AA">
        <w:rPr>
          <w:rFonts w:ascii="Century Gothic" w:eastAsia="Times New Roman" w:hAnsi="Century Gothic"/>
          <w:szCs w:val="22"/>
        </w:rPr>
        <w:t>%</w:t>
      </w:r>
      <w:r w:rsidRPr="0038313F">
        <w:rPr>
          <w:rFonts w:ascii="Century Gothic" w:eastAsia="Times New Roman" w:hAnsi="Century Gothic"/>
          <w:szCs w:val="22"/>
        </w:rPr>
        <w:t>) were enrolled in CARES</w:t>
      </w:r>
      <w:r w:rsidR="009B3D69">
        <w:rPr>
          <w:rFonts w:ascii="Century Gothic" w:eastAsia="Times New Roman" w:hAnsi="Century Gothic"/>
          <w:szCs w:val="22"/>
        </w:rPr>
        <w:t xml:space="preserve">, </w:t>
      </w:r>
      <w:r w:rsidR="002C4B69">
        <w:rPr>
          <w:rFonts w:ascii="Century Gothic" w:eastAsia="Times New Roman" w:hAnsi="Century Gothic"/>
        </w:rPr>
        <w:t>(26 transitional and 52 Full)</w:t>
      </w:r>
      <w:r w:rsidR="002540D0">
        <w:rPr>
          <w:rFonts w:ascii="Century Gothic" w:eastAsia="Times New Roman" w:hAnsi="Century Gothic"/>
        </w:rPr>
        <w:t>.</w:t>
      </w:r>
    </w:p>
    <w:p w14:paraId="780DFC9D" w14:textId="1673F1A7" w:rsidR="00AC42B7" w:rsidRDefault="00AC42B7" w:rsidP="00AC42B7">
      <w:pPr>
        <w:rPr>
          <w:rFonts w:ascii="Century Gothic" w:eastAsia="Times New Roman" w:hAnsi="Century Gothic"/>
        </w:rPr>
      </w:pPr>
      <w:r w:rsidRPr="128C9D46">
        <w:rPr>
          <w:rFonts w:ascii="Century Gothic" w:eastAsia="Times New Roman" w:hAnsi="Century Gothic"/>
        </w:rPr>
        <w:t xml:space="preserve">Also, in FY24, 4 FULL CARES families graduated from the program. </w:t>
      </w:r>
      <w:r w:rsidR="00121C2E">
        <w:rPr>
          <w:rFonts w:ascii="Century Gothic" w:eastAsia="Times New Roman" w:hAnsi="Century Gothic"/>
        </w:rPr>
        <w:t xml:space="preserve"> </w:t>
      </w:r>
      <w:r w:rsidRPr="128C9D46">
        <w:rPr>
          <w:rFonts w:ascii="Century Gothic" w:eastAsia="Times New Roman" w:hAnsi="Century Gothic"/>
        </w:rPr>
        <w:t>Graduation means they are no longer receiving housing subsidy and are considered self-sufficient and can transition to paying a market rate rent. Additionally, there are 28 CARES residents that are prepared to graduate in FY2025.</w:t>
      </w:r>
    </w:p>
    <w:p w14:paraId="76DEE1F9" w14:textId="2644D3FA" w:rsidR="0E6C54AB" w:rsidRDefault="0E6C54AB" w:rsidP="0E6C54AB">
      <w:pPr>
        <w:rPr>
          <w:rFonts w:ascii="Century Gothic" w:eastAsia="MS PGothic" w:hAnsi="Century Gothic"/>
          <w:szCs w:val="22"/>
        </w:rPr>
      </w:pPr>
    </w:p>
    <w:p w14:paraId="521455B0" w14:textId="29B47FEA" w:rsidR="00E171A0" w:rsidRPr="00B12C17" w:rsidRDefault="00E171A0" w:rsidP="00E171A0">
      <w:pPr>
        <w:rPr>
          <w:rFonts w:ascii="Century Gothic" w:hAnsi="Century Gothic"/>
          <w:szCs w:val="22"/>
        </w:rPr>
      </w:pPr>
      <w:r w:rsidRPr="00B12C17">
        <w:rPr>
          <w:rFonts w:ascii="Century Gothic" w:eastAsia="Times New Roman" w:hAnsi="Century Gothic"/>
          <w:szCs w:val="22"/>
        </w:rPr>
        <w:t xml:space="preserve">The table below outlines the breakdown of families at these sites </w:t>
      </w:r>
      <w:r w:rsidR="0040451B">
        <w:rPr>
          <w:rFonts w:ascii="Century Gothic" w:eastAsia="Times New Roman" w:hAnsi="Century Gothic"/>
          <w:szCs w:val="22"/>
        </w:rPr>
        <w:t>at the end of</w:t>
      </w:r>
      <w:r w:rsidRPr="00B12C17">
        <w:rPr>
          <w:rFonts w:ascii="Century Gothic" w:eastAsia="Times New Roman" w:hAnsi="Century Gothic"/>
          <w:szCs w:val="22"/>
        </w:rPr>
        <w:t xml:space="preserve"> FY2024.</w:t>
      </w:r>
    </w:p>
    <w:p w14:paraId="71282E68" w14:textId="77777777" w:rsidR="00E171A0" w:rsidRPr="00B12C17" w:rsidRDefault="00E171A0" w:rsidP="00E171A0">
      <w:pPr>
        <w:rPr>
          <w:rFonts w:ascii="Century Gothic" w:hAnsi="Century Gothic"/>
          <w:szCs w:val="22"/>
        </w:rPr>
      </w:pPr>
      <w:r w:rsidRPr="00B12C17">
        <w:rPr>
          <w:rFonts w:ascii="Century Gothic" w:eastAsia="Times New Roman" w:hAnsi="Century Gothic"/>
          <w:szCs w:val="22"/>
        </w:rPr>
        <w:t xml:space="preserve"> </w:t>
      </w:r>
    </w:p>
    <w:tbl>
      <w:tblPr>
        <w:tblW w:w="0" w:type="auto"/>
        <w:tblLayout w:type="fixed"/>
        <w:tblLook w:val="06A0" w:firstRow="1" w:lastRow="0" w:firstColumn="1" w:lastColumn="0" w:noHBand="1" w:noVBand="1"/>
      </w:tblPr>
      <w:tblGrid>
        <w:gridCol w:w="3600"/>
        <w:gridCol w:w="3600"/>
        <w:gridCol w:w="3600"/>
      </w:tblGrid>
      <w:tr w:rsidR="00E171A0" w:rsidRPr="002864AA" w14:paraId="039FDD7A" w14:textId="77777777" w:rsidTr="00CF05A0">
        <w:trPr>
          <w:trHeight w:val="360"/>
        </w:trPr>
        <w:tc>
          <w:tcPr>
            <w:tcW w:w="10800" w:type="dxa"/>
            <w:gridSpan w:val="3"/>
            <w:tcBorders>
              <w:top w:val="nil"/>
              <w:left w:val="nil"/>
              <w:bottom w:val="single" w:sz="24" w:space="0" w:color="B5333C" w:themeColor="accent2"/>
              <w:right w:val="single" w:sz="8" w:space="0" w:color="D9D9D9" w:themeColor="background1" w:themeShade="D9"/>
            </w:tcBorders>
            <w:shd w:val="clear" w:color="auto" w:fill="808080" w:themeFill="background1" w:themeFillShade="80"/>
          </w:tcPr>
          <w:p w14:paraId="2D893415" w14:textId="77777777" w:rsidR="00E171A0" w:rsidRPr="00B12C17" w:rsidRDefault="00E171A0" w:rsidP="00CF05A0">
            <w:pPr>
              <w:jc w:val="center"/>
              <w:rPr>
                <w:rFonts w:ascii="Century Gothic" w:eastAsia="Times New Roman" w:hAnsi="Century Gothic"/>
                <w:b/>
                <w:bCs/>
                <w:szCs w:val="22"/>
              </w:rPr>
            </w:pPr>
            <w:r w:rsidRPr="00B12C17">
              <w:rPr>
                <w:rFonts w:ascii="Century Gothic" w:eastAsia="Times New Roman" w:hAnsi="Century Gothic"/>
                <w:b/>
                <w:bCs/>
                <w:szCs w:val="22"/>
              </w:rPr>
              <w:t>CARES Participation End of FY24</w:t>
            </w:r>
          </w:p>
        </w:tc>
      </w:tr>
      <w:tr w:rsidR="00E171A0" w:rsidRPr="002864AA" w14:paraId="431EFE26" w14:textId="77777777" w:rsidTr="00CF05A0">
        <w:trPr>
          <w:trHeight w:val="420"/>
        </w:trPr>
        <w:tc>
          <w:tcPr>
            <w:tcW w:w="3600" w:type="dxa"/>
            <w:tcBorders>
              <w:top w:val="single" w:sz="24" w:space="0" w:color="B5333C" w:themeColor="accent2"/>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27004E9D" w14:textId="77777777" w:rsidR="00E171A0" w:rsidRPr="00B12C17" w:rsidRDefault="00E171A0" w:rsidP="00CF05A0">
            <w:pPr>
              <w:rPr>
                <w:rFonts w:ascii="Century Gothic" w:hAnsi="Century Gothic"/>
                <w:szCs w:val="22"/>
              </w:rPr>
            </w:pPr>
            <w:r w:rsidRPr="00B12C17">
              <w:rPr>
                <w:rFonts w:ascii="Century Gothic" w:eastAsia="Times New Roman" w:hAnsi="Century Gothic"/>
                <w:color w:val="000000" w:themeColor="text1"/>
                <w:szCs w:val="22"/>
              </w:rPr>
              <w:t>Program</w:t>
            </w:r>
          </w:p>
        </w:tc>
        <w:tc>
          <w:tcPr>
            <w:tcW w:w="3600" w:type="dxa"/>
            <w:tcBorders>
              <w:top w:val="nil"/>
              <w:left w:val="single" w:sz="8" w:space="0" w:color="D9D9D9" w:themeColor="background1" w:themeShade="D9"/>
              <w:bottom w:val="single" w:sz="8" w:space="0" w:color="D9D9D9" w:themeColor="background1" w:themeShade="D9"/>
              <w:right w:val="nil"/>
            </w:tcBorders>
            <w:shd w:val="clear" w:color="auto" w:fill="BFBFBF" w:themeFill="background1" w:themeFillShade="BF"/>
            <w:vAlign w:val="center"/>
          </w:tcPr>
          <w:p w14:paraId="51D4A6D7" w14:textId="77777777" w:rsidR="00E171A0" w:rsidRPr="00B12C17" w:rsidRDefault="00E171A0" w:rsidP="00CF05A0">
            <w:pPr>
              <w:jc w:val="center"/>
              <w:rPr>
                <w:rFonts w:ascii="Century Gothic" w:hAnsi="Century Gothic"/>
                <w:szCs w:val="22"/>
              </w:rPr>
            </w:pPr>
            <w:r w:rsidRPr="00B12C17">
              <w:rPr>
                <w:rFonts w:ascii="Century Gothic" w:eastAsia="Times New Roman" w:hAnsi="Century Gothic"/>
                <w:color w:val="000000" w:themeColor="text1"/>
                <w:szCs w:val="22"/>
              </w:rPr>
              <w:t>Participants</w:t>
            </w:r>
          </w:p>
        </w:tc>
        <w:tc>
          <w:tcPr>
            <w:tcW w:w="3600" w:type="dxa"/>
            <w:tcBorders>
              <w:top w:val="nil"/>
              <w:left w:val="single" w:sz="8" w:space="0" w:color="D9D9D9" w:themeColor="background1" w:themeShade="D9"/>
              <w:bottom w:val="single" w:sz="8" w:space="0" w:color="D9D9D9" w:themeColor="background1" w:themeShade="D9"/>
              <w:right w:val="nil"/>
            </w:tcBorders>
            <w:shd w:val="clear" w:color="auto" w:fill="BFBFBF" w:themeFill="background1" w:themeFillShade="BF"/>
            <w:vAlign w:val="center"/>
          </w:tcPr>
          <w:p w14:paraId="66115CB8" w14:textId="77777777" w:rsidR="00E171A0" w:rsidRPr="00B12C17" w:rsidRDefault="00E171A0" w:rsidP="00CF05A0">
            <w:pPr>
              <w:ind w:left="886" w:hanging="886"/>
              <w:jc w:val="right"/>
              <w:rPr>
                <w:rFonts w:ascii="Century Gothic" w:hAnsi="Century Gothic"/>
                <w:szCs w:val="22"/>
              </w:rPr>
            </w:pPr>
            <w:r w:rsidRPr="00B12C17">
              <w:rPr>
                <w:rFonts w:ascii="Century Gothic" w:eastAsia="Times New Roman" w:hAnsi="Century Gothic"/>
                <w:color w:val="000000" w:themeColor="text1"/>
                <w:szCs w:val="22"/>
              </w:rPr>
              <w:t>Notes</w:t>
            </w:r>
          </w:p>
        </w:tc>
      </w:tr>
      <w:tr w:rsidR="00E171A0" w:rsidRPr="002864AA" w14:paraId="1D364312" w14:textId="77777777" w:rsidTr="00CF05A0">
        <w:trPr>
          <w:trHeight w:val="315"/>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1708C296" w14:textId="77777777" w:rsidR="00E171A0" w:rsidRPr="00B12C17" w:rsidRDefault="00E171A0" w:rsidP="00CF05A0">
            <w:pPr>
              <w:rPr>
                <w:rFonts w:ascii="Century Gothic" w:hAnsi="Century Gothic"/>
                <w:szCs w:val="22"/>
              </w:rPr>
            </w:pPr>
            <w:r w:rsidRPr="00B12C17">
              <w:rPr>
                <w:rFonts w:ascii="Century Gothic" w:eastAsia="Times New Roman" w:hAnsi="Century Gothic"/>
                <w:color w:val="000000" w:themeColor="text1"/>
                <w:szCs w:val="22"/>
              </w:rPr>
              <w:t xml:space="preserve">Full CARES </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461DB29C" w14:textId="77777777" w:rsidR="00E171A0" w:rsidRPr="00836D62" w:rsidRDefault="00E171A0" w:rsidP="00CF05A0">
            <w:pPr>
              <w:jc w:val="center"/>
              <w:rPr>
                <w:rFonts w:ascii="Century Gothic" w:eastAsia="Times New Roman" w:hAnsi="Century Gothic"/>
                <w:szCs w:val="22"/>
              </w:rPr>
            </w:pPr>
            <w:r w:rsidRPr="00836D62">
              <w:rPr>
                <w:rFonts w:ascii="Century Gothic" w:eastAsia="Times New Roman" w:hAnsi="Century Gothic"/>
                <w:szCs w:val="22"/>
              </w:rPr>
              <w:t>52</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7C59D466" w14:textId="77777777" w:rsidR="00E171A0" w:rsidRPr="00B12C17" w:rsidRDefault="00E171A0" w:rsidP="00CF05A0">
            <w:pPr>
              <w:ind w:left="886" w:hanging="886"/>
              <w:jc w:val="right"/>
              <w:rPr>
                <w:rFonts w:ascii="Century Gothic" w:eastAsia="Times New Roman" w:hAnsi="Century Gothic"/>
                <w:szCs w:val="22"/>
              </w:rPr>
            </w:pPr>
          </w:p>
        </w:tc>
      </w:tr>
      <w:tr w:rsidR="00E171A0" w:rsidRPr="002864AA" w14:paraId="49D8D59A" w14:textId="77777777" w:rsidTr="00CF05A0">
        <w:trPr>
          <w:trHeight w:val="255"/>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45B7C050" w14:textId="77777777" w:rsidR="00E171A0" w:rsidRPr="00B12C17" w:rsidRDefault="00E171A0" w:rsidP="00CF05A0">
            <w:pPr>
              <w:rPr>
                <w:rFonts w:ascii="Century Gothic" w:hAnsi="Century Gothic"/>
                <w:szCs w:val="22"/>
              </w:rPr>
            </w:pPr>
            <w:r w:rsidRPr="00B12C17">
              <w:rPr>
                <w:rFonts w:ascii="Century Gothic" w:eastAsia="Times New Roman" w:hAnsi="Century Gothic"/>
                <w:color w:val="000000" w:themeColor="text1"/>
                <w:szCs w:val="22"/>
              </w:rPr>
              <w:t>Transition CARES</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35598E70" w14:textId="77777777" w:rsidR="00E171A0" w:rsidRPr="00836D62" w:rsidRDefault="00E171A0" w:rsidP="00CF05A0">
            <w:pPr>
              <w:jc w:val="center"/>
              <w:rPr>
                <w:rFonts w:ascii="Century Gothic" w:eastAsia="Times New Roman" w:hAnsi="Century Gothic"/>
                <w:szCs w:val="22"/>
              </w:rPr>
            </w:pPr>
            <w:r w:rsidRPr="00836D62">
              <w:rPr>
                <w:rFonts w:ascii="Century Gothic" w:eastAsia="Times New Roman" w:hAnsi="Century Gothic"/>
                <w:szCs w:val="22"/>
              </w:rPr>
              <w:t>26</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47BA1C34" w14:textId="77777777" w:rsidR="00E171A0" w:rsidRPr="00B12C17" w:rsidRDefault="00E171A0" w:rsidP="00CF05A0">
            <w:pPr>
              <w:ind w:left="886" w:hanging="886"/>
              <w:jc w:val="right"/>
              <w:rPr>
                <w:rFonts w:ascii="Century Gothic" w:eastAsia="Times New Roman" w:hAnsi="Century Gothic"/>
                <w:szCs w:val="22"/>
              </w:rPr>
            </w:pPr>
            <w:r w:rsidRPr="00B12C17">
              <w:rPr>
                <w:rFonts w:ascii="Century Gothic" w:eastAsia="Times New Roman" w:hAnsi="Century Gothic"/>
                <w:szCs w:val="22"/>
              </w:rPr>
              <w:t xml:space="preserve"> </w:t>
            </w:r>
          </w:p>
        </w:tc>
      </w:tr>
      <w:tr w:rsidR="00E171A0" w:rsidRPr="002864AA" w14:paraId="5208A35A" w14:textId="77777777" w:rsidTr="00CF05A0">
        <w:trPr>
          <w:trHeight w:val="270"/>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BFBFBF" w:themeFill="background1" w:themeFillShade="BF"/>
          </w:tcPr>
          <w:p w14:paraId="1E873F34" w14:textId="77777777" w:rsidR="00E171A0" w:rsidRPr="00B12C17" w:rsidRDefault="00E171A0" w:rsidP="00CF05A0">
            <w:pPr>
              <w:rPr>
                <w:rFonts w:ascii="Century Gothic" w:eastAsia="Times New Roman" w:hAnsi="Century Gothic"/>
                <w:b/>
                <w:bCs/>
                <w:color w:val="000000" w:themeColor="text1"/>
                <w:szCs w:val="22"/>
              </w:rPr>
            </w:pPr>
            <w:r w:rsidRPr="00B12C17">
              <w:rPr>
                <w:rFonts w:ascii="Century Gothic" w:eastAsia="Times New Roman" w:hAnsi="Century Gothic"/>
                <w:b/>
                <w:bCs/>
                <w:color w:val="000000" w:themeColor="text1"/>
                <w:szCs w:val="22"/>
              </w:rPr>
              <w:t>Total at end of FY24</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BFBFBF" w:themeFill="background1" w:themeFillShade="BF"/>
          </w:tcPr>
          <w:p w14:paraId="45906197" w14:textId="77777777" w:rsidR="00E171A0" w:rsidRPr="00B12C17" w:rsidRDefault="00E171A0" w:rsidP="00CF05A0">
            <w:pPr>
              <w:jc w:val="center"/>
              <w:rPr>
                <w:rFonts w:ascii="Century Gothic" w:eastAsia="Times New Roman" w:hAnsi="Century Gothic"/>
                <w:b/>
                <w:bCs/>
                <w:color w:val="000000" w:themeColor="text1"/>
              </w:rPr>
            </w:pPr>
            <w:r w:rsidRPr="128C9D46">
              <w:rPr>
                <w:rFonts w:ascii="Century Gothic" w:eastAsia="Times New Roman" w:hAnsi="Century Gothic"/>
                <w:b/>
                <w:bCs/>
                <w:color w:val="000000" w:themeColor="text1"/>
              </w:rPr>
              <w:t xml:space="preserve">78 </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BFBFBF" w:themeFill="background1" w:themeFillShade="BF"/>
          </w:tcPr>
          <w:p w14:paraId="4EFCC46F" w14:textId="77777777" w:rsidR="00E171A0" w:rsidRPr="00B12C17" w:rsidRDefault="00E171A0" w:rsidP="00CF05A0">
            <w:pPr>
              <w:ind w:left="886" w:hanging="886"/>
              <w:jc w:val="right"/>
              <w:rPr>
                <w:rFonts w:ascii="Century Gothic" w:eastAsia="Times New Roman" w:hAnsi="Century Gothic"/>
                <w:b/>
                <w:bCs/>
                <w:color w:val="000000" w:themeColor="text1"/>
                <w:szCs w:val="22"/>
              </w:rPr>
            </w:pPr>
            <w:r w:rsidRPr="00B12C17">
              <w:rPr>
                <w:rFonts w:ascii="Century Gothic" w:eastAsia="Times New Roman" w:hAnsi="Century Gothic"/>
                <w:b/>
                <w:bCs/>
                <w:szCs w:val="22"/>
              </w:rPr>
              <w:t xml:space="preserve">39 </w:t>
            </w:r>
            <w:r w:rsidRPr="00B12C17">
              <w:rPr>
                <w:rFonts w:ascii="Century Gothic" w:eastAsia="Times New Roman" w:hAnsi="Century Gothic"/>
                <w:b/>
                <w:bCs/>
                <w:color w:val="000000" w:themeColor="text1"/>
                <w:szCs w:val="22"/>
              </w:rPr>
              <w:t>BSII/39 ROCKVIEW I</w:t>
            </w:r>
          </w:p>
        </w:tc>
      </w:tr>
      <w:tr w:rsidR="00E171A0" w:rsidRPr="002864AA" w14:paraId="351D2AE4" w14:textId="77777777" w:rsidTr="00CF05A0">
        <w:trPr>
          <w:trHeight w:val="270"/>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306F830C" w14:textId="77777777" w:rsidR="00E171A0" w:rsidRPr="00B12C17" w:rsidRDefault="00E171A0" w:rsidP="00CF05A0">
            <w:pPr>
              <w:rPr>
                <w:rFonts w:ascii="Century Gothic" w:eastAsia="Times New Roman" w:hAnsi="Century Gothic"/>
                <w:color w:val="000000" w:themeColor="text1"/>
                <w:szCs w:val="22"/>
              </w:rPr>
            </w:pP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4103248C" w14:textId="77777777" w:rsidR="00E171A0" w:rsidRPr="00B12C17" w:rsidRDefault="00E171A0" w:rsidP="00CF05A0">
            <w:pPr>
              <w:jc w:val="center"/>
              <w:rPr>
                <w:rFonts w:ascii="Century Gothic" w:eastAsia="Times New Roman" w:hAnsi="Century Gothic"/>
                <w:color w:val="000000" w:themeColor="text1"/>
                <w:szCs w:val="22"/>
              </w:rPr>
            </w:pP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309DE9C0" w14:textId="77777777" w:rsidR="00E171A0" w:rsidRPr="00B12C17" w:rsidRDefault="00E171A0" w:rsidP="00CF05A0">
            <w:pPr>
              <w:ind w:left="886" w:hanging="886"/>
              <w:jc w:val="right"/>
              <w:rPr>
                <w:rFonts w:ascii="Century Gothic" w:eastAsia="Times New Roman" w:hAnsi="Century Gothic"/>
                <w:szCs w:val="22"/>
              </w:rPr>
            </w:pPr>
          </w:p>
        </w:tc>
      </w:tr>
      <w:tr w:rsidR="00E171A0" w:rsidRPr="002864AA" w14:paraId="68B17F68" w14:textId="77777777" w:rsidTr="00CF05A0">
        <w:trPr>
          <w:trHeight w:val="270"/>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3B0332E3" w14:textId="59D4027C" w:rsidR="00E171A0" w:rsidRPr="00B12C17" w:rsidRDefault="00E171A0" w:rsidP="00CF05A0">
            <w:pPr>
              <w:rPr>
                <w:rFonts w:ascii="Century Gothic" w:eastAsia="Times New Roman" w:hAnsi="Century Gothic"/>
                <w:color w:val="000000" w:themeColor="text1"/>
                <w:szCs w:val="22"/>
              </w:rPr>
            </w:pPr>
            <w:r>
              <w:rPr>
                <w:rFonts w:ascii="Century Gothic" w:eastAsia="Times New Roman" w:hAnsi="Century Gothic"/>
                <w:color w:val="000000" w:themeColor="text1"/>
                <w:szCs w:val="22"/>
              </w:rPr>
              <w:t>Total participants</w:t>
            </w:r>
            <w:r w:rsidR="00B84D3D">
              <w:rPr>
                <w:rFonts w:ascii="Century Gothic" w:eastAsia="Times New Roman" w:hAnsi="Century Gothic"/>
                <w:color w:val="000000" w:themeColor="text1"/>
                <w:szCs w:val="22"/>
              </w:rPr>
              <w:t xml:space="preserve"> at end of FY24</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04C401F0" w14:textId="77777777" w:rsidR="00E171A0" w:rsidRPr="00B12C17" w:rsidRDefault="00E171A0" w:rsidP="00CF05A0">
            <w:pPr>
              <w:jc w:val="center"/>
              <w:rPr>
                <w:rFonts w:ascii="Century Gothic" w:eastAsia="Times New Roman" w:hAnsi="Century Gothic"/>
                <w:color w:val="000000" w:themeColor="text1"/>
                <w:szCs w:val="22"/>
              </w:rPr>
            </w:pPr>
            <w:r>
              <w:rPr>
                <w:rFonts w:ascii="Century Gothic" w:eastAsia="Times New Roman" w:hAnsi="Century Gothic"/>
                <w:color w:val="000000" w:themeColor="text1"/>
                <w:szCs w:val="22"/>
              </w:rPr>
              <w:t>78</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6E8B14FF" w14:textId="77777777" w:rsidR="00E171A0" w:rsidRPr="00B12C17" w:rsidRDefault="00E171A0" w:rsidP="00CF05A0">
            <w:pPr>
              <w:ind w:left="886" w:hanging="886"/>
              <w:jc w:val="right"/>
              <w:rPr>
                <w:rFonts w:ascii="Century Gothic" w:eastAsia="Times New Roman" w:hAnsi="Century Gothic"/>
                <w:szCs w:val="22"/>
              </w:rPr>
            </w:pPr>
          </w:p>
        </w:tc>
      </w:tr>
      <w:tr w:rsidR="00E171A0" w:rsidRPr="002864AA" w14:paraId="045F2A7B" w14:textId="77777777" w:rsidTr="00CF05A0">
        <w:trPr>
          <w:trHeight w:val="270"/>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7C71B3E3" w14:textId="77777777" w:rsidR="00E171A0" w:rsidRPr="00B12C17" w:rsidRDefault="00E171A0" w:rsidP="00CF05A0">
            <w:pPr>
              <w:rPr>
                <w:rFonts w:ascii="Century Gothic" w:hAnsi="Century Gothic"/>
                <w:szCs w:val="22"/>
              </w:rPr>
            </w:pPr>
            <w:r w:rsidRPr="00B12C17">
              <w:rPr>
                <w:rFonts w:ascii="Century Gothic" w:eastAsia="Times New Roman" w:hAnsi="Century Gothic"/>
                <w:color w:val="000000" w:themeColor="text1"/>
                <w:szCs w:val="22"/>
              </w:rPr>
              <w:t>Exemption</w:t>
            </w:r>
            <w:r>
              <w:rPr>
                <w:rFonts w:ascii="Century Gothic" w:eastAsia="Times New Roman" w:hAnsi="Century Gothic"/>
                <w:color w:val="000000" w:themeColor="text1"/>
                <w:szCs w:val="22"/>
              </w:rPr>
              <w:t xml:space="preserve"> from CARES</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310EF604" w14:textId="77777777" w:rsidR="00E171A0" w:rsidRPr="00B12C17" w:rsidRDefault="00E171A0" w:rsidP="00CF05A0">
            <w:pPr>
              <w:jc w:val="center"/>
              <w:rPr>
                <w:rFonts w:ascii="Century Gothic" w:eastAsia="Times New Roman" w:hAnsi="Century Gothic"/>
                <w:color w:val="000000" w:themeColor="text1"/>
                <w:szCs w:val="22"/>
              </w:rPr>
            </w:pPr>
            <w:r w:rsidRPr="00836D62">
              <w:rPr>
                <w:rFonts w:ascii="Century Gothic" w:eastAsia="Times New Roman" w:hAnsi="Century Gothic"/>
                <w:color w:val="000000" w:themeColor="text1"/>
                <w:szCs w:val="22"/>
              </w:rPr>
              <w:t>69</w:t>
            </w:r>
            <w:r w:rsidRPr="00B12C17">
              <w:rPr>
                <w:rFonts w:ascii="Century Gothic" w:eastAsia="Times New Roman" w:hAnsi="Century Gothic"/>
                <w:color w:val="000000" w:themeColor="text1"/>
                <w:szCs w:val="22"/>
              </w:rPr>
              <w:t xml:space="preserve"> </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2600B652" w14:textId="77777777" w:rsidR="00E171A0" w:rsidRPr="00B12C17" w:rsidRDefault="00E171A0" w:rsidP="00CF05A0">
            <w:pPr>
              <w:ind w:left="886" w:hanging="886"/>
              <w:jc w:val="right"/>
              <w:rPr>
                <w:rFonts w:ascii="Century Gothic" w:hAnsi="Century Gothic"/>
                <w:szCs w:val="22"/>
              </w:rPr>
            </w:pPr>
            <w:r w:rsidRPr="00B12C17">
              <w:rPr>
                <w:rFonts w:ascii="Century Gothic" w:eastAsia="Times New Roman" w:hAnsi="Century Gothic"/>
                <w:szCs w:val="22"/>
              </w:rPr>
              <w:t>1 out of 69 exempt</w:t>
            </w:r>
            <w:r>
              <w:rPr>
                <w:rFonts w:ascii="Century Gothic" w:eastAsia="Times New Roman" w:hAnsi="Century Gothic"/>
                <w:szCs w:val="22"/>
              </w:rPr>
              <w:t>ed participants reside</w:t>
            </w:r>
            <w:r w:rsidRPr="00B12C17">
              <w:rPr>
                <w:rFonts w:ascii="Century Gothic" w:eastAsia="Times New Roman" w:hAnsi="Century Gothic"/>
                <w:szCs w:val="22"/>
              </w:rPr>
              <w:t xml:space="preserve"> is BSI  </w:t>
            </w:r>
          </w:p>
        </w:tc>
      </w:tr>
      <w:tr w:rsidR="00E171A0" w:rsidRPr="002864AA" w14:paraId="21FCB51F" w14:textId="77777777" w:rsidTr="00CF05A0">
        <w:trPr>
          <w:trHeight w:val="255"/>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51ED571F" w14:textId="77777777" w:rsidR="00E171A0" w:rsidRPr="00B12C17" w:rsidRDefault="00E171A0" w:rsidP="00CF05A0">
            <w:pPr>
              <w:rPr>
                <w:rFonts w:ascii="Century Gothic" w:hAnsi="Century Gothic"/>
                <w:szCs w:val="22"/>
              </w:rPr>
            </w:pPr>
            <w:r w:rsidRPr="00B12C17">
              <w:rPr>
                <w:rFonts w:ascii="Century Gothic" w:eastAsia="Times New Roman" w:hAnsi="Century Gothic"/>
                <w:color w:val="000000" w:themeColor="text1"/>
                <w:szCs w:val="22"/>
              </w:rPr>
              <w:t>Vacan</w:t>
            </w:r>
            <w:r>
              <w:rPr>
                <w:rFonts w:ascii="Century Gothic" w:eastAsia="Times New Roman" w:hAnsi="Century Gothic"/>
                <w:color w:val="000000" w:themeColor="text1"/>
                <w:szCs w:val="22"/>
              </w:rPr>
              <w:t>t units/slots</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19342112" w14:textId="77777777" w:rsidR="00E171A0" w:rsidRPr="00B12C17" w:rsidRDefault="00E171A0" w:rsidP="00CF05A0">
            <w:pPr>
              <w:jc w:val="center"/>
              <w:rPr>
                <w:rFonts w:ascii="Century Gothic" w:eastAsia="Times New Roman" w:hAnsi="Century Gothic"/>
                <w:color w:val="000000" w:themeColor="text1"/>
                <w:szCs w:val="22"/>
              </w:rPr>
            </w:pPr>
            <w:r w:rsidRPr="00B12C17">
              <w:rPr>
                <w:rFonts w:ascii="Century Gothic" w:eastAsia="Times New Roman" w:hAnsi="Century Gothic"/>
                <w:color w:val="000000" w:themeColor="text1"/>
                <w:szCs w:val="22"/>
              </w:rPr>
              <w:t>17</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7FE57D16" w14:textId="77777777" w:rsidR="00E171A0" w:rsidRPr="00B12C17" w:rsidRDefault="00E171A0" w:rsidP="00CF05A0">
            <w:pPr>
              <w:ind w:left="886" w:hanging="886"/>
              <w:jc w:val="right"/>
              <w:rPr>
                <w:rFonts w:ascii="Century Gothic" w:hAnsi="Century Gothic"/>
                <w:szCs w:val="22"/>
              </w:rPr>
            </w:pPr>
            <w:r w:rsidRPr="00B12C17">
              <w:rPr>
                <w:rFonts w:ascii="Century Gothic" w:eastAsia="Times New Roman" w:hAnsi="Century Gothic"/>
                <w:szCs w:val="22"/>
              </w:rPr>
              <w:t xml:space="preserve">10 PBVs, 7 LIPH units </w:t>
            </w:r>
          </w:p>
        </w:tc>
      </w:tr>
      <w:tr w:rsidR="00E171A0" w:rsidRPr="002864AA" w14:paraId="64C4AC0E" w14:textId="77777777" w:rsidTr="00CF05A0">
        <w:trPr>
          <w:trHeight w:val="255"/>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76BD311D" w14:textId="77777777" w:rsidR="00E171A0" w:rsidRPr="00B12C17" w:rsidRDefault="00E171A0" w:rsidP="00CF05A0">
            <w:pPr>
              <w:rPr>
                <w:rFonts w:ascii="Century Gothic" w:eastAsia="Times New Roman" w:hAnsi="Century Gothic"/>
                <w:color w:val="000000" w:themeColor="text1"/>
                <w:szCs w:val="22"/>
              </w:rPr>
            </w:pPr>
            <w:r w:rsidRPr="00B12C17">
              <w:rPr>
                <w:rFonts w:ascii="Century Gothic" w:eastAsia="Times New Roman" w:hAnsi="Century Gothic"/>
                <w:color w:val="000000" w:themeColor="text1"/>
                <w:szCs w:val="22"/>
              </w:rPr>
              <w:t>Market Rate/Flat Rent</w:t>
            </w:r>
            <w:r>
              <w:rPr>
                <w:rFonts w:ascii="Century Gothic" w:eastAsia="Times New Roman" w:hAnsi="Century Gothic"/>
                <w:color w:val="000000" w:themeColor="text1"/>
                <w:szCs w:val="22"/>
              </w:rPr>
              <w:t xml:space="preserve">- </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531210FB" w14:textId="77777777" w:rsidR="00E171A0" w:rsidRPr="00B12C17" w:rsidRDefault="00E171A0" w:rsidP="00CF05A0">
            <w:pPr>
              <w:jc w:val="center"/>
              <w:rPr>
                <w:rFonts w:ascii="Century Gothic" w:eastAsia="MS PGothic" w:hAnsi="Century Gothic"/>
                <w:color w:val="000000" w:themeColor="text1"/>
                <w:szCs w:val="22"/>
              </w:rPr>
            </w:pPr>
            <w:r w:rsidRPr="00B12C17">
              <w:rPr>
                <w:rFonts w:ascii="Century Gothic" w:eastAsia="MS PGothic" w:hAnsi="Century Gothic"/>
                <w:color w:val="000000" w:themeColor="text1"/>
                <w:szCs w:val="22"/>
              </w:rPr>
              <w:t xml:space="preserve">16 </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7722594D" w14:textId="77777777" w:rsidR="00E171A0" w:rsidRDefault="00E171A0" w:rsidP="00CF05A0">
            <w:pPr>
              <w:jc w:val="right"/>
              <w:rPr>
                <w:rFonts w:ascii="Century Gothic" w:eastAsia="MS PGothic" w:hAnsi="Century Gothic"/>
                <w:szCs w:val="22"/>
              </w:rPr>
            </w:pPr>
            <w:r>
              <w:rPr>
                <w:rFonts w:ascii="Century Gothic" w:eastAsia="Times New Roman" w:hAnsi="Century Gothic"/>
                <w:color w:val="000000" w:themeColor="text1"/>
                <w:szCs w:val="22"/>
              </w:rPr>
              <w:t>Graduated from the program and remained on-site</w:t>
            </w:r>
            <w:r w:rsidRPr="00B12C17">
              <w:rPr>
                <w:rFonts w:ascii="Century Gothic" w:eastAsia="MS PGothic" w:hAnsi="Century Gothic"/>
                <w:szCs w:val="22"/>
              </w:rPr>
              <w:t xml:space="preserve"> </w:t>
            </w:r>
          </w:p>
          <w:p w14:paraId="7BC8E34B" w14:textId="77777777" w:rsidR="00E171A0" w:rsidRPr="00B12C17" w:rsidRDefault="00E171A0" w:rsidP="00CF05A0">
            <w:pPr>
              <w:jc w:val="right"/>
              <w:rPr>
                <w:rFonts w:ascii="Century Gothic" w:eastAsia="MS PGothic" w:hAnsi="Century Gothic"/>
                <w:szCs w:val="22"/>
              </w:rPr>
            </w:pPr>
            <w:r w:rsidRPr="00B12C17">
              <w:rPr>
                <w:rFonts w:ascii="Century Gothic" w:eastAsia="MS PGothic" w:hAnsi="Century Gothic"/>
                <w:szCs w:val="22"/>
              </w:rPr>
              <w:t>1 out of 16 additional market rate/flat rent in BSI</w:t>
            </w:r>
          </w:p>
        </w:tc>
      </w:tr>
      <w:tr w:rsidR="00E171A0" w:rsidRPr="002864AA" w14:paraId="3653FC76" w14:textId="77777777" w:rsidTr="00CF05A0">
        <w:trPr>
          <w:trHeight w:val="255"/>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68098002" w14:textId="77777777" w:rsidR="00E171A0" w:rsidRPr="00B12C17" w:rsidRDefault="00E171A0" w:rsidP="00CF05A0">
            <w:pPr>
              <w:rPr>
                <w:rFonts w:ascii="Century Gothic" w:eastAsia="Times New Roman" w:hAnsi="Century Gothic"/>
                <w:color w:val="000000" w:themeColor="text1"/>
                <w:szCs w:val="22"/>
              </w:rPr>
            </w:pPr>
            <w:r>
              <w:rPr>
                <w:rFonts w:ascii="Century Gothic" w:eastAsia="Times New Roman" w:hAnsi="Century Gothic"/>
                <w:color w:val="000000" w:themeColor="text1"/>
                <w:szCs w:val="22"/>
              </w:rPr>
              <w:t>TOTAL</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4F80AE48" w14:textId="77777777" w:rsidR="00E171A0" w:rsidRPr="00B12C17" w:rsidRDefault="00E171A0" w:rsidP="00CF05A0">
            <w:pPr>
              <w:jc w:val="center"/>
              <w:rPr>
                <w:rFonts w:ascii="Century Gothic" w:eastAsia="MS PGothic" w:hAnsi="Century Gothic"/>
                <w:color w:val="000000" w:themeColor="text1"/>
                <w:szCs w:val="22"/>
              </w:rPr>
            </w:pPr>
            <w:r w:rsidRPr="00836D62">
              <w:rPr>
                <w:rFonts w:ascii="Century Gothic" w:eastAsia="MS PGothic" w:hAnsi="Century Gothic"/>
                <w:color w:val="000000" w:themeColor="text1"/>
                <w:szCs w:val="22"/>
              </w:rPr>
              <w:t>180</w:t>
            </w: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16AAED08" w14:textId="269B0697" w:rsidR="00E171A0" w:rsidRPr="00B12C17" w:rsidRDefault="648D4743" w:rsidP="00CF05A0">
            <w:pPr>
              <w:jc w:val="right"/>
              <w:rPr>
                <w:rFonts w:ascii="Century Gothic" w:eastAsia="MS PGothic" w:hAnsi="Century Gothic"/>
              </w:rPr>
            </w:pPr>
            <w:r w:rsidRPr="65B48B4E">
              <w:rPr>
                <w:rFonts w:ascii="Century Gothic" w:eastAsia="MS PGothic" w:hAnsi="Century Gothic"/>
              </w:rPr>
              <w:t>This number reflects the 2 mentioned BS1 units above</w:t>
            </w:r>
          </w:p>
        </w:tc>
      </w:tr>
      <w:tr w:rsidR="00E5195D" w:rsidRPr="002864AA" w14:paraId="4A3A2ABB" w14:textId="77777777" w:rsidTr="00CF05A0">
        <w:trPr>
          <w:trHeight w:val="255"/>
        </w:trPr>
        <w:tc>
          <w:tcPr>
            <w:tcW w:w="36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1F6424E0" w14:textId="77777777" w:rsidR="00E5195D" w:rsidRDefault="00E5195D" w:rsidP="00CF05A0">
            <w:pPr>
              <w:rPr>
                <w:rFonts w:ascii="Century Gothic" w:eastAsia="Times New Roman" w:hAnsi="Century Gothic"/>
                <w:color w:val="000000" w:themeColor="text1"/>
                <w:szCs w:val="22"/>
              </w:rPr>
            </w:pP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5FE76357" w14:textId="77777777" w:rsidR="00E5195D" w:rsidRPr="00111C43" w:rsidRDefault="00E5195D" w:rsidP="00CF05A0">
            <w:pPr>
              <w:jc w:val="center"/>
              <w:rPr>
                <w:rFonts w:ascii="Century Gothic" w:eastAsia="MS PGothic" w:hAnsi="Century Gothic"/>
                <w:color w:val="000000" w:themeColor="text1"/>
                <w:szCs w:val="22"/>
                <w:highlight w:val="yellow"/>
              </w:rPr>
            </w:pPr>
          </w:p>
        </w:tc>
        <w:tc>
          <w:tcPr>
            <w:tcW w:w="360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4ADAE2C3" w14:textId="77777777" w:rsidR="00E5195D" w:rsidRPr="65B48B4E" w:rsidRDefault="00E5195D" w:rsidP="00CF05A0">
            <w:pPr>
              <w:jc w:val="right"/>
              <w:rPr>
                <w:rFonts w:ascii="Century Gothic" w:eastAsia="MS PGothic" w:hAnsi="Century Gothic"/>
              </w:rPr>
            </w:pPr>
          </w:p>
        </w:tc>
      </w:tr>
    </w:tbl>
    <w:p w14:paraId="1521A676" w14:textId="77777777" w:rsidR="00E171A0" w:rsidRDefault="00E171A0" w:rsidP="0169522C">
      <w:pPr>
        <w:rPr>
          <w:rFonts w:ascii="Century Gothic" w:eastAsia="Times New Roman" w:hAnsi="Century Gothic"/>
          <w:szCs w:val="22"/>
        </w:rPr>
      </w:pPr>
    </w:p>
    <w:p w14:paraId="13CFBF2E" w14:textId="2803E0CD" w:rsidR="0169522C" w:rsidRDefault="00121C2E" w:rsidP="005A1128">
      <w:pPr>
        <w:rPr>
          <w:rFonts w:ascii="Century Gothic" w:eastAsia="Times New Roman" w:hAnsi="Century Gothic"/>
          <w:szCs w:val="22"/>
        </w:rPr>
      </w:pPr>
      <w:r>
        <w:rPr>
          <w:rFonts w:ascii="Century Gothic" w:eastAsia="Times New Roman" w:hAnsi="Century Gothic"/>
          <w:szCs w:val="22"/>
        </w:rPr>
        <w:t xml:space="preserve">The table </w:t>
      </w:r>
      <w:r w:rsidR="00FB59FF">
        <w:rPr>
          <w:rFonts w:ascii="Century Gothic" w:eastAsia="Times New Roman" w:hAnsi="Century Gothic"/>
          <w:szCs w:val="22"/>
        </w:rPr>
        <w:t xml:space="preserve">below </w:t>
      </w:r>
      <w:r w:rsidR="00575667">
        <w:rPr>
          <w:rFonts w:ascii="Century Gothic" w:eastAsia="Times New Roman" w:hAnsi="Century Gothic"/>
          <w:szCs w:val="22"/>
        </w:rPr>
        <w:t>outlines the</w:t>
      </w:r>
      <w:r w:rsidR="005A1128">
        <w:rPr>
          <w:rFonts w:ascii="Century Gothic" w:eastAsia="Times New Roman" w:hAnsi="Century Gothic"/>
          <w:szCs w:val="22"/>
        </w:rPr>
        <w:t xml:space="preserve"> h</w:t>
      </w:r>
      <w:r w:rsidR="03E3E16B" w:rsidRPr="0038313F">
        <w:rPr>
          <w:rFonts w:ascii="Century Gothic" w:eastAsia="Times New Roman" w:hAnsi="Century Gothic"/>
          <w:szCs w:val="22"/>
        </w:rPr>
        <w:t>istorical program participation</w:t>
      </w:r>
      <w:r w:rsidR="00A818D9">
        <w:rPr>
          <w:rFonts w:ascii="Century Gothic" w:eastAsia="Times New Roman" w:hAnsi="Century Gothic"/>
          <w:szCs w:val="22"/>
        </w:rPr>
        <w:t xml:space="preserve"> and compliance</w:t>
      </w:r>
      <w:r w:rsidR="03E3E16B" w:rsidRPr="0038313F">
        <w:rPr>
          <w:rFonts w:ascii="Century Gothic" w:eastAsia="Times New Roman" w:hAnsi="Century Gothic"/>
          <w:szCs w:val="22"/>
        </w:rPr>
        <w:t xml:space="preserve"> </w:t>
      </w:r>
      <w:r w:rsidR="005A1128">
        <w:rPr>
          <w:rFonts w:ascii="Century Gothic" w:eastAsia="Times New Roman" w:hAnsi="Century Gothic"/>
          <w:szCs w:val="22"/>
        </w:rPr>
        <w:t>throughout the given FY</w:t>
      </w:r>
      <w:r w:rsidR="03E3E16B" w:rsidRPr="0038313F">
        <w:rPr>
          <w:rFonts w:ascii="Century Gothic" w:eastAsia="Times New Roman" w:hAnsi="Century Gothic"/>
          <w:szCs w:val="22"/>
        </w:rPr>
        <w:t>:</w:t>
      </w:r>
    </w:p>
    <w:p w14:paraId="079E069E" w14:textId="77777777" w:rsidR="00B12C17" w:rsidRPr="0038313F" w:rsidRDefault="00B12C17" w:rsidP="00111C43">
      <w:pPr>
        <w:jc w:val="center"/>
        <w:rPr>
          <w:rFonts w:ascii="Century Gothic" w:eastAsia="MS PGothic" w:hAnsi="Century Gothic"/>
          <w:szCs w:val="22"/>
        </w:rPr>
      </w:pPr>
    </w:p>
    <w:tbl>
      <w:tblPr>
        <w:tblW w:w="5660" w:type="dxa"/>
        <w:tblLook w:val="04A0" w:firstRow="1" w:lastRow="0" w:firstColumn="1" w:lastColumn="0" w:noHBand="0" w:noVBand="1"/>
      </w:tblPr>
      <w:tblGrid>
        <w:gridCol w:w="960"/>
        <w:gridCol w:w="1560"/>
        <w:gridCol w:w="1540"/>
        <w:gridCol w:w="1600"/>
      </w:tblGrid>
      <w:tr w:rsidR="00FE1B4D" w:rsidRPr="00FE1B4D" w14:paraId="656EAC8B" w14:textId="77777777" w:rsidTr="128C9D46">
        <w:trPr>
          <w:trHeight w:val="1110"/>
        </w:trPr>
        <w:tc>
          <w:tcPr>
            <w:tcW w:w="960" w:type="dxa"/>
            <w:tcBorders>
              <w:top w:val="single" w:sz="4" w:space="0" w:color="auto"/>
              <w:left w:val="single" w:sz="4" w:space="0" w:color="auto"/>
              <w:bottom w:val="single" w:sz="4" w:space="0" w:color="auto"/>
              <w:right w:val="nil"/>
            </w:tcBorders>
            <w:vAlign w:val="center"/>
            <w:hideMark/>
          </w:tcPr>
          <w:p w14:paraId="20F9C06B" w14:textId="2014D34B" w:rsidR="00FE1B4D" w:rsidRPr="00FE1B4D" w:rsidRDefault="00FE1B4D" w:rsidP="00111C43">
            <w:pPr>
              <w:jc w:val="center"/>
              <w:rPr>
                <w:rFonts w:ascii="Century Gothic" w:eastAsia="Times New Roman" w:hAnsi="Century Gothic"/>
                <w:b/>
                <w:bCs/>
                <w:szCs w:val="22"/>
                <w:lang w:eastAsia="en-US"/>
              </w:rPr>
            </w:pPr>
          </w:p>
        </w:tc>
        <w:tc>
          <w:tcPr>
            <w:tcW w:w="1560" w:type="dxa"/>
            <w:tcBorders>
              <w:top w:val="single" w:sz="4" w:space="0" w:color="auto"/>
              <w:left w:val="nil"/>
              <w:bottom w:val="single" w:sz="4" w:space="0" w:color="auto"/>
              <w:right w:val="nil"/>
            </w:tcBorders>
            <w:vAlign w:val="center"/>
            <w:hideMark/>
          </w:tcPr>
          <w:p w14:paraId="2857923A" w14:textId="59FAB4F1" w:rsidR="00FE1B4D" w:rsidRPr="00FE1B4D" w:rsidRDefault="00FE1B4D" w:rsidP="00111C43">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Number of Transition CARES</w:t>
            </w:r>
          </w:p>
        </w:tc>
        <w:tc>
          <w:tcPr>
            <w:tcW w:w="1540" w:type="dxa"/>
            <w:tcBorders>
              <w:top w:val="single" w:sz="4" w:space="0" w:color="auto"/>
              <w:left w:val="nil"/>
              <w:bottom w:val="single" w:sz="4" w:space="0" w:color="auto"/>
              <w:right w:val="nil"/>
            </w:tcBorders>
            <w:vAlign w:val="center"/>
            <w:hideMark/>
          </w:tcPr>
          <w:p w14:paraId="42918E3E" w14:textId="01FC7372" w:rsidR="00FE1B4D" w:rsidRPr="00FE1B4D" w:rsidRDefault="00FE1B4D" w:rsidP="00111C43">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Number of Full CARES</w:t>
            </w:r>
          </w:p>
        </w:tc>
        <w:tc>
          <w:tcPr>
            <w:tcW w:w="1600" w:type="dxa"/>
            <w:tcBorders>
              <w:top w:val="single" w:sz="4" w:space="0" w:color="auto"/>
              <w:left w:val="nil"/>
              <w:bottom w:val="single" w:sz="4" w:space="0" w:color="auto"/>
              <w:right w:val="single" w:sz="4" w:space="0" w:color="auto"/>
            </w:tcBorders>
            <w:vAlign w:val="center"/>
            <w:hideMark/>
          </w:tcPr>
          <w:p w14:paraId="650AABD3" w14:textId="4CE5937C" w:rsidR="00FE1B4D" w:rsidRPr="00FE1B4D" w:rsidRDefault="00FE1B4D" w:rsidP="00111C43">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 Program Compliant</w:t>
            </w:r>
          </w:p>
        </w:tc>
      </w:tr>
      <w:tr w:rsidR="00FE1B4D" w:rsidRPr="00FE1B4D" w14:paraId="69E22D5C" w14:textId="77777777" w:rsidTr="128C9D46">
        <w:trPr>
          <w:trHeight w:val="330"/>
        </w:trPr>
        <w:tc>
          <w:tcPr>
            <w:tcW w:w="960" w:type="dxa"/>
            <w:tcBorders>
              <w:top w:val="nil"/>
              <w:left w:val="single" w:sz="4" w:space="0" w:color="auto"/>
              <w:bottom w:val="single" w:sz="4" w:space="0" w:color="auto"/>
              <w:right w:val="nil"/>
            </w:tcBorders>
            <w:vAlign w:val="center"/>
            <w:hideMark/>
          </w:tcPr>
          <w:p w14:paraId="61DE4A1A" w14:textId="1E57E94C" w:rsidR="00FE1B4D" w:rsidRPr="00FE1B4D" w:rsidRDefault="00FE1B4D" w:rsidP="00111C43">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2013</w:t>
            </w:r>
          </w:p>
        </w:tc>
        <w:tc>
          <w:tcPr>
            <w:tcW w:w="1560" w:type="dxa"/>
            <w:tcBorders>
              <w:top w:val="nil"/>
              <w:left w:val="nil"/>
              <w:bottom w:val="single" w:sz="4" w:space="0" w:color="auto"/>
              <w:right w:val="nil"/>
            </w:tcBorders>
            <w:vAlign w:val="center"/>
            <w:hideMark/>
          </w:tcPr>
          <w:p w14:paraId="27CDC015" w14:textId="2D9DCCA5"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38</w:t>
            </w:r>
          </w:p>
        </w:tc>
        <w:tc>
          <w:tcPr>
            <w:tcW w:w="1540" w:type="dxa"/>
            <w:tcBorders>
              <w:top w:val="nil"/>
              <w:left w:val="nil"/>
              <w:bottom w:val="single" w:sz="4" w:space="0" w:color="auto"/>
              <w:right w:val="nil"/>
            </w:tcBorders>
            <w:vAlign w:val="center"/>
            <w:hideMark/>
          </w:tcPr>
          <w:p w14:paraId="1B4EAA0A" w14:textId="19C0AD16"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24</w:t>
            </w:r>
          </w:p>
        </w:tc>
        <w:tc>
          <w:tcPr>
            <w:tcW w:w="1600" w:type="dxa"/>
            <w:tcBorders>
              <w:top w:val="nil"/>
              <w:left w:val="nil"/>
              <w:bottom w:val="single" w:sz="4" w:space="0" w:color="auto"/>
              <w:right w:val="single" w:sz="4" w:space="0" w:color="auto"/>
            </w:tcBorders>
            <w:vAlign w:val="center"/>
            <w:hideMark/>
          </w:tcPr>
          <w:p w14:paraId="33DE1541" w14:textId="0FBCE1FD"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83%</w:t>
            </w:r>
          </w:p>
        </w:tc>
      </w:tr>
      <w:tr w:rsidR="00FE1B4D" w:rsidRPr="00FE1B4D" w14:paraId="7CF8BA3D" w14:textId="77777777" w:rsidTr="128C9D46">
        <w:trPr>
          <w:trHeight w:val="330"/>
        </w:trPr>
        <w:tc>
          <w:tcPr>
            <w:tcW w:w="960" w:type="dxa"/>
            <w:tcBorders>
              <w:top w:val="nil"/>
              <w:left w:val="single" w:sz="4" w:space="0" w:color="auto"/>
              <w:bottom w:val="single" w:sz="4" w:space="0" w:color="auto"/>
              <w:right w:val="nil"/>
            </w:tcBorders>
            <w:vAlign w:val="center"/>
            <w:hideMark/>
          </w:tcPr>
          <w:p w14:paraId="24F31EF4" w14:textId="5C3654D7" w:rsidR="00FE1B4D" w:rsidRPr="00FE1B4D" w:rsidRDefault="00FE1B4D" w:rsidP="00111C43">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2014</w:t>
            </w:r>
          </w:p>
        </w:tc>
        <w:tc>
          <w:tcPr>
            <w:tcW w:w="1560" w:type="dxa"/>
            <w:tcBorders>
              <w:top w:val="nil"/>
              <w:left w:val="nil"/>
              <w:bottom w:val="single" w:sz="4" w:space="0" w:color="auto"/>
              <w:right w:val="nil"/>
            </w:tcBorders>
            <w:vAlign w:val="center"/>
            <w:hideMark/>
          </w:tcPr>
          <w:p w14:paraId="1DF74C23" w14:textId="2B61A335"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68</w:t>
            </w:r>
          </w:p>
        </w:tc>
        <w:tc>
          <w:tcPr>
            <w:tcW w:w="1540" w:type="dxa"/>
            <w:tcBorders>
              <w:top w:val="nil"/>
              <w:left w:val="nil"/>
              <w:bottom w:val="single" w:sz="4" w:space="0" w:color="auto"/>
              <w:right w:val="nil"/>
            </w:tcBorders>
            <w:vAlign w:val="center"/>
            <w:hideMark/>
          </w:tcPr>
          <w:p w14:paraId="333097DC" w14:textId="5BBEFFB2"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48</w:t>
            </w:r>
          </w:p>
        </w:tc>
        <w:tc>
          <w:tcPr>
            <w:tcW w:w="1600" w:type="dxa"/>
            <w:tcBorders>
              <w:top w:val="nil"/>
              <w:left w:val="nil"/>
              <w:bottom w:val="single" w:sz="4" w:space="0" w:color="auto"/>
              <w:right w:val="single" w:sz="4" w:space="0" w:color="auto"/>
            </w:tcBorders>
            <w:vAlign w:val="center"/>
            <w:hideMark/>
          </w:tcPr>
          <w:p w14:paraId="6A3E8ECA" w14:textId="49642887"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98%</w:t>
            </w:r>
          </w:p>
        </w:tc>
      </w:tr>
      <w:tr w:rsidR="00FE1B4D" w:rsidRPr="00FE1B4D" w14:paraId="3EC5D399" w14:textId="77777777" w:rsidTr="128C9D46">
        <w:trPr>
          <w:trHeight w:val="330"/>
        </w:trPr>
        <w:tc>
          <w:tcPr>
            <w:tcW w:w="960" w:type="dxa"/>
            <w:tcBorders>
              <w:top w:val="nil"/>
              <w:left w:val="single" w:sz="4" w:space="0" w:color="auto"/>
              <w:bottom w:val="single" w:sz="4" w:space="0" w:color="auto"/>
              <w:right w:val="nil"/>
            </w:tcBorders>
            <w:vAlign w:val="center"/>
            <w:hideMark/>
          </w:tcPr>
          <w:p w14:paraId="6D0DB4B6" w14:textId="2273AD38" w:rsidR="00FE1B4D" w:rsidRPr="00FE1B4D" w:rsidRDefault="00FE1B4D" w:rsidP="00111C43">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2015</w:t>
            </w:r>
          </w:p>
        </w:tc>
        <w:tc>
          <w:tcPr>
            <w:tcW w:w="1560" w:type="dxa"/>
            <w:tcBorders>
              <w:top w:val="nil"/>
              <w:left w:val="nil"/>
              <w:bottom w:val="single" w:sz="4" w:space="0" w:color="auto"/>
              <w:right w:val="nil"/>
            </w:tcBorders>
            <w:vAlign w:val="center"/>
            <w:hideMark/>
          </w:tcPr>
          <w:p w14:paraId="41DAA261" w14:textId="4AC8FF94"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92</w:t>
            </w:r>
          </w:p>
        </w:tc>
        <w:tc>
          <w:tcPr>
            <w:tcW w:w="1540" w:type="dxa"/>
            <w:tcBorders>
              <w:top w:val="nil"/>
              <w:left w:val="nil"/>
              <w:bottom w:val="single" w:sz="4" w:space="0" w:color="auto"/>
              <w:right w:val="nil"/>
            </w:tcBorders>
            <w:vAlign w:val="center"/>
            <w:hideMark/>
          </w:tcPr>
          <w:p w14:paraId="7B942B3E" w14:textId="1C01C07C"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83</w:t>
            </w:r>
          </w:p>
        </w:tc>
        <w:tc>
          <w:tcPr>
            <w:tcW w:w="1600" w:type="dxa"/>
            <w:tcBorders>
              <w:top w:val="nil"/>
              <w:left w:val="nil"/>
              <w:bottom w:val="single" w:sz="4" w:space="0" w:color="auto"/>
              <w:right w:val="single" w:sz="4" w:space="0" w:color="auto"/>
            </w:tcBorders>
            <w:vAlign w:val="center"/>
            <w:hideMark/>
          </w:tcPr>
          <w:p w14:paraId="7E4BD8B7" w14:textId="0A422839"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90%</w:t>
            </w:r>
          </w:p>
        </w:tc>
      </w:tr>
      <w:tr w:rsidR="00FE1B4D" w:rsidRPr="00FE1B4D" w14:paraId="38006FB8" w14:textId="77777777" w:rsidTr="128C9D46">
        <w:trPr>
          <w:trHeight w:val="330"/>
        </w:trPr>
        <w:tc>
          <w:tcPr>
            <w:tcW w:w="960" w:type="dxa"/>
            <w:tcBorders>
              <w:top w:val="nil"/>
              <w:left w:val="single" w:sz="4" w:space="0" w:color="auto"/>
              <w:bottom w:val="single" w:sz="4" w:space="0" w:color="auto"/>
              <w:right w:val="nil"/>
            </w:tcBorders>
            <w:vAlign w:val="center"/>
            <w:hideMark/>
          </w:tcPr>
          <w:p w14:paraId="46537CCF" w14:textId="270DB7A6" w:rsidR="00FE1B4D" w:rsidRPr="00FE1B4D" w:rsidRDefault="00FE1B4D" w:rsidP="00111C43">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2016</w:t>
            </w:r>
          </w:p>
        </w:tc>
        <w:tc>
          <w:tcPr>
            <w:tcW w:w="1560" w:type="dxa"/>
            <w:tcBorders>
              <w:top w:val="nil"/>
              <w:left w:val="nil"/>
              <w:bottom w:val="single" w:sz="4" w:space="0" w:color="auto"/>
              <w:right w:val="nil"/>
            </w:tcBorders>
            <w:vAlign w:val="center"/>
            <w:hideMark/>
          </w:tcPr>
          <w:p w14:paraId="0BE7DE14" w14:textId="544B23D6"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82</w:t>
            </w:r>
          </w:p>
        </w:tc>
        <w:tc>
          <w:tcPr>
            <w:tcW w:w="1540" w:type="dxa"/>
            <w:tcBorders>
              <w:top w:val="nil"/>
              <w:left w:val="nil"/>
              <w:bottom w:val="single" w:sz="4" w:space="0" w:color="auto"/>
              <w:right w:val="nil"/>
            </w:tcBorders>
            <w:vAlign w:val="center"/>
            <w:hideMark/>
          </w:tcPr>
          <w:p w14:paraId="593F66AD" w14:textId="61AA9BFC"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56</w:t>
            </w:r>
          </w:p>
        </w:tc>
        <w:tc>
          <w:tcPr>
            <w:tcW w:w="1600" w:type="dxa"/>
            <w:tcBorders>
              <w:top w:val="nil"/>
              <w:left w:val="nil"/>
              <w:bottom w:val="single" w:sz="4" w:space="0" w:color="auto"/>
              <w:right w:val="single" w:sz="4" w:space="0" w:color="auto"/>
            </w:tcBorders>
            <w:vAlign w:val="center"/>
            <w:hideMark/>
          </w:tcPr>
          <w:p w14:paraId="7052EAA3" w14:textId="692F0B2E"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46%</w:t>
            </w:r>
          </w:p>
        </w:tc>
      </w:tr>
      <w:tr w:rsidR="00FE1B4D" w:rsidRPr="00FE1B4D" w14:paraId="15899210" w14:textId="77777777" w:rsidTr="128C9D46">
        <w:trPr>
          <w:trHeight w:val="330"/>
        </w:trPr>
        <w:tc>
          <w:tcPr>
            <w:tcW w:w="960" w:type="dxa"/>
            <w:tcBorders>
              <w:top w:val="nil"/>
              <w:left w:val="single" w:sz="4" w:space="0" w:color="auto"/>
              <w:bottom w:val="single" w:sz="4" w:space="0" w:color="auto"/>
              <w:right w:val="nil"/>
            </w:tcBorders>
            <w:vAlign w:val="center"/>
            <w:hideMark/>
          </w:tcPr>
          <w:p w14:paraId="03CAAD1B" w14:textId="4CCCCE7C" w:rsidR="00FE1B4D" w:rsidRPr="00FE1B4D" w:rsidRDefault="00FE1B4D" w:rsidP="00260E29">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2017</w:t>
            </w:r>
          </w:p>
        </w:tc>
        <w:tc>
          <w:tcPr>
            <w:tcW w:w="1560" w:type="dxa"/>
            <w:tcBorders>
              <w:top w:val="nil"/>
              <w:left w:val="nil"/>
              <w:bottom w:val="single" w:sz="4" w:space="0" w:color="auto"/>
              <w:right w:val="nil"/>
            </w:tcBorders>
            <w:vAlign w:val="center"/>
            <w:hideMark/>
          </w:tcPr>
          <w:p w14:paraId="115F8E52" w14:textId="681A3EAA"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63</w:t>
            </w:r>
          </w:p>
        </w:tc>
        <w:tc>
          <w:tcPr>
            <w:tcW w:w="1540" w:type="dxa"/>
            <w:tcBorders>
              <w:top w:val="nil"/>
              <w:left w:val="nil"/>
              <w:bottom w:val="single" w:sz="4" w:space="0" w:color="auto"/>
              <w:right w:val="nil"/>
            </w:tcBorders>
            <w:vAlign w:val="center"/>
            <w:hideMark/>
          </w:tcPr>
          <w:p w14:paraId="19E3AB65" w14:textId="51E2F4DF"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64</w:t>
            </w:r>
          </w:p>
        </w:tc>
        <w:tc>
          <w:tcPr>
            <w:tcW w:w="1600" w:type="dxa"/>
            <w:tcBorders>
              <w:top w:val="nil"/>
              <w:left w:val="nil"/>
              <w:bottom w:val="single" w:sz="4" w:space="0" w:color="auto"/>
              <w:right w:val="single" w:sz="4" w:space="0" w:color="auto"/>
            </w:tcBorders>
            <w:vAlign w:val="center"/>
            <w:hideMark/>
          </w:tcPr>
          <w:p w14:paraId="4E32FFBB" w14:textId="0AD8E52F"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100%</w:t>
            </w:r>
          </w:p>
        </w:tc>
      </w:tr>
      <w:tr w:rsidR="00FE1B4D" w:rsidRPr="00FE1B4D" w14:paraId="23C4BF3A" w14:textId="77777777" w:rsidTr="128C9D46">
        <w:trPr>
          <w:trHeight w:val="330"/>
        </w:trPr>
        <w:tc>
          <w:tcPr>
            <w:tcW w:w="960" w:type="dxa"/>
            <w:tcBorders>
              <w:top w:val="nil"/>
              <w:left w:val="single" w:sz="4" w:space="0" w:color="000000" w:themeColor="text1"/>
              <w:bottom w:val="nil"/>
              <w:right w:val="nil"/>
            </w:tcBorders>
            <w:vAlign w:val="center"/>
            <w:hideMark/>
          </w:tcPr>
          <w:p w14:paraId="59B51D38" w14:textId="3DDCEB34" w:rsidR="00FE1B4D" w:rsidRPr="00FE1B4D" w:rsidRDefault="00FE1B4D" w:rsidP="00260E29">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2018</w:t>
            </w:r>
          </w:p>
        </w:tc>
        <w:tc>
          <w:tcPr>
            <w:tcW w:w="1560" w:type="dxa"/>
            <w:tcBorders>
              <w:top w:val="nil"/>
              <w:left w:val="nil"/>
              <w:bottom w:val="nil"/>
              <w:right w:val="nil"/>
            </w:tcBorders>
            <w:vAlign w:val="center"/>
            <w:hideMark/>
          </w:tcPr>
          <w:p w14:paraId="142ECA08" w14:textId="5F380D65"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73</w:t>
            </w:r>
          </w:p>
        </w:tc>
        <w:tc>
          <w:tcPr>
            <w:tcW w:w="1540" w:type="dxa"/>
            <w:tcBorders>
              <w:top w:val="nil"/>
              <w:left w:val="nil"/>
              <w:bottom w:val="nil"/>
              <w:right w:val="nil"/>
            </w:tcBorders>
            <w:vAlign w:val="center"/>
            <w:hideMark/>
          </w:tcPr>
          <w:p w14:paraId="620962D4" w14:textId="0466BDED"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75</w:t>
            </w:r>
          </w:p>
        </w:tc>
        <w:tc>
          <w:tcPr>
            <w:tcW w:w="1600" w:type="dxa"/>
            <w:tcBorders>
              <w:top w:val="nil"/>
              <w:left w:val="nil"/>
              <w:bottom w:val="nil"/>
              <w:right w:val="single" w:sz="4" w:space="0" w:color="000000" w:themeColor="text1"/>
            </w:tcBorders>
            <w:vAlign w:val="center"/>
            <w:hideMark/>
          </w:tcPr>
          <w:p w14:paraId="1D215BA0" w14:textId="7490E597"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46%</w:t>
            </w:r>
          </w:p>
        </w:tc>
      </w:tr>
      <w:tr w:rsidR="00FE1B4D" w:rsidRPr="00FE1B4D" w14:paraId="25A9AD2C" w14:textId="77777777" w:rsidTr="128C9D46">
        <w:trPr>
          <w:trHeight w:val="330"/>
        </w:trPr>
        <w:tc>
          <w:tcPr>
            <w:tcW w:w="960" w:type="dxa"/>
            <w:tcBorders>
              <w:top w:val="single" w:sz="4" w:space="0" w:color="auto"/>
              <w:left w:val="single" w:sz="4" w:space="0" w:color="auto"/>
              <w:bottom w:val="single" w:sz="4" w:space="0" w:color="auto"/>
              <w:right w:val="nil"/>
            </w:tcBorders>
            <w:vAlign w:val="center"/>
            <w:hideMark/>
          </w:tcPr>
          <w:p w14:paraId="4DE8CD17" w14:textId="75C4D068" w:rsidR="00FE1B4D" w:rsidRPr="00FE1B4D" w:rsidRDefault="00FE1B4D" w:rsidP="00260E29">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2019</w:t>
            </w:r>
          </w:p>
        </w:tc>
        <w:tc>
          <w:tcPr>
            <w:tcW w:w="1560" w:type="dxa"/>
            <w:tcBorders>
              <w:top w:val="single" w:sz="4" w:space="0" w:color="auto"/>
              <w:left w:val="nil"/>
              <w:bottom w:val="single" w:sz="4" w:space="0" w:color="auto"/>
              <w:right w:val="nil"/>
            </w:tcBorders>
            <w:vAlign w:val="center"/>
            <w:hideMark/>
          </w:tcPr>
          <w:p w14:paraId="7710CDF5" w14:textId="1A7C1E0B"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51</w:t>
            </w:r>
          </w:p>
        </w:tc>
        <w:tc>
          <w:tcPr>
            <w:tcW w:w="1540" w:type="dxa"/>
            <w:tcBorders>
              <w:top w:val="single" w:sz="4" w:space="0" w:color="auto"/>
              <w:left w:val="nil"/>
              <w:bottom w:val="single" w:sz="4" w:space="0" w:color="auto"/>
              <w:right w:val="nil"/>
            </w:tcBorders>
            <w:vAlign w:val="center"/>
            <w:hideMark/>
          </w:tcPr>
          <w:p w14:paraId="5ABA31B4" w14:textId="26995401"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69</w:t>
            </w:r>
          </w:p>
        </w:tc>
        <w:tc>
          <w:tcPr>
            <w:tcW w:w="1600" w:type="dxa"/>
            <w:tcBorders>
              <w:top w:val="single" w:sz="4" w:space="0" w:color="auto"/>
              <w:left w:val="nil"/>
              <w:bottom w:val="single" w:sz="4" w:space="0" w:color="auto"/>
              <w:right w:val="single" w:sz="4" w:space="0" w:color="auto"/>
            </w:tcBorders>
            <w:vAlign w:val="center"/>
            <w:hideMark/>
          </w:tcPr>
          <w:p w14:paraId="3411B06A" w14:textId="63387331"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94%</w:t>
            </w:r>
          </w:p>
        </w:tc>
      </w:tr>
      <w:tr w:rsidR="00FE1B4D" w:rsidRPr="00FE1B4D" w14:paraId="2FE4BF85" w14:textId="77777777" w:rsidTr="128C9D46">
        <w:trPr>
          <w:trHeight w:val="330"/>
        </w:trPr>
        <w:tc>
          <w:tcPr>
            <w:tcW w:w="960" w:type="dxa"/>
            <w:tcBorders>
              <w:top w:val="nil"/>
              <w:left w:val="single" w:sz="4" w:space="0" w:color="000000" w:themeColor="text1"/>
              <w:bottom w:val="nil"/>
              <w:right w:val="nil"/>
            </w:tcBorders>
            <w:vAlign w:val="center"/>
            <w:hideMark/>
          </w:tcPr>
          <w:p w14:paraId="79654294" w14:textId="07A80DEC" w:rsidR="00FE1B4D" w:rsidRPr="00FE1B4D" w:rsidRDefault="00FE1B4D" w:rsidP="00260E29">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2020</w:t>
            </w:r>
          </w:p>
        </w:tc>
        <w:tc>
          <w:tcPr>
            <w:tcW w:w="1560" w:type="dxa"/>
            <w:tcBorders>
              <w:top w:val="nil"/>
              <w:left w:val="nil"/>
              <w:bottom w:val="nil"/>
              <w:right w:val="nil"/>
            </w:tcBorders>
            <w:vAlign w:val="center"/>
            <w:hideMark/>
          </w:tcPr>
          <w:p w14:paraId="3CB8208D" w14:textId="552AD885"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47</w:t>
            </w:r>
          </w:p>
        </w:tc>
        <w:tc>
          <w:tcPr>
            <w:tcW w:w="1540" w:type="dxa"/>
            <w:tcBorders>
              <w:top w:val="nil"/>
              <w:left w:val="nil"/>
              <w:bottom w:val="nil"/>
              <w:right w:val="nil"/>
            </w:tcBorders>
            <w:vAlign w:val="center"/>
            <w:hideMark/>
          </w:tcPr>
          <w:p w14:paraId="7EC59391" w14:textId="67C15296"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68</w:t>
            </w:r>
          </w:p>
        </w:tc>
        <w:tc>
          <w:tcPr>
            <w:tcW w:w="1600" w:type="dxa"/>
            <w:tcBorders>
              <w:top w:val="nil"/>
              <w:left w:val="nil"/>
              <w:bottom w:val="nil"/>
              <w:right w:val="single" w:sz="4" w:space="0" w:color="000000" w:themeColor="text1"/>
            </w:tcBorders>
            <w:vAlign w:val="center"/>
            <w:hideMark/>
          </w:tcPr>
          <w:p w14:paraId="7CBB136A" w14:textId="7E8A3063"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97%</w:t>
            </w:r>
          </w:p>
        </w:tc>
      </w:tr>
      <w:tr w:rsidR="00FE1B4D" w:rsidRPr="00FE1B4D" w14:paraId="74DA7A85" w14:textId="77777777" w:rsidTr="128C9D46">
        <w:trPr>
          <w:trHeight w:val="330"/>
        </w:trPr>
        <w:tc>
          <w:tcPr>
            <w:tcW w:w="960" w:type="dxa"/>
            <w:tcBorders>
              <w:top w:val="single" w:sz="4" w:space="0" w:color="auto"/>
              <w:left w:val="single" w:sz="4" w:space="0" w:color="auto"/>
              <w:bottom w:val="single" w:sz="4" w:space="0" w:color="auto"/>
              <w:right w:val="nil"/>
            </w:tcBorders>
            <w:vAlign w:val="center"/>
            <w:hideMark/>
          </w:tcPr>
          <w:p w14:paraId="75942E73" w14:textId="166F3563" w:rsidR="00FE1B4D" w:rsidRPr="00FE1B4D" w:rsidRDefault="00FE1B4D" w:rsidP="00260E29">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lastRenderedPageBreak/>
              <w:t>2021</w:t>
            </w:r>
          </w:p>
        </w:tc>
        <w:tc>
          <w:tcPr>
            <w:tcW w:w="1560" w:type="dxa"/>
            <w:tcBorders>
              <w:top w:val="single" w:sz="4" w:space="0" w:color="auto"/>
              <w:left w:val="nil"/>
              <w:bottom w:val="single" w:sz="4" w:space="0" w:color="auto"/>
              <w:right w:val="nil"/>
            </w:tcBorders>
            <w:vAlign w:val="center"/>
            <w:hideMark/>
          </w:tcPr>
          <w:p w14:paraId="50C6E983" w14:textId="435FCE56"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36</w:t>
            </w:r>
          </w:p>
        </w:tc>
        <w:tc>
          <w:tcPr>
            <w:tcW w:w="1540" w:type="dxa"/>
            <w:tcBorders>
              <w:top w:val="single" w:sz="4" w:space="0" w:color="auto"/>
              <w:left w:val="nil"/>
              <w:bottom w:val="single" w:sz="4" w:space="0" w:color="auto"/>
              <w:right w:val="nil"/>
            </w:tcBorders>
            <w:vAlign w:val="center"/>
            <w:hideMark/>
          </w:tcPr>
          <w:p w14:paraId="79F92A9E" w14:textId="4D7B9BFF"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81</w:t>
            </w:r>
          </w:p>
        </w:tc>
        <w:tc>
          <w:tcPr>
            <w:tcW w:w="1600" w:type="dxa"/>
            <w:tcBorders>
              <w:top w:val="single" w:sz="4" w:space="0" w:color="auto"/>
              <w:left w:val="nil"/>
              <w:bottom w:val="single" w:sz="4" w:space="0" w:color="auto"/>
              <w:right w:val="single" w:sz="4" w:space="0" w:color="auto"/>
            </w:tcBorders>
            <w:vAlign w:val="center"/>
            <w:hideMark/>
          </w:tcPr>
          <w:p w14:paraId="66E4DC0B" w14:textId="1A1C6EEA"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95%</w:t>
            </w:r>
          </w:p>
        </w:tc>
      </w:tr>
      <w:tr w:rsidR="00FE1B4D" w:rsidRPr="00FE1B4D" w14:paraId="77613614" w14:textId="77777777" w:rsidTr="128C9D46">
        <w:trPr>
          <w:trHeight w:val="330"/>
        </w:trPr>
        <w:tc>
          <w:tcPr>
            <w:tcW w:w="960" w:type="dxa"/>
            <w:tcBorders>
              <w:top w:val="nil"/>
              <w:left w:val="single" w:sz="4" w:space="0" w:color="auto"/>
              <w:bottom w:val="single" w:sz="4" w:space="0" w:color="000000" w:themeColor="text1"/>
              <w:right w:val="nil"/>
            </w:tcBorders>
            <w:vAlign w:val="center"/>
            <w:hideMark/>
          </w:tcPr>
          <w:p w14:paraId="7C9B2910" w14:textId="4FD7C25A" w:rsidR="00FE1B4D" w:rsidRPr="00FE1B4D" w:rsidRDefault="00FE1B4D" w:rsidP="00260E29">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2022</w:t>
            </w:r>
          </w:p>
        </w:tc>
        <w:tc>
          <w:tcPr>
            <w:tcW w:w="1560" w:type="dxa"/>
            <w:tcBorders>
              <w:top w:val="nil"/>
              <w:left w:val="nil"/>
              <w:bottom w:val="single" w:sz="4" w:space="0" w:color="000000" w:themeColor="text1"/>
              <w:right w:val="nil"/>
            </w:tcBorders>
            <w:vAlign w:val="center"/>
            <w:hideMark/>
          </w:tcPr>
          <w:p w14:paraId="6783489D" w14:textId="2347CB24"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50</w:t>
            </w:r>
          </w:p>
        </w:tc>
        <w:tc>
          <w:tcPr>
            <w:tcW w:w="1540" w:type="dxa"/>
            <w:tcBorders>
              <w:top w:val="nil"/>
              <w:left w:val="nil"/>
              <w:bottom w:val="single" w:sz="4" w:space="0" w:color="000000" w:themeColor="text1"/>
              <w:right w:val="nil"/>
            </w:tcBorders>
            <w:vAlign w:val="center"/>
            <w:hideMark/>
          </w:tcPr>
          <w:p w14:paraId="3285AE57" w14:textId="1448F2C1"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52</w:t>
            </w:r>
          </w:p>
        </w:tc>
        <w:tc>
          <w:tcPr>
            <w:tcW w:w="1600" w:type="dxa"/>
            <w:tcBorders>
              <w:top w:val="nil"/>
              <w:left w:val="nil"/>
              <w:bottom w:val="single" w:sz="4" w:space="0" w:color="000000" w:themeColor="text1"/>
              <w:right w:val="single" w:sz="4" w:space="0" w:color="auto"/>
            </w:tcBorders>
            <w:vAlign w:val="center"/>
            <w:hideMark/>
          </w:tcPr>
          <w:p w14:paraId="4D7E0A62" w14:textId="4D95A550"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97%</w:t>
            </w:r>
          </w:p>
        </w:tc>
      </w:tr>
      <w:tr w:rsidR="00FE1B4D" w:rsidRPr="00FE1B4D" w14:paraId="1EBF4556" w14:textId="77777777" w:rsidTr="128C9D46">
        <w:trPr>
          <w:trHeight w:val="330"/>
        </w:trPr>
        <w:tc>
          <w:tcPr>
            <w:tcW w:w="960" w:type="dxa"/>
            <w:tcBorders>
              <w:top w:val="nil"/>
              <w:left w:val="single" w:sz="4" w:space="0" w:color="auto"/>
              <w:bottom w:val="single" w:sz="4" w:space="0" w:color="auto"/>
              <w:right w:val="nil"/>
            </w:tcBorders>
            <w:vAlign w:val="center"/>
            <w:hideMark/>
          </w:tcPr>
          <w:p w14:paraId="67648D5B" w14:textId="77777777" w:rsidR="00FE1B4D" w:rsidRPr="00FE1B4D" w:rsidRDefault="00FE1B4D" w:rsidP="00260E29">
            <w:pPr>
              <w:jc w:val="center"/>
              <w:rPr>
                <w:rFonts w:ascii="Century Gothic" w:eastAsia="Times New Roman" w:hAnsi="Century Gothic"/>
                <w:b/>
                <w:bCs/>
                <w:color w:val="000000"/>
                <w:szCs w:val="22"/>
                <w:lang w:eastAsia="en-US"/>
              </w:rPr>
            </w:pPr>
            <w:r w:rsidRPr="00FE1B4D">
              <w:rPr>
                <w:rFonts w:ascii="Century Gothic" w:eastAsia="Times New Roman" w:hAnsi="Century Gothic"/>
                <w:b/>
                <w:bCs/>
                <w:color w:val="000000"/>
                <w:szCs w:val="22"/>
                <w:lang w:eastAsia="en-US"/>
              </w:rPr>
              <w:t>2023</w:t>
            </w:r>
          </w:p>
        </w:tc>
        <w:tc>
          <w:tcPr>
            <w:tcW w:w="1560" w:type="dxa"/>
            <w:tcBorders>
              <w:top w:val="nil"/>
              <w:left w:val="nil"/>
              <w:bottom w:val="single" w:sz="4" w:space="0" w:color="auto"/>
              <w:right w:val="nil"/>
            </w:tcBorders>
            <w:vAlign w:val="center"/>
            <w:hideMark/>
          </w:tcPr>
          <w:p w14:paraId="178FD213" w14:textId="77777777" w:rsidR="00FE1B4D" w:rsidRPr="007B4269" w:rsidRDefault="00FE1B4D" w:rsidP="00111C43">
            <w:pPr>
              <w:jc w:val="center"/>
              <w:rPr>
                <w:rFonts w:ascii="Century Gothic" w:eastAsia="Times New Roman" w:hAnsi="Century Gothic"/>
                <w:color w:val="000000"/>
                <w:szCs w:val="22"/>
                <w:lang w:eastAsia="en-US"/>
              </w:rPr>
            </w:pPr>
            <w:r w:rsidRPr="007B4269">
              <w:rPr>
                <w:rFonts w:ascii="Century Gothic" w:eastAsia="Times New Roman" w:hAnsi="Century Gothic"/>
                <w:color w:val="000000"/>
                <w:szCs w:val="22"/>
                <w:lang w:eastAsia="en-US"/>
              </w:rPr>
              <w:t>40</w:t>
            </w:r>
          </w:p>
        </w:tc>
        <w:tc>
          <w:tcPr>
            <w:tcW w:w="1540" w:type="dxa"/>
            <w:tcBorders>
              <w:top w:val="nil"/>
              <w:left w:val="nil"/>
              <w:bottom w:val="single" w:sz="4" w:space="0" w:color="auto"/>
              <w:right w:val="nil"/>
            </w:tcBorders>
            <w:vAlign w:val="center"/>
            <w:hideMark/>
          </w:tcPr>
          <w:p w14:paraId="037AD99B" w14:textId="77777777" w:rsidR="00FE1B4D" w:rsidRPr="007B4269" w:rsidRDefault="00FE1B4D" w:rsidP="00111C43">
            <w:pPr>
              <w:jc w:val="center"/>
              <w:rPr>
                <w:rFonts w:ascii="Century Gothic" w:eastAsia="Times New Roman" w:hAnsi="Century Gothic"/>
                <w:color w:val="000000"/>
                <w:szCs w:val="22"/>
                <w:lang w:eastAsia="en-US"/>
              </w:rPr>
            </w:pPr>
            <w:r w:rsidRPr="007B4269">
              <w:rPr>
                <w:rFonts w:ascii="Century Gothic" w:eastAsia="Times New Roman" w:hAnsi="Century Gothic"/>
                <w:color w:val="000000"/>
                <w:szCs w:val="22"/>
                <w:lang w:eastAsia="en-US"/>
              </w:rPr>
              <w:t>55</w:t>
            </w:r>
          </w:p>
        </w:tc>
        <w:tc>
          <w:tcPr>
            <w:tcW w:w="1600" w:type="dxa"/>
            <w:tcBorders>
              <w:top w:val="nil"/>
              <w:left w:val="nil"/>
              <w:bottom w:val="single" w:sz="4" w:space="0" w:color="auto"/>
              <w:right w:val="single" w:sz="4" w:space="0" w:color="auto"/>
            </w:tcBorders>
            <w:vAlign w:val="center"/>
            <w:hideMark/>
          </w:tcPr>
          <w:p w14:paraId="1AFAB35A" w14:textId="77777777" w:rsidR="00FE1B4D" w:rsidRPr="00FE1B4D" w:rsidRDefault="00FE1B4D" w:rsidP="00111C43">
            <w:pPr>
              <w:jc w:val="center"/>
              <w:rPr>
                <w:rFonts w:ascii="Century Gothic" w:eastAsia="Times New Roman" w:hAnsi="Century Gothic"/>
                <w:color w:val="000000"/>
                <w:szCs w:val="22"/>
                <w:lang w:eastAsia="en-US"/>
              </w:rPr>
            </w:pPr>
            <w:r w:rsidRPr="00FE1B4D">
              <w:rPr>
                <w:rFonts w:ascii="Century Gothic" w:eastAsia="Times New Roman" w:hAnsi="Century Gothic"/>
                <w:color w:val="000000"/>
                <w:szCs w:val="22"/>
                <w:lang w:eastAsia="en-US"/>
              </w:rPr>
              <w:t>82%</w:t>
            </w:r>
          </w:p>
        </w:tc>
      </w:tr>
      <w:tr w:rsidR="00FE1B4D" w:rsidRPr="00FE1B4D" w14:paraId="604DBE0E" w14:textId="77777777" w:rsidTr="128C9D46">
        <w:trPr>
          <w:trHeight w:val="330"/>
        </w:trPr>
        <w:tc>
          <w:tcPr>
            <w:tcW w:w="960" w:type="dxa"/>
            <w:tcBorders>
              <w:top w:val="nil"/>
              <w:left w:val="single" w:sz="4" w:space="0" w:color="000000" w:themeColor="text1"/>
              <w:bottom w:val="single" w:sz="4" w:space="0" w:color="000000" w:themeColor="text1"/>
              <w:right w:val="nil"/>
            </w:tcBorders>
            <w:vAlign w:val="center"/>
            <w:hideMark/>
          </w:tcPr>
          <w:p w14:paraId="2AD3AC37" w14:textId="77777777" w:rsidR="00FE1B4D" w:rsidRPr="00FE1B4D" w:rsidRDefault="1F6592FB" w:rsidP="00260E29">
            <w:pPr>
              <w:jc w:val="center"/>
              <w:rPr>
                <w:rFonts w:ascii="Century Gothic" w:eastAsia="Times New Roman" w:hAnsi="Century Gothic"/>
                <w:b/>
                <w:bCs/>
                <w:color w:val="000000"/>
                <w:lang w:eastAsia="en-US"/>
              </w:rPr>
            </w:pPr>
            <w:r w:rsidRPr="128C9D46">
              <w:rPr>
                <w:rFonts w:ascii="Century Gothic" w:eastAsia="Times New Roman" w:hAnsi="Century Gothic"/>
                <w:b/>
                <w:bCs/>
                <w:color w:val="000000" w:themeColor="text1"/>
                <w:lang w:eastAsia="en-US"/>
              </w:rPr>
              <w:t>2024</w:t>
            </w:r>
          </w:p>
        </w:tc>
        <w:tc>
          <w:tcPr>
            <w:tcW w:w="1560" w:type="dxa"/>
            <w:tcBorders>
              <w:top w:val="nil"/>
              <w:left w:val="nil"/>
              <w:bottom w:val="single" w:sz="4" w:space="0" w:color="000000" w:themeColor="text1"/>
              <w:right w:val="nil"/>
            </w:tcBorders>
            <w:vAlign w:val="center"/>
            <w:hideMark/>
          </w:tcPr>
          <w:p w14:paraId="158287C2" w14:textId="40E7C46D" w:rsidR="00FE1B4D" w:rsidRPr="007B4269" w:rsidRDefault="141E64D4" w:rsidP="00111C43">
            <w:pPr>
              <w:jc w:val="center"/>
              <w:rPr>
                <w:rFonts w:ascii="Century Gothic" w:eastAsia="Times New Roman" w:hAnsi="Century Gothic"/>
                <w:color w:val="000000"/>
                <w:lang w:eastAsia="en-US"/>
              </w:rPr>
            </w:pPr>
            <w:r w:rsidRPr="007B4269">
              <w:rPr>
                <w:rFonts w:ascii="Century Gothic" w:eastAsia="Times New Roman" w:hAnsi="Century Gothic"/>
                <w:color w:val="000000" w:themeColor="text1"/>
                <w:lang w:eastAsia="en-US"/>
              </w:rPr>
              <w:t>53</w:t>
            </w:r>
          </w:p>
        </w:tc>
        <w:tc>
          <w:tcPr>
            <w:tcW w:w="1540" w:type="dxa"/>
            <w:tcBorders>
              <w:top w:val="nil"/>
              <w:left w:val="nil"/>
              <w:bottom w:val="single" w:sz="4" w:space="0" w:color="000000" w:themeColor="text1"/>
              <w:right w:val="nil"/>
            </w:tcBorders>
            <w:vAlign w:val="center"/>
            <w:hideMark/>
          </w:tcPr>
          <w:p w14:paraId="4B9EE5C8" w14:textId="1D6C61D3" w:rsidR="00FE1B4D" w:rsidRPr="007B4269" w:rsidRDefault="141E64D4" w:rsidP="00111C43">
            <w:pPr>
              <w:jc w:val="center"/>
              <w:rPr>
                <w:rFonts w:ascii="Century Gothic" w:eastAsia="Times New Roman" w:hAnsi="Century Gothic"/>
                <w:color w:val="000000"/>
                <w:lang w:eastAsia="en-US"/>
              </w:rPr>
            </w:pPr>
            <w:r w:rsidRPr="007B4269">
              <w:rPr>
                <w:rFonts w:ascii="Century Gothic" w:eastAsia="Times New Roman" w:hAnsi="Century Gothic"/>
                <w:color w:val="000000" w:themeColor="text1"/>
                <w:lang w:eastAsia="en-US"/>
              </w:rPr>
              <w:t>37</w:t>
            </w:r>
          </w:p>
        </w:tc>
        <w:tc>
          <w:tcPr>
            <w:tcW w:w="1600" w:type="dxa"/>
            <w:tcBorders>
              <w:top w:val="nil"/>
              <w:left w:val="nil"/>
              <w:bottom w:val="single" w:sz="4" w:space="0" w:color="000000" w:themeColor="text1"/>
              <w:right w:val="single" w:sz="4" w:space="0" w:color="000000" w:themeColor="text1"/>
            </w:tcBorders>
            <w:vAlign w:val="center"/>
            <w:hideMark/>
          </w:tcPr>
          <w:p w14:paraId="29E20E5D" w14:textId="752BB869" w:rsidR="00FE1B4D" w:rsidRPr="00FE1B4D" w:rsidRDefault="36639DFB" w:rsidP="00111C43">
            <w:pPr>
              <w:jc w:val="center"/>
              <w:rPr>
                <w:rFonts w:ascii="Century Gothic" w:eastAsia="Times New Roman" w:hAnsi="Century Gothic"/>
                <w:color w:val="000000"/>
                <w:lang w:eastAsia="en-US"/>
              </w:rPr>
            </w:pPr>
            <w:r w:rsidRPr="128C9D46">
              <w:rPr>
                <w:rFonts w:ascii="Century Gothic" w:eastAsia="Times New Roman" w:hAnsi="Century Gothic"/>
                <w:color w:val="000000" w:themeColor="text1"/>
                <w:lang w:eastAsia="en-US"/>
              </w:rPr>
              <w:t>78</w:t>
            </w:r>
            <w:r w:rsidR="1F6592FB" w:rsidRPr="128C9D46">
              <w:rPr>
                <w:rFonts w:ascii="Century Gothic" w:eastAsia="Times New Roman" w:hAnsi="Century Gothic"/>
                <w:color w:val="000000" w:themeColor="text1"/>
                <w:lang w:eastAsia="en-US"/>
              </w:rPr>
              <w:t>%</w:t>
            </w:r>
          </w:p>
        </w:tc>
      </w:tr>
    </w:tbl>
    <w:p w14:paraId="69193B7D" w14:textId="2BB7AB4D" w:rsidR="0E6C54AB" w:rsidRPr="00AE6FFE" w:rsidRDefault="0E6C54AB" w:rsidP="00260E29">
      <w:pPr>
        <w:jc w:val="center"/>
        <w:rPr>
          <w:rFonts w:ascii="Century Gothic" w:eastAsia="Times New Roman" w:hAnsi="Century Gothic"/>
          <w:szCs w:val="22"/>
        </w:rPr>
      </w:pPr>
    </w:p>
    <w:p w14:paraId="291640A0" w14:textId="109E85AC" w:rsidR="0E6C54AB" w:rsidRPr="00AE6FFE" w:rsidRDefault="0E6C54AB" w:rsidP="0189D8D6">
      <w:pPr>
        <w:rPr>
          <w:rFonts w:ascii="Century Gothic" w:eastAsia="Times New Roman" w:hAnsi="Century Gothic"/>
          <w:szCs w:val="22"/>
        </w:rPr>
      </w:pPr>
    </w:p>
    <w:p w14:paraId="45CAEC1F" w14:textId="6B5EFBA9" w:rsidR="0E6C54AB" w:rsidRPr="00B12C17" w:rsidRDefault="4649BCCE" w:rsidP="001F3B51">
      <w:pPr>
        <w:jc w:val="center"/>
        <w:rPr>
          <w:rFonts w:ascii="Century Gothic" w:hAnsi="Century Gothic"/>
          <w:szCs w:val="22"/>
        </w:rPr>
      </w:pPr>
      <w:r w:rsidRPr="00B12C17">
        <w:rPr>
          <w:rFonts w:ascii="Century Gothic" w:hAnsi="Century Gothic"/>
          <w:noProof/>
          <w:szCs w:val="22"/>
        </w:rPr>
        <w:drawing>
          <wp:inline distT="0" distB="0" distL="0" distR="0" wp14:anchorId="099A8446" wp14:editId="2126E49A">
            <wp:extent cx="4886325" cy="2552700"/>
            <wp:effectExtent l="0" t="0" r="0" b="0"/>
            <wp:docPr id="3061449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886325" cy="2552700"/>
                    </a:xfrm>
                    <a:prstGeom prst="rect">
                      <a:avLst/>
                    </a:prstGeom>
                  </pic:spPr>
                </pic:pic>
              </a:graphicData>
            </a:graphic>
          </wp:inline>
        </w:drawing>
      </w:r>
    </w:p>
    <w:p w14:paraId="4700C2DE" w14:textId="19FF3C3B" w:rsidR="0E6C54AB" w:rsidRPr="00B12C17" w:rsidRDefault="0E6C54AB" w:rsidP="0189D8D6">
      <w:pPr>
        <w:rPr>
          <w:rFonts w:ascii="Century Gothic" w:eastAsia="Times New Roman" w:hAnsi="Century Gothic"/>
          <w:szCs w:val="22"/>
        </w:rPr>
      </w:pPr>
    </w:p>
    <w:p w14:paraId="43A39F12" w14:textId="17DED387" w:rsidR="0E6C54AB" w:rsidRPr="00B12C17" w:rsidRDefault="0E6C54AB" w:rsidP="0189D8D6">
      <w:pPr>
        <w:rPr>
          <w:rFonts w:ascii="Century Gothic" w:eastAsia="Times New Roman" w:hAnsi="Century Gothic"/>
          <w:szCs w:val="22"/>
        </w:rPr>
      </w:pPr>
    </w:p>
    <w:p w14:paraId="5203A442" w14:textId="4FC1C8F4" w:rsidR="0E6C54AB" w:rsidRPr="00B12C17" w:rsidRDefault="4649BCCE" w:rsidP="001F3B51">
      <w:pPr>
        <w:jc w:val="center"/>
        <w:rPr>
          <w:rFonts w:ascii="Century Gothic" w:hAnsi="Century Gothic"/>
          <w:szCs w:val="22"/>
        </w:rPr>
      </w:pPr>
      <w:r w:rsidRPr="00B12C17">
        <w:rPr>
          <w:rFonts w:ascii="Century Gothic" w:hAnsi="Century Gothic"/>
          <w:noProof/>
          <w:szCs w:val="22"/>
        </w:rPr>
        <w:drawing>
          <wp:inline distT="0" distB="0" distL="0" distR="0" wp14:anchorId="08887FDD" wp14:editId="7B1C3E3F">
            <wp:extent cx="5486400" cy="2847975"/>
            <wp:effectExtent l="0" t="0" r="0" b="0"/>
            <wp:docPr id="205301846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486400" cy="2847975"/>
                    </a:xfrm>
                    <a:prstGeom prst="rect">
                      <a:avLst/>
                    </a:prstGeom>
                  </pic:spPr>
                </pic:pic>
              </a:graphicData>
            </a:graphic>
          </wp:inline>
        </w:drawing>
      </w:r>
    </w:p>
    <w:p w14:paraId="2AF9F2B5" w14:textId="503DCFD9" w:rsidR="0E6C54AB" w:rsidRPr="00B12C17" w:rsidRDefault="0E6C54AB" w:rsidP="0189D8D6">
      <w:pPr>
        <w:rPr>
          <w:rFonts w:ascii="Century Gothic" w:eastAsia="Times New Roman" w:hAnsi="Century Gothic"/>
          <w:szCs w:val="22"/>
        </w:rPr>
      </w:pPr>
    </w:p>
    <w:p w14:paraId="2481EE60" w14:textId="0623FF58" w:rsidR="0189D8D6" w:rsidRPr="00B12C17" w:rsidRDefault="0189D8D6" w:rsidP="0189D8D6">
      <w:pPr>
        <w:rPr>
          <w:rFonts w:ascii="Century Gothic" w:eastAsia="Times New Roman" w:hAnsi="Century Gothic"/>
          <w:szCs w:val="22"/>
        </w:rPr>
      </w:pPr>
    </w:p>
    <w:p w14:paraId="37F15B5F" w14:textId="77777777" w:rsidR="007A5FF7" w:rsidRPr="007A5FF7" w:rsidRDefault="007A5FF7" w:rsidP="0189D8D6">
      <w:pPr>
        <w:tabs>
          <w:tab w:val="left" w:pos="1836"/>
        </w:tabs>
        <w:rPr>
          <w:rFonts w:ascii="Century Gothic" w:hAnsi="Century Gothic"/>
          <w:b/>
          <w:bCs/>
          <w:i/>
          <w:iCs/>
          <w:szCs w:val="22"/>
        </w:rPr>
      </w:pPr>
      <w:r w:rsidRPr="007A5FF7">
        <w:rPr>
          <w:rFonts w:ascii="Century Gothic" w:hAnsi="Century Gothic"/>
          <w:b/>
          <w:bCs/>
          <w:i/>
          <w:iCs/>
          <w:szCs w:val="22"/>
        </w:rPr>
        <w:t>Employment</w:t>
      </w:r>
    </w:p>
    <w:p w14:paraId="078B4716" w14:textId="48F69CFC" w:rsidR="1B3F2E6D" w:rsidRPr="00B12C17" w:rsidRDefault="00630A8B" w:rsidP="0189D8D6">
      <w:pPr>
        <w:tabs>
          <w:tab w:val="left" w:pos="1836"/>
        </w:tabs>
        <w:rPr>
          <w:rFonts w:ascii="Century Gothic" w:hAnsi="Century Gothic"/>
          <w:szCs w:val="22"/>
        </w:rPr>
      </w:pPr>
      <w:r w:rsidRPr="00B12C17">
        <w:rPr>
          <w:rFonts w:ascii="Century Gothic" w:hAnsi="Century Gothic"/>
          <w:szCs w:val="22"/>
        </w:rPr>
        <w:tab/>
      </w:r>
    </w:p>
    <w:p w14:paraId="329B7818" w14:textId="14D9976B" w:rsidR="0169522C" w:rsidRDefault="7CAB8A2F" w:rsidP="0E6C54AB">
      <w:pPr>
        <w:rPr>
          <w:rFonts w:ascii="Century Gothic" w:eastAsia="Times New Roman" w:hAnsi="Century Gothic"/>
          <w:szCs w:val="22"/>
        </w:rPr>
      </w:pPr>
      <w:r w:rsidRPr="00B12C17">
        <w:rPr>
          <w:rFonts w:ascii="Century Gothic" w:eastAsia="Times New Roman" w:hAnsi="Century Gothic"/>
          <w:szCs w:val="22"/>
        </w:rPr>
        <w:t xml:space="preserve">During the initial years of CARES, </w:t>
      </w:r>
      <w:proofErr w:type="gramStart"/>
      <w:r w:rsidRPr="00B12C17">
        <w:rPr>
          <w:rFonts w:ascii="Century Gothic" w:eastAsia="Times New Roman" w:hAnsi="Century Gothic"/>
          <w:szCs w:val="22"/>
        </w:rPr>
        <w:t>the majority of</w:t>
      </w:r>
      <w:proofErr w:type="gramEnd"/>
      <w:r w:rsidRPr="00B12C17">
        <w:rPr>
          <w:rFonts w:ascii="Century Gothic" w:eastAsia="Times New Roman" w:hAnsi="Century Gothic"/>
          <w:szCs w:val="22"/>
        </w:rPr>
        <w:t xml:space="preserve"> </w:t>
      </w:r>
      <w:proofErr w:type="gramStart"/>
      <w:r w:rsidRPr="00B12C17">
        <w:rPr>
          <w:rFonts w:ascii="Century Gothic" w:eastAsia="Times New Roman" w:hAnsi="Century Gothic"/>
          <w:szCs w:val="22"/>
        </w:rPr>
        <w:t>the families</w:t>
      </w:r>
      <w:proofErr w:type="gramEnd"/>
      <w:r w:rsidRPr="00B12C17">
        <w:rPr>
          <w:rFonts w:ascii="Century Gothic" w:eastAsia="Times New Roman" w:hAnsi="Century Gothic"/>
          <w:szCs w:val="22"/>
        </w:rPr>
        <w:t xml:space="preserve"> were in </w:t>
      </w:r>
      <w:r w:rsidR="35FC0843" w:rsidRPr="00B12C17">
        <w:rPr>
          <w:rFonts w:ascii="Century Gothic" w:eastAsia="Times New Roman" w:hAnsi="Century Gothic"/>
          <w:szCs w:val="22"/>
        </w:rPr>
        <w:t>a T</w:t>
      </w:r>
      <w:r w:rsidRPr="00B12C17">
        <w:rPr>
          <w:rFonts w:ascii="Century Gothic" w:eastAsia="Times New Roman" w:hAnsi="Century Gothic"/>
          <w:szCs w:val="22"/>
        </w:rPr>
        <w:t>ransition</w:t>
      </w:r>
      <w:r w:rsidR="7072C66B" w:rsidRPr="00B12C17">
        <w:rPr>
          <w:rFonts w:ascii="Century Gothic" w:eastAsia="Times New Roman" w:hAnsi="Century Gothic"/>
          <w:szCs w:val="22"/>
        </w:rPr>
        <w:t xml:space="preserve"> </w:t>
      </w:r>
      <w:r w:rsidR="054874BA" w:rsidRPr="00B12C17">
        <w:rPr>
          <w:rFonts w:ascii="Century Gothic" w:eastAsia="Times New Roman" w:hAnsi="Century Gothic"/>
          <w:szCs w:val="22"/>
        </w:rPr>
        <w:t xml:space="preserve">phase, </w:t>
      </w:r>
      <w:r w:rsidR="7072C66B" w:rsidRPr="00B12C17">
        <w:rPr>
          <w:rFonts w:ascii="Century Gothic" w:eastAsia="Times New Roman" w:hAnsi="Century Gothic"/>
          <w:szCs w:val="22"/>
        </w:rPr>
        <w:t xml:space="preserve">meaning they had not achieved </w:t>
      </w:r>
      <w:r w:rsidR="001669CB" w:rsidRPr="00B12C17">
        <w:rPr>
          <w:rFonts w:ascii="Century Gothic" w:eastAsia="Times New Roman" w:hAnsi="Century Gothic"/>
          <w:szCs w:val="22"/>
        </w:rPr>
        <w:t>full-time</w:t>
      </w:r>
      <w:r w:rsidR="7072C66B" w:rsidRPr="00B12C17">
        <w:rPr>
          <w:rFonts w:ascii="Century Gothic" w:eastAsia="Times New Roman" w:hAnsi="Century Gothic"/>
          <w:szCs w:val="22"/>
        </w:rPr>
        <w:t xml:space="preserve"> employment</w:t>
      </w:r>
      <w:r w:rsidRPr="00B12C17">
        <w:rPr>
          <w:rFonts w:ascii="Century Gothic" w:eastAsia="Times New Roman" w:hAnsi="Century Gothic"/>
          <w:szCs w:val="22"/>
        </w:rPr>
        <w:t xml:space="preserve">.  </w:t>
      </w:r>
      <w:r w:rsidR="0D367DE8" w:rsidRPr="00B12C17">
        <w:rPr>
          <w:rFonts w:ascii="Century Gothic" w:eastAsia="Times New Roman" w:hAnsi="Century Gothic"/>
          <w:szCs w:val="22"/>
        </w:rPr>
        <w:t xml:space="preserve">However, </w:t>
      </w:r>
      <w:r w:rsidR="2D5B6035" w:rsidRPr="00B12C17">
        <w:rPr>
          <w:rFonts w:ascii="Century Gothic" w:eastAsia="Times New Roman" w:hAnsi="Century Gothic"/>
          <w:szCs w:val="22"/>
        </w:rPr>
        <w:t>s</w:t>
      </w:r>
      <w:r w:rsidRPr="00B12C17">
        <w:rPr>
          <w:rFonts w:ascii="Century Gothic" w:eastAsia="Times New Roman" w:hAnsi="Century Gothic"/>
          <w:szCs w:val="22"/>
        </w:rPr>
        <w:t xml:space="preserve">ince 2017, </w:t>
      </w:r>
      <w:proofErr w:type="gramStart"/>
      <w:r w:rsidR="5BD8190C" w:rsidRPr="00B12C17">
        <w:rPr>
          <w:rFonts w:ascii="Century Gothic" w:eastAsia="Times New Roman" w:hAnsi="Century Gothic"/>
          <w:szCs w:val="22"/>
        </w:rPr>
        <w:t>the majority of</w:t>
      </w:r>
      <w:proofErr w:type="gramEnd"/>
      <w:r w:rsidR="5BD8190C" w:rsidRPr="00B12C17">
        <w:rPr>
          <w:rFonts w:ascii="Century Gothic" w:eastAsia="Times New Roman" w:hAnsi="Century Gothic"/>
          <w:szCs w:val="22"/>
        </w:rPr>
        <w:t xml:space="preserve"> families now have full time employment and </w:t>
      </w:r>
      <w:r w:rsidR="05733BE0" w:rsidRPr="00B12C17">
        <w:rPr>
          <w:rFonts w:ascii="Century Gothic" w:eastAsia="Times New Roman" w:hAnsi="Century Gothic"/>
          <w:szCs w:val="22"/>
        </w:rPr>
        <w:t>qualify as Full CARES participants demonstrating that consistent improvement in employment</w:t>
      </w:r>
      <w:r w:rsidR="533C6D7C" w:rsidRPr="00B12C17">
        <w:rPr>
          <w:rFonts w:ascii="Century Gothic" w:eastAsia="Times New Roman" w:hAnsi="Century Gothic"/>
          <w:szCs w:val="22"/>
        </w:rPr>
        <w:t xml:space="preserve"> outcomes.  </w:t>
      </w:r>
    </w:p>
    <w:p w14:paraId="27864F19" w14:textId="77777777" w:rsidR="00AB21CD" w:rsidRDefault="00AB21CD" w:rsidP="0E6C54AB">
      <w:pPr>
        <w:rPr>
          <w:rFonts w:ascii="Century Gothic" w:eastAsia="Times New Roman" w:hAnsi="Century Gothic"/>
          <w:szCs w:val="22"/>
        </w:rPr>
      </w:pPr>
    </w:p>
    <w:p w14:paraId="1A9C3BCC" w14:textId="4ED2C5EB" w:rsidR="00AB21CD" w:rsidRPr="00B12C17" w:rsidRDefault="00AB21CD" w:rsidP="0E6C54AB">
      <w:pPr>
        <w:rPr>
          <w:rFonts w:ascii="Century Gothic" w:eastAsia="Times New Roman" w:hAnsi="Century Gothic"/>
          <w:szCs w:val="22"/>
        </w:rPr>
      </w:pPr>
      <w:r>
        <w:rPr>
          <w:rFonts w:ascii="Century Gothic" w:eastAsia="Times New Roman" w:hAnsi="Century Gothic"/>
          <w:szCs w:val="22"/>
        </w:rPr>
        <w:lastRenderedPageBreak/>
        <w:t xml:space="preserve">Although the number of families who </w:t>
      </w:r>
      <w:r w:rsidR="001A59DC">
        <w:rPr>
          <w:rFonts w:ascii="Century Gothic" w:eastAsia="Times New Roman" w:hAnsi="Century Gothic"/>
          <w:szCs w:val="22"/>
        </w:rPr>
        <w:t>obtained full time employment has increased overall since 2017</w:t>
      </w:r>
      <w:r w:rsidR="00A26A9B">
        <w:rPr>
          <w:rFonts w:ascii="Century Gothic" w:eastAsia="Times New Roman" w:hAnsi="Century Gothic"/>
          <w:szCs w:val="22"/>
        </w:rPr>
        <w:t xml:space="preserve">, there appears to be a slight decrease in FY2024 </w:t>
      </w:r>
      <w:proofErr w:type="gramStart"/>
      <w:r w:rsidR="00A26A9B">
        <w:rPr>
          <w:rFonts w:ascii="Century Gothic" w:eastAsia="Times New Roman" w:hAnsi="Century Gothic"/>
          <w:szCs w:val="22"/>
        </w:rPr>
        <w:t>due to the fact that</w:t>
      </w:r>
      <w:proofErr w:type="gramEnd"/>
      <w:r w:rsidR="00A26A9B">
        <w:rPr>
          <w:rFonts w:ascii="Century Gothic" w:eastAsia="Times New Roman" w:hAnsi="Century Gothic"/>
          <w:szCs w:val="22"/>
        </w:rPr>
        <w:t xml:space="preserve"> </w:t>
      </w:r>
      <w:r w:rsidR="00533990">
        <w:rPr>
          <w:rFonts w:ascii="Century Gothic" w:eastAsia="Times New Roman" w:hAnsi="Century Gothic"/>
          <w:szCs w:val="22"/>
        </w:rPr>
        <w:t xml:space="preserve">the </w:t>
      </w:r>
      <w:r w:rsidR="00713416">
        <w:rPr>
          <w:rFonts w:ascii="Century Gothic" w:eastAsia="Times New Roman" w:hAnsi="Century Gothic"/>
          <w:szCs w:val="22"/>
        </w:rPr>
        <w:t xml:space="preserve">number of participants decreased due to </w:t>
      </w:r>
      <w:r w:rsidR="00B576CF">
        <w:rPr>
          <w:rFonts w:ascii="Century Gothic" w:eastAsia="Times New Roman" w:hAnsi="Century Gothic"/>
          <w:szCs w:val="22"/>
        </w:rPr>
        <w:t>graduating</w:t>
      </w:r>
      <w:r w:rsidR="006520E6">
        <w:rPr>
          <w:rFonts w:ascii="Century Gothic" w:eastAsia="Times New Roman" w:hAnsi="Century Gothic"/>
          <w:szCs w:val="22"/>
        </w:rPr>
        <w:t xml:space="preserve"> from the program and </w:t>
      </w:r>
      <w:proofErr w:type="gramStart"/>
      <w:r w:rsidR="006520E6">
        <w:rPr>
          <w:rFonts w:ascii="Century Gothic" w:eastAsia="Times New Roman" w:hAnsi="Century Gothic"/>
          <w:szCs w:val="22"/>
        </w:rPr>
        <w:t>chose</w:t>
      </w:r>
      <w:proofErr w:type="gramEnd"/>
      <w:r w:rsidR="006520E6">
        <w:rPr>
          <w:rFonts w:ascii="Century Gothic" w:eastAsia="Times New Roman" w:hAnsi="Century Gothic"/>
          <w:szCs w:val="22"/>
        </w:rPr>
        <w:t xml:space="preserve"> to remain in the unit.</w:t>
      </w:r>
    </w:p>
    <w:p w14:paraId="6A9CC481" w14:textId="65E793E3" w:rsidR="0169522C" w:rsidRDefault="0169522C" w:rsidP="0E6C54AB">
      <w:pPr>
        <w:rPr>
          <w:rFonts w:ascii="Century Gothic" w:eastAsia="Times New Roman" w:hAnsi="Century Gothic"/>
          <w:szCs w:val="22"/>
        </w:rPr>
      </w:pPr>
    </w:p>
    <w:p w14:paraId="7D05F26D" w14:textId="77777777" w:rsidR="00EB7884" w:rsidRPr="00C26AE4" w:rsidRDefault="7926C1EE" w:rsidP="00EB7884">
      <w:pPr>
        <w:rPr>
          <w:rFonts w:ascii="Century Gothic" w:hAnsi="Century Gothic"/>
          <w:lang w:eastAsia="en-US"/>
        </w:rPr>
      </w:pPr>
      <w:r w:rsidRPr="54BD8CC3">
        <w:rPr>
          <w:rFonts w:ascii="Century Gothic" w:eastAsia="Times New Roman" w:hAnsi="Century Gothic"/>
        </w:rPr>
        <w:t xml:space="preserve">Although many families are gaining </w:t>
      </w:r>
      <w:proofErr w:type="gramStart"/>
      <w:r w:rsidRPr="54BD8CC3">
        <w:rPr>
          <w:rFonts w:ascii="Century Gothic" w:eastAsia="Times New Roman" w:hAnsi="Century Gothic"/>
        </w:rPr>
        <w:t>full time</w:t>
      </w:r>
      <w:proofErr w:type="gramEnd"/>
      <w:r w:rsidRPr="54BD8CC3">
        <w:rPr>
          <w:rFonts w:ascii="Century Gothic" w:eastAsia="Times New Roman" w:hAnsi="Century Gothic"/>
        </w:rPr>
        <w:t xml:space="preserve"> employment, in FY24, there were four (4) CARES Brookside II Transitional residents who required temporary cash assistance through TANF.  The CARES Coordinator has engaged all 4 families and is assisting them in finding employment. </w:t>
      </w:r>
      <w:r w:rsidRPr="54BD8CC3">
        <w:rPr>
          <w:rFonts w:ascii="Century Gothic" w:hAnsi="Century Gothic"/>
          <w:lang w:eastAsia="en-US"/>
        </w:rPr>
        <w:t xml:space="preserve">  </w:t>
      </w:r>
    </w:p>
    <w:p w14:paraId="55837D2E" w14:textId="77777777" w:rsidR="00EB7884" w:rsidRDefault="00EB7884" w:rsidP="0E6C54AB">
      <w:pPr>
        <w:rPr>
          <w:rFonts w:ascii="Century Gothic" w:eastAsia="Times New Roman" w:hAnsi="Century Gothic"/>
          <w:szCs w:val="22"/>
        </w:rPr>
      </w:pPr>
    </w:p>
    <w:p w14:paraId="68BF349B" w14:textId="77777777" w:rsidR="00EB7884" w:rsidRDefault="00EB7884" w:rsidP="0E6C54AB">
      <w:pPr>
        <w:rPr>
          <w:rFonts w:ascii="Century Gothic" w:eastAsia="Times New Roman" w:hAnsi="Century Gothic"/>
          <w:szCs w:val="22"/>
        </w:rPr>
      </w:pPr>
    </w:p>
    <w:p w14:paraId="15731192" w14:textId="64CFEF38" w:rsidR="00EB7884" w:rsidRDefault="00EB7884" w:rsidP="0E6C54AB">
      <w:pPr>
        <w:rPr>
          <w:rFonts w:ascii="Century Gothic" w:eastAsia="Times New Roman" w:hAnsi="Century Gothic"/>
          <w:szCs w:val="22"/>
        </w:rPr>
      </w:pPr>
      <w:r w:rsidRPr="008B3611">
        <w:rPr>
          <w:rFonts w:ascii="Century Gothic" w:hAnsi="Century Gothic"/>
          <w:noProof/>
          <w:szCs w:val="22"/>
        </w:rPr>
        <w:drawing>
          <wp:inline distT="0" distB="0" distL="0" distR="0" wp14:anchorId="18191E39" wp14:editId="45666389">
            <wp:extent cx="5886450" cy="2857500"/>
            <wp:effectExtent l="0" t="0" r="0" b="0"/>
            <wp:docPr id="516401125" name="Picture 10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125" name="Picture 516401125" descr="Chart, bar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886450" cy="2857500"/>
                    </a:xfrm>
                    <a:prstGeom prst="rect">
                      <a:avLst/>
                    </a:prstGeom>
                  </pic:spPr>
                </pic:pic>
              </a:graphicData>
            </a:graphic>
          </wp:inline>
        </w:drawing>
      </w:r>
    </w:p>
    <w:p w14:paraId="7D1A7BDE" w14:textId="77777777" w:rsidR="00EB7884" w:rsidRDefault="00EB7884" w:rsidP="0E6C54AB">
      <w:pPr>
        <w:rPr>
          <w:rFonts w:ascii="Century Gothic" w:eastAsia="Times New Roman" w:hAnsi="Century Gothic"/>
          <w:szCs w:val="22"/>
        </w:rPr>
      </w:pPr>
    </w:p>
    <w:p w14:paraId="29096D54" w14:textId="19F8CACD" w:rsidR="007A5FF7" w:rsidRPr="007A5FF7" w:rsidRDefault="007A5FF7" w:rsidP="0E6C54AB">
      <w:pPr>
        <w:rPr>
          <w:rFonts w:ascii="Century Gothic" w:eastAsia="Times New Roman" w:hAnsi="Century Gothic"/>
          <w:b/>
          <w:bCs/>
          <w:i/>
          <w:iCs/>
          <w:szCs w:val="22"/>
        </w:rPr>
      </w:pPr>
      <w:r w:rsidRPr="007A5FF7">
        <w:rPr>
          <w:rFonts w:ascii="Century Gothic" w:eastAsia="Times New Roman" w:hAnsi="Century Gothic"/>
          <w:b/>
          <w:bCs/>
          <w:i/>
          <w:iCs/>
          <w:szCs w:val="22"/>
        </w:rPr>
        <w:t>Income</w:t>
      </w:r>
    </w:p>
    <w:p w14:paraId="3D819D33" w14:textId="77777777" w:rsidR="007A5FF7" w:rsidRPr="00B12C17" w:rsidRDefault="007A5FF7" w:rsidP="0E6C54AB">
      <w:pPr>
        <w:rPr>
          <w:rFonts w:ascii="Century Gothic" w:eastAsia="Times New Roman" w:hAnsi="Century Gothic"/>
          <w:szCs w:val="22"/>
        </w:rPr>
      </w:pPr>
    </w:p>
    <w:p w14:paraId="4709CBB5" w14:textId="77777777" w:rsidR="00F116B0" w:rsidRDefault="6197FF76" w:rsidP="00CF332B">
      <w:pPr>
        <w:rPr>
          <w:rFonts w:ascii="Century Gothic" w:eastAsia="Times New Roman" w:hAnsi="Century Gothic"/>
          <w:szCs w:val="22"/>
        </w:rPr>
      </w:pPr>
      <w:bookmarkStart w:id="137" w:name="_Hlk122361456"/>
      <w:r w:rsidRPr="00B12C17">
        <w:rPr>
          <w:rFonts w:ascii="Century Gothic" w:eastAsia="Times New Roman" w:hAnsi="Century Gothic"/>
          <w:szCs w:val="22"/>
        </w:rPr>
        <w:t xml:space="preserve">During </w:t>
      </w:r>
      <w:r w:rsidR="7FAC746F" w:rsidRPr="00B12C17">
        <w:rPr>
          <w:rFonts w:ascii="Century Gothic" w:eastAsia="Times New Roman" w:hAnsi="Century Gothic"/>
          <w:szCs w:val="22"/>
        </w:rPr>
        <w:t>FY2</w:t>
      </w:r>
      <w:r w:rsidR="1DCA7BB6" w:rsidRPr="00B12C17">
        <w:rPr>
          <w:rFonts w:ascii="Century Gothic" w:eastAsia="Times New Roman" w:hAnsi="Century Gothic"/>
          <w:szCs w:val="22"/>
        </w:rPr>
        <w:t>4</w:t>
      </w:r>
      <w:r w:rsidRPr="00B12C17">
        <w:rPr>
          <w:rFonts w:ascii="Century Gothic" w:eastAsia="Times New Roman" w:hAnsi="Century Gothic"/>
          <w:szCs w:val="22"/>
        </w:rPr>
        <w:t>, the average income of all CARES participants was $</w:t>
      </w:r>
      <w:r w:rsidR="37F2CD69" w:rsidRPr="00B12C17">
        <w:rPr>
          <w:rFonts w:ascii="Century Gothic" w:eastAsia="Times New Roman" w:hAnsi="Century Gothic"/>
          <w:szCs w:val="22"/>
        </w:rPr>
        <w:t>32,82</w:t>
      </w:r>
      <w:r w:rsidR="27B2A841" w:rsidRPr="00B12C17">
        <w:rPr>
          <w:rFonts w:ascii="Century Gothic" w:eastAsia="Times New Roman" w:hAnsi="Century Gothic"/>
          <w:szCs w:val="22"/>
        </w:rPr>
        <w:t>1</w:t>
      </w:r>
      <w:r w:rsidR="76314BDC" w:rsidRPr="00B12C17">
        <w:rPr>
          <w:rFonts w:ascii="Century Gothic" w:eastAsia="Times New Roman" w:hAnsi="Century Gothic"/>
          <w:szCs w:val="22"/>
        </w:rPr>
        <w:t>, which is</w:t>
      </w:r>
      <w:r w:rsidR="44A6E2C4" w:rsidRPr="00B12C17">
        <w:rPr>
          <w:rFonts w:ascii="Century Gothic" w:eastAsia="Times New Roman" w:hAnsi="Century Gothic"/>
          <w:szCs w:val="22"/>
        </w:rPr>
        <w:t xml:space="preserve"> </w:t>
      </w:r>
      <w:r w:rsidR="00206810" w:rsidRPr="00B12C17">
        <w:rPr>
          <w:rFonts w:ascii="Century Gothic" w:eastAsia="Times New Roman" w:hAnsi="Century Gothic"/>
          <w:szCs w:val="22"/>
        </w:rPr>
        <w:t>3</w:t>
      </w:r>
      <w:r w:rsidR="001F5013" w:rsidRPr="00B12C17">
        <w:rPr>
          <w:rFonts w:ascii="Century Gothic" w:eastAsia="Times New Roman" w:hAnsi="Century Gothic"/>
          <w:szCs w:val="22"/>
        </w:rPr>
        <w:t>5</w:t>
      </w:r>
      <w:r w:rsidR="76314BDC" w:rsidRPr="00B12C17">
        <w:rPr>
          <w:rFonts w:ascii="Century Gothic" w:eastAsia="Times New Roman" w:hAnsi="Century Gothic"/>
          <w:szCs w:val="22"/>
        </w:rPr>
        <w:t>% higher than</w:t>
      </w:r>
      <w:r w:rsidR="691DAE9C" w:rsidRPr="00B12C17">
        <w:rPr>
          <w:rFonts w:ascii="Century Gothic" w:eastAsia="Times New Roman" w:hAnsi="Century Gothic"/>
          <w:szCs w:val="22"/>
        </w:rPr>
        <w:t xml:space="preserve"> residents who live</w:t>
      </w:r>
      <w:r w:rsidRPr="00B12C17">
        <w:rPr>
          <w:rFonts w:ascii="Century Gothic" w:eastAsia="Times New Roman" w:hAnsi="Century Gothic"/>
          <w:szCs w:val="22"/>
        </w:rPr>
        <w:t xml:space="preserve"> in Brookside Phase I, which is not under the CARES program,</w:t>
      </w:r>
      <w:r w:rsidR="7EAE0CBD" w:rsidRPr="00B12C17">
        <w:rPr>
          <w:rFonts w:ascii="Century Gothic" w:eastAsia="Times New Roman" w:hAnsi="Century Gothic"/>
          <w:szCs w:val="22"/>
        </w:rPr>
        <w:t xml:space="preserve"> who</w:t>
      </w:r>
      <w:r w:rsidRPr="00B12C17">
        <w:rPr>
          <w:rFonts w:ascii="Century Gothic" w:eastAsia="Times New Roman" w:hAnsi="Century Gothic"/>
          <w:szCs w:val="22"/>
        </w:rPr>
        <w:t xml:space="preserve"> have an average earned income of $</w:t>
      </w:r>
      <w:r w:rsidR="0DC1E9F2" w:rsidRPr="00B12C17">
        <w:rPr>
          <w:rFonts w:ascii="Century Gothic" w:eastAsia="Times New Roman" w:hAnsi="Century Gothic"/>
          <w:szCs w:val="22"/>
        </w:rPr>
        <w:t>24,372</w:t>
      </w:r>
      <w:r w:rsidRPr="00B12C17">
        <w:rPr>
          <w:rFonts w:ascii="Century Gothic" w:eastAsia="Times New Roman" w:hAnsi="Century Gothic"/>
          <w:szCs w:val="22"/>
        </w:rPr>
        <w:t xml:space="preserve">.  </w:t>
      </w:r>
    </w:p>
    <w:p w14:paraId="7E53D500" w14:textId="77777777" w:rsidR="00F116B0" w:rsidRDefault="00F116B0" w:rsidP="00CF332B">
      <w:pPr>
        <w:rPr>
          <w:rFonts w:ascii="Century Gothic" w:eastAsia="Times New Roman" w:hAnsi="Century Gothic"/>
          <w:szCs w:val="22"/>
        </w:rPr>
      </w:pPr>
    </w:p>
    <w:p w14:paraId="740A95F2" w14:textId="40C8C003" w:rsidR="00CF332B" w:rsidRPr="00C26AE4" w:rsidRDefault="6BEA7909" w:rsidP="00CF332B">
      <w:pPr>
        <w:rPr>
          <w:rFonts w:ascii="Century Gothic" w:eastAsia="Times New Roman" w:hAnsi="Century Gothic"/>
          <w:szCs w:val="22"/>
        </w:rPr>
      </w:pPr>
      <w:r w:rsidRPr="007B621D">
        <w:rPr>
          <w:rFonts w:ascii="Century Gothic" w:eastAsia="Times New Roman" w:hAnsi="Century Gothic"/>
          <w:szCs w:val="22"/>
        </w:rPr>
        <w:t>The participants in the</w:t>
      </w:r>
      <w:r w:rsidR="6197FF76" w:rsidRPr="007B621D">
        <w:rPr>
          <w:rFonts w:ascii="Century Gothic" w:eastAsia="Times New Roman" w:hAnsi="Century Gothic"/>
          <w:szCs w:val="22"/>
        </w:rPr>
        <w:t xml:space="preserve"> Full CARES </w:t>
      </w:r>
      <w:proofErr w:type="gramStart"/>
      <w:r w:rsidR="6197FF76" w:rsidRPr="007B621D">
        <w:rPr>
          <w:rFonts w:ascii="Century Gothic" w:eastAsia="Times New Roman" w:hAnsi="Century Gothic"/>
          <w:szCs w:val="22"/>
        </w:rPr>
        <w:t>program,</w:t>
      </w:r>
      <w:proofErr w:type="gramEnd"/>
      <w:r w:rsidR="6197FF76" w:rsidRPr="007B621D">
        <w:rPr>
          <w:rFonts w:ascii="Century Gothic" w:eastAsia="Times New Roman" w:hAnsi="Century Gothic"/>
          <w:szCs w:val="22"/>
        </w:rPr>
        <w:t xml:space="preserve"> </w:t>
      </w:r>
      <w:r w:rsidR="01878F87" w:rsidRPr="007B621D">
        <w:rPr>
          <w:rFonts w:ascii="Century Gothic" w:eastAsia="Times New Roman" w:hAnsi="Century Gothic"/>
          <w:szCs w:val="22"/>
        </w:rPr>
        <w:t xml:space="preserve">have </w:t>
      </w:r>
      <w:r w:rsidR="6197FF76" w:rsidRPr="007B621D">
        <w:rPr>
          <w:rFonts w:ascii="Century Gothic" w:eastAsia="Times New Roman" w:hAnsi="Century Gothic"/>
          <w:szCs w:val="22"/>
        </w:rPr>
        <w:t>an average annual income</w:t>
      </w:r>
      <w:r w:rsidR="622C3883" w:rsidRPr="007B621D">
        <w:rPr>
          <w:rFonts w:ascii="Century Gothic" w:eastAsia="Times New Roman" w:hAnsi="Century Gothic"/>
          <w:szCs w:val="22"/>
        </w:rPr>
        <w:t xml:space="preserve"> of</w:t>
      </w:r>
      <w:r w:rsidR="6197FF76" w:rsidRPr="007B621D">
        <w:rPr>
          <w:rFonts w:ascii="Century Gothic" w:eastAsia="Times New Roman" w:hAnsi="Century Gothic"/>
          <w:szCs w:val="22"/>
        </w:rPr>
        <w:t xml:space="preserve"> $</w:t>
      </w:r>
      <w:proofErr w:type="gramStart"/>
      <w:r w:rsidR="224DA08E" w:rsidRPr="007B621D">
        <w:rPr>
          <w:rFonts w:ascii="Century Gothic" w:eastAsia="Times New Roman" w:hAnsi="Century Gothic"/>
          <w:szCs w:val="22"/>
        </w:rPr>
        <w:t>5</w:t>
      </w:r>
      <w:r w:rsidR="2B75692A" w:rsidRPr="007B621D">
        <w:rPr>
          <w:rFonts w:ascii="Century Gothic" w:eastAsia="Times New Roman" w:hAnsi="Century Gothic"/>
          <w:szCs w:val="22"/>
        </w:rPr>
        <w:t>5,81</w:t>
      </w:r>
      <w:r w:rsidR="1D28F6EC" w:rsidRPr="007B621D">
        <w:rPr>
          <w:rFonts w:ascii="Century Gothic" w:eastAsia="Times New Roman" w:hAnsi="Century Gothic"/>
          <w:szCs w:val="22"/>
        </w:rPr>
        <w:t>2</w:t>
      </w:r>
      <w:proofErr w:type="gramEnd"/>
      <w:r w:rsidR="01A68C00" w:rsidRPr="007B621D">
        <w:rPr>
          <w:rFonts w:ascii="Century Gothic" w:eastAsia="Times New Roman" w:hAnsi="Century Gothic"/>
          <w:szCs w:val="22"/>
        </w:rPr>
        <w:t xml:space="preserve"> </w:t>
      </w:r>
      <w:r w:rsidR="2EB7D369" w:rsidRPr="007B621D">
        <w:rPr>
          <w:rFonts w:ascii="Century Gothic" w:eastAsia="Times New Roman" w:hAnsi="Century Gothic"/>
          <w:szCs w:val="22"/>
        </w:rPr>
        <w:t xml:space="preserve">which is </w:t>
      </w:r>
      <w:r w:rsidR="006D3E05" w:rsidRPr="007B621D">
        <w:rPr>
          <w:rFonts w:ascii="Century Gothic" w:eastAsia="Times New Roman" w:hAnsi="Century Gothic"/>
          <w:szCs w:val="22"/>
        </w:rPr>
        <w:t>70</w:t>
      </w:r>
      <w:r w:rsidR="2EB7D369" w:rsidRPr="007B621D">
        <w:rPr>
          <w:rFonts w:ascii="Century Gothic" w:eastAsia="Times New Roman" w:hAnsi="Century Gothic"/>
          <w:szCs w:val="22"/>
        </w:rPr>
        <w:t>%</w:t>
      </w:r>
      <w:r w:rsidR="2EB7D369" w:rsidRPr="00C26AE4">
        <w:rPr>
          <w:rFonts w:ascii="Century Gothic" w:eastAsia="Times New Roman" w:hAnsi="Century Gothic"/>
          <w:szCs w:val="22"/>
        </w:rPr>
        <w:t xml:space="preserve"> higher than all</w:t>
      </w:r>
      <w:r w:rsidR="1C2A33BC" w:rsidRPr="00C26AE4">
        <w:rPr>
          <w:rFonts w:ascii="Century Gothic" w:eastAsia="Times New Roman" w:hAnsi="Century Gothic"/>
          <w:szCs w:val="22"/>
        </w:rPr>
        <w:t xml:space="preserve"> the</w:t>
      </w:r>
      <w:r w:rsidR="2EB7D369" w:rsidRPr="00C26AE4">
        <w:rPr>
          <w:rFonts w:ascii="Century Gothic" w:eastAsia="Times New Roman" w:hAnsi="Century Gothic"/>
          <w:szCs w:val="22"/>
        </w:rPr>
        <w:t xml:space="preserve"> CARES participants</w:t>
      </w:r>
      <w:r w:rsidR="00944B45">
        <w:rPr>
          <w:rFonts w:ascii="Century Gothic" w:eastAsia="Times New Roman" w:hAnsi="Century Gothic"/>
          <w:szCs w:val="22"/>
        </w:rPr>
        <w:t xml:space="preserve"> ($32,821)</w:t>
      </w:r>
      <w:r w:rsidR="6197FF76" w:rsidRPr="00C26AE4">
        <w:rPr>
          <w:rFonts w:ascii="Century Gothic" w:eastAsia="Times New Roman" w:hAnsi="Century Gothic"/>
          <w:szCs w:val="22"/>
        </w:rPr>
        <w:t>.</w:t>
      </w:r>
      <w:r w:rsidR="700F0861" w:rsidRPr="00C26AE4">
        <w:rPr>
          <w:rFonts w:ascii="Century Gothic" w:eastAsia="Times New Roman" w:hAnsi="Century Gothic"/>
          <w:szCs w:val="22"/>
        </w:rPr>
        <w:t xml:space="preserve"> </w:t>
      </w:r>
    </w:p>
    <w:bookmarkEnd w:id="137"/>
    <w:p w14:paraId="4B7D3B49" w14:textId="1C105666" w:rsidR="4E920171" w:rsidRPr="00C26AE4" w:rsidRDefault="1B4A8018" w:rsidP="1B4A8018">
      <w:pPr>
        <w:rPr>
          <w:rFonts w:ascii="Century Gothic" w:eastAsia="MS PGothic" w:hAnsi="Century Gothic"/>
          <w:szCs w:val="22"/>
        </w:rPr>
      </w:pPr>
      <w:r w:rsidRPr="00C26AE4">
        <w:rPr>
          <w:rFonts w:ascii="Century Gothic" w:eastAsia="Times New Roman" w:hAnsi="Century Gothic"/>
          <w:szCs w:val="22"/>
        </w:rPr>
        <w:t xml:space="preserve"> </w:t>
      </w:r>
      <w:r w:rsidR="5251B5CF" w:rsidRPr="00C26AE4">
        <w:rPr>
          <w:rFonts w:ascii="Century Gothic" w:eastAsia="Times New Roman" w:hAnsi="Century Gothic"/>
          <w:szCs w:val="22"/>
        </w:rPr>
        <w:t xml:space="preserve">  </w:t>
      </w:r>
    </w:p>
    <w:p w14:paraId="2F909F21" w14:textId="7439A2D8" w:rsidR="2E32DFF4" w:rsidRPr="00C26AE4" w:rsidRDefault="2E32DFF4" w:rsidP="4F19B4E9">
      <w:pPr>
        <w:rPr>
          <w:rFonts w:ascii="Century Gothic" w:eastAsia="Times New Roman" w:hAnsi="Century Gothic"/>
          <w:szCs w:val="22"/>
        </w:rPr>
      </w:pPr>
    </w:p>
    <w:p w14:paraId="7907F050" w14:textId="00035908" w:rsidR="000507B7" w:rsidRPr="000507B7" w:rsidRDefault="000507B7" w:rsidP="197B9397">
      <w:pPr>
        <w:rPr>
          <w:rFonts w:ascii="Century Gothic" w:eastAsia="Times New Roman" w:hAnsi="Century Gothic"/>
          <w:b/>
          <w:bCs/>
          <w:i/>
          <w:iCs/>
          <w:szCs w:val="22"/>
        </w:rPr>
      </w:pPr>
      <w:r w:rsidRPr="000507B7">
        <w:rPr>
          <w:rFonts w:ascii="Century Gothic" w:eastAsia="Times New Roman" w:hAnsi="Century Gothic"/>
          <w:b/>
          <w:bCs/>
          <w:i/>
          <w:iCs/>
          <w:szCs w:val="22"/>
        </w:rPr>
        <w:t>REEF Accounts</w:t>
      </w:r>
    </w:p>
    <w:p w14:paraId="5CB87E5C" w14:textId="77777777" w:rsidR="000507B7" w:rsidRDefault="000507B7" w:rsidP="197B9397">
      <w:pPr>
        <w:rPr>
          <w:rFonts w:ascii="Century Gothic" w:eastAsia="Times New Roman" w:hAnsi="Century Gothic"/>
          <w:szCs w:val="22"/>
        </w:rPr>
      </w:pPr>
    </w:p>
    <w:p w14:paraId="4C2A9FDC" w14:textId="7DC85933" w:rsidR="4E920171" w:rsidRPr="00C26AE4" w:rsidRDefault="508F6202" w:rsidP="197B9397">
      <w:pPr>
        <w:rPr>
          <w:rFonts w:ascii="Century Gothic" w:eastAsia="Times New Roman" w:hAnsi="Century Gothic"/>
          <w:strike/>
          <w:color w:val="FF0000"/>
          <w:szCs w:val="22"/>
        </w:rPr>
      </w:pPr>
      <w:r w:rsidRPr="00C26AE4">
        <w:rPr>
          <w:rFonts w:ascii="Century Gothic" w:eastAsia="Times New Roman" w:hAnsi="Century Gothic"/>
          <w:szCs w:val="22"/>
        </w:rPr>
        <w:t xml:space="preserve">In </w:t>
      </w:r>
      <w:r w:rsidR="241DB364" w:rsidRPr="00C26AE4">
        <w:rPr>
          <w:rFonts w:ascii="Century Gothic" w:eastAsia="Times New Roman" w:hAnsi="Century Gothic"/>
          <w:szCs w:val="22"/>
        </w:rPr>
        <w:t>FY2</w:t>
      </w:r>
      <w:r w:rsidR="2DDF601A" w:rsidRPr="00C26AE4">
        <w:rPr>
          <w:rFonts w:ascii="Century Gothic" w:eastAsia="Times New Roman" w:hAnsi="Century Gothic"/>
          <w:szCs w:val="22"/>
        </w:rPr>
        <w:t>4</w:t>
      </w:r>
      <w:r w:rsidR="241DB364" w:rsidRPr="00C26AE4">
        <w:rPr>
          <w:rFonts w:ascii="Century Gothic" w:eastAsia="Times New Roman" w:hAnsi="Century Gothic"/>
          <w:szCs w:val="22"/>
        </w:rPr>
        <w:t xml:space="preserve"> </w:t>
      </w:r>
      <w:r w:rsidRPr="00C26AE4">
        <w:rPr>
          <w:rFonts w:ascii="Century Gothic" w:eastAsia="Times New Roman" w:hAnsi="Century Gothic"/>
          <w:szCs w:val="22"/>
        </w:rPr>
        <w:t xml:space="preserve">the </w:t>
      </w:r>
      <w:r w:rsidR="002B2525">
        <w:rPr>
          <w:rFonts w:ascii="Century Gothic" w:eastAsia="Times New Roman" w:hAnsi="Century Gothic"/>
          <w:szCs w:val="22"/>
        </w:rPr>
        <w:t>average</w:t>
      </w:r>
      <w:r w:rsidR="002B2525" w:rsidRPr="00C26AE4">
        <w:rPr>
          <w:rFonts w:ascii="Century Gothic" w:eastAsia="Times New Roman" w:hAnsi="Century Gothic"/>
          <w:szCs w:val="22"/>
        </w:rPr>
        <w:t xml:space="preserve"> </w:t>
      </w:r>
      <w:r w:rsidRPr="00C26AE4">
        <w:rPr>
          <w:rFonts w:ascii="Century Gothic" w:eastAsia="Times New Roman" w:hAnsi="Century Gothic"/>
          <w:szCs w:val="22"/>
        </w:rPr>
        <w:t xml:space="preserve">amount of funds in each participant’s REEF account was </w:t>
      </w:r>
      <w:r w:rsidRPr="00C26AE4">
        <w:rPr>
          <w:rFonts w:ascii="Century Gothic" w:eastAsia="Times New Roman" w:hAnsi="Century Gothic"/>
          <w:color w:val="000000" w:themeColor="text1"/>
          <w:szCs w:val="22"/>
        </w:rPr>
        <w:t>$</w:t>
      </w:r>
      <w:r w:rsidR="4BEA98B6" w:rsidRPr="00C26AE4">
        <w:rPr>
          <w:rFonts w:ascii="Century Gothic" w:eastAsia="Times New Roman" w:hAnsi="Century Gothic"/>
          <w:color w:val="000000" w:themeColor="text1"/>
          <w:szCs w:val="22"/>
        </w:rPr>
        <w:t>12,</w:t>
      </w:r>
      <w:r w:rsidR="1B0C95A5" w:rsidRPr="00C26AE4">
        <w:rPr>
          <w:rFonts w:ascii="Century Gothic" w:eastAsia="Times New Roman" w:hAnsi="Century Gothic"/>
          <w:color w:val="000000" w:themeColor="text1"/>
          <w:szCs w:val="22"/>
        </w:rPr>
        <w:t>710</w:t>
      </w:r>
      <w:r w:rsidRPr="00C26AE4">
        <w:rPr>
          <w:rFonts w:ascii="Century Gothic" w:eastAsia="Times New Roman" w:hAnsi="Century Gothic"/>
          <w:szCs w:val="22"/>
        </w:rPr>
        <w:t xml:space="preserve">. </w:t>
      </w:r>
      <w:r w:rsidR="5029245E" w:rsidRPr="00C26AE4">
        <w:rPr>
          <w:rFonts w:ascii="Century Gothic" w:eastAsia="Times New Roman" w:hAnsi="Century Gothic"/>
          <w:szCs w:val="22"/>
        </w:rPr>
        <w:t>T</w:t>
      </w:r>
      <w:r w:rsidRPr="00C26AE4">
        <w:rPr>
          <w:rFonts w:ascii="Century Gothic" w:eastAsia="Times New Roman" w:hAnsi="Century Gothic"/>
          <w:szCs w:val="22"/>
        </w:rPr>
        <w:t xml:space="preserve">he average amount requested by CARES participants </w:t>
      </w:r>
      <w:r w:rsidR="35A0E5EB" w:rsidRPr="00C26AE4">
        <w:rPr>
          <w:rFonts w:ascii="Century Gothic" w:eastAsia="Times New Roman" w:hAnsi="Century Gothic"/>
          <w:szCs w:val="22"/>
        </w:rPr>
        <w:t>in FY202</w:t>
      </w:r>
      <w:r w:rsidR="570E54D7" w:rsidRPr="00C26AE4">
        <w:rPr>
          <w:rFonts w:ascii="Century Gothic" w:eastAsia="Times New Roman" w:hAnsi="Century Gothic"/>
          <w:szCs w:val="22"/>
        </w:rPr>
        <w:t>4</w:t>
      </w:r>
      <w:r w:rsidR="35A0E5EB" w:rsidRPr="00C26AE4">
        <w:rPr>
          <w:rFonts w:ascii="Century Gothic" w:eastAsia="Times New Roman" w:hAnsi="Century Gothic"/>
          <w:szCs w:val="22"/>
        </w:rPr>
        <w:t xml:space="preserve"> </w:t>
      </w:r>
      <w:r w:rsidR="1CABC4D9" w:rsidRPr="00C26AE4">
        <w:rPr>
          <w:rFonts w:ascii="Century Gothic" w:eastAsia="Times New Roman" w:hAnsi="Century Gothic"/>
          <w:szCs w:val="22"/>
        </w:rPr>
        <w:t xml:space="preserve">was </w:t>
      </w:r>
      <w:r w:rsidRPr="00C26AE4">
        <w:rPr>
          <w:rFonts w:ascii="Century Gothic" w:eastAsia="Times New Roman" w:hAnsi="Century Gothic"/>
          <w:szCs w:val="22"/>
        </w:rPr>
        <w:t>$</w:t>
      </w:r>
      <w:r w:rsidR="16F89E6F" w:rsidRPr="00C26AE4">
        <w:rPr>
          <w:rFonts w:ascii="Century Gothic" w:eastAsia="Times New Roman" w:hAnsi="Century Gothic"/>
          <w:szCs w:val="22"/>
        </w:rPr>
        <w:t>3,264</w:t>
      </w:r>
      <w:r w:rsidR="002B2525">
        <w:rPr>
          <w:rFonts w:ascii="Century Gothic" w:eastAsia="Times New Roman" w:hAnsi="Century Gothic"/>
          <w:szCs w:val="22"/>
        </w:rPr>
        <w:t>.</w:t>
      </w:r>
      <w:r w:rsidRPr="00C26AE4">
        <w:rPr>
          <w:rFonts w:ascii="Century Gothic" w:eastAsia="Times New Roman" w:hAnsi="Century Gothic"/>
          <w:szCs w:val="22"/>
        </w:rPr>
        <w:t xml:space="preserve"> </w:t>
      </w:r>
    </w:p>
    <w:p w14:paraId="60965159" w14:textId="6393D4DA" w:rsidR="56558BA2" w:rsidRPr="00C26AE4" w:rsidRDefault="56558BA2" w:rsidP="56558BA2">
      <w:pPr>
        <w:rPr>
          <w:rFonts w:ascii="Century Gothic" w:eastAsia="Times New Roman" w:hAnsi="Century Gothic"/>
          <w:szCs w:val="22"/>
        </w:rPr>
      </w:pPr>
    </w:p>
    <w:p w14:paraId="5CA6BC91" w14:textId="77777777" w:rsidR="006943E4" w:rsidRDefault="112226F6" w:rsidP="0E6C54AB">
      <w:pPr>
        <w:rPr>
          <w:rFonts w:ascii="Century Gothic" w:eastAsia="Times New Roman" w:hAnsi="Century Gothic"/>
          <w:szCs w:val="22"/>
        </w:rPr>
      </w:pPr>
      <w:r w:rsidRPr="00C26AE4">
        <w:rPr>
          <w:rFonts w:ascii="Century Gothic" w:eastAsia="Times New Roman" w:hAnsi="Century Gothic"/>
          <w:szCs w:val="22"/>
        </w:rPr>
        <w:t xml:space="preserve">In </w:t>
      </w:r>
      <w:r w:rsidR="461667AD" w:rsidRPr="00C26AE4">
        <w:rPr>
          <w:rFonts w:ascii="Century Gothic" w:eastAsia="Times New Roman" w:hAnsi="Century Gothic"/>
          <w:szCs w:val="22"/>
        </w:rPr>
        <w:t>FY2</w:t>
      </w:r>
      <w:r w:rsidR="425956B2" w:rsidRPr="00C26AE4">
        <w:rPr>
          <w:rFonts w:ascii="Century Gothic" w:eastAsia="Times New Roman" w:hAnsi="Century Gothic"/>
          <w:szCs w:val="22"/>
        </w:rPr>
        <w:t>4</w:t>
      </w:r>
      <w:r w:rsidR="461667AD" w:rsidRPr="00C26AE4">
        <w:rPr>
          <w:rFonts w:ascii="Century Gothic" w:eastAsia="Times New Roman" w:hAnsi="Century Gothic"/>
          <w:szCs w:val="22"/>
        </w:rPr>
        <w:t xml:space="preserve"> </w:t>
      </w:r>
      <w:r w:rsidRPr="00C26AE4">
        <w:rPr>
          <w:rFonts w:ascii="Century Gothic" w:eastAsia="Times New Roman" w:hAnsi="Century Gothic"/>
          <w:szCs w:val="22"/>
        </w:rPr>
        <w:t xml:space="preserve">there were </w:t>
      </w:r>
      <w:r w:rsidR="1655A7F5" w:rsidRPr="00C26AE4">
        <w:rPr>
          <w:rFonts w:ascii="Century Gothic" w:eastAsia="Times New Roman" w:hAnsi="Century Gothic"/>
          <w:szCs w:val="22"/>
        </w:rPr>
        <w:t>4</w:t>
      </w:r>
      <w:r w:rsidR="0532BA51" w:rsidRPr="00C26AE4">
        <w:rPr>
          <w:rFonts w:ascii="Century Gothic" w:eastAsia="Times New Roman" w:hAnsi="Century Gothic"/>
          <w:szCs w:val="22"/>
        </w:rPr>
        <w:t xml:space="preserve"> </w:t>
      </w:r>
      <w:r w:rsidRPr="00C26AE4">
        <w:rPr>
          <w:rFonts w:ascii="Century Gothic" w:eastAsia="Times New Roman" w:hAnsi="Century Gothic"/>
          <w:szCs w:val="22"/>
        </w:rPr>
        <w:t xml:space="preserve">CARES participants </w:t>
      </w:r>
      <w:r w:rsidR="4FECFB86" w:rsidRPr="00C26AE4">
        <w:rPr>
          <w:rFonts w:ascii="Century Gothic" w:eastAsia="Times New Roman" w:hAnsi="Century Gothic"/>
          <w:szCs w:val="22"/>
        </w:rPr>
        <w:t xml:space="preserve">that </w:t>
      </w:r>
      <w:r w:rsidRPr="00C26AE4">
        <w:rPr>
          <w:rFonts w:ascii="Century Gothic" w:eastAsia="Times New Roman" w:hAnsi="Century Gothic"/>
          <w:szCs w:val="22"/>
        </w:rPr>
        <w:t>access</w:t>
      </w:r>
      <w:r w:rsidR="2C9EAA10" w:rsidRPr="00C26AE4">
        <w:rPr>
          <w:rFonts w:ascii="Century Gothic" w:eastAsia="Times New Roman" w:hAnsi="Century Gothic"/>
          <w:szCs w:val="22"/>
        </w:rPr>
        <w:t xml:space="preserve">ed </w:t>
      </w:r>
      <w:r w:rsidRPr="00C26AE4">
        <w:rPr>
          <w:rFonts w:ascii="Century Gothic" w:eastAsia="Times New Roman" w:hAnsi="Century Gothic"/>
          <w:szCs w:val="22"/>
        </w:rPr>
        <w:t>the REEF account</w:t>
      </w:r>
      <w:r w:rsidR="1C328F02" w:rsidRPr="00C26AE4">
        <w:rPr>
          <w:rFonts w:ascii="Century Gothic" w:eastAsia="Times New Roman" w:hAnsi="Century Gothic"/>
          <w:szCs w:val="22"/>
        </w:rPr>
        <w:t xml:space="preserve"> prior to graduation</w:t>
      </w:r>
      <w:r w:rsidRPr="00C26AE4">
        <w:rPr>
          <w:rFonts w:ascii="Century Gothic" w:eastAsia="Times New Roman" w:hAnsi="Century Gothic"/>
          <w:szCs w:val="22"/>
        </w:rPr>
        <w:t xml:space="preserve">.  </w:t>
      </w:r>
    </w:p>
    <w:p w14:paraId="61B6351E" w14:textId="77777777" w:rsidR="006943E4" w:rsidRDefault="006943E4" w:rsidP="0E6C54AB">
      <w:pPr>
        <w:rPr>
          <w:rFonts w:ascii="Century Gothic" w:eastAsia="Times New Roman" w:hAnsi="Century Gothic"/>
          <w:szCs w:val="22"/>
        </w:rPr>
      </w:pPr>
    </w:p>
    <w:p w14:paraId="4D910A6A" w14:textId="6B3E53B1" w:rsidR="006943E4" w:rsidRDefault="5BD9F2F2" w:rsidP="00486062">
      <w:pPr>
        <w:pStyle w:val="ListParagraph"/>
        <w:numPr>
          <w:ilvl w:val="0"/>
          <w:numId w:val="123"/>
        </w:numPr>
        <w:rPr>
          <w:rFonts w:ascii="Century Gothic" w:eastAsia="Times New Roman" w:hAnsi="Century Gothic"/>
          <w:szCs w:val="22"/>
        </w:rPr>
      </w:pPr>
      <w:r w:rsidRPr="006943E4">
        <w:rPr>
          <w:rFonts w:ascii="Century Gothic" w:eastAsia="Times New Roman" w:hAnsi="Century Gothic"/>
          <w:szCs w:val="22"/>
        </w:rPr>
        <w:t>One participant requested $</w:t>
      </w:r>
      <w:r w:rsidR="797D3039" w:rsidRPr="006943E4">
        <w:rPr>
          <w:rFonts w:ascii="Century Gothic" w:eastAsia="Times New Roman" w:hAnsi="Century Gothic"/>
          <w:szCs w:val="22"/>
        </w:rPr>
        <w:t>3</w:t>
      </w:r>
      <w:r w:rsidRPr="006943E4">
        <w:rPr>
          <w:rFonts w:ascii="Century Gothic" w:eastAsia="Times New Roman" w:hAnsi="Century Gothic"/>
          <w:szCs w:val="22"/>
        </w:rPr>
        <w:t xml:space="preserve">,000 towards </w:t>
      </w:r>
      <w:r w:rsidR="006943E4">
        <w:rPr>
          <w:rFonts w:ascii="Century Gothic" w:eastAsia="Times New Roman" w:hAnsi="Century Gothic"/>
          <w:szCs w:val="22"/>
        </w:rPr>
        <w:t>pur</w:t>
      </w:r>
      <w:r w:rsidR="00B41563">
        <w:rPr>
          <w:rFonts w:ascii="Century Gothic" w:eastAsia="Times New Roman" w:hAnsi="Century Gothic"/>
          <w:szCs w:val="22"/>
        </w:rPr>
        <w:t xml:space="preserve">chase of a </w:t>
      </w:r>
      <w:r w:rsidRPr="006943E4">
        <w:rPr>
          <w:rFonts w:ascii="Century Gothic" w:eastAsia="Times New Roman" w:hAnsi="Century Gothic"/>
          <w:szCs w:val="22"/>
        </w:rPr>
        <w:t xml:space="preserve">vehicle, </w:t>
      </w:r>
    </w:p>
    <w:p w14:paraId="53E756A9" w14:textId="6A9E001D" w:rsidR="006943E4" w:rsidRDefault="006943E4" w:rsidP="00486062">
      <w:pPr>
        <w:pStyle w:val="ListParagraph"/>
        <w:numPr>
          <w:ilvl w:val="0"/>
          <w:numId w:val="123"/>
        </w:numPr>
        <w:rPr>
          <w:rFonts w:ascii="Century Gothic" w:eastAsia="Times New Roman" w:hAnsi="Century Gothic"/>
          <w:szCs w:val="22"/>
        </w:rPr>
      </w:pPr>
      <w:r>
        <w:rPr>
          <w:rFonts w:ascii="Century Gothic" w:eastAsia="Times New Roman" w:hAnsi="Century Gothic"/>
          <w:szCs w:val="22"/>
        </w:rPr>
        <w:t>O</w:t>
      </w:r>
      <w:r w:rsidR="65853872" w:rsidRPr="00B41563">
        <w:rPr>
          <w:rFonts w:ascii="Century Gothic" w:eastAsia="Times New Roman" w:hAnsi="Century Gothic"/>
          <w:szCs w:val="22"/>
        </w:rPr>
        <w:t>ne participant requested $</w:t>
      </w:r>
      <w:r w:rsidR="6B6E15F9" w:rsidRPr="00B41563">
        <w:rPr>
          <w:rFonts w:ascii="Century Gothic" w:eastAsia="Times New Roman" w:hAnsi="Century Gothic"/>
          <w:szCs w:val="22"/>
        </w:rPr>
        <w:t>1,</w:t>
      </w:r>
      <w:r w:rsidR="384D68D0" w:rsidRPr="00B41563">
        <w:rPr>
          <w:rFonts w:ascii="Century Gothic" w:eastAsia="Times New Roman" w:hAnsi="Century Gothic"/>
          <w:szCs w:val="22"/>
        </w:rPr>
        <w:t xml:space="preserve">115 </w:t>
      </w:r>
      <w:r w:rsidR="00B41563">
        <w:rPr>
          <w:rFonts w:ascii="Century Gothic" w:eastAsia="Times New Roman" w:hAnsi="Century Gothic"/>
          <w:szCs w:val="22"/>
        </w:rPr>
        <w:t>towards purchase of</w:t>
      </w:r>
      <w:r w:rsidR="384D68D0" w:rsidRPr="00B41563">
        <w:rPr>
          <w:rFonts w:ascii="Century Gothic" w:eastAsia="Times New Roman" w:hAnsi="Century Gothic"/>
          <w:szCs w:val="22"/>
        </w:rPr>
        <w:t xml:space="preserve"> a computer,</w:t>
      </w:r>
      <w:r w:rsidR="6B6E15F9" w:rsidRPr="00B41563">
        <w:rPr>
          <w:rFonts w:ascii="Century Gothic" w:eastAsia="Times New Roman" w:hAnsi="Century Gothic"/>
          <w:szCs w:val="22"/>
        </w:rPr>
        <w:t xml:space="preserve"> </w:t>
      </w:r>
    </w:p>
    <w:p w14:paraId="33784259" w14:textId="49D9312F" w:rsidR="006943E4" w:rsidRDefault="006943E4" w:rsidP="00486062">
      <w:pPr>
        <w:pStyle w:val="ListParagraph"/>
        <w:numPr>
          <w:ilvl w:val="0"/>
          <w:numId w:val="123"/>
        </w:numPr>
        <w:rPr>
          <w:rFonts w:ascii="Century Gothic" w:eastAsia="Times New Roman" w:hAnsi="Century Gothic"/>
          <w:szCs w:val="22"/>
        </w:rPr>
      </w:pPr>
      <w:r>
        <w:rPr>
          <w:rFonts w:ascii="Century Gothic" w:eastAsia="Times New Roman" w:hAnsi="Century Gothic"/>
          <w:szCs w:val="22"/>
        </w:rPr>
        <w:t>O</w:t>
      </w:r>
      <w:r w:rsidR="6B6E15F9" w:rsidRPr="00B41563">
        <w:rPr>
          <w:rFonts w:ascii="Century Gothic" w:eastAsia="Times New Roman" w:hAnsi="Century Gothic"/>
          <w:szCs w:val="22"/>
        </w:rPr>
        <w:t xml:space="preserve">ne </w:t>
      </w:r>
      <w:r w:rsidR="3E04B8FA" w:rsidRPr="00B41563">
        <w:rPr>
          <w:rFonts w:ascii="Century Gothic" w:eastAsia="Times New Roman" w:hAnsi="Century Gothic"/>
          <w:szCs w:val="22"/>
        </w:rPr>
        <w:t xml:space="preserve">participant </w:t>
      </w:r>
      <w:r w:rsidR="6B6E15F9" w:rsidRPr="00B41563">
        <w:rPr>
          <w:rFonts w:ascii="Century Gothic" w:eastAsia="Times New Roman" w:hAnsi="Century Gothic"/>
          <w:szCs w:val="22"/>
        </w:rPr>
        <w:t>requested $</w:t>
      </w:r>
      <w:r w:rsidR="777857C0" w:rsidRPr="00B41563">
        <w:rPr>
          <w:rFonts w:ascii="Century Gothic" w:eastAsia="Times New Roman" w:hAnsi="Century Gothic"/>
          <w:szCs w:val="22"/>
        </w:rPr>
        <w:t>3,000</w:t>
      </w:r>
      <w:r w:rsidR="2080AD50" w:rsidRPr="00B41563">
        <w:rPr>
          <w:rFonts w:ascii="Century Gothic" w:eastAsia="Times New Roman" w:hAnsi="Century Gothic"/>
          <w:szCs w:val="22"/>
        </w:rPr>
        <w:t xml:space="preserve"> </w:t>
      </w:r>
      <w:r w:rsidR="00BB2CD1" w:rsidRPr="00B41563">
        <w:rPr>
          <w:rFonts w:ascii="Century Gothic" w:eastAsia="Times New Roman" w:hAnsi="Century Gothic"/>
          <w:szCs w:val="22"/>
        </w:rPr>
        <w:t>to purs</w:t>
      </w:r>
      <w:r w:rsidR="00B41563">
        <w:rPr>
          <w:rFonts w:ascii="Century Gothic" w:eastAsia="Times New Roman" w:hAnsi="Century Gothic"/>
          <w:szCs w:val="22"/>
        </w:rPr>
        <w:t>u</w:t>
      </w:r>
      <w:r w:rsidR="00BB2CD1" w:rsidRPr="00B41563">
        <w:rPr>
          <w:rFonts w:ascii="Century Gothic" w:eastAsia="Times New Roman" w:hAnsi="Century Gothic"/>
          <w:szCs w:val="22"/>
        </w:rPr>
        <w:t xml:space="preserve">e </w:t>
      </w:r>
      <w:r w:rsidR="0EDD5BB3" w:rsidRPr="00B41563">
        <w:rPr>
          <w:rFonts w:ascii="Century Gothic" w:eastAsia="Times New Roman" w:hAnsi="Century Gothic"/>
          <w:szCs w:val="22"/>
        </w:rPr>
        <w:t>higher education</w:t>
      </w:r>
      <w:r w:rsidR="00EB7069" w:rsidRPr="00B41563">
        <w:rPr>
          <w:rFonts w:ascii="Century Gothic" w:eastAsia="Times New Roman" w:hAnsi="Century Gothic"/>
          <w:szCs w:val="22"/>
        </w:rPr>
        <w:t xml:space="preserve"> </w:t>
      </w:r>
    </w:p>
    <w:p w14:paraId="2E73FCFF" w14:textId="3031CC76" w:rsidR="006943E4" w:rsidRDefault="006943E4" w:rsidP="00486062">
      <w:pPr>
        <w:pStyle w:val="ListParagraph"/>
        <w:numPr>
          <w:ilvl w:val="0"/>
          <w:numId w:val="123"/>
        </w:numPr>
        <w:rPr>
          <w:rFonts w:ascii="Century Gothic" w:eastAsia="Times New Roman" w:hAnsi="Century Gothic"/>
          <w:szCs w:val="22"/>
        </w:rPr>
      </w:pPr>
      <w:r>
        <w:rPr>
          <w:rFonts w:ascii="Century Gothic" w:eastAsia="Times New Roman" w:hAnsi="Century Gothic"/>
          <w:szCs w:val="22"/>
        </w:rPr>
        <w:t>O</w:t>
      </w:r>
      <w:r w:rsidR="0EDD5BB3" w:rsidRPr="00B41563">
        <w:rPr>
          <w:rFonts w:ascii="Century Gothic" w:eastAsia="Times New Roman" w:hAnsi="Century Gothic"/>
          <w:szCs w:val="22"/>
        </w:rPr>
        <w:t>ne participant reque</w:t>
      </w:r>
      <w:r w:rsidR="0DC4A1E0" w:rsidRPr="00B41563">
        <w:rPr>
          <w:rFonts w:ascii="Century Gothic" w:eastAsia="Times New Roman" w:hAnsi="Century Gothic"/>
          <w:szCs w:val="22"/>
        </w:rPr>
        <w:t>s</w:t>
      </w:r>
      <w:r w:rsidR="0EDD5BB3" w:rsidRPr="00B41563">
        <w:rPr>
          <w:rFonts w:ascii="Century Gothic" w:eastAsia="Times New Roman" w:hAnsi="Century Gothic"/>
          <w:szCs w:val="22"/>
        </w:rPr>
        <w:t xml:space="preserve">ted $6,942 for a down payment on a home.  </w:t>
      </w:r>
    </w:p>
    <w:p w14:paraId="15142CF3" w14:textId="0F87BAFC" w:rsidR="332E49E3" w:rsidRPr="00B41563" w:rsidRDefault="0EDD5BB3" w:rsidP="006943E4">
      <w:pPr>
        <w:rPr>
          <w:rFonts w:ascii="Century Gothic" w:eastAsia="Times New Roman" w:hAnsi="Century Gothic"/>
          <w:szCs w:val="22"/>
        </w:rPr>
      </w:pPr>
      <w:r w:rsidRPr="006943E4">
        <w:rPr>
          <w:rFonts w:ascii="Century Gothic" w:eastAsia="Times New Roman" w:hAnsi="Century Gothic"/>
          <w:szCs w:val="22"/>
        </w:rPr>
        <w:lastRenderedPageBreak/>
        <w:t xml:space="preserve">Additionally, </w:t>
      </w:r>
      <w:r w:rsidR="0C8D9AD1" w:rsidRPr="006943E4">
        <w:rPr>
          <w:rFonts w:ascii="Century Gothic" w:eastAsia="Times New Roman" w:hAnsi="Century Gothic"/>
          <w:szCs w:val="22"/>
        </w:rPr>
        <w:t xml:space="preserve">one participant requested $633 </w:t>
      </w:r>
      <w:r w:rsidR="6B6E15F9" w:rsidRPr="006943E4">
        <w:rPr>
          <w:rFonts w:ascii="Century Gothic" w:eastAsia="Times New Roman" w:hAnsi="Century Gothic"/>
          <w:szCs w:val="22"/>
        </w:rPr>
        <w:t>for hardship</w:t>
      </w:r>
      <w:r w:rsidR="04FFB906" w:rsidRPr="006943E4">
        <w:rPr>
          <w:rFonts w:ascii="Century Gothic" w:eastAsia="Times New Roman" w:hAnsi="Century Gothic"/>
          <w:szCs w:val="22"/>
        </w:rPr>
        <w:t xml:space="preserve"> reason</w:t>
      </w:r>
      <w:r w:rsidR="5221FDE8" w:rsidRPr="006943E4">
        <w:rPr>
          <w:rFonts w:ascii="Century Gothic" w:eastAsia="Times New Roman" w:hAnsi="Century Gothic"/>
          <w:szCs w:val="22"/>
        </w:rPr>
        <w:t xml:space="preserve"> that was denied </w:t>
      </w:r>
      <w:r w:rsidR="6E862A16" w:rsidRPr="006943E4">
        <w:rPr>
          <w:rFonts w:ascii="Century Gothic" w:eastAsia="Times New Roman" w:hAnsi="Century Gothic"/>
          <w:szCs w:val="22"/>
        </w:rPr>
        <w:t>because it did not meet the hardship criteria</w:t>
      </w:r>
    </w:p>
    <w:p w14:paraId="656B36AC" w14:textId="7F7C814F" w:rsidR="52E98CF8" w:rsidRPr="00C26AE4" w:rsidRDefault="52E98CF8" w:rsidP="0E6C54AB">
      <w:pPr>
        <w:rPr>
          <w:rFonts w:ascii="Century Gothic" w:eastAsia="MS PGothic" w:hAnsi="Century Gothic"/>
          <w:szCs w:val="22"/>
        </w:rPr>
      </w:pPr>
    </w:p>
    <w:p w14:paraId="655AA8DA" w14:textId="38EF835E" w:rsidR="4625F063" w:rsidRPr="00C26AE4" w:rsidRDefault="27040D46">
      <w:pPr>
        <w:rPr>
          <w:rFonts w:ascii="Century Gothic" w:hAnsi="Century Gothic"/>
          <w:szCs w:val="22"/>
        </w:rPr>
      </w:pPr>
      <w:r w:rsidRPr="00C26AE4">
        <w:rPr>
          <w:rFonts w:ascii="Century Gothic" w:eastAsia="Times New Roman" w:hAnsi="Century Gothic"/>
          <w:szCs w:val="22"/>
        </w:rPr>
        <w:t>Below is a table highlighting the historical requests from CARES residents to utilize their individual REEF accounts to cover the following costs:</w:t>
      </w:r>
    </w:p>
    <w:p w14:paraId="1E96D7AE" w14:textId="01C9E196" w:rsidR="006B085B" w:rsidRPr="00C26AE4" w:rsidRDefault="4625F063">
      <w:pPr>
        <w:rPr>
          <w:rFonts w:ascii="Century Gothic" w:eastAsia="Times New Roman" w:hAnsi="Century Gothic"/>
          <w:szCs w:val="22"/>
        </w:rPr>
      </w:pPr>
      <w:r w:rsidRPr="00C26AE4">
        <w:rPr>
          <w:rFonts w:ascii="Century Gothic" w:eastAsia="Times New Roman" w:hAnsi="Century Gothic"/>
          <w:szCs w:val="22"/>
        </w:rPr>
        <w:t xml:space="preserve">  </w:t>
      </w:r>
    </w:p>
    <w:tbl>
      <w:tblPr>
        <w:tblW w:w="8310" w:type="dxa"/>
        <w:tblLayout w:type="fixed"/>
        <w:tblLook w:val="06A0" w:firstRow="1" w:lastRow="0" w:firstColumn="1" w:lastColumn="0" w:noHBand="1" w:noVBand="1"/>
      </w:tblPr>
      <w:tblGrid>
        <w:gridCol w:w="2700"/>
        <w:gridCol w:w="1575"/>
        <w:gridCol w:w="1875"/>
        <w:gridCol w:w="2160"/>
      </w:tblGrid>
      <w:tr w:rsidR="332E49E3" w:rsidRPr="002864AA" w14:paraId="473AB25F" w14:textId="77777777" w:rsidTr="6EDDC8C1">
        <w:trPr>
          <w:trHeight w:val="540"/>
        </w:trPr>
        <w:tc>
          <w:tcPr>
            <w:tcW w:w="2700" w:type="dxa"/>
            <w:tcBorders>
              <w:top w:val="nil"/>
              <w:left w:val="nil"/>
              <w:bottom w:val="single" w:sz="24" w:space="0" w:color="B5333C" w:themeColor="accent2"/>
              <w:right w:val="single" w:sz="8" w:space="0" w:color="D9D9D9" w:themeColor="background1" w:themeShade="D9"/>
            </w:tcBorders>
            <w:shd w:val="clear" w:color="auto" w:fill="808080" w:themeFill="background1" w:themeFillShade="80"/>
            <w:vAlign w:val="center"/>
          </w:tcPr>
          <w:p w14:paraId="2AEAFE49" w14:textId="2DB660A1" w:rsidR="332E49E3" w:rsidRPr="00C26AE4" w:rsidRDefault="332E49E3" w:rsidP="332E49E3">
            <w:pPr>
              <w:jc w:val="center"/>
              <w:rPr>
                <w:rFonts w:ascii="Century Gothic" w:hAnsi="Century Gothic"/>
                <w:szCs w:val="22"/>
              </w:rPr>
            </w:pPr>
            <w:r w:rsidRPr="00C26AE4">
              <w:rPr>
                <w:rFonts w:ascii="Century Gothic" w:eastAsia="Times New Roman" w:hAnsi="Century Gothic"/>
                <w:b/>
                <w:bCs/>
                <w:szCs w:val="22"/>
              </w:rPr>
              <w:t xml:space="preserve">Request </w:t>
            </w:r>
            <w:proofErr w:type="gramStart"/>
            <w:r w:rsidRPr="00C26AE4">
              <w:rPr>
                <w:rFonts w:ascii="Century Gothic" w:eastAsia="Times New Roman" w:hAnsi="Century Gothic"/>
                <w:b/>
                <w:bCs/>
                <w:szCs w:val="22"/>
              </w:rPr>
              <w:t>to</w:t>
            </w:r>
            <w:proofErr w:type="gramEnd"/>
            <w:r w:rsidRPr="00C26AE4">
              <w:rPr>
                <w:rFonts w:ascii="Century Gothic" w:eastAsia="Times New Roman" w:hAnsi="Century Gothic"/>
                <w:b/>
                <w:bCs/>
                <w:szCs w:val="22"/>
              </w:rPr>
              <w:t xml:space="preserve"> Cover Cost</w:t>
            </w:r>
          </w:p>
        </w:tc>
        <w:tc>
          <w:tcPr>
            <w:tcW w:w="1575" w:type="dxa"/>
            <w:tcBorders>
              <w:top w:val="nil"/>
              <w:left w:val="single" w:sz="8" w:space="0" w:color="D9D9D9" w:themeColor="background1" w:themeShade="D9"/>
              <w:bottom w:val="single" w:sz="24" w:space="0" w:color="B5333C" w:themeColor="accent2"/>
              <w:right w:val="nil"/>
            </w:tcBorders>
            <w:shd w:val="clear" w:color="auto" w:fill="808080" w:themeFill="background1" w:themeFillShade="80"/>
            <w:vAlign w:val="center"/>
          </w:tcPr>
          <w:p w14:paraId="1E3CFC3C" w14:textId="6E32A97D" w:rsidR="6EDDC8C1" w:rsidRPr="00C26AE4" w:rsidRDefault="6EDDC8C1" w:rsidP="6EDDC8C1">
            <w:pPr>
              <w:jc w:val="center"/>
              <w:rPr>
                <w:rFonts w:ascii="Century Gothic" w:eastAsia="Times New Roman" w:hAnsi="Century Gothic"/>
                <w:b/>
                <w:bCs/>
                <w:color w:val="000000" w:themeColor="text1"/>
                <w:szCs w:val="22"/>
              </w:rPr>
            </w:pPr>
          </w:p>
        </w:tc>
        <w:tc>
          <w:tcPr>
            <w:tcW w:w="1875" w:type="dxa"/>
            <w:tcBorders>
              <w:top w:val="nil"/>
              <w:left w:val="single" w:sz="8" w:space="0" w:color="D9D9D9" w:themeColor="background1" w:themeShade="D9"/>
              <w:bottom w:val="single" w:sz="24" w:space="0" w:color="B5333C" w:themeColor="accent2"/>
              <w:right w:val="nil"/>
            </w:tcBorders>
            <w:shd w:val="clear" w:color="auto" w:fill="808080" w:themeFill="background1" w:themeFillShade="80"/>
            <w:vAlign w:val="center"/>
          </w:tcPr>
          <w:p w14:paraId="516BF6EA" w14:textId="3CA7C3DA" w:rsidR="332E49E3" w:rsidRPr="00C26AE4" w:rsidRDefault="332E49E3" w:rsidP="332E49E3">
            <w:pPr>
              <w:jc w:val="center"/>
              <w:rPr>
                <w:rFonts w:ascii="Century Gothic" w:hAnsi="Century Gothic"/>
                <w:szCs w:val="22"/>
              </w:rPr>
            </w:pPr>
            <w:r w:rsidRPr="00C26AE4">
              <w:rPr>
                <w:rFonts w:ascii="Century Gothic" w:eastAsia="Times New Roman" w:hAnsi="Century Gothic"/>
                <w:b/>
                <w:bCs/>
                <w:color w:val="000000" w:themeColor="text1"/>
                <w:szCs w:val="22"/>
              </w:rPr>
              <w:t>Total Amount Requested</w:t>
            </w:r>
            <w:r w:rsidR="007D2A53">
              <w:rPr>
                <w:rFonts w:ascii="Century Gothic" w:eastAsia="Times New Roman" w:hAnsi="Century Gothic"/>
                <w:b/>
                <w:bCs/>
                <w:color w:val="000000" w:themeColor="text1"/>
                <w:szCs w:val="22"/>
              </w:rPr>
              <w:t xml:space="preserve"> to date</w:t>
            </w:r>
          </w:p>
        </w:tc>
        <w:tc>
          <w:tcPr>
            <w:tcW w:w="2160" w:type="dxa"/>
            <w:tcBorders>
              <w:top w:val="nil"/>
              <w:left w:val="single" w:sz="8" w:space="0" w:color="D9D9D9" w:themeColor="background1" w:themeShade="D9"/>
              <w:bottom w:val="single" w:sz="24" w:space="0" w:color="B5333C" w:themeColor="accent2"/>
              <w:right w:val="nil"/>
            </w:tcBorders>
            <w:shd w:val="clear" w:color="auto" w:fill="808080" w:themeFill="background1" w:themeFillShade="80"/>
            <w:vAlign w:val="center"/>
          </w:tcPr>
          <w:p w14:paraId="63F64AAF" w14:textId="468251FC" w:rsidR="332E49E3" w:rsidRPr="00C26AE4" w:rsidRDefault="332E49E3" w:rsidP="332E49E3">
            <w:pPr>
              <w:jc w:val="center"/>
              <w:rPr>
                <w:rFonts w:ascii="Century Gothic" w:hAnsi="Century Gothic"/>
                <w:szCs w:val="22"/>
              </w:rPr>
            </w:pPr>
            <w:r w:rsidRPr="00C26AE4">
              <w:rPr>
                <w:rFonts w:ascii="Century Gothic" w:eastAsia="Times New Roman" w:hAnsi="Century Gothic"/>
                <w:b/>
                <w:bCs/>
                <w:color w:val="000000" w:themeColor="text1"/>
                <w:szCs w:val="22"/>
              </w:rPr>
              <w:t>Total Amount Approved</w:t>
            </w:r>
            <w:r w:rsidR="007D2A53">
              <w:rPr>
                <w:rFonts w:ascii="Century Gothic" w:eastAsia="Times New Roman" w:hAnsi="Century Gothic"/>
                <w:b/>
                <w:bCs/>
                <w:color w:val="000000" w:themeColor="text1"/>
                <w:szCs w:val="22"/>
              </w:rPr>
              <w:t xml:space="preserve"> to date</w:t>
            </w:r>
          </w:p>
        </w:tc>
      </w:tr>
      <w:tr w:rsidR="332E49E3" w:rsidRPr="002864AA" w14:paraId="12917179" w14:textId="77777777" w:rsidTr="6EDDC8C1">
        <w:trPr>
          <w:trHeight w:val="330"/>
        </w:trPr>
        <w:tc>
          <w:tcPr>
            <w:tcW w:w="2700" w:type="dxa"/>
            <w:tcBorders>
              <w:top w:val="single" w:sz="24" w:space="0" w:color="B5333C" w:themeColor="accent2"/>
              <w:left w:val="nil"/>
              <w:bottom w:val="single" w:sz="8" w:space="0" w:color="D9D9D9" w:themeColor="background1" w:themeShade="D9"/>
              <w:right w:val="single" w:sz="8" w:space="0" w:color="D9D9D9" w:themeColor="background1" w:themeShade="D9"/>
            </w:tcBorders>
            <w:shd w:val="clear" w:color="auto" w:fill="FFFFFF" w:themeFill="background1"/>
          </w:tcPr>
          <w:p w14:paraId="61E9F747" w14:textId="1FE06578" w:rsidR="332E49E3" w:rsidRPr="00C26AE4" w:rsidRDefault="5BE6CB9D" w:rsidP="6EDDC8C1">
            <w:pP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 xml:space="preserve">Purchase of a vehicle </w:t>
            </w:r>
          </w:p>
        </w:tc>
        <w:tc>
          <w:tcPr>
            <w:tcW w:w="1575" w:type="dxa"/>
            <w:tcBorders>
              <w:top w:val="single" w:sz="24" w:space="0" w:color="B5333C" w:themeColor="accent2"/>
              <w:left w:val="single" w:sz="8" w:space="0" w:color="D9D9D9" w:themeColor="background1" w:themeShade="D9"/>
              <w:bottom w:val="single" w:sz="8" w:space="0" w:color="D9D9D9" w:themeColor="background1" w:themeShade="D9"/>
              <w:right w:val="nil"/>
            </w:tcBorders>
            <w:shd w:val="clear" w:color="auto" w:fill="FFFFFF" w:themeFill="background1"/>
          </w:tcPr>
          <w:p w14:paraId="50612484" w14:textId="38B1101A" w:rsidR="5925DC9B" w:rsidRPr="00C26AE4" w:rsidRDefault="5925DC9B" w:rsidP="00EB7069">
            <w:pPr>
              <w:jc w:val="cente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18</w:t>
            </w:r>
          </w:p>
        </w:tc>
        <w:tc>
          <w:tcPr>
            <w:tcW w:w="1875" w:type="dxa"/>
            <w:tcBorders>
              <w:top w:val="single" w:sz="24" w:space="0" w:color="B5333C" w:themeColor="accent2"/>
              <w:left w:val="single" w:sz="8" w:space="0" w:color="D9D9D9" w:themeColor="background1" w:themeShade="D9"/>
              <w:bottom w:val="single" w:sz="8" w:space="0" w:color="D9D9D9" w:themeColor="background1" w:themeShade="D9"/>
              <w:right w:val="nil"/>
            </w:tcBorders>
            <w:shd w:val="clear" w:color="auto" w:fill="FFFFFF" w:themeFill="background1"/>
          </w:tcPr>
          <w:p w14:paraId="02330FC8" w14:textId="1BB04FB9" w:rsidR="332E49E3" w:rsidRPr="00C26AE4" w:rsidRDefault="73AC8734" w:rsidP="4EC18A89">
            <w:pPr>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w:t>
            </w:r>
            <w:r w:rsidR="48AAB66A" w:rsidRPr="00C26AE4">
              <w:rPr>
                <w:rFonts w:ascii="Century Gothic" w:eastAsia="Times New Roman" w:hAnsi="Century Gothic"/>
                <w:color w:val="000000" w:themeColor="text1"/>
                <w:szCs w:val="22"/>
              </w:rPr>
              <w:t>5</w:t>
            </w:r>
            <w:r w:rsidR="64A82257" w:rsidRPr="00C26AE4">
              <w:rPr>
                <w:rFonts w:ascii="Century Gothic" w:eastAsia="Times New Roman" w:hAnsi="Century Gothic"/>
                <w:color w:val="000000" w:themeColor="text1"/>
                <w:szCs w:val="22"/>
              </w:rPr>
              <w:t>5</w:t>
            </w:r>
            <w:r w:rsidR="48AAB66A" w:rsidRPr="00C26AE4">
              <w:rPr>
                <w:rFonts w:ascii="Century Gothic" w:eastAsia="Times New Roman" w:hAnsi="Century Gothic"/>
                <w:color w:val="000000" w:themeColor="text1"/>
                <w:szCs w:val="22"/>
              </w:rPr>
              <w:t>,500</w:t>
            </w:r>
            <w:r w:rsidR="0A34C486" w:rsidRPr="00C26AE4">
              <w:rPr>
                <w:rFonts w:ascii="Century Gothic" w:eastAsia="Times New Roman" w:hAnsi="Century Gothic"/>
                <w:color w:val="000000" w:themeColor="text1"/>
                <w:szCs w:val="22"/>
              </w:rPr>
              <w:t xml:space="preserve"> </w:t>
            </w:r>
          </w:p>
        </w:tc>
        <w:tc>
          <w:tcPr>
            <w:tcW w:w="2160" w:type="dxa"/>
            <w:tcBorders>
              <w:top w:val="single" w:sz="24" w:space="0" w:color="B5333C" w:themeColor="accent2"/>
              <w:left w:val="single" w:sz="8" w:space="0" w:color="D9D9D9" w:themeColor="background1" w:themeShade="D9"/>
              <w:bottom w:val="single" w:sz="8" w:space="0" w:color="D9D9D9" w:themeColor="background1" w:themeShade="D9"/>
              <w:right w:val="nil"/>
            </w:tcBorders>
            <w:shd w:val="clear" w:color="auto" w:fill="FFFFFF" w:themeFill="background1"/>
          </w:tcPr>
          <w:p w14:paraId="16A5A8BE" w14:textId="2D856A3B" w:rsidR="332E49E3" w:rsidRPr="00C26AE4" w:rsidRDefault="0B947D43" w:rsidP="4EC18A89">
            <w:pPr>
              <w:ind w:left="886" w:hanging="886"/>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$5</w:t>
            </w:r>
            <w:r w:rsidR="4A0AA2B3" w:rsidRPr="00C26AE4">
              <w:rPr>
                <w:rFonts w:ascii="Century Gothic" w:eastAsia="Times New Roman" w:hAnsi="Century Gothic"/>
                <w:color w:val="000000" w:themeColor="text1"/>
                <w:szCs w:val="22"/>
              </w:rPr>
              <w:t>5</w:t>
            </w:r>
            <w:r w:rsidRPr="00C26AE4">
              <w:rPr>
                <w:rFonts w:ascii="Century Gothic" w:eastAsia="Times New Roman" w:hAnsi="Century Gothic"/>
                <w:color w:val="000000" w:themeColor="text1"/>
                <w:szCs w:val="22"/>
              </w:rPr>
              <w:t>,500</w:t>
            </w:r>
            <w:r w:rsidR="76451E11" w:rsidRPr="00C26AE4">
              <w:rPr>
                <w:rFonts w:ascii="Century Gothic" w:eastAsia="Times New Roman" w:hAnsi="Century Gothic"/>
                <w:color w:val="000000" w:themeColor="text1"/>
                <w:szCs w:val="22"/>
              </w:rPr>
              <w:t xml:space="preserve"> </w:t>
            </w:r>
          </w:p>
        </w:tc>
      </w:tr>
      <w:tr w:rsidR="332E49E3" w:rsidRPr="002864AA" w14:paraId="789D445A" w14:textId="77777777" w:rsidTr="6EDDC8C1">
        <w:trPr>
          <w:trHeight w:val="300"/>
        </w:trPr>
        <w:tc>
          <w:tcPr>
            <w:tcW w:w="27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3466B51C" w14:textId="01772C05" w:rsidR="332E49E3" w:rsidRPr="00C26AE4" w:rsidRDefault="3949B19D" w:rsidP="6EDDC8C1">
            <w:pP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 xml:space="preserve">Down payment on a home </w:t>
            </w:r>
          </w:p>
        </w:tc>
        <w:tc>
          <w:tcPr>
            <w:tcW w:w="15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6113AC64" w14:textId="65D74181" w:rsidR="5A998F6B" w:rsidRPr="00C26AE4" w:rsidRDefault="5A998F6B" w:rsidP="00EB7069">
            <w:pPr>
              <w:jc w:val="cente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2</w:t>
            </w:r>
          </w:p>
        </w:tc>
        <w:tc>
          <w:tcPr>
            <w:tcW w:w="18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340369A4" w14:textId="509ADA31" w:rsidR="332E49E3" w:rsidRPr="00C26AE4" w:rsidRDefault="4B24686D" w:rsidP="0E6C54AB">
            <w:pPr>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w:t>
            </w:r>
            <w:r w:rsidR="553C59BC" w:rsidRPr="00C26AE4">
              <w:rPr>
                <w:rFonts w:ascii="Century Gothic" w:eastAsia="Times New Roman" w:hAnsi="Century Gothic"/>
                <w:color w:val="000000" w:themeColor="text1"/>
                <w:szCs w:val="22"/>
              </w:rPr>
              <w:t>17,390</w:t>
            </w:r>
            <w:r w:rsidR="678D8167" w:rsidRPr="00C26AE4">
              <w:rPr>
                <w:rFonts w:ascii="Century Gothic" w:eastAsia="Times New Roman" w:hAnsi="Century Gothic"/>
                <w:color w:val="000000" w:themeColor="text1"/>
                <w:szCs w:val="22"/>
              </w:rPr>
              <w:t xml:space="preserve"> </w:t>
            </w:r>
          </w:p>
        </w:tc>
        <w:tc>
          <w:tcPr>
            <w:tcW w:w="216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4D9C41B2" w14:textId="04F54287" w:rsidR="332E49E3" w:rsidRPr="00C26AE4" w:rsidRDefault="6FE1CB59" w:rsidP="0E6C54AB">
            <w:pPr>
              <w:ind w:left="886" w:hanging="886"/>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$17390</w:t>
            </w:r>
            <w:r w:rsidR="57D5C1F1" w:rsidRPr="00C26AE4">
              <w:rPr>
                <w:rFonts w:ascii="Century Gothic" w:eastAsia="Times New Roman" w:hAnsi="Century Gothic"/>
                <w:color w:val="000000" w:themeColor="text1"/>
                <w:szCs w:val="22"/>
              </w:rPr>
              <w:t xml:space="preserve"> </w:t>
            </w:r>
          </w:p>
        </w:tc>
      </w:tr>
      <w:tr w:rsidR="332E49E3" w:rsidRPr="002864AA" w14:paraId="721D0830" w14:textId="77777777" w:rsidTr="6EDDC8C1">
        <w:trPr>
          <w:trHeight w:val="270"/>
        </w:trPr>
        <w:tc>
          <w:tcPr>
            <w:tcW w:w="27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1892CC21" w14:textId="3BC10E29" w:rsidR="332E49E3" w:rsidRPr="00C26AE4" w:rsidRDefault="3949B19D" w:rsidP="6EDDC8C1">
            <w:pP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 xml:space="preserve">Purchase of a Computer </w:t>
            </w:r>
          </w:p>
        </w:tc>
        <w:tc>
          <w:tcPr>
            <w:tcW w:w="15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264E9026" w14:textId="26E0D464" w:rsidR="256421C2" w:rsidRPr="00C26AE4" w:rsidRDefault="256421C2" w:rsidP="00EB7069">
            <w:pPr>
              <w:jc w:val="cente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2</w:t>
            </w:r>
          </w:p>
        </w:tc>
        <w:tc>
          <w:tcPr>
            <w:tcW w:w="18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4A4C33E1" w14:textId="4A2EBDC0" w:rsidR="332E49E3" w:rsidRPr="00C26AE4" w:rsidRDefault="4B24686D" w:rsidP="0E6C54AB">
            <w:pPr>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w:t>
            </w:r>
            <w:r w:rsidR="707DF967" w:rsidRPr="00C26AE4">
              <w:rPr>
                <w:rFonts w:ascii="Century Gothic" w:eastAsia="Times New Roman" w:hAnsi="Century Gothic"/>
                <w:color w:val="000000" w:themeColor="text1"/>
                <w:szCs w:val="22"/>
              </w:rPr>
              <w:t>1,615</w:t>
            </w:r>
          </w:p>
        </w:tc>
        <w:tc>
          <w:tcPr>
            <w:tcW w:w="216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576215CF" w14:textId="5DDFAA67" w:rsidR="332E49E3" w:rsidRPr="00C26AE4" w:rsidRDefault="4B24686D" w:rsidP="0E6C54AB">
            <w:pPr>
              <w:ind w:left="886" w:hanging="886"/>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w:t>
            </w:r>
            <w:r w:rsidR="6D77430D" w:rsidRPr="00C26AE4">
              <w:rPr>
                <w:rFonts w:ascii="Century Gothic" w:eastAsia="Times New Roman" w:hAnsi="Century Gothic"/>
                <w:color w:val="000000" w:themeColor="text1"/>
                <w:szCs w:val="22"/>
              </w:rPr>
              <w:t>1,464</w:t>
            </w:r>
          </w:p>
        </w:tc>
      </w:tr>
      <w:tr w:rsidR="332E49E3" w:rsidRPr="002864AA" w14:paraId="1C91C02C" w14:textId="77777777" w:rsidTr="6EDDC8C1">
        <w:trPr>
          <w:trHeight w:val="255"/>
        </w:trPr>
        <w:tc>
          <w:tcPr>
            <w:tcW w:w="27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2D8FBD90" w14:textId="1AE44262" w:rsidR="332E49E3" w:rsidRPr="00C26AE4" w:rsidRDefault="3949B19D" w:rsidP="6EDDC8C1">
            <w:pP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 xml:space="preserve">Enrollment in Higher Education </w:t>
            </w:r>
          </w:p>
        </w:tc>
        <w:tc>
          <w:tcPr>
            <w:tcW w:w="15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5DA7D5E2" w14:textId="066D4740" w:rsidR="7396C13E" w:rsidRPr="00C26AE4" w:rsidRDefault="7396C13E" w:rsidP="00EB7069">
            <w:pPr>
              <w:jc w:val="cente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7</w:t>
            </w:r>
          </w:p>
        </w:tc>
        <w:tc>
          <w:tcPr>
            <w:tcW w:w="18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282C72C0" w14:textId="49FFE3DA" w:rsidR="332E49E3" w:rsidRPr="00C26AE4" w:rsidRDefault="4B24686D" w:rsidP="0E6C54AB">
            <w:pPr>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w:t>
            </w:r>
            <w:r w:rsidR="18AC1091" w:rsidRPr="00C26AE4">
              <w:rPr>
                <w:rFonts w:ascii="Century Gothic" w:eastAsia="Times New Roman" w:hAnsi="Century Gothic"/>
                <w:color w:val="000000" w:themeColor="text1"/>
                <w:szCs w:val="22"/>
              </w:rPr>
              <w:t>17,449</w:t>
            </w:r>
          </w:p>
        </w:tc>
        <w:tc>
          <w:tcPr>
            <w:tcW w:w="216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6062BA81" w14:textId="2DB57C32" w:rsidR="332E49E3" w:rsidRPr="00C26AE4" w:rsidRDefault="4B24686D" w:rsidP="0E6C54AB">
            <w:pPr>
              <w:ind w:left="886" w:hanging="886"/>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w:t>
            </w:r>
            <w:r w:rsidR="01F4B3BB" w:rsidRPr="00C26AE4">
              <w:rPr>
                <w:rFonts w:ascii="Century Gothic" w:eastAsia="Times New Roman" w:hAnsi="Century Gothic"/>
                <w:color w:val="000000" w:themeColor="text1"/>
                <w:szCs w:val="22"/>
              </w:rPr>
              <w:t>17,449</w:t>
            </w:r>
          </w:p>
        </w:tc>
      </w:tr>
      <w:tr w:rsidR="332E49E3" w:rsidRPr="002864AA" w14:paraId="1B409D30" w14:textId="77777777" w:rsidTr="6EDDC8C1">
        <w:trPr>
          <w:trHeight w:val="270"/>
        </w:trPr>
        <w:tc>
          <w:tcPr>
            <w:tcW w:w="27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0065E70F" w14:textId="53F2E821" w:rsidR="332E49E3" w:rsidRPr="00C26AE4" w:rsidRDefault="65EF89D4" w:rsidP="6EDDC8C1">
            <w:pP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 xml:space="preserve">Start a small business </w:t>
            </w:r>
          </w:p>
        </w:tc>
        <w:tc>
          <w:tcPr>
            <w:tcW w:w="15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71A97145" w14:textId="746DB3B5" w:rsidR="16CC201B" w:rsidRPr="00C26AE4" w:rsidRDefault="16CC201B" w:rsidP="00EB7069">
            <w:pPr>
              <w:jc w:val="cente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1</w:t>
            </w:r>
          </w:p>
        </w:tc>
        <w:tc>
          <w:tcPr>
            <w:tcW w:w="18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7CBE3B44" w14:textId="5F7D4477" w:rsidR="332E49E3" w:rsidRPr="00C26AE4" w:rsidRDefault="56DD3686" w:rsidP="0E6C54AB">
            <w:pPr>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$1,000</w:t>
            </w:r>
          </w:p>
        </w:tc>
        <w:tc>
          <w:tcPr>
            <w:tcW w:w="216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1F4957CC" w14:textId="2929B6DB" w:rsidR="332E49E3" w:rsidRPr="00C26AE4" w:rsidRDefault="56DD3686" w:rsidP="0E6C54AB">
            <w:pPr>
              <w:ind w:left="886" w:hanging="886"/>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$1,000</w:t>
            </w:r>
          </w:p>
        </w:tc>
      </w:tr>
      <w:tr w:rsidR="332E49E3" w:rsidRPr="002864AA" w14:paraId="63C2F3AC" w14:textId="77777777" w:rsidTr="6EDDC8C1">
        <w:trPr>
          <w:trHeight w:val="255"/>
        </w:trPr>
        <w:tc>
          <w:tcPr>
            <w:tcW w:w="27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640226E2" w14:textId="5BEBF841" w:rsidR="332E49E3" w:rsidRPr="00C26AE4" w:rsidRDefault="675607F5" w:rsidP="6EDDC8C1">
            <w:pP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 xml:space="preserve">A hardship </w:t>
            </w:r>
          </w:p>
        </w:tc>
        <w:tc>
          <w:tcPr>
            <w:tcW w:w="15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31E847D7" w14:textId="68E9402C" w:rsidR="34051625" w:rsidRPr="00C26AE4" w:rsidRDefault="34051625" w:rsidP="00EB7069">
            <w:pPr>
              <w:jc w:val="cente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6</w:t>
            </w:r>
          </w:p>
        </w:tc>
        <w:tc>
          <w:tcPr>
            <w:tcW w:w="18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57ED0490" w14:textId="27009B5B" w:rsidR="332E49E3" w:rsidRPr="00C26AE4" w:rsidRDefault="176BD451" w:rsidP="4EC18A89">
            <w:pPr>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w:t>
            </w:r>
            <w:r w:rsidR="1486D089" w:rsidRPr="00C26AE4">
              <w:rPr>
                <w:rFonts w:ascii="Century Gothic" w:eastAsia="Times New Roman" w:hAnsi="Century Gothic"/>
                <w:color w:val="000000" w:themeColor="text1"/>
                <w:szCs w:val="22"/>
              </w:rPr>
              <w:t>15,672</w:t>
            </w:r>
            <w:r w:rsidR="7341149E" w:rsidRPr="00C26AE4">
              <w:rPr>
                <w:rFonts w:ascii="Century Gothic" w:eastAsia="Times New Roman" w:hAnsi="Century Gothic"/>
                <w:color w:val="000000" w:themeColor="text1"/>
                <w:szCs w:val="22"/>
              </w:rPr>
              <w:t>.</w:t>
            </w:r>
          </w:p>
        </w:tc>
        <w:tc>
          <w:tcPr>
            <w:tcW w:w="216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0F3157B9" w14:textId="2BC6BA19" w:rsidR="332E49E3" w:rsidRPr="00C26AE4" w:rsidRDefault="176BD451" w:rsidP="4EC18A89">
            <w:pPr>
              <w:ind w:left="886" w:hanging="886"/>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w:t>
            </w:r>
            <w:r w:rsidR="16374E67" w:rsidRPr="00C26AE4">
              <w:rPr>
                <w:rFonts w:ascii="Century Gothic" w:eastAsia="Times New Roman" w:hAnsi="Century Gothic"/>
                <w:color w:val="000000" w:themeColor="text1"/>
                <w:szCs w:val="22"/>
              </w:rPr>
              <w:t>15,672</w:t>
            </w:r>
          </w:p>
        </w:tc>
      </w:tr>
      <w:tr w:rsidR="332E49E3" w:rsidRPr="002864AA" w14:paraId="0EA9C9ED" w14:textId="77777777" w:rsidTr="6EDDC8C1">
        <w:trPr>
          <w:trHeight w:val="270"/>
        </w:trPr>
        <w:tc>
          <w:tcPr>
            <w:tcW w:w="27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59CDC90D" w14:textId="2B374EC2" w:rsidR="332E49E3" w:rsidRPr="00C26AE4" w:rsidRDefault="65EF89D4" w:rsidP="6EDDC8C1">
            <w:pP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 xml:space="preserve">Other </w:t>
            </w:r>
          </w:p>
        </w:tc>
        <w:tc>
          <w:tcPr>
            <w:tcW w:w="15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707EBCEC" w14:textId="5C5F474B" w:rsidR="5D36441A" w:rsidRPr="00C26AE4" w:rsidRDefault="5D36441A" w:rsidP="00EB7069">
            <w:pPr>
              <w:jc w:val="cente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7</w:t>
            </w:r>
          </w:p>
        </w:tc>
        <w:tc>
          <w:tcPr>
            <w:tcW w:w="18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15B04938" w14:textId="1A74C014" w:rsidR="332E49E3" w:rsidRPr="00C26AE4" w:rsidRDefault="56DD3686" w:rsidP="0E6C54AB">
            <w:pPr>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$13,100</w:t>
            </w:r>
          </w:p>
        </w:tc>
        <w:tc>
          <w:tcPr>
            <w:tcW w:w="216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20F5A07A" w14:textId="7033EE64" w:rsidR="332E49E3" w:rsidRPr="00C26AE4" w:rsidRDefault="56DD3686" w:rsidP="0E6C54AB">
            <w:pPr>
              <w:ind w:left="886" w:hanging="886"/>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$11,184</w:t>
            </w:r>
          </w:p>
        </w:tc>
      </w:tr>
      <w:tr w:rsidR="332E49E3" w:rsidRPr="002864AA" w14:paraId="4B7BDD4C" w14:textId="77777777" w:rsidTr="6EDDC8C1">
        <w:trPr>
          <w:trHeight w:val="285"/>
        </w:trPr>
        <w:tc>
          <w:tcPr>
            <w:tcW w:w="27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FFFFFF" w:themeFill="background1"/>
          </w:tcPr>
          <w:p w14:paraId="5BD75E26" w14:textId="70498BB8" w:rsidR="332E49E3" w:rsidRPr="00C26AE4" w:rsidRDefault="3949B19D" w:rsidP="6EDDC8C1">
            <w:pP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 xml:space="preserve">Denied requests </w:t>
            </w:r>
          </w:p>
        </w:tc>
        <w:tc>
          <w:tcPr>
            <w:tcW w:w="15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40F67514" w14:textId="47701B93" w:rsidR="5F36878B" w:rsidRPr="00C26AE4" w:rsidRDefault="5F36878B" w:rsidP="00EB7069">
            <w:pPr>
              <w:jc w:val="center"/>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4</w:t>
            </w:r>
          </w:p>
        </w:tc>
        <w:tc>
          <w:tcPr>
            <w:tcW w:w="18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4BD40729" w14:textId="5D688153" w:rsidR="332E49E3" w:rsidRPr="00C26AE4" w:rsidRDefault="5044EA8C" w:rsidP="0E6C54AB">
            <w:pPr>
              <w:jc w:val="right"/>
              <w:rPr>
                <w:rFonts w:ascii="Century Gothic" w:eastAsia="Times New Roman" w:hAnsi="Century Gothic"/>
                <w:color w:val="000000" w:themeColor="text1"/>
                <w:szCs w:val="22"/>
              </w:rPr>
            </w:pPr>
            <w:r w:rsidRPr="00C26AE4">
              <w:rPr>
                <w:rFonts w:ascii="Century Gothic" w:eastAsia="Times New Roman" w:hAnsi="Century Gothic"/>
                <w:color w:val="000000" w:themeColor="text1"/>
                <w:szCs w:val="22"/>
              </w:rPr>
              <w:t>$</w:t>
            </w:r>
            <w:r w:rsidR="4888930D" w:rsidRPr="00C26AE4">
              <w:rPr>
                <w:rFonts w:ascii="Century Gothic" w:eastAsia="Times New Roman" w:hAnsi="Century Gothic"/>
                <w:color w:val="000000" w:themeColor="text1"/>
                <w:szCs w:val="22"/>
              </w:rPr>
              <w:t>633</w:t>
            </w:r>
          </w:p>
        </w:tc>
        <w:tc>
          <w:tcPr>
            <w:tcW w:w="216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FFFFFF" w:themeFill="background1"/>
          </w:tcPr>
          <w:p w14:paraId="72ABF19A" w14:textId="257E2AB0" w:rsidR="332E49E3" w:rsidRPr="00C26AE4" w:rsidRDefault="332E49E3" w:rsidP="332E49E3">
            <w:pPr>
              <w:ind w:left="886" w:hanging="886"/>
              <w:jc w:val="right"/>
              <w:rPr>
                <w:rFonts w:ascii="Century Gothic" w:hAnsi="Century Gothic"/>
                <w:szCs w:val="22"/>
              </w:rPr>
            </w:pPr>
            <w:r w:rsidRPr="00C26AE4">
              <w:rPr>
                <w:rFonts w:ascii="Century Gothic" w:eastAsia="Times New Roman" w:hAnsi="Century Gothic"/>
                <w:color w:val="000000" w:themeColor="text1"/>
                <w:szCs w:val="22"/>
              </w:rPr>
              <w:t>$0.00</w:t>
            </w:r>
          </w:p>
        </w:tc>
      </w:tr>
      <w:tr w:rsidR="332E49E3" w:rsidRPr="002864AA" w14:paraId="0C933193" w14:textId="77777777" w:rsidTr="6EDDC8C1">
        <w:trPr>
          <w:trHeight w:val="255"/>
        </w:trPr>
        <w:tc>
          <w:tcPr>
            <w:tcW w:w="270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BFBFBF" w:themeFill="background1" w:themeFillShade="BF"/>
          </w:tcPr>
          <w:p w14:paraId="29C378AE" w14:textId="2C85D6DE" w:rsidR="332E49E3" w:rsidRPr="00C26AE4" w:rsidRDefault="73AC8734">
            <w:pPr>
              <w:rPr>
                <w:rFonts w:ascii="Century Gothic" w:hAnsi="Century Gothic"/>
                <w:szCs w:val="22"/>
              </w:rPr>
            </w:pPr>
            <w:r w:rsidRPr="00C26AE4">
              <w:rPr>
                <w:rFonts w:ascii="Century Gothic" w:eastAsia="Times New Roman" w:hAnsi="Century Gothic"/>
                <w:b/>
                <w:bCs/>
                <w:color w:val="000000" w:themeColor="text1"/>
                <w:szCs w:val="22"/>
              </w:rPr>
              <w:t>Total Requests (</w:t>
            </w:r>
            <w:r w:rsidR="1F812C67" w:rsidRPr="00C26AE4">
              <w:rPr>
                <w:rFonts w:ascii="Century Gothic" w:eastAsia="Times New Roman" w:hAnsi="Century Gothic"/>
                <w:b/>
                <w:bCs/>
                <w:color w:val="000000" w:themeColor="text1"/>
                <w:szCs w:val="22"/>
              </w:rPr>
              <w:t>4</w:t>
            </w:r>
            <w:r w:rsidR="7B87A6B8" w:rsidRPr="00C26AE4">
              <w:rPr>
                <w:rFonts w:ascii="Century Gothic" w:eastAsia="Times New Roman" w:hAnsi="Century Gothic"/>
                <w:b/>
                <w:bCs/>
                <w:color w:val="000000" w:themeColor="text1"/>
                <w:szCs w:val="22"/>
              </w:rPr>
              <w:t>7</w:t>
            </w:r>
            <w:r w:rsidRPr="00C26AE4">
              <w:rPr>
                <w:rFonts w:ascii="Century Gothic" w:eastAsia="Times New Roman" w:hAnsi="Century Gothic"/>
                <w:b/>
                <w:bCs/>
                <w:color w:val="000000" w:themeColor="text1"/>
                <w:szCs w:val="22"/>
              </w:rPr>
              <w:t>)</w:t>
            </w:r>
          </w:p>
        </w:tc>
        <w:tc>
          <w:tcPr>
            <w:tcW w:w="15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BFBFBF" w:themeFill="background1" w:themeFillShade="BF"/>
          </w:tcPr>
          <w:p w14:paraId="123F1754" w14:textId="1D485EA0" w:rsidR="3D403274" w:rsidRPr="00C26AE4" w:rsidRDefault="3D403274" w:rsidP="00EB7069">
            <w:pPr>
              <w:jc w:val="center"/>
              <w:rPr>
                <w:rFonts w:ascii="Century Gothic" w:eastAsia="Times New Roman" w:hAnsi="Century Gothic"/>
                <w:b/>
                <w:bCs/>
                <w:color w:val="000000" w:themeColor="text1"/>
                <w:szCs w:val="22"/>
              </w:rPr>
            </w:pPr>
            <w:r w:rsidRPr="00C26AE4">
              <w:rPr>
                <w:rFonts w:ascii="Century Gothic" w:eastAsia="Times New Roman" w:hAnsi="Century Gothic"/>
                <w:b/>
                <w:bCs/>
                <w:color w:val="000000" w:themeColor="text1"/>
                <w:szCs w:val="22"/>
              </w:rPr>
              <w:t>47</w:t>
            </w:r>
          </w:p>
        </w:tc>
        <w:tc>
          <w:tcPr>
            <w:tcW w:w="187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BFBFBF" w:themeFill="background1" w:themeFillShade="BF"/>
          </w:tcPr>
          <w:p w14:paraId="58D0CC55" w14:textId="586A317E" w:rsidR="332E49E3" w:rsidRPr="00C26AE4" w:rsidRDefault="5687DC5F" w:rsidP="4EC18A89">
            <w:pPr>
              <w:jc w:val="right"/>
              <w:rPr>
                <w:rFonts w:ascii="Century Gothic" w:eastAsia="Times New Roman" w:hAnsi="Century Gothic"/>
                <w:b/>
                <w:bCs/>
                <w:color w:val="000000" w:themeColor="text1"/>
                <w:szCs w:val="22"/>
              </w:rPr>
            </w:pPr>
            <w:r w:rsidRPr="00C26AE4">
              <w:rPr>
                <w:rFonts w:ascii="Century Gothic" w:eastAsia="Times New Roman" w:hAnsi="Century Gothic"/>
                <w:b/>
                <w:bCs/>
                <w:color w:val="000000" w:themeColor="text1"/>
                <w:szCs w:val="22"/>
              </w:rPr>
              <w:t>$</w:t>
            </w:r>
            <w:r w:rsidR="56CA6236" w:rsidRPr="00C26AE4">
              <w:rPr>
                <w:rFonts w:ascii="Century Gothic" w:eastAsia="Times New Roman" w:hAnsi="Century Gothic"/>
                <w:b/>
                <w:bCs/>
                <w:color w:val="000000" w:themeColor="text1"/>
                <w:szCs w:val="22"/>
              </w:rPr>
              <w:t>12</w:t>
            </w:r>
            <w:r w:rsidR="007D2B4F">
              <w:rPr>
                <w:rFonts w:ascii="Century Gothic" w:eastAsia="Times New Roman" w:hAnsi="Century Gothic"/>
                <w:b/>
                <w:bCs/>
                <w:color w:val="000000" w:themeColor="text1"/>
                <w:szCs w:val="22"/>
              </w:rPr>
              <w:t>2</w:t>
            </w:r>
            <w:r w:rsidR="3FBA9496" w:rsidRPr="00C26AE4">
              <w:rPr>
                <w:rFonts w:ascii="Century Gothic" w:eastAsia="Times New Roman" w:hAnsi="Century Gothic"/>
                <w:b/>
                <w:bCs/>
                <w:color w:val="000000" w:themeColor="text1"/>
                <w:szCs w:val="22"/>
              </w:rPr>
              <w:t>,</w:t>
            </w:r>
            <w:r w:rsidR="56CA6236" w:rsidRPr="00C26AE4">
              <w:rPr>
                <w:rFonts w:ascii="Century Gothic" w:eastAsia="Times New Roman" w:hAnsi="Century Gothic"/>
                <w:b/>
                <w:bCs/>
                <w:color w:val="000000" w:themeColor="text1"/>
                <w:szCs w:val="22"/>
              </w:rPr>
              <w:t>359</w:t>
            </w:r>
          </w:p>
        </w:tc>
        <w:tc>
          <w:tcPr>
            <w:tcW w:w="2160"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shd w:val="clear" w:color="auto" w:fill="BFBFBF" w:themeFill="background1" w:themeFillShade="BF"/>
          </w:tcPr>
          <w:p w14:paraId="5757C17E" w14:textId="017AFB75" w:rsidR="332E49E3" w:rsidRPr="00C26AE4" w:rsidRDefault="05DA2AD9" w:rsidP="4EC18A89">
            <w:pPr>
              <w:ind w:left="886" w:hanging="886"/>
              <w:jc w:val="right"/>
              <w:rPr>
                <w:rFonts w:ascii="Century Gothic" w:eastAsia="Times New Roman" w:hAnsi="Century Gothic"/>
                <w:b/>
                <w:bCs/>
                <w:color w:val="000000" w:themeColor="text1"/>
                <w:szCs w:val="22"/>
              </w:rPr>
            </w:pPr>
            <w:r w:rsidRPr="00C26AE4">
              <w:rPr>
                <w:rFonts w:ascii="Century Gothic" w:eastAsia="Times New Roman" w:hAnsi="Century Gothic"/>
                <w:b/>
                <w:bCs/>
                <w:color w:val="000000" w:themeColor="text1"/>
                <w:szCs w:val="22"/>
              </w:rPr>
              <w:t>$</w:t>
            </w:r>
            <w:r w:rsidR="7A52398D" w:rsidRPr="00C26AE4">
              <w:rPr>
                <w:rFonts w:ascii="Century Gothic" w:eastAsia="Times New Roman" w:hAnsi="Century Gothic"/>
                <w:b/>
                <w:bCs/>
                <w:color w:val="000000" w:themeColor="text1"/>
                <w:szCs w:val="22"/>
              </w:rPr>
              <w:t>11</w:t>
            </w:r>
            <w:r w:rsidR="00BD3391">
              <w:rPr>
                <w:rFonts w:ascii="Century Gothic" w:eastAsia="Times New Roman" w:hAnsi="Century Gothic"/>
                <w:b/>
                <w:bCs/>
                <w:color w:val="000000" w:themeColor="text1"/>
                <w:szCs w:val="22"/>
              </w:rPr>
              <w:t>9</w:t>
            </w:r>
            <w:r w:rsidR="7A52398D" w:rsidRPr="00C26AE4">
              <w:rPr>
                <w:rFonts w:ascii="Century Gothic" w:eastAsia="Times New Roman" w:hAnsi="Century Gothic"/>
                <w:b/>
                <w:bCs/>
                <w:color w:val="000000" w:themeColor="text1"/>
                <w:szCs w:val="22"/>
              </w:rPr>
              <w:t>,659</w:t>
            </w:r>
            <w:r w:rsidR="4668BE78" w:rsidRPr="00C26AE4">
              <w:rPr>
                <w:rFonts w:ascii="Century Gothic" w:eastAsia="Times New Roman" w:hAnsi="Century Gothic"/>
                <w:b/>
                <w:bCs/>
                <w:color w:val="000000" w:themeColor="text1"/>
                <w:szCs w:val="22"/>
              </w:rPr>
              <w:t xml:space="preserve"> </w:t>
            </w:r>
          </w:p>
        </w:tc>
      </w:tr>
    </w:tbl>
    <w:p w14:paraId="3D8CA42A" w14:textId="22EA8194" w:rsidR="7A65C128" w:rsidRPr="00C26AE4" w:rsidRDefault="4625F063">
      <w:pPr>
        <w:rPr>
          <w:rFonts w:ascii="Century Gothic" w:hAnsi="Century Gothic"/>
          <w:szCs w:val="22"/>
        </w:rPr>
      </w:pPr>
      <w:r w:rsidRPr="00C26AE4">
        <w:rPr>
          <w:rFonts w:ascii="Century Gothic" w:eastAsia="Times New Roman" w:hAnsi="Century Gothic"/>
          <w:szCs w:val="22"/>
        </w:rPr>
        <w:t xml:space="preserve"> </w:t>
      </w:r>
    </w:p>
    <w:p w14:paraId="28906CEA" w14:textId="20C00656" w:rsidR="00B41563" w:rsidRPr="00B41563" w:rsidRDefault="00B41563" w:rsidP="0E6C54AB">
      <w:pPr>
        <w:rPr>
          <w:rFonts w:ascii="Century Gothic" w:eastAsia="Times New Roman" w:hAnsi="Century Gothic"/>
          <w:b/>
          <w:bCs/>
          <w:i/>
          <w:iCs/>
          <w:szCs w:val="22"/>
        </w:rPr>
      </w:pPr>
      <w:r w:rsidRPr="00B41563">
        <w:rPr>
          <w:rFonts w:ascii="Century Gothic" w:eastAsia="Times New Roman" w:hAnsi="Century Gothic"/>
          <w:b/>
          <w:bCs/>
          <w:i/>
          <w:iCs/>
          <w:szCs w:val="22"/>
        </w:rPr>
        <w:t>Supportive Services</w:t>
      </w:r>
    </w:p>
    <w:p w14:paraId="3EBD6838" w14:textId="77777777" w:rsidR="00B41563" w:rsidRDefault="00B41563" w:rsidP="0E6C54AB">
      <w:pPr>
        <w:rPr>
          <w:rFonts w:ascii="Century Gothic" w:eastAsia="Times New Roman" w:hAnsi="Century Gothic"/>
          <w:szCs w:val="22"/>
        </w:rPr>
      </w:pPr>
    </w:p>
    <w:p w14:paraId="017060D0" w14:textId="09A075C5" w:rsidR="0005602C" w:rsidRPr="00C26AE4" w:rsidRDefault="6C70D2C2" w:rsidP="0E6C54AB">
      <w:pPr>
        <w:rPr>
          <w:rFonts w:ascii="Century Gothic" w:eastAsia="Times New Roman" w:hAnsi="Century Gothic"/>
          <w:szCs w:val="22"/>
        </w:rPr>
      </w:pPr>
      <w:r w:rsidRPr="00C26AE4">
        <w:rPr>
          <w:rFonts w:ascii="Century Gothic" w:eastAsia="Times New Roman" w:hAnsi="Century Gothic"/>
          <w:szCs w:val="22"/>
        </w:rPr>
        <w:t>In FY202</w:t>
      </w:r>
      <w:r w:rsidR="37CD63F8" w:rsidRPr="00C26AE4">
        <w:rPr>
          <w:rFonts w:ascii="Century Gothic" w:eastAsia="Times New Roman" w:hAnsi="Century Gothic"/>
          <w:szCs w:val="22"/>
        </w:rPr>
        <w:t>4</w:t>
      </w:r>
      <w:r w:rsidRPr="00C26AE4">
        <w:rPr>
          <w:rFonts w:ascii="Century Gothic" w:eastAsia="Times New Roman" w:hAnsi="Century Gothic"/>
          <w:szCs w:val="22"/>
        </w:rPr>
        <w:t xml:space="preserve">, </w:t>
      </w:r>
      <w:r w:rsidR="776ACC71" w:rsidRPr="00C26AE4">
        <w:rPr>
          <w:rFonts w:ascii="Century Gothic" w:eastAsia="Times New Roman" w:hAnsi="Century Gothic"/>
          <w:szCs w:val="22"/>
        </w:rPr>
        <w:t xml:space="preserve">every participant in the CARES program </w:t>
      </w:r>
      <w:r w:rsidR="46E4BDDA" w:rsidRPr="00C26AE4">
        <w:rPr>
          <w:rFonts w:ascii="Century Gothic" w:eastAsia="Times New Roman" w:hAnsi="Century Gothic"/>
          <w:szCs w:val="22"/>
        </w:rPr>
        <w:t>received</w:t>
      </w:r>
      <w:r w:rsidR="776ACC71" w:rsidRPr="00C26AE4">
        <w:rPr>
          <w:rFonts w:ascii="Century Gothic" w:eastAsia="Times New Roman" w:hAnsi="Century Gothic"/>
          <w:szCs w:val="22"/>
        </w:rPr>
        <w:t xml:space="preserve"> on-going support and assistance </w:t>
      </w:r>
      <w:r w:rsidR="2FE99127" w:rsidRPr="00C26AE4">
        <w:rPr>
          <w:rFonts w:ascii="Century Gothic" w:eastAsia="Times New Roman" w:hAnsi="Century Gothic"/>
          <w:szCs w:val="22"/>
        </w:rPr>
        <w:t xml:space="preserve">from </w:t>
      </w:r>
      <w:r w:rsidR="1945C17C" w:rsidRPr="00C26AE4">
        <w:rPr>
          <w:rFonts w:ascii="Century Gothic" w:eastAsia="Times New Roman" w:hAnsi="Century Gothic"/>
          <w:szCs w:val="22"/>
        </w:rPr>
        <w:t>ECC/HANH</w:t>
      </w:r>
      <w:r w:rsidR="468D410F" w:rsidRPr="00C26AE4">
        <w:rPr>
          <w:rFonts w:ascii="Century Gothic" w:eastAsia="Times New Roman" w:hAnsi="Century Gothic"/>
          <w:szCs w:val="22"/>
        </w:rPr>
        <w:t xml:space="preserve"> </w:t>
      </w:r>
      <w:r w:rsidR="002F5CD8">
        <w:rPr>
          <w:rFonts w:ascii="Century Gothic" w:eastAsia="Times New Roman" w:hAnsi="Century Gothic"/>
          <w:szCs w:val="22"/>
        </w:rPr>
        <w:t xml:space="preserve">and the </w:t>
      </w:r>
      <w:r w:rsidR="1945C17C" w:rsidRPr="00C26AE4">
        <w:rPr>
          <w:rFonts w:ascii="Century Gothic" w:eastAsia="Times New Roman" w:hAnsi="Century Gothic"/>
          <w:szCs w:val="22"/>
        </w:rPr>
        <w:t>partners</w:t>
      </w:r>
      <w:r w:rsidR="002F5CD8">
        <w:rPr>
          <w:rFonts w:ascii="Century Gothic" w:eastAsia="Times New Roman" w:hAnsi="Century Gothic"/>
          <w:szCs w:val="22"/>
        </w:rPr>
        <w:t>.  Partners included</w:t>
      </w:r>
      <w:r w:rsidR="0B09AA86" w:rsidRPr="00C26AE4">
        <w:rPr>
          <w:rFonts w:ascii="Century Gothic" w:eastAsia="Times New Roman" w:hAnsi="Century Gothic"/>
          <w:szCs w:val="22"/>
        </w:rPr>
        <w:t xml:space="preserve"> </w:t>
      </w:r>
      <w:r w:rsidR="20983141" w:rsidRPr="00C26AE4">
        <w:rPr>
          <w:rFonts w:ascii="Century Gothic" w:eastAsia="Times New Roman" w:hAnsi="Century Gothic"/>
          <w:szCs w:val="22"/>
        </w:rPr>
        <w:t xml:space="preserve">the </w:t>
      </w:r>
      <w:r w:rsidR="776ACC71" w:rsidRPr="00C26AE4">
        <w:rPr>
          <w:rFonts w:ascii="Century Gothic" w:eastAsia="Times New Roman" w:hAnsi="Century Gothic"/>
          <w:szCs w:val="22"/>
        </w:rPr>
        <w:t xml:space="preserve">Connecticut Association Human Services </w:t>
      </w:r>
      <w:r w:rsidR="001620A9">
        <w:rPr>
          <w:rFonts w:ascii="Century Gothic" w:eastAsia="Times New Roman" w:hAnsi="Century Gothic"/>
          <w:szCs w:val="22"/>
        </w:rPr>
        <w:t>(</w:t>
      </w:r>
      <w:r w:rsidR="1945C17C" w:rsidRPr="00C26AE4">
        <w:rPr>
          <w:rFonts w:ascii="Century Gothic" w:eastAsia="Times New Roman" w:hAnsi="Century Gothic"/>
          <w:szCs w:val="22"/>
        </w:rPr>
        <w:t xml:space="preserve">financial literacy </w:t>
      </w:r>
      <w:r w:rsidR="2A559C5C" w:rsidRPr="00C26AE4">
        <w:rPr>
          <w:rFonts w:ascii="Century Gothic" w:eastAsia="Times New Roman" w:hAnsi="Century Gothic"/>
          <w:szCs w:val="22"/>
        </w:rPr>
        <w:t>program</w:t>
      </w:r>
      <w:r w:rsidR="001620A9">
        <w:rPr>
          <w:rFonts w:ascii="Century Gothic" w:eastAsia="Times New Roman" w:hAnsi="Century Gothic"/>
          <w:szCs w:val="22"/>
        </w:rPr>
        <w:t>)</w:t>
      </w:r>
      <w:r w:rsidR="20F77054" w:rsidRPr="00C26AE4">
        <w:rPr>
          <w:rFonts w:ascii="Century Gothic" w:eastAsia="Times New Roman" w:hAnsi="Century Gothic"/>
          <w:szCs w:val="22"/>
        </w:rPr>
        <w:t xml:space="preserve"> and </w:t>
      </w:r>
      <w:r w:rsidR="001620A9">
        <w:rPr>
          <w:rFonts w:ascii="Century Gothic" w:eastAsia="Times New Roman" w:hAnsi="Century Gothic"/>
          <w:szCs w:val="22"/>
        </w:rPr>
        <w:t xml:space="preserve">the </w:t>
      </w:r>
      <w:r w:rsidR="776ACC71" w:rsidRPr="00C26AE4">
        <w:rPr>
          <w:rFonts w:ascii="Century Gothic" w:eastAsia="Times New Roman" w:hAnsi="Century Gothic"/>
          <w:szCs w:val="22"/>
        </w:rPr>
        <w:t>CONNCAT Training School</w:t>
      </w:r>
      <w:r w:rsidR="333F4404" w:rsidRPr="00C26AE4">
        <w:rPr>
          <w:rFonts w:ascii="Century Gothic" w:eastAsia="Times New Roman" w:hAnsi="Century Gothic"/>
          <w:szCs w:val="22"/>
        </w:rPr>
        <w:t xml:space="preserve">. </w:t>
      </w:r>
    </w:p>
    <w:p w14:paraId="468DBED5" w14:textId="77777777" w:rsidR="0005602C" w:rsidRPr="00C26AE4" w:rsidRDefault="0005602C" w:rsidP="0E6C54AB">
      <w:pPr>
        <w:rPr>
          <w:rFonts w:ascii="Century Gothic" w:eastAsia="Times New Roman" w:hAnsi="Century Gothic"/>
          <w:szCs w:val="22"/>
        </w:rPr>
      </w:pPr>
    </w:p>
    <w:p w14:paraId="25B5140A" w14:textId="4871887B" w:rsidR="7A65C128" w:rsidRPr="00C26AE4" w:rsidRDefault="333F4404" w:rsidP="0E6C54AB">
      <w:pPr>
        <w:rPr>
          <w:rFonts w:ascii="Century Gothic" w:eastAsia="Times New Roman" w:hAnsi="Century Gothic"/>
          <w:szCs w:val="22"/>
        </w:rPr>
      </w:pPr>
      <w:r w:rsidRPr="00C26AE4">
        <w:rPr>
          <w:rFonts w:ascii="Century Gothic" w:eastAsia="Times New Roman" w:hAnsi="Century Gothic"/>
          <w:szCs w:val="22"/>
        </w:rPr>
        <w:t>Residents also participated in</w:t>
      </w:r>
      <w:r w:rsidR="776ACC71" w:rsidRPr="00C26AE4">
        <w:rPr>
          <w:rFonts w:ascii="Century Gothic" w:eastAsia="Times New Roman" w:hAnsi="Century Gothic"/>
          <w:szCs w:val="22"/>
        </w:rPr>
        <w:t xml:space="preserve"> </w:t>
      </w:r>
      <w:r w:rsidR="50B125E0" w:rsidRPr="00C26AE4">
        <w:rPr>
          <w:rFonts w:ascii="Century Gothic" w:eastAsia="Times New Roman" w:hAnsi="Century Gothic"/>
          <w:szCs w:val="22"/>
        </w:rPr>
        <w:t>h</w:t>
      </w:r>
      <w:r w:rsidR="776ACC71" w:rsidRPr="00C26AE4">
        <w:rPr>
          <w:rFonts w:ascii="Century Gothic" w:eastAsia="Times New Roman" w:hAnsi="Century Gothic"/>
          <w:szCs w:val="22"/>
        </w:rPr>
        <w:t xml:space="preserve">omeownership programs </w:t>
      </w:r>
      <w:r w:rsidR="4791D8DD" w:rsidRPr="00C26AE4">
        <w:rPr>
          <w:rFonts w:ascii="Century Gothic" w:eastAsia="Times New Roman" w:hAnsi="Century Gothic"/>
          <w:szCs w:val="22"/>
        </w:rPr>
        <w:t>such as the</w:t>
      </w:r>
      <w:r w:rsidR="776ACC71" w:rsidRPr="00C26AE4">
        <w:rPr>
          <w:rFonts w:ascii="Century Gothic" w:eastAsia="Times New Roman" w:hAnsi="Century Gothic"/>
          <w:szCs w:val="22"/>
        </w:rPr>
        <w:t xml:space="preserve"> HUD Homebuyer seminars </w:t>
      </w:r>
      <w:r w:rsidR="00D97A04" w:rsidRPr="00C26AE4">
        <w:rPr>
          <w:rFonts w:ascii="Century Gothic" w:eastAsia="Times New Roman" w:hAnsi="Century Gothic"/>
          <w:szCs w:val="22"/>
        </w:rPr>
        <w:t>and</w:t>
      </w:r>
      <w:r w:rsidR="00D97A04" w:rsidRPr="00C26AE4">
        <w:rPr>
          <w:rFonts w:ascii="Century Gothic" w:eastAsia="Times New Roman" w:hAnsi="Century Gothic"/>
          <w:color w:val="000000" w:themeColor="text1"/>
          <w:szCs w:val="22"/>
        </w:rPr>
        <w:t xml:space="preserve"> in</w:t>
      </w:r>
      <w:r w:rsidR="7B98E942" w:rsidRPr="00C26AE4">
        <w:rPr>
          <w:rFonts w:ascii="Century Gothic" w:eastAsia="Times New Roman" w:hAnsi="Century Gothic"/>
          <w:color w:val="000000" w:themeColor="text1"/>
          <w:szCs w:val="22"/>
        </w:rPr>
        <w:t xml:space="preserve"> </w:t>
      </w:r>
      <w:proofErr w:type="gramStart"/>
      <w:r w:rsidR="7B98E942" w:rsidRPr="00C26AE4">
        <w:rPr>
          <w:rFonts w:ascii="Century Gothic" w:eastAsia="Times New Roman" w:hAnsi="Century Gothic"/>
          <w:color w:val="000000" w:themeColor="text1"/>
          <w:szCs w:val="22"/>
        </w:rPr>
        <w:t>a number of</w:t>
      </w:r>
      <w:proofErr w:type="gramEnd"/>
      <w:r w:rsidR="7B98E942" w:rsidRPr="00C26AE4">
        <w:rPr>
          <w:rFonts w:ascii="Century Gothic" w:eastAsia="Times New Roman" w:hAnsi="Century Gothic"/>
          <w:color w:val="000000" w:themeColor="text1"/>
          <w:szCs w:val="22"/>
        </w:rPr>
        <w:t xml:space="preserve"> Asset Building programs and initiatives offered through a grant </w:t>
      </w:r>
      <w:r w:rsidR="79C281AB" w:rsidRPr="00C26AE4">
        <w:rPr>
          <w:rFonts w:ascii="Century Gothic" w:eastAsia="Times New Roman" w:hAnsi="Century Gothic"/>
          <w:color w:val="000000" w:themeColor="text1"/>
          <w:szCs w:val="22"/>
        </w:rPr>
        <w:t>with</w:t>
      </w:r>
      <w:r w:rsidR="7B98E942" w:rsidRPr="00C26AE4">
        <w:rPr>
          <w:rFonts w:ascii="Century Gothic" w:eastAsia="Times New Roman" w:hAnsi="Century Gothic"/>
          <w:color w:val="000000" w:themeColor="text1"/>
          <w:szCs w:val="22"/>
        </w:rPr>
        <w:t xml:space="preserve"> the Cities for Financial Empowerment Fund and the New Haven Financial Empowerment Center. </w:t>
      </w:r>
    </w:p>
    <w:p w14:paraId="7AEC1011" w14:textId="4B35ADBD" w:rsidR="7A65C128" w:rsidRPr="00C26AE4" w:rsidRDefault="7A65C128" w:rsidP="0E6C54AB">
      <w:pPr>
        <w:rPr>
          <w:rFonts w:ascii="Century Gothic" w:eastAsia="Times New Roman" w:hAnsi="Century Gothic"/>
          <w:color w:val="000000" w:themeColor="text1"/>
          <w:szCs w:val="22"/>
        </w:rPr>
      </w:pPr>
    </w:p>
    <w:p w14:paraId="4E67AD36" w14:textId="04299764" w:rsidR="1B4A8018" w:rsidRPr="00C26AE4" w:rsidRDefault="6E3A7760" w:rsidP="4EC18A89">
      <w:pPr>
        <w:rPr>
          <w:rFonts w:ascii="Century Gothic" w:eastAsia="Times New Roman" w:hAnsi="Century Gothic"/>
          <w:szCs w:val="22"/>
        </w:rPr>
      </w:pPr>
      <w:r w:rsidRPr="00C26AE4">
        <w:rPr>
          <w:rFonts w:ascii="Century Gothic" w:eastAsia="Times New Roman" w:hAnsi="Century Gothic"/>
          <w:szCs w:val="22"/>
        </w:rPr>
        <w:t xml:space="preserve">CARES is proving successful as we are seeing residents graduate with significant escrow savings, consistent and </w:t>
      </w:r>
      <w:proofErr w:type="gramStart"/>
      <w:r w:rsidRPr="00C26AE4">
        <w:rPr>
          <w:rFonts w:ascii="Century Gothic" w:eastAsia="Times New Roman" w:hAnsi="Century Gothic"/>
          <w:szCs w:val="22"/>
        </w:rPr>
        <w:t>full time</w:t>
      </w:r>
      <w:proofErr w:type="gramEnd"/>
      <w:r w:rsidRPr="00C26AE4">
        <w:rPr>
          <w:rFonts w:ascii="Century Gothic" w:eastAsia="Times New Roman" w:hAnsi="Century Gothic"/>
          <w:szCs w:val="22"/>
        </w:rPr>
        <w:t xml:space="preserve">, well-paying employment. </w:t>
      </w:r>
    </w:p>
    <w:p w14:paraId="683ADE4B" w14:textId="57400835" w:rsidR="4F19B4E9" w:rsidRPr="00C26AE4" w:rsidRDefault="4F19B4E9" w:rsidP="4F19B4E9">
      <w:pPr>
        <w:rPr>
          <w:rFonts w:ascii="Century Gothic" w:hAnsi="Century Gothic"/>
          <w:szCs w:val="22"/>
          <w:lang w:eastAsia="en-US"/>
        </w:rPr>
      </w:pPr>
    </w:p>
    <w:tbl>
      <w:tblPr>
        <w:tblW w:w="0" w:type="auto"/>
        <w:tblLayout w:type="fixed"/>
        <w:tblLook w:val="06A0" w:firstRow="1" w:lastRow="0" w:firstColumn="1" w:lastColumn="0" w:noHBand="1" w:noVBand="1"/>
      </w:tblPr>
      <w:tblGrid>
        <w:gridCol w:w="10800"/>
      </w:tblGrid>
      <w:tr w:rsidR="003D6321" w:rsidRPr="002864AA" w14:paraId="660C16F8" w14:textId="77777777">
        <w:trPr>
          <w:trHeight w:val="285"/>
        </w:trPr>
        <w:tc>
          <w:tcPr>
            <w:tcW w:w="10800" w:type="dxa"/>
            <w:tcBorders>
              <w:top w:val="nil"/>
              <w:left w:val="nil"/>
              <w:bottom w:val="single" w:sz="24" w:space="0" w:color="B5333C" w:themeColor="accent2"/>
              <w:right w:val="single" w:sz="8" w:space="0" w:color="D9D9D9" w:themeColor="background1" w:themeShade="D9"/>
            </w:tcBorders>
            <w:shd w:val="clear" w:color="auto" w:fill="808080" w:themeFill="background1" w:themeFillShade="80"/>
          </w:tcPr>
          <w:p w14:paraId="6AA7D9C8" w14:textId="77777777" w:rsidR="003D6321" w:rsidRPr="001F4B6A" w:rsidRDefault="003D6321">
            <w:pPr>
              <w:jc w:val="center"/>
              <w:rPr>
                <w:rFonts w:ascii="Century Gothic" w:eastAsia="Times New Roman" w:hAnsi="Century Gothic"/>
                <w:b/>
                <w:bCs/>
                <w:szCs w:val="22"/>
              </w:rPr>
            </w:pPr>
            <w:bookmarkStart w:id="138" w:name="_Hlk122453782"/>
            <w:bookmarkStart w:id="139" w:name="_Hlk122453924"/>
            <w:r w:rsidRPr="001F4B6A">
              <w:rPr>
                <w:rFonts w:ascii="Century Gothic" w:eastAsia="Times New Roman" w:hAnsi="Century Gothic"/>
                <w:b/>
                <w:bCs/>
                <w:szCs w:val="22"/>
              </w:rPr>
              <w:t>FY 202</w:t>
            </w:r>
            <w:r w:rsidRPr="00287E4C">
              <w:rPr>
                <w:rFonts w:ascii="Century Gothic" w:eastAsia="Times New Roman" w:hAnsi="Century Gothic"/>
                <w:b/>
                <w:bCs/>
                <w:szCs w:val="22"/>
              </w:rPr>
              <w:t xml:space="preserve">4 </w:t>
            </w:r>
          </w:p>
          <w:p w14:paraId="445AAF83" w14:textId="77777777" w:rsidR="003D6321" w:rsidRPr="001F4B6A" w:rsidRDefault="003D6321">
            <w:pPr>
              <w:jc w:val="center"/>
              <w:rPr>
                <w:rFonts w:ascii="Century Gothic" w:eastAsia="Times New Roman" w:hAnsi="Century Gothic"/>
                <w:b/>
                <w:bCs/>
                <w:szCs w:val="22"/>
              </w:rPr>
            </w:pPr>
            <w:r w:rsidRPr="001F4B6A">
              <w:rPr>
                <w:rFonts w:ascii="Century Gothic" w:eastAsia="Times New Roman" w:hAnsi="Century Gothic"/>
                <w:b/>
                <w:bCs/>
                <w:szCs w:val="22"/>
              </w:rPr>
              <w:t xml:space="preserve">CARES Graduates + Interim Disbursements and Final Disbursement from REEF </w:t>
            </w:r>
          </w:p>
        </w:tc>
      </w:tr>
    </w:tbl>
    <w:p w14:paraId="78DA14E3" w14:textId="77777777" w:rsidR="003D6321" w:rsidRPr="001F4B6A" w:rsidRDefault="003D6321" w:rsidP="003D6321">
      <w:pPr>
        <w:rPr>
          <w:rFonts w:ascii="Century Gothic" w:hAnsi="Century Gothic"/>
          <w:szCs w:val="22"/>
        </w:rPr>
      </w:pPr>
      <w:r w:rsidRPr="001F4B6A">
        <w:rPr>
          <w:rFonts w:ascii="Century Gothic" w:hAnsi="Century Gothic"/>
          <w:szCs w:val="22"/>
        </w:rPr>
        <w:tab/>
      </w:r>
    </w:p>
    <w:tbl>
      <w:tblPr>
        <w:tblW w:w="0" w:type="auto"/>
        <w:tblInd w:w="890" w:type="dxa"/>
        <w:tblLayout w:type="fixed"/>
        <w:tblLook w:val="04A0" w:firstRow="1" w:lastRow="0" w:firstColumn="1" w:lastColumn="0" w:noHBand="0" w:noVBand="1"/>
      </w:tblPr>
      <w:tblGrid>
        <w:gridCol w:w="1440"/>
        <w:gridCol w:w="3600"/>
        <w:gridCol w:w="3780"/>
      </w:tblGrid>
      <w:tr w:rsidR="003D6321" w:rsidRPr="002864AA" w14:paraId="19B24E11" w14:textId="77777777" w:rsidTr="00550C6E">
        <w:trPr>
          <w:trHeight w:val="682"/>
        </w:trPr>
        <w:tc>
          <w:tcPr>
            <w:tcW w:w="1440" w:type="dxa"/>
            <w:tcBorders>
              <w:top w:val="single" w:sz="8" w:space="0" w:color="auto"/>
              <w:left w:val="single" w:sz="8" w:space="0" w:color="auto"/>
              <w:bottom w:val="single" w:sz="8" w:space="0" w:color="auto"/>
              <w:right w:val="single" w:sz="8" w:space="0" w:color="auto"/>
            </w:tcBorders>
          </w:tcPr>
          <w:p w14:paraId="61603EC6" w14:textId="77777777" w:rsidR="003D6321" w:rsidRPr="001F4B6A" w:rsidRDefault="003D6321">
            <w:pPr>
              <w:spacing w:line="264" w:lineRule="auto"/>
              <w:jc w:val="both"/>
              <w:rPr>
                <w:rFonts w:ascii="Century Gothic" w:eastAsia="Times New Roman" w:hAnsi="Century Gothic"/>
                <w:color w:val="000000" w:themeColor="text1"/>
                <w:szCs w:val="22"/>
              </w:rPr>
            </w:pPr>
          </w:p>
        </w:tc>
        <w:tc>
          <w:tcPr>
            <w:tcW w:w="3600" w:type="dxa"/>
            <w:tcBorders>
              <w:top w:val="single" w:sz="8" w:space="0" w:color="auto"/>
              <w:left w:val="single" w:sz="8" w:space="0" w:color="auto"/>
              <w:bottom w:val="single" w:sz="8" w:space="0" w:color="auto"/>
              <w:right w:val="single" w:sz="8" w:space="0" w:color="auto"/>
            </w:tcBorders>
          </w:tcPr>
          <w:p w14:paraId="44552AF0" w14:textId="77777777" w:rsidR="003D6321" w:rsidRPr="00550C6E" w:rsidRDefault="003D6321" w:rsidP="00550C6E">
            <w:pPr>
              <w:spacing w:line="264" w:lineRule="auto"/>
              <w:jc w:val="center"/>
              <w:rPr>
                <w:rFonts w:ascii="Century Gothic" w:eastAsia="Times New Roman" w:hAnsi="Century Gothic"/>
                <w:b/>
                <w:bCs/>
                <w:color w:val="000000" w:themeColor="text1"/>
                <w:szCs w:val="22"/>
              </w:rPr>
            </w:pPr>
            <w:r w:rsidRPr="00550C6E">
              <w:rPr>
                <w:rFonts w:ascii="Century Gothic" w:eastAsia="Times New Roman" w:hAnsi="Century Gothic"/>
                <w:b/>
                <w:bCs/>
                <w:color w:val="000000" w:themeColor="text1"/>
                <w:szCs w:val="22"/>
              </w:rPr>
              <w:t>Disbursement prior to graduation</w:t>
            </w:r>
          </w:p>
        </w:tc>
        <w:tc>
          <w:tcPr>
            <w:tcW w:w="3780" w:type="dxa"/>
            <w:tcBorders>
              <w:top w:val="single" w:sz="8" w:space="0" w:color="auto"/>
              <w:left w:val="single" w:sz="8" w:space="0" w:color="auto"/>
              <w:bottom w:val="single" w:sz="8" w:space="0" w:color="auto"/>
              <w:right w:val="single" w:sz="8" w:space="0" w:color="auto"/>
            </w:tcBorders>
          </w:tcPr>
          <w:p w14:paraId="125D2071" w14:textId="77777777" w:rsidR="003D6321" w:rsidRPr="00550C6E" w:rsidRDefault="003D6321" w:rsidP="00550C6E">
            <w:pPr>
              <w:spacing w:line="264" w:lineRule="auto"/>
              <w:jc w:val="center"/>
              <w:rPr>
                <w:rFonts w:ascii="Century Gothic" w:eastAsia="Times New Roman" w:hAnsi="Century Gothic"/>
                <w:b/>
                <w:bCs/>
                <w:color w:val="000000" w:themeColor="text1"/>
                <w:szCs w:val="22"/>
              </w:rPr>
            </w:pPr>
            <w:r w:rsidRPr="00550C6E">
              <w:rPr>
                <w:rFonts w:ascii="Century Gothic" w:eastAsia="Times New Roman" w:hAnsi="Century Gothic"/>
                <w:b/>
                <w:bCs/>
                <w:color w:val="000000" w:themeColor="text1"/>
                <w:szCs w:val="22"/>
              </w:rPr>
              <w:t>Disbursement after graduation</w:t>
            </w:r>
          </w:p>
        </w:tc>
      </w:tr>
      <w:tr w:rsidR="003D6321" w:rsidRPr="002864AA" w14:paraId="0CC27EBE" w14:textId="77777777">
        <w:trPr>
          <w:trHeight w:val="300"/>
        </w:trPr>
        <w:tc>
          <w:tcPr>
            <w:tcW w:w="1440" w:type="dxa"/>
            <w:tcBorders>
              <w:top w:val="single" w:sz="8" w:space="0" w:color="auto"/>
              <w:left w:val="single" w:sz="8" w:space="0" w:color="auto"/>
              <w:bottom w:val="single" w:sz="8" w:space="0" w:color="auto"/>
              <w:right w:val="single" w:sz="8" w:space="0" w:color="auto"/>
            </w:tcBorders>
          </w:tcPr>
          <w:p w14:paraId="6869B2CC" w14:textId="77777777" w:rsidR="003D6321" w:rsidRPr="00550C6E" w:rsidRDefault="003D6321">
            <w:pPr>
              <w:spacing w:line="264" w:lineRule="auto"/>
              <w:jc w:val="both"/>
              <w:rPr>
                <w:rFonts w:ascii="Century Gothic" w:eastAsia="Times New Roman" w:hAnsi="Century Gothic"/>
                <w:b/>
                <w:bCs/>
                <w:color w:val="000000" w:themeColor="text1"/>
                <w:szCs w:val="22"/>
              </w:rPr>
            </w:pPr>
            <w:r w:rsidRPr="00550C6E">
              <w:rPr>
                <w:rFonts w:ascii="Century Gothic" w:eastAsia="Times New Roman" w:hAnsi="Century Gothic"/>
                <w:b/>
                <w:bCs/>
                <w:color w:val="000000" w:themeColor="text1"/>
                <w:szCs w:val="22"/>
              </w:rPr>
              <w:t>Participant 1</w:t>
            </w:r>
          </w:p>
        </w:tc>
        <w:tc>
          <w:tcPr>
            <w:tcW w:w="3600" w:type="dxa"/>
            <w:tcBorders>
              <w:top w:val="single" w:sz="8" w:space="0" w:color="auto"/>
              <w:left w:val="single" w:sz="8" w:space="0" w:color="auto"/>
              <w:bottom w:val="single" w:sz="8" w:space="0" w:color="auto"/>
              <w:right w:val="single" w:sz="8" w:space="0" w:color="auto"/>
            </w:tcBorders>
          </w:tcPr>
          <w:p w14:paraId="39FD2708" w14:textId="77777777" w:rsidR="003D6321" w:rsidRPr="001F4B6A" w:rsidRDefault="003D6321" w:rsidP="00550C6E">
            <w:pPr>
              <w:spacing w:line="264" w:lineRule="auto"/>
              <w:jc w:val="center"/>
              <w:rPr>
                <w:rFonts w:ascii="Century Gothic" w:eastAsia="Times New Roman" w:hAnsi="Century Gothic"/>
                <w:color w:val="000000" w:themeColor="text1"/>
                <w:szCs w:val="22"/>
              </w:rPr>
            </w:pPr>
            <w:r w:rsidRPr="001F4B6A">
              <w:rPr>
                <w:rFonts w:ascii="Century Gothic" w:eastAsia="Times New Roman" w:hAnsi="Century Gothic"/>
                <w:color w:val="000000" w:themeColor="text1"/>
                <w:szCs w:val="22"/>
              </w:rPr>
              <w:t>$6,942</w:t>
            </w:r>
          </w:p>
        </w:tc>
        <w:tc>
          <w:tcPr>
            <w:tcW w:w="3780" w:type="dxa"/>
            <w:tcBorders>
              <w:top w:val="single" w:sz="8" w:space="0" w:color="auto"/>
              <w:left w:val="single" w:sz="8" w:space="0" w:color="auto"/>
              <w:bottom w:val="single" w:sz="8" w:space="0" w:color="auto"/>
              <w:right w:val="single" w:sz="8" w:space="0" w:color="auto"/>
            </w:tcBorders>
          </w:tcPr>
          <w:p w14:paraId="3FCF3F77" w14:textId="3362DC1C" w:rsidR="003D6321" w:rsidRPr="001F4B6A" w:rsidRDefault="003D6321" w:rsidP="00550C6E">
            <w:pPr>
              <w:spacing w:line="264" w:lineRule="auto"/>
              <w:jc w:val="center"/>
              <w:rPr>
                <w:rFonts w:ascii="Century Gothic" w:eastAsia="Times New Roman" w:hAnsi="Century Gothic"/>
                <w:color w:val="000000" w:themeColor="text1"/>
                <w:szCs w:val="22"/>
              </w:rPr>
            </w:pPr>
            <w:r w:rsidRPr="001F4B6A">
              <w:rPr>
                <w:rFonts w:ascii="Century Gothic" w:eastAsia="Times New Roman" w:hAnsi="Century Gothic"/>
                <w:color w:val="000000" w:themeColor="text1"/>
                <w:szCs w:val="22"/>
              </w:rPr>
              <w:t>$0</w:t>
            </w:r>
          </w:p>
        </w:tc>
      </w:tr>
      <w:tr w:rsidR="003D6321" w:rsidRPr="002864AA" w14:paraId="2119C032" w14:textId="77777777">
        <w:trPr>
          <w:trHeight w:val="300"/>
        </w:trPr>
        <w:tc>
          <w:tcPr>
            <w:tcW w:w="1440" w:type="dxa"/>
            <w:tcBorders>
              <w:top w:val="single" w:sz="8" w:space="0" w:color="auto"/>
              <w:left w:val="single" w:sz="8" w:space="0" w:color="auto"/>
              <w:bottom w:val="single" w:sz="8" w:space="0" w:color="auto"/>
              <w:right w:val="single" w:sz="8" w:space="0" w:color="auto"/>
            </w:tcBorders>
          </w:tcPr>
          <w:p w14:paraId="1C84EF94" w14:textId="77777777" w:rsidR="003D6321" w:rsidRPr="00550C6E" w:rsidRDefault="003D6321">
            <w:pPr>
              <w:spacing w:line="264" w:lineRule="auto"/>
              <w:jc w:val="both"/>
              <w:rPr>
                <w:rFonts w:ascii="Century Gothic" w:eastAsia="Times New Roman" w:hAnsi="Century Gothic"/>
                <w:b/>
                <w:bCs/>
                <w:color w:val="000000" w:themeColor="text1"/>
                <w:szCs w:val="22"/>
              </w:rPr>
            </w:pPr>
            <w:r w:rsidRPr="00550C6E">
              <w:rPr>
                <w:rFonts w:ascii="Century Gothic" w:eastAsia="Times New Roman" w:hAnsi="Century Gothic"/>
                <w:b/>
                <w:bCs/>
                <w:color w:val="000000" w:themeColor="text1"/>
                <w:szCs w:val="22"/>
              </w:rPr>
              <w:t>Participant 2</w:t>
            </w:r>
          </w:p>
        </w:tc>
        <w:tc>
          <w:tcPr>
            <w:tcW w:w="3600" w:type="dxa"/>
            <w:tcBorders>
              <w:top w:val="single" w:sz="8" w:space="0" w:color="auto"/>
              <w:left w:val="single" w:sz="8" w:space="0" w:color="auto"/>
              <w:bottom w:val="single" w:sz="8" w:space="0" w:color="auto"/>
              <w:right w:val="single" w:sz="8" w:space="0" w:color="auto"/>
            </w:tcBorders>
          </w:tcPr>
          <w:p w14:paraId="32E7CF37" w14:textId="77777777" w:rsidR="003D6321" w:rsidRPr="001F4B6A" w:rsidRDefault="003D6321" w:rsidP="00550C6E">
            <w:pPr>
              <w:spacing w:line="264" w:lineRule="auto"/>
              <w:jc w:val="center"/>
              <w:rPr>
                <w:rFonts w:ascii="Century Gothic" w:eastAsia="Times New Roman" w:hAnsi="Century Gothic"/>
                <w:color w:val="000000" w:themeColor="text1"/>
                <w:szCs w:val="22"/>
              </w:rPr>
            </w:pPr>
            <w:r w:rsidRPr="001F4B6A">
              <w:rPr>
                <w:rFonts w:ascii="Century Gothic" w:eastAsia="Times New Roman" w:hAnsi="Century Gothic"/>
                <w:color w:val="000000" w:themeColor="text1"/>
                <w:szCs w:val="22"/>
              </w:rPr>
              <w:t>$0</w:t>
            </w:r>
          </w:p>
        </w:tc>
        <w:tc>
          <w:tcPr>
            <w:tcW w:w="3780" w:type="dxa"/>
            <w:tcBorders>
              <w:top w:val="single" w:sz="8" w:space="0" w:color="auto"/>
              <w:left w:val="single" w:sz="8" w:space="0" w:color="auto"/>
              <w:bottom w:val="single" w:sz="8" w:space="0" w:color="auto"/>
              <w:right w:val="single" w:sz="8" w:space="0" w:color="auto"/>
            </w:tcBorders>
          </w:tcPr>
          <w:p w14:paraId="020551A4" w14:textId="6D87E57F" w:rsidR="003D6321" w:rsidRPr="001F4B6A" w:rsidRDefault="003D6321" w:rsidP="00550C6E">
            <w:pPr>
              <w:spacing w:line="264" w:lineRule="auto"/>
              <w:jc w:val="center"/>
              <w:rPr>
                <w:rFonts w:ascii="Century Gothic" w:eastAsia="Times New Roman" w:hAnsi="Century Gothic"/>
                <w:color w:val="000000" w:themeColor="text1"/>
                <w:szCs w:val="22"/>
              </w:rPr>
            </w:pPr>
            <w:r w:rsidRPr="001F4B6A">
              <w:rPr>
                <w:rFonts w:ascii="Century Gothic" w:eastAsia="Times New Roman" w:hAnsi="Century Gothic"/>
                <w:color w:val="000000" w:themeColor="text1"/>
                <w:szCs w:val="22"/>
              </w:rPr>
              <w:t>$6,460</w:t>
            </w:r>
          </w:p>
        </w:tc>
      </w:tr>
      <w:tr w:rsidR="003D6321" w:rsidRPr="002864AA" w14:paraId="46C0F614" w14:textId="77777777">
        <w:trPr>
          <w:trHeight w:val="300"/>
        </w:trPr>
        <w:tc>
          <w:tcPr>
            <w:tcW w:w="1440" w:type="dxa"/>
            <w:tcBorders>
              <w:top w:val="single" w:sz="8" w:space="0" w:color="auto"/>
              <w:left w:val="single" w:sz="8" w:space="0" w:color="auto"/>
              <w:bottom w:val="single" w:sz="8" w:space="0" w:color="auto"/>
              <w:right w:val="single" w:sz="8" w:space="0" w:color="auto"/>
            </w:tcBorders>
          </w:tcPr>
          <w:p w14:paraId="73EEF9CE" w14:textId="77777777" w:rsidR="003D6321" w:rsidRPr="00550C6E" w:rsidRDefault="003D6321">
            <w:pPr>
              <w:spacing w:line="264" w:lineRule="auto"/>
              <w:jc w:val="both"/>
              <w:rPr>
                <w:rFonts w:ascii="Century Gothic" w:eastAsia="Times New Roman" w:hAnsi="Century Gothic"/>
                <w:b/>
                <w:bCs/>
                <w:color w:val="000000" w:themeColor="text1"/>
                <w:szCs w:val="22"/>
              </w:rPr>
            </w:pPr>
            <w:r w:rsidRPr="00550C6E">
              <w:rPr>
                <w:rFonts w:ascii="Century Gothic" w:eastAsia="Times New Roman" w:hAnsi="Century Gothic"/>
                <w:b/>
                <w:bCs/>
                <w:color w:val="000000" w:themeColor="text1"/>
                <w:szCs w:val="22"/>
              </w:rPr>
              <w:lastRenderedPageBreak/>
              <w:t>Participant 3</w:t>
            </w:r>
          </w:p>
        </w:tc>
        <w:tc>
          <w:tcPr>
            <w:tcW w:w="3600" w:type="dxa"/>
            <w:tcBorders>
              <w:top w:val="single" w:sz="8" w:space="0" w:color="auto"/>
              <w:left w:val="single" w:sz="8" w:space="0" w:color="auto"/>
              <w:bottom w:val="single" w:sz="8" w:space="0" w:color="auto"/>
              <w:right w:val="single" w:sz="8" w:space="0" w:color="auto"/>
            </w:tcBorders>
          </w:tcPr>
          <w:p w14:paraId="31F25B28" w14:textId="77777777" w:rsidR="003D6321" w:rsidRPr="001F4B6A" w:rsidRDefault="003D6321" w:rsidP="00550C6E">
            <w:pPr>
              <w:spacing w:line="264" w:lineRule="auto"/>
              <w:jc w:val="center"/>
              <w:rPr>
                <w:rFonts w:ascii="Century Gothic" w:eastAsia="Times New Roman" w:hAnsi="Century Gothic"/>
                <w:color w:val="000000" w:themeColor="text1"/>
                <w:szCs w:val="22"/>
              </w:rPr>
            </w:pPr>
            <w:r w:rsidRPr="001F4B6A">
              <w:rPr>
                <w:rFonts w:ascii="Century Gothic" w:eastAsia="Times New Roman" w:hAnsi="Century Gothic"/>
                <w:color w:val="000000" w:themeColor="text1"/>
                <w:szCs w:val="22"/>
              </w:rPr>
              <w:t>$3,000</w:t>
            </w:r>
          </w:p>
        </w:tc>
        <w:tc>
          <w:tcPr>
            <w:tcW w:w="3780" w:type="dxa"/>
            <w:tcBorders>
              <w:top w:val="single" w:sz="8" w:space="0" w:color="auto"/>
              <w:left w:val="single" w:sz="8" w:space="0" w:color="auto"/>
              <w:bottom w:val="single" w:sz="8" w:space="0" w:color="auto"/>
              <w:right w:val="single" w:sz="8" w:space="0" w:color="auto"/>
            </w:tcBorders>
          </w:tcPr>
          <w:p w14:paraId="399FE92B" w14:textId="117C32C0" w:rsidR="003D6321" w:rsidRPr="001F4B6A" w:rsidRDefault="003D6321" w:rsidP="00550C6E">
            <w:pPr>
              <w:spacing w:line="264" w:lineRule="auto"/>
              <w:jc w:val="center"/>
              <w:rPr>
                <w:rFonts w:ascii="Century Gothic" w:eastAsia="Times New Roman" w:hAnsi="Century Gothic"/>
                <w:color w:val="000000" w:themeColor="text1"/>
                <w:szCs w:val="22"/>
              </w:rPr>
            </w:pPr>
            <w:r w:rsidRPr="001F4B6A">
              <w:rPr>
                <w:rFonts w:ascii="Century Gothic" w:eastAsia="Times New Roman" w:hAnsi="Century Gothic"/>
                <w:color w:val="000000" w:themeColor="text1"/>
                <w:szCs w:val="22"/>
              </w:rPr>
              <w:t>$5,630</w:t>
            </w:r>
          </w:p>
        </w:tc>
      </w:tr>
      <w:tr w:rsidR="003D6321" w:rsidRPr="002864AA" w14:paraId="4F7731B5" w14:textId="77777777">
        <w:trPr>
          <w:trHeight w:val="300"/>
        </w:trPr>
        <w:tc>
          <w:tcPr>
            <w:tcW w:w="1440" w:type="dxa"/>
            <w:tcBorders>
              <w:top w:val="single" w:sz="8" w:space="0" w:color="auto"/>
              <w:left w:val="single" w:sz="8" w:space="0" w:color="auto"/>
              <w:bottom w:val="single" w:sz="8" w:space="0" w:color="auto"/>
              <w:right w:val="single" w:sz="8" w:space="0" w:color="auto"/>
            </w:tcBorders>
          </w:tcPr>
          <w:p w14:paraId="73AD46D6" w14:textId="77777777" w:rsidR="003D6321" w:rsidRPr="00550C6E" w:rsidRDefault="003D6321">
            <w:pPr>
              <w:spacing w:line="264" w:lineRule="auto"/>
              <w:jc w:val="both"/>
              <w:rPr>
                <w:rFonts w:ascii="Century Gothic" w:eastAsia="Times New Roman" w:hAnsi="Century Gothic"/>
                <w:b/>
                <w:bCs/>
                <w:color w:val="000000" w:themeColor="text1"/>
                <w:szCs w:val="22"/>
              </w:rPr>
            </w:pPr>
            <w:r w:rsidRPr="00550C6E">
              <w:rPr>
                <w:rFonts w:ascii="Century Gothic" w:eastAsia="Times New Roman" w:hAnsi="Century Gothic"/>
                <w:b/>
                <w:bCs/>
                <w:color w:val="000000" w:themeColor="text1"/>
                <w:szCs w:val="22"/>
              </w:rPr>
              <w:t>Participant 4</w:t>
            </w:r>
          </w:p>
        </w:tc>
        <w:tc>
          <w:tcPr>
            <w:tcW w:w="3600" w:type="dxa"/>
            <w:tcBorders>
              <w:top w:val="single" w:sz="8" w:space="0" w:color="auto"/>
              <w:left w:val="single" w:sz="8" w:space="0" w:color="auto"/>
              <w:bottom w:val="single" w:sz="8" w:space="0" w:color="auto"/>
              <w:right w:val="single" w:sz="8" w:space="0" w:color="auto"/>
            </w:tcBorders>
          </w:tcPr>
          <w:p w14:paraId="59837D52" w14:textId="77777777" w:rsidR="003D6321" w:rsidRPr="001F4B6A" w:rsidRDefault="003D6321" w:rsidP="00550C6E">
            <w:pPr>
              <w:spacing w:line="264" w:lineRule="auto"/>
              <w:jc w:val="center"/>
              <w:rPr>
                <w:rFonts w:ascii="Century Gothic" w:eastAsia="Times New Roman" w:hAnsi="Century Gothic"/>
                <w:color w:val="000000" w:themeColor="text1"/>
                <w:szCs w:val="22"/>
              </w:rPr>
            </w:pPr>
            <w:r w:rsidRPr="001F4B6A">
              <w:rPr>
                <w:rFonts w:ascii="Century Gothic" w:eastAsia="Times New Roman" w:hAnsi="Century Gothic"/>
                <w:color w:val="000000" w:themeColor="text1"/>
                <w:szCs w:val="22"/>
              </w:rPr>
              <w:t>$0</w:t>
            </w:r>
          </w:p>
        </w:tc>
        <w:tc>
          <w:tcPr>
            <w:tcW w:w="3780" w:type="dxa"/>
            <w:tcBorders>
              <w:top w:val="single" w:sz="8" w:space="0" w:color="auto"/>
              <w:left w:val="single" w:sz="8" w:space="0" w:color="auto"/>
              <w:bottom w:val="single" w:sz="8" w:space="0" w:color="auto"/>
              <w:right w:val="single" w:sz="8" w:space="0" w:color="auto"/>
            </w:tcBorders>
          </w:tcPr>
          <w:p w14:paraId="246B9D1D" w14:textId="64B39BBB" w:rsidR="003D6321" w:rsidRPr="001F4B6A" w:rsidRDefault="003D6321" w:rsidP="00550C6E">
            <w:pPr>
              <w:spacing w:line="264" w:lineRule="auto"/>
              <w:jc w:val="center"/>
              <w:rPr>
                <w:rFonts w:ascii="Century Gothic" w:eastAsia="Times New Roman" w:hAnsi="Century Gothic"/>
                <w:color w:val="000000" w:themeColor="text1"/>
                <w:szCs w:val="22"/>
              </w:rPr>
            </w:pPr>
            <w:r w:rsidRPr="001F4B6A">
              <w:rPr>
                <w:rFonts w:ascii="Century Gothic" w:eastAsia="Times New Roman" w:hAnsi="Century Gothic"/>
                <w:color w:val="000000" w:themeColor="text1"/>
                <w:szCs w:val="22"/>
              </w:rPr>
              <w:t>$7,239</w:t>
            </w:r>
          </w:p>
        </w:tc>
      </w:tr>
      <w:tr w:rsidR="001D3D6F" w:rsidRPr="002864AA" w14:paraId="1B8FF6A0" w14:textId="77777777">
        <w:trPr>
          <w:trHeight w:val="300"/>
        </w:trPr>
        <w:tc>
          <w:tcPr>
            <w:tcW w:w="1440" w:type="dxa"/>
            <w:tcBorders>
              <w:top w:val="single" w:sz="8" w:space="0" w:color="auto"/>
              <w:left w:val="single" w:sz="8" w:space="0" w:color="auto"/>
              <w:bottom w:val="single" w:sz="8" w:space="0" w:color="auto"/>
              <w:right w:val="single" w:sz="8" w:space="0" w:color="auto"/>
            </w:tcBorders>
          </w:tcPr>
          <w:p w14:paraId="66AEB04E" w14:textId="77777777" w:rsidR="001D3D6F" w:rsidRPr="001F4B6A" w:rsidRDefault="001D3D6F">
            <w:pPr>
              <w:spacing w:line="264" w:lineRule="auto"/>
              <w:jc w:val="both"/>
              <w:rPr>
                <w:rFonts w:ascii="Century Gothic" w:eastAsia="Times New Roman" w:hAnsi="Century Gothic"/>
                <w:color w:val="000000" w:themeColor="text1"/>
                <w:szCs w:val="22"/>
              </w:rPr>
            </w:pPr>
          </w:p>
        </w:tc>
        <w:tc>
          <w:tcPr>
            <w:tcW w:w="3600" w:type="dxa"/>
            <w:tcBorders>
              <w:top w:val="single" w:sz="8" w:space="0" w:color="auto"/>
              <w:left w:val="single" w:sz="8" w:space="0" w:color="auto"/>
              <w:bottom w:val="single" w:sz="8" w:space="0" w:color="auto"/>
              <w:right w:val="single" w:sz="8" w:space="0" w:color="auto"/>
            </w:tcBorders>
          </w:tcPr>
          <w:p w14:paraId="56AE9081" w14:textId="63BF6C5C" w:rsidR="001D3D6F" w:rsidRPr="001F4B6A" w:rsidRDefault="001D3D6F" w:rsidP="00550C6E">
            <w:pPr>
              <w:spacing w:line="264" w:lineRule="auto"/>
              <w:jc w:val="center"/>
              <w:rPr>
                <w:rFonts w:ascii="Century Gothic" w:eastAsia="Times New Roman" w:hAnsi="Century Gothic"/>
                <w:color w:val="000000" w:themeColor="text1"/>
                <w:szCs w:val="22"/>
              </w:rPr>
            </w:pPr>
            <w:r>
              <w:rPr>
                <w:rFonts w:ascii="Century Gothic" w:eastAsia="Times New Roman" w:hAnsi="Century Gothic"/>
                <w:color w:val="000000" w:themeColor="text1"/>
                <w:szCs w:val="22"/>
              </w:rPr>
              <w:t>$9,942</w:t>
            </w:r>
          </w:p>
        </w:tc>
        <w:tc>
          <w:tcPr>
            <w:tcW w:w="3780" w:type="dxa"/>
            <w:tcBorders>
              <w:top w:val="single" w:sz="8" w:space="0" w:color="auto"/>
              <w:left w:val="single" w:sz="8" w:space="0" w:color="auto"/>
              <w:bottom w:val="single" w:sz="8" w:space="0" w:color="auto"/>
              <w:right w:val="single" w:sz="8" w:space="0" w:color="auto"/>
            </w:tcBorders>
          </w:tcPr>
          <w:p w14:paraId="01EA7B7C" w14:textId="5B55A00C" w:rsidR="001D3D6F" w:rsidRPr="001F4B6A" w:rsidRDefault="00C96F98" w:rsidP="00550C6E">
            <w:pPr>
              <w:spacing w:line="264" w:lineRule="auto"/>
              <w:jc w:val="center"/>
              <w:rPr>
                <w:rFonts w:ascii="Century Gothic" w:eastAsia="Times New Roman" w:hAnsi="Century Gothic"/>
                <w:color w:val="000000" w:themeColor="text1"/>
                <w:szCs w:val="22"/>
              </w:rPr>
            </w:pPr>
            <w:r>
              <w:rPr>
                <w:rFonts w:ascii="Century Gothic" w:eastAsia="Times New Roman" w:hAnsi="Century Gothic"/>
                <w:color w:val="000000" w:themeColor="text1"/>
                <w:szCs w:val="22"/>
              </w:rPr>
              <w:t>$19</w:t>
            </w:r>
            <w:r w:rsidR="00322527">
              <w:rPr>
                <w:rFonts w:ascii="Century Gothic" w:eastAsia="Times New Roman" w:hAnsi="Century Gothic"/>
                <w:color w:val="000000" w:themeColor="text1"/>
                <w:szCs w:val="22"/>
              </w:rPr>
              <w:t>,429</w:t>
            </w:r>
          </w:p>
        </w:tc>
      </w:tr>
    </w:tbl>
    <w:p w14:paraId="2ABAD43B" w14:textId="6839E872" w:rsidR="003D6321" w:rsidRPr="001F4B6A" w:rsidRDefault="003D6321" w:rsidP="00550C6E">
      <w:pPr>
        <w:spacing w:line="264" w:lineRule="auto"/>
        <w:ind w:firstLine="720"/>
        <w:jc w:val="center"/>
        <w:rPr>
          <w:rFonts w:ascii="Century Gothic" w:eastAsia="Times New Roman" w:hAnsi="Century Gothic"/>
          <w:i/>
          <w:iCs/>
          <w:color w:val="000000" w:themeColor="text1"/>
          <w:szCs w:val="22"/>
        </w:rPr>
      </w:pPr>
      <w:r w:rsidRPr="001F4B6A">
        <w:rPr>
          <w:rFonts w:ascii="Century Gothic" w:eastAsia="Times New Roman" w:hAnsi="Century Gothic"/>
          <w:i/>
          <w:iCs/>
          <w:color w:val="000000" w:themeColor="text1"/>
          <w:szCs w:val="22"/>
        </w:rPr>
        <w:t xml:space="preserve"> (</w:t>
      </w:r>
      <w:r w:rsidR="00FF2E88" w:rsidRPr="001F4B6A">
        <w:rPr>
          <w:rFonts w:ascii="Century Gothic" w:eastAsia="Times New Roman" w:hAnsi="Century Gothic"/>
          <w:i/>
          <w:iCs/>
          <w:color w:val="000000" w:themeColor="text1"/>
          <w:szCs w:val="22"/>
        </w:rPr>
        <w:t>Average</w:t>
      </w:r>
      <w:r w:rsidRPr="001F4B6A">
        <w:rPr>
          <w:rFonts w:ascii="Century Gothic" w:eastAsia="Times New Roman" w:hAnsi="Century Gothic"/>
          <w:i/>
          <w:iCs/>
          <w:color w:val="000000" w:themeColor="text1"/>
          <w:szCs w:val="22"/>
        </w:rPr>
        <w:t xml:space="preserve"> disbursement before graduation $4,971</w:t>
      </w:r>
    </w:p>
    <w:p w14:paraId="5C6CAF5A" w14:textId="6EDCFE7C" w:rsidR="003D6321" w:rsidRPr="001F4B6A" w:rsidRDefault="003D6321" w:rsidP="00550C6E">
      <w:pPr>
        <w:spacing w:line="264" w:lineRule="auto"/>
        <w:jc w:val="center"/>
        <w:rPr>
          <w:rFonts w:ascii="Century Gothic" w:eastAsia="Times New Roman" w:hAnsi="Century Gothic"/>
          <w:i/>
          <w:iCs/>
          <w:color w:val="000000" w:themeColor="text1"/>
          <w:szCs w:val="22"/>
        </w:rPr>
      </w:pPr>
      <w:r w:rsidRPr="001F4B6A">
        <w:rPr>
          <w:rFonts w:ascii="Century Gothic" w:eastAsia="Times New Roman" w:hAnsi="Century Gothic"/>
          <w:i/>
          <w:iCs/>
          <w:color w:val="000000" w:themeColor="text1"/>
          <w:szCs w:val="22"/>
        </w:rPr>
        <w:t xml:space="preserve"> (</w:t>
      </w:r>
      <w:r w:rsidR="00FF2E88">
        <w:rPr>
          <w:rFonts w:ascii="Century Gothic" w:eastAsia="Times New Roman" w:hAnsi="Century Gothic"/>
          <w:i/>
          <w:iCs/>
          <w:color w:val="000000" w:themeColor="text1"/>
          <w:szCs w:val="22"/>
        </w:rPr>
        <w:t>A</w:t>
      </w:r>
      <w:r w:rsidRPr="001F4B6A">
        <w:rPr>
          <w:rFonts w:ascii="Century Gothic" w:eastAsia="Times New Roman" w:hAnsi="Century Gothic"/>
          <w:i/>
          <w:iCs/>
          <w:color w:val="000000" w:themeColor="text1"/>
          <w:szCs w:val="22"/>
        </w:rPr>
        <w:t>verage disbursement at graduation $4,</w:t>
      </w:r>
      <w:r>
        <w:rPr>
          <w:rFonts w:ascii="Century Gothic" w:eastAsia="Times New Roman" w:hAnsi="Century Gothic"/>
          <w:i/>
          <w:iCs/>
          <w:color w:val="000000" w:themeColor="text1"/>
          <w:szCs w:val="22"/>
        </w:rPr>
        <w:t>855</w:t>
      </w:r>
      <w:r w:rsidRPr="001F4B6A">
        <w:rPr>
          <w:rFonts w:ascii="Century Gothic" w:eastAsia="Times New Roman" w:hAnsi="Century Gothic"/>
          <w:i/>
          <w:iCs/>
          <w:color w:val="000000" w:themeColor="text1"/>
          <w:szCs w:val="22"/>
        </w:rPr>
        <w:t>)</w:t>
      </w:r>
    </w:p>
    <w:bookmarkEnd w:id="138"/>
    <w:bookmarkEnd w:id="139"/>
    <w:p w14:paraId="606748AE" w14:textId="3C33EFC0" w:rsidR="003D6321" w:rsidRPr="007E52CD" w:rsidRDefault="007E52CD" w:rsidP="433078B2">
      <w:pPr>
        <w:rPr>
          <w:rFonts w:ascii="Century Gothic" w:eastAsia="Times New Roman" w:hAnsi="Century Gothic"/>
          <w:b/>
          <w:bCs/>
          <w:i/>
          <w:iCs/>
          <w:szCs w:val="22"/>
        </w:rPr>
      </w:pPr>
      <w:r w:rsidRPr="007E52CD">
        <w:rPr>
          <w:rFonts w:ascii="Century Gothic" w:eastAsia="Times New Roman" w:hAnsi="Century Gothic"/>
          <w:b/>
          <w:bCs/>
          <w:i/>
          <w:iCs/>
          <w:szCs w:val="22"/>
        </w:rPr>
        <w:t>CARES Graduates</w:t>
      </w:r>
    </w:p>
    <w:p w14:paraId="064FCC8D" w14:textId="77777777" w:rsidR="003D6321" w:rsidRDefault="003D6321" w:rsidP="433078B2">
      <w:pPr>
        <w:rPr>
          <w:rFonts w:ascii="Century Gothic" w:eastAsia="Times New Roman" w:hAnsi="Century Gothic"/>
          <w:szCs w:val="22"/>
        </w:rPr>
      </w:pPr>
    </w:p>
    <w:p w14:paraId="42F55D63" w14:textId="77777777" w:rsidR="007E52CD" w:rsidRPr="008B3611" w:rsidRDefault="007E52CD" w:rsidP="007E52CD">
      <w:pPr>
        <w:rPr>
          <w:rFonts w:ascii="Century Gothic" w:eastAsia="Times New Roman" w:hAnsi="Century Gothic"/>
          <w:color w:val="000000" w:themeColor="text1"/>
          <w:szCs w:val="22"/>
        </w:rPr>
      </w:pPr>
      <w:r w:rsidRPr="008B3611">
        <w:rPr>
          <w:rFonts w:ascii="Century Gothic" w:eastAsia="Times New Roman" w:hAnsi="Century Gothic"/>
          <w:szCs w:val="22"/>
        </w:rPr>
        <w:t>In FY24, t</w:t>
      </w:r>
      <w:r w:rsidRPr="008B3611">
        <w:rPr>
          <w:rFonts w:ascii="Century Gothic" w:eastAsia="Times New Roman" w:hAnsi="Century Gothic"/>
          <w:color w:val="000000" w:themeColor="text1"/>
          <w:szCs w:val="22"/>
        </w:rPr>
        <w:t xml:space="preserve">here were 4 participants who graduated from the CARES program with an average earned income of $73,488. </w:t>
      </w:r>
    </w:p>
    <w:p w14:paraId="5A0C755B" w14:textId="77777777" w:rsidR="007E52CD" w:rsidRPr="008B3611" w:rsidRDefault="007E52CD" w:rsidP="00486062">
      <w:pPr>
        <w:pStyle w:val="ListParagraph"/>
        <w:numPr>
          <w:ilvl w:val="0"/>
          <w:numId w:val="101"/>
        </w:numPr>
        <w:rPr>
          <w:rFonts w:ascii="Century Gothic" w:eastAsia="Times New Roman" w:hAnsi="Century Gothic"/>
          <w:color w:val="000000" w:themeColor="text1"/>
          <w:szCs w:val="22"/>
        </w:rPr>
      </w:pPr>
      <w:r w:rsidRPr="008B3611">
        <w:rPr>
          <w:rFonts w:ascii="Century Gothic" w:eastAsia="Times New Roman" w:hAnsi="Century Gothic"/>
          <w:color w:val="000000" w:themeColor="text1"/>
          <w:szCs w:val="22"/>
        </w:rPr>
        <w:t xml:space="preserve">2 participants purchased a home </w:t>
      </w:r>
    </w:p>
    <w:p w14:paraId="2AFF0E75" w14:textId="77777777" w:rsidR="007E52CD" w:rsidRDefault="007E52CD" w:rsidP="00486062">
      <w:pPr>
        <w:pStyle w:val="ListParagraph"/>
        <w:numPr>
          <w:ilvl w:val="0"/>
          <w:numId w:val="101"/>
        </w:numPr>
        <w:rPr>
          <w:rFonts w:ascii="Century Gothic" w:eastAsia="Times New Roman" w:hAnsi="Century Gothic"/>
          <w:color w:val="000000" w:themeColor="text1"/>
          <w:szCs w:val="22"/>
        </w:rPr>
      </w:pPr>
      <w:r w:rsidRPr="008B3611">
        <w:rPr>
          <w:rFonts w:ascii="Century Gothic" w:eastAsia="Times New Roman" w:hAnsi="Century Gothic"/>
          <w:color w:val="000000" w:themeColor="text1"/>
          <w:szCs w:val="22"/>
        </w:rPr>
        <w:t xml:space="preserve">2 moved to the private market paying market rent  </w:t>
      </w:r>
    </w:p>
    <w:p w14:paraId="493D90D1" w14:textId="77777777" w:rsidR="003D6321" w:rsidRDefault="003D6321" w:rsidP="433078B2">
      <w:pPr>
        <w:rPr>
          <w:rFonts w:ascii="Century Gothic" w:eastAsia="Times New Roman" w:hAnsi="Century Gothic"/>
          <w:szCs w:val="22"/>
        </w:rPr>
      </w:pPr>
    </w:p>
    <w:p w14:paraId="7FAA89ED" w14:textId="08A1FB97" w:rsidR="1B4A8018" w:rsidRDefault="44A64E60" w:rsidP="433078B2">
      <w:pPr>
        <w:rPr>
          <w:rFonts w:ascii="Century Gothic" w:eastAsia="Times New Roman" w:hAnsi="Century Gothic"/>
          <w:szCs w:val="22"/>
        </w:rPr>
      </w:pPr>
      <w:r w:rsidRPr="008B3611">
        <w:rPr>
          <w:rFonts w:ascii="Century Gothic" w:eastAsia="Times New Roman" w:hAnsi="Century Gothic"/>
          <w:szCs w:val="22"/>
        </w:rPr>
        <w:t xml:space="preserve">Since the start of the program there have </w:t>
      </w:r>
      <w:r w:rsidR="00AF5128" w:rsidRPr="008B3611">
        <w:rPr>
          <w:rFonts w:ascii="Century Gothic" w:eastAsia="Times New Roman" w:hAnsi="Century Gothic"/>
          <w:szCs w:val="22"/>
        </w:rPr>
        <w:t xml:space="preserve">been </w:t>
      </w:r>
      <w:r w:rsidR="545C2168" w:rsidRPr="008B3611">
        <w:rPr>
          <w:rFonts w:ascii="Century Gothic" w:eastAsia="Times New Roman" w:hAnsi="Century Gothic"/>
          <w:szCs w:val="22"/>
        </w:rPr>
        <w:t xml:space="preserve">72 </w:t>
      </w:r>
      <w:r w:rsidRPr="008B3611">
        <w:rPr>
          <w:rFonts w:ascii="Century Gothic" w:eastAsia="Times New Roman" w:hAnsi="Century Gothic"/>
          <w:szCs w:val="22"/>
        </w:rPr>
        <w:t xml:space="preserve">residents who have graduated </w:t>
      </w:r>
      <w:r w:rsidR="48EBE567" w:rsidRPr="008B3611">
        <w:rPr>
          <w:rFonts w:ascii="Century Gothic" w:eastAsia="Times New Roman" w:hAnsi="Century Gothic"/>
          <w:szCs w:val="22"/>
        </w:rPr>
        <w:t xml:space="preserve">from </w:t>
      </w:r>
      <w:r w:rsidRPr="008B3611">
        <w:rPr>
          <w:rFonts w:ascii="Century Gothic" w:eastAsia="Times New Roman" w:hAnsi="Century Gothic"/>
          <w:szCs w:val="22"/>
        </w:rPr>
        <w:t>the</w:t>
      </w:r>
      <w:r w:rsidR="10FBB8B6" w:rsidRPr="008B3611">
        <w:rPr>
          <w:rFonts w:ascii="Century Gothic" w:eastAsia="Times New Roman" w:hAnsi="Century Gothic"/>
          <w:szCs w:val="22"/>
        </w:rPr>
        <w:t xml:space="preserve"> CARES</w:t>
      </w:r>
      <w:r w:rsidRPr="008B3611">
        <w:rPr>
          <w:rFonts w:ascii="Century Gothic" w:eastAsia="Times New Roman" w:hAnsi="Century Gothic"/>
          <w:szCs w:val="22"/>
        </w:rPr>
        <w:t xml:space="preserve"> program</w:t>
      </w:r>
      <w:r w:rsidR="0A5F1E72" w:rsidRPr="008B3611">
        <w:rPr>
          <w:rFonts w:ascii="Century Gothic" w:eastAsia="Times New Roman" w:hAnsi="Century Gothic"/>
          <w:szCs w:val="22"/>
        </w:rPr>
        <w:t>.</w:t>
      </w:r>
    </w:p>
    <w:p w14:paraId="421B8183" w14:textId="77777777" w:rsidR="003D6321" w:rsidRDefault="003D6321" w:rsidP="433078B2">
      <w:pPr>
        <w:rPr>
          <w:rFonts w:ascii="Century Gothic" w:eastAsia="Times New Roman" w:hAnsi="Century Gothic"/>
          <w:szCs w:val="22"/>
        </w:rPr>
      </w:pPr>
    </w:p>
    <w:p w14:paraId="184BDFB7" w14:textId="619BD487" w:rsidR="1B4A8018" w:rsidRPr="001F4B6A" w:rsidRDefault="00010623" w:rsidP="0E6C54AB">
      <w:pPr>
        <w:rPr>
          <w:rFonts w:ascii="Century Gothic" w:eastAsia="Times New Roman" w:hAnsi="Century Gothic"/>
          <w:szCs w:val="22"/>
        </w:rPr>
      </w:pPr>
      <w:r w:rsidRPr="001F4B6A">
        <w:rPr>
          <w:rFonts w:ascii="Century Gothic" w:hAnsi="Century Gothic"/>
          <w:noProof/>
          <w:szCs w:val="22"/>
        </w:rPr>
        <mc:AlternateContent>
          <mc:Choice Requires="wpg">
            <w:drawing>
              <wp:anchor distT="0" distB="0" distL="114300" distR="114300" simplePos="0" relativeHeight="251658245" behindDoc="0" locked="0" layoutInCell="1" allowOverlap="1" wp14:anchorId="52B17F1C" wp14:editId="0EA5C90E">
                <wp:simplePos x="0" y="0"/>
                <wp:positionH relativeFrom="margin">
                  <wp:align>left</wp:align>
                </wp:positionH>
                <wp:positionV relativeFrom="paragraph">
                  <wp:posOffset>251551</wp:posOffset>
                </wp:positionV>
                <wp:extent cx="2091055" cy="1758224"/>
                <wp:effectExtent l="0" t="0" r="0" b="0"/>
                <wp:wrapNone/>
                <wp:docPr id="6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1055" cy="1758224"/>
                          <a:chOff x="-2559995" y="4143162"/>
                          <a:chExt cx="3227717" cy="3400909"/>
                        </a:xfrm>
                      </wpg:grpSpPr>
                      <pic:pic xmlns:pic="http://schemas.openxmlformats.org/drawingml/2006/picture">
                        <pic:nvPicPr>
                          <pic:cNvPr id="108" name="Graphic 26" descr="House"/>
                          <pic:cNvPicPr>
                            <a:picLocks noChangeAspect="1"/>
                          </pic:cNvPicPr>
                        </pic:nvPicPr>
                        <pic:blipFill>
                          <a:blip r:embed="rId20" cstate="print"/>
                          <a:stretch>
                            <a:fillRect/>
                          </a:stretch>
                        </pic:blipFill>
                        <pic:spPr>
                          <a:xfrm>
                            <a:off x="-2559995" y="4267402"/>
                            <a:ext cx="2827019" cy="2827019"/>
                          </a:xfrm>
                          <a:prstGeom prst="rect">
                            <a:avLst/>
                          </a:prstGeom>
                        </pic:spPr>
                      </pic:pic>
                      <wps:wsp>
                        <wps:cNvPr id="109" name="Text Box 27"/>
                        <wps:cNvSpPr txBox="1">
                          <a:spLocks noChangeArrowheads="1"/>
                        </wps:cNvSpPr>
                        <wps:spPr bwMode="auto">
                          <a:xfrm>
                            <a:off x="-2532362" y="4143162"/>
                            <a:ext cx="3200084" cy="3400909"/>
                          </a:xfrm>
                          <a:prstGeom prst="rect">
                            <a:avLst/>
                          </a:prstGeom>
                          <a:noFill/>
                          <a:ln>
                            <a:noFill/>
                          </a:ln>
                        </wps:spPr>
                        <wps:txbx>
                          <w:txbxContent>
                            <w:p w14:paraId="2135C1A5" w14:textId="77777777" w:rsidR="003213EF" w:rsidRDefault="003213EF" w:rsidP="003213EF">
                              <w:pPr>
                                <w:rPr>
                                  <w:rFonts w:ascii="Arial Black" w:hAnsi="Arial Black"/>
                                  <w:color w:val="B5333C"/>
                                  <w:sz w:val="36"/>
                                  <w:szCs w:val="36"/>
                                </w:rPr>
                              </w:pPr>
                            </w:p>
                            <w:p w14:paraId="3EF1439C" w14:textId="33C1FCA1" w:rsidR="00CE5F52" w:rsidRPr="00CE5F52" w:rsidRDefault="00010623" w:rsidP="00010623">
                              <w:pPr>
                                <w:ind w:left="720"/>
                                <w:rPr>
                                  <w:rFonts w:ascii="Arial Black" w:hAnsi="Arial Black"/>
                                  <w:color w:val="B5333C"/>
                                  <w:sz w:val="36"/>
                                  <w:szCs w:val="36"/>
                                </w:rPr>
                              </w:pPr>
                              <w:proofErr w:type="gramStart"/>
                              <w:r w:rsidRPr="00010623">
                                <w:rPr>
                                  <w:rFonts w:ascii="Arial Black" w:hAnsi="Arial Black"/>
                                  <w:color w:val="B5333C"/>
                                  <w:sz w:val="24"/>
                                </w:rPr>
                                <w:t>Overall</w:t>
                              </w:r>
                              <w:proofErr w:type="gramEnd"/>
                              <w:r>
                                <w:rPr>
                                  <w:rFonts w:ascii="Arial Black" w:hAnsi="Arial Black"/>
                                  <w:color w:val="B5333C"/>
                                  <w:sz w:val="36"/>
                                  <w:szCs w:val="36"/>
                                </w:rPr>
                                <w:t xml:space="preserve"> </w:t>
                              </w:r>
                              <w:r w:rsidR="005F5685">
                                <w:rPr>
                                  <w:rFonts w:ascii="Arial Black" w:hAnsi="Arial Black"/>
                                  <w:color w:val="B5333C"/>
                                  <w:sz w:val="24"/>
                                </w:rPr>
                                <w:t>72</w:t>
                              </w:r>
                            </w:p>
                            <w:p w14:paraId="2652A9F7" w14:textId="0B6950A5" w:rsidR="003213EF" w:rsidRPr="00CE5F52" w:rsidRDefault="00501517" w:rsidP="00010623">
                              <w:pPr>
                                <w:ind w:left="720"/>
                                <w:rPr>
                                  <w:rFonts w:cs="Arial"/>
                                  <w:b/>
                                  <w:i/>
                                  <w:color w:val="B5333C"/>
                                  <w:sz w:val="24"/>
                                </w:rPr>
                              </w:pPr>
                              <w:r w:rsidRPr="00CE5F52">
                                <w:rPr>
                                  <w:rFonts w:ascii="Arial Black" w:hAnsi="Arial Black"/>
                                  <w:color w:val="B5333C"/>
                                  <w:sz w:val="24"/>
                                </w:rPr>
                                <w:t>CARES Graduates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17F1C" id="Group 102" o:spid="_x0000_s1075" style="position:absolute;margin-left:0;margin-top:19.8pt;width:164.65pt;height:138.45pt;z-index:251658245;mso-position-horizontal:left;mso-position-horizontal-relative:margin;mso-position-vertical-relative:text" coordorigin="-25599,41431" coordsize="32277,3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">
                <v:shape id="Graphic 26" o:spid="_x0000_s1076" type="#_x0000_t75" alt="House" style="position:absolute;left:-25599;top:42674;width:28269;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">
                  <v:imagedata r:id="rId21" o:title="House"/>
                </v:shape>
                <v:shape id="Text Box 27" o:spid="_x0000_s1077" type="#_x0000_t202" style="position:absolute;left:-25323;top:41431;width:32000;height:3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135C1A5" w14:textId="77777777" w:rsidR="003213EF" w:rsidRDefault="003213EF" w:rsidP="003213EF">
                        <w:pPr>
                          <w:rPr>
                            <w:rFonts w:ascii="Arial Black" w:hAnsi="Arial Black"/>
                            <w:color w:val="B5333C"/>
                            <w:sz w:val="36"/>
                            <w:szCs w:val="36"/>
                          </w:rPr>
                        </w:pPr>
                      </w:p>
                      <w:p w14:paraId="3EF1439C" w14:textId="33C1FCA1" w:rsidR="00CE5F52" w:rsidRPr="00CE5F52" w:rsidRDefault="00010623" w:rsidP="00010623">
                        <w:pPr>
                          <w:ind w:left="720"/>
                          <w:rPr>
                            <w:rFonts w:ascii="Arial Black" w:hAnsi="Arial Black"/>
                            <w:color w:val="B5333C"/>
                            <w:sz w:val="36"/>
                            <w:szCs w:val="36"/>
                          </w:rPr>
                        </w:pPr>
                        <w:proofErr w:type="gramStart"/>
                        <w:r w:rsidRPr="00010623">
                          <w:rPr>
                            <w:rFonts w:ascii="Arial Black" w:hAnsi="Arial Black"/>
                            <w:color w:val="B5333C"/>
                            <w:sz w:val="24"/>
                          </w:rPr>
                          <w:t>Overall</w:t>
                        </w:r>
                        <w:proofErr w:type="gramEnd"/>
                        <w:r>
                          <w:rPr>
                            <w:rFonts w:ascii="Arial Black" w:hAnsi="Arial Black"/>
                            <w:color w:val="B5333C"/>
                            <w:sz w:val="36"/>
                            <w:szCs w:val="36"/>
                          </w:rPr>
                          <w:t xml:space="preserve"> </w:t>
                        </w:r>
                        <w:r w:rsidR="005F5685">
                          <w:rPr>
                            <w:rFonts w:ascii="Arial Black" w:hAnsi="Arial Black"/>
                            <w:color w:val="B5333C"/>
                            <w:sz w:val="24"/>
                          </w:rPr>
                          <w:t>72</w:t>
                        </w:r>
                      </w:p>
                      <w:p w14:paraId="2652A9F7" w14:textId="0B6950A5" w:rsidR="003213EF" w:rsidRPr="00CE5F52" w:rsidRDefault="00501517" w:rsidP="00010623">
                        <w:pPr>
                          <w:ind w:left="720"/>
                          <w:rPr>
                            <w:rFonts w:cs="Arial"/>
                            <w:b/>
                            <w:i/>
                            <w:color w:val="B5333C"/>
                            <w:sz w:val="24"/>
                          </w:rPr>
                        </w:pPr>
                        <w:r w:rsidRPr="00CE5F52">
                          <w:rPr>
                            <w:rFonts w:ascii="Arial Black" w:hAnsi="Arial Black"/>
                            <w:color w:val="B5333C"/>
                            <w:sz w:val="24"/>
                          </w:rPr>
                          <w:t>CARES Graduates</w:t>
                        </w:r>
                      </w:p>
                    </w:txbxContent>
                  </v:textbox>
                </v:shape>
                <w10:wrap anchorx="margin"/>
              </v:group>
            </w:pict>
          </mc:Fallback>
        </mc:AlternateContent>
      </w:r>
      <w:r w:rsidR="1CA5DC54" w:rsidRPr="008B3611">
        <w:rPr>
          <w:rFonts w:ascii="Century Gothic" w:eastAsia="Times New Roman" w:hAnsi="Century Gothic"/>
          <w:szCs w:val="22"/>
        </w:rPr>
        <w:t xml:space="preserve"> </w:t>
      </w:r>
    </w:p>
    <w:p w14:paraId="0F823A84" w14:textId="651D1981" w:rsidR="00616320" w:rsidRPr="001F4B6A" w:rsidRDefault="001F4B6A" w:rsidP="2A137AEF">
      <w:pPr>
        <w:rPr>
          <w:rFonts w:ascii="Century Gothic" w:eastAsia="MS PGothic" w:hAnsi="Century Gothic"/>
          <w:szCs w:val="22"/>
        </w:rPr>
      </w:pPr>
      <w:r w:rsidRPr="001F4B6A">
        <w:rPr>
          <w:rFonts w:ascii="Century Gothic" w:hAnsi="Century Gothic"/>
          <w:noProof/>
          <w:szCs w:val="22"/>
        </w:rPr>
        <mc:AlternateContent>
          <mc:Choice Requires="wpg">
            <w:drawing>
              <wp:anchor distT="0" distB="0" distL="114300" distR="114300" simplePos="0" relativeHeight="251658275" behindDoc="0" locked="0" layoutInCell="1" allowOverlap="1" wp14:anchorId="615A4402" wp14:editId="00323D2B">
                <wp:simplePos x="0" y="0"/>
                <wp:positionH relativeFrom="margin">
                  <wp:posOffset>4554583</wp:posOffset>
                </wp:positionH>
                <wp:positionV relativeFrom="paragraph">
                  <wp:posOffset>5715</wp:posOffset>
                </wp:positionV>
                <wp:extent cx="2068195" cy="2368731"/>
                <wp:effectExtent l="0" t="0" r="0" b="0"/>
                <wp:wrapNone/>
                <wp:docPr id="6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8195" cy="2368731"/>
                          <a:chOff x="-2740870" y="4137426"/>
                          <a:chExt cx="3033101" cy="3999954"/>
                        </a:xfrm>
                      </wpg:grpSpPr>
                      <pic:pic xmlns:pic="http://schemas.openxmlformats.org/drawingml/2006/picture">
                        <pic:nvPicPr>
                          <pic:cNvPr id="111" name="Graphic 26" descr="House"/>
                          <pic:cNvPicPr>
                            <a:picLocks noChangeAspect="1"/>
                          </pic:cNvPicPr>
                        </pic:nvPicPr>
                        <pic:blipFill>
                          <a:blip r:embed="rId20" cstate="print"/>
                          <a:stretch>
                            <a:fillRect/>
                          </a:stretch>
                        </pic:blipFill>
                        <pic:spPr>
                          <a:xfrm>
                            <a:off x="-2559996" y="4267402"/>
                            <a:ext cx="2827020" cy="2827020"/>
                          </a:xfrm>
                          <a:prstGeom prst="rect">
                            <a:avLst/>
                          </a:prstGeom>
                        </pic:spPr>
                      </pic:pic>
                      <wps:wsp>
                        <wps:cNvPr id="112" name="Text Box 27"/>
                        <wps:cNvSpPr txBox="1">
                          <a:spLocks noChangeArrowheads="1"/>
                        </wps:cNvSpPr>
                        <wps:spPr bwMode="auto">
                          <a:xfrm>
                            <a:off x="-2740870" y="4137426"/>
                            <a:ext cx="3033101" cy="3999954"/>
                          </a:xfrm>
                          <a:prstGeom prst="rect">
                            <a:avLst/>
                          </a:prstGeom>
                          <a:noFill/>
                          <a:ln>
                            <a:noFill/>
                          </a:ln>
                        </wps:spPr>
                        <wps:txbx>
                          <w:txbxContent>
                            <w:p w14:paraId="5BDA6762" w14:textId="77777777" w:rsidR="003213EF" w:rsidRDefault="003213EF" w:rsidP="003213EF">
                              <w:pPr>
                                <w:rPr>
                                  <w:rFonts w:ascii="Arial Black" w:hAnsi="Arial Black"/>
                                  <w:color w:val="B5333C"/>
                                  <w:sz w:val="36"/>
                                  <w:szCs w:val="36"/>
                                </w:rPr>
                              </w:pPr>
                            </w:p>
                            <w:p w14:paraId="64BCFD48" w14:textId="77777777" w:rsidR="00CE5F52" w:rsidRDefault="003213EF" w:rsidP="003213EF">
                              <w:pPr>
                                <w:rPr>
                                  <w:rFonts w:ascii="Arial Black" w:hAnsi="Arial Black"/>
                                  <w:color w:val="B5333C"/>
                                  <w:sz w:val="36"/>
                                  <w:szCs w:val="36"/>
                                </w:rPr>
                              </w:pPr>
                              <w:r>
                                <w:rPr>
                                  <w:rFonts w:ascii="Arial Black" w:hAnsi="Arial Black"/>
                                  <w:color w:val="B5333C"/>
                                  <w:sz w:val="36"/>
                                  <w:szCs w:val="36"/>
                                </w:rPr>
                                <w:t xml:space="preserve">   </w:t>
                              </w:r>
                            </w:p>
                            <w:p w14:paraId="414D9576" w14:textId="77777777" w:rsidR="00CE5F52" w:rsidRDefault="00E738D5" w:rsidP="00CE5F52">
                              <w:pPr>
                                <w:ind w:left="720" w:firstLine="720"/>
                                <w:rPr>
                                  <w:rFonts w:ascii="Arial Black" w:hAnsi="Arial Black"/>
                                  <w:color w:val="B5333C"/>
                                  <w:sz w:val="24"/>
                                </w:rPr>
                              </w:pPr>
                              <w:r>
                                <w:rPr>
                                  <w:rFonts w:ascii="Arial Black" w:hAnsi="Arial Black"/>
                                  <w:color w:val="B5333C"/>
                                  <w:sz w:val="24"/>
                                </w:rPr>
                                <w:t>2</w:t>
                              </w:r>
                            </w:p>
                            <w:p w14:paraId="586BB5B2" w14:textId="77777777" w:rsidR="00E738D5" w:rsidRDefault="003213EF" w:rsidP="00E738D5">
                              <w:pPr>
                                <w:jc w:val="center"/>
                                <w:rPr>
                                  <w:rFonts w:ascii="Arial Black" w:hAnsi="Arial Black"/>
                                  <w:color w:val="B5333C"/>
                                  <w:sz w:val="24"/>
                                </w:rPr>
                              </w:pPr>
                              <w:r w:rsidRPr="00CE5F52">
                                <w:rPr>
                                  <w:rFonts w:ascii="Arial Black" w:hAnsi="Arial Black"/>
                                  <w:color w:val="B5333C"/>
                                  <w:sz w:val="24"/>
                                </w:rPr>
                                <w:t>New Homeowner</w:t>
                              </w:r>
                              <w:r w:rsidR="00E738D5">
                                <w:rPr>
                                  <w:rFonts w:ascii="Arial Black" w:hAnsi="Arial Black"/>
                                  <w:color w:val="B5333C"/>
                                  <w:sz w:val="24"/>
                                </w:rPr>
                                <w:t xml:space="preserve">s  </w:t>
                              </w:r>
                            </w:p>
                            <w:p w14:paraId="372641BC" w14:textId="77777777" w:rsidR="003213EF" w:rsidRPr="00CE5F52" w:rsidRDefault="00E738D5" w:rsidP="00E738D5">
                              <w:pPr>
                                <w:jc w:val="center"/>
                                <w:rPr>
                                  <w:rFonts w:ascii="Arial Black" w:hAnsi="Arial Black"/>
                                  <w:color w:val="B5333C"/>
                                  <w:sz w:val="24"/>
                                </w:rPr>
                              </w:pPr>
                              <w:r>
                                <w:rPr>
                                  <w:rFonts w:ascii="Arial Black" w:hAnsi="Arial Black"/>
                                  <w:color w:val="B5333C"/>
                                  <w:sz w:val="24"/>
                                </w:rPr>
                                <w:t>in FY24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A4402" id="Group 103" o:spid="_x0000_s1078" style="position:absolute;margin-left:358.65pt;margin-top:.45pt;width:162.85pt;height:186.5pt;z-index:251658275;mso-position-horizontal-relative:margin;mso-position-vertical-relative:text" coordorigin="-27408,41374" coordsize="30331,39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">
                <v:shape id="Graphic 26" o:spid="_x0000_s1079" type="#_x0000_t75" alt="House" style="position:absolute;left:-25599;top:42674;width:28269;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">
                  <v:imagedata r:id="rId21" o:title="House"/>
                </v:shape>
                <v:shape id="Text Box 27" o:spid="_x0000_s1080" type="#_x0000_t202" style="position:absolute;left:-27408;top:41374;width:30330;height:39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5BDA6762" w14:textId="77777777" w:rsidR="003213EF" w:rsidRDefault="003213EF" w:rsidP="003213EF">
                        <w:pPr>
                          <w:rPr>
                            <w:rFonts w:ascii="Arial Black" w:hAnsi="Arial Black"/>
                            <w:color w:val="B5333C"/>
                            <w:sz w:val="36"/>
                            <w:szCs w:val="36"/>
                          </w:rPr>
                        </w:pPr>
                      </w:p>
                      <w:p w14:paraId="64BCFD48" w14:textId="77777777" w:rsidR="00CE5F52" w:rsidRDefault="003213EF" w:rsidP="003213EF">
                        <w:pPr>
                          <w:rPr>
                            <w:rFonts w:ascii="Arial Black" w:hAnsi="Arial Black"/>
                            <w:color w:val="B5333C"/>
                            <w:sz w:val="36"/>
                            <w:szCs w:val="36"/>
                          </w:rPr>
                        </w:pPr>
                        <w:r>
                          <w:rPr>
                            <w:rFonts w:ascii="Arial Black" w:hAnsi="Arial Black"/>
                            <w:color w:val="B5333C"/>
                            <w:sz w:val="36"/>
                            <w:szCs w:val="36"/>
                          </w:rPr>
                          <w:t xml:space="preserve">   </w:t>
                        </w:r>
                      </w:p>
                      <w:p w14:paraId="414D9576" w14:textId="77777777" w:rsidR="00CE5F52" w:rsidRDefault="00E738D5" w:rsidP="00CE5F52">
                        <w:pPr>
                          <w:ind w:left="720" w:firstLine="720"/>
                          <w:rPr>
                            <w:rFonts w:ascii="Arial Black" w:hAnsi="Arial Black"/>
                            <w:color w:val="B5333C"/>
                            <w:sz w:val="24"/>
                          </w:rPr>
                        </w:pPr>
                        <w:r>
                          <w:rPr>
                            <w:rFonts w:ascii="Arial Black" w:hAnsi="Arial Black"/>
                            <w:color w:val="B5333C"/>
                            <w:sz w:val="24"/>
                          </w:rPr>
                          <w:t>2</w:t>
                        </w:r>
                      </w:p>
                      <w:p w14:paraId="586BB5B2" w14:textId="77777777" w:rsidR="00E738D5" w:rsidRDefault="003213EF" w:rsidP="00E738D5">
                        <w:pPr>
                          <w:jc w:val="center"/>
                          <w:rPr>
                            <w:rFonts w:ascii="Arial Black" w:hAnsi="Arial Black"/>
                            <w:color w:val="B5333C"/>
                            <w:sz w:val="24"/>
                          </w:rPr>
                        </w:pPr>
                        <w:r w:rsidRPr="00CE5F52">
                          <w:rPr>
                            <w:rFonts w:ascii="Arial Black" w:hAnsi="Arial Black"/>
                            <w:color w:val="B5333C"/>
                            <w:sz w:val="24"/>
                          </w:rPr>
                          <w:t>New Homeowner</w:t>
                        </w:r>
                        <w:r w:rsidR="00E738D5">
                          <w:rPr>
                            <w:rFonts w:ascii="Arial Black" w:hAnsi="Arial Black"/>
                            <w:color w:val="B5333C"/>
                            <w:sz w:val="24"/>
                          </w:rPr>
                          <w:t xml:space="preserve">s  </w:t>
                        </w:r>
                      </w:p>
                      <w:p w14:paraId="372641BC" w14:textId="77777777" w:rsidR="003213EF" w:rsidRPr="00CE5F52" w:rsidRDefault="00E738D5" w:rsidP="00E738D5">
                        <w:pPr>
                          <w:jc w:val="center"/>
                          <w:rPr>
                            <w:rFonts w:ascii="Arial Black" w:hAnsi="Arial Black"/>
                            <w:color w:val="B5333C"/>
                            <w:sz w:val="24"/>
                          </w:rPr>
                        </w:pPr>
                        <w:r>
                          <w:rPr>
                            <w:rFonts w:ascii="Arial Black" w:hAnsi="Arial Black"/>
                            <w:color w:val="B5333C"/>
                            <w:sz w:val="24"/>
                          </w:rPr>
                          <w:t>in FY24</w:t>
                        </w:r>
                      </w:p>
                    </w:txbxContent>
                  </v:textbox>
                </v:shape>
                <w10:wrap anchorx="margin"/>
              </v:group>
            </w:pict>
          </mc:Fallback>
        </mc:AlternateContent>
      </w:r>
      <w:r w:rsidR="00E24AF9" w:rsidRPr="001F4B6A">
        <w:rPr>
          <w:rFonts w:ascii="Century Gothic" w:eastAsia="MS PGothic" w:hAnsi="Century Gothic"/>
          <w:szCs w:val="22"/>
        </w:rPr>
        <w:tab/>
      </w:r>
      <w:r w:rsidR="00E24AF9" w:rsidRPr="001F4B6A">
        <w:rPr>
          <w:rFonts w:ascii="Century Gothic" w:eastAsia="MS PGothic" w:hAnsi="Century Gothic"/>
          <w:szCs w:val="22"/>
        </w:rPr>
        <w:tab/>
      </w:r>
      <w:r w:rsidR="00E24AF9" w:rsidRPr="001F4B6A">
        <w:rPr>
          <w:rFonts w:ascii="Century Gothic" w:eastAsia="MS PGothic" w:hAnsi="Century Gothic"/>
          <w:szCs w:val="22"/>
        </w:rPr>
        <w:tab/>
      </w:r>
      <w:r w:rsidR="00E24AF9" w:rsidRPr="001F4B6A">
        <w:rPr>
          <w:rFonts w:ascii="Century Gothic" w:eastAsia="MS PGothic" w:hAnsi="Century Gothic"/>
          <w:szCs w:val="22"/>
        </w:rPr>
        <w:tab/>
      </w:r>
      <w:r w:rsidR="00E24AF9" w:rsidRPr="001F4B6A">
        <w:rPr>
          <w:rFonts w:ascii="Century Gothic" w:eastAsia="MS PGothic" w:hAnsi="Century Gothic"/>
          <w:szCs w:val="22"/>
        </w:rPr>
        <w:tab/>
      </w:r>
    </w:p>
    <w:p w14:paraId="757F98A9" w14:textId="575625B5" w:rsidR="00616320" w:rsidRPr="001F4B6A" w:rsidRDefault="00616320" w:rsidP="00616320">
      <w:pPr>
        <w:rPr>
          <w:rFonts w:ascii="Century Gothic" w:eastAsia="Times New Roman" w:hAnsi="Century Gothic"/>
          <w:szCs w:val="22"/>
          <w:lang w:eastAsia="en-US"/>
        </w:rPr>
      </w:pPr>
      <w:r w:rsidRPr="001F4B6A">
        <w:rPr>
          <w:rFonts w:ascii="Century Gothic" w:eastAsia="MS PGothic" w:hAnsi="Century Gothic"/>
          <w:szCs w:val="22"/>
        </w:rPr>
        <w:tab/>
      </w:r>
      <w:r w:rsidRPr="001F4B6A">
        <w:rPr>
          <w:rFonts w:ascii="Century Gothic" w:eastAsia="MS PGothic" w:hAnsi="Century Gothic"/>
          <w:szCs w:val="22"/>
        </w:rPr>
        <w:tab/>
      </w:r>
      <w:r w:rsidRPr="001F4B6A">
        <w:rPr>
          <w:rFonts w:ascii="Century Gothic" w:eastAsia="MS PGothic" w:hAnsi="Century Gothic"/>
          <w:szCs w:val="22"/>
        </w:rPr>
        <w:tab/>
      </w:r>
    </w:p>
    <w:p w14:paraId="4EB91916" w14:textId="4D0BA7FF" w:rsidR="4F19B4E9" w:rsidRPr="001F4B6A" w:rsidRDefault="003213EF" w:rsidP="4F19B4E9">
      <w:pPr>
        <w:rPr>
          <w:rFonts w:ascii="Century Gothic" w:eastAsia="MS PGothic" w:hAnsi="Century Gothic"/>
          <w:szCs w:val="22"/>
        </w:rPr>
      </w:pPr>
      <w:r w:rsidRPr="001F4B6A">
        <w:rPr>
          <w:rFonts w:ascii="Century Gothic" w:eastAsia="MS PGothic" w:hAnsi="Century Gothic"/>
          <w:szCs w:val="22"/>
        </w:rPr>
        <w:tab/>
      </w:r>
      <w:r w:rsidRPr="001F4B6A">
        <w:rPr>
          <w:rFonts w:ascii="Century Gothic" w:eastAsia="MS PGothic" w:hAnsi="Century Gothic"/>
          <w:szCs w:val="22"/>
        </w:rPr>
        <w:tab/>
      </w:r>
      <w:r w:rsidRPr="001F4B6A">
        <w:rPr>
          <w:rFonts w:ascii="Century Gothic" w:eastAsia="MS PGothic" w:hAnsi="Century Gothic"/>
          <w:szCs w:val="22"/>
        </w:rPr>
        <w:tab/>
      </w:r>
      <w:r w:rsidRPr="001F4B6A">
        <w:rPr>
          <w:rFonts w:ascii="Century Gothic" w:eastAsia="MS PGothic" w:hAnsi="Century Gothic"/>
          <w:szCs w:val="22"/>
        </w:rPr>
        <w:tab/>
      </w:r>
    </w:p>
    <w:p w14:paraId="73FDFD51" w14:textId="77777777" w:rsidR="0005602C" w:rsidRPr="001F4B6A" w:rsidRDefault="0005602C" w:rsidP="00CE5F52">
      <w:pPr>
        <w:rPr>
          <w:rFonts w:ascii="Century Gothic" w:eastAsia="MS PGothic" w:hAnsi="Century Gothic"/>
          <w:szCs w:val="22"/>
        </w:rPr>
      </w:pPr>
    </w:p>
    <w:p w14:paraId="1FFB3D9C" w14:textId="28686067" w:rsidR="000E3915" w:rsidRDefault="002627CF" w:rsidP="433078B2">
      <w:pPr>
        <w:spacing w:line="264" w:lineRule="auto"/>
        <w:jc w:val="both"/>
        <w:rPr>
          <w:rFonts w:ascii="Century Gothic" w:eastAsia="MS PGothic" w:hAnsi="Century Gothic"/>
          <w:noProof/>
          <w:szCs w:val="22"/>
        </w:rPr>
      </w:pPr>
      <w:r w:rsidRPr="002627CF">
        <w:rPr>
          <w:rFonts w:ascii="Century Gothic" w:eastAsia="MS PGothic" w:hAnsi="Century Gothic"/>
          <w:noProof/>
          <w:szCs w:val="22"/>
        </w:rPr>
        <w:t xml:space="preserve"> </w:t>
      </w:r>
      <w:r w:rsidRPr="001F4B6A">
        <w:rPr>
          <w:rFonts w:ascii="Century Gothic" w:eastAsia="MS PGothic" w:hAnsi="Century Gothic"/>
          <w:noProof/>
          <w:szCs w:val="22"/>
        </w:rPr>
        <w:drawing>
          <wp:inline distT="0" distB="0" distL="0" distR="0" wp14:anchorId="2B8D05F1" wp14:editId="5C29BCED">
            <wp:extent cx="2023698" cy="1726251"/>
            <wp:effectExtent l="0" t="0" r="0" b="7620"/>
            <wp:docPr id="1506659012" name="Picture 10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 pie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3698" cy="1726251"/>
                    </a:xfrm>
                    <a:prstGeom prst="rect">
                      <a:avLst/>
                    </a:prstGeom>
                    <a:noFill/>
                    <a:ln>
                      <a:noFill/>
                    </a:ln>
                  </pic:spPr>
                </pic:pic>
              </a:graphicData>
            </a:graphic>
          </wp:inline>
        </w:drawing>
      </w:r>
    </w:p>
    <w:p w14:paraId="6F594D8A" w14:textId="6A70416B" w:rsidR="000E3915" w:rsidRPr="000E3915" w:rsidRDefault="000E3915" w:rsidP="433078B2">
      <w:pPr>
        <w:spacing w:line="264" w:lineRule="auto"/>
        <w:jc w:val="both"/>
        <w:rPr>
          <w:rFonts w:ascii="Century Gothic" w:eastAsia="Times New Roman" w:hAnsi="Century Gothic"/>
          <w:b/>
          <w:bCs/>
          <w:i/>
          <w:iCs/>
          <w:color w:val="000000" w:themeColor="text1"/>
          <w:szCs w:val="22"/>
        </w:rPr>
      </w:pPr>
      <w:r w:rsidRPr="000E3915">
        <w:rPr>
          <w:rFonts w:ascii="Century Gothic" w:eastAsia="MS PGothic" w:hAnsi="Century Gothic"/>
          <w:b/>
          <w:bCs/>
          <w:i/>
          <w:iCs/>
          <w:noProof/>
          <w:szCs w:val="22"/>
        </w:rPr>
        <w:t>Participant Highlights</w:t>
      </w:r>
    </w:p>
    <w:p w14:paraId="204FEC9F" w14:textId="7135AD3C" w:rsidR="007B2C89" w:rsidRPr="0048174B" w:rsidRDefault="00DB4BC4" w:rsidP="003E55B0">
      <w:pPr>
        <w:jc w:val="both"/>
        <w:rPr>
          <w:rFonts w:ascii="Century Gothic" w:eastAsia="Calibri" w:hAnsi="Century Gothic" w:cs="Calibri"/>
          <w:b/>
          <w:bCs/>
          <w:szCs w:val="22"/>
        </w:rPr>
      </w:pPr>
      <w:r w:rsidRPr="0048174B">
        <w:rPr>
          <w:rFonts w:ascii="Century Gothic" w:hAnsi="Century Gothic"/>
          <w:noProof/>
          <w:szCs w:val="22"/>
        </w:rPr>
        <mc:AlternateContent>
          <mc:Choice Requires="wps">
            <w:drawing>
              <wp:anchor distT="91440" distB="91440" distL="114300" distR="114300" simplePos="0" relativeHeight="251658276" behindDoc="0" locked="0" layoutInCell="1" allowOverlap="1" wp14:anchorId="6CE3DF83" wp14:editId="5F519EE9">
                <wp:simplePos x="0" y="0"/>
                <wp:positionH relativeFrom="page">
                  <wp:posOffset>1550035</wp:posOffset>
                </wp:positionH>
                <wp:positionV relativeFrom="paragraph">
                  <wp:posOffset>272415</wp:posOffset>
                </wp:positionV>
                <wp:extent cx="4928870" cy="1212215"/>
                <wp:effectExtent l="0" t="0" r="0" b="0"/>
                <wp:wrapTopAndBottom/>
                <wp:docPr id="5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1212215"/>
                        </a:xfrm>
                        <a:prstGeom prst="rect">
                          <a:avLst/>
                        </a:prstGeom>
                        <a:noFill/>
                        <a:ln w="9525">
                          <a:noFill/>
                          <a:miter lim="800000"/>
                          <a:headEnd/>
                          <a:tailEnd/>
                        </a:ln>
                      </wps:spPr>
                      <wps:txbx>
                        <w:txbxContent>
                          <w:p w14:paraId="487E68B3" w14:textId="74ECABC0" w:rsidR="00A66F9B" w:rsidRPr="0048174B" w:rsidRDefault="00B3255C" w:rsidP="00DA49D6">
                            <w:pPr>
                              <w:pBdr>
                                <w:top w:val="single" w:sz="24" w:space="1" w:color="B7A241" w:themeColor="accent1"/>
                                <w:bottom w:val="single" w:sz="24" w:space="8" w:color="B7A241" w:themeColor="accent1"/>
                              </w:pBdr>
                              <w:rPr>
                                <w:rFonts w:ascii="Century Gothic" w:hAnsi="Century Gothic"/>
                                <w:i/>
                                <w:iCs/>
                                <w:color w:val="B7A241" w:themeColor="accent1"/>
                                <w:szCs w:val="22"/>
                              </w:rPr>
                            </w:pPr>
                            <w:r>
                              <w:rPr>
                                <w:i/>
                                <w:iCs/>
                                <w:color w:val="B7A241" w:themeColor="accent1"/>
                                <w:sz w:val="24"/>
                              </w:rPr>
                              <w:t xml:space="preserve"> </w:t>
                            </w:r>
                            <w:r w:rsidR="00445560" w:rsidRPr="0048174B">
                              <w:rPr>
                                <w:rFonts w:ascii="Century Gothic" w:hAnsi="Century Gothic"/>
                                <w:i/>
                                <w:iCs/>
                                <w:color w:val="B7A241" w:themeColor="accent1"/>
                                <w:szCs w:val="22"/>
                              </w:rPr>
                              <w:t xml:space="preserve">A </w:t>
                            </w:r>
                            <w:r w:rsidR="005A5DEC" w:rsidRPr="0048174B">
                              <w:rPr>
                                <w:rFonts w:ascii="Century Gothic" w:hAnsi="Century Gothic"/>
                                <w:i/>
                                <w:iCs/>
                                <w:color w:val="B7A241" w:themeColor="accent1"/>
                                <w:szCs w:val="22"/>
                              </w:rPr>
                              <w:t xml:space="preserve">husband and </w:t>
                            </w:r>
                            <w:r w:rsidR="00DB4BC4" w:rsidRPr="00DB4BC4">
                              <w:rPr>
                                <w:rFonts w:ascii="Century Gothic" w:hAnsi="Century Gothic"/>
                                <w:i/>
                                <w:iCs/>
                                <w:color w:val="B7A241" w:themeColor="accent1"/>
                                <w:szCs w:val="22"/>
                              </w:rPr>
                              <w:t>wife began</w:t>
                            </w:r>
                            <w:r w:rsidR="00BB6F4C" w:rsidRPr="0048174B">
                              <w:rPr>
                                <w:rFonts w:ascii="Century Gothic" w:hAnsi="Century Gothic"/>
                                <w:i/>
                                <w:iCs/>
                                <w:color w:val="B7A241" w:themeColor="accent1"/>
                                <w:szCs w:val="22"/>
                              </w:rPr>
                              <w:t xml:space="preserve"> the program</w:t>
                            </w:r>
                            <w:r w:rsidR="00330C99">
                              <w:rPr>
                                <w:rFonts w:ascii="Century Gothic" w:hAnsi="Century Gothic"/>
                                <w:i/>
                                <w:iCs/>
                                <w:color w:val="B7A241" w:themeColor="accent1"/>
                                <w:szCs w:val="22"/>
                              </w:rPr>
                              <w:t>, both</w:t>
                            </w:r>
                            <w:r w:rsidR="00BB6F4C" w:rsidRPr="0048174B">
                              <w:rPr>
                                <w:rFonts w:ascii="Century Gothic" w:hAnsi="Century Gothic"/>
                                <w:i/>
                                <w:iCs/>
                                <w:color w:val="B7A241" w:themeColor="accent1"/>
                                <w:szCs w:val="22"/>
                              </w:rPr>
                              <w:t xml:space="preserve"> unemployed and now </w:t>
                            </w:r>
                            <w:r w:rsidR="00FE087E">
                              <w:rPr>
                                <w:rFonts w:ascii="Century Gothic" w:hAnsi="Century Gothic"/>
                                <w:i/>
                                <w:iCs/>
                                <w:color w:val="B7A241" w:themeColor="accent1"/>
                                <w:szCs w:val="22"/>
                              </w:rPr>
                              <w:t xml:space="preserve">they both </w:t>
                            </w:r>
                            <w:r w:rsidR="00BB6F4C" w:rsidRPr="0048174B">
                              <w:rPr>
                                <w:rFonts w:ascii="Century Gothic" w:hAnsi="Century Gothic"/>
                                <w:i/>
                                <w:iCs/>
                                <w:color w:val="B7A241" w:themeColor="accent1"/>
                                <w:szCs w:val="22"/>
                              </w:rPr>
                              <w:t>have full time employment</w:t>
                            </w:r>
                            <w:r w:rsidR="00A63EC3" w:rsidRPr="0048174B">
                              <w:rPr>
                                <w:rFonts w:ascii="Century Gothic" w:hAnsi="Century Gothic"/>
                                <w:i/>
                                <w:iCs/>
                                <w:color w:val="B7A241" w:themeColor="accent1"/>
                                <w:szCs w:val="22"/>
                              </w:rPr>
                              <w:t>.  They raised their credi</w:t>
                            </w:r>
                            <w:r w:rsidR="00EA4C07" w:rsidRPr="0048174B">
                              <w:rPr>
                                <w:rFonts w:ascii="Century Gothic" w:hAnsi="Century Gothic"/>
                                <w:i/>
                                <w:iCs/>
                                <w:color w:val="B7A241" w:themeColor="accent1"/>
                                <w:szCs w:val="22"/>
                              </w:rPr>
                              <w:t>t scores from the 500 to 7</w:t>
                            </w:r>
                            <w:r w:rsidR="0058291A" w:rsidRPr="0048174B">
                              <w:rPr>
                                <w:rFonts w:ascii="Century Gothic" w:hAnsi="Century Gothic"/>
                                <w:i/>
                                <w:iCs/>
                                <w:color w:val="B7A241" w:themeColor="accent1"/>
                                <w:szCs w:val="22"/>
                              </w:rPr>
                              <w:t>20</w:t>
                            </w:r>
                            <w:r w:rsidR="00FE087E">
                              <w:rPr>
                                <w:rFonts w:ascii="Century Gothic" w:hAnsi="Century Gothic"/>
                                <w:i/>
                                <w:iCs/>
                                <w:color w:val="B7A241" w:themeColor="accent1"/>
                                <w:szCs w:val="22"/>
                              </w:rPr>
                              <w:t>,</w:t>
                            </w:r>
                            <w:r w:rsidR="00FC065E" w:rsidRPr="0048174B">
                              <w:rPr>
                                <w:rFonts w:ascii="Century Gothic" w:hAnsi="Century Gothic"/>
                                <w:i/>
                                <w:iCs/>
                                <w:color w:val="B7A241" w:themeColor="accent1"/>
                                <w:szCs w:val="22"/>
                              </w:rPr>
                              <w:t xml:space="preserve"> </w:t>
                            </w:r>
                            <w:r w:rsidR="00DB4BC4" w:rsidRPr="00DB4BC4">
                              <w:rPr>
                                <w:rFonts w:ascii="Century Gothic" w:hAnsi="Century Gothic"/>
                                <w:i/>
                                <w:iCs/>
                                <w:color w:val="B7A241" w:themeColor="accent1"/>
                                <w:szCs w:val="22"/>
                              </w:rPr>
                              <w:t>saved $</w:t>
                            </w:r>
                            <w:r w:rsidR="00FC065E" w:rsidRPr="0048174B">
                              <w:rPr>
                                <w:rFonts w:ascii="Century Gothic" w:hAnsi="Century Gothic"/>
                                <w:i/>
                                <w:iCs/>
                                <w:color w:val="B7A241" w:themeColor="accent1"/>
                                <w:szCs w:val="22"/>
                              </w:rPr>
                              <w:t>4</w:t>
                            </w:r>
                            <w:r w:rsidR="0058291A" w:rsidRPr="0048174B">
                              <w:rPr>
                                <w:rFonts w:ascii="Century Gothic" w:hAnsi="Century Gothic"/>
                                <w:i/>
                                <w:iCs/>
                                <w:color w:val="B7A241" w:themeColor="accent1"/>
                                <w:szCs w:val="22"/>
                              </w:rPr>
                              <w:t>7</w:t>
                            </w:r>
                            <w:r w:rsidR="00FC065E" w:rsidRPr="0048174B">
                              <w:rPr>
                                <w:rFonts w:ascii="Century Gothic" w:hAnsi="Century Gothic"/>
                                <w:i/>
                                <w:iCs/>
                                <w:color w:val="B7A241" w:themeColor="accent1"/>
                                <w:szCs w:val="22"/>
                              </w:rPr>
                              <w:t>,000</w:t>
                            </w:r>
                            <w:r w:rsidR="0058291A" w:rsidRPr="0048174B">
                              <w:rPr>
                                <w:rFonts w:ascii="Century Gothic" w:hAnsi="Century Gothic"/>
                                <w:i/>
                                <w:iCs/>
                                <w:color w:val="B7A241" w:themeColor="accent1"/>
                                <w:szCs w:val="22"/>
                              </w:rPr>
                              <w:t xml:space="preserve"> and accumulated $6942 in their REEF account</w:t>
                            </w:r>
                            <w:r w:rsidR="00694644" w:rsidRPr="0048174B">
                              <w:rPr>
                                <w:rFonts w:ascii="Century Gothic" w:hAnsi="Century Gothic"/>
                                <w:i/>
                                <w:iCs/>
                                <w:color w:val="B7A241" w:themeColor="accent1"/>
                                <w:szCs w:val="22"/>
                              </w:rPr>
                              <w:t>.  They have graduated and p</w:t>
                            </w:r>
                            <w:r w:rsidR="0097511D" w:rsidRPr="0048174B">
                              <w:rPr>
                                <w:rFonts w:ascii="Century Gothic" w:hAnsi="Century Gothic"/>
                                <w:i/>
                                <w:iCs/>
                                <w:color w:val="B7A241" w:themeColor="accent1"/>
                                <w:szCs w:val="22"/>
                              </w:rPr>
                              <w:t>urchased a home</w:t>
                            </w:r>
                            <w:r w:rsidR="0058291A" w:rsidRPr="0048174B">
                              <w:rPr>
                                <w:rFonts w:ascii="Century Gothic" w:hAnsi="Century Gothic"/>
                                <w:i/>
                                <w:iCs/>
                                <w:color w:val="B7A241" w:themeColor="accent1"/>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3DF83" id="Text Box 105" o:spid="_x0000_s1081" type="#_x0000_t202" style="position:absolute;left:0;text-align:left;margin-left:122.05pt;margin-top:21.45pt;width:388.1pt;height:95.45pt;z-index:2516582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" filled="f" stroked="f">
                <v:textbox style="mso-fit-shape-to-text:t">
                  <w:txbxContent>
                    <w:p w14:paraId="487E68B3" w14:textId="74ECABC0" w:rsidR="00A66F9B" w:rsidRPr="0048174B" w:rsidRDefault="00B3255C" w:rsidP="00DA49D6">
                      <w:pPr>
                        <w:pBdr>
                          <w:top w:val="single" w:sz="24" w:space="1" w:color="B7A241" w:themeColor="accent1"/>
                          <w:bottom w:val="single" w:sz="24" w:space="8" w:color="B7A241" w:themeColor="accent1"/>
                        </w:pBdr>
                        <w:rPr>
                          <w:rFonts w:ascii="Century Gothic" w:hAnsi="Century Gothic"/>
                          <w:i/>
                          <w:iCs/>
                          <w:color w:val="B7A241" w:themeColor="accent1"/>
                          <w:szCs w:val="22"/>
                        </w:rPr>
                      </w:pPr>
                      <w:r>
                        <w:rPr>
                          <w:i/>
                          <w:iCs/>
                          <w:color w:val="B7A241" w:themeColor="accent1"/>
                          <w:sz w:val="24"/>
                        </w:rPr>
                        <w:t xml:space="preserve"> </w:t>
                      </w:r>
                      <w:r w:rsidR="00445560" w:rsidRPr="0048174B">
                        <w:rPr>
                          <w:rFonts w:ascii="Century Gothic" w:hAnsi="Century Gothic"/>
                          <w:i/>
                          <w:iCs/>
                          <w:color w:val="B7A241" w:themeColor="accent1"/>
                          <w:szCs w:val="22"/>
                        </w:rPr>
                        <w:t xml:space="preserve">A </w:t>
                      </w:r>
                      <w:r w:rsidR="005A5DEC" w:rsidRPr="0048174B">
                        <w:rPr>
                          <w:rFonts w:ascii="Century Gothic" w:hAnsi="Century Gothic"/>
                          <w:i/>
                          <w:iCs/>
                          <w:color w:val="B7A241" w:themeColor="accent1"/>
                          <w:szCs w:val="22"/>
                        </w:rPr>
                        <w:t xml:space="preserve">husband and </w:t>
                      </w:r>
                      <w:r w:rsidR="00DB4BC4" w:rsidRPr="00DB4BC4">
                        <w:rPr>
                          <w:rFonts w:ascii="Century Gothic" w:hAnsi="Century Gothic"/>
                          <w:i/>
                          <w:iCs/>
                          <w:color w:val="B7A241" w:themeColor="accent1"/>
                          <w:szCs w:val="22"/>
                        </w:rPr>
                        <w:t>wife began</w:t>
                      </w:r>
                      <w:r w:rsidR="00BB6F4C" w:rsidRPr="0048174B">
                        <w:rPr>
                          <w:rFonts w:ascii="Century Gothic" w:hAnsi="Century Gothic"/>
                          <w:i/>
                          <w:iCs/>
                          <w:color w:val="B7A241" w:themeColor="accent1"/>
                          <w:szCs w:val="22"/>
                        </w:rPr>
                        <w:t xml:space="preserve"> the program</w:t>
                      </w:r>
                      <w:r w:rsidR="00330C99">
                        <w:rPr>
                          <w:rFonts w:ascii="Century Gothic" w:hAnsi="Century Gothic"/>
                          <w:i/>
                          <w:iCs/>
                          <w:color w:val="B7A241" w:themeColor="accent1"/>
                          <w:szCs w:val="22"/>
                        </w:rPr>
                        <w:t>, both</w:t>
                      </w:r>
                      <w:r w:rsidR="00BB6F4C" w:rsidRPr="0048174B">
                        <w:rPr>
                          <w:rFonts w:ascii="Century Gothic" w:hAnsi="Century Gothic"/>
                          <w:i/>
                          <w:iCs/>
                          <w:color w:val="B7A241" w:themeColor="accent1"/>
                          <w:szCs w:val="22"/>
                        </w:rPr>
                        <w:t xml:space="preserve"> unemployed and now </w:t>
                      </w:r>
                      <w:r w:rsidR="00FE087E">
                        <w:rPr>
                          <w:rFonts w:ascii="Century Gothic" w:hAnsi="Century Gothic"/>
                          <w:i/>
                          <w:iCs/>
                          <w:color w:val="B7A241" w:themeColor="accent1"/>
                          <w:szCs w:val="22"/>
                        </w:rPr>
                        <w:t xml:space="preserve">they both </w:t>
                      </w:r>
                      <w:r w:rsidR="00BB6F4C" w:rsidRPr="0048174B">
                        <w:rPr>
                          <w:rFonts w:ascii="Century Gothic" w:hAnsi="Century Gothic"/>
                          <w:i/>
                          <w:iCs/>
                          <w:color w:val="B7A241" w:themeColor="accent1"/>
                          <w:szCs w:val="22"/>
                        </w:rPr>
                        <w:t>have full time employment</w:t>
                      </w:r>
                      <w:r w:rsidR="00A63EC3" w:rsidRPr="0048174B">
                        <w:rPr>
                          <w:rFonts w:ascii="Century Gothic" w:hAnsi="Century Gothic"/>
                          <w:i/>
                          <w:iCs/>
                          <w:color w:val="B7A241" w:themeColor="accent1"/>
                          <w:szCs w:val="22"/>
                        </w:rPr>
                        <w:t>.  They raised their credi</w:t>
                      </w:r>
                      <w:r w:rsidR="00EA4C07" w:rsidRPr="0048174B">
                        <w:rPr>
                          <w:rFonts w:ascii="Century Gothic" w:hAnsi="Century Gothic"/>
                          <w:i/>
                          <w:iCs/>
                          <w:color w:val="B7A241" w:themeColor="accent1"/>
                          <w:szCs w:val="22"/>
                        </w:rPr>
                        <w:t>t scores from the 500 to 7</w:t>
                      </w:r>
                      <w:r w:rsidR="0058291A" w:rsidRPr="0048174B">
                        <w:rPr>
                          <w:rFonts w:ascii="Century Gothic" w:hAnsi="Century Gothic"/>
                          <w:i/>
                          <w:iCs/>
                          <w:color w:val="B7A241" w:themeColor="accent1"/>
                          <w:szCs w:val="22"/>
                        </w:rPr>
                        <w:t>20</w:t>
                      </w:r>
                      <w:r w:rsidR="00FE087E">
                        <w:rPr>
                          <w:rFonts w:ascii="Century Gothic" w:hAnsi="Century Gothic"/>
                          <w:i/>
                          <w:iCs/>
                          <w:color w:val="B7A241" w:themeColor="accent1"/>
                          <w:szCs w:val="22"/>
                        </w:rPr>
                        <w:t>,</w:t>
                      </w:r>
                      <w:r w:rsidR="00FC065E" w:rsidRPr="0048174B">
                        <w:rPr>
                          <w:rFonts w:ascii="Century Gothic" w:hAnsi="Century Gothic"/>
                          <w:i/>
                          <w:iCs/>
                          <w:color w:val="B7A241" w:themeColor="accent1"/>
                          <w:szCs w:val="22"/>
                        </w:rPr>
                        <w:t xml:space="preserve"> </w:t>
                      </w:r>
                      <w:r w:rsidR="00DB4BC4" w:rsidRPr="00DB4BC4">
                        <w:rPr>
                          <w:rFonts w:ascii="Century Gothic" w:hAnsi="Century Gothic"/>
                          <w:i/>
                          <w:iCs/>
                          <w:color w:val="B7A241" w:themeColor="accent1"/>
                          <w:szCs w:val="22"/>
                        </w:rPr>
                        <w:t>saved $</w:t>
                      </w:r>
                      <w:r w:rsidR="00FC065E" w:rsidRPr="0048174B">
                        <w:rPr>
                          <w:rFonts w:ascii="Century Gothic" w:hAnsi="Century Gothic"/>
                          <w:i/>
                          <w:iCs/>
                          <w:color w:val="B7A241" w:themeColor="accent1"/>
                          <w:szCs w:val="22"/>
                        </w:rPr>
                        <w:t>4</w:t>
                      </w:r>
                      <w:r w:rsidR="0058291A" w:rsidRPr="0048174B">
                        <w:rPr>
                          <w:rFonts w:ascii="Century Gothic" w:hAnsi="Century Gothic"/>
                          <w:i/>
                          <w:iCs/>
                          <w:color w:val="B7A241" w:themeColor="accent1"/>
                          <w:szCs w:val="22"/>
                        </w:rPr>
                        <w:t>7</w:t>
                      </w:r>
                      <w:r w:rsidR="00FC065E" w:rsidRPr="0048174B">
                        <w:rPr>
                          <w:rFonts w:ascii="Century Gothic" w:hAnsi="Century Gothic"/>
                          <w:i/>
                          <w:iCs/>
                          <w:color w:val="B7A241" w:themeColor="accent1"/>
                          <w:szCs w:val="22"/>
                        </w:rPr>
                        <w:t>,000</w:t>
                      </w:r>
                      <w:r w:rsidR="0058291A" w:rsidRPr="0048174B">
                        <w:rPr>
                          <w:rFonts w:ascii="Century Gothic" w:hAnsi="Century Gothic"/>
                          <w:i/>
                          <w:iCs/>
                          <w:color w:val="B7A241" w:themeColor="accent1"/>
                          <w:szCs w:val="22"/>
                        </w:rPr>
                        <w:t xml:space="preserve"> and accumulated $6942 in their REEF account</w:t>
                      </w:r>
                      <w:r w:rsidR="00694644" w:rsidRPr="0048174B">
                        <w:rPr>
                          <w:rFonts w:ascii="Century Gothic" w:hAnsi="Century Gothic"/>
                          <w:i/>
                          <w:iCs/>
                          <w:color w:val="B7A241" w:themeColor="accent1"/>
                          <w:szCs w:val="22"/>
                        </w:rPr>
                        <w:t>.  They have graduated and p</w:t>
                      </w:r>
                      <w:r w:rsidR="0097511D" w:rsidRPr="0048174B">
                        <w:rPr>
                          <w:rFonts w:ascii="Century Gothic" w:hAnsi="Century Gothic"/>
                          <w:i/>
                          <w:iCs/>
                          <w:color w:val="B7A241" w:themeColor="accent1"/>
                          <w:szCs w:val="22"/>
                        </w:rPr>
                        <w:t>urchased a home</w:t>
                      </w:r>
                      <w:r w:rsidR="0058291A" w:rsidRPr="0048174B">
                        <w:rPr>
                          <w:rFonts w:ascii="Century Gothic" w:hAnsi="Century Gothic"/>
                          <w:i/>
                          <w:iCs/>
                          <w:color w:val="B7A241" w:themeColor="accent1"/>
                          <w:szCs w:val="22"/>
                        </w:rPr>
                        <w:t>.</w:t>
                      </w:r>
                    </w:p>
                  </w:txbxContent>
                </v:textbox>
                <w10:wrap type="topAndBottom" anchorx="page"/>
              </v:shape>
            </w:pict>
          </mc:Fallback>
        </mc:AlternateContent>
      </w:r>
      <w:r w:rsidR="3ECF25AD" w:rsidRPr="0048174B">
        <w:rPr>
          <w:rFonts w:ascii="Century Gothic" w:hAnsi="Century Gothic"/>
          <w:szCs w:val="22"/>
        </w:rPr>
        <w:tab/>
      </w:r>
      <w:r w:rsidR="1B4A8018" w:rsidRPr="0048174B">
        <w:rPr>
          <w:rFonts w:ascii="Century Gothic" w:eastAsia="Times New Roman" w:hAnsi="Century Gothic"/>
          <w:szCs w:val="22"/>
        </w:rPr>
        <w:t xml:space="preserve">  </w:t>
      </w:r>
      <w:r w:rsidR="1B4A8018" w:rsidRPr="0048174B">
        <w:rPr>
          <w:rFonts w:ascii="Century Gothic" w:eastAsia="Calibri" w:hAnsi="Century Gothic" w:cs="Calibri"/>
          <w:b/>
          <w:bCs/>
          <w:szCs w:val="22"/>
        </w:rPr>
        <w:t xml:space="preserve">                   </w:t>
      </w:r>
    </w:p>
    <w:p w14:paraId="3D4F8FDF" w14:textId="1F5EB8D3" w:rsidR="009E7473" w:rsidRPr="0048174B" w:rsidRDefault="009E7473" w:rsidP="009E7473">
      <w:pPr>
        <w:pBdr>
          <w:top w:val="single" w:sz="24" w:space="8" w:color="B7A241" w:themeColor="accent1"/>
          <w:bottom w:val="single" w:sz="24" w:space="8" w:color="B7A241" w:themeColor="accent1"/>
        </w:pBdr>
        <w:rPr>
          <w:rFonts w:ascii="Century Gothic" w:hAnsi="Century Gothic"/>
          <w:i/>
          <w:iCs/>
          <w:color w:val="B7A241" w:themeColor="accent1"/>
          <w:szCs w:val="22"/>
        </w:rPr>
      </w:pPr>
      <w:r w:rsidRPr="0048174B">
        <w:rPr>
          <w:rFonts w:ascii="Century Gothic" w:hAnsi="Century Gothic"/>
          <w:i/>
          <w:iCs/>
          <w:color w:val="B7A241" w:themeColor="accent1"/>
          <w:szCs w:val="22"/>
        </w:rPr>
        <w:t>A single father</w:t>
      </w:r>
      <w:r w:rsidR="00DB4BC4">
        <w:rPr>
          <w:rFonts w:ascii="Century Gothic" w:hAnsi="Century Gothic"/>
          <w:i/>
          <w:iCs/>
          <w:color w:val="B7A241" w:themeColor="accent1"/>
          <w:szCs w:val="22"/>
        </w:rPr>
        <w:t xml:space="preserve"> </w:t>
      </w:r>
      <w:r w:rsidRPr="0048174B">
        <w:rPr>
          <w:rFonts w:ascii="Century Gothic" w:hAnsi="Century Gothic"/>
          <w:i/>
          <w:iCs/>
          <w:color w:val="B7A241" w:themeColor="accent1"/>
          <w:szCs w:val="22"/>
        </w:rPr>
        <w:t>with one child in high school. Despite many challenges in his life</w:t>
      </w:r>
      <w:r w:rsidR="00DB4BC4">
        <w:rPr>
          <w:rFonts w:ascii="Century Gothic" w:hAnsi="Century Gothic"/>
          <w:i/>
          <w:iCs/>
          <w:color w:val="B7A241" w:themeColor="accent1"/>
          <w:szCs w:val="22"/>
        </w:rPr>
        <w:t>,</w:t>
      </w:r>
      <w:r w:rsidRPr="0048174B">
        <w:rPr>
          <w:rFonts w:ascii="Century Gothic" w:hAnsi="Century Gothic"/>
          <w:i/>
          <w:iCs/>
          <w:color w:val="B7A241" w:themeColor="accent1"/>
          <w:szCs w:val="22"/>
        </w:rPr>
        <w:t xml:space="preserve"> he is actively participating in CARES and has applied for a program to achieve his Bachelor of Arts degree.</w:t>
      </w:r>
    </w:p>
    <w:p w14:paraId="66D708DD" w14:textId="47471088" w:rsidR="7A65C128" w:rsidRPr="0048174B" w:rsidRDefault="7A65C128" w:rsidP="2A137AEF">
      <w:pPr>
        <w:rPr>
          <w:rFonts w:ascii="Century Gothic" w:eastAsia="Calibri" w:hAnsi="Century Gothic" w:cs="Calibri"/>
          <w:b/>
          <w:bCs/>
          <w:szCs w:val="22"/>
        </w:rPr>
      </w:pPr>
    </w:p>
    <w:p w14:paraId="40209D9F" w14:textId="3974F9AB" w:rsidR="004932B7" w:rsidRPr="0048174B" w:rsidRDefault="00FE087E" w:rsidP="004932B7">
      <w:pPr>
        <w:shd w:val="clear" w:color="auto" w:fill="FFFFFF" w:themeFill="background1"/>
        <w:jc w:val="both"/>
        <w:rPr>
          <w:rFonts w:ascii="Century Gothic" w:eastAsia="Times New Roman" w:hAnsi="Century Gothic"/>
          <w:i/>
          <w:iCs/>
          <w:color w:val="000000" w:themeColor="text1"/>
          <w:szCs w:val="22"/>
        </w:rPr>
      </w:pPr>
      <w:r w:rsidRPr="002A13CF">
        <w:rPr>
          <w:rFonts w:ascii="Century Gothic" w:hAnsi="Century Gothic"/>
          <w:i/>
          <w:iCs/>
          <w:color w:val="B7A241" w:themeColor="accent1"/>
          <w:szCs w:val="22"/>
        </w:rPr>
        <w:t xml:space="preserve">A </w:t>
      </w:r>
      <w:r>
        <w:rPr>
          <w:rFonts w:ascii="Century Gothic" w:hAnsi="Century Gothic"/>
          <w:i/>
          <w:iCs/>
          <w:color w:val="B7A241" w:themeColor="accent1"/>
          <w:szCs w:val="22"/>
        </w:rPr>
        <w:t xml:space="preserve">family </w:t>
      </w:r>
      <w:r w:rsidR="007A14EB">
        <w:rPr>
          <w:rFonts w:ascii="Century Gothic" w:hAnsi="Century Gothic"/>
          <w:i/>
          <w:iCs/>
          <w:color w:val="B7A241" w:themeColor="accent1"/>
          <w:szCs w:val="22"/>
        </w:rPr>
        <w:t xml:space="preserve">purchased a </w:t>
      </w:r>
      <w:r w:rsidR="008B3C4E">
        <w:rPr>
          <w:rFonts w:ascii="Century Gothic" w:hAnsi="Century Gothic"/>
          <w:i/>
          <w:iCs/>
          <w:color w:val="B7A241" w:themeColor="accent1"/>
          <w:szCs w:val="22"/>
        </w:rPr>
        <w:t xml:space="preserve">“fixer upper” HUD </w:t>
      </w:r>
      <w:r w:rsidR="007A14EB">
        <w:rPr>
          <w:rFonts w:ascii="Century Gothic" w:hAnsi="Century Gothic"/>
          <w:i/>
          <w:iCs/>
          <w:color w:val="B7A241" w:themeColor="accent1"/>
          <w:szCs w:val="22"/>
        </w:rPr>
        <w:t xml:space="preserve">home </w:t>
      </w:r>
      <w:r w:rsidR="00935F99">
        <w:rPr>
          <w:rFonts w:ascii="Century Gothic" w:hAnsi="Century Gothic"/>
          <w:i/>
          <w:iCs/>
          <w:color w:val="B7A241" w:themeColor="accent1"/>
          <w:szCs w:val="22"/>
        </w:rPr>
        <w:t xml:space="preserve">at an auction </w:t>
      </w:r>
      <w:r w:rsidR="00751402">
        <w:rPr>
          <w:rFonts w:ascii="Century Gothic" w:hAnsi="Century Gothic"/>
          <w:i/>
          <w:iCs/>
          <w:color w:val="B7A241" w:themeColor="accent1"/>
          <w:szCs w:val="22"/>
        </w:rPr>
        <w:t>with a rehabilitation loan</w:t>
      </w:r>
      <w:r w:rsidR="00935F99">
        <w:rPr>
          <w:rFonts w:ascii="Century Gothic" w:hAnsi="Century Gothic"/>
          <w:i/>
          <w:iCs/>
          <w:color w:val="B7A241" w:themeColor="accent1"/>
          <w:szCs w:val="22"/>
        </w:rPr>
        <w:t xml:space="preserve"> and was able </w:t>
      </w:r>
      <w:r w:rsidR="00223354">
        <w:rPr>
          <w:rFonts w:ascii="Century Gothic" w:hAnsi="Century Gothic"/>
          <w:i/>
          <w:iCs/>
          <w:color w:val="B7A241" w:themeColor="accent1"/>
          <w:szCs w:val="22"/>
        </w:rPr>
        <w:t xml:space="preserve">to </w:t>
      </w:r>
      <w:r w:rsidR="00C77570">
        <w:rPr>
          <w:rFonts w:ascii="Century Gothic" w:hAnsi="Century Gothic"/>
          <w:i/>
          <w:iCs/>
          <w:color w:val="B7A241" w:themeColor="accent1"/>
          <w:szCs w:val="22"/>
        </w:rPr>
        <w:t xml:space="preserve">make </w:t>
      </w:r>
      <w:r w:rsidR="005074EA" w:rsidRPr="002A13CF">
        <w:rPr>
          <w:rFonts w:ascii="Century Gothic" w:eastAsia="Times New Roman" w:hAnsi="Century Gothic"/>
          <w:i/>
          <w:iCs/>
          <w:color w:val="000000" w:themeColor="text1"/>
          <w:szCs w:val="22"/>
        </w:rPr>
        <w:t xml:space="preserve">renovations to the home before moving in.  </w:t>
      </w:r>
      <w:r w:rsidR="004932B7" w:rsidRPr="0048174B">
        <w:rPr>
          <w:rFonts w:ascii="Century Gothic" w:eastAsia="Times New Roman" w:hAnsi="Century Gothic"/>
          <w:i/>
          <w:iCs/>
          <w:color w:val="000000" w:themeColor="text1"/>
          <w:szCs w:val="22"/>
        </w:rPr>
        <w:t xml:space="preserve">While in the CARES program, they had access to several mortgage brokers, workshops and one-on-one counseling. They </w:t>
      </w:r>
      <w:r w:rsidR="001669CB" w:rsidRPr="0048174B">
        <w:rPr>
          <w:rFonts w:ascii="Century Gothic" w:eastAsia="Times New Roman" w:hAnsi="Century Gothic"/>
          <w:i/>
          <w:iCs/>
          <w:color w:val="000000" w:themeColor="text1"/>
          <w:szCs w:val="22"/>
        </w:rPr>
        <w:lastRenderedPageBreak/>
        <w:t>graduate from</w:t>
      </w:r>
      <w:r w:rsidR="004932B7" w:rsidRPr="0048174B">
        <w:rPr>
          <w:rFonts w:ascii="Century Gothic" w:eastAsia="Times New Roman" w:hAnsi="Century Gothic"/>
          <w:i/>
          <w:iCs/>
          <w:color w:val="000000" w:themeColor="text1"/>
          <w:szCs w:val="22"/>
        </w:rPr>
        <w:t xml:space="preserve"> the CARES program with credit</w:t>
      </w:r>
      <w:r w:rsidR="004932B7" w:rsidRPr="00601472">
        <w:rPr>
          <w:rFonts w:ascii="Century Gothic" w:eastAsia="Times New Roman" w:hAnsi="Century Gothic"/>
          <w:color w:val="000000" w:themeColor="text1"/>
          <w:szCs w:val="22"/>
        </w:rPr>
        <w:t xml:space="preserve"> score </w:t>
      </w:r>
      <w:r w:rsidR="004932B7" w:rsidRPr="0048174B">
        <w:rPr>
          <w:rFonts w:ascii="Century Gothic" w:eastAsia="Times New Roman" w:hAnsi="Century Gothic"/>
          <w:i/>
          <w:iCs/>
          <w:color w:val="000000" w:themeColor="text1"/>
          <w:szCs w:val="22"/>
        </w:rPr>
        <w:t>of 711</w:t>
      </w:r>
      <w:r w:rsidR="004932B7" w:rsidRPr="00601472">
        <w:rPr>
          <w:rFonts w:ascii="Century Gothic" w:eastAsia="Times New Roman" w:hAnsi="Century Gothic"/>
          <w:color w:val="000000" w:themeColor="text1"/>
          <w:szCs w:val="22"/>
        </w:rPr>
        <w:t xml:space="preserve">, personal savings </w:t>
      </w:r>
      <w:r w:rsidR="004932B7" w:rsidRPr="0048174B">
        <w:rPr>
          <w:rFonts w:ascii="Century Gothic" w:eastAsia="Times New Roman" w:hAnsi="Century Gothic"/>
          <w:i/>
          <w:iCs/>
          <w:color w:val="000000" w:themeColor="text1"/>
          <w:szCs w:val="22"/>
        </w:rPr>
        <w:t>of $24,000 and a REEF balance of $7,239.</w:t>
      </w:r>
    </w:p>
    <w:p w14:paraId="7A0A9F6D" w14:textId="35F9F9BF" w:rsidR="2C805A1A" w:rsidRPr="0048174B" w:rsidRDefault="2C805A1A" w:rsidP="2C805A1A">
      <w:pPr>
        <w:rPr>
          <w:rFonts w:ascii="Century Gothic" w:hAnsi="Century Gothic"/>
          <w:szCs w:val="22"/>
        </w:rPr>
      </w:pPr>
    </w:p>
    <w:p w14:paraId="08BE4467" w14:textId="75198CA2" w:rsidR="00CF332B" w:rsidRPr="0048174B" w:rsidRDefault="69E82A92" w:rsidP="4566E4F4">
      <w:pPr>
        <w:keepNext/>
        <w:keepLines/>
        <w:spacing w:before="120" w:after="80"/>
        <w:rPr>
          <w:rFonts w:ascii="Century Gothic" w:eastAsiaTheme="majorEastAsia" w:hAnsi="Century Gothic"/>
          <w:b/>
          <w:bCs/>
          <w:color w:val="808080" w:themeColor="background1" w:themeShade="80"/>
          <w:szCs w:val="22"/>
        </w:rPr>
      </w:pPr>
      <w:r w:rsidRPr="0048174B">
        <w:rPr>
          <w:rFonts w:ascii="Century Gothic" w:eastAsiaTheme="majorEastAsia" w:hAnsi="Century Gothic"/>
          <w:b/>
          <w:bCs/>
          <w:color w:val="808080" w:themeColor="background1" w:themeShade="80"/>
          <w:szCs w:val="22"/>
        </w:rPr>
        <w:t>Outcomes</w:t>
      </w:r>
    </w:p>
    <w:p w14:paraId="0652D1F4" w14:textId="2C1BF844" w:rsidR="00CF332B" w:rsidRPr="0048174B" w:rsidRDefault="00046DF3" w:rsidP="00CF332B">
      <w:pPr>
        <w:rPr>
          <w:rFonts w:ascii="Century Gothic" w:hAnsi="Century Gothic"/>
          <w:b/>
          <w:bCs/>
          <w:iCs/>
          <w:szCs w:val="22"/>
        </w:rPr>
      </w:pPr>
      <w:r>
        <w:rPr>
          <w:rFonts w:ascii="Century Gothic" w:hAnsi="Century Gothic"/>
          <w:b/>
          <w:bCs/>
          <w:iCs/>
          <w:szCs w:val="22"/>
        </w:rPr>
        <w:t>Internal</w:t>
      </w:r>
      <w:r w:rsidR="00CF332B" w:rsidRPr="0048174B">
        <w:rPr>
          <w:rFonts w:ascii="Century Gothic" w:hAnsi="Century Gothic"/>
          <w:b/>
          <w:bCs/>
          <w:iCs/>
          <w:szCs w:val="22"/>
        </w:rPr>
        <w:t xml:space="preserve"> Metrics</w:t>
      </w:r>
    </w:p>
    <w:p w14:paraId="324D2966" w14:textId="77777777" w:rsidR="00CF332B" w:rsidRPr="0048174B" w:rsidRDefault="00CF332B" w:rsidP="00CF332B">
      <w:pPr>
        <w:rPr>
          <w:rFonts w:ascii="Century Gothic" w:hAnsi="Century Gothic"/>
          <w:szCs w:val="22"/>
        </w:rPr>
      </w:pPr>
    </w:p>
    <w:tbl>
      <w:tblPr>
        <w:tblW w:w="10620" w:type="dxa"/>
        <w:tblInd w:w="90" w:type="dxa"/>
        <w:tblCellMar>
          <w:left w:w="0" w:type="dxa"/>
          <w:right w:w="0" w:type="dxa"/>
        </w:tblCellMar>
        <w:tblLook w:val="04A0" w:firstRow="1" w:lastRow="0" w:firstColumn="1" w:lastColumn="0" w:noHBand="0" w:noVBand="1"/>
      </w:tblPr>
      <w:tblGrid>
        <w:gridCol w:w="1727"/>
        <w:gridCol w:w="1446"/>
        <w:gridCol w:w="1734"/>
        <w:gridCol w:w="3381"/>
        <w:gridCol w:w="2332"/>
      </w:tblGrid>
      <w:tr w:rsidR="00CF332B" w:rsidRPr="002864AA" w14:paraId="2EC0A8B1" w14:textId="77777777" w:rsidTr="0189D8D6">
        <w:trPr>
          <w:trHeight w:val="296"/>
        </w:trPr>
        <w:tc>
          <w:tcPr>
            <w:tcW w:w="10620" w:type="dxa"/>
            <w:gridSpan w:val="5"/>
            <w:tcBorders>
              <w:top w:val="nil"/>
              <w:left w:val="nil"/>
              <w:bottom w:val="single" w:sz="24" w:space="0" w:color="A32F2E" w:themeColor="accent3" w:themeShade="BF"/>
              <w:right w:val="nil"/>
            </w:tcBorders>
            <w:shd w:val="clear" w:color="auto" w:fill="808080" w:themeFill="background1" w:themeFillShade="80"/>
            <w:tcMar>
              <w:top w:w="0" w:type="dxa"/>
              <w:left w:w="108" w:type="dxa"/>
              <w:bottom w:w="0" w:type="dxa"/>
              <w:right w:w="108" w:type="dxa"/>
            </w:tcMar>
            <w:hideMark/>
          </w:tcPr>
          <w:p w14:paraId="553A0AE4" w14:textId="77777777" w:rsidR="00CF332B" w:rsidRPr="0048174B" w:rsidRDefault="00CF332B" w:rsidP="00CF332B">
            <w:pPr>
              <w:jc w:val="center"/>
              <w:rPr>
                <w:rFonts w:ascii="Century Gothic" w:hAnsi="Century Gothic"/>
                <w:b/>
                <w:bCs/>
                <w:szCs w:val="22"/>
              </w:rPr>
            </w:pPr>
            <w:bookmarkStart w:id="140" w:name="_Hlk26781068"/>
            <w:r w:rsidRPr="0048174B">
              <w:rPr>
                <w:rFonts w:ascii="Century Gothic" w:hAnsi="Century Gothic"/>
                <w:b/>
                <w:bCs/>
                <w:szCs w:val="22"/>
              </w:rPr>
              <w:t>SS #1: Increase in Household Income</w:t>
            </w:r>
          </w:p>
        </w:tc>
      </w:tr>
      <w:tr w:rsidR="00CF332B" w:rsidRPr="002864AA" w14:paraId="1A1B42DC" w14:textId="77777777" w:rsidTr="0189D8D6">
        <w:trPr>
          <w:trHeight w:val="340"/>
        </w:trPr>
        <w:tc>
          <w:tcPr>
            <w:tcW w:w="1728" w:type="dxa"/>
            <w:tcBorders>
              <w:top w:val="single" w:sz="24" w:space="0" w:color="A32F2E" w:themeColor="accent3" w:themeShade="BF"/>
              <w:left w:val="nil"/>
              <w:bottom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30145C4D" w14:textId="77777777" w:rsidR="00CF332B" w:rsidRPr="00550C6E" w:rsidRDefault="00CF332B" w:rsidP="00CF332B">
            <w:pPr>
              <w:jc w:val="center"/>
              <w:rPr>
                <w:rFonts w:ascii="Century Gothic" w:hAnsi="Century Gothic"/>
                <w:b/>
                <w:bCs/>
                <w:szCs w:val="22"/>
              </w:rPr>
            </w:pPr>
            <w:r w:rsidRPr="00550C6E">
              <w:rPr>
                <w:rFonts w:ascii="Century Gothic" w:hAnsi="Century Gothic"/>
                <w:b/>
                <w:bCs/>
                <w:szCs w:val="22"/>
              </w:rPr>
              <w:t>Unit of Measurement</w:t>
            </w:r>
          </w:p>
        </w:tc>
        <w:tc>
          <w:tcPr>
            <w:tcW w:w="1436" w:type="dxa"/>
            <w:tcBorders>
              <w:top w:val="single" w:sz="24" w:space="0" w:color="A32F2E" w:themeColor="accent3" w:themeShade="BF"/>
              <w:left w:val="nil"/>
              <w:bottom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1825D330" w14:textId="77777777" w:rsidR="00CF332B" w:rsidRPr="00550C6E" w:rsidRDefault="7FF5A716" w:rsidP="35B498EC">
            <w:pPr>
              <w:jc w:val="center"/>
              <w:rPr>
                <w:rFonts w:ascii="Century Gothic" w:hAnsi="Century Gothic"/>
                <w:b/>
                <w:bCs/>
                <w:szCs w:val="22"/>
              </w:rPr>
            </w:pPr>
            <w:r w:rsidRPr="00550C6E">
              <w:rPr>
                <w:rFonts w:ascii="Century Gothic" w:hAnsi="Century Gothic"/>
                <w:b/>
                <w:bCs/>
                <w:szCs w:val="22"/>
              </w:rPr>
              <w:t>Baseline</w:t>
            </w:r>
          </w:p>
        </w:tc>
        <w:tc>
          <w:tcPr>
            <w:tcW w:w="1735" w:type="dxa"/>
            <w:tcBorders>
              <w:top w:val="single" w:sz="24" w:space="0" w:color="A32F2E" w:themeColor="accent3" w:themeShade="BF"/>
              <w:left w:val="nil"/>
              <w:bottom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7E238A69" w14:textId="77777777" w:rsidR="00CF332B" w:rsidRPr="00550C6E" w:rsidRDefault="7FF5A716" w:rsidP="35B498EC">
            <w:pPr>
              <w:jc w:val="center"/>
              <w:rPr>
                <w:rFonts w:ascii="Century Gothic" w:hAnsi="Century Gothic"/>
                <w:b/>
                <w:bCs/>
                <w:szCs w:val="22"/>
              </w:rPr>
            </w:pPr>
            <w:r w:rsidRPr="00550C6E">
              <w:rPr>
                <w:rFonts w:ascii="Century Gothic" w:hAnsi="Century Gothic"/>
                <w:b/>
                <w:bCs/>
                <w:szCs w:val="22"/>
              </w:rPr>
              <w:t>Benchmark</w:t>
            </w:r>
          </w:p>
        </w:tc>
        <w:tc>
          <w:tcPr>
            <w:tcW w:w="3386" w:type="dxa"/>
            <w:tcBorders>
              <w:top w:val="single" w:sz="24" w:space="0" w:color="A32F2E" w:themeColor="accent3" w:themeShade="BF"/>
              <w:left w:val="nil"/>
              <w:bottom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3481E444" w14:textId="77777777" w:rsidR="00CF332B" w:rsidRPr="00550C6E" w:rsidRDefault="00CF332B" w:rsidP="00CF332B">
            <w:pPr>
              <w:jc w:val="center"/>
              <w:rPr>
                <w:rFonts w:ascii="Century Gothic" w:hAnsi="Century Gothic"/>
                <w:b/>
                <w:bCs/>
                <w:szCs w:val="22"/>
              </w:rPr>
            </w:pPr>
            <w:r w:rsidRPr="00550C6E">
              <w:rPr>
                <w:rFonts w:ascii="Century Gothic" w:hAnsi="Century Gothic"/>
                <w:b/>
                <w:bCs/>
                <w:szCs w:val="22"/>
              </w:rPr>
              <w:t>Outcome</w:t>
            </w:r>
          </w:p>
        </w:tc>
        <w:tc>
          <w:tcPr>
            <w:tcW w:w="2335" w:type="dxa"/>
            <w:tcBorders>
              <w:top w:val="single" w:sz="24" w:space="0" w:color="A32F2E" w:themeColor="accent3" w:themeShade="BF"/>
            </w:tcBorders>
            <w:shd w:val="clear" w:color="auto" w:fill="BFBFBF" w:themeFill="background1" w:themeFillShade="BF"/>
            <w:tcMar>
              <w:top w:w="0" w:type="dxa"/>
              <w:left w:w="108" w:type="dxa"/>
              <w:bottom w:w="0" w:type="dxa"/>
              <w:right w:w="108" w:type="dxa"/>
            </w:tcMar>
            <w:vAlign w:val="center"/>
            <w:hideMark/>
          </w:tcPr>
          <w:p w14:paraId="761EE3EF" w14:textId="77777777" w:rsidR="00CF332B" w:rsidRPr="00550C6E" w:rsidRDefault="00CF332B" w:rsidP="00CF332B">
            <w:pPr>
              <w:jc w:val="center"/>
              <w:rPr>
                <w:rFonts w:ascii="Century Gothic" w:hAnsi="Century Gothic"/>
                <w:b/>
                <w:bCs/>
                <w:szCs w:val="22"/>
              </w:rPr>
            </w:pPr>
            <w:r w:rsidRPr="00550C6E">
              <w:rPr>
                <w:rFonts w:ascii="Century Gothic" w:hAnsi="Century Gothic"/>
                <w:b/>
                <w:bCs/>
                <w:szCs w:val="22"/>
              </w:rPr>
              <w:t>Benchmark Achieved?</w:t>
            </w:r>
          </w:p>
        </w:tc>
      </w:tr>
      <w:tr w:rsidR="00CF332B" w:rsidRPr="002864AA" w14:paraId="5546841B" w14:textId="77777777" w:rsidTr="0189D8D6">
        <w:trPr>
          <w:trHeight w:val="1062"/>
        </w:trPr>
        <w:tc>
          <w:tcPr>
            <w:tcW w:w="1728"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22E0AF4A" w14:textId="77777777" w:rsidR="00CF332B" w:rsidRPr="00550C6E" w:rsidRDefault="00CF332B" w:rsidP="00CF332B">
            <w:pPr>
              <w:rPr>
                <w:rFonts w:ascii="Century Gothic" w:hAnsi="Century Gothic"/>
                <w:szCs w:val="22"/>
              </w:rPr>
            </w:pPr>
            <w:bookmarkStart w:id="141" w:name="_Hlk122362008"/>
            <w:r w:rsidRPr="00550C6E">
              <w:rPr>
                <w:rFonts w:ascii="Century Gothic" w:hAnsi="Century Gothic"/>
                <w:szCs w:val="22"/>
              </w:rPr>
              <w:t>Average Income for Full Cares and Transition CARES participants*</w:t>
            </w:r>
          </w:p>
        </w:tc>
        <w:tc>
          <w:tcPr>
            <w:tcW w:w="1436"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55BF0C26" w14:textId="6B5FA2F8" w:rsidR="00CF332B" w:rsidRPr="00550C6E" w:rsidRDefault="00CF332B" w:rsidP="2A137AEF">
            <w:pPr>
              <w:rPr>
                <w:rFonts w:ascii="Century Gothic" w:hAnsi="Century Gothic"/>
                <w:szCs w:val="22"/>
              </w:rPr>
            </w:pPr>
            <w:r w:rsidRPr="00550C6E">
              <w:rPr>
                <w:rFonts w:ascii="Century Gothic" w:hAnsi="Century Gothic"/>
                <w:szCs w:val="22"/>
              </w:rPr>
              <w:t>Average income of population: $16,897 in Fiscal Year 2013</w:t>
            </w:r>
          </w:p>
          <w:p w14:paraId="7024B730" w14:textId="40F3CFBB" w:rsidR="00CF332B" w:rsidRPr="00550C6E" w:rsidRDefault="00CF332B" w:rsidP="0189D8D6">
            <w:pPr>
              <w:rPr>
                <w:rFonts w:ascii="Century Gothic" w:eastAsia="MS PGothic" w:hAnsi="Century Gothic"/>
                <w:szCs w:val="22"/>
              </w:rPr>
            </w:pPr>
          </w:p>
          <w:p w14:paraId="6E6C82AF" w14:textId="2B24AA41" w:rsidR="1F595D68" w:rsidRPr="00550C6E" w:rsidRDefault="1F595D68" w:rsidP="0189D8D6">
            <w:pPr>
              <w:rPr>
                <w:rFonts w:ascii="Century Gothic" w:eastAsia="MS PGothic" w:hAnsi="Century Gothic"/>
                <w:szCs w:val="22"/>
              </w:rPr>
            </w:pPr>
            <w:r w:rsidRPr="00550C6E">
              <w:rPr>
                <w:rFonts w:ascii="Century Gothic" w:eastAsia="MS PGothic" w:hAnsi="Century Gothic"/>
                <w:szCs w:val="22"/>
              </w:rPr>
              <w:t>(Baseline Adjusted to 2024 dollars – $22,753)</w:t>
            </w:r>
          </w:p>
          <w:p w14:paraId="07F960E4" w14:textId="78B9E278" w:rsidR="0189D8D6" w:rsidRPr="00550C6E" w:rsidRDefault="0189D8D6" w:rsidP="0189D8D6">
            <w:pPr>
              <w:rPr>
                <w:rFonts w:ascii="Century Gothic" w:eastAsia="MS PGothic" w:hAnsi="Century Gothic"/>
                <w:szCs w:val="22"/>
              </w:rPr>
            </w:pPr>
          </w:p>
          <w:p w14:paraId="682F0D2E" w14:textId="2F876F33" w:rsidR="0189D8D6" w:rsidRPr="00550C6E" w:rsidRDefault="0189D8D6" w:rsidP="0189D8D6">
            <w:pPr>
              <w:rPr>
                <w:rFonts w:ascii="Century Gothic" w:eastAsia="MS PGothic" w:hAnsi="Century Gothic"/>
                <w:szCs w:val="22"/>
              </w:rPr>
            </w:pPr>
          </w:p>
          <w:p w14:paraId="6F41FB6E" w14:textId="3DD6F967" w:rsidR="0189D8D6" w:rsidRPr="00550C6E" w:rsidRDefault="0189D8D6" w:rsidP="0189D8D6">
            <w:pPr>
              <w:rPr>
                <w:rFonts w:ascii="Century Gothic" w:eastAsia="MS PGothic" w:hAnsi="Century Gothic"/>
                <w:szCs w:val="22"/>
              </w:rPr>
            </w:pPr>
          </w:p>
          <w:p w14:paraId="55BEC95A" w14:textId="672A13B2" w:rsidR="00185888" w:rsidRPr="00550C6E" w:rsidRDefault="00185888" w:rsidP="0189D8D6">
            <w:pPr>
              <w:rPr>
                <w:rFonts w:ascii="Century Gothic" w:eastAsia="MS PGothic" w:hAnsi="Century Gothic"/>
                <w:szCs w:val="22"/>
              </w:rPr>
            </w:pPr>
          </w:p>
          <w:p w14:paraId="20B17AA8" w14:textId="512120A7" w:rsidR="00185888" w:rsidRPr="00550C6E" w:rsidRDefault="00185888" w:rsidP="0189D8D6">
            <w:pPr>
              <w:rPr>
                <w:rFonts w:ascii="Century Gothic" w:eastAsia="MS PGothic" w:hAnsi="Century Gothic"/>
                <w:szCs w:val="22"/>
              </w:rPr>
            </w:pPr>
          </w:p>
        </w:tc>
        <w:tc>
          <w:tcPr>
            <w:tcW w:w="173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53BB5187" w14:textId="77777777" w:rsidR="00CF332B" w:rsidRPr="00550C6E" w:rsidRDefault="00CF332B" w:rsidP="00CF332B">
            <w:pPr>
              <w:rPr>
                <w:rFonts w:ascii="Century Gothic" w:hAnsi="Century Gothic"/>
                <w:szCs w:val="22"/>
              </w:rPr>
            </w:pPr>
            <w:r w:rsidRPr="00550C6E">
              <w:rPr>
                <w:rFonts w:ascii="Century Gothic" w:hAnsi="Century Gothic"/>
                <w:szCs w:val="22"/>
              </w:rPr>
              <w:t>Average family income of $45,000 by program completion (Full CARES)</w:t>
            </w:r>
          </w:p>
        </w:tc>
        <w:tc>
          <w:tcPr>
            <w:tcW w:w="3386"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45ABF233" w14:textId="746B2A52" w:rsidR="1C2D17F5" w:rsidRPr="00550C6E" w:rsidRDefault="19BC8D8F" w:rsidP="433078B2">
            <w:pPr>
              <w:rPr>
                <w:rFonts w:ascii="Century Gothic" w:eastAsia="Times New Roman" w:hAnsi="Century Gothic"/>
                <w:szCs w:val="22"/>
              </w:rPr>
            </w:pPr>
            <w:r w:rsidRPr="00550C6E">
              <w:rPr>
                <w:rFonts w:ascii="Century Gothic" w:eastAsia="Times New Roman" w:hAnsi="Century Gothic"/>
                <w:szCs w:val="22"/>
              </w:rPr>
              <w:t>2024: Total Average Full CARES: $</w:t>
            </w:r>
            <w:r w:rsidR="772C5B11" w:rsidRPr="00550C6E">
              <w:rPr>
                <w:rFonts w:ascii="Century Gothic" w:eastAsia="Times New Roman" w:hAnsi="Century Gothic"/>
                <w:szCs w:val="22"/>
              </w:rPr>
              <w:t>55,81</w:t>
            </w:r>
            <w:r w:rsidR="5335E5B9" w:rsidRPr="00550C6E">
              <w:rPr>
                <w:rFonts w:ascii="Century Gothic" w:eastAsia="Times New Roman" w:hAnsi="Century Gothic"/>
                <w:szCs w:val="22"/>
              </w:rPr>
              <w:t>2</w:t>
            </w:r>
          </w:p>
          <w:p w14:paraId="117D2FAA" w14:textId="1620D6BE" w:rsidR="0189D8D6" w:rsidRPr="00550C6E" w:rsidRDefault="0189D8D6" w:rsidP="0189D8D6">
            <w:pPr>
              <w:rPr>
                <w:rFonts w:ascii="Century Gothic" w:eastAsia="Times New Roman" w:hAnsi="Century Gothic"/>
                <w:szCs w:val="22"/>
              </w:rPr>
            </w:pPr>
          </w:p>
          <w:p w14:paraId="054966DE" w14:textId="712C9798" w:rsidR="1C2D17F5" w:rsidRPr="00550C6E" w:rsidRDefault="19BC8D8F" w:rsidP="433078B2">
            <w:pPr>
              <w:rPr>
                <w:rFonts w:ascii="Century Gothic" w:eastAsia="Times New Roman" w:hAnsi="Century Gothic"/>
                <w:szCs w:val="22"/>
              </w:rPr>
            </w:pPr>
            <w:r w:rsidRPr="00550C6E">
              <w:rPr>
                <w:rFonts w:ascii="Century Gothic" w:eastAsia="Times New Roman" w:hAnsi="Century Gothic"/>
                <w:szCs w:val="22"/>
              </w:rPr>
              <w:t xml:space="preserve">BS II Full: $ </w:t>
            </w:r>
            <w:r w:rsidR="5A3FD948" w:rsidRPr="00550C6E">
              <w:rPr>
                <w:rFonts w:ascii="Century Gothic" w:eastAsia="Times New Roman" w:hAnsi="Century Gothic"/>
                <w:szCs w:val="22"/>
              </w:rPr>
              <w:t>45,0</w:t>
            </w:r>
            <w:r w:rsidR="2A802918" w:rsidRPr="00550C6E">
              <w:rPr>
                <w:rFonts w:ascii="Century Gothic" w:eastAsia="Times New Roman" w:hAnsi="Century Gothic"/>
                <w:szCs w:val="22"/>
              </w:rPr>
              <w:t>30</w:t>
            </w:r>
            <w:r w:rsidR="0221B35E" w:rsidRPr="00550C6E">
              <w:rPr>
                <w:rFonts w:ascii="Century Gothic" w:eastAsia="Times New Roman" w:hAnsi="Century Gothic"/>
                <w:szCs w:val="22"/>
              </w:rPr>
              <w:t xml:space="preserve"> </w:t>
            </w:r>
          </w:p>
          <w:p w14:paraId="7B062950" w14:textId="550DF5D7" w:rsidR="1C2D17F5" w:rsidRPr="00550C6E" w:rsidRDefault="19BC8D8F" w:rsidP="433078B2">
            <w:pPr>
              <w:rPr>
                <w:rFonts w:ascii="Century Gothic" w:eastAsia="Times New Roman" w:hAnsi="Century Gothic"/>
                <w:szCs w:val="22"/>
              </w:rPr>
            </w:pPr>
            <w:r w:rsidRPr="00550C6E">
              <w:rPr>
                <w:rFonts w:ascii="Century Gothic" w:eastAsia="Times New Roman" w:hAnsi="Century Gothic"/>
                <w:szCs w:val="22"/>
              </w:rPr>
              <w:t>Rockview I Full: $</w:t>
            </w:r>
            <w:r w:rsidR="39043D28" w:rsidRPr="00550C6E">
              <w:rPr>
                <w:rFonts w:ascii="Century Gothic" w:eastAsia="Times New Roman" w:hAnsi="Century Gothic"/>
                <w:szCs w:val="22"/>
              </w:rPr>
              <w:t>66,59</w:t>
            </w:r>
            <w:r w:rsidR="7AC7B714" w:rsidRPr="00550C6E">
              <w:rPr>
                <w:rFonts w:ascii="Century Gothic" w:eastAsia="Times New Roman" w:hAnsi="Century Gothic"/>
                <w:szCs w:val="22"/>
              </w:rPr>
              <w:t xml:space="preserve"> </w:t>
            </w:r>
            <w:r w:rsidR="475329E3" w:rsidRPr="00550C6E">
              <w:rPr>
                <w:rFonts w:ascii="Century Gothic" w:eastAsia="Times New Roman" w:hAnsi="Century Gothic"/>
                <w:szCs w:val="22"/>
              </w:rPr>
              <w:t>4</w:t>
            </w:r>
          </w:p>
          <w:p w14:paraId="7AC550D6" w14:textId="3BF9F70B" w:rsidR="0189D8D6" w:rsidRPr="00550C6E" w:rsidRDefault="0189D8D6" w:rsidP="0189D8D6">
            <w:pPr>
              <w:rPr>
                <w:rFonts w:ascii="Century Gothic" w:eastAsia="Times New Roman" w:hAnsi="Century Gothic"/>
                <w:szCs w:val="22"/>
              </w:rPr>
            </w:pPr>
          </w:p>
          <w:p w14:paraId="2D1462DF" w14:textId="0DDE96AB" w:rsidR="1C2D17F5" w:rsidRPr="00550C6E" w:rsidRDefault="19BC8D8F" w:rsidP="433078B2">
            <w:pPr>
              <w:rPr>
                <w:rFonts w:ascii="Century Gothic" w:eastAsia="Times New Roman" w:hAnsi="Century Gothic"/>
                <w:szCs w:val="22"/>
              </w:rPr>
            </w:pPr>
            <w:r w:rsidRPr="00550C6E">
              <w:rPr>
                <w:rFonts w:ascii="Century Gothic" w:eastAsia="Times New Roman" w:hAnsi="Century Gothic"/>
                <w:szCs w:val="22"/>
              </w:rPr>
              <w:t>BSII Transition: $</w:t>
            </w:r>
            <w:r w:rsidR="04CE7EE2" w:rsidRPr="00550C6E">
              <w:rPr>
                <w:rFonts w:ascii="Century Gothic" w:eastAsia="Times New Roman" w:hAnsi="Century Gothic"/>
                <w:szCs w:val="22"/>
              </w:rPr>
              <w:t>18,83</w:t>
            </w:r>
            <w:r w:rsidR="67A735AE" w:rsidRPr="00550C6E">
              <w:rPr>
                <w:rFonts w:ascii="Century Gothic" w:eastAsia="Times New Roman" w:hAnsi="Century Gothic"/>
                <w:szCs w:val="22"/>
              </w:rPr>
              <w:t xml:space="preserve"> </w:t>
            </w:r>
            <w:r w:rsidR="4924D494" w:rsidRPr="00550C6E">
              <w:rPr>
                <w:rFonts w:ascii="Century Gothic" w:eastAsia="Times New Roman" w:hAnsi="Century Gothic"/>
                <w:szCs w:val="22"/>
              </w:rPr>
              <w:t>9</w:t>
            </w:r>
          </w:p>
          <w:p w14:paraId="34498523" w14:textId="33B752F3" w:rsidR="1C2D17F5" w:rsidRPr="00550C6E" w:rsidRDefault="19BC8D8F" w:rsidP="433078B2">
            <w:pPr>
              <w:rPr>
                <w:rFonts w:ascii="Century Gothic" w:eastAsia="Times New Roman" w:hAnsi="Century Gothic"/>
                <w:szCs w:val="22"/>
              </w:rPr>
            </w:pPr>
            <w:proofErr w:type="gramStart"/>
            <w:r w:rsidRPr="00550C6E">
              <w:rPr>
                <w:rFonts w:ascii="Century Gothic" w:eastAsia="Times New Roman" w:hAnsi="Century Gothic"/>
                <w:szCs w:val="22"/>
              </w:rPr>
              <w:t>Rockview I</w:t>
            </w:r>
            <w:proofErr w:type="gramEnd"/>
            <w:r w:rsidRPr="00550C6E">
              <w:rPr>
                <w:rFonts w:ascii="Century Gothic" w:eastAsia="Times New Roman" w:hAnsi="Century Gothic"/>
                <w:szCs w:val="22"/>
              </w:rPr>
              <w:t xml:space="preserve"> Transition: $</w:t>
            </w:r>
            <w:r w:rsidR="64232406" w:rsidRPr="00550C6E">
              <w:rPr>
                <w:rFonts w:ascii="Century Gothic" w:eastAsia="Times New Roman" w:hAnsi="Century Gothic"/>
                <w:szCs w:val="22"/>
              </w:rPr>
              <w:t>16,598</w:t>
            </w:r>
            <w:r w:rsidR="0FFD22DD" w:rsidRPr="00550C6E">
              <w:rPr>
                <w:rFonts w:ascii="Century Gothic" w:eastAsia="Times New Roman" w:hAnsi="Century Gothic"/>
                <w:szCs w:val="22"/>
              </w:rPr>
              <w:t xml:space="preserve"> </w:t>
            </w:r>
          </w:p>
          <w:p w14:paraId="3A8C2DDC" w14:textId="0B1B025E" w:rsidR="433078B2" w:rsidRPr="00550C6E" w:rsidRDefault="433078B2" w:rsidP="433078B2">
            <w:pPr>
              <w:rPr>
                <w:rFonts w:ascii="Century Gothic" w:eastAsia="Times New Roman" w:hAnsi="Century Gothic"/>
                <w:szCs w:val="22"/>
              </w:rPr>
            </w:pPr>
          </w:p>
          <w:p w14:paraId="23C5DFA8" w14:textId="253CEEEF" w:rsidR="00185888" w:rsidRPr="00550C6E" w:rsidRDefault="5432AD40" w:rsidP="39F0821C">
            <w:pPr>
              <w:rPr>
                <w:rFonts w:ascii="Century Gothic" w:eastAsia="Times New Roman" w:hAnsi="Century Gothic"/>
                <w:szCs w:val="22"/>
              </w:rPr>
            </w:pPr>
            <w:r w:rsidRPr="00550C6E">
              <w:rPr>
                <w:rFonts w:ascii="Century Gothic" w:eastAsia="Times New Roman" w:hAnsi="Century Gothic"/>
                <w:szCs w:val="22"/>
              </w:rPr>
              <w:t>2023:</w:t>
            </w:r>
            <w:r w:rsidR="1D54DD5F" w:rsidRPr="00550C6E">
              <w:rPr>
                <w:rFonts w:ascii="Century Gothic" w:eastAsia="Times New Roman" w:hAnsi="Century Gothic"/>
                <w:szCs w:val="22"/>
              </w:rPr>
              <w:t xml:space="preserve"> Total Average Full CARES: $46,673</w:t>
            </w:r>
          </w:p>
          <w:p w14:paraId="6B921047" w14:textId="19E5F625" w:rsidR="00185888" w:rsidRPr="00550C6E" w:rsidRDefault="1D54DD5F" w:rsidP="0E6C54AB">
            <w:pPr>
              <w:rPr>
                <w:rFonts w:ascii="Century Gothic" w:eastAsia="Times New Roman" w:hAnsi="Century Gothic"/>
                <w:szCs w:val="22"/>
              </w:rPr>
            </w:pPr>
            <w:r w:rsidRPr="00550C6E">
              <w:rPr>
                <w:rFonts w:ascii="Century Gothic" w:eastAsia="Times New Roman" w:hAnsi="Century Gothic"/>
                <w:szCs w:val="22"/>
              </w:rPr>
              <w:t xml:space="preserve">BS II Full: $42,613 </w:t>
            </w:r>
          </w:p>
          <w:p w14:paraId="17286605" w14:textId="764AD9E7" w:rsidR="00185888" w:rsidRPr="00550C6E" w:rsidRDefault="1D54DD5F" w:rsidP="0E6C54AB">
            <w:pPr>
              <w:rPr>
                <w:rFonts w:ascii="Century Gothic" w:eastAsia="Times New Roman" w:hAnsi="Century Gothic"/>
                <w:szCs w:val="22"/>
              </w:rPr>
            </w:pPr>
            <w:r w:rsidRPr="00550C6E">
              <w:rPr>
                <w:rFonts w:ascii="Century Gothic" w:eastAsia="Times New Roman" w:hAnsi="Century Gothic"/>
                <w:szCs w:val="22"/>
              </w:rPr>
              <w:t>Rockview I Full: $50,733</w:t>
            </w:r>
          </w:p>
          <w:p w14:paraId="7922036C" w14:textId="405CAF4E" w:rsidR="00185888" w:rsidRPr="00550C6E" w:rsidRDefault="15AC2A15" w:rsidP="39F0821C">
            <w:pPr>
              <w:rPr>
                <w:rFonts w:ascii="Century Gothic" w:eastAsia="Times New Roman" w:hAnsi="Century Gothic"/>
                <w:szCs w:val="22"/>
              </w:rPr>
            </w:pPr>
            <w:r w:rsidRPr="00550C6E">
              <w:rPr>
                <w:rFonts w:ascii="Century Gothic" w:eastAsia="Times New Roman" w:hAnsi="Century Gothic"/>
                <w:szCs w:val="22"/>
              </w:rPr>
              <w:t xml:space="preserve">BSII Transition: </w:t>
            </w:r>
            <w:r w:rsidR="25AB43BD" w:rsidRPr="00550C6E">
              <w:rPr>
                <w:rFonts w:ascii="Century Gothic" w:eastAsia="Times New Roman" w:hAnsi="Century Gothic"/>
                <w:szCs w:val="22"/>
              </w:rPr>
              <w:t>$</w:t>
            </w:r>
            <w:r w:rsidR="55D673AF" w:rsidRPr="00550C6E">
              <w:rPr>
                <w:rFonts w:ascii="Century Gothic" w:eastAsia="Times New Roman" w:hAnsi="Century Gothic"/>
                <w:szCs w:val="22"/>
              </w:rPr>
              <w:t>17</w:t>
            </w:r>
            <w:r w:rsidR="0E8966AD" w:rsidRPr="00550C6E">
              <w:rPr>
                <w:rFonts w:ascii="Century Gothic" w:eastAsia="Times New Roman" w:hAnsi="Century Gothic"/>
                <w:szCs w:val="22"/>
              </w:rPr>
              <w:t>,</w:t>
            </w:r>
            <w:r w:rsidR="55D673AF" w:rsidRPr="00550C6E">
              <w:rPr>
                <w:rFonts w:ascii="Century Gothic" w:eastAsia="Times New Roman" w:hAnsi="Century Gothic"/>
                <w:szCs w:val="22"/>
              </w:rPr>
              <w:t>494</w:t>
            </w:r>
          </w:p>
          <w:p w14:paraId="3F915D5E" w14:textId="6524C959" w:rsidR="00185888" w:rsidRPr="00550C6E" w:rsidRDefault="15AC2A15" w:rsidP="0E6C54AB">
            <w:pPr>
              <w:rPr>
                <w:rFonts w:ascii="Century Gothic" w:eastAsia="Times New Roman" w:hAnsi="Century Gothic"/>
                <w:szCs w:val="22"/>
              </w:rPr>
            </w:pPr>
            <w:r w:rsidRPr="00550C6E">
              <w:rPr>
                <w:rFonts w:ascii="Century Gothic" w:eastAsia="Times New Roman" w:hAnsi="Century Gothic"/>
                <w:szCs w:val="22"/>
              </w:rPr>
              <w:t>Rockview I Transition: $</w:t>
            </w:r>
            <w:r w:rsidR="028C9385" w:rsidRPr="00550C6E">
              <w:rPr>
                <w:rFonts w:ascii="Century Gothic" w:eastAsia="Times New Roman" w:hAnsi="Century Gothic"/>
                <w:szCs w:val="22"/>
              </w:rPr>
              <w:t>13</w:t>
            </w:r>
            <w:r w:rsidR="31E6EDC4" w:rsidRPr="00550C6E">
              <w:rPr>
                <w:rFonts w:ascii="Century Gothic" w:eastAsia="Times New Roman" w:hAnsi="Century Gothic"/>
                <w:szCs w:val="22"/>
              </w:rPr>
              <w:t>,</w:t>
            </w:r>
            <w:r w:rsidR="028C9385" w:rsidRPr="00550C6E">
              <w:rPr>
                <w:rFonts w:ascii="Century Gothic" w:eastAsia="Times New Roman" w:hAnsi="Century Gothic"/>
                <w:szCs w:val="22"/>
              </w:rPr>
              <w:t>591</w:t>
            </w:r>
          </w:p>
          <w:p w14:paraId="3386ED73" w14:textId="62E484B9" w:rsidR="00185888" w:rsidRPr="00550C6E" w:rsidRDefault="00185888" w:rsidP="1B4A8018">
            <w:pPr>
              <w:rPr>
                <w:rFonts w:ascii="Century Gothic" w:eastAsia="Times New Roman" w:hAnsi="Century Gothic"/>
                <w:szCs w:val="22"/>
              </w:rPr>
            </w:pPr>
          </w:p>
          <w:p w14:paraId="6CC606C7" w14:textId="1E5FD3BB" w:rsidR="1B4A8018" w:rsidRPr="00550C6E" w:rsidRDefault="776ACC71" w:rsidP="1B4A8018">
            <w:pPr>
              <w:rPr>
                <w:rFonts w:ascii="Century Gothic" w:eastAsia="Times New Roman" w:hAnsi="Century Gothic"/>
                <w:szCs w:val="22"/>
              </w:rPr>
            </w:pPr>
            <w:r w:rsidRPr="00550C6E">
              <w:rPr>
                <w:rFonts w:ascii="Century Gothic" w:eastAsia="Times New Roman" w:hAnsi="Century Gothic"/>
                <w:szCs w:val="22"/>
              </w:rPr>
              <w:t>2022:</w:t>
            </w:r>
            <w:r w:rsidR="64E52EED" w:rsidRPr="00550C6E">
              <w:rPr>
                <w:rFonts w:ascii="Century Gothic" w:eastAsia="Times New Roman" w:hAnsi="Century Gothic"/>
                <w:szCs w:val="22"/>
              </w:rPr>
              <w:t xml:space="preserve"> Total Average Full CARES: $48,363</w:t>
            </w:r>
          </w:p>
          <w:p w14:paraId="27B0C83D" w14:textId="2DFC0952" w:rsidR="1B4A8018" w:rsidRPr="00550C6E" w:rsidRDefault="64E52EED" w:rsidP="0E6C54AB">
            <w:pPr>
              <w:rPr>
                <w:rFonts w:ascii="Century Gothic" w:eastAsia="Times New Roman" w:hAnsi="Century Gothic"/>
                <w:szCs w:val="22"/>
              </w:rPr>
            </w:pPr>
            <w:r w:rsidRPr="00550C6E">
              <w:rPr>
                <w:rFonts w:ascii="Century Gothic" w:eastAsia="Times New Roman" w:hAnsi="Century Gothic"/>
                <w:szCs w:val="22"/>
              </w:rPr>
              <w:t>BS II Full: $45,160</w:t>
            </w:r>
          </w:p>
          <w:p w14:paraId="78F645AB" w14:textId="79E30A9E" w:rsidR="1B4A8018" w:rsidRPr="00550C6E" w:rsidRDefault="64E52EED" w:rsidP="0E6C54AB">
            <w:pPr>
              <w:rPr>
                <w:rFonts w:ascii="Century Gothic" w:eastAsia="Times New Roman" w:hAnsi="Century Gothic"/>
                <w:szCs w:val="22"/>
              </w:rPr>
            </w:pPr>
            <w:r w:rsidRPr="00550C6E">
              <w:rPr>
                <w:rFonts w:ascii="Century Gothic" w:eastAsia="Times New Roman" w:hAnsi="Century Gothic"/>
                <w:szCs w:val="22"/>
              </w:rPr>
              <w:t>Rockview I Full: $51,566</w:t>
            </w:r>
          </w:p>
          <w:p w14:paraId="4DA1C6DD" w14:textId="2F190D1A" w:rsidR="1B4A8018" w:rsidRPr="00550C6E" w:rsidRDefault="776ACC71" w:rsidP="0E6C54AB">
            <w:pPr>
              <w:rPr>
                <w:rFonts w:ascii="Century Gothic" w:eastAsia="Times New Roman" w:hAnsi="Century Gothic"/>
                <w:szCs w:val="22"/>
              </w:rPr>
            </w:pPr>
            <w:r w:rsidRPr="00550C6E">
              <w:rPr>
                <w:rFonts w:ascii="Century Gothic" w:eastAsia="Times New Roman" w:hAnsi="Century Gothic"/>
                <w:szCs w:val="22"/>
              </w:rPr>
              <w:t>BSII Transition: $16,678</w:t>
            </w:r>
          </w:p>
          <w:p w14:paraId="670BB851" w14:textId="50F45C55" w:rsidR="1B4A8018" w:rsidRPr="00550C6E" w:rsidRDefault="776ACC71" w:rsidP="0E6C54AB">
            <w:pPr>
              <w:rPr>
                <w:rFonts w:ascii="Century Gothic" w:eastAsia="Times New Roman" w:hAnsi="Century Gothic"/>
                <w:szCs w:val="22"/>
              </w:rPr>
            </w:pPr>
            <w:r w:rsidRPr="00550C6E">
              <w:rPr>
                <w:rFonts w:ascii="Century Gothic" w:eastAsia="Times New Roman" w:hAnsi="Century Gothic"/>
                <w:szCs w:val="22"/>
              </w:rPr>
              <w:t>Rockview I Transition: $13,909</w:t>
            </w:r>
          </w:p>
          <w:p w14:paraId="5425397D" w14:textId="05CDA324" w:rsidR="1F8514FB" w:rsidRPr="00550C6E" w:rsidRDefault="1F8514FB" w:rsidP="0E6C54AB">
            <w:pPr>
              <w:rPr>
                <w:rFonts w:ascii="Century Gothic" w:eastAsia="Times New Roman" w:hAnsi="Century Gothic"/>
                <w:szCs w:val="22"/>
              </w:rPr>
            </w:pPr>
            <w:r w:rsidRPr="00550C6E">
              <w:rPr>
                <w:rFonts w:ascii="Century Gothic" w:hAnsi="Century Gothic"/>
                <w:szCs w:val="22"/>
              </w:rPr>
              <w:br/>
            </w:r>
            <w:r w:rsidR="776ACC71" w:rsidRPr="00550C6E">
              <w:rPr>
                <w:rFonts w:ascii="Century Gothic" w:eastAsia="Times New Roman" w:hAnsi="Century Gothic"/>
                <w:szCs w:val="22"/>
              </w:rPr>
              <w:t>2021:</w:t>
            </w:r>
            <w:r w:rsidR="1A2E26D9" w:rsidRPr="00550C6E">
              <w:rPr>
                <w:rFonts w:ascii="Century Gothic" w:eastAsia="Times New Roman" w:hAnsi="Century Gothic"/>
                <w:szCs w:val="22"/>
              </w:rPr>
              <w:t xml:space="preserve"> Total Average Full CARES:</w:t>
            </w:r>
          </w:p>
          <w:p w14:paraId="4EFE9D25" w14:textId="1BDD34DA" w:rsidR="1F8514FB" w:rsidRPr="00550C6E" w:rsidRDefault="27A79D37" w:rsidP="0E6C54AB">
            <w:pPr>
              <w:rPr>
                <w:rFonts w:ascii="Century Gothic" w:eastAsia="Times New Roman" w:hAnsi="Century Gothic"/>
                <w:szCs w:val="22"/>
              </w:rPr>
            </w:pPr>
            <w:r w:rsidRPr="00550C6E">
              <w:rPr>
                <w:rFonts w:ascii="Century Gothic" w:eastAsia="Times New Roman" w:hAnsi="Century Gothic"/>
                <w:szCs w:val="22"/>
              </w:rPr>
              <w:t>BS II Full: $39,729</w:t>
            </w:r>
          </w:p>
          <w:p w14:paraId="1B324F29" w14:textId="697403D8" w:rsidR="1F8514FB" w:rsidRPr="00550C6E" w:rsidRDefault="27A79D37" w:rsidP="0E6C54AB">
            <w:pPr>
              <w:rPr>
                <w:rFonts w:ascii="Century Gothic" w:eastAsia="Times New Roman" w:hAnsi="Century Gothic"/>
                <w:szCs w:val="22"/>
              </w:rPr>
            </w:pPr>
            <w:r w:rsidRPr="00550C6E">
              <w:rPr>
                <w:rFonts w:ascii="Century Gothic" w:eastAsia="Times New Roman" w:hAnsi="Century Gothic"/>
                <w:szCs w:val="22"/>
              </w:rPr>
              <w:t>Rockview I Full: $44,116</w:t>
            </w:r>
          </w:p>
          <w:p w14:paraId="041C9293" w14:textId="026B030D" w:rsidR="1F8514FB" w:rsidRPr="00550C6E" w:rsidRDefault="776ACC71" w:rsidP="0E6C54AB">
            <w:pPr>
              <w:rPr>
                <w:rFonts w:ascii="Century Gothic" w:eastAsia="Times New Roman" w:hAnsi="Century Gothic"/>
                <w:szCs w:val="22"/>
              </w:rPr>
            </w:pPr>
            <w:r w:rsidRPr="00550C6E">
              <w:rPr>
                <w:rFonts w:ascii="Century Gothic" w:eastAsia="Times New Roman" w:hAnsi="Century Gothic"/>
                <w:szCs w:val="22"/>
              </w:rPr>
              <w:t>BSII Transition: $13,375</w:t>
            </w:r>
          </w:p>
          <w:p w14:paraId="65F50CBF" w14:textId="278BE53B" w:rsidR="1F8514FB" w:rsidRPr="00550C6E" w:rsidRDefault="776ACC71" w:rsidP="0E6C54AB">
            <w:pPr>
              <w:rPr>
                <w:rFonts w:ascii="Century Gothic" w:eastAsia="Times New Roman" w:hAnsi="Century Gothic"/>
                <w:szCs w:val="22"/>
              </w:rPr>
            </w:pPr>
            <w:r w:rsidRPr="00550C6E">
              <w:rPr>
                <w:rFonts w:ascii="Century Gothic" w:eastAsia="Times New Roman" w:hAnsi="Century Gothic"/>
                <w:szCs w:val="22"/>
              </w:rPr>
              <w:t>Rockview I Transition: $14,963</w:t>
            </w:r>
          </w:p>
          <w:p w14:paraId="400FCDA8" w14:textId="222D865D" w:rsidR="006238BD" w:rsidRPr="00550C6E" w:rsidRDefault="006238BD" w:rsidP="0E6C54AB">
            <w:pPr>
              <w:rPr>
                <w:rFonts w:ascii="Century Gothic" w:eastAsia="Times New Roman" w:hAnsi="Century Gothic"/>
                <w:szCs w:val="22"/>
              </w:rPr>
            </w:pPr>
          </w:p>
          <w:p w14:paraId="5433815B" w14:textId="1618C701" w:rsidR="00CF332B" w:rsidRPr="00550C6E" w:rsidRDefault="776ACC71" w:rsidP="0E6C54AB">
            <w:pPr>
              <w:rPr>
                <w:rFonts w:ascii="Century Gothic" w:eastAsia="Times New Roman" w:hAnsi="Century Gothic"/>
                <w:szCs w:val="22"/>
              </w:rPr>
            </w:pPr>
            <w:r w:rsidRPr="00550C6E">
              <w:rPr>
                <w:rFonts w:ascii="Century Gothic" w:hAnsi="Century Gothic"/>
                <w:szCs w:val="22"/>
              </w:rPr>
              <w:t xml:space="preserve">2020: </w:t>
            </w:r>
            <w:r w:rsidR="547C95DD" w:rsidRPr="00550C6E">
              <w:rPr>
                <w:rFonts w:ascii="Century Gothic" w:eastAsia="Times New Roman" w:hAnsi="Century Gothic"/>
                <w:szCs w:val="22"/>
              </w:rPr>
              <w:t>Total Average Full CARES:</w:t>
            </w:r>
            <w:r w:rsidR="1E58A43A" w:rsidRPr="00550C6E">
              <w:rPr>
                <w:rFonts w:ascii="Century Gothic" w:eastAsia="Times New Roman" w:hAnsi="Century Gothic"/>
                <w:szCs w:val="22"/>
              </w:rPr>
              <w:t xml:space="preserve"> $41,923</w:t>
            </w:r>
          </w:p>
          <w:p w14:paraId="56F66DAD" w14:textId="77777777" w:rsidR="00CF332B" w:rsidRPr="00550C6E" w:rsidRDefault="1B4A8018" w:rsidP="1B4A8018">
            <w:pPr>
              <w:rPr>
                <w:rFonts w:ascii="Century Gothic" w:hAnsi="Century Gothic"/>
                <w:szCs w:val="22"/>
              </w:rPr>
            </w:pPr>
            <w:r w:rsidRPr="00550C6E">
              <w:rPr>
                <w:rFonts w:ascii="Century Gothic" w:hAnsi="Century Gothic"/>
                <w:szCs w:val="22"/>
              </w:rPr>
              <w:t>BSII Transition: $17,586                 </w:t>
            </w:r>
          </w:p>
          <w:p w14:paraId="46DA7C16" w14:textId="77777777" w:rsidR="00CF332B" w:rsidRPr="00550C6E" w:rsidRDefault="1B4A8018" w:rsidP="1B4A8018">
            <w:pPr>
              <w:rPr>
                <w:rFonts w:ascii="Century Gothic" w:hAnsi="Century Gothic"/>
                <w:szCs w:val="22"/>
              </w:rPr>
            </w:pPr>
            <w:r w:rsidRPr="00550C6E">
              <w:rPr>
                <w:rFonts w:ascii="Century Gothic" w:hAnsi="Century Gothic"/>
                <w:szCs w:val="22"/>
              </w:rPr>
              <w:t>BS II Full: $36,734</w:t>
            </w:r>
          </w:p>
          <w:p w14:paraId="46D72398" w14:textId="77777777" w:rsidR="00CF332B" w:rsidRPr="00550C6E" w:rsidRDefault="1B4A8018" w:rsidP="1B4A8018">
            <w:pPr>
              <w:rPr>
                <w:rFonts w:ascii="Century Gothic" w:hAnsi="Century Gothic"/>
                <w:szCs w:val="22"/>
              </w:rPr>
            </w:pPr>
            <w:proofErr w:type="gramStart"/>
            <w:r w:rsidRPr="00550C6E">
              <w:rPr>
                <w:rFonts w:ascii="Century Gothic" w:hAnsi="Century Gothic"/>
                <w:szCs w:val="22"/>
              </w:rPr>
              <w:t>Rockview I</w:t>
            </w:r>
            <w:proofErr w:type="gramEnd"/>
            <w:r w:rsidRPr="00550C6E">
              <w:rPr>
                <w:rFonts w:ascii="Century Gothic" w:hAnsi="Century Gothic"/>
                <w:szCs w:val="22"/>
              </w:rPr>
              <w:t xml:space="preserve"> Transition: $12,453</w:t>
            </w:r>
          </w:p>
          <w:p w14:paraId="467D629F" w14:textId="77777777" w:rsidR="00CF332B" w:rsidRPr="00550C6E" w:rsidRDefault="1B4A8018" w:rsidP="1B4A8018">
            <w:pPr>
              <w:rPr>
                <w:rFonts w:ascii="Century Gothic" w:hAnsi="Century Gothic"/>
                <w:szCs w:val="22"/>
              </w:rPr>
            </w:pPr>
            <w:r w:rsidRPr="00550C6E">
              <w:rPr>
                <w:rFonts w:ascii="Century Gothic" w:hAnsi="Century Gothic"/>
                <w:szCs w:val="22"/>
              </w:rPr>
              <w:t>Rockview I Full: $36,412</w:t>
            </w:r>
          </w:p>
          <w:p w14:paraId="51FD8BC6" w14:textId="6D1A12F6" w:rsidR="00CF332B" w:rsidRPr="00550C6E" w:rsidRDefault="00CF332B" w:rsidP="1B4A8018">
            <w:pPr>
              <w:rPr>
                <w:rFonts w:ascii="Century Gothic" w:hAnsi="Century Gothic"/>
                <w:szCs w:val="22"/>
              </w:rPr>
            </w:pPr>
          </w:p>
          <w:p w14:paraId="45DA992E" w14:textId="091C354E" w:rsidR="00CF332B" w:rsidRPr="00550C6E" w:rsidRDefault="776ACC71" w:rsidP="1B4A8018">
            <w:pPr>
              <w:rPr>
                <w:rFonts w:ascii="Century Gothic" w:eastAsia="MS PGothic" w:hAnsi="Century Gothic"/>
                <w:szCs w:val="22"/>
              </w:rPr>
            </w:pPr>
            <w:r w:rsidRPr="00550C6E">
              <w:rPr>
                <w:rFonts w:ascii="Century Gothic" w:eastAsia="MS PGothic" w:hAnsi="Century Gothic"/>
                <w:szCs w:val="22"/>
              </w:rPr>
              <w:lastRenderedPageBreak/>
              <w:t>Prior years’ average income</w:t>
            </w:r>
            <w:r w:rsidR="154641F5" w:rsidRPr="00550C6E">
              <w:rPr>
                <w:rFonts w:ascii="Century Gothic" w:eastAsia="MS PGothic" w:hAnsi="Century Gothic"/>
                <w:szCs w:val="22"/>
              </w:rPr>
              <w:t>; $34,459</w:t>
            </w:r>
            <w:r w:rsidRPr="00550C6E">
              <w:rPr>
                <w:rFonts w:ascii="Century Gothic" w:eastAsia="MS PGothic" w:hAnsi="Century Gothic"/>
                <w:szCs w:val="22"/>
              </w:rPr>
              <w:t xml:space="preserve"> </w:t>
            </w:r>
          </w:p>
          <w:p w14:paraId="7B3B2A5E" w14:textId="58CBD49F" w:rsidR="00CF332B" w:rsidRPr="00550C6E" w:rsidRDefault="01E4D824" w:rsidP="0E6C54AB">
            <w:pPr>
              <w:rPr>
                <w:rFonts w:ascii="Century Gothic" w:eastAsia="MS PGothic" w:hAnsi="Century Gothic"/>
                <w:szCs w:val="22"/>
              </w:rPr>
            </w:pPr>
            <w:r w:rsidRPr="00550C6E">
              <w:rPr>
                <w:rFonts w:ascii="Century Gothic" w:eastAsia="MS PGothic" w:hAnsi="Century Gothic"/>
                <w:szCs w:val="22"/>
              </w:rPr>
              <w:t>BS II Full: $32,046</w:t>
            </w:r>
          </w:p>
          <w:p w14:paraId="70A48D29" w14:textId="1EF02F6A" w:rsidR="00CF332B" w:rsidRPr="00550C6E" w:rsidRDefault="01E4D824" w:rsidP="0E6C54AB">
            <w:pPr>
              <w:rPr>
                <w:rFonts w:ascii="Century Gothic" w:eastAsia="MS PGothic" w:hAnsi="Century Gothic"/>
                <w:szCs w:val="22"/>
              </w:rPr>
            </w:pPr>
            <w:r w:rsidRPr="00550C6E">
              <w:rPr>
                <w:rFonts w:ascii="Century Gothic" w:eastAsia="MS PGothic" w:hAnsi="Century Gothic"/>
                <w:szCs w:val="22"/>
              </w:rPr>
              <w:t>Rockview I Full: $36,871</w:t>
            </w:r>
          </w:p>
          <w:p w14:paraId="532F3BFD" w14:textId="70627ABD" w:rsidR="00CF332B" w:rsidRPr="00550C6E" w:rsidRDefault="776ACC71" w:rsidP="0E6C54AB">
            <w:pPr>
              <w:rPr>
                <w:rFonts w:ascii="Century Gothic" w:eastAsia="MS PGothic" w:hAnsi="Century Gothic"/>
                <w:szCs w:val="22"/>
              </w:rPr>
            </w:pPr>
            <w:r w:rsidRPr="00550C6E">
              <w:rPr>
                <w:rFonts w:ascii="Century Gothic" w:eastAsia="MS PGothic" w:hAnsi="Century Gothic"/>
                <w:szCs w:val="22"/>
              </w:rPr>
              <w:t>BS II Transition $15,404</w:t>
            </w:r>
          </w:p>
          <w:p w14:paraId="06A34822" w14:textId="7F8D1EC6" w:rsidR="00CF332B" w:rsidRPr="00550C6E" w:rsidRDefault="776ACC71" w:rsidP="0E6C54AB">
            <w:pPr>
              <w:rPr>
                <w:rFonts w:ascii="Century Gothic" w:eastAsia="MS PGothic" w:hAnsi="Century Gothic"/>
                <w:szCs w:val="22"/>
              </w:rPr>
            </w:pPr>
            <w:r w:rsidRPr="00550C6E">
              <w:rPr>
                <w:rFonts w:ascii="Century Gothic" w:eastAsia="MS PGothic" w:hAnsi="Century Gothic"/>
                <w:szCs w:val="22"/>
              </w:rPr>
              <w:t>Rockview I Transition: $18,166</w:t>
            </w:r>
          </w:p>
          <w:p w14:paraId="52E25876" w14:textId="4A34038E" w:rsidR="00CF332B" w:rsidRPr="00550C6E" w:rsidRDefault="00CF332B" w:rsidP="0E6C54AB">
            <w:pPr>
              <w:rPr>
                <w:rFonts w:ascii="Century Gothic" w:eastAsia="MS PGothic" w:hAnsi="Century Gothic"/>
                <w:szCs w:val="22"/>
              </w:rPr>
            </w:pPr>
          </w:p>
        </w:tc>
        <w:tc>
          <w:tcPr>
            <w:tcW w:w="2335"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5068886C" w14:textId="35459B22" w:rsidR="00CF332B" w:rsidRPr="00550C6E" w:rsidRDefault="776ACC71" w:rsidP="00CF332B">
            <w:pPr>
              <w:rPr>
                <w:rFonts w:ascii="Century Gothic" w:hAnsi="Century Gothic"/>
                <w:szCs w:val="22"/>
              </w:rPr>
            </w:pPr>
            <w:r w:rsidRPr="00550C6E">
              <w:rPr>
                <w:rFonts w:ascii="Century Gothic" w:hAnsi="Century Gothic"/>
                <w:szCs w:val="22"/>
              </w:rPr>
              <w:lastRenderedPageBreak/>
              <w:t>Yes</w:t>
            </w:r>
            <w:r w:rsidR="020175F6" w:rsidRPr="00550C6E">
              <w:rPr>
                <w:rFonts w:ascii="Century Gothic" w:hAnsi="Century Gothic"/>
                <w:szCs w:val="22"/>
              </w:rPr>
              <w:t xml:space="preserve"> </w:t>
            </w:r>
          </w:p>
        </w:tc>
      </w:tr>
      <w:bookmarkEnd w:id="140"/>
      <w:bookmarkEnd w:id="141"/>
    </w:tbl>
    <w:p w14:paraId="27F80404" w14:textId="1CF6D334" w:rsidR="1B3F2E6D" w:rsidRPr="00550C6E" w:rsidRDefault="1B3F2E6D">
      <w:pPr>
        <w:rPr>
          <w:rFonts w:ascii="Century Gothic" w:hAnsi="Century Gothic"/>
          <w:szCs w:val="22"/>
        </w:rPr>
      </w:pPr>
    </w:p>
    <w:p w14:paraId="296745B7" w14:textId="77777777" w:rsidR="003E55B0" w:rsidRPr="00550C6E" w:rsidRDefault="003E55B0" w:rsidP="2C805A1A">
      <w:pPr>
        <w:rPr>
          <w:rFonts w:ascii="Century Gothic" w:hAnsi="Century Gothic"/>
          <w:szCs w:val="22"/>
        </w:rPr>
      </w:pPr>
    </w:p>
    <w:tbl>
      <w:tblPr>
        <w:tblW w:w="10800" w:type="dxa"/>
        <w:tblInd w:w="90" w:type="dxa"/>
        <w:tblCellMar>
          <w:left w:w="0" w:type="dxa"/>
          <w:right w:w="0" w:type="dxa"/>
        </w:tblCellMar>
        <w:tblLook w:val="04A0" w:firstRow="1" w:lastRow="0" w:firstColumn="1" w:lastColumn="0" w:noHBand="0" w:noVBand="1"/>
      </w:tblPr>
      <w:tblGrid>
        <w:gridCol w:w="1880"/>
        <w:gridCol w:w="1530"/>
        <w:gridCol w:w="1980"/>
        <w:gridCol w:w="2710"/>
        <w:gridCol w:w="2700"/>
      </w:tblGrid>
      <w:tr w:rsidR="00CF332B" w:rsidRPr="002864AA" w14:paraId="6544DC79" w14:textId="77777777" w:rsidTr="0189D8D6">
        <w:trPr>
          <w:trHeight w:val="332"/>
        </w:trPr>
        <w:tc>
          <w:tcPr>
            <w:tcW w:w="10800" w:type="dxa"/>
            <w:gridSpan w:val="5"/>
            <w:tcBorders>
              <w:top w:val="nil"/>
              <w:left w:val="nil"/>
              <w:bottom w:val="single" w:sz="24" w:space="0" w:color="87262C" w:themeColor="accent2" w:themeShade="BF"/>
              <w:right w:val="nil"/>
            </w:tcBorders>
            <w:shd w:val="clear" w:color="auto" w:fill="808080" w:themeFill="background1" w:themeFillShade="80"/>
            <w:tcMar>
              <w:top w:w="0" w:type="dxa"/>
              <w:left w:w="108" w:type="dxa"/>
              <w:bottom w:w="0" w:type="dxa"/>
              <w:right w:w="108" w:type="dxa"/>
            </w:tcMar>
            <w:hideMark/>
          </w:tcPr>
          <w:p w14:paraId="71A86C04" w14:textId="77777777" w:rsidR="00CF332B" w:rsidRPr="00550C6E" w:rsidRDefault="00CF332B" w:rsidP="00CF332B">
            <w:pPr>
              <w:jc w:val="center"/>
              <w:rPr>
                <w:rFonts w:ascii="Century Gothic" w:hAnsi="Century Gothic"/>
                <w:b/>
                <w:bCs/>
                <w:szCs w:val="22"/>
              </w:rPr>
            </w:pPr>
            <w:bookmarkStart w:id="142" w:name="_Hlk26781094"/>
            <w:r w:rsidRPr="00550C6E">
              <w:rPr>
                <w:rFonts w:ascii="Century Gothic" w:hAnsi="Century Gothic"/>
                <w:b/>
                <w:bCs/>
                <w:szCs w:val="22"/>
              </w:rPr>
              <w:t>SS #2: Increase in Household Savings</w:t>
            </w:r>
          </w:p>
        </w:tc>
      </w:tr>
      <w:tr w:rsidR="00CF332B" w:rsidRPr="002864AA" w14:paraId="2E993986" w14:textId="77777777" w:rsidTr="0189D8D6">
        <w:trPr>
          <w:trHeight w:val="340"/>
        </w:trPr>
        <w:tc>
          <w:tcPr>
            <w:tcW w:w="1880" w:type="dxa"/>
            <w:tcBorders>
              <w:top w:val="single" w:sz="24" w:space="0" w:color="87262C" w:themeColor="accent2" w:themeShade="BF"/>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1DCAF416" w14:textId="77777777" w:rsidR="00CF332B" w:rsidRPr="00550C6E" w:rsidRDefault="00CF332B" w:rsidP="00CF332B">
            <w:pPr>
              <w:jc w:val="center"/>
              <w:rPr>
                <w:rFonts w:ascii="Century Gothic" w:hAnsi="Century Gothic"/>
                <w:b/>
                <w:bCs/>
                <w:szCs w:val="22"/>
              </w:rPr>
            </w:pPr>
            <w:r w:rsidRPr="00550C6E">
              <w:rPr>
                <w:rFonts w:ascii="Century Gothic" w:hAnsi="Century Gothic"/>
                <w:b/>
                <w:bCs/>
                <w:szCs w:val="22"/>
              </w:rPr>
              <w:t>Unit of Measurement</w:t>
            </w:r>
          </w:p>
        </w:tc>
        <w:tc>
          <w:tcPr>
            <w:tcW w:w="1530" w:type="dxa"/>
            <w:tcBorders>
              <w:top w:val="single" w:sz="24" w:space="0" w:color="87262C" w:themeColor="accent2" w:themeShade="BF"/>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0E02B993" w14:textId="77777777" w:rsidR="00CF332B" w:rsidRPr="00550C6E" w:rsidRDefault="00CF332B" w:rsidP="00CF332B">
            <w:pPr>
              <w:jc w:val="center"/>
              <w:rPr>
                <w:rFonts w:ascii="Century Gothic" w:hAnsi="Century Gothic"/>
                <w:b/>
                <w:bCs/>
                <w:szCs w:val="22"/>
              </w:rPr>
            </w:pPr>
            <w:r w:rsidRPr="00550C6E">
              <w:rPr>
                <w:rFonts w:ascii="Century Gothic" w:hAnsi="Century Gothic"/>
                <w:b/>
                <w:bCs/>
                <w:szCs w:val="22"/>
              </w:rPr>
              <w:t>Baseline</w:t>
            </w:r>
          </w:p>
        </w:tc>
        <w:tc>
          <w:tcPr>
            <w:tcW w:w="1980" w:type="dxa"/>
            <w:tcBorders>
              <w:top w:val="single" w:sz="24" w:space="0" w:color="87262C" w:themeColor="accent2" w:themeShade="BF"/>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1995FE1E" w14:textId="77777777" w:rsidR="00CF332B" w:rsidRPr="00550C6E" w:rsidRDefault="00CF332B" w:rsidP="00CF332B">
            <w:pPr>
              <w:jc w:val="center"/>
              <w:rPr>
                <w:rFonts w:ascii="Century Gothic" w:hAnsi="Century Gothic"/>
                <w:b/>
                <w:bCs/>
                <w:szCs w:val="22"/>
              </w:rPr>
            </w:pPr>
            <w:r w:rsidRPr="00550C6E">
              <w:rPr>
                <w:rFonts w:ascii="Century Gothic" w:hAnsi="Century Gothic"/>
                <w:b/>
                <w:bCs/>
                <w:szCs w:val="22"/>
              </w:rPr>
              <w:t>Benchmark**</w:t>
            </w:r>
          </w:p>
        </w:tc>
        <w:tc>
          <w:tcPr>
            <w:tcW w:w="2710" w:type="dxa"/>
            <w:tcBorders>
              <w:top w:val="single" w:sz="24" w:space="0" w:color="87262C" w:themeColor="accent2" w:themeShade="BF"/>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2A4283D7" w14:textId="77777777" w:rsidR="00CF332B" w:rsidRPr="00550C6E" w:rsidRDefault="00CF332B" w:rsidP="00CF332B">
            <w:pPr>
              <w:jc w:val="center"/>
              <w:rPr>
                <w:rFonts w:ascii="Century Gothic" w:hAnsi="Century Gothic"/>
                <w:b/>
                <w:bCs/>
                <w:szCs w:val="22"/>
              </w:rPr>
            </w:pPr>
            <w:r w:rsidRPr="00550C6E">
              <w:rPr>
                <w:rFonts w:ascii="Century Gothic" w:hAnsi="Century Gothic"/>
                <w:b/>
                <w:bCs/>
                <w:szCs w:val="22"/>
              </w:rPr>
              <w:t>Outcome</w:t>
            </w:r>
          </w:p>
        </w:tc>
        <w:tc>
          <w:tcPr>
            <w:tcW w:w="2700" w:type="dxa"/>
            <w:tcBorders>
              <w:top w:val="single" w:sz="24" w:space="0" w:color="87262C" w:themeColor="accent2" w:themeShade="BF"/>
              <w:left w:val="nil"/>
              <w:bottom w:val="single" w:sz="8" w:space="0" w:color="D9D9D9" w:themeColor="background1" w:themeShade="D9"/>
              <w:right w:val="nil"/>
            </w:tcBorders>
            <w:shd w:val="clear" w:color="auto" w:fill="BFBFBF" w:themeFill="background1" w:themeFillShade="BF"/>
            <w:tcMar>
              <w:top w:w="0" w:type="dxa"/>
              <w:left w:w="108" w:type="dxa"/>
              <w:bottom w:w="0" w:type="dxa"/>
              <w:right w:w="108" w:type="dxa"/>
            </w:tcMar>
            <w:vAlign w:val="center"/>
            <w:hideMark/>
          </w:tcPr>
          <w:p w14:paraId="54C898C2" w14:textId="77777777" w:rsidR="00CF332B" w:rsidRPr="00550C6E" w:rsidRDefault="00CF332B" w:rsidP="00CF332B">
            <w:pPr>
              <w:jc w:val="center"/>
              <w:rPr>
                <w:rFonts w:ascii="Century Gothic" w:hAnsi="Century Gothic"/>
                <w:b/>
                <w:bCs/>
                <w:szCs w:val="22"/>
              </w:rPr>
            </w:pPr>
            <w:r w:rsidRPr="00550C6E">
              <w:rPr>
                <w:rFonts w:ascii="Century Gothic" w:hAnsi="Century Gothic"/>
                <w:b/>
                <w:bCs/>
                <w:szCs w:val="22"/>
              </w:rPr>
              <w:t>Benchmark Achieved?</w:t>
            </w:r>
          </w:p>
        </w:tc>
      </w:tr>
      <w:tr w:rsidR="00CF332B" w:rsidRPr="002864AA" w14:paraId="793BAA40" w14:textId="77777777" w:rsidTr="0189D8D6">
        <w:trPr>
          <w:trHeight w:val="620"/>
        </w:trPr>
        <w:tc>
          <w:tcPr>
            <w:tcW w:w="188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47408480" w14:textId="7C30D67A" w:rsidR="00CF332B" w:rsidRPr="00550C6E" w:rsidRDefault="00CF332B" w:rsidP="00CF332B">
            <w:pPr>
              <w:rPr>
                <w:rFonts w:ascii="Century Gothic" w:hAnsi="Century Gothic"/>
                <w:szCs w:val="22"/>
              </w:rPr>
            </w:pPr>
            <w:r w:rsidRPr="00550C6E">
              <w:rPr>
                <w:rFonts w:ascii="Century Gothic" w:hAnsi="Century Gothic"/>
                <w:szCs w:val="22"/>
              </w:rPr>
              <w:t>Average amount of savings/escrow of participants affected by this policy in dollars (REEF accounts)</w:t>
            </w:r>
          </w:p>
        </w:tc>
        <w:tc>
          <w:tcPr>
            <w:tcW w:w="153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1127EC88" w14:textId="77777777" w:rsidR="00CF332B" w:rsidRPr="00550C6E" w:rsidRDefault="00CF332B" w:rsidP="00CF332B">
            <w:pPr>
              <w:rPr>
                <w:rFonts w:ascii="Century Gothic" w:hAnsi="Century Gothic"/>
                <w:szCs w:val="22"/>
              </w:rPr>
            </w:pPr>
            <w:r w:rsidRPr="00550C6E">
              <w:rPr>
                <w:rFonts w:ascii="Century Gothic" w:hAnsi="Century Gothic"/>
                <w:szCs w:val="22"/>
              </w:rPr>
              <w:t>Zero</w:t>
            </w:r>
          </w:p>
        </w:tc>
        <w:tc>
          <w:tcPr>
            <w:tcW w:w="198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32CFDFF5" w14:textId="19573BE6" w:rsidR="00CF332B" w:rsidRPr="00550C6E" w:rsidRDefault="00CF332B" w:rsidP="2A137AEF">
            <w:pPr>
              <w:rPr>
                <w:rFonts w:ascii="Century Gothic" w:hAnsi="Century Gothic"/>
                <w:szCs w:val="22"/>
              </w:rPr>
            </w:pPr>
            <w:r w:rsidRPr="00550C6E">
              <w:rPr>
                <w:rFonts w:ascii="Century Gothic" w:hAnsi="Century Gothic"/>
                <w:szCs w:val="22"/>
              </w:rPr>
              <w:t>$8,000 per participant</w:t>
            </w:r>
          </w:p>
          <w:p w14:paraId="6D65F456" w14:textId="2DB5DA49" w:rsidR="00CF332B" w:rsidRPr="00550C6E" w:rsidRDefault="00CF332B" w:rsidP="0189D8D6">
            <w:pPr>
              <w:rPr>
                <w:rFonts w:ascii="Century Gothic" w:eastAsia="MS PGothic" w:hAnsi="Century Gothic"/>
                <w:szCs w:val="22"/>
              </w:rPr>
            </w:pPr>
          </w:p>
          <w:p w14:paraId="1C271F9A" w14:textId="342D524C" w:rsidR="11D6F688" w:rsidRPr="00550C6E" w:rsidRDefault="11D6F688" w:rsidP="0189D8D6">
            <w:pPr>
              <w:rPr>
                <w:rFonts w:ascii="Century Gothic" w:eastAsia="Times New Roman" w:hAnsi="Century Gothic"/>
                <w:szCs w:val="22"/>
              </w:rPr>
            </w:pPr>
            <w:r w:rsidRPr="00550C6E">
              <w:rPr>
                <w:rFonts w:ascii="Century Gothic" w:eastAsia="Times New Roman" w:hAnsi="Century Gothic"/>
                <w:szCs w:val="22"/>
              </w:rPr>
              <w:t>(Adjusted to 2024 dollars $10,772)</w:t>
            </w:r>
          </w:p>
          <w:p w14:paraId="5D8B28A7" w14:textId="2A48D641" w:rsidR="0189D8D6" w:rsidRPr="00550C6E" w:rsidRDefault="0189D8D6" w:rsidP="0189D8D6">
            <w:pPr>
              <w:rPr>
                <w:rFonts w:ascii="Century Gothic" w:eastAsia="MS PGothic" w:hAnsi="Century Gothic"/>
                <w:szCs w:val="22"/>
              </w:rPr>
            </w:pPr>
          </w:p>
          <w:p w14:paraId="43A9E291" w14:textId="3BD7F68B" w:rsidR="00185888" w:rsidRPr="00550C6E" w:rsidRDefault="00185888" w:rsidP="0E6C54AB">
            <w:pPr>
              <w:rPr>
                <w:rFonts w:ascii="Century Gothic" w:eastAsia="Times New Roman" w:hAnsi="Century Gothic"/>
                <w:szCs w:val="22"/>
              </w:rPr>
            </w:pPr>
          </w:p>
        </w:tc>
        <w:tc>
          <w:tcPr>
            <w:tcW w:w="271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75D8C0F9" w14:textId="14994548" w:rsidR="7C9D8700" w:rsidRPr="00550C6E" w:rsidRDefault="44C67CBA" w:rsidP="433078B2">
            <w:pPr>
              <w:rPr>
                <w:rFonts w:ascii="Century Gothic" w:eastAsia="Times New Roman" w:hAnsi="Century Gothic"/>
                <w:szCs w:val="22"/>
              </w:rPr>
            </w:pPr>
            <w:r w:rsidRPr="00550C6E">
              <w:rPr>
                <w:rFonts w:ascii="Century Gothic" w:eastAsia="Times New Roman" w:hAnsi="Century Gothic"/>
                <w:szCs w:val="22"/>
              </w:rPr>
              <w:t>2024: Average: $</w:t>
            </w:r>
            <w:r w:rsidR="3C5F9633" w:rsidRPr="00550C6E">
              <w:rPr>
                <w:rFonts w:ascii="Century Gothic" w:eastAsia="Times New Roman" w:hAnsi="Century Gothic"/>
                <w:szCs w:val="22"/>
              </w:rPr>
              <w:t>12,710</w:t>
            </w:r>
          </w:p>
          <w:p w14:paraId="4AE8F6C4" w14:textId="373EC775" w:rsidR="7C9D8700" w:rsidRPr="00550C6E" w:rsidRDefault="44C67CBA" w:rsidP="433078B2">
            <w:pPr>
              <w:rPr>
                <w:rFonts w:ascii="Century Gothic" w:eastAsia="Times New Roman" w:hAnsi="Century Gothic"/>
                <w:szCs w:val="22"/>
              </w:rPr>
            </w:pPr>
            <w:r w:rsidRPr="00550C6E">
              <w:rPr>
                <w:rFonts w:ascii="Century Gothic" w:eastAsia="Times New Roman" w:hAnsi="Century Gothic"/>
                <w:szCs w:val="22"/>
              </w:rPr>
              <w:t>Brookside: $</w:t>
            </w:r>
            <w:r w:rsidR="4C14F2EF" w:rsidRPr="00550C6E">
              <w:rPr>
                <w:rFonts w:ascii="Century Gothic" w:eastAsia="Times New Roman" w:hAnsi="Century Gothic"/>
                <w:szCs w:val="22"/>
              </w:rPr>
              <w:t>13,510</w:t>
            </w:r>
          </w:p>
          <w:p w14:paraId="77259768" w14:textId="30FAC59A" w:rsidR="7C9D8700" w:rsidRPr="00550C6E" w:rsidRDefault="44C67CBA" w:rsidP="433078B2">
            <w:pPr>
              <w:rPr>
                <w:rFonts w:ascii="Century Gothic" w:eastAsia="Times New Roman" w:hAnsi="Century Gothic"/>
                <w:szCs w:val="22"/>
              </w:rPr>
            </w:pPr>
            <w:r w:rsidRPr="00550C6E">
              <w:rPr>
                <w:rFonts w:ascii="Century Gothic" w:eastAsia="Times New Roman" w:hAnsi="Century Gothic"/>
                <w:szCs w:val="22"/>
              </w:rPr>
              <w:t>Rockview: $</w:t>
            </w:r>
            <w:r w:rsidR="6F11392D" w:rsidRPr="00550C6E">
              <w:rPr>
                <w:rFonts w:ascii="Century Gothic" w:eastAsia="Times New Roman" w:hAnsi="Century Gothic"/>
                <w:szCs w:val="22"/>
              </w:rPr>
              <w:t>11,9</w:t>
            </w:r>
            <w:r w:rsidR="63965717" w:rsidRPr="00550C6E">
              <w:rPr>
                <w:rFonts w:ascii="Century Gothic" w:eastAsia="Times New Roman" w:hAnsi="Century Gothic"/>
                <w:szCs w:val="22"/>
              </w:rPr>
              <w:t xml:space="preserve">10 </w:t>
            </w:r>
          </w:p>
          <w:p w14:paraId="6525D9B4" w14:textId="10A41EE9" w:rsidR="433078B2" w:rsidRPr="00550C6E" w:rsidRDefault="433078B2" w:rsidP="433078B2">
            <w:pPr>
              <w:rPr>
                <w:rFonts w:ascii="Century Gothic" w:eastAsia="Times New Roman" w:hAnsi="Century Gothic"/>
                <w:szCs w:val="22"/>
              </w:rPr>
            </w:pPr>
          </w:p>
          <w:p w14:paraId="6E6D1CA9" w14:textId="2667B60A" w:rsidR="008177E7" w:rsidRPr="00550C6E" w:rsidRDefault="7E4D1F6E" w:rsidP="008177E7">
            <w:pPr>
              <w:rPr>
                <w:rFonts w:ascii="Century Gothic" w:eastAsia="Times New Roman" w:hAnsi="Century Gothic"/>
                <w:szCs w:val="22"/>
              </w:rPr>
            </w:pPr>
            <w:r w:rsidRPr="00550C6E">
              <w:rPr>
                <w:rFonts w:ascii="Century Gothic" w:eastAsia="Times New Roman" w:hAnsi="Century Gothic"/>
                <w:szCs w:val="22"/>
              </w:rPr>
              <w:t>2023:</w:t>
            </w:r>
            <w:r w:rsidR="443D7354" w:rsidRPr="00550C6E">
              <w:rPr>
                <w:rFonts w:ascii="Century Gothic" w:eastAsia="Times New Roman" w:hAnsi="Century Gothic"/>
                <w:szCs w:val="22"/>
              </w:rPr>
              <w:t xml:space="preserve"> Average</w:t>
            </w:r>
            <w:r w:rsidR="04AA8D87" w:rsidRPr="00550C6E">
              <w:rPr>
                <w:rFonts w:ascii="Century Gothic" w:eastAsia="Times New Roman" w:hAnsi="Century Gothic"/>
                <w:szCs w:val="22"/>
              </w:rPr>
              <w:t>:</w:t>
            </w:r>
            <w:r w:rsidR="443D7354" w:rsidRPr="00550C6E">
              <w:rPr>
                <w:rFonts w:ascii="Century Gothic" w:eastAsia="Times New Roman" w:hAnsi="Century Gothic"/>
                <w:szCs w:val="22"/>
              </w:rPr>
              <w:t xml:space="preserve"> $15,512</w:t>
            </w:r>
          </w:p>
          <w:p w14:paraId="6AF1709C" w14:textId="3FCA7E26" w:rsidR="008177E7" w:rsidRPr="00550C6E" w:rsidRDefault="0D749617" w:rsidP="008177E7">
            <w:pPr>
              <w:rPr>
                <w:rFonts w:ascii="Century Gothic" w:eastAsia="Times New Roman" w:hAnsi="Century Gothic"/>
                <w:szCs w:val="22"/>
              </w:rPr>
            </w:pPr>
            <w:r w:rsidRPr="00550C6E">
              <w:rPr>
                <w:rFonts w:ascii="Century Gothic" w:eastAsia="Times New Roman" w:hAnsi="Century Gothic"/>
                <w:szCs w:val="22"/>
              </w:rPr>
              <w:t>Brookside: $</w:t>
            </w:r>
            <w:r w:rsidR="4FDB3518" w:rsidRPr="00550C6E">
              <w:rPr>
                <w:rFonts w:ascii="Century Gothic" w:eastAsia="Times New Roman" w:hAnsi="Century Gothic"/>
                <w:szCs w:val="22"/>
              </w:rPr>
              <w:t>12,843</w:t>
            </w:r>
          </w:p>
          <w:p w14:paraId="4B79FC32" w14:textId="021CDC4B" w:rsidR="008177E7" w:rsidRPr="00550C6E" w:rsidRDefault="0D749617" w:rsidP="008177E7">
            <w:pPr>
              <w:rPr>
                <w:rFonts w:ascii="Century Gothic" w:eastAsia="Times New Roman" w:hAnsi="Century Gothic"/>
                <w:szCs w:val="22"/>
              </w:rPr>
            </w:pPr>
            <w:r w:rsidRPr="00550C6E">
              <w:rPr>
                <w:rFonts w:ascii="Century Gothic" w:eastAsia="Times New Roman" w:hAnsi="Century Gothic"/>
                <w:szCs w:val="22"/>
              </w:rPr>
              <w:t>Rockview: $</w:t>
            </w:r>
            <w:r w:rsidR="195AC9F6" w:rsidRPr="00550C6E">
              <w:rPr>
                <w:rFonts w:ascii="Century Gothic" w:eastAsia="Times New Roman" w:hAnsi="Century Gothic"/>
                <w:szCs w:val="22"/>
              </w:rPr>
              <w:t>12,180</w:t>
            </w:r>
          </w:p>
          <w:p w14:paraId="3422D6D6" w14:textId="77777777" w:rsidR="008177E7" w:rsidRPr="00550C6E" w:rsidRDefault="008177E7" w:rsidP="1B4A8018">
            <w:pPr>
              <w:rPr>
                <w:rFonts w:ascii="Century Gothic" w:eastAsia="Times New Roman" w:hAnsi="Century Gothic"/>
                <w:szCs w:val="22"/>
              </w:rPr>
            </w:pPr>
          </w:p>
          <w:p w14:paraId="0F47D26A" w14:textId="64E2B822" w:rsidR="1B4A8018" w:rsidRPr="00550C6E" w:rsidRDefault="776ACC71" w:rsidP="1B4A8018">
            <w:pPr>
              <w:rPr>
                <w:rFonts w:ascii="Century Gothic" w:eastAsia="Times New Roman" w:hAnsi="Century Gothic"/>
                <w:szCs w:val="22"/>
              </w:rPr>
            </w:pPr>
            <w:r w:rsidRPr="00550C6E">
              <w:rPr>
                <w:rFonts w:ascii="Century Gothic" w:eastAsia="Times New Roman" w:hAnsi="Century Gothic"/>
                <w:szCs w:val="22"/>
              </w:rPr>
              <w:t>2022:</w:t>
            </w:r>
            <w:r w:rsidR="578A26A6" w:rsidRPr="00550C6E">
              <w:rPr>
                <w:rFonts w:ascii="Century Gothic" w:eastAsia="Times New Roman" w:hAnsi="Century Gothic"/>
                <w:szCs w:val="22"/>
              </w:rPr>
              <w:t xml:space="preserve"> Average</w:t>
            </w:r>
            <w:r w:rsidR="0D821F04" w:rsidRPr="00550C6E">
              <w:rPr>
                <w:rFonts w:ascii="Century Gothic" w:eastAsia="Times New Roman" w:hAnsi="Century Gothic"/>
                <w:szCs w:val="22"/>
              </w:rPr>
              <w:t>:</w:t>
            </w:r>
            <w:r w:rsidR="578A26A6" w:rsidRPr="00550C6E">
              <w:rPr>
                <w:rFonts w:ascii="Century Gothic" w:eastAsia="Times New Roman" w:hAnsi="Century Gothic"/>
                <w:szCs w:val="22"/>
              </w:rPr>
              <w:t xml:space="preserve"> $11,211</w:t>
            </w:r>
          </w:p>
          <w:p w14:paraId="3C04288D" w14:textId="559453C5" w:rsidR="1B4A8018" w:rsidRPr="00550C6E" w:rsidRDefault="1B4A8018" w:rsidP="1B4A8018">
            <w:pPr>
              <w:rPr>
                <w:rFonts w:ascii="Century Gothic" w:eastAsia="Times New Roman" w:hAnsi="Century Gothic"/>
                <w:szCs w:val="22"/>
              </w:rPr>
            </w:pPr>
            <w:r w:rsidRPr="00550C6E">
              <w:rPr>
                <w:rFonts w:ascii="Century Gothic" w:eastAsia="Times New Roman" w:hAnsi="Century Gothic"/>
                <w:szCs w:val="22"/>
              </w:rPr>
              <w:t>Brookside: $10,709</w:t>
            </w:r>
          </w:p>
          <w:p w14:paraId="2DF3B8D5" w14:textId="6A62D28C" w:rsidR="1B4A8018" w:rsidRPr="00550C6E" w:rsidRDefault="1B4A8018" w:rsidP="1B4A8018">
            <w:pPr>
              <w:rPr>
                <w:rFonts w:ascii="Century Gothic" w:eastAsia="Times New Roman" w:hAnsi="Century Gothic"/>
                <w:szCs w:val="22"/>
              </w:rPr>
            </w:pPr>
            <w:r w:rsidRPr="00550C6E">
              <w:rPr>
                <w:rFonts w:ascii="Century Gothic" w:eastAsia="Times New Roman" w:hAnsi="Century Gothic"/>
                <w:szCs w:val="22"/>
              </w:rPr>
              <w:t>Rockview: $11,712</w:t>
            </w:r>
          </w:p>
          <w:p w14:paraId="48D1AEE7" w14:textId="09C57D5E" w:rsidR="1B4A8018" w:rsidRPr="00550C6E" w:rsidRDefault="1B4A8018" w:rsidP="1B4A8018">
            <w:pPr>
              <w:rPr>
                <w:rFonts w:ascii="Century Gothic" w:eastAsia="MS PGothic" w:hAnsi="Century Gothic"/>
                <w:szCs w:val="22"/>
              </w:rPr>
            </w:pPr>
          </w:p>
          <w:p w14:paraId="5C04EF37" w14:textId="5C043663" w:rsidR="3CB86D57" w:rsidRPr="00550C6E" w:rsidRDefault="000C2D5B">
            <w:pPr>
              <w:rPr>
                <w:rFonts w:ascii="Century Gothic" w:eastAsia="Times New Roman" w:hAnsi="Century Gothic"/>
                <w:szCs w:val="22"/>
              </w:rPr>
            </w:pPr>
            <w:r w:rsidRPr="00550C6E">
              <w:rPr>
                <w:rFonts w:ascii="Century Gothic" w:eastAsia="Times New Roman" w:hAnsi="Century Gothic"/>
                <w:szCs w:val="22"/>
              </w:rPr>
              <w:t>2021:</w:t>
            </w:r>
            <w:r w:rsidR="0B561D15" w:rsidRPr="00550C6E">
              <w:rPr>
                <w:rFonts w:ascii="Century Gothic" w:eastAsia="Times New Roman" w:hAnsi="Century Gothic"/>
                <w:szCs w:val="22"/>
              </w:rPr>
              <w:t xml:space="preserve"> </w:t>
            </w:r>
            <w:r w:rsidR="3BE2F96C" w:rsidRPr="00550C6E">
              <w:rPr>
                <w:rFonts w:ascii="Century Gothic" w:eastAsia="Times New Roman" w:hAnsi="Century Gothic"/>
                <w:szCs w:val="22"/>
              </w:rPr>
              <w:t>Av</w:t>
            </w:r>
            <w:r w:rsidR="0E4E6083" w:rsidRPr="00550C6E">
              <w:rPr>
                <w:rFonts w:ascii="Century Gothic" w:eastAsia="Times New Roman" w:hAnsi="Century Gothic"/>
                <w:szCs w:val="22"/>
              </w:rPr>
              <w:t>erage: $11,236</w:t>
            </w:r>
          </w:p>
          <w:p w14:paraId="3E5904D2" w14:textId="7CF5DB5D" w:rsidR="3CB86D57" w:rsidRPr="00550C6E" w:rsidRDefault="3CB86D57">
            <w:pPr>
              <w:rPr>
                <w:rFonts w:ascii="Century Gothic" w:eastAsia="Times New Roman" w:hAnsi="Century Gothic"/>
                <w:szCs w:val="22"/>
              </w:rPr>
            </w:pPr>
            <w:r w:rsidRPr="00550C6E">
              <w:rPr>
                <w:rFonts w:ascii="Century Gothic" w:eastAsia="Times New Roman" w:hAnsi="Century Gothic"/>
                <w:szCs w:val="22"/>
              </w:rPr>
              <w:t>Brookside: $10,811</w:t>
            </w:r>
          </w:p>
          <w:p w14:paraId="00475F68" w14:textId="43834012" w:rsidR="3CB86D57" w:rsidRPr="00550C6E" w:rsidRDefault="3CB86D57">
            <w:pPr>
              <w:rPr>
                <w:rFonts w:ascii="Century Gothic" w:eastAsia="Times New Roman" w:hAnsi="Century Gothic"/>
                <w:szCs w:val="22"/>
              </w:rPr>
            </w:pPr>
            <w:r w:rsidRPr="00550C6E">
              <w:rPr>
                <w:rFonts w:ascii="Century Gothic" w:eastAsia="Times New Roman" w:hAnsi="Century Gothic"/>
                <w:szCs w:val="22"/>
              </w:rPr>
              <w:t>Rockview: $11,659.73</w:t>
            </w:r>
          </w:p>
          <w:p w14:paraId="2268DA2F" w14:textId="0E07B8B7" w:rsidR="332E49E3" w:rsidRPr="00550C6E" w:rsidRDefault="332E49E3" w:rsidP="332E49E3">
            <w:pPr>
              <w:rPr>
                <w:rFonts w:ascii="Century Gothic" w:eastAsia="MS PGothic" w:hAnsi="Century Gothic"/>
                <w:szCs w:val="22"/>
              </w:rPr>
            </w:pPr>
          </w:p>
          <w:p w14:paraId="6765A140" w14:textId="5F73903D" w:rsidR="00CF332B" w:rsidRPr="00550C6E" w:rsidRDefault="44CA3C25" w:rsidP="0E6C54AB">
            <w:pPr>
              <w:rPr>
                <w:rFonts w:ascii="Century Gothic" w:hAnsi="Century Gothic"/>
                <w:szCs w:val="22"/>
              </w:rPr>
            </w:pPr>
            <w:r w:rsidRPr="00550C6E">
              <w:rPr>
                <w:rFonts w:ascii="Century Gothic" w:hAnsi="Century Gothic"/>
                <w:szCs w:val="22"/>
              </w:rPr>
              <w:t xml:space="preserve">2020: </w:t>
            </w:r>
            <w:r w:rsidR="0D8CCF71" w:rsidRPr="00550C6E">
              <w:rPr>
                <w:rFonts w:ascii="Century Gothic" w:hAnsi="Century Gothic"/>
                <w:szCs w:val="22"/>
              </w:rPr>
              <w:t>Average: $10,702</w:t>
            </w:r>
          </w:p>
          <w:p w14:paraId="40E80684" w14:textId="13350C6F" w:rsidR="00CF332B" w:rsidRPr="00550C6E" w:rsidRDefault="00CF332B" w:rsidP="00CF332B">
            <w:pPr>
              <w:rPr>
                <w:rFonts w:ascii="Century Gothic" w:hAnsi="Century Gothic"/>
                <w:szCs w:val="22"/>
              </w:rPr>
            </w:pPr>
            <w:r w:rsidRPr="00550C6E">
              <w:rPr>
                <w:rFonts w:ascii="Century Gothic" w:hAnsi="Century Gothic"/>
                <w:szCs w:val="22"/>
              </w:rPr>
              <w:t>Brookside: $10,483</w:t>
            </w:r>
          </w:p>
          <w:p w14:paraId="204ECFDF" w14:textId="77777777" w:rsidR="00CF332B" w:rsidRPr="00550C6E" w:rsidRDefault="00CF332B" w:rsidP="00CF332B">
            <w:pPr>
              <w:rPr>
                <w:rFonts w:ascii="Century Gothic" w:hAnsi="Century Gothic"/>
                <w:szCs w:val="22"/>
              </w:rPr>
            </w:pPr>
            <w:r w:rsidRPr="00550C6E">
              <w:rPr>
                <w:rFonts w:ascii="Century Gothic" w:hAnsi="Century Gothic"/>
                <w:szCs w:val="22"/>
              </w:rPr>
              <w:t>Rockview: $10,920</w:t>
            </w:r>
          </w:p>
          <w:p w14:paraId="0A89504B" w14:textId="1FE7D895" w:rsidR="00CF332B" w:rsidRPr="00550C6E" w:rsidRDefault="00CF332B" w:rsidP="00CF332B">
            <w:pPr>
              <w:rPr>
                <w:rFonts w:ascii="Century Gothic" w:hAnsi="Century Gothic"/>
                <w:szCs w:val="22"/>
              </w:rPr>
            </w:pPr>
          </w:p>
          <w:p w14:paraId="1D7FE000" w14:textId="171936D5" w:rsidR="4ADCF911" w:rsidRPr="00550C6E" w:rsidRDefault="4ADCF911" w:rsidP="29C5A4F5">
            <w:pPr>
              <w:rPr>
                <w:rFonts w:ascii="Century Gothic" w:eastAsia="MS PGothic" w:hAnsi="Century Gothic"/>
                <w:szCs w:val="22"/>
              </w:rPr>
            </w:pPr>
            <w:r w:rsidRPr="00550C6E">
              <w:rPr>
                <w:rFonts w:ascii="Century Gothic" w:eastAsia="MS PGothic" w:hAnsi="Century Gothic"/>
                <w:szCs w:val="22"/>
              </w:rPr>
              <w:t>Prior years’ average savings: $9,308</w:t>
            </w:r>
          </w:p>
          <w:p w14:paraId="721B0832" w14:textId="37C86CFB" w:rsidR="29C5A4F5" w:rsidRPr="00550C6E" w:rsidRDefault="29C5A4F5" w:rsidP="29C5A4F5">
            <w:pPr>
              <w:rPr>
                <w:rFonts w:ascii="Century Gothic" w:eastAsia="MS PGothic" w:hAnsi="Century Gothic"/>
                <w:szCs w:val="22"/>
              </w:rPr>
            </w:pPr>
          </w:p>
          <w:p w14:paraId="09817D68" w14:textId="771A0A09" w:rsidR="00CF332B" w:rsidRPr="00550C6E" w:rsidRDefault="00CF332B" w:rsidP="00CF332B">
            <w:pPr>
              <w:rPr>
                <w:rFonts w:ascii="Century Gothic" w:hAnsi="Century Gothic"/>
                <w:szCs w:val="22"/>
              </w:rPr>
            </w:pPr>
          </w:p>
        </w:tc>
        <w:tc>
          <w:tcPr>
            <w:tcW w:w="2700"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47B4AC1D" w14:textId="77777777" w:rsidR="00CF332B" w:rsidRPr="00550C6E" w:rsidRDefault="00CF332B" w:rsidP="00CF332B">
            <w:pPr>
              <w:rPr>
                <w:rFonts w:ascii="Century Gothic" w:hAnsi="Century Gothic"/>
                <w:szCs w:val="22"/>
              </w:rPr>
            </w:pPr>
            <w:r w:rsidRPr="00550C6E">
              <w:rPr>
                <w:rFonts w:ascii="Century Gothic" w:hAnsi="Century Gothic"/>
                <w:szCs w:val="22"/>
              </w:rPr>
              <w:t>Yes</w:t>
            </w:r>
          </w:p>
        </w:tc>
      </w:tr>
      <w:bookmarkEnd w:id="142"/>
    </w:tbl>
    <w:p w14:paraId="4C948EB6" w14:textId="4E467EB7" w:rsidR="1B3F2E6D" w:rsidRPr="00550C6E" w:rsidRDefault="1B3F2E6D">
      <w:pPr>
        <w:rPr>
          <w:rFonts w:ascii="Century Gothic" w:hAnsi="Century Gothic"/>
          <w:szCs w:val="22"/>
        </w:rPr>
      </w:pPr>
    </w:p>
    <w:p w14:paraId="00FF51AA" w14:textId="77777777" w:rsidR="00CF332B" w:rsidRPr="00550C6E" w:rsidRDefault="00CF332B" w:rsidP="00CF332B">
      <w:pPr>
        <w:rPr>
          <w:rFonts w:ascii="Century Gothic" w:eastAsiaTheme="minorHAnsi" w:hAnsi="Century Gothic"/>
          <w:szCs w:val="22"/>
        </w:rPr>
      </w:pPr>
      <w:r w:rsidRPr="00550C6E">
        <w:rPr>
          <w:rFonts w:ascii="Century Gothic" w:eastAsia="Times New Roman" w:hAnsi="Century Gothic"/>
          <w:szCs w:val="22"/>
        </w:rPr>
        <w:br w:type="page"/>
      </w:r>
    </w:p>
    <w:tbl>
      <w:tblPr>
        <w:tblW w:w="10093" w:type="dxa"/>
        <w:tblCellMar>
          <w:left w:w="0" w:type="dxa"/>
          <w:right w:w="0" w:type="dxa"/>
        </w:tblCellMar>
        <w:tblLook w:val="04A0" w:firstRow="1" w:lastRow="0" w:firstColumn="1" w:lastColumn="0" w:noHBand="0" w:noVBand="1"/>
      </w:tblPr>
      <w:tblGrid>
        <w:gridCol w:w="1686"/>
        <w:gridCol w:w="1105"/>
        <w:gridCol w:w="1768"/>
        <w:gridCol w:w="2403"/>
        <w:gridCol w:w="3131"/>
      </w:tblGrid>
      <w:tr w:rsidR="00CF332B" w:rsidRPr="002864AA" w14:paraId="58504832" w14:textId="77777777" w:rsidTr="128C9D46">
        <w:trPr>
          <w:trHeight w:val="382"/>
        </w:trPr>
        <w:tc>
          <w:tcPr>
            <w:tcW w:w="10093" w:type="dxa"/>
            <w:gridSpan w:val="5"/>
            <w:tcBorders>
              <w:top w:val="nil"/>
              <w:left w:val="nil"/>
              <w:bottom w:val="single" w:sz="24" w:space="0" w:color="ED7D31"/>
              <w:right w:val="nil"/>
            </w:tcBorders>
            <w:shd w:val="clear" w:color="auto" w:fill="808080" w:themeFill="background1" w:themeFillShade="80"/>
            <w:tcMar>
              <w:top w:w="0" w:type="dxa"/>
              <w:left w:w="108" w:type="dxa"/>
              <w:bottom w:w="0" w:type="dxa"/>
              <w:right w:w="108" w:type="dxa"/>
            </w:tcMar>
            <w:hideMark/>
          </w:tcPr>
          <w:p w14:paraId="5DEC9656" w14:textId="77777777" w:rsidR="00CF332B" w:rsidRPr="009F015B" w:rsidRDefault="00CF332B" w:rsidP="00CF332B">
            <w:pPr>
              <w:jc w:val="center"/>
              <w:rPr>
                <w:rFonts w:ascii="Century Gothic" w:hAnsi="Century Gothic"/>
                <w:b/>
                <w:bCs/>
                <w:szCs w:val="22"/>
                <w:lang w:eastAsia="en-US"/>
              </w:rPr>
            </w:pPr>
            <w:bookmarkStart w:id="143" w:name="_Hlk26781130"/>
            <w:r w:rsidRPr="009F015B">
              <w:rPr>
                <w:rFonts w:ascii="Century Gothic" w:hAnsi="Century Gothic"/>
                <w:b/>
                <w:bCs/>
                <w:szCs w:val="22"/>
              </w:rPr>
              <w:lastRenderedPageBreak/>
              <w:t>SS #3: Increase in Positive Outcomes in Employment Status</w:t>
            </w:r>
          </w:p>
        </w:tc>
      </w:tr>
      <w:tr w:rsidR="006D3596" w:rsidRPr="002864AA" w14:paraId="51E03503" w14:textId="77777777" w:rsidTr="128C9D46">
        <w:trPr>
          <w:trHeight w:val="325"/>
        </w:trPr>
        <w:tc>
          <w:tcPr>
            <w:tcW w:w="1500" w:type="dxa"/>
            <w:tcBorders>
              <w:top w:val="single" w:sz="24" w:space="0" w:color="C00000"/>
              <w:left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1AEE7B23" w14:textId="77777777" w:rsidR="00CF332B" w:rsidRPr="009F015B" w:rsidRDefault="00CF332B" w:rsidP="00CF332B">
            <w:pPr>
              <w:jc w:val="center"/>
              <w:rPr>
                <w:rFonts w:ascii="Century Gothic" w:hAnsi="Century Gothic"/>
                <w:b/>
                <w:bCs/>
                <w:szCs w:val="22"/>
              </w:rPr>
            </w:pPr>
            <w:r w:rsidRPr="009F015B">
              <w:rPr>
                <w:rFonts w:ascii="Century Gothic" w:hAnsi="Century Gothic"/>
                <w:b/>
                <w:bCs/>
                <w:szCs w:val="22"/>
              </w:rPr>
              <w:t>Unit of Measurement</w:t>
            </w:r>
          </w:p>
        </w:tc>
        <w:tc>
          <w:tcPr>
            <w:tcW w:w="898" w:type="dxa"/>
            <w:tcBorders>
              <w:top w:val="single" w:sz="24" w:space="0" w:color="C00000"/>
              <w:left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49F6A071" w14:textId="77777777" w:rsidR="00CF332B" w:rsidRPr="009F015B" w:rsidRDefault="00CF332B" w:rsidP="00CF332B">
            <w:pPr>
              <w:jc w:val="center"/>
              <w:rPr>
                <w:rFonts w:ascii="Century Gothic" w:hAnsi="Century Gothic"/>
                <w:b/>
                <w:bCs/>
                <w:szCs w:val="22"/>
              </w:rPr>
            </w:pPr>
            <w:r w:rsidRPr="009F015B">
              <w:rPr>
                <w:rFonts w:ascii="Century Gothic" w:hAnsi="Century Gothic"/>
                <w:b/>
                <w:bCs/>
                <w:szCs w:val="22"/>
              </w:rPr>
              <w:t>Baseline</w:t>
            </w:r>
          </w:p>
        </w:tc>
        <w:tc>
          <w:tcPr>
            <w:tcW w:w="1427" w:type="dxa"/>
            <w:tcBorders>
              <w:top w:val="single" w:sz="24" w:space="0" w:color="C00000"/>
              <w:left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1575E7C5" w14:textId="77777777" w:rsidR="00CF332B" w:rsidRPr="009F015B" w:rsidRDefault="00CF332B" w:rsidP="00CF332B">
            <w:pPr>
              <w:jc w:val="center"/>
              <w:rPr>
                <w:rFonts w:ascii="Century Gothic" w:hAnsi="Century Gothic"/>
                <w:b/>
                <w:bCs/>
                <w:szCs w:val="22"/>
              </w:rPr>
            </w:pPr>
            <w:r w:rsidRPr="009F015B">
              <w:rPr>
                <w:rFonts w:ascii="Century Gothic" w:hAnsi="Century Gothic"/>
                <w:b/>
                <w:bCs/>
                <w:szCs w:val="22"/>
              </w:rPr>
              <w:t>Benchmark</w:t>
            </w:r>
          </w:p>
        </w:tc>
        <w:tc>
          <w:tcPr>
            <w:tcW w:w="2599" w:type="dxa"/>
            <w:tcBorders>
              <w:top w:val="single" w:sz="24" w:space="0" w:color="C00000"/>
              <w:left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67492670" w14:textId="77777777" w:rsidR="00CF332B" w:rsidRPr="009F015B" w:rsidRDefault="00CF332B" w:rsidP="00CF332B">
            <w:pPr>
              <w:jc w:val="center"/>
              <w:rPr>
                <w:rFonts w:ascii="Century Gothic" w:hAnsi="Century Gothic"/>
                <w:b/>
                <w:bCs/>
                <w:szCs w:val="22"/>
              </w:rPr>
            </w:pPr>
            <w:r w:rsidRPr="009F015B">
              <w:rPr>
                <w:rFonts w:ascii="Century Gothic" w:hAnsi="Century Gothic"/>
                <w:b/>
                <w:bCs/>
                <w:szCs w:val="22"/>
              </w:rPr>
              <w:t>Outcome</w:t>
            </w:r>
          </w:p>
        </w:tc>
        <w:tc>
          <w:tcPr>
            <w:tcW w:w="3669" w:type="dxa"/>
            <w:tcBorders>
              <w:top w:val="single" w:sz="24" w:space="0" w:color="C00000"/>
            </w:tcBorders>
            <w:shd w:val="clear" w:color="auto" w:fill="BFBFBF" w:themeFill="background1" w:themeFillShade="BF"/>
            <w:tcMar>
              <w:top w:w="0" w:type="dxa"/>
              <w:left w:w="108" w:type="dxa"/>
              <w:bottom w:w="0" w:type="dxa"/>
              <w:right w:w="108" w:type="dxa"/>
            </w:tcMar>
            <w:vAlign w:val="center"/>
            <w:hideMark/>
          </w:tcPr>
          <w:p w14:paraId="7C548787" w14:textId="77777777" w:rsidR="00CF332B" w:rsidRPr="009F015B" w:rsidRDefault="00CF332B" w:rsidP="00CF332B">
            <w:pPr>
              <w:jc w:val="center"/>
              <w:rPr>
                <w:rFonts w:ascii="Century Gothic" w:hAnsi="Century Gothic"/>
                <w:b/>
                <w:bCs/>
                <w:szCs w:val="22"/>
              </w:rPr>
            </w:pPr>
            <w:r w:rsidRPr="009F015B">
              <w:rPr>
                <w:rFonts w:ascii="Century Gothic" w:hAnsi="Century Gothic"/>
                <w:b/>
                <w:bCs/>
                <w:szCs w:val="22"/>
              </w:rPr>
              <w:t>Benchmark Achieved?</w:t>
            </w:r>
          </w:p>
        </w:tc>
      </w:tr>
      <w:tr w:rsidR="006D3596" w:rsidRPr="002864AA" w14:paraId="1460B10B" w14:textId="77777777" w:rsidTr="128C9D46">
        <w:trPr>
          <w:trHeight w:val="4613"/>
        </w:trPr>
        <w:tc>
          <w:tcPr>
            <w:tcW w:w="1500" w:type="dxa"/>
            <w:tcBorders>
              <w:top w:val="nil"/>
              <w:left w:val="nil"/>
              <w:right w:val="single" w:sz="8" w:space="0" w:color="D9D9D9" w:themeColor="background1" w:themeShade="D9"/>
            </w:tcBorders>
            <w:tcMar>
              <w:top w:w="0" w:type="dxa"/>
              <w:left w:w="108" w:type="dxa"/>
              <w:bottom w:w="0" w:type="dxa"/>
              <w:right w:w="108" w:type="dxa"/>
            </w:tcMar>
            <w:hideMark/>
          </w:tcPr>
          <w:p w14:paraId="215E8E61" w14:textId="77777777" w:rsidR="00CF332B" w:rsidRPr="009F015B" w:rsidRDefault="00CF332B" w:rsidP="00CF332B">
            <w:pPr>
              <w:rPr>
                <w:rFonts w:ascii="Century Gothic" w:hAnsi="Century Gothic"/>
                <w:szCs w:val="22"/>
              </w:rPr>
            </w:pPr>
            <w:r w:rsidRPr="009F015B">
              <w:rPr>
                <w:rFonts w:ascii="Century Gothic" w:hAnsi="Century Gothic"/>
                <w:szCs w:val="22"/>
              </w:rPr>
              <w:t>Number of participants enrolled in education /job development training</w:t>
            </w:r>
          </w:p>
        </w:tc>
        <w:tc>
          <w:tcPr>
            <w:tcW w:w="898" w:type="dxa"/>
            <w:tcBorders>
              <w:top w:val="nil"/>
              <w:left w:val="nil"/>
              <w:right w:val="single" w:sz="8" w:space="0" w:color="D9D9D9" w:themeColor="background1" w:themeShade="D9"/>
            </w:tcBorders>
            <w:tcMar>
              <w:top w:w="0" w:type="dxa"/>
              <w:left w:w="108" w:type="dxa"/>
              <w:bottom w:w="0" w:type="dxa"/>
              <w:right w:w="108" w:type="dxa"/>
            </w:tcMar>
            <w:hideMark/>
          </w:tcPr>
          <w:p w14:paraId="4388F45B" w14:textId="77777777" w:rsidR="00CF332B" w:rsidRPr="009F015B" w:rsidRDefault="4C624F21" w:rsidP="00CF332B">
            <w:pPr>
              <w:rPr>
                <w:rFonts w:ascii="Century Gothic" w:hAnsi="Century Gothic"/>
                <w:szCs w:val="22"/>
              </w:rPr>
            </w:pPr>
            <w:r w:rsidRPr="009F015B">
              <w:rPr>
                <w:rFonts w:ascii="Century Gothic" w:hAnsi="Century Gothic"/>
                <w:szCs w:val="22"/>
              </w:rPr>
              <w:t>Zero</w:t>
            </w:r>
          </w:p>
        </w:tc>
        <w:tc>
          <w:tcPr>
            <w:tcW w:w="1427" w:type="dxa"/>
            <w:tcBorders>
              <w:top w:val="nil"/>
              <w:left w:val="nil"/>
              <w:right w:val="single" w:sz="8" w:space="0" w:color="D9D9D9" w:themeColor="background1" w:themeShade="D9"/>
            </w:tcBorders>
            <w:tcMar>
              <w:top w:w="0" w:type="dxa"/>
              <w:left w:w="108" w:type="dxa"/>
              <w:bottom w:w="0" w:type="dxa"/>
              <w:right w:w="108" w:type="dxa"/>
            </w:tcMar>
            <w:hideMark/>
          </w:tcPr>
          <w:p w14:paraId="78132E15" w14:textId="77777777" w:rsidR="00CF332B" w:rsidRPr="009F015B" w:rsidRDefault="4C624F21" w:rsidP="00CF332B">
            <w:pPr>
              <w:rPr>
                <w:rFonts w:ascii="Century Gothic" w:hAnsi="Century Gothic"/>
                <w:szCs w:val="22"/>
              </w:rPr>
            </w:pPr>
            <w:r w:rsidRPr="009F015B">
              <w:rPr>
                <w:rFonts w:ascii="Century Gothic" w:hAnsi="Century Gothic"/>
                <w:szCs w:val="22"/>
              </w:rPr>
              <w:t>10% annual increase in enrollment of education/job development classes</w:t>
            </w:r>
          </w:p>
        </w:tc>
        <w:tc>
          <w:tcPr>
            <w:tcW w:w="2599" w:type="dxa"/>
            <w:tcBorders>
              <w:top w:val="nil"/>
              <w:left w:val="nil"/>
              <w:right w:val="single" w:sz="8" w:space="0" w:color="D9D9D9" w:themeColor="background1" w:themeShade="D9"/>
            </w:tcBorders>
            <w:tcMar>
              <w:top w:w="0" w:type="dxa"/>
              <w:left w:w="108" w:type="dxa"/>
              <w:bottom w:w="0" w:type="dxa"/>
              <w:right w:w="108" w:type="dxa"/>
            </w:tcMar>
          </w:tcPr>
          <w:p w14:paraId="42058A97" w14:textId="61A8452C" w:rsidR="4C0BD497" w:rsidRPr="009F015B" w:rsidRDefault="17A27CF1" w:rsidP="433078B2">
            <w:pPr>
              <w:spacing w:line="264" w:lineRule="auto"/>
              <w:jc w:val="both"/>
              <w:rPr>
                <w:rFonts w:ascii="Century Gothic" w:eastAsia="Times New Roman" w:hAnsi="Century Gothic"/>
                <w:b/>
                <w:bCs/>
                <w:color w:val="000000" w:themeColor="text1"/>
                <w:szCs w:val="22"/>
              </w:rPr>
            </w:pPr>
            <w:r w:rsidRPr="009F015B">
              <w:rPr>
                <w:rFonts w:ascii="Century Gothic" w:hAnsi="Century Gothic"/>
                <w:szCs w:val="22"/>
              </w:rPr>
              <w:t>2024:</w:t>
            </w:r>
            <w:r w:rsidR="4B4FDCBE" w:rsidRPr="009F015B">
              <w:rPr>
                <w:rFonts w:ascii="Century Gothic" w:hAnsi="Century Gothic"/>
                <w:szCs w:val="22"/>
              </w:rPr>
              <w:t>102</w:t>
            </w:r>
            <w:r w:rsidRPr="009F015B">
              <w:rPr>
                <w:rFonts w:ascii="Century Gothic" w:hAnsi="Century Gothic"/>
                <w:szCs w:val="22"/>
              </w:rPr>
              <w:t xml:space="preserve"> </w:t>
            </w:r>
            <w:r w:rsidRPr="009F015B">
              <w:rPr>
                <w:rFonts w:ascii="Century Gothic" w:eastAsia="Times New Roman" w:hAnsi="Century Gothic"/>
                <w:color w:val="000000" w:themeColor="text1"/>
                <w:szCs w:val="22"/>
              </w:rPr>
              <w:t>participants</w:t>
            </w:r>
          </w:p>
          <w:p w14:paraId="556EAB88" w14:textId="60F0EBCF" w:rsidR="4C0BD497" w:rsidRDefault="3225D9B2" w:rsidP="128C9D46">
            <w:pPr>
              <w:spacing w:line="264" w:lineRule="auto"/>
              <w:jc w:val="both"/>
              <w:rPr>
                <w:rFonts w:ascii="Century Gothic" w:eastAsia="Times New Roman" w:hAnsi="Century Gothic"/>
                <w:color w:val="000000" w:themeColor="text1"/>
              </w:rPr>
            </w:pPr>
            <w:r w:rsidRPr="128C9D46">
              <w:rPr>
                <w:rFonts w:ascii="Century Gothic" w:eastAsia="Times New Roman" w:hAnsi="Century Gothic"/>
                <w:color w:val="000000" w:themeColor="text1"/>
              </w:rPr>
              <w:t>(</w:t>
            </w:r>
            <w:r w:rsidR="125EA8B0" w:rsidRPr="128C9D46">
              <w:rPr>
                <w:rFonts w:ascii="Century Gothic" w:eastAsia="Times New Roman" w:hAnsi="Century Gothic"/>
                <w:color w:val="000000" w:themeColor="text1"/>
              </w:rPr>
              <w:t>41</w:t>
            </w:r>
            <w:r w:rsidRPr="128C9D46">
              <w:rPr>
                <w:rFonts w:ascii="Century Gothic" w:eastAsia="Times New Roman" w:hAnsi="Century Gothic"/>
                <w:color w:val="000000" w:themeColor="text1"/>
              </w:rPr>
              <w:t xml:space="preserve">% </w:t>
            </w:r>
            <w:r w:rsidR="6BC21593" w:rsidRPr="128C9D46">
              <w:rPr>
                <w:rFonts w:ascii="Century Gothic" w:eastAsia="Times New Roman" w:hAnsi="Century Gothic"/>
                <w:color w:val="000000" w:themeColor="text1"/>
              </w:rPr>
              <w:t>de</w:t>
            </w:r>
            <w:r w:rsidRPr="128C9D46">
              <w:rPr>
                <w:rFonts w:ascii="Century Gothic" w:eastAsia="Times New Roman" w:hAnsi="Century Gothic"/>
                <w:color w:val="000000" w:themeColor="text1"/>
              </w:rPr>
              <w:t>crease</w:t>
            </w:r>
            <w:r w:rsidR="00375780">
              <w:rPr>
                <w:rFonts w:ascii="Century Gothic" w:eastAsia="Times New Roman" w:hAnsi="Century Gothic"/>
                <w:color w:val="000000" w:themeColor="text1"/>
              </w:rPr>
              <w:t xml:space="preserve"> due </w:t>
            </w:r>
            <w:r w:rsidR="00254B43">
              <w:rPr>
                <w:rFonts w:ascii="Century Gothic" w:eastAsia="Times New Roman" w:hAnsi="Century Gothic"/>
                <w:color w:val="000000" w:themeColor="text1"/>
              </w:rPr>
              <w:t>to graduates and exemptions</w:t>
            </w:r>
          </w:p>
          <w:p w14:paraId="1CC3B95F" w14:textId="77777777" w:rsidR="00ED1520" w:rsidRPr="009F015B" w:rsidRDefault="00ED1520" w:rsidP="433078B2">
            <w:pPr>
              <w:spacing w:line="264" w:lineRule="auto"/>
              <w:jc w:val="both"/>
              <w:rPr>
                <w:rFonts w:ascii="Century Gothic" w:eastAsia="Times New Roman" w:hAnsi="Century Gothic"/>
                <w:b/>
                <w:bCs/>
                <w:color w:val="000000" w:themeColor="text1"/>
                <w:szCs w:val="22"/>
              </w:rPr>
            </w:pPr>
          </w:p>
          <w:p w14:paraId="4355A0C4" w14:textId="3D055A09" w:rsidR="44C1D1E3" w:rsidRPr="009F015B" w:rsidRDefault="44C1D1E3" w:rsidP="2CA740EE">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Employment Training: 7</w:t>
            </w:r>
          </w:p>
          <w:p w14:paraId="3970D356" w14:textId="028DB4C7" w:rsidR="4C0BD497" w:rsidRPr="009F015B" w:rsidRDefault="17A27CF1" w:rsidP="2CA740EE">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Higher Education: </w:t>
            </w:r>
            <w:r w:rsidR="67545B8C" w:rsidRPr="009F015B">
              <w:rPr>
                <w:rFonts w:ascii="Century Gothic" w:eastAsia="Times New Roman" w:hAnsi="Century Gothic"/>
                <w:i/>
                <w:iCs/>
                <w:color w:val="000000" w:themeColor="text1"/>
                <w:szCs w:val="22"/>
              </w:rPr>
              <w:t>7</w:t>
            </w:r>
          </w:p>
          <w:p w14:paraId="58866292" w14:textId="29035D2B" w:rsidR="4C0BD497" w:rsidRPr="009F015B" w:rsidRDefault="17A27CF1" w:rsidP="2CA740EE">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College (4yr): </w:t>
            </w:r>
            <w:r w:rsidR="08D6196A" w:rsidRPr="009F015B">
              <w:rPr>
                <w:rFonts w:ascii="Century Gothic" w:eastAsia="Times New Roman" w:hAnsi="Century Gothic"/>
                <w:i/>
                <w:iCs/>
                <w:color w:val="000000" w:themeColor="text1"/>
                <w:szCs w:val="22"/>
              </w:rPr>
              <w:t>5</w:t>
            </w:r>
          </w:p>
          <w:p w14:paraId="7CEE117C" w14:textId="55DAB280" w:rsidR="4C0BD497" w:rsidRPr="009F015B" w:rsidRDefault="7DCF515A" w:rsidP="0189D8D6">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NHS Homebuyer </w:t>
            </w:r>
            <w:r w:rsidR="52692791" w:rsidRPr="009F015B">
              <w:rPr>
                <w:rFonts w:ascii="Century Gothic" w:eastAsia="Times New Roman" w:hAnsi="Century Gothic"/>
                <w:i/>
                <w:iCs/>
                <w:color w:val="000000" w:themeColor="text1"/>
                <w:szCs w:val="22"/>
              </w:rPr>
              <w:t>8</w:t>
            </w:r>
          </w:p>
          <w:p w14:paraId="79775625" w14:textId="11BEA7F8" w:rsidR="4C0BD497" w:rsidRPr="009F015B" w:rsidRDefault="17A27CF1" w:rsidP="2CA740EE">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Asset Building: </w:t>
            </w:r>
            <w:r w:rsidR="4AC6F6C4" w:rsidRPr="009F015B">
              <w:rPr>
                <w:rFonts w:ascii="Century Gothic" w:eastAsia="Times New Roman" w:hAnsi="Century Gothic"/>
                <w:i/>
                <w:iCs/>
                <w:color w:val="000000" w:themeColor="text1"/>
                <w:szCs w:val="22"/>
              </w:rPr>
              <w:t>2</w:t>
            </w:r>
          </w:p>
          <w:p w14:paraId="1F1D6601" w14:textId="4ECE9D81" w:rsidR="4C0BD497" w:rsidRPr="009F015B" w:rsidRDefault="17A27CF1" w:rsidP="2CA740EE">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Financial Empowerment Center: </w:t>
            </w:r>
            <w:r w:rsidR="26CF4347" w:rsidRPr="009F015B">
              <w:rPr>
                <w:rFonts w:ascii="Century Gothic" w:eastAsia="Times New Roman" w:hAnsi="Century Gothic"/>
                <w:i/>
                <w:iCs/>
                <w:color w:val="000000" w:themeColor="text1"/>
                <w:szCs w:val="22"/>
              </w:rPr>
              <w:t>15</w:t>
            </w:r>
          </w:p>
          <w:p w14:paraId="098A09A6" w14:textId="2233D7BF" w:rsidR="4C0BD497" w:rsidRPr="009F015B" w:rsidRDefault="17A27CF1" w:rsidP="2CA740EE">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FSS Webinars:</w:t>
            </w:r>
            <w:r w:rsidR="1FDDAF4B" w:rsidRPr="009F015B">
              <w:rPr>
                <w:rFonts w:ascii="Century Gothic" w:eastAsia="Times New Roman" w:hAnsi="Century Gothic"/>
                <w:i/>
                <w:iCs/>
                <w:color w:val="000000" w:themeColor="text1"/>
                <w:szCs w:val="22"/>
              </w:rPr>
              <w:t>48</w:t>
            </w:r>
            <w:r w:rsidRPr="009F015B">
              <w:rPr>
                <w:rFonts w:ascii="Century Gothic" w:eastAsia="Times New Roman" w:hAnsi="Century Gothic"/>
                <w:i/>
                <w:iCs/>
                <w:color w:val="000000" w:themeColor="text1"/>
                <w:szCs w:val="22"/>
              </w:rPr>
              <w:t xml:space="preserve"> </w:t>
            </w:r>
          </w:p>
          <w:p w14:paraId="44A2CA8A" w14:textId="1221A4AE" w:rsidR="4C0BD497" w:rsidRPr="009F015B" w:rsidRDefault="17A27CF1" w:rsidP="2CA740EE">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GED: </w:t>
            </w:r>
            <w:r w:rsidR="52D7C4E9" w:rsidRPr="009F015B">
              <w:rPr>
                <w:rFonts w:ascii="Century Gothic" w:eastAsia="Times New Roman" w:hAnsi="Century Gothic"/>
                <w:i/>
                <w:iCs/>
                <w:color w:val="000000" w:themeColor="text1"/>
                <w:szCs w:val="22"/>
              </w:rPr>
              <w:t>4</w:t>
            </w:r>
          </w:p>
          <w:p w14:paraId="07485547" w14:textId="75A1891B" w:rsidR="4C0BD497" w:rsidRPr="009F015B" w:rsidRDefault="17A27CF1" w:rsidP="2CA740EE">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ROB: </w:t>
            </w:r>
            <w:r w:rsidR="2490EE64" w:rsidRPr="009F015B">
              <w:rPr>
                <w:rFonts w:ascii="Century Gothic" w:eastAsia="Times New Roman" w:hAnsi="Century Gothic"/>
                <w:i/>
                <w:iCs/>
                <w:color w:val="000000" w:themeColor="text1"/>
                <w:szCs w:val="22"/>
              </w:rPr>
              <w:t>6</w:t>
            </w:r>
          </w:p>
          <w:p w14:paraId="7388245E" w14:textId="7DBBE5B1" w:rsidR="433078B2" w:rsidRPr="009F015B" w:rsidRDefault="433078B2" w:rsidP="433078B2">
            <w:pPr>
              <w:spacing w:line="264" w:lineRule="auto"/>
              <w:jc w:val="both"/>
              <w:rPr>
                <w:rFonts w:ascii="Century Gothic" w:hAnsi="Century Gothic"/>
                <w:szCs w:val="22"/>
              </w:rPr>
            </w:pPr>
          </w:p>
          <w:p w14:paraId="45DBF7F4" w14:textId="40E2C0E4" w:rsidR="00273449" w:rsidRPr="009F015B" w:rsidRDefault="3069DDBB" w:rsidP="0E6C54AB">
            <w:pPr>
              <w:spacing w:line="264" w:lineRule="auto"/>
              <w:jc w:val="both"/>
              <w:rPr>
                <w:rFonts w:ascii="Century Gothic" w:eastAsia="Times New Roman" w:hAnsi="Century Gothic"/>
                <w:b/>
                <w:bCs/>
                <w:color w:val="000000" w:themeColor="text1"/>
                <w:szCs w:val="22"/>
              </w:rPr>
            </w:pPr>
            <w:r w:rsidRPr="009F015B">
              <w:rPr>
                <w:rFonts w:ascii="Century Gothic" w:hAnsi="Century Gothic"/>
                <w:szCs w:val="22"/>
              </w:rPr>
              <w:t>2023</w:t>
            </w:r>
            <w:r w:rsidR="0616F5DB" w:rsidRPr="009F015B">
              <w:rPr>
                <w:rFonts w:ascii="Century Gothic" w:hAnsi="Century Gothic"/>
                <w:szCs w:val="22"/>
              </w:rPr>
              <w:t>:</w:t>
            </w:r>
            <w:r w:rsidR="0FF9E30C" w:rsidRPr="009F015B">
              <w:rPr>
                <w:rFonts w:ascii="Century Gothic" w:hAnsi="Century Gothic"/>
                <w:szCs w:val="22"/>
              </w:rPr>
              <w:t>174</w:t>
            </w:r>
            <w:r w:rsidR="0F50F3F6" w:rsidRPr="009F015B">
              <w:rPr>
                <w:rFonts w:ascii="Century Gothic" w:hAnsi="Century Gothic"/>
                <w:szCs w:val="22"/>
              </w:rPr>
              <w:t xml:space="preserve"> </w:t>
            </w:r>
            <w:r w:rsidRPr="009F015B">
              <w:rPr>
                <w:rFonts w:ascii="Century Gothic" w:eastAsia="Times New Roman" w:hAnsi="Century Gothic"/>
                <w:color w:val="000000" w:themeColor="text1"/>
                <w:szCs w:val="22"/>
              </w:rPr>
              <w:t>participants</w:t>
            </w:r>
          </w:p>
          <w:p w14:paraId="42398CF7" w14:textId="3991CE7E" w:rsidR="00273449" w:rsidRDefault="22B55B20" w:rsidP="00273449">
            <w:pPr>
              <w:spacing w:line="264" w:lineRule="auto"/>
              <w:jc w:val="both"/>
              <w:rPr>
                <w:rFonts w:ascii="Century Gothic" w:eastAsia="Times New Roman" w:hAnsi="Century Gothic"/>
                <w:color w:val="000000" w:themeColor="text1"/>
                <w:szCs w:val="22"/>
              </w:rPr>
            </w:pPr>
            <w:r w:rsidRPr="009F015B">
              <w:rPr>
                <w:rFonts w:ascii="Century Gothic" w:eastAsia="Times New Roman" w:hAnsi="Century Gothic"/>
                <w:color w:val="000000" w:themeColor="text1"/>
                <w:szCs w:val="22"/>
              </w:rPr>
              <w:t>(210% increase)</w:t>
            </w:r>
          </w:p>
          <w:p w14:paraId="73369F16" w14:textId="77777777" w:rsidR="00EB70E6" w:rsidRPr="009F015B" w:rsidRDefault="00EB70E6" w:rsidP="00273449">
            <w:pPr>
              <w:spacing w:line="264" w:lineRule="auto"/>
              <w:jc w:val="both"/>
              <w:rPr>
                <w:rFonts w:ascii="Century Gothic" w:eastAsia="Times New Roman" w:hAnsi="Century Gothic"/>
                <w:b/>
                <w:bCs/>
                <w:color w:val="000000" w:themeColor="text1"/>
                <w:szCs w:val="22"/>
              </w:rPr>
            </w:pPr>
          </w:p>
          <w:p w14:paraId="34E1CA94" w14:textId="343A877F" w:rsidR="00273449" w:rsidRPr="009F015B" w:rsidRDefault="611C1213"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Higher Education: </w:t>
            </w:r>
            <w:r w:rsidR="613AAFB4" w:rsidRPr="009F015B">
              <w:rPr>
                <w:rFonts w:ascii="Century Gothic" w:eastAsia="Times New Roman" w:hAnsi="Century Gothic"/>
                <w:i/>
                <w:iCs/>
                <w:color w:val="000000" w:themeColor="text1"/>
                <w:szCs w:val="22"/>
              </w:rPr>
              <w:t>7</w:t>
            </w:r>
          </w:p>
          <w:p w14:paraId="55256A5A" w14:textId="5D0B6C4D" w:rsidR="00273449" w:rsidRPr="009F015B" w:rsidRDefault="611C1213"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College (4yr): </w:t>
            </w:r>
            <w:r w:rsidR="3AA28CEB" w:rsidRPr="009F015B">
              <w:rPr>
                <w:rFonts w:ascii="Century Gothic" w:eastAsia="Times New Roman" w:hAnsi="Century Gothic"/>
                <w:i/>
                <w:iCs/>
                <w:color w:val="000000" w:themeColor="text1"/>
                <w:szCs w:val="22"/>
              </w:rPr>
              <w:t>5</w:t>
            </w:r>
          </w:p>
          <w:p w14:paraId="176DEFB1" w14:textId="3E358A3E" w:rsidR="00273449" w:rsidRPr="009F015B" w:rsidRDefault="611C1213"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NHS Homebuyer</w:t>
            </w:r>
            <w:r w:rsidR="12E67A79" w:rsidRPr="009F015B">
              <w:rPr>
                <w:rFonts w:ascii="Century Gothic" w:eastAsia="Times New Roman" w:hAnsi="Century Gothic"/>
                <w:i/>
                <w:iCs/>
                <w:color w:val="000000" w:themeColor="text1"/>
                <w:szCs w:val="22"/>
              </w:rPr>
              <w:t xml:space="preserve"> 3</w:t>
            </w:r>
            <w:r w:rsidRPr="009F015B">
              <w:rPr>
                <w:rFonts w:ascii="Century Gothic" w:eastAsia="Times New Roman" w:hAnsi="Century Gothic"/>
                <w:i/>
                <w:iCs/>
                <w:color w:val="000000" w:themeColor="text1"/>
                <w:szCs w:val="22"/>
              </w:rPr>
              <w:t xml:space="preserve"> </w:t>
            </w:r>
          </w:p>
          <w:p w14:paraId="6F91097A" w14:textId="37DFC014" w:rsidR="00273449" w:rsidRPr="009F015B" w:rsidRDefault="611C1213"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Asset Building: </w:t>
            </w:r>
            <w:r w:rsidR="51471E95" w:rsidRPr="009F015B">
              <w:rPr>
                <w:rFonts w:ascii="Century Gothic" w:eastAsia="Times New Roman" w:hAnsi="Century Gothic"/>
                <w:i/>
                <w:iCs/>
                <w:color w:val="000000" w:themeColor="text1"/>
                <w:szCs w:val="22"/>
              </w:rPr>
              <w:t>64</w:t>
            </w:r>
          </w:p>
          <w:p w14:paraId="2A2585A8" w14:textId="560ECBB6" w:rsidR="00273449" w:rsidRPr="009F015B" w:rsidRDefault="611C1213"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Financial</w:t>
            </w:r>
            <w:r w:rsidR="7DC627D6" w:rsidRPr="009F015B">
              <w:rPr>
                <w:rFonts w:ascii="Century Gothic" w:eastAsia="Times New Roman" w:hAnsi="Century Gothic"/>
                <w:i/>
                <w:iCs/>
                <w:color w:val="000000" w:themeColor="text1"/>
                <w:szCs w:val="22"/>
              </w:rPr>
              <w:t xml:space="preserve"> </w:t>
            </w:r>
            <w:r w:rsidRPr="009F015B">
              <w:rPr>
                <w:rFonts w:ascii="Century Gothic" w:eastAsia="Times New Roman" w:hAnsi="Century Gothic"/>
                <w:i/>
                <w:iCs/>
                <w:color w:val="000000" w:themeColor="text1"/>
                <w:szCs w:val="22"/>
              </w:rPr>
              <w:t xml:space="preserve">Empowerment Center: </w:t>
            </w:r>
            <w:r w:rsidR="35924B2C" w:rsidRPr="009F015B">
              <w:rPr>
                <w:rFonts w:ascii="Century Gothic" w:eastAsia="Times New Roman" w:hAnsi="Century Gothic"/>
                <w:i/>
                <w:iCs/>
                <w:color w:val="000000" w:themeColor="text1"/>
                <w:szCs w:val="22"/>
              </w:rPr>
              <w:t>39</w:t>
            </w:r>
          </w:p>
          <w:p w14:paraId="65E80D28" w14:textId="5E9060B3" w:rsidR="48423D4E" w:rsidRPr="009F015B" w:rsidRDefault="35924B2C"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FSS Webinars: 50</w:t>
            </w:r>
          </w:p>
          <w:p w14:paraId="03B98F1C" w14:textId="6C6B7827" w:rsidR="48423D4E" w:rsidRPr="009F015B" w:rsidRDefault="35924B2C"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GED: 3</w:t>
            </w:r>
          </w:p>
          <w:p w14:paraId="4A1CEF1C" w14:textId="18FDF6E2" w:rsidR="48423D4E" w:rsidRPr="009F015B" w:rsidRDefault="35924B2C"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ROB: 3</w:t>
            </w:r>
          </w:p>
          <w:p w14:paraId="5B526F85" w14:textId="77777777" w:rsidR="003E55B0" w:rsidRPr="009F015B" w:rsidRDefault="003E55B0" w:rsidP="0E6C54AB">
            <w:pPr>
              <w:spacing w:line="264" w:lineRule="auto"/>
              <w:jc w:val="both"/>
              <w:rPr>
                <w:rFonts w:ascii="Century Gothic" w:hAnsi="Century Gothic"/>
                <w:szCs w:val="22"/>
              </w:rPr>
            </w:pPr>
          </w:p>
          <w:p w14:paraId="35DF3A0F" w14:textId="10E6F80B" w:rsidR="1B4A8018" w:rsidRPr="009F015B" w:rsidRDefault="776ACC71" w:rsidP="0E6C54AB">
            <w:pPr>
              <w:spacing w:line="264" w:lineRule="auto"/>
              <w:jc w:val="both"/>
              <w:rPr>
                <w:rFonts w:ascii="Century Gothic" w:eastAsia="Times New Roman" w:hAnsi="Century Gothic"/>
                <w:color w:val="000000" w:themeColor="text1"/>
                <w:szCs w:val="22"/>
              </w:rPr>
            </w:pPr>
            <w:r w:rsidRPr="009F015B">
              <w:rPr>
                <w:rFonts w:ascii="Century Gothic" w:hAnsi="Century Gothic"/>
                <w:szCs w:val="22"/>
              </w:rPr>
              <w:t>2022</w:t>
            </w:r>
            <w:r w:rsidR="0091011D">
              <w:rPr>
                <w:rFonts w:ascii="Century Gothic" w:hAnsi="Century Gothic"/>
                <w:szCs w:val="22"/>
              </w:rPr>
              <w:t xml:space="preserve">: </w:t>
            </w:r>
            <w:r w:rsidRPr="009F015B">
              <w:rPr>
                <w:rFonts w:ascii="Century Gothic" w:eastAsia="Times New Roman" w:hAnsi="Century Gothic"/>
                <w:color w:val="000000" w:themeColor="text1"/>
                <w:szCs w:val="22"/>
              </w:rPr>
              <w:t>56 participants</w:t>
            </w:r>
            <w:r w:rsidR="2DE894EB" w:rsidRPr="009F015B">
              <w:rPr>
                <w:rFonts w:ascii="Century Gothic" w:eastAsia="Times New Roman" w:hAnsi="Century Gothic"/>
                <w:color w:val="000000" w:themeColor="text1"/>
                <w:szCs w:val="22"/>
              </w:rPr>
              <w:t xml:space="preserve"> </w:t>
            </w:r>
          </w:p>
          <w:p w14:paraId="1FE5679A" w14:textId="3C230B4B" w:rsidR="1B4A8018" w:rsidRDefault="2DE894EB" w:rsidP="7AF60685">
            <w:pPr>
              <w:spacing w:line="264" w:lineRule="auto"/>
              <w:jc w:val="both"/>
              <w:rPr>
                <w:rFonts w:ascii="Century Gothic" w:eastAsia="Times New Roman" w:hAnsi="Century Gothic"/>
                <w:color w:val="000000" w:themeColor="text1"/>
                <w:szCs w:val="22"/>
              </w:rPr>
            </w:pPr>
            <w:r w:rsidRPr="009F015B">
              <w:rPr>
                <w:rFonts w:ascii="Century Gothic" w:eastAsia="Times New Roman" w:hAnsi="Century Gothic"/>
                <w:color w:val="000000" w:themeColor="text1"/>
                <w:szCs w:val="22"/>
              </w:rPr>
              <w:t>(</w:t>
            </w:r>
            <w:r w:rsidR="17DEF52D" w:rsidRPr="009F015B">
              <w:rPr>
                <w:rFonts w:ascii="Century Gothic" w:eastAsia="Times New Roman" w:hAnsi="Century Gothic"/>
                <w:color w:val="000000" w:themeColor="text1"/>
                <w:szCs w:val="22"/>
              </w:rPr>
              <w:t>52 % decrease)</w:t>
            </w:r>
          </w:p>
          <w:p w14:paraId="67AFFBBA" w14:textId="77777777" w:rsidR="0091011D" w:rsidRPr="009F015B" w:rsidRDefault="0091011D" w:rsidP="7AF60685">
            <w:pPr>
              <w:spacing w:line="264" w:lineRule="auto"/>
              <w:jc w:val="both"/>
              <w:rPr>
                <w:rFonts w:ascii="Century Gothic" w:eastAsia="Times New Roman" w:hAnsi="Century Gothic"/>
                <w:color w:val="000000" w:themeColor="text1"/>
                <w:szCs w:val="22"/>
              </w:rPr>
            </w:pPr>
          </w:p>
          <w:p w14:paraId="07DD64E6" w14:textId="22A1D874" w:rsidR="1B4A8018" w:rsidRPr="009F015B" w:rsidRDefault="776ACC71"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Higher Education: 8</w:t>
            </w:r>
          </w:p>
          <w:p w14:paraId="3DCF4E67" w14:textId="11C12F29" w:rsidR="1B4A8018" w:rsidRPr="009F015B" w:rsidRDefault="776ACC71"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College (4yr): 5</w:t>
            </w:r>
          </w:p>
          <w:p w14:paraId="3C1B0334" w14:textId="1CABFD2E" w:rsidR="1B4A8018" w:rsidRPr="009F015B" w:rsidRDefault="776ACC71"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 xml:space="preserve">NHS Homebuyer: 5 </w:t>
            </w:r>
          </w:p>
          <w:p w14:paraId="198F5DD7" w14:textId="79F60497" w:rsidR="1B4A8018" w:rsidRPr="009F015B" w:rsidRDefault="776ACC71"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Asset Building: 27</w:t>
            </w:r>
          </w:p>
          <w:p w14:paraId="61DB0576" w14:textId="77777777" w:rsidR="00BB6F41" w:rsidRDefault="776ACC71"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lastRenderedPageBreak/>
              <w:t>Financial</w:t>
            </w:r>
            <w:r w:rsidR="0F0BB866" w:rsidRPr="009F015B">
              <w:rPr>
                <w:rFonts w:ascii="Century Gothic" w:eastAsia="Times New Roman" w:hAnsi="Century Gothic"/>
                <w:i/>
                <w:iCs/>
                <w:color w:val="000000" w:themeColor="text1"/>
                <w:szCs w:val="22"/>
              </w:rPr>
              <w:t xml:space="preserve"> </w:t>
            </w:r>
            <w:r w:rsidRPr="009F015B">
              <w:rPr>
                <w:rFonts w:ascii="Century Gothic" w:eastAsia="Times New Roman" w:hAnsi="Century Gothic"/>
                <w:i/>
                <w:iCs/>
                <w:color w:val="000000" w:themeColor="text1"/>
                <w:szCs w:val="22"/>
              </w:rPr>
              <w:t xml:space="preserve">Empowerment Center1:1 </w:t>
            </w:r>
          </w:p>
          <w:p w14:paraId="3D3DD3F5" w14:textId="01E5A441" w:rsidR="1B4A8018" w:rsidRPr="009F015B" w:rsidRDefault="776ACC71" w:rsidP="0E6C54AB">
            <w:pPr>
              <w:spacing w:line="264" w:lineRule="auto"/>
              <w:jc w:val="both"/>
              <w:rPr>
                <w:rFonts w:ascii="Century Gothic" w:eastAsia="Times New Roman" w:hAnsi="Century Gothic"/>
                <w:i/>
                <w:iCs/>
                <w:color w:val="000000" w:themeColor="text1"/>
                <w:szCs w:val="22"/>
              </w:rPr>
            </w:pPr>
            <w:r w:rsidRPr="009F015B">
              <w:rPr>
                <w:rFonts w:ascii="Century Gothic" w:eastAsia="Times New Roman" w:hAnsi="Century Gothic"/>
                <w:i/>
                <w:iCs/>
                <w:color w:val="000000" w:themeColor="text1"/>
                <w:szCs w:val="22"/>
              </w:rPr>
              <w:t>Budget Counseling: 9</w:t>
            </w:r>
          </w:p>
          <w:p w14:paraId="5020B86F" w14:textId="08FB3851" w:rsidR="1B4A8018" w:rsidRPr="00BB6F41" w:rsidRDefault="1B4A8018" w:rsidP="1B4A8018">
            <w:pPr>
              <w:rPr>
                <w:rFonts w:ascii="Century Gothic" w:eastAsia="MS PGothic" w:hAnsi="Century Gothic"/>
                <w:szCs w:val="22"/>
              </w:rPr>
            </w:pPr>
          </w:p>
          <w:p w14:paraId="0157E462" w14:textId="79F66669" w:rsidR="00CF332B" w:rsidRPr="00BB6F41" w:rsidRDefault="00CF332B" w:rsidP="00A43BB6">
            <w:pPr>
              <w:rPr>
                <w:rFonts w:ascii="Century Gothic" w:eastAsia="MS PGothic" w:hAnsi="Century Gothic"/>
                <w:szCs w:val="22"/>
              </w:rPr>
            </w:pPr>
          </w:p>
        </w:tc>
        <w:tc>
          <w:tcPr>
            <w:tcW w:w="3669" w:type="dxa"/>
            <w:tcBorders>
              <w:top w:val="nil"/>
              <w:left w:val="nil"/>
              <w:right w:val="nil"/>
            </w:tcBorders>
            <w:tcMar>
              <w:top w:w="0" w:type="dxa"/>
              <w:left w:w="108" w:type="dxa"/>
              <w:bottom w:w="0" w:type="dxa"/>
              <w:right w:w="108" w:type="dxa"/>
            </w:tcMar>
            <w:hideMark/>
          </w:tcPr>
          <w:p w14:paraId="2316F111" w14:textId="77777777" w:rsidR="00CF332B" w:rsidRDefault="235A1EDF" w:rsidP="00CF332B">
            <w:pPr>
              <w:rPr>
                <w:rFonts w:ascii="Century Gothic" w:hAnsi="Century Gothic"/>
                <w:szCs w:val="22"/>
              </w:rPr>
            </w:pPr>
            <w:r w:rsidRPr="00BB6F41">
              <w:rPr>
                <w:rFonts w:ascii="Century Gothic" w:hAnsi="Century Gothic"/>
                <w:szCs w:val="22"/>
              </w:rPr>
              <w:lastRenderedPageBreak/>
              <w:t>No</w:t>
            </w:r>
            <w:r w:rsidR="004E7418">
              <w:rPr>
                <w:rFonts w:ascii="Century Gothic" w:hAnsi="Century Gothic"/>
                <w:szCs w:val="22"/>
              </w:rPr>
              <w:t xml:space="preserve"> </w:t>
            </w:r>
          </w:p>
          <w:p w14:paraId="23E146AA" w14:textId="469E2CF5" w:rsidR="004E7418" w:rsidRPr="00BB6F41" w:rsidRDefault="004E7418" w:rsidP="00CF332B">
            <w:pPr>
              <w:rPr>
                <w:rFonts w:ascii="Century Gothic" w:hAnsi="Century Gothic"/>
                <w:szCs w:val="22"/>
              </w:rPr>
            </w:pPr>
          </w:p>
        </w:tc>
      </w:tr>
      <w:bookmarkEnd w:id="143"/>
    </w:tbl>
    <w:p w14:paraId="1D223CD4" w14:textId="55D1DA4E" w:rsidR="1B3F2E6D" w:rsidRPr="00BB6F41" w:rsidRDefault="1B3F2E6D">
      <w:pPr>
        <w:rPr>
          <w:rFonts w:ascii="Century Gothic" w:hAnsi="Century Gothic"/>
          <w:szCs w:val="22"/>
        </w:rPr>
      </w:pPr>
    </w:p>
    <w:p w14:paraId="5C74A456" w14:textId="77777777" w:rsidR="00CF332B" w:rsidRPr="00BB6F41" w:rsidRDefault="00CF332B" w:rsidP="00CF332B">
      <w:pPr>
        <w:rPr>
          <w:rFonts w:ascii="Century Gothic" w:eastAsiaTheme="minorHAnsi" w:hAnsi="Century Gothic"/>
          <w:szCs w:val="22"/>
        </w:rPr>
      </w:pPr>
      <w:r w:rsidRPr="00BB6F41">
        <w:rPr>
          <w:rFonts w:ascii="Century Gothic" w:eastAsia="Times New Roman" w:hAnsi="Century Gothic"/>
          <w:szCs w:val="22"/>
        </w:rPr>
        <w:br w:type="page"/>
      </w:r>
    </w:p>
    <w:tbl>
      <w:tblPr>
        <w:tblW w:w="10440" w:type="dxa"/>
        <w:tblInd w:w="270" w:type="dxa"/>
        <w:tblCellMar>
          <w:left w:w="0" w:type="dxa"/>
          <w:right w:w="0" w:type="dxa"/>
        </w:tblCellMar>
        <w:tblLook w:val="04A0" w:firstRow="1" w:lastRow="0" w:firstColumn="1" w:lastColumn="0" w:noHBand="0" w:noVBand="1"/>
      </w:tblPr>
      <w:tblGrid>
        <w:gridCol w:w="1686"/>
        <w:gridCol w:w="1194"/>
        <w:gridCol w:w="1730"/>
        <w:gridCol w:w="3447"/>
        <w:gridCol w:w="2383"/>
      </w:tblGrid>
      <w:tr w:rsidR="00CF332B" w:rsidRPr="002864AA" w14:paraId="56C2CCF5" w14:textId="77777777" w:rsidTr="433078B2">
        <w:trPr>
          <w:trHeight w:val="400"/>
        </w:trPr>
        <w:tc>
          <w:tcPr>
            <w:tcW w:w="10440" w:type="dxa"/>
            <w:gridSpan w:val="5"/>
            <w:tcBorders>
              <w:top w:val="nil"/>
              <w:left w:val="nil"/>
              <w:bottom w:val="single" w:sz="24" w:space="0" w:color="ED7D31"/>
              <w:right w:val="nil"/>
            </w:tcBorders>
            <w:shd w:val="clear" w:color="auto" w:fill="808080" w:themeFill="background1" w:themeFillShade="80"/>
            <w:tcMar>
              <w:top w:w="0" w:type="dxa"/>
              <w:left w:w="108" w:type="dxa"/>
              <w:bottom w:w="0" w:type="dxa"/>
              <w:right w:w="108" w:type="dxa"/>
            </w:tcMar>
            <w:hideMark/>
          </w:tcPr>
          <w:p w14:paraId="01D15552" w14:textId="77777777" w:rsidR="00CF332B" w:rsidRPr="00BB6F41" w:rsidRDefault="00CF332B" w:rsidP="00CF332B">
            <w:pPr>
              <w:jc w:val="center"/>
              <w:rPr>
                <w:rFonts w:ascii="Century Gothic" w:hAnsi="Century Gothic"/>
                <w:b/>
                <w:bCs/>
                <w:szCs w:val="22"/>
                <w:lang w:eastAsia="en-US"/>
              </w:rPr>
            </w:pPr>
            <w:r w:rsidRPr="00BB6F41">
              <w:rPr>
                <w:rFonts w:ascii="Century Gothic" w:hAnsi="Century Gothic"/>
                <w:b/>
                <w:bCs/>
                <w:szCs w:val="22"/>
              </w:rPr>
              <w:lastRenderedPageBreak/>
              <w:t>SS #4: Households Removed from Temporary Assistance for Needy Families (TANF)</w:t>
            </w:r>
          </w:p>
        </w:tc>
      </w:tr>
      <w:tr w:rsidR="00CF332B" w:rsidRPr="002864AA" w14:paraId="05EEDF7E" w14:textId="77777777" w:rsidTr="433078B2">
        <w:trPr>
          <w:trHeight w:val="340"/>
        </w:trPr>
        <w:tc>
          <w:tcPr>
            <w:tcW w:w="1345" w:type="dxa"/>
            <w:tcBorders>
              <w:top w:val="single" w:sz="24" w:space="0" w:color="C00000"/>
              <w:left w:val="nil"/>
              <w:bottom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0A3DA641" w14:textId="77777777" w:rsidR="00CF332B" w:rsidRPr="004A2B16" w:rsidRDefault="00CF332B" w:rsidP="00CF332B">
            <w:pPr>
              <w:jc w:val="center"/>
              <w:rPr>
                <w:rFonts w:ascii="Century Gothic" w:hAnsi="Century Gothic"/>
                <w:b/>
                <w:bCs/>
                <w:szCs w:val="22"/>
              </w:rPr>
            </w:pPr>
            <w:r w:rsidRPr="004A2B16">
              <w:rPr>
                <w:rFonts w:ascii="Century Gothic" w:hAnsi="Century Gothic"/>
                <w:b/>
                <w:bCs/>
                <w:szCs w:val="22"/>
              </w:rPr>
              <w:t>Unit of Measurement</w:t>
            </w:r>
          </w:p>
        </w:tc>
        <w:tc>
          <w:tcPr>
            <w:tcW w:w="1195" w:type="dxa"/>
            <w:tcBorders>
              <w:top w:val="single" w:sz="24" w:space="0" w:color="C00000"/>
              <w:left w:val="nil"/>
              <w:bottom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7A1FCE85" w14:textId="77777777" w:rsidR="00CF332B" w:rsidRPr="004A2B16" w:rsidRDefault="2BCB89B1" w:rsidP="00CF332B">
            <w:pPr>
              <w:jc w:val="center"/>
              <w:rPr>
                <w:rFonts w:ascii="Century Gothic" w:hAnsi="Century Gothic"/>
                <w:b/>
                <w:bCs/>
                <w:szCs w:val="22"/>
              </w:rPr>
            </w:pPr>
            <w:r w:rsidRPr="004A2B16">
              <w:rPr>
                <w:rFonts w:ascii="Century Gothic" w:hAnsi="Century Gothic"/>
                <w:b/>
                <w:bCs/>
                <w:szCs w:val="22"/>
              </w:rPr>
              <w:t>Baseline</w:t>
            </w:r>
          </w:p>
        </w:tc>
        <w:tc>
          <w:tcPr>
            <w:tcW w:w="1703" w:type="dxa"/>
            <w:tcBorders>
              <w:top w:val="single" w:sz="24" w:space="0" w:color="C00000"/>
              <w:left w:val="nil"/>
              <w:bottom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3142CC63" w14:textId="77777777" w:rsidR="00CF332B" w:rsidRPr="004A2B16" w:rsidRDefault="2BCB89B1" w:rsidP="00CF332B">
            <w:pPr>
              <w:jc w:val="center"/>
              <w:rPr>
                <w:rFonts w:ascii="Century Gothic" w:hAnsi="Century Gothic"/>
                <w:b/>
                <w:bCs/>
                <w:szCs w:val="22"/>
              </w:rPr>
            </w:pPr>
            <w:r w:rsidRPr="004A2B16">
              <w:rPr>
                <w:rFonts w:ascii="Century Gothic" w:hAnsi="Century Gothic"/>
                <w:b/>
                <w:bCs/>
                <w:szCs w:val="22"/>
              </w:rPr>
              <w:t>Benchmark***</w:t>
            </w:r>
          </w:p>
        </w:tc>
        <w:tc>
          <w:tcPr>
            <w:tcW w:w="3701" w:type="dxa"/>
            <w:tcBorders>
              <w:top w:val="single" w:sz="24" w:space="0" w:color="C00000"/>
              <w:left w:val="nil"/>
              <w:bottom w:val="nil"/>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6AA7C668" w14:textId="77777777" w:rsidR="00CF332B" w:rsidRPr="004A2B16" w:rsidRDefault="44CA3C25" w:rsidP="00CF332B">
            <w:pPr>
              <w:jc w:val="center"/>
              <w:rPr>
                <w:rFonts w:ascii="Century Gothic" w:hAnsi="Century Gothic"/>
                <w:b/>
                <w:bCs/>
                <w:szCs w:val="22"/>
              </w:rPr>
            </w:pPr>
            <w:r w:rsidRPr="004A2B16">
              <w:rPr>
                <w:rFonts w:ascii="Century Gothic" w:hAnsi="Century Gothic"/>
                <w:b/>
                <w:bCs/>
                <w:szCs w:val="22"/>
              </w:rPr>
              <w:t>Outcome</w:t>
            </w:r>
          </w:p>
        </w:tc>
        <w:tc>
          <w:tcPr>
            <w:tcW w:w="2496" w:type="dxa"/>
            <w:tcBorders>
              <w:top w:val="single" w:sz="24" w:space="0" w:color="C00000"/>
            </w:tcBorders>
            <w:shd w:val="clear" w:color="auto" w:fill="BFBFBF" w:themeFill="background1" w:themeFillShade="BF"/>
            <w:tcMar>
              <w:top w:w="0" w:type="dxa"/>
              <w:left w:w="108" w:type="dxa"/>
              <w:bottom w:w="0" w:type="dxa"/>
              <w:right w:w="108" w:type="dxa"/>
            </w:tcMar>
            <w:vAlign w:val="center"/>
            <w:hideMark/>
          </w:tcPr>
          <w:p w14:paraId="417378D2" w14:textId="77777777" w:rsidR="00CF332B" w:rsidRPr="004A2B16" w:rsidRDefault="00CF332B" w:rsidP="00CF332B">
            <w:pPr>
              <w:jc w:val="center"/>
              <w:rPr>
                <w:rFonts w:ascii="Century Gothic" w:hAnsi="Century Gothic"/>
                <w:b/>
                <w:bCs/>
                <w:szCs w:val="22"/>
              </w:rPr>
            </w:pPr>
            <w:r w:rsidRPr="004A2B16">
              <w:rPr>
                <w:rFonts w:ascii="Century Gothic" w:hAnsi="Century Gothic"/>
                <w:b/>
                <w:bCs/>
                <w:szCs w:val="22"/>
              </w:rPr>
              <w:t>Benchmark Achieved?</w:t>
            </w:r>
          </w:p>
        </w:tc>
      </w:tr>
      <w:tr w:rsidR="00CF332B" w:rsidRPr="002864AA" w14:paraId="7297D6FA" w14:textId="77777777" w:rsidTr="433078B2">
        <w:trPr>
          <w:trHeight w:val="818"/>
        </w:trPr>
        <w:tc>
          <w:tcPr>
            <w:tcW w:w="134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38009806" w14:textId="77777777" w:rsidR="00CF332B" w:rsidRPr="004A2B16" w:rsidRDefault="00CF332B" w:rsidP="00CF332B">
            <w:pPr>
              <w:rPr>
                <w:rFonts w:ascii="Century Gothic" w:hAnsi="Century Gothic"/>
                <w:szCs w:val="22"/>
              </w:rPr>
            </w:pPr>
            <w:r w:rsidRPr="004A2B16">
              <w:rPr>
                <w:rFonts w:ascii="Century Gothic" w:hAnsi="Century Gothic"/>
                <w:szCs w:val="22"/>
              </w:rPr>
              <w:t>Percentage of households receiving TANF assistance</w:t>
            </w:r>
          </w:p>
        </w:tc>
        <w:tc>
          <w:tcPr>
            <w:tcW w:w="119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09D50150" w14:textId="77777777" w:rsidR="00CF332B" w:rsidRPr="004A2B16" w:rsidRDefault="2BCB89B1" w:rsidP="00CF332B">
            <w:pPr>
              <w:rPr>
                <w:rFonts w:ascii="Century Gothic" w:hAnsi="Century Gothic"/>
                <w:szCs w:val="22"/>
              </w:rPr>
            </w:pPr>
            <w:r w:rsidRPr="004A2B16">
              <w:rPr>
                <w:rFonts w:ascii="Century Gothic" w:hAnsi="Century Gothic"/>
                <w:szCs w:val="22"/>
              </w:rPr>
              <w:t>2013: 4 (11% of Transition CARES)</w:t>
            </w:r>
          </w:p>
        </w:tc>
        <w:tc>
          <w:tcPr>
            <w:tcW w:w="1703"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4BA01974" w14:textId="77777777" w:rsidR="00CF332B" w:rsidRPr="004A2B16" w:rsidRDefault="2BCB89B1" w:rsidP="00CF332B">
            <w:pPr>
              <w:rPr>
                <w:rFonts w:ascii="Century Gothic" w:hAnsi="Century Gothic"/>
                <w:szCs w:val="22"/>
              </w:rPr>
            </w:pPr>
            <w:r w:rsidRPr="004A2B16">
              <w:rPr>
                <w:rFonts w:ascii="Century Gothic" w:hAnsi="Century Gothic"/>
                <w:szCs w:val="22"/>
              </w:rPr>
              <w:t xml:space="preserve">Reduction by 20% </w:t>
            </w:r>
            <w:proofErr w:type="gramStart"/>
            <w:r w:rsidRPr="004A2B16">
              <w:rPr>
                <w:rFonts w:ascii="Century Gothic" w:hAnsi="Century Gothic"/>
                <w:szCs w:val="22"/>
              </w:rPr>
              <w:t>of prior year</w:t>
            </w:r>
            <w:proofErr w:type="gramEnd"/>
            <w:r w:rsidRPr="004A2B16">
              <w:rPr>
                <w:rFonts w:ascii="Century Gothic" w:hAnsi="Century Gothic"/>
                <w:szCs w:val="22"/>
              </w:rPr>
              <w:t xml:space="preserve"> households receiving TANF</w:t>
            </w:r>
          </w:p>
        </w:tc>
        <w:tc>
          <w:tcPr>
            <w:tcW w:w="3701"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3B7F222A" w14:textId="66E54789" w:rsidR="3F69565D" w:rsidRPr="004A2B16" w:rsidRDefault="3F69565D" w:rsidP="433078B2">
            <w:pPr>
              <w:rPr>
                <w:rFonts w:ascii="Century Gothic" w:eastAsia="Times New Roman" w:hAnsi="Century Gothic"/>
                <w:szCs w:val="22"/>
                <w:u w:val="single"/>
              </w:rPr>
            </w:pPr>
            <w:r w:rsidRPr="004A2B16">
              <w:rPr>
                <w:rFonts w:ascii="Century Gothic" w:eastAsia="Times New Roman" w:hAnsi="Century Gothic"/>
                <w:szCs w:val="22"/>
                <w:u w:val="single"/>
              </w:rPr>
              <w:t>2024 Total:</w:t>
            </w:r>
          </w:p>
          <w:p w14:paraId="3520C96A" w14:textId="25732EAB" w:rsidR="3F69565D" w:rsidRPr="004A2B16" w:rsidRDefault="3F69565D" w:rsidP="433078B2">
            <w:pPr>
              <w:rPr>
                <w:rFonts w:ascii="Century Gothic" w:eastAsia="Times New Roman" w:hAnsi="Century Gothic"/>
                <w:szCs w:val="22"/>
              </w:rPr>
            </w:pPr>
            <w:r w:rsidRPr="004A2B16">
              <w:rPr>
                <w:rFonts w:ascii="Century Gothic" w:eastAsia="Times New Roman" w:hAnsi="Century Gothic"/>
                <w:szCs w:val="22"/>
              </w:rPr>
              <w:t>Brookside Transition: 4</w:t>
            </w:r>
          </w:p>
          <w:p w14:paraId="27513909" w14:textId="4BE85E03" w:rsidR="3F69565D" w:rsidRPr="004A2B16" w:rsidRDefault="3F69565D" w:rsidP="433078B2">
            <w:pPr>
              <w:rPr>
                <w:rFonts w:ascii="Century Gothic" w:eastAsia="Times New Roman" w:hAnsi="Century Gothic"/>
                <w:szCs w:val="22"/>
              </w:rPr>
            </w:pPr>
            <w:r w:rsidRPr="004A2B16">
              <w:rPr>
                <w:rFonts w:ascii="Century Gothic" w:eastAsia="Times New Roman" w:hAnsi="Century Gothic"/>
                <w:szCs w:val="22"/>
              </w:rPr>
              <w:t>Brookside Full: 0</w:t>
            </w:r>
          </w:p>
          <w:p w14:paraId="07E9BDEF" w14:textId="03D1A4D4" w:rsidR="3F69565D" w:rsidRPr="004A2B16" w:rsidRDefault="3F69565D" w:rsidP="433078B2">
            <w:pPr>
              <w:rPr>
                <w:rFonts w:ascii="Century Gothic" w:eastAsia="Times New Roman" w:hAnsi="Century Gothic"/>
                <w:szCs w:val="22"/>
              </w:rPr>
            </w:pPr>
            <w:r w:rsidRPr="004A2B16">
              <w:rPr>
                <w:rFonts w:ascii="Century Gothic" w:eastAsia="Times New Roman" w:hAnsi="Century Gothic"/>
                <w:szCs w:val="22"/>
              </w:rPr>
              <w:t>Rockview Full:0</w:t>
            </w:r>
          </w:p>
          <w:p w14:paraId="2C720E26" w14:textId="44BAD95C" w:rsidR="3F69565D" w:rsidRPr="004A2B16" w:rsidRDefault="3F69565D" w:rsidP="433078B2">
            <w:pPr>
              <w:rPr>
                <w:rFonts w:ascii="Century Gothic" w:eastAsia="Times New Roman" w:hAnsi="Century Gothic"/>
                <w:szCs w:val="22"/>
                <w:u w:val="single"/>
              </w:rPr>
            </w:pPr>
            <w:r w:rsidRPr="004A2B16">
              <w:rPr>
                <w:rFonts w:ascii="Century Gothic" w:eastAsia="Times New Roman" w:hAnsi="Century Gothic"/>
                <w:szCs w:val="22"/>
              </w:rPr>
              <w:t>Rockview Transition: 0</w:t>
            </w:r>
          </w:p>
          <w:p w14:paraId="7F5D0CB8" w14:textId="67D6E77C" w:rsidR="3F69565D" w:rsidRPr="004A2B16" w:rsidRDefault="3F69565D" w:rsidP="433078B2">
            <w:pPr>
              <w:rPr>
                <w:rFonts w:ascii="Century Gothic" w:eastAsia="MS PGothic" w:hAnsi="Century Gothic"/>
                <w:szCs w:val="22"/>
              </w:rPr>
            </w:pPr>
            <w:r w:rsidRPr="004A2B16">
              <w:rPr>
                <w:rFonts w:ascii="Century Gothic" w:eastAsia="MS PGothic" w:hAnsi="Century Gothic"/>
                <w:szCs w:val="22"/>
              </w:rPr>
              <w:t xml:space="preserve"> 0.75% increase</w:t>
            </w:r>
          </w:p>
          <w:p w14:paraId="7BCB6785" w14:textId="77777777" w:rsidR="433078B2" w:rsidRPr="004A2B16" w:rsidRDefault="433078B2" w:rsidP="433078B2">
            <w:pPr>
              <w:rPr>
                <w:rFonts w:ascii="Century Gothic" w:eastAsia="Times New Roman" w:hAnsi="Century Gothic"/>
                <w:szCs w:val="22"/>
                <w:u w:val="single"/>
              </w:rPr>
            </w:pPr>
          </w:p>
          <w:p w14:paraId="30EBC5A7" w14:textId="5C699749" w:rsidR="00273449" w:rsidRPr="004A2B16" w:rsidRDefault="21627243" w:rsidP="00273449">
            <w:pPr>
              <w:rPr>
                <w:rFonts w:ascii="Century Gothic" w:eastAsia="Times New Roman" w:hAnsi="Century Gothic"/>
                <w:szCs w:val="22"/>
                <w:u w:val="single"/>
              </w:rPr>
            </w:pPr>
            <w:r w:rsidRPr="004A2B16">
              <w:rPr>
                <w:rFonts w:ascii="Century Gothic" w:eastAsia="Times New Roman" w:hAnsi="Century Gothic"/>
                <w:szCs w:val="22"/>
                <w:u w:val="single"/>
              </w:rPr>
              <w:t>2023 Total:</w:t>
            </w:r>
          </w:p>
          <w:p w14:paraId="600A703B" w14:textId="72773F3E" w:rsidR="00273449" w:rsidRPr="004A2B16" w:rsidRDefault="25C8D501" w:rsidP="00273449">
            <w:pPr>
              <w:rPr>
                <w:rFonts w:ascii="Century Gothic" w:eastAsia="Times New Roman" w:hAnsi="Century Gothic"/>
                <w:szCs w:val="22"/>
              </w:rPr>
            </w:pPr>
            <w:r w:rsidRPr="004A2B16">
              <w:rPr>
                <w:rFonts w:ascii="Century Gothic" w:eastAsia="Times New Roman" w:hAnsi="Century Gothic"/>
                <w:szCs w:val="22"/>
              </w:rPr>
              <w:t xml:space="preserve">Brookside Transition: </w:t>
            </w:r>
            <w:r w:rsidR="30A5420A" w:rsidRPr="004A2B16">
              <w:rPr>
                <w:rFonts w:ascii="Century Gothic" w:eastAsia="Times New Roman" w:hAnsi="Century Gothic"/>
                <w:szCs w:val="22"/>
              </w:rPr>
              <w:t>3</w:t>
            </w:r>
          </w:p>
          <w:p w14:paraId="0B807C1A" w14:textId="4BE85E03" w:rsidR="00273449" w:rsidRPr="004A2B16" w:rsidRDefault="25C8D501" w:rsidP="00273449">
            <w:pPr>
              <w:rPr>
                <w:rFonts w:ascii="Century Gothic" w:eastAsia="Times New Roman" w:hAnsi="Century Gothic"/>
                <w:szCs w:val="22"/>
              </w:rPr>
            </w:pPr>
            <w:r w:rsidRPr="004A2B16">
              <w:rPr>
                <w:rFonts w:ascii="Century Gothic" w:eastAsia="Times New Roman" w:hAnsi="Century Gothic"/>
                <w:szCs w:val="22"/>
              </w:rPr>
              <w:t xml:space="preserve">Brookside Full: </w:t>
            </w:r>
            <w:r w:rsidR="3974B6E1" w:rsidRPr="004A2B16">
              <w:rPr>
                <w:rFonts w:ascii="Century Gothic" w:eastAsia="Times New Roman" w:hAnsi="Century Gothic"/>
                <w:szCs w:val="22"/>
              </w:rPr>
              <w:t>0</w:t>
            </w:r>
          </w:p>
          <w:p w14:paraId="5B259DCD" w14:textId="03D1A4D4" w:rsidR="00273449" w:rsidRPr="004A2B16" w:rsidRDefault="21627243" w:rsidP="00273449">
            <w:pPr>
              <w:rPr>
                <w:rFonts w:ascii="Century Gothic" w:eastAsia="Times New Roman" w:hAnsi="Century Gothic"/>
                <w:szCs w:val="22"/>
              </w:rPr>
            </w:pPr>
            <w:r w:rsidRPr="004A2B16">
              <w:rPr>
                <w:rFonts w:ascii="Century Gothic" w:eastAsia="Times New Roman" w:hAnsi="Century Gothic"/>
                <w:szCs w:val="22"/>
              </w:rPr>
              <w:t>Rockview Full:</w:t>
            </w:r>
            <w:r w:rsidR="6FC67922" w:rsidRPr="004A2B16">
              <w:rPr>
                <w:rFonts w:ascii="Century Gothic" w:eastAsia="Times New Roman" w:hAnsi="Century Gothic"/>
                <w:szCs w:val="22"/>
              </w:rPr>
              <w:t>0</w:t>
            </w:r>
          </w:p>
          <w:p w14:paraId="4D23AFB1" w14:textId="44BAD95C" w:rsidR="00273449" w:rsidRPr="004A2B16" w:rsidRDefault="4729B178" w:rsidP="00273449">
            <w:pPr>
              <w:rPr>
                <w:rFonts w:ascii="Century Gothic" w:eastAsia="Times New Roman" w:hAnsi="Century Gothic"/>
                <w:szCs w:val="22"/>
                <w:u w:val="single"/>
              </w:rPr>
            </w:pPr>
            <w:r w:rsidRPr="004A2B16">
              <w:rPr>
                <w:rFonts w:ascii="Century Gothic" w:eastAsia="Times New Roman" w:hAnsi="Century Gothic"/>
                <w:szCs w:val="22"/>
              </w:rPr>
              <w:t xml:space="preserve">Rockview Transition: </w:t>
            </w:r>
            <w:r w:rsidR="47C2BB5E" w:rsidRPr="004A2B16">
              <w:rPr>
                <w:rFonts w:ascii="Century Gothic" w:eastAsia="Times New Roman" w:hAnsi="Century Gothic"/>
                <w:szCs w:val="22"/>
              </w:rPr>
              <w:t>0</w:t>
            </w:r>
          </w:p>
          <w:p w14:paraId="6D17FA8E" w14:textId="70FF05B4" w:rsidR="00273449" w:rsidRPr="004A2B16" w:rsidRDefault="57D16D41" w:rsidP="0E6C54AB">
            <w:pPr>
              <w:rPr>
                <w:rFonts w:ascii="Century Gothic" w:eastAsia="MS PGothic" w:hAnsi="Century Gothic"/>
                <w:szCs w:val="22"/>
              </w:rPr>
            </w:pPr>
            <w:r w:rsidRPr="004A2B16">
              <w:rPr>
                <w:rFonts w:ascii="Century Gothic" w:eastAsia="MS PGothic" w:hAnsi="Century Gothic"/>
                <w:szCs w:val="22"/>
              </w:rPr>
              <w:t xml:space="preserve"> 3% increase</w:t>
            </w:r>
          </w:p>
          <w:p w14:paraId="361EC1F5" w14:textId="77777777" w:rsidR="00273449" w:rsidRPr="004A2B16" w:rsidRDefault="00273449" w:rsidP="1B4A8018">
            <w:pPr>
              <w:rPr>
                <w:rFonts w:ascii="Century Gothic" w:eastAsia="Times New Roman" w:hAnsi="Century Gothic"/>
                <w:szCs w:val="22"/>
                <w:u w:val="single"/>
              </w:rPr>
            </w:pPr>
          </w:p>
          <w:p w14:paraId="47F4B78B" w14:textId="2AB32853" w:rsidR="1B4A8018" w:rsidRPr="004A2B16" w:rsidRDefault="1B4A8018" w:rsidP="1B4A8018">
            <w:pPr>
              <w:rPr>
                <w:rFonts w:ascii="Century Gothic" w:eastAsia="Times New Roman" w:hAnsi="Century Gothic"/>
                <w:szCs w:val="22"/>
                <w:u w:val="single"/>
              </w:rPr>
            </w:pPr>
            <w:r w:rsidRPr="004A2B16">
              <w:rPr>
                <w:rFonts w:ascii="Century Gothic" w:eastAsia="Times New Roman" w:hAnsi="Century Gothic"/>
                <w:szCs w:val="22"/>
                <w:u w:val="single"/>
              </w:rPr>
              <w:t>2022 Total:</w:t>
            </w:r>
          </w:p>
          <w:p w14:paraId="72372F2E" w14:textId="6F111E12" w:rsidR="1B4A8018" w:rsidRPr="004A2B16" w:rsidRDefault="1B4A8018" w:rsidP="1B4A8018">
            <w:pPr>
              <w:rPr>
                <w:rFonts w:ascii="Century Gothic" w:eastAsia="Times New Roman" w:hAnsi="Century Gothic"/>
                <w:szCs w:val="22"/>
              </w:rPr>
            </w:pPr>
            <w:r w:rsidRPr="004A2B16">
              <w:rPr>
                <w:rFonts w:ascii="Century Gothic" w:eastAsia="Times New Roman" w:hAnsi="Century Gothic"/>
                <w:szCs w:val="22"/>
              </w:rPr>
              <w:t>Brookside Transition: 0</w:t>
            </w:r>
          </w:p>
          <w:p w14:paraId="4D7A3CF2" w14:textId="2C6C9AF3" w:rsidR="1B4A8018" w:rsidRPr="004A2B16" w:rsidRDefault="1B4A8018" w:rsidP="1B4A8018">
            <w:pPr>
              <w:rPr>
                <w:rFonts w:ascii="Century Gothic" w:eastAsia="Times New Roman" w:hAnsi="Century Gothic"/>
                <w:szCs w:val="22"/>
              </w:rPr>
            </w:pPr>
            <w:r w:rsidRPr="004A2B16">
              <w:rPr>
                <w:rFonts w:ascii="Century Gothic" w:eastAsia="Times New Roman" w:hAnsi="Century Gothic"/>
                <w:szCs w:val="22"/>
              </w:rPr>
              <w:t>Brookside Full: 0</w:t>
            </w:r>
          </w:p>
          <w:p w14:paraId="784D2710" w14:textId="4275536B" w:rsidR="1B4A8018" w:rsidRPr="004A2B16" w:rsidRDefault="1B4A8018" w:rsidP="1B4A8018">
            <w:pPr>
              <w:rPr>
                <w:rFonts w:ascii="Century Gothic" w:eastAsia="Times New Roman" w:hAnsi="Century Gothic"/>
                <w:szCs w:val="22"/>
              </w:rPr>
            </w:pPr>
            <w:r w:rsidRPr="004A2B16">
              <w:rPr>
                <w:rFonts w:ascii="Century Gothic" w:eastAsia="Times New Roman" w:hAnsi="Century Gothic"/>
                <w:szCs w:val="22"/>
              </w:rPr>
              <w:t>Rockview Full:0</w:t>
            </w:r>
          </w:p>
          <w:p w14:paraId="3A73B6E4" w14:textId="2EF00C35" w:rsidR="1B4A8018" w:rsidRPr="004A2B16" w:rsidRDefault="1B4A8018" w:rsidP="1B4A8018">
            <w:pPr>
              <w:rPr>
                <w:rFonts w:ascii="Century Gothic" w:eastAsia="Times New Roman" w:hAnsi="Century Gothic"/>
                <w:szCs w:val="22"/>
                <w:u w:val="single"/>
              </w:rPr>
            </w:pPr>
            <w:r w:rsidRPr="004A2B16">
              <w:rPr>
                <w:rFonts w:ascii="Century Gothic" w:eastAsia="Times New Roman" w:hAnsi="Century Gothic"/>
                <w:szCs w:val="22"/>
              </w:rPr>
              <w:t>Rockview Transition: 0</w:t>
            </w:r>
          </w:p>
          <w:p w14:paraId="1D9A802B" w14:textId="76982E7C" w:rsidR="1B4A8018" w:rsidRPr="004A2B16" w:rsidRDefault="1B4A8018" w:rsidP="1B4A8018">
            <w:pPr>
              <w:rPr>
                <w:rFonts w:ascii="Century Gothic" w:eastAsia="MS PGothic" w:hAnsi="Century Gothic"/>
                <w:szCs w:val="22"/>
              </w:rPr>
            </w:pPr>
            <w:r w:rsidRPr="004A2B16">
              <w:rPr>
                <w:rFonts w:ascii="Century Gothic" w:eastAsia="MS PGothic" w:hAnsi="Century Gothic"/>
                <w:szCs w:val="22"/>
              </w:rPr>
              <w:t xml:space="preserve">Reduction </w:t>
            </w:r>
            <w:proofErr w:type="gramStart"/>
            <w:r w:rsidRPr="004A2B16">
              <w:rPr>
                <w:rFonts w:ascii="Century Gothic" w:eastAsia="MS PGothic" w:hAnsi="Century Gothic"/>
                <w:szCs w:val="22"/>
              </w:rPr>
              <w:t>percent</w:t>
            </w:r>
            <w:proofErr w:type="gramEnd"/>
            <w:r w:rsidRPr="004A2B16">
              <w:rPr>
                <w:rFonts w:ascii="Century Gothic" w:eastAsia="MS PGothic" w:hAnsi="Century Gothic"/>
                <w:szCs w:val="22"/>
              </w:rPr>
              <w:t>: 100%</w:t>
            </w:r>
          </w:p>
          <w:p w14:paraId="3F73E541" w14:textId="31956691" w:rsidR="1B4A8018" w:rsidRPr="004A2B16" w:rsidRDefault="1B4A8018" w:rsidP="1B4A8018">
            <w:pPr>
              <w:rPr>
                <w:rFonts w:ascii="Century Gothic" w:eastAsia="MS PGothic" w:hAnsi="Century Gothic"/>
                <w:szCs w:val="22"/>
                <w:u w:val="single"/>
              </w:rPr>
            </w:pPr>
          </w:p>
          <w:p w14:paraId="0C870D68" w14:textId="441DA1A8" w:rsidR="6CCBF382" w:rsidRPr="004A2B16" w:rsidRDefault="6CCBF382">
            <w:pPr>
              <w:rPr>
                <w:rFonts w:ascii="Century Gothic" w:eastAsia="Times New Roman" w:hAnsi="Century Gothic"/>
                <w:szCs w:val="22"/>
                <w:u w:val="single"/>
              </w:rPr>
            </w:pPr>
            <w:r w:rsidRPr="004A2B16">
              <w:rPr>
                <w:rFonts w:ascii="Century Gothic" w:eastAsia="Times New Roman" w:hAnsi="Century Gothic"/>
                <w:szCs w:val="22"/>
                <w:u w:val="single"/>
              </w:rPr>
              <w:t xml:space="preserve">2021 Total: </w:t>
            </w:r>
          </w:p>
          <w:p w14:paraId="5C60586C" w14:textId="6F111E12" w:rsidR="6CCBF382" w:rsidRPr="004A2B16" w:rsidRDefault="6CCBF382">
            <w:pPr>
              <w:rPr>
                <w:rFonts w:ascii="Century Gothic" w:eastAsia="Times New Roman" w:hAnsi="Century Gothic"/>
                <w:szCs w:val="22"/>
                <w:u w:val="single"/>
              </w:rPr>
            </w:pPr>
            <w:r w:rsidRPr="004A2B16">
              <w:rPr>
                <w:rFonts w:ascii="Century Gothic" w:eastAsia="Times New Roman" w:hAnsi="Century Gothic"/>
                <w:szCs w:val="22"/>
                <w:u w:val="single"/>
              </w:rPr>
              <w:t>Brookside Transition: 0</w:t>
            </w:r>
          </w:p>
          <w:p w14:paraId="2FE04771" w14:textId="2C6C9AF3" w:rsidR="6CCBF382" w:rsidRPr="004A2B16" w:rsidRDefault="6CCBF382">
            <w:pPr>
              <w:rPr>
                <w:rFonts w:ascii="Century Gothic" w:eastAsia="Times New Roman" w:hAnsi="Century Gothic"/>
                <w:szCs w:val="22"/>
                <w:u w:val="single"/>
              </w:rPr>
            </w:pPr>
            <w:r w:rsidRPr="004A2B16">
              <w:rPr>
                <w:rFonts w:ascii="Century Gothic" w:eastAsia="Times New Roman" w:hAnsi="Century Gothic"/>
                <w:szCs w:val="22"/>
                <w:u w:val="single"/>
              </w:rPr>
              <w:t>Brookside Full: 0</w:t>
            </w:r>
          </w:p>
          <w:p w14:paraId="252A7A17" w14:textId="4275536B" w:rsidR="6CCBF382" w:rsidRPr="004A2B16" w:rsidRDefault="6CCBF382">
            <w:pPr>
              <w:rPr>
                <w:rFonts w:ascii="Century Gothic" w:eastAsia="Times New Roman" w:hAnsi="Century Gothic"/>
                <w:szCs w:val="22"/>
                <w:u w:val="single"/>
              </w:rPr>
            </w:pPr>
            <w:r w:rsidRPr="004A2B16">
              <w:rPr>
                <w:rFonts w:ascii="Century Gothic" w:eastAsia="Times New Roman" w:hAnsi="Century Gothic"/>
                <w:szCs w:val="22"/>
                <w:u w:val="single"/>
              </w:rPr>
              <w:t>Rockview Full:0</w:t>
            </w:r>
          </w:p>
          <w:p w14:paraId="42557ADA" w14:textId="7AF1B958" w:rsidR="6CCBF382" w:rsidRPr="004A2B16" w:rsidRDefault="6CCBF382">
            <w:pPr>
              <w:rPr>
                <w:rFonts w:ascii="Century Gothic" w:eastAsia="Times New Roman" w:hAnsi="Century Gothic"/>
                <w:szCs w:val="22"/>
                <w:u w:val="single"/>
              </w:rPr>
            </w:pPr>
            <w:r w:rsidRPr="004A2B16">
              <w:rPr>
                <w:rFonts w:ascii="Century Gothic" w:eastAsia="Times New Roman" w:hAnsi="Century Gothic"/>
                <w:szCs w:val="22"/>
                <w:u w:val="single"/>
              </w:rPr>
              <w:t>Rockview Transition: 1</w:t>
            </w:r>
            <w:r w:rsidR="00653DFF" w:rsidRPr="004A2B16">
              <w:rPr>
                <w:rFonts w:ascii="Century Gothic" w:eastAsia="Times New Roman" w:hAnsi="Century Gothic"/>
                <w:szCs w:val="22"/>
                <w:u w:val="single"/>
              </w:rPr>
              <w:t xml:space="preserve"> </w:t>
            </w:r>
          </w:p>
          <w:p w14:paraId="285F0B4D" w14:textId="67BAC0E0" w:rsidR="332E49E3" w:rsidRPr="004A2B16" w:rsidRDefault="00064790" w:rsidP="332E49E3">
            <w:pPr>
              <w:rPr>
                <w:rFonts w:ascii="Century Gothic" w:eastAsia="MS PGothic" w:hAnsi="Century Gothic"/>
                <w:szCs w:val="22"/>
              </w:rPr>
            </w:pPr>
            <w:r w:rsidRPr="004A2B16">
              <w:rPr>
                <w:rFonts w:ascii="Century Gothic" w:eastAsia="MS PGothic" w:hAnsi="Century Gothic"/>
                <w:szCs w:val="22"/>
              </w:rPr>
              <w:t xml:space="preserve">Reduction percent: </w:t>
            </w:r>
            <w:r w:rsidR="006B64BD" w:rsidRPr="004A2B16">
              <w:rPr>
                <w:rFonts w:ascii="Century Gothic" w:eastAsia="MS PGothic" w:hAnsi="Century Gothic"/>
                <w:szCs w:val="22"/>
              </w:rPr>
              <w:t>75%</w:t>
            </w:r>
          </w:p>
          <w:p w14:paraId="72ACEF79" w14:textId="77777777" w:rsidR="00B230F7" w:rsidRPr="004A2B16" w:rsidRDefault="00B230F7" w:rsidP="00CF332B">
            <w:pPr>
              <w:rPr>
                <w:rFonts w:ascii="Century Gothic" w:hAnsi="Century Gothic"/>
                <w:szCs w:val="22"/>
              </w:rPr>
            </w:pPr>
          </w:p>
          <w:p w14:paraId="0C09D349" w14:textId="77777777" w:rsidR="00CF332B" w:rsidRPr="004A2B16" w:rsidRDefault="00CF332B" w:rsidP="00CF332B">
            <w:pPr>
              <w:rPr>
                <w:rFonts w:ascii="Century Gothic" w:hAnsi="Century Gothic"/>
                <w:szCs w:val="22"/>
              </w:rPr>
            </w:pPr>
          </w:p>
          <w:p w14:paraId="5B069919" w14:textId="77777777" w:rsidR="00CF332B" w:rsidRPr="004A2B16" w:rsidRDefault="00CF332B" w:rsidP="00CF332B">
            <w:pPr>
              <w:rPr>
                <w:rFonts w:ascii="Century Gothic" w:hAnsi="Century Gothic"/>
                <w:szCs w:val="22"/>
              </w:rPr>
            </w:pPr>
          </w:p>
          <w:p w14:paraId="12FB7D0F" w14:textId="053D1CAF" w:rsidR="00CF332B" w:rsidRPr="004A2B16" w:rsidRDefault="00CF332B" w:rsidP="00CF332B">
            <w:pPr>
              <w:spacing w:after="240"/>
              <w:rPr>
                <w:rFonts w:ascii="Century Gothic" w:hAnsi="Century Gothic"/>
                <w:szCs w:val="22"/>
              </w:rPr>
            </w:pPr>
            <w:r w:rsidRPr="004A2B16">
              <w:rPr>
                <w:rFonts w:ascii="Century Gothic" w:hAnsi="Century Gothic"/>
                <w:szCs w:val="22"/>
              </w:rPr>
              <w:t xml:space="preserve"> </w:t>
            </w:r>
          </w:p>
          <w:p w14:paraId="54F96AFC" w14:textId="162634E2" w:rsidR="00CF332B" w:rsidRPr="004A2B16" w:rsidRDefault="00CF332B" w:rsidP="00CF332B">
            <w:pPr>
              <w:rPr>
                <w:rFonts w:ascii="Century Gothic" w:hAnsi="Century Gothic"/>
                <w:szCs w:val="22"/>
              </w:rPr>
            </w:pPr>
          </w:p>
        </w:tc>
        <w:tc>
          <w:tcPr>
            <w:tcW w:w="2496"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7F8A2AC5" w14:textId="11DEFC87" w:rsidR="00CF332B" w:rsidRPr="004A2B16" w:rsidRDefault="7373ED71" w:rsidP="00CF332B">
            <w:pPr>
              <w:rPr>
                <w:rFonts w:ascii="Century Gothic" w:hAnsi="Century Gothic"/>
                <w:szCs w:val="22"/>
              </w:rPr>
            </w:pPr>
            <w:r w:rsidRPr="004A2B16">
              <w:rPr>
                <w:rFonts w:ascii="Century Gothic" w:hAnsi="Century Gothic"/>
                <w:szCs w:val="22"/>
              </w:rPr>
              <w:t>No</w:t>
            </w:r>
          </w:p>
        </w:tc>
      </w:tr>
    </w:tbl>
    <w:p w14:paraId="59FC9E6F" w14:textId="250227EC" w:rsidR="1B3F2E6D" w:rsidRPr="004A2B16" w:rsidRDefault="1B3F2E6D">
      <w:pPr>
        <w:rPr>
          <w:rFonts w:ascii="Century Gothic" w:hAnsi="Century Gothic"/>
          <w:szCs w:val="22"/>
        </w:rPr>
      </w:pPr>
    </w:p>
    <w:p w14:paraId="461F2823" w14:textId="77777777" w:rsidR="00CF332B" w:rsidRPr="004A2B16" w:rsidRDefault="00CF332B" w:rsidP="00CF332B">
      <w:pPr>
        <w:rPr>
          <w:rFonts w:ascii="Century Gothic" w:eastAsiaTheme="minorHAnsi" w:hAnsi="Century Gothic"/>
          <w:szCs w:val="22"/>
        </w:rPr>
      </w:pPr>
      <w:r w:rsidRPr="004A2B16">
        <w:rPr>
          <w:rFonts w:ascii="Century Gothic" w:eastAsia="Times New Roman" w:hAnsi="Century Gothic"/>
          <w:szCs w:val="22"/>
        </w:rPr>
        <w:br w:type="page"/>
      </w:r>
    </w:p>
    <w:tbl>
      <w:tblPr>
        <w:tblW w:w="11340" w:type="dxa"/>
        <w:tblInd w:w="-540" w:type="dxa"/>
        <w:tblCellMar>
          <w:left w:w="0" w:type="dxa"/>
          <w:right w:w="0" w:type="dxa"/>
        </w:tblCellMar>
        <w:tblLook w:val="04A0" w:firstRow="1" w:lastRow="0" w:firstColumn="1" w:lastColumn="0" w:noHBand="0" w:noVBand="1"/>
      </w:tblPr>
      <w:tblGrid>
        <w:gridCol w:w="2147"/>
        <w:gridCol w:w="1194"/>
        <w:gridCol w:w="1730"/>
        <w:gridCol w:w="3686"/>
        <w:gridCol w:w="2583"/>
      </w:tblGrid>
      <w:tr w:rsidR="00CF332B" w:rsidRPr="002864AA" w14:paraId="04A85744" w14:textId="77777777" w:rsidTr="54BD8CC3">
        <w:trPr>
          <w:trHeight w:val="400"/>
        </w:trPr>
        <w:tc>
          <w:tcPr>
            <w:tcW w:w="11340" w:type="dxa"/>
            <w:gridSpan w:val="5"/>
            <w:tcBorders>
              <w:top w:val="nil"/>
              <w:left w:val="nil"/>
              <w:bottom w:val="single" w:sz="24" w:space="0" w:color="C00000"/>
              <w:right w:val="nil"/>
            </w:tcBorders>
            <w:shd w:val="clear" w:color="auto" w:fill="808080" w:themeFill="background1" w:themeFillShade="80"/>
            <w:tcMar>
              <w:top w:w="0" w:type="dxa"/>
              <w:left w:w="108" w:type="dxa"/>
              <w:bottom w:w="0" w:type="dxa"/>
              <w:right w:w="108" w:type="dxa"/>
            </w:tcMar>
            <w:hideMark/>
          </w:tcPr>
          <w:p w14:paraId="34538F2C" w14:textId="77777777" w:rsidR="00CF332B" w:rsidRPr="004A2B16" w:rsidRDefault="00CF332B" w:rsidP="00CF332B">
            <w:pPr>
              <w:jc w:val="center"/>
              <w:rPr>
                <w:rFonts w:ascii="Century Gothic" w:hAnsi="Century Gothic"/>
                <w:b/>
                <w:bCs/>
                <w:szCs w:val="22"/>
                <w:lang w:eastAsia="en-US"/>
              </w:rPr>
            </w:pPr>
            <w:r w:rsidRPr="004A2B16">
              <w:rPr>
                <w:rFonts w:ascii="Century Gothic" w:hAnsi="Century Gothic"/>
                <w:b/>
                <w:bCs/>
                <w:szCs w:val="22"/>
              </w:rPr>
              <w:lastRenderedPageBreak/>
              <w:t>SS #5: Households Assisted by Services that Increase Self-Sufficiency</w:t>
            </w:r>
          </w:p>
        </w:tc>
      </w:tr>
      <w:tr w:rsidR="00CF332B" w:rsidRPr="002864AA" w14:paraId="722374E4" w14:textId="77777777" w:rsidTr="54BD8CC3">
        <w:trPr>
          <w:trHeight w:val="340"/>
        </w:trPr>
        <w:tc>
          <w:tcPr>
            <w:tcW w:w="2150"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49287BBB" w14:textId="77777777" w:rsidR="00CF332B" w:rsidRPr="004A2B16" w:rsidRDefault="00CF332B" w:rsidP="00CF332B">
            <w:pPr>
              <w:jc w:val="center"/>
              <w:rPr>
                <w:rFonts w:ascii="Century Gothic" w:hAnsi="Century Gothic"/>
                <w:b/>
                <w:bCs/>
                <w:szCs w:val="22"/>
              </w:rPr>
            </w:pPr>
            <w:r w:rsidRPr="004A2B16">
              <w:rPr>
                <w:rFonts w:ascii="Century Gothic" w:hAnsi="Century Gothic"/>
                <w:b/>
                <w:bCs/>
                <w:szCs w:val="22"/>
              </w:rPr>
              <w:t>Unit of Measurement</w:t>
            </w:r>
          </w:p>
        </w:tc>
        <w:tc>
          <w:tcPr>
            <w:tcW w:w="1195"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311F9F55" w14:textId="77777777" w:rsidR="00CF332B" w:rsidRPr="004A2B16" w:rsidRDefault="00CF332B" w:rsidP="00CF332B">
            <w:pPr>
              <w:jc w:val="center"/>
              <w:rPr>
                <w:rFonts w:ascii="Century Gothic" w:hAnsi="Century Gothic"/>
                <w:b/>
                <w:bCs/>
                <w:szCs w:val="22"/>
              </w:rPr>
            </w:pPr>
            <w:r w:rsidRPr="004A2B16">
              <w:rPr>
                <w:rFonts w:ascii="Century Gothic" w:hAnsi="Century Gothic"/>
                <w:b/>
                <w:bCs/>
                <w:szCs w:val="22"/>
              </w:rPr>
              <w:t>Baseline</w:t>
            </w:r>
          </w:p>
        </w:tc>
        <w:tc>
          <w:tcPr>
            <w:tcW w:w="1703"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25305706" w14:textId="77777777" w:rsidR="00CF332B" w:rsidRPr="004A2B16" w:rsidRDefault="00CF332B" w:rsidP="00CF332B">
            <w:pPr>
              <w:jc w:val="center"/>
              <w:rPr>
                <w:rFonts w:ascii="Century Gothic" w:hAnsi="Century Gothic"/>
                <w:b/>
                <w:bCs/>
                <w:szCs w:val="22"/>
              </w:rPr>
            </w:pPr>
            <w:r w:rsidRPr="004A2B16">
              <w:rPr>
                <w:rFonts w:ascii="Century Gothic" w:hAnsi="Century Gothic"/>
                <w:b/>
                <w:bCs/>
                <w:szCs w:val="22"/>
              </w:rPr>
              <w:t>Benchmark***</w:t>
            </w:r>
          </w:p>
        </w:tc>
        <w:tc>
          <w:tcPr>
            <w:tcW w:w="3701"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4A873E2C" w14:textId="77777777" w:rsidR="00CF332B" w:rsidRPr="004A2B16" w:rsidRDefault="00CF332B" w:rsidP="00CF332B">
            <w:pPr>
              <w:jc w:val="center"/>
              <w:rPr>
                <w:rFonts w:ascii="Century Gothic" w:hAnsi="Century Gothic"/>
                <w:b/>
                <w:bCs/>
                <w:szCs w:val="22"/>
              </w:rPr>
            </w:pPr>
            <w:r w:rsidRPr="004A2B16">
              <w:rPr>
                <w:rFonts w:ascii="Century Gothic" w:hAnsi="Century Gothic"/>
                <w:b/>
                <w:bCs/>
                <w:szCs w:val="22"/>
              </w:rPr>
              <w:t>Outcome</w:t>
            </w:r>
          </w:p>
        </w:tc>
        <w:tc>
          <w:tcPr>
            <w:tcW w:w="2591" w:type="dxa"/>
            <w:tcBorders>
              <w:top w:val="single" w:sz="24" w:space="0" w:color="C00000"/>
              <w:left w:val="nil"/>
              <w:bottom w:val="single" w:sz="8" w:space="0" w:color="D9D9D9" w:themeColor="background1" w:themeShade="D9"/>
              <w:right w:val="nil"/>
            </w:tcBorders>
            <w:shd w:val="clear" w:color="auto" w:fill="BFBFBF" w:themeFill="background1" w:themeFillShade="BF"/>
            <w:tcMar>
              <w:top w:w="0" w:type="dxa"/>
              <w:left w:w="108" w:type="dxa"/>
              <w:bottom w:w="0" w:type="dxa"/>
              <w:right w:w="108" w:type="dxa"/>
            </w:tcMar>
            <w:vAlign w:val="center"/>
            <w:hideMark/>
          </w:tcPr>
          <w:p w14:paraId="4168F247" w14:textId="77777777" w:rsidR="00CF332B" w:rsidRPr="004A2B16" w:rsidRDefault="00CF332B" w:rsidP="39F0821C">
            <w:pPr>
              <w:jc w:val="center"/>
              <w:rPr>
                <w:rFonts w:ascii="Century Gothic" w:hAnsi="Century Gothic"/>
                <w:b/>
                <w:bCs/>
                <w:szCs w:val="22"/>
              </w:rPr>
            </w:pPr>
            <w:r w:rsidRPr="004A2B16">
              <w:rPr>
                <w:rFonts w:ascii="Century Gothic" w:hAnsi="Century Gothic"/>
                <w:b/>
                <w:bCs/>
                <w:szCs w:val="22"/>
              </w:rPr>
              <w:t>Benchmark Achieved?</w:t>
            </w:r>
          </w:p>
        </w:tc>
      </w:tr>
      <w:tr w:rsidR="00CF332B" w:rsidRPr="002864AA" w14:paraId="5195022A" w14:textId="77777777" w:rsidTr="54BD8CC3">
        <w:trPr>
          <w:trHeight w:val="1220"/>
        </w:trPr>
        <w:tc>
          <w:tcPr>
            <w:tcW w:w="215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55484CA2" w14:textId="77777777" w:rsidR="00CF332B" w:rsidRPr="004A2B16" w:rsidRDefault="00CF332B" w:rsidP="00CF332B">
            <w:pPr>
              <w:rPr>
                <w:rFonts w:ascii="Century Gothic" w:hAnsi="Century Gothic"/>
                <w:szCs w:val="22"/>
              </w:rPr>
            </w:pPr>
            <w:r w:rsidRPr="004A2B16">
              <w:rPr>
                <w:rFonts w:ascii="Century Gothic" w:hAnsi="Century Gothic"/>
                <w:szCs w:val="22"/>
              </w:rPr>
              <w:t>Number of participants receiving services aimed to increase self-sufficiency (participants who have completed CARES action plans)</w:t>
            </w:r>
          </w:p>
        </w:tc>
        <w:tc>
          <w:tcPr>
            <w:tcW w:w="119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51B0BBCA" w14:textId="77777777" w:rsidR="00CF332B" w:rsidRPr="004A2B16" w:rsidRDefault="00CF332B" w:rsidP="00CF332B">
            <w:pPr>
              <w:rPr>
                <w:rFonts w:ascii="Century Gothic" w:hAnsi="Century Gothic"/>
                <w:szCs w:val="22"/>
              </w:rPr>
            </w:pPr>
            <w:r w:rsidRPr="004A2B16">
              <w:rPr>
                <w:rFonts w:ascii="Century Gothic" w:hAnsi="Century Gothic"/>
                <w:szCs w:val="22"/>
              </w:rPr>
              <w:t>Zero</w:t>
            </w:r>
          </w:p>
        </w:tc>
        <w:tc>
          <w:tcPr>
            <w:tcW w:w="1703"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04212587" w14:textId="77777777" w:rsidR="00CF332B" w:rsidRPr="004A2B16" w:rsidRDefault="00CF332B" w:rsidP="00CF332B">
            <w:pPr>
              <w:rPr>
                <w:rFonts w:ascii="Century Gothic" w:hAnsi="Century Gothic"/>
                <w:szCs w:val="22"/>
              </w:rPr>
            </w:pPr>
            <w:r w:rsidRPr="004A2B16">
              <w:rPr>
                <w:rFonts w:ascii="Century Gothic" w:hAnsi="Century Gothic"/>
                <w:szCs w:val="22"/>
              </w:rPr>
              <w:t>10% annual increase</w:t>
            </w:r>
          </w:p>
        </w:tc>
        <w:tc>
          <w:tcPr>
            <w:tcW w:w="3701"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48FF0A50" w14:textId="2058262F" w:rsidR="727069E6" w:rsidRPr="004A2B16" w:rsidRDefault="67D5A220" w:rsidP="433078B2">
            <w:pPr>
              <w:rPr>
                <w:rFonts w:ascii="Century Gothic" w:hAnsi="Century Gothic"/>
              </w:rPr>
            </w:pPr>
            <w:r w:rsidRPr="00E22E59">
              <w:rPr>
                <w:rFonts w:ascii="Century Gothic" w:hAnsi="Century Gothic"/>
              </w:rPr>
              <w:t>202</w:t>
            </w:r>
            <w:r w:rsidR="4F90121C" w:rsidRPr="00E22E59">
              <w:rPr>
                <w:rFonts w:ascii="Century Gothic" w:hAnsi="Century Gothic"/>
              </w:rPr>
              <w:t>4</w:t>
            </w:r>
            <w:r w:rsidRPr="00E22E59">
              <w:rPr>
                <w:rFonts w:ascii="Century Gothic" w:hAnsi="Century Gothic"/>
              </w:rPr>
              <w:t xml:space="preserve">:  </w:t>
            </w:r>
            <w:r w:rsidR="00306908" w:rsidRPr="00E22E59">
              <w:rPr>
                <w:rFonts w:ascii="Century Gothic" w:hAnsi="Century Gothic"/>
              </w:rPr>
              <w:t>90</w:t>
            </w:r>
            <w:r w:rsidRPr="00E22E59">
              <w:rPr>
                <w:rFonts w:ascii="Century Gothic" w:hAnsi="Century Gothic"/>
              </w:rPr>
              <w:t xml:space="preserve"> (</w:t>
            </w:r>
            <w:r w:rsidR="1F4B1C19" w:rsidRPr="00E22E59">
              <w:rPr>
                <w:rFonts w:ascii="Century Gothic" w:hAnsi="Century Gothic"/>
              </w:rPr>
              <w:t>5</w:t>
            </w:r>
            <w:r w:rsidRPr="00E22E59">
              <w:rPr>
                <w:rFonts w:ascii="Century Gothic" w:hAnsi="Century Gothic"/>
              </w:rPr>
              <w:t>% decrease)</w:t>
            </w:r>
            <w:r w:rsidR="00FB72F7" w:rsidRPr="00E22E59">
              <w:rPr>
                <w:rFonts w:ascii="Century Gothic" w:hAnsi="Century Gothic"/>
              </w:rPr>
              <w:t xml:space="preserve"> –</w:t>
            </w:r>
            <w:r w:rsidR="00FB72F7">
              <w:rPr>
                <w:rFonts w:ascii="Century Gothic" w:hAnsi="Century Gothic"/>
              </w:rPr>
              <w:t xml:space="preserve"> families served throughout the FY)</w:t>
            </w:r>
          </w:p>
          <w:p w14:paraId="6E820B97" w14:textId="5913E353" w:rsidR="00602679" w:rsidRPr="004A2B16" w:rsidRDefault="018D4016" w:rsidP="1B4A8018">
            <w:pPr>
              <w:rPr>
                <w:rFonts w:ascii="Century Gothic" w:hAnsi="Century Gothic"/>
                <w:szCs w:val="22"/>
              </w:rPr>
            </w:pPr>
            <w:r w:rsidRPr="004A2B16">
              <w:rPr>
                <w:rFonts w:ascii="Century Gothic" w:hAnsi="Century Gothic"/>
                <w:szCs w:val="22"/>
              </w:rPr>
              <w:t>202</w:t>
            </w:r>
            <w:r w:rsidR="3FEAB69D" w:rsidRPr="004A2B16">
              <w:rPr>
                <w:rFonts w:ascii="Century Gothic" w:hAnsi="Century Gothic"/>
                <w:szCs w:val="22"/>
              </w:rPr>
              <w:t>3</w:t>
            </w:r>
            <w:r w:rsidR="001669CB" w:rsidRPr="004A2B16">
              <w:rPr>
                <w:rFonts w:ascii="Century Gothic" w:hAnsi="Century Gothic"/>
                <w:szCs w:val="22"/>
              </w:rPr>
              <w:t>: 95</w:t>
            </w:r>
            <w:r w:rsidR="7C759179" w:rsidRPr="004A2B16">
              <w:rPr>
                <w:rFonts w:ascii="Century Gothic" w:hAnsi="Century Gothic"/>
                <w:szCs w:val="22"/>
              </w:rPr>
              <w:t xml:space="preserve"> (</w:t>
            </w:r>
            <w:r w:rsidR="602910EA" w:rsidRPr="004A2B16">
              <w:rPr>
                <w:rFonts w:ascii="Century Gothic" w:hAnsi="Century Gothic"/>
                <w:szCs w:val="22"/>
              </w:rPr>
              <w:t>7</w:t>
            </w:r>
            <w:r w:rsidR="7C759179" w:rsidRPr="004A2B16">
              <w:rPr>
                <w:rFonts w:ascii="Century Gothic" w:hAnsi="Century Gothic"/>
                <w:szCs w:val="22"/>
              </w:rPr>
              <w:t>% decrease)</w:t>
            </w:r>
          </w:p>
          <w:p w14:paraId="1C492C9D" w14:textId="7531D2F8" w:rsidR="00602679" w:rsidRPr="004A2B16" w:rsidRDefault="3159E703" w:rsidP="00602679">
            <w:pPr>
              <w:rPr>
                <w:rFonts w:ascii="Century Gothic" w:hAnsi="Century Gothic"/>
                <w:szCs w:val="22"/>
              </w:rPr>
            </w:pPr>
            <w:r w:rsidRPr="004A2B16">
              <w:rPr>
                <w:rFonts w:ascii="Century Gothic" w:hAnsi="Century Gothic"/>
                <w:szCs w:val="22"/>
              </w:rPr>
              <w:t>2022: 102</w:t>
            </w:r>
            <w:r w:rsidR="55E94ED5" w:rsidRPr="004A2B16">
              <w:rPr>
                <w:rFonts w:ascii="Century Gothic" w:hAnsi="Century Gothic"/>
                <w:szCs w:val="22"/>
              </w:rPr>
              <w:t xml:space="preserve"> (15% decrease)</w:t>
            </w:r>
          </w:p>
          <w:p w14:paraId="2BD4688C" w14:textId="335F8A20" w:rsidR="001E6BF7" w:rsidRPr="004A2B16" w:rsidRDefault="0CBCCBB2" w:rsidP="00CF332B">
            <w:pPr>
              <w:rPr>
                <w:rFonts w:ascii="Century Gothic" w:hAnsi="Century Gothic"/>
                <w:szCs w:val="22"/>
              </w:rPr>
            </w:pPr>
            <w:r w:rsidRPr="004A2B16">
              <w:rPr>
                <w:rFonts w:ascii="Century Gothic" w:hAnsi="Century Gothic"/>
                <w:szCs w:val="22"/>
              </w:rPr>
              <w:t>2021</w:t>
            </w:r>
            <w:r w:rsidR="29023581" w:rsidRPr="004A2B16">
              <w:rPr>
                <w:rFonts w:ascii="Century Gothic" w:hAnsi="Century Gothic"/>
                <w:szCs w:val="22"/>
              </w:rPr>
              <w:t>:</w:t>
            </w:r>
            <w:r w:rsidRPr="004A2B16">
              <w:rPr>
                <w:rFonts w:ascii="Century Gothic" w:hAnsi="Century Gothic"/>
                <w:szCs w:val="22"/>
              </w:rPr>
              <w:t xml:space="preserve"> </w:t>
            </w:r>
            <w:r w:rsidR="12445A0E" w:rsidRPr="004A2B16">
              <w:rPr>
                <w:rFonts w:ascii="Century Gothic" w:hAnsi="Century Gothic"/>
                <w:szCs w:val="22"/>
              </w:rPr>
              <w:t>120</w:t>
            </w:r>
            <w:r w:rsidR="0CA15768" w:rsidRPr="004A2B16">
              <w:rPr>
                <w:rFonts w:ascii="Century Gothic" w:hAnsi="Century Gothic"/>
                <w:szCs w:val="22"/>
              </w:rPr>
              <w:t xml:space="preserve"> (8% decrease)</w:t>
            </w:r>
          </w:p>
          <w:p w14:paraId="06A96A2A" w14:textId="2ED373A4" w:rsidR="00CF332B" w:rsidRPr="004A2B16" w:rsidRDefault="44CA3C25" w:rsidP="0E6C54AB">
            <w:pPr>
              <w:rPr>
                <w:rFonts w:ascii="Century Gothic" w:hAnsi="Century Gothic"/>
                <w:szCs w:val="22"/>
              </w:rPr>
            </w:pPr>
            <w:r w:rsidRPr="004A2B16">
              <w:rPr>
                <w:rFonts w:ascii="Century Gothic" w:hAnsi="Century Gothic"/>
                <w:szCs w:val="22"/>
              </w:rPr>
              <w:t>2020: 130</w:t>
            </w:r>
            <w:r w:rsidR="773DBF7B" w:rsidRPr="004A2B16">
              <w:rPr>
                <w:rFonts w:ascii="Century Gothic" w:hAnsi="Century Gothic"/>
                <w:szCs w:val="22"/>
              </w:rPr>
              <w:t xml:space="preserve"> (0%)</w:t>
            </w:r>
          </w:p>
          <w:p w14:paraId="0E6143AE" w14:textId="069CD2F6" w:rsidR="00CF332B" w:rsidRPr="004A2B16" w:rsidRDefault="76653AAF" w:rsidP="00CF332B">
            <w:pPr>
              <w:rPr>
                <w:rFonts w:ascii="Century Gothic" w:eastAsia="MS PGothic" w:hAnsi="Century Gothic"/>
                <w:szCs w:val="22"/>
              </w:rPr>
            </w:pPr>
            <w:r w:rsidRPr="004A2B16">
              <w:rPr>
                <w:rFonts w:ascii="Century Gothic" w:hAnsi="Century Gothic"/>
                <w:szCs w:val="22"/>
              </w:rPr>
              <w:t xml:space="preserve">Prior years’ average: 130 </w:t>
            </w:r>
          </w:p>
        </w:tc>
        <w:tc>
          <w:tcPr>
            <w:tcW w:w="2591"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446E2BD9" w14:textId="668B1121" w:rsidR="00CF332B" w:rsidRPr="004A2B16" w:rsidRDefault="4E65A002" w:rsidP="39F0821C">
            <w:pPr>
              <w:rPr>
                <w:rFonts w:ascii="Century Gothic" w:hAnsi="Century Gothic"/>
                <w:szCs w:val="22"/>
              </w:rPr>
            </w:pPr>
            <w:r w:rsidRPr="004A2B16">
              <w:rPr>
                <w:rFonts w:ascii="Century Gothic" w:hAnsi="Century Gothic"/>
                <w:szCs w:val="22"/>
              </w:rPr>
              <w:t xml:space="preserve">No </w:t>
            </w:r>
          </w:p>
        </w:tc>
      </w:tr>
      <w:tr w:rsidR="00CF332B" w:rsidRPr="002864AA" w14:paraId="5AEC865C" w14:textId="77777777" w:rsidTr="54BD8CC3">
        <w:trPr>
          <w:trHeight w:val="400"/>
        </w:trPr>
        <w:tc>
          <w:tcPr>
            <w:tcW w:w="11340" w:type="dxa"/>
            <w:gridSpan w:val="5"/>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808080" w:themeFill="background1" w:themeFillShade="80"/>
            <w:tcMar>
              <w:top w:w="0" w:type="dxa"/>
              <w:left w:w="108" w:type="dxa"/>
              <w:bottom w:w="0" w:type="dxa"/>
              <w:right w:w="108" w:type="dxa"/>
            </w:tcMar>
            <w:hideMark/>
          </w:tcPr>
          <w:p w14:paraId="5C80F965" w14:textId="77777777" w:rsidR="00CF332B" w:rsidRPr="00377AF5" w:rsidRDefault="07C3373C" w:rsidP="6E9E055C">
            <w:pPr>
              <w:jc w:val="center"/>
              <w:rPr>
                <w:rFonts w:ascii="Century Gothic" w:hAnsi="Century Gothic"/>
                <w:b/>
                <w:bCs/>
                <w:szCs w:val="22"/>
              </w:rPr>
            </w:pPr>
            <w:r w:rsidRPr="00377AF5">
              <w:rPr>
                <w:rFonts w:ascii="Century Gothic" w:hAnsi="Century Gothic"/>
                <w:b/>
                <w:bCs/>
                <w:szCs w:val="22"/>
              </w:rPr>
              <w:t>SS #8: Households Transitioned to Self-Sufficiency</w:t>
            </w:r>
          </w:p>
        </w:tc>
      </w:tr>
      <w:tr w:rsidR="00CF332B" w:rsidRPr="002864AA" w14:paraId="01B556A0" w14:textId="77777777" w:rsidTr="54BD8CC3">
        <w:trPr>
          <w:trHeight w:val="920"/>
        </w:trPr>
        <w:tc>
          <w:tcPr>
            <w:tcW w:w="215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3EEB5C20" w14:textId="77777777" w:rsidR="00CF332B" w:rsidRPr="00A626B7" w:rsidRDefault="2BCB89B1" w:rsidP="00CF332B">
            <w:pPr>
              <w:rPr>
                <w:rFonts w:ascii="Century Gothic" w:hAnsi="Century Gothic"/>
                <w:szCs w:val="22"/>
              </w:rPr>
            </w:pPr>
            <w:r w:rsidRPr="00A626B7">
              <w:rPr>
                <w:rFonts w:ascii="Century Gothic" w:hAnsi="Century Gothic"/>
                <w:szCs w:val="22"/>
              </w:rPr>
              <w:t>Number of households who receive zero subsidy at the end of year six</w:t>
            </w:r>
          </w:p>
        </w:tc>
        <w:tc>
          <w:tcPr>
            <w:tcW w:w="119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663A1642" w14:textId="77777777" w:rsidR="00CF332B" w:rsidRPr="00A626B7" w:rsidRDefault="2BCB89B1" w:rsidP="145A5A95">
            <w:pPr>
              <w:rPr>
                <w:rFonts w:ascii="Century Gothic" w:hAnsi="Century Gothic"/>
                <w:szCs w:val="22"/>
              </w:rPr>
            </w:pPr>
            <w:r w:rsidRPr="00A626B7">
              <w:rPr>
                <w:rFonts w:ascii="Century Gothic" w:hAnsi="Century Gothic"/>
                <w:szCs w:val="22"/>
              </w:rPr>
              <w:t>Zero</w:t>
            </w:r>
          </w:p>
        </w:tc>
        <w:tc>
          <w:tcPr>
            <w:tcW w:w="1703"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5D74CBA0" w14:textId="77777777" w:rsidR="00CF332B" w:rsidRPr="00A626B7" w:rsidRDefault="5E0682AA" w:rsidP="54BD8CC3">
            <w:pPr>
              <w:rPr>
                <w:rFonts w:ascii="Century Gothic" w:hAnsi="Century Gothic"/>
              </w:rPr>
            </w:pPr>
            <w:r w:rsidRPr="54BD8CC3">
              <w:rPr>
                <w:rFonts w:ascii="Century Gothic" w:hAnsi="Century Gothic"/>
              </w:rPr>
              <w:t>12 by the end of the program; Estimated length of the program is six years in total</w:t>
            </w:r>
          </w:p>
        </w:tc>
        <w:tc>
          <w:tcPr>
            <w:tcW w:w="3701"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0E5FFEDD" w14:textId="1DF129C7" w:rsidR="53608DA0" w:rsidRPr="00A626B7" w:rsidRDefault="53608DA0" w:rsidP="433078B2">
            <w:pPr>
              <w:rPr>
                <w:rFonts w:ascii="Century Gothic" w:hAnsi="Century Gothic"/>
                <w:szCs w:val="22"/>
              </w:rPr>
            </w:pPr>
            <w:r w:rsidRPr="00A626B7">
              <w:rPr>
                <w:rFonts w:ascii="Century Gothic" w:hAnsi="Century Gothic"/>
                <w:szCs w:val="22"/>
              </w:rPr>
              <w:t>2024: 4 (includes 2 homeowners)</w:t>
            </w:r>
          </w:p>
          <w:p w14:paraId="7D26BA41" w14:textId="6DC08470" w:rsidR="00602679" w:rsidRPr="00A626B7" w:rsidRDefault="2FA0CC00" w:rsidP="00602679">
            <w:pPr>
              <w:rPr>
                <w:rFonts w:ascii="Century Gothic" w:hAnsi="Century Gothic"/>
                <w:szCs w:val="22"/>
              </w:rPr>
            </w:pPr>
            <w:r w:rsidRPr="00A626B7">
              <w:rPr>
                <w:rFonts w:ascii="Century Gothic" w:hAnsi="Century Gothic"/>
                <w:szCs w:val="22"/>
              </w:rPr>
              <w:t xml:space="preserve">2023: </w:t>
            </w:r>
            <w:r w:rsidR="7D312F77" w:rsidRPr="00A626B7">
              <w:rPr>
                <w:rFonts w:ascii="Century Gothic" w:hAnsi="Century Gothic"/>
                <w:szCs w:val="22"/>
              </w:rPr>
              <w:t>7</w:t>
            </w:r>
            <w:r w:rsidRPr="00A626B7">
              <w:rPr>
                <w:rFonts w:ascii="Century Gothic" w:hAnsi="Century Gothic"/>
                <w:szCs w:val="22"/>
              </w:rPr>
              <w:t xml:space="preserve"> (includes </w:t>
            </w:r>
            <w:r w:rsidR="6EEBA283" w:rsidRPr="00A626B7">
              <w:rPr>
                <w:rFonts w:ascii="Century Gothic" w:hAnsi="Century Gothic"/>
                <w:szCs w:val="22"/>
              </w:rPr>
              <w:t>1</w:t>
            </w:r>
            <w:r w:rsidRPr="00A626B7">
              <w:rPr>
                <w:rFonts w:ascii="Century Gothic" w:hAnsi="Century Gothic"/>
                <w:szCs w:val="22"/>
              </w:rPr>
              <w:t xml:space="preserve"> homeowner)</w:t>
            </w:r>
          </w:p>
          <w:p w14:paraId="17E0517C" w14:textId="63343223" w:rsidR="1B4A8018" w:rsidRPr="00A626B7" w:rsidRDefault="2972385A" w:rsidP="1B4A8018">
            <w:pPr>
              <w:rPr>
                <w:rFonts w:ascii="Century Gothic" w:hAnsi="Century Gothic"/>
                <w:szCs w:val="22"/>
              </w:rPr>
            </w:pPr>
            <w:r w:rsidRPr="00A626B7">
              <w:rPr>
                <w:rFonts w:ascii="Century Gothic" w:hAnsi="Century Gothic"/>
                <w:szCs w:val="22"/>
              </w:rPr>
              <w:t>2022: 27 (includes 3 home</w:t>
            </w:r>
            <w:r w:rsidR="003A4A2E" w:rsidRPr="00A626B7">
              <w:rPr>
                <w:rFonts w:ascii="Century Gothic" w:hAnsi="Century Gothic"/>
                <w:szCs w:val="22"/>
              </w:rPr>
              <w:t>o</w:t>
            </w:r>
            <w:r w:rsidRPr="00A626B7">
              <w:rPr>
                <w:rFonts w:ascii="Century Gothic" w:hAnsi="Century Gothic"/>
                <w:szCs w:val="22"/>
              </w:rPr>
              <w:t>wners)</w:t>
            </w:r>
          </w:p>
          <w:p w14:paraId="7F00F42C" w14:textId="0A14479E" w:rsidR="001E6BF7" w:rsidRPr="00A626B7" w:rsidRDefault="3D411431" w:rsidP="00CF332B">
            <w:pPr>
              <w:rPr>
                <w:rFonts w:ascii="Century Gothic" w:hAnsi="Century Gothic"/>
                <w:szCs w:val="22"/>
              </w:rPr>
            </w:pPr>
            <w:r w:rsidRPr="00A626B7">
              <w:rPr>
                <w:rFonts w:ascii="Century Gothic" w:hAnsi="Century Gothic"/>
                <w:szCs w:val="22"/>
              </w:rPr>
              <w:t xml:space="preserve">2021: </w:t>
            </w:r>
            <w:r w:rsidR="276CFE0E" w:rsidRPr="00A626B7">
              <w:rPr>
                <w:rFonts w:ascii="Century Gothic" w:hAnsi="Century Gothic"/>
                <w:szCs w:val="22"/>
              </w:rPr>
              <w:t>11 (includes 5 homeo</w:t>
            </w:r>
            <w:r w:rsidR="4EC985FB" w:rsidRPr="00A626B7">
              <w:rPr>
                <w:rFonts w:ascii="Century Gothic" w:hAnsi="Century Gothic"/>
                <w:szCs w:val="22"/>
              </w:rPr>
              <w:t>wners)</w:t>
            </w:r>
          </w:p>
          <w:p w14:paraId="64B4974F" w14:textId="0F8BBDE7" w:rsidR="00CF332B" w:rsidRPr="00A626B7" w:rsidRDefault="2BCB89B1" w:rsidP="00CF332B">
            <w:pPr>
              <w:rPr>
                <w:rFonts w:ascii="Century Gothic" w:hAnsi="Century Gothic"/>
                <w:szCs w:val="22"/>
              </w:rPr>
            </w:pPr>
            <w:r w:rsidRPr="00A626B7">
              <w:rPr>
                <w:rFonts w:ascii="Century Gothic" w:hAnsi="Century Gothic"/>
                <w:szCs w:val="22"/>
              </w:rPr>
              <w:t>2020: 13</w:t>
            </w:r>
          </w:p>
          <w:p w14:paraId="7F1D97E6" w14:textId="77777777" w:rsidR="00CF332B" w:rsidRPr="00A626B7" w:rsidRDefault="2BCB89B1" w:rsidP="00CF332B">
            <w:pPr>
              <w:rPr>
                <w:rFonts w:ascii="Century Gothic" w:hAnsi="Century Gothic"/>
                <w:szCs w:val="22"/>
              </w:rPr>
            </w:pPr>
            <w:r w:rsidRPr="00A626B7">
              <w:rPr>
                <w:rFonts w:ascii="Century Gothic" w:hAnsi="Century Gothic"/>
                <w:szCs w:val="22"/>
              </w:rPr>
              <w:t>2019: 8</w:t>
            </w:r>
          </w:p>
          <w:p w14:paraId="2D594978" w14:textId="77777777" w:rsidR="00CF332B" w:rsidRPr="00A626B7" w:rsidRDefault="2BCB89B1" w:rsidP="00CF332B">
            <w:pPr>
              <w:rPr>
                <w:rFonts w:ascii="Century Gothic" w:hAnsi="Century Gothic"/>
                <w:szCs w:val="22"/>
              </w:rPr>
            </w:pPr>
            <w:r w:rsidRPr="00A626B7">
              <w:rPr>
                <w:rFonts w:ascii="Century Gothic" w:hAnsi="Century Gothic"/>
                <w:szCs w:val="22"/>
              </w:rPr>
              <w:t>2018: 0</w:t>
            </w:r>
          </w:p>
        </w:tc>
        <w:tc>
          <w:tcPr>
            <w:tcW w:w="2591"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55643E42" w14:textId="621EAEEA" w:rsidR="00CF332B" w:rsidRPr="00A626B7" w:rsidRDefault="0E5EC12E" w:rsidP="39F0821C">
            <w:pPr>
              <w:rPr>
                <w:rFonts w:ascii="Century Gothic" w:hAnsi="Century Gothic"/>
                <w:szCs w:val="22"/>
              </w:rPr>
            </w:pPr>
            <w:r w:rsidRPr="00A626B7">
              <w:rPr>
                <w:rFonts w:ascii="Century Gothic" w:hAnsi="Century Gothic"/>
                <w:szCs w:val="22"/>
              </w:rPr>
              <w:t>No</w:t>
            </w:r>
          </w:p>
        </w:tc>
      </w:tr>
      <w:tr w:rsidR="00765FFD" w:rsidRPr="002864AA" w14:paraId="01C68CA8" w14:textId="77777777" w:rsidTr="54BD8CC3">
        <w:trPr>
          <w:trHeight w:val="400"/>
        </w:trPr>
        <w:tc>
          <w:tcPr>
            <w:tcW w:w="11340" w:type="dxa"/>
            <w:gridSpan w:val="5"/>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808080" w:themeFill="background1" w:themeFillShade="80"/>
            <w:tcMar>
              <w:top w:w="0" w:type="dxa"/>
              <w:left w:w="108" w:type="dxa"/>
              <w:bottom w:w="0" w:type="dxa"/>
              <w:right w:w="108" w:type="dxa"/>
            </w:tcMar>
            <w:hideMark/>
          </w:tcPr>
          <w:p w14:paraId="14D31B2F" w14:textId="6F8E309A" w:rsidR="00765FFD" w:rsidRPr="00A626B7" w:rsidRDefault="2188D95A" w:rsidP="655A2699">
            <w:pPr>
              <w:jc w:val="center"/>
              <w:rPr>
                <w:rFonts w:ascii="Century Gothic" w:hAnsi="Century Gothic"/>
                <w:b/>
                <w:bCs/>
                <w:szCs w:val="22"/>
              </w:rPr>
            </w:pPr>
            <w:r w:rsidRPr="00A626B7">
              <w:rPr>
                <w:rFonts w:ascii="Century Gothic" w:hAnsi="Century Gothic"/>
                <w:b/>
                <w:bCs/>
                <w:szCs w:val="22"/>
              </w:rPr>
              <w:t>SS #8: Households Transitioned to Self-Sufficiency</w:t>
            </w:r>
            <w:r w:rsidR="4D98DDE5" w:rsidRPr="00A626B7">
              <w:rPr>
                <w:rFonts w:ascii="Century Gothic" w:hAnsi="Century Gothic"/>
                <w:b/>
                <w:bCs/>
                <w:szCs w:val="22"/>
              </w:rPr>
              <w:t>***</w:t>
            </w:r>
            <w:r w:rsidR="39820A14" w:rsidRPr="00A626B7">
              <w:rPr>
                <w:rFonts w:ascii="Century Gothic" w:hAnsi="Century Gothic"/>
                <w:b/>
                <w:bCs/>
                <w:szCs w:val="22"/>
              </w:rPr>
              <w:t>*</w:t>
            </w:r>
            <w:r w:rsidR="4D98DDE5" w:rsidRPr="00A626B7">
              <w:rPr>
                <w:rFonts w:ascii="Century Gothic" w:hAnsi="Century Gothic"/>
                <w:b/>
                <w:bCs/>
                <w:szCs w:val="22"/>
              </w:rPr>
              <w:t>*</w:t>
            </w:r>
          </w:p>
        </w:tc>
      </w:tr>
      <w:tr w:rsidR="00765FFD" w:rsidRPr="002864AA" w14:paraId="7F29670D" w14:textId="77777777" w:rsidTr="54BD8CC3">
        <w:trPr>
          <w:trHeight w:val="920"/>
        </w:trPr>
        <w:tc>
          <w:tcPr>
            <w:tcW w:w="215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390EAD72" w14:textId="50BF5F66" w:rsidR="00765FFD" w:rsidRPr="00A41E55" w:rsidRDefault="607FA19D" w:rsidP="004C65D3">
            <w:pPr>
              <w:rPr>
                <w:rFonts w:ascii="Century Gothic" w:hAnsi="Century Gothic"/>
                <w:szCs w:val="22"/>
              </w:rPr>
            </w:pPr>
            <w:r w:rsidRPr="00A41E55">
              <w:rPr>
                <w:rFonts w:ascii="Century Gothic" w:hAnsi="Century Gothic"/>
                <w:szCs w:val="22"/>
              </w:rPr>
              <w:t>Number of households transitioned to self</w:t>
            </w:r>
            <w:r w:rsidR="7FB61B63" w:rsidRPr="00A41E55">
              <w:rPr>
                <w:rFonts w:ascii="Century Gothic" w:hAnsi="Century Gothic"/>
                <w:szCs w:val="22"/>
              </w:rPr>
              <w:t>-</w:t>
            </w:r>
            <w:r w:rsidRPr="00A41E55">
              <w:rPr>
                <w:rFonts w:ascii="Century Gothic" w:hAnsi="Century Gothic"/>
                <w:szCs w:val="22"/>
              </w:rPr>
              <w:t xml:space="preserve"> sufficiency*</w:t>
            </w:r>
          </w:p>
        </w:tc>
        <w:tc>
          <w:tcPr>
            <w:tcW w:w="119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0320D2E6" w14:textId="77777777" w:rsidR="00765FFD" w:rsidRPr="00A41E55" w:rsidRDefault="607FA19D" w:rsidP="004C65D3">
            <w:pPr>
              <w:rPr>
                <w:rFonts w:ascii="Century Gothic" w:hAnsi="Century Gothic"/>
                <w:szCs w:val="22"/>
              </w:rPr>
            </w:pPr>
            <w:r w:rsidRPr="00A41E55">
              <w:rPr>
                <w:rFonts w:ascii="Century Gothic" w:hAnsi="Century Gothic"/>
                <w:szCs w:val="22"/>
              </w:rPr>
              <w:t>Zero</w:t>
            </w:r>
          </w:p>
        </w:tc>
        <w:tc>
          <w:tcPr>
            <w:tcW w:w="1703"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1D477BED" w14:textId="24D09C77" w:rsidR="00765FFD" w:rsidRPr="00A41E55" w:rsidRDefault="607FA19D" w:rsidP="004C65D3">
            <w:pPr>
              <w:rPr>
                <w:rFonts w:ascii="Century Gothic" w:hAnsi="Century Gothic"/>
                <w:szCs w:val="22"/>
              </w:rPr>
            </w:pPr>
            <w:r w:rsidRPr="00A41E55">
              <w:rPr>
                <w:rFonts w:ascii="Century Gothic" w:hAnsi="Century Gothic"/>
                <w:szCs w:val="22"/>
              </w:rPr>
              <w:t>20</w:t>
            </w:r>
            <w:r w:rsidR="196AE595" w:rsidRPr="00A41E55">
              <w:rPr>
                <w:rFonts w:ascii="Century Gothic" w:hAnsi="Century Gothic"/>
                <w:szCs w:val="22"/>
              </w:rPr>
              <w:t xml:space="preserve"> </w:t>
            </w:r>
            <w:r w:rsidR="6FBA812B" w:rsidRPr="00A41E55">
              <w:rPr>
                <w:rFonts w:ascii="Century Gothic" w:hAnsi="Century Gothic"/>
                <w:szCs w:val="22"/>
              </w:rPr>
              <w:t>transitioned households</w:t>
            </w:r>
            <w:r w:rsidR="196AE595" w:rsidRPr="00A41E55">
              <w:rPr>
                <w:rFonts w:ascii="Century Gothic" w:hAnsi="Century Gothic"/>
                <w:szCs w:val="22"/>
              </w:rPr>
              <w:t xml:space="preserve"> </w:t>
            </w:r>
          </w:p>
        </w:tc>
        <w:tc>
          <w:tcPr>
            <w:tcW w:w="3701"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2EC544C4" w14:textId="2C67528A" w:rsidR="00602679" w:rsidRPr="00A41E55" w:rsidRDefault="6F1053B2" w:rsidP="128C9D46">
            <w:pPr>
              <w:rPr>
                <w:rFonts w:ascii="Century Gothic" w:hAnsi="Century Gothic"/>
              </w:rPr>
            </w:pPr>
            <w:r w:rsidRPr="128C9D46">
              <w:rPr>
                <w:rFonts w:ascii="Century Gothic" w:hAnsi="Century Gothic"/>
              </w:rPr>
              <w:t xml:space="preserve">2024: </w:t>
            </w:r>
            <w:r w:rsidR="3A4A57DF" w:rsidRPr="128C9D46">
              <w:rPr>
                <w:rFonts w:ascii="Century Gothic" w:hAnsi="Century Gothic"/>
              </w:rPr>
              <w:t>80</w:t>
            </w:r>
          </w:p>
          <w:p w14:paraId="7059A6D7" w14:textId="7FC54B7F" w:rsidR="00602679" w:rsidRPr="00A41E55" w:rsidRDefault="402C3B99" w:rsidP="128C9D46">
            <w:pPr>
              <w:rPr>
                <w:rFonts w:ascii="Century Gothic" w:hAnsi="Century Gothic"/>
              </w:rPr>
            </w:pPr>
            <w:r w:rsidRPr="128C9D46">
              <w:rPr>
                <w:rFonts w:ascii="Century Gothic" w:hAnsi="Century Gothic"/>
              </w:rPr>
              <w:t xml:space="preserve">2023: </w:t>
            </w:r>
            <w:r w:rsidR="27C57E18" w:rsidRPr="128C9D46">
              <w:rPr>
                <w:rFonts w:ascii="Century Gothic" w:hAnsi="Century Gothic"/>
              </w:rPr>
              <w:t>95</w:t>
            </w:r>
          </w:p>
          <w:p w14:paraId="03961B3C" w14:textId="271C4745" w:rsidR="1B4A8018" w:rsidRPr="00A41E55" w:rsidRDefault="5D4A943D" w:rsidP="1B4A8018">
            <w:pPr>
              <w:rPr>
                <w:rFonts w:ascii="Century Gothic" w:hAnsi="Century Gothic"/>
                <w:szCs w:val="22"/>
              </w:rPr>
            </w:pPr>
            <w:r w:rsidRPr="00A41E55">
              <w:rPr>
                <w:rFonts w:ascii="Century Gothic" w:hAnsi="Century Gothic"/>
                <w:szCs w:val="22"/>
              </w:rPr>
              <w:t>2022: 129</w:t>
            </w:r>
          </w:p>
          <w:p w14:paraId="0EA02030" w14:textId="4E37846F" w:rsidR="00765FFD" w:rsidRPr="00A41E55" w:rsidRDefault="607FA19D" w:rsidP="00765FFD">
            <w:pPr>
              <w:rPr>
                <w:rFonts w:ascii="Century Gothic" w:hAnsi="Century Gothic"/>
                <w:szCs w:val="22"/>
                <w:lang w:eastAsia="en-US"/>
              </w:rPr>
            </w:pPr>
            <w:r w:rsidRPr="00A41E55">
              <w:rPr>
                <w:rFonts w:ascii="Century Gothic" w:hAnsi="Century Gothic"/>
                <w:szCs w:val="22"/>
              </w:rPr>
              <w:t>2021: 1</w:t>
            </w:r>
            <w:r w:rsidR="1B46A846" w:rsidRPr="00A41E55">
              <w:rPr>
                <w:rFonts w:ascii="Century Gothic" w:hAnsi="Century Gothic"/>
                <w:szCs w:val="22"/>
              </w:rPr>
              <w:t>44</w:t>
            </w:r>
          </w:p>
          <w:p w14:paraId="24F2B00E" w14:textId="00CEB5C3" w:rsidR="00765FFD" w:rsidRPr="00A41E55" w:rsidRDefault="607FA19D" w:rsidP="145A5A95">
            <w:pPr>
              <w:rPr>
                <w:rFonts w:ascii="Century Gothic" w:eastAsia="MS PGothic" w:hAnsi="Century Gothic"/>
                <w:szCs w:val="22"/>
              </w:rPr>
            </w:pPr>
            <w:r w:rsidRPr="00A41E55">
              <w:rPr>
                <w:rFonts w:ascii="Century Gothic" w:hAnsi="Century Gothic"/>
                <w:szCs w:val="22"/>
              </w:rPr>
              <w:t>2020</w:t>
            </w:r>
            <w:r w:rsidR="001669CB" w:rsidRPr="00A41E55">
              <w:rPr>
                <w:rFonts w:ascii="Century Gothic" w:hAnsi="Century Gothic"/>
                <w:szCs w:val="22"/>
              </w:rPr>
              <w:t>: 211</w:t>
            </w:r>
          </w:p>
          <w:p w14:paraId="44780FB5" w14:textId="1A68CC50" w:rsidR="00765FFD" w:rsidRPr="00A41E55" w:rsidRDefault="607FA19D" w:rsidP="004C65D3">
            <w:pPr>
              <w:rPr>
                <w:rFonts w:ascii="Century Gothic" w:hAnsi="Century Gothic"/>
                <w:szCs w:val="22"/>
              </w:rPr>
            </w:pPr>
            <w:r w:rsidRPr="00A41E55">
              <w:rPr>
                <w:rFonts w:ascii="Century Gothic" w:hAnsi="Century Gothic"/>
                <w:szCs w:val="22"/>
              </w:rPr>
              <w:t xml:space="preserve">2019: </w:t>
            </w:r>
            <w:r w:rsidR="7265AD5E" w:rsidRPr="00A41E55">
              <w:rPr>
                <w:rFonts w:ascii="Century Gothic" w:hAnsi="Century Gothic"/>
                <w:szCs w:val="22"/>
              </w:rPr>
              <w:t xml:space="preserve">  </w:t>
            </w:r>
            <w:r w:rsidRPr="00A41E55">
              <w:rPr>
                <w:rFonts w:ascii="Century Gothic" w:hAnsi="Century Gothic"/>
                <w:szCs w:val="22"/>
              </w:rPr>
              <w:t>96</w:t>
            </w:r>
          </w:p>
        </w:tc>
        <w:tc>
          <w:tcPr>
            <w:tcW w:w="2591"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4CFF749C" w14:textId="04C54540" w:rsidR="00765FFD" w:rsidRPr="00A41E55" w:rsidRDefault="607FA19D" w:rsidP="004C65D3">
            <w:pPr>
              <w:rPr>
                <w:rFonts w:ascii="Century Gothic" w:hAnsi="Century Gothic"/>
                <w:szCs w:val="22"/>
              </w:rPr>
            </w:pPr>
            <w:r w:rsidRPr="00A41E55">
              <w:rPr>
                <w:rFonts w:ascii="Century Gothic" w:hAnsi="Century Gothic"/>
                <w:szCs w:val="22"/>
              </w:rPr>
              <w:t xml:space="preserve">Yes </w:t>
            </w:r>
          </w:p>
        </w:tc>
      </w:tr>
    </w:tbl>
    <w:p w14:paraId="24C8FA24" w14:textId="6C341589" w:rsidR="00CF332B" w:rsidRPr="005F095E" w:rsidRDefault="00CF332B" w:rsidP="655A2699">
      <w:pPr>
        <w:rPr>
          <w:rFonts w:ascii="Century Gothic" w:hAnsi="Century Gothic"/>
          <w:i/>
          <w:iCs/>
          <w:sz w:val="18"/>
          <w:szCs w:val="18"/>
          <w:lang w:eastAsia="en-US"/>
        </w:rPr>
      </w:pPr>
      <w:r w:rsidRPr="005F095E">
        <w:rPr>
          <w:rFonts w:ascii="Century Gothic" w:hAnsi="Century Gothic"/>
          <w:i/>
          <w:iCs/>
          <w:sz w:val="18"/>
          <w:szCs w:val="18"/>
          <w:lang w:eastAsia="en-US"/>
        </w:rPr>
        <w:t xml:space="preserve">* Weighted income figures </w:t>
      </w:r>
      <w:proofErr w:type="gramStart"/>
      <w:r w:rsidRPr="005F095E">
        <w:rPr>
          <w:rFonts w:ascii="Century Gothic" w:hAnsi="Century Gothic"/>
          <w:i/>
          <w:iCs/>
          <w:sz w:val="18"/>
          <w:szCs w:val="18"/>
          <w:lang w:eastAsia="en-US"/>
        </w:rPr>
        <w:t>across</w:t>
      </w:r>
      <w:proofErr w:type="gramEnd"/>
      <w:r w:rsidRPr="005F095E">
        <w:rPr>
          <w:rFonts w:ascii="Century Gothic" w:hAnsi="Century Gothic"/>
          <w:i/>
          <w:iCs/>
          <w:sz w:val="18"/>
          <w:szCs w:val="18"/>
          <w:lang w:eastAsia="en-US"/>
        </w:rPr>
        <w:t xml:space="preserve"> Brookside and Rockview participants</w:t>
      </w:r>
    </w:p>
    <w:p w14:paraId="4D30EB88" w14:textId="15935FFC" w:rsidR="00CF332B" w:rsidRPr="00A41E55" w:rsidRDefault="45DCF809" w:rsidP="54BD8CC3">
      <w:pPr>
        <w:rPr>
          <w:rFonts w:ascii="Century Gothic" w:hAnsi="Century Gothic"/>
          <w:i/>
          <w:iCs/>
          <w:sz w:val="18"/>
          <w:szCs w:val="18"/>
          <w:lang w:eastAsia="en-US"/>
        </w:rPr>
      </w:pPr>
      <w:r w:rsidRPr="005F095E">
        <w:rPr>
          <w:rFonts w:ascii="Century Gothic" w:hAnsi="Century Gothic"/>
          <w:i/>
          <w:iCs/>
          <w:sz w:val="18"/>
          <w:szCs w:val="18"/>
          <w:lang w:eastAsia="en-US"/>
        </w:rPr>
        <w:t>** Benchmark was created in FY17 and may be reevaluated in FY</w:t>
      </w:r>
      <w:r w:rsidR="37B7FDAB" w:rsidRPr="005F095E">
        <w:rPr>
          <w:rFonts w:ascii="Century Gothic" w:hAnsi="Century Gothic"/>
          <w:i/>
          <w:iCs/>
          <w:sz w:val="18"/>
          <w:szCs w:val="18"/>
          <w:lang w:eastAsia="en-US"/>
        </w:rPr>
        <w:t>2</w:t>
      </w:r>
      <w:r w:rsidR="50D069BF" w:rsidRPr="005F095E">
        <w:rPr>
          <w:rFonts w:ascii="Century Gothic" w:hAnsi="Century Gothic"/>
          <w:i/>
          <w:iCs/>
          <w:sz w:val="18"/>
          <w:szCs w:val="18"/>
          <w:lang w:eastAsia="en-US"/>
        </w:rPr>
        <w:t>5</w:t>
      </w:r>
      <w:r w:rsidR="4DABECB4" w:rsidRPr="54BD8CC3">
        <w:rPr>
          <w:rFonts w:ascii="Century Gothic" w:hAnsi="Century Gothic"/>
          <w:i/>
          <w:iCs/>
          <w:sz w:val="18"/>
          <w:szCs w:val="18"/>
          <w:lang w:eastAsia="en-US"/>
        </w:rPr>
        <w:t xml:space="preserve"> </w:t>
      </w:r>
    </w:p>
    <w:p w14:paraId="68C89094" w14:textId="7B8EF287" w:rsidR="00CF332B" w:rsidRPr="00A41E55" w:rsidRDefault="753BE804" w:rsidP="46B3BF7C">
      <w:pPr>
        <w:rPr>
          <w:rFonts w:ascii="Century Gothic" w:hAnsi="Century Gothic"/>
          <w:i/>
          <w:iCs/>
          <w:sz w:val="18"/>
          <w:szCs w:val="18"/>
          <w:lang w:eastAsia="en-US"/>
        </w:rPr>
      </w:pPr>
      <w:r w:rsidRPr="00A41E55">
        <w:rPr>
          <w:rFonts w:ascii="Century Gothic" w:hAnsi="Century Gothic"/>
          <w:i/>
          <w:iCs/>
          <w:sz w:val="18"/>
          <w:szCs w:val="18"/>
          <w:lang w:eastAsia="en-US"/>
        </w:rPr>
        <w:t>*** While this benchmark has been met, it may be reevaluated in FY</w:t>
      </w:r>
      <w:r w:rsidR="2E9CD00F" w:rsidRPr="00A41E55">
        <w:rPr>
          <w:rFonts w:ascii="Century Gothic" w:hAnsi="Century Gothic"/>
          <w:i/>
          <w:iCs/>
          <w:sz w:val="18"/>
          <w:szCs w:val="18"/>
          <w:lang w:eastAsia="en-US"/>
        </w:rPr>
        <w:t>2</w:t>
      </w:r>
      <w:r w:rsidR="5F68C373" w:rsidRPr="00A41E55">
        <w:rPr>
          <w:rFonts w:ascii="Century Gothic" w:hAnsi="Century Gothic"/>
          <w:i/>
          <w:iCs/>
          <w:sz w:val="18"/>
          <w:szCs w:val="18"/>
          <w:lang w:eastAsia="en-US"/>
        </w:rPr>
        <w:t>4</w:t>
      </w:r>
      <w:r w:rsidRPr="00A41E55">
        <w:rPr>
          <w:rFonts w:ascii="Century Gothic" w:hAnsi="Century Gothic"/>
          <w:i/>
          <w:iCs/>
          <w:sz w:val="18"/>
          <w:szCs w:val="18"/>
          <w:lang w:eastAsia="en-US"/>
        </w:rPr>
        <w:t xml:space="preserve"> to reflect the idea that there will always be a certain percentage of new participants on TANF and the goal of transitioning those participants off TANF after enrollment. </w:t>
      </w:r>
    </w:p>
    <w:p w14:paraId="715F653D" w14:textId="10FA0D29" w:rsidR="00CF332B" w:rsidRPr="00A41E55" w:rsidRDefault="753BE804" w:rsidP="46B3BF7C">
      <w:pPr>
        <w:rPr>
          <w:rFonts w:ascii="Century Gothic" w:hAnsi="Century Gothic"/>
          <w:i/>
          <w:iCs/>
          <w:sz w:val="18"/>
          <w:szCs w:val="18"/>
          <w:lang w:eastAsia="en-US"/>
        </w:rPr>
      </w:pPr>
      <w:r w:rsidRPr="00A41E55">
        <w:rPr>
          <w:rFonts w:ascii="Century Gothic" w:hAnsi="Century Gothic"/>
          <w:i/>
          <w:iCs/>
          <w:sz w:val="18"/>
          <w:szCs w:val="18"/>
          <w:lang w:eastAsia="en-US"/>
        </w:rPr>
        <w:t>**** This benchmark may be reevaluated in FY</w:t>
      </w:r>
      <w:r w:rsidR="2200811E" w:rsidRPr="00A41E55">
        <w:rPr>
          <w:rFonts w:ascii="Century Gothic" w:hAnsi="Century Gothic"/>
          <w:i/>
          <w:iCs/>
          <w:sz w:val="18"/>
          <w:szCs w:val="18"/>
          <w:lang w:eastAsia="en-US"/>
        </w:rPr>
        <w:t>2</w:t>
      </w:r>
      <w:r w:rsidR="05D489B1" w:rsidRPr="00A41E55">
        <w:rPr>
          <w:rFonts w:ascii="Century Gothic" w:hAnsi="Century Gothic"/>
          <w:i/>
          <w:iCs/>
          <w:sz w:val="18"/>
          <w:szCs w:val="18"/>
          <w:lang w:eastAsia="en-US"/>
        </w:rPr>
        <w:t>4</w:t>
      </w:r>
      <w:r w:rsidRPr="00A41E55">
        <w:rPr>
          <w:rFonts w:ascii="Century Gothic" w:hAnsi="Century Gothic"/>
          <w:i/>
          <w:iCs/>
          <w:sz w:val="18"/>
          <w:szCs w:val="18"/>
          <w:lang w:eastAsia="en-US"/>
        </w:rPr>
        <w:t xml:space="preserve">to reflect the fact that participation is capped by the number of residents in the two developments. </w:t>
      </w:r>
    </w:p>
    <w:p w14:paraId="6E19E7E9" w14:textId="284A4159" w:rsidR="00732292" w:rsidRPr="00A41E55" w:rsidRDefault="1A0665F5" w:rsidP="46B3BF7C">
      <w:pPr>
        <w:rPr>
          <w:rFonts w:ascii="Century Gothic" w:hAnsi="Century Gothic"/>
          <w:i/>
          <w:iCs/>
          <w:sz w:val="18"/>
          <w:szCs w:val="18"/>
          <w:lang w:eastAsia="en-US"/>
        </w:rPr>
      </w:pPr>
      <w:r w:rsidRPr="00A41E55">
        <w:rPr>
          <w:rFonts w:ascii="Century Gothic" w:hAnsi="Century Gothic"/>
          <w:i/>
          <w:iCs/>
          <w:sz w:val="18"/>
          <w:szCs w:val="18"/>
          <w:lang w:eastAsia="en-US"/>
        </w:rPr>
        <w:t xml:space="preserve">***** Self-sufficiency in this context </w:t>
      </w:r>
      <w:proofErr w:type="gramStart"/>
      <w:r w:rsidRPr="00A41E55">
        <w:rPr>
          <w:rFonts w:ascii="Century Gothic" w:hAnsi="Century Gothic"/>
          <w:i/>
          <w:iCs/>
          <w:sz w:val="18"/>
          <w:szCs w:val="18"/>
          <w:lang w:eastAsia="en-US"/>
        </w:rPr>
        <w:t>is referring</w:t>
      </w:r>
      <w:proofErr w:type="gramEnd"/>
      <w:r w:rsidRPr="00A41E55">
        <w:rPr>
          <w:rFonts w:ascii="Century Gothic" w:hAnsi="Century Gothic"/>
          <w:i/>
          <w:iCs/>
          <w:sz w:val="18"/>
          <w:szCs w:val="18"/>
          <w:lang w:eastAsia="en-US"/>
        </w:rPr>
        <w:t xml:space="preserve"> to the number of households that completed their FY 2</w:t>
      </w:r>
      <w:r w:rsidR="2DF654E3" w:rsidRPr="00A41E55">
        <w:rPr>
          <w:rFonts w:ascii="Century Gothic" w:hAnsi="Century Gothic"/>
          <w:i/>
          <w:iCs/>
          <w:sz w:val="18"/>
          <w:szCs w:val="18"/>
          <w:lang w:eastAsia="en-US"/>
        </w:rPr>
        <w:t>4</w:t>
      </w:r>
      <w:r w:rsidRPr="00A41E55">
        <w:rPr>
          <w:rFonts w:ascii="Century Gothic" w:hAnsi="Century Gothic"/>
          <w:i/>
          <w:iCs/>
          <w:sz w:val="18"/>
          <w:szCs w:val="18"/>
          <w:lang w:eastAsia="en-US"/>
        </w:rPr>
        <w:t xml:space="preserve"> specific goals.</w:t>
      </w:r>
    </w:p>
    <w:p w14:paraId="73BBCF71" w14:textId="77777777" w:rsidR="00CF332B" w:rsidRPr="00A41E55" w:rsidRDefault="00CF332B" w:rsidP="1B4A8018">
      <w:pPr>
        <w:rPr>
          <w:rFonts w:ascii="Century Gothic" w:hAnsi="Century Gothic"/>
          <w:i/>
          <w:iCs/>
          <w:szCs w:val="22"/>
          <w:highlight w:val="yellow"/>
          <w:lang w:eastAsia="en-US"/>
        </w:rPr>
      </w:pPr>
    </w:p>
    <w:p w14:paraId="578FC987" w14:textId="7AB844D2" w:rsidR="000658FF" w:rsidRPr="00A41E55" w:rsidRDefault="05F54DFF" w:rsidP="0E6C54AB">
      <w:pPr>
        <w:rPr>
          <w:rFonts w:ascii="Century Gothic" w:eastAsia="Calibri" w:hAnsi="Century Gothic" w:cs="Calibri"/>
          <w:color w:val="424242"/>
          <w:szCs w:val="22"/>
          <w:highlight w:val="yellow"/>
        </w:rPr>
      </w:pPr>
      <w:r w:rsidRPr="00A41E55">
        <w:rPr>
          <w:rFonts w:ascii="Century Gothic" w:hAnsi="Century Gothic"/>
          <w:szCs w:val="22"/>
          <w:lang w:eastAsia="en-US"/>
        </w:rPr>
        <w:t xml:space="preserve"> </w:t>
      </w:r>
    </w:p>
    <w:p w14:paraId="4229B2ED" w14:textId="38358149" w:rsidR="42E40E22" w:rsidRDefault="42E40E22" w:rsidP="42E40E22">
      <w:pPr>
        <w:rPr>
          <w:rFonts w:ascii="Century Gothic" w:eastAsia="MS PGothic" w:hAnsi="Century Gothic"/>
          <w:szCs w:val="22"/>
          <w:lang w:eastAsia="en-US"/>
        </w:rPr>
      </w:pPr>
    </w:p>
    <w:p w14:paraId="0755265E" w14:textId="77777777" w:rsidR="00A43BB6" w:rsidRDefault="00A43BB6" w:rsidP="42E40E22">
      <w:pPr>
        <w:rPr>
          <w:rFonts w:ascii="Century Gothic" w:eastAsia="MS PGothic" w:hAnsi="Century Gothic"/>
          <w:szCs w:val="22"/>
          <w:lang w:eastAsia="en-US"/>
        </w:rPr>
      </w:pPr>
    </w:p>
    <w:p w14:paraId="6905CB1E" w14:textId="77777777" w:rsidR="00A43BB6" w:rsidRDefault="00A43BB6" w:rsidP="42E40E22">
      <w:pPr>
        <w:rPr>
          <w:rFonts w:ascii="Century Gothic" w:eastAsia="MS PGothic" w:hAnsi="Century Gothic"/>
          <w:szCs w:val="22"/>
          <w:lang w:eastAsia="en-US"/>
        </w:rPr>
      </w:pPr>
    </w:p>
    <w:p w14:paraId="3AB13D1E" w14:textId="77777777" w:rsidR="00A43BB6" w:rsidRDefault="00A43BB6" w:rsidP="42E40E22">
      <w:pPr>
        <w:rPr>
          <w:rFonts w:ascii="Century Gothic" w:eastAsia="MS PGothic" w:hAnsi="Century Gothic"/>
          <w:szCs w:val="22"/>
          <w:lang w:eastAsia="en-US"/>
        </w:rPr>
      </w:pPr>
    </w:p>
    <w:p w14:paraId="75A6C21B" w14:textId="77777777" w:rsidR="00A43BB6" w:rsidRDefault="00A43BB6" w:rsidP="42E40E22">
      <w:pPr>
        <w:rPr>
          <w:rFonts w:ascii="Century Gothic" w:eastAsia="MS PGothic" w:hAnsi="Century Gothic"/>
          <w:szCs w:val="22"/>
          <w:lang w:eastAsia="en-US"/>
        </w:rPr>
      </w:pPr>
    </w:p>
    <w:p w14:paraId="31128B27" w14:textId="77777777" w:rsidR="00A43BB6" w:rsidRPr="00A41E55" w:rsidRDefault="00A43BB6" w:rsidP="42E40E22">
      <w:pPr>
        <w:rPr>
          <w:rFonts w:ascii="Century Gothic" w:eastAsia="MS PGothic" w:hAnsi="Century Gothic"/>
          <w:szCs w:val="22"/>
          <w:lang w:eastAsia="en-US"/>
        </w:rPr>
      </w:pPr>
    </w:p>
    <w:p w14:paraId="2F491A31" w14:textId="0F48F610" w:rsidR="19B0F821" w:rsidRPr="00A41E55" w:rsidRDefault="19B0F821" w:rsidP="42E40E22">
      <w:pPr>
        <w:rPr>
          <w:rFonts w:ascii="Century Gothic" w:hAnsi="Century Gothic"/>
          <w:szCs w:val="22"/>
        </w:rPr>
      </w:pPr>
    </w:p>
    <w:p w14:paraId="345898AC" w14:textId="539231DE" w:rsidR="6745EB34" w:rsidRPr="00A41E55" w:rsidRDefault="6745EB34" w:rsidP="6745EB34">
      <w:pPr>
        <w:rPr>
          <w:rFonts w:ascii="Century Gothic" w:eastAsia="MS PGothic" w:hAnsi="Century Gothic"/>
          <w:i/>
          <w:iCs/>
          <w:szCs w:val="22"/>
          <w:lang w:eastAsia="en-US"/>
        </w:rPr>
      </w:pPr>
    </w:p>
    <w:p w14:paraId="07120CAD" w14:textId="77777777" w:rsidR="00CF332B" w:rsidRPr="00A41E55" w:rsidRDefault="00CF332B" w:rsidP="00CF332B">
      <w:pPr>
        <w:rPr>
          <w:rFonts w:ascii="Century Gothic" w:hAnsi="Century Gothic"/>
          <w:b/>
          <w:bCs/>
          <w:iCs/>
          <w:szCs w:val="22"/>
        </w:rPr>
      </w:pPr>
      <w:r w:rsidRPr="00A41E55">
        <w:rPr>
          <w:rFonts w:ascii="Century Gothic" w:hAnsi="Century Gothic"/>
          <w:b/>
          <w:bCs/>
          <w:iCs/>
          <w:szCs w:val="22"/>
        </w:rPr>
        <w:lastRenderedPageBreak/>
        <w:t>Internal Metrics</w:t>
      </w:r>
    </w:p>
    <w:p w14:paraId="5A7D0E9B" w14:textId="77777777" w:rsidR="00CF332B" w:rsidRPr="00A41E55" w:rsidRDefault="00CF332B" w:rsidP="00CF332B">
      <w:pPr>
        <w:rPr>
          <w:rFonts w:ascii="Century Gothic" w:hAnsi="Century Gothic"/>
          <w:b/>
          <w:bCs/>
          <w:iCs/>
          <w:szCs w:val="22"/>
        </w:rPr>
      </w:pPr>
    </w:p>
    <w:tbl>
      <w:tblPr>
        <w:tblW w:w="10620" w:type="dxa"/>
        <w:tblInd w:w="180" w:type="dxa"/>
        <w:tblCellMar>
          <w:left w:w="0" w:type="dxa"/>
          <w:right w:w="0" w:type="dxa"/>
        </w:tblCellMar>
        <w:tblLook w:val="04A0" w:firstRow="1" w:lastRow="0" w:firstColumn="1" w:lastColumn="0" w:noHBand="0" w:noVBand="1"/>
      </w:tblPr>
      <w:tblGrid>
        <w:gridCol w:w="1795"/>
        <w:gridCol w:w="1530"/>
        <w:gridCol w:w="1980"/>
        <w:gridCol w:w="2520"/>
        <w:gridCol w:w="2795"/>
      </w:tblGrid>
      <w:tr w:rsidR="00CF332B" w:rsidRPr="002864AA" w14:paraId="2449DE5E" w14:textId="77777777" w:rsidTr="6EDDC8C1">
        <w:trPr>
          <w:trHeight w:val="400"/>
        </w:trPr>
        <w:tc>
          <w:tcPr>
            <w:tcW w:w="10620" w:type="dxa"/>
            <w:gridSpan w:val="5"/>
            <w:tcBorders>
              <w:top w:val="nil"/>
              <w:left w:val="nil"/>
              <w:bottom w:val="single" w:sz="24" w:space="0" w:color="C00000"/>
              <w:right w:val="nil"/>
            </w:tcBorders>
            <w:shd w:val="clear" w:color="auto" w:fill="808080" w:themeFill="background1" w:themeFillShade="80"/>
            <w:tcMar>
              <w:top w:w="0" w:type="dxa"/>
              <w:left w:w="108" w:type="dxa"/>
              <w:bottom w:w="0" w:type="dxa"/>
              <w:right w:w="108" w:type="dxa"/>
            </w:tcMar>
            <w:hideMark/>
          </w:tcPr>
          <w:p w14:paraId="0AA62E46" w14:textId="77777777" w:rsidR="00CF332B" w:rsidRPr="00A41E55" w:rsidRDefault="00CF332B" w:rsidP="00CF332B">
            <w:pPr>
              <w:jc w:val="center"/>
              <w:rPr>
                <w:rFonts w:ascii="Century Gothic" w:hAnsi="Century Gothic"/>
                <w:szCs w:val="22"/>
              </w:rPr>
            </w:pPr>
            <w:r w:rsidRPr="00A41E55">
              <w:rPr>
                <w:rFonts w:ascii="Century Gothic" w:hAnsi="Century Gothic"/>
                <w:b/>
                <w:bCs/>
                <w:szCs w:val="22"/>
              </w:rPr>
              <w:t>Enrollment</w:t>
            </w:r>
          </w:p>
        </w:tc>
      </w:tr>
      <w:tr w:rsidR="00CF332B" w:rsidRPr="002864AA" w14:paraId="49F18ECB" w14:textId="77777777" w:rsidTr="6EDDC8C1">
        <w:trPr>
          <w:trHeight w:val="320"/>
        </w:trPr>
        <w:tc>
          <w:tcPr>
            <w:tcW w:w="1795" w:type="dxa"/>
            <w:tcBorders>
              <w:top w:val="single" w:sz="24" w:space="0" w:color="C00000"/>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40E472B2" w14:textId="77777777" w:rsidR="00CF332B" w:rsidRPr="00AC3666" w:rsidRDefault="00CF332B" w:rsidP="00CF332B">
            <w:pPr>
              <w:jc w:val="center"/>
              <w:rPr>
                <w:rFonts w:ascii="Century Gothic" w:hAnsi="Century Gothic"/>
                <w:b/>
                <w:bCs/>
                <w:szCs w:val="22"/>
              </w:rPr>
            </w:pPr>
            <w:r w:rsidRPr="00AC3666">
              <w:rPr>
                <w:rFonts w:ascii="Century Gothic" w:hAnsi="Century Gothic"/>
                <w:b/>
                <w:bCs/>
                <w:szCs w:val="22"/>
              </w:rPr>
              <w:t>Unit of Measurement</w:t>
            </w:r>
          </w:p>
        </w:tc>
        <w:tc>
          <w:tcPr>
            <w:tcW w:w="1530"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1710F97F" w14:textId="77777777" w:rsidR="00CF332B" w:rsidRPr="00AC3666" w:rsidRDefault="00CF332B" w:rsidP="00CF332B">
            <w:pPr>
              <w:jc w:val="center"/>
              <w:rPr>
                <w:rFonts w:ascii="Century Gothic" w:hAnsi="Century Gothic"/>
                <w:b/>
                <w:bCs/>
                <w:szCs w:val="22"/>
              </w:rPr>
            </w:pPr>
            <w:r w:rsidRPr="00AC3666">
              <w:rPr>
                <w:rFonts w:ascii="Century Gothic" w:hAnsi="Century Gothic"/>
                <w:b/>
                <w:bCs/>
                <w:szCs w:val="22"/>
              </w:rPr>
              <w:t>Baseline</w:t>
            </w:r>
          </w:p>
        </w:tc>
        <w:tc>
          <w:tcPr>
            <w:tcW w:w="1980"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01404705" w14:textId="77777777" w:rsidR="00CF332B" w:rsidRPr="00AC3666" w:rsidRDefault="00CF332B" w:rsidP="00CF332B">
            <w:pPr>
              <w:jc w:val="center"/>
              <w:rPr>
                <w:rFonts w:ascii="Century Gothic" w:hAnsi="Century Gothic"/>
                <w:b/>
                <w:bCs/>
                <w:szCs w:val="22"/>
              </w:rPr>
            </w:pPr>
            <w:r w:rsidRPr="00AC3666">
              <w:rPr>
                <w:rFonts w:ascii="Century Gothic" w:hAnsi="Century Gothic"/>
                <w:b/>
                <w:bCs/>
                <w:szCs w:val="22"/>
              </w:rPr>
              <w:t>Benchmark*</w:t>
            </w:r>
          </w:p>
        </w:tc>
        <w:tc>
          <w:tcPr>
            <w:tcW w:w="2520"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19F1420B" w14:textId="77777777" w:rsidR="00CF332B" w:rsidRPr="00AC3666" w:rsidRDefault="00CF332B" w:rsidP="00CF332B">
            <w:pPr>
              <w:jc w:val="center"/>
              <w:rPr>
                <w:rFonts w:ascii="Century Gothic" w:hAnsi="Century Gothic"/>
                <w:b/>
                <w:bCs/>
                <w:szCs w:val="22"/>
              </w:rPr>
            </w:pPr>
            <w:r w:rsidRPr="00AC3666">
              <w:rPr>
                <w:rFonts w:ascii="Century Gothic" w:hAnsi="Century Gothic"/>
                <w:b/>
                <w:bCs/>
                <w:szCs w:val="22"/>
              </w:rPr>
              <w:t>Outcome</w:t>
            </w:r>
          </w:p>
        </w:tc>
        <w:tc>
          <w:tcPr>
            <w:tcW w:w="2795"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577F4E74" w14:textId="77777777" w:rsidR="00CF332B" w:rsidRPr="00AC3666" w:rsidRDefault="00CF332B" w:rsidP="00CF332B">
            <w:pPr>
              <w:jc w:val="center"/>
              <w:rPr>
                <w:rFonts w:ascii="Century Gothic" w:hAnsi="Century Gothic"/>
                <w:b/>
                <w:bCs/>
                <w:szCs w:val="22"/>
              </w:rPr>
            </w:pPr>
            <w:r w:rsidRPr="00AC3666">
              <w:rPr>
                <w:rFonts w:ascii="Century Gothic" w:hAnsi="Century Gothic"/>
                <w:b/>
                <w:bCs/>
                <w:szCs w:val="22"/>
              </w:rPr>
              <w:t>Benchmark Achieved?</w:t>
            </w:r>
          </w:p>
        </w:tc>
      </w:tr>
      <w:tr w:rsidR="00CF332B" w:rsidRPr="002864AA" w14:paraId="5B1B519E" w14:textId="77777777" w:rsidTr="6EDDC8C1">
        <w:trPr>
          <w:trHeight w:val="1220"/>
        </w:trPr>
        <w:tc>
          <w:tcPr>
            <w:tcW w:w="179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52FFF163" w14:textId="77777777" w:rsidR="00CF332B" w:rsidRPr="0075149C" w:rsidRDefault="00CF332B" w:rsidP="00CF332B">
            <w:pPr>
              <w:rPr>
                <w:rFonts w:ascii="Century Gothic" w:hAnsi="Century Gothic"/>
                <w:szCs w:val="22"/>
              </w:rPr>
            </w:pPr>
            <w:r w:rsidRPr="0075149C">
              <w:rPr>
                <w:rFonts w:ascii="Century Gothic" w:hAnsi="Century Gothic"/>
                <w:szCs w:val="22"/>
              </w:rPr>
              <w:t>Number of Full CARES participants</w:t>
            </w:r>
          </w:p>
        </w:tc>
        <w:tc>
          <w:tcPr>
            <w:tcW w:w="153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3FDC5588" w14:textId="77777777" w:rsidR="00CF332B" w:rsidRPr="0075149C" w:rsidRDefault="00CF332B" w:rsidP="00CF332B">
            <w:pPr>
              <w:rPr>
                <w:rFonts w:ascii="Century Gothic" w:hAnsi="Century Gothic"/>
                <w:szCs w:val="22"/>
              </w:rPr>
            </w:pPr>
            <w:r w:rsidRPr="0075149C">
              <w:rPr>
                <w:rFonts w:ascii="Century Gothic" w:hAnsi="Century Gothic"/>
                <w:szCs w:val="22"/>
              </w:rPr>
              <w:t>Zero</w:t>
            </w:r>
          </w:p>
        </w:tc>
        <w:tc>
          <w:tcPr>
            <w:tcW w:w="198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02CA11D6" w14:textId="77777777" w:rsidR="00CF332B" w:rsidRPr="0075149C" w:rsidRDefault="00CF332B" w:rsidP="00CF332B">
            <w:pPr>
              <w:rPr>
                <w:rFonts w:ascii="Century Gothic" w:hAnsi="Century Gothic"/>
                <w:szCs w:val="22"/>
              </w:rPr>
            </w:pPr>
            <w:r w:rsidRPr="0075149C">
              <w:rPr>
                <w:rFonts w:ascii="Century Gothic" w:hAnsi="Century Gothic"/>
                <w:szCs w:val="22"/>
              </w:rPr>
              <w:t>25% Increase in Full CARES</w:t>
            </w:r>
          </w:p>
        </w:tc>
        <w:tc>
          <w:tcPr>
            <w:tcW w:w="252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698C0D8E" w14:textId="5D0971AD" w:rsidR="4EDA3C0E" w:rsidRPr="0075149C" w:rsidRDefault="306D6E11" w:rsidP="433078B2">
            <w:pPr>
              <w:rPr>
                <w:rFonts w:ascii="Century Gothic" w:hAnsi="Century Gothic"/>
                <w:szCs w:val="22"/>
              </w:rPr>
            </w:pPr>
            <w:r w:rsidRPr="00603FED">
              <w:rPr>
                <w:rFonts w:ascii="Century Gothic" w:hAnsi="Century Gothic"/>
                <w:szCs w:val="22"/>
              </w:rPr>
              <w:t xml:space="preserve">2024: </w:t>
            </w:r>
            <w:r w:rsidR="2D2A907C" w:rsidRPr="00603FED">
              <w:rPr>
                <w:rFonts w:ascii="Century Gothic" w:hAnsi="Century Gothic"/>
                <w:szCs w:val="22"/>
              </w:rPr>
              <w:t>5</w:t>
            </w:r>
            <w:r w:rsidR="00052EC0" w:rsidRPr="00603FED">
              <w:rPr>
                <w:rFonts w:ascii="Century Gothic" w:hAnsi="Century Gothic"/>
                <w:szCs w:val="22"/>
              </w:rPr>
              <w:t>2</w:t>
            </w:r>
            <w:r w:rsidR="73A37D4F" w:rsidRPr="00603FED">
              <w:rPr>
                <w:rFonts w:ascii="Century Gothic" w:hAnsi="Century Gothic"/>
                <w:szCs w:val="22"/>
              </w:rPr>
              <w:t xml:space="preserve"> (</w:t>
            </w:r>
            <w:r w:rsidR="008E73AA">
              <w:rPr>
                <w:rFonts w:ascii="Century Gothic" w:hAnsi="Century Gothic"/>
                <w:szCs w:val="22"/>
              </w:rPr>
              <w:t>5</w:t>
            </w:r>
            <w:r w:rsidR="4F458FCB" w:rsidRPr="0075149C">
              <w:rPr>
                <w:rFonts w:ascii="Century Gothic" w:hAnsi="Century Gothic"/>
                <w:szCs w:val="22"/>
              </w:rPr>
              <w:t xml:space="preserve">% </w:t>
            </w:r>
            <w:r w:rsidR="73A37D4F" w:rsidRPr="0075149C">
              <w:rPr>
                <w:rFonts w:ascii="Century Gothic" w:hAnsi="Century Gothic"/>
                <w:szCs w:val="22"/>
              </w:rPr>
              <w:t>decrease)</w:t>
            </w:r>
          </w:p>
          <w:p w14:paraId="4E4364EF" w14:textId="3E62FCDE" w:rsidR="1B4A8018" w:rsidRPr="0075149C" w:rsidRDefault="018D4016" w:rsidP="39F0821C">
            <w:pPr>
              <w:rPr>
                <w:rFonts w:ascii="Century Gothic" w:hAnsi="Century Gothic"/>
                <w:szCs w:val="22"/>
              </w:rPr>
            </w:pPr>
            <w:r w:rsidRPr="0075149C">
              <w:rPr>
                <w:rFonts w:ascii="Century Gothic" w:hAnsi="Century Gothic"/>
                <w:szCs w:val="22"/>
              </w:rPr>
              <w:t>202</w:t>
            </w:r>
            <w:r w:rsidR="5F2F7D03" w:rsidRPr="0075149C">
              <w:rPr>
                <w:rFonts w:ascii="Century Gothic" w:hAnsi="Century Gothic"/>
                <w:szCs w:val="22"/>
              </w:rPr>
              <w:t>3</w:t>
            </w:r>
            <w:r w:rsidRPr="0075149C">
              <w:rPr>
                <w:rFonts w:ascii="Century Gothic" w:hAnsi="Century Gothic"/>
                <w:szCs w:val="22"/>
              </w:rPr>
              <w:t>:</w:t>
            </w:r>
            <w:r w:rsidR="20E563E2" w:rsidRPr="0075149C">
              <w:rPr>
                <w:rFonts w:ascii="Century Gothic" w:hAnsi="Century Gothic"/>
                <w:szCs w:val="22"/>
              </w:rPr>
              <w:t>55</w:t>
            </w:r>
            <w:r w:rsidR="5F2F7D03" w:rsidRPr="0075149C">
              <w:rPr>
                <w:rFonts w:ascii="Century Gothic" w:hAnsi="Century Gothic"/>
                <w:szCs w:val="22"/>
              </w:rPr>
              <w:t xml:space="preserve"> </w:t>
            </w:r>
            <w:r w:rsidR="46D9358F" w:rsidRPr="0075149C">
              <w:rPr>
                <w:rFonts w:ascii="Century Gothic" w:hAnsi="Century Gothic"/>
                <w:szCs w:val="22"/>
              </w:rPr>
              <w:t>(</w:t>
            </w:r>
            <w:r w:rsidR="7D75B29B" w:rsidRPr="0075149C">
              <w:rPr>
                <w:rFonts w:ascii="Century Gothic" w:hAnsi="Century Gothic"/>
                <w:szCs w:val="22"/>
              </w:rPr>
              <w:t xml:space="preserve">6% </w:t>
            </w:r>
            <w:r w:rsidR="6FC4058B" w:rsidRPr="0075149C">
              <w:rPr>
                <w:rFonts w:ascii="Century Gothic" w:hAnsi="Century Gothic"/>
                <w:szCs w:val="22"/>
              </w:rPr>
              <w:t>increase</w:t>
            </w:r>
            <w:r w:rsidR="6660A34A" w:rsidRPr="0075149C">
              <w:rPr>
                <w:rFonts w:ascii="Century Gothic" w:hAnsi="Century Gothic"/>
                <w:szCs w:val="22"/>
              </w:rPr>
              <w:t>)</w:t>
            </w:r>
          </w:p>
          <w:p w14:paraId="1E891EE2" w14:textId="2E757EBD" w:rsidR="00B048FD" w:rsidRPr="0075149C" w:rsidRDefault="3576B3EE" w:rsidP="39F0821C">
            <w:pPr>
              <w:rPr>
                <w:rFonts w:ascii="Century Gothic" w:hAnsi="Century Gothic"/>
                <w:szCs w:val="22"/>
              </w:rPr>
            </w:pPr>
            <w:r w:rsidRPr="0075149C">
              <w:rPr>
                <w:rFonts w:ascii="Century Gothic" w:hAnsi="Century Gothic"/>
                <w:szCs w:val="22"/>
              </w:rPr>
              <w:t>2022:52</w:t>
            </w:r>
            <w:r w:rsidR="047F855A" w:rsidRPr="0075149C">
              <w:rPr>
                <w:rFonts w:ascii="Century Gothic" w:hAnsi="Century Gothic"/>
                <w:szCs w:val="22"/>
              </w:rPr>
              <w:t xml:space="preserve"> (35% decrease)</w:t>
            </w:r>
          </w:p>
          <w:p w14:paraId="4EA3DCB7" w14:textId="0417458F" w:rsidR="001E6BF7" w:rsidRPr="0075149C" w:rsidRDefault="776ACC71" w:rsidP="39F0821C">
            <w:pPr>
              <w:rPr>
                <w:rFonts w:ascii="Century Gothic" w:hAnsi="Century Gothic"/>
                <w:szCs w:val="22"/>
              </w:rPr>
            </w:pPr>
            <w:r w:rsidRPr="0075149C">
              <w:rPr>
                <w:rFonts w:ascii="Century Gothic" w:hAnsi="Century Gothic"/>
                <w:szCs w:val="22"/>
              </w:rPr>
              <w:t>2021: 81</w:t>
            </w:r>
            <w:r w:rsidR="7E9B1827" w:rsidRPr="0075149C">
              <w:rPr>
                <w:rFonts w:ascii="Century Gothic" w:hAnsi="Century Gothic"/>
                <w:szCs w:val="22"/>
              </w:rPr>
              <w:t xml:space="preserve"> (19% increase)</w:t>
            </w:r>
          </w:p>
          <w:p w14:paraId="1D1AE08A" w14:textId="50D588A1" w:rsidR="00CF332B" w:rsidRPr="0075149C" w:rsidRDefault="1B4A8018" w:rsidP="39F0821C">
            <w:pPr>
              <w:rPr>
                <w:rFonts w:ascii="Century Gothic" w:hAnsi="Century Gothic"/>
                <w:szCs w:val="22"/>
              </w:rPr>
            </w:pPr>
            <w:r w:rsidRPr="0075149C">
              <w:rPr>
                <w:rFonts w:ascii="Century Gothic" w:hAnsi="Century Gothic"/>
                <w:szCs w:val="22"/>
              </w:rPr>
              <w:t>2020: 68</w:t>
            </w:r>
          </w:p>
          <w:p w14:paraId="7FF307C3" w14:textId="2B17598F" w:rsidR="00CF332B" w:rsidRPr="0075149C" w:rsidRDefault="1B4A8018" w:rsidP="39F0821C">
            <w:pPr>
              <w:rPr>
                <w:rFonts w:ascii="Century Gothic" w:hAnsi="Century Gothic"/>
                <w:szCs w:val="22"/>
              </w:rPr>
            </w:pPr>
            <w:r w:rsidRPr="0075149C">
              <w:rPr>
                <w:rFonts w:ascii="Century Gothic" w:hAnsi="Century Gothic"/>
                <w:szCs w:val="22"/>
              </w:rPr>
              <w:t>Prior years’ average: 59</w:t>
            </w:r>
          </w:p>
        </w:tc>
        <w:tc>
          <w:tcPr>
            <w:tcW w:w="2795"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297DD32E" w14:textId="4B4FE8A3" w:rsidR="00CF332B" w:rsidRPr="0075149C" w:rsidRDefault="280ABF93" w:rsidP="0E6C54AB">
            <w:pPr>
              <w:rPr>
                <w:rFonts w:ascii="Century Gothic" w:hAnsi="Century Gothic"/>
                <w:szCs w:val="22"/>
              </w:rPr>
            </w:pPr>
            <w:r w:rsidRPr="0075149C">
              <w:rPr>
                <w:rFonts w:ascii="Century Gothic" w:hAnsi="Century Gothic"/>
                <w:szCs w:val="22"/>
              </w:rPr>
              <w:t xml:space="preserve"> No</w:t>
            </w:r>
          </w:p>
        </w:tc>
      </w:tr>
      <w:tr w:rsidR="00CF332B" w:rsidRPr="002864AA" w14:paraId="4F1300B4" w14:textId="77777777" w:rsidTr="6EDDC8C1">
        <w:trPr>
          <w:trHeight w:val="1220"/>
        </w:trPr>
        <w:tc>
          <w:tcPr>
            <w:tcW w:w="179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4217064C" w14:textId="77777777" w:rsidR="00CF332B" w:rsidRPr="0075149C" w:rsidRDefault="00CF332B" w:rsidP="00CF332B">
            <w:pPr>
              <w:rPr>
                <w:rFonts w:ascii="Century Gothic" w:hAnsi="Century Gothic"/>
                <w:szCs w:val="22"/>
              </w:rPr>
            </w:pPr>
            <w:r w:rsidRPr="0075149C">
              <w:rPr>
                <w:rFonts w:ascii="Century Gothic" w:hAnsi="Century Gothic"/>
                <w:szCs w:val="22"/>
              </w:rPr>
              <w:t>Number of Transition CARES participants</w:t>
            </w:r>
          </w:p>
        </w:tc>
        <w:tc>
          <w:tcPr>
            <w:tcW w:w="153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08595AAB" w14:textId="77777777" w:rsidR="00CF332B" w:rsidRPr="0075149C" w:rsidRDefault="00CF332B" w:rsidP="00CF332B">
            <w:pPr>
              <w:rPr>
                <w:rFonts w:ascii="Century Gothic" w:hAnsi="Century Gothic"/>
                <w:szCs w:val="22"/>
              </w:rPr>
            </w:pPr>
            <w:r w:rsidRPr="0075149C">
              <w:rPr>
                <w:rFonts w:ascii="Century Gothic" w:hAnsi="Century Gothic"/>
                <w:szCs w:val="22"/>
              </w:rPr>
              <w:t>Zero</w:t>
            </w:r>
          </w:p>
        </w:tc>
        <w:tc>
          <w:tcPr>
            <w:tcW w:w="198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66F8096B" w14:textId="77777777" w:rsidR="00CF332B" w:rsidRPr="0075149C" w:rsidRDefault="00CF332B" w:rsidP="00CF332B">
            <w:pPr>
              <w:rPr>
                <w:rFonts w:ascii="Century Gothic" w:hAnsi="Century Gothic"/>
                <w:szCs w:val="22"/>
              </w:rPr>
            </w:pPr>
            <w:r w:rsidRPr="0075149C">
              <w:rPr>
                <w:rFonts w:ascii="Century Gothic" w:hAnsi="Century Gothic"/>
                <w:szCs w:val="22"/>
              </w:rPr>
              <w:t>25% Reduction in Transition CARES</w:t>
            </w:r>
          </w:p>
        </w:tc>
        <w:tc>
          <w:tcPr>
            <w:tcW w:w="252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27FBFD24" w14:textId="65F1029B" w:rsidR="3782BFC7" w:rsidRPr="0075149C" w:rsidRDefault="78C2A2D6" w:rsidP="433078B2">
            <w:pPr>
              <w:rPr>
                <w:rFonts w:ascii="Century Gothic" w:hAnsi="Century Gothic"/>
                <w:szCs w:val="22"/>
              </w:rPr>
            </w:pPr>
            <w:r w:rsidRPr="00603FED">
              <w:rPr>
                <w:rFonts w:ascii="Century Gothic" w:hAnsi="Century Gothic"/>
                <w:szCs w:val="22"/>
              </w:rPr>
              <w:t>2024:</w:t>
            </w:r>
            <w:r w:rsidR="00603FED">
              <w:rPr>
                <w:rFonts w:ascii="Century Gothic" w:hAnsi="Century Gothic"/>
                <w:szCs w:val="22"/>
              </w:rPr>
              <w:t xml:space="preserve"> </w:t>
            </w:r>
            <w:r w:rsidR="00052EC0" w:rsidRPr="00603FED">
              <w:rPr>
                <w:rFonts w:ascii="Century Gothic" w:hAnsi="Century Gothic"/>
                <w:szCs w:val="22"/>
              </w:rPr>
              <w:t>26</w:t>
            </w:r>
            <w:r w:rsidR="69C726AD" w:rsidRPr="0075149C">
              <w:rPr>
                <w:rFonts w:ascii="Century Gothic" w:hAnsi="Century Gothic"/>
                <w:szCs w:val="22"/>
              </w:rPr>
              <w:t xml:space="preserve"> (</w:t>
            </w:r>
            <w:r w:rsidR="00603FED">
              <w:rPr>
                <w:rFonts w:ascii="Century Gothic" w:hAnsi="Century Gothic"/>
                <w:szCs w:val="22"/>
              </w:rPr>
              <w:t>35</w:t>
            </w:r>
            <w:r w:rsidR="69C726AD" w:rsidRPr="0075149C">
              <w:rPr>
                <w:rFonts w:ascii="Century Gothic" w:hAnsi="Century Gothic"/>
                <w:szCs w:val="22"/>
              </w:rPr>
              <w:t>% decrease)</w:t>
            </w:r>
          </w:p>
          <w:p w14:paraId="09261D5F" w14:textId="2DCC84CF" w:rsidR="1B4A8018" w:rsidRPr="0075149C" w:rsidRDefault="018D4016" w:rsidP="39F0821C">
            <w:pPr>
              <w:rPr>
                <w:rFonts w:ascii="Century Gothic" w:hAnsi="Century Gothic"/>
                <w:szCs w:val="22"/>
              </w:rPr>
            </w:pPr>
            <w:r w:rsidRPr="0075149C">
              <w:rPr>
                <w:rFonts w:ascii="Century Gothic" w:hAnsi="Century Gothic"/>
                <w:szCs w:val="22"/>
              </w:rPr>
              <w:t>202</w:t>
            </w:r>
            <w:r w:rsidR="55A91922" w:rsidRPr="0075149C">
              <w:rPr>
                <w:rFonts w:ascii="Century Gothic" w:hAnsi="Century Gothic"/>
                <w:szCs w:val="22"/>
              </w:rPr>
              <w:t>3</w:t>
            </w:r>
            <w:r w:rsidRPr="0075149C">
              <w:rPr>
                <w:rFonts w:ascii="Century Gothic" w:hAnsi="Century Gothic"/>
                <w:szCs w:val="22"/>
              </w:rPr>
              <w:t>:</w:t>
            </w:r>
            <w:r w:rsidR="78A98EE6" w:rsidRPr="0075149C">
              <w:rPr>
                <w:rFonts w:ascii="Century Gothic" w:hAnsi="Century Gothic"/>
                <w:szCs w:val="22"/>
              </w:rPr>
              <w:t>40</w:t>
            </w:r>
            <w:r w:rsidR="3FAB3179" w:rsidRPr="0075149C">
              <w:rPr>
                <w:rFonts w:ascii="Century Gothic" w:hAnsi="Century Gothic"/>
                <w:szCs w:val="22"/>
              </w:rPr>
              <w:t xml:space="preserve"> </w:t>
            </w:r>
            <w:r w:rsidR="7E76669D" w:rsidRPr="0075149C">
              <w:rPr>
                <w:rFonts w:ascii="Century Gothic" w:hAnsi="Century Gothic"/>
                <w:szCs w:val="22"/>
              </w:rPr>
              <w:t>(</w:t>
            </w:r>
            <w:r w:rsidR="3FAB3179" w:rsidRPr="0075149C">
              <w:rPr>
                <w:rFonts w:ascii="Century Gothic" w:hAnsi="Century Gothic"/>
                <w:szCs w:val="22"/>
              </w:rPr>
              <w:t>20% decrease</w:t>
            </w:r>
            <w:r w:rsidR="3DF8C11E" w:rsidRPr="0075149C">
              <w:rPr>
                <w:rFonts w:ascii="Century Gothic" w:hAnsi="Century Gothic"/>
                <w:szCs w:val="22"/>
              </w:rPr>
              <w:t>)</w:t>
            </w:r>
          </w:p>
          <w:p w14:paraId="3C3E21C8" w14:textId="6C9959D9" w:rsidR="00B048FD" w:rsidRPr="0075149C" w:rsidRDefault="57DDE9F6" w:rsidP="39F0821C">
            <w:pPr>
              <w:rPr>
                <w:rFonts w:ascii="Century Gothic" w:hAnsi="Century Gothic"/>
                <w:szCs w:val="22"/>
              </w:rPr>
            </w:pPr>
            <w:r w:rsidRPr="0075149C">
              <w:rPr>
                <w:rFonts w:ascii="Century Gothic" w:hAnsi="Century Gothic"/>
                <w:szCs w:val="22"/>
              </w:rPr>
              <w:t>2022:50</w:t>
            </w:r>
            <w:r w:rsidR="3033ED6D" w:rsidRPr="0075149C">
              <w:rPr>
                <w:rFonts w:ascii="Century Gothic" w:hAnsi="Century Gothic"/>
                <w:szCs w:val="22"/>
              </w:rPr>
              <w:t xml:space="preserve"> </w:t>
            </w:r>
            <w:r w:rsidR="6C5A67CB" w:rsidRPr="0075149C">
              <w:rPr>
                <w:rFonts w:ascii="Century Gothic" w:hAnsi="Century Gothic"/>
                <w:szCs w:val="22"/>
              </w:rPr>
              <w:t>(</w:t>
            </w:r>
            <w:r w:rsidR="56A3B031" w:rsidRPr="0075149C">
              <w:rPr>
                <w:rFonts w:ascii="Century Gothic" w:hAnsi="Century Gothic"/>
                <w:szCs w:val="22"/>
              </w:rPr>
              <w:t>39%</w:t>
            </w:r>
            <w:r w:rsidR="3033ED6D" w:rsidRPr="0075149C">
              <w:rPr>
                <w:rFonts w:ascii="Century Gothic" w:hAnsi="Century Gothic"/>
                <w:szCs w:val="22"/>
              </w:rPr>
              <w:t xml:space="preserve"> increase</w:t>
            </w:r>
            <w:r w:rsidR="74453812" w:rsidRPr="0075149C">
              <w:rPr>
                <w:rFonts w:ascii="Century Gothic" w:hAnsi="Century Gothic"/>
                <w:szCs w:val="22"/>
              </w:rPr>
              <w:t>)</w:t>
            </w:r>
          </w:p>
          <w:p w14:paraId="09B063DA" w14:textId="7166C2B1" w:rsidR="001E6BF7" w:rsidRPr="0075149C" w:rsidRDefault="776ACC71" w:rsidP="39F0821C">
            <w:pPr>
              <w:rPr>
                <w:rFonts w:ascii="Century Gothic" w:hAnsi="Century Gothic"/>
                <w:szCs w:val="22"/>
              </w:rPr>
            </w:pPr>
            <w:r w:rsidRPr="0075149C">
              <w:rPr>
                <w:rFonts w:ascii="Century Gothic" w:hAnsi="Century Gothic"/>
                <w:szCs w:val="22"/>
              </w:rPr>
              <w:t>2021: 36</w:t>
            </w:r>
            <w:r w:rsidR="3DC910A4" w:rsidRPr="0075149C">
              <w:rPr>
                <w:rFonts w:ascii="Century Gothic" w:hAnsi="Century Gothic"/>
                <w:szCs w:val="22"/>
              </w:rPr>
              <w:t xml:space="preserve"> (23% decrease)</w:t>
            </w:r>
          </w:p>
          <w:p w14:paraId="548E29A8" w14:textId="3D29DA81" w:rsidR="00CF332B" w:rsidRPr="0075149C" w:rsidRDefault="1B4A8018" w:rsidP="39F0821C">
            <w:pPr>
              <w:rPr>
                <w:rFonts w:ascii="Century Gothic" w:hAnsi="Century Gothic"/>
                <w:szCs w:val="22"/>
              </w:rPr>
            </w:pPr>
            <w:r w:rsidRPr="0075149C">
              <w:rPr>
                <w:rFonts w:ascii="Century Gothic" w:hAnsi="Century Gothic"/>
                <w:szCs w:val="22"/>
              </w:rPr>
              <w:t>2020: 47</w:t>
            </w:r>
          </w:p>
          <w:p w14:paraId="6CE0FF6D" w14:textId="77777777" w:rsidR="00CF332B" w:rsidRPr="0075149C" w:rsidRDefault="1B4A8018" w:rsidP="39F0821C">
            <w:pPr>
              <w:rPr>
                <w:rFonts w:ascii="Century Gothic" w:hAnsi="Century Gothic"/>
                <w:szCs w:val="22"/>
              </w:rPr>
            </w:pPr>
            <w:r w:rsidRPr="0075149C">
              <w:rPr>
                <w:rFonts w:ascii="Century Gothic" w:hAnsi="Century Gothic"/>
                <w:szCs w:val="22"/>
              </w:rPr>
              <w:t>2019: 51</w:t>
            </w:r>
          </w:p>
          <w:p w14:paraId="067D95F5" w14:textId="3CACD744" w:rsidR="00CF332B" w:rsidRPr="0075149C" w:rsidRDefault="1B4A8018" w:rsidP="39F0821C">
            <w:pPr>
              <w:rPr>
                <w:rFonts w:ascii="Century Gothic" w:hAnsi="Century Gothic"/>
                <w:szCs w:val="22"/>
              </w:rPr>
            </w:pPr>
            <w:r w:rsidRPr="0075149C">
              <w:rPr>
                <w:rFonts w:ascii="Century Gothic" w:hAnsi="Century Gothic"/>
                <w:szCs w:val="22"/>
              </w:rPr>
              <w:t>Prior years’ average: 67</w:t>
            </w:r>
          </w:p>
        </w:tc>
        <w:tc>
          <w:tcPr>
            <w:tcW w:w="2795"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1AEE9D3E" w14:textId="403ABE76" w:rsidR="00CF332B" w:rsidRPr="0075149C" w:rsidRDefault="382875CA" w:rsidP="0E6C54AB">
            <w:pPr>
              <w:rPr>
                <w:rFonts w:ascii="Century Gothic" w:hAnsi="Century Gothic"/>
                <w:szCs w:val="22"/>
              </w:rPr>
            </w:pPr>
            <w:r w:rsidRPr="0075149C">
              <w:rPr>
                <w:rFonts w:ascii="Century Gothic" w:hAnsi="Century Gothic"/>
                <w:szCs w:val="22"/>
              </w:rPr>
              <w:t xml:space="preserve"> No</w:t>
            </w:r>
          </w:p>
        </w:tc>
      </w:tr>
      <w:tr w:rsidR="00CF332B" w:rsidRPr="002864AA" w14:paraId="01D54D10" w14:textId="77777777" w:rsidTr="6EDDC8C1">
        <w:trPr>
          <w:trHeight w:val="400"/>
        </w:trPr>
        <w:tc>
          <w:tcPr>
            <w:tcW w:w="10620" w:type="dxa"/>
            <w:gridSpan w:val="5"/>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808080" w:themeFill="background1" w:themeFillShade="80"/>
            <w:tcMar>
              <w:top w:w="0" w:type="dxa"/>
              <w:left w:w="108" w:type="dxa"/>
              <w:bottom w:w="0" w:type="dxa"/>
              <w:right w:w="108" w:type="dxa"/>
            </w:tcMar>
            <w:hideMark/>
          </w:tcPr>
          <w:p w14:paraId="270EE789" w14:textId="21008C8C" w:rsidR="00CF332B" w:rsidRPr="005E6FA0" w:rsidRDefault="001669CB" w:rsidP="00CF332B">
            <w:pPr>
              <w:jc w:val="center"/>
              <w:rPr>
                <w:rFonts w:ascii="Century Gothic" w:hAnsi="Century Gothic"/>
                <w:b/>
                <w:bCs/>
                <w:szCs w:val="22"/>
              </w:rPr>
            </w:pPr>
            <w:r w:rsidRPr="005E6FA0">
              <w:rPr>
                <w:rFonts w:ascii="Century Gothic" w:hAnsi="Century Gothic"/>
                <w:b/>
                <w:bCs/>
                <w:szCs w:val="22"/>
              </w:rPr>
              <w:t>Compliance</w:t>
            </w:r>
            <w:r w:rsidR="00CF332B" w:rsidRPr="005E6FA0">
              <w:rPr>
                <w:rFonts w:ascii="Century Gothic" w:hAnsi="Century Gothic"/>
                <w:b/>
                <w:bCs/>
                <w:szCs w:val="22"/>
              </w:rPr>
              <w:t xml:space="preserve"> with program requirements</w:t>
            </w:r>
          </w:p>
        </w:tc>
      </w:tr>
      <w:tr w:rsidR="00CF332B" w:rsidRPr="002864AA" w14:paraId="1448959C" w14:textId="77777777" w:rsidTr="6EDDC8C1">
        <w:trPr>
          <w:trHeight w:val="1220"/>
        </w:trPr>
        <w:tc>
          <w:tcPr>
            <w:tcW w:w="179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6EFA0D91" w14:textId="77777777" w:rsidR="00CF332B" w:rsidRPr="005E6FA0" w:rsidRDefault="00CF332B" w:rsidP="00CF332B">
            <w:pPr>
              <w:rPr>
                <w:rFonts w:ascii="Century Gothic" w:hAnsi="Century Gothic"/>
                <w:szCs w:val="22"/>
              </w:rPr>
            </w:pPr>
            <w:r w:rsidRPr="005E6FA0">
              <w:rPr>
                <w:rFonts w:ascii="Century Gothic" w:hAnsi="Century Gothic"/>
                <w:szCs w:val="22"/>
              </w:rPr>
              <w:t>Number of participants compliant with the program's requirements</w:t>
            </w:r>
          </w:p>
        </w:tc>
        <w:tc>
          <w:tcPr>
            <w:tcW w:w="153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09E75AB5" w14:textId="77777777" w:rsidR="00CF332B" w:rsidRPr="005E6FA0" w:rsidRDefault="00CF332B" w:rsidP="00CF332B">
            <w:pPr>
              <w:rPr>
                <w:rFonts w:ascii="Century Gothic" w:hAnsi="Century Gothic"/>
                <w:szCs w:val="22"/>
              </w:rPr>
            </w:pPr>
            <w:r w:rsidRPr="005E6FA0">
              <w:rPr>
                <w:rFonts w:ascii="Century Gothic" w:hAnsi="Century Gothic"/>
                <w:szCs w:val="22"/>
              </w:rPr>
              <w:t>Zero</w:t>
            </w:r>
          </w:p>
        </w:tc>
        <w:tc>
          <w:tcPr>
            <w:tcW w:w="198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0B8F92DF" w14:textId="77777777" w:rsidR="00CF332B" w:rsidRPr="005E6FA0" w:rsidRDefault="00CF332B" w:rsidP="00CF332B">
            <w:pPr>
              <w:rPr>
                <w:rFonts w:ascii="Century Gothic" w:hAnsi="Century Gothic"/>
                <w:szCs w:val="22"/>
              </w:rPr>
            </w:pPr>
            <w:r w:rsidRPr="005E6FA0">
              <w:rPr>
                <w:rFonts w:ascii="Century Gothic" w:hAnsi="Century Gothic"/>
                <w:szCs w:val="22"/>
              </w:rPr>
              <w:t>60% of new participants will remain compliant</w:t>
            </w:r>
          </w:p>
        </w:tc>
        <w:tc>
          <w:tcPr>
            <w:tcW w:w="252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445FD4B0" w14:textId="51A35E19" w:rsidR="353C9CCB" w:rsidRPr="005E6FA0" w:rsidRDefault="33FA6A2B" w:rsidP="433078B2">
            <w:pPr>
              <w:rPr>
                <w:rFonts w:ascii="Century Gothic" w:hAnsi="Century Gothic"/>
                <w:szCs w:val="22"/>
              </w:rPr>
            </w:pPr>
            <w:r w:rsidRPr="005E6FA0">
              <w:rPr>
                <w:rFonts w:ascii="Century Gothic" w:hAnsi="Century Gothic"/>
                <w:szCs w:val="22"/>
              </w:rPr>
              <w:t>2024:</w:t>
            </w:r>
            <w:r w:rsidR="0D87966F" w:rsidRPr="005E6FA0">
              <w:rPr>
                <w:rFonts w:ascii="Century Gothic" w:hAnsi="Century Gothic"/>
                <w:szCs w:val="22"/>
              </w:rPr>
              <w:t xml:space="preserve"> 70 (78%)</w:t>
            </w:r>
          </w:p>
          <w:p w14:paraId="57D0FB3C" w14:textId="3836E3F9" w:rsidR="00B048FD" w:rsidRPr="005E6FA0" w:rsidRDefault="645A161D" w:rsidP="00B048FD">
            <w:pPr>
              <w:rPr>
                <w:rFonts w:ascii="Century Gothic" w:hAnsi="Century Gothic"/>
                <w:szCs w:val="22"/>
              </w:rPr>
            </w:pPr>
            <w:r w:rsidRPr="005E6FA0">
              <w:rPr>
                <w:rFonts w:ascii="Century Gothic" w:hAnsi="Century Gothic"/>
                <w:szCs w:val="22"/>
              </w:rPr>
              <w:t xml:space="preserve">2023: </w:t>
            </w:r>
            <w:r w:rsidR="43E207A4" w:rsidRPr="005E6FA0">
              <w:rPr>
                <w:rFonts w:ascii="Century Gothic" w:hAnsi="Century Gothic"/>
                <w:szCs w:val="22"/>
              </w:rPr>
              <w:t>78</w:t>
            </w:r>
            <w:r w:rsidRPr="005E6FA0">
              <w:rPr>
                <w:rFonts w:ascii="Century Gothic" w:hAnsi="Century Gothic"/>
                <w:szCs w:val="22"/>
              </w:rPr>
              <w:t>(</w:t>
            </w:r>
            <w:r w:rsidR="0F7A03F2" w:rsidRPr="005E6FA0">
              <w:rPr>
                <w:rFonts w:ascii="Century Gothic" w:hAnsi="Century Gothic"/>
                <w:szCs w:val="22"/>
              </w:rPr>
              <w:t>82</w:t>
            </w:r>
            <w:r w:rsidRPr="005E6FA0">
              <w:rPr>
                <w:rFonts w:ascii="Century Gothic" w:hAnsi="Century Gothic"/>
                <w:szCs w:val="22"/>
              </w:rPr>
              <w:t>%)</w:t>
            </w:r>
          </w:p>
          <w:p w14:paraId="2BE90382" w14:textId="414B8D71" w:rsidR="1B4A8018" w:rsidRPr="005E6FA0" w:rsidRDefault="1B4A8018" w:rsidP="1B4A8018">
            <w:pPr>
              <w:rPr>
                <w:rFonts w:ascii="Century Gothic" w:hAnsi="Century Gothic"/>
                <w:szCs w:val="22"/>
              </w:rPr>
            </w:pPr>
            <w:r w:rsidRPr="005E6FA0">
              <w:rPr>
                <w:rFonts w:ascii="Century Gothic" w:hAnsi="Century Gothic"/>
                <w:szCs w:val="22"/>
              </w:rPr>
              <w:t>2022: 99 (97%)</w:t>
            </w:r>
          </w:p>
          <w:p w14:paraId="3D332261" w14:textId="4A2FBE27" w:rsidR="001E6BF7" w:rsidRPr="005E6FA0" w:rsidRDefault="1B4A8018" w:rsidP="00CF332B">
            <w:pPr>
              <w:rPr>
                <w:rFonts w:ascii="Century Gothic" w:hAnsi="Century Gothic"/>
                <w:szCs w:val="22"/>
              </w:rPr>
            </w:pPr>
            <w:r w:rsidRPr="005E6FA0">
              <w:rPr>
                <w:rFonts w:ascii="Century Gothic" w:hAnsi="Century Gothic"/>
                <w:szCs w:val="22"/>
              </w:rPr>
              <w:t>2021: 111 (94.9%)</w:t>
            </w:r>
          </w:p>
          <w:p w14:paraId="1E022292" w14:textId="400FE78F" w:rsidR="00CF332B" w:rsidRPr="005E6FA0" w:rsidRDefault="00CF332B" w:rsidP="00CF332B">
            <w:pPr>
              <w:rPr>
                <w:rFonts w:ascii="Century Gothic" w:hAnsi="Century Gothic"/>
                <w:szCs w:val="22"/>
              </w:rPr>
            </w:pPr>
            <w:r w:rsidRPr="005E6FA0">
              <w:rPr>
                <w:rFonts w:ascii="Century Gothic" w:hAnsi="Century Gothic"/>
                <w:szCs w:val="22"/>
              </w:rPr>
              <w:t>2020: 129 (97%)</w:t>
            </w:r>
          </w:p>
          <w:p w14:paraId="78DF3198" w14:textId="0D93CCB1" w:rsidR="00CF332B" w:rsidRPr="005E6FA0" w:rsidRDefault="22844B87" w:rsidP="00CF332B">
            <w:pPr>
              <w:rPr>
                <w:rFonts w:ascii="Century Gothic" w:hAnsi="Century Gothic"/>
                <w:szCs w:val="22"/>
              </w:rPr>
            </w:pPr>
            <w:r w:rsidRPr="005E6FA0">
              <w:rPr>
                <w:rFonts w:ascii="Century Gothic" w:hAnsi="Century Gothic"/>
                <w:szCs w:val="22"/>
              </w:rPr>
              <w:t xml:space="preserve">Prior years’ average: </w:t>
            </w:r>
            <w:r w:rsidR="7F3CBF19" w:rsidRPr="005E6FA0">
              <w:rPr>
                <w:rFonts w:ascii="Century Gothic" w:hAnsi="Century Gothic"/>
                <w:szCs w:val="22"/>
              </w:rPr>
              <w:t>80%</w:t>
            </w:r>
          </w:p>
        </w:tc>
        <w:tc>
          <w:tcPr>
            <w:tcW w:w="2795"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257E971F" w14:textId="77777777" w:rsidR="00CF332B" w:rsidRPr="005E6FA0" w:rsidRDefault="00CF332B" w:rsidP="00CF332B">
            <w:pPr>
              <w:rPr>
                <w:rFonts w:ascii="Century Gothic" w:hAnsi="Century Gothic"/>
                <w:szCs w:val="22"/>
              </w:rPr>
            </w:pPr>
            <w:r w:rsidRPr="005E6FA0">
              <w:rPr>
                <w:rFonts w:ascii="Century Gothic" w:hAnsi="Century Gothic"/>
                <w:szCs w:val="22"/>
              </w:rPr>
              <w:t>Yes</w:t>
            </w:r>
          </w:p>
          <w:p w14:paraId="04784054" w14:textId="77777777" w:rsidR="00CF332B" w:rsidRPr="005E6FA0" w:rsidRDefault="00CF332B" w:rsidP="00CF332B">
            <w:pPr>
              <w:rPr>
                <w:rFonts w:ascii="Century Gothic" w:hAnsi="Century Gothic"/>
                <w:szCs w:val="22"/>
              </w:rPr>
            </w:pPr>
          </w:p>
        </w:tc>
      </w:tr>
    </w:tbl>
    <w:p w14:paraId="3FA032E6" w14:textId="61C5A8E5" w:rsidR="00CF332B" w:rsidRPr="002163B0" w:rsidRDefault="07A77E82" w:rsidP="46B3BF7C">
      <w:pPr>
        <w:rPr>
          <w:rFonts w:ascii="Century Gothic" w:hAnsi="Century Gothic"/>
          <w:i/>
          <w:iCs/>
          <w:sz w:val="18"/>
          <w:szCs w:val="18"/>
          <w:lang w:eastAsia="en-US"/>
        </w:rPr>
      </w:pPr>
      <w:r w:rsidRPr="002163B0">
        <w:rPr>
          <w:rFonts w:ascii="Century Gothic" w:hAnsi="Century Gothic"/>
          <w:i/>
          <w:iCs/>
          <w:sz w:val="18"/>
          <w:szCs w:val="18"/>
          <w:lang w:eastAsia="en-US"/>
        </w:rPr>
        <w:t>* These benchmarks may be reevaluated in FY</w:t>
      </w:r>
      <w:r w:rsidR="791D37DF" w:rsidRPr="002163B0">
        <w:rPr>
          <w:rFonts w:ascii="Century Gothic" w:hAnsi="Century Gothic"/>
          <w:i/>
          <w:iCs/>
          <w:sz w:val="18"/>
          <w:szCs w:val="18"/>
          <w:lang w:eastAsia="en-US"/>
        </w:rPr>
        <w:t>2</w:t>
      </w:r>
      <w:r w:rsidR="17DD87B2" w:rsidRPr="002163B0">
        <w:rPr>
          <w:rFonts w:ascii="Century Gothic" w:hAnsi="Century Gothic"/>
          <w:i/>
          <w:iCs/>
          <w:sz w:val="18"/>
          <w:szCs w:val="18"/>
          <w:lang w:eastAsia="en-US"/>
        </w:rPr>
        <w:t>4</w:t>
      </w:r>
      <w:r w:rsidRPr="002163B0">
        <w:rPr>
          <w:rFonts w:ascii="Century Gothic" w:hAnsi="Century Gothic"/>
          <w:i/>
          <w:iCs/>
          <w:sz w:val="18"/>
          <w:szCs w:val="18"/>
          <w:lang w:eastAsia="en-US"/>
        </w:rPr>
        <w:t xml:space="preserve"> to reflect the fact that participation is capped by the number of residents in the two developments and the importance of serving new residents who may be fit for Transition CARES. In the future, the benchmark may focus on the percentage of new participants who are transitioned to Full CARES within a certain amount of time. </w:t>
      </w:r>
    </w:p>
    <w:p w14:paraId="1F8FFC3B" w14:textId="7C383E07" w:rsidR="188A1EBF" w:rsidRDefault="188A1EBF" w:rsidP="188A1EBF">
      <w:pPr>
        <w:rPr>
          <w:rFonts w:ascii="Century Gothic" w:hAnsi="Century Gothic"/>
          <w:lang w:eastAsia="en-US"/>
        </w:rPr>
      </w:pPr>
    </w:p>
    <w:p w14:paraId="7D27D6B8" w14:textId="52620989" w:rsidR="3F255F01" w:rsidRPr="00B07AD7" w:rsidRDefault="4CA1CC92" w:rsidP="188A1EBF">
      <w:pPr>
        <w:rPr>
          <w:rFonts w:ascii="Century Gothic" w:hAnsi="Century Gothic"/>
          <w:lang w:eastAsia="en-US"/>
        </w:rPr>
      </w:pPr>
      <w:r w:rsidRPr="188A1EBF">
        <w:rPr>
          <w:rFonts w:ascii="Century Gothic" w:hAnsi="Century Gothic"/>
          <w:lang w:eastAsia="en-US"/>
        </w:rPr>
        <w:t xml:space="preserve"> </w:t>
      </w:r>
      <w:r w:rsidRPr="00B07AD7">
        <w:rPr>
          <w:rFonts w:ascii="Century Gothic" w:hAnsi="Century Gothic"/>
          <w:lang w:eastAsia="en-US"/>
        </w:rPr>
        <w:t>ECC/HANH</w:t>
      </w:r>
      <w:r w:rsidR="2535F899" w:rsidRPr="00B07AD7">
        <w:rPr>
          <w:rFonts w:ascii="Century Gothic" w:hAnsi="Century Gothic"/>
          <w:lang w:eastAsia="en-US"/>
        </w:rPr>
        <w:t xml:space="preserve"> will continue </w:t>
      </w:r>
      <w:r w:rsidR="5557A30F" w:rsidRPr="00B07AD7">
        <w:rPr>
          <w:rFonts w:ascii="Century Gothic" w:hAnsi="Century Gothic"/>
          <w:lang w:eastAsia="en-US"/>
        </w:rPr>
        <w:t xml:space="preserve">the evaluation </w:t>
      </w:r>
      <w:r w:rsidR="2535F899" w:rsidRPr="00B07AD7">
        <w:rPr>
          <w:rFonts w:ascii="Century Gothic" w:hAnsi="Century Gothic"/>
          <w:lang w:eastAsia="en-US"/>
        </w:rPr>
        <w:t>in FY2</w:t>
      </w:r>
      <w:r w:rsidR="1A2B8C1E" w:rsidRPr="00B07AD7">
        <w:rPr>
          <w:rFonts w:ascii="Century Gothic" w:hAnsi="Century Gothic"/>
          <w:lang w:eastAsia="en-US"/>
        </w:rPr>
        <w:t>5</w:t>
      </w:r>
      <w:r w:rsidR="2535F899" w:rsidRPr="00B07AD7">
        <w:rPr>
          <w:rFonts w:ascii="Century Gothic" w:hAnsi="Century Gothic"/>
          <w:lang w:eastAsia="en-US"/>
        </w:rPr>
        <w:t>.</w:t>
      </w:r>
    </w:p>
    <w:p w14:paraId="26F636B4" w14:textId="139A56C1" w:rsidR="00CF332B" w:rsidRPr="005E6FA0" w:rsidRDefault="110EA49D" w:rsidP="0D8BAA9B">
      <w:pPr>
        <w:keepNext/>
        <w:keepLines/>
        <w:spacing w:before="120" w:after="80"/>
        <w:rPr>
          <w:rFonts w:ascii="Century Gothic" w:hAnsi="Century Gothic"/>
          <w:b/>
          <w:bCs/>
          <w:color w:val="BFBFBF" w:themeColor="background1" w:themeShade="BF"/>
          <w:szCs w:val="22"/>
        </w:rPr>
      </w:pPr>
      <w:r w:rsidRPr="005E6FA0">
        <w:rPr>
          <w:rFonts w:ascii="Century Gothic" w:hAnsi="Century Gothic"/>
          <w:b/>
          <w:bCs/>
          <w:color w:val="BFBFBF" w:themeColor="background1" w:themeShade="BF"/>
          <w:szCs w:val="22"/>
        </w:rPr>
        <w:t>Actual Non-Significant Changes</w:t>
      </w:r>
    </w:p>
    <w:p w14:paraId="1966E90B" w14:textId="562047F3" w:rsidR="1CDDE6E8" w:rsidRPr="005E6FA0" w:rsidRDefault="1847225F" w:rsidP="1CDDE6E8">
      <w:pPr>
        <w:rPr>
          <w:rFonts w:ascii="Century Gothic" w:eastAsia="MS PGothic" w:hAnsi="Century Gothic"/>
          <w:szCs w:val="22"/>
        </w:rPr>
      </w:pPr>
      <w:r w:rsidRPr="005E6FA0">
        <w:rPr>
          <w:rFonts w:ascii="Century Gothic" w:eastAsia="MS PGothic" w:hAnsi="Century Gothic"/>
          <w:szCs w:val="22"/>
        </w:rPr>
        <w:t>None</w:t>
      </w:r>
    </w:p>
    <w:p w14:paraId="0A6A8CAD" w14:textId="565368B3" w:rsidR="666FFBCC" w:rsidRPr="005E6FA0" w:rsidRDefault="666FFBCC" w:rsidP="666FFBCC">
      <w:pPr>
        <w:rPr>
          <w:rFonts w:ascii="Century Gothic" w:eastAsia="MS PGothic" w:hAnsi="Century Gothic"/>
          <w:szCs w:val="22"/>
        </w:rPr>
      </w:pPr>
    </w:p>
    <w:p w14:paraId="32D9C52D" w14:textId="13853A2D" w:rsidR="67BD30C0" w:rsidRPr="005E6FA0" w:rsidRDefault="110EA49D" w:rsidP="0D8BAA9B">
      <w:pPr>
        <w:spacing w:before="120" w:after="80"/>
        <w:rPr>
          <w:rFonts w:ascii="Century Gothic" w:eastAsia="MS PGothic" w:hAnsi="Century Gothic"/>
          <w:b/>
          <w:bCs/>
          <w:color w:val="BFBFBF" w:themeColor="background1" w:themeShade="BF"/>
          <w:szCs w:val="22"/>
        </w:rPr>
      </w:pPr>
      <w:r w:rsidRPr="005E6FA0">
        <w:rPr>
          <w:rFonts w:ascii="Century Gothic" w:eastAsia="MS PGothic" w:hAnsi="Century Gothic"/>
          <w:b/>
          <w:bCs/>
          <w:color w:val="BFBFBF" w:themeColor="background1" w:themeShade="BF"/>
          <w:szCs w:val="22"/>
        </w:rPr>
        <w:t>Actual Significant Changes</w:t>
      </w:r>
    </w:p>
    <w:p w14:paraId="3F393BD0" w14:textId="00E500A5" w:rsidR="1CDDE6E8" w:rsidRPr="005E6FA0" w:rsidRDefault="3CBDC65A" w:rsidP="1CDDE6E8">
      <w:pPr>
        <w:rPr>
          <w:rFonts w:ascii="Century Gothic" w:eastAsia="Times New Roman" w:hAnsi="Century Gothic"/>
          <w:szCs w:val="22"/>
        </w:rPr>
      </w:pPr>
      <w:r w:rsidRPr="005E6FA0">
        <w:rPr>
          <w:rFonts w:ascii="Century Gothic" w:hAnsi="Century Gothic"/>
          <w:szCs w:val="22"/>
        </w:rPr>
        <w:t>None</w:t>
      </w:r>
    </w:p>
    <w:p w14:paraId="700EA6A7" w14:textId="2F7118A8" w:rsidR="655A2699" w:rsidRPr="00685BDE" w:rsidRDefault="655A2699">
      <w:pPr>
        <w:rPr>
          <w:rFonts w:ascii="Century Gothic" w:hAnsi="Century Gothic"/>
          <w:szCs w:val="22"/>
        </w:rPr>
      </w:pPr>
      <w:bookmarkStart w:id="144" w:name="_Toc438788133"/>
    </w:p>
    <w:bookmarkStart w:id="145" w:name="_Toc89871163"/>
    <w:bookmarkStart w:id="146" w:name="_Hlk112765665"/>
    <w:bookmarkEnd w:id="136"/>
    <w:p w14:paraId="2968CF0D" w14:textId="54A5DCA2" w:rsidR="00CF332B" w:rsidRPr="00685BDE" w:rsidRDefault="00DE6A54" w:rsidP="655A2699">
      <w:pPr>
        <w:keepNext/>
        <w:keepLines/>
        <w:spacing w:before="120" w:after="120"/>
        <w:outlineLvl w:val="2"/>
        <w:rPr>
          <w:rFonts w:ascii="Century Gothic" w:eastAsiaTheme="majorEastAsia" w:hAnsi="Century Gothic"/>
          <w:b/>
          <w:bCs/>
          <w:color w:val="000000" w:themeColor="text1"/>
          <w:lang w:eastAsia="en-US"/>
        </w:rPr>
      </w:pPr>
      <w:r w:rsidRPr="00685BDE">
        <w:rPr>
          <w:rFonts w:ascii="Century Gothic" w:hAnsi="Century Gothic"/>
          <w:noProof/>
        </w:rPr>
        <w:lastRenderedPageBreak/>
        <mc:AlternateContent>
          <mc:Choice Requires="wps">
            <w:drawing>
              <wp:anchor distT="0" distB="0" distL="114300" distR="114300" simplePos="0" relativeHeight="251658242" behindDoc="0" locked="0" layoutInCell="1" allowOverlap="1" wp14:anchorId="5F2D4F94" wp14:editId="6C5A0605">
                <wp:simplePos x="0" y="0"/>
                <wp:positionH relativeFrom="margin">
                  <wp:posOffset>5105400</wp:posOffset>
                </wp:positionH>
                <wp:positionV relativeFrom="paragraph">
                  <wp:posOffset>205740</wp:posOffset>
                </wp:positionV>
                <wp:extent cx="1197610" cy="312420"/>
                <wp:effectExtent l="0" t="0" r="2540" b="0"/>
                <wp:wrapTight wrapText="bothSides">
                  <wp:wrapPolygon edited="0">
                    <wp:start x="0" y="0"/>
                    <wp:lineTo x="0" y="21073"/>
                    <wp:lineTo x="21646" y="21073"/>
                    <wp:lineTo x="21646" y="0"/>
                    <wp:lineTo x="0" y="0"/>
                  </wp:wrapPolygon>
                </wp:wrapTight>
                <wp:docPr id="55" name="Rectangle: Rounded Corner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7610" cy="312420"/>
                        </a:xfrm>
                        <a:prstGeom prst="roundRect">
                          <a:avLst/>
                        </a:prstGeom>
                        <a:solidFill>
                          <a:srgbClr val="B5333C"/>
                        </a:solidFill>
                        <a:ln w="12700" cap="flat" cmpd="sng" algn="ctr">
                          <a:solidFill>
                            <a:sysClr val="window" lastClr="FFFFFF"/>
                          </a:solidFill>
                          <a:prstDash val="solid"/>
                          <a:miter lim="800000"/>
                        </a:ln>
                        <a:effectLst/>
                      </wps:spPr>
                      <wps:txbx>
                        <w:txbxContent>
                          <w:p w14:paraId="425FF39F" w14:textId="77777777" w:rsidR="009F26DD" w:rsidRPr="00EC5276" w:rsidRDefault="009F26DD" w:rsidP="00CF332B">
                            <w:pPr>
                              <w:jc w:val="center"/>
                              <w:rPr>
                                <w:b/>
                                <w:color w:val="FFFFFF" w:themeColor="background1"/>
                                <w:szCs w:val="20"/>
                              </w:rPr>
                            </w:pPr>
                            <w:r w:rsidRPr="00EC5276">
                              <w:rPr>
                                <w:b/>
                                <w:color w:val="FFFFFF" w:themeColor="background1"/>
                                <w:szCs w:val="20"/>
                              </w:rPr>
                              <w:t>Self-Sufficiency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2D4F94" id="Rectangle: Rounded Corners 106" o:spid="_x0000_s1082" style="position:absolute;margin-left:402pt;margin-top:16.2pt;width:94.3pt;height:24.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" fillcolor="#b5333c" strokecolor="window" strokeweight="1pt">
                <v:stroke joinstyle="miter"/>
                <v:path arrowok="t"/>
                <v:textbox>
                  <w:txbxContent>
                    <w:p w14:paraId="425FF39F" w14:textId="77777777" w:rsidR="009F26DD" w:rsidRPr="00EC5276" w:rsidRDefault="009F26DD" w:rsidP="00CF332B">
                      <w:pPr>
                        <w:jc w:val="center"/>
                        <w:rPr>
                          <w:b/>
                          <w:color w:val="FFFFFF" w:themeColor="background1"/>
                          <w:szCs w:val="20"/>
                        </w:rPr>
                      </w:pPr>
                      <w:r w:rsidRPr="00EC5276">
                        <w:rPr>
                          <w:b/>
                          <w:color w:val="FFFFFF" w:themeColor="background1"/>
                          <w:szCs w:val="20"/>
                        </w:rPr>
                        <w:t>Self-Sufficiency</w:t>
                      </w:r>
                    </w:p>
                  </w:txbxContent>
                </v:textbox>
                <w10:wrap type="tight" anchorx="margin"/>
              </v:roundrect>
            </w:pict>
          </mc:Fallback>
        </mc:AlternateContent>
      </w:r>
      <w:r w:rsidR="004E5951" w:rsidRPr="00685BDE">
        <w:rPr>
          <w:rFonts w:ascii="Century Gothic" w:eastAsiaTheme="majorEastAsia" w:hAnsi="Century Gothic"/>
          <w:b/>
          <w:bCs/>
          <w:noProof/>
          <w:color w:val="000000" w:themeColor="text1"/>
          <w:lang w:eastAsia="en-US"/>
        </w:rPr>
        <w:t xml:space="preserve">Initiative </w:t>
      </w:r>
      <w:r w:rsidR="0DC01F0C" w:rsidRPr="00685BDE">
        <w:rPr>
          <w:rFonts w:ascii="Century Gothic" w:eastAsiaTheme="majorEastAsia" w:hAnsi="Century Gothic"/>
          <w:b/>
          <w:bCs/>
          <w:noProof/>
          <w:color w:val="000000" w:themeColor="text1"/>
          <w:lang w:eastAsia="en-US"/>
        </w:rPr>
        <w:t xml:space="preserve">2.4 </w:t>
      </w:r>
      <w:r w:rsidR="00CF332B" w:rsidRPr="00685BDE">
        <w:rPr>
          <w:rFonts w:ascii="Century Gothic" w:eastAsiaTheme="majorEastAsia" w:hAnsi="Century Gothic"/>
          <w:b/>
          <w:bCs/>
          <w:color w:val="000000" w:themeColor="text1"/>
          <w:lang w:eastAsia="en-US"/>
        </w:rPr>
        <w:t>Teacher-in-Residence</w:t>
      </w:r>
      <w:bookmarkEnd w:id="144"/>
      <w:bookmarkEnd w:id="145"/>
    </w:p>
    <w:p w14:paraId="34DBEC62" w14:textId="270D8969" w:rsidR="00CF332B" w:rsidRPr="00685BDE" w:rsidRDefault="44CA3C25" w:rsidP="0E6C54AB">
      <w:pPr>
        <w:rPr>
          <w:rFonts w:ascii="Century Gothic" w:eastAsia="Calibri" w:hAnsi="Century Gothic"/>
        </w:rPr>
      </w:pPr>
      <w:r w:rsidRPr="00685BDE">
        <w:rPr>
          <w:rFonts w:ascii="Century Gothic" w:eastAsia="Calibri" w:hAnsi="Century Gothic"/>
        </w:rPr>
        <w:t>Approved in FY15 and implemented in FY1</w:t>
      </w:r>
      <w:r w:rsidR="448A52E3" w:rsidRPr="00685BDE">
        <w:rPr>
          <w:rFonts w:ascii="Century Gothic" w:eastAsia="Calibri" w:hAnsi="Century Gothic"/>
        </w:rPr>
        <w:t>6</w:t>
      </w:r>
      <w:r w:rsidRPr="00685BDE">
        <w:rPr>
          <w:rFonts w:ascii="Century Gothic" w:eastAsia="Calibri" w:hAnsi="Century Gothic"/>
        </w:rPr>
        <w:t>.</w:t>
      </w:r>
    </w:p>
    <w:p w14:paraId="74082A17" w14:textId="77777777" w:rsidR="00CF332B" w:rsidRPr="00685BDE" w:rsidRDefault="00CF332B" w:rsidP="00CF332B">
      <w:pPr>
        <w:rPr>
          <w:rFonts w:ascii="Century Gothic" w:hAnsi="Century Gothic"/>
          <w:szCs w:val="22"/>
        </w:rPr>
      </w:pPr>
    </w:p>
    <w:p w14:paraId="7843A0EC" w14:textId="35DE60DF" w:rsidR="00CF332B" w:rsidRPr="00685BDE" w:rsidRDefault="44CA3C25" w:rsidP="0E6C54AB">
      <w:pPr>
        <w:keepNext/>
        <w:keepLines/>
        <w:spacing w:before="120" w:after="80"/>
        <w:outlineLvl w:val="3"/>
        <w:rPr>
          <w:rFonts w:ascii="Century Gothic" w:eastAsiaTheme="majorEastAsia" w:hAnsi="Century Gothic"/>
          <w:b/>
          <w:bCs/>
          <w:color w:val="808080" w:themeColor="background1" w:themeShade="80"/>
        </w:rPr>
      </w:pPr>
      <w:r w:rsidRPr="00685BDE">
        <w:rPr>
          <w:rFonts w:ascii="Century Gothic" w:eastAsiaTheme="majorEastAsia" w:hAnsi="Century Gothic"/>
          <w:b/>
          <w:bCs/>
          <w:color w:val="808080" w:themeColor="background1" w:themeShade="80"/>
        </w:rPr>
        <w:t>Description</w:t>
      </w:r>
    </w:p>
    <w:p w14:paraId="07394C2C" w14:textId="122725F7" w:rsidR="00CF332B" w:rsidRPr="00685BDE" w:rsidRDefault="52451F87" w:rsidP="0E6C54AB">
      <w:pPr>
        <w:autoSpaceDE w:val="0"/>
        <w:autoSpaceDN w:val="0"/>
        <w:spacing w:before="120" w:after="120"/>
        <w:rPr>
          <w:rFonts w:ascii="Century Gothic" w:hAnsi="Century Gothic"/>
        </w:rPr>
      </w:pPr>
      <w:r w:rsidRPr="00685BDE">
        <w:rPr>
          <w:rFonts w:ascii="Century Gothic" w:hAnsi="Century Gothic"/>
        </w:rPr>
        <w:t xml:space="preserve">The Teacher-in-Residence program is part of an ECC/HANH youth initiative known as ECC </w:t>
      </w:r>
      <w:proofErr w:type="gramStart"/>
      <w:r w:rsidRPr="00685BDE">
        <w:rPr>
          <w:rFonts w:ascii="Century Gothic" w:hAnsi="Century Gothic"/>
        </w:rPr>
        <w:t>Believes</w:t>
      </w:r>
      <w:r w:rsidR="664986C6" w:rsidRPr="00685BDE">
        <w:rPr>
          <w:rFonts w:ascii="Century Gothic" w:hAnsi="Century Gothic"/>
        </w:rPr>
        <w:t>!</w:t>
      </w:r>
      <w:r w:rsidRPr="00685BDE">
        <w:rPr>
          <w:rFonts w:ascii="Century Gothic" w:hAnsi="Century Gothic"/>
        </w:rPr>
        <w:t>.</w:t>
      </w:r>
      <w:proofErr w:type="gramEnd"/>
      <w:r w:rsidRPr="00685BDE">
        <w:rPr>
          <w:rFonts w:ascii="Century Gothic" w:hAnsi="Century Gothic"/>
        </w:rPr>
        <w:t xml:space="preserve"> The initiative is based on the premise that although some young people </w:t>
      </w:r>
      <w:r w:rsidR="3DC8DDF6" w:rsidRPr="00685BDE">
        <w:rPr>
          <w:rFonts w:ascii="Century Gothic" w:hAnsi="Century Gothic"/>
        </w:rPr>
        <w:t>growing up with limited resources</w:t>
      </w:r>
      <w:r w:rsidRPr="00685BDE">
        <w:rPr>
          <w:rFonts w:ascii="Century Gothic" w:hAnsi="Century Gothic"/>
        </w:rPr>
        <w:t xml:space="preserve"> can rise above their circumstances to advance academically, personally, and professionally, most require intensive </w:t>
      </w:r>
      <w:proofErr w:type="gramStart"/>
      <w:r w:rsidRPr="00685BDE">
        <w:rPr>
          <w:rFonts w:ascii="Century Gothic" w:hAnsi="Century Gothic"/>
        </w:rPr>
        <w:t>supports</w:t>
      </w:r>
      <w:proofErr w:type="gramEnd"/>
      <w:r w:rsidRPr="00685BDE">
        <w:rPr>
          <w:rFonts w:ascii="Century Gothic" w:hAnsi="Century Gothic"/>
        </w:rPr>
        <w:t xml:space="preserve"> from an array of service providers and community-based organizations.  The initiative is also </w:t>
      </w:r>
      <w:r w:rsidR="472273CE" w:rsidRPr="00685BDE">
        <w:rPr>
          <w:rFonts w:ascii="Century Gothic" w:hAnsi="Century Gothic"/>
        </w:rPr>
        <w:t>rooted in</w:t>
      </w:r>
      <w:r w:rsidRPr="00685BDE">
        <w:rPr>
          <w:rFonts w:ascii="Century Gothic" w:hAnsi="Century Gothic"/>
        </w:rPr>
        <w:t xml:space="preserve"> ECC/HANH</w:t>
      </w:r>
      <w:r w:rsidR="06194CBE" w:rsidRPr="00685BDE">
        <w:rPr>
          <w:rFonts w:ascii="Century Gothic" w:hAnsi="Century Gothic"/>
        </w:rPr>
        <w:t>’s</w:t>
      </w:r>
      <w:r w:rsidRPr="00685BDE">
        <w:rPr>
          <w:rFonts w:ascii="Century Gothic" w:hAnsi="Century Gothic"/>
        </w:rPr>
        <w:t xml:space="preserve"> </w:t>
      </w:r>
      <w:proofErr w:type="gramStart"/>
      <w:r w:rsidRPr="00685BDE">
        <w:rPr>
          <w:rFonts w:ascii="Century Gothic" w:hAnsi="Century Gothic"/>
        </w:rPr>
        <w:t>beli</w:t>
      </w:r>
      <w:r w:rsidR="04128900" w:rsidRPr="00685BDE">
        <w:rPr>
          <w:rFonts w:ascii="Century Gothic" w:hAnsi="Century Gothic"/>
        </w:rPr>
        <w:t>e</w:t>
      </w:r>
      <w:r w:rsidR="07A3FE52" w:rsidRPr="00685BDE">
        <w:rPr>
          <w:rFonts w:ascii="Century Gothic" w:hAnsi="Century Gothic"/>
        </w:rPr>
        <w:t>ves</w:t>
      </w:r>
      <w:proofErr w:type="gramEnd"/>
      <w:r w:rsidRPr="00685BDE">
        <w:rPr>
          <w:rFonts w:ascii="Century Gothic" w:hAnsi="Century Gothic"/>
        </w:rPr>
        <w:t xml:space="preserve"> that each of our students can achieve excellence through individual and family </w:t>
      </w:r>
      <w:proofErr w:type="gramStart"/>
      <w:r w:rsidRPr="00685BDE">
        <w:rPr>
          <w:rFonts w:ascii="Century Gothic" w:hAnsi="Century Gothic"/>
        </w:rPr>
        <w:t>supports</w:t>
      </w:r>
      <w:proofErr w:type="gramEnd"/>
      <w:r w:rsidRPr="00685BDE">
        <w:rPr>
          <w:rFonts w:ascii="Century Gothic" w:hAnsi="Century Gothic"/>
        </w:rPr>
        <w:t xml:space="preserve"> to help them on their way towards success. ECC Believes</w:t>
      </w:r>
      <w:r w:rsidR="0AE356CD" w:rsidRPr="00685BDE">
        <w:rPr>
          <w:rFonts w:ascii="Century Gothic" w:hAnsi="Century Gothic"/>
        </w:rPr>
        <w:t>!</w:t>
      </w:r>
      <w:r w:rsidRPr="00685BDE">
        <w:rPr>
          <w:rFonts w:ascii="Century Gothic" w:hAnsi="Century Gothic"/>
        </w:rPr>
        <w:t xml:space="preserve"> </w:t>
      </w:r>
      <w:r w:rsidR="114D97A4" w:rsidRPr="00685BDE">
        <w:rPr>
          <w:rFonts w:ascii="Century Gothic" w:hAnsi="Century Gothic"/>
        </w:rPr>
        <w:t>includes a</w:t>
      </w:r>
      <w:r w:rsidRPr="00685BDE">
        <w:rPr>
          <w:rFonts w:ascii="Century Gothic" w:hAnsi="Century Gothic"/>
        </w:rPr>
        <w:t xml:space="preserve">cademic </w:t>
      </w:r>
      <w:proofErr w:type="gramStart"/>
      <w:r w:rsidRPr="00685BDE">
        <w:rPr>
          <w:rFonts w:ascii="Century Gothic" w:hAnsi="Century Gothic"/>
        </w:rPr>
        <w:t>supports</w:t>
      </w:r>
      <w:proofErr w:type="gramEnd"/>
      <w:r w:rsidRPr="00685BDE">
        <w:rPr>
          <w:rFonts w:ascii="Century Gothic" w:hAnsi="Century Gothic"/>
        </w:rPr>
        <w:t xml:space="preserve"> and afterschool programming to reduce the achievement gap</w:t>
      </w:r>
      <w:r w:rsidR="31F138B8" w:rsidRPr="00685BDE">
        <w:rPr>
          <w:rFonts w:ascii="Century Gothic" w:hAnsi="Century Gothic"/>
        </w:rPr>
        <w:t>, p</w:t>
      </w:r>
      <w:r w:rsidRPr="00685BDE">
        <w:rPr>
          <w:rFonts w:ascii="Century Gothic" w:hAnsi="Century Gothic"/>
        </w:rPr>
        <w:t>arent and family engagement in children’s education</w:t>
      </w:r>
      <w:r w:rsidR="0342925C" w:rsidRPr="00685BDE">
        <w:rPr>
          <w:rFonts w:ascii="Century Gothic" w:hAnsi="Century Gothic"/>
        </w:rPr>
        <w:t xml:space="preserve"> and i</w:t>
      </w:r>
      <w:r w:rsidRPr="00685BDE">
        <w:rPr>
          <w:rFonts w:ascii="Century Gothic" w:hAnsi="Century Gothic"/>
        </w:rPr>
        <w:t>ncreasing program opportunities that support post-secondary education</w:t>
      </w:r>
      <w:r w:rsidR="24285054" w:rsidRPr="00685BDE">
        <w:rPr>
          <w:rFonts w:ascii="Century Gothic" w:hAnsi="Century Gothic"/>
        </w:rPr>
        <w:t xml:space="preserve">. </w:t>
      </w:r>
      <w:r w:rsidRPr="00685BDE">
        <w:rPr>
          <w:rFonts w:ascii="Century Gothic" w:hAnsi="Century Gothic"/>
        </w:rPr>
        <w:t> </w:t>
      </w:r>
    </w:p>
    <w:p w14:paraId="797D945A" w14:textId="40569401" w:rsidR="19311307" w:rsidRPr="00685BDE" w:rsidRDefault="19311307" w:rsidP="19311307">
      <w:pPr>
        <w:rPr>
          <w:rFonts w:ascii="Century Gothic" w:hAnsi="Century Gothic"/>
        </w:rPr>
      </w:pPr>
    </w:p>
    <w:p w14:paraId="3C2BE716" w14:textId="79DD1840" w:rsidR="00CF332B" w:rsidRPr="00685BDE" w:rsidRDefault="44CA3C25" w:rsidP="7AF60685">
      <w:pPr>
        <w:autoSpaceDE w:val="0"/>
        <w:autoSpaceDN w:val="0"/>
        <w:rPr>
          <w:rFonts w:ascii="Century Gothic" w:hAnsi="Century Gothic"/>
        </w:rPr>
      </w:pPr>
      <w:r w:rsidRPr="00685BDE">
        <w:rPr>
          <w:rFonts w:ascii="Century Gothic" w:hAnsi="Century Gothic"/>
        </w:rPr>
        <w:t xml:space="preserve">Launched in FY16, ECC/HANH sought to make academic </w:t>
      </w:r>
      <w:proofErr w:type="gramStart"/>
      <w:r w:rsidRPr="00685BDE">
        <w:rPr>
          <w:rFonts w:ascii="Century Gothic" w:hAnsi="Century Gothic"/>
        </w:rPr>
        <w:t>supports</w:t>
      </w:r>
      <w:proofErr w:type="gramEnd"/>
      <w:r w:rsidRPr="00685BDE">
        <w:rPr>
          <w:rFonts w:ascii="Century Gothic" w:hAnsi="Century Gothic"/>
        </w:rPr>
        <w:t xml:space="preserve"> readily available to the approximately 2,000 school-age youth </w:t>
      </w:r>
      <w:r w:rsidR="009B3578" w:rsidRPr="00685BDE">
        <w:rPr>
          <w:rFonts w:ascii="Century Gothic" w:hAnsi="Century Gothic"/>
        </w:rPr>
        <w:t xml:space="preserve">who resided </w:t>
      </w:r>
      <w:r w:rsidRPr="00685BDE">
        <w:rPr>
          <w:rFonts w:ascii="Century Gothic" w:hAnsi="Century Gothic"/>
        </w:rPr>
        <w:t>in our developments. Modeled after the Officer-in-Residence program</w:t>
      </w:r>
      <w:r w:rsidR="5448B61A" w:rsidRPr="00685BDE">
        <w:rPr>
          <w:rFonts w:ascii="Century Gothic" w:hAnsi="Century Gothic"/>
        </w:rPr>
        <w:t>,</w:t>
      </w:r>
      <w:r w:rsidRPr="00685BDE">
        <w:rPr>
          <w:rFonts w:ascii="Century Gothic" w:hAnsi="Century Gothic"/>
        </w:rPr>
        <w:t xml:space="preserve"> </w:t>
      </w:r>
      <w:r w:rsidR="6AC9A81C" w:rsidRPr="00685BDE">
        <w:rPr>
          <w:rFonts w:ascii="Century Gothic" w:hAnsi="Century Gothic"/>
        </w:rPr>
        <w:t>the Teacher-in-Residence</w:t>
      </w:r>
      <w:r w:rsidRPr="00685BDE">
        <w:rPr>
          <w:rFonts w:ascii="Century Gothic" w:hAnsi="Century Gothic"/>
        </w:rPr>
        <w:t xml:space="preserve"> </w:t>
      </w:r>
      <w:r w:rsidR="5B1AC327" w:rsidRPr="00685BDE">
        <w:rPr>
          <w:rFonts w:ascii="Century Gothic" w:hAnsi="Century Gothic"/>
        </w:rPr>
        <w:t xml:space="preserve">program </w:t>
      </w:r>
      <w:r w:rsidRPr="00685BDE">
        <w:rPr>
          <w:rFonts w:ascii="Century Gothic" w:hAnsi="Century Gothic"/>
        </w:rPr>
        <w:t>offer</w:t>
      </w:r>
      <w:r w:rsidR="39736CA3" w:rsidRPr="00685BDE">
        <w:rPr>
          <w:rFonts w:ascii="Century Gothic" w:hAnsi="Century Gothic"/>
        </w:rPr>
        <w:t>s</w:t>
      </w:r>
      <w:r w:rsidRPr="00685BDE">
        <w:rPr>
          <w:rFonts w:ascii="Century Gothic" w:hAnsi="Century Gothic"/>
        </w:rPr>
        <w:t xml:space="preserve"> housing to teachers in exchange for the delivery of homework help and tutorial services for our youth. </w:t>
      </w:r>
    </w:p>
    <w:p w14:paraId="7B4D0C2F" w14:textId="77777777" w:rsidR="00CF332B" w:rsidRPr="00685BDE" w:rsidRDefault="00CF332B" w:rsidP="00CF332B">
      <w:pPr>
        <w:autoSpaceDE w:val="0"/>
        <w:autoSpaceDN w:val="0"/>
        <w:rPr>
          <w:rFonts w:ascii="Century Gothic" w:hAnsi="Century Gothic"/>
          <w:szCs w:val="22"/>
        </w:rPr>
      </w:pPr>
    </w:p>
    <w:p w14:paraId="5630A26D" w14:textId="77777777" w:rsidR="001D7109" w:rsidRPr="00685BDE" w:rsidRDefault="00CF332B" w:rsidP="00CF332B">
      <w:pPr>
        <w:autoSpaceDE w:val="0"/>
        <w:autoSpaceDN w:val="0"/>
        <w:rPr>
          <w:rFonts w:ascii="Century Gothic" w:hAnsi="Century Gothic"/>
          <w:szCs w:val="22"/>
        </w:rPr>
      </w:pPr>
      <w:r w:rsidRPr="00685BDE">
        <w:rPr>
          <w:rFonts w:ascii="Century Gothic" w:hAnsi="Century Gothic"/>
          <w:szCs w:val="22"/>
        </w:rPr>
        <w:t>The initiative aims to serve both ECC/HANH youth and their families</w:t>
      </w:r>
      <w:r w:rsidR="00CC660C" w:rsidRPr="00685BDE">
        <w:rPr>
          <w:rFonts w:ascii="Century Gothic" w:hAnsi="Century Gothic"/>
          <w:szCs w:val="22"/>
        </w:rPr>
        <w:t xml:space="preserve"> by having a Teacher in Residence living on-site</w:t>
      </w:r>
      <w:r w:rsidRPr="00685BDE">
        <w:rPr>
          <w:rFonts w:ascii="Century Gothic" w:hAnsi="Century Gothic"/>
          <w:szCs w:val="22"/>
        </w:rPr>
        <w:t xml:space="preserve">. First, the initiative focuses on necessary academic assistance. Second, </w:t>
      </w:r>
      <w:r w:rsidR="00CC660C" w:rsidRPr="00685BDE">
        <w:rPr>
          <w:rFonts w:ascii="Century Gothic" w:hAnsi="Century Gothic"/>
          <w:szCs w:val="22"/>
        </w:rPr>
        <w:t xml:space="preserve">the </w:t>
      </w:r>
      <w:r w:rsidR="007E30DF" w:rsidRPr="00685BDE">
        <w:rPr>
          <w:rFonts w:ascii="Century Gothic" w:hAnsi="Century Gothic"/>
          <w:szCs w:val="22"/>
        </w:rPr>
        <w:t>initiative</w:t>
      </w:r>
      <w:r w:rsidR="00466863" w:rsidRPr="00685BDE">
        <w:rPr>
          <w:rFonts w:ascii="Century Gothic" w:hAnsi="Century Gothic"/>
          <w:szCs w:val="22"/>
        </w:rPr>
        <w:t xml:space="preserve"> </w:t>
      </w:r>
      <w:r w:rsidRPr="00685BDE">
        <w:rPr>
          <w:rFonts w:ascii="Century Gothic" w:hAnsi="Century Gothic"/>
          <w:szCs w:val="22"/>
        </w:rPr>
        <w:t xml:space="preserve">aims to help bridge an historical divide between educators and our families, working to build community and shift traditional relationships between teachers and parents. </w:t>
      </w:r>
    </w:p>
    <w:p w14:paraId="3F775173" w14:textId="77777777" w:rsidR="001D7109" w:rsidRPr="00685BDE" w:rsidRDefault="001D7109" w:rsidP="00CF332B">
      <w:pPr>
        <w:autoSpaceDE w:val="0"/>
        <w:autoSpaceDN w:val="0"/>
        <w:rPr>
          <w:rFonts w:ascii="Century Gothic" w:hAnsi="Century Gothic"/>
          <w:szCs w:val="22"/>
        </w:rPr>
      </w:pPr>
    </w:p>
    <w:p w14:paraId="55D95511" w14:textId="22D4240A" w:rsidR="00CF332B" w:rsidRPr="00685BDE" w:rsidRDefault="00CF332B" w:rsidP="00CF332B">
      <w:pPr>
        <w:autoSpaceDE w:val="0"/>
        <w:autoSpaceDN w:val="0"/>
        <w:rPr>
          <w:rFonts w:ascii="Century Gothic" w:hAnsi="Century Gothic"/>
          <w:szCs w:val="22"/>
        </w:rPr>
      </w:pPr>
      <w:r w:rsidRPr="00685BDE">
        <w:rPr>
          <w:rFonts w:ascii="Century Gothic" w:hAnsi="Century Gothic"/>
          <w:szCs w:val="22"/>
        </w:rPr>
        <w:t xml:space="preserve">In turn, the program creates space for experiential learning, living, and communication. By grounding support where families live, the initiative aims to build relational pathways from the home into the classroom. </w:t>
      </w:r>
    </w:p>
    <w:p w14:paraId="0DA15FE5" w14:textId="77777777" w:rsidR="00CF332B" w:rsidRPr="00685BDE" w:rsidRDefault="00CF332B" w:rsidP="00CF332B">
      <w:pPr>
        <w:autoSpaceDE w:val="0"/>
        <w:autoSpaceDN w:val="0"/>
        <w:rPr>
          <w:rFonts w:ascii="Century Gothic" w:hAnsi="Century Gothic"/>
          <w:szCs w:val="22"/>
        </w:rPr>
      </w:pPr>
    </w:p>
    <w:p w14:paraId="2E3096B7" w14:textId="51D5FCB8" w:rsidR="00CF332B" w:rsidRPr="00685BDE" w:rsidRDefault="6195149A" w:rsidP="0E6C54AB">
      <w:pPr>
        <w:autoSpaceDE w:val="0"/>
        <w:autoSpaceDN w:val="0"/>
        <w:rPr>
          <w:rFonts w:ascii="Century Gothic" w:hAnsi="Century Gothic"/>
        </w:rPr>
      </w:pPr>
      <w:r w:rsidRPr="188A1EBF">
        <w:rPr>
          <w:rFonts w:ascii="Century Gothic" w:hAnsi="Century Gothic"/>
        </w:rPr>
        <w:t>As</w:t>
      </w:r>
      <w:r w:rsidR="06144AD6" w:rsidRPr="188A1EBF">
        <w:rPr>
          <w:rFonts w:ascii="Century Gothic" w:hAnsi="Century Gothic"/>
        </w:rPr>
        <w:t xml:space="preserve"> part of an agreement between ECC/HANH </w:t>
      </w:r>
      <w:r w:rsidR="5D812B5A" w:rsidRPr="188A1EBF">
        <w:rPr>
          <w:rFonts w:ascii="Century Gothic" w:hAnsi="Century Gothic"/>
        </w:rPr>
        <w:t>the</w:t>
      </w:r>
      <w:r w:rsidR="06144AD6" w:rsidRPr="188A1EBF">
        <w:rPr>
          <w:rFonts w:ascii="Century Gothic" w:hAnsi="Century Gothic"/>
        </w:rPr>
        <w:t xml:space="preserve"> teacher, </w:t>
      </w:r>
      <w:r w:rsidR="34D26DCB" w:rsidRPr="188A1EBF">
        <w:rPr>
          <w:rFonts w:ascii="Century Gothic" w:hAnsi="Century Gothic"/>
        </w:rPr>
        <w:t xml:space="preserve">the </w:t>
      </w:r>
      <w:r w:rsidR="00854176" w:rsidRPr="188A1EBF">
        <w:rPr>
          <w:rFonts w:ascii="Century Gothic" w:hAnsi="Century Gothic"/>
        </w:rPr>
        <w:t>teacher is</w:t>
      </w:r>
      <w:r w:rsidR="06144AD6" w:rsidRPr="188A1EBF">
        <w:rPr>
          <w:rFonts w:ascii="Century Gothic" w:hAnsi="Century Gothic"/>
        </w:rPr>
        <w:t xml:space="preserve"> required to provide educational assistance to ECC/HANH’s youth at two properties: McConaughy Terrace and Valley Townhouses. </w:t>
      </w:r>
    </w:p>
    <w:p w14:paraId="0C6799BD" w14:textId="455D691B" w:rsidR="0E6C54AB" w:rsidRPr="00685BDE" w:rsidRDefault="0E6C54AB" w:rsidP="0E6C54AB">
      <w:pPr>
        <w:rPr>
          <w:rFonts w:ascii="Century Gothic" w:hAnsi="Century Gothic"/>
        </w:rPr>
      </w:pPr>
    </w:p>
    <w:p w14:paraId="1912C200" w14:textId="461E93C9" w:rsidR="00CF332B" w:rsidRPr="00685BDE" w:rsidRDefault="00CF332B" w:rsidP="188A1EBF">
      <w:pPr>
        <w:autoSpaceDE w:val="0"/>
        <w:autoSpaceDN w:val="0"/>
        <w:rPr>
          <w:rFonts w:ascii="Century Gothic" w:hAnsi="Century Gothic"/>
        </w:rPr>
      </w:pPr>
      <w:r w:rsidRPr="188A1EBF">
        <w:rPr>
          <w:rFonts w:ascii="Century Gothic" w:hAnsi="Century Gothic"/>
        </w:rPr>
        <w:t xml:space="preserve">The </w:t>
      </w:r>
      <w:r w:rsidR="00DF73A4" w:rsidRPr="188A1EBF">
        <w:rPr>
          <w:rFonts w:ascii="Century Gothic" w:hAnsi="Century Gothic"/>
        </w:rPr>
        <w:t>e</w:t>
      </w:r>
      <w:r w:rsidRPr="188A1EBF">
        <w:rPr>
          <w:rFonts w:ascii="Century Gothic" w:hAnsi="Century Gothic"/>
        </w:rPr>
        <w:t xml:space="preserve">ducational assistance provided by </w:t>
      </w:r>
      <w:r w:rsidR="14FFCEA2" w:rsidRPr="188A1EBF">
        <w:rPr>
          <w:rFonts w:ascii="Century Gothic" w:hAnsi="Century Gothic"/>
        </w:rPr>
        <w:t>the</w:t>
      </w:r>
      <w:r w:rsidRPr="188A1EBF">
        <w:rPr>
          <w:rFonts w:ascii="Century Gothic" w:hAnsi="Century Gothic"/>
        </w:rPr>
        <w:t xml:space="preserve"> Teacher is defined as follows: </w:t>
      </w:r>
    </w:p>
    <w:p w14:paraId="7FA94A78" w14:textId="3B214114" w:rsidR="00CF332B" w:rsidRPr="00685BDE" w:rsidRDefault="00CF332B" w:rsidP="00486062">
      <w:pPr>
        <w:pStyle w:val="ListParagraph"/>
        <w:numPr>
          <w:ilvl w:val="0"/>
          <w:numId w:val="85"/>
        </w:numPr>
        <w:spacing w:before="120" w:after="120"/>
        <w:rPr>
          <w:rFonts w:ascii="Century Gothic" w:hAnsi="Century Gothic"/>
          <w:szCs w:val="22"/>
        </w:rPr>
      </w:pPr>
      <w:r w:rsidRPr="00685BDE">
        <w:rPr>
          <w:rFonts w:ascii="Century Gothic" w:hAnsi="Century Gothic"/>
          <w:szCs w:val="22"/>
        </w:rPr>
        <w:t xml:space="preserve">Conduct a site-based homework help program at the developments in which the Teacher in Residence resides, in conjunction with ECC/HANH staff, throughout the school </w:t>
      </w:r>
      <w:r w:rsidR="00410E5B" w:rsidRPr="00685BDE">
        <w:rPr>
          <w:rFonts w:ascii="Century Gothic" w:hAnsi="Century Gothic"/>
          <w:szCs w:val="22"/>
        </w:rPr>
        <w:t>year.</w:t>
      </w:r>
    </w:p>
    <w:p w14:paraId="4CD198BB" w14:textId="77777777" w:rsidR="009F2A3E" w:rsidRPr="00685BDE" w:rsidRDefault="009F2A3E" w:rsidP="009F2A3E">
      <w:pPr>
        <w:pStyle w:val="ListParagraph"/>
        <w:spacing w:before="120" w:after="120"/>
        <w:rPr>
          <w:rFonts w:ascii="Century Gothic" w:hAnsi="Century Gothic"/>
          <w:sz w:val="14"/>
          <w:szCs w:val="14"/>
        </w:rPr>
      </w:pPr>
    </w:p>
    <w:p w14:paraId="1C9AE0F2" w14:textId="05CA61F4" w:rsidR="00CF332B" w:rsidRPr="00685BDE" w:rsidRDefault="00CF332B" w:rsidP="00486062">
      <w:pPr>
        <w:pStyle w:val="ListParagraph"/>
        <w:numPr>
          <w:ilvl w:val="0"/>
          <w:numId w:val="85"/>
        </w:numPr>
        <w:spacing w:before="120" w:after="120"/>
        <w:rPr>
          <w:rFonts w:ascii="Century Gothic" w:hAnsi="Century Gothic"/>
          <w:szCs w:val="22"/>
        </w:rPr>
      </w:pPr>
      <w:r w:rsidRPr="00685BDE">
        <w:rPr>
          <w:rFonts w:ascii="Century Gothic" w:hAnsi="Century Gothic"/>
          <w:szCs w:val="22"/>
        </w:rPr>
        <w:t xml:space="preserve">Provide homework help and/or tutoring for students in their respective ECC/HANH </w:t>
      </w:r>
      <w:r w:rsidR="00410E5B" w:rsidRPr="00685BDE">
        <w:rPr>
          <w:rFonts w:ascii="Century Gothic" w:hAnsi="Century Gothic"/>
          <w:szCs w:val="22"/>
        </w:rPr>
        <w:t>developments.</w:t>
      </w:r>
    </w:p>
    <w:p w14:paraId="7CB4676C" w14:textId="77777777" w:rsidR="00CF332B" w:rsidRPr="00685BDE" w:rsidRDefault="00CF332B" w:rsidP="00486062">
      <w:pPr>
        <w:numPr>
          <w:ilvl w:val="0"/>
          <w:numId w:val="85"/>
        </w:numPr>
        <w:spacing w:before="120" w:after="120"/>
        <w:rPr>
          <w:rFonts w:ascii="Century Gothic" w:hAnsi="Century Gothic"/>
          <w:szCs w:val="22"/>
        </w:rPr>
      </w:pPr>
      <w:r w:rsidRPr="00685BDE">
        <w:rPr>
          <w:rFonts w:ascii="Century Gothic" w:hAnsi="Century Gothic"/>
          <w:szCs w:val="22"/>
        </w:rPr>
        <w:t>Facilitate site-based meetings for parent residents, in conjunction with ECC/HANH staff, so that parents may better understand how to navigate the New Haven public schools; and</w:t>
      </w:r>
    </w:p>
    <w:p w14:paraId="2FF08D53" w14:textId="1E07D941" w:rsidR="00CF332B" w:rsidRPr="00685BDE" w:rsidRDefault="00CF332B" w:rsidP="00486062">
      <w:pPr>
        <w:numPr>
          <w:ilvl w:val="0"/>
          <w:numId w:val="85"/>
        </w:numPr>
        <w:spacing w:before="120" w:after="120"/>
        <w:rPr>
          <w:rFonts w:ascii="Century Gothic" w:hAnsi="Century Gothic"/>
          <w:szCs w:val="22"/>
        </w:rPr>
      </w:pPr>
      <w:r w:rsidRPr="00685BDE">
        <w:rPr>
          <w:rFonts w:ascii="Century Gothic" w:hAnsi="Century Gothic"/>
          <w:szCs w:val="22"/>
        </w:rPr>
        <w:t>Participate in the Tenant Resident Council</w:t>
      </w:r>
      <w:r w:rsidR="00F742C5" w:rsidRPr="00685BDE">
        <w:rPr>
          <w:rFonts w:ascii="Century Gothic" w:hAnsi="Century Gothic"/>
          <w:szCs w:val="22"/>
        </w:rPr>
        <w:t xml:space="preserve"> (TRC)</w:t>
      </w:r>
      <w:r w:rsidR="004B07E1" w:rsidRPr="00685BDE">
        <w:rPr>
          <w:rFonts w:ascii="Century Gothic" w:hAnsi="Century Gothic"/>
          <w:szCs w:val="22"/>
        </w:rPr>
        <w:t xml:space="preserve"> meetings</w:t>
      </w:r>
      <w:r w:rsidRPr="00685BDE">
        <w:rPr>
          <w:rFonts w:ascii="Century Gothic" w:hAnsi="Century Gothic"/>
          <w:szCs w:val="22"/>
        </w:rPr>
        <w:t>.</w:t>
      </w:r>
    </w:p>
    <w:p w14:paraId="3A6A82FE" w14:textId="77777777" w:rsidR="00CF332B" w:rsidRPr="00685BDE" w:rsidRDefault="00CF332B" w:rsidP="00CF332B">
      <w:pPr>
        <w:autoSpaceDE w:val="0"/>
        <w:autoSpaceDN w:val="0"/>
        <w:rPr>
          <w:rFonts w:ascii="Century Gothic" w:hAnsi="Century Gothic"/>
          <w:szCs w:val="22"/>
        </w:rPr>
      </w:pPr>
    </w:p>
    <w:p w14:paraId="23301BF3" w14:textId="5D2D7DB6" w:rsidR="00CF332B" w:rsidRPr="00685BDE" w:rsidRDefault="00CF332B" w:rsidP="00CF332B">
      <w:pPr>
        <w:keepNext/>
        <w:keepLines/>
        <w:spacing w:before="120" w:after="80"/>
        <w:outlineLvl w:val="3"/>
        <w:rPr>
          <w:rFonts w:ascii="Century Gothic" w:eastAsiaTheme="majorEastAsia" w:hAnsi="Century Gothic"/>
          <w:b/>
          <w:color w:val="808080" w:themeColor="background1" w:themeShade="80"/>
        </w:rPr>
      </w:pPr>
      <w:r w:rsidRPr="00685BDE">
        <w:rPr>
          <w:rFonts w:ascii="Century Gothic" w:eastAsiaTheme="majorEastAsia" w:hAnsi="Century Gothic"/>
          <w:b/>
          <w:color w:val="808080" w:themeColor="background1" w:themeShade="80"/>
        </w:rPr>
        <w:lastRenderedPageBreak/>
        <w:t>Impact</w:t>
      </w:r>
    </w:p>
    <w:p w14:paraId="6A1CDC95" w14:textId="77777777" w:rsidR="0082747A" w:rsidRPr="00685BDE" w:rsidRDefault="6C2C6C83" w:rsidP="46B3BF7C">
      <w:pPr>
        <w:rPr>
          <w:rFonts w:ascii="Century Gothic" w:eastAsia="Times New Roman" w:hAnsi="Century Gothic"/>
        </w:rPr>
      </w:pPr>
      <w:r w:rsidRPr="00685BDE">
        <w:rPr>
          <w:rFonts w:ascii="Century Gothic" w:eastAsia="Times New Roman" w:hAnsi="Century Gothic"/>
        </w:rPr>
        <w:t xml:space="preserve">The initiative is designed to include a data sharing agreement between the public schools and ECC/HANH. In FY19, to circumvent challenges in securing data on students’ academic outcomes from the school system, the Teacher-in-Residence began to incorporate the Math and Reading IXL program into the curriculum. This enabled the teacher to access data on students’ progress that is aligned with school assessment measures in reading and math. This also allowed the teacher to assess and track individual academic growth in reading and writing, as well as highlight challenging areas in both subjects. </w:t>
      </w:r>
    </w:p>
    <w:p w14:paraId="1CC983C0" w14:textId="77777777" w:rsidR="0082747A" w:rsidRPr="00685BDE" w:rsidRDefault="0082747A" w:rsidP="46B3BF7C">
      <w:pPr>
        <w:rPr>
          <w:rFonts w:ascii="Century Gothic" w:eastAsia="Times New Roman" w:hAnsi="Century Gothic"/>
        </w:rPr>
      </w:pPr>
    </w:p>
    <w:p w14:paraId="10B04024" w14:textId="194D0533" w:rsidR="4B892AB1" w:rsidRPr="00685BDE" w:rsidRDefault="58A15B5F" w:rsidP="46B3BF7C">
      <w:pPr>
        <w:rPr>
          <w:rFonts w:ascii="Century Gothic" w:eastAsia="Times New Roman" w:hAnsi="Century Gothic"/>
        </w:rPr>
      </w:pPr>
      <w:r w:rsidRPr="188A1EBF">
        <w:rPr>
          <w:rFonts w:ascii="Century Gothic" w:eastAsia="Times New Roman" w:hAnsi="Century Gothic"/>
        </w:rPr>
        <w:t xml:space="preserve">Beginning in FY24, through a partnership with the State of CT’s P20WIN and a data sharing agreement, ECC/HANH </w:t>
      </w:r>
      <w:r w:rsidR="008C5BE4" w:rsidRPr="188A1EBF">
        <w:rPr>
          <w:rFonts w:ascii="Century Gothic" w:eastAsia="Times New Roman" w:hAnsi="Century Gothic"/>
        </w:rPr>
        <w:t>anticipated</w:t>
      </w:r>
      <w:r w:rsidR="15393A7B" w:rsidRPr="188A1EBF">
        <w:rPr>
          <w:rFonts w:ascii="Century Gothic" w:eastAsia="Times New Roman" w:hAnsi="Century Gothic"/>
        </w:rPr>
        <w:t xml:space="preserve"> </w:t>
      </w:r>
      <w:r w:rsidRPr="188A1EBF">
        <w:rPr>
          <w:rFonts w:ascii="Century Gothic" w:eastAsia="Times New Roman" w:hAnsi="Century Gothic"/>
        </w:rPr>
        <w:t>access</w:t>
      </w:r>
      <w:r w:rsidR="68ECE781" w:rsidRPr="188A1EBF">
        <w:rPr>
          <w:rFonts w:ascii="Century Gothic" w:eastAsia="Times New Roman" w:hAnsi="Century Gothic"/>
        </w:rPr>
        <w:t>ing</w:t>
      </w:r>
      <w:r w:rsidRPr="188A1EBF">
        <w:rPr>
          <w:rFonts w:ascii="Century Gothic" w:eastAsia="Times New Roman" w:hAnsi="Century Gothic"/>
        </w:rPr>
        <w:t xml:space="preserve"> school achievement data for all our students</w:t>
      </w:r>
      <w:r w:rsidR="00932094">
        <w:rPr>
          <w:rFonts w:ascii="Century Gothic" w:eastAsia="Times New Roman" w:hAnsi="Century Gothic"/>
        </w:rPr>
        <w:t>, however the data was not available. It is anticipated that the data will be available in FY2025.</w:t>
      </w:r>
    </w:p>
    <w:p w14:paraId="49B4A9DE" w14:textId="5A7D54CD" w:rsidR="4B892AB1" w:rsidRPr="00685BDE" w:rsidRDefault="1B4A8018">
      <w:pPr>
        <w:rPr>
          <w:rFonts w:ascii="Century Gothic" w:hAnsi="Century Gothic"/>
        </w:rPr>
      </w:pPr>
      <w:r w:rsidRPr="00685BDE">
        <w:rPr>
          <w:rFonts w:ascii="Century Gothic" w:eastAsia="Times New Roman" w:hAnsi="Century Gothic"/>
        </w:rPr>
        <w:t xml:space="preserve"> </w:t>
      </w:r>
    </w:p>
    <w:p w14:paraId="5FB78A98" w14:textId="3ACD2DA6" w:rsidR="211FCDB6" w:rsidRPr="00685BDE" w:rsidRDefault="2F208F95" w:rsidP="56558BA2">
      <w:pPr>
        <w:rPr>
          <w:rFonts w:ascii="Century Gothic" w:eastAsia="Times New Roman" w:hAnsi="Century Gothic"/>
          <w:color w:val="000000" w:themeColor="text1"/>
          <w:szCs w:val="22"/>
        </w:rPr>
      </w:pPr>
      <w:r w:rsidRPr="00685BDE">
        <w:rPr>
          <w:rFonts w:ascii="Century Gothic" w:eastAsia="Times New Roman" w:hAnsi="Century Gothic"/>
          <w:color w:val="000000" w:themeColor="text1"/>
        </w:rPr>
        <w:t xml:space="preserve">In FY22, the Teacher in Residence </w:t>
      </w:r>
      <w:r w:rsidR="004601A7" w:rsidRPr="00685BDE">
        <w:rPr>
          <w:rFonts w:ascii="Century Gothic" w:eastAsia="Times New Roman" w:hAnsi="Century Gothic"/>
          <w:color w:val="000000" w:themeColor="text1"/>
        </w:rPr>
        <w:t xml:space="preserve">(TIR) </w:t>
      </w:r>
      <w:r w:rsidRPr="00685BDE">
        <w:rPr>
          <w:rFonts w:ascii="Century Gothic" w:eastAsia="Times New Roman" w:hAnsi="Century Gothic"/>
          <w:color w:val="000000" w:themeColor="text1"/>
        </w:rPr>
        <w:t>who had been in place since the inception of the program resigned as a teacher and moved from her unit.</w:t>
      </w:r>
    </w:p>
    <w:p w14:paraId="34F97AF8" w14:textId="1AAB90EA" w:rsidR="581B8D0C" w:rsidRPr="00685BDE" w:rsidRDefault="69116D96" w:rsidP="55D9040F">
      <w:pPr>
        <w:rPr>
          <w:rFonts w:ascii="Century Gothic" w:eastAsia="Times New Roman" w:hAnsi="Century Gothic"/>
        </w:rPr>
      </w:pPr>
      <w:r w:rsidRPr="188A1EBF">
        <w:rPr>
          <w:rFonts w:ascii="Century Gothic" w:eastAsia="Times New Roman" w:hAnsi="Century Gothic"/>
        </w:rPr>
        <w:t>ECC/HANH has been actively recruiting for a new TIR</w:t>
      </w:r>
      <w:r w:rsidR="001D089D" w:rsidRPr="188A1EBF">
        <w:rPr>
          <w:rFonts w:ascii="Century Gothic" w:eastAsia="Times New Roman" w:hAnsi="Century Gothic"/>
        </w:rPr>
        <w:t xml:space="preserve">.  Recruitment includes attending </w:t>
      </w:r>
      <w:r w:rsidRPr="188A1EBF">
        <w:rPr>
          <w:rFonts w:ascii="Century Gothic" w:eastAsia="Times New Roman" w:hAnsi="Century Gothic"/>
        </w:rPr>
        <w:t>community events, meeting with school leadership at various schools throughout New Haven and meeting with community leaders.</w:t>
      </w:r>
    </w:p>
    <w:p w14:paraId="5EE4789C" w14:textId="33545843" w:rsidR="188A1EBF" w:rsidRDefault="188A1EBF" w:rsidP="188A1EBF">
      <w:pPr>
        <w:rPr>
          <w:rFonts w:ascii="Century Gothic" w:eastAsia="Times New Roman" w:hAnsi="Century Gothic"/>
        </w:rPr>
      </w:pPr>
    </w:p>
    <w:p w14:paraId="1E99306C" w14:textId="1DE25742" w:rsidR="2E38755F" w:rsidRDefault="2E38755F" w:rsidP="188A1EBF">
      <w:pPr>
        <w:rPr>
          <w:rFonts w:ascii="Century Gothic" w:eastAsia="Times New Roman" w:hAnsi="Century Gothic"/>
        </w:rPr>
      </w:pPr>
      <w:r w:rsidRPr="188A1EBF">
        <w:rPr>
          <w:rFonts w:ascii="Century Gothic" w:eastAsia="Times New Roman" w:hAnsi="Century Gothic"/>
        </w:rPr>
        <w:t>McConaughy is currently under development and Valley completed in Jun</w:t>
      </w:r>
      <w:r w:rsidR="0464AB60" w:rsidRPr="188A1EBF">
        <w:rPr>
          <w:rFonts w:ascii="Century Gothic" w:eastAsia="Times New Roman" w:hAnsi="Century Gothic"/>
        </w:rPr>
        <w:t>e</w:t>
      </w:r>
      <w:r w:rsidRPr="188A1EBF">
        <w:rPr>
          <w:rFonts w:ascii="Century Gothic" w:eastAsia="Times New Roman" w:hAnsi="Century Gothic"/>
        </w:rPr>
        <w:t xml:space="preserve"> of 2024. As properties come back online, we will </w:t>
      </w:r>
      <w:r w:rsidR="5C4E64BF" w:rsidRPr="188A1EBF">
        <w:rPr>
          <w:rFonts w:ascii="Century Gothic" w:eastAsia="Times New Roman" w:hAnsi="Century Gothic"/>
        </w:rPr>
        <w:t>seek</w:t>
      </w:r>
      <w:r w:rsidRPr="188A1EBF">
        <w:rPr>
          <w:rFonts w:ascii="Century Gothic" w:eastAsia="Times New Roman" w:hAnsi="Century Gothic"/>
        </w:rPr>
        <w:t xml:space="preserve"> an agreement with the teacher</w:t>
      </w:r>
      <w:r w:rsidR="22EF00E0" w:rsidRPr="188A1EBF">
        <w:rPr>
          <w:rFonts w:ascii="Century Gothic" w:eastAsia="Times New Roman" w:hAnsi="Century Gothic"/>
        </w:rPr>
        <w:t>.</w:t>
      </w:r>
      <w:r w:rsidR="1FE4CDA1" w:rsidRPr="188A1EBF">
        <w:rPr>
          <w:rFonts w:ascii="Century Gothic" w:eastAsia="Times New Roman" w:hAnsi="Century Gothic"/>
        </w:rPr>
        <w:t xml:space="preserve">  In addition, ECC will continue to partner with Southern Connecticut State University in providing </w:t>
      </w:r>
      <w:proofErr w:type="gramStart"/>
      <w:r w:rsidR="1FE4CDA1" w:rsidRPr="188A1EBF">
        <w:rPr>
          <w:rFonts w:ascii="Century Gothic" w:eastAsia="Times New Roman" w:hAnsi="Century Gothic"/>
        </w:rPr>
        <w:t>afterschool</w:t>
      </w:r>
      <w:proofErr w:type="gramEnd"/>
      <w:r w:rsidR="1FE4CDA1" w:rsidRPr="188A1EBF">
        <w:rPr>
          <w:rFonts w:ascii="Century Gothic" w:eastAsia="Times New Roman" w:hAnsi="Century Gothic"/>
        </w:rPr>
        <w:t xml:space="preserve"> homework assistance.</w:t>
      </w:r>
    </w:p>
    <w:p w14:paraId="105C9839" w14:textId="5AAFF6FF" w:rsidR="00F22D23" w:rsidRPr="00685BDE" w:rsidRDefault="1E4718D9" w:rsidP="188A1EBF">
      <w:pPr>
        <w:rPr>
          <w:rFonts w:ascii="Century Gothic" w:eastAsia="Times New Roman" w:hAnsi="Century Gothic"/>
        </w:rPr>
      </w:pPr>
      <w:r w:rsidRPr="188A1EBF">
        <w:rPr>
          <w:rFonts w:ascii="Century Gothic" w:eastAsia="Times New Roman" w:hAnsi="Century Gothic"/>
        </w:rPr>
        <w:t>Although ECC/HANH does not currently have a Teacher in Residence that lives on site, ECC/HANH was still</w:t>
      </w:r>
      <w:r w:rsidR="58F0F82A" w:rsidRPr="188A1EBF">
        <w:rPr>
          <w:rFonts w:ascii="Century Gothic" w:eastAsia="Times New Roman" w:hAnsi="Century Gothic"/>
        </w:rPr>
        <w:t xml:space="preserve"> </w:t>
      </w:r>
      <w:r w:rsidR="3BD3E242" w:rsidRPr="188A1EBF">
        <w:rPr>
          <w:rFonts w:ascii="Century Gothic" w:eastAsia="Times New Roman" w:hAnsi="Century Gothic"/>
        </w:rPr>
        <w:t xml:space="preserve">able </w:t>
      </w:r>
      <w:r w:rsidR="58F0F82A" w:rsidRPr="188A1EBF">
        <w:rPr>
          <w:rFonts w:ascii="Century Gothic" w:eastAsia="Times New Roman" w:hAnsi="Century Gothic"/>
        </w:rPr>
        <w:t xml:space="preserve">to assist 48 (34%) of the </w:t>
      </w:r>
      <w:r w:rsidR="463159CA" w:rsidRPr="188A1EBF">
        <w:rPr>
          <w:rFonts w:ascii="Century Gothic" w:eastAsia="Times New Roman" w:hAnsi="Century Gothic"/>
        </w:rPr>
        <w:t xml:space="preserve">141 </w:t>
      </w:r>
      <w:r w:rsidR="447A92E9" w:rsidRPr="188A1EBF">
        <w:rPr>
          <w:rFonts w:ascii="Century Gothic" w:eastAsia="Times New Roman" w:hAnsi="Century Gothic"/>
        </w:rPr>
        <w:t>school aged children who l</w:t>
      </w:r>
      <w:r w:rsidR="02DBE491" w:rsidRPr="188A1EBF">
        <w:rPr>
          <w:rFonts w:ascii="Century Gothic" w:eastAsia="Times New Roman" w:hAnsi="Century Gothic"/>
        </w:rPr>
        <w:t>i</w:t>
      </w:r>
      <w:r w:rsidR="447A92E9" w:rsidRPr="188A1EBF">
        <w:rPr>
          <w:rFonts w:ascii="Century Gothic" w:eastAsia="Times New Roman" w:hAnsi="Century Gothic"/>
        </w:rPr>
        <w:t>ve at McConaughy Terrace</w:t>
      </w:r>
      <w:r w:rsidR="5E7925DE" w:rsidRPr="188A1EBF">
        <w:rPr>
          <w:rFonts w:ascii="Century Gothic" w:eastAsia="Times New Roman" w:hAnsi="Century Gothic"/>
        </w:rPr>
        <w:t xml:space="preserve">.  </w:t>
      </w:r>
    </w:p>
    <w:p w14:paraId="01ECAF1F" w14:textId="2375316A" w:rsidR="00F22D23" w:rsidRPr="00685BDE" w:rsidRDefault="00F22D23" w:rsidP="188A1EBF">
      <w:pPr>
        <w:rPr>
          <w:rFonts w:ascii="Century Gothic" w:eastAsia="Times New Roman" w:hAnsi="Century Gothic"/>
        </w:rPr>
      </w:pPr>
    </w:p>
    <w:p w14:paraId="152B0852" w14:textId="2403CA1C" w:rsidR="002E69B1" w:rsidRDefault="003B794D" w:rsidP="000B0C82">
      <w:pPr>
        <w:rPr>
          <w:rFonts w:ascii="Century Gothic" w:eastAsia="Times New Roman" w:hAnsi="Century Gothic"/>
        </w:rPr>
      </w:pPr>
      <w:r>
        <w:rPr>
          <w:rFonts w:ascii="Century Gothic" w:eastAsia="Times New Roman" w:hAnsi="Century Gothic"/>
        </w:rPr>
        <w:t>ECC/HANH p</w:t>
      </w:r>
      <w:r w:rsidR="00C2780E" w:rsidRPr="002E69B1">
        <w:rPr>
          <w:rFonts w:ascii="Century Gothic" w:eastAsia="Times New Roman" w:hAnsi="Century Gothic"/>
        </w:rPr>
        <w:t xml:space="preserve">artnered </w:t>
      </w:r>
      <w:r w:rsidR="00DE76D3" w:rsidRPr="002E69B1">
        <w:rPr>
          <w:rFonts w:ascii="Century Gothic" w:eastAsia="Times New Roman" w:hAnsi="Century Gothic"/>
        </w:rPr>
        <w:t xml:space="preserve">with </w:t>
      </w:r>
      <w:r>
        <w:rPr>
          <w:rFonts w:ascii="Century Gothic" w:eastAsia="Times New Roman" w:hAnsi="Century Gothic"/>
        </w:rPr>
        <w:t>T</w:t>
      </w:r>
      <w:r w:rsidR="00DE76D3" w:rsidRPr="002E69B1">
        <w:rPr>
          <w:rFonts w:ascii="Century Gothic" w:eastAsia="Times New Roman" w:hAnsi="Century Gothic"/>
        </w:rPr>
        <w:t>he Shack, a local organization, and d</w:t>
      </w:r>
      <w:r w:rsidR="62186666" w:rsidRPr="002E69B1">
        <w:rPr>
          <w:rFonts w:ascii="Century Gothic" w:eastAsia="Times New Roman" w:hAnsi="Century Gothic"/>
        </w:rPr>
        <w:t xml:space="preserve">eveloped </w:t>
      </w:r>
      <w:r w:rsidR="008D7B94">
        <w:rPr>
          <w:rFonts w:ascii="Century Gothic" w:eastAsia="Times New Roman" w:hAnsi="Century Gothic"/>
        </w:rPr>
        <w:t xml:space="preserve">a </w:t>
      </w:r>
      <w:r w:rsidR="62186666" w:rsidRPr="002E69B1">
        <w:rPr>
          <w:rFonts w:ascii="Century Gothic" w:eastAsia="Times New Roman" w:hAnsi="Century Gothic"/>
        </w:rPr>
        <w:t>youth employment program</w:t>
      </w:r>
      <w:r w:rsidR="093024CF" w:rsidRPr="002E69B1">
        <w:rPr>
          <w:rFonts w:ascii="Century Gothic" w:eastAsia="Times New Roman" w:hAnsi="Century Gothic"/>
        </w:rPr>
        <w:t xml:space="preserve"> for teens to address out of school engagement</w:t>
      </w:r>
      <w:r w:rsidR="613F7258" w:rsidRPr="002E69B1">
        <w:rPr>
          <w:rFonts w:ascii="Century Gothic" w:eastAsia="Times New Roman" w:hAnsi="Century Gothic"/>
        </w:rPr>
        <w:t xml:space="preserve">, which also included workshops </w:t>
      </w:r>
      <w:r w:rsidR="00471419">
        <w:rPr>
          <w:rFonts w:ascii="Century Gothic" w:eastAsia="Times New Roman" w:hAnsi="Century Gothic"/>
        </w:rPr>
        <w:t>on</w:t>
      </w:r>
      <w:r w:rsidR="613F7258" w:rsidRPr="002E69B1">
        <w:rPr>
          <w:rFonts w:ascii="Century Gothic" w:eastAsia="Times New Roman" w:hAnsi="Century Gothic"/>
        </w:rPr>
        <w:t xml:space="preserve"> financial and mental health/wellness</w:t>
      </w:r>
      <w:r w:rsidR="00DE76D3" w:rsidRPr="002E69B1">
        <w:rPr>
          <w:rFonts w:ascii="Century Gothic" w:eastAsia="Times New Roman" w:hAnsi="Century Gothic"/>
        </w:rPr>
        <w:t>.</w:t>
      </w:r>
      <w:r w:rsidR="613F7258" w:rsidRPr="002E69B1">
        <w:rPr>
          <w:rFonts w:ascii="Century Gothic" w:eastAsia="Times New Roman" w:hAnsi="Century Gothic"/>
        </w:rPr>
        <w:t xml:space="preserve"> </w:t>
      </w:r>
    </w:p>
    <w:p w14:paraId="57E6A84B" w14:textId="77777777" w:rsidR="002E69B1" w:rsidRDefault="002E69B1" w:rsidP="002E69B1">
      <w:pPr>
        <w:rPr>
          <w:rFonts w:ascii="Century Gothic" w:eastAsia="Times New Roman" w:hAnsi="Century Gothic"/>
        </w:rPr>
      </w:pPr>
    </w:p>
    <w:p w14:paraId="1F5267B4" w14:textId="6C5D1504" w:rsidR="581B8D0C" w:rsidRDefault="002E69B1" w:rsidP="002E69B1">
      <w:pPr>
        <w:rPr>
          <w:rFonts w:ascii="Century Gothic" w:eastAsia="Times New Roman" w:hAnsi="Century Gothic"/>
        </w:rPr>
      </w:pPr>
      <w:r>
        <w:rPr>
          <w:rFonts w:ascii="Century Gothic" w:eastAsia="Times New Roman" w:hAnsi="Century Gothic"/>
        </w:rPr>
        <w:t>ECC/HANH also h</w:t>
      </w:r>
      <w:r w:rsidR="7E92759D" w:rsidRPr="002E69B1">
        <w:rPr>
          <w:rFonts w:ascii="Century Gothic" w:eastAsia="Times New Roman" w:hAnsi="Century Gothic"/>
        </w:rPr>
        <w:t xml:space="preserve">osted </w:t>
      </w:r>
      <w:r w:rsidR="367723CB" w:rsidRPr="002E69B1">
        <w:rPr>
          <w:rFonts w:ascii="Century Gothic" w:eastAsia="Times New Roman" w:hAnsi="Century Gothic"/>
        </w:rPr>
        <w:t xml:space="preserve">community events </w:t>
      </w:r>
      <w:r w:rsidR="19D417D4" w:rsidRPr="002E69B1">
        <w:rPr>
          <w:rFonts w:ascii="Century Gothic" w:eastAsia="Times New Roman" w:hAnsi="Century Gothic"/>
        </w:rPr>
        <w:t xml:space="preserve">and </w:t>
      </w:r>
      <w:r w:rsidR="6008B6C9" w:rsidRPr="002E69B1">
        <w:rPr>
          <w:rFonts w:ascii="Century Gothic" w:eastAsia="Times New Roman" w:hAnsi="Century Gothic"/>
        </w:rPr>
        <w:t>field trips to the Beardsley Zoo, CT Science Center</w:t>
      </w:r>
      <w:r w:rsidR="117D5D9D" w:rsidRPr="002E69B1">
        <w:rPr>
          <w:rFonts w:ascii="Century Gothic" w:eastAsia="Times New Roman" w:hAnsi="Century Gothic"/>
        </w:rPr>
        <w:t xml:space="preserve">, </w:t>
      </w:r>
      <w:r w:rsidR="00215DD6">
        <w:rPr>
          <w:rFonts w:ascii="Century Gothic" w:eastAsia="Times New Roman" w:hAnsi="Century Gothic"/>
        </w:rPr>
        <w:t>Park and Recreation camp</w:t>
      </w:r>
      <w:r w:rsidR="00F776A4">
        <w:rPr>
          <w:rFonts w:ascii="Century Gothic" w:eastAsia="Times New Roman" w:hAnsi="Century Gothic"/>
        </w:rPr>
        <w:t xml:space="preserve">, </w:t>
      </w:r>
      <w:r w:rsidR="00355594">
        <w:rPr>
          <w:rFonts w:ascii="Century Gothic" w:eastAsia="Times New Roman" w:hAnsi="Century Gothic"/>
        </w:rPr>
        <w:t xml:space="preserve">the </w:t>
      </w:r>
      <w:r w:rsidR="117D5D9D" w:rsidRPr="002E69B1">
        <w:rPr>
          <w:rFonts w:ascii="Century Gothic" w:eastAsia="Times New Roman" w:hAnsi="Century Gothic"/>
        </w:rPr>
        <w:t xml:space="preserve">movies and </w:t>
      </w:r>
      <w:r w:rsidR="00355594">
        <w:rPr>
          <w:rFonts w:ascii="Century Gothic" w:eastAsia="Times New Roman" w:hAnsi="Century Gothic"/>
        </w:rPr>
        <w:t xml:space="preserve">the </w:t>
      </w:r>
      <w:r w:rsidR="117D5D9D" w:rsidRPr="002E69B1">
        <w:rPr>
          <w:rFonts w:ascii="Century Gothic" w:eastAsia="Times New Roman" w:hAnsi="Century Gothic"/>
        </w:rPr>
        <w:t>library</w:t>
      </w:r>
      <w:r w:rsidR="6FEB032E" w:rsidRPr="002E69B1">
        <w:rPr>
          <w:rFonts w:ascii="Century Gothic" w:eastAsia="Times New Roman" w:hAnsi="Century Gothic"/>
        </w:rPr>
        <w:t xml:space="preserve">. </w:t>
      </w:r>
      <w:r w:rsidR="00FF1FCD">
        <w:rPr>
          <w:rFonts w:ascii="Century Gothic" w:eastAsia="Times New Roman" w:hAnsi="Century Gothic"/>
        </w:rPr>
        <w:t xml:space="preserve"> </w:t>
      </w:r>
      <w:r w:rsidR="001472FE">
        <w:rPr>
          <w:rFonts w:ascii="Century Gothic" w:eastAsia="Times New Roman" w:hAnsi="Century Gothic"/>
        </w:rPr>
        <w:t>The f</w:t>
      </w:r>
      <w:r w:rsidR="7E92759D" w:rsidRPr="002E69B1">
        <w:rPr>
          <w:rFonts w:ascii="Century Gothic" w:eastAsia="Times New Roman" w:hAnsi="Century Gothic"/>
        </w:rPr>
        <w:t xml:space="preserve">amilies </w:t>
      </w:r>
      <w:r w:rsidR="4C5AA4E8" w:rsidRPr="002E69B1">
        <w:rPr>
          <w:rFonts w:ascii="Century Gothic" w:eastAsia="Times New Roman" w:hAnsi="Century Gothic"/>
        </w:rPr>
        <w:t xml:space="preserve">that </w:t>
      </w:r>
      <w:r w:rsidR="7E92759D" w:rsidRPr="002E69B1">
        <w:rPr>
          <w:rFonts w:ascii="Century Gothic" w:eastAsia="Times New Roman" w:hAnsi="Century Gothic"/>
        </w:rPr>
        <w:t xml:space="preserve">attended received gifts, books, </w:t>
      </w:r>
      <w:r w:rsidR="00311F69">
        <w:rPr>
          <w:rFonts w:ascii="Century Gothic" w:eastAsia="Times New Roman" w:hAnsi="Century Gothic"/>
        </w:rPr>
        <w:t>onsite Diaper Bank services</w:t>
      </w:r>
      <w:r w:rsidR="00311F69" w:rsidRPr="002E69B1">
        <w:rPr>
          <w:rFonts w:ascii="Century Gothic" w:eastAsia="Times New Roman" w:hAnsi="Century Gothic"/>
        </w:rPr>
        <w:t xml:space="preserve"> </w:t>
      </w:r>
      <w:r w:rsidR="38644FDC" w:rsidRPr="002E69B1">
        <w:rPr>
          <w:rFonts w:ascii="Century Gothic" w:eastAsia="Times New Roman" w:hAnsi="Century Gothic"/>
        </w:rPr>
        <w:t>and</w:t>
      </w:r>
      <w:r w:rsidR="7E92759D" w:rsidRPr="002E69B1">
        <w:rPr>
          <w:rFonts w:ascii="Century Gothic" w:eastAsia="Times New Roman" w:hAnsi="Century Gothic"/>
        </w:rPr>
        <w:t xml:space="preserve"> information about reading and math resources.</w:t>
      </w:r>
    </w:p>
    <w:p w14:paraId="1EB07819" w14:textId="77777777" w:rsidR="00046DF3" w:rsidRPr="002E69B1" w:rsidRDefault="00046DF3" w:rsidP="002E69B1">
      <w:pPr>
        <w:rPr>
          <w:rFonts w:ascii="Century Gothic" w:eastAsia="Times New Roman" w:hAnsi="Century Gothic"/>
        </w:rPr>
      </w:pPr>
    </w:p>
    <w:p w14:paraId="4615FF89" w14:textId="77777777" w:rsidR="00046DF3" w:rsidRPr="00685BDE" w:rsidRDefault="00046DF3" w:rsidP="00046DF3">
      <w:pPr>
        <w:rPr>
          <w:rFonts w:ascii="Century Gothic" w:eastAsia="Times New Roman" w:hAnsi="Century Gothic"/>
        </w:rPr>
      </w:pPr>
      <w:r w:rsidRPr="188A1EBF">
        <w:rPr>
          <w:rFonts w:ascii="Century Gothic" w:eastAsia="Times New Roman" w:hAnsi="Century Gothic"/>
        </w:rPr>
        <w:t xml:space="preserve">It has been a challenge to achieve 65% participation </w:t>
      </w:r>
      <w:proofErr w:type="gramStart"/>
      <w:r w:rsidRPr="188A1EBF">
        <w:rPr>
          <w:rFonts w:ascii="Century Gothic" w:eastAsia="Times New Roman" w:hAnsi="Century Gothic"/>
        </w:rPr>
        <w:t>due to the fact that</w:t>
      </w:r>
      <w:proofErr w:type="gramEnd"/>
      <w:r w:rsidRPr="188A1EBF">
        <w:rPr>
          <w:rFonts w:ascii="Century Gothic" w:eastAsia="Times New Roman" w:hAnsi="Century Gothic"/>
        </w:rPr>
        <w:t xml:space="preserve"> the development and unit that was designated for the Teacher is undergoing redevelopment and some families living there who were served by the program were temporarily relocated to units at other developments. </w:t>
      </w:r>
    </w:p>
    <w:p w14:paraId="54F9147E" w14:textId="77777777" w:rsidR="00046DF3" w:rsidRDefault="00046DF3" w:rsidP="00046DF3">
      <w:pPr>
        <w:rPr>
          <w:rFonts w:ascii="Century Gothic" w:eastAsia="Times New Roman" w:hAnsi="Century Gothic"/>
        </w:rPr>
      </w:pPr>
    </w:p>
    <w:p w14:paraId="62EFF79D" w14:textId="77777777" w:rsidR="004850BE" w:rsidRDefault="004850BE" w:rsidP="00046DF3">
      <w:pPr>
        <w:rPr>
          <w:rFonts w:ascii="Century Gothic" w:eastAsia="Times New Roman" w:hAnsi="Century Gothic"/>
        </w:rPr>
      </w:pPr>
    </w:p>
    <w:p w14:paraId="7F15AA49" w14:textId="77777777" w:rsidR="004850BE" w:rsidRDefault="004850BE" w:rsidP="00046DF3">
      <w:pPr>
        <w:rPr>
          <w:rFonts w:ascii="Century Gothic" w:eastAsia="Times New Roman" w:hAnsi="Century Gothic"/>
        </w:rPr>
      </w:pPr>
    </w:p>
    <w:p w14:paraId="1A5E9338" w14:textId="77777777" w:rsidR="004850BE" w:rsidRDefault="004850BE" w:rsidP="00046DF3">
      <w:pPr>
        <w:rPr>
          <w:rFonts w:ascii="Century Gothic" w:eastAsia="Times New Roman" w:hAnsi="Century Gothic"/>
        </w:rPr>
      </w:pPr>
    </w:p>
    <w:p w14:paraId="48CE3B87" w14:textId="77777777" w:rsidR="004850BE" w:rsidRDefault="004850BE" w:rsidP="00046DF3">
      <w:pPr>
        <w:rPr>
          <w:rFonts w:ascii="Century Gothic" w:eastAsia="Times New Roman" w:hAnsi="Century Gothic"/>
        </w:rPr>
      </w:pPr>
    </w:p>
    <w:p w14:paraId="4FBD45BD" w14:textId="77777777" w:rsidR="004850BE" w:rsidRDefault="004850BE" w:rsidP="00046DF3">
      <w:pPr>
        <w:rPr>
          <w:rFonts w:ascii="Century Gothic" w:eastAsia="Times New Roman" w:hAnsi="Century Gothic"/>
        </w:rPr>
      </w:pPr>
    </w:p>
    <w:p w14:paraId="771992A3" w14:textId="395A49D7" w:rsidR="00CF332B" w:rsidRPr="00685BDE" w:rsidRDefault="00CF332B" w:rsidP="00311F69">
      <w:pPr>
        <w:keepNext/>
        <w:keepLines/>
        <w:spacing w:before="120" w:after="80"/>
        <w:jc w:val="both"/>
        <w:rPr>
          <w:rFonts w:ascii="Century Gothic" w:eastAsiaTheme="majorEastAsia" w:hAnsi="Century Gothic"/>
          <w:b/>
          <w:iCs/>
          <w:color w:val="808080" w:themeColor="background1" w:themeShade="80"/>
          <w:szCs w:val="22"/>
        </w:rPr>
      </w:pPr>
      <w:r w:rsidRPr="00685BDE">
        <w:rPr>
          <w:rFonts w:ascii="Century Gothic" w:eastAsiaTheme="majorEastAsia" w:hAnsi="Century Gothic"/>
          <w:b/>
          <w:iCs/>
          <w:color w:val="808080" w:themeColor="background1" w:themeShade="80"/>
          <w:szCs w:val="22"/>
        </w:rPr>
        <w:lastRenderedPageBreak/>
        <w:t>Outcomes</w:t>
      </w:r>
    </w:p>
    <w:p w14:paraId="2B1B6C2E" w14:textId="5C799287" w:rsidR="00CF332B" w:rsidRPr="00685BDE" w:rsidRDefault="00046DF3" w:rsidP="00CF332B">
      <w:pPr>
        <w:rPr>
          <w:rFonts w:ascii="Century Gothic" w:hAnsi="Century Gothic"/>
          <w:b/>
        </w:rPr>
      </w:pPr>
      <w:r>
        <w:rPr>
          <w:rFonts w:ascii="Century Gothic" w:hAnsi="Century Gothic"/>
          <w:b/>
        </w:rPr>
        <w:t>Internal</w:t>
      </w:r>
      <w:r w:rsidR="00CF332B" w:rsidRPr="1755F8BD">
        <w:rPr>
          <w:rFonts w:ascii="Century Gothic" w:hAnsi="Century Gothic"/>
          <w:b/>
        </w:rPr>
        <w:t xml:space="preserve"> Metrics</w:t>
      </w:r>
    </w:p>
    <w:p w14:paraId="5611E904" w14:textId="77777777" w:rsidR="00CF332B" w:rsidRPr="00685BDE" w:rsidRDefault="00CF332B" w:rsidP="00CF332B">
      <w:pPr>
        <w:rPr>
          <w:rFonts w:ascii="Century Gothic" w:hAnsi="Century Gothic"/>
          <w:b/>
          <w:bCs/>
          <w:szCs w:val="22"/>
        </w:rPr>
      </w:pPr>
    </w:p>
    <w:tbl>
      <w:tblPr>
        <w:tblW w:w="9825" w:type="dxa"/>
        <w:tblInd w:w="-15" w:type="dxa"/>
        <w:tblCellMar>
          <w:left w:w="0" w:type="dxa"/>
          <w:right w:w="0" w:type="dxa"/>
        </w:tblCellMar>
        <w:tblLook w:val="04A0" w:firstRow="1" w:lastRow="0" w:firstColumn="1" w:lastColumn="0" w:noHBand="0" w:noVBand="1"/>
      </w:tblPr>
      <w:tblGrid>
        <w:gridCol w:w="2535"/>
        <w:gridCol w:w="1350"/>
        <w:gridCol w:w="2160"/>
        <w:gridCol w:w="2179"/>
        <w:gridCol w:w="1601"/>
      </w:tblGrid>
      <w:tr w:rsidR="00CF332B" w:rsidRPr="00685BDE" w14:paraId="13C2942B" w14:textId="77777777" w:rsidTr="3C722D0A">
        <w:trPr>
          <w:trHeight w:val="400"/>
        </w:trPr>
        <w:tc>
          <w:tcPr>
            <w:tcW w:w="9825" w:type="dxa"/>
            <w:gridSpan w:val="5"/>
            <w:tcBorders>
              <w:top w:val="nil"/>
              <w:left w:val="nil"/>
              <w:bottom w:val="single" w:sz="24" w:space="0" w:color="B5333C" w:themeColor="accent2"/>
              <w:right w:val="nil"/>
            </w:tcBorders>
            <w:shd w:val="clear" w:color="auto" w:fill="808080" w:themeFill="background1" w:themeFillShade="80"/>
            <w:tcMar>
              <w:top w:w="0" w:type="dxa"/>
              <w:left w:w="108" w:type="dxa"/>
              <w:bottom w:w="0" w:type="dxa"/>
              <w:right w:w="108" w:type="dxa"/>
            </w:tcMar>
            <w:hideMark/>
          </w:tcPr>
          <w:p w14:paraId="08252329" w14:textId="77777777" w:rsidR="00CF332B" w:rsidRPr="00685BDE" w:rsidRDefault="00CF332B" w:rsidP="00CF332B">
            <w:pPr>
              <w:jc w:val="center"/>
              <w:rPr>
                <w:rFonts w:ascii="Century Gothic" w:hAnsi="Century Gothic"/>
                <w:b/>
                <w:bCs/>
                <w:szCs w:val="22"/>
              </w:rPr>
            </w:pPr>
            <w:bookmarkStart w:id="147" w:name="_Hlk532990653"/>
            <w:r w:rsidRPr="00685BDE">
              <w:rPr>
                <w:rFonts w:ascii="Century Gothic" w:hAnsi="Century Gothic"/>
                <w:b/>
                <w:bCs/>
                <w:szCs w:val="22"/>
              </w:rPr>
              <w:t>SS #5: Households Assisted by Services that Increase Self-Sufficiency</w:t>
            </w:r>
            <w:bookmarkEnd w:id="147"/>
          </w:p>
        </w:tc>
      </w:tr>
      <w:tr w:rsidR="00CF332B" w:rsidRPr="00685BDE" w14:paraId="23DB4269" w14:textId="77777777" w:rsidTr="3C722D0A">
        <w:trPr>
          <w:trHeight w:val="340"/>
        </w:trPr>
        <w:tc>
          <w:tcPr>
            <w:tcW w:w="2535"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2ABAF8E9"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Unit of Measurement</w:t>
            </w:r>
          </w:p>
        </w:tc>
        <w:tc>
          <w:tcPr>
            <w:tcW w:w="1350"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61EBBA77"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Baseline</w:t>
            </w:r>
          </w:p>
        </w:tc>
        <w:tc>
          <w:tcPr>
            <w:tcW w:w="2160"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2B5D4D6F"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Benchmark***</w:t>
            </w:r>
          </w:p>
        </w:tc>
        <w:tc>
          <w:tcPr>
            <w:tcW w:w="2179"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35706BE0" w14:textId="77777777" w:rsidR="00CF332B" w:rsidRPr="00685BDE" w:rsidRDefault="753BE804" w:rsidP="46B3BF7C">
            <w:pPr>
              <w:jc w:val="center"/>
              <w:rPr>
                <w:rFonts w:ascii="Century Gothic" w:hAnsi="Century Gothic"/>
                <w:b/>
                <w:bCs/>
              </w:rPr>
            </w:pPr>
            <w:r w:rsidRPr="00685BDE">
              <w:rPr>
                <w:rFonts w:ascii="Century Gothic" w:hAnsi="Century Gothic"/>
                <w:b/>
                <w:bCs/>
              </w:rPr>
              <w:t>Outcome</w:t>
            </w:r>
          </w:p>
        </w:tc>
        <w:tc>
          <w:tcPr>
            <w:tcW w:w="1601" w:type="dxa"/>
            <w:tcBorders>
              <w:top w:val="nil"/>
              <w:left w:val="nil"/>
              <w:bottom w:val="single" w:sz="8" w:space="0" w:color="D9D9D9" w:themeColor="background1" w:themeShade="D9"/>
              <w:right w:val="nil"/>
            </w:tcBorders>
            <w:shd w:val="clear" w:color="auto" w:fill="BFBFBF" w:themeFill="background1" w:themeFillShade="BF"/>
            <w:tcMar>
              <w:top w:w="0" w:type="dxa"/>
              <w:left w:w="108" w:type="dxa"/>
              <w:bottom w:w="0" w:type="dxa"/>
              <w:right w:w="108" w:type="dxa"/>
            </w:tcMar>
            <w:vAlign w:val="center"/>
            <w:hideMark/>
          </w:tcPr>
          <w:p w14:paraId="34E72DF8"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Benchmark Achieved?</w:t>
            </w:r>
          </w:p>
        </w:tc>
      </w:tr>
      <w:tr w:rsidR="00CF332B" w:rsidRPr="00685BDE" w14:paraId="2028409C" w14:textId="77777777" w:rsidTr="3C722D0A">
        <w:trPr>
          <w:trHeight w:val="1220"/>
        </w:trPr>
        <w:tc>
          <w:tcPr>
            <w:tcW w:w="253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2D8F7C47" w14:textId="77777777" w:rsidR="00CF332B" w:rsidRPr="00685BDE" w:rsidRDefault="00CF332B" w:rsidP="00CF332B">
            <w:pPr>
              <w:rPr>
                <w:rFonts w:ascii="Century Gothic" w:hAnsi="Century Gothic"/>
                <w:szCs w:val="22"/>
              </w:rPr>
            </w:pPr>
            <w:r w:rsidRPr="00685BDE">
              <w:rPr>
                <w:rFonts w:ascii="Century Gothic" w:hAnsi="Century Gothic"/>
                <w:szCs w:val="22"/>
              </w:rPr>
              <w:t>Number of households receiving consultation and/or technical assistance</w:t>
            </w:r>
          </w:p>
        </w:tc>
        <w:tc>
          <w:tcPr>
            <w:tcW w:w="135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749F8A3B" w14:textId="77777777" w:rsidR="00CF332B" w:rsidRPr="00685BDE" w:rsidRDefault="00CF332B" w:rsidP="00CF332B">
            <w:pPr>
              <w:rPr>
                <w:rFonts w:ascii="Century Gothic" w:hAnsi="Century Gothic"/>
                <w:szCs w:val="22"/>
              </w:rPr>
            </w:pPr>
            <w:r w:rsidRPr="00685BDE">
              <w:rPr>
                <w:rFonts w:ascii="Century Gothic" w:hAnsi="Century Gothic"/>
                <w:szCs w:val="22"/>
              </w:rPr>
              <w:t>0</w:t>
            </w:r>
          </w:p>
        </w:tc>
        <w:tc>
          <w:tcPr>
            <w:tcW w:w="216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2786DC7E" w14:textId="77777777" w:rsidR="00CF332B" w:rsidRPr="00685BDE" w:rsidRDefault="1B4A8018" w:rsidP="1B4A8018">
            <w:pPr>
              <w:rPr>
                <w:rFonts w:ascii="Century Gothic" w:eastAsia="Times New Roman" w:hAnsi="Century Gothic"/>
              </w:rPr>
            </w:pPr>
            <w:r w:rsidRPr="00685BDE">
              <w:rPr>
                <w:rFonts w:ascii="Century Gothic" w:eastAsia="Times New Roman" w:hAnsi="Century Gothic"/>
              </w:rPr>
              <w:t xml:space="preserve">65% of school-aged children </w:t>
            </w:r>
          </w:p>
        </w:tc>
        <w:tc>
          <w:tcPr>
            <w:tcW w:w="2179"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hideMark/>
          </w:tcPr>
          <w:p w14:paraId="4C47EE02" w14:textId="71A7399C" w:rsidR="290F1522" w:rsidRDefault="290F1522" w:rsidP="3C722D0A">
            <w:pPr>
              <w:rPr>
                <w:rFonts w:ascii="Century Gothic" w:hAnsi="Century Gothic"/>
              </w:rPr>
            </w:pPr>
            <w:r w:rsidRPr="00685BDE">
              <w:rPr>
                <w:rFonts w:ascii="Century Gothic" w:eastAsia="Times New Roman" w:hAnsi="Century Gothic"/>
              </w:rPr>
              <w:t xml:space="preserve">2024: </w:t>
            </w:r>
            <w:r w:rsidR="082D1A2F" w:rsidRPr="1755F8BD">
              <w:rPr>
                <w:rFonts w:ascii="Century Gothic" w:eastAsia="Times New Roman" w:hAnsi="Century Gothic"/>
              </w:rPr>
              <w:t>34</w:t>
            </w:r>
            <w:r w:rsidR="29D52424" w:rsidRPr="1755F8BD">
              <w:rPr>
                <w:rFonts w:ascii="Century Gothic" w:hAnsi="Century Gothic"/>
              </w:rPr>
              <w:t>% (</w:t>
            </w:r>
            <w:r w:rsidR="5BEA56B1" w:rsidRPr="1755F8BD">
              <w:rPr>
                <w:rFonts w:ascii="Century Gothic" w:hAnsi="Century Gothic"/>
              </w:rPr>
              <w:t>48</w:t>
            </w:r>
            <w:r w:rsidR="4066785F" w:rsidRPr="00685BDE">
              <w:rPr>
                <w:rFonts w:ascii="Century Gothic" w:hAnsi="Century Gothic"/>
              </w:rPr>
              <w:t xml:space="preserve"> households)</w:t>
            </w:r>
          </w:p>
          <w:p w14:paraId="20902332" w14:textId="77777777" w:rsidR="003C45F5" w:rsidRPr="00685BDE" w:rsidRDefault="003C45F5" w:rsidP="3C722D0A">
            <w:pPr>
              <w:rPr>
                <w:rFonts w:ascii="Century Gothic" w:hAnsi="Century Gothic"/>
              </w:rPr>
            </w:pPr>
          </w:p>
          <w:p w14:paraId="669E8C7D" w14:textId="2610B284" w:rsidR="00324BFD" w:rsidRPr="00685BDE" w:rsidRDefault="1C9BF031" w:rsidP="211FCDB6">
            <w:pPr>
              <w:rPr>
                <w:rFonts w:ascii="Century Gothic" w:eastAsia="Times New Roman" w:hAnsi="Century Gothic"/>
              </w:rPr>
            </w:pPr>
            <w:r w:rsidRPr="00685BDE">
              <w:rPr>
                <w:rFonts w:ascii="Century Gothic" w:eastAsia="Times New Roman" w:hAnsi="Century Gothic"/>
              </w:rPr>
              <w:t xml:space="preserve">2023: </w:t>
            </w:r>
            <w:r w:rsidR="4F5CA3E6" w:rsidRPr="00685BDE">
              <w:rPr>
                <w:rFonts w:ascii="Century Gothic" w:eastAsia="Times New Roman" w:hAnsi="Century Gothic"/>
              </w:rPr>
              <w:t xml:space="preserve">7% </w:t>
            </w:r>
            <w:r w:rsidR="4317C1DA" w:rsidRPr="00685BDE">
              <w:rPr>
                <w:rFonts w:ascii="Century Gothic" w:eastAsia="Times New Roman" w:hAnsi="Century Gothic"/>
              </w:rPr>
              <w:t xml:space="preserve">9 </w:t>
            </w:r>
          </w:p>
          <w:p w14:paraId="17BBB4CE" w14:textId="562B6171" w:rsidR="00CF332B" w:rsidRPr="00685BDE" w:rsidRDefault="11832EAF" w:rsidP="145A5A95">
            <w:pPr>
              <w:rPr>
                <w:rFonts w:ascii="Century Gothic" w:eastAsia="Times New Roman" w:hAnsi="Century Gothic"/>
              </w:rPr>
            </w:pPr>
            <w:r w:rsidRPr="00685BDE">
              <w:rPr>
                <w:rFonts w:ascii="Century Gothic" w:eastAsia="Times New Roman" w:hAnsi="Century Gothic"/>
              </w:rPr>
              <w:t>2022: 10</w:t>
            </w:r>
          </w:p>
          <w:p w14:paraId="7C69B31C" w14:textId="3470B9EA" w:rsidR="00CF332B" w:rsidRPr="00685BDE" w:rsidRDefault="11832EAF" w:rsidP="145A5A95">
            <w:pPr>
              <w:rPr>
                <w:rFonts w:ascii="Century Gothic" w:eastAsia="Times New Roman" w:hAnsi="Century Gothic"/>
              </w:rPr>
            </w:pPr>
            <w:r w:rsidRPr="00685BDE">
              <w:rPr>
                <w:rFonts w:ascii="Century Gothic" w:eastAsia="Times New Roman" w:hAnsi="Century Gothic"/>
              </w:rPr>
              <w:t>2021:6</w:t>
            </w:r>
          </w:p>
          <w:p w14:paraId="0AD99CD3" w14:textId="5AC85E71" w:rsidR="00CF332B" w:rsidRPr="00685BDE" w:rsidRDefault="11832EAF" w:rsidP="145A5A95">
            <w:pPr>
              <w:rPr>
                <w:rFonts w:ascii="Century Gothic" w:eastAsia="Times New Roman" w:hAnsi="Century Gothic"/>
              </w:rPr>
            </w:pPr>
            <w:r w:rsidRPr="00685BDE">
              <w:rPr>
                <w:rFonts w:ascii="Century Gothic" w:eastAsia="Times New Roman" w:hAnsi="Century Gothic"/>
              </w:rPr>
              <w:t>2020: 16</w:t>
            </w:r>
          </w:p>
        </w:tc>
        <w:tc>
          <w:tcPr>
            <w:tcW w:w="1601" w:type="dxa"/>
            <w:tcBorders>
              <w:top w:val="nil"/>
              <w:left w:val="nil"/>
              <w:bottom w:val="single" w:sz="8" w:space="0" w:color="D9D9D9" w:themeColor="background1" w:themeShade="D9"/>
              <w:right w:val="nil"/>
            </w:tcBorders>
            <w:tcMar>
              <w:top w:w="0" w:type="dxa"/>
              <w:left w:w="108" w:type="dxa"/>
              <w:bottom w:w="0" w:type="dxa"/>
              <w:right w:w="108" w:type="dxa"/>
            </w:tcMar>
            <w:hideMark/>
          </w:tcPr>
          <w:p w14:paraId="5962035F" w14:textId="5E676E9E" w:rsidR="00CF332B" w:rsidRPr="00685BDE" w:rsidRDefault="6093BF58" w:rsidP="145A5A95">
            <w:pPr>
              <w:rPr>
                <w:rFonts w:ascii="Century Gothic" w:hAnsi="Century Gothic"/>
              </w:rPr>
            </w:pPr>
            <w:r w:rsidRPr="00685BDE">
              <w:rPr>
                <w:rFonts w:ascii="Century Gothic" w:hAnsi="Century Gothic"/>
              </w:rPr>
              <w:t>No</w:t>
            </w:r>
            <w:r w:rsidR="56652582" w:rsidRPr="00685BDE">
              <w:rPr>
                <w:rFonts w:ascii="Century Gothic" w:hAnsi="Century Gothic"/>
              </w:rPr>
              <w:t xml:space="preserve"> </w:t>
            </w:r>
          </w:p>
        </w:tc>
      </w:tr>
    </w:tbl>
    <w:p w14:paraId="432EF278" w14:textId="77777777" w:rsidR="00CF332B" w:rsidRPr="00685BDE" w:rsidRDefault="00CF332B" w:rsidP="00CF332B">
      <w:pPr>
        <w:rPr>
          <w:rFonts w:ascii="Century Gothic" w:hAnsi="Century Gothic"/>
          <w:b/>
          <w:bCs/>
          <w:szCs w:val="22"/>
        </w:rPr>
      </w:pPr>
    </w:p>
    <w:tbl>
      <w:tblPr>
        <w:tblW w:w="9624" w:type="dxa"/>
        <w:shd w:val="clear" w:color="auto" w:fill="FFFFFF"/>
        <w:tblCellMar>
          <w:left w:w="0" w:type="dxa"/>
          <w:right w:w="0" w:type="dxa"/>
        </w:tblCellMar>
        <w:tblLook w:val="04A0" w:firstRow="1" w:lastRow="0" w:firstColumn="1" w:lastColumn="0" w:noHBand="0" w:noVBand="1"/>
      </w:tblPr>
      <w:tblGrid>
        <w:gridCol w:w="1896"/>
        <w:gridCol w:w="59"/>
        <w:gridCol w:w="1404"/>
        <w:gridCol w:w="48"/>
        <w:gridCol w:w="1845"/>
        <w:gridCol w:w="172"/>
        <w:gridCol w:w="2480"/>
        <w:gridCol w:w="172"/>
        <w:gridCol w:w="1548"/>
      </w:tblGrid>
      <w:tr w:rsidR="00CF332B" w:rsidRPr="00685BDE" w14:paraId="7FB13447" w14:textId="77777777" w:rsidTr="188A1EBF">
        <w:trPr>
          <w:trHeight w:val="400"/>
        </w:trPr>
        <w:tc>
          <w:tcPr>
            <w:tcW w:w="9624" w:type="dxa"/>
            <w:gridSpan w:val="9"/>
            <w:tcBorders>
              <w:top w:val="nil"/>
              <w:left w:val="single" w:sz="8" w:space="0" w:color="D9D9D9" w:themeColor="background1" w:themeShade="D9"/>
              <w:bottom w:val="single" w:sz="24" w:space="0" w:color="B5333C" w:themeColor="accent2"/>
              <w:right w:val="single" w:sz="8" w:space="0" w:color="D9D9D9" w:themeColor="background1" w:themeShade="D9"/>
            </w:tcBorders>
            <w:shd w:val="clear" w:color="auto" w:fill="808080" w:themeFill="background1" w:themeFillShade="80"/>
            <w:tcMar>
              <w:top w:w="0" w:type="dxa"/>
              <w:left w:w="108" w:type="dxa"/>
              <w:bottom w:w="0" w:type="dxa"/>
              <w:right w:w="108" w:type="dxa"/>
            </w:tcMar>
            <w:hideMark/>
          </w:tcPr>
          <w:p w14:paraId="7B18C101"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Enrollment</w:t>
            </w:r>
          </w:p>
        </w:tc>
      </w:tr>
      <w:tr w:rsidR="00CF332B" w:rsidRPr="00685BDE" w14:paraId="0BDB6C2D" w14:textId="77777777" w:rsidTr="188A1EBF">
        <w:trPr>
          <w:trHeight w:val="320"/>
        </w:trPr>
        <w:tc>
          <w:tcPr>
            <w:tcW w:w="1955" w:type="dxa"/>
            <w:gridSpan w:val="2"/>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4C2F7DCE"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Unit of Measurement</w:t>
            </w:r>
          </w:p>
        </w:tc>
        <w:tc>
          <w:tcPr>
            <w:tcW w:w="1452" w:type="dxa"/>
            <w:gridSpan w:val="2"/>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54FA24F9"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Baseline</w:t>
            </w:r>
          </w:p>
        </w:tc>
        <w:tc>
          <w:tcPr>
            <w:tcW w:w="2017" w:type="dxa"/>
            <w:gridSpan w:val="2"/>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1B6935D5"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Benchmark</w:t>
            </w:r>
          </w:p>
        </w:tc>
        <w:tc>
          <w:tcPr>
            <w:tcW w:w="2652" w:type="dxa"/>
            <w:gridSpan w:val="2"/>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2E42E9E5"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Outcome</w:t>
            </w:r>
          </w:p>
        </w:tc>
        <w:tc>
          <w:tcPr>
            <w:tcW w:w="1548"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hideMark/>
          </w:tcPr>
          <w:p w14:paraId="5813D4E6"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Benchmark Achieved?</w:t>
            </w:r>
          </w:p>
        </w:tc>
      </w:tr>
      <w:tr w:rsidR="00CF332B" w:rsidRPr="00685BDE" w14:paraId="49E20D45" w14:textId="77777777" w:rsidTr="188A1EBF">
        <w:trPr>
          <w:trHeight w:val="710"/>
        </w:trPr>
        <w:tc>
          <w:tcPr>
            <w:tcW w:w="1955" w:type="dxa"/>
            <w:gridSpan w:val="2"/>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7BD1AE0B" w14:textId="77777777" w:rsidR="00CF332B" w:rsidRPr="00685BDE" w:rsidRDefault="00CF332B" w:rsidP="00CF332B">
            <w:pPr>
              <w:rPr>
                <w:rFonts w:ascii="Century Gothic" w:hAnsi="Century Gothic"/>
                <w:szCs w:val="22"/>
              </w:rPr>
            </w:pPr>
            <w:r w:rsidRPr="00685BDE">
              <w:rPr>
                <w:rFonts w:ascii="Century Gothic" w:hAnsi="Century Gothic"/>
                <w:szCs w:val="22"/>
              </w:rPr>
              <w:t>Number of children at each session</w:t>
            </w:r>
          </w:p>
        </w:tc>
        <w:tc>
          <w:tcPr>
            <w:tcW w:w="1452"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360EE8F0" w14:textId="77777777" w:rsidR="00CF332B" w:rsidRPr="00685BDE" w:rsidRDefault="00CF332B" w:rsidP="00CF332B">
            <w:pPr>
              <w:rPr>
                <w:rFonts w:ascii="Century Gothic" w:hAnsi="Century Gothic"/>
                <w:szCs w:val="22"/>
              </w:rPr>
            </w:pPr>
            <w:r w:rsidRPr="00685BDE">
              <w:rPr>
                <w:rFonts w:ascii="Century Gothic" w:hAnsi="Century Gothic"/>
                <w:szCs w:val="22"/>
              </w:rPr>
              <w:t>10</w:t>
            </w:r>
          </w:p>
        </w:tc>
        <w:tc>
          <w:tcPr>
            <w:tcW w:w="2017"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750B0C49" w14:textId="77777777" w:rsidR="00CF332B" w:rsidRPr="00685BDE" w:rsidRDefault="00CF332B" w:rsidP="00CF332B">
            <w:pPr>
              <w:rPr>
                <w:rFonts w:ascii="Century Gothic" w:hAnsi="Century Gothic"/>
                <w:szCs w:val="22"/>
              </w:rPr>
            </w:pPr>
            <w:r w:rsidRPr="00685BDE">
              <w:rPr>
                <w:rFonts w:ascii="Century Gothic" w:hAnsi="Century Gothic"/>
                <w:szCs w:val="22"/>
              </w:rPr>
              <w:t xml:space="preserve">10% Annual Increase </w:t>
            </w:r>
          </w:p>
        </w:tc>
        <w:tc>
          <w:tcPr>
            <w:tcW w:w="2652"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tcPr>
          <w:p w14:paraId="7E26FB08" w14:textId="0CF12DDF" w:rsidR="4F1A1AEF" w:rsidRDefault="07DB4BFE" w:rsidP="3C722D0A">
            <w:pPr>
              <w:rPr>
                <w:rFonts w:ascii="Century Gothic" w:hAnsi="Century Gothic"/>
              </w:rPr>
            </w:pPr>
            <w:r w:rsidRPr="188A1EBF">
              <w:rPr>
                <w:rFonts w:ascii="Century Gothic" w:hAnsi="Century Gothic"/>
              </w:rPr>
              <w:t>2024:</w:t>
            </w:r>
            <w:r w:rsidR="07FB2998" w:rsidRPr="188A1EBF">
              <w:rPr>
                <w:rFonts w:ascii="Century Gothic" w:hAnsi="Century Gothic"/>
              </w:rPr>
              <w:t xml:space="preserve"> </w:t>
            </w:r>
            <w:r w:rsidR="07308F9A" w:rsidRPr="188A1EBF">
              <w:rPr>
                <w:rFonts w:ascii="Century Gothic" w:hAnsi="Century Gothic"/>
              </w:rPr>
              <w:t>6</w:t>
            </w:r>
            <w:r w:rsidR="07FB2998" w:rsidRPr="188A1EBF">
              <w:rPr>
                <w:rFonts w:ascii="Century Gothic" w:hAnsi="Century Gothic"/>
              </w:rPr>
              <w:t xml:space="preserve"> (</w:t>
            </w:r>
            <w:r w:rsidR="52B7B7A7" w:rsidRPr="188A1EBF">
              <w:rPr>
                <w:rFonts w:ascii="Century Gothic" w:hAnsi="Century Gothic"/>
              </w:rPr>
              <w:t>0% increase)</w:t>
            </w:r>
          </w:p>
          <w:p w14:paraId="37C9B9F7" w14:textId="77777777" w:rsidR="003D3192" w:rsidRPr="00685BDE" w:rsidRDefault="003D3192" w:rsidP="3C722D0A">
            <w:pPr>
              <w:rPr>
                <w:rFonts w:ascii="Century Gothic" w:hAnsi="Century Gothic"/>
              </w:rPr>
            </w:pPr>
          </w:p>
          <w:p w14:paraId="7A2A8600" w14:textId="40840B1A" w:rsidR="00324BFD" w:rsidRPr="00685BDE" w:rsidRDefault="0A9A6B67" w:rsidP="145A5A95">
            <w:pPr>
              <w:rPr>
                <w:rFonts w:ascii="Century Gothic" w:eastAsia="Times New Roman" w:hAnsi="Century Gothic"/>
              </w:rPr>
            </w:pPr>
            <w:r w:rsidRPr="00685BDE">
              <w:rPr>
                <w:rFonts w:ascii="Century Gothic" w:hAnsi="Century Gothic"/>
              </w:rPr>
              <w:t xml:space="preserve">2023: </w:t>
            </w:r>
            <w:r w:rsidR="7496E597" w:rsidRPr="00685BDE">
              <w:rPr>
                <w:rFonts w:ascii="Century Gothic" w:hAnsi="Century Gothic"/>
              </w:rPr>
              <w:t>6</w:t>
            </w:r>
            <w:r w:rsidR="24A00D48" w:rsidRPr="00685BDE">
              <w:rPr>
                <w:rFonts w:ascii="Century Gothic" w:hAnsi="Century Gothic"/>
              </w:rPr>
              <w:t xml:space="preserve"> (</w:t>
            </w:r>
            <w:r w:rsidR="5F6D6C6A" w:rsidRPr="00685BDE">
              <w:rPr>
                <w:rFonts w:ascii="Century Gothic" w:hAnsi="Century Gothic"/>
              </w:rPr>
              <w:t>25%</w:t>
            </w:r>
            <w:r w:rsidR="64F086F9" w:rsidRPr="00685BDE">
              <w:rPr>
                <w:rFonts w:ascii="Century Gothic" w:hAnsi="Century Gothic"/>
              </w:rPr>
              <w:t xml:space="preserve"> </w:t>
            </w:r>
            <w:r w:rsidR="5F6D6C6A" w:rsidRPr="00685BDE">
              <w:rPr>
                <w:rFonts w:ascii="Century Gothic" w:hAnsi="Century Gothic"/>
              </w:rPr>
              <w:t>decrease</w:t>
            </w:r>
            <w:r w:rsidR="71295F04" w:rsidRPr="00685BDE">
              <w:rPr>
                <w:rFonts w:ascii="Century Gothic" w:eastAsia="Times New Roman" w:hAnsi="Century Gothic"/>
              </w:rPr>
              <w:t xml:space="preserve">) </w:t>
            </w:r>
          </w:p>
          <w:p w14:paraId="30A47713" w14:textId="3E638626" w:rsidR="1B4A8018" w:rsidRPr="00685BDE" w:rsidRDefault="11832EAF" w:rsidP="1B4A8018">
            <w:pPr>
              <w:rPr>
                <w:rFonts w:ascii="Century Gothic" w:hAnsi="Century Gothic"/>
              </w:rPr>
            </w:pPr>
            <w:r w:rsidRPr="00685BDE">
              <w:rPr>
                <w:rFonts w:ascii="Century Gothic" w:hAnsi="Century Gothic"/>
              </w:rPr>
              <w:t>2022: 8 (</w:t>
            </w:r>
            <w:r w:rsidR="26F8D1BD" w:rsidRPr="00685BDE">
              <w:rPr>
                <w:rFonts w:ascii="Century Gothic" w:hAnsi="Century Gothic"/>
              </w:rPr>
              <w:t>1</w:t>
            </w:r>
            <w:r w:rsidR="54856CA6" w:rsidRPr="00685BDE">
              <w:rPr>
                <w:rFonts w:ascii="Century Gothic" w:hAnsi="Century Gothic"/>
              </w:rPr>
              <w:t>0</w:t>
            </w:r>
            <w:r w:rsidR="26F8D1BD" w:rsidRPr="00685BDE">
              <w:rPr>
                <w:rFonts w:ascii="Century Gothic" w:hAnsi="Century Gothic"/>
              </w:rPr>
              <w:t>0% increase</w:t>
            </w:r>
            <w:r w:rsidRPr="00685BDE">
              <w:rPr>
                <w:rFonts w:ascii="Century Gothic" w:hAnsi="Century Gothic"/>
              </w:rPr>
              <w:t>)</w:t>
            </w:r>
          </w:p>
          <w:p w14:paraId="19425407" w14:textId="1ED0495B" w:rsidR="00341EAF" w:rsidRPr="00685BDE" w:rsidRDefault="1B4A8018" w:rsidP="00CF332B">
            <w:pPr>
              <w:rPr>
                <w:rFonts w:ascii="Century Gothic" w:hAnsi="Century Gothic"/>
              </w:rPr>
            </w:pPr>
            <w:r w:rsidRPr="00685BDE">
              <w:rPr>
                <w:rFonts w:ascii="Century Gothic" w:hAnsi="Century Gothic"/>
              </w:rPr>
              <w:t xml:space="preserve">2021: 4 </w:t>
            </w:r>
            <w:r w:rsidR="00324BFD" w:rsidRPr="00685BDE">
              <w:rPr>
                <w:rFonts w:ascii="Century Gothic" w:hAnsi="Century Gothic"/>
              </w:rPr>
              <w:t>(60% decrease)</w:t>
            </w:r>
          </w:p>
          <w:p w14:paraId="43E34933" w14:textId="5293B45F" w:rsidR="00CF332B" w:rsidRPr="00685BDE" w:rsidRDefault="00CF332B" w:rsidP="00CF332B">
            <w:pPr>
              <w:rPr>
                <w:rFonts w:ascii="Century Gothic" w:hAnsi="Century Gothic"/>
              </w:rPr>
            </w:pPr>
            <w:r w:rsidRPr="00685BDE">
              <w:rPr>
                <w:rFonts w:ascii="Century Gothic" w:hAnsi="Century Gothic"/>
              </w:rPr>
              <w:t xml:space="preserve">2020: 10 </w:t>
            </w:r>
          </w:p>
          <w:p w14:paraId="14DCE1E5" w14:textId="07FB4359" w:rsidR="00CF332B" w:rsidRPr="00685BDE" w:rsidRDefault="00CF332B" w:rsidP="00CF332B">
            <w:pPr>
              <w:rPr>
                <w:rFonts w:ascii="Century Gothic" w:hAnsi="Century Gothic"/>
              </w:rPr>
            </w:pPr>
          </w:p>
        </w:tc>
        <w:tc>
          <w:tcPr>
            <w:tcW w:w="1548" w:type="dxa"/>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78D2CBD1" w14:textId="632712B8" w:rsidR="00CF332B" w:rsidRPr="00685BDE" w:rsidRDefault="00DC2DD7" w:rsidP="1B4A8018">
            <w:pPr>
              <w:rPr>
                <w:rFonts w:ascii="Century Gothic" w:hAnsi="Century Gothic"/>
              </w:rPr>
            </w:pPr>
            <w:r>
              <w:rPr>
                <w:rFonts w:ascii="Century Gothic" w:hAnsi="Century Gothic"/>
              </w:rPr>
              <w:t>N</w:t>
            </w:r>
            <w:r w:rsidR="47FBC733" w:rsidRPr="188A1EBF">
              <w:rPr>
                <w:rFonts w:ascii="Century Gothic" w:hAnsi="Century Gothic"/>
              </w:rPr>
              <w:t>o</w:t>
            </w:r>
            <w:r w:rsidR="1302A259" w:rsidRPr="188A1EBF">
              <w:rPr>
                <w:rFonts w:ascii="Century Gothic" w:hAnsi="Century Gothic"/>
              </w:rPr>
              <w:t xml:space="preserve"> </w:t>
            </w:r>
          </w:p>
        </w:tc>
      </w:tr>
      <w:tr w:rsidR="00CF332B" w:rsidRPr="00685BDE" w14:paraId="14668B27" w14:textId="77777777" w:rsidTr="188A1EBF">
        <w:trPr>
          <w:trHeight w:val="1220"/>
        </w:trPr>
        <w:tc>
          <w:tcPr>
            <w:tcW w:w="1955" w:type="dxa"/>
            <w:gridSpan w:val="2"/>
            <w:tcBorders>
              <w:top w:val="nil"/>
              <w:left w:val="single" w:sz="8" w:space="0" w:color="D9D9D9" w:themeColor="background1" w:themeShade="D9"/>
              <w:bottom w:val="nil"/>
              <w:right w:val="single" w:sz="8" w:space="0" w:color="D9D9D9" w:themeColor="background1" w:themeShade="D9"/>
            </w:tcBorders>
            <w:shd w:val="clear" w:color="auto" w:fill="FFFFFF" w:themeFill="background1"/>
            <w:tcMar>
              <w:top w:w="0" w:type="dxa"/>
              <w:left w:w="108" w:type="dxa"/>
              <w:bottom w:w="0" w:type="dxa"/>
              <w:right w:w="108" w:type="dxa"/>
            </w:tcMar>
            <w:hideMark/>
          </w:tcPr>
          <w:p w14:paraId="0023E75D" w14:textId="77777777" w:rsidR="00CF332B" w:rsidRPr="00685BDE" w:rsidRDefault="00CF332B" w:rsidP="00CF332B">
            <w:pPr>
              <w:rPr>
                <w:rFonts w:ascii="Century Gothic" w:hAnsi="Century Gothic"/>
                <w:szCs w:val="22"/>
              </w:rPr>
            </w:pPr>
            <w:r w:rsidRPr="00685BDE">
              <w:rPr>
                <w:rFonts w:ascii="Century Gothic" w:hAnsi="Century Gothic"/>
                <w:szCs w:val="22"/>
              </w:rPr>
              <w:t>Minimum of 15 children enrolled over the course of the year</w:t>
            </w:r>
          </w:p>
        </w:tc>
        <w:tc>
          <w:tcPr>
            <w:tcW w:w="1452" w:type="dxa"/>
            <w:gridSpan w:val="2"/>
            <w:tcBorders>
              <w:top w:val="nil"/>
              <w:left w:val="nil"/>
              <w:bottom w:val="nil"/>
              <w:right w:val="single" w:sz="8" w:space="0" w:color="D9D9D9" w:themeColor="background1" w:themeShade="D9"/>
            </w:tcBorders>
            <w:shd w:val="clear" w:color="auto" w:fill="FFFFFF" w:themeFill="background1"/>
            <w:tcMar>
              <w:top w:w="0" w:type="dxa"/>
              <w:left w:w="108" w:type="dxa"/>
              <w:bottom w:w="0" w:type="dxa"/>
              <w:right w:w="108" w:type="dxa"/>
            </w:tcMar>
            <w:hideMark/>
          </w:tcPr>
          <w:p w14:paraId="7C6F7F59" w14:textId="77777777" w:rsidR="00CF332B" w:rsidRPr="00685BDE" w:rsidRDefault="00CF332B" w:rsidP="00CF332B">
            <w:pPr>
              <w:rPr>
                <w:rFonts w:ascii="Century Gothic" w:hAnsi="Century Gothic"/>
                <w:szCs w:val="22"/>
              </w:rPr>
            </w:pPr>
            <w:r w:rsidRPr="00685BDE">
              <w:rPr>
                <w:rFonts w:ascii="Century Gothic" w:hAnsi="Century Gothic"/>
                <w:szCs w:val="22"/>
              </w:rPr>
              <w:t>20</w:t>
            </w:r>
          </w:p>
        </w:tc>
        <w:tc>
          <w:tcPr>
            <w:tcW w:w="2017" w:type="dxa"/>
            <w:gridSpan w:val="2"/>
            <w:tcBorders>
              <w:top w:val="nil"/>
              <w:left w:val="nil"/>
              <w:bottom w:val="nil"/>
              <w:right w:val="single" w:sz="8" w:space="0" w:color="D9D9D9" w:themeColor="background1" w:themeShade="D9"/>
            </w:tcBorders>
            <w:shd w:val="clear" w:color="auto" w:fill="FFFFFF" w:themeFill="background1"/>
            <w:tcMar>
              <w:top w:w="0" w:type="dxa"/>
              <w:left w:w="108" w:type="dxa"/>
              <w:bottom w:w="0" w:type="dxa"/>
              <w:right w:w="108" w:type="dxa"/>
            </w:tcMar>
            <w:hideMark/>
          </w:tcPr>
          <w:p w14:paraId="5C756BBF" w14:textId="77777777" w:rsidR="00CF332B" w:rsidRPr="00685BDE" w:rsidRDefault="00CF332B" w:rsidP="00CF332B">
            <w:pPr>
              <w:rPr>
                <w:rFonts w:ascii="Century Gothic" w:hAnsi="Century Gothic"/>
                <w:szCs w:val="22"/>
              </w:rPr>
            </w:pPr>
            <w:r w:rsidRPr="00685BDE">
              <w:rPr>
                <w:rFonts w:ascii="Century Gothic" w:hAnsi="Century Gothic"/>
                <w:szCs w:val="22"/>
              </w:rPr>
              <w:t>5% Annual increase</w:t>
            </w:r>
          </w:p>
        </w:tc>
        <w:tc>
          <w:tcPr>
            <w:tcW w:w="2652" w:type="dxa"/>
            <w:gridSpan w:val="2"/>
            <w:tcBorders>
              <w:top w:val="nil"/>
              <w:left w:val="nil"/>
              <w:bottom w:val="nil"/>
              <w:right w:val="single" w:sz="8" w:space="0" w:color="D9D9D9" w:themeColor="background1" w:themeShade="D9"/>
            </w:tcBorders>
            <w:shd w:val="clear" w:color="auto" w:fill="FFFFFF" w:themeFill="background1"/>
            <w:tcMar>
              <w:top w:w="0" w:type="dxa"/>
              <w:left w:w="108" w:type="dxa"/>
              <w:bottom w:w="0" w:type="dxa"/>
              <w:right w:w="108" w:type="dxa"/>
            </w:tcMar>
            <w:hideMark/>
          </w:tcPr>
          <w:p w14:paraId="3D31F1F4" w14:textId="5D5E083A" w:rsidR="136E15F1" w:rsidRDefault="66BACA63" w:rsidP="188A1EBF">
            <w:pPr>
              <w:rPr>
                <w:rFonts w:ascii="Century Gothic" w:hAnsi="Century Gothic"/>
              </w:rPr>
            </w:pPr>
            <w:r w:rsidRPr="188A1EBF">
              <w:rPr>
                <w:rFonts w:ascii="Century Gothic" w:hAnsi="Century Gothic"/>
              </w:rPr>
              <w:t>2024:</w:t>
            </w:r>
            <w:r w:rsidR="798BF650" w:rsidRPr="188A1EBF">
              <w:rPr>
                <w:rFonts w:ascii="Century Gothic" w:hAnsi="Century Gothic"/>
              </w:rPr>
              <w:t xml:space="preserve"> </w:t>
            </w:r>
            <w:r w:rsidR="184853BB" w:rsidRPr="188A1EBF">
              <w:rPr>
                <w:rFonts w:ascii="Century Gothic" w:hAnsi="Century Gothic"/>
              </w:rPr>
              <w:t>48</w:t>
            </w:r>
            <w:r w:rsidR="798BF650" w:rsidRPr="188A1EBF">
              <w:rPr>
                <w:rFonts w:ascii="Century Gothic" w:hAnsi="Century Gothic"/>
              </w:rPr>
              <w:t xml:space="preserve"> (</w:t>
            </w:r>
            <w:r w:rsidR="0AC0E39C" w:rsidRPr="188A1EBF">
              <w:rPr>
                <w:rFonts w:ascii="Century Gothic" w:hAnsi="Century Gothic"/>
              </w:rPr>
              <w:t>700% increase)</w:t>
            </w:r>
          </w:p>
          <w:p w14:paraId="1F2789F8" w14:textId="77777777" w:rsidR="003D3192" w:rsidRPr="00685BDE" w:rsidRDefault="003D3192" w:rsidP="188A1EBF">
            <w:pPr>
              <w:rPr>
                <w:rFonts w:ascii="Century Gothic" w:hAnsi="Century Gothic"/>
                <w:highlight w:val="yellow"/>
              </w:rPr>
            </w:pPr>
          </w:p>
          <w:p w14:paraId="6CF93DB5" w14:textId="5527442E" w:rsidR="00F4125A" w:rsidRPr="00685BDE" w:rsidRDefault="10B2E97A" w:rsidP="56558BA2">
            <w:pPr>
              <w:rPr>
                <w:rFonts w:ascii="Century Gothic" w:eastAsia="Times New Roman" w:hAnsi="Century Gothic"/>
              </w:rPr>
            </w:pPr>
            <w:r w:rsidRPr="00685BDE">
              <w:rPr>
                <w:rFonts w:ascii="Century Gothic" w:hAnsi="Century Gothic"/>
              </w:rPr>
              <w:t xml:space="preserve">2023: </w:t>
            </w:r>
            <w:r w:rsidR="53E350F8" w:rsidRPr="00685BDE">
              <w:rPr>
                <w:rFonts w:ascii="Century Gothic" w:hAnsi="Century Gothic"/>
              </w:rPr>
              <w:t>6</w:t>
            </w:r>
            <w:r w:rsidR="16C3D399" w:rsidRPr="00685BDE">
              <w:rPr>
                <w:rFonts w:ascii="Century Gothic" w:hAnsi="Century Gothic"/>
              </w:rPr>
              <w:t xml:space="preserve"> </w:t>
            </w:r>
            <w:r w:rsidR="09CE048F" w:rsidRPr="00685BDE">
              <w:rPr>
                <w:rFonts w:ascii="Century Gothic" w:hAnsi="Century Gothic"/>
              </w:rPr>
              <w:t>(40</w:t>
            </w:r>
            <w:r w:rsidRPr="00685BDE">
              <w:rPr>
                <w:rFonts w:ascii="Century Gothic" w:eastAsia="Times New Roman" w:hAnsi="Century Gothic"/>
              </w:rPr>
              <w:t>%</w:t>
            </w:r>
            <w:r w:rsidR="1B7B11FE" w:rsidRPr="00685BDE">
              <w:rPr>
                <w:rFonts w:ascii="Century Gothic" w:eastAsia="Times New Roman" w:hAnsi="Century Gothic"/>
              </w:rPr>
              <w:t xml:space="preserve"> </w:t>
            </w:r>
            <w:r w:rsidR="78DB1DD7" w:rsidRPr="00685BDE">
              <w:rPr>
                <w:rFonts w:ascii="Century Gothic" w:eastAsia="Times New Roman" w:hAnsi="Century Gothic"/>
              </w:rPr>
              <w:t>decrease)</w:t>
            </w:r>
          </w:p>
          <w:p w14:paraId="051462B9" w14:textId="2E0D53D8" w:rsidR="1B4A8018" w:rsidRPr="00685BDE" w:rsidRDefault="1B4A8018" w:rsidP="1B4A8018">
            <w:pPr>
              <w:rPr>
                <w:rFonts w:ascii="Century Gothic" w:hAnsi="Century Gothic"/>
              </w:rPr>
            </w:pPr>
            <w:r w:rsidRPr="00685BDE">
              <w:rPr>
                <w:rFonts w:ascii="Century Gothic" w:hAnsi="Century Gothic"/>
              </w:rPr>
              <w:t>2022: 10</w:t>
            </w:r>
            <w:r w:rsidR="00324BFD" w:rsidRPr="00685BDE">
              <w:rPr>
                <w:rFonts w:ascii="Century Gothic" w:hAnsi="Century Gothic"/>
              </w:rPr>
              <w:t xml:space="preserve"> (67% increase)</w:t>
            </w:r>
          </w:p>
          <w:p w14:paraId="727F3D24" w14:textId="46AC5C0A" w:rsidR="00CF332B" w:rsidRPr="00685BDE" w:rsidRDefault="1B4A8018" w:rsidP="332E49E3">
            <w:pPr>
              <w:rPr>
                <w:rFonts w:ascii="Century Gothic" w:hAnsi="Century Gothic"/>
              </w:rPr>
            </w:pPr>
            <w:r w:rsidRPr="00685BDE">
              <w:rPr>
                <w:rFonts w:ascii="Century Gothic" w:hAnsi="Century Gothic"/>
              </w:rPr>
              <w:t xml:space="preserve">2021: 6 </w:t>
            </w:r>
            <w:r w:rsidR="00324BFD" w:rsidRPr="00685BDE">
              <w:rPr>
                <w:rFonts w:ascii="Century Gothic" w:hAnsi="Century Gothic"/>
              </w:rPr>
              <w:t>(40% decrease)</w:t>
            </w:r>
          </w:p>
          <w:p w14:paraId="1FB374B3" w14:textId="5293B45F" w:rsidR="00CF332B" w:rsidRPr="00685BDE" w:rsidRDefault="00CF332B" w:rsidP="00CF332B">
            <w:pPr>
              <w:rPr>
                <w:rFonts w:ascii="Century Gothic" w:hAnsi="Century Gothic"/>
              </w:rPr>
            </w:pPr>
            <w:r w:rsidRPr="00685BDE">
              <w:rPr>
                <w:rFonts w:ascii="Century Gothic" w:hAnsi="Century Gothic"/>
              </w:rPr>
              <w:t>2020: 10</w:t>
            </w:r>
          </w:p>
          <w:p w14:paraId="66B051C8" w14:textId="4E960A89" w:rsidR="00CF332B" w:rsidRPr="00685BDE" w:rsidRDefault="00CF332B" w:rsidP="00CF332B">
            <w:pPr>
              <w:rPr>
                <w:rFonts w:ascii="Century Gothic" w:hAnsi="Century Gothic"/>
                <w:szCs w:val="22"/>
              </w:rPr>
            </w:pPr>
          </w:p>
        </w:tc>
        <w:tc>
          <w:tcPr>
            <w:tcW w:w="1548" w:type="dxa"/>
            <w:tcBorders>
              <w:top w:val="nil"/>
              <w:left w:val="nil"/>
              <w:bottom w:val="nil"/>
              <w:right w:val="single" w:sz="8" w:space="0" w:color="D9D9D9" w:themeColor="background1" w:themeShade="D9"/>
            </w:tcBorders>
            <w:shd w:val="clear" w:color="auto" w:fill="FFFFFF" w:themeFill="background1"/>
            <w:tcMar>
              <w:top w:w="0" w:type="dxa"/>
              <w:left w:w="108" w:type="dxa"/>
              <w:bottom w:w="0" w:type="dxa"/>
              <w:right w:w="108" w:type="dxa"/>
            </w:tcMar>
            <w:hideMark/>
          </w:tcPr>
          <w:p w14:paraId="153E5C45" w14:textId="0FAD856D" w:rsidR="00CF332B" w:rsidRPr="00685BDE" w:rsidRDefault="00DC2DD7" w:rsidP="188A1EBF">
            <w:r>
              <w:rPr>
                <w:rFonts w:ascii="Century Gothic" w:hAnsi="Century Gothic"/>
              </w:rPr>
              <w:t>Y</w:t>
            </w:r>
            <w:r w:rsidR="11BD52D9" w:rsidRPr="188A1EBF">
              <w:rPr>
                <w:rFonts w:ascii="Century Gothic" w:hAnsi="Century Gothic"/>
              </w:rPr>
              <w:t>es</w:t>
            </w:r>
          </w:p>
        </w:tc>
      </w:tr>
      <w:tr w:rsidR="00CF332B" w:rsidRPr="00685BDE" w14:paraId="1E24FEF2" w14:textId="77777777" w:rsidTr="188A1EBF">
        <w:trPr>
          <w:trHeight w:val="400"/>
        </w:trPr>
        <w:tc>
          <w:tcPr>
            <w:tcW w:w="9624" w:type="dxa"/>
            <w:gridSpan w:val="9"/>
            <w:tcBorders>
              <w:top w:val="nil"/>
              <w:left w:val="single" w:sz="8" w:space="0" w:color="D9D9D9" w:themeColor="background1" w:themeShade="D9"/>
              <w:bottom w:val="single" w:sz="24" w:space="0" w:color="C00000"/>
              <w:right w:val="single" w:sz="8" w:space="0" w:color="D9D9D9" w:themeColor="background1" w:themeShade="D9"/>
            </w:tcBorders>
            <w:shd w:val="clear" w:color="auto" w:fill="808080" w:themeFill="background1" w:themeFillShade="80"/>
            <w:tcMar>
              <w:top w:w="0" w:type="dxa"/>
              <w:left w:w="108" w:type="dxa"/>
              <w:bottom w:w="0" w:type="dxa"/>
              <w:right w:w="108" w:type="dxa"/>
            </w:tcMar>
            <w:hideMark/>
          </w:tcPr>
          <w:p w14:paraId="3CF5009B"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Increase student achievement in Literacy</w:t>
            </w:r>
          </w:p>
        </w:tc>
      </w:tr>
      <w:tr w:rsidR="00CF332B" w:rsidRPr="00685BDE" w14:paraId="39A8C0B6" w14:textId="77777777" w:rsidTr="188A1EBF">
        <w:trPr>
          <w:trHeight w:val="620"/>
        </w:trPr>
        <w:tc>
          <w:tcPr>
            <w:tcW w:w="1955" w:type="dxa"/>
            <w:gridSpan w:val="2"/>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0C554C14" w14:textId="77777777" w:rsidR="00CF332B" w:rsidRPr="00685BDE" w:rsidRDefault="00CF332B" w:rsidP="00CF332B">
            <w:pPr>
              <w:rPr>
                <w:rFonts w:ascii="Century Gothic" w:hAnsi="Century Gothic"/>
                <w:szCs w:val="22"/>
              </w:rPr>
            </w:pPr>
            <w:r w:rsidRPr="00685BDE">
              <w:rPr>
                <w:rFonts w:ascii="Century Gothic" w:hAnsi="Century Gothic"/>
                <w:szCs w:val="22"/>
              </w:rPr>
              <w:t xml:space="preserve">Improvement in individual reading levels </w:t>
            </w:r>
          </w:p>
        </w:tc>
        <w:tc>
          <w:tcPr>
            <w:tcW w:w="1452"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3F545DA7" w14:textId="77777777" w:rsidR="00CF332B" w:rsidRPr="00685BDE" w:rsidRDefault="00CF332B" w:rsidP="00CF332B">
            <w:pPr>
              <w:rPr>
                <w:rFonts w:ascii="Century Gothic" w:hAnsi="Century Gothic"/>
                <w:szCs w:val="22"/>
              </w:rPr>
            </w:pPr>
            <w:r w:rsidRPr="00685BDE">
              <w:rPr>
                <w:rFonts w:ascii="Century Gothic" w:hAnsi="Century Gothic"/>
                <w:szCs w:val="22"/>
              </w:rPr>
              <w:t>N/A</w:t>
            </w:r>
          </w:p>
        </w:tc>
        <w:tc>
          <w:tcPr>
            <w:tcW w:w="2017"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2299A6F6" w14:textId="77777777" w:rsidR="00CF332B" w:rsidRPr="00685BDE" w:rsidRDefault="00CF332B" w:rsidP="00CF332B">
            <w:pPr>
              <w:rPr>
                <w:rFonts w:ascii="Century Gothic" w:hAnsi="Century Gothic"/>
                <w:szCs w:val="22"/>
              </w:rPr>
            </w:pPr>
            <w:r w:rsidRPr="00685BDE">
              <w:rPr>
                <w:rFonts w:ascii="Century Gothic" w:hAnsi="Century Gothic"/>
                <w:szCs w:val="22"/>
              </w:rPr>
              <w:t xml:space="preserve">80% of students will increase </w:t>
            </w:r>
            <w:proofErr w:type="gramStart"/>
            <w:r w:rsidRPr="00685BDE">
              <w:rPr>
                <w:rFonts w:ascii="Century Gothic" w:hAnsi="Century Gothic"/>
                <w:szCs w:val="22"/>
              </w:rPr>
              <w:t>one</w:t>
            </w:r>
            <w:proofErr w:type="gramEnd"/>
            <w:r w:rsidRPr="00685BDE">
              <w:rPr>
                <w:rFonts w:ascii="Century Gothic" w:hAnsi="Century Gothic"/>
                <w:szCs w:val="22"/>
              </w:rPr>
              <w:t xml:space="preserve"> reading level (equivalent to one year’s growth)</w:t>
            </w:r>
          </w:p>
        </w:tc>
        <w:tc>
          <w:tcPr>
            <w:tcW w:w="2652"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3A91C030" w14:textId="02E1036C" w:rsidR="35F13908" w:rsidRDefault="66B7C866" w:rsidP="3C722D0A">
            <w:pPr>
              <w:rPr>
                <w:rFonts w:ascii="Century Gothic" w:hAnsi="Century Gothic"/>
              </w:rPr>
            </w:pPr>
            <w:r w:rsidRPr="188A1EBF">
              <w:rPr>
                <w:rFonts w:ascii="Century Gothic" w:hAnsi="Century Gothic"/>
              </w:rPr>
              <w:t>2024: 0% (</w:t>
            </w:r>
            <w:r w:rsidR="00404551">
              <w:rPr>
                <w:rFonts w:ascii="Century Gothic" w:hAnsi="Century Gothic"/>
              </w:rPr>
              <w:t>unable to receive report</w:t>
            </w:r>
            <w:r w:rsidR="145130AA" w:rsidRPr="188A1EBF">
              <w:rPr>
                <w:rFonts w:ascii="Century Gothic" w:hAnsi="Century Gothic"/>
              </w:rPr>
              <w:t>)</w:t>
            </w:r>
          </w:p>
          <w:p w14:paraId="1A30471D" w14:textId="77777777" w:rsidR="00DC2DD7" w:rsidRPr="00685BDE" w:rsidRDefault="00DC2DD7" w:rsidP="3C722D0A">
            <w:pPr>
              <w:rPr>
                <w:rFonts w:ascii="Century Gothic" w:hAnsi="Century Gothic"/>
              </w:rPr>
            </w:pPr>
          </w:p>
          <w:p w14:paraId="62768C7C" w14:textId="76746EA6" w:rsidR="00F4125A" w:rsidRPr="00685BDE" w:rsidRDefault="39D8A932" w:rsidP="00F4125A">
            <w:pPr>
              <w:rPr>
                <w:rFonts w:ascii="Century Gothic" w:hAnsi="Century Gothic"/>
              </w:rPr>
            </w:pPr>
            <w:r w:rsidRPr="00685BDE">
              <w:rPr>
                <w:rFonts w:ascii="Century Gothic" w:hAnsi="Century Gothic"/>
              </w:rPr>
              <w:t xml:space="preserve">2023: </w:t>
            </w:r>
            <w:r w:rsidR="32D57034" w:rsidRPr="00685BDE">
              <w:rPr>
                <w:rFonts w:ascii="Century Gothic" w:hAnsi="Century Gothic"/>
              </w:rPr>
              <w:t>0</w:t>
            </w:r>
            <w:r w:rsidRPr="00685BDE">
              <w:rPr>
                <w:rFonts w:ascii="Century Gothic" w:hAnsi="Century Gothic"/>
              </w:rPr>
              <w:t>% (</w:t>
            </w:r>
            <w:r w:rsidR="00B3791C">
              <w:rPr>
                <w:rFonts w:ascii="Century Gothic" w:hAnsi="Century Gothic"/>
              </w:rPr>
              <w:t>unable to receive reports</w:t>
            </w:r>
            <w:r w:rsidRPr="00685BDE">
              <w:rPr>
                <w:rFonts w:ascii="Century Gothic" w:hAnsi="Century Gothic"/>
              </w:rPr>
              <w:t>)</w:t>
            </w:r>
          </w:p>
          <w:p w14:paraId="65A2ED95" w14:textId="6D92859E" w:rsidR="1B4A8018" w:rsidRPr="00685BDE" w:rsidRDefault="1B4A8018" w:rsidP="1B4A8018">
            <w:pPr>
              <w:rPr>
                <w:rFonts w:ascii="Century Gothic" w:hAnsi="Century Gothic"/>
              </w:rPr>
            </w:pPr>
            <w:r w:rsidRPr="00685BDE">
              <w:rPr>
                <w:rFonts w:ascii="Century Gothic" w:hAnsi="Century Gothic"/>
              </w:rPr>
              <w:t>2022: 30% (3 children provided report cards)</w:t>
            </w:r>
          </w:p>
          <w:p w14:paraId="2E4428D1" w14:textId="1409E690" w:rsidR="00341EAF" w:rsidRPr="00685BDE" w:rsidRDefault="5E0391F5" w:rsidP="00CF332B">
            <w:pPr>
              <w:rPr>
                <w:rFonts w:ascii="Century Gothic" w:eastAsia="MS PGothic" w:hAnsi="Century Gothic"/>
                <w:color w:val="000000" w:themeColor="text1"/>
              </w:rPr>
            </w:pPr>
            <w:r w:rsidRPr="00685BDE">
              <w:rPr>
                <w:rFonts w:ascii="Century Gothic" w:hAnsi="Century Gothic"/>
              </w:rPr>
              <w:lastRenderedPageBreak/>
              <w:t xml:space="preserve">2021: </w:t>
            </w:r>
            <w:r w:rsidR="39152DDB" w:rsidRPr="00685BDE">
              <w:rPr>
                <w:rFonts w:ascii="Century Gothic" w:hAnsi="Century Gothic"/>
              </w:rPr>
              <w:t>Cannot report; s</w:t>
            </w:r>
            <w:r w:rsidR="55BBEB05" w:rsidRPr="00685BDE">
              <w:rPr>
                <w:rFonts w:ascii="Century Gothic" w:eastAsia="Times New Roman" w:hAnsi="Century Gothic"/>
                <w:color w:val="000000" w:themeColor="text1"/>
              </w:rPr>
              <w:t xml:space="preserve">chools did not provide </w:t>
            </w:r>
            <w:r w:rsidR="39152DDB" w:rsidRPr="00685BDE">
              <w:rPr>
                <w:rFonts w:ascii="Century Gothic" w:eastAsia="Times New Roman" w:hAnsi="Century Gothic"/>
                <w:color w:val="000000" w:themeColor="text1"/>
              </w:rPr>
              <w:t>usable grades</w:t>
            </w:r>
          </w:p>
          <w:p w14:paraId="7BA6F64B" w14:textId="47E2D2A1" w:rsidR="00CF332B" w:rsidRPr="00685BDE" w:rsidRDefault="507EFCD3" w:rsidP="00CF332B">
            <w:pPr>
              <w:rPr>
                <w:rFonts w:ascii="Century Gothic" w:hAnsi="Century Gothic"/>
              </w:rPr>
            </w:pPr>
            <w:r w:rsidRPr="00685BDE">
              <w:rPr>
                <w:rFonts w:ascii="Century Gothic" w:hAnsi="Century Gothic"/>
              </w:rPr>
              <w:t>202</w:t>
            </w:r>
            <w:r w:rsidR="0889264E" w:rsidRPr="00685BDE">
              <w:rPr>
                <w:rFonts w:ascii="Century Gothic" w:hAnsi="Century Gothic"/>
              </w:rPr>
              <w:t>0</w:t>
            </w:r>
            <w:r w:rsidRPr="00685BDE">
              <w:rPr>
                <w:rFonts w:ascii="Century Gothic" w:hAnsi="Century Gothic"/>
              </w:rPr>
              <w:t xml:space="preserve">: </w:t>
            </w:r>
            <w:r w:rsidR="39152DDB" w:rsidRPr="00685BDE">
              <w:rPr>
                <w:rFonts w:ascii="Century Gothic" w:hAnsi="Century Gothic"/>
              </w:rPr>
              <w:t>Cannot report; s</w:t>
            </w:r>
            <w:r w:rsidR="39152DDB" w:rsidRPr="00685BDE">
              <w:rPr>
                <w:rFonts w:ascii="Century Gothic" w:eastAsia="Times New Roman" w:hAnsi="Century Gothic"/>
                <w:color w:val="000000" w:themeColor="text1"/>
              </w:rPr>
              <w:t>chools did not provide usable grades</w:t>
            </w:r>
          </w:p>
          <w:p w14:paraId="72E14527" w14:textId="010463F9" w:rsidR="00CF332B" w:rsidRPr="00685BDE" w:rsidRDefault="00CF332B" w:rsidP="00CF332B">
            <w:pPr>
              <w:rPr>
                <w:rFonts w:ascii="Century Gothic" w:hAnsi="Century Gothic"/>
                <w:szCs w:val="22"/>
              </w:rPr>
            </w:pPr>
          </w:p>
        </w:tc>
        <w:tc>
          <w:tcPr>
            <w:tcW w:w="1548" w:type="dxa"/>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4726E194" w14:textId="3B48795C" w:rsidR="00CF332B" w:rsidRPr="00685BDE" w:rsidRDefault="00B3791C" w:rsidP="1B4A8018">
            <w:pPr>
              <w:rPr>
                <w:rFonts w:ascii="Century Gothic" w:hAnsi="Century Gothic"/>
              </w:rPr>
            </w:pPr>
            <w:r>
              <w:rPr>
                <w:rFonts w:ascii="Century Gothic" w:hAnsi="Century Gothic"/>
              </w:rPr>
              <w:lastRenderedPageBreak/>
              <w:t>No</w:t>
            </w:r>
          </w:p>
        </w:tc>
      </w:tr>
      <w:tr w:rsidR="00CF332B" w:rsidRPr="00685BDE" w14:paraId="04D4D743" w14:textId="77777777" w:rsidTr="188A1EBF">
        <w:trPr>
          <w:trHeight w:val="400"/>
        </w:trPr>
        <w:tc>
          <w:tcPr>
            <w:tcW w:w="9624" w:type="dxa"/>
            <w:gridSpan w:val="9"/>
            <w:tcBorders>
              <w:top w:val="nil"/>
              <w:left w:val="single" w:sz="8" w:space="0" w:color="D9D9D9" w:themeColor="background1" w:themeShade="D9"/>
              <w:bottom w:val="single" w:sz="24" w:space="0" w:color="C00000"/>
              <w:right w:val="single" w:sz="8" w:space="0" w:color="D9D9D9" w:themeColor="background1" w:themeShade="D9"/>
            </w:tcBorders>
            <w:shd w:val="clear" w:color="auto" w:fill="FFFFFF" w:themeFill="background1"/>
            <w:tcMar>
              <w:top w:w="0" w:type="dxa"/>
              <w:left w:w="108" w:type="dxa"/>
              <w:bottom w:w="0" w:type="dxa"/>
              <w:right w:w="108" w:type="dxa"/>
            </w:tcMar>
            <w:hideMark/>
          </w:tcPr>
          <w:p w14:paraId="19F5C6B5" w14:textId="77777777" w:rsidR="00CF332B" w:rsidRPr="00685BDE" w:rsidRDefault="00CF332B" w:rsidP="00CF332B">
            <w:pPr>
              <w:jc w:val="center"/>
              <w:rPr>
                <w:rFonts w:ascii="Century Gothic" w:hAnsi="Century Gothic"/>
                <w:b/>
                <w:bCs/>
                <w:szCs w:val="22"/>
              </w:rPr>
            </w:pPr>
            <w:r w:rsidRPr="00685BDE">
              <w:rPr>
                <w:rFonts w:ascii="Century Gothic" w:hAnsi="Century Gothic"/>
                <w:b/>
                <w:bCs/>
                <w:szCs w:val="22"/>
              </w:rPr>
              <w:t>Increase student achievement in Mathematics</w:t>
            </w:r>
          </w:p>
        </w:tc>
      </w:tr>
      <w:tr w:rsidR="00CF332B" w:rsidRPr="00685BDE" w14:paraId="4CD4CCEE" w14:textId="77777777" w:rsidTr="188A1EBF">
        <w:trPr>
          <w:trHeight w:val="1220"/>
        </w:trPr>
        <w:tc>
          <w:tcPr>
            <w:tcW w:w="1896"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7452E015" w14:textId="77777777" w:rsidR="00CF332B" w:rsidRPr="00685BDE" w:rsidRDefault="00CF332B" w:rsidP="00CF332B">
            <w:pPr>
              <w:rPr>
                <w:rFonts w:ascii="Century Gothic" w:hAnsi="Century Gothic"/>
                <w:szCs w:val="22"/>
              </w:rPr>
            </w:pPr>
            <w:r w:rsidRPr="00685BDE">
              <w:rPr>
                <w:rFonts w:ascii="Century Gothic" w:hAnsi="Century Gothic"/>
                <w:szCs w:val="22"/>
              </w:rPr>
              <w:t>Improvement in individual mathematics levels</w:t>
            </w:r>
          </w:p>
        </w:tc>
        <w:tc>
          <w:tcPr>
            <w:tcW w:w="1463"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2A6B6F0E" w14:textId="77777777" w:rsidR="00CF332B" w:rsidRPr="00685BDE" w:rsidRDefault="00CF332B" w:rsidP="00CF332B">
            <w:pPr>
              <w:rPr>
                <w:rFonts w:ascii="Century Gothic" w:hAnsi="Century Gothic"/>
                <w:szCs w:val="22"/>
              </w:rPr>
            </w:pPr>
            <w:r w:rsidRPr="00685BDE">
              <w:rPr>
                <w:rFonts w:ascii="Century Gothic" w:hAnsi="Century Gothic"/>
                <w:szCs w:val="22"/>
              </w:rPr>
              <w:t>N/A</w:t>
            </w:r>
          </w:p>
        </w:tc>
        <w:tc>
          <w:tcPr>
            <w:tcW w:w="1893"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76903570" w14:textId="77777777" w:rsidR="00CF332B" w:rsidRPr="00685BDE" w:rsidRDefault="00CF332B" w:rsidP="00CF332B">
            <w:pPr>
              <w:rPr>
                <w:rFonts w:ascii="Century Gothic" w:hAnsi="Century Gothic"/>
                <w:szCs w:val="22"/>
              </w:rPr>
            </w:pPr>
            <w:r w:rsidRPr="00685BDE">
              <w:rPr>
                <w:rFonts w:ascii="Century Gothic" w:hAnsi="Century Gothic"/>
                <w:szCs w:val="22"/>
              </w:rPr>
              <w:t>80% of the students will increase one math level (equivalent to one year’s growth)</w:t>
            </w:r>
          </w:p>
        </w:tc>
        <w:tc>
          <w:tcPr>
            <w:tcW w:w="2652"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51F6E3C6" w14:textId="195E5F73" w:rsidR="3A806A0F" w:rsidRPr="00685BDE" w:rsidRDefault="07B01653" w:rsidP="3C722D0A">
            <w:pPr>
              <w:rPr>
                <w:rFonts w:ascii="Century Gothic" w:hAnsi="Century Gothic"/>
              </w:rPr>
            </w:pPr>
            <w:r w:rsidRPr="188A1EBF">
              <w:rPr>
                <w:rFonts w:ascii="Century Gothic" w:hAnsi="Century Gothic"/>
              </w:rPr>
              <w:t>2024: 0% (0 children</w:t>
            </w:r>
            <w:r w:rsidR="5FA3C6BD" w:rsidRPr="188A1EBF">
              <w:rPr>
                <w:rFonts w:ascii="Century Gothic" w:hAnsi="Century Gothic"/>
              </w:rPr>
              <w:t>)</w:t>
            </w:r>
          </w:p>
          <w:p w14:paraId="4A0662B6" w14:textId="00D65890" w:rsidR="00F4125A" w:rsidRPr="00685BDE" w:rsidRDefault="161A2D6A" w:rsidP="00F4125A">
            <w:pPr>
              <w:rPr>
                <w:rFonts w:ascii="Century Gothic" w:hAnsi="Century Gothic"/>
              </w:rPr>
            </w:pPr>
            <w:r w:rsidRPr="00685BDE">
              <w:rPr>
                <w:rFonts w:ascii="Century Gothic" w:hAnsi="Century Gothic"/>
              </w:rPr>
              <w:t xml:space="preserve">2023: </w:t>
            </w:r>
            <w:r w:rsidR="306F961F" w:rsidRPr="00685BDE">
              <w:rPr>
                <w:rFonts w:ascii="Century Gothic" w:hAnsi="Century Gothic"/>
              </w:rPr>
              <w:t>0</w:t>
            </w:r>
            <w:r w:rsidRPr="00685BDE">
              <w:rPr>
                <w:rFonts w:ascii="Century Gothic" w:hAnsi="Century Gothic"/>
              </w:rPr>
              <w:t>% (</w:t>
            </w:r>
            <w:r w:rsidR="44841570" w:rsidRPr="00685BDE">
              <w:rPr>
                <w:rFonts w:ascii="Century Gothic" w:hAnsi="Century Gothic"/>
              </w:rPr>
              <w:t>0</w:t>
            </w:r>
            <w:r w:rsidRPr="00685BDE">
              <w:rPr>
                <w:rFonts w:ascii="Century Gothic" w:hAnsi="Century Gothic"/>
              </w:rPr>
              <w:t xml:space="preserve"> children provided report cards)</w:t>
            </w:r>
          </w:p>
          <w:p w14:paraId="4BBB16C2" w14:textId="08A3B601" w:rsidR="1B4A8018" w:rsidRPr="00685BDE" w:rsidRDefault="1B4A8018" w:rsidP="1B4A8018">
            <w:pPr>
              <w:rPr>
                <w:rFonts w:ascii="Century Gothic" w:hAnsi="Century Gothic"/>
              </w:rPr>
            </w:pPr>
            <w:r w:rsidRPr="00685BDE">
              <w:rPr>
                <w:rFonts w:ascii="Century Gothic" w:hAnsi="Century Gothic"/>
              </w:rPr>
              <w:t>2022: 30% (3 children provided report cards)</w:t>
            </w:r>
          </w:p>
          <w:p w14:paraId="6ED5893F" w14:textId="0AA52698" w:rsidR="003E3E5A" w:rsidRPr="00685BDE" w:rsidRDefault="6989E8F9" w:rsidP="00CF332B">
            <w:pPr>
              <w:rPr>
                <w:rFonts w:ascii="Century Gothic" w:eastAsia="MS PGothic" w:hAnsi="Century Gothic"/>
                <w:color w:val="000000" w:themeColor="text1"/>
              </w:rPr>
            </w:pPr>
            <w:r w:rsidRPr="00685BDE">
              <w:rPr>
                <w:rFonts w:ascii="Century Gothic" w:hAnsi="Century Gothic"/>
              </w:rPr>
              <w:t>2021:</w:t>
            </w:r>
            <w:r w:rsidR="3CA882E0" w:rsidRPr="00685BDE">
              <w:rPr>
                <w:rFonts w:ascii="Century Gothic" w:eastAsia="Times New Roman" w:hAnsi="Century Gothic"/>
                <w:color w:val="000000" w:themeColor="text1"/>
              </w:rPr>
              <w:t xml:space="preserve"> </w:t>
            </w:r>
            <w:r w:rsidR="39152DDB" w:rsidRPr="00685BDE">
              <w:rPr>
                <w:rFonts w:ascii="Century Gothic" w:hAnsi="Century Gothic"/>
              </w:rPr>
              <w:t>Cannot report; s</w:t>
            </w:r>
            <w:r w:rsidR="39152DDB" w:rsidRPr="00685BDE">
              <w:rPr>
                <w:rFonts w:ascii="Century Gothic" w:eastAsia="Times New Roman" w:hAnsi="Century Gothic"/>
                <w:color w:val="000000" w:themeColor="text1"/>
              </w:rPr>
              <w:t>chools did not provide usable grades</w:t>
            </w:r>
          </w:p>
          <w:p w14:paraId="155F0339" w14:textId="5E27831A" w:rsidR="00CF332B" w:rsidRPr="00685BDE" w:rsidRDefault="00410E5B" w:rsidP="00CF332B">
            <w:pPr>
              <w:rPr>
                <w:rFonts w:ascii="Century Gothic" w:hAnsi="Century Gothic"/>
              </w:rPr>
            </w:pPr>
            <w:r w:rsidRPr="00685BDE">
              <w:rPr>
                <w:rFonts w:ascii="Century Gothic" w:hAnsi="Century Gothic"/>
              </w:rPr>
              <w:t xml:space="preserve">2020: </w:t>
            </w:r>
            <w:r w:rsidR="00446A26" w:rsidRPr="00685BDE">
              <w:rPr>
                <w:rFonts w:ascii="Century Gothic" w:hAnsi="Century Gothic"/>
              </w:rPr>
              <w:t>Cannot report; s</w:t>
            </w:r>
            <w:r w:rsidR="00446A26" w:rsidRPr="00685BDE">
              <w:rPr>
                <w:rFonts w:ascii="Century Gothic" w:eastAsia="Times New Roman" w:hAnsi="Century Gothic"/>
                <w:color w:val="000000" w:themeColor="text1"/>
              </w:rPr>
              <w:t>chools did not provide usable grades</w:t>
            </w:r>
          </w:p>
          <w:p w14:paraId="0EB37EF1" w14:textId="3253F958" w:rsidR="00CF332B" w:rsidRPr="00685BDE" w:rsidRDefault="00CF332B" w:rsidP="00CF332B">
            <w:pPr>
              <w:rPr>
                <w:rFonts w:ascii="Century Gothic" w:hAnsi="Century Gothic"/>
                <w:szCs w:val="22"/>
              </w:rPr>
            </w:pPr>
          </w:p>
        </w:tc>
        <w:tc>
          <w:tcPr>
            <w:tcW w:w="1720" w:type="dxa"/>
            <w:gridSpan w:val="2"/>
            <w:tcBorders>
              <w:top w:val="nil"/>
              <w:left w:val="nil"/>
              <w:bottom w:val="single" w:sz="8" w:space="0" w:color="D9D9D9" w:themeColor="background1" w:themeShade="D9"/>
              <w:right w:val="single" w:sz="8" w:space="0" w:color="D9D9D9" w:themeColor="background1" w:themeShade="D9"/>
            </w:tcBorders>
            <w:shd w:val="clear" w:color="auto" w:fill="FFFFFF" w:themeFill="background1"/>
            <w:tcMar>
              <w:top w:w="0" w:type="dxa"/>
              <w:left w:w="108" w:type="dxa"/>
              <w:bottom w:w="0" w:type="dxa"/>
              <w:right w:w="108" w:type="dxa"/>
            </w:tcMar>
            <w:hideMark/>
          </w:tcPr>
          <w:p w14:paraId="17199E26" w14:textId="043DBB32" w:rsidR="00CF332B" w:rsidRPr="00685BDE" w:rsidRDefault="00CF332B" w:rsidP="00CF332B">
            <w:pPr>
              <w:rPr>
                <w:rFonts w:ascii="Century Gothic" w:hAnsi="Century Gothic"/>
                <w:szCs w:val="22"/>
              </w:rPr>
            </w:pPr>
            <w:r w:rsidRPr="00685BDE">
              <w:rPr>
                <w:rFonts w:ascii="Century Gothic" w:hAnsi="Century Gothic"/>
                <w:szCs w:val="22"/>
              </w:rPr>
              <w:t>N</w:t>
            </w:r>
            <w:r w:rsidR="003116DE" w:rsidRPr="00685BDE">
              <w:rPr>
                <w:rFonts w:ascii="Century Gothic" w:hAnsi="Century Gothic"/>
                <w:szCs w:val="22"/>
              </w:rPr>
              <w:t>/A</w:t>
            </w:r>
          </w:p>
        </w:tc>
      </w:tr>
      <w:tr w:rsidR="00CF332B" w:rsidRPr="00685BDE" w14:paraId="695BB972" w14:textId="77777777" w:rsidTr="188A1EBF">
        <w:tc>
          <w:tcPr>
            <w:tcW w:w="1896" w:type="dxa"/>
            <w:shd w:val="clear" w:color="auto" w:fill="FFFFFF" w:themeFill="background1"/>
            <w:vAlign w:val="center"/>
            <w:hideMark/>
          </w:tcPr>
          <w:p w14:paraId="1AC697FC" w14:textId="7DDD754D" w:rsidR="00CF332B" w:rsidRPr="00685BDE" w:rsidRDefault="00CF332B" w:rsidP="211FCDB6">
            <w:pPr>
              <w:rPr>
                <w:rFonts w:ascii="Century Gothic" w:eastAsia="Times New Roman" w:hAnsi="Century Gothic"/>
                <w:color w:val="222222"/>
                <w:sz w:val="24"/>
              </w:rPr>
            </w:pPr>
          </w:p>
        </w:tc>
        <w:tc>
          <w:tcPr>
            <w:tcW w:w="59" w:type="dxa"/>
            <w:shd w:val="clear" w:color="auto" w:fill="FFFFFF" w:themeFill="background1"/>
            <w:vAlign w:val="center"/>
            <w:hideMark/>
          </w:tcPr>
          <w:p w14:paraId="4FC16A00" w14:textId="77777777" w:rsidR="00CF332B" w:rsidRPr="00685BDE" w:rsidRDefault="00CF332B" w:rsidP="00CF332B">
            <w:pPr>
              <w:rPr>
                <w:rFonts w:ascii="Century Gothic" w:eastAsia="Times New Roman" w:hAnsi="Century Gothic"/>
                <w:szCs w:val="22"/>
              </w:rPr>
            </w:pPr>
          </w:p>
        </w:tc>
        <w:tc>
          <w:tcPr>
            <w:tcW w:w="1404" w:type="dxa"/>
            <w:shd w:val="clear" w:color="auto" w:fill="FFFFFF" w:themeFill="background1"/>
            <w:vAlign w:val="center"/>
            <w:hideMark/>
          </w:tcPr>
          <w:p w14:paraId="4A0C5878" w14:textId="77777777" w:rsidR="00CF332B" w:rsidRPr="00685BDE" w:rsidRDefault="00CF332B" w:rsidP="00CF332B">
            <w:pPr>
              <w:rPr>
                <w:rFonts w:ascii="Century Gothic" w:eastAsia="Times New Roman" w:hAnsi="Century Gothic"/>
                <w:szCs w:val="22"/>
              </w:rPr>
            </w:pPr>
          </w:p>
        </w:tc>
        <w:tc>
          <w:tcPr>
            <w:tcW w:w="48" w:type="dxa"/>
            <w:shd w:val="clear" w:color="auto" w:fill="FFFFFF" w:themeFill="background1"/>
            <w:vAlign w:val="center"/>
            <w:hideMark/>
          </w:tcPr>
          <w:p w14:paraId="56AABE99" w14:textId="77777777" w:rsidR="00CF332B" w:rsidRPr="00685BDE" w:rsidRDefault="00CF332B" w:rsidP="00CF332B">
            <w:pPr>
              <w:rPr>
                <w:rFonts w:ascii="Century Gothic" w:eastAsia="Times New Roman" w:hAnsi="Century Gothic"/>
                <w:szCs w:val="22"/>
              </w:rPr>
            </w:pPr>
          </w:p>
        </w:tc>
        <w:tc>
          <w:tcPr>
            <w:tcW w:w="1845" w:type="dxa"/>
            <w:shd w:val="clear" w:color="auto" w:fill="FFFFFF" w:themeFill="background1"/>
            <w:vAlign w:val="center"/>
            <w:hideMark/>
          </w:tcPr>
          <w:p w14:paraId="6F5EC69A" w14:textId="77777777" w:rsidR="00CF332B" w:rsidRPr="00685BDE" w:rsidRDefault="00CF332B" w:rsidP="00CF332B">
            <w:pPr>
              <w:rPr>
                <w:rFonts w:ascii="Century Gothic" w:eastAsia="Times New Roman" w:hAnsi="Century Gothic"/>
                <w:szCs w:val="22"/>
              </w:rPr>
            </w:pPr>
          </w:p>
        </w:tc>
        <w:tc>
          <w:tcPr>
            <w:tcW w:w="172" w:type="dxa"/>
            <w:shd w:val="clear" w:color="auto" w:fill="FFFFFF" w:themeFill="background1"/>
            <w:vAlign w:val="center"/>
            <w:hideMark/>
          </w:tcPr>
          <w:p w14:paraId="21F5E5AD" w14:textId="77777777" w:rsidR="00CF332B" w:rsidRPr="00685BDE" w:rsidRDefault="00CF332B" w:rsidP="00CF332B">
            <w:pPr>
              <w:rPr>
                <w:rFonts w:ascii="Century Gothic" w:eastAsia="Times New Roman" w:hAnsi="Century Gothic"/>
                <w:szCs w:val="22"/>
              </w:rPr>
            </w:pPr>
          </w:p>
        </w:tc>
        <w:tc>
          <w:tcPr>
            <w:tcW w:w="2480" w:type="dxa"/>
            <w:shd w:val="clear" w:color="auto" w:fill="FFFFFF" w:themeFill="background1"/>
            <w:vAlign w:val="center"/>
            <w:hideMark/>
          </w:tcPr>
          <w:p w14:paraId="7178EEB1" w14:textId="77777777" w:rsidR="00CF332B" w:rsidRPr="00685BDE" w:rsidRDefault="00CF332B" w:rsidP="00CF332B">
            <w:pPr>
              <w:rPr>
                <w:rFonts w:ascii="Century Gothic" w:eastAsia="Times New Roman" w:hAnsi="Century Gothic"/>
                <w:szCs w:val="22"/>
              </w:rPr>
            </w:pPr>
          </w:p>
        </w:tc>
        <w:tc>
          <w:tcPr>
            <w:tcW w:w="172" w:type="dxa"/>
            <w:shd w:val="clear" w:color="auto" w:fill="FFFFFF" w:themeFill="background1"/>
            <w:vAlign w:val="center"/>
            <w:hideMark/>
          </w:tcPr>
          <w:p w14:paraId="4769FC21" w14:textId="77777777" w:rsidR="00CF332B" w:rsidRPr="00685BDE" w:rsidRDefault="00CF332B" w:rsidP="00CF332B">
            <w:pPr>
              <w:rPr>
                <w:rFonts w:ascii="Century Gothic" w:eastAsia="Times New Roman" w:hAnsi="Century Gothic"/>
                <w:szCs w:val="22"/>
              </w:rPr>
            </w:pPr>
          </w:p>
        </w:tc>
        <w:tc>
          <w:tcPr>
            <w:tcW w:w="1548" w:type="dxa"/>
            <w:shd w:val="clear" w:color="auto" w:fill="FFFFFF" w:themeFill="background1"/>
            <w:vAlign w:val="center"/>
            <w:hideMark/>
          </w:tcPr>
          <w:p w14:paraId="47FA5355" w14:textId="77777777" w:rsidR="00CF332B" w:rsidRPr="00685BDE" w:rsidRDefault="00CF332B" w:rsidP="00CF332B">
            <w:pPr>
              <w:rPr>
                <w:rFonts w:ascii="Century Gothic" w:eastAsia="Times New Roman" w:hAnsi="Century Gothic"/>
                <w:szCs w:val="22"/>
              </w:rPr>
            </w:pPr>
          </w:p>
        </w:tc>
      </w:tr>
    </w:tbl>
    <w:p w14:paraId="08C2E281" w14:textId="7EBA6703" w:rsidR="2A38529F" w:rsidRPr="00685BDE" w:rsidRDefault="2A38529F" w:rsidP="24128C1C">
      <w:pPr>
        <w:spacing w:before="120" w:after="80"/>
        <w:rPr>
          <w:rFonts w:ascii="Century Gothic" w:eastAsiaTheme="majorEastAsia" w:hAnsi="Century Gothic"/>
          <w:b/>
          <w:bCs/>
          <w:color w:val="808080" w:themeColor="background1" w:themeShade="80"/>
        </w:rPr>
      </w:pPr>
      <w:r w:rsidRPr="00685BDE">
        <w:rPr>
          <w:rFonts w:ascii="Century Gothic" w:eastAsiaTheme="majorEastAsia" w:hAnsi="Century Gothic"/>
          <w:b/>
          <w:bCs/>
          <w:color w:val="808080" w:themeColor="background1" w:themeShade="80"/>
        </w:rPr>
        <w:t>Actual Non-Significant Changes</w:t>
      </w:r>
    </w:p>
    <w:p w14:paraId="57ECF776" w14:textId="797AD6E3" w:rsidR="24128C1C" w:rsidRPr="00685BDE" w:rsidRDefault="00D55BE7" w:rsidP="24128C1C">
      <w:pPr>
        <w:rPr>
          <w:rFonts w:ascii="Century Gothic" w:eastAsia="MS PGothic" w:hAnsi="Century Gothic"/>
          <w:szCs w:val="22"/>
        </w:rPr>
      </w:pPr>
      <w:r w:rsidRPr="00685BDE">
        <w:rPr>
          <w:rFonts w:ascii="Century Gothic" w:eastAsia="MS PGothic" w:hAnsi="Century Gothic"/>
          <w:szCs w:val="22"/>
        </w:rPr>
        <w:t>None</w:t>
      </w:r>
    </w:p>
    <w:p w14:paraId="6CF04558" w14:textId="116676A7" w:rsidR="2A38529F" w:rsidRPr="00685BDE" w:rsidRDefault="2A38529F" w:rsidP="24128C1C">
      <w:pPr>
        <w:spacing w:before="120" w:after="80"/>
        <w:rPr>
          <w:rFonts w:ascii="Century Gothic" w:eastAsiaTheme="majorEastAsia" w:hAnsi="Century Gothic"/>
          <w:b/>
          <w:bCs/>
          <w:color w:val="808080" w:themeColor="background1" w:themeShade="80"/>
          <w:szCs w:val="22"/>
        </w:rPr>
      </w:pPr>
      <w:r w:rsidRPr="00685BDE">
        <w:rPr>
          <w:rFonts w:ascii="Century Gothic" w:eastAsiaTheme="majorEastAsia" w:hAnsi="Century Gothic"/>
          <w:b/>
          <w:bCs/>
          <w:color w:val="808080" w:themeColor="background1" w:themeShade="80"/>
          <w:szCs w:val="22"/>
        </w:rPr>
        <w:t>Actual Significant Changes</w:t>
      </w:r>
    </w:p>
    <w:p w14:paraId="16E5DD29" w14:textId="25E18FAE" w:rsidR="24128C1C" w:rsidRPr="00685BDE" w:rsidRDefault="00D55BE7" w:rsidP="24128C1C">
      <w:pPr>
        <w:rPr>
          <w:rFonts w:ascii="Century Gothic" w:eastAsia="MS PGothic" w:hAnsi="Century Gothic"/>
          <w:szCs w:val="22"/>
        </w:rPr>
      </w:pPr>
      <w:r w:rsidRPr="00685BDE">
        <w:rPr>
          <w:rFonts w:ascii="Century Gothic" w:eastAsia="MS PGothic" w:hAnsi="Century Gothic"/>
          <w:szCs w:val="22"/>
        </w:rPr>
        <w:t>None</w:t>
      </w:r>
    </w:p>
    <w:p w14:paraId="542C4589" w14:textId="17172F42" w:rsidR="2A38529F" w:rsidRPr="00685BDE" w:rsidRDefault="2A38529F" w:rsidP="24128C1C">
      <w:pPr>
        <w:spacing w:before="120" w:after="80"/>
        <w:rPr>
          <w:rFonts w:ascii="Century Gothic" w:eastAsiaTheme="majorEastAsia" w:hAnsi="Century Gothic"/>
          <w:b/>
          <w:bCs/>
          <w:color w:val="808080" w:themeColor="background1" w:themeShade="80"/>
          <w:szCs w:val="22"/>
        </w:rPr>
      </w:pPr>
      <w:r w:rsidRPr="00685BDE">
        <w:rPr>
          <w:rFonts w:ascii="Century Gothic" w:eastAsiaTheme="majorEastAsia" w:hAnsi="Century Gothic"/>
          <w:b/>
          <w:bCs/>
          <w:color w:val="808080" w:themeColor="background1" w:themeShade="80"/>
        </w:rPr>
        <w:t>Challenges in Achieving Benchmarks and Possible Strategies</w:t>
      </w:r>
    </w:p>
    <w:p w14:paraId="0DD70E3A" w14:textId="3B861599" w:rsidR="00CF332B" w:rsidRDefault="00CF332B" w:rsidP="0E6C54AB">
      <w:pPr>
        <w:rPr>
          <w:rFonts w:ascii="Times New Roman" w:eastAsia="Times New Roman" w:hAnsi="Times New Roman"/>
        </w:rPr>
      </w:pPr>
    </w:p>
    <w:p w14:paraId="3FCB2324" w14:textId="793C4044" w:rsidR="0C23D96A" w:rsidRDefault="0C23D96A" w:rsidP="0C23D96A">
      <w:pPr>
        <w:rPr>
          <w:rFonts w:eastAsia="MS PGothic"/>
          <w:szCs w:val="22"/>
          <w:u w:val="single"/>
        </w:rPr>
      </w:pPr>
    </w:p>
    <w:p w14:paraId="29D754D9" w14:textId="339634A2" w:rsidR="3C03D9F3" w:rsidRPr="00BF22D2" w:rsidRDefault="655A2699" w:rsidP="002A0677">
      <w:pPr>
        <w:rPr>
          <w:rStyle w:val="Heading4Char"/>
          <w:rFonts w:ascii="Century Gothic" w:eastAsiaTheme="minorEastAsia" w:hAnsi="Century Gothic" w:cs="Times New Roman"/>
          <w:iCs w:val="0"/>
          <w:color w:val="auto"/>
          <w:szCs w:val="24"/>
        </w:rPr>
      </w:pPr>
      <w:r w:rsidRPr="00FC3B55">
        <w:rPr>
          <w:rFonts w:ascii="Century Gothic" w:hAnsi="Century Gothic"/>
        </w:rPr>
        <w:br w:type="page"/>
      </w:r>
      <w:bookmarkStart w:id="148" w:name="_Toc89871164"/>
      <w:bookmarkStart w:id="149" w:name="_Hlk112765699"/>
      <w:bookmarkEnd w:id="146"/>
      <w:r w:rsidR="137E8B8F" w:rsidRPr="00BF22D2">
        <w:rPr>
          <w:rFonts w:ascii="Century Gothic" w:eastAsia="Calibri" w:hAnsi="Century Gothic"/>
          <w:b/>
          <w:bCs/>
          <w:szCs w:val="22"/>
        </w:rPr>
        <w:lastRenderedPageBreak/>
        <w:t xml:space="preserve">Initiative </w:t>
      </w:r>
      <w:r w:rsidR="1BE8545D" w:rsidRPr="00BF22D2">
        <w:rPr>
          <w:rFonts w:ascii="Century Gothic" w:eastAsia="Calibri" w:hAnsi="Century Gothic"/>
          <w:b/>
          <w:bCs/>
          <w:szCs w:val="22"/>
        </w:rPr>
        <w:t>2.5</w:t>
      </w:r>
      <w:r w:rsidR="137E8B8F" w:rsidRPr="00BF22D2">
        <w:rPr>
          <w:rFonts w:ascii="Century Gothic" w:eastAsia="Calibri" w:hAnsi="Century Gothic"/>
          <w:b/>
          <w:bCs/>
          <w:szCs w:val="22"/>
        </w:rPr>
        <w:t xml:space="preserve"> REACH Grant.</w:t>
      </w:r>
      <w:r w:rsidR="137E8B8F" w:rsidRPr="00BF22D2">
        <w:rPr>
          <w:rFonts w:ascii="Century Gothic" w:eastAsia="Calibri" w:hAnsi="Century Gothic"/>
          <w:szCs w:val="22"/>
        </w:rPr>
        <w:t xml:space="preserve"> </w:t>
      </w:r>
      <w:r w:rsidR="137E8B8F" w:rsidRPr="00BF22D2">
        <w:rPr>
          <w:rStyle w:val="Heading4Char"/>
          <w:rFonts w:ascii="Century Gothic" w:hAnsi="Century Gothic" w:cs="Times New Roman"/>
          <w:color w:val="auto"/>
        </w:rPr>
        <w:t>Incentive Grant Program for ECC/HANH Residents Participating in Agency’s Family Self Sufficiency Program.</w:t>
      </w:r>
      <w:bookmarkEnd w:id="148"/>
    </w:p>
    <w:p w14:paraId="4BFA53C5" w14:textId="44567CE0" w:rsidR="70E7DE68" w:rsidRPr="00BF22D2" w:rsidRDefault="70E7DE68" w:rsidP="70E7DE68">
      <w:pPr>
        <w:rPr>
          <w:rFonts w:ascii="Century Gothic" w:eastAsia="MS PGothic" w:hAnsi="Century Gothic"/>
          <w:szCs w:val="22"/>
        </w:rPr>
      </w:pPr>
    </w:p>
    <w:p w14:paraId="0E612F1D" w14:textId="038288F3" w:rsidR="137E8B8F" w:rsidRPr="00BF22D2" w:rsidRDefault="78423C62" w:rsidP="0C23D96A">
      <w:pPr>
        <w:shd w:val="clear" w:color="auto" w:fill="FFFFFF" w:themeFill="background1"/>
        <w:spacing w:after="200"/>
        <w:rPr>
          <w:rStyle w:val="Heading4Char"/>
          <w:rFonts w:ascii="Century Gothic" w:hAnsi="Century Gothic"/>
        </w:rPr>
      </w:pPr>
      <w:r w:rsidRPr="00BF22D2">
        <w:rPr>
          <w:rStyle w:val="Heading4Char"/>
          <w:rFonts w:ascii="Century Gothic" w:hAnsi="Century Gothic"/>
        </w:rPr>
        <w:t xml:space="preserve">Approved FY19 </w:t>
      </w:r>
      <w:r w:rsidR="05BFBDAF" w:rsidRPr="00BF22D2">
        <w:rPr>
          <w:rStyle w:val="Heading4Char"/>
          <w:rFonts w:ascii="Century Gothic" w:hAnsi="Century Gothic"/>
        </w:rPr>
        <w:t>and Implemented in FY21</w:t>
      </w:r>
    </w:p>
    <w:p w14:paraId="41CC8202" w14:textId="1803DBD5" w:rsidR="006429D2" w:rsidRPr="00BF22D2" w:rsidRDefault="3149ADDF" w:rsidP="0E6C54AB">
      <w:pPr>
        <w:shd w:val="clear" w:color="auto" w:fill="FFFFFF" w:themeFill="background1"/>
        <w:spacing w:after="200"/>
        <w:rPr>
          <w:rStyle w:val="Heading4Char"/>
          <w:rFonts w:ascii="Century Gothic" w:hAnsi="Century Gothic"/>
        </w:rPr>
      </w:pPr>
      <w:r w:rsidRPr="00BF22D2">
        <w:rPr>
          <w:rStyle w:val="Heading4Char"/>
          <w:rFonts w:ascii="Century Gothic" w:hAnsi="Century Gothic"/>
        </w:rPr>
        <w:t>Description</w:t>
      </w:r>
    </w:p>
    <w:p w14:paraId="50DC494D" w14:textId="7694898C" w:rsidR="137E8B8F" w:rsidRPr="00BF22D2" w:rsidRDefault="336402C3" w:rsidP="0E6C54AB">
      <w:pPr>
        <w:shd w:val="clear" w:color="auto" w:fill="FFFFFF" w:themeFill="background1"/>
        <w:spacing w:after="200"/>
        <w:rPr>
          <w:rFonts w:ascii="Century Gothic" w:eastAsia="Times New Roman" w:hAnsi="Century Gothic"/>
        </w:rPr>
      </w:pPr>
      <w:r w:rsidRPr="00BF22D2">
        <w:rPr>
          <w:rFonts w:ascii="Century Gothic" w:eastAsia="Times New Roman" w:hAnsi="Century Gothic"/>
        </w:rPr>
        <w:t xml:space="preserve">The REACH program </w:t>
      </w:r>
      <w:r w:rsidR="14AA4D9E" w:rsidRPr="00BF22D2">
        <w:rPr>
          <w:rFonts w:ascii="Century Gothic" w:eastAsia="Times New Roman" w:hAnsi="Century Gothic"/>
        </w:rPr>
        <w:t>is an e</w:t>
      </w:r>
      <w:r w:rsidR="18CD63A8" w:rsidRPr="00BF22D2">
        <w:rPr>
          <w:rFonts w:ascii="Century Gothic" w:eastAsia="Times New Roman" w:hAnsi="Century Gothic"/>
        </w:rPr>
        <w:t>stablishment of</w:t>
      </w:r>
      <w:r w:rsidR="5B13EF72" w:rsidRPr="00BF22D2">
        <w:rPr>
          <w:rFonts w:ascii="Century Gothic" w:eastAsia="Times New Roman" w:hAnsi="Century Gothic"/>
        </w:rPr>
        <w:t xml:space="preserve"> an incentive</w:t>
      </w:r>
      <w:r w:rsidR="18CD63A8" w:rsidRPr="00BF22D2">
        <w:rPr>
          <w:rFonts w:ascii="Century Gothic" w:eastAsia="Times New Roman" w:hAnsi="Century Gothic"/>
        </w:rPr>
        <w:t xml:space="preserve"> Grant Program for ECC/HANH </w:t>
      </w:r>
      <w:r w:rsidR="34C0C0A5" w:rsidRPr="00BF22D2">
        <w:rPr>
          <w:rFonts w:ascii="Century Gothic" w:eastAsia="Times New Roman" w:hAnsi="Century Gothic"/>
        </w:rPr>
        <w:t>r</w:t>
      </w:r>
      <w:r w:rsidR="18CD63A8" w:rsidRPr="00BF22D2">
        <w:rPr>
          <w:rFonts w:ascii="Century Gothic" w:eastAsia="Times New Roman" w:hAnsi="Century Gothic"/>
        </w:rPr>
        <w:t xml:space="preserve">esidents participating in </w:t>
      </w:r>
      <w:r w:rsidR="77442AB2" w:rsidRPr="00BF22D2">
        <w:rPr>
          <w:rFonts w:ascii="Century Gothic" w:eastAsia="Times New Roman" w:hAnsi="Century Gothic"/>
        </w:rPr>
        <w:t>the</w:t>
      </w:r>
      <w:r w:rsidR="18CD63A8" w:rsidRPr="00BF22D2">
        <w:rPr>
          <w:rFonts w:ascii="Century Gothic" w:eastAsia="Times New Roman" w:hAnsi="Century Gothic"/>
        </w:rPr>
        <w:t xml:space="preserve"> Family Self-Sufficiency </w:t>
      </w:r>
      <w:r w:rsidR="7F08CA57" w:rsidRPr="00BF22D2">
        <w:rPr>
          <w:rFonts w:ascii="Century Gothic" w:eastAsia="Times New Roman" w:hAnsi="Century Gothic"/>
        </w:rPr>
        <w:t xml:space="preserve">(FSS) </w:t>
      </w:r>
      <w:r w:rsidR="18CD63A8" w:rsidRPr="00BF22D2">
        <w:rPr>
          <w:rFonts w:ascii="Century Gothic" w:eastAsia="Times New Roman" w:hAnsi="Century Gothic"/>
        </w:rPr>
        <w:t>Program</w:t>
      </w:r>
      <w:r w:rsidR="682B884D" w:rsidRPr="00BF22D2">
        <w:rPr>
          <w:rFonts w:ascii="Century Gothic" w:eastAsia="Times New Roman" w:hAnsi="Century Gothic"/>
        </w:rPr>
        <w:t>.</w:t>
      </w:r>
      <w:r w:rsidR="18CD63A8" w:rsidRPr="00BF22D2">
        <w:rPr>
          <w:rFonts w:ascii="Century Gothic" w:eastAsia="Times New Roman" w:hAnsi="Century Gothic"/>
        </w:rPr>
        <w:t xml:space="preserve"> </w:t>
      </w:r>
      <w:r w:rsidR="5B646541" w:rsidRPr="00BF22D2">
        <w:rPr>
          <w:rFonts w:ascii="Century Gothic" w:eastAsia="Times New Roman" w:hAnsi="Century Gothic"/>
        </w:rPr>
        <w:t>T</w:t>
      </w:r>
      <w:r w:rsidR="18CD63A8" w:rsidRPr="00BF22D2">
        <w:rPr>
          <w:rFonts w:ascii="Century Gothic" w:eastAsia="Times New Roman" w:hAnsi="Century Gothic"/>
        </w:rPr>
        <w:t>he REACH Grant will provide cash assistance to residents seeking to achieve defined self-sufficiency goals. (Participants do not include residents enrolled in HUD FSS Program or ECC/HANH CARES Program).</w:t>
      </w:r>
    </w:p>
    <w:p w14:paraId="034BF0A6" w14:textId="0E3C2C86" w:rsidR="137E8B8F" w:rsidRPr="00BF22D2" w:rsidRDefault="3A0C19C0" w:rsidP="0C23D96A">
      <w:pPr>
        <w:shd w:val="clear" w:color="auto" w:fill="FFFFFF" w:themeFill="background1"/>
        <w:spacing w:after="200"/>
        <w:rPr>
          <w:rFonts w:ascii="Century Gothic" w:eastAsia="Times New Roman" w:hAnsi="Century Gothic"/>
        </w:rPr>
      </w:pPr>
      <w:r w:rsidRPr="00BF22D2">
        <w:rPr>
          <w:rFonts w:ascii="Century Gothic" w:eastAsia="Times New Roman" w:hAnsi="Century Gothic"/>
        </w:rPr>
        <w:t>In FY</w:t>
      </w:r>
      <w:r w:rsidR="3C95F5DD" w:rsidRPr="00BF22D2">
        <w:rPr>
          <w:rFonts w:ascii="Century Gothic" w:eastAsia="Times New Roman" w:hAnsi="Century Gothic"/>
        </w:rPr>
        <w:t>20</w:t>
      </w:r>
      <w:r w:rsidRPr="00BF22D2">
        <w:rPr>
          <w:rFonts w:ascii="Century Gothic" w:eastAsia="Times New Roman" w:hAnsi="Century Gothic"/>
        </w:rPr>
        <w:t xml:space="preserve">19 </w:t>
      </w:r>
      <w:r w:rsidR="692DDC2E" w:rsidRPr="00BF22D2">
        <w:rPr>
          <w:rFonts w:ascii="Century Gothic" w:eastAsia="Times New Roman" w:hAnsi="Century Gothic"/>
        </w:rPr>
        <w:t>ECC/HANH propose</w:t>
      </w:r>
      <w:r w:rsidR="67A37E81" w:rsidRPr="00BF22D2">
        <w:rPr>
          <w:rFonts w:ascii="Century Gothic" w:eastAsia="Times New Roman" w:hAnsi="Century Gothic"/>
        </w:rPr>
        <w:t>d</w:t>
      </w:r>
      <w:r w:rsidR="692DDC2E" w:rsidRPr="00BF22D2">
        <w:rPr>
          <w:rFonts w:ascii="Century Gothic" w:eastAsia="Times New Roman" w:hAnsi="Century Gothic"/>
        </w:rPr>
        <w:t xml:space="preserve"> to phase out and replace the Earned Income Exclusion </w:t>
      </w:r>
      <w:r w:rsidR="29373209" w:rsidRPr="00BF22D2">
        <w:rPr>
          <w:rFonts w:ascii="Century Gothic" w:eastAsia="Times New Roman" w:hAnsi="Century Gothic"/>
        </w:rPr>
        <w:t xml:space="preserve">(EIE) </w:t>
      </w:r>
      <w:r w:rsidR="692DDC2E" w:rsidRPr="00BF22D2">
        <w:rPr>
          <w:rFonts w:ascii="Century Gothic" w:eastAsia="Times New Roman" w:hAnsi="Century Gothic"/>
        </w:rPr>
        <w:t xml:space="preserve">program with the REACH Grant Program.  </w:t>
      </w:r>
      <w:r w:rsidR="29373209" w:rsidRPr="00BF22D2">
        <w:rPr>
          <w:rFonts w:ascii="Century Gothic" w:eastAsia="Times New Roman" w:hAnsi="Century Gothic"/>
        </w:rPr>
        <w:t xml:space="preserve">EIE was closed out </w:t>
      </w:r>
      <w:proofErr w:type="gramStart"/>
      <w:r w:rsidR="29373209" w:rsidRPr="00BF22D2">
        <w:rPr>
          <w:rFonts w:ascii="Century Gothic" w:eastAsia="Times New Roman" w:hAnsi="Century Gothic"/>
        </w:rPr>
        <w:t>in</w:t>
      </w:r>
      <w:proofErr w:type="gramEnd"/>
      <w:r w:rsidR="29373209" w:rsidRPr="00BF22D2">
        <w:rPr>
          <w:rFonts w:ascii="Century Gothic" w:eastAsia="Times New Roman" w:hAnsi="Century Gothic"/>
        </w:rPr>
        <w:t xml:space="preserve"> FY21.  </w:t>
      </w:r>
      <w:r w:rsidR="06E38378" w:rsidRPr="00BF22D2">
        <w:rPr>
          <w:rFonts w:ascii="Century Gothic" w:eastAsia="Times New Roman" w:hAnsi="Century Gothic"/>
        </w:rPr>
        <w:t xml:space="preserve">The REACH </w:t>
      </w:r>
      <w:r w:rsidR="182CDBF4" w:rsidRPr="00BF22D2">
        <w:rPr>
          <w:rFonts w:ascii="Century Gothic" w:eastAsia="Times New Roman" w:hAnsi="Century Gothic"/>
        </w:rPr>
        <w:t xml:space="preserve">Grant </w:t>
      </w:r>
      <w:r w:rsidR="06E38378" w:rsidRPr="00BF22D2">
        <w:rPr>
          <w:rFonts w:ascii="Century Gothic" w:eastAsia="Times New Roman" w:hAnsi="Century Gothic"/>
        </w:rPr>
        <w:t xml:space="preserve">program will allow </w:t>
      </w:r>
      <w:r w:rsidR="692DDC2E" w:rsidRPr="00BF22D2">
        <w:rPr>
          <w:rFonts w:ascii="Century Gothic" w:eastAsia="Times New Roman" w:hAnsi="Century Gothic"/>
        </w:rPr>
        <w:t xml:space="preserve">ECC/HANH residents that have elected to participate in the agency Non-HUD FSS Program, </w:t>
      </w:r>
      <w:r w:rsidR="7E9BBCEF" w:rsidRPr="00BF22D2">
        <w:rPr>
          <w:rFonts w:ascii="Century Gothic" w:eastAsia="Times New Roman" w:hAnsi="Century Gothic"/>
        </w:rPr>
        <w:t>the ability</w:t>
      </w:r>
      <w:r w:rsidR="692DDC2E" w:rsidRPr="00BF22D2">
        <w:rPr>
          <w:rFonts w:ascii="Century Gothic" w:eastAsia="Times New Roman" w:hAnsi="Century Gothic"/>
        </w:rPr>
        <w:t xml:space="preserve"> to apply for and receive up to $500 per year</w:t>
      </w:r>
      <w:r w:rsidR="3716B7C0" w:rsidRPr="00BF22D2">
        <w:rPr>
          <w:rFonts w:ascii="Century Gothic" w:eastAsia="Times New Roman" w:hAnsi="Century Gothic"/>
        </w:rPr>
        <w:t>,</w:t>
      </w:r>
      <w:r w:rsidR="692DDC2E" w:rsidRPr="00BF22D2">
        <w:rPr>
          <w:rFonts w:ascii="Century Gothic" w:eastAsia="Times New Roman" w:hAnsi="Century Gothic"/>
        </w:rPr>
        <w:t xml:space="preserve"> for up to 5-years</w:t>
      </w:r>
      <w:r w:rsidR="3716B7C0" w:rsidRPr="00BF22D2">
        <w:rPr>
          <w:rFonts w:ascii="Century Gothic" w:eastAsia="Times New Roman" w:hAnsi="Century Gothic"/>
        </w:rPr>
        <w:t>,</w:t>
      </w:r>
      <w:r w:rsidR="692DDC2E" w:rsidRPr="00BF22D2">
        <w:rPr>
          <w:rFonts w:ascii="Century Gothic" w:eastAsia="Times New Roman" w:hAnsi="Century Gothic"/>
        </w:rPr>
        <w:t xml:space="preserve"> to support the achievement of goals that they have established as part of the Individuals Self Sufficiency Plan.  </w:t>
      </w:r>
      <w:r w:rsidR="641D0FFB" w:rsidRPr="00BF22D2">
        <w:rPr>
          <w:rFonts w:ascii="Century Gothic" w:eastAsia="Times New Roman" w:hAnsi="Century Gothic"/>
        </w:rPr>
        <w:t>These</w:t>
      </w:r>
      <w:r w:rsidR="692DDC2E" w:rsidRPr="00BF22D2">
        <w:rPr>
          <w:rFonts w:ascii="Century Gothic" w:eastAsia="Times New Roman" w:hAnsi="Century Gothic"/>
        </w:rPr>
        <w:t xml:space="preserve"> funds will be managed by FSS Case Managers. </w:t>
      </w:r>
    </w:p>
    <w:p w14:paraId="74C1E4EB" w14:textId="1740EEAA" w:rsidR="137E8B8F" w:rsidRPr="00BF22D2" w:rsidRDefault="0361ACCE" w:rsidP="00B07A97">
      <w:pPr>
        <w:shd w:val="clear" w:color="auto" w:fill="FFFFFF" w:themeFill="background1"/>
        <w:spacing w:after="200"/>
        <w:rPr>
          <w:rFonts w:ascii="Century Gothic" w:eastAsia="Times New Roman" w:hAnsi="Century Gothic"/>
        </w:rPr>
      </w:pPr>
      <w:r w:rsidRPr="00BF22D2">
        <w:rPr>
          <w:rFonts w:ascii="Century Gothic" w:eastAsia="Times New Roman" w:hAnsi="Century Gothic"/>
        </w:rPr>
        <w:t xml:space="preserve">The REACH Grant Program </w:t>
      </w:r>
      <w:r w:rsidR="35DCAF4E" w:rsidRPr="00BF22D2">
        <w:rPr>
          <w:rFonts w:ascii="Century Gothic" w:eastAsia="Times New Roman" w:hAnsi="Century Gothic"/>
        </w:rPr>
        <w:t>is designed to</w:t>
      </w:r>
      <w:r w:rsidRPr="00BF22D2">
        <w:rPr>
          <w:rFonts w:ascii="Century Gothic" w:eastAsia="Times New Roman" w:hAnsi="Century Gothic"/>
        </w:rPr>
        <w:t xml:space="preserve"> reduce barriers and facilitate short term wins for residents as they move toward self-sufficiency.  REACH grant funds will not roll over from year-to-year.  The intent of not having funds carry forward </w:t>
      </w:r>
      <w:r w:rsidR="69D7DB5B" w:rsidRPr="00BF22D2">
        <w:rPr>
          <w:rFonts w:ascii="Century Gothic" w:eastAsia="Times New Roman" w:hAnsi="Century Gothic"/>
        </w:rPr>
        <w:t xml:space="preserve">from </w:t>
      </w:r>
      <w:r w:rsidRPr="00BF22D2">
        <w:rPr>
          <w:rFonts w:ascii="Century Gothic" w:eastAsia="Times New Roman" w:hAnsi="Century Gothic"/>
        </w:rPr>
        <w:t>one year to the next</w:t>
      </w:r>
      <w:r w:rsidR="69D7DB5B" w:rsidRPr="00BF22D2">
        <w:rPr>
          <w:rFonts w:ascii="Century Gothic" w:eastAsia="Times New Roman" w:hAnsi="Century Gothic"/>
        </w:rPr>
        <w:t>,</w:t>
      </w:r>
      <w:r w:rsidRPr="00BF22D2">
        <w:rPr>
          <w:rFonts w:ascii="Century Gothic" w:eastAsia="Times New Roman" w:hAnsi="Century Gothic"/>
        </w:rPr>
        <w:t xml:space="preserve"> place</w:t>
      </w:r>
      <w:r w:rsidR="69D7DB5B" w:rsidRPr="00BF22D2">
        <w:rPr>
          <w:rFonts w:ascii="Century Gothic" w:eastAsia="Times New Roman" w:hAnsi="Century Gothic"/>
        </w:rPr>
        <w:t>s</w:t>
      </w:r>
      <w:r w:rsidRPr="00BF22D2">
        <w:rPr>
          <w:rFonts w:ascii="Century Gothic" w:eastAsia="Times New Roman" w:hAnsi="Century Gothic"/>
        </w:rPr>
        <w:t xml:space="preserve"> an emphasis </w:t>
      </w:r>
      <w:proofErr w:type="gramStart"/>
      <w:r w:rsidRPr="00BF22D2">
        <w:rPr>
          <w:rFonts w:ascii="Century Gothic" w:eastAsia="Times New Roman" w:hAnsi="Century Gothic"/>
        </w:rPr>
        <w:t>of</w:t>
      </w:r>
      <w:proofErr w:type="gramEnd"/>
      <w:r w:rsidRPr="00BF22D2">
        <w:rPr>
          <w:rFonts w:ascii="Century Gothic" w:eastAsia="Times New Roman" w:hAnsi="Century Gothic"/>
        </w:rPr>
        <w:t xml:space="preserve"> goal achievement during each year of participation.  This is a departure </w:t>
      </w:r>
      <w:r w:rsidR="32CD4088" w:rsidRPr="00BF22D2">
        <w:rPr>
          <w:rFonts w:ascii="Century Gothic" w:eastAsia="Times New Roman" w:hAnsi="Century Gothic"/>
        </w:rPr>
        <w:t xml:space="preserve">from </w:t>
      </w:r>
      <w:r w:rsidRPr="00BF22D2">
        <w:rPr>
          <w:rFonts w:ascii="Century Gothic" w:eastAsia="Times New Roman" w:hAnsi="Century Gothic"/>
        </w:rPr>
        <w:t xml:space="preserve">previous programs that the Agency has established, </w:t>
      </w:r>
      <w:r w:rsidR="32CD4088" w:rsidRPr="00BF22D2">
        <w:rPr>
          <w:rFonts w:ascii="Century Gothic" w:eastAsia="Times New Roman" w:hAnsi="Century Gothic"/>
        </w:rPr>
        <w:t>for example,</w:t>
      </w:r>
      <w:r w:rsidRPr="00BF22D2">
        <w:rPr>
          <w:rFonts w:ascii="Century Gothic" w:eastAsia="Times New Roman" w:hAnsi="Century Gothic"/>
        </w:rPr>
        <w:t xml:space="preserve"> the CARES Program and the traditional HUD FSS Program, where participants can become eligible </w:t>
      </w:r>
      <w:r w:rsidR="32CD4088" w:rsidRPr="00BF22D2">
        <w:rPr>
          <w:rFonts w:ascii="Century Gothic" w:eastAsia="Times New Roman" w:hAnsi="Century Gothic"/>
        </w:rPr>
        <w:t xml:space="preserve">to </w:t>
      </w:r>
      <w:r w:rsidRPr="00BF22D2">
        <w:rPr>
          <w:rFonts w:ascii="Century Gothic" w:eastAsia="Times New Roman" w:hAnsi="Century Gothic"/>
        </w:rPr>
        <w:t>build or grow dollars in escrow accounts</w:t>
      </w:r>
      <w:r w:rsidR="32CD4088" w:rsidRPr="00BF22D2">
        <w:rPr>
          <w:rFonts w:ascii="Century Gothic" w:eastAsia="Times New Roman" w:hAnsi="Century Gothic"/>
        </w:rPr>
        <w:t>. The funds from the escrow accounts</w:t>
      </w:r>
      <w:r w:rsidRPr="00BF22D2">
        <w:rPr>
          <w:rFonts w:ascii="Century Gothic" w:eastAsia="Times New Roman" w:hAnsi="Century Gothic"/>
        </w:rPr>
        <w:t xml:space="preserve"> can be used to purchase automobiles, </w:t>
      </w:r>
      <w:r w:rsidR="32CD4088" w:rsidRPr="00BF22D2">
        <w:rPr>
          <w:rFonts w:ascii="Century Gothic" w:eastAsia="Times New Roman" w:hAnsi="Century Gothic"/>
        </w:rPr>
        <w:t xml:space="preserve">as a </w:t>
      </w:r>
      <w:r w:rsidRPr="00BF22D2">
        <w:rPr>
          <w:rFonts w:ascii="Century Gothic" w:eastAsia="Times New Roman" w:hAnsi="Century Gothic"/>
        </w:rPr>
        <w:t xml:space="preserve">down payment for home purchase or </w:t>
      </w:r>
      <w:r w:rsidR="32CD4088" w:rsidRPr="00BF22D2">
        <w:rPr>
          <w:rFonts w:ascii="Century Gothic" w:eastAsia="Times New Roman" w:hAnsi="Century Gothic"/>
        </w:rPr>
        <w:t xml:space="preserve">for </w:t>
      </w:r>
      <w:r w:rsidRPr="00BF22D2">
        <w:rPr>
          <w:rFonts w:ascii="Century Gothic" w:eastAsia="Times New Roman" w:hAnsi="Century Gothic"/>
        </w:rPr>
        <w:t xml:space="preserve">educational expenses. </w:t>
      </w:r>
    </w:p>
    <w:p w14:paraId="1C2AE70F" w14:textId="25D7CDA3" w:rsidR="137E8B8F" w:rsidRPr="00BF22D2" w:rsidRDefault="692DDC2E" w:rsidP="00B07A97">
      <w:pPr>
        <w:shd w:val="clear" w:color="auto" w:fill="FFFFFF" w:themeFill="background1"/>
        <w:spacing w:after="200"/>
        <w:rPr>
          <w:rFonts w:ascii="Century Gothic" w:eastAsia="Times New Roman" w:hAnsi="Century Gothic"/>
        </w:rPr>
      </w:pPr>
      <w:r w:rsidRPr="00BF22D2">
        <w:rPr>
          <w:rFonts w:ascii="Century Gothic" w:eastAsia="Times New Roman" w:hAnsi="Century Gothic"/>
        </w:rPr>
        <w:t xml:space="preserve"> REACH Grant Funds </w:t>
      </w:r>
      <w:r w:rsidR="69B3C238" w:rsidRPr="00BF22D2">
        <w:rPr>
          <w:rFonts w:ascii="Century Gothic" w:eastAsia="Times New Roman" w:hAnsi="Century Gothic"/>
        </w:rPr>
        <w:t>can</w:t>
      </w:r>
      <w:r w:rsidRPr="00BF22D2">
        <w:rPr>
          <w:rFonts w:ascii="Century Gothic" w:eastAsia="Times New Roman" w:hAnsi="Century Gothic"/>
        </w:rPr>
        <w:t xml:space="preserve"> be used by residents in the following ways:</w:t>
      </w:r>
    </w:p>
    <w:p w14:paraId="3B00427F" w14:textId="178C0A0D" w:rsidR="137E8B8F" w:rsidRPr="00BF22D2" w:rsidRDefault="137E8B8F" w:rsidP="0C23D96A">
      <w:pPr>
        <w:pStyle w:val="NoSpacing"/>
        <w:rPr>
          <w:rFonts w:ascii="Century Gothic" w:eastAsia="Times New Roman" w:hAnsi="Century Gothic" w:cs="Times New Roman"/>
          <w:sz w:val="22"/>
          <w:szCs w:val="22"/>
        </w:rPr>
      </w:pPr>
      <w:r w:rsidRPr="00BF22D2">
        <w:rPr>
          <w:rFonts w:ascii="Century Gothic" w:hAnsi="Century Gothic"/>
        </w:rPr>
        <w:tab/>
      </w:r>
      <w:r w:rsidRPr="00BF22D2">
        <w:rPr>
          <w:rFonts w:ascii="Century Gothic" w:eastAsia="Times New Roman" w:hAnsi="Century Gothic" w:cs="Times New Roman"/>
          <w:sz w:val="22"/>
          <w:szCs w:val="22"/>
        </w:rPr>
        <w:t>Books for School or Educational Courses</w:t>
      </w:r>
    </w:p>
    <w:p w14:paraId="567390BD" w14:textId="726A5D1A" w:rsidR="137E8B8F" w:rsidRPr="00BF22D2" w:rsidRDefault="137E8B8F" w:rsidP="0C23D96A">
      <w:pPr>
        <w:pStyle w:val="NoSpacing"/>
        <w:rPr>
          <w:rFonts w:ascii="Century Gothic" w:eastAsia="Times New Roman" w:hAnsi="Century Gothic" w:cs="Times New Roman"/>
          <w:sz w:val="22"/>
          <w:szCs w:val="22"/>
        </w:rPr>
      </w:pPr>
      <w:r w:rsidRPr="00BF22D2">
        <w:rPr>
          <w:rFonts w:ascii="Century Gothic" w:hAnsi="Century Gothic"/>
        </w:rPr>
        <w:tab/>
      </w:r>
      <w:r w:rsidRPr="00BF22D2">
        <w:rPr>
          <w:rFonts w:ascii="Century Gothic" w:eastAsia="Times New Roman" w:hAnsi="Century Gothic" w:cs="Times New Roman"/>
          <w:sz w:val="22"/>
          <w:szCs w:val="22"/>
        </w:rPr>
        <w:t>Application or Enrollment Fees</w:t>
      </w:r>
    </w:p>
    <w:p w14:paraId="2F387997" w14:textId="75829A1D" w:rsidR="137E8B8F" w:rsidRPr="00BF22D2" w:rsidRDefault="137E8B8F" w:rsidP="0C23D96A">
      <w:pPr>
        <w:pStyle w:val="NoSpacing"/>
        <w:rPr>
          <w:rFonts w:ascii="Century Gothic" w:eastAsia="Times New Roman" w:hAnsi="Century Gothic" w:cs="Times New Roman"/>
          <w:sz w:val="22"/>
          <w:szCs w:val="22"/>
        </w:rPr>
      </w:pPr>
      <w:r w:rsidRPr="00BF22D2">
        <w:rPr>
          <w:rFonts w:ascii="Century Gothic" w:hAnsi="Century Gothic"/>
        </w:rPr>
        <w:tab/>
      </w:r>
      <w:r w:rsidRPr="00BF22D2">
        <w:rPr>
          <w:rFonts w:ascii="Century Gothic" w:eastAsia="Times New Roman" w:hAnsi="Century Gothic" w:cs="Times New Roman"/>
          <w:sz w:val="22"/>
          <w:szCs w:val="22"/>
        </w:rPr>
        <w:t xml:space="preserve">Uniforms </w:t>
      </w:r>
    </w:p>
    <w:p w14:paraId="1C8A4F0E" w14:textId="2E5F4B7D" w:rsidR="137E8B8F" w:rsidRPr="00BF22D2" w:rsidRDefault="137E8B8F" w:rsidP="0C23D96A">
      <w:pPr>
        <w:pStyle w:val="NoSpacing"/>
        <w:rPr>
          <w:rFonts w:ascii="Century Gothic" w:eastAsia="Times New Roman" w:hAnsi="Century Gothic" w:cs="Times New Roman"/>
          <w:sz w:val="22"/>
          <w:szCs w:val="22"/>
        </w:rPr>
      </w:pPr>
      <w:r w:rsidRPr="00BF22D2">
        <w:rPr>
          <w:rFonts w:ascii="Century Gothic" w:hAnsi="Century Gothic"/>
        </w:rPr>
        <w:tab/>
      </w:r>
      <w:r w:rsidRPr="00BF22D2">
        <w:rPr>
          <w:rFonts w:ascii="Century Gothic" w:eastAsia="Times New Roman" w:hAnsi="Century Gothic" w:cs="Times New Roman"/>
          <w:sz w:val="22"/>
          <w:szCs w:val="22"/>
        </w:rPr>
        <w:t xml:space="preserve">Testing Requirements </w:t>
      </w:r>
    </w:p>
    <w:p w14:paraId="55AC0CC0" w14:textId="18DFC51E" w:rsidR="137E8B8F" w:rsidRPr="00BF22D2" w:rsidRDefault="137E8B8F" w:rsidP="0C23D96A">
      <w:pPr>
        <w:pStyle w:val="NoSpacing"/>
        <w:rPr>
          <w:rFonts w:ascii="Century Gothic" w:eastAsia="Times New Roman" w:hAnsi="Century Gothic" w:cs="Times New Roman"/>
          <w:sz w:val="22"/>
          <w:szCs w:val="22"/>
        </w:rPr>
      </w:pPr>
      <w:r w:rsidRPr="00BF22D2">
        <w:rPr>
          <w:rFonts w:ascii="Century Gothic" w:hAnsi="Century Gothic"/>
        </w:rPr>
        <w:tab/>
      </w:r>
      <w:r w:rsidRPr="00BF22D2">
        <w:rPr>
          <w:rFonts w:ascii="Century Gothic" w:eastAsia="Times New Roman" w:hAnsi="Century Gothic" w:cs="Times New Roman"/>
          <w:sz w:val="22"/>
          <w:szCs w:val="22"/>
        </w:rPr>
        <w:t>Tools and Equipment for Work</w:t>
      </w:r>
    </w:p>
    <w:p w14:paraId="3D861A8B" w14:textId="5B99C70B" w:rsidR="137E8B8F" w:rsidRPr="00BF22D2" w:rsidRDefault="137E8B8F" w:rsidP="0C23D96A">
      <w:pPr>
        <w:pStyle w:val="NoSpacing"/>
        <w:rPr>
          <w:rFonts w:ascii="Century Gothic" w:eastAsia="Times New Roman" w:hAnsi="Century Gothic" w:cs="Times New Roman"/>
          <w:sz w:val="22"/>
          <w:szCs w:val="22"/>
        </w:rPr>
      </w:pPr>
      <w:r w:rsidRPr="00BF22D2">
        <w:rPr>
          <w:rFonts w:ascii="Century Gothic" w:hAnsi="Century Gothic"/>
        </w:rPr>
        <w:tab/>
      </w:r>
      <w:r w:rsidRPr="00BF22D2">
        <w:rPr>
          <w:rFonts w:ascii="Century Gothic" w:eastAsia="Times New Roman" w:hAnsi="Century Gothic" w:cs="Times New Roman"/>
          <w:sz w:val="22"/>
          <w:szCs w:val="22"/>
        </w:rPr>
        <w:t xml:space="preserve">Technology </w:t>
      </w:r>
    </w:p>
    <w:p w14:paraId="3C366CCC" w14:textId="3575E536" w:rsidR="137E8B8F" w:rsidRPr="00BF22D2" w:rsidRDefault="137E8B8F" w:rsidP="0C23D96A">
      <w:pPr>
        <w:pStyle w:val="NoSpacing"/>
        <w:rPr>
          <w:rFonts w:ascii="Century Gothic" w:eastAsia="Times New Roman" w:hAnsi="Century Gothic" w:cs="Times New Roman"/>
          <w:sz w:val="22"/>
          <w:szCs w:val="22"/>
        </w:rPr>
      </w:pPr>
      <w:r w:rsidRPr="00BF22D2">
        <w:rPr>
          <w:rFonts w:ascii="Century Gothic" w:hAnsi="Century Gothic"/>
        </w:rPr>
        <w:tab/>
      </w:r>
      <w:r w:rsidRPr="00BF22D2">
        <w:rPr>
          <w:rFonts w:ascii="Century Gothic" w:eastAsia="Times New Roman" w:hAnsi="Century Gothic" w:cs="Times New Roman"/>
          <w:sz w:val="22"/>
          <w:szCs w:val="22"/>
        </w:rPr>
        <w:t xml:space="preserve">Small Emergencies </w:t>
      </w:r>
    </w:p>
    <w:p w14:paraId="7DCA18E3" w14:textId="06E717E5" w:rsidR="137E8B8F" w:rsidRDefault="137E8B8F" w:rsidP="0C23D96A">
      <w:pPr>
        <w:pStyle w:val="NoSpacing"/>
        <w:rPr>
          <w:rFonts w:ascii="Century Gothic" w:eastAsia="Times New Roman" w:hAnsi="Century Gothic" w:cs="Times New Roman"/>
          <w:sz w:val="22"/>
          <w:szCs w:val="22"/>
        </w:rPr>
      </w:pPr>
      <w:r w:rsidRPr="00BF22D2">
        <w:rPr>
          <w:rFonts w:ascii="Century Gothic" w:hAnsi="Century Gothic"/>
        </w:rPr>
        <w:tab/>
      </w:r>
      <w:r w:rsidRPr="00BF22D2">
        <w:rPr>
          <w:rFonts w:ascii="Century Gothic" w:eastAsia="Times New Roman" w:hAnsi="Century Gothic" w:cs="Times New Roman"/>
          <w:sz w:val="22"/>
          <w:szCs w:val="22"/>
        </w:rPr>
        <w:t xml:space="preserve">Short Term Transportation Needs </w:t>
      </w:r>
    </w:p>
    <w:p w14:paraId="29EE3166" w14:textId="77777777" w:rsidR="00D17164" w:rsidRDefault="00D17164" w:rsidP="0C23D96A">
      <w:pPr>
        <w:pStyle w:val="NoSpacing"/>
        <w:rPr>
          <w:rFonts w:ascii="Century Gothic" w:eastAsia="Times New Roman" w:hAnsi="Century Gothic" w:cs="Times New Roman"/>
          <w:sz w:val="22"/>
          <w:szCs w:val="22"/>
        </w:rPr>
      </w:pPr>
    </w:p>
    <w:p w14:paraId="75C4D7EE" w14:textId="3265B594" w:rsidR="56E8EC60" w:rsidRPr="00D17164" w:rsidRDefault="177661B7" w:rsidP="6EDDC8C1">
      <w:pPr>
        <w:shd w:val="clear" w:color="auto" w:fill="FFFFFF" w:themeFill="background1"/>
        <w:spacing w:after="200"/>
        <w:rPr>
          <w:rFonts w:ascii="Century Gothic" w:eastAsia="Times New Roman" w:hAnsi="Century Gothic"/>
          <w:b/>
          <w:bCs/>
        </w:rPr>
      </w:pPr>
      <w:r w:rsidRPr="00D17164">
        <w:rPr>
          <w:rFonts w:ascii="Century Gothic" w:eastAsia="Times New Roman" w:hAnsi="Century Gothic"/>
        </w:rPr>
        <w:t xml:space="preserve"> </w:t>
      </w:r>
      <w:r w:rsidR="23493B67" w:rsidRPr="00D17164">
        <w:rPr>
          <w:rFonts w:ascii="Century Gothic" w:eastAsia="Times New Roman" w:hAnsi="Century Gothic"/>
          <w:b/>
          <w:bCs/>
        </w:rPr>
        <w:t>Impact</w:t>
      </w:r>
    </w:p>
    <w:p w14:paraId="7C4451D4" w14:textId="00E93844" w:rsidR="67E85BAF" w:rsidRPr="00D17164" w:rsidRDefault="450542CC" w:rsidP="0E6C54AB">
      <w:pPr>
        <w:shd w:val="clear" w:color="auto" w:fill="FFFFFF" w:themeFill="background1"/>
        <w:spacing w:after="200"/>
        <w:rPr>
          <w:rFonts w:ascii="Century Gothic" w:eastAsia="Times New Roman" w:hAnsi="Century Gothic"/>
        </w:rPr>
      </w:pPr>
      <w:r w:rsidRPr="54BD8CC3">
        <w:rPr>
          <w:rFonts w:ascii="Century Gothic" w:eastAsia="Times New Roman" w:hAnsi="Century Gothic"/>
        </w:rPr>
        <w:t>In FY 2</w:t>
      </w:r>
      <w:r w:rsidR="01E3D9F7" w:rsidRPr="54BD8CC3">
        <w:rPr>
          <w:rFonts w:ascii="Century Gothic" w:eastAsia="Times New Roman" w:hAnsi="Century Gothic"/>
        </w:rPr>
        <w:t>4</w:t>
      </w:r>
      <w:r w:rsidRPr="54BD8CC3">
        <w:rPr>
          <w:rFonts w:ascii="Century Gothic" w:eastAsia="Times New Roman" w:hAnsi="Century Gothic"/>
        </w:rPr>
        <w:t xml:space="preserve">, </w:t>
      </w:r>
      <w:r w:rsidR="1D30154F" w:rsidRPr="54BD8CC3">
        <w:rPr>
          <w:rFonts w:ascii="Century Gothic" w:eastAsia="Times New Roman" w:hAnsi="Century Gothic"/>
        </w:rPr>
        <w:t xml:space="preserve">there </w:t>
      </w:r>
      <w:r w:rsidR="39EE10A1" w:rsidRPr="54BD8CC3">
        <w:rPr>
          <w:rFonts w:ascii="Century Gothic" w:eastAsia="Times New Roman" w:hAnsi="Century Gothic"/>
        </w:rPr>
        <w:t xml:space="preserve">were </w:t>
      </w:r>
      <w:r w:rsidR="00854176" w:rsidRPr="54BD8CC3">
        <w:rPr>
          <w:rFonts w:ascii="Century Gothic" w:eastAsia="Times New Roman" w:hAnsi="Century Gothic"/>
        </w:rPr>
        <w:t xml:space="preserve">2 </w:t>
      </w:r>
      <w:r w:rsidR="00854176">
        <w:rPr>
          <w:rFonts w:ascii="Century Gothic" w:eastAsia="Times New Roman" w:hAnsi="Century Gothic"/>
        </w:rPr>
        <w:t>requests</w:t>
      </w:r>
      <w:r w:rsidR="005F45B6">
        <w:rPr>
          <w:rFonts w:ascii="Century Gothic" w:eastAsia="Times New Roman" w:hAnsi="Century Gothic"/>
        </w:rPr>
        <w:t xml:space="preserve"> for</w:t>
      </w:r>
      <w:r w:rsidR="02006ED7" w:rsidRPr="54BD8CC3">
        <w:rPr>
          <w:rFonts w:ascii="Century Gothic" w:eastAsia="Times New Roman" w:hAnsi="Century Gothic"/>
        </w:rPr>
        <w:t xml:space="preserve"> REACH grants </w:t>
      </w:r>
      <w:r w:rsidR="3FB1F1D1" w:rsidRPr="54BD8CC3">
        <w:rPr>
          <w:rFonts w:ascii="Century Gothic" w:eastAsia="Times New Roman" w:hAnsi="Century Gothic"/>
        </w:rPr>
        <w:t xml:space="preserve">for </w:t>
      </w:r>
      <w:r w:rsidR="009067D2">
        <w:rPr>
          <w:rFonts w:ascii="Century Gothic" w:eastAsia="Times New Roman" w:hAnsi="Century Gothic"/>
        </w:rPr>
        <w:t xml:space="preserve">school </w:t>
      </w:r>
      <w:r w:rsidR="42E62A8C" w:rsidRPr="54BD8CC3">
        <w:rPr>
          <w:rFonts w:ascii="Century Gothic" w:eastAsia="Times New Roman" w:hAnsi="Century Gothic"/>
        </w:rPr>
        <w:t>tuition for school</w:t>
      </w:r>
      <w:r w:rsidR="487BD9F9" w:rsidRPr="54BD8CC3">
        <w:rPr>
          <w:rFonts w:ascii="Century Gothic" w:eastAsia="Times New Roman" w:hAnsi="Century Gothic"/>
        </w:rPr>
        <w:t xml:space="preserve"> and home </w:t>
      </w:r>
      <w:r w:rsidR="009340D5" w:rsidRPr="54BD8CC3">
        <w:rPr>
          <w:rFonts w:ascii="Century Gothic" w:eastAsia="Times New Roman" w:hAnsi="Century Gothic"/>
        </w:rPr>
        <w:t>need</w:t>
      </w:r>
      <w:r w:rsidR="009340D5">
        <w:rPr>
          <w:rFonts w:ascii="Century Gothic" w:eastAsia="Times New Roman" w:hAnsi="Century Gothic"/>
        </w:rPr>
        <w:t>s, which</w:t>
      </w:r>
      <w:r w:rsidR="005F45B6">
        <w:rPr>
          <w:rFonts w:ascii="Century Gothic" w:eastAsia="Times New Roman" w:hAnsi="Century Gothic"/>
        </w:rPr>
        <w:t xml:space="preserve"> were awarded for $500 each.</w:t>
      </w:r>
      <w:r w:rsidR="42E62A8C" w:rsidRPr="54BD8CC3">
        <w:rPr>
          <w:rFonts w:ascii="Century Gothic" w:eastAsia="Times New Roman" w:hAnsi="Century Gothic"/>
        </w:rPr>
        <w:t xml:space="preserve"> </w:t>
      </w:r>
      <w:r w:rsidR="0F7DAD72" w:rsidRPr="54BD8CC3">
        <w:rPr>
          <w:rFonts w:ascii="Century Gothic" w:eastAsia="Times New Roman" w:hAnsi="Century Gothic"/>
        </w:rPr>
        <w:t xml:space="preserve">CED will continue working on marketing efforts to ensure residents are </w:t>
      </w:r>
      <w:proofErr w:type="gramStart"/>
      <w:r w:rsidR="0F7DAD72" w:rsidRPr="54BD8CC3">
        <w:rPr>
          <w:rFonts w:ascii="Century Gothic" w:eastAsia="Times New Roman" w:hAnsi="Century Gothic"/>
        </w:rPr>
        <w:t>aware</w:t>
      </w:r>
      <w:proofErr w:type="gramEnd"/>
      <w:r w:rsidR="0F7DAD72" w:rsidRPr="54BD8CC3">
        <w:rPr>
          <w:rFonts w:ascii="Century Gothic" w:eastAsia="Times New Roman" w:hAnsi="Century Gothic"/>
        </w:rPr>
        <w:t xml:space="preserve"> the availability of the grant. </w:t>
      </w:r>
      <w:r w:rsidRPr="54BD8CC3">
        <w:rPr>
          <w:rFonts w:ascii="Century Gothic" w:eastAsia="Times New Roman" w:hAnsi="Century Gothic"/>
        </w:rPr>
        <w:t xml:space="preserve">  </w:t>
      </w:r>
    </w:p>
    <w:tbl>
      <w:tblPr>
        <w:tblW w:w="0" w:type="auto"/>
        <w:tblLook w:val="04A0" w:firstRow="1" w:lastRow="0" w:firstColumn="1" w:lastColumn="0" w:noHBand="0" w:noVBand="1"/>
      </w:tblPr>
      <w:tblGrid>
        <w:gridCol w:w="1550"/>
        <w:gridCol w:w="533"/>
        <w:gridCol w:w="2117"/>
        <w:gridCol w:w="2092"/>
        <w:gridCol w:w="1808"/>
        <w:gridCol w:w="1836"/>
      </w:tblGrid>
      <w:tr w:rsidR="0C23D96A" w:rsidRPr="00D17164" w14:paraId="139A542C" w14:textId="77777777" w:rsidTr="004850BE">
        <w:trPr>
          <w:trHeight w:val="300"/>
        </w:trPr>
        <w:tc>
          <w:tcPr>
            <w:tcW w:w="9936" w:type="dxa"/>
            <w:gridSpan w:val="6"/>
            <w:tcBorders>
              <w:top w:val="nil"/>
              <w:left w:val="nil"/>
              <w:bottom w:val="single" w:sz="24" w:space="0" w:color="A32F2E" w:themeColor="accent3" w:themeShade="BF"/>
              <w:right w:val="nil"/>
            </w:tcBorders>
            <w:shd w:val="clear" w:color="auto" w:fill="808080" w:themeFill="background1" w:themeFillShade="80"/>
          </w:tcPr>
          <w:p w14:paraId="2F1F5D6C" w14:textId="2BD00EEC" w:rsidR="0C23D96A" w:rsidRPr="00D17164" w:rsidRDefault="0C23D96A" w:rsidP="0C23D96A">
            <w:pPr>
              <w:jc w:val="center"/>
              <w:rPr>
                <w:rFonts w:ascii="Century Gothic" w:hAnsi="Century Gothic"/>
              </w:rPr>
            </w:pPr>
            <w:r w:rsidRPr="00D17164">
              <w:rPr>
                <w:rFonts w:ascii="Century Gothic" w:eastAsia="Times New Roman" w:hAnsi="Century Gothic"/>
                <w:b/>
                <w:bCs/>
              </w:rPr>
              <w:t>SS #1: Increase in Household Income</w:t>
            </w:r>
          </w:p>
        </w:tc>
      </w:tr>
      <w:tr w:rsidR="0C23D96A" w:rsidRPr="00D17164" w14:paraId="34F8F24E" w14:textId="77777777" w:rsidTr="004850BE">
        <w:trPr>
          <w:trHeight w:val="345"/>
        </w:trPr>
        <w:tc>
          <w:tcPr>
            <w:tcW w:w="2083" w:type="dxa"/>
            <w:gridSpan w:val="2"/>
            <w:tcBorders>
              <w:top w:val="single" w:sz="24" w:space="0" w:color="A32F2E" w:themeColor="accent3" w:themeShade="BF"/>
              <w:left w:val="nil"/>
              <w:bottom w:val="nil"/>
              <w:right w:val="single" w:sz="8" w:space="0" w:color="D9D9D9" w:themeColor="background1" w:themeShade="D9"/>
            </w:tcBorders>
            <w:shd w:val="clear" w:color="auto" w:fill="BFBFBF" w:themeFill="background1" w:themeFillShade="BF"/>
            <w:vAlign w:val="center"/>
          </w:tcPr>
          <w:p w14:paraId="308A7E51" w14:textId="1F38C0B3" w:rsidR="0C23D96A" w:rsidRPr="00D17164" w:rsidRDefault="0C23D96A" w:rsidP="0C23D96A">
            <w:pPr>
              <w:jc w:val="center"/>
              <w:rPr>
                <w:rFonts w:ascii="Century Gothic" w:hAnsi="Century Gothic"/>
              </w:rPr>
            </w:pPr>
            <w:r w:rsidRPr="00D17164">
              <w:rPr>
                <w:rFonts w:ascii="Century Gothic" w:eastAsia="Times New Roman" w:hAnsi="Century Gothic"/>
                <w:b/>
                <w:bCs/>
                <w:color w:val="000000" w:themeColor="text1"/>
              </w:rPr>
              <w:t>Unit of Measurement</w:t>
            </w:r>
          </w:p>
        </w:tc>
        <w:tc>
          <w:tcPr>
            <w:tcW w:w="2117" w:type="dxa"/>
            <w:tcBorders>
              <w:top w:val="nil"/>
              <w:left w:val="single" w:sz="8" w:space="0" w:color="D9D9D9" w:themeColor="background1" w:themeShade="D9"/>
              <w:bottom w:val="nil"/>
              <w:right w:val="single" w:sz="8" w:space="0" w:color="D9D9D9" w:themeColor="background1" w:themeShade="D9"/>
            </w:tcBorders>
            <w:shd w:val="clear" w:color="auto" w:fill="BFBFBF" w:themeFill="background1" w:themeFillShade="BF"/>
            <w:vAlign w:val="center"/>
          </w:tcPr>
          <w:p w14:paraId="6F791A3B" w14:textId="62B04DF8" w:rsidR="0C23D96A" w:rsidRPr="00D17164" w:rsidRDefault="0C23D96A" w:rsidP="0C23D96A">
            <w:pPr>
              <w:jc w:val="center"/>
              <w:rPr>
                <w:rFonts w:ascii="Century Gothic" w:hAnsi="Century Gothic"/>
              </w:rPr>
            </w:pPr>
            <w:r w:rsidRPr="00D17164">
              <w:rPr>
                <w:rFonts w:ascii="Century Gothic" w:eastAsia="Times New Roman" w:hAnsi="Century Gothic"/>
                <w:b/>
                <w:bCs/>
                <w:color w:val="000000" w:themeColor="text1"/>
              </w:rPr>
              <w:t>Baseline</w:t>
            </w:r>
          </w:p>
        </w:tc>
        <w:tc>
          <w:tcPr>
            <w:tcW w:w="2092" w:type="dxa"/>
            <w:tcBorders>
              <w:top w:val="nil"/>
              <w:left w:val="single" w:sz="8" w:space="0" w:color="D9D9D9" w:themeColor="background1" w:themeShade="D9"/>
              <w:bottom w:val="nil"/>
              <w:right w:val="single" w:sz="8" w:space="0" w:color="D9D9D9" w:themeColor="background1" w:themeShade="D9"/>
            </w:tcBorders>
            <w:shd w:val="clear" w:color="auto" w:fill="BFBFBF" w:themeFill="background1" w:themeFillShade="BF"/>
            <w:vAlign w:val="center"/>
          </w:tcPr>
          <w:p w14:paraId="59CDF032" w14:textId="2833236E" w:rsidR="0C23D96A" w:rsidRPr="00D17164" w:rsidRDefault="0C23D96A" w:rsidP="0C23D96A">
            <w:pPr>
              <w:jc w:val="center"/>
              <w:rPr>
                <w:rFonts w:ascii="Century Gothic" w:hAnsi="Century Gothic"/>
              </w:rPr>
            </w:pPr>
            <w:r w:rsidRPr="00D17164">
              <w:rPr>
                <w:rFonts w:ascii="Century Gothic" w:eastAsia="Times New Roman" w:hAnsi="Century Gothic"/>
                <w:b/>
                <w:bCs/>
                <w:color w:val="000000" w:themeColor="text1"/>
              </w:rPr>
              <w:t>Benchmark</w:t>
            </w:r>
          </w:p>
        </w:tc>
        <w:tc>
          <w:tcPr>
            <w:tcW w:w="1808" w:type="dxa"/>
            <w:tcBorders>
              <w:top w:val="nil"/>
              <w:left w:val="single" w:sz="8" w:space="0" w:color="D9D9D9" w:themeColor="background1" w:themeShade="D9"/>
              <w:bottom w:val="nil"/>
              <w:right w:val="single" w:sz="8" w:space="0" w:color="D9D9D9" w:themeColor="background1" w:themeShade="D9"/>
            </w:tcBorders>
            <w:shd w:val="clear" w:color="auto" w:fill="BFBFBF" w:themeFill="background1" w:themeFillShade="BF"/>
            <w:vAlign w:val="center"/>
          </w:tcPr>
          <w:p w14:paraId="1351EE08" w14:textId="6A68E23C" w:rsidR="0C23D96A" w:rsidRPr="00D17164" w:rsidRDefault="256477D3" w:rsidP="0C23D96A">
            <w:pPr>
              <w:jc w:val="center"/>
              <w:rPr>
                <w:rFonts w:ascii="Century Gothic" w:hAnsi="Century Gothic"/>
              </w:rPr>
            </w:pPr>
            <w:r w:rsidRPr="00D17164">
              <w:rPr>
                <w:rFonts w:ascii="Century Gothic" w:eastAsia="Times New Roman" w:hAnsi="Century Gothic"/>
                <w:b/>
                <w:bCs/>
                <w:color w:val="000000" w:themeColor="text1"/>
              </w:rPr>
              <w:t>Outcome</w:t>
            </w:r>
          </w:p>
        </w:tc>
        <w:tc>
          <w:tcPr>
            <w:tcW w:w="1836" w:type="dxa"/>
            <w:tcBorders>
              <w:top w:val="nil"/>
              <w:left w:val="single" w:sz="8" w:space="0" w:color="D9D9D9" w:themeColor="background1" w:themeShade="D9"/>
              <w:bottom w:val="nil"/>
              <w:right w:val="nil"/>
            </w:tcBorders>
            <w:shd w:val="clear" w:color="auto" w:fill="BFBFBF" w:themeFill="background1" w:themeFillShade="BF"/>
            <w:vAlign w:val="center"/>
          </w:tcPr>
          <w:p w14:paraId="3D04F422" w14:textId="5A341EA5" w:rsidR="0C23D96A" w:rsidRPr="00D17164" w:rsidRDefault="0C23D96A" w:rsidP="0C23D96A">
            <w:pPr>
              <w:jc w:val="center"/>
              <w:rPr>
                <w:rFonts w:ascii="Century Gothic" w:hAnsi="Century Gothic"/>
              </w:rPr>
            </w:pPr>
            <w:r w:rsidRPr="00D17164">
              <w:rPr>
                <w:rFonts w:ascii="Century Gothic" w:eastAsia="Times New Roman" w:hAnsi="Century Gothic"/>
                <w:b/>
                <w:bCs/>
                <w:color w:val="000000" w:themeColor="text1"/>
              </w:rPr>
              <w:t>Benchmark Achieved?</w:t>
            </w:r>
          </w:p>
        </w:tc>
      </w:tr>
      <w:tr w:rsidR="0C23D96A" w:rsidRPr="00D17164" w14:paraId="7F6C5D4E" w14:textId="77777777" w:rsidTr="004850BE">
        <w:trPr>
          <w:trHeight w:val="1065"/>
        </w:trPr>
        <w:tc>
          <w:tcPr>
            <w:tcW w:w="2083" w:type="dxa"/>
            <w:gridSpan w:val="2"/>
            <w:tcBorders>
              <w:top w:val="nil"/>
              <w:left w:val="nil"/>
              <w:bottom w:val="single" w:sz="8" w:space="0" w:color="D9D9D9" w:themeColor="background1" w:themeShade="D9"/>
              <w:right w:val="single" w:sz="8" w:space="0" w:color="D9D9D9" w:themeColor="background1" w:themeShade="D9"/>
            </w:tcBorders>
          </w:tcPr>
          <w:p w14:paraId="22D0DA21" w14:textId="4A53C527" w:rsidR="0C23D96A" w:rsidRPr="00D17164" w:rsidRDefault="20C3F532" w:rsidP="145A5A95">
            <w:pPr>
              <w:rPr>
                <w:rFonts w:ascii="Century Gothic" w:eastAsia="Times New Roman" w:hAnsi="Century Gothic"/>
              </w:rPr>
            </w:pPr>
            <w:r w:rsidRPr="00D17164">
              <w:rPr>
                <w:rFonts w:ascii="Century Gothic" w:eastAsia="Times New Roman" w:hAnsi="Century Gothic"/>
              </w:rPr>
              <w:lastRenderedPageBreak/>
              <w:t>Average Income for REACH participants</w:t>
            </w:r>
          </w:p>
        </w:tc>
        <w:tc>
          <w:tcPr>
            <w:tcW w:w="2117"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093E5723" w14:textId="77777777" w:rsidR="0C23D96A" w:rsidRPr="00D17164" w:rsidRDefault="20C3F532" w:rsidP="145A5A95">
            <w:pPr>
              <w:rPr>
                <w:rFonts w:ascii="Century Gothic" w:eastAsia="Times New Roman" w:hAnsi="Century Gothic"/>
              </w:rPr>
            </w:pPr>
            <w:r w:rsidRPr="00D17164">
              <w:rPr>
                <w:rFonts w:ascii="Century Gothic" w:eastAsia="Times New Roman" w:hAnsi="Century Gothic"/>
              </w:rPr>
              <w:t>Average income of population: $14,000 (</w:t>
            </w:r>
            <w:r w:rsidR="2756E2E3" w:rsidRPr="00D17164">
              <w:rPr>
                <w:rFonts w:ascii="Century Gothic" w:eastAsia="Times New Roman" w:hAnsi="Century Gothic"/>
              </w:rPr>
              <w:t>for</w:t>
            </w:r>
            <w:r w:rsidRPr="00D17164">
              <w:rPr>
                <w:rFonts w:ascii="Century Gothic" w:eastAsia="Times New Roman" w:hAnsi="Century Gothic"/>
              </w:rPr>
              <w:t xml:space="preserve"> non-HUD FSS)</w:t>
            </w:r>
          </w:p>
          <w:p w14:paraId="7AB4E31F" w14:textId="77777777" w:rsidR="0090690C" w:rsidRPr="00D17164" w:rsidRDefault="0090690C" w:rsidP="145A5A95">
            <w:pPr>
              <w:rPr>
                <w:rFonts w:ascii="Century Gothic" w:eastAsia="Times New Roman" w:hAnsi="Century Gothic"/>
              </w:rPr>
            </w:pPr>
          </w:p>
          <w:p w14:paraId="05A572B2" w14:textId="36816A71" w:rsidR="0090690C" w:rsidRPr="00D17164" w:rsidRDefault="0090690C" w:rsidP="145A5A95">
            <w:pPr>
              <w:rPr>
                <w:rFonts w:ascii="Century Gothic" w:eastAsia="Times New Roman" w:hAnsi="Century Gothic"/>
              </w:rPr>
            </w:pPr>
            <w:r w:rsidRPr="00D17164">
              <w:rPr>
                <w:rFonts w:ascii="Century Gothic" w:eastAsia="Times New Roman" w:hAnsi="Century Gothic"/>
              </w:rPr>
              <w:t>2024: $1</w:t>
            </w:r>
            <w:r w:rsidR="00B97B0B" w:rsidRPr="00D17164">
              <w:rPr>
                <w:rFonts w:ascii="Century Gothic" w:eastAsia="Times New Roman" w:hAnsi="Century Gothic"/>
              </w:rPr>
              <w:t>7,192 (adjusted for inflation)</w:t>
            </w:r>
          </w:p>
        </w:tc>
        <w:tc>
          <w:tcPr>
            <w:tcW w:w="2092"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4D5C8067" w14:textId="4FAA4FCB" w:rsidR="0C23D96A" w:rsidRPr="00D17164" w:rsidRDefault="20C3F532" w:rsidP="0C23D96A">
            <w:pPr>
              <w:rPr>
                <w:rFonts w:ascii="Century Gothic" w:eastAsia="Times New Roman" w:hAnsi="Century Gothic"/>
              </w:rPr>
            </w:pPr>
            <w:r w:rsidRPr="00D17164">
              <w:rPr>
                <w:rFonts w:ascii="Century Gothic" w:eastAsia="Times New Roman" w:hAnsi="Century Gothic"/>
                <w:sz w:val="20"/>
                <w:szCs w:val="20"/>
              </w:rPr>
              <w:t xml:space="preserve">5% Increase in Household Income </w:t>
            </w:r>
            <w:r w:rsidR="6FBA812B" w:rsidRPr="00D17164">
              <w:rPr>
                <w:rFonts w:ascii="Century Gothic" w:eastAsia="Times New Roman" w:hAnsi="Century Gothic"/>
                <w:sz w:val="20"/>
                <w:szCs w:val="20"/>
              </w:rPr>
              <w:t>for Non</w:t>
            </w:r>
            <w:r w:rsidRPr="00D17164">
              <w:rPr>
                <w:rFonts w:ascii="Century Gothic" w:eastAsia="Times New Roman" w:hAnsi="Century Gothic"/>
                <w:sz w:val="20"/>
                <w:szCs w:val="20"/>
              </w:rPr>
              <w:t>-HUD FSS Participants in the REACH Grant Program</w:t>
            </w:r>
          </w:p>
        </w:tc>
        <w:tc>
          <w:tcPr>
            <w:tcW w:w="180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7B3EEB94" w14:textId="2F706304" w:rsidR="1756230A" w:rsidRPr="00D17164" w:rsidRDefault="1756230A" w:rsidP="6EDDC8C1">
            <w:pPr>
              <w:rPr>
                <w:rFonts w:ascii="Century Gothic" w:eastAsia="MS PGothic" w:hAnsi="Century Gothic"/>
              </w:rPr>
            </w:pPr>
            <w:r w:rsidRPr="00D17164">
              <w:rPr>
                <w:rFonts w:ascii="Century Gothic" w:eastAsia="Times New Roman" w:hAnsi="Century Gothic"/>
              </w:rPr>
              <w:t>202</w:t>
            </w:r>
            <w:r w:rsidR="1A765BB3" w:rsidRPr="00D17164">
              <w:rPr>
                <w:rFonts w:ascii="Century Gothic" w:eastAsia="Times New Roman" w:hAnsi="Century Gothic"/>
              </w:rPr>
              <w:t>4</w:t>
            </w:r>
            <w:r w:rsidRPr="00D17164">
              <w:rPr>
                <w:rFonts w:ascii="Century Gothic" w:eastAsia="Times New Roman" w:hAnsi="Century Gothic"/>
              </w:rPr>
              <w:t>: $</w:t>
            </w:r>
            <w:r w:rsidR="48E92BBC" w:rsidRPr="00D17164">
              <w:rPr>
                <w:rFonts w:ascii="Century Gothic" w:eastAsia="Times New Roman" w:hAnsi="Century Gothic"/>
              </w:rPr>
              <w:t>46,904</w:t>
            </w:r>
            <w:r w:rsidRPr="00D17164">
              <w:rPr>
                <w:rFonts w:ascii="Century Gothic" w:eastAsia="Times New Roman" w:hAnsi="Century Gothic"/>
              </w:rPr>
              <w:t xml:space="preserve"> </w:t>
            </w:r>
          </w:p>
          <w:p w14:paraId="11D3D8A8" w14:textId="71B36A42" w:rsidR="1756230A" w:rsidRPr="00D17164" w:rsidRDefault="1756230A" w:rsidP="6EDDC8C1">
            <w:pPr>
              <w:rPr>
                <w:rFonts w:ascii="Century Gothic" w:eastAsia="MS PGothic" w:hAnsi="Century Gothic"/>
              </w:rPr>
            </w:pPr>
            <w:r w:rsidRPr="00D17164">
              <w:rPr>
                <w:rFonts w:ascii="Century Gothic" w:eastAsia="Times New Roman" w:hAnsi="Century Gothic"/>
              </w:rPr>
              <w:t>(</w:t>
            </w:r>
            <w:r w:rsidR="4DB51A44" w:rsidRPr="00D17164">
              <w:rPr>
                <w:rFonts w:ascii="Century Gothic" w:eastAsia="Times New Roman" w:hAnsi="Century Gothic"/>
              </w:rPr>
              <w:t>2</w:t>
            </w:r>
            <w:r w:rsidRPr="00D17164">
              <w:rPr>
                <w:rFonts w:ascii="Century Gothic" w:eastAsia="Times New Roman" w:hAnsi="Century Gothic"/>
              </w:rPr>
              <w:t xml:space="preserve"> participants) </w:t>
            </w:r>
          </w:p>
          <w:p w14:paraId="00CDAA13" w14:textId="546CD1BD" w:rsidR="6EDDC8C1" w:rsidRPr="00D17164" w:rsidRDefault="6EDDC8C1" w:rsidP="6468795D">
            <w:pPr>
              <w:rPr>
                <w:rFonts w:ascii="Century Gothic" w:eastAsia="Times New Roman" w:hAnsi="Century Gothic"/>
              </w:rPr>
            </w:pPr>
          </w:p>
          <w:p w14:paraId="7D410DE6" w14:textId="4C699DB7" w:rsidR="00FF3D55" w:rsidRPr="00D17164" w:rsidRDefault="08212977" w:rsidP="4C4F5E4A">
            <w:pPr>
              <w:rPr>
                <w:rFonts w:ascii="Century Gothic" w:eastAsia="MS PGothic" w:hAnsi="Century Gothic"/>
              </w:rPr>
            </w:pPr>
            <w:r w:rsidRPr="00D17164">
              <w:rPr>
                <w:rFonts w:ascii="Century Gothic" w:eastAsia="Times New Roman" w:hAnsi="Century Gothic"/>
              </w:rPr>
              <w:t>202</w:t>
            </w:r>
            <w:r w:rsidR="6252BFF9" w:rsidRPr="00D17164">
              <w:rPr>
                <w:rFonts w:ascii="Century Gothic" w:eastAsia="Times New Roman" w:hAnsi="Century Gothic"/>
              </w:rPr>
              <w:t>3</w:t>
            </w:r>
            <w:r w:rsidRPr="00D17164">
              <w:rPr>
                <w:rFonts w:ascii="Century Gothic" w:eastAsia="Times New Roman" w:hAnsi="Century Gothic"/>
              </w:rPr>
              <w:t>: $</w:t>
            </w:r>
            <w:r w:rsidR="5ADDC884" w:rsidRPr="00D17164">
              <w:rPr>
                <w:rFonts w:ascii="Century Gothic" w:eastAsia="Times New Roman" w:hAnsi="Century Gothic"/>
              </w:rPr>
              <w:t>24,134</w:t>
            </w:r>
            <w:r w:rsidR="10F6048B" w:rsidRPr="00D17164">
              <w:rPr>
                <w:rFonts w:ascii="Century Gothic" w:eastAsia="Times New Roman" w:hAnsi="Century Gothic"/>
              </w:rPr>
              <w:t xml:space="preserve"> </w:t>
            </w:r>
          </w:p>
          <w:p w14:paraId="6AB60274" w14:textId="08ADBC5A" w:rsidR="00FF3D55" w:rsidRPr="00D17164" w:rsidRDefault="08212977" w:rsidP="4C4F5E4A">
            <w:pPr>
              <w:rPr>
                <w:rFonts w:ascii="Century Gothic" w:eastAsia="MS PGothic" w:hAnsi="Century Gothic"/>
              </w:rPr>
            </w:pPr>
            <w:r w:rsidRPr="00D17164">
              <w:rPr>
                <w:rFonts w:ascii="Century Gothic" w:eastAsia="Times New Roman" w:hAnsi="Century Gothic"/>
              </w:rPr>
              <w:t>(</w:t>
            </w:r>
            <w:r w:rsidR="67347EEB" w:rsidRPr="00D17164">
              <w:rPr>
                <w:rFonts w:ascii="Century Gothic" w:eastAsia="Times New Roman" w:hAnsi="Century Gothic"/>
              </w:rPr>
              <w:t>2</w:t>
            </w:r>
            <w:r w:rsidRPr="00D17164">
              <w:rPr>
                <w:rFonts w:ascii="Century Gothic" w:eastAsia="Times New Roman" w:hAnsi="Century Gothic"/>
              </w:rPr>
              <w:t xml:space="preserve"> participants)</w:t>
            </w:r>
            <w:r w:rsidR="4C515CC7" w:rsidRPr="00D17164">
              <w:rPr>
                <w:rFonts w:ascii="Century Gothic" w:eastAsia="Times New Roman" w:hAnsi="Century Gothic"/>
              </w:rPr>
              <w:t xml:space="preserve"> </w:t>
            </w:r>
          </w:p>
          <w:p w14:paraId="0BF256C6" w14:textId="4E8B8DB1" w:rsidR="00FF3D55" w:rsidRPr="00D17164" w:rsidRDefault="6018A55B" w:rsidP="00FF3D55">
            <w:pPr>
              <w:rPr>
                <w:rFonts w:ascii="Century Gothic" w:eastAsia="MS PGothic" w:hAnsi="Century Gothic"/>
              </w:rPr>
            </w:pPr>
            <w:r w:rsidRPr="00D17164">
              <w:rPr>
                <w:rFonts w:ascii="Century Gothic" w:eastAsia="Times New Roman" w:hAnsi="Century Gothic"/>
              </w:rPr>
              <w:t>79</w:t>
            </w:r>
            <w:r w:rsidR="4C515CC7" w:rsidRPr="00D17164">
              <w:rPr>
                <w:rFonts w:ascii="Century Gothic" w:eastAsia="Times New Roman" w:hAnsi="Century Gothic"/>
              </w:rPr>
              <w:t>% increase</w:t>
            </w:r>
          </w:p>
          <w:p w14:paraId="2F32E401" w14:textId="170C7695" w:rsidR="4C4F5E4A" w:rsidRPr="00D17164" w:rsidRDefault="4C4F5E4A" w:rsidP="4C4F5E4A">
            <w:pPr>
              <w:rPr>
                <w:rFonts w:ascii="Century Gothic" w:eastAsia="Times New Roman" w:hAnsi="Century Gothic"/>
              </w:rPr>
            </w:pPr>
          </w:p>
          <w:p w14:paraId="75813381" w14:textId="4CBFE626" w:rsidR="67E85BAF" w:rsidRPr="00D17164" w:rsidRDefault="61733873" w:rsidP="4C4F5E4A">
            <w:pPr>
              <w:rPr>
                <w:rFonts w:ascii="Century Gothic" w:eastAsia="MS PGothic" w:hAnsi="Century Gothic"/>
              </w:rPr>
            </w:pPr>
            <w:r w:rsidRPr="00D17164">
              <w:rPr>
                <w:rFonts w:ascii="Century Gothic" w:eastAsia="Times New Roman" w:hAnsi="Century Gothic"/>
              </w:rPr>
              <w:t xml:space="preserve">2022: </w:t>
            </w:r>
            <w:r w:rsidR="7B19AD96" w:rsidRPr="00D17164">
              <w:rPr>
                <w:rFonts w:ascii="Century Gothic" w:eastAsia="Times New Roman" w:hAnsi="Century Gothic"/>
              </w:rPr>
              <w:t>$</w:t>
            </w:r>
            <w:r w:rsidRPr="00D17164">
              <w:rPr>
                <w:rFonts w:ascii="Century Gothic" w:eastAsia="Times New Roman" w:hAnsi="Century Gothic"/>
              </w:rPr>
              <w:t xml:space="preserve">13,520 </w:t>
            </w:r>
          </w:p>
          <w:p w14:paraId="29782201" w14:textId="2A3CA1A3" w:rsidR="67E85BAF" w:rsidRPr="00D17164" w:rsidRDefault="61733873" w:rsidP="0D8BAA9B">
            <w:pPr>
              <w:rPr>
                <w:rFonts w:ascii="Century Gothic" w:eastAsia="MS PGothic" w:hAnsi="Century Gothic"/>
              </w:rPr>
            </w:pPr>
            <w:r w:rsidRPr="00D17164">
              <w:rPr>
                <w:rFonts w:ascii="Century Gothic" w:eastAsia="Times New Roman" w:hAnsi="Century Gothic"/>
              </w:rPr>
              <w:t>(8 participants)</w:t>
            </w:r>
          </w:p>
          <w:p w14:paraId="3036CB01" w14:textId="51B8DEE6" w:rsidR="18591303" w:rsidRPr="00D17164" w:rsidRDefault="18591303" w:rsidP="4C4F5E4A">
            <w:pPr>
              <w:rPr>
                <w:rFonts w:ascii="Century Gothic" w:eastAsia="Times New Roman" w:hAnsi="Century Gothic"/>
              </w:rPr>
            </w:pPr>
            <w:r w:rsidRPr="00D17164">
              <w:rPr>
                <w:rFonts w:ascii="Century Gothic" w:eastAsia="Times New Roman" w:hAnsi="Century Gothic"/>
              </w:rPr>
              <w:t>225% increase</w:t>
            </w:r>
          </w:p>
          <w:p w14:paraId="69284D9B" w14:textId="1A37C420" w:rsidR="4C4F5E4A" w:rsidRPr="00D17164" w:rsidRDefault="4C4F5E4A" w:rsidP="4C4F5E4A">
            <w:pPr>
              <w:rPr>
                <w:rFonts w:ascii="Century Gothic" w:eastAsia="Times New Roman" w:hAnsi="Century Gothic"/>
              </w:rPr>
            </w:pPr>
          </w:p>
          <w:p w14:paraId="4E6C1F0D" w14:textId="68E6E0A2" w:rsidR="0C23D96A" w:rsidRPr="00D17164" w:rsidRDefault="67AB4992" w:rsidP="4C4F5E4A">
            <w:pPr>
              <w:rPr>
                <w:rFonts w:ascii="Century Gothic" w:eastAsia="Times New Roman" w:hAnsi="Century Gothic"/>
              </w:rPr>
            </w:pPr>
            <w:r w:rsidRPr="00D17164">
              <w:rPr>
                <w:rFonts w:ascii="Century Gothic" w:eastAsia="Times New Roman" w:hAnsi="Century Gothic"/>
              </w:rPr>
              <w:t>2021</w:t>
            </w:r>
            <w:r w:rsidR="004850BE" w:rsidRPr="00D17164">
              <w:rPr>
                <w:rFonts w:ascii="Century Gothic" w:eastAsia="Times New Roman" w:hAnsi="Century Gothic"/>
              </w:rPr>
              <w:t>: $</w:t>
            </w:r>
            <w:r w:rsidRPr="00D17164">
              <w:rPr>
                <w:rFonts w:ascii="Century Gothic" w:eastAsia="Times New Roman" w:hAnsi="Century Gothic"/>
              </w:rPr>
              <w:t xml:space="preserve">4,160 </w:t>
            </w:r>
          </w:p>
          <w:p w14:paraId="62B72579" w14:textId="18DFAF99" w:rsidR="0C23D96A" w:rsidRPr="00D17164" w:rsidRDefault="249601B7" w:rsidP="0C23D96A">
            <w:pPr>
              <w:rPr>
                <w:rFonts w:ascii="Century Gothic" w:eastAsia="Times New Roman" w:hAnsi="Century Gothic"/>
              </w:rPr>
            </w:pPr>
            <w:r w:rsidRPr="00D17164">
              <w:rPr>
                <w:rFonts w:ascii="Century Gothic" w:eastAsia="Times New Roman" w:hAnsi="Century Gothic"/>
              </w:rPr>
              <w:t>(1</w:t>
            </w:r>
            <w:r w:rsidR="56AFD816" w:rsidRPr="00D17164">
              <w:rPr>
                <w:rFonts w:ascii="Century Gothic" w:eastAsia="Times New Roman" w:hAnsi="Century Gothic"/>
              </w:rPr>
              <w:t xml:space="preserve"> </w:t>
            </w:r>
            <w:proofErr w:type="gramStart"/>
            <w:r w:rsidRPr="00D17164">
              <w:rPr>
                <w:rFonts w:ascii="Century Gothic" w:eastAsia="Times New Roman" w:hAnsi="Century Gothic"/>
              </w:rPr>
              <w:t>participant)</w:t>
            </w:r>
            <w:r w:rsidR="1F0D34EB" w:rsidRPr="00D17164">
              <w:rPr>
                <w:rFonts w:ascii="Century Gothic" w:eastAsia="Times New Roman" w:hAnsi="Century Gothic"/>
              </w:rPr>
              <w:t xml:space="preserve">   </w:t>
            </w:r>
            <w:proofErr w:type="gramEnd"/>
            <w:r w:rsidR="1F0D34EB" w:rsidRPr="00D17164">
              <w:rPr>
                <w:rFonts w:ascii="Century Gothic" w:eastAsia="Times New Roman" w:hAnsi="Century Gothic"/>
              </w:rPr>
              <w:t xml:space="preserve">         </w:t>
            </w:r>
          </w:p>
        </w:tc>
        <w:tc>
          <w:tcPr>
            <w:tcW w:w="1836" w:type="dxa"/>
            <w:tcBorders>
              <w:top w:val="nil"/>
              <w:left w:val="single" w:sz="8" w:space="0" w:color="D9D9D9" w:themeColor="background1" w:themeShade="D9"/>
              <w:bottom w:val="single" w:sz="8" w:space="0" w:color="D9D9D9" w:themeColor="background1" w:themeShade="D9"/>
              <w:right w:val="nil"/>
            </w:tcBorders>
          </w:tcPr>
          <w:p w14:paraId="4857C1D5" w14:textId="3B1D248F" w:rsidR="0C23D96A" w:rsidRPr="00D17164" w:rsidRDefault="26F88786" w:rsidP="4C4F5E4A">
            <w:pPr>
              <w:rPr>
                <w:rFonts w:ascii="Century Gothic" w:eastAsia="Times New Roman" w:hAnsi="Century Gothic"/>
              </w:rPr>
            </w:pPr>
            <w:r w:rsidRPr="00D17164">
              <w:rPr>
                <w:rFonts w:ascii="Century Gothic" w:eastAsia="Times New Roman" w:hAnsi="Century Gothic"/>
              </w:rPr>
              <w:t>Yes</w:t>
            </w:r>
          </w:p>
        </w:tc>
      </w:tr>
      <w:tr w:rsidR="0C23D96A" w:rsidRPr="00D17164" w14:paraId="09C05A0E" w14:textId="77777777" w:rsidTr="004850BE">
        <w:trPr>
          <w:trHeight w:val="405"/>
        </w:trPr>
        <w:tc>
          <w:tcPr>
            <w:tcW w:w="9936" w:type="dxa"/>
            <w:gridSpan w:val="6"/>
            <w:tcBorders>
              <w:top w:val="nil"/>
              <w:left w:val="nil"/>
              <w:bottom w:val="single" w:sz="24" w:space="0" w:color="C00000"/>
              <w:right w:val="nil"/>
            </w:tcBorders>
            <w:shd w:val="clear" w:color="auto" w:fill="808080" w:themeFill="background1" w:themeFillShade="80"/>
          </w:tcPr>
          <w:tbl>
            <w:tblPr>
              <w:tblW w:w="0" w:type="auto"/>
              <w:tblLook w:val="04A0" w:firstRow="1" w:lastRow="0" w:firstColumn="1" w:lastColumn="0" w:noHBand="0" w:noVBand="1"/>
            </w:tblPr>
            <w:tblGrid>
              <w:gridCol w:w="1821"/>
              <w:gridCol w:w="2366"/>
              <w:gridCol w:w="2137"/>
              <w:gridCol w:w="1909"/>
              <w:gridCol w:w="1487"/>
            </w:tblGrid>
            <w:tr w:rsidR="0C23D96A" w:rsidRPr="00D17164" w14:paraId="341325C5" w14:textId="77777777" w:rsidTr="54BD8CC3">
              <w:trPr>
                <w:trHeight w:val="405"/>
              </w:trPr>
              <w:tc>
                <w:tcPr>
                  <w:tcW w:w="10584" w:type="dxa"/>
                  <w:gridSpan w:val="5"/>
                  <w:tcBorders>
                    <w:top w:val="nil"/>
                    <w:left w:val="nil"/>
                    <w:bottom w:val="single" w:sz="24" w:space="0" w:color="C00000"/>
                    <w:right w:val="nil"/>
                  </w:tcBorders>
                  <w:shd w:val="clear" w:color="auto" w:fill="808080" w:themeFill="background1" w:themeFillShade="80"/>
                </w:tcPr>
                <w:p w14:paraId="0C49F9D7" w14:textId="60EFC466" w:rsidR="0C23D96A" w:rsidRPr="00F9776B" w:rsidRDefault="20C3F532" w:rsidP="145A5A95">
                  <w:pPr>
                    <w:jc w:val="center"/>
                    <w:rPr>
                      <w:rFonts w:ascii="Century Gothic" w:eastAsia="Times New Roman" w:hAnsi="Century Gothic"/>
                      <w:b/>
                      <w:bCs/>
                    </w:rPr>
                  </w:pPr>
                  <w:r w:rsidRPr="00F9776B">
                    <w:rPr>
                      <w:rFonts w:ascii="Century Gothic" w:eastAsia="Times New Roman" w:hAnsi="Century Gothic"/>
                      <w:b/>
                      <w:bCs/>
                    </w:rPr>
                    <w:t>SS #5: Households Assisted by Services that Increase Self-Sufficiency</w:t>
                  </w:r>
                </w:p>
              </w:tc>
            </w:tr>
            <w:tr w:rsidR="00AD065D" w:rsidRPr="00D17164" w14:paraId="5878742E" w14:textId="77777777" w:rsidTr="54BD8CC3">
              <w:trPr>
                <w:trHeight w:val="345"/>
              </w:trPr>
              <w:tc>
                <w:tcPr>
                  <w:tcW w:w="1888"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7A443BC4" w14:textId="2D66F210" w:rsidR="0C23D96A" w:rsidRPr="00D17164" w:rsidRDefault="20C3F532" w:rsidP="145A5A95">
                  <w:pPr>
                    <w:jc w:val="center"/>
                    <w:rPr>
                      <w:rFonts w:ascii="Century Gothic" w:eastAsia="Times New Roman" w:hAnsi="Century Gothic"/>
                      <w:b/>
                      <w:bCs/>
                      <w:color w:val="000000" w:themeColor="text1"/>
                    </w:rPr>
                  </w:pPr>
                  <w:r w:rsidRPr="00D17164">
                    <w:rPr>
                      <w:rFonts w:ascii="Century Gothic" w:eastAsia="Times New Roman" w:hAnsi="Century Gothic"/>
                      <w:b/>
                      <w:bCs/>
                      <w:color w:val="000000" w:themeColor="text1"/>
                    </w:rPr>
                    <w:t>Unit of Measurement</w:t>
                  </w:r>
                </w:p>
              </w:tc>
              <w:tc>
                <w:tcPr>
                  <w:tcW w:w="2595"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47DF3C13" w14:textId="374A0418" w:rsidR="0C23D96A" w:rsidRPr="00F9776B" w:rsidRDefault="20C3F532" w:rsidP="145A5A95">
                  <w:pPr>
                    <w:jc w:val="center"/>
                    <w:rPr>
                      <w:rFonts w:ascii="Century Gothic" w:eastAsia="Times New Roman" w:hAnsi="Century Gothic"/>
                      <w:b/>
                      <w:bCs/>
                      <w:color w:val="000000" w:themeColor="text1"/>
                    </w:rPr>
                  </w:pPr>
                  <w:r w:rsidRPr="00F9776B">
                    <w:rPr>
                      <w:rFonts w:ascii="Century Gothic" w:eastAsia="Times New Roman" w:hAnsi="Century Gothic"/>
                      <w:b/>
                      <w:bCs/>
                      <w:color w:val="000000" w:themeColor="text1"/>
                    </w:rPr>
                    <w:t>Baseline</w:t>
                  </w:r>
                </w:p>
              </w:tc>
              <w:tc>
                <w:tcPr>
                  <w:tcW w:w="234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03762790" w14:textId="233D0F0C" w:rsidR="0C23D96A" w:rsidRPr="00F9776B" w:rsidRDefault="20C3F532" w:rsidP="145A5A95">
                  <w:pPr>
                    <w:jc w:val="center"/>
                    <w:rPr>
                      <w:rFonts w:ascii="Century Gothic" w:eastAsia="Times New Roman" w:hAnsi="Century Gothic"/>
                      <w:b/>
                      <w:bCs/>
                      <w:color w:val="000000" w:themeColor="text1"/>
                    </w:rPr>
                  </w:pPr>
                  <w:r w:rsidRPr="00F9776B">
                    <w:rPr>
                      <w:rFonts w:ascii="Century Gothic" w:eastAsia="Times New Roman" w:hAnsi="Century Gothic"/>
                      <w:b/>
                      <w:bCs/>
                      <w:color w:val="000000" w:themeColor="text1"/>
                    </w:rPr>
                    <w:t>Benchmark***</w:t>
                  </w:r>
                </w:p>
              </w:tc>
              <w:tc>
                <w:tcPr>
                  <w:tcW w:w="225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717C668D" w14:textId="07118831" w:rsidR="0C23D96A" w:rsidRPr="00F9776B" w:rsidRDefault="20C3F532" w:rsidP="145A5A95">
                  <w:pPr>
                    <w:jc w:val="center"/>
                    <w:rPr>
                      <w:rFonts w:ascii="Century Gothic" w:eastAsia="Times New Roman" w:hAnsi="Century Gothic"/>
                      <w:b/>
                      <w:bCs/>
                      <w:color w:val="000000" w:themeColor="text1"/>
                    </w:rPr>
                  </w:pPr>
                  <w:r w:rsidRPr="00F9776B">
                    <w:rPr>
                      <w:rFonts w:ascii="Century Gothic" w:eastAsia="Times New Roman" w:hAnsi="Century Gothic"/>
                      <w:b/>
                      <w:bCs/>
                      <w:color w:val="000000" w:themeColor="text1"/>
                    </w:rPr>
                    <w:t>Outcome</w:t>
                  </w:r>
                </w:p>
              </w:tc>
              <w:tc>
                <w:tcPr>
                  <w:tcW w:w="1511" w:type="dxa"/>
                  <w:tcBorders>
                    <w:top w:val="nil"/>
                    <w:left w:val="single" w:sz="8" w:space="0" w:color="D9D9D9" w:themeColor="background1" w:themeShade="D9"/>
                    <w:bottom w:val="single" w:sz="8" w:space="0" w:color="D9D9D9" w:themeColor="background1" w:themeShade="D9"/>
                    <w:right w:val="nil"/>
                  </w:tcBorders>
                  <w:shd w:val="clear" w:color="auto" w:fill="BFBFBF" w:themeFill="background1" w:themeFillShade="BF"/>
                  <w:vAlign w:val="center"/>
                </w:tcPr>
                <w:p w14:paraId="0ED9B04C" w14:textId="06B91725" w:rsidR="0C23D96A" w:rsidRPr="00F9776B" w:rsidRDefault="20C3F532" w:rsidP="145A5A95">
                  <w:pPr>
                    <w:jc w:val="center"/>
                    <w:rPr>
                      <w:rFonts w:ascii="Century Gothic" w:eastAsia="Times New Roman" w:hAnsi="Century Gothic"/>
                      <w:b/>
                      <w:bCs/>
                      <w:color w:val="000000" w:themeColor="text1"/>
                    </w:rPr>
                  </w:pPr>
                  <w:r w:rsidRPr="00F9776B">
                    <w:rPr>
                      <w:rFonts w:ascii="Century Gothic" w:eastAsia="Times New Roman" w:hAnsi="Century Gothic"/>
                      <w:b/>
                      <w:bCs/>
                      <w:color w:val="000000" w:themeColor="text1"/>
                    </w:rPr>
                    <w:t>Benchmark Achieved?</w:t>
                  </w:r>
                </w:p>
              </w:tc>
            </w:tr>
            <w:tr w:rsidR="00AD065D" w:rsidRPr="00D17164" w14:paraId="28D2914C" w14:textId="77777777" w:rsidTr="54BD8CC3">
              <w:trPr>
                <w:trHeight w:val="1215"/>
              </w:trPr>
              <w:tc>
                <w:tcPr>
                  <w:tcW w:w="1888"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19B9FAE9" w14:textId="1BD86199" w:rsidR="0C23D96A" w:rsidRPr="00D17164" w:rsidRDefault="20C3F532" w:rsidP="145A5A95">
                  <w:pPr>
                    <w:rPr>
                      <w:rFonts w:ascii="Century Gothic" w:eastAsia="Times New Roman" w:hAnsi="Century Gothic"/>
                    </w:rPr>
                  </w:pPr>
                  <w:r w:rsidRPr="00D17164">
                    <w:rPr>
                      <w:rFonts w:ascii="Century Gothic" w:eastAsia="Times New Roman" w:hAnsi="Century Gothic"/>
                    </w:rPr>
                    <w:t>Number of participants receiving services aimed to increase self-sufficiency</w:t>
                  </w:r>
                </w:p>
              </w:tc>
              <w:tc>
                <w:tcPr>
                  <w:tcW w:w="25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5D55A3E" w14:textId="63FE2910" w:rsidR="00AD065D" w:rsidRPr="00F9776B" w:rsidRDefault="28549687">
                  <w:pPr>
                    <w:rPr>
                      <w:rFonts w:ascii="Century Gothic" w:eastAsia="Times New Roman" w:hAnsi="Century Gothic"/>
                    </w:rPr>
                  </w:pPr>
                  <w:r w:rsidRPr="00F9776B">
                    <w:rPr>
                      <w:rFonts w:ascii="Century Gothic" w:eastAsia="Times New Roman" w:hAnsi="Century Gothic"/>
                    </w:rPr>
                    <w:t>Households receiving self-</w:t>
                  </w:r>
                  <w:r w:rsidR="3D321180" w:rsidRPr="00F9776B">
                    <w:rPr>
                      <w:rFonts w:ascii="Century Gothic" w:eastAsia="Times New Roman" w:hAnsi="Century Gothic"/>
                    </w:rPr>
                    <w:t>sufficiency</w:t>
                  </w:r>
                  <w:r w:rsidRPr="00F9776B">
                    <w:rPr>
                      <w:rFonts w:ascii="Century Gothic" w:eastAsia="Times New Roman" w:hAnsi="Century Gothic"/>
                    </w:rPr>
                    <w:t xml:space="preserve"> services prior to implementation of the activity </w:t>
                  </w:r>
                </w:p>
                <w:p w14:paraId="68ECBD5B" w14:textId="2B090925" w:rsidR="0C23D96A" w:rsidRPr="00F9776B" w:rsidRDefault="20C3F532" w:rsidP="00486062">
                  <w:pPr>
                    <w:pStyle w:val="ListParagraph"/>
                    <w:numPr>
                      <w:ilvl w:val="0"/>
                      <w:numId w:val="105"/>
                    </w:numPr>
                    <w:rPr>
                      <w:rFonts w:ascii="Century Gothic" w:eastAsia="Times New Roman" w:hAnsi="Century Gothic"/>
                    </w:rPr>
                  </w:pPr>
                  <w:r w:rsidRPr="00F9776B">
                    <w:rPr>
                      <w:rFonts w:ascii="Century Gothic" w:eastAsia="Times New Roman" w:hAnsi="Century Gothic"/>
                    </w:rPr>
                    <w:t>Zero</w:t>
                  </w:r>
                </w:p>
              </w:tc>
              <w:tc>
                <w:tcPr>
                  <w:tcW w:w="234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C89C38C" w14:textId="5062E5FE" w:rsidR="0C23D96A" w:rsidRPr="00F9776B" w:rsidRDefault="20C3F532" w:rsidP="145A5A95">
                  <w:pPr>
                    <w:rPr>
                      <w:rFonts w:ascii="Century Gothic" w:eastAsia="Times New Roman" w:hAnsi="Century Gothic"/>
                    </w:rPr>
                  </w:pPr>
                  <w:r w:rsidRPr="00F9776B">
                    <w:rPr>
                      <w:rFonts w:ascii="Century Gothic" w:eastAsia="Times New Roman" w:hAnsi="Century Gothic"/>
                    </w:rPr>
                    <w:t>50% annual increase</w:t>
                  </w:r>
                </w:p>
              </w:tc>
              <w:tc>
                <w:tcPr>
                  <w:tcW w:w="225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BCDB3D8" w14:textId="0E204506" w:rsidR="00F9776B" w:rsidRPr="00F9776B" w:rsidRDefault="31EA0BB4" w:rsidP="6EDDC8C1">
                  <w:pPr>
                    <w:rPr>
                      <w:rFonts w:ascii="Century Gothic" w:eastAsia="Times New Roman" w:hAnsi="Century Gothic"/>
                      <w:u w:val="single"/>
                    </w:rPr>
                  </w:pPr>
                  <w:r w:rsidRPr="00F9776B">
                    <w:rPr>
                      <w:rFonts w:ascii="Century Gothic" w:eastAsia="Times New Roman" w:hAnsi="Century Gothic"/>
                      <w:u w:val="single"/>
                    </w:rPr>
                    <w:t>202</w:t>
                  </w:r>
                  <w:r w:rsidR="36741806" w:rsidRPr="00F9776B">
                    <w:rPr>
                      <w:rFonts w:ascii="Century Gothic" w:eastAsia="Times New Roman" w:hAnsi="Century Gothic"/>
                      <w:u w:val="single"/>
                    </w:rPr>
                    <w:t>4</w:t>
                  </w:r>
                  <w:r w:rsidRPr="00F9776B">
                    <w:rPr>
                      <w:rFonts w:ascii="Century Gothic" w:eastAsia="Times New Roman" w:hAnsi="Century Gothic"/>
                      <w:u w:val="single"/>
                    </w:rPr>
                    <w:t xml:space="preserve">: </w:t>
                  </w:r>
                  <w:r w:rsidR="4A8A37E3" w:rsidRPr="00F9776B">
                    <w:rPr>
                      <w:rFonts w:ascii="Century Gothic" w:eastAsia="Times New Roman" w:hAnsi="Century Gothic"/>
                      <w:u w:val="single"/>
                    </w:rPr>
                    <w:t>2</w:t>
                  </w:r>
                </w:p>
                <w:p w14:paraId="4C23207F" w14:textId="45A13CA8" w:rsidR="00FF3D55" w:rsidRPr="00F9776B" w:rsidRDefault="20DF6BC5" w:rsidP="00FF3D55">
                  <w:pPr>
                    <w:rPr>
                      <w:rFonts w:ascii="Century Gothic" w:eastAsia="Times New Roman" w:hAnsi="Century Gothic"/>
                      <w:u w:val="single"/>
                    </w:rPr>
                  </w:pPr>
                  <w:r w:rsidRPr="00F9776B">
                    <w:rPr>
                      <w:rFonts w:ascii="Century Gothic" w:eastAsia="Times New Roman" w:hAnsi="Century Gothic"/>
                      <w:u w:val="single"/>
                    </w:rPr>
                    <w:t>2</w:t>
                  </w:r>
                  <w:r w:rsidR="48A465CC" w:rsidRPr="00F9776B">
                    <w:rPr>
                      <w:rFonts w:ascii="Century Gothic" w:eastAsia="Times New Roman" w:hAnsi="Century Gothic"/>
                      <w:u w:val="single"/>
                    </w:rPr>
                    <w:t xml:space="preserve">023: </w:t>
                  </w:r>
                  <w:r w:rsidR="1CBF33D5" w:rsidRPr="00F9776B">
                    <w:rPr>
                      <w:rFonts w:ascii="Century Gothic" w:eastAsia="Times New Roman" w:hAnsi="Century Gothic"/>
                      <w:u w:val="single"/>
                    </w:rPr>
                    <w:t>2</w:t>
                  </w:r>
                </w:p>
                <w:p w14:paraId="42A41B43" w14:textId="043633BF" w:rsidR="67E85BAF" w:rsidRPr="00F9776B" w:rsidRDefault="020C6CB7" w:rsidP="67E85BAF">
                  <w:pPr>
                    <w:rPr>
                      <w:rFonts w:ascii="Century Gothic" w:eastAsia="Times New Roman" w:hAnsi="Century Gothic"/>
                      <w:u w:val="single"/>
                    </w:rPr>
                  </w:pPr>
                  <w:r w:rsidRPr="00F9776B">
                    <w:rPr>
                      <w:rFonts w:ascii="Century Gothic" w:eastAsia="Times New Roman" w:hAnsi="Century Gothic"/>
                      <w:u w:val="single"/>
                    </w:rPr>
                    <w:t>2022: 8</w:t>
                  </w:r>
                </w:p>
                <w:p w14:paraId="5FAACD1C" w14:textId="5062E5FE" w:rsidR="0C23D96A" w:rsidRPr="00F9776B" w:rsidRDefault="20C3F532" w:rsidP="0C23D96A">
                  <w:pPr>
                    <w:rPr>
                      <w:rFonts w:ascii="Century Gothic" w:eastAsia="Times New Roman" w:hAnsi="Century Gothic"/>
                      <w:u w:val="single"/>
                    </w:rPr>
                  </w:pPr>
                  <w:r w:rsidRPr="00F9776B">
                    <w:rPr>
                      <w:rFonts w:ascii="Century Gothic" w:eastAsia="Times New Roman" w:hAnsi="Century Gothic"/>
                      <w:u w:val="single"/>
                    </w:rPr>
                    <w:t>2021: 1</w:t>
                  </w:r>
                </w:p>
                <w:p w14:paraId="2F8E739C" w14:textId="3D1A8CC0" w:rsidR="0C23D96A" w:rsidRPr="00F9776B" w:rsidRDefault="0C23D96A" w:rsidP="0C23D96A">
                  <w:pPr>
                    <w:rPr>
                      <w:rFonts w:ascii="Century Gothic" w:eastAsia="Times New Roman" w:hAnsi="Century Gothic"/>
                    </w:rPr>
                  </w:pPr>
                </w:p>
              </w:tc>
              <w:tc>
                <w:tcPr>
                  <w:tcW w:w="1511"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tcPr>
                <w:p w14:paraId="019BCA26" w14:textId="3848FC61" w:rsidR="0C23D96A" w:rsidRPr="00F9776B" w:rsidRDefault="00D54FAE" w:rsidP="145A5A95">
                  <w:pPr>
                    <w:rPr>
                      <w:rFonts w:ascii="Century Gothic" w:eastAsia="Times New Roman" w:hAnsi="Century Gothic"/>
                    </w:rPr>
                  </w:pPr>
                  <w:r w:rsidRPr="00F9776B">
                    <w:rPr>
                      <w:rFonts w:ascii="Century Gothic" w:eastAsia="Times New Roman" w:hAnsi="Century Gothic"/>
                    </w:rPr>
                    <w:t xml:space="preserve"> No</w:t>
                  </w:r>
                </w:p>
              </w:tc>
            </w:tr>
          </w:tbl>
          <w:p w14:paraId="6CA306D5" w14:textId="654ACD95" w:rsidR="0C23D96A" w:rsidRPr="00D17164" w:rsidRDefault="0C23D96A" w:rsidP="0C23D96A">
            <w:pPr>
              <w:jc w:val="center"/>
              <w:rPr>
                <w:rFonts w:ascii="Century Gothic" w:eastAsia="MS PGothic" w:hAnsi="Century Gothic"/>
                <w:b/>
                <w:bCs/>
              </w:rPr>
            </w:pPr>
          </w:p>
        </w:tc>
      </w:tr>
      <w:tr w:rsidR="0C23D96A" w:rsidRPr="00D17164" w14:paraId="1F3A4FA8" w14:textId="77777777" w:rsidTr="004850BE">
        <w:trPr>
          <w:trHeight w:val="345"/>
        </w:trPr>
        <w:tc>
          <w:tcPr>
            <w:tcW w:w="1550" w:type="dxa"/>
            <w:tcBorders>
              <w:top w:val="single" w:sz="24" w:space="0" w:color="C00000"/>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638AF9CB" w14:textId="070B24C6" w:rsidR="0C23D96A" w:rsidRPr="00D54FAE" w:rsidRDefault="0C23D96A" w:rsidP="0C23D96A">
            <w:pPr>
              <w:jc w:val="center"/>
              <w:rPr>
                <w:rFonts w:ascii="Century Gothic" w:eastAsia="Times New Roman" w:hAnsi="Century Gothic"/>
                <w:b/>
                <w:bCs/>
                <w:color w:val="000000" w:themeColor="text1"/>
              </w:rPr>
            </w:pPr>
          </w:p>
        </w:tc>
        <w:tc>
          <w:tcPr>
            <w:tcW w:w="2650" w:type="dxa"/>
            <w:gridSpan w:val="2"/>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4F29DE48" w14:textId="2B574E98" w:rsidR="0C23D96A" w:rsidRPr="00D54FAE" w:rsidRDefault="0C23D96A" w:rsidP="0C23D96A">
            <w:pPr>
              <w:jc w:val="center"/>
              <w:rPr>
                <w:rFonts w:ascii="Century Gothic" w:eastAsia="Times New Roman" w:hAnsi="Century Gothic"/>
                <w:b/>
                <w:bCs/>
                <w:color w:val="000000" w:themeColor="text1"/>
              </w:rPr>
            </w:pPr>
          </w:p>
        </w:tc>
        <w:tc>
          <w:tcPr>
            <w:tcW w:w="5736" w:type="dxa"/>
            <w:gridSpan w:val="3"/>
            <w:tcBorders>
              <w:top w:val="nil"/>
              <w:left w:val="single" w:sz="8" w:space="0" w:color="D9D9D9" w:themeColor="background1" w:themeShade="D9"/>
              <w:bottom w:val="single" w:sz="8" w:space="0" w:color="D9D9D9" w:themeColor="background1" w:themeShade="D9"/>
              <w:right w:val="nil"/>
            </w:tcBorders>
            <w:shd w:val="clear" w:color="auto" w:fill="BFBFBF" w:themeFill="background1" w:themeFillShade="BF"/>
            <w:vAlign w:val="center"/>
          </w:tcPr>
          <w:p w14:paraId="4DACBB1F" w14:textId="499C404C" w:rsidR="0C23D96A" w:rsidRPr="00D54FAE" w:rsidRDefault="0C23D96A" w:rsidP="0C23D96A">
            <w:pPr>
              <w:jc w:val="center"/>
              <w:rPr>
                <w:rFonts w:ascii="Century Gothic" w:eastAsia="Times New Roman" w:hAnsi="Century Gothic"/>
                <w:b/>
                <w:bCs/>
                <w:color w:val="000000" w:themeColor="text1"/>
              </w:rPr>
            </w:pPr>
          </w:p>
        </w:tc>
      </w:tr>
    </w:tbl>
    <w:p w14:paraId="2C5A2690" w14:textId="793C4044" w:rsidR="0C23D96A" w:rsidRPr="00D54FAE" w:rsidRDefault="0C23D96A" w:rsidP="0C23D96A">
      <w:pPr>
        <w:rPr>
          <w:rFonts w:ascii="Century Gothic" w:eastAsia="MS PGothic" w:hAnsi="Century Gothic"/>
          <w:highlight w:val="yellow"/>
        </w:rPr>
      </w:pPr>
    </w:p>
    <w:tbl>
      <w:tblPr>
        <w:tblW w:w="0" w:type="auto"/>
        <w:tblLook w:val="04A0" w:firstRow="1" w:lastRow="0" w:firstColumn="1" w:lastColumn="0" w:noHBand="0" w:noVBand="1"/>
      </w:tblPr>
      <w:tblGrid>
        <w:gridCol w:w="1988"/>
        <w:gridCol w:w="1909"/>
        <w:gridCol w:w="2544"/>
        <w:gridCol w:w="1726"/>
        <w:gridCol w:w="1769"/>
      </w:tblGrid>
      <w:tr w:rsidR="5C5A167A" w:rsidRPr="00D17164" w14:paraId="61740F7C" w14:textId="77777777" w:rsidTr="414ED316">
        <w:trPr>
          <w:trHeight w:val="300"/>
        </w:trPr>
        <w:tc>
          <w:tcPr>
            <w:tcW w:w="10800" w:type="dxa"/>
            <w:gridSpan w:val="5"/>
            <w:tcBorders>
              <w:top w:val="nil"/>
              <w:left w:val="nil"/>
              <w:bottom w:val="single" w:sz="24" w:space="0" w:color="A32F2E" w:themeColor="accent3" w:themeShade="BF"/>
              <w:right w:val="nil"/>
            </w:tcBorders>
            <w:shd w:val="clear" w:color="auto" w:fill="808080" w:themeFill="background1" w:themeFillShade="80"/>
          </w:tcPr>
          <w:p w14:paraId="50395913" w14:textId="07B345F1" w:rsidR="3D7F5F0F" w:rsidRPr="00D54FAE" w:rsidRDefault="3D7F5F0F" w:rsidP="5C5A167A">
            <w:pPr>
              <w:jc w:val="center"/>
              <w:rPr>
                <w:rFonts w:ascii="Century Gothic" w:eastAsia="Times New Roman" w:hAnsi="Century Gothic"/>
                <w:b/>
                <w:bCs/>
              </w:rPr>
            </w:pPr>
            <w:bookmarkStart w:id="150" w:name="_Hlk122607434"/>
            <w:r w:rsidRPr="00D54FAE">
              <w:rPr>
                <w:rFonts w:ascii="Century Gothic" w:eastAsia="Times New Roman" w:hAnsi="Century Gothic"/>
                <w:b/>
              </w:rPr>
              <w:t>SS #7 - Increase in Agency Rental Revenue</w:t>
            </w:r>
          </w:p>
        </w:tc>
      </w:tr>
      <w:tr w:rsidR="5C5A167A" w:rsidRPr="00D17164" w14:paraId="4692C38E" w14:textId="77777777" w:rsidTr="414ED316">
        <w:trPr>
          <w:trHeight w:val="345"/>
        </w:trPr>
        <w:tc>
          <w:tcPr>
            <w:tcW w:w="2192" w:type="dxa"/>
            <w:tcBorders>
              <w:top w:val="single" w:sz="24" w:space="0" w:color="A32F2E" w:themeColor="accent3" w:themeShade="BF"/>
              <w:left w:val="nil"/>
              <w:bottom w:val="nil"/>
              <w:right w:val="single" w:sz="8" w:space="0" w:color="D9D9D9" w:themeColor="background1" w:themeShade="D9"/>
            </w:tcBorders>
            <w:shd w:val="clear" w:color="auto" w:fill="BFBFBF" w:themeFill="background1" w:themeFillShade="BF"/>
            <w:vAlign w:val="center"/>
          </w:tcPr>
          <w:p w14:paraId="33216436" w14:textId="1F38C0B3" w:rsidR="5C5A167A" w:rsidRPr="00D54FAE" w:rsidRDefault="5C5A167A" w:rsidP="5C5A167A">
            <w:pPr>
              <w:jc w:val="center"/>
              <w:rPr>
                <w:rFonts w:ascii="Century Gothic" w:hAnsi="Century Gothic"/>
              </w:rPr>
            </w:pPr>
            <w:r w:rsidRPr="00D54FAE">
              <w:rPr>
                <w:rFonts w:ascii="Century Gothic" w:eastAsia="Times New Roman" w:hAnsi="Century Gothic"/>
                <w:b/>
                <w:bCs/>
                <w:color w:val="000000" w:themeColor="text1"/>
              </w:rPr>
              <w:t>Unit of Measurement</w:t>
            </w:r>
          </w:p>
        </w:tc>
        <w:tc>
          <w:tcPr>
            <w:tcW w:w="1588" w:type="dxa"/>
            <w:tcBorders>
              <w:top w:val="nil"/>
              <w:left w:val="single" w:sz="8" w:space="0" w:color="D9D9D9" w:themeColor="background1" w:themeShade="D9"/>
              <w:bottom w:val="nil"/>
              <w:right w:val="single" w:sz="8" w:space="0" w:color="D9D9D9" w:themeColor="background1" w:themeShade="D9"/>
            </w:tcBorders>
            <w:shd w:val="clear" w:color="auto" w:fill="BFBFBF" w:themeFill="background1" w:themeFillShade="BF"/>
            <w:vAlign w:val="center"/>
          </w:tcPr>
          <w:p w14:paraId="6B64BDFF" w14:textId="62B04DF8" w:rsidR="5C5A167A" w:rsidRPr="00D54FAE" w:rsidRDefault="5C5A167A" w:rsidP="5C5A167A">
            <w:pPr>
              <w:jc w:val="center"/>
              <w:rPr>
                <w:rFonts w:ascii="Century Gothic" w:hAnsi="Century Gothic"/>
              </w:rPr>
            </w:pPr>
            <w:r w:rsidRPr="00D54FAE">
              <w:rPr>
                <w:rFonts w:ascii="Century Gothic" w:eastAsia="Times New Roman" w:hAnsi="Century Gothic"/>
                <w:b/>
                <w:bCs/>
                <w:color w:val="000000" w:themeColor="text1"/>
              </w:rPr>
              <w:t>Baseline</w:t>
            </w:r>
          </w:p>
        </w:tc>
        <w:tc>
          <w:tcPr>
            <w:tcW w:w="2970" w:type="dxa"/>
            <w:tcBorders>
              <w:top w:val="nil"/>
              <w:left w:val="single" w:sz="8" w:space="0" w:color="D9D9D9" w:themeColor="background1" w:themeShade="D9"/>
              <w:bottom w:val="nil"/>
              <w:right w:val="single" w:sz="8" w:space="0" w:color="D9D9D9" w:themeColor="background1" w:themeShade="D9"/>
            </w:tcBorders>
            <w:shd w:val="clear" w:color="auto" w:fill="BFBFBF" w:themeFill="background1" w:themeFillShade="BF"/>
            <w:vAlign w:val="center"/>
          </w:tcPr>
          <w:p w14:paraId="7B7BF7A7" w14:textId="2833236E" w:rsidR="5C5A167A" w:rsidRPr="00D54FAE" w:rsidRDefault="5C5A167A" w:rsidP="5C5A167A">
            <w:pPr>
              <w:jc w:val="center"/>
              <w:rPr>
                <w:rFonts w:ascii="Century Gothic" w:hAnsi="Century Gothic"/>
              </w:rPr>
            </w:pPr>
            <w:r w:rsidRPr="00D54FAE">
              <w:rPr>
                <w:rFonts w:ascii="Century Gothic" w:eastAsia="Times New Roman" w:hAnsi="Century Gothic"/>
                <w:b/>
                <w:bCs/>
                <w:color w:val="000000" w:themeColor="text1"/>
              </w:rPr>
              <w:t>Benchmark</w:t>
            </w:r>
          </w:p>
        </w:tc>
        <w:tc>
          <w:tcPr>
            <w:tcW w:w="2060" w:type="dxa"/>
            <w:tcBorders>
              <w:top w:val="nil"/>
              <w:left w:val="single" w:sz="8" w:space="0" w:color="D9D9D9" w:themeColor="background1" w:themeShade="D9"/>
              <w:bottom w:val="nil"/>
              <w:right w:val="single" w:sz="8" w:space="0" w:color="D9D9D9" w:themeColor="background1" w:themeShade="D9"/>
            </w:tcBorders>
            <w:shd w:val="clear" w:color="auto" w:fill="BFBFBF" w:themeFill="background1" w:themeFillShade="BF"/>
            <w:vAlign w:val="center"/>
          </w:tcPr>
          <w:p w14:paraId="0011293B" w14:textId="6A68E23C" w:rsidR="5C5A167A" w:rsidRPr="00D54FAE" w:rsidRDefault="5C5A167A" w:rsidP="5C5A167A">
            <w:pPr>
              <w:jc w:val="center"/>
              <w:rPr>
                <w:rFonts w:ascii="Century Gothic" w:hAnsi="Century Gothic"/>
              </w:rPr>
            </w:pPr>
            <w:r w:rsidRPr="00D54FAE">
              <w:rPr>
                <w:rFonts w:ascii="Century Gothic" w:eastAsia="Times New Roman" w:hAnsi="Century Gothic"/>
                <w:b/>
                <w:bCs/>
                <w:color w:val="000000" w:themeColor="text1"/>
              </w:rPr>
              <w:t>Outcome</w:t>
            </w:r>
          </w:p>
        </w:tc>
        <w:tc>
          <w:tcPr>
            <w:tcW w:w="1990" w:type="dxa"/>
            <w:tcBorders>
              <w:top w:val="nil"/>
              <w:left w:val="single" w:sz="8" w:space="0" w:color="D9D9D9" w:themeColor="background1" w:themeShade="D9"/>
              <w:bottom w:val="nil"/>
              <w:right w:val="nil"/>
            </w:tcBorders>
            <w:shd w:val="clear" w:color="auto" w:fill="BFBFBF" w:themeFill="background1" w:themeFillShade="BF"/>
            <w:vAlign w:val="center"/>
          </w:tcPr>
          <w:p w14:paraId="0E44ACEF" w14:textId="5A341EA5" w:rsidR="5C5A167A" w:rsidRPr="00D54FAE" w:rsidRDefault="5C5A167A" w:rsidP="5C5A167A">
            <w:pPr>
              <w:jc w:val="center"/>
              <w:rPr>
                <w:rFonts w:ascii="Century Gothic" w:hAnsi="Century Gothic"/>
              </w:rPr>
            </w:pPr>
            <w:r w:rsidRPr="00D54FAE">
              <w:rPr>
                <w:rFonts w:ascii="Century Gothic" w:eastAsia="Times New Roman" w:hAnsi="Century Gothic"/>
                <w:b/>
                <w:bCs/>
                <w:color w:val="000000" w:themeColor="text1"/>
              </w:rPr>
              <w:t>Benchmark Achieved?</w:t>
            </w:r>
          </w:p>
        </w:tc>
      </w:tr>
      <w:tr w:rsidR="5C5A167A" w:rsidRPr="00D17164" w14:paraId="2DD35CBF" w14:textId="77777777" w:rsidTr="414ED316">
        <w:trPr>
          <w:trHeight w:val="274"/>
        </w:trPr>
        <w:tc>
          <w:tcPr>
            <w:tcW w:w="2192" w:type="dxa"/>
            <w:tcBorders>
              <w:top w:val="nil"/>
              <w:left w:val="nil"/>
              <w:bottom w:val="single" w:sz="8" w:space="0" w:color="D9D9D9" w:themeColor="background1" w:themeShade="D9"/>
              <w:right w:val="single" w:sz="8" w:space="0" w:color="D9D9D9" w:themeColor="background1" w:themeShade="D9"/>
            </w:tcBorders>
          </w:tcPr>
          <w:p w14:paraId="3BD03F20" w14:textId="1529893F" w:rsidR="50221C83" w:rsidRPr="00D54FAE" w:rsidRDefault="48891475" w:rsidP="19DAD154">
            <w:pPr>
              <w:rPr>
                <w:rFonts w:ascii="Century Gothic" w:eastAsia="MS PGothic" w:hAnsi="Century Gothic"/>
                <w:color w:val="000000" w:themeColor="text1"/>
              </w:rPr>
            </w:pPr>
            <w:r w:rsidRPr="00D54FAE">
              <w:rPr>
                <w:rFonts w:ascii="Century Gothic" w:eastAsia="Calibri" w:hAnsi="Century Gothic"/>
                <w:color w:val="000000" w:themeColor="text1"/>
              </w:rPr>
              <w:t xml:space="preserve">Total Household contributions towards housing assistance </w:t>
            </w:r>
            <w:r w:rsidR="022EA535" w:rsidRPr="00D54FAE">
              <w:rPr>
                <w:rFonts w:ascii="Century Gothic" w:eastAsia="Calibri" w:hAnsi="Century Gothic"/>
                <w:color w:val="000000" w:themeColor="text1"/>
              </w:rPr>
              <w:t>(increase)</w:t>
            </w:r>
          </w:p>
        </w:tc>
        <w:tc>
          <w:tcPr>
            <w:tcW w:w="158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4DD800F6" w14:textId="6D9E49DF" w:rsidR="00F717C5" w:rsidRPr="00D54FAE" w:rsidRDefault="27B1A623" w:rsidP="46B3BF7C">
            <w:pPr>
              <w:rPr>
                <w:rFonts w:ascii="Century Gothic" w:eastAsia="Times New Roman" w:hAnsi="Century Gothic"/>
                <w:szCs w:val="22"/>
              </w:rPr>
            </w:pPr>
            <w:r w:rsidRPr="00D54FAE">
              <w:rPr>
                <w:rFonts w:ascii="Century Gothic" w:eastAsia="Times New Roman" w:hAnsi="Century Gothic"/>
                <w:szCs w:val="22"/>
              </w:rPr>
              <w:t>Household contributions prior to implementation of the activity (in dollars)</w:t>
            </w:r>
          </w:p>
          <w:p w14:paraId="6C84DD08" w14:textId="77777777" w:rsidR="00F717C5" w:rsidRPr="00D54FAE" w:rsidRDefault="00F717C5" w:rsidP="46B3BF7C">
            <w:pPr>
              <w:rPr>
                <w:rFonts w:ascii="Century Gothic" w:eastAsia="Times New Roman" w:hAnsi="Century Gothic"/>
                <w:szCs w:val="22"/>
              </w:rPr>
            </w:pPr>
          </w:p>
          <w:p w14:paraId="18FB51D6" w14:textId="39EE97F0" w:rsidR="5C5A167A" w:rsidRPr="00D54FAE" w:rsidRDefault="59177774" w:rsidP="46B3BF7C">
            <w:pPr>
              <w:rPr>
                <w:rFonts w:ascii="Century Gothic" w:eastAsia="Times New Roman" w:hAnsi="Century Gothic"/>
                <w:szCs w:val="22"/>
              </w:rPr>
            </w:pPr>
            <w:r w:rsidRPr="00D54FAE">
              <w:rPr>
                <w:rFonts w:ascii="Century Gothic" w:eastAsia="Times New Roman" w:hAnsi="Century Gothic"/>
                <w:szCs w:val="22"/>
              </w:rPr>
              <w:t>$</w:t>
            </w:r>
            <w:r w:rsidR="27B1A623" w:rsidRPr="00D54FAE">
              <w:rPr>
                <w:rFonts w:ascii="Century Gothic" w:eastAsia="Times New Roman" w:hAnsi="Century Gothic"/>
                <w:szCs w:val="22"/>
              </w:rPr>
              <w:t>308</w:t>
            </w:r>
          </w:p>
        </w:tc>
        <w:tc>
          <w:tcPr>
            <w:tcW w:w="297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172A668B" w14:textId="1147ABCE" w:rsidR="5C5A167A" w:rsidRPr="00D54FAE" w:rsidRDefault="7E05A611" w:rsidP="46B3BF7C">
            <w:pPr>
              <w:spacing w:line="276" w:lineRule="auto"/>
              <w:rPr>
                <w:rFonts w:ascii="Century Gothic" w:eastAsia="Times New Roman" w:hAnsi="Century Gothic"/>
                <w:szCs w:val="22"/>
              </w:rPr>
            </w:pPr>
            <w:r w:rsidRPr="00D54FAE">
              <w:rPr>
                <w:rFonts w:ascii="Century Gothic" w:eastAsia="Times New Roman" w:hAnsi="Century Gothic"/>
                <w:szCs w:val="22"/>
              </w:rPr>
              <w:t>*</w:t>
            </w:r>
            <w:r w:rsidR="42F6791D" w:rsidRPr="00D54FAE">
              <w:rPr>
                <w:rFonts w:ascii="Century Gothic" w:eastAsia="Times New Roman" w:hAnsi="Century Gothic"/>
                <w:szCs w:val="22"/>
              </w:rPr>
              <w:t xml:space="preserve">5% </w:t>
            </w:r>
            <w:r w:rsidRPr="00D54FAE">
              <w:rPr>
                <w:rFonts w:ascii="Century Gothic" w:eastAsia="Times New Roman" w:hAnsi="Century Gothic"/>
                <w:szCs w:val="22"/>
              </w:rPr>
              <w:t>Increase</w:t>
            </w:r>
            <w:r w:rsidR="42F6791D" w:rsidRPr="00D54FAE">
              <w:rPr>
                <w:rFonts w:ascii="Century Gothic" w:eastAsia="Times New Roman" w:hAnsi="Century Gothic"/>
                <w:szCs w:val="22"/>
              </w:rPr>
              <w:t xml:space="preserve"> </w:t>
            </w:r>
            <w:r w:rsidRPr="00D54FAE">
              <w:rPr>
                <w:rFonts w:ascii="Century Gothic" w:eastAsia="Times New Roman" w:hAnsi="Century Gothic"/>
                <w:szCs w:val="22"/>
              </w:rPr>
              <w:t>in expected household contributions after implementation of activity (in dollars)</w:t>
            </w:r>
          </w:p>
        </w:tc>
        <w:tc>
          <w:tcPr>
            <w:tcW w:w="206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282E55D0" w14:textId="6B06888D" w:rsidR="396BDDE7" w:rsidRPr="00D54FAE" w:rsidRDefault="2D3DBB99" w:rsidP="6EDDC8C1">
            <w:pPr>
              <w:rPr>
                <w:rFonts w:ascii="Century Gothic" w:eastAsia="Calibri" w:hAnsi="Century Gothic"/>
              </w:rPr>
            </w:pPr>
            <w:r w:rsidRPr="414ED316">
              <w:rPr>
                <w:rFonts w:ascii="Century Gothic" w:eastAsia="Calibri" w:hAnsi="Century Gothic"/>
              </w:rPr>
              <w:t>202</w:t>
            </w:r>
            <w:r w:rsidR="677F2630" w:rsidRPr="414ED316">
              <w:rPr>
                <w:rFonts w:ascii="Century Gothic" w:eastAsia="Calibri" w:hAnsi="Century Gothic"/>
              </w:rPr>
              <w:t>4</w:t>
            </w:r>
            <w:r w:rsidRPr="414ED316">
              <w:rPr>
                <w:rFonts w:ascii="Century Gothic" w:eastAsia="Calibri" w:hAnsi="Century Gothic"/>
              </w:rPr>
              <w:t xml:space="preserve">: </w:t>
            </w:r>
            <w:r w:rsidR="23526E99" w:rsidRPr="414ED316">
              <w:rPr>
                <w:rFonts w:ascii="Century Gothic" w:eastAsia="Calibri" w:hAnsi="Century Gothic"/>
              </w:rPr>
              <w:t>$439</w:t>
            </w:r>
          </w:p>
          <w:p w14:paraId="06601F2A" w14:textId="5FA39E1E" w:rsidR="00FF3D55" w:rsidRPr="00D54FAE" w:rsidRDefault="00FF3D55" w:rsidP="00FF3D55">
            <w:pPr>
              <w:rPr>
                <w:rFonts w:ascii="Century Gothic" w:eastAsia="Calibri" w:hAnsi="Century Gothic"/>
              </w:rPr>
            </w:pPr>
            <w:r w:rsidRPr="00D54FAE">
              <w:rPr>
                <w:rFonts w:ascii="Century Gothic" w:eastAsia="Calibri" w:hAnsi="Century Gothic"/>
              </w:rPr>
              <w:t>2023: $</w:t>
            </w:r>
            <w:r w:rsidR="7E0DB8C4" w:rsidRPr="00D54FAE">
              <w:rPr>
                <w:rFonts w:ascii="Century Gothic" w:eastAsia="Calibri" w:hAnsi="Century Gothic"/>
              </w:rPr>
              <w:t>897</w:t>
            </w:r>
          </w:p>
          <w:p w14:paraId="1D36E171" w14:textId="1BED8B42" w:rsidR="67E85BAF" w:rsidRPr="00D54FAE" w:rsidRDefault="290B8632" w:rsidP="67E85BAF">
            <w:pPr>
              <w:rPr>
                <w:rFonts w:ascii="Century Gothic" w:eastAsia="Calibri" w:hAnsi="Century Gothic"/>
              </w:rPr>
            </w:pPr>
            <w:r w:rsidRPr="00D54FAE">
              <w:rPr>
                <w:rFonts w:ascii="Century Gothic" w:eastAsia="Calibri" w:hAnsi="Century Gothic"/>
              </w:rPr>
              <w:t>2022: $</w:t>
            </w:r>
            <w:r w:rsidR="17481C2F" w:rsidRPr="00D54FAE">
              <w:rPr>
                <w:rFonts w:ascii="Century Gothic" w:eastAsia="Calibri" w:hAnsi="Century Gothic"/>
              </w:rPr>
              <w:t>494</w:t>
            </w:r>
          </w:p>
          <w:p w14:paraId="626F89BF" w14:textId="5AFBD49D" w:rsidR="50221C83" w:rsidRPr="00D54FAE" w:rsidRDefault="1C7746AE" w:rsidP="655A2699">
            <w:pPr>
              <w:rPr>
                <w:rFonts w:ascii="Century Gothic" w:eastAsia="MS PGothic" w:hAnsi="Century Gothic"/>
              </w:rPr>
            </w:pPr>
            <w:r w:rsidRPr="00D54FAE">
              <w:rPr>
                <w:rFonts w:ascii="Century Gothic" w:eastAsia="Calibri" w:hAnsi="Century Gothic"/>
              </w:rPr>
              <w:t>2021</w:t>
            </w:r>
            <w:r w:rsidR="001669CB" w:rsidRPr="00D54FAE">
              <w:rPr>
                <w:rFonts w:ascii="Century Gothic" w:eastAsia="Calibri" w:hAnsi="Century Gothic"/>
              </w:rPr>
              <w:t>: $</w:t>
            </w:r>
            <w:r w:rsidR="00A6671A" w:rsidRPr="00D54FAE">
              <w:rPr>
                <w:rFonts w:ascii="Century Gothic" w:eastAsia="Calibri" w:hAnsi="Century Gothic"/>
              </w:rPr>
              <w:t>398</w:t>
            </w:r>
          </w:p>
          <w:p w14:paraId="5B5B9A39" w14:textId="43B909E4" w:rsidR="5C5A167A" w:rsidRPr="00D54FAE" w:rsidRDefault="09D453C3" w:rsidP="5C5A167A">
            <w:pPr>
              <w:rPr>
                <w:rFonts w:ascii="Century Gothic" w:eastAsia="Times New Roman" w:hAnsi="Century Gothic"/>
              </w:rPr>
            </w:pPr>
            <w:r w:rsidRPr="00D54FAE">
              <w:rPr>
                <w:rFonts w:ascii="Century Gothic" w:eastAsia="Times New Roman" w:hAnsi="Century Gothic"/>
              </w:rPr>
              <w:t xml:space="preserve">           </w:t>
            </w:r>
          </w:p>
          <w:p w14:paraId="7FFE0EA9" w14:textId="20F27590" w:rsidR="5C5A167A" w:rsidRPr="00D54FAE" w:rsidRDefault="5C5A167A" w:rsidP="5C5A167A">
            <w:pPr>
              <w:rPr>
                <w:rFonts w:ascii="Century Gothic" w:eastAsia="Times New Roman" w:hAnsi="Century Gothic"/>
              </w:rPr>
            </w:pPr>
          </w:p>
        </w:tc>
        <w:tc>
          <w:tcPr>
            <w:tcW w:w="1990" w:type="dxa"/>
            <w:tcBorders>
              <w:top w:val="nil"/>
              <w:left w:val="single" w:sz="8" w:space="0" w:color="D9D9D9" w:themeColor="background1" w:themeShade="D9"/>
              <w:bottom w:val="single" w:sz="8" w:space="0" w:color="D9D9D9" w:themeColor="background1" w:themeShade="D9"/>
              <w:right w:val="nil"/>
            </w:tcBorders>
          </w:tcPr>
          <w:p w14:paraId="3E6990A1" w14:textId="0C87FC44" w:rsidR="67E85BAF" w:rsidRPr="00D54FAE" w:rsidRDefault="52DAB778" w:rsidP="67E85BAF">
            <w:pPr>
              <w:rPr>
                <w:rFonts w:ascii="Century Gothic" w:eastAsia="Times New Roman" w:hAnsi="Century Gothic"/>
              </w:rPr>
            </w:pPr>
            <w:r w:rsidRPr="414ED316">
              <w:rPr>
                <w:rFonts w:ascii="Century Gothic" w:eastAsia="Times New Roman" w:hAnsi="Century Gothic"/>
              </w:rPr>
              <w:t>No</w:t>
            </w:r>
          </w:p>
          <w:p w14:paraId="07533073" w14:textId="15013044" w:rsidR="5C5A167A" w:rsidRPr="00D54FAE" w:rsidRDefault="5C5A167A" w:rsidP="4EC18A89">
            <w:pPr>
              <w:rPr>
                <w:rFonts w:ascii="Century Gothic" w:eastAsia="Times New Roman" w:hAnsi="Century Gothic"/>
              </w:rPr>
            </w:pPr>
          </w:p>
        </w:tc>
      </w:tr>
    </w:tbl>
    <w:p w14:paraId="191BD1FF" w14:textId="716C912E" w:rsidR="0D8BAA9B" w:rsidRPr="00B91440" w:rsidRDefault="00244504" w:rsidP="414ED316">
      <w:pPr>
        <w:rPr>
          <w:rFonts w:ascii="Century Gothic" w:hAnsi="Century Gothic"/>
          <w:i/>
          <w:iCs/>
          <w:sz w:val="16"/>
          <w:szCs w:val="16"/>
        </w:rPr>
      </w:pPr>
      <w:r w:rsidRPr="414ED316">
        <w:rPr>
          <w:rFonts w:ascii="Century Gothic" w:hAnsi="Century Gothic"/>
          <w:i/>
          <w:iCs/>
          <w:sz w:val="16"/>
          <w:szCs w:val="16"/>
        </w:rPr>
        <w:t>*</w:t>
      </w:r>
      <w:r w:rsidR="00B10993" w:rsidRPr="414ED316">
        <w:rPr>
          <w:rFonts w:ascii="Century Gothic" w:hAnsi="Century Gothic"/>
          <w:i/>
          <w:iCs/>
          <w:sz w:val="16"/>
          <w:szCs w:val="16"/>
        </w:rPr>
        <w:t>Revised benchmark from 5% decrease in PHA MTW TBV subsidies to non-HUD FSS participants in the REACH Grant program</w:t>
      </w:r>
      <w:r w:rsidRPr="414ED316">
        <w:rPr>
          <w:rFonts w:ascii="Century Gothic" w:hAnsi="Century Gothic"/>
          <w:i/>
          <w:iCs/>
          <w:sz w:val="16"/>
          <w:szCs w:val="16"/>
        </w:rPr>
        <w:t xml:space="preserve"> to 5% increase in expected</w:t>
      </w:r>
      <w:r w:rsidR="35818F3D" w:rsidRPr="414ED316">
        <w:rPr>
          <w:rFonts w:ascii="Century Gothic" w:hAnsi="Century Gothic"/>
          <w:i/>
          <w:iCs/>
          <w:sz w:val="16"/>
          <w:szCs w:val="16"/>
        </w:rPr>
        <w:t>$</w:t>
      </w:r>
      <w:r w:rsidRPr="414ED316">
        <w:rPr>
          <w:rFonts w:ascii="Century Gothic" w:hAnsi="Century Gothic"/>
          <w:i/>
          <w:iCs/>
          <w:sz w:val="16"/>
          <w:szCs w:val="16"/>
        </w:rPr>
        <w:t xml:space="preserve"> household contributions</w:t>
      </w:r>
    </w:p>
    <w:bookmarkEnd w:id="150"/>
    <w:p w14:paraId="27B2E0ED" w14:textId="5910FE70" w:rsidR="6C5F1031" w:rsidRPr="00D17164" w:rsidRDefault="6C5F1031" w:rsidP="2A137AEF">
      <w:pPr>
        <w:spacing w:before="120" w:after="80"/>
        <w:rPr>
          <w:rFonts w:ascii="Century Gothic" w:eastAsiaTheme="majorEastAsia" w:hAnsi="Century Gothic"/>
          <w:b/>
          <w:bCs/>
          <w:color w:val="808080" w:themeColor="background1" w:themeShade="80"/>
        </w:rPr>
      </w:pPr>
      <w:r w:rsidRPr="00D17164">
        <w:rPr>
          <w:rFonts w:ascii="Century Gothic" w:eastAsiaTheme="majorEastAsia" w:hAnsi="Century Gothic"/>
          <w:b/>
          <w:bCs/>
          <w:color w:val="808080" w:themeColor="background1" w:themeShade="80"/>
        </w:rPr>
        <w:t>Actual Non-Significant Changes</w:t>
      </w:r>
    </w:p>
    <w:p w14:paraId="46DB6B20" w14:textId="712FCB1D" w:rsidR="59A44F2D" w:rsidRPr="00D17164" w:rsidRDefault="59A44F2D" w:rsidP="2A137AEF">
      <w:pPr>
        <w:rPr>
          <w:rFonts w:ascii="Century Gothic" w:eastAsia="MS PGothic" w:hAnsi="Century Gothic"/>
        </w:rPr>
      </w:pPr>
      <w:r w:rsidRPr="00D17164">
        <w:rPr>
          <w:rFonts w:ascii="Century Gothic" w:eastAsia="MS PGothic" w:hAnsi="Century Gothic"/>
        </w:rPr>
        <w:t>None</w:t>
      </w:r>
    </w:p>
    <w:p w14:paraId="066A081B" w14:textId="116676A7" w:rsidR="6C5F1031" w:rsidRPr="00D17164" w:rsidRDefault="6C5F1031" w:rsidP="2A137AEF">
      <w:pPr>
        <w:spacing w:before="120" w:after="80"/>
        <w:rPr>
          <w:rFonts w:ascii="Century Gothic" w:eastAsiaTheme="majorEastAsia" w:hAnsi="Century Gothic"/>
          <w:b/>
          <w:bCs/>
          <w:color w:val="808080" w:themeColor="background1" w:themeShade="80"/>
        </w:rPr>
      </w:pPr>
      <w:r w:rsidRPr="00D17164">
        <w:rPr>
          <w:rFonts w:ascii="Century Gothic" w:eastAsiaTheme="majorEastAsia" w:hAnsi="Century Gothic"/>
          <w:b/>
          <w:bCs/>
          <w:color w:val="808080" w:themeColor="background1" w:themeShade="80"/>
        </w:rPr>
        <w:t>Actual Significant Changes</w:t>
      </w:r>
    </w:p>
    <w:p w14:paraId="201C1136" w14:textId="79336162" w:rsidR="05C96EEF" w:rsidRPr="00D17164" w:rsidRDefault="05C96EEF" w:rsidP="2A137AEF">
      <w:pPr>
        <w:rPr>
          <w:rFonts w:ascii="Century Gothic" w:eastAsia="MS PGothic" w:hAnsi="Century Gothic"/>
        </w:rPr>
      </w:pPr>
      <w:r w:rsidRPr="00D17164">
        <w:rPr>
          <w:rFonts w:ascii="Century Gothic" w:eastAsia="MS PGothic" w:hAnsi="Century Gothic"/>
        </w:rPr>
        <w:t>None</w:t>
      </w:r>
    </w:p>
    <w:bookmarkEnd w:id="149"/>
    <w:p w14:paraId="4621AE4E" w14:textId="7A4B3CD8" w:rsidR="54BD8CC3" w:rsidRDefault="54BD8CC3" w:rsidP="54BD8CC3">
      <w:pPr>
        <w:rPr>
          <w:rFonts w:ascii="Times New Roman" w:eastAsia="Times New Roman" w:hAnsi="Times New Roman"/>
        </w:rPr>
      </w:pPr>
    </w:p>
    <w:p w14:paraId="001016D3" w14:textId="33C06A32" w:rsidR="1A83E50C" w:rsidRPr="00A50CB8" w:rsidRDefault="5A5691A9" w:rsidP="005B4B7C">
      <w:pPr>
        <w:rPr>
          <w:rFonts w:ascii="Century Gothic" w:hAnsi="Century Gothic"/>
          <w:b/>
          <w:bCs/>
          <w:szCs w:val="22"/>
        </w:rPr>
      </w:pPr>
      <w:bookmarkStart w:id="151" w:name="_Hlk112755575"/>
      <w:r w:rsidRPr="00A50CB8">
        <w:rPr>
          <w:rFonts w:ascii="Century Gothic" w:hAnsi="Century Gothic"/>
          <w:b/>
          <w:bCs/>
          <w:szCs w:val="22"/>
        </w:rPr>
        <w:lastRenderedPageBreak/>
        <w:t>Cost Effectiveness</w:t>
      </w:r>
    </w:p>
    <w:p w14:paraId="77FB2568" w14:textId="2ABCF431" w:rsidR="06023814" w:rsidRPr="00A50CB8" w:rsidRDefault="06023814" w:rsidP="06023814">
      <w:pPr>
        <w:rPr>
          <w:rFonts w:ascii="Century Gothic" w:eastAsia="MS PGothic" w:hAnsi="Century Gothic"/>
          <w:szCs w:val="22"/>
        </w:rPr>
      </w:pPr>
    </w:p>
    <w:bookmarkStart w:id="152" w:name="_Toc470178843"/>
    <w:bookmarkStart w:id="153" w:name="_Toc470179747"/>
    <w:bookmarkStart w:id="154" w:name="_Toc502307798"/>
    <w:bookmarkStart w:id="155" w:name="_Toc528927273"/>
    <w:bookmarkStart w:id="156" w:name="_Toc89871165"/>
    <w:bookmarkStart w:id="157" w:name="_Toc470178842"/>
    <w:bookmarkStart w:id="158" w:name="_Toc470179746"/>
    <w:p w14:paraId="2F9B2CD9" w14:textId="5116FE78" w:rsidR="00EC5276" w:rsidRPr="00331A0B" w:rsidRDefault="00DE6A54" w:rsidP="007966B9">
      <w:pPr>
        <w:pStyle w:val="MTWHeader2"/>
        <w:rPr>
          <w:rFonts w:ascii="Century Gothic" w:hAnsi="Century Gothic" w:cs="Times New Roman"/>
          <w:sz w:val="22"/>
          <w:szCs w:val="22"/>
        </w:rPr>
      </w:pPr>
      <w:r w:rsidRPr="00331A0B">
        <w:rPr>
          <w:rFonts w:ascii="Century Gothic" w:hAnsi="Century Gothic"/>
          <w:sz w:val="22"/>
          <w:szCs w:val="22"/>
        </w:rPr>
        <mc:AlternateContent>
          <mc:Choice Requires="wps">
            <w:drawing>
              <wp:anchor distT="0" distB="0" distL="114300" distR="114300" simplePos="0" relativeHeight="251658240" behindDoc="0" locked="0" layoutInCell="1" allowOverlap="1" wp14:anchorId="18BA5E94" wp14:editId="360DF905">
                <wp:simplePos x="0" y="0"/>
                <wp:positionH relativeFrom="margin">
                  <wp:posOffset>5227320</wp:posOffset>
                </wp:positionH>
                <wp:positionV relativeFrom="paragraph">
                  <wp:posOffset>167640</wp:posOffset>
                </wp:positionV>
                <wp:extent cx="1075690" cy="297180"/>
                <wp:effectExtent l="0" t="0" r="0" b="7620"/>
                <wp:wrapTight wrapText="bothSides">
                  <wp:wrapPolygon edited="0">
                    <wp:start x="0" y="0"/>
                    <wp:lineTo x="0" y="22154"/>
                    <wp:lineTo x="21421" y="22154"/>
                    <wp:lineTo x="21421" y="0"/>
                    <wp:lineTo x="0" y="0"/>
                  </wp:wrapPolygon>
                </wp:wrapTight>
                <wp:docPr id="54" name="Rectangle: Rounded Corners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690" cy="297180"/>
                        </a:xfrm>
                        <a:prstGeom prst="roundRect">
                          <a:avLst/>
                        </a:prstGeom>
                        <a:solidFill>
                          <a:srgbClr val="B5333C"/>
                        </a:solidFill>
                        <a:ln w="12700" cap="flat" cmpd="sng" algn="ctr">
                          <a:solidFill>
                            <a:sysClr val="window" lastClr="FFFFFF"/>
                          </a:solidFill>
                          <a:prstDash val="solid"/>
                          <a:miter lim="800000"/>
                        </a:ln>
                        <a:effectLst/>
                      </wps:spPr>
                      <wps:txbx>
                        <w:txbxContent>
                          <w:p w14:paraId="770FD37F" w14:textId="77777777" w:rsidR="009F26DD" w:rsidRPr="00853DD8" w:rsidRDefault="009F26DD" w:rsidP="00EC5276">
                            <w:pPr>
                              <w:jc w:val="center"/>
                              <w:rPr>
                                <w:b/>
                                <w:color w:val="FFFFFF" w:themeColor="background1"/>
                                <w:szCs w:val="20"/>
                              </w:rPr>
                            </w:pPr>
                            <w:r w:rsidRPr="00853DD8">
                              <w:rPr>
                                <w:b/>
                                <w:color w:val="FFFFFF" w:themeColor="background1"/>
                                <w:szCs w:val="20"/>
                              </w:rPr>
                              <w:t>Cost Effective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BA5E94" id="Rectangle: Rounded Corners 107" o:spid="_x0000_s1083" style="position:absolute;margin-left:411.6pt;margin-top:13.2pt;width:84.7pt;height:23.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" fillcolor="#b5333c" strokecolor="window" strokeweight="1pt">
                <v:stroke joinstyle="miter"/>
                <v:path arrowok="t"/>
                <v:textbox>
                  <w:txbxContent>
                    <w:p w14:paraId="770FD37F" w14:textId="77777777" w:rsidR="009F26DD" w:rsidRPr="00853DD8" w:rsidRDefault="009F26DD" w:rsidP="00EC5276">
                      <w:pPr>
                        <w:jc w:val="center"/>
                        <w:rPr>
                          <w:b/>
                          <w:color w:val="FFFFFF" w:themeColor="background1"/>
                          <w:szCs w:val="20"/>
                        </w:rPr>
                      </w:pPr>
                      <w:r w:rsidRPr="00853DD8">
                        <w:rPr>
                          <w:b/>
                          <w:color w:val="FFFFFF" w:themeColor="background1"/>
                          <w:szCs w:val="20"/>
                        </w:rPr>
                        <w:t>Cost Effective</w:t>
                      </w:r>
                    </w:p>
                  </w:txbxContent>
                </v:textbox>
                <w10:wrap type="tight" anchorx="margin"/>
              </v:roundrect>
            </w:pict>
          </mc:Fallback>
        </mc:AlternateContent>
      </w:r>
      <w:bookmarkStart w:id="159" w:name="_Toc470178844"/>
      <w:bookmarkStart w:id="160" w:name="_Toc470179748"/>
      <w:bookmarkStart w:id="161" w:name="_Toc502307799"/>
      <w:bookmarkStart w:id="162" w:name="_Toc528927274"/>
      <w:bookmarkEnd w:id="152"/>
      <w:bookmarkEnd w:id="153"/>
      <w:bookmarkEnd w:id="154"/>
      <w:bookmarkEnd w:id="155"/>
      <w:r w:rsidR="7285BCC6" w:rsidRPr="00331A0B">
        <w:rPr>
          <w:rFonts w:ascii="Century Gothic" w:hAnsi="Century Gothic" w:cs="Times New Roman"/>
          <w:sz w:val="22"/>
          <w:szCs w:val="22"/>
        </w:rPr>
        <w:t>Initiative 3.1 – Rent Simplification</w:t>
      </w:r>
      <w:bookmarkEnd w:id="156"/>
      <w:bookmarkEnd w:id="159"/>
      <w:bookmarkEnd w:id="160"/>
      <w:bookmarkEnd w:id="161"/>
      <w:bookmarkEnd w:id="162"/>
      <w:r w:rsidR="7285BCC6" w:rsidRPr="00331A0B">
        <w:rPr>
          <w:rFonts w:ascii="Century Gothic" w:hAnsi="Century Gothic" w:cs="Times New Roman"/>
          <w:sz w:val="22"/>
          <w:szCs w:val="22"/>
        </w:rPr>
        <w:t xml:space="preserve"> </w:t>
      </w:r>
    </w:p>
    <w:p w14:paraId="40AB29EB" w14:textId="79CE414B" w:rsidR="1B3F2E6D" w:rsidRPr="00331A0B" w:rsidRDefault="1B3F2E6D" w:rsidP="1B3F2E6D">
      <w:pPr>
        <w:rPr>
          <w:rFonts w:ascii="Century Gothic" w:eastAsia="Calibri" w:hAnsi="Century Gothic"/>
          <w:szCs w:val="22"/>
        </w:rPr>
      </w:pPr>
    </w:p>
    <w:p w14:paraId="6F145DBE" w14:textId="0B15CD26" w:rsidR="00EC5276" w:rsidRPr="00331A0B" w:rsidRDefault="00EC5276" w:rsidP="00EC5276">
      <w:pPr>
        <w:rPr>
          <w:rFonts w:ascii="Century Gothic" w:eastAsia="Calibri" w:hAnsi="Century Gothic"/>
          <w:szCs w:val="22"/>
        </w:rPr>
      </w:pPr>
      <w:r w:rsidRPr="00331A0B">
        <w:rPr>
          <w:rFonts w:ascii="Century Gothic" w:eastAsia="Calibri" w:hAnsi="Century Gothic"/>
          <w:szCs w:val="22"/>
        </w:rPr>
        <w:t>Approved in FY07 and implemented in FY08</w:t>
      </w:r>
      <w:r w:rsidR="00845CE1" w:rsidRPr="00331A0B">
        <w:rPr>
          <w:rFonts w:ascii="Century Gothic" w:eastAsia="Calibri" w:hAnsi="Century Gothic"/>
          <w:szCs w:val="22"/>
        </w:rPr>
        <w:t xml:space="preserve">. </w:t>
      </w:r>
    </w:p>
    <w:p w14:paraId="7B5D24DA" w14:textId="77777777" w:rsidR="00EC5276" w:rsidRPr="00331A0B" w:rsidRDefault="00EC5276" w:rsidP="00EC5276">
      <w:pPr>
        <w:rPr>
          <w:rFonts w:ascii="Century Gothic" w:hAnsi="Century Gothic"/>
          <w:szCs w:val="22"/>
        </w:rPr>
      </w:pPr>
    </w:p>
    <w:p w14:paraId="3F5BAF83" w14:textId="4BB321F5" w:rsidR="00EC5276" w:rsidRPr="00331A0B" w:rsidRDefault="2891A77E" w:rsidP="007966B9">
      <w:pPr>
        <w:pStyle w:val="Heading4"/>
        <w:rPr>
          <w:rFonts w:ascii="Century Gothic" w:hAnsi="Century Gothic" w:cs="Times New Roman"/>
        </w:rPr>
      </w:pPr>
      <w:r w:rsidRPr="00331A0B">
        <w:rPr>
          <w:rFonts w:ascii="Century Gothic" w:hAnsi="Century Gothic" w:cs="Times New Roman"/>
        </w:rPr>
        <w:t>Description</w:t>
      </w:r>
    </w:p>
    <w:p w14:paraId="3B691938" w14:textId="6F384133" w:rsidR="00EC5276" w:rsidRPr="00331A0B" w:rsidRDefault="00EC5276" w:rsidP="00EC5276">
      <w:pPr>
        <w:autoSpaceDE w:val="0"/>
        <w:autoSpaceDN w:val="0"/>
        <w:adjustRightInd w:val="0"/>
        <w:spacing w:after="160" w:line="276" w:lineRule="auto"/>
        <w:rPr>
          <w:rFonts w:ascii="Century Gothic" w:eastAsia="Times New Roman" w:hAnsi="Century Gothic"/>
          <w:szCs w:val="22"/>
          <w:lang w:eastAsia="en-US"/>
        </w:rPr>
      </w:pPr>
      <w:r w:rsidRPr="00331A0B">
        <w:rPr>
          <w:rFonts w:ascii="Century Gothic" w:eastAsia="Times New Roman" w:hAnsi="Century Gothic"/>
          <w:szCs w:val="22"/>
          <w:lang w:eastAsia="en-US"/>
        </w:rPr>
        <w:t xml:space="preserve">The full description of ECC/HANH’s rent simplification program can be found in </w:t>
      </w:r>
      <w:r w:rsidR="004113B5" w:rsidRPr="00331A0B">
        <w:rPr>
          <w:rFonts w:ascii="Century Gothic" w:eastAsia="Times New Roman" w:hAnsi="Century Gothic"/>
          <w:szCs w:val="22"/>
          <w:lang w:eastAsia="en-US"/>
        </w:rPr>
        <w:t>appendix 6</w:t>
      </w:r>
      <w:r w:rsidRPr="00331A0B">
        <w:rPr>
          <w:rFonts w:ascii="Century Gothic" w:eastAsia="Times New Roman" w:hAnsi="Century Gothic"/>
          <w:szCs w:val="22"/>
          <w:lang w:eastAsia="en-US"/>
        </w:rPr>
        <w:t>.</w:t>
      </w:r>
    </w:p>
    <w:p w14:paraId="7CA5A77E" w14:textId="77777777" w:rsidR="00EC5276" w:rsidRPr="00331A0B" w:rsidRDefault="00EC5276" w:rsidP="00EC5276">
      <w:pPr>
        <w:autoSpaceDE w:val="0"/>
        <w:autoSpaceDN w:val="0"/>
        <w:adjustRightInd w:val="0"/>
        <w:spacing w:after="160" w:line="276" w:lineRule="auto"/>
        <w:rPr>
          <w:rFonts w:ascii="Century Gothic" w:eastAsia="Times New Roman" w:hAnsi="Century Gothic"/>
          <w:szCs w:val="22"/>
          <w:lang w:eastAsia="en-US"/>
        </w:rPr>
      </w:pPr>
      <w:r w:rsidRPr="00331A0B">
        <w:rPr>
          <w:rFonts w:ascii="Century Gothic" w:eastAsia="Times New Roman" w:hAnsi="Century Gothic"/>
          <w:szCs w:val="22"/>
          <w:lang w:eastAsia="en-US"/>
        </w:rPr>
        <w:t xml:space="preserve">ECC/HANH’s rent simplification activities include the following major elements: </w:t>
      </w:r>
    </w:p>
    <w:p w14:paraId="7F4BCFAF" w14:textId="77777777" w:rsidR="003F1E9A" w:rsidRPr="00331A0B" w:rsidRDefault="389E2040" w:rsidP="00486062">
      <w:pPr>
        <w:numPr>
          <w:ilvl w:val="0"/>
          <w:numId w:val="68"/>
        </w:numPr>
        <w:autoSpaceDE w:val="0"/>
        <w:autoSpaceDN w:val="0"/>
        <w:adjustRightInd w:val="0"/>
        <w:spacing w:after="160" w:line="276" w:lineRule="auto"/>
        <w:rPr>
          <w:rFonts w:ascii="Century Gothic" w:eastAsia="Times New Roman" w:hAnsi="Century Gothic"/>
          <w:szCs w:val="22"/>
          <w:lang w:eastAsia="en-US"/>
        </w:rPr>
      </w:pPr>
      <w:r w:rsidRPr="00331A0B">
        <w:rPr>
          <w:rFonts w:ascii="Century Gothic" w:eastAsia="Times New Roman" w:hAnsi="Century Gothic"/>
          <w:b/>
          <w:bCs/>
          <w:szCs w:val="22"/>
          <w:lang w:eastAsia="en-US"/>
        </w:rPr>
        <w:t>Multi-year recertification cycles</w:t>
      </w:r>
      <w:r w:rsidRPr="00331A0B">
        <w:rPr>
          <w:rFonts w:ascii="Century Gothic" w:eastAsia="Times New Roman" w:hAnsi="Century Gothic"/>
          <w:szCs w:val="22"/>
          <w:lang w:eastAsia="en-US"/>
        </w:rPr>
        <w:t xml:space="preserve">. </w:t>
      </w:r>
      <w:r w:rsidR="27320061" w:rsidRPr="00331A0B">
        <w:rPr>
          <w:rFonts w:ascii="Century Gothic" w:eastAsia="Times New Roman" w:hAnsi="Century Gothic"/>
          <w:szCs w:val="22"/>
          <w:lang w:eastAsia="en-US"/>
        </w:rPr>
        <w:t>ECC/HANH implemented the multi-year recertification cycles that recertifies work-able families every two years and elderly/disabled</w:t>
      </w:r>
      <w:r w:rsidR="004C507B" w:rsidRPr="00331A0B">
        <w:rPr>
          <w:rFonts w:ascii="Century Gothic" w:eastAsia="Times New Roman" w:hAnsi="Century Gothic"/>
          <w:szCs w:val="22"/>
          <w:lang w:eastAsia="en-US"/>
        </w:rPr>
        <w:t xml:space="preserve"> (non-workable)</w:t>
      </w:r>
      <w:r w:rsidR="27320061" w:rsidRPr="00331A0B">
        <w:rPr>
          <w:rFonts w:ascii="Century Gothic" w:eastAsia="Times New Roman" w:hAnsi="Century Gothic"/>
          <w:szCs w:val="22"/>
          <w:lang w:eastAsia="en-US"/>
        </w:rPr>
        <w:t xml:space="preserve"> families every three years. </w:t>
      </w:r>
    </w:p>
    <w:p w14:paraId="7A1790F2" w14:textId="15F8DA84" w:rsidR="00EC5276" w:rsidRPr="00331A0B" w:rsidRDefault="00D15403" w:rsidP="003F1E9A">
      <w:pPr>
        <w:autoSpaceDE w:val="0"/>
        <w:autoSpaceDN w:val="0"/>
        <w:adjustRightInd w:val="0"/>
        <w:spacing w:after="160" w:line="276" w:lineRule="auto"/>
        <w:ind w:left="720"/>
        <w:rPr>
          <w:rFonts w:ascii="Century Gothic" w:eastAsia="Times New Roman" w:hAnsi="Century Gothic"/>
          <w:szCs w:val="22"/>
          <w:lang w:eastAsia="en-US"/>
        </w:rPr>
      </w:pPr>
      <w:r w:rsidRPr="00331A0B">
        <w:rPr>
          <w:rFonts w:ascii="Century Gothic" w:hAnsi="Century Gothic"/>
          <w:szCs w:val="22"/>
        </w:rPr>
        <w:t>Elderly</w:t>
      </w:r>
      <w:r w:rsidR="006F4069" w:rsidRPr="00331A0B">
        <w:rPr>
          <w:rFonts w:ascii="Century Gothic" w:hAnsi="Century Gothic"/>
          <w:szCs w:val="22"/>
        </w:rPr>
        <w:t>/Disabled</w:t>
      </w:r>
      <w:r w:rsidR="00415E62" w:rsidRPr="00331A0B">
        <w:rPr>
          <w:rFonts w:ascii="Century Gothic" w:hAnsi="Century Gothic"/>
          <w:szCs w:val="22"/>
        </w:rPr>
        <w:t xml:space="preserve"> </w:t>
      </w:r>
      <w:r w:rsidR="00037C13" w:rsidRPr="00331A0B">
        <w:rPr>
          <w:rFonts w:ascii="Century Gothic" w:hAnsi="Century Gothic"/>
          <w:szCs w:val="22"/>
        </w:rPr>
        <w:t xml:space="preserve">(non-workable) </w:t>
      </w:r>
      <w:r w:rsidR="00415E62" w:rsidRPr="00331A0B">
        <w:rPr>
          <w:rFonts w:ascii="Century Gothic" w:hAnsi="Century Gothic"/>
          <w:szCs w:val="22"/>
        </w:rPr>
        <w:t xml:space="preserve">families are families where all adult family members are elderly (age 62 or more) and/or disabled. </w:t>
      </w:r>
      <w:r w:rsidR="006F4069" w:rsidRPr="00331A0B">
        <w:rPr>
          <w:rFonts w:ascii="Century Gothic" w:hAnsi="Century Gothic"/>
          <w:szCs w:val="22"/>
        </w:rPr>
        <w:t xml:space="preserve"> </w:t>
      </w:r>
      <w:r w:rsidR="00415E62" w:rsidRPr="00331A0B">
        <w:rPr>
          <w:rFonts w:ascii="Century Gothic" w:hAnsi="Century Gothic"/>
          <w:szCs w:val="22"/>
        </w:rPr>
        <w:t xml:space="preserve">MTW families that do not meet the definition of a Non-Work-Able family will be considered </w:t>
      </w:r>
      <w:r w:rsidR="00037C13" w:rsidRPr="00331A0B">
        <w:rPr>
          <w:rFonts w:ascii="Century Gothic" w:hAnsi="Century Gothic"/>
          <w:szCs w:val="22"/>
        </w:rPr>
        <w:t>w</w:t>
      </w:r>
      <w:r w:rsidR="00415E62" w:rsidRPr="00331A0B">
        <w:rPr>
          <w:rFonts w:ascii="Century Gothic" w:hAnsi="Century Gothic"/>
          <w:szCs w:val="22"/>
        </w:rPr>
        <w:t>ork-</w:t>
      </w:r>
      <w:r w:rsidR="00037C13" w:rsidRPr="00331A0B">
        <w:rPr>
          <w:rFonts w:ascii="Century Gothic" w:hAnsi="Century Gothic"/>
          <w:szCs w:val="22"/>
        </w:rPr>
        <w:t>a</w:t>
      </w:r>
      <w:r w:rsidR="00415E62" w:rsidRPr="00331A0B">
        <w:rPr>
          <w:rFonts w:ascii="Century Gothic" w:hAnsi="Century Gothic"/>
          <w:szCs w:val="22"/>
        </w:rPr>
        <w:t>ble families.</w:t>
      </w:r>
    </w:p>
    <w:p w14:paraId="6F43475B" w14:textId="5F54543E" w:rsidR="00037C13" w:rsidRPr="00331A0B" w:rsidRDefault="00DF6874" w:rsidP="00DF6874">
      <w:pPr>
        <w:autoSpaceDE w:val="0"/>
        <w:autoSpaceDN w:val="0"/>
        <w:adjustRightInd w:val="0"/>
        <w:spacing w:after="160" w:line="276" w:lineRule="auto"/>
        <w:ind w:left="720"/>
        <w:rPr>
          <w:rFonts w:ascii="Century Gothic" w:eastAsia="Times New Roman" w:hAnsi="Century Gothic"/>
          <w:szCs w:val="22"/>
          <w:lang w:eastAsia="en-US"/>
        </w:rPr>
      </w:pPr>
      <w:r w:rsidRPr="00331A0B">
        <w:rPr>
          <w:rFonts w:ascii="Century Gothic" w:eastAsia="Times New Roman" w:hAnsi="Century Gothic"/>
          <w:szCs w:val="22"/>
          <w:lang w:eastAsia="en-US"/>
        </w:rPr>
        <w:t xml:space="preserve">a. </w:t>
      </w:r>
      <w:r w:rsidR="00037C13" w:rsidRPr="00331A0B">
        <w:rPr>
          <w:rFonts w:ascii="Century Gothic" w:eastAsia="Times New Roman" w:hAnsi="Century Gothic"/>
          <w:szCs w:val="22"/>
          <w:lang w:eastAsia="en-US"/>
        </w:rPr>
        <w:t>Biennial cycle (every two years) for work-able households (those that do not meet the elderly/disabled definition)</w:t>
      </w:r>
    </w:p>
    <w:p w14:paraId="75207DA3" w14:textId="025C58F1" w:rsidR="00EC5276" w:rsidRPr="00331A0B" w:rsidRDefault="00B6032F" w:rsidP="00DF6874">
      <w:pPr>
        <w:autoSpaceDE w:val="0"/>
        <w:autoSpaceDN w:val="0"/>
        <w:adjustRightInd w:val="0"/>
        <w:spacing w:after="160" w:line="276" w:lineRule="auto"/>
        <w:ind w:left="720"/>
        <w:rPr>
          <w:rFonts w:ascii="Century Gothic" w:eastAsia="Times New Roman" w:hAnsi="Century Gothic"/>
          <w:szCs w:val="22"/>
          <w:lang w:eastAsia="en-US"/>
        </w:rPr>
      </w:pPr>
      <w:r>
        <w:rPr>
          <w:rFonts w:ascii="Century Gothic" w:eastAsia="Times New Roman" w:hAnsi="Century Gothic"/>
          <w:szCs w:val="22"/>
          <w:lang w:eastAsia="en-US"/>
        </w:rPr>
        <w:t>b. T</w:t>
      </w:r>
      <w:r w:rsidRPr="00331A0B">
        <w:rPr>
          <w:rFonts w:ascii="Century Gothic" w:eastAsia="Times New Roman" w:hAnsi="Century Gothic"/>
          <w:szCs w:val="22"/>
          <w:lang w:eastAsia="en-US"/>
        </w:rPr>
        <w:t>riennial</w:t>
      </w:r>
      <w:r w:rsidR="00EC5276" w:rsidRPr="00331A0B">
        <w:rPr>
          <w:rFonts w:ascii="Century Gothic" w:eastAsia="Times New Roman" w:hAnsi="Century Gothic"/>
          <w:szCs w:val="22"/>
          <w:lang w:eastAsia="en-US"/>
        </w:rPr>
        <w:t xml:space="preserve"> cycle (every three years) for elderly/disabled households (defined as head, co-head, or spouse is elderly and/or disabled)</w:t>
      </w:r>
    </w:p>
    <w:p w14:paraId="52D8AAED" w14:textId="77777777" w:rsidR="00DF6874" w:rsidRPr="00331A0B" w:rsidRDefault="00EC5276" w:rsidP="00486062">
      <w:pPr>
        <w:numPr>
          <w:ilvl w:val="2"/>
          <w:numId w:val="67"/>
        </w:numPr>
        <w:autoSpaceDE w:val="0"/>
        <w:autoSpaceDN w:val="0"/>
        <w:adjustRightInd w:val="0"/>
        <w:spacing w:after="160"/>
        <w:rPr>
          <w:rFonts w:ascii="Century Gothic" w:eastAsia="Times New Roman" w:hAnsi="Century Gothic"/>
          <w:szCs w:val="22"/>
          <w:lang w:eastAsia="en-US"/>
        </w:rPr>
      </w:pPr>
      <w:r w:rsidRPr="00331A0B">
        <w:rPr>
          <w:rFonts w:ascii="Century Gothic" w:eastAsia="Times New Roman" w:hAnsi="Century Gothic"/>
          <w:b/>
          <w:szCs w:val="22"/>
          <w:lang w:eastAsia="en-US"/>
        </w:rPr>
        <w:t>Rationale</w:t>
      </w:r>
      <w:r w:rsidRPr="00331A0B">
        <w:rPr>
          <w:rFonts w:ascii="Century Gothic" w:eastAsia="Times New Roman" w:hAnsi="Century Gothic"/>
          <w:szCs w:val="22"/>
          <w:lang w:eastAsia="en-US"/>
        </w:rPr>
        <w:t xml:space="preserve">: Very little change in income takes place with elderly/disabled families on fixed income </w:t>
      </w:r>
      <w:r w:rsidR="00F069C3" w:rsidRPr="00331A0B">
        <w:rPr>
          <w:rFonts w:ascii="Century Gothic" w:eastAsia="Times New Roman" w:hAnsi="Century Gothic"/>
          <w:szCs w:val="22"/>
          <w:lang w:eastAsia="en-US"/>
        </w:rPr>
        <w:t xml:space="preserve">on an annual basis. Given this </w:t>
      </w:r>
      <w:r w:rsidR="00EC27AF" w:rsidRPr="00331A0B">
        <w:rPr>
          <w:rFonts w:ascii="Century Gothic" w:eastAsia="Times New Roman" w:hAnsi="Century Gothic"/>
          <w:szCs w:val="22"/>
          <w:lang w:eastAsia="en-US"/>
        </w:rPr>
        <w:t>consistency, there</w:t>
      </w:r>
      <w:r w:rsidRPr="00331A0B">
        <w:rPr>
          <w:rFonts w:ascii="Century Gothic" w:eastAsia="Times New Roman" w:hAnsi="Century Gothic"/>
          <w:szCs w:val="22"/>
          <w:lang w:eastAsia="en-US"/>
        </w:rPr>
        <w:t xml:space="preserve"> is little financial incentive for ECC/HANH to verify </w:t>
      </w:r>
      <w:r w:rsidR="00845CE1" w:rsidRPr="00331A0B">
        <w:rPr>
          <w:rFonts w:ascii="Century Gothic" w:eastAsia="Times New Roman" w:hAnsi="Century Gothic"/>
          <w:szCs w:val="22"/>
          <w:lang w:eastAsia="en-US"/>
        </w:rPr>
        <w:t xml:space="preserve">the </w:t>
      </w:r>
      <w:r w:rsidRPr="00331A0B">
        <w:rPr>
          <w:rFonts w:ascii="Century Gothic" w:eastAsia="Times New Roman" w:hAnsi="Century Gothic"/>
          <w:szCs w:val="22"/>
          <w:lang w:eastAsia="en-US"/>
        </w:rPr>
        <w:t xml:space="preserve">income </w:t>
      </w:r>
      <w:r w:rsidR="00EC27AF" w:rsidRPr="00331A0B">
        <w:rPr>
          <w:rFonts w:ascii="Century Gothic" w:eastAsia="Times New Roman" w:hAnsi="Century Gothic"/>
          <w:szCs w:val="22"/>
          <w:lang w:eastAsia="en-US"/>
        </w:rPr>
        <w:t xml:space="preserve">of elderly/disabled families </w:t>
      </w:r>
      <w:r w:rsidRPr="00331A0B">
        <w:rPr>
          <w:rFonts w:ascii="Century Gothic" w:eastAsia="Times New Roman" w:hAnsi="Century Gothic"/>
          <w:szCs w:val="22"/>
          <w:lang w:eastAsia="en-US"/>
        </w:rPr>
        <w:t xml:space="preserve">annually. </w:t>
      </w:r>
    </w:p>
    <w:p w14:paraId="37A3C72D" w14:textId="4C2F6F96" w:rsidR="00EC5276" w:rsidRPr="00331A0B" w:rsidRDefault="00EC5276" w:rsidP="00DF6874">
      <w:pPr>
        <w:autoSpaceDE w:val="0"/>
        <w:autoSpaceDN w:val="0"/>
        <w:adjustRightInd w:val="0"/>
        <w:spacing w:after="160"/>
        <w:ind w:left="2220"/>
        <w:rPr>
          <w:rFonts w:ascii="Century Gothic" w:eastAsia="Times New Roman" w:hAnsi="Century Gothic"/>
          <w:szCs w:val="22"/>
          <w:lang w:eastAsia="en-US"/>
        </w:rPr>
      </w:pPr>
      <w:r w:rsidRPr="00331A0B">
        <w:rPr>
          <w:rFonts w:ascii="Century Gothic" w:eastAsia="Times New Roman" w:hAnsi="Century Gothic"/>
          <w:szCs w:val="22"/>
          <w:lang w:eastAsia="en-US"/>
        </w:rPr>
        <w:t>Work-able families will</w:t>
      </w:r>
      <w:r w:rsidR="00845CE1" w:rsidRPr="00331A0B">
        <w:rPr>
          <w:rFonts w:ascii="Century Gothic" w:eastAsia="Times New Roman" w:hAnsi="Century Gothic"/>
          <w:szCs w:val="22"/>
          <w:lang w:eastAsia="en-US"/>
        </w:rPr>
        <w:t xml:space="preserve"> also </w:t>
      </w:r>
      <w:r w:rsidRPr="00331A0B">
        <w:rPr>
          <w:rFonts w:ascii="Century Gothic" w:eastAsia="Times New Roman" w:hAnsi="Century Gothic"/>
          <w:szCs w:val="22"/>
          <w:lang w:eastAsia="en-US"/>
        </w:rPr>
        <w:t xml:space="preserve">benefit from two-year cycles as they will not pay incremental rent increases on any income increases for the two years between recertifications. </w:t>
      </w:r>
    </w:p>
    <w:p w14:paraId="211CDD32" w14:textId="7E289801" w:rsidR="00EC5276" w:rsidRPr="00331A0B" w:rsidRDefault="00EC5276" w:rsidP="00486062">
      <w:pPr>
        <w:numPr>
          <w:ilvl w:val="2"/>
          <w:numId w:val="67"/>
        </w:numPr>
        <w:autoSpaceDE w:val="0"/>
        <w:autoSpaceDN w:val="0"/>
        <w:adjustRightInd w:val="0"/>
        <w:rPr>
          <w:rFonts w:ascii="Century Gothic" w:eastAsia="Times New Roman" w:hAnsi="Century Gothic"/>
          <w:szCs w:val="22"/>
          <w:lang w:eastAsia="en-US"/>
        </w:rPr>
      </w:pPr>
      <w:r w:rsidRPr="00331A0B">
        <w:rPr>
          <w:rFonts w:ascii="Century Gothic" w:eastAsia="Times New Roman" w:hAnsi="Century Gothic"/>
          <w:b/>
          <w:szCs w:val="22"/>
          <w:lang w:eastAsia="en-US"/>
        </w:rPr>
        <w:t>Expected impact</w:t>
      </w:r>
      <w:r w:rsidRPr="00331A0B">
        <w:rPr>
          <w:rFonts w:ascii="Century Gothic" w:eastAsia="Times New Roman" w:hAnsi="Century Gothic"/>
          <w:szCs w:val="22"/>
          <w:lang w:eastAsia="en-US"/>
        </w:rPr>
        <w:t xml:space="preserve">: Administrative savings, increased </w:t>
      </w:r>
      <w:r w:rsidR="00793154" w:rsidRPr="00331A0B">
        <w:rPr>
          <w:rFonts w:ascii="Century Gothic" w:eastAsia="Times New Roman" w:hAnsi="Century Gothic"/>
          <w:szCs w:val="22"/>
          <w:lang w:eastAsia="en-US"/>
        </w:rPr>
        <w:t xml:space="preserve">resident </w:t>
      </w:r>
      <w:r w:rsidRPr="00331A0B">
        <w:rPr>
          <w:rFonts w:ascii="Century Gothic" w:eastAsia="Times New Roman" w:hAnsi="Century Gothic"/>
          <w:szCs w:val="22"/>
          <w:lang w:eastAsia="en-US"/>
        </w:rPr>
        <w:t>satisfaction and reduced need for interim recertifications</w:t>
      </w:r>
      <w:r w:rsidR="00845CE1" w:rsidRPr="00331A0B">
        <w:rPr>
          <w:rFonts w:ascii="Century Gothic" w:eastAsia="Times New Roman" w:hAnsi="Century Gothic"/>
          <w:szCs w:val="22"/>
          <w:lang w:eastAsia="en-US"/>
        </w:rPr>
        <w:t xml:space="preserve">. </w:t>
      </w:r>
    </w:p>
    <w:p w14:paraId="55255633" w14:textId="77777777" w:rsidR="00C90145" w:rsidRPr="00331A0B" w:rsidRDefault="00C90145" w:rsidP="00DF6874">
      <w:pPr>
        <w:autoSpaceDE w:val="0"/>
        <w:autoSpaceDN w:val="0"/>
        <w:adjustRightInd w:val="0"/>
        <w:ind w:left="2220"/>
        <w:rPr>
          <w:rFonts w:ascii="Century Gothic" w:eastAsia="Times New Roman" w:hAnsi="Century Gothic"/>
          <w:szCs w:val="22"/>
          <w:lang w:eastAsia="en-US"/>
        </w:rPr>
      </w:pPr>
    </w:p>
    <w:p w14:paraId="6B5E8474" w14:textId="72B7D5A4" w:rsidR="00EC5276" w:rsidRPr="00331A0B" w:rsidRDefault="00C90145" w:rsidP="00800E74">
      <w:pPr>
        <w:autoSpaceDE w:val="0"/>
        <w:autoSpaceDN w:val="0"/>
        <w:adjustRightInd w:val="0"/>
        <w:ind w:left="720"/>
        <w:rPr>
          <w:rFonts w:ascii="Century Gothic" w:eastAsia="Times New Roman" w:hAnsi="Century Gothic"/>
          <w:szCs w:val="22"/>
          <w:lang w:eastAsia="en-US"/>
        </w:rPr>
      </w:pPr>
      <w:r w:rsidRPr="00331A0B">
        <w:rPr>
          <w:rFonts w:ascii="Century Gothic" w:eastAsia="Times New Roman" w:hAnsi="Century Gothic"/>
          <w:szCs w:val="22"/>
          <w:lang w:eastAsia="en-US"/>
        </w:rPr>
        <w:t>ECC/HANH</w:t>
      </w:r>
      <w:r w:rsidR="00DF6874" w:rsidRPr="00331A0B">
        <w:rPr>
          <w:rFonts w:ascii="Century Gothic" w:eastAsia="Times New Roman" w:hAnsi="Century Gothic"/>
          <w:szCs w:val="22"/>
          <w:lang w:eastAsia="en-US"/>
        </w:rPr>
        <w:t xml:space="preserve"> also</w:t>
      </w:r>
      <w:r w:rsidRPr="00331A0B">
        <w:rPr>
          <w:rFonts w:ascii="Century Gothic" w:eastAsia="Times New Roman" w:hAnsi="Century Gothic"/>
          <w:szCs w:val="22"/>
          <w:lang w:eastAsia="en-US"/>
        </w:rPr>
        <w:t xml:space="preserve"> utilizes the Enterprise Income Verification (EIV) system for all third-party verifications.</w:t>
      </w:r>
    </w:p>
    <w:p w14:paraId="3B0EB415" w14:textId="77777777" w:rsidR="00C90145" w:rsidRPr="00331A0B" w:rsidRDefault="00C90145" w:rsidP="00C90145">
      <w:pPr>
        <w:autoSpaceDE w:val="0"/>
        <w:autoSpaceDN w:val="0"/>
        <w:adjustRightInd w:val="0"/>
        <w:ind w:firstLine="720"/>
        <w:rPr>
          <w:rFonts w:ascii="Century Gothic" w:eastAsia="Times New Roman" w:hAnsi="Century Gothic"/>
          <w:szCs w:val="22"/>
          <w:lang w:eastAsia="en-US"/>
        </w:rPr>
      </w:pPr>
    </w:p>
    <w:p w14:paraId="240C464F" w14:textId="77777777" w:rsidR="00EC5276" w:rsidRPr="00331A0B" w:rsidRDefault="00EC5276" w:rsidP="00486062">
      <w:pPr>
        <w:numPr>
          <w:ilvl w:val="0"/>
          <w:numId w:val="68"/>
        </w:numPr>
        <w:autoSpaceDE w:val="0"/>
        <w:autoSpaceDN w:val="0"/>
        <w:adjustRightInd w:val="0"/>
        <w:spacing w:after="160" w:line="276" w:lineRule="auto"/>
        <w:rPr>
          <w:rFonts w:ascii="Century Gothic" w:eastAsia="Times New Roman" w:hAnsi="Century Gothic"/>
          <w:szCs w:val="22"/>
          <w:lang w:eastAsia="en-US"/>
        </w:rPr>
      </w:pPr>
      <w:r w:rsidRPr="00331A0B">
        <w:rPr>
          <w:rFonts w:ascii="Century Gothic" w:eastAsia="Times New Roman" w:hAnsi="Century Gothic"/>
          <w:b/>
          <w:szCs w:val="22"/>
          <w:lang w:eastAsia="en-US"/>
        </w:rPr>
        <w:t>Simplified Rent Tiers that incorporate deductions.</w:t>
      </w:r>
      <w:r w:rsidRPr="00331A0B">
        <w:rPr>
          <w:rFonts w:ascii="Century Gothic" w:eastAsia="Times New Roman" w:hAnsi="Century Gothic"/>
          <w:szCs w:val="22"/>
          <w:lang w:eastAsia="en-US"/>
        </w:rPr>
        <w:t xml:space="preserve"> Rent tiers were built to simplify the rent calculation. </w:t>
      </w:r>
      <w:r w:rsidRPr="00331A0B">
        <w:rPr>
          <w:rFonts w:ascii="Century Gothic" w:eastAsia="Times New Roman" w:hAnsi="Century Gothic"/>
          <w:spacing w:val="5"/>
          <w:szCs w:val="22"/>
          <w:lang w:eastAsia="en-US"/>
        </w:rPr>
        <w:t xml:space="preserve">Rents are based on $1,000.00 income bands starting at $2,500.00. </w:t>
      </w:r>
      <w:r w:rsidRPr="00331A0B">
        <w:rPr>
          <w:rFonts w:ascii="Century Gothic" w:eastAsia="Times New Roman" w:hAnsi="Century Gothic"/>
          <w:szCs w:val="22"/>
          <w:lang w:eastAsia="en-US"/>
        </w:rPr>
        <w:t xml:space="preserve">Rent is based on the mid-point of each income band. In addition, ECC/HANH eliminated standard deductions for elderly, disabled and non-elderly households. </w:t>
      </w:r>
    </w:p>
    <w:p w14:paraId="05F21B65" w14:textId="03D210F2" w:rsidR="00EC5276" w:rsidRPr="00331A0B" w:rsidRDefault="00EC5276" w:rsidP="00486062">
      <w:pPr>
        <w:numPr>
          <w:ilvl w:val="0"/>
          <w:numId w:val="64"/>
        </w:numPr>
        <w:autoSpaceDE w:val="0"/>
        <w:autoSpaceDN w:val="0"/>
        <w:adjustRightInd w:val="0"/>
        <w:ind w:left="2160" w:hanging="180"/>
        <w:rPr>
          <w:rFonts w:ascii="Century Gothic" w:eastAsia="Times New Roman" w:hAnsi="Century Gothic"/>
          <w:szCs w:val="22"/>
          <w:lang w:eastAsia="en-US"/>
        </w:rPr>
      </w:pPr>
      <w:r w:rsidRPr="00331A0B">
        <w:rPr>
          <w:rFonts w:ascii="Century Gothic" w:eastAsia="Times New Roman" w:hAnsi="Century Gothic"/>
          <w:b/>
          <w:szCs w:val="22"/>
          <w:lang w:eastAsia="en-US"/>
        </w:rPr>
        <w:t>Rationale</w:t>
      </w:r>
      <w:r w:rsidRPr="00331A0B">
        <w:rPr>
          <w:rFonts w:ascii="Century Gothic" w:eastAsia="Times New Roman" w:hAnsi="Century Gothic"/>
          <w:szCs w:val="22"/>
          <w:lang w:eastAsia="en-US"/>
        </w:rPr>
        <w:t xml:space="preserve">: </w:t>
      </w:r>
      <w:r w:rsidRPr="00331A0B">
        <w:rPr>
          <w:rFonts w:ascii="Century Gothic" w:eastAsia="Times New Roman" w:hAnsi="Century Gothic"/>
          <w:spacing w:val="5"/>
          <w:szCs w:val="22"/>
          <w:lang w:eastAsia="en-US"/>
        </w:rPr>
        <w:t xml:space="preserve">Using a band-based tiered </w:t>
      </w:r>
      <w:r w:rsidRPr="00331A0B">
        <w:rPr>
          <w:rFonts w:ascii="Century Gothic" w:eastAsia="Times New Roman" w:hAnsi="Century Gothic"/>
          <w:spacing w:val="1"/>
          <w:szCs w:val="22"/>
          <w:lang w:eastAsia="en-US"/>
        </w:rPr>
        <w:t xml:space="preserve">rent schedule allows families to move away from verifying every dollar </w:t>
      </w:r>
      <w:r w:rsidRPr="00331A0B">
        <w:rPr>
          <w:rFonts w:ascii="Century Gothic" w:eastAsia="Times New Roman" w:hAnsi="Century Gothic"/>
          <w:spacing w:val="2"/>
          <w:szCs w:val="22"/>
          <w:lang w:eastAsia="en-US"/>
        </w:rPr>
        <w:t>earned and deducted</w:t>
      </w:r>
      <w:r w:rsidR="00A15FAC" w:rsidRPr="00331A0B">
        <w:rPr>
          <w:rFonts w:ascii="Century Gothic" w:eastAsia="Times New Roman" w:hAnsi="Century Gothic"/>
          <w:spacing w:val="2"/>
          <w:szCs w:val="22"/>
          <w:lang w:eastAsia="en-US"/>
        </w:rPr>
        <w:t xml:space="preserve">. </w:t>
      </w:r>
    </w:p>
    <w:p w14:paraId="3411AB3D" w14:textId="2D196ACD" w:rsidR="00EC5276" w:rsidRPr="00331A0B" w:rsidRDefault="00EC5276" w:rsidP="00486062">
      <w:pPr>
        <w:numPr>
          <w:ilvl w:val="0"/>
          <w:numId w:val="64"/>
        </w:numPr>
        <w:autoSpaceDE w:val="0"/>
        <w:autoSpaceDN w:val="0"/>
        <w:adjustRightInd w:val="0"/>
        <w:spacing w:before="240"/>
        <w:ind w:left="2160" w:hanging="180"/>
        <w:rPr>
          <w:rFonts w:ascii="Century Gothic" w:eastAsia="Times New Roman" w:hAnsi="Century Gothic"/>
          <w:szCs w:val="22"/>
          <w:lang w:eastAsia="en-US"/>
        </w:rPr>
      </w:pPr>
      <w:r w:rsidRPr="00331A0B">
        <w:rPr>
          <w:rFonts w:ascii="Century Gothic" w:eastAsia="Times New Roman" w:hAnsi="Century Gothic"/>
          <w:b/>
          <w:szCs w:val="22"/>
          <w:lang w:eastAsia="en-US"/>
        </w:rPr>
        <w:lastRenderedPageBreak/>
        <w:t>Expected impact</w:t>
      </w:r>
      <w:r w:rsidRPr="00331A0B">
        <w:rPr>
          <w:rFonts w:ascii="Century Gothic" w:eastAsia="Times New Roman" w:hAnsi="Century Gothic"/>
          <w:szCs w:val="22"/>
          <w:lang w:eastAsia="en-US"/>
        </w:rPr>
        <w:t>: Less intrusive recertification process and increased understanding of the rent calculation methodology</w:t>
      </w:r>
      <w:r w:rsidR="00A15FAC" w:rsidRPr="00331A0B">
        <w:rPr>
          <w:rFonts w:ascii="Century Gothic" w:eastAsia="Times New Roman" w:hAnsi="Century Gothic"/>
          <w:szCs w:val="22"/>
          <w:lang w:eastAsia="en-US"/>
        </w:rPr>
        <w:t xml:space="preserve">. </w:t>
      </w:r>
      <w:r w:rsidRPr="00331A0B">
        <w:rPr>
          <w:rFonts w:ascii="Century Gothic" w:eastAsia="Times New Roman" w:hAnsi="Century Gothic"/>
          <w:szCs w:val="22"/>
          <w:lang w:eastAsia="en-US"/>
        </w:rPr>
        <w:t xml:space="preserve"> </w:t>
      </w:r>
    </w:p>
    <w:p w14:paraId="24E309D2" w14:textId="77777777" w:rsidR="00EC5276" w:rsidRPr="00331A0B" w:rsidRDefault="00EC5276" w:rsidP="00EC5276">
      <w:pPr>
        <w:autoSpaceDE w:val="0"/>
        <w:autoSpaceDN w:val="0"/>
        <w:adjustRightInd w:val="0"/>
        <w:spacing w:after="160"/>
        <w:ind w:left="1440"/>
        <w:rPr>
          <w:rFonts w:ascii="Century Gothic" w:eastAsia="Times New Roman" w:hAnsi="Century Gothic"/>
          <w:szCs w:val="22"/>
          <w:lang w:eastAsia="en-US"/>
        </w:rPr>
      </w:pPr>
    </w:p>
    <w:p w14:paraId="34FC7BC8" w14:textId="107ABF05" w:rsidR="00EC5276" w:rsidRPr="00331A0B" w:rsidRDefault="00EC5276" w:rsidP="00486062">
      <w:pPr>
        <w:numPr>
          <w:ilvl w:val="0"/>
          <w:numId w:val="68"/>
        </w:numPr>
        <w:autoSpaceDE w:val="0"/>
        <w:autoSpaceDN w:val="0"/>
        <w:adjustRightInd w:val="0"/>
        <w:spacing w:after="160" w:line="276" w:lineRule="auto"/>
        <w:rPr>
          <w:rFonts w:ascii="Century Gothic" w:eastAsia="Times New Roman" w:hAnsi="Century Gothic"/>
          <w:szCs w:val="22"/>
          <w:lang w:eastAsia="en-US"/>
        </w:rPr>
      </w:pPr>
      <w:r w:rsidRPr="00331A0B">
        <w:rPr>
          <w:rFonts w:ascii="Century Gothic" w:eastAsia="Times New Roman" w:hAnsi="Century Gothic"/>
          <w:b/>
          <w:szCs w:val="22"/>
          <w:lang w:eastAsia="en-US"/>
        </w:rPr>
        <w:t>Exceptional expense tiers.</w:t>
      </w:r>
      <w:r w:rsidRPr="00331A0B">
        <w:rPr>
          <w:rFonts w:ascii="Century Gothic" w:eastAsia="Times New Roman" w:hAnsi="Century Gothic"/>
          <w:szCs w:val="22"/>
          <w:lang w:eastAsia="en-US"/>
        </w:rPr>
        <w:t xml:space="preserve"> Households with exceptional expenses may request a rent reduction. This includes large families (with more than two children). It also includes families with excessive medical, disability assistance, or childcare expenses. Participants are not required to provide documentation </w:t>
      </w:r>
      <w:proofErr w:type="gramStart"/>
      <w:r w:rsidRPr="00331A0B">
        <w:rPr>
          <w:rFonts w:ascii="Century Gothic" w:eastAsia="Times New Roman" w:hAnsi="Century Gothic"/>
          <w:szCs w:val="22"/>
          <w:lang w:eastAsia="en-US"/>
        </w:rPr>
        <w:t>of</w:t>
      </w:r>
      <w:proofErr w:type="gramEnd"/>
      <w:r w:rsidRPr="00331A0B">
        <w:rPr>
          <w:rFonts w:ascii="Century Gothic" w:eastAsia="Times New Roman" w:hAnsi="Century Gothic"/>
          <w:szCs w:val="22"/>
          <w:lang w:eastAsia="en-US"/>
        </w:rPr>
        <w:t xml:space="preserve"> every expense</w:t>
      </w:r>
      <w:r w:rsidR="00447AE0" w:rsidRPr="00331A0B">
        <w:rPr>
          <w:rFonts w:ascii="Century Gothic" w:eastAsia="Times New Roman" w:hAnsi="Century Gothic"/>
          <w:szCs w:val="22"/>
          <w:lang w:eastAsia="en-US"/>
        </w:rPr>
        <w:t xml:space="preserve"> and are instead expected to</w:t>
      </w:r>
      <w:r w:rsidRPr="00331A0B">
        <w:rPr>
          <w:rFonts w:ascii="Century Gothic" w:eastAsia="Times New Roman" w:hAnsi="Century Gothic"/>
          <w:szCs w:val="22"/>
          <w:lang w:eastAsia="en-US"/>
        </w:rPr>
        <w:t xml:space="preserve"> provide documentation sufficient to meet the appropriate tier. The </w:t>
      </w:r>
      <w:r w:rsidR="001669CB" w:rsidRPr="00331A0B">
        <w:rPr>
          <w:rFonts w:ascii="Century Gothic" w:eastAsia="Times New Roman" w:hAnsi="Century Gothic"/>
          <w:szCs w:val="22"/>
          <w:lang w:eastAsia="en-US"/>
        </w:rPr>
        <w:t>monthly</w:t>
      </w:r>
      <w:r w:rsidRPr="00331A0B">
        <w:rPr>
          <w:rFonts w:ascii="Century Gothic" w:eastAsia="Times New Roman" w:hAnsi="Century Gothic"/>
          <w:szCs w:val="22"/>
          <w:lang w:eastAsia="en-US"/>
        </w:rPr>
        <w:t xml:space="preserve"> rent reduction is established at the mid-range of the tier. Households with exceptional expenses will receive a direct reduction of the monthly rent. </w:t>
      </w:r>
      <w:r w:rsidR="000F03D5" w:rsidRPr="00331A0B">
        <w:rPr>
          <w:rFonts w:ascii="Century Gothic" w:eastAsia="Times New Roman" w:hAnsi="Century Gothic"/>
          <w:szCs w:val="22"/>
          <w:lang w:eastAsia="en-US"/>
        </w:rPr>
        <w:t>Regardless of the reduction</w:t>
      </w:r>
      <w:r w:rsidRPr="00331A0B">
        <w:rPr>
          <w:rFonts w:ascii="Century Gothic" w:eastAsia="Times New Roman" w:hAnsi="Century Gothic"/>
          <w:szCs w:val="22"/>
          <w:lang w:eastAsia="en-US"/>
        </w:rPr>
        <w:t xml:space="preserve">, all participants must contribute a minimum of $50 towards their monthly rent.  </w:t>
      </w:r>
    </w:p>
    <w:tbl>
      <w:tblPr>
        <w:tblW w:w="0" w:type="auto"/>
        <w:tblInd w:w="1947" w:type="dxa"/>
        <w:tblBorders>
          <w:top w:val="nil"/>
          <w:left w:val="nil"/>
          <w:bottom w:val="nil"/>
          <w:right w:val="nil"/>
        </w:tblBorders>
        <w:tblLayout w:type="fixed"/>
        <w:tblLook w:val="0000" w:firstRow="0" w:lastRow="0" w:firstColumn="0" w:lastColumn="0" w:noHBand="0" w:noVBand="0"/>
      </w:tblPr>
      <w:tblGrid>
        <w:gridCol w:w="3144"/>
        <w:gridCol w:w="4410"/>
      </w:tblGrid>
      <w:tr w:rsidR="009E30A0" w:rsidRPr="00331A0B" w14:paraId="1D929D3D" w14:textId="77777777" w:rsidTr="00EC5276">
        <w:trPr>
          <w:trHeight w:hRule="exact" w:val="289"/>
        </w:trPr>
        <w:tc>
          <w:tcPr>
            <w:tcW w:w="3144" w:type="dxa"/>
            <w:tcBorders>
              <w:top w:val="nil"/>
              <w:left w:val="nil"/>
              <w:bottom w:val="single" w:sz="24" w:space="0" w:color="B5333C" w:themeColor="accent2"/>
              <w:right w:val="single" w:sz="4" w:space="0" w:color="D9D9D9" w:themeColor="background1" w:themeShade="D9"/>
            </w:tcBorders>
            <w:shd w:val="clear" w:color="auto" w:fill="808080" w:themeFill="background1" w:themeFillShade="80"/>
          </w:tcPr>
          <w:p w14:paraId="55256DDD" w14:textId="77777777" w:rsidR="00EC5276" w:rsidRPr="00331A0B" w:rsidRDefault="00EC5276" w:rsidP="00EC5276">
            <w:pPr>
              <w:autoSpaceDE w:val="0"/>
              <w:autoSpaceDN w:val="0"/>
              <w:adjustRightInd w:val="0"/>
              <w:ind w:left="886" w:hanging="886"/>
              <w:jc w:val="center"/>
              <w:rPr>
                <w:rFonts w:ascii="Century Gothic" w:eastAsia="Times New Roman" w:hAnsi="Century Gothic"/>
                <w:b/>
                <w:szCs w:val="22"/>
                <w:lang w:eastAsia="en-US"/>
              </w:rPr>
            </w:pPr>
            <w:r w:rsidRPr="00331A0B">
              <w:rPr>
                <w:rFonts w:ascii="Century Gothic" w:eastAsia="Times New Roman" w:hAnsi="Century Gothic"/>
                <w:b/>
                <w:szCs w:val="22"/>
                <w:lang w:eastAsia="en-US"/>
              </w:rPr>
              <w:t>Tiered Amount of Expenses</w:t>
            </w:r>
          </w:p>
        </w:tc>
        <w:tc>
          <w:tcPr>
            <w:tcW w:w="4410" w:type="dxa"/>
            <w:tcBorders>
              <w:left w:val="single" w:sz="4" w:space="0" w:color="D9D9D9" w:themeColor="background1" w:themeShade="D9"/>
              <w:bottom w:val="single" w:sz="24" w:space="0" w:color="B5333C" w:themeColor="accent2"/>
              <w:right w:val="nil"/>
            </w:tcBorders>
            <w:shd w:val="clear" w:color="auto" w:fill="808080" w:themeFill="background1" w:themeFillShade="80"/>
          </w:tcPr>
          <w:p w14:paraId="17F498B2" w14:textId="77777777" w:rsidR="00EC5276" w:rsidRPr="00331A0B" w:rsidRDefault="00EC5276" w:rsidP="00EC5276">
            <w:pPr>
              <w:autoSpaceDE w:val="0"/>
              <w:autoSpaceDN w:val="0"/>
              <w:adjustRightInd w:val="0"/>
              <w:ind w:left="886" w:hanging="886"/>
              <w:jc w:val="center"/>
              <w:rPr>
                <w:rFonts w:ascii="Century Gothic" w:eastAsia="Times New Roman" w:hAnsi="Century Gothic"/>
                <w:b/>
                <w:szCs w:val="22"/>
                <w:lang w:eastAsia="en-US"/>
              </w:rPr>
            </w:pPr>
            <w:r w:rsidRPr="00331A0B">
              <w:rPr>
                <w:rFonts w:ascii="Century Gothic" w:eastAsia="Times New Roman" w:hAnsi="Century Gothic"/>
                <w:b/>
                <w:szCs w:val="22"/>
                <w:lang w:eastAsia="en-US"/>
              </w:rPr>
              <w:t>Monthly Rent Reduction</w:t>
            </w:r>
          </w:p>
        </w:tc>
      </w:tr>
      <w:tr w:rsidR="009E30A0" w:rsidRPr="00331A0B" w14:paraId="66D7A217" w14:textId="77777777" w:rsidTr="00EC5276">
        <w:trPr>
          <w:trHeight w:hRule="exact" w:val="447"/>
        </w:trPr>
        <w:tc>
          <w:tcPr>
            <w:tcW w:w="3144"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FFFFFF" w:themeFill="background1"/>
          </w:tcPr>
          <w:p w14:paraId="1CA6E5F5" w14:textId="77777777" w:rsidR="00EC5276" w:rsidRPr="00331A0B" w:rsidRDefault="00EC5276" w:rsidP="00EC5276">
            <w:pPr>
              <w:autoSpaceDE w:val="0"/>
              <w:autoSpaceDN w:val="0"/>
              <w:adjustRightInd w:val="0"/>
              <w:ind w:left="886" w:hanging="886"/>
              <w:jc w:val="center"/>
              <w:rPr>
                <w:rFonts w:ascii="Century Gothic" w:eastAsia="Times New Roman" w:hAnsi="Century Gothic"/>
                <w:szCs w:val="22"/>
                <w:lang w:eastAsia="en-US"/>
              </w:rPr>
            </w:pPr>
            <w:r w:rsidRPr="00331A0B">
              <w:rPr>
                <w:rFonts w:ascii="Century Gothic" w:eastAsia="Times New Roman" w:hAnsi="Century Gothic"/>
                <w:szCs w:val="22"/>
                <w:lang w:eastAsia="en-US"/>
              </w:rPr>
              <w:t>$ 2,000 - $ 3,999</w:t>
            </w:r>
          </w:p>
        </w:tc>
        <w:tc>
          <w:tcPr>
            <w:tcW w:w="441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tcPr>
          <w:p w14:paraId="49D0B5B4" w14:textId="2A92A4DB" w:rsidR="00EC5276" w:rsidRPr="00331A0B" w:rsidRDefault="00EC5276" w:rsidP="00EC5276">
            <w:pPr>
              <w:autoSpaceDE w:val="0"/>
              <w:autoSpaceDN w:val="0"/>
              <w:adjustRightInd w:val="0"/>
              <w:ind w:left="886" w:hanging="886"/>
              <w:jc w:val="both"/>
              <w:rPr>
                <w:rFonts w:ascii="Century Gothic" w:eastAsia="Times New Roman" w:hAnsi="Century Gothic"/>
                <w:szCs w:val="22"/>
                <w:lang w:eastAsia="en-US"/>
              </w:rPr>
            </w:pPr>
            <w:r w:rsidRPr="00331A0B">
              <w:rPr>
                <w:rFonts w:ascii="Century Gothic" w:eastAsia="Times New Roman" w:hAnsi="Century Gothic"/>
                <w:szCs w:val="22"/>
                <w:lang w:eastAsia="en-US"/>
              </w:rPr>
              <w:t xml:space="preserve">$75 (equivalent to $3,000 deduction) </w:t>
            </w:r>
          </w:p>
        </w:tc>
      </w:tr>
      <w:tr w:rsidR="009E30A0" w:rsidRPr="00331A0B" w14:paraId="16F82E6B" w14:textId="77777777" w:rsidTr="00EC5276">
        <w:trPr>
          <w:trHeight w:hRule="exact" w:val="406"/>
        </w:trPr>
        <w:tc>
          <w:tcPr>
            <w:tcW w:w="314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7972352D" w14:textId="77777777" w:rsidR="00EC5276" w:rsidRPr="00331A0B" w:rsidRDefault="00EC5276" w:rsidP="00EC5276">
            <w:pPr>
              <w:autoSpaceDE w:val="0"/>
              <w:autoSpaceDN w:val="0"/>
              <w:adjustRightInd w:val="0"/>
              <w:ind w:left="886" w:hanging="886"/>
              <w:jc w:val="center"/>
              <w:rPr>
                <w:rFonts w:ascii="Century Gothic" w:eastAsia="Times New Roman" w:hAnsi="Century Gothic"/>
                <w:szCs w:val="22"/>
                <w:lang w:eastAsia="en-US"/>
              </w:rPr>
            </w:pPr>
            <w:r w:rsidRPr="00331A0B">
              <w:rPr>
                <w:rFonts w:ascii="Century Gothic" w:eastAsia="Times New Roman" w:hAnsi="Century Gothic"/>
                <w:szCs w:val="22"/>
                <w:lang w:eastAsia="en-US"/>
              </w:rPr>
              <w:t>$ 4,000 - $ 5,999</w:t>
            </w:r>
          </w:p>
        </w:tc>
        <w:tc>
          <w:tcPr>
            <w:tcW w:w="441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2D6F03F9" w14:textId="56CB20D3" w:rsidR="00EC5276" w:rsidRPr="00331A0B" w:rsidRDefault="00EC5276" w:rsidP="00EC5276">
            <w:pPr>
              <w:autoSpaceDE w:val="0"/>
              <w:autoSpaceDN w:val="0"/>
              <w:adjustRightInd w:val="0"/>
              <w:ind w:left="886" w:hanging="886"/>
              <w:jc w:val="both"/>
              <w:rPr>
                <w:rFonts w:ascii="Century Gothic" w:eastAsia="Times New Roman" w:hAnsi="Century Gothic"/>
                <w:szCs w:val="22"/>
                <w:lang w:eastAsia="en-US"/>
              </w:rPr>
            </w:pPr>
            <w:r w:rsidRPr="00331A0B">
              <w:rPr>
                <w:rFonts w:ascii="Century Gothic" w:eastAsia="Times New Roman" w:hAnsi="Century Gothic"/>
                <w:szCs w:val="22"/>
                <w:lang w:eastAsia="en-US"/>
              </w:rPr>
              <w:t xml:space="preserve">$125 (equivalent to $5,000 deduction) </w:t>
            </w:r>
          </w:p>
        </w:tc>
      </w:tr>
      <w:tr w:rsidR="009E30A0" w:rsidRPr="00331A0B" w14:paraId="5E8EEEFC" w14:textId="77777777" w:rsidTr="00EC5276">
        <w:trPr>
          <w:trHeight w:hRule="exact" w:val="379"/>
        </w:trPr>
        <w:tc>
          <w:tcPr>
            <w:tcW w:w="3144" w:type="dxa"/>
            <w:tcBorders>
              <w:top w:val="single" w:sz="4" w:space="0" w:color="D9D9D9" w:themeColor="background1" w:themeShade="D9"/>
              <w:left w:val="nil"/>
              <w:bottom w:val="nil"/>
              <w:right w:val="single" w:sz="4" w:space="0" w:color="D9D9D9" w:themeColor="background1" w:themeShade="D9"/>
            </w:tcBorders>
            <w:shd w:val="clear" w:color="auto" w:fill="FFFFFF" w:themeFill="background1"/>
          </w:tcPr>
          <w:p w14:paraId="4A1972DF" w14:textId="77777777" w:rsidR="00EC5276" w:rsidRPr="00331A0B" w:rsidRDefault="00EC5276" w:rsidP="00EC5276">
            <w:pPr>
              <w:autoSpaceDE w:val="0"/>
              <w:autoSpaceDN w:val="0"/>
              <w:adjustRightInd w:val="0"/>
              <w:ind w:left="886" w:hanging="886"/>
              <w:jc w:val="center"/>
              <w:rPr>
                <w:rFonts w:ascii="Century Gothic" w:eastAsia="Times New Roman" w:hAnsi="Century Gothic"/>
                <w:szCs w:val="22"/>
                <w:lang w:eastAsia="en-US"/>
              </w:rPr>
            </w:pPr>
            <w:r w:rsidRPr="00331A0B">
              <w:rPr>
                <w:rFonts w:ascii="Century Gothic" w:eastAsia="Times New Roman" w:hAnsi="Century Gothic"/>
                <w:szCs w:val="22"/>
                <w:lang w:eastAsia="en-US"/>
              </w:rPr>
              <w:t>$ 6,000 +</w:t>
            </w:r>
          </w:p>
        </w:tc>
        <w:tc>
          <w:tcPr>
            <w:tcW w:w="4410" w:type="dxa"/>
            <w:tcBorders>
              <w:top w:val="single" w:sz="4" w:space="0" w:color="D9D9D9" w:themeColor="background1" w:themeShade="D9"/>
              <w:left w:val="single" w:sz="4" w:space="0" w:color="D9D9D9" w:themeColor="background1" w:themeShade="D9"/>
              <w:bottom w:val="nil"/>
              <w:right w:val="nil"/>
            </w:tcBorders>
            <w:shd w:val="clear" w:color="auto" w:fill="FFFFFF" w:themeFill="background1"/>
          </w:tcPr>
          <w:p w14:paraId="4D58B119" w14:textId="77777777" w:rsidR="00EC5276" w:rsidRPr="00331A0B" w:rsidRDefault="00EC5276" w:rsidP="00EC5276">
            <w:pPr>
              <w:autoSpaceDE w:val="0"/>
              <w:autoSpaceDN w:val="0"/>
              <w:adjustRightInd w:val="0"/>
              <w:ind w:left="886" w:hanging="886"/>
              <w:jc w:val="both"/>
              <w:rPr>
                <w:rFonts w:ascii="Century Gothic" w:eastAsia="Times New Roman" w:hAnsi="Century Gothic"/>
                <w:szCs w:val="22"/>
                <w:lang w:eastAsia="en-US"/>
              </w:rPr>
            </w:pPr>
            <w:r w:rsidRPr="00331A0B">
              <w:rPr>
                <w:rFonts w:ascii="Century Gothic" w:eastAsia="Times New Roman" w:hAnsi="Century Gothic"/>
                <w:szCs w:val="22"/>
                <w:lang w:eastAsia="en-US"/>
              </w:rPr>
              <w:t xml:space="preserve">Hardship Review </w:t>
            </w:r>
          </w:p>
        </w:tc>
      </w:tr>
    </w:tbl>
    <w:p w14:paraId="2C7330C2" w14:textId="77777777" w:rsidR="00EC5276" w:rsidRPr="00331A0B" w:rsidRDefault="00EC5276" w:rsidP="00486062">
      <w:pPr>
        <w:numPr>
          <w:ilvl w:val="0"/>
          <w:numId w:val="64"/>
        </w:numPr>
        <w:autoSpaceDE w:val="0"/>
        <w:autoSpaceDN w:val="0"/>
        <w:adjustRightInd w:val="0"/>
        <w:spacing w:before="240"/>
        <w:ind w:left="2160" w:hanging="180"/>
        <w:rPr>
          <w:rFonts w:ascii="Century Gothic" w:eastAsia="Times New Roman" w:hAnsi="Century Gothic"/>
          <w:b/>
          <w:szCs w:val="22"/>
          <w:lang w:eastAsia="en-US"/>
        </w:rPr>
      </w:pPr>
      <w:r w:rsidRPr="00331A0B">
        <w:rPr>
          <w:rFonts w:ascii="Century Gothic" w:eastAsia="Times New Roman" w:hAnsi="Century Gothic"/>
          <w:b/>
          <w:szCs w:val="22"/>
          <w:lang w:eastAsia="en-US"/>
        </w:rPr>
        <w:t xml:space="preserve">Rationale: </w:t>
      </w:r>
      <w:r w:rsidRPr="00331A0B">
        <w:rPr>
          <w:rFonts w:ascii="Century Gothic" w:eastAsia="Times New Roman" w:hAnsi="Century Gothic"/>
          <w:szCs w:val="22"/>
          <w:lang w:eastAsia="en-US"/>
        </w:rPr>
        <w:t xml:space="preserve">Excessive resources are dedicated to verifying deductions for childcare, medical and disability allowances. Third-party verifications of these amounts are difficult to accomplish, and the agency often relies upon second- and first-party verifications of these deductions. Obtaining verification data also places an undue burden on the </w:t>
      </w:r>
      <w:proofErr w:type="gramStart"/>
      <w:r w:rsidRPr="00331A0B">
        <w:rPr>
          <w:rFonts w:ascii="Century Gothic" w:eastAsia="Times New Roman" w:hAnsi="Century Gothic"/>
          <w:szCs w:val="22"/>
          <w:lang w:eastAsia="en-US"/>
        </w:rPr>
        <w:t>resident</w:t>
      </w:r>
      <w:proofErr w:type="gramEnd"/>
      <w:r w:rsidRPr="00331A0B">
        <w:rPr>
          <w:rFonts w:ascii="Century Gothic" w:eastAsia="Times New Roman" w:hAnsi="Century Gothic"/>
          <w:szCs w:val="22"/>
          <w:lang w:eastAsia="en-US"/>
        </w:rPr>
        <w:t>.</w:t>
      </w:r>
      <w:r w:rsidRPr="00331A0B">
        <w:rPr>
          <w:rFonts w:ascii="Century Gothic" w:eastAsia="Times New Roman" w:hAnsi="Century Gothic"/>
          <w:b/>
          <w:szCs w:val="22"/>
          <w:lang w:eastAsia="en-US"/>
        </w:rPr>
        <w:t xml:space="preserve"> </w:t>
      </w:r>
    </w:p>
    <w:p w14:paraId="5A225BF1" w14:textId="058E6594" w:rsidR="00EC5276" w:rsidRPr="00331A0B" w:rsidRDefault="00EC5276" w:rsidP="00486062">
      <w:pPr>
        <w:numPr>
          <w:ilvl w:val="0"/>
          <w:numId w:val="64"/>
        </w:numPr>
        <w:autoSpaceDE w:val="0"/>
        <w:autoSpaceDN w:val="0"/>
        <w:adjustRightInd w:val="0"/>
        <w:spacing w:before="240"/>
        <w:ind w:left="2160" w:hanging="180"/>
        <w:rPr>
          <w:rFonts w:ascii="Century Gothic" w:eastAsia="Times New Roman" w:hAnsi="Century Gothic"/>
          <w:b/>
          <w:szCs w:val="22"/>
          <w:lang w:eastAsia="en-US"/>
        </w:rPr>
      </w:pPr>
      <w:r w:rsidRPr="00331A0B">
        <w:rPr>
          <w:rFonts w:ascii="Century Gothic" w:eastAsia="Times New Roman" w:hAnsi="Century Gothic"/>
          <w:b/>
          <w:szCs w:val="22"/>
          <w:lang w:eastAsia="en-US"/>
        </w:rPr>
        <w:t xml:space="preserve">Expected impact: </w:t>
      </w:r>
      <w:r w:rsidRPr="00331A0B">
        <w:rPr>
          <w:rFonts w:ascii="Century Gothic" w:eastAsia="Times New Roman" w:hAnsi="Century Gothic"/>
          <w:szCs w:val="22"/>
          <w:lang w:eastAsia="en-US"/>
        </w:rPr>
        <w:t xml:space="preserve">Administrative savings, simplified </w:t>
      </w:r>
      <w:proofErr w:type="gramStart"/>
      <w:r w:rsidRPr="00331A0B">
        <w:rPr>
          <w:rFonts w:ascii="Century Gothic" w:eastAsia="Times New Roman" w:hAnsi="Century Gothic"/>
          <w:szCs w:val="22"/>
          <w:lang w:eastAsia="en-US"/>
        </w:rPr>
        <w:t>process</w:t>
      </w:r>
      <w:proofErr w:type="gramEnd"/>
      <w:r w:rsidRPr="00331A0B">
        <w:rPr>
          <w:rFonts w:ascii="Century Gothic" w:eastAsia="Times New Roman" w:hAnsi="Century Gothic"/>
          <w:szCs w:val="22"/>
          <w:lang w:eastAsia="en-US"/>
        </w:rPr>
        <w:t xml:space="preserve"> for residents/participants and fewer recertification appointments are expected. </w:t>
      </w:r>
      <w:r w:rsidR="006736EE" w:rsidRPr="00331A0B">
        <w:rPr>
          <w:rFonts w:ascii="Century Gothic" w:eastAsia="Times New Roman" w:hAnsi="Century Gothic"/>
          <w:szCs w:val="22"/>
          <w:lang w:eastAsia="en-US"/>
        </w:rPr>
        <w:t>Additionally</w:t>
      </w:r>
      <w:r w:rsidRPr="00331A0B">
        <w:rPr>
          <w:rFonts w:ascii="Century Gothic" w:eastAsia="Times New Roman" w:hAnsi="Century Gothic"/>
          <w:szCs w:val="22"/>
          <w:lang w:eastAsia="en-US"/>
        </w:rPr>
        <w:t>, rent tiers have been built to minimize impact on residents during the initial years and to phase in rent increases over time. Residents will not experience an overwhelming rent burden but will be incentivized to increase their earnings over time as their rent gradually increases. The impact on income has been tracked.</w:t>
      </w:r>
      <w:r w:rsidRPr="00331A0B">
        <w:rPr>
          <w:rFonts w:ascii="Century Gothic" w:eastAsia="Times New Roman" w:hAnsi="Century Gothic"/>
          <w:b/>
          <w:szCs w:val="22"/>
          <w:lang w:eastAsia="en-US"/>
        </w:rPr>
        <w:t xml:space="preserve"> </w:t>
      </w:r>
    </w:p>
    <w:p w14:paraId="732E01BE" w14:textId="77777777" w:rsidR="00EC5276" w:rsidRPr="00331A0B" w:rsidRDefault="00EC5276" w:rsidP="00EC5276">
      <w:pPr>
        <w:autoSpaceDE w:val="0"/>
        <w:autoSpaceDN w:val="0"/>
        <w:adjustRightInd w:val="0"/>
        <w:ind w:left="1440"/>
        <w:rPr>
          <w:rFonts w:ascii="Century Gothic" w:eastAsia="Times New Roman" w:hAnsi="Century Gothic"/>
          <w:szCs w:val="22"/>
          <w:lang w:eastAsia="en-US"/>
        </w:rPr>
      </w:pPr>
    </w:p>
    <w:p w14:paraId="4705C405" w14:textId="14B8C512" w:rsidR="00EC5276" w:rsidRPr="00331A0B" w:rsidRDefault="2891A77E" w:rsidP="00486062">
      <w:pPr>
        <w:numPr>
          <w:ilvl w:val="0"/>
          <w:numId w:val="68"/>
        </w:numPr>
        <w:autoSpaceDE w:val="0"/>
        <w:autoSpaceDN w:val="0"/>
        <w:adjustRightInd w:val="0"/>
        <w:spacing w:after="160" w:line="276" w:lineRule="auto"/>
        <w:rPr>
          <w:rFonts w:ascii="Century Gothic" w:eastAsia="Times New Roman" w:hAnsi="Century Gothic"/>
          <w:szCs w:val="22"/>
          <w:lang w:eastAsia="en-US"/>
        </w:rPr>
      </w:pPr>
      <w:r w:rsidRPr="00331A0B">
        <w:rPr>
          <w:rFonts w:ascii="Century Gothic" w:eastAsia="Times New Roman" w:hAnsi="Century Gothic"/>
          <w:b/>
          <w:bCs/>
          <w:szCs w:val="22"/>
          <w:lang w:eastAsia="en-US"/>
        </w:rPr>
        <w:t>Minimum Rent of $50.</w:t>
      </w:r>
      <w:r w:rsidRPr="00331A0B">
        <w:rPr>
          <w:rFonts w:ascii="Century Gothic" w:eastAsia="Times New Roman" w:hAnsi="Century Gothic"/>
          <w:szCs w:val="22"/>
          <w:lang w:eastAsia="en-US"/>
        </w:rPr>
        <w:t xml:space="preserve"> ECC/HANH established a minimum rent of $50 with the expectation that everyone </w:t>
      </w:r>
      <w:proofErr w:type="gramStart"/>
      <w:r w:rsidRPr="00331A0B">
        <w:rPr>
          <w:rFonts w:ascii="Century Gothic" w:eastAsia="Times New Roman" w:hAnsi="Century Gothic"/>
          <w:szCs w:val="22"/>
          <w:lang w:eastAsia="en-US"/>
        </w:rPr>
        <w:t>pays</w:t>
      </w:r>
      <w:proofErr w:type="gramEnd"/>
      <w:r w:rsidRPr="00331A0B">
        <w:rPr>
          <w:rFonts w:ascii="Century Gothic" w:eastAsia="Times New Roman" w:hAnsi="Century Gothic"/>
          <w:szCs w:val="22"/>
          <w:lang w:eastAsia="en-US"/>
        </w:rPr>
        <w:t xml:space="preserve"> something for housing. Residents who are unable to pay the minimum rent of $50 can request a hardship exemption for </w:t>
      </w:r>
      <w:r w:rsidR="6886CD3F" w:rsidRPr="00331A0B">
        <w:rPr>
          <w:rFonts w:ascii="Century Gothic" w:eastAsia="Times New Roman" w:hAnsi="Century Gothic"/>
          <w:szCs w:val="22"/>
          <w:lang w:eastAsia="en-US"/>
        </w:rPr>
        <w:t xml:space="preserve">a </w:t>
      </w:r>
      <w:r w:rsidRPr="00331A0B">
        <w:rPr>
          <w:rFonts w:ascii="Century Gothic" w:eastAsia="Times New Roman" w:hAnsi="Century Gothic"/>
          <w:szCs w:val="22"/>
          <w:lang w:eastAsia="en-US"/>
        </w:rPr>
        <w:t>$0 rent</w:t>
      </w:r>
      <w:r w:rsidR="6886CD3F" w:rsidRPr="00331A0B">
        <w:rPr>
          <w:rFonts w:ascii="Century Gothic" w:eastAsia="Times New Roman" w:hAnsi="Century Gothic"/>
          <w:szCs w:val="22"/>
          <w:lang w:eastAsia="en-US"/>
        </w:rPr>
        <w:t xml:space="preserve"> payment</w:t>
      </w:r>
      <w:r w:rsidRPr="00331A0B">
        <w:rPr>
          <w:rFonts w:ascii="Century Gothic" w:eastAsia="Times New Roman" w:hAnsi="Century Gothic"/>
          <w:szCs w:val="22"/>
          <w:lang w:eastAsia="en-US"/>
        </w:rPr>
        <w:t xml:space="preserve">. </w:t>
      </w:r>
      <w:r w:rsidR="6886CD3F" w:rsidRPr="00331A0B">
        <w:rPr>
          <w:rFonts w:ascii="Century Gothic" w:eastAsia="Times New Roman" w:hAnsi="Century Gothic"/>
          <w:szCs w:val="22"/>
          <w:lang w:eastAsia="en-US"/>
        </w:rPr>
        <w:t>To qualify,</w:t>
      </w:r>
      <w:r w:rsidR="5A25E8E5" w:rsidRPr="00331A0B">
        <w:rPr>
          <w:rFonts w:ascii="Century Gothic" w:eastAsia="Times New Roman" w:hAnsi="Century Gothic"/>
          <w:szCs w:val="22"/>
          <w:lang w:eastAsia="en-US"/>
        </w:rPr>
        <w:t xml:space="preserve"> </w:t>
      </w:r>
      <w:r w:rsidRPr="00331A0B">
        <w:rPr>
          <w:rFonts w:ascii="Century Gothic" w:eastAsia="Times New Roman" w:hAnsi="Century Gothic"/>
          <w:szCs w:val="22"/>
          <w:lang w:eastAsia="en-US"/>
        </w:rPr>
        <w:t xml:space="preserve">individuals </w:t>
      </w:r>
      <w:r w:rsidR="6886CD3F" w:rsidRPr="00331A0B">
        <w:rPr>
          <w:rFonts w:ascii="Century Gothic" w:eastAsia="Times New Roman" w:hAnsi="Century Gothic"/>
          <w:szCs w:val="22"/>
          <w:lang w:eastAsia="en-US"/>
        </w:rPr>
        <w:t xml:space="preserve">must </w:t>
      </w:r>
      <w:r w:rsidRPr="00331A0B">
        <w:rPr>
          <w:rFonts w:ascii="Century Gothic" w:eastAsia="Times New Roman" w:hAnsi="Century Gothic"/>
          <w:szCs w:val="22"/>
          <w:lang w:eastAsia="en-US"/>
        </w:rPr>
        <w:t xml:space="preserve">meet with </w:t>
      </w:r>
      <w:r w:rsidR="6886CD3F" w:rsidRPr="00331A0B">
        <w:rPr>
          <w:rFonts w:ascii="Century Gothic" w:eastAsia="Times New Roman" w:hAnsi="Century Gothic"/>
          <w:szCs w:val="22"/>
          <w:lang w:eastAsia="en-US"/>
        </w:rPr>
        <w:t xml:space="preserve">the </w:t>
      </w:r>
      <w:r w:rsidRPr="00331A0B">
        <w:rPr>
          <w:rFonts w:ascii="Century Gothic" w:eastAsia="Times New Roman" w:hAnsi="Century Gothic"/>
          <w:szCs w:val="22"/>
          <w:lang w:eastAsia="en-US"/>
        </w:rPr>
        <w:t>ECC/HANH Hardship Committee to determine the nature and length of the hardship</w:t>
      </w:r>
      <w:r w:rsidR="589E5E93" w:rsidRPr="00331A0B">
        <w:rPr>
          <w:rFonts w:ascii="Century Gothic" w:eastAsia="Times New Roman" w:hAnsi="Century Gothic"/>
          <w:szCs w:val="22"/>
          <w:lang w:eastAsia="en-US"/>
        </w:rPr>
        <w:t>. R</w:t>
      </w:r>
      <w:r w:rsidRPr="00331A0B">
        <w:rPr>
          <w:rFonts w:ascii="Century Gothic" w:eastAsia="Times New Roman" w:hAnsi="Century Gothic"/>
          <w:szCs w:val="22"/>
          <w:lang w:eastAsia="en-US"/>
        </w:rPr>
        <w:t>ent is then modified accordingly based on the information collected. To move these residents towards self-sufficiency, they are referred to the Family Self-Sufficiency program if the adult household member is</w:t>
      </w:r>
      <w:r w:rsidR="041C0527" w:rsidRPr="00331A0B">
        <w:rPr>
          <w:rFonts w:ascii="Century Gothic" w:eastAsia="Times New Roman" w:hAnsi="Century Gothic"/>
          <w:szCs w:val="22"/>
          <w:lang w:eastAsia="en-US"/>
        </w:rPr>
        <w:t xml:space="preserve"> neither elderly nor disabled</w:t>
      </w:r>
      <w:r w:rsidRPr="00331A0B">
        <w:rPr>
          <w:rFonts w:ascii="Century Gothic" w:eastAsia="Times New Roman" w:hAnsi="Century Gothic"/>
          <w:szCs w:val="22"/>
          <w:lang w:eastAsia="en-US"/>
        </w:rPr>
        <w:t>.</w:t>
      </w:r>
    </w:p>
    <w:p w14:paraId="433DC02B" w14:textId="77777777" w:rsidR="00EC5276" w:rsidRPr="00331A0B" w:rsidRDefault="2891A77E" w:rsidP="00486062">
      <w:pPr>
        <w:numPr>
          <w:ilvl w:val="0"/>
          <w:numId w:val="64"/>
        </w:numPr>
        <w:autoSpaceDE w:val="0"/>
        <w:autoSpaceDN w:val="0"/>
        <w:adjustRightInd w:val="0"/>
        <w:spacing w:before="240"/>
        <w:ind w:left="2160" w:hanging="180"/>
        <w:rPr>
          <w:rFonts w:ascii="Century Gothic" w:eastAsia="Times New Roman" w:hAnsi="Century Gothic"/>
          <w:szCs w:val="22"/>
          <w:lang w:eastAsia="en-US"/>
        </w:rPr>
      </w:pPr>
      <w:r w:rsidRPr="00331A0B">
        <w:rPr>
          <w:rFonts w:ascii="Century Gothic" w:eastAsia="Times New Roman" w:hAnsi="Century Gothic"/>
          <w:b/>
          <w:bCs/>
          <w:szCs w:val="22"/>
          <w:lang w:eastAsia="en-US"/>
        </w:rPr>
        <w:t xml:space="preserve">Rationale: </w:t>
      </w:r>
      <w:r w:rsidRPr="00331A0B">
        <w:rPr>
          <w:rFonts w:ascii="Century Gothic" w:eastAsia="Times New Roman" w:hAnsi="Century Gothic"/>
          <w:szCs w:val="22"/>
          <w:lang w:eastAsia="en-US"/>
        </w:rPr>
        <w:t>All families should pay something for their housing.</w:t>
      </w:r>
    </w:p>
    <w:p w14:paraId="33020EFC" w14:textId="35B53729" w:rsidR="00EC5276" w:rsidRPr="00331A0B" w:rsidRDefault="2891A77E" w:rsidP="00486062">
      <w:pPr>
        <w:numPr>
          <w:ilvl w:val="0"/>
          <w:numId w:val="64"/>
        </w:numPr>
        <w:autoSpaceDE w:val="0"/>
        <w:autoSpaceDN w:val="0"/>
        <w:adjustRightInd w:val="0"/>
        <w:spacing w:before="240"/>
        <w:ind w:left="2160" w:hanging="180"/>
        <w:rPr>
          <w:rFonts w:ascii="Century Gothic" w:eastAsia="Times New Roman" w:hAnsi="Century Gothic"/>
          <w:b/>
          <w:bCs/>
          <w:szCs w:val="22"/>
          <w:lang w:eastAsia="en-US"/>
        </w:rPr>
      </w:pPr>
      <w:r w:rsidRPr="00331A0B">
        <w:rPr>
          <w:rFonts w:ascii="Century Gothic" w:eastAsia="Times New Roman" w:hAnsi="Century Gothic"/>
          <w:b/>
          <w:bCs/>
          <w:szCs w:val="22"/>
          <w:lang w:eastAsia="en-US"/>
        </w:rPr>
        <w:lastRenderedPageBreak/>
        <w:t xml:space="preserve">Expected impact: </w:t>
      </w:r>
      <w:r w:rsidRPr="00331A0B">
        <w:rPr>
          <w:rFonts w:ascii="Century Gothic" w:eastAsia="Times New Roman" w:hAnsi="Century Gothic"/>
          <w:szCs w:val="22"/>
          <w:lang w:eastAsia="en-US"/>
        </w:rPr>
        <w:t xml:space="preserve">HCV subsidy should decrease, and </w:t>
      </w:r>
      <w:r w:rsidR="33328121" w:rsidRPr="00331A0B">
        <w:rPr>
          <w:rFonts w:ascii="Century Gothic" w:eastAsia="Times New Roman" w:hAnsi="Century Gothic"/>
          <w:szCs w:val="22"/>
          <w:lang w:eastAsia="en-US"/>
        </w:rPr>
        <w:t>LI</w:t>
      </w:r>
      <w:r w:rsidRPr="00331A0B">
        <w:rPr>
          <w:rFonts w:ascii="Century Gothic" w:eastAsia="Times New Roman" w:hAnsi="Century Gothic"/>
          <w:szCs w:val="22"/>
          <w:lang w:eastAsia="en-US"/>
        </w:rPr>
        <w:t>PH rent rolls should increase. ECC/HANH will monitor the number of families on minimum rent and hardship requests to gauge the impact on families.</w:t>
      </w:r>
    </w:p>
    <w:p w14:paraId="71059975" w14:textId="77777777" w:rsidR="00EC5276" w:rsidRPr="00331A0B" w:rsidRDefault="00EC5276" w:rsidP="0E6C54AB">
      <w:pPr>
        <w:autoSpaceDE w:val="0"/>
        <w:autoSpaceDN w:val="0"/>
        <w:adjustRightInd w:val="0"/>
        <w:ind w:left="1440"/>
        <w:rPr>
          <w:rFonts w:ascii="Century Gothic" w:eastAsia="Times New Roman" w:hAnsi="Century Gothic"/>
          <w:szCs w:val="22"/>
          <w:lang w:eastAsia="en-US"/>
        </w:rPr>
      </w:pPr>
    </w:p>
    <w:p w14:paraId="7EDD1B61" w14:textId="77777777" w:rsidR="00EC5276" w:rsidRPr="00331A0B" w:rsidRDefault="3D20F661" w:rsidP="00486062">
      <w:pPr>
        <w:numPr>
          <w:ilvl w:val="0"/>
          <w:numId w:val="68"/>
        </w:numPr>
        <w:autoSpaceDE w:val="0"/>
        <w:autoSpaceDN w:val="0"/>
        <w:adjustRightInd w:val="0"/>
        <w:spacing w:after="160" w:line="276" w:lineRule="auto"/>
        <w:rPr>
          <w:rFonts w:ascii="Century Gothic" w:eastAsia="Times New Roman" w:hAnsi="Century Gothic"/>
          <w:b/>
          <w:bCs/>
          <w:szCs w:val="22"/>
          <w:lang w:eastAsia="en-US"/>
        </w:rPr>
      </w:pPr>
      <w:bookmarkStart w:id="163" w:name="_Toc444259086"/>
      <w:bookmarkStart w:id="164" w:name="_Toc465193887"/>
      <w:bookmarkStart w:id="165" w:name="_Toc465517138"/>
      <w:r w:rsidRPr="00331A0B">
        <w:rPr>
          <w:rFonts w:ascii="Century Gothic" w:eastAsia="Times New Roman" w:hAnsi="Century Gothic"/>
          <w:b/>
          <w:bCs/>
          <w:szCs w:val="22"/>
          <w:lang w:eastAsia="en-US"/>
        </w:rPr>
        <w:t xml:space="preserve">Transition to Avoid Hardships. </w:t>
      </w:r>
      <w:r w:rsidRPr="00331A0B">
        <w:rPr>
          <w:rFonts w:ascii="Century Gothic" w:eastAsia="Times New Roman" w:hAnsi="Century Gothic"/>
          <w:szCs w:val="22"/>
          <w:lang w:eastAsia="en-US"/>
        </w:rPr>
        <w:t xml:space="preserve">There will be a transition period of one year from the current income-based rent determination process to the new income-tiered rent determination process. No family will have an increase in Total Tenant Payment (TTP) during the first year they are subject to the requirements of this Rent Simplification Policy. </w:t>
      </w:r>
    </w:p>
    <w:p w14:paraId="43FF6B09" w14:textId="38106426" w:rsidR="00C1321D" w:rsidRPr="00331A0B" w:rsidRDefault="0686433F" w:rsidP="00486062">
      <w:pPr>
        <w:numPr>
          <w:ilvl w:val="1"/>
          <w:numId w:val="68"/>
        </w:numPr>
        <w:autoSpaceDE w:val="0"/>
        <w:autoSpaceDN w:val="0"/>
        <w:adjustRightInd w:val="0"/>
        <w:spacing w:after="160" w:line="276" w:lineRule="auto"/>
        <w:rPr>
          <w:rFonts w:ascii="Century Gothic" w:eastAsia="Times New Roman" w:hAnsi="Century Gothic"/>
          <w:b/>
          <w:bCs/>
          <w:szCs w:val="22"/>
          <w:lang w:eastAsia="en-US"/>
        </w:rPr>
      </w:pPr>
      <w:r w:rsidRPr="00331A0B">
        <w:rPr>
          <w:rFonts w:ascii="Century Gothic" w:eastAsia="Times New Roman" w:hAnsi="Century Gothic"/>
          <w:szCs w:val="22"/>
          <w:lang w:eastAsia="en-US"/>
        </w:rPr>
        <w:t xml:space="preserve">Year 1: No family will have an increase in TTP </w:t>
      </w:r>
    </w:p>
    <w:p w14:paraId="03705E70" w14:textId="4020C3AC" w:rsidR="00EC5276" w:rsidRPr="00331A0B" w:rsidRDefault="2891A77E" w:rsidP="00486062">
      <w:pPr>
        <w:numPr>
          <w:ilvl w:val="1"/>
          <w:numId w:val="68"/>
        </w:numPr>
        <w:autoSpaceDE w:val="0"/>
        <w:autoSpaceDN w:val="0"/>
        <w:adjustRightInd w:val="0"/>
        <w:spacing w:after="160" w:line="276" w:lineRule="auto"/>
        <w:rPr>
          <w:rFonts w:ascii="Century Gothic" w:eastAsia="Times New Roman" w:hAnsi="Century Gothic"/>
          <w:b/>
          <w:bCs/>
          <w:szCs w:val="22"/>
          <w:lang w:eastAsia="en-US"/>
        </w:rPr>
      </w:pPr>
      <w:r w:rsidRPr="00331A0B">
        <w:rPr>
          <w:rFonts w:ascii="Century Gothic" w:eastAsia="Times New Roman" w:hAnsi="Century Gothic"/>
          <w:szCs w:val="22"/>
          <w:lang w:eastAsia="en-US"/>
        </w:rPr>
        <w:t xml:space="preserve">Year 2: No family shall be subject to an increase in TTP greater than $25/month </w:t>
      </w:r>
    </w:p>
    <w:p w14:paraId="08E3AE75" w14:textId="77777777" w:rsidR="00EC5276" w:rsidRPr="00331A0B" w:rsidRDefault="2891A77E" w:rsidP="00486062">
      <w:pPr>
        <w:numPr>
          <w:ilvl w:val="1"/>
          <w:numId w:val="68"/>
        </w:numPr>
        <w:autoSpaceDE w:val="0"/>
        <w:autoSpaceDN w:val="0"/>
        <w:adjustRightInd w:val="0"/>
        <w:spacing w:after="160" w:line="276" w:lineRule="auto"/>
        <w:rPr>
          <w:rFonts w:ascii="Century Gothic" w:eastAsia="Times New Roman" w:hAnsi="Century Gothic"/>
          <w:b/>
          <w:bCs/>
          <w:szCs w:val="22"/>
          <w:lang w:eastAsia="en-US"/>
        </w:rPr>
      </w:pPr>
      <w:r w:rsidRPr="00331A0B">
        <w:rPr>
          <w:rFonts w:ascii="Century Gothic" w:eastAsia="Times New Roman" w:hAnsi="Century Gothic"/>
          <w:szCs w:val="22"/>
          <w:lang w:eastAsia="en-US"/>
        </w:rPr>
        <w:t xml:space="preserve">Year 3: No family shall be subject to an increase in TTP greater than $50/month </w:t>
      </w:r>
    </w:p>
    <w:p w14:paraId="21A861B9" w14:textId="77777777" w:rsidR="00EC5276" w:rsidRPr="00331A0B" w:rsidRDefault="2891A77E" w:rsidP="00486062">
      <w:pPr>
        <w:numPr>
          <w:ilvl w:val="1"/>
          <w:numId w:val="68"/>
        </w:numPr>
        <w:autoSpaceDE w:val="0"/>
        <w:autoSpaceDN w:val="0"/>
        <w:adjustRightInd w:val="0"/>
        <w:spacing w:after="160" w:line="276" w:lineRule="auto"/>
        <w:rPr>
          <w:rFonts w:ascii="Century Gothic" w:eastAsia="Times New Roman" w:hAnsi="Century Gothic"/>
          <w:b/>
          <w:bCs/>
          <w:szCs w:val="22"/>
          <w:lang w:eastAsia="en-US"/>
        </w:rPr>
      </w:pPr>
      <w:r w:rsidRPr="00331A0B">
        <w:rPr>
          <w:rFonts w:ascii="Century Gothic" w:eastAsia="Times New Roman" w:hAnsi="Century Gothic"/>
          <w:szCs w:val="22"/>
          <w:lang w:eastAsia="en-US"/>
        </w:rPr>
        <w:t>Year 4: No family shall be subject to an increase in TTP greater than $75/month</w:t>
      </w:r>
    </w:p>
    <w:p w14:paraId="53B9B7EB" w14:textId="77777777" w:rsidR="00EC5276" w:rsidRPr="00331A0B" w:rsidRDefault="2891A77E" w:rsidP="00486062">
      <w:pPr>
        <w:numPr>
          <w:ilvl w:val="1"/>
          <w:numId w:val="68"/>
        </w:numPr>
        <w:autoSpaceDE w:val="0"/>
        <w:autoSpaceDN w:val="0"/>
        <w:adjustRightInd w:val="0"/>
        <w:spacing w:after="160" w:line="276" w:lineRule="auto"/>
        <w:rPr>
          <w:rFonts w:ascii="Century Gothic" w:eastAsia="Times New Roman" w:hAnsi="Century Gothic"/>
          <w:b/>
          <w:bCs/>
          <w:szCs w:val="22"/>
          <w:lang w:eastAsia="en-US"/>
        </w:rPr>
      </w:pPr>
      <w:r w:rsidRPr="00331A0B">
        <w:rPr>
          <w:rFonts w:ascii="Century Gothic" w:eastAsia="Times New Roman" w:hAnsi="Century Gothic"/>
          <w:szCs w:val="22"/>
          <w:lang w:eastAsia="en-US"/>
        </w:rPr>
        <w:t>Subsequent years: No family shall be subject to an increase in TTP greater than $100/month</w:t>
      </w:r>
    </w:p>
    <w:p w14:paraId="16D197AD" w14:textId="77777777" w:rsidR="00EC5276" w:rsidRPr="00331A0B" w:rsidRDefault="2891A77E" w:rsidP="0E6C54AB">
      <w:pPr>
        <w:autoSpaceDE w:val="0"/>
        <w:autoSpaceDN w:val="0"/>
        <w:adjustRightInd w:val="0"/>
        <w:spacing w:after="160" w:line="276" w:lineRule="auto"/>
        <w:ind w:left="1080"/>
        <w:rPr>
          <w:rFonts w:ascii="Century Gothic" w:eastAsia="Times New Roman" w:hAnsi="Century Gothic"/>
          <w:b/>
          <w:bCs/>
          <w:szCs w:val="22"/>
          <w:lang w:eastAsia="en-US"/>
        </w:rPr>
      </w:pPr>
      <w:r w:rsidRPr="00331A0B">
        <w:rPr>
          <w:rFonts w:ascii="Century Gothic" w:eastAsia="Times New Roman" w:hAnsi="Century Gothic"/>
          <w:szCs w:val="22"/>
          <w:lang w:eastAsia="en-US"/>
        </w:rPr>
        <w:t xml:space="preserve">Increases are based on a family’s monthly TTP in the year immediately preceding the implementation of the Rent Simplification Policy. </w:t>
      </w:r>
    </w:p>
    <w:p w14:paraId="01B49182" w14:textId="77777777" w:rsidR="00EC5276" w:rsidRPr="00331A0B" w:rsidRDefault="2891A77E" w:rsidP="00486062">
      <w:pPr>
        <w:numPr>
          <w:ilvl w:val="0"/>
          <w:numId w:val="64"/>
        </w:numPr>
        <w:autoSpaceDE w:val="0"/>
        <w:autoSpaceDN w:val="0"/>
        <w:adjustRightInd w:val="0"/>
        <w:spacing w:before="240"/>
        <w:ind w:left="2160" w:hanging="180"/>
        <w:rPr>
          <w:rFonts w:ascii="Century Gothic" w:eastAsia="Times New Roman" w:hAnsi="Century Gothic"/>
          <w:b/>
          <w:bCs/>
          <w:szCs w:val="22"/>
          <w:lang w:eastAsia="en-US"/>
        </w:rPr>
      </w:pPr>
      <w:r w:rsidRPr="00331A0B">
        <w:rPr>
          <w:rFonts w:ascii="Century Gothic" w:eastAsia="Times New Roman" w:hAnsi="Century Gothic"/>
          <w:b/>
          <w:bCs/>
          <w:szCs w:val="22"/>
          <w:lang w:eastAsia="en-US"/>
        </w:rPr>
        <w:t xml:space="preserve">Rationale: </w:t>
      </w:r>
      <w:r w:rsidRPr="00331A0B">
        <w:rPr>
          <w:rFonts w:ascii="Century Gothic" w:eastAsia="Times New Roman" w:hAnsi="Century Gothic"/>
          <w:szCs w:val="22"/>
          <w:lang w:eastAsia="en-US"/>
        </w:rPr>
        <w:t>Limit undue hardship to families due to minimum rents and streamlining of deductions.</w:t>
      </w:r>
    </w:p>
    <w:p w14:paraId="073ECA8C" w14:textId="3BC10D5F" w:rsidR="00EC5276" w:rsidRPr="00331A0B" w:rsidRDefault="2891A77E" w:rsidP="00486062">
      <w:pPr>
        <w:numPr>
          <w:ilvl w:val="0"/>
          <w:numId w:val="64"/>
        </w:numPr>
        <w:autoSpaceDE w:val="0"/>
        <w:autoSpaceDN w:val="0"/>
        <w:adjustRightInd w:val="0"/>
        <w:spacing w:before="240"/>
        <w:ind w:left="2160" w:hanging="180"/>
        <w:rPr>
          <w:rFonts w:ascii="Century Gothic" w:eastAsia="Times New Roman" w:hAnsi="Century Gothic"/>
          <w:b/>
          <w:bCs/>
          <w:szCs w:val="22"/>
          <w:lang w:eastAsia="en-US"/>
        </w:rPr>
      </w:pPr>
      <w:r w:rsidRPr="00331A0B">
        <w:rPr>
          <w:rFonts w:ascii="Century Gothic" w:eastAsia="Times New Roman" w:hAnsi="Century Gothic"/>
          <w:b/>
          <w:bCs/>
          <w:szCs w:val="22"/>
          <w:lang w:eastAsia="en-US"/>
        </w:rPr>
        <w:t xml:space="preserve">Expected impact: </w:t>
      </w:r>
      <w:r w:rsidRPr="00331A0B">
        <w:rPr>
          <w:rFonts w:ascii="Century Gothic" w:eastAsia="Times New Roman" w:hAnsi="Century Gothic"/>
          <w:szCs w:val="22"/>
          <w:lang w:eastAsia="en-US"/>
        </w:rPr>
        <w:t>No sudden increase in hardship applications due to rent simplification activities.</w:t>
      </w:r>
    </w:p>
    <w:bookmarkEnd w:id="163"/>
    <w:bookmarkEnd w:id="164"/>
    <w:bookmarkEnd w:id="165"/>
    <w:p w14:paraId="0783EF72" w14:textId="77777777" w:rsidR="001C6BC7" w:rsidRDefault="001C6BC7" w:rsidP="00EC5276">
      <w:pPr>
        <w:rPr>
          <w:rFonts w:ascii="Century Gothic" w:eastAsia="Times New Roman" w:hAnsi="Century Gothic"/>
          <w:b/>
          <w:bCs/>
          <w:szCs w:val="22"/>
          <w:lang w:eastAsia="en-US"/>
        </w:rPr>
      </w:pPr>
    </w:p>
    <w:p w14:paraId="0EED17AF" w14:textId="0609D837" w:rsidR="00EC5276" w:rsidRPr="00331A0B" w:rsidRDefault="00746750" w:rsidP="00EC5276">
      <w:pPr>
        <w:rPr>
          <w:rFonts w:ascii="Century Gothic" w:hAnsi="Century Gothic"/>
          <w:szCs w:val="22"/>
        </w:rPr>
      </w:pPr>
      <w:r w:rsidRPr="00331A0B">
        <w:rPr>
          <w:rFonts w:ascii="Century Gothic" w:hAnsi="Century Gothic"/>
          <w:szCs w:val="22"/>
        </w:rPr>
        <w:t xml:space="preserve">The transition </w:t>
      </w:r>
      <w:r w:rsidR="00E86909" w:rsidRPr="00331A0B">
        <w:rPr>
          <w:rFonts w:ascii="Century Gothic" w:hAnsi="Century Gothic"/>
          <w:szCs w:val="22"/>
        </w:rPr>
        <w:t xml:space="preserve">to avoid </w:t>
      </w:r>
      <w:r w:rsidR="001669CB">
        <w:rPr>
          <w:rFonts w:ascii="Century Gothic" w:hAnsi="Century Gothic"/>
          <w:szCs w:val="22"/>
        </w:rPr>
        <w:t>t</w:t>
      </w:r>
      <w:r w:rsidR="00E86909" w:rsidRPr="00331A0B">
        <w:rPr>
          <w:rFonts w:ascii="Century Gothic" w:hAnsi="Century Gothic"/>
          <w:szCs w:val="22"/>
        </w:rPr>
        <w:t>h</w:t>
      </w:r>
      <w:r w:rsidR="001669CB">
        <w:rPr>
          <w:rFonts w:ascii="Century Gothic" w:hAnsi="Century Gothic"/>
          <w:szCs w:val="22"/>
        </w:rPr>
        <w:t>e h</w:t>
      </w:r>
      <w:r w:rsidR="00E86909" w:rsidRPr="00331A0B">
        <w:rPr>
          <w:rFonts w:ascii="Century Gothic" w:hAnsi="Century Gothic"/>
          <w:szCs w:val="22"/>
        </w:rPr>
        <w:t>ardship period has been completed.</w:t>
      </w:r>
    </w:p>
    <w:p w14:paraId="7059D4E3" w14:textId="77777777" w:rsidR="00E86909" w:rsidRPr="00331A0B" w:rsidRDefault="00E86909" w:rsidP="00EC5276">
      <w:pPr>
        <w:rPr>
          <w:rFonts w:ascii="Century Gothic" w:hAnsi="Century Gothic"/>
          <w:szCs w:val="22"/>
        </w:rPr>
      </w:pPr>
    </w:p>
    <w:p w14:paraId="38B24F3C" w14:textId="7D427D9F" w:rsidR="00EC5276" w:rsidRPr="00331A0B" w:rsidRDefault="00EC5276" w:rsidP="008703AF">
      <w:pPr>
        <w:pStyle w:val="Heading4"/>
        <w:rPr>
          <w:rFonts w:ascii="Century Gothic" w:hAnsi="Century Gothic" w:cs="Times New Roman"/>
        </w:rPr>
      </w:pPr>
      <w:r w:rsidRPr="00331A0B">
        <w:rPr>
          <w:rFonts w:ascii="Century Gothic" w:hAnsi="Century Gothic" w:cs="Times New Roman"/>
        </w:rPr>
        <w:t>Impact</w:t>
      </w:r>
    </w:p>
    <w:p w14:paraId="45E8C06D" w14:textId="291F98B2" w:rsidR="00EC5276" w:rsidRPr="00331A0B" w:rsidRDefault="21B82C1E" w:rsidP="4566E4F4">
      <w:pPr>
        <w:rPr>
          <w:rFonts w:ascii="Century Gothic" w:hAnsi="Century Gothic"/>
          <w:szCs w:val="22"/>
        </w:rPr>
      </w:pPr>
      <w:r w:rsidRPr="00331A0B">
        <w:rPr>
          <w:rFonts w:ascii="Century Gothic" w:hAnsi="Century Gothic"/>
          <w:b/>
          <w:bCs/>
          <w:szCs w:val="22"/>
        </w:rPr>
        <w:t>Multi-year recertification schedules</w:t>
      </w:r>
      <w:r w:rsidRPr="00331A0B">
        <w:rPr>
          <w:rFonts w:ascii="Century Gothic" w:hAnsi="Century Gothic"/>
          <w:szCs w:val="22"/>
        </w:rPr>
        <w:t xml:space="preserve">. </w:t>
      </w:r>
    </w:p>
    <w:p w14:paraId="01379C5E" w14:textId="6481EE8B" w:rsidR="00EC5276" w:rsidRPr="00331A0B" w:rsidRDefault="00EC5276" w:rsidP="4566E4F4">
      <w:pPr>
        <w:rPr>
          <w:rFonts w:ascii="Century Gothic" w:hAnsi="Century Gothic"/>
          <w:szCs w:val="22"/>
        </w:rPr>
      </w:pPr>
    </w:p>
    <w:p w14:paraId="29003B9A" w14:textId="3BA61211" w:rsidR="00D11B57" w:rsidRPr="00C01BC4" w:rsidRDefault="6B427670" w:rsidP="4C4F5E4A">
      <w:pPr>
        <w:rPr>
          <w:rFonts w:ascii="Century Gothic" w:hAnsi="Century Gothic"/>
        </w:rPr>
      </w:pPr>
      <w:bookmarkStart w:id="166" w:name="_Hlk90993271"/>
      <w:r w:rsidRPr="188A1EBF">
        <w:rPr>
          <w:rFonts w:ascii="Century Gothic" w:hAnsi="Century Gothic"/>
        </w:rPr>
        <w:t xml:space="preserve">In </w:t>
      </w:r>
      <w:r w:rsidR="11FC6488" w:rsidRPr="05EAF729">
        <w:rPr>
          <w:rFonts w:ascii="Century Gothic" w:hAnsi="Century Gothic"/>
        </w:rPr>
        <w:t>FY2</w:t>
      </w:r>
      <w:r w:rsidR="62BA74B0" w:rsidRPr="05EAF729">
        <w:rPr>
          <w:rFonts w:ascii="Century Gothic" w:hAnsi="Century Gothic"/>
        </w:rPr>
        <w:t>02</w:t>
      </w:r>
      <w:r w:rsidR="203CB7B3" w:rsidRPr="05EAF729">
        <w:rPr>
          <w:rFonts w:ascii="Century Gothic" w:hAnsi="Century Gothic"/>
        </w:rPr>
        <w:t>4</w:t>
      </w:r>
      <w:r w:rsidR="008B031C">
        <w:rPr>
          <w:rFonts w:ascii="Century Gothic" w:hAnsi="Century Gothic"/>
        </w:rPr>
        <w:t>,</w:t>
      </w:r>
      <w:r w:rsidR="11FC6488" w:rsidRPr="188A1EBF">
        <w:rPr>
          <w:rFonts w:ascii="Century Gothic" w:hAnsi="Century Gothic"/>
        </w:rPr>
        <w:t xml:space="preserve"> </w:t>
      </w:r>
      <w:r w:rsidR="353F0029" w:rsidRPr="3050B2E5">
        <w:rPr>
          <w:rFonts w:ascii="Century Gothic" w:hAnsi="Century Gothic"/>
        </w:rPr>
        <w:t>5,</w:t>
      </w:r>
      <w:r w:rsidR="135AB75C" w:rsidRPr="3050B2E5">
        <w:rPr>
          <w:rFonts w:ascii="Century Gothic" w:hAnsi="Century Gothic"/>
        </w:rPr>
        <w:t xml:space="preserve">428 </w:t>
      </w:r>
      <w:r w:rsidR="44199956" w:rsidRPr="188A1EBF">
        <w:rPr>
          <w:rFonts w:ascii="Century Gothic" w:hAnsi="Century Gothic"/>
        </w:rPr>
        <w:t xml:space="preserve">HCV families </w:t>
      </w:r>
      <w:r w:rsidR="70F680D8" w:rsidRPr="188A1EBF">
        <w:rPr>
          <w:rFonts w:ascii="Century Gothic" w:hAnsi="Century Gothic"/>
        </w:rPr>
        <w:t xml:space="preserve">were </w:t>
      </w:r>
      <w:r w:rsidR="35304621" w:rsidRPr="188A1EBF">
        <w:rPr>
          <w:rFonts w:ascii="Century Gothic" w:hAnsi="Century Gothic"/>
        </w:rPr>
        <w:t>served</w:t>
      </w:r>
      <w:r w:rsidR="192B245A" w:rsidRPr="188A1EBF">
        <w:rPr>
          <w:rFonts w:ascii="Century Gothic" w:hAnsi="Century Gothic"/>
        </w:rPr>
        <w:t>,</w:t>
      </w:r>
      <w:r w:rsidR="35304621" w:rsidRPr="188A1EBF">
        <w:rPr>
          <w:rFonts w:ascii="Century Gothic" w:hAnsi="Century Gothic"/>
        </w:rPr>
        <w:t xml:space="preserve"> </w:t>
      </w:r>
      <w:r w:rsidR="368B1BFF" w:rsidRPr="188A1EBF">
        <w:rPr>
          <w:rFonts w:ascii="Century Gothic" w:hAnsi="Century Gothic"/>
        </w:rPr>
        <w:t xml:space="preserve">of which </w:t>
      </w:r>
      <w:r w:rsidR="5C5012E8" w:rsidRPr="00074821">
        <w:rPr>
          <w:rFonts w:ascii="Century Gothic" w:hAnsi="Century Gothic"/>
        </w:rPr>
        <w:t>3,268</w:t>
      </w:r>
      <w:r w:rsidR="44199956" w:rsidRPr="188A1EBF">
        <w:rPr>
          <w:rFonts w:ascii="Century Gothic" w:hAnsi="Century Gothic"/>
        </w:rPr>
        <w:t xml:space="preserve"> </w:t>
      </w:r>
      <w:r w:rsidR="4B4710C7" w:rsidRPr="188A1EBF">
        <w:rPr>
          <w:rFonts w:ascii="Century Gothic" w:hAnsi="Century Gothic"/>
        </w:rPr>
        <w:t>(</w:t>
      </w:r>
      <w:r w:rsidR="12B08F9C" w:rsidRPr="3050B2E5">
        <w:rPr>
          <w:rFonts w:ascii="Century Gothic" w:hAnsi="Century Gothic"/>
        </w:rPr>
        <w:t>60</w:t>
      </w:r>
      <w:r w:rsidR="4B4710C7" w:rsidRPr="188A1EBF">
        <w:rPr>
          <w:rFonts w:ascii="Century Gothic" w:hAnsi="Century Gothic"/>
        </w:rPr>
        <w:t xml:space="preserve">%) </w:t>
      </w:r>
      <w:r w:rsidR="68367335" w:rsidRPr="188A1EBF">
        <w:rPr>
          <w:rFonts w:ascii="Century Gothic" w:hAnsi="Century Gothic"/>
        </w:rPr>
        <w:t xml:space="preserve">families were eligible to be </w:t>
      </w:r>
      <w:r w:rsidR="4CBD9AD0" w:rsidRPr="188A1EBF">
        <w:rPr>
          <w:rFonts w:ascii="Century Gothic" w:hAnsi="Century Gothic"/>
        </w:rPr>
        <w:t>recertified</w:t>
      </w:r>
      <w:r w:rsidR="00F246A5" w:rsidRPr="188A1EBF">
        <w:rPr>
          <w:rFonts w:ascii="Century Gothic" w:hAnsi="Century Gothic"/>
        </w:rPr>
        <w:t>.</w:t>
      </w:r>
      <w:r w:rsidR="500764A7" w:rsidRPr="188A1EBF">
        <w:rPr>
          <w:rFonts w:ascii="Century Gothic" w:hAnsi="Century Gothic"/>
        </w:rPr>
        <w:t xml:space="preserve"> </w:t>
      </w:r>
      <w:r w:rsidR="5958920B" w:rsidRPr="188A1EBF">
        <w:rPr>
          <w:rFonts w:ascii="Century Gothic" w:hAnsi="Century Gothic"/>
        </w:rPr>
        <w:t xml:space="preserve"> </w:t>
      </w:r>
      <w:r w:rsidR="006F72B8">
        <w:rPr>
          <w:rFonts w:ascii="Century Gothic" w:hAnsi="Century Gothic"/>
        </w:rPr>
        <w:t>That</w:t>
      </w:r>
      <w:r w:rsidR="00555932" w:rsidRPr="188A1EBF">
        <w:rPr>
          <w:rFonts w:ascii="Century Gothic" w:hAnsi="Century Gothic"/>
        </w:rPr>
        <w:t xml:space="preserve"> </w:t>
      </w:r>
      <w:r w:rsidR="500764A7" w:rsidRPr="188A1EBF">
        <w:rPr>
          <w:rFonts w:ascii="Century Gothic" w:hAnsi="Century Gothic"/>
        </w:rPr>
        <w:t>includes families th</w:t>
      </w:r>
      <w:r w:rsidR="7076B882" w:rsidRPr="188A1EBF">
        <w:rPr>
          <w:rFonts w:ascii="Century Gothic" w:hAnsi="Century Gothic"/>
        </w:rPr>
        <w:t xml:space="preserve">at </w:t>
      </w:r>
      <w:r w:rsidR="500764A7" w:rsidRPr="188A1EBF">
        <w:rPr>
          <w:rFonts w:ascii="Century Gothic" w:hAnsi="Century Gothic"/>
        </w:rPr>
        <w:t>were eligib</w:t>
      </w:r>
      <w:r w:rsidR="24686250" w:rsidRPr="188A1EBF">
        <w:rPr>
          <w:rFonts w:ascii="Century Gothic" w:hAnsi="Century Gothic"/>
        </w:rPr>
        <w:t>l</w:t>
      </w:r>
      <w:r w:rsidR="500764A7" w:rsidRPr="188A1EBF">
        <w:rPr>
          <w:rFonts w:ascii="Century Gothic" w:hAnsi="Century Gothic"/>
        </w:rPr>
        <w:t xml:space="preserve">e for the biennial/triennial recertification and families who reside in the RAD/PBV/LIHTC properties who </w:t>
      </w:r>
      <w:proofErr w:type="gramStart"/>
      <w:r w:rsidR="500764A7" w:rsidRPr="188A1EBF">
        <w:rPr>
          <w:rFonts w:ascii="Century Gothic" w:hAnsi="Century Gothic"/>
        </w:rPr>
        <w:t>have to</w:t>
      </w:r>
      <w:proofErr w:type="gramEnd"/>
      <w:r w:rsidR="500764A7" w:rsidRPr="188A1EBF">
        <w:rPr>
          <w:rFonts w:ascii="Century Gothic" w:hAnsi="Century Gothic"/>
        </w:rPr>
        <w:t xml:space="preserve"> be recer</w:t>
      </w:r>
      <w:r w:rsidR="5BF68E06" w:rsidRPr="188A1EBF">
        <w:rPr>
          <w:rFonts w:ascii="Century Gothic" w:hAnsi="Century Gothic"/>
        </w:rPr>
        <w:t>tified on an annual basis, due to tax credit rules.</w:t>
      </w:r>
      <w:r w:rsidR="19FF2D8D" w:rsidRPr="188A1EBF">
        <w:rPr>
          <w:rFonts w:ascii="Century Gothic" w:hAnsi="Century Gothic"/>
        </w:rPr>
        <w:t xml:space="preserve"> </w:t>
      </w:r>
      <w:r w:rsidR="0A87814E" w:rsidRPr="00331A0B">
        <w:rPr>
          <w:rFonts w:ascii="Century Gothic" w:hAnsi="Century Gothic"/>
          <w:szCs w:val="22"/>
        </w:rPr>
        <w:t>1,610</w:t>
      </w:r>
      <w:r w:rsidR="00671A84">
        <w:rPr>
          <w:rFonts w:ascii="Century Gothic" w:hAnsi="Century Gothic"/>
          <w:szCs w:val="22"/>
        </w:rPr>
        <w:t xml:space="preserve"> </w:t>
      </w:r>
      <w:r w:rsidR="003F2415">
        <w:rPr>
          <w:rFonts w:ascii="Century Gothic" w:hAnsi="Century Gothic"/>
          <w:szCs w:val="22"/>
        </w:rPr>
        <w:t>(49</w:t>
      </w:r>
      <w:r w:rsidR="00192778">
        <w:rPr>
          <w:rFonts w:ascii="Century Gothic" w:hAnsi="Century Gothic"/>
          <w:szCs w:val="22"/>
        </w:rPr>
        <w:t>%)</w:t>
      </w:r>
      <w:r w:rsidR="00192778" w:rsidRPr="00331A0B">
        <w:rPr>
          <w:rFonts w:ascii="Century Gothic" w:hAnsi="Century Gothic"/>
          <w:szCs w:val="22"/>
        </w:rPr>
        <w:t xml:space="preserve"> of</w:t>
      </w:r>
      <w:r w:rsidR="425ABEA8" w:rsidRPr="00331A0B">
        <w:rPr>
          <w:rFonts w:ascii="Century Gothic" w:hAnsi="Century Gothic"/>
          <w:szCs w:val="22"/>
        </w:rPr>
        <w:t xml:space="preserve"> the families eligible</w:t>
      </w:r>
      <w:r w:rsidR="45F67A84" w:rsidRPr="00331A0B">
        <w:rPr>
          <w:rFonts w:ascii="Century Gothic" w:hAnsi="Century Gothic"/>
          <w:szCs w:val="22"/>
        </w:rPr>
        <w:t xml:space="preserve"> </w:t>
      </w:r>
      <w:r w:rsidR="5B65A8B7" w:rsidRPr="00331A0B">
        <w:rPr>
          <w:rFonts w:ascii="Century Gothic" w:hAnsi="Century Gothic"/>
          <w:szCs w:val="22"/>
        </w:rPr>
        <w:t xml:space="preserve">for recertification </w:t>
      </w:r>
      <w:r w:rsidR="48BECB83" w:rsidRPr="00331A0B">
        <w:rPr>
          <w:rFonts w:ascii="Century Gothic" w:hAnsi="Century Gothic"/>
          <w:szCs w:val="22"/>
        </w:rPr>
        <w:t>(</w:t>
      </w:r>
      <w:r w:rsidR="28B7A423" w:rsidRPr="00331A0B">
        <w:rPr>
          <w:rFonts w:ascii="Century Gothic" w:hAnsi="Century Gothic"/>
          <w:szCs w:val="22"/>
        </w:rPr>
        <w:t>3,268</w:t>
      </w:r>
      <w:r w:rsidR="48BECB83" w:rsidRPr="00331A0B">
        <w:rPr>
          <w:rFonts w:ascii="Century Gothic" w:hAnsi="Century Gothic"/>
          <w:szCs w:val="22"/>
        </w:rPr>
        <w:t>)</w:t>
      </w:r>
      <w:r w:rsidR="00BB4DBE">
        <w:rPr>
          <w:rFonts w:ascii="Century Gothic" w:hAnsi="Century Gothic"/>
          <w:szCs w:val="22"/>
        </w:rPr>
        <w:t>,</w:t>
      </w:r>
      <w:r w:rsidR="48BECB83" w:rsidRPr="00331A0B">
        <w:rPr>
          <w:rFonts w:ascii="Century Gothic" w:hAnsi="Century Gothic"/>
          <w:szCs w:val="22"/>
        </w:rPr>
        <w:t xml:space="preserve"> </w:t>
      </w:r>
      <w:r w:rsidR="25C223E5" w:rsidRPr="00331A0B">
        <w:rPr>
          <w:rFonts w:ascii="Century Gothic" w:hAnsi="Century Gothic"/>
          <w:szCs w:val="22"/>
        </w:rPr>
        <w:t>were eligible for the multi</w:t>
      </w:r>
      <w:r w:rsidR="4C4BDDFB" w:rsidRPr="00331A0B">
        <w:rPr>
          <w:rFonts w:ascii="Century Gothic" w:hAnsi="Century Gothic"/>
          <w:szCs w:val="22"/>
        </w:rPr>
        <w:t>-</w:t>
      </w:r>
      <w:r w:rsidR="25C223E5" w:rsidRPr="00331A0B">
        <w:rPr>
          <w:rFonts w:ascii="Century Gothic" w:hAnsi="Century Gothic"/>
          <w:szCs w:val="22"/>
        </w:rPr>
        <w:t>year recertification schedule</w:t>
      </w:r>
      <w:r w:rsidR="07D33A04" w:rsidRPr="00331A0B">
        <w:rPr>
          <w:rFonts w:ascii="Century Gothic" w:hAnsi="Century Gothic"/>
          <w:szCs w:val="22"/>
        </w:rPr>
        <w:t xml:space="preserve">. </w:t>
      </w:r>
    </w:p>
    <w:p w14:paraId="726CF804" w14:textId="2A3D2534" w:rsidR="4C4F5E4A" w:rsidRPr="00331A0B" w:rsidRDefault="4C4F5E4A" w:rsidP="4C4F5E4A">
      <w:pPr>
        <w:rPr>
          <w:rFonts w:ascii="Century Gothic" w:hAnsi="Century Gothic"/>
          <w:szCs w:val="22"/>
        </w:rPr>
      </w:pPr>
    </w:p>
    <w:p w14:paraId="6616AA40" w14:textId="5C687D26" w:rsidR="5BA22046" w:rsidRPr="0088222B" w:rsidRDefault="353AD1C6" w:rsidP="46B3BF7C">
      <w:pPr>
        <w:rPr>
          <w:rFonts w:ascii="Century Gothic" w:hAnsi="Century Gothic"/>
        </w:rPr>
      </w:pPr>
      <w:r w:rsidRPr="0076582C">
        <w:rPr>
          <w:rFonts w:ascii="Century Gothic" w:eastAsia="Times New Roman" w:hAnsi="Century Gothic"/>
        </w:rPr>
        <w:t xml:space="preserve">In LIPH, </w:t>
      </w:r>
      <w:r w:rsidR="00404A7E" w:rsidRPr="0076582C">
        <w:rPr>
          <w:rFonts w:ascii="Century Gothic" w:eastAsia="Times New Roman" w:hAnsi="Century Gothic"/>
        </w:rPr>
        <w:t>7</w:t>
      </w:r>
      <w:r w:rsidR="00AE4FB7" w:rsidRPr="0076582C">
        <w:rPr>
          <w:rFonts w:ascii="Century Gothic" w:eastAsia="Times New Roman" w:hAnsi="Century Gothic"/>
        </w:rPr>
        <w:t>8</w:t>
      </w:r>
      <w:r w:rsidR="00404A7E" w:rsidRPr="0076582C">
        <w:rPr>
          <w:rFonts w:ascii="Century Gothic" w:eastAsia="Times New Roman" w:hAnsi="Century Gothic"/>
        </w:rPr>
        <w:t>7</w:t>
      </w:r>
      <w:r w:rsidR="345035A9" w:rsidRPr="44112D94">
        <w:rPr>
          <w:rFonts w:ascii="Century Gothic" w:eastAsia="Times New Roman" w:hAnsi="Century Gothic"/>
        </w:rPr>
        <w:t xml:space="preserve"> </w:t>
      </w:r>
      <w:r w:rsidR="25885C4E" w:rsidRPr="0076582C">
        <w:rPr>
          <w:rFonts w:ascii="Century Gothic" w:eastAsia="Times New Roman" w:hAnsi="Century Gothic"/>
        </w:rPr>
        <w:t xml:space="preserve">families were </w:t>
      </w:r>
      <w:r w:rsidR="1C8CC6D9" w:rsidRPr="0076582C">
        <w:rPr>
          <w:rFonts w:ascii="Century Gothic" w:eastAsia="Times New Roman" w:hAnsi="Century Gothic"/>
        </w:rPr>
        <w:t>served,</w:t>
      </w:r>
      <w:r w:rsidR="25885C4E" w:rsidRPr="0076582C">
        <w:rPr>
          <w:rFonts w:ascii="Century Gothic" w:eastAsia="Times New Roman" w:hAnsi="Century Gothic"/>
        </w:rPr>
        <w:t xml:space="preserve"> </w:t>
      </w:r>
      <w:r w:rsidR="00BD7620">
        <w:rPr>
          <w:rFonts w:ascii="Century Gothic" w:eastAsia="Times New Roman" w:hAnsi="Century Gothic"/>
        </w:rPr>
        <w:t xml:space="preserve">of which </w:t>
      </w:r>
      <w:r w:rsidR="00953DCF" w:rsidRPr="0076582C">
        <w:rPr>
          <w:rFonts w:ascii="Century Gothic" w:eastAsia="Times New Roman" w:hAnsi="Century Gothic"/>
        </w:rPr>
        <w:t>5</w:t>
      </w:r>
      <w:r w:rsidR="551D4DE6" w:rsidRPr="0076582C">
        <w:rPr>
          <w:rFonts w:ascii="Century Gothic" w:eastAsia="Times New Roman" w:hAnsi="Century Gothic"/>
        </w:rPr>
        <w:t>1</w:t>
      </w:r>
      <w:r w:rsidR="655F66B8" w:rsidRPr="0076582C">
        <w:rPr>
          <w:rFonts w:ascii="Century Gothic" w:eastAsia="Times New Roman" w:hAnsi="Century Gothic"/>
        </w:rPr>
        <w:t>7</w:t>
      </w:r>
      <w:r w:rsidR="0088222B">
        <w:rPr>
          <w:rFonts w:ascii="Century Gothic" w:eastAsia="Times New Roman" w:hAnsi="Century Gothic"/>
        </w:rPr>
        <w:t xml:space="preserve"> </w:t>
      </w:r>
      <w:r w:rsidR="00EF3F7E" w:rsidRPr="0076582C">
        <w:rPr>
          <w:rFonts w:ascii="Century Gothic" w:eastAsia="Times New Roman" w:hAnsi="Century Gothic"/>
        </w:rPr>
        <w:t xml:space="preserve">(65%) </w:t>
      </w:r>
      <w:r w:rsidR="00953DCF" w:rsidRPr="0076582C">
        <w:rPr>
          <w:rFonts w:ascii="Century Gothic" w:eastAsia="Times New Roman" w:hAnsi="Century Gothic"/>
        </w:rPr>
        <w:t xml:space="preserve">families were eligible </w:t>
      </w:r>
      <w:r w:rsidR="00EF3F7E" w:rsidRPr="0076582C">
        <w:rPr>
          <w:rFonts w:ascii="Century Gothic" w:eastAsia="Times New Roman" w:hAnsi="Century Gothic"/>
        </w:rPr>
        <w:t>to be recertifie</w:t>
      </w:r>
      <w:r w:rsidR="00EB3479">
        <w:rPr>
          <w:rFonts w:ascii="Century Gothic" w:eastAsia="Times New Roman" w:hAnsi="Century Gothic"/>
        </w:rPr>
        <w:t>d</w:t>
      </w:r>
      <w:r w:rsidR="00EF3F7E" w:rsidRPr="0076582C">
        <w:rPr>
          <w:rFonts w:ascii="Century Gothic" w:eastAsia="Times New Roman" w:hAnsi="Century Gothic"/>
        </w:rPr>
        <w:t>.</w:t>
      </w:r>
      <w:r w:rsidR="00953DCF" w:rsidRPr="0076582C">
        <w:rPr>
          <w:rFonts w:ascii="Century Gothic" w:eastAsia="Times New Roman" w:hAnsi="Century Gothic"/>
        </w:rPr>
        <w:t xml:space="preserve"> </w:t>
      </w:r>
      <w:r w:rsidR="006F72B8">
        <w:rPr>
          <w:rFonts w:ascii="Century Gothic" w:hAnsi="Century Gothic"/>
        </w:rPr>
        <w:t>That</w:t>
      </w:r>
      <w:r w:rsidR="00953DCF" w:rsidRPr="0076582C">
        <w:rPr>
          <w:rFonts w:ascii="Century Gothic" w:hAnsi="Century Gothic"/>
        </w:rPr>
        <w:t xml:space="preserve"> number includes families that were eligible for the biennial/triennial recertification and families who reside in the LIPH/LIHTC properties who </w:t>
      </w:r>
      <w:proofErr w:type="gramStart"/>
      <w:r w:rsidR="00953DCF" w:rsidRPr="0076582C">
        <w:rPr>
          <w:rFonts w:ascii="Century Gothic" w:hAnsi="Century Gothic"/>
        </w:rPr>
        <w:t>have to</w:t>
      </w:r>
      <w:proofErr w:type="gramEnd"/>
      <w:r w:rsidR="00953DCF" w:rsidRPr="0076582C">
        <w:rPr>
          <w:rFonts w:ascii="Century Gothic" w:hAnsi="Century Gothic"/>
        </w:rPr>
        <w:t xml:space="preserve"> be recertified on an annual basis, due to tax credit rules. </w:t>
      </w:r>
      <w:r w:rsidR="00C01BC4">
        <w:rPr>
          <w:rFonts w:ascii="Century Gothic" w:hAnsi="Century Gothic"/>
        </w:rPr>
        <w:t xml:space="preserve"> </w:t>
      </w:r>
      <w:r w:rsidR="00F169EB" w:rsidRPr="0076582C">
        <w:rPr>
          <w:rFonts w:ascii="Century Gothic" w:eastAsia="Times New Roman" w:hAnsi="Century Gothic"/>
        </w:rPr>
        <w:t>174</w:t>
      </w:r>
      <w:r w:rsidR="00322E7D" w:rsidRPr="0076582C">
        <w:rPr>
          <w:rFonts w:ascii="Century Gothic" w:eastAsia="Times New Roman" w:hAnsi="Century Gothic"/>
        </w:rPr>
        <w:t xml:space="preserve"> (</w:t>
      </w:r>
      <w:r w:rsidR="0076582C" w:rsidRPr="0076582C">
        <w:rPr>
          <w:rFonts w:ascii="Century Gothic" w:eastAsia="Times New Roman" w:hAnsi="Century Gothic"/>
        </w:rPr>
        <w:t>34%</w:t>
      </w:r>
      <w:r w:rsidR="00322E7D" w:rsidRPr="0076582C">
        <w:rPr>
          <w:rFonts w:ascii="Century Gothic" w:eastAsia="Times New Roman" w:hAnsi="Century Gothic"/>
        </w:rPr>
        <w:t>)</w:t>
      </w:r>
      <w:r w:rsidR="00322E7D" w:rsidRPr="1D216EF5">
        <w:rPr>
          <w:rFonts w:ascii="Century Gothic" w:eastAsia="Times New Roman" w:hAnsi="Century Gothic"/>
        </w:rPr>
        <w:t xml:space="preserve"> </w:t>
      </w:r>
      <w:r w:rsidR="00AE7B1D">
        <w:rPr>
          <w:rFonts w:ascii="Century Gothic" w:eastAsia="Times New Roman" w:hAnsi="Century Gothic"/>
        </w:rPr>
        <w:t xml:space="preserve">of the </w:t>
      </w:r>
      <w:r w:rsidR="37381027" w:rsidRPr="1D216EF5">
        <w:rPr>
          <w:rFonts w:ascii="Century Gothic" w:eastAsia="Times New Roman" w:hAnsi="Century Gothic"/>
        </w:rPr>
        <w:t xml:space="preserve">families eligible </w:t>
      </w:r>
      <w:r w:rsidR="00AE7B1D">
        <w:rPr>
          <w:rFonts w:ascii="Century Gothic" w:eastAsia="Times New Roman" w:hAnsi="Century Gothic"/>
        </w:rPr>
        <w:t>for recertification (517)</w:t>
      </w:r>
      <w:r w:rsidR="00BB4DBE">
        <w:rPr>
          <w:rFonts w:ascii="Century Gothic" w:eastAsia="Times New Roman" w:hAnsi="Century Gothic"/>
        </w:rPr>
        <w:t>,</w:t>
      </w:r>
      <w:r w:rsidR="00AE7B1D">
        <w:rPr>
          <w:rFonts w:ascii="Century Gothic" w:eastAsia="Times New Roman" w:hAnsi="Century Gothic"/>
        </w:rPr>
        <w:t xml:space="preserve"> </w:t>
      </w:r>
      <w:r w:rsidR="00481D71">
        <w:rPr>
          <w:rFonts w:ascii="Century Gothic" w:eastAsia="Times New Roman" w:hAnsi="Century Gothic"/>
        </w:rPr>
        <w:t xml:space="preserve">were eligible for the multi-year </w:t>
      </w:r>
      <w:r w:rsidR="00C93EFD">
        <w:rPr>
          <w:rFonts w:ascii="Century Gothic" w:eastAsia="Times New Roman" w:hAnsi="Century Gothic"/>
        </w:rPr>
        <w:t>recertification</w:t>
      </w:r>
      <w:r w:rsidR="00481D71">
        <w:rPr>
          <w:rFonts w:ascii="Century Gothic" w:eastAsia="Times New Roman" w:hAnsi="Century Gothic"/>
        </w:rPr>
        <w:t xml:space="preserve"> schedule.</w:t>
      </w:r>
    </w:p>
    <w:p w14:paraId="7689C47E" w14:textId="6F6BC85C" w:rsidR="5BA22046" w:rsidRPr="00B6032F" w:rsidRDefault="5BA22046" w:rsidP="46B3BF7C">
      <w:pPr>
        <w:rPr>
          <w:rFonts w:ascii="Century Gothic" w:eastAsia="Times New Roman" w:hAnsi="Century Gothic"/>
          <w:szCs w:val="22"/>
        </w:rPr>
      </w:pPr>
    </w:p>
    <w:p w14:paraId="37F1B4E6" w14:textId="51DDB81C" w:rsidR="5BA22046" w:rsidRPr="00473DB2" w:rsidRDefault="170F34AA" w:rsidP="46B3BF7C">
      <w:pPr>
        <w:rPr>
          <w:rFonts w:ascii="Century Gothic" w:eastAsia="Times New Roman" w:hAnsi="Century Gothic"/>
          <w:highlight w:val="yellow"/>
        </w:rPr>
      </w:pPr>
      <w:r w:rsidRPr="6B13DE42">
        <w:rPr>
          <w:rFonts w:ascii="Century Gothic" w:eastAsia="Times New Roman" w:hAnsi="Century Gothic"/>
        </w:rPr>
        <w:t xml:space="preserve">Without </w:t>
      </w:r>
      <w:r w:rsidR="353AD1C6" w:rsidRPr="6B13DE42">
        <w:rPr>
          <w:rFonts w:ascii="Century Gothic" w:eastAsia="Times New Roman" w:hAnsi="Century Gothic"/>
        </w:rPr>
        <w:t xml:space="preserve">rent simplification, </w:t>
      </w:r>
      <w:r w:rsidR="6DFC406C" w:rsidRPr="6B13DE42">
        <w:rPr>
          <w:rFonts w:ascii="Century Gothic" w:eastAsia="Times New Roman" w:hAnsi="Century Gothic"/>
        </w:rPr>
        <w:t xml:space="preserve">ECC/HANH would have </w:t>
      </w:r>
      <w:r w:rsidR="563EA039" w:rsidRPr="6B13DE42">
        <w:rPr>
          <w:rFonts w:ascii="Century Gothic" w:eastAsia="Times New Roman" w:hAnsi="Century Gothic"/>
        </w:rPr>
        <w:t>recertified</w:t>
      </w:r>
      <w:r w:rsidR="6DFC406C" w:rsidRPr="6B13DE42">
        <w:rPr>
          <w:rFonts w:ascii="Century Gothic" w:eastAsia="Times New Roman" w:hAnsi="Century Gothic"/>
        </w:rPr>
        <w:t xml:space="preserve"> </w:t>
      </w:r>
      <w:r w:rsidR="008519C9">
        <w:rPr>
          <w:rFonts w:ascii="Century Gothic" w:eastAsia="Times New Roman" w:hAnsi="Century Gothic"/>
        </w:rPr>
        <w:t>6,</w:t>
      </w:r>
      <w:r w:rsidR="72B5DDC8" w:rsidRPr="44112D94">
        <w:rPr>
          <w:rFonts w:ascii="Century Gothic" w:eastAsia="Times New Roman" w:hAnsi="Century Gothic"/>
        </w:rPr>
        <w:t>215</w:t>
      </w:r>
      <w:r w:rsidR="007A1CD5">
        <w:rPr>
          <w:rFonts w:ascii="Century Gothic" w:eastAsia="Times New Roman" w:hAnsi="Century Gothic"/>
        </w:rPr>
        <w:t xml:space="preserve"> </w:t>
      </w:r>
      <w:r w:rsidR="003E429E">
        <w:rPr>
          <w:rFonts w:ascii="Century Gothic" w:eastAsia="Times New Roman" w:hAnsi="Century Gothic"/>
        </w:rPr>
        <w:t xml:space="preserve">families </w:t>
      </w:r>
      <w:r w:rsidR="1CBE5F45" w:rsidRPr="6B13DE42">
        <w:rPr>
          <w:rFonts w:ascii="Century Gothic" w:eastAsia="Times New Roman" w:hAnsi="Century Gothic"/>
        </w:rPr>
        <w:t>(HCV</w:t>
      </w:r>
      <w:r w:rsidR="13EEDEE5" w:rsidRPr="16139DDD">
        <w:rPr>
          <w:rFonts w:ascii="Century Gothic" w:eastAsia="Times New Roman" w:hAnsi="Century Gothic"/>
        </w:rPr>
        <w:t>)</w:t>
      </w:r>
      <w:r w:rsidR="1CBE5F45" w:rsidRPr="6B13DE42">
        <w:rPr>
          <w:rFonts w:ascii="Century Gothic" w:eastAsia="Times New Roman" w:hAnsi="Century Gothic"/>
        </w:rPr>
        <w:t xml:space="preserve"> 5,</w:t>
      </w:r>
      <w:r w:rsidR="46FD4F5C" w:rsidRPr="44112D94">
        <w:rPr>
          <w:rFonts w:ascii="Century Gothic" w:eastAsia="Times New Roman" w:hAnsi="Century Gothic"/>
        </w:rPr>
        <w:t>428</w:t>
      </w:r>
      <w:r w:rsidR="008519C9">
        <w:rPr>
          <w:rFonts w:ascii="Century Gothic" w:eastAsia="Times New Roman" w:hAnsi="Century Gothic"/>
        </w:rPr>
        <w:t xml:space="preserve"> </w:t>
      </w:r>
      <w:r w:rsidR="1E66B80E" w:rsidRPr="00473DB2">
        <w:rPr>
          <w:rFonts w:ascii="Century Gothic" w:eastAsia="Times New Roman" w:hAnsi="Century Gothic"/>
        </w:rPr>
        <w:t xml:space="preserve">and </w:t>
      </w:r>
      <w:r w:rsidR="11AC6EE5" w:rsidRPr="00473DB2">
        <w:rPr>
          <w:rFonts w:ascii="Century Gothic" w:eastAsia="Times New Roman" w:hAnsi="Century Gothic"/>
        </w:rPr>
        <w:t xml:space="preserve">LIPH </w:t>
      </w:r>
      <w:r w:rsidR="00B20F09" w:rsidRPr="00473DB2">
        <w:rPr>
          <w:rFonts w:ascii="Century Gothic" w:eastAsia="Times New Roman" w:hAnsi="Century Gothic"/>
        </w:rPr>
        <w:t>7</w:t>
      </w:r>
      <w:r w:rsidR="00AE4FB7" w:rsidRPr="00473DB2">
        <w:rPr>
          <w:rFonts w:ascii="Century Gothic" w:eastAsia="Times New Roman" w:hAnsi="Century Gothic"/>
        </w:rPr>
        <w:t>87</w:t>
      </w:r>
      <w:r w:rsidR="37EA874D" w:rsidRPr="00473DB2">
        <w:rPr>
          <w:rFonts w:ascii="Century Gothic" w:eastAsia="Times New Roman" w:hAnsi="Century Gothic"/>
        </w:rPr>
        <w:t>)</w:t>
      </w:r>
      <w:r w:rsidR="00BC3398" w:rsidRPr="00473DB2">
        <w:rPr>
          <w:rFonts w:ascii="Century Gothic" w:eastAsia="Times New Roman" w:hAnsi="Century Gothic"/>
        </w:rPr>
        <w:t>.</w:t>
      </w:r>
      <w:r w:rsidR="6DFC406C" w:rsidRPr="00473DB2">
        <w:rPr>
          <w:rFonts w:ascii="Century Gothic" w:eastAsia="Times New Roman" w:hAnsi="Century Gothic"/>
        </w:rPr>
        <w:t xml:space="preserve"> </w:t>
      </w:r>
      <w:r w:rsidR="00D41395" w:rsidRPr="00473DB2">
        <w:rPr>
          <w:rFonts w:ascii="Century Gothic" w:eastAsia="Times New Roman" w:hAnsi="Century Gothic"/>
        </w:rPr>
        <w:t xml:space="preserve"> </w:t>
      </w:r>
      <w:r w:rsidR="00A645C9" w:rsidRPr="00473DB2">
        <w:rPr>
          <w:rFonts w:ascii="Century Gothic" w:eastAsia="Times New Roman" w:hAnsi="Century Gothic"/>
        </w:rPr>
        <w:t>Under the biennial/triennial schedule</w:t>
      </w:r>
      <w:r w:rsidR="00D41395" w:rsidRPr="00473DB2">
        <w:rPr>
          <w:rFonts w:ascii="Century Gothic" w:eastAsia="Times New Roman" w:hAnsi="Century Gothic"/>
        </w:rPr>
        <w:t xml:space="preserve">, </w:t>
      </w:r>
      <w:r w:rsidR="62305B39" w:rsidRPr="00473DB2">
        <w:rPr>
          <w:rFonts w:ascii="Century Gothic" w:eastAsia="Times New Roman" w:hAnsi="Century Gothic"/>
        </w:rPr>
        <w:t>60</w:t>
      </w:r>
      <w:r w:rsidR="00BB1AB4" w:rsidRPr="00473DB2">
        <w:rPr>
          <w:rFonts w:ascii="Century Gothic" w:eastAsia="Times New Roman" w:hAnsi="Century Gothic"/>
        </w:rPr>
        <w:t xml:space="preserve">% (of the families were </w:t>
      </w:r>
      <w:r w:rsidR="00BF61F1" w:rsidRPr="00473DB2">
        <w:rPr>
          <w:rFonts w:ascii="Century Gothic" w:eastAsia="Times New Roman" w:hAnsi="Century Gothic"/>
        </w:rPr>
        <w:t>recertified</w:t>
      </w:r>
      <w:r w:rsidR="00AB0CE5" w:rsidRPr="00473DB2">
        <w:rPr>
          <w:rFonts w:ascii="Century Gothic" w:eastAsia="Times New Roman" w:hAnsi="Century Gothic"/>
        </w:rPr>
        <w:t xml:space="preserve">. </w:t>
      </w:r>
    </w:p>
    <w:p w14:paraId="3D1005CF" w14:textId="3BF607EB" w:rsidR="70BBD95A" w:rsidRPr="002F1DBA" w:rsidRDefault="70BBD95A" w:rsidP="49735900">
      <w:pPr>
        <w:rPr>
          <w:rFonts w:ascii="Century Gothic" w:hAnsi="Century Gothic"/>
          <w:b/>
        </w:rPr>
      </w:pPr>
      <w:r w:rsidRPr="002F1DBA">
        <w:rPr>
          <w:rFonts w:ascii="Century Gothic" w:hAnsi="Century Gothic"/>
          <w:b/>
        </w:rPr>
        <w:lastRenderedPageBreak/>
        <w:t>Staff Time</w:t>
      </w:r>
    </w:p>
    <w:p w14:paraId="649650E6" w14:textId="4500C89B" w:rsidR="4C4F5E4A" w:rsidRDefault="4C4F5E4A" w:rsidP="4C4F5E4A">
      <w:pPr>
        <w:rPr>
          <w:rFonts w:ascii="Century Gothic" w:hAnsi="Century Gothic"/>
          <w:szCs w:val="22"/>
        </w:rPr>
      </w:pPr>
    </w:p>
    <w:p w14:paraId="21233652" w14:textId="6B7E7954" w:rsidR="00642D37" w:rsidRDefault="00642D37" w:rsidP="4C4F5E4A">
      <w:pPr>
        <w:rPr>
          <w:rFonts w:ascii="Century Gothic" w:hAnsi="Century Gothic"/>
        </w:rPr>
      </w:pPr>
      <w:r w:rsidRPr="4EA94CC4">
        <w:rPr>
          <w:rFonts w:ascii="Century Gothic" w:hAnsi="Century Gothic"/>
        </w:rPr>
        <w:t xml:space="preserve">In </w:t>
      </w:r>
      <w:r w:rsidRPr="7D8DAC21">
        <w:rPr>
          <w:rFonts w:ascii="Century Gothic" w:hAnsi="Century Gothic"/>
        </w:rPr>
        <w:t>FY2007</w:t>
      </w:r>
      <w:r w:rsidRPr="4EA94CC4">
        <w:rPr>
          <w:rFonts w:ascii="Century Gothic" w:hAnsi="Century Gothic"/>
        </w:rPr>
        <w:t>, 2.</w:t>
      </w:r>
      <w:r w:rsidRPr="7D8DAC21">
        <w:rPr>
          <w:rFonts w:ascii="Century Gothic" w:hAnsi="Century Gothic"/>
        </w:rPr>
        <w:t xml:space="preserve">5 </w:t>
      </w:r>
      <w:r w:rsidRPr="4EA94CC4">
        <w:rPr>
          <w:rFonts w:ascii="Century Gothic" w:hAnsi="Century Gothic"/>
        </w:rPr>
        <w:t xml:space="preserve">hours of staff time was dedicated </w:t>
      </w:r>
      <w:proofErr w:type="gramStart"/>
      <w:r w:rsidRPr="4EA94CC4">
        <w:rPr>
          <w:rFonts w:ascii="Century Gothic" w:hAnsi="Century Gothic"/>
        </w:rPr>
        <w:t>per</w:t>
      </w:r>
      <w:proofErr w:type="gramEnd"/>
      <w:r w:rsidRPr="4EA94CC4">
        <w:rPr>
          <w:rFonts w:ascii="Century Gothic" w:hAnsi="Century Gothic"/>
        </w:rPr>
        <w:t xml:space="preserve"> certification.  </w:t>
      </w:r>
      <w:r w:rsidRPr="7D8DAC21">
        <w:rPr>
          <w:rFonts w:ascii="Century Gothic" w:hAnsi="Century Gothic"/>
        </w:rPr>
        <w:t xml:space="preserve">Post FY2014, the average time to complete a recertification was reduced to 2.3 hours.   </w:t>
      </w:r>
    </w:p>
    <w:p w14:paraId="65CD2052" w14:textId="77777777" w:rsidR="00642D37" w:rsidRPr="00B6032F" w:rsidRDefault="00642D37" w:rsidP="4C4F5E4A">
      <w:pPr>
        <w:rPr>
          <w:rFonts w:ascii="Century Gothic" w:hAnsi="Century Gothic"/>
          <w:szCs w:val="22"/>
        </w:rPr>
      </w:pPr>
    </w:p>
    <w:p w14:paraId="47DCB9F8" w14:textId="0158DB46" w:rsidR="008C3218" w:rsidRPr="00B6032F" w:rsidRDefault="00484ADB" w:rsidP="4C4F5E4A">
      <w:pPr>
        <w:rPr>
          <w:rFonts w:ascii="Century Gothic" w:hAnsi="Century Gothic"/>
        </w:rPr>
      </w:pPr>
      <w:r>
        <w:rPr>
          <w:rFonts w:ascii="Century Gothic" w:hAnsi="Century Gothic"/>
        </w:rPr>
        <w:t>T</w:t>
      </w:r>
      <w:r w:rsidR="00FF1192">
        <w:rPr>
          <w:rFonts w:ascii="Century Gothic" w:hAnsi="Century Gothic"/>
        </w:rPr>
        <w:t>here</w:t>
      </w:r>
      <w:r w:rsidR="6F6DE3A8" w:rsidRPr="10085930">
        <w:rPr>
          <w:rFonts w:ascii="Century Gothic" w:hAnsi="Century Gothic"/>
        </w:rPr>
        <w:t xml:space="preserve"> </w:t>
      </w:r>
      <w:r>
        <w:rPr>
          <w:rFonts w:ascii="Century Gothic" w:hAnsi="Century Gothic"/>
        </w:rPr>
        <w:t xml:space="preserve">was </w:t>
      </w:r>
      <w:r w:rsidR="288DB186" w:rsidRPr="10085930">
        <w:rPr>
          <w:rFonts w:ascii="Century Gothic" w:hAnsi="Century Gothic"/>
        </w:rPr>
        <w:t xml:space="preserve">a </w:t>
      </w:r>
      <w:r w:rsidRPr="00473DB2">
        <w:rPr>
          <w:rFonts w:ascii="Century Gothic" w:hAnsi="Century Gothic"/>
        </w:rPr>
        <w:t>29</w:t>
      </w:r>
      <w:r w:rsidR="288DB186" w:rsidRPr="00473DB2">
        <w:rPr>
          <w:rFonts w:ascii="Century Gothic" w:hAnsi="Century Gothic"/>
        </w:rPr>
        <w:t>% reduction in staff time</w:t>
      </w:r>
      <w:r w:rsidR="784EAD76" w:rsidRPr="00473DB2">
        <w:rPr>
          <w:rFonts w:ascii="Century Gothic" w:hAnsi="Century Gothic"/>
        </w:rPr>
        <w:t xml:space="preserve"> </w:t>
      </w:r>
      <w:r w:rsidR="5DECAEA1" w:rsidRPr="00473DB2">
        <w:rPr>
          <w:rFonts w:ascii="Century Gothic" w:hAnsi="Century Gothic"/>
        </w:rPr>
        <w:t xml:space="preserve">to process a recertification, </w:t>
      </w:r>
      <w:r w:rsidR="00FF1192" w:rsidRPr="00473DB2">
        <w:rPr>
          <w:rFonts w:ascii="Century Gothic" w:hAnsi="Century Gothic"/>
        </w:rPr>
        <w:t xml:space="preserve">from </w:t>
      </w:r>
      <w:r w:rsidR="784EAD76" w:rsidRPr="00473DB2">
        <w:rPr>
          <w:rFonts w:ascii="Century Gothic" w:hAnsi="Century Gothic"/>
        </w:rPr>
        <w:t xml:space="preserve">12,238 </w:t>
      </w:r>
      <w:r w:rsidR="00DE6180" w:rsidRPr="00473DB2">
        <w:rPr>
          <w:rFonts w:ascii="Century Gothic" w:hAnsi="Century Gothic"/>
        </w:rPr>
        <w:t xml:space="preserve">hours </w:t>
      </w:r>
      <w:r w:rsidR="1C41D6F5" w:rsidRPr="00473DB2">
        <w:rPr>
          <w:rFonts w:ascii="Century Gothic" w:hAnsi="Century Gothic"/>
        </w:rPr>
        <w:t xml:space="preserve">at </w:t>
      </w:r>
      <w:r w:rsidR="784EAD76" w:rsidRPr="00473DB2">
        <w:rPr>
          <w:rFonts w:ascii="Century Gothic" w:hAnsi="Century Gothic"/>
        </w:rPr>
        <w:t xml:space="preserve">baseline to </w:t>
      </w:r>
      <w:r w:rsidR="00FA5D84" w:rsidRPr="00473DB2">
        <w:rPr>
          <w:rFonts w:ascii="Century Gothic" w:hAnsi="Century Gothic"/>
        </w:rPr>
        <w:t>8,705</w:t>
      </w:r>
      <w:r w:rsidR="00DE6180" w:rsidRPr="00473DB2">
        <w:rPr>
          <w:rFonts w:ascii="Century Gothic" w:hAnsi="Century Gothic"/>
        </w:rPr>
        <w:t xml:space="preserve"> hours in</w:t>
      </w:r>
      <w:r w:rsidR="5A38D1E4" w:rsidRPr="00473DB2">
        <w:rPr>
          <w:rFonts w:ascii="Century Gothic" w:hAnsi="Century Gothic"/>
        </w:rPr>
        <w:t xml:space="preserve"> FY2</w:t>
      </w:r>
      <w:r w:rsidR="2A89AE72" w:rsidRPr="00473DB2">
        <w:rPr>
          <w:rFonts w:ascii="Century Gothic" w:hAnsi="Century Gothic"/>
        </w:rPr>
        <w:t>4</w:t>
      </w:r>
      <w:r w:rsidR="5A38D1E4" w:rsidRPr="00473DB2">
        <w:rPr>
          <w:rFonts w:ascii="Century Gothic" w:hAnsi="Century Gothic"/>
        </w:rPr>
        <w:t xml:space="preserve"> </w:t>
      </w:r>
      <w:r w:rsidR="685FD5E3" w:rsidRPr="00473DB2">
        <w:rPr>
          <w:rFonts w:ascii="Century Gothic" w:hAnsi="Century Gothic"/>
        </w:rPr>
        <w:t xml:space="preserve">(HCV </w:t>
      </w:r>
      <w:r w:rsidR="00ED3F9E" w:rsidRPr="00473DB2">
        <w:rPr>
          <w:rFonts w:ascii="Century Gothic" w:hAnsi="Century Gothic"/>
        </w:rPr>
        <w:t>7</w:t>
      </w:r>
      <w:r w:rsidR="00EF38E9" w:rsidRPr="00473DB2">
        <w:rPr>
          <w:rFonts w:ascii="Century Gothic" w:hAnsi="Century Gothic"/>
        </w:rPr>
        <w:t>,516</w:t>
      </w:r>
      <w:r w:rsidR="685FD5E3" w:rsidRPr="00473DB2">
        <w:rPr>
          <w:rFonts w:ascii="Century Gothic" w:hAnsi="Century Gothic"/>
        </w:rPr>
        <w:t xml:space="preserve"> </w:t>
      </w:r>
      <w:r w:rsidR="00A8767F" w:rsidRPr="00473DB2">
        <w:rPr>
          <w:rFonts w:ascii="Century Gothic" w:hAnsi="Century Gothic"/>
        </w:rPr>
        <w:t xml:space="preserve">and </w:t>
      </w:r>
      <w:r w:rsidR="61283FF9" w:rsidRPr="00473DB2">
        <w:rPr>
          <w:rFonts w:ascii="Century Gothic" w:hAnsi="Century Gothic"/>
        </w:rPr>
        <w:t>LIPH 1,</w:t>
      </w:r>
      <w:r w:rsidR="2C2F7C76" w:rsidRPr="00473DB2">
        <w:rPr>
          <w:rFonts w:ascii="Century Gothic" w:hAnsi="Century Gothic"/>
        </w:rPr>
        <w:t>189</w:t>
      </w:r>
      <w:r w:rsidR="008E45A5" w:rsidRPr="00473DB2">
        <w:rPr>
          <w:rFonts w:ascii="Century Gothic" w:hAnsi="Century Gothic"/>
        </w:rPr>
        <w:t>)</w:t>
      </w:r>
      <w:r w:rsidR="36EEF779" w:rsidRPr="00473DB2">
        <w:rPr>
          <w:rFonts w:ascii="Century Gothic" w:hAnsi="Century Gothic"/>
        </w:rPr>
        <w:t>.</w:t>
      </w:r>
      <w:r w:rsidR="7CF1E84A" w:rsidRPr="00473DB2">
        <w:rPr>
          <w:rFonts w:ascii="Century Gothic" w:hAnsi="Century Gothic"/>
        </w:rPr>
        <w:t xml:space="preserve"> </w:t>
      </w:r>
      <w:r w:rsidR="00150629" w:rsidRPr="00473DB2">
        <w:rPr>
          <w:rFonts w:ascii="Century Gothic" w:hAnsi="Century Gothic"/>
        </w:rPr>
        <w:t xml:space="preserve"> </w:t>
      </w:r>
      <w:r w:rsidR="003C07F6" w:rsidRPr="00473DB2">
        <w:rPr>
          <w:rFonts w:ascii="Century Gothic" w:hAnsi="Century Gothic"/>
        </w:rPr>
        <w:t xml:space="preserve">This </w:t>
      </w:r>
      <w:r w:rsidR="003C07F6">
        <w:rPr>
          <w:rFonts w:ascii="Century Gothic" w:hAnsi="Century Gothic"/>
        </w:rPr>
        <w:t>includes the families who are recertified annually because of tax credit rules</w:t>
      </w:r>
      <w:r w:rsidR="00E604EB">
        <w:rPr>
          <w:rFonts w:ascii="Century Gothic" w:hAnsi="Century Gothic"/>
        </w:rPr>
        <w:t>.</w:t>
      </w:r>
    </w:p>
    <w:p w14:paraId="47662CC6" w14:textId="77777777" w:rsidR="008C3218" w:rsidRPr="00B6032F" w:rsidRDefault="008C3218" w:rsidP="4C4F5E4A">
      <w:pPr>
        <w:rPr>
          <w:rFonts w:ascii="Century Gothic" w:hAnsi="Century Gothic"/>
          <w:szCs w:val="22"/>
        </w:rPr>
      </w:pPr>
    </w:p>
    <w:p w14:paraId="1ACD6061" w14:textId="2BA7A891" w:rsidR="4019F561" w:rsidRPr="00B6032F" w:rsidRDefault="7E21EBCD" w:rsidP="385C41B3">
      <w:pPr>
        <w:rPr>
          <w:rFonts w:ascii="Century Gothic" w:hAnsi="Century Gothic"/>
          <w:b/>
          <w:bCs/>
        </w:rPr>
      </w:pPr>
      <w:r w:rsidRPr="385C41B3">
        <w:rPr>
          <w:rFonts w:ascii="Century Gothic" w:hAnsi="Century Gothic"/>
          <w:b/>
          <w:bCs/>
        </w:rPr>
        <w:t>Interims</w:t>
      </w:r>
    </w:p>
    <w:p w14:paraId="642C626D" w14:textId="20A16AB7" w:rsidR="4019F561" w:rsidRPr="00B6032F" w:rsidRDefault="4019F561" w:rsidP="385C41B3">
      <w:pPr>
        <w:rPr>
          <w:rFonts w:ascii="Century Gothic" w:hAnsi="Century Gothic"/>
        </w:rPr>
      </w:pPr>
    </w:p>
    <w:p w14:paraId="7907A22B" w14:textId="46160972" w:rsidR="4019F561" w:rsidRPr="00B6032F" w:rsidRDefault="7E21EBCD" w:rsidP="385C41B3">
      <w:pPr>
        <w:rPr>
          <w:rFonts w:ascii="Century Gothic" w:eastAsia="Times New Roman" w:hAnsi="Century Gothic"/>
        </w:rPr>
      </w:pPr>
      <w:r w:rsidRPr="385C41B3">
        <w:rPr>
          <w:rFonts w:ascii="Century Gothic" w:eastAsia="Times New Roman" w:hAnsi="Century Gothic"/>
        </w:rPr>
        <w:t xml:space="preserve">In FY2007, there were 1280 interims processed.  </w:t>
      </w:r>
      <w:r w:rsidRPr="00585B92">
        <w:rPr>
          <w:rFonts w:ascii="Century Gothic" w:eastAsia="Times New Roman" w:hAnsi="Century Gothic"/>
        </w:rPr>
        <w:t>In FY2024 there were 3,019 interims processed (HCV 2,836 and LIPH 183</w:t>
      </w:r>
      <w:r w:rsidRPr="1BDB9A0A">
        <w:rPr>
          <w:rFonts w:ascii="Century Gothic" w:eastAsia="Times New Roman" w:hAnsi="Century Gothic"/>
        </w:rPr>
        <w:t xml:space="preserve">).  </w:t>
      </w:r>
      <w:r w:rsidR="478E358A" w:rsidRPr="1BDB9A0A">
        <w:rPr>
          <w:rFonts w:ascii="Century Gothic" w:eastAsia="Times New Roman" w:hAnsi="Century Gothic"/>
        </w:rPr>
        <w:t xml:space="preserve">Interims are processed </w:t>
      </w:r>
      <w:r w:rsidR="001669CB" w:rsidRPr="1BDB9A0A">
        <w:rPr>
          <w:rFonts w:ascii="Century Gothic" w:eastAsia="Times New Roman" w:hAnsi="Century Gothic"/>
        </w:rPr>
        <w:t>at the request</w:t>
      </w:r>
      <w:r w:rsidR="478E358A" w:rsidRPr="1BDB9A0A">
        <w:rPr>
          <w:rFonts w:ascii="Century Gothic" w:eastAsia="Times New Roman" w:hAnsi="Century Gothic"/>
        </w:rPr>
        <w:t xml:space="preserve"> of the family and </w:t>
      </w:r>
      <w:r w:rsidR="00D84DC0">
        <w:rPr>
          <w:rFonts w:ascii="Century Gothic" w:eastAsia="Times New Roman" w:hAnsi="Century Gothic"/>
        </w:rPr>
        <w:t>d</w:t>
      </w:r>
      <w:r w:rsidR="478E358A" w:rsidRPr="1BDB9A0A">
        <w:rPr>
          <w:rFonts w:ascii="Century Gothic" w:eastAsia="Times New Roman" w:hAnsi="Century Gothic"/>
        </w:rPr>
        <w:t>ue to a loss of income or reduction in benefit</w:t>
      </w:r>
      <w:r w:rsidR="478E358A" w:rsidRPr="453D005A">
        <w:rPr>
          <w:rFonts w:ascii="Century Gothic" w:eastAsia="Times New Roman" w:hAnsi="Century Gothic"/>
        </w:rPr>
        <w:t>.</w:t>
      </w:r>
    </w:p>
    <w:p w14:paraId="4CCDE3B3" w14:textId="50CA9C42" w:rsidR="4019F561" w:rsidRPr="00B6032F" w:rsidRDefault="4019F561" w:rsidP="4C4F5E4A">
      <w:pPr>
        <w:rPr>
          <w:rFonts w:ascii="Century Gothic" w:hAnsi="Century Gothic"/>
        </w:rPr>
      </w:pPr>
    </w:p>
    <w:p w14:paraId="42ADEDFA" w14:textId="41DC5C1F" w:rsidR="00E50E07" w:rsidRDefault="58BB4C9C" w:rsidP="4019F561">
      <w:pPr>
        <w:rPr>
          <w:rFonts w:ascii="Century Gothic" w:hAnsi="Century Gothic"/>
          <w:b/>
          <w:bCs/>
        </w:rPr>
      </w:pPr>
      <w:r w:rsidRPr="1581519F">
        <w:rPr>
          <w:rFonts w:ascii="Century Gothic" w:hAnsi="Century Gothic"/>
          <w:b/>
          <w:bCs/>
        </w:rPr>
        <w:t xml:space="preserve">Printing, </w:t>
      </w:r>
      <w:r w:rsidR="00E50E07" w:rsidRPr="00013D99">
        <w:rPr>
          <w:rFonts w:ascii="Century Gothic" w:hAnsi="Century Gothic"/>
          <w:b/>
          <w:bCs/>
        </w:rPr>
        <w:t>M</w:t>
      </w:r>
      <w:r w:rsidR="00013D99" w:rsidRPr="00013D99">
        <w:rPr>
          <w:rFonts w:ascii="Century Gothic" w:hAnsi="Century Gothic"/>
          <w:b/>
          <w:bCs/>
        </w:rPr>
        <w:t>ailing and Postage Costs</w:t>
      </w:r>
    </w:p>
    <w:p w14:paraId="21954EB7" w14:textId="77777777" w:rsidR="00013D99" w:rsidRPr="00013D99" w:rsidRDefault="00013D99" w:rsidP="4019F561">
      <w:pPr>
        <w:rPr>
          <w:rFonts w:ascii="Century Gothic" w:hAnsi="Century Gothic"/>
          <w:b/>
          <w:bCs/>
        </w:rPr>
      </w:pPr>
    </w:p>
    <w:p w14:paraId="724D88C2" w14:textId="7D4A21FC" w:rsidR="006F39EC" w:rsidRPr="00B6032F" w:rsidRDefault="456B870B" w:rsidP="4019F561">
      <w:pPr>
        <w:rPr>
          <w:rFonts w:ascii="Century Gothic" w:hAnsi="Century Gothic"/>
        </w:rPr>
      </w:pPr>
      <w:r w:rsidRPr="50DD6864">
        <w:rPr>
          <w:rFonts w:ascii="Century Gothic" w:hAnsi="Century Gothic"/>
        </w:rPr>
        <w:t xml:space="preserve">There was also a </w:t>
      </w:r>
      <w:r w:rsidR="0048420E">
        <w:rPr>
          <w:rFonts w:ascii="Century Gothic" w:hAnsi="Century Gothic"/>
        </w:rPr>
        <w:t>50</w:t>
      </w:r>
      <w:r w:rsidR="5A52D240" w:rsidRPr="28B0A6A4">
        <w:rPr>
          <w:rFonts w:ascii="Century Gothic" w:hAnsi="Century Gothic"/>
        </w:rPr>
        <w:t>%</w:t>
      </w:r>
      <w:r w:rsidR="288DB186" w:rsidRPr="50DD6864">
        <w:rPr>
          <w:rFonts w:ascii="Century Gothic" w:hAnsi="Century Gothic"/>
        </w:rPr>
        <w:t xml:space="preserve"> reduction in </w:t>
      </w:r>
      <w:r w:rsidR="1DA92ECD" w:rsidRPr="40A6D936">
        <w:rPr>
          <w:rFonts w:ascii="Century Gothic" w:hAnsi="Century Gothic"/>
        </w:rPr>
        <w:t>print</w:t>
      </w:r>
      <w:r w:rsidR="4E30B86F" w:rsidRPr="40A6D936">
        <w:rPr>
          <w:rFonts w:ascii="Century Gothic" w:hAnsi="Century Gothic"/>
        </w:rPr>
        <w:t>i</w:t>
      </w:r>
      <w:r w:rsidR="1DA92ECD" w:rsidRPr="40A6D936">
        <w:rPr>
          <w:rFonts w:ascii="Century Gothic" w:hAnsi="Century Gothic"/>
        </w:rPr>
        <w:t>ng</w:t>
      </w:r>
      <w:r w:rsidR="1DA92ECD" w:rsidRPr="1581519F">
        <w:rPr>
          <w:rFonts w:ascii="Century Gothic" w:hAnsi="Century Gothic"/>
        </w:rPr>
        <w:t xml:space="preserve">, </w:t>
      </w:r>
      <w:r w:rsidR="288DB186" w:rsidRPr="1581519F">
        <w:rPr>
          <w:rFonts w:ascii="Century Gothic" w:hAnsi="Century Gothic"/>
        </w:rPr>
        <w:t>mailing</w:t>
      </w:r>
      <w:r w:rsidR="288DB186" w:rsidRPr="50DD6864">
        <w:rPr>
          <w:rFonts w:ascii="Century Gothic" w:hAnsi="Century Gothic"/>
        </w:rPr>
        <w:t xml:space="preserve"> and postage costs</w:t>
      </w:r>
      <w:r w:rsidR="693C5A48" w:rsidRPr="50DD6864">
        <w:rPr>
          <w:rFonts w:ascii="Century Gothic" w:hAnsi="Century Gothic"/>
        </w:rPr>
        <w:t xml:space="preserve"> from baseline </w:t>
      </w:r>
      <w:r w:rsidR="2B1BE20A" w:rsidRPr="50DD6864">
        <w:rPr>
          <w:rFonts w:ascii="Century Gothic" w:hAnsi="Century Gothic"/>
        </w:rPr>
        <w:t xml:space="preserve">$26,923 </w:t>
      </w:r>
      <w:r w:rsidR="07889D28" w:rsidRPr="50DD6864">
        <w:rPr>
          <w:rFonts w:ascii="Century Gothic" w:hAnsi="Century Gothic"/>
        </w:rPr>
        <w:t>(</w:t>
      </w:r>
      <w:r w:rsidR="2B1BE20A" w:rsidRPr="50DD6864">
        <w:rPr>
          <w:rFonts w:ascii="Century Gothic" w:hAnsi="Century Gothic"/>
        </w:rPr>
        <w:t>FY07</w:t>
      </w:r>
      <w:r w:rsidR="44550BC0" w:rsidRPr="50DD6864">
        <w:rPr>
          <w:rFonts w:ascii="Century Gothic" w:hAnsi="Century Gothic"/>
        </w:rPr>
        <w:t>)</w:t>
      </w:r>
      <w:r w:rsidR="2B1BE20A" w:rsidRPr="50DD6864">
        <w:rPr>
          <w:rFonts w:ascii="Century Gothic" w:hAnsi="Century Gothic"/>
        </w:rPr>
        <w:t xml:space="preserve"> to </w:t>
      </w:r>
      <w:r w:rsidR="364FCD57" w:rsidRPr="4ADAE1E0">
        <w:rPr>
          <w:rFonts w:ascii="Century Gothic" w:hAnsi="Century Gothic"/>
        </w:rPr>
        <w:t>$</w:t>
      </w:r>
      <w:r w:rsidR="000F529F">
        <w:rPr>
          <w:rFonts w:ascii="Century Gothic" w:hAnsi="Century Gothic"/>
        </w:rPr>
        <w:t>13</w:t>
      </w:r>
      <w:r w:rsidR="00576EC5">
        <w:rPr>
          <w:rFonts w:ascii="Century Gothic" w:hAnsi="Century Gothic"/>
        </w:rPr>
        <w:t>,581</w:t>
      </w:r>
      <w:r w:rsidR="03E81431" w:rsidRPr="4ADAE1E0">
        <w:rPr>
          <w:rFonts w:ascii="Century Gothic" w:hAnsi="Century Gothic"/>
        </w:rPr>
        <w:t>(</w:t>
      </w:r>
      <w:r w:rsidR="2B1BE20A" w:rsidRPr="50DD6864">
        <w:rPr>
          <w:rFonts w:ascii="Century Gothic" w:hAnsi="Century Gothic"/>
        </w:rPr>
        <w:t>FY2</w:t>
      </w:r>
      <w:r w:rsidR="770B1056" w:rsidRPr="50DD6864">
        <w:rPr>
          <w:rFonts w:ascii="Century Gothic" w:hAnsi="Century Gothic"/>
        </w:rPr>
        <w:t>4</w:t>
      </w:r>
      <w:r w:rsidR="3D557E57" w:rsidRPr="50DD6864">
        <w:rPr>
          <w:rFonts w:ascii="Century Gothic" w:hAnsi="Century Gothic"/>
        </w:rPr>
        <w:t>)</w:t>
      </w:r>
      <w:r w:rsidR="622D5883" w:rsidRPr="50DD6864">
        <w:rPr>
          <w:rFonts w:ascii="Century Gothic" w:hAnsi="Century Gothic"/>
        </w:rPr>
        <w:t>.</w:t>
      </w:r>
      <w:r w:rsidR="7E1DDAEA" w:rsidRPr="50DD6864">
        <w:rPr>
          <w:rFonts w:ascii="Century Gothic" w:hAnsi="Century Gothic"/>
        </w:rPr>
        <w:t xml:space="preserve"> </w:t>
      </w:r>
      <w:r w:rsidR="00536307">
        <w:rPr>
          <w:rFonts w:ascii="Century Gothic" w:hAnsi="Century Gothic"/>
        </w:rPr>
        <w:t>(</w:t>
      </w:r>
      <w:r w:rsidR="1B236FED" w:rsidRPr="215B38C1">
        <w:rPr>
          <w:rFonts w:ascii="Century Gothic" w:hAnsi="Century Gothic"/>
        </w:rPr>
        <w:t>$</w:t>
      </w:r>
      <w:r w:rsidR="000F529F">
        <w:rPr>
          <w:rFonts w:ascii="Century Gothic" w:hAnsi="Century Gothic"/>
        </w:rPr>
        <w:t>12,190</w:t>
      </w:r>
      <w:r w:rsidR="1B236FED" w:rsidRPr="215B38C1">
        <w:rPr>
          <w:rFonts w:ascii="Century Gothic" w:hAnsi="Century Gothic"/>
        </w:rPr>
        <w:t xml:space="preserve"> (HCV) $1</w:t>
      </w:r>
      <w:r w:rsidR="00BF11F1">
        <w:rPr>
          <w:rFonts w:ascii="Century Gothic" w:hAnsi="Century Gothic"/>
        </w:rPr>
        <w:t>,</w:t>
      </w:r>
      <w:r w:rsidR="1B236FED" w:rsidRPr="215B38C1">
        <w:rPr>
          <w:rFonts w:ascii="Century Gothic" w:hAnsi="Century Gothic"/>
        </w:rPr>
        <w:t>391(LIPH)</w:t>
      </w:r>
    </w:p>
    <w:p w14:paraId="4A159714" w14:textId="77777777" w:rsidR="006F39EC" w:rsidRPr="00B6032F" w:rsidRDefault="006F39EC" w:rsidP="4019F561">
      <w:pPr>
        <w:rPr>
          <w:rFonts w:ascii="Century Gothic" w:hAnsi="Century Gothic"/>
          <w:szCs w:val="22"/>
        </w:rPr>
      </w:pPr>
    </w:p>
    <w:p w14:paraId="0B99EC65" w14:textId="6AC6E33F" w:rsidR="00860B07" w:rsidRDefault="00ED7B01" w:rsidP="4019F561">
      <w:pPr>
        <w:rPr>
          <w:rFonts w:ascii="Century Gothic" w:hAnsi="Century Gothic"/>
        </w:rPr>
      </w:pPr>
      <w:r>
        <w:rPr>
          <w:rFonts w:ascii="Century Gothic" w:hAnsi="Century Gothic"/>
        </w:rPr>
        <w:t>A</w:t>
      </w:r>
      <w:r w:rsidR="7E1DDAEA" w:rsidRPr="7EEA40A4">
        <w:rPr>
          <w:rFonts w:ascii="Century Gothic" w:hAnsi="Century Gothic"/>
        </w:rPr>
        <w:t>djusting for inflation</w:t>
      </w:r>
      <w:r>
        <w:rPr>
          <w:rFonts w:ascii="Century Gothic" w:hAnsi="Century Gothic"/>
        </w:rPr>
        <w:t xml:space="preserve">, the baseline would </w:t>
      </w:r>
      <w:r w:rsidR="001669CB">
        <w:rPr>
          <w:rFonts w:ascii="Century Gothic" w:hAnsi="Century Gothic"/>
        </w:rPr>
        <w:t>be</w:t>
      </w:r>
      <w:r>
        <w:rPr>
          <w:rFonts w:ascii="Century Gothic" w:hAnsi="Century Gothic"/>
        </w:rPr>
        <w:t xml:space="preserve"> </w:t>
      </w:r>
      <w:r w:rsidR="00C86A76">
        <w:rPr>
          <w:rFonts w:ascii="Century Gothic" w:hAnsi="Century Gothic"/>
        </w:rPr>
        <w:t>$40,629 and the benchmark would have</w:t>
      </w:r>
      <w:r w:rsidR="00FF508C">
        <w:rPr>
          <w:rFonts w:ascii="Century Gothic" w:hAnsi="Century Gothic"/>
        </w:rPr>
        <w:t xml:space="preserve"> been $20,478</w:t>
      </w:r>
      <w:r w:rsidR="361AEF46" w:rsidRPr="7EEA40A4">
        <w:rPr>
          <w:rFonts w:ascii="Century Gothic" w:hAnsi="Century Gothic"/>
        </w:rPr>
        <w:t xml:space="preserve">.  </w:t>
      </w:r>
    </w:p>
    <w:p w14:paraId="4DD3E216" w14:textId="77777777" w:rsidR="001669CB" w:rsidRDefault="001669CB" w:rsidP="4019F561">
      <w:pPr>
        <w:rPr>
          <w:rFonts w:ascii="Century Gothic" w:hAnsi="Century Gothic"/>
        </w:rPr>
      </w:pPr>
    </w:p>
    <w:p w14:paraId="481AC74E" w14:textId="6113AC3A" w:rsidR="4019F561" w:rsidRDefault="00023F37" w:rsidP="4019F561">
      <w:pPr>
        <w:rPr>
          <w:rFonts w:ascii="Century Gothic" w:hAnsi="Century Gothic"/>
        </w:rPr>
      </w:pPr>
      <w:r w:rsidRPr="7EEA40A4">
        <w:rPr>
          <w:rFonts w:ascii="Century Gothic" w:hAnsi="Century Gothic"/>
        </w:rPr>
        <w:t xml:space="preserve">In FY 2007, the per certification mailing cost was $5.40.  </w:t>
      </w:r>
      <w:r w:rsidR="361AEF46" w:rsidRPr="7EEA40A4">
        <w:rPr>
          <w:rFonts w:ascii="Century Gothic" w:hAnsi="Century Gothic"/>
        </w:rPr>
        <w:t>With rent simpli</w:t>
      </w:r>
      <w:r w:rsidR="5419FEE5" w:rsidRPr="7EEA40A4">
        <w:rPr>
          <w:rFonts w:ascii="Century Gothic" w:hAnsi="Century Gothic"/>
        </w:rPr>
        <w:t>fi</w:t>
      </w:r>
      <w:r w:rsidR="361AEF46" w:rsidRPr="7EEA40A4">
        <w:rPr>
          <w:rFonts w:ascii="Century Gothic" w:hAnsi="Century Gothic"/>
        </w:rPr>
        <w:t>cation, ECC</w:t>
      </w:r>
      <w:r w:rsidR="217FEC3F" w:rsidRPr="7EEA40A4">
        <w:rPr>
          <w:rFonts w:ascii="Century Gothic" w:hAnsi="Century Gothic"/>
        </w:rPr>
        <w:t>/HANH</w:t>
      </w:r>
      <w:r w:rsidR="361AEF46" w:rsidRPr="7EEA40A4">
        <w:rPr>
          <w:rFonts w:ascii="Century Gothic" w:hAnsi="Century Gothic"/>
        </w:rPr>
        <w:t xml:space="preserve"> has reduced the mailing cost to $3.73 </w:t>
      </w:r>
      <w:r w:rsidR="18857EB7" w:rsidRPr="7EEA40A4">
        <w:rPr>
          <w:rFonts w:ascii="Century Gothic" w:hAnsi="Century Gothic"/>
        </w:rPr>
        <w:t>(HCV) and $2.69 (LIPH)</w:t>
      </w:r>
      <w:r w:rsidR="361AEF46" w:rsidRPr="7EEA40A4">
        <w:rPr>
          <w:rFonts w:ascii="Century Gothic" w:hAnsi="Century Gothic"/>
        </w:rPr>
        <w:t xml:space="preserve"> per certification</w:t>
      </w:r>
      <w:r w:rsidR="0024267A">
        <w:rPr>
          <w:rFonts w:ascii="Century Gothic" w:hAnsi="Century Gothic"/>
        </w:rPr>
        <w:t>.</w:t>
      </w:r>
      <w:r w:rsidR="361AEF46" w:rsidRPr="7EEA40A4">
        <w:rPr>
          <w:rFonts w:ascii="Century Gothic" w:hAnsi="Century Gothic"/>
        </w:rPr>
        <w:t xml:space="preserve"> </w:t>
      </w:r>
    </w:p>
    <w:p w14:paraId="38E0AFEC" w14:textId="77777777" w:rsidR="00354B35" w:rsidRDefault="00354B35" w:rsidP="4019F561">
      <w:pPr>
        <w:rPr>
          <w:rFonts w:ascii="Century Gothic" w:hAnsi="Century Gothic"/>
        </w:rPr>
      </w:pPr>
    </w:p>
    <w:bookmarkEnd w:id="166"/>
    <w:p w14:paraId="5880CEC3" w14:textId="09738F5C" w:rsidR="00EC5276" w:rsidRPr="00B6032F" w:rsidRDefault="580CAF7E" w:rsidP="4566E4F4">
      <w:pPr>
        <w:rPr>
          <w:rFonts w:ascii="Century Gothic" w:hAnsi="Century Gothic"/>
        </w:rPr>
      </w:pPr>
      <w:r w:rsidRPr="7D8DAC21">
        <w:rPr>
          <w:rFonts w:ascii="Century Gothic" w:hAnsi="Century Gothic"/>
        </w:rPr>
        <w:t xml:space="preserve">ECC/HANH anticipates that cost decreasing </w:t>
      </w:r>
      <w:r w:rsidR="2423DEEA" w:rsidRPr="7D8DAC21">
        <w:rPr>
          <w:rFonts w:ascii="Century Gothic" w:hAnsi="Century Gothic"/>
        </w:rPr>
        <w:t xml:space="preserve">further </w:t>
      </w:r>
      <w:r w:rsidRPr="7D8DAC21">
        <w:rPr>
          <w:rFonts w:ascii="Century Gothic" w:hAnsi="Century Gothic"/>
        </w:rPr>
        <w:t xml:space="preserve">as we implement </w:t>
      </w:r>
      <w:r w:rsidR="6DC76306" w:rsidRPr="7D8DAC21">
        <w:rPr>
          <w:rFonts w:ascii="Century Gothic" w:hAnsi="Century Gothic"/>
        </w:rPr>
        <w:t>a</w:t>
      </w:r>
      <w:r w:rsidRPr="7D8DAC21">
        <w:rPr>
          <w:rFonts w:ascii="Century Gothic" w:hAnsi="Century Gothic"/>
        </w:rPr>
        <w:t>n online portal for the processing of recertifications for famil</w:t>
      </w:r>
      <w:r w:rsidR="50C902CE" w:rsidRPr="7D8DAC21">
        <w:rPr>
          <w:rFonts w:ascii="Century Gothic" w:hAnsi="Century Gothic"/>
        </w:rPr>
        <w:t>i</w:t>
      </w:r>
      <w:r w:rsidRPr="7D8DAC21">
        <w:rPr>
          <w:rFonts w:ascii="Century Gothic" w:hAnsi="Century Gothic"/>
        </w:rPr>
        <w:t xml:space="preserve">es. That will reduce the </w:t>
      </w:r>
      <w:r w:rsidR="3ABB7735" w:rsidRPr="7D8DAC21">
        <w:rPr>
          <w:rFonts w:ascii="Century Gothic" w:hAnsi="Century Gothic"/>
        </w:rPr>
        <w:t>printing and postage cost for mailing packets.</w:t>
      </w:r>
    </w:p>
    <w:p w14:paraId="66E3F9E2" w14:textId="623215E1" w:rsidR="00EC5276" w:rsidRPr="00B6032F" w:rsidRDefault="00EC5276" w:rsidP="4566E4F4">
      <w:pPr>
        <w:rPr>
          <w:rFonts w:ascii="Century Gothic" w:eastAsia="MS PGothic" w:hAnsi="Century Gothic"/>
          <w:szCs w:val="22"/>
        </w:rPr>
      </w:pPr>
    </w:p>
    <w:p w14:paraId="0F7CA062" w14:textId="01D4C204" w:rsidR="00EC5276" w:rsidRPr="00B6032F" w:rsidRDefault="30AB78AE" w:rsidP="46B3BF7C">
      <w:pPr>
        <w:rPr>
          <w:rFonts w:ascii="Century Gothic" w:eastAsia="Times New Roman" w:hAnsi="Century Gothic"/>
          <w:szCs w:val="22"/>
        </w:rPr>
      </w:pPr>
      <w:r w:rsidRPr="00B6032F">
        <w:rPr>
          <w:rFonts w:ascii="Century Gothic" w:eastAsia="Times New Roman" w:hAnsi="Century Gothic"/>
          <w:szCs w:val="22"/>
        </w:rPr>
        <w:t xml:space="preserve">The biennial/triennial recertification process has reduced the </w:t>
      </w:r>
      <w:proofErr w:type="gramStart"/>
      <w:r w:rsidRPr="00B6032F">
        <w:rPr>
          <w:rFonts w:ascii="Century Gothic" w:eastAsia="Times New Roman" w:hAnsi="Century Gothic"/>
          <w:szCs w:val="22"/>
        </w:rPr>
        <w:t>required staff</w:t>
      </w:r>
      <w:proofErr w:type="gramEnd"/>
      <w:r w:rsidRPr="00B6032F">
        <w:rPr>
          <w:rFonts w:ascii="Century Gothic" w:eastAsia="Times New Roman" w:hAnsi="Century Gothic"/>
          <w:szCs w:val="22"/>
        </w:rPr>
        <w:t xml:space="preserve"> </w:t>
      </w:r>
      <w:proofErr w:type="gramStart"/>
      <w:r w:rsidRPr="00B6032F">
        <w:rPr>
          <w:rFonts w:ascii="Century Gothic" w:eastAsia="Times New Roman" w:hAnsi="Century Gothic"/>
          <w:szCs w:val="22"/>
        </w:rPr>
        <w:t>time</w:t>
      </w:r>
      <w:proofErr w:type="gramEnd"/>
      <w:r w:rsidRPr="00B6032F">
        <w:rPr>
          <w:rFonts w:ascii="Century Gothic" w:eastAsia="Times New Roman" w:hAnsi="Century Gothic"/>
          <w:szCs w:val="22"/>
        </w:rPr>
        <w:t xml:space="preserve"> to process the recertifications, reduced the burden for residents and participants from having to recertify annually and having to provide documentation for every dollar expense for deductions, </w:t>
      </w:r>
      <w:r w:rsidR="22B3300E" w:rsidRPr="00B6032F">
        <w:rPr>
          <w:rFonts w:ascii="Century Gothic" w:eastAsia="Times New Roman" w:hAnsi="Century Gothic"/>
          <w:szCs w:val="22"/>
        </w:rPr>
        <w:t>and has</w:t>
      </w:r>
      <w:r w:rsidRPr="00B6032F">
        <w:rPr>
          <w:rFonts w:ascii="Century Gothic" w:eastAsia="Times New Roman" w:hAnsi="Century Gothic"/>
          <w:szCs w:val="22"/>
        </w:rPr>
        <w:t xml:space="preserve"> allowed families to save money for any increase in wages in between recertification cycles.</w:t>
      </w:r>
    </w:p>
    <w:p w14:paraId="6FB26625" w14:textId="77777777" w:rsidR="008C3218" w:rsidRPr="00B6032F" w:rsidRDefault="008C3218" w:rsidP="46B3BF7C">
      <w:pPr>
        <w:rPr>
          <w:rFonts w:ascii="Century Gothic" w:eastAsia="Times New Roman" w:hAnsi="Century Gothic"/>
          <w:szCs w:val="22"/>
        </w:rPr>
      </w:pPr>
    </w:p>
    <w:p w14:paraId="36FFF6FE" w14:textId="1FC4D215" w:rsidR="008C3218" w:rsidRPr="00B6032F" w:rsidRDefault="008C3218" w:rsidP="4566E4F4">
      <w:pPr>
        <w:rPr>
          <w:rFonts w:ascii="Century Gothic" w:eastAsia="Times New Roman" w:hAnsi="Century Gothic"/>
        </w:rPr>
      </w:pPr>
    </w:p>
    <w:p w14:paraId="4787C9D3" w14:textId="5E6A81BC" w:rsidR="00EC5276" w:rsidRPr="00B6032F" w:rsidRDefault="47B7B88C" w:rsidP="4566E4F4">
      <w:pPr>
        <w:rPr>
          <w:rFonts w:ascii="Century Gothic" w:eastAsia="MS PGothic" w:hAnsi="Century Gothic"/>
          <w:szCs w:val="22"/>
        </w:rPr>
      </w:pPr>
      <w:r w:rsidRPr="00B6032F">
        <w:rPr>
          <w:rFonts w:ascii="Century Gothic" w:hAnsi="Century Gothic"/>
          <w:b/>
          <w:bCs/>
          <w:szCs w:val="22"/>
        </w:rPr>
        <w:t>Minimum rent</w:t>
      </w:r>
      <w:r w:rsidRPr="00B6032F">
        <w:rPr>
          <w:rFonts w:ascii="Century Gothic" w:hAnsi="Century Gothic"/>
          <w:szCs w:val="22"/>
        </w:rPr>
        <w:t xml:space="preserve">. </w:t>
      </w:r>
    </w:p>
    <w:p w14:paraId="2819F81D" w14:textId="45C1D84D" w:rsidR="00EC5276" w:rsidRPr="00B6032F" w:rsidRDefault="00EC5276" w:rsidP="4566E4F4">
      <w:pPr>
        <w:rPr>
          <w:rFonts w:ascii="Century Gothic" w:eastAsia="Times New Roman" w:hAnsi="Century Gothic"/>
          <w:szCs w:val="22"/>
        </w:rPr>
      </w:pPr>
    </w:p>
    <w:p w14:paraId="62477BCC" w14:textId="5D30FF28" w:rsidR="00EC5276" w:rsidRPr="00B6032F" w:rsidRDefault="3A743990" w:rsidP="48C3AAEF">
      <w:pPr>
        <w:rPr>
          <w:rFonts w:ascii="Century Gothic" w:eastAsia="Times New Roman" w:hAnsi="Century Gothic"/>
        </w:rPr>
      </w:pPr>
      <w:r w:rsidRPr="78D92BD4">
        <w:rPr>
          <w:rFonts w:ascii="Century Gothic" w:eastAsia="Times New Roman" w:hAnsi="Century Gothic"/>
        </w:rPr>
        <w:t xml:space="preserve">ECC/HANH established a minimum rent of $50 with the expectation that everyone </w:t>
      </w:r>
      <w:proofErr w:type="gramStart"/>
      <w:r w:rsidRPr="78D92BD4">
        <w:rPr>
          <w:rFonts w:ascii="Century Gothic" w:eastAsia="Times New Roman" w:hAnsi="Century Gothic"/>
        </w:rPr>
        <w:t>pays</w:t>
      </w:r>
      <w:proofErr w:type="gramEnd"/>
      <w:r w:rsidRPr="78D92BD4">
        <w:rPr>
          <w:rFonts w:ascii="Century Gothic" w:eastAsia="Times New Roman" w:hAnsi="Century Gothic"/>
        </w:rPr>
        <w:t xml:space="preserve"> something for housing. Residents who are unable to pay the minimum rent of $50 can request a hardship exemption for $0 rent. </w:t>
      </w:r>
    </w:p>
    <w:p w14:paraId="49E2D038" w14:textId="564B4248" w:rsidR="00EC5276" w:rsidRPr="00B6032F" w:rsidRDefault="00EC5276" w:rsidP="48C3AAEF">
      <w:pPr>
        <w:rPr>
          <w:rFonts w:ascii="Century Gothic" w:eastAsia="Times New Roman" w:hAnsi="Century Gothic"/>
        </w:rPr>
      </w:pPr>
    </w:p>
    <w:p w14:paraId="21734196" w14:textId="2F96026F" w:rsidR="00EC5276" w:rsidRPr="00B6032F" w:rsidRDefault="3A743990" w:rsidP="4566E4F4">
      <w:pPr>
        <w:rPr>
          <w:rFonts w:ascii="Century Gothic" w:eastAsia="Times New Roman" w:hAnsi="Century Gothic"/>
        </w:rPr>
      </w:pPr>
      <w:r w:rsidRPr="78D92BD4">
        <w:rPr>
          <w:rFonts w:ascii="Century Gothic" w:eastAsia="Times New Roman" w:hAnsi="Century Gothic"/>
        </w:rPr>
        <w:t xml:space="preserve">These individuals meet with </w:t>
      </w:r>
      <w:r w:rsidR="3F086F01" w:rsidRPr="78D92BD4">
        <w:rPr>
          <w:rFonts w:ascii="Century Gothic" w:eastAsia="Times New Roman" w:hAnsi="Century Gothic"/>
        </w:rPr>
        <w:t xml:space="preserve">the </w:t>
      </w:r>
      <w:r w:rsidRPr="78D92BD4">
        <w:rPr>
          <w:rFonts w:ascii="Century Gothic" w:eastAsia="Times New Roman" w:hAnsi="Century Gothic"/>
        </w:rPr>
        <w:t xml:space="preserve">ECC/HANH Hardship Committee to determine the nature and length of the </w:t>
      </w:r>
      <w:r w:rsidR="00A14F96" w:rsidRPr="78D92BD4">
        <w:rPr>
          <w:rFonts w:ascii="Century Gothic" w:eastAsia="Times New Roman" w:hAnsi="Century Gothic"/>
        </w:rPr>
        <w:t>hardship,</w:t>
      </w:r>
      <w:r w:rsidRPr="78D92BD4">
        <w:rPr>
          <w:rFonts w:ascii="Century Gothic" w:eastAsia="Times New Roman" w:hAnsi="Century Gothic"/>
        </w:rPr>
        <w:t xml:space="preserve"> and their rent is then modified accordingly based on the information collected. To </w:t>
      </w:r>
      <w:r w:rsidR="589763AF" w:rsidRPr="00A261BA">
        <w:rPr>
          <w:rFonts w:ascii="Century Gothic" w:eastAsia="Times New Roman" w:hAnsi="Century Gothic"/>
        </w:rPr>
        <w:t>assist</w:t>
      </w:r>
      <w:r w:rsidRPr="78D92BD4">
        <w:rPr>
          <w:rFonts w:ascii="Century Gothic" w:eastAsia="Times New Roman" w:hAnsi="Century Gothic"/>
        </w:rPr>
        <w:t xml:space="preserve"> these residents </w:t>
      </w:r>
      <w:r w:rsidR="0D40E21A" w:rsidRPr="00A261BA">
        <w:rPr>
          <w:rFonts w:ascii="Century Gothic" w:eastAsia="Times New Roman" w:hAnsi="Century Gothic"/>
        </w:rPr>
        <w:t>in achieving</w:t>
      </w:r>
      <w:r w:rsidRPr="78D92BD4">
        <w:rPr>
          <w:rFonts w:ascii="Century Gothic" w:eastAsia="Times New Roman" w:hAnsi="Century Gothic"/>
        </w:rPr>
        <w:t xml:space="preserve"> self-sufficiency, they are referred to the Family Self-Sufficiency program</w:t>
      </w:r>
      <w:r w:rsidR="7393F554" w:rsidRPr="00A261BA">
        <w:rPr>
          <w:rFonts w:ascii="Century Gothic" w:eastAsia="Times New Roman" w:hAnsi="Century Gothic"/>
        </w:rPr>
        <w:t>,</w:t>
      </w:r>
      <w:r w:rsidRPr="78D92BD4">
        <w:rPr>
          <w:rFonts w:ascii="Century Gothic" w:eastAsia="Times New Roman" w:hAnsi="Century Gothic"/>
        </w:rPr>
        <w:t xml:space="preserve"> if the adult household member is non-elderly/non-disabled.</w:t>
      </w:r>
    </w:p>
    <w:p w14:paraId="659CE396" w14:textId="083DD878" w:rsidR="00EC5276" w:rsidRPr="00B6032F" w:rsidRDefault="00EC5276" w:rsidP="4566E4F4">
      <w:pPr>
        <w:rPr>
          <w:rFonts w:ascii="Century Gothic" w:eastAsia="MS PGothic" w:hAnsi="Century Gothic"/>
          <w:szCs w:val="22"/>
        </w:rPr>
      </w:pPr>
    </w:p>
    <w:p w14:paraId="1F0539A6" w14:textId="249494E7" w:rsidR="002F171D" w:rsidRDefault="15FEE42D" w:rsidP="4566E4F4">
      <w:pPr>
        <w:rPr>
          <w:rFonts w:ascii="Century Gothic" w:hAnsi="Century Gothic"/>
        </w:rPr>
      </w:pPr>
      <w:r w:rsidRPr="38BC5A14">
        <w:rPr>
          <w:rFonts w:ascii="Century Gothic" w:hAnsi="Century Gothic"/>
        </w:rPr>
        <w:lastRenderedPageBreak/>
        <w:t xml:space="preserve">In </w:t>
      </w:r>
      <w:r w:rsidRPr="3DE52C58">
        <w:rPr>
          <w:rFonts w:ascii="Century Gothic" w:hAnsi="Century Gothic"/>
        </w:rPr>
        <w:t>FY</w:t>
      </w:r>
      <w:r w:rsidR="4FAF563B" w:rsidRPr="3DE52C58">
        <w:rPr>
          <w:rFonts w:ascii="Century Gothic" w:hAnsi="Century Gothic"/>
        </w:rPr>
        <w:t>2</w:t>
      </w:r>
      <w:r w:rsidR="1D617B74" w:rsidRPr="3DE52C58">
        <w:rPr>
          <w:rFonts w:ascii="Century Gothic" w:hAnsi="Century Gothic"/>
        </w:rPr>
        <w:t>02</w:t>
      </w:r>
      <w:r w:rsidR="72A79A6B" w:rsidRPr="3DE52C58">
        <w:rPr>
          <w:rFonts w:ascii="Century Gothic" w:hAnsi="Century Gothic"/>
        </w:rPr>
        <w:t>4</w:t>
      </w:r>
      <w:r w:rsidRPr="38BC5A14">
        <w:rPr>
          <w:rFonts w:ascii="Century Gothic" w:hAnsi="Century Gothic"/>
        </w:rPr>
        <w:t>,</w:t>
      </w:r>
      <w:r w:rsidR="00443F9C" w:rsidRPr="38BC5A14">
        <w:rPr>
          <w:rFonts w:ascii="Century Gothic" w:hAnsi="Century Gothic"/>
        </w:rPr>
        <w:t xml:space="preserve"> </w:t>
      </w:r>
      <w:r w:rsidR="6B77522F" w:rsidRPr="38BC5A14">
        <w:rPr>
          <w:rFonts w:ascii="Century Gothic" w:hAnsi="Century Gothic"/>
        </w:rPr>
        <w:t>191</w:t>
      </w:r>
      <w:r w:rsidR="2FF77241" w:rsidRPr="38BC5A14">
        <w:rPr>
          <w:rFonts w:ascii="Century Gothic" w:hAnsi="Century Gothic"/>
        </w:rPr>
        <w:t>applications</w:t>
      </w:r>
      <w:r w:rsidRPr="38BC5A14">
        <w:rPr>
          <w:rFonts w:ascii="Century Gothic" w:hAnsi="Century Gothic"/>
        </w:rPr>
        <w:t xml:space="preserve"> </w:t>
      </w:r>
      <w:r w:rsidR="6456B412" w:rsidRPr="38BC5A14">
        <w:rPr>
          <w:rFonts w:ascii="Century Gothic" w:hAnsi="Century Gothic"/>
        </w:rPr>
        <w:t xml:space="preserve">for a hardship exemption to $0 rent </w:t>
      </w:r>
      <w:r w:rsidRPr="38BC5A14">
        <w:rPr>
          <w:rFonts w:ascii="Century Gothic" w:hAnsi="Century Gothic"/>
        </w:rPr>
        <w:t xml:space="preserve">were received and </w:t>
      </w:r>
      <w:r w:rsidR="4782EFBF" w:rsidRPr="38BC5A14">
        <w:rPr>
          <w:rFonts w:ascii="Century Gothic" w:hAnsi="Century Gothic"/>
        </w:rPr>
        <w:t>all</w:t>
      </w:r>
      <w:r w:rsidR="4C70156F" w:rsidRPr="38BC5A14">
        <w:rPr>
          <w:rFonts w:ascii="Century Gothic" w:hAnsi="Century Gothic"/>
        </w:rPr>
        <w:t xml:space="preserve"> </w:t>
      </w:r>
      <w:r w:rsidR="6BFCD1EA" w:rsidRPr="38BC5A14">
        <w:rPr>
          <w:rFonts w:ascii="Century Gothic" w:hAnsi="Century Gothic"/>
        </w:rPr>
        <w:t>(</w:t>
      </w:r>
      <w:r w:rsidR="6D6D0845" w:rsidRPr="38BC5A14">
        <w:rPr>
          <w:rFonts w:ascii="Century Gothic" w:hAnsi="Century Gothic"/>
        </w:rPr>
        <w:t>100</w:t>
      </w:r>
      <w:r w:rsidR="4C70156F" w:rsidRPr="38BC5A14">
        <w:rPr>
          <w:rFonts w:ascii="Century Gothic" w:hAnsi="Century Gothic"/>
        </w:rPr>
        <w:t xml:space="preserve"> </w:t>
      </w:r>
      <w:r w:rsidRPr="38BC5A14">
        <w:rPr>
          <w:rFonts w:ascii="Century Gothic" w:hAnsi="Century Gothic"/>
        </w:rPr>
        <w:t xml:space="preserve">%) were approved. </w:t>
      </w:r>
    </w:p>
    <w:p w14:paraId="0806DDD5" w14:textId="77777777" w:rsidR="002F171D" w:rsidRDefault="002F171D" w:rsidP="4566E4F4">
      <w:pPr>
        <w:rPr>
          <w:rFonts w:ascii="Century Gothic" w:hAnsi="Century Gothic"/>
          <w:szCs w:val="22"/>
        </w:rPr>
      </w:pPr>
    </w:p>
    <w:p w14:paraId="5B320299" w14:textId="77F707BA" w:rsidR="00F103CB" w:rsidRPr="00B6032F" w:rsidRDefault="227CDEB3" w:rsidP="4566E4F4">
      <w:pPr>
        <w:rPr>
          <w:rFonts w:ascii="Century Gothic" w:hAnsi="Century Gothic"/>
        </w:rPr>
      </w:pPr>
      <w:r w:rsidRPr="3DE52C58">
        <w:rPr>
          <w:rFonts w:ascii="Century Gothic" w:hAnsi="Century Gothic"/>
        </w:rPr>
        <w:t xml:space="preserve">In FY2024, </w:t>
      </w:r>
      <w:r w:rsidR="240A8329" w:rsidRPr="3DE52C58">
        <w:rPr>
          <w:rFonts w:ascii="Century Gothic" w:hAnsi="Century Gothic"/>
        </w:rPr>
        <w:t>t</w:t>
      </w:r>
      <w:r w:rsidR="5D5B1ACE" w:rsidRPr="3DE52C58">
        <w:rPr>
          <w:rFonts w:ascii="Century Gothic" w:hAnsi="Century Gothic"/>
        </w:rPr>
        <w:t>here</w:t>
      </w:r>
      <w:r w:rsidR="5D5B1ACE" w:rsidRPr="7D8DAC21">
        <w:rPr>
          <w:rFonts w:ascii="Century Gothic" w:hAnsi="Century Gothic"/>
        </w:rPr>
        <w:t xml:space="preserve"> </w:t>
      </w:r>
      <w:r w:rsidR="00804C71">
        <w:rPr>
          <w:rFonts w:ascii="Century Gothic" w:hAnsi="Century Gothic"/>
        </w:rPr>
        <w:t>were</w:t>
      </w:r>
      <w:r w:rsidR="00804C71" w:rsidRPr="7D8DAC21">
        <w:rPr>
          <w:rFonts w:ascii="Century Gothic" w:hAnsi="Century Gothic"/>
        </w:rPr>
        <w:t xml:space="preserve"> </w:t>
      </w:r>
      <w:r w:rsidR="3CD5E5E4" w:rsidRPr="7D8DAC21">
        <w:rPr>
          <w:rFonts w:ascii="Century Gothic" w:hAnsi="Century Gothic"/>
        </w:rPr>
        <w:t>5</w:t>
      </w:r>
      <w:r w:rsidR="00C803A9" w:rsidRPr="7D8DAC21">
        <w:rPr>
          <w:rFonts w:ascii="Century Gothic" w:hAnsi="Century Gothic"/>
        </w:rPr>
        <w:t>51</w:t>
      </w:r>
      <w:r w:rsidR="5B15D086" w:rsidRPr="7D8DAC21">
        <w:rPr>
          <w:rFonts w:ascii="Century Gothic" w:hAnsi="Century Gothic"/>
        </w:rPr>
        <w:t xml:space="preserve"> </w:t>
      </w:r>
      <w:r w:rsidR="6D3C3BEB" w:rsidRPr="7D8DAC21">
        <w:rPr>
          <w:rFonts w:ascii="Century Gothic" w:hAnsi="Century Gothic"/>
        </w:rPr>
        <w:t>(</w:t>
      </w:r>
      <w:r w:rsidR="00E0608E" w:rsidRPr="7D8DAC21">
        <w:rPr>
          <w:rFonts w:ascii="Century Gothic" w:hAnsi="Century Gothic"/>
        </w:rPr>
        <w:t>9</w:t>
      </w:r>
      <w:r w:rsidR="6D3C3BEB" w:rsidRPr="7D8DAC21">
        <w:rPr>
          <w:rFonts w:ascii="Century Gothic" w:hAnsi="Century Gothic"/>
        </w:rPr>
        <w:t xml:space="preserve">%) </w:t>
      </w:r>
      <w:r w:rsidR="5D5B1ACE" w:rsidRPr="7D8DAC21">
        <w:rPr>
          <w:rFonts w:ascii="Century Gothic" w:hAnsi="Century Gothic"/>
        </w:rPr>
        <w:t>HCV families</w:t>
      </w:r>
      <w:r w:rsidR="7B1E08B8" w:rsidRPr="7D8DAC21">
        <w:rPr>
          <w:rFonts w:ascii="Century Gothic" w:hAnsi="Century Gothic"/>
        </w:rPr>
        <w:t xml:space="preserve"> </w:t>
      </w:r>
      <w:r w:rsidR="5D5B1ACE" w:rsidRPr="7D8DAC21">
        <w:rPr>
          <w:rFonts w:ascii="Century Gothic" w:hAnsi="Century Gothic"/>
        </w:rPr>
        <w:t>and</w:t>
      </w:r>
      <w:r w:rsidR="03865B4E" w:rsidRPr="7D8DAC21">
        <w:rPr>
          <w:rFonts w:ascii="Century Gothic" w:hAnsi="Century Gothic"/>
        </w:rPr>
        <w:t xml:space="preserve"> </w:t>
      </w:r>
      <w:r w:rsidR="00C803A9" w:rsidRPr="7D8DAC21">
        <w:rPr>
          <w:rFonts w:ascii="Century Gothic" w:hAnsi="Century Gothic"/>
        </w:rPr>
        <w:t xml:space="preserve">112 </w:t>
      </w:r>
      <w:r w:rsidR="6BF74DF7" w:rsidRPr="7D8DAC21">
        <w:rPr>
          <w:rFonts w:ascii="Century Gothic" w:hAnsi="Century Gothic"/>
        </w:rPr>
        <w:t>(</w:t>
      </w:r>
      <w:r w:rsidR="00E0608E" w:rsidRPr="7D8DAC21">
        <w:rPr>
          <w:rFonts w:ascii="Century Gothic" w:hAnsi="Century Gothic"/>
        </w:rPr>
        <w:t>2</w:t>
      </w:r>
      <w:r w:rsidR="6BF74DF7" w:rsidRPr="7D8DAC21">
        <w:rPr>
          <w:rFonts w:ascii="Century Gothic" w:hAnsi="Century Gothic"/>
        </w:rPr>
        <w:t xml:space="preserve">%) </w:t>
      </w:r>
      <w:r w:rsidR="5D5B1ACE" w:rsidRPr="7D8DAC21">
        <w:rPr>
          <w:rFonts w:ascii="Century Gothic" w:hAnsi="Century Gothic"/>
        </w:rPr>
        <w:t xml:space="preserve">LIPH families on </w:t>
      </w:r>
      <w:r w:rsidR="00758014" w:rsidRPr="7D8DAC21">
        <w:rPr>
          <w:rFonts w:ascii="Century Gothic" w:hAnsi="Century Gothic"/>
        </w:rPr>
        <w:t>either a hardship exemption</w:t>
      </w:r>
      <w:r w:rsidR="001F03C4">
        <w:rPr>
          <w:rFonts w:ascii="Century Gothic" w:hAnsi="Century Gothic"/>
        </w:rPr>
        <w:t xml:space="preserve"> ($0)</w:t>
      </w:r>
      <w:r w:rsidR="00758014" w:rsidRPr="7D8DAC21">
        <w:rPr>
          <w:rFonts w:ascii="Century Gothic" w:hAnsi="Century Gothic"/>
        </w:rPr>
        <w:t xml:space="preserve"> or minimum rent of $50.</w:t>
      </w:r>
      <w:r w:rsidR="61578DCB" w:rsidRPr="7D8DAC21">
        <w:rPr>
          <w:rFonts w:ascii="Century Gothic" w:hAnsi="Century Gothic"/>
        </w:rPr>
        <w:t xml:space="preserve">  This eq</w:t>
      </w:r>
      <w:r w:rsidR="2DD30459" w:rsidRPr="7D8DAC21">
        <w:rPr>
          <w:rFonts w:ascii="Century Gothic" w:hAnsi="Century Gothic"/>
        </w:rPr>
        <w:t>u</w:t>
      </w:r>
      <w:r w:rsidR="61578DCB" w:rsidRPr="7D8DAC21">
        <w:rPr>
          <w:rFonts w:ascii="Century Gothic" w:hAnsi="Century Gothic"/>
        </w:rPr>
        <w:t xml:space="preserve">ates to </w:t>
      </w:r>
      <w:r w:rsidR="2ECE945B" w:rsidRPr="7D8DAC21">
        <w:rPr>
          <w:rFonts w:ascii="Century Gothic" w:hAnsi="Century Gothic"/>
        </w:rPr>
        <w:t>(</w:t>
      </w:r>
      <w:r w:rsidR="00AE7403" w:rsidRPr="7D8DAC21">
        <w:rPr>
          <w:rFonts w:ascii="Century Gothic" w:hAnsi="Century Gothic"/>
        </w:rPr>
        <w:t>663</w:t>
      </w:r>
      <w:r w:rsidR="2ECE945B" w:rsidRPr="7D8DAC21">
        <w:rPr>
          <w:rFonts w:ascii="Century Gothic" w:hAnsi="Century Gothic"/>
        </w:rPr>
        <w:t xml:space="preserve">) </w:t>
      </w:r>
      <w:r w:rsidR="55BDC93C" w:rsidRPr="7D8DAC21">
        <w:rPr>
          <w:rFonts w:ascii="Century Gothic" w:hAnsi="Century Gothic"/>
        </w:rPr>
        <w:t>1</w:t>
      </w:r>
      <w:r w:rsidR="00E0608E" w:rsidRPr="7D8DAC21">
        <w:rPr>
          <w:rFonts w:ascii="Century Gothic" w:hAnsi="Century Gothic"/>
        </w:rPr>
        <w:t>1</w:t>
      </w:r>
      <w:r w:rsidR="0552196C" w:rsidRPr="7D8DAC21">
        <w:rPr>
          <w:rFonts w:ascii="Century Gothic" w:hAnsi="Century Gothic"/>
        </w:rPr>
        <w:t xml:space="preserve"> </w:t>
      </w:r>
      <w:r w:rsidR="61578DCB" w:rsidRPr="7D8DAC21">
        <w:rPr>
          <w:rFonts w:ascii="Century Gothic" w:hAnsi="Century Gothic"/>
        </w:rPr>
        <w:t>% of the families that ECC/HANH serves</w:t>
      </w:r>
      <w:r w:rsidR="00172C36" w:rsidRPr="7D8DAC21">
        <w:rPr>
          <w:rFonts w:ascii="Century Gothic" w:hAnsi="Century Gothic"/>
        </w:rPr>
        <w:t xml:space="preserve"> (6215)</w:t>
      </w:r>
      <w:r w:rsidR="61578DCB" w:rsidRPr="7D8DAC21">
        <w:rPr>
          <w:rFonts w:ascii="Century Gothic" w:hAnsi="Century Gothic"/>
        </w:rPr>
        <w:t>.</w:t>
      </w:r>
      <w:r w:rsidR="340E0040" w:rsidRPr="7D8DAC21">
        <w:rPr>
          <w:rFonts w:ascii="Century Gothic" w:hAnsi="Century Gothic"/>
        </w:rPr>
        <w:t xml:space="preserve"> </w:t>
      </w:r>
    </w:p>
    <w:p w14:paraId="23EA86E5" w14:textId="77777777" w:rsidR="003E3C9C" w:rsidRDefault="003E3C9C" w:rsidP="145A5A95">
      <w:pPr>
        <w:rPr>
          <w:rFonts w:ascii="Century Gothic" w:eastAsia="MS PGothic" w:hAnsi="Century Gothic"/>
          <w:szCs w:val="22"/>
        </w:rPr>
      </w:pPr>
    </w:p>
    <w:p w14:paraId="5BA44890" w14:textId="77777777" w:rsidR="00685186" w:rsidRDefault="74298C3E" w:rsidP="145A5A95">
      <w:pPr>
        <w:rPr>
          <w:rFonts w:ascii="Century Gothic" w:eastAsia="MS PGothic" w:hAnsi="Century Gothic"/>
        </w:rPr>
      </w:pPr>
      <w:r w:rsidRPr="188A1EBF">
        <w:rPr>
          <w:rFonts w:ascii="Century Gothic" w:eastAsia="MS PGothic" w:hAnsi="Century Gothic"/>
        </w:rPr>
        <w:t>The FSS staff continues to work</w:t>
      </w:r>
      <w:r w:rsidR="3F2BBAEA" w:rsidRPr="188A1EBF">
        <w:rPr>
          <w:rFonts w:ascii="Century Gothic" w:eastAsia="MS PGothic" w:hAnsi="Century Gothic"/>
        </w:rPr>
        <w:t xml:space="preserve"> with the families in program</w:t>
      </w:r>
      <w:r w:rsidR="6990B5E9" w:rsidRPr="188A1EBF">
        <w:rPr>
          <w:rFonts w:ascii="Century Gothic" w:eastAsia="MS PGothic" w:hAnsi="Century Gothic"/>
        </w:rPr>
        <w:t>s</w:t>
      </w:r>
      <w:r w:rsidR="3F2BBAEA" w:rsidRPr="188A1EBF">
        <w:rPr>
          <w:rFonts w:ascii="Century Gothic" w:eastAsia="MS PGothic" w:hAnsi="Century Gothic"/>
        </w:rPr>
        <w:t xml:space="preserve"> such as job readiness, computer skills, job interviewing and GED and </w:t>
      </w:r>
      <w:r w:rsidR="3862040D" w:rsidRPr="188A1EBF">
        <w:rPr>
          <w:rFonts w:ascii="Century Gothic" w:eastAsia="MS PGothic" w:hAnsi="Century Gothic"/>
        </w:rPr>
        <w:t>higher education classes.</w:t>
      </w:r>
      <w:r w:rsidR="12C17064" w:rsidRPr="188A1EBF">
        <w:rPr>
          <w:rFonts w:ascii="Century Gothic" w:eastAsia="MS PGothic" w:hAnsi="Century Gothic"/>
        </w:rPr>
        <w:t xml:space="preserve"> </w:t>
      </w:r>
    </w:p>
    <w:p w14:paraId="34718C8F" w14:textId="77777777" w:rsidR="00685186" w:rsidRDefault="00685186" w:rsidP="145A5A95">
      <w:pPr>
        <w:rPr>
          <w:rFonts w:ascii="Century Gothic" w:eastAsia="MS PGothic" w:hAnsi="Century Gothic"/>
        </w:rPr>
      </w:pPr>
    </w:p>
    <w:p w14:paraId="2695CB5E" w14:textId="591EBFD7" w:rsidR="00EC5276" w:rsidRPr="00B6032F" w:rsidRDefault="12C17064" w:rsidP="145A5A95">
      <w:pPr>
        <w:rPr>
          <w:rFonts w:ascii="Century Gothic" w:eastAsia="MS PGothic" w:hAnsi="Century Gothic"/>
        </w:rPr>
      </w:pPr>
      <w:r w:rsidRPr="188A1EBF">
        <w:rPr>
          <w:rFonts w:ascii="Century Gothic" w:eastAsia="MS PGothic" w:hAnsi="Century Gothic"/>
        </w:rPr>
        <w:t xml:space="preserve">There were </w:t>
      </w:r>
      <w:r w:rsidR="40BBFEC9" w:rsidRPr="188A1EBF">
        <w:rPr>
          <w:rFonts w:ascii="Century Gothic" w:eastAsia="MS PGothic" w:hAnsi="Century Gothic"/>
        </w:rPr>
        <w:t xml:space="preserve">38 </w:t>
      </w:r>
      <w:r w:rsidRPr="188A1EBF">
        <w:rPr>
          <w:rFonts w:ascii="Century Gothic" w:eastAsia="MS PGothic" w:hAnsi="Century Gothic"/>
        </w:rPr>
        <w:t xml:space="preserve">new referrals to FSS in </w:t>
      </w:r>
      <w:r w:rsidRPr="64DA4792">
        <w:rPr>
          <w:rFonts w:ascii="Century Gothic" w:eastAsia="MS PGothic" w:hAnsi="Century Gothic"/>
        </w:rPr>
        <w:t>FY2</w:t>
      </w:r>
      <w:r w:rsidR="2A75B586" w:rsidRPr="64DA4792">
        <w:rPr>
          <w:rFonts w:ascii="Century Gothic" w:eastAsia="MS PGothic" w:hAnsi="Century Gothic"/>
        </w:rPr>
        <w:t>02</w:t>
      </w:r>
      <w:r w:rsidR="253159AF" w:rsidRPr="64DA4792">
        <w:rPr>
          <w:rFonts w:ascii="Century Gothic" w:eastAsia="MS PGothic" w:hAnsi="Century Gothic"/>
        </w:rPr>
        <w:t>4</w:t>
      </w:r>
      <w:r w:rsidRPr="64DA4792">
        <w:rPr>
          <w:rFonts w:ascii="Century Gothic" w:eastAsia="MS PGothic" w:hAnsi="Century Gothic"/>
        </w:rPr>
        <w:t>.</w:t>
      </w:r>
      <w:r w:rsidRPr="188A1EBF">
        <w:rPr>
          <w:rFonts w:ascii="Century Gothic" w:eastAsia="MS PGothic" w:hAnsi="Century Gothic"/>
        </w:rPr>
        <w:t xml:space="preserve">  At the end of </w:t>
      </w:r>
      <w:r w:rsidR="001669CB" w:rsidRPr="188A1EBF">
        <w:rPr>
          <w:rFonts w:ascii="Century Gothic" w:eastAsia="MS PGothic" w:hAnsi="Century Gothic"/>
        </w:rPr>
        <w:t>FY2024</w:t>
      </w:r>
      <w:r w:rsidRPr="188A1EBF">
        <w:rPr>
          <w:rFonts w:ascii="Century Gothic" w:eastAsia="MS PGothic" w:hAnsi="Century Gothic"/>
        </w:rPr>
        <w:t xml:space="preserve">, </w:t>
      </w:r>
      <w:proofErr w:type="gramStart"/>
      <w:r w:rsidR="740C6954" w:rsidRPr="188A1EBF">
        <w:rPr>
          <w:rFonts w:ascii="Century Gothic" w:eastAsia="MS PGothic" w:hAnsi="Century Gothic"/>
        </w:rPr>
        <w:t>2</w:t>
      </w:r>
      <w:r w:rsidR="187CAE17" w:rsidRPr="188A1EBF">
        <w:rPr>
          <w:rFonts w:ascii="Century Gothic" w:eastAsia="MS PGothic" w:hAnsi="Century Gothic"/>
        </w:rPr>
        <w:t xml:space="preserve"> </w:t>
      </w:r>
      <w:r w:rsidRPr="188A1EBF">
        <w:rPr>
          <w:rFonts w:ascii="Century Gothic" w:eastAsia="MS PGothic" w:hAnsi="Century Gothic"/>
        </w:rPr>
        <w:t>were</w:t>
      </w:r>
      <w:proofErr w:type="gramEnd"/>
      <w:r w:rsidRPr="188A1EBF">
        <w:rPr>
          <w:rFonts w:ascii="Century Gothic" w:eastAsia="MS PGothic" w:hAnsi="Century Gothic"/>
        </w:rPr>
        <w:t xml:space="preserve"> active participants in FSS attending various webinars and other activities offered by the FSS staff.</w:t>
      </w:r>
    </w:p>
    <w:p w14:paraId="5930F229" w14:textId="2283722E" w:rsidR="00EC5276" w:rsidRPr="00B6032F" w:rsidRDefault="00EC5276" w:rsidP="4566E4F4">
      <w:pPr>
        <w:rPr>
          <w:rFonts w:ascii="Century Gothic" w:eastAsia="MS PGothic" w:hAnsi="Century Gothic"/>
          <w:szCs w:val="22"/>
        </w:rPr>
      </w:pPr>
    </w:p>
    <w:p w14:paraId="031485DC" w14:textId="5E25D9F5" w:rsidR="223DAFFA" w:rsidRPr="00B6032F" w:rsidRDefault="223DAFFA" w:rsidP="46B3BF7C">
      <w:pPr>
        <w:rPr>
          <w:rFonts w:ascii="Century Gothic" w:hAnsi="Century Gothic"/>
          <w:b/>
          <w:bCs/>
          <w:szCs w:val="22"/>
        </w:rPr>
      </w:pPr>
      <w:r w:rsidRPr="00B6032F">
        <w:rPr>
          <w:rFonts w:ascii="Century Gothic" w:hAnsi="Century Gothic"/>
          <w:b/>
          <w:bCs/>
          <w:szCs w:val="22"/>
        </w:rPr>
        <w:t>Error rate</w:t>
      </w:r>
    </w:p>
    <w:p w14:paraId="09E4FBBE" w14:textId="449E131B" w:rsidR="00F103CB" w:rsidRPr="00B6032F" w:rsidRDefault="6211DA38" w:rsidP="00F103CB">
      <w:pPr>
        <w:rPr>
          <w:rFonts w:ascii="Century Gothic" w:hAnsi="Century Gothic"/>
          <w:szCs w:val="22"/>
        </w:rPr>
      </w:pPr>
      <w:r w:rsidRPr="00B6032F">
        <w:rPr>
          <w:rFonts w:ascii="Century Gothic" w:hAnsi="Century Gothic"/>
          <w:szCs w:val="22"/>
        </w:rPr>
        <w:t>In FY202</w:t>
      </w:r>
      <w:r w:rsidR="7DCB282B" w:rsidRPr="00B6032F">
        <w:rPr>
          <w:rFonts w:ascii="Century Gothic" w:hAnsi="Century Gothic"/>
          <w:szCs w:val="22"/>
        </w:rPr>
        <w:t>4</w:t>
      </w:r>
      <w:r w:rsidRPr="00B6032F">
        <w:rPr>
          <w:rFonts w:ascii="Century Gothic" w:hAnsi="Century Gothic"/>
          <w:szCs w:val="22"/>
        </w:rPr>
        <w:t xml:space="preserve">, there was an average error rate of </w:t>
      </w:r>
      <w:r w:rsidR="0E96DF61" w:rsidRPr="00B6032F">
        <w:rPr>
          <w:rFonts w:ascii="Century Gothic" w:hAnsi="Century Gothic"/>
          <w:szCs w:val="22"/>
        </w:rPr>
        <w:t>4</w:t>
      </w:r>
      <w:r w:rsidRPr="00B6032F">
        <w:rPr>
          <w:rFonts w:ascii="Century Gothic" w:hAnsi="Century Gothic"/>
          <w:szCs w:val="22"/>
        </w:rPr>
        <w:t xml:space="preserve">% for file reviews which is </w:t>
      </w:r>
      <w:r w:rsidR="66210EAE" w:rsidRPr="00B6032F">
        <w:rPr>
          <w:rFonts w:ascii="Century Gothic" w:hAnsi="Century Gothic"/>
          <w:szCs w:val="22"/>
        </w:rPr>
        <w:t xml:space="preserve">below </w:t>
      </w:r>
      <w:r w:rsidR="6E91BF96" w:rsidRPr="00B6032F">
        <w:rPr>
          <w:rFonts w:ascii="Century Gothic" w:hAnsi="Century Gothic"/>
          <w:szCs w:val="22"/>
        </w:rPr>
        <w:t xml:space="preserve">the </w:t>
      </w:r>
      <w:r w:rsidRPr="00B6032F">
        <w:rPr>
          <w:rFonts w:ascii="Century Gothic" w:hAnsi="Century Gothic"/>
          <w:szCs w:val="22"/>
        </w:rPr>
        <w:t xml:space="preserve">goal of 5%.   </w:t>
      </w:r>
    </w:p>
    <w:p w14:paraId="7EDE0894" w14:textId="77777777" w:rsidR="00F103CB" w:rsidRPr="00B6032F" w:rsidRDefault="00F103CB" w:rsidP="46B3BF7C">
      <w:pPr>
        <w:rPr>
          <w:rFonts w:ascii="Century Gothic" w:hAnsi="Century Gothic"/>
          <w:szCs w:val="22"/>
        </w:rPr>
      </w:pPr>
    </w:p>
    <w:p w14:paraId="3D7081E3" w14:textId="7664D4F1" w:rsidR="00EC5276" w:rsidRPr="00B6032F" w:rsidRDefault="00EC5276" w:rsidP="008703AF">
      <w:pPr>
        <w:pStyle w:val="Heading4"/>
        <w:rPr>
          <w:rFonts w:ascii="Century Gothic" w:hAnsi="Century Gothic" w:cs="Times New Roman"/>
        </w:rPr>
      </w:pPr>
      <w:r w:rsidRPr="00B6032F">
        <w:rPr>
          <w:rFonts w:ascii="Century Gothic" w:hAnsi="Century Gothic" w:cs="Times New Roman"/>
        </w:rPr>
        <w:t>Outcomes</w:t>
      </w:r>
    </w:p>
    <w:p w14:paraId="2033B5E9" w14:textId="52798798" w:rsidR="00EC5276" w:rsidRPr="00B6032F" w:rsidRDefault="00046DF3" w:rsidP="00EC5276">
      <w:pPr>
        <w:rPr>
          <w:rFonts w:ascii="Century Gothic" w:hAnsi="Century Gothic"/>
          <w:bCs/>
          <w:i/>
          <w:szCs w:val="22"/>
        </w:rPr>
      </w:pPr>
      <w:r>
        <w:rPr>
          <w:rFonts w:ascii="Century Gothic" w:hAnsi="Century Gothic"/>
          <w:b/>
          <w:bCs/>
          <w:iCs/>
          <w:szCs w:val="22"/>
        </w:rPr>
        <w:t>Internal</w:t>
      </w:r>
      <w:r w:rsidR="00EC5276" w:rsidRPr="00B6032F">
        <w:rPr>
          <w:rFonts w:ascii="Century Gothic" w:hAnsi="Century Gothic"/>
          <w:b/>
          <w:bCs/>
          <w:iCs/>
          <w:szCs w:val="22"/>
        </w:rPr>
        <w:t xml:space="preserve"> Metrics</w:t>
      </w:r>
    </w:p>
    <w:tbl>
      <w:tblPr>
        <w:tblStyle w:val="TableGrid7"/>
        <w:tblW w:w="9926" w:type="dxa"/>
        <w:tblInd w:w="-5" w:type="dxa"/>
        <w:tblLook w:val="04A0" w:firstRow="1" w:lastRow="0" w:firstColumn="1" w:lastColumn="0" w:noHBand="0" w:noVBand="1"/>
      </w:tblPr>
      <w:tblGrid>
        <w:gridCol w:w="2475"/>
        <w:gridCol w:w="1150"/>
        <w:gridCol w:w="1440"/>
        <w:gridCol w:w="3065"/>
        <w:gridCol w:w="1796"/>
      </w:tblGrid>
      <w:tr w:rsidR="005F73D6" w:rsidRPr="00B6032F" w14:paraId="7D584599" w14:textId="77777777" w:rsidTr="6EDDC8C1">
        <w:trPr>
          <w:trHeight w:val="413"/>
        </w:trPr>
        <w:tc>
          <w:tcPr>
            <w:tcW w:w="9926" w:type="dxa"/>
            <w:gridSpan w:val="5"/>
            <w:tcBorders>
              <w:top w:val="nil"/>
              <w:left w:val="nil"/>
              <w:bottom w:val="single" w:sz="24" w:space="0" w:color="B5333C" w:themeColor="accent2"/>
              <w:right w:val="nil"/>
            </w:tcBorders>
            <w:shd w:val="clear" w:color="auto" w:fill="808080" w:themeFill="background1" w:themeFillShade="80"/>
            <w:hideMark/>
          </w:tcPr>
          <w:p w14:paraId="111F6AFE" w14:textId="77777777" w:rsidR="00EC5276" w:rsidRPr="00B6032F" w:rsidRDefault="00EC5276" w:rsidP="00EC5276">
            <w:pPr>
              <w:jc w:val="center"/>
              <w:rPr>
                <w:rFonts w:ascii="Century Gothic" w:hAnsi="Century Gothic"/>
                <w:b/>
                <w:bCs/>
                <w:iCs/>
                <w:szCs w:val="22"/>
              </w:rPr>
            </w:pPr>
            <w:r w:rsidRPr="00B6032F">
              <w:rPr>
                <w:rFonts w:ascii="Century Gothic" w:hAnsi="Century Gothic"/>
                <w:b/>
                <w:bCs/>
                <w:iCs/>
                <w:szCs w:val="22"/>
              </w:rPr>
              <w:t>CE #1: Agency Cost Savings</w:t>
            </w:r>
          </w:p>
        </w:tc>
      </w:tr>
      <w:tr w:rsidR="00CA4E9E" w:rsidRPr="00B6032F" w14:paraId="68B457AF" w14:textId="77777777" w:rsidTr="6EDDC8C1">
        <w:trPr>
          <w:trHeight w:val="340"/>
        </w:trPr>
        <w:tc>
          <w:tcPr>
            <w:tcW w:w="2515"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E72E8AE" w14:textId="77777777" w:rsidR="00EC5276" w:rsidRPr="00B6032F" w:rsidRDefault="00EC5276" w:rsidP="00EC5276">
            <w:pPr>
              <w:jc w:val="center"/>
              <w:rPr>
                <w:rFonts w:ascii="Century Gothic" w:hAnsi="Century Gothic"/>
                <w:b/>
                <w:bCs/>
                <w:szCs w:val="22"/>
              </w:rPr>
            </w:pPr>
            <w:r w:rsidRPr="00B6032F">
              <w:rPr>
                <w:rFonts w:ascii="Century Gothic" w:hAnsi="Century Gothic"/>
                <w:b/>
                <w:bCs/>
                <w:szCs w:val="22"/>
              </w:rPr>
              <w:t>Unit of Measurement</w:t>
            </w:r>
          </w:p>
        </w:tc>
        <w:tc>
          <w:tcPr>
            <w:tcW w:w="108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59553CD7" w14:textId="77777777" w:rsidR="00EC5276" w:rsidRPr="00B6032F" w:rsidRDefault="00EC5276" w:rsidP="00EC5276">
            <w:pPr>
              <w:jc w:val="center"/>
              <w:rPr>
                <w:rFonts w:ascii="Century Gothic" w:hAnsi="Century Gothic"/>
                <w:b/>
                <w:bCs/>
                <w:szCs w:val="22"/>
              </w:rPr>
            </w:pPr>
            <w:r w:rsidRPr="00B6032F">
              <w:rPr>
                <w:rFonts w:ascii="Century Gothic" w:hAnsi="Century Gothic"/>
                <w:b/>
                <w:bCs/>
                <w:szCs w:val="22"/>
              </w:rPr>
              <w:t>Baseline</w:t>
            </w:r>
          </w:p>
        </w:tc>
        <w:tc>
          <w:tcPr>
            <w:tcW w:w="135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360BF7F2" w14:textId="77777777" w:rsidR="00EC5276" w:rsidRPr="00B6032F" w:rsidRDefault="00EC5276" w:rsidP="00EC5276">
            <w:pPr>
              <w:jc w:val="center"/>
              <w:rPr>
                <w:rFonts w:ascii="Century Gothic" w:hAnsi="Century Gothic"/>
                <w:b/>
                <w:bCs/>
                <w:szCs w:val="22"/>
              </w:rPr>
            </w:pPr>
            <w:r w:rsidRPr="00B6032F">
              <w:rPr>
                <w:rFonts w:ascii="Century Gothic" w:hAnsi="Century Gothic"/>
                <w:b/>
                <w:bCs/>
                <w:szCs w:val="22"/>
              </w:rPr>
              <w:t>Benchmark</w:t>
            </w:r>
          </w:p>
        </w:tc>
        <w:tc>
          <w:tcPr>
            <w:tcW w:w="316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0433D1B7" w14:textId="77777777" w:rsidR="00EC5276" w:rsidRPr="00B6032F" w:rsidRDefault="00EC5276" w:rsidP="00EC5276">
            <w:pPr>
              <w:jc w:val="center"/>
              <w:rPr>
                <w:rFonts w:ascii="Century Gothic" w:hAnsi="Century Gothic"/>
                <w:b/>
                <w:bCs/>
                <w:szCs w:val="22"/>
              </w:rPr>
            </w:pPr>
            <w:r w:rsidRPr="00B6032F">
              <w:rPr>
                <w:rFonts w:ascii="Century Gothic" w:hAnsi="Century Gothic"/>
                <w:b/>
                <w:bCs/>
                <w:szCs w:val="22"/>
              </w:rPr>
              <w:t>Outcome</w:t>
            </w:r>
          </w:p>
        </w:tc>
        <w:tc>
          <w:tcPr>
            <w:tcW w:w="1821"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530101F1" w14:textId="77777777" w:rsidR="00EC5276" w:rsidRPr="00B6032F" w:rsidRDefault="00EC5276" w:rsidP="00EC5276">
            <w:pPr>
              <w:jc w:val="center"/>
              <w:rPr>
                <w:rFonts w:ascii="Century Gothic" w:hAnsi="Century Gothic"/>
                <w:b/>
                <w:bCs/>
                <w:szCs w:val="22"/>
              </w:rPr>
            </w:pPr>
            <w:r w:rsidRPr="00B6032F">
              <w:rPr>
                <w:rFonts w:ascii="Century Gothic" w:hAnsi="Century Gothic"/>
                <w:b/>
                <w:bCs/>
                <w:szCs w:val="22"/>
              </w:rPr>
              <w:t>Benchmark Achieved?</w:t>
            </w:r>
          </w:p>
        </w:tc>
      </w:tr>
      <w:tr w:rsidR="00CA4E9E" w:rsidRPr="00331A0B" w14:paraId="47A5F58F" w14:textId="77777777" w:rsidTr="6EDDC8C1">
        <w:trPr>
          <w:trHeight w:val="1000"/>
        </w:trPr>
        <w:tc>
          <w:tcPr>
            <w:tcW w:w="251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6994CC4F" w14:textId="0F13FB0A" w:rsidR="00EC5276" w:rsidRPr="00B6032F" w:rsidRDefault="00EC5276" w:rsidP="00EC5276">
            <w:pPr>
              <w:rPr>
                <w:rFonts w:ascii="Century Gothic" w:hAnsi="Century Gothic"/>
                <w:szCs w:val="22"/>
              </w:rPr>
            </w:pPr>
            <w:r w:rsidRPr="00B6032F">
              <w:rPr>
                <w:rFonts w:ascii="Century Gothic" w:hAnsi="Century Gothic"/>
                <w:szCs w:val="22"/>
              </w:rPr>
              <w:t>Savings related to staff reduction due to implementation of multi-year recertification</w:t>
            </w:r>
            <w:r w:rsidR="00EE1416" w:rsidRPr="00B6032F">
              <w:rPr>
                <w:rFonts w:ascii="Century Gothic" w:hAnsi="Century Gothic"/>
                <w:szCs w:val="22"/>
              </w:rPr>
              <w:t>*</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6ED695" w14:textId="46499E02" w:rsidR="00EC5276" w:rsidRPr="00B6032F" w:rsidRDefault="00127D02" w:rsidP="00EC5276">
            <w:pPr>
              <w:jc w:val="center"/>
              <w:rPr>
                <w:rFonts w:ascii="Century Gothic" w:hAnsi="Century Gothic"/>
                <w:szCs w:val="22"/>
              </w:rPr>
            </w:pPr>
            <w:r w:rsidRPr="00B6032F">
              <w:rPr>
                <w:rFonts w:ascii="Century Gothic" w:hAnsi="Century Gothic"/>
                <w:szCs w:val="22"/>
              </w:rPr>
              <w:t xml:space="preserve">2008 </w:t>
            </w:r>
            <w:r w:rsidR="00EC5276" w:rsidRPr="00B6032F">
              <w:rPr>
                <w:rFonts w:ascii="Century Gothic" w:hAnsi="Century Gothic"/>
                <w:szCs w:val="22"/>
              </w:rPr>
              <w:t>$0</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32ACA7A" w14:textId="10BB2393" w:rsidR="00EC5276" w:rsidRPr="00B6032F" w:rsidRDefault="00127D02" w:rsidP="00EC5276">
            <w:pPr>
              <w:jc w:val="center"/>
              <w:rPr>
                <w:rFonts w:ascii="Century Gothic" w:hAnsi="Century Gothic"/>
                <w:szCs w:val="22"/>
              </w:rPr>
            </w:pPr>
            <w:r w:rsidRPr="00B6032F">
              <w:rPr>
                <w:rFonts w:ascii="Century Gothic" w:hAnsi="Century Gothic"/>
                <w:szCs w:val="22"/>
              </w:rPr>
              <w:t xml:space="preserve"> </w:t>
            </w:r>
            <w:r w:rsidR="00E0100A" w:rsidRPr="00B6032F">
              <w:rPr>
                <w:rFonts w:ascii="Century Gothic" w:hAnsi="Century Gothic"/>
                <w:szCs w:val="22"/>
              </w:rPr>
              <w:t xml:space="preserve">2008 </w:t>
            </w:r>
            <w:r w:rsidR="00EC5276" w:rsidRPr="00B6032F">
              <w:rPr>
                <w:rFonts w:ascii="Century Gothic" w:hAnsi="Century Gothic"/>
                <w:szCs w:val="22"/>
              </w:rPr>
              <w:t>($133,000)</w:t>
            </w:r>
          </w:p>
        </w:tc>
        <w:tc>
          <w:tcPr>
            <w:tcW w:w="31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969DCC9" w14:textId="5DF12A86" w:rsidR="00CB2C1B" w:rsidRDefault="6AC49CB2" w:rsidP="6EDDC8C1">
            <w:pPr>
              <w:rPr>
                <w:rFonts w:ascii="Century Gothic" w:hAnsi="Century Gothic"/>
                <w:szCs w:val="22"/>
              </w:rPr>
            </w:pPr>
            <w:r w:rsidRPr="00B6032F">
              <w:rPr>
                <w:rFonts w:ascii="Century Gothic" w:hAnsi="Century Gothic"/>
                <w:szCs w:val="22"/>
              </w:rPr>
              <w:t>2024: $213,422</w:t>
            </w:r>
          </w:p>
          <w:p w14:paraId="236F3045" w14:textId="77777777" w:rsidR="003E147F" w:rsidRPr="00B6032F" w:rsidRDefault="003E147F" w:rsidP="6EDDC8C1">
            <w:pPr>
              <w:rPr>
                <w:rFonts w:ascii="Century Gothic" w:hAnsi="Century Gothic"/>
                <w:szCs w:val="22"/>
              </w:rPr>
            </w:pPr>
          </w:p>
          <w:p w14:paraId="5B1D7A38" w14:textId="37DBF1B5" w:rsidR="00CB2C1B" w:rsidRPr="00B6032F" w:rsidRDefault="487188E3" w:rsidP="00CB2C1B">
            <w:pPr>
              <w:rPr>
                <w:rFonts w:ascii="Century Gothic" w:hAnsi="Century Gothic"/>
                <w:szCs w:val="22"/>
              </w:rPr>
            </w:pPr>
            <w:r w:rsidRPr="00B6032F">
              <w:rPr>
                <w:rFonts w:ascii="Century Gothic" w:hAnsi="Century Gothic"/>
                <w:szCs w:val="22"/>
              </w:rPr>
              <w:t>2023: $</w:t>
            </w:r>
            <w:r w:rsidR="743646A2" w:rsidRPr="00B6032F">
              <w:rPr>
                <w:rFonts w:ascii="Century Gothic" w:hAnsi="Century Gothic"/>
                <w:szCs w:val="22"/>
              </w:rPr>
              <w:t>207,206</w:t>
            </w:r>
          </w:p>
          <w:p w14:paraId="6F3EAB5F" w14:textId="432283B8" w:rsidR="1E23538B" w:rsidRPr="00B6032F" w:rsidRDefault="2ED1A5E0" w:rsidP="3C3EEDA0">
            <w:pPr>
              <w:rPr>
                <w:rFonts w:ascii="Century Gothic" w:hAnsi="Century Gothic"/>
                <w:szCs w:val="22"/>
              </w:rPr>
            </w:pPr>
            <w:r w:rsidRPr="00B6032F">
              <w:rPr>
                <w:rFonts w:ascii="Century Gothic" w:hAnsi="Century Gothic"/>
                <w:szCs w:val="22"/>
              </w:rPr>
              <w:t>2022</w:t>
            </w:r>
            <w:r w:rsidR="25FF9D44" w:rsidRPr="00B6032F">
              <w:rPr>
                <w:rFonts w:ascii="Century Gothic" w:hAnsi="Century Gothic"/>
                <w:szCs w:val="22"/>
              </w:rPr>
              <w:t>: $201,171</w:t>
            </w:r>
          </w:p>
          <w:p w14:paraId="7BF76CC4" w14:textId="7E444EB4" w:rsidR="75CBE02E" w:rsidRPr="00B6032F" w:rsidRDefault="1AC423A9" w:rsidP="1D755B09">
            <w:pPr>
              <w:rPr>
                <w:rFonts w:ascii="Century Gothic" w:hAnsi="Century Gothic"/>
                <w:szCs w:val="22"/>
              </w:rPr>
            </w:pPr>
            <w:r w:rsidRPr="00B6032F">
              <w:rPr>
                <w:rFonts w:ascii="Century Gothic" w:hAnsi="Century Gothic"/>
                <w:szCs w:val="22"/>
              </w:rPr>
              <w:t xml:space="preserve">2021: </w:t>
            </w:r>
            <w:r w:rsidR="64D69535" w:rsidRPr="00B6032F">
              <w:rPr>
                <w:rFonts w:ascii="Century Gothic" w:hAnsi="Century Gothic"/>
                <w:szCs w:val="22"/>
              </w:rPr>
              <w:t>$195,312</w:t>
            </w:r>
          </w:p>
          <w:p w14:paraId="2764F3A3" w14:textId="6B103B6D" w:rsidR="002B72BC" w:rsidRPr="00B6032F" w:rsidRDefault="002B72BC" w:rsidP="00EC5276">
            <w:pPr>
              <w:rPr>
                <w:rFonts w:ascii="Century Gothic" w:hAnsi="Century Gothic"/>
                <w:szCs w:val="22"/>
              </w:rPr>
            </w:pPr>
            <w:r w:rsidRPr="00B6032F">
              <w:rPr>
                <w:rFonts w:ascii="Century Gothic" w:hAnsi="Century Gothic"/>
                <w:szCs w:val="22"/>
              </w:rPr>
              <w:t>2020</w:t>
            </w:r>
            <w:r w:rsidR="001E7544" w:rsidRPr="00B6032F">
              <w:rPr>
                <w:rFonts w:ascii="Century Gothic" w:hAnsi="Century Gothic"/>
                <w:szCs w:val="22"/>
              </w:rPr>
              <w:t>: $189,624</w:t>
            </w:r>
          </w:p>
          <w:p w14:paraId="12D2FF1C" w14:textId="75931A4D" w:rsidR="00EE1416" w:rsidRPr="00B6032F" w:rsidRDefault="00EE1416" w:rsidP="00EC5276">
            <w:pPr>
              <w:rPr>
                <w:rFonts w:ascii="Century Gothic" w:hAnsi="Century Gothic"/>
                <w:szCs w:val="22"/>
              </w:rPr>
            </w:pPr>
            <w:r w:rsidRPr="00B6032F">
              <w:rPr>
                <w:rFonts w:ascii="Century Gothic" w:hAnsi="Century Gothic"/>
                <w:szCs w:val="22"/>
              </w:rPr>
              <w:t>2019: $184,101</w:t>
            </w:r>
          </w:p>
          <w:p w14:paraId="6BA67492" w14:textId="50FCF1BF" w:rsidR="00EC5276" w:rsidRPr="00B6032F" w:rsidRDefault="00EC5276" w:rsidP="00EC5276">
            <w:pPr>
              <w:rPr>
                <w:rFonts w:ascii="Century Gothic" w:hAnsi="Century Gothic"/>
                <w:szCs w:val="22"/>
              </w:rPr>
            </w:pPr>
            <w:r w:rsidRPr="00B6032F">
              <w:rPr>
                <w:rFonts w:ascii="Century Gothic" w:hAnsi="Century Gothic"/>
                <w:szCs w:val="22"/>
              </w:rPr>
              <w:t>2018: $178,739</w:t>
            </w:r>
          </w:p>
          <w:p w14:paraId="6BD30577" w14:textId="77777777" w:rsidR="00EC5276" w:rsidRPr="00B6032F" w:rsidRDefault="00EC5276" w:rsidP="00EC5276">
            <w:pPr>
              <w:rPr>
                <w:rFonts w:ascii="Century Gothic" w:hAnsi="Century Gothic"/>
                <w:szCs w:val="22"/>
              </w:rPr>
            </w:pPr>
            <w:r w:rsidRPr="00B6032F">
              <w:rPr>
                <w:rFonts w:ascii="Century Gothic" w:hAnsi="Century Gothic"/>
                <w:szCs w:val="22"/>
              </w:rPr>
              <w:t>2017: $173,533</w:t>
            </w:r>
          </w:p>
          <w:p w14:paraId="19858CF6" w14:textId="77777777" w:rsidR="00EC5276" w:rsidRPr="00B6032F" w:rsidRDefault="00EC5276" w:rsidP="00EC5276">
            <w:pPr>
              <w:rPr>
                <w:rFonts w:ascii="Century Gothic" w:hAnsi="Century Gothic"/>
                <w:szCs w:val="22"/>
              </w:rPr>
            </w:pPr>
            <w:r w:rsidRPr="00B6032F">
              <w:rPr>
                <w:rFonts w:ascii="Century Gothic" w:hAnsi="Century Gothic"/>
                <w:szCs w:val="22"/>
              </w:rPr>
              <w:t>2016: $168,479</w:t>
            </w:r>
          </w:p>
          <w:p w14:paraId="337D6E0B" w14:textId="77777777" w:rsidR="00EC5276" w:rsidRPr="00B6032F" w:rsidRDefault="00EC5276" w:rsidP="00EC5276">
            <w:pPr>
              <w:rPr>
                <w:rFonts w:ascii="Century Gothic" w:hAnsi="Century Gothic"/>
                <w:szCs w:val="22"/>
              </w:rPr>
            </w:pPr>
            <w:r w:rsidRPr="00B6032F">
              <w:rPr>
                <w:rFonts w:ascii="Century Gothic" w:hAnsi="Century Gothic"/>
                <w:szCs w:val="22"/>
              </w:rPr>
              <w:t>2015: $163,572</w:t>
            </w:r>
          </w:p>
          <w:p w14:paraId="6DF36A12" w14:textId="77777777" w:rsidR="00EC5276" w:rsidRPr="00B6032F" w:rsidRDefault="00EC5276" w:rsidP="00EC5276">
            <w:pPr>
              <w:rPr>
                <w:rFonts w:ascii="Century Gothic" w:hAnsi="Century Gothic"/>
                <w:szCs w:val="22"/>
              </w:rPr>
            </w:pPr>
            <w:r w:rsidRPr="00B6032F">
              <w:rPr>
                <w:rFonts w:ascii="Century Gothic" w:hAnsi="Century Gothic"/>
                <w:szCs w:val="22"/>
              </w:rPr>
              <w:t>2014: $158,808</w:t>
            </w:r>
          </w:p>
          <w:p w14:paraId="2E3918B8" w14:textId="77777777" w:rsidR="00EC5276" w:rsidRPr="00B6032F" w:rsidRDefault="00EC5276" w:rsidP="00EC5276">
            <w:pPr>
              <w:rPr>
                <w:rFonts w:ascii="Century Gothic" w:hAnsi="Century Gothic"/>
                <w:szCs w:val="22"/>
              </w:rPr>
            </w:pPr>
            <w:r w:rsidRPr="00B6032F">
              <w:rPr>
                <w:rFonts w:ascii="Century Gothic" w:hAnsi="Century Gothic"/>
                <w:szCs w:val="22"/>
              </w:rPr>
              <w:t>2013: $154,182</w:t>
            </w:r>
          </w:p>
          <w:p w14:paraId="5F761F23" w14:textId="77777777" w:rsidR="00EC5276" w:rsidRPr="00B6032F" w:rsidRDefault="00EC5276" w:rsidP="00EC5276">
            <w:pPr>
              <w:rPr>
                <w:rFonts w:ascii="Century Gothic" w:hAnsi="Century Gothic"/>
                <w:szCs w:val="22"/>
              </w:rPr>
            </w:pPr>
            <w:r w:rsidRPr="00B6032F">
              <w:rPr>
                <w:rFonts w:ascii="Century Gothic" w:hAnsi="Century Gothic"/>
                <w:szCs w:val="22"/>
              </w:rPr>
              <w:t>2012: $149,691</w:t>
            </w:r>
          </w:p>
          <w:p w14:paraId="519568D1" w14:textId="77777777" w:rsidR="00EC5276" w:rsidRPr="00B6032F" w:rsidRDefault="00EC5276" w:rsidP="00EC5276">
            <w:pPr>
              <w:rPr>
                <w:rFonts w:ascii="Century Gothic" w:hAnsi="Century Gothic"/>
                <w:szCs w:val="22"/>
              </w:rPr>
            </w:pPr>
            <w:r w:rsidRPr="00B6032F">
              <w:rPr>
                <w:rFonts w:ascii="Century Gothic" w:hAnsi="Century Gothic"/>
                <w:szCs w:val="22"/>
              </w:rPr>
              <w:t>2011: $145,332</w:t>
            </w:r>
          </w:p>
          <w:p w14:paraId="6BE2F15D" w14:textId="77777777" w:rsidR="00EC5276" w:rsidRPr="00B6032F" w:rsidRDefault="00EC5276" w:rsidP="00EC5276">
            <w:pPr>
              <w:rPr>
                <w:rFonts w:ascii="Century Gothic" w:hAnsi="Century Gothic"/>
                <w:szCs w:val="22"/>
              </w:rPr>
            </w:pPr>
            <w:r w:rsidRPr="00B6032F">
              <w:rPr>
                <w:rFonts w:ascii="Century Gothic" w:hAnsi="Century Gothic"/>
                <w:szCs w:val="22"/>
              </w:rPr>
              <w:t>2010: $141,099</w:t>
            </w:r>
          </w:p>
          <w:p w14:paraId="7C527C03" w14:textId="77777777" w:rsidR="00EC5276" w:rsidRDefault="00EC5276" w:rsidP="00EC5276">
            <w:pPr>
              <w:rPr>
                <w:rFonts w:ascii="Century Gothic" w:hAnsi="Century Gothic"/>
                <w:szCs w:val="22"/>
              </w:rPr>
            </w:pPr>
            <w:r w:rsidRPr="00B6032F">
              <w:rPr>
                <w:rFonts w:ascii="Century Gothic" w:hAnsi="Century Gothic"/>
                <w:szCs w:val="22"/>
              </w:rPr>
              <w:t>2009: $136,990</w:t>
            </w:r>
          </w:p>
          <w:p w14:paraId="22C6D727" w14:textId="77777777" w:rsidR="008913FC" w:rsidRPr="00B6032F" w:rsidRDefault="008913FC" w:rsidP="00EC5276">
            <w:pPr>
              <w:rPr>
                <w:rFonts w:ascii="Century Gothic" w:hAnsi="Century Gothic"/>
                <w:szCs w:val="22"/>
              </w:rPr>
            </w:pPr>
          </w:p>
          <w:p w14:paraId="036C696B" w14:textId="0691ADEF" w:rsidR="00EC5276" w:rsidRPr="00B6032F" w:rsidRDefault="00EC5276" w:rsidP="662A423E">
            <w:pPr>
              <w:rPr>
                <w:rFonts w:ascii="Century Gothic" w:hAnsi="Century Gothic"/>
                <w:szCs w:val="22"/>
              </w:rPr>
            </w:pPr>
          </w:p>
        </w:tc>
        <w:tc>
          <w:tcPr>
            <w:tcW w:w="182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7114D7C1" w14:textId="1F149189" w:rsidR="00EC5276" w:rsidRPr="00B6032F" w:rsidRDefault="7C258257" w:rsidP="46B3BF7C">
            <w:pPr>
              <w:rPr>
                <w:rFonts w:ascii="Century Gothic" w:hAnsi="Century Gothic"/>
                <w:szCs w:val="22"/>
              </w:rPr>
            </w:pPr>
            <w:r w:rsidRPr="00B6032F">
              <w:rPr>
                <w:rFonts w:ascii="Century Gothic" w:hAnsi="Century Gothic"/>
                <w:szCs w:val="22"/>
              </w:rPr>
              <w:t>Yes</w:t>
            </w:r>
          </w:p>
        </w:tc>
      </w:tr>
      <w:tr w:rsidR="00CA4E9E" w:rsidRPr="00331A0B" w14:paraId="164CCE5B" w14:textId="77777777" w:rsidTr="6EDDC8C1">
        <w:trPr>
          <w:trHeight w:val="2420"/>
        </w:trPr>
        <w:tc>
          <w:tcPr>
            <w:tcW w:w="251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44CA3EE6" w14:textId="77777777" w:rsidR="00EC5276" w:rsidRPr="003E3C9C" w:rsidRDefault="00EC5276" w:rsidP="00EC5276">
            <w:pPr>
              <w:rPr>
                <w:rFonts w:ascii="Century Gothic" w:hAnsi="Century Gothic"/>
                <w:szCs w:val="22"/>
              </w:rPr>
            </w:pPr>
            <w:bookmarkStart w:id="167" w:name="_Hlk90378239"/>
            <w:r w:rsidRPr="003E3C9C">
              <w:rPr>
                <w:rFonts w:ascii="Century Gothic" w:hAnsi="Century Gothic"/>
                <w:szCs w:val="22"/>
              </w:rPr>
              <w:lastRenderedPageBreak/>
              <w:t>Total annual cost of printing and mailing documents related to annual recertification (excluding staff time; PH and HCV combined). *</w:t>
            </w:r>
          </w:p>
        </w:tc>
        <w:tc>
          <w:tcPr>
            <w:tcW w:w="10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EDA63DA" w14:textId="0B6152D2" w:rsidR="00EC5276" w:rsidRPr="003E3C9C" w:rsidRDefault="7C258257" w:rsidP="46B3BF7C">
            <w:pPr>
              <w:jc w:val="center"/>
              <w:rPr>
                <w:rFonts w:ascii="Century Gothic" w:hAnsi="Century Gothic"/>
                <w:szCs w:val="22"/>
              </w:rPr>
            </w:pPr>
            <w:r w:rsidRPr="003E3C9C">
              <w:rPr>
                <w:rFonts w:ascii="Century Gothic" w:hAnsi="Century Gothic"/>
                <w:szCs w:val="22"/>
              </w:rPr>
              <w:t>$26,923 (2007)</w:t>
            </w:r>
          </w:p>
          <w:p w14:paraId="394213EC" w14:textId="3C700BC3" w:rsidR="00EC5276" w:rsidRPr="003E3C9C" w:rsidRDefault="00EC5276" w:rsidP="46B3BF7C">
            <w:pPr>
              <w:jc w:val="center"/>
              <w:rPr>
                <w:rFonts w:ascii="Century Gothic" w:hAnsi="Century Gothic"/>
                <w:szCs w:val="22"/>
              </w:rPr>
            </w:pPr>
          </w:p>
          <w:p w14:paraId="4896F41D" w14:textId="6BA63929" w:rsidR="00EC5276" w:rsidRPr="003E3C9C" w:rsidRDefault="682BDFD3" w:rsidP="46B3BF7C">
            <w:pPr>
              <w:jc w:val="center"/>
              <w:rPr>
                <w:rFonts w:ascii="Century Gothic" w:hAnsi="Century Gothic"/>
                <w:szCs w:val="22"/>
              </w:rPr>
            </w:pPr>
            <w:r w:rsidRPr="003E3C9C">
              <w:rPr>
                <w:rFonts w:ascii="Century Gothic" w:hAnsi="Century Gothic"/>
                <w:szCs w:val="22"/>
              </w:rPr>
              <w:t>$</w:t>
            </w:r>
            <w:r w:rsidR="00C44974">
              <w:rPr>
                <w:rFonts w:ascii="Century Gothic" w:hAnsi="Century Gothic"/>
                <w:szCs w:val="22"/>
              </w:rPr>
              <w:t>40,629</w:t>
            </w:r>
          </w:p>
          <w:p w14:paraId="1DDBD021" w14:textId="602E0BF1" w:rsidR="00EC5276" w:rsidRPr="003E3C9C" w:rsidRDefault="682BDFD3" w:rsidP="46B3BF7C">
            <w:pPr>
              <w:jc w:val="center"/>
              <w:rPr>
                <w:rFonts w:ascii="Century Gothic" w:hAnsi="Century Gothic"/>
                <w:szCs w:val="22"/>
              </w:rPr>
            </w:pPr>
            <w:r w:rsidRPr="003E3C9C">
              <w:rPr>
                <w:rFonts w:ascii="Century Gothic" w:hAnsi="Century Gothic"/>
                <w:szCs w:val="22"/>
              </w:rPr>
              <w:t>(</w:t>
            </w:r>
            <w:r w:rsidR="00E96993" w:rsidRPr="003E3C9C">
              <w:rPr>
                <w:rFonts w:ascii="Century Gothic" w:hAnsi="Century Gothic"/>
                <w:szCs w:val="22"/>
              </w:rPr>
              <w:t>FY2</w:t>
            </w:r>
            <w:r w:rsidR="00E96993">
              <w:rPr>
                <w:rFonts w:ascii="Century Gothic" w:hAnsi="Century Gothic"/>
                <w:szCs w:val="22"/>
              </w:rPr>
              <w:t>4</w:t>
            </w:r>
            <w:r w:rsidR="00E96993" w:rsidRPr="003E3C9C">
              <w:rPr>
                <w:rFonts w:ascii="Century Gothic" w:hAnsi="Century Gothic"/>
                <w:szCs w:val="22"/>
              </w:rPr>
              <w:t xml:space="preserve"> </w:t>
            </w:r>
            <w:r w:rsidRPr="003E3C9C">
              <w:rPr>
                <w:rFonts w:ascii="Century Gothic" w:hAnsi="Century Gothic"/>
                <w:szCs w:val="22"/>
              </w:rPr>
              <w:t>– adjusted for inflation)</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299D1AB" w14:textId="77777777" w:rsidR="00EC5276" w:rsidRDefault="00EC5276" w:rsidP="00150629">
            <w:pPr>
              <w:rPr>
                <w:rFonts w:ascii="Century Gothic" w:hAnsi="Century Gothic"/>
                <w:szCs w:val="22"/>
              </w:rPr>
            </w:pPr>
            <w:r w:rsidRPr="003E3C9C">
              <w:rPr>
                <w:rFonts w:ascii="Century Gothic" w:hAnsi="Century Gothic"/>
                <w:szCs w:val="22"/>
              </w:rPr>
              <w:t>$13,750</w:t>
            </w:r>
          </w:p>
          <w:p w14:paraId="14CC3BE9" w14:textId="1D45227C" w:rsidR="00E96993" w:rsidRPr="003E3C9C" w:rsidRDefault="00E96993" w:rsidP="00E96993">
            <w:pPr>
              <w:rPr>
                <w:rFonts w:ascii="Century Gothic" w:hAnsi="Century Gothic"/>
                <w:szCs w:val="22"/>
              </w:rPr>
            </w:pPr>
            <w:r w:rsidRPr="003E3C9C">
              <w:rPr>
                <w:rFonts w:ascii="Century Gothic" w:hAnsi="Century Gothic"/>
                <w:szCs w:val="22"/>
              </w:rPr>
              <w:t>(FY2</w:t>
            </w:r>
            <w:r>
              <w:rPr>
                <w:rFonts w:ascii="Century Gothic" w:hAnsi="Century Gothic"/>
                <w:szCs w:val="22"/>
              </w:rPr>
              <w:t>4</w:t>
            </w:r>
            <w:r w:rsidRPr="003E3C9C">
              <w:rPr>
                <w:rFonts w:ascii="Century Gothic" w:hAnsi="Century Gothic"/>
                <w:szCs w:val="22"/>
              </w:rPr>
              <w:t xml:space="preserve"> – adjusted for inflation)</w:t>
            </w:r>
          </w:p>
        </w:tc>
        <w:tc>
          <w:tcPr>
            <w:tcW w:w="31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72B895B" w14:textId="77777777" w:rsidR="000037BD" w:rsidRDefault="000037BD" w:rsidP="7D8DAC21">
            <w:pPr>
              <w:rPr>
                <w:rFonts w:ascii="Century Gothic" w:hAnsi="Century Gothic"/>
              </w:rPr>
            </w:pPr>
          </w:p>
          <w:p w14:paraId="102DAC27" w14:textId="3BDDCDC3" w:rsidR="4663DC9E" w:rsidRDefault="4663DC9E" w:rsidP="7D8DAC21">
            <w:pPr>
              <w:rPr>
                <w:rFonts w:ascii="Century Gothic" w:hAnsi="Century Gothic"/>
              </w:rPr>
            </w:pPr>
            <w:r w:rsidRPr="7D8DAC21">
              <w:rPr>
                <w:rFonts w:ascii="Century Gothic" w:hAnsi="Century Gothic"/>
              </w:rPr>
              <w:t>2024: $</w:t>
            </w:r>
            <w:r w:rsidR="1286A1ED" w:rsidRPr="7D8DAC21">
              <w:rPr>
                <w:rFonts w:ascii="Century Gothic" w:hAnsi="Century Gothic"/>
              </w:rPr>
              <w:t>13,</w:t>
            </w:r>
            <w:r w:rsidR="21E5452D" w:rsidRPr="7D8DAC21">
              <w:rPr>
                <w:rFonts w:ascii="Century Gothic" w:hAnsi="Century Gothic"/>
              </w:rPr>
              <w:t>581</w:t>
            </w:r>
          </w:p>
          <w:p w14:paraId="33DEA3EA" w14:textId="14C5A8FB" w:rsidR="00247106" w:rsidRPr="003E3C9C" w:rsidRDefault="535383EF" w:rsidP="00486062">
            <w:pPr>
              <w:pStyle w:val="ListParagraph"/>
              <w:numPr>
                <w:ilvl w:val="0"/>
                <w:numId w:val="42"/>
              </w:numPr>
              <w:rPr>
                <w:rFonts w:ascii="Century Gothic" w:hAnsi="Century Gothic"/>
                <w:szCs w:val="22"/>
              </w:rPr>
            </w:pPr>
            <w:r w:rsidRPr="003E3C9C">
              <w:rPr>
                <w:rFonts w:ascii="Century Gothic" w:hAnsi="Century Gothic"/>
                <w:szCs w:val="22"/>
              </w:rPr>
              <w:t>HCV $12,190</w:t>
            </w:r>
          </w:p>
          <w:p w14:paraId="2269B81E" w14:textId="344D0A65" w:rsidR="4663DC9E" w:rsidRDefault="4663DC9E" w:rsidP="00486062">
            <w:pPr>
              <w:pStyle w:val="ListParagraph"/>
              <w:numPr>
                <w:ilvl w:val="0"/>
                <w:numId w:val="42"/>
              </w:numPr>
              <w:rPr>
                <w:rFonts w:ascii="Century Gothic" w:hAnsi="Century Gothic"/>
                <w:szCs w:val="22"/>
              </w:rPr>
            </w:pPr>
            <w:r w:rsidRPr="7D8DAC21">
              <w:rPr>
                <w:rFonts w:ascii="Century Gothic" w:hAnsi="Century Gothic"/>
              </w:rPr>
              <w:t>LIPH $1</w:t>
            </w:r>
            <w:r w:rsidR="10DDB643" w:rsidRPr="7D8DAC21">
              <w:rPr>
                <w:rFonts w:ascii="Century Gothic" w:hAnsi="Century Gothic"/>
              </w:rPr>
              <w:t>391</w:t>
            </w:r>
          </w:p>
          <w:p w14:paraId="531F730D" w14:textId="77777777" w:rsidR="00884A42" w:rsidRPr="003E3C9C" w:rsidRDefault="00884A42" w:rsidP="00884A42">
            <w:pPr>
              <w:pStyle w:val="ListParagraph"/>
              <w:rPr>
                <w:rFonts w:ascii="Century Gothic" w:eastAsia="MS PGothic" w:hAnsi="Century Gothic"/>
                <w:szCs w:val="22"/>
              </w:rPr>
            </w:pPr>
          </w:p>
          <w:p w14:paraId="00E2DEA1" w14:textId="6DD4E9DD" w:rsidR="00247106" w:rsidRPr="003E3C9C" w:rsidRDefault="3E844D62" w:rsidP="00247106">
            <w:pPr>
              <w:rPr>
                <w:rFonts w:ascii="Century Gothic" w:hAnsi="Century Gothic"/>
              </w:rPr>
            </w:pPr>
            <w:r w:rsidRPr="7D8DAC21">
              <w:rPr>
                <w:rFonts w:ascii="Century Gothic" w:hAnsi="Century Gothic"/>
              </w:rPr>
              <w:t>2023: $</w:t>
            </w:r>
            <w:r w:rsidR="49D76A82" w:rsidRPr="7D8DAC21">
              <w:rPr>
                <w:rFonts w:ascii="Century Gothic" w:hAnsi="Century Gothic"/>
              </w:rPr>
              <w:t>13,</w:t>
            </w:r>
            <w:r w:rsidR="2CDBAEBA" w:rsidRPr="7D8DAC21">
              <w:rPr>
                <w:rFonts w:ascii="Century Gothic" w:hAnsi="Century Gothic"/>
              </w:rPr>
              <w:t>376</w:t>
            </w:r>
          </w:p>
          <w:p w14:paraId="5BCA825E" w14:textId="4DDBA87B" w:rsidR="645B4C31" w:rsidRPr="003E3C9C" w:rsidRDefault="0109642E" w:rsidP="0D8BAA9B">
            <w:pPr>
              <w:rPr>
                <w:rFonts w:ascii="Century Gothic" w:hAnsi="Century Gothic"/>
                <w:szCs w:val="22"/>
              </w:rPr>
            </w:pPr>
            <w:r w:rsidRPr="003E3C9C">
              <w:rPr>
                <w:rFonts w:ascii="Century Gothic" w:hAnsi="Century Gothic"/>
                <w:szCs w:val="22"/>
              </w:rPr>
              <w:t>2022: $</w:t>
            </w:r>
            <w:r w:rsidR="47FF346D" w:rsidRPr="003E3C9C">
              <w:rPr>
                <w:rFonts w:ascii="Century Gothic" w:hAnsi="Century Gothic"/>
                <w:szCs w:val="22"/>
              </w:rPr>
              <w:t>20,301</w:t>
            </w:r>
          </w:p>
          <w:p w14:paraId="749AFE32" w14:textId="30A3E1F4" w:rsidR="60A0CB5E" w:rsidRPr="003E3C9C" w:rsidRDefault="235867F1" w:rsidP="1D755B09">
            <w:pPr>
              <w:rPr>
                <w:rFonts w:ascii="Century Gothic" w:hAnsi="Century Gothic"/>
                <w:szCs w:val="22"/>
              </w:rPr>
            </w:pPr>
            <w:r w:rsidRPr="003E3C9C">
              <w:rPr>
                <w:rFonts w:ascii="Century Gothic" w:hAnsi="Century Gothic"/>
                <w:szCs w:val="22"/>
              </w:rPr>
              <w:t xml:space="preserve">2021 </w:t>
            </w:r>
            <w:r w:rsidR="4995C19D" w:rsidRPr="003E3C9C">
              <w:rPr>
                <w:rFonts w:ascii="Century Gothic" w:hAnsi="Century Gothic"/>
                <w:szCs w:val="22"/>
              </w:rPr>
              <w:t>$</w:t>
            </w:r>
            <w:r w:rsidR="37759DCE" w:rsidRPr="003E3C9C">
              <w:rPr>
                <w:rFonts w:ascii="Century Gothic" w:hAnsi="Century Gothic"/>
                <w:szCs w:val="22"/>
              </w:rPr>
              <w:t>13,242</w:t>
            </w:r>
          </w:p>
          <w:p w14:paraId="41E7A99C" w14:textId="2E1E9C3F" w:rsidR="007C2A80" w:rsidRPr="003E3C9C" w:rsidRDefault="007C2A80" w:rsidP="1D755B09">
            <w:pPr>
              <w:rPr>
                <w:rFonts w:ascii="Century Gothic" w:hAnsi="Century Gothic"/>
                <w:szCs w:val="22"/>
              </w:rPr>
            </w:pPr>
            <w:r w:rsidRPr="003E3C9C">
              <w:rPr>
                <w:rFonts w:ascii="Century Gothic" w:hAnsi="Century Gothic"/>
                <w:szCs w:val="22"/>
              </w:rPr>
              <w:t>2020:</w:t>
            </w:r>
            <w:r w:rsidR="00FB427A" w:rsidRPr="003E3C9C">
              <w:rPr>
                <w:rFonts w:ascii="Century Gothic" w:hAnsi="Century Gothic"/>
                <w:szCs w:val="22"/>
              </w:rPr>
              <w:t xml:space="preserve"> $1</w:t>
            </w:r>
            <w:r w:rsidR="003D1ABB" w:rsidRPr="003E3C9C">
              <w:rPr>
                <w:rFonts w:ascii="Century Gothic" w:hAnsi="Century Gothic"/>
                <w:szCs w:val="22"/>
              </w:rPr>
              <w:t>7,282</w:t>
            </w:r>
          </w:p>
          <w:p w14:paraId="3AB5F93E" w14:textId="2E98C0AF" w:rsidR="005A5B53" w:rsidRPr="003E3C9C" w:rsidRDefault="00291769" w:rsidP="000A2C77">
            <w:pPr>
              <w:rPr>
                <w:rFonts w:ascii="Century Gothic" w:hAnsi="Century Gothic"/>
                <w:szCs w:val="22"/>
              </w:rPr>
            </w:pPr>
            <w:r w:rsidRPr="003E3C9C">
              <w:rPr>
                <w:rFonts w:ascii="Century Gothic" w:hAnsi="Century Gothic"/>
                <w:szCs w:val="22"/>
              </w:rPr>
              <w:t xml:space="preserve">2019: </w:t>
            </w:r>
            <w:r w:rsidR="00D575DF" w:rsidRPr="003E3C9C">
              <w:rPr>
                <w:rFonts w:ascii="Century Gothic" w:hAnsi="Century Gothic"/>
                <w:szCs w:val="22"/>
              </w:rPr>
              <w:t>$11</w:t>
            </w:r>
            <w:r w:rsidR="005B0CE3" w:rsidRPr="003E3C9C">
              <w:rPr>
                <w:rFonts w:ascii="Century Gothic" w:hAnsi="Century Gothic"/>
                <w:szCs w:val="22"/>
              </w:rPr>
              <w:t>,</w:t>
            </w:r>
            <w:r w:rsidR="00D575DF" w:rsidRPr="003E3C9C">
              <w:rPr>
                <w:rFonts w:ascii="Century Gothic" w:hAnsi="Century Gothic"/>
                <w:szCs w:val="22"/>
              </w:rPr>
              <w:t>964</w:t>
            </w:r>
          </w:p>
          <w:p w14:paraId="7A231CC7" w14:textId="45E34409" w:rsidR="00EC5276" w:rsidRPr="003E3C9C" w:rsidRDefault="00EC5276" w:rsidP="000A2C77">
            <w:pPr>
              <w:rPr>
                <w:rFonts w:ascii="Century Gothic" w:hAnsi="Century Gothic"/>
                <w:szCs w:val="22"/>
              </w:rPr>
            </w:pPr>
            <w:r w:rsidRPr="003E3C9C">
              <w:rPr>
                <w:rFonts w:ascii="Century Gothic" w:hAnsi="Century Gothic"/>
                <w:szCs w:val="22"/>
              </w:rPr>
              <w:t xml:space="preserve">2018: </w:t>
            </w:r>
            <w:r w:rsidR="000A2C77" w:rsidRPr="003E3C9C">
              <w:rPr>
                <w:rFonts w:ascii="Century Gothic" w:hAnsi="Century Gothic"/>
                <w:szCs w:val="22"/>
              </w:rPr>
              <w:t>$16,123</w:t>
            </w:r>
          </w:p>
          <w:p w14:paraId="3013F4E8" w14:textId="77777777" w:rsidR="00EC5276" w:rsidRPr="003E3C9C" w:rsidRDefault="00EC5276" w:rsidP="00EC5276">
            <w:pPr>
              <w:rPr>
                <w:rFonts w:ascii="Century Gothic" w:hAnsi="Century Gothic"/>
                <w:szCs w:val="22"/>
              </w:rPr>
            </w:pPr>
            <w:r w:rsidRPr="003E3C9C">
              <w:rPr>
                <w:rFonts w:ascii="Century Gothic" w:hAnsi="Century Gothic"/>
                <w:szCs w:val="22"/>
              </w:rPr>
              <w:t>2017: $14,344</w:t>
            </w:r>
          </w:p>
          <w:p w14:paraId="08A73071" w14:textId="77777777" w:rsidR="00EC5276" w:rsidRPr="003E3C9C" w:rsidRDefault="00EC5276" w:rsidP="00EC5276">
            <w:pPr>
              <w:rPr>
                <w:rFonts w:ascii="Century Gothic" w:hAnsi="Century Gothic"/>
                <w:szCs w:val="22"/>
              </w:rPr>
            </w:pPr>
            <w:r w:rsidRPr="003E3C9C">
              <w:rPr>
                <w:rFonts w:ascii="Century Gothic" w:hAnsi="Century Gothic"/>
                <w:szCs w:val="22"/>
              </w:rPr>
              <w:t xml:space="preserve"> 2016: $17,391</w:t>
            </w:r>
          </w:p>
          <w:p w14:paraId="10FA0F75" w14:textId="77777777" w:rsidR="00EC5276" w:rsidRPr="003E3C9C" w:rsidRDefault="00EC5276" w:rsidP="00EC5276">
            <w:pPr>
              <w:rPr>
                <w:rFonts w:ascii="Century Gothic" w:hAnsi="Century Gothic"/>
                <w:szCs w:val="22"/>
              </w:rPr>
            </w:pPr>
            <w:r w:rsidRPr="003E3C9C">
              <w:rPr>
                <w:rFonts w:ascii="Century Gothic" w:hAnsi="Century Gothic"/>
                <w:szCs w:val="22"/>
              </w:rPr>
              <w:t xml:space="preserve"> 2015: $12,705</w:t>
            </w:r>
            <w:r w:rsidRPr="003E3C9C">
              <w:rPr>
                <w:rFonts w:ascii="Century Gothic" w:hAnsi="Century Gothic"/>
                <w:szCs w:val="22"/>
              </w:rPr>
              <w:br/>
              <w:t xml:space="preserve"> 2014: $14,927</w:t>
            </w:r>
            <w:r w:rsidRPr="003E3C9C">
              <w:rPr>
                <w:rFonts w:ascii="Century Gothic" w:hAnsi="Century Gothic"/>
                <w:szCs w:val="22"/>
              </w:rPr>
              <w:br/>
              <w:t xml:space="preserve"> 2013: $13,338</w:t>
            </w:r>
            <w:r w:rsidRPr="003E3C9C">
              <w:rPr>
                <w:rFonts w:ascii="Century Gothic" w:hAnsi="Century Gothic"/>
                <w:szCs w:val="22"/>
              </w:rPr>
              <w:br/>
              <w:t xml:space="preserve"> 2012: $16,924</w:t>
            </w:r>
            <w:r w:rsidRPr="003E3C9C">
              <w:rPr>
                <w:rFonts w:ascii="Century Gothic" w:hAnsi="Century Gothic"/>
                <w:szCs w:val="22"/>
              </w:rPr>
              <w:br/>
              <w:t xml:space="preserve"> 2011: $14,597</w:t>
            </w:r>
            <w:r w:rsidRPr="003E3C9C">
              <w:rPr>
                <w:rFonts w:ascii="Century Gothic" w:hAnsi="Century Gothic"/>
                <w:szCs w:val="22"/>
              </w:rPr>
              <w:br/>
              <w:t xml:space="preserve"> 2010: $23,639</w:t>
            </w:r>
            <w:r w:rsidRPr="003E3C9C">
              <w:rPr>
                <w:rFonts w:ascii="Century Gothic" w:hAnsi="Century Gothic"/>
                <w:szCs w:val="22"/>
              </w:rPr>
              <w:br/>
              <w:t xml:space="preserve"> 2009: $26,340</w:t>
            </w:r>
            <w:r w:rsidRPr="003E3C9C">
              <w:rPr>
                <w:rFonts w:ascii="Century Gothic" w:hAnsi="Century Gothic"/>
                <w:szCs w:val="22"/>
              </w:rPr>
              <w:br/>
              <w:t xml:space="preserve"> 2008: $26,175</w:t>
            </w:r>
          </w:p>
        </w:tc>
        <w:tc>
          <w:tcPr>
            <w:tcW w:w="182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642FBC04" w14:textId="649CC17B" w:rsidR="00EC5276" w:rsidRPr="003E3C9C" w:rsidRDefault="79BE8CC8" w:rsidP="64D90BE1">
            <w:pPr>
              <w:rPr>
                <w:rFonts w:ascii="Century Gothic" w:hAnsi="Century Gothic"/>
              </w:rPr>
            </w:pPr>
            <w:r w:rsidRPr="44112D94">
              <w:rPr>
                <w:rFonts w:ascii="Century Gothic" w:hAnsi="Century Gothic"/>
              </w:rPr>
              <w:t xml:space="preserve"> </w:t>
            </w:r>
            <w:r w:rsidR="00A3293B">
              <w:rPr>
                <w:rFonts w:ascii="Century Gothic" w:hAnsi="Century Gothic"/>
              </w:rPr>
              <w:t>Y</w:t>
            </w:r>
            <w:r w:rsidRPr="44112D94">
              <w:rPr>
                <w:rFonts w:ascii="Century Gothic" w:hAnsi="Century Gothic"/>
              </w:rPr>
              <w:t>es</w:t>
            </w:r>
          </w:p>
        </w:tc>
      </w:tr>
    </w:tbl>
    <w:bookmarkEnd w:id="167"/>
    <w:p w14:paraId="0EB18C50" w14:textId="527F2B84" w:rsidR="00565805" w:rsidRPr="003E3C9C" w:rsidRDefault="00EE1416" w:rsidP="00EC5276">
      <w:pPr>
        <w:rPr>
          <w:rFonts w:ascii="Century Gothic" w:hAnsi="Century Gothic"/>
          <w:i/>
          <w:iCs/>
          <w:sz w:val="18"/>
          <w:szCs w:val="18"/>
        </w:rPr>
      </w:pPr>
      <w:r w:rsidRPr="003E3C9C">
        <w:rPr>
          <w:rFonts w:ascii="Century Gothic" w:hAnsi="Century Gothic"/>
          <w:i/>
          <w:iCs/>
          <w:sz w:val="18"/>
          <w:szCs w:val="18"/>
        </w:rPr>
        <w:t>*Annual HCV Director Salary from previous year multiplied by 3% increase.</w:t>
      </w:r>
      <w:r w:rsidR="00E47172" w:rsidRPr="003E3C9C">
        <w:rPr>
          <w:rFonts w:ascii="Century Gothic" w:hAnsi="Century Gothic"/>
          <w:i/>
          <w:iCs/>
          <w:sz w:val="18"/>
          <w:szCs w:val="18"/>
        </w:rPr>
        <w:br/>
      </w:r>
    </w:p>
    <w:tbl>
      <w:tblPr>
        <w:tblStyle w:val="TableGrid7"/>
        <w:tblW w:w="9941" w:type="dxa"/>
        <w:tblInd w:w="-10" w:type="dxa"/>
        <w:tblLook w:val="04A0" w:firstRow="1" w:lastRow="0" w:firstColumn="1" w:lastColumn="0" w:noHBand="0" w:noVBand="1"/>
      </w:tblPr>
      <w:tblGrid>
        <w:gridCol w:w="2437"/>
        <w:gridCol w:w="1105"/>
        <w:gridCol w:w="254"/>
        <w:gridCol w:w="1317"/>
        <w:gridCol w:w="2483"/>
        <w:gridCol w:w="528"/>
        <w:gridCol w:w="1817"/>
      </w:tblGrid>
      <w:tr w:rsidR="00DE096B" w:rsidRPr="003E3C9C" w14:paraId="00DB88D3" w14:textId="77777777" w:rsidTr="62D66E5E">
        <w:trPr>
          <w:trHeight w:val="305"/>
        </w:trPr>
        <w:tc>
          <w:tcPr>
            <w:tcW w:w="9941" w:type="dxa"/>
            <w:gridSpan w:val="7"/>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808080" w:themeFill="background1" w:themeFillShade="80"/>
            <w:hideMark/>
          </w:tcPr>
          <w:p w14:paraId="468F41C9" w14:textId="2316BAD4" w:rsidR="00EC5276" w:rsidRPr="003E3C9C" w:rsidRDefault="00A61290" w:rsidP="00EC5276">
            <w:pPr>
              <w:jc w:val="center"/>
              <w:rPr>
                <w:rFonts w:ascii="Century Gothic" w:hAnsi="Century Gothic"/>
                <w:b/>
                <w:bCs/>
                <w:iCs/>
                <w:szCs w:val="22"/>
              </w:rPr>
            </w:pPr>
            <w:r w:rsidRPr="003E3C9C">
              <w:rPr>
                <w:rFonts w:ascii="Century Gothic" w:hAnsi="Century Gothic"/>
                <w:szCs w:val="22"/>
              </w:rPr>
              <w:br w:type="page"/>
            </w:r>
            <w:r w:rsidR="00EC5276" w:rsidRPr="003E3C9C">
              <w:rPr>
                <w:rFonts w:ascii="Century Gothic" w:hAnsi="Century Gothic"/>
                <w:b/>
                <w:bCs/>
                <w:iCs/>
                <w:szCs w:val="22"/>
              </w:rPr>
              <w:t>CE #2: Staff Time Savings</w:t>
            </w:r>
          </w:p>
        </w:tc>
      </w:tr>
      <w:tr w:rsidR="003B6A8C" w:rsidRPr="003E3C9C" w14:paraId="6132DF4E" w14:textId="77777777" w:rsidTr="62D66E5E">
        <w:trPr>
          <w:trHeight w:val="597"/>
        </w:trPr>
        <w:tc>
          <w:tcPr>
            <w:tcW w:w="2448" w:type="dxa"/>
            <w:tcBorders>
              <w:top w:val="single" w:sz="24" w:space="0" w:color="B5333C" w:themeColor="accent2"/>
              <w:left w:val="nil"/>
              <w:bottom w:val="nil"/>
              <w:right w:val="single" w:sz="4" w:space="0" w:color="D9D9D9" w:themeColor="background1" w:themeShade="D9"/>
            </w:tcBorders>
            <w:shd w:val="clear" w:color="auto" w:fill="BFBFBF" w:themeFill="background1" w:themeFillShade="BF"/>
            <w:vAlign w:val="center"/>
          </w:tcPr>
          <w:p w14:paraId="011CC11A" w14:textId="77777777" w:rsidR="00EC5276" w:rsidRPr="003E3C9C" w:rsidRDefault="00EC5276" w:rsidP="00EC5276">
            <w:pPr>
              <w:jc w:val="center"/>
              <w:rPr>
                <w:rFonts w:ascii="Century Gothic" w:hAnsi="Century Gothic"/>
                <w:szCs w:val="22"/>
              </w:rPr>
            </w:pPr>
            <w:bookmarkStart w:id="168" w:name="_Hlk90995255"/>
            <w:r w:rsidRPr="003E3C9C">
              <w:rPr>
                <w:rFonts w:ascii="Century Gothic" w:hAnsi="Century Gothic"/>
                <w:b/>
                <w:bCs/>
                <w:szCs w:val="22"/>
              </w:rPr>
              <w:t>Unit of Measurement</w:t>
            </w:r>
          </w:p>
        </w:tc>
        <w:tc>
          <w:tcPr>
            <w:tcW w:w="1062"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4728A9A2" w14:textId="77777777" w:rsidR="00EC5276" w:rsidRPr="003E3C9C" w:rsidRDefault="00EC5276" w:rsidP="00EC5276">
            <w:pPr>
              <w:jc w:val="center"/>
              <w:rPr>
                <w:rFonts w:ascii="Century Gothic" w:hAnsi="Century Gothic"/>
                <w:szCs w:val="22"/>
              </w:rPr>
            </w:pPr>
            <w:r w:rsidRPr="003E3C9C">
              <w:rPr>
                <w:rFonts w:ascii="Century Gothic" w:hAnsi="Century Gothic"/>
                <w:b/>
                <w:bCs/>
                <w:szCs w:val="22"/>
              </w:rPr>
              <w:t>Baseline</w:t>
            </w:r>
          </w:p>
        </w:tc>
        <w:tc>
          <w:tcPr>
            <w:tcW w:w="1573" w:type="dxa"/>
            <w:gridSpan w:val="2"/>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7E00911D" w14:textId="77777777" w:rsidR="00EC5276" w:rsidRPr="003E3C9C" w:rsidRDefault="00EC5276" w:rsidP="00EC5276">
            <w:pPr>
              <w:jc w:val="center"/>
              <w:rPr>
                <w:rFonts w:ascii="Century Gothic" w:hAnsi="Century Gothic"/>
                <w:szCs w:val="22"/>
              </w:rPr>
            </w:pPr>
            <w:r w:rsidRPr="003E3C9C">
              <w:rPr>
                <w:rFonts w:ascii="Century Gothic" w:hAnsi="Century Gothic"/>
                <w:b/>
                <w:bCs/>
                <w:szCs w:val="22"/>
              </w:rPr>
              <w:t>Benchmark</w:t>
            </w:r>
          </w:p>
        </w:tc>
        <w:tc>
          <w:tcPr>
            <w:tcW w:w="2500"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76CBEE48" w14:textId="77777777" w:rsidR="00EC5276" w:rsidRPr="003E3C9C" w:rsidRDefault="00EC5276" w:rsidP="00EC5276">
            <w:pPr>
              <w:jc w:val="center"/>
              <w:rPr>
                <w:rFonts w:ascii="Century Gothic" w:hAnsi="Century Gothic"/>
                <w:szCs w:val="22"/>
              </w:rPr>
            </w:pPr>
            <w:r w:rsidRPr="003E3C9C">
              <w:rPr>
                <w:rFonts w:ascii="Century Gothic" w:hAnsi="Century Gothic"/>
                <w:b/>
                <w:bCs/>
                <w:szCs w:val="22"/>
              </w:rPr>
              <w:t>Outcome</w:t>
            </w:r>
          </w:p>
        </w:tc>
        <w:tc>
          <w:tcPr>
            <w:tcW w:w="2358" w:type="dxa"/>
            <w:gridSpan w:val="2"/>
            <w:tcBorders>
              <w:top w:val="single" w:sz="24" w:space="0" w:color="B5333C" w:themeColor="accent2"/>
              <w:left w:val="single" w:sz="4" w:space="0" w:color="D9D9D9" w:themeColor="background1" w:themeShade="D9"/>
              <w:bottom w:val="nil"/>
              <w:right w:val="nil"/>
            </w:tcBorders>
            <w:shd w:val="clear" w:color="auto" w:fill="BFBFBF" w:themeFill="background1" w:themeFillShade="BF"/>
            <w:vAlign w:val="center"/>
          </w:tcPr>
          <w:p w14:paraId="08813DF7" w14:textId="77777777" w:rsidR="00EC5276" w:rsidRPr="003E3C9C" w:rsidRDefault="00EC5276" w:rsidP="00EC5276">
            <w:pPr>
              <w:jc w:val="center"/>
              <w:rPr>
                <w:rFonts w:ascii="Century Gothic" w:hAnsi="Century Gothic"/>
                <w:szCs w:val="22"/>
              </w:rPr>
            </w:pPr>
            <w:r w:rsidRPr="003E3C9C">
              <w:rPr>
                <w:rFonts w:ascii="Century Gothic" w:hAnsi="Century Gothic"/>
                <w:b/>
                <w:bCs/>
                <w:szCs w:val="22"/>
              </w:rPr>
              <w:t>Benchmark Achieved?</w:t>
            </w:r>
          </w:p>
        </w:tc>
      </w:tr>
      <w:tr w:rsidR="00E7784C" w:rsidRPr="003E3C9C" w14:paraId="3CE650E0" w14:textId="77777777" w:rsidTr="62D66E5E">
        <w:trPr>
          <w:trHeight w:val="2610"/>
        </w:trPr>
        <w:tc>
          <w:tcPr>
            <w:tcW w:w="244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77ADA479" w14:textId="77777777" w:rsidR="00EC5276" w:rsidRPr="003E3C9C" w:rsidRDefault="00EC5276" w:rsidP="00EC5276">
            <w:pPr>
              <w:rPr>
                <w:rFonts w:ascii="Century Gothic" w:hAnsi="Century Gothic"/>
                <w:szCs w:val="22"/>
              </w:rPr>
            </w:pPr>
            <w:r w:rsidRPr="003E3C9C">
              <w:rPr>
                <w:rFonts w:ascii="Century Gothic" w:hAnsi="Century Gothic"/>
                <w:szCs w:val="22"/>
              </w:rPr>
              <w:t>Total annual staff time in hours to complete annual recertifications (PH and HCV combined) **</w:t>
            </w:r>
          </w:p>
        </w:tc>
        <w:tc>
          <w:tcPr>
            <w:tcW w:w="10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B8BC0CC" w14:textId="77777777" w:rsidR="00EC5276" w:rsidRPr="003E3C9C" w:rsidRDefault="00EC5276" w:rsidP="00EC5276">
            <w:pPr>
              <w:rPr>
                <w:rFonts w:ascii="Century Gothic" w:hAnsi="Century Gothic"/>
                <w:szCs w:val="22"/>
              </w:rPr>
            </w:pPr>
            <w:r w:rsidRPr="003E3C9C">
              <w:rPr>
                <w:rFonts w:ascii="Century Gothic" w:hAnsi="Century Gothic"/>
                <w:szCs w:val="22"/>
              </w:rPr>
              <w:t>12,238 (2007)</w:t>
            </w:r>
          </w:p>
        </w:tc>
        <w:tc>
          <w:tcPr>
            <w:tcW w:w="157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B704248" w14:textId="77777777" w:rsidR="00EC5276" w:rsidRPr="003E3C9C" w:rsidRDefault="7C258257" w:rsidP="46B3BF7C">
            <w:pPr>
              <w:rPr>
                <w:rFonts w:ascii="Century Gothic" w:hAnsi="Century Gothic"/>
                <w:szCs w:val="22"/>
              </w:rPr>
            </w:pPr>
            <w:r w:rsidRPr="003E3C9C">
              <w:rPr>
                <w:rFonts w:ascii="Century Gothic" w:hAnsi="Century Gothic"/>
                <w:szCs w:val="22"/>
              </w:rPr>
              <w:t>5,000 annual staff hours</w:t>
            </w:r>
          </w:p>
        </w:tc>
        <w:tc>
          <w:tcPr>
            <w:tcW w:w="25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D44C0B1" w14:textId="181C136B" w:rsidR="00A65B9A" w:rsidRPr="000D7D1F" w:rsidRDefault="3328E50C" w:rsidP="662A423E">
            <w:pPr>
              <w:rPr>
                <w:rFonts w:ascii="Century Gothic" w:hAnsi="Century Gothic"/>
              </w:rPr>
            </w:pPr>
            <w:r w:rsidRPr="000D7D1F">
              <w:rPr>
                <w:rFonts w:ascii="Century Gothic" w:hAnsi="Century Gothic"/>
              </w:rPr>
              <w:t>202</w:t>
            </w:r>
            <w:r w:rsidR="08BBC92E" w:rsidRPr="000D7D1F">
              <w:rPr>
                <w:rFonts w:ascii="Century Gothic" w:hAnsi="Century Gothic"/>
              </w:rPr>
              <w:t>4</w:t>
            </w:r>
            <w:r w:rsidRPr="000D7D1F">
              <w:rPr>
                <w:rFonts w:ascii="Century Gothic" w:hAnsi="Century Gothic"/>
              </w:rPr>
              <w:t xml:space="preserve">: </w:t>
            </w:r>
            <w:r w:rsidR="67DB8910" w:rsidRPr="000D7D1F">
              <w:rPr>
                <w:rFonts w:ascii="Century Gothic" w:hAnsi="Century Gothic"/>
              </w:rPr>
              <w:t>8,705</w:t>
            </w:r>
          </w:p>
          <w:p w14:paraId="032D350E" w14:textId="2234AB2B" w:rsidR="00A65B9A" w:rsidRPr="000D7D1F" w:rsidRDefault="3328E50C" w:rsidP="662A423E">
            <w:pPr>
              <w:rPr>
                <w:rFonts w:ascii="Century Gothic" w:hAnsi="Century Gothic"/>
              </w:rPr>
            </w:pPr>
            <w:r w:rsidRPr="000D7D1F">
              <w:rPr>
                <w:rFonts w:ascii="Century Gothic" w:hAnsi="Century Gothic"/>
              </w:rPr>
              <w:t xml:space="preserve">     (HCV </w:t>
            </w:r>
            <w:r w:rsidR="20A3E592" w:rsidRPr="000D7D1F">
              <w:rPr>
                <w:rFonts w:ascii="Century Gothic" w:hAnsi="Century Gothic"/>
              </w:rPr>
              <w:t>7,516</w:t>
            </w:r>
          </w:p>
          <w:p w14:paraId="0898677F" w14:textId="570C6119" w:rsidR="00A65B9A" w:rsidRDefault="121B1AB1" w:rsidP="662A423E">
            <w:pPr>
              <w:rPr>
                <w:rFonts w:ascii="Century Gothic" w:hAnsi="Century Gothic"/>
              </w:rPr>
            </w:pPr>
            <w:r w:rsidRPr="000D7D1F">
              <w:rPr>
                <w:rFonts w:ascii="Century Gothic" w:hAnsi="Century Gothic"/>
              </w:rPr>
              <w:t xml:space="preserve">     (LIPH</w:t>
            </w:r>
            <w:r w:rsidR="3A4689D5" w:rsidRPr="000D7D1F">
              <w:rPr>
                <w:rFonts w:ascii="Century Gothic" w:hAnsi="Century Gothic"/>
              </w:rPr>
              <w:t xml:space="preserve"> 1,189</w:t>
            </w:r>
            <w:r w:rsidRPr="000D7D1F">
              <w:rPr>
                <w:rFonts w:ascii="Century Gothic" w:hAnsi="Century Gothic"/>
              </w:rPr>
              <w:t>)</w:t>
            </w:r>
            <w:r w:rsidRPr="7D8DAC21">
              <w:rPr>
                <w:rFonts w:ascii="Century Gothic" w:hAnsi="Century Gothic"/>
              </w:rPr>
              <w:t xml:space="preserve"> </w:t>
            </w:r>
          </w:p>
          <w:p w14:paraId="440E7348" w14:textId="77777777" w:rsidR="0032063E" w:rsidRPr="003E3C9C" w:rsidRDefault="0032063E" w:rsidP="662A423E">
            <w:pPr>
              <w:rPr>
                <w:rFonts w:ascii="Century Gothic" w:hAnsi="Century Gothic"/>
              </w:rPr>
            </w:pPr>
          </w:p>
          <w:p w14:paraId="7B22AAC8" w14:textId="05512FD4" w:rsidR="00A65B9A" w:rsidRPr="003E3C9C" w:rsidRDefault="20802705" w:rsidP="00A65B9A">
            <w:pPr>
              <w:rPr>
                <w:rFonts w:ascii="Century Gothic" w:hAnsi="Century Gothic"/>
                <w:szCs w:val="22"/>
              </w:rPr>
            </w:pPr>
            <w:r w:rsidRPr="003E3C9C">
              <w:rPr>
                <w:rFonts w:ascii="Century Gothic" w:hAnsi="Century Gothic"/>
                <w:szCs w:val="22"/>
              </w:rPr>
              <w:t xml:space="preserve">2023: </w:t>
            </w:r>
            <w:r w:rsidR="0032063E">
              <w:rPr>
                <w:rFonts w:ascii="Century Gothic" w:hAnsi="Century Gothic"/>
                <w:szCs w:val="22"/>
              </w:rPr>
              <w:t>8,305</w:t>
            </w:r>
          </w:p>
          <w:p w14:paraId="046F60C4" w14:textId="6F5528B4" w:rsidR="1B3F2E6D" w:rsidRPr="003E3C9C" w:rsidRDefault="2A9C4815" w:rsidP="4566E4F4">
            <w:pPr>
              <w:rPr>
                <w:rFonts w:ascii="Century Gothic" w:hAnsi="Century Gothic"/>
                <w:szCs w:val="22"/>
              </w:rPr>
            </w:pPr>
            <w:r w:rsidRPr="003E3C9C">
              <w:rPr>
                <w:rFonts w:ascii="Century Gothic" w:hAnsi="Century Gothic"/>
                <w:szCs w:val="22"/>
              </w:rPr>
              <w:t>2022: 8</w:t>
            </w:r>
            <w:r w:rsidR="5C823249" w:rsidRPr="003E3C9C">
              <w:rPr>
                <w:rFonts w:ascii="Century Gothic" w:hAnsi="Century Gothic"/>
                <w:szCs w:val="22"/>
              </w:rPr>
              <w:t>,4</w:t>
            </w:r>
            <w:r w:rsidR="003700BA">
              <w:rPr>
                <w:rFonts w:ascii="Century Gothic" w:hAnsi="Century Gothic"/>
                <w:szCs w:val="22"/>
              </w:rPr>
              <w:t>90</w:t>
            </w:r>
          </w:p>
          <w:p w14:paraId="2B2F5C22" w14:textId="4852DFAB" w:rsidR="00136B56" w:rsidRPr="003E3C9C" w:rsidRDefault="46C0B502" w:rsidP="1D755B09">
            <w:pPr>
              <w:rPr>
                <w:rFonts w:ascii="Century Gothic" w:hAnsi="Century Gothic"/>
                <w:szCs w:val="22"/>
              </w:rPr>
            </w:pPr>
            <w:r w:rsidRPr="003E3C9C">
              <w:rPr>
                <w:rFonts w:ascii="Century Gothic" w:hAnsi="Century Gothic"/>
                <w:szCs w:val="22"/>
              </w:rPr>
              <w:t xml:space="preserve">2021: </w:t>
            </w:r>
            <w:r w:rsidR="3D851E48" w:rsidRPr="003E3C9C">
              <w:rPr>
                <w:rFonts w:ascii="Century Gothic" w:hAnsi="Century Gothic"/>
                <w:szCs w:val="22"/>
              </w:rPr>
              <w:t>8,120</w:t>
            </w:r>
          </w:p>
          <w:p w14:paraId="540D0CBF" w14:textId="71F79501" w:rsidR="1F3241C7" w:rsidRPr="003E3C9C" w:rsidRDefault="1F3241C7" w:rsidP="37E17D87">
            <w:pPr>
              <w:rPr>
                <w:rFonts w:ascii="Century Gothic" w:eastAsia="MS PGothic" w:hAnsi="Century Gothic"/>
                <w:szCs w:val="22"/>
              </w:rPr>
            </w:pPr>
            <w:r w:rsidRPr="003E3C9C">
              <w:rPr>
                <w:rFonts w:ascii="Century Gothic" w:eastAsia="MS PGothic" w:hAnsi="Century Gothic"/>
                <w:szCs w:val="22"/>
              </w:rPr>
              <w:t>2020</w:t>
            </w:r>
            <w:r w:rsidR="20747295" w:rsidRPr="003E3C9C">
              <w:rPr>
                <w:rFonts w:ascii="Century Gothic" w:eastAsia="MS PGothic" w:hAnsi="Century Gothic"/>
                <w:szCs w:val="22"/>
              </w:rPr>
              <w:t>:</w:t>
            </w:r>
            <w:r w:rsidR="11F23CC6" w:rsidRPr="003E3C9C">
              <w:rPr>
                <w:rFonts w:ascii="Century Gothic" w:eastAsia="MS PGothic" w:hAnsi="Century Gothic"/>
                <w:szCs w:val="22"/>
              </w:rPr>
              <w:t xml:space="preserve"> </w:t>
            </w:r>
            <w:r w:rsidR="2FB0BA58" w:rsidRPr="003E3C9C">
              <w:rPr>
                <w:rFonts w:ascii="Century Gothic" w:eastAsia="MS PGothic" w:hAnsi="Century Gothic"/>
                <w:szCs w:val="22"/>
              </w:rPr>
              <w:t>8</w:t>
            </w:r>
            <w:r w:rsidR="00650FDA" w:rsidRPr="003E3C9C">
              <w:rPr>
                <w:rFonts w:ascii="Century Gothic" w:eastAsia="MS PGothic" w:hAnsi="Century Gothic"/>
                <w:szCs w:val="22"/>
              </w:rPr>
              <w:t>,</w:t>
            </w:r>
            <w:r w:rsidR="2FB0BA58" w:rsidRPr="003E3C9C">
              <w:rPr>
                <w:rFonts w:ascii="Century Gothic" w:eastAsia="MS PGothic" w:hAnsi="Century Gothic"/>
                <w:szCs w:val="22"/>
              </w:rPr>
              <w:t>240</w:t>
            </w:r>
          </w:p>
          <w:p w14:paraId="5EF01291" w14:textId="1395A445" w:rsidR="00136B56" w:rsidRPr="003E3C9C" w:rsidRDefault="53346160" w:rsidP="1D755B09">
            <w:pPr>
              <w:rPr>
                <w:rFonts w:ascii="Century Gothic" w:hAnsi="Century Gothic"/>
                <w:szCs w:val="22"/>
              </w:rPr>
            </w:pPr>
            <w:r w:rsidRPr="003E3C9C">
              <w:rPr>
                <w:rFonts w:ascii="Century Gothic" w:hAnsi="Century Gothic"/>
                <w:szCs w:val="22"/>
              </w:rPr>
              <w:t xml:space="preserve">2019: </w:t>
            </w:r>
            <w:r w:rsidR="78D468B6" w:rsidRPr="003E3C9C">
              <w:rPr>
                <w:rFonts w:ascii="Century Gothic" w:hAnsi="Century Gothic"/>
                <w:szCs w:val="22"/>
              </w:rPr>
              <w:t>4,671</w:t>
            </w:r>
            <w:r w:rsidR="00FF2772" w:rsidRPr="003E3C9C">
              <w:rPr>
                <w:rStyle w:val="FootnoteReference"/>
                <w:rFonts w:ascii="Century Gothic" w:hAnsi="Century Gothic"/>
                <w:szCs w:val="22"/>
              </w:rPr>
              <w:footnoteReference w:id="14"/>
            </w:r>
          </w:p>
          <w:p w14:paraId="3CAB7469" w14:textId="48ABF541" w:rsidR="00EC5276" w:rsidRPr="003E3C9C" w:rsidRDefault="56D4BE9D" w:rsidP="655A2699">
            <w:pPr>
              <w:rPr>
                <w:rFonts w:ascii="Century Gothic" w:hAnsi="Century Gothic"/>
                <w:szCs w:val="22"/>
              </w:rPr>
            </w:pPr>
            <w:r w:rsidRPr="003E3C9C">
              <w:rPr>
                <w:rFonts w:ascii="Century Gothic" w:hAnsi="Century Gothic"/>
                <w:szCs w:val="22"/>
              </w:rPr>
              <w:t xml:space="preserve">2018: </w:t>
            </w:r>
            <w:r w:rsidR="004637A2" w:rsidRPr="003E3C9C">
              <w:rPr>
                <w:rFonts w:ascii="Century Gothic" w:hAnsi="Century Gothic"/>
                <w:szCs w:val="22"/>
              </w:rPr>
              <w:t>15,138</w:t>
            </w:r>
          </w:p>
          <w:p w14:paraId="189DB916" w14:textId="085BB805" w:rsidR="00EC5276" w:rsidRPr="003E3C9C" w:rsidRDefault="00EC5276" w:rsidP="655A2699">
            <w:pPr>
              <w:rPr>
                <w:rFonts w:ascii="Century Gothic" w:hAnsi="Century Gothic"/>
                <w:szCs w:val="22"/>
              </w:rPr>
            </w:pPr>
            <w:r w:rsidRPr="003E3C9C">
              <w:rPr>
                <w:rFonts w:ascii="Century Gothic" w:hAnsi="Century Gothic"/>
                <w:szCs w:val="22"/>
              </w:rPr>
              <w:t xml:space="preserve">2017: 5,998 </w:t>
            </w:r>
          </w:p>
          <w:p w14:paraId="75D24BC5" w14:textId="369F5C7A" w:rsidR="00EC5276" w:rsidRPr="003E3C9C" w:rsidRDefault="00EC5276" w:rsidP="655A2699">
            <w:pPr>
              <w:rPr>
                <w:rFonts w:ascii="Century Gothic" w:hAnsi="Century Gothic"/>
                <w:szCs w:val="22"/>
              </w:rPr>
            </w:pPr>
            <w:r w:rsidRPr="003E3C9C">
              <w:rPr>
                <w:rFonts w:ascii="Century Gothic" w:hAnsi="Century Gothic"/>
                <w:szCs w:val="22"/>
              </w:rPr>
              <w:t>2016: 7,273</w:t>
            </w:r>
          </w:p>
          <w:p w14:paraId="1FB1A90C" w14:textId="7FC933AF" w:rsidR="00EC5276" w:rsidRPr="003E3C9C" w:rsidRDefault="00EC5276" w:rsidP="655A2699">
            <w:pPr>
              <w:rPr>
                <w:rFonts w:ascii="Century Gothic" w:hAnsi="Century Gothic"/>
                <w:szCs w:val="22"/>
              </w:rPr>
            </w:pPr>
            <w:r w:rsidRPr="003E3C9C">
              <w:rPr>
                <w:rFonts w:ascii="Century Gothic" w:hAnsi="Century Gothic"/>
                <w:szCs w:val="22"/>
              </w:rPr>
              <w:t>2015: 5,313</w:t>
            </w:r>
            <w:r w:rsidRPr="003E3C9C">
              <w:rPr>
                <w:rFonts w:ascii="Century Gothic" w:hAnsi="Century Gothic"/>
                <w:szCs w:val="22"/>
              </w:rPr>
              <w:br/>
              <w:t xml:space="preserve"> 2014: 6,133</w:t>
            </w:r>
            <w:r w:rsidRPr="003E3C9C">
              <w:rPr>
                <w:rFonts w:ascii="Century Gothic" w:hAnsi="Century Gothic"/>
                <w:szCs w:val="22"/>
              </w:rPr>
              <w:br/>
              <w:t xml:space="preserve"> 2013: 4,850</w:t>
            </w:r>
            <w:r w:rsidRPr="003E3C9C">
              <w:rPr>
                <w:rFonts w:ascii="Century Gothic" w:hAnsi="Century Gothic"/>
                <w:szCs w:val="22"/>
              </w:rPr>
              <w:br/>
              <w:t xml:space="preserve"> 2012: 6,154</w:t>
            </w:r>
            <w:r w:rsidRPr="003E3C9C">
              <w:rPr>
                <w:rFonts w:ascii="Century Gothic" w:hAnsi="Century Gothic"/>
                <w:szCs w:val="22"/>
              </w:rPr>
              <w:br/>
              <w:t xml:space="preserve"> 2011: 5,308</w:t>
            </w:r>
            <w:r w:rsidRPr="003E3C9C">
              <w:rPr>
                <w:rFonts w:ascii="Century Gothic" w:hAnsi="Century Gothic"/>
                <w:szCs w:val="22"/>
              </w:rPr>
              <w:br/>
              <w:t xml:space="preserve"> 2010: 8,596</w:t>
            </w:r>
            <w:r w:rsidRPr="003E3C9C">
              <w:rPr>
                <w:rFonts w:ascii="Century Gothic" w:hAnsi="Century Gothic"/>
                <w:szCs w:val="22"/>
              </w:rPr>
              <w:br/>
              <w:t xml:space="preserve"> 2009: 9,578</w:t>
            </w:r>
            <w:r w:rsidRPr="003E3C9C">
              <w:rPr>
                <w:rFonts w:ascii="Century Gothic" w:hAnsi="Century Gothic"/>
                <w:szCs w:val="22"/>
              </w:rPr>
              <w:br/>
              <w:t xml:space="preserve"> 2008: 9,518</w:t>
            </w:r>
          </w:p>
        </w:tc>
        <w:tc>
          <w:tcPr>
            <w:tcW w:w="235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7DAEFB29" w14:textId="6454F747" w:rsidR="00EC5276" w:rsidRPr="003E3C9C" w:rsidRDefault="00650FDA" w:rsidP="00EC5276">
            <w:pPr>
              <w:rPr>
                <w:rFonts w:ascii="Century Gothic" w:hAnsi="Century Gothic"/>
                <w:szCs w:val="22"/>
              </w:rPr>
            </w:pPr>
            <w:r w:rsidRPr="003E3C9C">
              <w:rPr>
                <w:rFonts w:ascii="Century Gothic" w:hAnsi="Century Gothic"/>
                <w:szCs w:val="22"/>
              </w:rPr>
              <w:t>No</w:t>
            </w:r>
          </w:p>
        </w:tc>
      </w:tr>
      <w:bookmarkEnd w:id="168"/>
      <w:tr w:rsidR="00DE096B" w:rsidRPr="00331A0B" w14:paraId="68964034" w14:textId="77777777" w:rsidTr="62D66E5E">
        <w:trPr>
          <w:trHeight w:val="404"/>
        </w:trPr>
        <w:tc>
          <w:tcPr>
            <w:tcW w:w="9941" w:type="dxa"/>
            <w:gridSpan w:val="7"/>
            <w:tcBorders>
              <w:top w:val="nil"/>
              <w:left w:val="nil"/>
              <w:bottom w:val="single" w:sz="4" w:space="0" w:color="D9D9D9" w:themeColor="background1" w:themeShade="D9"/>
              <w:right w:val="nil"/>
            </w:tcBorders>
            <w:shd w:val="clear" w:color="auto" w:fill="808080" w:themeFill="background1" w:themeFillShade="80"/>
            <w:hideMark/>
          </w:tcPr>
          <w:p w14:paraId="6AB97A50" w14:textId="77777777" w:rsidR="00EC5276" w:rsidRPr="00845AC8" w:rsidRDefault="00EC5276" w:rsidP="00EC5276">
            <w:pPr>
              <w:jc w:val="center"/>
              <w:rPr>
                <w:rFonts w:ascii="Century Gothic" w:hAnsi="Century Gothic"/>
                <w:b/>
                <w:bCs/>
                <w:iCs/>
                <w:szCs w:val="22"/>
              </w:rPr>
            </w:pPr>
            <w:r w:rsidRPr="00845AC8">
              <w:rPr>
                <w:rFonts w:ascii="Century Gothic" w:hAnsi="Century Gothic"/>
                <w:b/>
                <w:bCs/>
                <w:iCs/>
                <w:szCs w:val="22"/>
              </w:rPr>
              <w:lastRenderedPageBreak/>
              <w:t>CE #3: Decrease in Error Rate of Task Execution</w:t>
            </w:r>
          </w:p>
        </w:tc>
      </w:tr>
      <w:tr w:rsidR="00E7784C" w:rsidRPr="00331A0B" w14:paraId="55EBDD52" w14:textId="77777777" w:rsidTr="62D66E5E">
        <w:trPr>
          <w:trHeight w:val="2348"/>
        </w:trPr>
        <w:tc>
          <w:tcPr>
            <w:tcW w:w="2448" w:type="dxa"/>
            <w:tcBorders>
              <w:top w:val="nil"/>
              <w:left w:val="nil"/>
              <w:bottom w:val="single" w:sz="4" w:space="0" w:color="D9D9D9" w:themeColor="background1" w:themeShade="D9"/>
              <w:right w:val="single" w:sz="4" w:space="0" w:color="D9D9D9" w:themeColor="background1" w:themeShade="D9"/>
            </w:tcBorders>
            <w:hideMark/>
          </w:tcPr>
          <w:p w14:paraId="6729EF5E" w14:textId="77777777" w:rsidR="00EC5276" w:rsidRPr="00845AC8" w:rsidRDefault="00EC5276" w:rsidP="00EC5276">
            <w:pPr>
              <w:rPr>
                <w:rFonts w:ascii="Century Gothic" w:hAnsi="Century Gothic"/>
                <w:szCs w:val="22"/>
              </w:rPr>
            </w:pPr>
            <w:r w:rsidRPr="00845AC8">
              <w:rPr>
                <w:rFonts w:ascii="Century Gothic" w:hAnsi="Century Gothic"/>
                <w:szCs w:val="22"/>
              </w:rPr>
              <w:t>Average percentage error rate in calculating rents in annual recertifications (% files reviewed with errors)</w:t>
            </w:r>
          </w:p>
        </w:tc>
        <w:tc>
          <w:tcPr>
            <w:tcW w:w="1317"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ED0D93E" w14:textId="77777777" w:rsidR="00EC5276" w:rsidRPr="00845AC8" w:rsidRDefault="00EC5276" w:rsidP="00EC5276">
            <w:pPr>
              <w:rPr>
                <w:rFonts w:ascii="Century Gothic" w:hAnsi="Century Gothic"/>
                <w:szCs w:val="22"/>
              </w:rPr>
            </w:pPr>
            <w:r w:rsidRPr="00845AC8">
              <w:rPr>
                <w:rFonts w:ascii="Century Gothic" w:hAnsi="Century Gothic"/>
                <w:szCs w:val="22"/>
              </w:rPr>
              <w:t>11% of files (2011)</w:t>
            </w:r>
          </w:p>
        </w:tc>
        <w:tc>
          <w:tcPr>
            <w:tcW w:w="131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D2AEF2C" w14:textId="77777777" w:rsidR="00EC5276" w:rsidRPr="00845AC8" w:rsidRDefault="00EC5276" w:rsidP="00EC5276">
            <w:pPr>
              <w:rPr>
                <w:rFonts w:ascii="Century Gothic" w:hAnsi="Century Gothic"/>
                <w:szCs w:val="22"/>
              </w:rPr>
            </w:pPr>
            <w:r w:rsidRPr="00845AC8">
              <w:rPr>
                <w:rFonts w:ascii="Century Gothic" w:hAnsi="Century Gothic"/>
                <w:szCs w:val="22"/>
              </w:rPr>
              <w:t>5% of files</w:t>
            </w:r>
          </w:p>
        </w:tc>
        <w:tc>
          <w:tcPr>
            <w:tcW w:w="3032"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E51453A" w14:textId="77777777" w:rsidR="003700BA" w:rsidRDefault="1B71EF8D" w:rsidP="003700BA">
            <w:pPr>
              <w:rPr>
                <w:rFonts w:ascii="Century Gothic" w:hAnsi="Century Gothic"/>
              </w:rPr>
            </w:pPr>
            <w:r w:rsidRPr="7F9A395B">
              <w:rPr>
                <w:rFonts w:ascii="Century Gothic" w:hAnsi="Century Gothic"/>
              </w:rPr>
              <w:t xml:space="preserve">2024: </w:t>
            </w:r>
            <w:r w:rsidR="7270D426" w:rsidRPr="7F9A395B">
              <w:rPr>
                <w:rFonts w:ascii="Century Gothic" w:hAnsi="Century Gothic"/>
              </w:rPr>
              <w:t>4</w:t>
            </w:r>
            <w:r w:rsidRPr="7F9A395B">
              <w:rPr>
                <w:rFonts w:ascii="Century Gothic" w:hAnsi="Century Gothic"/>
              </w:rPr>
              <w:t>% (average</w:t>
            </w:r>
            <w:r w:rsidR="003700BA">
              <w:rPr>
                <w:rFonts w:ascii="Century Gothic" w:hAnsi="Century Gothic"/>
              </w:rPr>
              <w:t xml:space="preserve">) </w:t>
            </w:r>
            <w:r w:rsidRPr="7F9A395B">
              <w:rPr>
                <w:rFonts w:ascii="Century Gothic" w:hAnsi="Century Gothic"/>
              </w:rPr>
              <w:t xml:space="preserve"> </w:t>
            </w:r>
          </w:p>
          <w:p w14:paraId="555C47F8" w14:textId="00E64E2A" w:rsidR="00A65B9A" w:rsidRPr="00EE50EB" w:rsidRDefault="280245A3" w:rsidP="00486062">
            <w:pPr>
              <w:pStyle w:val="ListParagraph"/>
              <w:numPr>
                <w:ilvl w:val="0"/>
                <w:numId w:val="132"/>
              </w:numPr>
              <w:rPr>
                <w:rFonts w:ascii="Century Gothic" w:hAnsi="Century Gothic"/>
                <w:szCs w:val="22"/>
              </w:rPr>
            </w:pPr>
            <w:r w:rsidRPr="00EE50EB">
              <w:rPr>
                <w:rFonts w:ascii="Century Gothic" w:hAnsi="Century Gothic"/>
                <w:szCs w:val="22"/>
              </w:rPr>
              <w:t>4</w:t>
            </w:r>
            <w:r w:rsidR="1B71EF8D" w:rsidRPr="00EE50EB">
              <w:rPr>
                <w:rFonts w:ascii="Century Gothic" w:hAnsi="Century Gothic"/>
                <w:szCs w:val="22"/>
              </w:rPr>
              <w:t>% of files (HCV)</w:t>
            </w:r>
          </w:p>
          <w:p w14:paraId="5DDBB540" w14:textId="70ABFCBC" w:rsidR="00A65B9A" w:rsidRDefault="003700BA" w:rsidP="00486062">
            <w:pPr>
              <w:pStyle w:val="ListParagraph"/>
              <w:numPr>
                <w:ilvl w:val="0"/>
                <w:numId w:val="43"/>
              </w:numPr>
              <w:rPr>
                <w:rFonts w:ascii="Century Gothic" w:hAnsi="Century Gothic"/>
              </w:rPr>
            </w:pPr>
            <w:r>
              <w:rPr>
                <w:rFonts w:ascii="Century Gothic" w:hAnsi="Century Gothic"/>
              </w:rPr>
              <w:t>N/A</w:t>
            </w:r>
            <w:r w:rsidR="1B71EF8D" w:rsidRPr="003700BA">
              <w:rPr>
                <w:rFonts w:ascii="Century Gothic" w:hAnsi="Century Gothic"/>
              </w:rPr>
              <w:t xml:space="preserve"> LIPH </w:t>
            </w:r>
          </w:p>
          <w:p w14:paraId="7E4FF94A" w14:textId="146B9E2B" w:rsidR="00A65B9A" w:rsidRPr="00845AC8" w:rsidRDefault="34F0ABC4" w:rsidP="00EE50EB">
            <w:pPr>
              <w:rPr>
                <w:rFonts w:ascii="Century Gothic" w:hAnsi="Century Gothic"/>
                <w:szCs w:val="22"/>
              </w:rPr>
            </w:pPr>
            <w:r w:rsidRPr="00845AC8">
              <w:rPr>
                <w:rFonts w:ascii="Century Gothic" w:hAnsi="Century Gothic"/>
                <w:szCs w:val="22"/>
              </w:rPr>
              <w:t xml:space="preserve">2023: </w:t>
            </w:r>
            <w:r w:rsidR="33415870" w:rsidRPr="00845AC8">
              <w:rPr>
                <w:rFonts w:ascii="Century Gothic" w:hAnsi="Century Gothic"/>
                <w:szCs w:val="22"/>
              </w:rPr>
              <w:t>5.5</w:t>
            </w:r>
            <w:r w:rsidR="19373A7F" w:rsidRPr="00845AC8">
              <w:rPr>
                <w:rFonts w:ascii="Century Gothic" w:hAnsi="Century Gothic"/>
                <w:szCs w:val="22"/>
              </w:rPr>
              <w:t>%</w:t>
            </w:r>
            <w:r w:rsidRPr="00845AC8">
              <w:rPr>
                <w:rFonts w:ascii="Century Gothic" w:hAnsi="Century Gothic"/>
                <w:szCs w:val="22"/>
              </w:rPr>
              <w:t xml:space="preserve"> (average</w:t>
            </w:r>
            <w:r w:rsidR="00EE50EB">
              <w:rPr>
                <w:rFonts w:ascii="Century Gothic" w:hAnsi="Century Gothic"/>
                <w:szCs w:val="22"/>
              </w:rPr>
              <w:t>)</w:t>
            </w:r>
            <w:r w:rsidRPr="00845AC8">
              <w:rPr>
                <w:rFonts w:ascii="Century Gothic" w:hAnsi="Century Gothic"/>
                <w:szCs w:val="22"/>
              </w:rPr>
              <w:t xml:space="preserve"> </w:t>
            </w:r>
          </w:p>
          <w:p w14:paraId="0BC4ACA5" w14:textId="222AE699" w:rsidR="4361BC89" w:rsidRPr="00845AC8" w:rsidRDefault="742C8D13" w:rsidP="00EE50EB">
            <w:pPr>
              <w:rPr>
                <w:rFonts w:ascii="Century Gothic" w:hAnsi="Century Gothic"/>
                <w:szCs w:val="22"/>
              </w:rPr>
            </w:pPr>
            <w:r w:rsidRPr="00845AC8">
              <w:rPr>
                <w:rFonts w:ascii="Century Gothic" w:hAnsi="Century Gothic"/>
                <w:szCs w:val="22"/>
              </w:rPr>
              <w:t>2022: 6% (average</w:t>
            </w:r>
            <w:r w:rsidR="00EE50EB">
              <w:rPr>
                <w:rFonts w:ascii="Century Gothic" w:hAnsi="Century Gothic"/>
                <w:szCs w:val="22"/>
              </w:rPr>
              <w:t>)</w:t>
            </w:r>
            <w:r w:rsidRPr="00845AC8">
              <w:rPr>
                <w:rFonts w:ascii="Century Gothic" w:hAnsi="Century Gothic"/>
                <w:szCs w:val="22"/>
              </w:rPr>
              <w:t xml:space="preserve"> </w:t>
            </w:r>
          </w:p>
          <w:p w14:paraId="2FCCA0F7" w14:textId="4B976B6C" w:rsidR="4361BC89" w:rsidRPr="00845AC8" w:rsidRDefault="69523FE7" w:rsidP="3C3EEDA0">
            <w:pPr>
              <w:rPr>
                <w:rFonts w:ascii="Century Gothic" w:hAnsi="Century Gothic"/>
                <w:szCs w:val="22"/>
              </w:rPr>
            </w:pPr>
            <w:r w:rsidRPr="00845AC8">
              <w:rPr>
                <w:rFonts w:ascii="Century Gothic" w:hAnsi="Century Gothic"/>
                <w:szCs w:val="22"/>
              </w:rPr>
              <w:t>2021</w:t>
            </w:r>
            <w:r w:rsidR="1C0E660B" w:rsidRPr="00845AC8">
              <w:rPr>
                <w:rFonts w:ascii="Century Gothic" w:hAnsi="Century Gothic"/>
                <w:szCs w:val="22"/>
              </w:rPr>
              <w:t xml:space="preserve">: </w:t>
            </w:r>
            <w:r w:rsidR="2AFE4A29" w:rsidRPr="00845AC8">
              <w:rPr>
                <w:rFonts w:ascii="Century Gothic" w:hAnsi="Century Gothic"/>
                <w:szCs w:val="22"/>
              </w:rPr>
              <w:t>5</w:t>
            </w:r>
            <w:r w:rsidR="7CAAA22D" w:rsidRPr="00845AC8">
              <w:rPr>
                <w:rFonts w:ascii="Century Gothic" w:hAnsi="Century Gothic"/>
                <w:szCs w:val="22"/>
              </w:rPr>
              <w:t>% of Files LIPH</w:t>
            </w:r>
          </w:p>
          <w:p w14:paraId="59BF8E99" w14:textId="3B7D6961" w:rsidR="13C20606" w:rsidRPr="00845AC8" w:rsidRDefault="0FE976A8" w:rsidP="7A9F6FA0">
            <w:pPr>
              <w:rPr>
                <w:rFonts w:ascii="Century Gothic" w:eastAsia="MS PGothic" w:hAnsi="Century Gothic"/>
                <w:szCs w:val="22"/>
              </w:rPr>
            </w:pPr>
            <w:r w:rsidRPr="00845AC8">
              <w:rPr>
                <w:rFonts w:ascii="Century Gothic" w:eastAsia="MS PGothic" w:hAnsi="Century Gothic"/>
                <w:szCs w:val="22"/>
              </w:rPr>
              <w:t>2020</w:t>
            </w:r>
            <w:r w:rsidR="23D6B030" w:rsidRPr="00845AC8">
              <w:rPr>
                <w:rFonts w:ascii="Century Gothic" w:eastAsia="MS PGothic" w:hAnsi="Century Gothic"/>
                <w:szCs w:val="22"/>
              </w:rPr>
              <w:t xml:space="preserve">: </w:t>
            </w:r>
            <w:r w:rsidR="1C010B2E" w:rsidRPr="00845AC8">
              <w:rPr>
                <w:rFonts w:ascii="Century Gothic" w:eastAsia="MS PGothic" w:hAnsi="Century Gothic"/>
                <w:szCs w:val="22"/>
              </w:rPr>
              <w:t>0%</w:t>
            </w:r>
            <w:r w:rsidR="00CA7F15" w:rsidRPr="00845AC8">
              <w:rPr>
                <w:rFonts w:ascii="Century Gothic" w:eastAsia="MS PGothic" w:hAnsi="Century Gothic"/>
                <w:szCs w:val="22"/>
              </w:rPr>
              <w:t xml:space="preserve"> </w:t>
            </w:r>
            <w:r w:rsidR="0E5C3168" w:rsidRPr="00845AC8">
              <w:rPr>
                <w:rFonts w:ascii="Century Gothic" w:eastAsia="MS PGothic" w:hAnsi="Century Gothic"/>
                <w:szCs w:val="22"/>
              </w:rPr>
              <w:t>of Files LIPH</w:t>
            </w:r>
          </w:p>
          <w:p w14:paraId="4D308BFD" w14:textId="74171D93" w:rsidR="00B64C86" w:rsidRPr="00845AC8" w:rsidRDefault="23D4157E" w:rsidP="1D755B09">
            <w:pPr>
              <w:rPr>
                <w:rFonts w:ascii="Century Gothic" w:hAnsi="Century Gothic"/>
                <w:szCs w:val="22"/>
              </w:rPr>
            </w:pPr>
            <w:r w:rsidRPr="00845AC8">
              <w:rPr>
                <w:rFonts w:ascii="Century Gothic" w:hAnsi="Century Gothic"/>
                <w:szCs w:val="22"/>
              </w:rPr>
              <w:t>2019: 10% of files (HCV)</w:t>
            </w:r>
          </w:p>
          <w:p w14:paraId="3326480C" w14:textId="03862B1C" w:rsidR="00EC5276" w:rsidRPr="00845AC8" w:rsidRDefault="00EC5276" w:rsidP="00EC5276">
            <w:pPr>
              <w:rPr>
                <w:rFonts w:ascii="Century Gothic" w:hAnsi="Century Gothic"/>
                <w:szCs w:val="22"/>
              </w:rPr>
            </w:pPr>
            <w:r w:rsidRPr="00845AC8">
              <w:rPr>
                <w:rFonts w:ascii="Century Gothic" w:hAnsi="Century Gothic"/>
                <w:szCs w:val="22"/>
              </w:rPr>
              <w:t>2018: 0% of files (HCV)</w:t>
            </w:r>
          </w:p>
          <w:p w14:paraId="5EA6BEC3" w14:textId="77777777" w:rsidR="00EC5276" w:rsidRPr="00845AC8" w:rsidRDefault="00EC5276" w:rsidP="00EC5276">
            <w:pPr>
              <w:rPr>
                <w:rFonts w:ascii="Century Gothic" w:hAnsi="Century Gothic"/>
                <w:szCs w:val="22"/>
              </w:rPr>
            </w:pPr>
            <w:r w:rsidRPr="00845AC8">
              <w:rPr>
                <w:rFonts w:ascii="Century Gothic" w:hAnsi="Century Gothic"/>
                <w:szCs w:val="22"/>
              </w:rPr>
              <w:t>2017: 1% of files (HCV)</w:t>
            </w:r>
          </w:p>
          <w:p w14:paraId="3DF126D7" w14:textId="77777777" w:rsidR="00EC5276" w:rsidRPr="00845AC8" w:rsidRDefault="00EC5276" w:rsidP="00EC5276">
            <w:pPr>
              <w:rPr>
                <w:rFonts w:ascii="Century Gothic" w:hAnsi="Century Gothic"/>
                <w:szCs w:val="22"/>
              </w:rPr>
            </w:pPr>
            <w:r w:rsidRPr="00845AC8">
              <w:rPr>
                <w:rFonts w:ascii="Century Gothic" w:hAnsi="Century Gothic"/>
                <w:szCs w:val="22"/>
              </w:rPr>
              <w:t>2016: 1% of files (HCV)</w:t>
            </w:r>
          </w:p>
          <w:p w14:paraId="57DF9065" w14:textId="77777777" w:rsidR="00EC5276" w:rsidRDefault="00EC5276" w:rsidP="00EC5276">
            <w:pPr>
              <w:rPr>
                <w:rFonts w:ascii="Century Gothic" w:hAnsi="Century Gothic"/>
                <w:szCs w:val="22"/>
              </w:rPr>
            </w:pPr>
            <w:r w:rsidRPr="00845AC8">
              <w:rPr>
                <w:rFonts w:ascii="Century Gothic" w:hAnsi="Century Gothic"/>
                <w:szCs w:val="22"/>
              </w:rPr>
              <w:t>2015: 24% of files (HCV)</w:t>
            </w:r>
            <w:r w:rsidRPr="00845AC8">
              <w:rPr>
                <w:rFonts w:ascii="Century Gothic" w:hAnsi="Century Gothic"/>
                <w:szCs w:val="22"/>
              </w:rPr>
              <w:br/>
              <w:t>2014: 24% of files (HCV)</w:t>
            </w:r>
            <w:r w:rsidRPr="00845AC8">
              <w:rPr>
                <w:rFonts w:ascii="Century Gothic" w:hAnsi="Century Gothic"/>
                <w:szCs w:val="22"/>
              </w:rPr>
              <w:br/>
              <w:t>2013: 15% of files (HCV)</w:t>
            </w:r>
            <w:r w:rsidRPr="00845AC8">
              <w:rPr>
                <w:rFonts w:ascii="Century Gothic" w:hAnsi="Century Gothic"/>
                <w:szCs w:val="22"/>
              </w:rPr>
              <w:br/>
              <w:t>2012: 10% of files (HCV)</w:t>
            </w:r>
          </w:p>
          <w:p w14:paraId="676BE470" w14:textId="77777777" w:rsidR="00EE50EB" w:rsidRPr="00845AC8" w:rsidRDefault="00EE50EB" w:rsidP="00EC5276">
            <w:pPr>
              <w:rPr>
                <w:rFonts w:ascii="Century Gothic" w:hAnsi="Century Gothic"/>
                <w:szCs w:val="22"/>
              </w:rPr>
            </w:pPr>
          </w:p>
        </w:tc>
        <w:tc>
          <w:tcPr>
            <w:tcW w:w="1826" w:type="dxa"/>
            <w:tcBorders>
              <w:top w:val="nil"/>
              <w:left w:val="single" w:sz="4" w:space="0" w:color="D9D9D9" w:themeColor="background1" w:themeShade="D9"/>
              <w:bottom w:val="single" w:sz="4" w:space="0" w:color="D9D9D9" w:themeColor="background1" w:themeShade="D9"/>
              <w:right w:val="nil"/>
            </w:tcBorders>
            <w:hideMark/>
          </w:tcPr>
          <w:p w14:paraId="312790D4" w14:textId="17166422" w:rsidR="00EC5276" w:rsidRPr="00845AC8" w:rsidRDefault="7B6AE7ED">
            <w:pPr>
              <w:rPr>
                <w:rFonts w:ascii="Century Gothic" w:hAnsi="Century Gothic"/>
              </w:rPr>
            </w:pPr>
            <w:r w:rsidRPr="1F73676B">
              <w:rPr>
                <w:rFonts w:ascii="Century Gothic" w:hAnsi="Century Gothic"/>
              </w:rPr>
              <w:t xml:space="preserve"> </w:t>
            </w:r>
            <w:r w:rsidR="04F16B10" w:rsidRPr="6E2AED11">
              <w:rPr>
                <w:rFonts w:ascii="Century Gothic" w:hAnsi="Century Gothic"/>
              </w:rPr>
              <w:t>Yes</w:t>
            </w:r>
          </w:p>
        </w:tc>
      </w:tr>
    </w:tbl>
    <w:p w14:paraId="5CEDBEEE" w14:textId="0E38B7E3" w:rsidR="007A1022" w:rsidRDefault="00EC5276" w:rsidP="23572633">
      <w:pPr>
        <w:rPr>
          <w:rFonts w:ascii="Century Gothic" w:hAnsi="Century Gothic"/>
          <w:i/>
          <w:iCs/>
          <w:sz w:val="18"/>
          <w:szCs w:val="18"/>
          <w:lang w:eastAsia="en-US"/>
        </w:rPr>
      </w:pPr>
      <w:r w:rsidRPr="003E3C9C">
        <w:rPr>
          <w:rFonts w:ascii="Century Gothic" w:hAnsi="Century Gothic"/>
          <w:i/>
          <w:iCs/>
          <w:sz w:val="18"/>
          <w:szCs w:val="18"/>
          <w:lang w:eastAsia="en-US"/>
        </w:rPr>
        <w:t xml:space="preserve">* </w:t>
      </w:r>
      <w:r w:rsidR="1678437C" w:rsidRPr="2F7D59AB">
        <w:rPr>
          <w:rFonts w:ascii="Century Gothic" w:hAnsi="Century Gothic"/>
          <w:i/>
          <w:iCs/>
          <w:sz w:val="18"/>
          <w:szCs w:val="18"/>
          <w:lang w:eastAsia="en-US"/>
        </w:rPr>
        <w:t>Postage and Printing</w:t>
      </w:r>
      <w:r w:rsidR="1678437C" w:rsidRPr="29E0EF9E">
        <w:rPr>
          <w:rFonts w:ascii="Century Gothic" w:hAnsi="Century Gothic"/>
          <w:i/>
          <w:iCs/>
          <w:sz w:val="18"/>
          <w:szCs w:val="18"/>
          <w:lang w:eastAsia="en-US"/>
        </w:rPr>
        <w:t xml:space="preserve"> - </w:t>
      </w:r>
      <w:r w:rsidR="007A1022">
        <w:rPr>
          <w:rFonts w:ascii="Century Gothic" w:hAnsi="Century Gothic"/>
          <w:i/>
          <w:iCs/>
          <w:sz w:val="18"/>
          <w:szCs w:val="18"/>
          <w:lang w:eastAsia="en-US"/>
        </w:rPr>
        <w:t xml:space="preserve">(2007)- </w:t>
      </w:r>
      <w:r w:rsidRPr="003E3C9C">
        <w:rPr>
          <w:rFonts w:ascii="Century Gothic" w:hAnsi="Century Gothic"/>
          <w:i/>
          <w:iCs/>
          <w:sz w:val="18"/>
          <w:szCs w:val="18"/>
          <w:lang w:eastAsia="en-US"/>
        </w:rPr>
        <w:t>4,895 PH+HCV recertifications; 2,310 (2015); 3,162 (2016); 2,000 (benchmark); $5.50 total cost per recertification packet: $2.50 average cost of postage and $3.00 printing (60-page recertification packet at $.05 per page) per recertification pre- and post-new schedules.</w:t>
      </w:r>
    </w:p>
    <w:p w14:paraId="7621AA5E" w14:textId="245E9E5B" w:rsidR="5DFB5B8C" w:rsidRPr="003E3C9C" w:rsidRDefault="7956D354" w:rsidP="23572633">
      <w:pPr>
        <w:rPr>
          <w:rFonts w:ascii="Century Gothic" w:hAnsi="Century Gothic"/>
          <w:i/>
          <w:iCs/>
          <w:sz w:val="18"/>
          <w:szCs w:val="18"/>
          <w:lang w:eastAsia="en-US"/>
        </w:rPr>
      </w:pPr>
      <w:r w:rsidRPr="003E3C9C">
        <w:rPr>
          <w:rFonts w:ascii="Century Gothic" w:hAnsi="Century Gothic"/>
          <w:i/>
          <w:iCs/>
          <w:sz w:val="18"/>
          <w:szCs w:val="18"/>
          <w:lang w:eastAsia="en-US"/>
        </w:rPr>
        <w:t xml:space="preserve"> </w:t>
      </w:r>
      <w:r w:rsidRPr="00CF186A">
        <w:rPr>
          <w:rFonts w:ascii="Century Gothic" w:hAnsi="Century Gothic"/>
          <w:i/>
          <w:iCs/>
          <w:sz w:val="18"/>
          <w:szCs w:val="18"/>
          <w:lang w:eastAsia="en-US"/>
        </w:rPr>
        <w:t>(</w:t>
      </w:r>
      <w:r w:rsidRPr="00312875">
        <w:rPr>
          <w:rFonts w:ascii="Century Gothic" w:hAnsi="Century Gothic"/>
          <w:i/>
          <w:iCs/>
          <w:sz w:val="18"/>
          <w:szCs w:val="18"/>
          <w:lang w:eastAsia="en-US"/>
        </w:rPr>
        <w:t>202</w:t>
      </w:r>
      <w:r w:rsidR="00F423F1" w:rsidRPr="00312875">
        <w:rPr>
          <w:rFonts w:ascii="Century Gothic" w:hAnsi="Century Gothic"/>
          <w:i/>
          <w:iCs/>
          <w:sz w:val="18"/>
          <w:szCs w:val="18"/>
          <w:lang w:eastAsia="en-US"/>
        </w:rPr>
        <w:t>4</w:t>
      </w:r>
      <w:r w:rsidRPr="00312875">
        <w:rPr>
          <w:rFonts w:ascii="Century Gothic" w:hAnsi="Century Gothic"/>
          <w:i/>
          <w:iCs/>
          <w:sz w:val="18"/>
          <w:szCs w:val="18"/>
          <w:lang w:eastAsia="en-US"/>
        </w:rPr>
        <w:t xml:space="preserve">) </w:t>
      </w:r>
      <w:r w:rsidR="354DB34B" w:rsidRPr="00312875">
        <w:rPr>
          <w:rFonts w:ascii="Century Gothic" w:hAnsi="Century Gothic"/>
          <w:i/>
          <w:iCs/>
          <w:sz w:val="18"/>
          <w:szCs w:val="18"/>
          <w:lang w:eastAsia="en-US"/>
        </w:rPr>
        <w:t>Postage -$3.73 postage</w:t>
      </w:r>
      <w:r w:rsidR="5071CD52" w:rsidRPr="00312875">
        <w:rPr>
          <w:rFonts w:ascii="Century Gothic" w:hAnsi="Century Gothic"/>
          <w:i/>
          <w:iCs/>
          <w:sz w:val="18"/>
          <w:szCs w:val="18"/>
          <w:lang w:eastAsia="en-US"/>
        </w:rPr>
        <w:t xml:space="preserve">, </w:t>
      </w:r>
      <w:r w:rsidR="5DFB5B8C" w:rsidRPr="00312875">
        <w:rPr>
          <w:rFonts w:ascii="Century Gothic" w:hAnsi="Century Gothic"/>
          <w:i/>
          <w:iCs/>
          <w:sz w:val="18"/>
          <w:szCs w:val="18"/>
          <w:lang w:eastAsia="en-US"/>
        </w:rPr>
        <w:t>30-page recertification packet</w:t>
      </w:r>
    </w:p>
    <w:p w14:paraId="344E767F" w14:textId="0EBCE8E6" w:rsidR="7AF60685" w:rsidRPr="003E3C9C" w:rsidRDefault="7AF60685" w:rsidP="7AF60685">
      <w:pPr>
        <w:rPr>
          <w:rFonts w:ascii="Century Gothic" w:hAnsi="Century Gothic"/>
          <w:i/>
          <w:iCs/>
          <w:sz w:val="18"/>
          <w:szCs w:val="18"/>
          <w:lang w:eastAsia="en-US"/>
        </w:rPr>
      </w:pPr>
    </w:p>
    <w:p w14:paraId="2B72FB69" w14:textId="57594D87" w:rsidR="00EC5276" w:rsidRPr="003E3C9C" w:rsidRDefault="00EC5276" w:rsidP="00EC5276">
      <w:pPr>
        <w:rPr>
          <w:rFonts w:ascii="Century Gothic" w:hAnsi="Century Gothic"/>
          <w:i/>
          <w:sz w:val="18"/>
          <w:szCs w:val="18"/>
          <w:lang w:eastAsia="en-US"/>
        </w:rPr>
      </w:pPr>
      <w:r w:rsidRPr="003E3C9C">
        <w:rPr>
          <w:rFonts w:ascii="Century Gothic" w:hAnsi="Century Gothic"/>
          <w:i/>
          <w:sz w:val="18"/>
          <w:szCs w:val="18"/>
          <w:lang w:eastAsia="en-US"/>
        </w:rPr>
        <w:t xml:space="preserve">** </w:t>
      </w:r>
      <w:r w:rsidR="779E67F6" w:rsidRPr="2F7D59AB">
        <w:rPr>
          <w:rFonts w:ascii="Century Gothic" w:hAnsi="Century Gothic"/>
          <w:i/>
          <w:iCs/>
          <w:sz w:val="18"/>
          <w:szCs w:val="18"/>
          <w:lang w:eastAsia="en-US"/>
        </w:rPr>
        <w:t xml:space="preserve">Staff Time - </w:t>
      </w:r>
      <w:r w:rsidR="00197789">
        <w:rPr>
          <w:rFonts w:ascii="Century Gothic" w:hAnsi="Century Gothic"/>
          <w:i/>
          <w:sz w:val="18"/>
          <w:szCs w:val="18"/>
          <w:lang w:eastAsia="en-US"/>
        </w:rPr>
        <w:t xml:space="preserve">(2007) </w:t>
      </w:r>
      <w:r w:rsidRPr="003E3C9C">
        <w:rPr>
          <w:rFonts w:ascii="Century Gothic" w:hAnsi="Century Gothic"/>
          <w:i/>
          <w:sz w:val="18"/>
          <w:szCs w:val="18"/>
          <w:lang w:eastAsia="en-US"/>
        </w:rPr>
        <w:t xml:space="preserve">4,895 PH+HCV recertifications); 2,714 (2014); 3,162 (2016); 2,500 (benchmark); 2.5 hours average staff time (both PH and HCV) per recertification pre-rent reform per 2007-time study and 2.3 hours post-rent reform from </w:t>
      </w:r>
      <w:r w:rsidR="00312875">
        <w:rPr>
          <w:rFonts w:ascii="Century Gothic" w:hAnsi="Century Gothic"/>
          <w:i/>
          <w:sz w:val="18"/>
          <w:szCs w:val="18"/>
          <w:lang w:eastAsia="en-US"/>
        </w:rPr>
        <w:t>(</w:t>
      </w:r>
      <w:r w:rsidRPr="003E3C9C">
        <w:rPr>
          <w:rFonts w:ascii="Century Gothic" w:hAnsi="Century Gothic"/>
          <w:i/>
          <w:sz w:val="18"/>
          <w:szCs w:val="18"/>
          <w:lang w:eastAsia="en-US"/>
        </w:rPr>
        <w:t>2014</w:t>
      </w:r>
      <w:r w:rsidR="00312875">
        <w:rPr>
          <w:rFonts w:ascii="Century Gothic" w:hAnsi="Century Gothic"/>
          <w:i/>
          <w:sz w:val="18"/>
          <w:szCs w:val="18"/>
          <w:lang w:eastAsia="en-US"/>
        </w:rPr>
        <w:t>)</w:t>
      </w:r>
      <w:r w:rsidRPr="003E3C9C">
        <w:rPr>
          <w:rFonts w:ascii="Century Gothic" w:hAnsi="Century Gothic"/>
          <w:i/>
          <w:sz w:val="18"/>
          <w:szCs w:val="18"/>
          <w:lang w:eastAsia="en-US"/>
        </w:rPr>
        <w:t xml:space="preserve"> HCV activity time study (average of work-able and elderly/disabled households recertification processing time)</w:t>
      </w:r>
    </w:p>
    <w:p w14:paraId="531DF54D" w14:textId="7C9720E4" w:rsidR="00893815" w:rsidRPr="00312875" w:rsidRDefault="00893815" w:rsidP="00EC5276">
      <w:pPr>
        <w:rPr>
          <w:rFonts w:ascii="Century Gothic" w:hAnsi="Century Gothic"/>
          <w:szCs w:val="22"/>
        </w:rPr>
      </w:pPr>
    </w:p>
    <w:p w14:paraId="23B18054" w14:textId="77777777" w:rsidR="00043EBA" w:rsidRPr="00312875" w:rsidRDefault="00043EBA" w:rsidP="00EC5276">
      <w:pPr>
        <w:rPr>
          <w:rFonts w:ascii="Century Gothic" w:hAnsi="Century Gothic"/>
          <w:szCs w:val="22"/>
        </w:rPr>
      </w:pPr>
    </w:p>
    <w:p w14:paraId="74E79025" w14:textId="77777777" w:rsidR="00EC5276" w:rsidRPr="00312875" w:rsidRDefault="00EC5276" w:rsidP="00EC5276">
      <w:pPr>
        <w:rPr>
          <w:rFonts w:ascii="Century Gothic" w:hAnsi="Century Gothic"/>
          <w:b/>
          <w:bCs/>
          <w:iCs/>
          <w:szCs w:val="22"/>
        </w:rPr>
      </w:pPr>
      <w:r w:rsidRPr="00312875">
        <w:rPr>
          <w:rFonts w:ascii="Century Gothic" w:hAnsi="Century Gothic"/>
          <w:b/>
          <w:bCs/>
          <w:iCs/>
          <w:szCs w:val="22"/>
        </w:rPr>
        <w:t>Internal Metrics</w:t>
      </w:r>
    </w:p>
    <w:p w14:paraId="7291C1B7" w14:textId="77777777" w:rsidR="00EC5276" w:rsidRPr="00312875" w:rsidRDefault="00EC5276" w:rsidP="00EC5276">
      <w:pPr>
        <w:rPr>
          <w:rFonts w:ascii="Century Gothic" w:hAnsi="Century Gothic"/>
          <w:b/>
          <w:szCs w:val="22"/>
        </w:rPr>
      </w:pPr>
    </w:p>
    <w:tbl>
      <w:tblPr>
        <w:tblStyle w:val="TableGrid7"/>
        <w:tblW w:w="10350" w:type="dxa"/>
        <w:tblLook w:val="04A0" w:firstRow="1" w:lastRow="0" w:firstColumn="1" w:lastColumn="0" w:noHBand="0" w:noVBand="1"/>
      </w:tblPr>
      <w:tblGrid>
        <w:gridCol w:w="1686"/>
        <w:gridCol w:w="2022"/>
        <w:gridCol w:w="1537"/>
        <w:gridCol w:w="3665"/>
        <w:gridCol w:w="1440"/>
      </w:tblGrid>
      <w:tr w:rsidR="009E30A0" w:rsidRPr="00331A0B" w14:paraId="07759434" w14:textId="77777777" w:rsidTr="662A423E">
        <w:trPr>
          <w:trHeight w:val="280"/>
        </w:trPr>
        <w:tc>
          <w:tcPr>
            <w:tcW w:w="10350" w:type="dxa"/>
            <w:gridSpan w:val="5"/>
            <w:tcBorders>
              <w:top w:val="nil"/>
              <w:left w:val="nil"/>
              <w:bottom w:val="single" w:sz="24" w:space="0" w:color="B5333C" w:themeColor="accent2"/>
              <w:right w:val="nil"/>
            </w:tcBorders>
            <w:shd w:val="clear" w:color="auto" w:fill="808080" w:themeFill="background1" w:themeFillShade="80"/>
          </w:tcPr>
          <w:p w14:paraId="5CC1876F" w14:textId="77777777" w:rsidR="00EC5276" w:rsidRPr="00312875" w:rsidRDefault="00EC5276" w:rsidP="00EC5276">
            <w:pPr>
              <w:jc w:val="center"/>
              <w:rPr>
                <w:rFonts w:ascii="Century Gothic" w:hAnsi="Century Gothic"/>
                <w:b/>
                <w:bCs/>
                <w:szCs w:val="22"/>
              </w:rPr>
            </w:pPr>
            <w:r w:rsidRPr="00312875">
              <w:rPr>
                <w:rFonts w:ascii="Century Gothic" w:hAnsi="Century Gothic"/>
                <w:b/>
                <w:bCs/>
                <w:szCs w:val="22"/>
              </w:rPr>
              <w:t>Rent Simplification Initiative Metrics</w:t>
            </w:r>
          </w:p>
        </w:tc>
      </w:tr>
      <w:tr w:rsidR="009E30A0" w:rsidRPr="00331A0B" w14:paraId="3D0BF639" w14:textId="77777777" w:rsidTr="662A423E">
        <w:trPr>
          <w:trHeight w:val="675"/>
        </w:trPr>
        <w:tc>
          <w:tcPr>
            <w:tcW w:w="1624"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4C3516D" w14:textId="77777777" w:rsidR="00EC5276" w:rsidRPr="00073FD5" w:rsidRDefault="00EC5276" w:rsidP="00EC5276">
            <w:pPr>
              <w:jc w:val="center"/>
              <w:rPr>
                <w:rFonts w:ascii="Century Gothic" w:hAnsi="Century Gothic"/>
                <w:b/>
                <w:bCs/>
                <w:szCs w:val="22"/>
              </w:rPr>
            </w:pPr>
            <w:r w:rsidRPr="00073FD5">
              <w:rPr>
                <w:rFonts w:ascii="Century Gothic" w:hAnsi="Century Gothic"/>
                <w:b/>
                <w:bCs/>
                <w:szCs w:val="22"/>
              </w:rPr>
              <w:t>Unit of Measurement</w:t>
            </w:r>
          </w:p>
        </w:tc>
        <w:tc>
          <w:tcPr>
            <w:tcW w:w="205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417A7D4" w14:textId="77777777" w:rsidR="00EC5276" w:rsidRPr="00073FD5" w:rsidRDefault="00EC5276" w:rsidP="00EC5276">
            <w:pPr>
              <w:jc w:val="center"/>
              <w:rPr>
                <w:rFonts w:ascii="Century Gothic" w:hAnsi="Century Gothic"/>
                <w:b/>
                <w:bCs/>
                <w:szCs w:val="22"/>
              </w:rPr>
            </w:pPr>
            <w:r w:rsidRPr="00073FD5">
              <w:rPr>
                <w:rFonts w:ascii="Century Gothic" w:hAnsi="Century Gothic"/>
                <w:b/>
                <w:bCs/>
                <w:szCs w:val="22"/>
              </w:rPr>
              <w:t>Baseline</w:t>
            </w:r>
          </w:p>
        </w:tc>
        <w:tc>
          <w:tcPr>
            <w:tcW w:w="154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6A8E32B3" w14:textId="77777777" w:rsidR="00EC5276" w:rsidRPr="00073FD5" w:rsidRDefault="00EC5276" w:rsidP="00EC5276">
            <w:pPr>
              <w:jc w:val="center"/>
              <w:rPr>
                <w:rFonts w:ascii="Century Gothic" w:hAnsi="Century Gothic"/>
                <w:b/>
                <w:bCs/>
                <w:szCs w:val="22"/>
              </w:rPr>
            </w:pPr>
            <w:r w:rsidRPr="00073FD5">
              <w:rPr>
                <w:rFonts w:ascii="Century Gothic" w:hAnsi="Century Gothic"/>
                <w:b/>
                <w:bCs/>
                <w:szCs w:val="22"/>
              </w:rPr>
              <w:t>Benchmark</w:t>
            </w:r>
          </w:p>
        </w:tc>
        <w:tc>
          <w:tcPr>
            <w:tcW w:w="3786"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6C3BF031" w14:textId="77777777" w:rsidR="00EC5276" w:rsidRPr="00073FD5" w:rsidRDefault="00EC5276" w:rsidP="00EC5276">
            <w:pPr>
              <w:jc w:val="center"/>
              <w:rPr>
                <w:rFonts w:ascii="Century Gothic" w:hAnsi="Century Gothic"/>
                <w:b/>
                <w:bCs/>
                <w:szCs w:val="22"/>
              </w:rPr>
            </w:pPr>
            <w:r w:rsidRPr="00073FD5">
              <w:rPr>
                <w:rFonts w:ascii="Century Gothic" w:hAnsi="Century Gothic"/>
                <w:b/>
                <w:bCs/>
                <w:szCs w:val="22"/>
              </w:rPr>
              <w:t>Outcome*</w:t>
            </w:r>
          </w:p>
        </w:tc>
        <w:tc>
          <w:tcPr>
            <w:tcW w:w="1344"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527A689B" w14:textId="77777777" w:rsidR="00EC5276" w:rsidRPr="00073FD5" w:rsidRDefault="00EC5276" w:rsidP="00EC5276">
            <w:pPr>
              <w:jc w:val="center"/>
              <w:rPr>
                <w:rFonts w:ascii="Century Gothic" w:hAnsi="Century Gothic"/>
                <w:b/>
                <w:bCs/>
                <w:szCs w:val="22"/>
              </w:rPr>
            </w:pPr>
            <w:r w:rsidRPr="00073FD5">
              <w:rPr>
                <w:rFonts w:ascii="Century Gothic" w:hAnsi="Century Gothic"/>
                <w:b/>
                <w:bCs/>
                <w:szCs w:val="22"/>
              </w:rPr>
              <w:t>Benchmark Achieved?</w:t>
            </w:r>
          </w:p>
        </w:tc>
      </w:tr>
      <w:tr w:rsidR="00EC5276" w:rsidRPr="00331A0B" w14:paraId="3A32F324" w14:textId="77777777" w:rsidTr="00473DB2">
        <w:trPr>
          <w:trHeight w:val="791"/>
        </w:trPr>
        <w:tc>
          <w:tcPr>
            <w:tcW w:w="162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0EF1C279" w14:textId="77777777" w:rsidR="00EC5276" w:rsidRPr="00073FD5" w:rsidRDefault="00EC5276" w:rsidP="00EC5276">
            <w:pPr>
              <w:rPr>
                <w:rFonts w:ascii="Century Gothic" w:hAnsi="Century Gothic"/>
                <w:szCs w:val="22"/>
              </w:rPr>
            </w:pPr>
            <w:bookmarkStart w:id="169" w:name="_Hlk90378938"/>
            <w:r w:rsidRPr="00073FD5">
              <w:rPr>
                <w:rFonts w:ascii="Century Gothic" w:hAnsi="Century Gothic"/>
                <w:szCs w:val="22"/>
              </w:rPr>
              <w:t>Number of hardships approved and hardship applications</w:t>
            </w:r>
          </w:p>
        </w:tc>
        <w:tc>
          <w:tcPr>
            <w:tcW w:w="20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BBE66A8" w14:textId="77777777" w:rsidR="00EC5276" w:rsidRPr="00073FD5" w:rsidRDefault="00EC5276" w:rsidP="00EC5276">
            <w:pPr>
              <w:rPr>
                <w:rFonts w:ascii="Century Gothic" w:hAnsi="Century Gothic"/>
                <w:szCs w:val="22"/>
              </w:rPr>
            </w:pPr>
            <w:r w:rsidRPr="00073FD5">
              <w:rPr>
                <w:rFonts w:ascii="Century Gothic" w:hAnsi="Century Gothic"/>
                <w:szCs w:val="22"/>
              </w:rPr>
              <w:t xml:space="preserve">2012: </w:t>
            </w:r>
          </w:p>
          <w:p w14:paraId="02753EE9" w14:textId="77777777" w:rsidR="00EC5276" w:rsidRPr="00073FD5" w:rsidRDefault="00EC5276" w:rsidP="00EC5276">
            <w:pPr>
              <w:rPr>
                <w:rFonts w:ascii="Century Gothic" w:hAnsi="Century Gothic"/>
                <w:szCs w:val="22"/>
              </w:rPr>
            </w:pPr>
            <w:r w:rsidRPr="00073FD5">
              <w:rPr>
                <w:rFonts w:ascii="Century Gothic" w:hAnsi="Century Gothic"/>
                <w:szCs w:val="22"/>
              </w:rPr>
              <w:t>122 approved/</w:t>
            </w:r>
          </w:p>
          <w:p w14:paraId="3A23D78A" w14:textId="7C024A5F" w:rsidR="00EC5276" w:rsidRPr="00073FD5" w:rsidRDefault="7C258257" w:rsidP="46B3BF7C">
            <w:pPr>
              <w:rPr>
                <w:rFonts w:ascii="Century Gothic" w:hAnsi="Century Gothic"/>
                <w:szCs w:val="22"/>
              </w:rPr>
            </w:pPr>
            <w:r w:rsidRPr="00073FD5">
              <w:rPr>
                <w:rFonts w:ascii="Century Gothic" w:hAnsi="Century Gothic"/>
                <w:szCs w:val="22"/>
              </w:rPr>
              <w:t>243 applications</w:t>
            </w:r>
          </w:p>
          <w:p w14:paraId="66FB1821" w14:textId="1A4B3D4B" w:rsidR="00EC5276" w:rsidRPr="00073FD5" w:rsidRDefault="00EC5276" w:rsidP="46B3BF7C">
            <w:pPr>
              <w:rPr>
                <w:rFonts w:ascii="Century Gothic" w:hAnsi="Century Gothic"/>
                <w:szCs w:val="22"/>
              </w:rPr>
            </w:pPr>
            <w:r w:rsidRPr="00073FD5">
              <w:rPr>
                <w:rFonts w:ascii="Century Gothic" w:hAnsi="Century Gothic"/>
                <w:szCs w:val="22"/>
              </w:rPr>
              <w:br/>
            </w:r>
          </w:p>
          <w:p w14:paraId="49D99FA1" w14:textId="77777777" w:rsidR="00EC5276" w:rsidRPr="00073FD5" w:rsidRDefault="00EC5276" w:rsidP="00EC5276">
            <w:pPr>
              <w:rPr>
                <w:rFonts w:ascii="Century Gothic" w:hAnsi="Century Gothic"/>
                <w:szCs w:val="22"/>
              </w:rPr>
            </w:pPr>
            <w:r w:rsidRPr="00073FD5">
              <w:rPr>
                <w:rFonts w:ascii="Century Gothic" w:hAnsi="Century Gothic"/>
                <w:szCs w:val="22"/>
              </w:rPr>
              <w:t>No baseline data available prior to 2012</w:t>
            </w:r>
          </w:p>
        </w:tc>
        <w:tc>
          <w:tcPr>
            <w:tcW w:w="1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CCDB4B6" w14:textId="77777777" w:rsidR="00EC5276" w:rsidRPr="00073FD5" w:rsidRDefault="00EC5276" w:rsidP="23572633">
            <w:pPr>
              <w:rPr>
                <w:rFonts w:ascii="Century Gothic" w:hAnsi="Century Gothic"/>
                <w:szCs w:val="22"/>
              </w:rPr>
            </w:pPr>
            <w:r w:rsidRPr="00073FD5">
              <w:rPr>
                <w:rFonts w:ascii="Century Gothic" w:hAnsi="Century Gothic"/>
                <w:szCs w:val="22"/>
              </w:rPr>
              <w:t>No significant increase in hardships</w:t>
            </w:r>
          </w:p>
        </w:tc>
        <w:tc>
          <w:tcPr>
            <w:tcW w:w="37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4AA89C0" w14:textId="03A2093D" w:rsidR="6648B800" w:rsidRDefault="6648B800" w:rsidP="662A423E">
            <w:pPr>
              <w:rPr>
                <w:rFonts w:ascii="Century Gothic" w:hAnsi="Century Gothic"/>
                <w:szCs w:val="22"/>
              </w:rPr>
            </w:pPr>
            <w:r w:rsidRPr="00073FD5">
              <w:rPr>
                <w:rFonts w:ascii="Century Gothic" w:hAnsi="Century Gothic"/>
                <w:szCs w:val="22"/>
              </w:rPr>
              <w:t xml:space="preserve">2024: 191 approved/ </w:t>
            </w:r>
            <w:r w:rsidR="67652B72" w:rsidRPr="00073FD5">
              <w:rPr>
                <w:rFonts w:ascii="Century Gothic" w:hAnsi="Century Gothic"/>
                <w:szCs w:val="22"/>
              </w:rPr>
              <w:t>191</w:t>
            </w:r>
            <w:r w:rsidRPr="00073FD5">
              <w:rPr>
                <w:rFonts w:ascii="Century Gothic" w:hAnsi="Century Gothic"/>
                <w:szCs w:val="22"/>
              </w:rPr>
              <w:t xml:space="preserve"> received</w:t>
            </w:r>
          </w:p>
          <w:p w14:paraId="1A8A6E79" w14:textId="77777777" w:rsidR="00073FD5" w:rsidRPr="00073FD5" w:rsidRDefault="00073FD5" w:rsidP="662A423E">
            <w:pPr>
              <w:rPr>
                <w:rFonts w:ascii="Century Gothic" w:hAnsi="Century Gothic"/>
                <w:szCs w:val="22"/>
              </w:rPr>
            </w:pPr>
          </w:p>
          <w:p w14:paraId="16AE6A28" w14:textId="7B01D13E" w:rsidR="005C6F36" w:rsidRPr="00073FD5" w:rsidRDefault="2921C01B" w:rsidP="005C6F36">
            <w:pPr>
              <w:rPr>
                <w:rFonts w:ascii="Century Gothic" w:hAnsi="Century Gothic"/>
                <w:szCs w:val="22"/>
              </w:rPr>
            </w:pPr>
            <w:r w:rsidRPr="00073FD5">
              <w:rPr>
                <w:rFonts w:ascii="Century Gothic" w:hAnsi="Century Gothic"/>
                <w:szCs w:val="22"/>
              </w:rPr>
              <w:t>2023</w:t>
            </w:r>
            <w:r w:rsidR="00473DB2" w:rsidRPr="00073FD5">
              <w:rPr>
                <w:rFonts w:ascii="Century Gothic" w:hAnsi="Century Gothic"/>
                <w:szCs w:val="22"/>
              </w:rPr>
              <w:t>: 19</w:t>
            </w:r>
            <w:r w:rsidRPr="00073FD5">
              <w:rPr>
                <w:rFonts w:ascii="Century Gothic" w:hAnsi="Century Gothic"/>
                <w:szCs w:val="22"/>
              </w:rPr>
              <w:t xml:space="preserve"> approved/</w:t>
            </w:r>
            <w:r w:rsidR="0A3C6AAC" w:rsidRPr="00073FD5">
              <w:rPr>
                <w:rFonts w:ascii="Century Gothic" w:hAnsi="Century Gothic"/>
                <w:szCs w:val="22"/>
              </w:rPr>
              <w:t>19</w:t>
            </w:r>
            <w:r w:rsidRPr="00073FD5">
              <w:rPr>
                <w:rFonts w:ascii="Century Gothic" w:hAnsi="Century Gothic"/>
                <w:szCs w:val="22"/>
              </w:rPr>
              <w:t xml:space="preserve"> received</w:t>
            </w:r>
          </w:p>
          <w:p w14:paraId="5FEAC71F" w14:textId="3AF20C0D" w:rsidR="51311AE5" w:rsidRPr="00073FD5" w:rsidRDefault="08920751" w:rsidP="1B3F2E6D">
            <w:pPr>
              <w:rPr>
                <w:rFonts w:ascii="Century Gothic" w:hAnsi="Century Gothic"/>
                <w:szCs w:val="22"/>
              </w:rPr>
            </w:pPr>
            <w:r w:rsidRPr="00073FD5">
              <w:rPr>
                <w:rFonts w:ascii="Century Gothic" w:hAnsi="Century Gothic"/>
                <w:szCs w:val="22"/>
              </w:rPr>
              <w:t>2022</w:t>
            </w:r>
            <w:r w:rsidR="00473DB2" w:rsidRPr="00073FD5">
              <w:rPr>
                <w:rFonts w:ascii="Century Gothic" w:hAnsi="Century Gothic"/>
                <w:szCs w:val="22"/>
              </w:rPr>
              <w:t>: 32</w:t>
            </w:r>
            <w:r w:rsidR="008B328D" w:rsidRPr="00073FD5">
              <w:rPr>
                <w:rFonts w:ascii="Century Gothic" w:hAnsi="Century Gothic"/>
                <w:szCs w:val="22"/>
              </w:rPr>
              <w:t xml:space="preserve"> </w:t>
            </w:r>
            <w:r w:rsidR="0462E277" w:rsidRPr="00073FD5">
              <w:rPr>
                <w:rFonts w:ascii="Century Gothic" w:hAnsi="Century Gothic"/>
                <w:szCs w:val="22"/>
              </w:rPr>
              <w:t>approved</w:t>
            </w:r>
            <w:r w:rsidRPr="00073FD5">
              <w:rPr>
                <w:rFonts w:ascii="Century Gothic" w:hAnsi="Century Gothic"/>
                <w:szCs w:val="22"/>
              </w:rPr>
              <w:t>/</w:t>
            </w:r>
            <w:r w:rsidR="008B328D" w:rsidRPr="00073FD5">
              <w:rPr>
                <w:rFonts w:ascii="Century Gothic" w:hAnsi="Century Gothic"/>
                <w:szCs w:val="22"/>
              </w:rPr>
              <w:t xml:space="preserve">32 </w:t>
            </w:r>
            <w:r w:rsidR="7D21C2A8" w:rsidRPr="00073FD5">
              <w:rPr>
                <w:rFonts w:ascii="Century Gothic" w:hAnsi="Century Gothic"/>
                <w:szCs w:val="22"/>
              </w:rPr>
              <w:t>received</w:t>
            </w:r>
          </w:p>
          <w:p w14:paraId="5817F9F0" w14:textId="79C7AB94" w:rsidR="6F7F4160" w:rsidRPr="00073FD5" w:rsidRDefault="3CB51170" w:rsidP="4566E4F4">
            <w:pPr>
              <w:rPr>
                <w:rFonts w:ascii="Century Gothic" w:hAnsi="Century Gothic"/>
                <w:szCs w:val="22"/>
              </w:rPr>
            </w:pPr>
            <w:r w:rsidRPr="00073FD5">
              <w:rPr>
                <w:rFonts w:ascii="Century Gothic" w:hAnsi="Century Gothic"/>
                <w:szCs w:val="22"/>
              </w:rPr>
              <w:t>2021</w:t>
            </w:r>
            <w:r w:rsidR="00473DB2" w:rsidRPr="00073FD5">
              <w:rPr>
                <w:rFonts w:ascii="Century Gothic" w:hAnsi="Century Gothic"/>
                <w:szCs w:val="22"/>
              </w:rPr>
              <w:t>: 18</w:t>
            </w:r>
            <w:r w:rsidRPr="00073FD5">
              <w:rPr>
                <w:rFonts w:ascii="Century Gothic" w:hAnsi="Century Gothic"/>
                <w:szCs w:val="22"/>
              </w:rPr>
              <w:t xml:space="preserve"> approved /</w:t>
            </w:r>
            <w:r w:rsidR="73BF5100" w:rsidRPr="00073FD5">
              <w:rPr>
                <w:rFonts w:ascii="Century Gothic" w:hAnsi="Century Gothic"/>
                <w:szCs w:val="22"/>
              </w:rPr>
              <w:t>20</w:t>
            </w:r>
            <w:r w:rsidRPr="00073FD5">
              <w:rPr>
                <w:rFonts w:ascii="Century Gothic" w:hAnsi="Century Gothic"/>
                <w:szCs w:val="22"/>
              </w:rPr>
              <w:t xml:space="preserve"> received</w:t>
            </w:r>
          </w:p>
          <w:p w14:paraId="44AEA320" w14:textId="3E31BFE0" w:rsidR="0042211A" w:rsidRPr="00073FD5" w:rsidRDefault="0042211A" w:rsidP="00EC5276">
            <w:pPr>
              <w:rPr>
                <w:rFonts w:ascii="Century Gothic" w:hAnsi="Century Gothic"/>
                <w:szCs w:val="22"/>
              </w:rPr>
            </w:pPr>
            <w:r w:rsidRPr="00073FD5">
              <w:rPr>
                <w:rFonts w:ascii="Century Gothic" w:hAnsi="Century Gothic"/>
                <w:szCs w:val="22"/>
              </w:rPr>
              <w:t xml:space="preserve">2019: 18 approved/18 </w:t>
            </w:r>
            <w:r w:rsidR="00BD35E3" w:rsidRPr="00073FD5">
              <w:rPr>
                <w:rFonts w:ascii="Century Gothic" w:hAnsi="Century Gothic"/>
                <w:szCs w:val="22"/>
              </w:rPr>
              <w:t>received</w:t>
            </w:r>
          </w:p>
          <w:p w14:paraId="3A9A8010" w14:textId="0422C365" w:rsidR="00EC5276" w:rsidRPr="00073FD5" w:rsidRDefault="00EC5276" w:rsidP="00EC5276">
            <w:pPr>
              <w:rPr>
                <w:rFonts w:ascii="Century Gothic" w:hAnsi="Century Gothic"/>
                <w:szCs w:val="22"/>
              </w:rPr>
            </w:pPr>
            <w:r w:rsidRPr="00073FD5">
              <w:rPr>
                <w:rFonts w:ascii="Century Gothic" w:hAnsi="Century Gothic"/>
                <w:szCs w:val="22"/>
              </w:rPr>
              <w:t>2018: 35 approved/102 applications</w:t>
            </w:r>
          </w:p>
          <w:p w14:paraId="542FA666" w14:textId="77777777" w:rsidR="00EC5276" w:rsidRPr="00073FD5" w:rsidRDefault="00EC5276" w:rsidP="00EC5276">
            <w:pPr>
              <w:rPr>
                <w:rFonts w:ascii="Century Gothic" w:hAnsi="Century Gothic"/>
                <w:szCs w:val="22"/>
              </w:rPr>
            </w:pPr>
            <w:r w:rsidRPr="00073FD5">
              <w:rPr>
                <w:rFonts w:ascii="Century Gothic" w:hAnsi="Century Gothic"/>
                <w:szCs w:val="22"/>
              </w:rPr>
              <w:t xml:space="preserve">2017: 67 approved /73 applications </w:t>
            </w:r>
          </w:p>
          <w:p w14:paraId="430F86EC" w14:textId="77777777" w:rsidR="00EC5276" w:rsidRPr="00073FD5" w:rsidRDefault="00EC5276" w:rsidP="00EC5276">
            <w:pPr>
              <w:rPr>
                <w:rFonts w:ascii="Century Gothic" w:hAnsi="Century Gothic"/>
                <w:szCs w:val="22"/>
              </w:rPr>
            </w:pPr>
            <w:r w:rsidRPr="00073FD5">
              <w:rPr>
                <w:rFonts w:ascii="Century Gothic" w:hAnsi="Century Gothic"/>
                <w:szCs w:val="22"/>
              </w:rPr>
              <w:t>2016: 55 approved/94 applications</w:t>
            </w:r>
          </w:p>
          <w:p w14:paraId="45B7ECD7" w14:textId="77777777" w:rsidR="00EC5276" w:rsidRPr="00073FD5" w:rsidRDefault="00EC5276" w:rsidP="00EC5276">
            <w:pPr>
              <w:rPr>
                <w:rFonts w:ascii="Century Gothic" w:hAnsi="Century Gothic"/>
                <w:szCs w:val="22"/>
              </w:rPr>
            </w:pPr>
            <w:r w:rsidRPr="00073FD5">
              <w:rPr>
                <w:rFonts w:ascii="Century Gothic" w:hAnsi="Century Gothic"/>
                <w:szCs w:val="22"/>
              </w:rPr>
              <w:t>2015: 42 approved/111 applications</w:t>
            </w:r>
          </w:p>
          <w:p w14:paraId="3C05DD88" w14:textId="77777777" w:rsidR="00EC5276" w:rsidRPr="00073FD5" w:rsidRDefault="00EC5276" w:rsidP="00EC5276">
            <w:pPr>
              <w:rPr>
                <w:rFonts w:ascii="Century Gothic" w:hAnsi="Century Gothic"/>
                <w:szCs w:val="22"/>
              </w:rPr>
            </w:pPr>
            <w:r w:rsidRPr="00073FD5">
              <w:rPr>
                <w:rFonts w:ascii="Century Gothic" w:hAnsi="Century Gothic"/>
                <w:szCs w:val="22"/>
              </w:rPr>
              <w:t>2014: 40 approved/213 applications</w:t>
            </w:r>
            <w:r w:rsidRPr="00073FD5">
              <w:rPr>
                <w:rFonts w:ascii="Century Gothic" w:hAnsi="Century Gothic"/>
                <w:szCs w:val="22"/>
              </w:rPr>
              <w:br/>
            </w:r>
            <w:r w:rsidRPr="00073FD5">
              <w:rPr>
                <w:rFonts w:ascii="Century Gothic" w:hAnsi="Century Gothic"/>
                <w:szCs w:val="22"/>
              </w:rPr>
              <w:lastRenderedPageBreak/>
              <w:t>2013: 54 approved/195 applications</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481073B0" w14:textId="5EDCE632" w:rsidR="00EC5276" w:rsidRPr="00073FD5" w:rsidRDefault="7769D148" w:rsidP="00EC5276">
            <w:pPr>
              <w:rPr>
                <w:rFonts w:ascii="Century Gothic" w:hAnsi="Century Gothic"/>
              </w:rPr>
            </w:pPr>
            <w:r w:rsidRPr="6A181527">
              <w:rPr>
                <w:rFonts w:ascii="Century Gothic" w:hAnsi="Century Gothic"/>
              </w:rPr>
              <w:lastRenderedPageBreak/>
              <w:t xml:space="preserve"> No</w:t>
            </w:r>
          </w:p>
        </w:tc>
      </w:tr>
      <w:bookmarkEnd w:id="169"/>
    </w:tbl>
    <w:p w14:paraId="4E406A29" w14:textId="1138A7A9" w:rsidR="0D8BAA9B" w:rsidRPr="00073FD5" w:rsidRDefault="0D8BAA9B">
      <w:pPr>
        <w:rPr>
          <w:rFonts w:ascii="Century Gothic" w:hAnsi="Century Gothic"/>
          <w:szCs w:val="22"/>
        </w:rPr>
      </w:pPr>
    </w:p>
    <w:p w14:paraId="71148A09" w14:textId="77777777" w:rsidR="00EC5276" w:rsidRPr="00073FD5" w:rsidRDefault="00EC5276" w:rsidP="00EC5276">
      <w:pPr>
        <w:rPr>
          <w:rFonts w:ascii="Century Gothic" w:hAnsi="Century Gothic"/>
          <w:szCs w:val="22"/>
        </w:rPr>
      </w:pPr>
    </w:p>
    <w:tbl>
      <w:tblPr>
        <w:tblStyle w:val="TableGrid7"/>
        <w:tblW w:w="10435" w:type="dxa"/>
        <w:tblInd w:w="5" w:type="dxa"/>
        <w:tblLook w:val="04A0" w:firstRow="1" w:lastRow="0" w:firstColumn="1" w:lastColumn="0" w:noHBand="0" w:noVBand="1"/>
      </w:tblPr>
      <w:tblGrid>
        <w:gridCol w:w="1686"/>
        <w:gridCol w:w="1838"/>
        <w:gridCol w:w="1440"/>
        <w:gridCol w:w="3267"/>
        <w:gridCol w:w="2204"/>
      </w:tblGrid>
      <w:tr w:rsidR="009E30A0" w:rsidRPr="00331A0B" w14:paraId="718BB295" w14:textId="77777777" w:rsidTr="1D05C336">
        <w:trPr>
          <w:trHeight w:val="369"/>
        </w:trPr>
        <w:tc>
          <w:tcPr>
            <w:tcW w:w="10435" w:type="dxa"/>
            <w:gridSpan w:val="5"/>
            <w:tcBorders>
              <w:top w:val="nil"/>
              <w:left w:val="nil"/>
              <w:bottom w:val="single" w:sz="24" w:space="0" w:color="B5333C" w:themeColor="accent2"/>
              <w:right w:val="nil"/>
            </w:tcBorders>
            <w:shd w:val="clear" w:color="auto" w:fill="808080" w:themeFill="background1" w:themeFillShade="80"/>
          </w:tcPr>
          <w:p w14:paraId="40DCCC05" w14:textId="77777777" w:rsidR="00EC5276" w:rsidRPr="00073FD5" w:rsidRDefault="00EC5276" w:rsidP="00EC5276">
            <w:pPr>
              <w:jc w:val="center"/>
              <w:rPr>
                <w:rFonts w:ascii="Century Gothic" w:hAnsi="Century Gothic"/>
                <w:b/>
                <w:bCs/>
                <w:szCs w:val="22"/>
              </w:rPr>
            </w:pPr>
            <w:r w:rsidRPr="00073FD5">
              <w:rPr>
                <w:rFonts w:ascii="Century Gothic" w:hAnsi="Century Gothic"/>
                <w:b/>
                <w:bCs/>
                <w:szCs w:val="22"/>
              </w:rPr>
              <w:t>Rent Simplification Initiative Metrics (continued)</w:t>
            </w:r>
          </w:p>
        </w:tc>
      </w:tr>
      <w:tr w:rsidR="009E30A0" w:rsidRPr="00331A0B" w14:paraId="56A656B0" w14:textId="77777777" w:rsidTr="1D05C336">
        <w:trPr>
          <w:trHeight w:val="620"/>
        </w:trPr>
        <w:tc>
          <w:tcPr>
            <w:tcW w:w="1624"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74EE502" w14:textId="77777777" w:rsidR="00EC5276" w:rsidRPr="00073FD5" w:rsidRDefault="00EC5276" w:rsidP="00EC5276">
            <w:pPr>
              <w:jc w:val="center"/>
              <w:rPr>
                <w:rFonts w:ascii="Century Gothic" w:hAnsi="Century Gothic"/>
                <w:szCs w:val="22"/>
              </w:rPr>
            </w:pPr>
            <w:r w:rsidRPr="00073FD5">
              <w:rPr>
                <w:rFonts w:ascii="Century Gothic" w:hAnsi="Century Gothic"/>
                <w:b/>
                <w:bCs/>
                <w:szCs w:val="22"/>
              </w:rPr>
              <w:t>Unit of Measurement</w:t>
            </w:r>
          </w:p>
        </w:tc>
        <w:tc>
          <w:tcPr>
            <w:tcW w:w="18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8B44056" w14:textId="77777777" w:rsidR="00EC5276" w:rsidRPr="00073FD5" w:rsidRDefault="00EC5276" w:rsidP="00EC5276">
            <w:pPr>
              <w:jc w:val="center"/>
              <w:rPr>
                <w:rFonts w:ascii="Century Gothic" w:hAnsi="Century Gothic"/>
                <w:szCs w:val="22"/>
              </w:rPr>
            </w:pPr>
            <w:r w:rsidRPr="00073FD5">
              <w:rPr>
                <w:rFonts w:ascii="Century Gothic" w:hAnsi="Century Gothic"/>
                <w:b/>
                <w:bCs/>
                <w:szCs w:val="22"/>
              </w:rPr>
              <w:t>Baseline</w:t>
            </w:r>
          </w:p>
        </w:tc>
        <w:tc>
          <w:tcPr>
            <w:tcW w:w="1344"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6150F70" w14:textId="77777777" w:rsidR="00EC5276" w:rsidRPr="00073FD5" w:rsidRDefault="00EC5276" w:rsidP="00EC5276">
            <w:pPr>
              <w:jc w:val="center"/>
              <w:rPr>
                <w:rFonts w:ascii="Century Gothic" w:hAnsi="Century Gothic"/>
                <w:szCs w:val="22"/>
              </w:rPr>
            </w:pPr>
            <w:r w:rsidRPr="00073FD5">
              <w:rPr>
                <w:rFonts w:ascii="Century Gothic" w:hAnsi="Century Gothic"/>
                <w:b/>
                <w:bCs/>
                <w:szCs w:val="22"/>
              </w:rPr>
              <w:t>Benchmark</w:t>
            </w:r>
          </w:p>
        </w:tc>
        <w:tc>
          <w:tcPr>
            <w:tcW w:w="3356"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30FE209E" w14:textId="77777777" w:rsidR="00EC5276" w:rsidRPr="00073FD5" w:rsidRDefault="00EC5276" w:rsidP="00EC5276">
            <w:pPr>
              <w:jc w:val="center"/>
              <w:rPr>
                <w:rFonts w:ascii="Century Gothic" w:hAnsi="Century Gothic"/>
              </w:rPr>
            </w:pPr>
            <w:r w:rsidRPr="00073FD5">
              <w:rPr>
                <w:rFonts w:ascii="Century Gothic" w:hAnsi="Century Gothic"/>
                <w:b/>
              </w:rPr>
              <w:t>Outcome*</w:t>
            </w:r>
          </w:p>
        </w:tc>
        <w:tc>
          <w:tcPr>
            <w:tcW w:w="2241"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tcPr>
          <w:p w14:paraId="20361A94" w14:textId="77777777" w:rsidR="00EC5276" w:rsidRPr="00073FD5" w:rsidRDefault="00EC5276" w:rsidP="00EC5276">
            <w:pPr>
              <w:jc w:val="center"/>
              <w:rPr>
                <w:rFonts w:ascii="Century Gothic" w:hAnsi="Century Gothic"/>
                <w:szCs w:val="22"/>
              </w:rPr>
            </w:pPr>
            <w:r w:rsidRPr="00073FD5">
              <w:rPr>
                <w:rFonts w:ascii="Century Gothic" w:hAnsi="Century Gothic"/>
                <w:b/>
                <w:bCs/>
                <w:szCs w:val="22"/>
              </w:rPr>
              <w:t>Benchmark Achieved?</w:t>
            </w:r>
          </w:p>
        </w:tc>
      </w:tr>
      <w:tr w:rsidR="009E30A0" w:rsidRPr="00331A0B" w14:paraId="006A87D3" w14:textId="77777777" w:rsidTr="1D05C336">
        <w:trPr>
          <w:trHeight w:val="620"/>
        </w:trPr>
        <w:tc>
          <w:tcPr>
            <w:tcW w:w="162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46587D3F" w14:textId="77777777" w:rsidR="00EC5276" w:rsidRPr="00073FD5" w:rsidRDefault="00EC5276" w:rsidP="00EC5276">
            <w:pPr>
              <w:rPr>
                <w:rFonts w:ascii="Century Gothic" w:hAnsi="Century Gothic"/>
                <w:szCs w:val="22"/>
              </w:rPr>
            </w:pPr>
            <w:r w:rsidRPr="00073FD5">
              <w:rPr>
                <w:rFonts w:ascii="Century Gothic" w:hAnsi="Century Gothic"/>
                <w:szCs w:val="22"/>
              </w:rPr>
              <w:t xml:space="preserve">Number of families </w:t>
            </w:r>
            <w:proofErr w:type="gramStart"/>
            <w:r w:rsidRPr="00073FD5">
              <w:rPr>
                <w:rFonts w:ascii="Century Gothic" w:hAnsi="Century Gothic"/>
                <w:szCs w:val="22"/>
              </w:rPr>
              <w:t>on</w:t>
            </w:r>
            <w:proofErr w:type="gramEnd"/>
            <w:r w:rsidRPr="00073FD5">
              <w:rPr>
                <w:rFonts w:ascii="Century Gothic" w:hAnsi="Century Gothic"/>
                <w:szCs w:val="22"/>
              </w:rPr>
              <w:t xml:space="preserve"> minimum rent</w:t>
            </w: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85B9999" w14:textId="181B7AB8" w:rsidR="00EC5276" w:rsidRPr="00073FD5" w:rsidRDefault="00EC5276" w:rsidP="23572633">
            <w:pPr>
              <w:rPr>
                <w:rFonts w:ascii="Century Gothic" w:hAnsi="Century Gothic"/>
                <w:szCs w:val="22"/>
              </w:rPr>
            </w:pPr>
            <w:r w:rsidRPr="00073FD5">
              <w:rPr>
                <w:rFonts w:ascii="Century Gothic" w:hAnsi="Century Gothic"/>
                <w:szCs w:val="22"/>
              </w:rPr>
              <w:t>28 (HCV - 2010)</w:t>
            </w:r>
            <w:r w:rsidRPr="00073FD5">
              <w:rPr>
                <w:rFonts w:ascii="Century Gothic" w:hAnsi="Century Gothic"/>
                <w:szCs w:val="22"/>
              </w:rPr>
              <w:br/>
              <w:t>170 (PH - 2007)</w:t>
            </w:r>
          </w:p>
          <w:p w14:paraId="4BC9B586" w14:textId="0F1C4DD1" w:rsidR="00EC5276" w:rsidRPr="00073FD5" w:rsidRDefault="12006B6D" w:rsidP="23572633">
            <w:pPr>
              <w:rPr>
                <w:rFonts w:ascii="Century Gothic" w:hAnsi="Century Gothic"/>
                <w:szCs w:val="22"/>
              </w:rPr>
            </w:pPr>
            <w:r w:rsidRPr="00073FD5">
              <w:rPr>
                <w:rFonts w:ascii="Century Gothic" w:hAnsi="Century Gothic"/>
                <w:szCs w:val="22"/>
              </w:rPr>
              <w:t>(Baseline families 4827)</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445B524" w14:textId="77777777" w:rsidR="00EC5276" w:rsidRPr="00073FD5" w:rsidRDefault="00EC5276" w:rsidP="23572633">
            <w:pPr>
              <w:rPr>
                <w:rFonts w:ascii="Century Gothic" w:hAnsi="Century Gothic"/>
                <w:szCs w:val="22"/>
              </w:rPr>
            </w:pPr>
            <w:r w:rsidRPr="00073FD5">
              <w:rPr>
                <w:rFonts w:ascii="Century Gothic" w:hAnsi="Century Gothic"/>
                <w:szCs w:val="22"/>
              </w:rPr>
              <w:t>Decrease in minimum rent households</w:t>
            </w:r>
          </w:p>
        </w:tc>
        <w:tc>
          <w:tcPr>
            <w:tcW w:w="33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CE5F39B" w14:textId="28E817D2" w:rsidR="005C6F36" w:rsidRPr="00073FD5" w:rsidRDefault="3FD2A42B" w:rsidP="662A423E">
            <w:pPr>
              <w:rPr>
                <w:rFonts w:ascii="Century Gothic" w:hAnsi="Century Gothic"/>
              </w:rPr>
            </w:pPr>
            <w:r w:rsidRPr="00073FD5">
              <w:rPr>
                <w:rFonts w:ascii="Century Gothic" w:hAnsi="Century Gothic"/>
              </w:rPr>
              <w:t>2024:</w:t>
            </w:r>
            <w:r w:rsidR="006539BB">
              <w:rPr>
                <w:rFonts w:ascii="Century Gothic" w:hAnsi="Century Gothic"/>
              </w:rPr>
              <w:t>663</w:t>
            </w:r>
            <w:r w:rsidR="00EB5A4F">
              <w:rPr>
                <w:rFonts w:ascii="Century Gothic" w:hAnsi="Century Gothic"/>
              </w:rPr>
              <w:t xml:space="preserve"> -</w:t>
            </w:r>
            <w:r w:rsidR="73CFC5C4" w:rsidRPr="00073FD5">
              <w:rPr>
                <w:rFonts w:ascii="Century Gothic" w:hAnsi="Century Gothic"/>
              </w:rPr>
              <w:t>5</w:t>
            </w:r>
            <w:r w:rsidR="37ADCD9E" w:rsidRPr="1805753D">
              <w:rPr>
                <w:rFonts w:ascii="Century Gothic" w:hAnsi="Century Gothic"/>
              </w:rPr>
              <w:t>5</w:t>
            </w:r>
            <w:r w:rsidR="73CFC5C4" w:rsidRPr="00073FD5">
              <w:rPr>
                <w:rFonts w:ascii="Century Gothic" w:hAnsi="Century Gothic"/>
              </w:rPr>
              <w:t>1</w:t>
            </w:r>
            <w:r w:rsidRPr="00073FD5">
              <w:rPr>
                <w:rFonts w:ascii="Century Gothic" w:hAnsi="Century Gothic"/>
              </w:rPr>
              <w:t xml:space="preserve">(HCV); </w:t>
            </w:r>
            <w:r w:rsidR="55754AA4" w:rsidRPr="00073FD5">
              <w:rPr>
                <w:rFonts w:ascii="Century Gothic" w:hAnsi="Century Gothic"/>
              </w:rPr>
              <w:t>1</w:t>
            </w:r>
            <w:r w:rsidR="3085C6CD" w:rsidRPr="00073FD5">
              <w:rPr>
                <w:rFonts w:ascii="Century Gothic" w:hAnsi="Century Gothic"/>
              </w:rPr>
              <w:t>12</w:t>
            </w:r>
            <w:r w:rsidRPr="00073FD5">
              <w:rPr>
                <w:rFonts w:ascii="Century Gothic" w:hAnsi="Century Gothic"/>
              </w:rPr>
              <w:t>(LIPH)</w:t>
            </w:r>
          </w:p>
          <w:p w14:paraId="610BA234" w14:textId="6F18549C" w:rsidR="00803A77" w:rsidRPr="00073FD5" w:rsidRDefault="00803A77" w:rsidP="662A423E">
            <w:pPr>
              <w:rPr>
                <w:rFonts w:ascii="Century Gothic" w:hAnsi="Century Gothic"/>
              </w:rPr>
            </w:pPr>
          </w:p>
          <w:p w14:paraId="3720DC0A" w14:textId="6AE68F4E" w:rsidR="005C6F36" w:rsidRPr="00073FD5" w:rsidRDefault="76ED976C" w:rsidP="005C6F36">
            <w:pPr>
              <w:rPr>
                <w:rFonts w:ascii="Century Gothic" w:hAnsi="Century Gothic"/>
              </w:rPr>
            </w:pPr>
            <w:r w:rsidRPr="00073FD5">
              <w:rPr>
                <w:rFonts w:ascii="Century Gothic" w:hAnsi="Century Gothic"/>
              </w:rPr>
              <w:t>2023</w:t>
            </w:r>
            <w:r w:rsidR="36A2C592" w:rsidRPr="00073FD5">
              <w:rPr>
                <w:rFonts w:ascii="Century Gothic" w:hAnsi="Century Gothic"/>
              </w:rPr>
              <w:t>:</w:t>
            </w:r>
            <w:r w:rsidR="00001C42">
              <w:rPr>
                <w:rFonts w:ascii="Century Gothic" w:hAnsi="Century Gothic"/>
              </w:rPr>
              <w:t>643 -</w:t>
            </w:r>
            <w:r w:rsidR="63A0EC68" w:rsidRPr="00073FD5">
              <w:rPr>
                <w:rFonts w:ascii="Century Gothic" w:hAnsi="Century Gothic"/>
              </w:rPr>
              <w:t>502</w:t>
            </w:r>
            <w:r w:rsidRPr="00073FD5">
              <w:rPr>
                <w:rFonts w:ascii="Century Gothic" w:hAnsi="Century Gothic"/>
              </w:rPr>
              <w:t xml:space="preserve"> (HCV); </w:t>
            </w:r>
            <w:r w:rsidR="448EF1A5" w:rsidRPr="00073FD5">
              <w:rPr>
                <w:rFonts w:ascii="Century Gothic" w:hAnsi="Century Gothic"/>
              </w:rPr>
              <w:t>141</w:t>
            </w:r>
            <w:r w:rsidRPr="00073FD5">
              <w:rPr>
                <w:rFonts w:ascii="Century Gothic" w:hAnsi="Century Gothic"/>
              </w:rPr>
              <w:t xml:space="preserve"> (PH)                 </w:t>
            </w:r>
            <w:r w:rsidR="18E2928C" w:rsidRPr="00073FD5">
              <w:rPr>
                <w:rFonts w:ascii="Century Gothic" w:hAnsi="Century Gothic"/>
              </w:rPr>
              <w:t xml:space="preserve"> </w:t>
            </w:r>
          </w:p>
          <w:p w14:paraId="72F1E45B" w14:textId="2ABFBCDD" w:rsidR="165AED5D" w:rsidRPr="00073FD5" w:rsidRDefault="7CED8C18" w:rsidP="1B3F2E6D">
            <w:pPr>
              <w:rPr>
                <w:rFonts w:ascii="Century Gothic" w:hAnsi="Century Gothic"/>
              </w:rPr>
            </w:pPr>
            <w:r w:rsidRPr="00073FD5">
              <w:rPr>
                <w:rFonts w:ascii="Century Gothic" w:hAnsi="Century Gothic"/>
              </w:rPr>
              <w:t xml:space="preserve">2022 </w:t>
            </w:r>
            <w:r w:rsidR="00A43FC0">
              <w:rPr>
                <w:rFonts w:ascii="Century Gothic" w:hAnsi="Century Gothic"/>
              </w:rPr>
              <w:t>605</w:t>
            </w:r>
            <w:r w:rsidR="00331ABD">
              <w:rPr>
                <w:rFonts w:ascii="Century Gothic" w:hAnsi="Century Gothic"/>
              </w:rPr>
              <w:t xml:space="preserve"> - </w:t>
            </w:r>
            <w:r w:rsidR="723DEA9E" w:rsidRPr="00073FD5">
              <w:rPr>
                <w:rFonts w:ascii="Century Gothic" w:hAnsi="Century Gothic"/>
              </w:rPr>
              <w:t>483</w:t>
            </w:r>
            <w:r w:rsidR="2F41DD12" w:rsidRPr="00073FD5">
              <w:rPr>
                <w:rFonts w:ascii="Century Gothic" w:hAnsi="Century Gothic"/>
              </w:rPr>
              <w:t xml:space="preserve"> (HCV); 122 (PH)</w:t>
            </w:r>
            <w:r w:rsidR="3BFA6EC4" w:rsidRPr="00073FD5">
              <w:rPr>
                <w:rFonts w:ascii="Century Gothic" w:hAnsi="Century Gothic"/>
              </w:rPr>
              <w:t xml:space="preserve">             </w:t>
            </w:r>
            <w:r w:rsidR="00C27E7C" w:rsidRPr="00073FD5">
              <w:rPr>
                <w:rFonts w:ascii="Century Gothic" w:hAnsi="Century Gothic"/>
              </w:rPr>
              <w:t xml:space="preserve">    </w:t>
            </w:r>
          </w:p>
          <w:p w14:paraId="366F982B" w14:textId="33FA0525" w:rsidR="57C3E7CB" w:rsidRPr="00073FD5" w:rsidRDefault="1AA83C99" w:rsidP="4566E4F4">
            <w:pPr>
              <w:rPr>
                <w:rFonts w:ascii="Century Gothic" w:hAnsi="Century Gothic"/>
              </w:rPr>
            </w:pPr>
            <w:r w:rsidRPr="00073FD5">
              <w:rPr>
                <w:rFonts w:ascii="Century Gothic" w:hAnsi="Century Gothic"/>
              </w:rPr>
              <w:t>2021</w:t>
            </w:r>
            <w:r w:rsidR="7B3E998F" w:rsidRPr="00073FD5">
              <w:rPr>
                <w:rFonts w:ascii="Century Gothic" w:hAnsi="Century Gothic"/>
              </w:rPr>
              <w:t>:</w:t>
            </w:r>
            <w:r w:rsidR="5557F884" w:rsidRPr="00073FD5">
              <w:rPr>
                <w:rFonts w:ascii="Century Gothic" w:hAnsi="Century Gothic"/>
              </w:rPr>
              <w:t xml:space="preserve"> </w:t>
            </w:r>
            <w:r w:rsidR="00547140">
              <w:rPr>
                <w:rFonts w:ascii="Century Gothic" w:hAnsi="Century Gothic"/>
              </w:rPr>
              <w:t xml:space="preserve">498 - </w:t>
            </w:r>
            <w:r w:rsidR="37E8BF42" w:rsidRPr="00073FD5">
              <w:rPr>
                <w:rFonts w:ascii="Century Gothic" w:hAnsi="Century Gothic"/>
              </w:rPr>
              <w:t xml:space="preserve">397 </w:t>
            </w:r>
            <w:r w:rsidR="7DED0682" w:rsidRPr="00073FD5">
              <w:rPr>
                <w:rFonts w:ascii="Century Gothic" w:hAnsi="Century Gothic"/>
              </w:rPr>
              <w:t>(</w:t>
            </w:r>
            <w:r w:rsidR="37E8BF42" w:rsidRPr="00073FD5">
              <w:rPr>
                <w:rFonts w:ascii="Century Gothic" w:hAnsi="Century Gothic"/>
              </w:rPr>
              <w:t>HCV</w:t>
            </w:r>
            <w:r w:rsidR="2B3CE791" w:rsidRPr="00073FD5">
              <w:rPr>
                <w:rFonts w:ascii="Century Gothic" w:hAnsi="Century Gothic"/>
              </w:rPr>
              <w:t>);</w:t>
            </w:r>
            <w:r w:rsidR="37E8BF42" w:rsidRPr="00073FD5">
              <w:rPr>
                <w:rFonts w:ascii="Century Gothic" w:hAnsi="Century Gothic"/>
              </w:rPr>
              <w:t xml:space="preserve"> </w:t>
            </w:r>
            <w:r w:rsidR="5557F884" w:rsidRPr="00073FD5">
              <w:rPr>
                <w:rFonts w:ascii="Century Gothic" w:hAnsi="Century Gothic"/>
              </w:rPr>
              <w:t xml:space="preserve">101 </w:t>
            </w:r>
            <w:r w:rsidR="52B56AB5" w:rsidRPr="00073FD5">
              <w:rPr>
                <w:rFonts w:ascii="Century Gothic" w:hAnsi="Century Gothic"/>
              </w:rPr>
              <w:t>(</w:t>
            </w:r>
            <w:r w:rsidR="5557F884" w:rsidRPr="00073FD5">
              <w:rPr>
                <w:rFonts w:ascii="Century Gothic" w:hAnsi="Century Gothic"/>
              </w:rPr>
              <w:t>PH</w:t>
            </w:r>
            <w:r w:rsidR="5C60F2A5" w:rsidRPr="00073FD5">
              <w:rPr>
                <w:rFonts w:ascii="Century Gothic" w:hAnsi="Century Gothic"/>
              </w:rPr>
              <w:t>)</w:t>
            </w:r>
          </w:p>
          <w:p w14:paraId="6872B132" w14:textId="5453C2B2" w:rsidR="57C3E7CB" w:rsidRPr="00073FD5" w:rsidRDefault="65622663" w:rsidP="0C23D96A">
            <w:pPr>
              <w:rPr>
                <w:rFonts w:ascii="Century Gothic" w:hAnsi="Century Gothic"/>
              </w:rPr>
            </w:pPr>
            <w:r w:rsidRPr="00073FD5">
              <w:rPr>
                <w:rFonts w:ascii="Century Gothic" w:hAnsi="Century Gothic"/>
              </w:rPr>
              <w:t>2020</w:t>
            </w:r>
            <w:r w:rsidR="616C8304" w:rsidRPr="00073FD5">
              <w:rPr>
                <w:rFonts w:ascii="Century Gothic" w:hAnsi="Century Gothic"/>
              </w:rPr>
              <w:t>:</w:t>
            </w:r>
            <w:r w:rsidR="71F19B03" w:rsidRPr="00073FD5">
              <w:rPr>
                <w:rFonts w:ascii="Century Gothic" w:hAnsi="Century Gothic"/>
              </w:rPr>
              <w:t xml:space="preserve"> </w:t>
            </w:r>
            <w:r w:rsidR="006B35DC">
              <w:rPr>
                <w:rFonts w:ascii="Century Gothic" w:hAnsi="Century Gothic"/>
              </w:rPr>
              <w:t>481 -</w:t>
            </w:r>
            <w:r w:rsidR="371CB226" w:rsidRPr="00073FD5">
              <w:rPr>
                <w:rFonts w:ascii="Century Gothic" w:hAnsi="Century Gothic"/>
              </w:rPr>
              <w:t xml:space="preserve">378 </w:t>
            </w:r>
            <w:r w:rsidR="1DF106B9" w:rsidRPr="00073FD5">
              <w:rPr>
                <w:rFonts w:ascii="Century Gothic" w:hAnsi="Century Gothic"/>
              </w:rPr>
              <w:t>(</w:t>
            </w:r>
            <w:r w:rsidR="371CB226" w:rsidRPr="00073FD5">
              <w:rPr>
                <w:rFonts w:ascii="Century Gothic" w:hAnsi="Century Gothic"/>
              </w:rPr>
              <w:t>HCV</w:t>
            </w:r>
            <w:r w:rsidR="25400769" w:rsidRPr="00073FD5">
              <w:rPr>
                <w:rFonts w:ascii="Century Gothic" w:hAnsi="Century Gothic"/>
              </w:rPr>
              <w:t>)</w:t>
            </w:r>
            <w:r w:rsidR="740BDB96" w:rsidRPr="00073FD5">
              <w:rPr>
                <w:rFonts w:ascii="Century Gothic" w:hAnsi="Century Gothic"/>
              </w:rPr>
              <w:t>;</w:t>
            </w:r>
            <w:r w:rsidR="37E13798" w:rsidRPr="00073FD5">
              <w:rPr>
                <w:rFonts w:ascii="Century Gothic" w:hAnsi="Century Gothic"/>
              </w:rPr>
              <w:t xml:space="preserve"> </w:t>
            </w:r>
            <w:r w:rsidR="71F19B03" w:rsidRPr="00073FD5">
              <w:rPr>
                <w:rFonts w:ascii="Century Gothic" w:hAnsi="Century Gothic"/>
              </w:rPr>
              <w:t xml:space="preserve">103 </w:t>
            </w:r>
            <w:r w:rsidR="22DF4C65" w:rsidRPr="00073FD5">
              <w:rPr>
                <w:rFonts w:ascii="Century Gothic" w:hAnsi="Century Gothic"/>
              </w:rPr>
              <w:t>(</w:t>
            </w:r>
            <w:r w:rsidR="71F19B03" w:rsidRPr="00073FD5">
              <w:rPr>
                <w:rFonts w:ascii="Century Gothic" w:hAnsi="Century Gothic"/>
              </w:rPr>
              <w:t>PH</w:t>
            </w:r>
            <w:r w:rsidR="3A75D095" w:rsidRPr="00073FD5">
              <w:rPr>
                <w:rFonts w:ascii="Century Gothic" w:hAnsi="Century Gothic"/>
              </w:rPr>
              <w:t>)</w:t>
            </w:r>
          </w:p>
          <w:p w14:paraId="66419507" w14:textId="28B9EF93" w:rsidR="002769B0" w:rsidRPr="00073FD5" w:rsidRDefault="6489CAEB" w:rsidP="00EC5276">
            <w:pPr>
              <w:rPr>
                <w:rFonts w:ascii="Century Gothic" w:hAnsi="Century Gothic"/>
              </w:rPr>
            </w:pPr>
            <w:r w:rsidRPr="00073FD5">
              <w:rPr>
                <w:rFonts w:ascii="Century Gothic" w:hAnsi="Century Gothic"/>
              </w:rPr>
              <w:t xml:space="preserve">2019: </w:t>
            </w:r>
            <w:r w:rsidR="002F4D02">
              <w:rPr>
                <w:rFonts w:ascii="Century Gothic" w:hAnsi="Century Gothic"/>
              </w:rPr>
              <w:t xml:space="preserve">492 - </w:t>
            </w:r>
            <w:r w:rsidRPr="00073FD5">
              <w:rPr>
                <w:rFonts w:ascii="Century Gothic" w:hAnsi="Century Gothic"/>
              </w:rPr>
              <w:t>246 (HCV</w:t>
            </w:r>
            <w:r w:rsidR="0C3A261E" w:rsidRPr="00073FD5">
              <w:rPr>
                <w:rFonts w:ascii="Century Gothic" w:hAnsi="Century Gothic"/>
              </w:rPr>
              <w:t>); 246 (</w:t>
            </w:r>
            <w:r w:rsidR="09C200E2" w:rsidRPr="00073FD5">
              <w:rPr>
                <w:rFonts w:ascii="Century Gothic" w:hAnsi="Century Gothic"/>
              </w:rPr>
              <w:t>PH</w:t>
            </w:r>
            <w:r w:rsidRPr="00073FD5">
              <w:rPr>
                <w:rFonts w:ascii="Century Gothic" w:hAnsi="Century Gothic"/>
              </w:rPr>
              <w:t>)</w:t>
            </w:r>
            <w:r w:rsidR="09C200E2" w:rsidRPr="00073FD5">
              <w:rPr>
                <w:rFonts w:ascii="Century Gothic" w:hAnsi="Century Gothic"/>
              </w:rPr>
              <w:t xml:space="preserve"> </w:t>
            </w:r>
          </w:p>
          <w:p w14:paraId="5142E94A" w14:textId="262DFF84" w:rsidR="00EC5276" w:rsidRPr="00073FD5" w:rsidRDefault="00EC5276" w:rsidP="00EC5276">
            <w:pPr>
              <w:rPr>
                <w:rFonts w:ascii="Century Gothic" w:hAnsi="Century Gothic"/>
              </w:rPr>
            </w:pPr>
            <w:r w:rsidRPr="00073FD5">
              <w:rPr>
                <w:rFonts w:ascii="Century Gothic" w:hAnsi="Century Gothic"/>
              </w:rPr>
              <w:t xml:space="preserve">2018: </w:t>
            </w:r>
            <w:r w:rsidR="00A077C9">
              <w:rPr>
                <w:rFonts w:ascii="Century Gothic" w:hAnsi="Century Gothic"/>
              </w:rPr>
              <w:t>577 -</w:t>
            </w:r>
            <w:r w:rsidRPr="00073FD5">
              <w:rPr>
                <w:rFonts w:ascii="Century Gothic" w:hAnsi="Century Gothic"/>
              </w:rPr>
              <w:t xml:space="preserve">412 (HCV); 165 (PH) </w:t>
            </w:r>
          </w:p>
          <w:p w14:paraId="0EFC931A" w14:textId="2AD719B5" w:rsidR="00EC5276" w:rsidRPr="00073FD5" w:rsidRDefault="00EC5276" w:rsidP="00EC5276">
            <w:pPr>
              <w:rPr>
                <w:rFonts w:ascii="Century Gothic" w:hAnsi="Century Gothic"/>
              </w:rPr>
            </w:pPr>
            <w:r w:rsidRPr="00073FD5">
              <w:rPr>
                <w:rFonts w:ascii="Century Gothic" w:hAnsi="Century Gothic"/>
              </w:rPr>
              <w:t xml:space="preserve">2017: </w:t>
            </w:r>
            <w:r w:rsidR="00E204E0">
              <w:rPr>
                <w:rFonts w:ascii="Century Gothic" w:hAnsi="Century Gothic"/>
              </w:rPr>
              <w:t>551 -</w:t>
            </w:r>
            <w:r w:rsidRPr="00073FD5">
              <w:rPr>
                <w:rFonts w:ascii="Century Gothic" w:hAnsi="Century Gothic"/>
              </w:rPr>
              <w:t>380 (HCV); 171 (PH)</w:t>
            </w:r>
          </w:p>
          <w:p w14:paraId="0AA41069" w14:textId="7FA9A9CA" w:rsidR="00EC5276" w:rsidRPr="00073FD5" w:rsidRDefault="00EC5276" w:rsidP="00EC5276">
            <w:pPr>
              <w:rPr>
                <w:rFonts w:ascii="Century Gothic" w:hAnsi="Century Gothic"/>
              </w:rPr>
            </w:pPr>
            <w:r w:rsidRPr="00073FD5">
              <w:rPr>
                <w:rFonts w:ascii="Century Gothic" w:hAnsi="Century Gothic"/>
              </w:rPr>
              <w:t xml:space="preserve">2016: </w:t>
            </w:r>
            <w:r w:rsidR="009D648D">
              <w:rPr>
                <w:rFonts w:ascii="Century Gothic" w:hAnsi="Century Gothic"/>
              </w:rPr>
              <w:t>593-</w:t>
            </w:r>
            <w:r w:rsidRPr="00073FD5">
              <w:rPr>
                <w:rFonts w:ascii="Century Gothic" w:hAnsi="Century Gothic"/>
              </w:rPr>
              <w:t>360 (HCV); 233 (PH)</w:t>
            </w:r>
          </w:p>
          <w:p w14:paraId="112039BC" w14:textId="77777777" w:rsidR="00EC5276" w:rsidRDefault="00EC5276" w:rsidP="00EC5276">
            <w:pPr>
              <w:rPr>
                <w:rFonts w:ascii="Century Gothic" w:hAnsi="Century Gothic"/>
              </w:rPr>
            </w:pPr>
            <w:r w:rsidRPr="00073FD5">
              <w:rPr>
                <w:rFonts w:ascii="Century Gothic" w:hAnsi="Century Gothic"/>
              </w:rPr>
              <w:t xml:space="preserve">2015: </w:t>
            </w:r>
            <w:r w:rsidR="004C48B7">
              <w:rPr>
                <w:rFonts w:ascii="Century Gothic" w:hAnsi="Century Gothic"/>
              </w:rPr>
              <w:t>561-</w:t>
            </w:r>
            <w:r w:rsidRPr="00073FD5">
              <w:rPr>
                <w:rFonts w:ascii="Century Gothic" w:hAnsi="Century Gothic"/>
              </w:rPr>
              <w:t>348 (HCV); 213 (PH)</w:t>
            </w:r>
            <w:r>
              <w:br/>
            </w:r>
            <w:r w:rsidRPr="00073FD5">
              <w:rPr>
                <w:rFonts w:ascii="Century Gothic" w:hAnsi="Century Gothic"/>
              </w:rPr>
              <w:t xml:space="preserve">2014: </w:t>
            </w:r>
            <w:r w:rsidR="0016632C">
              <w:rPr>
                <w:rFonts w:ascii="Century Gothic" w:hAnsi="Century Gothic"/>
              </w:rPr>
              <w:t>574</w:t>
            </w:r>
            <w:r w:rsidR="00964D49">
              <w:rPr>
                <w:rFonts w:ascii="Century Gothic" w:hAnsi="Century Gothic"/>
              </w:rPr>
              <w:t>-</w:t>
            </w:r>
            <w:r w:rsidRPr="00073FD5">
              <w:rPr>
                <w:rFonts w:ascii="Century Gothic" w:hAnsi="Century Gothic"/>
              </w:rPr>
              <w:t>341 (HCV); 233 (PH)</w:t>
            </w:r>
            <w:r>
              <w:br/>
            </w:r>
            <w:r w:rsidRPr="00073FD5">
              <w:rPr>
                <w:rFonts w:ascii="Century Gothic" w:hAnsi="Century Gothic"/>
              </w:rPr>
              <w:t xml:space="preserve">2013: </w:t>
            </w:r>
            <w:r w:rsidR="00551274">
              <w:rPr>
                <w:rFonts w:ascii="Century Gothic" w:hAnsi="Century Gothic"/>
              </w:rPr>
              <w:t>526-</w:t>
            </w:r>
            <w:r w:rsidRPr="00073FD5">
              <w:rPr>
                <w:rFonts w:ascii="Century Gothic" w:hAnsi="Century Gothic"/>
              </w:rPr>
              <w:t xml:space="preserve">314 (HCV); 212 (PH) </w:t>
            </w:r>
            <w:r>
              <w:br/>
            </w:r>
            <w:r w:rsidRPr="00073FD5">
              <w:rPr>
                <w:rFonts w:ascii="Century Gothic" w:hAnsi="Century Gothic"/>
              </w:rPr>
              <w:t xml:space="preserve">2012: </w:t>
            </w:r>
            <w:r w:rsidR="00904D78">
              <w:rPr>
                <w:rFonts w:ascii="Century Gothic" w:hAnsi="Century Gothic"/>
              </w:rPr>
              <w:t>467-</w:t>
            </w:r>
            <w:r w:rsidRPr="00073FD5">
              <w:rPr>
                <w:rFonts w:ascii="Century Gothic" w:hAnsi="Century Gothic"/>
              </w:rPr>
              <w:t>287 (HCV); 180 (PH)</w:t>
            </w:r>
            <w:r>
              <w:br/>
            </w:r>
            <w:r w:rsidRPr="00073FD5">
              <w:rPr>
                <w:rFonts w:ascii="Century Gothic" w:hAnsi="Century Gothic"/>
              </w:rPr>
              <w:t xml:space="preserve">2011: </w:t>
            </w:r>
            <w:r w:rsidR="00AE70E8">
              <w:rPr>
                <w:rFonts w:ascii="Century Gothic" w:hAnsi="Century Gothic"/>
              </w:rPr>
              <w:t>410-</w:t>
            </w:r>
            <w:r w:rsidRPr="00073FD5">
              <w:rPr>
                <w:rFonts w:ascii="Century Gothic" w:hAnsi="Century Gothic"/>
              </w:rPr>
              <w:t>227 (HCV); 183 (PH)</w:t>
            </w:r>
            <w:r>
              <w:br/>
            </w:r>
            <w:r w:rsidRPr="00073FD5">
              <w:rPr>
                <w:rFonts w:ascii="Century Gothic" w:hAnsi="Century Gothic"/>
              </w:rPr>
              <w:t xml:space="preserve">2010: </w:t>
            </w:r>
            <w:r w:rsidR="007F5BFA">
              <w:rPr>
                <w:rFonts w:ascii="Century Gothic" w:hAnsi="Century Gothic"/>
              </w:rPr>
              <w:t>181-</w:t>
            </w:r>
            <w:r w:rsidRPr="00073FD5">
              <w:rPr>
                <w:rFonts w:ascii="Century Gothic" w:hAnsi="Century Gothic"/>
              </w:rPr>
              <w:t>28 (HCV); 153 (PH)</w:t>
            </w:r>
            <w:r>
              <w:br/>
            </w:r>
            <w:r w:rsidRPr="00073FD5">
              <w:rPr>
                <w:rFonts w:ascii="Century Gothic" w:hAnsi="Century Gothic"/>
              </w:rPr>
              <w:t xml:space="preserve">2009: </w:t>
            </w:r>
            <w:r w:rsidR="00723E18">
              <w:rPr>
                <w:rFonts w:ascii="Century Gothic" w:hAnsi="Century Gothic"/>
              </w:rPr>
              <w:t>180-</w:t>
            </w:r>
            <w:r w:rsidRPr="00073FD5">
              <w:rPr>
                <w:rFonts w:ascii="Century Gothic" w:hAnsi="Century Gothic"/>
              </w:rPr>
              <w:t>33 (HCV); 147 (PH)</w:t>
            </w:r>
            <w:r>
              <w:br/>
            </w:r>
            <w:r w:rsidRPr="00803A77">
              <w:rPr>
                <w:rFonts w:ascii="Century Gothic" w:hAnsi="Century Gothic"/>
              </w:rPr>
              <w:t xml:space="preserve">2008: </w:t>
            </w:r>
            <w:r w:rsidR="00695228">
              <w:rPr>
                <w:rFonts w:ascii="Century Gothic" w:hAnsi="Century Gothic"/>
              </w:rPr>
              <w:t>282-</w:t>
            </w:r>
            <w:r w:rsidRPr="00803A77">
              <w:rPr>
                <w:rFonts w:ascii="Century Gothic" w:hAnsi="Century Gothic"/>
              </w:rPr>
              <w:t>121 (HCV); 161 (PH)</w:t>
            </w:r>
          </w:p>
          <w:p w14:paraId="531635F4" w14:textId="3262DDE1" w:rsidR="00695228" w:rsidRPr="00803A77" w:rsidRDefault="00695228" w:rsidP="00EC5276">
            <w:pPr>
              <w:rPr>
                <w:rFonts w:ascii="Century Gothic" w:hAnsi="Century Gothic"/>
              </w:rPr>
            </w:pPr>
          </w:p>
        </w:tc>
        <w:tc>
          <w:tcPr>
            <w:tcW w:w="224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1620B91F" w14:textId="7C6D661E" w:rsidR="00EC5276" w:rsidRPr="00803A77" w:rsidRDefault="00EC5276" w:rsidP="00EC5276">
            <w:pPr>
              <w:rPr>
                <w:rFonts w:ascii="Century Gothic" w:hAnsi="Century Gothic"/>
                <w:szCs w:val="22"/>
              </w:rPr>
            </w:pPr>
            <w:r w:rsidRPr="00803A77">
              <w:rPr>
                <w:rFonts w:ascii="Century Gothic" w:hAnsi="Century Gothic"/>
                <w:szCs w:val="22"/>
              </w:rPr>
              <w:t>No</w:t>
            </w:r>
          </w:p>
        </w:tc>
      </w:tr>
      <w:tr w:rsidR="009E30A0" w:rsidRPr="00331A0B" w14:paraId="007FE184" w14:textId="77777777" w:rsidTr="1D05C336">
        <w:trPr>
          <w:trHeight w:val="1434"/>
        </w:trPr>
        <w:tc>
          <w:tcPr>
            <w:tcW w:w="162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11E9478D" w14:textId="2FA7A427" w:rsidR="00EC5276" w:rsidRPr="00803A77" w:rsidRDefault="00EC5276" w:rsidP="7AF60685">
            <w:pPr>
              <w:rPr>
                <w:rFonts w:ascii="Century Gothic" w:hAnsi="Century Gothic"/>
                <w:szCs w:val="22"/>
              </w:rPr>
            </w:pPr>
            <w:bookmarkStart w:id="170" w:name="_Hlk90379101"/>
            <w:r w:rsidRPr="00803A77">
              <w:rPr>
                <w:rFonts w:ascii="Century Gothic" w:hAnsi="Century Gothic"/>
                <w:szCs w:val="22"/>
              </w:rPr>
              <w:t xml:space="preserve">Number of </w:t>
            </w:r>
            <w:r w:rsidR="54293EB1" w:rsidRPr="00803A77">
              <w:rPr>
                <w:rFonts w:ascii="Century Gothic" w:hAnsi="Century Gothic"/>
                <w:szCs w:val="22"/>
              </w:rPr>
              <w:t>“</w:t>
            </w:r>
            <w:r w:rsidRPr="00803A77">
              <w:rPr>
                <w:rFonts w:ascii="Century Gothic" w:hAnsi="Century Gothic"/>
                <w:szCs w:val="22"/>
              </w:rPr>
              <w:t>annual</w:t>
            </w:r>
            <w:r w:rsidR="4B51D940" w:rsidRPr="00803A77">
              <w:rPr>
                <w:rFonts w:ascii="Century Gothic" w:hAnsi="Century Gothic"/>
                <w:szCs w:val="22"/>
              </w:rPr>
              <w:t>”</w:t>
            </w:r>
            <w:r w:rsidRPr="00803A77">
              <w:rPr>
                <w:rFonts w:ascii="Century Gothic" w:hAnsi="Century Gothic"/>
                <w:szCs w:val="22"/>
              </w:rPr>
              <w:t xml:space="preserve"> interims processed (PH and HCV combined)</w:t>
            </w:r>
          </w:p>
        </w:tc>
        <w:tc>
          <w:tcPr>
            <w:tcW w:w="1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D6AB1E8" w14:textId="553A7B18" w:rsidR="00EC5276" w:rsidRPr="00803A77" w:rsidRDefault="38F59E49" w:rsidP="39396E9E">
            <w:pPr>
              <w:rPr>
                <w:rFonts w:ascii="Century Gothic" w:hAnsi="Century Gothic"/>
                <w:szCs w:val="22"/>
              </w:rPr>
            </w:pPr>
            <w:r w:rsidRPr="00803A77">
              <w:rPr>
                <w:rFonts w:ascii="Century Gothic" w:hAnsi="Century Gothic"/>
                <w:szCs w:val="22"/>
              </w:rPr>
              <w:t>1,280 (2</w:t>
            </w:r>
            <w:r w:rsidR="11F6BBA2" w:rsidRPr="00803A77">
              <w:rPr>
                <w:rFonts w:ascii="Century Gothic" w:hAnsi="Century Gothic"/>
                <w:szCs w:val="22"/>
              </w:rPr>
              <w:t>007)</w:t>
            </w:r>
          </w:p>
        </w:tc>
        <w:tc>
          <w:tcPr>
            <w:tcW w:w="1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137F3C6" w14:textId="77777777" w:rsidR="00EC5276" w:rsidRPr="00803A77" w:rsidRDefault="00EC5276" w:rsidP="00EC5276">
            <w:pPr>
              <w:rPr>
                <w:rFonts w:ascii="Century Gothic" w:hAnsi="Century Gothic"/>
                <w:szCs w:val="22"/>
              </w:rPr>
            </w:pPr>
            <w:r w:rsidRPr="00803A77">
              <w:rPr>
                <w:rFonts w:ascii="Century Gothic" w:hAnsi="Century Gothic"/>
                <w:szCs w:val="22"/>
              </w:rPr>
              <w:t xml:space="preserve">1,300 </w:t>
            </w:r>
          </w:p>
        </w:tc>
        <w:tc>
          <w:tcPr>
            <w:tcW w:w="33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0B31E2F" w14:textId="0F5F04CE" w:rsidR="005C6F36" w:rsidRPr="00016BCA" w:rsidRDefault="25C4BA9C" w:rsidP="7D8DAC21">
            <w:pPr>
              <w:rPr>
                <w:rFonts w:ascii="Century Gothic" w:hAnsi="Century Gothic"/>
              </w:rPr>
            </w:pPr>
            <w:r w:rsidRPr="00016BCA">
              <w:rPr>
                <w:rFonts w:ascii="Century Gothic" w:hAnsi="Century Gothic"/>
              </w:rPr>
              <w:t xml:space="preserve">2024: </w:t>
            </w:r>
            <w:r w:rsidR="014B0538" w:rsidRPr="00016BCA">
              <w:rPr>
                <w:rFonts w:ascii="Century Gothic" w:hAnsi="Century Gothic"/>
              </w:rPr>
              <w:t>3019</w:t>
            </w:r>
          </w:p>
          <w:p w14:paraId="00EDD96E" w14:textId="3EB11A67" w:rsidR="005C6F36" w:rsidRPr="00803A77" w:rsidRDefault="25C4BA9C" w:rsidP="662A423E">
            <w:pPr>
              <w:rPr>
                <w:rFonts w:ascii="Century Gothic" w:hAnsi="Century Gothic"/>
              </w:rPr>
            </w:pPr>
            <w:r w:rsidRPr="00016BCA">
              <w:rPr>
                <w:rFonts w:ascii="Century Gothic" w:hAnsi="Century Gothic"/>
              </w:rPr>
              <w:t>2836(HCV</w:t>
            </w:r>
            <w:r w:rsidR="7281198F" w:rsidRPr="00016BCA">
              <w:rPr>
                <w:rFonts w:ascii="Century Gothic" w:hAnsi="Century Gothic"/>
              </w:rPr>
              <w:t xml:space="preserve">); </w:t>
            </w:r>
            <w:r w:rsidR="0AE0FF47" w:rsidRPr="00016BCA">
              <w:rPr>
                <w:rFonts w:ascii="Century Gothic" w:hAnsi="Century Gothic"/>
              </w:rPr>
              <w:t>183</w:t>
            </w:r>
            <w:r w:rsidRPr="00016BCA">
              <w:rPr>
                <w:rFonts w:ascii="Century Gothic" w:hAnsi="Century Gothic"/>
              </w:rPr>
              <w:t>(LIPH)</w:t>
            </w:r>
          </w:p>
          <w:p w14:paraId="643DF325" w14:textId="3609B15C" w:rsidR="005C6F36" w:rsidRPr="00803A77" w:rsidRDefault="395EC95C" w:rsidP="005C6F36">
            <w:pPr>
              <w:rPr>
                <w:rFonts w:ascii="Century Gothic" w:hAnsi="Century Gothic"/>
                <w:szCs w:val="22"/>
              </w:rPr>
            </w:pPr>
            <w:r w:rsidRPr="00803A77">
              <w:rPr>
                <w:rFonts w:ascii="Century Gothic" w:hAnsi="Century Gothic"/>
                <w:szCs w:val="22"/>
              </w:rPr>
              <w:t xml:space="preserve">2023: </w:t>
            </w:r>
            <w:r w:rsidR="3BEEB453" w:rsidRPr="00803A77">
              <w:rPr>
                <w:rFonts w:ascii="Century Gothic" w:hAnsi="Century Gothic"/>
                <w:szCs w:val="22"/>
              </w:rPr>
              <w:t>2768</w:t>
            </w:r>
          </w:p>
          <w:p w14:paraId="37A5B2F3" w14:textId="0B5EDA98" w:rsidR="005C6F36" w:rsidRPr="00803A77" w:rsidRDefault="7A8C99F3" w:rsidP="56558BA2">
            <w:pPr>
              <w:rPr>
                <w:rFonts w:ascii="Century Gothic" w:eastAsia="MS PGothic" w:hAnsi="Century Gothic"/>
                <w:szCs w:val="22"/>
              </w:rPr>
            </w:pPr>
            <w:r w:rsidRPr="00803A77">
              <w:rPr>
                <w:rFonts w:ascii="Century Gothic" w:hAnsi="Century Gothic"/>
                <w:szCs w:val="22"/>
              </w:rPr>
              <w:t xml:space="preserve">          </w:t>
            </w:r>
            <w:r w:rsidR="76BC7E37" w:rsidRPr="00803A77">
              <w:rPr>
                <w:rFonts w:ascii="Century Gothic" w:hAnsi="Century Gothic"/>
                <w:szCs w:val="22"/>
              </w:rPr>
              <w:t>2,490</w:t>
            </w:r>
            <w:r w:rsidR="45DD6379" w:rsidRPr="00803A77">
              <w:rPr>
                <w:rFonts w:ascii="Century Gothic" w:hAnsi="Century Gothic"/>
                <w:szCs w:val="22"/>
              </w:rPr>
              <w:t xml:space="preserve"> </w:t>
            </w:r>
            <w:r w:rsidRPr="00803A77">
              <w:rPr>
                <w:rFonts w:ascii="Century Gothic" w:hAnsi="Century Gothic"/>
                <w:szCs w:val="22"/>
              </w:rPr>
              <w:t xml:space="preserve">(HCV); </w:t>
            </w:r>
            <w:r w:rsidR="58907659" w:rsidRPr="00803A77">
              <w:rPr>
                <w:rFonts w:ascii="Century Gothic" w:hAnsi="Century Gothic"/>
                <w:szCs w:val="22"/>
              </w:rPr>
              <w:t>278</w:t>
            </w:r>
            <w:r w:rsidRPr="00803A77">
              <w:rPr>
                <w:rFonts w:ascii="Century Gothic" w:hAnsi="Century Gothic"/>
                <w:szCs w:val="22"/>
              </w:rPr>
              <w:t xml:space="preserve"> (LIPH)</w:t>
            </w:r>
          </w:p>
          <w:p w14:paraId="778E90EC" w14:textId="3E234719" w:rsidR="3A21E9DA" w:rsidRPr="00803A77" w:rsidRDefault="015C4B2F" w:rsidP="4566E4F4">
            <w:pPr>
              <w:rPr>
                <w:rFonts w:ascii="Century Gothic" w:hAnsi="Century Gothic"/>
                <w:szCs w:val="22"/>
              </w:rPr>
            </w:pPr>
            <w:r w:rsidRPr="00803A77">
              <w:rPr>
                <w:rFonts w:ascii="Century Gothic" w:hAnsi="Century Gothic"/>
                <w:szCs w:val="22"/>
              </w:rPr>
              <w:t>2022</w:t>
            </w:r>
            <w:r w:rsidR="73AABA6C" w:rsidRPr="00803A77">
              <w:rPr>
                <w:rFonts w:ascii="Century Gothic" w:hAnsi="Century Gothic"/>
                <w:szCs w:val="22"/>
              </w:rPr>
              <w:t>: 2382</w:t>
            </w:r>
            <w:r w:rsidR="66B83DDF" w:rsidRPr="00803A77">
              <w:rPr>
                <w:rFonts w:ascii="Century Gothic" w:hAnsi="Century Gothic"/>
                <w:szCs w:val="22"/>
              </w:rPr>
              <w:t xml:space="preserve"> </w:t>
            </w:r>
          </w:p>
          <w:p w14:paraId="7C458C16" w14:textId="2529F60D" w:rsidR="3A21E9DA" w:rsidRPr="00803A77" w:rsidRDefault="1BED10E1" w:rsidP="4566E4F4">
            <w:pPr>
              <w:rPr>
                <w:rFonts w:ascii="Century Gothic" w:eastAsia="MS PGothic" w:hAnsi="Century Gothic"/>
                <w:szCs w:val="22"/>
              </w:rPr>
            </w:pPr>
            <w:r w:rsidRPr="00803A77">
              <w:rPr>
                <w:rFonts w:ascii="Century Gothic" w:hAnsi="Century Gothic"/>
                <w:szCs w:val="22"/>
              </w:rPr>
              <w:t xml:space="preserve">          </w:t>
            </w:r>
            <w:r w:rsidR="283A8B89" w:rsidRPr="00803A77">
              <w:rPr>
                <w:rFonts w:ascii="Century Gothic" w:hAnsi="Century Gothic"/>
                <w:szCs w:val="22"/>
              </w:rPr>
              <w:t>2,</w:t>
            </w:r>
            <w:r w:rsidR="63D52DF4" w:rsidRPr="00803A77">
              <w:rPr>
                <w:rFonts w:ascii="Century Gothic" w:hAnsi="Century Gothic"/>
                <w:szCs w:val="22"/>
              </w:rPr>
              <w:t>139</w:t>
            </w:r>
            <w:r w:rsidR="283A8B89" w:rsidRPr="00803A77">
              <w:rPr>
                <w:rFonts w:ascii="Century Gothic" w:hAnsi="Century Gothic"/>
                <w:szCs w:val="22"/>
              </w:rPr>
              <w:t xml:space="preserve"> (</w:t>
            </w:r>
            <w:r w:rsidR="66B83DDF" w:rsidRPr="00803A77">
              <w:rPr>
                <w:rFonts w:ascii="Century Gothic" w:hAnsi="Century Gothic"/>
                <w:szCs w:val="22"/>
              </w:rPr>
              <w:t>HCV</w:t>
            </w:r>
            <w:r w:rsidR="78F72884" w:rsidRPr="00803A77">
              <w:rPr>
                <w:rFonts w:ascii="Century Gothic" w:hAnsi="Century Gothic"/>
                <w:szCs w:val="22"/>
              </w:rPr>
              <w:t>)</w:t>
            </w:r>
            <w:r w:rsidR="696B418E" w:rsidRPr="00803A77">
              <w:rPr>
                <w:rFonts w:ascii="Century Gothic" w:hAnsi="Century Gothic"/>
                <w:szCs w:val="22"/>
              </w:rPr>
              <w:t xml:space="preserve">; </w:t>
            </w:r>
            <w:r w:rsidR="3A48AF2B" w:rsidRPr="00803A77">
              <w:rPr>
                <w:rFonts w:ascii="Century Gothic" w:hAnsi="Century Gothic"/>
                <w:szCs w:val="22"/>
              </w:rPr>
              <w:t>242 (</w:t>
            </w:r>
            <w:r w:rsidR="0A7A1625" w:rsidRPr="00803A77">
              <w:rPr>
                <w:rFonts w:ascii="Century Gothic" w:hAnsi="Century Gothic"/>
                <w:szCs w:val="22"/>
              </w:rPr>
              <w:t>LI</w:t>
            </w:r>
            <w:r w:rsidR="3A48AF2B" w:rsidRPr="00803A77">
              <w:rPr>
                <w:rFonts w:ascii="Century Gothic" w:hAnsi="Century Gothic"/>
                <w:szCs w:val="22"/>
              </w:rPr>
              <w:t>PH)</w:t>
            </w:r>
          </w:p>
          <w:p w14:paraId="09F982B3" w14:textId="77777777" w:rsidR="000B4F84" w:rsidRPr="00803A77" w:rsidRDefault="00FE4B1C" w:rsidP="00EC5276">
            <w:pPr>
              <w:rPr>
                <w:rFonts w:ascii="Century Gothic" w:hAnsi="Century Gothic"/>
                <w:szCs w:val="22"/>
              </w:rPr>
            </w:pPr>
            <w:r w:rsidRPr="00803A77">
              <w:rPr>
                <w:rFonts w:ascii="Century Gothic" w:hAnsi="Century Gothic"/>
                <w:szCs w:val="22"/>
              </w:rPr>
              <w:t>2021:</w:t>
            </w:r>
            <w:r w:rsidR="00516BDB" w:rsidRPr="00803A77">
              <w:rPr>
                <w:rFonts w:ascii="Century Gothic" w:hAnsi="Century Gothic"/>
                <w:szCs w:val="22"/>
              </w:rPr>
              <w:t xml:space="preserve"> </w:t>
            </w:r>
            <w:r w:rsidR="000B4F84" w:rsidRPr="00803A77">
              <w:rPr>
                <w:rFonts w:ascii="Century Gothic" w:hAnsi="Century Gothic"/>
                <w:szCs w:val="22"/>
              </w:rPr>
              <w:t>1491</w:t>
            </w:r>
          </w:p>
          <w:p w14:paraId="318AFDD6" w14:textId="6E7DD423" w:rsidR="00FE4B1C" w:rsidRPr="00803A77" w:rsidRDefault="000B4F84" w:rsidP="00EC5276">
            <w:pPr>
              <w:rPr>
                <w:rFonts w:ascii="Century Gothic" w:hAnsi="Century Gothic"/>
                <w:szCs w:val="22"/>
              </w:rPr>
            </w:pPr>
            <w:r w:rsidRPr="00803A77">
              <w:rPr>
                <w:rFonts w:ascii="Century Gothic" w:hAnsi="Century Gothic"/>
                <w:szCs w:val="22"/>
              </w:rPr>
              <w:lastRenderedPageBreak/>
              <w:t xml:space="preserve">          </w:t>
            </w:r>
            <w:r w:rsidR="00A213B3" w:rsidRPr="00803A77">
              <w:rPr>
                <w:rFonts w:ascii="Century Gothic" w:hAnsi="Century Gothic"/>
                <w:szCs w:val="22"/>
              </w:rPr>
              <w:t>1,351</w:t>
            </w:r>
            <w:r w:rsidR="009C0471" w:rsidRPr="00803A77">
              <w:rPr>
                <w:rFonts w:ascii="Century Gothic" w:hAnsi="Century Gothic"/>
                <w:szCs w:val="22"/>
              </w:rPr>
              <w:t xml:space="preserve"> (HCV); </w:t>
            </w:r>
            <w:r w:rsidR="00516BDB" w:rsidRPr="00803A77">
              <w:rPr>
                <w:rFonts w:ascii="Century Gothic" w:hAnsi="Century Gothic"/>
                <w:szCs w:val="22"/>
              </w:rPr>
              <w:t>140 (LIPH)</w:t>
            </w:r>
          </w:p>
          <w:p w14:paraId="3C32F150" w14:textId="77777777" w:rsidR="000B4F84" w:rsidRPr="00803A77" w:rsidRDefault="00FE4B1C" w:rsidP="00EC5276">
            <w:pPr>
              <w:rPr>
                <w:rFonts w:ascii="Century Gothic" w:hAnsi="Century Gothic"/>
                <w:szCs w:val="22"/>
              </w:rPr>
            </w:pPr>
            <w:r w:rsidRPr="00803A77">
              <w:rPr>
                <w:rFonts w:ascii="Century Gothic" w:hAnsi="Century Gothic"/>
                <w:szCs w:val="22"/>
              </w:rPr>
              <w:t>2020:</w:t>
            </w:r>
            <w:r w:rsidR="00516BDB" w:rsidRPr="00803A77">
              <w:rPr>
                <w:rFonts w:ascii="Century Gothic" w:hAnsi="Century Gothic"/>
                <w:szCs w:val="22"/>
              </w:rPr>
              <w:t xml:space="preserve"> </w:t>
            </w:r>
            <w:r w:rsidR="000B4F84" w:rsidRPr="00803A77">
              <w:rPr>
                <w:rFonts w:ascii="Century Gothic" w:hAnsi="Century Gothic"/>
                <w:szCs w:val="22"/>
              </w:rPr>
              <w:t>2305</w:t>
            </w:r>
          </w:p>
          <w:p w14:paraId="6B71079A" w14:textId="4F431B17" w:rsidR="00FE4B1C" w:rsidRPr="00803A77" w:rsidRDefault="000B4F84" w:rsidP="00EC5276">
            <w:pPr>
              <w:rPr>
                <w:rFonts w:ascii="Century Gothic" w:hAnsi="Century Gothic"/>
                <w:szCs w:val="22"/>
              </w:rPr>
            </w:pPr>
            <w:r w:rsidRPr="00803A77">
              <w:rPr>
                <w:rFonts w:ascii="Century Gothic" w:hAnsi="Century Gothic"/>
                <w:szCs w:val="22"/>
              </w:rPr>
              <w:t xml:space="preserve">          </w:t>
            </w:r>
            <w:r w:rsidR="00A213B3" w:rsidRPr="00803A77">
              <w:rPr>
                <w:rFonts w:ascii="Century Gothic" w:hAnsi="Century Gothic"/>
                <w:szCs w:val="22"/>
              </w:rPr>
              <w:t>2,075</w:t>
            </w:r>
            <w:r w:rsidR="009C0471" w:rsidRPr="00803A77">
              <w:rPr>
                <w:rFonts w:ascii="Century Gothic" w:hAnsi="Century Gothic"/>
                <w:szCs w:val="22"/>
              </w:rPr>
              <w:t xml:space="preserve"> (</w:t>
            </w:r>
            <w:r w:rsidR="00A213B3" w:rsidRPr="00803A77">
              <w:rPr>
                <w:rFonts w:ascii="Century Gothic" w:hAnsi="Century Gothic"/>
                <w:szCs w:val="22"/>
              </w:rPr>
              <w:t>HCV</w:t>
            </w:r>
            <w:r w:rsidR="009C0471" w:rsidRPr="00803A77">
              <w:rPr>
                <w:rFonts w:ascii="Century Gothic" w:hAnsi="Century Gothic"/>
                <w:szCs w:val="22"/>
              </w:rPr>
              <w:t xml:space="preserve">); </w:t>
            </w:r>
            <w:r w:rsidR="00516BDB" w:rsidRPr="00803A77">
              <w:rPr>
                <w:rFonts w:ascii="Century Gothic" w:hAnsi="Century Gothic"/>
                <w:szCs w:val="22"/>
              </w:rPr>
              <w:t>230 (LIPH)</w:t>
            </w:r>
          </w:p>
          <w:p w14:paraId="1AE415B5" w14:textId="77777777" w:rsidR="000B4F84" w:rsidRPr="00803A77" w:rsidRDefault="0042211A" w:rsidP="00EC5276">
            <w:pPr>
              <w:rPr>
                <w:rFonts w:ascii="Century Gothic" w:hAnsi="Century Gothic"/>
                <w:szCs w:val="22"/>
              </w:rPr>
            </w:pPr>
            <w:r w:rsidRPr="00803A77">
              <w:rPr>
                <w:rFonts w:ascii="Century Gothic" w:hAnsi="Century Gothic"/>
                <w:szCs w:val="22"/>
              </w:rPr>
              <w:t xml:space="preserve">2019: </w:t>
            </w:r>
            <w:r w:rsidR="000B4F84" w:rsidRPr="00803A77">
              <w:rPr>
                <w:rFonts w:ascii="Century Gothic" w:hAnsi="Century Gothic"/>
                <w:szCs w:val="22"/>
              </w:rPr>
              <w:t xml:space="preserve">1746            </w:t>
            </w:r>
          </w:p>
          <w:p w14:paraId="051C3955" w14:textId="532E4673" w:rsidR="00D66094" w:rsidRPr="00803A77" w:rsidRDefault="000B4F84" w:rsidP="00EC5276">
            <w:pPr>
              <w:rPr>
                <w:rFonts w:ascii="Century Gothic" w:hAnsi="Century Gothic"/>
                <w:szCs w:val="22"/>
              </w:rPr>
            </w:pPr>
            <w:r w:rsidRPr="00803A77">
              <w:rPr>
                <w:rFonts w:ascii="Century Gothic" w:hAnsi="Century Gothic"/>
                <w:szCs w:val="22"/>
              </w:rPr>
              <w:t xml:space="preserve">          </w:t>
            </w:r>
            <w:r w:rsidR="0042211A" w:rsidRPr="00803A77">
              <w:rPr>
                <w:rFonts w:ascii="Century Gothic" w:hAnsi="Century Gothic"/>
                <w:szCs w:val="22"/>
              </w:rPr>
              <w:t>1,522 (HCV)</w:t>
            </w:r>
            <w:r w:rsidR="00D66094" w:rsidRPr="00803A77">
              <w:rPr>
                <w:rFonts w:ascii="Century Gothic" w:hAnsi="Century Gothic"/>
                <w:szCs w:val="22"/>
              </w:rPr>
              <w:t xml:space="preserve"> </w:t>
            </w:r>
            <w:r w:rsidR="007E2920" w:rsidRPr="00803A77">
              <w:rPr>
                <w:rFonts w:ascii="Century Gothic" w:hAnsi="Century Gothic"/>
                <w:szCs w:val="22"/>
              </w:rPr>
              <w:t>194(LIPH)</w:t>
            </w:r>
          </w:p>
          <w:p w14:paraId="2E7C3848" w14:textId="77777777" w:rsidR="000B4F84" w:rsidRPr="00803A77" w:rsidRDefault="00EC5276" w:rsidP="00EC5276">
            <w:pPr>
              <w:rPr>
                <w:rFonts w:ascii="Century Gothic" w:hAnsi="Century Gothic"/>
                <w:szCs w:val="22"/>
              </w:rPr>
            </w:pPr>
            <w:r w:rsidRPr="00803A77">
              <w:rPr>
                <w:rFonts w:ascii="Century Gothic" w:hAnsi="Century Gothic"/>
                <w:szCs w:val="22"/>
              </w:rPr>
              <w:t xml:space="preserve">2018: </w:t>
            </w:r>
            <w:r w:rsidR="000B4F84" w:rsidRPr="00803A77">
              <w:rPr>
                <w:rFonts w:ascii="Century Gothic" w:hAnsi="Century Gothic"/>
                <w:szCs w:val="22"/>
              </w:rPr>
              <w:t>1231</w:t>
            </w:r>
          </w:p>
          <w:p w14:paraId="1A8FD709" w14:textId="2808F5AA" w:rsidR="00EC5276" w:rsidRPr="00803A77" w:rsidRDefault="000B4F84" w:rsidP="00EC5276">
            <w:pPr>
              <w:rPr>
                <w:rFonts w:ascii="Century Gothic" w:hAnsi="Century Gothic"/>
                <w:szCs w:val="22"/>
              </w:rPr>
            </w:pPr>
            <w:r w:rsidRPr="00803A77">
              <w:rPr>
                <w:rFonts w:ascii="Century Gothic" w:hAnsi="Century Gothic"/>
                <w:szCs w:val="22"/>
              </w:rPr>
              <w:t xml:space="preserve">          </w:t>
            </w:r>
            <w:r w:rsidR="00EC5276" w:rsidRPr="00803A77">
              <w:rPr>
                <w:rFonts w:ascii="Century Gothic" w:hAnsi="Century Gothic"/>
                <w:szCs w:val="22"/>
              </w:rPr>
              <w:t>949 (HCV); 282 (LIPH)</w:t>
            </w:r>
          </w:p>
          <w:p w14:paraId="1B394186" w14:textId="77777777" w:rsidR="00EC5276" w:rsidRPr="00803A77" w:rsidRDefault="00EC5276" w:rsidP="00EC5276">
            <w:pPr>
              <w:rPr>
                <w:rFonts w:ascii="Century Gothic" w:hAnsi="Century Gothic"/>
                <w:szCs w:val="22"/>
              </w:rPr>
            </w:pPr>
            <w:r w:rsidRPr="00803A77">
              <w:rPr>
                <w:rFonts w:ascii="Century Gothic" w:hAnsi="Century Gothic"/>
                <w:szCs w:val="22"/>
              </w:rPr>
              <w:t>2017: 2493</w:t>
            </w:r>
          </w:p>
          <w:p w14:paraId="7E936F91" w14:textId="77777777" w:rsidR="00EC5276" w:rsidRPr="00803A77" w:rsidRDefault="00EC5276" w:rsidP="00EC5276">
            <w:pPr>
              <w:rPr>
                <w:rFonts w:ascii="Century Gothic" w:hAnsi="Century Gothic"/>
                <w:szCs w:val="22"/>
              </w:rPr>
            </w:pPr>
            <w:r w:rsidRPr="00803A77">
              <w:rPr>
                <w:rFonts w:ascii="Century Gothic" w:hAnsi="Century Gothic"/>
                <w:szCs w:val="22"/>
              </w:rPr>
              <w:t>2016: 2497</w:t>
            </w:r>
          </w:p>
          <w:p w14:paraId="53D87410" w14:textId="77777777" w:rsidR="00EC5276" w:rsidRDefault="00EC5276" w:rsidP="00EC5276">
            <w:pPr>
              <w:rPr>
                <w:rFonts w:ascii="Century Gothic" w:hAnsi="Century Gothic"/>
                <w:szCs w:val="22"/>
              </w:rPr>
            </w:pPr>
            <w:r w:rsidRPr="00803A77">
              <w:rPr>
                <w:rFonts w:ascii="Century Gothic" w:hAnsi="Century Gothic"/>
                <w:szCs w:val="22"/>
              </w:rPr>
              <w:t>2015: 1551</w:t>
            </w:r>
            <w:r w:rsidRPr="00803A77">
              <w:rPr>
                <w:rFonts w:ascii="Century Gothic" w:hAnsi="Century Gothic"/>
                <w:szCs w:val="22"/>
              </w:rPr>
              <w:br/>
              <w:t>2014: 1539</w:t>
            </w:r>
            <w:r w:rsidRPr="00803A77">
              <w:rPr>
                <w:rFonts w:ascii="Century Gothic" w:hAnsi="Century Gothic"/>
                <w:szCs w:val="22"/>
              </w:rPr>
              <w:br/>
              <w:t xml:space="preserve">2013: 1363 </w:t>
            </w:r>
            <w:r w:rsidRPr="00803A77">
              <w:rPr>
                <w:rFonts w:ascii="Century Gothic" w:hAnsi="Century Gothic"/>
                <w:szCs w:val="22"/>
              </w:rPr>
              <w:br/>
              <w:t>2012: 1967</w:t>
            </w:r>
            <w:r w:rsidRPr="00803A77">
              <w:rPr>
                <w:rFonts w:ascii="Century Gothic" w:hAnsi="Century Gothic"/>
                <w:szCs w:val="22"/>
              </w:rPr>
              <w:br/>
              <w:t>2011: 1598</w:t>
            </w:r>
            <w:r w:rsidRPr="00803A77">
              <w:rPr>
                <w:rFonts w:ascii="Century Gothic" w:hAnsi="Century Gothic"/>
                <w:szCs w:val="22"/>
              </w:rPr>
              <w:br/>
              <w:t>2010: 1196</w:t>
            </w:r>
            <w:r w:rsidRPr="00803A77">
              <w:rPr>
                <w:rFonts w:ascii="Century Gothic" w:hAnsi="Century Gothic"/>
                <w:szCs w:val="22"/>
              </w:rPr>
              <w:br/>
              <w:t>2009: 1364</w:t>
            </w:r>
            <w:r w:rsidRPr="00803A77">
              <w:rPr>
                <w:rFonts w:ascii="Century Gothic" w:hAnsi="Century Gothic"/>
                <w:szCs w:val="22"/>
              </w:rPr>
              <w:br/>
              <w:t>2008: 1140</w:t>
            </w:r>
          </w:p>
          <w:p w14:paraId="792C0F39" w14:textId="77777777" w:rsidR="00695228" w:rsidRPr="00803A77" w:rsidRDefault="00695228" w:rsidP="00EC5276">
            <w:pPr>
              <w:rPr>
                <w:rFonts w:ascii="Century Gothic" w:hAnsi="Century Gothic"/>
                <w:szCs w:val="22"/>
              </w:rPr>
            </w:pPr>
          </w:p>
        </w:tc>
        <w:tc>
          <w:tcPr>
            <w:tcW w:w="224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2A510029" w14:textId="77777777" w:rsidR="00EC5276" w:rsidRPr="00803A77" w:rsidRDefault="00EC5276" w:rsidP="00EC5276">
            <w:pPr>
              <w:rPr>
                <w:rFonts w:ascii="Century Gothic" w:hAnsi="Century Gothic"/>
                <w:szCs w:val="22"/>
              </w:rPr>
            </w:pPr>
            <w:r w:rsidRPr="00803A77">
              <w:rPr>
                <w:rFonts w:ascii="Century Gothic" w:hAnsi="Century Gothic"/>
                <w:szCs w:val="22"/>
              </w:rPr>
              <w:lastRenderedPageBreak/>
              <w:t xml:space="preserve">No </w:t>
            </w:r>
          </w:p>
        </w:tc>
      </w:tr>
      <w:bookmarkEnd w:id="170"/>
    </w:tbl>
    <w:p w14:paraId="5634C81E" w14:textId="071E5209" w:rsidR="655A2699" w:rsidRPr="003E3C9C" w:rsidRDefault="655A2699">
      <w:pPr>
        <w:rPr>
          <w:rFonts w:ascii="Century Gothic" w:hAnsi="Century Gothic"/>
          <w:szCs w:val="22"/>
        </w:rPr>
      </w:pPr>
    </w:p>
    <w:p w14:paraId="521C0984" w14:textId="31DC8228" w:rsidR="00B20966" w:rsidRPr="003E3C9C" w:rsidRDefault="78B36558" w:rsidP="1B3F2E6D">
      <w:pPr>
        <w:rPr>
          <w:rFonts w:ascii="Century Gothic" w:eastAsia="MS PGothic" w:hAnsi="Century Gothic"/>
          <w:szCs w:val="22"/>
          <w:highlight w:val="yellow"/>
        </w:rPr>
      </w:pPr>
      <w:r w:rsidRPr="003E3C9C">
        <w:rPr>
          <w:rFonts w:ascii="Century Gothic" w:eastAsia="MS PGothic" w:hAnsi="Century Gothic"/>
          <w:szCs w:val="22"/>
        </w:rPr>
        <w:t xml:space="preserve">The biennial and triennial recertifications have eased the burden for most </w:t>
      </w:r>
      <w:r w:rsidR="5BC19ED5" w:rsidRPr="003E3C9C">
        <w:rPr>
          <w:rFonts w:ascii="Century Gothic" w:eastAsia="MS PGothic" w:hAnsi="Century Gothic"/>
          <w:szCs w:val="22"/>
        </w:rPr>
        <w:t xml:space="preserve">LIPH residents and HCV </w:t>
      </w:r>
      <w:r w:rsidRPr="003E3C9C">
        <w:rPr>
          <w:rFonts w:ascii="Century Gothic" w:eastAsia="MS PGothic" w:hAnsi="Century Gothic"/>
          <w:szCs w:val="22"/>
        </w:rPr>
        <w:t xml:space="preserve">participants, particularly the elderly/disabled </w:t>
      </w:r>
      <w:r w:rsidR="5BC19ED5" w:rsidRPr="003E3C9C">
        <w:rPr>
          <w:rFonts w:ascii="Century Gothic" w:eastAsia="MS PGothic" w:hAnsi="Century Gothic"/>
          <w:szCs w:val="22"/>
        </w:rPr>
        <w:t>residents/</w:t>
      </w:r>
      <w:r w:rsidRPr="003E3C9C">
        <w:rPr>
          <w:rFonts w:ascii="Century Gothic" w:eastAsia="MS PGothic" w:hAnsi="Century Gothic"/>
          <w:szCs w:val="22"/>
        </w:rPr>
        <w:t>participants who have little change to income</w:t>
      </w:r>
      <w:r w:rsidR="6C46E9AF" w:rsidRPr="003E3C9C">
        <w:rPr>
          <w:rFonts w:ascii="Century Gothic" w:eastAsia="MS PGothic" w:hAnsi="Century Gothic"/>
          <w:szCs w:val="22"/>
        </w:rPr>
        <w:t>.</w:t>
      </w:r>
      <w:r w:rsidRPr="003E3C9C">
        <w:rPr>
          <w:rFonts w:ascii="Century Gothic" w:eastAsia="MS PGothic" w:hAnsi="Century Gothic"/>
          <w:szCs w:val="22"/>
        </w:rPr>
        <w:t xml:space="preserve"> The rent tiers and elimination of standard deductions have also reduced the administrative burden for staff and the participant</w:t>
      </w:r>
      <w:r w:rsidR="516180AE" w:rsidRPr="003E3C9C">
        <w:rPr>
          <w:rFonts w:ascii="Century Gothic" w:eastAsia="MS PGothic" w:hAnsi="Century Gothic"/>
          <w:szCs w:val="22"/>
        </w:rPr>
        <w:t>s</w:t>
      </w:r>
      <w:r w:rsidR="0018608D" w:rsidRPr="003E3C9C">
        <w:rPr>
          <w:rFonts w:ascii="Century Gothic" w:eastAsia="MS PGothic" w:hAnsi="Century Gothic"/>
          <w:szCs w:val="22"/>
        </w:rPr>
        <w:t xml:space="preserve"> with impacts on staffing levels and administrative costs.  Families in need of relief under minimum rent policy are still able to access such and no increase in errors has been noted </w:t>
      </w:r>
      <w:proofErr w:type="gramStart"/>
      <w:r w:rsidR="0018608D" w:rsidRPr="003E3C9C">
        <w:rPr>
          <w:rFonts w:ascii="Century Gothic" w:eastAsia="MS PGothic" w:hAnsi="Century Gothic"/>
          <w:szCs w:val="22"/>
        </w:rPr>
        <w:t>as a result of</w:t>
      </w:r>
      <w:proofErr w:type="gramEnd"/>
      <w:r w:rsidR="0018608D" w:rsidRPr="003E3C9C">
        <w:rPr>
          <w:rFonts w:ascii="Century Gothic" w:eastAsia="MS PGothic" w:hAnsi="Century Gothic"/>
          <w:szCs w:val="22"/>
        </w:rPr>
        <w:t xml:space="preserve"> rent simplification.  </w:t>
      </w:r>
    </w:p>
    <w:p w14:paraId="77D2883B" w14:textId="77777777" w:rsidR="003E3C9C" w:rsidRDefault="003E3C9C" w:rsidP="2296A1B3">
      <w:pPr>
        <w:pStyle w:val="Heading4"/>
        <w:rPr>
          <w:rFonts w:ascii="Century Gothic" w:hAnsi="Century Gothic" w:cs="Times New Roman"/>
        </w:rPr>
      </w:pPr>
    </w:p>
    <w:p w14:paraId="1BD58D90" w14:textId="3F749DB2" w:rsidR="73A9C58F" w:rsidRPr="003E3C9C" w:rsidRDefault="73A9C58F" w:rsidP="2296A1B3">
      <w:pPr>
        <w:pStyle w:val="Heading4"/>
        <w:rPr>
          <w:rFonts w:ascii="Century Gothic" w:hAnsi="Century Gothic" w:cs="Times New Roman"/>
        </w:rPr>
      </w:pPr>
      <w:r w:rsidRPr="003E3C9C">
        <w:rPr>
          <w:rFonts w:ascii="Century Gothic" w:hAnsi="Century Gothic" w:cs="Times New Roman"/>
        </w:rPr>
        <w:t>Actual Non-Significant Changes</w:t>
      </w:r>
    </w:p>
    <w:p w14:paraId="532D06A9" w14:textId="70C14877" w:rsidR="2296A1B3" w:rsidRPr="003E3C9C" w:rsidRDefault="005651FB" w:rsidP="655A2699">
      <w:pPr>
        <w:rPr>
          <w:rFonts w:ascii="Century Gothic" w:eastAsia="Times New Roman" w:hAnsi="Century Gothic"/>
          <w:szCs w:val="22"/>
        </w:rPr>
      </w:pPr>
      <w:r w:rsidRPr="003E3C9C">
        <w:rPr>
          <w:rFonts w:ascii="Century Gothic" w:eastAsia="Times New Roman" w:hAnsi="Century Gothic"/>
          <w:szCs w:val="22"/>
        </w:rPr>
        <w:t>None</w:t>
      </w:r>
    </w:p>
    <w:p w14:paraId="661F884D" w14:textId="367CE603" w:rsidR="2296A1B3" w:rsidRPr="003E3C9C" w:rsidRDefault="2296A1B3" w:rsidP="2296A1B3">
      <w:pPr>
        <w:rPr>
          <w:rFonts w:ascii="Century Gothic" w:eastAsia="MS PGothic" w:hAnsi="Century Gothic"/>
          <w:szCs w:val="22"/>
        </w:rPr>
      </w:pPr>
    </w:p>
    <w:p w14:paraId="631EEEF7" w14:textId="7C4BF3B5" w:rsidR="2296A1B3" w:rsidRPr="003E3C9C" w:rsidRDefault="2296A1B3" w:rsidP="2296A1B3">
      <w:pPr>
        <w:rPr>
          <w:rFonts w:ascii="Century Gothic" w:eastAsia="MS PGothic" w:hAnsi="Century Gothic"/>
          <w:szCs w:val="22"/>
        </w:rPr>
      </w:pPr>
    </w:p>
    <w:p w14:paraId="22862D84" w14:textId="18791D67" w:rsidR="73A9C58F" w:rsidRPr="003E3C9C" w:rsidRDefault="277E78BE" w:rsidP="2296A1B3">
      <w:pPr>
        <w:rPr>
          <w:rFonts w:ascii="Century Gothic" w:eastAsiaTheme="majorEastAsia" w:hAnsi="Century Gothic" w:cstheme="majorBidi"/>
          <w:b/>
          <w:bCs/>
          <w:color w:val="808080" w:themeColor="background1" w:themeShade="80"/>
          <w:szCs w:val="22"/>
        </w:rPr>
      </w:pPr>
      <w:r w:rsidRPr="003E3C9C">
        <w:rPr>
          <w:rFonts w:ascii="Century Gothic" w:eastAsiaTheme="majorEastAsia" w:hAnsi="Century Gothic" w:cstheme="majorBidi"/>
          <w:b/>
          <w:bCs/>
          <w:color w:val="808080" w:themeColor="background1" w:themeShade="80"/>
          <w:szCs w:val="22"/>
        </w:rPr>
        <w:t>Actual Significant Changes</w:t>
      </w:r>
    </w:p>
    <w:p w14:paraId="49064D13" w14:textId="6259A9A9" w:rsidR="2296A1B3" w:rsidRPr="003E3C9C" w:rsidRDefault="0BDF8A38">
      <w:pPr>
        <w:rPr>
          <w:rFonts w:ascii="Century Gothic" w:eastAsia="Times New Roman" w:hAnsi="Century Gothic"/>
          <w:szCs w:val="22"/>
        </w:rPr>
      </w:pPr>
      <w:r w:rsidRPr="003E3C9C">
        <w:rPr>
          <w:rFonts w:ascii="Century Gothic" w:eastAsia="Times New Roman" w:hAnsi="Century Gothic"/>
          <w:szCs w:val="22"/>
        </w:rPr>
        <w:t>None</w:t>
      </w:r>
    </w:p>
    <w:p w14:paraId="769772EF" w14:textId="7BD7B243" w:rsidR="2296A1B3" w:rsidRPr="003E3C9C" w:rsidRDefault="2296A1B3" w:rsidP="2296A1B3">
      <w:pPr>
        <w:rPr>
          <w:rFonts w:ascii="Century Gothic" w:eastAsia="MS PGothic" w:hAnsi="Century Gothic"/>
          <w:szCs w:val="22"/>
        </w:rPr>
      </w:pPr>
    </w:p>
    <w:bookmarkEnd w:id="151"/>
    <w:p w14:paraId="67147896" w14:textId="59569436" w:rsidR="00E47172" w:rsidRPr="005119ED" w:rsidRDefault="6A4321A5">
      <w:pPr>
        <w:rPr>
          <w:rFonts w:ascii="Century Gothic" w:hAnsi="Century Gothic"/>
        </w:rPr>
      </w:pPr>
      <w:r w:rsidRPr="005119ED">
        <w:rPr>
          <w:rFonts w:ascii="Century Gothic" w:hAnsi="Century Gothic"/>
        </w:rPr>
        <w:br w:type="page"/>
      </w:r>
    </w:p>
    <w:bookmarkStart w:id="171" w:name="_Toc438788135"/>
    <w:bookmarkStart w:id="172" w:name="_Toc89871166"/>
    <w:bookmarkStart w:id="173" w:name="_Hlk112755424"/>
    <w:p w14:paraId="20903EE4" w14:textId="14D3D848" w:rsidR="00574C36" w:rsidRPr="007F2E16" w:rsidRDefault="00DE6A54" w:rsidP="2B47D2C6">
      <w:pPr>
        <w:keepNext/>
        <w:keepLines/>
        <w:spacing w:before="120" w:after="120"/>
        <w:outlineLvl w:val="2"/>
        <w:rPr>
          <w:rFonts w:ascii="Century Gothic" w:eastAsia="Times New Roman" w:hAnsi="Century Gothic"/>
          <w:b/>
          <w:bCs/>
          <w:noProof/>
        </w:rPr>
      </w:pPr>
      <w:r w:rsidRPr="007F2E16">
        <w:rPr>
          <w:rFonts w:ascii="Century Gothic" w:hAnsi="Century Gothic"/>
          <w:noProof/>
        </w:rPr>
        <w:lastRenderedPageBreak/>
        <mc:AlternateContent>
          <mc:Choice Requires="wps">
            <w:drawing>
              <wp:anchor distT="0" distB="0" distL="114300" distR="114300" simplePos="0" relativeHeight="251658243" behindDoc="0" locked="0" layoutInCell="1" allowOverlap="1" wp14:anchorId="72C3DC84" wp14:editId="7EEE3E2A">
                <wp:simplePos x="0" y="0"/>
                <wp:positionH relativeFrom="margin">
                  <wp:posOffset>5242560</wp:posOffset>
                </wp:positionH>
                <wp:positionV relativeFrom="paragraph">
                  <wp:posOffset>312420</wp:posOffset>
                </wp:positionV>
                <wp:extent cx="1060450" cy="304800"/>
                <wp:effectExtent l="0" t="0" r="6350" b="0"/>
                <wp:wrapTight wrapText="bothSides">
                  <wp:wrapPolygon edited="0">
                    <wp:start x="0" y="0"/>
                    <wp:lineTo x="0" y="21600"/>
                    <wp:lineTo x="21729" y="21600"/>
                    <wp:lineTo x="21729" y="0"/>
                    <wp:lineTo x="0" y="0"/>
                  </wp:wrapPolygon>
                </wp:wrapTight>
                <wp:docPr id="53" name="Rectangle: Rounded Corners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304800"/>
                        </a:xfrm>
                        <a:prstGeom prst="roundRect">
                          <a:avLst/>
                        </a:prstGeom>
                        <a:solidFill>
                          <a:srgbClr val="B5333C"/>
                        </a:solidFill>
                        <a:ln w="12700" cap="flat" cmpd="sng" algn="ctr">
                          <a:solidFill>
                            <a:sysClr val="window" lastClr="FFFFFF"/>
                          </a:solidFill>
                          <a:prstDash val="solid"/>
                          <a:miter lim="800000"/>
                        </a:ln>
                        <a:effectLst/>
                      </wps:spPr>
                      <wps:txbx>
                        <w:txbxContent>
                          <w:p w14:paraId="30101022" w14:textId="77777777" w:rsidR="009F26DD" w:rsidRPr="00574C36" w:rsidRDefault="009F26DD" w:rsidP="00574C36">
                            <w:pPr>
                              <w:jc w:val="center"/>
                              <w:rPr>
                                <w:b/>
                                <w:color w:val="FFFFFF"/>
                                <w:szCs w:val="20"/>
                              </w:rPr>
                            </w:pPr>
                            <w:r w:rsidRPr="00574C36">
                              <w:rPr>
                                <w:b/>
                                <w:color w:val="FFFFFF"/>
                                <w:szCs w:val="20"/>
                              </w:rPr>
                              <w:t>Cost Effective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C3DC84" id="Rectangle: Rounded Corners 108" o:spid="_x0000_s1084" style="position:absolute;margin-left:412.8pt;margin-top:24.6pt;width:83.5pt;height:2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" fillcolor="#b5333c" strokecolor="window" strokeweight="1pt">
                <v:stroke joinstyle="miter"/>
                <v:path arrowok="t"/>
                <v:textbox>
                  <w:txbxContent>
                    <w:p w14:paraId="30101022" w14:textId="77777777" w:rsidR="009F26DD" w:rsidRPr="00574C36" w:rsidRDefault="009F26DD" w:rsidP="00574C36">
                      <w:pPr>
                        <w:jc w:val="center"/>
                        <w:rPr>
                          <w:b/>
                          <w:color w:val="FFFFFF"/>
                          <w:szCs w:val="20"/>
                        </w:rPr>
                      </w:pPr>
                      <w:r w:rsidRPr="00574C36">
                        <w:rPr>
                          <w:b/>
                          <w:color w:val="FFFFFF"/>
                          <w:szCs w:val="20"/>
                        </w:rPr>
                        <w:t>Cost Effective</w:t>
                      </w:r>
                    </w:p>
                  </w:txbxContent>
                </v:textbox>
                <w10:wrap type="tight" anchorx="margin"/>
              </v:roundrect>
            </w:pict>
          </mc:Fallback>
        </mc:AlternateContent>
      </w:r>
      <w:r w:rsidR="1B413E44" w:rsidRPr="007F2E16">
        <w:rPr>
          <w:rFonts w:ascii="Century Gothic" w:eastAsia="Times New Roman" w:hAnsi="Century Gothic"/>
          <w:b/>
          <w:bCs/>
          <w:noProof/>
        </w:rPr>
        <w:t>Initiative 3.5 – HCV Rent Simplification/Cost Stabilization Measures</w:t>
      </w:r>
      <w:bookmarkEnd w:id="171"/>
      <w:bookmarkEnd w:id="172"/>
    </w:p>
    <w:p w14:paraId="58C981AD" w14:textId="60F9B500" w:rsidR="00574C36" w:rsidRPr="007F2E16" w:rsidRDefault="00574C36" w:rsidP="00574C36">
      <w:pPr>
        <w:numPr>
          <w:ilvl w:val="1"/>
          <w:numId w:val="0"/>
        </w:numPr>
        <w:spacing w:after="240"/>
        <w:rPr>
          <w:rFonts w:ascii="Century Gothic" w:eastAsia="Calibri" w:hAnsi="Century Gothic"/>
          <w:caps/>
          <w:spacing w:val="20"/>
          <w:szCs w:val="22"/>
        </w:rPr>
      </w:pPr>
      <w:r w:rsidRPr="007F2E16">
        <w:rPr>
          <w:rFonts w:ascii="Century Gothic" w:eastAsia="Calibri" w:hAnsi="Century Gothic"/>
          <w:szCs w:val="22"/>
        </w:rPr>
        <w:t>Approved and implemented in FY08. Updated in FY14</w:t>
      </w:r>
      <w:r w:rsidR="00432A39" w:rsidRPr="007F2E16">
        <w:rPr>
          <w:rFonts w:ascii="Century Gothic" w:eastAsia="Calibri" w:hAnsi="Century Gothic"/>
          <w:szCs w:val="22"/>
        </w:rPr>
        <w:t xml:space="preserve"> and FY22</w:t>
      </w:r>
      <w:r w:rsidRPr="007F2E16">
        <w:rPr>
          <w:rFonts w:ascii="Century Gothic" w:eastAsia="Calibri" w:hAnsi="Century Gothic"/>
          <w:szCs w:val="22"/>
        </w:rPr>
        <w:t>.</w:t>
      </w:r>
    </w:p>
    <w:p w14:paraId="6382BFAB" w14:textId="7A4B788C" w:rsidR="006429D2" w:rsidRPr="007F2E16" w:rsidRDefault="2DEC1245" w:rsidP="0E6C54AB">
      <w:pPr>
        <w:rPr>
          <w:rFonts w:ascii="Century Gothic" w:eastAsia="Times New Roman" w:hAnsi="Century Gothic"/>
          <w:b/>
          <w:bCs/>
        </w:rPr>
      </w:pPr>
      <w:r w:rsidRPr="007F2E16">
        <w:rPr>
          <w:rFonts w:ascii="Century Gothic" w:eastAsia="Times New Roman" w:hAnsi="Century Gothic"/>
          <w:b/>
          <w:bCs/>
        </w:rPr>
        <w:t>Description</w:t>
      </w:r>
    </w:p>
    <w:p w14:paraId="4580A350" w14:textId="3788CB20" w:rsidR="00574C36" w:rsidRPr="007F2E16" w:rsidRDefault="00574C36" w:rsidP="00574C36">
      <w:pPr>
        <w:rPr>
          <w:rFonts w:ascii="Century Gothic" w:eastAsia="Times New Roman" w:hAnsi="Century Gothic"/>
          <w:szCs w:val="22"/>
        </w:rPr>
      </w:pPr>
    </w:p>
    <w:p w14:paraId="73060941" w14:textId="18E37153" w:rsidR="00574C36" w:rsidRPr="007F2E16" w:rsidRDefault="00574C36" w:rsidP="00574C36">
      <w:pPr>
        <w:rPr>
          <w:rFonts w:ascii="Century Gothic" w:eastAsia="Calibri" w:hAnsi="Century Gothic"/>
          <w:bCs/>
          <w:szCs w:val="22"/>
        </w:rPr>
      </w:pPr>
      <w:r w:rsidRPr="007F2E16">
        <w:rPr>
          <w:rFonts w:ascii="Century Gothic" w:eastAsia="Calibri" w:hAnsi="Century Gothic"/>
          <w:szCs w:val="22"/>
        </w:rPr>
        <w:t xml:space="preserve">This initiative expands upon </w:t>
      </w:r>
      <w:r w:rsidR="003142D8" w:rsidRPr="007F2E16">
        <w:rPr>
          <w:rFonts w:ascii="Century Gothic" w:eastAsia="Calibri" w:hAnsi="Century Gothic"/>
          <w:szCs w:val="22"/>
        </w:rPr>
        <w:t xml:space="preserve">the Rent Simplification </w:t>
      </w:r>
      <w:r w:rsidRPr="007F2E16">
        <w:rPr>
          <w:rFonts w:ascii="Century Gothic" w:eastAsia="Calibri" w:hAnsi="Century Gothic"/>
          <w:szCs w:val="22"/>
        </w:rPr>
        <w:t xml:space="preserve">streamlining measures. This initiative replaced previous Initiative 3.3 </w:t>
      </w:r>
      <w:r w:rsidR="006A078E" w:rsidRPr="007F2E16">
        <w:rPr>
          <w:rFonts w:ascii="Century Gothic" w:eastAsia="Calibri" w:hAnsi="Century Gothic"/>
          <w:szCs w:val="22"/>
        </w:rPr>
        <w:t>- Revised HQS Inspection Protocol</w:t>
      </w:r>
      <w:r w:rsidR="006A078E" w:rsidRPr="007F2E16">
        <w:rPr>
          <w:rFonts w:ascii="Century Gothic" w:eastAsia="Calibri" w:hAnsi="Century Gothic"/>
          <w:bCs/>
          <w:szCs w:val="22"/>
        </w:rPr>
        <w:t xml:space="preserve"> </w:t>
      </w:r>
      <w:r w:rsidRPr="007F2E16">
        <w:rPr>
          <w:rFonts w:ascii="Century Gothic" w:eastAsia="Calibri" w:hAnsi="Century Gothic"/>
          <w:szCs w:val="22"/>
        </w:rPr>
        <w:t xml:space="preserve">(closed out) and was transitioned once HCV organizational changes and caseload optimization were completed. </w:t>
      </w:r>
    </w:p>
    <w:p w14:paraId="499DF09C" w14:textId="77777777" w:rsidR="00574C36" w:rsidRPr="007F2E16" w:rsidRDefault="00574C36" w:rsidP="00574C36">
      <w:pPr>
        <w:rPr>
          <w:rFonts w:ascii="Century Gothic" w:eastAsia="Calibri" w:hAnsi="Century Gothic"/>
          <w:bCs/>
          <w:szCs w:val="22"/>
        </w:rPr>
      </w:pPr>
    </w:p>
    <w:p w14:paraId="4B245D06" w14:textId="77777777" w:rsidR="00574C36" w:rsidRPr="007F2E16" w:rsidRDefault="00574C36" w:rsidP="00574C36">
      <w:pPr>
        <w:rPr>
          <w:rFonts w:ascii="Century Gothic" w:eastAsia="Calibri" w:hAnsi="Century Gothic"/>
          <w:bCs/>
          <w:szCs w:val="22"/>
        </w:rPr>
      </w:pPr>
      <w:r w:rsidRPr="007F2E16">
        <w:rPr>
          <w:rFonts w:ascii="Century Gothic" w:eastAsia="Calibri" w:hAnsi="Century Gothic"/>
          <w:szCs w:val="22"/>
        </w:rPr>
        <w:t>This activity has three components:</w:t>
      </w:r>
    </w:p>
    <w:p w14:paraId="4D118C8A" w14:textId="77777777" w:rsidR="00574C36" w:rsidRPr="007F2E16" w:rsidRDefault="00574C36" w:rsidP="00574C36">
      <w:pPr>
        <w:rPr>
          <w:rFonts w:ascii="Century Gothic" w:eastAsia="Calibri" w:hAnsi="Century Gothic"/>
          <w:bCs/>
          <w:szCs w:val="22"/>
        </w:rPr>
      </w:pPr>
    </w:p>
    <w:p w14:paraId="35497069" w14:textId="77777777" w:rsidR="00574C36" w:rsidRPr="007F2E16" w:rsidRDefault="00574C36" w:rsidP="00574C36">
      <w:pPr>
        <w:rPr>
          <w:rFonts w:ascii="Century Gothic" w:eastAsia="Calibri" w:hAnsi="Century Gothic"/>
          <w:b/>
          <w:bCs/>
          <w:szCs w:val="22"/>
        </w:rPr>
      </w:pPr>
      <w:r w:rsidRPr="007F2E16">
        <w:rPr>
          <w:rFonts w:ascii="Century Gothic" w:eastAsia="Calibri" w:hAnsi="Century Gothic"/>
          <w:b/>
          <w:szCs w:val="22"/>
        </w:rPr>
        <w:t xml:space="preserve">Part 1. HQS Inspections on Biennial/Triennial Schedule </w:t>
      </w:r>
    </w:p>
    <w:p w14:paraId="68B14F12" w14:textId="77777777" w:rsidR="00B14C0C" w:rsidRPr="007F2E16" w:rsidRDefault="00B14C0C" w:rsidP="00574C36">
      <w:pPr>
        <w:rPr>
          <w:rFonts w:ascii="Century Gothic" w:eastAsia="Calibri" w:hAnsi="Century Gothic"/>
          <w:szCs w:val="22"/>
        </w:rPr>
      </w:pPr>
    </w:p>
    <w:p w14:paraId="5D6A43A9" w14:textId="57702127" w:rsidR="00574C36" w:rsidRPr="007F2E16" w:rsidRDefault="00574C36" w:rsidP="00486062">
      <w:pPr>
        <w:pStyle w:val="ListParagraph"/>
        <w:numPr>
          <w:ilvl w:val="0"/>
          <w:numId w:val="80"/>
        </w:numPr>
        <w:rPr>
          <w:rFonts w:ascii="Century Gothic" w:eastAsia="Calibri" w:hAnsi="Century Gothic"/>
          <w:bCs/>
          <w:szCs w:val="22"/>
        </w:rPr>
      </w:pPr>
      <w:r w:rsidRPr="007F2E16">
        <w:rPr>
          <w:rFonts w:ascii="Century Gothic" w:eastAsia="Calibri" w:hAnsi="Century Gothic"/>
          <w:szCs w:val="22"/>
        </w:rPr>
        <w:t xml:space="preserve">Unit inspections are placed on a schedule consistent with </w:t>
      </w:r>
      <w:r w:rsidR="00095C95" w:rsidRPr="007F2E16">
        <w:rPr>
          <w:rFonts w:ascii="Century Gothic" w:eastAsia="Calibri" w:hAnsi="Century Gothic"/>
          <w:szCs w:val="22"/>
        </w:rPr>
        <w:t xml:space="preserve">the biennial/triennial </w:t>
      </w:r>
      <w:r w:rsidRPr="007F2E16">
        <w:rPr>
          <w:rFonts w:ascii="Century Gothic" w:eastAsia="Calibri" w:hAnsi="Century Gothic"/>
          <w:szCs w:val="22"/>
        </w:rPr>
        <w:t xml:space="preserve">recertifications </w:t>
      </w:r>
      <w:r w:rsidR="00095C95" w:rsidRPr="007F2E16">
        <w:rPr>
          <w:rFonts w:ascii="Century Gothic" w:eastAsia="Calibri" w:hAnsi="Century Gothic"/>
          <w:szCs w:val="22"/>
        </w:rPr>
        <w:t>cycle</w:t>
      </w:r>
      <w:r w:rsidRPr="007F2E16">
        <w:rPr>
          <w:rFonts w:ascii="Century Gothic" w:eastAsia="Calibri" w:hAnsi="Century Gothic"/>
          <w:szCs w:val="22"/>
        </w:rPr>
        <w:t xml:space="preserve">. However, HCV participants and landlords can request a special inspection, if necessary, at any point that deficiencies are suspected. </w:t>
      </w:r>
    </w:p>
    <w:p w14:paraId="50B28A3A" w14:textId="77777777" w:rsidR="00574C36" w:rsidRPr="007F2E16" w:rsidRDefault="00574C36" w:rsidP="00486062">
      <w:pPr>
        <w:numPr>
          <w:ilvl w:val="2"/>
          <w:numId w:val="80"/>
        </w:numPr>
        <w:spacing w:before="120" w:after="120"/>
        <w:rPr>
          <w:rFonts w:ascii="Century Gothic" w:eastAsia="Calibri" w:hAnsi="Century Gothic"/>
          <w:bCs/>
          <w:szCs w:val="22"/>
        </w:rPr>
      </w:pPr>
      <w:r w:rsidRPr="007F2E16">
        <w:rPr>
          <w:rFonts w:ascii="Century Gothic" w:eastAsia="Calibri" w:hAnsi="Century Gothic"/>
          <w:b/>
          <w:szCs w:val="22"/>
        </w:rPr>
        <w:t>Rationale</w:t>
      </w:r>
      <w:r w:rsidRPr="007F2E16">
        <w:rPr>
          <w:rFonts w:ascii="Century Gothic" w:eastAsia="Calibri" w:hAnsi="Century Gothic"/>
          <w:szCs w:val="22"/>
        </w:rPr>
        <w:t>: History has demonstrated that most units inspected annually pass on the first inspection. It is reasonable to assume that given high pass rates, the quality of the housing lends itself to less frequent inspections.</w:t>
      </w:r>
    </w:p>
    <w:p w14:paraId="6C6DB91F" w14:textId="4A2E0544" w:rsidR="00574C36" w:rsidRPr="007F2E16" w:rsidRDefault="00574C36" w:rsidP="00486062">
      <w:pPr>
        <w:numPr>
          <w:ilvl w:val="2"/>
          <w:numId w:val="80"/>
        </w:numPr>
        <w:autoSpaceDE w:val="0"/>
        <w:autoSpaceDN w:val="0"/>
        <w:adjustRightInd w:val="0"/>
        <w:spacing w:before="120" w:after="120"/>
        <w:rPr>
          <w:rFonts w:ascii="Century Gothic" w:eastAsia="Calibri" w:hAnsi="Century Gothic"/>
          <w:bCs/>
          <w:szCs w:val="22"/>
        </w:rPr>
      </w:pPr>
      <w:r w:rsidRPr="007F2E16">
        <w:rPr>
          <w:rFonts w:ascii="Century Gothic" w:eastAsia="Calibri" w:hAnsi="Century Gothic"/>
          <w:b/>
          <w:szCs w:val="22"/>
        </w:rPr>
        <w:t>Expected impact</w:t>
      </w:r>
      <w:r w:rsidRPr="007F2E16">
        <w:rPr>
          <w:rFonts w:ascii="Century Gothic" w:eastAsia="Calibri" w:hAnsi="Century Gothic"/>
          <w:szCs w:val="22"/>
        </w:rPr>
        <w:t xml:space="preserve">: Savings in staff time related to inspection scheduling and a reduction in cost of the inspection contract with the City of New Haven are expected. </w:t>
      </w:r>
    </w:p>
    <w:p w14:paraId="41791514" w14:textId="5779C261" w:rsidR="006A078E" w:rsidRPr="007F2E16" w:rsidRDefault="538B91FC" w:rsidP="00486062">
      <w:pPr>
        <w:pStyle w:val="ListParagraph"/>
        <w:numPr>
          <w:ilvl w:val="0"/>
          <w:numId w:val="80"/>
        </w:numPr>
        <w:rPr>
          <w:rFonts w:ascii="Century Gothic" w:hAnsi="Century Gothic"/>
        </w:rPr>
      </w:pPr>
      <w:r w:rsidRPr="007F2E16">
        <w:rPr>
          <w:rFonts w:ascii="Century Gothic" w:hAnsi="Century Gothic"/>
        </w:rPr>
        <w:t xml:space="preserve">HQS Inspections may also be conducted via video </w:t>
      </w:r>
      <w:r w:rsidR="004A281C" w:rsidRPr="007F2E16">
        <w:rPr>
          <w:rFonts w:ascii="Century Gothic" w:hAnsi="Century Gothic"/>
        </w:rPr>
        <w:t>conference with</w:t>
      </w:r>
      <w:r w:rsidRPr="007F2E16">
        <w:rPr>
          <w:rFonts w:ascii="Century Gothic" w:hAnsi="Century Gothic"/>
        </w:rPr>
        <w:t xml:space="preserve"> the Owner or his/her designee present at the inspection site.  </w:t>
      </w:r>
      <w:r w:rsidR="00652A8D" w:rsidRPr="007F2E16">
        <w:rPr>
          <w:rFonts w:ascii="Century Gothic" w:hAnsi="Century Gothic"/>
        </w:rPr>
        <w:t xml:space="preserve">All HQS inspections forms will be mailed or made accessible via email or other electronic format to the owner or designee in advance of the scheduled appointment. </w:t>
      </w:r>
      <w:r w:rsidR="00E529BB" w:rsidRPr="007F2E16">
        <w:rPr>
          <w:rFonts w:ascii="Century Gothic" w:hAnsi="Century Gothic"/>
        </w:rPr>
        <w:t xml:space="preserve"> </w:t>
      </w:r>
      <w:r w:rsidRPr="007F2E16">
        <w:rPr>
          <w:rFonts w:ascii="Century Gothic" w:hAnsi="Century Gothic"/>
        </w:rPr>
        <w:t xml:space="preserve">Inspection appointments will be scheduled as usual and will be attended in person by the landlord or designee.  A certified HQS inspector must participate </w:t>
      </w:r>
      <w:r w:rsidR="001669CB" w:rsidRPr="007F2E16">
        <w:rPr>
          <w:rFonts w:ascii="Century Gothic" w:hAnsi="Century Gothic"/>
        </w:rPr>
        <w:t>in</w:t>
      </w:r>
      <w:r w:rsidRPr="007F2E16">
        <w:rPr>
          <w:rFonts w:ascii="Century Gothic" w:hAnsi="Century Gothic"/>
        </w:rPr>
        <w:t xml:space="preserve"> the video conference and will guide the homeowner or designee through the inspections process. </w:t>
      </w:r>
    </w:p>
    <w:p w14:paraId="314A0595" w14:textId="77777777" w:rsidR="00337648" w:rsidRPr="007F2E16" w:rsidRDefault="00337648" w:rsidP="00337648">
      <w:pPr>
        <w:ind w:left="360"/>
        <w:rPr>
          <w:rFonts w:ascii="Century Gothic" w:hAnsi="Century Gothic"/>
        </w:rPr>
      </w:pPr>
    </w:p>
    <w:p w14:paraId="5072A70B" w14:textId="77777777" w:rsidR="00376773" w:rsidRPr="007F2E16" w:rsidRDefault="00376773" w:rsidP="00376773">
      <w:pPr>
        <w:ind w:left="720"/>
        <w:rPr>
          <w:rFonts w:ascii="Century Gothic" w:hAnsi="Century Gothic"/>
          <w:szCs w:val="22"/>
        </w:rPr>
      </w:pPr>
      <w:r w:rsidRPr="007F2E16">
        <w:rPr>
          <w:rFonts w:ascii="Century Gothic" w:hAnsi="Century Gothic"/>
          <w:szCs w:val="22"/>
        </w:rPr>
        <w:t xml:space="preserve">This process will be allowed for initial inspections of previously inspected units, meaning if a unit was previously occupied by a family receiving HCV subsidy, the unit may qualify for a video inspection for the initial inspection for new voucher holder.  </w:t>
      </w:r>
    </w:p>
    <w:p w14:paraId="01B481B9" w14:textId="77777777" w:rsidR="00376773" w:rsidRPr="007F2E16" w:rsidRDefault="00376773" w:rsidP="00376773">
      <w:pPr>
        <w:ind w:left="720"/>
        <w:rPr>
          <w:rFonts w:ascii="Century Gothic" w:hAnsi="Century Gothic"/>
          <w:szCs w:val="22"/>
        </w:rPr>
      </w:pPr>
    </w:p>
    <w:p w14:paraId="45745793" w14:textId="597F3F84" w:rsidR="00376773" w:rsidRPr="007F2E16" w:rsidRDefault="00376773" w:rsidP="00376773">
      <w:pPr>
        <w:ind w:left="720"/>
        <w:rPr>
          <w:rFonts w:ascii="Century Gothic" w:hAnsi="Century Gothic"/>
          <w:szCs w:val="22"/>
        </w:rPr>
      </w:pPr>
      <w:r w:rsidRPr="007F2E16">
        <w:rPr>
          <w:rFonts w:ascii="Century Gothic" w:hAnsi="Century Gothic"/>
          <w:szCs w:val="22"/>
        </w:rPr>
        <w:t xml:space="preserve">This option for a video inspection applies to special inspections and bi/triennial inspections, as well.  Failed initial inspections will follow the current inspections protocol and timeline with the added option of proceeding via video conference.  A 2nd failed inspection will require that an inspector go out to the site and inspect the corrected deficiencies in person.  </w:t>
      </w:r>
    </w:p>
    <w:p w14:paraId="130BBC9F" w14:textId="790EBCF7" w:rsidR="002679D5" w:rsidRPr="007F2E16" w:rsidRDefault="002679D5" w:rsidP="001512DD">
      <w:pPr>
        <w:ind w:left="360"/>
        <w:rPr>
          <w:rFonts w:ascii="Century Gothic" w:hAnsi="Century Gothic"/>
        </w:rPr>
      </w:pPr>
    </w:p>
    <w:p w14:paraId="3CD1A363" w14:textId="2CD36FAD" w:rsidR="006A078E" w:rsidRPr="007F2E16" w:rsidRDefault="006A078E" w:rsidP="00486062">
      <w:pPr>
        <w:pStyle w:val="ListParagraph"/>
        <w:numPr>
          <w:ilvl w:val="0"/>
          <w:numId w:val="108"/>
        </w:numPr>
        <w:spacing w:before="120" w:after="120"/>
        <w:rPr>
          <w:rFonts w:ascii="Century Gothic" w:eastAsia="Calibri" w:hAnsi="Century Gothic"/>
          <w:bCs/>
          <w:szCs w:val="22"/>
        </w:rPr>
      </w:pPr>
      <w:r w:rsidRPr="007F2E16">
        <w:rPr>
          <w:rFonts w:ascii="Century Gothic" w:eastAsia="Calibri" w:hAnsi="Century Gothic"/>
          <w:b/>
          <w:szCs w:val="22"/>
        </w:rPr>
        <w:t>Rationale</w:t>
      </w:r>
      <w:r w:rsidRPr="007F2E16">
        <w:rPr>
          <w:rFonts w:ascii="Century Gothic" w:eastAsia="Calibri" w:hAnsi="Century Gothic"/>
          <w:szCs w:val="22"/>
        </w:rPr>
        <w:t xml:space="preserve">: </w:t>
      </w:r>
      <w:r w:rsidR="003960B3" w:rsidRPr="007F2E16">
        <w:rPr>
          <w:rFonts w:ascii="Century Gothic" w:eastAsia="Calibri" w:hAnsi="Century Gothic"/>
          <w:szCs w:val="22"/>
        </w:rPr>
        <w:t>Due to COVID19 and the social distancing guidelines in place at the time and HUD guidelines, remote video inspections were implemented to coincide with the bi/triennial inspection schedule</w:t>
      </w:r>
      <w:r w:rsidR="00E529BB" w:rsidRPr="007F2E16">
        <w:rPr>
          <w:rFonts w:ascii="Century Gothic" w:eastAsia="Calibri" w:hAnsi="Century Gothic"/>
          <w:szCs w:val="22"/>
        </w:rPr>
        <w:t xml:space="preserve"> and will continue</w:t>
      </w:r>
      <w:r w:rsidR="003960B3" w:rsidRPr="007F2E16">
        <w:rPr>
          <w:rFonts w:ascii="Century Gothic" w:eastAsia="Calibri" w:hAnsi="Century Gothic"/>
          <w:szCs w:val="22"/>
        </w:rPr>
        <w:t xml:space="preserve">. </w:t>
      </w:r>
    </w:p>
    <w:p w14:paraId="5175DAF7" w14:textId="30E9C9E7" w:rsidR="006A078E" w:rsidRPr="007F2E16" w:rsidRDefault="006A078E" w:rsidP="00486062">
      <w:pPr>
        <w:numPr>
          <w:ilvl w:val="0"/>
          <w:numId w:val="108"/>
        </w:numPr>
        <w:autoSpaceDE w:val="0"/>
        <w:autoSpaceDN w:val="0"/>
        <w:adjustRightInd w:val="0"/>
        <w:spacing w:before="120" w:after="120"/>
        <w:rPr>
          <w:rFonts w:ascii="Century Gothic" w:eastAsia="Calibri" w:hAnsi="Century Gothic"/>
          <w:bCs/>
          <w:szCs w:val="22"/>
        </w:rPr>
      </w:pPr>
      <w:r w:rsidRPr="007F2E16">
        <w:rPr>
          <w:rFonts w:ascii="Century Gothic" w:eastAsia="Calibri" w:hAnsi="Century Gothic"/>
          <w:b/>
          <w:szCs w:val="22"/>
        </w:rPr>
        <w:t>Expected impact</w:t>
      </w:r>
      <w:r w:rsidRPr="007F2E16">
        <w:rPr>
          <w:rFonts w:ascii="Century Gothic" w:eastAsia="Calibri" w:hAnsi="Century Gothic"/>
          <w:szCs w:val="22"/>
        </w:rPr>
        <w:t>: Savings in staff time related to inspection scheduling and a reduction in cost of the inspection contract with the City of New Haven are expected</w:t>
      </w:r>
      <w:r w:rsidR="00D24FD5" w:rsidRPr="007F2E16">
        <w:rPr>
          <w:rFonts w:ascii="Century Gothic" w:eastAsia="Calibri" w:hAnsi="Century Gothic"/>
          <w:szCs w:val="22"/>
        </w:rPr>
        <w:t xml:space="preserve">, as well as improved customer service for landlords and </w:t>
      </w:r>
      <w:r w:rsidR="00C938FE" w:rsidRPr="007F2E16">
        <w:rPr>
          <w:rFonts w:ascii="Century Gothic" w:eastAsia="Calibri" w:hAnsi="Century Gothic"/>
          <w:szCs w:val="22"/>
        </w:rPr>
        <w:t>participants</w:t>
      </w:r>
      <w:r w:rsidRPr="007F2E16">
        <w:rPr>
          <w:rFonts w:ascii="Century Gothic" w:eastAsia="Calibri" w:hAnsi="Century Gothic"/>
          <w:szCs w:val="22"/>
        </w:rPr>
        <w:t xml:space="preserve">. </w:t>
      </w:r>
    </w:p>
    <w:p w14:paraId="4863C33C" w14:textId="77777777" w:rsidR="00574C36" w:rsidRPr="007F2E16" w:rsidRDefault="00574C36" w:rsidP="00574C36">
      <w:pPr>
        <w:rPr>
          <w:rFonts w:ascii="Century Gothic" w:eastAsia="Times New Roman" w:hAnsi="Century Gothic"/>
          <w:szCs w:val="22"/>
        </w:rPr>
      </w:pPr>
    </w:p>
    <w:p w14:paraId="3645C112" w14:textId="77777777" w:rsidR="00574C36" w:rsidRPr="007F2E16" w:rsidRDefault="00574C36" w:rsidP="00574C36">
      <w:pPr>
        <w:rPr>
          <w:rFonts w:ascii="Century Gothic" w:eastAsia="Calibri" w:hAnsi="Century Gothic"/>
          <w:b/>
          <w:szCs w:val="22"/>
        </w:rPr>
      </w:pPr>
      <w:r w:rsidRPr="007F2E16">
        <w:rPr>
          <w:rFonts w:ascii="Century Gothic" w:eastAsia="Calibri" w:hAnsi="Century Gothic"/>
          <w:b/>
          <w:szCs w:val="22"/>
        </w:rPr>
        <w:t>Part 2. Self-Certification for Fails Not Related to Health/Safety</w:t>
      </w:r>
    </w:p>
    <w:p w14:paraId="1CCDF1E4" w14:textId="77777777" w:rsidR="00E529BB" w:rsidRPr="007F2E16" w:rsidRDefault="00E529BB" w:rsidP="00574C36">
      <w:pPr>
        <w:rPr>
          <w:rFonts w:ascii="Century Gothic" w:eastAsia="Calibri" w:hAnsi="Century Gothic"/>
          <w:b/>
          <w:bCs/>
          <w:szCs w:val="22"/>
        </w:rPr>
      </w:pPr>
    </w:p>
    <w:p w14:paraId="2D0C9513" w14:textId="5D5F49C6" w:rsidR="00574C36" w:rsidRPr="007F2E16" w:rsidRDefault="00574C36" w:rsidP="00574C36">
      <w:pPr>
        <w:contextualSpacing/>
        <w:rPr>
          <w:rFonts w:ascii="Century Gothic" w:eastAsia="Calibri" w:hAnsi="Century Gothic"/>
          <w:bCs/>
          <w:szCs w:val="22"/>
        </w:rPr>
      </w:pPr>
      <w:r w:rsidRPr="007F2E16">
        <w:rPr>
          <w:rFonts w:ascii="Century Gothic" w:eastAsia="Calibri" w:hAnsi="Century Gothic"/>
          <w:szCs w:val="22"/>
        </w:rPr>
        <w:t>ECC/HANH will use a self-certification process to follow-up with non-life threatening HQS inspection violations. Landlords and participants will be able to self-certify and submit documentation of corrected deficiencies for regularly scheduled HQS inspections</w:t>
      </w:r>
      <w:r w:rsidR="000E7D7C" w:rsidRPr="007F2E16">
        <w:rPr>
          <w:rFonts w:ascii="Century Gothic" w:eastAsia="Calibri" w:hAnsi="Century Gothic"/>
          <w:szCs w:val="22"/>
        </w:rPr>
        <w:t xml:space="preserve"> (bi/triennial)</w:t>
      </w:r>
      <w:r w:rsidRPr="007F2E16">
        <w:rPr>
          <w:rFonts w:ascii="Century Gothic" w:eastAsia="Calibri" w:hAnsi="Century Gothic"/>
          <w:szCs w:val="22"/>
        </w:rPr>
        <w:t xml:space="preserve">. All participants retain the right to request a special inspection at any time. </w:t>
      </w:r>
    </w:p>
    <w:p w14:paraId="56BFC2F5" w14:textId="655A1D89" w:rsidR="00574C36" w:rsidRPr="007F2E16" w:rsidRDefault="00E529BB" w:rsidP="00E529BB">
      <w:pPr>
        <w:spacing w:before="120" w:after="120"/>
        <w:rPr>
          <w:rFonts w:ascii="Century Gothic" w:eastAsia="Calibri" w:hAnsi="Century Gothic"/>
        </w:rPr>
      </w:pPr>
      <w:r w:rsidRPr="007F2E16">
        <w:rPr>
          <w:rFonts w:ascii="Century Gothic" w:eastAsia="Calibri" w:hAnsi="Century Gothic"/>
          <w:b/>
          <w:bCs/>
        </w:rPr>
        <w:t>a.</w:t>
      </w:r>
      <w:r w:rsidRPr="007F2E16">
        <w:rPr>
          <w:rFonts w:ascii="Century Gothic" w:eastAsia="Calibri" w:hAnsi="Century Gothic"/>
          <w:b/>
          <w:bCs/>
        </w:rPr>
        <w:tab/>
      </w:r>
      <w:r w:rsidR="7C8CAD77" w:rsidRPr="007F2E16">
        <w:rPr>
          <w:rFonts w:ascii="Century Gothic" w:eastAsia="Calibri" w:hAnsi="Century Gothic"/>
          <w:b/>
          <w:bCs/>
        </w:rPr>
        <w:t>Rationale</w:t>
      </w:r>
      <w:r w:rsidR="001A47F3" w:rsidRPr="007F2E16">
        <w:rPr>
          <w:rFonts w:ascii="Century Gothic" w:eastAsia="Calibri" w:hAnsi="Century Gothic"/>
        </w:rPr>
        <w:t>: At</w:t>
      </w:r>
      <w:r w:rsidR="1796BCB1" w:rsidRPr="007F2E16">
        <w:rPr>
          <w:rFonts w:ascii="Century Gothic" w:eastAsia="Calibri" w:hAnsi="Century Gothic"/>
        </w:rPr>
        <w:t xml:space="preserve"> baseline </w:t>
      </w:r>
      <w:r w:rsidR="7C8CAD77" w:rsidRPr="007F2E16">
        <w:rPr>
          <w:rFonts w:ascii="Century Gothic" w:eastAsia="Calibri" w:hAnsi="Century Gothic"/>
        </w:rPr>
        <w:t>approximately 860 HQS inspections fail for items that are not health and safety related. The cost of these inspections is approximately $61,000.00.</w:t>
      </w:r>
    </w:p>
    <w:p w14:paraId="15A70EAB" w14:textId="35F72A05" w:rsidR="00574C36" w:rsidRPr="007F2E16" w:rsidRDefault="00BC6E52" w:rsidP="00BC6E52">
      <w:pPr>
        <w:autoSpaceDE w:val="0"/>
        <w:autoSpaceDN w:val="0"/>
        <w:adjustRightInd w:val="0"/>
        <w:spacing w:before="120" w:after="120"/>
        <w:rPr>
          <w:rFonts w:ascii="Century Gothic" w:eastAsia="Calibri" w:hAnsi="Century Gothic"/>
          <w:szCs w:val="22"/>
        </w:rPr>
      </w:pPr>
      <w:r w:rsidRPr="007F2E16">
        <w:rPr>
          <w:rFonts w:ascii="Century Gothic" w:eastAsia="Calibri" w:hAnsi="Century Gothic"/>
          <w:b/>
          <w:bCs/>
        </w:rPr>
        <w:t>b</w:t>
      </w:r>
      <w:r w:rsidR="001669CB" w:rsidRPr="007F2E16">
        <w:rPr>
          <w:rFonts w:ascii="Century Gothic" w:eastAsia="Calibri" w:hAnsi="Century Gothic"/>
          <w:b/>
          <w:bCs/>
        </w:rPr>
        <w:t xml:space="preserve">. </w:t>
      </w:r>
      <w:r w:rsidR="001669CB">
        <w:rPr>
          <w:rFonts w:ascii="Century Gothic" w:eastAsia="Calibri" w:hAnsi="Century Gothic"/>
          <w:b/>
          <w:bCs/>
        </w:rPr>
        <w:t>Expected</w:t>
      </w:r>
      <w:r w:rsidR="04C6631A" w:rsidRPr="007F2E16">
        <w:rPr>
          <w:rFonts w:ascii="Century Gothic" w:eastAsia="Calibri" w:hAnsi="Century Gothic"/>
          <w:b/>
          <w:bCs/>
        </w:rPr>
        <w:t xml:space="preserve"> impact: </w:t>
      </w:r>
      <w:r w:rsidR="04C6631A" w:rsidRPr="007F2E16">
        <w:rPr>
          <w:rFonts w:ascii="Century Gothic" w:eastAsia="Calibri" w:hAnsi="Century Gothic"/>
        </w:rPr>
        <w:t xml:space="preserve">The number of re-inspections related to minor </w:t>
      </w:r>
      <w:r w:rsidR="001669CB" w:rsidRPr="007F2E16">
        <w:rPr>
          <w:rFonts w:ascii="Century Gothic" w:eastAsia="Calibri" w:hAnsi="Century Gothic"/>
        </w:rPr>
        <w:t>failures</w:t>
      </w:r>
      <w:r w:rsidR="04C6631A" w:rsidRPr="007F2E16">
        <w:rPr>
          <w:rFonts w:ascii="Century Gothic" w:eastAsia="Calibri" w:hAnsi="Century Gothic"/>
        </w:rPr>
        <w:t xml:space="preserve"> that are not health and safety related </w:t>
      </w:r>
      <w:proofErr w:type="gramStart"/>
      <w:r w:rsidR="04C6631A" w:rsidRPr="007F2E16">
        <w:rPr>
          <w:rFonts w:ascii="Century Gothic" w:eastAsia="Calibri" w:hAnsi="Century Gothic"/>
        </w:rPr>
        <w:t>is</w:t>
      </w:r>
      <w:proofErr w:type="gramEnd"/>
      <w:r w:rsidR="04C6631A" w:rsidRPr="007F2E16">
        <w:rPr>
          <w:rFonts w:ascii="Century Gothic" w:eastAsia="Calibri" w:hAnsi="Century Gothic"/>
        </w:rPr>
        <w:t xml:space="preserve"> expected to decrease.  </w:t>
      </w:r>
    </w:p>
    <w:p w14:paraId="44EA6B8C" w14:textId="77777777" w:rsidR="00574C36" w:rsidRPr="007F2E16" w:rsidRDefault="00574C36" w:rsidP="00574C36">
      <w:pPr>
        <w:autoSpaceDE w:val="0"/>
        <w:autoSpaceDN w:val="0"/>
        <w:adjustRightInd w:val="0"/>
        <w:ind w:left="720"/>
        <w:contextualSpacing/>
        <w:rPr>
          <w:rFonts w:ascii="Century Gothic" w:eastAsia="Calibri" w:hAnsi="Century Gothic"/>
          <w:bCs/>
          <w:szCs w:val="22"/>
        </w:rPr>
      </w:pPr>
    </w:p>
    <w:p w14:paraId="702CA0E4" w14:textId="77777777" w:rsidR="00574C36" w:rsidRPr="007F2E16" w:rsidRDefault="00574C36" w:rsidP="00574C36">
      <w:pPr>
        <w:contextualSpacing/>
        <w:rPr>
          <w:rFonts w:ascii="Century Gothic" w:eastAsia="Calibri" w:hAnsi="Century Gothic"/>
          <w:b/>
          <w:szCs w:val="22"/>
        </w:rPr>
      </w:pPr>
      <w:r w:rsidRPr="007F2E16">
        <w:rPr>
          <w:rFonts w:ascii="Century Gothic" w:eastAsia="Calibri" w:hAnsi="Century Gothic"/>
          <w:b/>
          <w:szCs w:val="22"/>
        </w:rPr>
        <w:t xml:space="preserve">Part 3. Landlord Rent Increases on Biennial/Triennial Schedule </w:t>
      </w:r>
    </w:p>
    <w:p w14:paraId="5F094C17" w14:textId="77777777" w:rsidR="00BC6E52" w:rsidRPr="007F2E16" w:rsidRDefault="00BC6E52" w:rsidP="00574C36">
      <w:pPr>
        <w:contextualSpacing/>
        <w:rPr>
          <w:rFonts w:ascii="Century Gothic" w:eastAsia="Calibri" w:hAnsi="Century Gothic"/>
          <w:b/>
          <w:bCs/>
          <w:szCs w:val="22"/>
        </w:rPr>
      </w:pPr>
    </w:p>
    <w:p w14:paraId="41ED17AE" w14:textId="77777777" w:rsidR="00475656" w:rsidRPr="007F2E16" w:rsidRDefault="4D6D8FCD" w:rsidP="69506C91">
      <w:pPr>
        <w:contextualSpacing/>
        <w:rPr>
          <w:rFonts w:ascii="Century Gothic" w:eastAsia="Calibri" w:hAnsi="Century Gothic"/>
        </w:rPr>
      </w:pPr>
      <w:r w:rsidRPr="007F2E16">
        <w:rPr>
          <w:rFonts w:ascii="Century Gothic" w:eastAsia="Calibri" w:hAnsi="Century Gothic"/>
        </w:rPr>
        <w:t xml:space="preserve">Landlord rent increases are only processed at the time the family is recertified. These recertifications take place biennially for work-able families and triennially for Elderly/Disabled families. </w:t>
      </w:r>
    </w:p>
    <w:p w14:paraId="4982A917" w14:textId="77777777" w:rsidR="00475656" w:rsidRPr="007F2E16" w:rsidRDefault="00475656" w:rsidP="00475656">
      <w:pPr>
        <w:contextualSpacing/>
        <w:rPr>
          <w:rFonts w:ascii="Century Gothic" w:eastAsia="Calibri" w:hAnsi="Century Gothic"/>
          <w:b/>
          <w:szCs w:val="22"/>
        </w:rPr>
      </w:pPr>
    </w:p>
    <w:p w14:paraId="5C1BF8EF" w14:textId="742BA5C0" w:rsidR="00574C36" w:rsidRPr="007F2E16" w:rsidRDefault="00574C36" w:rsidP="00486062">
      <w:pPr>
        <w:pStyle w:val="ListParagraph"/>
        <w:numPr>
          <w:ilvl w:val="2"/>
          <w:numId w:val="67"/>
        </w:numPr>
        <w:rPr>
          <w:rFonts w:ascii="Century Gothic" w:eastAsia="Times New Roman" w:hAnsi="Century Gothic"/>
          <w:szCs w:val="22"/>
        </w:rPr>
      </w:pPr>
      <w:r w:rsidRPr="007F2E16">
        <w:rPr>
          <w:rFonts w:ascii="Century Gothic" w:eastAsia="Calibri" w:hAnsi="Century Gothic"/>
          <w:b/>
          <w:szCs w:val="22"/>
        </w:rPr>
        <w:t>Rationale</w:t>
      </w:r>
      <w:r w:rsidRPr="007F2E16">
        <w:rPr>
          <w:rFonts w:ascii="Century Gothic" w:eastAsia="Calibri" w:hAnsi="Century Gothic"/>
          <w:szCs w:val="22"/>
        </w:rPr>
        <w:t xml:space="preserve">: Requests for rent increases were allowed annually. </w:t>
      </w:r>
      <w:r w:rsidR="006F3EFD" w:rsidRPr="007F2E16">
        <w:rPr>
          <w:rFonts w:ascii="Century Gothic" w:eastAsia="Calibri" w:hAnsi="Century Gothic"/>
          <w:szCs w:val="22"/>
        </w:rPr>
        <w:t>At baseline, a</w:t>
      </w:r>
      <w:r w:rsidRPr="007F2E16">
        <w:rPr>
          <w:rFonts w:ascii="Century Gothic" w:eastAsia="Calibri" w:hAnsi="Century Gothic"/>
          <w:szCs w:val="22"/>
        </w:rPr>
        <w:t xml:space="preserve">mong the 3,500+ landlords, an average of 700 rent increases were requested and approved annually. This represents 20% of the assisted units, which suggests that most landlords are not requesting annual increases. </w:t>
      </w:r>
    </w:p>
    <w:p w14:paraId="3829D326" w14:textId="77777777" w:rsidR="00574C36" w:rsidRPr="001A47F3" w:rsidRDefault="00574C36" w:rsidP="00486062">
      <w:pPr>
        <w:numPr>
          <w:ilvl w:val="0"/>
          <w:numId w:val="47"/>
        </w:numPr>
        <w:spacing w:before="120" w:after="120"/>
        <w:ind w:left="720"/>
        <w:rPr>
          <w:rFonts w:ascii="Century Gothic" w:eastAsia="Times New Roman" w:hAnsi="Century Gothic"/>
        </w:rPr>
      </w:pPr>
      <w:r w:rsidRPr="007F2E16">
        <w:rPr>
          <w:rFonts w:ascii="Century Gothic" w:eastAsia="Calibri" w:hAnsi="Century Gothic"/>
          <w:b/>
          <w:bCs/>
        </w:rPr>
        <w:t>Expected impact</w:t>
      </w:r>
      <w:r w:rsidRPr="007F2E16">
        <w:rPr>
          <w:rFonts w:ascii="Century Gothic" w:eastAsia="Calibri" w:hAnsi="Century Gothic"/>
        </w:rPr>
        <w:t>: Savings in HCV staff time is expected because of reduction in the number of requests related to landlord rent increases.</w:t>
      </w:r>
    </w:p>
    <w:p w14:paraId="2B2A1972" w14:textId="77777777" w:rsidR="001A47F3" w:rsidRPr="007F2E16" w:rsidRDefault="001A47F3" w:rsidP="00486062">
      <w:pPr>
        <w:numPr>
          <w:ilvl w:val="0"/>
          <w:numId w:val="47"/>
        </w:numPr>
        <w:spacing w:before="120" w:after="120"/>
        <w:ind w:left="720"/>
        <w:rPr>
          <w:rFonts w:ascii="Century Gothic" w:eastAsia="Times New Roman" w:hAnsi="Century Gothic"/>
        </w:rPr>
      </w:pPr>
    </w:p>
    <w:p w14:paraId="379628FB" w14:textId="77777777" w:rsidR="00574C36" w:rsidRPr="007F2E16" w:rsidRDefault="00574C36" w:rsidP="00574C36">
      <w:pPr>
        <w:keepNext/>
        <w:keepLines/>
        <w:spacing w:before="120" w:after="80"/>
        <w:outlineLvl w:val="3"/>
        <w:rPr>
          <w:rFonts w:ascii="Century Gothic" w:eastAsia="Times New Roman" w:hAnsi="Century Gothic"/>
          <w:b/>
          <w:iCs/>
          <w:szCs w:val="22"/>
        </w:rPr>
      </w:pPr>
      <w:r w:rsidRPr="007F2E16">
        <w:rPr>
          <w:rFonts w:ascii="Century Gothic" w:eastAsia="Times New Roman" w:hAnsi="Century Gothic"/>
          <w:b/>
          <w:bCs/>
        </w:rPr>
        <w:t>Impact</w:t>
      </w:r>
    </w:p>
    <w:p w14:paraId="4FEAA611" w14:textId="27513CC6" w:rsidR="007E0398" w:rsidRPr="007E0398" w:rsidRDefault="007E0398" w:rsidP="4566E4F4">
      <w:pPr>
        <w:keepNext/>
        <w:spacing w:before="120" w:after="80"/>
        <w:outlineLvl w:val="3"/>
        <w:rPr>
          <w:rFonts w:ascii="Century Gothic" w:eastAsia="Times New Roman" w:hAnsi="Century Gothic"/>
          <w:b/>
          <w:bCs/>
        </w:rPr>
      </w:pPr>
      <w:r w:rsidRPr="007E0398">
        <w:rPr>
          <w:rFonts w:ascii="Century Gothic" w:eastAsia="Times New Roman" w:hAnsi="Century Gothic"/>
          <w:b/>
          <w:bCs/>
        </w:rPr>
        <w:t>Cost Per Inspection</w:t>
      </w:r>
    </w:p>
    <w:p w14:paraId="2F6E7604" w14:textId="4C32B22F" w:rsidR="25247613" w:rsidRPr="007F2E16" w:rsidRDefault="33C79A37" w:rsidP="4566E4F4">
      <w:pPr>
        <w:keepNext/>
        <w:spacing w:before="120" w:after="80"/>
        <w:outlineLvl w:val="3"/>
        <w:rPr>
          <w:rFonts w:ascii="Century Gothic" w:eastAsia="Times New Roman" w:hAnsi="Century Gothic"/>
        </w:rPr>
      </w:pPr>
      <w:r w:rsidRPr="007F2E16">
        <w:rPr>
          <w:rFonts w:ascii="Century Gothic" w:eastAsia="Times New Roman" w:hAnsi="Century Gothic"/>
        </w:rPr>
        <w:t>ECC/HANH has seen a significant increase in voucher utilization over time</w:t>
      </w:r>
      <w:r w:rsidR="21819B11" w:rsidRPr="007F2E16">
        <w:rPr>
          <w:rFonts w:ascii="Century Gothic" w:eastAsia="Times New Roman" w:hAnsi="Century Gothic"/>
        </w:rPr>
        <w:t xml:space="preserve"> without associated increases in costs that would be expected were it not for these streamlining activities</w:t>
      </w:r>
      <w:r w:rsidRPr="007F2E16">
        <w:rPr>
          <w:rFonts w:ascii="Century Gothic" w:eastAsia="Times New Roman" w:hAnsi="Century Gothic"/>
        </w:rPr>
        <w:t xml:space="preserve">.  ECC/HANH’s HQS inspection was meant to create administrative savings while not sacrificing the quality of housing offered to families.  </w:t>
      </w:r>
      <w:r w:rsidR="574F2624" w:rsidRPr="007F2E16">
        <w:rPr>
          <w:rFonts w:ascii="Century Gothic" w:eastAsia="Times New Roman" w:hAnsi="Century Gothic"/>
        </w:rPr>
        <w:t xml:space="preserve">By inspecting units every two or three years we anticipated reduced inspection costs.  </w:t>
      </w:r>
    </w:p>
    <w:p w14:paraId="382AF10D" w14:textId="503FE99E" w:rsidR="25247613" w:rsidRPr="007F2E16" w:rsidRDefault="0B149AD3" w:rsidP="1B3F2E6D">
      <w:pPr>
        <w:keepNext/>
        <w:spacing w:before="120" w:after="80"/>
        <w:outlineLvl w:val="3"/>
        <w:rPr>
          <w:rFonts w:ascii="Century Gothic" w:eastAsia="Times New Roman" w:hAnsi="Century Gothic"/>
        </w:rPr>
      </w:pPr>
      <w:r w:rsidRPr="007F2E16">
        <w:rPr>
          <w:rFonts w:ascii="Century Gothic" w:eastAsia="Times New Roman" w:hAnsi="Century Gothic"/>
        </w:rPr>
        <w:t xml:space="preserve">Cost per inspection has </w:t>
      </w:r>
      <w:r w:rsidR="3915517C" w:rsidRPr="007F2E16">
        <w:rPr>
          <w:rFonts w:ascii="Century Gothic" w:eastAsia="Times New Roman" w:hAnsi="Century Gothic"/>
        </w:rPr>
        <w:t xml:space="preserve">fallen </w:t>
      </w:r>
      <w:r w:rsidRPr="007F2E16">
        <w:rPr>
          <w:rFonts w:ascii="Century Gothic" w:eastAsia="Times New Roman" w:hAnsi="Century Gothic"/>
        </w:rPr>
        <w:t>from $7</w:t>
      </w:r>
      <w:r w:rsidR="0C2F9196" w:rsidRPr="007F2E16">
        <w:rPr>
          <w:rFonts w:ascii="Century Gothic" w:eastAsia="Times New Roman" w:hAnsi="Century Gothic"/>
        </w:rPr>
        <w:t>7</w:t>
      </w:r>
      <w:r w:rsidRPr="007F2E16">
        <w:rPr>
          <w:rFonts w:ascii="Century Gothic" w:eastAsia="Times New Roman" w:hAnsi="Century Gothic"/>
        </w:rPr>
        <w:t xml:space="preserve"> to </w:t>
      </w:r>
      <w:r w:rsidR="740EC496" w:rsidRPr="007F2E16">
        <w:rPr>
          <w:rFonts w:ascii="Century Gothic" w:eastAsia="Times New Roman" w:hAnsi="Century Gothic"/>
        </w:rPr>
        <w:t>$</w:t>
      </w:r>
      <w:r w:rsidR="6EFD7372" w:rsidRPr="007F2E16">
        <w:rPr>
          <w:rFonts w:ascii="Century Gothic" w:eastAsia="Times New Roman" w:hAnsi="Century Gothic"/>
        </w:rPr>
        <w:t>6</w:t>
      </w:r>
      <w:r w:rsidR="00E033B7">
        <w:rPr>
          <w:rFonts w:ascii="Century Gothic" w:eastAsia="Times New Roman" w:hAnsi="Century Gothic"/>
        </w:rPr>
        <w:t>9</w:t>
      </w:r>
      <w:r w:rsidR="59CAFE4F" w:rsidRPr="007F2E16">
        <w:rPr>
          <w:rFonts w:ascii="Century Gothic" w:eastAsia="Times New Roman" w:hAnsi="Century Gothic"/>
        </w:rPr>
        <w:t xml:space="preserve"> </w:t>
      </w:r>
      <w:r w:rsidRPr="007F2E16">
        <w:rPr>
          <w:rFonts w:ascii="Century Gothic" w:eastAsia="Times New Roman" w:hAnsi="Century Gothic"/>
        </w:rPr>
        <w:t>from FY2015 to FY202</w:t>
      </w:r>
      <w:r w:rsidR="7EB69478" w:rsidRPr="007F2E16">
        <w:rPr>
          <w:rFonts w:ascii="Century Gothic" w:eastAsia="Times New Roman" w:hAnsi="Century Gothic"/>
        </w:rPr>
        <w:t>4</w:t>
      </w:r>
      <w:r w:rsidR="4C6283E2" w:rsidRPr="007F2E16">
        <w:rPr>
          <w:rFonts w:ascii="Century Gothic" w:eastAsia="Times New Roman" w:hAnsi="Century Gothic"/>
        </w:rPr>
        <w:t>.</w:t>
      </w:r>
      <w:r w:rsidR="27A92936" w:rsidRPr="007F2E16">
        <w:rPr>
          <w:rFonts w:ascii="Century Gothic" w:eastAsia="Times New Roman" w:hAnsi="Century Gothic"/>
        </w:rPr>
        <w:t xml:space="preserve"> </w:t>
      </w:r>
      <w:r w:rsidR="7E0F890E" w:rsidRPr="007F2E16">
        <w:rPr>
          <w:rFonts w:ascii="Century Gothic" w:eastAsia="Times New Roman" w:hAnsi="Century Gothic"/>
        </w:rPr>
        <w:t xml:space="preserve"> Additionally, </w:t>
      </w:r>
      <w:r w:rsidR="7D727535" w:rsidRPr="007F2E16">
        <w:rPr>
          <w:rFonts w:ascii="Century Gothic" w:eastAsia="Times New Roman" w:hAnsi="Century Gothic"/>
        </w:rPr>
        <w:t>accounting</w:t>
      </w:r>
      <w:r w:rsidR="7E0F890E" w:rsidRPr="007F2E16">
        <w:rPr>
          <w:rFonts w:ascii="Century Gothic" w:eastAsia="Times New Roman" w:hAnsi="Century Gothic"/>
        </w:rPr>
        <w:t xml:space="preserve"> for inflation, the baseline inspection cost in today’s dollars equals $</w:t>
      </w:r>
      <w:r w:rsidR="767F5AA2" w:rsidRPr="007F2E16">
        <w:rPr>
          <w:rFonts w:ascii="Century Gothic" w:eastAsia="Times New Roman" w:hAnsi="Century Gothic"/>
        </w:rPr>
        <w:t>10</w:t>
      </w:r>
      <w:r w:rsidR="00E033B7">
        <w:rPr>
          <w:rFonts w:ascii="Century Gothic" w:eastAsia="Times New Roman" w:hAnsi="Century Gothic"/>
        </w:rPr>
        <w:t>4</w:t>
      </w:r>
      <w:r w:rsidR="4D8E4640" w:rsidRPr="007F2E16">
        <w:rPr>
          <w:rFonts w:ascii="Century Gothic" w:eastAsia="Times New Roman" w:hAnsi="Century Gothic"/>
        </w:rPr>
        <w:t xml:space="preserve"> </w:t>
      </w:r>
      <w:r w:rsidR="7E0F890E" w:rsidRPr="007F2E16">
        <w:rPr>
          <w:rFonts w:ascii="Century Gothic" w:eastAsia="Times New Roman" w:hAnsi="Century Gothic"/>
        </w:rPr>
        <w:t>pe</w:t>
      </w:r>
      <w:r w:rsidR="001A47F3">
        <w:rPr>
          <w:rFonts w:ascii="Century Gothic" w:eastAsia="Times New Roman" w:hAnsi="Century Gothic"/>
        </w:rPr>
        <w:t xml:space="preserve">r </w:t>
      </w:r>
      <w:r w:rsidR="001A47F3">
        <w:rPr>
          <w:rFonts w:ascii="Century Gothic" w:eastAsia="Times New Roman" w:hAnsi="Century Gothic"/>
        </w:rPr>
        <w:lastRenderedPageBreak/>
        <w:t>in</w:t>
      </w:r>
      <w:r w:rsidR="7E0F890E" w:rsidRPr="007F2E16">
        <w:rPr>
          <w:rFonts w:ascii="Century Gothic" w:eastAsia="Times New Roman" w:hAnsi="Century Gothic"/>
        </w:rPr>
        <w:t xml:space="preserve">spection, </w:t>
      </w:r>
      <w:r w:rsidR="7D727535" w:rsidRPr="007F2E16">
        <w:rPr>
          <w:rFonts w:ascii="Century Gothic" w:eastAsia="Times New Roman" w:hAnsi="Century Gothic"/>
        </w:rPr>
        <w:t>where we are only spending $</w:t>
      </w:r>
      <w:r w:rsidR="4A55AA6F" w:rsidRPr="007F2E16">
        <w:rPr>
          <w:rFonts w:ascii="Century Gothic" w:eastAsia="Times New Roman" w:hAnsi="Century Gothic"/>
        </w:rPr>
        <w:t>6</w:t>
      </w:r>
      <w:r w:rsidR="00E033B7">
        <w:rPr>
          <w:rFonts w:ascii="Century Gothic" w:eastAsia="Times New Roman" w:hAnsi="Century Gothic"/>
        </w:rPr>
        <w:t>9</w:t>
      </w:r>
      <w:r w:rsidR="7D727535" w:rsidRPr="007F2E16">
        <w:rPr>
          <w:rFonts w:ascii="Century Gothic" w:eastAsia="Times New Roman" w:hAnsi="Century Gothic"/>
        </w:rPr>
        <w:t xml:space="preserve"> per inspection, </w:t>
      </w:r>
      <w:r w:rsidR="7E0F890E" w:rsidRPr="007F2E16">
        <w:rPr>
          <w:rFonts w:ascii="Century Gothic" w:eastAsia="Times New Roman" w:hAnsi="Century Gothic"/>
        </w:rPr>
        <w:t>demonstrating significant cost avoidance.</w:t>
      </w:r>
    </w:p>
    <w:p w14:paraId="7A839810" w14:textId="7DF9DBAC" w:rsidR="000A056B" w:rsidRPr="001A47F3" w:rsidRDefault="3D079268" w:rsidP="00C72F86">
      <w:pPr>
        <w:keepNext/>
        <w:spacing w:before="120" w:after="80"/>
        <w:jc w:val="center"/>
        <w:outlineLvl w:val="3"/>
        <w:rPr>
          <w:rFonts w:ascii="Century Gothic" w:eastAsia="Times New Roman" w:hAnsi="Century Gothic"/>
          <w:b/>
          <w:bCs/>
        </w:rPr>
      </w:pPr>
      <w:r w:rsidRPr="001A47F3">
        <w:rPr>
          <w:rFonts w:ascii="Century Gothic" w:eastAsia="Times New Roman" w:hAnsi="Century Gothic"/>
          <w:b/>
          <w:bCs/>
        </w:rPr>
        <w:t>(Contract cost, $</w:t>
      </w:r>
      <w:r w:rsidR="2D16E6EC" w:rsidRPr="001A47F3">
        <w:rPr>
          <w:rFonts w:ascii="Century Gothic" w:eastAsia="Times New Roman" w:hAnsi="Century Gothic"/>
          <w:b/>
          <w:bCs/>
        </w:rPr>
        <w:t>374,45</w:t>
      </w:r>
      <w:r w:rsidR="00815280" w:rsidRPr="001A47F3">
        <w:rPr>
          <w:rFonts w:ascii="Century Gothic" w:eastAsia="Times New Roman" w:hAnsi="Century Gothic"/>
          <w:b/>
          <w:bCs/>
        </w:rPr>
        <w:t>7</w:t>
      </w:r>
      <w:r w:rsidRPr="001A47F3">
        <w:rPr>
          <w:rFonts w:ascii="Century Gothic" w:eastAsia="Times New Roman" w:hAnsi="Century Gothic"/>
          <w:b/>
          <w:bCs/>
        </w:rPr>
        <w:t>)</w:t>
      </w:r>
    </w:p>
    <w:p w14:paraId="369AB80A" w14:textId="77777777" w:rsidR="004F34F3" w:rsidRPr="004F34F3" w:rsidRDefault="004F34F3" w:rsidP="00C72F86">
      <w:pPr>
        <w:jc w:val="center"/>
        <w:rPr>
          <w:rFonts w:ascii="Times New Roman" w:eastAsia="Times New Roman" w:hAnsi="Times New Roman"/>
          <w:sz w:val="24"/>
          <w:lang w:eastAsia="en-US"/>
        </w:rPr>
      </w:pPr>
      <w:r w:rsidRPr="004F34F3">
        <w:rPr>
          <w:rFonts w:ascii="Times New Roman" w:eastAsia="Times New Roman" w:hAnsi="Times New Roman"/>
          <w:noProof/>
          <w:sz w:val="24"/>
          <w:lang w:eastAsia="en-US"/>
        </w:rPr>
        <w:drawing>
          <wp:inline distT="0" distB="0" distL="0" distR="0" wp14:anchorId="68932987" wp14:editId="170A6E02">
            <wp:extent cx="4591050" cy="4286250"/>
            <wp:effectExtent l="0" t="0" r="0" b="0"/>
            <wp:docPr id="470307549" name="Picture 10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7549" name="Picture 470307549" descr="Chart, bar 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1050" cy="4286250"/>
                    </a:xfrm>
                    <a:prstGeom prst="rect">
                      <a:avLst/>
                    </a:prstGeom>
                    <a:noFill/>
                    <a:ln>
                      <a:noFill/>
                    </a:ln>
                  </pic:spPr>
                </pic:pic>
              </a:graphicData>
            </a:graphic>
          </wp:inline>
        </w:drawing>
      </w:r>
    </w:p>
    <w:p w14:paraId="1CDEBBDE" w14:textId="77777777" w:rsidR="004F34F3" w:rsidRDefault="004F34F3" w:rsidP="1B3F2E6D">
      <w:pPr>
        <w:keepNext/>
        <w:spacing w:before="120" w:after="80"/>
        <w:outlineLvl w:val="3"/>
        <w:rPr>
          <w:rFonts w:ascii="Century Gothic" w:eastAsia="Times New Roman" w:hAnsi="Century Gothic"/>
        </w:rPr>
      </w:pPr>
    </w:p>
    <w:p w14:paraId="4A00016F" w14:textId="0FB279B7" w:rsidR="00C72F86" w:rsidRPr="00546723" w:rsidRDefault="00546723">
      <w:pPr>
        <w:contextualSpacing/>
        <w:rPr>
          <w:rFonts w:ascii="Century Gothic" w:eastAsia="Calibri" w:hAnsi="Century Gothic"/>
          <w:b/>
          <w:bCs/>
        </w:rPr>
      </w:pPr>
      <w:r w:rsidRPr="00546723">
        <w:rPr>
          <w:rFonts w:ascii="Century Gothic" w:eastAsia="Calibri" w:hAnsi="Century Gothic"/>
          <w:b/>
          <w:bCs/>
        </w:rPr>
        <w:t>Staff Time Spent Scheduling Inspections</w:t>
      </w:r>
    </w:p>
    <w:p w14:paraId="31CBCF40" w14:textId="77777777" w:rsidR="00C72F86" w:rsidRDefault="00C72F86">
      <w:pPr>
        <w:contextualSpacing/>
        <w:rPr>
          <w:rFonts w:ascii="Century Gothic" w:eastAsia="Calibri" w:hAnsi="Century Gothic"/>
        </w:rPr>
      </w:pPr>
    </w:p>
    <w:p w14:paraId="0EFA5EF3" w14:textId="18E8B09A" w:rsidR="00856906" w:rsidRDefault="7D12381E">
      <w:pPr>
        <w:contextualSpacing/>
        <w:rPr>
          <w:rFonts w:ascii="Century Gothic" w:eastAsia="Calibri" w:hAnsi="Century Gothic"/>
        </w:rPr>
      </w:pPr>
      <w:r w:rsidRPr="188A1EBF">
        <w:rPr>
          <w:rFonts w:ascii="Century Gothic" w:eastAsia="Calibri" w:hAnsi="Century Gothic"/>
        </w:rPr>
        <w:t>S</w:t>
      </w:r>
      <w:r w:rsidR="36220AAB" w:rsidRPr="188A1EBF">
        <w:rPr>
          <w:rFonts w:ascii="Century Gothic" w:eastAsia="Calibri" w:hAnsi="Century Gothic"/>
        </w:rPr>
        <w:t xml:space="preserve">taff time spent on HQS inspections has </w:t>
      </w:r>
      <w:r w:rsidR="623B5465" w:rsidRPr="188A1EBF">
        <w:rPr>
          <w:rFonts w:ascii="Century Gothic" w:eastAsia="Calibri" w:hAnsi="Century Gothic"/>
        </w:rPr>
        <w:t>slightly increased</w:t>
      </w:r>
      <w:r w:rsidR="36220AAB" w:rsidRPr="188A1EBF">
        <w:rPr>
          <w:rFonts w:ascii="Century Gothic" w:eastAsia="Calibri" w:hAnsi="Century Gothic"/>
        </w:rPr>
        <w:t xml:space="preserve">. </w:t>
      </w:r>
      <w:r w:rsidR="0ED11104" w:rsidRPr="188A1EBF">
        <w:rPr>
          <w:rFonts w:ascii="Century Gothic" w:eastAsia="Calibri" w:hAnsi="Century Gothic"/>
        </w:rPr>
        <w:t>V</w:t>
      </w:r>
      <w:r w:rsidR="36220AAB" w:rsidRPr="188A1EBF">
        <w:rPr>
          <w:rFonts w:ascii="Century Gothic" w:eastAsia="Calibri" w:hAnsi="Century Gothic"/>
        </w:rPr>
        <w:t>ouchers increased signif</w:t>
      </w:r>
      <w:r w:rsidR="019EEADF" w:rsidRPr="188A1EBF">
        <w:rPr>
          <w:rFonts w:ascii="Century Gothic" w:eastAsia="Calibri" w:hAnsi="Century Gothic"/>
        </w:rPr>
        <w:t>icantly from FY2014 to FY20</w:t>
      </w:r>
      <w:r w:rsidR="59F3B3A6" w:rsidRPr="188A1EBF">
        <w:rPr>
          <w:rFonts w:ascii="Century Gothic" w:eastAsia="Calibri" w:hAnsi="Century Gothic"/>
        </w:rPr>
        <w:t>2</w:t>
      </w:r>
      <w:r w:rsidR="3F641873" w:rsidRPr="188A1EBF">
        <w:rPr>
          <w:rFonts w:ascii="Century Gothic" w:eastAsia="Calibri" w:hAnsi="Century Gothic"/>
        </w:rPr>
        <w:t>4</w:t>
      </w:r>
      <w:r w:rsidR="019EEADF" w:rsidRPr="188A1EBF">
        <w:rPr>
          <w:rFonts w:ascii="Century Gothic" w:eastAsia="Calibri" w:hAnsi="Century Gothic"/>
        </w:rPr>
        <w:t xml:space="preserve">, we saw staff time spent on HQS inspections </w:t>
      </w:r>
      <w:r w:rsidR="33C27026" w:rsidRPr="188A1EBF">
        <w:rPr>
          <w:rFonts w:ascii="Century Gothic" w:eastAsia="Calibri" w:hAnsi="Century Gothic"/>
        </w:rPr>
        <w:t xml:space="preserve">increased </w:t>
      </w:r>
      <w:r w:rsidR="00207DB2">
        <w:rPr>
          <w:rFonts w:ascii="Century Gothic" w:eastAsia="Calibri" w:hAnsi="Century Gothic"/>
        </w:rPr>
        <w:t>to 14</w:t>
      </w:r>
      <w:r w:rsidR="00287420">
        <w:rPr>
          <w:rFonts w:ascii="Century Gothic" w:eastAsia="Calibri" w:hAnsi="Century Gothic"/>
        </w:rPr>
        <w:t>6</w:t>
      </w:r>
      <w:r w:rsidR="00207DB2">
        <w:rPr>
          <w:rFonts w:ascii="Century Gothic" w:eastAsia="Calibri" w:hAnsi="Century Gothic"/>
        </w:rPr>
        <w:t>7 hours.</w:t>
      </w:r>
      <w:r w:rsidR="0F4EBE7B" w:rsidRPr="188A1EBF">
        <w:rPr>
          <w:rFonts w:ascii="Century Gothic" w:eastAsia="Calibri" w:hAnsi="Century Gothic"/>
        </w:rPr>
        <w:t xml:space="preserve">  </w:t>
      </w:r>
      <w:r w:rsidR="59C0F6B9" w:rsidRPr="00856906">
        <w:rPr>
          <w:rFonts w:ascii="Century Gothic" w:eastAsia="Calibri" w:hAnsi="Century Gothic"/>
        </w:rPr>
        <w:t xml:space="preserve"> </w:t>
      </w:r>
    </w:p>
    <w:p w14:paraId="00E26A23" w14:textId="77777777" w:rsidR="00856906" w:rsidRDefault="00856906">
      <w:pPr>
        <w:contextualSpacing/>
        <w:rPr>
          <w:rFonts w:ascii="Century Gothic" w:eastAsia="Calibri" w:hAnsi="Century Gothic"/>
        </w:rPr>
      </w:pPr>
    </w:p>
    <w:p w14:paraId="70D26795" w14:textId="0158E5FC" w:rsidR="000A056B" w:rsidRPr="00856906" w:rsidRDefault="6C7F690C" w:rsidP="655A2699">
      <w:pPr>
        <w:contextualSpacing/>
        <w:rPr>
          <w:rFonts w:ascii="Century Gothic" w:eastAsia="Calibri" w:hAnsi="Century Gothic"/>
        </w:rPr>
      </w:pPr>
      <w:r w:rsidRPr="00856906">
        <w:rPr>
          <w:rFonts w:ascii="Century Gothic" w:eastAsia="Calibri" w:hAnsi="Century Gothic"/>
        </w:rPr>
        <w:t xml:space="preserve">It is important to note that ECC/HANH has seen a significant increase in RAD voucher utilization since FY2019 and these vouchers are not subject to the alternate year inspections.  As </w:t>
      </w:r>
      <w:proofErr w:type="gramStart"/>
      <w:r w:rsidRPr="00856906">
        <w:rPr>
          <w:rFonts w:ascii="Century Gothic" w:eastAsia="Calibri" w:hAnsi="Century Gothic"/>
        </w:rPr>
        <w:t>more and more</w:t>
      </w:r>
      <w:proofErr w:type="gramEnd"/>
      <w:r w:rsidRPr="00856906">
        <w:rPr>
          <w:rFonts w:ascii="Century Gothic" w:eastAsia="Calibri" w:hAnsi="Century Gothic"/>
        </w:rPr>
        <w:t xml:space="preserve"> of ECC/HANH’s portfolio becomes RAD (non-MTW) </w:t>
      </w:r>
      <w:r w:rsidR="62B2810E" w:rsidRPr="00856906">
        <w:rPr>
          <w:rFonts w:ascii="Century Gothic" w:eastAsia="Calibri" w:hAnsi="Century Gothic"/>
        </w:rPr>
        <w:t xml:space="preserve">vouchers, the impact of this initiative </w:t>
      </w:r>
      <w:r w:rsidR="07D4DE08" w:rsidRPr="00856906">
        <w:rPr>
          <w:rFonts w:ascii="Century Gothic" w:eastAsia="Calibri" w:hAnsi="Century Gothic"/>
        </w:rPr>
        <w:t>will</w:t>
      </w:r>
      <w:r w:rsidR="62B2810E" w:rsidRPr="00856906">
        <w:rPr>
          <w:rFonts w:ascii="Century Gothic" w:eastAsia="Calibri" w:hAnsi="Century Gothic"/>
        </w:rPr>
        <w:t xml:space="preserve"> lessen. </w:t>
      </w:r>
      <w:r w:rsidR="56F2ECF0" w:rsidRPr="00856906">
        <w:rPr>
          <w:rFonts w:ascii="Century Gothic" w:eastAsia="Calibri" w:hAnsi="Century Gothic"/>
        </w:rPr>
        <w:t xml:space="preserve"> </w:t>
      </w:r>
    </w:p>
    <w:p w14:paraId="6B4F6E0C" w14:textId="77777777" w:rsidR="00E17B73" w:rsidRPr="00E17B73" w:rsidRDefault="00E17B73" w:rsidP="0034617F">
      <w:pPr>
        <w:jc w:val="center"/>
        <w:rPr>
          <w:rFonts w:ascii="Times New Roman" w:eastAsia="Times New Roman" w:hAnsi="Times New Roman"/>
          <w:sz w:val="24"/>
          <w:lang w:eastAsia="en-US"/>
        </w:rPr>
      </w:pPr>
      <w:r w:rsidRPr="00E17B73">
        <w:rPr>
          <w:rFonts w:ascii="Times New Roman" w:eastAsia="Times New Roman" w:hAnsi="Times New Roman"/>
          <w:noProof/>
          <w:sz w:val="24"/>
          <w:lang w:eastAsia="en-US"/>
        </w:rPr>
        <w:lastRenderedPageBreak/>
        <w:drawing>
          <wp:inline distT="0" distB="0" distL="0" distR="0" wp14:anchorId="613D9FF1" wp14:editId="07D048B3">
            <wp:extent cx="4819650" cy="3143250"/>
            <wp:effectExtent l="0" t="0" r="0" b="0"/>
            <wp:docPr id="2" name="Picture 1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bar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9650" cy="3143250"/>
                    </a:xfrm>
                    <a:prstGeom prst="rect">
                      <a:avLst/>
                    </a:prstGeom>
                    <a:noFill/>
                    <a:ln>
                      <a:noFill/>
                    </a:ln>
                  </pic:spPr>
                </pic:pic>
              </a:graphicData>
            </a:graphic>
          </wp:inline>
        </w:drawing>
      </w:r>
    </w:p>
    <w:p w14:paraId="4D9F8F61" w14:textId="77777777" w:rsidR="00E733C3" w:rsidRPr="00856906" w:rsidRDefault="00E733C3" w:rsidP="7AF60685">
      <w:pPr>
        <w:ind w:left="1440" w:firstLine="720"/>
        <w:rPr>
          <w:rFonts w:ascii="Century Gothic" w:eastAsia="MS PGothic" w:hAnsi="Century Gothic"/>
        </w:rPr>
      </w:pPr>
    </w:p>
    <w:p w14:paraId="3FA32069" w14:textId="417EB48B" w:rsidR="655A2699" w:rsidRPr="007F2E16" w:rsidRDefault="655A2699" w:rsidP="7AF60685">
      <w:pPr>
        <w:ind w:left="1440" w:firstLine="720"/>
        <w:rPr>
          <w:rFonts w:ascii="Century Gothic" w:eastAsia="MS PGothic" w:hAnsi="Century Gothic"/>
        </w:rPr>
      </w:pPr>
    </w:p>
    <w:p w14:paraId="2F8DE982" w14:textId="0F203085" w:rsidR="655A2699" w:rsidRPr="007F2E16" w:rsidRDefault="655A2699" w:rsidP="655A2699">
      <w:pPr>
        <w:rPr>
          <w:rFonts w:ascii="Century Gothic" w:eastAsia="MS PGothic" w:hAnsi="Century Gothic"/>
          <w:szCs w:val="22"/>
        </w:rPr>
      </w:pPr>
    </w:p>
    <w:p w14:paraId="17626DC7" w14:textId="77777777" w:rsidR="0057014D" w:rsidRDefault="0057014D" w:rsidP="0D8BAA9B">
      <w:pPr>
        <w:rPr>
          <w:rFonts w:ascii="Century Gothic" w:eastAsia="Times New Roman" w:hAnsi="Century Gothic"/>
        </w:rPr>
      </w:pPr>
    </w:p>
    <w:p w14:paraId="2F4765E9" w14:textId="3464FD60" w:rsidR="0057014D" w:rsidRPr="0057014D" w:rsidRDefault="0057014D" w:rsidP="0D8BAA9B">
      <w:pPr>
        <w:rPr>
          <w:rFonts w:ascii="Century Gothic" w:eastAsia="Times New Roman" w:hAnsi="Century Gothic"/>
          <w:b/>
          <w:bCs/>
        </w:rPr>
      </w:pPr>
      <w:r w:rsidRPr="0057014D">
        <w:rPr>
          <w:rFonts w:ascii="Century Gothic" w:eastAsia="Times New Roman" w:hAnsi="Century Gothic"/>
          <w:b/>
          <w:bCs/>
        </w:rPr>
        <w:t>Special Inspections</w:t>
      </w:r>
    </w:p>
    <w:p w14:paraId="0076F525" w14:textId="77777777" w:rsidR="0057014D" w:rsidRDefault="0057014D" w:rsidP="0D8BAA9B">
      <w:pPr>
        <w:rPr>
          <w:rFonts w:ascii="Century Gothic" w:eastAsia="Times New Roman" w:hAnsi="Century Gothic"/>
        </w:rPr>
      </w:pPr>
    </w:p>
    <w:p w14:paraId="670E32CA" w14:textId="6BBD27F6" w:rsidR="37BEC547" w:rsidRPr="007F2E16" w:rsidRDefault="7AC8287B" w:rsidP="0D8BAA9B">
      <w:pPr>
        <w:rPr>
          <w:rFonts w:ascii="Century Gothic" w:eastAsia="Times New Roman" w:hAnsi="Century Gothic"/>
        </w:rPr>
      </w:pPr>
      <w:r w:rsidRPr="007F2E16">
        <w:rPr>
          <w:rFonts w:ascii="Century Gothic" w:eastAsia="Times New Roman" w:hAnsi="Century Gothic"/>
        </w:rPr>
        <w:t xml:space="preserve">ECC/HANH wanted to ensure that the quality of housing did not diminish as we </w:t>
      </w:r>
      <w:r w:rsidR="001669CB">
        <w:rPr>
          <w:rFonts w:ascii="Century Gothic" w:eastAsia="Times New Roman" w:hAnsi="Century Gothic"/>
        </w:rPr>
        <w:t>decreased</w:t>
      </w:r>
      <w:r w:rsidRPr="007F2E16">
        <w:rPr>
          <w:rFonts w:ascii="Century Gothic" w:eastAsia="Times New Roman" w:hAnsi="Century Gothic"/>
        </w:rPr>
        <w:t xml:space="preserve"> our inspections.  As such, we have tracked participant need for special inspections.  At baseline, approximately 5% of units required a special inspection.  </w:t>
      </w:r>
    </w:p>
    <w:p w14:paraId="22465B96" w14:textId="77777777" w:rsidR="00AC55BB" w:rsidRPr="007F2E16" w:rsidRDefault="00AC55BB" w:rsidP="0D8BAA9B">
      <w:pPr>
        <w:rPr>
          <w:rFonts w:ascii="Century Gothic" w:eastAsia="Times New Roman" w:hAnsi="Century Gothic"/>
        </w:rPr>
      </w:pPr>
    </w:p>
    <w:p w14:paraId="0CCA8ABB" w14:textId="64F8DDB9" w:rsidR="655A2699" w:rsidRDefault="06315A6B" w:rsidP="56558BA2">
      <w:pPr>
        <w:rPr>
          <w:rFonts w:ascii="Century Gothic" w:eastAsia="Times New Roman" w:hAnsi="Century Gothic"/>
        </w:rPr>
      </w:pPr>
      <w:r w:rsidRPr="007F2E16">
        <w:rPr>
          <w:rFonts w:ascii="Century Gothic" w:eastAsia="Times New Roman" w:hAnsi="Century Gothic"/>
        </w:rPr>
        <w:t xml:space="preserve">At the close of </w:t>
      </w:r>
      <w:r w:rsidR="4D8E4640" w:rsidRPr="007F2E16">
        <w:rPr>
          <w:rFonts w:ascii="Century Gothic" w:eastAsia="Times New Roman" w:hAnsi="Century Gothic"/>
        </w:rPr>
        <w:t>FY2</w:t>
      </w:r>
      <w:r w:rsidR="0B924A5F" w:rsidRPr="007F2E16">
        <w:rPr>
          <w:rFonts w:ascii="Century Gothic" w:eastAsia="Times New Roman" w:hAnsi="Century Gothic"/>
        </w:rPr>
        <w:t>4</w:t>
      </w:r>
      <w:r w:rsidRPr="007F2E16">
        <w:rPr>
          <w:rFonts w:ascii="Century Gothic" w:eastAsia="Times New Roman" w:hAnsi="Century Gothic"/>
        </w:rPr>
        <w:t xml:space="preserve">, </w:t>
      </w:r>
      <w:r w:rsidR="00FE1AD7">
        <w:rPr>
          <w:rFonts w:ascii="Century Gothic" w:eastAsia="Times New Roman" w:hAnsi="Century Gothic"/>
        </w:rPr>
        <w:t>9</w:t>
      </w:r>
      <w:r w:rsidRPr="007F2E16">
        <w:rPr>
          <w:rFonts w:ascii="Century Gothic" w:eastAsia="Times New Roman" w:hAnsi="Century Gothic"/>
        </w:rPr>
        <w:t xml:space="preserve">% </w:t>
      </w:r>
      <w:r w:rsidR="00FE1AD7">
        <w:rPr>
          <w:rFonts w:ascii="Century Gothic" w:eastAsia="Times New Roman" w:hAnsi="Century Gothic"/>
        </w:rPr>
        <w:t>(467</w:t>
      </w:r>
      <w:r w:rsidR="003C5CFF">
        <w:rPr>
          <w:rFonts w:ascii="Century Gothic" w:eastAsia="Times New Roman" w:hAnsi="Century Gothic"/>
        </w:rPr>
        <w:t>)</w:t>
      </w:r>
      <w:r w:rsidR="00FC7467">
        <w:rPr>
          <w:rFonts w:ascii="Century Gothic" w:eastAsia="Times New Roman" w:hAnsi="Century Gothic"/>
        </w:rPr>
        <w:t xml:space="preserve"> </w:t>
      </w:r>
      <w:r w:rsidRPr="007F2E16">
        <w:rPr>
          <w:rFonts w:ascii="Century Gothic" w:eastAsia="Times New Roman" w:hAnsi="Century Gothic"/>
        </w:rPr>
        <w:t xml:space="preserve">of units required a special </w:t>
      </w:r>
      <w:r w:rsidR="73A613C4" w:rsidRPr="007F2E16">
        <w:rPr>
          <w:rFonts w:ascii="Century Gothic" w:eastAsia="Times New Roman" w:hAnsi="Century Gothic"/>
        </w:rPr>
        <w:t xml:space="preserve">inspection, which is a </w:t>
      </w:r>
      <w:r w:rsidR="00FC7467">
        <w:rPr>
          <w:rFonts w:ascii="Century Gothic" w:eastAsia="Times New Roman" w:hAnsi="Century Gothic"/>
        </w:rPr>
        <w:t>4</w:t>
      </w:r>
      <w:r w:rsidR="7E97EC8C" w:rsidRPr="007F2E16">
        <w:rPr>
          <w:rFonts w:ascii="Century Gothic" w:eastAsia="Times New Roman" w:hAnsi="Century Gothic"/>
        </w:rPr>
        <w:t>% increase</w:t>
      </w:r>
      <w:r w:rsidR="73A613C4" w:rsidRPr="007F2E16">
        <w:rPr>
          <w:rFonts w:ascii="Century Gothic" w:eastAsia="Times New Roman" w:hAnsi="Century Gothic"/>
        </w:rPr>
        <w:t xml:space="preserve"> since </w:t>
      </w:r>
      <w:r w:rsidR="5C0B9862" w:rsidRPr="007F2E16">
        <w:rPr>
          <w:rFonts w:ascii="Century Gothic" w:eastAsia="Times New Roman" w:hAnsi="Century Gothic"/>
        </w:rPr>
        <w:t>baseline.</w:t>
      </w:r>
      <w:r w:rsidRPr="007F2E16">
        <w:rPr>
          <w:rFonts w:ascii="Century Gothic" w:eastAsia="Times New Roman" w:hAnsi="Century Gothic"/>
        </w:rPr>
        <w:t xml:space="preserve">  </w:t>
      </w:r>
    </w:p>
    <w:p w14:paraId="01F276A8" w14:textId="77777777" w:rsidR="00514512" w:rsidRDefault="00514512" w:rsidP="56558BA2">
      <w:pPr>
        <w:rPr>
          <w:rFonts w:ascii="Century Gothic" w:eastAsia="Times New Roman" w:hAnsi="Century Gothic"/>
        </w:rPr>
      </w:pPr>
    </w:p>
    <w:p w14:paraId="12C9DCDB" w14:textId="77777777" w:rsidR="00514512" w:rsidRDefault="00514512" w:rsidP="56558BA2">
      <w:pPr>
        <w:rPr>
          <w:rFonts w:ascii="Century Gothic" w:eastAsia="Times New Roman" w:hAnsi="Century Gothic"/>
        </w:rPr>
      </w:pPr>
    </w:p>
    <w:p w14:paraId="79DABAB0" w14:textId="25082A2F" w:rsidR="0034617F" w:rsidRPr="0034617F" w:rsidRDefault="001A47F3" w:rsidP="0034617F">
      <w:pPr>
        <w:jc w:val="center"/>
        <w:rPr>
          <w:rFonts w:ascii="Century Gothic" w:eastAsia="Times New Roman" w:hAnsi="Century Gothic"/>
        </w:rPr>
      </w:pPr>
      <w:r w:rsidRPr="0034617F">
        <w:rPr>
          <w:rFonts w:ascii="Century Gothic" w:eastAsia="Times New Roman" w:hAnsi="Century Gothic"/>
          <w:noProof/>
        </w:rPr>
        <w:lastRenderedPageBreak/>
        <w:drawing>
          <wp:inline distT="0" distB="0" distL="0" distR="0" wp14:anchorId="45470738" wp14:editId="50ECC762">
            <wp:extent cx="4591050" cy="3143250"/>
            <wp:effectExtent l="0" t="0" r="0" b="0"/>
            <wp:docPr id="89821709" name="Picture 1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1709" name="Picture 2" descr="Chart, line 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1050" cy="3143250"/>
                    </a:xfrm>
                    <a:prstGeom prst="rect">
                      <a:avLst/>
                    </a:prstGeom>
                    <a:noFill/>
                    <a:ln>
                      <a:noFill/>
                    </a:ln>
                  </pic:spPr>
                </pic:pic>
              </a:graphicData>
            </a:graphic>
          </wp:inline>
        </w:drawing>
      </w:r>
    </w:p>
    <w:p w14:paraId="246F6EDE" w14:textId="77777777" w:rsidR="00514512" w:rsidRDefault="00514512" w:rsidP="56558BA2">
      <w:pPr>
        <w:rPr>
          <w:rFonts w:ascii="Century Gothic" w:eastAsia="Times New Roman" w:hAnsi="Century Gothic"/>
        </w:rPr>
      </w:pPr>
    </w:p>
    <w:p w14:paraId="7ACCFD3F" w14:textId="77777777" w:rsidR="00514512" w:rsidRDefault="00514512" w:rsidP="56558BA2">
      <w:pPr>
        <w:rPr>
          <w:rFonts w:ascii="Century Gothic" w:eastAsia="Times New Roman" w:hAnsi="Century Gothic"/>
        </w:rPr>
      </w:pPr>
    </w:p>
    <w:p w14:paraId="2C58814D" w14:textId="77777777" w:rsidR="00514512" w:rsidRDefault="00514512" w:rsidP="56558BA2">
      <w:pPr>
        <w:rPr>
          <w:rFonts w:ascii="Century Gothic" w:eastAsia="Times New Roman" w:hAnsi="Century Gothic"/>
        </w:rPr>
      </w:pPr>
    </w:p>
    <w:p w14:paraId="2E7DE350" w14:textId="1E67E7AD" w:rsidR="0034617F" w:rsidRPr="0034617F" w:rsidRDefault="0034617F" w:rsidP="0034617F">
      <w:pPr>
        <w:rPr>
          <w:rFonts w:ascii="Century Gothic" w:eastAsia="MS PGothic" w:hAnsi="Century Gothic"/>
          <w:b/>
          <w:bCs/>
        </w:rPr>
      </w:pPr>
      <w:r w:rsidRPr="0034617F">
        <w:rPr>
          <w:rFonts w:ascii="Century Gothic" w:eastAsia="MS PGothic" w:hAnsi="Century Gothic"/>
          <w:b/>
          <w:bCs/>
        </w:rPr>
        <w:t>Rent Increases</w:t>
      </w:r>
    </w:p>
    <w:p w14:paraId="5040B46F" w14:textId="125AA4B5" w:rsidR="655A2699" w:rsidRPr="007F2E16" w:rsidRDefault="655A2699" w:rsidP="655A2699">
      <w:pPr>
        <w:rPr>
          <w:rFonts w:ascii="Century Gothic" w:eastAsia="MS PGothic" w:hAnsi="Century Gothic"/>
          <w:szCs w:val="22"/>
        </w:rPr>
      </w:pPr>
    </w:p>
    <w:p w14:paraId="7031A966" w14:textId="52B2F3E3" w:rsidR="00D63527" w:rsidRPr="007F2E16" w:rsidRDefault="104D7C3C" w:rsidP="1B3F2E6D">
      <w:pPr>
        <w:rPr>
          <w:rFonts w:ascii="Century Gothic" w:eastAsia="Times New Roman" w:hAnsi="Century Gothic"/>
        </w:rPr>
      </w:pPr>
      <w:r w:rsidRPr="007F2E16">
        <w:rPr>
          <w:rFonts w:ascii="Century Gothic" w:eastAsia="Times New Roman" w:hAnsi="Century Gothic"/>
        </w:rPr>
        <w:t>ECC/HANH has tracked savings related to bi- and tri-</w:t>
      </w:r>
      <w:proofErr w:type="spellStart"/>
      <w:r w:rsidRPr="007F2E16">
        <w:rPr>
          <w:rFonts w:ascii="Century Gothic" w:eastAsia="Times New Roman" w:hAnsi="Century Gothic"/>
        </w:rPr>
        <w:t>ennial</w:t>
      </w:r>
      <w:proofErr w:type="spellEnd"/>
      <w:r w:rsidRPr="007F2E16">
        <w:rPr>
          <w:rFonts w:ascii="Century Gothic" w:eastAsia="Times New Roman" w:hAnsi="Century Gothic"/>
        </w:rPr>
        <w:t xml:space="preserve"> rent increases.  Expense stabilization has been noted here as well.  </w:t>
      </w:r>
      <w:r w:rsidR="7D727535" w:rsidRPr="007F2E16">
        <w:rPr>
          <w:rFonts w:ascii="Century Gothic" w:eastAsia="Times New Roman" w:hAnsi="Century Gothic"/>
        </w:rPr>
        <w:t>The amount of rent increase</w:t>
      </w:r>
      <w:r w:rsidR="001669CB">
        <w:rPr>
          <w:rFonts w:ascii="Century Gothic" w:eastAsia="Times New Roman" w:hAnsi="Century Gothic"/>
        </w:rPr>
        <w:t>s</w:t>
      </w:r>
      <w:r w:rsidR="7D727535" w:rsidRPr="007F2E16">
        <w:rPr>
          <w:rFonts w:ascii="Century Gothic" w:eastAsia="Times New Roman" w:hAnsi="Century Gothic"/>
        </w:rPr>
        <w:t xml:space="preserve"> per voucher averaged $171 at baseline in 2014.  Spreading rent increases over a </w:t>
      </w:r>
      <w:r w:rsidR="003D7596" w:rsidRPr="007F2E16">
        <w:rPr>
          <w:rFonts w:ascii="Century Gothic" w:eastAsia="Times New Roman" w:hAnsi="Century Gothic"/>
        </w:rPr>
        <w:t>two- or three-year</w:t>
      </w:r>
      <w:r w:rsidR="7D727535" w:rsidRPr="007F2E16">
        <w:rPr>
          <w:rFonts w:ascii="Century Gothic" w:eastAsia="Times New Roman" w:hAnsi="Century Gothic"/>
        </w:rPr>
        <w:t xml:space="preserve"> period has resulted in </w:t>
      </w:r>
      <w:r w:rsidR="2C65BB28" w:rsidRPr="007F2E16">
        <w:rPr>
          <w:rFonts w:ascii="Century Gothic" w:eastAsia="Times New Roman" w:hAnsi="Century Gothic"/>
        </w:rPr>
        <w:t xml:space="preserve">reductions in the impact </w:t>
      </w:r>
      <w:proofErr w:type="gramStart"/>
      <w:r w:rsidR="2C65BB28" w:rsidRPr="007F2E16">
        <w:rPr>
          <w:rFonts w:ascii="Century Gothic" w:eastAsia="Times New Roman" w:hAnsi="Century Gothic"/>
        </w:rPr>
        <w:t>over time</w:t>
      </w:r>
      <w:proofErr w:type="gramEnd"/>
      <w:r w:rsidR="2C65BB28" w:rsidRPr="007F2E16">
        <w:rPr>
          <w:rFonts w:ascii="Century Gothic" w:eastAsia="Times New Roman" w:hAnsi="Century Gothic"/>
        </w:rPr>
        <w:t>.  In 202</w:t>
      </w:r>
      <w:r w:rsidR="6DDCC44C" w:rsidRPr="007F2E16">
        <w:rPr>
          <w:rFonts w:ascii="Century Gothic" w:eastAsia="Times New Roman" w:hAnsi="Century Gothic"/>
        </w:rPr>
        <w:t>4</w:t>
      </w:r>
      <w:r w:rsidR="2C65BB28" w:rsidRPr="007F2E16">
        <w:rPr>
          <w:rFonts w:ascii="Century Gothic" w:eastAsia="Times New Roman" w:hAnsi="Century Gothic"/>
        </w:rPr>
        <w:t xml:space="preserve">, the </w:t>
      </w:r>
      <w:proofErr w:type="gramStart"/>
      <w:r w:rsidR="2C65BB28" w:rsidRPr="007F2E16">
        <w:rPr>
          <w:rFonts w:ascii="Century Gothic" w:eastAsia="Times New Roman" w:hAnsi="Century Gothic"/>
        </w:rPr>
        <w:t>per voucher average</w:t>
      </w:r>
      <w:proofErr w:type="gramEnd"/>
      <w:r w:rsidR="2C65BB28" w:rsidRPr="007F2E16">
        <w:rPr>
          <w:rFonts w:ascii="Century Gothic" w:eastAsia="Times New Roman" w:hAnsi="Century Gothic"/>
        </w:rPr>
        <w:t xml:space="preserve"> was approximately $</w:t>
      </w:r>
      <w:r w:rsidR="09915579" w:rsidRPr="007F2E16">
        <w:rPr>
          <w:rFonts w:ascii="Century Gothic" w:eastAsia="Times New Roman" w:hAnsi="Century Gothic"/>
        </w:rPr>
        <w:t>112</w:t>
      </w:r>
      <w:r w:rsidR="2C65BB28" w:rsidRPr="007F2E16">
        <w:rPr>
          <w:rFonts w:ascii="Century Gothic" w:eastAsia="Times New Roman" w:hAnsi="Century Gothic"/>
        </w:rPr>
        <w:t xml:space="preserve">.  </w:t>
      </w:r>
      <w:r w:rsidR="48052657" w:rsidRPr="007F2E16">
        <w:rPr>
          <w:rFonts w:ascii="Century Gothic" w:eastAsia="Times New Roman" w:hAnsi="Century Gothic"/>
        </w:rPr>
        <w:t>(number served/rent increase amount)</w:t>
      </w:r>
    </w:p>
    <w:p w14:paraId="1212E4A0" w14:textId="77777777" w:rsidR="008105DE" w:rsidRPr="007F2E16" w:rsidRDefault="008105DE" w:rsidP="1B3F2E6D">
      <w:pPr>
        <w:rPr>
          <w:rFonts w:ascii="Century Gothic" w:eastAsia="Times New Roman" w:hAnsi="Century Gothic"/>
        </w:rPr>
      </w:pPr>
    </w:p>
    <w:p w14:paraId="76620B03" w14:textId="77777777" w:rsidR="008105DE" w:rsidRPr="007F2E16" w:rsidRDefault="008105DE" w:rsidP="1B3F2E6D">
      <w:pPr>
        <w:rPr>
          <w:rFonts w:ascii="Century Gothic" w:eastAsia="Times New Roman" w:hAnsi="Century Gothic"/>
        </w:rPr>
      </w:pPr>
    </w:p>
    <w:p w14:paraId="1BBBCC8A" w14:textId="442A3310" w:rsidR="008105DE" w:rsidRPr="007F2E16" w:rsidRDefault="008105DE" w:rsidP="00F463C5">
      <w:pPr>
        <w:jc w:val="center"/>
        <w:rPr>
          <w:rFonts w:ascii="Century Gothic" w:eastAsia="Times New Roman" w:hAnsi="Century Gothic"/>
        </w:rPr>
      </w:pPr>
      <w:r w:rsidRPr="007F2E16">
        <w:rPr>
          <w:rFonts w:ascii="Century Gothic" w:hAnsi="Century Gothic"/>
          <w:noProof/>
        </w:rPr>
        <w:drawing>
          <wp:inline distT="0" distB="0" distL="0" distR="0" wp14:anchorId="21F5BF50" wp14:editId="2F717C84">
            <wp:extent cx="4057116" cy="2640330"/>
            <wp:effectExtent l="0" t="0" r="635" b="7620"/>
            <wp:docPr id="1415575364" name="Chart 112">
              <a:extLst xmlns:a="http://schemas.openxmlformats.org/drawingml/2006/main">
                <a:ext uri="{FF2B5EF4-FFF2-40B4-BE49-F238E27FC236}">
                  <a16:creationId xmlns:a16="http://schemas.microsoft.com/office/drawing/2014/main" id="{0A84FE35-47D6-426A-883B-2579B3508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A51E88C" w14:textId="77777777" w:rsidR="008105DE" w:rsidRPr="007F2E16" w:rsidRDefault="008105DE" w:rsidP="1B3F2E6D">
      <w:pPr>
        <w:rPr>
          <w:rFonts w:ascii="Century Gothic" w:eastAsia="Times New Roman" w:hAnsi="Century Gothic"/>
        </w:rPr>
      </w:pPr>
    </w:p>
    <w:p w14:paraId="6C5D2B56" w14:textId="77777777" w:rsidR="008105DE" w:rsidRPr="007F2E16" w:rsidRDefault="008105DE" w:rsidP="1B3F2E6D">
      <w:pPr>
        <w:rPr>
          <w:rFonts w:ascii="Century Gothic" w:eastAsia="Times New Roman" w:hAnsi="Century Gothic"/>
        </w:rPr>
      </w:pPr>
    </w:p>
    <w:p w14:paraId="66BBAF46" w14:textId="38C9F848" w:rsidR="655A2699" w:rsidRPr="007F2E16" w:rsidRDefault="655A2699" w:rsidP="001A47F3">
      <w:pPr>
        <w:rPr>
          <w:rFonts w:ascii="Century Gothic" w:eastAsia="MS PGothic" w:hAnsi="Century Gothic"/>
        </w:rPr>
      </w:pPr>
    </w:p>
    <w:p w14:paraId="1437B6AB" w14:textId="77777777" w:rsidR="00574C36" w:rsidRPr="007F2E16" w:rsidRDefault="3E2EAB67" w:rsidP="23572633">
      <w:pPr>
        <w:spacing w:after="160" w:line="276" w:lineRule="auto"/>
        <w:rPr>
          <w:rFonts w:ascii="Century Gothic" w:eastAsia="Times New Roman" w:hAnsi="Century Gothic"/>
          <w:b/>
          <w:bCs/>
        </w:rPr>
      </w:pPr>
      <w:r w:rsidRPr="007F2E16">
        <w:rPr>
          <w:rFonts w:ascii="Century Gothic" w:eastAsia="Times New Roman" w:hAnsi="Century Gothic"/>
          <w:b/>
          <w:bCs/>
        </w:rPr>
        <w:lastRenderedPageBreak/>
        <w:t>Outcomes</w:t>
      </w:r>
    </w:p>
    <w:p w14:paraId="386783CE" w14:textId="618CDDA1" w:rsidR="00574C36" w:rsidRPr="007F2E16" w:rsidRDefault="00046DF3" w:rsidP="00574C36">
      <w:pPr>
        <w:rPr>
          <w:rFonts w:ascii="Century Gothic" w:eastAsia="Times New Roman" w:hAnsi="Century Gothic"/>
          <w:b/>
          <w:bCs/>
          <w:iCs/>
          <w:szCs w:val="22"/>
        </w:rPr>
      </w:pPr>
      <w:r>
        <w:rPr>
          <w:rFonts w:ascii="Century Gothic" w:eastAsia="Times New Roman" w:hAnsi="Century Gothic"/>
          <w:b/>
          <w:bCs/>
          <w:iCs/>
          <w:szCs w:val="22"/>
        </w:rPr>
        <w:t>Internal</w:t>
      </w:r>
      <w:r w:rsidR="00574C36" w:rsidRPr="007F2E16">
        <w:rPr>
          <w:rFonts w:ascii="Century Gothic" w:eastAsia="Times New Roman" w:hAnsi="Century Gothic"/>
          <w:b/>
          <w:bCs/>
          <w:iCs/>
          <w:szCs w:val="22"/>
        </w:rPr>
        <w:t xml:space="preserve"> Metrics</w:t>
      </w:r>
    </w:p>
    <w:p w14:paraId="76384CD3" w14:textId="77777777" w:rsidR="00574C36" w:rsidRPr="007F2E16" w:rsidRDefault="00574C36" w:rsidP="00574C36">
      <w:pPr>
        <w:rPr>
          <w:rFonts w:ascii="Century Gothic" w:eastAsia="Times New Roman" w:hAnsi="Century Gothic"/>
          <w:b/>
          <w:szCs w:val="22"/>
        </w:rPr>
      </w:pPr>
    </w:p>
    <w:tbl>
      <w:tblPr>
        <w:tblStyle w:val="TableGrid73"/>
        <w:tblW w:w="0" w:type="auto"/>
        <w:tblLook w:val="04A0" w:firstRow="1" w:lastRow="0" w:firstColumn="1" w:lastColumn="0" w:noHBand="0" w:noVBand="1"/>
      </w:tblPr>
      <w:tblGrid>
        <w:gridCol w:w="2535"/>
        <w:gridCol w:w="1671"/>
        <w:gridCol w:w="1800"/>
        <w:gridCol w:w="2454"/>
        <w:gridCol w:w="1476"/>
      </w:tblGrid>
      <w:tr w:rsidR="00574C36" w:rsidRPr="007F2E16" w14:paraId="2F7D1CDD" w14:textId="77777777" w:rsidTr="00141787">
        <w:trPr>
          <w:trHeight w:val="400"/>
        </w:trPr>
        <w:tc>
          <w:tcPr>
            <w:tcW w:w="9936" w:type="dxa"/>
            <w:gridSpan w:val="5"/>
            <w:tcBorders>
              <w:top w:val="nil"/>
              <w:left w:val="nil"/>
              <w:bottom w:val="single" w:sz="24" w:space="0" w:color="ED7D31"/>
              <w:right w:val="nil"/>
            </w:tcBorders>
            <w:shd w:val="clear" w:color="auto" w:fill="808080" w:themeFill="background1" w:themeFillShade="80"/>
          </w:tcPr>
          <w:p w14:paraId="68E8366F" w14:textId="77777777" w:rsidR="00574C36" w:rsidRPr="007F2E16" w:rsidRDefault="00574C36" w:rsidP="00574C36">
            <w:pPr>
              <w:jc w:val="center"/>
              <w:rPr>
                <w:rFonts w:ascii="Century Gothic" w:eastAsia="Times New Roman" w:hAnsi="Century Gothic"/>
                <w:b/>
                <w:szCs w:val="22"/>
              </w:rPr>
            </w:pPr>
            <w:r w:rsidRPr="007F2E16">
              <w:rPr>
                <w:rFonts w:ascii="Century Gothic" w:eastAsia="Times New Roman" w:hAnsi="Century Gothic"/>
                <w:b/>
                <w:szCs w:val="22"/>
              </w:rPr>
              <w:t>Metrics Related to Inspections Components (1,2) of Activity</w:t>
            </w:r>
          </w:p>
        </w:tc>
      </w:tr>
      <w:tr w:rsidR="00574C36" w:rsidRPr="007F2E16" w14:paraId="549BFDEA" w14:textId="77777777" w:rsidTr="00141787">
        <w:trPr>
          <w:trHeight w:val="400"/>
        </w:trPr>
        <w:tc>
          <w:tcPr>
            <w:tcW w:w="9936" w:type="dxa"/>
            <w:gridSpan w:val="5"/>
            <w:tcBorders>
              <w:top w:val="single" w:sz="24" w:space="0" w:color="ED7D31"/>
              <w:left w:val="nil"/>
              <w:bottom w:val="single" w:sz="4" w:space="0" w:color="D9D9D9" w:themeColor="background1" w:themeShade="D9"/>
              <w:right w:val="nil"/>
            </w:tcBorders>
            <w:shd w:val="clear" w:color="auto" w:fill="808080" w:themeFill="background1" w:themeFillShade="80"/>
            <w:hideMark/>
          </w:tcPr>
          <w:p w14:paraId="6DC90A45" w14:textId="77777777" w:rsidR="00574C36" w:rsidRPr="007F2E16" w:rsidRDefault="00574C36" w:rsidP="00574C36">
            <w:pPr>
              <w:jc w:val="center"/>
              <w:rPr>
                <w:rFonts w:ascii="Century Gothic" w:eastAsia="Times New Roman" w:hAnsi="Century Gothic"/>
                <w:b/>
                <w:szCs w:val="22"/>
              </w:rPr>
            </w:pPr>
            <w:r w:rsidRPr="007F2E16">
              <w:rPr>
                <w:rFonts w:ascii="Century Gothic" w:eastAsia="Times New Roman" w:hAnsi="Century Gothic"/>
                <w:b/>
                <w:szCs w:val="22"/>
              </w:rPr>
              <w:t>CE #1: Agency Cost Savings</w:t>
            </w:r>
          </w:p>
        </w:tc>
      </w:tr>
      <w:tr w:rsidR="00574C36" w:rsidRPr="007F2E16" w14:paraId="2C22A65C" w14:textId="77777777" w:rsidTr="00141787">
        <w:trPr>
          <w:trHeight w:val="340"/>
        </w:trPr>
        <w:tc>
          <w:tcPr>
            <w:tcW w:w="253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7F68D5CB" w14:textId="77777777" w:rsidR="00574C36" w:rsidRPr="007F2E16" w:rsidRDefault="00574C36" w:rsidP="00574C36">
            <w:pPr>
              <w:jc w:val="center"/>
              <w:rPr>
                <w:rFonts w:ascii="Century Gothic" w:eastAsia="Times New Roman" w:hAnsi="Century Gothic"/>
                <w:b/>
                <w:szCs w:val="22"/>
              </w:rPr>
            </w:pPr>
            <w:r w:rsidRPr="007F2E16">
              <w:rPr>
                <w:rFonts w:ascii="Century Gothic" w:eastAsia="Times New Roman" w:hAnsi="Century Gothic"/>
                <w:b/>
                <w:szCs w:val="22"/>
              </w:rPr>
              <w:t>Unit of Measurement</w:t>
            </w:r>
          </w:p>
        </w:tc>
        <w:tc>
          <w:tcPr>
            <w:tcW w:w="16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73DEBA23" w14:textId="77777777" w:rsidR="00574C36" w:rsidRPr="007F2E16" w:rsidRDefault="00574C36" w:rsidP="00574C36">
            <w:pPr>
              <w:jc w:val="center"/>
              <w:rPr>
                <w:rFonts w:ascii="Century Gothic" w:eastAsia="Times New Roman" w:hAnsi="Century Gothic"/>
                <w:b/>
                <w:szCs w:val="22"/>
              </w:rPr>
            </w:pPr>
            <w:r w:rsidRPr="007F2E16">
              <w:rPr>
                <w:rFonts w:ascii="Century Gothic" w:eastAsia="Times New Roman" w:hAnsi="Century Gothic"/>
                <w:b/>
                <w:szCs w:val="22"/>
              </w:rPr>
              <w:t>Baseline</w:t>
            </w:r>
          </w:p>
        </w:tc>
        <w:tc>
          <w:tcPr>
            <w:tcW w:w="18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297D869" w14:textId="77777777" w:rsidR="00574C36" w:rsidRPr="007F2E16" w:rsidRDefault="00574C36" w:rsidP="00574C36">
            <w:pPr>
              <w:jc w:val="center"/>
              <w:rPr>
                <w:rFonts w:ascii="Century Gothic" w:eastAsia="Times New Roman" w:hAnsi="Century Gothic"/>
                <w:b/>
                <w:szCs w:val="22"/>
              </w:rPr>
            </w:pPr>
            <w:r w:rsidRPr="007F2E16">
              <w:rPr>
                <w:rFonts w:ascii="Century Gothic" w:eastAsia="Times New Roman" w:hAnsi="Century Gothic"/>
                <w:b/>
                <w:szCs w:val="22"/>
              </w:rPr>
              <w:t>Benchmark</w:t>
            </w:r>
          </w:p>
        </w:tc>
        <w:tc>
          <w:tcPr>
            <w:tcW w:w="245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56560C2F" w14:textId="77777777" w:rsidR="00574C36" w:rsidRPr="007F2E16" w:rsidRDefault="00574C36" w:rsidP="00574C36">
            <w:pPr>
              <w:jc w:val="center"/>
              <w:rPr>
                <w:rFonts w:ascii="Century Gothic" w:eastAsia="Times New Roman" w:hAnsi="Century Gothic"/>
                <w:b/>
                <w:szCs w:val="22"/>
              </w:rPr>
            </w:pPr>
            <w:r w:rsidRPr="007F2E16">
              <w:rPr>
                <w:rFonts w:ascii="Century Gothic" w:eastAsia="Times New Roman" w:hAnsi="Century Gothic"/>
                <w:b/>
                <w:szCs w:val="22"/>
              </w:rPr>
              <w:t>Outcome</w:t>
            </w:r>
          </w:p>
        </w:tc>
        <w:tc>
          <w:tcPr>
            <w:tcW w:w="14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3E1E5153" w14:textId="77777777" w:rsidR="00574C36" w:rsidRPr="007F2E16" w:rsidRDefault="00574C36" w:rsidP="00574C36">
            <w:pPr>
              <w:jc w:val="center"/>
              <w:rPr>
                <w:rFonts w:ascii="Century Gothic" w:eastAsia="Times New Roman" w:hAnsi="Century Gothic"/>
                <w:b/>
                <w:szCs w:val="22"/>
              </w:rPr>
            </w:pPr>
            <w:r w:rsidRPr="007F2E16">
              <w:rPr>
                <w:rFonts w:ascii="Century Gothic" w:eastAsia="Times New Roman" w:hAnsi="Century Gothic"/>
                <w:b/>
                <w:szCs w:val="22"/>
              </w:rPr>
              <w:t>Benchmark Achieved?</w:t>
            </w:r>
          </w:p>
        </w:tc>
      </w:tr>
      <w:tr w:rsidR="00574C36" w:rsidRPr="007F2E16" w14:paraId="473B958D" w14:textId="77777777" w:rsidTr="00141787">
        <w:trPr>
          <w:trHeight w:val="1853"/>
        </w:trPr>
        <w:tc>
          <w:tcPr>
            <w:tcW w:w="253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4854DCA8" w14:textId="19B209C1" w:rsidR="00574C36" w:rsidRPr="007F2E16" w:rsidRDefault="00574C36" w:rsidP="00574C36">
            <w:pPr>
              <w:rPr>
                <w:rFonts w:ascii="Century Gothic" w:eastAsia="Times New Roman" w:hAnsi="Century Gothic"/>
                <w:szCs w:val="22"/>
              </w:rPr>
            </w:pPr>
            <w:r w:rsidRPr="007F2E16">
              <w:rPr>
                <w:rFonts w:ascii="Century Gothic" w:eastAsia="Times New Roman" w:hAnsi="Century Gothic"/>
                <w:szCs w:val="22"/>
              </w:rPr>
              <w:t>Cost of inspection contract with City of New Haven</w:t>
            </w:r>
            <w:r w:rsidR="00764E86" w:rsidRPr="007F2E16">
              <w:rPr>
                <w:rFonts w:ascii="Century Gothic" w:eastAsia="Times New Roman" w:hAnsi="Century Gothic"/>
                <w:szCs w:val="22"/>
              </w:rPr>
              <w:t xml:space="preserve"> (per voucher cost)</w:t>
            </w:r>
          </w:p>
        </w:tc>
        <w:tc>
          <w:tcPr>
            <w:tcW w:w="16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17489CD" w14:textId="77777777" w:rsidR="00574C36" w:rsidRDefault="00574C36" w:rsidP="00574C36">
            <w:pPr>
              <w:rPr>
                <w:rFonts w:ascii="Century Gothic" w:eastAsia="Times New Roman" w:hAnsi="Century Gothic"/>
                <w:szCs w:val="22"/>
              </w:rPr>
            </w:pPr>
            <w:r w:rsidRPr="007F2E16">
              <w:rPr>
                <w:rFonts w:ascii="Century Gothic" w:eastAsia="Times New Roman" w:hAnsi="Century Gothic"/>
                <w:szCs w:val="22"/>
              </w:rPr>
              <w:t>$259,000 (2014) *</w:t>
            </w:r>
            <w:r w:rsidR="00764E86" w:rsidRPr="007F2E16">
              <w:rPr>
                <w:rFonts w:ascii="Century Gothic" w:eastAsia="Times New Roman" w:hAnsi="Century Gothic"/>
                <w:szCs w:val="22"/>
              </w:rPr>
              <w:t xml:space="preserve"> ($77.59)</w:t>
            </w:r>
          </w:p>
          <w:p w14:paraId="2975E3C1" w14:textId="77777777" w:rsidR="0075012F" w:rsidRDefault="0075012F" w:rsidP="00574C36">
            <w:pPr>
              <w:rPr>
                <w:rFonts w:ascii="Century Gothic" w:eastAsia="Times New Roman" w:hAnsi="Century Gothic"/>
                <w:szCs w:val="22"/>
              </w:rPr>
            </w:pPr>
          </w:p>
          <w:p w14:paraId="7AA1EC93" w14:textId="1E784726" w:rsidR="0075012F" w:rsidRPr="007F2E16" w:rsidRDefault="0075012F" w:rsidP="00574C36">
            <w:pPr>
              <w:rPr>
                <w:rFonts w:ascii="Century Gothic" w:eastAsia="Times New Roman" w:hAnsi="Century Gothic"/>
                <w:szCs w:val="22"/>
              </w:rPr>
            </w:pPr>
            <w:r>
              <w:rPr>
                <w:rFonts w:ascii="Century Gothic" w:eastAsia="Times New Roman" w:hAnsi="Century Gothic"/>
                <w:szCs w:val="22"/>
              </w:rPr>
              <w:t>2</w:t>
            </w:r>
            <w:r w:rsidR="0097784E">
              <w:rPr>
                <w:rFonts w:ascii="Century Gothic" w:eastAsia="Times New Roman" w:hAnsi="Century Gothic"/>
                <w:szCs w:val="22"/>
              </w:rPr>
              <w:t>024 - $102.25 (inflation)</w:t>
            </w:r>
          </w:p>
        </w:tc>
        <w:tc>
          <w:tcPr>
            <w:tcW w:w="18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0FDB18C" w14:textId="77777777" w:rsidR="00574C36" w:rsidRPr="007F2E16" w:rsidRDefault="00574C36" w:rsidP="00574C36">
            <w:pPr>
              <w:rPr>
                <w:rFonts w:ascii="Century Gothic" w:eastAsia="Times New Roman" w:hAnsi="Century Gothic"/>
                <w:szCs w:val="22"/>
              </w:rPr>
            </w:pPr>
            <w:r w:rsidRPr="007F2E16">
              <w:rPr>
                <w:rFonts w:ascii="Century Gothic" w:eastAsia="Times New Roman" w:hAnsi="Century Gothic"/>
                <w:szCs w:val="22"/>
              </w:rPr>
              <w:t>25% reduction of inspection contract cost with City</w:t>
            </w:r>
          </w:p>
        </w:tc>
        <w:tc>
          <w:tcPr>
            <w:tcW w:w="245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7997644" w14:textId="164ADC98" w:rsidR="005B29D0" w:rsidRDefault="56F3C197" w:rsidP="662A423E">
            <w:pPr>
              <w:rPr>
                <w:rFonts w:ascii="Century Gothic" w:eastAsia="Times New Roman" w:hAnsi="Century Gothic"/>
              </w:rPr>
            </w:pPr>
            <w:r w:rsidRPr="007F2E16">
              <w:rPr>
                <w:rFonts w:ascii="Century Gothic" w:eastAsia="Times New Roman" w:hAnsi="Century Gothic"/>
              </w:rPr>
              <w:t>2024: $374,457</w:t>
            </w:r>
            <w:r w:rsidR="2181F08A" w:rsidRPr="007F2E16">
              <w:rPr>
                <w:rFonts w:ascii="Century Gothic" w:eastAsia="Times New Roman" w:hAnsi="Century Gothic"/>
              </w:rPr>
              <w:t xml:space="preserve"> </w:t>
            </w:r>
            <w:r w:rsidR="4B04369F" w:rsidRPr="007F2E16">
              <w:rPr>
                <w:rFonts w:ascii="Century Gothic" w:eastAsia="Times New Roman" w:hAnsi="Century Gothic"/>
              </w:rPr>
              <w:t>(</w:t>
            </w:r>
            <w:r w:rsidR="3F13C775" w:rsidRPr="007F2E16">
              <w:rPr>
                <w:rFonts w:ascii="Century Gothic" w:eastAsia="Times New Roman" w:hAnsi="Century Gothic"/>
              </w:rPr>
              <w:t>$</w:t>
            </w:r>
            <w:r w:rsidR="4B04369F" w:rsidRPr="007F2E16">
              <w:rPr>
                <w:rFonts w:ascii="Century Gothic" w:eastAsia="Times New Roman" w:hAnsi="Century Gothic"/>
              </w:rPr>
              <w:t>6</w:t>
            </w:r>
            <w:r w:rsidR="00CF34E3">
              <w:rPr>
                <w:rFonts w:ascii="Century Gothic" w:eastAsia="Times New Roman" w:hAnsi="Century Gothic"/>
              </w:rPr>
              <w:t>9</w:t>
            </w:r>
            <w:r w:rsidR="4B04369F" w:rsidRPr="007F2E16">
              <w:rPr>
                <w:rFonts w:ascii="Century Gothic" w:eastAsia="Times New Roman" w:hAnsi="Century Gothic"/>
              </w:rPr>
              <w:t>)</w:t>
            </w:r>
          </w:p>
          <w:p w14:paraId="224FEDF3" w14:textId="77777777" w:rsidR="003F3AB3" w:rsidRPr="007F2E16" w:rsidRDefault="003F3AB3" w:rsidP="662A423E">
            <w:pPr>
              <w:rPr>
                <w:rFonts w:ascii="Century Gothic" w:eastAsia="Times New Roman" w:hAnsi="Century Gothic"/>
              </w:rPr>
            </w:pPr>
          </w:p>
          <w:p w14:paraId="037FB787" w14:textId="7D45A46E" w:rsidR="005B29D0" w:rsidRPr="007F2E16" w:rsidRDefault="1AB9EFB0" w:rsidP="005B29D0">
            <w:pPr>
              <w:rPr>
                <w:rFonts w:ascii="Century Gothic" w:eastAsia="Times New Roman" w:hAnsi="Century Gothic"/>
              </w:rPr>
            </w:pPr>
            <w:r w:rsidRPr="007F2E16">
              <w:rPr>
                <w:rFonts w:ascii="Century Gothic" w:eastAsia="Times New Roman" w:hAnsi="Century Gothic"/>
              </w:rPr>
              <w:t>2023: $</w:t>
            </w:r>
            <w:r w:rsidR="5BCDA755" w:rsidRPr="007F2E16">
              <w:rPr>
                <w:rFonts w:ascii="Century Gothic" w:eastAsia="Times New Roman" w:hAnsi="Century Gothic"/>
              </w:rPr>
              <w:t>363,550</w:t>
            </w:r>
            <w:r w:rsidR="70E3DC7C" w:rsidRPr="007F2E16">
              <w:rPr>
                <w:rFonts w:ascii="Century Gothic" w:eastAsia="Times New Roman" w:hAnsi="Century Gothic"/>
              </w:rPr>
              <w:t xml:space="preserve"> </w:t>
            </w:r>
            <w:r w:rsidRPr="007F2E16">
              <w:rPr>
                <w:rFonts w:ascii="Century Gothic" w:eastAsia="Times New Roman" w:hAnsi="Century Gothic"/>
              </w:rPr>
              <w:t>($</w:t>
            </w:r>
            <w:r w:rsidR="36C3A6AB" w:rsidRPr="007F2E16">
              <w:rPr>
                <w:rFonts w:ascii="Century Gothic" w:eastAsia="Times New Roman" w:hAnsi="Century Gothic"/>
              </w:rPr>
              <w:t>6</w:t>
            </w:r>
            <w:r w:rsidR="00141787">
              <w:rPr>
                <w:rFonts w:ascii="Century Gothic" w:eastAsia="Times New Roman" w:hAnsi="Century Gothic"/>
              </w:rPr>
              <w:t>9</w:t>
            </w:r>
            <w:r w:rsidRPr="007F2E16">
              <w:rPr>
                <w:rFonts w:ascii="Century Gothic" w:eastAsia="Times New Roman" w:hAnsi="Century Gothic"/>
              </w:rPr>
              <w:t>)</w:t>
            </w:r>
            <w:r w:rsidR="256DFA25" w:rsidRPr="007F2E16">
              <w:rPr>
                <w:rFonts w:ascii="Century Gothic" w:eastAsia="Times New Roman" w:hAnsi="Century Gothic"/>
              </w:rPr>
              <w:t xml:space="preserve"> </w:t>
            </w:r>
          </w:p>
          <w:p w14:paraId="3F973BB8" w14:textId="0A024D6D" w:rsidR="70EA4208" w:rsidRPr="007F2E16" w:rsidRDefault="07BC3835" w:rsidP="1B3F2E6D">
            <w:pPr>
              <w:rPr>
                <w:rFonts w:ascii="Century Gothic" w:eastAsia="Times New Roman" w:hAnsi="Century Gothic"/>
              </w:rPr>
            </w:pPr>
            <w:r w:rsidRPr="007F2E16">
              <w:rPr>
                <w:rFonts w:ascii="Century Gothic" w:eastAsia="Times New Roman" w:hAnsi="Century Gothic"/>
              </w:rPr>
              <w:t>2022: $363,550</w:t>
            </w:r>
            <w:r w:rsidR="00764E86" w:rsidRPr="007F2E16">
              <w:rPr>
                <w:rFonts w:ascii="Century Gothic" w:eastAsia="Times New Roman" w:hAnsi="Century Gothic"/>
              </w:rPr>
              <w:t xml:space="preserve"> </w:t>
            </w:r>
            <w:r w:rsidR="0017626F" w:rsidRPr="007F2E16">
              <w:rPr>
                <w:rFonts w:ascii="Century Gothic" w:eastAsia="Times New Roman" w:hAnsi="Century Gothic"/>
              </w:rPr>
              <w:t>(</w:t>
            </w:r>
            <w:r w:rsidR="00764E86" w:rsidRPr="007F2E16">
              <w:rPr>
                <w:rFonts w:ascii="Century Gothic" w:eastAsia="Times New Roman" w:hAnsi="Century Gothic"/>
              </w:rPr>
              <w:t>$6</w:t>
            </w:r>
            <w:r w:rsidR="007F2E16">
              <w:rPr>
                <w:rFonts w:ascii="Century Gothic" w:eastAsia="Times New Roman" w:hAnsi="Century Gothic"/>
              </w:rPr>
              <w:t>9</w:t>
            </w:r>
            <w:r w:rsidR="00764E86" w:rsidRPr="007F2E16">
              <w:rPr>
                <w:rFonts w:ascii="Century Gothic" w:eastAsia="Times New Roman" w:hAnsi="Century Gothic"/>
              </w:rPr>
              <w:t>)</w:t>
            </w:r>
          </w:p>
          <w:p w14:paraId="49399EDE" w14:textId="66CC485D" w:rsidR="00574C36" w:rsidRPr="007F2E16" w:rsidRDefault="43156F0C" w:rsidP="332E49E3">
            <w:pPr>
              <w:rPr>
                <w:rFonts w:ascii="Century Gothic" w:hAnsi="Century Gothic"/>
              </w:rPr>
            </w:pPr>
            <w:r w:rsidRPr="007F2E16">
              <w:rPr>
                <w:rFonts w:ascii="Century Gothic" w:eastAsia="Times New Roman" w:hAnsi="Century Gothic"/>
              </w:rPr>
              <w:t xml:space="preserve">2021: </w:t>
            </w:r>
            <w:r w:rsidR="00DC3B4C" w:rsidRPr="007F2E16">
              <w:rPr>
                <w:rFonts w:ascii="Century Gothic" w:eastAsia="Times New Roman" w:hAnsi="Century Gothic"/>
              </w:rPr>
              <w:t>$</w:t>
            </w:r>
            <w:r w:rsidR="00DC3B4C" w:rsidRPr="007F2E16">
              <w:rPr>
                <w:rFonts w:ascii="Century Gothic" w:hAnsi="Century Gothic"/>
              </w:rPr>
              <w:t>363,550</w:t>
            </w:r>
            <w:r w:rsidR="00AF433E" w:rsidRPr="007F2E16">
              <w:rPr>
                <w:rFonts w:ascii="Century Gothic" w:hAnsi="Century Gothic"/>
              </w:rPr>
              <w:t xml:space="preserve"> </w:t>
            </w:r>
            <w:r w:rsidR="0017626F" w:rsidRPr="007F2E16">
              <w:rPr>
                <w:rFonts w:ascii="Century Gothic" w:hAnsi="Century Gothic"/>
              </w:rPr>
              <w:t>(</w:t>
            </w:r>
            <w:r w:rsidR="00AF433E" w:rsidRPr="007F2E16">
              <w:rPr>
                <w:rFonts w:ascii="Century Gothic" w:hAnsi="Century Gothic"/>
              </w:rPr>
              <w:t>$7</w:t>
            </w:r>
            <w:r w:rsidR="007F2E16">
              <w:rPr>
                <w:rFonts w:ascii="Century Gothic" w:hAnsi="Century Gothic"/>
              </w:rPr>
              <w:t>4</w:t>
            </w:r>
            <w:r w:rsidR="00AF433E" w:rsidRPr="007F2E16">
              <w:rPr>
                <w:rFonts w:ascii="Century Gothic" w:hAnsi="Century Gothic"/>
              </w:rPr>
              <w:t>)</w:t>
            </w:r>
          </w:p>
          <w:p w14:paraId="7F3A319E" w14:textId="1C0C3D13" w:rsidR="00574C36" w:rsidRPr="007F2E16" w:rsidRDefault="6F17DB03" w:rsidP="0D8BAA9B">
            <w:pPr>
              <w:rPr>
                <w:rFonts w:ascii="Century Gothic" w:eastAsia="Times New Roman" w:hAnsi="Century Gothic"/>
              </w:rPr>
            </w:pPr>
            <w:r w:rsidRPr="007F2E16">
              <w:rPr>
                <w:rFonts w:ascii="Century Gothic" w:eastAsia="Times New Roman" w:hAnsi="Century Gothic"/>
              </w:rPr>
              <w:t>2020: $</w:t>
            </w:r>
            <w:r w:rsidR="6B0FE2A0" w:rsidRPr="007F2E16">
              <w:rPr>
                <w:rFonts w:ascii="Century Gothic" w:eastAsia="Times New Roman" w:hAnsi="Century Gothic"/>
              </w:rPr>
              <w:t>326,866</w:t>
            </w:r>
            <w:r w:rsidR="00AF433E" w:rsidRPr="007F2E16">
              <w:rPr>
                <w:rFonts w:ascii="Century Gothic" w:eastAsia="Times New Roman" w:hAnsi="Century Gothic"/>
              </w:rPr>
              <w:t xml:space="preserve"> ($5</w:t>
            </w:r>
            <w:r w:rsidR="007F2E16">
              <w:rPr>
                <w:rFonts w:ascii="Century Gothic" w:eastAsia="Times New Roman" w:hAnsi="Century Gothic"/>
              </w:rPr>
              <w:t>8</w:t>
            </w:r>
            <w:r w:rsidR="00AF433E" w:rsidRPr="007F2E16">
              <w:rPr>
                <w:rFonts w:ascii="Century Gothic" w:eastAsia="Times New Roman" w:hAnsi="Century Gothic"/>
              </w:rPr>
              <w:t>)</w:t>
            </w:r>
          </w:p>
          <w:p w14:paraId="4DDDA0AA" w14:textId="3059BC5A" w:rsidR="00574C36" w:rsidRPr="007F2E16" w:rsidRDefault="00574C36" w:rsidP="00574C36">
            <w:pPr>
              <w:rPr>
                <w:rFonts w:ascii="Century Gothic" w:eastAsia="Times New Roman" w:hAnsi="Century Gothic"/>
                <w:szCs w:val="22"/>
              </w:rPr>
            </w:pPr>
            <w:r w:rsidRPr="007F2E16">
              <w:rPr>
                <w:rFonts w:ascii="Century Gothic" w:eastAsia="Times New Roman" w:hAnsi="Century Gothic"/>
                <w:szCs w:val="22"/>
              </w:rPr>
              <w:t>2019: $275,379</w:t>
            </w:r>
            <w:r w:rsidR="00AF433E" w:rsidRPr="007F2E16">
              <w:rPr>
                <w:rFonts w:ascii="Century Gothic" w:eastAsia="Times New Roman" w:hAnsi="Century Gothic"/>
                <w:szCs w:val="22"/>
              </w:rPr>
              <w:t xml:space="preserve"> ($60)</w:t>
            </w:r>
          </w:p>
          <w:p w14:paraId="4A69788B" w14:textId="1666E8D9" w:rsidR="00574C36" w:rsidRPr="007F2E16" w:rsidRDefault="00574C36" w:rsidP="00574C36">
            <w:pPr>
              <w:rPr>
                <w:rFonts w:ascii="Century Gothic" w:eastAsia="Times New Roman" w:hAnsi="Century Gothic"/>
                <w:szCs w:val="22"/>
              </w:rPr>
            </w:pPr>
            <w:r w:rsidRPr="007F2E16">
              <w:rPr>
                <w:rFonts w:ascii="Century Gothic" w:eastAsia="Times New Roman" w:hAnsi="Century Gothic"/>
                <w:szCs w:val="22"/>
              </w:rPr>
              <w:t>2018: $275,379</w:t>
            </w:r>
            <w:r w:rsidR="00AF433E" w:rsidRPr="007F2E16">
              <w:rPr>
                <w:rFonts w:ascii="Century Gothic" w:eastAsia="Times New Roman" w:hAnsi="Century Gothic"/>
                <w:szCs w:val="22"/>
              </w:rPr>
              <w:t xml:space="preserve"> </w:t>
            </w:r>
            <w:r w:rsidR="0017626F" w:rsidRPr="007F2E16">
              <w:rPr>
                <w:rFonts w:ascii="Century Gothic" w:eastAsia="Times New Roman" w:hAnsi="Century Gothic"/>
                <w:szCs w:val="22"/>
              </w:rPr>
              <w:t>(</w:t>
            </w:r>
            <w:r w:rsidR="00AF433E" w:rsidRPr="007F2E16">
              <w:rPr>
                <w:rFonts w:ascii="Century Gothic" w:eastAsia="Times New Roman" w:hAnsi="Century Gothic"/>
                <w:szCs w:val="22"/>
              </w:rPr>
              <w:t>$</w:t>
            </w:r>
            <w:r w:rsidR="007F2E16">
              <w:rPr>
                <w:rFonts w:ascii="Century Gothic" w:eastAsia="Times New Roman" w:hAnsi="Century Gothic"/>
                <w:szCs w:val="22"/>
              </w:rPr>
              <w:t>60</w:t>
            </w:r>
            <w:r w:rsidR="00AF433E" w:rsidRPr="007F2E16">
              <w:rPr>
                <w:rFonts w:ascii="Century Gothic" w:eastAsia="Times New Roman" w:hAnsi="Century Gothic"/>
                <w:szCs w:val="22"/>
              </w:rPr>
              <w:t>)</w:t>
            </w:r>
          </w:p>
          <w:p w14:paraId="4B423DB8" w14:textId="29B9F87D" w:rsidR="00574C36" w:rsidRPr="007F2E16" w:rsidRDefault="00574C36" w:rsidP="00574C36">
            <w:pPr>
              <w:rPr>
                <w:rFonts w:ascii="Century Gothic" w:eastAsia="Times New Roman" w:hAnsi="Century Gothic"/>
                <w:szCs w:val="22"/>
              </w:rPr>
            </w:pPr>
            <w:r w:rsidRPr="007F2E16">
              <w:rPr>
                <w:rFonts w:ascii="Century Gothic" w:eastAsia="Times New Roman" w:hAnsi="Century Gothic"/>
                <w:szCs w:val="22"/>
              </w:rPr>
              <w:t>2017: $275,379</w:t>
            </w:r>
            <w:r w:rsidR="00AF433E" w:rsidRPr="007F2E16">
              <w:rPr>
                <w:rFonts w:ascii="Century Gothic" w:eastAsia="Times New Roman" w:hAnsi="Century Gothic"/>
                <w:szCs w:val="22"/>
              </w:rPr>
              <w:t xml:space="preserve"> ($</w:t>
            </w:r>
            <w:r w:rsidR="007F2E16">
              <w:rPr>
                <w:rFonts w:ascii="Century Gothic" w:eastAsia="Times New Roman" w:hAnsi="Century Gothic"/>
                <w:szCs w:val="22"/>
              </w:rPr>
              <w:t>64</w:t>
            </w:r>
            <w:r w:rsidR="00AF433E" w:rsidRPr="007F2E16">
              <w:rPr>
                <w:rFonts w:ascii="Century Gothic" w:eastAsia="Times New Roman" w:hAnsi="Century Gothic"/>
                <w:szCs w:val="22"/>
              </w:rPr>
              <w:t>)</w:t>
            </w:r>
          </w:p>
          <w:p w14:paraId="474691C9" w14:textId="1C27A935" w:rsidR="00574C36" w:rsidRPr="007F2E16" w:rsidRDefault="00574C36" w:rsidP="00574C36">
            <w:pPr>
              <w:rPr>
                <w:rFonts w:ascii="Century Gothic" w:eastAsia="Times New Roman" w:hAnsi="Century Gothic"/>
                <w:szCs w:val="22"/>
              </w:rPr>
            </w:pPr>
            <w:r w:rsidRPr="007F2E16">
              <w:rPr>
                <w:rFonts w:ascii="Century Gothic" w:eastAsia="Times New Roman" w:hAnsi="Century Gothic"/>
                <w:szCs w:val="22"/>
              </w:rPr>
              <w:t>2016: $275,379</w:t>
            </w:r>
            <w:r w:rsidR="00AF433E" w:rsidRPr="007F2E16">
              <w:rPr>
                <w:rFonts w:ascii="Century Gothic" w:eastAsia="Times New Roman" w:hAnsi="Century Gothic"/>
                <w:szCs w:val="22"/>
              </w:rPr>
              <w:t xml:space="preserve"> ($73)</w:t>
            </w:r>
          </w:p>
          <w:p w14:paraId="7953B2F8" w14:textId="3E79219B" w:rsidR="00574C36" w:rsidRPr="007F2E16" w:rsidRDefault="00574C36" w:rsidP="00574C36">
            <w:pPr>
              <w:rPr>
                <w:rFonts w:ascii="Century Gothic" w:eastAsia="Times New Roman" w:hAnsi="Century Gothic"/>
                <w:szCs w:val="22"/>
              </w:rPr>
            </w:pPr>
            <w:r w:rsidRPr="007F2E16">
              <w:rPr>
                <w:rFonts w:ascii="Century Gothic" w:eastAsia="Times New Roman" w:hAnsi="Century Gothic"/>
                <w:szCs w:val="22"/>
              </w:rPr>
              <w:t>2015: $</w:t>
            </w:r>
            <w:r w:rsidR="005C6B99" w:rsidRPr="007F2E16">
              <w:rPr>
                <w:rFonts w:ascii="Century Gothic" w:eastAsia="Times New Roman" w:hAnsi="Century Gothic"/>
                <w:szCs w:val="22"/>
              </w:rPr>
              <w:t>275,379 (</w:t>
            </w:r>
            <w:r w:rsidR="00764E86" w:rsidRPr="007F2E16">
              <w:rPr>
                <w:rFonts w:ascii="Century Gothic" w:eastAsia="Times New Roman" w:hAnsi="Century Gothic"/>
                <w:szCs w:val="22"/>
              </w:rPr>
              <w:t>$8</w:t>
            </w:r>
            <w:r w:rsidR="000B54F7">
              <w:rPr>
                <w:rFonts w:ascii="Century Gothic" w:eastAsia="Times New Roman" w:hAnsi="Century Gothic"/>
                <w:szCs w:val="22"/>
              </w:rPr>
              <w:t>1</w:t>
            </w:r>
            <w:r w:rsidR="00764E86" w:rsidRPr="007F2E16">
              <w:rPr>
                <w:rFonts w:ascii="Century Gothic" w:eastAsia="Times New Roman" w:hAnsi="Century Gothic"/>
                <w:szCs w:val="22"/>
              </w:rPr>
              <w:t>)</w:t>
            </w:r>
          </w:p>
        </w:tc>
        <w:tc>
          <w:tcPr>
            <w:tcW w:w="14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1B05C3F7" w14:textId="5894635D" w:rsidR="00574C36" w:rsidRPr="007F2E16" w:rsidRDefault="0003427B" w:rsidP="003F0D12">
            <w:pPr>
              <w:rPr>
                <w:rFonts w:ascii="Century Gothic" w:eastAsia="MS PGothic" w:hAnsi="Century Gothic"/>
                <w:szCs w:val="22"/>
              </w:rPr>
            </w:pPr>
            <w:r>
              <w:rPr>
                <w:rFonts w:ascii="Century Gothic" w:eastAsia="Times New Roman" w:hAnsi="Century Gothic"/>
              </w:rPr>
              <w:t>Yes</w:t>
            </w:r>
          </w:p>
        </w:tc>
      </w:tr>
      <w:tr w:rsidR="00574C36" w:rsidRPr="00820D8B" w14:paraId="1513DEC6" w14:textId="77777777" w:rsidTr="00141787">
        <w:trPr>
          <w:trHeight w:val="400"/>
        </w:trPr>
        <w:tc>
          <w:tcPr>
            <w:tcW w:w="9936" w:type="dxa"/>
            <w:gridSpan w:val="5"/>
            <w:tcBorders>
              <w:top w:val="single" w:sz="4" w:space="0" w:color="D9D9D9" w:themeColor="background1" w:themeShade="D9"/>
              <w:left w:val="nil"/>
              <w:bottom w:val="single" w:sz="4" w:space="0" w:color="D9D9D9" w:themeColor="background1" w:themeShade="D9"/>
              <w:right w:val="nil"/>
            </w:tcBorders>
            <w:shd w:val="clear" w:color="auto" w:fill="808080" w:themeFill="background1" w:themeFillShade="80"/>
            <w:hideMark/>
          </w:tcPr>
          <w:p w14:paraId="53E50C40" w14:textId="335788F0" w:rsidR="00574C36" w:rsidRPr="00820D8B" w:rsidRDefault="00574C36" w:rsidP="00574C36">
            <w:pPr>
              <w:jc w:val="center"/>
              <w:rPr>
                <w:rFonts w:ascii="Century Gothic" w:eastAsia="Times New Roman" w:hAnsi="Century Gothic"/>
                <w:b/>
                <w:szCs w:val="22"/>
              </w:rPr>
            </w:pPr>
          </w:p>
        </w:tc>
      </w:tr>
      <w:tr w:rsidR="00574C36" w:rsidRPr="00820D8B" w14:paraId="276D4BDF" w14:textId="77777777" w:rsidTr="00141787">
        <w:trPr>
          <w:trHeight w:val="1637"/>
        </w:trPr>
        <w:tc>
          <w:tcPr>
            <w:tcW w:w="253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401D43F0"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Total HANH internal staff inspection scheduling time (annual hours) **</w:t>
            </w:r>
          </w:p>
          <w:p w14:paraId="36561E82" w14:textId="4AE7F347" w:rsidR="00764E86" w:rsidRPr="00820D8B" w:rsidRDefault="00764E86" w:rsidP="00574C36">
            <w:pPr>
              <w:rPr>
                <w:rFonts w:ascii="Century Gothic" w:eastAsia="Times New Roman" w:hAnsi="Century Gothic"/>
                <w:szCs w:val="22"/>
              </w:rPr>
            </w:pPr>
            <w:r w:rsidRPr="00820D8B">
              <w:rPr>
                <w:rFonts w:ascii="Century Gothic" w:eastAsia="Times New Roman" w:hAnsi="Century Gothic"/>
                <w:szCs w:val="22"/>
              </w:rPr>
              <w:t>(minutes per inspection)</w:t>
            </w:r>
          </w:p>
        </w:tc>
        <w:tc>
          <w:tcPr>
            <w:tcW w:w="16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4A773A4" w14:textId="77777777" w:rsidR="00574C36" w:rsidRDefault="00574C36" w:rsidP="00574C36">
            <w:pPr>
              <w:rPr>
                <w:rFonts w:ascii="Century Gothic" w:eastAsia="Times New Roman" w:hAnsi="Century Gothic"/>
                <w:szCs w:val="22"/>
              </w:rPr>
            </w:pPr>
            <w:r w:rsidRPr="00820D8B">
              <w:rPr>
                <w:rFonts w:ascii="Century Gothic" w:eastAsia="Times New Roman" w:hAnsi="Century Gothic"/>
                <w:szCs w:val="22"/>
              </w:rPr>
              <w:t>904 hours (2014)</w:t>
            </w:r>
            <w:r w:rsidR="005F02A4" w:rsidRPr="00820D8B">
              <w:rPr>
                <w:rFonts w:ascii="Century Gothic" w:eastAsia="Times New Roman" w:hAnsi="Century Gothic"/>
                <w:szCs w:val="22"/>
              </w:rPr>
              <w:t xml:space="preserve"> = 16 minutes per inspection</w:t>
            </w:r>
          </w:p>
          <w:p w14:paraId="4D0A4044" w14:textId="77777777" w:rsidR="00CF76F0" w:rsidRDefault="00CF76F0" w:rsidP="00574C36">
            <w:pPr>
              <w:rPr>
                <w:rFonts w:ascii="Century Gothic" w:eastAsia="Times New Roman" w:hAnsi="Century Gothic"/>
                <w:szCs w:val="22"/>
              </w:rPr>
            </w:pPr>
          </w:p>
          <w:p w14:paraId="20DD2D22" w14:textId="55171198" w:rsidR="00CF76F0" w:rsidRPr="00820D8B" w:rsidRDefault="00CF76F0" w:rsidP="00574C36">
            <w:pPr>
              <w:rPr>
                <w:rFonts w:ascii="Century Gothic" w:eastAsia="Times New Roman" w:hAnsi="Century Gothic"/>
                <w:szCs w:val="22"/>
              </w:rPr>
            </w:pPr>
            <w:r>
              <w:rPr>
                <w:rFonts w:ascii="Century Gothic" w:eastAsia="Times New Roman" w:hAnsi="Century Gothic"/>
                <w:szCs w:val="22"/>
              </w:rPr>
              <w:t>(2024</w:t>
            </w:r>
            <w:r w:rsidR="00537FEF">
              <w:rPr>
                <w:rFonts w:ascii="Century Gothic" w:eastAsia="Times New Roman" w:hAnsi="Century Gothic"/>
                <w:szCs w:val="22"/>
              </w:rPr>
              <w:t xml:space="preserve">) = 15 minutes </w:t>
            </w:r>
            <w:r w:rsidR="00795737">
              <w:rPr>
                <w:rFonts w:ascii="Century Gothic" w:eastAsia="Times New Roman" w:hAnsi="Century Gothic"/>
                <w:szCs w:val="22"/>
              </w:rPr>
              <w:t>per inspection</w:t>
            </w:r>
          </w:p>
        </w:tc>
        <w:tc>
          <w:tcPr>
            <w:tcW w:w="18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01924E7" w14:textId="77777777" w:rsidR="00574C36" w:rsidRPr="00820D8B" w:rsidRDefault="00574C36" w:rsidP="4C4F5E4A">
            <w:pPr>
              <w:rPr>
                <w:rFonts w:ascii="Century Gothic" w:eastAsia="Times New Roman" w:hAnsi="Century Gothic"/>
              </w:rPr>
            </w:pPr>
            <w:r w:rsidRPr="00820D8B">
              <w:rPr>
                <w:rFonts w:ascii="Century Gothic" w:eastAsia="Times New Roman" w:hAnsi="Century Gothic"/>
              </w:rPr>
              <w:t>367 hours</w:t>
            </w:r>
          </w:p>
        </w:tc>
        <w:tc>
          <w:tcPr>
            <w:tcW w:w="245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6CA8BFA" w14:textId="2EF374D0" w:rsidR="00E613A7" w:rsidRPr="00820D8B" w:rsidRDefault="1C293C47" w:rsidP="662A423E">
            <w:pPr>
              <w:rPr>
                <w:rFonts w:ascii="Century Gothic" w:eastAsia="Times New Roman" w:hAnsi="Century Gothic"/>
              </w:rPr>
            </w:pPr>
            <w:r w:rsidRPr="00820D8B">
              <w:rPr>
                <w:rFonts w:ascii="Century Gothic" w:eastAsia="Times New Roman" w:hAnsi="Century Gothic"/>
              </w:rPr>
              <w:t>2024:</w:t>
            </w:r>
            <w:r w:rsidR="00F71FBA" w:rsidRPr="00820D8B">
              <w:rPr>
                <w:rFonts w:ascii="Century Gothic" w:eastAsia="Times New Roman" w:hAnsi="Century Gothic"/>
              </w:rPr>
              <w:t xml:space="preserve"> </w:t>
            </w:r>
            <w:r w:rsidRPr="00820D8B">
              <w:rPr>
                <w:rFonts w:ascii="Century Gothic" w:eastAsia="Times New Roman" w:hAnsi="Century Gothic"/>
              </w:rPr>
              <w:t>1,467 h</w:t>
            </w:r>
            <w:r w:rsidR="2EE3654C" w:rsidRPr="00820D8B">
              <w:rPr>
                <w:rFonts w:ascii="Century Gothic" w:eastAsia="Times New Roman" w:hAnsi="Century Gothic"/>
              </w:rPr>
              <w:t>ou</w:t>
            </w:r>
            <w:r w:rsidRPr="00820D8B">
              <w:rPr>
                <w:rFonts w:ascii="Century Gothic" w:eastAsia="Times New Roman" w:hAnsi="Century Gothic"/>
              </w:rPr>
              <w:t xml:space="preserve">rs </w:t>
            </w:r>
          </w:p>
          <w:p w14:paraId="5A62C040" w14:textId="77777777" w:rsidR="007F2E16" w:rsidRPr="00820D8B" w:rsidRDefault="007F2E16" w:rsidP="662A423E">
            <w:pPr>
              <w:rPr>
                <w:rFonts w:ascii="Century Gothic" w:eastAsia="Times New Roman" w:hAnsi="Century Gothic"/>
              </w:rPr>
            </w:pPr>
          </w:p>
          <w:p w14:paraId="41DE862A" w14:textId="120B5C92" w:rsidR="00E613A7" w:rsidRPr="00820D8B" w:rsidRDefault="509BDBBA" w:rsidP="00E613A7">
            <w:pPr>
              <w:rPr>
                <w:rFonts w:ascii="Century Gothic" w:eastAsia="Times New Roman" w:hAnsi="Century Gothic"/>
              </w:rPr>
            </w:pPr>
            <w:r w:rsidRPr="00820D8B">
              <w:rPr>
                <w:rFonts w:ascii="Century Gothic" w:eastAsia="Times New Roman" w:hAnsi="Century Gothic"/>
              </w:rPr>
              <w:t xml:space="preserve">2023: </w:t>
            </w:r>
            <w:r w:rsidR="1963FA4E" w:rsidRPr="00820D8B">
              <w:rPr>
                <w:rFonts w:ascii="Century Gothic" w:eastAsia="Times New Roman" w:hAnsi="Century Gothic"/>
              </w:rPr>
              <w:t xml:space="preserve">526 </w:t>
            </w:r>
            <w:r w:rsidRPr="00820D8B">
              <w:rPr>
                <w:rFonts w:ascii="Century Gothic" w:eastAsia="Times New Roman" w:hAnsi="Century Gothic"/>
              </w:rPr>
              <w:t xml:space="preserve">hours </w:t>
            </w:r>
          </w:p>
          <w:p w14:paraId="66BF847E" w14:textId="638B647D" w:rsidR="5E746193" w:rsidRPr="00820D8B" w:rsidRDefault="5E746193" w:rsidP="1B3F2E6D">
            <w:pPr>
              <w:rPr>
                <w:rFonts w:ascii="Century Gothic" w:eastAsia="Times New Roman" w:hAnsi="Century Gothic"/>
              </w:rPr>
            </w:pPr>
            <w:r w:rsidRPr="00820D8B">
              <w:rPr>
                <w:rFonts w:ascii="Century Gothic" w:eastAsia="Times New Roman" w:hAnsi="Century Gothic"/>
              </w:rPr>
              <w:t>2022: 99</w:t>
            </w:r>
            <w:r w:rsidR="291217C6" w:rsidRPr="00820D8B">
              <w:rPr>
                <w:rFonts w:ascii="Century Gothic" w:eastAsia="Times New Roman" w:hAnsi="Century Gothic"/>
              </w:rPr>
              <w:t>9</w:t>
            </w:r>
            <w:r w:rsidRPr="00820D8B">
              <w:rPr>
                <w:rFonts w:ascii="Century Gothic" w:eastAsia="Times New Roman" w:hAnsi="Century Gothic"/>
              </w:rPr>
              <w:t xml:space="preserve"> hour</w:t>
            </w:r>
            <w:r w:rsidR="19CF4C0D" w:rsidRPr="00820D8B">
              <w:rPr>
                <w:rFonts w:ascii="Century Gothic" w:eastAsia="Times New Roman" w:hAnsi="Century Gothic"/>
              </w:rPr>
              <w:t>s</w:t>
            </w:r>
            <w:r w:rsidR="005F02A4" w:rsidRPr="00820D8B">
              <w:rPr>
                <w:rFonts w:ascii="Century Gothic" w:eastAsia="Times New Roman" w:hAnsi="Century Gothic"/>
              </w:rPr>
              <w:t xml:space="preserve"> </w:t>
            </w:r>
          </w:p>
          <w:p w14:paraId="76558B43" w14:textId="7BA04C35" w:rsidR="00574C36" w:rsidRPr="00820D8B" w:rsidRDefault="0B000422" w:rsidP="332E49E3">
            <w:pPr>
              <w:rPr>
                <w:rFonts w:ascii="Century Gothic" w:eastAsia="Times New Roman" w:hAnsi="Century Gothic"/>
              </w:rPr>
            </w:pPr>
            <w:r w:rsidRPr="00820D8B">
              <w:rPr>
                <w:rFonts w:ascii="Century Gothic" w:eastAsia="Times New Roman" w:hAnsi="Century Gothic"/>
              </w:rPr>
              <w:t xml:space="preserve">2021: </w:t>
            </w:r>
            <w:r w:rsidR="0A12715E" w:rsidRPr="00820D8B">
              <w:rPr>
                <w:rFonts w:ascii="Century Gothic" w:eastAsia="Times New Roman" w:hAnsi="Century Gothic"/>
              </w:rPr>
              <w:t>1,274</w:t>
            </w:r>
            <w:r w:rsidR="24B9D963" w:rsidRPr="00820D8B">
              <w:rPr>
                <w:rFonts w:ascii="Century Gothic" w:eastAsia="Times New Roman" w:hAnsi="Century Gothic"/>
              </w:rPr>
              <w:t xml:space="preserve"> hours</w:t>
            </w:r>
          </w:p>
          <w:p w14:paraId="3FA98A8F" w14:textId="2B7C54C7" w:rsidR="00574C36" w:rsidRPr="00820D8B" w:rsidRDefault="00574C36" w:rsidP="00574C36">
            <w:pPr>
              <w:rPr>
                <w:rFonts w:ascii="Century Gothic" w:eastAsia="Times New Roman" w:hAnsi="Century Gothic"/>
              </w:rPr>
            </w:pPr>
            <w:r w:rsidRPr="00820D8B">
              <w:rPr>
                <w:rFonts w:ascii="Century Gothic" w:eastAsia="Times New Roman" w:hAnsi="Century Gothic"/>
              </w:rPr>
              <w:t>2020: 1,039</w:t>
            </w:r>
            <w:r w:rsidR="5C48E0C2" w:rsidRPr="00820D8B">
              <w:rPr>
                <w:rFonts w:ascii="Century Gothic" w:eastAsia="Times New Roman" w:hAnsi="Century Gothic"/>
              </w:rPr>
              <w:t xml:space="preserve"> hours</w:t>
            </w:r>
          </w:p>
          <w:p w14:paraId="66356537" w14:textId="57FB60D4" w:rsidR="00574C36" w:rsidRPr="00820D8B" w:rsidRDefault="00574C36" w:rsidP="00574C36">
            <w:pPr>
              <w:rPr>
                <w:rFonts w:ascii="Century Gothic" w:eastAsia="Times New Roman" w:hAnsi="Century Gothic"/>
              </w:rPr>
            </w:pPr>
            <w:r w:rsidRPr="00820D8B">
              <w:rPr>
                <w:rFonts w:ascii="Century Gothic" w:eastAsia="Times New Roman" w:hAnsi="Century Gothic"/>
              </w:rPr>
              <w:t>2019: 1,352 hours</w:t>
            </w:r>
          </w:p>
          <w:p w14:paraId="2978E3F2" w14:textId="30768259" w:rsidR="00574C36" w:rsidRPr="00820D8B" w:rsidRDefault="00574C36" w:rsidP="00574C36">
            <w:pPr>
              <w:rPr>
                <w:rFonts w:ascii="Century Gothic" w:eastAsia="Times New Roman" w:hAnsi="Century Gothic"/>
              </w:rPr>
            </w:pPr>
            <w:r w:rsidRPr="00820D8B">
              <w:rPr>
                <w:rFonts w:ascii="Century Gothic" w:eastAsia="Times New Roman" w:hAnsi="Century Gothic"/>
              </w:rPr>
              <w:t>2018: 674 hours</w:t>
            </w:r>
          </w:p>
          <w:p w14:paraId="1DCD8326" w14:textId="205113D2" w:rsidR="00574C36" w:rsidRPr="00820D8B" w:rsidRDefault="00574C36" w:rsidP="00574C36">
            <w:pPr>
              <w:rPr>
                <w:rFonts w:ascii="Century Gothic" w:eastAsia="Times New Roman" w:hAnsi="Century Gothic"/>
              </w:rPr>
            </w:pPr>
            <w:r w:rsidRPr="00820D8B">
              <w:rPr>
                <w:rFonts w:ascii="Century Gothic" w:eastAsia="Times New Roman" w:hAnsi="Century Gothic"/>
              </w:rPr>
              <w:t>2017: 670 hours</w:t>
            </w:r>
          </w:p>
          <w:p w14:paraId="682248FF" w14:textId="77777777" w:rsidR="00574C36" w:rsidRPr="00820D8B" w:rsidRDefault="00574C36" w:rsidP="00574C36">
            <w:pPr>
              <w:rPr>
                <w:rFonts w:ascii="Century Gothic" w:eastAsia="Times New Roman" w:hAnsi="Century Gothic"/>
              </w:rPr>
            </w:pPr>
            <w:r w:rsidRPr="00820D8B">
              <w:rPr>
                <w:rFonts w:ascii="Century Gothic" w:eastAsia="Times New Roman" w:hAnsi="Century Gothic"/>
              </w:rPr>
              <w:t>2015: 778 hours</w:t>
            </w:r>
          </w:p>
          <w:p w14:paraId="702D002D" w14:textId="693F88CD" w:rsidR="00677013" w:rsidRPr="00820D8B" w:rsidRDefault="00677013" w:rsidP="00574C36">
            <w:pPr>
              <w:rPr>
                <w:rFonts w:ascii="Century Gothic" w:eastAsia="Times New Roman" w:hAnsi="Century Gothic"/>
              </w:rPr>
            </w:pPr>
          </w:p>
        </w:tc>
        <w:tc>
          <w:tcPr>
            <w:tcW w:w="147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096CA11B" w14:textId="1D622481" w:rsidR="00574C36" w:rsidRPr="00820D8B" w:rsidRDefault="007F2E16" w:rsidP="00574C36">
            <w:pPr>
              <w:rPr>
                <w:rFonts w:ascii="Century Gothic" w:eastAsia="Times New Roman" w:hAnsi="Century Gothic"/>
              </w:rPr>
            </w:pPr>
            <w:r w:rsidRPr="00820D8B">
              <w:rPr>
                <w:rFonts w:ascii="Century Gothic" w:eastAsia="Times New Roman" w:hAnsi="Century Gothic"/>
              </w:rPr>
              <w:t>No</w:t>
            </w:r>
          </w:p>
        </w:tc>
      </w:tr>
    </w:tbl>
    <w:p w14:paraId="15689866" w14:textId="65DE7B4B" w:rsidR="0D8BAA9B" w:rsidRPr="00820D8B" w:rsidRDefault="0D8BAA9B">
      <w:pPr>
        <w:rPr>
          <w:rFonts w:ascii="Century Gothic" w:hAnsi="Century Gothic"/>
        </w:rPr>
      </w:pPr>
    </w:p>
    <w:p w14:paraId="2704734B" w14:textId="38A6DCEB" w:rsidR="00574C36" w:rsidRPr="00820D8B" w:rsidRDefault="7A8A3228" w:rsidP="00486062">
      <w:pPr>
        <w:numPr>
          <w:ilvl w:val="0"/>
          <w:numId w:val="80"/>
        </w:numPr>
        <w:rPr>
          <w:rFonts w:ascii="Century Gothic" w:eastAsia="Times New Roman" w:hAnsi="Century Gothic"/>
          <w:i/>
          <w:iCs/>
          <w:sz w:val="18"/>
          <w:szCs w:val="18"/>
          <w:lang w:eastAsia="en-US"/>
        </w:rPr>
      </w:pPr>
      <w:r w:rsidRPr="00820D8B">
        <w:rPr>
          <w:rFonts w:ascii="Century Gothic" w:eastAsia="Times New Roman" w:hAnsi="Century Gothic"/>
          <w:i/>
          <w:iCs/>
          <w:sz w:val="18"/>
          <w:szCs w:val="18"/>
          <w:lang w:eastAsia="en-US"/>
        </w:rPr>
        <w:t xml:space="preserve">* </w:t>
      </w:r>
      <w:r w:rsidR="006A032F">
        <w:rPr>
          <w:rFonts w:ascii="Century Gothic" w:eastAsia="Times New Roman" w:hAnsi="Century Gothic"/>
          <w:i/>
          <w:iCs/>
          <w:sz w:val="18"/>
          <w:szCs w:val="18"/>
          <w:lang w:eastAsia="en-US"/>
        </w:rPr>
        <w:t xml:space="preserve">2014 - </w:t>
      </w:r>
      <w:r w:rsidRPr="00820D8B">
        <w:rPr>
          <w:rFonts w:ascii="Century Gothic" w:eastAsia="Times New Roman" w:hAnsi="Century Gothic"/>
          <w:i/>
          <w:iCs/>
          <w:sz w:val="18"/>
          <w:szCs w:val="18"/>
          <w:lang w:eastAsia="en-US"/>
        </w:rPr>
        <w:t xml:space="preserve">ECC/HANH's current inspection contract with the City of New Haven costs $259,000. This number includes 860 inspections for </w:t>
      </w:r>
      <w:proofErr w:type="gramStart"/>
      <w:r w:rsidRPr="00820D8B">
        <w:rPr>
          <w:rFonts w:ascii="Century Gothic" w:eastAsia="Times New Roman" w:hAnsi="Century Gothic"/>
          <w:i/>
          <w:iCs/>
          <w:sz w:val="18"/>
          <w:szCs w:val="18"/>
          <w:lang w:eastAsia="en-US"/>
        </w:rPr>
        <w:t>fail</w:t>
      </w:r>
      <w:proofErr w:type="gramEnd"/>
      <w:r w:rsidRPr="00820D8B">
        <w:rPr>
          <w:rFonts w:ascii="Century Gothic" w:eastAsia="Times New Roman" w:hAnsi="Century Gothic"/>
          <w:i/>
          <w:iCs/>
          <w:sz w:val="18"/>
          <w:szCs w:val="18"/>
          <w:lang w:eastAsia="en-US"/>
        </w:rPr>
        <w:t xml:space="preserve"> items that are not </w:t>
      </w:r>
      <w:proofErr w:type="gramStart"/>
      <w:r w:rsidRPr="00820D8B">
        <w:rPr>
          <w:rFonts w:ascii="Century Gothic" w:eastAsia="Times New Roman" w:hAnsi="Century Gothic"/>
          <w:i/>
          <w:iCs/>
          <w:sz w:val="18"/>
          <w:szCs w:val="18"/>
          <w:lang w:eastAsia="en-US"/>
        </w:rPr>
        <w:t>health</w:t>
      </w:r>
      <w:proofErr w:type="gramEnd"/>
      <w:r w:rsidRPr="00820D8B">
        <w:rPr>
          <w:rFonts w:ascii="Century Gothic" w:eastAsia="Times New Roman" w:hAnsi="Century Gothic"/>
          <w:i/>
          <w:iCs/>
          <w:sz w:val="18"/>
          <w:szCs w:val="18"/>
          <w:lang w:eastAsia="en-US"/>
        </w:rPr>
        <w:t xml:space="preserve"> and safety related. These inspections cost $61,000 to process. The proposed policy will allow self-certification for these issues.</w:t>
      </w:r>
      <w:r w:rsidR="28DA54DC" w:rsidRPr="00820D8B">
        <w:rPr>
          <w:rFonts w:ascii="Century Gothic" w:eastAsia="Times New Roman" w:hAnsi="Century Gothic"/>
          <w:i/>
          <w:iCs/>
          <w:sz w:val="18"/>
          <w:szCs w:val="18"/>
          <w:lang w:eastAsia="en-US"/>
        </w:rPr>
        <w:t xml:space="preserve"> (amount of HQS contract/number of inspections)</w:t>
      </w:r>
    </w:p>
    <w:p w14:paraId="70C7D072" w14:textId="3A863389" w:rsidR="00574C36" w:rsidRPr="00820D8B" w:rsidRDefault="7A8A3228" w:rsidP="00486062">
      <w:pPr>
        <w:numPr>
          <w:ilvl w:val="0"/>
          <w:numId w:val="80"/>
        </w:numPr>
        <w:rPr>
          <w:rFonts w:ascii="Century Gothic" w:eastAsia="Times New Roman" w:hAnsi="Century Gothic"/>
          <w:i/>
          <w:iCs/>
          <w:sz w:val="18"/>
          <w:szCs w:val="18"/>
          <w:highlight w:val="yellow"/>
          <w:lang w:eastAsia="en-US"/>
        </w:rPr>
      </w:pPr>
      <w:r w:rsidRPr="001A47F3">
        <w:rPr>
          <w:rFonts w:ascii="Century Gothic" w:eastAsia="Times New Roman" w:hAnsi="Century Gothic"/>
          <w:i/>
          <w:iCs/>
          <w:sz w:val="18"/>
          <w:szCs w:val="18"/>
          <w:lang w:eastAsia="en-US"/>
        </w:rPr>
        <w:t>**</w:t>
      </w:r>
      <w:proofErr w:type="gramStart"/>
      <w:r w:rsidR="006A032F">
        <w:rPr>
          <w:rFonts w:ascii="Century Gothic" w:eastAsia="Times New Roman" w:hAnsi="Century Gothic"/>
          <w:i/>
          <w:iCs/>
          <w:sz w:val="18"/>
          <w:szCs w:val="18"/>
          <w:lang w:eastAsia="en-US"/>
        </w:rPr>
        <w:t xml:space="preserve">2014 </w:t>
      </w:r>
      <w:r w:rsidR="00A14F96">
        <w:rPr>
          <w:rFonts w:ascii="Century Gothic" w:eastAsia="Times New Roman" w:hAnsi="Century Gothic"/>
          <w:i/>
          <w:iCs/>
          <w:sz w:val="18"/>
          <w:szCs w:val="18"/>
          <w:lang w:eastAsia="en-US"/>
        </w:rPr>
        <w:t xml:space="preserve">- </w:t>
      </w:r>
      <w:r w:rsidR="00A14F96" w:rsidRPr="00820D8B">
        <w:rPr>
          <w:rFonts w:ascii="Century Gothic" w:eastAsia="Times New Roman" w:hAnsi="Century Gothic"/>
          <w:i/>
          <w:iCs/>
          <w:sz w:val="18"/>
          <w:szCs w:val="18"/>
          <w:lang w:eastAsia="en-US"/>
        </w:rPr>
        <w:t>#</w:t>
      </w:r>
      <w:proofErr w:type="gramEnd"/>
      <w:r w:rsidRPr="00820D8B">
        <w:rPr>
          <w:rFonts w:ascii="Century Gothic" w:eastAsia="Times New Roman" w:hAnsi="Century Gothic"/>
          <w:i/>
          <w:iCs/>
          <w:sz w:val="18"/>
          <w:szCs w:val="18"/>
          <w:lang w:eastAsia="en-US"/>
        </w:rPr>
        <w:t xml:space="preserve"> of HCV program inspections under current MTW inspection policy </w:t>
      </w:r>
      <w:proofErr w:type="gramStart"/>
      <w:r w:rsidRPr="00820D8B">
        <w:rPr>
          <w:rFonts w:ascii="Century Gothic" w:eastAsia="Times New Roman" w:hAnsi="Century Gothic"/>
          <w:i/>
          <w:iCs/>
          <w:sz w:val="18"/>
          <w:szCs w:val="18"/>
          <w:lang w:eastAsia="en-US"/>
        </w:rPr>
        <w:t>is</w:t>
      </w:r>
      <w:proofErr w:type="gramEnd"/>
      <w:r w:rsidRPr="00820D8B">
        <w:rPr>
          <w:rFonts w:ascii="Century Gothic" w:eastAsia="Times New Roman" w:hAnsi="Century Gothic"/>
          <w:i/>
          <w:iCs/>
          <w:sz w:val="18"/>
          <w:szCs w:val="18"/>
          <w:lang w:eastAsia="en-US"/>
        </w:rPr>
        <w:t xml:space="preserve"> 2,484. # annual HQS inspections expected to be further reduced to 1,467 due to proposed MTW elderly/disabled population change and proposed biennial/triennial inspection protocol; Staff spend 15 minutes scheduling "annual" HQS inspections. FY 2015 inspections = 3,111; 3,616 in FY 2014. Note that the outcomes include the initial and special inspections. </w:t>
      </w:r>
    </w:p>
    <w:p w14:paraId="3C949B34" w14:textId="77777777" w:rsidR="00574C36" w:rsidRPr="00820D8B" w:rsidRDefault="00574C36" w:rsidP="6EDDC8C1">
      <w:pPr>
        <w:rPr>
          <w:rFonts w:ascii="Century Gothic" w:eastAsia="Times New Roman" w:hAnsi="Century Gothic"/>
          <w:highlight w:val="yellow"/>
        </w:rPr>
      </w:pPr>
    </w:p>
    <w:p w14:paraId="6B76BD20" w14:textId="77777777" w:rsidR="00574C36" w:rsidRPr="00820D8B" w:rsidRDefault="00574C36" w:rsidP="00574C36">
      <w:pPr>
        <w:rPr>
          <w:rFonts w:ascii="Century Gothic" w:eastAsia="Times New Roman" w:hAnsi="Century Gothic"/>
          <w:szCs w:val="22"/>
        </w:rPr>
      </w:pPr>
    </w:p>
    <w:tbl>
      <w:tblPr>
        <w:tblStyle w:val="TableGrid73"/>
        <w:tblW w:w="0" w:type="auto"/>
        <w:tblLook w:val="04A0" w:firstRow="1" w:lastRow="0" w:firstColumn="1" w:lastColumn="0" w:noHBand="0" w:noVBand="1"/>
      </w:tblPr>
      <w:tblGrid>
        <w:gridCol w:w="2806"/>
        <w:gridCol w:w="1760"/>
        <w:gridCol w:w="1804"/>
        <w:gridCol w:w="1910"/>
        <w:gridCol w:w="1656"/>
      </w:tblGrid>
      <w:tr w:rsidR="00574C36" w:rsidRPr="00820D8B" w14:paraId="1DBD267A" w14:textId="77777777" w:rsidTr="6EDDC8C1">
        <w:trPr>
          <w:trHeight w:val="400"/>
        </w:trPr>
        <w:tc>
          <w:tcPr>
            <w:tcW w:w="9936" w:type="dxa"/>
            <w:gridSpan w:val="5"/>
            <w:tcBorders>
              <w:top w:val="nil"/>
              <w:left w:val="nil"/>
              <w:bottom w:val="single" w:sz="24" w:space="0" w:color="ED7D31"/>
              <w:right w:val="nil"/>
            </w:tcBorders>
            <w:shd w:val="clear" w:color="auto" w:fill="808080" w:themeFill="background1" w:themeFillShade="80"/>
          </w:tcPr>
          <w:p w14:paraId="45425B80"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Metrics Related to Biennial/Triennial Landlord Rent Increase Component (3) of Activity</w:t>
            </w:r>
          </w:p>
        </w:tc>
      </w:tr>
      <w:tr w:rsidR="00574C36" w:rsidRPr="00820D8B" w14:paraId="69FFA918" w14:textId="77777777" w:rsidTr="6EDDC8C1">
        <w:trPr>
          <w:trHeight w:val="400"/>
        </w:trPr>
        <w:tc>
          <w:tcPr>
            <w:tcW w:w="9936" w:type="dxa"/>
            <w:gridSpan w:val="5"/>
            <w:tcBorders>
              <w:top w:val="single" w:sz="24" w:space="0" w:color="ED7D31"/>
              <w:left w:val="nil"/>
              <w:bottom w:val="single" w:sz="4" w:space="0" w:color="D9D9D9" w:themeColor="background1" w:themeShade="D9"/>
              <w:right w:val="nil"/>
            </w:tcBorders>
            <w:shd w:val="clear" w:color="auto" w:fill="808080" w:themeFill="background1" w:themeFillShade="80"/>
            <w:hideMark/>
          </w:tcPr>
          <w:p w14:paraId="7C79DC26"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CE #1: Agency Cost Savings</w:t>
            </w:r>
          </w:p>
        </w:tc>
      </w:tr>
      <w:tr w:rsidR="00574C36" w:rsidRPr="00820D8B" w14:paraId="43E0DA19" w14:textId="77777777" w:rsidTr="6EDDC8C1">
        <w:trPr>
          <w:trHeight w:val="633"/>
        </w:trPr>
        <w:tc>
          <w:tcPr>
            <w:tcW w:w="280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006F156"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Unit of Measurement</w:t>
            </w:r>
          </w:p>
        </w:tc>
        <w:tc>
          <w:tcPr>
            <w:tcW w:w="1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75652E21"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Baseline</w:t>
            </w:r>
          </w:p>
        </w:tc>
        <w:tc>
          <w:tcPr>
            <w:tcW w:w="18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5A7A98A"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Benchmark</w:t>
            </w:r>
          </w:p>
        </w:tc>
        <w:tc>
          <w:tcPr>
            <w:tcW w:w="19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4C1FEF38"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Outcome</w:t>
            </w:r>
          </w:p>
        </w:tc>
        <w:tc>
          <w:tcPr>
            <w:tcW w:w="165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00291A41"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Benchmark Achieved?</w:t>
            </w:r>
          </w:p>
        </w:tc>
      </w:tr>
      <w:tr w:rsidR="00574C36" w:rsidRPr="00820D8B" w14:paraId="5EA5E79F" w14:textId="77777777" w:rsidTr="6EDDC8C1">
        <w:trPr>
          <w:trHeight w:val="1817"/>
        </w:trPr>
        <w:tc>
          <w:tcPr>
            <w:tcW w:w="280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241BCA8D"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lastRenderedPageBreak/>
              <w:t>Cost (in annual HAP) of processing landlord rent increases</w:t>
            </w:r>
          </w:p>
        </w:tc>
        <w:tc>
          <w:tcPr>
            <w:tcW w:w="1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04A5AD8" w14:textId="77777777" w:rsidR="00574C36" w:rsidRDefault="00574C36" w:rsidP="00574C36">
            <w:pPr>
              <w:rPr>
                <w:rFonts w:ascii="Century Gothic" w:eastAsia="Times New Roman" w:hAnsi="Century Gothic"/>
                <w:szCs w:val="22"/>
              </w:rPr>
            </w:pPr>
            <w:r w:rsidRPr="00820D8B">
              <w:rPr>
                <w:rFonts w:ascii="Century Gothic" w:eastAsia="Times New Roman" w:hAnsi="Century Gothic"/>
                <w:szCs w:val="22"/>
              </w:rPr>
              <w:t>$573,000 (2014) *</w:t>
            </w:r>
          </w:p>
          <w:p w14:paraId="13422BC3" w14:textId="77777777" w:rsidR="00A2044F" w:rsidRDefault="00A2044F" w:rsidP="00574C36">
            <w:pPr>
              <w:rPr>
                <w:rFonts w:ascii="Century Gothic" w:eastAsia="Times New Roman" w:hAnsi="Century Gothic"/>
                <w:szCs w:val="22"/>
              </w:rPr>
            </w:pPr>
          </w:p>
          <w:p w14:paraId="5929B1A7" w14:textId="77777777" w:rsidR="00A2044F" w:rsidRDefault="00A2044F" w:rsidP="00574C36">
            <w:pPr>
              <w:rPr>
                <w:rFonts w:ascii="Century Gothic" w:eastAsia="Times New Roman" w:hAnsi="Century Gothic"/>
                <w:szCs w:val="22"/>
              </w:rPr>
            </w:pPr>
            <w:r>
              <w:rPr>
                <w:rFonts w:ascii="Century Gothic" w:eastAsia="Times New Roman" w:hAnsi="Century Gothic"/>
                <w:szCs w:val="22"/>
              </w:rPr>
              <w:t>$</w:t>
            </w:r>
            <w:r w:rsidR="00867F7C">
              <w:rPr>
                <w:rFonts w:ascii="Century Gothic" w:eastAsia="Times New Roman" w:hAnsi="Century Gothic"/>
                <w:szCs w:val="22"/>
              </w:rPr>
              <w:t>760,9</w:t>
            </w:r>
            <w:r w:rsidR="001702B3">
              <w:rPr>
                <w:rFonts w:ascii="Century Gothic" w:eastAsia="Times New Roman" w:hAnsi="Century Gothic"/>
                <w:szCs w:val="22"/>
              </w:rPr>
              <w:t>20</w:t>
            </w:r>
          </w:p>
          <w:p w14:paraId="59364070" w14:textId="3384E4BB" w:rsidR="001702B3" w:rsidRPr="00820D8B" w:rsidRDefault="001702B3" w:rsidP="00574C36">
            <w:pPr>
              <w:rPr>
                <w:rFonts w:ascii="Century Gothic" w:eastAsia="Times New Roman" w:hAnsi="Century Gothic"/>
                <w:szCs w:val="22"/>
              </w:rPr>
            </w:pPr>
            <w:r>
              <w:rPr>
                <w:rFonts w:ascii="Century Gothic" w:eastAsia="Times New Roman" w:hAnsi="Century Gothic"/>
                <w:szCs w:val="22"/>
              </w:rPr>
              <w:t>2024 – adjusted for inflation</w:t>
            </w:r>
          </w:p>
        </w:tc>
        <w:tc>
          <w:tcPr>
            <w:tcW w:w="18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EF7D4DB" w14:textId="6793210C" w:rsidR="00574C36" w:rsidRPr="00820D8B" w:rsidRDefault="00574C36" w:rsidP="655A2699">
            <w:pPr>
              <w:rPr>
                <w:rFonts w:ascii="Century Gothic" w:eastAsia="Times New Roman" w:hAnsi="Century Gothic"/>
              </w:rPr>
            </w:pPr>
            <w:r w:rsidRPr="00820D8B">
              <w:rPr>
                <w:rFonts w:ascii="Century Gothic" w:eastAsia="Times New Roman" w:hAnsi="Century Gothic"/>
              </w:rPr>
              <w:t>$200,000</w:t>
            </w:r>
          </w:p>
          <w:p w14:paraId="1152F1E4" w14:textId="272450E6" w:rsidR="00574C36" w:rsidRPr="00820D8B" w:rsidRDefault="12A24A6B" w:rsidP="655A2699">
            <w:pPr>
              <w:rPr>
                <w:rFonts w:ascii="Century Gothic" w:eastAsia="MS PGothic" w:hAnsi="Century Gothic"/>
                <w:szCs w:val="22"/>
              </w:rPr>
            </w:pPr>
            <w:r w:rsidRPr="00820D8B">
              <w:rPr>
                <w:rFonts w:ascii="Century Gothic" w:eastAsia="Times New Roman" w:hAnsi="Century Gothic"/>
                <w:szCs w:val="22"/>
              </w:rPr>
              <w:t xml:space="preserve">Proportionate reduction of 40% </w:t>
            </w:r>
          </w:p>
        </w:tc>
        <w:tc>
          <w:tcPr>
            <w:tcW w:w="19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78ABEF4" w14:textId="21BD46BE" w:rsidR="00E613A7" w:rsidRDefault="3E3449B2" w:rsidP="662A423E">
            <w:pPr>
              <w:tabs>
                <w:tab w:val="left" w:pos="855"/>
              </w:tabs>
              <w:rPr>
                <w:rFonts w:ascii="Century Gothic" w:eastAsia="Times New Roman" w:hAnsi="Century Gothic"/>
              </w:rPr>
            </w:pPr>
            <w:r w:rsidRPr="00820D8B">
              <w:rPr>
                <w:rFonts w:ascii="Century Gothic" w:eastAsia="Times New Roman" w:hAnsi="Century Gothic"/>
              </w:rPr>
              <w:t xml:space="preserve">2024: </w:t>
            </w:r>
            <w:r w:rsidR="7BEA627A" w:rsidRPr="00820D8B">
              <w:rPr>
                <w:rFonts w:ascii="Century Gothic" w:eastAsia="Times New Roman" w:hAnsi="Century Gothic"/>
              </w:rPr>
              <w:t>$</w:t>
            </w:r>
            <w:r w:rsidRPr="00820D8B">
              <w:rPr>
                <w:rFonts w:ascii="Century Gothic" w:eastAsia="Times New Roman" w:hAnsi="Century Gothic"/>
              </w:rPr>
              <w:t>365,905</w:t>
            </w:r>
          </w:p>
          <w:p w14:paraId="2FA59107" w14:textId="77777777" w:rsidR="005019B0" w:rsidRPr="00820D8B" w:rsidRDefault="005019B0" w:rsidP="662A423E">
            <w:pPr>
              <w:tabs>
                <w:tab w:val="left" w:pos="855"/>
              </w:tabs>
              <w:rPr>
                <w:rFonts w:ascii="Century Gothic" w:eastAsia="Times New Roman" w:hAnsi="Century Gothic"/>
              </w:rPr>
            </w:pPr>
          </w:p>
          <w:p w14:paraId="29FA54BE" w14:textId="403D7E83" w:rsidR="00E613A7" w:rsidRPr="00820D8B" w:rsidRDefault="69D35A66" w:rsidP="00E613A7">
            <w:pPr>
              <w:tabs>
                <w:tab w:val="left" w:pos="855"/>
              </w:tabs>
              <w:rPr>
                <w:rFonts w:ascii="Century Gothic" w:eastAsia="Times New Roman" w:hAnsi="Century Gothic"/>
              </w:rPr>
            </w:pPr>
            <w:r w:rsidRPr="00820D8B">
              <w:rPr>
                <w:rFonts w:ascii="Century Gothic" w:eastAsia="Times New Roman" w:hAnsi="Century Gothic"/>
              </w:rPr>
              <w:t>2023: $</w:t>
            </w:r>
            <w:r w:rsidR="777349DB" w:rsidRPr="00820D8B">
              <w:rPr>
                <w:rFonts w:ascii="Century Gothic" w:eastAsia="Times New Roman" w:hAnsi="Century Gothic"/>
              </w:rPr>
              <w:t>253,902</w:t>
            </w:r>
          </w:p>
          <w:p w14:paraId="00B013D4" w14:textId="579B84A8" w:rsidR="4A4E07A1" w:rsidRPr="00820D8B" w:rsidRDefault="4A4E07A1" w:rsidP="1B3F2E6D">
            <w:pPr>
              <w:tabs>
                <w:tab w:val="left" w:pos="855"/>
              </w:tabs>
              <w:rPr>
                <w:rFonts w:ascii="Century Gothic" w:eastAsia="Times New Roman" w:hAnsi="Century Gothic"/>
              </w:rPr>
            </w:pPr>
            <w:r w:rsidRPr="00820D8B">
              <w:rPr>
                <w:rFonts w:ascii="Century Gothic" w:eastAsia="Times New Roman" w:hAnsi="Century Gothic"/>
              </w:rPr>
              <w:t>2022: $140,585</w:t>
            </w:r>
          </w:p>
          <w:p w14:paraId="018B23CC" w14:textId="0F44CB4E" w:rsidR="00574C36" w:rsidRPr="00820D8B" w:rsidRDefault="733BADF8" w:rsidP="332E49E3">
            <w:pPr>
              <w:tabs>
                <w:tab w:val="left" w:pos="855"/>
              </w:tabs>
              <w:rPr>
                <w:rFonts w:ascii="Century Gothic" w:eastAsia="MS PGothic" w:hAnsi="Century Gothic"/>
              </w:rPr>
            </w:pPr>
            <w:r w:rsidRPr="00820D8B">
              <w:rPr>
                <w:rFonts w:ascii="Century Gothic" w:eastAsia="Times New Roman" w:hAnsi="Century Gothic"/>
              </w:rPr>
              <w:t xml:space="preserve">2021: </w:t>
            </w:r>
            <w:r w:rsidR="5A44B7E3" w:rsidRPr="00820D8B">
              <w:rPr>
                <w:rFonts w:ascii="Century Gothic" w:eastAsia="Times New Roman" w:hAnsi="Century Gothic"/>
              </w:rPr>
              <w:t>$107,240</w:t>
            </w:r>
          </w:p>
          <w:p w14:paraId="36166C34" w14:textId="1C86641C" w:rsidR="00574C36" w:rsidRPr="00820D8B" w:rsidRDefault="00574C36" w:rsidP="00574C36">
            <w:pPr>
              <w:tabs>
                <w:tab w:val="left" w:pos="855"/>
              </w:tabs>
              <w:rPr>
                <w:rFonts w:ascii="Century Gothic" w:eastAsia="Times New Roman" w:hAnsi="Century Gothic"/>
              </w:rPr>
            </w:pPr>
            <w:r w:rsidRPr="00820D8B">
              <w:rPr>
                <w:rFonts w:ascii="Century Gothic" w:eastAsia="Times New Roman" w:hAnsi="Century Gothic"/>
              </w:rPr>
              <w:t>2020: $136,428</w:t>
            </w:r>
          </w:p>
          <w:p w14:paraId="1541DF75"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2019: $115,140</w:t>
            </w:r>
          </w:p>
          <w:p w14:paraId="1B2659CE"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2018: $296,520</w:t>
            </w:r>
          </w:p>
          <w:p w14:paraId="2950068F"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2017: $453,324</w:t>
            </w:r>
          </w:p>
          <w:p w14:paraId="7E1863CD"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2016: $437,580</w:t>
            </w:r>
          </w:p>
          <w:p w14:paraId="08B9B719"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2015: $343,932</w:t>
            </w:r>
            <w:r w:rsidRPr="00820D8B">
              <w:rPr>
                <w:rFonts w:ascii="Century Gothic" w:eastAsia="Times New Roman" w:hAnsi="Century Gothic"/>
                <w:szCs w:val="22"/>
              </w:rPr>
              <w:br/>
              <w:t xml:space="preserve">2014: $573,000 </w:t>
            </w:r>
          </w:p>
        </w:tc>
        <w:tc>
          <w:tcPr>
            <w:tcW w:w="165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57B1E4DD" w14:textId="1E48FE5E" w:rsidR="00574C36" w:rsidRPr="00820D8B" w:rsidRDefault="553D1D50">
            <w:pPr>
              <w:rPr>
                <w:rFonts w:ascii="Century Gothic" w:eastAsia="Times New Roman" w:hAnsi="Century Gothic"/>
              </w:rPr>
            </w:pPr>
            <w:r w:rsidRPr="00820D8B">
              <w:rPr>
                <w:rFonts w:ascii="Century Gothic" w:eastAsia="Times New Roman" w:hAnsi="Century Gothic"/>
              </w:rPr>
              <w:t xml:space="preserve"> </w:t>
            </w:r>
            <w:r w:rsidR="00F022C9">
              <w:rPr>
                <w:rFonts w:ascii="Century Gothic" w:eastAsia="Times New Roman" w:hAnsi="Century Gothic"/>
              </w:rPr>
              <w:t>Yes</w:t>
            </w:r>
          </w:p>
        </w:tc>
      </w:tr>
      <w:tr w:rsidR="00574C36" w:rsidRPr="00820D8B" w14:paraId="10873FE0" w14:textId="77777777" w:rsidTr="6EDDC8C1">
        <w:trPr>
          <w:trHeight w:val="400"/>
        </w:trPr>
        <w:tc>
          <w:tcPr>
            <w:tcW w:w="9936" w:type="dxa"/>
            <w:gridSpan w:val="5"/>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808080" w:themeFill="background1" w:themeFillShade="80"/>
            <w:hideMark/>
          </w:tcPr>
          <w:p w14:paraId="1DB3A9D6"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CE #2: Staff Time Savings</w:t>
            </w:r>
          </w:p>
        </w:tc>
      </w:tr>
      <w:tr w:rsidR="00574C36" w:rsidRPr="00820D8B" w14:paraId="7993A248" w14:textId="77777777" w:rsidTr="6EDDC8C1">
        <w:trPr>
          <w:trHeight w:val="1565"/>
        </w:trPr>
        <w:tc>
          <w:tcPr>
            <w:tcW w:w="280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2FAA32A4"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Annual staff time (hours) spent processing landlord rent increases</w:t>
            </w:r>
          </w:p>
        </w:tc>
        <w:tc>
          <w:tcPr>
            <w:tcW w:w="1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47D995A" w14:textId="49909FF1" w:rsidR="00574C36" w:rsidRPr="00820D8B" w:rsidRDefault="00574C36" w:rsidP="23572633">
            <w:pPr>
              <w:rPr>
                <w:rFonts w:ascii="Century Gothic" w:eastAsia="Times New Roman" w:hAnsi="Century Gothic"/>
              </w:rPr>
            </w:pPr>
            <w:r w:rsidRPr="00820D8B">
              <w:rPr>
                <w:rFonts w:ascii="Century Gothic" w:eastAsia="Times New Roman" w:hAnsi="Century Gothic"/>
              </w:rPr>
              <w:t>401 hours (2014) **</w:t>
            </w:r>
          </w:p>
          <w:p w14:paraId="2F65953F" w14:textId="26E7CB98" w:rsidR="00574C36" w:rsidRPr="00820D8B" w:rsidRDefault="00574C36" w:rsidP="23572633">
            <w:pPr>
              <w:rPr>
                <w:rFonts w:ascii="Century Gothic" w:eastAsia="Times New Roman" w:hAnsi="Century Gothic"/>
              </w:rPr>
            </w:pPr>
          </w:p>
        </w:tc>
        <w:tc>
          <w:tcPr>
            <w:tcW w:w="18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71B594B" w14:textId="434C992A" w:rsidR="00574C36" w:rsidRPr="00820D8B" w:rsidRDefault="2551DB75" w:rsidP="655A2699">
            <w:pPr>
              <w:rPr>
                <w:rFonts w:ascii="Century Gothic" w:eastAsia="MS PGothic" w:hAnsi="Century Gothic"/>
                <w:szCs w:val="22"/>
              </w:rPr>
            </w:pPr>
            <w:r w:rsidRPr="00820D8B">
              <w:rPr>
                <w:rFonts w:ascii="Century Gothic" w:eastAsia="Times New Roman" w:hAnsi="Century Gothic"/>
              </w:rPr>
              <w:t>Reduce by 40%</w:t>
            </w:r>
          </w:p>
        </w:tc>
        <w:tc>
          <w:tcPr>
            <w:tcW w:w="19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A73AD25" w14:textId="6246C6F5" w:rsidR="00E613A7" w:rsidRPr="00820D8B" w:rsidRDefault="43508B5E" w:rsidP="662A423E">
            <w:pPr>
              <w:rPr>
                <w:rFonts w:ascii="Century Gothic" w:eastAsia="Times New Roman" w:hAnsi="Century Gothic"/>
              </w:rPr>
            </w:pPr>
            <w:r w:rsidRPr="00820D8B">
              <w:rPr>
                <w:rFonts w:ascii="Century Gothic" w:eastAsia="Times New Roman" w:hAnsi="Century Gothic"/>
              </w:rPr>
              <w:t>2024: 2245 h</w:t>
            </w:r>
            <w:r w:rsidR="555F74E6" w:rsidRPr="00820D8B">
              <w:rPr>
                <w:rFonts w:ascii="Century Gothic" w:eastAsia="Times New Roman" w:hAnsi="Century Gothic"/>
              </w:rPr>
              <w:t>ou</w:t>
            </w:r>
            <w:r w:rsidRPr="00820D8B">
              <w:rPr>
                <w:rFonts w:ascii="Century Gothic" w:eastAsia="Times New Roman" w:hAnsi="Century Gothic"/>
              </w:rPr>
              <w:t>rs</w:t>
            </w:r>
          </w:p>
          <w:p w14:paraId="435960DD" w14:textId="4973D6C6" w:rsidR="00E613A7" w:rsidRDefault="5634FBFD" w:rsidP="662A423E">
            <w:pPr>
              <w:rPr>
                <w:rFonts w:ascii="Century Gothic" w:eastAsia="Times New Roman" w:hAnsi="Century Gothic"/>
              </w:rPr>
            </w:pPr>
            <w:r w:rsidRPr="00820D8B">
              <w:rPr>
                <w:rFonts w:ascii="Century Gothic" w:eastAsia="Times New Roman" w:hAnsi="Century Gothic"/>
              </w:rPr>
              <w:t>(</w:t>
            </w:r>
            <w:r w:rsidR="097639EC" w:rsidRPr="00820D8B">
              <w:rPr>
                <w:rFonts w:ascii="Century Gothic" w:eastAsia="Times New Roman" w:hAnsi="Century Gothic"/>
              </w:rPr>
              <w:t>16% in</w:t>
            </w:r>
            <w:r w:rsidR="7BE64A21" w:rsidRPr="00820D8B">
              <w:rPr>
                <w:rFonts w:ascii="Century Gothic" w:eastAsia="Times New Roman" w:hAnsi="Century Gothic"/>
              </w:rPr>
              <w:t>crease)</w:t>
            </w:r>
          </w:p>
          <w:p w14:paraId="4A28ACB7" w14:textId="77777777" w:rsidR="00D04B5A" w:rsidRPr="00820D8B" w:rsidRDefault="00D04B5A" w:rsidP="662A423E">
            <w:pPr>
              <w:rPr>
                <w:rFonts w:ascii="Century Gothic" w:eastAsia="Times New Roman" w:hAnsi="Century Gothic"/>
              </w:rPr>
            </w:pPr>
          </w:p>
          <w:p w14:paraId="3A05CB1D" w14:textId="17B8C53D" w:rsidR="00E613A7" w:rsidRPr="00820D8B" w:rsidRDefault="724EACB7" w:rsidP="00E613A7">
            <w:pPr>
              <w:rPr>
                <w:rFonts w:ascii="Century Gothic" w:eastAsia="Times New Roman" w:hAnsi="Century Gothic"/>
              </w:rPr>
            </w:pPr>
            <w:r w:rsidRPr="00820D8B">
              <w:rPr>
                <w:rFonts w:ascii="Century Gothic" w:eastAsia="Times New Roman" w:hAnsi="Century Gothic"/>
              </w:rPr>
              <w:t xml:space="preserve">2023: </w:t>
            </w:r>
            <w:r w:rsidR="19C4B64E" w:rsidRPr="00820D8B">
              <w:rPr>
                <w:rFonts w:ascii="Century Gothic" w:eastAsia="Times New Roman" w:hAnsi="Century Gothic"/>
              </w:rPr>
              <w:t>1929</w:t>
            </w:r>
            <w:r w:rsidR="13563D24" w:rsidRPr="00820D8B">
              <w:rPr>
                <w:rFonts w:ascii="Century Gothic" w:eastAsia="Times New Roman" w:hAnsi="Century Gothic"/>
              </w:rPr>
              <w:t xml:space="preserve"> </w:t>
            </w:r>
            <w:proofErr w:type="spellStart"/>
            <w:r w:rsidRPr="00820D8B">
              <w:rPr>
                <w:rFonts w:ascii="Century Gothic" w:eastAsia="Times New Roman" w:hAnsi="Century Gothic"/>
              </w:rPr>
              <w:t>hrs</w:t>
            </w:r>
            <w:proofErr w:type="spellEnd"/>
            <w:r w:rsidR="254D6C15" w:rsidRPr="00820D8B">
              <w:rPr>
                <w:rFonts w:ascii="Century Gothic" w:eastAsia="Times New Roman" w:hAnsi="Century Gothic"/>
              </w:rPr>
              <w:t xml:space="preserve"> </w:t>
            </w:r>
          </w:p>
          <w:p w14:paraId="0327701D" w14:textId="66311161" w:rsidR="57085E29" w:rsidRPr="00820D8B" w:rsidRDefault="4E9E1C12" w:rsidP="1B3F2E6D">
            <w:pPr>
              <w:rPr>
                <w:rFonts w:ascii="Century Gothic" w:eastAsia="Times New Roman" w:hAnsi="Century Gothic"/>
              </w:rPr>
            </w:pPr>
            <w:r w:rsidRPr="00820D8B">
              <w:rPr>
                <w:rFonts w:ascii="Century Gothic" w:eastAsia="Times New Roman" w:hAnsi="Century Gothic"/>
              </w:rPr>
              <w:t>2022: 1472</w:t>
            </w:r>
            <w:r w:rsidR="54838388" w:rsidRPr="00820D8B">
              <w:rPr>
                <w:rFonts w:ascii="Century Gothic" w:eastAsia="Times New Roman" w:hAnsi="Century Gothic"/>
              </w:rPr>
              <w:t xml:space="preserve"> </w:t>
            </w:r>
            <w:proofErr w:type="spellStart"/>
            <w:r w:rsidR="54838388" w:rsidRPr="00820D8B">
              <w:rPr>
                <w:rFonts w:ascii="Century Gothic" w:eastAsia="Times New Roman" w:hAnsi="Century Gothic"/>
              </w:rPr>
              <w:t>hrs</w:t>
            </w:r>
            <w:proofErr w:type="spellEnd"/>
          </w:p>
          <w:p w14:paraId="6B713456" w14:textId="16F79F05" w:rsidR="00574C36" w:rsidRPr="00820D8B" w:rsidRDefault="792AFF96" w:rsidP="332E49E3">
            <w:pPr>
              <w:rPr>
                <w:rFonts w:ascii="Century Gothic" w:eastAsia="Times New Roman" w:hAnsi="Century Gothic"/>
              </w:rPr>
            </w:pPr>
            <w:r w:rsidRPr="00820D8B">
              <w:rPr>
                <w:rFonts w:ascii="Century Gothic" w:eastAsia="Times New Roman" w:hAnsi="Century Gothic"/>
              </w:rPr>
              <w:t xml:space="preserve">2021: </w:t>
            </w:r>
            <w:r w:rsidR="092B7876" w:rsidRPr="00820D8B">
              <w:rPr>
                <w:rFonts w:ascii="Century Gothic" w:eastAsia="Times New Roman" w:hAnsi="Century Gothic"/>
              </w:rPr>
              <w:t>264</w:t>
            </w:r>
            <w:r w:rsidR="00E857C0" w:rsidRPr="00820D8B">
              <w:rPr>
                <w:rFonts w:ascii="Century Gothic" w:eastAsia="Times New Roman" w:hAnsi="Century Gothic"/>
              </w:rPr>
              <w:t xml:space="preserve"> hours</w:t>
            </w:r>
          </w:p>
          <w:p w14:paraId="1F3D700F" w14:textId="294184C0" w:rsidR="00574C36" w:rsidRPr="00820D8B" w:rsidRDefault="00574C36" w:rsidP="00574C36">
            <w:pPr>
              <w:rPr>
                <w:rFonts w:ascii="Century Gothic" w:eastAsia="Times New Roman" w:hAnsi="Century Gothic"/>
              </w:rPr>
            </w:pPr>
            <w:r w:rsidRPr="00820D8B">
              <w:rPr>
                <w:rFonts w:ascii="Century Gothic" w:eastAsia="Times New Roman" w:hAnsi="Century Gothic"/>
              </w:rPr>
              <w:t>2020: 98 hours</w:t>
            </w:r>
          </w:p>
          <w:p w14:paraId="1300B2D0"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2019: 70 hours</w:t>
            </w:r>
          </w:p>
          <w:p w14:paraId="1CD8945B"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2018: 141 hours</w:t>
            </w:r>
          </w:p>
          <w:p w14:paraId="3BC022C7"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2017: 278 hours</w:t>
            </w:r>
          </w:p>
          <w:p w14:paraId="5502FD37"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2016: 232 hours</w:t>
            </w:r>
          </w:p>
          <w:p w14:paraId="6EB90769"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2015: 210 hours</w:t>
            </w:r>
          </w:p>
        </w:tc>
        <w:tc>
          <w:tcPr>
            <w:tcW w:w="165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4B5E3E94" w14:textId="77777777" w:rsidR="00574C36" w:rsidRPr="00820D8B" w:rsidRDefault="00574C36" w:rsidP="00574C36">
            <w:pPr>
              <w:rPr>
                <w:rFonts w:ascii="Century Gothic" w:eastAsia="Times New Roman" w:hAnsi="Century Gothic"/>
                <w:szCs w:val="22"/>
              </w:rPr>
            </w:pPr>
            <w:r w:rsidRPr="00820D8B">
              <w:rPr>
                <w:rFonts w:ascii="Century Gothic" w:eastAsia="Times New Roman" w:hAnsi="Century Gothic"/>
                <w:szCs w:val="22"/>
              </w:rPr>
              <w:t>No</w:t>
            </w:r>
          </w:p>
        </w:tc>
      </w:tr>
    </w:tbl>
    <w:p w14:paraId="2FC5A14A" w14:textId="77777777" w:rsidR="00574C36" w:rsidRPr="00820D8B" w:rsidRDefault="00574C36" w:rsidP="00574C36">
      <w:pPr>
        <w:tabs>
          <w:tab w:val="left" w:pos="5040"/>
        </w:tabs>
        <w:rPr>
          <w:rFonts w:ascii="Century Gothic" w:eastAsia="Times New Roman" w:hAnsi="Century Gothic"/>
          <w:i/>
          <w:sz w:val="18"/>
          <w:szCs w:val="18"/>
          <w:lang w:eastAsia="en-US"/>
        </w:rPr>
      </w:pPr>
      <w:r w:rsidRPr="00820D8B">
        <w:rPr>
          <w:rFonts w:ascii="Century Gothic" w:eastAsia="Times New Roman" w:hAnsi="Century Gothic"/>
          <w:i/>
          <w:sz w:val="18"/>
          <w:szCs w:val="18"/>
          <w:lang w:eastAsia="en-US"/>
        </w:rPr>
        <w:t>* ECC/HANH processed 401 annual landlord rent increases in FY14 with average annual HAP increase of $1,429 ($119 per month). ECC/HANH processed 210 HCV landlord rent increases in FY15.</w:t>
      </w:r>
    </w:p>
    <w:p w14:paraId="4BC9548C" w14:textId="77777777" w:rsidR="00574C36" w:rsidRPr="00820D8B" w:rsidRDefault="7FB2D0D2" w:rsidP="00574C36">
      <w:pPr>
        <w:tabs>
          <w:tab w:val="left" w:pos="5040"/>
        </w:tabs>
        <w:rPr>
          <w:rFonts w:ascii="Century Gothic" w:eastAsia="Times New Roman" w:hAnsi="Century Gothic"/>
          <w:i/>
          <w:sz w:val="18"/>
          <w:szCs w:val="18"/>
          <w:lang w:eastAsia="en-US"/>
        </w:rPr>
      </w:pPr>
      <w:r w:rsidRPr="00820D8B">
        <w:rPr>
          <w:rFonts w:ascii="Century Gothic" w:eastAsia="Times New Roman" w:hAnsi="Century Gothic"/>
          <w:i/>
          <w:iCs/>
          <w:sz w:val="18"/>
          <w:szCs w:val="18"/>
          <w:lang w:eastAsia="en-US"/>
        </w:rPr>
        <w:t>** ECC/HANH processed 401 annual landlord rent increases in FY14. 2014-time study found that landlord rent increases take an average of one hour to process.</w:t>
      </w:r>
    </w:p>
    <w:p w14:paraId="05BD4F56" w14:textId="3746A49E" w:rsidR="00574C36" w:rsidRPr="00820D8B" w:rsidRDefault="00574C36" w:rsidP="00574C36">
      <w:pPr>
        <w:spacing w:after="160" w:line="276" w:lineRule="auto"/>
        <w:rPr>
          <w:rFonts w:ascii="Century Gothic" w:eastAsia="Times New Roman" w:hAnsi="Century Gothic"/>
          <w:szCs w:val="22"/>
        </w:rPr>
      </w:pPr>
    </w:p>
    <w:tbl>
      <w:tblPr>
        <w:tblStyle w:val="TableGrid73"/>
        <w:tblW w:w="0" w:type="auto"/>
        <w:tblLook w:val="04A0" w:firstRow="1" w:lastRow="0" w:firstColumn="1" w:lastColumn="0" w:noHBand="0" w:noVBand="1"/>
      </w:tblPr>
      <w:tblGrid>
        <w:gridCol w:w="2665"/>
        <w:gridCol w:w="1837"/>
        <w:gridCol w:w="1857"/>
        <w:gridCol w:w="1720"/>
        <w:gridCol w:w="1857"/>
      </w:tblGrid>
      <w:tr w:rsidR="00574C36" w:rsidRPr="00820D8B" w14:paraId="4371A5C0" w14:textId="77777777" w:rsidTr="6EDDC8C1">
        <w:trPr>
          <w:trHeight w:val="324"/>
        </w:trPr>
        <w:tc>
          <w:tcPr>
            <w:tcW w:w="9936" w:type="dxa"/>
            <w:gridSpan w:val="5"/>
            <w:tcBorders>
              <w:top w:val="nil"/>
              <w:left w:val="nil"/>
              <w:bottom w:val="single" w:sz="24" w:space="0" w:color="ED7D31"/>
              <w:right w:val="nil"/>
            </w:tcBorders>
            <w:shd w:val="clear" w:color="auto" w:fill="808080" w:themeFill="background1" w:themeFillShade="80"/>
            <w:hideMark/>
          </w:tcPr>
          <w:p w14:paraId="7626A415"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Special Inspections</w:t>
            </w:r>
          </w:p>
        </w:tc>
      </w:tr>
      <w:tr w:rsidR="00574C36" w:rsidRPr="00820D8B" w14:paraId="65D9F7F6" w14:textId="77777777" w:rsidTr="6EDDC8C1">
        <w:trPr>
          <w:trHeight w:val="320"/>
        </w:trPr>
        <w:tc>
          <w:tcPr>
            <w:tcW w:w="2665" w:type="dxa"/>
            <w:tcBorders>
              <w:top w:val="single" w:sz="24" w:space="0" w:color="ED7D31"/>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79F094C8"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Unit of Measurement</w:t>
            </w:r>
          </w:p>
        </w:tc>
        <w:tc>
          <w:tcPr>
            <w:tcW w:w="1837" w:type="dxa"/>
            <w:tcBorders>
              <w:top w:val="single" w:sz="24" w:space="0" w:color="ED7D31"/>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1D88BB4A"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Baseline</w:t>
            </w:r>
          </w:p>
        </w:tc>
        <w:tc>
          <w:tcPr>
            <w:tcW w:w="1857" w:type="dxa"/>
            <w:tcBorders>
              <w:top w:val="single" w:sz="24" w:space="0" w:color="ED7D31"/>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2185B876"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Benchmark</w:t>
            </w:r>
          </w:p>
        </w:tc>
        <w:tc>
          <w:tcPr>
            <w:tcW w:w="1720" w:type="dxa"/>
            <w:tcBorders>
              <w:top w:val="single" w:sz="24" w:space="0" w:color="ED7D31"/>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hideMark/>
          </w:tcPr>
          <w:p w14:paraId="220251A6"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Outcome</w:t>
            </w:r>
          </w:p>
        </w:tc>
        <w:tc>
          <w:tcPr>
            <w:tcW w:w="1857" w:type="dxa"/>
            <w:tcBorders>
              <w:top w:val="single" w:sz="24" w:space="0" w:color="ED7D31"/>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hideMark/>
          </w:tcPr>
          <w:p w14:paraId="4E030B6B" w14:textId="77777777" w:rsidR="00574C36" w:rsidRPr="00820D8B" w:rsidRDefault="00574C36" w:rsidP="00574C36">
            <w:pPr>
              <w:jc w:val="center"/>
              <w:rPr>
                <w:rFonts w:ascii="Century Gothic" w:eastAsia="Times New Roman" w:hAnsi="Century Gothic"/>
                <w:b/>
                <w:szCs w:val="22"/>
              </w:rPr>
            </w:pPr>
            <w:r w:rsidRPr="00820D8B">
              <w:rPr>
                <w:rFonts w:ascii="Century Gothic" w:eastAsia="Times New Roman" w:hAnsi="Century Gothic"/>
                <w:b/>
                <w:szCs w:val="22"/>
              </w:rPr>
              <w:t>Benchmark Achieved?</w:t>
            </w:r>
          </w:p>
        </w:tc>
      </w:tr>
      <w:tr w:rsidR="00574C36" w:rsidRPr="00820D8B" w14:paraId="1E1A77CB" w14:textId="77777777" w:rsidTr="6EDDC8C1">
        <w:trPr>
          <w:trHeight w:val="1628"/>
        </w:trPr>
        <w:tc>
          <w:tcPr>
            <w:tcW w:w="266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hideMark/>
          </w:tcPr>
          <w:p w14:paraId="760A8E60" w14:textId="275412AE" w:rsidR="00574C36" w:rsidRPr="00820D8B" w:rsidRDefault="00574C36" w:rsidP="655A2699">
            <w:pPr>
              <w:rPr>
                <w:rFonts w:ascii="Century Gothic" w:eastAsia="Times New Roman" w:hAnsi="Century Gothic"/>
              </w:rPr>
            </w:pPr>
            <w:r w:rsidRPr="00820D8B">
              <w:rPr>
                <w:rFonts w:ascii="Century Gothic" w:eastAsia="Times New Roman" w:hAnsi="Century Gothic"/>
              </w:rPr>
              <w:t>Number of HCV special inspections</w:t>
            </w:r>
            <w:r w:rsidR="007C3819" w:rsidRPr="00820D8B">
              <w:rPr>
                <w:rFonts w:ascii="Century Gothic" w:eastAsia="Times New Roman" w:hAnsi="Century Gothic"/>
              </w:rPr>
              <w:t xml:space="preserve"> (percent of vouchers issued)</w:t>
            </w:r>
          </w:p>
        </w:tc>
        <w:tc>
          <w:tcPr>
            <w:tcW w:w="18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E04FC4D" w14:textId="18671510" w:rsidR="00574C36" w:rsidRPr="00820D8B" w:rsidRDefault="00574C36" w:rsidP="655A2699">
            <w:pPr>
              <w:rPr>
                <w:rFonts w:ascii="Century Gothic" w:eastAsia="Times New Roman" w:hAnsi="Century Gothic"/>
              </w:rPr>
            </w:pPr>
            <w:r w:rsidRPr="00820D8B">
              <w:rPr>
                <w:rFonts w:ascii="Century Gothic" w:eastAsia="Times New Roman" w:hAnsi="Century Gothic"/>
              </w:rPr>
              <w:t>157 special inspections (2015)</w:t>
            </w:r>
            <w:r w:rsidR="002552C8" w:rsidRPr="00820D8B">
              <w:rPr>
                <w:rFonts w:ascii="Century Gothic" w:eastAsia="Times New Roman" w:hAnsi="Century Gothic"/>
              </w:rPr>
              <w:t xml:space="preserve"> (5%)</w:t>
            </w:r>
          </w:p>
        </w:tc>
        <w:tc>
          <w:tcPr>
            <w:tcW w:w="18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04FE086" w14:textId="77777777" w:rsidR="00574C36" w:rsidRPr="00820D8B" w:rsidRDefault="00574C36" w:rsidP="655A2699">
            <w:pPr>
              <w:rPr>
                <w:rFonts w:ascii="Century Gothic" w:eastAsia="Times New Roman" w:hAnsi="Century Gothic"/>
              </w:rPr>
            </w:pPr>
            <w:r w:rsidRPr="00820D8B">
              <w:rPr>
                <w:rFonts w:ascii="Century Gothic" w:eastAsia="Times New Roman" w:hAnsi="Century Gothic"/>
              </w:rPr>
              <w:t>No significant increase over baseline</w:t>
            </w:r>
          </w:p>
        </w:tc>
        <w:tc>
          <w:tcPr>
            <w:tcW w:w="17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E10934" w14:textId="78A2F5EE" w:rsidR="00965DC2" w:rsidRPr="00820D8B" w:rsidRDefault="69697815" w:rsidP="662A423E">
            <w:pPr>
              <w:rPr>
                <w:rFonts w:ascii="Century Gothic" w:eastAsia="Times New Roman" w:hAnsi="Century Gothic"/>
              </w:rPr>
            </w:pPr>
            <w:r w:rsidRPr="00820D8B">
              <w:rPr>
                <w:rFonts w:ascii="Century Gothic" w:eastAsia="Times New Roman" w:hAnsi="Century Gothic"/>
              </w:rPr>
              <w:t>2024:</w:t>
            </w:r>
            <w:r w:rsidR="747DCCEC" w:rsidRPr="00820D8B">
              <w:rPr>
                <w:rFonts w:ascii="Century Gothic" w:eastAsia="Times New Roman" w:hAnsi="Century Gothic"/>
              </w:rPr>
              <w:t xml:space="preserve"> </w:t>
            </w:r>
            <w:r w:rsidRPr="00820D8B">
              <w:rPr>
                <w:rFonts w:ascii="Century Gothic" w:eastAsia="Times New Roman" w:hAnsi="Century Gothic"/>
              </w:rPr>
              <w:t>467</w:t>
            </w:r>
            <w:r w:rsidR="2E86477E" w:rsidRPr="00820D8B">
              <w:rPr>
                <w:rFonts w:ascii="Century Gothic" w:eastAsia="Times New Roman" w:hAnsi="Century Gothic"/>
              </w:rPr>
              <w:t xml:space="preserve"> (</w:t>
            </w:r>
            <w:r w:rsidR="009123D8">
              <w:rPr>
                <w:rFonts w:ascii="Century Gothic" w:eastAsia="Times New Roman" w:hAnsi="Century Gothic"/>
              </w:rPr>
              <w:t>9</w:t>
            </w:r>
            <w:r w:rsidR="2E86477E" w:rsidRPr="00820D8B">
              <w:rPr>
                <w:rFonts w:ascii="Century Gothic" w:eastAsia="Times New Roman" w:hAnsi="Century Gothic"/>
              </w:rPr>
              <w:t>%)</w:t>
            </w:r>
          </w:p>
          <w:p w14:paraId="5A41C4E9" w14:textId="2B63F00A" w:rsidR="00965DC2" w:rsidRPr="00820D8B" w:rsidRDefault="65793E6C" w:rsidP="00965DC2">
            <w:pPr>
              <w:rPr>
                <w:rFonts w:ascii="Century Gothic" w:eastAsia="Times New Roman" w:hAnsi="Century Gothic"/>
              </w:rPr>
            </w:pPr>
            <w:r w:rsidRPr="00820D8B">
              <w:rPr>
                <w:rFonts w:ascii="Century Gothic" w:eastAsia="Times New Roman" w:hAnsi="Century Gothic"/>
              </w:rPr>
              <w:t xml:space="preserve">2023: </w:t>
            </w:r>
            <w:r w:rsidR="2B965990" w:rsidRPr="00820D8B">
              <w:rPr>
                <w:rFonts w:ascii="Century Gothic" w:eastAsia="Times New Roman" w:hAnsi="Century Gothic"/>
              </w:rPr>
              <w:t>300</w:t>
            </w:r>
            <w:r w:rsidRPr="00820D8B">
              <w:rPr>
                <w:rFonts w:ascii="Century Gothic" w:eastAsia="Times New Roman" w:hAnsi="Century Gothic"/>
              </w:rPr>
              <w:t xml:space="preserve"> (</w:t>
            </w:r>
            <w:r w:rsidR="006C6AFA" w:rsidRPr="00820D8B">
              <w:rPr>
                <w:rFonts w:ascii="Century Gothic" w:eastAsia="Times New Roman" w:hAnsi="Century Gothic"/>
              </w:rPr>
              <w:t>6%</w:t>
            </w:r>
          </w:p>
          <w:p w14:paraId="10175850" w14:textId="4A6A0C3E" w:rsidR="5C85B566" w:rsidRPr="00820D8B" w:rsidRDefault="5C85B566" w:rsidP="1B3F2E6D">
            <w:pPr>
              <w:rPr>
                <w:rFonts w:ascii="Century Gothic" w:eastAsia="Times New Roman" w:hAnsi="Century Gothic"/>
              </w:rPr>
            </w:pPr>
            <w:r w:rsidRPr="00820D8B">
              <w:rPr>
                <w:rFonts w:ascii="Century Gothic" w:eastAsia="Times New Roman" w:hAnsi="Century Gothic"/>
              </w:rPr>
              <w:t>2022: 373</w:t>
            </w:r>
            <w:r w:rsidR="000838EE" w:rsidRPr="00820D8B">
              <w:rPr>
                <w:rFonts w:ascii="Century Gothic" w:eastAsia="Times New Roman" w:hAnsi="Century Gothic"/>
              </w:rPr>
              <w:t xml:space="preserve"> (7%)</w:t>
            </w:r>
          </w:p>
          <w:p w14:paraId="2A5B47A6" w14:textId="1BB6602C" w:rsidR="00574C36" w:rsidRPr="00820D8B" w:rsidRDefault="6E58E80A" w:rsidP="332E49E3">
            <w:pPr>
              <w:rPr>
                <w:rFonts w:ascii="Century Gothic" w:eastAsia="Times New Roman" w:hAnsi="Century Gothic"/>
              </w:rPr>
            </w:pPr>
            <w:r w:rsidRPr="00820D8B">
              <w:rPr>
                <w:rFonts w:ascii="Century Gothic" w:eastAsia="Times New Roman" w:hAnsi="Century Gothic"/>
              </w:rPr>
              <w:t xml:space="preserve">2021: </w:t>
            </w:r>
            <w:r w:rsidR="5510CA5C" w:rsidRPr="00820D8B">
              <w:rPr>
                <w:rFonts w:ascii="Century Gothic" w:eastAsia="Times New Roman" w:hAnsi="Century Gothic"/>
              </w:rPr>
              <w:t>265</w:t>
            </w:r>
            <w:r w:rsidR="000838EE" w:rsidRPr="00820D8B">
              <w:rPr>
                <w:rFonts w:ascii="Century Gothic" w:eastAsia="Times New Roman" w:hAnsi="Century Gothic"/>
              </w:rPr>
              <w:t xml:space="preserve"> (5%)</w:t>
            </w:r>
          </w:p>
          <w:p w14:paraId="43656A9E" w14:textId="526C5AAC" w:rsidR="00574C36" w:rsidRPr="00820D8B" w:rsidRDefault="00574C36" w:rsidP="00574C36">
            <w:pPr>
              <w:rPr>
                <w:rFonts w:ascii="Century Gothic" w:eastAsia="Times New Roman" w:hAnsi="Century Gothic"/>
              </w:rPr>
            </w:pPr>
            <w:r w:rsidRPr="00820D8B">
              <w:rPr>
                <w:rFonts w:ascii="Century Gothic" w:eastAsia="Times New Roman" w:hAnsi="Century Gothic"/>
              </w:rPr>
              <w:t>2020: 82</w:t>
            </w:r>
            <w:r w:rsidR="005C6B99" w:rsidRPr="00820D8B">
              <w:rPr>
                <w:rFonts w:ascii="Century Gothic" w:eastAsia="Times New Roman" w:hAnsi="Century Gothic"/>
              </w:rPr>
              <w:t xml:space="preserve"> (</w:t>
            </w:r>
            <w:r w:rsidR="000838EE" w:rsidRPr="00820D8B">
              <w:rPr>
                <w:rFonts w:ascii="Century Gothic" w:eastAsia="Times New Roman" w:hAnsi="Century Gothic"/>
              </w:rPr>
              <w:t>2%)</w:t>
            </w:r>
          </w:p>
          <w:p w14:paraId="24B805A5" w14:textId="5A8E1809" w:rsidR="00574C36" w:rsidRPr="00820D8B" w:rsidRDefault="00574C36" w:rsidP="655A2699">
            <w:pPr>
              <w:rPr>
                <w:rFonts w:ascii="Century Gothic" w:eastAsia="Times New Roman" w:hAnsi="Century Gothic"/>
              </w:rPr>
            </w:pPr>
            <w:r w:rsidRPr="00820D8B">
              <w:rPr>
                <w:rFonts w:ascii="Century Gothic" w:eastAsia="Times New Roman" w:hAnsi="Century Gothic"/>
              </w:rPr>
              <w:t>2019: 208</w:t>
            </w:r>
            <w:r w:rsidR="000838EE" w:rsidRPr="00820D8B">
              <w:rPr>
                <w:rFonts w:ascii="Century Gothic" w:eastAsia="Times New Roman" w:hAnsi="Century Gothic"/>
              </w:rPr>
              <w:t xml:space="preserve"> (5%)</w:t>
            </w:r>
          </w:p>
          <w:p w14:paraId="42BD410A" w14:textId="2D26086F" w:rsidR="00574C36" w:rsidRPr="00820D8B" w:rsidRDefault="00574C36" w:rsidP="655A2699">
            <w:pPr>
              <w:rPr>
                <w:rFonts w:ascii="Century Gothic" w:eastAsia="Times New Roman" w:hAnsi="Century Gothic"/>
              </w:rPr>
            </w:pPr>
            <w:r w:rsidRPr="00820D8B">
              <w:rPr>
                <w:rFonts w:ascii="Century Gothic" w:eastAsia="Times New Roman" w:hAnsi="Century Gothic"/>
              </w:rPr>
              <w:t>2018: 277</w:t>
            </w:r>
            <w:r w:rsidR="000838EE" w:rsidRPr="00820D8B">
              <w:rPr>
                <w:rFonts w:ascii="Century Gothic" w:eastAsia="Times New Roman" w:hAnsi="Century Gothic"/>
              </w:rPr>
              <w:t xml:space="preserve"> (5%)</w:t>
            </w:r>
          </w:p>
          <w:p w14:paraId="7174FC04" w14:textId="1C9154DB" w:rsidR="00574C36" w:rsidRPr="00820D8B" w:rsidRDefault="00574C36" w:rsidP="655A2699">
            <w:pPr>
              <w:rPr>
                <w:rFonts w:ascii="Century Gothic" w:eastAsia="Times New Roman" w:hAnsi="Century Gothic"/>
              </w:rPr>
            </w:pPr>
            <w:r w:rsidRPr="00820D8B">
              <w:rPr>
                <w:rFonts w:ascii="Century Gothic" w:eastAsia="Times New Roman" w:hAnsi="Century Gothic"/>
              </w:rPr>
              <w:t>2017: 274</w:t>
            </w:r>
            <w:r w:rsidR="000838EE" w:rsidRPr="00820D8B">
              <w:rPr>
                <w:rFonts w:ascii="Century Gothic" w:eastAsia="Times New Roman" w:hAnsi="Century Gothic"/>
              </w:rPr>
              <w:t xml:space="preserve"> (6%)</w:t>
            </w:r>
          </w:p>
          <w:p w14:paraId="2FF5080F" w14:textId="4A038FC0" w:rsidR="00574C36" w:rsidRPr="00820D8B" w:rsidRDefault="00574C36" w:rsidP="655A2699">
            <w:pPr>
              <w:rPr>
                <w:rFonts w:ascii="Century Gothic" w:eastAsia="Times New Roman" w:hAnsi="Century Gothic"/>
              </w:rPr>
            </w:pPr>
            <w:r w:rsidRPr="00820D8B">
              <w:rPr>
                <w:rFonts w:ascii="Century Gothic" w:eastAsia="Times New Roman" w:hAnsi="Century Gothic"/>
              </w:rPr>
              <w:t>2016: 338</w:t>
            </w:r>
            <w:r w:rsidR="000838EE" w:rsidRPr="00820D8B">
              <w:rPr>
                <w:rFonts w:ascii="Century Gothic" w:eastAsia="Times New Roman" w:hAnsi="Century Gothic"/>
              </w:rPr>
              <w:t xml:space="preserve"> (9%)</w:t>
            </w:r>
          </w:p>
          <w:p w14:paraId="664302C9" w14:textId="05AE9810" w:rsidR="00574C36" w:rsidRPr="00820D8B" w:rsidRDefault="00574C36" w:rsidP="655A2699">
            <w:pPr>
              <w:rPr>
                <w:rFonts w:ascii="Century Gothic" w:eastAsia="Times New Roman" w:hAnsi="Century Gothic"/>
              </w:rPr>
            </w:pPr>
            <w:r w:rsidRPr="00820D8B">
              <w:rPr>
                <w:rFonts w:ascii="Century Gothic" w:eastAsia="Times New Roman" w:hAnsi="Century Gothic"/>
              </w:rPr>
              <w:t>2015: 157</w:t>
            </w:r>
            <w:r w:rsidR="000838EE" w:rsidRPr="00820D8B">
              <w:rPr>
                <w:rFonts w:ascii="Century Gothic" w:eastAsia="Times New Roman" w:hAnsi="Century Gothic"/>
              </w:rPr>
              <w:t xml:space="preserve"> (5%)</w:t>
            </w:r>
          </w:p>
        </w:tc>
        <w:tc>
          <w:tcPr>
            <w:tcW w:w="1857"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hideMark/>
          </w:tcPr>
          <w:p w14:paraId="33CEC2F8" w14:textId="49286E12" w:rsidR="00574C36" w:rsidRPr="00820D8B" w:rsidRDefault="009123D8" w:rsidP="4566E4F4">
            <w:pPr>
              <w:rPr>
                <w:rFonts w:ascii="Century Gothic" w:eastAsia="MS PGothic" w:hAnsi="Century Gothic"/>
                <w:szCs w:val="22"/>
              </w:rPr>
            </w:pPr>
            <w:r>
              <w:rPr>
                <w:rFonts w:ascii="Century Gothic" w:eastAsia="Times New Roman" w:hAnsi="Century Gothic"/>
              </w:rPr>
              <w:t>No</w:t>
            </w:r>
          </w:p>
        </w:tc>
      </w:tr>
    </w:tbl>
    <w:p w14:paraId="78725619" w14:textId="77777777" w:rsidR="00574C36" w:rsidRPr="00820D8B" w:rsidRDefault="00574C36" w:rsidP="655A2699">
      <w:pPr>
        <w:contextualSpacing/>
        <w:rPr>
          <w:rFonts w:ascii="Century Gothic" w:eastAsia="Calibri" w:hAnsi="Century Gothic"/>
          <w:i/>
          <w:iCs/>
          <w:sz w:val="18"/>
          <w:szCs w:val="18"/>
        </w:rPr>
      </w:pPr>
      <w:r w:rsidRPr="00820D8B">
        <w:rPr>
          <w:rFonts w:ascii="Century Gothic" w:eastAsia="Times New Roman" w:hAnsi="Century Gothic"/>
          <w:i/>
          <w:iCs/>
          <w:sz w:val="18"/>
          <w:szCs w:val="18"/>
          <w:lang w:eastAsia="en-US"/>
        </w:rPr>
        <w:t xml:space="preserve">*Self-certifications inspections were implemented mid-year 2017.  </w:t>
      </w:r>
    </w:p>
    <w:p w14:paraId="555DF57E" w14:textId="77777777" w:rsidR="00574C36" w:rsidRPr="00820D8B" w:rsidRDefault="00574C36" w:rsidP="00574C36">
      <w:pPr>
        <w:rPr>
          <w:rFonts w:ascii="Century Gothic" w:eastAsia="Times New Roman" w:hAnsi="Century Gothic"/>
          <w:highlight w:val="yellow"/>
        </w:rPr>
      </w:pPr>
    </w:p>
    <w:p w14:paraId="5603017B" w14:textId="77777777" w:rsidR="00803967" w:rsidRPr="00820D8B" w:rsidRDefault="00803967" w:rsidP="00F463C5">
      <w:pPr>
        <w:rPr>
          <w:rFonts w:ascii="Century Gothic" w:hAnsi="Century Gothic"/>
        </w:rPr>
      </w:pPr>
    </w:p>
    <w:p w14:paraId="0CADD4FD" w14:textId="5BE0F6DE" w:rsidR="0780D798" w:rsidRPr="00820D8B" w:rsidRDefault="0DB91FA0" w:rsidP="655A2699">
      <w:pPr>
        <w:pStyle w:val="Heading4"/>
        <w:rPr>
          <w:rStyle w:val="SubtleEmphasis"/>
          <w:rFonts w:ascii="Century Gothic" w:hAnsi="Century Gothic"/>
          <w:color w:val="808080" w:themeColor="background1" w:themeShade="80"/>
          <w:sz w:val="22"/>
        </w:rPr>
      </w:pPr>
      <w:r w:rsidRPr="00820D8B">
        <w:rPr>
          <w:rStyle w:val="SubtleEmphasis"/>
          <w:rFonts w:ascii="Century Gothic" w:hAnsi="Century Gothic" w:cs="Times New Roman"/>
          <w:color w:val="808080" w:themeColor="background1" w:themeShade="80"/>
          <w:sz w:val="22"/>
        </w:rPr>
        <w:lastRenderedPageBreak/>
        <w:t>Actual Non-Significant Changes</w:t>
      </w:r>
    </w:p>
    <w:p w14:paraId="50DBC3AC" w14:textId="2BDD322A" w:rsidR="332E49E3" w:rsidRPr="00820D8B" w:rsidRDefault="002348ED" w:rsidP="655A2699">
      <w:pPr>
        <w:rPr>
          <w:rFonts w:ascii="Century Gothic" w:eastAsia="Times New Roman" w:hAnsi="Century Gothic"/>
        </w:rPr>
      </w:pPr>
      <w:r w:rsidRPr="00820D8B">
        <w:rPr>
          <w:rFonts w:ascii="Century Gothic" w:eastAsia="Times New Roman" w:hAnsi="Century Gothic"/>
        </w:rPr>
        <w:t>None</w:t>
      </w:r>
    </w:p>
    <w:p w14:paraId="0EEEA360" w14:textId="77777777" w:rsidR="332E49E3" w:rsidRPr="00820D8B" w:rsidRDefault="332E49E3" w:rsidP="655A2699">
      <w:pPr>
        <w:rPr>
          <w:rFonts w:ascii="Century Gothic" w:hAnsi="Century Gothic"/>
        </w:rPr>
      </w:pPr>
    </w:p>
    <w:p w14:paraId="66F4B0FC" w14:textId="77777777" w:rsidR="332E49E3" w:rsidRPr="00820D8B" w:rsidRDefault="332E49E3" w:rsidP="655A2699">
      <w:pPr>
        <w:rPr>
          <w:rFonts w:ascii="Century Gothic" w:hAnsi="Century Gothic"/>
        </w:rPr>
      </w:pPr>
    </w:p>
    <w:p w14:paraId="62E2637F" w14:textId="76FEF8C7" w:rsidR="332E49E3" w:rsidRPr="00820D8B" w:rsidRDefault="0DB91FA0" w:rsidP="655A2699">
      <w:pPr>
        <w:rPr>
          <w:rStyle w:val="SubtleEmphasis"/>
          <w:rFonts w:ascii="Century Gothic" w:eastAsiaTheme="majorEastAsia" w:hAnsi="Century Gothic"/>
          <w:b/>
          <w:bCs/>
          <w:color w:val="808080" w:themeColor="background1" w:themeShade="80"/>
          <w:sz w:val="22"/>
          <w:szCs w:val="22"/>
        </w:rPr>
      </w:pPr>
      <w:r w:rsidRPr="00820D8B">
        <w:rPr>
          <w:rStyle w:val="SubtleEmphasis"/>
          <w:rFonts w:ascii="Century Gothic" w:eastAsiaTheme="majorEastAsia" w:hAnsi="Century Gothic"/>
          <w:b/>
          <w:bCs/>
          <w:color w:val="808080" w:themeColor="background1" w:themeShade="80"/>
          <w:sz w:val="22"/>
          <w:szCs w:val="22"/>
        </w:rPr>
        <w:t>Actual Significant Changes</w:t>
      </w:r>
    </w:p>
    <w:p w14:paraId="7DCACFC6" w14:textId="00267FFD" w:rsidR="655A2699" w:rsidRPr="00820D8B" w:rsidRDefault="004767E1" w:rsidP="1B3F2E6D">
      <w:pPr>
        <w:rPr>
          <w:rFonts w:ascii="Century Gothic" w:eastAsia="MS PGothic" w:hAnsi="Century Gothic"/>
        </w:rPr>
      </w:pPr>
      <w:r w:rsidRPr="00820D8B">
        <w:rPr>
          <w:rFonts w:ascii="Century Gothic" w:eastAsia="MS PGothic" w:hAnsi="Century Gothic"/>
        </w:rPr>
        <w:t>None</w:t>
      </w:r>
    </w:p>
    <w:bookmarkEnd w:id="173"/>
    <w:p w14:paraId="7D22C963" w14:textId="77777777" w:rsidR="00CE6839" w:rsidRDefault="00CE6839" w:rsidP="332E49E3">
      <w:pPr>
        <w:spacing w:before="120" w:after="80"/>
        <w:rPr>
          <w:rFonts w:eastAsia="MS PGothic"/>
          <w:b/>
          <w:color w:val="808080" w:themeColor="background1" w:themeShade="80"/>
          <w:highlight w:val="yellow"/>
        </w:rPr>
      </w:pPr>
    </w:p>
    <w:p w14:paraId="5A7E2B6E" w14:textId="77777777" w:rsidR="00574C36" w:rsidRPr="0020355D" w:rsidRDefault="00574C36" w:rsidP="00574C36">
      <w:pPr>
        <w:rPr>
          <w:rFonts w:ascii="Times New Roman" w:eastAsia="Times New Roman" w:hAnsi="Times New Roman"/>
          <w:szCs w:val="22"/>
          <w:lang w:eastAsia="en-US"/>
        </w:rPr>
      </w:pPr>
    </w:p>
    <w:p w14:paraId="1A8D4820" w14:textId="571E187C" w:rsidR="00574C36" w:rsidRDefault="00574C36" w:rsidP="00574C36">
      <w:pPr>
        <w:rPr>
          <w:rFonts w:eastAsia="MS PGothic"/>
          <w:szCs w:val="22"/>
        </w:rPr>
      </w:pPr>
    </w:p>
    <w:p w14:paraId="377D7DCB" w14:textId="4891B187" w:rsidR="004C1D06" w:rsidRPr="001725C7" w:rsidRDefault="00E7011F" w:rsidP="001725C7">
      <w:pPr>
        <w:spacing w:after="160" w:line="276" w:lineRule="auto"/>
        <w:rPr>
          <w:rFonts w:ascii="Times New Roman" w:eastAsia="Times New Roman" w:hAnsi="Times New Roman"/>
        </w:rPr>
      </w:pPr>
      <w:r w:rsidRPr="52E98CF8">
        <w:rPr>
          <w:rFonts w:ascii="Times New Roman" w:eastAsia="Times New Roman" w:hAnsi="Times New Roman"/>
        </w:rPr>
        <w:br w:type="page"/>
      </w:r>
    </w:p>
    <w:p w14:paraId="64153830" w14:textId="449B1F4C" w:rsidR="005343CD" w:rsidRPr="00790A8C" w:rsidRDefault="0B529AF2" w:rsidP="00486062">
      <w:pPr>
        <w:pStyle w:val="MTWHeader1"/>
        <w:numPr>
          <w:ilvl w:val="0"/>
          <w:numId w:val="99"/>
        </w:numPr>
        <w:rPr>
          <w:rFonts w:ascii="Century Gothic" w:eastAsia="Times New Roman" w:hAnsi="Century Gothic"/>
          <w:sz w:val="22"/>
          <w:szCs w:val="22"/>
        </w:rPr>
      </w:pPr>
      <w:bookmarkStart w:id="174" w:name="_Toc89871167"/>
      <w:r w:rsidRPr="00790A8C">
        <w:rPr>
          <w:rFonts w:ascii="Century Gothic" w:eastAsia="Times New Roman" w:hAnsi="Century Gothic"/>
          <w:sz w:val="22"/>
          <w:szCs w:val="22"/>
        </w:rPr>
        <w:lastRenderedPageBreak/>
        <w:t>NOT YET IMPLEMENTED</w:t>
      </w:r>
      <w:bookmarkEnd w:id="174"/>
    </w:p>
    <w:p w14:paraId="2C22AB28" w14:textId="05AA5D75" w:rsidR="7B27BE38" w:rsidRPr="00790A8C" w:rsidRDefault="0562AF56" w:rsidP="002D0B3C">
      <w:pPr>
        <w:pStyle w:val="Body1"/>
        <w:framePr w:wrap="around"/>
        <w:rPr>
          <w:rFonts w:ascii="Century Gothic" w:hAnsi="Century Gothic"/>
          <w:sz w:val="22"/>
          <w:szCs w:val="22"/>
        </w:rPr>
      </w:pPr>
      <w:r w:rsidRPr="00790A8C">
        <w:rPr>
          <w:rFonts w:ascii="Century Gothic" w:hAnsi="Century Gothic"/>
          <w:sz w:val="22"/>
          <w:szCs w:val="22"/>
        </w:rPr>
        <w:t>None</w:t>
      </w:r>
    </w:p>
    <w:p w14:paraId="64D0DC88" w14:textId="66FC5370" w:rsidR="2A137AEF" w:rsidRDefault="2A137AEF" w:rsidP="002D0B3C">
      <w:pPr>
        <w:pStyle w:val="Body1"/>
        <w:framePr w:wrap="around"/>
        <w:rPr>
          <w:rFonts w:ascii="Century Gothic" w:hAnsi="Century Gothic"/>
          <w:sz w:val="22"/>
          <w:szCs w:val="22"/>
        </w:rPr>
      </w:pPr>
    </w:p>
    <w:p w14:paraId="19675E7F" w14:textId="77777777" w:rsidR="00790A8C" w:rsidRPr="00790A8C" w:rsidRDefault="00790A8C" w:rsidP="002D0B3C">
      <w:pPr>
        <w:pStyle w:val="Body1"/>
        <w:framePr w:wrap="around"/>
        <w:rPr>
          <w:rFonts w:ascii="Century Gothic" w:hAnsi="Century Gothic"/>
          <w:sz w:val="22"/>
          <w:szCs w:val="22"/>
        </w:rPr>
      </w:pPr>
    </w:p>
    <w:p w14:paraId="42BD8A37" w14:textId="19B9BC31" w:rsidR="00EC5276" w:rsidRPr="00790A8C" w:rsidRDefault="39AB0C44" w:rsidP="00486062">
      <w:pPr>
        <w:pStyle w:val="ListParagraph"/>
        <w:numPr>
          <w:ilvl w:val="0"/>
          <w:numId w:val="99"/>
        </w:numPr>
        <w:rPr>
          <w:rFonts w:ascii="Century Gothic" w:eastAsia="Times New Roman" w:hAnsi="Century Gothic"/>
          <w:b/>
          <w:bCs/>
          <w:szCs w:val="22"/>
        </w:rPr>
      </w:pPr>
      <w:bookmarkStart w:id="175" w:name="_Toc89871169"/>
      <w:r w:rsidRPr="00790A8C">
        <w:rPr>
          <w:rFonts w:ascii="Century Gothic" w:eastAsia="Times New Roman" w:hAnsi="Century Gothic"/>
          <w:b/>
          <w:bCs/>
          <w:szCs w:val="22"/>
        </w:rPr>
        <w:t xml:space="preserve">ACTIVITIES </w:t>
      </w:r>
      <w:r w:rsidR="38F59E49" w:rsidRPr="00790A8C">
        <w:rPr>
          <w:rFonts w:ascii="Century Gothic" w:eastAsia="Times New Roman" w:hAnsi="Century Gothic"/>
          <w:b/>
          <w:bCs/>
          <w:szCs w:val="22"/>
        </w:rPr>
        <w:t>ON</w:t>
      </w:r>
      <w:r w:rsidR="006D2F09" w:rsidRPr="00790A8C">
        <w:rPr>
          <w:rFonts w:ascii="Century Gothic" w:eastAsia="Times New Roman" w:hAnsi="Century Gothic"/>
          <w:b/>
          <w:bCs/>
          <w:szCs w:val="22"/>
        </w:rPr>
        <w:t xml:space="preserve"> </w:t>
      </w:r>
      <w:r w:rsidR="38F59E49" w:rsidRPr="00790A8C">
        <w:rPr>
          <w:rFonts w:ascii="Century Gothic" w:eastAsia="Times New Roman" w:hAnsi="Century Gothic"/>
          <w:b/>
          <w:bCs/>
          <w:szCs w:val="22"/>
        </w:rPr>
        <w:t>HOLD</w:t>
      </w:r>
      <w:bookmarkEnd w:id="175"/>
      <w:r w:rsidR="38F59E49" w:rsidRPr="00790A8C">
        <w:rPr>
          <w:rFonts w:ascii="Century Gothic" w:eastAsia="Times New Roman" w:hAnsi="Century Gothic"/>
          <w:b/>
          <w:bCs/>
          <w:szCs w:val="22"/>
        </w:rPr>
        <w:t xml:space="preserve"> </w:t>
      </w:r>
    </w:p>
    <w:p w14:paraId="5511E270" w14:textId="77777777" w:rsidR="003D5779" w:rsidRPr="00790A8C" w:rsidRDefault="003D5779" w:rsidP="4566E4F4">
      <w:pPr>
        <w:ind w:firstLine="720"/>
        <w:rPr>
          <w:rFonts w:ascii="Century Gothic" w:eastAsia="Times New Roman" w:hAnsi="Century Gothic"/>
          <w:szCs w:val="22"/>
        </w:rPr>
      </w:pPr>
    </w:p>
    <w:p w14:paraId="641A838F" w14:textId="77777777" w:rsidR="006D2F09" w:rsidRPr="00790A8C" w:rsidRDefault="006D2F09" w:rsidP="006D2F09">
      <w:pPr>
        <w:rPr>
          <w:rFonts w:ascii="Century Gothic" w:hAnsi="Century Gothic"/>
          <w:b/>
          <w:bCs/>
          <w:szCs w:val="22"/>
        </w:rPr>
      </w:pPr>
      <w:r w:rsidRPr="00790A8C">
        <w:rPr>
          <w:rFonts w:ascii="Century Gothic" w:hAnsi="Century Gothic"/>
          <w:b/>
          <w:bCs/>
          <w:szCs w:val="22"/>
        </w:rPr>
        <w:t>Initiative 1.12 –</w:t>
      </w:r>
      <w:r w:rsidRPr="00790A8C">
        <w:rPr>
          <w:rFonts w:ascii="Century Gothic" w:hAnsi="Century Gothic"/>
          <w:szCs w:val="22"/>
        </w:rPr>
        <w:t xml:space="preserve"> </w:t>
      </w:r>
      <w:r w:rsidRPr="00790A8C">
        <w:rPr>
          <w:rFonts w:ascii="Century Gothic" w:hAnsi="Century Gothic"/>
          <w:b/>
          <w:bCs/>
          <w:szCs w:val="22"/>
        </w:rPr>
        <w:t xml:space="preserve">Development of Replacement Public Housing Units with MTW Block Grant Funds </w:t>
      </w:r>
    </w:p>
    <w:p w14:paraId="6835E288" w14:textId="77777777" w:rsidR="006D2F09" w:rsidRPr="00790A8C" w:rsidRDefault="006D2F09" w:rsidP="006D2F09">
      <w:pPr>
        <w:rPr>
          <w:rFonts w:ascii="Century Gothic" w:eastAsia="Calibri" w:hAnsi="Century Gothic"/>
          <w:b/>
          <w:bCs/>
          <w:szCs w:val="22"/>
        </w:rPr>
      </w:pPr>
      <w:r w:rsidRPr="00790A8C">
        <w:rPr>
          <w:rFonts w:ascii="Century Gothic" w:eastAsia="Calibri" w:hAnsi="Century Gothic"/>
          <w:b/>
          <w:bCs/>
          <w:szCs w:val="22"/>
        </w:rPr>
        <w:t xml:space="preserve">Approved in FY13 and implemented in FY14. </w:t>
      </w:r>
    </w:p>
    <w:p w14:paraId="76407696" w14:textId="4740A5D0" w:rsidR="006D2F09" w:rsidRPr="00790A8C" w:rsidRDefault="00790A8C" w:rsidP="006D2F09">
      <w:pPr>
        <w:rPr>
          <w:rFonts w:ascii="Century Gothic" w:hAnsi="Century Gothic"/>
          <w:b/>
          <w:bCs/>
          <w:szCs w:val="22"/>
        </w:rPr>
      </w:pPr>
      <w:r w:rsidRPr="00790A8C">
        <w:rPr>
          <w:rFonts w:ascii="Century Gothic" w:hAnsi="Century Gothic"/>
          <w:b/>
          <w:bCs/>
          <w:szCs w:val="22"/>
        </w:rPr>
        <w:t>Placed on Hold in FY24</w:t>
      </w:r>
    </w:p>
    <w:p w14:paraId="31D65407" w14:textId="77777777" w:rsidR="00790A8C" w:rsidRPr="00790A8C" w:rsidRDefault="00790A8C" w:rsidP="006D2F09">
      <w:pPr>
        <w:rPr>
          <w:rFonts w:ascii="Century Gothic" w:hAnsi="Century Gothic"/>
          <w:b/>
          <w:bCs/>
          <w:szCs w:val="22"/>
        </w:rPr>
      </w:pPr>
    </w:p>
    <w:p w14:paraId="22124A03" w14:textId="77777777" w:rsidR="006D2F09" w:rsidRPr="00790A8C" w:rsidRDefault="006D2F09" w:rsidP="006D2F09">
      <w:pPr>
        <w:pStyle w:val="Heading4"/>
        <w:rPr>
          <w:rStyle w:val="SubtleEmphasis"/>
          <w:rFonts w:ascii="Century Gothic" w:hAnsi="Century Gothic" w:cs="Times New Roman"/>
          <w:color w:val="808080" w:themeColor="background1" w:themeShade="80"/>
          <w:sz w:val="22"/>
        </w:rPr>
      </w:pPr>
      <w:r w:rsidRPr="00790A8C">
        <w:rPr>
          <w:rStyle w:val="SubtleEmphasis"/>
          <w:rFonts w:ascii="Century Gothic" w:hAnsi="Century Gothic" w:cs="Times New Roman"/>
          <w:color w:val="808080" w:themeColor="background1" w:themeShade="80"/>
          <w:sz w:val="22"/>
        </w:rPr>
        <w:t>Description</w:t>
      </w:r>
    </w:p>
    <w:p w14:paraId="32AE0FC3" w14:textId="77777777" w:rsidR="006D2F09" w:rsidRPr="00790A8C" w:rsidRDefault="006D2F09" w:rsidP="006D2F09">
      <w:pPr>
        <w:shd w:val="clear" w:color="auto" w:fill="FFFFFF" w:themeFill="background1"/>
        <w:rPr>
          <w:rFonts w:ascii="Century Gothic" w:eastAsia="Calibri" w:hAnsi="Century Gothic"/>
          <w:szCs w:val="22"/>
        </w:rPr>
      </w:pPr>
      <w:r w:rsidRPr="00790A8C">
        <w:rPr>
          <w:rFonts w:ascii="Century Gothic" w:eastAsia="Calibri" w:hAnsi="Century Gothic"/>
          <w:szCs w:val="22"/>
        </w:rPr>
        <w:t xml:space="preserve">In FY13, ECC/HANH proposed to begin a new initiative to develop public housing replacement units with MTW block grant funds, while making use of MTW authority to waive or substitute certain program rules. ECC/HANH pursued this initiative at certain sites in FY13, including </w:t>
      </w:r>
      <w:proofErr w:type="spellStart"/>
      <w:r w:rsidRPr="00790A8C">
        <w:rPr>
          <w:rFonts w:ascii="Century Gothic" w:eastAsia="Calibri" w:hAnsi="Century Gothic"/>
          <w:szCs w:val="22"/>
        </w:rPr>
        <w:t>Farnam</w:t>
      </w:r>
      <w:proofErr w:type="spellEnd"/>
      <w:r w:rsidRPr="00790A8C">
        <w:rPr>
          <w:rFonts w:ascii="Century Gothic" w:eastAsia="Calibri" w:hAnsi="Century Gothic"/>
          <w:szCs w:val="22"/>
        </w:rPr>
        <w:t xml:space="preserve"> Courts and Abraham Ribicoff Cottage and Extension, but intended to use this same model at other sites to be identified in the future.  </w:t>
      </w:r>
    </w:p>
    <w:p w14:paraId="5A9F67EE" w14:textId="77777777" w:rsidR="006D2F09" w:rsidRPr="00790A8C" w:rsidRDefault="006D2F09" w:rsidP="006D2F09">
      <w:pPr>
        <w:shd w:val="clear" w:color="auto" w:fill="FFFFFF" w:themeFill="background1"/>
        <w:rPr>
          <w:rFonts w:ascii="Century Gothic" w:eastAsia="MS PGothic" w:hAnsi="Century Gothic"/>
          <w:szCs w:val="22"/>
        </w:rPr>
      </w:pPr>
    </w:p>
    <w:p w14:paraId="2CD3C22B" w14:textId="77777777" w:rsidR="00412750" w:rsidRDefault="006D2F09" w:rsidP="006D2F09">
      <w:pPr>
        <w:shd w:val="clear" w:color="auto" w:fill="FFFFFF" w:themeFill="background1"/>
        <w:rPr>
          <w:rFonts w:ascii="Century Gothic" w:eastAsia="Calibri" w:hAnsi="Century Gothic"/>
          <w:szCs w:val="22"/>
        </w:rPr>
      </w:pPr>
      <w:r w:rsidRPr="00790A8C">
        <w:rPr>
          <w:rFonts w:ascii="Century Gothic" w:eastAsia="Calibri" w:hAnsi="Century Gothic"/>
          <w:szCs w:val="22"/>
        </w:rPr>
        <w:t xml:space="preserve">During recent years ECC/HANH has not used this initiative but has rather transitioned to RAD conversions using a Project Based Voucher and mixed-finance model.  The units that have been completed continue to be operated as public housing for purposes of admissions, continued occupancy, resident rights, and certain other rules. However, for purposes of providing ongoing operating assistance, ECC/HANH used its MTW authority to design and fund a local program to develop replacement public housing units under a local housing assistance payments contract with the owner entity, with operating assistance being utilized in a manner like the project-based voucher program. </w:t>
      </w:r>
    </w:p>
    <w:p w14:paraId="407AA117" w14:textId="77777777" w:rsidR="00412750" w:rsidRDefault="00412750" w:rsidP="006D2F09">
      <w:pPr>
        <w:shd w:val="clear" w:color="auto" w:fill="FFFFFF" w:themeFill="background1"/>
        <w:rPr>
          <w:rFonts w:ascii="Century Gothic" w:eastAsia="Calibri" w:hAnsi="Century Gothic"/>
          <w:szCs w:val="22"/>
        </w:rPr>
      </w:pPr>
    </w:p>
    <w:p w14:paraId="3063093A" w14:textId="2FB7FD3C" w:rsidR="006D2F09" w:rsidRPr="00790A8C" w:rsidRDefault="006D2F09" w:rsidP="006D2F09">
      <w:pPr>
        <w:shd w:val="clear" w:color="auto" w:fill="FFFFFF" w:themeFill="background1"/>
        <w:rPr>
          <w:rFonts w:ascii="Century Gothic" w:eastAsia="Calibri" w:hAnsi="Century Gothic"/>
          <w:szCs w:val="22"/>
        </w:rPr>
      </w:pPr>
      <w:r w:rsidRPr="00790A8C">
        <w:rPr>
          <w:rFonts w:ascii="Century Gothic" w:eastAsia="Calibri" w:hAnsi="Century Gothic"/>
          <w:szCs w:val="22"/>
        </w:rPr>
        <w:t>Among other things, this approach allows ECC/HANH to pay debt service on private loans taken out to support redevelopment projects. To the extent necessary, under its MTW authority ECC/HANH revised required forms to provide for this mix of applicable rules and sought the necessary HUD approvals.</w:t>
      </w:r>
    </w:p>
    <w:p w14:paraId="6265C1E5" w14:textId="77777777" w:rsidR="006D2F09" w:rsidRPr="00790A8C" w:rsidRDefault="006D2F09" w:rsidP="006D2F09">
      <w:pPr>
        <w:shd w:val="clear" w:color="auto" w:fill="FFFFFF" w:themeFill="background1"/>
        <w:rPr>
          <w:rFonts w:ascii="Century Gothic" w:eastAsia="Calibri" w:hAnsi="Century Gothic"/>
          <w:szCs w:val="22"/>
        </w:rPr>
      </w:pPr>
    </w:p>
    <w:p w14:paraId="74CC677F" w14:textId="77777777" w:rsidR="006D2F09" w:rsidRPr="00790A8C" w:rsidRDefault="006D2F09" w:rsidP="006D2F09">
      <w:pPr>
        <w:rPr>
          <w:rFonts w:ascii="Century Gothic" w:eastAsia="Calibri" w:hAnsi="Century Gothic"/>
          <w:szCs w:val="22"/>
        </w:rPr>
      </w:pPr>
      <w:proofErr w:type="gramStart"/>
      <w:r w:rsidRPr="00790A8C">
        <w:rPr>
          <w:rFonts w:ascii="Century Gothic" w:eastAsia="Calibri" w:hAnsi="Century Gothic"/>
          <w:szCs w:val="22"/>
        </w:rPr>
        <w:t>Subsequent to</w:t>
      </w:r>
      <w:proofErr w:type="gramEnd"/>
      <w:r w:rsidRPr="00790A8C">
        <w:rPr>
          <w:rFonts w:ascii="Century Gothic" w:eastAsia="Calibri" w:hAnsi="Century Gothic"/>
          <w:szCs w:val="22"/>
        </w:rPr>
        <w:t xml:space="preserve"> the approval of this initiative, ECC/HANH has successfully competed for RAD awards.  </w:t>
      </w:r>
    </w:p>
    <w:p w14:paraId="00F64745" w14:textId="77777777" w:rsidR="00790A8C" w:rsidRPr="00790A8C" w:rsidRDefault="00790A8C" w:rsidP="006D2F09">
      <w:pPr>
        <w:rPr>
          <w:rFonts w:ascii="Century Gothic" w:eastAsia="Calibri" w:hAnsi="Century Gothic"/>
          <w:szCs w:val="22"/>
        </w:rPr>
      </w:pPr>
    </w:p>
    <w:p w14:paraId="60AB7642" w14:textId="77777777" w:rsidR="006D2F09" w:rsidRPr="00790A8C" w:rsidRDefault="006D2F09" w:rsidP="006D2F09">
      <w:pPr>
        <w:pStyle w:val="Heading4"/>
        <w:rPr>
          <w:rFonts w:ascii="Century Gothic" w:eastAsia="Calibri" w:hAnsi="Century Gothic" w:cs="Times New Roman"/>
        </w:rPr>
      </w:pPr>
      <w:r w:rsidRPr="00790A8C">
        <w:rPr>
          <w:rFonts w:ascii="Century Gothic" w:eastAsia="Calibri" w:hAnsi="Century Gothic" w:cs="Times New Roman"/>
        </w:rPr>
        <w:t>Impact</w:t>
      </w:r>
    </w:p>
    <w:p w14:paraId="2CE4BD63" w14:textId="6D07B381" w:rsidR="006D2F09" w:rsidRPr="00790A8C" w:rsidRDefault="006D2F09" w:rsidP="006D2F09">
      <w:pPr>
        <w:rPr>
          <w:rFonts w:ascii="Century Gothic" w:hAnsi="Century Gothic"/>
          <w:szCs w:val="22"/>
        </w:rPr>
      </w:pPr>
      <w:r w:rsidRPr="00790A8C">
        <w:rPr>
          <w:rFonts w:ascii="Century Gothic" w:hAnsi="Century Gothic"/>
          <w:szCs w:val="22"/>
        </w:rPr>
        <w:t xml:space="preserve">The replacement of public housing units under this initiative is intended to promote housing choice for low-income families by </w:t>
      </w:r>
      <w:r w:rsidR="00501517" w:rsidRPr="00790A8C">
        <w:rPr>
          <w:rFonts w:ascii="Century Gothic" w:hAnsi="Century Gothic"/>
          <w:szCs w:val="22"/>
        </w:rPr>
        <w:t>replacing</w:t>
      </w:r>
      <w:r w:rsidRPr="00790A8C">
        <w:rPr>
          <w:rFonts w:ascii="Century Gothic" w:hAnsi="Century Gothic"/>
          <w:szCs w:val="22"/>
        </w:rPr>
        <w:t xml:space="preserve"> an aging and economically disadvantaged housing development with a resident oriented mixed income and mixed-use community.  </w:t>
      </w:r>
    </w:p>
    <w:p w14:paraId="5E4238A8" w14:textId="77777777" w:rsidR="006D2F09" w:rsidRPr="00790A8C" w:rsidRDefault="006D2F09" w:rsidP="006D2F09">
      <w:pPr>
        <w:rPr>
          <w:rFonts w:ascii="Century Gothic" w:hAnsi="Century Gothic"/>
          <w:szCs w:val="22"/>
        </w:rPr>
      </w:pPr>
    </w:p>
    <w:p w14:paraId="2D847FFD" w14:textId="17B61FE9" w:rsidR="006D2F09" w:rsidRPr="00790A8C" w:rsidRDefault="006D2F09" w:rsidP="006D2F09">
      <w:pPr>
        <w:rPr>
          <w:rFonts w:ascii="Century Gothic" w:hAnsi="Century Gothic"/>
          <w:szCs w:val="22"/>
        </w:rPr>
      </w:pPr>
      <w:r w:rsidRPr="00790A8C">
        <w:rPr>
          <w:rFonts w:ascii="Century Gothic" w:hAnsi="Century Gothic"/>
          <w:szCs w:val="22"/>
        </w:rPr>
        <w:t xml:space="preserve">The goal of this initiative is to transform obsolete and unsustainable housing developments with vibrant new developments while maintaining affordable housing opportunities for our residents.  The use of MTW block funds </w:t>
      </w:r>
      <w:r w:rsidR="00501517" w:rsidRPr="00790A8C">
        <w:rPr>
          <w:rFonts w:ascii="Century Gothic" w:hAnsi="Century Gothic"/>
          <w:szCs w:val="22"/>
        </w:rPr>
        <w:t>has</w:t>
      </w:r>
      <w:r w:rsidRPr="00790A8C">
        <w:rPr>
          <w:rFonts w:ascii="Century Gothic" w:hAnsi="Century Gothic"/>
          <w:szCs w:val="22"/>
        </w:rPr>
        <w:t xml:space="preserve"> produced over 1,200 quality affordable housing units. The ability to reposition the aging LIPH stock utilizing MTW Block funds allows for cost effectiveness by maximizing the leveraging of non-MTW funding.</w:t>
      </w:r>
    </w:p>
    <w:p w14:paraId="4F2EE985" w14:textId="77777777" w:rsidR="006D2F09" w:rsidRPr="00790A8C" w:rsidRDefault="006D2F09" w:rsidP="006D2F09">
      <w:pPr>
        <w:shd w:val="clear" w:color="auto" w:fill="FFFFFF" w:themeFill="background1"/>
        <w:rPr>
          <w:rFonts w:ascii="Century Gothic" w:eastAsia="Calibri" w:hAnsi="Century Gothic"/>
          <w:szCs w:val="22"/>
        </w:rPr>
      </w:pPr>
    </w:p>
    <w:p w14:paraId="55C180A3" w14:textId="77777777" w:rsidR="006D2F09" w:rsidRPr="00790A8C" w:rsidRDefault="006D2F09" w:rsidP="006D2F09">
      <w:pPr>
        <w:shd w:val="clear" w:color="auto" w:fill="FFFFFF" w:themeFill="background1"/>
        <w:rPr>
          <w:rFonts w:ascii="Century Gothic" w:hAnsi="Century Gothic"/>
          <w:szCs w:val="22"/>
        </w:rPr>
      </w:pPr>
    </w:p>
    <w:p w14:paraId="7B70C793" w14:textId="77777777" w:rsidR="006D2F09" w:rsidRPr="00790A8C" w:rsidRDefault="006D2F09" w:rsidP="006D2F09">
      <w:pPr>
        <w:shd w:val="clear" w:color="auto" w:fill="FFFFFF" w:themeFill="background1"/>
        <w:rPr>
          <w:rFonts w:ascii="Century Gothic" w:hAnsi="Century Gothic"/>
          <w:b/>
          <w:bCs/>
          <w:szCs w:val="22"/>
        </w:rPr>
      </w:pPr>
      <w:r w:rsidRPr="00790A8C">
        <w:rPr>
          <w:rFonts w:ascii="Century Gothic" w:hAnsi="Century Gothic"/>
          <w:b/>
          <w:bCs/>
          <w:szCs w:val="22"/>
        </w:rPr>
        <w:lastRenderedPageBreak/>
        <w:t>Outcome</w:t>
      </w:r>
    </w:p>
    <w:p w14:paraId="30A554DB" w14:textId="77777777" w:rsidR="006D2F09" w:rsidRPr="00790A8C" w:rsidRDefault="006D2F09" w:rsidP="006D2F09">
      <w:pPr>
        <w:shd w:val="clear" w:color="auto" w:fill="FFFFFF" w:themeFill="background1"/>
        <w:rPr>
          <w:rFonts w:ascii="Century Gothic" w:hAnsi="Century Gothic"/>
          <w:color w:val="7030A0"/>
          <w:szCs w:val="22"/>
        </w:rPr>
      </w:pPr>
    </w:p>
    <w:p w14:paraId="51B5122D" w14:textId="77777777" w:rsidR="006D2F09" w:rsidRPr="00790A8C" w:rsidRDefault="006D2F09" w:rsidP="006D2F09">
      <w:pPr>
        <w:shd w:val="clear" w:color="auto" w:fill="FFFFFF" w:themeFill="background1"/>
        <w:rPr>
          <w:rFonts w:ascii="Century Gothic" w:eastAsia="Calibri" w:hAnsi="Century Gothic"/>
          <w:szCs w:val="22"/>
        </w:rPr>
      </w:pPr>
      <w:r w:rsidRPr="00790A8C">
        <w:rPr>
          <w:rFonts w:ascii="Century Gothic" w:eastAsia="Calibri" w:hAnsi="Century Gothic"/>
          <w:szCs w:val="22"/>
        </w:rPr>
        <w:t>ECC/HANH’s need to implement this initiative has been limited due to the RAD portfolio award.  This approach may be applied to developments not selected or appropriate for RAD conversion.</w:t>
      </w:r>
    </w:p>
    <w:p w14:paraId="2A87202A" w14:textId="77777777" w:rsidR="006D2F09" w:rsidRPr="00790A8C" w:rsidRDefault="006D2F09" w:rsidP="006D2F09">
      <w:pPr>
        <w:shd w:val="clear" w:color="auto" w:fill="FFFFFF" w:themeFill="background1"/>
        <w:rPr>
          <w:rFonts w:ascii="Century Gothic" w:eastAsia="Calibri" w:hAnsi="Century Gothic"/>
          <w:szCs w:val="22"/>
        </w:rPr>
      </w:pPr>
    </w:p>
    <w:p w14:paraId="1CE9C09B" w14:textId="77777777" w:rsidR="006D2F09" w:rsidRPr="00790A8C" w:rsidRDefault="006D2F09" w:rsidP="006D2F09">
      <w:pPr>
        <w:shd w:val="clear" w:color="auto" w:fill="FFFFFF" w:themeFill="background1"/>
        <w:rPr>
          <w:rFonts w:ascii="Century Gothic" w:hAnsi="Century Gothic"/>
          <w:szCs w:val="22"/>
        </w:rPr>
      </w:pPr>
      <w:r w:rsidRPr="00790A8C">
        <w:rPr>
          <w:rFonts w:ascii="Century Gothic" w:hAnsi="Century Gothic"/>
          <w:szCs w:val="22"/>
        </w:rPr>
        <w:t>The MTW activity envisioned by this initiative was achieved with nearly 300 LIPH units redeveloped in new mixed finance developments.</w:t>
      </w:r>
    </w:p>
    <w:p w14:paraId="4E8EA983" w14:textId="77777777" w:rsidR="006D2F09" w:rsidRPr="00790A8C" w:rsidRDefault="006D2F09" w:rsidP="006D2F09">
      <w:pPr>
        <w:shd w:val="clear" w:color="auto" w:fill="FFFFFF" w:themeFill="background1"/>
        <w:rPr>
          <w:rFonts w:ascii="Century Gothic" w:hAnsi="Century Gothic"/>
          <w:szCs w:val="22"/>
        </w:rPr>
      </w:pPr>
    </w:p>
    <w:p w14:paraId="5209F110" w14:textId="77777777" w:rsidR="006D2F09" w:rsidRPr="00790A8C" w:rsidRDefault="006D2F09" w:rsidP="006D2F09">
      <w:pPr>
        <w:shd w:val="clear" w:color="auto" w:fill="FFFFFF" w:themeFill="background1"/>
        <w:rPr>
          <w:rFonts w:ascii="Century Gothic" w:eastAsia="Calibri" w:hAnsi="Century Gothic"/>
          <w:szCs w:val="22"/>
        </w:rPr>
      </w:pPr>
      <w:r w:rsidRPr="00790A8C">
        <w:rPr>
          <w:rFonts w:ascii="Century Gothic" w:eastAsia="Calibri" w:hAnsi="Century Gothic"/>
          <w:szCs w:val="22"/>
        </w:rPr>
        <w:t xml:space="preserve">In recent years, ECC/HANH has moved towards converting and repositioning LIPH units through a </w:t>
      </w:r>
      <w:proofErr w:type="gramStart"/>
      <w:r w:rsidRPr="00790A8C">
        <w:rPr>
          <w:rFonts w:ascii="Century Gothic" w:eastAsia="Calibri" w:hAnsi="Century Gothic"/>
          <w:szCs w:val="22"/>
        </w:rPr>
        <w:t>RAD mixed</w:t>
      </w:r>
      <w:proofErr w:type="gramEnd"/>
      <w:r w:rsidRPr="00790A8C">
        <w:rPr>
          <w:rFonts w:ascii="Century Gothic" w:eastAsia="Calibri" w:hAnsi="Century Gothic"/>
          <w:szCs w:val="22"/>
        </w:rPr>
        <w:t xml:space="preserve"> finance model and has not used this initiative since 2013.   In FY2024, this initiative was placed on hold.</w:t>
      </w:r>
    </w:p>
    <w:p w14:paraId="6271D0EC" w14:textId="77777777" w:rsidR="006D2F09" w:rsidRPr="00FC3B55" w:rsidRDefault="006D2F09" w:rsidP="006D2F09">
      <w:pPr>
        <w:pStyle w:val="NoSpacing"/>
        <w:rPr>
          <w:rFonts w:ascii="Century Gothic" w:hAnsi="Century Gothic" w:cs="Times New Roman"/>
          <w:color w:val="7030A0"/>
          <w:sz w:val="22"/>
          <w:szCs w:val="22"/>
        </w:rPr>
        <w:sectPr w:rsidR="006D2F09" w:rsidRPr="00FC3B55" w:rsidSect="003317E0">
          <w:pgSz w:w="12240" w:h="15840"/>
          <w:pgMar w:top="1152" w:right="1152" w:bottom="1152" w:left="1152" w:header="720" w:footer="720" w:gutter="0"/>
          <w:cols w:space="720"/>
          <w:titlePg/>
          <w:docGrid w:linePitch="360"/>
        </w:sectPr>
      </w:pPr>
    </w:p>
    <w:tbl>
      <w:tblPr>
        <w:tblW w:w="10386" w:type="dxa"/>
        <w:tblInd w:w="-450" w:type="dxa"/>
        <w:tblBorders>
          <w:top w:val="nil"/>
          <w:left w:val="nil"/>
          <w:bottom w:val="nil"/>
          <w:right w:val="nil"/>
        </w:tblBorders>
        <w:tblLook w:val="04A0" w:firstRow="1" w:lastRow="0" w:firstColumn="1" w:lastColumn="0" w:noHBand="0" w:noVBand="1"/>
      </w:tblPr>
      <w:tblGrid>
        <w:gridCol w:w="1303"/>
        <w:gridCol w:w="1069"/>
        <w:gridCol w:w="584"/>
        <w:gridCol w:w="584"/>
        <w:gridCol w:w="862"/>
        <w:gridCol w:w="780"/>
        <w:gridCol w:w="591"/>
        <w:gridCol w:w="1304"/>
        <w:gridCol w:w="1145"/>
        <w:gridCol w:w="1191"/>
        <w:gridCol w:w="973"/>
      </w:tblGrid>
      <w:tr w:rsidR="001F03C4" w:rsidRPr="00790A8C" w14:paraId="27691D44" w14:textId="77777777" w:rsidTr="00820D8B">
        <w:trPr>
          <w:cantSplit/>
          <w:trHeight w:val="810"/>
          <w:tblHeader/>
        </w:trPr>
        <w:tc>
          <w:tcPr>
            <w:tcW w:w="1303" w:type="dxa"/>
            <w:tcBorders>
              <w:top w:val="nil"/>
              <w:left w:val="nil"/>
              <w:bottom w:val="single" w:sz="24" w:space="0" w:color="B5333C" w:themeColor="accent2"/>
              <w:right w:val="single" w:sz="4" w:space="0" w:color="D9D9D9" w:themeColor="background1" w:themeShade="D9"/>
            </w:tcBorders>
            <w:shd w:val="clear" w:color="auto" w:fill="808080" w:themeFill="background1" w:themeFillShade="80"/>
            <w:vAlign w:val="center"/>
          </w:tcPr>
          <w:p w14:paraId="4368CCF8"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lastRenderedPageBreak/>
              <w:t>Development Name</w:t>
            </w:r>
          </w:p>
        </w:tc>
        <w:tc>
          <w:tcPr>
            <w:tcW w:w="1069"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268C1AC4"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rPr>
              <w:t>Year Converted</w:t>
            </w:r>
          </w:p>
        </w:tc>
        <w:tc>
          <w:tcPr>
            <w:tcW w:w="584"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67EB8E6B"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t>LIPH Units</w:t>
            </w:r>
          </w:p>
        </w:tc>
        <w:tc>
          <w:tcPr>
            <w:tcW w:w="584"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52C38812"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t>PBV Units</w:t>
            </w:r>
          </w:p>
        </w:tc>
        <w:tc>
          <w:tcPr>
            <w:tcW w:w="862"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3247F547"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t>Total # of Assisted Units</w:t>
            </w:r>
          </w:p>
        </w:tc>
        <w:tc>
          <w:tcPr>
            <w:tcW w:w="780"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0D997D5D"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t># of Market Rate Units</w:t>
            </w:r>
          </w:p>
        </w:tc>
        <w:tc>
          <w:tcPr>
            <w:tcW w:w="591"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546B00B9"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t>Total # of Units</w:t>
            </w:r>
          </w:p>
        </w:tc>
        <w:tc>
          <w:tcPr>
            <w:tcW w:w="1304"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28078BEE"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t>Overall Development Costs</w:t>
            </w:r>
          </w:p>
        </w:tc>
        <w:tc>
          <w:tcPr>
            <w:tcW w:w="1145"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448FF151"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t xml:space="preserve">MTW Share </w:t>
            </w:r>
          </w:p>
        </w:tc>
        <w:tc>
          <w:tcPr>
            <w:tcW w:w="1191"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612991AE"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t>MTW Per Unit</w:t>
            </w:r>
          </w:p>
        </w:tc>
        <w:tc>
          <w:tcPr>
            <w:tcW w:w="973" w:type="dxa"/>
            <w:tcBorders>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12C6B793" w14:textId="77777777" w:rsidR="006D2F09" w:rsidRPr="00820D8B" w:rsidRDefault="006D2F09" w:rsidP="00756C9E">
            <w:pPr>
              <w:jc w:val="center"/>
              <w:rPr>
                <w:rFonts w:ascii="Century Gothic" w:eastAsia="Times New Roman" w:hAnsi="Century Gothic"/>
                <w:b/>
                <w:bCs/>
                <w:sz w:val="20"/>
                <w:szCs w:val="20"/>
              </w:rPr>
            </w:pPr>
            <w:r w:rsidRPr="00820D8B">
              <w:rPr>
                <w:rFonts w:ascii="Century Gothic" w:eastAsia="Times New Roman" w:hAnsi="Century Gothic"/>
                <w:b/>
                <w:bCs/>
                <w:sz w:val="20"/>
                <w:szCs w:val="20"/>
                <w:lang w:eastAsia="en-US"/>
              </w:rPr>
              <w:t>MTW Leverage</w:t>
            </w:r>
          </w:p>
        </w:tc>
      </w:tr>
      <w:tr w:rsidR="001F03C4" w:rsidRPr="00790A8C" w14:paraId="4FA9AF29" w14:textId="77777777" w:rsidTr="00820D8B">
        <w:trPr>
          <w:trHeight w:hRule="exact" w:val="600"/>
        </w:trPr>
        <w:tc>
          <w:tcPr>
            <w:tcW w:w="1303"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FFFFFF" w:themeFill="background1"/>
            <w:vAlign w:val="center"/>
          </w:tcPr>
          <w:p w14:paraId="1C911301" w14:textId="77777777" w:rsidR="006D2F09" w:rsidRPr="00820D8B" w:rsidRDefault="006D2F09" w:rsidP="00756C9E">
            <w:pPr>
              <w:rPr>
                <w:rFonts w:ascii="Century Gothic" w:eastAsia="Times New Roman" w:hAnsi="Century Gothic"/>
                <w:sz w:val="20"/>
                <w:szCs w:val="20"/>
              </w:rPr>
            </w:pPr>
            <w:r w:rsidRPr="00820D8B">
              <w:rPr>
                <w:rFonts w:ascii="Century Gothic" w:eastAsia="Times New Roman" w:hAnsi="Century Gothic"/>
                <w:sz w:val="20"/>
                <w:szCs w:val="20"/>
                <w:lang w:eastAsia="en-US"/>
              </w:rPr>
              <w:t>Eastview Terrace Phase 1</w:t>
            </w:r>
          </w:p>
        </w:tc>
        <w:tc>
          <w:tcPr>
            <w:tcW w:w="1069"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492D5D3" w14:textId="77777777" w:rsidR="006D2F09" w:rsidRPr="00820D8B" w:rsidRDefault="006D2F09" w:rsidP="00756C9E">
            <w:pPr>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2009</w:t>
            </w:r>
          </w:p>
        </w:tc>
        <w:tc>
          <w:tcPr>
            <w:tcW w:w="584"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1021A592"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53</w:t>
            </w:r>
          </w:p>
        </w:tc>
        <w:tc>
          <w:tcPr>
            <w:tcW w:w="584"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5D98211"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49</w:t>
            </w:r>
          </w:p>
        </w:tc>
        <w:tc>
          <w:tcPr>
            <w:tcW w:w="862"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45FB093"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102</w:t>
            </w:r>
          </w:p>
        </w:tc>
        <w:tc>
          <w:tcPr>
            <w:tcW w:w="78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605CE8B"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91"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7D18DDA"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102</w:t>
            </w:r>
          </w:p>
        </w:tc>
        <w:tc>
          <w:tcPr>
            <w:tcW w:w="1304"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D3BB87C"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$43,110,362</w:t>
            </w:r>
          </w:p>
        </w:tc>
        <w:tc>
          <w:tcPr>
            <w:tcW w:w="1145"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7217A82"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$3,591,481</w:t>
            </w:r>
          </w:p>
        </w:tc>
        <w:tc>
          <w:tcPr>
            <w:tcW w:w="1191"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A65CB08"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$35,210.60</w:t>
            </w:r>
          </w:p>
        </w:tc>
        <w:tc>
          <w:tcPr>
            <w:tcW w:w="973"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E2ACAD9" w14:textId="77777777" w:rsidR="006D2F09" w:rsidRPr="00820D8B" w:rsidRDefault="006D2F09" w:rsidP="00756C9E">
            <w:pPr>
              <w:autoSpaceDE w:val="0"/>
              <w:autoSpaceDN w:val="0"/>
              <w:adjustRightInd w:val="0"/>
              <w:ind w:left="886" w:hanging="886"/>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12</w:t>
            </w:r>
          </w:p>
        </w:tc>
      </w:tr>
      <w:tr w:rsidR="001F03C4" w:rsidRPr="00790A8C" w14:paraId="712534B6" w14:textId="77777777" w:rsidTr="00820D8B">
        <w:trPr>
          <w:trHeight w:hRule="exact" w:val="586"/>
        </w:trPr>
        <w:tc>
          <w:tcPr>
            <w:tcW w:w="130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center"/>
          </w:tcPr>
          <w:p w14:paraId="210E9227" w14:textId="77777777" w:rsidR="006D2F09" w:rsidRPr="00820D8B" w:rsidRDefault="006D2F09" w:rsidP="00756C9E">
            <w:pPr>
              <w:rPr>
                <w:rFonts w:ascii="Century Gothic" w:eastAsia="Times New Roman" w:hAnsi="Century Gothic"/>
                <w:sz w:val="20"/>
                <w:szCs w:val="20"/>
              </w:rPr>
            </w:pPr>
            <w:r w:rsidRPr="00820D8B">
              <w:rPr>
                <w:rFonts w:ascii="Century Gothic" w:eastAsia="Times New Roman" w:hAnsi="Century Gothic"/>
                <w:sz w:val="20"/>
                <w:szCs w:val="20"/>
                <w:lang w:eastAsia="en-US"/>
              </w:rPr>
              <w:t>Quinnipiac Terrace 3</w:t>
            </w:r>
          </w:p>
        </w:tc>
        <w:tc>
          <w:tcPr>
            <w:tcW w:w="10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709ABE6" w14:textId="77777777" w:rsidR="006D2F09" w:rsidRPr="00820D8B" w:rsidRDefault="006D2F09" w:rsidP="00756C9E">
            <w:pPr>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2010</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9146634"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17</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EA1B5F3"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16</w:t>
            </w:r>
          </w:p>
        </w:tc>
        <w:tc>
          <w:tcPr>
            <w:tcW w:w="86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1CCE1C0C"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33</w:t>
            </w:r>
          </w:p>
        </w:tc>
        <w:tc>
          <w:tcPr>
            <w:tcW w:w="7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2A16BA13"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4ED29D8"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33</w:t>
            </w:r>
          </w:p>
        </w:tc>
        <w:tc>
          <w:tcPr>
            <w:tcW w:w="130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96B0D1F"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$15,013,613</w:t>
            </w:r>
          </w:p>
        </w:tc>
        <w:tc>
          <w:tcPr>
            <w:tcW w:w="11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AE34D4D"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$836,120</w:t>
            </w:r>
          </w:p>
        </w:tc>
        <w:tc>
          <w:tcPr>
            <w:tcW w:w="11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D198A84"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$25,336.97</w:t>
            </w:r>
          </w:p>
        </w:tc>
        <w:tc>
          <w:tcPr>
            <w:tcW w:w="97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7E3DA6B" w14:textId="77777777" w:rsidR="006D2F09" w:rsidRPr="00820D8B" w:rsidRDefault="006D2F09" w:rsidP="00756C9E">
            <w:pPr>
              <w:autoSpaceDE w:val="0"/>
              <w:autoSpaceDN w:val="0"/>
              <w:adjustRightInd w:val="0"/>
              <w:ind w:left="886" w:hanging="886"/>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18</w:t>
            </w:r>
          </w:p>
        </w:tc>
      </w:tr>
      <w:tr w:rsidR="001F03C4" w:rsidRPr="00790A8C" w14:paraId="3D4D702D" w14:textId="77777777" w:rsidTr="00820D8B">
        <w:trPr>
          <w:trHeight w:hRule="exact" w:val="424"/>
        </w:trPr>
        <w:tc>
          <w:tcPr>
            <w:tcW w:w="130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center"/>
          </w:tcPr>
          <w:p w14:paraId="21BEF11D" w14:textId="77777777" w:rsidR="006D2F09" w:rsidRPr="00820D8B" w:rsidRDefault="006D2F09" w:rsidP="00756C9E">
            <w:pPr>
              <w:rPr>
                <w:rFonts w:ascii="Century Gothic" w:eastAsia="Times New Roman" w:hAnsi="Century Gothic"/>
                <w:sz w:val="20"/>
                <w:szCs w:val="20"/>
              </w:rPr>
            </w:pPr>
            <w:r w:rsidRPr="00820D8B">
              <w:rPr>
                <w:rFonts w:ascii="Century Gothic" w:eastAsia="Times New Roman" w:hAnsi="Century Gothic"/>
                <w:sz w:val="20"/>
                <w:szCs w:val="20"/>
                <w:lang w:eastAsia="en-US"/>
              </w:rPr>
              <w:t>William T. Rowe</w:t>
            </w:r>
          </w:p>
        </w:tc>
        <w:tc>
          <w:tcPr>
            <w:tcW w:w="10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534ADB1" w14:textId="77777777" w:rsidR="006D2F09" w:rsidRPr="00820D8B" w:rsidRDefault="006D2F09" w:rsidP="00756C9E">
            <w:pPr>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2010</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0F83611"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46</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D3F110E"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32</w:t>
            </w:r>
          </w:p>
        </w:tc>
        <w:tc>
          <w:tcPr>
            <w:tcW w:w="86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77E089F"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78</w:t>
            </w:r>
          </w:p>
        </w:tc>
        <w:tc>
          <w:tcPr>
            <w:tcW w:w="7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91DA0FD"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26</w:t>
            </w:r>
          </w:p>
        </w:tc>
        <w:tc>
          <w:tcPr>
            <w:tcW w:w="5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10B5F2F6"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104</w:t>
            </w:r>
          </w:p>
        </w:tc>
        <w:tc>
          <w:tcPr>
            <w:tcW w:w="130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2F36942C"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$40,710,905</w:t>
            </w:r>
          </w:p>
        </w:tc>
        <w:tc>
          <w:tcPr>
            <w:tcW w:w="11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BDF166D"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$7,907,927</w:t>
            </w:r>
          </w:p>
        </w:tc>
        <w:tc>
          <w:tcPr>
            <w:tcW w:w="11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186C4784"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$76,037.76</w:t>
            </w:r>
          </w:p>
        </w:tc>
        <w:tc>
          <w:tcPr>
            <w:tcW w:w="97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D00465B" w14:textId="77777777" w:rsidR="006D2F09" w:rsidRPr="00820D8B" w:rsidRDefault="006D2F09" w:rsidP="00756C9E">
            <w:pPr>
              <w:autoSpaceDE w:val="0"/>
              <w:autoSpaceDN w:val="0"/>
              <w:adjustRightInd w:val="0"/>
              <w:ind w:left="886" w:hanging="886"/>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5</w:t>
            </w:r>
          </w:p>
        </w:tc>
      </w:tr>
      <w:tr w:rsidR="001F03C4" w:rsidRPr="00790A8C" w14:paraId="28BDC752" w14:textId="77777777" w:rsidTr="00820D8B">
        <w:trPr>
          <w:trHeight w:hRule="exact" w:val="370"/>
        </w:trPr>
        <w:tc>
          <w:tcPr>
            <w:tcW w:w="130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center"/>
          </w:tcPr>
          <w:p w14:paraId="02D6A55B" w14:textId="77777777" w:rsidR="006D2F09" w:rsidRPr="00820D8B" w:rsidRDefault="006D2F09" w:rsidP="00756C9E">
            <w:pPr>
              <w:rPr>
                <w:rFonts w:ascii="Century Gothic" w:eastAsia="Times New Roman" w:hAnsi="Century Gothic"/>
                <w:sz w:val="20"/>
                <w:szCs w:val="20"/>
              </w:rPr>
            </w:pPr>
            <w:r w:rsidRPr="00820D8B">
              <w:rPr>
                <w:rFonts w:ascii="Century Gothic" w:eastAsia="Times New Roman" w:hAnsi="Century Gothic"/>
                <w:sz w:val="20"/>
                <w:szCs w:val="20"/>
                <w:lang w:eastAsia="en-US"/>
              </w:rPr>
              <w:t>Brookside Phase I</w:t>
            </w:r>
          </w:p>
        </w:tc>
        <w:tc>
          <w:tcPr>
            <w:tcW w:w="10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F923B8B" w14:textId="77777777" w:rsidR="006D2F09" w:rsidRPr="00820D8B" w:rsidRDefault="006D2F09" w:rsidP="00756C9E">
            <w:pPr>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2011</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28033923"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50</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1EB3C504"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50</w:t>
            </w:r>
          </w:p>
        </w:tc>
        <w:tc>
          <w:tcPr>
            <w:tcW w:w="86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199E100"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100</w:t>
            </w:r>
          </w:p>
        </w:tc>
        <w:tc>
          <w:tcPr>
            <w:tcW w:w="7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7599FD5"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4557856"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100</w:t>
            </w:r>
          </w:p>
        </w:tc>
        <w:tc>
          <w:tcPr>
            <w:tcW w:w="130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DF6396E"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$40,618,730</w:t>
            </w:r>
          </w:p>
        </w:tc>
        <w:tc>
          <w:tcPr>
            <w:tcW w:w="11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A062806"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$6,625,828</w:t>
            </w:r>
          </w:p>
        </w:tc>
        <w:tc>
          <w:tcPr>
            <w:tcW w:w="11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93A39B5"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$66,258.28</w:t>
            </w:r>
          </w:p>
        </w:tc>
        <w:tc>
          <w:tcPr>
            <w:tcW w:w="97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9C4B230" w14:textId="77777777" w:rsidR="006D2F09" w:rsidRPr="00820D8B" w:rsidRDefault="006D2F09" w:rsidP="00756C9E">
            <w:pPr>
              <w:autoSpaceDE w:val="0"/>
              <w:autoSpaceDN w:val="0"/>
              <w:adjustRightInd w:val="0"/>
              <w:ind w:left="886" w:hanging="886"/>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6</w:t>
            </w:r>
          </w:p>
        </w:tc>
      </w:tr>
      <w:tr w:rsidR="001F03C4" w:rsidRPr="00790A8C" w14:paraId="7D6B9065" w14:textId="77777777" w:rsidTr="00820D8B">
        <w:trPr>
          <w:trHeight w:hRule="exact" w:val="442"/>
        </w:trPr>
        <w:tc>
          <w:tcPr>
            <w:tcW w:w="130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center"/>
          </w:tcPr>
          <w:p w14:paraId="0EC3B51F" w14:textId="77777777" w:rsidR="006D2F09" w:rsidRPr="00820D8B" w:rsidRDefault="006D2F09" w:rsidP="00756C9E">
            <w:pPr>
              <w:rPr>
                <w:rFonts w:ascii="Century Gothic" w:eastAsia="Times New Roman" w:hAnsi="Century Gothic"/>
                <w:sz w:val="20"/>
                <w:szCs w:val="20"/>
              </w:rPr>
            </w:pPr>
            <w:r w:rsidRPr="00820D8B">
              <w:rPr>
                <w:rFonts w:ascii="Century Gothic" w:eastAsia="Times New Roman" w:hAnsi="Century Gothic"/>
                <w:sz w:val="20"/>
                <w:szCs w:val="20"/>
                <w:lang w:eastAsia="en-US"/>
              </w:rPr>
              <w:t>Broo</w:t>
            </w:r>
            <w:r w:rsidRPr="00820D8B">
              <w:rPr>
                <w:rFonts w:ascii="Century Gothic" w:eastAsia="Times New Roman" w:hAnsi="Century Gothic"/>
                <w:sz w:val="20"/>
                <w:szCs w:val="20"/>
              </w:rPr>
              <w:t>k.</w:t>
            </w:r>
            <w:r w:rsidRPr="00820D8B">
              <w:rPr>
                <w:rFonts w:ascii="Century Gothic" w:eastAsia="Times New Roman" w:hAnsi="Century Gothic"/>
                <w:sz w:val="20"/>
                <w:szCs w:val="20"/>
                <w:lang w:eastAsia="en-US"/>
              </w:rPr>
              <w:t xml:space="preserve"> Phase II</w:t>
            </w:r>
          </w:p>
        </w:tc>
        <w:tc>
          <w:tcPr>
            <w:tcW w:w="10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5082E0C" w14:textId="77777777" w:rsidR="006D2F09" w:rsidRPr="00820D8B" w:rsidRDefault="006D2F09" w:rsidP="00756C9E">
            <w:pPr>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2012</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25DB3649"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50</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5BE63A3"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51</w:t>
            </w:r>
          </w:p>
        </w:tc>
        <w:tc>
          <w:tcPr>
            <w:tcW w:w="86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4014B3E"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101</w:t>
            </w:r>
          </w:p>
        </w:tc>
        <w:tc>
          <w:tcPr>
            <w:tcW w:w="7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0B059FF"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187968A0"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101</w:t>
            </w:r>
          </w:p>
        </w:tc>
        <w:tc>
          <w:tcPr>
            <w:tcW w:w="130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4AF8590"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$29,798,133</w:t>
            </w:r>
          </w:p>
        </w:tc>
        <w:tc>
          <w:tcPr>
            <w:tcW w:w="11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CA3AB12"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$1,633,849</w:t>
            </w:r>
          </w:p>
        </w:tc>
        <w:tc>
          <w:tcPr>
            <w:tcW w:w="11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DE6AF81"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$16,176.72</w:t>
            </w:r>
          </w:p>
        </w:tc>
        <w:tc>
          <w:tcPr>
            <w:tcW w:w="97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5E792CC" w14:textId="77777777" w:rsidR="006D2F09" w:rsidRPr="00820D8B" w:rsidRDefault="006D2F09" w:rsidP="00756C9E">
            <w:pPr>
              <w:autoSpaceDE w:val="0"/>
              <w:autoSpaceDN w:val="0"/>
              <w:adjustRightInd w:val="0"/>
              <w:ind w:left="886" w:hanging="886"/>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18</w:t>
            </w:r>
          </w:p>
        </w:tc>
      </w:tr>
      <w:tr w:rsidR="001F03C4" w:rsidRPr="00790A8C" w14:paraId="51E687B0" w14:textId="77777777" w:rsidTr="00820D8B">
        <w:trPr>
          <w:trHeight w:hRule="exact" w:val="460"/>
        </w:trPr>
        <w:tc>
          <w:tcPr>
            <w:tcW w:w="130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center"/>
          </w:tcPr>
          <w:p w14:paraId="53EA97A5" w14:textId="77777777" w:rsidR="006D2F09" w:rsidRPr="00820D8B" w:rsidRDefault="006D2F09" w:rsidP="00756C9E">
            <w:pPr>
              <w:rPr>
                <w:rFonts w:ascii="Century Gothic" w:eastAsia="Times New Roman" w:hAnsi="Century Gothic"/>
                <w:sz w:val="20"/>
                <w:szCs w:val="20"/>
              </w:rPr>
            </w:pPr>
            <w:r w:rsidRPr="00820D8B">
              <w:rPr>
                <w:rFonts w:ascii="Century Gothic" w:eastAsia="Times New Roman" w:hAnsi="Century Gothic"/>
                <w:sz w:val="20"/>
                <w:szCs w:val="20"/>
                <w:lang w:eastAsia="en-US"/>
              </w:rPr>
              <w:t>Wilmot Crossing</w:t>
            </w:r>
          </w:p>
        </w:tc>
        <w:tc>
          <w:tcPr>
            <w:tcW w:w="10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9C88542" w14:textId="77777777" w:rsidR="006D2F09" w:rsidRPr="00820D8B" w:rsidRDefault="006D2F09" w:rsidP="00756C9E">
            <w:pPr>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2012</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CAD1988"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27B9471B"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47</w:t>
            </w:r>
          </w:p>
        </w:tc>
        <w:tc>
          <w:tcPr>
            <w:tcW w:w="86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9E9A257"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47</w:t>
            </w:r>
          </w:p>
        </w:tc>
        <w:tc>
          <w:tcPr>
            <w:tcW w:w="7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3059AAD"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90BCC17"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47</w:t>
            </w:r>
          </w:p>
        </w:tc>
        <w:tc>
          <w:tcPr>
            <w:tcW w:w="130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4A1881E"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$18,806,305</w:t>
            </w:r>
          </w:p>
        </w:tc>
        <w:tc>
          <w:tcPr>
            <w:tcW w:w="11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3EFA0BE"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$1,626,517</w:t>
            </w:r>
          </w:p>
        </w:tc>
        <w:tc>
          <w:tcPr>
            <w:tcW w:w="11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AF67B8E"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$34,606.74</w:t>
            </w:r>
          </w:p>
        </w:tc>
        <w:tc>
          <w:tcPr>
            <w:tcW w:w="97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CEECAF5" w14:textId="77777777" w:rsidR="006D2F09" w:rsidRPr="00820D8B" w:rsidRDefault="006D2F09" w:rsidP="00756C9E">
            <w:pPr>
              <w:autoSpaceDE w:val="0"/>
              <w:autoSpaceDN w:val="0"/>
              <w:adjustRightInd w:val="0"/>
              <w:ind w:left="886" w:hanging="886"/>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12</w:t>
            </w:r>
          </w:p>
        </w:tc>
      </w:tr>
      <w:tr w:rsidR="001F03C4" w:rsidRPr="00790A8C" w14:paraId="5DFDB4F3" w14:textId="77777777" w:rsidTr="00820D8B">
        <w:trPr>
          <w:trHeight w:hRule="exact" w:val="442"/>
        </w:trPr>
        <w:tc>
          <w:tcPr>
            <w:tcW w:w="130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center"/>
          </w:tcPr>
          <w:p w14:paraId="2D757970" w14:textId="77777777" w:rsidR="006D2F09" w:rsidRPr="00820D8B" w:rsidRDefault="006D2F09" w:rsidP="00756C9E">
            <w:pPr>
              <w:rPr>
                <w:rFonts w:ascii="Century Gothic" w:eastAsia="Times New Roman" w:hAnsi="Century Gothic"/>
                <w:sz w:val="20"/>
                <w:szCs w:val="20"/>
              </w:rPr>
            </w:pPr>
            <w:r w:rsidRPr="00820D8B">
              <w:rPr>
                <w:rFonts w:ascii="Century Gothic" w:eastAsia="Times New Roman" w:hAnsi="Century Gothic"/>
                <w:sz w:val="20"/>
                <w:szCs w:val="20"/>
                <w:lang w:eastAsia="en-US"/>
              </w:rPr>
              <w:t>Rockview Phase I</w:t>
            </w:r>
          </w:p>
        </w:tc>
        <w:tc>
          <w:tcPr>
            <w:tcW w:w="10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EC096EE" w14:textId="77777777" w:rsidR="006D2F09" w:rsidRPr="00820D8B" w:rsidRDefault="006D2F09" w:rsidP="00756C9E">
            <w:pPr>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2013</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D6AE8C1"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30</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596FE1BE"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47</w:t>
            </w:r>
          </w:p>
        </w:tc>
        <w:tc>
          <w:tcPr>
            <w:tcW w:w="86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434279E"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77</w:t>
            </w:r>
          </w:p>
        </w:tc>
        <w:tc>
          <w:tcPr>
            <w:tcW w:w="7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FE099F6"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67F49BB"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77</w:t>
            </w:r>
          </w:p>
        </w:tc>
        <w:tc>
          <w:tcPr>
            <w:tcW w:w="130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C3C8332"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$33,407,238</w:t>
            </w:r>
          </w:p>
        </w:tc>
        <w:tc>
          <w:tcPr>
            <w:tcW w:w="11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0881DD2D"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$5,791,932</w:t>
            </w:r>
          </w:p>
        </w:tc>
        <w:tc>
          <w:tcPr>
            <w:tcW w:w="11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90EA9D0"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$75,219.90</w:t>
            </w:r>
          </w:p>
        </w:tc>
        <w:tc>
          <w:tcPr>
            <w:tcW w:w="97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2957FAE" w14:textId="77777777" w:rsidR="006D2F09" w:rsidRPr="00820D8B" w:rsidRDefault="006D2F09" w:rsidP="00756C9E">
            <w:pPr>
              <w:autoSpaceDE w:val="0"/>
              <w:autoSpaceDN w:val="0"/>
              <w:adjustRightInd w:val="0"/>
              <w:ind w:left="886" w:hanging="886"/>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6</w:t>
            </w:r>
          </w:p>
        </w:tc>
      </w:tr>
      <w:tr w:rsidR="001F03C4" w:rsidRPr="00790A8C" w14:paraId="25A68DA6" w14:textId="77777777" w:rsidTr="00820D8B">
        <w:trPr>
          <w:trHeight w:hRule="exact" w:val="280"/>
        </w:trPr>
        <w:tc>
          <w:tcPr>
            <w:tcW w:w="130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center"/>
          </w:tcPr>
          <w:p w14:paraId="28AC7B91" w14:textId="77777777" w:rsidR="006D2F09" w:rsidRPr="00820D8B" w:rsidRDefault="006D2F09" w:rsidP="00756C9E">
            <w:pPr>
              <w:rPr>
                <w:rFonts w:ascii="Century Gothic" w:eastAsia="Times New Roman" w:hAnsi="Century Gothic"/>
                <w:sz w:val="20"/>
                <w:szCs w:val="20"/>
              </w:rPr>
            </w:pPr>
            <w:proofErr w:type="spellStart"/>
            <w:r w:rsidRPr="00820D8B">
              <w:rPr>
                <w:rFonts w:ascii="Century Gothic" w:eastAsia="Times New Roman" w:hAnsi="Century Gothic"/>
                <w:sz w:val="20"/>
                <w:szCs w:val="20"/>
                <w:lang w:eastAsia="en-US"/>
              </w:rPr>
              <w:t>Ribicoff</w:t>
            </w:r>
            <w:proofErr w:type="spellEnd"/>
            <w:r w:rsidRPr="00820D8B">
              <w:rPr>
                <w:rFonts w:ascii="Century Gothic" w:eastAsia="Times New Roman" w:hAnsi="Century Gothic"/>
                <w:sz w:val="20"/>
                <w:szCs w:val="20"/>
                <w:lang w:eastAsia="en-US"/>
              </w:rPr>
              <w:t xml:space="preserve"> 9%</w:t>
            </w:r>
          </w:p>
        </w:tc>
        <w:tc>
          <w:tcPr>
            <w:tcW w:w="10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C0D2B3C" w14:textId="77777777" w:rsidR="006D2F09" w:rsidRPr="00820D8B" w:rsidRDefault="006D2F09" w:rsidP="00756C9E">
            <w:pPr>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2014</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20409A87"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974FF16"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44</w:t>
            </w:r>
          </w:p>
        </w:tc>
        <w:tc>
          <w:tcPr>
            <w:tcW w:w="86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86AEB39"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44</w:t>
            </w:r>
          </w:p>
        </w:tc>
        <w:tc>
          <w:tcPr>
            <w:tcW w:w="7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8CEC9B1"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11</w:t>
            </w:r>
          </w:p>
        </w:tc>
        <w:tc>
          <w:tcPr>
            <w:tcW w:w="5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01C58ED"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55</w:t>
            </w:r>
          </w:p>
        </w:tc>
        <w:tc>
          <w:tcPr>
            <w:tcW w:w="130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1A8C5CD5"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$22,469,185</w:t>
            </w:r>
          </w:p>
        </w:tc>
        <w:tc>
          <w:tcPr>
            <w:tcW w:w="11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15D21DF7"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$4,075,502</w:t>
            </w:r>
          </w:p>
        </w:tc>
        <w:tc>
          <w:tcPr>
            <w:tcW w:w="11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8D44441"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$74,100.04</w:t>
            </w:r>
          </w:p>
        </w:tc>
        <w:tc>
          <w:tcPr>
            <w:tcW w:w="97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424B3BF1" w14:textId="77777777" w:rsidR="006D2F09" w:rsidRPr="00820D8B" w:rsidRDefault="006D2F09" w:rsidP="00756C9E">
            <w:pPr>
              <w:autoSpaceDE w:val="0"/>
              <w:autoSpaceDN w:val="0"/>
              <w:adjustRightInd w:val="0"/>
              <w:ind w:left="886" w:hanging="886"/>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6</w:t>
            </w:r>
          </w:p>
        </w:tc>
      </w:tr>
      <w:tr w:rsidR="001F03C4" w:rsidRPr="00790A8C" w14:paraId="1154FBA6" w14:textId="77777777" w:rsidTr="00820D8B">
        <w:trPr>
          <w:trHeight w:hRule="exact" w:val="262"/>
        </w:trPr>
        <w:tc>
          <w:tcPr>
            <w:tcW w:w="130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vAlign w:val="center"/>
          </w:tcPr>
          <w:p w14:paraId="5E43CF95" w14:textId="77777777" w:rsidR="006D2F09" w:rsidRPr="00820D8B" w:rsidRDefault="006D2F09" w:rsidP="00756C9E">
            <w:pPr>
              <w:rPr>
                <w:rFonts w:ascii="Century Gothic" w:eastAsia="Times New Roman" w:hAnsi="Century Gothic"/>
                <w:sz w:val="20"/>
                <w:szCs w:val="20"/>
              </w:rPr>
            </w:pPr>
            <w:proofErr w:type="spellStart"/>
            <w:r w:rsidRPr="00820D8B">
              <w:rPr>
                <w:rFonts w:ascii="Century Gothic" w:eastAsia="Times New Roman" w:hAnsi="Century Gothic"/>
                <w:sz w:val="20"/>
                <w:szCs w:val="20"/>
                <w:lang w:eastAsia="en-US"/>
              </w:rPr>
              <w:t>Ribicoff</w:t>
            </w:r>
            <w:proofErr w:type="spellEnd"/>
            <w:r w:rsidRPr="00820D8B">
              <w:rPr>
                <w:rFonts w:ascii="Century Gothic" w:eastAsia="Times New Roman" w:hAnsi="Century Gothic"/>
                <w:sz w:val="20"/>
                <w:szCs w:val="20"/>
                <w:lang w:eastAsia="en-US"/>
              </w:rPr>
              <w:t xml:space="preserve"> 4%</w:t>
            </w:r>
          </w:p>
        </w:tc>
        <w:tc>
          <w:tcPr>
            <w:tcW w:w="10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A7F7AE4" w14:textId="77777777" w:rsidR="006D2F09" w:rsidRPr="00820D8B" w:rsidRDefault="006D2F09" w:rsidP="00756C9E">
            <w:pPr>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2014</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79A6F05"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AA1E5C3"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51</w:t>
            </w:r>
          </w:p>
        </w:tc>
        <w:tc>
          <w:tcPr>
            <w:tcW w:w="86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FF84699"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51</w:t>
            </w:r>
          </w:p>
        </w:tc>
        <w:tc>
          <w:tcPr>
            <w:tcW w:w="7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22B956D7"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0</w:t>
            </w:r>
          </w:p>
        </w:tc>
        <w:tc>
          <w:tcPr>
            <w:tcW w:w="5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3B45484D"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51</w:t>
            </w:r>
          </w:p>
        </w:tc>
        <w:tc>
          <w:tcPr>
            <w:tcW w:w="130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BF395C6"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$21,551,269</w:t>
            </w:r>
          </w:p>
        </w:tc>
        <w:tc>
          <w:tcPr>
            <w:tcW w:w="11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7AC5CB08"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$10,101,565</w:t>
            </w:r>
          </w:p>
        </w:tc>
        <w:tc>
          <w:tcPr>
            <w:tcW w:w="11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110AE6B9"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sz w:val="20"/>
                <w:szCs w:val="20"/>
                <w:lang w:eastAsia="en-US"/>
              </w:rPr>
              <w:t>$198,069.90</w:t>
            </w:r>
          </w:p>
        </w:tc>
        <w:tc>
          <w:tcPr>
            <w:tcW w:w="97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vAlign w:val="center"/>
          </w:tcPr>
          <w:p w14:paraId="6A420193" w14:textId="77777777" w:rsidR="006D2F09" w:rsidRPr="00820D8B" w:rsidRDefault="006D2F09" w:rsidP="00756C9E">
            <w:pPr>
              <w:autoSpaceDE w:val="0"/>
              <w:autoSpaceDN w:val="0"/>
              <w:adjustRightInd w:val="0"/>
              <w:ind w:left="886" w:hanging="886"/>
              <w:jc w:val="center"/>
              <w:rPr>
                <w:rFonts w:ascii="Century Gothic" w:eastAsia="Times New Roman" w:hAnsi="Century Gothic"/>
                <w:sz w:val="20"/>
                <w:szCs w:val="20"/>
              </w:rPr>
            </w:pPr>
            <w:r w:rsidRPr="00820D8B">
              <w:rPr>
                <w:rFonts w:ascii="Century Gothic" w:eastAsia="Times New Roman" w:hAnsi="Century Gothic"/>
                <w:sz w:val="20"/>
                <w:szCs w:val="20"/>
                <w:lang w:eastAsia="en-US"/>
              </w:rPr>
              <w:t>2</w:t>
            </w:r>
          </w:p>
        </w:tc>
      </w:tr>
      <w:tr w:rsidR="001F03C4" w:rsidRPr="00790A8C" w14:paraId="76236E5B" w14:textId="77777777" w:rsidTr="00820D8B">
        <w:trPr>
          <w:trHeight w:hRule="exact" w:val="847"/>
        </w:trPr>
        <w:tc>
          <w:tcPr>
            <w:tcW w:w="130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0E94A138" w14:textId="77777777" w:rsidR="006D2F09" w:rsidRPr="00820D8B" w:rsidRDefault="006D2F09" w:rsidP="00756C9E">
            <w:pPr>
              <w:rPr>
                <w:rFonts w:ascii="Century Gothic" w:eastAsia="Times New Roman" w:hAnsi="Century Gothic"/>
                <w:sz w:val="20"/>
                <w:szCs w:val="20"/>
              </w:rPr>
            </w:pPr>
            <w:r w:rsidRPr="00820D8B">
              <w:rPr>
                <w:rFonts w:ascii="Century Gothic" w:eastAsia="Times New Roman" w:hAnsi="Century Gothic"/>
                <w:b/>
                <w:bCs/>
                <w:sz w:val="20"/>
                <w:szCs w:val="20"/>
                <w:lang w:eastAsia="en-US"/>
              </w:rPr>
              <w:t>Total</w:t>
            </w:r>
          </w:p>
        </w:tc>
        <w:tc>
          <w:tcPr>
            <w:tcW w:w="10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76F9ABAC" w14:textId="77777777" w:rsidR="006D2F09" w:rsidRPr="00820D8B" w:rsidRDefault="006D2F09" w:rsidP="00756C9E">
            <w:pPr>
              <w:jc w:val="center"/>
              <w:rPr>
                <w:rFonts w:ascii="Century Gothic" w:eastAsia="Times New Roman" w:hAnsi="Century Gothic"/>
                <w:sz w:val="20"/>
                <w:szCs w:val="20"/>
              </w:rPr>
            </w:pP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633BD204"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b/>
                <w:bCs/>
                <w:sz w:val="20"/>
                <w:szCs w:val="20"/>
                <w:lang w:eastAsia="en-US"/>
              </w:rPr>
              <w:t>246</w:t>
            </w:r>
          </w:p>
        </w:tc>
        <w:tc>
          <w:tcPr>
            <w:tcW w:w="58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08F4D4AC" w14:textId="77777777" w:rsidR="006D2F09" w:rsidRPr="00820D8B" w:rsidRDefault="006D2F09" w:rsidP="00756C9E">
            <w:pPr>
              <w:jc w:val="right"/>
              <w:rPr>
                <w:rFonts w:ascii="Century Gothic" w:eastAsia="MS PGothic" w:hAnsi="Century Gothic"/>
                <w:sz w:val="20"/>
                <w:szCs w:val="20"/>
              </w:rPr>
            </w:pPr>
            <w:r w:rsidRPr="00820D8B">
              <w:rPr>
                <w:rFonts w:ascii="Century Gothic" w:eastAsia="Times New Roman" w:hAnsi="Century Gothic"/>
                <w:b/>
                <w:bCs/>
                <w:sz w:val="20"/>
                <w:szCs w:val="20"/>
                <w:lang w:eastAsia="en-US"/>
              </w:rPr>
              <w:t xml:space="preserve"> 387</w:t>
            </w:r>
          </w:p>
        </w:tc>
        <w:tc>
          <w:tcPr>
            <w:tcW w:w="86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338F8F92" w14:textId="77777777" w:rsidR="006D2F09" w:rsidRPr="00820D8B" w:rsidRDefault="006D2F09" w:rsidP="00756C9E">
            <w:pPr>
              <w:jc w:val="right"/>
              <w:rPr>
                <w:rFonts w:ascii="Century Gothic" w:eastAsia="MS PGothic" w:hAnsi="Century Gothic"/>
                <w:sz w:val="20"/>
                <w:szCs w:val="20"/>
              </w:rPr>
            </w:pPr>
            <w:r w:rsidRPr="00820D8B">
              <w:rPr>
                <w:rFonts w:ascii="Century Gothic" w:eastAsia="Times New Roman" w:hAnsi="Century Gothic"/>
                <w:b/>
                <w:bCs/>
                <w:sz w:val="20"/>
                <w:szCs w:val="20"/>
                <w:lang w:eastAsia="en-US"/>
              </w:rPr>
              <w:t>633</w:t>
            </w:r>
          </w:p>
        </w:tc>
        <w:tc>
          <w:tcPr>
            <w:tcW w:w="78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258399A6" w14:textId="77777777" w:rsidR="006D2F09" w:rsidRPr="00820D8B" w:rsidRDefault="006D2F09" w:rsidP="00756C9E">
            <w:pPr>
              <w:jc w:val="right"/>
              <w:rPr>
                <w:rFonts w:ascii="Century Gothic" w:eastAsia="MS PGothic" w:hAnsi="Century Gothic"/>
                <w:sz w:val="20"/>
                <w:szCs w:val="20"/>
              </w:rPr>
            </w:pPr>
            <w:r w:rsidRPr="00820D8B">
              <w:rPr>
                <w:rFonts w:ascii="Century Gothic" w:eastAsia="Times New Roman" w:hAnsi="Century Gothic"/>
                <w:b/>
                <w:bCs/>
                <w:sz w:val="20"/>
                <w:szCs w:val="20"/>
                <w:lang w:eastAsia="en-US"/>
              </w:rPr>
              <w:t xml:space="preserve"> 37</w:t>
            </w:r>
          </w:p>
        </w:tc>
        <w:tc>
          <w:tcPr>
            <w:tcW w:w="5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44AA4554" w14:textId="77777777" w:rsidR="006D2F09" w:rsidRPr="00820D8B" w:rsidRDefault="006D2F09" w:rsidP="00756C9E">
            <w:pPr>
              <w:jc w:val="right"/>
              <w:rPr>
                <w:rFonts w:ascii="Century Gothic" w:eastAsia="MS PGothic" w:hAnsi="Century Gothic"/>
                <w:sz w:val="20"/>
                <w:szCs w:val="20"/>
              </w:rPr>
            </w:pPr>
            <w:r w:rsidRPr="00820D8B">
              <w:rPr>
                <w:rFonts w:ascii="Century Gothic" w:eastAsia="Times New Roman" w:hAnsi="Century Gothic"/>
                <w:b/>
                <w:bCs/>
                <w:sz w:val="20"/>
                <w:szCs w:val="20"/>
                <w:lang w:eastAsia="en-US"/>
              </w:rPr>
              <w:t xml:space="preserve"> 670</w:t>
            </w:r>
          </w:p>
        </w:tc>
        <w:tc>
          <w:tcPr>
            <w:tcW w:w="1304"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5332810E" w14:textId="77777777" w:rsidR="006D2F09" w:rsidRPr="00820D8B" w:rsidRDefault="006D2F09" w:rsidP="00756C9E">
            <w:pPr>
              <w:ind w:left="886" w:hanging="886"/>
              <w:jc w:val="right"/>
              <w:rPr>
                <w:rFonts w:ascii="Century Gothic" w:eastAsia="Times New Roman" w:hAnsi="Century Gothic"/>
                <w:b/>
                <w:bCs/>
                <w:sz w:val="20"/>
                <w:szCs w:val="20"/>
                <w:lang w:eastAsia="en-US"/>
              </w:rPr>
            </w:pPr>
            <w:r w:rsidRPr="00820D8B">
              <w:rPr>
                <w:rFonts w:ascii="Century Gothic" w:eastAsia="Times New Roman" w:hAnsi="Century Gothic"/>
                <w:b/>
                <w:bCs/>
                <w:sz w:val="20"/>
                <w:szCs w:val="20"/>
                <w:lang w:eastAsia="en-US"/>
              </w:rPr>
              <w:t>$265,485,740</w:t>
            </w:r>
          </w:p>
        </w:tc>
        <w:tc>
          <w:tcPr>
            <w:tcW w:w="11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538DD23F" w14:textId="77777777" w:rsidR="006D2F09" w:rsidRPr="00820D8B" w:rsidRDefault="006D2F09" w:rsidP="00756C9E">
            <w:pPr>
              <w:autoSpaceDE w:val="0"/>
              <w:autoSpaceDN w:val="0"/>
              <w:adjustRightInd w:val="0"/>
              <w:ind w:left="886" w:hanging="886"/>
              <w:jc w:val="right"/>
              <w:rPr>
                <w:rFonts w:ascii="Century Gothic" w:eastAsia="Times New Roman" w:hAnsi="Century Gothic"/>
                <w:sz w:val="20"/>
                <w:szCs w:val="20"/>
              </w:rPr>
            </w:pPr>
            <w:r w:rsidRPr="00820D8B">
              <w:rPr>
                <w:rFonts w:ascii="Century Gothic" w:eastAsia="Times New Roman" w:hAnsi="Century Gothic"/>
                <w:b/>
                <w:bCs/>
                <w:sz w:val="20"/>
                <w:szCs w:val="20"/>
                <w:lang w:eastAsia="en-US"/>
              </w:rPr>
              <w:t>$75,695,058</w:t>
            </w:r>
          </w:p>
        </w:tc>
        <w:tc>
          <w:tcPr>
            <w:tcW w:w="1191"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02C7A4C4" w14:textId="77777777" w:rsidR="006D2F09" w:rsidRPr="00820D8B" w:rsidRDefault="006D2F09" w:rsidP="00756C9E">
            <w:pPr>
              <w:autoSpaceDE w:val="0"/>
              <w:autoSpaceDN w:val="0"/>
              <w:adjustRightInd w:val="0"/>
              <w:jc w:val="right"/>
              <w:rPr>
                <w:rFonts w:ascii="Century Gothic" w:eastAsia="Times New Roman" w:hAnsi="Century Gothic"/>
                <w:sz w:val="20"/>
                <w:szCs w:val="20"/>
              </w:rPr>
            </w:pPr>
            <w:r w:rsidRPr="00820D8B">
              <w:rPr>
                <w:rFonts w:ascii="Century Gothic" w:eastAsia="Times New Roman" w:hAnsi="Century Gothic"/>
                <w:b/>
                <w:bCs/>
                <w:sz w:val="20"/>
                <w:szCs w:val="20"/>
                <w:lang w:eastAsia="en-US"/>
              </w:rPr>
              <w:t>$41,354,601 </w:t>
            </w:r>
          </w:p>
        </w:tc>
        <w:tc>
          <w:tcPr>
            <w:tcW w:w="97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vAlign w:val="center"/>
          </w:tcPr>
          <w:p w14:paraId="40089991" w14:textId="77777777" w:rsidR="006D2F09" w:rsidRPr="00820D8B" w:rsidRDefault="006D2F09" w:rsidP="00756C9E">
            <w:pPr>
              <w:autoSpaceDE w:val="0"/>
              <w:autoSpaceDN w:val="0"/>
              <w:adjustRightInd w:val="0"/>
              <w:jc w:val="center"/>
              <w:rPr>
                <w:rFonts w:ascii="Century Gothic" w:eastAsia="Times New Roman" w:hAnsi="Century Gothic"/>
                <w:b/>
                <w:bCs/>
                <w:sz w:val="20"/>
                <w:szCs w:val="20"/>
              </w:rPr>
            </w:pPr>
            <w:r w:rsidRPr="00820D8B">
              <w:rPr>
                <w:rFonts w:ascii="Century Gothic" w:eastAsia="Times New Roman" w:hAnsi="Century Gothic"/>
                <w:b/>
                <w:bCs/>
                <w:sz w:val="20"/>
                <w:szCs w:val="20"/>
              </w:rPr>
              <w:t>85</w:t>
            </w:r>
          </w:p>
        </w:tc>
      </w:tr>
    </w:tbl>
    <w:p w14:paraId="5F5D95A0" w14:textId="77777777" w:rsidR="006D2F09" w:rsidRPr="00820D8B" w:rsidRDefault="006D2F09" w:rsidP="006D2F09">
      <w:pPr>
        <w:shd w:val="clear" w:color="auto" w:fill="FFFFFF"/>
        <w:rPr>
          <w:rFonts w:ascii="Century Gothic" w:hAnsi="Century Gothic"/>
          <w:szCs w:val="22"/>
        </w:rPr>
        <w:sectPr w:rsidR="006D2F09" w:rsidRPr="00820D8B" w:rsidSect="006D2F09">
          <w:pgSz w:w="12240" w:h="15840"/>
          <w:pgMar w:top="1152" w:right="1152" w:bottom="1152" w:left="1152" w:header="720" w:footer="720" w:gutter="0"/>
          <w:cols w:space="720"/>
          <w:titlePg/>
          <w:docGrid w:linePitch="360"/>
        </w:sectPr>
      </w:pPr>
    </w:p>
    <w:p w14:paraId="244211D0" w14:textId="77777777" w:rsidR="006D2F09" w:rsidRPr="00820D8B" w:rsidRDefault="006D2F09" w:rsidP="006D2F09">
      <w:pPr>
        <w:shd w:val="clear" w:color="auto" w:fill="FFFFFF" w:themeFill="background1"/>
        <w:rPr>
          <w:rFonts w:ascii="Century Gothic" w:eastAsia="Calibri" w:hAnsi="Century Gothic"/>
          <w:szCs w:val="22"/>
        </w:rPr>
      </w:pPr>
    </w:p>
    <w:tbl>
      <w:tblPr>
        <w:tblStyle w:val="GridTable4-Accent11"/>
        <w:tblW w:w="9990" w:type="dxa"/>
        <w:tblLayout w:type="fixed"/>
        <w:tblLook w:val="04A0" w:firstRow="1" w:lastRow="0" w:firstColumn="1" w:lastColumn="0" w:noHBand="0" w:noVBand="1"/>
      </w:tblPr>
      <w:tblGrid>
        <w:gridCol w:w="3060"/>
        <w:gridCol w:w="1386"/>
        <w:gridCol w:w="1386"/>
        <w:gridCol w:w="1386"/>
        <w:gridCol w:w="1386"/>
        <w:gridCol w:w="1386"/>
      </w:tblGrid>
      <w:tr w:rsidR="00790A8C" w:rsidRPr="00790A8C" w14:paraId="51C91ECE" w14:textId="77777777" w:rsidTr="00756C9E">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3060" w:type="dxa"/>
            <w:tcBorders>
              <w:top w:val="nil"/>
              <w:left w:val="nil"/>
              <w:bottom w:val="single" w:sz="24" w:space="0" w:color="B5333C" w:themeColor="accent2"/>
              <w:right w:val="single" w:sz="6" w:space="0" w:color="D9D9D9" w:themeColor="background1" w:themeShade="D9"/>
            </w:tcBorders>
            <w:shd w:val="clear" w:color="auto" w:fill="808080" w:themeFill="background1" w:themeFillShade="80"/>
            <w:vAlign w:val="center"/>
            <w:hideMark/>
          </w:tcPr>
          <w:p w14:paraId="15B2279D" w14:textId="77777777" w:rsidR="006D2F09" w:rsidRPr="00467F21" w:rsidRDefault="006D2F09" w:rsidP="00756C9E">
            <w:pPr>
              <w:jc w:val="center"/>
              <w:rPr>
                <w:rFonts w:ascii="Century Gothic" w:hAnsi="Century Gothic"/>
                <w:color w:val="auto"/>
                <w:szCs w:val="22"/>
              </w:rPr>
            </w:pPr>
            <w:r w:rsidRPr="00467F21">
              <w:rPr>
                <w:rFonts w:ascii="Century Gothic" w:hAnsi="Century Gothic"/>
                <w:color w:val="auto"/>
                <w:szCs w:val="22"/>
              </w:rPr>
              <w:t>Development Name</w:t>
            </w:r>
          </w:p>
        </w:tc>
        <w:tc>
          <w:tcPr>
            <w:tcW w:w="1386" w:type="dxa"/>
            <w:tcBorders>
              <w:top w:val="nil"/>
              <w:left w:val="single" w:sz="6" w:space="0" w:color="D9D9D9" w:themeColor="background1" w:themeShade="D9"/>
              <w:bottom w:val="single" w:sz="24" w:space="0" w:color="B5333C" w:themeColor="accent2"/>
              <w:right w:val="single" w:sz="6" w:space="0" w:color="D9D9D9" w:themeColor="background1" w:themeShade="D9"/>
            </w:tcBorders>
            <w:shd w:val="clear" w:color="auto" w:fill="808080" w:themeFill="background1" w:themeFillShade="80"/>
            <w:vAlign w:val="center"/>
            <w:hideMark/>
          </w:tcPr>
          <w:p w14:paraId="6EA67DB6" w14:textId="77777777" w:rsidR="006D2F09" w:rsidRPr="00467F21"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467F21">
              <w:rPr>
                <w:rFonts w:ascii="Century Gothic" w:hAnsi="Century Gothic"/>
                <w:color w:val="auto"/>
                <w:szCs w:val="22"/>
              </w:rPr>
              <w:t>PH Units</w:t>
            </w:r>
            <w:r w:rsidRPr="00467F21">
              <w:rPr>
                <w:rStyle w:val="FootnoteReference"/>
                <w:rFonts w:ascii="Century Gothic" w:hAnsi="Century Gothic"/>
                <w:color w:val="auto"/>
                <w:szCs w:val="22"/>
              </w:rPr>
              <w:footnoteReference w:id="15"/>
            </w:r>
          </w:p>
        </w:tc>
        <w:tc>
          <w:tcPr>
            <w:tcW w:w="1386" w:type="dxa"/>
            <w:tcBorders>
              <w:top w:val="nil"/>
              <w:left w:val="single" w:sz="6" w:space="0" w:color="D9D9D9" w:themeColor="background1" w:themeShade="D9"/>
              <w:bottom w:val="single" w:sz="24" w:space="0" w:color="B5333C" w:themeColor="accent2"/>
              <w:right w:val="single" w:sz="6" w:space="0" w:color="D9D9D9" w:themeColor="background1" w:themeShade="D9"/>
            </w:tcBorders>
            <w:shd w:val="clear" w:color="auto" w:fill="808080" w:themeFill="background1" w:themeFillShade="80"/>
            <w:vAlign w:val="center"/>
            <w:hideMark/>
          </w:tcPr>
          <w:p w14:paraId="04319A7E"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PBV Units</w:t>
            </w:r>
          </w:p>
        </w:tc>
        <w:tc>
          <w:tcPr>
            <w:tcW w:w="1386" w:type="dxa"/>
            <w:tcBorders>
              <w:top w:val="nil"/>
              <w:left w:val="single" w:sz="6" w:space="0" w:color="D9D9D9" w:themeColor="background1" w:themeShade="D9"/>
              <w:bottom w:val="single" w:sz="24" w:space="0" w:color="B5333C" w:themeColor="accent2"/>
              <w:right w:val="single" w:sz="6" w:space="0" w:color="D9D9D9" w:themeColor="background1" w:themeShade="D9"/>
            </w:tcBorders>
            <w:shd w:val="clear" w:color="auto" w:fill="808080" w:themeFill="background1" w:themeFillShade="80"/>
            <w:vAlign w:val="center"/>
            <w:hideMark/>
          </w:tcPr>
          <w:p w14:paraId="7E00927C"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Total # of Assisted Units</w:t>
            </w:r>
          </w:p>
        </w:tc>
        <w:tc>
          <w:tcPr>
            <w:tcW w:w="1386" w:type="dxa"/>
            <w:tcBorders>
              <w:top w:val="nil"/>
              <w:left w:val="single" w:sz="6" w:space="0" w:color="D9D9D9" w:themeColor="background1" w:themeShade="D9"/>
              <w:bottom w:val="single" w:sz="24" w:space="0" w:color="B5333C" w:themeColor="accent2"/>
              <w:right w:val="single" w:sz="6" w:space="0" w:color="D9D9D9" w:themeColor="background1" w:themeShade="D9"/>
            </w:tcBorders>
            <w:shd w:val="clear" w:color="auto" w:fill="808080" w:themeFill="background1" w:themeFillShade="80"/>
            <w:vAlign w:val="center"/>
            <w:hideMark/>
          </w:tcPr>
          <w:p w14:paraId="7700A085"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 of Market Rate Units</w:t>
            </w:r>
          </w:p>
        </w:tc>
        <w:tc>
          <w:tcPr>
            <w:tcW w:w="1386" w:type="dxa"/>
            <w:tcBorders>
              <w:top w:val="nil"/>
              <w:left w:val="single" w:sz="6" w:space="0" w:color="D9D9D9" w:themeColor="background1" w:themeShade="D9"/>
              <w:bottom w:val="single" w:sz="24" w:space="0" w:color="B5333C" w:themeColor="accent2"/>
              <w:right w:val="nil"/>
            </w:tcBorders>
            <w:shd w:val="clear" w:color="auto" w:fill="808080" w:themeFill="background1" w:themeFillShade="80"/>
            <w:vAlign w:val="center"/>
            <w:hideMark/>
          </w:tcPr>
          <w:p w14:paraId="6E1B09B9"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Total # of Units</w:t>
            </w:r>
          </w:p>
        </w:tc>
      </w:tr>
      <w:tr w:rsidR="006D2F09" w:rsidRPr="003E23D7" w14:paraId="5AC3685D"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B5333C" w:themeColor="accent2"/>
              <w:left w:val="nil"/>
              <w:bottom w:val="single" w:sz="4" w:space="0" w:color="D9D9D9" w:themeColor="background1" w:themeShade="D9"/>
              <w:right w:val="single" w:sz="4" w:space="0" w:color="D9D9D9" w:themeColor="background1" w:themeShade="D9"/>
            </w:tcBorders>
            <w:vAlign w:val="center"/>
            <w:hideMark/>
          </w:tcPr>
          <w:p w14:paraId="1F6E8B3F"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Eastview Terrace</w:t>
            </w:r>
          </w:p>
        </w:tc>
        <w:tc>
          <w:tcPr>
            <w:tcW w:w="1386"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EE0A8FB"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eastAsia="MS PGothic" w:hAnsi="Century Gothic"/>
                <w:szCs w:val="22"/>
              </w:rPr>
            </w:pPr>
            <w:r w:rsidRPr="003E23D7">
              <w:rPr>
                <w:rFonts w:ascii="Century Gothic" w:hAnsi="Century Gothic"/>
                <w:color w:val="auto"/>
                <w:szCs w:val="22"/>
              </w:rPr>
              <w:t>0</w:t>
            </w:r>
          </w:p>
        </w:tc>
        <w:tc>
          <w:tcPr>
            <w:tcW w:w="1386"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BF8EC2"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102</w:t>
            </w:r>
          </w:p>
        </w:tc>
        <w:tc>
          <w:tcPr>
            <w:tcW w:w="1386"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ED47FC5"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102</w:t>
            </w:r>
          </w:p>
        </w:tc>
        <w:tc>
          <w:tcPr>
            <w:tcW w:w="1386"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936737E"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24" w:space="0" w:color="B5333C" w:themeColor="accent2"/>
              <w:left w:val="single" w:sz="4" w:space="0" w:color="D9D9D9" w:themeColor="background1" w:themeShade="D9"/>
              <w:bottom w:val="single" w:sz="4" w:space="0" w:color="D9D9D9" w:themeColor="background1" w:themeShade="D9"/>
              <w:right w:val="nil"/>
            </w:tcBorders>
            <w:noWrap/>
            <w:vAlign w:val="center"/>
            <w:hideMark/>
          </w:tcPr>
          <w:p w14:paraId="38F99B3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102</w:t>
            </w:r>
          </w:p>
        </w:tc>
      </w:tr>
      <w:tr w:rsidR="006D2F09" w:rsidRPr="003E23D7" w14:paraId="36D57BC6"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15878F28"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Quinnipiac Terrace I</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8B9D1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58</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3155D1B"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23</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5A1BD09"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81</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8DDCF25"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2060A638"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81</w:t>
            </w:r>
          </w:p>
        </w:tc>
      </w:tr>
      <w:tr w:rsidR="006D2F09" w:rsidRPr="003E23D7" w14:paraId="27CE401A"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36FA3512"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Quinnipiac Terrace 2</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7D2BAB9"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56</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A52141D"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23</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9DA6C43"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79</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780402"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063E8703"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79</w:t>
            </w:r>
          </w:p>
        </w:tc>
      </w:tr>
      <w:tr w:rsidR="006D2F09" w:rsidRPr="003E23D7" w14:paraId="22870863"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2E7E0043"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Quinnipiac Terrace 3</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2DCC383"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17</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A4542C4"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16</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E1F52AA"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33</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2B30819"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294A4D5F"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33</w:t>
            </w:r>
          </w:p>
        </w:tc>
      </w:tr>
      <w:tr w:rsidR="006D2F09" w:rsidRPr="003E23D7" w14:paraId="37383D40"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31598466"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Brookside Phase I</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2390D0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1B4B1EE"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C1AFE1C"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100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2933B6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1559F5D2"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100</w:t>
            </w:r>
          </w:p>
        </w:tc>
      </w:tr>
      <w:tr w:rsidR="006D2F09" w:rsidRPr="003E23D7" w14:paraId="7ED4F090"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0392906D"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Brookside Phase II</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8BB66B6"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860280A"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51</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BECCBE4"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101</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656D5E0"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6C57C95D"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101</w:t>
            </w:r>
          </w:p>
        </w:tc>
      </w:tr>
      <w:tr w:rsidR="006D2F09" w:rsidRPr="003E23D7" w14:paraId="7EE46201"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4A1DC736"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Rockview Phase I</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370490B"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30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5AF1073"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47</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816E385"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77</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12333B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7E82E6FD"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77</w:t>
            </w:r>
          </w:p>
        </w:tc>
      </w:tr>
      <w:tr w:rsidR="006D2F09" w:rsidRPr="003E23D7" w14:paraId="4094F960"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1A90C85C"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William T. Rowe</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F633EF9"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46</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D73B038"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32</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A3C4569"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78</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53FAAA8"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26</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6682BCE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104</w:t>
            </w:r>
          </w:p>
        </w:tc>
      </w:tr>
      <w:tr w:rsidR="006D2F09" w:rsidRPr="003E23D7" w14:paraId="5F8AF138"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2E2FB875"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Wilmot Crossing</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7C43F83"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EC56AB8"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47</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69BDE80"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47</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4B39D2F"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49A1CEE5"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47</w:t>
            </w:r>
          </w:p>
        </w:tc>
      </w:tr>
      <w:tr w:rsidR="006D2F09" w:rsidRPr="003E23D7" w14:paraId="4F6FDF75"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7054DCDD"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Monterey Place</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2A9FD3B"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E64661F"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42</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CAE9B1C"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42</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1818EEF"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72555A23"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42</w:t>
            </w:r>
          </w:p>
        </w:tc>
      </w:tr>
      <w:tr w:rsidR="006D2F09" w:rsidRPr="003E23D7" w14:paraId="26DC92E9"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11DC7754"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Monterey Place 2</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1DA939A"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95D5CBA"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7</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DBB26FC"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7</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FD35C1A"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5A812105"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7</w:t>
            </w:r>
          </w:p>
        </w:tc>
      </w:tr>
      <w:tr w:rsidR="006D2F09" w:rsidRPr="003E23D7" w14:paraId="36177267"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76FCC32B"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Monterey Place 3</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9D8303F"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5BFC2D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45</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8A1B547"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45</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EB4271B"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504D0722"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45</w:t>
            </w:r>
          </w:p>
        </w:tc>
      </w:tr>
      <w:tr w:rsidR="006D2F09" w:rsidRPr="003E23D7" w14:paraId="422E4C93"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3C8CA519"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Monterey 4</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AA67516"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EE6D85B"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42</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907159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42</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FD334D6"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649EFBC9"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42</w:t>
            </w:r>
          </w:p>
        </w:tc>
      </w:tr>
      <w:tr w:rsidR="006D2F09" w:rsidRPr="003E23D7" w14:paraId="62A5B2EB"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053C753A"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Monterey 5</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B69F308"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A9D664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17</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3689843"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17</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EA63B94"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1A484C59"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17</w:t>
            </w:r>
          </w:p>
        </w:tc>
      </w:tr>
      <w:tr w:rsidR="006D2F09" w:rsidRPr="003E23D7" w14:paraId="6DE8DDED"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09CDD13E"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Monterey Phase 2R</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7E0F245"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BBB0420"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28</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09A2F44"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28</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6143645"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2072C47E"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28</w:t>
            </w:r>
          </w:p>
        </w:tc>
      </w:tr>
      <w:tr w:rsidR="006D2F09" w:rsidRPr="003E23D7" w14:paraId="11D66440"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1996CA3B"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William Griffin</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8D8FA19"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6FF618E"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E4E6192"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00207D7"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58F388DD"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w:t>
            </w:r>
          </w:p>
        </w:tc>
      </w:tr>
      <w:tr w:rsidR="006D2F09" w:rsidRPr="003E23D7" w14:paraId="4890F6AC"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68D0962F" w14:textId="77777777" w:rsidR="006D2F09" w:rsidRPr="003E23D7" w:rsidRDefault="006D2F09" w:rsidP="00756C9E">
            <w:pPr>
              <w:rPr>
                <w:rFonts w:ascii="Century Gothic" w:hAnsi="Century Gothic"/>
                <w:b w:val="0"/>
                <w:color w:val="auto"/>
                <w:szCs w:val="22"/>
              </w:rPr>
            </w:pPr>
            <w:r w:rsidRPr="003E23D7">
              <w:rPr>
                <w:rFonts w:ascii="Century Gothic" w:hAnsi="Century Gothic"/>
                <w:b w:val="0"/>
                <w:color w:val="auto"/>
                <w:szCs w:val="22"/>
              </w:rPr>
              <w:t>Edith Johnson Towers</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51E65FD"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A3B576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95</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193EE1D"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95</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322D27C"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79F1B3F0"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95</w:t>
            </w:r>
          </w:p>
        </w:tc>
      </w:tr>
      <w:tr w:rsidR="006D2F09" w:rsidRPr="003E23D7" w14:paraId="1C490345"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hideMark/>
          </w:tcPr>
          <w:p w14:paraId="7C540151" w14:textId="77777777" w:rsidR="006D2F09" w:rsidRPr="003E23D7" w:rsidRDefault="006D2F09" w:rsidP="00756C9E">
            <w:pPr>
              <w:rPr>
                <w:rFonts w:ascii="Century Gothic" w:hAnsi="Century Gothic"/>
                <w:b w:val="0"/>
                <w:color w:val="auto"/>
                <w:szCs w:val="22"/>
              </w:rPr>
            </w:pPr>
            <w:proofErr w:type="spellStart"/>
            <w:r w:rsidRPr="003E23D7">
              <w:rPr>
                <w:rFonts w:ascii="Century Gothic" w:hAnsi="Century Gothic"/>
                <w:b w:val="0"/>
                <w:color w:val="auto"/>
                <w:szCs w:val="22"/>
              </w:rPr>
              <w:t>Ribicoff</w:t>
            </w:r>
            <w:proofErr w:type="spellEnd"/>
            <w:r w:rsidRPr="003E23D7">
              <w:rPr>
                <w:rFonts w:ascii="Century Gothic" w:hAnsi="Century Gothic"/>
                <w:b w:val="0"/>
                <w:color w:val="auto"/>
                <w:szCs w:val="22"/>
              </w:rPr>
              <w:t xml:space="preserve"> 9%</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DC382A7"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0780ED2"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44</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8DD5312"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44</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DC8D00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11</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hideMark/>
          </w:tcPr>
          <w:p w14:paraId="6BE07081"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55</w:t>
            </w:r>
          </w:p>
        </w:tc>
      </w:tr>
      <w:tr w:rsidR="006D2F09" w:rsidRPr="003E23D7" w14:paraId="679A60CC" w14:textId="77777777" w:rsidTr="00756C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80F3207" w14:textId="77777777" w:rsidR="006D2F09" w:rsidRPr="003E23D7" w:rsidRDefault="006D2F09" w:rsidP="00756C9E">
            <w:pPr>
              <w:rPr>
                <w:rFonts w:ascii="Century Gothic" w:hAnsi="Century Gothic"/>
                <w:b w:val="0"/>
                <w:color w:val="auto"/>
                <w:szCs w:val="22"/>
              </w:rPr>
            </w:pPr>
            <w:proofErr w:type="spellStart"/>
            <w:r w:rsidRPr="003E23D7">
              <w:rPr>
                <w:rFonts w:ascii="Century Gothic" w:hAnsi="Century Gothic"/>
                <w:b w:val="0"/>
                <w:color w:val="auto"/>
                <w:szCs w:val="22"/>
              </w:rPr>
              <w:t>Ribicoff</w:t>
            </w:r>
            <w:proofErr w:type="spellEnd"/>
            <w:r w:rsidRPr="003E23D7">
              <w:rPr>
                <w:rFonts w:ascii="Century Gothic" w:hAnsi="Century Gothic"/>
                <w:b w:val="0"/>
                <w:color w:val="auto"/>
                <w:szCs w:val="22"/>
              </w:rPr>
              <w:t xml:space="preserve"> 4%</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FF06B8"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B181F6"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51</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D367ED"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51</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46B35C"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0</w:t>
            </w:r>
          </w:p>
        </w:tc>
        <w:tc>
          <w:tcPr>
            <w:tcW w:w="1386"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noWrap/>
            <w:vAlign w:val="center"/>
          </w:tcPr>
          <w:p w14:paraId="2F5B961B"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3E23D7">
              <w:rPr>
                <w:rFonts w:ascii="Century Gothic" w:hAnsi="Century Gothic"/>
                <w:color w:val="auto"/>
                <w:szCs w:val="22"/>
              </w:rPr>
              <w:t>51</w:t>
            </w:r>
          </w:p>
        </w:tc>
      </w:tr>
      <w:tr w:rsidR="00790A8C" w:rsidRPr="00790A8C" w14:paraId="4568E453" w14:textId="77777777" w:rsidTr="00756C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808080" w:themeFill="background1" w:themeFillShade="80"/>
            <w:vAlign w:val="center"/>
            <w:hideMark/>
          </w:tcPr>
          <w:p w14:paraId="28806DE5" w14:textId="77777777" w:rsidR="006D2F09" w:rsidRPr="003E23D7" w:rsidRDefault="006D2F09" w:rsidP="00756C9E">
            <w:pPr>
              <w:jc w:val="right"/>
              <w:rPr>
                <w:rFonts w:ascii="Century Gothic" w:hAnsi="Century Gothic"/>
                <w:color w:val="auto"/>
                <w:szCs w:val="22"/>
              </w:rPr>
            </w:pPr>
            <w:r w:rsidRPr="003E23D7">
              <w:rPr>
                <w:rFonts w:ascii="Century Gothic" w:hAnsi="Century Gothic"/>
                <w:color w:val="auto"/>
                <w:szCs w:val="22"/>
              </w:rPr>
              <w:t>Total</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hideMark/>
          </w:tcPr>
          <w:p w14:paraId="6204A05D"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eastAsia="MS PGothic" w:hAnsi="Century Gothic"/>
                <w:color w:val="auto"/>
                <w:szCs w:val="22"/>
              </w:rPr>
            </w:pPr>
            <w:r w:rsidRPr="003E23D7">
              <w:rPr>
                <w:rFonts w:ascii="Century Gothic" w:hAnsi="Century Gothic"/>
                <w:color w:val="auto"/>
                <w:szCs w:val="22"/>
              </w:rPr>
              <w:t>307</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hideMark/>
          </w:tcPr>
          <w:p w14:paraId="6688F623"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szCs w:val="22"/>
              </w:rPr>
            </w:pPr>
            <w:r w:rsidRPr="003E23D7">
              <w:rPr>
                <w:rFonts w:ascii="Century Gothic" w:hAnsi="Century Gothic"/>
                <w:color w:val="auto"/>
                <w:szCs w:val="22"/>
              </w:rPr>
              <w:t xml:space="preserve"> 766</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hideMark/>
          </w:tcPr>
          <w:p w14:paraId="2F577B33"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szCs w:val="22"/>
              </w:rPr>
            </w:pPr>
            <w:r w:rsidRPr="003E23D7">
              <w:rPr>
                <w:rFonts w:ascii="Century Gothic" w:hAnsi="Century Gothic"/>
                <w:color w:val="auto"/>
                <w:szCs w:val="22"/>
              </w:rPr>
              <w:t xml:space="preserve"> 1073</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hideMark/>
          </w:tcPr>
          <w:p w14:paraId="4A1E2F3D"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eastAsia="MS PGothic" w:hAnsi="Century Gothic"/>
                <w:szCs w:val="22"/>
              </w:rPr>
            </w:pPr>
            <w:r w:rsidRPr="003E23D7">
              <w:rPr>
                <w:rFonts w:ascii="Century Gothic" w:hAnsi="Century Gothic"/>
                <w:color w:val="auto"/>
                <w:szCs w:val="22"/>
              </w:rPr>
              <w:t>37</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808080" w:themeFill="background1" w:themeFillShade="80"/>
            <w:noWrap/>
            <w:vAlign w:val="center"/>
            <w:hideMark/>
          </w:tcPr>
          <w:p w14:paraId="03071D97" w14:textId="77777777" w:rsidR="006D2F09" w:rsidRPr="003E23D7" w:rsidRDefault="006D2F09" w:rsidP="00756C9E">
            <w:pPr>
              <w:jc w:val="center"/>
              <w:cnfStyle w:val="100000000000" w:firstRow="1" w:lastRow="0" w:firstColumn="0" w:lastColumn="0" w:oddVBand="0" w:evenVBand="0" w:oddHBand="0" w:evenHBand="0" w:firstRowFirstColumn="0" w:firstRowLastColumn="0" w:lastRowFirstColumn="0" w:lastRowLastColumn="0"/>
              <w:rPr>
                <w:rFonts w:ascii="Century Gothic" w:eastAsia="MS PGothic" w:hAnsi="Century Gothic"/>
                <w:szCs w:val="22"/>
              </w:rPr>
            </w:pPr>
            <w:r w:rsidRPr="003E23D7">
              <w:rPr>
                <w:rFonts w:ascii="Century Gothic" w:hAnsi="Century Gothic"/>
                <w:color w:val="auto"/>
                <w:szCs w:val="22"/>
              </w:rPr>
              <w:t>1110</w:t>
            </w:r>
          </w:p>
        </w:tc>
      </w:tr>
    </w:tbl>
    <w:p w14:paraId="7B236381" w14:textId="77777777" w:rsidR="006D2F09" w:rsidRPr="003E23D7" w:rsidRDefault="006D2F09" w:rsidP="006D2F09">
      <w:pPr>
        <w:pStyle w:val="NoSpacing"/>
        <w:rPr>
          <w:rFonts w:ascii="Century Gothic" w:eastAsia="MS PGothic" w:hAnsi="Century Gothic" w:cs="Arial"/>
          <w:sz w:val="22"/>
          <w:szCs w:val="22"/>
        </w:rPr>
      </w:pPr>
    </w:p>
    <w:p w14:paraId="17AD49AC" w14:textId="09A2A9E1" w:rsidR="006D2F09" w:rsidRPr="003E23D7" w:rsidRDefault="006D2F09" w:rsidP="006D2F09">
      <w:pPr>
        <w:rPr>
          <w:rStyle w:val="SubtleEmphasis"/>
          <w:rFonts w:ascii="Century Gothic" w:hAnsi="Century Gothic"/>
          <w:b/>
          <w:bCs/>
          <w:color w:val="808080" w:themeColor="background1" w:themeShade="80"/>
          <w:sz w:val="22"/>
          <w:szCs w:val="22"/>
        </w:rPr>
      </w:pPr>
      <w:r w:rsidRPr="003E23D7">
        <w:rPr>
          <w:rStyle w:val="SubtleEmphasis"/>
          <w:rFonts w:ascii="Century Gothic" w:hAnsi="Century Gothic"/>
          <w:b/>
          <w:bCs/>
          <w:color w:val="808080" w:themeColor="background1" w:themeShade="80"/>
          <w:sz w:val="22"/>
          <w:szCs w:val="22"/>
        </w:rPr>
        <w:t>Actual Non-Significant Changes</w:t>
      </w:r>
    </w:p>
    <w:p w14:paraId="6DEFFE0F" w14:textId="77777777" w:rsidR="006D2F09" w:rsidRPr="003E23D7" w:rsidRDefault="006D2F09" w:rsidP="006D2F09">
      <w:pPr>
        <w:rPr>
          <w:rFonts w:ascii="Century Gothic" w:hAnsi="Century Gothic"/>
          <w:szCs w:val="22"/>
        </w:rPr>
      </w:pPr>
      <w:r w:rsidRPr="003E23D7">
        <w:rPr>
          <w:rFonts w:ascii="Century Gothic" w:hAnsi="Century Gothic"/>
          <w:szCs w:val="22"/>
        </w:rPr>
        <w:t>None</w:t>
      </w:r>
    </w:p>
    <w:p w14:paraId="679B2AE3" w14:textId="77777777" w:rsidR="006D2F09" w:rsidRPr="003E23D7" w:rsidRDefault="006D2F09" w:rsidP="006D2F09">
      <w:pPr>
        <w:rPr>
          <w:rFonts w:ascii="Century Gothic" w:hAnsi="Century Gothic"/>
          <w:szCs w:val="22"/>
        </w:rPr>
      </w:pPr>
    </w:p>
    <w:p w14:paraId="46C92447" w14:textId="77777777" w:rsidR="006D2F09" w:rsidRPr="003E23D7" w:rsidRDefault="006D2F09" w:rsidP="006D2F09">
      <w:pPr>
        <w:rPr>
          <w:rStyle w:val="SubtleEmphasis"/>
          <w:rFonts w:ascii="Century Gothic" w:eastAsiaTheme="majorEastAsia" w:hAnsi="Century Gothic"/>
          <w:b/>
          <w:bCs/>
          <w:color w:val="808080" w:themeColor="background1" w:themeShade="80"/>
          <w:sz w:val="22"/>
          <w:szCs w:val="22"/>
        </w:rPr>
      </w:pPr>
      <w:r w:rsidRPr="003E23D7">
        <w:rPr>
          <w:rStyle w:val="SubtleEmphasis"/>
          <w:rFonts w:ascii="Century Gothic" w:eastAsiaTheme="majorEastAsia" w:hAnsi="Century Gothic"/>
          <w:b/>
          <w:bCs/>
          <w:color w:val="808080" w:themeColor="background1" w:themeShade="80"/>
          <w:sz w:val="22"/>
          <w:szCs w:val="22"/>
        </w:rPr>
        <w:t>Actual Significant Changes</w:t>
      </w:r>
    </w:p>
    <w:p w14:paraId="2D81898B" w14:textId="77777777" w:rsidR="006D2F09" w:rsidRPr="003E23D7" w:rsidRDefault="006D2F09" w:rsidP="006D2F09">
      <w:pPr>
        <w:rPr>
          <w:rFonts w:ascii="Century Gothic" w:hAnsi="Century Gothic"/>
          <w:szCs w:val="22"/>
        </w:rPr>
      </w:pPr>
      <w:r w:rsidRPr="003E23D7">
        <w:rPr>
          <w:rFonts w:ascii="Century Gothic" w:hAnsi="Century Gothic"/>
          <w:szCs w:val="22"/>
        </w:rPr>
        <w:t>None</w:t>
      </w:r>
    </w:p>
    <w:p w14:paraId="5D86537D" w14:textId="77777777" w:rsidR="006D2F09" w:rsidRPr="003E23D7" w:rsidRDefault="006D2F09" w:rsidP="006D2F09">
      <w:pPr>
        <w:rPr>
          <w:rFonts w:ascii="Century Gothic" w:hAnsi="Century Gothic"/>
          <w:szCs w:val="22"/>
        </w:rPr>
      </w:pPr>
    </w:p>
    <w:p w14:paraId="3FF8A2EA" w14:textId="73B549DB" w:rsidR="00C3676C" w:rsidRDefault="00C3676C">
      <w:pPr>
        <w:spacing w:after="160" w:line="276" w:lineRule="auto"/>
      </w:pPr>
      <w:r>
        <w:br w:type="page"/>
      </w:r>
    </w:p>
    <w:p w14:paraId="0CDF4DC6" w14:textId="77777777" w:rsidR="0017626F" w:rsidRDefault="0017626F" w:rsidP="655A2699"/>
    <w:p w14:paraId="07443DDD" w14:textId="3E206655" w:rsidR="00EC5276" w:rsidRDefault="4C31CC88" w:rsidP="00486062">
      <w:pPr>
        <w:pStyle w:val="MTWHeader1"/>
        <w:numPr>
          <w:ilvl w:val="0"/>
          <w:numId w:val="99"/>
        </w:numPr>
        <w:rPr>
          <w:rFonts w:ascii="Century Gothic" w:hAnsi="Century Gothic"/>
          <w:sz w:val="22"/>
          <w:szCs w:val="22"/>
        </w:rPr>
      </w:pPr>
      <w:bookmarkStart w:id="176" w:name="_Toc89871171"/>
      <w:r w:rsidRPr="004A54F6">
        <w:rPr>
          <w:rFonts w:ascii="Century Gothic" w:hAnsi="Century Gothic"/>
          <w:sz w:val="22"/>
          <w:szCs w:val="22"/>
        </w:rPr>
        <w:t>CLOSED OUT ACTIVITIES</w:t>
      </w:r>
      <w:bookmarkEnd w:id="176"/>
    </w:p>
    <w:p w14:paraId="588BA7FE" w14:textId="77777777" w:rsidR="00497E3E" w:rsidRPr="004A54F6" w:rsidRDefault="00497E3E" w:rsidP="00497E3E">
      <w:pPr>
        <w:pStyle w:val="Heading3"/>
        <w:framePr w:hSpace="180" w:wrap="around" w:vAnchor="text" w:hAnchor="margin" w:xAlign="center" w:y="-73"/>
        <w:spacing w:before="240" w:after="60"/>
        <w:ind w:firstLine="720"/>
        <w:rPr>
          <w:rFonts w:ascii="Century Gothic" w:eastAsia="Times" w:hAnsi="Century Gothic" w:cs="Times"/>
          <w:b w:val="0"/>
          <w:bCs/>
          <w:szCs w:val="22"/>
        </w:rPr>
      </w:pPr>
      <w:r w:rsidRPr="004A54F6">
        <w:rPr>
          <w:rFonts w:ascii="Century Gothic" w:eastAsia="Times" w:hAnsi="Century Gothic" w:cs="Times"/>
          <w:bCs/>
          <w:sz w:val="22"/>
          <w:szCs w:val="22"/>
        </w:rPr>
        <w:t xml:space="preserve">Initiative 1.8F- </w:t>
      </w:r>
      <w:proofErr w:type="spellStart"/>
      <w:r w:rsidRPr="004A54F6">
        <w:rPr>
          <w:rFonts w:ascii="Century Gothic" w:eastAsia="Times" w:hAnsi="Century Gothic" w:cs="Times"/>
          <w:bCs/>
          <w:sz w:val="22"/>
          <w:szCs w:val="22"/>
        </w:rPr>
        <w:t>Farnam</w:t>
      </w:r>
      <w:proofErr w:type="spellEnd"/>
      <w:r w:rsidRPr="004A54F6">
        <w:rPr>
          <w:rFonts w:ascii="Century Gothic" w:eastAsia="Times" w:hAnsi="Century Gothic" w:cs="Times"/>
          <w:bCs/>
          <w:sz w:val="22"/>
          <w:szCs w:val="22"/>
        </w:rPr>
        <w:t xml:space="preserve"> Court Transformation Plan</w:t>
      </w:r>
    </w:p>
    <w:p w14:paraId="3533D8FD" w14:textId="77777777" w:rsidR="00497E3E" w:rsidRPr="00497E3E" w:rsidRDefault="00497E3E" w:rsidP="00497E3E">
      <w:pPr>
        <w:pStyle w:val="Body1"/>
        <w:framePr w:wrap="around"/>
      </w:pPr>
    </w:p>
    <w:p w14:paraId="0FFD86ED" w14:textId="77777777" w:rsidR="006246FF" w:rsidRPr="004A54F6" w:rsidRDefault="006246FF" w:rsidP="006246FF">
      <w:pPr>
        <w:pStyle w:val="Body1"/>
        <w:framePr w:wrap="around"/>
        <w:rPr>
          <w:rFonts w:ascii="Century Gothic" w:hAnsi="Century Gothic"/>
        </w:rPr>
      </w:pPr>
    </w:p>
    <w:p w14:paraId="12696D90" w14:textId="12771183" w:rsidR="006246FF" w:rsidRPr="004A54F6" w:rsidRDefault="006246FF" w:rsidP="006246FF">
      <w:pPr>
        <w:framePr w:hSpace="180" w:wrap="around" w:vAnchor="text" w:hAnchor="margin" w:xAlign="center" w:y="-73"/>
        <w:rPr>
          <w:rFonts w:ascii="Century Gothic" w:eastAsia="Times" w:hAnsi="Century Gothic" w:cs="Times"/>
          <w:b/>
          <w:bCs/>
          <w:szCs w:val="22"/>
          <w:u w:val="single"/>
        </w:rPr>
      </w:pPr>
      <w:r w:rsidRPr="004A54F6">
        <w:rPr>
          <w:rFonts w:ascii="Century Gothic" w:eastAsia="Times" w:hAnsi="Century Gothic" w:cs="Times"/>
          <w:b/>
          <w:bCs/>
          <w:szCs w:val="22"/>
          <w:u w:val="single"/>
        </w:rPr>
        <w:t>1</w:t>
      </w:r>
      <w:r w:rsidR="002B0C27" w:rsidRPr="004A54F6">
        <w:rPr>
          <w:rFonts w:ascii="Century Gothic" w:eastAsia="Times" w:hAnsi="Century Gothic" w:cs="Times"/>
          <w:b/>
          <w:bCs/>
          <w:szCs w:val="22"/>
          <w:u w:val="single"/>
        </w:rPr>
        <w:t>. Specify</w:t>
      </w:r>
      <w:r w:rsidRPr="004A54F6">
        <w:rPr>
          <w:rFonts w:ascii="Century Gothic" w:eastAsia="Times" w:hAnsi="Century Gothic" w:cs="Times"/>
          <w:b/>
          <w:bCs/>
          <w:szCs w:val="22"/>
          <w:u w:val="single"/>
        </w:rPr>
        <w:t xml:space="preserve"> the Plan Year in which the activity was first approved and implemented (if applicable) and closed out.</w:t>
      </w:r>
    </w:p>
    <w:p w14:paraId="5FFCC573" w14:textId="77777777" w:rsidR="006246FF" w:rsidRPr="004A54F6" w:rsidRDefault="006246FF" w:rsidP="006246FF">
      <w:pPr>
        <w:framePr w:hSpace="180" w:wrap="around" w:vAnchor="text" w:hAnchor="margin" w:xAlign="center" w:y="-73"/>
        <w:ind w:firstLine="720"/>
        <w:rPr>
          <w:rFonts w:ascii="Century Gothic" w:eastAsia="Times" w:hAnsi="Century Gothic" w:cs="Times"/>
          <w:szCs w:val="22"/>
        </w:rPr>
      </w:pPr>
    </w:p>
    <w:p w14:paraId="719CF311" w14:textId="01FD745C" w:rsidR="006246FF" w:rsidRPr="004A54F6" w:rsidRDefault="006246FF" w:rsidP="006246FF">
      <w:pPr>
        <w:framePr w:hSpace="180" w:wrap="around" w:vAnchor="text" w:hAnchor="margin" w:xAlign="center" w:y="-73"/>
        <w:ind w:firstLine="720"/>
        <w:rPr>
          <w:rFonts w:ascii="Century Gothic" w:eastAsia="Times" w:hAnsi="Century Gothic" w:cs="Times"/>
          <w:szCs w:val="22"/>
        </w:rPr>
      </w:pPr>
      <w:bookmarkStart w:id="177" w:name="_Hlk204099485"/>
      <w:r w:rsidRPr="004A54F6">
        <w:rPr>
          <w:rFonts w:ascii="Century Gothic" w:eastAsia="Times" w:hAnsi="Century Gothic" w:cs="Times"/>
          <w:szCs w:val="22"/>
        </w:rPr>
        <w:t xml:space="preserve">This initiative was approved in FY11, implemented in </w:t>
      </w:r>
      <w:r w:rsidR="00F00F7B" w:rsidRPr="004A54F6">
        <w:rPr>
          <w:rFonts w:ascii="Century Gothic" w:eastAsia="Times" w:hAnsi="Century Gothic" w:cs="Times"/>
          <w:szCs w:val="22"/>
        </w:rPr>
        <w:t>FY</w:t>
      </w:r>
      <w:r w:rsidR="00F00F7B">
        <w:rPr>
          <w:rFonts w:ascii="Century Gothic" w:eastAsia="Times" w:hAnsi="Century Gothic" w:cs="Times"/>
          <w:szCs w:val="22"/>
        </w:rPr>
        <w:t>12</w:t>
      </w:r>
      <w:r w:rsidR="00F00F7B" w:rsidRPr="004A54F6">
        <w:rPr>
          <w:rFonts w:ascii="Century Gothic" w:eastAsia="Times" w:hAnsi="Century Gothic" w:cs="Times"/>
          <w:szCs w:val="22"/>
        </w:rPr>
        <w:t xml:space="preserve"> </w:t>
      </w:r>
      <w:r w:rsidRPr="004A54F6">
        <w:rPr>
          <w:rFonts w:ascii="Century Gothic" w:eastAsia="Times" w:hAnsi="Century Gothic" w:cs="Times"/>
          <w:szCs w:val="22"/>
        </w:rPr>
        <w:t>and closed out in FY24.</w:t>
      </w:r>
    </w:p>
    <w:bookmarkEnd w:id="177"/>
    <w:p w14:paraId="2D25D780" w14:textId="77777777" w:rsidR="006246FF" w:rsidRPr="004A54F6" w:rsidRDefault="006246FF" w:rsidP="006246FF">
      <w:pPr>
        <w:framePr w:hSpace="180" w:wrap="around" w:vAnchor="text" w:hAnchor="margin" w:xAlign="center" w:y="-73"/>
        <w:rPr>
          <w:rFonts w:ascii="Century Gothic" w:eastAsia="Times" w:hAnsi="Century Gothic" w:cs="Times"/>
          <w:szCs w:val="22"/>
        </w:rPr>
      </w:pPr>
      <w:r w:rsidRPr="004A54F6">
        <w:rPr>
          <w:rFonts w:ascii="Century Gothic" w:eastAsia="Times" w:hAnsi="Century Gothic" w:cs="Times"/>
          <w:szCs w:val="22"/>
        </w:rPr>
        <w:t xml:space="preserve"> </w:t>
      </w:r>
    </w:p>
    <w:p w14:paraId="1FC91AF3" w14:textId="59E2A76C" w:rsidR="006246FF" w:rsidRPr="004A54F6" w:rsidRDefault="006246FF" w:rsidP="006246FF">
      <w:pPr>
        <w:framePr w:hSpace="180" w:wrap="around" w:vAnchor="text" w:hAnchor="margin" w:xAlign="center" w:y="-73"/>
        <w:rPr>
          <w:rFonts w:ascii="Century Gothic" w:eastAsia="Times" w:hAnsi="Century Gothic" w:cs="Times"/>
          <w:b/>
          <w:bCs/>
          <w:szCs w:val="22"/>
          <w:u w:val="single"/>
        </w:rPr>
      </w:pPr>
      <w:r w:rsidRPr="004A54F6">
        <w:rPr>
          <w:rFonts w:ascii="Century Gothic" w:eastAsia="Times" w:hAnsi="Century Gothic" w:cs="Times"/>
          <w:b/>
          <w:bCs/>
          <w:szCs w:val="22"/>
          <w:u w:val="single"/>
        </w:rPr>
        <w:t>2</w:t>
      </w:r>
      <w:r w:rsidR="002B0C27" w:rsidRPr="004A54F6">
        <w:rPr>
          <w:rFonts w:ascii="Century Gothic" w:eastAsia="Times" w:hAnsi="Century Gothic" w:cs="Times"/>
          <w:b/>
          <w:bCs/>
          <w:szCs w:val="22"/>
          <w:u w:val="single"/>
        </w:rPr>
        <w:t>. Explain</w:t>
      </w:r>
      <w:r w:rsidRPr="004A54F6">
        <w:rPr>
          <w:rFonts w:ascii="Century Gothic" w:eastAsia="Times" w:hAnsi="Century Gothic" w:cs="Times"/>
          <w:b/>
          <w:bCs/>
          <w:szCs w:val="22"/>
          <w:u w:val="single"/>
        </w:rPr>
        <w:t xml:space="preserve"> why the activity was closed out.</w:t>
      </w:r>
    </w:p>
    <w:p w14:paraId="2DAA1747" w14:textId="77777777" w:rsidR="006246FF" w:rsidRPr="004A54F6" w:rsidRDefault="006246FF" w:rsidP="006246FF">
      <w:pPr>
        <w:pStyle w:val="Body1"/>
        <w:framePr w:wrap="around"/>
        <w:rPr>
          <w:rFonts w:ascii="Century Gothic" w:hAnsi="Century Gothic"/>
        </w:rPr>
      </w:pPr>
    </w:p>
    <w:p w14:paraId="2C21C11C" w14:textId="77777777" w:rsidR="002000F5" w:rsidRPr="004A54F6" w:rsidRDefault="002000F5" w:rsidP="00427BA6">
      <w:pPr>
        <w:pStyle w:val="Body1"/>
        <w:framePr w:wrap="around"/>
        <w:ind w:left="0"/>
        <w:rPr>
          <w:rFonts w:ascii="Century Gothic" w:hAnsi="Century Gothic"/>
        </w:rPr>
      </w:pPr>
    </w:p>
    <w:p w14:paraId="56FFA588" w14:textId="61E926CC" w:rsidR="1B3F2E6D" w:rsidRPr="004A54F6" w:rsidRDefault="1B3F2E6D" w:rsidP="006246FF">
      <w:pPr>
        <w:rPr>
          <w:rFonts w:ascii="Century Gothic" w:eastAsia="Times" w:hAnsi="Century Gothic" w:cs="Times"/>
        </w:rPr>
      </w:pPr>
    </w:p>
    <w:p w14:paraId="6404C750" w14:textId="6767D730" w:rsidR="1B3F2E6D" w:rsidRPr="004A54F6" w:rsidRDefault="0584BBD7" w:rsidP="006246FF">
      <w:pPr>
        <w:framePr w:wrap="around" w:hAnchor="text"/>
        <w:rPr>
          <w:rFonts w:ascii="Century Gothic" w:eastAsia="Times" w:hAnsi="Century Gothic" w:cs="Times"/>
          <w:sz w:val="24"/>
        </w:rPr>
      </w:pPr>
      <w:r w:rsidRPr="004A54F6">
        <w:rPr>
          <w:rFonts w:ascii="Century Gothic" w:eastAsia="Times" w:hAnsi="Century Gothic" w:cs="Times"/>
          <w:sz w:val="24"/>
        </w:rPr>
        <w:t xml:space="preserve"> </w:t>
      </w:r>
    </w:p>
    <w:p w14:paraId="07E4B74E" w14:textId="7FCAE7C2" w:rsidR="1B3F2E6D" w:rsidRPr="004A54F6" w:rsidRDefault="41F37E29" w:rsidP="00413693">
      <w:pPr>
        <w:ind w:left="720"/>
        <w:rPr>
          <w:rFonts w:ascii="Century Gothic" w:eastAsia="Times" w:hAnsi="Century Gothic" w:cs="Times"/>
          <w:szCs w:val="22"/>
        </w:rPr>
      </w:pPr>
      <w:r w:rsidRPr="004A54F6">
        <w:rPr>
          <w:rFonts w:ascii="Century Gothic" w:eastAsia="Times" w:hAnsi="Century Gothic" w:cs="Times"/>
          <w:color w:val="000000" w:themeColor="text1"/>
          <w:szCs w:val="22"/>
        </w:rPr>
        <w:t>ECC/HAN</w:t>
      </w:r>
      <w:r w:rsidR="1CCC3996" w:rsidRPr="004A54F6">
        <w:rPr>
          <w:rFonts w:ascii="Century Gothic" w:eastAsia="Times" w:hAnsi="Century Gothic" w:cs="Times"/>
          <w:color w:val="000000" w:themeColor="text1"/>
          <w:szCs w:val="22"/>
        </w:rPr>
        <w:t>H</w:t>
      </w:r>
      <w:r w:rsidRPr="004A54F6">
        <w:rPr>
          <w:rFonts w:ascii="Century Gothic" w:eastAsia="Times" w:hAnsi="Century Gothic" w:cs="Times"/>
          <w:color w:val="000000" w:themeColor="text1"/>
          <w:szCs w:val="22"/>
        </w:rPr>
        <w:t xml:space="preserve"> has successfully completed</w:t>
      </w:r>
      <w:r w:rsidR="3CFB6717" w:rsidRPr="004A54F6">
        <w:rPr>
          <w:rFonts w:ascii="Century Gothic" w:eastAsia="Times" w:hAnsi="Century Gothic" w:cs="Times"/>
          <w:color w:val="000000" w:themeColor="text1"/>
          <w:szCs w:val="22"/>
        </w:rPr>
        <w:t xml:space="preserve"> the </w:t>
      </w:r>
      <w:proofErr w:type="spellStart"/>
      <w:r w:rsidR="3CFB6717" w:rsidRPr="004A54F6">
        <w:rPr>
          <w:rFonts w:ascii="Century Gothic" w:eastAsia="Times" w:hAnsi="Century Gothic" w:cs="Times"/>
          <w:color w:val="000000" w:themeColor="text1"/>
          <w:szCs w:val="22"/>
        </w:rPr>
        <w:t>Farnam</w:t>
      </w:r>
      <w:proofErr w:type="spellEnd"/>
      <w:r w:rsidR="3CFB6717" w:rsidRPr="004A54F6">
        <w:rPr>
          <w:rFonts w:ascii="Century Gothic" w:eastAsia="Times" w:hAnsi="Century Gothic" w:cs="Times"/>
          <w:color w:val="000000" w:themeColor="text1"/>
          <w:szCs w:val="22"/>
        </w:rPr>
        <w:t xml:space="preserve"> Courts Transformation Plan, redeveloping the development into Mill River Crossing and </w:t>
      </w:r>
      <w:r w:rsidR="0045190C" w:rsidRPr="004A54F6">
        <w:rPr>
          <w:rFonts w:ascii="Century Gothic" w:eastAsia="Times" w:hAnsi="Century Gothic" w:cs="Times"/>
          <w:color w:val="000000" w:themeColor="text1"/>
          <w:szCs w:val="22"/>
        </w:rPr>
        <w:t>revitalizing</w:t>
      </w:r>
      <w:r w:rsidR="3CFB6717" w:rsidRPr="004A54F6">
        <w:rPr>
          <w:rFonts w:ascii="Century Gothic" w:eastAsia="Times" w:hAnsi="Century Gothic" w:cs="Times"/>
          <w:color w:val="000000" w:themeColor="text1"/>
          <w:szCs w:val="22"/>
        </w:rPr>
        <w:t xml:space="preserve"> a community.</w:t>
      </w:r>
      <w:r w:rsidR="0A46D310" w:rsidRPr="004A54F6">
        <w:rPr>
          <w:rFonts w:ascii="Century Gothic" w:eastAsia="Times" w:hAnsi="Century Gothic" w:cs="Times"/>
          <w:color w:val="000000" w:themeColor="text1"/>
          <w:szCs w:val="22"/>
        </w:rPr>
        <w:t xml:space="preserve"> </w:t>
      </w:r>
      <w:proofErr w:type="spellStart"/>
      <w:r w:rsidR="0A46D310" w:rsidRPr="004A54F6">
        <w:rPr>
          <w:rFonts w:ascii="Century Gothic" w:eastAsia="Times" w:hAnsi="Century Gothic" w:cs="Times"/>
          <w:szCs w:val="22"/>
        </w:rPr>
        <w:t>Farnam</w:t>
      </w:r>
      <w:proofErr w:type="spellEnd"/>
      <w:r w:rsidR="0A46D310" w:rsidRPr="004A54F6">
        <w:rPr>
          <w:rFonts w:ascii="Century Gothic" w:eastAsia="Times" w:hAnsi="Century Gothic" w:cs="Times"/>
          <w:szCs w:val="22"/>
        </w:rPr>
        <w:t xml:space="preserve"> Courts Transformation replaced 240 units of housing originally built in the 1940s</w:t>
      </w:r>
      <w:r w:rsidR="0E8BF21A" w:rsidRPr="004A54F6">
        <w:rPr>
          <w:rFonts w:ascii="Century Gothic" w:eastAsia="Times" w:hAnsi="Century Gothic" w:cs="Times"/>
          <w:szCs w:val="22"/>
        </w:rPr>
        <w:t>.</w:t>
      </w:r>
      <w:r w:rsidR="0A46D310" w:rsidRPr="004A54F6">
        <w:rPr>
          <w:rFonts w:ascii="Century Gothic" w:eastAsia="Times" w:hAnsi="Century Gothic" w:cs="Times"/>
          <w:szCs w:val="22"/>
        </w:rPr>
        <w:t xml:space="preserve"> The redevelopment occurred in phases resulting in 228 replacement units and additional market rate units. The redevelopment includes new roads, streets, infrastructure, and utilities funded through a $8 million capital investment from the City of New Haven.</w:t>
      </w:r>
    </w:p>
    <w:p w14:paraId="2356D0FB" w14:textId="77777777" w:rsidR="0017626F" w:rsidRPr="004A54F6" w:rsidRDefault="0017626F" w:rsidP="0017626F">
      <w:pPr>
        <w:pStyle w:val="Subheading"/>
        <w:ind w:left="1080"/>
        <w:rPr>
          <w:rFonts w:ascii="Century Gothic" w:hAnsi="Century Gothic" w:cs="Times New Roman"/>
          <w:color w:val="auto"/>
          <w:sz w:val="22"/>
          <w:szCs w:val="22"/>
        </w:rPr>
      </w:pPr>
    </w:p>
    <w:p w14:paraId="202C3B15" w14:textId="3B8DF310" w:rsidR="00EF4480" w:rsidRPr="004A54F6" w:rsidRDefault="00EF4480" w:rsidP="004A54F6">
      <w:pPr>
        <w:ind w:left="1080"/>
        <w:rPr>
          <w:rFonts w:ascii="Century Gothic" w:hAnsi="Century Gothic"/>
        </w:rPr>
      </w:pPr>
    </w:p>
    <w:p w14:paraId="0A02A302" w14:textId="25BD7F57" w:rsidR="00E769BB" w:rsidRPr="004A54F6" w:rsidRDefault="00E769BB" w:rsidP="00FE2467">
      <w:pPr>
        <w:pStyle w:val="ListParagraph"/>
        <w:jc w:val="center"/>
        <w:rPr>
          <w:rFonts w:ascii="Century Gothic" w:hAnsi="Century Gothic"/>
        </w:rPr>
      </w:pPr>
    </w:p>
    <w:p w14:paraId="10AFCED3" w14:textId="4498C1EF" w:rsidR="00FE2467" w:rsidRPr="004A54F6" w:rsidRDefault="00FE2467" w:rsidP="00FE2467">
      <w:pPr>
        <w:pStyle w:val="ListParagraph"/>
        <w:jc w:val="center"/>
        <w:rPr>
          <w:rFonts w:ascii="Century Gothic" w:hAnsi="Century Gothic"/>
          <w:b/>
          <w:bCs/>
        </w:rPr>
      </w:pPr>
    </w:p>
    <w:p w14:paraId="3354CA96" w14:textId="277EE962" w:rsidR="00FE2467" w:rsidRPr="00413693" w:rsidRDefault="00FE2467" w:rsidP="00FE2467">
      <w:pPr>
        <w:pStyle w:val="ListParagraph"/>
        <w:jc w:val="center"/>
        <w:rPr>
          <w:rFonts w:ascii="Century Gothic" w:hAnsi="Century Gothic"/>
          <w:b/>
          <w:bCs/>
        </w:rPr>
      </w:pPr>
    </w:p>
    <w:p w14:paraId="4861B59F" w14:textId="77777777" w:rsidR="00E769BB" w:rsidRPr="00413693" w:rsidRDefault="00E769BB" w:rsidP="005E25D1">
      <w:pPr>
        <w:pStyle w:val="ListParagraph"/>
        <w:rPr>
          <w:rFonts w:ascii="Century Gothic" w:hAnsi="Century Gothic"/>
          <w:b/>
          <w:bCs/>
        </w:rPr>
      </w:pPr>
    </w:p>
    <w:p w14:paraId="01540ACC" w14:textId="77777777" w:rsidR="00C3676C" w:rsidRPr="00413693" w:rsidRDefault="00C3676C">
      <w:pPr>
        <w:spacing w:after="160" w:line="276" w:lineRule="auto"/>
        <w:rPr>
          <w:rFonts w:ascii="Century Gothic" w:hAnsi="Century Gothic"/>
          <w:b/>
          <w:bCs/>
        </w:rPr>
      </w:pPr>
      <w:r w:rsidRPr="00413693">
        <w:rPr>
          <w:rFonts w:ascii="Century Gothic" w:hAnsi="Century Gothic"/>
          <w:b/>
          <w:bCs/>
        </w:rPr>
        <w:br w:type="page"/>
      </w:r>
    </w:p>
    <w:p w14:paraId="788D43B2" w14:textId="173903D0" w:rsidR="00D16845" w:rsidRPr="00081181" w:rsidRDefault="00C3676C" w:rsidP="00E769BB">
      <w:pPr>
        <w:pStyle w:val="ListParagraph"/>
        <w:rPr>
          <w:rFonts w:ascii="Century Gothic" w:hAnsi="Century Gothic" w:cstheme="minorBidi"/>
        </w:rPr>
      </w:pPr>
      <w:r w:rsidRPr="00081181">
        <w:rPr>
          <w:rFonts w:ascii="Century Gothic" w:hAnsi="Century Gothic"/>
          <w:b/>
          <w:bCs/>
        </w:rPr>
        <w:lastRenderedPageBreak/>
        <w:t>Previously Closed Initiatives</w:t>
      </w:r>
      <w:r w:rsidR="0008533D" w:rsidRPr="00081181">
        <w:rPr>
          <w:rFonts w:ascii="Century Gothic" w:hAnsi="Century Gothic" w:cstheme="minorBidi"/>
        </w:rPr>
        <w:tab/>
      </w:r>
      <w:r w:rsidR="0008533D" w:rsidRPr="00081181">
        <w:rPr>
          <w:rFonts w:ascii="Century Gothic" w:hAnsi="Century Gothic" w:cstheme="minorBidi"/>
        </w:rPr>
        <w:tab/>
      </w:r>
      <w:r w:rsidR="00AA5B23" w:rsidRPr="00081181">
        <w:rPr>
          <w:rFonts w:ascii="Century Gothic" w:hAnsi="Century Gothic" w:cstheme="minorBidi"/>
        </w:rPr>
        <w:tab/>
      </w:r>
    </w:p>
    <w:p w14:paraId="3644D7C5" w14:textId="664D4733" w:rsidR="1B3F2E6D" w:rsidRPr="00081181" w:rsidRDefault="1B3F2E6D" w:rsidP="002D0B3C">
      <w:pPr>
        <w:pStyle w:val="Body1"/>
        <w:framePr w:wrap="around"/>
        <w:rPr>
          <w:rFonts w:ascii="Century Gothic" w:hAnsi="Century Gothic"/>
        </w:rPr>
      </w:pPr>
    </w:p>
    <w:tbl>
      <w:tblPr>
        <w:tblStyle w:val="GridTable4-Accent214"/>
        <w:tblW w:w="0" w:type="auto"/>
        <w:tblLook w:val="04A0" w:firstRow="1" w:lastRow="0" w:firstColumn="1" w:lastColumn="0" w:noHBand="0" w:noVBand="1"/>
      </w:tblPr>
      <w:tblGrid>
        <w:gridCol w:w="3510"/>
        <w:gridCol w:w="4770"/>
        <w:gridCol w:w="1350"/>
      </w:tblGrid>
      <w:tr w:rsidR="006A7B41" w:rsidRPr="00081181" w14:paraId="529B4B3C" w14:textId="77777777" w:rsidTr="4566E4F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single" w:sz="24" w:space="0" w:color="B5333C" w:themeColor="accent2"/>
              <w:right w:val="single" w:sz="4" w:space="0" w:color="D9D9D9" w:themeColor="background1" w:themeShade="D9"/>
            </w:tcBorders>
            <w:shd w:val="clear" w:color="auto" w:fill="808080" w:themeFill="background1" w:themeFillShade="80"/>
            <w:vAlign w:val="center"/>
          </w:tcPr>
          <w:p w14:paraId="6005FB6F" w14:textId="77777777" w:rsidR="00EC5276" w:rsidRPr="00081181" w:rsidRDefault="00EC5276" w:rsidP="00EC5276">
            <w:pPr>
              <w:jc w:val="center"/>
              <w:rPr>
                <w:rFonts w:ascii="Century Gothic" w:hAnsi="Century Gothic"/>
                <w:color w:val="auto"/>
                <w:szCs w:val="22"/>
              </w:rPr>
            </w:pPr>
            <w:r w:rsidRPr="00081181">
              <w:rPr>
                <w:rFonts w:ascii="Century Gothic" w:hAnsi="Century Gothic"/>
                <w:color w:val="auto"/>
                <w:szCs w:val="22"/>
              </w:rPr>
              <w:t>Activity</w:t>
            </w:r>
          </w:p>
        </w:tc>
        <w:tc>
          <w:tcPr>
            <w:tcW w:w="4770" w:type="dxa"/>
            <w:tcBorders>
              <w:top w:val="nil"/>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vAlign w:val="center"/>
          </w:tcPr>
          <w:p w14:paraId="608BBB59" w14:textId="77777777" w:rsidR="00EC5276" w:rsidRPr="00081181" w:rsidRDefault="00EC5276" w:rsidP="00EC527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081181">
              <w:rPr>
                <w:rFonts w:ascii="Century Gothic" w:hAnsi="Century Gothic"/>
                <w:color w:val="auto"/>
                <w:szCs w:val="22"/>
              </w:rPr>
              <w:t>Plan Year Approved/ Implemented</w:t>
            </w:r>
          </w:p>
        </w:tc>
        <w:tc>
          <w:tcPr>
            <w:tcW w:w="1350" w:type="dxa"/>
            <w:tcBorders>
              <w:top w:val="nil"/>
              <w:left w:val="single" w:sz="4" w:space="0" w:color="D9D9D9" w:themeColor="background1" w:themeShade="D9"/>
              <w:bottom w:val="single" w:sz="24" w:space="0" w:color="B5333C" w:themeColor="accent2"/>
              <w:right w:val="nil"/>
            </w:tcBorders>
            <w:shd w:val="clear" w:color="auto" w:fill="808080" w:themeFill="background1" w:themeFillShade="80"/>
            <w:vAlign w:val="center"/>
          </w:tcPr>
          <w:p w14:paraId="6B9F1FFE" w14:textId="77777777" w:rsidR="00EC5276" w:rsidRPr="00081181" w:rsidRDefault="00EC5276" w:rsidP="00EC527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2"/>
              </w:rPr>
            </w:pPr>
            <w:r w:rsidRPr="00081181">
              <w:rPr>
                <w:rFonts w:ascii="Century Gothic" w:hAnsi="Century Gothic"/>
                <w:color w:val="auto"/>
                <w:szCs w:val="22"/>
              </w:rPr>
              <w:t>Year Closed Out</w:t>
            </w:r>
          </w:p>
        </w:tc>
      </w:tr>
      <w:tr w:rsidR="006A7B41" w:rsidRPr="00081181" w14:paraId="562950E9" w14:textId="77777777" w:rsidTr="4566E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24" w:space="0" w:color="B5333C" w:themeColor="accent2"/>
              <w:left w:val="nil"/>
              <w:bottom w:val="single" w:sz="4" w:space="0" w:color="D9D9D9" w:themeColor="background1" w:themeShade="D9"/>
              <w:right w:val="single" w:sz="4" w:space="0" w:color="D9D9D9" w:themeColor="background1" w:themeShade="D9"/>
            </w:tcBorders>
          </w:tcPr>
          <w:p w14:paraId="2AA20F4B" w14:textId="08E26BA0" w:rsidR="00EC5276" w:rsidRPr="00081181" w:rsidRDefault="00EC5276" w:rsidP="00EC5276">
            <w:pPr>
              <w:rPr>
                <w:rFonts w:ascii="Century Gothic" w:hAnsi="Century Gothic"/>
                <w:b w:val="0"/>
                <w:szCs w:val="22"/>
              </w:rPr>
            </w:pPr>
            <w:r w:rsidRPr="00081181">
              <w:rPr>
                <w:rFonts w:ascii="Century Gothic" w:hAnsi="Century Gothic"/>
                <w:b w:val="0"/>
                <w:szCs w:val="22"/>
              </w:rPr>
              <w:t xml:space="preserve">Initiative 1.1 – Development of </w:t>
            </w:r>
            <w:r w:rsidR="007A6B81" w:rsidRPr="00081181">
              <w:rPr>
                <w:rFonts w:ascii="Century Gothic" w:hAnsi="Century Gothic"/>
                <w:b w:val="0"/>
                <w:szCs w:val="22"/>
              </w:rPr>
              <w:t>Mixed-Use</w:t>
            </w:r>
            <w:r w:rsidRPr="00081181">
              <w:rPr>
                <w:rFonts w:ascii="Century Gothic" w:hAnsi="Century Gothic"/>
                <w:b w:val="0"/>
                <w:szCs w:val="22"/>
              </w:rPr>
              <w:t xml:space="preserve"> Development at 122 Wilmot Road</w:t>
            </w:r>
          </w:p>
        </w:tc>
        <w:tc>
          <w:tcPr>
            <w:tcW w:w="477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tcPr>
          <w:p w14:paraId="26318990" w14:textId="36CFE3B6" w:rsidR="00EC5276" w:rsidRPr="00081181"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81181">
              <w:rPr>
                <w:rFonts w:ascii="Century Gothic" w:hAnsi="Century Gothic"/>
                <w:szCs w:val="22"/>
              </w:rPr>
              <w:t>Approved in FY09</w:t>
            </w:r>
            <w:r w:rsidR="00C47C34" w:rsidRPr="00081181">
              <w:rPr>
                <w:rFonts w:ascii="Century Gothic" w:hAnsi="Century Gothic"/>
                <w:szCs w:val="22"/>
              </w:rPr>
              <w:t>.</w:t>
            </w:r>
            <w:r w:rsidRPr="00081181">
              <w:rPr>
                <w:rFonts w:ascii="Century Gothic" w:hAnsi="Century Gothic"/>
                <w:szCs w:val="22"/>
              </w:rPr>
              <w:t xml:space="preserve"> </w:t>
            </w:r>
            <w:r w:rsidR="00C47C34" w:rsidRPr="00081181">
              <w:rPr>
                <w:rFonts w:ascii="Century Gothic" w:hAnsi="Century Gothic"/>
                <w:szCs w:val="22"/>
              </w:rPr>
              <w:t xml:space="preserve">Development </w:t>
            </w:r>
            <w:r w:rsidRPr="00081181">
              <w:rPr>
                <w:rFonts w:ascii="Century Gothic" w:hAnsi="Century Gothic"/>
                <w:szCs w:val="22"/>
              </w:rPr>
              <w:t>was completed and occupied in September 2013.</w:t>
            </w:r>
          </w:p>
        </w:tc>
        <w:tc>
          <w:tcPr>
            <w:tcW w:w="1350" w:type="dxa"/>
            <w:tcBorders>
              <w:top w:val="single" w:sz="24" w:space="0" w:color="B5333C" w:themeColor="accent2"/>
              <w:left w:val="single" w:sz="4" w:space="0" w:color="D9D9D9" w:themeColor="background1" w:themeShade="D9"/>
              <w:bottom w:val="single" w:sz="4" w:space="0" w:color="D9D9D9" w:themeColor="background1" w:themeShade="D9"/>
              <w:right w:val="nil"/>
            </w:tcBorders>
          </w:tcPr>
          <w:p w14:paraId="55772091" w14:textId="77777777" w:rsidR="00EC5276" w:rsidRPr="00081181"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81181">
              <w:rPr>
                <w:rFonts w:ascii="Century Gothic" w:hAnsi="Century Gothic"/>
                <w:szCs w:val="22"/>
              </w:rPr>
              <w:t>FY14</w:t>
            </w:r>
          </w:p>
        </w:tc>
      </w:tr>
      <w:tr w:rsidR="006A7B41" w:rsidRPr="00081181" w14:paraId="4932709F" w14:textId="77777777" w:rsidTr="4566E4F4">
        <w:trPr>
          <w:trHeight w:val="764"/>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A11EC9D" w14:textId="77777777" w:rsidR="00EC5276" w:rsidRPr="00081181" w:rsidRDefault="00EC5276" w:rsidP="00EC5276">
            <w:pPr>
              <w:autoSpaceDE w:val="0"/>
              <w:autoSpaceDN w:val="0"/>
              <w:adjustRightInd w:val="0"/>
              <w:rPr>
                <w:rFonts w:ascii="Century Gothic" w:eastAsia="Calibri" w:hAnsi="Century Gothic"/>
                <w:b w:val="0"/>
                <w:iCs/>
                <w:szCs w:val="22"/>
              </w:rPr>
            </w:pPr>
            <w:r w:rsidRPr="00081181">
              <w:rPr>
                <w:rFonts w:ascii="Century Gothic" w:eastAsia="Calibri" w:hAnsi="Century Gothic"/>
                <w:b w:val="0"/>
                <w:iCs/>
                <w:szCs w:val="22"/>
              </w:rPr>
              <w:t xml:space="preserve">Initiative 1.3 </w:t>
            </w:r>
            <w:r w:rsidRPr="00081181">
              <w:rPr>
                <w:rFonts w:ascii="Century Gothic" w:eastAsia="Calibri" w:hAnsi="Century Gothic"/>
                <w:b w:val="0"/>
                <w:szCs w:val="22"/>
              </w:rPr>
              <w:t>–</w:t>
            </w:r>
            <w:r w:rsidRPr="00081181">
              <w:rPr>
                <w:rFonts w:ascii="Century Gothic" w:eastAsia="Calibri" w:hAnsi="Century Gothic"/>
                <w:b w:val="0"/>
                <w:iCs/>
                <w:szCs w:val="22"/>
              </w:rPr>
              <w:t xml:space="preserve"> Fungibility</w:t>
            </w:r>
          </w:p>
          <w:p w14:paraId="6CAF0113" w14:textId="77777777" w:rsidR="00EC5276" w:rsidRPr="00081181" w:rsidRDefault="00EC5276" w:rsidP="00EC5276">
            <w:pPr>
              <w:rPr>
                <w:rFonts w:ascii="Century Gothic" w:hAnsi="Century Gothic"/>
                <w:b w:val="0"/>
                <w:szCs w:val="22"/>
              </w:rPr>
            </w:pP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C91F08" w14:textId="62CDA1DC" w:rsidR="00EC5276" w:rsidRPr="00081181" w:rsidRDefault="00EC5276" w:rsidP="00EC5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eastAsia="Calibri" w:hAnsi="Century Gothic"/>
                <w:bCs/>
                <w:szCs w:val="22"/>
              </w:rPr>
            </w:pPr>
            <w:r w:rsidRPr="00081181">
              <w:rPr>
                <w:rFonts w:ascii="Century Gothic" w:eastAsia="Calibri" w:hAnsi="Century Gothic"/>
                <w:szCs w:val="22"/>
              </w:rPr>
              <w:t>Approved in FY12 and implemented in FY13</w:t>
            </w:r>
            <w:r w:rsidR="00D530FD" w:rsidRPr="00081181">
              <w:rPr>
                <w:rFonts w:ascii="Century Gothic" w:eastAsia="Calibri" w:hAnsi="Century Gothic"/>
                <w:szCs w:val="22"/>
              </w:rPr>
              <w:t xml:space="preserve">. </w:t>
            </w:r>
            <w:r w:rsidRPr="00081181">
              <w:rPr>
                <w:rFonts w:ascii="Century Gothic" w:eastAsia="Calibri" w:hAnsi="Century Gothic"/>
                <w:szCs w:val="22"/>
              </w:rPr>
              <w:t>HUD provided guidance that this was no longer required to be listed as an MTW initiative.</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0EB82364" w14:textId="77777777" w:rsidR="00EC5276" w:rsidRPr="00081181" w:rsidRDefault="00EC5276" w:rsidP="00EC5276">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81181">
              <w:rPr>
                <w:rFonts w:ascii="Century Gothic" w:hAnsi="Century Gothic"/>
                <w:szCs w:val="22"/>
              </w:rPr>
              <w:t>FY13</w:t>
            </w:r>
          </w:p>
        </w:tc>
      </w:tr>
      <w:tr w:rsidR="006A7B41" w:rsidRPr="00081181" w14:paraId="1EE55438" w14:textId="77777777" w:rsidTr="4566E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2F174D91" w14:textId="77777777" w:rsidR="00EC5276" w:rsidRPr="00081181" w:rsidRDefault="00EC5276" w:rsidP="00EC5276">
            <w:pPr>
              <w:jc w:val="both"/>
              <w:rPr>
                <w:rFonts w:ascii="Century Gothic" w:eastAsia="Calibri" w:hAnsi="Century Gothic"/>
                <w:b w:val="0"/>
                <w:bCs w:val="0"/>
                <w:szCs w:val="22"/>
              </w:rPr>
            </w:pPr>
            <w:r w:rsidRPr="00081181">
              <w:rPr>
                <w:rFonts w:ascii="Century Gothic" w:eastAsia="Calibri" w:hAnsi="Century Gothic"/>
                <w:b w:val="0"/>
                <w:szCs w:val="22"/>
              </w:rPr>
              <w:t>Initiative 1.13 – Creation of a Commercial Business Venture at 122 Wilmot Road</w:t>
            </w: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078A4B" w14:textId="595B9754" w:rsidR="00EC5276" w:rsidRPr="00081181"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81181">
              <w:rPr>
                <w:rFonts w:ascii="Century Gothic" w:hAnsi="Century Gothic"/>
                <w:szCs w:val="22"/>
              </w:rPr>
              <w:t>Approved in FY13</w:t>
            </w:r>
            <w:r w:rsidR="00D530FD" w:rsidRPr="00081181">
              <w:rPr>
                <w:rFonts w:ascii="Century Gothic" w:hAnsi="Century Gothic"/>
                <w:szCs w:val="22"/>
              </w:rPr>
              <w:t>.</w:t>
            </w:r>
            <w:r w:rsidRPr="00081181">
              <w:rPr>
                <w:rFonts w:ascii="Century Gothic" w:hAnsi="Century Gothic"/>
                <w:szCs w:val="22"/>
              </w:rPr>
              <w:t xml:space="preserve"> MTW authorization </w:t>
            </w:r>
            <w:r w:rsidR="002B0C27" w:rsidRPr="00081181">
              <w:rPr>
                <w:rFonts w:ascii="Century Gothic" w:hAnsi="Century Gothic"/>
                <w:szCs w:val="22"/>
              </w:rPr>
              <w:t>is no</w:t>
            </w:r>
            <w:r w:rsidRPr="00081181">
              <w:rPr>
                <w:rFonts w:ascii="Century Gothic" w:hAnsi="Century Gothic"/>
                <w:szCs w:val="22"/>
              </w:rPr>
              <w:t xml:space="preserve"> longer required.</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38513830" w14:textId="77777777" w:rsidR="00EC5276" w:rsidRPr="00081181"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81181">
              <w:rPr>
                <w:rFonts w:ascii="Century Gothic" w:hAnsi="Century Gothic"/>
                <w:szCs w:val="22"/>
              </w:rPr>
              <w:t>FY14</w:t>
            </w:r>
          </w:p>
        </w:tc>
      </w:tr>
      <w:tr w:rsidR="006A7B41" w:rsidRPr="00081181" w14:paraId="24A2D37F" w14:textId="77777777" w:rsidTr="4566E4F4">
        <w:trPr>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EDCA675" w14:textId="77777777" w:rsidR="00EC5276" w:rsidRPr="00081181" w:rsidRDefault="00EC5276" w:rsidP="00EC5276">
            <w:pPr>
              <w:widowControl w:val="0"/>
              <w:autoSpaceDE w:val="0"/>
              <w:autoSpaceDN w:val="0"/>
              <w:adjustRightInd w:val="0"/>
              <w:rPr>
                <w:rFonts w:ascii="Century Gothic" w:eastAsia="Calibri" w:hAnsi="Century Gothic"/>
                <w:b w:val="0"/>
                <w:szCs w:val="22"/>
              </w:rPr>
            </w:pPr>
            <w:r w:rsidRPr="00081181">
              <w:rPr>
                <w:rFonts w:ascii="Century Gothic" w:eastAsia="Calibri" w:hAnsi="Century Gothic"/>
                <w:b w:val="0"/>
                <w:szCs w:val="22"/>
              </w:rPr>
              <w:t xml:space="preserve">Initiative 1.14 – Redevelopment of 99 Edgewood Avenue (Dwight Gardens). ECC/HANH will use MTW Block Grant Banks to develop housing through a mixed finance process. </w:t>
            </w: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EAC699" w14:textId="7768F9F0" w:rsidR="00EC5276" w:rsidRPr="00081181" w:rsidRDefault="00EC5276" w:rsidP="00EC5276">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81181">
              <w:rPr>
                <w:rFonts w:ascii="Century Gothic" w:hAnsi="Century Gothic"/>
                <w:szCs w:val="22"/>
              </w:rPr>
              <w:t>Approved in FY13</w:t>
            </w:r>
            <w:r w:rsidR="00D530FD" w:rsidRPr="00081181">
              <w:rPr>
                <w:rFonts w:ascii="Century Gothic" w:hAnsi="Century Gothic"/>
                <w:szCs w:val="22"/>
              </w:rPr>
              <w:t xml:space="preserve">. Never </w:t>
            </w:r>
            <w:r w:rsidRPr="00081181">
              <w:rPr>
                <w:rFonts w:ascii="Century Gothic" w:hAnsi="Century Gothic"/>
                <w:szCs w:val="22"/>
              </w:rPr>
              <w:t>implemented.</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36D1AB3B" w14:textId="77777777" w:rsidR="00EC5276" w:rsidRPr="00081181" w:rsidRDefault="00EC5276" w:rsidP="00EC5276">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81181">
              <w:rPr>
                <w:rFonts w:ascii="Century Gothic" w:hAnsi="Century Gothic"/>
                <w:szCs w:val="22"/>
              </w:rPr>
              <w:t>FY14</w:t>
            </w:r>
          </w:p>
        </w:tc>
      </w:tr>
      <w:tr w:rsidR="006A7B41" w:rsidRPr="00081181" w14:paraId="57CB6AC9" w14:textId="77777777" w:rsidTr="4566E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1598798B" w14:textId="77777777" w:rsidR="00EC5276" w:rsidRPr="00081181" w:rsidRDefault="00EC5276" w:rsidP="00EC5276">
            <w:pPr>
              <w:autoSpaceDE w:val="0"/>
              <w:autoSpaceDN w:val="0"/>
              <w:adjustRightInd w:val="0"/>
              <w:rPr>
                <w:rFonts w:ascii="Century Gothic" w:eastAsia="Calibri" w:hAnsi="Century Gothic"/>
                <w:b w:val="0"/>
                <w:iCs/>
                <w:szCs w:val="22"/>
              </w:rPr>
            </w:pPr>
            <w:r w:rsidRPr="00081181">
              <w:rPr>
                <w:rFonts w:ascii="Century Gothic" w:eastAsia="Calibri" w:hAnsi="Century Gothic"/>
                <w:b w:val="0"/>
                <w:iCs/>
                <w:szCs w:val="22"/>
              </w:rPr>
              <w:t xml:space="preserve">Initiative 3.2 </w:t>
            </w:r>
            <w:r w:rsidRPr="00081181">
              <w:rPr>
                <w:rFonts w:ascii="Century Gothic" w:eastAsia="Calibri" w:hAnsi="Century Gothic"/>
                <w:b w:val="0"/>
                <w:iCs/>
                <w:szCs w:val="22"/>
              </w:rPr>
              <w:softHyphen/>
              <w:t xml:space="preserve">– UPCS Inspections </w:t>
            </w:r>
          </w:p>
          <w:p w14:paraId="157B8B23" w14:textId="77777777" w:rsidR="00EC5276" w:rsidRPr="00081181" w:rsidRDefault="00EC5276" w:rsidP="00EC5276">
            <w:pPr>
              <w:widowControl w:val="0"/>
              <w:autoSpaceDE w:val="0"/>
              <w:autoSpaceDN w:val="0"/>
              <w:adjustRightInd w:val="0"/>
              <w:rPr>
                <w:rFonts w:ascii="Century Gothic" w:eastAsia="Calibri" w:hAnsi="Century Gothic"/>
                <w:b w:val="0"/>
                <w:szCs w:val="22"/>
              </w:rPr>
            </w:pP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9575B0" w14:textId="50BE23F1" w:rsidR="00EC5276" w:rsidRPr="00081181"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81181">
              <w:rPr>
                <w:rFonts w:ascii="Century Gothic" w:hAnsi="Century Gothic"/>
                <w:szCs w:val="22"/>
              </w:rPr>
              <w:t>Approved and implemented in FY08</w:t>
            </w:r>
            <w:r w:rsidR="00D530FD" w:rsidRPr="00081181">
              <w:rPr>
                <w:rFonts w:ascii="Century Gothic" w:hAnsi="Century Gothic"/>
                <w:szCs w:val="22"/>
              </w:rPr>
              <w:t xml:space="preserve">. </w:t>
            </w:r>
            <w:r w:rsidRPr="00081181">
              <w:rPr>
                <w:rFonts w:ascii="Century Gothic" w:hAnsi="Century Gothic"/>
                <w:szCs w:val="22"/>
              </w:rPr>
              <w:t xml:space="preserve">MTW authorization </w:t>
            </w:r>
            <w:r w:rsidR="002B0C27" w:rsidRPr="00081181">
              <w:rPr>
                <w:rFonts w:ascii="Century Gothic" w:hAnsi="Century Gothic"/>
                <w:szCs w:val="22"/>
              </w:rPr>
              <w:t>is no</w:t>
            </w:r>
            <w:r w:rsidRPr="00081181">
              <w:rPr>
                <w:rFonts w:ascii="Century Gothic" w:hAnsi="Century Gothic"/>
                <w:szCs w:val="22"/>
              </w:rPr>
              <w:t xml:space="preserve"> longer required.</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63D0AEB6" w14:textId="77777777" w:rsidR="00EC5276" w:rsidRPr="00081181"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81181">
              <w:rPr>
                <w:rFonts w:ascii="Century Gothic" w:hAnsi="Century Gothic"/>
                <w:szCs w:val="22"/>
              </w:rPr>
              <w:t>FY13</w:t>
            </w:r>
          </w:p>
        </w:tc>
      </w:tr>
      <w:tr w:rsidR="006A7B41" w:rsidRPr="00081181" w14:paraId="00B4EF4D" w14:textId="77777777" w:rsidTr="4566E4F4">
        <w:trPr>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31CC85B9" w14:textId="77777777" w:rsidR="00EC5276" w:rsidRPr="00081181" w:rsidRDefault="00EC5276" w:rsidP="00EC5276">
            <w:pPr>
              <w:autoSpaceDE w:val="0"/>
              <w:autoSpaceDN w:val="0"/>
              <w:adjustRightInd w:val="0"/>
              <w:rPr>
                <w:rFonts w:ascii="Century Gothic" w:eastAsia="Calibri" w:hAnsi="Century Gothic"/>
                <w:b w:val="0"/>
                <w:bCs w:val="0"/>
                <w:szCs w:val="22"/>
              </w:rPr>
            </w:pPr>
            <w:r w:rsidRPr="00081181">
              <w:rPr>
                <w:rFonts w:ascii="Century Gothic" w:eastAsia="Calibri" w:hAnsi="Century Gothic"/>
                <w:b w:val="0"/>
                <w:szCs w:val="22"/>
              </w:rPr>
              <w:t>Initiative 3.3 – Revised HQS Inspection Protocol</w:t>
            </w: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32E8D8" w14:textId="50558BFA" w:rsidR="00EC5276" w:rsidRPr="00081181" w:rsidRDefault="00EC5276" w:rsidP="00EC5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eastAsia="Calibri" w:hAnsi="Century Gothic"/>
                <w:bCs/>
                <w:szCs w:val="22"/>
                <w:u w:val="single"/>
              </w:rPr>
            </w:pPr>
            <w:r w:rsidRPr="00081181">
              <w:rPr>
                <w:rFonts w:ascii="Century Gothic" w:hAnsi="Century Gothic"/>
                <w:szCs w:val="22"/>
              </w:rPr>
              <w:t>Approved and implemented in FY11</w:t>
            </w:r>
            <w:r w:rsidR="00D530FD" w:rsidRPr="00081181">
              <w:rPr>
                <w:rFonts w:ascii="Century Gothic" w:hAnsi="Century Gothic"/>
                <w:szCs w:val="22"/>
              </w:rPr>
              <w:t xml:space="preserve">. </w:t>
            </w:r>
            <w:r w:rsidR="00D530FD" w:rsidRPr="00081181">
              <w:rPr>
                <w:rFonts w:ascii="Century Gothic" w:eastAsia="Calibri" w:hAnsi="Century Gothic"/>
                <w:szCs w:val="22"/>
              </w:rPr>
              <w:t>R</w:t>
            </w:r>
            <w:r w:rsidRPr="00081181">
              <w:rPr>
                <w:rFonts w:ascii="Century Gothic" w:eastAsia="Calibri" w:hAnsi="Century Gothic"/>
                <w:szCs w:val="22"/>
              </w:rPr>
              <w:t>eplaced with Initiative 3.5.</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521B69C1" w14:textId="77777777" w:rsidR="00EC5276" w:rsidRPr="00081181" w:rsidRDefault="00EC5276" w:rsidP="00EC5276">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81181">
              <w:rPr>
                <w:rFonts w:ascii="Century Gothic" w:hAnsi="Century Gothic"/>
                <w:szCs w:val="22"/>
              </w:rPr>
              <w:t>FY15</w:t>
            </w:r>
          </w:p>
        </w:tc>
      </w:tr>
      <w:tr w:rsidR="006A7B41" w:rsidRPr="00081181" w14:paraId="3938E385" w14:textId="77777777" w:rsidTr="4566E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384D1CD0" w14:textId="77777777" w:rsidR="00EC5276" w:rsidRPr="00081181" w:rsidRDefault="00EC5276" w:rsidP="00EC5276">
            <w:pPr>
              <w:autoSpaceDE w:val="0"/>
              <w:autoSpaceDN w:val="0"/>
              <w:adjustRightInd w:val="0"/>
              <w:rPr>
                <w:rFonts w:ascii="Century Gothic" w:eastAsia="Calibri" w:hAnsi="Century Gothic"/>
                <w:b w:val="0"/>
                <w:iCs/>
                <w:szCs w:val="22"/>
              </w:rPr>
            </w:pPr>
            <w:r w:rsidRPr="00081181">
              <w:rPr>
                <w:rFonts w:ascii="Century Gothic" w:eastAsia="Calibri" w:hAnsi="Century Gothic"/>
                <w:b w:val="0"/>
                <w:iCs/>
                <w:szCs w:val="22"/>
              </w:rPr>
              <w:t>Initiative 3.4 – Mandatory Direct Deposit for Housing Choice Voucher Landlords</w:t>
            </w: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57281E" w14:textId="43FBD463" w:rsidR="00EC5276" w:rsidRPr="00081181" w:rsidRDefault="00EC5276" w:rsidP="00EC52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81181">
              <w:rPr>
                <w:rFonts w:ascii="Century Gothic" w:hAnsi="Century Gothic"/>
                <w:szCs w:val="22"/>
              </w:rPr>
              <w:t>Approved and implemented in FY10</w:t>
            </w:r>
            <w:r w:rsidR="00D530FD" w:rsidRPr="00081181">
              <w:rPr>
                <w:rFonts w:ascii="Century Gothic" w:hAnsi="Century Gothic"/>
                <w:szCs w:val="22"/>
              </w:rPr>
              <w:t xml:space="preserve">. </w:t>
            </w:r>
            <w:r w:rsidRPr="00081181">
              <w:rPr>
                <w:rFonts w:ascii="Century Gothic" w:hAnsi="Century Gothic"/>
                <w:szCs w:val="22"/>
              </w:rPr>
              <w:t xml:space="preserve">MTW authorization </w:t>
            </w:r>
            <w:r w:rsidR="002B0C27" w:rsidRPr="00081181">
              <w:rPr>
                <w:rFonts w:ascii="Century Gothic" w:hAnsi="Century Gothic"/>
                <w:szCs w:val="22"/>
              </w:rPr>
              <w:t>is no</w:t>
            </w:r>
            <w:r w:rsidRPr="00081181">
              <w:rPr>
                <w:rFonts w:ascii="Century Gothic" w:hAnsi="Century Gothic"/>
                <w:szCs w:val="22"/>
              </w:rPr>
              <w:t xml:space="preserve"> longer required.</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07AAA998" w14:textId="77777777" w:rsidR="00EC5276" w:rsidRPr="00081181"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81181">
              <w:rPr>
                <w:rFonts w:ascii="Century Gothic" w:hAnsi="Century Gothic"/>
                <w:szCs w:val="22"/>
              </w:rPr>
              <w:t>FY14</w:t>
            </w:r>
          </w:p>
        </w:tc>
      </w:tr>
      <w:tr w:rsidR="006A7B41" w:rsidRPr="00081181" w14:paraId="7C73C0E7" w14:textId="77777777" w:rsidTr="4566E4F4">
        <w:trPr>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67D263E" w14:textId="77777777" w:rsidR="00EC5276" w:rsidRPr="00081181" w:rsidRDefault="00EC5276" w:rsidP="00EC5276">
            <w:pPr>
              <w:autoSpaceDE w:val="0"/>
              <w:autoSpaceDN w:val="0"/>
              <w:adjustRightInd w:val="0"/>
              <w:rPr>
                <w:rFonts w:ascii="Century Gothic" w:eastAsia="Calibri" w:hAnsi="Century Gothic"/>
                <w:b w:val="0"/>
                <w:iCs/>
                <w:szCs w:val="22"/>
              </w:rPr>
            </w:pPr>
            <w:r w:rsidRPr="00081181">
              <w:rPr>
                <w:rFonts w:ascii="Century Gothic" w:eastAsia="Calibri" w:hAnsi="Century Gothic"/>
                <w:b w:val="0"/>
                <w:szCs w:val="22"/>
              </w:rPr>
              <w:t>LIPH Income Targeting</w:t>
            </w:r>
            <w:r w:rsidRPr="00081181">
              <w:rPr>
                <w:rFonts w:ascii="Century Gothic" w:eastAsia="Calibri" w:hAnsi="Century Gothic"/>
                <w:b w:val="0"/>
                <w:iCs/>
                <w:szCs w:val="22"/>
              </w:rPr>
              <w:t>: Marketing Initiatives for Higher Income Eligible Families</w:t>
            </w: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A30EE3E" w14:textId="356F1E52" w:rsidR="00EC5276" w:rsidRPr="00081181" w:rsidRDefault="00EC5276" w:rsidP="00EC5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81181">
              <w:rPr>
                <w:rFonts w:ascii="Century Gothic" w:hAnsi="Century Gothic"/>
                <w:szCs w:val="22"/>
              </w:rPr>
              <w:t>Approved in FY08</w:t>
            </w:r>
            <w:r w:rsidR="00D530FD" w:rsidRPr="00081181">
              <w:rPr>
                <w:rFonts w:ascii="Century Gothic" w:hAnsi="Century Gothic"/>
                <w:szCs w:val="22"/>
              </w:rPr>
              <w:t xml:space="preserve">. Placed on hold in FY14 and closed out in FY16. </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62309291" w14:textId="77777777" w:rsidR="00EC5276" w:rsidRPr="00081181" w:rsidRDefault="00EC5276" w:rsidP="00EC5276">
            <w:pP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81181">
              <w:rPr>
                <w:rFonts w:ascii="Century Gothic" w:hAnsi="Century Gothic"/>
                <w:szCs w:val="22"/>
              </w:rPr>
              <w:t>FY16</w:t>
            </w:r>
          </w:p>
        </w:tc>
      </w:tr>
      <w:tr w:rsidR="006A7B41" w:rsidRPr="00081181" w14:paraId="156D7E7A" w14:textId="77777777" w:rsidTr="4566E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E17255A" w14:textId="6E67C68C" w:rsidR="0010719A" w:rsidRPr="00081181" w:rsidRDefault="0010719A" w:rsidP="00D530FD">
            <w:pPr>
              <w:autoSpaceDE w:val="0"/>
              <w:autoSpaceDN w:val="0"/>
              <w:adjustRightInd w:val="0"/>
              <w:rPr>
                <w:rFonts w:ascii="Century Gothic" w:eastAsia="Calibri" w:hAnsi="Century Gothic"/>
                <w:b w:val="0"/>
                <w:szCs w:val="22"/>
              </w:rPr>
            </w:pPr>
            <w:r w:rsidRPr="00081181">
              <w:rPr>
                <w:rFonts w:ascii="Century Gothic" w:eastAsia="Calibri" w:hAnsi="Century Gothic"/>
                <w:b w:val="0"/>
                <w:bCs w:val="0"/>
                <w:szCs w:val="22"/>
              </w:rPr>
              <w:t>INITIATIVE 1.5—HCV P</w:t>
            </w:r>
            <w:r w:rsidR="39A7896E" w:rsidRPr="00081181">
              <w:rPr>
                <w:rFonts w:ascii="Century Gothic" w:eastAsia="Calibri" w:hAnsi="Century Gothic"/>
                <w:b w:val="0"/>
                <w:bCs w:val="0"/>
                <w:szCs w:val="22"/>
              </w:rPr>
              <w:t>reference</w:t>
            </w:r>
            <w:r w:rsidRPr="00081181">
              <w:rPr>
                <w:rFonts w:ascii="Century Gothic" w:eastAsia="Calibri" w:hAnsi="Century Gothic"/>
                <w:b w:val="0"/>
                <w:bCs w:val="0"/>
                <w:szCs w:val="22"/>
              </w:rPr>
              <w:t xml:space="preserve"> </w:t>
            </w:r>
            <w:r w:rsidR="7457CF6E" w:rsidRPr="00081181">
              <w:rPr>
                <w:rFonts w:ascii="Century Gothic" w:eastAsia="Calibri" w:hAnsi="Century Gothic"/>
                <w:b w:val="0"/>
                <w:bCs w:val="0"/>
                <w:szCs w:val="22"/>
              </w:rPr>
              <w:t>and</w:t>
            </w:r>
            <w:r w:rsidRPr="00081181">
              <w:rPr>
                <w:rFonts w:ascii="Century Gothic" w:eastAsia="Calibri" w:hAnsi="Century Gothic"/>
                <w:b w:val="0"/>
                <w:bCs w:val="0"/>
                <w:szCs w:val="22"/>
              </w:rPr>
              <w:t xml:space="preserve"> S</w:t>
            </w:r>
            <w:r w:rsidR="2F6F91F2" w:rsidRPr="00081181">
              <w:rPr>
                <w:rFonts w:ascii="Century Gothic" w:eastAsia="Calibri" w:hAnsi="Century Gothic"/>
                <w:b w:val="0"/>
                <w:bCs w:val="0"/>
                <w:szCs w:val="22"/>
              </w:rPr>
              <w:t>et-aside</w:t>
            </w:r>
            <w:r w:rsidRPr="00081181">
              <w:rPr>
                <w:rFonts w:ascii="Century Gothic" w:eastAsia="Calibri" w:hAnsi="Century Gothic"/>
                <w:b w:val="0"/>
                <w:bCs w:val="0"/>
                <w:szCs w:val="22"/>
              </w:rPr>
              <w:t xml:space="preserve"> </w:t>
            </w:r>
            <w:r w:rsidR="3EEFFBFF" w:rsidRPr="00081181">
              <w:rPr>
                <w:rFonts w:ascii="Century Gothic" w:eastAsia="Calibri" w:hAnsi="Century Gothic"/>
                <w:b w:val="0"/>
                <w:bCs w:val="0"/>
                <w:szCs w:val="22"/>
              </w:rPr>
              <w:t>for Victims of Foreclosure</w:t>
            </w:r>
            <w:r w:rsidRPr="00081181">
              <w:rPr>
                <w:rFonts w:ascii="Century Gothic" w:eastAsia="Calibri" w:hAnsi="Century Gothic"/>
                <w:b w:val="0"/>
                <w:bCs w:val="0"/>
                <w:szCs w:val="22"/>
              </w:rPr>
              <w:t xml:space="preserve"> </w:t>
            </w:r>
          </w:p>
          <w:p w14:paraId="08BABF32" w14:textId="77777777" w:rsidR="0010719A" w:rsidRPr="00081181" w:rsidRDefault="0010719A" w:rsidP="00EC5276">
            <w:pPr>
              <w:autoSpaceDE w:val="0"/>
              <w:autoSpaceDN w:val="0"/>
              <w:adjustRightInd w:val="0"/>
              <w:rPr>
                <w:rFonts w:ascii="Century Gothic" w:eastAsia="Calibri" w:hAnsi="Century Gothic"/>
                <w:b w:val="0"/>
                <w:szCs w:val="22"/>
              </w:rPr>
            </w:pP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E20D3C" w14:textId="41ABF271" w:rsidR="0010719A" w:rsidRPr="00081181" w:rsidRDefault="00D530FD" w:rsidP="001071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eastAsia="Calibri" w:hAnsi="Century Gothic"/>
                <w:bCs/>
                <w:szCs w:val="22"/>
              </w:rPr>
            </w:pPr>
            <w:r w:rsidRPr="00081181">
              <w:rPr>
                <w:rFonts w:ascii="Century Gothic" w:eastAsia="Calibri" w:hAnsi="Century Gothic"/>
                <w:bCs/>
                <w:szCs w:val="22"/>
              </w:rPr>
              <w:t>A</w:t>
            </w:r>
            <w:r w:rsidR="0010719A" w:rsidRPr="00081181">
              <w:rPr>
                <w:rFonts w:ascii="Century Gothic" w:eastAsia="Calibri" w:hAnsi="Century Gothic"/>
                <w:bCs/>
                <w:szCs w:val="22"/>
              </w:rPr>
              <w:t>pproved in FY09</w:t>
            </w:r>
            <w:r w:rsidRPr="00081181">
              <w:rPr>
                <w:rFonts w:ascii="Century Gothic" w:eastAsia="Calibri" w:hAnsi="Century Gothic"/>
                <w:bCs/>
                <w:szCs w:val="22"/>
              </w:rPr>
              <w:t xml:space="preserve">. </w:t>
            </w:r>
            <w:r w:rsidR="000A3D5B" w:rsidRPr="00081181">
              <w:rPr>
                <w:rFonts w:ascii="Century Gothic" w:eastAsia="Calibri" w:hAnsi="Century Gothic"/>
                <w:bCs/>
                <w:szCs w:val="22"/>
              </w:rPr>
              <w:t xml:space="preserve">Implemented </w:t>
            </w:r>
            <w:r w:rsidR="0010719A" w:rsidRPr="00081181">
              <w:rPr>
                <w:rFonts w:ascii="Century Gothic" w:eastAsia="Calibri" w:hAnsi="Century Gothic"/>
                <w:bCs/>
                <w:szCs w:val="22"/>
              </w:rPr>
              <w:t>in FY10</w:t>
            </w:r>
            <w:r w:rsidRPr="00081181">
              <w:rPr>
                <w:rFonts w:ascii="Century Gothic" w:eastAsia="Calibri" w:hAnsi="Century Gothic"/>
                <w:bCs/>
                <w:szCs w:val="22"/>
              </w:rPr>
              <w:t xml:space="preserve">. </w:t>
            </w:r>
            <w:r w:rsidR="0010719A" w:rsidRPr="00081181">
              <w:rPr>
                <w:rFonts w:ascii="Century Gothic" w:eastAsia="Calibri" w:hAnsi="Century Gothic"/>
                <w:bCs/>
                <w:szCs w:val="22"/>
              </w:rPr>
              <w:t xml:space="preserve">Closed </w:t>
            </w:r>
            <w:r w:rsidR="000A3D5B" w:rsidRPr="00081181">
              <w:rPr>
                <w:rFonts w:ascii="Century Gothic" w:eastAsia="Calibri" w:hAnsi="Century Gothic"/>
                <w:bCs/>
                <w:szCs w:val="22"/>
              </w:rPr>
              <w:t xml:space="preserve">out </w:t>
            </w:r>
            <w:r w:rsidR="0010719A" w:rsidRPr="00081181">
              <w:rPr>
                <w:rFonts w:ascii="Century Gothic" w:eastAsia="Calibri" w:hAnsi="Century Gothic"/>
                <w:bCs/>
                <w:szCs w:val="22"/>
              </w:rPr>
              <w:t>in FY1</w:t>
            </w:r>
            <w:r w:rsidRPr="00081181">
              <w:rPr>
                <w:rFonts w:ascii="Century Gothic" w:eastAsia="Calibri" w:hAnsi="Century Gothic"/>
                <w:bCs/>
                <w:szCs w:val="22"/>
              </w:rPr>
              <w:t xml:space="preserve">9. </w:t>
            </w:r>
          </w:p>
          <w:p w14:paraId="7F458A85" w14:textId="77777777" w:rsidR="0010719A" w:rsidRPr="00081181" w:rsidRDefault="0010719A" w:rsidP="00EC52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29E01AB6" w14:textId="28B78776" w:rsidR="0010719A" w:rsidRPr="00081181" w:rsidRDefault="0010719A"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81181">
              <w:rPr>
                <w:rFonts w:ascii="Century Gothic" w:hAnsi="Century Gothic"/>
                <w:szCs w:val="22"/>
              </w:rPr>
              <w:t>FY19</w:t>
            </w:r>
          </w:p>
        </w:tc>
      </w:tr>
      <w:tr w:rsidR="006A7B41" w:rsidRPr="00081181" w14:paraId="7FB0CA08" w14:textId="77777777" w:rsidTr="4566E4F4">
        <w:trPr>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45D5B79A" w14:textId="29B87AB9" w:rsidR="13B2AAC9" w:rsidRPr="00081181" w:rsidRDefault="13B2AAC9" w:rsidP="2A137AEF">
            <w:pPr>
              <w:rPr>
                <w:rFonts w:ascii="Century Gothic" w:eastAsia="MS PGothic" w:hAnsi="Century Gothic"/>
                <w:b w:val="0"/>
                <w:bCs w:val="0"/>
                <w:szCs w:val="22"/>
              </w:rPr>
            </w:pPr>
            <w:r w:rsidRPr="00081181">
              <w:rPr>
                <w:rFonts w:ascii="Century Gothic" w:eastAsia="MS PGothic" w:hAnsi="Century Gothic"/>
                <w:b w:val="0"/>
                <w:bCs w:val="0"/>
                <w:szCs w:val="22"/>
              </w:rPr>
              <w:t>Initiative 1.24F - Fulton Park Modernization</w:t>
            </w: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B8DC3E" w14:textId="03825259" w:rsidR="13B2AAC9" w:rsidRPr="00081181" w:rsidRDefault="042CAD72" w:rsidP="2A137AEF">
            <w:pPr>
              <w:cnfStyle w:val="000000000000" w:firstRow="0" w:lastRow="0" w:firstColumn="0" w:lastColumn="0" w:oddVBand="0" w:evenVBand="0" w:oddHBand="0" w:evenHBand="0" w:firstRowFirstColumn="0" w:firstRowLastColumn="0" w:lastRowFirstColumn="0" w:lastRowLastColumn="0"/>
              <w:rPr>
                <w:rFonts w:ascii="Century Gothic" w:eastAsia="MS PGothic" w:hAnsi="Century Gothic"/>
                <w:szCs w:val="22"/>
              </w:rPr>
            </w:pPr>
            <w:r w:rsidRPr="00081181">
              <w:rPr>
                <w:rFonts w:ascii="Century Gothic" w:eastAsia="MS PGothic" w:hAnsi="Century Gothic"/>
                <w:szCs w:val="22"/>
              </w:rPr>
              <w:t>Approved in FY</w:t>
            </w:r>
            <w:r w:rsidRPr="00081181">
              <w:rPr>
                <w:rFonts w:ascii="Century Gothic" w:eastAsia="Times New Roman" w:hAnsi="Century Gothic"/>
                <w:szCs w:val="22"/>
              </w:rPr>
              <w:t xml:space="preserve">11 and </w:t>
            </w:r>
            <w:r w:rsidR="005E25D1" w:rsidRPr="00081181">
              <w:rPr>
                <w:rFonts w:ascii="Century Gothic" w:eastAsia="Times New Roman" w:hAnsi="Century Gothic"/>
                <w:szCs w:val="22"/>
              </w:rPr>
              <w:t>I</w:t>
            </w:r>
            <w:r w:rsidRPr="00081181">
              <w:rPr>
                <w:rFonts w:ascii="Century Gothic" w:eastAsia="Times New Roman" w:hAnsi="Century Gothic"/>
                <w:szCs w:val="22"/>
              </w:rPr>
              <w:t>mplemented</w:t>
            </w:r>
            <w:r w:rsidR="001D2BC6" w:rsidRPr="00081181">
              <w:rPr>
                <w:rFonts w:ascii="Century Gothic" w:eastAsia="Times New Roman" w:hAnsi="Century Gothic"/>
                <w:szCs w:val="22"/>
              </w:rPr>
              <w:t xml:space="preserve"> in FY11</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05BBE0F" w14:textId="371086D9" w:rsidR="13B2AAC9" w:rsidRPr="00081181" w:rsidRDefault="13B2AAC9" w:rsidP="2A137AEF">
            <w:pPr>
              <w:cnfStyle w:val="000000000000" w:firstRow="0" w:lastRow="0" w:firstColumn="0" w:lastColumn="0" w:oddVBand="0" w:evenVBand="0" w:oddHBand="0" w:evenHBand="0" w:firstRowFirstColumn="0" w:firstRowLastColumn="0" w:lastRowFirstColumn="0" w:lastRowLastColumn="0"/>
              <w:rPr>
                <w:rFonts w:ascii="Century Gothic" w:eastAsia="MS PGothic" w:hAnsi="Century Gothic"/>
                <w:szCs w:val="22"/>
              </w:rPr>
            </w:pPr>
            <w:r w:rsidRPr="00081181">
              <w:rPr>
                <w:rFonts w:ascii="Century Gothic" w:eastAsia="MS PGothic" w:hAnsi="Century Gothic"/>
                <w:szCs w:val="22"/>
              </w:rPr>
              <w:t>FY21</w:t>
            </w:r>
          </w:p>
        </w:tc>
      </w:tr>
      <w:tr w:rsidR="006A7B41" w:rsidRPr="00081181" w14:paraId="60526DB2" w14:textId="77777777" w:rsidTr="4566E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32008D28" w14:textId="73449F28" w:rsidR="0C01C0CE" w:rsidRPr="00081181" w:rsidRDefault="38B2FA33" w:rsidP="1B3F2E6D">
            <w:pPr>
              <w:pStyle w:val="Subheading"/>
              <w:rPr>
                <w:rFonts w:ascii="Century Gothic" w:hAnsi="Century Gothic" w:cs="Times New Roman"/>
                <w:color w:val="auto"/>
                <w:sz w:val="22"/>
                <w:szCs w:val="22"/>
              </w:rPr>
            </w:pPr>
            <w:r w:rsidRPr="00081181">
              <w:rPr>
                <w:rFonts w:ascii="Century Gothic" w:hAnsi="Century Gothic" w:cs="Times New Roman"/>
                <w:color w:val="auto"/>
                <w:sz w:val="22"/>
                <w:szCs w:val="22"/>
              </w:rPr>
              <w:t>Initiative 2.11 Community Health Network of CT (CHNCT)</w:t>
            </w:r>
          </w:p>
          <w:p w14:paraId="19027EC8" w14:textId="4628945F" w:rsidR="1B3F2E6D" w:rsidRPr="00081181" w:rsidRDefault="1B3F2E6D" w:rsidP="1B3F2E6D">
            <w:pPr>
              <w:rPr>
                <w:rFonts w:ascii="Century Gothic" w:eastAsia="MS PGothic" w:hAnsi="Century Gothic"/>
                <w:b w:val="0"/>
                <w:bCs w:val="0"/>
                <w:szCs w:val="22"/>
              </w:rPr>
            </w:pP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B5E051" w14:textId="3A1054AE" w:rsidR="0C01C0CE" w:rsidRPr="00081181" w:rsidRDefault="0C01C0CE" w:rsidP="1B3F2E6D">
            <w:pPr>
              <w:cnfStyle w:val="000000100000" w:firstRow="0" w:lastRow="0" w:firstColumn="0" w:lastColumn="0" w:oddVBand="0" w:evenVBand="0" w:oddHBand="1" w:evenHBand="0" w:firstRowFirstColumn="0" w:firstRowLastColumn="0" w:lastRowFirstColumn="0" w:lastRowLastColumn="0"/>
              <w:rPr>
                <w:rFonts w:ascii="Century Gothic" w:eastAsia="MS PGothic" w:hAnsi="Century Gothic"/>
                <w:szCs w:val="22"/>
              </w:rPr>
            </w:pPr>
            <w:r w:rsidRPr="00081181">
              <w:rPr>
                <w:rFonts w:ascii="Century Gothic" w:eastAsia="MS PGothic" w:hAnsi="Century Gothic"/>
                <w:szCs w:val="22"/>
              </w:rPr>
              <w:t>Approved in FY22</w:t>
            </w:r>
            <w:r w:rsidR="00B37982" w:rsidRPr="00081181">
              <w:rPr>
                <w:rFonts w:ascii="Century Gothic" w:eastAsia="MS PGothic" w:hAnsi="Century Gothic"/>
                <w:szCs w:val="22"/>
              </w:rPr>
              <w:t xml:space="preserve"> and </w:t>
            </w:r>
            <w:r w:rsidRPr="00081181">
              <w:rPr>
                <w:rFonts w:ascii="Century Gothic" w:eastAsia="MS PGothic" w:hAnsi="Century Gothic"/>
                <w:szCs w:val="22"/>
              </w:rPr>
              <w:t>Implemented in FY22. Closed out in FY22</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08BE663E" w14:textId="0DB471D0" w:rsidR="0C01C0CE" w:rsidRPr="00081181" w:rsidRDefault="0C01C0CE" w:rsidP="1B3F2E6D">
            <w:pPr>
              <w:cnfStyle w:val="000000100000" w:firstRow="0" w:lastRow="0" w:firstColumn="0" w:lastColumn="0" w:oddVBand="0" w:evenVBand="0" w:oddHBand="1" w:evenHBand="0" w:firstRowFirstColumn="0" w:firstRowLastColumn="0" w:lastRowFirstColumn="0" w:lastRowLastColumn="0"/>
              <w:rPr>
                <w:rFonts w:ascii="Century Gothic" w:eastAsia="MS PGothic" w:hAnsi="Century Gothic"/>
                <w:szCs w:val="22"/>
              </w:rPr>
            </w:pPr>
            <w:r w:rsidRPr="00081181">
              <w:rPr>
                <w:rFonts w:ascii="Century Gothic" w:eastAsia="MS PGothic" w:hAnsi="Century Gothic"/>
                <w:szCs w:val="22"/>
              </w:rPr>
              <w:t>FY22</w:t>
            </w:r>
          </w:p>
        </w:tc>
      </w:tr>
      <w:tr w:rsidR="006A7B41" w:rsidRPr="00081181" w14:paraId="2A5E8BA2" w14:textId="77777777" w:rsidTr="4566E4F4">
        <w:trPr>
          <w:trHeight w:val="43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F59DCA0" w14:textId="34C772C0" w:rsidR="08644BF9" w:rsidRPr="00081181" w:rsidRDefault="37DD9E1E" w:rsidP="003F0D12">
            <w:pPr>
              <w:pStyle w:val="Subheading"/>
              <w:rPr>
                <w:rFonts w:ascii="Century Gothic" w:eastAsia="MS PGothic" w:hAnsi="Century Gothic" w:cs="Times New Roman"/>
                <w:b/>
                <w:bCs w:val="0"/>
                <w:color w:val="auto"/>
                <w:sz w:val="22"/>
                <w:szCs w:val="22"/>
              </w:rPr>
            </w:pPr>
            <w:r w:rsidRPr="00081181">
              <w:rPr>
                <w:rFonts w:ascii="Century Gothic" w:eastAsia="MS PGothic" w:hAnsi="Century Gothic" w:cs="Times New Roman"/>
                <w:bCs w:val="0"/>
                <w:color w:val="auto"/>
                <w:sz w:val="22"/>
                <w:szCs w:val="22"/>
              </w:rPr>
              <w:t>Initiative 2.2 Incremental Earned Income Exclusion</w:t>
            </w:r>
          </w:p>
        </w:tc>
        <w:tc>
          <w:tcPr>
            <w:tcW w:w="47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CD1917" w14:textId="23AD3754" w:rsidR="08644BF9" w:rsidRPr="00081181" w:rsidRDefault="08644BF9" w:rsidP="0D8BAA9B">
            <w:pPr>
              <w:cnfStyle w:val="000000000000" w:firstRow="0" w:lastRow="0" w:firstColumn="0" w:lastColumn="0" w:oddVBand="0" w:evenVBand="0" w:oddHBand="0" w:evenHBand="0" w:firstRowFirstColumn="0" w:firstRowLastColumn="0" w:lastRowFirstColumn="0" w:lastRowLastColumn="0"/>
              <w:rPr>
                <w:rFonts w:ascii="Century Gothic" w:eastAsia="MS PGothic" w:hAnsi="Century Gothic"/>
                <w:szCs w:val="22"/>
              </w:rPr>
            </w:pPr>
            <w:r w:rsidRPr="00081181">
              <w:rPr>
                <w:rFonts w:ascii="Century Gothic" w:eastAsia="MS PGothic" w:hAnsi="Century Gothic"/>
                <w:szCs w:val="22"/>
              </w:rPr>
              <w:t>Approved and Implemented in FY2008</w:t>
            </w:r>
          </w:p>
        </w:tc>
        <w:tc>
          <w:tcPr>
            <w:tcW w:w="135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89ADA9C" w14:textId="2A5ADD6F" w:rsidR="08644BF9" w:rsidRPr="00081181" w:rsidRDefault="08644BF9" w:rsidP="0D8BAA9B">
            <w:pPr>
              <w:cnfStyle w:val="000000000000" w:firstRow="0" w:lastRow="0" w:firstColumn="0" w:lastColumn="0" w:oddVBand="0" w:evenVBand="0" w:oddHBand="0" w:evenHBand="0" w:firstRowFirstColumn="0" w:firstRowLastColumn="0" w:lastRowFirstColumn="0" w:lastRowLastColumn="0"/>
              <w:rPr>
                <w:rFonts w:ascii="Century Gothic" w:eastAsia="MS PGothic" w:hAnsi="Century Gothic"/>
                <w:szCs w:val="22"/>
              </w:rPr>
            </w:pPr>
            <w:r w:rsidRPr="00081181">
              <w:rPr>
                <w:rFonts w:ascii="Century Gothic" w:eastAsia="MS PGothic" w:hAnsi="Century Gothic"/>
                <w:szCs w:val="22"/>
              </w:rPr>
              <w:t>FY22</w:t>
            </w:r>
          </w:p>
        </w:tc>
      </w:tr>
    </w:tbl>
    <w:p w14:paraId="7943D65C" w14:textId="2CAABA17" w:rsidR="00EC5276" w:rsidRPr="005B050B" w:rsidRDefault="000E41D6" w:rsidP="00B005F4">
      <w:pPr>
        <w:pStyle w:val="MTWHeader1"/>
        <w:rPr>
          <w:rFonts w:ascii="Century Gothic" w:hAnsi="Century Gothic"/>
        </w:rPr>
      </w:pPr>
      <w:bookmarkStart w:id="178" w:name="_Toc470178858"/>
      <w:bookmarkStart w:id="179" w:name="_Toc470179762"/>
      <w:r w:rsidRPr="229F2B48">
        <w:rPr>
          <w:rFonts w:ascii="Times New Roman" w:hAnsi="Times New Roman"/>
        </w:rPr>
        <w:br w:type="page"/>
      </w:r>
      <w:bookmarkStart w:id="180" w:name="_Toc89871172"/>
      <w:r w:rsidR="1F4ECB83" w:rsidRPr="005B050B">
        <w:rPr>
          <w:rFonts w:ascii="Century Gothic" w:hAnsi="Century Gothic"/>
          <w:sz w:val="22"/>
          <w:szCs w:val="22"/>
        </w:rPr>
        <w:lastRenderedPageBreak/>
        <w:t xml:space="preserve">V. </w:t>
      </w:r>
      <w:r w:rsidR="0C777FE7" w:rsidRPr="005B050B">
        <w:rPr>
          <w:rFonts w:ascii="Century Gothic" w:hAnsi="Century Gothic"/>
          <w:sz w:val="22"/>
          <w:szCs w:val="22"/>
        </w:rPr>
        <w:t>PLANNED APPLICATION</w:t>
      </w:r>
      <w:r w:rsidR="1F4ECB83" w:rsidRPr="005B050B">
        <w:rPr>
          <w:rFonts w:ascii="Century Gothic" w:hAnsi="Century Gothic"/>
          <w:sz w:val="22"/>
          <w:szCs w:val="22"/>
        </w:rPr>
        <w:t xml:space="preserve"> OF </w:t>
      </w:r>
      <w:r w:rsidR="0C777FE7" w:rsidRPr="005B050B">
        <w:rPr>
          <w:rFonts w:ascii="Century Gothic" w:hAnsi="Century Gothic"/>
          <w:sz w:val="22"/>
          <w:szCs w:val="22"/>
        </w:rPr>
        <w:t xml:space="preserve">MTW </w:t>
      </w:r>
      <w:r w:rsidR="1F4ECB83" w:rsidRPr="005B050B">
        <w:rPr>
          <w:rFonts w:ascii="Century Gothic" w:hAnsi="Century Gothic"/>
          <w:sz w:val="22"/>
          <w:szCs w:val="22"/>
        </w:rPr>
        <w:t>FUNDS</w:t>
      </w:r>
      <w:bookmarkEnd w:id="178"/>
      <w:bookmarkEnd w:id="179"/>
      <w:bookmarkEnd w:id="180"/>
    </w:p>
    <w:tbl>
      <w:tblPr>
        <w:tblStyle w:val="TableGrid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846"/>
      </w:tblGrid>
      <w:tr w:rsidR="009E30A0" w:rsidRPr="005B050B" w14:paraId="61086D1D" w14:textId="77777777" w:rsidTr="4566E4F4">
        <w:trPr>
          <w:trHeight w:val="576"/>
        </w:trPr>
        <w:tc>
          <w:tcPr>
            <w:tcW w:w="9846" w:type="dxa"/>
            <w:tcBorders>
              <w:top w:val="single" w:sz="36" w:space="0" w:color="auto"/>
              <w:left w:val="single" w:sz="36" w:space="0" w:color="auto"/>
              <w:bottom w:val="single" w:sz="36" w:space="0" w:color="auto"/>
              <w:right w:val="single" w:sz="36" w:space="0" w:color="auto"/>
            </w:tcBorders>
            <w:shd w:val="clear" w:color="auto" w:fill="A6A6A6" w:themeFill="background1" w:themeFillShade="A6"/>
            <w:vAlign w:val="center"/>
          </w:tcPr>
          <w:p w14:paraId="3A837ABD" w14:textId="443E971D" w:rsidR="00EC5276" w:rsidRPr="005B050B" w:rsidRDefault="38F59E49" w:rsidP="4566E4F4">
            <w:pPr>
              <w:ind w:left="360" w:hanging="360"/>
              <w:jc w:val="center"/>
              <w:rPr>
                <w:rFonts w:ascii="Century Gothic" w:hAnsi="Century Gothic"/>
                <w:b/>
                <w:bCs/>
              </w:rPr>
            </w:pPr>
            <w:r w:rsidRPr="005B050B">
              <w:rPr>
                <w:rFonts w:ascii="Century Gothic" w:hAnsi="Century Gothic"/>
                <w:b/>
                <w:bCs/>
              </w:rPr>
              <w:t xml:space="preserve">(V) </w:t>
            </w:r>
            <w:r w:rsidR="6E42B1A0" w:rsidRPr="005B050B">
              <w:rPr>
                <w:rFonts w:ascii="Century Gothic" w:hAnsi="Century Gothic"/>
                <w:b/>
                <w:bCs/>
              </w:rPr>
              <w:t>PLANNED APPLICATION OF MTW FUNDS</w:t>
            </w:r>
          </w:p>
        </w:tc>
      </w:tr>
      <w:tr w:rsidR="009E30A0" w:rsidRPr="005B050B" w14:paraId="3C9468BE" w14:textId="77777777" w:rsidTr="4566E4F4">
        <w:trPr>
          <w:trHeight w:val="504"/>
        </w:trPr>
        <w:tc>
          <w:tcPr>
            <w:tcW w:w="9846"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vAlign w:val="center"/>
          </w:tcPr>
          <w:p w14:paraId="1B4EE42E" w14:textId="77777777" w:rsidR="00EC5276" w:rsidRPr="005B050B" w:rsidRDefault="00EC5276" w:rsidP="00EC5276">
            <w:pPr>
              <w:jc w:val="center"/>
              <w:rPr>
                <w:rFonts w:ascii="Century Gothic" w:hAnsi="Century Gothic"/>
                <w:b/>
                <w:caps/>
                <w:szCs w:val="22"/>
                <w:u w:val="single"/>
              </w:rPr>
            </w:pPr>
            <w:r w:rsidRPr="005B050B">
              <w:rPr>
                <w:rFonts w:ascii="Century Gothic" w:hAnsi="Century Gothic"/>
                <w:b/>
                <w:caps/>
                <w:szCs w:val="22"/>
                <w:u w:val="single"/>
              </w:rPr>
              <w:t>Annual MTW REPORT</w:t>
            </w:r>
          </w:p>
        </w:tc>
      </w:tr>
    </w:tbl>
    <w:p w14:paraId="52A634A1" w14:textId="025F8FF7" w:rsidR="52E98CF8" w:rsidRPr="005B050B" w:rsidRDefault="52E98CF8">
      <w:pPr>
        <w:rPr>
          <w:rFonts w:ascii="Century Gothic" w:hAnsi="Century Gothic"/>
        </w:rPr>
      </w:pPr>
    </w:p>
    <w:p w14:paraId="5671FBC2" w14:textId="4AFA0BE9" w:rsidR="001725C7" w:rsidRPr="005B050B" w:rsidRDefault="67B0F992" w:rsidP="4566E4F4">
      <w:pPr>
        <w:pStyle w:val="MTWHeader1"/>
        <w:rPr>
          <w:rFonts w:ascii="Century Gothic" w:eastAsia="Times New Roman" w:hAnsi="Century Gothic"/>
          <w:sz w:val="22"/>
          <w:szCs w:val="22"/>
        </w:rPr>
      </w:pPr>
      <w:bookmarkStart w:id="181" w:name="_Toc89871173"/>
      <w:r w:rsidRPr="005B050B">
        <w:rPr>
          <w:rFonts w:ascii="Century Gothic" w:eastAsia="Times New Roman" w:hAnsi="Century Gothic"/>
          <w:sz w:val="22"/>
          <w:szCs w:val="22"/>
        </w:rPr>
        <w:t xml:space="preserve">A. FINANCIAL REPORTING </w:t>
      </w:r>
      <w:bookmarkEnd w:id="181"/>
    </w:p>
    <w:p w14:paraId="75B8DBAD" w14:textId="5031F742" w:rsidR="001725C7" w:rsidRPr="005B050B" w:rsidRDefault="3BB7E2F4" w:rsidP="00486062">
      <w:pPr>
        <w:pStyle w:val="ListParagraph"/>
        <w:numPr>
          <w:ilvl w:val="0"/>
          <w:numId w:val="44"/>
        </w:numPr>
        <w:spacing w:after="160" w:line="276" w:lineRule="auto"/>
        <w:rPr>
          <w:rFonts w:ascii="Century Gothic" w:eastAsia="Times New Roman" w:hAnsi="Century Gothic"/>
          <w:b/>
          <w:bCs/>
          <w:szCs w:val="22"/>
        </w:rPr>
      </w:pPr>
      <w:proofErr w:type="gramStart"/>
      <w:r w:rsidRPr="005B050B">
        <w:rPr>
          <w:rFonts w:ascii="Century Gothic" w:eastAsia="Times New Roman" w:hAnsi="Century Gothic"/>
          <w:b/>
          <w:bCs/>
          <w:szCs w:val="22"/>
        </w:rPr>
        <w:t>Available MTW Funds</w:t>
      </w:r>
      <w:proofErr w:type="gramEnd"/>
      <w:r w:rsidRPr="005B050B">
        <w:rPr>
          <w:rFonts w:ascii="Century Gothic" w:eastAsia="Times New Roman" w:hAnsi="Century Gothic"/>
          <w:b/>
          <w:bCs/>
          <w:szCs w:val="22"/>
        </w:rPr>
        <w:t xml:space="preserve"> in the Plan Year</w:t>
      </w:r>
    </w:p>
    <w:p w14:paraId="7EAC81F9" w14:textId="187283D9" w:rsidR="001725C7" w:rsidRPr="005B050B" w:rsidRDefault="3BB7E2F4" w:rsidP="00AB7DA1">
      <w:pPr>
        <w:spacing w:after="160" w:line="276" w:lineRule="auto"/>
        <w:ind w:left="720"/>
        <w:rPr>
          <w:rFonts w:ascii="Century Gothic" w:eastAsia="Times New Roman" w:hAnsi="Century Gothic"/>
          <w:szCs w:val="22"/>
        </w:rPr>
      </w:pPr>
      <w:r w:rsidRPr="005B050B">
        <w:rPr>
          <w:rFonts w:ascii="Century Gothic" w:eastAsia="Times New Roman" w:hAnsi="Century Gothic"/>
          <w:szCs w:val="22"/>
        </w:rPr>
        <w:t xml:space="preserve">The MTW PHA shall submit unaudited and audited information in the prescribed Financial Data Schedule (FDS) format through the Financial Assessment System – PHA (FASPHA), or its successor system. </w:t>
      </w:r>
    </w:p>
    <w:tbl>
      <w:tblPr>
        <w:tblStyle w:val="TableGrid7"/>
        <w:tblW w:w="0" w:type="auto"/>
        <w:tblInd w:w="690" w:type="dxa"/>
        <w:tblLook w:val="04A0" w:firstRow="1" w:lastRow="0" w:firstColumn="1" w:lastColumn="0" w:noHBand="0" w:noVBand="1"/>
      </w:tblPr>
      <w:tblGrid>
        <w:gridCol w:w="1080"/>
        <w:gridCol w:w="5760"/>
        <w:gridCol w:w="1620"/>
      </w:tblGrid>
      <w:tr w:rsidR="4566E4F4" w:rsidRPr="005B050B" w14:paraId="5803CB10" w14:textId="77777777" w:rsidTr="188A1EBF">
        <w:trPr>
          <w:trHeight w:val="624"/>
        </w:trPr>
        <w:tc>
          <w:tcPr>
            <w:tcW w:w="8460" w:type="dxa"/>
            <w:gridSpan w:val="3"/>
            <w:tcBorders>
              <w:top w:val="single" w:sz="24" w:space="0" w:color="auto"/>
              <w:left w:val="single" w:sz="24" w:space="0" w:color="auto"/>
              <w:right w:val="single" w:sz="24" w:space="0" w:color="auto"/>
            </w:tcBorders>
            <w:shd w:val="clear" w:color="auto" w:fill="BFBFBF" w:themeFill="background1" w:themeFillShade="BF"/>
            <w:vAlign w:val="center"/>
          </w:tcPr>
          <w:p w14:paraId="0ADA8E15" w14:textId="1E062F21" w:rsidR="4566E4F4" w:rsidRPr="005B050B" w:rsidRDefault="3BB7E2F4" w:rsidP="4566E4F4">
            <w:pPr>
              <w:contextualSpacing/>
              <w:jc w:val="center"/>
              <w:rPr>
                <w:rFonts w:ascii="Century Gothic" w:hAnsi="Century Gothic"/>
                <w:b/>
                <w:bCs/>
              </w:rPr>
            </w:pPr>
            <w:r w:rsidRPr="188A1EBF">
              <w:rPr>
                <w:rFonts w:ascii="Century Gothic" w:eastAsia="Times New Roman" w:hAnsi="Century Gothic"/>
              </w:rPr>
              <w:t xml:space="preserve"> </w:t>
            </w:r>
            <w:r w:rsidR="05171FF7" w:rsidRPr="188A1EBF">
              <w:rPr>
                <w:rFonts w:ascii="Century Gothic" w:hAnsi="Century Gothic"/>
                <w:b/>
                <w:bCs/>
              </w:rPr>
              <w:t xml:space="preserve">UNAUDITED/SINGLE AUDIT SUBMISSION TO FASS-PH, </w:t>
            </w:r>
            <w:r w:rsidR="5842031F" w:rsidRPr="188A1EBF">
              <w:rPr>
                <w:rFonts w:ascii="Century Gothic" w:hAnsi="Century Gothic"/>
                <w:b/>
                <w:bCs/>
              </w:rPr>
              <w:t>FY2024</w:t>
            </w:r>
          </w:p>
        </w:tc>
      </w:tr>
      <w:tr w:rsidR="4566E4F4" w:rsidRPr="005B050B" w14:paraId="19BAB132" w14:textId="77777777" w:rsidTr="188A1EBF">
        <w:trPr>
          <w:trHeight w:val="624"/>
        </w:trPr>
        <w:tc>
          <w:tcPr>
            <w:tcW w:w="1080" w:type="dxa"/>
            <w:tcBorders>
              <w:top w:val="single" w:sz="24" w:space="0" w:color="auto"/>
              <w:left w:val="single" w:sz="24" w:space="0" w:color="auto"/>
              <w:right w:val="single" w:sz="24" w:space="0" w:color="auto"/>
            </w:tcBorders>
            <w:shd w:val="clear" w:color="auto" w:fill="BFBFBF" w:themeFill="background1" w:themeFillShade="BF"/>
            <w:vAlign w:val="center"/>
          </w:tcPr>
          <w:p w14:paraId="50C9600F" w14:textId="77777777" w:rsidR="4566E4F4" w:rsidRPr="005B050B" w:rsidRDefault="4566E4F4" w:rsidP="4566E4F4">
            <w:pPr>
              <w:contextualSpacing/>
              <w:jc w:val="center"/>
              <w:rPr>
                <w:rFonts w:ascii="Century Gothic" w:hAnsi="Century Gothic"/>
                <w:b/>
                <w:bCs/>
              </w:rPr>
            </w:pPr>
            <w:r w:rsidRPr="005B050B">
              <w:rPr>
                <w:rFonts w:ascii="Century Gothic" w:hAnsi="Century Gothic"/>
                <w:b/>
                <w:bCs/>
              </w:rPr>
              <w:t>LINE ITEM #</w:t>
            </w:r>
          </w:p>
        </w:tc>
        <w:tc>
          <w:tcPr>
            <w:tcW w:w="5760" w:type="dxa"/>
            <w:tcBorders>
              <w:top w:val="single" w:sz="24" w:space="0" w:color="auto"/>
              <w:left w:val="single" w:sz="24" w:space="0" w:color="auto"/>
              <w:right w:val="single" w:sz="24" w:space="0" w:color="auto"/>
            </w:tcBorders>
            <w:shd w:val="clear" w:color="auto" w:fill="BFBFBF" w:themeFill="background1" w:themeFillShade="BF"/>
            <w:vAlign w:val="center"/>
          </w:tcPr>
          <w:p w14:paraId="38C9DB30" w14:textId="77777777" w:rsidR="4566E4F4" w:rsidRPr="005B050B" w:rsidRDefault="4566E4F4" w:rsidP="4566E4F4">
            <w:pPr>
              <w:contextualSpacing/>
              <w:jc w:val="center"/>
              <w:rPr>
                <w:rFonts w:ascii="Century Gothic" w:hAnsi="Century Gothic"/>
                <w:b/>
                <w:bCs/>
              </w:rPr>
            </w:pPr>
            <w:r w:rsidRPr="005B050B">
              <w:rPr>
                <w:rFonts w:ascii="Century Gothic" w:hAnsi="Century Gothic"/>
                <w:b/>
                <w:bCs/>
              </w:rPr>
              <w:t>DESCRIPTION</w:t>
            </w:r>
          </w:p>
        </w:tc>
        <w:tc>
          <w:tcPr>
            <w:tcW w:w="1620" w:type="dxa"/>
            <w:tcBorders>
              <w:top w:val="single" w:sz="24" w:space="0" w:color="auto"/>
              <w:left w:val="single" w:sz="24" w:space="0" w:color="auto"/>
              <w:right w:val="single" w:sz="24" w:space="0" w:color="auto"/>
            </w:tcBorders>
            <w:shd w:val="clear" w:color="auto" w:fill="BFBFBF" w:themeFill="background1" w:themeFillShade="BF"/>
            <w:vAlign w:val="center"/>
          </w:tcPr>
          <w:p w14:paraId="6CE9453C" w14:textId="77777777" w:rsidR="4566E4F4" w:rsidRPr="005B050B" w:rsidRDefault="4566E4F4" w:rsidP="4566E4F4">
            <w:pPr>
              <w:contextualSpacing/>
              <w:jc w:val="center"/>
              <w:rPr>
                <w:rFonts w:ascii="Century Gothic" w:hAnsi="Century Gothic"/>
                <w:b/>
                <w:bCs/>
              </w:rPr>
            </w:pPr>
            <w:r w:rsidRPr="005B050B">
              <w:rPr>
                <w:rFonts w:ascii="Century Gothic" w:hAnsi="Century Gothic"/>
                <w:b/>
                <w:bCs/>
              </w:rPr>
              <w:t>TOTAL</w:t>
            </w:r>
          </w:p>
        </w:tc>
      </w:tr>
      <w:tr w:rsidR="4566E4F4" w:rsidRPr="005B050B" w14:paraId="1D89C3BC" w14:textId="77777777" w:rsidTr="188A1EBF">
        <w:trPr>
          <w:trHeight w:val="216"/>
        </w:trPr>
        <w:tc>
          <w:tcPr>
            <w:tcW w:w="1080" w:type="dxa"/>
            <w:tcBorders>
              <w:top w:val="single" w:sz="24" w:space="0" w:color="auto"/>
              <w:left w:val="single" w:sz="24" w:space="0" w:color="auto"/>
              <w:right w:val="single" w:sz="24" w:space="0" w:color="auto"/>
            </w:tcBorders>
            <w:vAlign w:val="center"/>
          </w:tcPr>
          <w:p w14:paraId="3E413BDD" w14:textId="77777777" w:rsidR="4566E4F4" w:rsidRPr="005B050B" w:rsidRDefault="4566E4F4" w:rsidP="4566E4F4">
            <w:pPr>
              <w:contextualSpacing/>
              <w:jc w:val="center"/>
              <w:rPr>
                <w:rFonts w:ascii="Century Gothic" w:hAnsi="Century Gothic"/>
              </w:rPr>
            </w:pPr>
            <w:r w:rsidRPr="005B050B">
              <w:rPr>
                <w:rFonts w:ascii="Century Gothic" w:hAnsi="Century Gothic"/>
              </w:rPr>
              <w:t>290</w:t>
            </w:r>
          </w:p>
        </w:tc>
        <w:tc>
          <w:tcPr>
            <w:tcW w:w="5760" w:type="dxa"/>
            <w:tcBorders>
              <w:top w:val="single" w:sz="24" w:space="0" w:color="auto"/>
              <w:left w:val="single" w:sz="24" w:space="0" w:color="auto"/>
              <w:right w:val="single" w:sz="24" w:space="0" w:color="auto"/>
            </w:tcBorders>
            <w:vAlign w:val="center"/>
          </w:tcPr>
          <w:p w14:paraId="51B35E9D" w14:textId="77777777" w:rsidR="4566E4F4" w:rsidRPr="005B050B" w:rsidRDefault="4566E4F4" w:rsidP="4566E4F4">
            <w:pPr>
              <w:contextualSpacing/>
              <w:jc w:val="both"/>
              <w:rPr>
                <w:rFonts w:ascii="Century Gothic" w:hAnsi="Century Gothic"/>
              </w:rPr>
            </w:pPr>
            <w:r w:rsidRPr="005B050B">
              <w:rPr>
                <w:rFonts w:ascii="Century Gothic" w:hAnsi="Century Gothic"/>
              </w:rPr>
              <w:t>Total Assets and Deferred Outflow of Resources</w:t>
            </w:r>
          </w:p>
        </w:tc>
        <w:tc>
          <w:tcPr>
            <w:tcW w:w="1620" w:type="dxa"/>
            <w:tcBorders>
              <w:top w:val="single" w:sz="24" w:space="0" w:color="auto"/>
              <w:left w:val="single" w:sz="24" w:space="0" w:color="auto"/>
              <w:right w:val="single" w:sz="24" w:space="0" w:color="auto"/>
            </w:tcBorders>
            <w:vAlign w:val="center"/>
          </w:tcPr>
          <w:p w14:paraId="7FDA5221" w14:textId="65E4575D" w:rsidR="4566E4F4" w:rsidRPr="005B050B" w:rsidRDefault="523A645E" w:rsidP="4566E4F4">
            <w:pPr>
              <w:contextualSpacing/>
              <w:jc w:val="center"/>
              <w:rPr>
                <w:rFonts w:ascii="Century Gothic" w:hAnsi="Century Gothic"/>
              </w:rPr>
            </w:pPr>
            <w:r w:rsidRPr="005B050B">
              <w:rPr>
                <w:rFonts w:ascii="Century Gothic" w:hAnsi="Century Gothic"/>
              </w:rPr>
              <w:t xml:space="preserve"> $54,</w:t>
            </w:r>
            <w:r w:rsidR="06BE5774" w:rsidRPr="005B050B">
              <w:rPr>
                <w:rFonts w:ascii="Century Gothic" w:hAnsi="Century Gothic"/>
              </w:rPr>
              <w:t>446,872</w:t>
            </w:r>
          </w:p>
        </w:tc>
      </w:tr>
      <w:tr w:rsidR="4566E4F4" w:rsidRPr="005B050B" w14:paraId="492BBE89" w14:textId="77777777" w:rsidTr="188A1EBF">
        <w:trPr>
          <w:trHeight w:val="216"/>
        </w:trPr>
        <w:tc>
          <w:tcPr>
            <w:tcW w:w="1080" w:type="dxa"/>
            <w:tcBorders>
              <w:left w:val="single" w:sz="24" w:space="0" w:color="auto"/>
              <w:right w:val="single" w:sz="24" w:space="0" w:color="auto"/>
            </w:tcBorders>
            <w:vAlign w:val="center"/>
          </w:tcPr>
          <w:p w14:paraId="1535C2A0" w14:textId="77777777" w:rsidR="4566E4F4" w:rsidRPr="005B050B" w:rsidRDefault="4566E4F4" w:rsidP="4566E4F4">
            <w:pPr>
              <w:contextualSpacing/>
              <w:jc w:val="center"/>
              <w:rPr>
                <w:rFonts w:ascii="Century Gothic" w:hAnsi="Century Gothic"/>
              </w:rPr>
            </w:pPr>
            <w:r w:rsidRPr="005B050B">
              <w:rPr>
                <w:rFonts w:ascii="Century Gothic" w:hAnsi="Century Gothic"/>
              </w:rPr>
              <w:t>600</w:t>
            </w:r>
          </w:p>
        </w:tc>
        <w:tc>
          <w:tcPr>
            <w:tcW w:w="5760" w:type="dxa"/>
            <w:tcBorders>
              <w:left w:val="single" w:sz="24" w:space="0" w:color="auto"/>
              <w:right w:val="single" w:sz="24" w:space="0" w:color="auto"/>
            </w:tcBorders>
            <w:vAlign w:val="center"/>
          </w:tcPr>
          <w:p w14:paraId="37D4171C" w14:textId="77777777" w:rsidR="4566E4F4" w:rsidRPr="005B050B" w:rsidRDefault="4566E4F4" w:rsidP="4566E4F4">
            <w:pPr>
              <w:contextualSpacing/>
              <w:jc w:val="both"/>
              <w:rPr>
                <w:rFonts w:ascii="Century Gothic" w:hAnsi="Century Gothic"/>
              </w:rPr>
            </w:pPr>
            <w:r w:rsidRPr="005B050B">
              <w:rPr>
                <w:rFonts w:ascii="Century Gothic" w:hAnsi="Century Gothic"/>
              </w:rPr>
              <w:t>Total Liabilities, Deferred Inflows of Resources and Equity - Net Assets/Position</w:t>
            </w:r>
          </w:p>
        </w:tc>
        <w:tc>
          <w:tcPr>
            <w:tcW w:w="1620" w:type="dxa"/>
            <w:tcBorders>
              <w:left w:val="single" w:sz="24" w:space="0" w:color="auto"/>
              <w:right w:val="single" w:sz="24" w:space="0" w:color="auto"/>
            </w:tcBorders>
            <w:vAlign w:val="center"/>
          </w:tcPr>
          <w:p w14:paraId="7083B8C8" w14:textId="6BAEFA7E" w:rsidR="4566E4F4" w:rsidRPr="005B050B" w:rsidRDefault="4F68330E" w:rsidP="4566E4F4">
            <w:pPr>
              <w:contextualSpacing/>
              <w:jc w:val="center"/>
              <w:rPr>
                <w:rFonts w:ascii="Century Gothic" w:hAnsi="Century Gothic"/>
              </w:rPr>
            </w:pPr>
            <w:r w:rsidRPr="005B050B">
              <w:rPr>
                <w:rFonts w:ascii="Century Gothic" w:hAnsi="Century Gothic"/>
              </w:rPr>
              <w:t xml:space="preserve"> $54,</w:t>
            </w:r>
            <w:r w:rsidR="0CBAC35B" w:rsidRPr="005B050B">
              <w:rPr>
                <w:rFonts w:ascii="Century Gothic" w:hAnsi="Century Gothic"/>
              </w:rPr>
              <w:t>446,872</w:t>
            </w:r>
          </w:p>
        </w:tc>
      </w:tr>
      <w:tr w:rsidR="4566E4F4" w:rsidRPr="005B050B" w14:paraId="05E93B0A" w14:textId="77777777" w:rsidTr="188A1EBF">
        <w:trPr>
          <w:trHeight w:val="216"/>
        </w:trPr>
        <w:tc>
          <w:tcPr>
            <w:tcW w:w="1080" w:type="dxa"/>
            <w:tcBorders>
              <w:left w:val="single" w:sz="24" w:space="0" w:color="auto"/>
              <w:right w:val="single" w:sz="24" w:space="0" w:color="auto"/>
            </w:tcBorders>
            <w:vAlign w:val="center"/>
          </w:tcPr>
          <w:p w14:paraId="16B6478F" w14:textId="77777777" w:rsidR="4566E4F4" w:rsidRPr="005B050B" w:rsidRDefault="4566E4F4" w:rsidP="4566E4F4">
            <w:pPr>
              <w:contextualSpacing/>
              <w:jc w:val="center"/>
              <w:rPr>
                <w:rFonts w:ascii="Century Gothic" w:hAnsi="Century Gothic"/>
              </w:rPr>
            </w:pPr>
            <w:r w:rsidRPr="005B050B">
              <w:rPr>
                <w:rFonts w:ascii="Century Gothic" w:hAnsi="Century Gothic"/>
              </w:rPr>
              <w:t>70000</w:t>
            </w:r>
          </w:p>
        </w:tc>
        <w:tc>
          <w:tcPr>
            <w:tcW w:w="5760" w:type="dxa"/>
            <w:tcBorders>
              <w:left w:val="single" w:sz="24" w:space="0" w:color="auto"/>
              <w:right w:val="single" w:sz="24" w:space="0" w:color="auto"/>
            </w:tcBorders>
            <w:vAlign w:val="center"/>
          </w:tcPr>
          <w:p w14:paraId="72CD29AB" w14:textId="77777777" w:rsidR="4566E4F4" w:rsidRPr="005B050B" w:rsidRDefault="4566E4F4" w:rsidP="4566E4F4">
            <w:pPr>
              <w:contextualSpacing/>
              <w:jc w:val="both"/>
              <w:rPr>
                <w:rFonts w:ascii="Century Gothic" w:hAnsi="Century Gothic"/>
              </w:rPr>
            </w:pPr>
            <w:r w:rsidRPr="005B050B">
              <w:rPr>
                <w:rFonts w:ascii="Century Gothic" w:hAnsi="Century Gothic"/>
              </w:rPr>
              <w:t>Total Revenue</w:t>
            </w:r>
          </w:p>
        </w:tc>
        <w:tc>
          <w:tcPr>
            <w:tcW w:w="1620" w:type="dxa"/>
            <w:tcBorders>
              <w:left w:val="single" w:sz="24" w:space="0" w:color="auto"/>
              <w:right w:val="single" w:sz="24" w:space="0" w:color="auto"/>
            </w:tcBorders>
            <w:vAlign w:val="center"/>
          </w:tcPr>
          <w:p w14:paraId="1E31D078" w14:textId="6FBD0B30" w:rsidR="4566E4F4" w:rsidRPr="005B050B" w:rsidRDefault="063608C6" w:rsidP="69506C91">
            <w:pPr>
              <w:contextualSpacing/>
              <w:jc w:val="center"/>
              <w:rPr>
                <w:rFonts w:ascii="Century Gothic" w:eastAsia="Times New Roman" w:hAnsi="Century Gothic"/>
              </w:rPr>
            </w:pPr>
            <w:r w:rsidRPr="005B050B">
              <w:rPr>
                <w:rFonts w:ascii="Century Gothic" w:hAnsi="Century Gothic"/>
              </w:rPr>
              <w:t xml:space="preserve"> $1</w:t>
            </w:r>
            <w:r w:rsidR="4840D041" w:rsidRPr="005B050B">
              <w:rPr>
                <w:rFonts w:ascii="Century Gothic" w:hAnsi="Century Gothic"/>
              </w:rPr>
              <w:t>72,847,647</w:t>
            </w:r>
          </w:p>
        </w:tc>
      </w:tr>
      <w:tr w:rsidR="4566E4F4" w:rsidRPr="005B050B" w14:paraId="12E19202" w14:textId="77777777" w:rsidTr="188A1EBF">
        <w:trPr>
          <w:trHeight w:val="216"/>
        </w:trPr>
        <w:tc>
          <w:tcPr>
            <w:tcW w:w="1080" w:type="dxa"/>
            <w:tcBorders>
              <w:left w:val="single" w:sz="24" w:space="0" w:color="auto"/>
              <w:right w:val="single" w:sz="24" w:space="0" w:color="auto"/>
            </w:tcBorders>
            <w:vAlign w:val="center"/>
          </w:tcPr>
          <w:p w14:paraId="019B46EE" w14:textId="77777777" w:rsidR="4566E4F4" w:rsidRPr="005B050B" w:rsidRDefault="4566E4F4" w:rsidP="4566E4F4">
            <w:pPr>
              <w:contextualSpacing/>
              <w:jc w:val="center"/>
              <w:rPr>
                <w:rFonts w:ascii="Century Gothic" w:hAnsi="Century Gothic"/>
              </w:rPr>
            </w:pPr>
            <w:r w:rsidRPr="005B050B">
              <w:rPr>
                <w:rFonts w:ascii="Century Gothic" w:hAnsi="Century Gothic"/>
              </w:rPr>
              <w:t>96900</w:t>
            </w:r>
          </w:p>
        </w:tc>
        <w:tc>
          <w:tcPr>
            <w:tcW w:w="5760" w:type="dxa"/>
            <w:tcBorders>
              <w:left w:val="single" w:sz="24" w:space="0" w:color="auto"/>
              <w:right w:val="single" w:sz="24" w:space="0" w:color="auto"/>
            </w:tcBorders>
            <w:vAlign w:val="center"/>
          </w:tcPr>
          <w:p w14:paraId="72ADE2DC" w14:textId="77777777" w:rsidR="4566E4F4" w:rsidRPr="005B050B" w:rsidRDefault="4566E4F4" w:rsidP="4566E4F4">
            <w:pPr>
              <w:contextualSpacing/>
              <w:jc w:val="both"/>
              <w:rPr>
                <w:rFonts w:ascii="Century Gothic" w:hAnsi="Century Gothic"/>
              </w:rPr>
            </w:pPr>
            <w:r w:rsidRPr="005B050B">
              <w:rPr>
                <w:rFonts w:ascii="Century Gothic" w:hAnsi="Century Gothic"/>
              </w:rPr>
              <w:t>Total Operating Expenses</w:t>
            </w:r>
          </w:p>
        </w:tc>
        <w:tc>
          <w:tcPr>
            <w:tcW w:w="1620" w:type="dxa"/>
            <w:tcBorders>
              <w:left w:val="single" w:sz="24" w:space="0" w:color="auto"/>
              <w:right w:val="single" w:sz="24" w:space="0" w:color="auto"/>
            </w:tcBorders>
            <w:vAlign w:val="center"/>
          </w:tcPr>
          <w:p w14:paraId="28C27622" w14:textId="6DE42839" w:rsidR="4566E4F4" w:rsidRPr="005B050B" w:rsidRDefault="7D6F19F5" w:rsidP="69506C91">
            <w:pPr>
              <w:contextualSpacing/>
              <w:jc w:val="center"/>
              <w:rPr>
                <w:rFonts w:ascii="Century Gothic" w:eastAsia="Times New Roman" w:hAnsi="Century Gothic"/>
              </w:rPr>
            </w:pPr>
            <w:r w:rsidRPr="005B050B">
              <w:rPr>
                <w:rFonts w:ascii="Century Gothic" w:hAnsi="Century Gothic"/>
              </w:rPr>
              <w:t xml:space="preserve"> $2</w:t>
            </w:r>
            <w:r w:rsidR="09FB1F02" w:rsidRPr="005B050B">
              <w:rPr>
                <w:rFonts w:ascii="Century Gothic" w:hAnsi="Century Gothic"/>
              </w:rPr>
              <w:t>7,095,281</w:t>
            </w:r>
          </w:p>
        </w:tc>
      </w:tr>
      <w:tr w:rsidR="4566E4F4" w:rsidRPr="005B050B" w14:paraId="4C927AED" w14:textId="77777777" w:rsidTr="188A1EBF">
        <w:trPr>
          <w:trHeight w:val="216"/>
        </w:trPr>
        <w:tc>
          <w:tcPr>
            <w:tcW w:w="1080" w:type="dxa"/>
            <w:tcBorders>
              <w:left w:val="single" w:sz="24" w:space="0" w:color="auto"/>
              <w:right w:val="single" w:sz="24" w:space="0" w:color="auto"/>
            </w:tcBorders>
            <w:vAlign w:val="center"/>
          </w:tcPr>
          <w:p w14:paraId="1228547E" w14:textId="77777777" w:rsidR="4566E4F4" w:rsidRPr="005B050B" w:rsidRDefault="4566E4F4" w:rsidP="4566E4F4">
            <w:pPr>
              <w:contextualSpacing/>
              <w:jc w:val="center"/>
              <w:rPr>
                <w:rFonts w:ascii="Century Gothic" w:hAnsi="Century Gothic"/>
              </w:rPr>
            </w:pPr>
            <w:r w:rsidRPr="005B050B">
              <w:rPr>
                <w:rFonts w:ascii="Century Gothic" w:hAnsi="Century Gothic"/>
              </w:rPr>
              <w:t>97000</w:t>
            </w:r>
          </w:p>
        </w:tc>
        <w:tc>
          <w:tcPr>
            <w:tcW w:w="5760" w:type="dxa"/>
            <w:tcBorders>
              <w:left w:val="single" w:sz="24" w:space="0" w:color="auto"/>
              <w:right w:val="single" w:sz="24" w:space="0" w:color="auto"/>
            </w:tcBorders>
            <w:vAlign w:val="center"/>
          </w:tcPr>
          <w:p w14:paraId="30A4570F" w14:textId="77777777" w:rsidR="4566E4F4" w:rsidRPr="005B050B" w:rsidRDefault="4566E4F4" w:rsidP="4566E4F4">
            <w:pPr>
              <w:contextualSpacing/>
              <w:jc w:val="both"/>
              <w:rPr>
                <w:rFonts w:ascii="Century Gothic" w:hAnsi="Century Gothic"/>
              </w:rPr>
            </w:pPr>
            <w:r w:rsidRPr="005B050B">
              <w:rPr>
                <w:rFonts w:ascii="Century Gothic" w:hAnsi="Century Gothic"/>
              </w:rPr>
              <w:t>Excess of Operating Revenue over Operating Expenses</w:t>
            </w:r>
          </w:p>
        </w:tc>
        <w:tc>
          <w:tcPr>
            <w:tcW w:w="1620" w:type="dxa"/>
            <w:tcBorders>
              <w:left w:val="single" w:sz="24" w:space="0" w:color="auto"/>
              <w:right w:val="single" w:sz="24" w:space="0" w:color="auto"/>
            </w:tcBorders>
            <w:vAlign w:val="center"/>
          </w:tcPr>
          <w:p w14:paraId="6691E760" w14:textId="64E80259" w:rsidR="4566E4F4" w:rsidRPr="005B050B" w:rsidRDefault="400F0576" w:rsidP="69506C91">
            <w:pPr>
              <w:contextualSpacing/>
              <w:jc w:val="center"/>
              <w:rPr>
                <w:rFonts w:ascii="Century Gothic" w:eastAsia="Times New Roman" w:hAnsi="Century Gothic"/>
              </w:rPr>
            </w:pPr>
            <w:r w:rsidRPr="005B050B">
              <w:rPr>
                <w:rFonts w:ascii="Century Gothic" w:hAnsi="Century Gothic"/>
              </w:rPr>
              <w:t xml:space="preserve">    $</w:t>
            </w:r>
            <w:r w:rsidR="5427C7E1" w:rsidRPr="005B050B">
              <w:rPr>
                <w:rFonts w:ascii="Century Gothic" w:hAnsi="Century Gothic"/>
              </w:rPr>
              <w:t>145,752,366</w:t>
            </w:r>
          </w:p>
        </w:tc>
      </w:tr>
      <w:tr w:rsidR="4566E4F4" w:rsidRPr="005B050B" w14:paraId="63D022D0" w14:textId="77777777" w:rsidTr="188A1EBF">
        <w:trPr>
          <w:trHeight w:val="216"/>
        </w:trPr>
        <w:tc>
          <w:tcPr>
            <w:tcW w:w="1080" w:type="dxa"/>
            <w:tcBorders>
              <w:left w:val="single" w:sz="24" w:space="0" w:color="auto"/>
              <w:bottom w:val="single" w:sz="24" w:space="0" w:color="auto"/>
              <w:right w:val="single" w:sz="24" w:space="0" w:color="auto"/>
            </w:tcBorders>
            <w:vAlign w:val="center"/>
          </w:tcPr>
          <w:p w14:paraId="6D4B131F" w14:textId="77777777" w:rsidR="4566E4F4" w:rsidRPr="005B050B" w:rsidRDefault="4566E4F4" w:rsidP="4566E4F4">
            <w:pPr>
              <w:contextualSpacing/>
              <w:jc w:val="center"/>
              <w:rPr>
                <w:rFonts w:ascii="Century Gothic" w:hAnsi="Century Gothic"/>
              </w:rPr>
            </w:pPr>
            <w:r w:rsidRPr="005B050B">
              <w:rPr>
                <w:rFonts w:ascii="Century Gothic" w:hAnsi="Century Gothic"/>
              </w:rPr>
              <w:t>10000</w:t>
            </w:r>
          </w:p>
        </w:tc>
        <w:tc>
          <w:tcPr>
            <w:tcW w:w="5760" w:type="dxa"/>
            <w:tcBorders>
              <w:left w:val="single" w:sz="24" w:space="0" w:color="auto"/>
              <w:bottom w:val="single" w:sz="24" w:space="0" w:color="auto"/>
              <w:right w:val="single" w:sz="24" w:space="0" w:color="auto"/>
            </w:tcBorders>
            <w:vAlign w:val="center"/>
          </w:tcPr>
          <w:p w14:paraId="0AB214B9" w14:textId="77777777" w:rsidR="4566E4F4" w:rsidRPr="005B050B" w:rsidRDefault="4566E4F4" w:rsidP="4566E4F4">
            <w:pPr>
              <w:contextualSpacing/>
              <w:jc w:val="both"/>
              <w:rPr>
                <w:rFonts w:ascii="Century Gothic" w:hAnsi="Century Gothic"/>
              </w:rPr>
            </w:pPr>
            <w:r w:rsidRPr="005B050B">
              <w:rPr>
                <w:rFonts w:ascii="Century Gothic" w:hAnsi="Century Gothic"/>
                <w:lang w:eastAsia="en-US"/>
              </w:rPr>
              <w:t>Excess (Deficiency) of Total Revenue Over (Under) Total Expenses</w:t>
            </w:r>
          </w:p>
        </w:tc>
        <w:tc>
          <w:tcPr>
            <w:tcW w:w="1620" w:type="dxa"/>
            <w:tcBorders>
              <w:left w:val="single" w:sz="24" w:space="0" w:color="auto"/>
              <w:bottom w:val="single" w:sz="24" w:space="0" w:color="auto"/>
              <w:right w:val="single" w:sz="24" w:space="0" w:color="auto"/>
            </w:tcBorders>
            <w:vAlign w:val="center"/>
          </w:tcPr>
          <w:p w14:paraId="3AEACFEE" w14:textId="33AF030C" w:rsidR="4566E4F4" w:rsidRPr="005B050B" w:rsidRDefault="4F38E097" w:rsidP="69506C91">
            <w:pPr>
              <w:contextualSpacing/>
              <w:jc w:val="center"/>
              <w:rPr>
                <w:rFonts w:ascii="Century Gothic" w:eastAsia="Times New Roman" w:hAnsi="Century Gothic"/>
              </w:rPr>
            </w:pPr>
            <w:r w:rsidRPr="005B050B">
              <w:rPr>
                <w:rFonts w:ascii="Century Gothic" w:hAnsi="Century Gothic"/>
              </w:rPr>
              <w:t xml:space="preserve"> $</w:t>
            </w:r>
            <w:r w:rsidR="0CF44B80" w:rsidRPr="005B050B">
              <w:rPr>
                <w:rFonts w:ascii="Century Gothic" w:hAnsi="Century Gothic"/>
              </w:rPr>
              <w:t>1,558,353</w:t>
            </w:r>
          </w:p>
        </w:tc>
      </w:tr>
      <w:tr w:rsidR="00472258" w:rsidRPr="005B050B" w14:paraId="75C1141F" w14:textId="77777777" w:rsidTr="188A1EBF">
        <w:trPr>
          <w:trHeight w:val="216"/>
        </w:trPr>
        <w:tc>
          <w:tcPr>
            <w:tcW w:w="1080" w:type="dxa"/>
            <w:tcBorders>
              <w:left w:val="single" w:sz="24" w:space="0" w:color="auto"/>
              <w:bottom w:val="single" w:sz="24" w:space="0" w:color="auto"/>
              <w:right w:val="single" w:sz="24" w:space="0" w:color="auto"/>
            </w:tcBorders>
            <w:vAlign w:val="center"/>
          </w:tcPr>
          <w:p w14:paraId="18112192" w14:textId="77777777" w:rsidR="00472258" w:rsidRPr="005B050B" w:rsidRDefault="00472258" w:rsidP="4566E4F4">
            <w:pPr>
              <w:contextualSpacing/>
              <w:jc w:val="center"/>
              <w:rPr>
                <w:rFonts w:ascii="Century Gothic" w:hAnsi="Century Gothic"/>
              </w:rPr>
            </w:pPr>
          </w:p>
        </w:tc>
        <w:tc>
          <w:tcPr>
            <w:tcW w:w="5760" w:type="dxa"/>
            <w:tcBorders>
              <w:left w:val="single" w:sz="24" w:space="0" w:color="auto"/>
              <w:bottom w:val="single" w:sz="24" w:space="0" w:color="auto"/>
              <w:right w:val="single" w:sz="24" w:space="0" w:color="auto"/>
            </w:tcBorders>
            <w:vAlign w:val="center"/>
          </w:tcPr>
          <w:p w14:paraId="644193D6" w14:textId="6FB32490" w:rsidR="00472258" w:rsidRPr="005B050B" w:rsidRDefault="00472258" w:rsidP="4566E4F4">
            <w:pPr>
              <w:contextualSpacing/>
              <w:jc w:val="both"/>
              <w:rPr>
                <w:rFonts w:ascii="Century Gothic" w:hAnsi="Century Gothic"/>
                <w:lang w:eastAsia="en-US"/>
              </w:rPr>
            </w:pPr>
          </w:p>
        </w:tc>
        <w:tc>
          <w:tcPr>
            <w:tcW w:w="1620" w:type="dxa"/>
            <w:tcBorders>
              <w:left w:val="single" w:sz="24" w:space="0" w:color="auto"/>
              <w:bottom w:val="single" w:sz="24" w:space="0" w:color="auto"/>
              <w:right w:val="single" w:sz="24" w:space="0" w:color="auto"/>
            </w:tcBorders>
            <w:vAlign w:val="center"/>
          </w:tcPr>
          <w:p w14:paraId="42D1629E" w14:textId="234CE483" w:rsidR="00472258" w:rsidRPr="005B050B" w:rsidRDefault="00472258" w:rsidP="69506C91">
            <w:pPr>
              <w:contextualSpacing/>
              <w:jc w:val="center"/>
              <w:rPr>
                <w:rFonts w:ascii="Century Gothic" w:hAnsi="Century Gothic"/>
              </w:rPr>
            </w:pPr>
          </w:p>
        </w:tc>
      </w:tr>
    </w:tbl>
    <w:tbl>
      <w:tblPr>
        <w:tblStyle w:val="TableGrid"/>
        <w:tblW w:w="0" w:type="auto"/>
        <w:tblLayout w:type="fixed"/>
        <w:tblLook w:val="06A0" w:firstRow="1" w:lastRow="0" w:firstColumn="1" w:lastColumn="0" w:noHBand="1" w:noVBand="1"/>
      </w:tblPr>
      <w:tblGrid>
        <w:gridCol w:w="10800"/>
        <w:gridCol w:w="360"/>
      </w:tblGrid>
      <w:tr w:rsidR="4566E4F4" w:rsidRPr="005B050B" w14:paraId="21F01B66" w14:textId="77777777" w:rsidTr="46B3BF7C">
        <w:trPr>
          <w:trHeight w:val="300"/>
        </w:trPr>
        <w:tc>
          <w:tcPr>
            <w:tcW w:w="10800" w:type="dxa"/>
            <w:gridSpan w:val="2"/>
            <w:tcBorders>
              <w:top w:val="nil"/>
              <w:left w:val="nil"/>
              <w:bottom w:val="nil"/>
              <w:right w:val="nil"/>
            </w:tcBorders>
            <w:vAlign w:val="bottom"/>
          </w:tcPr>
          <w:p w14:paraId="5546D0AC" w14:textId="77777777" w:rsidR="007810E5" w:rsidRPr="005B050B" w:rsidRDefault="007810E5">
            <w:pPr>
              <w:rPr>
                <w:rFonts w:ascii="Century Gothic" w:eastAsia="Calibri" w:hAnsi="Century Gothic"/>
                <w:color w:val="000000" w:themeColor="text1"/>
                <w:sz w:val="18"/>
                <w:szCs w:val="18"/>
              </w:rPr>
            </w:pPr>
          </w:p>
          <w:p w14:paraId="748AAA2F" w14:textId="18C035DF" w:rsidR="4566E4F4" w:rsidRPr="005B050B" w:rsidRDefault="4B248B82">
            <w:pPr>
              <w:rPr>
                <w:rFonts w:ascii="Century Gothic" w:hAnsi="Century Gothic"/>
                <w:sz w:val="18"/>
                <w:szCs w:val="18"/>
              </w:rPr>
            </w:pPr>
            <w:r w:rsidRPr="005B050B">
              <w:rPr>
                <w:rFonts w:ascii="Century Gothic" w:eastAsia="Calibri" w:hAnsi="Century Gothic"/>
                <w:color w:val="000000" w:themeColor="text1"/>
                <w:sz w:val="18"/>
                <w:szCs w:val="18"/>
              </w:rPr>
              <w:t>*</w:t>
            </w:r>
            <w:r w:rsidR="53A5F56E" w:rsidRPr="005B050B">
              <w:rPr>
                <w:rFonts w:ascii="Century Gothic" w:eastAsia="Calibri" w:hAnsi="Century Gothic"/>
                <w:color w:val="000000" w:themeColor="text1"/>
                <w:sz w:val="18"/>
                <w:szCs w:val="18"/>
              </w:rPr>
              <w:t>* Line</w:t>
            </w:r>
            <w:r w:rsidRPr="005B050B">
              <w:rPr>
                <w:rFonts w:ascii="Century Gothic" w:eastAsia="Calibri" w:hAnsi="Century Gothic"/>
                <w:color w:val="000000" w:themeColor="text1"/>
                <w:sz w:val="18"/>
                <w:szCs w:val="18"/>
              </w:rPr>
              <w:t xml:space="preserve"> </w:t>
            </w:r>
            <w:r w:rsidR="1FFB96CA" w:rsidRPr="005B050B">
              <w:rPr>
                <w:rFonts w:ascii="Century Gothic" w:eastAsia="Calibri" w:hAnsi="Century Gothic"/>
                <w:color w:val="000000" w:themeColor="text1"/>
                <w:sz w:val="18"/>
                <w:szCs w:val="18"/>
              </w:rPr>
              <w:t>97</w:t>
            </w:r>
            <w:r w:rsidR="70CF42B5" w:rsidRPr="005B050B">
              <w:rPr>
                <w:rFonts w:ascii="Century Gothic" w:eastAsia="Calibri" w:hAnsi="Century Gothic"/>
                <w:color w:val="000000" w:themeColor="text1"/>
                <w:sz w:val="18"/>
                <w:szCs w:val="18"/>
              </w:rPr>
              <w:t xml:space="preserve">000 </w:t>
            </w:r>
            <w:r w:rsidR="0460986B" w:rsidRPr="005B050B">
              <w:rPr>
                <w:rFonts w:ascii="Century Gothic" w:eastAsia="Calibri" w:hAnsi="Century Gothic"/>
                <w:color w:val="000000" w:themeColor="text1"/>
                <w:sz w:val="18"/>
                <w:szCs w:val="18"/>
              </w:rPr>
              <w:t>was used to fund HAP payments of $78.2M, Development Costs of $</w:t>
            </w:r>
            <w:r w:rsidR="686B8F8B" w:rsidRPr="005B050B">
              <w:rPr>
                <w:rFonts w:ascii="Century Gothic" w:eastAsia="Calibri" w:hAnsi="Century Gothic"/>
                <w:color w:val="000000" w:themeColor="text1"/>
                <w:sz w:val="18"/>
                <w:szCs w:val="18"/>
              </w:rPr>
              <w:t xml:space="preserve">29.3M, our CED Program of $2M and the financing of </w:t>
            </w:r>
            <w:r w:rsidR="26B9FC8D" w:rsidRPr="005B050B">
              <w:rPr>
                <w:rFonts w:ascii="Century Gothic" w:eastAsia="Calibri" w:hAnsi="Century Gothic"/>
                <w:color w:val="000000" w:themeColor="text1"/>
                <w:sz w:val="18"/>
                <w:szCs w:val="18"/>
              </w:rPr>
              <w:t>Notes for RAD properties of $34.1M.</w:t>
            </w:r>
          </w:p>
        </w:tc>
      </w:tr>
      <w:tr w:rsidR="4566E4F4" w:rsidRPr="005B050B" w14:paraId="1E2F3341" w14:textId="77777777" w:rsidTr="46B3BF7C">
        <w:trPr>
          <w:gridAfter w:val="1"/>
          <w:wAfter w:w="360" w:type="dxa"/>
          <w:trHeight w:val="300"/>
        </w:trPr>
        <w:tc>
          <w:tcPr>
            <w:tcW w:w="10800" w:type="dxa"/>
            <w:tcBorders>
              <w:top w:val="nil"/>
              <w:left w:val="nil"/>
              <w:bottom w:val="nil"/>
              <w:right w:val="nil"/>
            </w:tcBorders>
            <w:vAlign w:val="bottom"/>
          </w:tcPr>
          <w:p w14:paraId="47C0A43A" w14:textId="6E741B9B" w:rsidR="00E677EF" w:rsidRPr="005B050B" w:rsidRDefault="00E677EF" w:rsidP="00DC6833">
            <w:pPr>
              <w:pStyle w:val="ListParagraph"/>
              <w:rPr>
                <w:rFonts w:ascii="Century Gothic" w:eastAsia="MS PGothic" w:hAnsi="Century Gothic"/>
                <w:sz w:val="18"/>
                <w:szCs w:val="18"/>
              </w:rPr>
            </w:pPr>
          </w:p>
        </w:tc>
      </w:tr>
      <w:tr w:rsidR="69506C91" w:rsidRPr="005B050B" w14:paraId="526C4AE5" w14:textId="77777777" w:rsidTr="46B3BF7C">
        <w:trPr>
          <w:gridAfter w:val="1"/>
          <w:wAfter w:w="360" w:type="dxa"/>
          <w:trHeight w:val="300"/>
        </w:trPr>
        <w:tc>
          <w:tcPr>
            <w:tcW w:w="10800" w:type="dxa"/>
            <w:tcBorders>
              <w:top w:val="nil"/>
              <w:left w:val="nil"/>
              <w:bottom w:val="nil"/>
              <w:right w:val="nil"/>
            </w:tcBorders>
            <w:vAlign w:val="bottom"/>
          </w:tcPr>
          <w:p w14:paraId="0BFABA64" w14:textId="03FA59B5" w:rsidR="69506C91" w:rsidRPr="005B050B" w:rsidRDefault="69506C91" w:rsidP="69506C91">
            <w:pPr>
              <w:rPr>
                <w:rFonts w:ascii="Century Gothic" w:eastAsia="Calibri" w:hAnsi="Century Gothic"/>
                <w:color w:val="000000" w:themeColor="text1"/>
                <w:sz w:val="18"/>
                <w:szCs w:val="18"/>
              </w:rPr>
            </w:pPr>
          </w:p>
        </w:tc>
      </w:tr>
    </w:tbl>
    <w:p w14:paraId="4ADB1AE9" w14:textId="3A17A580" w:rsidR="001725C7" w:rsidRPr="005B050B" w:rsidRDefault="3BB7E2F4" w:rsidP="00486062">
      <w:pPr>
        <w:pStyle w:val="ListParagraph"/>
        <w:numPr>
          <w:ilvl w:val="0"/>
          <w:numId w:val="44"/>
        </w:numPr>
        <w:spacing w:after="160" w:line="276" w:lineRule="auto"/>
        <w:rPr>
          <w:rFonts w:ascii="Century Gothic" w:eastAsia="Times New Roman" w:hAnsi="Century Gothic"/>
          <w:b/>
          <w:bCs/>
          <w:szCs w:val="22"/>
        </w:rPr>
      </w:pPr>
      <w:r w:rsidRPr="005B050B">
        <w:rPr>
          <w:rFonts w:ascii="Century Gothic" w:eastAsia="Times New Roman" w:hAnsi="Century Gothic"/>
          <w:b/>
          <w:bCs/>
          <w:szCs w:val="22"/>
        </w:rPr>
        <w:t xml:space="preserve">Expenditures </w:t>
      </w:r>
      <w:proofErr w:type="gramStart"/>
      <w:r w:rsidRPr="005B050B">
        <w:rPr>
          <w:rFonts w:ascii="Century Gothic" w:eastAsia="Times New Roman" w:hAnsi="Century Gothic"/>
          <w:b/>
          <w:bCs/>
          <w:szCs w:val="22"/>
        </w:rPr>
        <w:t>of</w:t>
      </w:r>
      <w:proofErr w:type="gramEnd"/>
      <w:r w:rsidRPr="005B050B">
        <w:rPr>
          <w:rFonts w:ascii="Century Gothic" w:eastAsia="Times New Roman" w:hAnsi="Century Gothic"/>
          <w:b/>
          <w:bCs/>
          <w:szCs w:val="22"/>
        </w:rPr>
        <w:t xml:space="preserve"> MTW Funds in the Plan Year</w:t>
      </w:r>
    </w:p>
    <w:p w14:paraId="01684DD1" w14:textId="47AB1E98" w:rsidR="001725C7" w:rsidRPr="005B050B" w:rsidRDefault="3BB7E2F4" w:rsidP="00AB7DA1">
      <w:pPr>
        <w:spacing w:after="160" w:line="276" w:lineRule="auto"/>
        <w:ind w:left="720"/>
        <w:rPr>
          <w:rFonts w:ascii="Century Gothic" w:eastAsia="Times New Roman" w:hAnsi="Century Gothic"/>
          <w:szCs w:val="22"/>
        </w:rPr>
      </w:pPr>
      <w:r w:rsidRPr="005B050B">
        <w:rPr>
          <w:rFonts w:ascii="Century Gothic" w:eastAsia="Times New Roman" w:hAnsi="Century Gothic"/>
          <w:szCs w:val="22"/>
        </w:rPr>
        <w:t xml:space="preserve">The MTW PHA shall submit unaudited and audited information in the prescribed FDS format through the FASPHA, or its successor system. </w:t>
      </w:r>
    </w:p>
    <w:p w14:paraId="2CA71595" w14:textId="5CE3F502" w:rsidR="001725C7" w:rsidRPr="005B050B" w:rsidRDefault="3BB7E2F4" w:rsidP="4566E4F4">
      <w:pPr>
        <w:spacing w:after="160" w:line="276" w:lineRule="auto"/>
        <w:rPr>
          <w:rFonts w:ascii="Century Gothic" w:eastAsia="Times New Roman" w:hAnsi="Century Gothic"/>
          <w:b/>
          <w:bCs/>
          <w:szCs w:val="22"/>
        </w:rPr>
      </w:pPr>
      <w:r w:rsidRPr="005B050B">
        <w:rPr>
          <w:rFonts w:ascii="Century Gothic" w:eastAsia="Times New Roman" w:hAnsi="Century Gothic"/>
          <w:szCs w:val="22"/>
        </w:rPr>
        <w:t xml:space="preserve"> </w:t>
      </w:r>
      <w:r w:rsidR="003D5779" w:rsidRPr="005B050B">
        <w:rPr>
          <w:rFonts w:ascii="Century Gothic" w:eastAsia="Times New Roman" w:hAnsi="Century Gothic"/>
          <w:szCs w:val="22"/>
        </w:rPr>
        <w:tab/>
      </w:r>
      <w:r w:rsidR="003D5779" w:rsidRPr="005B050B">
        <w:rPr>
          <w:rFonts w:ascii="Century Gothic" w:eastAsia="Times New Roman" w:hAnsi="Century Gothic"/>
          <w:b/>
          <w:bCs/>
          <w:szCs w:val="22"/>
        </w:rPr>
        <w:t>N/A</w:t>
      </w:r>
    </w:p>
    <w:p w14:paraId="5D05BEAE" w14:textId="393CBB63" w:rsidR="001725C7" w:rsidRPr="005B050B" w:rsidRDefault="3BB7E2F4" w:rsidP="00486062">
      <w:pPr>
        <w:pStyle w:val="ListParagraph"/>
        <w:numPr>
          <w:ilvl w:val="0"/>
          <w:numId w:val="44"/>
        </w:numPr>
        <w:spacing w:after="160" w:line="276" w:lineRule="auto"/>
        <w:rPr>
          <w:rFonts w:ascii="Century Gothic" w:eastAsia="Times New Roman" w:hAnsi="Century Gothic"/>
          <w:b/>
          <w:bCs/>
          <w:szCs w:val="22"/>
        </w:rPr>
      </w:pPr>
      <w:r w:rsidRPr="005B050B">
        <w:rPr>
          <w:rFonts w:ascii="Century Gothic" w:eastAsia="Times New Roman" w:hAnsi="Century Gothic"/>
          <w:b/>
          <w:bCs/>
          <w:szCs w:val="22"/>
        </w:rPr>
        <w:t>Describe Application of MTW Funding Flexibility</w:t>
      </w:r>
    </w:p>
    <w:p w14:paraId="0909280D" w14:textId="225EDC23" w:rsidR="001725C7" w:rsidRDefault="3BB7E2F4" w:rsidP="00AB7DA1">
      <w:pPr>
        <w:spacing w:after="160" w:line="276" w:lineRule="auto"/>
        <w:ind w:left="720"/>
        <w:rPr>
          <w:rFonts w:ascii="Century Gothic" w:eastAsia="Times New Roman" w:hAnsi="Century Gothic"/>
          <w:szCs w:val="22"/>
        </w:rPr>
      </w:pPr>
      <w:r w:rsidRPr="005B050B">
        <w:rPr>
          <w:rFonts w:ascii="Century Gothic" w:eastAsia="Times New Roman" w:hAnsi="Century Gothic"/>
          <w:szCs w:val="22"/>
        </w:rPr>
        <w:t xml:space="preserve">The MTW PHA shall provide a thorough narrative of actual activities that use only the MTW funding flexibility.  Where possible, the MTW PHA may provide metrics to track the outcomes of these programs and/or activities. Activities that use other MTW authorizations in Attachment C and/or D of the Standard MTW Agreement (or analogous section in a successor MTW Agreement) do not need to be described here, as they are already found in Section (IV) of </w:t>
      </w:r>
      <w:r w:rsidRPr="005B050B">
        <w:rPr>
          <w:rFonts w:ascii="Century Gothic" w:eastAsia="Times New Roman" w:hAnsi="Century Gothic"/>
          <w:szCs w:val="22"/>
        </w:rPr>
        <w:lastRenderedPageBreak/>
        <w:t>the Annual MTW Report. The MTW PHA shall also provide a thorough description of how it used MTW funding flexibility to direct funding towards specific housing and/or service programs and/or other MTW activity, as included in an approved MTW Plan.</w:t>
      </w:r>
    </w:p>
    <w:p w14:paraId="0D423C36" w14:textId="48812696" w:rsidR="001725C7" w:rsidRPr="005B050B" w:rsidRDefault="001725C7" w:rsidP="002D0B3C">
      <w:pPr>
        <w:pStyle w:val="Body1"/>
        <w:framePr w:wrap="around"/>
        <w:rPr>
          <w:rFonts w:ascii="Century Gothic" w:hAnsi="Century Gothic"/>
        </w:rPr>
      </w:pPr>
    </w:p>
    <w:tbl>
      <w:tblPr>
        <w:tblStyle w:val="TableGrid"/>
        <w:tblW w:w="0" w:type="auto"/>
        <w:tblInd w:w="135" w:type="dxa"/>
        <w:tblLayout w:type="fixed"/>
        <w:tblLook w:val="04A0" w:firstRow="1" w:lastRow="0" w:firstColumn="1" w:lastColumn="0" w:noHBand="0" w:noVBand="1"/>
      </w:tblPr>
      <w:tblGrid>
        <w:gridCol w:w="9630"/>
      </w:tblGrid>
      <w:tr w:rsidR="4566E4F4" w:rsidRPr="005B050B" w14:paraId="1AC1C098" w14:textId="77777777" w:rsidTr="69506C91">
        <w:trPr>
          <w:trHeight w:val="390"/>
        </w:trPr>
        <w:tc>
          <w:tcPr>
            <w:tcW w:w="963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4D6B23ED" w14:textId="65B165F5" w:rsidR="4566E4F4" w:rsidRPr="005B050B" w:rsidRDefault="4566E4F4" w:rsidP="003F0D12">
            <w:pPr>
              <w:jc w:val="center"/>
              <w:rPr>
                <w:rFonts w:ascii="Century Gothic" w:eastAsia="Calibri" w:hAnsi="Century Gothic" w:cs="Calibri"/>
                <w:b/>
                <w:bCs/>
                <w:color w:val="000000" w:themeColor="text1"/>
                <w:sz w:val="20"/>
                <w:szCs w:val="20"/>
              </w:rPr>
            </w:pPr>
            <w:r w:rsidRPr="005B050B">
              <w:rPr>
                <w:rFonts w:ascii="Century Gothic" w:eastAsia="Calibri" w:hAnsi="Century Gothic" w:cs="Calibri"/>
                <w:b/>
                <w:bCs/>
                <w:color w:val="000000" w:themeColor="text1"/>
                <w:sz w:val="20"/>
                <w:szCs w:val="20"/>
              </w:rPr>
              <w:t>APPLICATION OF “MTW FUNDING” FLEXIBILITY</w:t>
            </w:r>
          </w:p>
        </w:tc>
      </w:tr>
      <w:tr w:rsidR="4566E4F4" w:rsidRPr="005B050B" w14:paraId="43C4173F" w14:textId="77777777" w:rsidTr="69506C91">
        <w:trPr>
          <w:trHeight w:val="210"/>
        </w:trPr>
        <w:tc>
          <w:tcPr>
            <w:tcW w:w="9630" w:type="dxa"/>
            <w:tcBorders>
              <w:top w:val="single" w:sz="24" w:space="0" w:color="auto"/>
              <w:left w:val="single" w:sz="24" w:space="0" w:color="auto"/>
              <w:bottom w:val="single" w:sz="24" w:space="0" w:color="auto"/>
              <w:right w:val="single" w:sz="24" w:space="0" w:color="auto"/>
            </w:tcBorders>
            <w:vAlign w:val="center"/>
          </w:tcPr>
          <w:p w14:paraId="3464545C" w14:textId="740CA53F" w:rsidR="4566E4F4" w:rsidRPr="005B050B" w:rsidRDefault="4566E4F4" w:rsidP="003F0D12">
            <w:pPr>
              <w:jc w:val="center"/>
              <w:rPr>
                <w:rFonts w:ascii="Century Gothic" w:eastAsia="Calibri" w:hAnsi="Century Gothic" w:cs="Calibri"/>
                <w:b/>
                <w:bCs/>
                <w:color w:val="262626" w:themeColor="text1" w:themeTint="D9"/>
                <w:sz w:val="20"/>
                <w:szCs w:val="20"/>
              </w:rPr>
            </w:pPr>
            <w:r w:rsidRPr="005B050B">
              <w:rPr>
                <w:rFonts w:ascii="Century Gothic" w:eastAsia="Calibri" w:hAnsi="Century Gothic" w:cs="Calibri"/>
                <w:b/>
                <w:bCs/>
                <w:color w:val="262626" w:themeColor="text1" w:themeTint="D9"/>
                <w:sz w:val="20"/>
                <w:szCs w:val="20"/>
              </w:rPr>
              <w:t xml:space="preserve"> </w:t>
            </w:r>
          </w:p>
          <w:tbl>
            <w:tblPr>
              <w:tblStyle w:val="TableGrid"/>
              <w:tblW w:w="0" w:type="auto"/>
              <w:tblLayout w:type="fixed"/>
              <w:tblLook w:val="06A0" w:firstRow="1" w:lastRow="0" w:firstColumn="1" w:lastColumn="0" w:noHBand="1" w:noVBand="1"/>
            </w:tblPr>
            <w:tblGrid>
              <w:gridCol w:w="9510"/>
            </w:tblGrid>
            <w:tr w:rsidR="4566E4F4" w:rsidRPr="005B050B" w14:paraId="61F0391D" w14:textId="77777777" w:rsidTr="00B07A97">
              <w:trPr>
                <w:trHeight w:val="1980"/>
              </w:trPr>
              <w:tc>
                <w:tcPr>
                  <w:tcW w:w="9510" w:type="dxa"/>
                  <w:tcBorders>
                    <w:top w:val="nil"/>
                    <w:left w:val="nil"/>
                    <w:bottom w:val="nil"/>
                    <w:right w:val="nil"/>
                  </w:tcBorders>
                  <w:vAlign w:val="bottom"/>
                </w:tcPr>
                <w:p w14:paraId="7A750B11" w14:textId="4ACC1677" w:rsidR="163D7CDF" w:rsidRPr="005B050B" w:rsidRDefault="2BAA72B5" w:rsidP="4B60C82B">
                  <w:pPr>
                    <w:rPr>
                      <w:rFonts w:ascii="Century Gothic" w:eastAsia="Times New Roman" w:hAnsi="Century Gothic"/>
                      <w:color w:val="000000" w:themeColor="text1"/>
                    </w:rPr>
                  </w:pPr>
                  <w:r w:rsidRPr="005B050B">
                    <w:rPr>
                      <w:rFonts w:ascii="Century Gothic" w:eastAsia="Times New Roman" w:hAnsi="Century Gothic"/>
                    </w:rPr>
                    <w:t xml:space="preserve">Single </w:t>
                  </w:r>
                  <w:proofErr w:type="gramStart"/>
                  <w:r w:rsidRPr="005B050B">
                    <w:rPr>
                      <w:rFonts w:ascii="Century Gothic" w:eastAsia="Times New Roman" w:hAnsi="Century Gothic"/>
                    </w:rPr>
                    <w:t>fund</w:t>
                  </w:r>
                  <w:proofErr w:type="gramEnd"/>
                  <w:r w:rsidRPr="005B050B">
                    <w:rPr>
                      <w:rFonts w:ascii="Century Gothic" w:eastAsia="Times New Roman" w:hAnsi="Century Gothic"/>
                    </w:rPr>
                    <w:t xml:space="preserve"> flexibility is made possible by the MTW program. It enables ECC/HANH to make improvements at some of its developments, enables vacancy prep which increases occupancy, enables major redevelopment efforts, continually improves the operational conditions of our RAD sites, and enables provision of services to our residents through the self-sufficiency initiatives including </w:t>
                  </w:r>
                  <w:r w:rsidR="00D47181">
                    <w:rPr>
                      <w:rFonts w:ascii="Century Gothic" w:eastAsia="Times New Roman" w:hAnsi="Century Gothic"/>
                    </w:rPr>
                    <w:t>CARES, Elm City Believes</w:t>
                  </w:r>
                  <w:r w:rsidR="00735565">
                    <w:rPr>
                      <w:rFonts w:ascii="Century Gothic" w:eastAsia="Times New Roman" w:hAnsi="Century Gothic"/>
                    </w:rPr>
                    <w:t xml:space="preserve">, </w:t>
                  </w:r>
                  <w:r w:rsidRPr="005B050B">
                    <w:rPr>
                      <w:rFonts w:ascii="Century Gothic" w:eastAsia="Times New Roman" w:hAnsi="Century Gothic"/>
                    </w:rPr>
                    <w:t>SEHOP Capital Improvement program, Resident Owned Business program, and the Prison Community/Reentry Program as well as the Resident Services for Elderly/Disabled.</w:t>
                  </w:r>
                  <w:r w:rsidRPr="005B050B">
                    <w:rPr>
                      <w:rFonts w:ascii="Century Gothic" w:eastAsia="Times New Roman" w:hAnsi="Century Gothic"/>
                      <w:color w:val="000000" w:themeColor="text1"/>
                    </w:rPr>
                    <w:t xml:space="preserve"> </w:t>
                  </w:r>
                </w:p>
                <w:p w14:paraId="437BECF8" w14:textId="77777777" w:rsidR="00355A44" w:rsidRPr="005B050B" w:rsidRDefault="00355A44" w:rsidP="4B60C82B">
                  <w:pPr>
                    <w:rPr>
                      <w:rFonts w:ascii="Century Gothic" w:eastAsia="Times New Roman" w:hAnsi="Century Gothic"/>
                      <w:color w:val="000000" w:themeColor="text1"/>
                    </w:rPr>
                  </w:pPr>
                </w:p>
                <w:p w14:paraId="6871288D" w14:textId="08DC12BA" w:rsidR="7913D342" w:rsidRPr="005B050B" w:rsidRDefault="6AEF633E" w:rsidP="4B60C82B">
                  <w:pPr>
                    <w:rPr>
                      <w:rFonts w:ascii="Century Gothic" w:eastAsia="Times New Roman" w:hAnsi="Century Gothic"/>
                      <w:color w:val="000000" w:themeColor="text1"/>
                    </w:rPr>
                  </w:pPr>
                  <w:r w:rsidRPr="005B050B">
                    <w:rPr>
                      <w:rFonts w:ascii="Century Gothic" w:eastAsia="Times New Roman" w:hAnsi="Century Gothic"/>
                      <w:color w:val="000000" w:themeColor="text1"/>
                    </w:rPr>
                    <w:t xml:space="preserve">For </w:t>
                  </w:r>
                  <w:r w:rsidR="002B0C27" w:rsidRPr="005B050B">
                    <w:rPr>
                      <w:rFonts w:ascii="Century Gothic" w:eastAsia="Times New Roman" w:hAnsi="Century Gothic"/>
                      <w:color w:val="000000" w:themeColor="text1"/>
                    </w:rPr>
                    <w:t>example,</w:t>
                  </w:r>
                  <w:r w:rsidRPr="005B050B">
                    <w:rPr>
                      <w:rFonts w:ascii="Century Gothic" w:eastAsia="Times New Roman" w:hAnsi="Century Gothic"/>
                      <w:color w:val="000000" w:themeColor="text1"/>
                    </w:rPr>
                    <w:t xml:space="preserve"> </w:t>
                  </w:r>
                  <w:r w:rsidR="33BCF9C7" w:rsidRPr="005B050B">
                    <w:rPr>
                      <w:rFonts w:ascii="Century Gothic" w:eastAsia="Times New Roman" w:hAnsi="Century Gothic"/>
                      <w:color w:val="000000" w:themeColor="text1"/>
                    </w:rPr>
                    <w:t>E</w:t>
                  </w:r>
                  <w:r w:rsidR="50B25C68" w:rsidRPr="005B050B">
                    <w:rPr>
                      <w:rFonts w:ascii="Century Gothic" w:eastAsia="Times New Roman" w:hAnsi="Century Gothic"/>
                      <w:color w:val="000000" w:themeColor="text1"/>
                    </w:rPr>
                    <w:t>CC/HANH</w:t>
                  </w:r>
                  <w:r w:rsidR="5716EE07" w:rsidRPr="005B050B">
                    <w:rPr>
                      <w:rFonts w:ascii="Century Gothic" w:eastAsia="Times New Roman" w:hAnsi="Century Gothic"/>
                      <w:color w:val="000000" w:themeColor="text1"/>
                    </w:rPr>
                    <w:t xml:space="preserve"> spent approximately $</w:t>
                  </w:r>
                  <w:r w:rsidR="6BE23A49" w:rsidRPr="005B050B">
                    <w:rPr>
                      <w:rFonts w:ascii="Century Gothic" w:eastAsia="Times New Roman" w:hAnsi="Century Gothic"/>
                      <w:color w:val="000000" w:themeColor="text1"/>
                    </w:rPr>
                    <w:t>2</w:t>
                  </w:r>
                  <w:r w:rsidR="750668AF" w:rsidRPr="005B050B">
                    <w:rPr>
                      <w:rFonts w:ascii="Century Gothic" w:eastAsia="Times New Roman" w:hAnsi="Century Gothic"/>
                      <w:color w:val="000000" w:themeColor="text1"/>
                    </w:rPr>
                    <w:t>M on its CED program and used most of the remaining excess funds on develo</w:t>
                  </w:r>
                  <w:r w:rsidR="2016ECDF" w:rsidRPr="005B050B">
                    <w:rPr>
                      <w:rFonts w:ascii="Century Gothic" w:eastAsia="Times New Roman" w:hAnsi="Century Gothic"/>
                      <w:color w:val="000000" w:themeColor="text1"/>
                    </w:rPr>
                    <w:t>pment costs</w:t>
                  </w:r>
                  <w:r w:rsidR="2513C2DF" w:rsidRPr="005B050B">
                    <w:rPr>
                      <w:rFonts w:ascii="Century Gothic" w:eastAsia="Times New Roman" w:hAnsi="Century Gothic"/>
                      <w:color w:val="000000" w:themeColor="text1"/>
                    </w:rPr>
                    <w:t>.</w:t>
                  </w:r>
                </w:p>
              </w:tc>
            </w:tr>
          </w:tbl>
          <w:p w14:paraId="7F588C88" w14:textId="2777C8DD" w:rsidR="4566E4F4" w:rsidRPr="005B050B" w:rsidRDefault="4566E4F4" w:rsidP="4566E4F4">
            <w:pPr>
              <w:jc w:val="center"/>
              <w:rPr>
                <w:rFonts w:ascii="Century Gothic" w:eastAsia="MS PGothic" w:hAnsi="Century Gothic"/>
                <w:b/>
                <w:bCs/>
                <w:color w:val="262626" w:themeColor="text1" w:themeTint="D9"/>
                <w:szCs w:val="22"/>
              </w:rPr>
            </w:pPr>
          </w:p>
          <w:p w14:paraId="23F95A79" w14:textId="6FBBCDA6" w:rsidR="4566E4F4" w:rsidRPr="005B050B" w:rsidRDefault="4566E4F4" w:rsidP="003F0D12">
            <w:pPr>
              <w:jc w:val="center"/>
              <w:rPr>
                <w:rFonts w:ascii="Century Gothic" w:eastAsia="Calibri" w:hAnsi="Century Gothic" w:cs="Calibri"/>
                <w:sz w:val="20"/>
                <w:szCs w:val="20"/>
              </w:rPr>
            </w:pPr>
          </w:p>
        </w:tc>
      </w:tr>
    </w:tbl>
    <w:p w14:paraId="1F6BB4A2" w14:textId="78A92574" w:rsidR="001725C7" w:rsidRPr="005B050B" w:rsidRDefault="001725C7" w:rsidP="002D0B3C">
      <w:pPr>
        <w:pStyle w:val="Body1"/>
        <w:framePr w:wrap="around"/>
        <w:rPr>
          <w:rFonts w:ascii="Century Gothic" w:hAnsi="Century Gothic"/>
        </w:rPr>
      </w:pPr>
    </w:p>
    <w:p w14:paraId="46567260" w14:textId="77777777" w:rsidR="004C01D8" w:rsidRPr="005B050B" w:rsidRDefault="004C01D8" w:rsidP="4566E4F4">
      <w:pPr>
        <w:spacing w:after="160" w:line="276" w:lineRule="auto"/>
        <w:rPr>
          <w:rFonts w:ascii="Century Gothic" w:hAnsi="Century Gothic"/>
          <w:b/>
          <w:bCs/>
        </w:rPr>
      </w:pPr>
    </w:p>
    <w:p w14:paraId="0020F199" w14:textId="77777777" w:rsidR="00355A44" w:rsidRDefault="00355A44" w:rsidP="4566E4F4">
      <w:pPr>
        <w:spacing w:after="160" w:line="276" w:lineRule="auto"/>
        <w:rPr>
          <w:rFonts w:ascii="Century Gothic" w:hAnsi="Century Gothic"/>
          <w:b/>
          <w:bCs/>
        </w:rPr>
      </w:pPr>
    </w:p>
    <w:p w14:paraId="34D3822F" w14:textId="77777777" w:rsidR="0074452B" w:rsidRDefault="0074452B" w:rsidP="4566E4F4">
      <w:pPr>
        <w:spacing w:after="160" w:line="276" w:lineRule="auto"/>
        <w:rPr>
          <w:rFonts w:ascii="Century Gothic" w:hAnsi="Century Gothic"/>
          <w:b/>
          <w:bCs/>
        </w:rPr>
      </w:pPr>
    </w:p>
    <w:p w14:paraId="69EC0628" w14:textId="77777777" w:rsidR="0074452B" w:rsidRDefault="0074452B" w:rsidP="4566E4F4">
      <w:pPr>
        <w:spacing w:after="160" w:line="276" w:lineRule="auto"/>
        <w:rPr>
          <w:rFonts w:ascii="Century Gothic" w:hAnsi="Century Gothic"/>
          <w:b/>
          <w:bCs/>
        </w:rPr>
      </w:pPr>
    </w:p>
    <w:p w14:paraId="5C8A6AC7" w14:textId="77777777" w:rsidR="0074452B" w:rsidRDefault="0074452B" w:rsidP="4566E4F4">
      <w:pPr>
        <w:spacing w:after="160" w:line="276" w:lineRule="auto"/>
        <w:rPr>
          <w:rFonts w:ascii="Century Gothic" w:hAnsi="Century Gothic"/>
          <w:b/>
          <w:bCs/>
        </w:rPr>
      </w:pPr>
    </w:p>
    <w:p w14:paraId="71C52FEF" w14:textId="77777777" w:rsidR="0074452B" w:rsidRPr="005B050B" w:rsidRDefault="0074452B" w:rsidP="4566E4F4">
      <w:pPr>
        <w:spacing w:after="160" w:line="276" w:lineRule="auto"/>
        <w:rPr>
          <w:rFonts w:ascii="Century Gothic" w:hAnsi="Century Gothic"/>
          <w:b/>
          <w:bCs/>
        </w:rPr>
      </w:pPr>
    </w:p>
    <w:p w14:paraId="78BCC922" w14:textId="77777777" w:rsidR="00355A44" w:rsidRPr="005B050B" w:rsidRDefault="00355A44" w:rsidP="4566E4F4">
      <w:pPr>
        <w:spacing w:after="160" w:line="276" w:lineRule="auto"/>
        <w:rPr>
          <w:rFonts w:ascii="Century Gothic" w:hAnsi="Century Gothic"/>
          <w:b/>
          <w:bCs/>
        </w:rPr>
      </w:pPr>
    </w:p>
    <w:p w14:paraId="3A149184" w14:textId="2520EB53" w:rsidR="001725C7" w:rsidRDefault="001725C7" w:rsidP="002D0B3C">
      <w:pPr>
        <w:pStyle w:val="Body1"/>
        <w:framePr w:wrap="around"/>
        <w:rPr>
          <w:rFonts w:asciiTheme="minorHAnsi" w:eastAsiaTheme="minorEastAsia" w:hAnsiTheme="minorHAnsi" w:cstheme="minorBidi"/>
          <w:sz w:val="22"/>
          <w:szCs w:val="22"/>
        </w:rPr>
      </w:pPr>
      <w:r w:rsidRPr="4566E4F4">
        <w:lastRenderedPageBreak/>
        <w:br w:type="page"/>
      </w:r>
    </w:p>
    <w:p w14:paraId="0DECAE5A" w14:textId="6361EEE3" w:rsidR="1C28A9AA" w:rsidRPr="00DB1167" w:rsidRDefault="05C9F20B" w:rsidP="492303B8">
      <w:pPr>
        <w:keepNext/>
        <w:spacing w:before="120" w:after="80"/>
        <w:outlineLvl w:val="3"/>
        <w:rPr>
          <w:rFonts w:ascii="Century Gothic" w:eastAsia="Times New Roman" w:hAnsi="Century Gothic"/>
          <w:b/>
          <w:bCs/>
        </w:rPr>
      </w:pPr>
      <w:r w:rsidRPr="00DB1167">
        <w:rPr>
          <w:rFonts w:ascii="Century Gothic" w:eastAsia="Times New Roman" w:hAnsi="Century Gothic"/>
          <w:b/>
          <w:bCs/>
        </w:rPr>
        <w:t>Activities Requiring Funding Flexibility Only</w:t>
      </w:r>
    </w:p>
    <w:p w14:paraId="4D6D6E07" w14:textId="77777777" w:rsidR="00722CA7" w:rsidRPr="00DB1167" w:rsidRDefault="00722CA7" w:rsidP="492303B8">
      <w:pPr>
        <w:keepNext/>
        <w:spacing w:before="120" w:after="80"/>
        <w:outlineLvl w:val="3"/>
        <w:rPr>
          <w:rFonts w:ascii="Century Gothic" w:eastAsia="Times New Roman" w:hAnsi="Century Gothic"/>
          <w:b/>
          <w:bCs/>
        </w:rPr>
      </w:pPr>
    </w:p>
    <w:p w14:paraId="21F2BC22" w14:textId="77777777" w:rsidR="00722CA7" w:rsidRPr="00DB1167" w:rsidRDefault="00722CA7" w:rsidP="00722CA7">
      <w:pPr>
        <w:pStyle w:val="MTWHeader2"/>
        <w:rPr>
          <w:rFonts w:ascii="Century Gothic" w:hAnsi="Century Gothic" w:cs="Times New Roman"/>
          <w:sz w:val="22"/>
          <w:szCs w:val="22"/>
        </w:rPr>
      </w:pPr>
      <w:r w:rsidRPr="00DB1167">
        <w:rPr>
          <w:rFonts w:ascii="Century Gothic" w:hAnsi="Century Gothic" w:cs="Times New Roman"/>
          <w:sz w:val="22"/>
          <w:szCs w:val="22"/>
        </w:rPr>
        <w:t>Initiative 1.25F - Vacancy Reduction</w:t>
      </w:r>
    </w:p>
    <w:p w14:paraId="782839C4" w14:textId="77777777" w:rsidR="00722CA7" w:rsidRPr="00DB1167" w:rsidRDefault="00722CA7" w:rsidP="00722CA7">
      <w:pPr>
        <w:rPr>
          <w:rFonts w:ascii="Century Gothic" w:hAnsi="Century Gothic"/>
        </w:rPr>
      </w:pPr>
      <w:r w:rsidRPr="00DB1167">
        <w:rPr>
          <w:rFonts w:ascii="Century Gothic" w:hAnsi="Century Gothic"/>
        </w:rPr>
        <w:t xml:space="preserve">Implemented in FY08. </w:t>
      </w:r>
    </w:p>
    <w:p w14:paraId="3A3D171B" w14:textId="77777777" w:rsidR="00722CA7" w:rsidRPr="00DB1167" w:rsidRDefault="00722CA7" w:rsidP="00722CA7">
      <w:pPr>
        <w:rPr>
          <w:rFonts w:ascii="Century Gothic" w:eastAsiaTheme="majorEastAsia" w:hAnsi="Century Gothic"/>
        </w:rPr>
      </w:pPr>
    </w:p>
    <w:p w14:paraId="54AC26DF" w14:textId="77777777" w:rsidR="00722CA7" w:rsidRPr="00DB1167" w:rsidRDefault="00722CA7" w:rsidP="00722CA7">
      <w:pPr>
        <w:pStyle w:val="Heading4"/>
        <w:rPr>
          <w:rFonts w:ascii="Century Gothic" w:hAnsi="Century Gothic" w:cs="Times New Roman"/>
        </w:rPr>
      </w:pPr>
      <w:r w:rsidRPr="00DB1167">
        <w:rPr>
          <w:rFonts w:ascii="Century Gothic" w:hAnsi="Century Gothic" w:cs="Times New Roman"/>
        </w:rPr>
        <w:t>Description</w:t>
      </w:r>
    </w:p>
    <w:p w14:paraId="6B5C1E76" w14:textId="089B66D7" w:rsidR="00722CA7" w:rsidRPr="00DB1167" w:rsidRDefault="00722CA7" w:rsidP="00722CA7">
      <w:pPr>
        <w:rPr>
          <w:rFonts w:ascii="Century Gothic" w:hAnsi="Century Gothic"/>
        </w:rPr>
      </w:pPr>
      <w:r w:rsidRPr="00DB1167">
        <w:rPr>
          <w:rFonts w:ascii="Century Gothic" w:hAnsi="Century Gothic"/>
        </w:rPr>
        <w:t xml:space="preserve">ECC/HANH currently uses the funding flexibility to reduce vacancy by performing more unit turnover. To reduce </w:t>
      </w:r>
      <w:r w:rsidR="00427BA6" w:rsidRPr="00DB1167">
        <w:rPr>
          <w:rFonts w:ascii="Century Gothic" w:hAnsi="Century Gothic"/>
        </w:rPr>
        <w:t>vacancies</w:t>
      </w:r>
      <w:r w:rsidRPr="00DB1167">
        <w:rPr>
          <w:rFonts w:ascii="Century Gothic" w:hAnsi="Century Gothic"/>
        </w:rPr>
        <w:t xml:space="preserve">, ECC/HANH has set a standard </w:t>
      </w:r>
      <w:proofErr w:type="gramStart"/>
      <w:r w:rsidRPr="00DB1167">
        <w:rPr>
          <w:rFonts w:ascii="Century Gothic" w:hAnsi="Century Gothic"/>
        </w:rPr>
        <w:t>time period</w:t>
      </w:r>
      <w:proofErr w:type="gramEnd"/>
      <w:r w:rsidRPr="00DB1167">
        <w:rPr>
          <w:rFonts w:ascii="Century Gothic" w:hAnsi="Century Gothic"/>
        </w:rPr>
        <w:t xml:space="preserve"> for unit turns by bedroom size. Typically, a 0- or 1-bedroom unit turn</w:t>
      </w:r>
      <w:r w:rsidR="00026ADF" w:rsidRPr="00DB1167">
        <w:rPr>
          <w:rFonts w:ascii="Century Gothic" w:hAnsi="Century Gothic"/>
        </w:rPr>
        <w:t>over</w:t>
      </w:r>
      <w:r w:rsidRPr="00DB1167">
        <w:rPr>
          <w:rFonts w:ascii="Century Gothic" w:hAnsi="Century Gothic"/>
        </w:rPr>
        <w:t xml:space="preserve"> should occur within a 1-week period. A larger 3 to 5-bedroom unit may take up to 30-45 days depending on the condition of the unit, particularly if hazardous materials such as asbestos or lead have been found in the unit. MTW funding allows ECC/HANH to bulk, abate hazardous materials, renovate the unit, and manage all administrative functions supporting vacancy reduction. </w:t>
      </w:r>
    </w:p>
    <w:p w14:paraId="480992D2" w14:textId="77777777" w:rsidR="00722CA7" w:rsidRPr="00DB1167" w:rsidRDefault="00722CA7" w:rsidP="00722CA7">
      <w:pPr>
        <w:rPr>
          <w:rFonts w:ascii="Century Gothic" w:hAnsi="Century Gothic"/>
        </w:rPr>
      </w:pPr>
    </w:p>
    <w:p w14:paraId="3252692B" w14:textId="77777777" w:rsidR="00722CA7" w:rsidRPr="00DB1167" w:rsidRDefault="00722CA7" w:rsidP="00722CA7">
      <w:pPr>
        <w:pStyle w:val="Heading4"/>
        <w:rPr>
          <w:rFonts w:ascii="Century Gothic" w:hAnsi="Century Gothic" w:cs="Times New Roman"/>
        </w:rPr>
      </w:pPr>
      <w:r w:rsidRPr="00DB1167">
        <w:rPr>
          <w:rFonts w:ascii="Century Gothic" w:hAnsi="Century Gothic" w:cs="Times New Roman"/>
        </w:rPr>
        <w:t>Impact</w:t>
      </w:r>
    </w:p>
    <w:p w14:paraId="1E995929" w14:textId="5C50FFBA" w:rsidR="00722CA7" w:rsidRPr="00DB1167" w:rsidRDefault="00722CA7" w:rsidP="00722CA7">
      <w:pPr>
        <w:rPr>
          <w:rFonts w:ascii="Century Gothic" w:eastAsia="Calibri" w:hAnsi="Century Gothic"/>
        </w:rPr>
      </w:pPr>
      <w:r w:rsidRPr="00DB1167">
        <w:rPr>
          <w:rFonts w:ascii="Century Gothic" w:hAnsi="Century Gothic"/>
        </w:rPr>
        <w:t>During FY2024 a total of</w:t>
      </w:r>
      <w:r w:rsidR="00A6091B" w:rsidRPr="00DB1167">
        <w:rPr>
          <w:rFonts w:ascii="Century Gothic" w:hAnsi="Century Gothic"/>
        </w:rPr>
        <w:t xml:space="preserve"> </w:t>
      </w:r>
      <w:r w:rsidRPr="00DB1167">
        <w:rPr>
          <w:rFonts w:ascii="Century Gothic" w:hAnsi="Century Gothic"/>
        </w:rPr>
        <w:t xml:space="preserve">91 LIPH unit vacancy turnovers were completed ending the year with an occupancy rate of   97%. </w:t>
      </w:r>
      <w:r w:rsidRPr="00DB1167">
        <w:rPr>
          <w:rFonts w:ascii="Century Gothic" w:eastAsia="Calibri" w:hAnsi="Century Gothic"/>
        </w:rPr>
        <w:t xml:space="preserve"> </w:t>
      </w:r>
    </w:p>
    <w:p w14:paraId="7BFE38C2" w14:textId="77777777" w:rsidR="00722CA7" w:rsidRPr="00DB1167" w:rsidRDefault="00722CA7" w:rsidP="00722CA7">
      <w:pPr>
        <w:rPr>
          <w:rFonts w:ascii="Century Gothic" w:eastAsia="Times New Roman" w:hAnsi="Century Gothic"/>
          <w:szCs w:val="22"/>
        </w:rPr>
      </w:pPr>
    </w:p>
    <w:p w14:paraId="78F51221" w14:textId="3DE3A111" w:rsidR="000235D8" w:rsidRDefault="00722CA7" w:rsidP="00722CA7">
      <w:pPr>
        <w:rPr>
          <w:rFonts w:ascii="Century Gothic" w:eastAsia="Times New Roman" w:hAnsi="Century Gothic"/>
        </w:rPr>
      </w:pPr>
      <w:r w:rsidRPr="3743D8DA">
        <w:rPr>
          <w:rFonts w:ascii="Century Gothic" w:eastAsia="Times New Roman" w:hAnsi="Century Gothic"/>
        </w:rPr>
        <w:t xml:space="preserve">Elm City Communities is undergoing redevelopment and modernization of significant numbers of units which </w:t>
      </w:r>
      <w:r w:rsidR="00427BA6" w:rsidRPr="3743D8DA">
        <w:rPr>
          <w:rFonts w:ascii="Century Gothic" w:eastAsia="Times New Roman" w:hAnsi="Century Gothic"/>
        </w:rPr>
        <w:t>require</w:t>
      </w:r>
      <w:r w:rsidRPr="3743D8DA">
        <w:rPr>
          <w:rFonts w:ascii="Century Gothic" w:eastAsia="Times New Roman" w:hAnsi="Century Gothic"/>
        </w:rPr>
        <w:t xml:space="preserve"> a major scale resident relocation.  In FY2024 ECC/HANH continued to utilize the funding flexibility to effectuate its redevelopment efforts in which parts of the portfolio needed significant rehabilitation. </w:t>
      </w:r>
    </w:p>
    <w:p w14:paraId="2BC6EDB3" w14:textId="77777777" w:rsidR="0071116A" w:rsidRDefault="0071116A" w:rsidP="00722CA7">
      <w:pPr>
        <w:rPr>
          <w:rFonts w:ascii="Century Gothic" w:eastAsia="Times New Roman" w:hAnsi="Century Gothic"/>
        </w:rPr>
      </w:pPr>
    </w:p>
    <w:p w14:paraId="62D45386" w14:textId="51D6DB22" w:rsidR="00722CA7" w:rsidRPr="00DB1167" w:rsidRDefault="00722CA7" w:rsidP="00722CA7">
      <w:pPr>
        <w:rPr>
          <w:rFonts w:ascii="Century Gothic" w:eastAsia="Calibri" w:hAnsi="Century Gothic"/>
        </w:rPr>
      </w:pPr>
      <w:r w:rsidRPr="3743D8DA">
        <w:rPr>
          <w:rFonts w:ascii="Century Gothic" w:eastAsia="Times New Roman" w:hAnsi="Century Gothic"/>
        </w:rPr>
        <w:t xml:space="preserve">As we will not house relocation residents in units that are substandard, some </w:t>
      </w:r>
      <w:proofErr w:type="gramStart"/>
      <w:r w:rsidRPr="3743D8DA">
        <w:rPr>
          <w:rFonts w:ascii="Century Gothic" w:eastAsia="Times New Roman" w:hAnsi="Century Gothic"/>
        </w:rPr>
        <w:t>vacancy</w:t>
      </w:r>
      <w:proofErr w:type="gramEnd"/>
      <w:r w:rsidRPr="3743D8DA">
        <w:rPr>
          <w:rFonts w:ascii="Century Gothic" w:eastAsia="Times New Roman" w:hAnsi="Century Gothic"/>
        </w:rPr>
        <w:t xml:space="preserve"> dollars were used to prepare the vacant unit for the relocated residents.  Turning a unit that is scheduled for redevelopment is an inefficient use of limited federal dollars.  As such, we are balancing our redevelopment plan with our agency-wide vacancy </w:t>
      </w:r>
      <w:r w:rsidRPr="0071116A">
        <w:rPr>
          <w:rFonts w:ascii="Century Gothic" w:eastAsia="Times New Roman" w:hAnsi="Century Gothic"/>
        </w:rPr>
        <w:t xml:space="preserve">reduction efforts.  </w:t>
      </w:r>
      <w:r w:rsidR="0071116A">
        <w:rPr>
          <w:rFonts w:ascii="Century Gothic" w:eastAsia="Times New Roman" w:hAnsi="Century Gothic"/>
        </w:rPr>
        <w:t>In FY2404, ECC/HANH turned over 103 vacant units and</w:t>
      </w:r>
      <w:r w:rsidR="009A222A">
        <w:rPr>
          <w:rFonts w:ascii="Century Gothic" w:eastAsia="Times New Roman" w:hAnsi="Century Gothic"/>
        </w:rPr>
        <w:t xml:space="preserve"> </w:t>
      </w:r>
      <w:r w:rsidR="0071116A" w:rsidRPr="0071116A">
        <w:rPr>
          <w:rFonts w:ascii="Century Gothic" w:eastAsia="Times New Roman" w:hAnsi="Century Gothic"/>
        </w:rPr>
        <w:t>$</w:t>
      </w:r>
      <w:r w:rsidR="74194321" w:rsidRPr="0071116A">
        <w:rPr>
          <w:rFonts w:ascii="Century Gothic" w:eastAsia="Calibri" w:hAnsi="Century Gothic"/>
        </w:rPr>
        <w:t>285,69</w:t>
      </w:r>
      <w:r w:rsidR="11DD65FB" w:rsidRPr="0071116A">
        <w:rPr>
          <w:rFonts w:ascii="Century Gothic" w:eastAsia="Calibri" w:hAnsi="Century Gothic"/>
        </w:rPr>
        <w:t>0</w:t>
      </w:r>
      <w:r w:rsidRPr="0071116A">
        <w:rPr>
          <w:rFonts w:ascii="Century Gothic" w:eastAsia="Calibri" w:hAnsi="Century Gothic"/>
        </w:rPr>
        <w:t>.00 in</w:t>
      </w:r>
      <w:r w:rsidRPr="3743D8DA">
        <w:rPr>
          <w:rFonts w:ascii="Century Gothic" w:eastAsia="Calibri" w:hAnsi="Century Gothic"/>
        </w:rPr>
        <w:t xml:space="preserve"> MTW funds were spent for Vacancy reduction.</w:t>
      </w:r>
    </w:p>
    <w:p w14:paraId="06952F00" w14:textId="77777777" w:rsidR="00722CA7" w:rsidRPr="00DB1167" w:rsidRDefault="00722CA7" w:rsidP="00722CA7">
      <w:pPr>
        <w:rPr>
          <w:rFonts w:ascii="Century Gothic" w:eastAsia="MS PGothic" w:hAnsi="Century Gothic"/>
          <w:szCs w:val="22"/>
        </w:rPr>
      </w:pPr>
    </w:p>
    <w:p w14:paraId="2438B505" w14:textId="77777777" w:rsidR="00722CA7" w:rsidRPr="00DB1167" w:rsidRDefault="00722CA7" w:rsidP="00722CA7">
      <w:pPr>
        <w:rPr>
          <w:rFonts w:ascii="Century Gothic" w:eastAsia="Times New Roman" w:hAnsi="Century Gothic"/>
        </w:rPr>
      </w:pPr>
      <w:r w:rsidRPr="00DB1167">
        <w:rPr>
          <w:rFonts w:ascii="Century Gothic" w:eastAsia="Times New Roman" w:hAnsi="Century Gothic"/>
        </w:rPr>
        <w:t>Elm City Communities is committed to reducing its vacancies and increasing its occupancy percentage.</w:t>
      </w:r>
    </w:p>
    <w:p w14:paraId="2E854620" w14:textId="77777777" w:rsidR="00722CA7" w:rsidRPr="00DB1167" w:rsidRDefault="00722CA7" w:rsidP="00722CA7">
      <w:pPr>
        <w:rPr>
          <w:rFonts w:ascii="Century Gothic" w:eastAsia="Calibri" w:hAnsi="Century Gothic"/>
        </w:rPr>
      </w:pPr>
    </w:p>
    <w:p w14:paraId="49E01423" w14:textId="77777777" w:rsidR="00722CA7" w:rsidRPr="00DB1167" w:rsidRDefault="00722CA7" w:rsidP="00722CA7">
      <w:pPr>
        <w:rPr>
          <w:rFonts w:ascii="Century Gothic" w:eastAsia="Calibri" w:hAnsi="Century Gothic"/>
        </w:rPr>
      </w:pPr>
      <w:r w:rsidRPr="00DB1167">
        <w:rPr>
          <w:rFonts w:ascii="Century Gothic" w:eastAsia="Calibri" w:hAnsi="Century Gothic"/>
        </w:rPr>
        <w:t xml:space="preserve">ECC/HANH LIPH portfolio continued to include some developments slated for redevelopment so although our vacancy turn work was helpful for overall building inspection scores, the inclusion in the portfolio of these developments in need of investment depressed the average scores. </w:t>
      </w:r>
    </w:p>
    <w:p w14:paraId="34716CBD" w14:textId="77777777" w:rsidR="00722CA7" w:rsidRPr="00DB1167" w:rsidRDefault="00722CA7" w:rsidP="00722CA7">
      <w:pPr>
        <w:pStyle w:val="Heading4"/>
        <w:rPr>
          <w:rFonts w:ascii="Century Gothic" w:hAnsi="Century Gothic" w:cs="Times New Roman"/>
        </w:rPr>
      </w:pPr>
    </w:p>
    <w:p w14:paraId="7E656952" w14:textId="77777777" w:rsidR="00722CA7" w:rsidRPr="00DB1167" w:rsidRDefault="00722CA7" w:rsidP="00722CA7">
      <w:pPr>
        <w:pStyle w:val="Heading4"/>
        <w:rPr>
          <w:rFonts w:ascii="Century Gothic" w:hAnsi="Century Gothic" w:cs="Times New Roman"/>
        </w:rPr>
      </w:pPr>
      <w:r w:rsidRPr="00DB1167">
        <w:rPr>
          <w:rFonts w:ascii="Century Gothic" w:hAnsi="Century Gothic" w:cs="Times New Roman"/>
        </w:rPr>
        <w:t>Outcomes*</w:t>
      </w:r>
    </w:p>
    <w:p w14:paraId="138666C1" w14:textId="6C1AB500" w:rsidR="00722CA7" w:rsidRPr="00DB1167" w:rsidRDefault="00AD3E94" w:rsidP="00722CA7">
      <w:pPr>
        <w:rPr>
          <w:rFonts w:ascii="Century Gothic" w:hAnsi="Century Gothic"/>
          <w:b/>
          <w:bCs/>
        </w:rPr>
      </w:pPr>
      <w:r>
        <w:rPr>
          <w:rFonts w:ascii="Century Gothic" w:hAnsi="Century Gothic"/>
          <w:b/>
          <w:bCs/>
        </w:rPr>
        <w:t>Internal</w:t>
      </w:r>
      <w:r w:rsidR="00722CA7" w:rsidRPr="00DB1167">
        <w:rPr>
          <w:rFonts w:ascii="Century Gothic" w:hAnsi="Century Gothic"/>
          <w:b/>
          <w:bCs/>
        </w:rPr>
        <w:t xml:space="preserve"> Metrics</w:t>
      </w:r>
    </w:p>
    <w:p w14:paraId="2620A63F" w14:textId="77777777" w:rsidR="00722CA7" w:rsidRPr="00DB1167" w:rsidRDefault="00722CA7" w:rsidP="00722CA7">
      <w:pPr>
        <w:rPr>
          <w:rFonts w:ascii="Century Gothic" w:hAnsi="Century Gothic"/>
          <w:b/>
          <w:bCs/>
        </w:rPr>
      </w:pPr>
    </w:p>
    <w:tbl>
      <w:tblPr>
        <w:tblStyle w:val="TableGrid7"/>
        <w:tblW w:w="0" w:type="auto"/>
        <w:tblLook w:val="04A0" w:firstRow="1" w:lastRow="0" w:firstColumn="1" w:lastColumn="0" w:noHBand="0" w:noVBand="1"/>
      </w:tblPr>
      <w:tblGrid>
        <w:gridCol w:w="2335"/>
        <w:gridCol w:w="1530"/>
        <w:gridCol w:w="1620"/>
        <w:gridCol w:w="2250"/>
        <w:gridCol w:w="2070"/>
      </w:tblGrid>
      <w:tr w:rsidR="00722CA7" w:rsidRPr="00DB1167" w14:paraId="2559CA26" w14:textId="77777777" w:rsidTr="3743D8DA">
        <w:trPr>
          <w:trHeight w:val="400"/>
        </w:trPr>
        <w:tc>
          <w:tcPr>
            <w:tcW w:w="9805" w:type="dxa"/>
            <w:gridSpan w:val="5"/>
            <w:tcBorders>
              <w:top w:val="nil"/>
              <w:left w:val="nil"/>
              <w:bottom w:val="single" w:sz="24" w:space="0" w:color="B5333C" w:themeColor="accent2"/>
              <w:right w:val="nil"/>
            </w:tcBorders>
            <w:shd w:val="clear" w:color="auto" w:fill="808080" w:themeFill="background1" w:themeFillShade="80"/>
          </w:tcPr>
          <w:p w14:paraId="4D969833" w14:textId="2ECEF300" w:rsidR="00722CA7" w:rsidRPr="00DB1167" w:rsidRDefault="00AD3E94">
            <w:pPr>
              <w:jc w:val="center"/>
              <w:rPr>
                <w:rFonts w:ascii="Century Gothic" w:hAnsi="Century Gothic"/>
                <w:b/>
                <w:bCs/>
              </w:rPr>
            </w:pPr>
            <w:r>
              <w:rPr>
                <w:rFonts w:ascii="Century Gothic" w:hAnsi="Century Gothic"/>
                <w:b/>
                <w:bCs/>
              </w:rPr>
              <w:t xml:space="preserve">Internal Metric #1: </w:t>
            </w:r>
            <w:r w:rsidR="00722CA7" w:rsidRPr="00DB1167">
              <w:rPr>
                <w:rFonts w:ascii="Century Gothic" w:hAnsi="Century Gothic"/>
                <w:b/>
                <w:bCs/>
              </w:rPr>
              <w:t>Units of Housing Preserved</w:t>
            </w:r>
          </w:p>
        </w:tc>
      </w:tr>
      <w:tr w:rsidR="00722CA7" w:rsidRPr="00DB1167" w14:paraId="62535DC2" w14:textId="77777777" w:rsidTr="3743D8DA">
        <w:trPr>
          <w:trHeight w:val="340"/>
        </w:trPr>
        <w:tc>
          <w:tcPr>
            <w:tcW w:w="2335"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0ACE3AF" w14:textId="77777777" w:rsidR="00722CA7" w:rsidRPr="00DB1167" w:rsidRDefault="00722CA7">
            <w:pPr>
              <w:jc w:val="center"/>
              <w:rPr>
                <w:rFonts w:ascii="Century Gothic" w:hAnsi="Century Gothic"/>
                <w:b/>
                <w:bCs/>
              </w:rPr>
            </w:pPr>
            <w:r w:rsidRPr="00DB1167">
              <w:rPr>
                <w:rFonts w:ascii="Century Gothic" w:hAnsi="Century Gothic"/>
                <w:b/>
                <w:bCs/>
              </w:rPr>
              <w:t>Unit of Measurement</w:t>
            </w:r>
          </w:p>
        </w:tc>
        <w:tc>
          <w:tcPr>
            <w:tcW w:w="153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3A755D1" w14:textId="77777777" w:rsidR="00722CA7" w:rsidRPr="00DB1167" w:rsidRDefault="00722CA7">
            <w:pPr>
              <w:jc w:val="center"/>
              <w:rPr>
                <w:rFonts w:ascii="Century Gothic" w:hAnsi="Century Gothic"/>
                <w:b/>
                <w:bCs/>
              </w:rPr>
            </w:pPr>
            <w:r w:rsidRPr="00DB1167">
              <w:rPr>
                <w:rFonts w:ascii="Century Gothic" w:hAnsi="Century Gothic"/>
                <w:b/>
                <w:bCs/>
              </w:rPr>
              <w:t>Baseline</w:t>
            </w:r>
          </w:p>
        </w:tc>
        <w:tc>
          <w:tcPr>
            <w:tcW w:w="162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593F0F8" w14:textId="77777777" w:rsidR="00722CA7" w:rsidRPr="00DB1167" w:rsidRDefault="00722CA7">
            <w:pPr>
              <w:jc w:val="center"/>
              <w:rPr>
                <w:rFonts w:ascii="Century Gothic" w:hAnsi="Century Gothic"/>
                <w:b/>
                <w:bCs/>
              </w:rPr>
            </w:pPr>
            <w:r w:rsidRPr="00DB1167">
              <w:rPr>
                <w:rFonts w:ascii="Century Gothic" w:hAnsi="Century Gothic"/>
                <w:b/>
                <w:bCs/>
              </w:rPr>
              <w:t>Benchmark</w:t>
            </w:r>
          </w:p>
        </w:tc>
        <w:tc>
          <w:tcPr>
            <w:tcW w:w="2250"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790285A" w14:textId="77777777" w:rsidR="00722CA7" w:rsidRPr="00DB1167" w:rsidRDefault="00722CA7">
            <w:pPr>
              <w:jc w:val="center"/>
              <w:rPr>
                <w:rFonts w:ascii="Century Gothic" w:hAnsi="Century Gothic"/>
                <w:b/>
                <w:bCs/>
              </w:rPr>
            </w:pPr>
            <w:r w:rsidRPr="00DB1167">
              <w:rPr>
                <w:rFonts w:ascii="Century Gothic" w:hAnsi="Century Gothic"/>
                <w:b/>
                <w:bCs/>
              </w:rPr>
              <w:t>Outcome</w:t>
            </w:r>
          </w:p>
        </w:tc>
        <w:tc>
          <w:tcPr>
            <w:tcW w:w="2070"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tcPr>
          <w:p w14:paraId="5068DF82" w14:textId="77777777" w:rsidR="00722CA7" w:rsidRPr="00DB1167" w:rsidRDefault="00722CA7">
            <w:pPr>
              <w:jc w:val="center"/>
              <w:rPr>
                <w:rFonts w:ascii="Century Gothic" w:hAnsi="Century Gothic"/>
                <w:b/>
                <w:bCs/>
              </w:rPr>
            </w:pPr>
            <w:r w:rsidRPr="00DB1167">
              <w:rPr>
                <w:rFonts w:ascii="Century Gothic" w:hAnsi="Century Gothic"/>
                <w:b/>
                <w:bCs/>
              </w:rPr>
              <w:t>Benchmark Achieved?</w:t>
            </w:r>
          </w:p>
        </w:tc>
      </w:tr>
      <w:tr w:rsidR="00722CA7" w:rsidRPr="00DB1167" w14:paraId="4915ADD8" w14:textId="77777777" w:rsidTr="3743D8DA">
        <w:trPr>
          <w:trHeight w:val="920"/>
        </w:trPr>
        <w:tc>
          <w:tcPr>
            <w:tcW w:w="233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3340CC05" w14:textId="77777777" w:rsidR="00722CA7" w:rsidRPr="00DB1167" w:rsidRDefault="00722CA7">
            <w:pPr>
              <w:rPr>
                <w:rFonts w:ascii="Century Gothic" w:hAnsi="Century Gothic"/>
              </w:rPr>
            </w:pPr>
            <w:r w:rsidRPr="00DB1167">
              <w:rPr>
                <w:rFonts w:ascii="Century Gothic" w:hAnsi="Century Gothic"/>
              </w:rPr>
              <w:t xml:space="preserve">Number of housing units </w:t>
            </w:r>
            <w:proofErr w:type="gramStart"/>
            <w:r w:rsidRPr="00DB1167">
              <w:rPr>
                <w:rFonts w:ascii="Century Gothic" w:hAnsi="Century Gothic"/>
              </w:rPr>
              <w:t>preserved</w:t>
            </w:r>
            <w:proofErr w:type="gramEnd"/>
            <w:r w:rsidRPr="00DB1167">
              <w:rPr>
                <w:rFonts w:ascii="Century Gothic" w:hAnsi="Century Gothic"/>
              </w:rPr>
              <w:t xml:space="preserve"> for households at or </w:t>
            </w:r>
            <w:r w:rsidRPr="00DB1167">
              <w:rPr>
                <w:rFonts w:ascii="Century Gothic" w:hAnsi="Century Gothic"/>
              </w:rPr>
              <w:lastRenderedPageBreak/>
              <w:t>below 80% AMI that would otherwise not be available</w:t>
            </w:r>
          </w:p>
        </w:tc>
        <w:tc>
          <w:tcPr>
            <w:tcW w:w="1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DFAEE9" w14:textId="77777777" w:rsidR="00722CA7" w:rsidRPr="00DB1167" w:rsidRDefault="00722CA7">
            <w:pPr>
              <w:rPr>
                <w:rFonts w:ascii="Century Gothic" w:hAnsi="Century Gothic"/>
              </w:rPr>
            </w:pPr>
            <w:r w:rsidRPr="00DB1167">
              <w:rPr>
                <w:rFonts w:ascii="Century Gothic" w:hAnsi="Century Gothic"/>
              </w:rPr>
              <w:lastRenderedPageBreak/>
              <w:t>1,970 units (frozen 2001 base)</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460B58" w14:textId="77777777" w:rsidR="00722CA7" w:rsidRPr="00DB1167" w:rsidRDefault="00722CA7">
            <w:pPr>
              <w:rPr>
                <w:rFonts w:ascii="Century Gothic" w:hAnsi="Century Gothic"/>
              </w:rPr>
            </w:pPr>
            <w:r w:rsidRPr="00DB1167">
              <w:rPr>
                <w:rFonts w:ascii="Century Gothic" w:hAnsi="Century Gothic"/>
              </w:rPr>
              <w:t xml:space="preserve">No more than a decrease of </w:t>
            </w:r>
            <w:r w:rsidRPr="00DB1167">
              <w:rPr>
                <w:rFonts w:ascii="Century Gothic" w:hAnsi="Century Gothic"/>
              </w:rPr>
              <w:lastRenderedPageBreak/>
              <w:t>5% from previous year</w:t>
            </w:r>
          </w:p>
        </w:tc>
        <w:tc>
          <w:tcPr>
            <w:tcW w:w="22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834805" w14:textId="4D0C2FA5" w:rsidR="00D472C4" w:rsidRPr="00DB1167" w:rsidRDefault="00D472C4" w:rsidP="00D472C4">
            <w:pPr>
              <w:rPr>
                <w:rFonts w:ascii="Century Gothic" w:hAnsi="Century Gothic"/>
              </w:rPr>
            </w:pPr>
            <w:r w:rsidRPr="00DB1167">
              <w:rPr>
                <w:rFonts w:ascii="Century Gothic" w:hAnsi="Century Gothic"/>
              </w:rPr>
              <w:lastRenderedPageBreak/>
              <w:t>2024</w:t>
            </w:r>
            <w:r w:rsidR="00AD3E94">
              <w:rPr>
                <w:rFonts w:ascii="Century Gothic" w:hAnsi="Century Gothic"/>
              </w:rPr>
              <w:t xml:space="preserve">: </w:t>
            </w:r>
            <w:r w:rsidR="00AD3E94" w:rsidRPr="00DB1167">
              <w:rPr>
                <w:rFonts w:ascii="Century Gothic" w:hAnsi="Century Gothic"/>
              </w:rPr>
              <w:t>2817</w:t>
            </w:r>
            <w:r>
              <w:rPr>
                <w:rFonts w:ascii="Century Gothic" w:hAnsi="Century Gothic"/>
              </w:rPr>
              <w:t xml:space="preserve"> </w:t>
            </w:r>
            <w:r w:rsidRPr="00DB1167">
              <w:rPr>
                <w:rFonts w:ascii="Century Gothic" w:hAnsi="Century Gothic"/>
              </w:rPr>
              <w:t>units</w:t>
            </w:r>
            <w:r w:rsidR="003F4A12">
              <w:rPr>
                <w:rFonts w:ascii="Century Gothic" w:hAnsi="Century Gothic"/>
              </w:rPr>
              <w:t>*</w:t>
            </w:r>
            <w:r w:rsidRPr="00DB1167">
              <w:rPr>
                <w:rFonts w:ascii="Century Gothic" w:hAnsi="Century Gothic"/>
              </w:rPr>
              <w:t xml:space="preserve"> </w:t>
            </w:r>
          </w:p>
          <w:p w14:paraId="566ECF5E" w14:textId="310BC96F" w:rsidR="00D472C4" w:rsidRPr="00DB1167" w:rsidRDefault="00350363" w:rsidP="00D472C4">
            <w:pPr>
              <w:rPr>
                <w:rFonts w:ascii="Century Gothic" w:hAnsi="Century Gothic"/>
              </w:rPr>
            </w:pPr>
            <w:r>
              <w:rPr>
                <w:rFonts w:ascii="Century Gothic" w:hAnsi="Century Gothic"/>
              </w:rPr>
              <w:t>a</w:t>
            </w:r>
            <w:r w:rsidR="00D472C4" w:rsidRPr="3743D8DA">
              <w:rPr>
                <w:rFonts w:ascii="Century Gothic" w:hAnsi="Century Gothic"/>
              </w:rPr>
              <w:t>nd</w:t>
            </w:r>
            <w:r w:rsidR="10DD941D" w:rsidRPr="3743D8DA">
              <w:rPr>
                <w:rFonts w:ascii="Century Gothic" w:hAnsi="Century Gothic"/>
              </w:rPr>
              <w:t xml:space="preserve"> </w:t>
            </w:r>
            <w:r w:rsidR="7EF2AF43" w:rsidRPr="3743D8DA">
              <w:rPr>
                <w:rFonts w:ascii="Century Gothic" w:hAnsi="Century Gothic"/>
              </w:rPr>
              <w:t>103</w:t>
            </w:r>
            <w:r w:rsidR="00D472C4" w:rsidRPr="3743D8DA">
              <w:rPr>
                <w:rFonts w:ascii="Century Gothic" w:hAnsi="Century Gothic"/>
              </w:rPr>
              <w:t xml:space="preserve"> units turned</w:t>
            </w:r>
          </w:p>
          <w:p w14:paraId="651656C1" w14:textId="77777777" w:rsidR="00D472C4" w:rsidRPr="00DB1167" w:rsidRDefault="00D472C4">
            <w:pPr>
              <w:rPr>
                <w:rFonts w:ascii="Century Gothic" w:hAnsi="Century Gothic"/>
              </w:rPr>
            </w:pPr>
          </w:p>
          <w:p w14:paraId="092DFBA0" w14:textId="42DAF5D9" w:rsidR="00722CA7" w:rsidRPr="00DB1167" w:rsidRDefault="00722CA7">
            <w:pPr>
              <w:rPr>
                <w:rFonts w:ascii="Century Gothic" w:hAnsi="Century Gothic"/>
              </w:rPr>
            </w:pPr>
            <w:r w:rsidRPr="00DB1167">
              <w:rPr>
                <w:rFonts w:ascii="Century Gothic" w:hAnsi="Century Gothic"/>
              </w:rPr>
              <w:t xml:space="preserve">2023: 2,788 units </w:t>
            </w:r>
          </w:p>
          <w:p w14:paraId="441AD5A2" w14:textId="77777777" w:rsidR="00722CA7" w:rsidRPr="00DB1167" w:rsidRDefault="00722CA7">
            <w:pPr>
              <w:rPr>
                <w:rFonts w:ascii="Century Gothic" w:hAnsi="Century Gothic"/>
              </w:rPr>
            </w:pPr>
            <w:r w:rsidRPr="00DB1167">
              <w:rPr>
                <w:rFonts w:ascii="Century Gothic" w:hAnsi="Century Gothic"/>
              </w:rPr>
              <w:t>and 107 units turned</w:t>
            </w:r>
          </w:p>
          <w:p w14:paraId="54827DA5" w14:textId="77777777" w:rsidR="00722CA7" w:rsidRPr="00DB1167" w:rsidRDefault="00722CA7">
            <w:pPr>
              <w:rPr>
                <w:rFonts w:ascii="Century Gothic" w:hAnsi="Century Gothic"/>
              </w:rPr>
            </w:pPr>
          </w:p>
          <w:p w14:paraId="2D1AFBF5" w14:textId="77777777" w:rsidR="00722CA7" w:rsidRPr="00DB1167" w:rsidRDefault="00722CA7">
            <w:pPr>
              <w:rPr>
                <w:rFonts w:ascii="Century Gothic" w:hAnsi="Century Gothic"/>
              </w:rPr>
            </w:pPr>
            <w:r w:rsidRPr="00DB1167">
              <w:rPr>
                <w:rFonts w:ascii="Century Gothic" w:hAnsi="Century Gothic"/>
              </w:rPr>
              <w:t xml:space="preserve">2022: 2,246 units </w:t>
            </w:r>
          </w:p>
          <w:p w14:paraId="7F40B7BF" w14:textId="77777777" w:rsidR="00722CA7" w:rsidRPr="00DB1167" w:rsidRDefault="00722CA7">
            <w:pPr>
              <w:rPr>
                <w:rFonts w:ascii="Century Gothic" w:hAnsi="Century Gothic"/>
              </w:rPr>
            </w:pPr>
            <w:r w:rsidRPr="00DB1167">
              <w:rPr>
                <w:rFonts w:ascii="Century Gothic" w:hAnsi="Century Gothic"/>
              </w:rPr>
              <w:t>and 179 units turned</w:t>
            </w:r>
          </w:p>
          <w:p w14:paraId="70D6211B" w14:textId="77777777" w:rsidR="00722CA7" w:rsidRPr="00DB1167" w:rsidRDefault="00722CA7">
            <w:pPr>
              <w:rPr>
                <w:rFonts w:ascii="Century Gothic" w:eastAsia="MS PGothic" w:hAnsi="Century Gothic"/>
                <w:szCs w:val="22"/>
              </w:rPr>
            </w:pPr>
          </w:p>
          <w:p w14:paraId="61C0F96D" w14:textId="77777777" w:rsidR="00722CA7" w:rsidRPr="00DB1167" w:rsidRDefault="00722CA7">
            <w:pPr>
              <w:rPr>
                <w:rFonts w:ascii="Century Gothic" w:hAnsi="Century Gothic"/>
              </w:rPr>
            </w:pPr>
            <w:r w:rsidRPr="00DB1167">
              <w:rPr>
                <w:rFonts w:ascii="Century Gothic" w:hAnsi="Century Gothic"/>
              </w:rPr>
              <w:t>2021: 2,246 units and 95 units turned</w:t>
            </w:r>
          </w:p>
        </w:tc>
        <w:tc>
          <w:tcPr>
            <w:tcW w:w="207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32DA4BD" w14:textId="77777777" w:rsidR="00722CA7" w:rsidRPr="00DB1167" w:rsidRDefault="00722CA7">
            <w:pPr>
              <w:rPr>
                <w:rFonts w:ascii="Century Gothic" w:hAnsi="Century Gothic"/>
              </w:rPr>
            </w:pPr>
            <w:r w:rsidRPr="00DB1167">
              <w:rPr>
                <w:rFonts w:ascii="Century Gothic" w:hAnsi="Century Gothic"/>
              </w:rPr>
              <w:lastRenderedPageBreak/>
              <w:t>Yes</w:t>
            </w:r>
          </w:p>
        </w:tc>
      </w:tr>
    </w:tbl>
    <w:p w14:paraId="757EEDE7" w14:textId="178283FA" w:rsidR="003F4A12" w:rsidRPr="00573A4E" w:rsidRDefault="003F4A12" w:rsidP="003F4A12">
      <w:pPr>
        <w:rPr>
          <w:rFonts w:ascii="Century Gothic" w:hAnsi="Century Gothic"/>
          <w:i/>
          <w:iCs/>
          <w:sz w:val="18"/>
          <w:szCs w:val="18"/>
        </w:rPr>
      </w:pPr>
      <w:r>
        <w:rPr>
          <w:rFonts w:ascii="Century Gothic" w:hAnsi="Century Gothic"/>
          <w:i/>
          <w:iCs/>
          <w:sz w:val="18"/>
          <w:szCs w:val="18"/>
        </w:rPr>
        <w:t>*</w:t>
      </w:r>
      <w:r w:rsidRPr="00573A4E">
        <w:rPr>
          <w:rFonts w:ascii="Century Gothic" w:hAnsi="Century Gothic"/>
          <w:i/>
          <w:iCs/>
          <w:sz w:val="18"/>
          <w:szCs w:val="18"/>
        </w:rPr>
        <w:t>FY2024 – LIPH Units (821) + LIHTC PBV (307) + LIHTC RAD/PBV (1689) = 2817</w:t>
      </w:r>
    </w:p>
    <w:p w14:paraId="5FBB005F" w14:textId="77777777" w:rsidR="00722CA7" w:rsidRPr="00DB1167" w:rsidRDefault="00722CA7" w:rsidP="00722CA7">
      <w:pPr>
        <w:rPr>
          <w:rFonts w:ascii="Century Gothic" w:hAnsi="Century Gothic"/>
        </w:rPr>
      </w:pPr>
    </w:p>
    <w:p w14:paraId="69187C51" w14:textId="77777777" w:rsidR="00722CA7" w:rsidRPr="00DB1167" w:rsidRDefault="00722CA7" w:rsidP="00722CA7">
      <w:pPr>
        <w:rPr>
          <w:rFonts w:ascii="Century Gothic" w:hAnsi="Century Gothic"/>
          <w:b/>
          <w:bCs/>
        </w:rPr>
      </w:pPr>
    </w:p>
    <w:tbl>
      <w:tblPr>
        <w:tblStyle w:val="TableGrid7"/>
        <w:tblW w:w="0" w:type="auto"/>
        <w:tblLook w:val="04A0" w:firstRow="1" w:lastRow="0" w:firstColumn="1" w:lastColumn="0" w:noHBand="0" w:noVBand="1"/>
      </w:tblPr>
      <w:tblGrid>
        <w:gridCol w:w="1686"/>
        <w:gridCol w:w="2335"/>
        <w:gridCol w:w="1781"/>
        <w:gridCol w:w="1819"/>
        <w:gridCol w:w="2245"/>
      </w:tblGrid>
      <w:tr w:rsidR="00722CA7" w:rsidRPr="00DB1167" w14:paraId="46ABEE49" w14:textId="77777777">
        <w:trPr>
          <w:trHeight w:val="400"/>
        </w:trPr>
        <w:tc>
          <w:tcPr>
            <w:tcW w:w="9805" w:type="dxa"/>
            <w:gridSpan w:val="5"/>
            <w:tcBorders>
              <w:top w:val="nil"/>
              <w:left w:val="nil"/>
              <w:bottom w:val="single" w:sz="24" w:space="0" w:color="B5333C" w:themeColor="accent2"/>
              <w:right w:val="nil"/>
            </w:tcBorders>
            <w:shd w:val="clear" w:color="auto" w:fill="808080" w:themeFill="background1" w:themeFillShade="80"/>
          </w:tcPr>
          <w:p w14:paraId="6B6617CC" w14:textId="77777777" w:rsidR="00722CA7" w:rsidRPr="00DB1167" w:rsidRDefault="00722CA7">
            <w:pPr>
              <w:jc w:val="center"/>
              <w:rPr>
                <w:rFonts w:ascii="Century Gothic" w:hAnsi="Century Gothic"/>
                <w:b/>
                <w:bCs/>
              </w:rPr>
            </w:pPr>
            <w:r w:rsidRPr="00DB1167">
              <w:rPr>
                <w:rFonts w:ascii="Century Gothic" w:hAnsi="Century Gothic"/>
                <w:b/>
                <w:bCs/>
              </w:rPr>
              <w:t>Internal Metric #2: REAC Scores</w:t>
            </w:r>
          </w:p>
        </w:tc>
      </w:tr>
      <w:tr w:rsidR="00722CA7" w:rsidRPr="00DB1167" w14:paraId="7C5260F4" w14:textId="77777777">
        <w:trPr>
          <w:trHeight w:val="620"/>
        </w:trPr>
        <w:tc>
          <w:tcPr>
            <w:tcW w:w="1625" w:type="dxa"/>
            <w:tcBorders>
              <w:top w:val="single" w:sz="24" w:space="0" w:color="B5333C" w:themeColor="accent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FBFBF" w:themeFill="background1" w:themeFillShade="BF"/>
            <w:vAlign w:val="center"/>
          </w:tcPr>
          <w:p w14:paraId="4CE1460D" w14:textId="77777777" w:rsidR="00722CA7" w:rsidRPr="00DB1167" w:rsidRDefault="00722CA7">
            <w:pPr>
              <w:jc w:val="center"/>
              <w:rPr>
                <w:rFonts w:ascii="Century Gothic" w:hAnsi="Century Gothic"/>
              </w:rPr>
            </w:pPr>
            <w:r w:rsidRPr="00DB1167">
              <w:rPr>
                <w:rFonts w:ascii="Century Gothic" w:hAnsi="Century Gothic"/>
                <w:b/>
                <w:bCs/>
              </w:rPr>
              <w:t>Unit of Measurement</w:t>
            </w:r>
          </w:p>
        </w:tc>
        <w:tc>
          <w:tcPr>
            <w:tcW w:w="2335" w:type="dxa"/>
            <w:tcBorders>
              <w:top w:val="single" w:sz="24" w:space="0" w:color="B5333C" w:themeColor="accent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FBFBF" w:themeFill="background1" w:themeFillShade="BF"/>
            <w:vAlign w:val="center"/>
          </w:tcPr>
          <w:p w14:paraId="79495143" w14:textId="77777777" w:rsidR="00722CA7" w:rsidRPr="00DB1167" w:rsidRDefault="00722CA7">
            <w:pPr>
              <w:jc w:val="center"/>
              <w:rPr>
                <w:rFonts w:ascii="Century Gothic" w:hAnsi="Century Gothic"/>
              </w:rPr>
            </w:pPr>
            <w:r w:rsidRPr="00DB1167">
              <w:rPr>
                <w:rFonts w:ascii="Century Gothic" w:hAnsi="Century Gothic"/>
                <w:b/>
                <w:bCs/>
              </w:rPr>
              <w:t>Baseline</w:t>
            </w:r>
          </w:p>
        </w:tc>
        <w:tc>
          <w:tcPr>
            <w:tcW w:w="1781" w:type="dxa"/>
            <w:tcBorders>
              <w:top w:val="single" w:sz="24" w:space="0" w:color="B5333C" w:themeColor="accent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FBFBF" w:themeFill="background1" w:themeFillShade="BF"/>
            <w:vAlign w:val="center"/>
          </w:tcPr>
          <w:p w14:paraId="0CBF70CD" w14:textId="77777777" w:rsidR="00722CA7" w:rsidRPr="00DB1167" w:rsidRDefault="00722CA7">
            <w:pPr>
              <w:jc w:val="center"/>
              <w:rPr>
                <w:rFonts w:ascii="Century Gothic" w:hAnsi="Century Gothic"/>
              </w:rPr>
            </w:pPr>
            <w:r w:rsidRPr="00DB1167">
              <w:rPr>
                <w:rFonts w:ascii="Century Gothic" w:hAnsi="Century Gothic"/>
                <w:b/>
                <w:bCs/>
              </w:rPr>
              <w:t>Benchmark</w:t>
            </w:r>
          </w:p>
        </w:tc>
        <w:tc>
          <w:tcPr>
            <w:tcW w:w="1819" w:type="dxa"/>
            <w:tcBorders>
              <w:top w:val="single" w:sz="24" w:space="0" w:color="B5333C" w:themeColor="accent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FBFBF" w:themeFill="background1" w:themeFillShade="BF"/>
            <w:vAlign w:val="center"/>
          </w:tcPr>
          <w:p w14:paraId="27572CE2" w14:textId="77777777" w:rsidR="00722CA7" w:rsidRPr="00DB1167" w:rsidRDefault="00722CA7">
            <w:pPr>
              <w:spacing w:after="240"/>
              <w:jc w:val="center"/>
              <w:rPr>
                <w:rFonts w:ascii="Century Gothic" w:hAnsi="Century Gothic"/>
                <w:b/>
                <w:bCs/>
              </w:rPr>
            </w:pPr>
            <w:r w:rsidRPr="00DB1167">
              <w:rPr>
                <w:rFonts w:ascii="Century Gothic" w:hAnsi="Century Gothic"/>
                <w:b/>
                <w:bCs/>
              </w:rPr>
              <w:t>Outcome</w:t>
            </w:r>
          </w:p>
        </w:tc>
        <w:tc>
          <w:tcPr>
            <w:tcW w:w="2245" w:type="dxa"/>
            <w:tcBorders>
              <w:top w:val="single" w:sz="24" w:space="0" w:color="B5333C" w:themeColor="accent2"/>
              <w:left w:val="single" w:sz="4" w:space="0" w:color="F2F2F2" w:themeColor="background1" w:themeShade="F2"/>
              <w:bottom w:val="single" w:sz="4" w:space="0" w:color="F2F2F2" w:themeColor="background1" w:themeShade="F2"/>
              <w:right w:val="nil"/>
            </w:tcBorders>
            <w:shd w:val="clear" w:color="auto" w:fill="BFBFBF" w:themeFill="background1" w:themeFillShade="BF"/>
            <w:vAlign w:val="center"/>
          </w:tcPr>
          <w:p w14:paraId="5661ADB8" w14:textId="77777777" w:rsidR="00722CA7" w:rsidRPr="00DB1167" w:rsidRDefault="00722CA7">
            <w:pPr>
              <w:jc w:val="center"/>
              <w:rPr>
                <w:rFonts w:ascii="Century Gothic" w:hAnsi="Century Gothic"/>
              </w:rPr>
            </w:pPr>
            <w:r w:rsidRPr="00DB1167">
              <w:rPr>
                <w:rFonts w:ascii="Century Gothic" w:hAnsi="Century Gothic"/>
                <w:b/>
                <w:bCs/>
              </w:rPr>
              <w:t>Benchmark Achieved?</w:t>
            </w:r>
          </w:p>
        </w:tc>
      </w:tr>
      <w:tr w:rsidR="00722CA7" w:rsidRPr="00DB1167" w14:paraId="05766A62" w14:textId="77777777">
        <w:trPr>
          <w:trHeight w:val="1277"/>
        </w:trPr>
        <w:tc>
          <w:tcPr>
            <w:tcW w:w="1625"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tcPr>
          <w:p w14:paraId="7F5E6D2B" w14:textId="77777777" w:rsidR="00722CA7" w:rsidRPr="00DB1167" w:rsidRDefault="00722CA7">
            <w:pPr>
              <w:rPr>
                <w:rFonts w:ascii="Century Gothic" w:hAnsi="Century Gothic"/>
              </w:rPr>
            </w:pPr>
            <w:r w:rsidRPr="00DB1167">
              <w:rPr>
                <w:rFonts w:ascii="Century Gothic" w:hAnsi="Century Gothic"/>
              </w:rPr>
              <w:t>REAC scores</w:t>
            </w:r>
          </w:p>
        </w:tc>
        <w:tc>
          <w:tcPr>
            <w:tcW w:w="23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48F06A0" w14:textId="77777777" w:rsidR="00722CA7" w:rsidRPr="00DB1167" w:rsidRDefault="00722CA7">
            <w:pPr>
              <w:rPr>
                <w:rFonts w:ascii="Century Gothic" w:hAnsi="Century Gothic"/>
              </w:rPr>
            </w:pPr>
            <w:r w:rsidRPr="00DB1167">
              <w:rPr>
                <w:rFonts w:ascii="Century Gothic" w:hAnsi="Century Gothic"/>
              </w:rPr>
              <w:t>REAC score of 80 for ECC/HANH's developments (those not reflecting local or increased TDCs)</w:t>
            </w:r>
          </w:p>
        </w:tc>
        <w:tc>
          <w:tcPr>
            <w:tcW w:w="178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DFE19A4" w14:textId="77777777" w:rsidR="00722CA7" w:rsidRPr="00DB1167" w:rsidRDefault="00722CA7">
            <w:pPr>
              <w:rPr>
                <w:rFonts w:ascii="Century Gothic" w:hAnsi="Century Gothic"/>
              </w:rPr>
            </w:pPr>
            <w:r w:rsidRPr="00DB1167">
              <w:rPr>
                <w:rFonts w:ascii="Century Gothic" w:hAnsi="Century Gothic"/>
              </w:rPr>
              <w:t>10% increase. REAC scores would reach 88.</w:t>
            </w:r>
          </w:p>
        </w:tc>
        <w:tc>
          <w:tcPr>
            <w:tcW w:w="18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D68A409" w14:textId="77777777" w:rsidR="009A222A" w:rsidRDefault="009A222A">
            <w:pPr>
              <w:rPr>
                <w:rFonts w:ascii="Century Gothic" w:hAnsi="Century Gothic"/>
              </w:rPr>
            </w:pPr>
            <w:r w:rsidRPr="00DB1167">
              <w:rPr>
                <w:rFonts w:ascii="Century Gothic" w:hAnsi="Century Gothic"/>
              </w:rPr>
              <w:t>FY2024 Average – 76%</w:t>
            </w:r>
          </w:p>
          <w:p w14:paraId="0075FEB5" w14:textId="77777777" w:rsidR="009A222A" w:rsidRDefault="009A222A">
            <w:pPr>
              <w:rPr>
                <w:rFonts w:ascii="Century Gothic" w:hAnsi="Century Gothic"/>
              </w:rPr>
            </w:pPr>
          </w:p>
          <w:p w14:paraId="782A8988" w14:textId="0C9D0FDB" w:rsidR="00722CA7" w:rsidRPr="00DB1167" w:rsidRDefault="00722CA7">
            <w:pPr>
              <w:rPr>
                <w:rFonts w:ascii="Century Gothic" w:hAnsi="Century Gothic"/>
              </w:rPr>
            </w:pPr>
            <w:r w:rsidRPr="00DB1167">
              <w:rPr>
                <w:rFonts w:ascii="Century Gothic" w:hAnsi="Century Gothic"/>
              </w:rPr>
              <w:t xml:space="preserve">Refer to Appendix 8: ECC/HANH Development REAC Scores for specific data points. </w:t>
            </w:r>
          </w:p>
          <w:p w14:paraId="62743D92" w14:textId="35BBDF2B" w:rsidR="00722CA7" w:rsidRPr="00DB1167" w:rsidRDefault="00722CA7">
            <w:pPr>
              <w:spacing w:after="240"/>
              <w:rPr>
                <w:rFonts w:ascii="Century Gothic" w:hAnsi="Century Gothic"/>
              </w:rPr>
            </w:pPr>
          </w:p>
        </w:tc>
        <w:tc>
          <w:tcPr>
            <w:tcW w:w="2245"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tcPr>
          <w:p w14:paraId="206B02D3" w14:textId="77777777" w:rsidR="00722CA7" w:rsidRPr="00DB1167" w:rsidRDefault="00722CA7">
            <w:pPr>
              <w:rPr>
                <w:rFonts w:ascii="Century Gothic" w:hAnsi="Century Gothic"/>
              </w:rPr>
            </w:pPr>
            <w:r w:rsidRPr="00DB1167">
              <w:rPr>
                <w:rFonts w:ascii="Century Gothic" w:hAnsi="Century Gothic"/>
              </w:rPr>
              <w:t>No</w:t>
            </w:r>
          </w:p>
          <w:p w14:paraId="44582B00" w14:textId="77777777" w:rsidR="00722CA7" w:rsidRPr="00DB1167" w:rsidRDefault="00722CA7">
            <w:pPr>
              <w:rPr>
                <w:rFonts w:ascii="Century Gothic" w:hAnsi="Century Gothic"/>
              </w:rPr>
            </w:pPr>
          </w:p>
        </w:tc>
      </w:tr>
      <w:tr w:rsidR="00722CA7" w:rsidRPr="00DB1167" w14:paraId="4F6353C9" w14:textId="77777777">
        <w:trPr>
          <w:trHeight w:val="400"/>
        </w:trPr>
        <w:tc>
          <w:tcPr>
            <w:tcW w:w="9805" w:type="dxa"/>
            <w:gridSpan w:val="5"/>
            <w:tcBorders>
              <w:top w:val="single" w:sz="4" w:space="0" w:color="F2F2F2" w:themeColor="background1" w:themeShade="F2"/>
              <w:left w:val="nil"/>
              <w:bottom w:val="single" w:sz="24" w:space="0" w:color="B5333C" w:themeColor="accent2"/>
              <w:right w:val="nil"/>
            </w:tcBorders>
            <w:shd w:val="clear" w:color="auto" w:fill="808080" w:themeFill="background1" w:themeFillShade="80"/>
          </w:tcPr>
          <w:p w14:paraId="2ADBDABD" w14:textId="77777777" w:rsidR="00722CA7" w:rsidRPr="00DB1167" w:rsidRDefault="00722CA7">
            <w:pPr>
              <w:jc w:val="center"/>
              <w:rPr>
                <w:rFonts w:ascii="Century Gothic" w:hAnsi="Century Gothic"/>
                <w:b/>
                <w:bCs/>
              </w:rPr>
            </w:pPr>
            <w:r w:rsidRPr="00DB1167">
              <w:rPr>
                <w:rFonts w:ascii="Century Gothic" w:hAnsi="Century Gothic"/>
                <w:b/>
                <w:bCs/>
              </w:rPr>
              <w:t>Internal Metric #3: Average work order</w:t>
            </w:r>
          </w:p>
        </w:tc>
      </w:tr>
      <w:tr w:rsidR="00722CA7" w:rsidRPr="00DB1167" w14:paraId="6F7E568C" w14:textId="77777777">
        <w:trPr>
          <w:trHeight w:val="432"/>
        </w:trPr>
        <w:tc>
          <w:tcPr>
            <w:tcW w:w="1625"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309218AB" w14:textId="77777777" w:rsidR="00722CA7" w:rsidRPr="00DB1167" w:rsidRDefault="00722CA7">
            <w:pPr>
              <w:jc w:val="center"/>
              <w:rPr>
                <w:rFonts w:ascii="Century Gothic" w:hAnsi="Century Gothic"/>
              </w:rPr>
            </w:pPr>
            <w:r w:rsidRPr="00DB1167">
              <w:rPr>
                <w:rFonts w:ascii="Century Gothic" w:hAnsi="Century Gothic"/>
                <w:b/>
                <w:bCs/>
              </w:rPr>
              <w:t>Unit of Measurement</w:t>
            </w:r>
          </w:p>
        </w:tc>
        <w:tc>
          <w:tcPr>
            <w:tcW w:w="2335"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6FC91902" w14:textId="77777777" w:rsidR="00722CA7" w:rsidRPr="00DB1167" w:rsidRDefault="00722CA7">
            <w:pPr>
              <w:jc w:val="center"/>
              <w:rPr>
                <w:rFonts w:ascii="Century Gothic" w:hAnsi="Century Gothic"/>
              </w:rPr>
            </w:pPr>
            <w:r w:rsidRPr="00DB1167">
              <w:rPr>
                <w:rFonts w:ascii="Century Gothic" w:hAnsi="Century Gothic"/>
                <w:b/>
                <w:bCs/>
              </w:rPr>
              <w:t>Baseline</w:t>
            </w:r>
          </w:p>
        </w:tc>
        <w:tc>
          <w:tcPr>
            <w:tcW w:w="1781"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10D1471C" w14:textId="77777777" w:rsidR="00722CA7" w:rsidRPr="00DB1167" w:rsidRDefault="00722CA7">
            <w:pPr>
              <w:jc w:val="center"/>
              <w:rPr>
                <w:rFonts w:ascii="Century Gothic" w:hAnsi="Century Gothic"/>
              </w:rPr>
            </w:pPr>
            <w:r w:rsidRPr="00DB1167">
              <w:rPr>
                <w:rFonts w:ascii="Century Gothic" w:hAnsi="Century Gothic"/>
                <w:b/>
                <w:bCs/>
              </w:rPr>
              <w:t>Benchmark</w:t>
            </w:r>
          </w:p>
        </w:tc>
        <w:tc>
          <w:tcPr>
            <w:tcW w:w="1819"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47A1A782" w14:textId="77777777" w:rsidR="00722CA7" w:rsidRPr="00DB1167" w:rsidRDefault="00722CA7">
            <w:pPr>
              <w:spacing w:after="240"/>
              <w:jc w:val="center"/>
              <w:rPr>
                <w:rFonts w:ascii="Century Gothic" w:hAnsi="Century Gothic"/>
                <w:b/>
                <w:bCs/>
              </w:rPr>
            </w:pPr>
            <w:r w:rsidRPr="00DB1167">
              <w:rPr>
                <w:rFonts w:ascii="Century Gothic" w:hAnsi="Century Gothic"/>
                <w:b/>
                <w:bCs/>
              </w:rPr>
              <w:t>Outcome</w:t>
            </w:r>
          </w:p>
        </w:tc>
        <w:tc>
          <w:tcPr>
            <w:tcW w:w="2245" w:type="dxa"/>
            <w:tcBorders>
              <w:top w:val="single" w:sz="24" w:space="0" w:color="B5333C" w:themeColor="accent2"/>
              <w:left w:val="single" w:sz="4" w:space="0" w:color="D9D9D9" w:themeColor="background1" w:themeShade="D9"/>
              <w:bottom w:val="nil"/>
              <w:right w:val="single" w:sz="4" w:space="0" w:color="D9D9D9" w:themeColor="background1" w:themeShade="D9"/>
            </w:tcBorders>
            <w:shd w:val="clear" w:color="auto" w:fill="BFBFBF" w:themeFill="background1" w:themeFillShade="BF"/>
            <w:vAlign w:val="center"/>
          </w:tcPr>
          <w:p w14:paraId="1FA3F1C2" w14:textId="77777777" w:rsidR="00722CA7" w:rsidRPr="00DB1167" w:rsidRDefault="00722CA7">
            <w:pPr>
              <w:jc w:val="center"/>
              <w:rPr>
                <w:rFonts w:ascii="Century Gothic" w:hAnsi="Century Gothic"/>
              </w:rPr>
            </w:pPr>
            <w:r w:rsidRPr="00DB1167">
              <w:rPr>
                <w:rFonts w:ascii="Century Gothic" w:hAnsi="Century Gothic"/>
                <w:b/>
                <w:bCs/>
              </w:rPr>
              <w:t>Benchmark Achieved?</w:t>
            </w:r>
          </w:p>
        </w:tc>
      </w:tr>
      <w:tr w:rsidR="00722CA7" w:rsidRPr="00DB1167" w14:paraId="1A251539" w14:textId="77777777" w:rsidTr="00427BA6">
        <w:trPr>
          <w:trHeight w:val="895"/>
        </w:trPr>
        <w:tc>
          <w:tcPr>
            <w:tcW w:w="1625" w:type="dxa"/>
            <w:tcBorders>
              <w:top w:val="nil"/>
              <w:left w:val="nil"/>
              <w:bottom w:val="single" w:sz="4" w:space="0" w:color="D9D9D9" w:themeColor="background1" w:themeShade="D9"/>
              <w:right w:val="single" w:sz="4" w:space="0" w:color="D9D9D9" w:themeColor="background1" w:themeShade="D9"/>
            </w:tcBorders>
          </w:tcPr>
          <w:p w14:paraId="5CCB261A" w14:textId="77777777" w:rsidR="00722CA7" w:rsidRPr="00DB1167" w:rsidRDefault="00722CA7">
            <w:pPr>
              <w:rPr>
                <w:rFonts w:ascii="Century Gothic" w:hAnsi="Century Gothic"/>
              </w:rPr>
            </w:pPr>
            <w:r w:rsidRPr="00DB1167">
              <w:rPr>
                <w:rFonts w:ascii="Century Gothic" w:hAnsi="Century Gothic"/>
              </w:rPr>
              <w:t>Work orders per property</w:t>
            </w:r>
          </w:p>
        </w:tc>
        <w:tc>
          <w:tcPr>
            <w:tcW w:w="2335"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7881AD5A" w14:textId="77777777" w:rsidR="00722CA7" w:rsidRPr="00DB1167" w:rsidRDefault="00722CA7">
            <w:pPr>
              <w:rPr>
                <w:rFonts w:ascii="Century Gothic" w:eastAsia="MS PGothic" w:hAnsi="Century Gothic"/>
                <w:szCs w:val="22"/>
              </w:rPr>
            </w:pPr>
            <w:r w:rsidRPr="00DB1167">
              <w:rPr>
                <w:rFonts w:ascii="Century Gothic" w:hAnsi="Century Gothic"/>
              </w:rPr>
              <w:t>Average portfolio wide: 671 work orders per property</w:t>
            </w:r>
          </w:p>
        </w:tc>
        <w:tc>
          <w:tcPr>
            <w:tcW w:w="1781"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21E443D8" w14:textId="77777777" w:rsidR="00722CA7" w:rsidRPr="00DB1167" w:rsidRDefault="00722CA7">
            <w:pPr>
              <w:rPr>
                <w:rFonts w:ascii="Century Gothic" w:eastAsia="MS PGothic" w:hAnsi="Century Gothic"/>
                <w:szCs w:val="22"/>
              </w:rPr>
            </w:pPr>
            <w:r w:rsidRPr="00DB1167">
              <w:rPr>
                <w:rFonts w:ascii="Century Gothic" w:hAnsi="Century Gothic"/>
              </w:rPr>
              <w:t>reduce volume by 50% or more over baseline</w:t>
            </w:r>
          </w:p>
        </w:tc>
        <w:tc>
          <w:tcPr>
            <w:tcW w:w="181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4D0B698B" w14:textId="6470702B" w:rsidR="00722CA7" w:rsidRDefault="00722CA7">
            <w:pPr>
              <w:rPr>
                <w:rFonts w:ascii="Century Gothic" w:hAnsi="Century Gothic"/>
              </w:rPr>
            </w:pPr>
            <w:r w:rsidRPr="00DB1167">
              <w:rPr>
                <w:rFonts w:ascii="Century Gothic" w:hAnsi="Century Gothic"/>
              </w:rPr>
              <w:t>FY24</w:t>
            </w:r>
            <w:r w:rsidR="007451CA">
              <w:rPr>
                <w:rFonts w:ascii="Century Gothic" w:hAnsi="Century Gothic"/>
              </w:rPr>
              <w:t xml:space="preserve"> </w:t>
            </w:r>
            <w:r w:rsidRPr="00DB1167">
              <w:rPr>
                <w:rFonts w:ascii="Century Gothic" w:hAnsi="Century Gothic"/>
              </w:rPr>
              <w:t xml:space="preserve">- </w:t>
            </w:r>
            <w:r w:rsidR="00B5441F">
              <w:rPr>
                <w:rFonts w:ascii="Century Gothic" w:hAnsi="Century Gothic"/>
              </w:rPr>
              <w:t xml:space="preserve">LIPH only: </w:t>
            </w:r>
            <w:r w:rsidRPr="00DB1167">
              <w:rPr>
                <w:rFonts w:ascii="Century Gothic" w:hAnsi="Century Gothic"/>
              </w:rPr>
              <w:t xml:space="preserve">Average </w:t>
            </w:r>
            <w:r w:rsidR="00B5441F">
              <w:rPr>
                <w:rFonts w:ascii="Century Gothic" w:hAnsi="Century Gothic"/>
              </w:rPr>
              <w:t>1712</w:t>
            </w:r>
            <w:r w:rsidR="00B5441F" w:rsidRPr="00DB1167">
              <w:rPr>
                <w:rFonts w:ascii="Century Gothic" w:hAnsi="Century Gothic"/>
              </w:rPr>
              <w:t xml:space="preserve"> </w:t>
            </w:r>
            <w:r w:rsidRPr="00DB1167">
              <w:rPr>
                <w:rFonts w:ascii="Century Gothic" w:hAnsi="Century Gothic"/>
              </w:rPr>
              <w:t>work orders per property</w:t>
            </w:r>
          </w:p>
          <w:p w14:paraId="0BC964C8" w14:textId="77777777" w:rsidR="00B5441F" w:rsidRDefault="00B5441F">
            <w:pPr>
              <w:rPr>
                <w:rFonts w:ascii="Century Gothic" w:hAnsi="Century Gothic"/>
              </w:rPr>
            </w:pPr>
          </w:p>
          <w:p w14:paraId="0684034D" w14:textId="51D1FBE8" w:rsidR="00B5441F" w:rsidRDefault="00B5441F" w:rsidP="00B5441F">
            <w:pPr>
              <w:rPr>
                <w:rFonts w:ascii="Century Gothic" w:hAnsi="Century Gothic"/>
              </w:rPr>
            </w:pPr>
            <w:r w:rsidRPr="00DB1167">
              <w:rPr>
                <w:rFonts w:ascii="Century Gothic" w:hAnsi="Century Gothic"/>
              </w:rPr>
              <w:t>FY24</w:t>
            </w:r>
            <w:r w:rsidR="007451CA">
              <w:rPr>
                <w:rFonts w:ascii="Century Gothic" w:hAnsi="Century Gothic"/>
              </w:rPr>
              <w:t xml:space="preserve"> –</w:t>
            </w:r>
            <w:r w:rsidRPr="00DB1167">
              <w:rPr>
                <w:rFonts w:ascii="Century Gothic" w:hAnsi="Century Gothic"/>
              </w:rPr>
              <w:t xml:space="preserve"> </w:t>
            </w:r>
            <w:r w:rsidR="007451CA">
              <w:rPr>
                <w:rFonts w:ascii="Century Gothic" w:hAnsi="Century Gothic"/>
              </w:rPr>
              <w:t xml:space="preserve">All units: </w:t>
            </w:r>
            <w:r w:rsidRPr="00DB1167">
              <w:rPr>
                <w:rFonts w:ascii="Century Gothic" w:hAnsi="Century Gothic"/>
              </w:rPr>
              <w:t>Average 801 work orders per property</w:t>
            </w:r>
          </w:p>
          <w:p w14:paraId="538BCC87" w14:textId="77777777" w:rsidR="00B5441F" w:rsidRDefault="00B5441F">
            <w:pPr>
              <w:rPr>
                <w:rFonts w:ascii="Century Gothic" w:hAnsi="Century Gothic"/>
              </w:rPr>
            </w:pPr>
          </w:p>
          <w:p w14:paraId="2E4892B8" w14:textId="77777777" w:rsidR="009A222A" w:rsidRPr="00DB1167" w:rsidRDefault="009A222A">
            <w:pPr>
              <w:rPr>
                <w:rFonts w:ascii="Century Gothic" w:hAnsi="Century Gothic"/>
              </w:rPr>
            </w:pPr>
          </w:p>
          <w:p w14:paraId="49DCDC8D" w14:textId="77777777" w:rsidR="00722CA7" w:rsidRPr="00DB1167" w:rsidRDefault="00722CA7">
            <w:pPr>
              <w:rPr>
                <w:rFonts w:ascii="Century Gothic" w:hAnsi="Century Gothic"/>
              </w:rPr>
            </w:pPr>
            <w:r w:rsidRPr="00DB1167">
              <w:rPr>
                <w:rFonts w:ascii="Century Gothic" w:hAnsi="Century Gothic"/>
              </w:rPr>
              <w:t xml:space="preserve">Refer to Appendix 9: Work Orders, </w:t>
            </w:r>
            <w:r w:rsidRPr="00DB1167">
              <w:rPr>
                <w:rFonts w:ascii="Century Gothic" w:hAnsi="Century Gothic"/>
              </w:rPr>
              <w:lastRenderedPageBreak/>
              <w:t xml:space="preserve">FY09 to FY24 for specific data points. </w:t>
            </w:r>
          </w:p>
          <w:p w14:paraId="3905EC02" w14:textId="77777777" w:rsidR="007451CA" w:rsidRPr="00DB1167" w:rsidRDefault="007451CA">
            <w:pPr>
              <w:rPr>
                <w:rFonts w:ascii="Century Gothic" w:hAnsi="Century Gothic"/>
              </w:rPr>
            </w:pPr>
          </w:p>
        </w:tc>
        <w:tc>
          <w:tcPr>
            <w:tcW w:w="2245" w:type="dxa"/>
            <w:tcBorders>
              <w:top w:val="nil"/>
              <w:left w:val="single" w:sz="4" w:space="0" w:color="D9D9D9" w:themeColor="background1" w:themeShade="D9"/>
              <w:bottom w:val="single" w:sz="4" w:space="0" w:color="D9D9D9" w:themeColor="background1" w:themeShade="D9"/>
              <w:right w:val="nil"/>
            </w:tcBorders>
          </w:tcPr>
          <w:p w14:paraId="333BD9F3" w14:textId="77777777" w:rsidR="00722CA7" w:rsidRPr="00DB1167" w:rsidRDefault="00722CA7">
            <w:pPr>
              <w:rPr>
                <w:rFonts w:ascii="Century Gothic" w:hAnsi="Century Gothic"/>
              </w:rPr>
            </w:pPr>
            <w:r w:rsidRPr="00DB1167">
              <w:rPr>
                <w:rFonts w:ascii="Century Gothic" w:hAnsi="Century Gothic"/>
              </w:rPr>
              <w:lastRenderedPageBreak/>
              <w:t xml:space="preserve"> No</w:t>
            </w:r>
          </w:p>
        </w:tc>
      </w:tr>
      <w:tr w:rsidR="00722CA7" w:rsidRPr="00DB1167" w14:paraId="2D94E91E" w14:textId="77777777">
        <w:trPr>
          <w:trHeight w:val="400"/>
        </w:trPr>
        <w:tc>
          <w:tcPr>
            <w:tcW w:w="9805"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tcPr>
          <w:p w14:paraId="1BABEC4C" w14:textId="77777777" w:rsidR="00722CA7" w:rsidRPr="00DB1167" w:rsidRDefault="00722CA7">
            <w:pPr>
              <w:jc w:val="center"/>
              <w:rPr>
                <w:rFonts w:ascii="Century Gothic" w:hAnsi="Century Gothic"/>
                <w:b/>
                <w:bCs/>
              </w:rPr>
            </w:pPr>
            <w:r w:rsidRPr="00DB1167">
              <w:rPr>
                <w:rFonts w:ascii="Century Gothic" w:hAnsi="Century Gothic"/>
                <w:b/>
                <w:bCs/>
              </w:rPr>
              <w:t>Internal Metric #8: Occupancy</w:t>
            </w:r>
          </w:p>
        </w:tc>
      </w:tr>
      <w:tr w:rsidR="00722CA7" w:rsidRPr="00DB1167" w14:paraId="4949DF9A" w14:textId="77777777">
        <w:trPr>
          <w:trHeight w:val="539"/>
        </w:trPr>
        <w:tc>
          <w:tcPr>
            <w:tcW w:w="162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44BFDEA4" w14:textId="77777777" w:rsidR="00722CA7" w:rsidRPr="00DB1167" w:rsidRDefault="00722CA7">
            <w:pPr>
              <w:rPr>
                <w:rFonts w:ascii="Century Gothic" w:hAnsi="Century Gothic"/>
              </w:rPr>
            </w:pPr>
            <w:r w:rsidRPr="00DB1167">
              <w:rPr>
                <w:rFonts w:ascii="Century Gothic" w:hAnsi="Century Gothic"/>
              </w:rPr>
              <w:t>Occupancy</w:t>
            </w:r>
          </w:p>
        </w:tc>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CD2301" w14:textId="77777777" w:rsidR="00722CA7" w:rsidRPr="00DB1167" w:rsidRDefault="00722CA7">
            <w:pPr>
              <w:rPr>
                <w:rFonts w:ascii="Century Gothic" w:hAnsi="Century Gothic"/>
              </w:rPr>
            </w:pPr>
          </w:p>
          <w:p w14:paraId="4BC4A6A5" w14:textId="77777777" w:rsidR="00722CA7" w:rsidRPr="00DB1167" w:rsidRDefault="00722CA7">
            <w:pPr>
              <w:rPr>
                <w:rFonts w:ascii="Century Gothic" w:eastAsia="MS PGothic" w:hAnsi="Century Gothic"/>
                <w:szCs w:val="22"/>
              </w:rPr>
            </w:pPr>
            <w:r w:rsidRPr="00DB1167">
              <w:rPr>
                <w:rFonts w:ascii="Century Gothic" w:eastAsia="MS PGothic" w:hAnsi="Century Gothic"/>
                <w:szCs w:val="22"/>
              </w:rPr>
              <w:t>FY02 93%</w:t>
            </w:r>
          </w:p>
        </w:tc>
        <w:tc>
          <w:tcPr>
            <w:tcW w:w="17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39D425" w14:textId="77777777" w:rsidR="00722CA7" w:rsidRPr="00DB1167" w:rsidRDefault="00722CA7">
            <w:pPr>
              <w:jc w:val="center"/>
              <w:rPr>
                <w:rFonts w:ascii="Century Gothic" w:hAnsi="Century Gothic"/>
              </w:rPr>
            </w:pPr>
            <w:r w:rsidRPr="00DB1167">
              <w:rPr>
                <w:rFonts w:ascii="Century Gothic" w:hAnsi="Century Gothic"/>
              </w:rPr>
              <w:t>95%</w:t>
            </w:r>
          </w:p>
        </w:tc>
        <w:tc>
          <w:tcPr>
            <w:tcW w:w="18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8B16AF" w14:textId="4606BDBD" w:rsidR="007451CA" w:rsidRDefault="007451CA">
            <w:pPr>
              <w:rPr>
                <w:rFonts w:ascii="Century Gothic" w:hAnsi="Century Gothic"/>
              </w:rPr>
            </w:pPr>
            <w:r>
              <w:rPr>
                <w:rFonts w:ascii="Century Gothic" w:hAnsi="Century Gothic"/>
              </w:rPr>
              <w:t xml:space="preserve">FY24 </w:t>
            </w:r>
            <w:r w:rsidR="00E33450">
              <w:rPr>
                <w:rFonts w:ascii="Century Gothic" w:hAnsi="Century Gothic"/>
              </w:rPr>
              <w:t>–</w:t>
            </w:r>
            <w:r>
              <w:rPr>
                <w:rFonts w:ascii="Century Gothic" w:hAnsi="Century Gothic"/>
              </w:rPr>
              <w:t xml:space="preserve"> 97</w:t>
            </w:r>
            <w:r w:rsidR="00E33450">
              <w:rPr>
                <w:rFonts w:ascii="Century Gothic" w:hAnsi="Century Gothic"/>
              </w:rPr>
              <w:t>%</w:t>
            </w:r>
          </w:p>
          <w:p w14:paraId="4A7E4706" w14:textId="77777777" w:rsidR="007451CA" w:rsidRDefault="007451CA">
            <w:pPr>
              <w:rPr>
                <w:rFonts w:ascii="Century Gothic" w:hAnsi="Century Gothic"/>
              </w:rPr>
            </w:pPr>
          </w:p>
          <w:p w14:paraId="0F8C5EDE" w14:textId="35925972" w:rsidR="00722CA7" w:rsidRPr="00DB1167" w:rsidRDefault="00722CA7">
            <w:pPr>
              <w:rPr>
                <w:rFonts w:ascii="Century Gothic" w:hAnsi="Century Gothic"/>
              </w:rPr>
            </w:pPr>
            <w:r w:rsidRPr="00DB1167">
              <w:rPr>
                <w:rFonts w:ascii="Century Gothic" w:hAnsi="Century Gothic"/>
              </w:rPr>
              <w:t xml:space="preserve">Refer to Appendix 11: LIPH Occupancy for specific data points. </w:t>
            </w:r>
          </w:p>
        </w:tc>
        <w:tc>
          <w:tcPr>
            <w:tcW w:w="224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172032CF" w14:textId="5DF9CB6C" w:rsidR="00722CA7" w:rsidRPr="00DB1167" w:rsidRDefault="00722CA7">
            <w:pPr>
              <w:rPr>
                <w:rFonts w:ascii="Century Gothic" w:hAnsi="Century Gothic"/>
              </w:rPr>
            </w:pPr>
            <w:r w:rsidRPr="00DB1167">
              <w:rPr>
                <w:rFonts w:ascii="Century Gothic" w:hAnsi="Century Gothic"/>
              </w:rPr>
              <w:t xml:space="preserve">Yes. </w:t>
            </w:r>
          </w:p>
        </w:tc>
      </w:tr>
    </w:tbl>
    <w:p w14:paraId="3213FDD3" w14:textId="77777777" w:rsidR="00722CA7" w:rsidRPr="00DB1167" w:rsidRDefault="00722CA7" w:rsidP="00722CA7">
      <w:pPr>
        <w:rPr>
          <w:rFonts w:ascii="Century Gothic" w:hAnsi="Century Gothic"/>
        </w:rPr>
      </w:pPr>
    </w:p>
    <w:p w14:paraId="43FD4A30" w14:textId="6EC98DDB" w:rsidR="00722CA7" w:rsidRPr="00DB1167" w:rsidRDefault="00722CA7" w:rsidP="00722CA7">
      <w:pPr>
        <w:rPr>
          <w:rFonts w:ascii="Century Gothic" w:hAnsi="Century Gothic"/>
          <w:i/>
          <w:iCs/>
          <w:sz w:val="18"/>
          <w:szCs w:val="18"/>
          <w:lang w:eastAsia="en-US"/>
        </w:rPr>
      </w:pPr>
      <w:r w:rsidRPr="00DB1167">
        <w:rPr>
          <w:rFonts w:ascii="Century Gothic" w:hAnsi="Century Gothic"/>
          <w:i/>
          <w:iCs/>
          <w:sz w:val="18"/>
          <w:szCs w:val="18"/>
          <w:lang w:eastAsia="en-US"/>
        </w:rPr>
        <w:t xml:space="preserve">* The </w:t>
      </w:r>
      <w:r w:rsidR="00497E3E">
        <w:rPr>
          <w:rFonts w:ascii="Century Gothic" w:hAnsi="Century Gothic"/>
          <w:i/>
          <w:iCs/>
          <w:sz w:val="18"/>
          <w:szCs w:val="18"/>
          <w:lang w:eastAsia="en-US"/>
        </w:rPr>
        <w:t xml:space="preserve">internal </w:t>
      </w:r>
      <w:r w:rsidRPr="00DB1167">
        <w:rPr>
          <w:rFonts w:ascii="Century Gothic" w:hAnsi="Century Gothic"/>
          <w:i/>
          <w:iCs/>
          <w:sz w:val="18"/>
          <w:szCs w:val="18"/>
          <w:lang w:eastAsia="en-US"/>
        </w:rPr>
        <w:t xml:space="preserve">metrics </w:t>
      </w:r>
      <w:r w:rsidRPr="006C09AD">
        <w:rPr>
          <w:rFonts w:ascii="Century Gothic" w:hAnsi="Century Gothic"/>
          <w:i/>
          <w:iCs/>
          <w:sz w:val="18"/>
          <w:szCs w:val="18"/>
          <w:lang w:eastAsia="en-US"/>
        </w:rPr>
        <w:t>will be re-evaluated in FY2</w:t>
      </w:r>
      <w:r w:rsidR="006C09AD" w:rsidRPr="006C09AD">
        <w:rPr>
          <w:rFonts w:ascii="Century Gothic" w:hAnsi="Century Gothic"/>
          <w:i/>
          <w:iCs/>
          <w:sz w:val="18"/>
          <w:szCs w:val="18"/>
          <w:lang w:eastAsia="en-US"/>
        </w:rPr>
        <w:t>5.</w:t>
      </w:r>
    </w:p>
    <w:p w14:paraId="6713F8AA" w14:textId="77777777" w:rsidR="00722CA7" w:rsidRPr="00DB1167" w:rsidRDefault="00722CA7" w:rsidP="00722CA7">
      <w:pPr>
        <w:rPr>
          <w:rFonts w:ascii="Century Gothic" w:hAnsi="Century Gothic"/>
        </w:rPr>
      </w:pPr>
    </w:p>
    <w:p w14:paraId="04377AD0" w14:textId="77777777" w:rsidR="00722CA7" w:rsidRPr="00DB1167" w:rsidRDefault="00722CA7" w:rsidP="00722CA7">
      <w:pPr>
        <w:pStyle w:val="Heading4"/>
        <w:rPr>
          <w:rFonts w:ascii="Century Gothic" w:hAnsi="Century Gothic" w:cs="Times New Roman"/>
        </w:rPr>
      </w:pPr>
      <w:r w:rsidRPr="00DB1167">
        <w:rPr>
          <w:rFonts w:ascii="Century Gothic" w:hAnsi="Century Gothic" w:cs="Times New Roman"/>
        </w:rPr>
        <w:t>Actual non-significant changes</w:t>
      </w:r>
    </w:p>
    <w:p w14:paraId="5F6F2400" w14:textId="6BFA7B43" w:rsidR="00722CA7" w:rsidRPr="00DB1167" w:rsidRDefault="00722CA7" w:rsidP="00722CA7">
      <w:pPr>
        <w:spacing w:after="160" w:line="276" w:lineRule="auto"/>
        <w:rPr>
          <w:rFonts w:ascii="Century Gothic" w:hAnsi="Century Gothic"/>
        </w:rPr>
      </w:pPr>
      <w:r w:rsidRPr="00DB1167">
        <w:rPr>
          <w:rFonts w:ascii="Century Gothic" w:hAnsi="Century Gothic"/>
        </w:rPr>
        <w:t>None</w:t>
      </w:r>
    </w:p>
    <w:p w14:paraId="37087D84" w14:textId="77777777" w:rsidR="00722CA7" w:rsidRPr="00DB1167" w:rsidRDefault="00722CA7" w:rsidP="00722CA7">
      <w:pPr>
        <w:pStyle w:val="Heading4"/>
        <w:rPr>
          <w:rFonts w:ascii="Century Gothic" w:hAnsi="Century Gothic" w:cs="Times New Roman"/>
        </w:rPr>
      </w:pPr>
      <w:r w:rsidRPr="00DB1167">
        <w:rPr>
          <w:rFonts w:ascii="Century Gothic" w:hAnsi="Century Gothic" w:cs="Times New Roman"/>
        </w:rPr>
        <w:t>Actual significant changes</w:t>
      </w:r>
    </w:p>
    <w:p w14:paraId="5BC3FBA8" w14:textId="4AA38A8D" w:rsidR="00722CA7" w:rsidRPr="00DB1167" w:rsidRDefault="00722CA7" w:rsidP="00722CA7">
      <w:pPr>
        <w:spacing w:after="160" w:line="276" w:lineRule="auto"/>
        <w:rPr>
          <w:rFonts w:ascii="Century Gothic" w:hAnsi="Century Gothic"/>
        </w:rPr>
      </w:pPr>
      <w:r w:rsidRPr="00DB1167">
        <w:rPr>
          <w:rFonts w:ascii="Century Gothic" w:hAnsi="Century Gothic"/>
        </w:rPr>
        <w:t>None</w:t>
      </w:r>
    </w:p>
    <w:p w14:paraId="03B97AFD" w14:textId="23A3DCA5" w:rsidR="1C28A9AA" w:rsidRDefault="1C28A9AA" w:rsidP="492303B8">
      <w:pPr>
        <w:rPr>
          <w:rFonts w:ascii="Times New Roman" w:eastAsia="Times New Roman" w:hAnsi="Times New Roman"/>
        </w:rPr>
      </w:pPr>
    </w:p>
    <w:p w14:paraId="4065222A" w14:textId="77777777" w:rsidR="002C6960" w:rsidRDefault="002C6960" w:rsidP="492303B8">
      <w:pPr>
        <w:rPr>
          <w:rFonts w:ascii="Times New Roman" w:eastAsia="Times New Roman" w:hAnsi="Times New Roman"/>
        </w:rPr>
      </w:pPr>
    </w:p>
    <w:p w14:paraId="73AFFF4A" w14:textId="77777777" w:rsidR="002C6960" w:rsidRDefault="002C6960" w:rsidP="492303B8">
      <w:pPr>
        <w:rPr>
          <w:rFonts w:ascii="Times New Roman" w:eastAsia="Times New Roman" w:hAnsi="Times New Roman"/>
        </w:rPr>
      </w:pPr>
    </w:p>
    <w:p w14:paraId="0C7BA66E" w14:textId="00850C0F" w:rsidR="00427BA6" w:rsidRDefault="00427BA6" w:rsidP="492303B8">
      <w:pPr>
        <w:rPr>
          <w:rFonts w:ascii="Times New Roman" w:eastAsia="Times New Roman" w:hAnsi="Times New Roman"/>
        </w:rPr>
      </w:pPr>
      <w:r>
        <w:rPr>
          <w:rFonts w:ascii="Times New Roman" w:eastAsia="Times New Roman" w:hAnsi="Times New Roman"/>
        </w:rPr>
        <w:br w:type="page"/>
      </w:r>
    </w:p>
    <w:p w14:paraId="36F6C5BA" w14:textId="3B082394" w:rsidR="00AA33AA" w:rsidRPr="00AA33AA" w:rsidRDefault="00AA33AA" w:rsidP="00AA33AA">
      <w:pPr>
        <w:spacing w:line="257" w:lineRule="auto"/>
        <w:rPr>
          <w:rFonts w:ascii="Century Gothic" w:hAnsi="Century Gothic"/>
          <w:b/>
        </w:rPr>
      </w:pPr>
      <w:r w:rsidRPr="4EB6BE86">
        <w:rPr>
          <w:rFonts w:ascii="Century Gothic" w:hAnsi="Century Gothic"/>
          <w:b/>
        </w:rPr>
        <w:lastRenderedPageBreak/>
        <w:t>Initiative 1.29F – Robert T. Wolfe Transformation Plan (Previously Initiative 1.24)</w:t>
      </w:r>
    </w:p>
    <w:p w14:paraId="340C3608" w14:textId="4833C34A" w:rsidR="00AA33AA" w:rsidRPr="00AA33AA" w:rsidRDefault="00AA33AA" w:rsidP="00AA33AA">
      <w:pPr>
        <w:spacing w:line="257" w:lineRule="auto"/>
        <w:rPr>
          <w:rFonts w:ascii="Century Gothic" w:hAnsi="Century Gothic"/>
          <w:b/>
        </w:rPr>
      </w:pPr>
    </w:p>
    <w:p w14:paraId="538192FE" w14:textId="4B037886" w:rsidR="00AA33AA" w:rsidRPr="00AA33AA" w:rsidRDefault="00AA33AA" w:rsidP="00AA33AA">
      <w:pPr>
        <w:spacing w:line="257" w:lineRule="auto"/>
        <w:rPr>
          <w:rFonts w:ascii="Century Gothic" w:hAnsi="Century Gothic"/>
          <w:b/>
        </w:rPr>
      </w:pPr>
      <w:r w:rsidRPr="4EB6BE86">
        <w:rPr>
          <w:rFonts w:ascii="Century Gothic" w:hAnsi="Century Gothic"/>
          <w:b/>
        </w:rPr>
        <w:t>Plan Year Approved, Implemented, Amended</w:t>
      </w:r>
    </w:p>
    <w:p w14:paraId="2CF0FC0E" w14:textId="3158E47C" w:rsidR="00AA33AA" w:rsidRPr="00AA33AA" w:rsidRDefault="00AA33AA" w:rsidP="00AA33AA">
      <w:pPr>
        <w:spacing w:line="257" w:lineRule="auto"/>
        <w:rPr>
          <w:rFonts w:ascii="Century Gothic" w:hAnsi="Century Gothic"/>
          <w:b/>
        </w:rPr>
      </w:pPr>
    </w:p>
    <w:p w14:paraId="34028080" w14:textId="24D2FD5F" w:rsidR="00AA33AA" w:rsidRPr="00AA33AA" w:rsidRDefault="00AA33AA" w:rsidP="00AA33AA">
      <w:pPr>
        <w:spacing w:line="257" w:lineRule="auto"/>
        <w:rPr>
          <w:rFonts w:ascii="Century Gothic" w:hAnsi="Century Gothic"/>
        </w:rPr>
      </w:pPr>
      <w:r w:rsidRPr="4EB6BE86">
        <w:rPr>
          <w:rFonts w:ascii="Century Gothic" w:hAnsi="Century Gothic"/>
        </w:rPr>
        <w:t>Approved and implemented in FY2023</w:t>
      </w:r>
    </w:p>
    <w:p w14:paraId="5F08790D" w14:textId="7F6D7DD1" w:rsidR="00AA33AA" w:rsidRPr="00AA33AA" w:rsidRDefault="00AA33AA" w:rsidP="00AA33AA">
      <w:pPr>
        <w:spacing w:line="257" w:lineRule="auto"/>
        <w:rPr>
          <w:rFonts w:ascii="Century Gothic" w:hAnsi="Century Gothic"/>
        </w:rPr>
      </w:pPr>
      <w:r w:rsidRPr="4EB6BE86">
        <w:rPr>
          <w:rFonts w:ascii="Century Gothic" w:hAnsi="Century Gothic"/>
        </w:rPr>
        <w:t xml:space="preserve"> </w:t>
      </w:r>
    </w:p>
    <w:p w14:paraId="6318DDA8" w14:textId="125DC1C8" w:rsidR="00AA33AA" w:rsidRPr="00AA33AA" w:rsidRDefault="00AA33AA" w:rsidP="00AA33AA">
      <w:pPr>
        <w:rPr>
          <w:rFonts w:ascii="Century Gothic" w:hAnsi="Century Gothic"/>
          <w:b/>
        </w:rPr>
      </w:pPr>
      <w:r w:rsidRPr="4EB6BE86">
        <w:rPr>
          <w:rFonts w:ascii="Century Gothic" w:hAnsi="Century Gothic"/>
          <w:b/>
        </w:rPr>
        <w:t>Description</w:t>
      </w:r>
    </w:p>
    <w:p w14:paraId="4BFC727D" w14:textId="697B1FD5" w:rsidR="00AA33AA" w:rsidRPr="00AA33AA" w:rsidRDefault="00AA33AA" w:rsidP="00AA33AA">
      <w:pPr>
        <w:spacing w:line="257" w:lineRule="auto"/>
        <w:rPr>
          <w:rFonts w:ascii="Century Gothic" w:hAnsi="Century Gothic"/>
          <w:b/>
        </w:rPr>
      </w:pPr>
    </w:p>
    <w:p w14:paraId="2EC0F3F0" w14:textId="037D1C9C" w:rsidR="00AA33AA" w:rsidRPr="00AA33AA" w:rsidRDefault="00AA33AA" w:rsidP="00AA33AA">
      <w:pPr>
        <w:spacing w:line="257" w:lineRule="auto"/>
        <w:rPr>
          <w:rFonts w:ascii="Century Gothic" w:hAnsi="Century Gothic"/>
        </w:rPr>
      </w:pPr>
      <w:r w:rsidRPr="4EB6BE86">
        <w:rPr>
          <w:rFonts w:ascii="Century Gothic" w:hAnsi="Century Gothic"/>
        </w:rPr>
        <w:t>ECC/</w:t>
      </w:r>
      <w:r w:rsidR="002B0C27" w:rsidRPr="4EB6BE86">
        <w:rPr>
          <w:rFonts w:ascii="Century Gothic" w:hAnsi="Century Gothic"/>
        </w:rPr>
        <w:t>HANH,</w:t>
      </w:r>
      <w:r w:rsidRPr="4EB6BE86">
        <w:rPr>
          <w:rFonts w:ascii="Century Gothic" w:hAnsi="Century Gothic"/>
        </w:rPr>
        <w:t xml:space="preserve"> through its instrumentality The Glendower Group, seeks to redevelop Robert T. Wolfe. </w:t>
      </w:r>
    </w:p>
    <w:p w14:paraId="3B5AFF73" w14:textId="019EAFF8" w:rsidR="00AA33AA" w:rsidRPr="00AA33AA" w:rsidRDefault="00AA33AA" w:rsidP="00AA33AA">
      <w:pPr>
        <w:spacing w:line="257" w:lineRule="auto"/>
        <w:rPr>
          <w:rFonts w:ascii="Century Gothic" w:hAnsi="Century Gothic"/>
        </w:rPr>
      </w:pPr>
    </w:p>
    <w:p w14:paraId="2D06C0A3" w14:textId="62844550" w:rsidR="00AA33AA" w:rsidRPr="00AA33AA" w:rsidRDefault="00AA33AA" w:rsidP="00AA33AA">
      <w:pPr>
        <w:spacing w:line="257" w:lineRule="auto"/>
        <w:rPr>
          <w:rFonts w:ascii="Century Gothic" w:hAnsi="Century Gothic"/>
        </w:rPr>
      </w:pPr>
      <w:r w:rsidRPr="4EB6BE86">
        <w:rPr>
          <w:rFonts w:ascii="Century Gothic" w:hAnsi="Century Gothic"/>
        </w:rPr>
        <w:t>Robert T. Wolfe will be a transit-oriented redevelopment inclusive of commercial and other economic development improvements in the area.  The redevelopment of Robert T Wolfe will create a desirable, walkable community, connecting residents to the downtown area and the New Haven train station.  It is anticipated that the redevelopment will create approximately ninety (90) units with commercial and community space.  The project’s parcel is located near Union Station, a transit station.</w:t>
      </w:r>
    </w:p>
    <w:p w14:paraId="7718E93B" w14:textId="3CC195E1" w:rsidR="00AA33AA" w:rsidRPr="003168BA" w:rsidRDefault="00AA33AA" w:rsidP="00AA33AA">
      <w:pPr>
        <w:spacing w:line="257" w:lineRule="auto"/>
        <w:rPr>
          <w:rFonts w:ascii="Century Gothic" w:hAnsi="Century Gothic"/>
        </w:rPr>
      </w:pPr>
    </w:p>
    <w:p w14:paraId="11B8693C" w14:textId="0EBC5099" w:rsidR="00AA33AA" w:rsidRPr="003168BA" w:rsidRDefault="00AA33AA" w:rsidP="00AA33AA">
      <w:pPr>
        <w:spacing w:line="257" w:lineRule="auto"/>
        <w:rPr>
          <w:rFonts w:ascii="Century Gothic" w:hAnsi="Century Gothic"/>
        </w:rPr>
      </w:pPr>
      <w:r w:rsidRPr="003168BA">
        <w:rPr>
          <w:rFonts w:ascii="Century Gothic" w:hAnsi="Century Gothic"/>
        </w:rPr>
        <w:t xml:space="preserve">As part of the transformation plan, ECC/HANH proposed not only a redevelopment of the housing units at Robert T. Wolfe, but transformation of the surrounding </w:t>
      </w:r>
      <w:r w:rsidR="003A67CD">
        <w:rPr>
          <w:rFonts w:ascii="Century Gothic" w:hAnsi="Century Gothic"/>
        </w:rPr>
        <w:t>area</w:t>
      </w:r>
      <w:r w:rsidR="003A67CD" w:rsidRPr="003168BA">
        <w:rPr>
          <w:rFonts w:ascii="Century Gothic" w:hAnsi="Century Gothic"/>
        </w:rPr>
        <w:t xml:space="preserve"> </w:t>
      </w:r>
      <w:r w:rsidRPr="003168BA">
        <w:rPr>
          <w:rFonts w:ascii="Century Gothic" w:hAnsi="Century Gothic"/>
        </w:rPr>
        <w:t xml:space="preserve">into a community that supports the long-term economic sustainability of our residents and the long-term economic sustainability of the City of New Haven.  The transformation plan will be defined as a transit-oriented development.  </w:t>
      </w:r>
    </w:p>
    <w:p w14:paraId="6AA9CC61" w14:textId="15B4FF0C" w:rsidR="00AA33AA" w:rsidRPr="003168BA" w:rsidRDefault="00AA33AA" w:rsidP="00AA33AA">
      <w:pPr>
        <w:spacing w:line="257" w:lineRule="auto"/>
        <w:rPr>
          <w:rFonts w:ascii="Century Gothic" w:hAnsi="Century Gothic"/>
        </w:rPr>
      </w:pPr>
    </w:p>
    <w:p w14:paraId="0F129E2D" w14:textId="5FF23881" w:rsidR="00AA33AA" w:rsidRPr="003168BA" w:rsidRDefault="00AA33AA" w:rsidP="00AA33AA">
      <w:pPr>
        <w:spacing w:line="257" w:lineRule="auto"/>
        <w:rPr>
          <w:rFonts w:ascii="Century Gothic" w:hAnsi="Century Gothic"/>
        </w:rPr>
      </w:pPr>
      <w:r w:rsidRPr="003168BA">
        <w:rPr>
          <w:rFonts w:ascii="Century Gothic" w:hAnsi="Century Gothic"/>
        </w:rPr>
        <w:t xml:space="preserve">Through collaboration with other community partners, to include the Economic Development Corporation, the City of New Haven, the Board of Education and many more, ECC/HANH anticipates redesigning the infrastructure to create more traffic flow through the community, redesigning the housing units to be more spacious, removing barriers that individuals and families are facing by providing supportive services, and other critical components as they arise throughout the planning process.  The supportive services may include but are not limited to improved access to jobs, high quality early learning programs, public assets, public transportation, and high-quality public schools and education programs.  </w:t>
      </w:r>
    </w:p>
    <w:p w14:paraId="584ADE44" w14:textId="0D6A3C26" w:rsidR="00AA33AA" w:rsidRPr="003168BA" w:rsidRDefault="00AA33AA" w:rsidP="00AA33AA">
      <w:pPr>
        <w:spacing w:line="257" w:lineRule="auto"/>
        <w:rPr>
          <w:rFonts w:ascii="Century Gothic" w:hAnsi="Century Gothic"/>
        </w:rPr>
      </w:pPr>
      <w:r w:rsidRPr="003168BA">
        <w:rPr>
          <w:rFonts w:ascii="Century Gothic" w:hAnsi="Century Gothic"/>
        </w:rPr>
        <w:t xml:space="preserve"> </w:t>
      </w:r>
    </w:p>
    <w:p w14:paraId="4B3DC034" w14:textId="50BF26F8" w:rsidR="00AA33AA" w:rsidRPr="003168BA" w:rsidRDefault="00AA33AA" w:rsidP="00AA33AA">
      <w:pPr>
        <w:spacing w:line="257" w:lineRule="auto"/>
        <w:rPr>
          <w:rFonts w:ascii="Century Gothic" w:hAnsi="Century Gothic"/>
        </w:rPr>
      </w:pPr>
      <w:r w:rsidRPr="003168BA">
        <w:rPr>
          <w:rFonts w:ascii="Century Gothic" w:hAnsi="Century Gothic"/>
        </w:rPr>
        <w:t xml:space="preserve">This initiative will increase housing choice by providing additional affordable housing options in a transit district and the downtown area and will provide direct access to commercial space, retail shops, and job opportunities.  The inclusion of new affordable and market rate units where quality affordable housing doesn’t currently </w:t>
      </w:r>
      <w:r w:rsidR="002B0C27" w:rsidRPr="003168BA">
        <w:rPr>
          <w:rFonts w:ascii="Century Gothic" w:hAnsi="Century Gothic"/>
        </w:rPr>
        <w:t>exist</w:t>
      </w:r>
      <w:r w:rsidRPr="003168BA">
        <w:rPr>
          <w:rFonts w:ascii="Century Gothic" w:hAnsi="Century Gothic"/>
        </w:rPr>
        <w:t xml:space="preserve"> will also improve housing choice by creating new affordable units.  </w:t>
      </w:r>
    </w:p>
    <w:p w14:paraId="1B035B24" w14:textId="61F743B0" w:rsidR="00AA33AA" w:rsidRPr="003168BA" w:rsidRDefault="00AA33AA" w:rsidP="00AA33AA">
      <w:pPr>
        <w:spacing w:line="257" w:lineRule="auto"/>
        <w:rPr>
          <w:rFonts w:ascii="Century Gothic" w:hAnsi="Century Gothic"/>
        </w:rPr>
      </w:pPr>
    </w:p>
    <w:p w14:paraId="6ACC3C28" w14:textId="6327A8D5" w:rsidR="00AA33AA" w:rsidRPr="003168BA" w:rsidRDefault="00AA33AA" w:rsidP="00AA33AA">
      <w:pPr>
        <w:spacing w:line="257" w:lineRule="auto"/>
        <w:rPr>
          <w:rFonts w:ascii="Century Gothic" w:hAnsi="Century Gothic"/>
        </w:rPr>
      </w:pPr>
      <w:r w:rsidRPr="003168BA">
        <w:rPr>
          <w:rFonts w:ascii="Century Gothic" w:hAnsi="Century Gothic"/>
        </w:rPr>
        <w:t xml:space="preserve">Due to costs related to the demolition of ancillary buildings and the construction of a new approximate 90-unit residential building, the redevelopment of Robert T. Wolfe will be feasible through a mixed finance deal which includes the inclusion of Low-Income Tax Credit (LIHTC) equity, private financing, and Choice Neighborhood Implementation funding.   </w:t>
      </w:r>
    </w:p>
    <w:p w14:paraId="382CC0B2" w14:textId="1137DB7A" w:rsidR="00AA33AA" w:rsidRDefault="00AA33AA" w:rsidP="00AA33AA">
      <w:pPr>
        <w:spacing w:line="257" w:lineRule="auto"/>
        <w:rPr>
          <w:rFonts w:ascii="Century Gothic" w:hAnsi="Century Gothic"/>
        </w:rPr>
      </w:pPr>
    </w:p>
    <w:p w14:paraId="35F20843" w14:textId="77777777" w:rsidR="00427BA6" w:rsidRDefault="00427BA6" w:rsidP="00AA33AA">
      <w:pPr>
        <w:spacing w:line="257" w:lineRule="auto"/>
        <w:rPr>
          <w:rFonts w:ascii="Century Gothic" w:hAnsi="Century Gothic"/>
        </w:rPr>
      </w:pPr>
    </w:p>
    <w:p w14:paraId="57EE17C2" w14:textId="77777777" w:rsidR="00427BA6" w:rsidRDefault="00427BA6" w:rsidP="00AA33AA">
      <w:pPr>
        <w:spacing w:line="257" w:lineRule="auto"/>
        <w:rPr>
          <w:rFonts w:ascii="Century Gothic" w:hAnsi="Century Gothic"/>
        </w:rPr>
      </w:pPr>
    </w:p>
    <w:p w14:paraId="2C779DE7" w14:textId="77777777" w:rsidR="00427BA6" w:rsidRDefault="00427BA6" w:rsidP="00AA33AA">
      <w:pPr>
        <w:spacing w:line="257" w:lineRule="auto"/>
        <w:rPr>
          <w:rFonts w:ascii="Century Gothic" w:hAnsi="Century Gothic"/>
        </w:rPr>
      </w:pPr>
    </w:p>
    <w:p w14:paraId="5E143BA1" w14:textId="77777777" w:rsidR="00427BA6" w:rsidRDefault="00427BA6" w:rsidP="00AA33AA">
      <w:pPr>
        <w:spacing w:line="257" w:lineRule="auto"/>
        <w:rPr>
          <w:rFonts w:ascii="Century Gothic" w:hAnsi="Century Gothic"/>
        </w:rPr>
      </w:pPr>
    </w:p>
    <w:p w14:paraId="477FE867" w14:textId="77777777" w:rsidR="00427BA6" w:rsidRPr="003168BA" w:rsidRDefault="00427BA6" w:rsidP="00AA33AA">
      <w:pPr>
        <w:spacing w:line="257" w:lineRule="auto"/>
        <w:rPr>
          <w:rFonts w:ascii="Century Gothic" w:hAnsi="Century Gothic"/>
        </w:rPr>
      </w:pPr>
    </w:p>
    <w:p w14:paraId="27E93160" w14:textId="3A470151" w:rsidR="00AA33AA" w:rsidRPr="003168BA" w:rsidRDefault="00AA33AA" w:rsidP="00AA33AA">
      <w:pPr>
        <w:spacing w:line="257" w:lineRule="auto"/>
        <w:rPr>
          <w:rFonts w:ascii="Century Gothic" w:eastAsia="Times New Roman" w:hAnsi="Century Gothic"/>
          <w:b/>
          <w:bCs/>
        </w:rPr>
      </w:pPr>
      <w:r w:rsidRPr="003168BA">
        <w:rPr>
          <w:rFonts w:ascii="Century Gothic" w:eastAsia="Times New Roman" w:hAnsi="Century Gothic"/>
          <w:b/>
          <w:bCs/>
        </w:rPr>
        <w:lastRenderedPageBreak/>
        <w:t>Impact</w:t>
      </w:r>
    </w:p>
    <w:p w14:paraId="3817F901" w14:textId="6C53B7DD" w:rsidR="00AA33AA" w:rsidRPr="003168BA" w:rsidRDefault="00AA33AA" w:rsidP="00AA33AA">
      <w:pPr>
        <w:spacing w:line="257" w:lineRule="auto"/>
        <w:rPr>
          <w:rFonts w:ascii="Century Gothic" w:eastAsia="Times New Roman" w:hAnsi="Century Gothic"/>
        </w:rPr>
      </w:pPr>
    </w:p>
    <w:p w14:paraId="0AB87FFF" w14:textId="0DB5FB26" w:rsidR="00AA33AA" w:rsidRPr="003168BA" w:rsidRDefault="00AA33AA" w:rsidP="00AA33AA">
      <w:pPr>
        <w:spacing w:line="257" w:lineRule="auto"/>
        <w:rPr>
          <w:rFonts w:ascii="Century Gothic" w:eastAsia="Times New Roman" w:hAnsi="Century Gothic"/>
        </w:rPr>
      </w:pPr>
      <w:r w:rsidRPr="003168BA">
        <w:rPr>
          <w:rFonts w:ascii="Century Gothic" w:eastAsia="Times New Roman" w:hAnsi="Century Gothic"/>
        </w:rPr>
        <w:t>ECC/HANH is still in the planning stages.</w:t>
      </w:r>
    </w:p>
    <w:p w14:paraId="63130AF0" w14:textId="1B007ABF" w:rsidR="00AA33AA" w:rsidRPr="003168BA" w:rsidRDefault="00AA33AA" w:rsidP="00AA33AA">
      <w:pPr>
        <w:spacing w:line="257" w:lineRule="auto"/>
        <w:rPr>
          <w:rFonts w:ascii="Century Gothic" w:eastAsia="Times New Roman" w:hAnsi="Century Gothic"/>
        </w:rPr>
      </w:pPr>
    </w:p>
    <w:p w14:paraId="21B412E4" w14:textId="48A703ED" w:rsidR="00744944" w:rsidRDefault="00AA33AA" w:rsidP="00AA33AA">
      <w:pPr>
        <w:spacing w:line="257" w:lineRule="auto"/>
        <w:rPr>
          <w:rFonts w:ascii="Century Gothic" w:hAnsi="Century Gothic"/>
        </w:rPr>
      </w:pPr>
      <w:r w:rsidRPr="003168BA">
        <w:rPr>
          <w:rFonts w:ascii="Century Gothic" w:hAnsi="Century Gothic"/>
        </w:rPr>
        <w:t xml:space="preserve">ECC/HANH was awarded the Choice Neighborhoods Initiative Planning Grant (CNI) in FY2023.  This CNI planning grant will allow for a comprehensive approach to neighborhood transformation. </w:t>
      </w:r>
    </w:p>
    <w:p w14:paraId="308D9ED1" w14:textId="122B385C" w:rsidR="00744944" w:rsidRDefault="00744944" w:rsidP="00AA33AA">
      <w:pPr>
        <w:spacing w:line="257" w:lineRule="auto"/>
        <w:rPr>
          <w:rFonts w:ascii="Century Gothic" w:hAnsi="Century Gothic"/>
        </w:rPr>
      </w:pPr>
    </w:p>
    <w:p w14:paraId="6C9786F4" w14:textId="1710AD1A" w:rsidR="00AA33AA" w:rsidRDefault="00AA33AA" w:rsidP="00AA33AA">
      <w:pPr>
        <w:spacing w:line="257" w:lineRule="auto"/>
        <w:rPr>
          <w:rFonts w:ascii="Century Gothic" w:hAnsi="Century Gothic"/>
        </w:rPr>
      </w:pPr>
      <w:r w:rsidRPr="003168BA">
        <w:rPr>
          <w:rFonts w:ascii="Century Gothic" w:hAnsi="Century Gothic"/>
        </w:rPr>
        <w:t xml:space="preserve">This grant will provide $500,000 in funding to develop a transformation plan to revitalize Robert T. Wolfe and the surrounding neighborhood.   As one of the older, blighted developments in our portfolio, Robert T. Wolfe is an ideal center, focused towards initiating a transformation plan. </w:t>
      </w:r>
    </w:p>
    <w:p w14:paraId="49F1D369" w14:textId="5F578572" w:rsidR="00146061" w:rsidRPr="003168BA" w:rsidRDefault="00146061" w:rsidP="00AA33AA">
      <w:pPr>
        <w:spacing w:line="257" w:lineRule="auto"/>
        <w:rPr>
          <w:rFonts w:ascii="Century Gothic" w:hAnsi="Century Gothic"/>
        </w:rPr>
      </w:pPr>
    </w:p>
    <w:p w14:paraId="0C2142D1" w14:textId="02ABF379" w:rsidR="00AA33AA" w:rsidRPr="003168BA" w:rsidRDefault="00AA33AA" w:rsidP="00AA33AA">
      <w:pPr>
        <w:spacing w:line="257" w:lineRule="auto"/>
        <w:rPr>
          <w:rFonts w:ascii="Century Gothic" w:hAnsi="Century Gothic"/>
        </w:rPr>
      </w:pPr>
      <w:r w:rsidRPr="003168BA">
        <w:rPr>
          <w:rFonts w:ascii="Century Gothic" w:hAnsi="Century Gothic"/>
        </w:rPr>
        <w:t xml:space="preserve">ECC/HANH </w:t>
      </w:r>
      <w:r w:rsidR="00146061">
        <w:rPr>
          <w:rFonts w:ascii="Century Gothic" w:hAnsi="Century Gothic"/>
        </w:rPr>
        <w:t xml:space="preserve">expanded the scope </w:t>
      </w:r>
      <w:r w:rsidR="006D6940">
        <w:rPr>
          <w:rFonts w:ascii="Century Gothic" w:hAnsi="Century Gothic"/>
        </w:rPr>
        <w:t>by</w:t>
      </w:r>
      <w:r w:rsidRPr="003168BA">
        <w:rPr>
          <w:rFonts w:ascii="Century Gothic" w:hAnsi="Century Gothic"/>
        </w:rPr>
        <w:t xml:space="preserve"> acquir</w:t>
      </w:r>
      <w:r w:rsidR="003C1506">
        <w:rPr>
          <w:rFonts w:ascii="Century Gothic" w:hAnsi="Century Gothic"/>
        </w:rPr>
        <w:t>ing</w:t>
      </w:r>
      <w:r w:rsidRPr="003168BA">
        <w:rPr>
          <w:rFonts w:ascii="Century Gothic" w:hAnsi="Century Gothic"/>
        </w:rPr>
        <w:t xml:space="preserve"> the former Church Street South site that is adjacent to the Robert T. Wolfe development.  This planning grant represents a unique, resident-driven initiative aimed at fostering community-led neighborhood transformation. </w:t>
      </w:r>
    </w:p>
    <w:p w14:paraId="730D0F49" w14:textId="55CACBCC" w:rsidR="00AA33AA" w:rsidRPr="003168BA" w:rsidRDefault="00AA33AA" w:rsidP="00AA33AA">
      <w:pPr>
        <w:spacing w:line="257" w:lineRule="auto"/>
        <w:rPr>
          <w:rFonts w:ascii="Century Gothic" w:hAnsi="Century Gothic"/>
        </w:rPr>
      </w:pPr>
    </w:p>
    <w:p w14:paraId="571048AC" w14:textId="5356AAA6" w:rsidR="00AA33AA" w:rsidRPr="003168BA" w:rsidRDefault="00AA33AA" w:rsidP="00AA33AA">
      <w:pPr>
        <w:spacing w:line="257" w:lineRule="auto"/>
        <w:rPr>
          <w:rFonts w:ascii="Century Gothic" w:hAnsi="Century Gothic"/>
        </w:rPr>
      </w:pPr>
      <w:r w:rsidRPr="003168BA">
        <w:rPr>
          <w:rFonts w:ascii="Century Gothic" w:hAnsi="Century Gothic"/>
        </w:rPr>
        <w:t xml:space="preserve">In FY24, ECC/HANH engaged in a series of collaborative task force meetings, each focusing on essential elements of community planning, including people, housing, and neighborhood revitalization. These meetings served as a platform for deepening </w:t>
      </w:r>
      <w:r w:rsidR="002B0C27">
        <w:rPr>
          <w:rFonts w:ascii="Century Gothic" w:hAnsi="Century Gothic"/>
        </w:rPr>
        <w:t>understanding</w:t>
      </w:r>
      <w:r w:rsidRPr="003168BA">
        <w:rPr>
          <w:rFonts w:ascii="Century Gothic" w:hAnsi="Century Gothic"/>
        </w:rPr>
        <w:t>, sharing ideas, and setting the groundwork for a shared vision of the future.</w:t>
      </w:r>
    </w:p>
    <w:p w14:paraId="26C0D0B8" w14:textId="08D4DCEA" w:rsidR="00AA33AA" w:rsidRPr="003168BA" w:rsidRDefault="00AA33AA" w:rsidP="00AA33AA">
      <w:pPr>
        <w:spacing w:line="257" w:lineRule="auto"/>
        <w:rPr>
          <w:rFonts w:ascii="Century Gothic" w:hAnsi="Century Gothic"/>
        </w:rPr>
      </w:pPr>
    </w:p>
    <w:p w14:paraId="4E13DB57" w14:textId="1D9A5352" w:rsidR="00AA33AA" w:rsidRPr="003168BA" w:rsidRDefault="002B0C27" w:rsidP="00AA33AA">
      <w:pPr>
        <w:spacing w:line="257" w:lineRule="auto"/>
        <w:rPr>
          <w:rFonts w:ascii="Century Gothic" w:hAnsi="Century Gothic"/>
        </w:rPr>
      </w:pPr>
      <w:r w:rsidRPr="003168BA">
        <w:rPr>
          <w:rFonts w:ascii="Century Gothic" w:hAnsi="Century Gothic"/>
        </w:rPr>
        <w:t>A key highlight of community engagement</w:t>
      </w:r>
      <w:r w:rsidR="00AA33AA" w:rsidRPr="003168BA">
        <w:rPr>
          <w:rFonts w:ascii="Century Gothic" w:hAnsi="Century Gothic"/>
        </w:rPr>
        <w:t xml:space="preserve"> was a bus tour to the Norwalk Housing Authority, which had successfully navigated a Choice Neighborhood Initiative (CNI) grant in previous years. This visit provided valuable insights into how federal investment can drive meaningful </w:t>
      </w:r>
      <w:r w:rsidRPr="003168BA">
        <w:rPr>
          <w:rFonts w:ascii="Century Gothic" w:hAnsi="Century Gothic"/>
        </w:rPr>
        <w:t>changes</w:t>
      </w:r>
      <w:r w:rsidR="00AA33AA" w:rsidRPr="003168BA">
        <w:rPr>
          <w:rFonts w:ascii="Century Gothic" w:hAnsi="Century Gothic"/>
        </w:rPr>
        <w:t xml:space="preserve"> in housing and neighborhood development, sparking new ideas and approaches for our own community.</w:t>
      </w:r>
    </w:p>
    <w:p w14:paraId="6AD270CB" w14:textId="420CC19E" w:rsidR="00AA33AA" w:rsidRPr="003168BA" w:rsidRDefault="00AA33AA" w:rsidP="00AA33AA">
      <w:pPr>
        <w:spacing w:line="257" w:lineRule="auto"/>
        <w:rPr>
          <w:rFonts w:ascii="Century Gothic" w:hAnsi="Century Gothic"/>
        </w:rPr>
      </w:pPr>
    </w:p>
    <w:p w14:paraId="263E13EF" w14:textId="18A53B09" w:rsidR="00AA33AA" w:rsidRPr="003168BA" w:rsidRDefault="00AA33AA" w:rsidP="00AA33AA">
      <w:pPr>
        <w:spacing w:line="257" w:lineRule="auto"/>
        <w:rPr>
          <w:rFonts w:ascii="Century Gothic" w:hAnsi="Century Gothic"/>
        </w:rPr>
      </w:pPr>
      <w:r w:rsidRPr="003168BA">
        <w:rPr>
          <w:rFonts w:ascii="Century Gothic" w:hAnsi="Century Gothic"/>
        </w:rPr>
        <w:t xml:space="preserve">In addition, </w:t>
      </w:r>
      <w:r w:rsidR="00843776">
        <w:rPr>
          <w:rFonts w:ascii="Century Gothic" w:hAnsi="Century Gothic"/>
        </w:rPr>
        <w:t>ECC/HANH</w:t>
      </w:r>
      <w:r w:rsidR="00843776" w:rsidRPr="003168BA">
        <w:rPr>
          <w:rFonts w:ascii="Century Gothic" w:hAnsi="Century Gothic"/>
        </w:rPr>
        <w:t xml:space="preserve"> </w:t>
      </w:r>
      <w:r w:rsidRPr="003168BA">
        <w:rPr>
          <w:rFonts w:ascii="Century Gothic" w:hAnsi="Century Gothic"/>
        </w:rPr>
        <w:t>completed resident and neighborhood assessments, where residents had the opportunity to take on leadership roles as "floor captains." This approach allowed residents to actively participate in gathering feedback, identifying key priorities, and ensuring that diverse voices were heard throughout the assessment process. The insights gathered from these assessments have been instrumental in guiding the planning and decision-making process.</w:t>
      </w:r>
    </w:p>
    <w:p w14:paraId="368F78CA" w14:textId="4CB78E8E" w:rsidR="00AA33AA" w:rsidRPr="003168BA" w:rsidRDefault="00AA33AA" w:rsidP="00AA33AA">
      <w:pPr>
        <w:spacing w:line="257" w:lineRule="auto"/>
        <w:rPr>
          <w:rFonts w:ascii="Century Gothic" w:hAnsi="Century Gothic"/>
        </w:rPr>
      </w:pPr>
    </w:p>
    <w:p w14:paraId="3919A35E" w14:textId="44A6EE89" w:rsidR="00AA33AA" w:rsidRPr="003168BA" w:rsidRDefault="00AA33AA" w:rsidP="00AA33AA">
      <w:pPr>
        <w:spacing w:line="257" w:lineRule="auto"/>
        <w:rPr>
          <w:rFonts w:ascii="Century Gothic" w:hAnsi="Century Gothic"/>
        </w:rPr>
      </w:pPr>
      <w:r w:rsidRPr="003168BA">
        <w:rPr>
          <w:rFonts w:ascii="Century Gothic" w:hAnsi="Century Gothic"/>
        </w:rPr>
        <w:t>Capacity building has been a central focus of the work of ECC/HANH, ensuring that both community members and local partners are equipped with the tools, knowledge, and support needed to contribute to this process effectively. ECC/HANH continues to strengthen our partnerships with local organizations, non-profits, and stakeholders to collaboratively develop a comprehensive transformation plan that is responsive to the needs and aspirations of residents.</w:t>
      </w:r>
    </w:p>
    <w:p w14:paraId="279D19A7" w14:textId="610D7101" w:rsidR="00AA33AA" w:rsidRPr="003168BA" w:rsidRDefault="00AA33AA" w:rsidP="00AA33AA">
      <w:pPr>
        <w:spacing w:line="257" w:lineRule="auto"/>
        <w:rPr>
          <w:rFonts w:ascii="Century Gothic" w:hAnsi="Century Gothic"/>
        </w:rPr>
      </w:pPr>
    </w:p>
    <w:p w14:paraId="50EDE09A" w14:textId="7A9C1A3C" w:rsidR="00AA33AA" w:rsidRPr="003168BA" w:rsidRDefault="00AA33AA" w:rsidP="00AA33AA">
      <w:pPr>
        <w:spacing w:line="257" w:lineRule="auto"/>
        <w:rPr>
          <w:rFonts w:ascii="Century Gothic" w:hAnsi="Century Gothic"/>
        </w:rPr>
      </w:pPr>
      <w:r w:rsidRPr="003168BA">
        <w:rPr>
          <w:rFonts w:ascii="Century Gothic" w:hAnsi="Century Gothic"/>
        </w:rPr>
        <w:t xml:space="preserve">One of the most significant events of the year was </w:t>
      </w:r>
      <w:r w:rsidR="00D84F14">
        <w:rPr>
          <w:rFonts w:ascii="Century Gothic" w:hAnsi="Century Gothic"/>
        </w:rPr>
        <w:t>the</w:t>
      </w:r>
      <w:r w:rsidR="00D84F14" w:rsidRPr="003168BA">
        <w:rPr>
          <w:rFonts w:ascii="Century Gothic" w:hAnsi="Century Gothic"/>
        </w:rPr>
        <w:t xml:space="preserve"> </w:t>
      </w:r>
      <w:r w:rsidRPr="003168BA">
        <w:rPr>
          <w:rFonts w:ascii="Century Gothic" w:hAnsi="Century Gothic"/>
        </w:rPr>
        <w:t>four-day charrette, held in September 2024. This immersive planning workshop brought together residents, community leaders, and design professionals to focus on community vision and the future of Union Square. Participants had the opportunity to engage in hands-on activities, contribute ideas, and collaborate on initial design sketches, laying the foundation for the next phase of planning and development.</w:t>
      </w:r>
    </w:p>
    <w:p w14:paraId="50CE51FB" w14:textId="4756ECBF" w:rsidR="00AA33AA" w:rsidRPr="003168BA" w:rsidRDefault="00AA33AA" w:rsidP="00AA33AA">
      <w:pPr>
        <w:spacing w:line="257" w:lineRule="auto"/>
        <w:rPr>
          <w:rFonts w:ascii="Century Gothic" w:hAnsi="Century Gothic"/>
        </w:rPr>
      </w:pPr>
      <w:r w:rsidRPr="003168BA">
        <w:rPr>
          <w:rFonts w:ascii="Century Gothic" w:hAnsi="Century Gothic"/>
        </w:rPr>
        <w:t xml:space="preserve">Through these ongoing efforts, </w:t>
      </w:r>
      <w:r w:rsidR="00F4381E">
        <w:rPr>
          <w:rFonts w:ascii="Century Gothic" w:hAnsi="Century Gothic"/>
        </w:rPr>
        <w:t>ECC/HANH is</w:t>
      </w:r>
      <w:r w:rsidRPr="003168BA">
        <w:rPr>
          <w:rFonts w:ascii="Century Gothic" w:hAnsi="Century Gothic"/>
        </w:rPr>
        <w:t xml:space="preserve"> building momentum toward a unified vision for Union Square, one that is driven by community input and centered on equitable, sustainable development. </w:t>
      </w:r>
    </w:p>
    <w:p w14:paraId="162BE274" w14:textId="178BF58D" w:rsidR="00AA33AA" w:rsidRPr="003168BA" w:rsidRDefault="00AA33AA" w:rsidP="00AA33AA">
      <w:pPr>
        <w:spacing w:line="257" w:lineRule="auto"/>
        <w:rPr>
          <w:rFonts w:ascii="Century Gothic" w:hAnsi="Century Gothic"/>
        </w:rPr>
      </w:pPr>
    </w:p>
    <w:p w14:paraId="2C9B2E92" w14:textId="51B91395" w:rsidR="00AA33AA" w:rsidRDefault="003E30AE" w:rsidP="00AA33AA">
      <w:pPr>
        <w:spacing w:line="257" w:lineRule="auto"/>
        <w:rPr>
          <w:rFonts w:ascii="Century Gothic" w:hAnsi="Century Gothic"/>
        </w:rPr>
      </w:pPr>
      <w:r w:rsidRPr="188A1EBF">
        <w:rPr>
          <w:rFonts w:ascii="Century Gothic" w:hAnsi="Century Gothic"/>
        </w:rPr>
        <w:t xml:space="preserve">ECC/HANH </w:t>
      </w:r>
      <w:r w:rsidR="00AA33AA" w:rsidRPr="188A1EBF">
        <w:rPr>
          <w:rFonts w:ascii="Century Gothic" w:hAnsi="Century Gothic"/>
        </w:rPr>
        <w:t>anticipate</w:t>
      </w:r>
      <w:r w:rsidRPr="188A1EBF">
        <w:rPr>
          <w:rFonts w:ascii="Century Gothic" w:hAnsi="Century Gothic"/>
        </w:rPr>
        <w:t>s</w:t>
      </w:r>
      <w:r w:rsidR="00AA33AA" w:rsidRPr="188A1EBF">
        <w:rPr>
          <w:rFonts w:ascii="Century Gothic" w:hAnsi="Century Gothic"/>
        </w:rPr>
        <w:t xml:space="preserve"> a </w:t>
      </w:r>
      <w:proofErr w:type="gramStart"/>
      <w:r w:rsidR="00AA33AA" w:rsidRPr="188A1EBF">
        <w:rPr>
          <w:rFonts w:ascii="Century Gothic" w:hAnsi="Century Gothic"/>
        </w:rPr>
        <w:t>completed</w:t>
      </w:r>
      <w:proofErr w:type="gramEnd"/>
      <w:r w:rsidR="00AA33AA" w:rsidRPr="188A1EBF">
        <w:rPr>
          <w:rFonts w:ascii="Century Gothic" w:hAnsi="Century Gothic"/>
        </w:rPr>
        <w:t xml:space="preserve"> transformation plan by the end of </w:t>
      </w:r>
      <w:r w:rsidR="0000F857" w:rsidRPr="188A1EBF">
        <w:rPr>
          <w:rFonts w:ascii="Century Gothic" w:hAnsi="Century Gothic"/>
        </w:rPr>
        <w:t>2</w:t>
      </w:r>
      <w:r w:rsidR="0000F857" w:rsidRPr="188A1EBF">
        <w:rPr>
          <w:rFonts w:ascii="Century Gothic" w:hAnsi="Century Gothic"/>
          <w:vertAlign w:val="superscript"/>
        </w:rPr>
        <w:t>nd</w:t>
      </w:r>
      <w:r w:rsidR="0000F857" w:rsidRPr="188A1EBF">
        <w:rPr>
          <w:rFonts w:ascii="Century Gothic" w:hAnsi="Century Gothic"/>
        </w:rPr>
        <w:t xml:space="preserve"> </w:t>
      </w:r>
      <w:r w:rsidR="00AA33AA" w:rsidRPr="188A1EBF">
        <w:rPr>
          <w:rFonts w:ascii="Century Gothic" w:hAnsi="Century Gothic"/>
        </w:rPr>
        <w:t>quarter 2025.</w:t>
      </w:r>
    </w:p>
    <w:p w14:paraId="04AB549D" w14:textId="1BB4F938" w:rsidR="003E30AE" w:rsidRPr="003168BA" w:rsidRDefault="003E30AE" w:rsidP="00AA33AA">
      <w:pPr>
        <w:spacing w:line="257" w:lineRule="auto"/>
        <w:rPr>
          <w:rFonts w:ascii="Century Gothic" w:hAnsi="Century Gothic"/>
        </w:rPr>
      </w:pPr>
    </w:p>
    <w:p w14:paraId="585653E1" w14:textId="44C903C1" w:rsidR="00AA33AA" w:rsidRPr="003168BA" w:rsidRDefault="00AA33AA" w:rsidP="00AA33AA">
      <w:pPr>
        <w:spacing w:line="257" w:lineRule="auto"/>
        <w:rPr>
          <w:rFonts w:ascii="Century Gothic" w:hAnsi="Century Gothic"/>
        </w:rPr>
      </w:pPr>
      <w:r w:rsidRPr="188A1EBF">
        <w:rPr>
          <w:rFonts w:ascii="Century Gothic" w:hAnsi="Century Gothic"/>
        </w:rPr>
        <w:lastRenderedPageBreak/>
        <w:t xml:space="preserve">The financial closings are anticipated for the </w:t>
      </w:r>
      <w:r w:rsidR="21819F45" w:rsidRPr="188A1EBF">
        <w:rPr>
          <w:rFonts w:ascii="Century Gothic" w:hAnsi="Century Gothic"/>
        </w:rPr>
        <w:t>1st quarter</w:t>
      </w:r>
      <w:r w:rsidRPr="188A1EBF">
        <w:rPr>
          <w:rFonts w:ascii="Century Gothic" w:hAnsi="Century Gothic"/>
        </w:rPr>
        <w:t xml:space="preserve"> of FY202</w:t>
      </w:r>
      <w:r w:rsidR="3B6FFD59" w:rsidRPr="188A1EBF">
        <w:rPr>
          <w:rFonts w:ascii="Century Gothic" w:hAnsi="Century Gothic"/>
        </w:rPr>
        <w:t>6</w:t>
      </w:r>
      <w:r w:rsidRPr="188A1EBF">
        <w:rPr>
          <w:rFonts w:ascii="Century Gothic" w:hAnsi="Century Gothic"/>
        </w:rPr>
        <w:t xml:space="preserve">.  It is anticipated that construction will take 18 months to </w:t>
      </w:r>
      <w:r w:rsidR="002B0C27" w:rsidRPr="188A1EBF">
        <w:rPr>
          <w:rFonts w:ascii="Century Gothic" w:hAnsi="Century Gothic"/>
        </w:rPr>
        <w:t>ensure</w:t>
      </w:r>
      <w:r w:rsidRPr="188A1EBF">
        <w:rPr>
          <w:rFonts w:ascii="Century Gothic" w:hAnsi="Century Gothic"/>
        </w:rPr>
        <w:t xml:space="preserve"> that all required relocation activities comply with the Uniform Relocation Act.  Under this scenario the redevelopment will be complete, and all units occupied by the first quarter of calendar year 202</w:t>
      </w:r>
      <w:r w:rsidR="0002D886" w:rsidRPr="188A1EBF">
        <w:rPr>
          <w:rFonts w:ascii="Century Gothic" w:hAnsi="Century Gothic"/>
        </w:rPr>
        <w:t>7</w:t>
      </w:r>
      <w:r w:rsidRPr="188A1EBF">
        <w:rPr>
          <w:rFonts w:ascii="Century Gothic" w:hAnsi="Century Gothic"/>
        </w:rPr>
        <w:t>.</w:t>
      </w:r>
    </w:p>
    <w:p w14:paraId="50FC81BE" w14:textId="77777777" w:rsidR="00427BA6" w:rsidRDefault="00427BA6" w:rsidP="00AA33AA">
      <w:pPr>
        <w:spacing w:line="257" w:lineRule="auto"/>
        <w:rPr>
          <w:rFonts w:ascii="Century Gothic" w:hAnsi="Century Gothic"/>
          <w:b/>
        </w:rPr>
      </w:pPr>
    </w:p>
    <w:p w14:paraId="6B7636D8" w14:textId="110391C9" w:rsidR="00AA33AA" w:rsidRPr="003168BA" w:rsidRDefault="00AA33AA" w:rsidP="00AA33AA">
      <w:pPr>
        <w:spacing w:line="257" w:lineRule="auto"/>
        <w:rPr>
          <w:rFonts w:ascii="Century Gothic" w:hAnsi="Century Gothic"/>
          <w:b/>
        </w:rPr>
      </w:pPr>
      <w:r w:rsidRPr="4EB6BE86">
        <w:rPr>
          <w:rFonts w:ascii="Century Gothic" w:hAnsi="Century Gothic"/>
          <w:b/>
        </w:rPr>
        <w:t>Outcomes</w:t>
      </w:r>
    </w:p>
    <w:p w14:paraId="25CB8098" w14:textId="56E93DA2" w:rsidR="00AA33AA" w:rsidRPr="003168BA" w:rsidRDefault="005018A3" w:rsidP="00AA33AA">
      <w:pPr>
        <w:spacing w:line="257" w:lineRule="auto"/>
        <w:rPr>
          <w:rFonts w:ascii="Century Gothic" w:hAnsi="Century Gothic"/>
        </w:rPr>
      </w:pPr>
      <w:r>
        <w:rPr>
          <w:rFonts w:ascii="Century Gothic" w:hAnsi="Century Gothic"/>
          <w:b/>
        </w:rPr>
        <w:t>Internal</w:t>
      </w:r>
      <w:r w:rsidR="00AA33AA" w:rsidRPr="4EB6BE86">
        <w:rPr>
          <w:rFonts w:ascii="Century Gothic" w:hAnsi="Century Gothic"/>
          <w:b/>
        </w:rPr>
        <w:t xml:space="preserve"> Metrics</w:t>
      </w:r>
    </w:p>
    <w:p w14:paraId="0B1104D0" w14:textId="371A745F" w:rsidR="00AA33AA" w:rsidRPr="003168BA" w:rsidRDefault="00AA33AA" w:rsidP="00AA33AA">
      <w:pPr>
        <w:jc w:val="center"/>
        <w:rPr>
          <w:rFonts w:ascii="Century Gothic" w:eastAsia="Calibri" w:hAnsi="Century Gothic"/>
          <w:b/>
          <w:i/>
        </w:rPr>
      </w:pPr>
      <w:r w:rsidRPr="4EB6BE86">
        <w:rPr>
          <w:rFonts w:ascii="Century Gothic" w:eastAsia="Calibri" w:hAnsi="Century Gothic"/>
          <w:b/>
          <w:i/>
        </w:rPr>
        <w:t>HC #1: Additional Units of Housing Made Available</w:t>
      </w:r>
    </w:p>
    <w:tbl>
      <w:tblPr>
        <w:tblStyle w:val="TableGrid"/>
        <w:tblW w:w="0" w:type="auto"/>
        <w:tblLayout w:type="fixed"/>
        <w:tblLook w:val="04A0" w:firstRow="1" w:lastRow="0" w:firstColumn="1" w:lastColumn="0" w:noHBand="0" w:noVBand="1"/>
      </w:tblPr>
      <w:tblGrid>
        <w:gridCol w:w="2730"/>
        <w:gridCol w:w="1875"/>
        <w:gridCol w:w="1890"/>
        <w:gridCol w:w="1890"/>
        <w:gridCol w:w="1800"/>
      </w:tblGrid>
      <w:tr w:rsidR="00AA33AA" w:rsidRPr="003168BA" w14:paraId="0A97787C" w14:textId="77777777">
        <w:trPr>
          <w:trHeight w:val="300"/>
        </w:trPr>
        <w:tc>
          <w:tcPr>
            <w:tcW w:w="2730" w:type="dxa"/>
            <w:tcBorders>
              <w:top w:val="single" w:sz="18" w:space="0" w:color="auto"/>
              <w:left w:val="single" w:sz="18" w:space="0" w:color="auto"/>
              <w:bottom w:val="single" w:sz="18" w:space="0" w:color="auto"/>
              <w:right w:val="single" w:sz="18" w:space="0" w:color="auto"/>
            </w:tcBorders>
            <w:shd w:val="clear" w:color="auto" w:fill="E5E5E5"/>
            <w:vAlign w:val="center"/>
          </w:tcPr>
          <w:p w14:paraId="26F25EE1" w14:textId="77777777" w:rsidR="00AA33AA" w:rsidRPr="003168BA" w:rsidRDefault="00AA33AA">
            <w:pPr>
              <w:jc w:val="center"/>
              <w:rPr>
                <w:rFonts w:ascii="Century Gothic" w:eastAsia="Calibri" w:hAnsi="Century Gothic"/>
                <w:b/>
                <w:bCs/>
                <w:color w:val="000000" w:themeColor="text1"/>
                <w:szCs w:val="22"/>
              </w:rPr>
            </w:pPr>
            <w:r w:rsidRPr="003168BA">
              <w:rPr>
                <w:rFonts w:ascii="Century Gothic" w:eastAsia="Calibri" w:hAnsi="Century Gothic"/>
                <w:b/>
                <w:bCs/>
                <w:szCs w:val="22"/>
              </w:rPr>
              <w:t xml:space="preserve">Unit of </w:t>
            </w:r>
            <w:r w:rsidRPr="003168BA">
              <w:rPr>
                <w:rFonts w:ascii="Century Gothic" w:eastAsia="Calibri" w:hAnsi="Century Gothic"/>
                <w:b/>
                <w:bCs/>
                <w:color w:val="000000" w:themeColor="text1"/>
                <w:szCs w:val="22"/>
              </w:rPr>
              <w:t>Measurement</w:t>
            </w:r>
          </w:p>
        </w:tc>
        <w:tc>
          <w:tcPr>
            <w:tcW w:w="1875" w:type="dxa"/>
            <w:tcBorders>
              <w:top w:val="single" w:sz="18" w:space="0" w:color="auto"/>
              <w:left w:val="single" w:sz="18" w:space="0" w:color="auto"/>
              <w:bottom w:val="single" w:sz="18" w:space="0" w:color="auto"/>
              <w:right w:val="single" w:sz="18" w:space="0" w:color="auto"/>
            </w:tcBorders>
            <w:shd w:val="clear" w:color="auto" w:fill="E5E5E5"/>
            <w:vAlign w:val="center"/>
          </w:tcPr>
          <w:p w14:paraId="3B2EA3DF" w14:textId="77777777" w:rsidR="00AA33AA" w:rsidRPr="003168BA" w:rsidRDefault="00AA33AA">
            <w:pPr>
              <w:jc w:val="center"/>
              <w:rPr>
                <w:rFonts w:ascii="Century Gothic" w:eastAsia="Calibri" w:hAnsi="Century Gothic"/>
                <w:b/>
                <w:bCs/>
                <w:color w:val="000000" w:themeColor="text1"/>
                <w:szCs w:val="22"/>
              </w:rPr>
            </w:pPr>
            <w:r w:rsidRPr="003168BA">
              <w:rPr>
                <w:rFonts w:ascii="Century Gothic" w:eastAsia="Calibri" w:hAnsi="Century Gothic"/>
                <w:b/>
                <w:bCs/>
                <w:color w:val="000000" w:themeColor="text1"/>
                <w:szCs w:val="22"/>
              </w:rPr>
              <w:t>Baseline</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07517C74" w14:textId="77777777" w:rsidR="00AA33AA" w:rsidRPr="003168BA" w:rsidRDefault="00AA33AA">
            <w:pPr>
              <w:jc w:val="center"/>
              <w:rPr>
                <w:rFonts w:ascii="Century Gothic" w:eastAsia="Calibri" w:hAnsi="Century Gothic"/>
                <w:b/>
                <w:bCs/>
                <w:color w:val="000000" w:themeColor="text1"/>
                <w:szCs w:val="22"/>
              </w:rPr>
            </w:pPr>
            <w:r w:rsidRPr="003168BA">
              <w:rPr>
                <w:rFonts w:ascii="Century Gothic" w:eastAsia="Calibri" w:hAnsi="Century Gothic"/>
                <w:b/>
                <w:bCs/>
                <w:color w:val="000000" w:themeColor="text1"/>
                <w:szCs w:val="22"/>
              </w:rPr>
              <w:t>Benchmark</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5C202AD5" w14:textId="77777777" w:rsidR="00AA33AA" w:rsidRPr="003168BA" w:rsidRDefault="00AA33AA">
            <w:pPr>
              <w:jc w:val="center"/>
              <w:rPr>
                <w:rFonts w:ascii="Century Gothic" w:eastAsia="Calibri" w:hAnsi="Century Gothic"/>
                <w:b/>
                <w:bCs/>
                <w:color w:val="000000" w:themeColor="text1"/>
                <w:szCs w:val="22"/>
              </w:rPr>
            </w:pPr>
            <w:r w:rsidRPr="003168BA">
              <w:rPr>
                <w:rFonts w:ascii="Century Gothic" w:eastAsia="Calibri" w:hAnsi="Century Gothic"/>
                <w:b/>
                <w:bCs/>
                <w:color w:val="000000" w:themeColor="text1"/>
                <w:szCs w:val="22"/>
              </w:rPr>
              <w:t>Outcome</w:t>
            </w:r>
          </w:p>
        </w:tc>
        <w:tc>
          <w:tcPr>
            <w:tcW w:w="1800" w:type="dxa"/>
            <w:tcBorders>
              <w:top w:val="single" w:sz="18" w:space="0" w:color="auto"/>
              <w:left w:val="single" w:sz="18" w:space="0" w:color="auto"/>
              <w:bottom w:val="single" w:sz="18" w:space="0" w:color="auto"/>
              <w:right w:val="single" w:sz="18" w:space="0" w:color="auto"/>
            </w:tcBorders>
            <w:shd w:val="clear" w:color="auto" w:fill="E5E5E5"/>
            <w:vAlign w:val="center"/>
          </w:tcPr>
          <w:p w14:paraId="59180C29" w14:textId="77777777" w:rsidR="00AA33AA" w:rsidRPr="003168BA" w:rsidRDefault="00AA33AA">
            <w:pPr>
              <w:jc w:val="center"/>
              <w:rPr>
                <w:rFonts w:ascii="Century Gothic" w:eastAsia="Calibri" w:hAnsi="Century Gothic"/>
                <w:b/>
                <w:bCs/>
                <w:color w:val="000000" w:themeColor="text1"/>
                <w:szCs w:val="22"/>
              </w:rPr>
            </w:pPr>
            <w:r w:rsidRPr="003168BA">
              <w:rPr>
                <w:rFonts w:ascii="Century Gothic" w:eastAsia="Calibri" w:hAnsi="Century Gothic"/>
                <w:b/>
                <w:bCs/>
                <w:color w:val="000000" w:themeColor="text1"/>
                <w:szCs w:val="22"/>
              </w:rPr>
              <w:t>Benchmark Achieved?</w:t>
            </w:r>
          </w:p>
        </w:tc>
      </w:tr>
      <w:tr w:rsidR="00AA33AA" w:rsidRPr="003168BA" w14:paraId="7CD9DE13" w14:textId="77777777">
        <w:trPr>
          <w:trHeight w:val="300"/>
        </w:trPr>
        <w:tc>
          <w:tcPr>
            <w:tcW w:w="2730" w:type="dxa"/>
            <w:tcBorders>
              <w:top w:val="single" w:sz="18" w:space="0" w:color="auto"/>
              <w:left w:val="single" w:sz="18" w:space="0" w:color="auto"/>
              <w:bottom w:val="single" w:sz="18" w:space="0" w:color="auto"/>
              <w:right w:val="single" w:sz="18" w:space="0" w:color="auto"/>
            </w:tcBorders>
          </w:tcPr>
          <w:p w14:paraId="6FF5DCA0" w14:textId="77777777" w:rsidR="00AA33AA" w:rsidRPr="003168BA" w:rsidRDefault="00AA33AA">
            <w:pPr>
              <w:rPr>
                <w:rFonts w:ascii="Century Gothic" w:eastAsia="Calibri" w:hAnsi="Century Gothic"/>
                <w:szCs w:val="22"/>
              </w:rPr>
            </w:pPr>
            <w:r w:rsidRPr="003168BA">
              <w:rPr>
                <w:rFonts w:ascii="Century Gothic" w:eastAsia="Calibri" w:hAnsi="Century Gothic"/>
                <w:szCs w:val="22"/>
              </w:rPr>
              <w:t xml:space="preserve">Number of new housing units made available for households at or below 80% AMI </w:t>
            </w:r>
            <w:proofErr w:type="gramStart"/>
            <w:r w:rsidRPr="003168BA">
              <w:rPr>
                <w:rFonts w:ascii="Century Gothic" w:eastAsia="Calibri" w:hAnsi="Century Gothic"/>
                <w:szCs w:val="22"/>
              </w:rPr>
              <w:t>as a result of</w:t>
            </w:r>
            <w:proofErr w:type="gramEnd"/>
            <w:r w:rsidRPr="003168BA">
              <w:rPr>
                <w:rFonts w:ascii="Century Gothic" w:eastAsia="Calibri" w:hAnsi="Century Gothic"/>
                <w:szCs w:val="22"/>
              </w:rPr>
              <w:t xml:space="preserve"> the activity (increase </w:t>
            </w:r>
          </w:p>
          <w:p w14:paraId="461DCD14" w14:textId="77777777" w:rsidR="00AA33AA" w:rsidRPr="003168BA" w:rsidRDefault="00AA33AA">
            <w:pPr>
              <w:rPr>
                <w:rFonts w:ascii="Century Gothic" w:eastAsia="Calibri" w:hAnsi="Century Gothic"/>
                <w:szCs w:val="22"/>
              </w:rPr>
            </w:pPr>
          </w:p>
          <w:p w14:paraId="005141ED" w14:textId="77777777" w:rsidR="00AA33AA" w:rsidRPr="003168BA" w:rsidRDefault="00AA33AA">
            <w:pPr>
              <w:rPr>
                <w:rFonts w:ascii="Century Gothic" w:eastAsia="Calibri" w:hAnsi="Century Gothic"/>
                <w:b/>
                <w:bCs/>
                <w:szCs w:val="22"/>
              </w:rPr>
            </w:pPr>
          </w:p>
        </w:tc>
        <w:tc>
          <w:tcPr>
            <w:tcW w:w="1875" w:type="dxa"/>
            <w:tcBorders>
              <w:top w:val="single" w:sz="18" w:space="0" w:color="auto"/>
              <w:left w:val="single" w:sz="18" w:space="0" w:color="auto"/>
              <w:bottom w:val="single" w:sz="18" w:space="0" w:color="auto"/>
              <w:right w:val="single" w:sz="18" w:space="0" w:color="auto"/>
            </w:tcBorders>
          </w:tcPr>
          <w:p w14:paraId="485AC36A" w14:textId="77777777" w:rsidR="00AA33AA" w:rsidRPr="003168BA" w:rsidRDefault="00AA33AA">
            <w:pPr>
              <w:rPr>
                <w:rFonts w:ascii="Century Gothic" w:eastAsia="Calibri" w:hAnsi="Century Gothic"/>
                <w:szCs w:val="22"/>
              </w:rPr>
            </w:pPr>
          </w:p>
          <w:p w14:paraId="5D079AB1" w14:textId="77777777" w:rsidR="00AA33AA" w:rsidRPr="003168BA" w:rsidRDefault="00AA33AA">
            <w:pPr>
              <w:rPr>
                <w:rFonts w:ascii="Century Gothic" w:eastAsia="Calibri" w:hAnsi="Century Gothic"/>
                <w:szCs w:val="22"/>
              </w:rPr>
            </w:pPr>
            <w:r w:rsidRPr="003168BA">
              <w:rPr>
                <w:rFonts w:ascii="Century Gothic" w:eastAsia="Calibri" w:hAnsi="Century Gothic"/>
                <w:szCs w:val="22"/>
              </w:rPr>
              <w:t>0</w:t>
            </w:r>
          </w:p>
        </w:tc>
        <w:tc>
          <w:tcPr>
            <w:tcW w:w="1890" w:type="dxa"/>
            <w:tcBorders>
              <w:top w:val="single" w:sz="18" w:space="0" w:color="auto"/>
              <w:left w:val="single" w:sz="18" w:space="0" w:color="auto"/>
              <w:bottom w:val="single" w:sz="18" w:space="0" w:color="auto"/>
              <w:right w:val="single" w:sz="18" w:space="0" w:color="auto"/>
            </w:tcBorders>
          </w:tcPr>
          <w:p w14:paraId="07C650B8" w14:textId="77777777" w:rsidR="00AA33AA" w:rsidRPr="003168BA" w:rsidRDefault="00AA33AA">
            <w:pPr>
              <w:rPr>
                <w:rFonts w:ascii="Century Gothic" w:eastAsia="Calibri" w:hAnsi="Century Gothic"/>
                <w:szCs w:val="22"/>
              </w:rPr>
            </w:pPr>
          </w:p>
          <w:p w14:paraId="5E136335" w14:textId="77777777" w:rsidR="00AA33AA" w:rsidRPr="003168BA" w:rsidRDefault="00AA33AA">
            <w:pPr>
              <w:rPr>
                <w:rFonts w:ascii="Century Gothic" w:eastAsia="Calibri" w:hAnsi="Century Gothic"/>
                <w:szCs w:val="22"/>
              </w:rPr>
            </w:pPr>
            <w:r w:rsidRPr="003168BA">
              <w:rPr>
                <w:rFonts w:ascii="Century Gothic" w:eastAsia="Calibri" w:hAnsi="Century Gothic"/>
                <w:szCs w:val="22"/>
              </w:rPr>
              <w:t>90</w:t>
            </w:r>
          </w:p>
        </w:tc>
        <w:tc>
          <w:tcPr>
            <w:tcW w:w="1890" w:type="dxa"/>
            <w:tcBorders>
              <w:top w:val="single" w:sz="18" w:space="0" w:color="auto"/>
              <w:left w:val="single" w:sz="18" w:space="0" w:color="auto"/>
              <w:bottom w:val="single" w:sz="18" w:space="0" w:color="auto"/>
              <w:right w:val="single" w:sz="18" w:space="0" w:color="auto"/>
            </w:tcBorders>
          </w:tcPr>
          <w:p w14:paraId="28D1C338" w14:textId="77777777" w:rsidR="00AA33AA" w:rsidRPr="003168BA" w:rsidRDefault="00AA33AA">
            <w:pPr>
              <w:rPr>
                <w:rFonts w:ascii="Century Gothic" w:eastAsia="Calibri" w:hAnsi="Century Gothic"/>
              </w:rPr>
            </w:pPr>
            <w:r w:rsidRPr="003168BA">
              <w:rPr>
                <w:rFonts w:ascii="Century Gothic" w:eastAsia="Calibri" w:hAnsi="Century Gothic"/>
              </w:rPr>
              <w:t>N/A</w:t>
            </w:r>
          </w:p>
        </w:tc>
        <w:tc>
          <w:tcPr>
            <w:tcW w:w="1800" w:type="dxa"/>
            <w:tcBorders>
              <w:top w:val="single" w:sz="18" w:space="0" w:color="auto"/>
              <w:left w:val="single" w:sz="18" w:space="0" w:color="auto"/>
              <w:bottom w:val="single" w:sz="18" w:space="0" w:color="auto"/>
              <w:right w:val="single" w:sz="18" w:space="0" w:color="auto"/>
            </w:tcBorders>
          </w:tcPr>
          <w:p w14:paraId="123B0274" w14:textId="77777777" w:rsidR="00AA33AA" w:rsidRPr="003168BA" w:rsidRDefault="00AA33AA">
            <w:pPr>
              <w:rPr>
                <w:rFonts w:ascii="Century Gothic" w:eastAsia="Calibri" w:hAnsi="Century Gothic"/>
              </w:rPr>
            </w:pPr>
            <w:r w:rsidRPr="003168BA">
              <w:rPr>
                <w:rFonts w:ascii="Century Gothic" w:eastAsia="Calibri" w:hAnsi="Century Gothic"/>
              </w:rPr>
              <w:t>N/A</w:t>
            </w:r>
          </w:p>
        </w:tc>
      </w:tr>
    </w:tbl>
    <w:p w14:paraId="4D29791C" w14:textId="165E14FB" w:rsidR="00AA33AA" w:rsidRPr="003168BA" w:rsidRDefault="00AA33AA" w:rsidP="00AA33AA">
      <w:pPr>
        <w:rPr>
          <w:rFonts w:ascii="Century Gothic" w:hAnsi="Century Gothic"/>
        </w:rPr>
      </w:pPr>
    </w:p>
    <w:p w14:paraId="4B180AE7" w14:textId="484461D5" w:rsidR="00AA33AA" w:rsidRPr="003168BA" w:rsidRDefault="00AA33AA" w:rsidP="00AA33AA">
      <w:pPr>
        <w:rPr>
          <w:rFonts w:ascii="Century Gothic" w:hAnsi="Century Gothic"/>
        </w:rPr>
      </w:pPr>
      <w:r w:rsidRPr="4EB6BE86">
        <w:rPr>
          <w:rFonts w:ascii="Century Gothic" w:eastAsia="Calibri" w:hAnsi="Century Gothic"/>
        </w:rPr>
        <w:t xml:space="preserve">  </w:t>
      </w:r>
    </w:p>
    <w:tbl>
      <w:tblPr>
        <w:tblW w:w="0" w:type="auto"/>
        <w:tblLayout w:type="fixed"/>
        <w:tblLook w:val="04A0" w:firstRow="1" w:lastRow="0" w:firstColumn="1" w:lastColumn="0" w:noHBand="0" w:noVBand="1"/>
      </w:tblPr>
      <w:tblGrid>
        <w:gridCol w:w="1725"/>
        <w:gridCol w:w="2070"/>
        <w:gridCol w:w="2160"/>
        <w:gridCol w:w="2070"/>
        <w:gridCol w:w="2160"/>
      </w:tblGrid>
      <w:tr w:rsidR="00AA33AA" w:rsidRPr="003168BA" w14:paraId="30F828CC" w14:textId="77777777">
        <w:trPr>
          <w:trHeight w:val="300"/>
        </w:trPr>
        <w:tc>
          <w:tcPr>
            <w:tcW w:w="10185" w:type="dxa"/>
            <w:gridSpan w:val="5"/>
            <w:tcBorders>
              <w:top w:val="single" w:sz="18" w:space="0" w:color="auto"/>
              <w:left w:val="single" w:sz="18" w:space="0" w:color="auto"/>
              <w:bottom w:val="single" w:sz="18" w:space="0" w:color="auto"/>
              <w:right w:val="single" w:sz="18" w:space="0" w:color="auto"/>
            </w:tcBorders>
            <w:shd w:val="clear" w:color="auto" w:fill="CCCCCC"/>
          </w:tcPr>
          <w:p w14:paraId="746710B0" w14:textId="77777777" w:rsidR="00AA33AA" w:rsidRPr="003168BA" w:rsidRDefault="00AA33AA">
            <w:pPr>
              <w:jc w:val="center"/>
              <w:rPr>
                <w:rFonts w:ascii="Century Gothic" w:hAnsi="Century Gothic"/>
                <w:b/>
                <w:bCs/>
                <w:i/>
                <w:iCs/>
                <w:szCs w:val="22"/>
              </w:rPr>
            </w:pPr>
            <w:r w:rsidRPr="003168BA">
              <w:rPr>
                <w:rFonts w:ascii="Century Gothic" w:hAnsi="Century Gothic"/>
                <w:b/>
                <w:bCs/>
                <w:i/>
                <w:iCs/>
                <w:szCs w:val="22"/>
              </w:rPr>
              <w:t>CE #4: Increase in Resources Leveraged</w:t>
            </w:r>
          </w:p>
        </w:tc>
      </w:tr>
      <w:tr w:rsidR="00AA33AA" w:rsidRPr="003168BA" w14:paraId="669C196B" w14:textId="77777777">
        <w:trPr>
          <w:trHeight w:val="300"/>
        </w:trPr>
        <w:tc>
          <w:tcPr>
            <w:tcW w:w="1725" w:type="dxa"/>
            <w:tcBorders>
              <w:top w:val="single" w:sz="18" w:space="0" w:color="auto"/>
              <w:left w:val="single" w:sz="18" w:space="0" w:color="auto"/>
              <w:bottom w:val="single" w:sz="18" w:space="0" w:color="auto"/>
              <w:right w:val="single" w:sz="18" w:space="0" w:color="auto"/>
            </w:tcBorders>
            <w:shd w:val="clear" w:color="auto" w:fill="E5E5E5"/>
            <w:vAlign w:val="center"/>
          </w:tcPr>
          <w:p w14:paraId="3B41F380" w14:textId="77777777" w:rsidR="00AA33AA" w:rsidRPr="003168BA" w:rsidRDefault="00AA33AA">
            <w:pPr>
              <w:jc w:val="center"/>
              <w:rPr>
                <w:rFonts w:ascii="Century Gothic" w:hAnsi="Century Gothic"/>
                <w:b/>
                <w:bCs/>
                <w:color w:val="000000" w:themeColor="text1"/>
                <w:szCs w:val="22"/>
              </w:rPr>
            </w:pPr>
            <w:r w:rsidRPr="003168BA">
              <w:rPr>
                <w:rFonts w:ascii="Century Gothic" w:hAnsi="Century Gothic"/>
                <w:b/>
                <w:bCs/>
                <w:color w:val="000000" w:themeColor="text1"/>
                <w:szCs w:val="22"/>
              </w:rPr>
              <w:t>Unit of Measurement</w:t>
            </w:r>
          </w:p>
        </w:tc>
        <w:tc>
          <w:tcPr>
            <w:tcW w:w="2070" w:type="dxa"/>
            <w:tcBorders>
              <w:top w:val="nil"/>
              <w:left w:val="single" w:sz="18" w:space="0" w:color="auto"/>
              <w:bottom w:val="single" w:sz="18" w:space="0" w:color="auto"/>
              <w:right w:val="single" w:sz="18" w:space="0" w:color="auto"/>
            </w:tcBorders>
            <w:shd w:val="clear" w:color="auto" w:fill="E5E5E5"/>
            <w:vAlign w:val="center"/>
          </w:tcPr>
          <w:p w14:paraId="6C2743B9" w14:textId="77777777" w:rsidR="00AA33AA" w:rsidRPr="003168BA" w:rsidRDefault="00AA33AA">
            <w:pPr>
              <w:jc w:val="center"/>
              <w:rPr>
                <w:rFonts w:ascii="Century Gothic" w:hAnsi="Century Gothic"/>
                <w:b/>
                <w:bCs/>
                <w:color w:val="000000" w:themeColor="text1"/>
                <w:szCs w:val="22"/>
              </w:rPr>
            </w:pPr>
            <w:r w:rsidRPr="003168BA">
              <w:rPr>
                <w:rFonts w:ascii="Century Gothic" w:hAnsi="Century Gothic"/>
                <w:b/>
                <w:bCs/>
                <w:color w:val="000000" w:themeColor="text1"/>
                <w:szCs w:val="22"/>
              </w:rPr>
              <w:t>Baseline</w:t>
            </w:r>
          </w:p>
        </w:tc>
        <w:tc>
          <w:tcPr>
            <w:tcW w:w="2160" w:type="dxa"/>
            <w:tcBorders>
              <w:top w:val="nil"/>
              <w:left w:val="single" w:sz="18" w:space="0" w:color="auto"/>
              <w:bottom w:val="single" w:sz="18" w:space="0" w:color="auto"/>
              <w:right w:val="single" w:sz="18" w:space="0" w:color="auto"/>
            </w:tcBorders>
            <w:shd w:val="clear" w:color="auto" w:fill="E5E5E5"/>
            <w:vAlign w:val="center"/>
          </w:tcPr>
          <w:p w14:paraId="395E0253" w14:textId="77777777" w:rsidR="00AA33AA" w:rsidRPr="003168BA" w:rsidRDefault="00AA33AA">
            <w:pPr>
              <w:jc w:val="center"/>
              <w:rPr>
                <w:rFonts w:ascii="Century Gothic" w:hAnsi="Century Gothic"/>
                <w:b/>
                <w:bCs/>
                <w:color w:val="000000" w:themeColor="text1"/>
                <w:szCs w:val="22"/>
              </w:rPr>
            </w:pPr>
            <w:r w:rsidRPr="003168BA">
              <w:rPr>
                <w:rFonts w:ascii="Century Gothic" w:hAnsi="Century Gothic"/>
                <w:b/>
                <w:bCs/>
                <w:color w:val="000000" w:themeColor="text1"/>
                <w:szCs w:val="22"/>
              </w:rPr>
              <w:t>Benchmark</w:t>
            </w:r>
          </w:p>
        </w:tc>
        <w:tc>
          <w:tcPr>
            <w:tcW w:w="2070" w:type="dxa"/>
            <w:tcBorders>
              <w:top w:val="nil"/>
              <w:left w:val="single" w:sz="18" w:space="0" w:color="auto"/>
              <w:bottom w:val="single" w:sz="18" w:space="0" w:color="auto"/>
              <w:right w:val="single" w:sz="18" w:space="0" w:color="auto"/>
            </w:tcBorders>
            <w:shd w:val="clear" w:color="auto" w:fill="E5E5E5"/>
            <w:vAlign w:val="center"/>
          </w:tcPr>
          <w:p w14:paraId="668BF634" w14:textId="77777777" w:rsidR="00AA33AA" w:rsidRPr="003168BA" w:rsidRDefault="00AA33AA">
            <w:pPr>
              <w:jc w:val="center"/>
              <w:rPr>
                <w:rFonts w:ascii="Century Gothic" w:hAnsi="Century Gothic"/>
                <w:b/>
                <w:bCs/>
                <w:color w:val="000000" w:themeColor="text1"/>
                <w:szCs w:val="22"/>
              </w:rPr>
            </w:pPr>
            <w:r w:rsidRPr="003168BA">
              <w:rPr>
                <w:rFonts w:ascii="Century Gothic" w:hAnsi="Century Gothic"/>
                <w:b/>
                <w:bCs/>
                <w:color w:val="000000" w:themeColor="text1"/>
                <w:szCs w:val="22"/>
              </w:rPr>
              <w:t>Outcome</w:t>
            </w:r>
          </w:p>
        </w:tc>
        <w:tc>
          <w:tcPr>
            <w:tcW w:w="2160" w:type="dxa"/>
            <w:tcBorders>
              <w:top w:val="nil"/>
              <w:left w:val="single" w:sz="18" w:space="0" w:color="auto"/>
              <w:bottom w:val="single" w:sz="18" w:space="0" w:color="auto"/>
              <w:right w:val="single" w:sz="18" w:space="0" w:color="auto"/>
            </w:tcBorders>
            <w:shd w:val="clear" w:color="auto" w:fill="E5E5E5"/>
            <w:vAlign w:val="center"/>
          </w:tcPr>
          <w:p w14:paraId="227110BE" w14:textId="77777777" w:rsidR="00AA33AA" w:rsidRPr="003168BA" w:rsidRDefault="00AA33AA">
            <w:pPr>
              <w:jc w:val="center"/>
              <w:rPr>
                <w:rFonts w:ascii="Century Gothic" w:hAnsi="Century Gothic"/>
                <w:b/>
                <w:bCs/>
                <w:color w:val="000000" w:themeColor="text1"/>
                <w:szCs w:val="22"/>
              </w:rPr>
            </w:pPr>
            <w:r w:rsidRPr="003168BA">
              <w:rPr>
                <w:rFonts w:ascii="Century Gothic" w:hAnsi="Century Gothic"/>
                <w:b/>
                <w:bCs/>
                <w:color w:val="000000" w:themeColor="text1"/>
                <w:szCs w:val="22"/>
              </w:rPr>
              <w:t>Benchmark Achieved?</w:t>
            </w:r>
          </w:p>
        </w:tc>
      </w:tr>
      <w:tr w:rsidR="00AA33AA" w:rsidRPr="003168BA" w14:paraId="3F10EE51" w14:textId="77777777">
        <w:trPr>
          <w:trHeight w:val="1995"/>
        </w:trPr>
        <w:tc>
          <w:tcPr>
            <w:tcW w:w="1725" w:type="dxa"/>
            <w:tcBorders>
              <w:top w:val="single" w:sz="18" w:space="0" w:color="auto"/>
              <w:left w:val="single" w:sz="18" w:space="0" w:color="auto"/>
              <w:bottom w:val="single" w:sz="18" w:space="0" w:color="auto"/>
              <w:right w:val="single" w:sz="18" w:space="0" w:color="auto"/>
            </w:tcBorders>
          </w:tcPr>
          <w:p w14:paraId="0D881A41" w14:textId="77777777" w:rsidR="00AA33AA" w:rsidRPr="003168BA" w:rsidRDefault="00AA33AA">
            <w:pPr>
              <w:rPr>
                <w:rFonts w:ascii="Century Gothic" w:hAnsi="Century Gothic"/>
                <w:szCs w:val="22"/>
              </w:rPr>
            </w:pPr>
            <w:r w:rsidRPr="003168BA">
              <w:rPr>
                <w:rFonts w:ascii="Century Gothic" w:hAnsi="Century Gothic"/>
                <w:szCs w:val="22"/>
              </w:rPr>
              <w:t>Amount of funds leveraged in dollars (increase).</w:t>
            </w:r>
          </w:p>
          <w:p w14:paraId="3963F72C" w14:textId="77777777" w:rsidR="00AA33AA" w:rsidRPr="003168BA" w:rsidRDefault="00AA33AA">
            <w:pPr>
              <w:rPr>
                <w:rFonts w:ascii="Century Gothic" w:hAnsi="Century Gothic"/>
                <w:szCs w:val="22"/>
              </w:rPr>
            </w:pPr>
            <w:r w:rsidRPr="003168BA">
              <w:rPr>
                <w:rFonts w:ascii="Century Gothic" w:hAnsi="Century Gothic"/>
                <w:szCs w:val="22"/>
              </w:rPr>
              <w:t xml:space="preserve"> </w:t>
            </w:r>
          </w:p>
          <w:p w14:paraId="4B0E185E" w14:textId="77777777" w:rsidR="00AA33AA" w:rsidRPr="003168BA" w:rsidRDefault="00AA33AA">
            <w:pPr>
              <w:rPr>
                <w:rFonts w:ascii="Century Gothic" w:hAnsi="Century Gothic"/>
                <w:szCs w:val="22"/>
              </w:rPr>
            </w:pPr>
          </w:p>
        </w:tc>
        <w:tc>
          <w:tcPr>
            <w:tcW w:w="2070" w:type="dxa"/>
            <w:tcBorders>
              <w:top w:val="single" w:sz="18" w:space="0" w:color="auto"/>
              <w:left w:val="single" w:sz="18" w:space="0" w:color="auto"/>
              <w:bottom w:val="single" w:sz="18" w:space="0" w:color="auto"/>
              <w:right w:val="single" w:sz="18" w:space="0" w:color="auto"/>
            </w:tcBorders>
          </w:tcPr>
          <w:p w14:paraId="76C9AFA1" w14:textId="77777777" w:rsidR="00AA33AA" w:rsidRPr="003168BA" w:rsidRDefault="00AA33AA">
            <w:pPr>
              <w:rPr>
                <w:rFonts w:ascii="Century Gothic" w:hAnsi="Century Gothic"/>
                <w:szCs w:val="22"/>
              </w:rPr>
            </w:pPr>
            <w:r w:rsidRPr="003168BA">
              <w:rPr>
                <w:rFonts w:ascii="Century Gothic" w:hAnsi="Century Gothic"/>
                <w:szCs w:val="22"/>
              </w:rPr>
              <w:t>$0</w:t>
            </w:r>
          </w:p>
        </w:tc>
        <w:tc>
          <w:tcPr>
            <w:tcW w:w="2160" w:type="dxa"/>
            <w:tcBorders>
              <w:top w:val="single" w:sz="18" w:space="0" w:color="auto"/>
              <w:left w:val="single" w:sz="18" w:space="0" w:color="auto"/>
              <w:bottom w:val="single" w:sz="18" w:space="0" w:color="auto"/>
              <w:right w:val="single" w:sz="18" w:space="0" w:color="auto"/>
            </w:tcBorders>
          </w:tcPr>
          <w:p w14:paraId="32639964" w14:textId="77777777" w:rsidR="00AA33AA" w:rsidRPr="003168BA" w:rsidRDefault="00AA33AA">
            <w:pPr>
              <w:rPr>
                <w:rFonts w:ascii="Century Gothic" w:hAnsi="Century Gothic"/>
                <w:szCs w:val="22"/>
              </w:rPr>
            </w:pPr>
          </w:p>
          <w:p w14:paraId="32006C5E" w14:textId="77777777" w:rsidR="00AA33AA" w:rsidRPr="003168BA" w:rsidRDefault="00AA33AA">
            <w:pPr>
              <w:rPr>
                <w:rFonts w:ascii="Century Gothic" w:hAnsi="Century Gothic"/>
                <w:szCs w:val="22"/>
              </w:rPr>
            </w:pPr>
            <w:r w:rsidRPr="003168BA">
              <w:rPr>
                <w:rFonts w:ascii="Century Gothic" w:hAnsi="Century Gothic"/>
                <w:szCs w:val="22"/>
              </w:rPr>
              <w:t xml:space="preserve"> </w:t>
            </w:r>
          </w:p>
          <w:p w14:paraId="554A2039" w14:textId="77777777" w:rsidR="00AA33AA" w:rsidRPr="003168BA" w:rsidRDefault="00AA33AA">
            <w:pPr>
              <w:rPr>
                <w:rFonts w:ascii="Century Gothic" w:hAnsi="Century Gothic"/>
                <w:szCs w:val="22"/>
              </w:rPr>
            </w:pPr>
            <w:r w:rsidRPr="003168BA">
              <w:rPr>
                <w:rFonts w:ascii="Century Gothic" w:hAnsi="Century Gothic"/>
                <w:szCs w:val="22"/>
              </w:rPr>
              <w:t xml:space="preserve">           $31M</w:t>
            </w:r>
          </w:p>
        </w:tc>
        <w:tc>
          <w:tcPr>
            <w:tcW w:w="2070" w:type="dxa"/>
            <w:tcBorders>
              <w:top w:val="single" w:sz="18" w:space="0" w:color="auto"/>
              <w:left w:val="single" w:sz="18" w:space="0" w:color="auto"/>
              <w:bottom w:val="single" w:sz="18" w:space="0" w:color="auto"/>
              <w:right w:val="single" w:sz="18" w:space="0" w:color="auto"/>
            </w:tcBorders>
          </w:tcPr>
          <w:p w14:paraId="17C30EE4" w14:textId="77777777" w:rsidR="00AA33AA" w:rsidRPr="003168BA" w:rsidRDefault="00AA33AA">
            <w:pPr>
              <w:rPr>
                <w:rFonts w:ascii="Century Gothic" w:hAnsi="Century Gothic"/>
              </w:rPr>
            </w:pPr>
            <w:r w:rsidRPr="003168BA">
              <w:rPr>
                <w:rFonts w:ascii="Century Gothic" w:hAnsi="Century Gothic"/>
              </w:rPr>
              <w:t>N/A</w:t>
            </w:r>
          </w:p>
          <w:p w14:paraId="311EEEAF" w14:textId="77777777" w:rsidR="00AA33AA" w:rsidRPr="003168BA" w:rsidRDefault="00AA33AA">
            <w:pPr>
              <w:rPr>
                <w:rFonts w:ascii="Century Gothic" w:hAnsi="Century Gothic"/>
                <w:szCs w:val="22"/>
              </w:rPr>
            </w:pPr>
            <w:r w:rsidRPr="003168BA">
              <w:rPr>
                <w:rFonts w:ascii="Century Gothic" w:hAnsi="Century Gothic"/>
                <w:szCs w:val="22"/>
              </w:rPr>
              <w:t xml:space="preserve">      </w:t>
            </w:r>
          </w:p>
        </w:tc>
        <w:tc>
          <w:tcPr>
            <w:tcW w:w="2160" w:type="dxa"/>
            <w:tcBorders>
              <w:top w:val="single" w:sz="18" w:space="0" w:color="auto"/>
              <w:left w:val="single" w:sz="18" w:space="0" w:color="auto"/>
              <w:bottom w:val="single" w:sz="18" w:space="0" w:color="auto"/>
              <w:right w:val="single" w:sz="18" w:space="0" w:color="auto"/>
            </w:tcBorders>
          </w:tcPr>
          <w:p w14:paraId="0AB78FB6" w14:textId="77777777" w:rsidR="00AA33AA" w:rsidRPr="003168BA" w:rsidRDefault="00AA33AA">
            <w:pPr>
              <w:rPr>
                <w:rFonts w:ascii="Century Gothic" w:hAnsi="Century Gothic"/>
              </w:rPr>
            </w:pPr>
            <w:r w:rsidRPr="003168BA">
              <w:rPr>
                <w:rFonts w:ascii="Century Gothic" w:hAnsi="Century Gothic"/>
              </w:rPr>
              <w:t>N/A</w:t>
            </w:r>
          </w:p>
        </w:tc>
      </w:tr>
    </w:tbl>
    <w:p w14:paraId="079371EB" w14:textId="31A5345D" w:rsidR="00AA33AA" w:rsidRPr="003168BA" w:rsidRDefault="00AA33AA" w:rsidP="00AA33AA">
      <w:pPr>
        <w:spacing w:line="257" w:lineRule="auto"/>
        <w:rPr>
          <w:rFonts w:ascii="Century Gothic" w:hAnsi="Century Gothic"/>
        </w:rPr>
      </w:pPr>
    </w:p>
    <w:p w14:paraId="3E860BB4" w14:textId="5E4B5205" w:rsidR="00AA33AA" w:rsidRPr="003168BA" w:rsidRDefault="00AA33AA" w:rsidP="00AA33AA">
      <w:pPr>
        <w:rPr>
          <w:rFonts w:ascii="Century Gothic" w:eastAsia="Franklin Gothic Book" w:hAnsi="Century Gothic"/>
          <w:b/>
        </w:rPr>
      </w:pPr>
    </w:p>
    <w:p w14:paraId="377BCF3C" w14:textId="614A3980" w:rsidR="00AA33AA" w:rsidRPr="003168BA" w:rsidRDefault="00AA33AA" w:rsidP="00AA33AA">
      <w:pPr>
        <w:pStyle w:val="Heading4"/>
        <w:rPr>
          <w:rStyle w:val="SubtleEmphasis"/>
          <w:rFonts w:ascii="Century Gothic" w:hAnsi="Century Gothic" w:cs="Times New Roman"/>
          <w:color w:val="808080" w:themeColor="background1" w:themeShade="80"/>
          <w:sz w:val="22"/>
        </w:rPr>
      </w:pPr>
      <w:r w:rsidRPr="003168BA">
        <w:rPr>
          <w:rStyle w:val="SubtleEmphasis"/>
          <w:rFonts w:ascii="Century Gothic" w:hAnsi="Century Gothic" w:cs="Times New Roman"/>
          <w:color w:val="808080" w:themeColor="background1" w:themeShade="80"/>
          <w:sz w:val="22"/>
        </w:rPr>
        <w:t>Actual Non-Significant Changes</w:t>
      </w:r>
    </w:p>
    <w:p w14:paraId="23C9F848" w14:textId="366C532D" w:rsidR="00AA33AA" w:rsidRPr="003168BA" w:rsidRDefault="00AA33AA" w:rsidP="00AA33AA">
      <w:pPr>
        <w:rPr>
          <w:rFonts w:ascii="Century Gothic" w:eastAsia="Times New Roman" w:hAnsi="Century Gothic"/>
        </w:rPr>
      </w:pPr>
      <w:r w:rsidRPr="003168BA">
        <w:rPr>
          <w:rFonts w:ascii="Century Gothic" w:eastAsia="Times New Roman" w:hAnsi="Century Gothic"/>
        </w:rPr>
        <w:t>None</w:t>
      </w:r>
    </w:p>
    <w:p w14:paraId="3880755E" w14:textId="48F701FC" w:rsidR="00AA33AA" w:rsidRPr="003168BA" w:rsidRDefault="00AA33AA" w:rsidP="00AA33AA">
      <w:pPr>
        <w:rPr>
          <w:rFonts w:ascii="Century Gothic" w:eastAsia="Times New Roman" w:hAnsi="Century Gothic"/>
        </w:rPr>
      </w:pPr>
    </w:p>
    <w:p w14:paraId="332379D5" w14:textId="6182F24E" w:rsidR="00AA33AA" w:rsidRPr="003168BA" w:rsidRDefault="00AA33AA" w:rsidP="00AA33AA">
      <w:pPr>
        <w:rPr>
          <w:rFonts w:ascii="Century Gothic" w:eastAsia="Times New Roman" w:hAnsi="Century Gothic"/>
        </w:rPr>
      </w:pPr>
    </w:p>
    <w:p w14:paraId="73059C52" w14:textId="0B79B5FF" w:rsidR="00AA33AA" w:rsidRPr="003168BA" w:rsidRDefault="00AA33AA" w:rsidP="00AA33AA">
      <w:pPr>
        <w:rPr>
          <w:rStyle w:val="SubtleEmphasis"/>
          <w:rFonts w:ascii="Century Gothic" w:eastAsia="Times New Roman" w:hAnsi="Century Gothic"/>
          <w:b/>
          <w:bCs/>
          <w:color w:val="808080" w:themeColor="background1" w:themeShade="80"/>
          <w:sz w:val="22"/>
          <w:szCs w:val="22"/>
        </w:rPr>
      </w:pPr>
      <w:r w:rsidRPr="003168BA">
        <w:rPr>
          <w:rStyle w:val="SubtleEmphasis"/>
          <w:rFonts w:ascii="Century Gothic" w:eastAsia="Times New Roman" w:hAnsi="Century Gothic"/>
          <w:b/>
          <w:bCs/>
          <w:color w:val="808080" w:themeColor="background1" w:themeShade="80"/>
          <w:sz w:val="22"/>
          <w:szCs w:val="22"/>
        </w:rPr>
        <w:t>Actual Significant Changes</w:t>
      </w:r>
    </w:p>
    <w:p w14:paraId="394ADB9E" w14:textId="3FD6A5AD" w:rsidR="00AA33AA" w:rsidRPr="003168BA" w:rsidRDefault="00AA33AA" w:rsidP="00AA33AA">
      <w:pPr>
        <w:rPr>
          <w:rStyle w:val="SubtleEmphasis"/>
          <w:rFonts w:ascii="Century Gothic" w:eastAsia="Times New Roman" w:hAnsi="Century Gothic"/>
          <w:b/>
          <w:bCs/>
          <w:color w:val="808080" w:themeColor="background1" w:themeShade="80"/>
          <w:sz w:val="22"/>
          <w:szCs w:val="22"/>
        </w:rPr>
      </w:pPr>
      <w:r w:rsidRPr="003168BA">
        <w:rPr>
          <w:rStyle w:val="SubtleEmphasis"/>
          <w:rFonts w:ascii="Century Gothic" w:eastAsia="Times New Roman" w:hAnsi="Century Gothic"/>
          <w:b/>
          <w:bCs/>
          <w:color w:val="808080" w:themeColor="background1" w:themeShade="80"/>
          <w:sz w:val="22"/>
          <w:szCs w:val="22"/>
        </w:rPr>
        <w:t>None</w:t>
      </w:r>
    </w:p>
    <w:p w14:paraId="07D8108C" w14:textId="18CD3259" w:rsidR="00AA33AA" w:rsidRPr="003168BA" w:rsidRDefault="00AA33AA" w:rsidP="00AA33AA">
      <w:pPr>
        <w:rPr>
          <w:rFonts w:ascii="Century Gothic" w:eastAsia="Times New Roman" w:hAnsi="Century Gothic"/>
        </w:rPr>
      </w:pPr>
    </w:p>
    <w:p w14:paraId="1F111175" w14:textId="1B875E41" w:rsidR="00AA33AA" w:rsidRDefault="00AA33AA" w:rsidP="00AA33AA">
      <w:pPr>
        <w:rPr>
          <w:rFonts w:ascii="Times New Roman" w:eastAsia="Franklin Gothic Book" w:hAnsi="Times New Roman"/>
          <w:b/>
        </w:rPr>
      </w:pPr>
    </w:p>
    <w:p w14:paraId="6CD77A96" w14:textId="5D36D34F" w:rsidR="00427BA6" w:rsidRDefault="00427BA6" w:rsidP="00AA33AA">
      <w:pPr>
        <w:rPr>
          <w:rFonts w:ascii="Times New Roman" w:eastAsia="Franklin Gothic Book" w:hAnsi="Times New Roman"/>
          <w:b/>
        </w:rPr>
      </w:pPr>
      <w:r>
        <w:rPr>
          <w:rFonts w:ascii="Times New Roman" w:eastAsia="Franklin Gothic Book" w:hAnsi="Times New Roman"/>
          <w:b/>
        </w:rPr>
        <w:br w:type="page"/>
      </w:r>
    </w:p>
    <w:p w14:paraId="14CDECB1" w14:textId="6387DC3F" w:rsidR="005004AB" w:rsidRPr="003229A6" w:rsidRDefault="005004AB" w:rsidP="188A1EBF">
      <w:pPr>
        <w:spacing w:line="257" w:lineRule="auto"/>
        <w:rPr>
          <w:rFonts w:ascii="Century Gothic" w:eastAsia="Times New Roman" w:hAnsi="Century Gothic"/>
          <w:b/>
          <w:bCs/>
        </w:rPr>
      </w:pPr>
      <w:r w:rsidRPr="188A1EBF">
        <w:rPr>
          <w:rFonts w:ascii="Century Gothic" w:hAnsi="Century Gothic"/>
          <w:b/>
          <w:bCs/>
        </w:rPr>
        <w:lastRenderedPageBreak/>
        <w:t>I</w:t>
      </w:r>
      <w:r w:rsidRPr="188A1EBF">
        <w:rPr>
          <w:rFonts w:ascii="Century Gothic" w:eastAsia="Times New Roman" w:hAnsi="Century Gothic"/>
          <w:b/>
          <w:bCs/>
        </w:rPr>
        <w:t xml:space="preserve">nitiative 1.30F– Real Estate Development Acquisition (Previously 1.25) </w:t>
      </w:r>
    </w:p>
    <w:p w14:paraId="3AFE0A62" w14:textId="2347BB98" w:rsidR="005004AB" w:rsidRPr="003229A6" w:rsidRDefault="005004AB" w:rsidP="005004AB">
      <w:pPr>
        <w:spacing w:line="257" w:lineRule="auto"/>
        <w:rPr>
          <w:rFonts w:ascii="Century Gothic" w:eastAsia="Times New Roman" w:hAnsi="Century Gothic"/>
          <w:b/>
        </w:rPr>
      </w:pPr>
    </w:p>
    <w:p w14:paraId="3EE12167" w14:textId="2B43A9B5" w:rsidR="005004AB" w:rsidRPr="003229A6" w:rsidRDefault="005004AB" w:rsidP="005004AB">
      <w:pPr>
        <w:spacing w:line="257" w:lineRule="auto"/>
        <w:rPr>
          <w:rFonts w:ascii="Century Gothic" w:eastAsia="Times New Roman" w:hAnsi="Century Gothic"/>
          <w:b/>
        </w:rPr>
      </w:pPr>
      <w:r w:rsidRPr="4EB6BE86">
        <w:rPr>
          <w:rFonts w:ascii="Century Gothic" w:eastAsia="Times New Roman" w:hAnsi="Century Gothic"/>
          <w:b/>
        </w:rPr>
        <w:t>Approved in F2023</w:t>
      </w:r>
    </w:p>
    <w:p w14:paraId="5DCB310D" w14:textId="240804DA" w:rsidR="005004AB" w:rsidRPr="003229A6" w:rsidRDefault="005004AB" w:rsidP="005004AB">
      <w:pPr>
        <w:spacing w:line="257" w:lineRule="auto"/>
        <w:rPr>
          <w:rFonts w:ascii="Century Gothic" w:eastAsia="Times New Roman" w:hAnsi="Century Gothic"/>
          <w:b/>
        </w:rPr>
      </w:pPr>
    </w:p>
    <w:p w14:paraId="5725A83F" w14:textId="39ECB2A6" w:rsidR="005004AB" w:rsidRPr="003229A6" w:rsidRDefault="005004AB" w:rsidP="005004AB">
      <w:pPr>
        <w:spacing w:line="257" w:lineRule="auto"/>
        <w:rPr>
          <w:rFonts w:ascii="Century Gothic" w:eastAsia="Times New Roman" w:hAnsi="Century Gothic"/>
          <w:b/>
        </w:rPr>
      </w:pPr>
      <w:r w:rsidRPr="4EB6BE86">
        <w:rPr>
          <w:rFonts w:ascii="Century Gothic" w:eastAsia="Times New Roman" w:hAnsi="Century Gothic"/>
          <w:b/>
        </w:rPr>
        <w:t>Description</w:t>
      </w:r>
    </w:p>
    <w:p w14:paraId="5AB461A3" w14:textId="2A4F3CBA" w:rsidR="005004AB" w:rsidRPr="003229A6" w:rsidRDefault="005004AB" w:rsidP="005004AB">
      <w:pPr>
        <w:rPr>
          <w:rFonts w:ascii="Century Gothic" w:eastAsia="Times New Roman" w:hAnsi="Century Gothic"/>
          <w:b/>
        </w:rPr>
      </w:pPr>
    </w:p>
    <w:p w14:paraId="55128181" w14:textId="53ABE5A3" w:rsidR="005004AB" w:rsidRPr="003229A6" w:rsidRDefault="005004AB" w:rsidP="005004AB">
      <w:pPr>
        <w:rPr>
          <w:rFonts w:ascii="Century Gothic" w:eastAsia="Times New Roman" w:hAnsi="Century Gothic"/>
        </w:rPr>
      </w:pPr>
      <w:r w:rsidRPr="4EB6BE86">
        <w:rPr>
          <w:rFonts w:ascii="Century Gothic" w:eastAsia="Times New Roman" w:hAnsi="Century Gothic"/>
        </w:rPr>
        <w:t xml:space="preserve">Raising a family is expensive, especially in Connecticut.  ECC/HANH sees the impact firsthand with the families that we serve.  Connecticut is facing an affordable housing crisis leaving far too many families struggling to make ends meet. Estimates suggest that over 40% of CT families are rent-burdened.  Furthermore, the New Haven market has an older housing stock with non-local ownership.  </w:t>
      </w:r>
      <w:r w:rsidRPr="4EB6BE86">
        <w:rPr>
          <w:rFonts w:ascii="Century Gothic" w:eastAsia="Times New Roman" w:hAnsi="Century Gothic"/>
          <w:color w:val="000000" w:themeColor="text1"/>
        </w:rPr>
        <w:t xml:space="preserve">ECC/HANH reimagines communities comprehensively and brings federal </w:t>
      </w:r>
      <w:r w:rsidRPr="4EB6BE86">
        <w:rPr>
          <w:rFonts w:ascii="Century Gothic" w:eastAsia="Times New Roman" w:hAnsi="Century Gothic"/>
        </w:rPr>
        <w:t xml:space="preserve">subsidies that will be leveraged to allow for a reinvestment in our local housing stock.  </w:t>
      </w:r>
    </w:p>
    <w:p w14:paraId="41FF2328" w14:textId="252C7E86" w:rsidR="005004AB" w:rsidRPr="003229A6" w:rsidRDefault="005004AB" w:rsidP="005004AB">
      <w:pPr>
        <w:rPr>
          <w:rFonts w:ascii="Century Gothic" w:eastAsia="Times New Roman" w:hAnsi="Century Gothic"/>
        </w:rPr>
      </w:pPr>
      <w:r w:rsidRPr="4EB6BE86">
        <w:rPr>
          <w:rFonts w:ascii="Century Gothic" w:eastAsia="Times New Roman" w:hAnsi="Century Gothic"/>
        </w:rPr>
        <w:t xml:space="preserve">  </w:t>
      </w:r>
    </w:p>
    <w:p w14:paraId="73F48195" w14:textId="596D6B59" w:rsidR="005004AB" w:rsidRPr="003229A6" w:rsidRDefault="005004AB" w:rsidP="005004AB">
      <w:pPr>
        <w:spacing w:line="257" w:lineRule="auto"/>
        <w:rPr>
          <w:rFonts w:ascii="Century Gothic" w:eastAsia="Times New Roman" w:hAnsi="Century Gothic"/>
          <w:color w:val="000000" w:themeColor="text1"/>
        </w:rPr>
      </w:pPr>
      <w:r w:rsidRPr="4EB6BE86">
        <w:rPr>
          <w:rFonts w:ascii="Century Gothic" w:eastAsia="Times New Roman" w:hAnsi="Century Gothic"/>
        </w:rPr>
        <w:t>ECC/</w:t>
      </w:r>
      <w:r w:rsidR="002B0C27" w:rsidRPr="4EB6BE86">
        <w:rPr>
          <w:rFonts w:ascii="Century Gothic" w:eastAsia="Times New Roman" w:hAnsi="Century Gothic"/>
        </w:rPr>
        <w:t>HANH,</w:t>
      </w:r>
      <w:r w:rsidRPr="4EB6BE86">
        <w:rPr>
          <w:rFonts w:ascii="Century Gothic" w:eastAsia="Times New Roman" w:hAnsi="Century Gothic"/>
        </w:rPr>
        <w:t xml:space="preserve"> through its instrumentality, The Glendower Group, seeks to increase affordable housing opportunities through the purchase of housing portfolios from local owners.  ECC/HANH’s strategy is to purchase real estate portfolios when they become available.  This will allow ECC/HANH and Glendower to create affordable rental and homeownership opportunities throughout the city of New Haven.  Further, ECC/HANH and Glendower will leverage dollars, which we’ve demonstrated in past development efforts of at</w:t>
      </w:r>
      <w:r w:rsidRPr="4EB6BE86">
        <w:rPr>
          <w:rFonts w:ascii="Century Gothic" w:eastAsia="Times New Roman" w:hAnsi="Century Gothic"/>
          <w:color w:val="000000" w:themeColor="text1"/>
        </w:rPr>
        <w:t xml:space="preserve"> least 3:1, and to make capital improvements to provide for quality affordable housing.  </w:t>
      </w:r>
    </w:p>
    <w:p w14:paraId="061C18FC" w14:textId="5A40E744" w:rsidR="005004AB" w:rsidRPr="003229A6" w:rsidRDefault="005004AB" w:rsidP="005004AB">
      <w:pPr>
        <w:spacing w:line="257" w:lineRule="auto"/>
        <w:rPr>
          <w:rFonts w:ascii="Century Gothic" w:eastAsia="Times New Roman" w:hAnsi="Century Gothic"/>
          <w:color w:val="000000" w:themeColor="text1"/>
        </w:rPr>
      </w:pPr>
    </w:p>
    <w:p w14:paraId="7EF725BA" w14:textId="2D63EBC2" w:rsidR="005004AB" w:rsidRPr="003229A6" w:rsidRDefault="005004AB" w:rsidP="005004AB">
      <w:pPr>
        <w:spacing w:line="257" w:lineRule="auto"/>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The parcels may </w:t>
      </w:r>
      <w:proofErr w:type="gramStart"/>
      <w:r w:rsidRPr="4EB6BE86">
        <w:rPr>
          <w:rFonts w:ascii="Century Gothic" w:eastAsia="Times New Roman" w:hAnsi="Century Gothic"/>
          <w:color w:val="000000" w:themeColor="text1"/>
        </w:rPr>
        <w:t>be located in</w:t>
      </w:r>
      <w:proofErr w:type="gramEnd"/>
      <w:r w:rsidRPr="4EB6BE86">
        <w:rPr>
          <w:rFonts w:ascii="Century Gothic" w:eastAsia="Times New Roman" w:hAnsi="Century Gothic"/>
          <w:color w:val="000000" w:themeColor="text1"/>
        </w:rPr>
        <w:t xml:space="preserve"> various neighborhoods throughout the City of New Haven.  The purchases can be made by ECC/HANH, Glendower, an affiliate of Glendower, or a combination thereof.  ECC/HANH and Glendower will seek to utilize its capital to leverage other investments such as tax credits, grants and private debt for the purchase and rehabilitation of said units.  Further, ECC/HANH and Glendower seek to partner with the City of New Haven and the State of Connecticut to effectuate the acquisitions.   </w:t>
      </w:r>
    </w:p>
    <w:p w14:paraId="6A6F5AE3" w14:textId="23112303" w:rsidR="005004AB" w:rsidRPr="003229A6" w:rsidRDefault="005004AB" w:rsidP="005004AB">
      <w:pPr>
        <w:spacing w:line="257" w:lineRule="auto"/>
        <w:rPr>
          <w:rFonts w:ascii="Century Gothic" w:eastAsia="Times New Roman" w:hAnsi="Century Gothic"/>
        </w:rPr>
      </w:pPr>
    </w:p>
    <w:p w14:paraId="4CFE9C4B" w14:textId="30F5667A" w:rsidR="005004AB" w:rsidRPr="003229A6" w:rsidRDefault="005004AB" w:rsidP="005004AB">
      <w:pPr>
        <w:spacing w:line="257" w:lineRule="auto"/>
        <w:rPr>
          <w:rFonts w:ascii="Century Gothic" w:eastAsia="Times New Roman" w:hAnsi="Century Gothic"/>
        </w:rPr>
      </w:pPr>
      <w:r w:rsidRPr="4EB6BE86">
        <w:rPr>
          <w:rFonts w:ascii="Century Gothic" w:eastAsia="Times New Roman" w:hAnsi="Century Gothic"/>
        </w:rPr>
        <w:t xml:space="preserve">The Glendower Group (Glendower), a nonprofit 501(c)(3) corporation, established in November 2001, is an instrumentality to the Elm City Communities/Housing Authority of the City of New Haven (ECC/HANH).  Glendower is at the forefront of those leading the private sector market in affordable housing.  Glendower provides comprehensive and integrated real estate development services specializing in affordable housing. Glendower’s vision has always been high-quality, innovative, and fiscally sound housing for families. </w:t>
      </w:r>
    </w:p>
    <w:p w14:paraId="5EBEBD50" w14:textId="379DCFBB" w:rsidR="005004AB" w:rsidRPr="003229A6" w:rsidRDefault="005004AB" w:rsidP="005004AB">
      <w:pPr>
        <w:spacing w:line="257" w:lineRule="auto"/>
        <w:rPr>
          <w:rFonts w:ascii="Century Gothic" w:eastAsia="Times New Roman" w:hAnsi="Century Gothic"/>
        </w:rPr>
      </w:pPr>
      <w:r w:rsidRPr="4EB6BE86">
        <w:rPr>
          <w:rFonts w:ascii="Century Gothic" w:eastAsia="Times New Roman" w:hAnsi="Century Gothic"/>
        </w:rPr>
        <w:t xml:space="preserve">  </w:t>
      </w:r>
    </w:p>
    <w:p w14:paraId="56719E9F" w14:textId="6546172D" w:rsidR="005004AB" w:rsidRPr="003229A6" w:rsidRDefault="005004AB" w:rsidP="005004AB">
      <w:pPr>
        <w:spacing w:line="257" w:lineRule="auto"/>
        <w:rPr>
          <w:rFonts w:ascii="Century Gothic" w:eastAsia="Times New Roman" w:hAnsi="Century Gothic"/>
        </w:rPr>
      </w:pPr>
      <w:r w:rsidRPr="4EB6BE86">
        <w:rPr>
          <w:rFonts w:ascii="Century Gothic" w:eastAsia="Times New Roman" w:hAnsi="Century Gothic"/>
        </w:rPr>
        <w:t xml:space="preserve">The acquisitions will contribute to </w:t>
      </w:r>
      <w:proofErr w:type="gramStart"/>
      <w:r w:rsidRPr="4EB6BE86">
        <w:rPr>
          <w:rFonts w:ascii="Century Gothic" w:eastAsia="Times New Roman" w:hAnsi="Century Gothic"/>
        </w:rPr>
        <w:t>promote</w:t>
      </w:r>
      <w:proofErr w:type="gramEnd"/>
      <w:r w:rsidRPr="4EB6BE86">
        <w:rPr>
          <w:rFonts w:ascii="Century Gothic" w:eastAsia="Times New Roman" w:hAnsi="Century Gothic"/>
        </w:rPr>
        <w:t xml:space="preserve"> healthy lives, a strong community and robust economy. Residents will have access to high quality housing with access to ECC/HANH’s social service activities.   </w:t>
      </w:r>
    </w:p>
    <w:p w14:paraId="5FDF1D91" w14:textId="03FBEF47" w:rsidR="005004AB" w:rsidRPr="003229A6" w:rsidRDefault="005004AB" w:rsidP="005004AB">
      <w:pPr>
        <w:spacing w:line="257" w:lineRule="auto"/>
        <w:rPr>
          <w:rFonts w:ascii="Century Gothic" w:eastAsia="Times New Roman" w:hAnsi="Century Gothic"/>
        </w:rPr>
      </w:pPr>
    </w:p>
    <w:p w14:paraId="0D7E1B6C" w14:textId="6C932268" w:rsidR="005004AB" w:rsidRPr="003229A6" w:rsidRDefault="005004AB" w:rsidP="005004AB">
      <w:pPr>
        <w:spacing w:line="257" w:lineRule="auto"/>
        <w:rPr>
          <w:rFonts w:ascii="Century Gothic" w:eastAsia="Times New Roman" w:hAnsi="Century Gothic"/>
        </w:rPr>
      </w:pPr>
      <w:r w:rsidRPr="4EB6BE86">
        <w:rPr>
          <w:rFonts w:ascii="Century Gothic" w:eastAsia="Times New Roman" w:hAnsi="Century Gothic"/>
        </w:rPr>
        <w:t xml:space="preserve">To assist in with the acquisition and </w:t>
      </w:r>
      <w:proofErr w:type="gramStart"/>
      <w:r w:rsidRPr="4EB6BE86">
        <w:rPr>
          <w:rFonts w:ascii="Century Gothic" w:eastAsia="Times New Roman" w:hAnsi="Century Gothic"/>
        </w:rPr>
        <w:t>stabilizing</w:t>
      </w:r>
      <w:proofErr w:type="gramEnd"/>
      <w:r w:rsidRPr="4EB6BE86">
        <w:rPr>
          <w:rFonts w:ascii="Century Gothic" w:eastAsia="Times New Roman" w:hAnsi="Century Gothic"/>
        </w:rPr>
        <w:t xml:space="preserve"> the affordable housing local market, ECC/HANH will provide project-based vouchers utilizing flexibilities previously approved under MTW Plans.  The project-based vouchers will be issued, consistent with all other ECC/HANH project-based vouchers activities and will be issued in accordance with the HUD regulations and ECC/HANH redevelopment efforts. The Glendower Group will act as co-developer and will assist in the planning and implementation.  ECC/HANH’s property management instrumentality, 360 Management Group, will manage the acquired properties.</w:t>
      </w:r>
    </w:p>
    <w:p w14:paraId="39EEA63F" w14:textId="3C81AC5B" w:rsidR="005004AB" w:rsidRDefault="005004AB" w:rsidP="005004AB">
      <w:pPr>
        <w:spacing w:line="257" w:lineRule="auto"/>
        <w:rPr>
          <w:rFonts w:ascii="Century Gothic" w:eastAsia="Times New Roman" w:hAnsi="Century Gothic"/>
          <w:b/>
        </w:rPr>
      </w:pPr>
    </w:p>
    <w:p w14:paraId="136C9894" w14:textId="33BEF151" w:rsidR="005004AB" w:rsidRPr="003229A6" w:rsidRDefault="005004AB" w:rsidP="005004AB">
      <w:pPr>
        <w:spacing w:line="257" w:lineRule="auto"/>
        <w:rPr>
          <w:rFonts w:ascii="Century Gothic" w:eastAsia="Times New Roman" w:hAnsi="Century Gothic"/>
          <w:b/>
        </w:rPr>
      </w:pPr>
    </w:p>
    <w:p w14:paraId="48262980" w14:textId="31B172C1" w:rsidR="005004AB" w:rsidRPr="003229A6" w:rsidRDefault="005004AB" w:rsidP="005004AB">
      <w:pPr>
        <w:spacing w:line="257" w:lineRule="auto"/>
        <w:rPr>
          <w:rFonts w:ascii="Century Gothic" w:eastAsia="Times New Roman" w:hAnsi="Century Gothic"/>
          <w:b/>
        </w:rPr>
      </w:pPr>
      <w:r w:rsidRPr="4EB6BE86">
        <w:rPr>
          <w:rFonts w:ascii="Century Gothic" w:eastAsia="Times New Roman" w:hAnsi="Century Gothic"/>
          <w:b/>
        </w:rPr>
        <w:lastRenderedPageBreak/>
        <w:t>Impact</w:t>
      </w:r>
    </w:p>
    <w:p w14:paraId="7A4F7191" w14:textId="07D3C7C4" w:rsidR="005004AB" w:rsidRPr="003229A6" w:rsidRDefault="410AD8A9" w:rsidP="481804DA">
      <w:pPr>
        <w:rPr>
          <w:rFonts w:ascii="Century Gothic" w:eastAsia="Times New Roman" w:hAnsi="Century Gothic"/>
        </w:rPr>
      </w:pPr>
      <w:r w:rsidRPr="481804DA">
        <w:rPr>
          <w:rFonts w:ascii="Century Gothic" w:eastAsia="Times New Roman" w:hAnsi="Century Gothic"/>
        </w:rPr>
        <w:t>ECC has purchased two vacant parcels</w:t>
      </w:r>
      <w:r w:rsidR="5E7893E8" w:rsidRPr="4A1CF5CA">
        <w:rPr>
          <w:rFonts w:ascii="Century Gothic" w:eastAsia="Times New Roman" w:hAnsi="Century Gothic"/>
        </w:rPr>
        <w:t xml:space="preserve">, East Grand Ave and Church St South, </w:t>
      </w:r>
      <w:r w:rsidR="217203F1" w:rsidRPr="61201109">
        <w:rPr>
          <w:rFonts w:ascii="Century Gothic" w:eastAsia="Times New Roman" w:hAnsi="Century Gothic"/>
        </w:rPr>
        <w:t xml:space="preserve">which </w:t>
      </w:r>
      <w:r w:rsidR="5E7893E8" w:rsidRPr="4A1CF5CA">
        <w:rPr>
          <w:rFonts w:ascii="Century Gothic" w:eastAsia="Times New Roman" w:hAnsi="Century Gothic"/>
        </w:rPr>
        <w:t xml:space="preserve">will be used as a location for residential </w:t>
      </w:r>
      <w:r w:rsidR="025855CC" w:rsidRPr="35A1E6CD">
        <w:rPr>
          <w:rFonts w:ascii="Century Gothic" w:eastAsia="Times New Roman" w:hAnsi="Century Gothic"/>
        </w:rPr>
        <w:t>development</w:t>
      </w:r>
      <w:r w:rsidR="5E7893E8" w:rsidRPr="4A1CF5CA">
        <w:rPr>
          <w:rFonts w:ascii="Century Gothic" w:eastAsia="Times New Roman" w:hAnsi="Century Gothic"/>
        </w:rPr>
        <w:t xml:space="preserve"> that is now in the planning stages.  </w:t>
      </w:r>
      <w:r w:rsidR="02DC3E48" w:rsidRPr="35A1E6CD">
        <w:rPr>
          <w:rFonts w:ascii="Century Gothic" w:eastAsia="Times New Roman" w:hAnsi="Century Gothic"/>
        </w:rPr>
        <w:t xml:space="preserve">Additional </w:t>
      </w:r>
      <w:r w:rsidR="002B0C27" w:rsidRPr="35A1E6CD">
        <w:rPr>
          <w:rFonts w:ascii="Century Gothic" w:eastAsia="Times New Roman" w:hAnsi="Century Gothic"/>
        </w:rPr>
        <w:t>details</w:t>
      </w:r>
      <w:r w:rsidR="02DC3E48" w:rsidRPr="35A1E6CD">
        <w:rPr>
          <w:rFonts w:ascii="Century Gothic" w:eastAsia="Times New Roman" w:hAnsi="Century Gothic"/>
        </w:rPr>
        <w:t xml:space="preserve"> on these </w:t>
      </w:r>
      <w:r w:rsidR="392C9CB4" w:rsidRPr="61201109">
        <w:rPr>
          <w:rFonts w:ascii="Century Gothic" w:eastAsia="Times New Roman" w:hAnsi="Century Gothic"/>
        </w:rPr>
        <w:t>two acquisition sites</w:t>
      </w:r>
      <w:r w:rsidR="02DC3E48" w:rsidRPr="35A1E6CD">
        <w:rPr>
          <w:rFonts w:ascii="Century Gothic" w:eastAsia="Times New Roman" w:hAnsi="Century Gothic"/>
        </w:rPr>
        <w:t xml:space="preserve"> </w:t>
      </w:r>
      <w:r w:rsidR="002B0C27" w:rsidRPr="35A1E6CD">
        <w:rPr>
          <w:rFonts w:ascii="Century Gothic" w:eastAsia="Times New Roman" w:hAnsi="Century Gothic"/>
        </w:rPr>
        <w:t>are</w:t>
      </w:r>
      <w:r w:rsidR="02DC3E48" w:rsidRPr="35A1E6CD">
        <w:rPr>
          <w:rFonts w:ascii="Century Gothic" w:eastAsia="Times New Roman" w:hAnsi="Century Gothic"/>
        </w:rPr>
        <w:t xml:space="preserve"> as follows:</w:t>
      </w:r>
    </w:p>
    <w:p w14:paraId="5B7FC20B" w14:textId="1B0F407F" w:rsidR="35A1E6CD" w:rsidRDefault="35A1E6CD" w:rsidP="35A1E6CD">
      <w:pPr>
        <w:rPr>
          <w:rFonts w:ascii="Century Gothic" w:eastAsia="Times New Roman" w:hAnsi="Century Gothic"/>
        </w:rPr>
      </w:pPr>
    </w:p>
    <w:p w14:paraId="3DAB4EE1" w14:textId="63D26A19" w:rsidR="35A1E6CD" w:rsidRDefault="73CCD3E0" w:rsidP="00486062">
      <w:pPr>
        <w:pStyle w:val="ListParagraph"/>
        <w:numPr>
          <w:ilvl w:val="0"/>
          <w:numId w:val="129"/>
        </w:numPr>
        <w:spacing w:line="257" w:lineRule="auto"/>
        <w:rPr>
          <w:rFonts w:ascii="Century Gothic" w:eastAsia="Century Gothic" w:hAnsi="Century Gothic" w:cs="Century Gothic"/>
          <w:b/>
          <w:bCs/>
          <w:szCs w:val="22"/>
        </w:rPr>
      </w:pPr>
      <w:r w:rsidRPr="47D58843">
        <w:rPr>
          <w:rFonts w:ascii="Century Gothic" w:eastAsia="Century Gothic" w:hAnsi="Century Gothic" w:cs="Century Gothic"/>
          <w:b/>
          <w:bCs/>
          <w:szCs w:val="22"/>
        </w:rPr>
        <w:t>East Grand Ave</w:t>
      </w:r>
    </w:p>
    <w:p w14:paraId="3DC59148" w14:textId="5298EACD" w:rsidR="35A1E6CD" w:rsidRDefault="73CCD3E0" w:rsidP="47D58843">
      <w:pPr>
        <w:spacing w:line="257" w:lineRule="auto"/>
        <w:ind w:left="720"/>
      </w:pPr>
      <w:r w:rsidRPr="47D58843">
        <w:rPr>
          <w:rFonts w:ascii="Century Gothic" w:eastAsia="Century Gothic" w:hAnsi="Century Gothic" w:cs="Century Gothic"/>
          <w:b/>
          <w:bCs/>
          <w:sz w:val="24"/>
        </w:rPr>
        <w:t xml:space="preserve"> </w:t>
      </w:r>
    </w:p>
    <w:p w14:paraId="2C152694" w14:textId="05CD9AFA" w:rsidR="35A1E6CD" w:rsidRDefault="73CCD3E0" w:rsidP="47D58843">
      <w:pPr>
        <w:rPr>
          <w:rFonts w:ascii="Century Gothic" w:eastAsia="Century Gothic" w:hAnsi="Century Gothic" w:cs="Century Gothic"/>
        </w:rPr>
      </w:pPr>
      <w:r w:rsidRPr="4D929C0E">
        <w:rPr>
          <w:rFonts w:ascii="Century Gothic" w:eastAsia="Century Gothic" w:hAnsi="Century Gothic" w:cs="Century Gothic"/>
        </w:rPr>
        <w:t>ECC/HANH through its instrumentality The Glendower Group will develop a mixed- use and mixed-income market and affordable housing development.  Currently under design, the project plans will provide for a comprehensive transformation on a vacant lot in the Fair Haven Heights neighborhood in the City of New Haven.   The Project shall consist of approximately forty</w:t>
      </w:r>
      <w:r w:rsidR="009E6722">
        <w:rPr>
          <w:rFonts w:ascii="Century Gothic" w:eastAsia="Century Gothic" w:hAnsi="Century Gothic" w:cs="Century Gothic"/>
        </w:rPr>
        <w:t xml:space="preserve"> </w:t>
      </w:r>
      <w:r w:rsidRPr="4D929C0E">
        <w:rPr>
          <w:rFonts w:ascii="Century Gothic" w:eastAsia="Century Gothic" w:hAnsi="Century Gothic" w:cs="Century Gothic"/>
        </w:rPr>
        <w:t>(40) residential units with related commercial use.  ECC</w:t>
      </w:r>
      <w:r w:rsidR="00DB31F5">
        <w:rPr>
          <w:rFonts w:ascii="Century Gothic" w:eastAsia="Century Gothic" w:hAnsi="Century Gothic" w:cs="Century Gothic"/>
        </w:rPr>
        <w:t>/HANH</w:t>
      </w:r>
      <w:r w:rsidRPr="4D929C0E">
        <w:rPr>
          <w:rFonts w:ascii="Century Gothic" w:eastAsia="Century Gothic" w:hAnsi="Century Gothic" w:cs="Century Gothic"/>
        </w:rPr>
        <w:t xml:space="preserve"> purchased the vacant parcel and one building with water views of the Quinnipiac River.  The </w:t>
      </w:r>
      <w:r w:rsidR="436CF6A4" w:rsidRPr="61201109">
        <w:rPr>
          <w:rFonts w:ascii="Century Gothic" w:eastAsia="Century Gothic" w:hAnsi="Century Gothic" w:cs="Century Gothic"/>
        </w:rPr>
        <w:t xml:space="preserve">development of the project </w:t>
      </w:r>
      <w:r w:rsidRPr="61201109">
        <w:rPr>
          <w:rFonts w:ascii="Century Gothic" w:eastAsia="Century Gothic" w:hAnsi="Century Gothic" w:cs="Century Gothic"/>
        </w:rPr>
        <w:t>requires certain predevelopment and development services.  ECC</w:t>
      </w:r>
      <w:r w:rsidR="00DB31F5">
        <w:rPr>
          <w:rFonts w:ascii="Century Gothic" w:eastAsia="Century Gothic" w:hAnsi="Century Gothic" w:cs="Century Gothic"/>
        </w:rPr>
        <w:t>/HANH</w:t>
      </w:r>
      <w:r w:rsidRPr="61201109">
        <w:rPr>
          <w:rFonts w:ascii="Century Gothic" w:eastAsia="Century Gothic" w:hAnsi="Century Gothic" w:cs="Century Gothic"/>
        </w:rPr>
        <w:t xml:space="preserve"> and Glendower procured an </w:t>
      </w:r>
      <w:r w:rsidR="002B0C27" w:rsidRPr="61201109">
        <w:rPr>
          <w:rFonts w:ascii="Century Gothic" w:eastAsia="Century Gothic" w:hAnsi="Century Gothic" w:cs="Century Gothic"/>
        </w:rPr>
        <w:t>architect,</w:t>
      </w:r>
      <w:r w:rsidRPr="61201109">
        <w:rPr>
          <w:rFonts w:ascii="Century Gothic" w:eastAsia="Century Gothic" w:hAnsi="Century Gothic" w:cs="Century Gothic"/>
        </w:rPr>
        <w:t xml:space="preserve"> and the project </w:t>
      </w:r>
      <w:r w:rsidR="3382E969" w:rsidRPr="61201109">
        <w:rPr>
          <w:rFonts w:ascii="Century Gothic" w:eastAsia="Century Gothic" w:hAnsi="Century Gothic" w:cs="Century Gothic"/>
        </w:rPr>
        <w:t>is under</w:t>
      </w:r>
      <w:r w:rsidRPr="4D929C0E">
        <w:rPr>
          <w:rFonts w:ascii="Century Gothic" w:eastAsia="Century Gothic" w:hAnsi="Century Gothic" w:cs="Century Gothic"/>
        </w:rPr>
        <w:t xml:space="preserve"> </w:t>
      </w:r>
      <w:r w:rsidR="3382E969" w:rsidRPr="61201109">
        <w:rPr>
          <w:rFonts w:ascii="Century Gothic" w:eastAsia="Century Gothic" w:hAnsi="Century Gothic" w:cs="Century Gothic"/>
        </w:rPr>
        <w:t>preliminary</w:t>
      </w:r>
      <w:r w:rsidRPr="61201109">
        <w:rPr>
          <w:rFonts w:ascii="Century Gothic" w:eastAsia="Century Gothic" w:hAnsi="Century Gothic" w:cs="Century Gothic"/>
        </w:rPr>
        <w:t xml:space="preserve"> </w:t>
      </w:r>
      <w:r w:rsidRPr="4D929C0E">
        <w:rPr>
          <w:rFonts w:ascii="Century Gothic" w:eastAsia="Century Gothic" w:hAnsi="Century Gothic" w:cs="Century Gothic"/>
        </w:rPr>
        <w:t xml:space="preserve">design.  The project plans will provide for a comprehensive transformation of the neighborhood.   </w:t>
      </w:r>
      <w:r w:rsidRPr="1B4B77C4">
        <w:rPr>
          <w:rFonts w:ascii="Century Gothic" w:eastAsia="Century Gothic" w:hAnsi="Century Gothic" w:cs="Century Gothic"/>
        </w:rPr>
        <w:t xml:space="preserve">To assist in the development of this affordable housing development, Elm City Communities will provide up to thirty-two (32) Faircloth RAD vouchers utilizing </w:t>
      </w:r>
      <w:proofErr w:type="gramStart"/>
      <w:r w:rsidRPr="1B4B77C4">
        <w:rPr>
          <w:rFonts w:ascii="Century Gothic" w:eastAsia="Century Gothic" w:hAnsi="Century Gothic" w:cs="Century Gothic"/>
        </w:rPr>
        <w:t>flexibilities</w:t>
      </w:r>
      <w:proofErr w:type="gramEnd"/>
      <w:r w:rsidRPr="1B4B77C4">
        <w:rPr>
          <w:rFonts w:ascii="Century Gothic" w:eastAsia="Century Gothic" w:hAnsi="Century Gothic" w:cs="Century Gothic"/>
        </w:rPr>
        <w:t xml:space="preserve"> previously approved under MTW Plans.  The project-based vouchers will be issued, consistent with all other ECC/HANH project-based vouchers activities and will be issued in accordance with the HUD regulations and ECC/HANH redevelopment efforts. The Glendower Group, ECC’s development instrumentality, will develop and will assist in the </w:t>
      </w:r>
      <w:proofErr w:type="gramStart"/>
      <w:r w:rsidRPr="1B4B77C4">
        <w:rPr>
          <w:rFonts w:ascii="Century Gothic" w:eastAsia="Century Gothic" w:hAnsi="Century Gothic" w:cs="Century Gothic"/>
        </w:rPr>
        <w:t>planning,</w:t>
      </w:r>
      <w:proofErr w:type="gramEnd"/>
      <w:r w:rsidRPr="1B4B77C4">
        <w:rPr>
          <w:rFonts w:ascii="Century Gothic" w:eastAsia="Century Gothic" w:hAnsi="Century Gothic" w:cs="Century Gothic"/>
        </w:rPr>
        <w:t xml:space="preserve"> implementation, and </w:t>
      </w:r>
      <w:proofErr w:type="gramStart"/>
      <w:r w:rsidRPr="1B4B77C4">
        <w:rPr>
          <w:rFonts w:ascii="Century Gothic" w:eastAsia="Century Gothic" w:hAnsi="Century Gothic" w:cs="Century Gothic"/>
        </w:rPr>
        <w:t>will property</w:t>
      </w:r>
      <w:proofErr w:type="gramEnd"/>
      <w:r w:rsidRPr="1B4B77C4">
        <w:rPr>
          <w:rFonts w:ascii="Century Gothic" w:eastAsia="Century Gothic" w:hAnsi="Century Gothic" w:cs="Century Gothic"/>
        </w:rPr>
        <w:t xml:space="preserve"> manage the property.</w:t>
      </w:r>
    </w:p>
    <w:p w14:paraId="330BBF81" w14:textId="2FA3318B" w:rsidR="35A1E6CD" w:rsidRDefault="35A1E6CD" w:rsidP="35A1E6CD">
      <w:pPr>
        <w:rPr>
          <w:rFonts w:ascii="Century Gothic" w:eastAsia="Times New Roman" w:hAnsi="Century Gothic"/>
        </w:rPr>
      </w:pPr>
    </w:p>
    <w:p w14:paraId="27169BEB" w14:textId="27AD21F8" w:rsidR="005004AB" w:rsidRPr="003229A6" w:rsidRDefault="229F9E59" w:rsidP="00486062">
      <w:pPr>
        <w:pStyle w:val="ListParagraph"/>
        <w:numPr>
          <w:ilvl w:val="0"/>
          <w:numId w:val="130"/>
        </w:numPr>
        <w:spacing w:line="257" w:lineRule="auto"/>
        <w:rPr>
          <w:rFonts w:ascii="Century Gothic" w:eastAsia="Century Gothic" w:hAnsi="Century Gothic" w:cs="Century Gothic"/>
          <w:b/>
          <w:bCs/>
          <w:szCs w:val="22"/>
        </w:rPr>
      </w:pPr>
      <w:r w:rsidRPr="3B06E890">
        <w:rPr>
          <w:rFonts w:ascii="Century Gothic" w:eastAsia="Century Gothic" w:hAnsi="Century Gothic" w:cs="Century Gothic"/>
          <w:b/>
          <w:bCs/>
          <w:szCs w:val="22"/>
        </w:rPr>
        <w:t>Union Square Transformation (Church Street South/Union Square and Robert T. Wolfe) (Previously Initiative 1.24 Robert T Wolfe Transformation)</w:t>
      </w:r>
    </w:p>
    <w:p w14:paraId="62BF2026" w14:textId="3E2F6B9E" w:rsidR="005004AB" w:rsidRPr="003229A6" w:rsidRDefault="229F9E59" w:rsidP="5BF49C2F">
      <w:pPr>
        <w:spacing w:line="257" w:lineRule="auto"/>
        <w:rPr>
          <w:rFonts w:ascii="Century Gothic" w:eastAsia="Century Gothic" w:hAnsi="Century Gothic" w:cs="Century Gothic"/>
          <w:szCs w:val="22"/>
        </w:rPr>
      </w:pPr>
      <w:r w:rsidRPr="3B06E890">
        <w:rPr>
          <w:rFonts w:ascii="Century Gothic" w:eastAsia="Century Gothic" w:hAnsi="Century Gothic" w:cs="Century Gothic"/>
          <w:sz w:val="24"/>
        </w:rPr>
        <w:t xml:space="preserve"> </w:t>
      </w:r>
    </w:p>
    <w:p w14:paraId="28947D11" w14:textId="6948BFED" w:rsidR="007C651F" w:rsidRDefault="229F9E59" w:rsidP="5BF49C2F">
      <w:pPr>
        <w:spacing w:line="257" w:lineRule="auto"/>
        <w:rPr>
          <w:rFonts w:ascii="Century Gothic" w:eastAsia="Century Gothic" w:hAnsi="Century Gothic" w:cs="Century Gothic"/>
        </w:rPr>
      </w:pPr>
      <w:r w:rsidRPr="0E65797B">
        <w:rPr>
          <w:rFonts w:ascii="Century Gothic" w:eastAsia="Century Gothic" w:hAnsi="Century Gothic" w:cs="Century Gothic"/>
        </w:rPr>
        <w:t>ECC/</w:t>
      </w:r>
      <w:r w:rsidR="002B0C27" w:rsidRPr="0E65797B">
        <w:rPr>
          <w:rFonts w:ascii="Century Gothic" w:eastAsia="Century Gothic" w:hAnsi="Century Gothic" w:cs="Century Gothic"/>
        </w:rPr>
        <w:t>HANH,</w:t>
      </w:r>
      <w:r w:rsidRPr="0E65797B">
        <w:rPr>
          <w:rFonts w:ascii="Century Gothic" w:eastAsia="Century Gothic" w:hAnsi="Century Gothic" w:cs="Century Gothic"/>
        </w:rPr>
        <w:t xml:space="preserve"> through its instrumentality The Glendower Group, seeks to redevelop Robert T. Wolfe. Robert T Wolfe is directly adjacent to the former Church Street South housing complex.   ECC</w:t>
      </w:r>
      <w:r w:rsidR="00942CB9">
        <w:rPr>
          <w:rFonts w:ascii="Century Gothic" w:eastAsia="Century Gothic" w:hAnsi="Century Gothic" w:cs="Century Gothic"/>
        </w:rPr>
        <w:t>/HANH</w:t>
      </w:r>
      <w:r w:rsidRPr="0E65797B">
        <w:rPr>
          <w:rFonts w:ascii="Century Gothic" w:eastAsia="Century Gothic" w:hAnsi="Century Gothic" w:cs="Century Gothic"/>
        </w:rPr>
        <w:t xml:space="preserve"> purchased the Church Street South site with the intent of redeveloping this property in conjunction with the redevelopment of Robert T Wolfe. The site, currently vacant, was a former cinderblock complex, comprised of 301 apartments spread across 22 buildings on an expansive 13-acre parcel of land that was demolished in 2016.</w:t>
      </w:r>
      <w:r w:rsidR="71DA7F98" w:rsidRPr="61201109">
        <w:rPr>
          <w:rFonts w:ascii="Century Gothic" w:eastAsia="Century Gothic" w:hAnsi="Century Gothic" w:cs="Century Gothic"/>
        </w:rPr>
        <w:t xml:space="preserve"> </w:t>
      </w:r>
    </w:p>
    <w:p w14:paraId="071ED706" w14:textId="77777777" w:rsidR="007C651F" w:rsidRDefault="007C651F" w:rsidP="5BF49C2F">
      <w:pPr>
        <w:spacing w:line="257" w:lineRule="auto"/>
        <w:rPr>
          <w:rFonts w:ascii="Century Gothic" w:eastAsia="Century Gothic" w:hAnsi="Century Gothic" w:cs="Century Gothic"/>
        </w:rPr>
      </w:pPr>
    </w:p>
    <w:p w14:paraId="2F872467" w14:textId="561BE4A1" w:rsidR="005004AB" w:rsidRPr="003229A6" w:rsidRDefault="71DA7F98" w:rsidP="5BF49C2F">
      <w:pPr>
        <w:spacing w:line="257" w:lineRule="auto"/>
        <w:rPr>
          <w:rFonts w:ascii="Century Gothic" w:eastAsia="Century Gothic" w:hAnsi="Century Gothic" w:cs="Century Gothic"/>
        </w:rPr>
      </w:pPr>
      <w:r w:rsidRPr="61201109">
        <w:rPr>
          <w:rFonts w:ascii="Century Gothic" w:eastAsia="Century Gothic" w:hAnsi="Century Gothic" w:cs="Century Gothic"/>
        </w:rPr>
        <w:t xml:space="preserve"> </w:t>
      </w:r>
      <w:r w:rsidR="229F9E59" w:rsidRPr="61201109">
        <w:rPr>
          <w:rFonts w:ascii="Century Gothic" w:eastAsia="Century Gothic" w:hAnsi="Century Gothic" w:cs="Century Gothic"/>
        </w:rPr>
        <w:t>ECC/HANH applied for and was awarded a Choice Neighborhoods Initiative Planning Grant in FY2023 to study the redevelopment of the Church St. South and R. T. Wolfe sites and how to increase connectivity to the downtown area.  It is the intent of ECC to redevelop the Church Street South and Robert T Wolfe sites over multiple mixed-use and mixed-income developments over the next several years.</w:t>
      </w:r>
      <w:r w:rsidR="4EC0DC06" w:rsidRPr="53D7F853">
        <w:rPr>
          <w:rFonts w:ascii="Century Gothic" w:eastAsia="Century Gothic" w:hAnsi="Century Gothic" w:cs="Century Gothic"/>
        </w:rPr>
        <w:t xml:space="preserve">  </w:t>
      </w:r>
      <w:r w:rsidR="229F9E59" w:rsidRPr="61201109">
        <w:rPr>
          <w:rFonts w:ascii="Century Gothic" w:eastAsia="Century Gothic" w:hAnsi="Century Gothic" w:cs="Century Gothic"/>
        </w:rPr>
        <w:t>Robert T. Wolfe will be a transit-oriented redevelopment inclusive of commercial and other economic development improvements in the area.  The redevelopment of Robert T Wolfe will create a desirable, walkable community, connecting residents to the downtown area and the New Haven train station.  It is anticipated that the redevelopment will create approximately ninety (90) units with commercial and community space.  The project’s parcel is located near Union Station, a transit station.</w:t>
      </w:r>
    </w:p>
    <w:p w14:paraId="181EB6FA" w14:textId="01960F78" w:rsidR="005004AB" w:rsidRPr="003229A6" w:rsidRDefault="229F9E59" w:rsidP="5BF49C2F">
      <w:pPr>
        <w:spacing w:line="257" w:lineRule="auto"/>
        <w:rPr>
          <w:rFonts w:ascii="Century Gothic" w:eastAsia="Century Gothic" w:hAnsi="Century Gothic" w:cs="Century Gothic"/>
          <w:szCs w:val="22"/>
        </w:rPr>
      </w:pPr>
      <w:r w:rsidRPr="3B06E890">
        <w:rPr>
          <w:rFonts w:ascii="Century Gothic" w:eastAsia="Century Gothic" w:hAnsi="Century Gothic" w:cs="Century Gothic"/>
          <w:sz w:val="24"/>
        </w:rPr>
        <w:t xml:space="preserve"> </w:t>
      </w:r>
    </w:p>
    <w:p w14:paraId="0FDC6616" w14:textId="77777777" w:rsidR="00D64B7D" w:rsidRDefault="229F9E59" w:rsidP="5BF49C2F">
      <w:pPr>
        <w:spacing w:line="257" w:lineRule="auto"/>
        <w:rPr>
          <w:rFonts w:ascii="Century Gothic" w:eastAsia="Century Gothic" w:hAnsi="Century Gothic" w:cs="Century Gothic"/>
        </w:rPr>
      </w:pPr>
      <w:r w:rsidRPr="0CE95332">
        <w:rPr>
          <w:rFonts w:ascii="Century Gothic" w:eastAsia="Century Gothic" w:hAnsi="Century Gothic" w:cs="Century Gothic"/>
        </w:rPr>
        <w:t xml:space="preserve">This CNI planning grant will allow for a comprehensive approach to neighborhood transformation.  This grant will provide up to $500,000 in funding to develop a transformation plan to revitalize Robert T. Wolfe and the surrounding neighborhood.  As one of the older, blighted developments in our portfolio, Robert T. Wolfe is an ideal center, focused towards initiating a transformation plan.  </w:t>
      </w:r>
    </w:p>
    <w:p w14:paraId="413D94D3" w14:textId="0ABCDCD6" w:rsidR="005004AB" w:rsidRPr="003229A6" w:rsidRDefault="229F9E59" w:rsidP="5BF49C2F">
      <w:pPr>
        <w:spacing w:line="257" w:lineRule="auto"/>
        <w:rPr>
          <w:rFonts w:ascii="Century Gothic" w:eastAsia="Century Gothic" w:hAnsi="Century Gothic" w:cs="Century Gothic"/>
        </w:rPr>
      </w:pPr>
      <w:r w:rsidRPr="7C32AB7D">
        <w:rPr>
          <w:rFonts w:ascii="Century Gothic" w:eastAsia="Century Gothic" w:hAnsi="Century Gothic" w:cs="Century Gothic"/>
        </w:rPr>
        <w:lastRenderedPageBreak/>
        <w:t xml:space="preserve">Due to costs related to the demolition of </w:t>
      </w:r>
      <w:r w:rsidR="3C8F4791" w:rsidRPr="7C32AB7D">
        <w:rPr>
          <w:rFonts w:ascii="Century Gothic" w:eastAsia="Century Gothic" w:hAnsi="Century Gothic" w:cs="Century Gothic"/>
        </w:rPr>
        <w:t>the property</w:t>
      </w:r>
      <w:r w:rsidRPr="7C32AB7D">
        <w:rPr>
          <w:rFonts w:ascii="Century Gothic" w:eastAsia="Century Gothic" w:hAnsi="Century Gothic" w:cs="Century Gothic"/>
        </w:rPr>
        <w:t xml:space="preserve"> and the construction of a new approximate 90-unit residential building, the redevelopment of Robert T. Wolfe will be feasible through a mixed finance deal which includes the inclusion of Low-Income Tax Credit (LIHTC) equity, private financing, and Choice Neighborhood Implementation funding.  </w:t>
      </w:r>
      <w:r w:rsidRPr="7A53303C">
        <w:rPr>
          <w:rFonts w:ascii="Century Gothic" w:eastAsia="Century Gothic" w:hAnsi="Century Gothic" w:cs="Century Gothic"/>
        </w:rPr>
        <w:t xml:space="preserve">The initial financial closings are anticipated for the third quarter of FY2025.  It is anticipated that construction will take 18 months to </w:t>
      </w:r>
      <w:r w:rsidR="002B0C27" w:rsidRPr="7A53303C">
        <w:rPr>
          <w:rFonts w:ascii="Century Gothic" w:eastAsia="Century Gothic" w:hAnsi="Century Gothic" w:cs="Century Gothic"/>
        </w:rPr>
        <w:t>ensure</w:t>
      </w:r>
      <w:r w:rsidRPr="7A53303C">
        <w:rPr>
          <w:rFonts w:ascii="Century Gothic" w:eastAsia="Century Gothic" w:hAnsi="Century Gothic" w:cs="Century Gothic"/>
        </w:rPr>
        <w:t xml:space="preserve"> that all required relocation activities will comply with the Uniform Relocation Act.  Under this scenario the redevelopment will be complete, and all units occupied by the first quarter of calendar year 2026.</w:t>
      </w:r>
    </w:p>
    <w:p w14:paraId="0D228D45" w14:textId="62F22EFB" w:rsidR="005004AB" w:rsidRPr="003229A6" w:rsidRDefault="229F9E59" w:rsidP="5BF49C2F">
      <w:pPr>
        <w:spacing w:line="257" w:lineRule="auto"/>
        <w:rPr>
          <w:rFonts w:ascii="Century Gothic" w:eastAsia="Century Gothic" w:hAnsi="Century Gothic" w:cs="Century Gothic"/>
          <w:szCs w:val="22"/>
        </w:rPr>
      </w:pPr>
      <w:r w:rsidRPr="7A53303C">
        <w:rPr>
          <w:rFonts w:ascii="Century Gothic" w:eastAsia="Century Gothic" w:hAnsi="Century Gothic" w:cs="Century Gothic"/>
        </w:rPr>
        <w:t xml:space="preserve"> </w:t>
      </w:r>
    </w:p>
    <w:p w14:paraId="046E25F7" w14:textId="0BD94A5F" w:rsidR="005004AB" w:rsidRPr="003229A6" w:rsidRDefault="005004AB" w:rsidP="005004AB">
      <w:pPr>
        <w:spacing w:line="257" w:lineRule="auto"/>
        <w:rPr>
          <w:rFonts w:ascii="Century Gothic" w:eastAsia="Times New Roman" w:hAnsi="Century Gothic"/>
          <w:b/>
        </w:rPr>
      </w:pPr>
      <w:r w:rsidRPr="4EB6BE86">
        <w:rPr>
          <w:rFonts w:ascii="Century Gothic" w:eastAsia="Times New Roman" w:hAnsi="Century Gothic"/>
          <w:b/>
        </w:rPr>
        <w:t>Outcomes</w:t>
      </w:r>
    </w:p>
    <w:p w14:paraId="448A65E2" w14:textId="6A34929E" w:rsidR="005004AB" w:rsidRPr="003229A6" w:rsidRDefault="00375E59" w:rsidP="005004AB">
      <w:pPr>
        <w:spacing w:line="257" w:lineRule="auto"/>
        <w:rPr>
          <w:rFonts w:ascii="Century Gothic" w:eastAsia="Times New Roman" w:hAnsi="Century Gothic"/>
          <w:b/>
        </w:rPr>
      </w:pPr>
      <w:r>
        <w:rPr>
          <w:rFonts w:ascii="Century Gothic" w:eastAsia="Times New Roman" w:hAnsi="Century Gothic"/>
          <w:b/>
        </w:rPr>
        <w:t>Internal</w:t>
      </w:r>
      <w:r w:rsidR="005004AB" w:rsidRPr="4EB6BE86">
        <w:rPr>
          <w:rFonts w:ascii="Century Gothic" w:eastAsia="Times New Roman" w:hAnsi="Century Gothic"/>
          <w:b/>
        </w:rPr>
        <w:t xml:space="preserve"> Metrics</w:t>
      </w:r>
    </w:p>
    <w:p w14:paraId="4165A48B" w14:textId="4839318C" w:rsidR="005004AB" w:rsidRPr="003229A6" w:rsidRDefault="005004AB" w:rsidP="005004AB">
      <w:pPr>
        <w:jc w:val="center"/>
        <w:rPr>
          <w:rFonts w:ascii="Century Gothic" w:eastAsia="Times New Roman" w:hAnsi="Century Gothic"/>
          <w:b/>
          <w:i/>
        </w:rPr>
      </w:pPr>
      <w:r w:rsidRPr="4EB6BE86">
        <w:rPr>
          <w:rFonts w:ascii="Century Gothic" w:eastAsia="Times New Roman" w:hAnsi="Century Gothic"/>
          <w:b/>
          <w:i/>
        </w:rPr>
        <w:t>HC #1: Additional Units of Housing Made Available</w:t>
      </w:r>
    </w:p>
    <w:tbl>
      <w:tblPr>
        <w:tblStyle w:val="TableGrid"/>
        <w:tblW w:w="0" w:type="auto"/>
        <w:tblLayout w:type="fixed"/>
        <w:tblLook w:val="04A0" w:firstRow="1" w:lastRow="0" w:firstColumn="1" w:lastColumn="0" w:noHBand="0" w:noVBand="1"/>
      </w:tblPr>
      <w:tblGrid>
        <w:gridCol w:w="2730"/>
        <w:gridCol w:w="1875"/>
        <w:gridCol w:w="1890"/>
        <w:gridCol w:w="1890"/>
        <w:gridCol w:w="1800"/>
      </w:tblGrid>
      <w:tr w:rsidR="005004AB" w:rsidRPr="003229A6" w14:paraId="5E47E54C" w14:textId="77777777">
        <w:trPr>
          <w:trHeight w:val="300"/>
        </w:trPr>
        <w:tc>
          <w:tcPr>
            <w:tcW w:w="2730" w:type="dxa"/>
            <w:tcBorders>
              <w:top w:val="single" w:sz="18" w:space="0" w:color="auto"/>
              <w:left w:val="single" w:sz="18" w:space="0" w:color="auto"/>
              <w:bottom w:val="single" w:sz="18" w:space="0" w:color="auto"/>
              <w:right w:val="single" w:sz="18" w:space="0" w:color="auto"/>
            </w:tcBorders>
            <w:shd w:val="clear" w:color="auto" w:fill="E5E5E5"/>
            <w:vAlign w:val="center"/>
          </w:tcPr>
          <w:p w14:paraId="7366445B" w14:textId="77777777" w:rsidR="005004AB" w:rsidRPr="003229A6" w:rsidRDefault="005004AB">
            <w:pPr>
              <w:jc w:val="center"/>
              <w:rPr>
                <w:rFonts w:ascii="Century Gothic" w:eastAsia="Times New Roman" w:hAnsi="Century Gothic"/>
                <w:b/>
                <w:bCs/>
                <w:color w:val="000000" w:themeColor="text1"/>
                <w:szCs w:val="22"/>
              </w:rPr>
            </w:pPr>
            <w:r w:rsidRPr="003229A6">
              <w:rPr>
                <w:rFonts w:ascii="Century Gothic" w:eastAsia="Times New Roman" w:hAnsi="Century Gothic"/>
                <w:b/>
                <w:bCs/>
                <w:szCs w:val="22"/>
              </w:rPr>
              <w:t xml:space="preserve">Unit of </w:t>
            </w:r>
            <w:r w:rsidRPr="003229A6">
              <w:rPr>
                <w:rFonts w:ascii="Century Gothic" w:eastAsia="Times New Roman" w:hAnsi="Century Gothic"/>
                <w:b/>
                <w:bCs/>
                <w:color w:val="000000" w:themeColor="text1"/>
                <w:szCs w:val="22"/>
              </w:rPr>
              <w:t>Measurement</w:t>
            </w:r>
          </w:p>
        </w:tc>
        <w:tc>
          <w:tcPr>
            <w:tcW w:w="1875" w:type="dxa"/>
            <w:tcBorders>
              <w:top w:val="single" w:sz="18" w:space="0" w:color="auto"/>
              <w:left w:val="single" w:sz="18" w:space="0" w:color="auto"/>
              <w:bottom w:val="single" w:sz="18" w:space="0" w:color="auto"/>
              <w:right w:val="single" w:sz="18" w:space="0" w:color="auto"/>
            </w:tcBorders>
            <w:shd w:val="clear" w:color="auto" w:fill="E5E5E5"/>
            <w:vAlign w:val="center"/>
          </w:tcPr>
          <w:p w14:paraId="35594B6C" w14:textId="77777777" w:rsidR="005004AB" w:rsidRPr="003229A6" w:rsidRDefault="005004AB">
            <w:pPr>
              <w:jc w:val="center"/>
              <w:rPr>
                <w:rFonts w:ascii="Century Gothic" w:eastAsia="Times New Roman" w:hAnsi="Century Gothic"/>
                <w:b/>
                <w:bCs/>
                <w:color w:val="000000" w:themeColor="text1"/>
                <w:szCs w:val="22"/>
              </w:rPr>
            </w:pPr>
            <w:r w:rsidRPr="003229A6">
              <w:rPr>
                <w:rFonts w:ascii="Century Gothic" w:eastAsia="Times New Roman" w:hAnsi="Century Gothic"/>
                <w:b/>
                <w:bCs/>
                <w:color w:val="000000" w:themeColor="text1"/>
                <w:szCs w:val="22"/>
              </w:rPr>
              <w:t>Baseline</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3DAF4B85" w14:textId="77777777" w:rsidR="005004AB" w:rsidRPr="003229A6" w:rsidRDefault="005004AB">
            <w:pPr>
              <w:jc w:val="center"/>
              <w:rPr>
                <w:rFonts w:ascii="Century Gothic" w:eastAsia="Times New Roman" w:hAnsi="Century Gothic"/>
                <w:b/>
                <w:bCs/>
                <w:color w:val="000000" w:themeColor="text1"/>
                <w:szCs w:val="22"/>
              </w:rPr>
            </w:pPr>
            <w:r w:rsidRPr="003229A6">
              <w:rPr>
                <w:rFonts w:ascii="Century Gothic" w:eastAsia="Times New Roman" w:hAnsi="Century Gothic"/>
                <w:b/>
                <w:bCs/>
                <w:color w:val="000000" w:themeColor="text1"/>
                <w:szCs w:val="22"/>
              </w:rPr>
              <w:t>Benchmark</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08F10CA1" w14:textId="77777777" w:rsidR="005004AB" w:rsidRPr="003229A6" w:rsidRDefault="005004AB">
            <w:pPr>
              <w:jc w:val="center"/>
              <w:rPr>
                <w:rFonts w:ascii="Century Gothic" w:eastAsia="Times New Roman" w:hAnsi="Century Gothic"/>
                <w:b/>
                <w:bCs/>
                <w:color w:val="000000" w:themeColor="text1"/>
                <w:szCs w:val="22"/>
              </w:rPr>
            </w:pPr>
            <w:r w:rsidRPr="003229A6">
              <w:rPr>
                <w:rFonts w:ascii="Century Gothic" w:eastAsia="Times New Roman" w:hAnsi="Century Gothic"/>
                <w:b/>
                <w:bCs/>
                <w:color w:val="000000" w:themeColor="text1"/>
                <w:szCs w:val="22"/>
              </w:rPr>
              <w:t>Outcome</w:t>
            </w:r>
          </w:p>
        </w:tc>
        <w:tc>
          <w:tcPr>
            <w:tcW w:w="1800" w:type="dxa"/>
            <w:tcBorders>
              <w:top w:val="single" w:sz="18" w:space="0" w:color="auto"/>
              <w:left w:val="single" w:sz="18" w:space="0" w:color="auto"/>
              <w:bottom w:val="single" w:sz="18" w:space="0" w:color="auto"/>
              <w:right w:val="single" w:sz="18" w:space="0" w:color="auto"/>
            </w:tcBorders>
            <w:shd w:val="clear" w:color="auto" w:fill="E5E5E5"/>
            <w:vAlign w:val="center"/>
          </w:tcPr>
          <w:p w14:paraId="227E31C4" w14:textId="77777777" w:rsidR="005004AB" w:rsidRPr="003229A6" w:rsidRDefault="005004AB">
            <w:pPr>
              <w:jc w:val="center"/>
              <w:rPr>
                <w:rFonts w:ascii="Century Gothic" w:eastAsia="Times New Roman" w:hAnsi="Century Gothic"/>
                <w:b/>
                <w:bCs/>
                <w:color w:val="000000" w:themeColor="text1"/>
                <w:szCs w:val="22"/>
              </w:rPr>
            </w:pPr>
            <w:r w:rsidRPr="003229A6">
              <w:rPr>
                <w:rFonts w:ascii="Century Gothic" w:eastAsia="Times New Roman" w:hAnsi="Century Gothic"/>
                <w:b/>
                <w:bCs/>
                <w:color w:val="000000" w:themeColor="text1"/>
                <w:szCs w:val="22"/>
              </w:rPr>
              <w:t>Benchmark Achieved?</w:t>
            </w:r>
          </w:p>
        </w:tc>
      </w:tr>
      <w:tr w:rsidR="005004AB" w:rsidRPr="00197B3B" w14:paraId="0264C472" w14:textId="77777777" w:rsidTr="00427BA6">
        <w:trPr>
          <w:trHeight w:val="1705"/>
        </w:trPr>
        <w:tc>
          <w:tcPr>
            <w:tcW w:w="2730" w:type="dxa"/>
            <w:tcBorders>
              <w:top w:val="single" w:sz="18" w:space="0" w:color="auto"/>
              <w:left w:val="single" w:sz="18" w:space="0" w:color="auto"/>
              <w:bottom w:val="single" w:sz="18" w:space="0" w:color="auto"/>
              <w:right w:val="single" w:sz="18" w:space="0" w:color="auto"/>
            </w:tcBorders>
          </w:tcPr>
          <w:p w14:paraId="07347E30" w14:textId="77777777" w:rsidR="005004AB" w:rsidRPr="00BC099C" w:rsidRDefault="005004AB">
            <w:pPr>
              <w:rPr>
                <w:rFonts w:ascii="Century Gothic" w:eastAsia="Times New Roman" w:hAnsi="Century Gothic"/>
                <w:szCs w:val="22"/>
              </w:rPr>
            </w:pPr>
            <w:r w:rsidRPr="00BC099C">
              <w:rPr>
                <w:rFonts w:ascii="Century Gothic" w:eastAsia="Times New Roman" w:hAnsi="Century Gothic"/>
                <w:szCs w:val="22"/>
              </w:rPr>
              <w:t xml:space="preserve">Number of new housing units made available for households at or below 80% AMI </w:t>
            </w:r>
            <w:proofErr w:type="gramStart"/>
            <w:r w:rsidRPr="00BC099C">
              <w:rPr>
                <w:rFonts w:ascii="Century Gothic" w:eastAsia="Times New Roman" w:hAnsi="Century Gothic"/>
                <w:szCs w:val="22"/>
              </w:rPr>
              <w:t>as a result of</w:t>
            </w:r>
            <w:proofErr w:type="gramEnd"/>
            <w:r w:rsidRPr="00BC099C">
              <w:rPr>
                <w:rFonts w:ascii="Century Gothic" w:eastAsia="Times New Roman" w:hAnsi="Century Gothic"/>
                <w:szCs w:val="22"/>
              </w:rPr>
              <w:t xml:space="preserve"> the activity (increase). </w:t>
            </w:r>
          </w:p>
          <w:p w14:paraId="03D9A84B" w14:textId="77777777" w:rsidR="005004AB" w:rsidRPr="00BC099C" w:rsidRDefault="005004AB">
            <w:pPr>
              <w:rPr>
                <w:rFonts w:ascii="Century Gothic" w:eastAsia="Times New Roman" w:hAnsi="Century Gothic"/>
                <w:szCs w:val="22"/>
              </w:rPr>
            </w:pPr>
          </w:p>
          <w:p w14:paraId="501A0935" w14:textId="77777777" w:rsidR="005004AB" w:rsidRPr="00BC099C" w:rsidRDefault="005004AB">
            <w:pPr>
              <w:rPr>
                <w:rFonts w:ascii="Century Gothic" w:eastAsia="Times New Roman" w:hAnsi="Century Gothic"/>
                <w:szCs w:val="22"/>
              </w:rPr>
            </w:pPr>
          </w:p>
        </w:tc>
        <w:tc>
          <w:tcPr>
            <w:tcW w:w="1875" w:type="dxa"/>
            <w:tcBorders>
              <w:top w:val="single" w:sz="18" w:space="0" w:color="auto"/>
              <w:left w:val="single" w:sz="18" w:space="0" w:color="auto"/>
              <w:bottom w:val="single" w:sz="18" w:space="0" w:color="auto"/>
              <w:right w:val="single" w:sz="18" w:space="0" w:color="auto"/>
            </w:tcBorders>
          </w:tcPr>
          <w:p w14:paraId="11E0066E" w14:textId="77777777" w:rsidR="005004AB" w:rsidRPr="00BC099C" w:rsidRDefault="005004AB">
            <w:pPr>
              <w:rPr>
                <w:rFonts w:ascii="Century Gothic" w:eastAsia="Times New Roman" w:hAnsi="Century Gothic"/>
                <w:i/>
                <w:iCs/>
                <w:szCs w:val="22"/>
              </w:rPr>
            </w:pPr>
          </w:p>
          <w:p w14:paraId="5A636B13" w14:textId="77777777" w:rsidR="005004AB" w:rsidRPr="00BC099C" w:rsidRDefault="005004AB">
            <w:pPr>
              <w:rPr>
                <w:rFonts w:ascii="Century Gothic" w:eastAsia="Times New Roman" w:hAnsi="Century Gothic"/>
                <w:szCs w:val="22"/>
              </w:rPr>
            </w:pPr>
            <w:r w:rsidRPr="00BC099C">
              <w:rPr>
                <w:rFonts w:ascii="Century Gothic" w:eastAsia="Times New Roman" w:hAnsi="Century Gothic"/>
                <w:szCs w:val="22"/>
              </w:rPr>
              <w:t>0</w:t>
            </w:r>
          </w:p>
        </w:tc>
        <w:tc>
          <w:tcPr>
            <w:tcW w:w="1890" w:type="dxa"/>
            <w:tcBorders>
              <w:top w:val="single" w:sz="18" w:space="0" w:color="auto"/>
              <w:left w:val="single" w:sz="18" w:space="0" w:color="auto"/>
              <w:bottom w:val="single" w:sz="18" w:space="0" w:color="auto"/>
              <w:right w:val="single" w:sz="18" w:space="0" w:color="auto"/>
            </w:tcBorders>
          </w:tcPr>
          <w:p w14:paraId="330F8BD3" w14:textId="77777777" w:rsidR="005004AB" w:rsidRPr="00BC099C" w:rsidRDefault="005004AB">
            <w:pPr>
              <w:rPr>
                <w:rFonts w:ascii="Century Gothic" w:eastAsia="Times New Roman" w:hAnsi="Century Gothic"/>
                <w:szCs w:val="22"/>
              </w:rPr>
            </w:pPr>
            <w:r w:rsidRPr="00BC099C">
              <w:rPr>
                <w:rFonts w:ascii="Century Gothic" w:eastAsia="Times New Roman" w:hAnsi="Century Gothic"/>
                <w:szCs w:val="22"/>
              </w:rPr>
              <w:t>75 new units annually</w:t>
            </w:r>
          </w:p>
        </w:tc>
        <w:tc>
          <w:tcPr>
            <w:tcW w:w="1890" w:type="dxa"/>
            <w:tcBorders>
              <w:top w:val="single" w:sz="18" w:space="0" w:color="auto"/>
              <w:left w:val="single" w:sz="18" w:space="0" w:color="auto"/>
              <w:bottom w:val="single" w:sz="18" w:space="0" w:color="auto"/>
              <w:right w:val="single" w:sz="18" w:space="0" w:color="auto"/>
            </w:tcBorders>
          </w:tcPr>
          <w:p w14:paraId="7673E1E9" w14:textId="77777777" w:rsidR="005004AB" w:rsidRPr="00BC099C" w:rsidRDefault="005004AB">
            <w:pPr>
              <w:rPr>
                <w:rFonts w:ascii="Century Gothic" w:eastAsia="Times New Roman" w:hAnsi="Century Gothic"/>
                <w:szCs w:val="22"/>
              </w:rPr>
            </w:pPr>
            <w:r w:rsidRPr="00BC099C">
              <w:rPr>
                <w:rFonts w:ascii="Century Gothic" w:eastAsia="Times New Roman" w:hAnsi="Century Gothic"/>
                <w:szCs w:val="22"/>
              </w:rPr>
              <w:t>N/A</w:t>
            </w:r>
          </w:p>
        </w:tc>
        <w:tc>
          <w:tcPr>
            <w:tcW w:w="1800" w:type="dxa"/>
            <w:tcBorders>
              <w:top w:val="single" w:sz="18" w:space="0" w:color="auto"/>
              <w:left w:val="single" w:sz="18" w:space="0" w:color="auto"/>
              <w:bottom w:val="single" w:sz="18" w:space="0" w:color="auto"/>
              <w:right w:val="single" w:sz="18" w:space="0" w:color="auto"/>
            </w:tcBorders>
          </w:tcPr>
          <w:p w14:paraId="56AE93B1" w14:textId="77777777" w:rsidR="005004AB" w:rsidRPr="00BC099C" w:rsidRDefault="005004AB">
            <w:pPr>
              <w:rPr>
                <w:rFonts w:ascii="Century Gothic" w:eastAsia="Times New Roman" w:hAnsi="Century Gothic"/>
                <w:szCs w:val="22"/>
              </w:rPr>
            </w:pPr>
            <w:r w:rsidRPr="00BC099C">
              <w:rPr>
                <w:rFonts w:ascii="Century Gothic" w:eastAsia="Times New Roman" w:hAnsi="Century Gothic"/>
                <w:szCs w:val="22"/>
              </w:rPr>
              <w:t>N/A</w:t>
            </w:r>
          </w:p>
        </w:tc>
      </w:tr>
    </w:tbl>
    <w:p w14:paraId="79AA0F01" w14:textId="420D1952" w:rsidR="005004AB" w:rsidRPr="00BC099C" w:rsidRDefault="005004AB" w:rsidP="00427BA6">
      <w:pPr>
        <w:rPr>
          <w:rFonts w:ascii="Century Gothic" w:eastAsia="Times New Roman" w:hAnsi="Century Gothic"/>
          <w:b/>
          <w:i/>
        </w:rPr>
      </w:pPr>
      <w:r w:rsidRPr="4EB6BE86">
        <w:rPr>
          <w:rFonts w:ascii="Century Gothic" w:eastAsia="Times New Roman" w:hAnsi="Century Gothic"/>
        </w:rPr>
        <w:t xml:space="preserve"> </w:t>
      </w:r>
      <w:r w:rsidRPr="4EB6BE86">
        <w:rPr>
          <w:rFonts w:ascii="Century Gothic" w:eastAsia="Times New Roman" w:hAnsi="Century Gothic"/>
          <w:b/>
          <w:i/>
        </w:rPr>
        <w:t>HC #4: Displacement Prevention</w:t>
      </w:r>
    </w:p>
    <w:tbl>
      <w:tblPr>
        <w:tblStyle w:val="TableGrid"/>
        <w:tblW w:w="0" w:type="auto"/>
        <w:tblLayout w:type="fixed"/>
        <w:tblLook w:val="04A0" w:firstRow="1" w:lastRow="0" w:firstColumn="1" w:lastColumn="0" w:noHBand="0" w:noVBand="1"/>
      </w:tblPr>
      <w:tblGrid>
        <w:gridCol w:w="2730"/>
        <w:gridCol w:w="1875"/>
        <w:gridCol w:w="1890"/>
        <w:gridCol w:w="1890"/>
        <w:gridCol w:w="1800"/>
      </w:tblGrid>
      <w:tr w:rsidR="005004AB" w:rsidRPr="00BC099C" w14:paraId="39584E4C" w14:textId="77777777">
        <w:trPr>
          <w:trHeight w:val="300"/>
        </w:trPr>
        <w:tc>
          <w:tcPr>
            <w:tcW w:w="2730" w:type="dxa"/>
            <w:tcBorders>
              <w:top w:val="single" w:sz="18" w:space="0" w:color="auto"/>
              <w:left w:val="single" w:sz="18" w:space="0" w:color="auto"/>
              <w:bottom w:val="single" w:sz="18" w:space="0" w:color="auto"/>
              <w:right w:val="single" w:sz="18" w:space="0" w:color="auto"/>
            </w:tcBorders>
            <w:shd w:val="clear" w:color="auto" w:fill="E5E5E5"/>
            <w:vAlign w:val="center"/>
          </w:tcPr>
          <w:p w14:paraId="0C0E8E1B" w14:textId="77777777" w:rsidR="005004AB" w:rsidRPr="00BC099C" w:rsidRDefault="005004AB">
            <w:pPr>
              <w:jc w:val="center"/>
              <w:rPr>
                <w:rFonts w:ascii="Century Gothic" w:eastAsia="Times New Roman" w:hAnsi="Century Gothic"/>
                <w:b/>
                <w:bCs/>
                <w:szCs w:val="22"/>
              </w:rPr>
            </w:pPr>
            <w:r w:rsidRPr="00BC099C">
              <w:rPr>
                <w:rFonts w:ascii="Century Gothic" w:eastAsia="Times New Roman" w:hAnsi="Century Gothic"/>
                <w:b/>
                <w:bCs/>
                <w:szCs w:val="22"/>
              </w:rPr>
              <w:t>Unit of Measurement</w:t>
            </w:r>
          </w:p>
        </w:tc>
        <w:tc>
          <w:tcPr>
            <w:tcW w:w="1875" w:type="dxa"/>
            <w:tcBorders>
              <w:top w:val="single" w:sz="18" w:space="0" w:color="auto"/>
              <w:left w:val="single" w:sz="18" w:space="0" w:color="auto"/>
              <w:bottom w:val="single" w:sz="18" w:space="0" w:color="auto"/>
              <w:right w:val="single" w:sz="18" w:space="0" w:color="auto"/>
            </w:tcBorders>
            <w:shd w:val="clear" w:color="auto" w:fill="E5E5E5"/>
            <w:vAlign w:val="center"/>
          </w:tcPr>
          <w:p w14:paraId="256E5549" w14:textId="77777777" w:rsidR="005004AB" w:rsidRPr="00BC099C" w:rsidRDefault="005004AB">
            <w:pPr>
              <w:jc w:val="center"/>
              <w:rPr>
                <w:rFonts w:ascii="Century Gothic" w:eastAsia="Times New Roman" w:hAnsi="Century Gothic"/>
                <w:b/>
                <w:bCs/>
                <w:color w:val="000000" w:themeColor="text1"/>
                <w:szCs w:val="22"/>
              </w:rPr>
            </w:pPr>
            <w:r w:rsidRPr="00BC099C">
              <w:rPr>
                <w:rFonts w:ascii="Century Gothic" w:eastAsia="Times New Roman" w:hAnsi="Century Gothic"/>
                <w:b/>
                <w:bCs/>
                <w:color w:val="000000" w:themeColor="text1"/>
                <w:szCs w:val="22"/>
              </w:rPr>
              <w:t>Baseline</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14CAA332" w14:textId="77777777" w:rsidR="005004AB" w:rsidRPr="00BC099C" w:rsidRDefault="005004AB">
            <w:pPr>
              <w:jc w:val="center"/>
              <w:rPr>
                <w:rFonts w:ascii="Century Gothic" w:eastAsia="Times New Roman" w:hAnsi="Century Gothic"/>
                <w:b/>
                <w:bCs/>
                <w:color w:val="000000" w:themeColor="text1"/>
                <w:szCs w:val="22"/>
              </w:rPr>
            </w:pPr>
            <w:r w:rsidRPr="00BC099C">
              <w:rPr>
                <w:rFonts w:ascii="Century Gothic" w:eastAsia="Times New Roman" w:hAnsi="Century Gothic"/>
                <w:b/>
                <w:bCs/>
                <w:color w:val="000000" w:themeColor="text1"/>
                <w:szCs w:val="22"/>
              </w:rPr>
              <w:t>Benchmark</w:t>
            </w:r>
          </w:p>
        </w:tc>
        <w:tc>
          <w:tcPr>
            <w:tcW w:w="1890" w:type="dxa"/>
            <w:tcBorders>
              <w:top w:val="single" w:sz="18" w:space="0" w:color="auto"/>
              <w:left w:val="single" w:sz="18" w:space="0" w:color="auto"/>
              <w:bottom w:val="single" w:sz="18" w:space="0" w:color="auto"/>
              <w:right w:val="single" w:sz="18" w:space="0" w:color="auto"/>
            </w:tcBorders>
            <w:shd w:val="clear" w:color="auto" w:fill="E5E5E5"/>
            <w:vAlign w:val="center"/>
          </w:tcPr>
          <w:p w14:paraId="3CE36831" w14:textId="77777777" w:rsidR="005004AB" w:rsidRPr="00BC099C" w:rsidRDefault="005004AB">
            <w:pPr>
              <w:jc w:val="center"/>
              <w:rPr>
                <w:rFonts w:ascii="Century Gothic" w:eastAsia="Times New Roman" w:hAnsi="Century Gothic"/>
                <w:b/>
                <w:bCs/>
                <w:color w:val="000000" w:themeColor="text1"/>
                <w:szCs w:val="22"/>
              </w:rPr>
            </w:pPr>
            <w:r w:rsidRPr="00BC099C">
              <w:rPr>
                <w:rFonts w:ascii="Century Gothic" w:eastAsia="Times New Roman" w:hAnsi="Century Gothic"/>
                <w:b/>
                <w:bCs/>
                <w:color w:val="000000" w:themeColor="text1"/>
                <w:szCs w:val="22"/>
              </w:rPr>
              <w:t>Outcome</w:t>
            </w:r>
          </w:p>
        </w:tc>
        <w:tc>
          <w:tcPr>
            <w:tcW w:w="1800" w:type="dxa"/>
            <w:tcBorders>
              <w:top w:val="single" w:sz="18" w:space="0" w:color="auto"/>
              <w:left w:val="single" w:sz="18" w:space="0" w:color="auto"/>
              <w:bottom w:val="single" w:sz="18" w:space="0" w:color="auto"/>
              <w:right w:val="single" w:sz="18" w:space="0" w:color="auto"/>
            </w:tcBorders>
            <w:shd w:val="clear" w:color="auto" w:fill="E5E5E5"/>
            <w:vAlign w:val="center"/>
          </w:tcPr>
          <w:p w14:paraId="7B20EE06" w14:textId="77777777" w:rsidR="005004AB" w:rsidRPr="00BC099C" w:rsidRDefault="005004AB">
            <w:pPr>
              <w:jc w:val="center"/>
              <w:rPr>
                <w:rFonts w:ascii="Century Gothic" w:eastAsia="Times New Roman" w:hAnsi="Century Gothic"/>
                <w:b/>
                <w:bCs/>
                <w:color w:val="000000" w:themeColor="text1"/>
                <w:szCs w:val="22"/>
              </w:rPr>
            </w:pPr>
            <w:r w:rsidRPr="00BC099C">
              <w:rPr>
                <w:rFonts w:ascii="Century Gothic" w:eastAsia="Times New Roman" w:hAnsi="Century Gothic"/>
                <w:b/>
                <w:bCs/>
                <w:color w:val="000000" w:themeColor="text1"/>
                <w:szCs w:val="22"/>
              </w:rPr>
              <w:t>Benchmark Achieved?</w:t>
            </w:r>
          </w:p>
        </w:tc>
      </w:tr>
      <w:tr w:rsidR="005004AB" w:rsidRPr="00197B3B" w14:paraId="76195081" w14:textId="77777777">
        <w:trPr>
          <w:trHeight w:val="300"/>
        </w:trPr>
        <w:tc>
          <w:tcPr>
            <w:tcW w:w="2730" w:type="dxa"/>
            <w:tcBorders>
              <w:top w:val="single" w:sz="18" w:space="0" w:color="auto"/>
              <w:left w:val="single" w:sz="18" w:space="0" w:color="auto"/>
              <w:bottom w:val="single" w:sz="18" w:space="0" w:color="auto"/>
              <w:right w:val="single" w:sz="18" w:space="0" w:color="auto"/>
            </w:tcBorders>
          </w:tcPr>
          <w:p w14:paraId="0BC085AA" w14:textId="77777777" w:rsidR="005004AB" w:rsidRPr="00BC099C" w:rsidRDefault="005004AB">
            <w:pPr>
              <w:rPr>
                <w:rFonts w:ascii="Century Gothic" w:eastAsia="Times New Roman" w:hAnsi="Century Gothic"/>
                <w:szCs w:val="22"/>
              </w:rPr>
            </w:pPr>
            <w:r w:rsidRPr="00BC099C">
              <w:rPr>
                <w:rFonts w:ascii="Century Gothic" w:eastAsia="Times New Roman" w:hAnsi="Century Gothic"/>
                <w:szCs w:val="22"/>
              </w:rPr>
              <w:t xml:space="preserve">Number of households at or below 80% AMI that would lose assistance or need to move (decrease). </w:t>
            </w:r>
          </w:p>
        </w:tc>
        <w:tc>
          <w:tcPr>
            <w:tcW w:w="1875" w:type="dxa"/>
            <w:tcBorders>
              <w:top w:val="single" w:sz="18" w:space="0" w:color="auto"/>
              <w:left w:val="single" w:sz="18" w:space="0" w:color="auto"/>
              <w:bottom w:val="single" w:sz="18" w:space="0" w:color="auto"/>
              <w:right w:val="single" w:sz="18" w:space="0" w:color="auto"/>
            </w:tcBorders>
          </w:tcPr>
          <w:p w14:paraId="73D48C3E" w14:textId="77777777" w:rsidR="005004AB" w:rsidRPr="00BC099C" w:rsidRDefault="005004AB">
            <w:pPr>
              <w:rPr>
                <w:rFonts w:ascii="Century Gothic" w:eastAsia="Times New Roman" w:hAnsi="Century Gothic"/>
                <w:szCs w:val="22"/>
              </w:rPr>
            </w:pPr>
            <w:r w:rsidRPr="00BC099C">
              <w:rPr>
                <w:rFonts w:ascii="Century Gothic" w:eastAsia="Times New Roman" w:hAnsi="Century Gothic"/>
                <w:szCs w:val="22"/>
              </w:rPr>
              <w:t>Households losing assistance/moving prior to implementation of the activity (number).</w:t>
            </w:r>
          </w:p>
          <w:p w14:paraId="3C151D49" w14:textId="77777777" w:rsidR="005004AB" w:rsidRPr="00BC099C" w:rsidRDefault="005004AB">
            <w:pPr>
              <w:rPr>
                <w:rFonts w:ascii="Century Gothic" w:eastAsia="Times New Roman" w:hAnsi="Century Gothic"/>
                <w:szCs w:val="22"/>
              </w:rPr>
            </w:pPr>
          </w:p>
          <w:p w14:paraId="11114F9E" w14:textId="77777777" w:rsidR="005004AB" w:rsidRPr="00BC099C" w:rsidRDefault="005004AB">
            <w:pPr>
              <w:rPr>
                <w:rFonts w:ascii="Century Gothic" w:eastAsia="Times New Roman" w:hAnsi="Century Gothic"/>
                <w:szCs w:val="22"/>
              </w:rPr>
            </w:pPr>
            <w:r w:rsidRPr="00BC099C">
              <w:rPr>
                <w:rFonts w:ascii="Century Gothic" w:eastAsia="Times New Roman" w:hAnsi="Century Gothic"/>
                <w:szCs w:val="22"/>
              </w:rPr>
              <w:t>0</w:t>
            </w:r>
          </w:p>
        </w:tc>
        <w:tc>
          <w:tcPr>
            <w:tcW w:w="1890" w:type="dxa"/>
            <w:tcBorders>
              <w:top w:val="single" w:sz="18" w:space="0" w:color="auto"/>
              <w:left w:val="single" w:sz="18" w:space="0" w:color="auto"/>
              <w:bottom w:val="single" w:sz="18" w:space="0" w:color="auto"/>
              <w:right w:val="single" w:sz="18" w:space="0" w:color="auto"/>
            </w:tcBorders>
          </w:tcPr>
          <w:p w14:paraId="6028088F" w14:textId="77777777" w:rsidR="005004AB" w:rsidRPr="00BC099C" w:rsidRDefault="005004AB">
            <w:pPr>
              <w:rPr>
                <w:rFonts w:ascii="Century Gothic" w:eastAsia="Times New Roman" w:hAnsi="Century Gothic"/>
                <w:szCs w:val="22"/>
              </w:rPr>
            </w:pPr>
            <w:r w:rsidRPr="00BC099C">
              <w:rPr>
                <w:rFonts w:ascii="Century Gothic" w:eastAsia="Times New Roman" w:hAnsi="Century Gothic"/>
                <w:szCs w:val="22"/>
              </w:rPr>
              <w:t>300+</w:t>
            </w:r>
          </w:p>
        </w:tc>
        <w:tc>
          <w:tcPr>
            <w:tcW w:w="1890" w:type="dxa"/>
            <w:tcBorders>
              <w:top w:val="single" w:sz="18" w:space="0" w:color="auto"/>
              <w:left w:val="single" w:sz="18" w:space="0" w:color="auto"/>
              <w:bottom w:val="single" w:sz="18" w:space="0" w:color="auto"/>
              <w:right w:val="single" w:sz="18" w:space="0" w:color="auto"/>
            </w:tcBorders>
          </w:tcPr>
          <w:p w14:paraId="7ADD3D92" w14:textId="77777777" w:rsidR="005004AB" w:rsidRPr="008756F8" w:rsidRDefault="005004AB">
            <w:pPr>
              <w:rPr>
                <w:rFonts w:ascii="Century Gothic" w:eastAsia="Times New Roman" w:hAnsi="Century Gothic"/>
                <w:szCs w:val="22"/>
              </w:rPr>
            </w:pPr>
            <w:r w:rsidRPr="008756F8">
              <w:rPr>
                <w:rFonts w:ascii="Century Gothic" w:eastAsia="Times New Roman" w:hAnsi="Century Gothic"/>
                <w:szCs w:val="22"/>
              </w:rPr>
              <w:t>N/A</w:t>
            </w:r>
          </w:p>
        </w:tc>
        <w:tc>
          <w:tcPr>
            <w:tcW w:w="1800" w:type="dxa"/>
            <w:tcBorders>
              <w:top w:val="single" w:sz="18" w:space="0" w:color="auto"/>
              <w:left w:val="single" w:sz="18" w:space="0" w:color="auto"/>
              <w:bottom w:val="single" w:sz="18" w:space="0" w:color="auto"/>
              <w:right w:val="single" w:sz="18" w:space="0" w:color="auto"/>
            </w:tcBorders>
          </w:tcPr>
          <w:p w14:paraId="14901243" w14:textId="77777777" w:rsidR="005004AB" w:rsidRPr="008756F8" w:rsidRDefault="005004AB">
            <w:pPr>
              <w:rPr>
                <w:rFonts w:ascii="Century Gothic" w:eastAsia="Times New Roman" w:hAnsi="Century Gothic"/>
                <w:szCs w:val="22"/>
              </w:rPr>
            </w:pPr>
            <w:r w:rsidRPr="008756F8">
              <w:rPr>
                <w:rFonts w:ascii="Century Gothic" w:eastAsia="Times New Roman" w:hAnsi="Century Gothic"/>
                <w:szCs w:val="22"/>
              </w:rPr>
              <w:t>N/A</w:t>
            </w:r>
          </w:p>
        </w:tc>
      </w:tr>
    </w:tbl>
    <w:p w14:paraId="60A401F1" w14:textId="0B913735" w:rsidR="005004AB" w:rsidRPr="008756F8" w:rsidRDefault="005004AB" w:rsidP="00427BA6">
      <w:pPr>
        <w:rPr>
          <w:rFonts w:ascii="Century Gothic" w:eastAsia="Times New Roman" w:hAnsi="Century Gothic"/>
          <w:b/>
          <w:i/>
        </w:rPr>
      </w:pPr>
      <w:r w:rsidRPr="4EB6BE86">
        <w:rPr>
          <w:rFonts w:ascii="Century Gothic" w:eastAsia="Times New Roman" w:hAnsi="Century Gothic"/>
        </w:rPr>
        <w:t xml:space="preserve"> </w:t>
      </w:r>
      <w:r w:rsidRPr="4EB6BE86">
        <w:rPr>
          <w:rFonts w:ascii="Century Gothic" w:eastAsia="Times New Roman" w:hAnsi="Century Gothic"/>
          <w:b/>
          <w:i/>
        </w:rPr>
        <w:t xml:space="preserve"> CE #4: Increase in Resources Leveraged</w:t>
      </w:r>
    </w:p>
    <w:tbl>
      <w:tblPr>
        <w:tblStyle w:val="TableGrid"/>
        <w:tblW w:w="1019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15"/>
        <w:gridCol w:w="1909"/>
        <w:gridCol w:w="2153"/>
        <w:gridCol w:w="2065"/>
        <w:gridCol w:w="2153"/>
      </w:tblGrid>
      <w:tr w:rsidR="005004AB" w:rsidRPr="008756F8" w14:paraId="1AD6C87C" w14:textId="77777777" w:rsidTr="188A1EBF">
        <w:trPr>
          <w:trHeight w:val="300"/>
        </w:trPr>
        <w:tc>
          <w:tcPr>
            <w:tcW w:w="1919" w:type="dxa"/>
            <w:vAlign w:val="center"/>
          </w:tcPr>
          <w:p w14:paraId="0EEB71EA" w14:textId="77777777" w:rsidR="005004AB" w:rsidRPr="008756F8" w:rsidRDefault="005004AB">
            <w:pPr>
              <w:jc w:val="center"/>
              <w:rPr>
                <w:rFonts w:ascii="Century Gothic" w:eastAsia="Times New Roman" w:hAnsi="Century Gothic"/>
                <w:szCs w:val="22"/>
              </w:rPr>
            </w:pPr>
            <w:r w:rsidRPr="008756F8">
              <w:rPr>
                <w:rFonts w:ascii="Century Gothic" w:eastAsia="Times New Roman" w:hAnsi="Century Gothic"/>
                <w:b/>
                <w:bCs/>
                <w:szCs w:val="22"/>
              </w:rPr>
              <w:t>Unit of Measurement</w:t>
            </w:r>
          </w:p>
        </w:tc>
        <w:tc>
          <w:tcPr>
            <w:tcW w:w="1873" w:type="dxa"/>
            <w:vAlign w:val="center"/>
          </w:tcPr>
          <w:p w14:paraId="797DDF0B" w14:textId="77777777" w:rsidR="005004AB" w:rsidRPr="008756F8" w:rsidRDefault="005004AB">
            <w:pPr>
              <w:jc w:val="center"/>
              <w:rPr>
                <w:rFonts w:ascii="Century Gothic" w:eastAsia="Times New Roman" w:hAnsi="Century Gothic"/>
                <w:szCs w:val="22"/>
              </w:rPr>
            </w:pPr>
            <w:r w:rsidRPr="008756F8">
              <w:rPr>
                <w:rFonts w:ascii="Century Gothic" w:eastAsia="Times New Roman" w:hAnsi="Century Gothic"/>
                <w:b/>
                <w:bCs/>
                <w:szCs w:val="22"/>
              </w:rPr>
              <w:t>Baseline</w:t>
            </w:r>
          </w:p>
        </w:tc>
        <w:tc>
          <w:tcPr>
            <w:tcW w:w="2163" w:type="dxa"/>
            <w:vAlign w:val="center"/>
          </w:tcPr>
          <w:p w14:paraId="6CE29C4F" w14:textId="77777777" w:rsidR="005004AB" w:rsidRPr="008756F8" w:rsidRDefault="005004AB">
            <w:pPr>
              <w:jc w:val="center"/>
              <w:rPr>
                <w:rFonts w:ascii="Century Gothic" w:eastAsia="Times New Roman" w:hAnsi="Century Gothic"/>
                <w:szCs w:val="22"/>
              </w:rPr>
            </w:pPr>
            <w:r w:rsidRPr="008756F8">
              <w:rPr>
                <w:rFonts w:ascii="Century Gothic" w:eastAsia="Times New Roman" w:hAnsi="Century Gothic"/>
                <w:b/>
                <w:bCs/>
                <w:szCs w:val="22"/>
              </w:rPr>
              <w:t>Benchmark</w:t>
            </w:r>
          </w:p>
        </w:tc>
        <w:tc>
          <w:tcPr>
            <w:tcW w:w="2077" w:type="dxa"/>
            <w:vAlign w:val="center"/>
          </w:tcPr>
          <w:p w14:paraId="4C937185" w14:textId="77777777" w:rsidR="005004AB" w:rsidRPr="008756F8" w:rsidRDefault="005004AB">
            <w:pPr>
              <w:jc w:val="center"/>
              <w:rPr>
                <w:rFonts w:ascii="Century Gothic" w:eastAsia="Times New Roman" w:hAnsi="Century Gothic"/>
                <w:szCs w:val="22"/>
              </w:rPr>
            </w:pPr>
            <w:r w:rsidRPr="008756F8">
              <w:rPr>
                <w:rFonts w:ascii="Century Gothic" w:eastAsia="Times New Roman" w:hAnsi="Century Gothic"/>
                <w:b/>
                <w:bCs/>
                <w:szCs w:val="22"/>
              </w:rPr>
              <w:t>Outcome</w:t>
            </w:r>
          </w:p>
        </w:tc>
        <w:tc>
          <w:tcPr>
            <w:tcW w:w="2163" w:type="dxa"/>
            <w:vAlign w:val="center"/>
          </w:tcPr>
          <w:p w14:paraId="4F76C7AB" w14:textId="77777777" w:rsidR="005004AB" w:rsidRPr="008756F8" w:rsidRDefault="005004AB">
            <w:pPr>
              <w:jc w:val="center"/>
              <w:rPr>
                <w:rFonts w:ascii="Century Gothic" w:eastAsia="Times New Roman" w:hAnsi="Century Gothic"/>
                <w:szCs w:val="22"/>
              </w:rPr>
            </w:pPr>
            <w:r w:rsidRPr="008756F8">
              <w:rPr>
                <w:rFonts w:ascii="Century Gothic" w:eastAsia="Times New Roman" w:hAnsi="Century Gothic"/>
                <w:b/>
                <w:bCs/>
                <w:szCs w:val="22"/>
              </w:rPr>
              <w:t>Benchmark Achieved?</w:t>
            </w:r>
          </w:p>
        </w:tc>
      </w:tr>
      <w:tr w:rsidR="005004AB" w:rsidRPr="00197B3B" w14:paraId="2DB7D56C" w14:textId="77777777" w:rsidTr="188A1EBF">
        <w:trPr>
          <w:trHeight w:val="300"/>
        </w:trPr>
        <w:tc>
          <w:tcPr>
            <w:tcW w:w="1919" w:type="dxa"/>
          </w:tcPr>
          <w:p w14:paraId="3CD5FCF6" w14:textId="77777777" w:rsidR="005004AB" w:rsidRPr="008756F8" w:rsidRDefault="005004AB">
            <w:pPr>
              <w:rPr>
                <w:rFonts w:ascii="Century Gothic" w:eastAsia="Times New Roman" w:hAnsi="Century Gothic"/>
                <w:szCs w:val="22"/>
              </w:rPr>
            </w:pPr>
            <w:r w:rsidRPr="008756F8">
              <w:rPr>
                <w:rFonts w:ascii="Century Gothic" w:eastAsia="Times New Roman" w:hAnsi="Century Gothic"/>
                <w:szCs w:val="22"/>
              </w:rPr>
              <w:t>Amount of funds leveraged in dollars (increase).</w:t>
            </w:r>
          </w:p>
        </w:tc>
        <w:tc>
          <w:tcPr>
            <w:tcW w:w="1873" w:type="dxa"/>
          </w:tcPr>
          <w:p w14:paraId="785640E1" w14:textId="77777777" w:rsidR="005004AB" w:rsidRPr="008756F8" w:rsidRDefault="005004AB">
            <w:pPr>
              <w:rPr>
                <w:rFonts w:ascii="Century Gothic" w:eastAsia="Times New Roman" w:hAnsi="Century Gothic"/>
                <w:szCs w:val="22"/>
              </w:rPr>
            </w:pPr>
            <w:r w:rsidRPr="008756F8">
              <w:rPr>
                <w:rFonts w:ascii="Century Gothic" w:eastAsia="Times New Roman" w:hAnsi="Century Gothic"/>
                <w:szCs w:val="22"/>
              </w:rPr>
              <w:t xml:space="preserve">Amount leveraged prior to implementation of the activity (in dollars). </w:t>
            </w:r>
          </w:p>
        </w:tc>
        <w:tc>
          <w:tcPr>
            <w:tcW w:w="2163" w:type="dxa"/>
          </w:tcPr>
          <w:p w14:paraId="2003FDF0" w14:textId="6CBCE476" w:rsidR="005004AB" w:rsidRPr="008756F8" w:rsidRDefault="4087B64F" w:rsidP="188A1EBF">
            <w:pPr>
              <w:rPr>
                <w:rFonts w:ascii="Century Gothic" w:eastAsia="Times New Roman" w:hAnsi="Century Gothic"/>
              </w:rPr>
            </w:pPr>
            <w:r w:rsidRPr="188A1EBF">
              <w:rPr>
                <w:rFonts w:ascii="Century Gothic" w:eastAsia="Times New Roman" w:hAnsi="Century Gothic"/>
              </w:rPr>
              <w:t>3:1 Leverage</w:t>
            </w:r>
          </w:p>
        </w:tc>
        <w:tc>
          <w:tcPr>
            <w:tcW w:w="2077" w:type="dxa"/>
          </w:tcPr>
          <w:p w14:paraId="54319FF3" w14:textId="77777777" w:rsidR="005004AB" w:rsidRPr="008756F8" w:rsidRDefault="005004AB">
            <w:pPr>
              <w:rPr>
                <w:rFonts w:ascii="Century Gothic" w:eastAsia="Times New Roman" w:hAnsi="Century Gothic"/>
                <w:szCs w:val="22"/>
              </w:rPr>
            </w:pPr>
            <w:r w:rsidRPr="008756F8">
              <w:rPr>
                <w:rFonts w:ascii="Century Gothic" w:eastAsia="Times New Roman" w:hAnsi="Century Gothic"/>
                <w:szCs w:val="22"/>
              </w:rPr>
              <w:t>N/A</w:t>
            </w:r>
          </w:p>
        </w:tc>
        <w:tc>
          <w:tcPr>
            <w:tcW w:w="2163" w:type="dxa"/>
          </w:tcPr>
          <w:p w14:paraId="0ED21D39" w14:textId="77777777" w:rsidR="005004AB" w:rsidRPr="008756F8" w:rsidRDefault="005004AB">
            <w:pPr>
              <w:rPr>
                <w:rFonts w:ascii="Century Gothic" w:eastAsia="Times New Roman" w:hAnsi="Century Gothic"/>
                <w:szCs w:val="22"/>
              </w:rPr>
            </w:pPr>
            <w:r w:rsidRPr="008756F8">
              <w:rPr>
                <w:rFonts w:ascii="Century Gothic" w:eastAsia="Times New Roman" w:hAnsi="Century Gothic"/>
                <w:szCs w:val="22"/>
              </w:rPr>
              <w:t>N/A</w:t>
            </w:r>
          </w:p>
        </w:tc>
      </w:tr>
    </w:tbl>
    <w:p w14:paraId="20C15E0C" w14:textId="488B2BB6" w:rsidR="005004AB" w:rsidRPr="00197B3B" w:rsidRDefault="005004AB" w:rsidP="005004AB">
      <w:pPr>
        <w:rPr>
          <w:rFonts w:ascii="Century Gothic" w:eastAsia="Times New Roman" w:hAnsi="Century Gothic"/>
          <w:b/>
        </w:rPr>
      </w:pPr>
      <w:r w:rsidRPr="4EB6BE86">
        <w:rPr>
          <w:rFonts w:ascii="Century Gothic" w:eastAsia="Times New Roman" w:hAnsi="Century Gothic"/>
          <w:b/>
        </w:rPr>
        <w:t>Actual Non-Significant Changes</w:t>
      </w:r>
    </w:p>
    <w:p w14:paraId="3541B8A5" w14:textId="3E15603B" w:rsidR="005004AB" w:rsidRPr="00197B3B" w:rsidRDefault="005004AB" w:rsidP="005004AB">
      <w:pPr>
        <w:rPr>
          <w:rFonts w:ascii="Century Gothic" w:eastAsia="Times New Roman" w:hAnsi="Century Gothic"/>
        </w:rPr>
      </w:pPr>
      <w:r w:rsidRPr="188A1EBF">
        <w:rPr>
          <w:rFonts w:ascii="Century Gothic" w:eastAsia="Times New Roman" w:hAnsi="Century Gothic"/>
        </w:rPr>
        <w:t>None</w:t>
      </w:r>
    </w:p>
    <w:p w14:paraId="5A3FC02A" w14:textId="340BDAD9" w:rsidR="188A1EBF" w:rsidRDefault="188A1EBF" w:rsidP="188A1EBF">
      <w:pPr>
        <w:rPr>
          <w:rFonts w:ascii="Century Gothic" w:eastAsia="Times New Roman" w:hAnsi="Century Gothic"/>
        </w:rPr>
      </w:pPr>
    </w:p>
    <w:p w14:paraId="3A18F607" w14:textId="54D21DC2" w:rsidR="005004AB" w:rsidRPr="00197B3B" w:rsidRDefault="005004AB" w:rsidP="005004AB">
      <w:pPr>
        <w:rPr>
          <w:rFonts w:ascii="Century Gothic" w:eastAsia="Times New Roman" w:hAnsi="Century Gothic"/>
          <w:b/>
        </w:rPr>
      </w:pPr>
      <w:r w:rsidRPr="4EB6BE86">
        <w:rPr>
          <w:rFonts w:ascii="Century Gothic" w:eastAsia="Times New Roman" w:hAnsi="Century Gothic"/>
          <w:b/>
        </w:rPr>
        <w:t>Actual Significant Changes</w:t>
      </w:r>
    </w:p>
    <w:p w14:paraId="138080EA" w14:textId="570E5C29" w:rsidR="005004AB" w:rsidRPr="00197B3B" w:rsidRDefault="57099D3D" w:rsidP="005004AB">
      <w:pPr>
        <w:rPr>
          <w:rFonts w:ascii="Century Gothic" w:eastAsia="Times New Roman" w:hAnsi="Century Gothic"/>
        </w:rPr>
      </w:pPr>
      <w:r w:rsidRPr="481804DA">
        <w:rPr>
          <w:rFonts w:ascii="Century Gothic" w:eastAsia="Times New Roman" w:hAnsi="Century Gothic"/>
        </w:rPr>
        <w:t>None</w:t>
      </w:r>
    </w:p>
    <w:p w14:paraId="026B7875" w14:textId="3A89CD8C" w:rsidR="481804DA" w:rsidRDefault="481804DA" w:rsidP="481804DA">
      <w:pPr>
        <w:rPr>
          <w:rFonts w:ascii="Century Gothic" w:eastAsia="Times New Roman" w:hAnsi="Century Gothic"/>
          <w:b/>
          <w:bCs/>
        </w:rPr>
      </w:pPr>
    </w:p>
    <w:p w14:paraId="5B42C837" w14:textId="15471EF3" w:rsidR="00C605DE" w:rsidRDefault="002C6960" w:rsidP="00C605DE">
      <w:pPr>
        <w:rPr>
          <w:rFonts w:ascii="Century Gothic" w:eastAsia="Times New Roman" w:hAnsi="Century Gothic"/>
          <w:b/>
          <w:bCs/>
        </w:rPr>
      </w:pPr>
      <w:r w:rsidRPr="002C6960">
        <w:rPr>
          <w:rFonts w:ascii="Century Gothic" w:eastAsiaTheme="majorEastAsia" w:hAnsi="Century Gothic"/>
          <w:b/>
          <w:bCs/>
          <w:noProof/>
          <w:color w:val="000000" w:themeColor="text1"/>
          <w:lang w:eastAsia="en-US"/>
        </w:rPr>
        <w:lastRenderedPageBreak/>
        <w:t xml:space="preserve">Initiative 2.6F - Resident-Owned Business Development </w:t>
      </w:r>
      <w:r w:rsidRPr="00C605DE">
        <w:rPr>
          <w:rFonts w:ascii="Century Gothic" w:eastAsiaTheme="majorEastAsia" w:hAnsi="Century Gothic"/>
          <w:b/>
          <w:bCs/>
          <w:noProof/>
          <w:color w:val="000000" w:themeColor="text1"/>
          <w:lang w:eastAsia="en-US"/>
        </w:rPr>
        <w:t>Program</w:t>
      </w:r>
      <w:r w:rsidR="00C605DE" w:rsidRPr="00C605DE">
        <w:rPr>
          <w:rFonts w:ascii="Century Gothic" w:eastAsiaTheme="majorEastAsia" w:hAnsi="Century Gothic"/>
          <w:b/>
          <w:bCs/>
          <w:noProof/>
          <w:color w:val="000000" w:themeColor="text1"/>
          <w:lang w:eastAsia="en-US"/>
        </w:rPr>
        <w:t xml:space="preserve"> </w:t>
      </w:r>
      <w:r w:rsidR="00C605DE" w:rsidRPr="00C605DE">
        <w:rPr>
          <w:rFonts w:ascii="Century Gothic" w:eastAsia="Times New Roman" w:hAnsi="Century Gothic"/>
          <w:b/>
          <w:bCs/>
        </w:rPr>
        <w:t xml:space="preserve">(Previously Initiative 4.1F Resident Owned Business Development) </w:t>
      </w:r>
    </w:p>
    <w:p w14:paraId="578E045C" w14:textId="77777777" w:rsidR="00427BA6" w:rsidRPr="00C605DE" w:rsidRDefault="00427BA6" w:rsidP="00C605DE">
      <w:pPr>
        <w:rPr>
          <w:rFonts w:ascii="Century Gothic" w:eastAsia="Times New Roman" w:hAnsi="Century Gothic"/>
          <w:b/>
          <w:bCs/>
        </w:rPr>
      </w:pPr>
    </w:p>
    <w:p w14:paraId="37D45A4C" w14:textId="6D8868E7" w:rsidR="002C6960" w:rsidRPr="002C6960" w:rsidRDefault="002C6960" w:rsidP="002C6960">
      <w:pPr>
        <w:rPr>
          <w:rFonts w:ascii="Century Gothic" w:eastAsia="Times New Roman" w:hAnsi="Century Gothic"/>
          <w:b/>
          <w:bCs/>
        </w:rPr>
      </w:pPr>
      <w:r w:rsidRPr="002C6960">
        <w:rPr>
          <w:rFonts w:ascii="Century Gothic" w:hAnsi="Century Gothic"/>
        </w:rPr>
        <w:t xml:space="preserve">This initiative was approved and implemented in FY09.  </w:t>
      </w:r>
    </w:p>
    <w:p w14:paraId="6898F5BD" w14:textId="77777777" w:rsidR="002C6960" w:rsidRPr="002C6960" w:rsidRDefault="002C6960" w:rsidP="002C6960">
      <w:pPr>
        <w:rPr>
          <w:rFonts w:ascii="Century Gothic" w:hAnsi="Century Gothic"/>
        </w:rPr>
      </w:pPr>
    </w:p>
    <w:p w14:paraId="4F185596" w14:textId="77777777" w:rsidR="002C6960" w:rsidRPr="002C6960" w:rsidRDefault="002C6960" w:rsidP="002C6960">
      <w:pPr>
        <w:keepNext/>
        <w:spacing w:before="120" w:after="80"/>
        <w:outlineLvl w:val="3"/>
        <w:rPr>
          <w:rFonts w:ascii="Century Gothic" w:eastAsiaTheme="majorEastAsia" w:hAnsi="Century Gothic"/>
          <w:b/>
          <w:bCs/>
          <w:color w:val="808080" w:themeColor="background1" w:themeShade="80"/>
        </w:rPr>
      </w:pPr>
      <w:r w:rsidRPr="002C6960">
        <w:rPr>
          <w:rFonts w:ascii="Century Gothic" w:eastAsiaTheme="majorEastAsia" w:hAnsi="Century Gothic"/>
          <w:b/>
          <w:bCs/>
          <w:color w:val="808080" w:themeColor="background1" w:themeShade="80"/>
        </w:rPr>
        <w:t>Description</w:t>
      </w:r>
    </w:p>
    <w:p w14:paraId="73CC6582" w14:textId="77777777" w:rsidR="00A62DA1" w:rsidRDefault="002C6960" w:rsidP="00977B93">
      <w:pPr>
        <w:spacing w:before="120" w:after="120"/>
        <w:rPr>
          <w:rFonts w:ascii="Century Gothic" w:hAnsi="Century Gothic"/>
          <w:szCs w:val="22"/>
        </w:rPr>
      </w:pPr>
      <w:r w:rsidRPr="002C6960">
        <w:rPr>
          <w:rFonts w:ascii="Century Gothic" w:hAnsi="Century Gothic"/>
        </w:rPr>
        <w:t xml:space="preserve">Implemented in FY09, </w:t>
      </w:r>
      <w:r w:rsidR="005C500E" w:rsidRPr="005C500E">
        <w:rPr>
          <w:rFonts w:ascii="Century Gothic" w:hAnsi="Century Gothic"/>
          <w:szCs w:val="22"/>
        </w:rPr>
        <w:t xml:space="preserve">ECC/HANH continues to strengthen the Resident Owned Business (ROB) Development </w:t>
      </w:r>
      <w:proofErr w:type="gramStart"/>
      <w:r w:rsidR="005C500E" w:rsidRPr="005C500E">
        <w:rPr>
          <w:rFonts w:ascii="Century Gothic" w:hAnsi="Century Gothic"/>
          <w:szCs w:val="22"/>
        </w:rPr>
        <w:t>by</w:t>
      </w:r>
      <w:r w:rsidR="00A62DA1">
        <w:rPr>
          <w:rFonts w:ascii="Century Gothic" w:hAnsi="Century Gothic"/>
          <w:szCs w:val="22"/>
        </w:rPr>
        <w:t>;</w:t>
      </w:r>
      <w:proofErr w:type="gramEnd"/>
    </w:p>
    <w:p w14:paraId="1D0B606B" w14:textId="77777777" w:rsidR="00A62DA1" w:rsidRPr="00A62DA1" w:rsidRDefault="005C500E" w:rsidP="00486062">
      <w:pPr>
        <w:pStyle w:val="ListParagraph"/>
        <w:numPr>
          <w:ilvl w:val="0"/>
          <w:numId w:val="125"/>
        </w:numPr>
        <w:spacing w:before="120" w:after="120"/>
        <w:rPr>
          <w:rFonts w:ascii="Century Gothic" w:hAnsi="Century Gothic"/>
        </w:rPr>
      </w:pPr>
      <w:r w:rsidRPr="00A62DA1">
        <w:rPr>
          <w:rFonts w:ascii="Century Gothic" w:hAnsi="Century Gothic"/>
          <w:szCs w:val="22"/>
        </w:rPr>
        <w:t xml:space="preserve"> providing technical </w:t>
      </w:r>
      <w:proofErr w:type="gramStart"/>
      <w:r w:rsidRPr="00A62DA1">
        <w:rPr>
          <w:rFonts w:ascii="Century Gothic" w:hAnsi="Century Gothic"/>
          <w:szCs w:val="22"/>
        </w:rPr>
        <w:t>assistance;</w:t>
      </w:r>
      <w:proofErr w:type="gramEnd"/>
      <w:r w:rsidRPr="00A62DA1">
        <w:rPr>
          <w:rFonts w:ascii="Century Gothic" w:hAnsi="Century Gothic"/>
          <w:szCs w:val="22"/>
        </w:rPr>
        <w:t xml:space="preserve"> </w:t>
      </w:r>
    </w:p>
    <w:p w14:paraId="4711E87E" w14:textId="77777777" w:rsidR="00A62DA1" w:rsidRPr="00A62DA1" w:rsidRDefault="005C500E" w:rsidP="00486062">
      <w:pPr>
        <w:pStyle w:val="ListParagraph"/>
        <w:numPr>
          <w:ilvl w:val="0"/>
          <w:numId w:val="125"/>
        </w:numPr>
        <w:spacing w:before="120" w:after="120"/>
        <w:rPr>
          <w:rFonts w:ascii="Century Gothic" w:hAnsi="Century Gothic"/>
        </w:rPr>
      </w:pPr>
      <w:r w:rsidRPr="00A62DA1">
        <w:rPr>
          <w:rFonts w:ascii="Century Gothic" w:hAnsi="Century Gothic"/>
          <w:szCs w:val="22"/>
        </w:rPr>
        <w:t xml:space="preserve">business and financial capacity </w:t>
      </w:r>
      <w:proofErr w:type="gramStart"/>
      <w:r w:rsidRPr="00A62DA1">
        <w:rPr>
          <w:rFonts w:ascii="Century Gothic" w:hAnsi="Century Gothic"/>
          <w:szCs w:val="22"/>
        </w:rPr>
        <w:t>assessments;</w:t>
      </w:r>
      <w:proofErr w:type="gramEnd"/>
      <w:r w:rsidRPr="00A62DA1">
        <w:rPr>
          <w:rFonts w:ascii="Century Gothic" w:hAnsi="Century Gothic"/>
          <w:szCs w:val="22"/>
        </w:rPr>
        <w:t xml:space="preserve"> </w:t>
      </w:r>
    </w:p>
    <w:p w14:paraId="7E2AF34A" w14:textId="4782FE3A" w:rsidR="00A62DA1" w:rsidRPr="00A62DA1" w:rsidRDefault="005C500E" w:rsidP="00486062">
      <w:pPr>
        <w:pStyle w:val="ListParagraph"/>
        <w:numPr>
          <w:ilvl w:val="0"/>
          <w:numId w:val="125"/>
        </w:numPr>
        <w:spacing w:before="120" w:after="120"/>
        <w:rPr>
          <w:rFonts w:ascii="Century Gothic" w:hAnsi="Century Gothic"/>
        </w:rPr>
      </w:pPr>
      <w:r w:rsidRPr="00A62DA1">
        <w:rPr>
          <w:rFonts w:ascii="Century Gothic" w:hAnsi="Century Gothic"/>
          <w:szCs w:val="22"/>
        </w:rPr>
        <w:t xml:space="preserve">business entity formation, development of business plans, business </w:t>
      </w:r>
      <w:proofErr w:type="gramStart"/>
      <w:r w:rsidRPr="00A62DA1">
        <w:rPr>
          <w:rFonts w:ascii="Century Gothic" w:hAnsi="Century Gothic"/>
          <w:szCs w:val="22"/>
        </w:rPr>
        <w:t>conduct;</w:t>
      </w:r>
      <w:proofErr w:type="gramEnd"/>
      <w:r w:rsidRPr="00A62DA1">
        <w:rPr>
          <w:rFonts w:ascii="Century Gothic" w:hAnsi="Century Gothic"/>
          <w:szCs w:val="22"/>
        </w:rPr>
        <w:t xml:space="preserve"> </w:t>
      </w:r>
    </w:p>
    <w:p w14:paraId="63204D93" w14:textId="77777777" w:rsidR="00A62DA1" w:rsidRPr="00A62DA1" w:rsidRDefault="005C500E" w:rsidP="00486062">
      <w:pPr>
        <w:pStyle w:val="ListParagraph"/>
        <w:numPr>
          <w:ilvl w:val="0"/>
          <w:numId w:val="125"/>
        </w:numPr>
        <w:spacing w:before="120" w:after="120"/>
        <w:rPr>
          <w:rFonts w:ascii="Century Gothic" w:hAnsi="Century Gothic"/>
        </w:rPr>
      </w:pPr>
      <w:r w:rsidRPr="00A62DA1">
        <w:rPr>
          <w:rFonts w:ascii="Century Gothic" w:hAnsi="Century Gothic"/>
          <w:szCs w:val="22"/>
        </w:rPr>
        <w:t xml:space="preserve">bookkeeping and financial </w:t>
      </w:r>
      <w:proofErr w:type="gramStart"/>
      <w:r w:rsidRPr="00A62DA1">
        <w:rPr>
          <w:rFonts w:ascii="Century Gothic" w:hAnsi="Century Gothic"/>
          <w:szCs w:val="22"/>
        </w:rPr>
        <w:t>management;</w:t>
      </w:r>
      <w:proofErr w:type="gramEnd"/>
      <w:r w:rsidRPr="00A62DA1">
        <w:rPr>
          <w:rFonts w:ascii="Century Gothic" w:hAnsi="Century Gothic"/>
          <w:szCs w:val="22"/>
        </w:rPr>
        <w:t xml:space="preserve"> </w:t>
      </w:r>
    </w:p>
    <w:p w14:paraId="12E5831D" w14:textId="6503F023" w:rsidR="00977B93" w:rsidRPr="00A62DA1" w:rsidRDefault="005C500E" w:rsidP="00486062">
      <w:pPr>
        <w:pStyle w:val="ListParagraph"/>
        <w:numPr>
          <w:ilvl w:val="0"/>
          <w:numId w:val="125"/>
        </w:numPr>
        <w:spacing w:before="120" w:after="120"/>
        <w:rPr>
          <w:rFonts w:ascii="Century Gothic" w:hAnsi="Century Gothic"/>
        </w:rPr>
      </w:pPr>
      <w:r w:rsidRPr="00A62DA1">
        <w:rPr>
          <w:rFonts w:ascii="Century Gothic" w:hAnsi="Century Gothic"/>
          <w:szCs w:val="22"/>
        </w:rPr>
        <w:t xml:space="preserve">obtaining liability insurance; licensing, understanding the bonding process and other business growth training and supports.  </w:t>
      </w:r>
    </w:p>
    <w:p w14:paraId="1D3E540D" w14:textId="5135AAC7" w:rsidR="005C500E" w:rsidRPr="005C500E" w:rsidRDefault="005C500E" w:rsidP="005C500E">
      <w:pPr>
        <w:shd w:val="clear" w:color="auto" w:fill="FFFFFF"/>
        <w:spacing w:after="200"/>
        <w:rPr>
          <w:rFonts w:ascii="Century Gothic" w:hAnsi="Century Gothic"/>
          <w:szCs w:val="22"/>
        </w:rPr>
      </w:pPr>
      <w:r w:rsidRPr="005C500E">
        <w:rPr>
          <w:rFonts w:ascii="Century Gothic" w:hAnsi="Century Gothic"/>
          <w:szCs w:val="22"/>
        </w:rPr>
        <w:t>ECC/HANH ROB services cover both construction and non-construction Section 3 ROBS/Vendors.</w:t>
      </w:r>
    </w:p>
    <w:p w14:paraId="7E2C4BA8" w14:textId="77777777" w:rsidR="00977B93" w:rsidRDefault="005C500E" w:rsidP="005C500E">
      <w:pPr>
        <w:autoSpaceDE w:val="0"/>
        <w:autoSpaceDN w:val="0"/>
        <w:adjustRightInd w:val="0"/>
        <w:rPr>
          <w:rFonts w:ascii="Century Gothic" w:eastAsia="Calibri" w:hAnsi="Century Gothic"/>
          <w:bCs/>
          <w:szCs w:val="22"/>
        </w:rPr>
      </w:pPr>
      <w:r w:rsidRPr="005C500E">
        <w:rPr>
          <w:rFonts w:ascii="Century Gothic" w:eastAsia="Calibri" w:hAnsi="Century Gothic"/>
          <w:bCs/>
          <w:szCs w:val="22"/>
        </w:rPr>
        <w:t xml:space="preserve">Under this program ECC/HANH serves residents that start their own businesses by providing technical assistance services. </w:t>
      </w:r>
    </w:p>
    <w:p w14:paraId="65F7A11E" w14:textId="77777777" w:rsidR="00977B93" w:rsidRDefault="00977B93" w:rsidP="005C500E">
      <w:pPr>
        <w:autoSpaceDE w:val="0"/>
        <w:autoSpaceDN w:val="0"/>
        <w:adjustRightInd w:val="0"/>
        <w:rPr>
          <w:rFonts w:ascii="Century Gothic" w:eastAsia="Calibri" w:hAnsi="Century Gothic"/>
          <w:bCs/>
          <w:szCs w:val="22"/>
        </w:rPr>
      </w:pPr>
    </w:p>
    <w:p w14:paraId="7B2B488B" w14:textId="256D1CD3" w:rsidR="005C500E" w:rsidRPr="005C500E" w:rsidRDefault="005C500E" w:rsidP="005C500E">
      <w:pPr>
        <w:autoSpaceDE w:val="0"/>
        <w:autoSpaceDN w:val="0"/>
        <w:adjustRightInd w:val="0"/>
        <w:rPr>
          <w:rFonts w:ascii="Century Gothic" w:eastAsia="Calibri" w:hAnsi="Century Gothic"/>
          <w:bCs/>
          <w:szCs w:val="22"/>
        </w:rPr>
      </w:pPr>
      <w:r w:rsidRPr="005C500E">
        <w:rPr>
          <w:rFonts w:ascii="Century Gothic" w:eastAsia="Calibri" w:hAnsi="Century Gothic"/>
          <w:bCs/>
          <w:szCs w:val="22"/>
        </w:rPr>
        <w:t>ECC/HANH support includes the following:</w:t>
      </w:r>
    </w:p>
    <w:p w14:paraId="468AEF53" w14:textId="77777777" w:rsidR="005C500E" w:rsidRPr="005C500E" w:rsidRDefault="005C500E" w:rsidP="00486062">
      <w:pPr>
        <w:numPr>
          <w:ilvl w:val="0"/>
          <w:numId w:val="124"/>
        </w:numPr>
        <w:spacing w:after="200" w:line="276" w:lineRule="auto"/>
        <w:contextualSpacing/>
        <w:rPr>
          <w:rFonts w:ascii="Century Gothic" w:eastAsia="Calibri" w:hAnsi="Century Gothic"/>
          <w:bCs/>
          <w:szCs w:val="22"/>
        </w:rPr>
      </w:pPr>
      <w:r w:rsidRPr="005C500E">
        <w:rPr>
          <w:rFonts w:ascii="Century Gothic" w:eastAsia="Calibri" w:hAnsi="Century Gothic"/>
          <w:bCs/>
          <w:szCs w:val="22"/>
        </w:rPr>
        <w:t xml:space="preserve">Aid in the outreach, recruitment, and potential contractor’s capacity assessment.  </w:t>
      </w:r>
    </w:p>
    <w:p w14:paraId="573C954E" w14:textId="77777777" w:rsidR="007E041C" w:rsidRDefault="005C500E" w:rsidP="00486062">
      <w:pPr>
        <w:numPr>
          <w:ilvl w:val="0"/>
          <w:numId w:val="124"/>
        </w:numPr>
        <w:spacing w:after="200" w:line="276" w:lineRule="auto"/>
        <w:contextualSpacing/>
        <w:rPr>
          <w:rFonts w:ascii="Century Gothic" w:eastAsia="Calibri" w:hAnsi="Century Gothic"/>
          <w:bCs/>
          <w:szCs w:val="22"/>
        </w:rPr>
      </w:pPr>
      <w:r w:rsidRPr="005C500E">
        <w:rPr>
          <w:rFonts w:ascii="Century Gothic" w:eastAsia="Calibri" w:hAnsi="Century Gothic"/>
          <w:bCs/>
          <w:szCs w:val="22"/>
        </w:rPr>
        <w:t xml:space="preserve">Provide a computerized database for Section 3, MBE, WBE and other small businesses to </w:t>
      </w:r>
      <w:proofErr w:type="gramStart"/>
      <w:r w:rsidRPr="005C500E">
        <w:rPr>
          <w:rFonts w:ascii="Century Gothic" w:eastAsia="Calibri" w:hAnsi="Century Gothic"/>
          <w:bCs/>
          <w:szCs w:val="22"/>
        </w:rPr>
        <w:t>access</w:t>
      </w:r>
      <w:proofErr w:type="gramEnd"/>
      <w:r w:rsidRPr="005C500E">
        <w:rPr>
          <w:rFonts w:ascii="Century Gothic" w:eastAsia="Calibri" w:hAnsi="Century Gothic"/>
          <w:bCs/>
          <w:szCs w:val="22"/>
        </w:rPr>
        <w:t xml:space="preserve"> potential contract opportunities.  </w:t>
      </w:r>
    </w:p>
    <w:p w14:paraId="5B0C17E5" w14:textId="4F99B834" w:rsidR="005C500E" w:rsidRPr="005C500E" w:rsidRDefault="005C500E" w:rsidP="00486062">
      <w:pPr>
        <w:numPr>
          <w:ilvl w:val="0"/>
          <w:numId w:val="124"/>
        </w:numPr>
        <w:spacing w:after="200" w:line="276" w:lineRule="auto"/>
        <w:contextualSpacing/>
        <w:rPr>
          <w:rFonts w:ascii="Century Gothic" w:eastAsia="Calibri" w:hAnsi="Century Gothic"/>
          <w:bCs/>
          <w:szCs w:val="22"/>
        </w:rPr>
      </w:pPr>
      <w:r w:rsidRPr="005C500E">
        <w:rPr>
          <w:rFonts w:ascii="Century Gothic" w:eastAsia="Calibri" w:hAnsi="Century Gothic"/>
          <w:bCs/>
          <w:szCs w:val="22"/>
        </w:rPr>
        <w:t xml:space="preserve">Provide computer access for Resident Owned Businesses (“ROBs”) to obtain information on construction contract advertisements and communicate with other owners regarding potential contracting opportunities.  </w:t>
      </w:r>
    </w:p>
    <w:p w14:paraId="79FD96BC" w14:textId="2048A326" w:rsidR="005C500E" w:rsidRPr="005C500E" w:rsidRDefault="005C500E" w:rsidP="00486062">
      <w:pPr>
        <w:numPr>
          <w:ilvl w:val="0"/>
          <w:numId w:val="124"/>
        </w:numPr>
        <w:spacing w:after="200" w:line="276" w:lineRule="auto"/>
        <w:contextualSpacing/>
        <w:rPr>
          <w:rFonts w:ascii="Century Gothic" w:eastAsia="Calibri" w:hAnsi="Century Gothic"/>
          <w:bCs/>
          <w:szCs w:val="22"/>
        </w:rPr>
      </w:pPr>
      <w:r w:rsidRPr="005C500E">
        <w:rPr>
          <w:rFonts w:ascii="Century Gothic" w:eastAsia="Calibri" w:hAnsi="Century Gothic"/>
          <w:bCs/>
          <w:szCs w:val="22"/>
        </w:rPr>
        <w:t xml:space="preserve">Provide </w:t>
      </w:r>
      <w:r w:rsidR="002B0C27" w:rsidRPr="005C500E">
        <w:rPr>
          <w:rFonts w:ascii="Century Gothic" w:eastAsia="Calibri" w:hAnsi="Century Gothic"/>
          <w:bCs/>
          <w:szCs w:val="22"/>
        </w:rPr>
        <w:t>one-on-one</w:t>
      </w:r>
      <w:r w:rsidRPr="005C500E">
        <w:rPr>
          <w:rFonts w:ascii="Century Gothic" w:eastAsia="Calibri" w:hAnsi="Century Gothic"/>
          <w:bCs/>
          <w:szCs w:val="22"/>
        </w:rPr>
        <w:t xml:space="preserve"> consultation with Resident Owned Businesses once a week.</w:t>
      </w:r>
    </w:p>
    <w:p w14:paraId="108CB5BE" w14:textId="77777777" w:rsidR="005C500E" w:rsidRPr="005C500E" w:rsidRDefault="005C500E" w:rsidP="00486062">
      <w:pPr>
        <w:numPr>
          <w:ilvl w:val="0"/>
          <w:numId w:val="124"/>
        </w:numPr>
        <w:spacing w:after="200" w:line="276" w:lineRule="auto"/>
        <w:contextualSpacing/>
        <w:rPr>
          <w:rFonts w:ascii="Century Gothic" w:eastAsia="Calibri" w:hAnsi="Century Gothic"/>
          <w:bCs/>
          <w:szCs w:val="22"/>
        </w:rPr>
      </w:pPr>
      <w:r w:rsidRPr="005C500E">
        <w:rPr>
          <w:rFonts w:ascii="Century Gothic" w:eastAsia="Calibri" w:hAnsi="Century Gothic"/>
          <w:bCs/>
          <w:szCs w:val="22"/>
        </w:rPr>
        <w:t xml:space="preserve">Provide quarterly training workshops for participants that will assist Resident Owned Businesses in gaining a better understanding of ownership and basic business tools required to successfully operate a newly formed business.  This will include, but is not limited to, instructional training in business plans development and business conduct, OSHA 10, bookkeeping and clerical, financial and payroll management, contract negotiating and cost estimating skills. </w:t>
      </w:r>
    </w:p>
    <w:p w14:paraId="0124EEDA" w14:textId="77777777" w:rsidR="005C500E" w:rsidRPr="005C500E" w:rsidRDefault="005C500E" w:rsidP="005C500E">
      <w:pPr>
        <w:autoSpaceDE w:val="0"/>
        <w:autoSpaceDN w:val="0"/>
        <w:adjustRightInd w:val="0"/>
        <w:rPr>
          <w:rFonts w:ascii="Century Gothic" w:eastAsia="Calibri" w:hAnsi="Century Gothic"/>
          <w:bCs/>
          <w:szCs w:val="22"/>
        </w:rPr>
      </w:pPr>
    </w:p>
    <w:p w14:paraId="778D7123" w14:textId="77777777" w:rsidR="00D72940" w:rsidRDefault="005C500E" w:rsidP="005C500E">
      <w:pPr>
        <w:autoSpaceDE w:val="0"/>
        <w:autoSpaceDN w:val="0"/>
        <w:adjustRightInd w:val="0"/>
        <w:rPr>
          <w:rFonts w:ascii="Century Gothic" w:eastAsia="Calibri" w:hAnsi="Century Gothic"/>
          <w:bCs/>
          <w:szCs w:val="22"/>
        </w:rPr>
      </w:pPr>
      <w:r w:rsidRPr="005C500E">
        <w:rPr>
          <w:rFonts w:ascii="Century Gothic" w:eastAsia="Calibri" w:hAnsi="Century Gothic"/>
          <w:bCs/>
          <w:szCs w:val="22"/>
        </w:rPr>
        <w:t xml:space="preserve">ECC/HANH continues to provide a revolving loan fund to which ROBs may apply for loans up to $25,000 by submitting a bona fide business plan and a letter of intent for a pending contract award option. </w:t>
      </w:r>
    </w:p>
    <w:p w14:paraId="38CE5E37" w14:textId="77777777" w:rsidR="00D72940" w:rsidRDefault="00D72940" w:rsidP="005C500E">
      <w:pPr>
        <w:autoSpaceDE w:val="0"/>
        <w:autoSpaceDN w:val="0"/>
        <w:adjustRightInd w:val="0"/>
        <w:rPr>
          <w:rFonts w:ascii="Century Gothic" w:eastAsia="Calibri" w:hAnsi="Century Gothic"/>
          <w:bCs/>
          <w:szCs w:val="22"/>
        </w:rPr>
      </w:pPr>
    </w:p>
    <w:p w14:paraId="4489D570" w14:textId="77777777" w:rsidR="00D72940" w:rsidRDefault="005C500E" w:rsidP="005C500E">
      <w:pPr>
        <w:autoSpaceDE w:val="0"/>
        <w:autoSpaceDN w:val="0"/>
        <w:adjustRightInd w:val="0"/>
        <w:rPr>
          <w:rFonts w:ascii="Century Gothic" w:eastAsia="Calibri" w:hAnsi="Century Gothic"/>
          <w:bCs/>
          <w:szCs w:val="22"/>
        </w:rPr>
      </w:pPr>
      <w:r w:rsidRPr="005C500E">
        <w:rPr>
          <w:rFonts w:ascii="Century Gothic" w:eastAsia="Calibri" w:hAnsi="Century Gothic"/>
          <w:bCs/>
          <w:szCs w:val="22"/>
        </w:rPr>
        <w:t xml:space="preserve">The prerequisites for the loan program are </w:t>
      </w:r>
    </w:p>
    <w:p w14:paraId="00EBD6D9" w14:textId="5BFAEE03" w:rsidR="005C500E" w:rsidRPr="005C500E" w:rsidRDefault="005C500E" w:rsidP="00D72940">
      <w:pPr>
        <w:autoSpaceDE w:val="0"/>
        <w:autoSpaceDN w:val="0"/>
        <w:adjustRightInd w:val="0"/>
        <w:ind w:left="720"/>
        <w:rPr>
          <w:rFonts w:ascii="Century Gothic" w:eastAsia="Calibri" w:hAnsi="Century Gothic"/>
          <w:bCs/>
          <w:szCs w:val="22"/>
        </w:rPr>
      </w:pPr>
      <w:r w:rsidRPr="005C500E">
        <w:rPr>
          <w:rFonts w:ascii="Century Gothic" w:eastAsia="Calibri" w:hAnsi="Century Gothic"/>
          <w:bCs/>
          <w:szCs w:val="22"/>
        </w:rPr>
        <w:t xml:space="preserve">1) only ECC/HANH Resident Owned Business Concerns may apply for the revolving loans; and 2) the business’ Principal must commit to enrolling into ECC/HANH’s Family Self Sufficiency Program (“FSS”). </w:t>
      </w:r>
    </w:p>
    <w:p w14:paraId="729DF867" w14:textId="77777777" w:rsidR="005C500E" w:rsidRPr="005C500E" w:rsidRDefault="005C500E" w:rsidP="005C500E">
      <w:pPr>
        <w:autoSpaceDE w:val="0"/>
        <w:autoSpaceDN w:val="0"/>
        <w:adjustRightInd w:val="0"/>
        <w:rPr>
          <w:rFonts w:ascii="Century Gothic" w:eastAsia="Calibri" w:hAnsi="Century Gothic"/>
          <w:bCs/>
          <w:szCs w:val="22"/>
        </w:rPr>
      </w:pPr>
    </w:p>
    <w:p w14:paraId="6D772A20" w14:textId="77777777" w:rsidR="00887473" w:rsidRDefault="005C500E" w:rsidP="005C500E">
      <w:pPr>
        <w:autoSpaceDE w:val="0"/>
        <w:autoSpaceDN w:val="0"/>
        <w:adjustRightInd w:val="0"/>
        <w:rPr>
          <w:rFonts w:ascii="Century Gothic" w:eastAsia="Calibri" w:hAnsi="Century Gothic"/>
          <w:bCs/>
          <w:szCs w:val="22"/>
        </w:rPr>
      </w:pPr>
      <w:r w:rsidRPr="005C500E">
        <w:rPr>
          <w:rFonts w:ascii="Century Gothic" w:eastAsia="Calibri" w:hAnsi="Century Gothic"/>
          <w:bCs/>
          <w:szCs w:val="22"/>
        </w:rPr>
        <w:t xml:space="preserve">FSS has been designed to work specifically with participants on basic personal financial capability skills such as workshops on credit, basics of banking, budgeting, saving, and insurance. Loan applications are reviewed by an ECC/HANH loan committee. </w:t>
      </w:r>
    </w:p>
    <w:p w14:paraId="76834C1D" w14:textId="77777777" w:rsidR="00887473" w:rsidRDefault="00887473" w:rsidP="005C500E">
      <w:pPr>
        <w:autoSpaceDE w:val="0"/>
        <w:autoSpaceDN w:val="0"/>
        <w:adjustRightInd w:val="0"/>
        <w:rPr>
          <w:rFonts w:ascii="Century Gothic" w:eastAsia="Calibri" w:hAnsi="Century Gothic"/>
          <w:bCs/>
          <w:szCs w:val="22"/>
        </w:rPr>
      </w:pPr>
    </w:p>
    <w:p w14:paraId="314F8E40" w14:textId="0D5E38F6" w:rsidR="005C500E" w:rsidRPr="005C500E" w:rsidRDefault="005C500E" w:rsidP="005C500E">
      <w:pPr>
        <w:autoSpaceDE w:val="0"/>
        <w:autoSpaceDN w:val="0"/>
        <w:adjustRightInd w:val="0"/>
        <w:rPr>
          <w:rFonts w:ascii="Century Gothic" w:eastAsia="Calibri" w:hAnsi="Century Gothic"/>
        </w:rPr>
      </w:pPr>
      <w:r w:rsidRPr="4EB6BE86">
        <w:rPr>
          <w:rFonts w:ascii="Century Gothic" w:eastAsia="Calibri" w:hAnsi="Century Gothic"/>
        </w:rPr>
        <w:lastRenderedPageBreak/>
        <w:t xml:space="preserve">Loan repayments are scheduled over a 12-month period. A total of $250,000 in MTW flexible funds are dedicated to the Revolving Loan Fund. </w:t>
      </w:r>
    </w:p>
    <w:p w14:paraId="2D348820" w14:textId="09816970" w:rsidR="00EF4433" w:rsidRDefault="00EF4433" w:rsidP="002C6960">
      <w:pPr>
        <w:keepNext/>
        <w:spacing w:before="120" w:after="80"/>
        <w:outlineLvl w:val="3"/>
        <w:rPr>
          <w:rFonts w:ascii="Century Gothic" w:eastAsia="Calibri" w:hAnsi="Century Gothic"/>
        </w:rPr>
      </w:pPr>
    </w:p>
    <w:p w14:paraId="310F11E1" w14:textId="3728A451" w:rsidR="002C6960" w:rsidRDefault="002C6960" w:rsidP="002C6960">
      <w:pPr>
        <w:keepNext/>
        <w:spacing w:before="120" w:after="80"/>
        <w:outlineLvl w:val="3"/>
        <w:rPr>
          <w:rFonts w:ascii="Century Gothic" w:eastAsia="Times New Roman" w:hAnsi="Century Gothic"/>
          <w:b/>
          <w:bCs/>
          <w:color w:val="808080" w:themeColor="background1" w:themeShade="80"/>
        </w:rPr>
      </w:pPr>
      <w:r w:rsidRPr="002C6960">
        <w:rPr>
          <w:rFonts w:ascii="Century Gothic" w:eastAsia="Times New Roman" w:hAnsi="Century Gothic"/>
          <w:b/>
          <w:bCs/>
          <w:color w:val="808080" w:themeColor="background1" w:themeShade="80"/>
        </w:rPr>
        <w:t xml:space="preserve">Impact </w:t>
      </w:r>
    </w:p>
    <w:p w14:paraId="0D533B95" w14:textId="77777777" w:rsidR="00D72940" w:rsidRPr="005C500E" w:rsidRDefault="00D72940" w:rsidP="00D72940">
      <w:pPr>
        <w:autoSpaceDE w:val="0"/>
        <w:autoSpaceDN w:val="0"/>
        <w:adjustRightInd w:val="0"/>
        <w:rPr>
          <w:rFonts w:ascii="Century Gothic" w:eastAsia="Calibri" w:hAnsi="Century Gothic"/>
          <w:bCs/>
          <w:szCs w:val="22"/>
        </w:rPr>
      </w:pPr>
      <w:r w:rsidRPr="005C500E">
        <w:rPr>
          <w:rFonts w:ascii="Century Gothic" w:eastAsia="Calibri" w:hAnsi="Century Gothic"/>
          <w:bCs/>
          <w:szCs w:val="22"/>
        </w:rPr>
        <w:t>The ROBs are based on resident areas of interest and have included services in the construction trades, food truck operation, childcare, transportation, and consulting areas.</w:t>
      </w:r>
    </w:p>
    <w:p w14:paraId="1FB3274D" w14:textId="77777777" w:rsidR="006714BE" w:rsidRDefault="006714BE" w:rsidP="002C6960">
      <w:pPr>
        <w:rPr>
          <w:rFonts w:ascii="Century Gothic" w:eastAsia="Times New Roman" w:hAnsi="Century Gothic"/>
          <w:b/>
          <w:bCs/>
          <w:color w:val="808080" w:themeColor="background1" w:themeShade="80"/>
          <w:szCs w:val="22"/>
        </w:rPr>
      </w:pPr>
    </w:p>
    <w:p w14:paraId="504E9A3F" w14:textId="77777777" w:rsidR="009707EF" w:rsidRDefault="002C6960" w:rsidP="002C6960">
      <w:pPr>
        <w:rPr>
          <w:rFonts w:ascii="Century Gothic" w:eastAsia="Times New Roman" w:hAnsi="Century Gothic"/>
        </w:rPr>
      </w:pPr>
      <w:r w:rsidRPr="002C6960">
        <w:rPr>
          <w:rFonts w:ascii="Century Gothic" w:eastAsia="Times New Roman" w:hAnsi="Century Gothic"/>
        </w:rPr>
        <w:t xml:space="preserve">The ROB program has increased the economic well-being of residents who have successfully started and sustained their own businesses.  </w:t>
      </w:r>
    </w:p>
    <w:p w14:paraId="26929A02" w14:textId="77777777" w:rsidR="009707EF" w:rsidRDefault="009707EF" w:rsidP="002C6960">
      <w:pPr>
        <w:rPr>
          <w:rFonts w:ascii="Century Gothic" w:eastAsia="Times New Roman" w:hAnsi="Century Gothic"/>
        </w:rPr>
      </w:pPr>
    </w:p>
    <w:p w14:paraId="2A2DBB95" w14:textId="7A891AB1" w:rsidR="002C6960" w:rsidRPr="002C6960" w:rsidRDefault="002C6960" w:rsidP="002C6960">
      <w:pPr>
        <w:rPr>
          <w:rFonts w:ascii="Century Gothic" w:eastAsia="Times New Roman" w:hAnsi="Century Gothic"/>
        </w:rPr>
      </w:pPr>
      <w:r w:rsidRPr="002C6960">
        <w:rPr>
          <w:rFonts w:ascii="Century Gothic" w:eastAsia="Times New Roman" w:hAnsi="Century Gothic"/>
        </w:rPr>
        <w:t xml:space="preserve">In FY24, the average income of ROB households was $47,557 compared to $45,174 in FY23, </w:t>
      </w:r>
      <w:r w:rsidR="002502D1">
        <w:rPr>
          <w:rFonts w:ascii="Century Gothic" w:eastAsia="Times New Roman" w:hAnsi="Century Gothic"/>
        </w:rPr>
        <w:t xml:space="preserve">a </w:t>
      </w:r>
      <w:r w:rsidRPr="002C6960">
        <w:rPr>
          <w:rFonts w:ascii="Century Gothic" w:eastAsia="Times New Roman" w:hAnsi="Century Gothic"/>
        </w:rPr>
        <w:t>5%</w:t>
      </w:r>
      <w:r w:rsidR="002502D1">
        <w:rPr>
          <w:rFonts w:ascii="Century Gothic" w:eastAsia="Times New Roman" w:hAnsi="Century Gothic"/>
        </w:rPr>
        <w:t xml:space="preserve"> increase. </w:t>
      </w:r>
    </w:p>
    <w:p w14:paraId="37820A9D" w14:textId="77777777" w:rsidR="002C6960" w:rsidRPr="002C6960" w:rsidRDefault="002C6960" w:rsidP="002C6960">
      <w:pPr>
        <w:rPr>
          <w:rFonts w:ascii="Century Gothic" w:eastAsia="Times New Roman" w:hAnsi="Century Gothic"/>
          <w:szCs w:val="22"/>
        </w:rPr>
      </w:pPr>
    </w:p>
    <w:p w14:paraId="0D74C95D" w14:textId="77777777" w:rsidR="0082073E" w:rsidRDefault="002C6960" w:rsidP="002C6960">
      <w:pPr>
        <w:rPr>
          <w:rFonts w:ascii="Century Gothic" w:eastAsia="Times New Roman" w:hAnsi="Century Gothic"/>
        </w:rPr>
      </w:pPr>
      <w:r w:rsidRPr="002C6960">
        <w:rPr>
          <w:rFonts w:ascii="Century Gothic" w:eastAsia="Times New Roman" w:hAnsi="Century Gothic"/>
        </w:rPr>
        <w:t>In FY24, the Resident Owned Business (ROB) program served 15</w:t>
      </w:r>
      <w:r w:rsidR="002502D1">
        <w:rPr>
          <w:rFonts w:ascii="Century Gothic" w:eastAsia="Times New Roman" w:hAnsi="Century Gothic"/>
        </w:rPr>
        <w:t xml:space="preserve"> </w:t>
      </w:r>
      <w:r w:rsidRPr="002C6960">
        <w:rPr>
          <w:rFonts w:ascii="Century Gothic" w:eastAsia="Times New Roman" w:hAnsi="Century Gothic"/>
        </w:rPr>
        <w:t xml:space="preserve">participants from 14 households, all of whom received individual assessments and entrepreneurship consultation and/or ongoing training and all in varying levels on the road to entrepreneurship. </w:t>
      </w:r>
    </w:p>
    <w:p w14:paraId="2C08F68D" w14:textId="77777777" w:rsidR="0082073E" w:rsidRDefault="0082073E" w:rsidP="002C6960">
      <w:pPr>
        <w:rPr>
          <w:rFonts w:ascii="Century Gothic" w:eastAsia="Times New Roman" w:hAnsi="Century Gothic"/>
        </w:rPr>
      </w:pPr>
    </w:p>
    <w:p w14:paraId="12DDE774" w14:textId="2B425D7B" w:rsidR="002C6960" w:rsidRPr="002C6960" w:rsidRDefault="002C6960" w:rsidP="002C6960">
      <w:pPr>
        <w:rPr>
          <w:rFonts w:ascii="Century Gothic" w:eastAsia="Times New Roman" w:hAnsi="Century Gothic"/>
          <w:strike/>
        </w:rPr>
      </w:pPr>
      <w:r w:rsidRPr="002C6960">
        <w:rPr>
          <w:rFonts w:ascii="Century Gothic" w:eastAsia="Times New Roman" w:hAnsi="Century Gothic"/>
        </w:rPr>
        <w:t xml:space="preserve">To date, the ROB program has launched 35 businesses. The businesses launched range in interests and currently include a landscaping service, nail salon services, community-based non-profit, catering service, cleaning services, livery service and relocation service.   </w:t>
      </w:r>
    </w:p>
    <w:p w14:paraId="4E479FC3" w14:textId="710047EC" w:rsidR="002C6960" w:rsidRPr="002C6960" w:rsidRDefault="002C6960" w:rsidP="00C5145E">
      <w:pPr>
        <w:rPr>
          <w:rFonts w:ascii="Century Gothic" w:eastAsia="MS PGothic" w:hAnsi="Century Gothic"/>
          <w:color w:val="000000" w:themeColor="text1"/>
        </w:rPr>
      </w:pPr>
      <w:r w:rsidRPr="002C6960">
        <w:rPr>
          <w:rFonts w:ascii="Century Gothic" w:eastAsia="Times New Roman" w:hAnsi="Century Gothic"/>
          <w:highlight w:val="yellow"/>
        </w:rPr>
        <w:t xml:space="preserve"> </w:t>
      </w:r>
    </w:p>
    <w:p w14:paraId="2CC8DE86" w14:textId="7462F719" w:rsidR="002C6960" w:rsidRPr="002C6960" w:rsidRDefault="12BB7B8E" w:rsidP="002C6960">
      <w:pPr>
        <w:rPr>
          <w:rFonts w:ascii="Century Gothic" w:eastAsia="Times New Roman" w:hAnsi="Century Gothic"/>
        </w:rPr>
      </w:pPr>
      <w:r w:rsidRPr="54BD8CC3">
        <w:rPr>
          <w:rFonts w:ascii="Century Gothic" w:eastAsia="Times New Roman" w:hAnsi="Century Gothic"/>
        </w:rPr>
        <w:t xml:space="preserve">ECC/HANH contracted with the contractor “Can I Live”.  “Can I Live” has a </w:t>
      </w:r>
      <w:r w:rsidRPr="54BD8CC3">
        <w:rPr>
          <w:rFonts w:ascii="Century Gothic" w:eastAsia="Times New Roman" w:hAnsi="Century Gothic"/>
          <w:color w:val="000000" w:themeColor="text1"/>
        </w:rPr>
        <w:t xml:space="preserve">Resident Owned Business Incubator (ROBI) to cultivate, support, and provide entrepreneurial education, administrative and technical assistance to under-resourced entrepreneurs that result in the facilitation and access to economic independence. They also provide training to </w:t>
      </w:r>
      <w:r w:rsidRPr="54BD8CC3">
        <w:rPr>
          <w:rFonts w:ascii="Century Gothic" w:eastAsia="Times New Roman" w:hAnsi="Century Gothic"/>
          <w:sz w:val="24"/>
        </w:rPr>
        <w:t>a</w:t>
      </w:r>
      <w:r w:rsidRPr="54BD8CC3">
        <w:rPr>
          <w:rFonts w:ascii="Century Gothic" w:eastAsia="Times New Roman" w:hAnsi="Century Gothic"/>
          <w:color w:val="000000" w:themeColor="text1"/>
        </w:rPr>
        <w:t xml:space="preserve"> </w:t>
      </w:r>
      <w:r w:rsidRPr="54BD8CC3">
        <w:rPr>
          <w:rFonts w:ascii="Century Gothic" w:eastAsia="Times New Roman" w:hAnsi="Century Gothic"/>
        </w:rPr>
        <w:t>team of Coordinators with a focus on promoting the program and motivating the participants. As a result of this effort, twenty-one (21) residents showed interest in the Business Accelerator Program and</w:t>
      </w:r>
      <w:r w:rsidRPr="54BD8CC3">
        <w:rPr>
          <w:rFonts w:ascii="Century Gothic" w:eastAsia="Times New Roman" w:hAnsi="Century Gothic"/>
          <w:sz w:val="24"/>
        </w:rPr>
        <w:t xml:space="preserve"> 6 joined and </w:t>
      </w:r>
      <w:r w:rsidRPr="54BD8CC3">
        <w:rPr>
          <w:rFonts w:ascii="Century Gothic" w:eastAsia="Times New Roman" w:hAnsi="Century Gothic"/>
        </w:rPr>
        <w:t>attend frequently.</w:t>
      </w:r>
    </w:p>
    <w:p w14:paraId="310D76A0" w14:textId="77777777" w:rsidR="002C6960" w:rsidRPr="002C6960" w:rsidRDefault="002C6960" w:rsidP="002C6960">
      <w:pPr>
        <w:rPr>
          <w:rFonts w:ascii="Century Gothic" w:eastAsia="Times New Roman" w:hAnsi="Century Gothic"/>
          <w:sz w:val="23"/>
          <w:szCs w:val="23"/>
        </w:rPr>
      </w:pPr>
    </w:p>
    <w:p w14:paraId="4B95AD03" w14:textId="77777777" w:rsidR="005559E0" w:rsidRDefault="002C6960" w:rsidP="002C6960">
      <w:pPr>
        <w:rPr>
          <w:rFonts w:ascii="Century Gothic" w:eastAsia="Times New Roman" w:hAnsi="Century Gothic"/>
        </w:rPr>
      </w:pPr>
      <w:r w:rsidRPr="002C6960">
        <w:rPr>
          <w:rFonts w:ascii="Century Gothic" w:eastAsia="Times New Roman" w:hAnsi="Century Gothic"/>
        </w:rPr>
        <w:t xml:space="preserve">There </w:t>
      </w:r>
      <w:r w:rsidR="005559E0" w:rsidRPr="002C6960">
        <w:rPr>
          <w:rFonts w:ascii="Century Gothic" w:eastAsia="Times New Roman" w:hAnsi="Century Gothic"/>
        </w:rPr>
        <w:t>were six</w:t>
      </w:r>
      <w:r w:rsidRPr="002C6960">
        <w:rPr>
          <w:rFonts w:ascii="Century Gothic" w:eastAsia="Times New Roman" w:hAnsi="Century Gothic"/>
        </w:rPr>
        <w:t xml:space="preserve"> (6) active participants who continued to receive individualized training and business development, which included Saturday coaching, where each participant would meet with the Business Coach to focus on their Business Plan.  </w:t>
      </w:r>
    </w:p>
    <w:p w14:paraId="05E29F78" w14:textId="77777777" w:rsidR="005559E0" w:rsidRDefault="005559E0" w:rsidP="002C6960">
      <w:pPr>
        <w:rPr>
          <w:rFonts w:ascii="Century Gothic" w:eastAsia="Times New Roman" w:hAnsi="Century Gothic"/>
        </w:rPr>
      </w:pPr>
    </w:p>
    <w:p w14:paraId="6C8C9796" w14:textId="55F07C6F" w:rsidR="002C6960" w:rsidRPr="002C6960" w:rsidRDefault="002C6960" w:rsidP="002C6960">
      <w:pPr>
        <w:rPr>
          <w:rFonts w:ascii="Century Gothic" w:eastAsia="Times New Roman" w:hAnsi="Century Gothic"/>
        </w:rPr>
      </w:pPr>
      <w:r w:rsidRPr="002C6960">
        <w:rPr>
          <w:rFonts w:ascii="Century Gothic" w:eastAsia="Times New Roman" w:hAnsi="Century Gothic"/>
        </w:rPr>
        <w:t xml:space="preserve">The participants also met with the ROBI Legal Coach who discussed business law, Start Up and Legal Formations, Compliance, Contracts, and Intellectual property. Participants determined their Business Legal Structure. </w:t>
      </w:r>
    </w:p>
    <w:p w14:paraId="68A04FEC" w14:textId="77777777" w:rsidR="002C6960" w:rsidRPr="002C6960" w:rsidRDefault="002C6960" w:rsidP="002C6960">
      <w:pPr>
        <w:rPr>
          <w:rFonts w:ascii="Century Gothic" w:eastAsia="Times New Roman" w:hAnsi="Century Gothic"/>
        </w:rPr>
      </w:pPr>
    </w:p>
    <w:p w14:paraId="69270971" w14:textId="77777777" w:rsidR="002C6960" w:rsidRPr="002C6960" w:rsidRDefault="002C6960" w:rsidP="002C6960">
      <w:pPr>
        <w:rPr>
          <w:rFonts w:ascii="Century Gothic" w:eastAsia="Times New Roman" w:hAnsi="Century Gothic"/>
        </w:rPr>
      </w:pPr>
      <w:r w:rsidRPr="002C6960">
        <w:rPr>
          <w:rFonts w:ascii="Century Gothic" w:eastAsia="Times New Roman" w:hAnsi="Century Gothic"/>
        </w:rPr>
        <w:t>Additionally, participants focused on their Sales and Marketing Plan to determine the Target Market, Direct and Indirect Competitors, and learned how to communicate value to their customers.</w:t>
      </w:r>
    </w:p>
    <w:p w14:paraId="19A225CB" w14:textId="77777777" w:rsidR="002C6960" w:rsidRPr="002C6960" w:rsidRDefault="002C6960" w:rsidP="002C6960">
      <w:pPr>
        <w:spacing w:line="257" w:lineRule="auto"/>
        <w:jc w:val="both"/>
        <w:rPr>
          <w:rFonts w:ascii="Century Gothic" w:eastAsia="Times New Roman" w:hAnsi="Century Gothic"/>
        </w:rPr>
      </w:pPr>
    </w:p>
    <w:p w14:paraId="7C90AC3E" w14:textId="77777777" w:rsidR="002C6960" w:rsidRDefault="002C6960" w:rsidP="002C6960">
      <w:pPr>
        <w:spacing w:line="257" w:lineRule="auto"/>
        <w:jc w:val="both"/>
        <w:rPr>
          <w:rFonts w:ascii="Century Gothic" w:eastAsia="Times New Roman" w:hAnsi="Century Gothic"/>
          <w:b/>
          <w:bCs/>
          <w:i/>
          <w:iCs/>
        </w:rPr>
      </w:pPr>
      <w:r w:rsidRPr="00E84BC5">
        <w:rPr>
          <w:rFonts w:ascii="Century Gothic" w:eastAsia="Times New Roman" w:hAnsi="Century Gothic"/>
          <w:b/>
          <w:bCs/>
          <w:i/>
          <w:iCs/>
        </w:rPr>
        <w:t>Resident Highlight:</w:t>
      </w:r>
    </w:p>
    <w:p w14:paraId="4B3FBF5E" w14:textId="77777777" w:rsidR="00E84BC5" w:rsidRPr="00E84BC5" w:rsidRDefault="00E84BC5" w:rsidP="002C6960">
      <w:pPr>
        <w:spacing w:line="257" w:lineRule="auto"/>
        <w:jc w:val="both"/>
        <w:rPr>
          <w:rFonts w:ascii="Century Gothic" w:eastAsia="Times New Roman" w:hAnsi="Century Gothic"/>
          <w:b/>
          <w:bCs/>
          <w:i/>
          <w:iCs/>
          <w:szCs w:val="22"/>
        </w:rPr>
      </w:pPr>
    </w:p>
    <w:p w14:paraId="5667CC5B" w14:textId="4CF98535" w:rsidR="00E84BC5" w:rsidRDefault="005559E0" w:rsidP="002C6960">
      <w:pPr>
        <w:spacing w:line="257" w:lineRule="auto"/>
        <w:jc w:val="both"/>
        <w:rPr>
          <w:rFonts w:ascii="Century Gothic" w:eastAsia="Times New Roman" w:hAnsi="Century Gothic"/>
        </w:rPr>
      </w:pPr>
      <w:r>
        <w:rPr>
          <w:rFonts w:ascii="Century Gothic" w:eastAsia="Times New Roman" w:hAnsi="Century Gothic"/>
        </w:rPr>
        <w:t xml:space="preserve">One resident successfully </w:t>
      </w:r>
      <w:r w:rsidR="00CB0375">
        <w:rPr>
          <w:rFonts w:ascii="Century Gothic" w:eastAsia="Times New Roman" w:hAnsi="Century Gothic"/>
        </w:rPr>
        <w:t>started</w:t>
      </w:r>
      <w:r>
        <w:rPr>
          <w:rFonts w:ascii="Century Gothic" w:eastAsia="Times New Roman" w:hAnsi="Century Gothic"/>
        </w:rPr>
        <w:t xml:space="preserve"> a moving </w:t>
      </w:r>
      <w:r w:rsidR="00CB0375">
        <w:rPr>
          <w:rFonts w:ascii="Century Gothic" w:eastAsia="Times New Roman" w:hAnsi="Century Gothic"/>
        </w:rPr>
        <w:t>company</w:t>
      </w:r>
      <w:r w:rsidR="002C6960" w:rsidRPr="002C6960">
        <w:rPr>
          <w:rFonts w:ascii="Century Gothic" w:eastAsia="Times New Roman" w:hAnsi="Century Gothic"/>
        </w:rPr>
        <w:t xml:space="preserve"> with </w:t>
      </w:r>
      <w:r w:rsidR="002916C7">
        <w:rPr>
          <w:rFonts w:ascii="Century Gothic" w:eastAsia="Times New Roman" w:hAnsi="Century Gothic"/>
        </w:rPr>
        <w:t xml:space="preserve">office space. </w:t>
      </w:r>
      <w:r w:rsidR="002C6960" w:rsidRPr="002C6960">
        <w:rPr>
          <w:rFonts w:ascii="Century Gothic" w:eastAsia="Times New Roman" w:hAnsi="Century Gothic"/>
        </w:rPr>
        <w:t xml:space="preserve"> With the support of the CED department, she hosted a luncheon to present her business pitch to the ECC/HANH staff where she shared her vision for what it means to do business with her company.  </w:t>
      </w:r>
    </w:p>
    <w:p w14:paraId="354C2B1A" w14:textId="77777777" w:rsidR="00E84BC5" w:rsidRDefault="00E84BC5" w:rsidP="002C6960">
      <w:pPr>
        <w:spacing w:line="257" w:lineRule="auto"/>
        <w:jc w:val="both"/>
        <w:rPr>
          <w:rFonts w:ascii="Century Gothic" w:eastAsia="Times New Roman" w:hAnsi="Century Gothic"/>
        </w:rPr>
      </w:pPr>
    </w:p>
    <w:p w14:paraId="29FE41F6" w14:textId="296666E9" w:rsidR="00E84BC5" w:rsidRDefault="002C6960" w:rsidP="002C6960">
      <w:pPr>
        <w:spacing w:line="257" w:lineRule="auto"/>
        <w:jc w:val="both"/>
        <w:rPr>
          <w:rFonts w:ascii="Century Gothic" w:eastAsia="Times New Roman" w:hAnsi="Century Gothic"/>
        </w:rPr>
      </w:pPr>
      <w:r w:rsidRPr="002C6960">
        <w:rPr>
          <w:rFonts w:ascii="Century Gothic" w:eastAsia="Times New Roman" w:hAnsi="Century Gothic"/>
        </w:rPr>
        <w:t>The ROBI team</w:t>
      </w:r>
      <w:r w:rsidR="00BE421F">
        <w:rPr>
          <w:rFonts w:ascii="Century Gothic" w:eastAsia="Times New Roman" w:hAnsi="Century Gothic"/>
        </w:rPr>
        <w:t xml:space="preserve"> continues to work with </w:t>
      </w:r>
      <w:r w:rsidR="00E84BC5">
        <w:rPr>
          <w:rFonts w:ascii="Century Gothic" w:eastAsia="Times New Roman" w:hAnsi="Century Gothic"/>
        </w:rPr>
        <w:t xml:space="preserve">the resident </w:t>
      </w:r>
      <w:r w:rsidRPr="002C6960">
        <w:rPr>
          <w:rFonts w:ascii="Century Gothic" w:eastAsia="Times New Roman" w:hAnsi="Century Gothic"/>
        </w:rPr>
        <w:t>and her team on the necessary technolog</w:t>
      </w:r>
      <w:r w:rsidR="00E84BC5">
        <w:rPr>
          <w:rFonts w:ascii="Century Gothic" w:eastAsia="Times New Roman" w:hAnsi="Century Gothic"/>
        </w:rPr>
        <w:t>ical</w:t>
      </w:r>
      <w:r w:rsidRPr="002C6960">
        <w:rPr>
          <w:rFonts w:ascii="Century Gothic" w:eastAsia="Times New Roman" w:hAnsi="Century Gothic"/>
        </w:rPr>
        <w:t xml:space="preserve"> solutions to support and grow </w:t>
      </w:r>
      <w:r w:rsidR="00BE421F">
        <w:rPr>
          <w:rFonts w:ascii="Century Gothic" w:eastAsia="Times New Roman" w:hAnsi="Century Gothic"/>
        </w:rPr>
        <w:t>the</w:t>
      </w:r>
      <w:r w:rsidR="00BE421F" w:rsidRPr="002C6960">
        <w:rPr>
          <w:rFonts w:ascii="Century Gothic" w:eastAsia="Times New Roman" w:hAnsi="Century Gothic"/>
        </w:rPr>
        <w:t xml:space="preserve"> </w:t>
      </w:r>
      <w:r w:rsidRPr="002C6960">
        <w:rPr>
          <w:rFonts w:ascii="Century Gothic" w:eastAsia="Times New Roman" w:hAnsi="Century Gothic"/>
        </w:rPr>
        <w:t xml:space="preserve">business. </w:t>
      </w:r>
    </w:p>
    <w:tbl>
      <w:tblPr>
        <w:tblStyle w:val="TableGrid72"/>
        <w:tblW w:w="0" w:type="auto"/>
        <w:tblLook w:val="04A0" w:firstRow="1" w:lastRow="0" w:firstColumn="1" w:lastColumn="0" w:noHBand="0" w:noVBand="1"/>
      </w:tblPr>
      <w:tblGrid>
        <w:gridCol w:w="2996"/>
        <w:gridCol w:w="1513"/>
        <w:gridCol w:w="1469"/>
        <w:gridCol w:w="1672"/>
        <w:gridCol w:w="1975"/>
      </w:tblGrid>
      <w:tr w:rsidR="002C6960" w:rsidRPr="002C6960" w14:paraId="1E3F14C9" w14:textId="77777777">
        <w:trPr>
          <w:trHeight w:val="390"/>
        </w:trPr>
        <w:tc>
          <w:tcPr>
            <w:tcW w:w="9625" w:type="dxa"/>
            <w:gridSpan w:val="5"/>
            <w:tcBorders>
              <w:top w:val="nil"/>
              <w:left w:val="nil"/>
              <w:bottom w:val="single" w:sz="24" w:space="0" w:color="B5333C" w:themeColor="accent2"/>
              <w:right w:val="nil"/>
            </w:tcBorders>
            <w:shd w:val="clear" w:color="auto" w:fill="808080" w:themeFill="background1" w:themeFillShade="80"/>
          </w:tcPr>
          <w:p w14:paraId="26FBA03D" w14:textId="77777777" w:rsidR="002C6960" w:rsidRPr="002C6960" w:rsidRDefault="002C6960">
            <w:pPr>
              <w:jc w:val="center"/>
              <w:rPr>
                <w:rFonts w:ascii="Century Gothic" w:hAnsi="Century Gothic"/>
                <w:b/>
                <w:bCs/>
              </w:rPr>
            </w:pPr>
            <w:r w:rsidRPr="002C6960">
              <w:rPr>
                <w:rFonts w:ascii="Century Gothic" w:hAnsi="Century Gothic"/>
                <w:b/>
                <w:bCs/>
              </w:rPr>
              <w:lastRenderedPageBreak/>
              <w:t>SS #1: Increase in Household Income</w:t>
            </w:r>
          </w:p>
        </w:tc>
      </w:tr>
      <w:tr w:rsidR="002C6960" w:rsidRPr="002C6960" w14:paraId="61FD43A7" w14:textId="77777777">
        <w:trPr>
          <w:trHeight w:val="320"/>
        </w:trPr>
        <w:tc>
          <w:tcPr>
            <w:tcW w:w="2996" w:type="dxa"/>
            <w:tcBorders>
              <w:top w:val="single" w:sz="24" w:space="0" w:color="B5333C" w:themeColor="accent2"/>
              <w:left w:val="nil"/>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50D2793" w14:textId="77777777" w:rsidR="002C6960" w:rsidRPr="002C6960" w:rsidRDefault="002C6960">
            <w:pPr>
              <w:jc w:val="center"/>
              <w:rPr>
                <w:rFonts w:ascii="Century Gothic" w:hAnsi="Century Gothic"/>
                <w:b/>
                <w:bCs/>
              </w:rPr>
            </w:pPr>
            <w:r w:rsidRPr="002C6960">
              <w:rPr>
                <w:rFonts w:ascii="Century Gothic" w:hAnsi="Century Gothic"/>
                <w:b/>
                <w:bCs/>
              </w:rPr>
              <w:t>Unit of Measurement</w:t>
            </w:r>
          </w:p>
        </w:tc>
        <w:tc>
          <w:tcPr>
            <w:tcW w:w="151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4B43A53" w14:textId="77777777" w:rsidR="002C6960" w:rsidRPr="002C6960" w:rsidRDefault="002C6960">
            <w:pPr>
              <w:jc w:val="center"/>
              <w:rPr>
                <w:rFonts w:ascii="Century Gothic" w:hAnsi="Century Gothic"/>
                <w:b/>
                <w:bCs/>
              </w:rPr>
            </w:pPr>
            <w:r w:rsidRPr="002C6960">
              <w:rPr>
                <w:rFonts w:ascii="Century Gothic" w:hAnsi="Century Gothic"/>
                <w:b/>
                <w:bCs/>
              </w:rPr>
              <w:t>Baseline</w:t>
            </w:r>
          </w:p>
        </w:tc>
        <w:tc>
          <w:tcPr>
            <w:tcW w:w="1469"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12E48CF" w14:textId="77777777" w:rsidR="002C6960" w:rsidRPr="002C6960" w:rsidRDefault="002C6960">
            <w:pPr>
              <w:jc w:val="center"/>
              <w:rPr>
                <w:rFonts w:ascii="Century Gothic" w:hAnsi="Century Gothic"/>
                <w:b/>
                <w:bCs/>
              </w:rPr>
            </w:pPr>
            <w:r w:rsidRPr="002C6960">
              <w:rPr>
                <w:rFonts w:ascii="Century Gothic" w:hAnsi="Century Gothic"/>
                <w:b/>
                <w:bCs/>
              </w:rPr>
              <w:t>Benchmark</w:t>
            </w:r>
          </w:p>
        </w:tc>
        <w:tc>
          <w:tcPr>
            <w:tcW w:w="167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7AC120D" w14:textId="77777777" w:rsidR="002C6960" w:rsidRPr="002C6960" w:rsidRDefault="002C6960">
            <w:pPr>
              <w:jc w:val="center"/>
              <w:rPr>
                <w:rFonts w:ascii="Century Gothic" w:hAnsi="Century Gothic"/>
                <w:b/>
                <w:bCs/>
              </w:rPr>
            </w:pPr>
            <w:r w:rsidRPr="002C6960">
              <w:rPr>
                <w:rFonts w:ascii="Century Gothic" w:hAnsi="Century Gothic"/>
                <w:b/>
                <w:bCs/>
              </w:rPr>
              <w:t>Outcome</w:t>
            </w:r>
          </w:p>
        </w:tc>
        <w:tc>
          <w:tcPr>
            <w:tcW w:w="1975" w:type="dxa"/>
            <w:tcBorders>
              <w:top w:val="single" w:sz="24" w:space="0" w:color="B5333C" w:themeColor="accent2"/>
              <w:left w:val="single" w:sz="4" w:space="0" w:color="D9D9D9" w:themeColor="background1" w:themeShade="D9"/>
              <w:bottom w:val="single" w:sz="4" w:space="0" w:color="D9D9D9" w:themeColor="background1" w:themeShade="D9"/>
              <w:right w:val="nil"/>
            </w:tcBorders>
            <w:shd w:val="clear" w:color="auto" w:fill="BFBFBF" w:themeFill="background1" w:themeFillShade="BF"/>
            <w:vAlign w:val="center"/>
          </w:tcPr>
          <w:p w14:paraId="2F3D694C" w14:textId="77777777" w:rsidR="002C6960" w:rsidRPr="002C6960" w:rsidRDefault="002C6960">
            <w:pPr>
              <w:jc w:val="center"/>
              <w:rPr>
                <w:rFonts w:ascii="Century Gothic" w:hAnsi="Century Gothic"/>
                <w:b/>
                <w:bCs/>
              </w:rPr>
            </w:pPr>
            <w:r w:rsidRPr="002C6960">
              <w:rPr>
                <w:rFonts w:ascii="Century Gothic" w:hAnsi="Century Gothic"/>
                <w:b/>
                <w:bCs/>
              </w:rPr>
              <w:t>Benchmark Achieved?</w:t>
            </w:r>
          </w:p>
        </w:tc>
      </w:tr>
      <w:tr w:rsidR="002C6960" w:rsidRPr="002C6960" w14:paraId="4B4B5867" w14:textId="77777777">
        <w:trPr>
          <w:trHeight w:val="719"/>
        </w:trPr>
        <w:tc>
          <w:tcPr>
            <w:tcW w:w="299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4C193C9A" w14:textId="77777777" w:rsidR="002C6960" w:rsidRPr="002C6960" w:rsidRDefault="002C6960">
            <w:pPr>
              <w:rPr>
                <w:rFonts w:ascii="Century Gothic" w:hAnsi="Century Gothic"/>
              </w:rPr>
            </w:pPr>
            <w:r w:rsidRPr="002C6960">
              <w:rPr>
                <w:rFonts w:ascii="Century Gothic" w:hAnsi="Century Gothic"/>
              </w:rPr>
              <w:t>Average earned income of households or individuals affected by this policy in dollars</w:t>
            </w:r>
          </w:p>
        </w:tc>
        <w:tc>
          <w:tcPr>
            <w:tcW w:w="15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937FFE" w14:textId="77777777" w:rsidR="002C6960" w:rsidRDefault="002C6960">
            <w:pPr>
              <w:rPr>
                <w:rFonts w:ascii="Century Gothic" w:hAnsi="Century Gothic"/>
              </w:rPr>
            </w:pPr>
            <w:r w:rsidRPr="002C6960">
              <w:rPr>
                <w:rFonts w:ascii="Century Gothic" w:hAnsi="Century Gothic"/>
              </w:rPr>
              <w:t>$38,785 (2014)</w:t>
            </w:r>
          </w:p>
          <w:p w14:paraId="1E7FC064" w14:textId="77777777" w:rsidR="00063133" w:rsidRDefault="00063133">
            <w:pPr>
              <w:rPr>
                <w:rFonts w:ascii="Century Gothic" w:hAnsi="Century Gothic"/>
              </w:rPr>
            </w:pPr>
          </w:p>
          <w:p w14:paraId="7F36BF1A" w14:textId="3FACA82E" w:rsidR="00063133" w:rsidRPr="002C6960" w:rsidRDefault="00063133">
            <w:pPr>
              <w:rPr>
                <w:rFonts w:ascii="Century Gothic" w:hAnsi="Century Gothic"/>
              </w:rPr>
            </w:pPr>
          </w:p>
        </w:tc>
        <w:tc>
          <w:tcPr>
            <w:tcW w:w="14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4E3C82" w14:textId="77777777" w:rsidR="002C6960" w:rsidRPr="002C6960" w:rsidRDefault="002C6960">
            <w:pPr>
              <w:rPr>
                <w:rFonts w:ascii="Century Gothic" w:hAnsi="Century Gothic"/>
              </w:rPr>
            </w:pPr>
            <w:r w:rsidRPr="002C6960">
              <w:rPr>
                <w:rFonts w:ascii="Century Gothic" w:hAnsi="Century Gothic"/>
              </w:rPr>
              <w:t>$24,850*</w:t>
            </w:r>
          </w:p>
          <w:p w14:paraId="3E742F01" w14:textId="77777777" w:rsidR="002C6960" w:rsidRPr="002C6960" w:rsidRDefault="002C6960">
            <w:pPr>
              <w:rPr>
                <w:rFonts w:ascii="Century Gothic" w:hAnsi="Century Gothic"/>
              </w:rPr>
            </w:pPr>
            <w:r w:rsidRPr="002C6960">
              <w:rPr>
                <w:rFonts w:ascii="Century Gothic" w:hAnsi="Century Gothic"/>
              </w:rPr>
              <w:t>$34,400 (updated for FY2023)</w:t>
            </w:r>
          </w:p>
          <w:p w14:paraId="0A3C02DF" w14:textId="77777777" w:rsidR="002C6960" w:rsidRPr="002C6960" w:rsidRDefault="002C6960">
            <w:pPr>
              <w:rPr>
                <w:rFonts w:ascii="Century Gothic" w:hAnsi="Century Gothic"/>
              </w:rPr>
            </w:pPr>
          </w:p>
        </w:tc>
        <w:tc>
          <w:tcPr>
            <w:tcW w:w="16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46DFC2" w14:textId="77777777" w:rsidR="002C6960" w:rsidRPr="002C6960" w:rsidRDefault="002C6960">
            <w:pPr>
              <w:rPr>
                <w:rFonts w:ascii="Century Gothic" w:hAnsi="Century Gothic"/>
              </w:rPr>
            </w:pPr>
            <w:r w:rsidRPr="002C6960">
              <w:rPr>
                <w:rFonts w:ascii="Century Gothic" w:hAnsi="Century Gothic"/>
              </w:rPr>
              <w:t>2024: $47,557</w:t>
            </w:r>
          </w:p>
          <w:p w14:paraId="2902D88A" w14:textId="77777777" w:rsidR="002C6960" w:rsidRPr="002C6960" w:rsidRDefault="002C6960">
            <w:pPr>
              <w:rPr>
                <w:rFonts w:ascii="Century Gothic" w:hAnsi="Century Gothic"/>
              </w:rPr>
            </w:pPr>
            <w:r w:rsidRPr="002C6960">
              <w:rPr>
                <w:rFonts w:ascii="Century Gothic" w:hAnsi="Century Gothic"/>
              </w:rPr>
              <w:t xml:space="preserve">2023: $45,174 </w:t>
            </w:r>
          </w:p>
          <w:p w14:paraId="6D39EF69" w14:textId="77777777" w:rsidR="002C6960" w:rsidRPr="002C6960" w:rsidRDefault="002C6960">
            <w:pPr>
              <w:rPr>
                <w:rFonts w:ascii="Century Gothic" w:hAnsi="Century Gothic"/>
              </w:rPr>
            </w:pPr>
            <w:r w:rsidRPr="002C6960">
              <w:rPr>
                <w:rFonts w:ascii="Century Gothic" w:hAnsi="Century Gothic"/>
              </w:rPr>
              <w:t>2022: $34,232</w:t>
            </w:r>
          </w:p>
          <w:p w14:paraId="62A281B5" w14:textId="77777777" w:rsidR="002C6960" w:rsidRPr="002C6960" w:rsidRDefault="002C6960">
            <w:pPr>
              <w:rPr>
                <w:rFonts w:ascii="Century Gothic" w:hAnsi="Century Gothic"/>
              </w:rPr>
            </w:pPr>
            <w:r w:rsidRPr="002C6960">
              <w:rPr>
                <w:rFonts w:ascii="Century Gothic" w:hAnsi="Century Gothic"/>
              </w:rPr>
              <w:t>2021: $23,436</w:t>
            </w:r>
          </w:p>
          <w:p w14:paraId="0F56F29F" w14:textId="77777777" w:rsidR="002C6960" w:rsidRPr="002C6960" w:rsidRDefault="002C6960">
            <w:pPr>
              <w:rPr>
                <w:rFonts w:ascii="Century Gothic" w:hAnsi="Century Gothic"/>
              </w:rPr>
            </w:pPr>
            <w:r w:rsidRPr="002C6960">
              <w:rPr>
                <w:rFonts w:ascii="Century Gothic" w:hAnsi="Century Gothic"/>
              </w:rPr>
              <w:t>2020: $24,403</w:t>
            </w:r>
          </w:p>
          <w:p w14:paraId="15A66687" w14:textId="77777777" w:rsidR="002C6960" w:rsidRPr="002C6960" w:rsidRDefault="002C6960">
            <w:pPr>
              <w:rPr>
                <w:rFonts w:ascii="Century Gothic" w:hAnsi="Century Gothic"/>
              </w:rPr>
            </w:pPr>
            <w:r w:rsidRPr="002C6960">
              <w:rPr>
                <w:rFonts w:ascii="Century Gothic" w:hAnsi="Century Gothic"/>
              </w:rPr>
              <w:t>Prior years’ average: $21,262</w:t>
            </w: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2BB7F554" w14:textId="77777777" w:rsidR="002C6960" w:rsidRPr="002C6960" w:rsidRDefault="002C6960">
            <w:pPr>
              <w:rPr>
                <w:rFonts w:ascii="Century Gothic" w:hAnsi="Century Gothic"/>
              </w:rPr>
            </w:pPr>
            <w:r w:rsidRPr="002C6960">
              <w:rPr>
                <w:rFonts w:ascii="Century Gothic" w:hAnsi="Century Gothic"/>
              </w:rPr>
              <w:t xml:space="preserve">Yes </w:t>
            </w:r>
          </w:p>
        </w:tc>
      </w:tr>
      <w:tr w:rsidR="002C6960" w:rsidRPr="002C6960" w14:paraId="0F0DFEBC" w14:textId="77777777">
        <w:trPr>
          <w:trHeight w:val="400"/>
        </w:trPr>
        <w:tc>
          <w:tcPr>
            <w:tcW w:w="9625" w:type="dxa"/>
            <w:gridSpan w:val="5"/>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808080" w:themeFill="background1" w:themeFillShade="80"/>
          </w:tcPr>
          <w:p w14:paraId="248B4CCC" w14:textId="77777777" w:rsidR="002C6960" w:rsidRPr="002C6960" w:rsidRDefault="002C6960">
            <w:pPr>
              <w:jc w:val="center"/>
              <w:rPr>
                <w:rFonts w:ascii="Century Gothic" w:hAnsi="Century Gothic"/>
                <w:b/>
                <w:bCs/>
              </w:rPr>
            </w:pPr>
            <w:r w:rsidRPr="002C6960">
              <w:rPr>
                <w:rFonts w:ascii="Century Gothic" w:hAnsi="Century Gothic"/>
                <w:b/>
                <w:bCs/>
              </w:rPr>
              <w:t>SS #5: Households Assisted by Services that Increase Self Sufficiency</w:t>
            </w:r>
          </w:p>
        </w:tc>
      </w:tr>
      <w:tr w:rsidR="002C6960" w:rsidRPr="002C6960" w14:paraId="1E5CAF30" w14:textId="77777777">
        <w:trPr>
          <w:trHeight w:val="1020"/>
        </w:trPr>
        <w:tc>
          <w:tcPr>
            <w:tcW w:w="299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6F236DC" w14:textId="77777777" w:rsidR="002C6960" w:rsidRPr="002C6960" w:rsidRDefault="002C6960">
            <w:pPr>
              <w:rPr>
                <w:rFonts w:ascii="Century Gothic" w:hAnsi="Century Gothic"/>
              </w:rPr>
            </w:pPr>
            <w:r w:rsidRPr="002C6960">
              <w:rPr>
                <w:rFonts w:ascii="Century Gothic" w:hAnsi="Century Gothic"/>
              </w:rPr>
              <w:t>Number of households receiving consultation and/or technical assistance</w:t>
            </w:r>
          </w:p>
        </w:tc>
        <w:tc>
          <w:tcPr>
            <w:tcW w:w="1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2F511E" w14:textId="77777777" w:rsidR="002C6960" w:rsidRPr="002C6960" w:rsidRDefault="002C6960">
            <w:pPr>
              <w:rPr>
                <w:rFonts w:ascii="Century Gothic" w:hAnsi="Century Gothic"/>
              </w:rPr>
            </w:pPr>
            <w:r w:rsidRPr="002C6960">
              <w:rPr>
                <w:rFonts w:ascii="Century Gothic" w:hAnsi="Century Gothic"/>
              </w:rPr>
              <w:t>7 (2012)</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47B267" w14:textId="77777777" w:rsidR="002C6960" w:rsidRPr="002C6960" w:rsidRDefault="002C6960">
            <w:pPr>
              <w:rPr>
                <w:rFonts w:ascii="Century Gothic" w:hAnsi="Century Gothic"/>
              </w:rPr>
            </w:pPr>
            <w:r w:rsidRPr="002C6960">
              <w:rPr>
                <w:rFonts w:ascii="Century Gothic" w:hAnsi="Century Gothic"/>
              </w:rPr>
              <w:t>10</w:t>
            </w:r>
          </w:p>
        </w:tc>
        <w:tc>
          <w:tcPr>
            <w:tcW w:w="1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416B3" w14:textId="77777777" w:rsidR="002C6960" w:rsidRDefault="002C6960">
            <w:pPr>
              <w:rPr>
                <w:rFonts w:ascii="Century Gothic" w:hAnsi="Century Gothic"/>
              </w:rPr>
            </w:pPr>
            <w:r w:rsidRPr="002C6960">
              <w:rPr>
                <w:rFonts w:ascii="Century Gothic" w:hAnsi="Century Gothic"/>
              </w:rPr>
              <w:t>2024: 15 (2 participants represented in 1 household)</w:t>
            </w:r>
          </w:p>
          <w:p w14:paraId="0723D59D" w14:textId="77777777" w:rsidR="00787EF9" w:rsidRPr="002C6960" w:rsidRDefault="00787EF9">
            <w:pPr>
              <w:rPr>
                <w:rFonts w:ascii="Century Gothic" w:hAnsi="Century Gothic"/>
              </w:rPr>
            </w:pPr>
          </w:p>
          <w:p w14:paraId="6C379F7A" w14:textId="77777777" w:rsidR="002C6960" w:rsidRDefault="002C6960">
            <w:pPr>
              <w:rPr>
                <w:rFonts w:ascii="Century Gothic" w:hAnsi="Century Gothic"/>
              </w:rPr>
            </w:pPr>
            <w:r w:rsidRPr="002C6960">
              <w:rPr>
                <w:rFonts w:ascii="Century Gothic" w:hAnsi="Century Gothic"/>
              </w:rPr>
              <w:t>2023: 11 (2 participants represented in 1 household)</w:t>
            </w:r>
          </w:p>
          <w:p w14:paraId="2E39598B" w14:textId="77777777" w:rsidR="00787EF9" w:rsidRPr="002C6960" w:rsidRDefault="00787EF9">
            <w:pPr>
              <w:rPr>
                <w:rFonts w:ascii="Century Gothic" w:hAnsi="Century Gothic"/>
              </w:rPr>
            </w:pPr>
          </w:p>
          <w:p w14:paraId="2CEDEBFB" w14:textId="77777777" w:rsidR="002C6960" w:rsidRPr="002C6960" w:rsidRDefault="002C6960">
            <w:pPr>
              <w:rPr>
                <w:rFonts w:ascii="Century Gothic" w:hAnsi="Century Gothic"/>
              </w:rPr>
            </w:pPr>
            <w:r w:rsidRPr="002C6960">
              <w:rPr>
                <w:rFonts w:ascii="Century Gothic" w:hAnsi="Century Gothic"/>
              </w:rPr>
              <w:t>2022: 1</w:t>
            </w:r>
          </w:p>
          <w:p w14:paraId="3E82BBF3" w14:textId="77777777" w:rsidR="002C6960" w:rsidRPr="002C6960" w:rsidRDefault="002C6960">
            <w:pPr>
              <w:rPr>
                <w:rFonts w:ascii="Century Gothic" w:hAnsi="Century Gothic"/>
              </w:rPr>
            </w:pPr>
            <w:r w:rsidRPr="002C6960">
              <w:rPr>
                <w:rFonts w:ascii="Century Gothic" w:hAnsi="Century Gothic"/>
              </w:rPr>
              <w:t>2021: 15</w:t>
            </w:r>
          </w:p>
          <w:p w14:paraId="387122DC" w14:textId="77777777" w:rsidR="002C6960" w:rsidRPr="002C6960" w:rsidRDefault="002C6960">
            <w:pPr>
              <w:rPr>
                <w:rFonts w:ascii="Century Gothic" w:hAnsi="Century Gothic"/>
              </w:rPr>
            </w:pPr>
            <w:r w:rsidRPr="002C6960">
              <w:rPr>
                <w:rFonts w:ascii="Century Gothic" w:hAnsi="Century Gothic"/>
              </w:rPr>
              <w:t xml:space="preserve">2020: 36 </w:t>
            </w:r>
          </w:p>
          <w:p w14:paraId="675313A2" w14:textId="77777777" w:rsidR="002C6960" w:rsidRPr="002C6960" w:rsidRDefault="002C6960">
            <w:pPr>
              <w:rPr>
                <w:rFonts w:ascii="Century Gothic" w:hAnsi="Century Gothic"/>
              </w:rPr>
            </w:pPr>
            <w:r w:rsidRPr="002C6960">
              <w:rPr>
                <w:rFonts w:ascii="Century Gothic" w:hAnsi="Century Gothic"/>
              </w:rPr>
              <w:t>Prior years’ average: 27</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9251327" w14:textId="77777777" w:rsidR="002C6960" w:rsidRPr="002C6960" w:rsidRDefault="002C6960">
            <w:pPr>
              <w:rPr>
                <w:rFonts w:ascii="Century Gothic" w:hAnsi="Century Gothic"/>
              </w:rPr>
            </w:pPr>
            <w:r w:rsidRPr="002C6960">
              <w:rPr>
                <w:rFonts w:ascii="Century Gothic" w:hAnsi="Century Gothic"/>
              </w:rPr>
              <w:t>Yes</w:t>
            </w:r>
          </w:p>
        </w:tc>
      </w:tr>
      <w:tr w:rsidR="002C6960" w:rsidRPr="002C6960" w14:paraId="32E1CDDB" w14:textId="77777777">
        <w:trPr>
          <w:trHeight w:val="1100"/>
        </w:trPr>
        <w:tc>
          <w:tcPr>
            <w:tcW w:w="299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4B98D31" w14:textId="77777777" w:rsidR="002C6960" w:rsidRPr="002C6960" w:rsidRDefault="002C6960">
            <w:pPr>
              <w:rPr>
                <w:rFonts w:ascii="Century Gothic" w:hAnsi="Century Gothic"/>
              </w:rPr>
            </w:pPr>
            <w:r w:rsidRPr="002C6960">
              <w:rPr>
                <w:rFonts w:ascii="Century Gothic" w:hAnsi="Century Gothic"/>
              </w:rPr>
              <w:t>Number of households receiving training**</w:t>
            </w:r>
          </w:p>
        </w:tc>
        <w:tc>
          <w:tcPr>
            <w:tcW w:w="1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6A78F4" w14:textId="77777777" w:rsidR="002C6960" w:rsidRPr="002C6960" w:rsidRDefault="002C6960">
            <w:pPr>
              <w:rPr>
                <w:rFonts w:ascii="Century Gothic" w:hAnsi="Century Gothic"/>
              </w:rPr>
            </w:pPr>
            <w:r w:rsidRPr="002C6960">
              <w:rPr>
                <w:rFonts w:ascii="Century Gothic" w:hAnsi="Century Gothic"/>
              </w:rPr>
              <w:t>7 (2012)</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AEEE8D" w14:textId="77777777" w:rsidR="002C6960" w:rsidRPr="002C6960" w:rsidRDefault="002C6960">
            <w:pPr>
              <w:rPr>
                <w:rFonts w:ascii="Century Gothic" w:hAnsi="Century Gothic"/>
              </w:rPr>
            </w:pPr>
            <w:r w:rsidRPr="002C6960">
              <w:rPr>
                <w:rFonts w:ascii="Century Gothic" w:hAnsi="Century Gothic"/>
              </w:rPr>
              <w:t>10</w:t>
            </w:r>
          </w:p>
        </w:tc>
        <w:tc>
          <w:tcPr>
            <w:tcW w:w="1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025CC2" w14:textId="77777777" w:rsidR="002C6960" w:rsidRDefault="002C6960">
            <w:pPr>
              <w:rPr>
                <w:rFonts w:ascii="Century Gothic" w:hAnsi="Century Gothic"/>
              </w:rPr>
            </w:pPr>
            <w:r w:rsidRPr="002C6960">
              <w:rPr>
                <w:rFonts w:ascii="Century Gothic" w:hAnsi="Century Gothic"/>
              </w:rPr>
              <w:t>2024: 6 (2 participants represented in 1 household)</w:t>
            </w:r>
          </w:p>
          <w:p w14:paraId="73438E87" w14:textId="77777777" w:rsidR="00787EF9" w:rsidRPr="002C6960" w:rsidRDefault="00787EF9">
            <w:pPr>
              <w:rPr>
                <w:rFonts w:ascii="Century Gothic" w:hAnsi="Century Gothic"/>
              </w:rPr>
            </w:pPr>
          </w:p>
          <w:p w14:paraId="37AD4788" w14:textId="77777777" w:rsidR="002C6960" w:rsidRDefault="002C6960">
            <w:pPr>
              <w:rPr>
                <w:rFonts w:ascii="Century Gothic" w:hAnsi="Century Gothic"/>
              </w:rPr>
            </w:pPr>
            <w:r w:rsidRPr="002C6960">
              <w:rPr>
                <w:rFonts w:ascii="Century Gothic" w:hAnsi="Century Gothic"/>
              </w:rPr>
              <w:t>2023: 11 (2 participants represented in 1 household)</w:t>
            </w:r>
          </w:p>
          <w:p w14:paraId="5A82BAEA" w14:textId="77777777" w:rsidR="00787EF9" w:rsidRPr="002C6960" w:rsidRDefault="00787EF9">
            <w:pPr>
              <w:rPr>
                <w:rFonts w:ascii="Century Gothic" w:hAnsi="Century Gothic"/>
              </w:rPr>
            </w:pPr>
          </w:p>
          <w:p w14:paraId="0D9E0A12" w14:textId="77777777" w:rsidR="002C6960" w:rsidRPr="002C6960" w:rsidRDefault="002C6960">
            <w:pPr>
              <w:rPr>
                <w:rFonts w:ascii="Century Gothic" w:hAnsi="Century Gothic"/>
              </w:rPr>
            </w:pPr>
            <w:r w:rsidRPr="002C6960">
              <w:rPr>
                <w:rFonts w:ascii="Century Gothic" w:hAnsi="Century Gothic"/>
              </w:rPr>
              <w:t>2022: 5</w:t>
            </w:r>
          </w:p>
          <w:p w14:paraId="02F509F8" w14:textId="77777777" w:rsidR="002C6960" w:rsidRPr="002C6960" w:rsidRDefault="002C6960">
            <w:pPr>
              <w:rPr>
                <w:rFonts w:ascii="Century Gothic" w:hAnsi="Century Gothic"/>
              </w:rPr>
            </w:pPr>
            <w:r w:rsidRPr="002C6960">
              <w:rPr>
                <w:rFonts w:ascii="Century Gothic" w:hAnsi="Century Gothic"/>
              </w:rPr>
              <w:t>2021: 27</w:t>
            </w:r>
          </w:p>
          <w:p w14:paraId="0D8C0FC4" w14:textId="77777777" w:rsidR="002C6960" w:rsidRPr="002C6960" w:rsidRDefault="002C6960">
            <w:pPr>
              <w:rPr>
                <w:rFonts w:ascii="Century Gothic" w:hAnsi="Century Gothic"/>
              </w:rPr>
            </w:pPr>
            <w:r w:rsidRPr="002C6960">
              <w:rPr>
                <w:rFonts w:ascii="Century Gothic" w:hAnsi="Century Gothic"/>
              </w:rPr>
              <w:t>2020: 31</w:t>
            </w:r>
          </w:p>
          <w:p w14:paraId="51458D2C" w14:textId="77777777" w:rsidR="002C6960" w:rsidRPr="002C6960" w:rsidRDefault="002C6960">
            <w:pPr>
              <w:rPr>
                <w:rFonts w:ascii="Century Gothic" w:hAnsi="Century Gothic"/>
              </w:rPr>
            </w:pPr>
            <w:r w:rsidRPr="002C6960">
              <w:rPr>
                <w:rFonts w:ascii="Century Gothic" w:hAnsi="Century Gothic"/>
              </w:rPr>
              <w:t>Prior years’ average: 13</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445BFF3" w14:textId="77777777" w:rsidR="002C6960" w:rsidRPr="002C6960" w:rsidRDefault="002C6960">
            <w:pPr>
              <w:rPr>
                <w:rFonts w:ascii="Century Gothic" w:hAnsi="Century Gothic"/>
              </w:rPr>
            </w:pPr>
            <w:r w:rsidRPr="002C6960">
              <w:rPr>
                <w:rFonts w:ascii="Century Gothic" w:hAnsi="Century Gothic"/>
              </w:rPr>
              <w:t xml:space="preserve">No </w:t>
            </w:r>
          </w:p>
        </w:tc>
      </w:tr>
    </w:tbl>
    <w:p w14:paraId="1BA318B6" w14:textId="77777777" w:rsidR="002C6960" w:rsidRPr="00787EF9" w:rsidRDefault="002C6960" w:rsidP="002C6960">
      <w:pPr>
        <w:rPr>
          <w:rFonts w:ascii="Century Gothic" w:hAnsi="Century Gothic"/>
          <w:i/>
          <w:iCs/>
          <w:sz w:val="18"/>
          <w:szCs w:val="18"/>
        </w:rPr>
      </w:pPr>
      <w:r w:rsidRPr="00787EF9">
        <w:rPr>
          <w:rFonts w:ascii="Century Gothic" w:hAnsi="Century Gothic"/>
          <w:i/>
          <w:iCs/>
          <w:sz w:val="18"/>
          <w:szCs w:val="18"/>
        </w:rPr>
        <w:t>* The benchmark represents a 30% AMI published by HUD for a household of 4 individuals living in New Haven, CT.</w:t>
      </w:r>
    </w:p>
    <w:p w14:paraId="5AF7C2E6" w14:textId="115AF248" w:rsidR="002C6960" w:rsidRPr="002C6960" w:rsidRDefault="002C6960" w:rsidP="002C6960">
      <w:pPr>
        <w:rPr>
          <w:rFonts w:ascii="Century Gothic" w:hAnsi="Century Gothic"/>
        </w:rPr>
      </w:pPr>
      <w:r w:rsidRPr="00787EF9">
        <w:rPr>
          <w:rFonts w:ascii="Century Gothic" w:hAnsi="Century Gothic"/>
          <w:i/>
          <w:iCs/>
          <w:sz w:val="18"/>
          <w:szCs w:val="18"/>
        </w:rPr>
        <w:lastRenderedPageBreak/>
        <w:t>** Training includes topics such as cost estimating, owning a business, business planning, financial management, contracts and proposals, etc.</w:t>
      </w:r>
      <w:r>
        <w:br/>
      </w:r>
    </w:p>
    <w:p w14:paraId="4722CA08" w14:textId="77777777" w:rsidR="002C6960" w:rsidRPr="002C6960" w:rsidRDefault="002C6960" w:rsidP="002C6960">
      <w:pPr>
        <w:spacing w:after="160" w:line="276" w:lineRule="auto"/>
        <w:rPr>
          <w:rFonts w:ascii="Century Gothic" w:hAnsi="Century Gothic"/>
          <w:b/>
          <w:bCs/>
        </w:rPr>
      </w:pPr>
      <w:r w:rsidRPr="002C6960">
        <w:rPr>
          <w:rFonts w:ascii="Century Gothic" w:hAnsi="Century Gothic"/>
          <w:b/>
          <w:bCs/>
        </w:rPr>
        <w:t>Internal Metrics</w:t>
      </w:r>
    </w:p>
    <w:tbl>
      <w:tblPr>
        <w:tblStyle w:val="TableGrid"/>
        <w:tblW w:w="7065" w:type="dxa"/>
        <w:tblLayout w:type="fixed"/>
        <w:tblLook w:val="06A0" w:firstRow="1" w:lastRow="0" w:firstColumn="1" w:lastColumn="0" w:noHBand="1" w:noVBand="1"/>
      </w:tblPr>
      <w:tblGrid>
        <w:gridCol w:w="960"/>
        <w:gridCol w:w="1200"/>
        <w:gridCol w:w="1485"/>
        <w:gridCol w:w="1575"/>
        <w:gridCol w:w="1845"/>
      </w:tblGrid>
      <w:tr w:rsidR="002C6960" w:rsidRPr="002C6960" w14:paraId="4363BA99" w14:textId="77777777">
        <w:trPr>
          <w:trHeight w:val="1455"/>
        </w:trPr>
        <w:tc>
          <w:tcPr>
            <w:tcW w:w="960" w:type="dxa"/>
            <w:tcBorders>
              <w:top w:val="nil"/>
              <w:left w:val="nil"/>
              <w:bottom w:val="nil"/>
              <w:right w:val="nil"/>
            </w:tcBorders>
            <w:shd w:val="clear" w:color="auto" w:fill="E7E6E6"/>
            <w:vAlign w:val="bottom"/>
          </w:tcPr>
          <w:p w14:paraId="1CAD5E1D" w14:textId="77777777" w:rsidR="002C6960" w:rsidRPr="002C6960" w:rsidRDefault="002C6960">
            <w:pPr>
              <w:jc w:val="right"/>
              <w:rPr>
                <w:rFonts w:ascii="Century Gothic" w:eastAsia="Calibri" w:hAnsi="Century Gothic"/>
                <w:color w:val="000000" w:themeColor="text1"/>
                <w:sz w:val="20"/>
                <w:szCs w:val="20"/>
              </w:rPr>
            </w:pPr>
          </w:p>
        </w:tc>
        <w:tc>
          <w:tcPr>
            <w:tcW w:w="1200" w:type="dxa"/>
            <w:tcBorders>
              <w:top w:val="nil"/>
              <w:left w:val="nil"/>
              <w:bottom w:val="nil"/>
              <w:right w:val="nil"/>
            </w:tcBorders>
            <w:shd w:val="clear" w:color="auto" w:fill="E7E6E6"/>
            <w:vAlign w:val="bottom"/>
          </w:tcPr>
          <w:p w14:paraId="420043C5" w14:textId="77777777" w:rsidR="002C6960" w:rsidRPr="002C6960" w:rsidRDefault="002C6960">
            <w:pPr>
              <w:jc w:val="right"/>
              <w:rPr>
                <w:rFonts w:ascii="Century Gothic" w:hAnsi="Century Gothic"/>
                <w:sz w:val="20"/>
                <w:szCs w:val="20"/>
              </w:rPr>
            </w:pPr>
            <w:r w:rsidRPr="002C6960">
              <w:rPr>
                <w:rFonts w:ascii="Century Gothic" w:eastAsia="Calibri" w:hAnsi="Century Gothic"/>
                <w:color w:val="000000" w:themeColor="text1"/>
                <w:sz w:val="20"/>
                <w:szCs w:val="20"/>
              </w:rPr>
              <w:t>New loans issued</w:t>
            </w:r>
          </w:p>
        </w:tc>
        <w:tc>
          <w:tcPr>
            <w:tcW w:w="1485" w:type="dxa"/>
            <w:tcBorders>
              <w:top w:val="nil"/>
              <w:left w:val="nil"/>
              <w:bottom w:val="nil"/>
              <w:right w:val="nil"/>
            </w:tcBorders>
            <w:shd w:val="clear" w:color="auto" w:fill="E7E6E6"/>
            <w:vAlign w:val="bottom"/>
          </w:tcPr>
          <w:p w14:paraId="1F34B01D" w14:textId="77777777" w:rsidR="002C6960" w:rsidRPr="002C6960" w:rsidRDefault="002C6960">
            <w:pPr>
              <w:jc w:val="right"/>
              <w:rPr>
                <w:rFonts w:ascii="Century Gothic" w:hAnsi="Century Gothic"/>
                <w:sz w:val="20"/>
                <w:szCs w:val="20"/>
              </w:rPr>
            </w:pPr>
            <w:r w:rsidRPr="002C6960">
              <w:rPr>
                <w:rFonts w:ascii="Century Gothic" w:eastAsia="Calibri" w:hAnsi="Century Gothic"/>
                <w:color w:val="000000" w:themeColor="text1"/>
                <w:sz w:val="20"/>
                <w:szCs w:val="20"/>
              </w:rPr>
              <w:t>Dollar value of new loans</w:t>
            </w:r>
          </w:p>
        </w:tc>
        <w:tc>
          <w:tcPr>
            <w:tcW w:w="1575" w:type="dxa"/>
            <w:tcBorders>
              <w:top w:val="nil"/>
              <w:left w:val="nil"/>
              <w:bottom w:val="nil"/>
              <w:right w:val="nil"/>
            </w:tcBorders>
            <w:shd w:val="clear" w:color="auto" w:fill="E7E6E6"/>
            <w:vAlign w:val="bottom"/>
          </w:tcPr>
          <w:p w14:paraId="43551051" w14:textId="77777777" w:rsidR="002C6960" w:rsidRPr="002C6960" w:rsidRDefault="002C6960">
            <w:pPr>
              <w:jc w:val="right"/>
              <w:rPr>
                <w:rFonts w:ascii="Century Gothic" w:hAnsi="Century Gothic"/>
                <w:sz w:val="20"/>
                <w:szCs w:val="20"/>
              </w:rPr>
            </w:pPr>
            <w:r w:rsidRPr="002C6960">
              <w:rPr>
                <w:rFonts w:ascii="Century Gothic" w:eastAsia="Calibri" w:hAnsi="Century Gothic"/>
                <w:color w:val="000000" w:themeColor="text1"/>
                <w:sz w:val="20"/>
                <w:szCs w:val="20"/>
              </w:rPr>
              <w:t>Amount outstanding</w:t>
            </w:r>
          </w:p>
        </w:tc>
        <w:tc>
          <w:tcPr>
            <w:tcW w:w="1845" w:type="dxa"/>
            <w:tcBorders>
              <w:top w:val="nil"/>
              <w:left w:val="nil"/>
              <w:bottom w:val="nil"/>
              <w:right w:val="nil"/>
            </w:tcBorders>
            <w:shd w:val="clear" w:color="auto" w:fill="E7E6E6"/>
            <w:vAlign w:val="bottom"/>
          </w:tcPr>
          <w:p w14:paraId="315FCDB7" w14:textId="77777777" w:rsidR="002C6960" w:rsidRPr="002C6960" w:rsidRDefault="002C6960">
            <w:pPr>
              <w:jc w:val="right"/>
              <w:rPr>
                <w:rFonts w:ascii="Century Gothic" w:hAnsi="Century Gothic"/>
                <w:sz w:val="20"/>
                <w:szCs w:val="20"/>
              </w:rPr>
            </w:pPr>
            <w:r w:rsidRPr="002C6960">
              <w:rPr>
                <w:rFonts w:ascii="Century Gothic" w:eastAsia="Calibri" w:hAnsi="Century Gothic"/>
                <w:color w:val="000000" w:themeColor="text1"/>
                <w:sz w:val="20"/>
                <w:szCs w:val="20"/>
              </w:rPr>
              <w:t>Amount under contract with ECC/HANH</w:t>
            </w:r>
          </w:p>
        </w:tc>
      </w:tr>
      <w:tr w:rsidR="002C6960" w:rsidRPr="002C6960" w14:paraId="3F820D86" w14:textId="77777777">
        <w:trPr>
          <w:trHeight w:val="285"/>
        </w:trPr>
        <w:tc>
          <w:tcPr>
            <w:tcW w:w="960" w:type="dxa"/>
            <w:tcBorders>
              <w:top w:val="nil"/>
              <w:left w:val="nil"/>
              <w:bottom w:val="nil"/>
              <w:right w:val="nil"/>
            </w:tcBorders>
            <w:vAlign w:val="bottom"/>
          </w:tcPr>
          <w:p w14:paraId="63FA669B"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2011</w:t>
            </w:r>
          </w:p>
        </w:tc>
        <w:tc>
          <w:tcPr>
            <w:tcW w:w="1200" w:type="dxa"/>
            <w:tcBorders>
              <w:top w:val="nil"/>
              <w:left w:val="nil"/>
              <w:bottom w:val="nil"/>
              <w:right w:val="nil"/>
            </w:tcBorders>
            <w:vAlign w:val="bottom"/>
          </w:tcPr>
          <w:p w14:paraId="183F3F26" w14:textId="77777777" w:rsidR="002C6960" w:rsidRPr="002C6960" w:rsidRDefault="002C6960">
            <w:pPr>
              <w:rPr>
                <w:rFonts w:ascii="Century Gothic" w:hAnsi="Century Gothic"/>
                <w:sz w:val="20"/>
                <w:szCs w:val="20"/>
              </w:rPr>
            </w:pPr>
          </w:p>
        </w:tc>
        <w:tc>
          <w:tcPr>
            <w:tcW w:w="1485" w:type="dxa"/>
            <w:tcBorders>
              <w:top w:val="nil"/>
              <w:left w:val="nil"/>
              <w:bottom w:val="nil"/>
              <w:right w:val="nil"/>
            </w:tcBorders>
            <w:vAlign w:val="bottom"/>
          </w:tcPr>
          <w:p w14:paraId="4D664B6D"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33,093 </w:t>
            </w:r>
          </w:p>
        </w:tc>
        <w:tc>
          <w:tcPr>
            <w:tcW w:w="1575" w:type="dxa"/>
            <w:tcBorders>
              <w:top w:val="nil"/>
              <w:left w:val="nil"/>
              <w:bottom w:val="nil"/>
              <w:right w:val="nil"/>
            </w:tcBorders>
            <w:vAlign w:val="bottom"/>
          </w:tcPr>
          <w:p w14:paraId="68687E65" w14:textId="77777777" w:rsidR="002C6960" w:rsidRPr="002C6960" w:rsidRDefault="002C6960">
            <w:pPr>
              <w:rPr>
                <w:rFonts w:ascii="Century Gothic" w:hAnsi="Century Gothic"/>
                <w:sz w:val="20"/>
                <w:szCs w:val="20"/>
              </w:rPr>
            </w:pPr>
          </w:p>
        </w:tc>
        <w:tc>
          <w:tcPr>
            <w:tcW w:w="1845" w:type="dxa"/>
            <w:tcBorders>
              <w:top w:val="nil"/>
              <w:left w:val="nil"/>
              <w:bottom w:val="nil"/>
              <w:right w:val="nil"/>
            </w:tcBorders>
            <w:vAlign w:val="bottom"/>
          </w:tcPr>
          <w:p w14:paraId="0BC5D4D1" w14:textId="77777777" w:rsidR="002C6960" w:rsidRPr="002C6960" w:rsidRDefault="002C6960">
            <w:pPr>
              <w:rPr>
                <w:rFonts w:ascii="Century Gothic" w:hAnsi="Century Gothic"/>
                <w:sz w:val="20"/>
                <w:szCs w:val="20"/>
              </w:rPr>
            </w:pPr>
            <w:r w:rsidRPr="002C6960">
              <w:rPr>
                <w:rFonts w:ascii="Century Gothic" w:hAnsi="Century Gothic"/>
                <w:sz w:val="20"/>
                <w:szCs w:val="20"/>
              </w:rPr>
              <w:t>]</w:t>
            </w:r>
          </w:p>
        </w:tc>
      </w:tr>
      <w:tr w:rsidR="002C6960" w:rsidRPr="002C6960" w14:paraId="5D6B358F" w14:textId="77777777">
        <w:trPr>
          <w:trHeight w:val="285"/>
        </w:trPr>
        <w:tc>
          <w:tcPr>
            <w:tcW w:w="960" w:type="dxa"/>
            <w:tcBorders>
              <w:top w:val="nil"/>
              <w:left w:val="nil"/>
              <w:bottom w:val="nil"/>
              <w:right w:val="nil"/>
            </w:tcBorders>
            <w:vAlign w:val="bottom"/>
          </w:tcPr>
          <w:p w14:paraId="7B4D9EF9"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2012</w:t>
            </w:r>
          </w:p>
        </w:tc>
        <w:tc>
          <w:tcPr>
            <w:tcW w:w="1200" w:type="dxa"/>
            <w:tcBorders>
              <w:top w:val="nil"/>
              <w:left w:val="nil"/>
              <w:bottom w:val="nil"/>
              <w:right w:val="nil"/>
            </w:tcBorders>
            <w:vAlign w:val="bottom"/>
          </w:tcPr>
          <w:p w14:paraId="6BD8B9BB" w14:textId="77777777" w:rsidR="002C6960" w:rsidRPr="002C6960" w:rsidRDefault="002C6960">
            <w:pPr>
              <w:rPr>
                <w:rFonts w:ascii="Century Gothic" w:hAnsi="Century Gothic"/>
                <w:sz w:val="20"/>
                <w:szCs w:val="20"/>
              </w:rPr>
            </w:pPr>
          </w:p>
        </w:tc>
        <w:tc>
          <w:tcPr>
            <w:tcW w:w="1485" w:type="dxa"/>
            <w:tcBorders>
              <w:top w:val="nil"/>
              <w:left w:val="nil"/>
              <w:bottom w:val="nil"/>
              <w:right w:val="nil"/>
            </w:tcBorders>
            <w:vAlign w:val="bottom"/>
          </w:tcPr>
          <w:p w14:paraId="745A1DC3"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   </w:t>
            </w:r>
          </w:p>
        </w:tc>
        <w:tc>
          <w:tcPr>
            <w:tcW w:w="1575" w:type="dxa"/>
            <w:tcBorders>
              <w:top w:val="nil"/>
              <w:left w:val="nil"/>
              <w:bottom w:val="nil"/>
              <w:right w:val="nil"/>
            </w:tcBorders>
            <w:vAlign w:val="bottom"/>
          </w:tcPr>
          <w:p w14:paraId="4034B228" w14:textId="77777777" w:rsidR="002C6960" w:rsidRPr="002C6960" w:rsidRDefault="002C6960">
            <w:pPr>
              <w:rPr>
                <w:rFonts w:ascii="Century Gothic" w:hAnsi="Century Gothic"/>
                <w:sz w:val="20"/>
                <w:szCs w:val="20"/>
              </w:rPr>
            </w:pPr>
          </w:p>
        </w:tc>
        <w:tc>
          <w:tcPr>
            <w:tcW w:w="1845" w:type="dxa"/>
            <w:tcBorders>
              <w:top w:val="nil"/>
              <w:left w:val="nil"/>
              <w:bottom w:val="nil"/>
              <w:right w:val="nil"/>
            </w:tcBorders>
            <w:vAlign w:val="bottom"/>
          </w:tcPr>
          <w:p w14:paraId="40A38D29" w14:textId="77777777" w:rsidR="002C6960" w:rsidRPr="002C6960" w:rsidRDefault="002C6960">
            <w:pPr>
              <w:rPr>
                <w:rFonts w:ascii="Century Gothic" w:hAnsi="Century Gothic"/>
                <w:sz w:val="20"/>
                <w:szCs w:val="20"/>
              </w:rPr>
            </w:pPr>
          </w:p>
        </w:tc>
      </w:tr>
      <w:tr w:rsidR="002C6960" w:rsidRPr="002C6960" w14:paraId="3BE67520" w14:textId="77777777">
        <w:trPr>
          <w:trHeight w:val="285"/>
        </w:trPr>
        <w:tc>
          <w:tcPr>
            <w:tcW w:w="960" w:type="dxa"/>
            <w:tcBorders>
              <w:top w:val="nil"/>
              <w:left w:val="nil"/>
              <w:bottom w:val="nil"/>
              <w:right w:val="nil"/>
            </w:tcBorders>
            <w:vAlign w:val="bottom"/>
          </w:tcPr>
          <w:p w14:paraId="74F29CB7"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2013</w:t>
            </w:r>
          </w:p>
        </w:tc>
        <w:tc>
          <w:tcPr>
            <w:tcW w:w="1200" w:type="dxa"/>
            <w:tcBorders>
              <w:top w:val="nil"/>
              <w:left w:val="nil"/>
              <w:bottom w:val="nil"/>
              <w:right w:val="nil"/>
            </w:tcBorders>
            <w:vAlign w:val="bottom"/>
          </w:tcPr>
          <w:p w14:paraId="1A731CA8"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w:t>
            </w:r>
          </w:p>
        </w:tc>
        <w:tc>
          <w:tcPr>
            <w:tcW w:w="1485" w:type="dxa"/>
            <w:tcBorders>
              <w:top w:val="nil"/>
              <w:left w:val="nil"/>
              <w:bottom w:val="nil"/>
              <w:right w:val="nil"/>
            </w:tcBorders>
            <w:vAlign w:val="bottom"/>
          </w:tcPr>
          <w:p w14:paraId="4D1F1C64"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74,423 </w:t>
            </w:r>
          </w:p>
        </w:tc>
        <w:tc>
          <w:tcPr>
            <w:tcW w:w="1575" w:type="dxa"/>
            <w:tcBorders>
              <w:top w:val="nil"/>
              <w:left w:val="nil"/>
              <w:bottom w:val="nil"/>
              <w:right w:val="nil"/>
            </w:tcBorders>
            <w:vAlign w:val="bottom"/>
          </w:tcPr>
          <w:p w14:paraId="3D910D7B"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29,959 </w:t>
            </w:r>
          </w:p>
        </w:tc>
        <w:tc>
          <w:tcPr>
            <w:tcW w:w="1845" w:type="dxa"/>
            <w:tcBorders>
              <w:top w:val="nil"/>
              <w:left w:val="nil"/>
              <w:bottom w:val="nil"/>
              <w:right w:val="nil"/>
            </w:tcBorders>
            <w:vAlign w:val="bottom"/>
          </w:tcPr>
          <w:p w14:paraId="00BF09C5"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800,000 </w:t>
            </w:r>
          </w:p>
        </w:tc>
      </w:tr>
      <w:tr w:rsidR="002C6960" w:rsidRPr="002C6960" w14:paraId="4AF38C44" w14:textId="77777777">
        <w:trPr>
          <w:trHeight w:val="285"/>
        </w:trPr>
        <w:tc>
          <w:tcPr>
            <w:tcW w:w="960" w:type="dxa"/>
            <w:tcBorders>
              <w:top w:val="nil"/>
              <w:left w:val="nil"/>
              <w:bottom w:val="nil"/>
              <w:right w:val="nil"/>
            </w:tcBorders>
            <w:vAlign w:val="bottom"/>
          </w:tcPr>
          <w:p w14:paraId="13282D10"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2014</w:t>
            </w:r>
          </w:p>
        </w:tc>
        <w:tc>
          <w:tcPr>
            <w:tcW w:w="1200" w:type="dxa"/>
            <w:tcBorders>
              <w:top w:val="nil"/>
              <w:left w:val="nil"/>
              <w:bottom w:val="nil"/>
              <w:right w:val="nil"/>
            </w:tcBorders>
            <w:vAlign w:val="bottom"/>
          </w:tcPr>
          <w:p w14:paraId="075574FD"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1</w:t>
            </w:r>
          </w:p>
        </w:tc>
        <w:tc>
          <w:tcPr>
            <w:tcW w:w="1485" w:type="dxa"/>
            <w:tcBorders>
              <w:top w:val="nil"/>
              <w:left w:val="nil"/>
              <w:bottom w:val="nil"/>
              <w:right w:val="nil"/>
            </w:tcBorders>
            <w:vAlign w:val="bottom"/>
          </w:tcPr>
          <w:p w14:paraId="7475CDE5"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   </w:t>
            </w:r>
          </w:p>
        </w:tc>
        <w:tc>
          <w:tcPr>
            <w:tcW w:w="1575" w:type="dxa"/>
            <w:tcBorders>
              <w:top w:val="nil"/>
              <w:left w:val="nil"/>
              <w:bottom w:val="nil"/>
              <w:right w:val="nil"/>
            </w:tcBorders>
            <w:vAlign w:val="bottom"/>
          </w:tcPr>
          <w:p w14:paraId="6668CF0A"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10,541 </w:t>
            </w:r>
          </w:p>
        </w:tc>
        <w:tc>
          <w:tcPr>
            <w:tcW w:w="1845" w:type="dxa"/>
            <w:tcBorders>
              <w:top w:val="nil"/>
              <w:left w:val="nil"/>
              <w:bottom w:val="nil"/>
              <w:right w:val="nil"/>
            </w:tcBorders>
            <w:vAlign w:val="bottom"/>
          </w:tcPr>
          <w:p w14:paraId="5DDB8E6B" w14:textId="77777777" w:rsidR="002C6960" w:rsidRPr="002C6960" w:rsidRDefault="002C6960">
            <w:pPr>
              <w:rPr>
                <w:rFonts w:ascii="Century Gothic" w:hAnsi="Century Gothic"/>
                <w:sz w:val="20"/>
                <w:szCs w:val="20"/>
              </w:rPr>
            </w:pPr>
          </w:p>
        </w:tc>
      </w:tr>
      <w:tr w:rsidR="002C6960" w:rsidRPr="002C6960" w14:paraId="7F42A4A0" w14:textId="77777777">
        <w:trPr>
          <w:trHeight w:val="285"/>
        </w:trPr>
        <w:tc>
          <w:tcPr>
            <w:tcW w:w="960" w:type="dxa"/>
            <w:tcBorders>
              <w:top w:val="nil"/>
              <w:left w:val="nil"/>
              <w:bottom w:val="nil"/>
              <w:right w:val="nil"/>
            </w:tcBorders>
            <w:vAlign w:val="bottom"/>
          </w:tcPr>
          <w:p w14:paraId="7C58EE08"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2015</w:t>
            </w:r>
          </w:p>
        </w:tc>
        <w:tc>
          <w:tcPr>
            <w:tcW w:w="1200" w:type="dxa"/>
            <w:tcBorders>
              <w:top w:val="nil"/>
              <w:left w:val="nil"/>
              <w:bottom w:val="nil"/>
              <w:right w:val="nil"/>
            </w:tcBorders>
            <w:vAlign w:val="bottom"/>
          </w:tcPr>
          <w:p w14:paraId="7AB0A73B"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1</w:t>
            </w:r>
          </w:p>
        </w:tc>
        <w:tc>
          <w:tcPr>
            <w:tcW w:w="1485" w:type="dxa"/>
            <w:tcBorders>
              <w:top w:val="nil"/>
              <w:left w:val="nil"/>
              <w:bottom w:val="nil"/>
              <w:right w:val="nil"/>
            </w:tcBorders>
            <w:vAlign w:val="bottom"/>
          </w:tcPr>
          <w:p w14:paraId="660C8C3A"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   </w:t>
            </w:r>
          </w:p>
        </w:tc>
        <w:tc>
          <w:tcPr>
            <w:tcW w:w="1575" w:type="dxa"/>
            <w:tcBorders>
              <w:top w:val="nil"/>
              <w:left w:val="nil"/>
              <w:bottom w:val="nil"/>
              <w:right w:val="nil"/>
            </w:tcBorders>
            <w:vAlign w:val="bottom"/>
          </w:tcPr>
          <w:p w14:paraId="0A6C6869"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7,382 </w:t>
            </w:r>
          </w:p>
        </w:tc>
        <w:tc>
          <w:tcPr>
            <w:tcW w:w="1845" w:type="dxa"/>
            <w:tcBorders>
              <w:top w:val="nil"/>
              <w:left w:val="nil"/>
              <w:bottom w:val="nil"/>
              <w:right w:val="nil"/>
            </w:tcBorders>
            <w:vAlign w:val="bottom"/>
          </w:tcPr>
          <w:p w14:paraId="7BEE47BA" w14:textId="77777777" w:rsidR="002C6960" w:rsidRPr="002C6960" w:rsidRDefault="002C6960">
            <w:pPr>
              <w:rPr>
                <w:rFonts w:ascii="Century Gothic" w:hAnsi="Century Gothic"/>
                <w:sz w:val="20"/>
                <w:szCs w:val="20"/>
              </w:rPr>
            </w:pPr>
          </w:p>
        </w:tc>
      </w:tr>
      <w:tr w:rsidR="002C6960" w:rsidRPr="002C6960" w14:paraId="27562358" w14:textId="77777777">
        <w:trPr>
          <w:trHeight w:val="285"/>
        </w:trPr>
        <w:tc>
          <w:tcPr>
            <w:tcW w:w="960" w:type="dxa"/>
            <w:tcBorders>
              <w:top w:val="nil"/>
              <w:left w:val="nil"/>
              <w:bottom w:val="nil"/>
              <w:right w:val="nil"/>
            </w:tcBorders>
            <w:vAlign w:val="bottom"/>
          </w:tcPr>
          <w:p w14:paraId="3AB28A48"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2016</w:t>
            </w:r>
          </w:p>
        </w:tc>
        <w:tc>
          <w:tcPr>
            <w:tcW w:w="1200" w:type="dxa"/>
            <w:tcBorders>
              <w:top w:val="nil"/>
              <w:left w:val="nil"/>
              <w:bottom w:val="nil"/>
              <w:right w:val="nil"/>
            </w:tcBorders>
            <w:vAlign w:val="bottom"/>
          </w:tcPr>
          <w:p w14:paraId="6E6FC53E"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1</w:t>
            </w:r>
          </w:p>
        </w:tc>
        <w:tc>
          <w:tcPr>
            <w:tcW w:w="1485" w:type="dxa"/>
            <w:tcBorders>
              <w:top w:val="nil"/>
              <w:left w:val="nil"/>
              <w:bottom w:val="nil"/>
              <w:right w:val="nil"/>
            </w:tcBorders>
            <w:vAlign w:val="bottom"/>
          </w:tcPr>
          <w:p w14:paraId="50EEDA9A"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7,382 </w:t>
            </w:r>
          </w:p>
        </w:tc>
        <w:tc>
          <w:tcPr>
            <w:tcW w:w="1575" w:type="dxa"/>
            <w:tcBorders>
              <w:top w:val="nil"/>
              <w:left w:val="nil"/>
              <w:bottom w:val="nil"/>
              <w:right w:val="nil"/>
            </w:tcBorders>
            <w:vAlign w:val="bottom"/>
          </w:tcPr>
          <w:p w14:paraId="7645222E"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6,700 </w:t>
            </w:r>
          </w:p>
        </w:tc>
        <w:tc>
          <w:tcPr>
            <w:tcW w:w="1845" w:type="dxa"/>
            <w:tcBorders>
              <w:top w:val="nil"/>
              <w:left w:val="nil"/>
              <w:bottom w:val="nil"/>
              <w:right w:val="nil"/>
            </w:tcBorders>
            <w:vAlign w:val="bottom"/>
          </w:tcPr>
          <w:p w14:paraId="553D2F8D" w14:textId="77777777" w:rsidR="002C6960" w:rsidRPr="002C6960" w:rsidRDefault="002C6960">
            <w:pPr>
              <w:rPr>
                <w:rFonts w:ascii="Century Gothic" w:hAnsi="Century Gothic"/>
                <w:sz w:val="20"/>
                <w:szCs w:val="20"/>
              </w:rPr>
            </w:pPr>
          </w:p>
        </w:tc>
      </w:tr>
      <w:tr w:rsidR="002C6960" w:rsidRPr="002C6960" w14:paraId="07FC93AE" w14:textId="77777777">
        <w:trPr>
          <w:trHeight w:val="285"/>
        </w:trPr>
        <w:tc>
          <w:tcPr>
            <w:tcW w:w="960" w:type="dxa"/>
            <w:tcBorders>
              <w:top w:val="nil"/>
              <w:left w:val="nil"/>
              <w:bottom w:val="nil"/>
              <w:right w:val="nil"/>
            </w:tcBorders>
            <w:vAlign w:val="bottom"/>
          </w:tcPr>
          <w:p w14:paraId="2E96A8C2"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2017</w:t>
            </w:r>
          </w:p>
        </w:tc>
        <w:tc>
          <w:tcPr>
            <w:tcW w:w="1200" w:type="dxa"/>
            <w:tcBorders>
              <w:top w:val="nil"/>
              <w:left w:val="nil"/>
              <w:bottom w:val="nil"/>
              <w:right w:val="nil"/>
            </w:tcBorders>
            <w:vAlign w:val="bottom"/>
          </w:tcPr>
          <w:p w14:paraId="64D4E062"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1</w:t>
            </w:r>
          </w:p>
        </w:tc>
        <w:tc>
          <w:tcPr>
            <w:tcW w:w="1485" w:type="dxa"/>
            <w:tcBorders>
              <w:top w:val="nil"/>
              <w:left w:val="nil"/>
              <w:bottom w:val="nil"/>
              <w:right w:val="nil"/>
            </w:tcBorders>
            <w:vAlign w:val="bottom"/>
          </w:tcPr>
          <w:p w14:paraId="55B0FB7F"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22,000 </w:t>
            </w:r>
          </w:p>
        </w:tc>
        <w:tc>
          <w:tcPr>
            <w:tcW w:w="1575" w:type="dxa"/>
            <w:tcBorders>
              <w:top w:val="nil"/>
              <w:left w:val="nil"/>
              <w:bottom w:val="nil"/>
              <w:right w:val="nil"/>
            </w:tcBorders>
            <w:vAlign w:val="bottom"/>
          </w:tcPr>
          <w:p w14:paraId="01AD268F"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16,400 </w:t>
            </w:r>
          </w:p>
        </w:tc>
        <w:tc>
          <w:tcPr>
            <w:tcW w:w="1845" w:type="dxa"/>
            <w:tcBorders>
              <w:top w:val="nil"/>
              <w:left w:val="nil"/>
              <w:bottom w:val="nil"/>
              <w:right w:val="nil"/>
            </w:tcBorders>
            <w:vAlign w:val="bottom"/>
          </w:tcPr>
          <w:p w14:paraId="6AACF33E" w14:textId="77777777" w:rsidR="002C6960" w:rsidRPr="002C6960" w:rsidRDefault="002C6960">
            <w:pPr>
              <w:rPr>
                <w:rFonts w:ascii="Century Gothic" w:hAnsi="Century Gothic"/>
                <w:sz w:val="20"/>
                <w:szCs w:val="20"/>
              </w:rPr>
            </w:pPr>
          </w:p>
        </w:tc>
      </w:tr>
      <w:tr w:rsidR="002C6960" w:rsidRPr="002C6960" w14:paraId="70DCC41B" w14:textId="77777777">
        <w:trPr>
          <w:trHeight w:val="285"/>
        </w:trPr>
        <w:tc>
          <w:tcPr>
            <w:tcW w:w="960" w:type="dxa"/>
            <w:tcBorders>
              <w:top w:val="nil"/>
              <w:left w:val="nil"/>
              <w:bottom w:val="nil"/>
              <w:right w:val="nil"/>
            </w:tcBorders>
            <w:vAlign w:val="bottom"/>
          </w:tcPr>
          <w:p w14:paraId="7FBA31E1"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2018</w:t>
            </w:r>
          </w:p>
        </w:tc>
        <w:tc>
          <w:tcPr>
            <w:tcW w:w="1200" w:type="dxa"/>
            <w:tcBorders>
              <w:top w:val="nil"/>
              <w:left w:val="nil"/>
              <w:bottom w:val="nil"/>
              <w:right w:val="nil"/>
            </w:tcBorders>
            <w:vAlign w:val="bottom"/>
          </w:tcPr>
          <w:p w14:paraId="2518835E"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1</w:t>
            </w:r>
          </w:p>
        </w:tc>
        <w:tc>
          <w:tcPr>
            <w:tcW w:w="1485" w:type="dxa"/>
            <w:tcBorders>
              <w:top w:val="nil"/>
              <w:left w:val="nil"/>
              <w:bottom w:val="nil"/>
              <w:right w:val="nil"/>
            </w:tcBorders>
            <w:vAlign w:val="bottom"/>
          </w:tcPr>
          <w:p w14:paraId="38748617"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12,000 </w:t>
            </w:r>
          </w:p>
        </w:tc>
        <w:tc>
          <w:tcPr>
            <w:tcW w:w="1575" w:type="dxa"/>
            <w:tcBorders>
              <w:top w:val="nil"/>
              <w:left w:val="nil"/>
              <w:bottom w:val="nil"/>
              <w:right w:val="nil"/>
            </w:tcBorders>
            <w:vAlign w:val="bottom"/>
          </w:tcPr>
          <w:p w14:paraId="6948EB22" w14:textId="77777777" w:rsidR="002C6960" w:rsidRPr="002C6960" w:rsidRDefault="002C6960">
            <w:pPr>
              <w:rPr>
                <w:rFonts w:ascii="Century Gothic" w:hAnsi="Century Gothic"/>
                <w:sz w:val="20"/>
                <w:szCs w:val="20"/>
              </w:rPr>
            </w:pPr>
          </w:p>
        </w:tc>
        <w:tc>
          <w:tcPr>
            <w:tcW w:w="1845" w:type="dxa"/>
            <w:tcBorders>
              <w:top w:val="nil"/>
              <w:left w:val="nil"/>
              <w:bottom w:val="nil"/>
              <w:right w:val="nil"/>
            </w:tcBorders>
            <w:vAlign w:val="bottom"/>
          </w:tcPr>
          <w:p w14:paraId="2D715BD5" w14:textId="77777777" w:rsidR="002C6960" w:rsidRPr="002C6960" w:rsidRDefault="002C6960">
            <w:pPr>
              <w:rPr>
                <w:rFonts w:ascii="Century Gothic" w:hAnsi="Century Gothic"/>
                <w:sz w:val="20"/>
                <w:szCs w:val="20"/>
              </w:rPr>
            </w:pPr>
          </w:p>
        </w:tc>
      </w:tr>
      <w:tr w:rsidR="002C6960" w:rsidRPr="002C6960" w14:paraId="271CB7E0" w14:textId="77777777">
        <w:trPr>
          <w:trHeight w:val="285"/>
        </w:trPr>
        <w:tc>
          <w:tcPr>
            <w:tcW w:w="960" w:type="dxa"/>
            <w:tcBorders>
              <w:top w:val="nil"/>
              <w:left w:val="nil"/>
              <w:bottom w:val="nil"/>
              <w:right w:val="nil"/>
            </w:tcBorders>
            <w:vAlign w:val="bottom"/>
          </w:tcPr>
          <w:p w14:paraId="605C35D2"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2019</w:t>
            </w:r>
          </w:p>
        </w:tc>
        <w:tc>
          <w:tcPr>
            <w:tcW w:w="1200" w:type="dxa"/>
            <w:tcBorders>
              <w:top w:val="nil"/>
              <w:left w:val="nil"/>
              <w:bottom w:val="nil"/>
              <w:right w:val="nil"/>
            </w:tcBorders>
            <w:vAlign w:val="bottom"/>
          </w:tcPr>
          <w:p w14:paraId="4C89966D"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1</w:t>
            </w:r>
          </w:p>
        </w:tc>
        <w:tc>
          <w:tcPr>
            <w:tcW w:w="1485" w:type="dxa"/>
            <w:tcBorders>
              <w:top w:val="nil"/>
              <w:left w:val="nil"/>
              <w:bottom w:val="nil"/>
              <w:right w:val="nil"/>
            </w:tcBorders>
            <w:vAlign w:val="bottom"/>
          </w:tcPr>
          <w:p w14:paraId="555CA4F8"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   </w:t>
            </w:r>
          </w:p>
        </w:tc>
        <w:tc>
          <w:tcPr>
            <w:tcW w:w="1575" w:type="dxa"/>
            <w:tcBorders>
              <w:top w:val="nil"/>
              <w:left w:val="nil"/>
              <w:bottom w:val="nil"/>
              <w:right w:val="nil"/>
            </w:tcBorders>
            <w:vAlign w:val="bottom"/>
          </w:tcPr>
          <w:p w14:paraId="5E31A1F9"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8,000 </w:t>
            </w:r>
          </w:p>
        </w:tc>
        <w:tc>
          <w:tcPr>
            <w:tcW w:w="1845" w:type="dxa"/>
            <w:tcBorders>
              <w:top w:val="nil"/>
              <w:left w:val="nil"/>
              <w:bottom w:val="nil"/>
              <w:right w:val="nil"/>
            </w:tcBorders>
            <w:vAlign w:val="bottom"/>
          </w:tcPr>
          <w:p w14:paraId="311FAC2B" w14:textId="77777777" w:rsidR="002C6960" w:rsidRPr="002C6960" w:rsidRDefault="002C6960">
            <w:pPr>
              <w:rPr>
                <w:rFonts w:ascii="Century Gothic" w:hAnsi="Century Gothic"/>
                <w:sz w:val="20"/>
                <w:szCs w:val="20"/>
              </w:rPr>
            </w:pPr>
          </w:p>
        </w:tc>
      </w:tr>
      <w:tr w:rsidR="002C6960" w:rsidRPr="002C6960" w14:paraId="072442CC" w14:textId="77777777">
        <w:trPr>
          <w:trHeight w:val="285"/>
        </w:trPr>
        <w:tc>
          <w:tcPr>
            <w:tcW w:w="960" w:type="dxa"/>
            <w:tcBorders>
              <w:top w:val="nil"/>
              <w:left w:val="nil"/>
              <w:bottom w:val="nil"/>
              <w:right w:val="nil"/>
            </w:tcBorders>
            <w:vAlign w:val="bottom"/>
          </w:tcPr>
          <w:p w14:paraId="13C6E671"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2020</w:t>
            </w:r>
          </w:p>
        </w:tc>
        <w:tc>
          <w:tcPr>
            <w:tcW w:w="1200" w:type="dxa"/>
            <w:tcBorders>
              <w:top w:val="nil"/>
              <w:left w:val="nil"/>
              <w:bottom w:val="nil"/>
              <w:right w:val="nil"/>
            </w:tcBorders>
            <w:vAlign w:val="bottom"/>
          </w:tcPr>
          <w:p w14:paraId="50833D43"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1</w:t>
            </w:r>
          </w:p>
        </w:tc>
        <w:tc>
          <w:tcPr>
            <w:tcW w:w="1485" w:type="dxa"/>
            <w:tcBorders>
              <w:top w:val="nil"/>
              <w:left w:val="nil"/>
              <w:bottom w:val="nil"/>
              <w:right w:val="nil"/>
            </w:tcBorders>
            <w:vAlign w:val="bottom"/>
          </w:tcPr>
          <w:p w14:paraId="55D226BA"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   </w:t>
            </w:r>
          </w:p>
        </w:tc>
        <w:tc>
          <w:tcPr>
            <w:tcW w:w="1575" w:type="dxa"/>
            <w:tcBorders>
              <w:top w:val="nil"/>
              <w:left w:val="nil"/>
              <w:bottom w:val="nil"/>
              <w:right w:val="nil"/>
            </w:tcBorders>
            <w:vAlign w:val="bottom"/>
          </w:tcPr>
          <w:p w14:paraId="7A24A348"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5,222 </w:t>
            </w:r>
          </w:p>
        </w:tc>
        <w:tc>
          <w:tcPr>
            <w:tcW w:w="1845" w:type="dxa"/>
            <w:tcBorders>
              <w:top w:val="nil"/>
              <w:left w:val="nil"/>
              <w:bottom w:val="nil"/>
              <w:right w:val="nil"/>
            </w:tcBorders>
            <w:vAlign w:val="bottom"/>
          </w:tcPr>
          <w:p w14:paraId="6A98E8B4" w14:textId="77777777" w:rsidR="002C6960" w:rsidRPr="002C6960" w:rsidRDefault="002C6960">
            <w:pPr>
              <w:rPr>
                <w:rFonts w:ascii="Century Gothic" w:hAnsi="Century Gothic"/>
                <w:sz w:val="20"/>
                <w:szCs w:val="20"/>
              </w:rPr>
            </w:pPr>
          </w:p>
        </w:tc>
      </w:tr>
      <w:tr w:rsidR="002C6960" w:rsidRPr="002C6960" w14:paraId="3C5F6ADC" w14:textId="77777777">
        <w:trPr>
          <w:trHeight w:val="285"/>
        </w:trPr>
        <w:tc>
          <w:tcPr>
            <w:tcW w:w="960" w:type="dxa"/>
            <w:tcBorders>
              <w:top w:val="nil"/>
              <w:left w:val="nil"/>
              <w:bottom w:val="nil"/>
              <w:right w:val="nil"/>
            </w:tcBorders>
            <w:vAlign w:val="bottom"/>
          </w:tcPr>
          <w:p w14:paraId="152333D3"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2021</w:t>
            </w:r>
          </w:p>
        </w:tc>
        <w:tc>
          <w:tcPr>
            <w:tcW w:w="1200" w:type="dxa"/>
            <w:tcBorders>
              <w:top w:val="nil"/>
              <w:left w:val="nil"/>
              <w:bottom w:val="nil"/>
              <w:right w:val="nil"/>
            </w:tcBorders>
            <w:vAlign w:val="bottom"/>
          </w:tcPr>
          <w:p w14:paraId="0287E379"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0</w:t>
            </w:r>
          </w:p>
        </w:tc>
        <w:tc>
          <w:tcPr>
            <w:tcW w:w="1485" w:type="dxa"/>
            <w:tcBorders>
              <w:top w:val="nil"/>
              <w:left w:val="nil"/>
              <w:bottom w:val="nil"/>
              <w:right w:val="nil"/>
            </w:tcBorders>
            <w:vAlign w:val="bottom"/>
          </w:tcPr>
          <w:p w14:paraId="322E46D0"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   </w:t>
            </w:r>
          </w:p>
        </w:tc>
        <w:tc>
          <w:tcPr>
            <w:tcW w:w="1575" w:type="dxa"/>
            <w:tcBorders>
              <w:top w:val="nil"/>
              <w:left w:val="nil"/>
              <w:bottom w:val="nil"/>
              <w:right w:val="nil"/>
            </w:tcBorders>
            <w:vAlign w:val="bottom"/>
          </w:tcPr>
          <w:p w14:paraId="345F79B3"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   </w:t>
            </w:r>
          </w:p>
        </w:tc>
        <w:tc>
          <w:tcPr>
            <w:tcW w:w="1845" w:type="dxa"/>
            <w:tcBorders>
              <w:top w:val="nil"/>
              <w:left w:val="nil"/>
              <w:bottom w:val="nil"/>
              <w:right w:val="nil"/>
            </w:tcBorders>
            <w:vAlign w:val="bottom"/>
          </w:tcPr>
          <w:p w14:paraId="4DCC943B"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3,392 </w:t>
            </w:r>
          </w:p>
        </w:tc>
      </w:tr>
      <w:tr w:rsidR="002C6960" w:rsidRPr="002C6960" w14:paraId="0188069E" w14:textId="77777777">
        <w:trPr>
          <w:trHeight w:val="285"/>
        </w:trPr>
        <w:tc>
          <w:tcPr>
            <w:tcW w:w="960" w:type="dxa"/>
            <w:tcBorders>
              <w:top w:val="nil"/>
              <w:left w:val="nil"/>
              <w:bottom w:val="nil"/>
              <w:right w:val="nil"/>
            </w:tcBorders>
            <w:vAlign w:val="bottom"/>
          </w:tcPr>
          <w:p w14:paraId="33934214" w14:textId="77777777" w:rsidR="002C6960" w:rsidRPr="002C6960" w:rsidRDefault="002C6960">
            <w:pPr>
              <w:rPr>
                <w:rFonts w:ascii="Century Gothic" w:eastAsia="Times New Roman" w:hAnsi="Century Gothic"/>
                <w:color w:val="000000" w:themeColor="text1"/>
                <w:sz w:val="20"/>
                <w:szCs w:val="20"/>
              </w:rPr>
            </w:pPr>
            <w:r w:rsidRPr="002C6960">
              <w:rPr>
                <w:rFonts w:ascii="Century Gothic" w:eastAsia="Times New Roman" w:hAnsi="Century Gothic"/>
                <w:color w:val="000000" w:themeColor="text1"/>
                <w:sz w:val="20"/>
                <w:szCs w:val="20"/>
              </w:rPr>
              <w:t>2022</w:t>
            </w:r>
          </w:p>
        </w:tc>
        <w:tc>
          <w:tcPr>
            <w:tcW w:w="1200" w:type="dxa"/>
            <w:tcBorders>
              <w:top w:val="nil"/>
              <w:left w:val="nil"/>
              <w:bottom w:val="nil"/>
              <w:right w:val="nil"/>
            </w:tcBorders>
            <w:vAlign w:val="bottom"/>
          </w:tcPr>
          <w:p w14:paraId="335AD009" w14:textId="77777777" w:rsidR="002C6960" w:rsidRPr="002C6960" w:rsidRDefault="002C6960">
            <w:pPr>
              <w:rPr>
                <w:rFonts w:ascii="Century Gothic" w:eastAsia="MS PGothic" w:hAnsi="Century Gothic"/>
                <w:color w:val="000000" w:themeColor="text1"/>
                <w:szCs w:val="22"/>
              </w:rPr>
            </w:pPr>
            <w:r w:rsidRPr="002C6960">
              <w:rPr>
                <w:rFonts w:ascii="Century Gothic" w:eastAsia="MS PGothic" w:hAnsi="Century Gothic"/>
                <w:color w:val="000000" w:themeColor="text1"/>
                <w:szCs w:val="22"/>
              </w:rPr>
              <w:t>0</w:t>
            </w:r>
          </w:p>
        </w:tc>
        <w:tc>
          <w:tcPr>
            <w:tcW w:w="1485" w:type="dxa"/>
            <w:tcBorders>
              <w:top w:val="nil"/>
              <w:left w:val="nil"/>
              <w:bottom w:val="nil"/>
              <w:right w:val="nil"/>
            </w:tcBorders>
            <w:vAlign w:val="bottom"/>
          </w:tcPr>
          <w:p w14:paraId="3DEBA9C9"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   </w:t>
            </w:r>
          </w:p>
        </w:tc>
        <w:tc>
          <w:tcPr>
            <w:tcW w:w="1575" w:type="dxa"/>
            <w:tcBorders>
              <w:top w:val="nil"/>
              <w:left w:val="nil"/>
              <w:bottom w:val="nil"/>
              <w:right w:val="nil"/>
            </w:tcBorders>
            <w:vAlign w:val="bottom"/>
          </w:tcPr>
          <w:p w14:paraId="14DD468F"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   </w:t>
            </w:r>
          </w:p>
        </w:tc>
        <w:tc>
          <w:tcPr>
            <w:tcW w:w="1845" w:type="dxa"/>
            <w:tcBorders>
              <w:top w:val="nil"/>
              <w:left w:val="nil"/>
              <w:bottom w:val="nil"/>
              <w:right w:val="nil"/>
            </w:tcBorders>
            <w:vAlign w:val="bottom"/>
          </w:tcPr>
          <w:p w14:paraId="07E89AD1"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w:t>
            </w:r>
          </w:p>
        </w:tc>
      </w:tr>
      <w:tr w:rsidR="002C6960" w:rsidRPr="002C6960" w14:paraId="79B40F8D" w14:textId="77777777">
        <w:trPr>
          <w:trHeight w:val="285"/>
        </w:trPr>
        <w:tc>
          <w:tcPr>
            <w:tcW w:w="960" w:type="dxa"/>
            <w:tcBorders>
              <w:top w:val="nil"/>
              <w:left w:val="nil"/>
              <w:bottom w:val="nil"/>
              <w:right w:val="nil"/>
            </w:tcBorders>
            <w:vAlign w:val="bottom"/>
          </w:tcPr>
          <w:p w14:paraId="5A7281D6" w14:textId="77777777" w:rsidR="002C6960" w:rsidRPr="002C6960" w:rsidRDefault="002C6960">
            <w:pPr>
              <w:rPr>
                <w:rFonts w:ascii="Century Gothic" w:eastAsia="Times New Roman" w:hAnsi="Century Gothic"/>
                <w:color w:val="000000" w:themeColor="text1"/>
                <w:sz w:val="20"/>
                <w:szCs w:val="20"/>
              </w:rPr>
            </w:pPr>
            <w:r w:rsidRPr="002C6960">
              <w:rPr>
                <w:rFonts w:ascii="Century Gothic" w:eastAsia="Times New Roman" w:hAnsi="Century Gothic"/>
                <w:color w:val="000000" w:themeColor="text1"/>
                <w:sz w:val="20"/>
                <w:szCs w:val="20"/>
              </w:rPr>
              <w:t>2023</w:t>
            </w:r>
          </w:p>
        </w:tc>
        <w:tc>
          <w:tcPr>
            <w:tcW w:w="1200" w:type="dxa"/>
            <w:tcBorders>
              <w:top w:val="nil"/>
              <w:left w:val="nil"/>
              <w:bottom w:val="nil"/>
              <w:right w:val="nil"/>
            </w:tcBorders>
            <w:vAlign w:val="bottom"/>
          </w:tcPr>
          <w:p w14:paraId="75EBCF8C" w14:textId="77777777" w:rsidR="002C6960" w:rsidRPr="002C6960" w:rsidRDefault="002C6960">
            <w:pPr>
              <w:rPr>
                <w:rFonts w:ascii="Century Gothic" w:eastAsia="MS PGothic" w:hAnsi="Century Gothic"/>
                <w:color w:val="000000" w:themeColor="text1"/>
              </w:rPr>
            </w:pPr>
            <w:r w:rsidRPr="002C6960">
              <w:rPr>
                <w:rFonts w:ascii="Century Gothic" w:eastAsia="MS PGothic" w:hAnsi="Century Gothic"/>
                <w:color w:val="000000" w:themeColor="text1"/>
              </w:rPr>
              <w:t>0</w:t>
            </w:r>
          </w:p>
        </w:tc>
        <w:tc>
          <w:tcPr>
            <w:tcW w:w="1485" w:type="dxa"/>
            <w:tcBorders>
              <w:top w:val="nil"/>
              <w:left w:val="nil"/>
              <w:bottom w:val="nil"/>
              <w:right w:val="nil"/>
            </w:tcBorders>
            <w:vAlign w:val="bottom"/>
          </w:tcPr>
          <w:p w14:paraId="72862D3C" w14:textId="77777777" w:rsidR="002C6960" w:rsidRPr="002C6960" w:rsidRDefault="002C6960">
            <w:pPr>
              <w:rPr>
                <w:rFonts w:ascii="Century Gothic" w:eastAsia="Calibri" w:hAnsi="Century Gothic"/>
                <w:color w:val="000000" w:themeColor="text1"/>
                <w:sz w:val="20"/>
                <w:szCs w:val="20"/>
              </w:rPr>
            </w:pPr>
            <w:r w:rsidRPr="002C6960">
              <w:rPr>
                <w:rFonts w:ascii="Century Gothic" w:eastAsia="Calibri" w:hAnsi="Century Gothic"/>
                <w:color w:val="000000" w:themeColor="text1"/>
                <w:sz w:val="20"/>
                <w:szCs w:val="20"/>
              </w:rPr>
              <w:t xml:space="preserve"> $               - </w:t>
            </w:r>
          </w:p>
        </w:tc>
        <w:tc>
          <w:tcPr>
            <w:tcW w:w="1575" w:type="dxa"/>
            <w:tcBorders>
              <w:top w:val="nil"/>
              <w:left w:val="nil"/>
              <w:bottom w:val="nil"/>
              <w:right w:val="nil"/>
            </w:tcBorders>
            <w:vAlign w:val="bottom"/>
          </w:tcPr>
          <w:p w14:paraId="20824EE9" w14:textId="77777777" w:rsidR="002C6960" w:rsidRPr="002C6960" w:rsidRDefault="002C6960">
            <w:pPr>
              <w:rPr>
                <w:rFonts w:ascii="Century Gothic" w:eastAsia="Calibri" w:hAnsi="Century Gothic"/>
                <w:color w:val="000000" w:themeColor="text1"/>
                <w:sz w:val="20"/>
                <w:szCs w:val="20"/>
              </w:rPr>
            </w:pPr>
            <w:r w:rsidRPr="002C6960">
              <w:rPr>
                <w:rFonts w:ascii="Century Gothic" w:eastAsia="Calibri" w:hAnsi="Century Gothic"/>
                <w:color w:val="000000" w:themeColor="text1"/>
                <w:sz w:val="20"/>
                <w:szCs w:val="20"/>
              </w:rPr>
              <w:t xml:space="preserve"> $                </w:t>
            </w:r>
          </w:p>
        </w:tc>
        <w:tc>
          <w:tcPr>
            <w:tcW w:w="1845" w:type="dxa"/>
            <w:tcBorders>
              <w:top w:val="nil"/>
              <w:left w:val="nil"/>
              <w:bottom w:val="nil"/>
              <w:right w:val="nil"/>
            </w:tcBorders>
            <w:vAlign w:val="bottom"/>
          </w:tcPr>
          <w:p w14:paraId="4219FAB7" w14:textId="77777777" w:rsidR="002C6960" w:rsidRPr="002C6960" w:rsidRDefault="002C6960">
            <w:pPr>
              <w:rPr>
                <w:rFonts w:ascii="Century Gothic" w:eastAsia="Calibri" w:hAnsi="Century Gothic"/>
                <w:color w:val="000000" w:themeColor="text1"/>
                <w:sz w:val="20"/>
                <w:szCs w:val="20"/>
              </w:rPr>
            </w:pPr>
            <w:r w:rsidRPr="002C6960">
              <w:rPr>
                <w:rFonts w:ascii="Century Gothic" w:eastAsia="Calibri" w:hAnsi="Century Gothic"/>
                <w:color w:val="000000" w:themeColor="text1"/>
                <w:sz w:val="20"/>
                <w:szCs w:val="20"/>
              </w:rPr>
              <w:t xml:space="preserve"> $</w:t>
            </w:r>
          </w:p>
        </w:tc>
      </w:tr>
      <w:tr w:rsidR="002C6960" w:rsidRPr="002C6960" w14:paraId="22EB0D8E" w14:textId="77777777">
        <w:trPr>
          <w:trHeight w:val="285"/>
        </w:trPr>
        <w:tc>
          <w:tcPr>
            <w:tcW w:w="960" w:type="dxa"/>
            <w:tcBorders>
              <w:top w:val="nil"/>
              <w:left w:val="nil"/>
              <w:bottom w:val="nil"/>
              <w:right w:val="nil"/>
            </w:tcBorders>
            <w:vAlign w:val="bottom"/>
          </w:tcPr>
          <w:p w14:paraId="0BC58298" w14:textId="77777777" w:rsidR="002C6960" w:rsidRPr="002C6960" w:rsidRDefault="002C6960">
            <w:pPr>
              <w:rPr>
                <w:rFonts w:ascii="Century Gothic" w:eastAsia="Times New Roman" w:hAnsi="Century Gothic"/>
                <w:color w:val="000000" w:themeColor="text1"/>
                <w:sz w:val="20"/>
                <w:szCs w:val="20"/>
              </w:rPr>
            </w:pPr>
            <w:r w:rsidRPr="002C6960">
              <w:rPr>
                <w:rFonts w:ascii="Century Gothic" w:eastAsia="Times New Roman" w:hAnsi="Century Gothic"/>
                <w:color w:val="000000" w:themeColor="text1"/>
                <w:sz w:val="20"/>
                <w:szCs w:val="20"/>
              </w:rPr>
              <w:t xml:space="preserve">2024  </w:t>
            </w:r>
          </w:p>
        </w:tc>
        <w:tc>
          <w:tcPr>
            <w:tcW w:w="1200" w:type="dxa"/>
            <w:tcBorders>
              <w:top w:val="nil"/>
              <w:left w:val="nil"/>
              <w:bottom w:val="nil"/>
              <w:right w:val="nil"/>
            </w:tcBorders>
            <w:vAlign w:val="bottom"/>
          </w:tcPr>
          <w:p w14:paraId="332FCA20" w14:textId="77777777" w:rsidR="002C6960" w:rsidRPr="002C6960" w:rsidRDefault="002C6960">
            <w:pPr>
              <w:rPr>
                <w:rFonts w:ascii="Century Gothic" w:eastAsia="MS PGothic" w:hAnsi="Century Gothic"/>
                <w:color w:val="000000" w:themeColor="text1"/>
              </w:rPr>
            </w:pPr>
            <w:r w:rsidRPr="002C6960">
              <w:rPr>
                <w:rFonts w:ascii="Century Gothic" w:eastAsia="MS PGothic" w:hAnsi="Century Gothic"/>
                <w:color w:val="000000" w:themeColor="text1"/>
              </w:rPr>
              <w:t>0</w:t>
            </w:r>
          </w:p>
        </w:tc>
        <w:tc>
          <w:tcPr>
            <w:tcW w:w="1485" w:type="dxa"/>
            <w:tcBorders>
              <w:top w:val="nil"/>
              <w:left w:val="nil"/>
              <w:bottom w:val="nil"/>
              <w:right w:val="nil"/>
            </w:tcBorders>
            <w:vAlign w:val="bottom"/>
          </w:tcPr>
          <w:p w14:paraId="4B69FD59" w14:textId="77777777" w:rsidR="002C6960" w:rsidRPr="002C6960" w:rsidRDefault="002C6960">
            <w:pPr>
              <w:rPr>
                <w:rFonts w:ascii="Century Gothic" w:eastAsia="Calibri" w:hAnsi="Century Gothic"/>
                <w:color w:val="000000" w:themeColor="text1"/>
                <w:sz w:val="20"/>
                <w:szCs w:val="20"/>
              </w:rPr>
            </w:pPr>
            <w:r w:rsidRPr="002C6960">
              <w:rPr>
                <w:rFonts w:ascii="Century Gothic" w:eastAsia="Calibri" w:hAnsi="Century Gothic"/>
                <w:color w:val="000000" w:themeColor="text1"/>
                <w:sz w:val="20"/>
                <w:szCs w:val="20"/>
              </w:rPr>
              <w:t xml:space="preserve"> $               -     </w:t>
            </w:r>
          </w:p>
        </w:tc>
        <w:tc>
          <w:tcPr>
            <w:tcW w:w="1575" w:type="dxa"/>
            <w:tcBorders>
              <w:top w:val="nil"/>
              <w:left w:val="nil"/>
              <w:bottom w:val="nil"/>
              <w:right w:val="nil"/>
            </w:tcBorders>
            <w:vAlign w:val="bottom"/>
          </w:tcPr>
          <w:p w14:paraId="3C29235D" w14:textId="77777777" w:rsidR="002C6960" w:rsidRPr="002C6960" w:rsidRDefault="002C6960">
            <w:pPr>
              <w:rPr>
                <w:rFonts w:ascii="Century Gothic" w:eastAsia="Calibri" w:hAnsi="Century Gothic"/>
                <w:color w:val="000000" w:themeColor="text1"/>
                <w:sz w:val="20"/>
                <w:szCs w:val="20"/>
              </w:rPr>
            </w:pPr>
            <w:r w:rsidRPr="002C6960">
              <w:rPr>
                <w:rFonts w:ascii="Century Gothic" w:eastAsia="Calibri" w:hAnsi="Century Gothic"/>
                <w:color w:val="000000" w:themeColor="text1"/>
                <w:sz w:val="20"/>
                <w:szCs w:val="20"/>
              </w:rPr>
              <w:t xml:space="preserve"> $                 -    </w:t>
            </w:r>
          </w:p>
        </w:tc>
        <w:tc>
          <w:tcPr>
            <w:tcW w:w="1845" w:type="dxa"/>
            <w:tcBorders>
              <w:top w:val="nil"/>
              <w:left w:val="nil"/>
              <w:bottom w:val="nil"/>
              <w:right w:val="nil"/>
            </w:tcBorders>
            <w:vAlign w:val="bottom"/>
          </w:tcPr>
          <w:p w14:paraId="113E6D12" w14:textId="77777777" w:rsidR="002C6960" w:rsidRPr="002C6960" w:rsidRDefault="002C6960">
            <w:pPr>
              <w:rPr>
                <w:rFonts w:ascii="Century Gothic" w:eastAsia="Calibri" w:hAnsi="Century Gothic"/>
                <w:color w:val="000000" w:themeColor="text1"/>
                <w:sz w:val="20"/>
                <w:szCs w:val="20"/>
              </w:rPr>
            </w:pPr>
            <w:r w:rsidRPr="002C6960">
              <w:rPr>
                <w:rFonts w:ascii="Century Gothic" w:eastAsia="Calibri" w:hAnsi="Century Gothic"/>
                <w:color w:val="000000" w:themeColor="text1"/>
                <w:sz w:val="20"/>
                <w:szCs w:val="20"/>
              </w:rPr>
              <w:t xml:space="preserve"> $               </w:t>
            </w:r>
          </w:p>
        </w:tc>
      </w:tr>
      <w:tr w:rsidR="002C6960" w:rsidRPr="002C6960" w14:paraId="76C9AD8B" w14:textId="77777777">
        <w:trPr>
          <w:trHeight w:val="285"/>
        </w:trPr>
        <w:tc>
          <w:tcPr>
            <w:tcW w:w="960" w:type="dxa"/>
            <w:tcBorders>
              <w:top w:val="nil"/>
              <w:left w:val="nil"/>
              <w:bottom w:val="nil"/>
              <w:right w:val="nil"/>
            </w:tcBorders>
            <w:shd w:val="clear" w:color="auto" w:fill="E7E6E6"/>
            <w:vAlign w:val="bottom"/>
          </w:tcPr>
          <w:p w14:paraId="2E73B50A"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Total</w:t>
            </w:r>
          </w:p>
        </w:tc>
        <w:tc>
          <w:tcPr>
            <w:tcW w:w="1200" w:type="dxa"/>
            <w:tcBorders>
              <w:top w:val="nil"/>
              <w:left w:val="nil"/>
              <w:bottom w:val="nil"/>
              <w:right w:val="nil"/>
            </w:tcBorders>
            <w:shd w:val="clear" w:color="auto" w:fill="E7E6E6"/>
            <w:vAlign w:val="bottom"/>
          </w:tcPr>
          <w:p w14:paraId="27F4F9CE"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9</w:t>
            </w:r>
          </w:p>
        </w:tc>
        <w:tc>
          <w:tcPr>
            <w:tcW w:w="1485" w:type="dxa"/>
            <w:tcBorders>
              <w:top w:val="nil"/>
              <w:left w:val="nil"/>
              <w:bottom w:val="nil"/>
              <w:right w:val="nil"/>
            </w:tcBorders>
            <w:shd w:val="clear" w:color="auto" w:fill="E7E6E6"/>
            <w:vAlign w:val="bottom"/>
          </w:tcPr>
          <w:p w14:paraId="7C201E03"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148,898 </w:t>
            </w:r>
          </w:p>
        </w:tc>
        <w:tc>
          <w:tcPr>
            <w:tcW w:w="1575" w:type="dxa"/>
            <w:tcBorders>
              <w:top w:val="nil"/>
              <w:left w:val="nil"/>
              <w:bottom w:val="nil"/>
              <w:right w:val="nil"/>
            </w:tcBorders>
            <w:shd w:val="clear" w:color="auto" w:fill="E7E6E6"/>
            <w:vAlign w:val="bottom"/>
          </w:tcPr>
          <w:p w14:paraId="772C528C"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84,204</w:t>
            </w:r>
          </w:p>
        </w:tc>
        <w:tc>
          <w:tcPr>
            <w:tcW w:w="1845" w:type="dxa"/>
            <w:tcBorders>
              <w:top w:val="nil"/>
              <w:left w:val="nil"/>
              <w:bottom w:val="nil"/>
              <w:right w:val="nil"/>
            </w:tcBorders>
            <w:shd w:val="clear" w:color="auto" w:fill="E7E6E6"/>
            <w:vAlign w:val="bottom"/>
          </w:tcPr>
          <w:p w14:paraId="7A67AFA1" w14:textId="77777777" w:rsidR="002C6960" w:rsidRPr="002C6960" w:rsidRDefault="002C6960">
            <w:pPr>
              <w:rPr>
                <w:rFonts w:ascii="Century Gothic" w:hAnsi="Century Gothic"/>
                <w:sz w:val="20"/>
                <w:szCs w:val="20"/>
              </w:rPr>
            </w:pPr>
            <w:r w:rsidRPr="002C6960">
              <w:rPr>
                <w:rFonts w:ascii="Century Gothic" w:eastAsia="Calibri" w:hAnsi="Century Gothic"/>
                <w:color w:val="000000" w:themeColor="text1"/>
                <w:sz w:val="20"/>
                <w:szCs w:val="20"/>
              </w:rPr>
              <w:t xml:space="preserve"> $            $803,392</w:t>
            </w:r>
          </w:p>
        </w:tc>
      </w:tr>
    </w:tbl>
    <w:p w14:paraId="5BBE198B" w14:textId="77777777" w:rsidR="00BD1944" w:rsidRDefault="00BD1944" w:rsidP="002C6960">
      <w:pPr>
        <w:pStyle w:val="Heading4"/>
        <w:rPr>
          <w:rFonts w:ascii="Century Gothic" w:hAnsi="Century Gothic" w:cs="Times New Roman"/>
        </w:rPr>
      </w:pPr>
    </w:p>
    <w:p w14:paraId="3213A9A7" w14:textId="688BF18A" w:rsidR="002C6960" w:rsidRPr="002C6960" w:rsidRDefault="002C6960" w:rsidP="002C6960">
      <w:pPr>
        <w:pStyle w:val="Heading4"/>
        <w:rPr>
          <w:rFonts w:ascii="Century Gothic" w:hAnsi="Century Gothic" w:cs="Times New Roman"/>
        </w:rPr>
      </w:pPr>
      <w:r w:rsidRPr="002C6960">
        <w:rPr>
          <w:rFonts w:ascii="Century Gothic" w:hAnsi="Century Gothic" w:cs="Times New Roman"/>
        </w:rPr>
        <w:t>Actual non-significant changes</w:t>
      </w:r>
    </w:p>
    <w:p w14:paraId="376044C2" w14:textId="77777777" w:rsidR="002C6960" w:rsidRPr="002C6960" w:rsidRDefault="002C6960" w:rsidP="002C6960">
      <w:pPr>
        <w:spacing w:after="160" w:line="276" w:lineRule="auto"/>
        <w:rPr>
          <w:rFonts w:ascii="Century Gothic" w:hAnsi="Century Gothic"/>
        </w:rPr>
      </w:pPr>
      <w:r w:rsidRPr="002C6960">
        <w:rPr>
          <w:rFonts w:ascii="Century Gothic" w:hAnsi="Century Gothic"/>
        </w:rPr>
        <w:t>None.</w:t>
      </w:r>
    </w:p>
    <w:p w14:paraId="6287051D" w14:textId="77777777" w:rsidR="002C6960" w:rsidRPr="002C6960" w:rsidRDefault="002C6960" w:rsidP="002C6960">
      <w:pPr>
        <w:pStyle w:val="Heading4"/>
        <w:rPr>
          <w:rFonts w:ascii="Century Gothic" w:hAnsi="Century Gothic" w:cs="Times New Roman"/>
        </w:rPr>
      </w:pPr>
      <w:r w:rsidRPr="002C6960">
        <w:rPr>
          <w:rFonts w:ascii="Century Gothic" w:hAnsi="Century Gothic" w:cs="Times New Roman"/>
        </w:rPr>
        <w:t>Actual significant changes</w:t>
      </w:r>
    </w:p>
    <w:p w14:paraId="70DC0937" w14:textId="77777777" w:rsidR="002C6960" w:rsidRPr="002C6960" w:rsidRDefault="002C6960" w:rsidP="002C6960">
      <w:pPr>
        <w:spacing w:after="160" w:line="276" w:lineRule="auto"/>
        <w:rPr>
          <w:rFonts w:ascii="Century Gothic" w:hAnsi="Century Gothic"/>
        </w:rPr>
      </w:pPr>
      <w:r w:rsidRPr="002C6960">
        <w:rPr>
          <w:rFonts w:ascii="Century Gothic" w:hAnsi="Century Gothic"/>
        </w:rPr>
        <w:t>None.</w:t>
      </w:r>
    </w:p>
    <w:p w14:paraId="367CBC4B" w14:textId="77777777" w:rsidR="002C6960" w:rsidRPr="002C6960" w:rsidRDefault="002C6960" w:rsidP="002C6960">
      <w:pPr>
        <w:rPr>
          <w:rFonts w:ascii="Century Gothic" w:eastAsia="Times" w:hAnsi="Century Gothic" w:cs="Times"/>
          <w:szCs w:val="22"/>
        </w:rPr>
      </w:pPr>
      <w:r w:rsidRPr="002C6960">
        <w:rPr>
          <w:rFonts w:ascii="Century Gothic" w:eastAsia="Times" w:hAnsi="Century Gothic" w:cs="Times"/>
          <w:color w:val="000000" w:themeColor="text1"/>
          <w:szCs w:val="22"/>
        </w:rPr>
        <w:t xml:space="preserve"> </w:t>
      </w:r>
      <w:r w:rsidRPr="002C6960">
        <w:rPr>
          <w:rFonts w:ascii="Century Gothic" w:eastAsia="Times" w:hAnsi="Century Gothic" w:cs="Times"/>
          <w:szCs w:val="22"/>
        </w:rPr>
        <w:t xml:space="preserve">  </w:t>
      </w:r>
    </w:p>
    <w:p w14:paraId="25EDF795" w14:textId="2BCAC26F" w:rsidR="002C6960" w:rsidRDefault="002C6960" w:rsidP="002C6960">
      <w:pPr>
        <w:rPr>
          <w:rFonts w:ascii="Century Gothic" w:eastAsia="Times New Roman" w:hAnsi="Century Gothic"/>
          <w:color w:val="000000" w:themeColor="text1"/>
          <w:sz w:val="23"/>
          <w:szCs w:val="23"/>
        </w:rPr>
      </w:pPr>
    </w:p>
    <w:p w14:paraId="1BCB4D9F" w14:textId="77777777" w:rsidR="00403B3D" w:rsidRDefault="00403B3D" w:rsidP="002C6960">
      <w:pPr>
        <w:rPr>
          <w:rFonts w:ascii="Century Gothic" w:eastAsia="Times New Roman" w:hAnsi="Century Gothic"/>
          <w:color w:val="000000" w:themeColor="text1"/>
          <w:sz w:val="23"/>
          <w:szCs w:val="23"/>
        </w:rPr>
      </w:pPr>
    </w:p>
    <w:p w14:paraId="49EC3C6D" w14:textId="77777777" w:rsidR="00403B3D" w:rsidRDefault="00403B3D" w:rsidP="002C6960">
      <w:pPr>
        <w:rPr>
          <w:rFonts w:ascii="Century Gothic" w:eastAsia="Times New Roman" w:hAnsi="Century Gothic"/>
          <w:color w:val="000000" w:themeColor="text1"/>
          <w:sz w:val="23"/>
          <w:szCs w:val="23"/>
        </w:rPr>
      </w:pPr>
    </w:p>
    <w:p w14:paraId="4B4F2256" w14:textId="77777777" w:rsidR="00403B3D" w:rsidRDefault="00403B3D" w:rsidP="002C6960">
      <w:pPr>
        <w:rPr>
          <w:rFonts w:ascii="Century Gothic" w:eastAsia="Times New Roman" w:hAnsi="Century Gothic"/>
          <w:color w:val="000000" w:themeColor="text1"/>
          <w:sz w:val="23"/>
          <w:szCs w:val="23"/>
        </w:rPr>
      </w:pPr>
    </w:p>
    <w:p w14:paraId="30E9EFD8" w14:textId="77777777" w:rsidR="00403B3D" w:rsidRDefault="00403B3D" w:rsidP="002C6960">
      <w:pPr>
        <w:rPr>
          <w:rFonts w:ascii="Century Gothic" w:eastAsia="Times New Roman" w:hAnsi="Century Gothic"/>
          <w:color w:val="000000" w:themeColor="text1"/>
          <w:sz w:val="23"/>
          <w:szCs w:val="23"/>
        </w:rPr>
      </w:pPr>
    </w:p>
    <w:p w14:paraId="1EA80ADD" w14:textId="77777777" w:rsidR="00403B3D" w:rsidRDefault="00403B3D" w:rsidP="002C6960">
      <w:pPr>
        <w:rPr>
          <w:rFonts w:ascii="Century Gothic" w:eastAsia="Times New Roman" w:hAnsi="Century Gothic"/>
          <w:color w:val="000000" w:themeColor="text1"/>
          <w:sz w:val="23"/>
          <w:szCs w:val="23"/>
        </w:rPr>
      </w:pPr>
    </w:p>
    <w:p w14:paraId="72E12E2B" w14:textId="77777777" w:rsidR="00403B3D" w:rsidRDefault="00403B3D" w:rsidP="002C6960">
      <w:pPr>
        <w:rPr>
          <w:rFonts w:ascii="Century Gothic" w:eastAsia="Times New Roman" w:hAnsi="Century Gothic"/>
          <w:color w:val="000000" w:themeColor="text1"/>
          <w:sz w:val="23"/>
          <w:szCs w:val="23"/>
        </w:rPr>
      </w:pPr>
    </w:p>
    <w:p w14:paraId="73294207" w14:textId="77777777" w:rsidR="00403B3D" w:rsidRDefault="00403B3D" w:rsidP="002C6960">
      <w:pPr>
        <w:rPr>
          <w:rFonts w:ascii="Century Gothic" w:eastAsia="Times New Roman" w:hAnsi="Century Gothic"/>
          <w:color w:val="000000" w:themeColor="text1"/>
          <w:sz w:val="23"/>
          <w:szCs w:val="23"/>
        </w:rPr>
      </w:pPr>
    </w:p>
    <w:p w14:paraId="3527FA44" w14:textId="77777777" w:rsidR="00403B3D" w:rsidRDefault="00403B3D" w:rsidP="002C6960">
      <w:pPr>
        <w:rPr>
          <w:rFonts w:ascii="Century Gothic" w:eastAsia="Times New Roman" w:hAnsi="Century Gothic"/>
          <w:color w:val="000000" w:themeColor="text1"/>
          <w:sz w:val="23"/>
          <w:szCs w:val="23"/>
        </w:rPr>
      </w:pPr>
    </w:p>
    <w:p w14:paraId="5FCFA15A" w14:textId="77777777" w:rsidR="00403B3D" w:rsidRDefault="00403B3D" w:rsidP="002C6960">
      <w:pPr>
        <w:rPr>
          <w:rFonts w:ascii="Century Gothic" w:eastAsia="Times New Roman" w:hAnsi="Century Gothic"/>
          <w:color w:val="000000" w:themeColor="text1"/>
          <w:sz w:val="23"/>
          <w:szCs w:val="23"/>
        </w:rPr>
      </w:pPr>
    </w:p>
    <w:p w14:paraId="2E983CCC" w14:textId="77777777" w:rsidR="00403B3D" w:rsidRDefault="00403B3D" w:rsidP="002C6960">
      <w:pPr>
        <w:rPr>
          <w:rFonts w:ascii="Century Gothic" w:eastAsia="Times New Roman" w:hAnsi="Century Gothic"/>
          <w:color w:val="000000" w:themeColor="text1"/>
          <w:sz w:val="23"/>
          <w:szCs w:val="23"/>
        </w:rPr>
      </w:pPr>
    </w:p>
    <w:p w14:paraId="401E3987" w14:textId="77777777" w:rsidR="00403B3D" w:rsidRDefault="00403B3D" w:rsidP="002C6960">
      <w:pPr>
        <w:rPr>
          <w:rFonts w:ascii="Century Gothic" w:eastAsia="Times New Roman" w:hAnsi="Century Gothic"/>
          <w:color w:val="000000" w:themeColor="text1"/>
          <w:sz w:val="23"/>
          <w:szCs w:val="23"/>
        </w:rPr>
      </w:pPr>
    </w:p>
    <w:p w14:paraId="65823D5C" w14:textId="77777777" w:rsidR="00403B3D" w:rsidRDefault="00403B3D" w:rsidP="002C6960">
      <w:pPr>
        <w:rPr>
          <w:rFonts w:ascii="Century Gothic" w:eastAsia="Times New Roman" w:hAnsi="Century Gothic"/>
          <w:color w:val="000000" w:themeColor="text1"/>
          <w:sz w:val="23"/>
          <w:szCs w:val="23"/>
        </w:rPr>
      </w:pPr>
    </w:p>
    <w:p w14:paraId="46F9B59E" w14:textId="77777777" w:rsidR="00403B3D" w:rsidRDefault="00403B3D" w:rsidP="002C6960">
      <w:pPr>
        <w:rPr>
          <w:rFonts w:ascii="Century Gothic" w:eastAsia="Times New Roman" w:hAnsi="Century Gothic"/>
          <w:color w:val="000000" w:themeColor="text1"/>
          <w:sz w:val="23"/>
          <w:szCs w:val="23"/>
        </w:rPr>
      </w:pPr>
    </w:p>
    <w:p w14:paraId="2F63FD9E" w14:textId="77777777" w:rsidR="00403B3D" w:rsidRPr="00CB7F85" w:rsidRDefault="00403B3D" w:rsidP="00403B3D">
      <w:pPr>
        <w:spacing w:after="160" w:line="276" w:lineRule="auto"/>
        <w:rPr>
          <w:rFonts w:ascii="Century Gothic" w:hAnsi="Century Gothic"/>
          <w:b/>
          <w:bCs/>
          <w:caps/>
          <w:color w:val="404040" w:themeColor="text1" w:themeTint="BF"/>
        </w:rPr>
      </w:pPr>
      <w:r w:rsidRPr="00CB7F85">
        <w:rPr>
          <w:rFonts w:ascii="Century Gothic" w:hAnsi="Century Gothic"/>
          <w:b/>
          <w:bCs/>
        </w:rPr>
        <w:lastRenderedPageBreak/>
        <w:t xml:space="preserve">Initiative 2.7F. </w:t>
      </w:r>
      <w:r w:rsidRPr="00CB7F85">
        <w:rPr>
          <w:rFonts w:ascii="Century Gothic" w:hAnsi="Century Gothic"/>
          <w:b/>
          <w:bCs/>
          <w:caps/>
          <w:color w:val="404040" w:themeColor="text1" w:themeTint="BF"/>
        </w:rPr>
        <w:t>SEHOP Capital Improvement PROGRAM (previously Initiative 4.2F)</w:t>
      </w:r>
    </w:p>
    <w:p w14:paraId="2A05618E" w14:textId="77777777" w:rsidR="00403B3D" w:rsidRPr="00CB7F85" w:rsidRDefault="00403B3D" w:rsidP="00403B3D">
      <w:pPr>
        <w:spacing w:after="160" w:line="276" w:lineRule="auto"/>
        <w:rPr>
          <w:rFonts w:ascii="Century Gothic" w:hAnsi="Century Gothic"/>
          <w:caps/>
          <w:color w:val="404040" w:themeColor="text1" w:themeTint="BF"/>
        </w:rPr>
      </w:pPr>
      <w:r w:rsidRPr="00CB7F85">
        <w:rPr>
          <w:rFonts w:ascii="Century Gothic" w:hAnsi="Century Gothic"/>
          <w:caps/>
          <w:color w:val="404040" w:themeColor="text1" w:themeTint="BF"/>
        </w:rPr>
        <w:t xml:space="preserve">SEHOP Capital Improvement Program </w:t>
      </w:r>
    </w:p>
    <w:p w14:paraId="2B7C3F2E" w14:textId="77777777" w:rsidR="00403B3D" w:rsidRPr="00CB7F85" w:rsidRDefault="00403B3D" w:rsidP="00403B3D">
      <w:pPr>
        <w:rPr>
          <w:rFonts w:ascii="Century Gothic" w:hAnsi="Century Gothic"/>
        </w:rPr>
      </w:pPr>
      <w:r w:rsidRPr="00CB7F85">
        <w:rPr>
          <w:rFonts w:ascii="Century Gothic" w:hAnsi="Century Gothic"/>
        </w:rPr>
        <w:t>Approved and implemented in FY10</w:t>
      </w:r>
    </w:p>
    <w:p w14:paraId="5890A332" w14:textId="77777777" w:rsidR="00403B3D" w:rsidRPr="00CB7F85" w:rsidRDefault="00403B3D" w:rsidP="00403B3D">
      <w:pPr>
        <w:rPr>
          <w:rFonts w:ascii="Century Gothic" w:hAnsi="Century Gothic"/>
        </w:rPr>
      </w:pPr>
    </w:p>
    <w:p w14:paraId="3FD1AD0D" w14:textId="77777777" w:rsidR="00403B3D" w:rsidRPr="00CB7F85" w:rsidRDefault="00403B3D" w:rsidP="00403B3D">
      <w:pPr>
        <w:spacing w:after="160" w:line="276" w:lineRule="auto"/>
        <w:rPr>
          <w:rFonts w:ascii="Century Gothic" w:eastAsiaTheme="majorEastAsia" w:hAnsi="Century Gothic"/>
          <w:b/>
          <w:bCs/>
          <w:color w:val="595959" w:themeColor="text1" w:themeTint="A6"/>
        </w:rPr>
      </w:pPr>
      <w:r w:rsidRPr="00CB7F85">
        <w:rPr>
          <w:rFonts w:ascii="Century Gothic" w:eastAsiaTheme="majorEastAsia" w:hAnsi="Century Gothic"/>
          <w:b/>
          <w:bCs/>
          <w:color w:val="595959" w:themeColor="text1" w:themeTint="A6"/>
        </w:rPr>
        <w:t>Description</w:t>
      </w:r>
    </w:p>
    <w:p w14:paraId="06D487CD" w14:textId="77777777" w:rsidR="00501BAA" w:rsidRDefault="00403B3D" w:rsidP="00403B3D">
      <w:pPr>
        <w:rPr>
          <w:rFonts w:ascii="Century Gothic" w:eastAsia="Calibri" w:hAnsi="Century Gothic"/>
        </w:rPr>
      </w:pPr>
      <w:r w:rsidRPr="00CB7F85">
        <w:rPr>
          <w:rFonts w:ascii="Century Gothic" w:hAnsi="Century Gothic"/>
        </w:rPr>
        <w:t>Implemented in FY10, this program supports SEHOP homeowners with necessary capital improvements that arise after being in the home for a minimum of three years. The program was created to increase the livability and value of recently purchased homes.</w:t>
      </w:r>
      <w:r w:rsidRPr="00CB7F85">
        <w:rPr>
          <w:rFonts w:ascii="Century Gothic" w:eastAsia="Calibri" w:hAnsi="Century Gothic"/>
        </w:rPr>
        <w:t xml:space="preserve">  This program supports new homeowners with necessary capital improvements costing $500.00 or more that arise after being in the home for a minimum of three years. </w:t>
      </w:r>
    </w:p>
    <w:p w14:paraId="0A404484" w14:textId="77777777" w:rsidR="00501BAA" w:rsidRDefault="00501BAA" w:rsidP="00403B3D">
      <w:pPr>
        <w:rPr>
          <w:rFonts w:ascii="Century Gothic" w:eastAsia="Calibri" w:hAnsi="Century Gothic"/>
        </w:rPr>
      </w:pPr>
    </w:p>
    <w:p w14:paraId="69E8972C" w14:textId="341AFBF2" w:rsidR="00403B3D" w:rsidRPr="00CB7F85" w:rsidRDefault="00403B3D" w:rsidP="00403B3D">
      <w:pPr>
        <w:rPr>
          <w:rFonts w:ascii="Century Gothic" w:hAnsi="Century Gothic"/>
        </w:rPr>
      </w:pPr>
      <w:r w:rsidRPr="00CB7F85">
        <w:rPr>
          <w:rFonts w:ascii="Century Gothic" w:hAnsi="Century Gothic"/>
        </w:rPr>
        <w:t xml:space="preserve">On a monthly basis, from the time of a SEHOP homeowner purchase, 1% of the purchase price of the home is deposited into the account to be available for capital improvements.  Homeowners can access the funds after owning the home for three years.   </w:t>
      </w:r>
    </w:p>
    <w:p w14:paraId="1AFC6FD1" w14:textId="77777777" w:rsidR="00403B3D" w:rsidRPr="00CB7F85" w:rsidRDefault="00403B3D" w:rsidP="00403B3D">
      <w:pPr>
        <w:rPr>
          <w:rFonts w:ascii="Century Gothic" w:hAnsi="Century Gothic"/>
          <w:b/>
          <w:bCs/>
        </w:rPr>
      </w:pPr>
    </w:p>
    <w:p w14:paraId="615A6FED" w14:textId="77777777" w:rsidR="00403B3D" w:rsidRPr="00CB7F85" w:rsidRDefault="00403B3D" w:rsidP="00403B3D">
      <w:pPr>
        <w:rPr>
          <w:rFonts w:ascii="Century Gothic" w:eastAsia="Calibri" w:hAnsi="Century Gothic"/>
        </w:rPr>
      </w:pPr>
      <w:r w:rsidRPr="00CB7F85">
        <w:rPr>
          <w:rFonts w:ascii="Century Gothic" w:eastAsia="Calibri" w:hAnsi="Century Gothic"/>
        </w:rPr>
        <w:t xml:space="preserve">Only those SEHOP homeowners with a current contract will have access to the program until the contract expires, or program participation ends.  </w:t>
      </w:r>
    </w:p>
    <w:p w14:paraId="6584D07B" w14:textId="77777777" w:rsidR="00403B3D" w:rsidRPr="00CB7F85" w:rsidRDefault="00403B3D" w:rsidP="00403B3D">
      <w:pPr>
        <w:rPr>
          <w:rFonts w:ascii="Century Gothic" w:hAnsi="Century Gothic"/>
        </w:rPr>
      </w:pPr>
    </w:p>
    <w:p w14:paraId="74931612" w14:textId="77777777" w:rsidR="00536029" w:rsidRDefault="00403B3D" w:rsidP="00403B3D">
      <w:pPr>
        <w:rPr>
          <w:rFonts w:ascii="Century Gothic" w:hAnsi="Century Gothic"/>
        </w:rPr>
      </w:pPr>
      <w:r w:rsidRPr="00CB7F85">
        <w:rPr>
          <w:rFonts w:ascii="Century Gothic" w:hAnsi="Century Gothic"/>
        </w:rPr>
        <w:t>Following an evaluation of the program in FY19, it was recommended that ECC/</w:t>
      </w:r>
      <w:proofErr w:type="gramStart"/>
      <w:r w:rsidRPr="00CB7F85">
        <w:rPr>
          <w:rFonts w:ascii="Century Gothic" w:hAnsi="Century Gothic"/>
        </w:rPr>
        <w:t>HANH would</w:t>
      </w:r>
      <w:proofErr w:type="gramEnd"/>
      <w:r w:rsidRPr="00CB7F85">
        <w:rPr>
          <w:rFonts w:ascii="Century Gothic" w:hAnsi="Century Gothic"/>
        </w:rPr>
        <w:t xml:space="preserve"> phase out and close the SEHOP capital improvement and program and MTW Initiative, with 27 eligible homeowners grandfathered into the benefit at that time.  </w:t>
      </w:r>
    </w:p>
    <w:p w14:paraId="4FE02DE4" w14:textId="77777777" w:rsidR="00536029" w:rsidRDefault="00536029" w:rsidP="00403B3D">
      <w:pPr>
        <w:rPr>
          <w:rFonts w:ascii="Century Gothic" w:hAnsi="Century Gothic"/>
        </w:rPr>
      </w:pPr>
    </w:p>
    <w:p w14:paraId="333EE26A" w14:textId="7991225C" w:rsidR="00403B3D" w:rsidRPr="00CB7F85" w:rsidRDefault="00403B3D" w:rsidP="00403B3D">
      <w:pPr>
        <w:rPr>
          <w:rFonts w:ascii="Century Gothic" w:hAnsi="Century Gothic"/>
        </w:rPr>
      </w:pPr>
      <w:r w:rsidRPr="00CB7F85">
        <w:rPr>
          <w:rFonts w:ascii="Century Gothic" w:eastAsia="Calibri" w:hAnsi="Century Gothic"/>
        </w:rPr>
        <w:t>In reviewing this initiative, ECC/HANH has determined that the need for this service is low. ECC/HANH is closing and phasing out this initiative</w:t>
      </w:r>
      <w:r w:rsidRPr="00CB7F85">
        <w:rPr>
          <w:rFonts w:ascii="Century Gothic" w:hAnsi="Century Gothic"/>
        </w:rPr>
        <w:t xml:space="preserve"> as the program is underutilized and is not directly related to the achievement of any resident self-sufficiency goal or outcome.</w:t>
      </w:r>
      <w:r w:rsidRPr="00CB7F85">
        <w:rPr>
          <w:rFonts w:ascii="Century Gothic" w:eastAsia="Calibri" w:hAnsi="Century Gothic"/>
        </w:rPr>
        <w:t xml:space="preserve">  </w:t>
      </w:r>
    </w:p>
    <w:p w14:paraId="0E80CD49" w14:textId="77777777" w:rsidR="00403B3D" w:rsidRPr="00CB7F85" w:rsidRDefault="00403B3D" w:rsidP="00403B3D">
      <w:pPr>
        <w:rPr>
          <w:rFonts w:ascii="Century Gothic" w:eastAsia="Times New Roman" w:hAnsi="Century Gothic"/>
          <w:szCs w:val="22"/>
        </w:rPr>
      </w:pPr>
      <w:r w:rsidRPr="00CB7F85">
        <w:rPr>
          <w:rFonts w:ascii="Century Gothic" w:eastAsia="Times New Roman" w:hAnsi="Century Gothic"/>
          <w:szCs w:val="22"/>
        </w:rPr>
        <w:t xml:space="preserve"> </w:t>
      </w:r>
    </w:p>
    <w:p w14:paraId="4AC53876" w14:textId="1AB46862" w:rsidR="00536029" w:rsidRDefault="00403B3D" w:rsidP="00403B3D">
      <w:pPr>
        <w:rPr>
          <w:rFonts w:ascii="Century Gothic" w:eastAsia="Times New Roman" w:hAnsi="Century Gothic"/>
        </w:rPr>
      </w:pPr>
      <w:r w:rsidRPr="00CB7F85">
        <w:rPr>
          <w:rFonts w:ascii="Century Gothic" w:eastAsia="Times New Roman" w:hAnsi="Century Gothic"/>
        </w:rPr>
        <w:t xml:space="preserve">Since the review of this initiative, the SEHOP contract has expired for ten 10 </w:t>
      </w:r>
      <w:r w:rsidR="001669CB" w:rsidRPr="00CB7F85">
        <w:rPr>
          <w:rFonts w:ascii="Century Gothic" w:eastAsia="Times New Roman" w:hAnsi="Century Gothic"/>
        </w:rPr>
        <w:t>households,</w:t>
      </w:r>
      <w:r w:rsidRPr="00CB7F85">
        <w:rPr>
          <w:rFonts w:ascii="Century Gothic" w:eastAsia="Times New Roman" w:hAnsi="Century Gothic"/>
        </w:rPr>
        <w:t xml:space="preserve"> and 17 </w:t>
      </w:r>
      <w:r w:rsidR="002B0C27" w:rsidRPr="00CB7F85">
        <w:rPr>
          <w:rFonts w:ascii="Century Gothic" w:eastAsia="Times New Roman" w:hAnsi="Century Gothic"/>
        </w:rPr>
        <w:t>households</w:t>
      </w:r>
      <w:r w:rsidRPr="00CB7F85">
        <w:rPr>
          <w:rFonts w:ascii="Century Gothic" w:eastAsia="Times New Roman" w:hAnsi="Century Gothic"/>
        </w:rPr>
        <w:t xml:space="preserve"> remain eligible. </w:t>
      </w:r>
    </w:p>
    <w:p w14:paraId="6A9036C2" w14:textId="77777777" w:rsidR="00A678C4" w:rsidRDefault="00A678C4" w:rsidP="000052FC">
      <w:pPr>
        <w:rPr>
          <w:rFonts w:ascii="Century Gothic" w:eastAsia="MS PGothic" w:hAnsi="Century Gothic"/>
        </w:rPr>
      </w:pPr>
    </w:p>
    <w:p w14:paraId="2ED68316" w14:textId="4502D15C" w:rsidR="000052FC" w:rsidRPr="00CB7F85" w:rsidRDefault="000052FC" w:rsidP="000052FC">
      <w:pPr>
        <w:rPr>
          <w:rFonts w:ascii="Century Gothic" w:eastAsia="MS PGothic" w:hAnsi="Century Gothic"/>
          <w:color w:val="000000" w:themeColor="text1"/>
        </w:rPr>
      </w:pPr>
      <w:r w:rsidRPr="00CB7F85">
        <w:rPr>
          <w:rFonts w:ascii="Century Gothic" w:eastAsia="Times New Roman" w:hAnsi="Century Gothic"/>
          <w:color w:val="000000" w:themeColor="text1"/>
        </w:rPr>
        <w:t>In FY24, the CED Department hosted an annual meeting to discuss the program and the ways homeowners can utilize the funds. As a result of this meeting, one</w:t>
      </w:r>
      <w:r w:rsidRPr="00CB7F85">
        <w:rPr>
          <w:rFonts w:ascii="Century Gothic" w:eastAsia="Times New Roman" w:hAnsi="Century Gothic"/>
        </w:rPr>
        <w:t xml:space="preserve"> household received a </w:t>
      </w:r>
      <w:r w:rsidRPr="00CB7F85">
        <w:rPr>
          <w:rFonts w:ascii="Century Gothic" w:eastAsia="Times New Roman" w:hAnsi="Century Gothic"/>
          <w:color w:val="000000" w:themeColor="text1"/>
        </w:rPr>
        <w:t xml:space="preserve">disbursement of $3,450 to take care of a water heater replacement in the home. The improvements </w:t>
      </w:r>
      <w:r w:rsidR="001669CB" w:rsidRPr="00CB7F85">
        <w:rPr>
          <w:rFonts w:ascii="Century Gothic" w:eastAsia="Times New Roman" w:hAnsi="Century Gothic"/>
          <w:color w:val="000000" w:themeColor="text1"/>
        </w:rPr>
        <w:t>made</w:t>
      </w:r>
      <w:r w:rsidRPr="00CB7F85">
        <w:rPr>
          <w:rFonts w:ascii="Century Gothic" w:eastAsia="Times New Roman" w:hAnsi="Century Gothic"/>
          <w:color w:val="000000" w:themeColor="text1"/>
        </w:rPr>
        <w:t xml:space="preserve"> allowed the resident to regain hot water and heat in her home.</w:t>
      </w:r>
      <w:r>
        <w:rPr>
          <w:rFonts w:ascii="Century Gothic" w:eastAsia="Times New Roman" w:hAnsi="Century Gothic"/>
          <w:color w:val="000000" w:themeColor="text1"/>
        </w:rPr>
        <w:t xml:space="preserve"> The balance in the account is </w:t>
      </w:r>
      <w:r w:rsidR="00A678C4">
        <w:rPr>
          <w:rFonts w:ascii="Century Gothic" w:eastAsia="Times New Roman" w:hAnsi="Century Gothic"/>
          <w:color w:val="000000" w:themeColor="text1"/>
        </w:rPr>
        <w:t>$254,59.</w:t>
      </w:r>
    </w:p>
    <w:p w14:paraId="5FFE7452" w14:textId="77777777" w:rsidR="00403B3D" w:rsidRPr="00CB7F85" w:rsidRDefault="00403B3D" w:rsidP="00403B3D">
      <w:pPr>
        <w:rPr>
          <w:rFonts w:ascii="Century Gothic" w:hAnsi="Century Gothic"/>
          <w:szCs w:val="22"/>
        </w:rPr>
      </w:pPr>
    </w:p>
    <w:p w14:paraId="3FC15DF5" w14:textId="77777777" w:rsidR="00403B3D" w:rsidRPr="007C310C" w:rsidRDefault="00403B3D" w:rsidP="00403B3D">
      <w:pPr>
        <w:jc w:val="center"/>
        <w:rPr>
          <w:rFonts w:ascii="Century Gothic" w:eastAsia="Times New Roman" w:hAnsi="Century Gothic"/>
          <w:b/>
          <w:bCs/>
        </w:rPr>
      </w:pPr>
      <w:r w:rsidRPr="007C310C">
        <w:rPr>
          <w:rFonts w:ascii="Century Gothic" w:eastAsia="Times New Roman" w:hAnsi="Century Gothic"/>
          <w:b/>
          <w:bCs/>
        </w:rPr>
        <w:t>FY24 SEHOP Capital Improvement</w:t>
      </w:r>
    </w:p>
    <w:tbl>
      <w:tblPr>
        <w:tblStyle w:val="TableGrid"/>
        <w:tblW w:w="0" w:type="auto"/>
        <w:tblInd w:w="60" w:type="dxa"/>
        <w:tblLayout w:type="fixed"/>
        <w:tblLook w:val="04A0" w:firstRow="1" w:lastRow="0" w:firstColumn="1" w:lastColumn="0" w:noHBand="0" w:noVBand="1"/>
      </w:tblPr>
      <w:tblGrid>
        <w:gridCol w:w="3060"/>
        <w:gridCol w:w="3060"/>
        <w:gridCol w:w="3360"/>
      </w:tblGrid>
      <w:tr w:rsidR="00403B3D" w:rsidRPr="00CB7F85" w14:paraId="04CF23F9" w14:textId="77777777">
        <w:tc>
          <w:tcPr>
            <w:tcW w:w="3060" w:type="dxa"/>
            <w:tcBorders>
              <w:top w:val="single" w:sz="8" w:space="0" w:color="auto"/>
              <w:left w:val="single" w:sz="8" w:space="0" w:color="auto"/>
              <w:bottom w:val="single" w:sz="8" w:space="0" w:color="auto"/>
              <w:right w:val="single" w:sz="8" w:space="0" w:color="auto"/>
            </w:tcBorders>
          </w:tcPr>
          <w:p w14:paraId="783E569E" w14:textId="77777777" w:rsidR="00403B3D" w:rsidRPr="00CB7F85" w:rsidRDefault="00403B3D">
            <w:pPr>
              <w:rPr>
                <w:rFonts w:ascii="Century Gothic" w:eastAsia="Times New Roman" w:hAnsi="Century Gothic"/>
              </w:rPr>
            </w:pPr>
            <w:r w:rsidRPr="00CB7F85">
              <w:rPr>
                <w:rFonts w:ascii="Century Gothic" w:eastAsia="Times New Roman" w:hAnsi="Century Gothic"/>
              </w:rPr>
              <w:t>Number of Households</w:t>
            </w:r>
          </w:p>
        </w:tc>
        <w:tc>
          <w:tcPr>
            <w:tcW w:w="3060" w:type="dxa"/>
            <w:tcBorders>
              <w:top w:val="single" w:sz="8" w:space="0" w:color="auto"/>
              <w:left w:val="single" w:sz="8" w:space="0" w:color="auto"/>
              <w:bottom w:val="single" w:sz="8" w:space="0" w:color="auto"/>
              <w:right w:val="single" w:sz="8" w:space="0" w:color="auto"/>
            </w:tcBorders>
          </w:tcPr>
          <w:p w14:paraId="0A8DEAB5" w14:textId="77777777" w:rsidR="00403B3D" w:rsidRPr="00CB7F85" w:rsidRDefault="00403B3D">
            <w:pPr>
              <w:rPr>
                <w:rFonts w:ascii="Century Gothic" w:eastAsia="Times New Roman" w:hAnsi="Century Gothic"/>
              </w:rPr>
            </w:pPr>
            <w:r w:rsidRPr="00CB7F85">
              <w:rPr>
                <w:rFonts w:ascii="Century Gothic" w:eastAsia="Times New Roman" w:hAnsi="Century Gothic"/>
              </w:rPr>
              <w:t xml:space="preserve">Amount Disbursed </w:t>
            </w:r>
          </w:p>
        </w:tc>
        <w:tc>
          <w:tcPr>
            <w:tcW w:w="3360" w:type="dxa"/>
            <w:tcBorders>
              <w:top w:val="single" w:sz="8" w:space="0" w:color="auto"/>
              <w:left w:val="single" w:sz="8" w:space="0" w:color="auto"/>
              <w:bottom w:val="single" w:sz="8" w:space="0" w:color="auto"/>
              <w:right w:val="single" w:sz="8" w:space="0" w:color="auto"/>
            </w:tcBorders>
          </w:tcPr>
          <w:p w14:paraId="0171C640" w14:textId="77777777" w:rsidR="00403B3D" w:rsidRPr="00CB7F85" w:rsidRDefault="00403B3D">
            <w:pPr>
              <w:rPr>
                <w:rFonts w:ascii="Century Gothic" w:eastAsia="Times New Roman" w:hAnsi="Century Gothic"/>
              </w:rPr>
            </w:pPr>
            <w:r w:rsidRPr="00CB7F85">
              <w:rPr>
                <w:rFonts w:ascii="Century Gothic" w:eastAsia="Times New Roman" w:hAnsi="Century Gothic"/>
              </w:rPr>
              <w:t xml:space="preserve">Capital Improvement Balance </w:t>
            </w:r>
          </w:p>
        </w:tc>
      </w:tr>
      <w:tr w:rsidR="00403B3D" w:rsidRPr="00CB7F85" w14:paraId="3DDFB0F3" w14:textId="77777777">
        <w:trPr>
          <w:trHeight w:val="465"/>
        </w:trPr>
        <w:tc>
          <w:tcPr>
            <w:tcW w:w="3060" w:type="dxa"/>
            <w:tcBorders>
              <w:top w:val="single" w:sz="8" w:space="0" w:color="auto"/>
              <w:left w:val="single" w:sz="8" w:space="0" w:color="auto"/>
              <w:bottom w:val="single" w:sz="8" w:space="0" w:color="auto"/>
              <w:right w:val="single" w:sz="8" w:space="0" w:color="auto"/>
            </w:tcBorders>
          </w:tcPr>
          <w:p w14:paraId="19A3CD12" w14:textId="77777777" w:rsidR="00403B3D" w:rsidRPr="00CB7F85" w:rsidRDefault="00403B3D">
            <w:pPr>
              <w:rPr>
                <w:rFonts w:ascii="Century Gothic" w:eastAsia="Times New Roman" w:hAnsi="Century Gothic"/>
              </w:rPr>
            </w:pPr>
            <w:r w:rsidRPr="00CB7F85">
              <w:rPr>
                <w:rFonts w:ascii="Century Gothic" w:eastAsia="Times New Roman" w:hAnsi="Century Gothic"/>
              </w:rPr>
              <w:t xml:space="preserve">1 </w:t>
            </w:r>
          </w:p>
        </w:tc>
        <w:tc>
          <w:tcPr>
            <w:tcW w:w="3060" w:type="dxa"/>
            <w:tcBorders>
              <w:top w:val="single" w:sz="8" w:space="0" w:color="auto"/>
              <w:left w:val="single" w:sz="8" w:space="0" w:color="auto"/>
              <w:bottom w:val="single" w:sz="8" w:space="0" w:color="auto"/>
              <w:right w:val="single" w:sz="8" w:space="0" w:color="auto"/>
            </w:tcBorders>
          </w:tcPr>
          <w:p w14:paraId="3BFEE0B2" w14:textId="77777777" w:rsidR="00403B3D" w:rsidRPr="00CB7F85" w:rsidRDefault="00403B3D">
            <w:pPr>
              <w:rPr>
                <w:rFonts w:ascii="Century Gothic" w:eastAsia="Times New Roman" w:hAnsi="Century Gothic"/>
              </w:rPr>
            </w:pPr>
            <w:r w:rsidRPr="00CB7F85">
              <w:rPr>
                <w:rFonts w:ascii="Century Gothic" w:eastAsia="Times New Roman" w:hAnsi="Century Gothic"/>
              </w:rPr>
              <w:t>$3,450 to one household</w:t>
            </w:r>
          </w:p>
        </w:tc>
        <w:tc>
          <w:tcPr>
            <w:tcW w:w="3360" w:type="dxa"/>
            <w:tcBorders>
              <w:top w:val="single" w:sz="8" w:space="0" w:color="auto"/>
              <w:left w:val="single" w:sz="8" w:space="0" w:color="auto"/>
              <w:bottom w:val="single" w:sz="8" w:space="0" w:color="auto"/>
              <w:right w:val="single" w:sz="8" w:space="0" w:color="auto"/>
            </w:tcBorders>
          </w:tcPr>
          <w:p w14:paraId="3BFEED3A" w14:textId="1E5A4E94" w:rsidR="00403B3D" w:rsidRPr="00CB7F85" w:rsidRDefault="00403B3D">
            <w:pPr>
              <w:rPr>
                <w:rFonts w:ascii="Century Gothic" w:eastAsia="Times New Roman" w:hAnsi="Century Gothic"/>
              </w:rPr>
            </w:pPr>
            <w:r w:rsidRPr="00CB7F85">
              <w:rPr>
                <w:rFonts w:ascii="Century Gothic" w:eastAsia="Times New Roman" w:hAnsi="Century Gothic"/>
              </w:rPr>
              <w:t>$254,591</w:t>
            </w:r>
          </w:p>
        </w:tc>
      </w:tr>
    </w:tbl>
    <w:p w14:paraId="49941CD0" w14:textId="77777777" w:rsidR="00403B3D" w:rsidRPr="00CB7F85" w:rsidRDefault="00403B3D" w:rsidP="00403B3D">
      <w:pPr>
        <w:rPr>
          <w:rFonts w:ascii="Century Gothic" w:eastAsia="Times New Roman" w:hAnsi="Century Gothic"/>
        </w:rPr>
      </w:pPr>
      <w:r w:rsidRPr="00CB7F85">
        <w:rPr>
          <w:rFonts w:ascii="Century Gothic" w:eastAsia="Times New Roman" w:hAnsi="Century Gothic"/>
        </w:rPr>
        <w:t xml:space="preserve"> </w:t>
      </w:r>
    </w:p>
    <w:p w14:paraId="76CDE4C6" w14:textId="77777777" w:rsidR="007C310C" w:rsidRDefault="007C310C" w:rsidP="007C310C">
      <w:pPr>
        <w:spacing w:line="264" w:lineRule="auto"/>
        <w:jc w:val="both"/>
        <w:rPr>
          <w:rFonts w:ascii="Century Gothic" w:eastAsia="Times New Roman" w:hAnsi="Century Gothic"/>
          <w:color w:val="000000" w:themeColor="text1"/>
        </w:rPr>
      </w:pPr>
      <w:r w:rsidRPr="00CB7F85">
        <w:rPr>
          <w:rFonts w:ascii="Century Gothic" w:eastAsia="Times New Roman" w:hAnsi="Century Gothic"/>
          <w:color w:val="000000" w:themeColor="text1"/>
        </w:rPr>
        <w:t>Since the inception of the program, eleven (11) households received disbursement for various capital improvements such as HVAC, plumbing, foundation, tree removal, demolition, ADA compliance, deck and stair replacement with the total cost of improvements at $94,914.73.</w:t>
      </w:r>
    </w:p>
    <w:p w14:paraId="6BF4A6F7" w14:textId="77777777" w:rsidR="00C0480C" w:rsidRDefault="00C0480C" w:rsidP="007C310C">
      <w:pPr>
        <w:spacing w:line="264" w:lineRule="auto"/>
        <w:jc w:val="both"/>
        <w:rPr>
          <w:rFonts w:ascii="Century Gothic" w:eastAsia="Times New Roman" w:hAnsi="Century Gothic"/>
          <w:color w:val="000000" w:themeColor="text1"/>
        </w:rPr>
      </w:pPr>
    </w:p>
    <w:p w14:paraId="7E5C5520" w14:textId="77777777" w:rsidR="00427BA6" w:rsidRDefault="00427BA6" w:rsidP="007C310C">
      <w:pPr>
        <w:spacing w:line="264" w:lineRule="auto"/>
        <w:jc w:val="both"/>
        <w:rPr>
          <w:rFonts w:ascii="Century Gothic" w:eastAsia="Times New Roman" w:hAnsi="Century Gothic"/>
          <w:color w:val="000000" w:themeColor="text1"/>
        </w:rPr>
      </w:pPr>
    </w:p>
    <w:p w14:paraId="601F1D1B" w14:textId="77777777" w:rsidR="00427BA6" w:rsidRPr="00CB7F85" w:rsidRDefault="00427BA6" w:rsidP="007C310C">
      <w:pPr>
        <w:spacing w:line="264" w:lineRule="auto"/>
        <w:jc w:val="both"/>
        <w:rPr>
          <w:rFonts w:ascii="Century Gothic" w:eastAsia="Times New Roman" w:hAnsi="Century Gothic"/>
          <w:color w:val="000000" w:themeColor="text1"/>
        </w:rPr>
      </w:pPr>
    </w:p>
    <w:p w14:paraId="0682FA70" w14:textId="77777777" w:rsidR="00403B3D" w:rsidRPr="00CB7F85" w:rsidRDefault="00403B3D" w:rsidP="00403B3D">
      <w:pPr>
        <w:spacing w:line="264" w:lineRule="auto"/>
        <w:jc w:val="both"/>
        <w:rPr>
          <w:rFonts w:ascii="Century Gothic" w:eastAsia="Times New Roman" w:hAnsi="Century Gothic"/>
          <w:color w:val="000000" w:themeColor="text1"/>
          <w:sz w:val="24"/>
        </w:rPr>
      </w:pPr>
    </w:p>
    <w:p w14:paraId="69CE4120" w14:textId="77777777" w:rsidR="00403B3D" w:rsidRPr="00CB7F85" w:rsidRDefault="00403B3D" w:rsidP="00403B3D">
      <w:pPr>
        <w:jc w:val="center"/>
        <w:rPr>
          <w:rFonts w:ascii="Century Gothic" w:eastAsia="Times New Roman" w:hAnsi="Century Gothic"/>
        </w:rPr>
      </w:pPr>
      <w:r w:rsidRPr="00CB7F85">
        <w:rPr>
          <w:rFonts w:ascii="Century Gothic" w:eastAsia="Times New Roman" w:hAnsi="Century Gothic"/>
        </w:rPr>
        <w:lastRenderedPageBreak/>
        <w:t>Overall SEHOP Capital Improvement</w:t>
      </w:r>
    </w:p>
    <w:tbl>
      <w:tblPr>
        <w:tblStyle w:val="TableGrid"/>
        <w:tblW w:w="0" w:type="auto"/>
        <w:tblInd w:w="60" w:type="dxa"/>
        <w:tblLayout w:type="fixed"/>
        <w:tblLook w:val="04A0" w:firstRow="1" w:lastRow="0" w:firstColumn="1" w:lastColumn="0" w:noHBand="0" w:noVBand="1"/>
      </w:tblPr>
      <w:tblGrid>
        <w:gridCol w:w="3060"/>
        <w:gridCol w:w="3270"/>
        <w:gridCol w:w="3240"/>
      </w:tblGrid>
      <w:tr w:rsidR="00403B3D" w:rsidRPr="00CB7F85" w14:paraId="4C22A2C8" w14:textId="77777777">
        <w:tc>
          <w:tcPr>
            <w:tcW w:w="3060" w:type="dxa"/>
            <w:tcBorders>
              <w:top w:val="single" w:sz="8" w:space="0" w:color="auto"/>
              <w:left w:val="single" w:sz="8" w:space="0" w:color="auto"/>
              <w:bottom w:val="single" w:sz="8" w:space="0" w:color="auto"/>
              <w:right w:val="single" w:sz="8" w:space="0" w:color="auto"/>
            </w:tcBorders>
          </w:tcPr>
          <w:p w14:paraId="28A5496F" w14:textId="77777777" w:rsidR="00403B3D" w:rsidRPr="00CB7F85" w:rsidRDefault="00403B3D">
            <w:pPr>
              <w:rPr>
                <w:rFonts w:ascii="Century Gothic" w:eastAsia="Times New Roman" w:hAnsi="Century Gothic"/>
              </w:rPr>
            </w:pPr>
            <w:r w:rsidRPr="00CB7F85">
              <w:rPr>
                <w:rFonts w:ascii="Century Gothic" w:eastAsia="Times New Roman" w:hAnsi="Century Gothic"/>
              </w:rPr>
              <w:t>Number of Households</w:t>
            </w:r>
          </w:p>
        </w:tc>
        <w:tc>
          <w:tcPr>
            <w:tcW w:w="3270" w:type="dxa"/>
            <w:tcBorders>
              <w:top w:val="single" w:sz="8" w:space="0" w:color="auto"/>
              <w:left w:val="single" w:sz="8" w:space="0" w:color="auto"/>
              <w:bottom w:val="single" w:sz="8" w:space="0" w:color="auto"/>
              <w:right w:val="single" w:sz="8" w:space="0" w:color="auto"/>
            </w:tcBorders>
          </w:tcPr>
          <w:p w14:paraId="67FEF4DF" w14:textId="77777777" w:rsidR="00403B3D" w:rsidRPr="00CB7F85" w:rsidRDefault="00403B3D">
            <w:pPr>
              <w:rPr>
                <w:rFonts w:ascii="Century Gothic" w:eastAsia="Times New Roman" w:hAnsi="Century Gothic"/>
              </w:rPr>
            </w:pPr>
            <w:r w:rsidRPr="00CB7F85">
              <w:rPr>
                <w:rFonts w:ascii="Century Gothic" w:eastAsia="Times New Roman" w:hAnsi="Century Gothic"/>
              </w:rPr>
              <w:t>Total Amount Disbursed Since Program Started to Date</w:t>
            </w:r>
          </w:p>
        </w:tc>
        <w:tc>
          <w:tcPr>
            <w:tcW w:w="3240" w:type="dxa"/>
            <w:tcBorders>
              <w:top w:val="single" w:sz="8" w:space="0" w:color="auto"/>
              <w:left w:val="single" w:sz="8" w:space="0" w:color="auto"/>
              <w:bottom w:val="single" w:sz="8" w:space="0" w:color="auto"/>
              <w:right w:val="single" w:sz="8" w:space="0" w:color="auto"/>
            </w:tcBorders>
          </w:tcPr>
          <w:p w14:paraId="3B050F24" w14:textId="77777777" w:rsidR="00403B3D" w:rsidRPr="00CB7F85" w:rsidRDefault="00403B3D">
            <w:pPr>
              <w:rPr>
                <w:rFonts w:ascii="Century Gothic" w:eastAsia="Times New Roman" w:hAnsi="Century Gothic"/>
              </w:rPr>
            </w:pPr>
            <w:r w:rsidRPr="00CB7F85">
              <w:rPr>
                <w:rFonts w:ascii="Century Gothic" w:eastAsia="Times New Roman" w:hAnsi="Century Gothic"/>
              </w:rPr>
              <w:t>Times Utilized</w:t>
            </w:r>
          </w:p>
        </w:tc>
      </w:tr>
      <w:tr w:rsidR="00403B3D" w:rsidRPr="00CB7F85" w14:paraId="1A18421C" w14:textId="77777777">
        <w:tc>
          <w:tcPr>
            <w:tcW w:w="3060" w:type="dxa"/>
            <w:tcBorders>
              <w:top w:val="single" w:sz="8" w:space="0" w:color="auto"/>
              <w:left w:val="single" w:sz="8" w:space="0" w:color="auto"/>
              <w:bottom w:val="single" w:sz="8" w:space="0" w:color="auto"/>
              <w:right w:val="single" w:sz="8" w:space="0" w:color="auto"/>
            </w:tcBorders>
          </w:tcPr>
          <w:p w14:paraId="67CBB02A" w14:textId="77777777" w:rsidR="00403B3D" w:rsidRPr="00CB7F85" w:rsidRDefault="00403B3D">
            <w:pPr>
              <w:rPr>
                <w:rFonts w:ascii="Century Gothic" w:eastAsia="Times New Roman" w:hAnsi="Century Gothic"/>
              </w:rPr>
            </w:pPr>
            <w:r w:rsidRPr="00CB7F85">
              <w:rPr>
                <w:rFonts w:ascii="Century Gothic" w:eastAsia="Times New Roman" w:hAnsi="Century Gothic"/>
              </w:rPr>
              <w:t>11</w:t>
            </w:r>
          </w:p>
        </w:tc>
        <w:tc>
          <w:tcPr>
            <w:tcW w:w="3270" w:type="dxa"/>
            <w:tcBorders>
              <w:top w:val="single" w:sz="8" w:space="0" w:color="auto"/>
              <w:left w:val="single" w:sz="8" w:space="0" w:color="auto"/>
              <w:bottom w:val="single" w:sz="8" w:space="0" w:color="auto"/>
              <w:right w:val="single" w:sz="8" w:space="0" w:color="auto"/>
            </w:tcBorders>
          </w:tcPr>
          <w:p w14:paraId="0C322F7A" w14:textId="77777777" w:rsidR="00403B3D" w:rsidRPr="00CB7F85" w:rsidRDefault="00403B3D">
            <w:pPr>
              <w:rPr>
                <w:rFonts w:ascii="Century Gothic" w:eastAsia="Times New Roman" w:hAnsi="Century Gothic"/>
              </w:rPr>
            </w:pPr>
            <w:r w:rsidRPr="00CB7F85">
              <w:rPr>
                <w:rFonts w:ascii="Century Gothic" w:eastAsia="Times New Roman" w:hAnsi="Century Gothic"/>
                <w:sz w:val="24"/>
              </w:rPr>
              <w:t xml:space="preserve">$94,914.73 </w:t>
            </w:r>
            <w:r w:rsidRPr="00CB7F85">
              <w:rPr>
                <w:rFonts w:ascii="Century Gothic" w:eastAsia="Times New Roman" w:hAnsi="Century Gothic"/>
              </w:rPr>
              <w:t xml:space="preserve"> </w:t>
            </w:r>
          </w:p>
        </w:tc>
        <w:tc>
          <w:tcPr>
            <w:tcW w:w="3240" w:type="dxa"/>
            <w:tcBorders>
              <w:top w:val="single" w:sz="8" w:space="0" w:color="auto"/>
              <w:left w:val="single" w:sz="8" w:space="0" w:color="auto"/>
              <w:bottom w:val="single" w:sz="8" w:space="0" w:color="auto"/>
              <w:right w:val="single" w:sz="8" w:space="0" w:color="auto"/>
            </w:tcBorders>
          </w:tcPr>
          <w:p w14:paraId="7C54043A" w14:textId="77777777" w:rsidR="00403B3D" w:rsidRPr="00CB7F85" w:rsidRDefault="00403B3D">
            <w:pPr>
              <w:rPr>
                <w:rFonts w:ascii="Century Gothic" w:eastAsia="Times New Roman" w:hAnsi="Century Gothic"/>
              </w:rPr>
            </w:pPr>
            <w:r w:rsidRPr="00CB7F85">
              <w:rPr>
                <w:rFonts w:ascii="Century Gothic" w:eastAsia="Times New Roman" w:hAnsi="Century Gothic"/>
              </w:rPr>
              <w:t>6 households utilized once</w:t>
            </w:r>
          </w:p>
          <w:p w14:paraId="3E332C04" w14:textId="77777777" w:rsidR="00403B3D" w:rsidRPr="00CB7F85" w:rsidRDefault="00403B3D">
            <w:pPr>
              <w:rPr>
                <w:rFonts w:ascii="Century Gothic" w:eastAsia="Times New Roman" w:hAnsi="Century Gothic"/>
              </w:rPr>
            </w:pPr>
            <w:r w:rsidRPr="00CB7F85">
              <w:rPr>
                <w:rFonts w:ascii="Century Gothic" w:eastAsia="Times New Roman" w:hAnsi="Century Gothic"/>
              </w:rPr>
              <w:t>3 households twice</w:t>
            </w:r>
          </w:p>
          <w:p w14:paraId="4C2C7489" w14:textId="77777777" w:rsidR="00403B3D" w:rsidRPr="00CB7F85" w:rsidRDefault="00403B3D">
            <w:pPr>
              <w:rPr>
                <w:rFonts w:ascii="Century Gothic" w:eastAsia="Times New Roman" w:hAnsi="Century Gothic"/>
              </w:rPr>
            </w:pPr>
            <w:r w:rsidRPr="00CB7F85">
              <w:rPr>
                <w:rFonts w:ascii="Century Gothic" w:eastAsia="Times New Roman" w:hAnsi="Century Gothic"/>
              </w:rPr>
              <w:t>1 household utilized three times</w:t>
            </w:r>
          </w:p>
          <w:p w14:paraId="607F98DD" w14:textId="77777777" w:rsidR="00403B3D" w:rsidRPr="00CB7F85" w:rsidRDefault="00403B3D">
            <w:pPr>
              <w:rPr>
                <w:rFonts w:ascii="Century Gothic" w:eastAsia="Times New Roman" w:hAnsi="Century Gothic"/>
              </w:rPr>
            </w:pPr>
            <w:r w:rsidRPr="00CB7F85">
              <w:rPr>
                <w:rFonts w:ascii="Century Gothic" w:eastAsia="Times New Roman" w:hAnsi="Century Gothic"/>
              </w:rPr>
              <w:t>1 household utilized four times</w:t>
            </w:r>
          </w:p>
        </w:tc>
      </w:tr>
    </w:tbl>
    <w:p w14:paraId="2FACEE43" w14:textId="77777777" w:rsidR="00403B3D" w:rsidRPr="00CB7F85" w:rsidRDefault="00403B3D" w:rsidP="00403B3D">
      <w:pPr>
        <w:rPr>
          <w:rFonts w:ascii="Century Gothic" w:eastAsia="Times New Roman" w:hAnsi="Century Gothic"/>
        </w:rPr>
      </w:pPr>
      <w:r w:rsidRPr="00CB7F85">
        <w:rPr>
          <w:rFonts w:ascii="Century Gothic" w:eastAsia="Times New Roman" w:hAnsi="Century Gothic"/>
        </w:rPr>
        <w:t xml:space="preserve"> </w:t>
      </w:r>
    </w:p>
    <w:p w14:paraId="183D3BC3" w14:textId="77777777" w:rsidR="00403B3D" w:rsidRPr="00CB7F85" w:rsidRDefault="00403B3D" w:rsidP="00403B3D">
      <w:pPr>
        <w:pStyle w:val="Heading4"/>
        <w:rPr>
          <w:rFonts w:ascii="Century Gothic" w:hAnsi="Century Gothic" w:cs="Times New Roman"/>
        </w:rPr>
      </w:pPr>
      <w:r w:rsidRPr="00CB7F85">
        <w:rPr>
          <w:rFonts w:ascii="Century Gothic" w:hAnsi="Century Gothic" w:cs="Times New Roman"/>
        </w:rPr>
        <w:t>Actual non-significant changes</w:t>
      </w:r>
    </w:p>
    <w:p w14:paraId="002A5CE5" w14:textId="77777777" w:rsidR="00403B3D" w:rsidRPr="00CB7F85" w:rsidRDefault="00403B3D" w:rsidP="00403B3D">
      <w:pPr>
        <w:spacing w:after="160" w:line="276" w:lineRule="auto"/>
        <w:rPr>
          <w:rFonts w:ascii="Century Gothic" w:hAnsi="Century Gothic"/>
        </w:rPr>
      </w:pPr>
      <w:r w:rsidRPr="00CB7F85">
        <w:rPr>
          <w:rFonts w:ascii="Century Gothic" w:hAnsi="Century Gothic"/>
        </w:rPr>
        <w:t>None.</w:t>
      </w:r>
    </w:p>
    <w:p w14:paraId="435DEED4" w14:textId="77777777" w:rsidR="00403B3D" w:rsidRPr="00CB7F85" w:rsidRDefault="00403B3D" w:rsidP="00403B3D">
      <w:pPr>
        <w:pStyle w:val="Heading4"/>
        <w:rPr>
          <w:rFonts w:ascii="Century Gothic" w:hAnsi="Century Gothic" w:cs="Times New Roman"/>
        </w:rPr>
      </w:pPr>
      <w:r w:rsidRPr="00CB7F85">
        <w:rPr>
          <w:rFonts w:ascii="Century Gothic" w:hAnsi="Century Gothic" w:cs="Times New Roman"/>
        </w:rPr>
        <w:t>Actual significant changes</w:t>
      </w:r>
    </w:p>
    <w:p w14:paraId="05A004D3" w14:textId="77777777" w:rsidR="00403B3D" w:rsidRPr="00CB7F85" w:rsidRDefault="00403B3D" w:rsidP="00403B3D">
      <w:pPr>
        <w:spacing w:after="160" w:line="276" w:lineRule="auto"/>
        <w:rPr>
          <w:rFonts w:ascii="Century Gothic" w:hAnsi="Century Gothic"/>
        </w:rPr>
      </w:pPr>
      <w:r w:rsidRPr="00CB7F85">
        <w:rPr>
          <w:rFonts w:ascii="Century Gothic" w:hAnsi="Century Gothic"/>
        </w:rPr>
        <w:t>None.</w:t>
      </w:r>
    </w:p>
    <w:p w14:paraId="1EDA698B" w14:textId="77777777" w:rsidR="002C6960" w:rsidRPr="00CB7F85" w:rsidRDefault="002C6960" w:rsidP="492303B8">
      <w:pPr>
        <w:rPr>
          <w:rFonts w:ascii="Century Gothic" w:eastAsia="Times New Roman" w:hAnsi="Century Gothic"/>
        </w:rPr>
      </w:pPr>
    </w:p>
    <w:p w14:paraId="6104D001" w14:textId="77777777" w:rsidR="002C6960" w:rsidRDefault="002C6960" w:rsidP="492303B8">
      <w:pPr>
        <w:rPr>
          <w:rFonts w:ascii="Century Gothic" w:eastAsia="Times New Roman" w:hAnsi="Century Gothic"/>
        </w:rPr>
      </w:pPr>
    </w:p>
    <w:p w14:paraId="6F89850F" w14:textId="77777777" w:rsidR="005E662A" w:rsidRDefault="005E662A" w:rsidP="492303B8">
      <w:pPr>
        <w:rPr>
          <w:rFonts w:ascii="Century Gothic" w:eastAsia="Times New Roman" w:hAnsi="Century Gothic"/>
        </w:rPr>
      </w:pPr>
    </w:p>
    <w:p w14:paraId="03B19F55" w14:textId="77777777" w:rsidR="005E662A" w:rsidRDefault="005E662A" w:rsidP="492303B8">
      <w:pPr>
        <w:rPr>
          <w:rFonts w:ascii="Century Gothic" w:eastAsia="Times New Roman" w:hAnsi="Century Gothic"/>
        </w:rPr>
      </w:pPr>
    </w:p>
    <w:p w14:paraId="574C981D" w14:textId="77777777" w:rsidR="005E662A" w:rsidRDefault="005E662A" w:rsidP="492303B8">
      <w:pPr>
        <w:rPr>
          <w:rFonts w:ascii="Century Gothic" w:eastAsia="Times New Roman" w:hAnsi="Century Gothic"/>
        </w:rPr>
      </w:pPr>
    </w:p>
    <w:p w14:paraId="18D3480F" w14:textId="77777777" w:rsidR="005E662A" w:rsidRDefault="005E662A" w:rsidP="492303B8">
      <w:pPr>
        <w:rPr>
          <w:rFonts w:ascii="Century Gothic" w:eastAsia="Times New Roman" w:hAnsi="Century Gothic"/>
        </w:rPr>
      </w:pPr>
    </w:p>
    <w:p w14:paraId="595D7913" w14:textId="77777777" w:rsidR="005E662A" w:rsidRDefault="005E662A" w:rsidP="492303B8">
      <w:pPr>
        <w:rPr>
          <w:rFonts w:ascii="Century Gothic" w:eastAsia="Times New Roman" w:hAnsi="Century Gothic"/>
        </w:rPr>
      </w:pPr>
    </w:p>
    <w:p w14:paraId="3EF9B7F8" w14:textId="77777777" w:rsidR="005E662A" w:rsidRDefault="005E662A" w:rsidP="492303B8">
      <w:pPr>
        <w:rPr>
          <w:rFonts w:ascii="Century Gothic" w:eastAsia="Times New Roman" w:hAnsi="Century Gothic"/>
        </w:rPr>
      </w:pPr>
    </w:p>
    <w:p w14:paraId="5E4B8D6E" w14:textId="77777777" w:rsidR="005E662A" w:rsidRDefault="005E662A" w:rsidP="492303B8">
      <w:pPr>
        <w:rPr>
          <w:rFonts w:ascii="Century Gothic" w:eastAsia="Times New Roman" w:hAnsi="Century Gothic"/>
        </w:rPr>
      </w:pPr>
    </w:p>
    <w:p w14:paraId="5396F7BD" w14:textId="77777777" w:rsidR="005E662A" w:rsidRDefault="005E662A" w:rsidP="492303B8">
      <w:pPr>
        <w:rPr>
          <w:rFonts w:ascii="Century Gothic" w:eastAsia="Times New Roman" w:hAnsi="Century Gothic"/>
        </w:rPr>
      </w:pPr>
    </w:p>
    <w:p w14:paraId="5B854EB9" w14:textId="77777777" w:rsidR="005E662A" w:rsidRDefault="005E662A" w:rsidP="492303B8">
      <w:pPr>
        <w:rPr>
          <w:rFonts w:ascii="Century Gothic" w:eastAsia="Times New Roman" w:hAnsi="Century Gothic"/>
        </w:rPr>
      </w:pPr>
    </w:p>
    <w:p w14:paraId="1DF9BFDC" w14:textId="77777777" w:rsidR="005E662A" w:rsidRDefault="005E662A" w:rsidP="492303B8">
      <w:pPr>
        <w:rPr>
          <w:rFonts w:ascii="Century Gothic" w:eastAsia="Times New Roman" w:hAnsi="Century Gothic"/>
        </w:rPr>
      </w:pPr>
    </w:p>
    <w:p w14:paraId="25327A14" w14:textId="77777777" w:rsidR="005E662A" w:rsidRDefault="005E662A" w:rsidP="492303B8">
      <w:pPr>
        <w:rPr>
          <w:rFonts w:ascii="Century Gothic" w:eastAsia="Times New Roman" w:hAnsi="Century Gothic"/>
        </w:rPr>
      </w:pPr>
    </w:p>
    <w:p w14:paraId="443330BA" w14:textId="77777777" w:rsidR="005E662A" w:rsidRDefault="005E662A" w:rsidP="492303B8">
      <w:pPr>
        <w:rPr>
          <w:rFonts w:ascii="Century Gothic" w:eastAsia="Times New Roman" w:hAnsi="Century Gothic"/>
        </w:rPr>
      </w:pPr>
    </w:p>
    <w:p w14:paraId="2D379936" w14:textId="77777777" w:rsidR="005E662A" w:rsidRDefault="005E662A" w:rsidP="492303B8">
      <w:pPr>
        <w:rPr>
          <w:rFonts w:ascii="Century Gothic" w:eastAsia="Times New Roman" w:hAnsi="Century Gothic"/>
        </w:rPr>
      </w:pPr>
    </w:p>
    <w:p w14:paraId="1D02320B" w14:textId="48F18725" w:rsidR="00982708" w:rsidRDefault="00982708" w:rsidP="492303B8">
      <w:pPr>
        <w:rPr>
          <w:rFonts w:ascii="Century Gothic" w:eastAsia="Times New Roman" w:hAnsi="Century Gothic"/>
        </w:rPr>
      </w:pPr>
      <w:r>
        <w:rPr>
          <w:rFonts w:ascii="Century Gothic" w:eastAsia="Times New Roman" w:hAnsi="Century Gothic"/>
        </w:rPr>
        <w:br w:type="page"/>
      </w:r>
    </w:p>
    <w:p w14:paraId="0613BEE5" w14:textId="77777777" w:rsidR="005E662A" w:rsidRPr="003558C1" w:rsidRDefault="005E662A" w:rsidP="005E662A">
      <w:pPr>
        <w:pStyle w:val="MTWHeader2"/>
        <w:rPr>
          <w:rFonts w:ascii="Century Gothic" w:hAnsi="Century Gothic" w:cs="Times New Roman"/>
          <w:sz w:val="22"/>
          <w:szCs w:val="22"/>
        </w:rPr>
      </w:pPr>
      <w:r w:rsidRPr="003558C1">
        <w:rPr>
          <w:rFonts w:ascii="Century Gothic" w:hAnsi="Century Gothic" w:cs="Times New Roman"/>
          <w:sz w:val="22"/>
          <w:szCs w:val="22"/>
        </w:rPr>
        <w:lastRenderedPageBreak/>
        <w:t xml:space="preserve">Initiative 2.8F - Prison Community Reentry </w:t>
      </w:r>
      <w:r w:rsidRPr="003558C1">
        <w:rPr>
          <w:rFonts w:ascii="Century Gothic" w:eastAsia="Calibri" w:hAnsi="Century Gothic" w:cs="Times New Roman"/>
          <w:sz w:val="22"/>
          <w:szCs w:val="22"/>
        </w:rPr>
        <w:t>(Previously Initiative 4.3F)</w:t>
      </w:r>
    </w:p>
    <w:p w14:paraId="3E8F0533" w14:textId="77777777" w:rsidR="005E662A" w:rsidRPr="003558C1" w:rsidRDefault="005E662A" w:rsidP="005E662A">
      <w:pPr>
        <w:rPr>
          <w:rFonts w:ascii="Century Gothic" w:hAnsi="Century Gothic"/>
        </w:rPr>
      </w:pPr>
      <w:r w:rsidRPr="003558C1">
        <w:rPr>
          <w:rFonts w:ascii="Century Gothic" w:hAnsi="Century Gothic"/>
        </w:rPr>
        <w:t xml:space="preserve">Approved in FY09, implemented in FY10 and updated in FY21. </w:t>
      </w:r>
    </w:p>
    <w:p w14:paraId="0FC73D3D" w14:textId="77777777" w:rsidR="005E662A" w:rsidRPr="003558C1" w:rsidRDefault="005E662A" w:rsidP="005E662A">
      <w:pPr>
        <w:rPr>
          <w:rFonts w:ascii="Century Gothic" w:hAnsi="Century Gothic"/>
        </w:rPr>
      </w:pPr>
    </w:p>
    <w:p w14:paraId="6984FA1D" w14:textId="77777777" w:rsidR="005E662A" w:rsidRPr="003558C1" w:rsidRDefault="005E662A" w:rsidP="005E662A">
      <w:pPr>
        <w:pStyle w:val="Heading4"/>
        <w:rPr>
          <w:rFonts w:ascii="Century Gothic" w:hAnsi="Century Gothic" w:cs="Times New Roman"/>
        </w:rPr>
      </w:pPr>
      <w:r w:rsidRPr="003558C1">
        <w:rPr>
          <w:rFonts w:ascii="Century Gothic" w:hAnsi="Century Gothic" w:cs="Times New Roman"/>
        </w:rPr>
        <w:t>Description</w:t>
      </w:r>
    </w:p>
    <w:p w14:paraId="2C3D2A34" w14:textId="77777777" w:rsidR="005B25E7" w:rsidRDefault="005E662A" w:rsidP="005E662A">
      <w:pPr>
        <w:rPr>
          <w:rFonts w:ascii="Century Gothic" w:hAnsi="Century Gothic"/>
        </w:rPr>
      </w:pPr>
      <w:r w:rsidRPr="003558C1">
        <w:rPr>
          <w:rFonts w:ascii="Century Gothic" w:hAnsi="Century Gothic"/>
        </w:rPr>
        <w:t xml:space="preserve">ECC/HANH serves individuals who have reentered society following incarceration by offering mentoring, training, and housing. ECC/HANH Reentry program candidates are </w:t>
      </w:r>
      <w:proofErr w:type="gramStart"/>
      <w:r w:rsidRPr="003558C1">
        <w:rPr>
          <w:rFonts w:ascii="Century Gothic" w:hAnsi="Century Gothic"/>
        </w:rPr>
        <w:t>referred</w:t>
      </w:r>
      <w:proofErr w:type="gramEnd"/>
      <w:r w:rsidRPr="003558C1">
        <w:rPr>
          <w:rFonts w:ascii="Century Gothic" w:hAnsi="Century Gothic"/>
        </w:rPr>
        <w:t xml:space="preserve"> by the City of New Haven and partner organizations. </w:t>
      </w:r>
    </w:p>
    <w:p w14:paraId="1899D021" w14:textId="77777777" w:rsidR="005B25E7" w:rsidRDefault="005B25E7" w:rsidP="005E662A">
      <w:pPr>
        <w:rPr>
          <w:rFonts w:ascii="Century Gothic" w:hAnsi="Century Gothic"/>
        </w:rPr>
      </w:pPr>
    </w:p>
    <w:p w14:paraId="2D7C2A24" w14:textId="3DC1A12B" w:rsidR="005E662A" w:rsidRPr="003558C1" w:rsidRDefault="005E662A" w:rsidP="005E662A">
      <w:pPr>
        <w:rPr>
          <w:rFonts w:ascii="Century Gothic" w:hAnsi="Century Gothic"/>
        </w:rPr>
      </w:pPr>
      <w:r w:rsidRPr="003558C1">
        <w:rPr>
          <w:rFonts w:ascii="Century Gothic" w:hAnsi="Century Gothic"/>
        </w:rPr>
        <w:t>Participants are assessed and work to develop an action plan.  ECC/HANH provides case management services to assist in meeting goals</w:t>
      </w:r>
      <w:r w:rsidR="061BF6B7" w:rsidRPr="102E2654">
        <w:rPr>
          <w:rFonts w:ascii="Century Gothic" w:hAnsi="Century Gothic"/>
        </w:rPr>
        <w:t xml:space="preserve"> for the LIPH segment</w:t>
      </w:r>
      <w:r w:rsidR="002B0C27">
        <w:rPr>
          <w:rFonts w:ascii="Century Gothic" w:hAnsi="Century Gothic"/>
        </w:rPr>
        <w:t>.</w:t>
      </w:r>
      <w:r w:rsidRPr="003558C1">
        <w:rPr>
          <w:rFonts w:ascii="Century Gothic" w:hAnsi="Century Gothic"/>
        </w:rPr>
        <w:t xml:space="preserve">  Additionally, ECC/HANH’s returning residents who join an existing household as part of our reunification reentry program may access the case management services also.</w:t>
      </w:r>
    </w:p>
    <w:p w14:paraId="0F69675F" w14:textId="451F83BB" w:rsidR="005E662A" w:rsidRPr="00ED41C3" w:rsidRDefault="005E662A" w:rsidP="005E662A">
      <w:pPr>
        <w:spacing w:before="120" w:after="120"/>
        <w:rPr>
          <w:rFonts w:ascii="Century Gothic" w:hAnsi="Century Gothic"/>
        </w:rPr>
      </w:pPr>
      <w:r w:rsidRPr="188A1EBF">
        <w:rPr>
          <w:rFonts w:ascii="Century Gothic" w:hAnsi="Century Gothic"/>
        </w:rPr>
        <w:t xml:space="preserve">When the Reentry Program was initiated in June 2010, ECC/HANH established a preference for a maximum of 12 Low-Income Public Housing (LIPH) units.  Subsequently, the program’s maximum capacity was increased to 16 LIPH housing units. </w:t>
      </w:r>
    </w:p>
    <w:p w14:paraId="59AF5524" w14:textId="0B91DB7F" w:rsidR="005E662A" w:rsidRPr="00ED41C3" w:rsidRDefault="005E662A" w:rsidP="005E662A">
      <w:pPr>
        <w:rPr>
          <w:rFonts w:ascii="Century Gothic" w:hAnsi="Century Gothic"/>
        </w:rPr>
      </w:pPr>
      <w:r w:rsidRPr="188A1EBF">
        <w:rPr>
          <w:rFonts w:ascii="Century Gothic" w:hAnsi="Century Gothic"/>
        </w:rPr>
        <w:t>In prior years, there were a set number of units set aside in the LIPH program, and a set number of vouchers set aside in the HCV program.  Beginning October 2021,</w:t>
      </w:r>
      <w:r w:rsidR="00617F29" w:rsidRPr="188A1EBF">
        <w:rPr>
          <w:rFonts w:ascii="Century Gothic" w:hAnsi="Century Gothic"/>
        </w:rPr>
        <w:t xml:space="preserve"> for</w:t>
      </w:r>
      <w:r w:rsidRPr="188A1EBF">
        <w:rPr>
          <w:rFonts w:ascii="Century Gothic" w:hAnsi="Century Gothic"/>
        </w:rPr>
        <w:t xml:space="preserve"> LIPH and HCV, ten percent (10%) of the new admissions each fiscal year </w:t>
      </w:r>
      <w:r w:rsidR="00617F29" w:rsidRPr="188A1EBF">
        <w:rPr>
          <w:rFonts w:ascii="Century Gothic" w:hAnsi="Century Gothic"/>
        </w:rPr>
        <w:t xml:space="preserve">will be </w:t>
      </w:r>
      <w:r w:rsidRPr="188A1EBF">
        <w:rPr>
          <w:rFonts w:ascii="Century Gothic" w:hAnsi="Century Gothic"/>
        </w:rPr>
        <w:t>allocated to the applicants on the Re-Entry waiting lists.</w:t>
      </w:r>
      <w:r w:rsidR="1F676AF6" w:rsidRPr="188A1EBF">
        <w:rPr>
          <w:rFonts w:ascii="Century Gothic" w:hAnsi="Century Gothic"/>
        </w:rPr>
        <w:t xml:space="preserve"> For FY24 there were a total of 61 vouchers allocated</w:t>
      </w:r>
      <w:r w:rsidR="00201D26">
        <w:rPr>
          <w:rFonts w:ascii="Century Gothic" w:hAnsi="Century Gothic"/>
        </w:rPr>
        <w:t>. 25 for Project Longevity and 36 for Re-Entry Fresh Start</w:t>
      </w:r>
      <w:r w:rsidR="1F676AF6" w:rsidRPr="188A1EBF">
        <w:rPr>
          <w:rFonts w:ascii="Century Gothic" w:hAnsi="Century Gothic"/>
        </w:rPr>
        <w:t xml:space="preserve">. </w:t>
      </w:r>
    </w:p>
    <w:p w14:paraId="366237AC" w14:textId="77777777" w:rsidR="005E662A" w:rsidRPr="00ED41C3" w:rsidRDefault="005E662A" w:rsidP="005E662A">
      <w:pPr>
        <w:rPr>
          <w:rFonts w:ascii="Century Gothic" w:hAnsi="Century Gothic"/>
        </w:rPr>
      </w:pPr>
    </w:p>
    <w:p w14:paraId="70FE830B" w14:textId="77777777" w:rsidR="005E662A" w:rsidRPr="00ED41C3" w:rsidRDefault="005E662A" w:rsidP="005E662A">
      <w:pPr>
        <w:spacing w:before="120" w:after="120"/>
        <w:rPr>
          <w:rFonts w:ascii="Century Gothic" w:hAnsi="Century Gothic"/>
        </w:rPr>
      </w:pPr>
      <w:r w:rsidRPr="00ED41C3">
        <w:rPr>
          <w:rFonts w:ascii="Century Gothic" w:hAnsi="Century Gothic"/>
        </w:rPr>
        <w:t xml:space="preserve">ECC/HANH expects to enable participants to begin a journey toward self-sufficiency through remaining stably housed, gaining employment, and avoiding recidivism. This is hugely beneficial to the individual and his/her family, and to the community through gaining a productive member and reducing criminal behavior and prison-related expenses. </w:t>
      </w:r>
    </w:p>
    <w:p w14:paraId="6EF63AB9" w14:textId="77777777" w:rsidR="005E662A" w:rsidRPr="00ED41C3" w:rsidRDefault="005E662A" w:rsidP="005E662A">
      <w:pPr>
        <w:rPr>
          <w:rFonts w:ascii="Century Gothic" w:eastAsia="MS PGothic" w:hAnsi="Century Gothic"/>
        </w:rPr>
      </w:pPr>
      <w:r w:rsidRPr="00ED41C3">
        <w:rPr>
          <w:rFonts w:ascii="Century Gothic" w:eastAsia="MS PGothic" w:hAnsi="Century Gothic"/>
        </w:rPr>
        <w:t xml:space="preserve">Given the significant need for housing for this population, ECC/HANH has transitioned to a waitlist management process where a percentage of all new admissions are targeted for re-entry applicants.  This enables us to house more families without reliance on freeing an existing slot. </w:t>
      </w:r>
    </w:p>
    <w:p w14:paraId="7737C39D" w14:textId="77777777" w:rsidR="005E662A" w:rsidRPr="00ED41C3" w:rsidRDefault="005E662A" w:rsidP="005E662A">
      <w:pPr>
        <w:rPr>
          <w:rFonts w:ascii="Century Gothic" w:eastAsia="MS PGothic" w:hAnsi="Century Gothic"/>
          <w:szCs w:val="22"/>
        </w:rPr>
      </w:pPr>
    </w:p>
    <w:p w14:paraId="31585A58" w14:textId="77777777" w:rsidR="005E662A" w:rsidRPr="00ED41C3" w:rsidRDefault="005E662A" w:rsidP="005E662A">
      <w:pPr>
        <w:pStyle w:val="Heading4"/>
        <w:rPr>
          <w:rFonts w:ascii="Century Gothic" w:hAnsi="Century Gothic" w:cs="Times New Roman"/>
        </w:rPr>
      </w:pPr>
      <w:r w:rsidRPr="00ED41C3">
        <w:rPr>
          <w:rFonts w:ascii="Century Gothic" w:hAnsi="Century Gothic" w:cs="Times New Roman"/>
        </w:rPr>
        <w:t>Impact</w:t>
      </w:r>
    </w:p>
    <w:p w14:paraId="258EA2A2" w14:textId="73E67DF4" w:rsidR="005E662A" w:rsidRDefault="005E662A" w:rsidP="005E662A">
      <w:pPr>
        <w:rPr>
          <w:rFonts w:ascii="Century Gothic" w:eastAsia="Calibri" w:hAnsi="Century Gothic"/>
          <w:lang w:eastAsia="en-US"/>
        </w:rPr>
      </w:pPr>
      <w:r w:rsidRPr="00ED41C3">
        <w:rPr>
          <w:rFonts w:ascii="Century Gothic" w:eastAsia="Calibri" w:hAnsi="Century Gothic"/>
          <w:lang w:eastAsia="en-US"/>
        </w:rPr>
        <w:t xml:space="preserve">During FY 2024, there was 1 new admission in the LIPH program and 7 new admissions in the HCV program.  </w:t>
      </w:r>
    </w:p>
    <w:p w14:paraId="557C93EA" w14:textId="77777777" w:rsidR="000828FA" w:rsidRPr="00ED41C3" w:rsidRDefault="000828FA" w:rsidP="005E662A">
      <w:pPr>
        <w:rPr>
          <w:rFonts w:ascii="Century Gothic" w:eastAsia="Calibri" w:hAnsi="Century Gothic"/>
          <w:lang w:eastAsia="en-US"/>
        </w:rPr>
      </w:pPr>
    </w:p>
    <w:p w14:paraId="6C01F152" w14:textId="77777777" w:rsidR="005E662A" w:rsidRPr="00ED41C3" w:rsidRDefault="005E662A" w:rsidP="005E662A">
      <w:pPr>
        <w:rPr>
          <w:rFonts w:ascii="Century Gothic" w:eastAsia="MS PGothic" w:hAnsi="Century Gothic"/>
          <w:lang w:eastAsia="en-US"/>
        </w:rPr>
      </w:pPr>
      <w:r w:rsidRPr="00ED41C3">
        <w:rPr>
          <w:rFonts w:ascii="Century Gothic" w:eastAsia="Times New Roman" w:hAnsi="Century Gothic"/>
        </w:rPr>
        <w:t xml:space="preserve">At the end of FY24, 44 families were enrolled in the Prison Community Reentry program.  43 participants </w:t>
      </w:r>
      <w:r w:rsidRPr="00E5460C">
        <w:rPr>
          <w:rFonts w:ascii="Century Gothic" w:eastAsia="Times New Roman" w:hAnsi="Century Gothic"/>
        </w:rPr>
        <w:t>(98%)</w:t>
      </w:r>
      <w:r w:rsidRPr="00ED41C3">
        <w:rPr>
          <w:rFonts w:ascii="Century Gothic" w:eastAsia="Times New Roman" w:hAnsi="Century Gothic"/>
        </w:rPr>
        <w:t xml:space="preserve"> in the HCV program </w:t>
      </w:r>
      <w:r w:rsidRPr="00ED41C3">
        <w:rPr>
          <w:rFonts w:ascii="Century Gothic" w:eastAsia="Calibri" w:hAnsi="Century Gothic"/>
          <w:lang w:eastAsia="en-US"/>
        </w:rPr>
        <w:t xml:space="preserve">and 1 participant in the LIPH program </w:t>
      </w:r>
      <w:r w:rsidRPr="00E5460C">
        <w:rPr>
          <w:rFonts w:ascii="Century Gothic" w:eastAsia="Calibri" w:hAnsi="Century Gothic"/>
          <w:lang w:eastAsia="en-US"/>
        </w:rPr>
        <w:t>(2%)</w:t>
      </w:r>
      <w:r w:rsidRPr="00E5460C">
        <w:rPr>
          <w:rFonts w:ascii="Century Gothic" w:eastAsia="Times New Roman" w:hAnsi="Century Gothic"/>
        </w:rPr>
        <w:t>.</w:t>
      </w:r>
      <w:r w:rsidRPr="00ED41C3">
        <w:rPr>
          <w:rFonts w:ascii="Century Gothic" w:eastAsia="Times New Roman" w:hAnsi="Century Gothic"/>
        </w:rPr>
        <w:t xml:space="preserve">  </w:t>
      </w:r>
    </w:p>
    <w:p w14:paraId="2193DA24" w14:textId="77777777" w:rsidR="005E662A" w:rsidRDefault="005E662A" w:rsidP="005E662A">
      <w:pPr>
        <w:rPr>
          <w:rFonts w:ascii="Century Gothic" w:eastAsia="Times New Roman" w:hAnsi="Century Gothic"/>
        </w:rPr>
      </w:pPr>
    </w:p>
    <w:p w14:paraId="57DE33E2" w14:textId="546282D9" w:rsidR="00294B5D" w:rsidRDefault="00294B5D" w:rsidP="00294B5D">
      <w:pPr>
        <w:rPr>
          <w:rFonts w:ascii="Century Gothic" w:eastAsia="Calibri" w:hAnsi="Century Gothic"/>
          <w:lang w:eastAsia="en-US"/>
        </w:rPr>
      </w:pPr>
      <w:r w:rsidRPr="2DE69D88">
        <w:rPr>
          <w:rFonts w:ascii="Century Gothic" w:eastAsia="Calibri" w:hAnsi="Century Gothic"/>
          <w:lang w:eastAsia="en-US"/>
        </w:rPr>
        <w:t>ECC</w:t>
      </w:r>
      <w:r w:rsidR="00861A86">
        <w:rPr>
          <w:rFonts w:ascii="Century Gothic" w:eastAsia="Calibri" w:hAnsi="Century Gothic"/>
          <w:lang w:eastAsia="en-US"/>
        </w:rPr>
        <w:t>/HANH</w:t>
      </w:r>
      <w:r w:rsidRPr="2DE69D88">
        <w:rPr>
          <w:rFonts w:ascii="Century Gothic" w:eastAsia="Calibri" w:hAnsi="Century Gothic"/>
          <w:lang w:eastAsia="en-US"/>
        </w:rPr>
        <w:t xml:space="preserve"> tracks the income of </w:t>
      </w:r>
      <w:r w:rsidR="002B5003">
        <w:rPr>
          <w:rFonts w:ascii="Century Gothic" w:eastAsia="Calibri" w:hAnsi="Century Gothic"/>
          <w:lang w:eastAsia="en-US"/>
        </w:rPr>
        <w:t>wage earners</w:t>
      </w:r>
      <w:r w:rsidRPr="2DE69D88">
        <w:rPr>
          <w:rFonts w:ascii="Century Gothic" w:eastAsia="Calibri" w:hAnsi="Century Gothic"/>
          <w:lang w:eastAsia="en-US"/>
        </w:rPr>
        <w:t xml:space="preserve"> so that we </w:t>
      </w:r>
      <w:proofErr w:type="gramStart"/>
      <w:r w:rsidRPr="2DE69D88">
        <w:rPr>
          <w:rFonts w:ascii="Century Gothic" w:eastAsia="Calibri" w:hAnsi="Century Gothic"/>
          <w:lang w:eastAsia="en-US"/>
        </w:rPr>
        <w:t>are able to</w:t>
      </w:r>
      <w:proofErr w:type="gramEnd"/>
      <w:r w:rsidRPr="2DE69D88">
        <w:rPr>
          <w:rFonts w:ascii="Century Gothic" w:eastAsia="Calibri" w:hAnsi="Century Gothic"/>
          <w:lang w:eastAsia="en-US"/>
        </w:rPr>
        <w:t xml:space="preserve"> ascertain which families are moving toward </w:t>
      </w:r>
      <w:r w:rsidR="001B5CBC">
        <w:rPr>
          <w:rFonts w:ascii="Century Gothic" w:eastAsia="Calibri" w:hAnsi="Century Gothic"/>
          <w:lang w:eastAsia="en-US"/>
        </w:rPr>
        <w:t xml:space="preserve">economic </w:t>
      </w:r>
      <w:r w:rsidRPr="2DE69D88">
        <w:rPr>
          <w:rFonts w:ascii="Century Gothic" w:eastAsia="Calibri" w:hAnsi="Century Gothic"/>
          <w:lang w:eastAsia="en-US"/>
        </w:rPr>
        <w:t>self-sufficiency.</w:t>
      </w:r>
      <w:r w:rsidRPr="1206544F">
        <w:rPr>
          <w:rFonts w:ascii="Century Gothic" w:eastAsia="Calibri" w:hAnsi="Century Gothic"/>
          <w:lang w:eastAsia="en-US"/>
        </w:rPr>
        <w:t xml:space="preserve"> The income of families who are on SS or SSI does not change significantly</w:t>
      </w:r>
      <w:r w:rsidR="001B5CBC">
        <w:rPr>
          <w:rFonts w:ascii="Century Gothic" w:eastAsia="Calibri" w:hAnsi="Century Gothic"/>
          <w:lang w:eastAsia="en-US"/>
        </w:rPr>
        <w:t>, so therefore it is not tracked</w:t>
      </w:r>
      <w:r w:rsidRPr="1206544F">
        <w:rPr>
          <w:rFonts w:ascii="Century Gothic" w:eastAsia="Calibri" w:hAnsi="Century Gothic"/>
          <w:lang w:eastAsia="en-US"/>
        </w:rPr>
        <w:t>.</w:t>
      </w:r>
    </w:p>
    <w:p w14:paraId="0E875964" w14:textId="77777777" w:rsidR="00294B5D" w:rsidRPr="00ED41C3" w:rsidRDefault="00294B5D" w:rsidP="005E662A">
      <w:pPr>
        <w:rPr>
          <w:rFonts w:ascii="Century Gothic" w:eastAsia="Times New Roman" w:hAnsi="Century Gothic"/>
        </w:rPr>
      </w:pPr>
    </w:p>
    <w:p w14:paraId="5F764B97" w14:textId="0EA59365" w:rsidR="00E5460C" w:rsidRDefault="001B5CBC" w:rsidP="1DB54C7D">
      <w:pPr>
        <w:rPr>
          <w:rFonts w:ascii="Century Gothic" w:eastAsia="Calibri" w:hAnsi="Century Gothic"/>
          <w:lang w:eastAsia="en-US"/>
        </w:rPr>
      </w:pPr>
      <w:r>
        <w:rPr>
          <w:rFonts w:ascii="Century Gothic" w:eastAsia="Times New Roman" w:hAnsi="Century Gothic"/>
        </w:rPr>
        <w:t xml:space="preserve">In FY24, </w:t>
      </w:r>
      <w:r w:rsidR="18DE1985" w:rsidRPr="015C4343">
        <w:rPr>
          <w:rFonts w:ascii="Century Gothic" w:eastAsia="Times New Roman" w:hAnsi="Century Gothic"/>
        </w:rPr>
        <w:t xml:space="preserve">13 </w:t>
      </w:r>
      <w:r w:rsidR="18DE1985" w:rsidRPr="36B4BAB1">
        <w:rPr>
          <w:rFonts w:ascii="Century Gothic" w:eastAsia="Times New Roman" w:hAnsi="Century Gothic"/>
        </w:rPr>
        <w:t>of the</w:t>
      </w:r>
      <w:r w:rsidR="005E662A" w:rsidRPr="00ED41C3">
        <w:rPr>
          <w:rFonts w:ascii="Century Gothic" w:eastAsia="Times New Roman" w:hAnsi="Century Gothic"/>
        </w:rPr>
        <w:t xml:space="preserve"> 43 HCV participants (30%) had earned income </w:t>
      </w:r>
      <w:r w:rsidR="206106FC" w:rsidRPr="3B35B7E1">
        <w:rPr>
          <w:rFonts w:ascii="Century Gothic" w:eastAsia="Times New Roman" w:hAnsi="Century Gothic"/>
        </w:rPr>
        <w:t xml:space="preserve">for </w:t>
      </w:r>
      <w:r w:rsidR="005E662A" w:rsidRPr="00ED41C3">
        <w:rPr>
          <w:rFonts w:ascii="Century Gothic" w:eastAsia="Times New Roman" w:hAnsi="Century Gothic"/>
        </w:rPr>
        <w:t xml:space="preserve">an </w:t>
      </w:r>
      <w:r w:rsidR="005E662A" w:rsidRPr="00ED41C3">
        <w:rPr>
          <w:rFonts w:ascii="Century Gothic" w:eastAsia="Calibri" w:hAnsi="Century Gothic"/>
          <w:lang w:eastAsia="en-US"/>
        </w:rPr>
        <w:t xml:space="preserve">average of $21,667. </w:t>
      </w:r>
    </w:p>
    <w:p w14:paraId="4BCBD801" w14:textId="77777777" w:rsidR="00E5460C" w:rsidRDefault="00E5460C" w:rsidP="1DB54C7D">
      <w:pPr>
        <w:rPr>
          <w:rFonts w:ascii="Century Gothic" w:eastAsia="Calibri" w:hAnsi="Century Gothic"/>
          <w:lang w:eastAsia="en-US"/>
        </w:rPr>
      </w:pPr>
    </w:p>
    <w:p w14:paraId="4DB41F95" w14:textId="32442FDB" w:rsidR="005E662A" w:rsidRDefault="001B5CBC" w:rsidP="005E662A">
      <w:pPr>
        <w:rPr>
          <w:rFonts w:ascii="Century Gothic" w:eastAsia="Calibri" w:hAnsi="Century Gothic"/>
          <w:lang w:eastAsia="en-US"/>
        </w:rPr>
      </w:pPr>
      <w:r w:rsidRPr="001B5CBC">
        <w:rPr>
          <w:rStyle w:val="CommentReference"/>
          <w:rFonts w:ascii="Century Gothic" w:hAnsi="Century Gothic"/>
          <w:sz w:val="22"/>
          <w:szCs w:val="22"/>
        </w:rPr>
        <w:t>Less than 1%</w:t>
      </w:r>
      <w:r w:rsidR="00D21CD9" w:rsidRPr="001B5CBC">
        <w:rPr>
          <w:rFonts w:ascii="Century Gothic" w:eastAsia="Calibri" w:hAnsi="Century Gothic"/>
          <w:szCs w:val="22"/>
          <w:lang w:eastAsia="en-US"/>
        </w:rPr>
        <w:t xml:space="preserve"> of the HCV families ha</w:t>
      </w:r>
      <w:r>
        <w:rPr>
          <w:rFonts w:ascii="Century Gothic" w:eastAsia="Calibri" w:hAnsi="Century Gothic"/>
          <w:szCs w:val="22"/>
          <w:lang w:eastAsia="en-US"/>
        </w:rPr>
        <w:t>d</w:t>
      </w:r>
      <w:r w:rsidR="00D21CD9" w:rsidRPr="001B5CBC">
        <w:rPr>
          <w:rFonts w:ascii="Century Gothic" w:eastAsia="Calibri" w:hAnsi="Century Gothic"/>
          <w:szCs w:val="22"/>
          <w:lang w:eastAsia="en-US"/>
        </w:rPr>
        <w:t xml:space="preserve"> employment income and have held a job for more than 6 months</w:t>
      </w:r>
      <w:r w:rsidR="00D21CD9" w:rsidRPr="001B5CBC">
        <w:rPr>
          <w:rFonts w:ascii="Century Gothic" w:eastAsia="Calibri" w:hAnsi="Century Gothic"/>
          <w:lang w:eastAsia="en-US"/>
        </w:rPr>
        <w:t>.</w:t>
      </w:r>
      <w:r w:rsidR="00D21CD9" w:rsidRPr="2DE69D88">
        <w:rPr>
          <w:rFonts w:ascii="Century Gothic" w:eastAsia="Calibri" w:hAnsi="Century Gothic"/>
          <w:lang w:eastAsia="en-US"/>
        </w:rPr>
        <w:t xml:space="preserve">  </w:t>
      </w:r>
    </w:p>
    <w:p w14:paraId="6F760951" w14:textId="77777777" w:rsidR="001B5CBC" w:rsidRPr="00732D17" w:rsidRDefault="001B5CBC" w:rsidP="005E662A">
      <w:pPr>
        <w:rPr>
          <w:rFonts w:ascii="Century Gothic" w:eastAsia="Calibri" w:hAnsi="Century Gothic"/>
          <w:lang w:eastAsia="en-US"/>
        </w:rPr>
      </w:pPr>
    </w:p>
    <w:p w14:paraId="122C70F9" w14:textId="39EA4ECC" w:rsidR="005E662A" w:rsidRPr="00732D17" w:rsidRDefault="005E662A" w:rsidP="005E662A">
      <w:pPr>
        <w:rPr>
          <w:rFonts w:ascii="Century Gothic" w:eastAsia="Calibri" w:hAnsi="Century Gothic"/>
          <w:lang w:eastAsia="en-US"/>
        </w:rPr>
      </w:pPr>
      <w:r w:rsidRPr="007C5789">
        <w:rPr>
          <w:rFonts w:ascii="Century Gothic" w:eastAsia="Calibri" w:hAnsi="Century Gothic"/>
          <w:szCs w:val="22"/>
          <w:lang w:eastAsia="en-US"/>
        </w:rPr>
        <w:lastRenderedPageBreak/>
        <w:t>The 1 LIPH resident family is a 1-person household with disabilities and receives SSI as the sole income source.</w:t>
      </w:r>
      <w:r w:rsidR="1769E286" w:rsidRPr="007C5789">
        <w:rPr>
          <w:rFonts w:ascii="Century Gothic" w:eastAsia="Calibri" w:hAnsi="Century Gothic"/>
          <w:szCs w:val="22"/>
          <w:lang w:eastAsia="en-US"/>
        </w:rPr>
        <w:t>, in the amount of $7312 annual</w:t>
      </w:r>
      <w:r w:rsidR="334A7297" w:rsidRPr="007C5789">
        <w:rPr>
          <w:rFonts w:ascii="Century Gothic" w:eastAsia="Calibri" w:hAnsi="Century Gothic"/>
          <w:szCs w:val="22"/>
          <w:lang w:eastAsia="en-US"/>
        </w:rPr>
        <w:t>ly.</w:t>
      </w:r>
    </w:p>
    <w:p w14:paraId="4DF6ABC4" w14:textId="77777777" w:rsidR="005E662A" w:rsidRPr="00732D17" w:rsidRDefault="005E662A" w:rsidP="005E662A">
      <w:pPr>
        <w:rPr>
          <w:rFonts w:ascii="Century Gothic" w:eastAsia="Calibri" w:hAnsi="Century Gothic"/>
          <w:lang w:eastAsia="en-US"/>
        </w:rPr>
      </w:pPr>
    </w:p>
    <w:p w14:paraId="6FF14C7A" w14:textId="2B11BF3A" w:rsidR="000828FA" w:rsidRDefault="005E662A" w:rsidP="72BF3ECB">
      <w:pPr>
        <w:rPr>
          <w:rFonts w:ascii="Century Gothic" w:eastAsia="Calibri" w:hAnsi="Century Gothic"/>
          <w:lang w:eastAsia="en-US"/>
        </w:rPr>
      </w:pPr>
      <w:r w:rsidRPr="00732D17">
        <w:rPr>
          <w:rFonts w:ascii="Century Gothic" w:eastAsia="Calibri" w:hAnsi="Century Gothic"/>
          <w:lang w:eastAsia="en-US"/>
        </w:rPr>
        <w:t xml:space="preserve">Since 2015 there </w:t>
      </w:r>
      <w:r w:rsidR="002B0C27" w:rsidRPr="1DB54C7D">
        <w:rPr>
          <w:rFonts w:ascii="Century Gothic" w:eastAsia="Calibri" w:hAnsi="Century Gothic"/>
          <w:lang w:eastAsia="en-US"/>
        </w:rPr>
        <w:t>have</w:t>
      </w:r>
      <w:r w:rsidR="0B725B0B" w:rsidRPr="1DB54C7D">
        <w:rPr>
          <w:rFonts w:ascii="Century Gothic" w:eastAsia="Calibri" w:hAnsi="Century Gothic"/>
          <w:lang w:eastAsia="en-US"/>
        </w:rPr>
        <w:t xml:space="preserve"> been</w:t>
      </w:r>
      <w:r w:rsidRPr="00732D17">
        <w:rPr>
          <w:rFonts w:ascii="Century Gothic" w:eastAsia="Calibri" w:hAnsi="Century Gothic"/>
          <w:lang w:eastAsia="en-US"/>
        </w:rPr>
        <w:t xml:space="preserve"> </w:t>
      </w:r>
      <w:r w:rsidR="53223DC4" w:rsidRPr="307FB075">
        <w:rPr>
          <w:rFonts w:ascii="Century Gothic" w:eastAsia="Calibri" w:hAnsi="Century Gothic"/>
          <w:lang w:eastAsia="en-US"/>
        </w:rPr>
        <w:t>95</w:t>
      </w:r>
      <w:r w:rsidRPr="00732D17">
        <w:rPr>
          <w:rFonts w:ascii="Century Gothic" w:eastAsia="Calibri" w:hAnsi="Century Gothic"/>
          <w:lang w:eastAsia="en-US"/>
        </w:rPr>
        <w:t xml:space="preserve"> families assisted by this initiative</w:t>
      </w:r>
      <w:r w:rsidR="5F397562" w:rsidRPr="72BF3ECB">
        <w:rPr>
          <w:rFonts w:ascii="Century Gothic" w:eastAsia="Calibri" w:hAnsi="Century Gothic"/>
          <w:lang w:eastAsia="en-US"/>
        </w:rPr>
        <w:t xml:space="preserve">, </w:t>
      </w:r>
      <w:r w:rsidR="6334847F" w:rsidRPr="72BF3ECB">
        <w:rPr>
          <w:rFonts w:ascii="Century Gothic" w:eastAsia="Calibri" w:hAnsi="Century Gothic"/>
          <w:lang w:eastAsia="en-US"/>
        </w:rPr>
        <w:t>34</w:t>
      </w:r>
      <w:r w:rsidR="6334847F" w:rsidRPr="307FB075">
        <w:rPr>
          <w:rFonts w:ascii="Century Gothic" w:eastAsia="Calibri" w:hAnsi="Century Gothic"/>
          <w:lang w:eastAsia="en-US"/>
        </w:rPr>
        <w:t xml:space="preserve"> LIPH families </w:t>
      </w:r>
      <w:r w:rsidR="3AEB7557" w:rsidRPr="72BF3ECB">
        <w:rPr>
          <w:rFonts w:ascii="Century Gothic" w:eastAsia="Calibri" w:hAnsi="Century Gothic"/>
          <w:lang w:eastAsia="en-US"/>
        </w:rPr>
        <w:t xml:space="preserve">and </w:t>
      </w:r>
      <w:r w:rsidR="50CBD182" w:rsidRPr="1601BBEE">
        <w:rPr>
          <w:rFonts w:ascii="Century Gothic" w:eastAsia="Calibri" w:hAnsi="Century Gothic"/>
          <w:lang w:eastAsia="en-US"/>
        </w:rPr>
        <w:t>61</w:t>
      </w:r>
      <w:r w:rsidRPr="00EA4CED">
        <w:rPr>
          <w:rFonts w:ascii="Century Gothic" w:eastAsia="Calibri" w:hAnsi="Century Gothic"/>
          <w:lang w:eastAsia="en-US"/>
        </w:rPr>
        <w:t xml:space="preserve"> </w:t>
      </w:r>
      <w:r w:rsidR="0E16D1FB" w:rsidRPr="72BF3ECB">
        <w:rPr>
          <w:rFonts w:ascii="Century Gothic" w:eastAsia="Calibri" w:hAnsi="Century Gothic"/>
          <w:lang w:eastAsia="en-US"/>
        </w:rPr>
        <w:t xml:space="preserve">HCV </w:t>
      </w:r>
      <w:r w:rsidRPr="00EA4CED">
        <w:rPr>
          <w:rFonts w:ascii="Century Gothic" w:eastAsia="Calibri" w:hAnsi="Century Gothic"/>
          <w:lang w:eastAsia="en-US"/>
        </w:rPr>
        <w:t>families</w:t>
      </w:r>
      <w:r w:rsidR="21FB9143" w:rsidRPr="72BF3ECB">
        <w:rPr>
          <w:rFonts w:ascii="Century Gothic" w:eastAsia="Calibri" w:hAnsi="Century Gothic"/>
          <w:lang w:eastAsia="en-US"/>
        </w:rPr>
        <w:t xml:space="preserve">. </w:t>
      </w:r>
    </w:p>
    <w:p w14:paraId="78E20AB2" w14:textId="26330824" w:rsidR="000828FA" w:rsidRDefault="005E662A" w:rsidP="005E662A">
      <w:pPr>
        <w:rPr>
          <w:rFonts w:ascii="Century Gothic" w:eastAsia="Calibri" w:hAnsi="Century Gothic"/>
          <w:lang w:eastAsia="en-US"/>
        </w:rPr>
      </w:pPr>
      <w:r w:rsidRPr="00EA4CED">
        <w:rPr>
          <w:rFonts w:ascii="Century Gothic" w:eastAsia="Calibri" w:hAnsi="Century Gothic"/>
          <w:lang w:eastAsia="en-US"/>
        </w:rPr>
        <w:t xml:space="preserve"> </w:t>
      </w:r>
    </w:p>
    <w:p w14:paraId="3310512B" w14:textId="0FE11BC9" w:rsidR="005E662A" w:rsidRPr="00E07C2D" w:rsidRDefault="005E662A" w:rsidP="005E662A">
      <w:pPr>
        <w:rPr>
          <w:rFonts w:ascii="Century Gothic" w:eastAsia="Calibri" w:hAnsi="Century Gothic"/>
          <w:lang w:eastAsia="en-US"/>
        </w:rPr>
      </w:pPr>
      <w:r w:rsidRPr="188A1EBF">
        <w:rPr>
          <w:rFonts w:ascii="Century Gothic" w:eastAsia="Calibri" w:hAnsi="Century Gothic"/>
          <w:lang w:eastAsia="en-US"/>
        </w:rPr>
        <w:t>$570,391</w:t>
      </w:r>
      <w:r w:rsidRPr="188A1EBF">
        <w:rPr>
          <w:rFonts w:ascii="Century Gothic" w:eastAsia="Times New Roman" w:hAnsi="Century Gothic"/>
        </w:rPr>
        <w:t xml:space="preserve"> was spent in MTW funding for HCV program in FY24.</w:t>
      </w:r>
      <w:r w:rsidRPr="188A1EBF">
        <w:rPr>
          <w:rFonts w:ascii="Century Gothic" w:eastAsia="Calibri" w:hAnsi="Century Gothic"/>
          <w:lang w:eastAsia="en-US"/>
        </w:rPr>
        <w:t xml:space="preserve">  </w:t>
      </w:r>
      <w:r w:rsidR="5317C345" w:rsidRPr="188A1EBF">
        <w:rPr>
          <w:rFonts w:ascii="Century Gothic" w:eastAsia="Calibri" w:hAnsi="Century Gothic"/>
          <w:lang w:eastAsia="en-US"/>
        </w:rPr>
        <w:t xml:space="preserve"> </w:t>
      </w:r>
      <w:r w:rsidR="00CF307B" w:rsidRPr="00E07C2D">
        <w:rPr>
          <w:rFonts w:ascii="Century Gothic" w:eastAsia="Calibri" w:hAnsi="Century Gothic"/>
          <w:lang w:eastAsia="en-US"/>
        </w:rPr>
        <w:t xml:space="preserve">In the LIPH program, </w:t>
      </w:r>
      <w:r w:rsidR="43DBBC25" w:rsidRPr="00E07C2D">
        <w:rPr>
          <w:rFonts w:ascii="Century Gothic" w:eastAsia="Calibri" w:hAnsi="Century Gothic"/>
          <w:lang w:eastAsia="en-US"/>
        </w:rPr>
        <w:t>$14,</w:t>
      </w:r>
      <w:r w:rsidR="7C564DBA" w:rsidRPr="00E07C2D">
        <w:rPr>
          <w:rFonts w:ascii="Century Gothic" w:eastAsia="Calibri" w:hAnsi="Century Gothic"/>
          <w:lang w:eastAsia="en-US"/>
        </w:rPr>
        <w:t>373</w:t>
      </w:r>
      <w:r w:rsidR="43DBBC25" w:rsidRPr="00E07C2D">
        <w:rPr>
          <w:rFonts w:ascii="Century Gothic" w:eastAsia="Calibri" w:hAnsi="Century Gothic"/>
          <w:lang w:eastAsia="en-US"/>
        </w:rPr>
        <w:t xml:space="preserve"> </w:t>
      </w:r>
      <w:r w:rsidR="00CF307B" w:rsidRPr="00E07C2D">
        <w:rPr>
          <w:rFonts w:ascii="Century Gothic" w:eastAsia="Calibri" w:hAnsi="Century Gothic"/>
          <w:lang w:eastAsia="en-US"/>
        </w:rPr>
        <w:t>was spent</w:t>
      </w:r>
      <w:r w:rsidR="43DBBC25" w:rsidRPr="00E07C2D">
        <w:rPr>
          <w:rFonts w:ascii="Century Gothic" w:eastAsia="Calibri" w:hAnsi="Century Gothic"/>
          <w:lang w:eastAsia="en-US"/>
        </w:rPr>
        <w:t xml:space="preserve">.  This included </w:t>
      </w:r>
      <w:r w:rsidR="002B0C27" w:rsidRPr="00E07C2D">
        <w:rPr>
          <w:rFonts w:ascii="Century Gothic" w:eastAsia="Calibri" w:hAnsi="Century Gothic"/>
          <w:lang w:eastAsia="en-US"/>
        </w:rPr>
        <w:t>utility</w:t>
      </w:r>
      <w:r w:rsidR="43DBBC25" w:rsidRPr="00E07C2D">
        <w:rPr>
          <w:rFonts w:ascii="Century Gothic" w:eastAsia="Calibri" w:hAnsi="Century Gothic"/>
          <w:lang w:eastAsia="en-US"/>
        </w:rPr>
        <w:t xml:space="preserve"> and </w:t>
      </w:r>
      <w:r w:rsidR="00CF307B" w:rsidRPr="00E07C2D">
        <w:rPr>
          <w:rFonts w:ascii="Century Gothic" w:eastAsia="Calibri" w:hAnsi="Century Gothic"/>
          <w:lang w:eastAsia="en-US"/>
        </w:rPr>
        <w:t>maintenance costs.</w:t>
      </w:r>
    </w:p>
    <w:p w14:paraId="2790D785" w14:textId="77777777" w:rsidR="000828FA" w:rsidRPr="00950239" w:rsidRDefault="000828FA" w:rsidP="005E662A">
      <w:pPr>
        <w:rPr>
          <w:rFonts w:ascii="Century Gothic" w:eastAsia="Calibri" w:hAnsi="Century Gothic"/>
          <w:lang w:eastAsia="en-US"/>
        </w:rPr>
      </w:pPr>
    </w:p>
    <w:p w14:paraId="1406AA9A" w14:textId="77777777" w:rsidR="005E662A" w:rsidRPr="00950239" w:rsidRDefault="005E662A" w:rsidP="005E662A">
      <w:pPr>
        <w:rPr>
          <w:rFonts w:ascii="Century Gothic" w:hAnsi="Century Gothic"/>
        </w:rPr>
      </w:pPr>
      <w:r w:rsidRPr="00950239">
        <w:rPr>
          <w:rFonts w:ascii="Century Gothic" w:hAnsi="Century Gothic"/>
          <w:noProof/>
        </w:rPr>
        <w:drawing>
          <wp:inline distT="0" distB="0" distL="0" distR="0" wp14:anchorId="61BB6CF8" wp14:editId="7D7DDCB1">
            <wp:extent cx="6858000" cy="2390775"/>
            <wp:effectExtent l="0" t="0" r="0" b="0"/>
            <wp:docPr id="467842215" name="Picture 1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42215" name="Picture 467842215" descr="Chart, bar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858000" cy="2390775"/>
                    </a:xfrm>
                    <a:prstGeom prst="rect">
                      <a:avLst/>
                    </a:prstGeom>
                  </pic:spPr>
                </pic:pic>
              </a:graphicData>
            </a:graphic>
          </wp:inline>
        </w:drawing>
      </w:r>
    </w:p>
    <w:p w14:paraId="5ECB9076" w14:textId="77777777" w:rsidR="005E662A" w:rsidRDefault="005E662A" w:rsidP="005E662A">
      <w:pPr>
        <w:rPr>
          <w:rFonts w:ascii="Century Gothic" w:eastAsia="Calibri" w:hAnsi="Century Gothic"/>
          <w:highlight w:val="yellow"/>
          <w:lang w:eastAsia="en-US"/>
        </w:rPr>
      </w:pPr>
    </w:p>
    <w:p w14:paraId="4F0ADF12" w14:textId="2DEF4DEC" w:rsidR="00D77855" w:rsidRPr="00D77855" w:rsidRDefault="00D77855" w:rsidP="005E662A">
      <w:pPr>
        <w:rPr>
          <w:rFonts w:ascii="Century Gothic" w:eastAsia="Calibri" w:hAnsi="Century Gothic"/>
          <w:b/>
          <w:bCs/>
          <w:lang w:eastAsia="en-US"/>
        </w:rPr>
      </w:pPr>
      <w:r w:rsidRPr="00D77855">
        <w:rPr>
          <w:rFonts w:ascii="Century Gothic" w:eastAsia="Calibri" w:hAnsi="Century Gothic"/>
          <w:b/>
          <w:bCs/>
          <w:lang w:eastAsia="en-US"/>
        </w:rPr>
        <w:t>Internal Metrics</w:t>
      </w:r>
    </w:p>
    <w:p w14:paraId="4271F9C0" w14:textId="77777777" w:rsidR="005E662A" w:rsidRPr="00950239" w:rsidRDefault="005E662A" w:rsidP="005E662A">
      <w:pPr>
        <w:rPr>
          <w:rFonts w:ascii="Century Gothic" w:eastAsia="Calibri" w:hAnsi="Century Gothic"/>
          <w:highlight w:val="green"/>
          <w:lang w:eastAsia="en-US"/>
        </w:rPr>
      </w:pPr>
    </w:p>
    <w:tbl>
      <w:tblPr>
        <w:tblW w:w="0" w:type="auto"/>
        <w:tblLook w:val="04A0" w:firstRow="1" w:lastRow="0" w:firstColumn="1" w:lastColumn="0" w:noHBand="0" w:noVBand="1"/>
      </w:tblPr>
      <w:tblGrid>
        <w:gridCol w:w="2425"/>
        <w:gridCol w:w="1170"/>
        <w:gridCol w:w="1505"/>
        <w:gridCol w:w="2365"/>
        <w:gridCol w:w="2345"/>
      </w:tblGrid>
      <w:tr w:rsidR="005E662A" w:rsidRPr="005E662A" w14:paraId="3D8CBDC5" w14:textId="77777777">
        <w:trPr>
          <w:trHeight w:val="390"/>
        </w:trPr>
        <w:tc>
          <w:tcPr>
            <w:tcW w:w="9810" w:type="dxa"/>
            <w:gridSpan w:val="5"/>
            <w:tcBorders>
              <w:top w:val="nil"/>
              <w:left w:val="single" w:sz="24" w:space="0" w:color="808080" w:themeColor="background1" w:themeShade="80"/>
              <w:bottom w:val="single" w:sz="24" w:space="0" w:color="ED7D31"/>
              <w:right w:val="single" w:sz="24" w:space="0" w:color="808080" w:themeColor="background1" w:themeShade="80"/>
            </w:tcBorders>
            <w:shd w:val="clear" w:color="auto" w:fill="808080" w:themeFill="background1" w:themeFillShade="80"/>
            <w:tcMar>
              <w:top w:w="0" w:type="dxa"/>
              <w:left w:w="108" w:type="dxa"/>
              <w:bottom w:w="0" w:type="dxa"/>
              <w:right w:w="108" w:type="dxa"/>
            </w:tcMar>
          </w:tcPr>
          <w:p w14:paraId="29871065" w14:textId="77777777" w:rsidR="005E662A" w:rsidRPr="00950239" w:rsidRDefault="005E662A">
            <w:pPr>
              <w:jc w:val="center"/>
              <w:rPr>
                <w:rFonts w:ascii="Century Gothic" w:eastAsia="Calibri" w:hAnsi="Century Gothic"/>
                <w:b/>
                <w:bCs/>
                <w:lang w:eastAsia="en-US"/>
              </w:rPr>
            </w:pPr>
            <w:r w:rsidRPr="00950239">
              <w:rPr>
                <w:rFonts w:ascii="Century Gothic" w:eastAsia="Calibri" w:hAnsi="Century Gothic"/>
                <w:b/>
                <w:bCs/>
                <w:lang w:eastAsia="en-US"/>
              </w:rPr>
              <w:t>SS #3: Increase in Positive Outcomes in Employment Status*</w:t>
            </w:r>
          </w:p>
        </w:tc>
      </w:tr>
      <w:tr w:rsidR="005E662A" w:rsidRPr="005E662A" w14:paraId="022C4F30" w14:textId="77777777">
        <w:trPr>
          <w:trHeight w:val="320"/>
        </w:trPr>
        <w:tc>
          <w:tcPr>
            <w:tcW w:w="2425" w:type="dxa"/>
            <w:tcBorders>
              <w:top w:val="nil"/>
              <w:left w:val="single" w:sz="24" w:space="0" w:color="BFBFBF" w:themeColor="background1" w:themeShade="BF"/>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tcPr>
          <w:p w14:paraId="5B59088E" w14:textId="77777777" w:rsidR="005E662A" w:rsidRPr="00950239" w:rsidRDefault="005E662A">
            <w:pPr>
              <w:jc w:val="center"/>
              <w:rPr>
                <w:rFonts w:ascii="Century Gothic" w:eastAsia="Calibri" w:hAnsi="Century Gothic"/>
                <w:b/>
                <w:bCs/>
                <w:lang w:eastAsia="en-US"/>
              </w:rPr>
            </w:pPr>
            <w:r w:rsidRPr="00950239">
              <w:rPr>
                <w:rFonts w:ascii="Century Gothic" w:eastAsia="Calibri" w:hAnsi="Century Gothic"/>
                <w:b/>
                <w:bCs/>
                <w:lang w:eastAsia="en-US"/>
              </w:rPr>
              <w:t>Unit of Measurement</w:t>
            </w:r>
          </w:p>
        </w:tc>
        <w:tc>
          <w:tcPr>
            <w:tcW w:w="1170"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tcPr>
          <w:p w14:paraId="01AA0F33" w14:textId="77777777" w:rsidR="005E662A" w:rsidRPr="00950239" w:rsidRDefault="005E662A">
            <w:pPr>
              <w:jc w:val="center"/>
              <w:rPr>
                <w:rFonts w:ascii="Century Gothic" w:eastAsia="Calibri" w:hAnsi="Century Gothic"/>
                <w:b/>
                <w:bCs/>
                <w:lang w:eastAsia="en-US"/>
              </w:rPr>
            </w:pPr>
            <w:r w:rsidRPr="00950239">
              <w:rPr>
                <w:rFonts w:ascii="Century Gothic" w:eastAsia="Calibri" w:hAnsi="Century Gothic"/>
                <w:b/>
                <w:bCs/>
                <w:lang w:eastAsia="en-US"/>
              </w:rPr>
              <w:t>Baseline</w:t>
            </w:r>
          </w:p>
        </w:tc>
        <w:tc>
          <w:tcPr>
            <w:tcW w:w="1505"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tcPr>
          <w:p w14:paraId="7415C24F" w14:textId="77777777" w:rsidR="005E662A" w:rsidRPr="00950239" w:rsidRDefault="005E662A">
            <w:pPr>
              <w:jc w:val="center"/>
              <w:rPr>
                <w:rFonts w:ascii="Century Gothic" w:eastAsia="Calibri" w:hAnsi="Century Gothic"/>
                <w:b/>
                <w:bCs/>
                <w:lang w:eastAsia="en-US"/>
              </w:rPr>
            </w:pPr>
            <w:r w:rsidRPr="00950239">
              <w:rPr>
                <w:rFonts w:ascii="Century Gothic" w:eastAsia="Calibri" w:hAnsi="Century Gothic"/>
                <w:b/>
                <w:bCs/>
                <w:lang w:eastAsia="en-US"/>
              </w:rPr>
              <w:t>Benchmark</w:t>
            </w:r>
          </w:p>
        </w:tc>
        <w:tc>
          <w:tcPr>
            <w:tcW w:w="2365"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tcPr>
          <w:p w14:paraId="01CC460B" w14:textId="77777777" w:rsidR="005E662A" w:rsidRPr="00950239" w:rsidRDefault="005E662A">
            <w:pPr>
              <w:jc w:val="center"/>
              <w:rPr>
                <w:rFonts w:ascii="Century Gothic" w:eastAsia="Calibri" w:hAnsi="Century Gothic"/>
                <w:b/>
                <w:bCs/>
                <w:lang w:eastAsia="en-US"/>
              </w:rPr>
            </w:pPr>
            <w:r w:rsidRPr="00950239">
              <w:rPr>
                <w:rFonts w:ascii="Century Gothic" w:eastAsia="Calibri" w:hAnsi="Century Gothic"/>
                <w:b/>
                <w:bCs/>
                <w:lang w:eastAsia="en-US"/>
              </w:rPr>
              <w:t>Outcome</w:t>
            </w:r>
          </w:p>
        </w:tc>
        <w:tc>
          <w:tcPr>
            <w:tcW w:w="2345" w:type="dxa"/>
            <w:tcBorders>
              <w:top w:val="nil"/>
              <w:left w:val="nil"/>
              <w:bottom w:val="single" w:sz="8" w:space="0" w:color="D9D9D9" w:themeColor="background1" w:themeShade="D9"/>
              <w:right w:val="single" w:sz="24" w:space="0" w:color="BFBFBF" w:themeColor="background1" w:themeShade="BF"/>
            </w:tcBorders>
            <w:shd w:val="clear" w:color="auto" w:fill="BFBFBF" w:themeFill="background1" w:themeFillShade="BF"/>
            <w:tcMar>
              <w:top w:w="0" w:type="dxa"/>
              <w:left w:w="108" w:type="dxa"/>
              <w:bottom w:w="0" w:type="dxa"/>
              <w:right w:w="108" w:type="dxa"/>
            </w:tcMar>
            <w:vAlign w:val="center"/>
          </w:tcPr>
          <w:p w14:paraId="14A7BDE2" w14:textId="77777777" w:rsidR="005E662A" w:rsidRPr="00950239" w:rsidRDefault="005E662A">
            <w:pPr>
              <w:jc w:val="center"/>
              <w:rPr>
                <w:rFonts w:ascii="Century Gothic" w:eastAsia="Calibri" w:hAnsi="Century Gothic"/>
                <w:b/>
                <w:bCs/>
                <w:lang w:eastAsia="en-US"/>
              </w:rPr>
            </w:pPr>
            <w:r w:rsidRPr="00950239">
              <w:rPr>
                <w:rFonts w:ascii="Century Gothic" w:eastAsia="Calibri" w:hAnsi="Century Gothic"/>
                <w:b/>
                <w:bCs/>
                <w:lang w:eastAsia="en-US"/>
              </w:rPr>
              <w:t>Benchmark Achieved?</w:t>
            </w:r>
          </w:p>
        </w:tc>
      </w:tr>
      <w:tr w:rsidR="005E662A" w:rsidRPr="005E662A" w14:paraId="037571D0" w14:textId="77777777">
        <w:trPr>
          <w:trHeight w:val="1151"/>
        </w:trPr>
        <w:tc>
          <w:tcPr>
            <w:tcW w:w="242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78E6A4DF"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Percentage of families with employment income as of 9/30/2024</w:t>
            </w:r>
          </w:p>
        </w:tc>
        <w:tc>
          <w:tcPr>
            <w:tcW w:w="117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4350074F"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0 (2010)</w:t>
            </w:r>
          </w:p>
        </w:tc>
        <w:tc>
          <w:tcPr>
            <w:tcW w:w="150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70353BAF"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50% would be employed</w:t>
            </w:r>
          </w:p>
        </w:tc>
        <w:tc>
          <w:tcPr>
            <w:tcW w:w="236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453FAE8C"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2024: 13/44 (30%)</w:t>
            </w:r>
          </w:p>
          <w:p w14:paraId="37180202"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2023: 12/37 (32%)</w:t>
            </w:r>
          </w:p>
          <w:p w14:paraId="2F11D5B4"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2022 13/29 (45%)</w:t>
            </w:r>
          </w:p>
          <w:p w14:paraId="5A401F19"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2021: 7/40 (18%)</w:t>
            </w:r>
          </w:p>
          <w:p w14:paraId="68F5F193"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2020: 5/27 (19%)</w:t>
            </w:r>
          </w:p>
          <w:p w14:paraId="3E417908" w14:textId="77777777" w:rsidR="005E662A" w:rsidRPr="00950239" w:rsidRDefault="005E662A">
            <w:pPr>
              <w:rPr>
                <w:rFonts w:ascii="Century Gothic" w:eastAsia="Calibri" w:hAnsi="Century Gothic"/>
                <w:lang w:eastAsia="en-US"/>
              </w:rPr>
            </w:pPr>
          </w:p>
        </w:tc>
        <w:tc>
          <w:tcPr>
            <w:tcW w:w="2345" w:type="dxa"/>
            <w:tcBorders>
              <w:top w:val="nil"/>
              <w:left w:val="nil"/>
              <w:bottom w:val="single" w:sz="8" w:space="0" w:color="D9D9D9" w:themeColor="background1" w:themeShade="D9"/>
              <w:right w:val="nil"/>
            </w:tcBorders>
            <w:tcMar>
              <w:top w:w="0" w:type="dxa"/>
              <w:left w:w="108" w:type="dxa"/>
              <w:bottom w:w="0" w:type="dxa"/>
              <w:right w:w="108" w:type="dxa"/>
            </w:tcMar>
          </w:tcPr>
          <w:p w14:paraId="70CCFF92"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No</w:t>
            </w:r>
          </w:p>
        </w:tc>
      </w:tr>
      <w:tr w:rsidR="005E662A" w:rsidRPr="005E662A" w14:paraId="71695F44" w14:textId="77777777">
        <w:trPr>
          <w:trHeight w:val="1245"/>
        </w:trPr>
        <w:tc>
          <w:tcPr>
            <w:tcW w:w="242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4B9BF016"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Percentage of individuals remained employed for more than six months</w:t>
            </w:r>
          </w:p>
        </w:tc>
        <w:tc>
          <w:tcPr>
            <w:tcW w:w="117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38564652"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0 (2010)</w:t>
            </w:r>
          </w:p>
        </w:tc>
        <w:tc>
          <w:tcPr>
            <w:tcW w:w="150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60D498D2"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50% will be employed for more than six months</w:t>
            </w:r>
          </w:p>
        </w:tc>
        <w:tc>
          <w:tcPr>
            <w:tcW w:w="236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56F792BE"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2024: 8/44 (18%)</w:t>
            </w:r>
          </w:p>
          <w:p w14:paraId="72C576C9"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2023: 12/37 (32%</w:t>
            </w:r>
          </w:p>
          <w:p w14:paraId="1C6AEF36"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2022 13/29 (45%)</w:t>
            </w:r>
          </w:p>
          <w:p w14:paraId="4D67BD90"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2021: 7/40 (18%)</w:t>
            </w:r>
          </w:p>
          <w:p w14:paraId="1FE01A13"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2020: 5/27 (19%)</w:t>
            </w:r>
          </w:p>
          <w:p w14:paraId="73551FCB" w14:textId="77777777" w:rsidR="005E662A" w:rsidRPr="00950239" w:rsidRDefault="005E662A">
            <w:pPr>
              <w:rPr>
                <w:rFonts w:ascii="Century Gothic" w:eastAsia="Calibri" w:hAnsi="Century Gothic"/>
                <w:lang w:eastAsia="en-US"/>
              </w:rPr>
            </w:pPr>
          </w:p>
        </w:tc>
        <w:tc>
          <w:tcPr>
            <w:tcW w:w="2345" w:type="dxa"/>
            <w:tcBorders>
              <w:top w:val="nil"/>
              <w:left w:val="nil"/>
              <w:bottom w:val="single" w:sz="8" w:space="0" w:color="D9D9D9" w:themeColor="background1" w:themeShade="D9"/>
              <w:right w:val="nil"/>
            </w:tcBorders>
            <w:tcMar>
              <w:top w:w="0" w:type="dxa"/>
              <w:left w:w="108" w:type="dxa"/>
              <w:bottom w:w="0" w:type="dxa"/>
              <w:right w:w="108" w:type="dxa"/>
            </w:tcMar>
          </w:tcPr>
          <w:p w14:paraId="23B1A73C"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No</w:t>
            </w:r>
          </w:p>
        </w:tc>
      </w:tr>
      <w:tr w:rsidR="005E662A" w:rsidRPr="005E662A" w14:paraId="1BE8399D" w14:textId="77777777">
        <w:trPr>
          <w:trHeight w:val="390"/>
        </w:trPr>
        <w:tc>
          <w:tcPr>
            <w:tcW w:w="9810" w:type="dxa"/>
            <w:gridSpan w:val="5"/>
            <w:tcBorders>
              <w:top w:val="nil"/>
              <w:left w:val="single" w:sz="24" w:space="0" w:color="808080" w:themeColor="background1" w:themeShade="80"/>
              <w:bottom w:val="single" w:sz="24" w:space="0" w:color="C00000"/>
              <w:right w:val="single" w:sz="24" w:space="0" w:color="808080" w:themeColor="background1" w:themeShade="80"/>
            </w:tcBorders>
            <w:shd w:val="clear" w:color="auto" w:fill="808080" w:themeFill="background1" w:themeFillShade="80"/>
            <w:tcMar>
              <w:top w:w="0" w:type="dxa"/>
              <w:left w:w="108" w:type="dxa"/>
              <w:bottom w:w="0" w:type="dxa"/>
              <w:right w:w="108" w:type="dxa"/>
            </w:tcMar>
          </w:tcPr>
          <w:p w14:paraId="7278B5ED" w14:textId="77777777" w:rsidR="005E662A" w:rsidRPr="00950239" w:rsidRDefault="005E662A">
            <w:pPr>
              <w:jc w:val="center"/>
              <w:rPr>
                <w:rFonts w:ascii="Century Gothic" w:eastAsia="Calibri" w:hAnsi="Century Gothic"/>
                <w:b/>
                <w:bCs/>
                <w:lang w:eastAsia="en-US"/>
              </w:rPr>
            </w:pPr>
            <w:r w:rsidRPr="00950239">
              <w:rPr>
                <w:rFonts w:ascii="Century Gothic" w:eastAsia="Calibri" w:hAnsi="Century Gothic"/>
                <w:b/>
                <w:bCs/>
                <w:lang w:eastAsia="en-US"/>
              </w:rPr>
              <w:t>SS #5: Households Assisted by Services that Increase Self Sufficiency</w:t>
            </w:r>
          </w:p>
        </w:tc>
      </w:tr>
      <w:tr w:rsidR="005E662A" w:rsidRPr="005E662A" w14:paraId="2E9589FE" w14:textId="77777777">
        <w:trPr>
          <w:trHeight w:val="1220"/>
        </w:trPr>
        <w:tc>
          <w:tcPr>
            <w:tcW w:w="242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36F700E5"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 xml:space="preserve">Percentage of individuals referred </w:t>
            </w:r>
            <w:proofErr w:type="gramStart"/>
            <w:r w:rsidRPr="00950239">
              <w:rPr>
                <w:rFonts w:ascii="Century Gothic" w:eastAsia="Calibri" w:hAnsi="Century Gothic"/>
                <w:lang w:eastAsia="en-US"/>
              </w:rPr>
              <w:t>for</w:t>
            </w:r>
            <w:proofErr w:type="gramEnd"/>
            <w:r w:rsidRPr="00950239">
              <w:rPr>
                <w:rFonts w:ascii="Century Gothic" w:eastAsia="Calibri" w:hAnsi="Century Gothic"/>
                <w:lang w:eastAsia="en-US"/>
              </w:rPr>
              <w:t xml:space="preserve"> services**</w:t>
            </w:r>
          </w:p>
        </w:tc>
        <w:tc>
          <w:tcPr>
            <w:tcW w:w="117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3CEA2842"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0 (2010)</w:t>
            </w:r>
          </w:p>
        </w:tc>
        <w:tc>
          <w:tcPr>
            <w:tcW w:w="150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7E17485C"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 xml:space="preserve">All individuals will be enrolled in Family Support Service or </w:t>
            </w:r>
            <w:r w:rsidRPr="00950239">
              <w:rPr>
                <w:rFonts w:ascii="Century Gothic" w:eastAsia="Calibri" w:hAnsi="Century Gothic"/>
                <w:lang w:eastAsia="en-US"/>
              </w:rPr>
              <w:lastRenderedPageBreak/>
              <w:t>FSS Program</w:t>
            </w:r>
          </w:p>
        </w:tc>
        <w:tc>
          <w:tcPr>
            <w:tcW w:w="236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5E3FF033"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lastRenderedPageBreak/>
              <w:t>2024: 44/44 (100%)</w:t>
            </w:r>
          </w:p>
          <w:p w14:paraId="55EEBB41"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2023: 37/37 (100%)</w:t>
            </w:r>
          </w:p>
          <w:p w14:paraId="42928794"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2022 29/29 (100%)</w:t>
            </w:r>
          </w:p>
          <w:p w14:paraId="0A67FFE0"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2021: 07/40 (18%)</w:t>
            </w:r>
          </w:p>
          <w:p w14:paraId="52CFF650"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2020:0/27 (0%)</w:t>
            </w:r>
          </w:p>
          <w:p w14:paraId="0F292EE9" w14:textId="77777777" w:rsidR="005E662A" w:rsidRPr="00950239" w:rsidRDefault="005E662A">
            <w:pPr>
              <w:rPr>
                <w:rFonts w:ascii="Century Gothic" w:eastAsia="Calibri" w:hAnsi="Century Gothic"/>
                <w:lang w:eastAsia="en-US"/>
              </w:rPr>
            </w:pPr>
          </w:p>
        </w:tc>
        <w:tc>
          <w:tcPr>
            <w:tcW w:w="2345" w:type="dxa"/>
            <w:tcBorders>
              <w:top w:val="nil"/>
              <w:left w:val="nil"/>
              <w:bottom w:val="single" w:sz="8" w:space="0" w:color="D9D9D9" w:themeColor="background1" w:themeShade="D9"/>
              <w:right w:val="nil"/>
            </w:tcBorders>
            <w:tcMar>
              <w:top w:w="0" w:type="dxa"/>
              <w:left w:w="108" w:type="dxa"/>
              <w:bottom w:w="0" w:type="dxa"/>
              <w:right w:w="108" w:type="dxa"/>
            </w:tcMar>
          </w:tcPr>
          <w:p w14:paraId="39F95DF0"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No</w:t>
            </w:r>
          </w:p>
        </w:tc>
      </w:tr>
    </w:tbl>
    <w:p w14:paraId="39DBABE4" w14:textId="77777777" w:rsidR="005E662A" w:rsidRPr="00950239" w:rsidRDefault="005E662A" w:rsidP="005E662A">
      <w:pPr>
        <w:rPr>
          <w:rFonts w:ascii="Century Gothic" w:eastAsia="Calibri" w:hAnsi="Century Gothic"/>
          <w:lang w:eastAsia="en-US"/>
        </w:rPr>
      </w:pPr>
    </w:p>
    <w:tbl>
      <w:tblPr>
        <w:tblW w:w="0" w:type="auto"/>
        <w:tblInd w:w="-5" w:type="dxa"/>
        <w:tblLook w:val="04A0" w:firstRow="1" w:lastRow="0" w:firstColumn="1" w:lastColumn="0" w:noHBand="0" w:noVBand="1"/>
      </w:tblPr>
      <w:tblGrid>
        <w:gridCol w:w="2425"/>
        <w:gridCol w:w="1170"/>
        <w:gridCol w:w="1890"/>
        <w:gridCol w:w="2320"/>
        <w:gridCol w:w="2005"/>
      </w:tblGrid>
      <w:tr w:rsidR="007A6DC0" w:rsidRPr="005E662A" w14:paraId="2568AA59" w14:textId="77777777">
        <w:trPr>
          <w:trHeight w:val="350"/>
        </w:trPr>
        <w:tc>
          <w:tcPr>
            <w:tcW w:w="9810" w:type="dxa"/>
            <w:gridSpan w:val="5"/>
            <w:tcBorders>
              <w:top w:val="nil"/>
              <w:left w:val="single" w:sz="24" w:space="0" w:color="808080" w:themeColor="background1" w:themeShade="80"/>
              <w:bottom w:val="single" w:sz="24" w:space="0" w:color="ED7D31"/>
              <w:right w:val="single" w:sz="24" w:space="0" w:color="808080" w:themeColor="background1" w:themeShade="80"/>
            </w:tcBorders>
            <w:shd w:val="clear" w:color="auto" w:fill="808080" w:themeFill="background1" w:themeFillShade="80"/>
            <w:tcMar>
              <w:top w:w="0" w:type="dxa"/>
              <w:left w:w="108" w:type="dxa"/>
              <w:bottom w:w="0" w:type="dxa"/>
              <w:right w:w="108" w:type="dxa"/>
            </w:tcMar>
          </w:tcPr>
          <w:p w14:paraId="3B5E22C5" w14:textId="77777777" w:rsidR="005E662A" w:rsidRPr="00950239" w:rsidRDefault="005E662A">
            <w:pPr>
              <w:jc w:val="center"/>
              <w:rPr>
                <w:rFonts w:ascii="Century Gothic" w:eastAsia="Calibri" w:hAnsi="Century Gothic"/>
                <w:lang w:eastAsia="en-US"/>
              </w:rPr>
            </w:pPr>
            <w:r w:rsidRPr="00950239">
              <w:rPr>
                <w:rFonts w:ascii="Century Gothic" w:eastAsia="Calibri" w:hAnsi="Century Gothic"/>
                <w:b/>
                <w:bCs/>
                <w:lang w:eastAsia="en-US"/>
              </w:rPr>
              <w:t>SS #5: Households Assisted by Services that Increase Self Sufficiency (continued)</w:t>
            </w:r>
          </w:p>
        </w:tc>
      </w:tr>
      <w:tr w:rsidR="00487DFC" w:rsidRPr="005E662A" w14:paraId="045DF65D" w14:textId="77777777">
        <w:trPr>
          <w:trHeight w:val="669"/>
        </w:trPr>
        <w:tc>
          <w:tcPr>
            <w:tcW w:w="2425" w:type="dxa"/>
            <w:tcBorders>
              <w:top w:val="nil"/>
              <w:left w:val="single" w:sz="24" w:space="0" w:color="BFBFBF" w:themeColor="background1" w:themeShade="BF"/>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tcPr>
          <w:p w14:paraId="3B5BD673" w14:textId="77777777" w:rsidR="005E662A" w:rsidRPr="00950239" w:rsidRDefault="005E662A">
            <w:pPr>
              <w:jc w:val="center"/>
              <w:rPr>
                <w:rFonts w:ascii="Century Gothic" w:eastAsia="Calibri" w:hAnsi="Century Gothic"/>
                <w:lang w:eastAsia="en-US"/>
              </w:rPr>
            </w:pPr>
            <w:r w:rsidRPr="00950239">
              <w:rPr>
                <w:rFonts w:ascii="Century Gothic" w:eastAsia="Calibri" w:hAnsi="Century Gothic"/>
                <w:b/>
                <w:bCs/>
                <w:lang w:eastAsia="en-US"/>
              </w:rPr>
              <w:t>Unit of Measurement</w:t>
            </w:r>
          </w:p>
        </w:tc>
        <w:tc>
          <w:tcPr>
            <w:tcW w:w="1170"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tcPr>
          <w:p w14:paraId="4D3EC382" w14:textId="77777777" w:rsidR="005E662A" w:rsidRPr="00950239" w:rsidRDefault="005E662A">
            <w:pPr>
              <w:jc w:val="center"/>
              <w:rPr>
                <w:rFonts w:ascii="Century Gothic" w:eastAsia="Calibri" w:hAnsi="Century Gothic"/>
                <w:lang w:eastAsia="en-US"/>
              </w:rPr>
            </w:pPr>
            <w:r w:rsidRPr="00950239">
              <w:rPr>
                <w:rFonts w:ascii="Century Gothic" w:eastAsia="Calibri" w:hAnsi="Century Gothic"/>
                <w:b/>
                <w:bCs/>
                <w:lang w:eastAsia="en-US"/>
              </w:rPr>
              <w:t>Baseline</w:t>
            </w:r>
          </w:p>
        </w:tc>
        <w:tc>
          <w:tcPr>
            <w:tcW w:w="1890"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tcPr>
          <w:p w14:paraId="7BDF21DF" w14:textId="77777777" w:rsidR="005E662A" w:rsidRPr="00950239" w:rsidRDefault="005E662A">
            <w:pPr>
              <w:jc w:val="center"/>
              <w:rPr>
                <w:rFonts w:ascii="Century Gothic" w:eastAsia="Calibri" w:hAnsi="Century Gothic"/>
                <w:lang w:eastAsia="en-US"/>
              </w:rPr>
            </w:pPr>
            <w:r w:rsidRPr="00950239">
              <w:rPr>
                <w:rFonts w:ascii="Century Gothic" w:eastAsia="Calibri" w:hAnsi="Century Gothic"/>
                <w:b/>
                <w:bCs/>
                <w:lang w:eastAsia="en-US"/>
              </w:rPr>
              <w:t>Benchmark</w:t>
            </w:r>
          </w:p>
        </w:tc>
        <w:tc>
          <w:tcPr>
            <w:tcW w:w="2320"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tcMar>
              <w:top w:w="0" w:type="dxa"/>
              <w:left w:w="108" w:type="dxa"/>
              <w:bottom w:w="0" w:type="dxa"/>
              <w:right w:w="108" w:type="dxa"/>
            </w:tcMar>
            <w:vAlign w:val="center"/>
          </w:tcPr>
          <w:p w14:paraId="3A236B70" w14:textId="77777777" w:rsidR="005E662A" w:rsidRPr="00950239" w:rsidRDefault="005E662A">
            <w:pPr>
              <w:jc w:val="center"/>
              <w:rPr>
                <w:rFonts w:ascii="Century Gothic" w:eastAsia="MS PGothic" w:hAnsi="Century Gothic"/>
                <w:b/>
                <w:bCs/>
                <w:szCs w:val="22"/>
                <w:lang w:eastAsia="en-US"/>
              </w:rPr>
            </w:pPr>
            <w:r w:rsidRPr="00950239">
              <w:rPr>
                <w:rFonts w:ascii="Century Gothic" w:eastAsia="Calibri" w:hAnsi="Century Gothic"/>
                <w:b/>
                <w:bCs/>
                <w:lang w:eastAsia="en-US"/>
              </w:rPr>
              <w:t>Outcome</w:t>
            </w:r>
          </w:p>
        </w:tc>
        <w:tc>
          <w:tcPr>
            <w:tcW w:w="2005" w:type="dxa"/>
            <w:tcBorders>
              <w:top w:val="nil"/>
              <w:left w:val="nil"/>
              <w:bottom w:val="single" w:sz="8" w:space="0" w:color="D9D9D9" w:themeColor="background1" w:themeShade="D9"/>
              <w:right w:val="single" w:sz="24" w:space="0" w:color="BFBFBF" w:themeColor="background1" w:themeShade="BF"/>
            </w:tcBorders>
            <w:shd w:val="clear" w:color="auto" w:fill="BFBFBF" w:themeFill="background1" w:themeFillShade="BF"/>
            <w:tcMar>
              <w:top w:w="0" w:type="dxa"/>
              <w:left w:w="108" w:type="dxa"/>
              <w:bottom w:w="0" w:type="dxa"/>
              <w:right w:w="108" w:type="dxa"/>
            </w:tcMar>
            <w:vAlign w:val="center"/>
          </w:tcPr>
          <w:p w14:paraId="7BDD723D" w14:textId="77777777" w:rsidR="005E662A" w:rsidRPr="00950239" w:rsidRDefault="005E662A">
            <w:pPr>
              <w:jc w:val="center"/>
              <w:rPr>
                <w:rFonts w:ascii="Century Gothic" w:eastAsia="Calibri" w:hAnsi="Century Gothic"/>
                <w:lang w:eastAsia="en-US"/>
              </w:rPr>
            </w:pPr>
            <w:r w:rsidRPr="00950239">
              <w:rPr>
                <w:rFonts w:ascii="Century Gothic" w:eastAsia="Calibri" w:hAnsi="Century Gothic"/>
                <w:b/>
                <w:bCs/>
                <w:lang w:eastAsia="en-US"/>
              </w:rPr>
              <w:t>Benchmark Achieved?</w:t>
            </w:r>
          </w:p>
        </w:tc>
      </w:tr>
      <w:tr w:rsidR="007A6DC0" w:rsidRPr="005E662A" w14:paraId="23A18194" w14:textId="77777777">
        <w:trPr>
          <w:trHeight w:val="1220"/>
        </w:trPr>
        <w:tc>
          <w:tcPr>
            <w:tcW w:w="242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05FC8954"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Percentage of individuals compliant with plan</w:t>
            </w:r>
          </w:p>
        </w:tc>
        <w:tc>
          <w:tcPr>
            <w:tcW w:w="117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442D11B0"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0 (2010)</w:t>
            </w:r>
          </w:p>
        </w:tc>
        <w:tc>
          <w:tcPr>
            <w:tcW w:w="189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100C734B"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50% will be compliant with Service Plan***</w:t>
            </w:r>
          </w:p>
        </w:tc>
        <w:tc>
          <w:tcPr>
            <w:tcW w:w="232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48AFBC5E"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2024: 44/44 (100%)</w:t>
            </w:r>
          </w:p>
          <w:p w14:paraId="18DA3DDD"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2023: 34/34 (100%)</w:t>
            </w:r>
          </w:p>
          <w:p w14:paraId="0784075A"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2022 29/29 (100%)</w:t>
            </w:r>
          </w:p>
          <w:p w14:paraId="6F1AC6C8" w14:textId="24983F04"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2021</w:t>
            </w:r>
            <w:r w:rsidR="002B0C27" w:rsidRPr="00950239">
              <w:rPr>
                <w:rFonts w:ascii="Century Gothic" w:eastAsia="Calibri" w:hAnsi="Century Gothic"/>
                <w:lang w:eastAsia="en-US"/>
              </w:rPr>
              <w:t>: 7</w:t>
            </w:r>
            <w:r w:rsidRPr="00950239">
              <w:rPr>
                <w:rFonts w:ascii="Century Gothic" w:eastAsia="Calibri" w:hAnsi="Century Gothic"/>
                <w:lang w:eastAsia="en-US"/>
              </w:rPr>
              <w:t>/40 (18%)</w:t>
            </w:r>
          </w:p>
          <w:p w14:paraId="7148E49C"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2020: 27/27 (100%)</w:t>
            </w:r>
          </w:p>
          <w:p w14:paraId="14771B8D" w14:textId="77777777" w:rsidR="005E662A" w:rsidRPr="00950239" w:rsidRDefault="005E662A">
            <w:pPr>
              <w:rPr>
                <w:rFonts w:ascii="Century Gothic" w:eastAsia="Calibri" w:hAnsi="Century Gothic"/>
                <w:lang w:eastAsia="en-US"/>
              </w:rPr>
            </w:pPr>
          </w:p>
        </w:tc>
        <w:tc>
          <w:tcPr>
            <w:tcW w:w="2005" w:type="dxa"/>
            <w:tcBorders>
              <w:top w:val="nil"/>
              <w:left w:val="nil"/>
              <w:bottom w:val="single" w:sz="8" w:space="0" w:color="D9D9D9" w:themeColor="background1" w:themeShade="D9"/>
              <w:right w:val="nil"/>
            </w:tcBorders>
            <w:tcMar>
              <w:top w:w="0" w:type="dxa"/>
              <w:left w:w="108" w:type="dxa"/>
              <w:bottom w:w="0" w:type="dxa"/>
              <w:right w:w="108" w:type="dxa"/>
            </w:tcMar>
          </w:tcPr>
          <w:p w14:paraId="3868B2D6"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No</w:t>
            </w:r>
          </w:p>
        </w:tc>
      </w:tr>
      <w:tr w:rsidR="007A6DC0" w:rsidRPr="005E662A" w14:paraId="1ADC8F0F" w14:textId="77777777">
        <w:trPr>
          <w:trHeight w:val="390"/>
        </w:trPr>
        <w:tc>
          <w:tcPr>
            <w:tcW w:w="9810" w:type="dxa"/>
            <w:gridSpan w:val="5"/>
            <w:tcBorders>
              <w:top w:val="nil"/>
              <w:left w:val="single" w:sz="24" w:space="0" w:color="808080" w:themeColor="background1" w:themeShade="80"/>
              <w:bottom w:val="single" w:sz="24" w:space="0" w:color="C00000"/>
              <w:right w:val="single" w:sz="24" w:space="0" w:color="808080" w:themeColor="background1" w:themeShade="80"/>
            </w:tcBorders>
            <w:shd w:val="clear" w:color="auto" w:fill="808080" w:themeFill="background1" w:themeFillShade="80"/>
            <w:tcMar>
              <w:top w:w="0" w:type="dxa"/>
              <w:left w:w="108" w:type="dxa"/>
              <w:bottom w:w="0" w:type="dxa"/>
              <w:right w:w="108" w:type="dxa"/>
            </w:tcMar>
          </w:tcPr>
          <w:p w14:paraId="05F4C956" w14:textId="77777777" w:rsidR="005E662A" w:rsidRPr="00950239" w:rsidRDefault="005E662A">
            <w:pPr>
              <w:jc w:val="center"/>
              <w:rPr>
                <w:rFonts w:ascii="Century Gothic" w:eastAsia="Calibri" w:hAnsi="Century Gothic"/>
                <w:b/>
                <w:bCs/>
                <w:lang w:eastAsia="en-US"/>
              </w:rPr>
            </w:pPr>
            <w:r w:rsidRPr="00950239">
              <w:rPr>
                <w:rFonts w:ascii="Century Gothic" w:eastAsia="Calibri" w:hAnsi="Century Gothic"/>
                <w:b/>
                <w:bCs/>
                <w:lang w:eastAsia="en-US"/>
              </w:rPr>
              <w:t>SS #8: Households Transitioned to Self Sufficiency****</w:t>
            </w:r>
          </w:p>
        </w:tc>
      </w:tr>
      <w:tr w:rsidR="007A6DC0" w:rsidRPr="005E662A" w14:paraId="6BC1DF12" w14:textId="77777777">
        <w:trPr>
          <w:trHeight w:val="1220"/>
        </w:trPr>
        <w:tc>
          <w:tcPr>
            <w:tcW w:w="2425"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1A68E960" w14:textId="77777777" w:rsidR="005E662A" w:rsidRPr="00950239" w:rsidRDefault="005E662A">
            <w:pPr>
              <w:rPr>
                <w:rFonts w:ascii="Century Gothic" w:eastAsia="Calibri" w:hAnsi="Century Gothic"/>
                <w:lang w:eastAsia="en-US"/>
              </w:rPr>
            </w:pPr>
          </w:p>
          <w:p w14:paraId="45CDC0D2"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Participant program graduation during fiscal year (LIPH segment)</w:t>
            </w:r>
          </w:p>
        </w:tc>
        <w:tc>
          <w:tcPr>
            <w:tcW w:w="117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016B13EE" w14:textId="77777777" w:rsidR="005E662A" w:rsidRPr="00950239" w:rsidRDefault="005E662A">
            <w:pPr>
              <w:rPr>
                <w:rFonts w:ascii="Century Gothic" w:eastAsia="Calibri" w:hAnsi="Century Gothic"/>
                <w:lang w:eastAsia="en-US"/>
              </w:rPr>
            </w:pPr>
          </w:p>
          <w:p w14:paraId="03E84A8F"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0 (2010)</w:t>
            </w:r>
          </w:p>
        </w:tc>
        <w:tc>
          <w:tcPr>
            <w:tcW w:w="189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0181132A" w14:textId="77777777" w:rsidR="005E662A" w:rsidRPr="00950239" w:rsidRDefault="005E662A">
            <w:pPr>
              <w:rPr>
                <w:rFonts w:ascii="Century Gothic" w:eastAsia="Calibri" w:hAnsi="Century Gothic"/>
                <w:lang w:eastAsia="en-US"/>
              </w:rPr>
            </w:pPr>
          </w:p>
          <w:p w14:paraId="4FC8EE9B"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50% will Graduate the program</w:t>
            </w:r>
          </w:p>
        </w:tc>
        <w:tc>
          <w:tcPr>
            <w:tcW w:w="2320" w:type="dxa"/>
            <w:tcBorders>
              <w:top w:val="nil"/>
              <w:left w:val="nil"/>
              <w:bottom w:val="single" w:sz="8" w:space="0" w:color="D9D9D9" w:themeColor="background1" w:themeShade="D9"/>
              <w:right w:val="single" w:sz="8" w:space="0" w:color="D9D9D9" w:themeColor="background1" w:themeShade="D9"/>
            </w:tcBorders>
            <w:tcMar>
              <w:top w:w="0" w:type="dxa"/>
              <w:left w:w="108" w:type="dxa"/>
              <w:bottom w:w="0" w:type="dxa"/>
              <w:right w:w="108" w:type="dxa"/>
            </w:tcMar>
          </w:tcPr>
          <w:p w14:paraId="6A76A1A7"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2024: 0/44 (0%)</w:t>
            </w:r>
          </w:p>
          <w:p w14:paraId="64246260"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2023: 0/34 (0%)</w:t>
            </w:r>
          </w:p>
          <w:p w14:paraId="62DEED7E"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2022 0/29 (0%)</w:t>
            </w:r>
          </w:p>
          <w:p w14:paraId="1D49D4D7"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2021: 0/40 (0%)</w:t>
            </w:r>
          </w:p>
          <w:p w14:paraId="3476FC52"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2020: 0/27 (0%)</w:t>
            </w:r>
          </w:p>
          <w:p w14:paraId="53BAA2D1" w14:textId="77777777" w:rsidR="005E662A" w:rsidRPr="00950239" w:rsidRDefault="005E662A">
            <w:pPr>
              <w:rPr>
                <w:rFonts w:ascii="Century Gothic" w:eastAsia="Calibri" w:hAnsi="Century Gothic"/>
                <w:lang w:eastAsia="en-US"/>
              </w:rPr>
            </w:pPr>
          </w:p>
        </w:tc>
        <w:tc>
          <w:tcPr>
            <w:tcW w:w="2005" w:type="dxa"/>
            <w:tcBorders>
              <w:top w:val="nil"/>
              <w:left w:val="nil"/>
              <w:bottom w:val="single" w:sz="8" w:space="0" w:color="D9D9D9" w:themeColor="background1" w:themeShade="D9"/>
              <w:right w:val="nil"/>
            </w:tcBorders>
            <w:tcMar>
              <w:top w:w="0" w:type="dxa"/>
              <w:left w:w="108" w:type="dxa"/>
              <w:bottom w:w="0" w:type="dxa"/>
              <w:right w:w="108" w:type="dxa"/>
            </w:tcMar>
          </w:tcPr>
          <w:p w14:paraId="3A04FB47" w14:textId="77777777" w:rsidR="005E662A" w:rsidRPr="00950239" w:rsidRDefault="005E662A">
            <w:pPr>
              <w:rPr>
                <w:rFonts w:ascii="Century Gothic" w:eastAsia="Calibri" w:hAnsi="Century Gothic"/>
                <w:lang w:eastAsia="en-US"/>
              </w:rPr>
            </w:pPr>
          </w:p>
          <w:p w14:paraId="6C2893FA" w14:textId="77777777" w:rsidR="005E662A" w:rsidRPr="00950239" w:rsidRDefault="005E662A">
            <w:pPr>
              <w:rPr>
                <w:rFonts w:ascii="Century Gothic" w:eastAsia="Calibri" w:hAnsi="Century Gothic"/>
                <w:lang w:eastAsia="en-US"/>
              </w:rPr>
            </w:pPr>
            <w:r w:rsidRPr="00950239">
              <w:rPr>
                <w:rFonts w:ascii="Century Gothic" w:eastAsia="Calibri" w:hAnsi="Century Gothic"/>
                <w:lang w:eastAsia="en-US"/>
              </w:rPr>
              <w:t>No</w:t>
            </w:r>
          </w:p>
        </w:tc>
      </w:tr>
    </w:tbl>
    <w:p w14:paraId="07979C1F" w14:textId="77777777" w:rsidR="005E662A" w:rsidRPr="00950239" w:rsidRDefault="005E662A" w:rsidP="005E662A">
      <w:pPr>
        <w:rPr>
          <w:rFonts w:ascii="Century Gothic" w:eastAsia="Calibri" w:hAnsi="Century Gothic"/>
          <w:i/>
          <w:iCs/>
          <w:sz w:val="18"/>
          <w:szCs w:val="18"/>
          <w:lang w:eastAsia="en-US"/>
        </w:rPr>
      </w:pPr>
      <w:r w:rsidRPr="00950239">
        <w:rPr>
          <w:rFonts w:ascii="Century Gothic" w:eastAsia="Calibri" w:hAnsi="Century Gothic"/>
          <w:i/>
          <w:iCs/>
          <w:sz w:val="18"/>
          <w:szCs w:val="18"/>
          <w:lang w:eastAsia="en-US"/>
        </w:rPr>
        <w:t>* Employed is defined as “living directly from an individual’s profession or business.” ECC/HANH includes part-time work in this definition.</w:t>
      </w:r>
    </w:p>
    <w:p w14:paraId="5E4CF800" w14:textId="77777777" w:rsidR="005E662A" w:rsidRPr="00950239" w:rsidRDefault="005E662A" w:rsidP="005E662A">
      <w:pPr>
        <w:pStyle w:val="MTWHeader2"/>
        <w:rPr>
          <w:rFonts w:ascii="Century Gothic" w:eastAsia="Calibri" w:hAnsi="Century Gothic"/>
          <w:b w:val="0"/>
          <w:i/>
          <w:iCs/>
          <w:sz w:val="18"/>
          <w:szCs w:val="18"/>
        </w:rPr>
      </w:pPr>
      <w:r w:rsidRPr="00950239">
        <w:rPr>
          <w:rFonts w:ascii="Century Gothic" w:eastAsiaTheme="minorEastAsia" w:hAnsi="Century Gothic" w:cs="Times New Roman"/>
          <w:b w:val="0"/>
          <w:i/>
          <w:iCs/>
          <w:sz w:val="18"/>
          <w:szCs w:val="18"/>
        </w:rPr>
        <w:t xml:space="preserve">** ECC/HANH includes in "referred for services" services such as compResident Services for Elderly/Disabled </w:t>
      </w:r>
    </w:p>
    <w:p w14:paraId="49D2EE51" w14:textId="77777777" w:rsidR="005E662A" w:rsidRPr="00950239" w:rsidRDefault="005E662A" w:rsidP="005E662A">
      <w:pPr>
        <w:rPr>
          <w:rFonts w:ascii="Century Gothic" w:eastAsia="Calibri" w:hAnsi="Century Gothic"/>
          <w:i/>
          <w:iCs/>
          <w:lang w:eastAsia="en-US"/>
        </w:rPr>
      </w:pPr>
    </w:p>
    <w:p w14:paraId="3C0D7CDB" w14:textId="77777777" w:rsidR="005E662A" w:rsidRPr="00950239" w:rsidRDefault="005E662A" w:rsidP="005E662A">
      <w:pPr>
        <w:pStyle w:val="Heading4"/>
        <w:rPr>
          <w:rFonts w:ascii="Century Gothic" w:hAnsi="Century Gothic" w:cs="Times New Roman"/>
        </w:rPr>
      </w:pPr>
      <w:r w:rsidRPr="00950239">
        <w:rPr>
          <w:rFonts w:ascii="Century Gothic" w:hAnsi="Century Gothic" w:cs="Times New Roman"/>
        </w:rPr>
        <w:t>Actual non-significant changes</w:t>
      </w:r>
    </w:p>
    <w:p w14:paraId="6C7BB8D2" w14:textId="77777777" w:rsidR="005E662A" w:rsidRPr="00950239" w:rsidRDefault="005E662A" w:rsidP="005E662A">
      <w:pPr>
        <w:spacing w:after="160" w:line="276" w:lineRule="auto"/>
        <w:rPr>
          <w:rFonts w:ascii="Century Gothic" w:hAnsi="Century Gothic"/>
        </w:rPr>
      </w:pPr>
      <w:r w:rsidRPr="00950239">
        <w:rPr>
          <w:rFonts w:ascii="Century Gothic" w:hAnsi="Century Gothic"/>
        </w:rPr>
        <w:t>None.</w:t>
      </w:r>
    </w:p>
    <w:p w14:paraId="4B9E5451" w14:textId="77777777" w:rsidR="005E662A" w:rsidRPr="00950239" w:rsidRDefault="005E662A" w:rsidP="005E662A">
      <w:pPr>
        <w:pStyle w:val="Heading4"/>
        <w:rPr>
          <w:rFonts w:ascii="Century Gothic" w:hAnsi="Century Gothic" w:cs="Times New Roman"/>
        </w:rPr>
      </w:pPr>
      <w:r w:rsidRPr="00950239">
        <w:rPr>
          <w:rFonts w:ascii="Century Gothic" w:hAnsi="Century Gothic" w:cs="Times New Roman"/>
        </w:rPr>
        <w:t>Actual significant changes</w:t>
      </w:r>
    </w:p>
    <w:p w14:paraId="141578E0" w14:textId="77777777" w:rsidR="005E662A" w:rsidRPr="00950239" w:rsidRDefault="005E662A" w:rsidP="005E662A">
      <w:pPr>
        <w:spacing w:after="160" w:line="276" w:lineRule="auto"/>
        <w:rPr>
          <w:rFonts w:ascii="Century Gothic" w:hAnsi="Century Gothic"/>
        </w:rPr>
      </w:pPr>
      <w:r w:rsidRPr="00950239">
        <w:rPr>
          <w:rFonts w:ascii="Century Gothic" w:hAnsi="Century Gothic"/>
        </w:rPr>
        <w:t>None.</w:t>
      </w:r>
    </w:p>
    <w:p w14:paraId="102FF8E7" w14:textId="77777777" w:rsidR="005E662A" w:rsidRPr="00950239" w:rsidRDefault="005E662A" w:rsidP="005E662A">
      <w:pPr>
        <w:rPr>
          <w:rFonts w:ascii="Century Gothic" w:eastAsia="MS PGothic" w:hAnsi="Century Gothic"/>
          <w:szCs w:val="22"/>
        </w:rPr>
      </w:pPr>
    </w:p>
    <w:p w14:paraId="1B6C7EFA" w14:textId="5324728C" w:rsidR="00982708" w:rsidRDefault="00982708" w:rsidP="005E662A">
      <w:pPr>
        <w:rPr>
          <w:rFonts w:ascii="Century Gothic" w:hAnsi="Century Gothic"/>
          <w:b/>
          <w:bCs/>
        </w:rPr>
      </w:pPr>
      <w:r>
        <w:rPr>
          <w:rFonts w:ascii="Century Gothic" w:hAnsi="Century Gothic"/>
          <w:b/>
          <w:bCs/>
        </w:rPr>
        <w:br w:type="page"/>
      </w:r>
    </w:p>
    <w:p w14:paraId="68752A0E" w14:textId="40F9ECC5" w:rsidR="00E6300B" w:rsidRPr="001859E9" w:rsidRDefault="00E6300B" w:rsidP="00E6300B">
      <w:pPr>
        <w:rPr>
          <w:rFonts w:ascii="Century Gothic" w:eastAsia="Times New Roman" w:hAnsi="Century Gothic"/>
        </w:rPr>
      </w:pPr>
      <w:r w:rsidRPr="4EB6BE86">
        <w:rPr>
          <w:rFonts w:ascii="Century Gothic" w:eastAsia="Times New Roman" w:hAnsi="Century Gothic"/>
          <w:b/>
        </w:rPr>
        <w:lastRenderedPageBreak/>
        <w:t>Initiative 2.9F - Resident Services for Elderly/Disabled (Previously Initiative 4.4F)</w:t>
      </w:r>
      <w:r w:rsidRPr="4EB6BE86">
        <w:rPr>
          <w:rFonts w:ascii="Century Gothic" w:eastAsia="Times New Roman" w:hAnsi="Century Gothic"/>
        </w:rPr>
        <w:t xml:space="preserve"> </w:t>
      </w:r>
    </w:p>
    <w:p w14:paraId="71DB3F30" w14:textId="2DEFB021"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p w14:paraId="0314080E" w14:textId="62DC6222"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Implemented in FY2003, Updated in FY2007 </w:t>
      </w:r>
    </w:p>
    <w:p w14:paraId="3285BF0E" w14:textId="0CE84792"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r>
        <w:br/>
      </w:r>
      <w:r w:rsidRPr="4EB6BE86">
        <w:rPr>
          <w:rFonts w:ascii="Century Gothic" w:eastAsia="Times New Roman" w:hAnsi="Century Gothic"/>
        </w:rPr>
        <w:t xml:space="preserve">In FY2003, ECC/HANH implemented its Resident Services for Elderly/Disabled initiative in one of the elderly/disabled buildings. The initiative was then extended to three additional sites in 2007. As of FY19, resident services have been expanded to all Elderly/Disabled Developments. </w:t>
      </w:r>
    </w:p>
    <w:p w14:paraId="4FFF37E1" w14:textId="54B1F369"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p w14:paraId="0D0FA1A3" w14:textId="05E7F6F7" w:rsidR="00E6300B" w:rsidRPr="001859E9" w:rsidRDefault="00E6300B" w:rsidP="00E6300B">
      <w:pPr>
        <w:rPr>
          <w:rFonts w:ascii="Century Gothic" w:eastAsia="Times New Roman" w:hAnsi="Century Gothic"/>
          <w:color w:val="808080" w:themeColor="background1" w:themeShade="80"/>
        </w:rPr>
      </w:pPr>
      <w:r w:rsidRPr="4EB6BE86">
        <w:rPr>
          <w:rFonts w:ascii="Century Gothic" w:eastAsia="Times New Roman" w:hAnsi="Century Gothic"/>
          <w:b/>
          <w:color w:val="808080" w:themeColor="background1" w:themeShade="80"/>
        </w:rPr>
        <w:t xml:space="preserve">Description </w:t>
      </w:r>
      <w:r w:rsidRPr="4EB6BE86">
        <w:rPr>
          <w:rFonts w:ascii="Century Gothic" w:eastAsia="Times New Roman" w:hAnsi="Century Gothic"/>
          <w:color w:val="808080" w:themeColor="background1" w:themeShade="80"/>
        </w:rPr>
        <w:t xml:space="preserve"> </w:t>
      </w:r>
    </w:p>
    <w:p w14:paraId="2BB89719" w14:textId="65B952E0"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The initiative began with the goal of supporting the quality of life for residents who are elderly, at age 62 and older, or living with a disability, and ensuring that residents can live independently and maintain self-sufficiency.     </w:t>
      </w:r>
    </w:p>
    <w:p w14:paraId="63896C5A" w14:textId="36425562"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The goals of this initiative are: </w:t>
      </w:r>
    </w:p>
    <w:p w14:paraId="2A0EA378" w14:textId="2478015A"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p w14:paraId="0EA20638" w14:textId="60446146" w:rsidR="00E6300B" w:rsidRPr="001859E9" w:rsidRDefault="00E6300B" w:rsidP="00486062">
      <w:pPr>
        <w:pStyle w:val="ListParagraph"/>
        <w:numPr>
          <w:ilvl w:val="0"/>
          <w:numId w:val="29"/>
        </w:numPr>
        <w:ind w:left="1080"/>
        <w:rPr>
          <w:rFonts w:ascii="Century Gothic" w:eastAsia="Times New Roman" w:hAnsi="Century Gothic"/>
        </w:rPr>
      </w:pPr>
      <w:r w:rsidRPr="4EB6BE86">
        <w:rPr>
          <w:rFonts w:ascii="Century Gothic" w:eastAsia="Times New Roman" w:hAnsi="Century Gothic"/>
        </w:rPr>
        <w:t xml:space="preserve">connecting elderly and disabled residents with the support needed to ensure a sense of community and companionship,  </w:t>
      </w:r>
    </w:p>
    <w:p w14:paraId="78D53ABA" w14:textId="51F8C057" w:rsidR="00E6300B" w:rsidRPr="001859E9" w:rsidRDefault="00E6300B" w:rsidP="00486062">
      <w:pPr>
        <w:pStyle w:val="ListParagraph"/>
        <w:numPr>
          <w:ilvl w:val="0"/>
          <w:numId w:val="28"/>
        </w:numPr>
        <w:ind w:left="1080"/>
        <w:rPr>
          <w:rFonts w:ascii="Century Gothic" w:eastAsia="Times New Roman" w:hAnsi="Century Gothic"/>
        </w:rPr>
      </w:pPr>
      <w:r w:rsidRPr="4EB6BE86">
        <w:rPr>
          <w:rFonts w:ascii="Century Gothic" w:eastAsia="Times New Roman" w:hAnsi="Century Gothic"/>
        </w:rPr>
        <w:t>decreasing isolation for those living alone,</w:t>
      </w:r>
    </w:p>
    <w:p w14:paraId="273AEE1A" w14:textId="400F6C2B" w:rsidR="00E6300B" w:rsidRPr="001859E9" w:rsidRDefault="00E6300B" w:rsidP="00486062">
      <w:pPr>
        <w:pStyle w:val="ListParagraph"/>
        <w:numPr>
          <w:ilvl w:val="0"/>
          <w:numId w:val="27"/>
        </w:numPr>
        <w:ind w:left="1080"/>
        <w:rPr>
          <w:rFonts w:ascii="Century Gothic" w:eastAsia="Times New Roman" w:hAnsi="Century Gothic"/>
        </w:rPr>
      </w:pPr>
      <w:r w:rsidRPr="4EB6BE86">
        <w:rPr>
          <w:rFonts w:ascii="Century Gothic" w:eastAsia="Times New Roman" w:hAnsi="Century Gothic"/>
        </w:rPr>
        <w:t xml:space="preserve">helping residents to access public benefits and supplemental income,  </w:t>
      </w:r>
    </w:p>
    <w:p w14:paraId="1ACD3117" w14:textId="0E0AA642" w:rsidR="00E6300B" w:rsidRPr="001859E9" w:rsidRDefault="00E6300B" w:rsidP="00486062">
      <w:pPr>
        <w:pStyle w:val="ListParagraph"/>
        <w:numPr>
          <w:ilvl w:val="0"/>
          <w:numId w:val="26"/>
        </w:numPr>
        <w:ind w:left="1080"/>
        <w:rPr>
          <w:rFonts w:ascii="Century Gothic" w:eastAsia="Times New Roman" w:hAnsi="Century Gothic"/>
        </w:rPr>
      </w:pPr>
      <w:r w:rsidRPr="4EB6BE86">
        <w:rPr>
          <w:rFonts w:ascii="Century Gothic" w:eastAsia="Times New Roman" w:hAnsi="Century Gothic"/>
        </w:rPr>
        <w:t xml:space="preserve">making connections to medical and behavioral health services, and  </w:t>
      </w:r>
    </w:p>
    <w:p w14:paraId="4CE10A6F" w14:textId="1EE0DD96" w:rsidR="00E6300B" w:rsidRPr="001859E9" w:rsidRDefault="00E6300B" w:rsidP="00486062">
      <w:pPr>
        <w:pStyle w:val="ListParagraph"/>
        <w:numPr>
          <w:ilvl w:val="0"/>
          <w:numId w:val="25"/>
        </w:numPr>
        <w:ind w:left="1080"/>
        <w:rPr>
          <w:rFonts w:ascii="Century Gothic" w:eastAsia="Times New Roman" w:hAnsi="Century Gothic"/>
        </w:rPr>
      </w:pPr>
      <w:r w:rsidRPr="4EB6BE86">
        <w:rPr>
          <w:rFonts w:ascii="Century Gothic" w:eastAsia="Times New Roman" w:hAnsi="Century Gothic"/>
        </w:rPr>
        <w:t xml:space="preserve">providing general support with access to basic needs, such as food, transportation, or housekeeping. </w:t>
      </w:r>
    </w:p>
    <w:p w14:paraId="705A1E4F" w14:textId="0DF3A3D2"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p w14:paraId="4C49C2AC" w14:textId="31C26E3C" w:rsidR="00E6300B" w:rsidRPr="001859E9" w:rsidRDefault="00E6300B" w:rsidP="00E6300B">
      <w:pPr>
        <w:rPr>
          <w:rFonts w:ascii="Century Gothic" w:eastAsia="Times New Roman" w:hAnsi="Century Gothic"/>
          <w:color w:val="808080" w:themeColor="background1" w:themeShade="80"/>
        </w:rPr>
      </w:pPr>
      <w:r w:rsidRPr="4EB6BE86">
        <w:rPr>
          <w:rFonts w:ascii="Century Gothic" w:eastAsia="Times New Roman" w:hAnsi="Century Gothic"/>
          <w:b/>
          <w:color w:val="808080" w:themeColor="background1" w:themeShade="80"/>
        </w:rPr>
        <w:t>Impact</w:t>
      </w:r>
      <w:r w:rsidRPr="4EB6BE86">
        <w:rPr>
          <w:rFonts w:ascii="Century Gothic" w:eastAsia="Times New Roman" w:hAnsi="Century Gothic"/>
          <w:color w:val="808080" w:themeColor="background1" w:themeShade="80"/>
        </w:rPr>
        <w:t xml:space="preserve"> </w:t>
      </w:r>
    </w:p>
    <w:p w14:paraId="44BE11A2" w14:textId="4E90308E"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p w14:paraId="4AB742D3" w14:textId="58192F18" w:rsidR="00E6300B" w:rsidRPr="001859E9" w:rsidRDefault="00E6300B" w:rsidP="00E6300B">
      <w:pPr>
        <w:rPr>
          <w:rFonts w:ascii="Century Gothic" w:eastAsia="Times New Roman" w:hAnsi="Century Gothic"/>
          <w:color w:val="000000" w:themeColor="text1"/>
        </w:rPr>
      </w:pPr>
      <w:r w:rsidRPr="4EB6BE86">
        <w:rPr>
          <w:rFonts w:ascii="Century Gothic" w:eastAsia="Times New Roman" w:hAnsi="Century Gothic"/>
          <w:color w:val="000000" w:themeColor="text1"/>
        </w:rPr>
        <w:t>The RSC role is funded in part through the Resident Opportunities and Self-sufficiency (ROSS) Grant, a HUD funded program that provides funding to hire and maintain service coordinators who work with residents living in public housing. Additional funding for RSCs and program services is from MTW flexible funding. Currently, there are two RSCs, that work with the elderly/disabled residents.</w:t>
      </w:r>
    </w:p>
    <w:p w14:paraId="738B83B9" w14:textId="1CA53650" w:rsidR="00E6300B" w:rsidRPr="001859E9" w:rsidRDefault="00E6300B" w:rsidP="00E6300B">
      <w:pPr>
        <w:rPr>
          <w:rFonts w:ascii="Century Gothic" w:eastAsia="Times New Roman" w:hAnsi="Century Gothic"/>
          <w:highlight w:val="yellow"/>
        </w:rPr>
      </w:pPr>
      <w:r w:rsidRPr="4EB6BE86">
        <w:rPr>
          <w:rFonts w:ascii="Century Gothic" w:eastAsia="Times New Roman" w:hAnsi="Century Gothic"/>
          <w:highlight w:val="yellow"/>
        </w:rPr>
        <w:t xml:space="preserve"> </w:t>
      </w:r>
    </w:p>
    <w:p w14:paraId="5A6AC6B3" w14:textId="259B89DD" w:rsidR="00D002C1" w:rsidRDefault="00E6300B" w:rsidP="00E6300B">
      <w:pPr>
        <w:rPr>
          <w:rFonts w:ascii="Century Gothic" w:eastAsia="Times New Roman" w:hAnsi="Century Gothic"/>
        </w:rPr>
      </w:pPr>
      <w:r w:rsidRPr="4EB6BE86">
        <w:rPr>
          <w:rFonts w:ascii="Century Gothic" w:eastAsia="Times New Roman" w:hAnsi="Century Gothic"/>
        </w:rPr>
        <w:t>In FY2024, ECC/HANH spent at total of $375,846 on direct Resident Servi</w:t>
      </w:r>
      <w:r w:rsidR="001907E6" w:rsidRPr="4EB6BE86">
        <w:rPr>
          <w:rFonts w:ascii="Century Gothic" w:eastAsia="Times New Roman" w:hAnsi="Century Gothic"/>
        </w:rPr>
        <w:t>c</w:t>
      </w:r>
      <w:r w:rsidRPr="4EB6BE86">
        <w:rPr>
          <w:rFonts w:ascii="Century Gothic" w:eastAsia="Times New Roman" w:hAnsi="Century Gothic"/>
        </w:rPr>
        <w:t xml:space="preserve">es for </w:t>
      </w:r>
      <w:r w:rsidR="001907E6" w:rsidRPr="4EB6BE86">
        <w:rPr>
          <w:rFonts w:ascii="Century Gothic" w:eastAsia="Times New Roman" w:hAnsi="Century Gothic"/>
        </w:rPr>
        <w:t xml:space="preserve">the </w:t>
      </w:r>
      <w:r w:rsidRPr="4EB6BE86">
        <w:rPr>
          <w:rFonts w:ascii="Century Gothic" w:eastAsia="Times New Roman" w:hAnsi="Century Gothic"/>
        </w:rPr>
        <w:t xml:space="preserve">Elderly/Disabled. Salary and benefits for two Resident Services Coordinators was a total of $ 266,932. </w:t>
      </w:r>
      <w:r w:rsidR="00D002C1" w:rsidRPr="4EB6BE86">
        <w:rPr>
          <w:rFonts w:ascii="Century Gothic" w:eastAsia="Times New Roman" w:hAnsi="Century Gothic"/>
        </w:rPr>
        <w:t xml:space="preserve"> </w:t>
      </w:r>
      <w:r w:rsidRPr="4EB6BE86">
        <w:rPr>
          <w:rFonts w:ascii="Century Gothic" w:eastAsia="Times New Roman" w:hAnsi="Century Gothic"/>
        </w:rPr>
        <w:t xml:space="preserve">ECC/HANH has an agreement to provide intensive supportive services to some of our Elderly/Disabled buildings.  </w:t>
      </w:r>
    </w:p>
    <w:p w14:paraId="235F0786" w14:textId="1793FD8A" w:rsidR="00D002C1" w:rsidRDefault="00D002C1" w:rsidP="00E6300B">
      <w:pPr>
        <w:rPr>
          <w:rFonts w:ascii="Century Gothic" w:eastAsia="Times New Roman" w:hAnsi="Century Gothic"/>
        </w:rPr>
      </w:pPr>
    </w:p>
    <w:p w14:paraId="4A493FB3" w14:textId="45499661"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Additionally, another $119,914 was spent on Supportive Services contracts with RAD Group 3 (McQueeney and Celentano) coming from Operational Funds. We were awarded the HUD ROSS Grant to serve two LIPH properties (Crawford and Wolfe) </w:t>
      </w:r>
      <w:proofErr w:type="gramStart"/>
      <w:r w:rsidRPr="4EB6BE86">
        <w:rPr>
          <w:rFonts w:ascii="Century Gothic" w:eastAsia="Times New Roman" w:hAnsi="Century Gothic"/>
        </w:rPr>
        <w:t>for the amount of</w:t>
      </w:r>
      <w:proofErr w:type="gramEnd"/>
      <w:r w:rsidRPr="4EB6BE86">
        <w:rPr>
          <w:rFonts w:ascii="Century Gothic" w:eastAsia="Times New Roman" w:hAnsi="Century Gothic"/>
        </w:rPr>
        <w:t xml:space="preserve"> $240,941</w:t>
      </w:r>
      <w:r w:rsidR="009632DB" w:rsidRPr="4EB6BE86">
        <w:rPr>
          <w:rFonts w:ascii="Century Gothic" w:eastAsia="Times New Roman" w:hAnsi="Century Gothic"/>
        </w:rPr>
        <w:t xml:space="preserve"> and</w:t>
      </w:r>
      <w:r w:rsidRPr="4EB6BE86">
        <w:rPr>
          <w:rFonts w:ascii="Century Gothic" w:eastAsia="Times New Roman" w:hAnsi="Century Gothic"/>
        </w:rPr>
        <w:t xml:space="preserve"> any remaining </w:t>
      </w:r>
      <w:r w:rsidR="00101E27" w:rsidRPr="4EB6BE86">
        <w:rPr>
          <w:rFonts w:ascii="Century Gothic" w:eastAsia="Times New Roman" w:hAnsi="Century Gothic"/>
        </w:rPr>
        <w:t>expenses</w:t>
      </w:r>
      <w:r w:rsidRPr="4EB6BE86">
        <w:rPr>
          <w:rFonts w:ascii="Century Gothic" w:eastAsia="Times New Roman" w:hAnsi="Century Gothic"/>
        </w:rPr>
        <w:t xml:space="preserve"> will be </w:t>
      </w:r>
      <w:r w:rsidR="00101E27" w:rsidRPr="4EB6BE86">
        <w:rPr>
          <w:rFonts w:ascii="Century Gothic" w:eastAsia="Times New Roman" w:hAnsi="Century Gothic"/>
        </w:rPr>
        <w:t>pai</w:t>
      </w:r>
      <w:r w:rsidR="003C2FD3" w:rsidRPr="4EB6BE86">
        <w:rPr>
          <w:rFonts w:ascii="Century Gothic" w:eastAsia="Times New Roman" w:hAnsi="Century Gothic"/>
        </w:rPr>
        <w:t>d with</w:t>
      </w:r>
      <w:r w:rsidRPr="4EB6BE86">
        <w:rPr>
          <w:rFonts w:ascii="Century Gothic" w:eastAsia="Times New Roman" w:hAnsi="Century Gothic"/>
        </w:rPr>
        <w:t xml:space="preserve"> MTW Funds. </w:t>
      </w:r>
    </w:p>
    <w:p w14:paraId="771D9AA7" w14:textId="7C2FF66C" w:rsidR="00E6300B" w:rsidRPr="001859E9" w:rsidRDefault="00E6300B" w:rsidP="00E6300B">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 </w:t>
      </w:r>
    </w:p>
    <w:p w14:paraId="45C2F6B3" w14:textId="0CA14065" w:rsidR="00E6300B" w:rsidRPr="001859E9" w:rsidRDefault="00E6300B" w:rsidP="00E6300B">
      <w:pPr>
        <w:rPr>
          <w:rFonts w:ascii="Century Gothic" w:eastAsia="Times New Roman" w:hAnsi="Century Gothic"/>
        </w:rPr>
      </w:pPr>
      <w:r w:rsidRPr="4EB6BE86">
        <w:rPr>
          <w:rFonts w:ascii="Century Gothic" w:eastAsia="Times New Roman" w:hAnsi="Century Gothic"/>
          <w:color w:val="000000" w:themeColor="text1"/>
        </w:rPr>
        <w:t>Each RSC manages a</w:t>
      </w:r>
      <w:r w:rsidR="003C2FD3" w:rsidRPr="4EB6BE86">
        <w:rPr>
          <w:rFonts w:ascii="Century Gothic" w:eastAsia="Times New Roman" w:hAnsi="Century Gothic"/>
          <w:color w:val="000000" w:themeColor="text1"/>
        </w:rPr>
        <w:t>n average</w:t>
      </w:r>
      <w:r w:rsidRPr="4EB6BE86">
        <w:rPr>
          <w:rFonts w:ascii="Century Gothic" w:eastAsia="Times New Roman" w:hAnsi="Century Gothic"/>
          <w:color w:val="000000" w:themeColor="text1"/>
        </w:rPr>
        <w:t xml:space="preserve"> case load of 382 residents.  The process begins with an assessment </w:t>
      </w:r>
      <w:r w:rsidR="002B0C27" w:rsidRPr="4EB6BE86">
        <w:rPr>
          <w:rFonts w:ascii="Century Gothic" w:eastAsia="Times New Roman" w:hAnsi="Century Gothic"/>
          <w:color w:val="000000" w:themeColor="text1"/>
        </w:rPr>
        <w:t>of</w:t>
      </w:r>
      <w:r w:rsidRPr="4EB6BE86">
        <w:rPr>
          <w:rFonts w:ascii="Century Gothic" w:eastAsia="Times New Roman" w:hAnsi="Century Gothic"/>
          <w:color w:val="000000" w:themeColor="text1"/>
        </w:rPr>
        <w:t xml:space="preserve"> residents.  This assessment helps to identify overarching needs, specify goals for future development, and identify any barriers that may prevent residents from achieving self-sufficiency.  </w:t>
      </w:r>
      <w:r w:rsidRPr="4EB6BE86">
        <w:rPr>
          <w:rFonts w:ascii="Century Gothic" w:eastAsia="Times New Roman" w:hAnsi="Century Gothic"/>
        </w:rPr>
        <w:t xml:space="preserve"> </w:t>
      </w:r>
    </w:p>
    <w:p w14:paraId="637EF895" w14:textId="18CCD60C" w:rsidR="00E6300B" w:rsidRPr="001859E9" w:rsidRDefault="00E6300B" w:rsidP="00E6300B">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 </w:t>
      </w:r>
    </w:p>
    <w:p w14:paraId="3B4F4589" w14:textId="2386E7AD" w:rsidR="00A065F3" w:rsidRDefault="00E6300B" w:rsidP="00E6300B">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The case management services </w:t>
      </w:r>
      <w:r w:rsidR="002B0C27" w:rsidRPr="4EB6BE86">
        <w:rPr>
          <w:rFonts w:ascii="Century Gothic" w:eastAsia="Times New Roman" w:hAnsi="Century Gothic"/>
          <w:color w:val="000000" w:themeColor="text1"/>
        </w:rPr>
        <w:t>received</w:t>
      </w:r>
      <w:r w:rsidRPr="4EB6BE86">
        <w:rPr>
          <w:rFonts w:ascii="Century Gothic" w:eastAsia="Times New Roman" w:hAnsi="Century Gothic"/>
          <w:color w:val="000000" w:themeColor="text1"/>
        </w:rPr>
        <w:t xml:space="preserve"> </w:t>
      </w:r>
      <w:r w:rsidR="002B0C27" w:rsidRPr="4EB6BE86">
        <w:rPr>
          <w:rFonts w:ascii="Century Gothic" w:eastAsia="Times New Roman" w:hAnsi="Century Gothic"/>
          <w:color w:val="000000" w:themeColor="text1"/>
        </w:rPr>
        <w:t>continue</w:t>
      </w:r>
      <w:r w:rsidRPr="4EB6BE86">
        <w:rPr>
          <w:rFonts w:ascii="Century Gothic" w:eastAsia="Times New Roman" w:hAnsi="Century Gothic"/>
          <w:color w:val="000000" w:themeColor="text1"/>
        </w:rPr>
        <w:t xml:space="preserve"> to help residents to live independently in ECC/HANH communities, avoid eviction, and delay or prevent a move to a higher level of care. To carry out Elderly/Disabled programming, the Resident Services Coordinators (RSCs) take on several responsibilities to ensure a high quality of life for Elderly/Disabled.</w:t>
      </w:r>
    </w:p>
    <w:p w14:paraId="0ACE83EC" w14:textId="117C3E32" w:rsidR="00A065F3" w:rsidRDefault="00A065F3" w:rsidP="00E6300B">
      <w:pPr>
        <w:rPr>
          <w:rFonts w:ascii="Century Gothic" w:eastAsia="Times New Roman" w:hAnsi="Century Gothic"/>
          <w:color w:val="000000" w:themeColor="text1"/>
        </w:rPr>
      </w:pPr>
    </w:p>
    <w:p w14:paraId="3C9C7D2A" w14:textId="33BEE24B" w:rsidR="00A065F3" w:rsidRDefault="00A065F3" w:rsidP="00E6300B">
      <w:pPr>
        <w:rPr>
          <w:rFonts w:ascii="Century Gothic" w:eastAsia="Times New Roman" w:hAnsi="Century Gothic"/>
          <w:color w:val="000000" w:themeColor="text1"/>
        </w:rPr>
      </w:pPr>
    </w:p>
    <w:p w14:paraId="6CE03C38" w14:textId="15BA8141" w:rsidR="00A065F3" w:rsidRDefault="00A065F3" w:rsidP="00E6300B">
      <w:pPr>
        <w:rPr>
          <w:rFonts w:ascii="Century Gothic" w:eastAsia="Times New Roman" w:hAnsi="Century Gothic"/>
          <w:color w:val="000000" w:themeColor="text1"/>
        </w:rPr>
      </w:pPr>
    </w:p>
    <w:p w14:paraId="191357E1" w14:textId="7056BC93" w:rsidR="00E6300B" w:rsidRPr="001859E9" w:rsidRDefault="00E6300B" w:rsidP="00E6300B">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 </w:t>
      </w:r>
    </w:p>
    <w:p w14:paraId="161F0DDC" w14:textId="4FF8519F" w:rsidR="00E6300B" w:rsidRPr="001859E9" w:rsidRDefault="00E6300B" w:rsidP="00E6300B">
      <w:pPr>
        <w:rPr>
          <w:rFonts w:ascii="Century Gothic" w:eastAsia="Times New Roman" w:hAnsi="Century Gothic"/>
        </w:rPr>
      </w:pPr>
      <w:r w:rsidRPr="4EB6BE86">
        <w:rPr>
          <w:rFonts w:ascii="Century Gothic" w:eastAsia="Times New Roman" w:hAnsi="Century Gothic"/>
        </w:rPr>
        <w:lastRenderedPageBreak/>
        <w:t xml:space="preserve">Support for residents typically falls into two categories:  </w:t>
      </w:r>
    </w:p>
    <w:p w14:paraId="40637076" w14:textId="2E3C3722"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p w14:paraId="41DE39E8" w14:textId="0EA78F2B" w:rsidR="00E6300B" w:rsidRPr="001859E9" w:rsidRDefault="00E6300B" w:rsidP="00486062">
      <w:pPr>
        <w:pStyle w:val="ListParagraph"/>
        <w:numPr>
          <w:ilvl w:val="0"/>
          <w:numId w:val="24"/>
        </w:numPr>
        <w:ind w:left="1080"/>
        <w:rPr>
          <w:rFonts w:ascii="Century Gothic" w:eastAsia="Times New Roman" w:hAnsi="Century Gothic"/>
        </w:rPr>
      </w:pPr>
      <w:r w:rsidRPr="4EB6BE86">
        <w:rPr>
          <w:rFonts w:ascii="Century Gothic" w:eastAsia="Times New Roman" w:hAnsi="Century Gothic"/>
        </w:rPr>
        <w:t xml:space="preserve">Intensive </w:t>
      </w:r>
      <w:r w:rsidR="002B0C27" w:rsidRPr="4EB6BE86">
        <w:rPr>
          <w:rFonts w:ascii="Century Gothic" w:eastAsia="Times New Roman" w:hAnsi="Century Gothic"/>
        </w:rPr>
        <w:t>support</w:t>
      </w:r>
      <w:r w:rsidRPr="4EB6BE86">
        <w:rPr>
          <w:rFonts w:ascii="Century Gothic" w:eastAsia="Times New Roman" w:hAnsi="Century Gothic"/>
        </w:rPr>
        <w:t xml:space="preserve"> for those with substance abuse disorders or those who require regular medical care, eviction prevention, nuisance.</w:t>
      </w:r>
    </w:p>
    <w:p w14:paraId="0560475C" w14:textId="656128CD" w:rsidR="00E6300B" w:rsidRPr="001859E9" w:rsidRDefault="00E6300B" w:rsidP="00486062">
      <w:pPr>
        <w:pStyle w:val="ListParagraph"/>
        <w:numPr>
          <w:ilvl w:val="0"/>
          <w:numId w:val="23"/>
        </w:numPr>
        <w:ind w:left="1080"/>
        <w:rPr>
          <w:rFonts w:ascii="Century Gothic" w:eastAsia="Times New Roman" w:hAnsi="Century Gothic"/>
        </w:rPr>
      </w:pPr>
      <w:r w:rsidRPr="4EB6BE86">
        <w:rPr>
          <w:rFonts w:ascii="Century Gothic" w:eastAsia="Times New Roman" w:hAnsi="Century Gothic"/>
        </w:rPr>
        <w:t>Minimal support, for those who have infrequent medical care such as occupational therapy or require a one-time service such as nutrition education, assistance in filling out redeterminations, linking to meals on wheels, agency on aging etc.</w:t>
      </w:r>
    </w:p>
    <w:p w14:paraId="599E523D" w14:textId="51BBF526" w:rsidR="00E6300B" w:rsidRPr="001859E9" w:rsidRDefault="00E6300B" w:rsidP="00E6300B">
      <w:pPr>
        <w:ind w:left="720"/>
        <w:rPr>
          <w:rFonts w:ascii="Century Gothic" w:eastAsia="Times New Roman" w:hAnsi="Century Gothic"/>
        </w:rPr>
      </w:pPr>
      <w:r w:rsidRPr="4EB6BE86">
        <w:rPr>
          <w:rFonts w:ascii="Century Gothic" w:eastAsia="Times New Roman" w:hAnsi="Century Gothic"/>
        </w:rPr>
        <w:t xml:space="preserve"> </w:t>
      </w:r>
    </w:p>
    <w:p w14:paraId="29C5C262" w14:textId="55ECE57D" w:rsidR="00E6300B" w:rsidRPr="001859E9" w:rsidRDefault="00E6300B" w:rsidP="00E6300B">
      <w:pPr>
        <w:rPr>
          <w:rFonts w:ascii="Century Gothic" w:eastAsia="Times New Roman" w:hAnsi="Century Gothic"/>
          <w:color w:val="000000" w:themeColor="text1"/>
        </w:rPr>
      </w:pPr>
      <w:r w:rsidRPr="4EB6BE86">
        <w:rPr>
          <w:rFonts w:ascii="Century Gothic" w:eastAsia="Times New Roman" w:hAnsi="Century Gothic"/>
          <w:color w:val="000000" w:themeColor="text1"/>
        </w:rPr>
        <w:t>Below are the areas that the coordinators provided programming to connect the residents to resources to age in place and maintain self-sufficiency:</w:t>
      </w:r>
    </w:p>
    <w:p w14:paraId="22BEE360" w14:textId="2204C5E1" w:rsidR="00E6300B" w:rsidRPr="001859E9" w:rsidRDefault="00E6300B" w:rsidP="00E6300B">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 </w:t>
      </w:r>
    </w:p>
    <w:p w14:paraId="10258F14" w14:textId="70C87DA3" w:rsidR="00E6300B" w:rsidRPr="001859E9" w:rsidRDefault="00E6300B" w:rsidP="00486062">
      <w:pPr>
        <w:pStyle w:val="ListParagraph"/>
        <w:numPr>
          <w:ilvl w:val="0"/>
          <w:numId w:val="22"/>
        </w:numPr>
        <w:ind w:left="1080"/>
        <w:rPr>
          <w:rFonts w:ascii="Century Gothic" w:eastAsia="Times New Roman" w:hAnsi="Century Gothic"/>
          <w:b/>
        </w:rPr>
      </w:pPr>
      <w:r w:rsidRPr="4EB6BE86">
        <w:rPr>
          <w:rFonts w:ascii="Century Gothic" w:eastAsia="Times New Roman" w:hAnsi="Century Gothic"/>
          <w:b/>
        </w:rPr>
        <w:t>Health and Wellness:</w:t>
      </w:r>
    </w:p>
    <w:p w14:paraId="0BEEA465" w14:textId="75F61132" w:rsidR="00E6300B" w:rsidRPr="001859E9" w:rsidRDefault="00E6300B" w:rsidP="00486062">
      <w:pPr>
        <w:pStyle w:val="ListParagraph"/>
        <w:numPr>
          <w:ilvl w:val="0"/>
          <w:numId w:val="21"/>
        </w:numPr>
        <w:ind w:left="1080"/>
        <w:rPr>
          <w:rFonts w:ascii="Century Gothic" w:eastAsia="Times New Roman" w:hAnsi="Century Gothic"/>
        </w:rPr>
      </w:pPr>
      <w:r w:rsidRPr="4EB6BE86">
        <w:rPr>
          <w:rFonts w:ascii="Century Gothic" w:eastAsia="Times New Roman" w:hAnsi="Century Gothic"/>
        </w:rPr>
        <w:t>COPES Group (Community Opioid Prevention Education Support Groups)</w:t>
      </w:r>
    </w:p>
    <w:p w14:paraId="5D257E06" w14:textId="0D41B600" w:rsidR="00E6300B" w:rsidRPr="001859E9" w:rsidRDefault="00E6300B" w:rsidP="00486062">
      <w:pPr>
        <w:pStyle w:val="ListParagraph"/>
        <w:numPr>
          <w:ilvl w:val="0"/>
          <w:numId w:val="21"/>
        </w:numPr>
        <w:ind w:left="1080"/>
        <w:rPr>
          <w:rFonts w:ascii="Century Gothic" w:eastAsia="Times New Roman" w:hAnsi="Century Gothic"/>
        </w:rPr>
      </w:pPr>
      <w:r w:rsidRPr="188A1EBF">
        <w:rPr>
          <w:rFonts w:ascii="Century Gothic" w:eastAsia="Times New Roman" w:hAnsi="Century Gothic"/>
        </w:rPr>
        <w:t>Health - High Blood Pressure Event</w:t>
      </w:r>
      <w:r w:rsidR="00A6636B">
        <w:rPr>
          <w:rFonts w:ascii="Century Gothic" w:eastAsia="Times New Roman" w:hAnsi="Century Gothic"/>
        </w:rPr>
        <w:t xml:space="preserve"> sponsored </w:t>
      </w:r>
      <w:r w:rsidR="00805F00">
        <w:rPr>
          <w:rFonts w:ascii="Century Gothic" w:eastAsia="Times New Roman" w:hAnsi="Century Gothic"/>
        </w:rPr>
        <w:t xml:space="preserve">by </w:t>
      </w:r>
      <w:proofErr w:type="spellStart"/>
      <w:r w:rsidR="00805F00">
        <w:rPr>
          <w:rFonts w:ascii="Century Gothic" w:eastAsia="Times New Roman" w:hAnsi="Century Gothic"/>
        </w:rPr>
        <w:t>Emerest</w:t>
      </w:r>
      <w:proofErr w:type="spellEnd"/>
      <w:r w:rsidR="00805F00">
        <w:rPr>
          <w:rFonts w:ascii="Century Gothic" w:eastAsia="Times New Roman" w:hAnsi="Century Gothic"/>
        </w:rPr>
        <w:t xml:space="preserve"> Home Care of CT</w:t>
      </w:r>
    </w:p>
    <w:p w14:paraId="02608307" w14:textId="67C251A9" w:rsidR="00E6300B" w:rsidRPr="001859E9" w:rsidRDefault="00E6300B" w:rsidP="00486062">
      <w:pPr>
        <w:pStyle w:val="ListParagraph"/>
        <w:numPr>
          <w:ilvl w:val="0"/>
          <w:numId w:val="21"/>
        </w:numPr>
        <w:ind w:left="1080"/>
        <w:rPr>
          <w:rFonts w:ascii="Century Gothic" w:eastAsia="Times New Roman" w:hAnsi="Century Gothic"/>
        </w:rPr>
      </w:pPr>
      <w:r w:rsidRPr="4EB6BE86">
        <w:rPr>
          <w:rFonts w:ascii="Century Gothic" w:eastAsia="Times New Roman" w:hAnsi="Century Gothic"/>
        </w:rPr>
        <w:t>EAT this Not That</w:t>
      </w:r>
      <w:r w:rsidRPr="4EB6BE86">
        <w:rPr>
          <w:rFonts w:ascii="Century Gothic" w:eastAsia="Times New Roman" w:hAnsi="Century Gothic"/>
          <w:b/>
        </w:rPr>
        <w:t xml:space="preserve">: </w:t>
      </w:r>
      <w:r w:rsidRPr="4EB6BE86">
        <w:rPr>
          <w:rFonts w:ascii="Century Gothic" w:eastAsia="Times New Roman" w:hAnsi="Century Gothic"/>
        </w:rPr>
        <w:t>Education around nutrition offered</w:t>
      </w:r>
    </w:p>
    <w:p w14:paraId="4B8F44A9" w14:textId="3E67194C" w:rsidR="00E6300B" w:rsidRPr="001859E9" w:rsidRDefault="00E6300B" w:rsidP="00486062">
      <w:pPr>
        <w:pStyle w:val="ListParagraph"/>
        <w:numPr>
          <w:ilvl w:val="1"/>
          <w:numId w:val="113"/>
        </w:numPr>
        <w:tabs>
          <w:tab w:val="left" w:pos="1440"/>
        </w:tabs>
        <w:rPr>
          <w:rFonts w:ascii="Century Gothic" w:eastAsia="Times New Roman" w:hAnsi="Century Gothic"/>
        </w:rPr>
      </w:pPr>
      <w:r w:rsidRPr="4EB6BE86">
        <w:rPr>
          <w:rFonts w:ascii="Century Gothic" w:eastAsia="Times New Roman" w:hAnsi="Century Gothic"/>
        </w:rPr>
        <w:t xml:space="preserve">G.R.A.CE. (Gathering resources to achieve connections and Empowerment) program through </w:t>
      </w:r>
      <w:r w:rsidR="00172C5F" w:rsidRPr="4EB6BE86">
        <w:rPr>
          <w:rFonts w:ascii="Century Gothic" w:eastAsia="Times New Roman" w:hAnsi="Century Gothic"/>
        </w:rPr>
        <w:t xml:space="preserve">the </w:t>
      </w:r>
      <w:r w:rsidRPr="4EB6BE86">
        <w:rPr>
          <w:rFonts w:ascii="Century Gothic" w:eastAsia="Times New Roman" w:hAnsi="Century Gothic"/>
        </w:rPr>
        <w:t>Community Action Agency</w:t>
      </w:r>
    </w:p>
    <w:p w14:paraId="5249EC2D" w14:textId="6050C252" w:rsidR="00E6300B" w:rsidRPr="001859E9" w:rsidRDefault="00E6300B" w:rsidP="00486062">
      <w:pPr>
        <w:pStyle w:val="ListParagraph"/>
        <w:numPr>
          <w:ilvl w:val="1"/>
          <w:numId w:val="21"/>
        </w:numPr>
        <w:rPr>
          <w:rFonts w:ascii="Century Gothic" w:eastAsia="Times New Roman" w:hAnsi="Century Gothic"/>
        </w:rPr>
      </w:pPr>
      <w:r w:rsidRPr="4EB6BE86">
        <w:rPr>
          <w:rFonts w:ascii="Century Gothic" w:eastAsia="Times New Roman" w:hAnsi="Century Gothic"/>
        </w:rPr>
        <w:t>Care forth</w:t>
      </w:r>
      <w:r w:rsidRPr="4EB6BE86">
        <w:rPr>
          <w:rFonts w:ascii="Century Gothic" w:eastAsia="Times New Roman" w:hAnsi="Century Gothic"/>
          <w:b/>
        </w:rPr>
        <w:t xml:space="preserve"> </w:t>
      </w:r>
      <w:r w:rsidRPr="4EB6BE86">
        <w:rPr>
          <w:rFonts w:ascii="Century Gothic" w:eastAsia="Times New Roman" w:hAnsi="Century Gothic"/>
        </w:rPr>
        <w:t>– are you caring for a loved one 65 or older and can be paid to take care of them at Mill River and Chatham</w:t>
      </w:r>
    </w:p>
    <w:p w14:paraId="78F65096" w14:textId="44E43435" w:rsidR="00E6300B" w:rsidRPr="001859E9" w:rsidRDefault="00E6300B" w:rsidP="00486062">
      <w:pPr>
        <w:pStyle w:val="ListParagraph"/>
        <w:numPr>
          <w:ilvl w:val="0"/>
          <w:numId w:val="21"/>
        </w:numPr>
        <w:ind w:left="1080"/>
        <w:rPr>
          <w:rFonts w:ascii="Century Gothic" w:eastAsia="Times New Roman" w:hAnsi="Century Gothic"/>
        </w:rPr>
      </w:pPr>
      <w:r w:rsidRPr="4EB6BE86">
        <w:rPr>
          <w:rFonts w:ascii="Century Gothic" w:eastAsia="Times New Roman" w:hAnsi="Century Gothic"/>
        </w:rPr>
        <w:t>Caregiver Overview</w:t>
      </w:r>
    </w:p>
    <w:p w14:paraId="1C7E8D52" w14:textId="7AD04E83" w:rsidR="00E6300B" w:rsidRPr="001859E9" w:rsidRDefault="00E6300B" w:rsidP="00486062">
      <w:pPr>
        <w:pStyle w:val="ListParagraph"/>
        <w:numPr>
          <w:ilvl w:val="0"/>
          <w:numId w:val="21"/>
        </w:numPr>
        <w:ind w:left="1080"/>
        <w:rPr>
          <w:rFonts w:ascii="Century Gothic" w:eastAsia="Times New Roman" w:hAnsi="Century Gothic"/>
        </w:rPr>
      </w:pPr>
      <w:r w:rsidRPr="4EB6BE86">
        <w:rPr>
          <w:rFonts w:ascii="Century Gothic" w:eastAsia="Times New Roman" w:hAnsi="Century Gothic"/>
        </w:rPr>
        <w:t xml:space="preserve">Cornell Scott Hill Health: Programming </w:t>
      </w:r>
      <w:r w:rsidR="004D6C9E" w:rsidRPr="4EB6BE86">
        <w:rPr>
          <w:rFonts w:ascii="Century Gothic" w:eastAsia="Times New Roman" w:hAnsi="Century Gothic"/>
        </w:rPr>
        <w:t xml:space="preserve">and workshops </w:t>
      </w:r>
      <w:r w:rsidRPr="4EB6BE86">
        <w:rPr>
          <w:rFonts w:ascii="Century Gothic" w:eastAsia="Times New Roman" w:hAnsi="Century Gothic"/>
        </w:rPr>
        <w:t>on overall health</w:t>
      </w:r>
    </w:p>
    <w:p w14:paraId="3E003BF6" w14:textId="6E18FF32" w:rsidR="00E6300B" w:rsidRPr="001859E9" w:rsidRDefault="00E6300B" w:rsidP="00486062">
      <w:pPr>
        <w:pStyle w:val="ListParagraph"/>
        <w:numPr>
          <w:ilvl w:val="1"/>
          <w:numId w:val="113"/>
        </w:numPr>
        <w:tabs>
          <w:tab w:val="left" w:pos="1440"/>
        </w:tabs>
        <w:rPr>
          <w:rFonts w:ascii="Century Gothic" w:eastAsia="Times New Roman" w:hAnsi="Century Gothic"/>
        </w:rPr>
      </w:pPr>
      <w:r w:rsidRPr="4EB6BE86">
        <w:rPr>
          <w:rFonts w:ascii="Century Gothic" w:eastAsia="Times New Roman" w:hAnsi="Century Gothic"/>
        </w:rPr>
        <w:t xml:space="preserve">Educational groups to educate residents on the current Medicare and Medicaid benefit plans provided by Anthem, Aetna etc.  </w:t>
      </w:r>
    </w:p>
    <w:p w14:paraId="2A09168C" w14:textId="064BB44C" w:rsidR="00E6300B" w:rsidRPr="001859E9" w:rsidRDefault="00E6300B" w:rsidP="00486062">
      <w:pPr>
        <w:pStyle w:val="ListParagraph"/>
        <w:numPr>
          <w:ilvl w:val="0"/>
          <w:numId w:val="21"/>
        </w:numPr>
        <w:ind w:left="1080"/>
        <w:rPr>
          <w:rFonts w:ascii="Century Gothic" w:eastAsia="Times New Roman" w:hAnsi="Century Gothic"/>
        </w:rPr>
      </w:pPr>
      <w:r w:rsidRPr="4EB6BE86">
        <w:rPr>
          <w:rFonts w:ascii="Century Gothic" w:eastAsia="Times New Roman" w:hAnsi="Century Gothic"/>
        </w:rPr>
        <w:t>Arts and Crafts groups</w:t>
      </w:r>
    </w:p>
    <w:p w14:paraId="39B2CBF5" w14:textId="2E241A16" w:rsidR="00E6300B" w:rsidRPr="001859E9" w:rsidRDefault="00E6300B" w:rsidP="00486062">
      <w:pPr>
        <w:pStyle w:val="ListParagraph"/>
        <w:numPr>
          <w:ilvl w:val="0"/>
          <w:numId w:val="21"/>
        </w:numPr>
        <w:ind w:left="1080"/>
        <w:rPr>
          <w:rFonts w:ascii="Century Gothic" w:eastAsia="Times New Roman" w:hAnsi="Century Gothic"/>
        </w:rPr>
      </w:pPr>
      <w:r w:rsidRPr="4EB6BE86">
        <w:rPr>
          <w:rFonts w:ascii="Century Gothic" w:eastAsia="Times New Roman" w:hAnsi="Century Gothic"/>
        </w:rPr>
        <w:t>Oak Health</w:t>
      </w:r>
      <w:r w:rsidR="002B0C27" w:rsidRPr="4EB6BE86">
        <w:rPr>
          <w:rFonts w:ascii="Century Gothic" w:eastAsia="Times New Roman" w:hAnsi="Century Gothic"/>
        </w:rPr>
        <w:t>: Health</w:t>
      </w:r>
      <w:r w:rsidRPr="4EB6BE86">
        <w:rPr>
          <w:rFonts w:ascii="Century Gothic" w:eastAsia="Times New Roman" w:hAnsi="Century Gothic"/>
        </w:rPr>
        <w:t xml:space="preserve"> and nutrition Programming</w:t>
      </w:r>
    </w:p>
    <w:p w14:paraId="1B473A57" w14:textId="198640EC" w:rsidR="00E6300B" w:rsidRPr="001859E9" w:rsidRDefault="00E6300B" w:rsidP="00486062">
      <w:pPr>
        <w:pStyle w:val="ListParagraph"/>
        <w:numPr>
          <w:ilvl w:val="1"/>
          <w:numId w:val="21"/>
        </w:numPr>
        <w:rPr>
          <w:rFonts w:ascii="Century Gothic" w:eastAsia="Times New Roman" w:hAnsi="Century Gothic"/>
        </w:rPr>
      </w:pPr>
      <w:r w:rsidRPr="4EB6BE86">
        <w:rPr>
          <w:rFonts w:ascii="Century Gothic" w:eastAsia="Times New Roman" w:hAnsi="Century Gothic"/>
        </w:rPr>
        <w:t xml:space="preserve">Worked with the Mobile Crisis team to assist the residents in seeking intensive mental health </w:t>
      </w:r>
      <w:r w:rsidR="002B0C27" w:rsidRPr="4EB6BE86">
        <w:rPr>
          <w:rFonts w:ascii="Century Gothic" w:eastAsia="Times New Roman" w:hAnsi="Century Gothic"/>
        </w:rPr>
        <w:t>support.</w:t>
      </w:r>
      <w:r w:rsidRPr="4EB6BE86">
        <w:rPr>
          <w:rFonts w:ascii="Century Gothic" w:eastAsia="Times New Roman" w:hAnsi="Century Gothic"/>
        </w:rPr>
        <w:t xml:space="preserve"> </w:t>
      </w:r>
    </w:p>
    <w:p w14:paraId="1695E843" w14:textId="49C038F9"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p w14:paraId="0FFBFEDA" w14:textId="33C5331D" w:rsidR="00E6300B" w:rsidRPr="001859E9" w:rsidRDefault="00E6300B" w:rsidP="00486062">
      <w:pPr>
        <w:pStyle w:val="ListParagraph"/>
        <w:numPr>
          <w:ilvl w:val="0"/>
          <w:numId w:val="22"/>
        </w:numPr>
        <w:ind w:left="1080"/>
        <w:rPr>
          <w:rFonts w:ascii="Century Gothic" w:eastAsia="Times New Roman" w:hAnsi="Century Gothic"/>
          <w:b/>
        </w:rPr>
      </w:pPr>
      <w:r w:rsidRPr="4EB6BE86">
        <w:rPr>
          <w:rFonts w:ascii="Century Gothic" w:eastAsia="Times New Roman" w:hAnsi="Century Gothic"/>
          <w:b/>
        </w:rPr>
        <w:t>Overall Safety</w:t>
      </w:r>
    </w:p>
    <w:p w14:paraId="516CA0A0" w14:textId="1CA4FC73" w:rsidR="00E6300B" w:rsidRPr="001859E9" w:rsidRDefault="00E6300B" w:rsidP="00486062">
      <w:pPr>
        <w:pStyle w:val="ListParagraph"/>
        <w:numPr>
          <w:ilvl w:val="1"/>
          <w:numId w:val="21"/>
        </w:numPr>
        <w:rPr>
          <w:rFonts w:ascii="Century Gothic" w:eastAsia="Times New Roman" w:hAnsi="Century Gothic"/>
        </w:rPr>
      </w:pPr>
      <w:r w:rsidRPr="4EB6BE86">
        <w:rPr>
          <w:rFonts w:ascii="Century Gothic" w:eastAsia="Times New Roman" w:hAnsi="Century Gothic"/>
        </w:rPr>
        <w:t xml:space="preserve">Safety and security training offered by the Fire Department or the Police Department. </w:t>
      </w:r>
    </w:p>
    <w:p w14:paraId="4F5AF324" w14:textId="60B92523" w:rsidR="00E6300B" w:rsidRPr="001859E9" w:rsidRDefault="00E6300B" w:rsidP="00486062">
      <w:pPr>
        <w:pStyle w:val="ListParagraph"/>
        <w:numPr>
          <w:ilvl w:val="1"/>
          <w:numId w:val="21"/>
        </w:numPr>
        <w:rPr>
          <w:rFonts w:ascii="Century Gothic" w:eastAsia="Times New Roman" w:hAnsi="Century Gothic"/>
        </w:rPr>
      </w:pPr>
      <w:r w:rsidRPr="4EB6BE86">
        <w:rPr>
          <w:rFonts w:ascii="Century Gothic" w:eastAsia="Times New Roman" w:hAnsi="Century Gothic"/>
        </w:rPr>
        <w:t xml:space="preserve">Working with </w:t>
      </w:r>
      <w:r w:rsidR="006746E7" w:rsidRPr="4EB6BE86">
        <w:rPr>
          <w:rFonts w:ascii="Century Gothic" w:eastAsia="Times New Roman" w:hAnsi="Century Gothic"/>
        </w:rPr>
        <w:t>Officer in Residence (</w:t>
      </w:r>
      <w:r w:rsidRPr="4EB6BE86">
        <w:rPr>
          <w:rFonts w:ascii="Century Gothic" w:eastAsia="Times New Roman" w:hAnsi="Century Gothic"/>
        </w:rPr>
        <w:t>OIR</w:t>
      </w:r>
      <w:r w:rsidR="006746E7" w:rsidRPr="4EB6BE86">
        <w:rPr>
          <w:rFonts w:ascii="Century Gothic" w:eastAsia="Times New Roman" w:hAnsi="Century Gothic"/>
        </w:rPr>
        <w:t>)</w:t>
      </w:r>
      <w:r w:rsidRPr="4EB6BE86">
        <w:rPr>
          <w:rFonts w:ascii="Century Gothic" w:eastAsia="Times New Roman" w:hAnsi="Century Gothic"/>
        </w:rPr>
        <w:t xml:space="preserve"> and property managers to address crisis </w:t>
      </w:r>
      <w:r w:rsidR="00322237" w:rsidRPr="4EB6BE86">
        <w:rPr>
          <w:rFonts w:ascii="Century Gothic" w:eastAsia="Times New Roman" w:hAnsi="Century Gothic"/>
        </w:rPr>
        <w:t>and</w:t>
      </w:r>
      <w:r w:rsidRPr="4EB6BE86">
        <w:rPr>
          <w:rFonts w:ascii="Century Gothic" w:eastAsia="Times New Roman" w:hAnsi="Century Gothic"/>
        </w:rPr>
        <w:t xml:space="preserve"> violence in the community</w:t>
      </w:r>
    </w:p>
    <w:p w14:paraId="6F2E7DD3" w14:textId="7FBF6C02" w:rsidR="00E6300B" w:rsidRPr="001859E9" w:rsidRDefault="00E6300B" w:rsidP="00486062">
      <w:pPr>
        <w:pStyle w:val="ListParagraph"/>
        <w:numPr>
          <w:ilvl w:val="1"/>
          <w:numId w:val="21"/>
        </w:numPr>
        <w:rPr>
          <w:rFonts w:ascii="Century Gothic" w:eastAsia="Times New Roman" w:hAnsi="Century Gothic"/>
        </w:rPr>
      </w:pPr>
      <w:r w:rsidRPr="4EB6BE86">
        <w:rPr>
          <w:rFonts w:ascii="Century Gothic" w:eastAsia="Times New Roman" w:hAnsi="Century Gothic"/>
        </w:rPr>
        <w:t xml:space="preserve">Working with Yale Child Study for referrals </w:t>
      </w:r>
    </w:p>
    <w:p w14:paraId="659DE802" w14:textId="79BF7CB5" w:rsidR="00E6300B" w:rsidRPr="001859E9" w:rsidRDefault="00E6300B" w:rsidP="00E6300B">
      <w:pPr>
        <w:rPr>
          <w:rFonts w:ascii="Century Gothic" w:eastAsia="Times New Roman" w:hAnsi="Century Gothic"/>
          <w:b/>
        </w:rPr>
      </w:pPr>
      <w:r w:rsidRPr="4EB6BE86">
        <w:rPr>
          <w:rFonts w:ascii="Century Gothic" w:eastAsia="Times New Roman" w:hAnsi="Century Gothic"/>
          <w:b/>
        </w:rPr>
        <w:t xml:space="preserve"> </w:t>
      </w:r>
    </w:p>
    <w:p w14:paraId="75DA8557" w14:textId="167D65B1" w:rsidR="00E6300B" w:rsidRPr="001859E9" w:rsidRDefault="00E6300B" w:rsidP="00486062">
      <w:pPr>
        <w:pStyle w:val="ListParagraph"/>
        <w:numPr>
          <w:ilvl w:val="0"/>
          <w:numId w:val="22"/>
        </w:numPr>
        <w:ind w:left="1080"/>
        <w:rPr>
          <w:rFonts w:ascii="Century Gothic" w:eastAsia="Times New Roman" w:hAnsi="Century Gothic"/>
          <w:b/>
        </w:rPr>
      </w:pPr>
      <w:r w:rsidRPr="4EB6BE86">
        <w:rPr>
          <w:rFonts w:ascii="Century Gothic" w:eastAsia="Times New Roman" w:hAnsi="Century Gothic"/>
          <w:b/>
        </w:rPr>
        <w:t>Financial Wellbeing:</w:t>
      </w:r>
    </w:p>
    <w:p w14:paraId="5B3A5B08" w14:textId="3CD485BB" w:rsidR="00E6300B" w:rsidRPr="001859E9" w:rsidRDefault="00E6300B" w:rsidP="00486062">
      <w:pPr>
        <w:pStyle w:val="ListParagraph"/>
        <w:numPr>
          <w:ilvl w:val="1"/>
          <w:numId w:val="20"/>
        </w:numPr>
        <w:rPr>
          <w:rFonts w:ascii="Century Gothic" w:eastAsia="Times New Roman" w:hAnsi="Century Gothic"/>
        </w:rPr>
      </w:pPr>
      <w:r w:rsidRPr="4EB6BE86">
        <w:rPr>
          <w:rFonts w:ascii="Century Gothic" w:eastAsia="Times New Roman" w:hAnsi="Century Gothic"/>
        </w:rPr>
        <w:t xml:space="preserve">The Rent rebate program </w:t>
      </w:r>
      <w:r w:rsidR="00322237" w:rsidRPr="4EB6BE86">
        <w:rPr>
          <w:rFonts w:ascii="Century Gothic" w:eastAsia="Times New Roman" w:hAnsi="Century Gothic"/>
        </w:rPr>
        <w:t xml:space="preserve">– ECC/HANH </w:t>
      </w:r>
      <w:r w:rsidRPr="4EB6BE86">
        <w:rPr>
          <w:rFonts w:ascii="Century Gothic" w:eastAsia="Times New Roman" w:hAnsi="Century Gothic"/>
        </w:rPr>
        <w:t>processed over 1000 rent rebates. The residents will receive a payment from $400 to $800.</w:t>
      </w:r>
    </w:p>
    <w:p w14:paraId="68C328A1" w14:textId="3A82D941" w:rsidR="00E6300B" w:rsidRPr="001859E9" w:rsidRDefault="00E6300B" w:rsidP="00486062">
      <w:pPr>
        <w:pStyle w:val="ListParagraph"/>
        <w:numPr>
          <w:ilvl w:val="1"/>
          <w:numId w:val="20"/>
        </w:numPr>
        <w:rPr>
          <w:rFonts w:ascii="Century Gothic" w:eastAsia="Times New Roman" w:hAnsi="Century Gothic"/>
          <w:b/>
        </w:rPr>
      </w:pPr>
      <w:r w:rsidRPr="4EB6BE86">
        <w:rPr>
          <w:rFonts w:ascii="Century Gothic" w:eastAsia="Times New Roman" w:hAnsi="Century Gothic"/>
        </w:rPr>
        <w:t xml:space="preserve">Energy Assistance: </w:t>
      </w:r>
      <w:r w:rsidR="00322237" w:rsidRPr="4EB6BE86">
        <w:rPr>
          <w:rFonts w:ascii="Century Gothic" w:eastAsia="Times New Roman" w:hAnsi="Century Gothic"/>
        </w:rPr>
        <w:t xml:space="preserve">The </w:t>
      </w:r>
      <w:r w:rsidRPr="4EB6BE86">
        <w:rPr>
          <w:rFonts w:ascii="Century Gothic" w:eastAsia="Times New Roman" w:hAnsi="Century Gothic"/>
        </w:rPr>
        <w:t xml:space="preserve">Community Action </w:t>
      </w:r>
      <w:r w:rsidR="00322237" w:rsidRPr="4EB6BE86">
        <w:rPr>
          <w:rFonts w:ascii="Century Gothic" w:eastAsia="Times New Roman" w:hAnsi="Century Gothic"/>
        </w:rPr>
        <w:t>A</w:t>
      </w:r>
      <w:r w:rsidRPr="4EB6BE86">
        <w:rPr>
          <w:rFonts w:ascii="Century Gothic" w:eastAsia="Times New Roman" w:hAnsi="Century Gothic"/>
        </w:rPr>
        <w:t>gency provide</w:t>
      </w:r>
      <w:r w:rsidR="00322237" w:rsidRPr="4EB6BE86">
        <w:rPr>
          <w:rFonts w:ascii="Century Gothic" w:eastAsia="Times New Roman" w:hAnsi="Century Gothic"/>
        </w:rPr>
        <w:t>d</w:t>
      </w:r>
      <w:r w:rsidRPr="4EB6BE86">
        <w:rPr>
          <w:rFonts w:ascii="Century Gothic" w:eastAsia="Times New Roman" w:hAnsi="Century Gothic"/>
        </w:rPr>
        <w:t xml:space="preserve"> energy assistance information to the residents. Residents received a total return in the amount of $ 52,400</w:t>
      </w:r>
      <w:r w:rsidRPr="4EB6BE86">
        <w:rPr>
          <w:rFonts w:ascii="Century Gothic" w:eastAsia="Times New Roman" w:hAnsi="Century Gothic"/>
          <w:b/>
        </w:rPr>
        <w:t xml:space="preserve">. </w:t>
      </w:r>
    </w:p>
    <w:p w14:paraId="21FAA9D1" w14:textId="3EF1FF57" w:rsidR="00E6300B" w:rsidRPr="001859E9" w:rsidRDefault="00E6300B" w:rsidP="00486062">
      <w:pPr>
        <w:pStyle w:val="ListParagraph"/>
        <w:numPr>
          <w:ilvl w:val="1"/>
          <w:numId w:val="12"/>
        </w:numPr>
        <w:rPr>
          <w:rFonts w:ascii="Century Gothic" w:eastAsia="Times New Roman" w:hAnsi="Century Gothic"/>
        </w:rPr>
      </w:pPr>
      <w:r w:rsidRPr="4EB6BE86">
        <w:rPr>
          <w:rFonts w:ascii="Century Gothic" w:eastAsia="Times New Roman" w:hAnsi="Century Gothic"/>
        </w:rPr>
        <w:t xml:space="preserve">Building Attendant Stipend Program </w:t>
      </w:r>
    </w:p>
    <w:p w14:paraId="28517E09" w14:textId="1D1DCD81" w:rsidR="00E6300B" w:rsidRPr="001859E9" w:rsidRDefault="00E6300B" w:rsidP="00486062">
      <w:pPr>
        <w:pStyle w:val="ListParagraph"/>
        <w:numPr>
          <w:ilvl w:val="1"/>
          <w:numId w:val="19"/>
        </w:numPr>
        <w:rPr>
          <w:rFonts w:ascii="Century Gothic" w:eastAsia="Times New Roman" w:hAnsi="Century Gothic"/>
        </w:rPr>
      </w:pPr>
      <w:r w:rsidRPr="4EB6BE86">
        <w:rPr>
          <w:rFonts w:ascii="Century Gothic" w:eastAsia="Times New Roman" w:hAnsi="Century Gothic"/>
        </w:rPr>
        <w:t>U</w:t>
      </w:r>
      <w:r w:rsidR="00322237" w:rsidRPr="4EB6BE86">
        <w:rPr>
          <w:rFonts w:ascii="Century Gothic" w:eastAsia="Times New Roman" w:hAnsi="Century Gothic"/>
        </w:rPr>
        <w:t xml:space="preserve">nited </w:t>
      </w:r>
      <w:r w:rsidRPr="4EB6BE86">
        <w:rPr>
          <w:rFonts w:ascii="Century Gothic" w:eastAsia="Times New Roman" w:hAnsi="Century Gothic"/>
        </w:rPr>
        <w:t>I</w:t>
      </w:r>
      <w:r w:rsidR="00322237" w:rsidRPr="4EB6BE86">
        <w:rPr>
          <w:rFonts w:ascii="Century Gothic" w:eastAsia="Times New Roman" w:hAnsi="Century Gothic"/>
        </w:rPr>
        <w:t xml:space="preserve">lluminating </w:t>
      </w:r>
      <w:r w:rsidRPr="4EB6BE86">
        <w:rPr>
          <w:rFonts w:ascii="Century Gothic" w:eastAsia="Times New Roman" w:hAnsi="Century Gothic"/>
        </w:rPr>
        <w:t xml:space="preserve">– </w:t>
      </w:r>
      <w:r w:rsidR="00322237" w:rsidRPr="4EB6BE86">
        <w:rPr>
          <w:rFonts w:ascii="Century Gothic" w:eastAsia="Times New Roman" w:hAnsi="Century Gothic"/>
        </w:rPr>
        <w:t>I</w:t>
      </w:r>
      <w:r w:rsidRPr="4EB6BE86">
        <w:rPr>
          <w:rFonts w:ascii="Century Gothic" w:eastAsia="Times New Roman" w:hAnsi="Century Gothic"/>
        </w:rPr>
        <w:t xml:space="preserve">nformation </w:t>
      </w:r>
      <w:r w:rsidR="00322237" w:rsidRPr="4EB6BE86">
        <w:rPr>
          <w:rFonts w:ascii="Century Gothic" w:eastAsia="Times New Roman" w:hAnsi="Century Gothic"/>
        </w:rPr>
        <w:t xml:space="preserve">was given </w:t>
      </w:r>
      <w:r w:rsidRPr="4EB6BE86">
        <w:rPr>
          <w:rFonts w:ascii="Century Gothic" w:eastAsia="Times New Roman" w:hAnsi="Century Gothic"/>
        </w:rPr>
        <w:t>on low-income program for residents who receive Social Security benefits</w:t>
      </w:r>
      <w:r w:rsidR="00322237" w:rsidRPr="4EB6BE86">
        <w:rPr>
          <w:rFonts w:ascii="Century Gothic" w:eastAsia="Times New Roman" w:hAnsi="Century Gothic"/>
        </w:rPr>
        <w:t>,</w:t>
      </w:r>
      <w:r w:rsidRPr="4EB6BE86">
        <w:rPr>
          <w:rFonts w:ascii="Century Gothic" w:eastAsia="Times New Roman" w:hAnsi="Century Gothic"/>
        </w:rPr>
        <w:t xml:space="preserve"> TANF or Husky </w:t>
      </w:r>
      <w:r w:rsidR="00494A9A" w:rsidRPr="4EB6BE86">
        <w:rPr>
          <w:rFonts w:ascii="Century Gothic" w:eastAsia="Times New Roman" w:hAnsi="Century Gothic"/>
        </w:rPr>
        <w:t xml:space="preserve">and </w:t>
      </w:r>
      <w:r w:rsidRPr="4EB6BE86">
        <w:rPr>
          <w:rFonts w:ascii="Century Gothic" w:eastAsia="Times New Roman" w:hAnsi="Century Gothic"/>
        </w:rPr>
        <w:t xml:space="preserve">may qualify for 50% rate off. </w:t>
      </w:r>
    </w:p>
    <w:p w14:paraId="595CE135" w14:textId="4B165148"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p w14:paraId="5B388219" w14:textId="7F1A2882" w:rsidR="00E6300B" w:rsidRPr="001859E9" w:rsidRDefault="00E6300B" w:rsidP="00486062">
      <w:pPr>
        <w:pStyle w:val="ListParagraph"/>
        <w:numPr>
          <w:ilvl w:val="0"/>
          <w:numId w:val="22"/>
        </w:numPr>
        <w:ind w:left="1080"/>
        <w:rPr>
          <w:rFonts w:ascii="Century Gothic" w:eastAsia="Times New Roman" w:hAnsi="Century Gothic"/>
        </w:rPr>
      </w:pPr>
      <w:r w:rsidRPr="4EB6BE86">
        <w:rPr>
          <w:rFonts w:ascii="Century Gothic" w:eastAsia="Times New Roman" w:hAnsi="Century Gothic"/>
          <w:b/>
        </w:rPr>
        <w:t>Community Wellbeing enhancements</w:t>
      </w:r>
      <w:r w:rsidRPr="4EB6BE86">
        <w:rPr>
          <w:rFonts w:ascii="Century Gothic" w:eastAsia="Times New Roman" w:hAnsi="Century Gothic"/>
        </w:rPr>
        <w:t xml:space="preserve">: </w:t>
      </w:r>
    </w:p>
    <w:p w14:paraId="21E3DCBD" w14:textId="51FE05E3" w:rsidR="00E6300B" w:rsidRPr="001859E9" w:rsidRDefault="00E6300B" w:rsidP="00486062">
      <w:pPr>
        <w:pStyle w:val="ListParagraph"/>
        <w:numPr>
          <w:ilvl w:val="0"/>
          <w:numId w:val="18"/>
        </w:numPr>
        <w:rPr>
          <w:rFonts w:ascii="Century Gothic" w:eastAsia="Times New Roman" w:hAnsi="Century Gothic"/>
        </w:rPr>
      </w:pPr>
      <w:r w:rsidRPr="4EB6BE86">
        <w:rPr>
          <w:rFonts w:ascii="Century Gothic" w:eastAsia="Times New Roman" w:hAnsi="Century Gothic"/>
        </w:rPr>
        <w:t xml:space="preserve">TRC/ Community meetings every month. </w:t>
      </w:r>
    </w:p>
    <w:p w14:paraId="3D980877" w14:textId="18A76BEA" w:rsidR="00E6300B" w:rsidRPr="001859E9" w:rsidRDefault="00E6300B" w:rsidP="00486062">
      <w:pPr>
        <w:pStyle w:val="ListParagraph"/>
        <w:numPr>
          <w:ilvl w:val="0"/>
          <w:numId w:val="17"/>
        </w:numPr>
        <w:ind w:left="1080"/>
        <w:rPr>
          <w:rFonts w:ascii="Century Gothic" w:eastAsia="Times New Roman" w:hAnsi="Century Gothic"/>
        </w:rPr>
      </w:pPr>
      <w:r w:rsidRPr="4EB6BE86">
        <w:rPr>
          <w:rFonts w:ascii="Century Gothic" w:eastAsia="Times New Roman" w:hAnsi="Century Gothic"/>
        </w:rPr>
        <w:t>R</w:t>
      </w:r>
      <w:r w:rsidR="00F32C71" w:rsidRPr="4EB6BE86">
        <w:rPr>
          <w:rFonts w:ascii="Century Gothic" w:eastAsia="Times New Roman" w:hAnsi="Century Gothic"/>
        </w:rPr>
        <w:t xml:space="preserve">esident </w:t>
      </w:r>
      <w:r w:rsidRPr="4EB6BE86">
        <w:rPr>
          <w:rFonts w:ascii="Century Gothic" w:eastAsia="Times New Roman" w:hAnsi="Century Gothic"/>
        </w:rPr>
        <w:t>A</w:t>
      </w:r>
      <w:r w:rsidR="00F32C71" w:rsidRPr="4EB6BE86">
        <w:rPr>
          <w:rFonts w:ascii="Century Gothic" w:eastAsia="Times New Roman" w:hAnsi="Century Gothic"/>
        </w:rPr>
        <w:t xml:space="preserve">dvisory </w:t>
      </w:r>
      <w:r w:rsidRPr="4EB6BE86">
        <w:rPr>
          <w:rFonts w:ascii="Century Gothic" w:eastAsia="Times New Roman" w:hAnsi="Century Gothic"/>
        </w:rPr>
        <w:t>B</w:t>
      </w:r>
      <w:r w:rsidR="00F32C71" w:rsidRPr="4EB6BE86">
        <w:rPr>
          <w:rFonts w:ascii="Century Gothic" w:eastAsia="Times New Roman" w:hAnsi="Century Gothic"/>
        </w:rPr>
        <w:t>oard (RAB)</w:t>
      </w:r>
      <w:r w:rsidRPr="4EB6BE86">
        <w:rPr>
          <w:rFonts w:ascii="Century Gothic" w:eastAsia="Times New Roman" w:hAnsi="Century Gothic"/>
        </w:rPr>
        <w:t xml:space="preserve"> meetings </w:t>
      </w:r>
    </w:p>
    <w:p w14:paraId="0C8993DA" w14:textId="0EC4C59B" w:rsidR="00E6300B" w:rsidRPr="001859E9" w:rsidRDefault="00E6300B" w:rsidP="00486062">
      <w:pPr>
        <w:pStyle w:val="ListParagraph"/>
        <w:numPr>
          <w:ilvl w:val="0"/>
          <w:numId w:val="16"/>
        </w:numPr>
        <w:ind w:left="1080"/>
        <w:rPr>
          <w:rFonts w:ascii="Century Gothic" w:eastAsia="Times New Roman" w:hAnsi="Century Gothic"/>
        </w:rPr>
      </w:pPr>
      <w:r w:rsidRPr="4EB6BE86">
        <w:rPr>
          <w:rFonts w:ascii="Century Gothic" w:eastAsia="Times New Roman" w:hAnsi="Century Gothic"/>
        </w:rPr>
        <w:t xml:space="preserve">Outing trips to Holiday Hill.,  </w:t>
      </w:r>
    </w:p>
    <w:p w14:paraId="14F9C4C6" w14:textId="6E5C63BE" w:rsidR="00E6300B" w:rsidRPr="001859E9" w:rsidRDefault="00E6300B" w:rsidP="00486062">
      <w:pPr>
        <w:pStyle w:val="ListParagraph"/>
        <w:numPr>
          <w:ilvl w:val="0"/>
          <w:numId w:val="15"/>
        </w:numPr>
        <w:ind w:left="1080"/>
        <w:rPr>
          <w:rFonts w:ascii="Century Gothic" w:eastAsia="Times New Roman" w:hAnsi="Century Gothic"/>
        </w:rPr>
      </w:pPr>
      <w:r w:rsidRPr="4EB6BE86">
        <w:rPr>
          <w:rFonts w:ascii="Century Gothic" w:eastAsia="Times New Roman" w:hAnsi="Century Gothic"/>
        </w:rPr>
        <w:t>Coordinated rides to the senior centers.</w:t>
      </w:r>
    </w:p>
    <w:p w14:paraId="4CFEAAB5" w14:textId="6407A95D" w:rsidR="00E6300B" w:rsidRPr="001859E9" w:rsidRDefault="00E6300B" w:rsidP="00E6300B">
      <w:pPr>
        <w:pStyle w:val="ListParagraph"/>
        <w:ind w:left="1080"/>
        <w:rPr>
          <w:rFonts w:ascii="Century Gothic" w:eastAsia="Times New Roman" w:hAnsi="Century Gothic"/>
        </w:rPr>
      </w:pPr>
    </w:p>
    <w:p w14:paraId="60E7C63B" w14:textId="4CCDF624" w:rsidR="00E6300B" w:rsidRPr="00F32C71" w:rsidRDefault="00E6300B" w:rsidP="00486062">
      <w:pPr>
        <w:pStyle w:val="ListParagraph"/>
        <w:numPr>
          <w:ilvl w:val="0"/>
          <w:numId w:val="22"/>
        </w:numPr>
        <w:rPr>
          <w:rFonts w:ascii="Century Gothic" w:eastAsia="Times New Roman" w:hAnsi="Century Gothic"/>
        </w:rPr>
      </w:pPr>
      <w:r w:rsidRPr="4EB6BE86">
        <w:rPr>
          <w:rFonts w:ascii="Century Gothic" w:eastAsia="Times New Roman" w:hAnsi="Century Gothic"/>
          <w:b/>
        </w:rPr>
        <w:lastRenderedPageBreak/>
        <w:t>Food Insecurities</w:t>
      </w:r>
      <w:r w:rsidRPr="4EB6BE86">
        <w:rPr>
          <w:rFonts w:ascii="Century Gothic" w:eastAsia="Times New Roman" w:hAnsi="Century Gothic"/>
        </w:rPr>
        <w:t xml:space="preserve">:  </w:t>
      </w:r>
    </w:p>
    <w:p w14:paraId="36ACB587" w14:textId="33A11E0F" w:rsidR="00E6300B" w:rsidRPr="001859E9" w:rsidRDefault="00E6300B" w:rsidP="00486062">
      <w:pPr>
        <w:pStyle w:val="ListParagraph"/>
        <w:numPr>
          <w:ilvl w:val="0"/>
          <w:numId w:val="14"/>
        </w:numPr>
        <w:ind w:left="1080"/>
        <w:rPr>
          <w:rFonts w:ascii="Century Gothic" w:eastAsia="Times New Roman" w:hAnsi="Century Gothic"/>
        </w:rPr>
      </w:pPr>
      <w:r w:rsidRPr="4EB6BE86">
        <w:rPr>
          <w:rFonts w:ascii="Century Gothic" w:eastAsia="Times New Roman" w:hAnsi="Century Gothic"/>
        </w:rPr>
        <w:t xml:space="preserve">800 residents </w:t>
      </w:r>
      <w:proofErr w:type="gramStart"/>
      <w:r w:rsidRPr="4EB6BE86">
        <w:rPr>
          <w:rFonts w:ascii="Century Gothic" w:eastAsia="Times New Roman" w:hAnsi="Century Gothic"/>
        </w:rPr>
        <w:t>received</w:t>
      </w:r>
      <w:proofErr w:type="gramEnd"/>
      <w:r w:rsidRPr="4EB6BE86">
        <w:rPr>
          <w:rFonts w:ascii="Century Gothic" w:eastAsia="Times New Roman" w:hAnsi="Century Gothic"/>
        </w:rPr>
        <w:t xml:space="preserve"> food from the food bank every month. </w:t>
      </w:r>
    </w:p>
    <w:p w14:paraId="1ABCCBB2" w14:textId="280D52EA" w:rsidR="00E6300B" w:rsidRPr="001859E9" w:rsidRDefault="00E6300B" w:rsidP="00486062">
      <w:pPr>
        <w:pStyle w:val="ListParagraph"/>
        <w:numPr>
          <w:ilvl w:val="0"/>
          <w:numId w:val="13"/>
        </w:numPr>
        <w:ind w:left="1080"/>
        <w:rPr>
          <w:rFonts w:ascii="Century Gothic" w:eastAsia="Times New Roman" w:hAnsi="Century Gothic"/>
        </w:rPr>
      </w:pPr>
      <w:r w:rsidRPr="188A1EBF">
        <w:rPr>
          <w:rFonts w:ascii="Century Gothic" w:eastAsia="Times New Roman" w:hAnsi="Century Gothic"/>
        </w:rPr>
        <w:t>380 elderly residents receive elderly boxes</w:t>
      </w:r>
      <w:r w:rsidR="3A8989FA" w:rsidRPr="188A1EBF">
        <w:rPr>
          <w:rFonts w:ascii="Century Gothic" w:eastAsia="Times New Roman" w:hAnsi="Century Gothic"/>
        </w:rPr>
        <w:t xml:space="preserve"> containing non-perishable foods</w:t>
      </w:r>
      <w:r w:rsidRPr="188A1EBF">
        <w:rPr>
          <w:rFonts w:ascii="Century Gothic" w:eastAsia="Times New Roman" w:hAnsi="Century Gothic"/>
        </w:rPr>
        <w:t xml:space="preserve">.  </w:t>
      </w:r>
    </w:p>
    <w:p w14:paraId="57DF225C" w14:textId="3DA02A87" w:rsidR="00E6300B" w:rsidRPr="001859E9" w:rsidRDefault="00E6300B" w:rsidP="00486062">
      <w:pPr>
        <w:pStyle w:val="ListParagraph"/>
        <w:numPr>
          <w:ilvl w:val="0"/>
          <w:numId w:val="11"/>
        </w:numPr>
        <w:spacing w:line="257" w:lineRule="auto"/>
        <w:rPr>
          <w:rFonts w:ascii="Century Gothic" w:eastAsia="Times New Roman" w:hAnsi="Century Gothic"/>
        </w:rPr>
      </w:pPr>
      <w:r w:rsidRPr="4EB6BE86">
        <w:rPr>
          <w:rFonts w:ascii="Century Gothic" w:eastAsia="Times New Roman" w:hAnsi="Century Gothic"/>
        </w:rPr>
        <w:t>Turkey distribution at all the elderly sites</w:t>
      </w:r>
    </w:p>
    <w:p w14:paraId="26361431" w14:textId="6FCC38E4" w:rsidR="00E6300B" w:rsidRPr="001859E9" w:rsidRDefault="00E6300B" w:rsidP="00486062">
      <w:pPr>
        <w:pStyle w:val="ListParagraph"/>
        <w:numPr>
          <w:ilvl w:val="0"/>
          <w:numId w:val="10"/>
        </w:numPr>
        <w:spacing w:line="257" w:lineRule="auto"/>
        <w:rPr>
          <w:rFonts w:ascii="Century Gothic" w:eastAsia="Times New Roman" w:hAnsi="Century Gothic"/>
        </w:rPr>
      </w:pPr>
      <w:r w:rsidRPr="188A1EBF">
        <w:rPr>
          <w:rFonts w:ascii="Century Gothic" w:eastAsia="Times New Roman" w:hAnsi="Century Gothic"/>
        </w:rPr>
        <w:t xml:space="preserve">Farmers Market </w:t>
      </w:r>
      <w:r w:rsidR="7D897444" w:rsidRPr="188A1EBF">
        <w:rPr>
          <w:rFonts w:ascii="Century Gothic" w:eastAsia="Times New Roman" w:hAnsi="Century Gothic"/>
        </w:rPr>
        <w:t>visited developments and hosted fresh produce markets on site and distributed</w:t>
      </w:r>
      <w:r w:rsidR="008C33B6">
        <w:rPr>
          <w:rFonts w:ascii="Century Gothic" w:eastAsia="Times New Roman" w:hAnsi="Century Gothic"/>
        </w:rPr>
        <w:t xml:space="preserve"> food</w:t>
      </w:r>
    </w:p>
    <w:p w14:paraId="465A7006" w14:textId="5FCF5D11" w:rsidR="00E6300B" w:rsidRPr="001859E9" w:rsidRDefault="00E6300B" w:rsidP="00E6300B">
      <w:pPr>
        <w:spacing w:line="257" w:lineRule="auto"/>
        <w:ind w:left="1440"/>
        <w:rPr>
          <w:rFonts w:ascii="Century Gothic" w:eastAsia="Times New Roman" w:hAnsi="Century Gothic"/>
        </w:rPr>
      </w:pPr>
      <w:r w:rsidRPr="4EB6BE86">
        <w:rPr>
          <w:rFonts w:ascii="Century Gothic" w:eastAsia="Times New Roman" w:hAnsi="Century Gothic"/>
        </w:rPr>
        <w:t xml:space="preserve"> </w:t>
      </w:r>
    </w:p>
    <w:p w14:paraId="168863F5" w14:textId="306C5441" w:rsidR="00E6300B" w:rsidRPr="00404194" w:rsidRDefault="007014AF" w:rsidP="00486062">
      <w:pPr>
        <w:pStyle w:val="ListParagraph"/>
        <w:numPr>
          <w:ilvl w:val="0"/>
          <w:numId w:val="22"/>
        </w:numPr>
        <w:spacing w:line="257" w:lineRule="auto"/>
        <w:rPr>
          <w:rFonts w:ascii="Century Gothic" w:eastAsia="Times New Roman" w:hAnsi="Century Gothic"/>
          <w:b/>
        </w:rPr>
      </w:pPr>
      <w:r w:rsidRPr="4EB6BE86">
        <w:rPr>
          <w:rFonts w:ascii="Century Gothic" w:eastAsia="Times New Roman" w:hAnsi="Century Gothic"/>
          <w:b/>
        </w:rPr>
        <w:t>Eviction</w:t>
      </w:r>
      <w:r w:rsidR="00E6300B" w:rsidRPr="4EB6BE86">
        <w:rPr>
          <w:rFonts w:ascii="Century Gothic" w:eastAsia="Times New Roman" w:hAnsi="Century Gothic"/>
          <w:b/>
        </w:rPr>
        <w:t xml:space="preserve"> Prevention</w:t>
      </w:r>
    </w:p>
    <w:p w14:paraId="7BCC2C2E" w14:textId="0CD61DFE" w:rsidR="00643339" w:rsidRDefault="00E6300B" w:rsidP="00486062">
      <w:pPr>
        <w:pStyle w:val="ListParagraph"/>
        <w:numPr>
          <w:ilvl w:val="1"/>
          <w:numId w:val="13"/>
        </w:numPr>
        <w:spacing w:line="257" w:lineRule="auto"/>
        <w:rPr>
          <w:rFonts w:ascii="Century Gothic" w:eastAsia="Times New Roman" w:hAnsi="Century Gothic"/>
        </w:rPr>
      </w:pPr>
      <w:r w:rsidRPr="4EB6BE86">
        <w:rPr>
          <w:rFonts w:ascii="Century Gothic" w:eastAsia="Times New Roman" w:hAnsi="Century Gothic"/>
        </w:rPr>
        <w:t xml:space="preserve">A total of 181 referrals </w:t>
      </w:r>
      <w:r w:rsidR="002B0C27" w:rsidRPr="4EB6BE86">
        <w:rPr>
          <w:rFonts w:ascii="Century Gothic" w:eastAsia="Times New Roman" w:hAnsi="Century Gothic"/>
        </w:rPr>
        <w:t>were received</w:t>
      </w:r>
      <w:r w:rsidR="00643339" w:rsidRPr="4EB6BE86">
        <w:rPr>
          <w:rFonts w:ascii="Century Gothic" w:eastAsia="Times New Roman" w:hAnsi="Century Gothic"/>
        </w:rPr>
        <w:t>.</w:t>
      </w:r>
    </w:p>
    <w:p w14:paraId="096F7650" w14:textId="654F1DCB" w:rsidR="00E6300B" w:rsidRPr="001859E9" w:rsidRDefault="00643339" w:rsidP="00486062">
      <w:pPr>
        <w:pStyle w:val="ListParagraph"/>
        <w:numPr>
          <w:ilvl w:val="1"/>
          <w:numId w:val="13"/>
        </w:numPr>
        <w:spacing w:line="257" w:lineRule="auto"/>
        <w:rPr>
          <w:rFonts w:ascii="Century Gothic" w:eastAsia="Times New Roman" w:hAnsi="Century Gothic"/>
        </w:rPr>
      </w:pPr>
      <w:r w:rsidRPr="4EB6BE86">
        <w:rPr>
          <w:rFonts w:ascii="Century Gothic" w:eastAsia="Times New Roman" w:hAnsi="Century Gothic"/>
        </w:rPr>
        <w:t>T</w:t>
      </w:r>
      <w:r w:rsidR="00E6300B" w:rsidRPr="4EB6BE86">
        <w:rPr>
          <w:rFonts w:ascii="Century Gothic" w:eastAsia="Times New Roman" w:hAnsi="Century Gothic"/>
        </w:rPr>
        <w:t>he RSC’s worked with residents individually with 1:1 budgeting, housekeeping and nuisance issues.</w:t>
      </w:r>
    </w:p>
    <w:p w14:paraId="141A9968" w14:textId="620D4498" w:rsidR="00E6300B" w:rsidRPr="001859E9" w:rsidRDefault="00E6300B" w:rsidP="00E6300B">
      <w:pPr>
        <w:spacing w:line="257" w:lineRule="auto"/>
        <w:ind w:left="1080"/>
        <w:rPr>
          <w:rFonts w:ascii="Century Gothic" w:eastAsia="Times New Roman" w:hAnsi="Century Gothic"/>
          <w:b/>
        </w:rPr>
      </w:pPr>
      <w:r w:rsidRPr="4EB6BE86">
        <w:rPr>
          <w:rFonts w:ascii="Century Gothic" w:eastAsia="Times New Roman" w:hAnsi="Century Gothic"/>
          <w:b/>
        </w:rPr>
        <w:t xml:space="preserve"> </w:t>
      </w:r>
    </w:p>
    <w:p w14:paraId="4C0541B2" w14:textId="2E1353F4" w:rsidR="00E6300B" w:rsidRPr="001859E9" w:rsidRDefault="00E6300B" w:rsidP="00E6300B">
      <w:pPr>
        <w:spacing w:line="257" w:lineRule="auto"/>
        <w:ind w:firstLine="720"/>
        <w:rPr>
          <w:rFonts w:ascii="Century Gothic" w:eastAsia="Times New Roman" w:hAnsi="Century Gothic"/>
          <w:b/>
        </w:rPr>
      </w:pPr>
      <w:r w:rsidRPr="4EB6BE86">
        <w:rPr>
          <w:rFonts w:ascii="Century Gothic" w:eastAsia="Times New Roman" w:hAnsi="Century Gothic"/>
          <w:b/>
        </w:rPr>
        <w:t>7. Computer Literacy and GED classes:</w:t>
      </w:r>
    </w:p>
    <w:p w14:paraId="00B62FDF" w14:textId="7E5BF28E" w:rsidR="00E6300B" w:rsidRPr="001859E9" w:rsidRDefault="00643339" w:rsidP="00486062">
      <w:pPr>
        <w:pStyle w:val="ListParagraph"/>
        <w:numPr>
          <w:ilvl w:val="1"/>
          <w:numId w:val="13"/>
        </w:numPr>
        <w:spacing w:line="257" w:lineRule="auto"/>
        <w:rPr>
          <w:rFonts w:ascii="Century Gothic" w:eastAsia="Times New Roman" w:hAnsi="Century Gothic"/>
        </w:rPr>
      </w:pPr>
      <w:r w:rsidRPr="188A1EBF">
        <w:rPr>
          <w:rFonts w:ascii="Century Gothic" w:eastAsia="Times New Roman" w:hAnsi="Century Gothic"/>
        </w:rPr>
        <w:t>ECC/HANH</w:t>
      </w:r>
      <w:r w:rsidR="00E6300B" w:rsidRPr="188A1EBF">
        <w:rPr>
          <w:rFonts w:ascii="Century Gothic" w:eastAsia="Times New Roman" w:hAnsi="Century Gothic"/>
        </w:rPr>
        <w:t xml:space="preserve"> </w:t>
      </w:r>
      <w:r w:rsidR="2C6B2150" w:rsidRPr="188A1EBF">
        <w:rPr>
          <w:rFonts w:ascii="Century Gothic" w:eastAsia="Times New Roman" w:hAnsi="Century Gothic"/>
        </w:rPr>
        <w:t>contracted with Concepts for Adaptive Learning (CFAL)</w:t>
      </w:r>
      <w:r w:rsidR="00E6300B" w:rsidRPr="188A1EBF">
        <w:rPr>
          <w:rFonts w:ascii="Century Gothic" w:eastAsia="Times New Roman" w:hAnsi="Century Gothic"/>
        </w:rPr>
        <w:t xml:space="preserve"> to provide computer literacy to our adult residents. The focus of these classes is to learn </w:t>
      </w:r>
      <w:r w:rsidR="00896504" w:rsidRPr="188A1EBF">
        <w:rPr>
          <w:rFonts w:ascii="Century Gothic" w:eastAsia="Times New Roman" w:hAnsi="Century Gothic"/>
        </w:rPr>
        <w:t xml:space="preserve">the </w:t>
      </w:r>
      <w:r w:rsidR="00E6300B" w:rsidRPr="188A1EBF">
        <w:rPr>
          <w:rFonts w:ascii="Century Gothic" w:eastAsia="Times New Roman" w:hAnsi="Century Gothic"/>
        </w:rPr>
        <w:t xml:space="preserve">basics of computer use, </w:t>
      </w:r>
      <w:r w:rsidR="00896504" w:rsidRPr="188A1EBF">
        <w:rPr>
          <w:rFonts w:ascii="Century Gothic" w:eastAsia="Times New Roman" w:hAnsi="Century Gothic"/>
        </w:rPr>
        <w:t xml:space="preserve">i.e. </w:t>
      </w:r>
      <w:r w:rsidR="00E6300B" w:rsidRPr="188A1EBF">
        <w:rPr>
          <w:rFonts w:ascii="Century Gothic" w:eastAsia="Times New Roman" w:hAnsi="Century Gothic"/>
        </w:rPr>
        <w:t>Microsoft office (word, excel and power point)</w:t>
      </w:r>
      <w:r w:rsidR="00896504" w:rsidRPr="188A1EBF">
        <w:rPr>
          <w:rFonts w:ascii="Century Gothic" w:eastAsia="Times New Roman" w:hAnsi="Century Gothic"/>
        </w:rPr>
        <w:t xml:space="preserve"> and </w:t>
      </w:r>
      <w:r w:rsidR="00E6300B" w:rsidRPr="188A1EBF">
        <w:rPr>
          <w:rFonts w:ascii="Century Gothic" w:eastAsia="Times New Roman" w:hAnsi="Century Gothic"/>
        </w:rPr>
        <w:t>gain valuable workplace skills.</w:t>
      </w:r>
    </w:p>
    <w:p w14:paraId="68572832" w14:textId="145872A1" w:rsidR="00E6300B" w:rsidRPr="001859E9" w:rsidRDefault="00E6300B" w:rsidP="00486062">
      <w:pPr>
        <w:pStyle w:val="ListParagraph"/>
        <w:numPr>
          <w:ilvl w:val="1"/>
          <w:numId w:val="13"/>
        </w:numPr>
        <w:rPr>
          <w:rFonts w:ascii="Century Gothic" w:eastAsia="Times New Roman" w:hAnsi="Century Gothic"/>
        </w:rPr>
      </w:pPr>
      <w:r w:rsidRPr="4EB6BE86">
        <w:rPr>
          <w:rFonts w:ascii="Century Gothic" w:eastAsia="Times New Roman" w:hAnsi="Century Gothic"/>
        </w:rPr>
        <w:t xml:space="preserve"> Residents interested in GED and ESL were referred to Adult Education.</w:t>
      </w:r>
    </w:p>
    <w:p w14:paraId="72ADEA1E" w14:textId="47CA1E6C"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p w14:paraId="6803A80F" w14:textId="522BBB3D" w:rsidR="00B74650" w:rsidRDefault="00E6300B" w:rsidP="00E6300B">
      <w:pPr>
        <w:rPr>
          <w:rFonts w:ascii="Century Gothic" w:eastAsia="Times New Roman" w:hAnsi="Century Gothic"/>
        </w:rPr>
      </w:pPr>
      <w:r w:rsidRPr="4EB6BE86">
        <w:rPr>
          <w:rFonts w:ascii="Century Gothic" w:eastAsia="Times New Roman" w:hAnsi="Century Gothic"/>
        </w:rPr>
        <w:t xml:space="preserve">ECC/HANH has consistently seen growth in the number of individuals served through this initiative. </w:t>
      </w:r>
      <w:r w:rsidR="00896504" w:rsidRPr="4EB6BE86">
        <w:rPr>
          <w:rFonts w:ascii="Century Gothic" w:eastAsia="Times New Roman" w:hAnsi="Century Gothic"/>
        </w:rPr>
        <w:t xml:space="preserve">In FY24, the </w:t>
      </w:r>
      <w:r w:rsidRPr="4EB6BE86">
        <w:rPr>
          <w:rFonts w:ascii="Century Gothic" w:eastAsia="Times New Roman" w:hAnsi="Century Gothic"/>
        </w:rPr>
        <w:t xml:space="preserve">attention was focused on increasing programming that is offered at every site. The Resident Services Coordinator </w:t>
      </w:r>
      <w:r w:rsidR="002B0C27" w:rsidRPr="4EB6BE86">
        <w:rPr>
          <w:rFonts w:ascii="Century Gothic" w:eastAsia="Times New Roman" w:hAnsi="Century Gothic"/>
        </w:rPr>
        <w:t>has</w:t>
      </w:r>
      <w:r w:rsidRPr="4EB6BE86">
        <w:rPr>
          <w:rFonts w:ascii="Century Gothic" w:eastAsia="Times New Roman" w:hAnsi="Century Gothic"/>
        </w:rPr>
        <w:t xml:space="preserve"> also come up with creative ways to offer programming such as the Art and crafts groups, couponing groups, housekeeping and walking groups. </w:t>
      </w:r>
    </w:p>
    <w:p w14:paraId="6A335FED" w14:textId="27E40697" w:rsidR="00B74650" w:rsidRDefault="00B74650" w:rsidP="00E6300B">
      <w:pPr>
        <w:rPr>
          <w:rFonts w:ascii="Century Gothic" w:eastAsia="Times New Roman" w:hAnsi="Century Gothic"/>
        </w:rPr>
      </w:pPr>
    </w:p>
    <w:p w14:paraId="251B54C3" w14:textId="67F5807B" w:rsidR="00896504" w:rsidRPr="001859E9" w:rsidRDefault="00B74650" w:rsidP="00E6300B">
      <w:pPr>
        <w:rPr>
          <w:rFonts w:ascii="Century Gothic" w:eastAsia="Times New Roman" w:hAnsi="Century Gothic"/>
        </w:rPr>
      </w:pPr>
      <w:r w:rsidRPr="188A1EBF">
        <w:rPr>
          <w:rFonts w:ascii="Century Gothic" w:eastAsia="Times New Roman" w:hAnsi="Century Gothic"/>
        </w:rPr>
        <w:t>ECC/HANH</w:t>
      </w:r>
      <w:r w:rsidR="00E6300B" w:rsidRPr="188A1EBF">
        <w:rPr>
          <w:rFonts w:ascii="Century Gothic" w:eastAsia="Times New Roman" w:hAnsi="Century Gothic"/>
        </w:rPr>
        <w:t xml:space="preserve"> partnered with Clifford Beers </w:t>
      </w:r>
      <w:r w:rsidR="00BB06FB" w:rsidRPr="188A1EBF">
        <w:rPr>
          <w:rFonts w:ascii="Century Gothic" w:eastAsia="Times New Roman" w:hAnsi="Century Gothic"/>
        </w:rPr>
        <w:t>and</w:t>
      </w:r>
      <w:r w:rsidR="00E6300B" w:rsidRPr="188A1EBF">
        <w:rPr>
          <w:rFonts w:ascii="Century Gothic" w:eastAsia="Times New Roman" w:hAnsi="Century Gothic"/>
        </w:rPr>
        <w:t xml:space="preserve"> provided a series of groups at each development to address Community Opioid Prevention and Education. </w:t>
      </w:r>
      <w:r w:rsidR="00BB06FB" w:rsidRPr="188A1EBF">
        <w:rPr>
          <w:rFonts w:ascii="Century Gothic" w:eastAsia="Times New Roman" w:hAnsi="Century Gothic"/>
        </w:rPr>
        <w:t xml:space="preserve">  </w:t>
      </w:r>
    </w:p>
    <w:p w14:paraId="0F35F3FD" w14:textId="2856714B" w:rsidR="188A1EBF" w:rsidRDefault="188A1EBF" w:rsidP="188A1EBF">
      <w:pPr>
        <w:rPr>
          <w:rFonts w:ascii="Century Gothic" w:eastAsia="Times New Roman" w:hAnsi="Century Gothic"/>
        </w:rPr>
      </w:pPr>
    </w:p>
    <w:p w14:paraId="3CBFB802" w14:textId="6940085D" w:rsidR="00E6300B" w:rsidRDefault="45FBF4F8" w:rsidP="00E6300B">
      <w:pPr>
        <w:rPr>
          <w:rFonts w:ascii="Century Gothic" w:eastAsia="Times New Roman" w:hAnsi="Century Gothic"/>
        </w:rPr>
      </w:pPr>
      <w:r w:rsidRPr="188A1EBF">
        <w:rPr>
          <w:rFonts w:ascii="Century Gothic" w:eastAsia="Times New Roman" w:hAnsi="Century Gothic"/>
        </w:rPr>
        <w:t>ECC/HANH</w:t>
      </w:r>
      <w:r w:rsidR="00E6300B" w:rsidRPr="188A1EBF">
        <w:rPr>
          <w:rFonts w:ascii="Century Gothic" w:eastAsia="Times New Roman" w:hAnsi="Century Gothic"/>
        </w:rPr>
        <w:t xml:space="preserve"> worked extensively to increase our group meetings and participation. In fiscal year 2024 there was a significant increase of 178% in group meetings, from 85 meetings monthly to 237 meetings monthly.</w:t>
      </w:r>
    </w:p>
    <w:p w14:paraId="4DA5C7B8" w14:textId="2C882166" w:rsidR="00E223F6" w:rsidRPr="001859E9" w:rsidRDefault="00E223F6" w:rsidP="00E6300B">
      <w:pPr>
        <w:rPr>
          <w:rFonts w:ascii="Century Gothic" w:eastAsia="Times New Roman" w:hAnsi="Century Gothic"/>
        </w:rPr>
      </w:pPr>
    </w:p>
    <w:p w14:paraId="2202EC23" w14:textId="31380850" w:rsidR="00E6300B" w:rsidRPr="001859E9" w:rsidRDefault="00E6300B" w:rsidP="00E6300B">
      <w:pPr>
        <w:rPr>
          <w:rFonts w:ascii="Century Gothic" w:eastAsia="Times New Roman" w:hAnsi="Century Gothic"/>
        </w:rPr>
      </w:pPr>
      <w:r w:rsidRPr="4EB6BE86">
        <w:rPr>
          <w:rFonts w:ascii="Century Gothic" w:eastAsia="Times New Roman" w:hAnsi="Century Gothic"/>
        </w:rPr>
        <w:t>In fiscal year 2023 the number of residents who increase serf-sufficiency was 58 residents</w:t>
      </w:r>
      <w:r w:rsidR="00497E56" w:rsidRPr="4EB6BE86">
        <w:rPr>
          <w:rFonts w:ascii="Century Gothic" w:eastAsia="Times New Roman" w:hAnsi="Century Gothic"/>
        </w:rPr>
        <w:t xml:space="preserve">. </w:t>
      </w:r>
      <w:r w:rsidR="005E7E66" w:rsidRPr="4EB6BE86">
        <w:rPr>
          <w:rFonts w:ascii="Century Gothic" w:eastAsia="Times New Roman" w:hAnsi="Century Gothic"/>
        </w:rPr>
        <w:t xml:space="preserve"> I</w:t>
      </w:r>
      <w:r w:rsidRPr="4EB6BE86">
        <w:rPr>
          <w:rFonts w:ascii="Century Gothic" w:eastAsia="Times New Roman" w:hAnsi="Century Gothic"/>
        </w:rPr>
        <w:t xml:space="preserve">n FY 2024 </w:t>
      </w:r>
      <w:r w:rsidR="005E7E66" w:rsidRPr="4EB6BE86">
        <w:rPr>
          <w:rFonts w:ascii="Century Gothic" w:eastAsia="Times New Roman" w:hAnsi="Century Gothic"/>
        </w:rPr>
        <w:t>there were</w:t>
      </w:r>
      <w:r w:rsidRPr="4EB6BE86">
        <w:rPr>
          <w:rFonts w:ascii="Century Gothic" w:eastAsia="Times New Roman" w:hAnsi="Century Gothic"/>
        </w:rPr>
        <w:t xml:space="preserve"> 64 residents who increased self-sufficiency</w:t>
      </w:r>
      <w:r w:rsidR="00BC083B" w:rsidRPr="4EB6BE86">
        <w:rPr>
          <w:rFonts w:ascii="Century Gothic" w:eastAsia="Times New Roman" w:hAnsi="Century Gothic"/>
        </w:rPr>
        <w:t xml:space="preserve"> which is a 10% increase. </w:t>
      </w:r>
      <w:r w:rsidRPr="4EB6BE86">
        <w:rPr>
          <w:rFonts w:ascii="Century Gothic" w:eastAsia="Times New Roman" w:hAnsi="Century Gothic"/>
        </w:rPr>
        <w:t xml:space="preserve"> The supportive services partners worked intensively with the residents to maintain independent living.</w:t>
      </w:r>
    </w:p>
    <w:p w14:paraId="71AF976D" w14:textId="12C271D5" w:rsidR="00E6300B" w:rsidRPr="001859E9" w:rsidRDefault="00E6300B" w:rsidP="00E6300B">
      <w:pPr>
        <w:rPr>
          <w:rFonts w:ascii="Century Gothic" w:eastAsia="Times New Roman" w:hAnsi="Century Gothic"/>
          <w:b/>
          <w:color w:val="7F7F7F" w:themeColor="text1" w:themeTint="80"/>
        </w:rPr>
      </w:pPr>
      <w:r w:rsidRPr="4EB6BE86">
        <w:rPr>
          <w:rFonts w:ascii="Century Gothic" w:eastAsia="Times New Roman" w:hAnsi="Century Gothic"/>
          <w:b/>
          <w:color w:val="7F7F7F" w:themeColor="text1" w:themeTint="80"/>
        </w:rPr>
        <w:t xml:space="preserve"> </w:t>
      </w:r>
    </w:p>
    <w:p w14:paraId="6E24F402" w14:textId="2ABEE032" w:rsidR="00E6300B" w:rsidRPr="001859E9" w:rsidRDefault="00E6300B" w:rsidP="00E6300B">
      <w:pPr>
        <w:rPr>
          <w:rFonts w:ascii="Century Gothic" w:eastAsia="Times New Roman" w:hAnsi="Century Gothic"/>
          <w:color w:val="7F7F7F" w:themeColor="text1" w:themeTint="80"/>
        </w:rPr>
      </w:pPr>
      <w:r w:rsidRPr="4EB6BE86">
        <w:rPr>
          <w:rFonts w:ascii="Century Gothic" w:eastAsia="Times New Roman" w:hAnsi="Century Gothic"/>
          <w:b/>
          <w:color w:val="7F7F7F" w:themeColor="text1" w:themeTint="80"/>
        </w:rPr>
        <w:t>Outcomes</w:t>
      </w:r>
      <w:r w:rsidRPr="4EB6BE86">
        <w:rPr>
          <w:rFonts w:ascii="Century Gothic" w:eastAsia="Times New Roman" w:hAnsi="Century Gothic"/>
          <w:color w:val="7F7F7F" w:themeColor="text1" w:themeTint="80"/>
        </w:rPr>
        <w:t xml:space="preserve"> </w:t>
      </w:r>
    </w:p>
    <w:p w14:paraId="1AB1E970" w14:textId="621859D6" w:rsidR="00E6300B" w:rsidRPr="001859E9" w:rsidRDefault="00E6300B" w:rsidP="00E6300B">
      <w:pPr>
        <w:rPr>
          <w:rFonts w:ascii="Century Gothic" w:eastAsia="Times New Roman" w:hAnsi="Century Gothic"/>
          <w:color w:val="ED7D31"/>
        </w:rPr>
      </w:pPr>
      <w:r w:rsidRPr="4EB6BE86">
        <w:rPr>
          <w:rFonts w:ascii="Century Gothic" w:eastAsia="Times New Roman" w:hAnsi="Century Gothic"/>
          <w:b/>
          <w:color w:val="ED7D31"/>
        </w:rPr>
        <w:t xml:space="preserve"> </w:t>
      </w:r>
      <w:r w:rsidR="00D77855">
        <w:rPr>
          <w:rFonts w:ascii="Century Gothic" w:eastAsia="Times New Roman" w:hAnsi="Century Gothic"/>
          <w:b/>
          <w:color w:val="ED7D31"/>
        </w:rPr>
        <w:t>Internal</w:t>
      </w:r>
      <w:r w:rsidRPr="4EB6BE86">
        <w:rPr>
          <w:rFonts w:ascii="Century Gothic" w:eastAsia="Times New Roman" w:hAnsi="Century Gothic"/>
          <w:b/>
          <w:color w:val="ED7D31"/>
        </w:rPr>
        <w:t xml:space="preserve"> Metrics</w:t>
      </w:r>
      <w:r w:rsidRPr="4EB6BE86">
        <w:rPr>
          <w:rFonts w:ascii="Century Gothic" w:eastAsia="Times New Roman" w:hAnsi="Century Gothic"/>
          <w:color w:val="ED7D31"/>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38"/>
        <w:gridCol w:w="1363"/>
        <w:gridCol w:w="1079"/>
        <w:gridCol w:w="2606"/>
        <w:gridCol w:w="2314"/>
      </w:tblGrid>
      <w:tr w:rsidR="00E6300B" w:rsidRPr="001859E9" w14:paraId="512C8CD7" w14:textId="77777777">
        <w:trPr>
          <w:trHeight w:val="330"/>
        </w:trPr>
        <w:tc>
          <w:tcPr>
            <w:tcW w:w="3438" w:type="dxa"/>
            <w:tcBorders>
              <w:top w:val="single" w:sz="24" w:space="0" w:color="ED7D31"/>
              <w:left w:val="single" w:sz="24" w:space="0" w:color="BFBFBF" w:themeColor="background1" w:themeShade="BF"/>
              <w:bottom w:val="single" w:sz="8" w:space="0" w:color="D9D9D9" w:themeColor="background1" w:themeShade="D9"/>
              <w:right w:val="single" w:sz="8" w:space="0" w:color="D9D9D9" w:themeColor="background1" w:themeShade="D9"/>
            </w:tcBorders>
            <w:shd w:val="clear" w:color="auto" w:fill="BFBFBF" w:themeFill="background1" w:themeFillShade="BF"/>
          </w:tcPr>
          <w:p w14:paraId="36553924"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 xml:space="preserve"> </w:t>
            </w:r>
            <w:r w:rsidRPr="001859E9">
              <w:rPr>
                <w:rFonts w:ascii="Century Gothic" w:eastAsia="Times New Roman" w:hAnsi="Century Gothic"/>
                <w:color w:val="FFFFFF" w:themeColor="background1"/>
                <w:szCs w:val="22"/>
              </w:rPr>
              <w:t xml:space="preserve"> </w:t>
            </w:r>
          </w:p>
        </w:tc>
        <w:tc>
          <w:tcPr>
            <w:tcW w:w="1363" w:type="dxa"/>
            <w:tcBorders>
              <w:top w:val="single" w:sz="24" w:space="0" w:color="ED7D3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tcPr>
          <w:p w14:paraId="7E7DF08B"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 xml:space="preserve"> </w:t>
            </w:r>
            <w:r w:rsidRPr="001859E9">
              <w:rPr>
                <w:rFonts w:ascii="Century Gothic" w:eastAsia="Times New Roman" w:hAnsi="Century Gothic"/>
                <w:color w:val="FFFFFF" w:themeColor="background1"/>
                <w:szCs w:val="22"/>
              </w:rPr>
              <w:t xml:space="preserve"> </w:t>
            </w:r>
          </w:p>
        </w:tc>
        <w:tc>
          <w:tcPr>
            <w:tcW w:w="1079" w:type="dxa"/>
            <w:tcBorders>
              <w:top w:val="single" w:sz="24" w:space="0" w:color="ED7D3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tcPr>
          <w:p w14:paraId="4081F5DD"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 xml:space="preserve"> </w:t>
            </w:r>
            <w:r w:rsidRPr="001859E9">
              <w:rPr>
                <w:rFonts w:ascii="Century Gothic" w:eastAsia="Times New Roman" w:hAnsi="Century Gothic"/>
                <w:color w:val="FFFFFF" w:themeColor="background1"/>
                <w:szCs w:val="22"/>
              </w:rPr>
              <w:t xml:space="preserve"> </w:t>
            </w:r>
          </w:p>
        </w:tc>
        <w:tc>
          <w:tcPr>
            <w:tcW w:w="2606" w:type="dxa"/>
            <w:tcBorders>
              <w:top w:val="single" w:sz="24" w:space="0" w:color="ED7D3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tcPr>
          <w:p w14:paraId="54C1F261"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 xml:space="preserve"> </w:t>
            </w:r>
            <w:r w:rsidRPr="001859E9">
              <w:rPr>
                <w:rFonts w:ascii="Century Gothic" w:eastAsia="Times New Roman" w:hAnsi="Century Gothic"/>
                <w:color w:val="FFFFFF" w:themeColor="background1"/>
                <w:szCs w:val="22"/>
              </w:rPr>
              <w:t xml:space="preserve"> </w:t>
            </w:r>
          </w:p>
        </w:tc>
        <w:tc>
          <w:tcPr>
            <w:tcW w:w="2314" w:type="dxa"/>
            <w:tcBorders>
              <w:top w:val="single" w:sz="24" w:space="0" w:color="ED7D31"/>
              <w:left w:val="single" w:sz="8" w:space="0" w:color="D9D9D9" w:themeColor="background1" w:themeShade="D9"/>
              <w:bottom w:val="single" w:sz="8" w:space="0" w:color="D9D9D9" w:themeColor="background1" w:themeShade="D9"/>
              <w:right w:val="single" w:sz="24" w:space="0" w:color="BFBFBF" w:themeColor="background1" w:themeShade="BF"/>
            </w:tcBorders>
            <w:shd w:val="clear" w:color="auto" w:fill="BFBFBF" w:themeFill="background1" w:themeFillShade="BF"/>
          </w:tcPr>
          <w:p w14:paraId="2F7C5DF0"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 xml:space="preserve"> </w:t>
            </w:r>
            <w:r w:rsidRPr="001859E9">
              <w:rPr>
                <w:rFonts w:ascii="Century Gothic" w:eastAsia="Times New Roman" w:hAnsi="Century Gothic"/>
                <w:color w:val="FFFFFF" w:themeColor="background1"/>
                <w:szCs w:val="22"/>
              </w:rPr>
              <w:t xml:space="preserve"> </w:t>
            </w:r>
          </w:p>
        </w:tc>
      </w:tr>
      <w:tr w:rsidR="00E6300B" w:rsidRPr="001859E9" w14:paraId="3D60DA9D" w14:textId="77777777">
        <w:trPr>
          <w:trHeight w:val="495"/>
        </w:trPr>
        <w:tc>
          <w:tcPr>
            <w:tcW w:w="10800" w:type="dxa"/>
            <w:gridSpan w:val="5"/>
            <w:tcBorders>
              <w:top w:val="single" w:sz="8" w:space="0" w:color="D9D9D9" w:themeColor="background1" w:themeShade="D9"/>
              <w:left w:val="single" w:sz="24" w:space="0" w:color="808080" w:themeColor="background1" w:themeShade="80"/>
              <w:bottom w:val="single" w:sz="8" w:space="0" w:color="D9D9D9" w:themeColor="background1" w:themeShade="D9"/>
              <w:right w:val="single" w:sz="24" w:space="0" w:color="808080" w:themeColor="background1" w:themeShade="80"/>
            </w:tcBorders>
            <w:shd w:val="clear" w:color="auto" w:fill="808080" w:themeFill="background1" w:themeFillShade="80"/>
            <w:vAlign w:val="center"/>
          </w:tcPr>
          <w:p w14:paraId="3523E6FA"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SS #5: Households Assisted by Services that Increase Self Sufficiency</w:t>
            </w:r>
            <w:r w:rsidRPr="001859E9">
              <w:rPr>
                <w:rFonts w:ascii="Century Gothic" w:eastAsia="Times New Roman" w:hAnsi="Century Gothic"/>
                <w:color w:val="FFFFFF" w:themeColor="background1"/>
                <w:szCs w:val="22"/>
              </w:rPr>
              <w:t xml:space="preserve"> </w:t>
            </w:r>
          </w:p>
        </w:tc>
      </w:tr>
      <w:tr w:rsidR="00E6300B" w:rsidRPr="001859E9" w14:paraId="0CF12CCE" w14:textId="77777777">
        <w:trPr>
          <w:trHeight w:val="1215"/>
        </w:trPr>
        <w:tc>
          <w:tcPr>
            <w:tcW w:w="3438"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47AF920D"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Number of individuals enrolled </w:t>
            </w:r>
          </w:p>
        </w:tc>
        <w:tc>
          <w:tcPr>
            <w:tcW w:w="1363"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3582CE78"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102 (2012) </w:t>
            </w:r>
          </w:p>
        </w:tc>
        <w:tc>
          <w:tcPr>
            <w:tcW w:w="1079"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7637B1F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570* </w:t>
            </w:r>
          </w:p>
        </w:tc>
        <w:tc>
          <w:tcPr>
            <w:tcW w:w="2606"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51B2A7BE"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2024: 765</w:t>
            </w:r>
          </w:p>
          <w:p w14:paraId="4DDA1697"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2023: 769  </w:t>
            </w:r>
          </w:p>
          <w:p w14:paraId="42A16E48"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2022: 726 </w:t>
            </w:r>
          </w:p>
          <w:p w14:paraId="46108850"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2021: 579 </w:t>
            </w:r>
          </w:p>
          <w:p w14:paraId="034A3BD5"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2020: 608 </w:t>
            </w:r>
          </w:p>
        </w:tc>
        <w:tc>
          <w:tcPr>
            <w:tcW w:w="2314" w:type="dxa"/>
            <w:tcBorders>
              <w:top w:val="nil"/>
              <w:left w:val="single" w:sz="8" w:space="0" w:color="D9D9D9" w:themeColor="background1" w:themeShade="D9"/>
              <w:bottom w:val="single" w:sz="8" w:space="0" w:color="D9D9D9" w:themeColor="background1" w:themeShade="D9"/>
              <w:right w:val="nil"/>
            </w:tcBorders>
          </w:tcPr>
          <w:p w14:paraId="51E61AE4"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Yes </w:t>
            </w:r>
          </w:p>
          <w:p w14:paraId="03A285BC"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 </w:t>
            </w:r>
          </w:p>
        </w:tc>
      </w:tr>
      <w:tr w:rsidR="00E6300B" w:rsidRPr="001859E9" w14:paraId="6B4C9AA8" w14:textId="77777777">
        <w:trPr>
          <w:trHeight w:val="915"/>
        </w:trPr>
        <w:tc>
          <w:tcPr>
            <w:tcW w:w="3438"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1B509475"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Average number of outreach efforts conducted per month </w:t>
            </w:r>
          </w:p>
        </w:tc>
        <w:tc>
          <w:tcPr>
            <w:tcW w:w="136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D5C1A20"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62 (2013) </w:t>
            </w:r>
          </w:p>
        </w:tc>
        <w:tc>
          <w:tcPr>
            <w:tcW w:w="10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16344B8"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85 </w:t>
            </w:r>
          </w:p>
        </w:tc>
        <w:tc>
          <w:tcPr>
            <w:tcW w:w="260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85033DD" w14:textId="5183C844" w:rsidR="00E6300B" w:rsidRDefault="00E6300B">
            <w:pPr>
              <w:rPr>
                <w:rFonts w:ascii="Century Gothic" w:eastAsia="Times New Roman" w:hAnsi="Century Gothic"/>
              </w:rPr>
            </w:pPr>
            <w:r w:rsidRPr="00682342">
              <w:rPr>
                <w:rFonts w:ascii="Century Gothic" w:eastAsia="Times New Roman" w:hAnsi="Century Gothic"/>
              </w:rPr>
              <w:t xml:space="preserve">2024: </w:t>
            </w:r>
            <w:r w:rsidR="00A70840">
              <w:rPr>
                <w:rFonts w:ascii="Century Gothic" w:eastAsia="Times New Roman" w:hAnsi="Century Gothic"/>
              </w:rPr>
              <w:t>237</w:t>
            </w:r>
          </w:p>
          <w:p w14:paraId="44F1EF81" w14:textId="77777777" w:rsidR="00682342" w:rsidRPr="001859E9" w:rsidRDefault="00682342">
            <w:pPr>
              <w:rPr>
                <w:rFonts w:ascii="Century Gothic" w:eastAsia="Times New Roman" w:hAnsi="Century Gothic"/>
              </w:rPr>
            </w:pPr>
          </w:p>
          <w:p w14:paraId="67E28A2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2023: 785 </w:t>
            </w:r>
          </w:p>
          <w:p w14:paraId="78DA4D48"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lastRenderedPageBreak/>
              <w:t xml:space="preserve">2022: 762 </w:t>
            </w:r>
          </w:p>
          <w:p w14:paraId="69D3CAED"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2021: 783 </w:t>
            </w:r>
          </w:p>
          <w:p w14:paraId="7D1CC507" w14:textId="07905145"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2020</w:t>
            </w:r>
            <w:r w:rsidR="002B0C27" w:rsidRPr="001859E9">
              <w:rPr>
                <w:rFonts w:ascii="Century Gothic" w:eastAsia="Times New Roman" w:hAnsi="Century Gothic"/>
                <w:szCs w:val="22"/>
              </w:rPr>
              <w:t>: 770</w:t>
            </w:r>
            <w:r w:rsidRPr="001859E9">
              <w:rPr>
                <w:rFonts w:ascii="Century Gothic" w:eastAsia="Times New Roman" w:hAnsi="Century Gothic"/>
                <w:szCs w:val="22"/>
              </w:rPr>
              <w:t xml:space="preserve"> </w:t>
            </w:r>
          </w:p>
          <w:p w14:paraId="53BFA310"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  </w:t>
            </w:r>
          </w:p>
        </w:tc>
        <w:tc>
          <w:tcPr>
            <w:tcW w:w="2314"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tcPr>
          <w:p w14:paraId="79DF9106" w14:textId="299D2383"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lastRenderedPageBreak/>
              <w:t xml:space="preserve">Yes  </w:t>
            </w:r>
          </w:p>
          <w:p w14:paraId="10CB88D2"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 </w:t>
            </w:r>
          </w:p>
        </w:tc>
      </w:tr>
    </w:tbl>
    <w:p w14:paraId="74D60BF9" w14:textId="187DA4AF" w:rsidR="00E6300B" w:rsidRPr="001859E9" w:rsidRDefault="00E6300B" w:rsidP="00E6300B">
      <w:pPr>
        <w:rPr>
          <w:rFonts w:ascii="Century Gothic" w:eastAsia="Times New Roman" w:hAnsi="Century Gothic"/>
        </w:rPr>
      </w:pPr>
      <w:r w:rsidRPr="4EB6BE86">
        <w:rPr>
          <w:rFonts w:ascii="Century Gothic" w:eastAsia="Times New Roman" w:hAnsi="Century Gothic"/>
        </w:rPr>
        <w:t xml:space="preserve">  </w:t>
      </w:r>
    </w:p>
    <w:tbl>
      <w:tblPr>
        <w:tblW w:w="108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93"/>
        <w:gridCol w:w="1408"/>
        <w:gridCol w:w="1408"/>
        <w:gridCol w:w="2142"/>
        <w:gridCol w:w="2449"/>
      </w:tblGrid>
      <w:tr w:rsidR="00E6300B" w:rsidRPr="001859E9" w14:paraId="349066CE" w14:textId="77777777" w:rsidTr="007D6ED5">
        <w:trPr>
          <w:trHeight w:val="435"/>
        </w:trPr>
        <w:tc>
          <w:tcPr>
            <w:tcW w:w="10800" w:type="dxa"/>
            <w:gridSpan w:val="5"/>
            <w:tcBorders>
              <w:top w:val="nil"/>
              <w:left w:val="single" w:sz="24" w:space="0" w:color="808080" w:themeColor="background1" w:themeShade="80"/>
              <w:bottom w:val="single" w:sz="24" w:space="0" w:color="ED7D31"/>
              <w:right w:val="single" w:sz="24" w:space="0" w:color="808080" w:themeColor="background1" w:themeShade="80"/>
            </w:tcBorders>
            <w:shd w:val="clear" w:color="auto" w:fill="808080" w:themeFill="background1" w:themeFillShade="80"/>
            <w:vAlign w:val="center"/>
          </w:tcPr>
          <w:p w14:paraId="54966319"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color w:val="FFFFFF" w:themeColor="background1"/>
                <w:szCs w:val="22"/>
              </w:rPr>
              <w:t xml:space="preserve"> </w:t>
            </w:r>
          </w:p>
          <w:p w14:paraId="28648D60" w14:textId="77777777" w:rsidR="00E6300B" w:rsidRPr="001859E9" w:rsidRDefault="00E6300B">
            <w:pPr>
              <w:jc w:val="center"/>
              <w:rPr>
                <w:rFonts w:ascii="Century Gothic" w:eastAsia="Times New Roman" w:hAnsi="Century Gothic"/>
                <w:color w:val="000000" w:themeColor="text1"/>
                <w:szCs w:val="22"/>
              </w:rPr>
            </w:pPr>
            <w:r w:rsidRPr="001859E9">
              <w:rPr>
                <w:rFonts w:ascii="Century Gothic" w:eastAsia="Times New Roman" w:hAnsi="Century Gothic"/>
                <w:color w:val="000000" w:themeColor="text1"/>
                <w:szCs w:val="22"/>
              </w:rPr>
              <w:t xml:space="preserve">  </w:t>
            </w:r>
          </w:p>
        </w:tc>
      </w:tr>
      <w:tr w:rsidR="00E6300B" w:rsidRPr="001859E9" w14:paraId="6ACB4245" w14:textId="77777777" w:rsidTr="007D6ED5">
        <w:trPr>
          <w:trHeight w:val="600"/>
        </w:trPr>
        <w:tc>
          <w:tcPr>
            <w:tcW w:w="3393" w:type="dxa"/>
            <w:tcBorders>
              <w:top w:val="single" w:sz="24" w:space="0" w:color="ED7D31"/>
              <w:left w:val="single" w:sz="24" w:space="0" w:color="BFBFBF" w:themeColor="background1" w:themeShade="BF"/>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22C4B8E4"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Unit of Measurement</w:t>
            </w:r>
            <w:r w:rsidRPr="001859E9">
              <w:rPr>
                <w:rFonts w:ascii="Century Gothic" w:eastAsia="Times New Roman" w:hAnsi="Century Gothic"/>
                <w:color w:val="FFFFFF" w:themeColor="background1"/>
                <w:szCs w:val="22"/>
              </w:rPr>
              <w:t xml:space="preserve"> </w:t>
            </w:r>
          </w:p>
        </w:tc>
        <w:tc>
          <w:tcPr>
            <w:tcW w:w="140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6FF5C450"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Baseline</w:t>
            </w:r>
            <w:r w:rsidRPr="001859E9">
              <w:rPr>
                <w:rFonts w:ascii="Century Gothic" w:eastAsia="Times New Roman" w:hAnsi="Century Gothic"/>
                <w:color w:val="FFFFFF" w:themeColor="background1"/>
                <w:szCs w:val="22"/>
              </w:rPr>
              <w:t xml:space="preserve"> </w:t>
            </w:r>
          </w:p>
        </w:tc>
        <w:tc>
          <w:tcPr>
            <w:tcW w:w="140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427927D3"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Benchmark</w:t>
            </w:r>
            <w:r w:rsidRPr="001859E9">
              <w:rPr>
                <w:rFonts w:ascii="Century Gothic" w:eastAsia="Times New Roman" w:hAnsi="Century Gothic"/>
                <w:color w:val="FFFFFF" w:themeColor="background1"/>
                <w:szCs w:val="22"/>
              </w:rPr>
              <w:t xml:space="preserve"> </w:t>
            </w:r>
          </w:p>
        </w:tc>
        <w:tc>
          <w:tcPr>
            <w:tcW w:w="2142"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3CF99FBF"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Outcome</w:t>
            </w:r>
            <w:r w:rsidRPr="001859E9">
              <w:rPr>
                <w:rFonts w:ascii="Century Gothic" w:eastAsia="Times New Roman" w:hAnsi="Century Gothic"/>
                <w:color w:val="FFFFFF" w:themeColor="background1"/>
                <w:szCs w:val="22"/>
              </w:rPr>
              <w:t xml:space="preserve"> </w:t>
            </w:r>
          </w:p>
        </w:tc>
        <w:tc>
          <w:tcPr>
            <w:tcW w:w="2449" w:type="dxa"/>
            <w:tcBorders>
              <w:top w:val="nil"/>
              <w:left w:val="single" w:sz="8" w:space="0" w:color="D9D9D9" w:themeColor="background1" w:themeShade="D9"/>
              <w:bottom w:val="single" w:sz="8" w:space="0" w:color="D9D9D9" w:themeColor="background1" w:themeShade="D9"/>
              <w:right w:val="single" w:sz="24" w:space="0" w:color="BFBFBF" w:themeColor="background1" w:themeShade="BF"/>
            </w:tcBorders>
            <w:shd w:val="clear" w:color="auto" w:fill="BFBFBF" w:themeFill="background1" w:themeFillShade="BF"/>
            <w:vAlign w:val="center"/>
          </w:tcPr>
          <w:p w14:paraId="4F7230E9"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Benchmark Achieved?</w:t>
            </w:r>
            <w:r w:rsidRPr="001859E9">
              <w:rPr>
                <w:rFonts w:ascii="Century Gothic" w:eastAsia="Times New Roman" w:hAnsi="Century Gothic"/>
                <w:color w:val="FFFFFF" w:themeColor="background1"/>
                <w:szCs w:val="22"/>
              </w:rPr>
              <w:t xml:space="preserve"> </w:t>
            </w:r>
          </w:p>
        </w:tc>
      </w:tr>
      <w:tr w:rsidR="00E6300B" w:rsidRPr="001859E9" w14:paraId="2BED527E" w14:textId="77777777" w:rsidTr="007D6ED5">
        <w:trPr>
          <w:trHeight w:val="945"/>
        </w:trPr>
        <w:tc>
          <w:tcPr>
            <w:tcW w:w="3393"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12BA32ED"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Average number of group meetings held per month </w:t>
            </w:r>
          </w:p>
        </w:tc>
        <w:tc>
          <w:tcPr>
            <w:tcW w:w="140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C406A45"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128 (2013) </w:t>
            </w:r>
          </w:p>
        </w:tc>
        <w:tc>
          <w:tcPr>
            <w:tcW w:w="140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E39871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85 </w:t>
            </w:r>
          </w:p>
        </w:tc>
        <w:tc>
          <w:tcPr>
            <w:tcW w:w="2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FFFAB9C"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2024: 237</w:t>
            </w:r>
          </w:p>
          <w:p w14:paraId="2E6752FE" w14:textId="4BCAC221"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2023</w:t>
            </w:r>
            <w:r w:rsidR="002B0C27" w:rsidRPr="001859E9">
              <w:rPr>
                <w:rFonts w:ascii="Century Gothic" w:eastAsia="Times New Roman" w:hAnsi="Century Gothic"/>
                <w:szCs w:val="22"/>
              </w:rPr>
              <w:t>: 85</w:t>
            </w:r>
            <w:r w:rsidRPr="001859E9">
              <w:rPr>
                <w:rFonts w:ascii="Century Gothic" w:eastAsia="Times New Roman" w:hAnsi="Century Gothic"/>
                <w:szCs w:val="22"/>
              </w:rPr>
              <w:t xml:space="preserve">  </w:t>
            </w:r>
          </w:p>
          <w:p w14:paraId="4CE7B38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2022: 58 </w:t>
            </w:r>
          </w:p>
          <w:p w14:paraId="6FDE8F3D"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2021: 46 </w:t>
            </w:r>
          </w:p>
          <w:p w14:paraId="482A1185"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2020: 30 </w:t>
            </w:r>
          </w:p>
          <w:p w14:paraId="10EEE69F"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  </w:t>
            </w:r>
          </w:p>
        </w:tc>
        <w:tc>
          <w:tcPr>
            <w:tcW w:w="2449"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tcPr>
          <w:p w14:paraId="38122A4B"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 Yes</w:t>
            </w:r>
          </w:p>
        </w:tc>
      </w:tr>
      <w:tr w:rsidR="00E6300B" w:rsidRPr="001859E9" w14:paraId="0B2A56C6" w14:textId="77777777" w:rsidTr="007D6ED5">
        <w:trPr>
          <w:trHeight w:val="405"/>
        </w:trPr>
        <w:tc>
          <w:tcPr>
            <w:tcW w:w="10800" w:type="dxa"/>
            <w:gridSpan w:val="5"/>
            <w:tcBorders>
              <w:top w:val="single" w:sz="8" w:space="0" w:color="D9D9D9" w:themeColor="background1" w:themeShade="D9"/>
              <w:left w:val="nil"/>
              <w:bottom w:val="single" w:sz="8" w:space="0" w:color="D9D9D9" w:themeColor="background1" w:themeShade="D9"/>
              <w:right w:val="nil"/>
            </w:tcBorders>
            <w:shd w:val="clear" w:color="auto" w:fill="808080" w:themeFill="background1" w:themeFillShade="80"/>
            <w:vAlign w:val="center"/>
          </w:tcPr>
          <w:p w14:paraId="4A827E0B"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SS #8: Households Transitioned to Self Sufficiency</w:t>
            </w:r>
            <w:r w:rsidRPr="001859E9">
              <w:rPr>
                <w:rFonts w:ascii="Century Gothic" w:eastAsia="Times New Roman" w:hAnsi="Century Gothic"/>
                <w:color w:val="FFFFFF" w:themeColor="background1"/>
                <w:szCs w:val="22"/>
              </w:rPr>
              <w:t xml:space="preserve"> </w:t>
            </w:r>
          </w:p>
        </w:tc>
      </w:tr>
      <w:tr w:rsidR="00E6300B" w:rsidRPr="001859E9" w14:paraId="4D3B49B4" w14:textId="77777777" w:rsidTr="007D6ED5">
        <w:trPr>
          <w:trHeight w:val="1215"/>
        </w:trPr>
        <w:tc>
          <w:tcPr>
            <w:tcW w:w="3393"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724F972F"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Number of households transitioned to self-sufficiency* </w:t>
            </w:r>
          </w:p>
        </w:tc>
        <w:tc>
          <w:tcPr>
            <w:tcW w:w="140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7267DB2F"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0 (2012) </w:t>
            </w:r>
          </w:p>
        </w:tc>
        <w:tc>
          <w:tcPr>
            <w:tcW w:w="140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155096AF"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 </w:t>
            </w:r>
          </w:p>
        </w:tc>
        <w:tc>
          <w:tcPr>
            <w:tcW w:w="2142"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4FB16DBF"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2024: 64</w:t>
            </w:r>
          </w:p>
          <w:p w14:paraId="64CC1EBD"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2023: 58  </w:t>
            </w:r>
          </w:p>
          <w:p w14:paraId="05C41726"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2022: 47 </w:t>
            </w:r>
          </w:p>
          <w:p w14:paraId="4EB8C227" w14:textId="076259FC"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2021</w:t>
            </w:r>
            <w:r w:rsidR="002B0C27" w:rsidRPr="001859E9">
              <w:rPr>
                <w:rFonts w:ascii="Century Gothic" w:eastAsia="Times New Roman" w:hAnsi="Century Gothic"/>
                <w:szCs w:val="22"/>
              </w:rPr>
              <w:t>: 41</w:t>
            </w:r>
            <w:r w:rsidRPr="001859E9">
              <w:rPr>
                <w:rFonts w:ascii="Century Gothic" w:eastAsia="Times New Roman" w:hAnsi="Century Gothic"/>
                <w:szCs w:val="22"/>
              </w:rPr>
              <w:t xml:space="preserve"> </w:t>
            </w:r>
          </w:p>
          <w:p w14:paraId="20FD3899"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2020: 52 </w:t>
            </w:r>
          </w:p>
          <w:p w14:paraId="2D7104AC"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  </w:t>
            </w:r>
          </w:p>
        </w:tc>
        <w:tc>
          <w:tcPr>
            <w:tcW w:w="2449" w:type="dxa"/>
            <w:tcBorders>
              <w:top w:val="nil"/>
              <w:left w:val="single" w:sz="8" w:space="0" w:color="D9D9D9" w:themeColor="background1" w:themeShade="D9"/>
              <w:bottom w:val="single" w:sz="8" w:space="0" w:color="D9D9D9" w:themeColor="background1" w:themeShade="D9"/>
              <w:right w:val="nil"/>
            </w:tcBorders>
          </w:tcPr>
          <w:p w14:paraId="63CD121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Yes  </w:t>
            </w:r>
          </w:p>
        </w:tc>
      </w:tr>
    </w:tbl>
    <w:p w14:paraId="76876052" w14:textId="5CE135B9" w:rsidR="00E6300B" w:rsidRPr="007D6ED5" w:rsidRDefault="00E6300B" w:rsidP="00E6300B">
      <w:pPr>
        <w:rPr>
          <w:rFonts w:ascii="Century Gothic" w:eastAsia="Times New Roman" w:hAnsi="Century Gothic"/>
          <w:sz w:val="18"/>
          <w:szCs w:val="18"/>
        </w:rPr>
      </w:pPr>
      <w:r w:rsidRPr="007D6ED5">
        <w:rPr>
          <w:rFonts w:ascii="Century Gothic" w:eastAsia="Times New Roman" w:hAnsi="Century Gothic"/>
          <w:i/>
          <w:iCs/>
          <w:sz w:val="18"/>
          <w:szCs w:val="18"/>
        </w:rPr>
        <w:t>* ECC/HANH defines self-sufficiency in the context of the Elderly/Disabled program as an individual's ability to live independently and be lease compliant without case management services.</w:t>
      </w:r>
      <w:r w:rsidRPr="007D6ED5">
        <w:rPr>
          <w:rFonts w:ascii="Century Gothic" w:eastAsia="Times New Roman" w:hAnsi="Century Gothic"/>
          <w:sz w:val="18"/>
          <w:szCs w:val="18"/>
        </w:rPr>
        <w:t xml:space="preserve"> </w:t>
      </w:r>
    </w:p>
    <w:p w14:paraId="42871323" w14:textId="7C1AAB69" w:rsidR="00E6300B" w:rsidRPr="007D6ED5" w:rsidRDefault="00E6300B" w:rsidP="00E6300B">
      <w:pPr>
        <w:rPr>
          <w:rFonts w:ascii="Century Gothic" w:eastAsia="Times New Roman" w:hAnsi="Century Gothic"/>
          <w:sz w:val="18"/>
          <w:szCs w:val="18"/>
        </w:rPr>
      </w:pPr>
      <w:r w:rsidRPr="007D6ED5">
        <w:rPr>
          <w:rFonts w:ascii="Century Gothic" w:eastAsia="Times New Roman" w:hAnsi="Century Gothic"/>
          <w:sz w:val="18"/>
          <w:szCs w:val="18"/>
        </w:rPr>
        <w:t xml:space="preserve"> </w:t>
      </w:r>
    </w:p>
    <w:p w14:paraId="0B64556E" w14:textId="343F0893" w:rsidR="00E6300B" w:rsidRPr="001859E9" w:rsidRDefault="00E6300B" w:rsidP="00E6300B">
      <w:pPr>
        <w:rPr>
          <w:rFonts w:ascii="Century Gothic" w:eastAsia="Times New Roman" w:hAnsi="Century Gothic"/>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80"/>
        <w:gridCol w:w="4980"/>
      </w:tblGrid>
      <w:tr w:rsidR="00E6300B" w:rsidRPr="001859E9" w14:paraId="3EAC2AFF" w14:textId="77777777">
        <w:trPr>
          <w:trHeight w:val="285"/>
        </w:trPr>
        <w:tc>
          <w:tcPr>
            <w:tcW w:w="4980" w:type="dxa"/>
            <w:tcBorders>
              <w:top w:val="single" w:sz="8" w:space="0" w:color="auto"/>
              <w:left w:val="single" w:sz="8" w:space="0" w:color="auto"/>
              <w:bottom w:val="single" w:sz="8" w:space="0" w:color="auto"/>
              <w:right w:val="single" w:sz="8" w:space="0" w:color="auto"/>
            </w:tcBorders>
          </w:tcPr>
          <w:p w14:paraId="232E18C2"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b/>
                <w:bCs/>
                <w:szCs w:val="22"/>
              </w:rPr>
              <w:t>Group Meetings</w:t>
            </w:r>
            <w:r w:rsidRPr="001859E9">
              <w:rPr>
                <w:rFonts w:ascii="Century Gothic" w:eastAsia="Times New Roman" w:hAnsi="Century Gothic"/>
                <w:szCs w:val="22"/>
              </w:rPr>
              <w:t xml:space="preserve"> </w:t>
            </w:r>
          </w:p>
        </w:tc>
        <w:tc>
          <w:tcPr>
            <w:tcW w:w="4980" w:type="dxa"/>
            <w:tcBorders>
              <w:top w:val="single" w:sz="8" w:space="0" w:color="auto"/>
              <w:left w:val="single" w:sz="8" w:space="0" w:color="auto"/>
              <w:bottom w:val="single" w:sz="8" w:space="0" w:color="auto"/>
              <w:right w:val="single" w:sz="8" w:space="0" w:color="auto"/>
            </w:tcBorders>
          </w:tcPr>
          <w:p w14:paraId="3A789300"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b/>
                <w:bCs/>
                <w:szCs w:val="22"/>
              </w:rPr>
              <w:t>Times a month</w:t>
            </w:r>
            <w:r w:rsidRPr="001859E9">
              <w:rPr>
                <w:rFonts w:ascii="Century Gothic" w:eastAsia="Times New Roman" w:hAnsi="Century Gothic"/>
                <w:szCs w:val="22"/>
              </w:rPr>
              <w:t xml:space="preserve"> </w:t>
            </w:r>
          </w:p>
        </w:tc>
      </w:tr>
      <w:tr w:rsidR="00E6300B" w:rsidRPr="001859E9" w14:paraId="6EDEEFD2" w14:textId="77777777">
        <w:trPr>
          <w:trHeight w:val="285"/>
        </w:trPr>
        <w:tc>
          <w:tcPr>
            <w:tcW w:w="4980" w:type="dxa"/>
            <w:tcBorders>
              <w:top w:val="single" w:sz="8" w:space="0" w:color="auto"/>
              <w:left w:val="single" w:sz="8" w:space="0" w:color="auto"/>
              <w:bottom w:val="single" w:sz="8" w:space="0" w:color="auto"/>
              <w:right w:val="single" w:sz="8" w:space="0" w:color="auto"/>
            </w:tcBorders>
          </w:tcPr>
          <w:p w14:paraId="6DFA5F70"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Wolfe CNI Meetings</w:t>
            </w:r>
          </w:p>
        </w:tc>
        <w:tc>
          <w:tcPr>
            <w:tcW w:w="4980" w:type="dxa"/>
            <w:tcBorders>
              <w:top w:val="single" w:sz="8" w:space="0" w:color="auto"/>
              <w:left w:val="single" w:sz="8" w:space="0" w:color="auto"/>
              <w:bottom w:val="single" w:sz="8" w:space="0" w:color="auto"/>
              <w:right w:val="single" w:sz="8" w:space="0" w:color="auto"/>
            </w:tcBorders>
          </w:tcPr>
          <w:p w14:paraId="392C2D9F"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4 meetings monthly 9X4: 36</w:t>
            </w:r>
          </w:p>
        </w:tc>
      </w:tr>
      <w:tr w:rsidR="00E6300B" w:rsidRPr="001859E9" w14:paraId="7C052EC8" w14:textId="77777777">
        <w:trPr>
          <w:trHeight w:val="285"/>
        </w:trPr>
        <w:tc>
          <w:tcPr>
            <w:tcW w:w="4980" w:type="dxa"/>
            <w:tcBorders>
              <w:top w:val="single" w:sz="8" w:space="0" w:color="auto"/>
              <w:left w:val="single" w:sz="8" w:space="0" w:color="auto"/>
              <w:bottom w:val="single" w:sz="8" w:space="0" w:color="auto"/>
              <w:right w:val="single" w:sz="8" w:space="0" w:color="auto"/>
            </w:tcBorders>
          </w:tcPr>
          <w:p w14:paraId="79A33AEE"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TRC/RAB/community meetings </w:t>
            </w:r>
          </w:p>
        </w:tc>
        <w:tc>
          <w:tcPr>
            <w:tcW w:w="4980" w:type="dxa"/>
            <w:tcBorders>
              <w:top w:val="single" w:sz="8" w:space="0" w:color="auto"/>
              <w:left w:val="single" w:sz="8" w:space="0" w:color="auto"/>
              <w:bottom w:val="single" w:sz="8" w:space="0" w:color="auto"/>
              <w:right w:val="single" w:sz="8" w:space="0" w:color="auto"/>
            </w:tcBorders>
          </w:tcPr>
          <w:p w14:paraId="0618AF2E"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Once a month: 11 meetings 11X3= 33 meetings </w:t>
            </w:r>
          </w:p>
        </w:tc>
      </w:tr>
      <w:tr w:rsidR="00E6300B" w:rsidRPr="001859E9" w14:paraId="42E95D16" w14:textId="77777777">
        <w:trPr>
          <w:trHeight w:val="285"/>
        </w:trPr>
        <w:tc>
          <w:tcPr>
            <w:tcW w:w="4980" w:type="dxa"/>
            <w:tcBorders>
              <w:top w:val="single" w:sz="8" w:space="0" w:color="auto"/>
              <w:left w:val="single" w:sz="8" w:space="0" w:color="auto"/>
              <w:bottom w:val="single" w:sz="8" w:space="0" w:color="auto"/>
              <w:right w:val="single" w:sz="8" w:space="0" w:color="auto"/>
            </w:tcBorders>
          </w:tcPr>
          <w:p w14:paraId="6DE09BE6"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Programming per site</w:t>
            </w:r>
          </w:p>
        </w:tc>
        <w:tc>
          <w:tcPr>
            <w:tcW w:w="4980" w:type="dxa"/>
            <w:tcBorders>
              <w:top w:val="single" w:sz="8" w:space="0" w:color="auto"/>
              <w:left w:val="single" w:sz="8" w:space="0" w:color="auto"/>
              <w:bottom w:val="single" w:sz="8" w:space="0" w:color="auto"/>
              <w:right w:val="single" w:sz="8" w:space="0" w:color="auto"/>
            </w:tcBorders>
          </w:tcPr>
          <w:p w14:paraId="5CC9C076"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2 times a month per site = 66</w:t>
            </w:r>
          </w:p>
        </w:tc>
      </w:tr>
      <w:tr w:rsidR="00E6300B" w:rsidRPr="001859E9" w14:paraId="4FCD464A" w14:textId="77777777">
        <w:trPr>
          <w:trHeight w:val="285"/>
        </w:trPr>
        <w:tc>
          <w:tcPr>
            <w:tcW w:w="4980" w:type="dxa"/>
            <w:tcBorders>
              <w:top w:val="single" w:sz="8" w:space="0" w:color="auto"/>
              <w:left w:val="single" w:sz="8" w:space="0" w:color="auto"/>
              <w:bottom w:val="single" w:sz="8" w:space="0" w:color="auto"/>
              <w:right w:val="single" w:sz="8" w:space="0" w:color="auto"/>
            </w:tcBorders>
          </w:tcPr>
          <w:p w14:paraId="0DA4F641"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Community cookouts and other meetings </w:t>
            </w:r>
          </w:p>
        </w:tc>
        <w:tc>
          <w:tcPr>
            <w:tcW w:w="4980" w:type="dxa"/>
            <w:tcBorders>
              <w:top w:val="single" w:sz="8" w:space="0" w:color="auto"/>
              <w:left w:val="single" w:sz="8" w:space="0" w:color="auto"/>
              <w:bottom w:val="single" w:sz="8" w:space="0" w:color="auto"/>
              <w:right w:val="single" w:sz="8" w:space="0" w:color="auto"/>
            </w:tcBorders>
          </w:tcPr>
          <w:p w14:paraId="0C87C640"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38</w:t>
            </w:r>
          </w:p>
        </w:tc>
      </w:tr>
      <w:tr w:rsidR="00E6300B" w:rsidRPr="001859E9" w14:paraId="07C35BF0" w14:textId="77777777">
        <w:trPr>
          <w:trHeight w:val="285"/>
        </w:trPr>
        <w:tc>
          <w:tcPr>
            <w:tcW w:w="4980" w:type="dxa"/>
            <w:tcBorders>
              <w:top w:val="single" w:sz="8" w:space="0" w:color="auto"/>
              <w:left w:val="single" w:sz="8" w:space="0" w:color="auto"/>
              <w:bottom w:val="single" w:sz="8" w:space="0" w:color="auto"/>
              <w:right w:val="single" w:sz="8" w:space="0" w:color="auto"/>
            </w:tcBorders>
          </w:tcPr>
          <w:p w14:paraId="110E51D6"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COPES groups</w:t>
            </w:r>
          </w:p>
        </w:tc>
        <w:tc>
          <w:tcPr>
            <w:tcW w:w="4980" w:type="dxa"/>
            <w:tcBorders>
              <w:top w:val="single" w:sz="8" w:space="0" w:color="auto"/>
              <w:left w:val="single" w:sz="8" w:space="0" w:color="auto"/>
              <w:bottom w:val="single" w:sz="8" w:space="0" w:color="auto"/>
              <w:right w:val="single" w:sz="8" w:space="0" w:color="auto"/>
            </w:tcBorders>
          </w:tcPr>
          <w:p w14:paraId="6D66471F"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1weekly at 7 sites for 6 weeks: 42</w:t>
            </w:r>
          </w:p>
        </w:tc>
      </w:tr>
      <w:tr w:rsidR="00E6300B" w:rsidRPr="001859E9" w14:paraId="5988F841" w14:textId="77777777">
        <w:trPr>
          <w:trHeight w:val="285"/>
        </w:trPr>
        <w:tc>
          <w:tcPr>
            <w:tcW w:w="4980" w:type="dxa"/>
            <w:tcBorders>
              <w:top w:val="single" w:sz="8" w:space="0" w:color="auto"/>
              <w:left w:val="single" w:sz="8" w:space="0" w:color="auto"/>
              <w:bottom w:val="single" w:sz="8" w:space="0" w:color="auto"/>
              <w:right w:val="single" w:sz="8" w:space="0" w:color="auto"/>
            </w:tcBorders>
          </w:tcPr>
          <w:p w14:paraId="6CAABA69"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Building attendant meeting</w:t>
            </w:r>
          </w:p>
        </w:tc>
        <w:tc>
          <w:tcPr>
            <w:tcW w:w="4980" w:type="dxa"/>
            <w:tcBorders>
              <w:top w:val="single" w:sz="8" w:space="0" w:color="auto"/>
              <w:left w:val="single" w:sz="8" w:space="0" w:color="auto"/>
              <w:bottom w:val="single" w:sz="8" w:space="0" w:color="auto"/>
              <w:right w:val="single" w:sz="8" w:space="0" w:color="auto"/>
            </w:tcBorders>
          </w:tcPr>
          <w:p w14:paraId="6CBE3F22" w14:textId="5324C9E3"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 monthly meeting with BA’s/lead BA meeting and </w:t>
            </w:r>
            <w:r w:rsidR="002B0C27" w:rsidRPr="001859E9">
              <w:rPr>
                <w:rFonts w:ascii="Century Gothic" w:eastAsia="Times New Roman" w:hAnsi="Century Gothic"/>
                <w:szCs w:val="22"/>
              </w:rPr>
              <w:t>managers</w:t>
            </w:r>
            <w:r w:rsidRPr="001859E9">
              <w:rPr>
                <w:rFonts w:ascii="Century Gothic" w:eastAsia="Times New Roman" w:hAnsi="Century Gothic"/>
                <w:szCs w:val="22"/>
              </w:rPr>
              <w:t xml:space="preserve"> = 11 meetings, 2X11=22</w:t>
            </w:r>
          </w:p>
        </w:tc>
      </w:tr>
    </w:tbl>
    <w:p w14:paraId="7466BBCD" w14:textId="73594A7D" w:rsidR="007014AF" w:rsidRDefault="00E6300B" w:rsidP="00E6300B">
      <w:pPr>
        <w:rPr>
          <w:rFonts w:ascii="Century Gothic" w:eastAsia="Times New Roman" w:hAnsi="Century Gothic"/>
          <w:i/>
        </w:rPr>
      </w:pPr>
      <w:r w:rsidRPr="4EB6BE86">
        <w:rPr>
          <w:rFonts w:ascii="Century Gothic" w:eastAsia="Times New Roman" w:hAnsi="Century Gothic"/>
          <w:i/>
        </w:rPr>
        <w:t xml:space="preserve"> </w:t>
      </w:r>
    </w:p>
    <w:p w14:paraId="7593B67D" w14:textId="37196736" w:rsidR="00E6300B" w:rsidRPr="001859E9" w:rsidRDefault="00E6300B" w:rsidP="00E6300B">
      <w:pPr>
        <w:rPr>
          <w:rFonts w:ascii="Century Gothic" w:eastAsia="Times New Roman" w:hAnsi="Century Gothic"/>
          <w:color w:val="ED7D31"/>
        </w:rPr>
      </w:pPr>
      <w:r w:rsidRPr="4EB6BE86">
        <w:rPr>
          <w:rFonts w:ascii="Century Gothic" w:eastAsia="Times New Roman" w:hAnsi="Century Gothic"/>
          <w:b/>
          <w:color w:val="ED7D31"/>
        </w:rPr>
        <w:t xml:space="preserve"> Internal Metrics</w:t>
      </w:r>
      <w:r w:rsidRPr="4EB6BE86">
        <w:rPr>
          <w:rFonts w:ascii="Century Gothic" w:eastAsia="Times New Roman" w:hAnsi="Century Gothic"/>
          <w:color w:val="ED7D31"/>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47"/>
        <w:gridCol w:w="1258"/>
        <w:gridCol w:w="1348"/>
        <w:gridCol w:w="2651"/>
        <w:gridCol w:w="1595"/>
      </w:tblGrid>
      <w:tr w:rsidR="00E6300B" w:rsidRPr="001859E9" w14:paraId="54074AE2" w14:textId="77777777">
        <w:trPr>
          <w:trHeight w:val="405"/>
        </w:trPr>
        <w:tc>
          <w:tcPr>
            <w:tcW w:w="10799" w:type="dxa"/>
            <w:gridSpan w:val="5"/>
            <w:tcBorders>
              <w:top w:val="nil"/>
              <w:left w:val="single" w:sz="24" w:space="0" w:color="808080" w:themeColor="background1" w:themeShade="80"/>
              <w:bottom w:val="single" w:sz="24" w:space="0" w:color="ED7D31"/>
              <w:right w:val="single" w:sz="24" w:space="0" w:color="808080" w:themeColor="background1" w:themeShade="80"/>
            </w:tcBorders>
            <w:shd w:val="clear" w:color="auto" w:fill="808080" w:themeFill="background1" w:themeFillShade="80"/>
            <w:vAlign w:val="center"/>
          </w:tcPr>
          <w:p w14:paraId="3ECCDB56"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Compliant with Action Plan</w:t>
            </w:r>
            <w:r w:rsidRPr="001859E9">
              <w:rPr>
                <w:rFonts w:ascii="Century Gothic" w:eastAsia="Times New Roman" w:hAnsi="Century Gothic"/>
                <w:color w:val="FFFFFF" w:themeColor="background1"/>
                <w:szCs w:val="22"/>
              </w:rPr>
              <w:t xml:space="preserve"> </w:t>
            </w:r>
          </w:p>
        </w:tc>
      </w:tr>
      <w:tr w:rsidR="00E6300B" w:rsidRPr="001859E9" w14:paraId="5FF783D3" w14:textId="77777777">
        <w:trPr>
          <w:trHeight w:val="315"/>
        </w:trPr>
        <w:tc>
          <w:tcPr>
            <w:tcW w:w="3947" w:type="dxa"/>
            <w:tcBorders>
              <w:top w:val="single" w:sz="24" w:space="0" w:color="ED7D31"/>
              <w:left w:val="single" w:sz="24" w:space="0" w:color="BFBFBF" w:themeColor="background1" w:themeShade="BF"/>
              <w:bottom w:val="single" w:sz="8" w:space="0" w:color="D9D9D9" w:themeColor="background1" w:themeShade="D9"/>
              <w:right w:val="single" w:sz="8" w:space="0" w:color="F2F2F2" w:themeColor="background1" w:themeShade="F2"/>
            </w:tcBorders>
            <w:shd w:val="clear" w:color="auto" w:fill="BFBFBF" w:themeFill="background1" w:themeFillShade="BF"/>
            <w:vAlign w:val="center"/>
          </w:tcPr>
          <w:p w14:paraId="36D0955F"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Unit of Measurement</w:t>
            </w:r>
            <w:r w:rsidRPr="001859E9">
              <w:rPr>
                <w:rFonts w:ascii="Century Gothic" w:eastAsia="Times New Roman" w:hAnsi="Century Gothic"/>
                <w:color w:val="FFFFFF" w:themeColor="background1"/>
                <w:szCs w:val="22"/>
              </w:rPr>
              <w:t xml:space="preserve"> </w:t>
            </w:r>
          </w:p>
        </w:tc>
        <w:tc>
          <w:tcPr>
            <w:tcW w:w="1258" w:type="dxa"/>
            <w:tcBorders>
              <w:top w:val="nil"/>
              <w:left w:val="single" w:sz="8" w:space="0" w:color="F2F2F2" w:themeColor="background1" w:themeShade="F2"/>
              <w:bottom w:val="single" w:sz="8" w:space="0" w:color="D9D9D9" w:themeColor="background1" w:themeShade="D9"/>
              <w:right w:val="single" w:sz="8" w:space="0" w:color="F2F2F2" w:themeColor="background1" w:themeShade="F2"/>
            </w:tcBorders>
            <w:shd w:val="clear" w:color="auto" w:fill="BFBFBF" w:themeFill="background1" w:themeFillShade="BF"/>
            <w:vAlign w:val="center"/>
          </w:tcPr>
          <w:p w14:paraId="7AFF2C1C"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Baseline</w:t>
            </w:r>
            <w:r w:rsidRPr="001859E9">
              <w:rPr>
                <w:rFonts w:ascii="Century Gothic" w:eastAsia="Times New Roman" w:hAnsi="Century Gothic"/>
                <w:color w:val="FFFFFF" w:themeColor="background1"/>
                <w:szCs w:val="22"/>
              </w:rPr>
              <w:t xml:space="preserve"> </w:t>
            </w:r>
          </w:p>
        </w:tc>
        <w:tc>
          <w:tcPr>
            <w:tcW w:w="1348" w:type="dxa"/>
            <w:tcBorders>
              <w:top w:val="nil"/>
              <w:left w:val="single" w:sz="8" w:space="0" w:color="F2F2F2" w:themeColor="background1" w:themeShade="F2"/>
              <w:bottom w:val="single" w:sz="8" w:space="0" w:color="D9D9D9" w:themeColor="background1" w:themeShade="D9"/>
              <w:right w:val="single" w:sz="8" w:space="0" w:color="F2F2F2" w:themeColor="background1" w:themeShade="F2"/>
            </w:tcBorders>
            <w:shd w:val="clear" w:color="auto" w:fill="BFBFBF" w:themeFill="background1" w:themeFillShade="BF"/>
            <w:vAlign w:val="center"/>
          </w:tcPr>
          <w:p w14:paraId="2A4C1CC5"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Benchmark</w:t>
            </w:r>
            <w:r w:rsidRPr="001859E9">
              <w:rPr>
                <w:rFonts w:ascii="Century Gothic" w:eastAsia="Times New Roman" w:hAnsi="Century Gothic"/>
                <w:color w:val="FFFFFF" w:themeColor="background1"/>
                <w:szCs w:val="22"/>
              </w:rPr>
              <w:t xml:space="preserve"> </w:t>
            </w:r>
          </w:p>
        </w:tc>
        <w:tc>
          <w:tcPr>
            <w:tcW w:w="2651" w:type="dxa"/>
            <w:tcBorders>
              <w:top w:val="nil"/>
              <w:left w:val="single" w:sz="8" w:space="0" w:color="F2F2F2" w:themeColor="background1" w:themeShade="F2"/>
              <w:bottom w:val="single" w:sz="8" w:space="0" w:color="D9D9D9" w:themeColor="background1" w:themeShade="D9"/>
              <w:right w:val="single" w:sz="8" w:space="0" w:color="F2F2F2" w:themeColor="background1" w:themeShade="F2"/>
            </w:tcBorders>
            <w:shd w:val="clear" w:color="auto" w:fill="BFBFBF" w:themeFill="background1" w:themeFillShade="BF"/>
            <w:vAlign w:val="center"/>
          </w:tcPr>
          <w:p w14:paraId="44F868F0"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Outcome</w:t>
            </w:r>
            <w:r w:rsidRPr="001859E9">
              <w:rPr>
                <w:rFonts w:ascii="Century Gothic" w:eastAsia="Times New Roman" w:hAnsi="Century Gothic"/>
                <w:color w:val="FFFFFF" w:themeColor="background1"/>
                <w:szCs w:val="22"/>
              </w:rPr>
              <w:t xml:space="preserve"> </w:t>
            </w:r>
          </w:p>
        </w:tc>
        <w:tc>
          <w:tcPr>
            <w:tcW w:w="1595" w:type="dxa"/>
            <w:tcBorders>
              <w:top w:val="nil"/>
              <w:left w:val="single" w:sz="8" w:space="0" w:color="F2F2F2" w:themeColor="background1" w:themeShade="F2"/>
              <w:bottom w:val="single" w:sz="8" w:space="0" w:color="D9D9D9" w:themeColor="background1" w:themeShade="D9"/>
              <w:right w:val="single" w:sz="24" w:space="0" w:color="BFBFBF" w:themeColor="background1" w:themeShade="BF"/>
            </w:tcBorders>
            <w:shd w:val="clear" w:color="auto" w:fill="BFBFBF" w:themeFill="background1" w:themeFillShade="BF"/>
            <w:vAlign w:val="center"/>
          </w:tcPr>
          <w:p w14:paraId="08DEA1F2"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t>Benchmark Achieved?</w:t>
            </w:r>
            <w:r w:rsidRPr="001859E9">
              <w:rPr>
                <w:rFonts w:ascii="Century Gothic" w:eastAsia="Times New Roman" w:hAnsi="Century Gothic"/>
                <w:color w:val="FFFFFF" w:themeColor="background1"/>
                <w:szCs w:val="22"/>
              </w:rPr>
              <w:t xml:space="preserve"> </w:t>
            </w:r>
          </w:p>
        </w:tc>
      </w:tr>
      <w:tr w:rsidR="00E6300B" w:rsidRPr="001859E9" w14:paraId="3F4E931E" w14:textId="77777777">
        <w:trPr>
          <w:trHeight w:val="915"/>
        </w:trPr>
        <w:tc>
          <w:tcPr>
            <w:tcW w:w="3947"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3589175C"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Number of individuals compliant with Action Plan* </w:t>
            </w:r>
          </w:p>
        </w:tc>
        <w:tc>
          <w:tcPr>
            <w:tcW w:w="125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751F8DD"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83 (2013) </w:t>
            </w:r>
          </w:p>
        </w:tc>
        <w:tc>
          <w:tcPr>
            <w:tcW w:w="134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EC52B5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80 </w:t>
            </w:r>
          </w:p>
        </w:tc>
        <w:tc>
          <w:tcPr>
            <w:tcW w:w="265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D1BDE59"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2024: 751</w:t>
            </w:r>
          </w:p>
          <w:p w14:paraId="312DFC50"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2023: 753  </w:t>
            </w:r>
          </w:p>
          <w:p w14:paraId="4C3545D4"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2022: 709    </w:t>
            </w:r>
          </w:p>
          <w:p w14:paraId="32C4BBC5"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2021: 564 </w:t>
            </w:r>
          </w:p>
          <w:p w14:paraId="406441AB"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2020: 589 </w:t>
            </w:r>
          </w:p>
        </w:tc>
        <w:tc>
          <w:tcPr>
            <w:tcW w:w="1595" w:type="dxa"/>
            <w:tcBorders>
              <w:top w:val="single" w:sz="8" w:space="0" w:color="D9D9D9" w:themeColor="background1" w:themeShade="D9"/>
              <w:left w:val="single" w:sz="8" w:space="0" w:color="D9D9D9" w:themeColor="background1" w:themeShade="D9"/>
              <w:bottom w:val="single" w:sz="8" w:space="0" w:color="D9D9D9" w:themeColor="background1" w:themeShade="D9"/>
              <w:right w:val="nil"/>
            </w:tcBorders>
          </w:tcPr>
          <w:p w14:paraId="61381370"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Yes  </w:t>
            </w:r>
          </w:p>
        </w:tc>
      </w:tr>
      <w:tr w:rsidR="00E6300B" w:rsidRPr="001859E9" w14:paraId="67F524DF" w14:textId="77777777">
        <w:trPr>
          <w:trHeight w:val="405"/>
        </w:trPr>
        <w:tc>
          <w:tcPr>
            <w:tcW w:w="10799" w:type="dxa"/>
            <w:gridSpan w:val="5"/>
            <w:tcBorders>
              <w:top w:val="single" w:sz="8" w:space="0" w:color="D9D9D9" w:themeColor="background1" w:themeShade="D9"/>
              <w:left w:val="single" w:sz="24" w:space="0" w:color="808080" w:themeColor="background1" w:themeShade="80"/>
              <w:bottom w:val="single" w:sz="24" w:space="0" w:color="808080" w:themeColor="background1" w:themeShade="80"/>
              <w:right w:val="single" w:sz="24" w:space="0" w:color="808080" w:themeColor="background1" w:themeShade="80"/>
            </w:tcBorders>
            <w:shd w:val="clear" w:color="auto" w:fill="808080" w:themeFill="background1" w:themeFillShade="80"/>
            <w:vAlign w:val="center"/>
          </w:tcPr>
          <w:p w14:paraId="446EC129" w14:textId="77777777" w:rsidR="00E6300B" w:rsidRPr="001859E9" w:rsidRDefault="00E6300B">
            <w:pPr>
              <w:jc w:val="center"/>
              <w:rPr>
                <w:rFonts w:ascii="Century Gothic" w:eastAsia="Times New Roman" w:hAnsi="Century Gothic"/>
                <w:color w:val="FFFFFF" w:themeColor="background1"/>
                <w:szCs w:val="22"/>
              </w:rPr>
            </w:pPr>
            <w:r w:rsidRPr="001859E9">
              <w:rPr>
                <w:rFonts w:ascii="Century Gothic" w:eastAsia="Times New Roman" w:hAnsi="Century Gothic"/>
                <w:b/>
                <w:bCs/>
                <w:color w:val="FFFFFF" w:themeColor="background1"/>
                <w:szCs w:val="22"/>
              </w:rPr>
              <w:lastRenderedPageBreak/>
              <w:t>Non-compliant with Action Plan</w:t>
            </w:r>
            <w:r w:rsidRPr="001859E9">
              <w:rPr>
                <w:rFonts w:ascii="Century Gothic" w:eastAsia="Times New Roman" w:hAnsi="Century Gothic"/>
                <w:color w:val="FFFFFF" w:themeColor="background1"/>
                <w:szCs w:val="22"/>
              </w:rPr>
              <w:t xml:space="preserve"> </w:t>
            </w:r>
          </w:p>
        </w:tc>
      </w:tr>
      <w:tr w:rsidR="00E6300B" w:rsidRPr="001859E9" w14:paraId="578A4A3A" w14:textId="77777777">
        <w:trPr>
          <w:trHeight w:val="915"/>
        </w:trPr>
        <w:tc>
          <w:tcPr>
            <w:tcW w:w="3947" w:type="dxa"/>
            <w:tcBorders>
              <w:top w:val="single" w:sz="24" w:space="0" w:color="808080" w:themeColor="background1" w:themeShade="80"/>
              <w:left w:val="nil"/>
              <w:bottom w:val="single" w:sz="8" w:space="0" w:color="D9D9D9" w:themeColor="background1" w:themeShade="D9"/>
              <w:right w:val="single" w:sz="8" w:space="0" w:color="D9D9D9" w:themeColor="background1" w:themeShade="D9"/>
            </w:tcBorders>
          </w:tcPr>
          <w:p w14:paraId="42947D31"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Number of individuals non-compliant with Action Plan </w:t>
            </w:r>
          </w:p>
        </w:tc>
        <w:tc>
          <w:tcPr>
            <w:tcW w:w="125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55939625"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22 (2013) </w:t>
            </w:r>
          </w:p>
        </w:tc>
        <w:tc>
          <w:tcPr>
            <w:tcW w:w="134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19F3DF0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&lt; 25 </w:t>
            </w:r>
          </w:p>
        </w:tc>
        <w:tc>
          <w:tcPr>
            <w:tcW w:w="2651"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3BBF3A3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2024: 14</w:t>
            </w:r>
          </w:p>
          <w:p w14:paraId="322894A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2023: 16  </w:t>
            </w:r>
          </w:p>
          <w:p w14:paraId="59DB1073"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2022:17  </w:t>
            </w:r>
          </w:p>
          <w:p w14:paraId="4412E072"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2021:15 </w:t>
            </w:r>
          </w:p>
          <w:p w14:paraId="6A17F178" w14:textId="06C86091"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2020:19 </w:t>
            </w:r>
          </w:p>
        </w:tc>
        <w:tc>
          <w:tcPr>
            <w:tcW w:w="1595" w:type="dxa"/>
            <w:tcBorders>
              <w:top w:val="nil"/>
              <w:left w:val="single" w:sz="8" w:space="0" w:color="D9D9D9" w:themeColor="background1" w:themeShade="D9"/>
              <w:bottom w:val="single" w:sz="8" w:space="0" w:color="D9D9D9" w:themeColor="background1" w:themeShade="D9"/>
              <w:right w:val="nil"/>
            </w:tcBorders>
          </w:tcPr>
          <w:p w14:paraId="339789B2" w14:textId="77777777" w:rsidR="00E6300B" w:rsidRPr="001859E9" w:rsidRDefault="00E6300B">
            <w:pPr>
              <w:rPr>
                <w:rFonts w:ascii="Century Gothic" w:eastAsia="Times New Roman" w:hAnsi="Century Gothic"/>
                <w:szCs w:val="22"/>
              </w:rPr>
            </w:pPr>
            <w:r w:rsidRPr="001859E9">
              <w:rPr>
                <w:rFonts w:ascii="Century Gothic" w:eastAsia="Times New Roman" w:hAnsi="Century Gothic"/>
                <w:szCs w:val="22"/>
              </w:rPr>
              <w:t xml:space="preserve">Yes  </w:t>
            </w:r>
          </w:p>
        </w:tc>
      </w:tr>
    </w:tbl>
    <w:p w14:paraId="6F4E87BB" w14:textId="75C6F79B" w:rsidR="00E6300B" w:rsidRPr="00B15059" w:rsidRDefault="00E6300B" w:rsidP="00E6300B">
      <w:pPr>
        <w:rPr>
          <w:rFonts w:ascii="Century Gothic" w:eastAsia="Times New Roman" w:hAnsi="Century Gothic"/>
          <w:sz w:val="18"/>
          <w:szCs w:val="18"/>
        </w:rPr>
      </w:pPr>
      <w:r w:rsidRPr="00B15059">
        <w:rPr>
          <w:rFonts w:ascii="Century Gothic" w:eastAsia="Times New Roman" w:hAnsi="Century Gothic"/>
          <w:i/>
          <w:iCs/>
          <w:sz w:val="18"/>
          <w:szCs w:val="18"/>
        </w:rPr>
        <w:t>*Action Plan is a document that contains goals - it is prepared by a case manager after interviewing a resident. Compliance with the action plan is evaluated by the case manager.</w:t>
      </w:r>
      <w:r w:rsidRPr="00B15059">
        <w:rPr>
          <w:rFonts w:ascii="Century Gothic" w:eastAsia="Times New Roman" w:hAnsi="Century Gothic"/>
          <w:sz w:val="18"/>
          <w:szCs w:val="18"/>
        </w:rPr>
        <w:t xml:space="preserve"> </w:t>
      </w:r>
    </w:p>
    <w:p w14:paraId="32BA0A05" w14:textId="4AB97A29" w:rsidR="00E6300B" w:rsidRPr="00B15059" w:rsidRDefault="00E6300B" w:rsidP="00E6300B">
      <w:pPr>
        <w:jc w:val="both"/>
        <w:rPr>
          <w:rFonts w:ascii="Century Gothic" w:eastAsia="Times New Roman" w:hAnsi="Century Gothic"/>
          <w:sz w:val="18"/>
          <w:szCs w:val="18"/>
        </w:rPr>
      </w:pPr>
      <w:r w:rsidRPr="00B15059">
        <w:rPr>
          <w:rFonts w:ascii="Century Gothic" w:eastAsia="Times New Roman" w:hAnsi="Century Gothic"/>
          <w:sz w:val="18"/>
          <w:szCs w:val="18"/>
        </w:rPr>
        <w:t xml:space="preserve"> </w:t>
      </w:r>
    </w:p>
    <w:p w14:paraId="261F29AD" w14:textId="30D36F90" w:rsidR="00E6300B" w:rsidRPr="001859E9" w:rsidRDefault="00E6300B" w:rsidP="00E6300B">
      <w:pPr>
        <w:rPr>
          <w:rFonts w:ascii="Century Gothic" w:eastAsia="Times New Roman" w:hAnsi="Century Gothic"/>
          <w:b/>
          <w:color w:val="7F7F7F" w:themeColor="text1" w:themeTint="80"/>
        </w:rPr>
      </w:pPr>
      <w:r w:rsidRPr="4EB6BE86">
        <w:rPr>
          <w:rFonts w:ascii="Century Gothic" w:eastAsia="Times New Roman" w:hAnsi="Century Gothic"/>
          <w:b/>
          <w:color w:val="7F7F7F" w:themeColor="text1" w:themeTint="80"/>
        </w:rPr>
        <w:t xml:space="preserve"> </w:t>
      </w:r>
    </w:p>
    <w:p w14:paraId="148E8CBF" w14:textId="0838525D" w:rsidR="00E6300B" w:rsidRPr="001859E9" w:rsidRDefault="00E6300B" w:rsidP="00E6300B">
      <w:pPr>
        <w:rPr>
          <w:rFonts w:ascii="Century Gothic" w:eastAsia="Times New Roman" w:hAnsi="Century Gothic"/>
          <w:b/>
          <w:color w:val="7F7F7F" w:themeColor="text1" w:themeTint="80"/>
        </w:rPr>
      </w:pPr>
      <w:r w:rsidRPr="4EB6BE86">
        <w:rPr>
          <w:rFonts w:ascii="Century Gothic" w:eastAsia="Times New Roman" w:hAnsi="Century Gothic"/>
          <w:b/>
          <w:color w:val="7F7F7F" w:themeColor="text1" w:themeTint="80"/>
        </w:rPr>
        <w:t xml:space="preserve"> </w:t>
      </w:r>
    </w:p>
    <w:p w14:paraId="3BBA2606" w14:textId="799845FF" w:rsidR="00E6300B" w:rsidRPr="001859E9" w:rsidRDefault="00E6300B" w:rsidP="00E6300B">
      <w:pPr>
        <w:rPr>
          <w:rFonts w:ascii="Century Gothic" w:eastAsia="Times New Roman" w:hAnsi="Century Gothic"/>
          <w:b/>
          <w:color w:val="808080" w:themeColor="background1" w:themeShade="80"/>
        </w:rPr>
      </w:pPr>
      <w:r w:rsidRPr="4EB6BE86">
        <w:rPr>
          <w:rFonts w:ascii="Century Gothic" w:eastAsia="Times New Roman" w:hAnsi="Century Gothic"/>
          <w:b/>
          <w:color w:val="808080" w:themeColor="background1" w:themeShade="80"/>
        </w:rPr>
        <w:t xml:space="preserve">Actual non-significant changes </w:t>
      </w:r>
    </w:p>
    <w:p w14:paraId="6F517537" w14:textId="56CD12EB" w:rsidR="00E6300B" w:rsidRDefault="00E6300B" w:rsidP="00E6300B">
      <w:pPr>
        <w:jc w:val="both"/>
        <w:rPr>
          <w:rFonts w:ascii="Century Gothic" w:eastAsia="Times New Roman" w:hAnsi="Century Gothic"/>
        </w:rPr>
      </w:pPr>
      <w:r w:rsidRPr="4EB6BE86">
        <w:rPr>
          <w:rFonts w:ascii="Century Gothic" w:eastAsia="Times New Roman" w:hAnsi="Century Gothic"/>
        </w:rPr>
        <w:t>None</w:t>
      </w:r>
    </w:p>
    <w:p w14:paraId="4DB48086" w14:textId="4AD18BB4" w:rsidR="00B15059" w:rsidRPr="001859E9" w:rsidRDefault="00B15059" w:rsidP="00E6300B">
      <w:pPr>
        <w:jc w:val="both"/>
        <w:rPr>
          <w:rFonts w:ascii="Century Gothic" w:eastAsia="Times New Roman" w:hAnsi="Century Gothic"/>
        </w:rPr>
      </w:pPr>
    </w:p>
    <w:p w14:paraId="0CC4FF2D" w14:textId="21F38A5A" w:rsidR="00B15059" w:rsidRPr="001859E9" w:rsidRDefault="00B15059" w:rsidP="00E6300B">
      <w:pPr>
        <w:jc w:val="both"/>
        <w:rPr>
          <w:rFonts w:ascii="Century Gothic" w:eastAsia="Times New Roman" w:hAnsi="Century Gothic"/>
        </w:rPr>
      </w:pPr>
    </w:p>
    <w:p w14:paraId="402F1674" w14:textId="36048CF7" w:rsidR="00E6300B" w:rsidRPr="001859E9" w:rsidRDefault="00E6300B" w:rsidP="00E6300B">
      <w:pPr>
        <w:rPr>
          <w:rFonts w:ascii="Century Gothic" w:eastAsia="Times New Roman" w:hAnsi="Century Gothic"/>
          <w:b/>
          <w:color w:val="808080" w:themeColor="background1" w:themeShade="80"/>
        </w:rPr>
      </w:pPr>
      <w:r w:rsidRPr="4EB6BE86">
        <w:rPr>
          <w:rFonts w:ascii="Century Gothic" w:eastAsia="Times New Roman" w:hAnsi="Century Gothic"/>
          <w:b/>
          <w:color w:val="808080" w:themeColor="background1" w:themeShade="80"/>
        </w:rPr>
        <w:t xml:space="preserve">Actual significant changes </w:t>
      </w:r>
    </w:p>
    <w:p w14:paraId="697D36AE" w14:textId="0E895D76" w:rsidR="00E6300B" w:rsidRDefault="00E6300B" w:rsidP="00E6300B">
      <w:pPr>
        <w:rPr>
          <w:rFonts w:ascii="Century Gothic" w:eastAsia="Times New Roman" w:hAnsi="Century Gothic"/>
          <w:color w:val="7F7F7F" w:themeColor="text1" w:themeTint="80"/>
        </w:rPr>
      </w:pPr>
      <w:r w:rsidRPr="4EB6BE86">
        <w:rPr>
          <w:rFonts w:ascii="Century Gothic" w:eastAsia="Times New Roman" w:hAnsi="Century Gothic"/>
        </w:rPr>
        <w:t>None</w:t>
      </w:r>
      <w:r w:rsidRPr="4EB6BE86">
        <w:rPr>
          <w:rFonts w:ascii="Century Gothic" w:eastAsia="Times New Roman" w:hAnsi="Century Gothic"/>
          <w:b/>
        </w:rPr>
        <w:t xml:space="preserve"> </w:t>
      </w:r>
      <w:r w:rsidRPr="4EB6BE86">
        <w:rPr>
          <w:rFonts w:ascii="Century Gothic" w:eastAsia="Times New Roman" w:hAnsi="Century Gothic"/>
          <w:color w:val="7F7F7F" w:themeColor="text1" w:themeTint="80"/>
        </w:rPr>
        <w:t xml:space="preserve"> </w:t>
      </w:r>
    </w:p>
    <w:p w14:paraId="3F89157D" w14:textId="1296C2F7" w:rsidR="00B15059" w:rsidRPr="001859E9" w:rsidRDefault="00B15059" w:rsidP="00E6300B">
      <w:pPr>
        <w:rPr>
          <w:rFonts w:ascii="Century Gothic" w:eastAsia="Times New Roman" w:hAnsi="Century Gothic"/>
          <w:color w:val="7F7F7F" w:themeColor="text1" w:themeTint="80"/>
        </w:rPr>
      </w:pPr>
    </w:p>
    <w:p w14:paraId="431F9D61" w14:textId="29ED0F34" w:rsidR="00E6300B" w:rsidRPr="001859E9" w:rsidRDefault="00E6300B" w:rsidP="00E6300B">
      <w:pPr>
        <w:jc w:val="both"/>
        <w:rPr>
          <w:rFonts w:ascii="Century Gothic" w:eastAsia="Times New Roman" w:hAnsi="Century Gothic"/>
          <w:color w:val="7F7F7F" w:themeColor="text1" w:themeTint="80"/>
        </w:rPr>
      </w:pPr>
    </w:p>
    <w:p w14:paraId="2EE5767E" w14:textId="2C9ED50F" w:rsidR="00E6300B" w:rsidRPr="001859E9" w:rsidRDefault="00E6300B" w:rsidP="00E6300B">
      <w:pPr>
        <w:jc w:val="both"/>
        <w:rPr>
          <w:rFonts w:ascii="Century Gothic" w:eastAsia="Times New Roman" w:hAnsi="Century Gothic"/>
        </w:rPr>
      </w:pPr>
    </w:p>
    <w:p w14:paraId="33FF9AF6" w14:textId="4736290D" w:rsidR="00E6300B" w:rsidRPr="001859E9" w:rsidRDefault="00E6300B" w:rsidP="00E6300B">
      <w:pPr>
        <w:pStyle w:val="ListParagraph"/>
        <w:ind w:left="1080"/>
        <w:rPr>
          <w:rFonts w:ascii="Century Gothic" w:eastAsia="Times New Roman" w:hAnsi="Century Gothic"/>
        </w:rPr>
      </w:pPr>
    </w:p>
    <w:p w14:paraId="6FE8AB60" w14:textId="50F825E1" w:rsidR="00E6300B" w:rsidRPr="001859E9" w:rsidRDefault="00E6300B" w:rsidP="00E6300B">
      <w:pPr>
        <w:spacing w:line="257" w:lineRule="auto"/>
        <w:rPr>
          <w:rFonts w:ascii="Century Gothic" w:eastAsia="Times New Roman" w:hAnsi="Century Gothic"/>
          <w:b/>
          <w:color w:val="7F7F7F" w:themeColor="text1" w:themeTint="80"/>
        </w:rPr>
      </w:pPr>
      <w:r>
        <w:br/>
      </w:r>
    </w:p>
    <w:p w14:paraId="4C03842D" w14:textId="55090E91" w:rsidR="00E6300B" w:rsidRPr="001859E9" w:rsidRDefault="00E6300B" w:rsidP="00E6300B">
      <w:pPr>
        <w:rPr>
          <w:rFonts w:ascii="Century Gothic" w:hAnsi="Century Gothic"/>
        </w:rPr>
      </w:pPr>
    </w:p>
    <w:p w14:paraId="3DF28764" w14:textId="74138BBC" w:rsidR="00982708" w:rsidRDefault="00982708" w:rsidP="00E6300B">
      <w:pPr>
        <w:rPr>
          <w:rFonts w:ascii="Century Gothic" w:hAnsi="Century Gothic"/>
        </w:rPr>
      </w:pPr>
      <w:r>
        <w:rPr>
          <w:rFonts w:ascii="Century Gothic" w:hAnsi="Century Gothic"/>
        </w:rPr>
        <w:br w:type="page"/>
      </w:r>
    </w:p>
    <w:p w14:paraId="1EBEAE34" w14:textId="7D6AB960" w:rsidR="00034C9C" w:rsidRPr="00D70971" w:rsidRDefault="00034C9C" w:rsidP="00034C9C">
      <w:pPr>
        <w:pStyle w:val="Heading3"/>
        <w:rPr>
          <w:rFonts w:ascii="Century Gothic" w:hAnsi="Century Gothic"/>
          <w:sz w:val="22"/>
          <w:szCs w:val="22"/>
        </w:rPr>
      </w:pPr>
      <w:r w:rsidRPr="00D70971">
        <w:rPr>
          <w:rFonts w:ascii="Century Gothic" w:hAnsi="Century Gothic"/>
          <w:sz w:val="22"/>
          <w:szCs w:val="22"/>
        </w:rPr>
        <w:lastRenderedPageBreak/>
        <w:t xml:space="preserve">Initiative </w:t>
      </w:r>
      <w:r w:rsidR="00D338A4" w:rsidRPr="00D70971">
        <w:rPr>
          <w:rFonts w:ascii="Century Gothic" w:hAnsi="Century Gothic"/>
          <w:sz w:val="22"/>
          <w:szCs w:val="22"/>
        </w:rPr>
        <w:t>2.10F</w:t>
      </w:r>
      <w:r w:rsidRPr="00D70971">
        <w:rPr>
          <w:rFonts w:ascii="Century Gothic" w:hAnsi="Century Gothic"/>
          <w:sz w:val="22"/>
          <w:szCs w:val="22"/>
        </w:rPr>
        <w:t xml:space="preserve"> Jumpstart Initiative – incentivizing higher income families to exit subsidized program</w:t>
      </w:r>
      <w:r w:rsidR="00D338A4" w:rsidRPr="00D70971">
        <w:rPr>
          <w:rFonts w:ascii="Century Gothic" w:hAnsi="Century Gothic"/>
          <w:sz w:val="22"/>
          <w:szCs w:val="22"/>
        </w:rPr>
        <w:t xml:space="preserve"> (previously Initiative 4.10F)</w:t>
      </w:r>
    </w:p>
    <w:p w14:paraId="142DD586" w14:textId="6E8D00D0" w:rsidR="00034C9C" w:rsidRPr="00D70971" w:rsidRDefault="00034C9C" w:rsidP="00034C9C">
      <w:pPr>
        <w:pStyle w:val="Heading3"/>
        <w:rPr>
          <w:rFonts w:ascii="Century Gothic" w:hAnsi="Century Gothic"/>
          <w:sz w:val="22"/>
          <w:szCs w:val="22"/>
        </w:rPr>
      </w:pPr>
      <w:r w:rsidRPr="00D70971">
        <w:rPr>
          <w:rFonts w:ascii="Century Gothic" w:hAnsi="Century Gothic"/>
          <w:sz w:val="22"/>
          <w:szCs w:val="22"/>
        </w:rPr>
        <w:t>Approved and implemented in FY20</w:t>
      </w:r>
    </w:p>
    <w:p w14:paraId="3D654298" w14:textId="52CA4FDF" w:rsidR="00034C9C" w:rsidRPr="00D70971" w:rsidRDefault="00034C9C" w:rsidP="00034C9C">
      <w:pPr>
        <w:rPr>
          <w:rFonts w:ascii="Century Gothic" w:eastAsia="MS PGothic" w:hAnsi="Century Gothic"/>
          <w:i/>
          <w:lang w:bidi="en-US"/>
        </w:rPr>
      </w:pPr>
    </w:p>
    <w:p w14:paraId="70B8994B" w14:textId="4196F5E2" w:rsidR="00034C9C" w:rsidRPr="00D70971" w:rsidRDefault="00034C9C" w:rsidP="00034C9C">
      <w:pPr>
        <w:rPr>
          <w:rStyle w:val="SubtleEmphasis"/>
          <w:rFonts w:ascii="Century Gothic" w:eastAsiaTheme="majorEastAsia" w:hAnsi="Century Gothic"/>
          <w:b/>
          <w:bCs/>
          <w:color w:val="808080" w:themeColor="background1" w:themeShade="80"/>
          <w:sz w:val="22"/>
          <w:szCs w:val="22"/>
        </w:rPr>
      </w:pPr>
      <w:r w:rsidRPr="00D70971">
        <w:rPr>
          <w:rStyle w:val="SubtleEmphasis"/>
          <w:rFonts w:ascii="Century Gothic" w:eastAsiaTheme="majorEastAsia" w:hAnsi="Century Gothic"/>
          <w:b/>
          <w:bCs/>
          <w:color w:val="808080" w:themeColor="background1" w:themeShade="80"/>
          <w:sz w:val="22"/>
          <w:szCs w:val="22"/>
        </w:rPr>
        <w:t>Description</w:t>
      </w:r>
    </w:p>
    <w:p w14:paraId="74DDD31F" w14:textId="78B21209" w:rsidR="00034C9C" w:rsidRPr="00D70971" w:rsidRDefault="00034C9C" w:rsidP="00034C9C">
      <w:pPr>
        <w:spacing w:after="200" w:line="276" w:lineRule="auto"/>
        <w:rPr>
          <w:rFonts w:ascii="Century Gothic" w:eastAsia="Times New Roman" w:hAnsi="Century Gothic"/>
        </w:rPr>
      </w:pPr>
      <w:r w:rsidRPr="4EB6BE86">
        <w:rPr>
          <w:rFonts w:ascii="Century Gothic" w:eastAsia="Times New Roman" w:hAnsi="Century Gothic"/>
        </w:rPr>
        <w:t xml:space="preserve">This initiative has been created to assist higher income residents and participants to exit subsidized programs in advance of required program termination for over-income status.  This initiative is designed to offer families the incentive and the resources needed to enter the private rental market or obtain unassisted homeownership.  </w:t>
      </w:r>
    </w:p>
    <w:p w14:paraId="5B2A582E" w14:textId="4AE4D72C" w:rsidR="00C37756" w:rsidRDefault="00034C9C" w:rsidP="00034C9C">
      <w:pPr>
        <w:rPr>
          <w:rFonts w:ascii="Century Gothic" w:eastAsia="Times New Roman" w:hAnsi="Century Gothic"/>
        </w:rPr>
      </w:pPr>
      <w:r w:rsidRPr="4EB6BE86">
        <w:rPr>
          <w:rFonts w:ascii="Century Gothic" w:eastAsia="Times New Roman" w:hAnsi="Century Gothic"/>
        </w:rPr>
        <w:t xml:space="preserve">National estimates indicate that 40% of US households cannot manage a $400 emergency expense.  This highlights a national issue around families having sufficient savings to create a safety net for themselves.  The lack of such savings makes it difficult for otherwise income ready families to exit subsidized housing.  </w:t>
      </w:r>
      <w:proofErr w:type="gramStart"/>
      <w:r w:rsidRPr="4EB6BE86">
        <w:rPr>
          <w:rFonts w:ascii="Century Gothic" w:eastAsia="Times New Roman" w:hAnsi="Century Gothic"/>
        </w:rPr>
        <w:t>In order to</w:t>
      </w:r>
      <w:proofErr w:type="gramEnd"/>
      <w:r w:rsidRPr="4EB6BE86">
        <w:rPr>
          <w:rFonts w:ascii="Century Gothic" w:eastAsia="Times New Roman" w:hAnsi="Century Gothic"/>
        </w:rPr>
        <w:t xml:space="preserve"> rent in the private market in New Haven, landlords often charge one-month security and first and last month’s rent.  </w:t>
      </w:r>
    </w:p>
    <w:p w14:paraId="2D0C9545" w14:textId="6F537314" w:rsidR="00C37756" w:rsidRDefault="00C37756" w:rsidP="00034C9C">
      <w:pPr>
        <w:rPr>
          <w:rFonts w:ascii="Century Gothic" w:eastAsia="Times New Roman" w:hAnsi="Century Gothic"/>
        </w:rPr>
      </w:pPr>
    </w:p>
    <w:p w14:paraId="7CF93648" w14:textId="775F64E4" w:rsidR="00034C9C" w:rsidRPr="00D70971" w:rsidRDefault="00034C9C" w:rsidP="00034C9C">
      <w:pPr>
        <w:rPr>
          <w:rFonts w:ascii="Century Gothic" w:eastAsia="Times New Roman" w:hAnsi="Century Gothic"/>
        </w:rPr>
      </w:pPr>
      <w:r w:rsidRPr="4EB6BE86">
        <w:rPr>
          <w:rFonts w:ascii="Century Gothic" w:eastAsia="Times New Roman" w:hAnsi="Century Gothic"/>
        </w:rPr>
        <w:t xml:space="preserve">At baseline, typical security deposits held by ECC/HANH were $246.  The gap between what a family may get back upon moving out and the amount needed to lease an unassisted unit may prove prohibitive to residents seeking their first apartment.  </w:t>
      </w:r>
    </w:p>
    <w:p w14:paraId="7FA46941" w14:textId="591603E0" w:rsidR="00034C9C" w:rsidRPr="00D70971" w:rsidRDefault="00034C9C" w:rsidP="00034C9C">
      <w:pPr>
        <w:pStyle w:val="ListParagraph"/>
        <w:ind w:left="1440"/>
        <w:rPr>
          <w:rFonts w:ascii="Century Gothic" w:eastAsia="Times New Roman" w:hAnsi="Century Gothic"/>
        </w:rPr>
      </w:pPr>
    </w:p>
    <w:p w14:paraId="6166E19D" w14:textId="3691449F" w:rsidR="00034C9C" w:rsidRPr="00D70971" w:rsidRDefault="00034C9C" w:rsidP="00034C9C">
      <w:pPr>
        <w:rPr>
          <w:rFonts w:ascii="Century Gothic" w:eastAsia="Times New Roman" w:hAnsi="Century Gothic"/>
        </w:rPr>
      </w:pPr>
      <w:r w:rsidRPr="4EB6BE86">
        <w:rPr>
          <w:rFonts w:ascii="Century Gothic" w:eastAsia="Times New Roman" w:hAnsi="Century Gothic"/>
        </w:rPr>
        <w:t>At baseline, ECC/HANH ha</w:t>
      </w:r>
      <w:r w:rsidR="000C7226" w:rsidRPr="4EB6BE86">
        <w:rPr>
          <w:rFonts w:ascii="Century Gothic" w:eastAsia="Times New Roman" w:hAnsi="Century Gothic"/>
        </w:rPr>
        <w:t>d</w:t>
      </w:r>
      <w:r w:rsidRPr="4EB6BE86">
        <w:rPr>
          <w:rFonts w:ascii="Century Gothic" w:eastAsia="Times New Roman" w:hAnsi="Century Gothic"/>
        </w:rPr>
        <w:t xml:space="preserve"> an extensive waitlist of over 10,000 families waiting for </w:t>
      </w:r>
      <w:r w:rsidR="00D9370C" w:rsidRPr="4EB6BE86">
        <w:rPr>
          <w:rFonts w:ascii="Century Gothic" w:eastAsia="Times New Roman" w:hAnsi="Century Gothic"/>
        </w:rPr>
        <w:t>housing.</w:t>
      </w:r>
      <w:r w:rsidRPr="4EB6BE86">
        <w:rPr>
          <w:rFonts w:ascii="Century Gothic" w:eastAsia="Times New Roman" w:hAnsi="Century Gothic"/>
        </w:rPr>
        <w:t xml:space="preserve"> </w:t>
      </w:r>
      <w:r w:rsidR="00D9370C" w:rsidRPr="4EB6BE86">
        <w:rPr>
          <w:rFonts w:ascii="Century Gothic" w:eastAsia="Times New Roman" w:hAnsi="Century Gothic"/>
        </w:rPr>
        <w:t xml:space="preserve"> Also on an annual basis</w:t>
      </w:r>
      <w:r w:rsidR="007F02F4" w:rsidRPr="4EB6BE86">
        <w:rPr>
          <w:rFonts w:ascii="Century Gothic" w:eastAsia="Times New Roman" w:hAnsi="Century Gothic"/>
        </w:rPr>
        <w:t>, on average, only</w:t>
      </w:r>
      <w:r w:rsidRPr="4EB6BE86">
        <w:rPr>
          <w:rFonts w:ascii="Century Gothic" w:eastAsia="Times New Roman" w:hAnsi="Century Gothic"/>
        </w:rPr>
        <w:t xml:space="preserve"> 150 LIPH families and 100 HCV families end participation in the </w:t>
      </w:r>
      <w:r w:rsidR="00F74A54" w:rsidRPr="4EB6BE86">
        <w:rPr>
          <w:rFonts w:ascii="Century Gothic" w:eastAsia="Times New Roman" w:hAnsi="Century Gothic"/>
        </w:rPr>
        <w:t xml:space="preserve">respective </w:t>
      </w:r>
      <w:r w:rsidRPr="4EB6BE86">
        <w:rPr>
          <w:rFonts w:ascii="Century Gothic" w:eastAsia="Times New Roman" w:hAnsi="Century Gothic"/>
        </w:rPr>
        <w:t>program</w:t>
      </w:r>
      <w:r w:rsidR="00F74A54" w:rsidRPr="4EB6BE86">
        <w:rPr>
          <w:rFonts w:ascii="Century Gothic" w:eastAsia="Times New Roman" w:hAnsi="Century Gothic"/>
        </w:rPr>
        <w:t>s</w:t>
      </w:r>
      <w:r w:rsidRPr="4EB6BE86">
        <w:rPr>
          <w:rFonts w:ascii="Century Gothic" w:eastAsia="Times New Roman" w:hAnsi="Century Gothic"/>
        </w:rPr>
        <w:t xml:space="preserve">.  At this rate, it would take almost 40 years to work through the existing families on the waitlist. </w:t>
      </w:r>
    </w:p>
    <w:p w14:paraId="42EA3FBE" w14:textId="33D1A42C" w:rsidR="00034C9C" w:rsidRPr="00D70971" w:rsidRDefault="00034C9C" w:rsidP="00034C9C">
      <w:pPr>
        <w:pStyle w:val="ListParagraph"/>
        <w:ind w:left="1440"/>
        <w:rPr>
          <w:rFonts w:ascii="Century Gothic" w:eastAsia="Times New Roman" w:hAnsi="Century Gothic"/>
        </w:rPr>
      </w:pPr>
    </w:p>
    <w:p w14:paraId="1274023A" w14:textId="41D3E416" w:rsidR="00714AA3" w:rsidRDefault="00034C9C" w:rsidP="00034C9C">
      <w:pPr>
        <w:rPr>
          <w:rFonts w:ascii="Century Gothic" w:eastAsia="Times New Roman" w:hAnsi="Century Gothic"/>
        </w:rPr>
      </w:pPr>
      <w:r w:rsidRPr="4EB6BE86">
        <w:rPr>
          <w:rFonts w:ascii="Century Gothic" w:eastAsia="Times New Roman" w:hAnsi="Century Gothic"/>
        </w:rPr>
        <w:t xml:space="preserve">At baseline there </w:t>
      </w:r>
      <w:r w:rsidR="004A3A80" w:rsidRPr="4EB6BE86">
        <w:rPr>
          <w:rFonts w:ascii="Century Gothic" w:eastAsia="Times New Roman" w:hAnsi="Century Gothic"/>
        </w:rPr>
        <w:t xml:space="preserve">were </w:t>
      </w:r>
      <w:r w:rsidRPr="4EB6BE86">
        <w:rPr>
          <w:rFonts w:ascii="Century Gothic" w:eastAsia="Times New Roman" w:hAnsi="Century Gothic"/>
        </w:rPr>
        <w:t xml:space="preserve">51 LIPH and 130 HCV families reporting an income above the Low-Income Limit.  This is the targeted universe for the Jumpstart initiative (181 families).  </w:t>
      </w:r>
    </w:p>
    <w:p w14:paraId="08BCD67D" w14:textId="2C3D8807" w:rsidR="00714AA3" w:rsidRDefault="00714AA3" w:rsidP="00034C9C">
      <w:pPr>
        <w:rPr>
          <w:rFonts w:ascii="Century Gothic" w:eastAsia="Times New Roman" w:hAnsi="Century Gothic"/>
        </w:rPr>
      </w:pPr>
    </w:p>
    <w:p w14:paraId="2F9C3198" w14:textId="41818CA2" w:rsidR="00034C9C" w:rsidRPr="00D70971" w:rsidRDefault="00034C9C" w:rsidP="00034C9C">
      <w:pPr>
        <w:rPr>
          <w:rFonts w:ascii="Century Gothic" w:eastAsia="Times New Roman" w:hAnsi="Century Gothic"/>
        </w:rPr>
      </w:pPr>
      <w:r w:rsidRPr="4EB6BE86">
        <w:rPr>
          <w:rFonts w:ascii="Century Gothic" w:eastAsia="Times New Roman" w:hAnsi="Century Gothic"/>
        </w:rPr>
        <w:t>By offering families a one-time incentive payment based upon the average amount needed to rent in the private market, we seek to accelerate the move out/end of participation of higher income families allowing us to house a family off the waitlist.</w:t>
      </w:r>
    </w:p>
    <w:p w14:paraId="16275855" w14:textId="2E5CAC66" w:rsidR="00034C9C" w:rsidRPr="00D70971" w:rsidRDefault="00034C9C" w:rsidP="00034C9C">
      <w:pPr>
        <w:rPr>
          <w:rFonts w:ascii="Century Gothic" w:eastAsia="Times New Roman" w:hAnsi="Century Gothic"/>
        </w:rPr>
      </w:pPr>
    </w:p>
    <w:p w14:paraId="7E746C9F" w14:textId="7357A61F" w:rsidR="00034C9C" w:rsidRPr="00D70971" w:rsidRDefault="00034C9C" w:rsidP="00034C9C">
      <w:pPr>
        <w:rPr>
          <w:rFonts w:ascii="Century Gothic" w:eastAsia="Times New Roman" w:hAnsi="Century Gothic"/>
        </w:rPr>
      </w:pPr>
      <w:proofErr w:type="gramStart"/>
      <w:r w:rsidRPr="4EB6BE86">
        <w:rPr>
          <w:rFonts w:ascii="Century Gothic" w:eastAsia="Times New Roman" w:hAnsi="Century Gothic"/>
        </w:rPr>
        <w:t>In order to</w:t>
      </w:r>
      <w:proofErr w:type="gramEnd"/>
      <w:r w:rsidRPr="4EB6BE86">
        <w:rPr>
          <w:rFonts w:ascii="Century Gothic" w:eastAsia="Times New Roman" w:hAnsi="Century Gothic"/>
        </w:rPr>
        <w:t xml:space="preserve"> be eligible for the Jumpstart Program, families must be reporting income above the Low-Income Limit (80%) and:</w:t>
      </w:r>
    </w:p>
    <w:p w14:paraId="5378155C" w14:textId="252241BC" w:rsidR="00034C9C" w:rsidRPr="00D70971" w:rsidRDefault="00034C9C" w:rsidP="00034C9C">
      <w:pPr>
        <w:rPr>
          <w:rFonts w:ascii="Century Gothic" w:eastAsia="Times New Roman" w:hAnsi="Century Gothic"/>
        </w:rPr>
      </w:pPr>
    </w:p>
    <w:p w14:paraId="40D83F2B" w14:textId="319BE656" w:rsidR="00034C9C" w:rsidRPr="00D70971" w:rsidRDefault="00034C9C" w:rsidP="00486062">
      <w:pPr>
        <w:pStyle w:val="ListParagraph"/>
        <w:numPr>
          <w:ilvl w:val="0"/>
          <w:numId w:val="36"/>
        </w:numPr>
        <w:rPr>
          <w:rFonts w:ascii="Century Gothic" w:eastAsia="Times New Roman" w:hAnsi="Century Gothic"/>
        </w:rPr>
      </w:pPr>
      <w:r w:rsidRPr="4EB6BE86">
        <w:rPr>
          <w:rFonts w:ascii="Century Gothic" w:eastAsia="Times New Roman" w:hAnsi="Century Gothic"/>
        </w:rPr>
        <w:t xml:space="preserve">The </w:t>
      </w:r>
      <w:r w:rsidR="007835F0" w:rsidRPr="4EB6BE86">
        <w:rPr>
          <w:rFonts w:ascii="Century Gothic" w:eastAsia="Times New Roman" w:hAnsi="Century Gothic"/>
        </w:rPr>
        <w:t xml:space="preserve">unit they are </w:t>
      </w:r>
      <w:r w:rsidRPr="4EB6BE86">
        <w:rPr>
          <w:rFonts w:ascii="Century Gothic" w:eastAsia="Times New Roman" w:hAnsi="Century Gothic"/>
        </w:rPr>
        <w:t>current</w:t>
      </w:r>
      <w:r w:rsidR="007835F0" w:rsidRPr="4EB6BE86">
        <w:rPr>
          <w:rFonts w:ascii="Century Gothic" w:eastAsia="Times New Roman" w:hAnsi="Century Gothic"/>
        </w:rPr>
        <w:t>ly</w:t>
      </w:r>
      <w:r w:rsidR="00140ED2" w:rsidRPr="4EB6BE86">
        <w:rPr>
          <w:rFonts w:ascii="Century Gothic" w:eastAsia="Times New Roman" w:hAnsi="Century Gothic"/>
        </w:rPr>
        <w:t xml:space="preserve"> </w:t>
      </w:r>
      <w:r w:rsidR="007835F0" w:rsidRPr="4EB6BE86">
        <w:rPr>
          <w:rFonts w:ascii="Century Gothic" w:eastAsia="Times New Roman" w:hAnsi="Century Gothic"/>
        </w:rPr>
        <w:t xml:space="preserve">living </w:t>
      </w:r>
      <w:r w:rsidR="00140ED2" w:rsidRPr="4EB6BE86">
        <w:rPr>
          <w:rFonts w:ascii="Century Gothic" w:eastAsia="Times New Roman" w:hAnsi="Century Gothic"/>
        </w:rPr>
        <w:t>in needs to</w:t>
      </w:r>
      <w:r w:rsidRPr="4EB6BE86">
        <w:rPr>
          <w:rFonts w:ascii="Century Gothic" w:eastAsia="Times New Roman" w:hAnsi="Century Gothic"/>
        </w:rPr>
        <w:t xml:space="preserve"> pass housekeeping inspection with no damage beyond normal wear and </w:t>
      </w:r>
      <w:proofErr w:type="gramStart"/>
      <w:r w:rsidRPr="4EB6BE86">
        <w:rPr>
          <w:rFonts w:ascii="Century Gothic" w:eastAsia="Times New Roman" w:hAnsi="Century Gothic"/>
        </w:rPr>
        <w:t>tear</w:t>
      </w:r>
      <w:proofErr w:type="gramEnd"/>
      <w:r w:rsidRPr="4EB6BE86">
        <w:rPr>
          <w:rFonts w:ascii="Century Gothic" w:eastAsia="Times New Roman" w:hAnsi="Century Gothic"/>
        </w:rPr>
        <w:t xml:space="preserve">. </w:t>
      </w:r>
    </w:p>
    <w:p w14:paraId="42FC18CE" w14:textId="7496D7F6" w:rsidR="00034C9C" w:rsidRPr="00D70971" w:rsidRDefault="00034C9C" w:rsidP="00034C9C">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 </w:t>
      </w:r>
    </w:p>
    <w:p w14:paraId="5C507BEA" w14:textId="7CBE839C" w:rsidR="00034C9C" w:rsidRPr="00D70971" w:rsidRDefault="00034C9C" w:rsidP="00486062">
      <w:pPr>
        <w:pStyle w:val="ListParagraph"/>
        <w:numPr>
          <w:ilvl w:val="0"/>
          <w:numId w:val="36"/>
        </w:numPr>
        <w:rPr>
          <w:rFonts w:ascii="Century Gothic" w:eastAsia="Times New Roman" w:hAnsi="Century Gothic"/>
        </w:rPr>
      </w:pPr>
      <w:r w:rsidRPr="4EB6BE86">
        <w:rPr>
          <w:rFonts w:ascii="Century Gothic" w:eastAsia="Times New Roman" w:hAnsi="Century Gothic"/>
        </w:rPr>
        <w:t xml:space="preserve">The families are currently in good standing </w:t>
      </w:r>
      <w:proofErr w:type="gramStart"/>
      <w:r w:rsidRPr="4EB6BE86">
        <w:rPr>
          <w:rFonts w:ascii="Century Gothic" w:eastAsia="Times New Roman" w:hAnsi="Century Gothic"/>
        </w:rPr>
        <w:t>with regard to</w:t>
      </w:r>
      <w:proofErr w:type="gramEnd"/>
      <w:r w:rsidRPr="4EB6BE86">
        <w:rPr>
          <w:rFonts w:ascii="Century Gothic" w:eastAsia="Times New Roman" w:hAnsi="Century Gothic"/>
        </w:rPr>
        <w:t xml:space="preserve"> rental payments and other terms of the lease agreement. </w:t>
      </w:r>
    </w:p>
    <w:p w14:paraId="16AE9B20" w14:textId="150A2FCD" w:rsidR="00034C9C" w:rsidRPr="00D70971" w:rsidRDefault="00034C9C" w:rsidP="00034C9C">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 </w:t>
      </w:r>
    </w:p>
    <w:p w14:paraId="4381C94E" w14:textId="4A077480" w:rsidR="00034C9C" w:rsidRPr="00D70971" w:rsidRDefault="00034C9C" w:rsidP="00486062">
      <w:pPr>
        <w:pStyle w:val="ListParagraph"/>
        <w:numPr>
          <w:ilvl w:val="0"/>
          <w:numId w:val="36"/>
        </w:numPr>
        <w:rPr>
          <w:rFonts w:ascii="Century Gothic" w:eastAsia="Times New Roman" w:hAnsi="Century Gothic"/>
        </w:rPr>
      </w:pPr>
      <w:r w:rsidRPr="4EB6BE86">
        <w:rPr>
          <w:rFonts w:ascii="Century Gothic" w:eastAsia="Times New Roman" w:hAnsi="Century Gothic"/>
        </w:rPr>
        <w:t xml:space="preserve">The family is not under a repayment agreement. </w:t>
      </w:r>
    </w:p>
    <w:p w14:paraId="65149564" w14:textId="2C0FE6E5" w:rsidR="00034C9C" w:rsidRPr="00D70971" w:rsidRDefault="00034C9C" w:rsidP="00034C9C">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 </w:t>
      </w:r>
    </w:p>
    <w:p w14:paraId="61B41849" w14:textId="7C87394B" w:rsidR="00034C9C" w:rsidRPr="00D70971" w:rsidRDefault="00034C9C" w:rsidP="00486062">
      <w:pPr>
        <w:pStyle w:val="ListParagraph"/>
        <w:numPr>
          <w:ilvl w:val="0"/>
          <w:numId w:val="36"/>
        </w:numPr>
        <w:rPr>
          <w:rFonts w:ascii="Century Gothic" w:eastAsia="Times New Roman" w:hAnsi="Century Gothic"/>
        </w:rPr>
      </w:pPr>
      <w:r w:rsidRPr="4EB6BE86">
        <w:rPr>
          <w:rFonts w:ascii="Century Gothic" w:eastAsia="Times New Roman" w:hAnsi="Century Gothic"/>
        </w:rPr>
        <w:t xml:space="preserve">The family can document an appropriate exit plan including having obtained new housing – rental or ownership. </w:t>
      </w:r>
    </w:p>
    <w:p w14:paraId="55148521" w14:textId="667E9460" w:rsidR="00034C9C" w:rsidRPr="00D70971" w:rsidRDefault="00034C9C" w:rsidP="00034C9C">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 </w:t>
      </w:r>
    </w:p>
    <w:p w14:paraId="0F443050" w14:textId="19CDE633" w:rsidR="00034C9C" w:rsidRPr="00D70971" w:rsidRDefault="00034C9C" w:rsidP="00486062">
      <w:pPr>
        <w:pStyle w:val="ListParagraph"/>
        <w:numPr>
          <w:ilvl w:val="0"/>
          <w:numId w:val="36"/>
        </w:numPr>
        <w:rPr>
          <w:rFonts w:ascii="Century Gothic" w:eastAsia="Times New Roman" w:hAnsi="Century Gothic"/>
        </w:rPr>
      </w:pPr>
      <w:r w:rsidRPr="4EB6BE86">
        <w:rPr>
          <w:rFonts w:ascii="Century Gothic" w:eastAsia="Times New Roman" w:hAnsi="Century Gothic"/>
        </w:rPr>
        <w:t xml:space="preserve">The family understands that should they wish to return to subsidized housing they will need to go through the standard application process. </w:t>
      </w:r>
    </w:p>
    <w:p w14:paraId="45FE2110" w14:textId="794EDF4C" w:rsidR="00034C9C" w:rsidRPr="00D70971" w:rsidRDefault="00034C9C" w:rsidP="00034C9C">
      <w:pPr>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 </w:t>
      </w:r>
    </w:p>
    <w:p w14:paraId="41473EE6" w14:textId="006520F9" w:rsidR="00034C9C" w:rsidRPr="00D70971" w:rsidRDefault="00034C9C" w:rsidP="00422588">
      <w:pPr>
        <w:ind w:left="360"/>
        <w:rPr>
          <w:rFonts w:ascii="Century Gothic" w:hAnsi="Century Gothic"/>
        </w:rPr>
      </w:pPr>
      <w:r w:rsidRPr="4EB6BE86">
        <w:rPr>
          <w:rFonts w:ascii="Century Gothic" w:eastAsia="Times New Roman" w:hAnsi="Century Gothic"/>
          <w:color w:val="000000" w:themeColor="text1"/>
        </w:rPr>
        <w:lastRenderedPageBreak/>
        <w:t xml:space="preserve">6. The family agrees to participate in </w:t>
      </w:r>
      <w:proofErr w:type="gramStart"/>
      <w:r w:rsidRPr="4EB6BE86">
        <w:rPr>
          <w:rFonts w:ascii="Century Gothic" w:eastAsia="Times New Roman" w:hAnsi="Century Gothic"/>
          <w:color w:val="000000" w:themeColor="text1"/>
        </w:rPr>
        <w:t>follow up</w:t>
      </w:r>
      <w:proofErr w:type="gramEnd"/>
      <w:r w:rsidRPr="4EB6BE86">
        <w:rPr>
          <w:rFonts w:ascii="Century Gothic" w:eastAsia="Times New Roman" w:hAnsi="Century Gothic"/>
          <w:color w:val="000000" w:themeColor="text1"/>
        </w:rPr>
        <w:t xml:space="preserve"> data collection and evaluation upon their exit to allow </w:t>
      </w:r>
      <w:r w:rsidR="00710AF3" w:rsidRPr="4EB6BE86">
        <w:rPr>
          <w:rFonts w:ascii="Century Gothic" w:eastAsia="Times New Roman" w:hAnsi="Century Gothic"/>
          <w:color w:val="000000" w:themeColor="text1"/>
        </w:rPr>
        <w:t xml:space="preserve">ECC/HANH </w:t>
      </w:r>
      <w:r w:rsidRPr="4EB6BE86">
        <w:rPr>
          <w:rFonts w:ascii="Century Gothic" w:eastAsia="Times New Roman" w:hAnsi="Century Gothic"/>
          <w:color w:val="000000" w:themeColor="text1"/>
        </w:rPr>
        <w:t>to track the success of the initiative.</w:t>
      </w:r>
    </w:p>
    <w:p w14:paraId="6544E075" w14:textId="295F173B" w:rsidR="00034C9C" w:rsidRPr="00D70971" w:rsidRDefault="00034C9C" w:rsidP="00034C9C">
      <w:pPr>
        <w:rPr>
          <w:rFonts w:ascii="Century Gothic" w:eastAsia="Times New Roman" w:hAnsi="Century Gothic"/>
        </w:rPr>
      </w:pPr>
    </w:p>
    <w:p w14:paraId="1E63DFB8" w14:textId="51EC6F49" w:rsidR="00034C9C" w:rsidRPr="00D70971" w:rsidRDefault="00034C9C" w:rsidP="00034C9C">
      <w:pPr>
        <w:rPr>
          <w:rFonts w:ascii="Century Gothic" w:eastAsia="Times New Roman" w:hAnsi="Century Gothic"/>
        </w:rPr>
      </w:pPr>
      <w:r w:rsidRPr="4EB6BE86">
        <w:rPr>
          <w:rFonts w:ascii="Century Gothic" w:eastAsia="Times New Roman" w:hAnsi="Century Gothic"/>
        </w:rPr>
        <w:t>At baseline, ECC/HANH anticipated that 25% (45) of the households would enroll in Jumpstart.</w:t>
      </w:r>
    </w:p>
    <w:p w14:paraId="788A48F1" w14:textId="5550F5D6" w:rsidR="00034C9C" w:rsidRPr="00D70971" w:rsidRDefault="00034C9C" w:rsidP="00034C9C">
      <w:pPr>
        <w:rPr>
          <w:rFonts w:ascii="Century Gothic" w:eastAsia="Times New Roman" w:hAnsi="Century Gothic"/>
        </w:rPr>
      </w:pPr>
    </w:p>
    <w:p w14:paraId="6C1D411B" w14:textId="5B67AA52" w:rsidR="00034C9C" w:rsidRPr="00710AF3" w:rsidRDefault="00034C9C" w:rsidP="00034C9C">
      <w:pPr>
        <w:rPr>
          <w:rFonts w:ascii="Century Gothic" w:eastAsia="Times New Roman" w:hAnsi="Century Gothic"/>
        </w:rPr>
      </w:pPr>
      <w:r w:rsidRPr="4EB6BE86">
        <w:rPr>
          <w:rFonts w:ascii="Century Gothic" w:eastAsia="Times New Roman" w:hAnsi="Century Gothic"/>
        </w:rPr>
        <w:t xml:space="preserve">Payments will be made to families upon execution of the agreement along the following schedule and in amounts not to exceed the amounts below which are based upon </w:t>
      </w:r>
      <w:r w:rsidR="002B0C27" w:rsidRPr="4EB6BE86">
        <w:rPr>
          <w:rFonts w:ascii="Century Gothic" w:eastAsia="Times New Roman" w:hAnsi="Century Gothic"/>
        </w:rPr>
        <w:t>current</w:t>
      </w:r>
      <w:r w:rsidRPr="4EB6BE86">
        <w:rPr>
          <w:rFonts w:ascii="Century Gothic" w:eastAsia="Times New Roman" w:hAnsi="Century Gothic"/>
        </w:rPr>
        <w:t xml:space="preserve"> Fair Market Rents</w:t>
      </w:r>
      <w:r w:rsidRPr="4EB6BE86">
        <w:rPr>
          <w:rStyle w:val="FootnoteReference"/>
          <w:rFonts w:ascii="Century Gothic" w:eastAsia="Times New Roman" w:hAnsi="Century Gothic"/>
        </w:rPr>
        <w:footnoteReference w:id="16"/>
      </w:r>
      <w:r w:rsidRPr="4EB6BE86">
        <w:rPr>
          <w:rFonts w:ascii="Century Gothic" w:eastAsia="Times New Roman" w:hAnsi="Century Gothic"/>
        </w:rPr>
        <w:t>:</w:t>
      </w:r>
    </w:p>
    <w:p w14:paraId="3289797B" w14:textId="5A2A0CB5" w:rsidR="00034C9C" w:rsidRPr="00710AF3" w:rsidRDefault="00034C9C" w:rsidP="00034C9C">
      <w:pPr>
        <w:pStyle w:val="ListParagraph"/>
        <w:ind w:left="1440"/>
        <w:rPr>
          <w:rFonts w:ascii="Century Gothic" w:hAnsi="Century Gothic"/>
        </w:rPr>
      </w:pPr>
    </w:p>
    <w:tbl>
      <w:tblPr>
        <w:tblW w:w="0" w:type="auto"/>
        <w:tblLayout w:type="fixed"/>
        <w:tblLook w:val="06A0" w:firstRow="1" w:lastRow="0" w:firstColumn="1" w:lastColumn="0" w:noHBand="1" w:noVBand="1"/>
      </w:tblPr>
      <w:tblGrid>
        <w:gridCol w:w="510"/>
        <w:gridCol w:w="795"/>
        <w:gridCol w:w="940"/>
        <w:gridCol w:w="810"/>
        <w:gridCol w:w="720"/>
        <w:gridCol w:w="52"/>
        <w:gridCol w:w="938"/>
        <w:gridCol w:w="906"/>
        <w:gridCol w:w="1164"/>
        <w:gridCol w:w="957"/>
        <w:gridCol w:w="957"/>
        <w:gridCol w:w="1187"/>
      </w:tblGrid>
      <w:tr w:rsidR="00034C9C" w:rsidRPr="007014AF" w14:paraId="5AF56AE0" w14:textId="77777777" w:rsidTr="000E74EA">
        <w:trPr>
          <w:trHeight w:val="900"/>
        </w:trPr>
        <w:tc>
          <w:tcPr>
            <w:tcW w:w="5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5F063820" w14:textId="77777777"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BR Size</w:t>
            </w:r>
          </w:p>
        </w:tc>
        <w:tc>
          <w:tcPr>
            <w:tcW w:w="795" w:type="dxa"/>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0CA418AB" w14:textId="77777777"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 xml:space="preserve">Baseline Security Deposit </w:t>
            </w:r>
          </w:p>
        </w:tc>
        <w:tc>
          <w:tcPr>
            <w:tcW w:w="940" w:type="dxa"/>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0E5300F6" w14:textId="020FBF00" w:rsidR="00034C9C" w:rsidRPr="0040731B" w:rsidRDefault="00034C9C">
            <w:pPr>
              <w:rPr>
                <w:rFonts w:ascii="Century Gothic" w:eastAsia="Calibri" w:hAnsi="Century Gothic" w:cs="Calibri"/>
                <w:b/>
                <w:bCs/>
                <w:color w:val="000000" w:themeColor="text1"/>
                <w:szCs w:val="22"/>
                <w:highlight w:val="yellow"/>
              </w:rPr>
            </w:pPr>
            <w:r w:rsidRPr="00DE3D4D">
              <w:rPr>
                <w:rFonts w:ascii="Century Gothic" w:eastAsia="Calibri" w:hAnsi="Century Gothic" w:cs="Calibri"/>
                <w:b/>
                <w:bCs/>
                <w:color w:val="000000" w:themeColor="text1"/>
                <w:szCs w:val="22"/>
              </w:rPr>
              <w:t xml:space="preserve">Security Deposit </w:t>
            </w:r>
            <w:r w:rsidR="002D4137" w:rsidRPr="00DE3D4D">
              <w:rPr>
                <w:rFonts w:ascii="Century Gothic" w:eastAsia="Calibri" w:hAnsi="Century Gothic" w:cs="Calibri"/>
                <w:b/>
                <w:bCs/>
                <w:color w:val="000000" w:themeColor="text1"/>
                <w:szCs w:val="22"/>
              </w:rPr>
              <w:t>FY2024</w:t>
            </w:r>
            <w:r w:rsidR="00D16B12" w:rsidRPr="00DE3D4D">
              <w:rPr>
                <w:rFonts w:ascii="Century Gothic" w:eastAsia="Calibri" w:hAnsi="Century Gothic" w:cs="Calibri"/>
                <w:b/>
                <w:bCs/>
                <w:color w:val="000000" w:themeColor="text1"/>
                <w:szCs w:val="22"/>
              </w:rPr>
              <w:t>*</w:t>
            </w:r>
          </w:p>
        </w:tc>
        <w:tc>
          <w:tcPr>
            <w:tcW w:w="810" w:type="dxa"/>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2158909F" w14:textId="77777777"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 xml:space="preserve">1st month </w:t>
            </w:r>
          </w:p>
        </w:tc>
        <w:tc>
          <w:tcPr>
            <w:tcW w:w="720" w:type="dxa"/>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5DB0E087" w14:textId="77777777"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Last Month</w:t>
            </w:r>
          </w:p>
        </w:tc>
        <w:tc>
          <w:tcPr>
            <w:tcW w:w="990" w:type="dxa"/>
            <w:gridSpan w:val="2"/>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65A280CB" w14:textId="77777777"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 xml:space="preserve">Subtotal </w:t>
            </w:r>
          </w:p>
        </w:tc>
        <w:tc>
          <w:tcPr>
            <w:tcW w:w="906" w:type="dxa"/>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2633DF36" w14:textId="7FB360AF"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 xml:space="preserve"> # Families Over Income</w:t>
            </w:r>
            <w:r w:rsidR="0070715A">
              <w:rPr>
                <w:rFonts w:ascii="Century Gothic" w:eastAsia="Calibri" w:hAnsi="Century Gothic" w:cs="Calibri"/>
                <w:b/>
                <w:bCs/>
                <w:color w:val="000000" w:themeColor="text1"/>
                <w:szCs w:val="22"/>
              </w:rPr>
              <w:t xml:space="preserve"> in FY204</w:t>
            </w:r>
            <w:r w:rsidRPr="0040731B">
              <w:rPr>
                <w:rFonts w:ascii="Century Gothic" w:eastAsia="Calibri" w:hAnsi="Century Gothic" w:cs="Calibri"/>
                <w:b/>
                <w:bCs/>
                <w:color w:val="000000" w:themeColor="text1"/>
                <w:szCs w:val="22"/>
              </w:rPr>
              <w:t xml:space="preserve">  </w:t>
            </w:r>
          </w:p>
        </w:tc>
        <w:tc>
          <w:tcPr>
            <w:tcW w:w="1164" w:type="dxa"/>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2F06F0F0" w14:textId="77777777"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 xml:space="preserve">Total Exposure </w:t>
            </w:r>
          </w:p>
        </w:tc>
        <w:tc>
          <w:tcPr>
            <w:tcW w:w="957" w:type="dxa"/>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3855E441" w14:textId="77777777"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 anticipated to enroll</w:t>
            </w:r>
          </w:p>
        </w:tc>
        <w:tc>
          <w:tcPr>
            <w:tcW w:w="957" w:type="dxa"/>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52226CE0" w14:textId="77777777"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 Families anticipated to enroll</w:t>
            </w:r>
          </w:p>
        </w:tc>
        <w:tc>
          <w:tcPr>
            <w:tcW w:w="1187" w:type="dxa"/>
            <w:tcBorders>
              <w:top w:val="nil"/>
              <w:left w:val="single" w:sz="4" w:space="0" w:color="auto"/>
              <w:bottom w:val="single" w:sz="4" w:space="0" w:color="auto"/>
              <w:right w:val="single" w:sz="4" w:space="0" w:color="auto"/>
            </w:tcBorders>
            <w:shd w:val="clear" w:color="auto" w:fill="A6A6A6" w:themeFill="background1" w:themeFillShade="A6"/>
            <w:tcMar>
              <w:top w:w="15" w:type="dxa"/>
              <w:left w:w="15" w:type="dxa"/>
              <w:right w:w="15" w:type="dxa"/>
            </w:tcMar>
            <w:vAlign w:val="bottom"/>
          </w:tcPr>
          <w:p w14:paraId="0DB7B05C" w14:textId="77777777" w:rsidR="00034C9C" w:rsidRPr="0040731B" w:rsidRDefault="00034C9C">
            <w:pPr>
              <w:rPr>
                <w:rFonts w:ascii="Century Gothic" w:eastAsia="Calibri" w:hAnsi="Century Gothic" w:cs="Calibri"/>
                <w:b/>
                <w:bCs/>
                <w:color w:val="000000" w:themeColor="text1"/>
                <w:szCs w:val="22"/>
              </w:rPr>
            </w:pPr>
            <w:r w:rsidRPr="0040731B">
              <w:rPr>
                <w:rFonts w:ascii="Century Gothic" w:eastAsia="Calibri" w:hAnsi="Century Gothic" w:cs="Calibri"/>
                <w:b/>
                <w:bCs/>
                <w:color w:val="000000" w:themeColor="text1"/>
                <w:szCs w:val="22"/>
              </w:rPr>
              <w:t>Total Cost</w:t>
            </w:r>
          </w:p>
        </w:tc>
      </w:tr>
      <w:tr w:rsidR="00034C9C" w:rsidRPr="007014AF" w14:paraId="3229B244" w14:textId="77777777" w:rsidTr="000E74EA">
        <w:trPr>
          <w:trHeight w:val="300"/>
        </w:trPr>
        <w:tc>
          <w:tcPr>
            <w:tcW w:w="5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11E8B9"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0</w:t>
            </w:r>
          </w:p>
        </w:tc>
        <w:tc>
          <w:tcPr>
            <w:tcW w:w="7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19B06A"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$965 </w:t>
            </w:r>
          </w:p>
        </w:tc>
        <w:tc>
          <w:tcPr>
            <w:tcW w:w="9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91969F" w14:textId="67F9685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DE3D4D">
              <w:rPr>
                <w:rFonts w:ascii="Century Gothic" w:eastAsia="Calibri" w:hAnsi="Century Gothic" w:cs="Calibri"/>
                <w:color w:val="000000" w:themeColor="text1"/>
                <w:szCs w:val="22"/>
              </w:rPr>
              <w:t>$1,251</w:t>
            </w:r>
            <w:r w:rsidRPr="0040731B">
              <w:rPr>
                <w:rFonts w:ascii="Century Gothic" w:eastAsia="Calibri" w:hAnsi="Century Gothic" w:cs="Calibri"/>
                <w:color w:val="000000" w:themeColor="text1"/>
                <w:szCs w:val="22"/>
              </w:rPr>
              <w:t xml:space="preserve"> </w:t>
            </w:r>
          </w:p>
        </w:tc>
        <w:tc>
          <w:tcPr>
            <w:tcW w:w="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4C0983" w14:textId="2E0EB62B"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8B04A8">
              <w:rPr>
                <w:rFonts w:ascii="Century Gothic" w:eastAsia="Calibri" w:hAnsi="Century Gothic" w:cs="Calibri"/>
                <w:color w:val="000000" w:themeColor="text1"/>
                <w:szCs w:val="22"/>
              </w:rPr>
              <w:t>$1,251</w:t>
            </w:r>
          </w:p>
        </w:tc>
        <w:tc>
          <w:tcPr>
            <w:tcW w:w="772"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159F77" w14:textId="37ECE7BB"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8B04A8">
              <w:rPr>
                <w:rFonts w:ascii="Century Gothic" w:eastAsia="Calibri" w:hAnsi="Century Gothic" w:cs="Calibri"/>
                <w:color w:val="000000" w:themeColor="text1"/>
                <w:szCs w:val="22"/>
              </w:rPr>
              <w:t>$1,251</w:t>
            </w:r>
            <w:r w:rsidR="008B04A8" w:rsidRPr="0040731B">
              <w:rPr>
                <w:rFonts w:ascii="Century Gothic" w:eastAsia="Calibri" w:hAnsi="Century Gothic" w:cs="Calibri"/>
                <w:color w:val="000000" w:themeColor="text1"/>
                <w:szCs w:val="22"/>
              </w:rPr>
              <w:t xml:space="preserve"> </w:t>
            </w:r>
          </w:p>
        </w:tc>
        <w:tc>
          <w:tcPr>
            <w:tcW w:w="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934689" w14:textId="3641FFDC"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$3,</w:t>
            </w:r>
            <w:r w:rsidR="007B79B8">
              <w:rPr>
                <w:rFonts w:ascii="Century Gothic" w:eastAsia="Calibri" w:hAnsi="Century Gothic" w:cs="Calibri"/>
                <w:color w:val="000000" w:themeColor="text1"/>
                <w:szCs w:val="22"/>
              </w:rPr>
              <w:t>753</w:t>
            </w:r>
            <w:r w:rsidR="007B79B8" w:rsidRPr="0040731B">
              <w:rPr>
                <w:rFonts w:ascii="Century Gothic" w:eastAsia="Calibri" w:hAnsi="Century Gothic" w:cs="Calibri"/>
                <w:color w:val="000000" w:themeColor="text1"/>
                <w:szCs w:val="22"/>
              </w:rPr>
              <w:t xml:space="preserve"> </w:t>
            </w:r>
          </w:p>
        </w:tc>
        <w:tc>
          <w:tcPr>
            <w:tcW w:w="9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05D959" w14:textId="1842EF82" w:rsidR="00034C9C" w:rsidRPr="0040731B" w:rsidRDefault="00D40D9D" w:rsidP="0070715A">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2</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701488" w14:textId="7B5D810F"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0905F6">
              <w:rPr>
                <w:rFonts w:ascii="Century Gothic" w:eastAsia="Calibri" w:hAnsi="Century Gothic" w:cs="Calibri"/>
                <w:color w:val="000000" w:themeColor="text1"/>
                <w:szCs w:val="22"/>
              </w:rPr>
              <w:t>7,506</w:t>
            </w:r>
            <w:r w:rsidRPr="0040731B">
              <w:rPr>
                <w:rFonts w:ascii="Century Gothic" w:eastAsia="Calibri" w:hAnsi="Century Gothic" w:cs="Calibri"/>
                <w:color w:val="000000" w:themeColor="text1"/>
                <w:szCs w:val="22"/>
              </w:rPr>
              <w:t xml:space="preserve"> </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D08026" w14:textId="77777777" w:rsidR="00034C9C" w:rsidRPr="0040731B" w:rsidRDefault="00034C9C" w:rsidP="002E51B3">
            <w:pPr>
              <w:jc w:val="cente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25%</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D0E403" w14:textId="3DBDE1FA" w:rsidR="00034C9C" w:rsidRPr="0040731B" w:rsidRDefault="005B52E4" w:rsidP="002E51B3">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1</w:t>
            </w:r>
          </w:p>
        </w:tc>
        <w:tc>
          <w:tcPr>
            <w:tcW w:w="11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C7EF08" w14:textId="4755D4EF"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A068EE">
              <w:rPr>
                <w:rFonts w:ascii="Century Gothic" w:eastAsia="Calibri" w:hAnsi="Century Gothic" w:cs="Calibri"/>
                <w:color w:val="000000" w:themeColor="text1"/>
                <w:szCs w:val="22"/>
              </w:rPr>
              <w:t>3,753</w:t>
            </w:r>
            <w:r w:rsidRPr="0040731B">
              <w:rPr>
                <w:rFonts w:ascii="Century Gothic" w:eastAsia="Calibri" w:hAnsi="Century Gothic" w:cs="Calibri"/>
                <w:color w:val="000000" w:themeColor="text1"/>
                <w:szCs w:val="22"/>
              </w:rPr>
              <w:t xml:space="preserve"> </w:t>
            </w:r>
          </w:p>
        </w:tc>
      </w:tr>
      <w:tr w:rsidR="00034C9C" w:rsidRPr="007014AF" w14:paraId="4463535B" w14:textId="77777777" w:rsidTr="000E74EA">
        <w:trPr>
          <w:trHeight w:val="300"/>
        </w:trPr>
        <w:tc>
          <w:tcPr>
            <w:tcW w:w="5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A8A290"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1</w:t>
            </w:r>
          </w:p>
        </w:tc>
        <w:tc>
          <w:tcPr>
            <w:tcW w:w="7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712935"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$1,074 </w:t>
            </w:r>
          </w:p>
        </w:tc>
        <w:tc>
          <w:tcPr>
            <w:tcW w:w="9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46A741" w14:textId="285B249A"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274D7E">
              <w:rPr>
                <w:rFonts w:ascii="Century Gothic" w:eastAsia="Calibri" w:hAnsi="Century Gothic" w:cs="Calibri"/>
                <w:color w:val="000000" w:themeColor="text1"/>
                <w:szCs w:val="22"/>
              </w:rPr>
              <w:t>1,374</w:t>
            </w:r>
            <w:r w:rsidRPr="0040731B">
              <w:rPr>
                <w:rFonts w:ascii="Century Gothic" w:eastAsia="Calibri" w:hAnsi="Century Gothic" w:cs="Calibri"/>
                <w:color w:val="000000" w:themeColor="text1"/>
                <w:szCs w:val="22"/>
              </w:rPr>
              <w:t xml:space="preserve"> </w:t>
            </w:r>
          </w:p>
        </w:tc>
        <w:tc>
          <w:tcPr>
            <w:tcW w:w="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8B29A6" w14:textId="1520CADB"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$1,</w:t>
            </w:r>
            <w:r w:rsidR="008B04A8" w:rsidRPr="0040731B">
              <w:rPr>
                <w:rFonts w:ascii="Century Gothic" w:eastAsia="Calibri" w:hAnsi="Century Gothic" w:cs="Calibri"/>
                <w:color w:val="000000" w:themeColor="text1"/>
                <w:szCs w:val="22"/>
              </w:rPr>
              <w:t>3</w:t>
            </w:r>
            <w:r w:rsidR="008B04A8">
              <w:rPr>
                <w:rFonts w:ascii="Century Gothic" w:eastAsia="Calibri" w:hAnsi="Century Gothic" w:cs="Calibri"/>
                <w:color w:val="000000" w:themeColor="text1"/>
                <w:szCs w:val="22"/>
              </w:rPr>
              <w:t>7</w:t>
            </w:r>
            <w:r w:rsidR="008B04A8" w:rsidRPr="0040731B">
              <w:rPr>
                <w:rFonts w:ascii="Century Gothic" w:eastAsia="Calibri" w:hAnsi="Century Gothic" w:cs="Calibri"/>
                <w:color w:val="000000" w:themeColor="text1"/>
                <w:szCs w:val="22"/>
              </w:rPr>
              <w:t xml:space="preserve">4 </w:t>
            </w:r>
          </w:p>
        </w:tc>
        <w:tc>
          <w:tcPr>
            <w:tcW w:w="772"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C9B89E" w14:textId="0D21239C"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254B6B">
              <w:rPr>
                <w:rFonts w:ascii="Century Gothic" w:eastAsia="Calibri" w:hAnsi="Century Gothic" w:cs="Calibri"/>
                <w:color w:val="000000" w:themeColor="text1"/>
                <w:szCs w:val="22"/>
              </w:rPr>
              <w:t>$1,374</w:t>
            </w:r>
            <w:r w:rsidR="008B04A8" w:rsidRPr="0040731B">
              <w:rPr>
                <w:rFonts w:ascii="Century Gothic" w:eastAsia="Calibri" w:hAnsi="Century Gothic" w:cs="Calibri"/>
                <w:color w:val="000000" w:themeColor="text1"/>
                <w:szCs w:val="22"/>
              </w:rPr>
              <w:t xml:space="preserve"> </w:t>
            </w:r>
          </w:p>
        </w:tc>
        <w:tc>
          <w:tcPr>
            <w:tcW w:w="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BC7438" w14:textId="56764919"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$4</w:t>
            </w:r>
            <w:r w:rsidR="007B79B8">
              <w:rPr>
                <w:rFonts w:ascii="Century Gothic" w:eastAsia="Calibri" w:hAnsi="Century Gothic" w:cs="Calibri"/>
                <w:color w:val="000000" w:themeColor="text1"/>
                <w:szCs w:val="22"/>
              </w:rPr>
              <w:t>,122</w:t>
            </w:r>
            <w:r w:rsidRPr="0040731B">
              <w:rPr>
                <w:rFonts w:ascii="Century Gothic" w:eastAsia="Calibri" w:hAnsi="Century Gothic" w:cs="Calibri"/>
                <w:color w:val="000000" w:themeColor="text1"/>
                <w:szCs w:val="22"/>
              </w:rPr>
              <w:t xml:space="preserve"> </w:t>
            </w:r>
          </w:p>
        </w:tc>
        <w:tc>
          <w:tcPr>
            <w:tcW w:w="9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C354B2" w14:textId="3A277DB7" w:rsidR="00034C9C" w:rsidRPr="0040731B" w:rsidRDefault="00C82149" w:rsidP="0070715A">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1</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950E06" w14:textId="4AF1AF1D"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0905F6">
              <w:rPr>
                <w:rFonts w:ascii="Century Gothic" w:eastAsia="Calibri" w:hAnsi="Century Gothic" w:cs="Calibri"/>
                <w:color w:val="000000" w:themeColor="text1"/>
                <w:szCs w:val="22"/>
              </w:rPr>
              <w:t>4,122</w:t>
            </w:r>
            <w:r w:rsidRPr="0040731B">
              <w:rPr>
                <w:rFonts w:ascii="Century Gothic" w:eastAsia="Calibri" w:hAnsi="Century Gothic" w:cs="Calibri"/>
                <w:color w:val="000000" w:themeColor="text1"/>
                <w:szCs w:val="22"/>
              </w:rPr>
              <w:t xml:space="preserve"> </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7E274" w14:textId="77777777" w:rsidR="00034C9C" w:rsidRPr="0040731B" w:rsidRDefault="00034C9C" w:rsidP="002E51B3">
            <w:pPr>
              <w:jc w:val="cente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25%</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C77A06" w14:textId="3A7790CE" w:rsidR="00034C9C" w:rsidRPr="0040731B" w:rsidRDefault="005B52E4" w:rsidP="002E51B3">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0</w:t>
            </w:r>
          </w:p>
        </w:tc>
        <w:tc>
          <w:tcPr>
            <w:tcW w:w="11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A0F1A7" w14:textId="17A801F5"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A068EE">
              <w:rPr>
                <w:rFonts w:ascii="Century Gothic" w:eastAsia="Calibri" w:hAnsi="Century Gothic" w:cs="Calibri"/>
                <w:color w:val="000000" w:themeColor="text1"/>
                <w:szCs w:val="22"/>
              </w:rPr>
              <w:t>0</w:t>
            </w:r>
            <w:r w:rsidRPr="0040731B">
              <w:rPr>
                <w:rFonts w:ascii="Century Gothic" w:eastAsia="Calibri" w:hAnsi="Century Gothic" w:cs="Calibri"/>
                <w:color w:val="000000" w:themeColor="text1"/>
                <w:szCs w:val="22"/>
              </w:rPr>
              <w:t xml:space="preserve"> </w:t>
            </w:r>
          </w:p>
        </w:tc>
      </w:tr>
      <w:tr w:rsidR="00034C9C" w:rsidRPr="007014AF" w14:paraId="7B2A5508" w14:textId="77777777" w:rsidTr="000E74EA">
        <w:trPr>
          <w:trHeight w:val="300"/>
        </w:trPr>
        <w:tc>
          <w:tcPr>
            <w:tcW w:w="5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81B309"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2</w:t>
            </w:r>
          </w:p>
        </w:tc>
        <w:tc>
          <w:tcPr>
            <w:tcW w:w="7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BE261A"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$1,299 </w:t>
            </w:r>
          </w:p>
        </w:tc>
        <w:tc>
          <w:tcPr>
            <w:tcW w:w="9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C89860" w14:textId="663AFA8A"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274D7E">
              <w:rPr>
                <w:rFonts w:ascii="Century Gothic" w:eastAsia="Calibri" w:hAnsi="Century Gothic" w:cs="Calibri"/>
                <w:color w:val="000000" w:themeColor="text1"/>
                <w:szCs w:val="22"/>
              </w:rPr>
              <w:t>1</w:t>
            </w:r>
            <w:r w:rsidR="00B9380D">
              <w:rPr>
                <w:rFonts w:ascii="Century Gothic" w:eastAsia="Calibri" w:hAnsi="Century Gothic" w:cs="Calibri"/>
                <w:color w:val="000000" w:themeColor="text1"/>
                <w:szCs w:val="22"/>
              </w:rPr>
              <w:t>,676</w:t>
            </w:r>
            <w:r w:rsidRPr="0040731B">
              <w:rPr>
                <w:rFonts w:ascii="Century Gothic" w:eastAsia="Calibri" w:hAnsi="Century Gothic" w:cs="Calibri"/>
                <w:color w:val="000000" w:themeColor="text1"/>
                <w:szCs w:val="22"/>
              </w:rPr>
              <w:t xml:space="preserve"> </w:t>
            </w:r>
          </w:p>
        </w:tc>
        <w:tc>
          <w:tcPr>
            <w:tcW w:w="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8A680E" w14:textId="34E196B8"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$1,</w:t>
            </w:r>
            <w:r w:rsidR="008B04A8" w:rsidRPr="0040731B">
              <w:rPr>
                <w:rFonts w:ascii="Century Gothic" w:eastAsia="Calibri" w:hAnsi="Century Gothic" w:cs="Calibri"/>
                <w:color w:val="000000" w:themeColor="text1"/>
                <w:szCs w:val="22"/>
              </w:rPr>
              <w:t>6</w:t>
            </w:r>
            <w:r w:rsidR="008B04A8">
              <w:rPr>
                <w:rFonts w:ascii="Century Gothic" w:eastAsia="Calibri" w:hAnsi="Century Gothic" w:cs="Calibri"/>
                <w:color w:val="000000" w:themeColor="text1"/>
                <w:szCs w:val="22"/>
              </w:rPr>
              <w:t>76</w:t>
            </w:r>
            <w:r w:rsidR="008B04A8" w:rsidRPr="0040731B">
              <w:rPr>
                <w:rFonts w:ascii="Century Gothic" w:eastAsia="Calibri" w:hAnsi="Century Gothic" w:cs="Calibri"/>
                <w:color w:val="000000" w:themeColor="text1"/>
                <w:szCs w:val="22"/>
              </w:rPr>
              <w:t xml:space="preserve"> </w:t>
            </w:r>
          </w:p>
        </w:tc>
        <w:tc>
          <w:tcPr>
            <w:tcW w:w="772"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C69801" w14:textId="2B3857DC"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$1,</w:t>
            </w:r>
            <w:r w:rsidR="008B04A8" w:rsidRPr="0040731B">
              <w:rPr>
                <w:rFonts w:ascii="Century Gothic" w:eastAsia="Calibri" w:hAnsi="Century Gothic" w:cs="Calibri"/>
                <w:color w:val="000000" w:themeColor="text1"/>
                <w:szCs w:val="22"/>
              </w:rPr>
              <w:t>6</w:t>
            </w:r>
            <w:r w:rsidR="008B04A8">
              <w:rPr>
                <w:rFonts w:ascii="Century Gothic" w:eastAsia="Calibri" w:hAnsi="Century Gothic" w:cs="Calibri"/>
                <w:color w:val="000000" w:themeColor="text1"/>
                <w:szCs w:val="22"/>
              </w:rPr>
              <w:t>76</w:t>
            </w:r>
            <w:r w:rsidR="008B04A8" w:rsidRPr="0040731B">
              <w:rPr>
                <w:rFonts w:ascii="Century Gothic" w:eastAsia="Calibri" w:hAnsi="Century Gothic" w:cs="Calibri"/>
                <w:color w:val="000000" w:themeColor="text1"/>
                <w:szCs w:val="22"/>
              </w:rPr>
              <w:t xml:space="preserve"> </w:t>
            </w:r>
          </w:p>
        </w:tc>
        <w:tc>
          <w:tcPr>
            <w:tcW w:w="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C26409" w14:textId="5079BE2A"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AB7613">
              <w:rPr>
                <w:rFonts w:ascii="Century Gothic" w:eastAsia="Calibri" w:hAnsi="Century Gothic" w:cs="Calibri"/>
                <w:color w:val="000000" w:themeColor="text1"/>
                <w:szCs w:val="22"/>
              </w:rPr>
              <w:t>5,028</w:t>
            </w:r>
            <w:r w:rsidRPr="0040731B">
              <w:rPr>
                <w:rFonts w:ascii="Century Gothic" w:eastAsia="Calibri" w:hAnsi="Century Gothic" w:cs="Calibri"/>
                <w:color w:val="000000" w:themeColor="text1"/>
                <w:szCs w:val="22"/>
              </w:rPr>
              <w:t xml:space="preserve"> </w:t>
            </w:r>
          </w:p>
        </w:tc>
        <w:tc>
          <w:tcPr>
            <w:tcW w:w="9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8488E8" w14:textId="68762C47" w:rsidR="00034C9C" w:rsidRPr="0040731B" w:rsidRDefault="00C82149" w:rsidP="0070715A">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7</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850BBD" w14:textId="3FA11C63"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1D5248">
              <w:rPr>
                <w:rFonts w:ascii="Century Gothic" w:eastAsia="Calibri" w:hAnsi="Century Gothic" w:cs="Calibri"/>
                <w:color w:val="000000" w:themeColor="text1"/>
                <w:szCs w:val="22"/>
              </w:rPr>
              <w:t>35,196</w:t>
            </w:r>
            <w:r w:rsidRPr="0040731B">
              <w:rPr>
                <w:rFonts w:ascii="Century Gothic" w:eastAsia="Calibri" w:hAnsi="Century Gothic" w:cs="Calibri"/>
                <w:color w:val="000000" w:themeColor="text1"/>
                <w:szCs w:val="22"/>
              </w:rPr>
              <w:t xml:space="preserve"> </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203B3D" w14:textId="77777777" w:rsidR="00034C9C" w:rsidRPr="0040731B" w:rsidRDefault="00034C9C" w:rsidP="002E51B3">
            <w:pPr>
              <w:jc w:val="cente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25%</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8D4417" w14:textId="3CDF9737" w:rsidR="00034C9C" w:rsidRPr="0040731B" w:rsidRDefault="008663DB" w:rsidP="002E51B3">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2</w:t>
            </w:r>
          </w:p>
        </w:tc>
        <w:tc>
          <w:tcPr>
            <w:tcW w:w="11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79F148" w14:textId="62B60D36"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0E74EA">
              <w:rPr>
                <w:rFonts w:ascii="Century Gothic" w:eastAsia="Calibri" w:hAnsi="Century Gothic" w:cs="Calibri"/>
                <w:color w:val="000000" w:themeColor="text1"/>
                <w:szCs w:val="22"/>
              </w:rPr>
              <w:t>10,056</w:t>
            </w:r>
            <w:r w:rsidRPr="0040731B">
              <w:rPr>
                <w:rFonts w:ascii="Century Gothic" w:eastAsia="Calibri" w:hAnsi="Century Gothic" w:cs="Calibri"/>
                <w:color w:val="000000" w:themeColor="text1"/>
                <w:szCs w:val="22"/>
              </w:rPr>
              <w:t xml:space="preserve"> </w:t>
            </w:r>
          </w:p>
        </w:tc>
      </w:tr>
      <w:tr w:rsidR="00034C9C" w:rsidRPr="007014AF" w14:paraId="5BA3E049" w14:textId="77777777" w:rsidTr="000E74EA">
        <w:trPr>
          <w:trHeight w:val="300"/>
        </w:trPr>
        <w:tc>
          <w:tcPr>
            <w:tcW w:w="5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0D1A1B"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3</w:t>
            </w:r>
          </w:p>
        </w:tc>
        <w:tc>
          <w:tcPr>
            <w:tcW w:w="7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F3D92"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$1,662 </w:t>
            </w:r>
          </w:p>
        </w:tc>
        <w:tc>
          <w:tcPr>
            <w:tcW w:w="9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D9F9FC" w14:textId="0E940718"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$2</w:t>
            </w:r>
            <w:r w:rsidR="005E14BE">
              <w:rPr>
                <w:rFonts w:ascii="Century Gothic" w:eastAsia="Calibri" w:hAnsi="Century Gothic" w:cs="Calibri"/>
                <w:color w:val="000000" w:themeColor="text1"/>
                <w:szCs w:val="22"/>
              </w:rPr>
              <w:t>,062</w:t>
            </w:r>
            <w:r w:rsidRPr="0040731B">
              <w:rPr>
                <w:rFonts w:ascii="Century Gothic" w:eastAsia="Calibri" w:hAnsi="Century Gothic" w:cs="Calibri"/>
                <w:color w:val="000000" w:themeColor="text1"/>
                <w:szCs w:val="22"/>
              </w:rPr>
              <w:t xml:space="preserve"> </w:t>
            </w:r>
          </w:p>
        </w:tc>
        <w:tc>
          <w:tcPr>
            <w:tcW w:w="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57FA69" w14:textId="796A1E40"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$2,</w:t>
            </w:r>
            <w:r w:rsidR="008B04A8" w:rsidRPr="0040731B">
              <w:rPr>
                <w:rFonts w:ascii="Century Gothic" w:eastAsia="Calibri" w:hAnsi="Century Gothic" w:cs="Calibri"/>
                <w:color w:val="000000" w:themeColor="text1"/>
                <w:szCs w:val="22"/>
              </w:rPr>
              <w:t>0</w:t>
            </w:r>
            <w:r w:rsidR="008B04A8">
              <w:rPr>
                <w:rFonts w:ascii="Century Gothic" w:eastAsia="Calibri" w:hAnsi="Century Gothic" w:cs="Calibri"/>
                <w:color w:val="000000" w:themeColor="text1"/>
                <w:szCs w:val="22"/>
              </w:rPr>
              <w:t>62</w:t>
            </w:r>
            <w:r w:rsidR="008B04A8" w:rsidRPr="0040731B">
              <w:rPr>
                <w:rFonts w:ascii="Century Gothic" w:eastAsia="Calibri" w:hAnsi="Century Gothic" w:cs="Calibri"/>
                <w:color w:val="000000" w:themeColor="text1"/>
                <w:szCs w:val="22"/>
              </w:rPr>
              <w:t xml:space="preserve"> </w:t>
            </w:r>
          </w:p>
        </w:tc>
        <w:tc>
          <w:tcPr>
            <w:tcW w:w="772"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2E5B05" w14:textId="3BEC890A"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$2,</w:t>
            </w:r>
            <w:r w:rsidR="008B04A8" w:rsidRPr="0040731B">
              <w:rPr>
                <w:rFonts w:ascii="Century Gothic" w:eastAsia="Calibri" w:hAnsi="Century Gothic" w:cs="Calibri"/>
                <w:color w:val="000000" w:themeColor="text1"/>
                <w:szCs w:val="22"/>
              </w:rPr>
              <w:t>0</w:t>
            </w:r>
            <w:r w:rsidR="008B04A8">
              <w:rPr>
                <w:rFonts w:ascii="Century Gothic" w:eastAsia="Calibri" w:hAnsi="Century Gothic" w:cs="Calibri"/>
                <w:color w:val="000000" w:themeColor="text1"/>
                <w:szCs w:val="22"/>
              </w:rPr>
              <w:t>62</w:t>
            </w:r>
            <w:r w:rsidR="008B04A8" w:rsidRPr="0040731B">
              <w:rPr>
                <w:rFonts w:ascii="Century Gothic" w:eastAsia="Calibri" w:hAnsi="Century Gothic" w:cs="Calibri"/>
                <w:color w:val="000000" w:themeColor="text1"/>
                <w:szCs w:val="22"/>
              </w:rPr>
              <w:t xml:space="preserve"> </w:t>
            </w:r>
          </w:p>
        </w:tc>
        <w:tc>
          <w:tcPr>
            <w:tcW w:w="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6B698" w14:textId="07E8C01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AB7613">
              <w:rPr>
                <w:rFonts w:ascii="Century Gothic" w:eastAsia="Calibri" w:hAnsi="Century Gothic" w:cs="Calibri"/>
                <w:color w:val="000000" w:themeColor="text1"/>
                <w:szCs w:val="22"/>
              </w:rPr>
              <w:t>6,186</w:t>
            </w:r>
            <w:r w:rsidRPr="0040731B">
              <w:rPr>
                <w:rFonts w:ascii="Century Gothic" w:eastAsia="Calibri" w:hAnsi="Century Gothic" w:cs="Calibri"/>
                <w:color w:val="000000" w:themeColor="text1"/>
                <w:szCs w:val="22"/>
              </w:rPr>
              <w:t xml:space="preserve"> </w:t>
            </w:r>
          </w:p>
        </w:tc>
        <w:tc>
          <w:tcPr>
            <w:tcW w:w="9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77AEBA" w14:textId="2781C360" w:rsidR="00034C9C" w:rsidRPr="0040731B" w:rsidRDefault="00C82149" w:rsidP="0070715A">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28</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76D051" w14:textId="5E160DC0"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C875F2">
              <w:rPr>
                <w:rFonts w:ascii="Century Gothic" w:eastAsia="Calibri" w:hAnsi="Century Gothic" w:cs="Calibri"/>
                <w:color w:val="000000" w:themeColor="text1"/>
                <w:szCs w:val="22"/>
              </w:rPr>
              <w:t>173,208</w:t>
            </w:r>
            <w:r w:rsidRPr="0040731B">
              <w:rPr>
                <w:rFonts w:ascii="Century Gothic" w:eastAsia="Calibri" w:hAnsi="Century Gothic" w:cs="Calibri"/>
                <w:color w:val="000000" w:themeColor="text1"/>
                <w:szCs w:val="22"/>
              </w:rPr>
              <w:t xml:space="preserve"> </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22767D" w14:textId="77777777" w:rsidR="00034C9C" w:rsidRPr="0040731B" w:rsidRDefault="00034C9C" w:rsidP="002E51B3">
            <w:pPr>
              <w:jc w:val="cente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25%</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2862B2" w14:textId="03B61261" w:rsidR="00034C9C" w:rsidRPr="0040731B" w:rsidRDefault="008663DB" w:rsidP="002E51B3">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7</w:t>
            </w:r>
          </w:p>
        </w:tc>
        <w:tc>
          <w:tcPr>
            <w:tcW w:w="11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5EEC81" w14:textId="56FA1FB1"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0E74EA">
              <w:rPr>
                <w:rFonts w:ascii="Century Gothic" w:eastAsia="Calibri" w:hAnsi="Century Gothic" w:cs="Calibri"/>
                <w:color w:val="000000" w:themeColor="text1"/>
                <w:szCs w:val="22"/>
              </w:rPr>
              <w:t>43,302</w:t>
            </w:r>
            <w:r w:rsidRPr="0040731B">
              <w:rPr>
                <w:rFonts w:ascii="Century Gothic" w:eastAsia="Calibri" w:hAnsi="Century Gothic" w:cs="Calibri"/>
                <w:color w:val="000000" w:themeColor="text1"/>
                <w:szCs w:val="22"/>
              </w:rPr>
              <w:t xml:space="preserve"> </w:t>
            </w:r>
          </w:p>
        </w:tc>
      </w:tr>
      <w:tr w:rsidR="00034C9C" w:rsidRPr="007014AF" w14:paraId="24053807" w14:textId="77777777" w:rsidTr="000E74EA">
        <w:trPr>
          <w:trHeight w:val="300"/>
        </w:trPr>
        <w:tc>
          <w:tcPr>
            <w:tcW w:w="5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E03F0A"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4</w:t>
            </w:r>
          </w:p>
        </w:tc>
        <w:tc>
          <w:tcPr>
            <w:tcW w:w="7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DF3967"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$1,979 </w:t>
            </w:r>
          </w:p>
        </w:tc>
        <w:tc>
          <w:tcPr>
            <w:tcW w:w="9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A9E4EE" w14:textId="40F3D755"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8B04A8">
              <w:rPr>
                <w:rFonts w:ascii="Century Gothic" w:eastAsia="Calibri" w:hAnsi="Century Gothic" w:cs="Calibri"/>
                <w:color w:val="000000" w:themeColor="text1"/>
                <w:szCs w:val="22"/>
              </w:rPr>
              <w:t>2,348</w:t>
            </w:r>
            <w:r w:rsidRPr="0040731B">
              <w:rPr>
                <w:rFonts w:ascii="Century Gothic" w:eastAsia="Calibri" w:hAnsi="Century Gothic" w:cs="Calibri"/>
                <w:color w:val="000000" w:themeColor="text1"/>
                <w:szCs w:val="22"/>
              </w:rPr>
              <w:t xml:space="preserve"> </w:t>
            </w:r>
          </w:p>
        </w:tc>
        <w:tc>
          <w:tcPr>
            <w:tcW w:w="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C0675C" w14:textId="16716DF8"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$ 2,</w:t>
            </w:r>
            <w:r w:rsidR="008B04A8">
              <w:rPr>
                <w:rFonts w:ascii="Century Gothic" w:eastAsia="Calibri" w:hAnsi="Century Gothic" w:cs="Calibri"/>
                <w:color w:val="000000" w:themeColor="text1"/>
                <w:szCs w:val="22"/>
              </w:rPr>
              <w:t>348</w:t>
            </w:r>
            <w:r w:rsidR="008B04A8" w:rsidRPr="0040731B">
              <w:rPr>
                <w:rFonts w:ascii="Century Gothic" w:eastAsia="Calibri" w:hAnsi="Century Gothic" w:cs="Calibri"/>
                <w:color w:val="000000" w:themeColor="text1"/>
                <w:szCs w:val="22"/>
              </w:rPr>
              <w:t xml:space="preserve"> </w:t>
            </w:r>
          </w:p>
        </w:tc>
        <w:tc>
          <w:tcPr>
            <w:tcW w:w="772"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4A19A5" w14:textId="307BF7BA"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$2,</w:t>
            </w:r>
            <w:r w:rsidR="008B04A8">
              <w:rPr>
                <w:rFonts w:ascii="Century Gothic" w:eastAsia="Calibri" w:hAnsi="Century Gothic" w:cs="Calibri"/>
                <w:color w:val="000000" w:themeColor="text1"/>
                <w:szCs w:val="22"/>
              </w:rPr>
              <w:t>348</w:t>
            </w:r>
            <w:r w:rsidR="008B04A8" w:rsidRPr="0040731B">
              <w:rPr>
                <w:rFonts w:ascii="Century Gothic" w:eastAsia="Calibri" w:hAnsi="Century Gothic" w:cs="Calibri"/>
                <w:color w:val="000000" w:themeColor="text1"/>
                <w:szCs w:val="22"/>
              </w:rPr>
              <w:t xml:space="preserve"> </w:t>
            </w:r>
          </w:p>
        </w:tc>
        <w:tc>
          <w:tcPr>
            <w:tcW w:w="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C6DE5A" w14:textId="226BC8B4"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70715A">
              <w:rPr>
                <w:rFonts w:ascii="Century Gothic" w:eastAsia="Calibri" w:hAnsi="Century Gothic" w:cs="Calibri"/>
                <w:color w:val="000000" w:themeColor="text1"/>
                <w:szCs w:val="22"/>
              </w:rPr>
              <w:t>7,044</w:t>
            </w:r>
            <w:r w:rsidRPr="0040731B">
              <w:rPr>
                <w:rFonts w:ascii="Century Gothic" w:eastAsia="Calibri" w:hAnsi="Century Gothic" w:cs="Calibri"/>
                <w:color w:val="000000" w:themeColor="text1"/>
                <w:szCs w:val="22"/>
              </w:rPr>
              <w:t xml:space="preserve"> </w:t>
            </w:r>
          </w:p>
        </w:tc>
        <w:tc>
          <w:tcPr>
            <w:tcW w:w="9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4D1602" w14:textId="304A22A7" w:rsidR="00034C9C" w:rsidRPr="0040731B" w:rsidRDefault="00C82149" w:rsidP="0070715A">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1</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523979" w14:textId="025B20B2"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C875F2">
              <w:rPr>
                <w:rFonts w:ascii="Century Gothic" w:eastAsia="Calibri" w:hAnsi="Century Gothic" w:cs="Calibri"/>
                <w:color w:val="000000" w:themeColor="text1"/>
                <w:szCs w:val="22"/>
              </w:rPr>
              <w:t>7,044</w:t>
            </w:r>
            <w:r w:rsidRPr="0040731B">
              <w:rPr>
                <w:rFonts w:ascii="Century Gothic" w:eastAsia="Calibri" w:hAnsi="Century Gothic" w:cs="Calibri"/>
                <w:color w:val="000000" w:themeColor="text1"/>
                <w:szCs w:val="22"/>
              </w:rPr>
              <w:t xml:space="preserve"> </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739C44" w14:textId="77777777" w:rsidR="00034C9C" w:rsidRPr="0040731B" w:rsidRDefault="00034C9C" w:rsidP="002E51B3">
            <w:pPr>
              <w:jc w:val="cente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25%</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3EB737" w14:textId="2A4272D6" w:rsidR="00034C9C" w:rsidRPr="0040731B" w:rsidRDefault="008663DB" w:rsidP="002E51B3">
            <w:pPr>
              <w:jc w:val="center"/>
              <w:rPr>
                <w:rFonts w:ascii="Century Gothic" w:eastAsia="Calibri" w:hAnsi="Century Gothic" w:cs="Calibri"/>
                <w:color w:val="000000" w:themeColor="text1"/>
                <w:szCs w:val="22"/>
              </w:rPr>
            </w:pPr>
            <w:r>
              <w:rPr>
                <w:rFonts w:ascii="Century Gothic" w:eastAsia="Calibri" w:hAnsi="Century Gothic" w:cs="Calibri"/>
                <w:color w:val="000000" w:themeColor="text1"/>
                <w:szCs w:val="22"/>
              </w:rPr>
              <w:t>0</w:t>
            </w:r>
          </w:p>
        </w:tc>
        <w:tc>
          <w:tcPr>
            <w:tcW w:w="11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07A301" w14:textId="067CF3FA"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r w:rsidR="000E74EA">
              <w:rPr>
                <w:rFonts w:ascii="Century Gothic" w:eastAsia="Calibri" w:hAnsi="Century Gothic" w:cs="Calibri"/>
                <w:color w:val="000000" w:themeColor="text1"/>
                <w:szCs w:val="22"/>
              </w:rPr>
              <w:t>0</w:t>
            </w:r>
            <w:r w:rsidRPr="0040731B">
              <w:rPr>
                <w:rFonts w:ascii="Century Gothic" w:eastAsia="Calibri" w:hAnsi="Century Gothic" w:cs="Calibri"/>
                <w:color w:val="000000" w:themeColor="text1"/>
                <w:szCs w:val="22"/>
              </w:rPr>
              <w:t xml:space="preserve"> </w:t>
            </w:r>
          </w:p>
        </w:tc>
      </w:tr>
      <w:tr w:rsidR="00034C9C" w:rsidRPr="007014AF" w14:paraId="0ADD8C9E" w14:textId="77777777" w:rsidTr="000E74EA">
        <w:trPr>
          <w:trHeight w:val="300"/>
        </w:trPr>
        <w:tc>
          <w:tcPr>
            <w:tcW w:w="5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433623"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p>
        </w:tc>
        <w:tc>
          <w:tcPr>
            <w:tcW w:w="7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80D57F"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p>
        </w:tc>
        <w:tc>
          <w:tcPr>
            <w:tcW w:w="9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8B61D9"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p>
        </w:tc>
        <w:tc>
          <w:tcPr>
            <w:tcW w:w="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358D36"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p>
        </w:tc>
        <w:tc>
          <w:tcPr>
            <w:tcW w:w="772"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77201D" w14:textId="77777777" w:rsidR="00034C9C" w:rsidRPr="0040731B" w:rsidRDefault="00034C9C">
            <w:pPr>
              <w:rPr>
                <w:rFonts w:ascii="Century Gothic" w:eastAsia="Calibri" w:hAnsi="Century Gothic" w:cs="Calibri"/>
                <w:color w:val="000000" w:themeColor="text1"/>
                <w:szCs w:val="22"/>
              </w:rPr>
            </w:pPr>
            <w:r w:rsidRPr="0040731B">
              <w:rPr>
                <w:rFonts w:ascii="Century Gothic" w:eastAsia="Calibri" w:hAnsi="Century Gothic" w:cs="Calibri"/>
                <w:color w:val="000000" w:themeColor="text1"/>
                <w:szCs w:val="22"/>
              </w:rPr>
              <w:t xml:space="preserve"> </w:t>
            </w:r>
          </w:p>
        </w:tc>
        <w:tc>
          <w:tcPr>
            <w:tcW w:w="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17EE06" w14:textId="68E228ED" w:rsidR="00034C9C" w:rsidRPr="00385250" w:rsidRDefault="00034C9C">
            <w:pPr>
              <w:rPr>
                <w:rFonts w:ascii="Century Gothic" w:eastAsia="Calibri" w:hAnsi="Century Gothic" w:cs="Calibri"/>
                <w:b/>
                <w:bCs/>
                <w:color w:val="000000" w:themeColor="text1"/>
                <w:szCs w:val="22"/>
              </w:rPr>
            </w:pPr>
            <w:r w:rsidRPr="00385250">
              <w:rPr>
                <w:rFonts w:ascii="Century Gothic" w:eastAsia="Calibri" w:hAnsi="Century Gothic" w:cs="Calibri"/>
                <w:b/>
                <w:bCs/>
                <w:color w:val="000000" w:themeColor="text1"/>
                <w:szCs w:val="22"/>
              </w:rPr>
              <w:t xml:space="preserve"> $2</w:t>
            </w:r>
            <w:r w:rsidR="009E52B8" w:rsidRPr="00385250">
              <w:rPr>
                <w:rFonts w:ascii="Century Gothic" w:eastAsia="Calibri" w:hAnsi="Century Gothic" w:cs="Calibri"/>
                <w:b/>
                <w:bCs/>
                <w:color w:val="000000" w:themeColor="text1"/>
                <w:szCs w:val="22"/>
              </w:rPr>
              <w:t>6,133</w:t>
            </w:r>
            <w:r w:rsidRPr="00385250">
              <w:rPr>
                <w:rFonts w:ascii="Century Gothic" w:eastAsia="Calibri" w:hAnsi="Century Gothic" w:cs="Calibri"/>
                <w:b/>
                <w:bCs/>
                <w:color w:val="000000" w:themeColor="text1"/>
                <w:szCs w:val="22"/>
              </w:rPr>
              <w:t xml:space="preserve"> </w:t>
            </w:r>
          </w:p>
        </w:tc>
        <w:tc>
          <w:tcPr>
            <w:tcW w:w="9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132ED4" w14:textId="19C219FB" w:rsidR="00034C9C" w:rsidRPr="00385250" w:rsidRDefault="00C82149" w:rsidP="0070715A">
            <w:pPr>
              <w:jc w:val="center"/>
              <w:rPr>
                <w:rFonts w:ascii="Century Gothic" w:eastAsia="Calibri" w:hAnsi="Century Gothic" w:cs="Calibri"/>
                <w:b/>
                <w:bCs/>
                <w:color w:val="000000" w:themeColor="text1"/>
                <w:szCs w:val="22"/>
              </w:rPr>
            </w:pPr>
            <w:r w:rsidRPr="00385250">
              <w:rPr>
                <w:rFonts w:ascii="Century Gothic" w:eastAsia="Calibri" w:hAnsi="Century Gothic" w:cs="Calibri"/>
                <w:b/>
                <w:bCs/>
                <w:color w:val="000000" w:themeColor="text1"/>
                <w:szCs w:val="22"/>
              </w:rPr>
              <w:t>39</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83BE8" w14:textId="6A18316B" w:rsidR="00034C9C" w:rsidRPr="00385250" w:rsidRDefault="00034C9C">
            <w:pPr>
              <w:rPr>
                <w:rFonts w:ascii="Century Gothic" w:eastAsia="Calibri" w:hAnsi="Century Gothic" w:cs="Calibri"/>
                <w:b/>
                <w:bCs/>
                <w:color w:val="000000" w:themeColor="text1"/>
                <w:szCs w:val="22"/>
              </w:rPr>
            </w:pPr>
            <w:r w:rsidRPr="00385250">
              <w:rPr>
                <w:rFonts w:ascii="Century Gothic" w:eastAsia="Calibri" w:hAnsi="Century Gothic" w:cs="Calibri"/>
                <w:b/>
                <w:bCs/>
                <w:color w:val="000000" w:themeColor="text1"/>
                <w:szCs w:val="22"/>
              </w:rPr>
              <w:t xml:space="preserve"> $</w:t>
            </w:r>
            <w:r w:rsidR="00677501" w:rsidRPr="00385250">
              <w:rPr>
                <w:rFonts w:ascii="Century Gothic" w:eastAsia="Calibri" w:hAnsi="Century Gothic" w:cs="Calibri"/>
                <w:b/>
                <w:bCs/>
                <w:color w:val="000000" w:themeColor="text1"/>
                <w:szCs w:val="22"/>
              </w:rPr>
              <w:t>227,076</w:t>
            </w:r>
            <w:r w:rsidRPr="00385250">
              <w:rPr>
                <w:rFonts w:ascii="Century Gothic" w:eastAsia="Calibri" w:hAnsi="Century Gothic" w:cs="Calibri"/>
                <w:b/>
                <w:bCs/>
                <w:color w:val="000000" w:themeColor="text1"/>
                <w:szCs w:val="22"/>
              </w:rPr>
              <w:t xml:space="preserve"> </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1EF24C" w14:textId="77777777" w:rsidR="00034C9C" w:rsidRPr="00385250" w:rsidRDefault="00034C9C" w:rsidP="002E51B3">
            <w:pPr>
              <w:jc w:val="center"/>
              <w:rPr>
                <w:rFonts w:ascii="Century Gothic" w:eastAsia="Calibri" w:hAnsi="Century Gothic" w:cs="Calibri"/>
                <w:b/>
                <w:bCs/>
                <w:color w:val="000000" w:themeColor="text1"/>
                <w:szCs w:val="22"/>
              </w:rPr>
            </w:pPr>
            <w:r w:rsidRPr="00385250">
              <w:rPr>
                <w:rFonts w:ascii="Century Gothic" w:eastAsia="Calibri" w:hAnsi="Century Gothic" w:cs="Calibri"/>
                <w:b/>
                <w:bCs/>
                <w:color w:val="000000" w:themeColor="text1"/>
                <w:szCs w:val="22"/>
              </w:rPr>
              <w:t>25%</w:t>
            </w:r>
          </w:p>
        </w:tc>
        <w:tc>
          <w:tcPr>
            <w:tcW w:w="9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421E3C" w14:textId="35C6E732" w:rsidR="00034C9C" w:rsidRPr="00385250" w:rsidRDefault="008663DB" w:rsidP="002E51B3">
            <w:pPr>
              <w:jc w:val="center"/>
              <w:rPr>
                <w:rFonts w:ascii="Century Gothic" w:eastAsia="Calibri" w:hAnsi="Century Gothic" w:cs="Calibri"/>
                <w:b/>
                <w:bCs/>
                <w:color w:val="000000" w:themeColor="text1"/>
                <w:szCs w:val="22"/>
              </w:rPr>
            </w:pPr>
            <w:r w:rsidRPr="00385250">
              <w:rPr>
                <w:rFonts w:ascii="Century Gothic" w:eastAsia="Calibri" w:hAnsi="Century Gothic" w:cs="Calibri"/>
                <w:b/>
                <w:bCs/>
                <w:color w:val="000000" w:themeColor="text1"/>
                <w:szCs w:val="22"/>
              </w:rPr>
              <w:t>10</w:t>
            </w:r>
          </w:p>
        </w:tc>
        <w:tc>
          <w:tcPr>
            <w:tcW w:w="11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EA85B" w14:textId="095E4D8C" w:rsidR="00034C9C" w:rsidRPr="00385250" w:rsidRDefault="00034C9C">
            <w:pPr>
              <w:rPr>
                <w:rFonts w:ascii="Century Gothic" w:eastAsia="Calibri" w:hAnsi="Century Gothic" w:cs="Calibri"/>
                <w:b/>
                <w:bCs/>
                <w:color w:val="000000" w:themeColor="text1"/>
                <w:szCs w:val="22"/>
              </w:rPr>
            </w:pPr>
            <w:r w:rsidRPr="00385250">
              <w:rPr>
                <w:rFonts w:ascii="Century Gothic" w:eastAsia="Calibri" w:hAnsi="Century Gothic" w:cs="Calibri"/>
                <w:b/>
                <w:bCs/>
                <w:color w:val="000000" w:themeColor="text1"/>
                <w:szCs w:val="22"/>
              </w:rPr>
              <w:t xml:space="preserve"> $ </w:t>
            </w:r>
            <w:r w:rsidR="000E74EA" w:rsidRPr="00385250">
              <w:rPr>
                <w:rFonts w:ascii="Century Gothic" w:eastAsia="Calibri" w:hAnsi="Century Gothic" w:cs="Calibri"/>
                <w:b/>
                <w:bCs/>
                <w:color w:val="000000" w:themeColor="text1"/>
                <w:szCs w:val="22"/>
              </w:rPr>
              <w:t>57,111</w:t>
            </w:r>
          </w:p>
        </w:tc>
      </w:tr>
    </w:tbl>
    <w:p w14:paraId="70684FE7" w14:textId="370628A9" w:rsidR="00034C9C" w:rsidRPr="00867427" w:rsidRDefault="00A031D4" w:rsidP="00B51ED0">
      <w:pPr>
        <w:rPr>
          <w:rFonts w:ascii="Century Gothic" w:hAnsi="Century Gothic"/>
          <w:sz w:val="18"/>
          <w:szCs w:val="18"/>
        </w:rPr>
      </w:pPr>
      <w:r w:rsidRPr="00867427">
        <w:rPr>
          <w:rFonts w:ascii="Century Gothic" w:hAnsi="Century Gothic"/>
          <w:sz w:val="18"/>
          <w:szCs w:val="18"/>
        </w:rPr>
        <w:t>*Based</w:t>
      </w:r>
      <w:r w:rsidR="00DE3D4D" w:rsidRPr="00867427">
        <w:rPr>
          <w:rFonts w:ascii="Century Gothic" w:hAnsi="Century Gothic"/>
          <w:sz w:val="18"/>
          <w:szCs w:val="18"/>
        </w:rPr>
        <w:t xml:space="preserve"> </w:t>
      </w:r>
      <w:r w:rsidRPr="00867427">
        <w:rPr>
          <w:rFonts w:ascii="Century Gothic" w:hAnsi="Century Gothic"/>
          <w:sz w:val="18"/>
          <w:szCs w:val="18"/>
        </w:rPr>
        <w:t>on FY2024 FMR</w:t>
      </w:r>
    </w:p>
    <w:p w14:paraId="11701C46" w14:textId="77777777" w:rsidR="00DE3D4D" w:rsidRPr="00DE3D4D" w:rsidRDefault="00DE3D4D" w:rsidP="00DE3D4D">
      <w:pPr>
        <w:rPr>
          <w:rFonts w:ascii="Century Gothic" w:hAnsi="Century Gothic"/>
        </w:rPr>
      </w:pPr>
    </w:p>
    <w:p w14:paraId="6CCE4E32" w14:textId="77DA438F" w:rsidR="00034C9C" w:rsidRPr="003B20B0" w:rsidRDefault="00034C9C" w:rsidP="414ED316">
      <w:pPr>
        <w:rPr>
          <w:rStyle w:val="SubtleEmphasis"/>
          <w:rFonts w:ascii="Century Gothic" w:eastAsiaTheme="majorEastAsia" w:hAnsi="Century Gothic"/>
          <w:b/>
          <w:bCs/>
          <w:color w:val="808080" w:themeColor="background1" w:themeShade="80"/>
          <w:sz w:val="22"/>
          <w:szCs w:val="22"/>
        </w:rPr>
      </w:pPr>
      <w:r w:rsidRPr="414ED316">
        <w:rPr>
          <w:rStyle w:val="SubtleEmphasis"/>
          <w:rFonts w:ascii="Century Gothic" w:eastAsiaTheme="majorEastAsia" w:hAnsi="Century Gothic"/>
          <w:b/>
          <w:bCs/>
          <w:color w:val="808080" w:themeColor="background1" w:themeShade="80"/>
          <w:sz w:val="22"/>
          <w:szCs w:val="22"/>
        </w:rPr>
        <w:t xml:space="preserve">Impact </w:t>
      </w:r>
    </w:p>
    <w:p w14:paraId="419AC8FA" w14:textId="65286E48" w:rsidR="00034C9C" w:rsidRPr="003B20B0" w:rsidRDefault="00034C9C" w:rsidP="00034C9C">
      <w:pPr>
        <w:spacing w:line="276" w:lineRule="auto"/>
        <w:rPr>
          <w:rFonts w:ascii="Century Gothic" w:eastAsia="Times New Roman" w:hAnsi="Century Gothic"/>
        </w:rPr>
      </w:pPr>
    </w:p>
    <w:p w14:paraId="5DCE6A99" w14:textId="28079C1F" w:rsidR="00AE6896" w:rsidRDefault="00034C9C" w:rsidP="00034C9C">
      <w:pPr>
        <w:spacing w:line="276" w:lineRule="auto"/>
        <w:rPr>
          <w:rFonts w:ascii="Century Gothic" w:eastAsia="Times New Roman" w:hAnsi="Century Gothic"/>
        </w:rPr>
      </w:pPr>
      <w:r w:rsidRPr="414ED316">
        <w:rPr>
          <w:rFonts w:ascii="Century Gothic" w:eastAsia="Times New Roman" w:hAnsi="Century Gothic"/>
        </w:rPr>
        <w:t xml:space="preserve">In FY 2024, </w:t>
      </w:r>
      <w:r w:rsidR="5E95C4DA" w:rsidRPr="414ED316">
        <w:rPr>
          <w:rFonts w:ascii="Century Gothic" w:eastAsia="Times New Roman" w:hAnsi="Century Gothic"/>
        </w:rPr>
        <w:t xml:space="preserve">CED worked with </w:t>
      </w:r>
      <w:r w:rsidR="00117E5C" w:rsidRPr="414ED316">
        <w:rPr>
          <w:rFonts w:ascii="Century Gothic" w:eastAsia="Times New Roman" w:hAnsi="Century Gothic"/>
        </w:rPr>
        <w:t>families</w:t>
      </w:r>
      <w:r w:rsidR="5E95C4DA" w:rsidRPr="414ED316">
        <w:rPr>
          <w:rFonts w:ascii="Century Gothic" w:eastAsia="Times New Roman" w:hAnsi="Century Gothic"/>
        </w:rPr>
        <w:t xml:space="preserve"> </w:t>
      </w:r>
      <w:r w:rsidR="53BCD845" w:rsidRPr="414ED316">
        <w:rPr>
          <w:rFonts w:ascii="Century Gothic" w:eastAsia="Times New Roman" w:hAnsi="Century Gothic"/>
        </w:rPr>
        <w:t>(</w:t>
      </w:r>
      <w:r w:rsidR="00C82149" w:rsidRPr="414ED316">
        <w:rPr>
          <w:rFonts w:ascii="Century Gothic" w:eastAsia="Times New Roman" w:hAnsi="Century Gothic"/>
        </w:rPr>
        <w:t>39</w:t>
      </w:r>
      <w:r w:rsidR="672A2E3D" w:rsidRPr="414ED316">
        <w:rPr>
          <w:rFonts w:ascii="Century Gothic" w:eastAsia="Times New Roman" w:hAnsi="Century Gothic"/>
        </w:rPr>
        <w:t>)</w:t>
      </w:r>
      <w:r w:rsidRPr="414ED316">
        <w:rPr>
          <w:rFonts w:ascii="Century Gothic" w:eastAsia="Times New Roman" w:hAnsi="Century Gothic"/>
        </w:rPr>
        <w:t xml:space="preserve"> who reported household incomes above the Very Low Limit (50%). </w:t>
      </w:r>
      <w:r w:rsidRPr="001661B2">
        <w:rPr>
          <w:rFonts w:ascii="Century Gothic" w:eastAsia="Times New Roman" w:hAnsi="Century Gothic"/>
        </w:rPr>
        <w:t xml:space="preserve">These families </w:t>
      </w:r>
      <w:r w:rsidR="0BC03C30" w:rsidRPr="001661B2">
        <w:rPr>
          <w:rFonts w:ascii="Century Gothic" w:eastAsia="Times New Roman" w:hAnsi="Century Gothic"/>
        </w:rPr>
        <w:t>receive</w:t>
      </w:r>
      <w:r w:rsidR="001E60F0">
        <w:rPr>
          <w:rFonts w:ascii="Century Gothic" w:eastAsia="Times New Roman" w:hAnsi="Century Gothic"/>
        </w:rPr>
        <w:t>d</w:t>
      </w:r>
      <w:r w:rsidRPr="001661B2">
        <w:rPr>
          <w:rFonts w:ascii="Century Gothic" w:eastAsia="Times New Roman" w:hAnsi="Century Gothic"/>
        </w:rPr>
        <w:t xml:space="preserve"> supportive services such as 1:1 case management, review of CED programming and referral to external agencies in preparation for increases in household income and </w:t>
      </w:r>
      <w:r w:rsidR="000A70F6">
        <w:rPr>
          <w:rFonts w:ascii="Century Gothic" w:eastAsia="Times New Roman" w:hAnsi="Century Gothic"/>
        </w:rPr>
        <w:t>th</w:t>
      </w:r>
      <w:r w:rsidR="00AE6896">
        <w:rPr>
          <w:rFonts w:ascii="Century Gothic" w:eastAsia="Times New Roman" w:hAnsi="Century Gothic"/>
        </w:rPr>
        <w:t xml:space="preserve">e </w:t>
      </w:r>
      <w:r w:rsidRPr="001661B2">
        <w:rPr>
          <w:rFonts w:ascii="Century Gothic" w:eastAsia="Times New Roman" w:hAnsi="Century Gothic"/>
        </w:rPr>
        <w:t xml:space="preserve">potential exit from the program.  </w:t>
      </w:r>
    </w:p>
    <w:p w14:paraId="6B801D4C" w14:textId="77777777" w:rsidR="00AE6896" w:rsidRDefault="00AE6896" w:rsidP="00034C9C">
      <w:pPr>
        <w:spacing w:line="276" w:lineRule="auto"/>
        <w:rPr>
          <w:rFonts w:ascii="Century Gothic" w:eastAsia="Times New Roman" w:hAnsi="Century Gothic"/>
        </w:rPr>
      </w:pPr>
    </w:p>
    <w:p w14:paraId="6A1CFF8D" w14:textId="78828097" w:rsidR="00034C9C" w:rsidRPr="003B20B0" w:rsidRDefault="00034C9C" w:rsidP="00034C9C">
      <w:pPr>
        <w:spacing w:line="276" w:lineRule="auto"/>
        <w:rPr>
          <w:rFonts w:ascii="Century Gothic" w:eastAsia="Times New Roman" w:hAnsi="Century Gothic"/>
        </w:rPr>
      </w:pPr>
      <w:r w:rsidRPr="001661B2">
        <w:rPr>
          <w:rFonts w:ascii="Century Gothic" w:eastAsia="Times New Roman" w:hAnsi="Century Gothic"/>
        </w:rPr>
        <w:t>100% of the participating families set goals that they would want to achieve</w:t>
      </w:r>
      <w:r w:rsidR="000E0B99" w:rsidRPr="001661B2">
        <w:rPr>
          <w:rFonts w:ascii="Century Gothic" w:eastAsia="Times New Roman" w:hAnsi="Century Gothic"/>
        </w:rPr>
        <w:t>,</w:t>
      </w:r>
      <w:r w:rsidRPr="001661B2">
        <w:rPr>
          <w:rFonts w:ascii="Century Gothic" w:eastAsia="Times New Roman" w:hAnsi="Century Gothic"/>
        </w:rPr>
        <w:t xml:space="preserve"> that </w:t>
      </w:r>
      <w:r w:rsidR="00117E5C" w:rsidRPr="001661B2">
        <w:rPr>
          <w:rFonts w:ascii="Century Gothic" w:eastAsia="Times New Roman" w:hAnsi="Century Gothic"/>
        </w:rPr>
        <w:t>include</w:t>
      </w:r>
      <w:r w:rsidRPr="001661B2">
        <w:rPr>
          <w:rFonts w:ascii="Century Gothic" w:eastAsia="Times New Roman" w:hAnsi="Century Gothic"/>
        </w:rPr>
        <w:t xml:space="preserve"> furthering their education, enhancing their credit score, increasing savings and paying off debt.  </w:t>
      </w:r>
      <w:r w:rsidR="63483002" w:rsidRPr="001661B2">
        <w:rPr>
          <w:rFonts w:ascii="Century Gothic" w:eastAsia="Times New Roman" w:hAnsi="Century Gothic"/>
        </w:rPr>
        <w:t>70</w:t>
      </w:r>
      <w:r w:rsidRPr="001661B2">
        <w:rPr>
          <w:rFonts w:ascii="Century Gothic" w:eastAsia="Times New Roman" w:hAnsi="Century Gothic"/>
        </w:rPr>
        <w:t xml:space="preserve">% of the </w:t>
      </w:r>
      <w:r w:rsidR="00182167">
        <w:rPr>
          <w:rFonts w:ascii="Century Gothic" w:eastAsia="Times New Roman" w:hAnsi="Century Gothic"/>
        </w:rPr>
        <w:t>39</w:t>
      </w:r>
      <w:r w:rsidRPr="001661B2">
        <w:rPr>
          <w:rFonts w:ascii="Century Gothic" w:eastAsia="Times New Roman" w:hAnsi="Century Gothic"/>
        </w:rPr>
        <w:t xml:space="preserve"> participants</w:t>
      </w:r>
      <w:r>
        <w:rPr>
          <w:rFonts w:ascii="Century Gothic" w:eastAsia="Times New Roman" w:hAnsi="Century Gothic"/>
        </w:rPr>
        <w:t xml:space="preserve"> </w:t>
      </w:r>
      <w:r w:rsidR="00597C48">
        <w:rPr>
          <w:rFonts w:ascii="Century Gothic" w:eastAsia="Times New Roman" w:hAnsi="Century Gothic"/>
        </w:rPr>
        <w:t>(27</w:t>
      </w:r>
      <w:r w:rsidR="00E02098">
        <w:rPr>
          <w:rFonts w:ascii="Century Gothic" w:eastAsia="Times New Roman" w:hAnsi="Century Gothic"/>
        </w:rPr>
        <w:t xml:space="preserve">) </w:t>
      </w:r>
      <w:r w:rsidRPr="001661B2">
        <w:rPr>
          <w:rFonts w:ascii="Century Gothic" w:eastAsia="Times New Roman" w:hAnsi="Century Gothic"/>
        </w:rPr>
        <w:t>are currently enrolled in CED programming and 3</w:t>
      </w:r>
      <w:r w:rsidR="6FEDE4BF" w:rsidRPr="001661B2">
        <w:rPr>
          <w:rFonts w:ascii="Century Gothic" w:eastAsia="Times New Roman" w:hAnsi="Century Gothic"/>
        </w:rPr>
        <w:t>0</w:t>
      </w:r>
      <w:r w:rsidRPr="001661B2">
        <w:rPr>
          <w:rFonts w:ascii="Century Gothic" w:eastAsia="Times New Roman" w:hAnsi="Century Gothic"/>
        </w:rPr>
        <w:t xml:space="preserve">% </w:t>
      </w:r>
      <w:r w:rsidR="00035492" w:rsidRPr="001661B2">
        <w:rPr>
          <w:rFonts w:ascii="Century Gothic" w:eastAsia="Times New Roman" w:hAnsi="Century Gothic"/>
        </w:rPr>
        <w:t>of Head of Hous</w:t>
      </w:r>
      <w:r w:rsidR="002B48B2" w:rsidRPr="001661B2">
        <w:rPr>
          <w:rFonts w:ascii="Century Gothic" w:eastAsia="Times New Roman" w:hAnsi="Century Gothic"/>
        </w:rPr>
        <w:t xml:space="preserve">eholds were </w:t>
      </w:r>
      <w:r w:rsidR="00B76F86" w:rsidRPr="001661B2">
        <w:rPr>
          <w:rFonts w:ascii="Century Gothic" w:eastAsia="Times New Roman" w:hAnsi="Century Gothic"/>
        </w:rPr>
        <w:t>hesitant</w:t>
      </w:r>
      <w:r w:rsidRPr="001661B2">
        <w:rPr>
          <w:rFonts w:ascii="Century Gothic" w:eastAsia="Times New Roman" w:hAnsi="Century Gothic"/>
        </w:rPr>
        <w:t xml:space="preserve"> </w:t>
      </w:r>
      <w:proofErr w:type="gramStart"/>
      <w:r w:rsidRPr="001661B2">
        <w:rPr>
          <w:rFonts w:ascii="Century Gothic" w:eastAsia="Times New Roman" w:hAnsi="Century Gothic"/>
        </w:rPr>
        <w:t>due to the fact that</w:t>
      </w:r>
      <w:proofErr w:type="gramEnd"/>
      <w:r w:rsidRPr="001661B2">
        <w:rPr>
          <w:rFonts w:ascii="Century Gothic" w:eastAsia="Times New Roman" w:hAnsi="Century Gothic"/>
        </w:rPr>
        <w:t xml:space="preserve"> their income source is solely from Social Security, disability, and/or pension.</w:t>
      </w:r>
    </w:p>
    <w:p w14:paraId="7584B12A" w14:textId="672EB5B2" w:rsidR="00034C9C" w:rsidRPr="003B20B0" w:rsidRDefault="00034C9C" w:rsidP="00034C9C">
      <w:pPr>
        <w:spacing w:line="276" w:lineRule="auto"/>
        <w:rPr>
          <w:rFonts w:ascii="Century Gothic" w:eastAsia="Times New Roman" w:hAnsi="Century Gothic"/>
        </w:rPr>
      </w:pPr>
    </w:p>
    <w:p w14:paraId="19B9F1A2" w14:textId="225744DF" w:rsidR="00034C9C" w:rsidRPr="003B20B0" w:rsidRDefault="00034C9C" w:rsidP="00034C9C">
      <w:pPr>
        <w:spacing w:line="276" w:lineRule="auto"/>
        <w:rPr>
          <w:rFonts w:ascii="Century Gothic" w:eastAsia="Times New Roman" w:hAnsi="Century Gothic"/>
        </w:rPr>
      </w:pPr>
      <w:r w:rsidRPr="414ED316">
        <w:rPr>
          <w:rFonts w:ascii="Century Gothic" w:eastAsia="Times New Roman" w:hAnsi="Century Gothic"/>
        </w:rPr>
        <w:t xml:space="preserve">  ECC/HANH will </w:t>
      </w:r>
      <w:r w:rsidR="1BE9854D" w:rsidRPr="414ED316">
        <w:rPr>
          <w:rFonts w:ascii="Century Gothic" w:eastAsia="Times New Roman" w:hAnsi="Century Gothic"/>
        </w:rPr>
        <w:t>continue to provide supportiv</w:t>
      </w:r>
      <w:r w:rsidR="38EE4B52" w:rsidRPr="414ED316">
        <w:rPr>
          <w:rFonts w:ascii="Century Gothic" w:eastAsia="Times New Roman" w:hAnsi="Century Gothic"/>
        </w:rPr>
        <w:t>e services.</w:t>
      </w:r>
    </w:p>
    <w:p w14:paraId="5DF8B93D" w14:textId="65FF0CA7" w:rsidR="414ED316" w:rsidRDefault="414ED316" w:rsidP="414ED316">
      <w:pPr>
        <w:spacing w:line="276" w:lineRule="auto"/>
        <w:rPr>
          <w:rFonts w:ascii="Century Gothic" w:eastAsia="Times New Roman" w:hAnsi="Century Gothic"/>
        </w:rPr>
      </w:pPr>
    </w:p>
    <w:p w14:paraId="0D779591" w14:textId="5292B552" w:rsidR="00034C9C" w:rsidRPr="003B20B0" w:rsidRDefault="002C42E9" w:rsidP="00034C9C">
      <w:pPr>
        <w:spacing w:line="276" w:lineRule="auto"/>
        <w:rPr>
          <w:rFonts w:ascii="Century Gothic" w:eastAsia="Times New Roman" w:hAnsi="Century Gothic"/>
        </w:rPr>
      </w:pPr>
      <w:r>
        <w:rPr>
          <w:rFonts w:ascii="Century Gothic" w:eastAsia="Times New Roman" w:hAnsi="Century Gothic"/>
        </w:rPr>
        <w:t xml:space="preserve">The average household income for </w:t>
      </w:r>
      <w:proofErr w:type="gramStart"/>
      <w:r>
        <w:rPr>
          <w:rFonts w:ascii="Century Gothic" w:eastAsia="Times New Roman" w:hAnsi="Century Gothic"/>
        </w:rPr>
        <w:t xml:space="preserve">the </w:t>
      </w:r>
      <w:r w:rsidR="00DD00F7">
        <w:rPr>
          <w:rFonts w:ascii="Century Gothic" w:eastAsia="Times New Roman" w:hAnsi="Century Gothic"/>
        </w:rPr>
        <w:t>39</w:t>
      </w:r>
      <w:proofErr w:type="gramEnd"/>
      <w:r w:rsidR="00DD00F7" w:rsidRPr="4EB6BE86">
        <w:rPr>
          <w:rFonts w:ascii="Century Gothic" w:eastAsia="Times New Roman" w:hAnsi="Century Gothic"/>
        </w:rPr>
        <w:t xml:space="preserve"> </w:t>
      </w:r>
      <w:r w:rsidR="002B0C27" w:rsidRPr="4EB6BE86">
        <w:rPr>
          <w:rFonts w:ascii="Century Gothic" w:eastAsia="Times New Roman" w:hAnsi="Century Gothic"/>
        </w:rPr>
        <w:t>households</w:t>
      </w:r>
      <w:r w:rsidR="00034C9C" w:rsidRPr="4EB6BE86">
        <w:rPr>
          <w:rFonts w:ascii="Century Gothic" w:eastAsia="Times New Roman" w:hAnsi="Century Gothic"/>
        </w:rPr>
        <w:t xml:space="preserve"> is $</w:t>
      </w:r>
      <w:r>
        <w:rPr>
          <w:rFonts w:ascii="Century Gothic" w:eastAsia="Times New Roman" w:hAnsi="Century Gothic"/>
        </w:rPr>
        <w:t>83,002</w:t>
      </w:r>
      <w:r w:rsidR="00034C9C" w:rsidRPr="4EB6BE86">
        <w:rPr>
          <w:rFonts w:ascii="Century Gothic" w:eastAsia="Times New Roman" w:hAnsi="Century Gothic"/>
        </w:rPr>
        <w:t xml:space="preserve">.  </w:t>
      </w:r>
    </w:p>
    <w:p w14:paraId="3FB19A9E" w14:textId="4BC6A366" w:rsidR="00034C9C" w:rsidRPr="003B20B0" w:rsidRDefault="00034C9C" w:rsidP="00034C9C">
      <w:pPr>
        <w:spacing w:line="276" w:lineRule="auto"/>
        <w:rPr>
          <w:rFonts w:ascii="Century Gothic" w:eastAsia="Times New Roman" w:hAnsi="Century Gothic"/>
        </w:rPr>
      </w:pPr>
    </w:p>
    <w:p w14:paraId="276395FF" w14:textId="099F0823" w:rsidR="00034C9C" w:rsidRPr="00A97315" w:rsidRDefault="00034C9C" w:rsidP="00034C9C">
      <w:pPr>
        <w:spacing w:line="276" w:lineRule="auto"/>
        <w:rPr>
          <w:rFonts w:ascii="Century Gothic" w:eastAsia="Times New Roman" w:hAnsi="Century Gothic"/>
        </w:rPr>
      </w:pPr>
    </w:p>
    <w:p w14:paraId="327E1CCC" w14:textId="5A8C967D" w:rsidR="00034C9C" w:rsidRPr="00A97315" w:rsidRDefault="00034C9C" w:rsidP="00034C9C">
      <w:pPr>
        <w:spacing w:line="276" w:lineRule="auto"/>
        <w:rPr>
          <w:rFonts w:ascii="Century Gothic" w:eastAsia="Times New Roman" w:hAnsi="Century Gothic"/>
        </w:rPr>
      </w:pPr>
      <w:r w:rsidRPr="4EB6BE86">
        <w:rPr>
          <w:rFonts w:ascii="Century Gothic" w:eastAsia="Times New Roman" w:hAnsi="Century Gothic"/>
        </w:rPr>
        <w:t xml:space="preserve">It is important to counsel the families about the impact of incomes for each family member, because if a family member leaves the household can be a great financial burden on the HOH. </w:t>
      </w:r>
    </w:p>
    <w:p w14:paraId="0D8C4DD8" w14:textId="4ADA929F" w:rsidR="00034C9C" w:rsidRPr="00A97315" w:rsidRDefault="00034C9C" w:rsidP="00034C9C">
      <w:pPr>
        <w:spacing w:line="276" w:lineRule="auto"/>
        <w:rPr>
          <w:rFonts w:ascii="Century Gothic" w:eastAsia="Times New Roman" w:hAnsi="Century Gothic"/>
        </w:rPr>
      </w:pPr>
      <w:r w:rsidRPr="4EB6BE86">
        <w:rPr>
          <w:rFonts w:ascii="Century Gothic" w:eastAsia="Times New Roman" w:hAnsi="Century Gothic"/>
        </w:rPr>
        <w:t xml:space="preserve">CED will continue </w:t>
      </w:r>
      <w:r w:rsidR="002B0C27" w:rsidRPr="4EB6BE86">
        <w:rPr>
          <w:rFonts w:ascii="Century Gothic" w:eastAsia="Times New Roman" w:hAnsi="Century Gothic"/>
        </w:rPr>
        <w:t>to work</w:t>
      </w:r>
      <w:r w:rsidRPr="4EB6BE86">
        <w:rPr>
          <w:rFonts w:ascii="Century Gothic" w:eastAsia="Times New Roman" w:hAnsi="Century Gothic"/>
        </w:rPr>
        <w:t xml:space="preserve"> with the qualified families to reach their goals towards self-sufficiency. </w:t>
      </w:r>
    </w:p>
    <w:p w14:paraId="5A930B05" w14:textId="2A5A42B6" w:rsidR="00034C9C" w:rsidRPr="00A97315" w:rsidRDefault="00034C9C" w:rsidP="00034C9C">
      <w:pPr>
        <w:rPr>
          <w:rStyle w:val="SubtleEmphasis"/>
          <w:rFonts w:ascii="Century Gothic" w:eastAsiaTheme="majorEastAsia" w:hAnsi="Century Gothic"/>
          <w:b/>
          <w:bCs/>
          <w:color w:val="808080" w:themeColor="background1" w:themeShade="80"/>
          <w:sz w:val="22"/>
          <w:szCs w:val="22"/>
        </w:rPr>
      </w:pPr>
    </w:p>
    <w:p w14:paraId="561A9775" w14:textId="3824DEFE" w:rsidR="00034C9C" w:rsidRPr="00A97315" w:rsidRDefault="00D77855" w:rsidP="00034C9C">
      <w:pPr>
        <w:rPr>
          <w:rStyle w:val="SubtleEmphasis"/>
          <w:rFonts w:ascii="Century Gothic" w:eastAsiaTheme="majorEastAsia" w:hAnsi="Century Gothic"/>
          <w:b/>
          <w:bCs/>
          <w:color w:val="808080" w:themeColor="background1" w:themeShade="80"/>
          <w:sz w:val="22"/>
          <w:szCs w:val="22"/>
        </w:rPr>
      </w:pPr>
      <w:r>
        <w:rPr>
          <w:rStyle w:val="SubtleEmphasis"/>
          <w:rFonts w:ascii="Century Gothic" w:eastAsiaTheme="majorEastAsia" w:hAnsi="Century Gothic"/>
          <w:b/>
          <w:bCs/>
          <w:color w:val="808080" w:themeColor="background1" w:themeShade="80"/>
          <w:sz w:val="22"/>
          <w:szCs w:val="22"/>
        </w:rPr>
        <w:t xml:space="preserve">Internal </w:t>
      </w:r>
      <w:r w:rsidR="00034C9C" w:rsidRPr="00A97315">
        <w:rPr>
          <w:rStyle w:val="SubtleEmphasis"/>
          <w:rFonts w:ascii="Century Gothic" w:eastAsiaTheme="majorEastAsia" w:hAnsi="Century Gothic"/>
          <w:b/>
          <w:bCs/>
          <w:color w:val="808080" w:themeColor="background1" w:themeShade="80"/>
          <w:sz w:val="22"/>
          <w:szCs w:val="22"/>
        </w:rPr>
        <w:t xml:space="preserve">Metrics </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28"/>
        <w:gridCol w:w="990"/>
        <w:gridCol w:w="1080"/>
        <w:gridCol w:w="810"/>
        <w:gridCol w:w="1350"/>
        <w:gridCol w:w="540"/>
        <w:gridCol w:w="1530"/>
        <w:gridCol w:w="360"/>
        <w:gridCol w:w="1800"/>
      </w:tblGrid>
      <w:tr w:rsidR="00034C9C" w:rsidRPr="00A97315" w14:paraId="5C5BD287" w14:textId="77777777" w:rsidTr="414ED316">
        <w:tc>
          <w:tcPr>
            <w:tcW w:w="10188" w:type="dxa"/>
            <w:gridSpan w:val="9"/>
            <w:tcBorders>
              <w:bottom w:val="single" w:sz="18" w:space="0" w:color="auto"/>
            </w:tcBorders>
          </w:tcPr>
          <w:p w14:paraId="553138C5" w14:textId="77777777" w:rsidR="00034C9C" w:rsidRPr="00A97315" w:rsidRDefault="00034C9C">
            <w:pPr>
              <w:jc w:val="center"/>
              <w:rPr>
                <w:rFonts w:ascii="Century Gothic" w:hAnsi="Century Gothic"/>
                <w:b/>
                <w:bCs/>
                <w:i/>
                <w:iCs/>
                <w:szCs w:val="22"/>
              </w:rPr>
            </w:pPr>
            <w:r w:rsidRPr="00A97315">
              <w:rPr>
                <w:rFonts w:ascii="Century Gothic" w:hAnsi="Century Gothic"/>
                <w:b/>
                <w:bCs/>
                <w:i/>
                <w:iCs/>
                <w:szCs w:val="22"/>
              </w:rPr>
              <w:t>SS #5: Households Assisted by Services that Increase Self Sufficiency</w:t>
            </w:r>
          </w:p>
        </w:tc>
      </w:tr>
      <w:tr w:rsidR="00034C9C" w:rsidRPr="00A97315" w14:paraId="6A2F092F" w14:textId="77777777" w:rsidTr="414ED316">
        <w:tc>
          <w:tcPr>
            <w:tcW w:w="1728" w:type="dxa"/>
            <w:vAlign w:val="center"/>
          </w:tcPr>
          <w:p w14:paraId="49A873A3"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Unit of Measurement</w:t>
            </w:r>
          </w:p>
        </w:tc>
        <w:tc>
          <w:tcPr>
            <w:tcW w:w="2070" w:type="dxa"/>
            <w:gridSpan w:val="2"/>
            <w:vAlign w:val="center"/>
          </w:tcPr>
          <w:p w14:paraId="5E6911F3"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Baseline</w:t>
            </w:r>
          </w:p>
        </w:tc>
        <w:tc>
          <w:tcPr>
            <w:tcW w:w="2160" w:type="dxa"/>
            <w:gridSpan w:val="2"/>
            <w:vAlign w:val="center"/>
          </w:tcPr>
          <w:p w14:paraId="7FE27A07"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Benchmark</w:t>
            </w:r>
          </w:p>
        </w:tc>
        <w:tc>
          <w:tcPr>
            <w:tcW w:w="2070" w:type="dxa"/>
            <w:gridSpan w:val="2"/>
            <w:vAlign w:val="center"/>
          </w:tcPr>
          <w:p w14:paraId="2E706E2F"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Outcome</w:t>
            </w:r>
          </w:p>
        </w:tc>
        <w:tc>
          <w:tcPr>
            <w:tcW w:w="2160" w:type="dxa"/>
            <w:gridSpan w:val="2"/>
            <w:vAlign w:val="center"/>
          </w:tcPr>
          <w:p w14:paraId="2A3FBC7E"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Benchmark Achieved?</w:t>
            </w:r>
          </w:p>
        </w:tc>
      </w:tr>
      <w:tr w:rsidR="00034C9C" w:rsidRPr="00A97315" w14:paraId="0595BE5D" w14:textId="77777777" w:rsidTr="414ED316">
        <w:trPr>
          <w:trHeight w:val="1593"/>
        </w:trPr>
        <w:tc>
          <w:tcPr>
            <w:tcW w:w="1728" w:type="dxa"/>
          </w:tcPr>
          <w:p w14:paraId="298040FE" w14:textId="77777777" w:rsidR="00034C9C" w:rsidRPr="00A97315" w:rsidRDefault="00034C9C">
            <w:pPr>
              <w:rPr>
                <w:rFonts w:ascii="Century Gothic" w:hAnsi="Century Gothic"/>
                <w:szCs w:val="22"/>
              </w:rPr>
            </w:pPr>
            <w:r w:rsidRPr="00A97315">
              <w:rPr>
                <w:rFonts w:ascii="Century Gothic" w:hAnsi="Century Gothic"/>
                <w:szCs w:val="22"/>
              </w:rPr>
              <w:t>Number of households receiving services aimed to increase self-sufficiency (increase). Total number of households receiving services under the jumpstart program per FY.</w:t>
            </w:r>
          </w:p>
        </w:tc>
        <w:tc>
          <w:tcPr>
            <w:tcW w:w="2070" w:type="dxa"/>
            <w:gridSpan w:val="2"/>
          </w:tcPr>
          <w:p w14:paraId="384A1FD9" w14:textId="77777777" w:rsidR="00034C9C" w:rsidRPr="00A97315" w:rsidRDefault="00034C9C">
            <w:pPr>
              <w:rPr>
                <w:rFonts w:ascii="Century Gothic" w:hAnsi="Century Gothic"/>
                <w:szCs w:val="22"/>
              </w:rPr>
            </w:pPr>
            <w:r w:rsidRPr="00A97315">
              <w:rPr>
                <w:rFonts w:ascii="Century Gothic" w:hAnsi="Century Gothic"/>
                <w:szCs w:val="22"/>
              </w:rPr>
              <w:t xml:space="preserve">At baseline 0 of the 180 income eligible families </w:t>
            </w:r>
          </w:p>
        </w:tc>
        <w:tc>
          <w:tcPr>
            <w:tcW w:w="2160" w:type="dxa"/>
            <w:gridSpan w:val="2"/>
          </w:tcPr>
          <w:p w14:paraId="0EB49DEE" w14:textId="77777777" w:rsidR="00034C9C" w:rsidRPr="00A97315" w:rsidRDefault="00034C9C">
            <w:pPr>
              <w:rPr>
                <w:rFonts w:ascii="Century Gothic" w:hAnsi="Century Gothic"/>
                <w:szCs w:val="22"/>
              </w:rPr>
            </w:pPr>
            <w:r w:rsidRPr="00A97315">
              <w:rPr>
                <w:rFonts w:ascii="Century Gothic" w:hAnsi="Century Gothic"/>
                <w:szCs w:val="22"/>
              </w:rPr>
              <w:t>2021: 45 or 25% of the total number of families with income at or above the 80% AMI.</w:t>
            </w:r>
          </w:p>
          <w:p w14:paraId="421B5B9F" w14:textId="77777777" w:rsidR="00034C9C" w:rsidRPr="00A97315" w:rsidRDefault="00034C9C">
            <w:pPr>
              <w:rPr>
                <w:rFonts w:ascii="Century Gothic" w:eastAsia="MS PGothic" w:hAnsi="Century Gothic"/>
                <w:szCs w:val="22"/>
              </w:rPr>
            </w:pPr>
          </w:p>
        </w:tc>
        <w:tc>
          <w:tcPr>
            <w:tcW w:w="2070" w:type="dxa"/>
            <w:gridSpan w:val="2"/>
          </w:tcPr>
          <w:p w14:paraId="2E96CA64" w14:textId="7E2508FB" w:rsidR="00034C9C" w:rsidRDefault="00034C9C" w:rsidP="414ED316">
            <w:pPr>
              <w:rPr>
                <w:rFonts w:ascii="Century Gothic" w:hAnsi="Century Gothic"/>
              </w:rPr>
            </w:pPr>
            <w:r w:rsidRPr="414ED316">
              <w:rPr>
                <w:rFonts w:ascii="Century Gothic" w:hAnsi="Century Gothic"/>
              </w:rPr>
              <w:t xml:space="preserve">2024: </w:t>
            </w:r>
            <w:r w:rsidR="0001069B">
              <w:rPr>
                <w:rFonts w:ascii="Century Gothic" w:hAnsi="Century Gothic"/>
              </w:rPr>
              <w:t>39</w:t>
            </w:r>
            <w:r w:rsidR="0001069B" w:rsidRPr="414ED316">
              <w:rPr>
                <w:rFonts w:ascii="Century Gothic" w:hAnsi="Century Gothic"/>
              </w:rPr>
              <w:t xml:space="preserve"> </w:t>
            </w:r>
          </w:p>
          <w:p w14:paraId="2F10186C" w14:textId="77777777" w:rsidR="00F92B54" w:rsidRPr="00A97315" w:rsidRDefault="00F92B54">
            <w:pPr>
              <w:rPr>
                <w:rFonts w:ascii="Century Gothic" w:hAnsi="Century Gothic"/>
                <w:szCs w:val="22"/>
              </w:rPr>
            </w:pPr>
          </w:p>
          <w:p w14:paraId="69DF19D2" w14:textId="77777777" w:rsidR="00034C9C" w:rsidRPr="00A97315" w:rsidRDefault="00034C9C">
            <w:pPr>
              <w:rPr>
                <w:rFonts w:ascii="Century Gothic" w:hAnsi="Century Gothic"/>
                <w:szCs w:val="22"/>
              </w:rPr>
            </w:pPr>
            <w:r w:rsidRPr="00A97315">
              <w:rPr>
                <w:rFonts w:ascii="Century Gothic" w:hAnsi="Century Gothic"/>
                <w:szCs w:val="22"/>
              </w:rPr>
              <w:t>2023: 17 of 45 or   38%</w:t>
            </w:r>
          </w:p>
          <w:p w14:paraId="2EEE6FAC" w14:textId="77777777" w:rsidR="00034C9C" w:rsidRPr="00A97315" w:rsidRDefault="00034C9C">
            <w:pPr>
              <w:rPr>
                <w:rFonts w:ascii="Century Gothic" w:hAnsi="Century Gothic"/>
                <w:szCs w:val="22"/>
              </w:rPr>
            </w:pPr>
            <w:r w:rsidRPr="00A97315">
              <w:rPr>
                <w:rFonts w:ascii="Century Gothic" w:hAnsi="Century Gothic"/>
                <w:szCs w:val="22"/>
              </w:rPr>
              <w:t xml:space="preserve">2022: 9:33 </w:t>
            </w:r>
          </w:p>
          <w:p w14:paraId="0C3EDFEC" w14:textId="77777777" w:rsidR="00034C9C" w:rsidRPr="00A97315" w:rsidRDefault="00034C9C">
            <w:pPr>
              <w:rPr>
                <w:rFonts w:ascii="Century Gothic" w:eastAsia="MS PGothic" w:hAnsi="Century Gothic"/>
                <w:szCs w:val="22"/>
              </w:rPr>
            </w:pPr>
            <w:r w:rsidRPr="00A97315">
              <w:rPr>
                <w:rFonts w:ascii="Century Gothic" w:hAnsi="Century Gothic"/>
                <w:szCs w:val="22"/>
              </w:rPr>
              <w:t>2021: 45</w:t>
            </w:r>
          </w:p>
        </w:tc>
        <w:tc>
          <w:tcPr>
            <w:tcW w:w="2160" w:type="dxa"/>
            <w:gridSpan w:val="2"/>
          </w:tcPr>
          <w:p w14:paraId="63210A51" w14:textId="77777777" w:rsidR="00034C9C" w:rsidRPr="00A97315" w:rsidRDefault="00034C9C">
            <w:pPr>
              <w:rPr>
                <w:rFonts w:ascii="Century Gothic" w:hAnsi="Century Gothic"/>
                <w:szCs w:val="22"/>
              </w:rPr>
            </w:pPr>
            <w:r w:rsidRPr="00A97315">
              <w:rPr>
                <w:rFonts w:ascii="Century Gothic" w:hAnsi="Century Gothic"/>
                <w:szCs w:val="22"/>
              </w:rPr>
              <w:t>Yes</w:t>
            </w:r>
          </w:p>
        </w:tc>
      </w:tr>
      <w:tr w:rsidR="00034C9C" w:rsidRPr="00A97315" w14:paraId="1AC575E4" w14:textId="77777777" w:rsidTr="414ED316">
        <w:tc>
          <w:tcPr>
            <w:tcW w:w="10188" w:type="dxa"/>
            <w:gridSpan w:val="9"/>
            <w:tcBorders>
              <w:bottom w:val="single" w:sz="18" w:space="0" w:color="auto"/>
            </w:tcBorders>
          </w:tcPr>
          <w:p w14:paraId="5CB4AFB4" w14:textId="77777777" w:rsidR="00034C9C" w:rsidRPr="00A97315" w:rsidRDefault="00034C9C">
            <w:pPr>
              <w:jc w:val="center"/>
              <w:rPr>
                <w:rFonts w:ascii="Century Gothic" w:hAnsi="Century Gothic"/>
                <w:b/>
                <w:bCs/>
                <w:i/>
                <w:iCs/>
                <w:szCs w:val="22"/>
              </w:rPr>
            </w:pPr>
            <w:r w:rsidRPr="00A97315">
              <w:rPr>
                <w:rFonts w:ascii="Century Gothic" w:hAnsi="Century Gothic"/>
                <w:b/>
                <w:bCs/>
                <w:i/>
                <w:iCs/>
                <w:szCs w:val="22"/>
              </w:rPr>
              <w:t>SS #8: Households Transitioned to Self Sufficiency</w:t>
            </w:r>
          </w:p>
        </w:tc>
      </w:tr>
      <w:tr w:rsidR="00034C9C" w:rsidRPr="00A97315" w14:paraId="48C1D44A" w14:textId="77777777" w:rsidTr="414ED316">
        <w:tc>
          <w:tcPr>
            <w:tcW w:w="2718" w:type="dxa"/>
            <w:gridSpan w:val="2"/>
            <w:vAlign w:val="center"/>
          </w:tcPr>
          <w:p w14:paraId="24487C14"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Unit of Measurement</w:t>
            </w:r>
          </w:p>
        </w:tc>
        <w:tc>
          <w:tcPr>
            <w:tcW w:w="1890" w:type="dxa"/>
            <w:gridSpan w:val="2"/>
            <w:vAlign w:val="center"/>
          </w:tcPr>
          <w:p w14:paraId="0BCCD35A"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Baseline</w:t>
            </w:r>
          </w:p>
        </w:tc>
        <w:tc>
          <w:tcPr>
            <w:tcW w:w="1890" w:type="dxa"/>
            <w:gridSpan w:val="2"/>
            <w:vAlign w:val="center"/>
          </w:tcPr>
          <w:p w14:paraId="4BD4CD21"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Benchmark</w:t>
            </w:r>
          </w:p>
        </w:tc>
        <w:tc>
          <w:tcPr>
            <w:tcW w:w="1890" w:type="dxa"/>
            <w:gridSpan w:val="2"/>
            <w:vAlign w:val="center"/>
          </w:tcPr>
          <w:p w14:paraId="3DCE55FD"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Outcome</w:t>
            </w:r>
          </w:p>
        </w:tc>
        <w:tc>
          <w:tcPr>
            <w:tcW w:w="1800" w:type="dxa"/>
            <w:vAlign w:val="center"/>
          </w:tcPr>
          <w:p w14:paraId="2FC58D13"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Benchmark Achieved?</w:t>
            </w:r>
          </w:p>
        </w:tc>
      </w:tr>
      <w:tr w:rsidR="00034C9C" w:rsidRPr="00A97315" w14:paraId="34C708A9" w14:textId="77777777" w:rsidTr="414ED316">
        <w:tc>
          <w:tcPr>
            <w:tcW w:w="2718" w:type="dxa"/>
            <w:gridSpan w:val="2"/>
          </w:tcPr>
          <w:p w14:paraId="4EF9F22C" w14:textId="77777777" w:rsidR="00034C9C" w:rsidRPr="00A97315" w:rsidRDefault="00034C9C">
            <w:pPr>
              <w:rPr>
                <w:rFonts w:ascii="Century Gothic" w:hAnsi="Century Gothic"/>
                <w:szCs w:val="22"/>
              </w:rPr>
            </w:pPr>
            <w:r w:rsidRPr="00A97315">
              <w:rPr>
                <w:rFonts w:ascii="Century Gothic" w:hAnsi="Century Gothic"/>
                <w:szCs w:val="22"/>
              </w:rPr>
              <w:t xml:space="preserve">Number of Families who transitioned to self-sufficiency (graduated from the program). </w:t>
            </w:r>
          </w:p>
          <w:p w14:paraId="65CC7346" w14:textId="77777777" w:rsidR="00034C9C" w:rsidRPr="00A97315" w:rsidRDefault="00034C9C">
            <w:pPr>
              <w:rPr>
                <w:rFonts w:ascii="Century Gothic" w:hAnsi="Century Gothic"/>
                <w:szCs w:val="22"/>
              </w:rPr>
            </w:pPr>
            <w:r w:rsidRPr="00A97315">
              <w:rPr>
                <w:rFonts w:ascii="Century Gothic" w:hAnsi="Century Gothic"/>
                <w:szCs w:val="22"/>
              </w:rPr>
              <w:t xml:space="preserve">This includes families who transitioned to a market rate unit in the community or purchased a home without subsidized assistance. </w:t>
            </w:r>
          </w:p>
        </w:tc>
        <w:tc>
          <w:tcPr>
            <w:tcW w:w="1890" w:type="dxa"/>
            <w:gridSpan w:val="2"/>
          </w:tcPr>
          <w:p w14:paraId="6F6F36D8" w14:textId="77777777" w:rsidR="00034C9C" w:rsidRPr="00A97315" w:rsidRDefault="00034C9C">
            <w:pPr>
              <w:rPr>
                <w:rFonts w:ascii="Century Gothic" w:eastAsia="MS PGothic" w:hAnsi="Century Gothic"/>
                <w:color w:val="000000" w:themeColor="text1"/>
                <w:szCs w:val="22"/>
              </w:rPr>
            </w:pPr>
            <w:r w:rsidRPr="00A97315">
              <w:rPr>
                <w:rFonts w:ascii="Century Gothic" w:eastAsia="Calibri" w:hAnsi="Century Gothic"/>
                <w:color w:val="000000" w:themeColor="text1"/>
                <w:szCs w:val="22"/>
              </w:rPr>
              <w:t>At baseline 0 of the 180 income eligible families</w:t>
            </w:r>
          </w:p>
        </w:tc>
        <w:tc>
          <w:tcPr>
            <w:tcW w:w="1890" w:type="dxa"/>
            <w:gridSpan w:val="2"/>
          </w:tcPr>
          <w:p w14:paraId="1897E452" w14:textId="7B82957E" w:rsidR="00034C9C" w:rsidRPr="00A97315" w:rsidRDefault="00034C9C">
            <w:pPr>
              <w:rPr>
                <w:rFonts w:ascii="Century Gothic" w:eastAsia="MS PGothic" w:hAnsi="Century Gothic"/>
                <w:szCs w:val="22"/>
              </w:rPr>
            </w:pPr>
            <w:r w:rsidRPr="00A97315">
              <w:rPr>
                <w:rFonts w:ascii="Century Gothic" w:hAnsi="Century Gothic"/>
                <w:szCs w:val="22"/>
              </w:rPr>
              <w:t xml:space="preserve">2021: 45 or 25% of the total number of families with income at or above </w:t>
            </w:r>
            <w:r w:rsidR="002B0C27" w:rsidRPr="00A97315">
              <w:rPr>
                <w:rFonts w:ascii="Century Gothic" w:hAnsi="Century Gothic"/>
                <w:szCs w:val="22"/>
              </w:rPr>
              <w:t>80</w:t>
            </w:r>
            <w:r w:rsidRPr="00A97315">
              <w:rPr>
                <w:rFonts w:ascii="Century Gothic" w:hAnsi="Century Gothic"/>
                <w:szCs w:val="22"/>
              </w:rPr>
              <w:t>% AMI.</w:t>
            </w:r>
          </w:p>
        </w:tc>
        <w:tc>
          <w:tcPr>
            <w:tcW w:w="1890" w:type="dxa"/>
            <w:gridSpan w:val="2"/>
          </w:tcPr>
          <w:p w14:paraId="161EEE57" w14:textId="25492302" w:rsidR="00034C9C" w:rsidRPr="00A97315" w:rsidRDefault="00034C9C">
            <w:pPr>
              <w:rPr>
                <w:rFonts w:ascii="Century Gothic" w:hAnsi="Century Gothic"/>
                <w:szCs w:val="22"/>
              </w:rPr>
            </w:pPr>
            <w:r w:rsidRPr="00A97315">
              <w:rPr>
                <w:rFonts w:ascii="Century Gothic" w:hAnsi="Century Gothic"/>
                <w:szCs w:val="22"/>
              </w:rPr>
              <w:t>2024: 0</w:t>
            </w:r>
            <w:r w:rsidR="00F024A9">
              <w:rPr>
                <w:rFonts w:ascii="Century Gothic" w:hAnsi="Century Gothic"/>
                <w:szCs w:val="22"/>
              </w:rPr>
              <w:t>%</w:t>
            </w:r>
          </w:p>
          <w:p w14:paraId="3BAA3D32" w14:textId="0B468245" w:rsidR="00034C9C" w:rsidRPr="00A97315" w:rsidRDefault="00034C9C">
            <w:pPr>
              <w:rPr>
                <w:rFonts w:ascii="Century Gothic" w:hAnsi="Century Gothic"/>
                <w:szCs w:val="22"/>
              </w:rPr>
            </w:pPr>
            <w:r w:rsidRPr="00A97315">
              <w:rPr>
                <w:rFonts w:ascii="Century Gothic" w:hAnsi="Century Gothic"/>
                <w:szCs w:val="22"/>
              </w:rPr>
              <w:t>2023: 0 %</w:t>
            </w:r>
          </w:p>
          <w:p w14:paraId="0CFA8CD8" w14:textId="19A8E6F4" w:rsidR="00034C9C" w:rsidRPr="00A97315" w:rsidRDefault="00034C9C">
            <w:pPr>
              <w:rPr>
                <w:rFonts w:ascii="Century Gothic" w:hAnsi="Century Gothic"/>
                <w:szCs w:val="22"/>
              </w:rPr>
            </w:pPr>
            <w:r w:rsidRPr="00A97315">
              <w:rPr>
                <w:rFonts w:ascii="Century Gothic" w:hAnsi="Century Gothic"/>
                <w:szCs w:val="22"/>
              </w:rPr>
              <w:t>2022:0</w:t>
            </w:r>
            <w:r w:rsidR="00F024A9">
              <w:rPr>
                <w:rFonts w:ascii="Century Gothic" w:hAnsi="Century Gothic"/>
                <w:szCs w:val="22"/>
              </w:rPr>
              <w:t>%</w:t>
            </w:r>
          </w:p>
          <w:p w14:paraId="02FA009B" w14:textId="18368171" w:rsidR="00034C9C" w:rsidRPr="00A97315" w:rsidRDefault="00034C9C">
            <w:pPr>
              <w:rPr>
                <w:rFonts w:ascii="Century Gothic" w:hAnsi="Century Gothic"/>
                <w:szCs w:val="22"/>
              </w:rPr>
            </w:pPr>
            <w:r w:rsidRPr="00A97315">
              <w:rPr>
                <w:rFonts w:ascii="Century Gothic" w:hAnsi="Century Gothic"/>
                <w:szCs w:val="22"/>
              </w:rPr>
              <w:t>2021: 0</w:t>
            </w:r>
            <w:r w:rsidR="00F024A9">
              <w:rPr>
                <w:rFonts w:ascii="Century Gothic" w:hAnsi="Century Gothic"/>
                <w:szCs w:val="22"/>
              </w:rPr>
              <w:t>%</w:t>
            </w:r>
          </w:p>
        </w:tc>
        <w:tc>
          <w:tcPr>
            <w:tcW w:w="1800" w:type="dxa"/>
          </w:tcPr>
          <w:p w14:paraId="4BF5EE62" w14:textId="77777777" w:rsidR="00034C9C" w:rsidRPr="00A97315" w:rsidRDefault="00034C9C">
            <w:pPr>
              <w:rPr>
                <w:rFonts w:ascii="Century Gothic" w:hAnsi="Century Gothic"/>
                <w:szCs w:val="22"/>
              </w:rPr>
            </w:pPr>
            <w:r w:rsidRPr="00A97315">
              <w:rPr>
                <w:rFonts w:ascii="Century Gothic" w:hAnsi="Century Gothic"/>
                <w:szCs w:val="22"/>
              </w:rPr>
              <w:t>No</w:t>
            </w:r>
          </w:p>
        </w:tc>
      </w:tr>
      <w:tr w:rsidR="00034C9C" w:rsidRPr="00A97315" w14:paraId="7A3FE271" w14:textId="77777777" w:rsidTr="414ED316">
        <w:tc>
          <w:tcPr>
            <w:tcW w:w="10188" w:type="dxa"/>
            <w:gridSpan w:val="9"/>
            <w:tcBorders>
              <w:bottom w:val="single" w:sz="18" w:space="0" w:color="auto"/>
            </w:tcBorders>
          </w:tcPr>
          <w:p w14:paraId="52A40AD1" w14:textId="77777777" w:rsidR="00034C9C" w:rsidRPr="00A97315" w:rsidRDefault="00034C9C">
            <w:pPr>
              <w:jc w:val="center"/>
              <w:rPr>
                <w:rFonts w:ascii="Century Gothic" w:hAnsi="Century Gothic"/>
                <w:b/>
                <w:bCs/>
                <w:i/>
                <w:iCs/>
                <w:szCs w:val="22"/>
              </w:rPr>
            </w:pPr>
            <w:r w:rsidRPr="00A97315">
              <w:rPr>
                <w:rFonts w:ascii="Century Gothic" w:hAnsi="Century Gothic"/>
                <w:b/>
                <w:bCs/>
                <w:i/>
                <w:iCs/>
                <w:szCs w:val="22"/>
              </w:rPr>
              <w:t>HC #1: Additional Units of Housing Made Available</w:t>
            </w:r>
          </w:p>
        </w:tc>
      </w:tr>
      <w:tr w:rsidR="00034C9C" w:rsidRPr="00A97315" w14:paraId="4CFE89F5" w14:textId="77777777" w:rsidTr="414ED316">
        <w:tc>
          <w:tcPr>
            <w:tcW w:w="2718" w:type="dxa"/>
            <w:gridSpan w:val="2"/>
            <w:vAlign w:val="center"/>
          </w:tcPr>
          <w:p w14:paraId="7FDF062D"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Unit of Measurement</w:t>
            </w:r>
          </w:p>
        </w:tc>
        <w:tc>
          <w:tcPr>
            <w:tcW w:w="1890" w:type="dxa"/>
            <w:gridSpan w:val="2"/>
            <w:vAlign w:val="center"/>
          </w:tcPr>
          <w:p w14:paraId="29FCF9BD"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Baseline</w:t>
            </w:r>
          </w:p>
        </w:tc>
        <w:tc>
          <w:tcPr>
            <w:tcW w:w="1890" w:type="dxa"/>
            <w:gridSpan w:val="2"/>
            <w:vAlign w:val="center"/>
          </w:tcPr>
          <w:p w14:paraId="69059835"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Benchmark</w:t>
            </w:r>
          </w:p>
        </w:tc>
        <w:tc>
          <w:tcPr>
            <w:tcW w:w="1890" w:type="dxa"/>
            <w:gridSpan w:val="2"/>
            <w:vAlign w:val="center"/>
          </w:tcPr>
          <w:p w14:paraId="16AD0D36"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Outcome</w:t>
            </w:r>
          </w:p>
        </w:tc>
        <w:tc>
          <w:tcPr>
            <w:tcW w:w="1800" w:type="dxa"/>
            <w:vAlign w:val="center"/>
          </w:tcPr>
          <w:p w14:paraId="07E08FEF" w14:textId="77777777" w:rsidR="00034C9C" w:rsidRPr="00A97315" w:rsidRDefault="00034C9C">
            <w:pPr>
              <w:jc w:val="center"/>
              <w:rPr>
                <w:rFonts w:ascii="Century Gothic" w:hAnsi="Century Gothic"/>
                <w:b/>
                <w:bCs/>
                <w:szCs w:val="22"/>
              </w:rPr>
            </w:pPr>
            <w:r w:rsidRPr="00A97315">
              <w:rPr>
                <w:rFonts w:ascii="Century Gothic" w:hAnsi="Century Gothic"/>
                <w:b/>
                <w:bCs/>
                <w:szCs w:val="22"/>
              </w:rPr>
              <w:t>Benchmark Achieved?</w:t>
            </w:r>
          </w:p>
        </w:tc>
      </w:tr>
      <w:tr w:rsidR="00034C9C" w:rsidRPr="00A97315" w14:paraId="4579324C" w14:textId="77777777" w:rsidTr="00117E5C">
        <w:trPr>
          <w:trHeight w:val="1480"/>
        </w:trPr>
        <w:tc>
          <w:tcPr>
            <w:tcW w:w="2718" w:type="dxa"/>
            <w:gridSpan w:val="2"/>
          </w:tcPr>
          <w:p w14:paraId="5BFF5671" w14:textId="77777777" w:rsidR="00034C9C" w:rsidRPr="00A97315" w:rsidRDefault="00034C9C">
            <w:pPr>
              <w:rPr>
                <w:rFonts w:ascii="Century Gothic" w:hAnsi="Century Gothic"/>
                <w:szCs w:val="22"/>
              </w:rPr>
            </w:pPr>
            <w:r w:rsidRPr="00A97315">
              <w:rPr>
                <w:rFonts w:ascii="Century Gothic" w:hAnsi="Century Gothic"/>
                <w:szCs w:val="22"/>
              </w:rPr>
              <w:t xml:space="preserve">Number of new housing units made available for households at or below 80% AMI </w:t>
            </w:r>
            <w:proofErr w:type="gramStart"/>
            <w:r w:rsidRPr="00A97315">
              <w:rPr>
                <w:rFonts w:ascii="Century Gothic" w:hAnsi="Century Gothic"/>
                <w:szCs w:val="22"/>
              </w:rPr>
              <w:t>as a result of</w:t>
            </w:r>
            <w:proofErr w:type="gramEnd"/>
            <w:r w:rsidRPr="00A97315">
              <w:rPr>
                <w:rFonts w:ascii="Century Gothic" w:hAnsi="Century Gothic"/>
                <w:szCs w:val="22"/>
              </w:rPr>
              <w:t xml:space="preserve"> the activity (increase). Number of units/vouchers made available </w:t>
            </w:r>
            <w:proofErr w:type="gramStart"/>
            <w:r w:rsidRPr="00A97315">
              <w:rPr>
                <w:rFonts w:ascii="Century Gothic" w:hAnsi="Century Gothic"/>
                <w:szCs w:val="22"/>
              </w:rPr>
              <w:t>as a result of</w:t>
            </w:r>
            <w:proofErr w:type="gramEnd"/>
            <w:r w:rsidRPr="00A97315">
              <w:rPr>
                <w:rFonts w:ascii="Century Gothic" w:hAnsi="Century Gothic"/>
                <w:szCs w:val="22"/>
              </w:rPr>
              <w:t xml:space="preserve"> </w:t>
            </w:r>
            <w:r w:rsidRPr="00A97315">
              <w:rPr>
                <w:rFonts w:ascii="Century Gothic" w:hAnsi="Century Gothic"/>
                <w:szCs w:val="22"/>
              </w:rPr>
              <w:lastRenderedPageBreak/>
              <w:t xml:space="preserve">families graduating </w:t>
            </w:r>
            <w:proofErr w:type="gramStart"/>
            <w:r w:rsidRPr="00A97315">
              <w:rPr>
                <w:rFonts w:ascii="Century Gothic" w:hAnsi="Century Gothic"/>
                <w:szCs w:val="22"/>
              </w:rPr>
              <w:t>to self-</w:t>
            </w:r>
            <w:proofErr w:type="gramEnd"/>
            <w:r w:rsidRPr="00A97315">
              <w:rPr>
                <w:rFonts w:ascii="Century Gothic" w:hAnsi="Century Gothic"/>
                <w:szCs w:val="22"/>
              </w:rPr>
              <w:t xml:space="preserve">self-sufficiency under the Jumpstart Initiative. </w:t>
            </w:r>
          </w:p>
        </w:tc>
        <w:tc>
          <w:tcPr>
            <w:tcW w:w="1890" w:type="dxa"/>
            <w:gridSpan w:val="2"/>
          </w:tcPr>
          <w:p w14:paraId="6DA4101B" w14:textId="77777777" w:rsidR="00034C9C" w:rsidRPr="00A97315" w:rsidRDefault="00034C9C">
            <w:pPr>
              <w:rPr>
                <w:rFonts w:ascii="Century Gothic" w:hAnsi="Century Gothic"/>
                <w:szCs w:val="22"/>
              </w:rPr>
            </w:pPr>
            <w:r w:rsidRPr="00A97315">
              <w:rPr>
                <w:rFonts w:ascii="Century Gothic" w:hAnsi="Century Gothic"/>
                <w:szCs w:val="22"/>
              </w:rPr>
              <w:lastRenderedPageBreak/>
              <w:t>2019: At Baseline we are ending participation for 250 families annually.</w:t>
            </w:r>
          </w:p>
        </w:tc>
        <w:tc>
          <w:tcPr>
            <w:tcW w:w="1890" w:type="dxa"/>
            <w:gridSpan w:val="2"/>
          </w:tcPr>
          <w:p w14:paraId="4A0ABA98" w14:textId="77777777" w:rsidR="00034C9C" w:rsidRPr="00A97315" w:rsidRDefault="00034C9C">
            <w:pPr>
              <w:rPr>
                <w:rFonts w:ascii="Century Gothic" w:hAnsi="Century Gothic"/>
                <w:szCs w:val="22"/>
              </w:rPr>
            </w:pPr>
            <w:r w:rsidRPr="00A97315">
              <w:rPr>
                <w:rFonts w:ascii="Century Gothic" w:hAnsi="Century Gothic"/>
                <w:szCs w:val="22"/>
              </w:rPr>
              <w:t xml:space="preserve">45 New Families </w:t>
            </w:r>
            <w:proofErr w:type="gramStart"/>
            <w:r w:rsidRPr="00A97315">
              <w:rPr>
                <w:rFonts w:ascii="Century Gothic" w:hAnsi="Century Gothic"/>
                <w:szCs w:val="22"/>
              </w:rPr>
              <w:t>housed</w:t>
            </w:r>
            <w:proofErr w:type="gramEnd"/>
            <w:r w:rsidRPr="00A97315">
              <w:rPr>
                <w:rFonts w:ascii="Century Gothic" w:hAnsi="Century Gothic"/>
                <w:szCs w:val="22"/>
              </w:rPr>
              <w:t xml:space="preserve"> annually </w:t>
            </w:r>
            <w:proofErr w:type="gramStart"/>
            <w:r w:rsidRPr="00A97315">
              <w:rPr>
                <w:rFonts w:ascii="Century Gothic" w:hAnsi="Century Gothic"/>
                <w:szCs w:val="22"/>
              </w:rPr>
              <w:t>as a result of</w:t>
            </w:r>
            <w:proofErr w:type="gramEnd"/>
            <w:r w:rsidRPr="00A97315">
              <w:rPr>
                <w:rFonts w:ascii="Century Gothic" w:hAnsi="Century Gothic"/>
                <w:szCs w:val="22"/>
              </w:rPr>
              <w:t xml:space="preserve"> housing made available when families in jumpstart </w:t>
            </w:r>
            <w:r w:rsidRPr="00A97315">
              <w:rPr>
                <w:rFonts w:ascii="Century Gothic" w:hAnsi="Century Gothic"/>
                <w:szCs w:val="22"/>
              </w:rPr>
              <w:lastRenderedPageBreak/>
              <w:t xml:space="preserve">transition to Self Sufficiency. </w:t>
            </w:r>
          </w:p>
        </w:tc>
        <w:tc>
          <w:tcPr>
            <w:tcW w:w="1890" w:type="dxa"/>
            <w:gridSpan w:val="2"/>
          </w:tcPr>
          <w:p w14:paraId="18A52A85" w14:textId="76997EE1" w:rsidR="00034C9C" w:rsidRPr="00A97315" w:rsidRDefault="00F024A9">
            <w:pPr>
              <w:rPr>
                <w:rFonts w:ascii="Century Gothic" w:hAnsi="Century Gothic"/>
                <w:szCs w:val="22"/>
              </w:rPr>
            </w:pPr>
            <w:r w:rsidRPr="00A97315">
              <w:rPr>
                <w:rFonts w:ascii="Century Gothic" w:hAnsi="Century Gothic"/>
                <w:szCs w:val="22"/>
              </w:rPr>
              <w:lastRenderedPageBreak/>
              <w:t>20</w:t>
            </w:r>
            <w:r>
              <w:rPr>
                <w:rFonts w:ascii="Century Gothic" w:hAnsi="Century Gothic"/>
                <w:szCs w:val="22"/>
              </w:rPr>
              <w:t>24</w:t>
            </w:r>
            <w:r w:rsidR="00034C9C" w:rsidRPr="00A97315">
              <w:rPr>
                <w:rFonts w:ascii="Century Gothic" w:hAnsi="Century Gothic"/>
                <w:szCs w:val="22"/>
              </w:rPr>
              <w:t>: 0</w:t>
            </w:r>
          </w:p>
          <w:p w14:paraId="135CE6DE" w14:textId="77777777" w:rsidR="00034C9C" w:rsidRPr="00A97315" w:rsidRDefault="00034C9C">
            <w:pPr>
              <w:rPr>
                <w:rFonts w:ascii="Century Gothic" w:hAnsi="Century Gothic"/>
                <w:szCs w:val="22"/>
              </w:rPr>
            </w:pPr>
            <w:r w:rsidRPr="00A97315">
              <w:rPr>
                <w:rFonts w:ascii="Century Gothic" w:hAnsi="Century Gothic"/>
                <w:szCs w:val="22"/>
              </w:rPr>
              <w:t>2023: 0</w:t>
            </w:r>
          </w:p>
          <w:p w14:paraId="6E118F1D" w14:textId="77777777" w:rsidR="00034C9C" w:rsidRPr="00A97315" w:rsidRDefault="00034C9C">
            <w:pPr>
              <w:rPr>
                <w:rFonts w:ascii="Century Gothic" w:hAnsi="Century Gothic"/>
                <w:szCs w:val="22"/>
              </w:rPr>
            </w:pPr>
            <w:r w:rsidRPr="00A97315">
              <w:rPr>
                <w:rFonts w:ascii="Century Gothic" w:hAnsi="Century Gothic"/>
                <w:szCs w:val="22"/>
              </w:rPr>
              <w:t>2022: 0</w:t>
            </w:r>
          </w:p>
          <w:p w14:paraId="32AC3BC7" w14:textId="77777777" w:rsidR="00034C9C" w:rsidRPr="00A97315" w:rsidRDefault="00034C9C">
            <w:pPr>
              <w:rPr>
                <w:rFonts w:ascii="Century Gothic" w:hAnsi="Century Gothic"/>
                <w:szCs w:val="22"/>
              </w:rPr>
            </w:pPr>
            <w:r w:rsidRPr="00A97315">
              <w:rPr>
                <w:rFonts w:ascii="Century Gothic" w:hAnsi="Century Gothic"/>
                <w:szCs w:val="22"/>
              </w:rPr>
              <w:t>2021: 0</w:t>
            </w:r>
          </w:p>
        </w:tc>
        <w:tc>
          <w:tcPr>
            <w:tcW w:w="1800" w:type="dxa"/>
          </w:tcPr>
          <w:p w14:paraId="147E1F08" w14:textId="77777777" w:rsidR="00034C9C" w:rsidRPr="00A97315" w:rsidRDefault="00034C9C">
            <w:pPr>
              <w:rPr>
                <w:rFonts w:ascii="Century Gothic" w:eastAsia="MS PGothic" w:hAnsi="Century Gothic"/>
                <w:szCs w:val="22"/>
              </w:rPr>
            </w:pPr>
            <w:r w:rsidRPr="00A97315">
              <w:rPr>
                <w:rFonts w:ascii="Century Gothic" w:hAnsi="Century Gothic"/>
                <w:szCs w:val="22"/>
              </w:rPr>
              <w:t>No</w:t>
            </w:r>
          </w:p>
        </w:tc>
      </w:tr>
    </w:tbl>
    <w:p w14:paraId="558B76E2" w14:textId="3F0A0417" w:rsidR="00034C9C" w:rsidRPr="00A97315" w:rsidRDefault="00034C9C" w:rsidP="00034C9C">
      <w:pPr>
        <w:spacing w:after="200" w:line="276" w:lineRule="auto"/>
        <w:ind w:left="1980"/>
        <w:rPr>
          <w:rFonts w:ascii="Century Gothic" w:hAnsi="Century Gothic"/>
        </w:rPr>
      </w:pPr>
    </w:p>
    <w:p w14:paraId="625C9DCE" w14:textId="55F096C1" w:rsidR="00034C9C" w:rsidRPr="00A97315" w:rsidRDefault="00034C9C" w:rsidP="00034C9C">
      <w:pPr>
        <w:pStyle w:val="MTWHeader2"/>
        <w:rPr>
          <w:rFonts w:ascii="Century Gothic" w:hAnsi="Century Gothic" w:cs="Times New Roman"/>
          <w:sz w:val="22"/>
          <w:szCs w:val="22"/>
        </w:rPr>
      </w:pPr>
      <w:r w:rsidRPr="00A97315">
        <w:rPr>
          <w:rFonts w:ascii="Century Gothic" w:hAnsi="Century Gothic" w:cs="Times New Roman"/>
          <w:sz w:val="22"/>
          <w:szCs w:val="22"/>
        </w:rPr>
        <w:t>Actual non-significant changes</w:t>
      </w:r>
    </w:p>
    <w:p w14:paraId="161EE2A5" w14:textId="7791DF62" w:rsidR="00034C9C" w:rsidRPr="00A97315" w:rsidRDefault="00034C9C" w:rsidP="00034C9C">
      <w:pPr>
        <w:pStyle w:val="MTWHeader2"/>
        <w:rPr>
          <w:rFonts w:ascii="Century Gothic" w:eastAsia="Times New Roman" w:hAnsi="Century Gothic" w:cs="Times New Roman"/>
          <w:b w:val="0"/>
          <w:sz w:val="22"/>
          <w:szCs w:val="22"/>
        </w:rPr>
      </w:pPr>
      <w:r w:rsidRPr="00A97315">
        <w:rPr>
          <w:rFonts w:ascii="Century Gothic" w:eastAsia="Times New Roman" w:hAnsi="Century Gothic" w:cs="Times New Roman"/>
          <w:b w:val="0"/>
          <w:sz w:val="22"/>
          <w:szCs w:val="22"/>
        </w:rPr>
        <w:t>None</w:t>
      </w:r>
    </w:p>
    <w:p w14:paraId="34D70533" w14:textId="6462F72A" w:rsidR="00034C9C" w:rsidRPr="00A97315" w:rsidRDefault="00034C9C" w:rsidP="00034C9C">
      <w:pPr>
        <w:pStyle w:val="MTWHeader2"/>
        <w:rPr>
          <w:rFonts w:ascii="Century Gothic" w:hAnsi="Century Gothic" w:cs="Times New Roman"/>
          <w:sz w:val="22"/>
          <w:szCs w:val="22"/>
        </w:rPr>
      </w:pPr>
      <w:r w:rsidRPr="00A97315">
        <w:rPr>
          <w:rFonts w:ascii="Century Gothic" w:hAnsi="Century Gothic" w:cs="Times New Roman"/>
          <w:sz w:val="22"/>
          <w:szCs w:val="22"/>
        </w:rPr>
        <w:t>Actual signficant changes</w:t>
      </w:r>
    </w:p>
    <w:p w14:paraId="37EF324C" w14:textId="1525E4D9" w:rsidR="00034C9C" w:rsidRPr="00A97315" w:rsidRDefault="00034C9C" w:rsidP="00034C9C">
      <w:pPr>
        <w:pStyle w:val="MTWHeader2"/>
        <w:rPr>
          <w:rFonts w:ascii="Century Gothic" w:eastAsia="Times New Roman" w:hAnsi="Century Gothic" w:cs="Times New Roman"/>
          <w:b w:val="0"/>
          <w:sz w:val="22"/>
          <w:szCs w:val="22"/>
        </w:rPr>
      </w:pPr>
      <w:r w:rsidRPr="00A97315">
        <w:rPr>
          <w:rFonts w:ascii="Century Gothic" w:eastAsia="Times New Roman" w:hAnsi="Century Gothic" w:cs="Times New Roman"/>
          <w:b w:val="0"/>
          <w:sz w:val="22"/>
          <w:szCs w:val="22"/>
        </w:rPr>
        <w:t>None</w:t>
      </w:r>
    </w:p>
    <w:p w14:paraId="729F6123" w14:textId="3326EEF7" w:rsidR="00034C9C" w:rsidRPr="00A97315" w:rsidRDefault="00034C9C" w:rsidP="00034C9C">
      <w:pPr>
        <w:rPr>
          <w:rFonts w:ascii="Century Gothic" w:eastAsia="Times New Roman" w:hAnsi="Century Gothic"/>
          <w:color w:val="000000" w:themeColor="text1"/>
        </w:rPr>
      </w:pPr>
    </w:p>
    <w:p w14:paraId="67F4B81E" w14:textId="6B9D74D9" w:rsidR="00E6300B" w:rsidRPr="00A97315" w:rsidRDefault="00E6300B" w:rsidP="00E6300B">
      <w:pPr>
        <w:rPr>
          <w:rFonts w:ascii="Century Gothic" w:hAnsi="Century Gothic"/>
        </w:rPr>
      </w:pPr>
    </w:p>
    <w:p w14:paraId="32484B30" w14:textId="648C8A2E" w:rsidR="00E6300B" w:rsidRPr="00A97315" w:rsidRDefault="00E6300B" w:rsidP="00E6300B">
      <w:pPr>
        <w:rPr>
          <w:rFonts w:ascii="Century Gothic" w:hAnsi="Century Gothic"/>
        </w:rPr>
      </w:pPr>
    </w:p>
    <w:p w14:paraId="1A7946AF" w14:textId="50E3DCDF" w:rsidR="00E6300B" w:rsidRPr="00A97315" w:rsidRDefault="00E6300B" w:rsidP="00E6300B">
      <w:pPr>
        <w:rPr>
          <w:rFonts w:ascii="Century Gothic" w:hAnsi="Century Gothic"/>
        </w:rPr>
      </w:pPr>
    </w:p>
    <w:p w14:paraId="39995DAC" w14:textId="2A868BCD" w:rsidR="00E6300B" w:rsidRPr="00A97315" w:rsidRDefault="00E6300B" w:rsidP="00E6300B">
      <w:pPr>
        <w:rPr>
          <w:rFonts w:ascii="Century Gothic" w:hAnsi="Century Gothic"/>
        </w:rPr>
      </w:pPr>
    </w:p>
    <w:p w14:paraId="4BAB6EDE" w14:textId="101B9B2C" w:rsidR="00E6300B" w:rsidRPr="00A97315" w:rsidRDefault="00E6300B" w:rsidP="00E6300B">
      <w:pPr>
        <w:spacing w:line="257" w:lineRule="auto"/>
        <w:rPr>
          <w:rFonts w:ascii="Century Gothic" w:eastAsia="Calibri" w:hAnsi="Century Gothic" w:cs="Calibri"/>
        </w:rPr>
      </w:pPr>
    </w:p>
    <w:p w14:paraId="0F29388B" w14:textId="35EDE6E8" w:rsidR="00950239" w:rsidRPr="007014AF" w:rsidRDefault="00950239" w:rsidP="005E662A">
      <w:pPr>
        <w:rPr>
          <w:rFonts w:ascii="Century Gothic" w:hAnsi="Century Gothic"/>
          <w:b/>
        </w:rPr>
      </w:pPr>
    </w:p>
    <w:p w14:paraId="6E269B6A" w14:textId="1249AB70" w:rsidR="00117E5C" w:rsidRDefault="00117E5C" w:rsidP="005E662A">
      <w:pPr>
        <w:rPr>
          <w:rFonts w:ascii="Century Gothic" w:hAnsi="Century Gothic"/>
          <w:b/>
        </w:rPr>
      </w:pPr>
      <w:r>
        <w:rPr>
          <w:rFonts w:ascii="Century Gothic" w:hAnsi="Century Gothic"/>
          <w:b/>
        </w:rPr>
        <w:br w:type="page"/>
      </w:r>
    </w:p>
    <w:p w14:paraId="53920351" w14:textId="228D8B63" w:rsidR="18B6CB09" w:rsidRPr="007E7E7E" w:rsidRDefault="00E25200" w:rsidP="71391578">
      <w:pPr>
        <w:rPr>
          <w:rFonts w:ascii="Century Gothic" w:hAnsi="Century Gothic"/>
          <w:b/>
          <w:bCs/>
          <w:szCs w:val="22"/>
        </w:rPr>
      </w:pPr>
      <w:bookmarkStart w:id="182" w:name="_Hlk112765880"/>
      <w:r w:rsidRPr="007E7E7E">
        <w:rPr>
          <w:rFonts w:ascii="Century Gothic" w:hAnsi="Century Gothic"/>
          <w:b/>
          <w:bCs/>
          <w:szCs w:val="22"/>
        </w:rPr>
        <w:lastRenderedPageBreak/>
        <w:t xml:space="preserve">Initiative 2.12F - </w:t>
      </w:r>
      <w:r w:rsidR="18B6CB09" w:rsidRPr="007E7E7E">
        <w:rPr>
          <w:rFonts w:ascii="Century Gothic" w:hAnsi="Century Gothic"/>
          <w:b/>
          <w:bCs/>
          <w:szCs w:val="22"/>
        </w:rPr>
        <w:t>ECC Believes!</w:t>
      </w:r>
    </w:p>
    <w:p w14:paraId="7F0D1CD7" w14:textId="780B3E63" w:rsidR="60C63791" w:rsidRPr="007E7E7E" w:rsidRDefault="0077699C" w:rsidP="52E98CF8">
      <w:pPr>
        <w:tabs>
          <w:tab w:val="left" w:pos="1350"/>
        </w:tabs>
        <w:spacing w:before="240" w:after="160"/>
        <w:rPr>
          <w:rFonts w:ascii="Century Gothic" w:eastAsiaTheme="majorEastAsia" w:hAnsi="Century Gothic"/>
          <w:szCs w:val="22"/>
        </w:rPr>
      </w:pPr>
      <w:r w:rsidRPr="007E7E7E">
        <w:rPr>
          <w:rFonts w:ascii="Century Gothic" w:eastAsiaTheme="majorEastAsia" w:hAnsi="Century Gothic"/>
          <w:szCs w:val="22"/>
        </w:rPr>
        <w:t>Approved and</w:t>
      </w:r>
      <w:r w:rsidR="60C63791" w:rsidRPr="007E7E7E">
        <w:rPr>
          <w:rFonts w:ascii="Century Gothic" w:eastAsiaTheme="majorEastAsia" w:hAnsi="Century Gothic"/>
          <w:szCs w:val="22"/>
        </w:rPr>
        <w:t xml:space="preserve"> implemented in FY2014</w:t>
      </w:r>
    </w:p>
    <w:p w14:paraId="39BBA8A0" w14:textId="1BA27AF9" w:rsidR="440C5A6C" w:rsidRPr="007E7E7E" w:rsidRDefault="5F9EEFEA" w:rsidP="0E6C54AB">
      <w:pPr>
        <w:rPr>
          <w:rFonts w:ascii="Century Gothic" w:eastAsia="Times New Roman" w:hAnsi="Century Gothic"/>
          <w:b/>
          <w:bCs/>
          <w:color w:val="7F7F7F" w:themeColor="text1" w:themeTint="80"/>
          <w:szCs w:val="22"/>
        </w:rPr>
      </w:pPr>
      <w:r w:rsidRPr="007E7E7E">
        <w:rPr>
          <w:rFonts w:ascii="Century Gothic" w:eastAsia="Times New Roman" w:hAnsi="Century Gothic"/>
          <w:b/>
          <w:bCs/>
          <w:color w:val="7F7F7F" w:themeColor="text1" w:themeTint="80"/>
          <w:szCs w:val="22"/>
        </w:rPr>
        <w:t>Description</w:t>
      </w:r>
    </w:p>
    <w:p w14:paraId="77595D54" w14:textId="49A02538" w:rsidR="440C5A6C" w:rsidRPr="007E7E7E" w:rsidRDefault="440C5A6C">
      <w:pPr>
        <w:rPr>
          <w:rFonts w:ascii="Century Gothic" w:hAnsi="Century Gothic"/>
        </w:rPr>
      </w:pPr>
      <w:r w:rsidRPr="4EB6BE86">
        <w:rPr>
          <w:rFonts w:ascii="Century Gothic" w:eastAsia="Times New Roman" w:hAnsi="Century Gothic"/>
          <w:color w:val="808080" w:themeColor="background1" w:themeShade="80"/>
        </w:rPr>
        <w:t xml:space="preserve"> </w:t>
      </w:r>
    </w:p>
    <w:p w14:paraId="4E459870" w14:textId="2653EAE4" w:rsidR="00272828" w:rsidRDefault="690766AD" w:rsidP="0D8BAA9B">
      <w:pPr>
        <w:rPr>
          <w:rFonts w:ascii="Century Gothic" w:eastAsia="Times New Roman" w:hAnsi="Century Gothic"/>
        </w:rPr>
      </w:pPr>
      <w:r w:rsidRPr="4EB6BE86">
        <w:rPr>
          <w:rFonts w:ascii="Century Gothic" w:eastAsia="Times New Roman" w:hAnsi="Century Gothic"/>
        </w:rPr>
        <w:t xml:space="preserve">In 2014, the City of New Haven and the New Haven Public Schools (NHPS) introduced the School Change Initiative with the goal of closing the achievement gap for public school students from low-income households across the city of New Haven. ECC/HANH supported the reform initiative and recognized the need to supplement the activities of the school district for students living in ECC/HANH housing. </w:t>
      </w:r>
    </w:p>
    <w:p w14:paraId="60FDE9A4" w14:textId="5B4E26FE" w:rsidR="00272828" w:rsidRDefault="00272828" w:rsidP="0D8BAA9B">
      <w:pPr>
        <w:rPr>
          <w:rFonts w:ascii="Century Gothic" w:eastAsia="Times New Roman" w:hAnsi="Century Gothic"/>
        </w:rPr>
      </w:pPr>
    </w:p>
    <w:p w14:paraId="502E9B65" w14:textId="40FB6307" w:rsidR="00DE5949" w:rsidRDefault="690766AD" w:rsidP="0D8BAA9B">
      <w:pPr>
        <w:rPr>
          <w:rFonts w:ascii="Century Gothic" w:eastAsia="Times New Roman" w:hAnsi="Century Gothic"/>
        </w:rPr>
      </w:pPr>
      <w:r w:rsidRPr="4EB6BE86">
        <w:rPr>
          <w:rFonts w:ascii="Century Gothic" w:eastAsia="Times New Roman" w:hAnsi="Century Gothic"/>
        </w:rPr>
        <w:t>To complement the citywide school reform initiative, ECC/HANH created the Elm City Communities Believes! Initiative (ECC Believes</w:t>
      </w:r>
      <w:r w:rsidR="77051736" w:rsidRPr="4EB6BE86">
        <w:rPr>
          <w:rFonts w:ascii="Century Gothic" w:eastAsia="Times New Roman" w:hAnsi="Century Gothic"/>
        </w:rPr>
        <w:t>!</w:t>
      </w:r>
      <w:r w:rsidRPr="4EB6BE86">
        <w:rPr>
          <w:rFonts w:ascii="Century Gothic" w:eastAsia="Times New Roman" w:hAnsi="Century Gothic"/>
        </w:rPr>
        <w:t>). ECC Believes</w:t>
      </w:r>
      <w:r w:rsidR="77051736" w:rsidRPr="4EB6BE86">
        <w:rPr>
          <w:rFonts w:ascii="Century Gothic" w:eastAsia="Times New Roman" w:hAnsi="Century Gothic"/>
        </w:rPr>
        <w:t>!</w:t>
      </w:r>
      <w:r w:rsidRPr="4EB6BE86">
        <w:rPr>
          <w:rFonts w:ascii="Century Gothic" w:eastAsia="Times New Roman" w:hAnsi="Century Gothic"/>
        </w:rPr>
        <w:t xml:space="preserve"> programming starts in early childhood and supports </w:t>
      </w:r>
      <w:r w:rsidR="002B0C27" w:rsidRPr="4EB6BE86">
        <w:rPr>
          <w:rFonts w:ascii="Century Gothic" w:eastAsia="Times New Roman" w:hAnsi="Century Gothic"/>
        </w:rPr>
        <w:t>students</w:t>
      </w:r>
      <w:r w:rsidRPr="4EB6BE86">
        <w:rPr>
          <w:rFonts w:ascii="Century Gothic" w:eastAsia="Times New Roman" w:hAnsi="Century Gothic"/>
        </w:rPr>
        <w:t xml:space="preserve"> throughout high school and beyond by providing resources to prepare them for college and future careers. </w:t>
      </w:r>
    </w:p>
    <w:p w14:paraId="669E8112" w14:textId="6C40238D" w:rsidR="00DE5949" w:rsidRDefault="00DE5949" w:rsidP="0D8BAA9B">
      <w:pPr>
        <w:rPr>
          <w:rFonts w:ascii="Century Gothic" w:eastAsia="Times New Roman" w:hAnsi="Century Gothic"/>
        </w:rPr>
      </w:pPr>
    </w:p>
    <w:p w14:paraId="206F406A" w14:textId="5A4256B7" w:rsidR="440C5A6C" w:rsidRPr="007E7E7E" w:rsidRDefault="690766AD" w:rsidP="0D8BAA9B">
      <w:pPr>
        <w:rPr>
          <w:rFonts w:ascii="Century Gothic" w:eastAsia="Times New Roman" w:hAnsi="Century Gothic"/>
          <w:szCs w:val="22"/>
        </w:rPr>
      </w:pPr>
      <w:r w:rsidRPr="007E7E7E">
        <w:rPr>
          <w:rFonts w:ascii="Century Gothic" w:eastAsia="Times New Roman" w:hAnsi="Century Gothic"/>
          <w:szCs w:val="22"/>
        </w:rPr>
        <w:t>Through the ECC Believes</w:t>
      </w:r>
      <w:r w:rsidR="77051736" w:rsidRPr="007E7E7E">
        <w:rPr>
          <w:rFonts w:ascii="Century Gothic" w:eastAsia="Times New Roman" w:hAnsi="Century Gothic"/>
          <w:szCs w:val="22"/>
        </w:rPr>
        <w:t>!</w:t>
      </w:r>
      <w:r w:rsidRPr="007E7E7E">
        <w:rPr>
          <w:rFonts w:ascii="Century Gothic" w:eastAsia="Times New Roman" w:hAnsi="Century Gothic"/>
          <w:szCs w:val="22"/>
        </w:rPr>
        <w:t xml:space="preserve"> program, ECC/HANH is committed to creating a culture of achievement and fostering student success. </w:t>
      </w:r>
      <w:r w:rsidR="00DE5949">
        <w:rPr>
          <w:rFonts w:ascii="Century Gothic" w:eastAsia="Times New Roman" w:hAnsi="Century Gothic"/>
          <w:szCs w:val="22"/>
        </w:rPr>
        <w:t xml:space="preserve"> </w:t>
      </w:r>
      <w:r w:rsidRPr="007E7E7E">
        <w:rPr>
          <w:rFonts w:ascii="Century Gothic" w:eastAsia="Times New Roman" w:hAnsi="Century Gothic"/>
          <w:szCs w:val="22"/>
        </w:rPr>
        <w:t xml:space="preserve">This commitment is articulated in the ECC Believes Theory of Change. ECC provides educational </w:t>
      </w:r>
      <w:proofErr w:type="gramStart"/>
      <w:r w:rsidRPr="007E7E7E">
        <w:rPr>
          <w:rFonts w:ascii="Century Gothic" w:eastAsia="Times New Roman" w:hAnsi="Century Gothic"/>
          <w:szCs w:val="22"/>
        </w:rPr>
        <w:t>supports</w:t>
      </w:r>
      <w:proofErr w:type="gramEnd"/>
      <w:r w:rsidRPr="007E7E7E">
        <w:rPr>
          <w:rFonts w:ascii="Century Gothic" w:eastAsia="Times New Roman" w:hAnsi="Century Gothic"/>
          <w:szCs w:val="22"/>
        </w:rPr>
        <w:t xml:space="preserve"> not only to NHPS students living in ECC/HANH housing, but also to ECC/HANH residents enrolled in early childhood programs, local charter schools, as well GED and other postsecondary programs.</w:t>
      </w:r>
    </w:p>
    <w:p w14:paraId="7E0D0774" w14:textId="61C2C8DE" w:rsidR="440C5A6C" w:rsidRPr="007E7E7E" w:rsidRDefault="440C5A6C" w:rsidP="655A2699">
      <w:pPr>
        <w:rPr>
          <w:rFonts w:ascii="Century Gothic" w:eastAsia="Times New Roman" w:hAnsi="Century Gothic"/>
        </w:rPr>
      </w:pPr>
      <w:r w:rsidRPr="4EB6BE86">
        <w:rPr>
          <w:rFonts w:ascii="Century Gothic" w:eastAsia="Times New Roman" w:hAnsi="Century Gothic"/>
        </w:rPr>
        <w:t xml:space="preserve"> </w:t>
      </w:r>
    </w:p>
    <w:p w14:paraId="6D34F130" w14:textId="3EC5246E" w:rsidR="00612E0B" w:rsidRDefault="440C5A6C" w:rsidP="655A2699">
      <w:pPr>
        <w:rPr>
          <w:rFonts w:ascii="Century Gothic" w:eastAsia="Times New Roman" w:hAnsi="Century Gothic"/>
        </w:rPr>
      </w:pPr>
      <w:r w:rsidRPr="4EB6BE86">
        <w:rPr>
          <w:rFonts w:ascii="Century Gothic" w:eastAsia="Times New Roman" w:hAnsi="Century Gothic"/>
          <w:color w:val="000000" w:themeColor="text1"/>
        </w:rPr>
        <w:t xml:space="preserve">ECC/HANH believes </w:t>
      </w:r>
      <w:r w:rsidRPr="4EB6BE86">
        <w:rPr>
          <w:rFonts w:ascii="Century Gothic" w:eastAsia="Times New Roman" w:hAnsi="Century Gothic"/>
        </w:rPr>
        <w:t xml:space="preserve">that all children can achieve excellence.  </w:t>
      </w:r>
      <w:r w:rsidR="00AB264A" w:rsidRPr="4EB6BE86">
        <w:rPr>
          <w:rFonts w:ascii="Century Gothic" w:eastAsia="Times New Roman" w:hAnsi="Century Gothic"/>
        </w:rPr>
        <w:t>Y</w:t>
      </w:r>
      <w:r w:rsidRPr="4EB6BE86">
        <w:rPr>
          <w:rFonts w:ascii="Century Gothic" w:eastAsia="Times New Roman" w:hAnsi="Century Gothic"/>
        </w:rPr>
        <w:t xml:space="preserve">outh outcomes </w:t>
      </w:r>
      <w:r w:rsidR="00AB264A" w:rsidRPr="4EB6BE86">
        <w:rPr>
          <w:rFonts w:ascii="Century Gothic" w:eastAsia="Times New Roman" w:hAnsi="Century Gothic"/>
        </w:rPr>
        <w:t>are</w:t>
      </w:r>
      <w:r w:rsidR="0081510A" w:rsidRPr="4EB6BE86">
        <w:rPr>
          <w:rFonts w:ascii="Century Gothic" w:eastAsia="Times New Roman" w:hAnsi="Century Gothic"/>
        </w:rPr>
        <w:t xml:space="preserve"> among EC/HANH’s</w:t>
      </w:r>
      <w:r w:rsidRPr="4EB6BE86">
        <w:rPr>
          <w:rFonts w:ascii="Century Gothic" w:eastAsia="Times New Roman" w:hAnsi="Century Gothic"/>
        </w:rPr>
        <w:t xml:space="preserve"> core goals </w:t>
      </w:r>
      <w:r w:rsidR="007E7FDE" w:rsidRPr="4EB6BE86">
        <w:rPr>
          <w:rFonts w:ascii="Century Gothic" w:eastAsia="Times New Roman" w:hAnsi="Century Gothic"/>
        </w:rPr>
        <w:t xml:space="preserve">along with </w:t>
      </w:r>
      <w:r w:rsidRPr="4EB6BE86">
        <w:rPr>
          <w:rFonts w:ascii="Century Gothic" w:eastAsia="Times New Roman" w:hAnsi="Century Gothic"/>
        </w:rPr>
        <w:t>inves</w:t>
      </w:r>
      <w:r w:rsidR="001A4EAD" w:rsidRPr="4EB6BE86">
        <w:rPr>
          <w:rFonts w:ascii="Century Gothic" w:eastAsia="Times New Roman" w:hAnsi="Century Gothic"/>
        </w:rPr>
        <w:t>t</w:t>
      </w:r>
      <w:r w:rsidR="007E7FDE" w:rsidRPr="4EB6BE86">
        <w:rPr>
          <w:rFonts w:ascii="Century Gothic" w:eastAsia="Times New Roman" w:hAnsi="Century Gothic"/>
        </w:rPr>
        <w:t>men</w:t>
      </w:r>
      <w:r w:rsidRPr="4EB6BE86">
        <w:rPr>
          <w:rFonts w:ascii="Century Gothic" w:eastAsia="Times New Roman" w:hAnsi="Century Gothic"/>
        </w:rPr>
        <w:t>t in the future of our families</w:t>
      </w:r>
      <w:r w:rsidR="001A4EAD" w:rsidRPr="4EB6BE86">
        <w:rPr>
          <w:rFonts w:ascii="Century Gothic" w:eastAsia="Times New Roman" w:hAnsi="Century Gothic"/>
        </w:rPr>
        <w:t>.</w:t>
      </w:r>
      <w:r w:rsidRPr="4EB6BE86">
        <w:rPr>
          <w:rFonts w:ascii="Century Gothic" w:eastAsia="Times New Roman" w:hAnsi="Century Gothic"/>
        </w:rPr>
        <w:t xml:space="preserve">  ECC/HANH </w:t>
      </w:r>
      <w:r w:rsidR="00014E56" w:rsidRPr="4EB6BE86">
        <w:rPr>
          <w:rFonts w:ascii="Century Gothic" w:eastAsia="Times New Roman" w:hAnsi="Century Gothic"/>
        </w:rPr>
        <w:t>B</w:t>
      </w:r>
      <w:r w:rsidRPr="4EB6BE86">
        <w:rPr>
          <w:rFonts w:ascii="Century Gothic" w:eastAsia="Times New Roman" w:hAnsi="Century Gothic"/>
        </w:rPr>
        <w:t>elieves</w:t>
      </w:r>
      <w:r w:rsidR="00014E56" w:rsidRPr="4EB6BE86">
        <w:rPr>
          <w:rFonts w:ascii="Century Gothic" w:eastAsia="Times New Roman" w:hAnsi="Century Gothic"/>
        </w:rPr>
        <w:t>!</w:t>
      </w:r>
      <w:r w:rsidRPr="4EB6BE86">
        <w:rPr>
          <w:rFonts w:ascii="Century Gothic" w:eastAsia="Times New Roman" w:hAnsi="Century Gothic"/>
        </w:rPr>
        <w:t xml:space="preserve"> is designed to assist students in achieving academic excellence, support parents as they engage in their children’s education, and to help </w:t>
      </w:r>
      <w:proofErr w:type="gramStart"/>
      <w:r w:rsidRPr="4EB6BE86">
        <w:rPr>
          <w:rFonts w:ascii="Century Gothic" w:eastAsia="Times New Roman" w:hAnsi="Century Gothic"/>
        </w:rPr>
        <w:t>avail</w:t>
      </w:r>
      <w:proofErr w:type="gramEnd"/>
      <w:r w:rsidRPr="4EB6BE86">
        <w:rPr>
          <w:rFonts w:ascii="Century Gothic" w:eastAsia="Times New Roman" w:hAnsi="Century Gothic"/>
        </w:rPr>
        <w:t xml:space="preserve"> postsecondary opportunities to ECC’s young people.  </w:t>
      </w:r>
    </w:p>
    <w:p w14:paraId="05F8BD5C" w14:textId="3D3E808F" w:rsidR="00612E0B" w:rsidRDefault="00612E0B" w:rsidP="655A2699">
      <w:pPr>
        <w:rPr>
          <w:rFonts w:ascii="Century Gothic" w:eastAsia="Times New Roman" w:hAnsi="Century Gothic"/>
        </w:rPr>
      </w:pPr>
    </w:p>
    <w:p w14:paraId="75B44733" w14:textId="2147F0FA" w:rsidR="440C5A6C" w:rsidRPr="007E7E7E" w:rsidRDefault="440C5A6C" w:rsidP="655A2699">
      <w:pPr>
        <w:rPr>
          <w:rFonts w:ascii="Century Gothic" w:eastAsia="Times New Roman" w:hAnsi="Century Gothic"/>
          <w:color w:val="000000" w:themeColor="text1"/>
          <w:szCs w:val="22"/>
        </w:rPr>
      </w:pPr>
      <w:r w:rsidRPr="007E7E7E">
        <w:rPr>
          <w:rFonts w:ascii="Century Gothic" w:eastAsia="Times New Roman" w:hAnsi="Century Gothic"/>
          <w:szCs w:val="22"/>
        </w:rPr>
        <w:t xml:space="preserve">This program amplifies a variety of youth programming </w:t>
      </w:r>
      <w:r w:rsidR="00612E0B">
        <w:rPr>
          <w:rFonts w:ascii="Century Gothic" w:eastAsia="Times New Roman" w:hAnsi="Century Gothic"/>
          <w:szCs w:val="22"/>
        </w:rPr>
        <w:t>for</w:t>
      </w:r>
      <w:r w:rsidR="00612E0B" w:rsidRPr="007E7E7E">
        <w:rPr>
          <w:rFonts w:ascii="Century Gothic" w:eastAsia="Times New Roman" w:hAnsi="Century Gothic"/>
          <w:szCs w:val="22"/>
        </w:rPr>
        <w:t xml:space="preserve"> </w:t>
      </w:r>
      <w:r w:rsidRPr="007E7E7E">
        <w:rPr>
          <w:rFonts w:ascii="Century Gothic" w:eastAsia="Times New Roman" w:hAnsi="Century Gothic"/>
          <w:szCs w:val="22"/>
        </w:rPr>
        <w:t xml:space="preserve">residents and has strong partnerships with the New Haven Public Schools and other community partners.  The ECC/HANH </w:t>
      </w:r>
      <w:r w:rsidR="00396134" w:rsidRPr="007E7E7E">
        <w:rPr>
          <w:rFonts w:ascii="Century Gothic" w:eastAsia="Times New Roman" w:hAnsi="Century Gothic"/>
          <w:szCs w:val="22"/>
        </w:rPr>
        <w:t>B</w:t>
      </w:r>
      <w:r w:rsidRPr="007E7E7E">
        <w:rPr>
          <w:rFonts w:ascii="Century Gothic" w:eastAsia="Times New Roman" w:hAnsi="Century Gothic"/>
          <w:szCs w:val="22"/>
        </w:rPr>
        <w:t>elieves</w:t>
      </w:r>
      <w:r w:rsidR="00396134" w:rsidRPr="007E7E7E">
        <w:rPr>
          <w:rFonts w:ascii="Century Gothic" w:eastAsia="Times New Roman" w:hAnsi="Century Gothic"/>
          <w:szCs w:val="22"/>
        </w:rPr>
        <w:t>!</w:t>
      </w:r>
      <w:r w:rsidRPr="007E7E7E">
        <w:rPr>
          <w:rFonts w:ascii="Century Gothic" w:eastAsia="Times New Roman" w:hAnsi="Century Gothic"/>
          <w:szCs w:val="22"/>
        </w:rPr>
        <w:t xml:space="preserve"> program offers robust services that will increase students’ academic success and has worked to instill a culture of high academic expectations for ECC/HANH students, parents, and staff.</w:t>
      </w:r>
      <w:r w:rsidRPr="007E7E7E">
        <w:rPr>
          <w:rFonts w:ascii="Century Gothic" w:eastAsia="Times New Roman" w:hAnsi="Century Gothic"/>
          <w:color w:val="000000" w:themeColor="text1"/>
          <w:szCs w:val="22"/>
        </w:rPr>
        <w:t xml:space="preserve"> </w:t>
      </w:r>
    </w:p>
    <w:p w14:paraId="4682CB99" w14:textId="70CC653E" w:rsidR="440C5A6C" w:rsidRPr="007E7E7E" w:rsidRDefault="1B4A8018">
      <w:pPr>
        <w:rPr>
          <w:rFonts w:ascii="Century Gothic" w:eastAsia="Times New Roman" w:hAnsi="Century Gothic"/>
          <w:szCs w:val="22"/>
        </w:rPr>
      </w:pPr>
      <w:r w:rsidRPr="007E7E7E">
        <w:rPr>
          <w:rFonts w:ascii="Century Gothic" w:eastAsia="Times New Roman" w:hAnsi="Century Gothic"/>
          <w:szCs w:val="22"/>
        </w:rPr>
        <w:t xml:space="preserve"> </w:t>
      </w:r>
    </w:p>
    <w:p w14:paraId="5548E731" w14:textId="6EFE69F9" w:rsidR="440C5A6C" w:rsidRPr="00644495" w:rsidRDefault="046F400E" w:rsidP="35B498EC">
      <w:pPr>
        <w:rPr>
          <w:rFonts w:ascii="Century Gothic" w:eastAsia="Times New Roman" w:hAnsi="Century Gothic"/>
          <w:color w:val="7F7F7F" w:themeColor="text1" w:themeTint="80"/>
          <w:szCs w:val="22"/>
        </w:rPr>
      </w:pPr>
      <w:r w:rsidRPr="00272828">
        <w:rPr>
          <w:rFonts w:ascii="Century Gothic" w:eastAsia="Times New Roman" w:hAnsi="Century Gothic"/>
          <w:b/>
          <w:bCs/>
          <w:color w:val="7F7F7F" w:themeColor="text1" w:themeTint="80"/>
          <w:szCs w:val="22"/>
        </w:rPr>
        <w:t>Impac</w:t>
      </w:r>
      <w:r w:rsidRPr="00644495">
        <w:rPr>
          <w:rFonts w:ascii="Century Gothic" w:eastAsia="Times New Roman" w:hAnsi="Century Gothic"/>
          <w:b/>
          <w:bCs/>
          <w:color w:val="7F7F7F" w:themeColor="text1" w:themeTint="80"/>
          <w:szCs w:val="22"/>
        </w:rPr>
        <w:t>t</w:t>
      </w:r>
      <w:r w:rsidRPr="00644495">
        <w:rPr>
          <w:rFonts w:ascii="Century Gothic" w:eastAsia="Times New Roman" w:hAnsi="Century Gothic"/>
          <w:color w:val="7F7F7F" w:themeColor="text1" w:themeTint="80"/>
          <w:szCs w:val="22"/>
        </w:rPr>
        <w:t xml:space="preserve"> </w:t>
      </w:r>
    </w:p>
    <w:p w14:paraId="1C0C72BE" w14:textId="5D0C30B4" w:rsidR="440C5A6C" w:rsidRPr="00644495" w:rsidRDefault="440C5A6C">
      <w:pPr>
        <w:rPr>
          <w:rFonts w:ascii="Century Gothic" w:eastAsia="Times New Roman" w:hAnsi="Century Gothic"/>
          <w:color w:val="808080" w:themeColor="background1" w:themeShade="80"/>
        </w:rPr>
      </w:pPr>
      <w:r w:rsidRPr="4EB6BE86">
        <w:rPr>
          <w:rFonts w:ascii="Century Gothic" w:eastAsia="Times New Roman" w:hAnsi="Century Gothic"/>
          <w:color w:val="808080" w:themeColor="background1" w:themeShade="80"/>
        </w:rPr>
        <w:t xml:space="preserve"> </w:t>
      </w:r>
    </w:p>
    <w:p w14:paraId="61043DF6" w14:textId="34D56D14" w:rsidR="002E72E8" w:rsidRDefault="44D4E620" w:rsidP="7AF60685">
      <w:pPr>
        <w:rPr>
          <w:rFonts w:ascii="Century Gothic" w:eastAsia="Times New Roman" w:hAnsi="Century Gothic"/>
        </w:rPr>
      </w:pPr>
      <w:r w:rsidRPr="4EB6BE86">
        <w:rPr>
          <w:rFonts w:ascii="Century Gothic" w:eastAsia="Times New Roman" w:hAnsi="Century Gothic"/>
        </w:rPr>
        <w:t>In FY 2</w:t>
      </w:r>
      <w:r w:rsidR="6CD2EC46" w:rsidRPr="4EB6BE86">
        <w:rPr>
          <w:rFonts w:ascii="Century Gothic" w:eastAsia="Times New Roman" w:hAnsi="Century Gothic"/>
        </w:rPr>
        <w:t>4</w:t>
      </w:r>
      <w:r w:rsidRPr="4EB6BE86">
        <w:rPr>
          <w:rFonts w:ascii="Century Gothic" w:eastAsia="Times New Roman" w:hAnsi="Century Gothic"/>
        </w:rPr>
        <w:t>, ECC Believes! has expanded and provide</w:t>
      </w:r>
      <w:r w:rsidR="00185DB4" w:rsidRPr="4EB6BE86">
        <w:rPr>
          <w:rFonts w:ascii="Century Gothic" w:eastAsia="Times New Roman" w:hAnsi="Century Gothic"/>
        </w:rPr>
        <w:t>d</w:t>
      </w:r>
      <w:r w:rsidRPr="4EB6BE86">
        <w:rPr>
          <w:rFonts w:ascii="Century Gothic" w:eastAsia="Times New Roman" w:hAnsi="Century Gothic"/>
        </w:rPr>
        <w:t xml:space="preserve"> a range of valuable services to student residents and their families. </w:t>
      </w:r>
      <w:r w:rsidR="00404744" w:rsidRPr="4EB6BE86">
        <w:rPr>
          <w:rFonts w:ascii="Century Gothic" w:eastAsia="Times New Roman" w:hAnsi="Century Gothic"/>
        </w:rPr>
        <w:t xml:space="preserve"> </w:t>
      </w:r>
      <w:r w:rsidRPr="4EB6BE86">
        <w:rPr>
          <w:rFonts w:ascii="Century Gothic" w:eastAsia="Times New Roman" w:hAnsi="Century Gothic"/>
        </w:rPr>
        <w:t xml:space="preserve">ECC Believes! is structured in a “cradle to career” pipeline model that starts with access to education supports </w:t>
      </w:r>
      <w:r w:rsidR="69AC7876" w:rsidRPr="4EB6BE86">
        <w:rPr>
          <w:rFonts w:ascii="Century Gothic" w:eastAsia="Times New Roman" w:hAnsi="Century Gothic"/>
        </w:rPr>
        <w:t>for prenatal care</w:t>
      </w:r>
      <w:r w:rsidRPr="4EB6BE86">
        <w:rPr>
          <w:rFonts w:ascii="Century Gothic" w:eastAsia="Times New Roman" w:hAnsi="Century Gothic"/>
        </w:rPr>
        <w:t xml:space="preserve"> </w:t>
      </w:r>
      <w:r w:rsidR="23AE28D6" w:rsidRPr="4EB6BE86">
        <w:rPr>
          <w:rFonts w:ascii="Century Gothic" w:eastAsia="Times New Roman" w:hAnsi="Century Gothic"/>
        </w:rPr>
        <w:t>such as refer</w:t>
      </w:r>
      <w:r w:rsidR="7947A0A8" w:rsidRPr="4EB6BE86">
        <w:rPr>
          <w:rFonts w:ascii="Century Gothic" w:eastAsia="Times New Roman" w:hAnsi="Century Gothic"/>
        </w:rPr>
        <w:t>rals</w:t>
      </w:r>
      <w:r w:rsidR="23AE28D6" w:rsidRPr="4EB6BE86">
        <w:rPr>
          <w:rFonts w:ascii="Century Gothic" w:eastAsia="Times New Roman" w:hAnsi="Century Gothic"/>
        </w:rPr>
        <w:t xml:space="preserve"> to Hill Health, Yale and MOMs group</w:t>
      </w:r>
      <w:r w:rsidR="1CB2940B" w:rsidRPr="4EB6BE86">
        <w:rPr>
          <w:rFonts w:ascii="Century Gothic" w:eastAsia="Times New Roman" w:hAnsi="Century Gothic"/>
        </w:rPr>
        <w:t xml:space="preserve"> </w:t>
      </w:r>
      <w:r w:rsidRPr="4EB6BE86">
        <w:rPr>
          <w:rFonts w:ascii="Century Gothic" w:eastAsia="Times New Roman" w:hAnsi="Century Gothic"/>
        </w:rPr>
        <w:t xml:space="preserve">and continues throughout secondary school and into postsecondary education and employment preparation. </w:t>
      </w:r>
    </w:p>
    <w:p w14:paraId="2D124D13" w14:textId="21C39585" w:rsidR="002E72E8" w:rsidRDefault="002E72E8" w:rsidP="7AF60685">
      <w:pPr>
        <w:rPr>
          <w:rFonts w:ascii="Century Gothic" w:eastAsia="Times New Roman" w:hAnsi="Century Gothic"/>
        </w:rPr>
      </w:pPr>
    </w:p>
    <w:p w14:paraId="443A808F" w14:textId="17846D76" w:rsidR="440C5A6C" w:rsidRDefault="44D4E620" w:rsidP="7AF60685">
      <w:pPr>
        <w:rPr>
          <w:rFonts w:ascii="Century Gothic" w:eastAsia="Times New Roman" w:hAnsi="Century Gothic"/>
        </w:rPr>
      </w:pPr>
      <w:r w:rsidRPr="4EB6BE86">
        <w:rPr>
          <w:rFonts w:ascii="Century Gothic" w:eastAsia="Times New Roman" w:hAnsi="Century Gothic"/>
        </w:rPr>
        <w:t xml:space="preserve">The cradle to career pipeline includes five program focus areas that each include different partnerships and opportunities for residents: </w:t>
      </w:r>
    </w:p>
    <w:p w14:paraId="2AD9109A" w14:textId="431447B4" w:rsidR="002E72E8" w:rsidRPr="00644495" w:rsidRDefault="002E72E8" w:rsidP="7AF60685">
      <w:pPr>
        <w:rPr>
          <w:rFonts w:ascii="Century Gothic" w:eastAsia="Times New Roman" w:hAnsi="Century Gothic"/>
        </w:rPr>
      </w:pPr>
    </w:p>
    <w:p w14:paraId="2536C7AD" w14:textId="382C6891" w:rsidR="440C5A6C" w:rsidRPr="00644495" w:rsidRDefault="1B4A8018" w:rsidP="7AF60685">
      <w:pPr>
        <w:rPr>
          <w:rFonts w:ascii="Century Gothic" w:eastAsia="Times New Roman" w:hAnsi="Century Gothic"/>
          <w:szCs w:val="22"/>
        </w:rPr>
      </w:pPr>
      <w:r w:rsidRPr="00644495">
        <w:rPr>
          <w:rFonts w:ascii="Century Gothic" w:eastAsia="Times New Roman" w:hAnsi="Century Gothic"/>
          <w:szCs w:val="22"/>
        </w:rPr>
        <w:t>1. Early childhood (Prenatal to 5 years old</w:t>
      </w:r>
      <w:proofErr w:type="gramStart"/>
      <w:r w:rsidRPr="00644495">
        <w:rPr>
          <w:rFonts w:ascii="Century Gothic" w:eastAsia="Times New Roman" w:hAnsi="Century Gothic"/>
          <w:szCs w:val="22"/>
        </w:rPr>
        <w:t>);</w:t>
      </w:r>
      <w:proofErr w:type="gramEnd"/>
      <w:r w:rsidRPr="00644495">
        <w:rPr>
          <w:rFonts w:ascii="Century Gothic" w:eastAsia="Times New Roman" w:hAnsi="Century Gothic"/>
          <w:szCs w:val="22"/>
        </w:rPr>
        <w:t xml:space="preserve"> </w:t>
      </w:r>
    </w:p>
    <w:p w14:paraId="694EB369" w14:textId="446E28BD" w:rsidR="440C5A6C" w:rsidRPr="00644495" w:rsidRDefault="1B4A8018" w:rsidP="7AF60685">
      <w:pPr>
        <w:rPr>
          <w:rFonts w:ascii="Century Gothic" w:eastAsia="Times New Roman" w:hAnsi="Century Gothic"/>
          <w:szCs w:val="22"/>
        </w:rPr>
      </w:pPr>
      <w:r w:rsidRPr="00644495">
        <w:rPr>
          <w:rFonts w:ascii="Century Gothic" w:eastAsia="Times New Roman" w:hAnsi="Century Gothic"/>
          <w:szCs w:val="22"/>
        </w:rPr>
        <w:t>2. Family engagement (all ages</w:t>
      </w:r>
      <w:proofErr w:type="gramStart"/>
      <w:r w:rsidRPr="00644495">
        <w:rPr>
          <w:rFonts w:ascii="Century Gothic" w:eastAsia="Times New Roman" w:hAnsi="Century Gothic"/>
          <w:szCs w:val="22"/>
        </w:rPr>
        <w:t>);</w:t>
      </w:r>
      <w:proofErr w:type="gramEnd"/>
      <w:r w:rsidRPr="00644495">
        <w:rPr>
          <w:rFonts w:ascii="Century Gothic" w:eastAsia="Times New Roman" w:hAnsi="Century Gothic"/>
          <w:szCs w:val="22"/>
        </w:rPr>
        <w:t xml:space="preserve"> </w:t>
      </w:r>
    </w:p>
    <w:p w14:paraId="07508D92" w14:textId="08D835BA" w:rsidR="440C5A6C" w:rsidRPr="00644495" w:rsidRDefault="1B4A8018" w:rsidP="7AF60685">
      <w:pPr>
        <w:rPr>
          <w:rFonts w:ascii="Century Gothic" w:eastAsia="Times New Roman" w:hAnsi="Century Gothic"/>
          <w:szCs w:val="22"/>
        </w:rPr>
      </w:pPr>
      <w:r w:rsidRPr="00644495">
        <w:rPr>
          <w:rFonts w:ascii="Century Gothic" w:eastAsia="Times New Roman" w:hAnsi="Century Gothic"/>
          <w:szCs w:val="22"/>
        </w:rPr>
        <w:t xml:space="preserve">3. Attendance and school engagement (Students </w:t>
      </w:r>
      <w:r w:rsidR="3795FD25" w:rsidRPr="00644495">
        <w:rPr>
          <w:rFonts w:ascii="Century Gothic" w:eastAsia="Times New Roman" w:hAnsi="Century Gothic"/>
          <w:szCs w:val="22"/>
        </w:rPr>
        <w:t xml:space="preserve">grades </w:t>
      </w:r>
      <w:r w:rsidRPr="00644495">
        <w:rPr>
          <w:rFonts w:ascii="Century Gothic" w:eastAsia="Times New Roman" w:hAnsi="Century Gothic"/>
          <w:szCs w:val="22"/>
        </w:rPr>
        <w:t>K-12</w:t>
      </w:r>
      <w:proofErr w:type="gramStart"/>
      <w:r w:rsidRPr="00644495">
        <w:rPr>
          <w:rFonts w:ascii="Century Gothic" w:eastAsia="Times New Roman" w:hAnsi="Century Gothic"/>
          <w:szCs w:val="22"/>
        </w:rPr>
        <w:t>);</w:t>
      </w:r>
      <w:proofErr w:type="gramEnd"/>
      <w:r w:rsidRPr="00644495">
        <w:rPr>
          <w:rFonts w:ascii="Century Gothic" w:eastAsia="Times New Roman" w:hAnsi="Century Gothic"/>
          <w:szCs w:val="22"/>
        </w:rPr>
        <w:t xml:space="preserve"> </w:t>
      </w:r>
    </w:p>
    <w:p w14:paraId="5F0D211A" w14:textId="7D89D2DA" w:rsidR="440C5A6C" w:rsidRPr="00644495" w:rsidRDefault="1B4A8018" w:rsidP="1B4A8018">
      <w:pPr>
        <w:rPr>
          <w:rFonts w:ascii="Century Gothic" w:eastAsia="Times New Roman" w:hAnsi="Century Gothic"/>
          <w:szCs w:val="22"/>
        </w:rPr>
      </w:pPr>
      <w:r w:rsidRPr="00644495">
        <w:rPr>
          <w:rFonts w:ascii="Century Gothic" w:eastAsia="Times New Roman" w:hAnsi="Century Gothic"/>
          <w:szCs w:val="22"/>
        </w:rPr>
        <w:t xml:space="preserve">4. Academic supports and afterschool programming (Students </w:t>
      </w:r>
      <w:r w:rsidR="6AB1A707" w:rsidRPr="00644495">
        <w:rPr>
          <w:rFonts w:ascii="Century Gothic" w:eastAsia="Times New Roman" w:hAnsi="Century Gothic"/>
          <w:szCs w:val="22"/>
        </w:rPr>
        <w:t xml:space="preserve">grades </w:t>
      </w:r>
      <w:r w:rsidRPr="00644495">
        <w:rPr>
          <w:rFonts w:ascii="Century Gothic" w:eastAsia="Times New Roman" w:hAnsi="Century Gothic"/>
          <w:szCs w:val="22"/>
        </w:rPr>
        <w:t>K-12</w:t>
      </w:r>
      <w:proofErr w:type="gramStart"/>
      <w:r w:rsidRPr="00644495">
        <w:rPr>
          <w:rFonts w:ascii="Century Gothic" w:eastAsia="Times New Roman" w:hAnsi="Century Gothic"/>
          <w:szCs w:val="22"/>
        </w:rPr>
        <w:t>);</w:t>
      </w:r>
      <w:proofErr w:type="gramEnd"/>
      <w:r w:rsidRPr="00644495">
        <w:rPr>
          <w:rFonts w:ascii="Century Gothic" w:eastAsia="Times New Roman" w:hAnsi="Century Gothic"/>
          <w:szCs w:val="22"/>
        </w:rPr>
        <w:t xml:space="preserve"> </w:t>
      </w:r>
    </w:p>
    <w:p w14:paraId="13E389A7" w14:textId="1E2F681D" w:rsidR="2421BD38" w:rsidRPr="00644495" w:rsidRDefault="0BCE677B" w:rsidP="7AF60685">
      <w:pPr>
        <w:rPr>
          <w:rFonts w:ascii="Century Gothic" w:eastAsia="Times New Roman" w:hAnsi="Century Gothic"/>
          <w:szCs w:val="22"/>
        </w:rPr>
      </w:pPr>
      <w:r w:rsidRPr="00644495">
        <w:rPr>
          <w:rFonts w:ascii="Century Gothic" w:eastAsia="Times New Roman" w:hAnsi="Century Gothic"/>
          <w:szCs w:val="22"/>
        </w:rPr>
        <w:t xml:space="preserve">5. Postsecondary preparation (Students </w:t>
      </w:r>
      <w:r w:rsidR="0EF9D26E" w:rsidRPr="00644495">
        <w:rPr>
          <w:rFonts w:ascii="Century Gothic" w:eastAsia="Times New Roman" w:hAnsi="Century Gothic"/>
          <w:szCs w:val="22"/>
        </w:rPr>
        <w:t xml:space="preserve">grades </w:t>
      </w:r>
      <w:r w:rsidRPr="00644495">
        <w:rPr>
          <w:rFonts w:ascii="Century Gothic" w:eastAsia="Times New Roman" w:hAnsi="Century Gothic"/>
          <w:szCs w:val="22"/>
        </w:rPr>
        <w:t xml:space="preserve">9-12). </w:t>
      </w:r>
      <w:r w:rsidR="00284361" w:rsidRPr="00644495">
        <w:rPr>
          <w:rFonts w:ascii="Century Gothic" w:eastAsia="Times New Roman" w:hAnsi="Century Gothic"/>
          <w:szCs w:val="22"/>
        </w:rPr>
        <w:t xml:space="preserve"> </w:t>
      </w:r>
    </w:p>
    <w:p w14:paraId="3B3A68DB" w14:textId="1EA5CB81" w:rsidR="19B38EFC" w:rsidRPr="00644495" w:rsidRDefault="19B38EFC" w:rsidP="19B38EFC">
      <w:pPr>
        <w:rPr>
          <w:rFonts w:ascii="Century Gothic" w:eastAsia="Times New Roman" w:hAnsi="Century Gothic"/>
          <w:szCs w:val="22"/>
        </w:rPr>
      </w:pPr>
    </w:p>
    <w:p w14:paraId="5B4C747A" w14:textId="6855E6F5" w:rsidR="0011656E" w:rsidRPr="00644495" w:rsidRDefault="00E53514" w:rsidP="414ED316">
      <w:pPr>
        <w:rPr>
          <w:rFonts w:ascii="Century Gothic" w:eastAsia="Times New Roman" w:hAnsi="Century Gothic"/>
        </w:rPr>
      </w:pPr>
      <w:r w:rsidRPr="414ED316">
        <w:rPr>
          <w:rFonts w:ascii="Century Gothic" w:eastAsia="Times New Roman" w:hAnsi="Century Gothic"/>
        </w:rPr>
        <w:lastRenderedPageBreak/>
        <w:t xml:space="preserve">During </w:t>
      </w:r>
      <w:r w:rsidR="00455F8E" w:rsidRPr="414ED316">
        <w:rPr>
          <w:rFonts w:ascii="Century Gothic" w:eastAsia="Times New Roman" w:hAnsi="Century Gothic"/>
        </w:rPr>
        <w:t>FY2</w:t>
      </w:r>
      <w:r w:rsidR="00455F8E">
        <w:rPr>
          <w:rFonts w:ascii="Century Gothic" w:eastAsia="Times New Roman" w:hAnsi="Century Gothic"/>
        </w:rPr>
        <w:t>4</w:t>
      </w:r>
      <w:r w:rsidR="00455F8E" w:rsidRPr="414ED316">
        <w:rPr>
          <w:rFonts w:ascii="Century Gothic" w:eastAsia="Times New Roman" w:hAnsi="Century Gothic"/>
        </w:rPr>
        <w:t xml:space="preserve"> </w:t>
      </w:r>
      <w:r w:rsidRPr="414ED316">
        <w:rPr>
          <w:rFonts w:ascii="Century Gothic" w:eastAsia="Times New Roman" w:hAnsi="Century Gothic"/>
        </w:rPr>
        <w:t>ECC/HANH spent $</w:t>
      </w:r>
      <w:r w:rsidR="033D48BB" w:rsidRPr="414ED316">
        <w:rPr>
          <w:rFonts w:ascii="Century Gothic" w:eastAsia="Times New Roman" w:hAnsi="Century Gothic"/>
        </w:rPr>
        <w:t>4</w:t>
      </w:r>
      <w:r w:rsidR="67DB3958" w:rsidRPr="414ED316">
        <w:rPr>
          <w:rFonts w:ascii="Century Gothic" w:eastAsia="Times New Roman" w:hAnsi="Century Gothic"/>
        </w:rPr>
        <w:t>34,618</w:t>
      </w:r>
      <w:r w:rsidR="033D48BB" w:rsidRPr="414ED316">
        <w:rPr>
          <w:rFonts w:ascii="Century Gothic" w:eastAsia="Times New Roman" w:hAnsi="Century Gothic"/>
        </w:rPr>
        <w:t xml:space="preserve"> </w:t>
      </w:r>
      <w:r w:rsidRPr="414ED316">
        <w:rPr>
          <w:rFonts w:ascii="Century Gothic" w:eastAsia="Times New Roman" w:hAnsi="Century Gothic"/>
        </w:rPr>
        <w:t xml:space="preserve">on </w:t>
      </w:r>
      <w:proofErr w:type="gramStart"/>
      <w:r w:rsidRPr="414ED316">
        <w:rPr>
          <w:rFonts w:ascii="Century Gothic" w:eastAsia="Times New Roman" w:hAnsi="Century Gothic"/>
        </w:rPr>
        <w:t>the ECC</w:t>
      </w:r>
      <w:proofErr w:type="gramEnd"/>
      <w:r w:rsidRPr="414ED316">
        <w:rPr>
          <w:rFonts w:ascii="Century Gothic" w:eastAsia="Times New Roman" w:hAnsi="Century Gothic"/>
        </w:rPr>
        <w:t xml:space="preserve"> Believes! Initiative.</w:t>
      </w:r>
      <w:r w:rsidR="0011656E" w:rsidRPr="414ED316">
        <w:rPr>
          <w:rFonts w:ascii="Century Gothic" w:eastAsia="Times New Roman" w:hAnsi="Century Gothic"/>
        </w:rPr>
        <w:t xml:space="preserve"> </w:t>
      </w:r>
    </w:p>
    <w:p w14:paraId="4219390E" w14:textId="77777777" w:rsidR="0011656E" w:rsidRPr="00644495" w:rsidRDefault="0011656E" w:rsidP="0011656E">
      <w:pPr>
        <w:rPr>
          <w:rFonts w:ascii="Century Gothic" w:eastAsia="Times New Roman" w:hAnsi="Century Gothic"/>
          <w:szCs w:val="22"/>
        </w:rPr>
      </w:pPr>
    </w:p>
    <w:p w14:paraId="2964D7A8" w14:textId="6DC4B6FB" w:rsidR="0011656E" w:rsidRPr="00D96E51" w:rsidRDefault="2DD44D2A" w:rsidP="0011656E">
      <w:pPr>
        <w:rPr>
          <w:rFonts w:ascii="Century Gothic" w:eastAsia="Times New Roman" w:hAnsi="Century Gothic"/>
        </w:rPr>
      </w:pPr>
      <w:r w:rsidRPr="005C1456">
        <w:rPr>
          <w:rFonts w:ascii="Century Gothic" w:eastAsia="Times New Roman" w:hAnsi="Century Gothic"/>
        </w:rPr>
        <w:t>In FY2</w:t>
      </w:r>
      <w:r w:rsidR="54DC8241" w:rsidRPr="005C1456">
        <w:rPr>
          <w:rFonts w:ascii="Century Gothic" w:eastAsia="Times New Roman" w:hAnsi="Century Gothic"/>
        </w:rPr>
        <w:t>4</w:t>
      </w:r>
      <w:r w:rsidRPr="005C1456">
        <w:rPr>
          <w:rFonts w:ascii="Century Gothic" w:eastAsia="Times New Roman" w:hAnsi="Century Gothic"/>
        </w:rPr>
        <w:t>, ECC</w:t>
      </w:r>
      <w:r w:rsidR="3AB6F693" w:rsidRPr="005C1456">
        <w:rPr>
          <w:rFonts w:ascii="Century Gothic" w:eastAsia="Times New Roman" w:hAnsi="Century Gothic"/>
        </w:rPr>
        <w:t>/HANH</w:t>
      </w:r>
      <w:r w:rsidRPr="005C1456">
        <w:rPr>
          <w:rFonts w:ascii="Century Gothic" w:eastAsia="Times New Roman" w:hAnsi="Century Gothic"/>
        </w:rPr>
        <w:t xml:space="preserve"> Believes served 1,</w:t>
      </w:r>
      <w:r w:rsidR="00073009" w:rsidRPr="005C1456">
        <w:rPr>
          <w:rFonts w:ascii="Century Gothic" w:eastAsia="Times New Roman" w:hAnsi="Century Gothic"/>
        </w:rPr>
        <w:t>552</w:t>
      </w:r>
      <w:r w:rsidR="3714F9EC" w:rsidRPr="005C1456">
        <w:rPr>
          <w:rFonts w:ascii="Century Gothic" w:eastAsia="Times New Roman" w:hAnsi="Century Gothic"/>
        </w:rPr>
        <w:t xml:space="preserve"> </w:t>
      </w:r>
      <w:r w:rsidR="66A502A5" w:rsidRPr="005C1456">
        <w:rPr>
          <w:rFonts w:ascii="Century Gothic" w:eastAsia="Times New Roman" w:hAnsi="Century Gothic"/>
        </w:rPr>
        <w:t xml:space="preserve">youth </w:t>
      </w:r>
      <w:r w:rsidR="67DA51E6" w:rsidRPr="005C1456">
        <w:rPr>
          <w:rFonts w:ascii="Century Gothic" w:eastAsia="Times New Roman" w:hAnsi="Century Gothic"/>
        </w:rPr>
        <w:t>(</w:t>
      </w:r>
      <w:r w:rsidR="007C146F" w:rsidRPr="005C1456">
        <w:rPr>
          <w:rFonts w:ascii="Century Gothic" w:eastAsia="Times New Roman" w:hAnsi="Century Gothic"/>
        </w:rPr>
        <w:t>34</w:t>
      </w:r>
      <w:r w:rsidR="67DA51E6" w:rsidRPr="005C1456">
        <w:rPr>
          <w:rFonts w:ascii="Century Gothic" w:eastAsia="Times New Roman" w:hAnsi="Century Gothic"/>
        </w:rPr>
        <w:t xml:space="preserve">%) </w:t>
      </w:r>
      <w:r w:rsidRPr="005C1456">
        <w:rPr>
          <w:rFonts w:ascii="Century Gothic" w:eastAsia="Times New Roman" w:hAnsi="Century Gothic"/>
        </w:rPr>
        <w:t xml:space="preserve">out of </w:t>
      </w:r>
      <w:r w:rsidR="59AC0045" w:rsidRPr="005C1456">
        <w:rPr>
          <w:rFonts w:ascii="Century Gothic" w:eastAsia="Times New Roman" w:hAnsi="Century Gothic"/>
        </w:rPr>
        <w:t xml:space="preserve">4526 </w:t>
      </w:r>
      <w:r w:rsidRPr="005C1456">
        <w:rPr>
          <w:rFonts w:ascii="Century Gothic" w:eastAsia="Times New Roman" w:hAnsi="Century Gothic"/>
        </w:rPr>
        <w:t>youth</w:t>
      </w:r>
      <w:r w:rsidR="2293C9F1" w:rsidRPr="005C1456">
        <w:rPr>
          <w:rFonts w:ascii="Century Gothic" w:eastAsia="Times New Roman" w:hAnsi="Century Gothic"/>
        </w:rPr>
        <w:t xml:space="preserve"> (0-18 years old) </w:t>
      </w:r>
      <w:r w:rsidR="27379B9C" w:rsidRPr="005C1456">
        <w:rPr>
          <w:rFonts w:ascii="Century Gothic" w:eastAsia="Times New Roman" w:hAnsi="Century Gothic"/>
        </w:rPr>
        <w:t xml:space="preserve">in </w:t>
      </w:r>
      <w:r w:rsidR="00073009" w:rsidRPr="005C1456">
        <w:rPr>
          <w:rFonts w:ascii="Century Gothic" w:eastAsia="Times New Roman" w:hAnsi="Century Gothic"/>
        </w:rPr>
        <w:t>the LIPH and HCV programs</w:t>
      </w:r>
      <w:r w:rsidR="007C146F" w:rsidRPr="005C1456">
        <w:rPr>
          <w:rFonts w:ascii="Century Gothic" w:eastAsia="Times New Roman" w:hAnsi="Century Gothic"/>
        </w:rPr>
        <w:t>.</w:t>
      </w:r>
      <w:r w:rsidRPr="005C1456">
        <w:rPr>
          <w:rFonts w:ascii="Century Gothic" w:eastAsia="Times New Roman" w:hAnsi="Century Gothic"/>
        </w:rPr>
        <w:t xml:space="preserve"> </w:t>
      </w:r>
      <w:r w:rsidR="242F6D41" w:rsidRPr="005C1456">
        <w:rPr>
          <w:rFonts w:ascii="Century Gothic" w:eastAsia="Times New Roman" w:hAnsi="Century Gothic"/>
        </w:rPr>
        <w:t xml:space="preserve"> </w:t>
      </w:r>
      <w:r w:rsidR="003177E9" w:rsidRPr="005C1456">
        <w:rPr>
          <w:rFonts w:ascii="Century Gothic" w:eastAsia="Times New Roman" w:hAnsi="Century Gothic"/>
        </w:rPr>
        <w:t>However, y</w:t>
      </w:r>
      <w:r w:rsidRPr="005C1456">
        <w:rPr>
          <w:rFonts w:ascii="Century Gothic" w:eastAsia="Times New Roman" w:hAnsi="Century Gothic"/>
        </w:rPr>
        <w:t xml:space="preserve">outh engagement </w:t>
      </w:r>
      <w:r w:rsidR="003177E9" w:rsidRPr="005C1456">
        <w:rPr>
          <w:rFonts w:ascii="Century Gothic" w:eastAsia="Times New Roman" w:hAnsi="Century Gothic"/>
        </w:rPr>
        <w:t>decreased</w:t>
      </w:r>
      <w:r w:rsidRPr="005C1456">
        <w:rPr>
          <w:rFonts w:ascii="Century Gothic" w:eastAsia="Times New Roman" w:hAnsi="Century Gothic"/>
        </w:rPr>
        <w:t xml:space="preserve"> by </w:t>
      </w:r>
      <w:r w:rsidR="005C1456" w:rsidRPr="005C1456">
        <w:rPr>
          <w:rFonts w:ascii="Century Gothic" w:eastAsia="Times New Roman" w:hAnsi="Century Gothic"/>
        </w:rPr>
        <w:t>7</w:t>
      </w:r>
      <w:r w:rsidRPr="005C1456">
        <w:rPr>
          <w:rFonts w:ascii="Century Gothic" w:eastAsia="Times New Roman" w:hAnsi="Century Gothic"/>
        </w:rPr>
        <w:t>% from FY2</w:t>
      </w:r>
      <w:r w:rsidR="628E4318" w:rsidRPr="005C1456">
        <w:rPr>
          <w:rFonts w:ascii="Century Gothic" w:eastAsia="Times New Roman" w:hAnsi="Century Gothic"/>
        </w:rPr>
        <w:t>3</w:t>
      </w:r>
      <w:r w:rsidR="6D04934A" w:rsidRPr="005C1456">
        <w:rPr>
          <w:rFonts w:ascii="Century Gothic" w:eastAsia="Times New Roman" w:hAnsi="Century Gothic"/>
        </w:rPr>
        <w:t xml:space="preserve"> when 1,662 youth were engaged</w:t>
      </w:r>
      <w:r w:rsidR="3FC0DB05" w:rsidRPr="005C1456">
        <w:rPr>
          <w:rFonts w:ascii="Century Gothic" w:eastAsia="Times New Roman" w:hAnsi="Century Gothic"/>
        </w:rPr>
        <w:t xml:space="preserve">. </w:t>
      </w:r>
      <w:r w:rsidR="0A42097D" w:rsidRPr="005C1456">
        <w:rPr>
          <w:rFonts w:ascii="Century Gothic" w:eastAsia="Times New Roman" w:hAnsi="Century Gothic"/>
        </w:rPr>
        <w:t xml:space="preserve"> As the ECC Believes! initiative grows, ECC/HANH will continue to broaden community partnerships and identify new areas where they can support residents from cradle to career.</w:t>
      </w:r>
    </w:p>
    <w:p w14:paraId="61BF25C0" w14:textId="77777777" w:rsidR="00502B7A" w:rsidRPr="00D96E51" w:rsidRDefault="00502B7A" w:rsidP="35B498EC">
      <w:pPr>
        <w:rPr>
          <w:rFonts w:ascii="Century Gothic" w:eastAsia="Times New Roman" w:hAnsi="Century Gothic"/>
          <w:b/>
          <w:szCs w:val="22"/>
        </w:rPr>
      </w:pPr>
      <w:bookmarkStart w:id="183" w:name="_Hlk135936091"/>
      <w:bookmarkStart w:id="184" w:name="_Hlk135936166"/>
      <w:bookmarkEnd w:id="183"/>
    </w:p>
    <w:p w14:paraId="30A31CFE" w14:textId="06AE249C" w:rsidR="440C5A6C" w:rsidRPr="00D96E51" w:rsidRDefault="72D1AAF0" w:rsidP="35B498EC">
      <w:pPr>
        <w:rPr>
          <w:rFonts w:ascii="Century Gothic" w:eastAsia="Times New Roman" w:hAnsi="Century Gothic"/>
          <w:b/>
          <w:bCs/>
          <w:szCs w:val="22"/>
          <w:u w:val="single"/>
        </w:rPr>
      </w:pPr>
      <w:r w:rsidRPr="00D96E51">
        <w:rPr>
          <w:rFonts w:ascii="Century Gothic" w:eastAsia="Times New Roman" w:hAnsi="Century Gothic"/>
          <w:b/>
          <w:bCs/>
          <w:szCs w:val="22"/>
          <w:u w:val="single"/>
        </w:rPr>
        <w:t>Early Childhood</w:t>
      </w:r>
    </w:p>
    <w:bookmarkEnd w:id="184"/>
    <w:p w14:paraId="3DF0519B" w14:textId="332D749E" w:rsidR="0F431EE6" w:rsidRPr="00D96E51" w:rsidRDefault="0F431EE6" w:rsidP="19B38EFC">
      <w:pPr>
        <w:shd w:val="clear" w:color="auto" w:fill="FFFFFF" w:themeFill="background1"/>
        <w:rPr>
          <w:rFonts w:ascii="Century Gothic" w:eastAsia="Times New Roman" w:hAnsi="Century Gothic"/>
          <w:color w:val="000000" w:themeColor="text1"/>
          <w:szCs w:val="22"/>
        </w:rPr>
      </w:pPr>
      <w:r w:rsidRPr="00D96E51">
        <w:rPr>
          <w:rFonts w:ascii="Century Gothic" w:eastAsia="Times New Roman" w:hAnsi="Century Gothic"/>
          <w:color w:val="000000" w:themeColor="text1"/>
          <w:szCs w:val="22"/>
        </w:rPr>
        <w:t xml:space="preserve">(Prenatal to 5 years old).   </w:t>
      </w:r>
    </w:p>
    <w:p w14:paraId="5C37460A" w14:textId="0E7BB8EC" w:rsidR="19B38EFC" w:rsidRPr="00D96E51" w:rsidRDefault="19B38EFC" w:rsidP="19B38EFC">
      <w:pPr>
        <w:shd w:val="clear" w:color="auto" w:fill="FFFFFF" w:themeFill="background1"/>
        <w:rPr>
          <w:rFonts w:ascii="Century Gothic" w:eastAsia="Times New Roman" w:hAnsi="Century Gothic"/>
          <w:color w:val="000000" w:themeColor="text1"/>
          <w:szCs w:val="22"/>
        </w:rPr>
      </w:pPr>
    </w:p>
    <w:p w14:paraId="560AB245" w14:textId="0E29C6B9" w:rsidR="0F431EE6" w:rsidRPr="00D96E51" w:rsidRDefault="0F431EE6" w:rsidP="19B38EFC">
      <w:pPr>
        <w:shd w:val="clear" w:color="auto" w:fill="FFFFFF" w:themeFill="background1"/>
        <w:rPr>
          <w:rFonts w:ascii="Century Gothic" w:eastAsia="Times New Roman" w:hAnsi="Century Gothic"/>
          <w:color w:val="000000" w:themeColor="text1"/>
          <w:szCs w:val="22"/>
          <w:lang w:val="en"/>
        </w:rPr>
      </w:pPr>
      <w:r w:rsidRPr="00D96E51">
        <w:rPr>
          <w:rFonts w:ascii="Century Gothic" w:eastAsia="Times New Roman" w:hAnsi="Century Gothic"/>
          <w:color w:val="000000" w:themeColor="text1"/>
          <w:szCs w:val="22"/>
          <w:lang w:val="en"/>
        </w:rPr>
        <w:t>During FY2</w:t>
      </w:r>
      <w:r w:rsidRPr="00D96E51">
        <w:rPr>
          <w:rFonts w:ascii="Century Gothic" w:eastAsia="Times New Roman" w:hAnsi="Century Gothic"/>
          <w:color w:val="000000" w:themeColor="text1"/>
          <w:szCs w:val="22"/>
          <w:u w:val="single"/>
          <w:lang w:val="en"/>
        </w:rPr>
        <w:t>4</w:t>
      </w:r>
      <w:proofErr w:type="gramStart"/>
      <w:r w:rsidRPr="00D96E51">
        <w:rPr>
          <w:rFonts w:ascii="Century Gothic" w:eastAsia="Times New Roman" w:hAnsi="Century Gothic"/>
          <w:color w:val="000000" w:themeColor="text1"/>
          <w:szCs w:val="22"/>
          <w:lang w:val="en"/>
        </w:rPr>
        <w:t>, agency wide</w:t>
      </w:r>
      <w:proofErr w:type="gramEnd"/>
      <w:r w:rsidRPr="00D96E51">
        <w:rPr>
          <w:rFonts w:ascii="Century Gothic" w:eastAsia="Times New Roman" w:hAnsi="Century Gothic"/>
          <w:color w:val="000000" w:themeColor="text1"/>
          <w:szCs w:val="22"/>
          <w:lang w:val="en"/>
        </w:rPr>
        <w:t xml:space="preserve"> there were 244 children up to age 5.</w:t>
      </w:r>
    </w:p>
    <w:p w14:paraId="20805839" w14:textId="0C1347AC" w:rsidR="19B38EFC" w:rsidRPr="00D96E51" w:rsidRDefault="19B38EFC" w:rsidP="19B38EFC">
      <w:pPr>
        <w:rPr>
          <w:rFonts w:ascii="Century Gothic" w:eastAsia="Times New Roman" w:hAnsi="Century Gothic"/>
          <w:b/>
          <w:bCs/>
          <w:szCs w:val="22"/>
          <w:u w:val="single"/>
        </w:rPr>
      </w:pPr>
    </w:p>
    <w:p w14:paraId="33D436B5" w14:textId="7D7C8F7C" w:rsidR="440C5A6C" w:rsidRPr="00D96E51" w:rsidRDefault="1EA2C0B8" w:rsidP="00D96E51">
      <w:pPr>
        <w:shd w:val="clear" w:color="auto" w:fill="FFFFFF" w:themeFill="background1"/>
        <w:rPr>
          <w:rFonts w:ascii="Century Gothic" w:eastAsia="Times New Roman" w:hAnsi="Century Gothic"/>
          <w:color w:val="000000" w:themeColor="text1"/>
          <w:szCs w:val="22"/>
          <w:lang w:val="en"/>
        </w:rPr>
      </w:pPr>
      <w:r w:rsidRPr="00D96E51">
        <w:rPr>
          <w:rFonts w:ascii="Century Gothic" w:eastAsia="Times New Roman" w:hAnsi="Century Gothic"/>
          <w:szCs w:val="22"/>
        </w:rPr>
        <w:t>ECC</w:t>
      </w:r>
      <w:r w:rsidR="6AAC4E29" w:rsidRPr="00D96E51">
        <w:rPr>
          <w:rFonts w:ascii="Century Gothic" w:eastAsia="Times New Roman" w:hAnsi="Century Gothic"/>
          <w:szCs w:val="22"/>
        </w:rPr>
        <w:t>/HANH</w:t>
      </w:r>
      <w:r w:rsidRPr="00D96E51">
        <w:rPr>
          <w:rFonts w:ascii="Century Gothic" w:eastAsia="Times New Roman" w:hAnsi="Century Gothic"/>
          <w:szCs w:val="22"/>
        </w:rPr>
        <w:t xml:space="preserve"> has </w:t>
      </w:r>
      <w:bookmarkStart w:id="185" w:name="_Hlk135936190"/>
      <w:r w:rsidRPr="00D96E51">
        <w:rPr>
          <w:rFonts w:ascii="Century Gothic" w:eastAsia="Times New Roman" w:hAnsi="Century Gothic"/>
          <w:szCs w:val="22"/>
        </w:rPr>
        <w:t>established a partnership with the New Haven Early Childhood Council and United Way</w:t>
      </w:r>
      <w:r w:rsidR="05718CCF" w:rsidRPr="00D96E51">
        <w:rPr>
          <w:rFonts w:ascii="Century Gothic" w:eastAsia="Times New Roman" w:hAnsi="Century Gothic"/>
          <w:szCs w:val="22"/>
        </w:rPr>
        <w:t xml:space="preserve"> who assist Early Head Start </w:t>
      </w:r>
      <w:proofErr w:type="gramStart"/>
      <w:r w:rsidR="05718CCF" w:rsidRPr="00D96E51">
        <w:rPr>
          <w:rFonts w:ascii="Century Gothic" w:eastAsia="Times New Roman" w:hAnsi="Century Gothic"/>
          <w:szCs w:val="22"/>
        </w:rPr>
        <w:t>programs,</w:t>
      </w:r>
      <w:proofErr w:type="gramEnd"/>
      <w:r w:rsidR="05718CCF" w:rsidRPr="00D96E51">
        <w:rPr>
          <w:rFonts w:ascii="Century Gothic" w:eastAsia="Times New Roman" w:hAnsi="Century Gothic"/>
          <w:szCs w:val="22"/>
        </w:rPr>
        <w:t xml:space="preserve"> literacy resources</w:t>
      </w:r>
      <w:r w:rsidR="00456C31">
        <w:rPr>
          <w:rFonts w:ascii="Century Gothic" w:eastAsia="Times New Roman" w:hAnsi="Century Gothic"/>
          <w:szCs w:val="22"/>
        </w:rPr>
        <w:t>.</w:t>
      </w:r>
      <w:r w:rsidR="05718CCF" w:rsidRPr="00D96E51">
        <w:rPr>
          <w:rFonts w:ascii="Century Gothic" w:eastAsia="Times New Roman" w:hAnsi="Century Gothic"/>
          <w:szCs w:val="22"/>
        </w:rPr>
        <w:t xml:space="preserve"> </w:t>
      </w:r>
      <w:r w:rsidR="00456C31">
        <w:rPr>
          <w:rFonts w:ascii="Century Gothic" w:eastAsia="Times New Roman" w:hAnsi="Century Gothic"/>
          <w:szCs w:val="22"/>
        </w:rPr>
        <w:t xml:space="preserve"> </w:t>
      </w:r>
      <w:r w:rsidR="205A9A9F" w:rsidRPr="00D96E51">
        <w:rPr>
          <w:rFonts w:ascii="Century Gothic" w:eastAsia="Times New Roman" w:hAnsi="Century Gothic"/>
          <w:szCs w:val="22"/>
        </w:rPr>
        <w:t xml:space="preserve">CARE for Kids </w:t>
      </w:r>
      <w:r w:rsidR="00456C31">
        <w:rPr>
          <w:rFonts w:ascii="Century Gothic" w:eastAsia="Times New Roman" w:hAnsi="Century Gothic"/>
          <w:szCs w:val="22"/>
        </w:rPr>
        <w:t xml:space="preserve">for </w:t>
      </w:r>
      <w:r w:rsidR="205A9A9F" w:rsidRPr="00D96E51">
        <w:rPr>
          <w:rFonts w:ascii="Century Gothic" w:eastAsia="Times New Roman" w:hAnsi="Century Gothic"/>
          <w:szCs w:val="22"/>
        </w:rPr>
        <w:t xml:space="preserve">tuition assistance </w:t>
      </w:r>
      <w:r w:rsidR="05718CCF" w:rsidRPr="00D96E51">
        <w:rPr>
          <w:rFonts w:ascii="Century Gothic" w:eastAsia="Times New Roman" w:hAnsi="Century Gothic"/>
          <w:szCs w:val="22"/>
        </w:rPr>
        <w:t>and</w:t>
      </w:r>
      <w:r w:rsidRPr="00D96E51">
        <w:rPr>
          <w:rFonts w:ascii="Century Gothic" w:eastAsia="Times New Roman" w:hAnsi="Century Gothic"/>
          <w:szCs w:val="22"/>
        </w:rPr>
        <w:t xml:space="preserve"> to increase family engagement and impact early childhood outcomes through resident training programs, on site workshops and </w:t>
      </w:r>
      <w:r w:rsidR="00EE5C5C" w:rsidRPr="00D96E51">
        <w:rPr>
          <w:rFonts w:ascii="Century Gothic" w:eastAsia="Times New Roman" w:hAnsi="Century Gothic"/>
          <w:szCs w:val="22"/>
        </w:rPr>
        <w:t>quarterly Early</w:t>
      </w:r>
      <w:r w:rsidR="0D34C4C7" w:rsidRPr="00D96E51">
        <w:rPr>
          <w:rFonts w:ascii="Century Gothic" w:eastAsia="Times New Roman" w:hAnsi="Century Gothic"/>
          <w:szCs w:val="22"/>
        </w:rPr>
        <w:t xml:space="preserve"> Childhood Information Sessions</w:t>
      </w:r>
      <w:r w:rsidR="00A83A39">
        <w:rPr>
          <w:rFonts w:ascii="Century Gothic" w:eastAsia="Times New Roman" w:hAnsi="Century Gothic"/>
          <w:szCs w:val="22"/>
        </w:rPr>
        <w:t>.</w:t>
      </w:r>
      <w:r w:rsidR="43597FF6" w:rsidRPr="00D96E51">
        <w:rPr>
          <w:rFonts w:ascii="Century Gothic" w:eastAsia="Times New Roman" w:hAnsi="Century Gothic"/>
          <w:szCs w:val="22"/>
        </w:rPr>
        <w:t xml:space="preserve"> </w:t>
      </w:r>
      <w:bookmarkEnd w:id="185"/>
    </w:p>
    <w:p w14:paraId="5A6E9711" w14:textId="0EB089F8" w:rsidR="440C5A6C" w:rsidRPr="00D96E51" w:rsidRDefault="440C5A6C" w:rsidP="19B38EFC">
      <w:pPr>
        <w:shd w:val="clear" w:color="auto" w:fill="FFFFFF" w:themeFill="background1"/>
        <w:rPr>
          <w:rFonts w:ascii="Century Gothic" w:eastAsia="Times New Roman" w:hAnsi="Century Gothic"/>
        </w:rPr>
      </w:pPr>
    </w:p>
    <w:p w14:paraId="3B400419" w14:textId="22A6221F" w:rsidR="00BF0CBD" w:rsidRDefault="2A0E6F70" w:rsidP="19B38EFC">
      <w:pPr>
        <w:shd w:val="clear" w:color="auto" w:fill="FFFFFF" w:themeFill="background1"/>
        <w:rPr>
          <w:rFonts w:ascii="Century Gothic" w:eastAsia="Times New Roman" w:hAnsi="Century Gothic"/>
          <w:color w:val="000000" w:themeColor="text1"/>
          <w:lang w:val="en"/>
        </w:rPr>
      </w:pPr>
      <w:r w:rsidRPr="4EB6BE86">
        <w:rPr>
          <w:rFonts w:ascii="Century Gothic" w:eastAsia="Times New Roman" w:hAnsi="Century Gothic"/>
        </w:rPr>
        <w:t xml:space="preserve">Additionally, ECC/HANH </w:t>
      </w:r>
      <w:r w:rsidR="73E66511" w:rsidRPr="4EB6BE86">
        <w:rPr>
          <w:rFonts w:ascii="Century Gothic" w:eastAsia="Times New Roman" w:hAnsi="Century Gothic"/>
        </w:rPr>
        <w:t xml:space="preserve">partnered with </w:t>
      </w:r>
      <w:r w:rsidR="396AC7F3" w:rsidRPr="4EB6BE86">
        <w:rPr>
          <w:rFonts w:ascii="Century Gothic" w:eastAsia="Times New Roman" w:hAnsi="Century Gothic"/>
        </w:rPr>
        <w:t xml:space="preserve">Parents, Partners and Peers </w:t>
      </w:r>
      <w:r w:rsidR="0F6B81E6" w:rsidRPr="4EB6BE86">
        <w:rPr>
          <w:rFonts w:ascii="Century Gothic" w:eastAsia="Times New Roman" w:hAnsi="Century Gothic"/>
        </w:rPr>
        <w:t xml:space="preserve">(PPP) Program </w:t>
      </w:r>
      <w:r w:rsidR="01385B6E" w:rsidRPr="4EB6BE86">
        <w:rPr>
          <w:rFonts w:ascii="Century Gothic" w:eastAsia="Times New Roman" w:hAnsi="Century Gothic"/>
        </w:rPr>
        <w:t xml:space="preserve">with </w:t>
      </w:r>
      <w:r w:rsidR="0F6B81E6" w:rsidRPr="4EB6BE86">
        <w:rPr>
          <w:rFonts w:ascii="Century Gothic" w:eastAsia="Times New Roman" w:hAnsi="Century Gothic"/>
          <w:color w:val="191919"/>
        </w:rPr>
        <w:t>the Comer School Development Program (SDP) at the Yale Child Study Center</w:t>
      </w:r>
      <w:r w:rsidR="3FD5FE9F" w:rsidRPr="4EB6BE86">
        <w:rPr>
          <w:rFonts w:ascii="Century Gothic" w:eastAsia="Times New Roman" w:hAnsi="Century Gothic"/>
          <w:color w:val="191919"/>
        </w:rPr>
        <w:t xml:space="preserve"> to offer a program to </w:t>
      </w:r>
      <w:r w:rsidR="0771BC2C" w:rsidRPr="4EB6BE86">
        <w:rPr>
          <w:rFonts w:ascii="Century Gothic" w:eastAsia="Times New Roman" w:hAnsi="Century Gothic"/>
          <w:color w:val="191919"/>
        </w:rPr>
        <w:t>train</w:t>
      </w:r>
      <w:r w:rsidR="79C51E86" w:rsidRPr="4EB6BE86">
        <w:rPr>
          <w:rFonts w:ascii="Century Gothic" w:eastAsia="Times New Roman" w:hAnsi="Century Gothic"/>
          <w:color w:val="191919"/>
        </w:rPr>
        <w:t xml:space="preserve"> </w:t>
      </w:r>
      <w:r w:rsidR="0771BC2C" w:rsidRPr="4EB6BE86">
        <w:rPr>
          <w:rFonts w:ascii="Century Gothic" w:eastAsia="Times New Roman" w:hAnsi="Century Gothic"/>
          <w:color w:val="191919"/>
        </w:rPr>
        <w:t xml:space="preserve">six Parent Leaders around </w:t>
      </w:r>
      <w:r w:rsidRPr="4EB6BE86">
        <w:rPr>
          <w:rFonts w:ascii="Century Gothic" w:eastAsia="Times New Roman" w:hAnsi="Century Gothic"/>
          <w:color w:val="000000" w:themeColor="text1"/>
          <w:lang w:val="en"/>
        </w:rPr>
        <w:t xml:space="preserve">child growth, development, and effective parenting strategies. </w:t>
      </w:r>
    </w:p>
    <w:p w14:paraId="174BAA3C" w14:textId="60429BEA" w:rsidR="00BF0CBD" w:rsidRDefault="00BF0CBD" w:rsidP="19B38EFC">
      <w:pPr>
        <w:shd w:val="clear" w:color="auto" w:fill="FFFFFF" w:themeFill="background1"/>
        <w:rPr>
          <w:rFonts w:ascii="Century Gothic" w:eastAsia="Times New Roman" w:hAnsi="Century Gothic"/>
          <w:color w:val="000000" w:themeColor="text1"/>
          <w:lang w:val="en"/>
        </w:rPr>
      </w:pPr>
    </w:p>
    <w:p w14:paraId="56023661" w14:textId="58E2FE89" w:rsidR="440C5A6C" w:rsidRPr="00D96E51" w:rsidRDefault="2A0E6F70" w:rsidP="2C9E94B2">
      <w:pPr>
        <w:shd w:val="clear" w:color="auto" w:fill="FFFFFF" w:themeFill="background1"/>
        <w:rPr>
          <w:rFonts w:ascii="Century Gothic" w:eastAsia="Times New Roman" w:hAnsi="Century Gothic"/>
          <w:color w:val="000000" w:themeColor="text1"/>
        </w:rPr>
      </w:pPr>
      <w:r w:rsidRPr="2C9E94B2">
        <w:rPr>
          <w:rFonts w:ascii="Century Gothic" w:eastAsia="Times New Roman" w:hAnsi="Century Gothic"/>
          <w:color w:val="000000" w:themeColor="text1"/>
        </w:rPr>
        <w:t>Through hands-on learning and guidance on best practices, families build stronger bonds and create supportive, nurturing environments for children to thrive.</w:t>
      </w:r>
      <w:r w:rsidR="01121447" w:rsidRPr="2C9E94B2">
        <w:rPr>
          <w:rFonts w:ascii="Century Gothic" w:eastAsia="Times New Roman" w:hAnsi="Century Gothic"/>
          <w:color w:val="000000" w:themeColor="text1"/>
        </w:rPr>
        <w:t xml:space="preserve"> Following the pr</w:t>
      </w:r>
      <w:r w:rsidR="43DD64AF" w:rsidRPr="2C9E94B2">
        <w:rPr>
          <w:rFonts w:ascii="Century Gothic" w:eastAsia="Times New Roman" w:hAnsi="Century Gothic"/>
          <w:color w:val="000000" w:themeColor="text1"/>
        </w:rPr>
        <w:t>o</w:t>
      </w:r>
      <w:r w:rsidR="01121447" w:rsidRPr="2C9E94B2">
        <w:rPr>
          <w:rFonts w:ascii="Century Gothic" w:eastAsia="Times New Roman" w:hAnsi="Century Gothic"/>
          <w:color w:val="000000" w:themeColor="text1"/>
        </w:rPr>
        <w:t>gram, participants reported feeling less tense and anxious about being a parent (75% pre</w:t>
      </w:r>
      <w:r w:rsidR="363CB371" w:rsidRPr="2C9E94B2">
        <w:rPr>
          <w:rFonts w:ascii="Century Gothic" w:eastAsia="Times New Roman" w:hAnsi="Century Gothic"/>
          <w:color w:val="000000" w:themeColor="text1"/>
        </w:rPr>
        <w:t xml:space="preserve"> and 25% post).</w:t>
      </w:r>
      <w:r w:rsidR="0F047287" w:rsidRPr="2C9E94B2">
        <w:rPr>
          <w:rFonts w:ascii="Century Gothic" w:eastAsia="Times New Roman" w:hAnsi="Century Gothic"/>
          <w:color w:val="000000" w:themeColor="text1"/>
        </w:rPr>
        <w:t xml:space="preserve"> Additionally, of parents who attended, 5% reported </w:t>
      </w:r>
      <w:r w:rsidR="2A19A42C" w:rsidRPr="2C9E94B2">
        <w:rPr>
          <w:rFonts w:ascii="Century Gothic" w:eastAsia="Times New Roman" w:hAnsi="Century Gothic"/>
          <w:color w:val="000000" w:themeColor="text1"/>
        </w:rPr>
        <w:t xml:space="preserve">at the start, they </w:t>
      </w:r>
      <w:r w:rsidR="0F047287" w:rsidRPr="2C9E94B2">
        <w:rPr>
          <w:rFonts w:ascii="Century Gothic" w:eastAsia="Times New Roman" w:hAnsi="Century Gothic"/>
          <w:color w:val="000000" w:themeColor="text1"/>
        </w:rPr>
        <w:t>felt familiar with the role of motherhood</w:t>
      </w:r>
      <w:r w:rsidR="68C6ED3E" w:rsidRPr="2C9E94B2">
        <w:rPr>
          <w:rFonts w:ascii="Century Gothic" w:eastAsia="Times New Roman" w:hAnsi="Century Gothic"/>
          <w:color w:val="000000" w:themeColor="text1"/>
        </w:rPr>
        <w:t xml:space="preserve"> compared to 45% at the end of the program.</w:t>
      </w:r>
    </w:p>
    <w:p w14:paraId="480445AB" w14:textId="01CD9C79" w:rsidR="69F217B3" w:rsidRPr="00D96E51" w:rsidRDefault="69F217B3" w:rsidP="19B38EFC">
      <w:pPr>
        <w:shd w:val="clear" w:color="auto" w:fill="FFFFFF" w:themeFill="background1"/>
        <w:rPr>
          <w:rFonts w:ascii="Century Gothic" w:eastAsia="Times New Roman" w:hAnsi="Century Gothic"/>
          <w:color w:val="000000" w:themeColor="text1"/>
          <w:szCs w:val="22"/>
          <w:lang w:val="en"/>
        </w:rPr>
      </w:pPr>
    </w:p>
    <w:p w14:paraId="03581628" w14:textId="1FCD1230" w:rsidR="440C5A6C" w:rsidRPr="00D96E51" w:rsidRDefault="55E08744" w:rsidP="35B498EC">
      <w:pPr>
        <w:rPr>
          <w:rFonts w:ascii="Century Gothic" w:eastAsia="Times New Roman" w:hAnsi="Century Gothic"/>
          <w:b/>
          <w:bCs/>
          <w:szCs w:val="22"/>
          <w:u w:val="single"/>
        </w:rPr>
      </w:pPr>
      <w:r w:rsidRPr="00D96E51">
        <w:rPr>
          <w:rFonts w:ascii="Century Gothic" w:eastAsia="Times New Roman" w:hAnsi="Century Gothic"/>
          <w:color w:val="000000" w:themeColor="text1"/>
          <w:szCs w:val="22"/>
        </w:rPr>
        <w:t xml:space="preserve">Through a partnership with Connecticut Diaper Bank, ECC/HANH has provided diapers monthly to 54 families. </w:t>
      </w:r>
      <w:r w:rsidR="50B74F40" w:rsidRPr="00D96E51">
        <w:rPr>
          <w:rFonts w:ascii="Century Gothic" w:eastAsia="Times New Roman" w:hAnsi="Century Gothic"/>
          <w:b/>
          <w:bCs/>
          <w:szCs w:val="22"/>
          <w:u w:val="single"/>
        </w:rPr>
        <w:t>Family Engagement</w:t>
      </w:r>
    </w:p>
    <w:p w14:paraId="1E3FB7AB" w14:textId="73558BD3" w:rsidR="440C5A6C" w:rsidRPr="00D96E51" w:rsidRDefault="7FC26565" w:rsidP="188A1EBF">
      <w:pPr>
        <w:rPr>
          <w:rFonts w:ascii="Century Gothic" w:eastAsia="Times New Roman" w:hAnsi="Century Gothic"/>
        </w:rPr>
      </w:pPr>
      <w:r w:rsidRPr="188A1EBF">
        <w:rPr>
          <w:rFonts w:ascii="Century Gothic" w:eastAsia="Times New Roman" w:hAnsi="Century Gothic"/>
        </w:rPr>
        <w:t>In FY2</w:t>
      </w:r>
      <w:r w:rsidR="312E808D" w:rsidRPr="188A1EBF">
        <w:rPr>
          <w:rFonts w:ascii="Century Gothic" w:eastAsia="Times New Roman" w:hAnsi="Century Gothic"/>
        </w:rPr>
        <w:t>4</w:t>
      </w:r>
      <w:r w:rsidRPr="188A1EBF">
        <w:rPr>
          <w:rFonts w:ascii="Century Gothic" w:eastAsia="Times New Roman" w:hAnsi="Century Gothic"/>
        </w:rPr>
        <w:t xml:space="preserve">, </w:t>
      </w:r>
      <w:r w:rsidR="422347A7" w:rsidRPr="188A1EBF">
        <w:rPr>
          <w:rFonts w:ascii="Century Gothic" w:eastAsia="Times New Roman" w:hAnsi="Century Gothic"/>
        </w:rPr>
        <w:t>ECC/HANH</w:t>
      </w:r>
      <w:r w:rsidRPr="188A1EBF">
        <w:rPr>
          <w:rFonts w:ascii="Century Gothic" w:eastAsia="Times New Roman" w:hAnsi="Century Gothic"/>
        </w:rPr>
        <w:t xml:space="preserve"> celebrated National Summer Learning Week with </w:t>
      </w:r>
      <w:proofErr w:type="gramStart"/>
      <w:r w:rsidRPr="188A1EBF">
        <w:rPr>
          <w:rFonts w:ascii="Century Gothic" w:eastAsia="Times New Roman" w:hAnsi="Century Gothic"/>
        </w:rPr>
        <w:t>a number of</w:t>
      </w:r>
      <w:proofErr w:type="gramEnd"/>
      <w:r w:rsidRPr="188A1EBF">
        <w:rPr>
          <w:rFonts w:ascii="Century Gothic" w:eastAsia="Times New Roman" w:hAnsi="Century Gothic"/>
        </w:rPr>
        <w:t xml:space="preserve"> community events to engage families. </w:t>
      </w:r>
      <w:r w:rsidR="6AB34E30" w:rsidRPr="188A1EBF">
        <w:rPr>
          <w:rFonts w:ascii="Century Gothic" w:eastAsia="Times New Roman" w:hAnsi="Century Gothic"/>
        </w:rPr>
        <w:t xml:space="preserve"> </w:t>
      </w:r>
      <w:r w:rsidR="6439BAB6" w:rsidRPr="188A1EBF">
        <w:rPr>
          <w:rFonts w:ascii="Century Gothic" w:eastAsia="Times New Roman" w:hAnsi="Century Gothic"/>
        </w:rPr>
        <w:t xml:space="preserve">EC/HANH </w:t>
      </w:r>
      <w:r w:rsidR="6C17199F" w:rsidRPr="188A1EBF">
        <w:rPr>
          <w:rFonts w:ascii="Century Gothic" w:eastAsia="Times New Roman" w:hAnsi="Century Gothic"/>
        </w:rPr>
        <w:t xml:space="preserve">hosted Family Fun Day </w:t>
      </w:r>
      <w:r w:rsidR="025DED9D" w:rsidRPr="188A1EBF">
        <w:rPr>
          <w:rFonts w:ascii="Century Gothic" w:eastAsia="Times New Roman" w:hAnsi="Century Gothic"/>
        </w:rPr>
        <w:t xml:space="preserve">events </w:t>
      </w:r>
      <w:r w:rsidRPr="188A1EBF">
        <w:rPr>
          <w:rFonts w:ascii="Century Gothic" w:eastAsia="Times New Roman" w:hAnsi="Century Gothic"/>
        </w:rPr>
        <w:t xml:space="preserve">at, Eastview Terrace and </w:t>
      </w:r>
      <w:r w:rsidR="47AEB6D3" w:rsidRPr="188A1EBF">
        <w:rPr>
          <w:rFonts w:ascii="Century Gothic" w:eastAsia="Times New Roman" w:hAnsi="Century Gothic"/>
        </w:rPr>
        <w:t xml:space="preserve">the </w:t>
      </w:r>
      <w:r w:rsidRPr="188A1EBF">
        <w:rPr>
          <w:rFonts w:ascii="Century Gothic" w:eastAsia="Times New Roman" w:hAnsi="Century Gothic"/>
        </w:rPr>
        <w:t xml:space="preserve">West Rock Community Center. </w:t>
      </w:r>
      <w:r w:rsidR="36739EF6" w:rsidRPr="188A1EBF">
        <w:rPr>
          <w:rFonts w:ascii="Century Gothic" w:eastAsia="Times New Roman" w:hAnsi="Century Gothic"/>
        </w:rPr>
        <w:t xml:space="preserve"> </w:t>
      </w:r>
      <w:r w:rsidR="079405A6" w:rsidRPr="188A1EBF">
        <w:rPr>
          <w:rFonts w:ascii="Century Gothic" w:eastAsia="Times New Roman" w:hAnsi="Century Gothic"/>
        </w:rPr>
        <w:t>607</w:t>
      </w:r>
      <w:r w:rsidR="3A012428" w:rsidRPr="188A1EBF">
        <w:rPr>
          <w:rFonts w:ascii="Century Gothic" w:eastAsia="Times New Roman" w:hAnsi="Century Gothic"/>
        </w:rPr>
        <w:t xml:space="preserve"> </w:t>
      </w:r>
      <w:r w:rsidR="7DD824D8" w:rsidRPr="188A1EBF">
        <w:rPr>
          <w:rFonts w:ascii="Century Gothic" w:eastAsia="Times New Roman" w:hAnsi="Century Gothic"/>
        </w:rPr>
        <w:t>residents</w:t>
      </w:r>
      <w:r w:rsidR="5118E8BC" w:rsidRPr="188A1EBF">
        <w:rPr>
          <w:rFonts w:ascii="Century Gothic" w:eastAsia="Times New Roman" w:hAnsi="Century Gothic"/>
        </w:rPr>
        <w:t>, from various developments participated. This includes youth and adults.</w:t>
      </w:r>
    </w:p>
    <w:p w14:paraId="0DA5AB7A" w14:textId="3AF7D598" w:rsidR="440C5A6C" w:rsidRPr="00D96E51" w:rsidRDefault="440C5A6C" w:rsidP="341CC84A">
      <w:pPr>
        <w:rPr>
          <w:rFonts w:ascii="Century Gothic" w:eastAsia="Times New Roman" w:hAnsi="Century Gothic"/>
        </w:rPr>
      </w:pPr>
    </w:p>
    <w:p w14:paraId="519C6320" w14:textId="33FBE9A9" w:rsidR="2CA740EE" w:rsidRDefault="33ACD060" w:rsidP="00D96E51">
      <w:pPr>
        <w:shd w:val="clear" w:color="auto" w:fill="FFFFFF" w:themeFill="background1"/>
        <w:spacing w:line="360" w:lineRule="auto"/>
        <w:rPr>
          <w:rFonts w:ascii="Century Gothic" w:eastAsia="Times New Roman" w:hAnsi="Century Gothic"/>
          <w:b/>
        </w:rPr>
      </w:pPr>
      <w:r w:rsidRPr="4EB6BE86">
        <w:rPr>
          <w:rFonts w:ascii="Century Gothic" w:eastAsia="Times New Roman" w:hAnsi="Century Gothic"/>
          <w:b/>
        </w:rPr>
        <w:t xml:space="preserve">The week also included </w:t>
      </w:r>
      <w:proofErr w:type="gramStart"/>
      <w:r w:rsidRPr="4EB6BE86">
        <w:rPr>
          <w:rFonts w:ascii="Century Gothic" w:eastAsia="Times New Roman" w:hAnsi="Century Gothic"/>
          <w:b/>
        </w:rPr>
        <w:t>a number of</w:t>
      </w:r>
      <w:proofErr w:type="gramEnd"/>
      <w:r w:rsidRPr="4EB6BE86">
        <w:rPr>
          <w:rFonts w:ascii="Century Gothic" w:eastAsia="Times New Roman" w:hAnsi="Century Gothic"/>
          <w:b/>
        </w:rPr>
        <w:t xml:space="preserve"> field trips</w:t>
      </w:r>
      <w:r w:rsidR="2D5B8536" w:rsidRPr="4EB6BE86">
        <w:rPr>
          <w:rFonts w:ascii="Century Gothic" w:eastAsia="Times New Roman" w:hAnsi="Century Gothic"/>
          <w:b/>
        </w:rPr>
        <w:t xml:space="preserve"> on a variety of topics</w:t>
      </w:r>
      <w:r w:rsidR="00751D11" w:rsidRPr="4EB6BE86">
        <w:rPr>
          <w:rFonts w:ascii="Century Gothic" w:eastAsia="Times New Roman" w:hAnsi="Century Gothic"/>
          <w:b/>
        </w:rPr>
        <w:t>:</w:t>
      </w:r>
      <w:r w:rsidR="2D5B8536" w:rsidRPr="4EB6BE86">
        <w:rPr>
          <w:rFonts w:ascii="Century Gothic" w:eastAsia="Times New Roman" w:hAnsi="Century Gothic"/>
          <w:b/>
        </w:rPr>
        <w:t xml:space="preserve"> </w:t>
      </w:r>
    </w:p>
    <w:p w14:paraId="3C4B1B11" w14:textId="77777777" w:rsidR="000306CE" w:rsidRDefault="000306CE" w:rsidP="00D96E51">
      <w:pPr>
        <w:shd w:val="clear" w:color="auto" w:fill="FFFFFF" w:themeFill="background1"/>
        <w:spacing w:line="360" w:lineRule="auto"/>
        <w:rPr>
          <w:rFonts w:ascii="Century Gothic" w:eastAsia="Times New Roman" w:hAnsi="Century Gothic"/>
          <w:b/>
        </w:rPr>
      </w:pPr>
    </w:p>
    <w:p w14:paraId="762264B0" w14:textId="62ECC7D6" w:rsidR="00751D11" w:rsidRDefault="3BE587DA" w:rsidP="19B38EFC">
      <w:pPr>
        <w:shd w:val="clear" w:color="auto" w:fill="FFFFFF" w:themeFill="background1"/>
        <w:spacing w:line="360" w:lineRule="auto"/>
        <w:rPr>
          <w:rFonts w:ascii="Century Gothic" w:eastAsia="Times New Roman" w:hAnsi="Century Gothic"/>
        </w:rPr>
      </w:pPr>
      <w:r w:rsidRPr="4EB6BE86">
        <w:rPr>
          <w:rFonts w:ascii="Century Gothic" w:eastAsia="Times New Roman" w:hAnsi="Century Gothic"/>
          <w:b/>
        </w:rPr>
        <w:t>STEM (Science, Technology, Engineering, and Math):</w:t>
      </w:r>
      <w:r w:rsidRPr="4EB6BE86">
        <w:rPr>
          <w:rFonts w:ascii="Century Gothic" w:eastAsia="Times New Roman" w:hAnsi="Century Gothic"/>
        </w:rPr>
        <w:t xml:space="preserve"> </w:t>
      </w:r>
    </w:p>
    <w:p w14:paraId="316720BC" w14:textId="1CA16167" w:rsidR="2CA740EE" w:rsidRPr="00D96E51" w:rsidRDefault="3BE587DA" w:rsidP="19B38EFC">
      <w:pPr>
        <w:shd w:val="clear" w:color="auto" w:fill="FFFFFF" w:themeFill="background1"/>
        <w:spacing w:line="360" w:lineRule="auto"/>
        <w:rPr>
          <w:rFonts w:ascii="Century Gothic" w:eastAsia="Times New Roman" w:hAnsi="Century Gothic"/>
          <w:szCs w:val="22"/>
          <w:lang w:val="en"/>
        </w:rPr>
      </w:pPr>
      <w:r w:rsidRPr="00D96E51">
        <w:rPr>
          <w:rFonts w:ascii="Century Gothic" w:eastAsia="Times New Roman" w:hAnsi="Century Gothic"/>
          <w:szCs w:val="22"/>
        </w:rPr>
        <w:t>Youth and families embarked on a bus trip to the Discovery Science Center and Planetarium. This broadened participants' understanding of science, offering hands-on learning that inspired youth to consider future careers in STEM and fostered family bonding through shared educational experiences.</w:t>
      </w:r>
    </w:p>
    <w:p w14:paraId="451D006A" w14:textId="2AA144B7" w:rsidR="2CA740EE" w:rsidRPr="00D96E51" w:rsidRDefault="2CA740EE" w:rsidP="19B38EFC">
      <w:pPr>
        <w:shd w:val="clear" w:color="auto" w:fill="FFFFFF" w:themeFill="background1"/>
        <w:spacing w:line="360" w:lineRule="auto"/>
        <w:rPr>
          <w:rFonts w:ascii="Century Gothic" w:eastAsia="Times New Roman" w:hAnsi="Century Gothic"/>
          <w:szCs w:val="22"/>
        </w:rPr>
      </w:pPr>
    </w:p>
    <w:p w14:paraId="464485B4" w14:textId="193F81CC" w:rsidR="2CA740EE" w:rsidRPr="00D96E51" w:rsidRDefault="006E39DA" w:rsidP="00751D11">
      <w:pPr>
        <w:spacing w:line="276" w:lineRule="auto"/>
        <w:ind w:left="720"/>
        <w:rPr>
          <w:rFonts w:ascii="Century Gothic" w:eastAsia="Times New Roman" w:hAnsi="Century Gothic"/>
          <w:szCs w:val="22"/>
        </w:rPr>
      </w:pPr>
      <w:r w:rsidRPr="00D96E51">
        <w:rPr>
          <w:rFonts w:ascii="Century Gothic" w:eastAsia="Times New Roman" w:hAnsi="Century Gothic"/>
          <w:szCs w:val="22"/>
        </w:rPr>
        <w:t>“I</w:t>
      </w:r>
      <w:r w:rsidR="3BE587DA" w:rsidRPr="00D96E51">
        <w:rPr>
          <w:rFonts w:ascii="Century Gothic" w:eastAsia="Times New Roman" w:hAnsi="Century Gothic"/>
          <w:szCs w:val="22"/>
        </w:rPr>
        <w:t xml:space="preserve"> wanted to attend to Discover and learn new things at a place we've never been. Meet neighbors with similar interests and children of similar age.” - J.F</w:t>
      </w:r>
      <w:r w:rsidR="55B2F8BE" w:rsidRPr="00D96E51">
        <w:rPr>
          <w:rFonts w:ascii="Century Gothic" w:eastAsia="Times New Roman" w:hAnsi="Century Gothic"/>
          <w:szCs w:val="22"/>
        </w:rPr>
        <w:t>.</w:t>
      </w:r>
      <w:r w:rsidR="3BE587DA" w:rsidRPr="00D96E51">
        <w:rPr>
          <w:rFonts w:ascii="Century Gothic" w:eastAsia="Times New Roman" w:hAnsi="Century Gothic"/>
          <w:szCs w:val="22"/>
        </w:rPr>
        <w:t xml:space="preserve"> </w:t>
      </w:r>
    </w:p>
    <w:p w14:paraId="221EA116" w14:textId="5E640D5E" w:rsidR="00751D11" w:rsidRDefault="3BE587DA" w:rsidP="00751D11">
      <w:pPr>
        <w:spacing w:line="276" w:lineRule="auto"/>
        <w:rPr>
          <w:rFonts w:ascii="Century Gothic" w:eastAsia="Times New Roman" w:hAnsi="Century Gothic"/>
        </w:rPr>
      </w:pPr>
      <w:r w:rsidRPr="4EB6BE86">
        <w:rPr>
          <w:rFonts w:ascii="Century Gothic" w:eastAsia="Times New Roman" w:hAnsi="Century Gothic"/>
          <w:b/>
        </w:rPr>
        <w:lastRenderedPageBreak/>
        <w:t>Love of Literacy:</w:t>
      </w:r>
      <w:r w:rsidRPr="4EB6BE86">
        <w:rPr>
          <w:rFonts w:ascii="Century Gothic" w:eastAsia="Times New Roman" w:hAnsi="Century Gothic"/>
        </w:rPr>
        <w:t xml:space="preserve"> </w:t>
      </w:r>
      <w:r w:rsidR="00751D11" w:rsidRPr="4EB6BE86">
        <w:rPr>
          <w:rFonts w:ascii="Century Gothic" w:eastAsia="Times New Roman" w:hAnsi="Century Gothic"/>
        </w:rPr>
        <w:t xml:space="preserve"> </w:t>
      </w:r>
    </w:p>
    <w:p w14:paraId="68181AD0" w14:textId="1A90050E" w:rsidR="2CA740EE" w:rsidRPr="00D96E51" w:rsidRDefault="3BE587DA" w:rsidP="00751D11">
      <w:pPr>
        <w:spacing w:line="276" w:lineRule="auto"/>
        <w:rPr>
          <w:rFonts w:ascii="Century Gothic" w:eastAsia="Times New Roman" w:hAnsi="Century Gothic"/>
          <w:szCs w:val="22"/>
        </w:rPr>
      </w:pPr>
      <w:r w:rsidRPr="00D96E51">
        <w:rPr>
          <w:rFonts w:ascii="Century Gothic" w:eastAsia="Times New Roman" w:hAnsi="Century Gothic"/>
          <w:szCs w:val="22"/>
        </w:rPr>
        <w:t xml:space="preserve">ECC/HANH organized a "Wild About Books" day at Beardsley </w:t>
      </w:r>
      <w:proofErr w:type="gramStart"/>
      <w:r w:rsidRPr="00D96E51">
        <w:rPr>
          <w:rFonts w:ascii="Century Gothic" w:eastAsia="Times New Roman" w:hAnsi="Century Gothic"/>
          <w:szCs w:val="22"/>
        </w:rPr>
        <w:t>Zoo,</w:t>
      </w:r>
      <w:proofErr w:type="gramEnd"/>
      <w:r w:rsidRPr="00D96E51">
        <w:rPr>
          <w:rFonts w:ascii="Century Gothic" w:eastAsia="Times New Roman" w:hAnsi="Century Gothic"/>
          <w:szCs w:val="22"/>
        </w:rPr>
        <w:t xml:space="preserve"> by combining literacy with nature, this event sparked a love for reading and provided resources for continued learning at home, promoting literacy as an enjoyable, lifelong habit.</w:t>
      </w:r>
    </w:p>
    <w:p w14:paraId="781ECD84" w14:textId="4ABEBB52" w:rsidR="2CA740EE" w:rsidRPr="00D96E51" w:rsidRDefault="2CA740EE" w:rsidP="19B38EFC">
      <w:pPr>
        <w:spacing w:line="276" w:lineRule="auto"/>
        <w:rPr>
          <w:rFonts w:ascii="Century Gothic" w:eastAsia="Times New Roman" w:hAnsi="Century Gothic"/>
          <w:szCs w:val="22"/>
        </w:rPr>
      </w:pPr>
    </w:p>
    <w:p w14:paraId="4F9813CC" w14:textId="5D6BA10C" w:rsidR="2CA740EE" w:rsidRPr="00D96E51" w:rsidRDefault="3BE587DA" w:rsidP="00751D11">
      <w:pPr>
        <w:spacing w:line="276" w:lineRule="auto"/>
        <w:ind w:left="720"/>
        <w:rPr>
          <w:rFonts w:ascii="Century Gothic" w:eastAsia="Times New Roman" w:hAnsi="Century Gothic"/>
          <w:szCs w:val="22"/>
        </w:rPr>
      </w:pPr>
      <w:r w:rsidRPr="00D96E51">
        <w:rPr>
          <w:rFonts w:ascii="Century Gothic" w:eastAsia="Times New Roman" w:hAnsi="Century Gothic"/>
          <w:szCs w:val="22"/>
        </w:rPr>
        <w:t xml:space="preserve">“I want to attend for the Learning Experience for the babies I never been personally myself” </w:t>
      </w:r>
      <w:r w:rsidR="006E39DA" w:rsidRPr="00D96E51">
        <w:rPr>
          <w:rFonts w:ascii="Century Gothic" w:eastAsia="Times New Roman" w:hAnsi="Century Gothic"/>
          <w:szCs w:val="22"/>
        </w:rPr>
        <w:t>- P.M.</w:t>
      </w:r>
    </w:p>
    <w:p w14:paraId="4A75A1D3" w14:textId="2370CEE3" w:rsidR="2CA740EE" w:rsidRPr="00D96E51" w:rsidRDefault="2CA740EE" w:rsidP="00751D11">
      <w:pPr>
        <w:spacing w:line="276" w:lineRule="auto"/>
        <w:rPr>
          <w:rFonts w:ascii="Century Gothic" w:eastAsia="Times New Roman" w:hAnsi="Century Gothic"/>
          <w:lang w:val="en"/>
        </w:rPr>
      </w:pPr>
    </w:p>
    <w:p w14:paraId="78717ED3" w14:textId="4EC3B157" w:rsidR="00751D11" w:rsidRDefault="3BE587DA" w:rsidP="00751D11">
      <w:pPr>
        <w:spacing w:line="276" w:lineRule="auto"/>
        <w:rPr>
          <w:rFonts w:ascii="Century Gothic" w:eastAsia="Times New Roman" w:hAnsi="Century Gothic"/>
        </w:rPr>
      </w:pPr>
      <w:r w:rsidRPr="4EB6BE86">
        <w:rPr>
          <w:rFonts w:ascii="Century Gothic" w:eastAsia="Times New Roman" w:hAnsi="Century Gothic"/>
          <w:b/>
        </w:rPr>
        <w:t>Community &amp; Leadership:</w:t>
      </w:r>
      <w:r w:rsidRPr="4EB6BE86">
        <w:rPr>
          <w:rFonts w:ascii="Century Gothic" w:eastAsia="Times New Roman" w:hAnsi="Century Gothic"/>
        </w:rPr>
        <w:t xml:space="preserve"> </w:t>
      </w:r>
    </w:p>
    <w:p w14:paraId="62F87928" w14:textId="60768050" w:rsidR="2CA740EE" w:rsidRPr="00D96E51" w:rsidRDefault="3BE587DA" w:rsidP="00751D11">
      <w:pPr>
        <w:spacing w:line="276" w:lineRule="auto"/>
        <w:rPr>
          <w:rFonts w:ascii="Century Gothic" w:eastAsia="Times New Roman" w:hAnsi="Century Gothic"/>
          <w:szCs w:val="22"/>
        </w:rPr>
      </w:pPr>
      <w:r w:rsidRPr="00D96E51">
        <w:rPr>
          <w:rFonts w:ascii="Century Gothic" w:eastAsia="Times New Roman" w:hAnsi="Century Gothic"/>
          <w:szCs w:val="22"/>
        </w:rPr>
        <w:t>A community conversation group for families with children under five</w:t>
      </w:r>
      <w:r w:rsidR="00EE34D3">
        <w:rPr>
          <w:rFonts w:ascii="Century Gothic" w:eastAsia="Times New Roman" w:hAnsi="Century Gothic"/>
          <w:szCs w:val="22"/>
        </w:rPr>
        <w:t>,</w:t>
      </w:r>
      <w:r w:rsidRPr="00D96E51">
        <w:rPr>
          <w:rFonts w:ascii="Century Gothic" w:eastAsia="Times New Roman" w:hAnsi="Century Gothic"/>
          <w:szCs w:val="22"/>
        </w:rPr>
        <w:t xml:space="preserve"> facilitated open dialogue around resources and support within ECC/HANH communities. This event strengthened community ties and empowered </w:t>
      </w:r>
      <w:r w:rsidR="00785956">
        <w:rPr>
          <w:rFonts w:ascii="Century Gothic" w:eastAsia="Times New Roman" w:hAnsi="Century Gothic"/>
          <w:szCs w:val="22"/>
        </w:rPr>
        <w:t>the</w:t>
      </w:r>
      <w:r w:rsidR="00785956" w:rsidRPr="00D96E51">
        <w:rPr>
          <w:rFonts w:ascii="Century Gothic" w:eastAsia="Times New Roman" w:hAnsi="Century Gothic"/>
          <w:szCs w:val="22"/>
        </w:rPr>
        <w:t xml:space="preserve"> parents</w:t>
      </w:r>
      <w:r w:rsidRPr="00D96E51">
        <w:rPr>
          <w:rFonts w:ascii="Century Gothic" w:eastAsia="Times New Roman" w:hAnsi="Century Gothic"/>
          <w:szCs w:val="22"/>
        </w:rPr>
        <w:t xml:space="preserve"> by connecting them to valuable resources</w:t>
      </w:r>
      <w:r w:rsidR="00785956">
        <w:rPr>
          <w:rFonts w:ascii="Century Gothic" w:eastAsia="Times New Roman" w:hAnsi="Century Gothic"/>
          <w:szCs w:val="22"/>
        </w:rPr>
        <w:t xml:space="preserve"> and</w:t>
      </w:r>
      <w:r w:rsidRPr="00D96E51">
        <w:rPr>
          <w:rFonts w:ascii="Century Gothic" w:eastAsia="Times New Roman" w:hAnsi="Century Gothic"/>
          <w:szCs w:val="22"/>
        </w:rPr>
        <w:t xml:space="preserve"> reinforcing the importance of community-led support systems.</w:t>
      </w:r>
    </w:p>
    <w:p w14:paraId="2398A750" w14:textId="24BC602A" w:rsidR="2CA740EE" w:rsidRPr="00D96E51" w:rsidRDefault="2CA740EE" w:rsidP="19B38EFC">
      <w:pPr>
        <w:spacing w:line="276" w:lineRule="auto"/>
        <w:rPr>
          <w:rFonts w:ascii="Century Gothic" w:eastAsia="Times New Roman" w:hAnsi="Century Gothic"/>
        </w:rPr>
      </w:pPr>
    </w:p>
    <w:p w14:paraId="315DAF0E" w14:textId="57136E26" w:rsidR="00785956" w:rsidRDefault="6DBE7517" w:rsidP="00751D11">
      <w:pPr>
        <w:spacing w:line="276" w:lineRule="auto"/>
        <w:rPr>
          <w:rFonts w:ascii="Century Gothic" w:eastAsia="Times New Roman" w:hAnsi="Century Gothic"/>
        </w:rPr>
      </w:pPr>
      <w:r w:rsidRPr="4EB6BE86">
        <w:rPr>
          <w:rFonts w:ascii="Century Gothic" w:eastAsia="Times New Roman" w:hAnsi="Century Gothic"/>
        </w:rPr>
        <w:t xml:space="preserve">Other engagement events included: </w:t>
      </w:r>
    </w:p>
    <w:p w14:paraId="27A6EE3A" w14:textId="1887285E" w:rsidR="00785956" w:rsidRDefault="3BE587DA" w:rsidP="00486062">
      <w:pPr>
        <w:pStyle w:val="ListParagraph"/>
        <w:numPr>
          <w:ilvl w:val="0"/>
          <w:numId w:val="126"/>
        </w:numPr>
        <w:spacing w:line="276" w:lineRule="auto"/>
        <w:rPr>
          <w:rFonts w:ascii="Century Gothic" w:eastAsia="Times New Roman" w:hAnsi="Century Gothic"/>
        </w:rPr>
      </w:pPr>
      <w:r w:rsidRPr="4EB6BE86">
        <w:rPr>
          <w:rFonts w:ascii="Century Gothic" w:eastAsia="Times New Roman" w:hAnsi="Century Gothic"/>
        </w:rPr>
        <w:t xml:space="preserve">Black Barbie Private Screening with Shonda Rhimes, </w:t>
      </w:r>
    </w:p>
    <w:p w14:paraId="11943261" w14:textId="4204BC50" w:rsidR="00785956" w:rsidRDefault="3BE587DA" w:rsidP="00486062">
      <w:pPr>
        <w:pStyle w:val="ListParagraph"/>
        <w:numPr>
          <w:ilvl w:val="0"/>
          <w:numId w:val="126"/>
        </w:numPr>
        <w:spacing w:line="276" w:lineRule="auto"/>
        <w:rPr>
          <w:rFonts w:ascii="Century Gothic" w:eastAsia="Times New Roman" w:hAnsi="Century Gothic"/>
        </w:rPr>
      </w:pPr>
      <w:r w:rsidRPr="4EB6BE86">
        <w:rPr>
          <w:rFonts w:ascii="Century Gothic" w:eastAsia="Times New Roman" w:hAnsi="Century Gothic"/>
        </w:rPr>
        <w:t xml:space="preserve">Drug Prevention, </w:t>
      </w:r>
    </w:p>
    <w:p w14:paraId="45686990" w14:textId="47DF0A24" w:rsidR="00785956" w:rsidRDefault="3BE587DA" w:rsidP="00486062">
      <w:pPr>
        <w:pStyle w:val="ListParagraph"/>
        <w:numPr>
          <w:ilvl w:val="0"/>
          <w:numId w:val="126"/>
        </w:numPr>
        <w:spacing w:line="276" w:lineRule="auto"/>
        <w:rPr>
          <w:rFonts w:ascii="Century Gothic" w:eastAsia="Times New Roman" w:hAnsi="Century Gothic"/>
        </w:rPr>
      </w:pPr>
      <w:r w:rsidRPr="4EB6BE86">
        <w:rPr>
          <w:rFonts w:ascii="Century Gothic" w:eastAsia="Times New Roman" w:hAnsi="Century Gothic"/>
        </w:rPr>
        <w:t xml:space="preserve">Harvest Parades, </w:t>
      </w:r>
    </w:p>
    <w:p w14:paraId="7F50E65C" w14:textId="5E7F8B33" w:rsidR="00785956" w:rsidRDefault="3BE587DA" w:rsidP="00486062">
      <w:pPr>
        <w:pStyle w:val="ListParagraph"/>
        <w:numPr>
          <w:ilvl w:val="0"/>
          <w:numId w:val="126"/>
        </w:numPr>
        <w:spacing w:line="276" w:lineRule="auto"/>
        <w:rPr>
          <w:rFonts w:ascii="Century Gothic" w:eastAsia="Times New Roman" w:hAnsi="Century Gothic"/>
        </w:rPr>
      </w:pPr>
      <w:r w:rsidRPr="4EB6BE86">
        <w:rPr>
          <w:rFonts w:ascii="Century Gothic" w:eastAsia="Times New Roman" w:hAnsi="Century Gothic"/>
        </w:rPr>
        <w:t xml:space="preserve">FAFSA Application Workshop. </w:t>
      </w:r>
    </w:p>
    <w:p w14:paraId="39AEF3F0" w14:textId="6FAE1B8A" w:rsidR="00785956" w:rsidRDefault="00785956" w:rsidP="00785956">
      <w:pPr>
        <w:pStyle w:val="ListParagraph"/>
        <w:spacing w:line="276" w:lineRule="auto"/>
        <w:rPr>
          <w:rFonts w:ascii="Century Gothic" w:eastAsia="Times New Roman" w:hAnsi="Century Gothic"/>
        </w:rPr>
      </w:pPr>
    </w:p>
    <w:p w14:paraId="649B1D95" w14:textId="0424A1E0" w:rsidR="2CA740EE" w:rsidRDefault="3BE587DA" w:rsidP="00785956">
      <w:pPr>
        <w:spacing w:line="276" w:lineRule="auto"/>
        <w:rPr>
          <w:rFonts w:ascii="Century Gothic" w:eastAsia="Times New Roman" w:hAnsi="Century Gothic"/>
        </w:rPr>
      </w:pPr>
      <w:proofErr w:type="gramStart"/>
      <w:r w:rsidRPr="4EB6BE86">
        <w:rPr>
          <w:rFonts w:ascii="Century Gothic" w:eastAsia="Times New Roman" w:hAnsi="Century Gothic"/>
        </w:rPr>
        <w:t>All of</w:t>
      </w:r>
      <w:proofErr w:type="gramEnd"/>
      <w:r w:rsidRPr="4EB6BE86">
        <w:rPr>
          <w:rFonts w:ascii="Century Gothic" w:eastAsia="Times New Roman" w:hAnsi="Century Gothic"/>
        </w:rPr>
        <w:t xml:space="preserve"> these </w:t>
      </w:r>
      <w:r w:rsidR="002B0C27" w:rsidRPr="4EB6BE86">
        <w:rPr>
          <w:rFonts w:ascii="Century Gothic" w:eastAsia="Times New Roman" w:hAnsi="Century Gothic"/>
        </w:rPr>
        <w:t>events</w:t>
      </w:r>
      <w:r w:rsidRPr="4EB6BE86">
        <w:rPr>
          <w:rFonts w:ascii="Century Gothic" w:eastAsia="Times New Roman" w:hAnsi="Century Gothic"/>
        </w:rPr>
        <w:t xml:space="preserve"> </w:t>
      </w:r>
      <w:r w:rsidR="002B0C27" w:rsidRPr="4EB6BE86">
        <w:rPr>
          <w:rFonts w:ascii="Century Gothic" w:eastAsia="Times New Roman" w:hAnsi="Century Gothic"/>
        </w:rPr>
        <w:t>create</w:t>
      </w:r>
      <w:r w:rsidRPr="4EB6BE86">
        <w:rPr>
          <w:rFonts w:ascii="Century Gothic" w:eastAsia="Times New Roman" w:hAnsi="Century Gothic"/>
        </w:rPr>
        <w:t xml:space="preserve"> a vibrant sense of community. </w:t>
      </w:r>
    </w:p>
    <w:p w14:paraId="42CAC458" w14:textId="77777777" w:rsidR="002B0C27" w:rsidRPr="00785956" w:rsidRDefault="002B0C27" w:rsidP="00785956">
      <w:pPr>
        <w:spacing w:line="276" w:lineRule="auto"/>
        <w:rPr>
          <w:rFonts w:ascii="Century Gothic" w:eastAsia="Times New Roman" w:hAnsi="Century Gothic"/>
        </w:rPr>
      </w:pPr>
    </w:p>
    <w:p w14:paraId="05A48396" w14:textId="050E2946" w:rsidR="00785956" w:rsidRPr="00D96E51" w:rsidRDefault="0A715B2C" w:rsidP="341CC84A">
      <w:pPr>
        <w:rPr>
          <w:rFonts w:ascii="Century Gothic" w:eastAsia="Times New Roman" w:hAnsi="Century Gothic"/>
          <w:u w:val="single"/>
        </w:rPr>
      </w:pPr>
      <w:r w:rsidRPr="4EB6BE86">
        <w:rPr>
          <w:rFonts w:ascii="Century Gothic" w:eastAsia="Times New Roman" w:hAnsi="Century Gothic"/>
          <w:b/>
          <w:u w:val="single"/>
        </w:rPr>
        <w:t>Post-Secondary Preparation</w:t>
      </w:r>
      <w:r w:rsidR="14B1E6C4" w:rsidRPr="4EB6BE86">
        <w:rPr>
          <w:rFonts w:ascii="Century Gothic" w:eastAsia="Times New Roman" w:hAnsi="Century Gothic"/>
          <w:b/>
          <w:u w:val="single"/>
        </w:rPr>
        <w:t xml:space="preserve"> </w:t>
      </w:r>
      <w:r w:rsidR="14B1E6C4" w:rsidRPr="4EB6BE86">
        <w:rPr>
          <w:rFonts w:ascii="Century Gothic" w:eastAsia="Times New Roman" w:hAnsi="Century Gothic"/>
          <w:u w:val="single"/>
        </w:rPr>
        <w:t>(</w:t>
      </w:r>
      <w:r w:rsidR="2BD7E03C" w:rsidRPr="4EB6BE86">
        <w:rPr>
          <w:rFonts w:ascii="Century Gothic" w:eastAsia="Times New Roman" w:hAnsi="Century Gothic"/>
          <w:u w:val="single"/>
        </w:rPr>
        <w:t xml:space="preserve">Grades </w:t>
      </w:r>
      <w:r w:rsidR="14B1E6C4" w:rsidRPr="4EB6BE86">
        <w:rPr>
          <w:rFonts w:ascii="Century Gothic" w:eastAsia="Times New Roman" w:hAnsi="Century Gothic"/>
          <w:u w:val="single"/>
        </w:rPr>
        <w:t>9-12)</w:t>
      </w:r>
    </w:p>
    <w:p w14:paraId="565DEC79" w14:textId="00BA6650" w:rsidR="00785956" w:rsidRDefault="7A74E2B8" w:rsidP="341CC84A">
      <w:pPr>
        <w:rPr>
          <w:rFonts w:ascii="Century Gothic" w:eastAsia="Times New Roman" w:hAnsi="Century Gothic"/>
        </w:rPr>
      </w:pPr>
      <w:r w:rsidRPr="4EB6BE86">
        <w:rPr>
          <w:rFonts w:ascii="Century Gothic" w:eastAsia="Times New Roman" w:hAnsi="Century Gothic"/>
        </w:rPr>
        <w:t>In FY2</w:t>
      </w:r>
      <w:r w:rsidR="149B9737" w:rsidRPr="4EB6BE86">
        <w:rPr>
          <w:rFonts w:ascii="Century Gothic" w:eastAsia="Times New Roman" w:hAnsi="Century Gothic"/>
        </w:rPr>
        <w:t>4</w:t>
      </w:r>
      <w:r w:rsidRPr="4EB6BE86">
        <w:rPr>
          <w:rFonts w:ascii="Century Gothic" w:eastAsia="Times New Roman" w:hAnsi="Century Gothic"/>
        </w:rPr>
        <w:t>,</w:t>
      </w:r>
      <w:r w:rsidR="753A6E16" w:rsidRPr="4EB6BE86">
        <w:rPr>
          <w:rFonts w:ascii="Century Gothic" w:eastAsia="Times New Roman" w:hAnsi="Century Gothic"/>
        </w:rPr>
        <w:t xml:space="preserve"> </w:t>
      </w:r>
      <w:r w:rsidR="28481447" w:rsidRPr="4EB6BE86">
        <w:rPr>
          <w:rFonts w:ascii="Century Gothic" w:eastAsia="Times New Roman" w:hAnsi="Century Gothic"/>
        </w:rPr>
        <w:t>s</w:t>
      </w:r>
      <w:r w:rsidR="753A6E16" w:rsidRPr="4EB6BE86">
        <w:rPr>
          <w:rFonts w:ascii="Century Gothic" w:eastAsia="Times New Roman" w:hAnsi="Century Gothic"/>
        </w:rPr>
        <w:t xml:space="preserve">tudents were employed in the </w:t>
      </w:r>
      <w:r w:rsidR="5A1C64F8" w:rsidRPr="4EB6BE86">
        <w:rPr>
          <w:rFonts w:ascii="Century Gothic" w:eastAsia="Times New Roman" w:hAnsi="Century Gothic"/>
        </w:rPr>
        <w:t>ECC/HANH</w:t>
      </w:r>
      <w:r w:rsidRPr="4EB6BE86">
        <w:rPr>
          <w:rFonts w:ascii="Century Gothic" w:eastAsia="Times New Roman" w:hAnsi="Century Gothic"/>
        </w:rPr>
        <w:t xml:space="preserve"> Student Training Employment Program (STEP),</w:t>
      </w:r>
      <w:r w:rsidR="6D7A49E8" w:rsidRPr="4EB6BE86">
        <w:rPr>
          <w:rFonts w:ascii="Century Gothic" w:eastAsia="Times New Roman" w:hAnsi="Century Gothic"/>
        </w:rPr>
        <w:t xml:space="preserve"> </w:t>
      </w:r>
      <w:proofErr w:type="spellStart"/>
      <w:r w:rsidRPr="4EB6BE86">
        <w:rPr>
          <w:rFonts w:ascii="Century Gothic" w:eastAsia="Times New Roman" w:hAnsi="Century Gothic"/>
        </w:rPr>
        <w:t>Youth@Work</w:t>
      </w:r>
      <w:proofErr w:type="spellEnd"/>
      <w:r w:rsidR="4A76D303" w:rsidRPr="4EB6BE86">
        <w:rPr>
          <w:rFonts w:ascii="Century Gothic" w:eastAsia="Times New Roman" w:hAnsi="Century Gothic"/>
        </w:rPr>
        <w:t>, Solar Youth</w:t>
      </w:r>
      <w:r w:rsidR="627F6FCA" w:rsidRPr="4EB6BE86">
        <w:rPr>
          <w:rFonts w:ascii="Century Gothic" w:eastAsia="Times New Roman" w:hAnsi="Century Gothic"/>
        </w:rPr>
        <w:t xml:space="preserve">, </w:t>
      </w:r>
      <w:r w:rsidR="41B50F9D" w:rsidRPr="4EB6BE86">
        <w:rPr>
          <w:rFonts w:ascii="Century Gothic" w:eastAsia="Times New Roman" w:hAnsi="Century Gothic"/>
        </w:rPr>
        <w:t xml:space="preserve">Youth </w:t>
      </w:r>
      <w:r w:rsidR="00E50A92" w:rsidRPr="4EB6BE86">
        <w:rPr>
          <w:rFonts w:ascii="Century Gothic" w:eastAsia="Times New Roman" w:hAnsi="Century Gothic"/>
        </w:rPr>
        <w:t>Entrepreneurs</w:t>
      </w:r>
      <w:r w:rsidR="41B50F9D" w:rsidRPr="4EB6BE86">
        <w:rPr>
          <w:rFonts w:ascii="Century Gothic" w:eastAsia="Times New Roman" w:hAnsi="Century Gothic"/>
        </w:rPr>
        <w:t xml:space="preserve"> </w:t>
      </w:r>
      <w:r w:rsidR="150C0123" w:rsidRPr="4EB6BE86">
        <w:rPr>
          <w:rFonts w:ascii="Century Gothic" w:eastAsia="Times New Roman" w:hAnsi="Century Gothic"/>
        </w:rPr>
        <w:t xml:space="preserve">and </w:t>
      </w:r>
      <w:r w:rsidR="1192516F" w:rsidRPr="4EB6BE86">
        <w:rPr>
          <w:rFonts w:ascii="Century Gothic" w:eastAsia="Times New Roman" w:hAnsi="Century Gothic"/>
        </w:rPr>
        <w:t xml:space="preserve">the </w:t>
      </w:r>
      <w:r w:rsidR="150C0123" w:rsidRPr="4EB6BE86">
        <w:rPr>
          <w:rFonts w:ascii="Century Gothic" w:eastAsia="Times New Roman" w:hAnsi="Century Gothic"/>
        </w:rPr>
        <w:t>Resident Service Youth Volunteer Program (RSYVP)</w:t>
      </w:r>
      <w:r w:rsidR="0E5911BD" w:rsidRPr="4EB6BE86">
        <w:rPr>
          <w:rFonts w:ascii="Century Gothic" w:eastAsia="Times New Roman" w:hAnsi="Century Gothic"/>
        </w:rPr>
        <w:t xml:space="preserve">. </w:t>
      </w:r>
      <w:r w:rsidR="482F637E" w:rsidRPr="4EB6BE86">
        <w:rPr>
          <w:rFonts w:ascii="Century Gothic" w:eastAsia="Times New Roman" w:hAnsi="Century Gothic"/>
        </w:rPr>
        <w:t xml:space="preserve"> </w:t>
      </w:r>
      <w:r w:rsidR="0E5911BD" w:rsidRPr="4EB6BE86">
        <w:rPr>
          <w:rFonts w:ascii="Century Gothic" w:eastAsia="Times New Roman" w:hAnsi="Century Gothic"/>
        </w:rPr>
        <w:t>These programs offered</w:t>
      </w:r>
      <w:r w:rsidR="150C0123" w:rsidRPr="4EB6BE86">
        <w:rPr>
          <w:rFonts w:ascii="Century Gothic" w:eastAsia="Times New Roman" w:hAnsi="Century Gothic"/>
        </w:rPr>
        <w:t xml:space="preserve"> </w:t>
      </w:r>
      <w:r w:rsidRPr="4EB6BE86">
        <w:rPr>
          <w:rFonts w:ascii="Century Gothic" w:eastAsia="Times New Roman" w:hAnsi="Century Gothic"/>
        </w:rPr>
        <w:t>after-schoo</w:t>
      </w:r>
      <w:r w:rsidR="3F9C78EF" w:rsidRPr="4EB6BE86">
        <w:rPr>
          <w:rFonts w:ascii="Century Gothic" w:eastAsia="Times New Roman" w:hAnsi="Century Gothic"/>
        </w:rPr>
        <w:t xml:space="preserve">l and summer employment, </w:t>
      </w:r>
      <w:r w:rsidRPr="4EB6BE86">
        <w:rPr>
          <w:rFonts w:ascii="Century Gothic" w:eastAsia="Times New Roman" w:hAnsi="Century Gothic"/>
        </w:rPr>
        <w:t>job shadowing and apprenticeships</w:t>
      </w:r>
      <w:r w:rsidR="58475BC1" w:rsidRPr="4EB6BE86">
        <w:rPr>
          <w:rFonts w:ascii="Century Gothic" w:eastAsia="Times New Roman" w:hAnsi="Century Gothic"/>
        </w:rPr>
        <w:t>.</w:t>
      </w:r>
      <w:r w:rsidRPr="4EB6BE86">
        <w:rPr>
          <w:rFonts w:ascii="Century Gothic" w:eastAsia="Times New Roman" w:hAnsi="Century Gothic"/>
        </w:rPr>
        <w:t xml:space="preserve">  </w:t>
      </w:r>
    </w:p>
    <w:p w14:paraId="0296EFF4" w14:textId="58914EC4" w:rsidR="00785956" w:rsidRDefault="00785956" w:rsidP="341CC84A">
      <w:pPr>
        <w:rPr>
          <w:rFonts w:ascii="Century Gothic" w:eastAsia="Times New Roman" w:hAnsi="Century Gothic"/>
        </w:rPr>
      </w:pPr>
    </w:p>
    <w:p w14:paraId="0DC093B1" w14:textId="182696C8" w:rsidR="0028444A" w:rsidRDefault="7A74E2B8" w:rsidP="1D05C336">
      <w:pPr>
        <w:tabs>
          <w:tab w:val="left" w:pos="720"/>
        </w:tabs>
        <w:rPr>
          <w:rFonts w:ascii="Century Gothic" w:eastAsia="Times New Roman" w:hAnsi="Century Gothic"/>
        </w:rPr>
      </w:pPr>
      <w:r w:rsidRPr="188A1EBF">
        <w:rPr>
          <w:rFonts w:ascii="Century Gothic" w:eastAsia="Times New Roman" w:hAnsi="Century Gothic"/>
        </w:rPr>
        <w:t>In FY</w:t>
      </w:r>
      <w:r w:rsidR="2BBFF7EB" w:rsidRPr="188A1EBF">
        <w:rPr>
          <w:rFonts w:ascii="Century Gothic" w:eastAsia="Times New Roman" w:hAnsi="Century Gothic"/>
        </w:rPr>
        <w:t>24</w:t>
      </w:r>
      <w:r w:rsidRPr="188A1EBF">
        <w:rPr>
          <w:rFonts w:ascii="Century Gothic" w:eastAsia="Times New Roman" w:hAnsi="Century Gothic"/>
        </w:rPr>
        <w:t xml:space="preserve">, </w:t>
      </w:r>
      <w:r w:rsidR="7A6461CD" w:rsidRPr="188A1EBF">
        <w:rPr>
          <w:rFonts w:ascii="Century Gothic" w:eastAsia="Times New Roman" w:hAnsi="Century Gothic"/>
        </w:rPr>
        <w:t xml:space="preserve">132 </w:t>
      </w:r>
      <w:r w:rsidR="00D97A04" w:rsidRPr="188A1EBF">
        <w:rPr>
          <w:rFonts w:ascii="Century Gothic" w:eastAsia="Times New Roman" w:hAnsi="Century Gothic"/>
        </w:rPr>
        <w:t>youth were</w:t>
      </w:r>
      <w:r w:rsidR="7CD0D09B" w:rsidRPr="188A1EBF">
        <w:rPr>
          <w:rFonts w:ascii="Century Gothic" w:eastAsia="Times New Roman" w:hAnsi="Century Gothic"/>
        </w:rPr>
        <w:t xml:space="preserve"> employed</w:t>
      </w:r>
      <w:r w:rsidR="568CED92" w:rsidRPr="188A1EBF">
        <w:rPr>
          <w:rFonts w:ascii="Century Gothic" w:eastAsia="Times New Roman" w:hAnsi="Century Gothic"/>
        </w:rPr>
        <w:t xml:space="preserve"> with</w:t>
      </w:r>
      <w:r w:rsidR="00785956" w:rsidRPr="188A1EBF">
        <w:rPr>
          <w:rFonts w:ascii="Century Gothic" w:eastAsia="Times New Roman" w:hAnsi="Century Gothic"/>
        </w:rPr>
        <w:t>in</w:t>
      </w:r>
      <w:r w:rsidR="568CED92" w:rsidRPr="188A1EBF">
        <w:rPr>
          <w:rFonts w:ascii="Century Gothic" w:eastAsia="Times New Roman" w:hAnsi="Century Gothic"/>
        </w:rPr>
        <w:t xml:space="preserve"> these programs</w:t>
      </w:r>
      <w:r w:rsidR="7CD0D09B" w:rsidRPr="188A1EBF">
        <w:rPr>
          <w:rFonts w:ascii="Century Gothic" w:eastAsia="Times New Roman" w:hAnsi="Century Gothic"/>
        </w:rPr>
        <w:t xml:space="preserve">, which </w:t>
      </w:r>
      <w:r w:rsidR="00785956" w:rsidRPr="188A1EBF">
        <w:rPr>
          <w:rFonts w:ascii="Century Gothic" w:eastAsia="Times New Roman" w:hAnsi="Century Gothic"/>
        </w:rPr>
        <w:t xml:space="preserve">is </w:t>
      </w:r>
      <w:r w:rsidR="7CD0D09B" w:rsidRPr="188A1EBF">
        <w:rPr>
          <w:rFonts w:ascii="Century Gothic" w:eastAsia="Times New Roman" w:hAnsi="Century Gothic"/>
        </w:rPr>
        <w:t xml:space="preserve">a </w:t>
      </w:r>
      <w:r w:rsidR="00CB0045">
        <w:rPr>
          <w:rFonts w:ascii="Century Gothic" w:eastAsia="Times New Roman" w:hAnsi="Century Gothic"/>
        </w:rPr>
        <w:t>50</w:t>
      </w:r>
      <w:r w:rsidR="6FB857C9" w:rsidRPr="188A1EBF">
        <w:rPr>
          <w:rFonts w:ascii="Century Gothic" w:eastAsia="Times New Roman" w:hAnsi="Century Gothic"/>
        </w:rPr>
        <w:t>% increase</w:t>
      </w:r>
      <w:r w:rsidR="542D6F2B" w:rsidRPr="188A1EBF">
        <w:rPr>
          <w:rFonts w:ascii="Century Gothic" w:eastAsia="Times New Roman" w:hAnsi="Century Gothic"/>
        </w:rPr>
        <w:t xml:space="preserve"> </w:t>
      </w:r>
      <w:r w:rsidR="2FCE2AA7" w:rsidRPr="00117E5C">
        <w:rPr>
          <w:rFonts w:ascii="Century Gothic" w:eastAsia="Times New Roman" w:hAnsi="Century Gothic"/>
        </w:rPr>
        <w:t>from FY2</w:t>
      </w:r>
      <w:r w:rsidR="1B50631C" w:rsidRPr="00117E5C">
        <w:rPr>
          <w:rFonts w:ascii="Century Gothic" w:eastAsia="Times New Roman" w:hAnsi="Century Gothic"/>
        </w:rPr>
        <w:t>3</w:t>
      </w:r>
      <w:r w:rsidR="68B84C7A" w:rsidRPr="00117E5C">
        <w:rPr>
          <w:rFonts w:ascii="Century Gothic" w:eastAsia="Times New Roman" w:hAnsi="Century Gothic"/>
        </w:rPr>
        <w:t xml:space="preserve"> (88)</w:t>
      </w:r>
      <w:r w:rsidR="00117E5C">
        <w:rPr>
          <w:rFonts w:ascii="Century Gothic" w:eastAsia="Times New Roman" w:hAnsi="Century Gothic"/>
        </w:rPr>
        <w:t xml:space="preserve"> </w:t>
      </w:r>
      <w:r w:rsidR="1F419991" w:rsidRPr="4EB6BE86">
        <w:rPr>
          <w:rFonts w:ascii="Century Gothic" w:eastAsia="Times New Roman" w:hAnsi="Century Gothic"/>
        </w:rPr>
        <w:t>ECC/HANH spent</w:t>
      </w:r>
      <w:r w:rsidR="7ED3BE6E" w:rsidRPr="4EB6BE86">
        <w:rPr>
          <w:rFonts w:ascii="Century Gothic" w:eastAsia="Times New Roman" w:hAnsi="Century Gothic"/>
        </w:rPr>
        <w:t xml:space="preserve"> $</w:t>
      </w:r>
      <w:r w:rsidR="0C38EB2D" w:rsidRPr="4EB6BE86">
        <w:rPr>
          <w:rFonts w:ascii="Century Gothic" w:eastAsia="Times New Roman" w:hAnsi="Century Gothic"/>
        </w:rPr>
        <w:t>45,56</w:t>
      </w:r>
      <w:r w:rsidR="002B0C27">
        <w:rPr>
          <w:rFonts w:ascii="Century Gothic" w:eastAsia="Times New Roman" w:hAnsi="Century Gothic"/>
        </w:rPr>
        <w:t xml:space="preserve">6 </w:t>
      </w:r>
      <w:r w:rsidR="6A5A32D3" w:rsidRPr="4EB6BE86">
        <w:rPr>
          <w:rFonts w:ascii="Century Gothic" w:eastAsia="Times New Roman" w:hAnsi="Century Gothic"/>
        </w:rPr>
        <w:t xml:space="preserve">to ensure that </w:t>
      </w:r>
      <w:r w:rsidR="79C58DE4" w:rsidRPr="4EB6BE86">
        <w:rPr>
          <w:rFonts w:ascii="Century Gothic" w:eastAsia="Times New Roman" w:hAnsi="Century Gothic"/>
        </w:rPr>
        <w:t xml:space="preserve">100% of the slots, </w:t>
      </w:r>
      <w:r w:rsidR="13B43D57" w:rsidRPr="4EB6BE86">
        <w:rPr>
          <w:rFonts w:ascii="Century Gothic" w:eastAsia="Times New Roman" w:hAnsi="Century Gothic"/>
        </w:rPr>
        <w:t xml:space="preserve">twenty-four </w:t>
      </w:r>
      <w:r w:rsidR="6A5A32D3" w:rsidRPr="4EB6BE86">
        <w:rPr>
          <w:rFonts w:ascii="Century Gothic" w:eastAsia="Times New Roman" w:hAnsi="Century Gothic"/>
        </w:rPr>
        <w:t>(</w:t>
      </w:r>
      <w:r w:rsidR="3FB52B9E" w:rsidRPr="4EB6BE86">
        <w:rPr>
          <w:rFonts w:ascii="Century Gothic" w:eastAsia="Times New Roman" w:hAnsi="Century Gothic"/>
        </w:rPr>
        <w:t>24</w:t>
      </w:r>
      <w:r w:rsidR="6A5A32D3" w:rsidRPr="4EB6BE86">
        <w:rPr>
          <w:rFonts w:ascii="Century Gothic" w:eastAsia="Times New Roman" w:hAnsi="Century Gothic"/>
        </w:rPr>
        <w:t xml:space="preserve">) youth participated in the </w:t>
      </w:r>
      <w:proofErr w:type="spellStart"/>
      <w:r w:rsidR="6A5A32D3" w:rsidRPr="4EB6BE86">
        <w:rPr>
          <w:rFonts w:ascii="Century Gothic" w:eastAsia="Times New Roman" w:hAnsi="Century Gothic"/>
        </w:rPr>
        <w:t>Youth@Work</w:t>
      </w:r>
      <w:proofErr w:type="spellEnd"/>
      <w:r w:rsidR="6A5A32D3" w:rsidRPr="4EB6BE86">
        <w:rPr>
          <w:rFonts w:ascii="Century Gothic" w:eastAsia="Times New Roman" w:hAnsi="Century Gothic"/>
        </w:rPr>
        <w:t xml:space="preserve"> summer employment program in collaboration with the City of New Haven. The youth were between 14 and </w:t>
      </w:r>
      <w:r w:rsidR="133DBE44" w:rsidRPr="4EB6BE86">
        <w:rPr>
          <w:rFonts w:ascii="Century Gothic" w:eastAsia="Times New Roman" w:hAnsi="Century Gothic"/>
        </w:rPr>
        <w:t xml:space="preserve">24 </w:t>
      </w:r>
      <w:r w:rsidR="6A5A32D3" w:rsidRPr="4EB6BE86">
        <w:rPr>
          <w:rFonts w:ascii="Century Gothic" w:eastAsia="Times New Roman" w:hAnsi="Century Gothic"/>
        </w:rPr>
        <w:t xml:space="preserve">years old.  </w:t>
      </w:r>
    </w:p>
    <w:p w14:paraId="6065FB0C" w14:textId="6106DF3D" w:rsidR="0028444A" w:rsidRDefault="0028444A" w:rsidP="1D05C336">
      <w:pPr>
        <w:tabs>
          <w:tab w:val="left" w:pos="720"/>
        </w:tabs>
        <w:rPr>
          <w:rFonts w:ascii="Century Gothic" w:eastAsia="Times New Roman" w:hAnsi="Century Gothic"/>
        </w:rPr>
      </w:pPr>
    </w:p>
    <w:p w14:paraId="5DE2144C" w14:textId="60FE2732" w:rsidR="0028444A" w:rsidRDefault="26F19913" w:rsidP="1D05C336">
      <w:pPr>
        <w:tabs>
          <w:tab w:val="left" w:pos="720"/>
        </w:tabs>
        <w:rPr>
          <w:rFonts w:ascii="Century Gothic" w:eastAsia="Times New Roman" w:hAnsi="Century Gothic"/>
        </w:rPr>
      </w:pPr>
      <w:r w:rsidRPr="4EB6BE86">
        <w:rPr>
          <w:rFonts w:ascii="Century Gothic" w:eastAsia="Times New Roman" w:hAnsi="Century Gothic"/>
        </w:rPr>
        <w:t xml:space="preserve">Each participant was invited to participate in a work prep workshop where they participated in leadership, goal setting and critical thinking activities to attain skills to use while working. They attended Workshops on </w:t>
      </w:r>
      <w:r w:rsidR="1CAEE278" w:rsidRPr="4EB6BE86">
        <w:rPr>
          <w:rFonts w:ascii="Century Gothic" w:eastAsia="Times New Roman" w:hAnsi="Century Gothic"/>
        </w:rPr>
        <w:t xml:space="preserve">work readiness, </w:t>
      </w:r>
      <w:r w:rsidR="1EC669FC" w:rsidRPr="4EB6BE86">
        <w:rPr>
          <w:rFonts w:ascii="Century Gothic" w:eastAsia="Times New Roman" w:hAnsi="Century Gothic"/>
        </w:rPr>
        <w:t>child safety, time management, agriculture and financial wellness</w:t>
      </w:r>
      <w:r w:rsidRPr="4EB6BE86">
        <w:rPr>
          <w:rFonts w:ascii="Century Gothic" w:eastAsia="Times New Roman" w:hAnsi="Century Gothic"/>
        </w:rPr>
        <w:t>.</w:t>
      </w:r>
      <w:r w:rsidR="664AFB29" w:rsidRPr="4EB6BE86">
        <w:rPr>
          <w:rFonts w:ascii="Century Gothic" w:eastAsia="Times New Roman" w:hAnsi="Century Gothic"/>
        </w:rPr>
        <w:t xml:space="preserve"> </w:t>
      </w:r>
    </w:p>
    <w:p w14:paraId="5B0AC939" w14:textId="1AD5344E" w:rsidR="0028444A" w:rsidRPr="00117E5C" w:rsidRDefault="0028444A" w:rsidP="1D05C336">
      <w:pPr>
        <w:tabs>
          <w:tab w:val="left" w:pos="720"/>
        </w:tabs>
        <w:rPr>
          <w:rFonts w:ascii="Century Gothic" w:eastAsia="Times New Roman" w:hAnsi="Century Gothic"/>
        </w:rPr>
      </w:pPr>
    </w:p>
    <w:p w14:paraId="3DF90049" w14:textId="784F22DC" w:rsidR="00064716" w:rsidRPr="00117E5C" w:rsidRDefault="2E3FDE4B" w:rsidP="00117E5C">
      <w:pPr>
        <w:rPr>
          <w:rFonts w:ascii="Century Gothic" w:hAnsi="Century Gothic"/>
        </w:rPr>
      </w:pPr>
      <w:r w:rsidRPr="00117E5C">
        <w:rPr>
          <w:rFonts w:ascii="Century Gothic" w:hAnsi="Century Gothic"/>
        </w:rPr>
        <w:t>ECC/HANH spent $22,782 to ensure that’s 100% of the slots, sixteen (16) youth</w:t>
      </w:r>
      <w:r w:rsidR="00836A79" w:rsidRPr="00117E5C">
        <w:rPr>
          <w:rFonts w:ascii="Century Gothic" w:hAnsi="Century Gothic"/>
        </w:rPr>
        <w:t xml:space="preserve">, between the ages of 14 and 24, </w:t>
      </w:r>
      <w:r w:rsidRPr="00117E5C">
        <w:rPr>
          <w:rFonts w:ascii="Century Gothic" w:hAnsi="Century Gothic"/>
        </w:rPr>
        <w:t xml:space="preserve">participated in the </w:t>
      </w:r>
      <w:r w:rsidR="002B0C27" w:rsidRPr="00117E5C">
        <w:rPr>
          <w:rFonts w:ascii="Century Gothic" w:hAnsi="Century Gothic"/>
        </w:rPr>
        <w:t>Youth</w:t>
      </w:r>
      <w:r w:rsidRPr="00117E5C">
        <w:rPr>
          <w:rFonts w:ascii="Century Gothic" w:hAnsi="Century Gothic"/>
        </w:rPr>
        <w:t xml:space="preserve"> Work summer employment program in collaboration with the City of New Haven. </w:t>
      </w:r>
      <w:r w:rsidR="008E3304" w:rsidRPr="00117E5C">
        <w:rPr>
          <w:rFonts w:ascii="Century Gothic" w:hAnsi="Century Gothic"/>
        </w:rPr>
        <w:t xml:space="preserve"> A</w:t>
      </w:r>
      <w:r w:rsidRPr="00117E5C">
        <w:rPr>
          <w:rFonts w:ascii="Century Gothic" w:hAnsi="Century Gothic"/>
        </w:rPr>
        <w:t xml:space="preserve"> total of 24 youth participated in </w:t>
      </w:r>
      <w:proofErr w:type="spellStart"/>
      <w:r w:rsidRPr="00117E5C">
        <w:rPr>
          <w:rFonts w:ascii="Century Gothic" w:hAnsi="Century Gothic"/>
        </w:rPr>
        <w:t>Youth@Work</w:t>
      </w:r>
      <w:proofErr w:type="spellEnd"/>
      <w:r w:rsidRPr="00117E5C">
        <w:rPr>
          <w:rFonts w:ascii="Century Gothic" w:hAnsi="Century Gothic"/>
        </w:rPr>
        <w:t xml:space="preserve"> leading us to a 50% increase from FY23. </w:t>
      </w:r>
    </w:p>
    <w:p w14:paraId="16C63B99" w14:textId="77777777" w:rsidR="00064716" w:rsidRDefault="00064716" w:rsidP="00785956">
      <w:pPr>
        <w:shd w:val="clear" w:color="auto" w:fill="FFFFFF" w:themeFill="background1"/>
        <w:spacing w:line="360" w:lineRule="auto"/>
        <w:rPr>
          <w:rFonts w:ascii="Century Gothic" w:eastAsia="Times New Roman" w:hAnsi="Century Gothic"/>
          <w:color w:val="000000" w:themeColor="text1"/>
          <w:szCs w:val="22"/>
        </w:rPr>
      </w:pPr>
    </w:p>
    <w:p w14:paraId="2DB74592" w14:textId="1DBE7783" w:rsidR="2E3FDE4B" w:rsidRPr="00D96E51" w:rsidRDefault="2E3FDE4B" w:rsidP="00785956">
      <w:pPr>
        <w:shd w:val="clear" w:color="auto" w:fill="FFFFFF" w:themeFill="background1"/>
        <w:spacing w:line="360" w:lineRule="auto"/>
        <w:rPr>
          <w:rFonts w:ascii="Century Gothic" w:eastAsia="Times New Roman" w:hAnsi="Century Gothic"/>
          <w:color w:val="000000" w:themeColor="text1"/>
          <w:szCs w:val="22"/>
        </w:rPr>
      </w:pPr>
      <w:r w:rsidRPr="00D96E51">
        <w:rPr>
          <w:rFonts w:ascii="Century Gothic" w:eastAsia="Times New Roman" w:hAnsi="Century Gothic"/>
          <w:color w:val="000000" w:themeColor="text1"/>
          <w:szCs w:val="22"/>
        </w:rPr>
        <w:t xml:space="preserve">Each participant was invited to </w:t>
      </w:r>
      <w:r w:rsidR="00064716">
        <w:rPr>
          <w:rFonts w:ascii="Century Gothic" w:eastAsia="Times New Roman" w:hAnsi="Century Gothic"/>
          <w:color w:val="000000" w:themeColor="text1"/>
          <w:szCs w:val="22"/>
        </w:rPr>
        <w:t xml:space="preserve">a </w:t>
      </w:r>
      <w:r w:rsidRPr="00D96E51">
        <w:rPr>
          <w:rFonts w:ascii="Century Gothic" w:eastAsia="Times New Roman" w:hAnsi="Century Gothic"/>
          <w:color w:val="000000" w:themeColor="text1"/>
          <w:szCs w:val="22"/>
        </w:rPr>
        <w:t xml:space="preserve">work prep workshop where they participated in leadership, goal setting and critical thinking activities to attain skills to use while working. They attended Workshops on </w:t>
      </w:r>
      <w:r w:rsidRPr="00D96E51">
        <w:rPr>
          <w:rFonts w:ascii="Century Gothic" w:eastAsia="Times New Roman" w:hAnsi="Century Gothic"/>
          <w:color w:val="000000" w:themeColor="text1"/>
          <w:szCs w:val="22"/>
        </w:rPr>
        <w:lastRenderedPageBreak/>
        <w:t xml:space="preserve">work readiness, child safety, time management, agriculture and financial wellness. </w:t>
      </w:r>
      <w:r w:rsidR="007D1658">
        <w:rPr>
          <w:rFonts w:ascii="Century Gothic" w:eastAsia="Times New Roman" w:hAnsi="Century Gothic"/>
          <w:color w:val="000000" w:themeColor="text1"/>
          <w:szCs w:val="22"/>
        </w:rPr>
        <w:t xml:space="preserve"> </w:t>
      </w:r>
      <w:r w:rsidRPr="00D96E51">
        <w:rPr>
          <w:rFonts w:ascii="Century Gothic" w:eastAsia="Times New Roman" w:hAnsi="Century Gothic"/>
          <w:color w:val="000000" w:themeColor="text1"/>
          <w:szCs w:val="22"/>
        </w:rPr>
        <w:t xml:space="preserve">75% of the students who participated stated that the workshops were extremely helpful in adjusting to their summer jobs. </w:t>
      </w:r>
      <w:r w:rsidR="00B43808">
        <w:rPr>
          <w:rFonts w:ascii="Century Gothic" w:eastAsia="Times New Roman" w:hAnsi="Century Gothic"/>
          <w:color w:val="000000" w:themeColor="text1"/>
          <w:szCs w:val="22"/>
        </w:rPr>
        <w:t xml:space="preserve"> </w:t>
      </w:r>
      <w:r w:rsidRPr="00D96E51">
        <w:rPr>
          <w:rFonts w:ascii="Century Gothic" w:eastAsia="Times New Roman" w:hAnsi="Century Gothic"/>
          <w:color w:val="000000" w:themeColor="text1"/>
          <w:szCs w:val="22"/>
        </w:rPr>
        <w:t xml:space="preserve">The youth were able to work at Friends of Edgewood Park, Connecticut Yankee Council, Boy Scouts of American and Solar Youth. </w:t>
      </w:r>
      <w:r w:rsidRPr="00D96E51">
        <w:rPr>
          <w:rFonts w:ascii="Century Gothic" w:eastAsia="Times New Roman" w:hAnsi="Century Gothic"/>
          <w:i/>
          <w:iCs/>
          <w:color w:val="000000" w:themeColor="text1"/>
          <w:szCs w:val="22"/>
        </w:rPr>
        <w:t xml:space="preserve"> </w:t>
      </w:r>
      <w:r w:rsidRPr="00D96E51">
        <w:rPr>
          <w:rFonts w:ascii="Century Gothic" w:eastAsia="Times New Roman" w:hAnsi="Century Gothic"/>
          <w:color w:val="000000" w:themeColor="text1"/>
          <w:szCs w:val="22"/>
        </w:rPr>
        <w:t xml:space="preserve"> </w:t>
      </w:r>
    </w:p>
    <w:p w14:paraId="0D9CAC66" w14:textId="77777777" w:rsidR="006346C3" w:rsidRDefault="1004E7FD" w:rsidP="0011656E">
      <w:pPr>
        <w:rPr>
          <w:rFonts w:ascii="Century Gothic" w:eastAsia="Times New Roman" w:hAnsi="Century Gothic"/>
          <w:szCs w:val="22"/>
        </w:rPr>
      </w:pPr>
      <w:r w:rsidRPr="00D96E51">
        <w:rPr>
          <w:rFonts w:ascii="Century Gothic" w:eastAsia="Times New Roman" w:hAnsi="Century Gothic"/>
          <w:szCs w:val="22"/>
        </w:rPr>
        <w:t>Fourteen</w:t>
      </w:r>
      <w:r w:rsidR="3F722534" w:rsidRPr="00D96E51">
        <w:rPr>
          <w:rFonts w:ascii="Century Gothic" w:eastAsia="Times New Roman" w:hAnsi="Century Gothic"/>
          <w:szCs w:val="22"/>
        </w:rPr>
        <w:t xml:space="preserve"> (</w:t>
      </w:r>
      <w:r w:rsidR="00871845" w:rsidRPr="00D96E51">
        <w:rPr>
          <w:rFonts w:ascii="Century Gothic" w:eastAsia="Times New Roman" w:hAnsi="Century Gothic"/>
          <w:szCs w:val="22"/>
        </w:rPr>
        <w:t>14</w:t>
      </w:r>
      <w:r w:rsidR="3F722534" w:rsidRPr="00D96E51">
        <w:rPr>
          <w:rFonts w:ascii="Century Gothic" w:eastAsia="Times New Roman" w:hAnsi="Century Gothic"/>
          <w:szCs w:val="22"/>
        </w:rPr>
        <w:t xml:space="preserve">) </w:t>
      </w:r>
      <w:proofErr w:type="gramStart"/>
      <w:r w:rsidR="6A5A32D3" w:rsidRPr="00D96E51">
        <w:rPr>
          <w:rFonts w:ascii="Century Gothic" w:eastAsia="Times New Roman" w:hAnsi="Century Gothic"/>
          <w:szCs w:val="22"/>
        </w:rPr>
        <w:t>youth</w:t>
      </w:r>
      <w:proofErr w:type="gramEnd"/>
      <w:r w:rsidR="6A5A32D3" w:rsidRPr="00D96E51">
        <w:rPr>
          <w:rFonts w:ascii="Century Gothic" w:eastAsia="Times New Roman" w:hAnsi="Century Gothic"/>
          <w:szCs w:val="22"/>
        </w:rPr>
        <w:t xml:space="preserve"> participated in the Resident Service Youth Volunteer Program</w:t>
      </w:r>
      <w:r w:rsidR="2E149636" w:rsidRPr="00D96E51">
        <w:rPr>
          <w:rFonts w:ascii="Century Gothic" w:eastAsia="Times New Roman" w:hAnsi="Century Gothic"/>
          <w:szCs w:val="22"/>
        </w:rPr>
        <w:t xml:space="preserve"> (RSYVP)</w:t>
      </w:r>
      <w:r w:rsidR="6A5A32D3" w:rsidRPr="00D96E51">
        <w:rPr>
          <w:rFonts w:ascii="Century Gothic" w:eastAsia="Times New Roman" w:hAnsi="Century Gothic"/>
          <w:szCs w:val="22"/>
        </w:rPr>
        <w:t xml:space="preserve">.  </w:t>
      </w:r>
      <w:r w:rsidR="18135237" w:rsidRPr="00D96E51">
        <w:rPr>
          <w:rFonts w:ascii="Century Gothic" w:eastAsia="Times New Roman" w:hAnsi="Century Gothic"/>
          <w:szCs w:val="22"/>
        </w:rPr>
        <w:t xml:space="preserve">This was the total number of available slots.  </w:t>
      </w:r>
      <w:r w:rsidR="6A5A32D3" w:rsidRPr="00D96E51">
        <w:rPr>
          <w:rFonts w:ascii="Century Gothic" w:eastAsia="Times New Roman" w:hAnsi="Century Gothic"/>
          <w:szCs w:val="22"/>
        </w:rPr>
        <w:t>The total cost of this program was $</w:t>
      </w:r>
      <w:r w:rsidR="757B2049" w:rsidRPr="00D96E51">
        <w:rPr>
          <w:rFonts w:ascii="Century Gothic" w:eastAsia="Times New Roman" w:hAnsi="Century Gothic"/>
          <w:szCs w:val="22"/>
        </w:rPr>
        <w:t>30,164</w:t>
      </w:r>
      <w:r w:rsidR="168A44BE" w:rsidRPr="00D96E51">
        <w:rPr>
          <w:rFonts w:ascii="Century Gothic" w:eastAsia="Times New Roman" w:hAnsi="Century Gothic"/>
          <w:szCs w:val="22"/>
        </w:rPr>
        <w:t>.</w:t>
      </w:r>
      <w:r w:rsidR="18757227" w:rsidRPr="00D96E51">
        <w:rPr>
          <w:rFonts w:ascii="Century Gothic" w:eastAsia="Times New Roman" w:hAnsi="Century Gothic"/>
          <w:szCs w:val="22"/>
        </w:rPr>
        <w:t xml:space="preserve"> </w:t>
      </w:r>
    </w:p>
    <w:p w14:paraId="4959DA99" w14:textId="77777777" w:rsidR="006346C3" w:rsidRDefault="006346C3" w:rsidP="0011656E">
      <w:pPr>
        <w:rPr>
          <w:rFonts w:ascii="Century Gothic" w:eastAsia="Times New Roman" w:hAnsi="Century Gothic"/>
          <w:szCs w:val="22"/>
        </w:rPr>
      </w:pPr>
    </w:p>
    <w:p w14:paraId="1B1715AD" w14:textId="6F21A1AB" w:rsidR="00CC1A61" w:rsidRDefault="1302D3C8" w:rsidP="0011656E">
      <w:pPr>
        <w:rPr>
          <w:rFonts w:ascii="Century Gothic" w:eastAsia="Times New Roman" w:hAnsi="Century Gothic"/>
          <w:szCs w:val="22"/>
        </w:rPr>
      </w:pPr>
      <w:r w:rsidRPr="00D96E51">
        <w:rPr>
          <w:rFonts w:ascii="Century Gothic" w:eastAsia="Times New Roman" w:hAnsi="Century Gothic"/>
          <w:szCs w:val="22"/>
        </w:rPr>
        <w:t xml:space="preserve">The youth </w:t>
      </w:r>
      <w:proofErr w:type="gramStart"/>
      <w:r w:rsidR="0ED43FC7" w:rsidRPr="00D96E51">
        <w:rPr>
          <w:rFonts w:ascii="Century Gothic" w:eastAsia="Times New Roman" w:hAnsi="Century Gothic"/>
          <w:szCs w:val="22"/>
        </w:rPr>
        <w:t>met</w:t>
      </w:r>
      <w:proofErr w:type="gramEnd"/>
      <w:r w:rsidRPr="00D96E51">
        <w:rPr>
          <w:rFonts w:ascii="Century Gothic" w:eastAsia="Times New Roman" w:hAnsi="Century Gothic"/>
          <w:szCs w:val="22"/>
        </w:rPr>
        <w:t xml:space="preserve"> daily at </w:t>
      </w:r>
      <w:r w:rsidR="6A5A32D3" w:rsidRPr="00D96E51">
        <w:rPr>
          <w:rFonts w:ascii="Century Gothic" w:eastAsia="Times New Roman" w:hAnsi="Century Gothic"/>
          <w:szCs w:val="22"/>
        </w:rPr>
        <w:t>The Shack</w:t>
      </w:r>
      <w:r w:rsidR="5FDEC4D7" w:rsidRPr="00D96E51">
        <w:rPr>
          <w:rFonts w:ascii="Century Gothic" w:eastAsia="Times New Roman" w:hAnsi="Century Gothic"/>
          <w:szCs w:val="22"/>
        </w:rPr>
        <w:t xml:space="preserve">, </w:t>
      </w:r>
      <w:proofErr w:type="gramStart"/>
      <w:r w:rsidR="6A5A32D3" w:rsidRPr="00D96E51">
        <w:rPr>
          <w:rFonts w:ascii="Century Gothic" w:eastAsia="Times New Roman" w:hAnsi="Century Gothic"/>
          <w:szCs w:val="22"/>
        </w:rPr>
        <w:t>a safe haven</w:t>
      </w:r>
      <w:proofErr w:type="gramEnd"/>
      <w:r w:rsidR="6A5A32D3" w:rsidRPr="00D96E51">
        <w:rPr>
          <w:rFonts w:ascii="Century Gothic" w:eastAsia="Times New Roman" w:hAnsi="Century Gothic"/>
          <w:szCs w:val="22"/>
        </w:rPr>
        <w:t xml:space="preserve"> for local youth to </w:t>
      </w:r>
      <w:r w:rsidR="75774028" w:rsidRPr="00D96E51">
        <w:rPr>
          <w:rFonts w:ascii="Century Gothic" w:eastAsia="Times New Roman" w:hAnsi="Century Gothic"/>
          <w:szCs w:val="22"/>
        </w:rPr>
        <w:t xml:space="preserve">gather, </w:t>
      </w:r>
      <w:r w:rsidR="16D1CC66" w:rsidRPr="00D96E51">
        <w:rPr>
          <w:rFonts w:ascii="Century Gothic" w:eastAsia="Times New Roman" w:hAnsi="Century Gothic"/>
          <w:szCs w:val="22"/>
        </w:rPr>
        <w:t>fellowship</w:t>
      </w:r>
      <w:r w:rsidR="6A5A32D3" w:rsidRPr="00D96E51">
        <w:rPr>
          <w:rFonts w:ascii="Century Gothic" w:eastAsia="Times New Roman" w:hAnsi="Century Gothic"/>
          <w:szCs w:val="22"/>
        </w:rPr>
        <w:t>, eat, and have</w:t>
      </w:r>
      <w:r w:rsidR="20664648" w:rsidRPr="00D96E51">
        <w:rPr>
          <w:rFonts w:ascii="Century Gothic" w:eastAsia="Times New Roman" w:hAnsi="Century Gothic"/>
          <w:szCs w:val="22"/>
        </w:rPr>
        <w:t xml:space="preserve"> fun.</w:t>
      </w:r>
      <w:r w:rsidR="6A5A32D3" w:rsidRPr="00D96E51">
        <w:rPr>
          <w:rFonts w:ascii="Century Gothic" w:eastAsia="Times New Roman" w:hAnsi="Century Gothic"/>
          <w:szCs w:val="22"/>
        </w:rPr>
        <w:t xml:space="preserve"> </w:t>
      </w:r>
      <w:r w:rsidR="0EB3AC6E" w:rsidRPr="00D96E51">
        <w:rPr>
          <w:rFonts w:ascii="Century Gothic" w:eastAsia="Times New Roman" w:hAnsi="Century Gothic"/>
          <w:szCs w:val="22"/>
        </w:rPr>
        <w:t xml:space="preserve">They also had </w:t>
      </w:r>
      <w:r w:rsidR="6A5A32D3" w:rsidRPr="00D96E51">
        <w:rPr>
          <w:rFonts w:ascii="Century Gothic" w:eastAsia="Times New Roman" w:hAnsi="Century Gothic"/>
          <w:szCs w:val="22"/>
        </w:rPr>
        <w:t>access to resources</w:t>
      </w:r>
      <w:r w:rsidR="145676CC" w:rsidRPr="00D96E51">
        <w:rPr>
          <w:rFonts w:ascii="Century Gothic" w:eastAsia="Times New Roman" w:hAnsi="Century Gothic"/>
          <w:szCs w:val="22"/>
        </w:rPr>
        <w:t>, such as computers</w:t>
      </w:r>
      <w:r w:rsidR="39FE899C" w:rsidRPr="00D96E51">
        <w:rPr>
          <w:rFonts w:ascii="Century Gothic" w:eastAsia="Times New Roman" w:hAnsi="Century Gothic"/>
          <w:szCs w:val="22"/>
        </w:rPr>
        <w:t xml:space="preserve"> </w:t>
      </w:r>
      <w:r w:rsidR="00B37982" w:rsidRPr="00D96E51">
        <w:rPr>
          <w:rFonts w:ascii="Century Gothic" w:eastAsia="Times New Roman" w:hAnsi="Century Gothic"/>
          <w:szCs w:val="22"/>
        </w:rPr>
        <w:t>to learn</w:t>
      </w:r>
      <w:r w:rsidR="67761584" w:rsidRPr="00D96E51">
        <w:rPr>
          <w:rFonts w:ascii="Century Gothic" w:eastAsia="Times New Roman" w:hAnsi="Century Gothic"/>
          <w:szCs w:val="22"/>
        </w:rPr>
        <w:t xml:space="preserve"> and use</w:t>
      </w:r>
      <w:r w:rsidR="5682EB59" w:rsidRPr="00D96E51">
        <w:rPr>
          <w:rFonts w:ascii="Century Gothic" w:eastAsia="Times New Roman" w:hAnsi="Century Gothic"/>
          <w:szCs w:val="22"/>
        </w:rPr>
        <w:t>,</w:t>
      </w:r>
      <w:r w:rsidR="00117E5C">
        <w:rPr>
          <w:rFonts w:ascii="Century Gothic" w:eastAsia="Times New Roman" w:hAnsi="Century Gothic"/>
          <w:szCs w:val="22"/>
        </w:rPr>
        <w:t xml:space="preserve"> and</w:t>
      </w:r>
      <w:r w:rsidR="5682EB59" w:rsidRPr="00D96E51">
        <w:rPr>
          <w:rFonts w:ascii="Century Gothic" w:eastAsia="Times New Roman" w:hAnsi="Century Gothic"/>
          <w:szCs w:val="22"/>
        </w:rPr>
        <w:t xml:space="preserve"> job training</w:t>
      </w:r>
      <w:r w:rsidR="00117E5C">
        <w:rPr>
          <w:rFonts w:ascii="Century Gothic" w:eastAsia="Times New Roman" w:hAnsi="Century Gothic"/>
          <w:szCs w:val="22"/>
        </w:rPr>
        <w:t xml:space="preserve"> is offered</w:t>
      </w:r>
      <w:r w:rsidR="00836A79">
        <w:rPr>
          <w:rFonts w:ascii="Century Gothic" w:eastAsia="Times New Roman" w:hAnsi="Century Gothic"/>
          <w:szCs w:val="22"/>
        </w:rPr>
        <w:t xml:space="preserve">. </w:t>
      </w:r>
    </w:p>
    <w:p w14:paraId="25208CF7" w14:textId="77777777" w:rsidR="00CC1A61" w:rsidRDefault="00CC1A61" w:rsidP="0011656E">
      <w:pPr>
        <w:rPr>
          <w:rFonts w:ascii="Century Gothic" w:eastAsia="Times New Roman" w:hAnsi="Century Gothic"/>
          <w:szCs w:val="22"/>
        </w:rPr>
      </w:pPr>
    </w:p>
    <w:p w14:paraId="37F57961" w14:textId="35512AA4" w:rsidR="006F5DB8" w:rsidRDefault="6A5A32D3" w:rsidP="0011656E">
      <w:pPr>
        <w:rPr>
          <w:rFonts w:ascii="Century Gothic" w:eastAsia="Times New Roman" w:hAnsi="Century Gothic"/>
          <w:szCs w:val="22"/>
        </w:rPr>
      </w:pPr>
      <w:r w:rsidRPr="00D96E51">
        <w:rPr>
          <w:rFonts w:ascii="Century Gothic" w:eastAsia="Times New Roman" w:hAnsi="Century Gothic"/>
          <w:szCs w:val="22"/>
        </w:rPr>
        <w:t xml:space="preserve">The Program Coordinator ensured that the youth were well trained and supported throughout the </w:t>
      </w:r>
      <w:r w:rsidR="7160066F" w:rsidRPr="00D96E51">
        <w:rPr>
          <w:rFonts w:ascii="Century Gothic" w:eastAsia="Times New Roman" w:hAnsi="Century Gothic"/>
          <w:szCs w:val="22"/>
        </w:rPr>
        <w:t>8</w:t>
      </w:r>
      <w:r w:rsidRPr="00D96E51">
        <w:rPr>
          <w:rFonts w:ascii="Century Gothic" w:eastAsia="Times New Roman" w:hAnsi="Century Gothic"/>
          <w:szCs w:val="22"/>
        </w:rPr>
        <w:t xml:space="preserve">-week program. The youth </w:t>
      </w:r>
      <w:r w:rsidR="2429FA4B" w:rsidRPr="00D96E51">
        <w:rPr>
          <w:rFonts w:ascii="Century Gothic" w:eastAsia="Times New Roman" w:hAnsi="Century Gothic"/>
          <w:szCs w:val="22"/>
        </w:rPr>
        <w:t xml:space="preserve">also </w:t>
      </w:r>
      <w:r w:rsidRPr="00D96E51">
        <w:rPr>
          <w:rFonts w:ascii="Century Gothic" w:eastAsia="Times New Roman" w:hAnsi="Century Gothic"/>
          <w:szCs w:val="22"/>
        </w:rPr>
        <w:t>worked with local professional</w:t>
      </w:r>
      <w:r w:rsidR="0F94250B" w:rsidRPr="00D96E51">
        <w:rPr>
          <w:rFonts w:ascii="Century Gothic" w:eastAsia="Times New Roman" w:hAnsi="Century Gothic"/>
          <w:szCs w:val="22"/>
        </w:rPr>
        <w:t>s</w:t>
      </w:r>
      <w:r w:rsidRPr="00D96E51">
        <w:rPr>
          <w:rFonts w:ascii="Century Gothic" w:eastAsia="Times New Roman" w:hAnsi="Century Gothic"/>
          <w:szCs w:val="22"/>
        </w:rPr>
        <w:t xml:space="preserve"> and were trained in areas such as </w:t>
      </w:r>
      <w:r w:rsidR="42F78549" w:rsidRPr="00D96E51">
        <w:rPr>
          <w:rFonts w:ascii="Century Gothic" w:eastAsia="Times New Roman" w:hAnsi="Century Gothic"/>
          <w:szCs w:val="22"/>
        </w:rPr>
        <w:t>painting</w:t>
      </w:r>
      <w:r w:rsidRPr="00D96E51">
        <w:rPr>
          <w:rFonts w:ascii="Century Gothic" w:eastAsia="Times New Roman" w:hAnsi="Century Gothic"/>
          <w:szCs w:val="22"/>
        </w:rPr>
        <w:t>, home improvement and landscaping</w:t>
      </w:r>
      <w:r w:rsidR="0B26C78C" w:rsidRPr="00D96E51">
        <w:rPr>
          <w:rFonts w:ascii="Century Gothic" w:eastAsia="Times New Roman" w:hAnsi="Century Gothic"/>
          <w:szCs w:val="22"/>
        </w:rPr>
        <w:t>.</w:t>
      </w:r>
    </w:p>
    <w:p w14:paraId="674B54BA" w14:textId="77777777" w:rsidR="00117E5C" w:rsidRDefault="00117E5C" w:rsidP="0011656E">
      <w:pPr>
        <w:rPr>
          <w:rFonts w:ascii="Century Gothic" w:eastAsia="Times New Roman" w:hAnsi="Century Gothic"/>
          <w:szCs w:val="22"/>
        </w:rPr>
      </w:pPr>
    </w:p>
    <w:p w14:paraId="76B60B5E" w14:textId="6A541D50" w:rsidR="000433C2" w:rsidRDefault="00C6727F" w:rsidP="0011656E">
      <w:pPr>
        <w:rPr>
          <w:rFonts w:ascii="Century Gothic" w:eastAsia="Times New Roman" w:hAnsi="Century Gothic"/>
          <w:szCs w:val="22"/>
        </w:rPr>
      </w:pPr>
      <w:r w:rsidRPr="00D96E51">
        <w:rPr>
          <w:rFonts w:ascii="Century Gothic" w:eastAsia="Times New Roman" w:hAnsi="Century Gothic"/>
          <w:szCs w:val="22"/>
        </w:rPr>
        <w:t>The</w:t>
      </w:r>
      <w:r>
        <w:rPr>
          <w:rFonts w:ascii="Century Gothic" w:eastAsia="Times New Roman" w:hAnsi="Century Gothic"/>
          <w:szCs w:val="22"/>
        </w:rPr>
        <w:t xml:space="preserve"> youth</w:t>
      </w:r>
      <w:r w:rsidRPr="00D96E51">
        <w:rPr>
          <w:rFonts w:ascii="Century Gothic" w:eastAsia="Times New Roman" w:hAnsi="Century Gothic"/>
          <w:szCs w:val="22"/>
        </w:rPr>
        <w:t xml:space="preserve"> </w:t>
      </w:r>
      <w:r w:rsidR="1BBC82A0" w:rsidRPr="00D96E51">
        <w:rPr>
          <w:rFonts w:ascii="Century Gothic" w:eastAsia="Times New Roman" w:hAnsi="Century Gothic"/>
          <w:szCs w:val="22"/>
        </w:rPr>
        <w:t xml:space="preserve">also participated in classroom training on money </w:t>
      </w:r>
      <w:proofErr w:type="gramStart"/>
      <w:r w:rsidR="1BBC82A0" w:rsidRPr="00D96E51">
        <w:rPr>
          <w:rFonts w:ascii="Century Gothic" w:eastAsia="Times New Roman" w:hAnsi="Century Gothic"/>
          <w:szCs w:val="22"/>
        </w:rPr>
        <w:t>management,</w:t>
      </w:r>
      <w:proofErr w:type="gramEnd"/>
      <w:r w:rsidR="1BBC82A0" w:rsidRPr="00D96E51">
        <w:rPr>
          <w:rFonts w:ascii="Century Gothic" w:eastAsia="Times New Roman" w:hAnsi="Century Gothic"/>
          <w:szCs w:val="22"/>
        </w:rPr>
        <w:t xml:space="preserve"> workplace conduct and time management. At the end of the program the youth expressed their excitement and eagerness to continue in finding employment and leadership opportunities. </w:t>
      </w:r>
    </w:p>
    <w:p w14:paraId="4DF45ACA" w14:textId="256B845D" w:rsidR="00246F2C" w:rsidRDefault="1BBC82A0" w:rsidP="0011656E">
      <w:pPr>
        <w:rPr>
          <w:rFonts w:ascii="Century Gothic" w:eastAsia="Times New Roman" w:hAnsi="Century Gothic"/>
          <w:szCs w:val="22"/>
        </w:rPr>
      </w:pPr>
      <w:r w:rsidRPr="00D96E51">
        <w:rPr>
          <w:rFonts w:ascii="Century Gothic" w:eastAsia="Times New Roman" w:hAnsi="Century Gothic"/>
          <w:szCs w:val="22"/>
        </w:rPr>
        <w:t>88%</w:t>
      </w:r>
      <w:r w:rsidR="00246F2C">
        <w:rPr>
          <w:rFonts w:ascii="Century Gothic" w:eastAsia="Times New Roman" w:hAnsi="Century Gothic"/>
          <w:szCs w:val="22"/>
        </w:rPr>
        <w:t>,12</w:t>
      </w:r>
      <w:r w:rsidRPr="00D96E51">
        <w:rPr>
          <w:rFonts w:ascii="Century Gothic" w:eastAsia="Times New Roman" w:hAnsi="Century Gothic"/>
          <w:szCs w:val="22"/>
        </w:rPr>
        <w:t xml:space="preserve">of the </w:t>
      </w:r>
      <w:r w:rsidR="275B3DEE" w:rsidRPr="00D96E51">
        <w:rPr>
          <w:rFonts w:ascii="Century Gothic" w:eastAsia="Times New Roman" w:hAnsi="Century Gothic"/>
          <w:szCs w:val="22"/>
        </w:rPr>
        <w:t>14</w:t>
      </w:r>
      <w:r w:rsidR="1949D5D0" w:rsidRPr="00D96E51">
        <w:rPr>
          <w:rFonts w:ascii="Century Gothic" w:eastAsia="Times New Roman" w:hAnsi="Century Gothic"/>
          <w:szCs w:val="22"/>
        </w:rPr>
        <w:t xml:space="preserve"> </w:t>
      </w:r>
      <w:r w:rsidRPr="00D96E51">
        <w:rPr>
          <w:rFonts w:ascii="Century Gothic" w:eastAsia="Times New Roman" w:hAnsi="Century Gothic"/>
          <w:szCs w:val="22"/>
        </w:rPr>
        <w:t xml:space="preserve">participants stated that the training program prepared them to accomplish future goals.  </w:t>
      </w:r>
    </w:p>
    <w:p w14:paraId="2BE6DF1F" w14:textId="77777777" w:rsidR="00117E5C" w:rsidRPr="00D96E51" w:rsidRDefault="00117E5C" w:rsidP="0011656E">
      <w:pPr>
        <w:rPr>
          <w:rFonts w:ascii="Century Gothic" w:eastAsia="Times New Roman" w:hAnsi="Century Gothic"/>
          <w:szCs w:val="22"/>
        </w:rPr>
      </w:pPr>
    </w:p>
    <w:p w14:paraId="506F8AA7" w14:textId="46EF5987" w:rsidR="0011656E" w:rsidRDefault="2BD5F3B7" w:rsidP="1D05C336">
      <w:pPr>
        <w:rPr>
          <w:rFonts w:ascii="Century Gothic" w:eastAsia="Times New Roman" w:hAnsi="Century Gothic"/>
          <w:szCs w:val="22"/>
        </w:rPr>
      </w:pPr>
      <w:r w:rsidRPr="00D96E51">
        <w:rPr>
          <w:rFonts w:ascii="Century Gothic" w:eastAsia="Times New Roman" w:hAnsi="Century Gothic"/>
          <w:szCs w:val="22"/>
        </w:rPr>
        <w:t>70</w:t>
      </w:r>
      <w:r w:rsidR="1BBC82A0" w:rsidRPr="00D96E51">
        <w:rPr>
          <w:rFonts w:ascii="Century Gothic" w:eastAsia="Times New Roman" w:hAnsi="Century Gothic"/>
          <w:szCs w:val="22"/>
        </w:rPr>
        <w:t xml:space="preserve">% </w:t>
      </w:r>
      <w:r w:rsidR="00950AD1">
        <w:rPr>
          <w:rFonts w:ascii="Century Gothic" w:eastAsia="Times New Roman" w:hAnsi="Century Gothic"/>
          <w:szCs w:val="22"/>
        </w:rPr>
        <w:t xml:space="preserve">(10) </w:t>
      </w:r>
      <w:r w:rsidR="1BBC82A0" w:rsidRPr="00D96E51">
        <w:rPr>
          <w:rFonts w:ascii="Century Gothic" w:eastAsia="Times New Roman" w:hAnsi="Century Gothic"/>
          <w:szCs w:val="22"/>
        </w:rPr>
        <w:t>stated if it wasn’t for the RSYVP program they would</w:t>
      </w:r>
      <w:r w:rsidR="3A1AA7D5" w:rsidRPr="00D96E51">
        <w:rPr>
          <w:rFonts w:ascii="Century Gothic" w:eastAsia="Times New Roman" w:hAnsi="Century Gothic"/>
          <w:szCs w:val="22"/>
        </w:rPr>
        <w:t xml:space="preserve"> have </w:t>
      </w:r>
      <w:r w:rsidR="1BBC82A0" w:rsidRPr="00D96E51">
        <w:rPr>
          <w:rFonts w:ascii="Century Gothic" w:eastAsia="Times New Roman" w:hAnsi="Century Gothic"/>
          <w:szCs w:val="22"/>
        </w:rPr>
        <w:t xml:space="preserve">been disengaged for the summer by simply just staying in the </w:t>
      </w:r>
      <w:r w:rsidR="00117E5C" w:rsidRPr="00D96E51">
        <w:rPr>
          <w:rFonts w:ascii="Century Gothic" w:eastAsia="Times New Roman" w:hAnsi="Century Gothic"/>
          <w:szCs w:val="22"/>
        </w:rPr>
        <w:t>house. While</w:t>
      </w:r>
      <w:r w:rsidR="6A5A32D3" w:rsidRPr="00D96E51">
        <w:rPr>
          <w:rFonts w:ascii="Century Gothic" w:eastAsia="Times New Roman" w:hAnsi="Century Gothic"/>
          <w:szCs w:val="22"/>
        </w:rPr>
        <w:t xml:space="preserve"> participating in the RSYVP program, </w:t>
      </w:r>
      <w:r w:rsidR="6D83D28F" w:rsidRPr="00D96E51">
        <w:rPr>
          <w:rFonts w:ascii="Century Gothic" w:eastAsia="Times New Roman" w:hAnsi="Century Gothic"/>
          <w:szCs w:val="22"/>
        </w:rPr>
        <w:t>78</w:t>
      </w:r>
      <w:r w:rsidR="6A5A32D3" w:rsidRPr="00D96E51">
        <w:rPr>
          <w:rFonts w:ascii="Century Gothic" w:eastAsia="Times New Roman" w:hAnsi="Century Gothic"/>
          <w:szCs w:val="22"/>
        </w:rPr>
        <w:t xml:space="preserve">% </w:t>
      </w:r>
      <w:r w:rsidR="008D616B">
        <w:rPr>
          <w:rFonts w:ascii="Century Gothic" w:eastAsia="Times New Roman" w:hAnsi="Century Gothic"/>
          <w:szCs w:val="22"/>
        </w:rPr>
        <w:t xml:space="preserve">(10) </w:t>
      </w:r>
      <w:r w:rsidR="7D1A7928" w:rsidRPr="00D96E51">
        <w:rPr>
          <w:rFonts w:ascii="Century Gothic" w:eastAsia="Times New Roman" w:hAnsi="Century Gothic"/>
          <w:szCs w:val="22"/>
        </w:rPr>
        <w:t xml:space="preserve">of the youth </w:t>
      </w:r>
      <w:r w:rsidR="6A5A32D3" w:rsidRPr="00D96E51">
        <w:rPr>
          <w:rFonts w:ascii="Century Gothic" w:eastAsia="Times New Roman" w:hAnsi="Century Gothic"/>
          <w:szCs w:val="22"/>
        </w:rPr>
        <w:t xml:space="preserve">were able to use the money they earned to buy items they needed and wanted.  </w:t>
      </w:r>
      <w:r w:rsidR="3D831A10" w:rsidRPr="00D96E51">
        <w:rPr>
          <w:rFonts w:ascii="Century Gothic" w:eastAsia="Times New Roman" w:hAnsi="Century Gothic"/>
          <w:szCs w:val="22"/>
        </w:rPr>
        <w:t>85</w:t>
      </w:r>
      <w:r w:rsidR="6A5A32D3" w:rsidRPr="00D96E51">
        <w:rPr>
          <w:rFonts w:ascii="Century Gothic" w:eastAsia="Times New Roman" w:hAnsi="Century Gothic"/>
          <w:szCs w:val="22"/>
        </w:rPr>
        <w:t xml:space="preserve">% </w:t>
      </w:r>
      <w:r w:rsidR="003F1BC4">
        <w:rPr>
          <w:rFonts w:ascii="Century Gothic" w:eastAsia="Times New Roman" w:hAnsi="Century Gothic"/>
          <w:szCs w:val="22"/>
        </w:rPr>
        <w:t>(</w:t>
      </w:r>
      <w:r w:rsidR="006E39DA">
        <w:rPr>
          <w:rFonts w:ascii="Century Gothic" w:eastAsia="Times New Roman" w:hAnsi="Century Gothic"/>
          <w:szCs w:val="22"/>
        </w:rPr>
        <w:t>12)</w:t>
      </w:r>
      <w:r w:rsidR="006E39DA" w:rsidRPr="00D96E51">
        <w:rPr>
          <w:rFonts w:ascii="Century Gothic" w:eastAsia="Times New Roman" w:hAnsi="Century Gothic"/>
          <w:szCs w:val="22"/>
        </w:rPr>
        <w:t xml:space="preserve"> of</w:t>
      </w:r>
      <w:r w:rsidR="6A5A32D3" w:rsidRPr="00D96E51">
        <w:rPr>
          <w:rFonts w:ascii="Century Gothic" w:eastAsia="Times New Roman" w:hAnsi="Century Gothic"/>
          <w:szCs w:val="22"/>
        </w:rPr>
        <w:t xml:space="preserve"> the </w:t>
      </w:r>
      <w:r w:rsidR="03BF5481" w:rsidRPr="00D96E51">
        <w:rPr>
          <w:rFonts w:ascii="Century Gothic" w:eastAsia="Times New Roman" w:hAnsi="Century Gothic"/>
          <w:szCs w:val="22"/>
        </w:rPr>
        <w:t>youth</w:t>
      </w:r>
      <w:r w:rsidR="6A5A32D3" w:rsidRPr="00D96E51">
        <w:rPr>
          <w:rFonts w:ascii="Century Gothic" w:eastAsia="Times New Roman" w:hAnsi="Century Gothic"/>
          <w:szCs w:val="22"/>
        </w:rPr>
        <w:t xml:space="preserve"> </w:t>
      </w:r>
      <w:r w:rsidR="4AB74DA4" w:rsidRPr="00D96E51">
        <w:rPr>
          <w:rFonts w:ascii="Century Gothic" w:eastAsia="Times New Roman" w:hAnsi="Century Gothic"/>
          <w:szCs w:val="22"/>
        </w:rPr>
        <w:t>reported to have learned a life skill/increa</w:t>
      </w:r>
      <w:r w:rsidR="3860B9B3" w:rsidRPr="00D96E51">
        <w:rPr>
          <w:rFonts w:ascii="Century Gothic" w:eastAsia="Times New Roman" w:hAnsi="Century Gothic"/>
          <w:szCs w:val="22"/>
        </w:rPr>
        <w:t>s</w:t>
      </w:r>
      <w:r w:rsidR="4AB74DA4" w:rsidRPr="00D96E51">
        <w:rPr>
          <w:rFonts w:ascii="Century Gothic" w:eastAsia="Times New Roman" w:hAnsi="Century Gothic"/>
          <w:szCs w:val="22"/>
        </w:rPr>
        <w:t>e critical thinking</w:t>
      </w:r>
      <w:r w:rsidR="006437FE">
        <w:rPr>
          <w:rFonts w:ascii="Century Gothic" w:eastAsia="Times New Roman" w:hAnsi="Century Gothic"/>
          <w:szCs w:val="22"/>
        </w:rPr>
        <w:t>.</w:t>
      </w:r>
      <w:r w:rsidR="4AB74DA4" w:rsidRPr="00D96E51">
        <w:rPr>
          <w:rFonts w:ascii="Century Gothic" w:eastAsia="Times New Roman" w:hAnsi="Century Gothic"/>
          <w:szCs w:val="22"/>
        </w:rPr>
        <w:t xml:space="preserve"> </w:t>
      </w:r>
      <w:r w:rsidR="6A5A32D3" w:rsidRPr="00D96E51">
        <w:rPr>
          <w:rFonts w:ascii="Century Gothic" w:eastAsia="Times New Roman" w:hAnsi="Century Gothic"/>
          <w:szCs w:val="22"/>
        </w:rPr>
        <w:t xml:space="preserve"> The </w:t>
      </w:r>
      <w:r w:rsidR="4911F527" w:rsidRPr="00D96E51">
        <w:rPr>
          <w:rFonts w:ascii="Century Gothic" w:eastAsia="Times New Roman" w:hAnsi="Century Gothic"/>
          <w:szCs w:val="22"/>
        </w:rPr>
        <w:t>participants reported a</w:t>
      </w:r>
      <w:r w:rsidR="2F98A75A" w:rsidRPr="00D96E51">
        <w:rPr>
          <w:rFonts w:ascii="Century Gothic" w:eastAsia="Times New Roman" w:hAnsi="Century Gothic"/>
          <w:szCs w:val="22"/>
        </w:rPr>
        <w:t xml:space="preserve"> total savings amount of $1,693</w:t>
      </w:r>
      <w:r w:rsidR="6A5A32D3" w:rsidRPr="00D96E51">
        <w:rPr>
          <w:rFonts w:ascii="Century Gothic" w:eastAsia="Times New Roman" w:hAnsi="Century Gothic"/>
          <w:szCs w:val="22"/>
        </w:rPr>
        <w:t xml:space="preserve">.  </w:t>
      </w:r>
    </w:p>
    <w:p w14:paraId="52C6CCCB" w14:textId="77777777" w:rsidR="00117E5C" w:rsidRPr="0046433E" w:rsidRDefault="00117E5C" w:rsidP="1D05C336">
      <w:pPr>
        <w:rPr>
          <w:rFonts w:ascii="Century Gothic" w:eastAsia="Calibri Light" w:hAnsi="Century Gothic" w:cs="Calibri Light"/>
          <w:b/>
          <w:bCs/>
          <w:szCs w:val="22"/>
        </w:rPr>
      </w:pPr>
    </w:p>
    <w:p w14:paraId="354DB79E" w14:textId="06119013" w:rsidR="00A84980" w:rsidRDefault="26D604B6" w:rsidP="188A1EBF">
      <w:pPr>
        <w:spacing w:line="276" w:lineRule="auto"/>
        <w:rPr>
          <w:rFonts w:ascii="Century Gothic" w:eastAsia="Times New Roman" w:hAnsi="Century Gothic"/>
        </w:rPr>
      </w:pPr>
      <w:r w:rsidRPr="188A1EBF">
        <w:rPr>
          <w:rFonts w:ascii="Century Gothic" w:eastAsia="Times New Roman" w:hAnsi="Century Gothic"/>
        </w:rPr>
        <w:t>This year’s Youth at Work Summer Employment Program engaged 24</w:t>
      </w:r>
      <w:r w:rsidR="4E014551" w:rsidRPr="188A1EBF">
        <w:rPr>
          <w:rFonts w:ascii="Century Gothic" w:eastAsia="Times New Roman" w:hAnsi="Century Gothic"/>
        </w:rPr>
        <w:t xml:space="preserve"> out of 25 slots for youth</w:t>
      </w:r>
      <w:r w:rsidRPr="188A1EBF">
        <w:rPr>
          <w:rFonts w:ascii="Century Gothic" w:eastAsia="Times New Roman" w:hAnsi="Century Gothic"/>
        </w:rPr>
        <w:t xml:space="preserve"> (99</w:t>
      </w:r>
      <w:r w:rsidR="002B0C27" w:rsidRPr="188A1EBF">
        <w:rPr>
          <w:rFonts w:ascii="Century Gothic" w:eastAsia="Times New Roman" w:hAnsi="Century Gothic"/>
        </w:rPr>
        <w:t>%)</w:t>
      </w:r>
      <w:r w:rsidRPr="188A1EBF">
        <w:rPr>
          <w:rFonts w:ascii="Century Gothic" w:eastAsia="Times New Roman" w:hAnsi="Century Gothic"/>
        </w:rPr>
        <w:t xml:space="preserve"> in a valuable eight-week employment experience across six diverse worksites. Participants were placed in roles with organizations including the Boy Scouts of America, Kiddie Korner Daycare, New Haven Youth and Recreation and the Connecticut Center for Arts and Technology. </w:t>
      </w:r>
    </w:p>
    <w:p w14:paraId="13D01FDB" w14:textId="22C2CFD3" w:rsidR="00A84980" w:rsidRDefault="00A84980" w:rsidP="00A84980">
      <w:pPr>
        <w:spacing w:line="276" w:lineRule="auto"/>
        <w:rPr>
          <w:rFonts w:ascii="Century Gothic" w:eastAsia="Times New Roman" w:hAnsi="Century Gothic"/>
          <w:lang w:val="en"/>
        </w:rPr>
      </w:pPr>
    </w:p>
    <w:p w14:paraId="30714917" w14:textId="333EDDAA" w:rsidR="14156AC3" w:rsidRDefault="26D604B6" w:rsidP="2C9E94B2">
      <w:pPr>
        <w:spacing w:line="276" w:lineRule="auto"/>
        <w:rPr>
          <w:rFonts w:ascii="Century Gothic" w:eastAsia="Times New Roman" w:hAnsi="Century Gothic"/>
        </w:rPr>
      </w:pPr>
      <w:r w:rsidRPr="2C9E94B2">
        <w:rPr>
          <w:rFonts w:ascii="Century Gothic" w:eastAsia="Times New Roman" w:hAnsi="Century Gothic"/>
        </w:rPr>
        <w:t>This variety allowed each participant to gain unique, hands-on experience across fields like childcare, community recreation, entrepreneurship, and the arts, helping them build a well-rounded skill set. This experience empowered them with real-world skills and strengthened their readiness for future academic and career pursuits, ultimately fostering a positive connection to the community and setting a foundation for long-term success.</w:t>
      </w:r>
    </w:p>
    <w:p w14:paraId="5CA90AB7" w14:textId="77777777" w:rsidR="00117E5C" w:rsidRDefault="00117E5C" w:rsidP="2C9E94B2">
      <w:pPr>
        <w:spacing w:line="276" w:lineRule="auto"/>
        <w:rPr>
          <w:rFonts w:ascii="Century Gothic" w:eastAsia="Times New Roman" w:hAnsi="Century Gothic"/>
        </w:rPr>
      </w:pPr>
    </w:p>
    <w:p w14:paraId="03B8076A" w14:textId="180093E2" w:rsidR="00F31DC5" w:rsidRDefault="26D604B6" w:rsidP="00553072">
      <w:pPr>
        <w:shd w:val="clear" w:color="auto" w:fill="FFFFFF" w:themeFill="background1"/>
        <w:spacing w:line="360" w:lineRule="auto"/>
        <w:rPr>
          <w:rFonts w:ascii="Century Gothic" w:eastAsia="Times New Roman" w:hAnsi="Century Gothic"/>
          <w:color w:val="000000" w:themeColor="text1"/>
        </w:rPr>
      </w:pPr>
      <w:r w:rsidRPr="4EB6BE86">
        <w:rPr>
          <w:rFonts w:ascii="Century Gothic" w:eastAsia="Times New Roman" w:hAnsi="Century Gothic"/>
          <w:color w:val="000000" w:themeColor="text1"/>
        </w:rPr>
        <w:t>14 youth participated in the Resident Service Youth Volunteer Program (RSYVP).  This was the total number of available slots.  The total cost of this program was $18,85</w:t>
      </w:r>
      <w:r w:rsidR="001E7F50" w:rsidRPr="4EB6BE86">
        <w:rPr>
          <w:rFonts w:ascii="Century Gothic" w:eastAsia="Times New Roman" w:hAnsi="Century Gothic"/>
          <w:color w:val="000000" w:themeColor="text1"/>
        </w:rPr>
        <w:t>3</w:t>
      </w:r>
      <w:r w:rsidRPr="4EB6BE86">
        <w:rPr>
          <w:rFonts w:ascii="Century Gothic" w:eastAsia="Times New Roman" w:hAnsi="Century Gothic"/>
          <w:color w:val="000000" w:themeColor="text1"/>
        </w:rPr>
        <w:t xml:space="preserve">. The youth </w:t>
      </w:r>
      <w:proofErr w:type="gramStart"/>
      <w:r w:rsidRPr="4EB6BE86">
        <w:rPr>
          <w:rFonts w:ascii="Century Gothic" w:eastAsia="Times New Roman" w:hAnsi="Century Gothic"/>
          <w:color w:val="000000" w:themeColor="text1"/>
        </w:rPr>
        <w:t>met</w:t>
      </w:r>
      <w:proofErr w:type="gramEnd"/>
      <w:r w:rsidRPr="4EB6BE86">
        <w:rPr>
          <w:rFonts w:ascii="Century Gothic" w:eastAsia="Times New Roman" w:hAnsi="Century Gothic"/>
          <w:color w:val="000000" w:themeColor="text1"/>
        </w:rPr>
        <w:t xml:space="preserve"> daily at The Shack, </w:t>
      </w:r>
      <w:proofErr w:type="gramStart"/>
      <w:r w:rsidRPr="4EB6BE86">
        <w:rPr>
          <w:rFonts w:ascii="Century Gothic" w:eastAsia="Times New Roman" w:hAnsi="Century Gothic"/>
          <w:color w:val="000000" w:themeColor="text1"/>
        </w:rPr>
        <w:t>a safe haven</w:t>
      </w:r>
      <w:proofErr w:type="gramEnd"/>
      <w:r w:rsidRPr="4EB6BE86">
        <w:rPr>
          <w:rFonts w:ascii="Century Gothic" w:eastAsia="Times New Roman" w:hAnsi="Century Gothic"/>
          <w:color w:val="000000" w:themeColor="text1"/>
        </w:rPr>
        <w:t xml:space="preserve"> for local youth to gather, fellowship, eat, and have fun. They also had access to resources, such as computers to learn and use</w:t>
      </w:r>
      <w:r w:rsidR="002B0C27" w:rsidRPr="4EB6BE86">
        <w:rPr>
          <w:rFonts w:ascii="Century Gothic" w:eastAsia="Times New Roman" w:hAnsi="Century Gothic"/>
          <w:color w:val="000000" w:themeColor="text1"/>
        </w:rPr>
        <w:t>, and job</w:t>
      </w:r>
      <w:r w:rsidRPr="4EB6BE86">
        <w:rPr>
          <w:rFonts w:ascii="Century Gothic" w:eastAsia="Times New Roman" w:hAnsi="Century Gothic"/>
          <w:color w:val="000000" w:themeColor="text1"/>
        </w:rPr>
        <w:t xml:space="preserve"> training</w:t>
      </w:r>
      <w:r w:rsidR="00F31DC5" w:rsidRPr="4EB6BE86">
        <w:rPr>
          <w:rFonts w:ascii="Century Gothic" w:eastAsia="Times New Roman" w:hAnsi="Century Gothic"/>
          <w:color w:val="000000" w:themeColor="text1"/>
        </w:rPr>
        <w:t>.</w:t>
      </w:r>
      <w:r w:rsidRPr="4EB6BE86">
        <w:rPr>
          <w:rFonts w:ascii="Century Gothic" w:eastAsia="Times New Roman" w:hAnsi="Century Gothic"/>
          <w:color w:val="000000" w:themeColor="text1"/>
        </w:rPr>
        <w:t xml:space="preserve"> </w:t>
      </w:r>
    </w:p>
    <w:p w14:paraId="43BEE804" w14:textId="6366331D" w:rsidR="00F31DC5" w:rsidRDefault="00F31DC5" w:rsidP="00553072">
      <w:pPr>
        <w:shd w:val="clear" w:color="auto" w:fill="FFFFFF" w:themeFill="background1"/>
        <w:spacing w:line="360" w:lineRule="auto"/>
        <w:rPr>
          <w:rFonts w:ascii="Century Gothic" w:eastAsia="Times New Roman" w:hAnsi="Century Gothic"/>
          <w:color w:val="000000" w:themeColor="text1"/>
        </w:rPr>
      </w:pPr>
    </w:p>
    <w:p w14:paraId="4424ADD3" w14:textId="6ABC2B26" w:rsidR="14156AC3" w:rsidRPr="00A84980" w:rsidRDefault="26D604B6" w:rsidP="00553072">
      <w:pPr>
        <w:shd w:val="clear" w:color="auto" w:fill="FFFFFF" w:themeFill="background1"/>
        <w:spacing w:line="360" w:lineRule="auto"/>
        <w:rPr>
          <w:rFonts w:ascii="Century Gothic" w:eastAsia="Times New Roman" w:hAnsi="Century Gothic"/>
          <w:color w:val="000000" w:themeColor="text1"/>
          <w:szCs w:val="22"/>
        </w:rPr>
      </w:pPr>
      <w:r w:rsidRPr="00A84980">
        <w:rPr>
          <w:rFonts w:ascii="Century Gothic" w:eastAsia="Times New Roman" w:hAnsi="Century Gothic"/>
          <w:color w:val="000000" w:themeColor="text1"/>
          <w:szCs w:val="22"/>
        </w:rPr>
        <w:lastRenderedPageBreak/>
        <w:t xml:space="preserve">The Program Coordinator ensured that the youth were well trained and supported throughout the </w:t>
      </w:r>
      <w:r w:rsidR="00F31DC5" w:rsidRPr="00A84980">
        <w:rPr>
          <w:rFonts w:ascii="Century Gothic" w:eastAsia="Times New Roman" w:hAnsi="Century Gothic"/>
          <w:color w:val="000000" w:themeColor="text1"/>
          <w:szCs w:val="22"/>
        </w:rPr>
        <w:t>5</w:t>
      </w:r>
      <w:r w:rsidR="00F31DC5">
        <w:rPr>
          <w:rFonts w:ascii="Century Gothic" w:eastAsia="Times New Roman" w:hAnsi="Century Gothic"/>
          <w:color w:val="000000" w:themeColor="text1"/>
          <w:szCs w:val="22"/>
        </w:rPr>
        <w:t>-week</w:t>
      </w:r>
      <w:r w:rsidRPr="00A84980">
        <w:rPr>
          <w:rFonts w:ascii="Century Gothic" w:eastAsia="Times New Roman" w:hAnsi="Century Gothic"/>
          <w:color w:val="000000" w:themeColor="text1"/>
          <w:szCs w:val="22"/>
        </w:rPr>
        <w:t xml:space="preserve"> program. The youth also worked with local professionals and were trained in areas such as painting, home improvement and landscaping. </w:t>
      </w:r>
    </w:p>
    <w:p w14:paraId="5FD85211" w14:textId="77777777" w:rsidR="00117E5C" w:rsidRDefault="00117E5C" w:rsidP="00553072">
      <w:pPr>
        <w:shd w:val="clear" w:color="auto" w:fill="FFFFFF" w:themeFill="background1"/>
        <w:spacing w:line="360" w:lineRule="auto"/>
        <w:rPr>
          <w:rFonts w:ascii="Century Gothic" w:eastAsia="Times New Roman" w:hAnsi="Century Gothic"/>
          <w:color w:val="000000" w:themeColor="text1"/>
          <w:szCs w:val="22"/>
          <w:lang w:val="en"/>
        </w:rPr>
      </w:pPr>
    </w:p>
    <w:p w14:paraId="606BF376" w14:textId="3DB83BBB" w:rsidR="14156AC3" w:rsidRPr="00A84980" w:rsidRDefault="26D604B6" w:rsidP="00553072">
      <w:pPr>
        <w:shd w:val="clear" w:color="auto" w:fill="FFFFFF" w:themeFill="background1"/>
        <w:spacing w:line="360" w:lineRule="auto"/>
        <w:rPr>
          <w:rFonts w:ascii="Century Gothic" w:eastAsia="Times New Roman" w:hAnsi="Century Gothic"/>
          <w:color w:val="000000" w:themeColor="text1"/>
          <w:szCs w:val="22"/>
        </w:rPr>
      </w:pPr>
      <w:r w:rsidRPr="00A84980">
        <w:rPr>
          <w:rFonts w:ascii="Century Gothic" w:eastAsia="Times New Roman" w:hAnsi="Century Gothic"/>
          <w:color w:val="000000" w:themeColor="text1"/>
          <w:szCs w:val="22"/>
        </w:rPr>
        <w:t>The</w:t>
      </w:r>
      <w:r w:rsidR="00F31DC5">
        <w:rPr>
          <w:rFonts w:ascii="Century Gothic" w:eastAsia="Times New Roman" w:hAnsi="Century Gothic"/>
          <w:color w:val="000000" w:themeColor="text1"/>
          <w:szCs w:val="22"/>
        </w:rPr>
        <w:t xml:space="preserve"> youth</w:t>
      </w:r>
      <w:r w:rsidRPr="00A84980">
        <w:rPr>
          <w:rFonts w:ascii="Century Gothic" w:eastAsia="Times New Roman" w:hAnsi="Century Gothic"/>
          <w:color w:val="000000" w:themeColor="text1"/>
          <w:szCs w:val="22"/>
        </w:rPr>
        <w:t xml:space="preserve"> also participated in classroom training on money </w:t>
      </w:r>
      <w:proofErr w:type="gramStart"/>
      <w:r w:rsidRPr="00A84980">
        <w:rPr>
          <w:rFonts w:ascii="Century Gothic" w:eastAsia="Times New Roman" w:hAnsi="Century Gothic"/>
          <w:color w:val="000000" w:themeColor="text1"/>
          <w:szCs w:val="22"/>
        </w:rPr>
        <w:t>management,</w:t>
      </w:r>
      <w:proofErr w:type="gramEnd"/>
      <w:r w:rsidRPr="00A84980">
        <w:rPr>
          <w:rFonts w:ascii="Century Gothic" w:eastAsia="Times New Roman" w:hAnsi="Century Gothic"/>
          <w:color w:val="000000" w:themeColor="text1"/>
          <w:szCs w:val="22"/>
        </w:rPr>
        <w:t xml:space="preserve"> workplace conduct and time management. </w:t>
      </w:r>
      <w:r w:rsidR="00F31DC5">
        <w:rPr>
          <w:rFonts w:ascii="Century Gothic" w:eastAsia="Times New Roman" w:hAnsi="Century Gothic"/>
          <w:color w:val="000000" w:themeColor="text1"/>
          <w:szCs w:val="22"/>
        </w:rPr>
        <w:t xml:space="preserve"> </w:t>
      </w:r>
      <w:r w:rsidRPr="00A84980">
        <w:rPr>
          <w:rFonts w:ascii="Century Gothic" w:eastAsia="Times New Roman" w:hAnsi="Century Gothic"/>
          <w:color w:val="000000" w:themeColor="text1"/>
          <w:szCs w:val="22"/>
        </w:rPr>
        <w:t xml:space="preserve">At the end of the program the youth expressed their excitement and eagerness to continue in finding employment and leadership opportunities. </w:t>
      </w:r>
      <w:r w:rsidR="00F31DC5">
        <w:rPr>
          <w:rFonts w:ascii="Century Gothic" w:eastAsia="Times New Roman" w:hAnsi="Century Gothic"/>
          <w:color w:val="000000" w:themeColor="text1"/>
          <w:szCs w:val="22"/>
        </w:rPr>
        <w:t xml:space="preserve"> </w:t>
      </w:r>
      <w:r w:rsidRPr="00A84980">
        <w:rPr>
          <w:rFonts w:ascii="Century Gothic" w:eastAsia="Times New Roman" w:hAnsi="Century Gothic"/>
          <w:color w:val="000000" w:themeColor="text1"/>
          <w:szCs w:val="22"/>
        </w:rPr>
        <w:t xml:space="preserve">88% of the 8 participants stated that the training program prepared them to accomplish future goals.   </w:t>
      </w:r>
    </w:p>
    <w:p w14:paraId="15EADF67" w14:textId="4F705117" w:rsidR="14156AC3" w:rsidRPr="00A84980" w:rsidRDefault="26D604B6" w:rsidP="00553072">
      <w:pPr>
        <w:shd w:val="clear" w:color="auto" w:fill="FFFFFF" w:themeFill="background1"/>
        <w:spacing w:line="360" w:lineRule="auto"/>
        <w:rPr>
          <w:rFonts w:ascii="Century Gothic" w:eastAsia="Times New Roman" w:hAnsi="Century Gothic"/>
          <w:color w:val="000000" w:themeColor="text1"/>
          <w:szCs w:val="22"/>
        </w:rPr>
      </w:pPr>
      <w:r w:rsidRPr="00A84980">
        <w:rPr>
          <w:rFonts w:ascii="Century Gothic" w:eastAsia="Times New Roman" w:hAnsi="Century Gothic"/>
          <w:color w:val="000000" w:themeColor="text1"/>
          <w:szCs w:val="22"/>
        </w:rPr>
        <w:t xml:space="preserve">50% stated if it wasn’t for the RSYVP program they would have been disengaged for the summer by simply just staying in the house. </w:t>
      </w:r>
    </w:p>
    <w:p w14:paraId="032B45E0" w14:textId="7BF5A966" w:rsidR="14156AC3" w:rsidRPr="00A84980" w:rsidRDefault="26D604B6" w:rsidP="00553072">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color w:val="000000" w:themeColor="text1"/>
          <w:szCs w:val="22"/>
          <w:lang w:val="en"/>
        </w:rPr>
        <w:t xml:space="preserve"> </w:t>
      </w:r>
    </w:p>
    <w:p w14:paraId="2081AACA" w14:textId="4E76B436" w:rsidR="14156AC3" w:rsidRPr="00A84980" w:rsidRDefault="26D604B6" w:rsidP="00553072">
      <w:pPr>
        <w:shd w:val="clear" w:color="auto" w:fill="FFFFFF" w:themeFill="background1"/>
        <w:spacing w:line="360" w:lineRule="auto"/>
        <w:rPr>
          <w:rFonts w:ascii="Century Gothic" w:eastAsia="Times New Roman" w:hAnsi="Century Gothic"/>
          <w:color w:val="000000" w:themeColor="text1"/>
          <w:szCs w:val="22"/>
        </w:rPr>
      </w:pPr>
      <w:r w:rsidRPr="00A84980">
        <w:rPr>
          <w:rFonts w:ascii="Century Gothic" w:eastAsia="Times New Roman" w:hAnsi="Century Gothic"/>
          <w:color w:val="000000" w:themeColor="text1"/>
          <w:szCs w:val="22"/>
        </w:rPr>
        <w:t xml:space="preserve">While participating in the RSYVP program, 60% of the youth were able to use the money they earned to buy items they needed and wanted.  30% of the youth opened a bank account for the first time and 50% of those participants saved more than $300.  The maximum amount saved was $900.  50% of the students continued to maintain a </w:t>
      </w:r>
      <w:hyperlink r:id="rId48" w:history="1">
        <w:r w:rsidRPr="00A84980">
          <w:rPr>
            <w:rStyle w:val="Hyperlink"/>
            <w:rFonts w:ascii="Century Gothic" w:eastAsia="Times New Roman" w:hAnsi="Century Gothic"/>
            <w:szCs w:val="22"/>
          </w:rPr>
          <w:t>G.PA</w:t>
        </w:r>
      </w:hyperlink>
      <w:r w:rsidRPr="00A84980">
        <w:rPr>
          <w:rFonts w:ascii="Century Gothic" w:eastAsia="Times New Roman" w:hAnsi="Century Gothic"/>
          <w:color w:val="000000" w:themeColor="text1"/>
          <w:szCs w:val="22"/>
        </w:rPr>
        <w:t>. over 3.0 while engaged in this program.</w:t>
      </w:r>
      <w:r w:rsidRPr="00A84980">
        <w:rPr>
          <w:rFonts w:ascii="Century Gothic" w:eastAsia="Times New Roman" w:hAnsi="Century Gothic"/>
          <w:b/>
          <w:bCs/>
          <w:color w:val="000000" w:themeColor="text1"/>
          <w:szCs w:val="22"/>
        </w:rPr>
        <w:t xml:space="preserve"> </w:t>
      </w:r>
      <w:r w:rsidRPr="00A84980">
        <w:rPr>
          <w:rFonts w:ascii="Century Gothic" w:eastAsia="Times New Roman" w:hAnsi="Century Gothic"/>
          <w:color w:val="000000" w:themeColor="text1"/>
          <w:szCs w:val="22"/>
        </w:rPr>
        <w:t xml:space="preserve"> </w:t>
      </w:r>
    </w:p>
    <w:p w14:paraId="2C7B298C" w14:textId="230AFF00" w:rsidR="14156AC3" w:rsidRPr="00A84980" w:rsidRDefault="26D604B6" w:rsidP="00553072">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color w:val="000000" w:themeColor="text1"/>
          <w:szCs w:val="22"/>
          <w:lang w:val="en"/>
        </w:rPr>
        <w:t xml:space="preserve"> </w:t>
      </w:r>
    </w:p>
    <w:p w14:paraId="2DB8EC86" w14:textId="143BA8F3" w:rsidR="14156AC3" w:rsidRPr="00A84980" w:rsidRDefault="26D604B6" w:rsidP="00553072">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b/>
          <w:bCs/>
          <w:i/>
          <w:iCs/>
          <w:color w:val="000000" w:themeColor="text1"/>
          <w:szCs w:val="22"/>
          <w:lang w:val="en"/>
        </w:rPr>
        <w:t xml:space="preserve">Quotes:  </w:t>
      </w:r>
      <w:r w:rsidRPr="00A84980">
        <w:rPr>
          <w:rFonts w:ascii="Century Gothic" w:eastAsia="Times New Roman" w:hAnsi="Century Gothic"/>
          <w:color w:val="000000" w:themeColor="text1"/>
          <w:szCs w:val="22"/>
          <w:lang w:val="en"/>
        </w:rPr>
        <w:t xml:space="preserve"> </w:t>
      </w:r>
    </w:p>
    <w:p w14:paraId="711FDF19" w14:textId="08297A01" w:rsidR="14156AC3" w:rsidRDefault="26D604B6" w:rsidP="00E07338">
      <w:pPr>
        <w:spacing w:line="276" w:lineRule="auto"/>
        <w:ind w:left="720"/>
        <w:rPr>
          <w:rFonts w:ascii="Century Gothic" w:eastAsia="Times New Roman" w:hAnsi="Century Gothic"/>
        </w:rPr>
      </w:pPr>
      <w:r w:rsidRPr="4EB6BE86">
        <w:rPr>
          <w:rFonts w:ascii="Century Gothic" w:eastAsia="Times New Roman" w:hAnsi="Century Gothic"/>
        </w:rPr>
        <w:t>“I learned how to work together, I learned that you need to have patience, and I also learned how to be a leader”. - R. H</w:t>
      </w:r>
      <w:r w:rsidR="00CE1A33">
        <w:rPr>
          <w:rFonts w:ascii="Century Gothic" w:eastAsia="Times New Roman" w:hAnsi="Century Gothic"/>
        </w:rPr>
        <w:t>.</w:t>
      </w:r>
    </w:p>
    <w:p w14:paraId="43117A4A" w14:textId="12807D6C" w:rsidR="00F32757" w:rsidRDefault="006E39DA" w:rsidP="00F32757">
      <w:pPr>
        <w:spacing w:line="276" w:lineRule="auto"/>
        <w:ind w:left="720"/>
        <w:rPr>
          <w:rFonts w:ascii="Century Gothic" w:eastAsia="Times New Roman" w:hAnsi="Century Gothic"/>
        </w:rPr>
      </w:pPr>
      <w:r w:rsidRPr="4EB6BE86">
        <w:rPr>
          <w:rFonts w:ascii="Century Gothic" w:eastAsia="Times New Roman" w:hAnsi="Century Gothic"/>
        </w:rPr>
        <w:t>“I</w:t>
      </w:r>
      <w:r w:rsidR="00F32757" w:rsidRPr="4EB6BE86">
        <w:rPr>
          <w:rFonts w:ascii="Century Gothic" w:eastAsia="Times New Roman" w:hAnsi="Century Gothic"/>
        </w:rPr>
        <w:t xml:space="preserve"> learned leadership skills, how to deal with younger kids, how to make homemade ice cream “. Z. M. </w:t>
      </w:r>
    </w:p>
    <w:p w14:paraId="106D332D" w14:textId="32243624" w:rsidR="00CE1A33" w:rsidRPr="00A84980" w:rsidRDefault="006E39DA" w:rsidP="00CE1A33">
      <w:pPr>
        <w:shd w:val="clear" w:color="auto" w:fill="FFFFFF" w:themeFill="background1"/>
        <w:spacing w:line="360" w:lineRule="auto"/>
        <w:ind w:left="720"/>
        <w:rPr>
          <w:rFonts w:ascii="Century Gothic" w:eastAsia="Times New Roman" w:hAnsi="Century Gothic"/>
          <w:i/>
          <w:iCs/>
          <w:color w:val="000000" w:themeColor="text1"/>
          <w:szCs w:val="22"/>
        </w:rPr>
      </w:pPr>
      <w:r w:rsidRPr="00A84980">
        <w:rPr>
          <w:rFonts w:ascii="Century Gothic" w:eastAsia="Times New Roman" w:hAnsi="Century Gothic"/>
          <w:i/>
          <w:iCs/>
          <w:color w:val="000000" w:themeColor="text1"/>
          <w:szCs w:val="22"/>
        </w:rPr>
        <w:t>“My</w:t>
      </w:r>
      <w:r w:rsidR="00CE1A33" w:rsidRPr="00A84980">
        <w:rPr>
          <w:rFonts w:ascii="Century Gothic" w:eastAsia="Times New Roman" w:hAnsi="Century Gothic"/>
          <w:i/>
          <w:iCs/>
          <w:color w:val="000000" w:themeColor="text1"/>
          <w:szCs w:val="22"/>
        </w:rPr>
        <w:t xml:space="preserve"> son really enjoyed his worksite this year and worked well with his team</w:t>
      </w:r>
      <w:r w:rsidR="00CE1A33">
        <w:rPr>
          <w:rFonts w:ascii="Century Gothic" w:eastAsia="Times New Roman" w:hAnsi="Century Gothic"/>
          <w:i/>
          <w:iCs/>
          <w:color w:val="000000" w:themeColor="text1"/>
          <w:szCs w:val="22"/>
        </w:rPr>
        <w:t>”</w:t>
      </w:r>
      <w:r w:rsidR="00CE1A33" w:rsidRPr="00A84980">
        <w:rPr>
          <w:rFonts w:ascii="Century Gothic" w:eastAsia="Times New Roman" w:hAnsi="Century Gothic"/>
          <w:i/>
          <w:iCs/>
          <w:color w:val="000000" w:themeColor="text1"/>
          <w:szCs w:val="22"/>
        </w:rPr>
        <w:t xml:space="preserve"> - Youth Mom (S.C</w:t>
      </w:r>
      <w:r w:rsidR="00CE1A33">
        <w:rPr>
          <w:rFonts w:ascii="Century Gothic" w:eastAsia="Times New Roman" w:hAnsi="Century Gothic"/>
          <w:i/>
          <w:iCs/>
          <w:color w:val="000000" w:themeColor="text1"/>
          <w:szCs w:val="22"/>
        </w:rPr>
        <w:t>.</w:t>
      </w:r>
      <w:r w:rsidR="00CE1A33" w:rsidRPr="00A84980">
        <w:rPr>
          <w:rFonts w:ascii="Century Gothic" w:eastAsia="Times New Roman" w:hAnsi="Century Gothic"/>
          <w:i/>
          <w:iCs/>
          <w:color w:val="000000" w:themeColor="text1"/>
          <w:szCs w:val="22"/>
        </w:rPr>
        <w:t xml:space="preserve">) </w:t>
      </w:r>
    </w:p>
    <w:p w14:paraId="38FBAABB" w14:textId="1CC195AE" w:rsidR="00E07338" w:rsidRDefault="00E07338" w:rsidP="00E07338">
      <w:pPr>
        <w:spacing w:line="276" w:lineRule="auto"/>
        <w:rPr>
          <w:rFonts w:ascii="Century Gothic" w:eastAsia="Times New Roman" w:hAnsi="Century Gothic"/>
          <w:lang w:val="en"/>
        </w:rPr>
      </w:pPr>
    </w:p>
    <w:p w14:paraId="12C549CE" w14:textId="51A81A09" w:rsidR="14156AC3" w:rsidRPr="00E07338" w:rsidRDefault="26D604B6" w:rsidP="00E07338">
      <w:pPr>
        <w:spacing w:line="276" w:lineRule="auto"/>
        <w:rPr>
          <w:rFonts w:ascii="Century Gothic" w:eastAsia="Times New Roman" w:hAnsi="Century Gothic"/>
          <w:b/>
          <w:bCs/>
          <w:szCs w:val="22"/>
          <w:lang w:val="en"/>
        </w:rPr>
      </w:pPr>
      <w:r w:rsidRPr="00E07338">
        <w:rPr>
          <w:rFonts w:ascii="Century Gothic" w:eastAsia="Times New Roman" w:hAnsi="Century Gothic"/>
          <w:b/>
          <w:bCs/>
          <w:szCs w:val="22"/>
          <w:lang w:val="en"/>
        </w:rPr>
        <w:t xml:space="preserve">STEP </w:t>
      </w:r>
    </w:p>
    <w:p w14:paraId="0732D6FC" w14:textId="676D8B50" w:rsidR="14156AC3" w:rsidRPr="00A84980" w:rsidRDefault="26D604B6" w:rsidP="188A1EBF">
      <w:pPr>
        <w:spacing w:line="276" w:lineRule="auto"/>
        <w:rPr>
          <w:rFonts w:ascii="Century Gothic" w:eastAsia="Times New Roman" w:hAnsi="Century Gothic"/>
          <w:highlight w:val="yellow"/>
        </w:rPr>
      </w:pPr>
      <w:r w:rsidRPr="188A1EBF">
        <w:rPr>
          <w:rFonts w:ascii="Century Gothic" w:eastAsia="Times New Roman" w:hAnsi="Century Gothic"/>
        </w:rPr>
        <w:t>The Student Training Employment Program (STEP) is a program in which the students are placed in jobs in various departments at ECC/HANH.  The students are placed according to their career goals and aspirations or study concentration</w:t>
      </w:r>
      <w:r w:rsidR="00E07338" w:rsidRPr="188A1EBF">
        <w:rPr>
          <w:rFonts w:ascii="Century Gothic" w:eastAsia="Times New Roman" w:hAnsi="Century Gothic"/>
        </w:rPr>
        <w:t xml:space="preserve">. </w:t>
      </w:r>
      <w:r w:rsidRPr="188A1EBF">
        <w:rPr>
          <w:rFonts w:ascii="Century Gothic" w:eastAsia="Times New Roman" w:hAnsi="Century Gothic"/>
        </w:rPr>
        <w:t xml:space="preserve"> The students are high school or college students between the ages of 16 –22 years old.</w:t>
      </w:r>
    </w:p>
    <w:p w14:paraId="08FD148A" w14:textId="09543EDD"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lang w:val="en"/>
        </w:rPr>
      </w:pPr>
      <w:r w:rsidRPr="4EB6BE86">
        <w:rPr>
          <w:rFonts w:ascii="Century Gothic" w:eastAsia="Times New Roman" w:hAnsi="Century Gothic"/>
          <w:color w:val="000000" w:themeColor="text1"/>
          <w:lang w:val="en"/>
        </w:rPr>
        <w:t xml:space="preserve"> </w:t>
      </w:r>
    </w:p>
    <w:p w14:paraId="5B4525BF" w14:textId="76E99F98" w:rsidR="00E07338" w:rsidRDefault="26D604B6" w:rsidP="00E07338">
      <w:pPr>
        <w:shd w:val="clear" w:color="auto" w:fill="FFFFFF" w:themeFill="background1"/>
        <w:spacing w:line="360" w:lineRule="auto"/>
        <w:rPr>
          <w:rFonts w:ascii="Century Gothic" w:eastAsia="Times New Roman" w:hAnsi="Century Gothic"/>
          <w:color w:val="000000" w:themeColor="text1"/>
        </w:rPr>
      </w:pPr>
      <w:r w:rsidRPr="4EB6BE86">
        <w:rPr>
          <w:rFonts w:ascii="Century Gothic" w:eastAsia="Times New Roman" w:hAnsi="Century Gothic"/>
          <w:color w:val="000000" w:themeColor="text1"/>
        </w:rPr>
        <w:t xml:space="preserve">The Student Training Employment Program (STEP) aims to offer paid work opportunities to students enrolled in a diverse range of educational institutions, spanning from high school to graduate level. </w:t>
      </w:r>
    </w:p>
    <w:p w14:paraId="21EA8783" w14:textId="35804BFB" w:rsidR="00E07338" w:rsidRDefault="00E07338" w:rsidP="00E07338">
      <w:pPr>
        <w:shd w:val="clear" w:color="auto" w:fill="FFFFFF" w:themeFill="background1"/>
        <w:spacing w:line="360" w:lineRule="auto"/>
        <w:rPr>
          <w:rFonts w:ascii="Century Gothic" w:eastAsia="Times New Roman" w:hAnsi="Century Gothic"/>
          <w:color w:val="000000" w:themeColor="text1"/>
        </w:rPr>
      </w:pPr>
    </w:p>
    <w:p w14:paraId="3840B5E9" w14:textId="4FE49FAD"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rPr>
      </w:pPr>
      <w:r w:rsidRPr="00A84980">
        <w:rPr>
          <w:rFonts w:ascii="Century Gothic" w:eastAsia="Times New Roman" w:hAnsi="Century Gothic"/>
          <w:color w:val="000000" w:themeColor="text1"/>
          <w:szCs w:val="22"/>
        </w:rPr>
        <w:t xml:space="preserve">This program's primary objectives are to familiarize student interns with workplace etiquette, enhance their skills in resume writing and interviewing, and impart knowledge in areas such as budgeting and financial management. Students also </w:t>
      </w:r>
      <w:r w:rsidR="00281052" w:rsidRPr="00A84980">
        <w:rPr>
          <w:rFonts w:ascii="Century Gothic" w:eastAsia="Times New Roman" w:hAnsi="Century Gothic"/>
          <w:color w:val="000000" w:themeColor="text1"/>
          <w:szCs w:val="22"/>
        </w:rPr>
        <w:t>participate</w:t>
      </w:r>
      <w:r w:rsidRPr="00A84980">
        <w:rPr>
          <w:rFonts w:ascii="Century Gothic" w:eastAsia="Times New Roman" w:hAnsi="Century Gothic"/>
          <w:color w:val="000000" w:themeColor="text1"/>
          <w:szCs w:val="22"/>
        </w:rPr>
        <w:t xml:space="preserve"> in monthly case management sessions to ensure </w:t>
      </w:r>
      <w:r w:rsidRPr="00A84980">
        <w:rPr>
          <w:rFonts w:ascii="Century Gothic" w:eastAsia="Times New Roman" w:hAnsi="Century Gothic"/>
          <w:color w:val="000000" w:themeColor="text1"/>
          <w:szCs w:val="22"/>
        </w:rPr>
        <w:lastRenderedPageBreak/>
        <w:t xml:space="preserve">they are offered support to successfully balance work and education. Additionally, STEP equips participants with valuable tools to navigate the professional career landscape.  </w:t>
      </w:r>
    </w:p>
    <w:p w14:paraId="11275AF7" w14:textId="35870327"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i/>
          <w:iCs/>
          <w:color w:val="000000" w:themeColor="text1"/>
          <w:szCs w:val="22"/>
          <w:lang w:val="en"/>
        </w:rPr>
        <w:t xml:space="preserve"> </w:t>
      </w:r>
      <w:r w:rsidRPr="00A84980">
        <w:rPr>
          <w:rFonts w:ascii="Century Gothic" w:eastAsia="Times New Roman" w:hAnsi="Century Gothic"/>
          <w:color w:val="000000" w:themeColor="text1"/>
          <w:szCs w:val="22"/>
          <w:lang w:val="en"/>
        </w:rPr>
        <w:t xml:space="preserve"> </w:t>
      </w:r>
    </w:p>
    <w:p w14:paraId="558554DF" w14:textId="3A1EDA07"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rPr>
      </w:pPr>
      <w:r w:rsidRPr="00A84980">
        <w:rPr>
          <w:rFonts w:ascii="Century Gothic" w:eastAsia="Times New Roman" w:hAnsi="Century Gothic"/>
          <w:color w:val="000000" w:themeColor="text1"/>
          <w:szCs w:val="22"/>
        </w:rPr>
        <w:t xml:space="preserve">STEP students receive training on the following topics.  </w:t>
      </w:r>
    </w:p>
    <w:p w14:paraId="57DD48F5" w14:textId="665864A9" w:rsidR="14156AC3" w:rsidRPr="00855213" w:rsidRDefault="26D604B6" w:rsidP="00486062">
      <w:pPr>
        <w:pStyle w:val="ListParagraph"/>
        <w:numPr>
          <w:ilvl w:val="0"/>
          <w:numId w:val="127"/>
        </w:numPr>
        <w:shd w:val="clear" w:color="auto" w:fill="FFFFFF" w:themeFill="background1"/>
        <w:spacing w:line="360" w:lineRule="auto"/>
        <w:rPr>
          <w:rFonts w:ascii="Century Gothic" w:eastAsia="Times New Roman" w:hAnsi="Century Gothic"/>
          <w:color w:val="000000" w:themeColor="text1"/>
          <w:szCs w:val="22"/>
          <w:lang w:val="en"/>
        </w:rPr>
      </w:pPr>
      <w:r w:rsidRPr="00855213">
        <w:rPr>
          <w:rFonts w:ascii="Century Gothic" w:eastAsia="Times New Roman" w:hAnsi="Century Gothic"/>
          <w:color w:val="000000" w:themeColor="text1"/>
          <w:szCs w:val="22"/>
          <w:lang w:val="en"/>
        </w:rPr>
        <w:t xml:space="preserve">Leadership </w:t>
      </w:r>
    </w:p>
    <w:p w14:paraId="1AC942C8" w14:textId="681A8BB9" w:rsidR="14156AC3" w:rsidRPr="00855213" w:rsidRDefault="26D604B6" w:rsidP="00486062">
      <w:pPr>
        <w:pStyle w:val="ListParagraph"/>
        <w:numPr>
          <w:ilvl w:val="0"/>
          <w:numId w:val="127"/>
        </w:numPr>
        <w:shd w:val="clear" w:color="auto" w:fill="FFFFFF" w:themeFill="background1"/>
        <w:spacing w:line="360" w:lineRule="auto"/>
        <w:rPr>
          <w:rFonts w:ascii="Century Gothic" w:eastAsia="Times New Roman" w:hAnsi="Century Gothic"/>
          <w:color w:val="000000" w:themeColor="text1"/>
          <w:szCs w:val="22"/>
          <w:lang w:val="en"/>
        </w:rPr>
      </w:pPr>
      <w:r w:rsidRPr="00855213">
        <w:rPr>
          <w:rFonts w:ascii="Century Gothic" w:eastAsia="Times New Roman" w:hAnsi="Century Gothic"/>
          <w:color w:val="000000" w:themeColor="text1"/>
          <w:szCs w:val="22"/>
          <w:lang w:val="en"/>
        </w:rPr>
        <w:t xml:space="preserve">Time Management </w:t>
      </w:r>
    </w:p>
    <w:p w14:paraId="0BA8AB94" w14:textId="5D6F1A5D" w:rsidR="14156AC3" w:rsidRPr="00855213" w:rsidRDefault="26D604B6" w:rsidP="00486062">
      <w:pPr>
        <w:pStyle w:val="ListParagraph"/>
        <w:numPr>
          <w:ilvl w:val="0"/>
          <w:numId w:val="127"/>
        </w:numPr>
        <w:shd w:val="clear" w:color="auto" w:fill="FFFFFF" w:themeFill="background1"/>
        <w:spacing w:line="360" w:lineRule="auto"/>
        <w:rPr>
          <w:rFonts w:ascii="Century Gothic" w:eastAsia="Times New Roman" w:hAnsi="Century Gothic"/>
          <w:color w:val="000000" w:themeColor="text1"/>
          <w:szCs w:val="22"/>
          <w:lang w:val="en"/>
        </w:rPr>
      </w:pPr>
      <w:r w:rsidRPr="00855213">
        <w:rPr>
          <w:rFonts w:ascii="Century Gothic" w:eastAsia="Times New Roman" w:hAnsi="Century Gothic"/>
          <w:color w:val="000000" w:themeColor="text1"/>
          <w:szCs w:val="22"/>
          <w:lang w:val="en"/>
        </w:rPr>
        <w:t xml:space="preserve">Smart Banking </w:t>
      </w:r>
    </w:p>
    <w:p w14:paraId="58E8199D" w14:textId="0A5339AE" w:rsidR="14156AC3" w:rsidRPr="00855213" w:rsidRDefault="26D604B6" w:rsidP="00486062">
      <w:pPr>
        <w:pStyle w:val="ListParagraph"/>
        <w:numPr>
          <w:ilvl w:val="0"/>
          <w:numId w:val="127"/>
        </w:numPr>
        <w:shd w:val="clear" w:color="auto" w:fill="FFFFFF" w:themeFill="background1"/>
        <w:spacing w:line="360" w:lineRule="auto"/>
        <w:rPr>
          <w:rFonts w:ascii="Century Gothic" w:eastAsia="Times New Roman" w:hAnsi="Century Gothic"/>
          <w:color w:val="000000" w:themeColor="text1"/>
          <w:szCs w:val="22"/>
          <w:lang w:val="en"/>
        </w:rPr>
      </w:pPr>
      <w:r w:rsidRPr="00855213">
        <w:rPr>
          <w:rFonts w:ascii="Century Gothic" w:eastAsia="Times New Roman" w:hAnsi="Century Gothic"/>
          <w:color w:val="000000" w:themeColor="text1"/>
          <w:szCs w:val="22"/>
          <w:lang w:val="en"/>
        </w:rPr>
        <w:t xml:space="preserve">Stress Management </w:t>
      </w:r>
    </w:p>
    <w:p w14:paraId="4F7398F0" w14:textId="232E1E15"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color w:val="000000" w:themeColor="text1"/>
          <w:szCs w:val="22"/>
          <w:lang w:val="en"/>
        </w:rPr>
        <w:t xml:space="preserve">   Interviewing skills </w:t>
      </w:r>
    </w:p>
    <w:p w14:paraId="572DB896" w14:textId="5B5C8341"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color w:val="000000" w:themeColor="text1"/>
          <w:szCs w:val="22"/>
          <w:lang w:val="en"/>
        </w:rPr>
        <w:t xml:space="preserve">  Workplace Behavior Conduct </w:t>
      </w:r>
    </w:p>
    <w:p w14:paraId="14FBEBE6" w14:textId="087B4D6E"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color w:val="000000" w:themeColor="text1"/>
          <w:szCs w:val="22"/>
          <w:lang w:val="en"/>
        </w:rPr>
        <w:t xml:space="preserve">  Goal setting </w:t>
      </w:r>
    </w:p>
    <w:p w14:paraId="3A48C400" w14:textId="296F256B"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color w:val="000000" w:themeColor="text1"/>
          <w:szCs w:val="22"/>
          <w:lang w:val="en"/>
        </w:rPr>
        <w:t xml:space="preserve">  Active Listening </w:t>
      </w:r>
    </w:p>
    <w:p w14:paraId="1E3333A4" w14:textId="7BBA362A"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color w:val="000000" w:themeColor="text1"/>
          <w:szCs w:val="22"/>
          <w:lang w:val="en"/>
        </w:rPr>
        <w:t xml:space="preserve">  Self-Advocacy </w:t>
      </w:r>
    </w:p>
    <w:p w14:paraId="6DF1709A" w14:textId="0A13D332"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color w:val="000000" w:themeColor="text1"/>
          <w:szCs w:val="22"/>
          <w:lang w:val="en"/>
        </w:rPr>
        <w:t xml:space="preserve">  Financial Literacy </w:t>
      </w:r>
    </w:p>
    <w:p w14:paraId="1507DC76" w14:textId="0ADD657E" w:rsidR="14156AC3" w:rsidRPr="00A84980" w:rsidRDefault="26D604B6" w:rsidP="00E07338">
      <w:pPr>
        <w:shd w:val="clear" w:color="auto" w:fill="FFFFFF" w:themeFill="background1"/>
        <w:spacing w:line="360" w:lineRule="auto"/>
        <w:rPr>
          <w:rFonts w:ascii="Century Gothic" w:eastAsia="Times New Roman" w:hAnsi="Century Gothic"/>
          <w:color w:val="000000" w:themeColor="text1"/>
          <w:szCs w:val="22"/>
          <w:lang w:val="en"/>
        </w:rPr>
      </w:pPr>
      <w:r w:rsidRPr="00A84980">
        <w:rPr>
          <w:rFonts w:ascii="Century Gothic" w:eastAsia="Times New Roman" w:hAnsi="Century Gothic"/>
          <w:color w:val="000000" w:themeColor="text1"/>
          <w:szCs w:val="22"/>
          <w:lang w:val="en"/>
        </w:rPr>
        <w:t xml:space="preserve">  Career-Exploration</w:t>
      </w:r>
    </w:p>
    <w:p w14:paraId="634300BA" w14:textId="0D81E633" w:rsidR="14156AC3" w:rsidRPr="00BE5C1C" w:rsidRDefault="14156AC3" w:rsidP="19B38EFC">
      <w:pPr>
        <w:rPr>
          <w:rFonts w:ascii="Century Gothic" w:eastAsia="Calibri Light" w:hAnsi="Century Gothic" w:cs="Calibri Light"/>
          <w:color w:val="202124"/>
          <w:szCs w:val="22"/>
        </w:rPr>
      </w:pPr>
    </w:p>
    <w:p w14:paraId="0EAFF89F" w14:textId="020D0FD8" w:rsidR="3C0D4841" w:rsidRPr="00BE5C1C" w:rsidRDefault="0F3C3550" w:rsidP="0002505E">
      <w:pPr>
        <w:rPr>
          <w:rFonts w:ascii="Century Gothic" w:eastAsia="Times New Roman" w:hAnsi="Century Gothic"/>
          <w:szCs w:val="22"/>
        </w:rPr>
      </w:pPr>
      <w:r w:rsidRPr="00BE5C1C">
        <w:rPr>
          <w:rFonts w:ascii="Century Gothic" w:eastAsia="Times New Roman" w:hAnsi="Century Gothic"/>
          <w:szCs w:val="22"/>
        </w:rPr>
        <w:t>In FY2</w:t>
      </w:r>
      <w:r w:rsidR="14C75CCF" w:rsidRPr="00BE5C1C">
        <w:rPr>
          <w:rFonts w:ascii="Century Gothic" w:eastAsia="Times New Roman" w:hAnsi="Century Gothic"/>
          <w:szCs w:val="22"/>
        </w:rPr>
        <w:t>4</w:t>
      </w:r>
      <w:r w:rsidRPr="00BE5C1C">
        <w:rPr>
          <w:rFonts w:ascii="Century Gothic" w:eastAsia="Times New Roman" w:hAnsi="Century Gothic"/>
          <w:szCs w:val="22"/>
        </w:rPr>
        <w:t xml:space="preserve">, </w:t>
      </w:r>
      <w:r w:rsidR="0118487B" w:rsidRPr="00BE5C1C">
        <w:rPr>
          <w:rFonts w:ascii="Century Gothic" w:eastAsia="Times New Roman" w:hAnsi="Century Gothic"/>
          <w:szCs w:val="22"/>
        </w:rPr>
        <w:t>1</w:t>
      </w:r>
      <w:r w:rsidR="01539C5F" w:rsidRPr="00BE5C1C">
        <w:rPr>
          <w:rFonts w:ascii="Century Gothic" w:eastAsia="Times New Roman" w:hAnsi="Century Gothic"/>
          <w:szCs w:val="22"/>
        </w:rPr>
        <w:t>5</w:t>
      </w:r>
      <w:r w:rsidRPr="00BE5C1C">
        <w:rPr>
          <w:rFonts w:ascii="Century Gothic" w:eastAsia="Times New Roman" w:hAnsi="Century Gothic"/>
          <w:szCs w:val="22"/>
        </w:rPr>
        <w:t xml:space="preserve"> of th</w:t>
      </w:r>
      <w:r w:rsidR="0255FA91" w:rsidRPr="00BE5C1C">
        <w:rPr>
          <w:rFonts w:ascii="Century Gothic" w:eastAsia="Times New Roman" w:hAnsi="Century Gothic"/>
          <w:szCs w:val="22"/>
        </w:rPr>
        <w:t xml:space="preserve">e 20 </w:t>
      </w:r>
      <w:r w:rsidRPr="00BE5C1C">
        <w:rPr>
          <w:rFonts w:ascii="Century Gothic" w:eastAsia="Times New Roman" w:hAnsi="Century Gothic"/>
          <w:szCs w:val="22"/>
        </w:rPr>
        <w:t>slots were filled (</w:t>
      </w:r>
      <w:r w:rsidR="7191FAFE" w:rsidRPr="00BE5C1C">
        <w:rPr>
          <w:rFonts w:ascii="Century Gothic" w:eastAsia="Times New Roman" w:hAnsi="Century Gothic"/>
          <w:szCs w:val="22"/>
        </w:rPr>
        <w:t>75</w:t>
      </w:r>
      <w:r w:rsidRPr="00BE5C1C">
        <w:rPr>
          <w:rFonts w:ascii="Century Gothic" w:eastAsia="Times New Roman" w:hAnsi="Century Gothic"/>
          <w:szCs w:val="22"/>
        </w:rPr>
        <w:t>%)</w:t>
      </w:r>
      <w:r w:rsidR="28403567" w:rsidRPr="00BE5C1C">
        <w:rPr>
          <w:rFonts w:ascii="Century Gothic" w:eastAsia="Times New Roman" w:hAnsi="Century Gothic"/>
          <w:szCs w:val="22"/>
        </w:rPr>
        <w:t xml:space="preserve"> and the salary costs </w:t>
      </w:r>
      <w:r w:rsidR="6638F512" w:rsidRPr="00BE5C1C">
        <w:rPr>
          <w:rFonts w:ascii="Century Gothic" w:eastAsia="Times New Roman" w:hAnsi="Century Gothic"/>
          <w:szCs w:val="22"/>
        </w:rPr>
        <w:t>totaled</w:t>
      </w:r>
      <w:r w:rsidR="28403567" w:rsidRPr="00BE5C1C">
        <w:rPr>
          <w:rFonts w:ascii="Century Gothic" w:eastAsia="Times New Roman" w:hAnsi="Century Gothic"/>
          <w:szCs w:val="22"/>
        </w:rPr>
        <w:t xml:space="preserve"> $1</w:t>
      </w:r>
      <w:r w:rsidR="22B7463F" w:rsidRPr="00BE5C1C">
        <w:rPr>
          <w:rFonts w:ascii="Century Gothic" w:eastAsia="Times New Roman" w:hAnsi="Century Gothic"/>
          <w:szCs w:val="22"/>
        </w:rPr>
        <w:t>19,990</w:t>
      </w:r>
      <w:r w:rsidR="28403567" w:rsidRPr="00BE5C1C">
        <w:rPr>
          <w:rFonts w:ascii="Century Gothic" w:eastAsia="Times New Roman" w:hAnsi="Century Gothic"/>
          <w:szCs w:val="22"/>
        </w:rPr>
        <w:t>.</w:t>
      </w:r>
      <w:r w:rsidR="4EE9BBD9" w:rsidRPr="00BE5C1C">
        <w:rPr>
          <w:rFonts w:ascii="Century Gothic" w:eastAsia="Times New Roman" w:hAnsi="Century Gothic"/>
          <w:szCs w:val="22"/>
        </w:rPr>
        <w:t xml:space="preserve"> The students were able to work in departments such as Executive, Finance, CED, HCV</w:t>
      </w:r>
      <w:r w:rsidR="00BE5C1C">
        <w:rPr>
          <w:rFonts w:ascii="Century Gothic" w:eastAsia="Times New Roman" w:hAnsi="Century Gothic"/>
          <w:szCs w:val="22"/>
        </w:rPr>
        <w:t xml:space="preserve"> </w:t>
      </w:r>
      <w:r w:rsidR="4EE9BBD9" w:rsidRPr="00BE5C1C">
        <w:rPr>
          <w:rFonts w:ascii="Century Gothic" w:eastAsia="Times New Roman" w:hAnsi="Century Gothic"/>
          <w:szCs w:val="22"/>
        </w:rPr>
        <w:t>and Operations</w:t>
      </w:r>
      <w:r w:rsidR="55ED9495" w:rsidRPr="00BE5C1C">
        <w:rPr>
          <w:rFonts w:ascii="Century Gothic" w:eastAsia="Times New Roman" w:hAnsi="Century Gothic"/>
          <w:szCs w:val="22"/>
        </w:rPr>
        <w:t xml:space="preserve">. Some of the accomplishments of the STEP Students </w:t>
      </w:r>
      <w:r w:rsidR="00281052" w:rsidRPr="00BE5C1C">
        <w:rPr>
          <w:rFonts w:ascii="Century Gothic" w:eastAsia="Times New Roman" w:hAnsi="Century Gothic"/>
          <w:szCs w:val="22"/>
        </w:rPr>
        <w:t>are</w:t>
      </w:r>
      <w:r w:rsidR="55ED9495" w:rsidRPr="00BE5C1C">
        <w:rPr>
          <w:rFonts w:ascii="Century Gothic" w:eastAsia="Times New Roman" w:hAnsi="Century Gothic"/>
          <w:szCs w:val="22"/>
        </w:rPr>
        <w:t xml:space="preserve"> listed below.</w:t>
      </w:r>
    </w:p>
    <w:p w14:paraId="25A42AC5" w14:textId="6AE2E3EF" w:rsidR="19B38EFC" w:rsidRPr="00BE5C1C" w:rsidRDefault="19B38EFC" w:rsidP="1D05C336">
      <w:pPr>
        <w:spacing w:line="276" w:lineRule="auto"/>
        <w:rPr>
          <w:rFonts w:ascii="Century Gothic" w:eastAsia="Times New Roman" w:hAnsi="Century Gothic"/>
          <w:b/>
          <w:bCs/>
          <w:szCs w:val="22"/>
          <w:lang w:val="en"/>
        </w:rPr>
      </w:pPr>
    </w:p>
    <w:p w14:paraId="242E7958" w14:textId="7B8BE1E3" w:rsidR="0303996F" w:rsidRPr="00BE5C1C" w:rsidRDefault="0303996F" w:rsidP="00486062">
      <w:pPr>
        <w:pStyle w:val="ListParagraph"/>
        <w:numPr>
          <w:ilvl w:val="0"/>
          <w:numId w:val="39"/>
        </w:numPr>
        <w:spacing w:line="276" w:lineRule="auto"/>
        <w:rPr>
          <w:rFonts w:ascii="Century Gothic" w:eastAsia="Times New Roman" w:hAnsi="Century Gothic"/>
          <w:color w:val="000000" w:themeColor="text1"/>
          <w:szCs w:val="22"/>
        </w:rPr>
      </w:pPr>
      <w:r w:rsidRPr="00BE5C1C">
        <w:rPr>
          <w:rFonts w:ascii="Century Gothic" w:eastAsia="Times New Roman" w:hAnsi="Century Gothic"/>
          <w:color w:val="000000" w:themeColor="text1"/>
          <w:szCs w:val="22"/>
        </w:rPr>
        <w:t xml:space="preserve">  20% obtained additional employment </w:t>
      </w:r>
    </w:p>
    <w:p w14:paraId="29DAE2E6" w14:textId="12F5BC1D" w:rsidR="0303996F" w:rsidRPr="00BE5C1C" w:rsidRDefault="0303996F" w:rsidP="00486062">
      <w:pPr>
        <w:pStyle w:val="ListParagraph"/>
        <w:numPr>
          <w:ilvl w:val="0"/>
          <w:numId w:val="39"/>
        </w:numPr>
        <w:shd w:val="clear" w:color="auto" w:fill="FFFFFF" w:themeFill="background1"/>
        <w:spacing w:line="360" w:lineRule="auto"/>
        <w:rPr>
          <w:rFonts w:ascii="Century Gothic" w:eastAsia="Times New Roman" w:hAnsi="Century Gothic"/>
          <w:color w:val="000000" w:themeColor="text1"/>
          <w:szCs w:val="22"/>
          <w:lang w:val="en"/>
        </w:rPr>
      </w:pPr>
      <w:r w:rsidRPr="00BE5C1C">
        <w:rPr>
          <w:rFonts w:ascii="Century Gothic" w:eastAsia="Times New Roman" w:hAnsi="Century Gothic"/>
          <w:color w:val="000000" w:themeColor="text1"/>
          <w:szCs w:val="22"/>
          <w:lang w:val="en"/>
        </w:rPr>
        <w:t xml:space="preserve">  26.667%    2024 Graduated High School</w:t>
      </w:r>
    </w:p>
    <w:p w14:paraId="113D633D" w14:textId="4FADC6A1" w:rsidR="0303996F" w:rsidRPr="00BE5C1C" w:rsidRDefault="0303996F" w:rsidP="00486062">
      <w:pPr>
        <w:pStyle w:val="ListParagraph"/>
        <w:numPr>
          <w:ilvl w:val="0"/>
          <w:numId w:val="39"/>
        </w:numPr>
        <w:shd w:val="clear" w:color="auto" w:fill="FFFFFF" w:themeFill="background1"/>
        <w:spacing w:line="360" w:lineRule="auto"/>
        <w:rPr>
          <w:rFonts w:ascii="Century Gothic" w:eastAsia="Times New Roman" w:hAnsi="Century Gothic"/>
          <w:color w:val="000000" w:themeColor="text1"/>
        </w:rPr>
      </w:pPr>
      <w:r w:rsidRPr="00BE5C1C">
        <w:rPr>
          <w:rFonts w:ascii="Century Gothic" w:eastAsia="Times New Roman" w:hAnsi="Century Gothic"/>
          <w:color w:val="000000" w:themeColor="text1"/>
        </w:rPr>
        <w:t>20% New Colleges Acceptances (University of Connecticut, Virginia State University, Gate</w:t>
      </w:r>
      <w:r w:rsidR="10EAD17A" w:rsidRPr="188A1EBF">
        <w:rPr>
          <w:rFonts w:ascii="Century Gothic" w:eastAsia="Times New Roman" w:hAnsi="Century Gothic"/>
          <w:color w:val="000000" w:themeColor="text1"/>
        </w:rPr>
        <w:t>w</w:t>
      </w:r>
      <w:r w:rsidRPr="00BE5C1C">
        <w:rPr>
          <w:rFonts w:ascii="Century Gothic" w:eastAsia="Times New Roman" w:hAnsi="Century Gothic"/>
          <w:color w:val="000000" w:themeColor="text1"/>
        </w:rPr>
        <w:t xml:space="preserve">ay Community </w:t>
      </w:r>
      <w:r w:rsidR="61BAB10A" w:rsidRPr="188A1EBF">
        <w:rPr>
          <w:rFonts w:ascii="Century Gothic" w:eastAsia="Times New Roman" w:hAnsi="Century Gothic"/>
          <w:color w:val="000000" w:themeColor="text1"/>
        </w:rPr>
        <w:t>C</w:t>
      </w:r>
      <w:r w:rsidRPr="00BE5C1C">
        <w:rPr>
          <w:rFonts w:ascii="Century Gothic" w:eastAsia="Times New Roman" w:hAnsi="Century Gothic"/>
          <w:color w:val="000000" w:themeColor="text1"/>
        </w:rPr>
        <w:t xml:space="preserve">ollege) </w:t>
      </w:r>
    </w:p>
    <w:p w14:paraId="42BAA118" w14:textId="3318FBC4" w:rsidR="0303996F" w:rsidRPr="00BE5C1C" w:rsidRDefault="0303996F" w:rsidP="00486062">
      <w:pPr>
        <w:pStyle w:val="ListParagraph"/>
        <w:numPr>
          <w:ilvl w:val="0"/>
          <w:numId w:val="39"/>
        </w:numPr>
        <w:shd w:val="clear" w:color="auto" w:fill="FFFFFF" w:themeFill="background1"/>
        <w:spacing w:line="360" w:lineRule="auto"/>
        <w:rPr>
          <w:rFonts w:ascii="Century Gothic" w:eastAsia="Times New Roman" w:hAnsi="Century Gothic"/>
          <w:color w:val="000000" w:themeColor="text1"/>
          <w:szCs w:val="22"/>
          <w:lang w:val="en"/>
        </w:rPr>
      </w:pPr>
      <w:r w:rsidRPr="00BE5C1C">
        <w:rPr>
          <w:rFonts w:ascii="Century Gothic" w:eastAsia="Times New Roman" w:hAnsi="Century Gothic"/>
          <w:color w:val="000000" w:themeColor="text1"/>
          <w:szCs w:val="22"/>
          <w:lang w:val="en"/>
        </w:rPr>
        <w:t xml:space="preserve">20% - Offered full time employment within EC/HANH (CED, HCV, OPERATIONS) </w:t>
      </w:r>
    </w:p>
    <w:p w14:paraId="05FB31F3" w14:textId="400A3798" w:rsidR="0303996F" w:rsidRPr="00BE5C1C" w:rsidRDefault="0303996F" w:rsidP="00486062">
      <w:pPr>
        <w:pStyle w:val="ListParagraph"/>
        <w:numPr>
          <w:ilvl w:val="0"/>
          <w:numId w:val="39"/>
        </w:numPr>
        <w:shd w:val="clear" w:color="auto" w:fill="FFFFFF" w:themeFill="background1"/>
        <w:spacing w:line="360" w:lineRule="auto"/>
        <w:rPr>
          <w:rFonts w:ascii="Century Gothic" w:eastAsia="Times New Roman" w:hAnsi="Century Gothic"/>
          <w:color w:val="000000" w:themeColor="text1"/>
          <w:szCs w:val="22"/>
          <w:lang w:val="en"/>
        </w:rPr>
      </w:pPr>
      <w:r w:rsidRPr="00BE5C1C">
        <w:rPr>
          <w:rFonts w:ascii="Century Gothic" w:eastAsia="Times New Roman" w:hAnsi="Century Gothic"/>
          <w:color w:val="000000" w:themeColor="text1"/>
          <w:szCs w:val="22"/>
          <w:lang w:val="en"/>
        </w:rPr>
        <w:t xml:space="preserve">  85% met </w:t>
      </w:r>
      <w:proofErr w:type="gramStart"/>
      <w:r w:rsidRPr="00BE5C1C">
        <w:rPr>
          <w:rFonts w:ascii="Century Gothic" w:eastAsia="Times New Roman" w:hAnsi="Century Gothic"/>
          <w:color w:val="000000" w:themeColor="text1"/>
          <w:szCs w:val="22"/>
          <w:lang w:val="en"/>
        </w:rPr>
        <w:t>the program</w:t>
      </w:r>
      <w:proofErr w:type="gramEnd"/>
      <w:r w:rsidRPr="00BE5C1C">
        <w:rPr>
          <w:rFonts w:ascii="Century Gothic" w:eastAsia="Times New Roman" w:hAnsi="Century Gothic"/>
          <w:color w:val="000000" w:themeColor="text1"/>
          <w:szCs w:val="22"/>
          <w:lang w:val="en"/>
        </w:rPr>
        <w:t xml:space="preserve"> GPA requirement (2.5)  </w:t>
      </w:r>
    </w:p>
    <w:p w14:paraId="3B4AAC43" w14:textId="08D97C83" w:rsidR="0303996F" w:rsidRPr="00BE5C1C" w:rsidRDefault="0303996F" w:rsidP="00486062">
      <w:pPr>
        <w:pStyle w:val="ListParagraph"/>
        <w:numPr>
          <w:ilvl w:val="0"/>
          <w:numId w:val="39"/>
        </w:numPr>
        <w:shd w:val="clear" w:color="auto" w:fill="FFFFFF" w:themeFill="background1"/>
        <w:spacing w:line="360" w:lineRule="auto"/>
        <w:rPr>
          <w:rFonts w:ascii="Century Gothic" w:eastAsia="Times New Roman" w:hAnsi="Century Gothic"/>
          <w:color w:val="000000" w:themeColor="text1"/>
          <w:szCs w:val="22"/>
        </w:rPr>
      </w:pPr>
      <w:r w:rsidRPr="00BE5C1C">
        <w:rPr>
          <w:rFonts w:ascii="Century Gothic" w:eastAsia="Times New Roman" w:hAnsi="Century Gothic"/>
          <w:color w:val="000000" w:themeColor="text1"/>
          <w:szCs w:val="22"/>
        </w:rPr>
        <w:t xml:space="preserve">  100 % participate in youth prep workshops through ECC/HANH CED programming and monthly case management SOUND sessions </w:t>
      </w:r>
    </w:p>
    <w:p w14:paraId="5FD9267E" w14:textId="7F4A7355" w:rsidR="0303996F" w:rsidRPr="00BE5C1C" w:rsidRDefault="0303996F" w:rsidP="00486062">
      <w:pPr>
        <w:pStyle w:val="ListParagraph"/>
        <w:numPr>
          <w:ilvl w:val="0"/>
          <w:numId w:val="39"/>
        </w:numPr>
        <w:shd w:val="clear" w:color="auto" w:fill="FFFFFF" w:themeFill="background1"/>
        <w:spacing w:line="360" w:lineRule="auto"/>
        <w:rPr>
          <w:rFonts w:ascii="Century Gothic" w:eastAsia="Times New Roman" w:hAnsi="Century Gothic"/>
          <w:color w:val="000000" w:themeColor="text1"/>
          <w:szCs w:val="22"/>
          <w:lang w:val="en"/>
        </w:rPr>
      </w:pPr>
      <w:r w:rsidRPr="00BE5C1C">
        <w:rPr>
          <w:rFonts w:ascii="Century Gothic" w:eastAsia="Times New Roman" w:hAnsi="Century Gothic"/>
          <w:color w:val="000000" w:themeColor="text1"/>
          <w:szCs w:val="22"/>
          <w:lang w:val="en"/>
        </w:rPr>
        <w:t xml:space="preserve">  80% have bank accounts and direct </w:t>
      </w:r>
      <w:proofErr w:type="gramStart"/>
      <w:r w:rsidRPr="00BE5C1C">
        <w:rPr>
          <w:rFonts w:ascii="Century Gothic" w:eastAsia="Times New Roman" w:hAnsi="Century Gothic"/>
          <w:color w:val="000000" w:themeColor="text1"/>
          <w:szCs w:val="22"/>
          <w:lang w:val="en"/>
        </w:rPr>
        <w:t>deposit</w:t>
      </w:r>
      <w:proofErr w:type="gramEnd"/>
    </w:p>
    <w:p w14:paraId="2F4DD24B" w14:textId="5F824074" w:rsidR="53E27046" w:rsidRPr="00BE5C1C" w:rsidRDefault="53E27046" w:rsidP="1D05C336">
      <w:pPr>
        <w:spacing w:line="276" w:lineRule="auto"/>
        <w:rPr>
          <w:rFonts w:ascii="Century Gothic" w:eastAsia="Times New Roman" w:hAnsi="Century Gothic"/>
          <w:szCs w:val="22"/>
          <w:lang w:val="en"/>
        </w:rPr>
      </w:pPr>
      <w:r w:rsidRPr="00BE5C1C">
        <w:rPr>
          <w:rFonts w:ascii="Century Gothic" w:eastAsia="Times New Roman" w:hAnsi="Century Gothic"/>
          <w:b/>
          <w:bCs/>
          <w:szCs w:val="22"/>
        </w:rPr>
        <w:t xml:space="preserve">Quotes: </w:t>
      </w:r>
      <w:r w:rsidR="5E24006E" w:rsidRPr="00BE5C1C">
        <w:rPr>
          <w:rFonts w:ascii="Century Gothic" w:eastAsia="Times New Roman" w:hAnsi="Century Gothic"/>
          <w:szCs w:val="22"/>
          <w:lang w:val="en"/>
        </w:rPr>
        <w:t xml:space="preserve"> </w:t>
      </w:r>
    </w:p>
    <w:p w14:paraId="15C53594" w14:textId="3292E188" w:rsidR="53E27046" w:rsidRPr="00BE5C1C" w:rsidRDefault="006E39DA" w:rsidP="00BE5C1C">
      <w:pPr>
        <w:shd w:val="clear" w:color="auto" w:fill="FFFFFF" w:themeFill="background1"/>
        <w:spacing w:line="360" w:lineRule="auto"/>
        <w:rPr>
          <w:rFonts w:ascii="Century Gothic" w:eastAsia="Times New Roman" w:hAnsi="Century Gothic"/>
          <w:color w:val="000000" w:themeColor="text1"/>
          <w:szCs w:val="22"/>
        </w:rPr>
      </w:pPr>
      <w:r w:rsidRPr="00BE5C1C">
        <w:rPr>
          <w:rFonts w:ascii="Century Gothic" w:eastAsia="Times New Roman" w:hAnsi="Century Gothic"/>
          <w:color w:val="000000" w:themeColor="text1"/>
          <w:szCs w:val="22"/>
        </w:rPr>
        <w:t>“I</w:t>
      </w:r>
      <w:r w:rsidR="5E24006E" w:rsidRPr="00BE5C1C">
        <w:rPr>
          <w:rFonts w:ascii="Century Gothic" w:eastAsia="Times New Roman" w:hAnsi="Century Gothic"/>
          <w:color w:val="000000" w:themeColor="text1"/>
          <w:szCs w:val="22"/>
        </w:rPr>
        <w:t xml:space="preserve"> want to say thank you for everything and teaching me what you did. All the training you gave me is paying off in my new role</w:t>
      </w:r>
      <w:r w:rsidR="000C0B84" w:rsidRPr="00BE5C1C">
        <w:rPr>
          <w:rFonts w:ascii="Century Gothic" w:eastAsia="Times New Roman" w:hAnsi="Century Gothic"/>
          <w:color w:val="000000" w:themeColor="text1"/>
          <w:szCs w:val="22"/>
        </w:rPr>
        <w:t>”.</w:t>
      </w:r>
      <w:r w:rsidR="5E24006E" w:rsidRPr="00BE5C1C">
        <w:rPr>
          <w:rFonts w:ascii="Century Gothic" w:eastAsia="Times New Roman" w:hAnsi="Century Gothic"/>
          <w:color w:val="000000" w:themeColor="text1"/>
          <w:szCs w:val="22"/>
        </w:rPr>
        <w:t xml:space="preserve"> - A </w:t>
      </w:r>
      <w:r w:rsidR="000C0B84" w:rsidRPr="00BE5C1C">
        <w:rPr>
          <w:rFonts w:ascii="Century Gothic" w:eastAsia="Times New Roman" w:hAnsi="Century Gothic"/>
          <w:color w:val="000000" w:themeColor="text1"/>
          <w:szCs w:val="22"/>
        </w:rPr>
        <w:t>M.</w:t>
      </w:r>
      <w:r w:rsidR="5E24006E" w:rsidRPr="00BE5C1C">
        <w:rPr>
          <w:rFonts w:ascii="Century Gothic" w:eastAsia="Times New Roman" w:hAnsi="Century Gothic"/>
          <w:color w:val="000000" w:themeColor="text1"/>
          <w:szCs w:val="22"/>
        </w:rPr>
        <w:t xml:space="preserve"> </w:t>
      </w:r>
    </w:p>
    <w:p w14:paraId="005BF54D" w14:textId="31B95CCD" w:rsidR="00B01ACE" w:rsidRPr="00BE5C1C" w:rsidRDefault="000C0B84" w:rsidP="1D05C336">
      <w:pPr>
        <w:rPr>
          <w:rFonts w:ascii="Century Gothic" w:eastAsia="Times New Roman" w:hAnsi="Century Gothic"/>
          <w:szCs w:val="22"/>
        </w:rPr>
      </w:pPr>
      <w:r w:rsidRPr="00BE5C1C">
        <w:rPr>
          <w:rFonts w:ascii="Century Gothic" w:eastAsia="Times New Roman" w:hAnsi="Century Gothic"/>
          <w:szCs w:val="22"/>
        </w:rPr>
        <w:t>“I</w:t>
      </w:r>
      <w:r w:rsidR="5E24006E" w:rsidRPr="00BE5C1C">
        <w:rPr>
          <w:rFonts w:ascii="Century Gothic" w:eastAsia="Times New Roman" w:hAnsi="Century Gothic"/>
          <w:szCs w:val="22"/>
        </w:rPr>
        <w:t xml:space="preserve"> am improving at being patient, nothing comes easy in life, and to take advantage of my resources.” - J. </w:t>
      </w:r>
      <w:r w:rsidRPr="00BE5C1C">
        <w:rPr>
          <w:rFonts w:ascii="Century Gothic" w:eastAsia="Times New Roman" w:hAnsi="Century Gothic"/>
          <w:szCs w:val="22"/>
        </w:rPr>
        <w:t>T.</w:t>
      </w:r>
      <w:r w:rsidR="00B01ACE" w:rsidRPr="00BE5C1C">
        <w:rPr>
          <w:rFonts w:ascii="Century Gothic" w:eastAsia="Times New Roman" w:hAnsi="Century Gothic"/>
          <w:szCs w:val="22"/>
        </w:rPr>
        <w:t xml:space="preserve"> </w:t>
      </w:r>
      <w:r w:rsidR="53E27046" w:rsidRPr="00BE5C1C">
        <w:rPr>
          <w:rFonts w:ascii="Century Gothic" w:eastAsia="Times New Roman" w:hAnsi="Century Gothic"/>
          <w:szCs w:val="22"/>
        </w:rPr>
        <w:t xml:space="preserve"> </w:t>
      </w:r>
    </w:p>
    <w:p w14:paraId="40CCEF73" w14:textId="795D8441" w:rsidR="19B38EFC" w:rsidRPr="00BE5C1C" w:rsidRDefault="19B38EFC" w:rsidP="19B38EFC">
      <w:pPr>
        <w:rPr>
          <w:rFonts w:ascii="Century Gothic" w:eastAsia="Times New Roman" w:hAnsi="Century Gothic"/>
          <w:i/>
          <w:iCs/>
          <w:color w:val="000000" w:themeColor="text1"/>
          <w:szCs w:val="22"/>
        </w:rPr>
      </w:pPr>
    </w:p>
    <w:p w14:paraId="72A91CBF" w14:textId="46A04382" w:rsidR="0564A5BE" w:rsidRPr="00BE5C1C" w:rsidRDefault="0564A5BE" w:rsidP="19B38EFC">
      <w:pPr>
        <w:spacing w:line="276" w:lineRule="auto"/>
        <w:rPr>
          <w:rFonts w:ascii="Century Gothic" w:eastAsia="Times New Roman" w:hAnsi="Century Gothic"/>
          <w:szCs w:val="22"/>
          <w:lang w:val="en"/>
        </w:rPr>
      </w:pPr>
      <w:r w:rsidRPr="00BE5C1C">
        <w:rPr>
          <w:rFonts w:ascii="Century Gothic" w:eastAsia="Times New Roman" w:hAnsi="Century Gothic"/>
          <w:szCs w:val="22"/>
          <w:lang w:val="en"/>
        </w:rPr>
        <w:t xml:space="preserve">ECC/HANH </w:t>
      </w:r>
      <w:r w:rsidR="7B29DFA5" w:rsidRPr="00BE5C1C">
        <w:rPr>
          <w:rFonts w:ascii="Century Gothic" w:eastAsia="Times New Roman" w:hAnsi="Century Gothic"/>
          <w:szCs w:val="22"/>
          <w:lang w:val="en"/>
        </w:rPr>
        <w:t xml:space="preserve">youth attending High School toured </w:t>
      </w:r>
      <w:r w:rsidR="3744F1B9" w:rsidRPr="00BE5C1C">
        <w:rPr>
          <w:rFonts w:ascii="Century Gothic" w:eastAsia="Times New Roman" w:hAnsi="Century Gothic"/>
          <w:szCs w:val="22"/>
          <w:lang w:val="en"/>
        </w:rPr>
        <w:t xml:space="preserve">Southern Connecticut State University, experiencing campus life firsthand. They toured the university, explored dormitories, and met with faculty and staff </w:t>
      </w:r>
      <w:r w:rsidR="3744F1B9" w:rsidRPr="00BE5C1C">
        <w:rPr>
          <w:rFonts w:ascii="Century Gothic" w:eastAsia="Times New Roman" w:hAnsi="Century Gothic"/>
          <w:szCs w:val="22"/>
          <w:lang w:val="en"/>
        </w:rPr>
        <w:lastRenderedPageBreak/>
        <w:t>who answered questions about academics, student life, and career paths. Over lunch on campus, participants had the opportunity to engage with current students, gaining insights into college experiences and expectations. For many, this visit was their first exposure to a college environment, making it a transformative experience. Being on a real campus helped demystify the college experience, inspiring participants to envision higher education as an achievable goal. Engaging with university staff and students instilled a sense of belonging and confidence, motivating youth to pursue their academic aspirations. This visit not only broadened their understanding of college life but also strengthened their resolve to succeed in their educational journeys.</w:t>
      </w:r>
    </w:p>
    <w:p w14:paraId="7A05ADBF" w14:textId="73DECCBE" w:rsidR="19B38EFC" w:rsidRPr="00BE5C1C" w:rsidRDefault="19B38EFC" w:rsidP="19B38EFC">
      <w:pPr>
        <w:spacing w:line="276" w:lineRule="auto"/>
        <w:rPr>
          <w:rFonts w:ascii="Century Gothic" w:eastAsia="Times New Roman" w:hAnsi="Century Gothic"/>
          <w:szCs w:val="22"/>
          <w:lang w:val="en"/>
        </w:rPr>
      </w:pPr>
    </w:p>
    <w:p w14:paraId="346E4956" w14:textId="7A0ED14F" w:rsidR="3744F1B9" w:rsidRPr="00BE5C1C" w:rsidRDefault="3744F1B9" w:rsidP="19B38EFC">
      <w:pPr>
        <w:spacing w:line="276" w:lineRule="auto"/>
        <w:rPr>
          <w:rFonts w:ascii="Century Gothic" w:eastAsia="Times New Roman" w:hAnsi="Century Gothic"/>
          <w:szCs w:val="22"/>
          <w:lang w:val="en"/>
        </w:rPr>
      </w:pPr>
      <w:r w:rsidRPr="00BE5C1C">
        <w:rPr>
          <w:rFonts w:ascii="Century Gothic" w:eastAsia="Times New Roman" w:hAnsi="Century Gothic"/>
          <w:szCs w:val="22"/>
          <w:lang w:val="en"/>
        </w:rPr>
        <w:t>Over 13 youth in high school attended.</w:t>
      </w:r>
    </w:p>
    <w:p w14:paraId="5B90DD93" w14:textId="3C4A69D7" w:rsidR="3744F1B9" w:rsidRPr="00BE5C1C" w:rsidRDefault="3744F1B9" w:rsidP="19B38EFC">
      <w:pPr>
        <w:spacing w:line="276" w:lineRule="auto"/>
        <w:ind w:left="360"/>
        <w:rPr>
          <w:rFonts w:ascii="Century Gothic" w:eastAsia="Times New Roman" w:hAnsi="Century Gothic"/>
          <w:szCs w:val="22"/>
          <w:lang w:val="en"/>
        </w:rPr>
      </w:pPr>
      <w:r w:rsidRPr="00BE5C1C">
        <w:rPr>
          <w:rFonts w:ascii="Century Gothic" w:eastAsia="Times New Roman" w:hAnsi="Century Gothic"/>
          <w:szCs w:val="22"/>
          <w:lang w:val="en"/>
        </w:rPr>
        <w:t>-80% reported first time on campus</w:t>
      </w:r>
    </w:p>
    <w:p w14:paraId="5EB3C610" w14:textId="65DE678D" w:rsidR="3744F1B9" w:rsidRPr="00BE5C1C" w:rsidRDefault="3744F1B9" w:rsidP="19B38EFC">
      <w:pPr>
        <w:spacing w:line="276" w:lineRule="auto"/>
        <w:ind w:left="360"/>
        <w:rPr>
          <w:rFonts w:ascii="Century Gothic" w:eastAsia="Times New Roman" w:hAnsi="Century Gothic"/>
          <w:szCs w:val="22"/>
        </w:rPr>
      </w:pPr>
      <w:r w:rsidRPr="00BE5C1C">
        <w:rPr>
          <w:rFonts w:ascii="Century Gothic" w:eastAsia="Times New Roman" w:hAnsi="Century Gothic"/>
          <w:szCs w:val="22"/>
        </w:rPr>
        <w:t>-11/17 (64.70 %)</w:t>
      </w:r>
      <w:r w:rsidR="25372DA4" w:rsidRPr="00BE5C1C">
        <w:rPr>
          <w:rFonts w:ascii="Century Gothic" w:eastAsia="Times New Roman" w:hAnsi="Century Gothic"/>
          <w:szCs w:val="22"/>
        </w:rPr>
        <w:t xml:space="preserve"> </w:t>
      </w:r>
      <w:r w:rsidRPr="00BE5C1C">
        <w:rPr>
          <w:rFonts w:ascii="Century Gothic" w:eastAsia="Times New Roman" w:hAnsi="Century Gothic"/>
          <w:szCs w:val="22"/>
        </w:rPr>
        <w:t>reported to be prospective first</w:t>
      </w:r>
      <w:r w:rsidR="1732AE31" w:rsidRPr="00BE5C1C">
        <w:rPr>
          <w:rFonts w:ascii="Century Gothic" w:eastAsia="Times New Roman" w:hAnsi="Century Gothic"/>
          <w:szCs w:val="22"/>
        </w:rPr>
        <w:t>-</w:t>
      </w:r>
      <w:r w:rsidRPr="00BE5C1C">
        <w:rPr>
          <w:rFonts w:ascii="Century Gothic" w:eastAsia="Times New Roman" w:hAnsi="Century Gothic"/>
          <w:szCs w:val="22"/>
        </w:rPr>
        <w:t>generation graduates.</w:t>
      </w:r>
    </w:p>
    <w:p w14:paraId="3C9096E9" w14:textId="72EC6ADA" w:rsidR="3744F1B9" w:rsidRPr="00BE5C1C" w:rsidRDefault="3744F1B9" w:rsidP="19B38EFC">
      <w:pPr>
        <w:spacing w:line="276" w:lineRule="auto"/>
        <w:ind w:left="360"/>
        <w:rPr>
          <w:rFonts w:ascii="Century Gothic" w:eastAsia="Times New Roman" w:hAnsi="Century Gothic"/>
          <w:szCs w:val="22"/>
          <w:lang w:val="en"/>
        </w:rPr>
      </w:pPr>
      <w:r w:rsidRPr="00BE5C1C">
        <w:rPr>
          <w:rFonts w:ascii="Century Gothic" w:eastAsia="Times New Roman" w:hAnsi="Century Gothic"/>
          <w:szCs w:val="22"/>
          <w:lang w:val="en"/>
        </w:rPr>
        <w:t>- 100 % reported first official college tour</w:t>
      </w:r>
    </w:p>
    <w:p w14:paraId="66BB5520" w14:textId="7C501791" w:rsidR="19B38EFC" w:rsidRPr="00BE5C1C" w:rsidRDefault="19B38EFC" w:rsidP="19B38EFC">
      <w:pPr>
        <w:spacing w:line="276" w:lineRule="auto"/>
        <w:rPr>
          <w:rFonts w:ascii="Century Gothic" w:eastAsia="Times New Roman" w:hAnsi="Century Gothic"/>
          <w:szCs w:val="22"/>
        </w:rPr>
      </w:pPr>
    </w:p>
    <w:p w14:paraId="6B3573CC" w14:textId="054B2350" w:rsidR="3744F1B9" w:rsidRPr="00BE5C1C" w:rsidRDefault="3744F1B9" w:rsidP="00704B2D">
      <w:pPr>
        <w:spacing w:line="276" w:lineRule="auto"/>
        <w:rPr>
          <w:rFonts w:ascii="Century Gothic" w:eastAsia="Times New Roman" w:hAnsi="Century Gothic"/>
          <w:szCs w:val="22"/>
        </w:rPr>
      </w:pPr>
      <w:r w:rsidRPr="00BE5C1C">
        <w:rPr>
          <w:rFonts w:ascii="Century Gothic" w:eastAsia="Times New Roman" w:hAnsi="Century Gothic"/>
          <w:szCs w:val="22"/>
        </w:rPr>
        <w:t xml:space="preserve">“I appreciate coming on this college tour, I felt like I had a taste of the college life”.  – Lissette B. </w:t>
      </w:r>
    </w:p>
    <w:p w14:paraId="5756ADEB" w14:textId="54ED377D" w:rsidR="19B38EFC" w:rsidRPr="00BE5C1C" w:rsidRDefault="19B38EFC" w:rsidP="19B38EFC">
      <w:pPr>
        <w:spacing w:line="276" w:lineRule="auto"/>
        <w:rPr>
          <w:rFonts w:ascii="Century Gothic" w:hAnsi="Century Gothic"/>
          <w:szCs w:val="22"/>
        </w:rPr>
      </w:pPr>
    </w:p>
    <w:p w14:paraId="139BAAA3" w14:textId="74B2A74B" w:rsidR="394789E2" w:rsidRPr="00BE5C1C" w:rsidRDefault="394789E2" w:rsidP="19B38EFC">
      <w:pPr>
        <w:spacing w:line="276" w:lineRule="auto"/>
        <w:rPr>
          <w:rFonts w:ascii="Century Gothic" w:eastAsia="Times New Roman" w:hAnsi="Century Gothic"/>
          <w:szCs w:val="22"/>
        </w:rPr>
      </w:pPr>
      <w:r w:rsidRPr="00BE5C1C">
        <w:rPr>
          <w:rFonts w:ascii="Century Gothic" w:eastAsia="Times New Roman" w:hAnsi="Century Gothic"/>
          <w:b/>
          <w:bCs/>
          <w:szCs w:val="22"/>
        </w:rPr>
        <w:t>High School Graduation Celebration:</w:t>
      </w:r>
      <w:r w:rsidRPr="00BE5C1C">
        <w:rPr>
          <w:rFonts w:ascii="Century Gothic" w:eastAsia="Times New Roman" w:hAnsi="Century Gothic"/>
          <w:szCs w:val="22"/>
        </w:rPr>
        <w:t xml:space="preserve"> </w:t>
      </w:r>
    </w:p>
    <w:p w14:paraId="09659E42" w14:textId="40CD1444" w:rsidR="394789E2" w:rsidRPr="00BE5C1C" w:rsidRDefault="394789E2" w:rsidP="19B38EFC">
      <w:pPr>
        <w:spacing w:line="276" w:lineRule="auto"/>
        <w:rPr>
          <w:rFonts w:ascii="Century Gothic" w:eastAsia="Times New Roman" w:hAnsi="Century Gothic"/>
          <w:szCs w:val="22"/>
        </w:rPr>
      </w:pPr>
      <w:r w:rsidRPr="00BE5C1C">
        <w:rPr>
          <w:rFonts w:ascii="Century Gothic" w:eastAsia="Times New Roman" w:hAnsi="Century Gothic"/>
          <w:szCs w:val="22"/>
        </w:rPr>
        <w:t xml:space="preserve">ECC/HANH celebrated its graduates with an event that brought together 21 families and over 58 residents. Students were recognized </w:t>
      </w:r>
      <w:proofErr w:type="gramStart"/>
      <w:r w:rsidRPr="00BE5C1C">
        <w:rPr>
          <w:rFonts w:ascii="Century Gothic" w:eastAsia="Times New Roman" w:hAnsi="Century Gothic"/>
          <w:szCs w:val="22"/>
        </w:rPr>
        <w:t>as they</w:t>
      </w:r>
      <w:proofErr w:type="gramEnd"/>
      <w:r w:rsidRPr="00BE5C1C">
        <w:rPr>
          <w:rFonts w:ascii="Century Gothic" w:eastAsia="Times New Roman" w:hAnsi="Century Gothic"/>
          <w:szCs w:val="22"/>
        </w:rPr>
        <w:t xml:space="preserve"> prepared to attend schools like the University of New Haven, Southern Connecticut State University, and Quinnipiac University, with majors in fields from Neurobiology to Cybersecurity</w:t>
      </w:r>
      <w:r w:rsidR="3353EBA1" w:rsidRPr="00BE5C1C">
        <w:rPr>
          <w:rFonts w:ascii="Century Gothic" w:eastAsia="Times New Roman" w:hAnsi="Century Gothic"/>
          <w:szCs w:val="22"/>
        </w:rPr>
        <w:t xml:space="preserve"> </w:t>
      </w:r>
      <w:r w:rsidRPr="00BE5C1C">
        <w:rPr>
          <w:rFonts w:ascii="Century Gothic" w:eastAsia="Times New Roman" w:hAnsi="Century Gothic"/>
          <w:szCs w:val="22"/>
        </w:rPr>
        <w:t>This celebration highlighted academic achievements, encouraging younger students to pursue higher education and demonstrating the community's support for youth aspirations.</w:t>
      </w:r>
      <w:r w:rsidR="6120A2A6" w:rsidRPr="00BE5C1C">
        <w:rPr>
          <w:rFonts w:ascii="Century Gothic" w:eastAsia="Times New Roman" w:hAnsi="Century Gothic"/>
          <w:szCs w:val="22"/>
        </w:rPr>
        <w:t xml:space="preserve"> 75% reported attending College following High School.  </w:t>
      </w:r>
    </w:p>
    <w:p w14:paraId="7028EE0E" w14:textId="4722E6F1" w:rsidR="19B38EFC" w:rsidRPr="00BE5C1C" w:rsidRDefault="19B38EFC" w:rsidP="19B38EFC">
      <w:pPr>
        <w:spacing w:line="276" w:lineRule="auto"/>
        <w:rPr>
          <w:rFonts w:ascii="Century Gothic" w:eastAsia="Times New Roman" w:hAnsi="Century Gothic"/>
          <w:szCs w:val="22"/>
        </w:rPr>
      </w:pPr>
    </w:p>
    <w:p w14:paraId="150378D5" w14:textId="77777777" w:rsidR="00501517" w:rsidRDefault="6120A2A6" w:rsidP="00704B2D">
      <w:pPr>
        <w:shd w:val="clear" w:color="auto" w:fill="FFFFFF" w:themeFill="background1"/>
        <w:spacing w:line="360" w:lineRule="auto"/>
        <w:rPr>
          <w:rFonts w:ascii="Century Gothic" w:eastAsia="Times New Roman" w:hAnsi="Century Gothic"/>
          <w:b/>
          <w:bCs/>
          <w:szCs w:val="22"/>
          <w:u w:val="single"/>
        </w:rPr>
      </w:pPr>
      <w:bookmarkStart w:id="186" w:name="_Hlk135936333"/>
      <w:r w:rsidRPr="00BE5C1C">
        <w:rPr>
          <w:rFonts w:ascii="Century Gothic" w:eastAsia="Times New Roman" w:hAnsi="Century Gothic"/>
          <w:b/>
          <w:bCs/>
          <w:szCs w:val="22"/>
          <w:u w:val="single"/>
        </w:rPr>
        <w:t>A</w:t>
      </w:r>
      <w:r w:rsidR="348C3F0B" w:rsidRPr="00BE5C1C">
        <w:rPr>
          <w:rFonts w:ascii="Century Gothic" w:eastAsia="Times New Roman" w:hAnsi="Century Gothic"/>
          <w:b/>
          <w:bCs/>
          <w:szCs w:val="22"/>
          <w:u w:val="single"/>
        </w:rPr>
        <w:t>cademic Sup</w:t>
      </w:r>
      <w:r w:rsidR="69D44E0B" w:rsidRPr="00BE5C1C">
        <w:rPr>
          <w:rFonts w:ascii="Century Gothic" w:eastAsia="Times New Roman" w:hAnsi="Century Gothic"/>
          <w:b/>
          <w:bCs/>
          <w:szCs w:val="22"/>
          <w:u w:val="single"/>
        </w:rPr>
        <w:t>p</w:t>
      </w:r>
      <w:r w:rsidR="348C3F0B" w:rsidRPr="00BE5C1C">
        <w:rPr>
          <w:rFonts w:ascii="Century Gothic" w:eastAsia="Times New Roman" w:hAnsi="Century Gothic"/>
          <w:b/>
          <w:bCs/>
          <w:szCs w:val="22"/>
          <w:u w:val="single"/>
        </w:rPr>
        <w:t xml:space="preserve">orts and Afterschool </w:t>
      </w:r>
      <w:r w:rsidR="096C8EDF" w:rsidRPr="00BE5C1C">
        <w:rPr>
          <w:rFonts w:ascii="Century Gothic" w:eastAsia="Times New Roman" w:hAnsi="Century Gothic"/>
          <w:b/>
          <w:bCs/>
          <w:szCs w:val="22"/>
          <w:u w:val="single"/>
        </w:rPr>
        <w:t>Programming</w:t>
      </w:r>
      <w:bookmarkStart w:id="187" w:name="_Hlk135936357"/>
      <w:bookmarkEnd w:id="186"/>
    </w:p>
    <w:p w14:paraId="309E4770" w14:textId="77777777" w:rsidR="00501517" w:rsidRDefault="1B1C1B64" w:rsidP="00704B2D">
      <w:pPr>
        <w:shd w:val="clear" w:color="auto" w:fill="FFFFFF" w:themeFill="background1"/>
        <w:spacing w:line="360" w:lineRule="auto"/>
        <w:rPr>
          <w:rFonts w:ascii="Century Gothic" w:eastAsia="Times New Roman" w:hAnsi="Century Gothic"/>
          <w:szCs w:val="22"/>
        </w:rPr>
      </w:pPr>
      <w:r w:rsidRPr="00BE5C1C">
        <w:rPr>
          <w:rFonts w:ascii="Century Gothic" w:eastAsia="Times New Roman" w:hAnsi="Century Gothic"/>
          <w:szCs w:val="22"/>
        </w:rPr>
        <w:t xml:space="preserve">On site programming offerings for youth are varied and held at numerous developments across the </w:t>
      </w:r>
      <w:r w:rsidR="004F69DD" w:rsidRPr="00BE5C1C">
        <w:rPr>
          <w:rFonts w:ascii="Century Gothic" w:eastAsia="Times New Roman" w:hAnsi="Century Gothic"/>
          <w:szCs w:val="22"/>
        </w:rPr>
        <w:t>portfolio.</w:t>
      </w:r>
      <w:r w:rsidR="2BCF2DFB" w:rsidRPr="00BE5C1C">
        <w:rPr>
          <w:rFonts w:ascii="Century Gothic" w:eastAsia="Times New Roman" w:hAnsi="Century Gothic"/>
          <w:szCs w:val="22"/>
        </w:rPr>
        <w:t xml:space="preserve"> Programming such as:</w:t>
      </w:r>
    </w:p>
    <w:p w14:paraId="5B765C25" w14:textId="77777777" w:rsidR="00501517" w:rsidRPr="00501517" w:rsidRDefault="1B4A8018" w:rsidP="00501517">
      <w:pPr>
        <w:pStyle w:val="ListParagraph"/>
        <w:numPr>
          <w:ilvl w:val="0"/>
          <w:numId w:val="140"/>
        </w:numPr>
        <w:shd w:val="clear" w:color="auto" w:fill="FFFFFF" w:themeFill="background1"/>
        <w:spacing w:line="360" w:lineRule="auto"/>
        <w:rPr>
          <w:rFonts w:ascii="Century Gothic" w:eastAsia="Times New Roman" w:hAnsi="Century Gothic"/>
          <w:szCs w:val="22"/>
        </w:rPr>
      </w:pPr>
      <w:r w:rsidRPr="00501517">
        <w:rPr>
          <w:rFonts w:ascii="Century Gothic" w:eastAsia="Times New Roman" w:hAnsi="Century Gothic"/>
          <w:szCs w:val="22"/>
        </w:rPr>
        <w:t>Academic Tutoring at Wintergreen Magnet &amp; Common Ground Schools</w:t>
      </w:r>
    </w:p>
    <w:p w14:paraId="01D8063F" w14:textId="77777777" w:rsidR="00501517" w:rsidRPr="00501517" w:rsidRDefault="1B4A8018" w:rsidP="00501517">
      <w:pPr>
        <w:pStyle w:val="ListParagraph"/>
        <w:numPr>
          <w:ilvl w:val="0"/>
          <w:numId w:val="140"/>
        </w:numPr>
        <w:shd w:val="clear" w:color="auto" w:fill="FFFFFF" w:themeFill="background1"/>
        <w:spacing w:line="360" w:lineRule="auto"/>
        <w:rPr>
          <w:rFonts w:ascii="Century Gothic" w:eastAsia="Times New Roman" w:hAnsi="Century Gothic"/>
          <w:szCs w:val="22"/>
        </w:rPr>
      </w:pPr>
      <w:r w:rsidRPr="00501517">
        <w:rPr>
          <w:rFonts w:ascii="Century Gothic" w:eastAsia="Times New Roman" w:hAnsi="Century Gothic"/>
          <w:szCs w:val="22"/>
        </w:rPr>
        <w:t>Bridges of Hope mentoring program LIVEGIRL Confidence Clubs</w:t>
      </w:r>
    </w:p>
    <w:p w14:paraId="239CD611" w14:textId="77777777" w:rsidR="00501517" w:rsidRPr="00501517" w:rsidRDefault="1B4A8018" w:rsidP="00501517">
      <w:pPr>
        <w:pStyle w:val="ListParagraph"/>
        <w:numPr>
          <w:ilvl w:val="0"/>
          <w:numId w:val="140"/>
        </w:numPr>
        <w:shd w:val="clear" w:color="auto" w:fill="FFFFFF" w:themeFill="background1"/>
        <w:spacing w:line="360" w:lineRule="auto"/>
        <w:rPr>
          <w:rFonts w:ascii="Century Gothic" w:eastAsia="Times New Roman" w:hAnsi="Century Gothic"/>
          <w:szCs w:val="22"/>
        </w:rPr>
      </w:pPr>
      <w:r w:rsidRPr="00501517">
        <w:rPr>
          <w:rFonts w:ascii="Century Gothic" w:eastAsia="Times New Roman" w:hAnsi="Century Gothic"/>
          <w:szCs w:val="22"/>
        </w:rPr>
        <w:t>Solar Youth afterschool program</w:t>
      </w:r>
    </w:p>
    <w:p w14:paraId="1F734717" w14:textId="77777777" w:rsidR="00501517" w:rsidRPr="00501517" w:rsidRDefault="1B4A8018" w:rsidP="00501517">
      <w:pPr>
        <w:pStyle w:val="ListParagraph"/>
        <w:numPr>
          <w:ilvl w:val="0"/>
          <w:numId w:val="140"/>
        </w:numPr>
        <w:shd w:val="clear" w:color="auto" w:fill="FFFFFF" w:themeFill="background1"/>
        <w:spacing w:line="360" w:lineRule="auto"/>
        <w:rPr>
          <w:rFonts w:ascii="Century Gothic" w:eastAsia="Times New Roman" w:hAnsi="Century Gothic"/>
          <w:szCs w:val="22"/>
        </w:rPr>
      </w:pPr>
      <w:r w:rsidRPr="00501517">
        <w:rPr>
          <w:rFonts w:ascii="Century Gothic" w:eastAsia="Times New Roman" w:hAnsi="Century Gothic"/>
          <w:szCs w:val="22"/>
        </w:rPr>
        <w:t>Teacher in Residence afterschool tutoring</w:t>
      </w:r>
    </w:p>
    <w:p w14:paraId="1C814107" w14:textId="77777777" w:rsidR="00501517" w:rsidRPr="00501517" w:rsidRDefault="3E3635C7" w:rsidP="00501517">
      <w:pPr>
        <w:pStyle w:val="ListParagraph"/>
        <w:numPr>
          <w:ilvl w:val="0"/>
          <w:numId w:val="140"/>
        </w:numPr>
        <w:shd w:val="clear" w:color="auto" w:fill="FFFFFF" w:themeFill="background1"/>
        <w:spacing w:line="360" w:lineRule="auto"/>
        <w:rPr>
          <w:rFonts w:ascii="Century Gothic" w:eastAsia="Times New Roman" w:hAnsi="Century Gothic"/>
        </w:rPr>
      </w:pPr>
      <w:r w:rsidRPr="00501517">
        <w:rPr>
          <w:rFonts w:ascii="Century Gothic" w:eastAsia="Times New Roman" w:hAnsi="Century Gothic"/>
        </w:rPr>
        <w:t xml:space="preserve">Youth </w:t>
      </w:r>
      <w:r w:rsidR="1B514A0D" w:rsidRPr="00501517">
        <w:rPr>
          <w:rFonts w:ascii="Century Gothic" w:eastAsia="Times New Roman" w:hAnsi="Century Gothic"/>
        </w:rPr>
        <w:t>Entrepreneurs</w:t>
      </w:r>
      <w:r w:rsidRPr="00501517">
        <w:rPr>
          <w:rFonts w:ascii="Century Gothic" w:eastAsia="Times New Roman" w:hAnsi="Century Gothic"/>
        </w:rPr>
        <w:t xml:space="preserve"> </w:t>
      </w:r>
      <w:r w:rsidR="1B4A8018" w:rsidRPr="00501517">
        <w:rPr>
          <w:rFonts w:ascii="Century Gothic" w:eastAsia="Times New Roman" w:hAnsi="Century Gothic"/>
        </w:rPr>
        <w:t>Youth Money School asset building program</w:t>
      </w:r>
    </w:p>
    <w:p w14:paraId="47027A9E" w14:textId="77777777" w:rsidR="00501517" w:rsidRPr="00501517" w:rsidRDefault="1B4A8018" w:rsidP="00501517">
      <w:pPr>
        <w:pStyle w:val="ListParagraph"/>
        <w:numPr>
          <w:ilvl w:val="0"/>
          <w:numId w:val="140"/>
        </w:numPr>
        <w:shd w:val="clear" w:color="auto" w:fill="FFFFFF" w:themeFill="background1"/>
        <w:spacing w:line="360" w:lineRule="auto"/>
        <w:rPr>
          <w:rFonts w:ascii="Century Gothic" w:eastAsia="Times New Roman" w:hAnsi="Century Gothic"/>
          <w:szCs w:val="22"/>
        </w:rPr>
      </w:pPr>
      <w:r w:rsidRPr="00501517">
        <w:rPr>
          <w:rFonts w:ascii="Century Gothic" w:eastAsia="Times New Roman" w:hAnsi="Century Gothic"/>
          <w:szCs w:val="22"/>
        </w:rPr>
        <w:t>Youth Without Limits mentoring and employment program</w:t>
      </w:r>
      <w:bookmarkEnd w:id="187"/>
    </w:p>
    <w:p w14:paraId="7F7E7E8E" w14:textId="77777777" w:rsidR="00501517" w:rsidRDefault="377C8771" w:rsidP="00704B2D">
      <w:pPr>
        <w:shd w:val="clear" w:color="auto" w:fill="FFFFFF" w:themeFill="background1"/>
        <w:spacing w:line="360" w:lineRule="auto"/>
        <w:rPr>
          <w:rFonts w:ascii="Century Gothic" w:eastAsia="Times New Roman" w:hAnsi="Century Gothic"/>
          <w:szCs w:val="22"/>
        </w:rPr>
      </w:pPr>
      <w:r w:rsidRPr="00704B2D">
        <w:rPr>
          <w:rFonts w:ascii="Century Gothic" w:eastAsia="Times New Roman" w:hAnsi="Century Gothic"/>
          <w:szCs w:val="22"/>
        </w:rPr>
        <w:t xml:space="preserve">These programs offer additional assistance to students with </w:t>
      </w:r>
      <w:r w:rsidR="3EDBA836" w:rsidRPr="00704B2D">
        <w:rPr>
          <w:rFonts w:ascii="Century Gothic" w:eastAsia="Times New Roman" w:hAnsi="Century Gothic"/>
          <w:szCs w:val="22"/>
        </w:rPr>
        <w:t xml:space="preserve">their </w:t>
      </w:r>
      <w:r w:rsidRPr="00704B2D">
        <w:rPr>
          <w:rFonts w:ascii="Century Gothic" w:eastAsia="Times New Roman" w:hAnsi="Century Gothic"/>
          <w:szCs w:val="22"/>
        </w:rPr>
        <w:t>schoolwork</w:t>
      </w:r>
      <w:r w:rsidR="704CE6E6" w:rsidRPr="00704B2D">
        <w:rPr>
          <w:rFonts w:ascii="Century Gothic" w:eastAsia="Times New Roman" w:hAnsi="Century Gothic"/>
          <w:szCs w:val="22"/>
        </w:rPr>
        <w:t xml:space="preserve"> and </w:t>
      </w:r>
      <w:proofErr w:type="gramStart"/>
      <w:r w:rsidR="704CE6E6" w:rsidRPr="00704B2D">
        <w:rPr>
          <w:rFonts w:ascii="Century Gothic" w:eastAsia="Times New Roman" w:hAnsi="Century Gothic"/>
          <w:szCs w:val="22"/>
        </w:rPr>
        <w:t>provides</w:t>
      </w:r>
      <w:proofErr w:type="gramEnd"/>
      <w:r w:rsidR="704CE6E6" w:rsidRPr="00704B2D">
        <w:rPr>
          <w:rFonts w:ascii="Century Gothic" w:eastAsia="Times New Roman" w:hAnsi="Century Gothic"/>
          <w:szCs w:val="22"/>
        </w:rPr>
        <w:t xml:space="preserve"> mentoring for </w:t>
      </w:r>
      <w:proofErr w:type="gramStart"/>
      <w:r w:rsidR="704CE6E6" w:rsidRPr="00704B2D">
        <w:rPr>
          <w:rFonts w:ascii="Century Gothic" w:eastAsia="Times New Roman" w:hAnsi="Century Gothic"/>
          <w:szCs w:val="22"/>
        </w:rPr>
        <w:t>youth</w:t>
      </w:r>
      <w:proofErr w:type="gramEnd"/>
      <w:r w:rsidR="704CE6E6" w:rsidRPr="00704B2D">
        <w:rPr>
          <w:rFonts w:ascii="Century Gothic" w:eastAsia="Times New Roman" w:hAnsi="Century Gothic"/>
          <w:szCs w:val="22"/>
        </w:rPr>
        <w:t xml:space="preserve"> as well. </w:t>
      </w:r>
    </w:p>
    <w:p w14:paraId="0E31DCAE" w14:textId="77777777" w:rsidR="00501517" w:rsidRDefault="00501517" w:rsidP="00704B2D">
      <w:pPr>
        <w:shd w:val="clear" w:color="auto" w:fill="FFFFFF" w:themeFill="background1"/>
        <w:spacing w:line="360" w:lineRule="auto"/>
        <w:rPr>
          <w:rFonts w:ascii="Century Gothic" w:eastAsia="Times New Roman" w:hAnsi="Century Gothic"/>
          <w:szCs w:val="22"/>
        </w:rPr>
      </w:pPr>
    </w:p>
    <w:p w14:paraId="74BFD18E" w14:textId="798AC990" w:rsidR="440C5A6C" w:rsidRPr="00704B2D" w:rsidRDefault="3B480CB0" w:rsidP="00704B2D">
      <w:pPr>
        <w:shd w:val="clear" w:color="auto" w:fill="FFFFFF" w:themeFill="background1"/>
        <w:spacing w:line="360" w:lineRule="auto"/>
        <w:rPr>
          <w:rFonts w:ascii="Century Gothic" w:eastAsia="Times New Roman" w:hAnsi="Century Gothic"/>
          <w:color w:val="000000" w:themeColor="text1"/>
          <w:szCs w:val="22"/>
        </w:rPr>
      </w:pPr>
      <w:r w:rsidRPr="00704B2D">
        <w:rPr>
          <w:rFonts w:ascii="Century Gothic" w:eastAsia="Times New Roman" w:hAnsi="Century Gothic"/>
          <w:b/>
          <w:bCs/>
          <w:szCs w:val="22"/>
          <w:u w:val="single"/>
        </w:rPr>
        <w:t xml:space="preserve">Wintergreen </w:t>
      </w:r>
      <w:r w:rsidR="0D20E884" w:rsidRPr="00704B2D">
        <w:rPr>
          <w:rFonts w:ascii="Century Gothic" w:eastAsia="Times New Roman" w:hAnsi="Century Gothic"/>
          <w:b/>
          <w:bCs/>
          <w:szCs w:val="22"/>
          <w:u w:val="single"/>
        </w:rPr>
        <w:t xml:space="preserve">School and Common Ground HS </w:t>
      </w:r>
      <w:r w:rsidRPr="00704B2D">
        <w:rPr>
          <w:rFonts w:ascii="Century Gothic" w:eastAsia="Times New Roman" w:hAnsi="Century Gothic"/>
          <w:b/>
          <w:bCs/>
          <w:szCs w:val="22"/>
          <w:u w:val="single"/>
        </w:rPr>
        <w:t xml:space="preserve">Academic Tutoring </w:t>
      </w:r>
      <w:r w:rsidR="6E56F3A0" w:rsidRPr="00704B2D">
        <w:rPr>
          <w:rFonts w:ascii="Century Gothic" w:eastAsia="Times New Roman" w:hAnsi="Century Gothic"/>
          <w:b/>
          <w:bCs/>
          <w:szCs w:val="22"/>
          <w:u w:val="single"/>
        </w:rPr>
        <w:t>Programs</w:t>
      </w:r>
      <w:r w:rsidR="5A7BAAE8" w:rsidRPr="00704B2D">
        <w:rPr>
          <w:rFonts w:ascii="Century Gothic" w:eastAsia="Times New Roman" w:hAnsi="Century Gothic"/>
          <w:b/>
          <w:bCs/>
          <w:szCs w:val="22"/>
          <w:u w:val="single"/>
        </w:rPr>
        <w:t xml:space="preserve"> </w:t>
      </w:r>
      <w:r w:rsidR="2F3762B1" w:rsidRPr="00704B2D">
        <w:rPr>
          <w:rFonts w:ascii="Century Gothic" w:eastAsia="Times New Roman" w:hAnsi="Century Gothic"/>
          <w:b/>
          <w:bCs/>
          <w:szCs w:val="22"/>
        </w:rPr>
        <w:t xml:space="preserve"> </w:t>
      </w:r>
      <w:r w:rsidR="5A7BAAE8" w:rsidRPr="00704B2D">
        <w:rPr>
          <w:rFonts w:ascii="Century Gothic" w:eastAsia="Times New Roman" w:hAnsi="Century Gothic"/>
          <w:szCs w:val="22"/>
        </w:rPr>
        <w:t xml:space="preserve"> </w:t>
      </w:r>
      <w:r w:rsidR="0470A17D" w:rsidRPr="00704B2D">
        <w:rPr>
          <w:rFonts w:ascii="Century Gothic" w:eastAsia="Times New Roman" w:hAnsi="Century Gothic"/>
          <w:szCs w:val="22"/>
        </w:rPr>
        <w:t>Under this partnership, both schools p</w:t>
      </w:r>
      <w:r w:rsidR="0D1C1BF3" w:rsidRPr="00704B2D">
        <w:rPr>
          <w:rFonts w:ascii="Century Gothic" w:eastAsia="Times New Roman" w:hAnsi="Century Gothic"/>
          <w:szCs w:val="22"/>
        </w:rPr>
        <w:t xml:space="preserve">rovide </w:t>
      </w:r>
      <w:r w:rsidR="20A5FFEF" w:rsidRPr="00704B2D">
        <w:rPr>
          <w:rFonts w:ascii="Century Gothic" w:eastAsia="Times New Roman" w:hAnsi="Century Gothic"/>
          <w:szCs w:val="22"/>
        </w:rPr>
        <w:t xml:space="preserve">academic </w:t>
      </w:r>
      <w:r w:rsidR="0D1C1BF3" w:rsidRPr="00704B2D">
        <w:rPr>
          <w:rFonts w:ascii="Century Gothic" w:eastAsia="Times New Roman" w:hAnsi="Century Gothic"/>
          <w:szCs w:val="22"/>
        </w:rPr>
        <w:t xml:space="preserve">tutoring services at thirty (30) weeks for a total of six (6) hours weekly </w:t>
      </w:r>
      <w:r w:rsidR="5CA874DB" w:rsidRPr="00704B2D">
        <w:rPr>
          <w:rFonts w:ascii="Century Gothic" w:eastAsia="Times New Roman" w:hAnsi="Century Gothic"/>
          <w:szCs w:val="22"/>
        </w:rPr>
        <w:t xml:space="preserve">from </w:t>
      </w:r>
      <w:r w:rsidR="0D1C1BF3" w:rsidRPr="00704B2D">
        <w:rPr>
          <w:rFonts w:ascii="Century Gothic" w:eastAsia="Times New Roman" w:hAnsi="Century Gothic"/>
          <w:szCs w:val="22"/>
        </w:rPr>
        <w:t xml:space="preserve">October </w:t>
      </w:r>
      <w:r w:rsidR="25934CC5" w:rsidRPr="00704B2D">
        <w:rPr>
          <w:rFonts w:ascii="Century Gothic" w:eastAsia="Times New Roman" w:hAnsi="Century Gothic"/>
          <w:szCs w:val="22"/>
        </w:rPr>
        <w:t xml:space="preserve">through </w:t>
      </w:r>
      <w:r w:rsidR="0D1C1BF3" w:rsidRPr="00704B2D">
        <w:rPr>
          <w:rFonts w:ascii="Century Gothic" w:eastAsia="Times New Roman" w:hAnsi="Century Gothic"/>
          <w:szCs w:val="22"/>
        </w:rPr>
        <w:t>June</w:t>
      </w:r>
      <w:r w:rsidR="007722F9" w:rsidRPr="00704B2D">
        <w:rPr>
          <w:rFonts w:ascii="Century Gothic" w:eastAsia="Times New Roman" w:hAnsi="Century Gothic"/>
          <w:szCs w:val="22"/>
        </w:rPr>
        <w:t xml:space="preserve">.  The tutoring is also an opportunity for students to be introduced to a </w:t>
      </w:r>
      <w:r w:rsidR="0D1C1BF3" w:rsidRPr="00704B2D">
        <w:rPr>
          <w:rFonts w:ascii="Century Gothic" w:eastAsia="Times New Roman" w:hAnsi="Century Gothic"/>
          <w:szCs w:val="22"/>
        </w:rPr>
        <w:lastRenderedPageBreak/>
        <w:t>positive role model for each student being tutored and encourage and respect the individuality of each student’s unique learning style</w:t>
      </w:r>
      <w:r w:rsidR="6D0D67D7" w:rsidRPr="00704B2D">
        <w:rPr>
          <w:rFonts w:ascii="Century Gothic" w:eastAsia="Times New Roman" w:hAnsi="Century Gothic"/>
          <w:szCs w:val="22"/>
        </w:rPr>
        <w:t xml:space="preserve">. </w:t>
      </w:r>
      <w:r w:rsidR="5B78A9EC" w:rsidRPr="00704B2D">
        <w:rPr>
          <w:rFonts w:ascii="Century Gothic" w:eastAsia="Times New Roman" w:hAnsi="Century Gothic"/>
          <w:szCs w:val="22"/>
        </w:rPr>
        <w:t xml:space="preserve">The total cost of this program is $16,000 ($8,000) per </w:t>
      </w:r>
      <w:r w:rsidR="00501517" w:rsidRPr="00704B2D">
        <w:rPr>
          <w:rFonts w:ascii="Century Gothic" w:eastAsia="Times New Roman" w:hAnsi="Century Gothic"/>
          <w:szCs w:val="22"/>
        </w:rPr>
        <w:t>school. The</w:t>
      </w:r>
      <w:r w:rsidR="24F27FE3" w:rsidRPr="00704B2D">
        <w:rPr>
          <w:rFonts w:ascii="Century Gothic" w:eastAsia="Times New Roman" w:hAnsi="Century Gothic"/>
          <w:szCs w:val="22"/>
        </w:rPr>
        <w:t xml:space="preserve"> tutoring program at Wintergreen Magnet school included five (5) students who attended regularly with 100% of the participants noting marked improvement in both math and</w:t>
      </w:r>
      <w:r w:rsidR="38DA10E0" w:rsidRPr="00704B2D">
        <w:rPr>
          <w:rFonts w:ascii="Century Gothic" w:eastAsia="Times New Roman" w:hAnsi="Century Gothic"/>
          <w:szCs w:val="22"/>
        </w:rPr>
        <w:t xml:space="preserve"> reading.  Each of the students achieved a minimum of “on grade level” in both subject</w:t>
      </w:r>
      <w:r w:rsidR="6A6CC422" w:rsidRPr="00704B2D">
        <w:rPr>
          <w:rFonts w:ascii="Century Gothic" w:eastAsia="Times New Roman" w:hAnsi="Century Gothic"/>
          <w:szCs w:val="22"/>
        </w:rPr>
        <w:t xml:space="preserve"> areas at the end of the academic </w:t>
      </w:r>
      <w:r w:rsidR="00501517" w:rsidRPr="00704B2D">
        <w:rPr>
          <w:rFonts w:ascii="Century Gothic" w:eastAsia="Times New Roman" w:hAnsi="Century Gothic"/>
          <w:szCs w:val="22"/>
        </w:rPr>
        <w:t>year. The</w:t>
      </w:r>
      <w:r w:rsidR="4143DD63" w:rsidRPr="00704B2D">
        <w:rPr>
          <w:rFonts w:ascii="Century Gothic" w:eastAsia="Times New Roman" w:hAnsi="Century Gothic"/>
          <w:szCs w:val="22"/>
        </w:rPr>
        <w:t xml:space="preserve"> tutoring program at Common Ground High School included </w:t>
      </w:r>
      <w:r w:rsidR="645A763B" w:rsidRPr="00704B2D">
        <w:rPr>
          <w:rFonts w:ascii="Century Gothic" w:eastAsia="Times New Roman" w:hAnsi="Century Gothic"/>
          <w:szCs w:val="22"/>
        </w:rPr>
        <w:t>27</w:t>
      </w:r>
      <w:r w:rsidR="4143DD63" w:rsidRPr="00704B2D">
        <w:rPr>
          <w:rFonts w:ascii="Century Gothic" w:eastAsia="Times New Roman" w:hAnsi="Century Gothic"/>
          <w:szCs w:val="22"/>
        </w:rPr>
        <w:t xml:space="preserve"> high school students during the academic year.</w:t>
      </w:r>
      <w:r w:rsidR="67D65A97" w:rsidRPr="00704B2D">
        <w:rPr>
          <w:rFonts w:ascii="Century Gothic" w:eastAsia="Times New Roman" w:hAnsi="Century Gothic"/>
          <w:szCs w:val="22"/>
        </w:rPr>
        <w:t xml:space="preserve"> </w:t>
      </w:r>
      <w:r w:rsidR="6FE11285" w:rsidRPr="00704B2D">
        <w:rPr>
          <w:rFonts w:ascii="Century Gothic" w:eastAsia="Times New Roman" w:hAnsi="Century Gothic"/>
          <w:color w:val="000000" w:themeColor="text1"/>
          <w:szCs w:val="22"/>
        </w:rPr>
        <w:t>This year, ECC</w:t>
      </w:r>
      <w:r w:rsidR="3F45F703" w:rsidRPr="00704B2D">
        <w:rPr>
          <w:rFonts w:ascii="Century Gothic" w:eastAsia="Times New Roman" w:hAnsi="Century Gothic"/>
          <w:color w:val="000000" w:themeColor="text1"/>
          <w:szCs w:val="22"/>
        </w:rPr>
        <w:t>/HANH</w:t>
      </w:r>
      <w:r w:rsidR="6FE11285" w:rsidRPr="00704B2D">
        <w:rPr>
          <w:rFonts w:ascii="Century Gothic" w:eastAsia="Times New Roman" w:hAnsi="Century Gothic"/>
          <w:color w:val="000000" w:themeColor="text1"/>
          <w:szCs w:val="22"/>
        </w:rPr>
        <w:t xml:space="preserve"> funding helped Common Ground provide (1) Saturday, after-school, and summer academic support sessions, as well as 2 (7.407%) received intensive support for transitions to college and careers, including senior case management and connections to career and college readiness opportunities. Over the year, 18/27 (66.67% of youth) ECC</w:t>
      </w:r>
      <w:r w:rsidR="180B8161" w:rsidRPr="00704B2D">
        <w:rPr>
          <w:rFonts w:ascii="Century Gothic" w:eastAsia="Times New Roman" w:hAnsi="Century Gothic"/>
          <w:color w:val="000000" w:themeColor="text1"/>
          <w:szCs w:val="22"/>
        </w:rPr>
        <w:t>/HANH</w:t>
      </w:r>
      <w:r w:rsidR="6FE11285" w:rsidRPr="00704B2D">
        <w:rPr>
          <w:rFonts w:ascii="Century Gothic" w:eastAsia="Times New Roman" w:hAnsi="Century Gothic"/>
          <w:color w:val="000000" w:themeColor="text1"/>
          <w:szCs w:val="22"/>
        </w:rPr>
        <w:t xml:space="preserve"> students were regular participants in out-of-school academic support sessions, and 15/27 (55.556% of youth) ECC</w:t>
      </w:r>
      <w:r w:rsidR="0AF39D2E" w:rsidRPr="00704B2D">
        <w:rPr>
          <w:rFonts w:ascii="Century Gothic" w:eastAsia="Times New Roman" w:hAnsi="Century Gothic"/>
          <w:color w:val="000000" w:themeColor="text1"/>
          <w:szCs w:val="22"/>
        </w:rPr>
        <w:t>/HANH</w:t>
      </w:r>
      <w:r w:rsidR="6FE11285" w:rsidRPr="00704B2D">
        <w:rPr>
          <w:rFonts w:ascii="Century Gothic" w:eastAsia="Times New Roman" w:hAnsi="Century Gothic"/>
          <w:color w:val="000000" w:themeColor="text1"/>
          <w:szCs w:val="22"/>
        </w:rPr>
        <w:t xml:space="preserve"> students accessed additional college and career readiness support made possible with ECC</w:t>
      </w:r>
      <w:r w:rsidR="27B580BE" w:rsidRPr="00704B2D">
        <w:rPr>
          <w:rFonts w:ascii="Century Gothic" w:eastAsia="Times New Roman" w:hAnsi="Century Gothic"/>
          <w:color w:val="000000" w:themeColor="text1"/>
          <w:szCs w:val="22"/>
        </w:rPr>
        <w:t>/HANH</w:t>
      </w:r>
      <w:r w:rsidR="6FE11285" w:rsidRPr="00704B2D">
        <w:rPr>
          <w:rFonts w:ascii="Century Gothic" w:eastAsia="Times New Roman" w:hAnsi="Century Gothic"/>
          <w:color w:val="000000" w:themeColor="text1"/>
          <w:szCs w:val="22"/>
        </w:rPr>
        <w:t xml:space="preserve"> support. Saturday academic support was particularly successful in reaching the students that Common Ground and ECC </w:t>
      </w:r>
      <w:r w:rsidR="572688C9" w:rsidRPr="00704B2D">
        <w:rPr>
          <w:rFonts w:ascii="Century Gothic" w:eastAsia="Times New Roman" w:hAnsi="Century Gothic"/>
          <w:color w:val="000000" w:themeColor="text1"/>
          <w:szCs w:val="22"/>
        </w:rPr>
        <w:t xml:space="preserve">/HANH </w:t>
      </w:r>
      <w:r w:rsidR="6FE11285" w:rsidRPr="00704B2D">
        <w:rPr>
          <w:rFonts w:ascii="Century Gothic" w:eastAsia="Times New Roman" w:hAnsi="Century Gothic"/>
          <w:color w:val="000000" w:themeColor="text1"/>
          <w:szCs w:val="22"/>
        </w:rPr>
        <w:t xml:space="preserve">share. This support was particularly critical in 2023-24, when longstanding grant support for out-of-school programs was not available. </w:t>
      </w:r>
    </w:p>
    <w:p w14:paraId="182ACD92" w14:textId="3E0795E2" w:rsidR="440C5A6C" w:rsidRPr="00704B2D" w:rsidRDefault="6FE11285" w:rsidP="00704B2D">
      <w:pPr>
        <w:shd w:val="clear" w:color="auto" w:fill="FFFFFF" w:themeFill="background1"/>
        <w:spacing w:line="360" w:lineRule="auto"/>
        <w:rPr>
          <w:rFonts w:ascii="Century Gothic" w:eastAsia="Times New Roman" w:hAnsi="Century Gothic"/>
          <w:color w:val="000000" w:themeColor="text1"/>
          <w:szCs w:val="22"/>
        </w:rPr>
      </w:pPr>
      <w:r w:rsidRPr="00704B2D">
        <w:rPr>
          <w:rFonts w:ascii="Century Gothic" w:eastAsia="Times New Roman" w:hAnsi="Century Gothic"/>
          <w:color w:val="000000" w:themeColor="text1"/>
          <w:szCs w:val="22"/>
        </w:rPr>
        <w:t>These wraparound supports made a difference. Four seniors (14.815% of participants) who were not on track to graduate were able to access additional supports that allowed them to graduate on time</w:t>
      </w:r>
      <w:r w:rsidR="004B4ABF">
        <w:rPr>
          <w:rFonts w:ascii="Century Gothic" w:eastAsia="Times New Roman" w:hAnsi="Century Gothic"/>
          <w:color w:val="000000" w:themeColor="text1"/>
          <w:szCs w:val="22"/>
        </w:rPr>
        <w:t>.</w:t>
      </w:r>
    </w:p>
    <w:p w14:paraId="5F5F75FE" w14:textId="4D0EC812" w:rsidR="440C5A6C" w:rsidRPr="004B4ABF" w:rsidRDefault="6FE11285" w:rsidP="004B4ABF">
      <w:pPr>
        <w:pStyle w:val="ListParagraph"/>
        <w:numPr>
          <w:ilvl w:val="0"/>
          <w:numId w:val="137"/>
        </w:numPr>
        <w:shd w:val="clear" w:color="auto" w:fill="FFFFFF" w:themeFill="background1"/>
        <w:spacing w:line="360" w:lineRule="auto"/>
        <w:rPr>
          <w:rFonts w:ascii="Century Gothic" w:eastAsia="Times New Roman" w:hAnsi="Century Gothic"/>
          <w:color w:val="000000" w:themeColor="text1"/>
          <w:szCs w:val="22"/>
          <w:lang w:val="en"/>
        </w:rPr>
      </w:pPr>
      <w:r w:rsidRPr="004B4ABF">
        <w:rPr>
          <w:rFonts w:ascii="Century Gothic" w:eastAsia="Times New Roman" w:hAnsi="Century Gothic"/>
          <w:color w:val="000000" w:themeColor="text1"/>
          <w:szCs w:val="22"/>
          <w:lang w:val="en"/>
        </w:rPr>
        <w:t>Four juniors were able to access Early College courses (14.815% youth).</w:t>
      </w:r>
    </w:p>
    <w:p w14:paraId="2C03F3B6" w14:textId="69D072BC" w:rsidR="440C5A6C" w:rsidRPr="004B4ABF" w:rsidRDefault="6FE11285" w:rsidP="004B4ABF">
      <w:pPr>
        <w:pStyle w:val="ListParagraph"/>
        <w:numPr>
          <w:ilvl w:val="0"/>
          <w:numId w:val="137"/>
        </w:numPr>
        <w:shd w:val="clear" w:color="auto" w:fill="FFFFFF" w:themeFill="background1"/>
        <w:spacing w:line="360" w:lineRule="auto"/>
        <w:rPr>
          <w:rFonts w:ascii="Century Gothic" w:eastAsia="Times New Roman" w:hAnsi="Century Gothic"/>
          <w:color w:val="000000" w:themeColor="text1"/>
          <w:szCs w:val="22"/>
        </w:rPr>
      </w:pPr>
      <w:r w:rsidRPr="004B4ABF">
        <w:rPr>
          <w:rFonts w:ascii="Century Gothic" w:eastAsia="Times New Roman" w:hAnsi="Century Gothic"/>
          <w:color w:val="000000" w:themeColor="text1"/>
          <w:szCs w:val="22"/>
        </w:rPr>
        <w:t xml:space="preserve">One junior (3.704% youth) is the first of our students to access a new partnership with Job Corps that allows students to dual enroll in career certification opportunities. </w:t>
      </w:r>
    </w:p>
    <w:p w14:paraId="78A77BFE" w14:textId="22A320E8" w:rsidR="440C5A6C" w:rsidRDefault="6FE11285" w:rsidP="00704B2D">
      <w:pPr>
        <w:shd w:val="clear" w:color="auto" w:fill="FFFFFF" w:themeFill="background1"/>
        <w:spacing w:line="360" w:lineRule="auto"/>
        <w:rPr>
          <w:rFonts w:ascii="Century Gothic" w:eastAsia="Times New Roman" w:hAnsi="Century Gothic"/>
          <w:color w:val="000000" w:themeColor="text1"/>
          <w:szCs w:val="22"/>
        </w:rPr>
      </w:pPr>
      <w:r w:rsidRPr="00704B2D">
        <w:rPr>
          <w:rFonts w:ascii="Century Gothic" w:eastAsia="Times New Roman" w:hAnsi="Century Gothic"/>
          <w:color w:val="000000" w:themeColor="text1"/>
          <w:szCs w:val="22"/>
        </w:rPr>
        <w:t xml:space="preserve">Among participating students, the percentage of students earning Ds and Fs dropped from 35% in the fall to 38% in the Spring. The absenteeism rate for participating students was nearly half that of those who did not access these supports.  </w:t>
      </w:r>
    </w:p>
    <w:p w14:paraId="2ADE01DA" w14:textId="77777777" w:rsidR="004B4ABF" w:rsidRPr="00704B2D" w:rsidRDefault="004B4ABF" w:rsidP="00704B2D">
      <w:pPr>
        <w:shd w:val="clear" w:color="auto" w:fill="FFFFFF" w:themeFill="background1"/>
        <w:spacing w:line="360" w:lineRule="auto"/>
        <w:rPr>
          <w:rFonts w:ascii="Century Gothic" w:eastAsia="Times New Roman" w:hAnsi="Century Gothic"/>
          <w:color w:val="000000" w:themeColor="text1"/>
          <w:szCs w:val="22"/>
        </w:rPr>
      </w:pPr>
    </w:p>
    <w:p w14:paraId="09CEAB8A" w14:textId="77777777" w:rsidR="004B4ABF" w:rsidRDefault="4C9825CF" w:rsidP="7E8C102F">
      <w:pPr>
        <w:shd w:val="clear" w:color="auto" w:fill="FFFFFF" w:themeFill="background1"/>
        <w:spacing w:line="360" w:lineRule="auto"/>
        <w:rPr>
          <w:rFonts w:ascii="Century Gothic" w:eastAsia="Times New Roman" w:hAnsi="Century Gothic"/>
          <w:b/>
          <w:bCs/>
          <w:szCs w:val="22"/>
          <w:u w:val="single"/>
        </w:rPr>
      </w:pPr>
      <w:r w:rsidRPr="00704B2D">
        <w:rPr>
          <w:rFonts w:ascii="Century Gothic" w:eastAsia="Times New Roman" w:hAnsi="Century Gothic"/>
          <w:b/>
          <w:bCs/>
          <w:szCs w:val="22"/>
          <w:u w:val="single"/>
        </w:rPr>
        <w:t xml:space="preserve">Parent Testimonial – </w:t>
      </w:r>
    </w:p>
    <w:p w14:paraId="49DCB36F" w14:textId="77777777" w:rsidR="004B4ABF" w:rsidRDefault="4C9825CF" w:rsidP="7E8C102F">
      <w:pPr>
        <w:shd w:val="clear" w:color="auto" w:fill="FFFFFF" w:themeFill="background1"/>
        <w:spacing w:line="360" w:lineRule="auto"/>
        <w:rPr>
          <w:rFonts w:ascii="Century Gothic" w:eastAsia="Times New Roman" w:hAnsi="Century Gothic"/>
          <w:szCs w:val="22"/>
        </w:rPr>
      </w:pPr>
      <w:r w:rsidRPr="00704B2D">
        <w:rPr>
          <w:rFonts w:ascii="Century Gothic" w:eastAsia="Times New Roman" w:hAnsi="Century Gothic"/>
          <w:b/>
          <w:bCs/>
          <w:szCs w:val="22"/>
          <w:u w:val="single"/>
        </w:rPr>
        <w:t xml:space="preserve">Wintergreen Tutoring </w:t>
      </w:r>
      <w:r w:rsidRPr="00704B2D">
        <w:rPr>
          <w:rFonts w:ascii="Century Gothic" w:eastAsia="Times New Roman" w:hAnsi="Century Gothic"/>
          <w:szCs w:val="22"/>
        </w:rPr>
        <w:t xml:space="preserve">“The Math Interventionist teacher has been tutoring, my daughter since November 2022, two days of each week on Zoom for one hour, in my home. His tutoring has helped </w:t>
      </w:r>
      <w:r w:rsidR="22E62889" w:rsidRPr="00704B2D">
        <w:rPr>
          <w:rFonts w:ascii="Century Gothic" w:eastAsia="Times New Roman" w:hAnsi="Century Gothic"/>
          <w:szCs w:val="22"/>
        </w:rPr>
        <w:t xml:space="preserve">her </w:t>
      </w:r>
      <w:r w:rsidRPr="00704B2D">
        <w:rPr>
          <w:rFonts w:ascii="Century Gothic" w:eastAsia="Times New Roman" w:hAnsi="Century Gothic"/>
          <w:szCs w:val="22"/>
        </w:rPr>
        <w:t xml:space="preserve">maintain her Honor Student status with improvement from A to A+ which would be considered High Honors. She is more confident in the class to answer questions or ask questions. Her teacher even mentioned that she helps other kids in the class. </w:t>
      </w:r>
      <w:r w:rsidR="79AE3A5C" w:rsidRPr="00704B2D">
        <w:rPr>
          <w:rFonts w:ascii="Century Gothic" w:eastAsia="Times New Roman" w:hAnsi="Century Gothic"/>
          <w:szCs w:val="22"/>
        </w:rPr>
        <w:t xml:space="preserve"> The </w:t>
      </w:r>
      <w:r w:rsidR="00D97A04" w:rsidRPr="00704B2D">
        <w:rPr>
          <w:rFonts w:ascii="Century Gothic" w:eastAsia="Times New Roman" w:hAnsi="Century Gothic"/>
          <w:szCs w:val="22"/>
        </w:rPr>
        <w:t>teacher</w:t>
      </w:r>
      <w:r w:rsidRPr="00704B2D">
        <w:rPr>
          <w:rFonts w:ascii="Century Gothic" w:eastAsia="Times New Roman" w:hAnsi="Century Gothic"/>
          <w:szCs w:val="22"/>
        </w:rPr>
        <w:t xml:space="preserve"> has been a great resource for my daughter academically. I only hope that she can continue to work with him while she is at Wintergreen.” L</w:t>
      </w:r>
      <w:r w:rsidR="700D3C39" w:rsidRPr="00704B2D">
        <w:rPr>
          <w:rFonts w:ascii="Century Gothic" w:eastAsia="Times New Roman" w:hAnsi="Century Gothic"/>
          <w:szCs w:val="22"/>
        </w:rPr>
        <w:t>.M.</w:t>
      </w:r>
      <w:r w:rsidRPr="00704B2D">
        <w:rPr>
          <w:rFonts w:ascii="Century Gothic" w:eastAsia="Times New Roman" w:hAnsi="Century Gothic"/>
          <w:szCs w:val="22"/>
        </w:rPr>
        <w:t xml:space="preserve"> </w:t>
      </w:r>
    </w:p>
    <w:p w14:paraId="299869BE" w14:textId="4A257B81" w:rsidR="440C5A6C" w:rsidRPr="00704B2D" w:rsidRDefault="67F1A41E" w:rsidP="7E8C102F">
      <w:pPr>
        <w:shd w:val="clear" w:color="auto" w:fill="FFFFFF" w:themeFill="background1"/>
        <w:spacing w:line="360" w:lineRule="auto"/>
        <w:rPr>
          <w:rFonts w:ascii="Century Gothic" w:eastAsia="Times New Roman" w:hAnsi="Century Gothic"/>
          <w:color w:val="000000" w:themeColor="text1"/>
          <w:szCs w:val="22"/>
        </w:rPr>
      </w:pPr>
      <w:r w:rsidRPr="00704B2D">
        <w:rPr>
          <w:rFonts w:ascii="Century Gothic" w:eastAsia="Times New Roman" w:hAnsi="Century Gothic"/>
          <w:b/>
          <w:bCs/>
          <w:szCs w:val="22"/>
          <w:u w:val="single"/>
        </w:rPr>
        <w:lastRenderedPageBreak/>
        <w:t xml:space="preserve">Bridges of Hope </w:t>
      </w:r>
      <w:r w:rsidR="00281052">
        <w:rPr>
          <w:rFonts w:ascii="Century Gothic" w:eastAsia="Times New Roman" w:hAnsi="Century Gothic"/>
          <w:b/>
          <w:bCs/>
          <w:szCs w:val="22"/>
          <w:u w:val="single"/>
        </w:rPr>
        <w:t xml:space="preserve"> </w:t>
      </w:r>
      <w:r w:rsidR="49C1654B" w:rsidRPr="00704B2D">
        <w:rPr>
          <w:rFonts w:ascii="Century Gothic" w:eastAsia="Times New Roman" w:hAnsi="Century Gothic"/>
          <w:szCs w:val="22"/>
        </w:rPr>
        <w:t>Bridges of Hope is a dedicated organization providing a range of valuable services, including summer camp programs, after-school tutoring, mentorship programs, and facilitating connections between youth and families with essential community resources</w:t>
      </w:r>
      <w:r w:rsidR="2BB83DE5" w:rsidRPr="00704B2D">
        <w:rPr>
          <w:rFonts w:ascii="Century Gothic" w:eastAsia="Times New Roman" w:hAnsi="Century Gothic"/>
          <w:szCs w:val="22"/>
        </w:rPr>
        <w:t xml:space="preserve"> at Mill River Crossing</w:t>
      </w:r>
      <w:r w:rsidR="5C9CAB79" w:rsidRPr="00704B2D">
        <w:rPr>
          <w:rFonts w:ascii="Century Gothic" w:eastAsia="Times New Roman" w:hAnsi="Century Gothic"/>
          <w:color w:val="000000" w:themeColor="text1"/>
          <w:szCs w:val="22"/>
          <w:lang w:val="en"/>
        </w:rPr>
        <w:t xml:space="preserve"> Now expanding its reach to Mill River, Bridges of Hope has grown its programming from once a week to three times a week. </w:t>
      </w:r>
    </w:p>
    <w:p w14:paraId="6E526948" w14:textId="33E11800" w:rsidR="440C5A6C" w:rsidRPr="00704B2D" w:rsidRDefault="5C9CAB79" w:rsidP="19B38EFC">
      <w:pPr>
        <w:shd w:val="clear" w:color="auto" w:fill="FFFFFF" w:themeFill="background1"/>
        <w:spacing w:line="360" w:lineRule="auto"/>
        <w:rPr>
          <w:rFonts w:ascii="Century Gothic" w:eastAsia="Times New Roman" w:hAnsi="Century Gothic"/>
          <w:color w:val="000000" w:themeColor="text1"/>
          <w:szCs w:val="22"/>
        </w:rPr>
      </w:pPr>
      <w:r w:rsidRPr="00704B2D">
        <w:rPr>
          <w:rFonts w:ascii="Century Gothic" w:eastAsia="Times New Roman" w:hAnsi="Century Gothic"/>
          <w:color w:val="000000" w:themeColor="text1"/>
          <w:szCs w:val="22"/>
        </w:rPr>
        <w:t>In FY24, Bridges of Hope successfully ran two summer camps and organized six community events where youth received Giving Day, Gift giveaway, Free haircuts, and backpacks. They also established regular community meetings, further enhancing engagement and support.</w:t>
      </w:r>
    </w:p>
    <w:p w14:paraId="526F7F1B" w14:textId="681EE313" w:rsidR="004B4ABF" w:rsidRPr="004B4ABF" w:rsidRDefault="2F5EDB7A" w:rsidP="00486062">
      <w:pPr>
        <w:pStyle w:val="ListParagraph"/>
        <w:numPr>
          <w:ilvl w:val="0"/>
          <w:numId w:val="38"/>
        </w:numPr>
        <w:rPr>
          <w:rFonts w:ascii="Century Gothic" w:eastAsia="MS PGothic" w:hAnsi="Century Gothic"/>
          <w:szCs w:val="22"/>
        </w:rPr>
      </w:pPr>
      <w:r w:rsidRPr="00704B2D">
        <w:rPr>
          <w:rFonts w:ascii="Century Gothic" w:eastAsia="Times New Roman" w:hAnsi="Century Gothic"/>
          <w:szCs w:val="22"/>
        </w:rPr>
        <w:t xml:space="preserve">The growth of Bridges of Hope has been remarkable, and they are currently operating at full capacity. Notably, there is a waiting list for their services at the Mill River location, underscoring the high demand for their programs and the positive impact they have in the </w:t>
      </w:r>
      <w:r w:rsidR="00501517" w:rsidRPr="00704B2D">
        <w:rPr>
          <w:rFonts w:ascii="Century Gothic" w:eastAsia="Times New Roman" w:hAnsi="Century Gothic"/>
          <w:szCs w:val="22"/>
        </w:rPr>
        <w:t>community. Bridges</w:t>
      </w:r>
      <w:r w:rsidR="6005C44E" w:rsidRPr="00704B2D">
        <w:rPr>
          <w:rFonts w:ascii="Century Gothic" w:eastAsia="Times New Roman" w:hAnsi="Century Gothic"/>
          <w:szCs w:val="22"/>
        </w:rPr>
        <w:t xml:space="preserve"> of Hope runs the program at no cost to us in exchange for </w:t>
      </w:r>
      <w:r w:rsidR="00281052" w:rsidRPr="00704B2D">
        <w:rPr>
          <w:rFonts w:ascii="Century Gothic" w:eastAsia="Times New Roman" w:hAnsi="Century Gothic"/>
          <w:szCs w:val="22"/>
        </w:rPr>
        <w:t>the use</w:t>
      </w:r>
      <w:r w:rsidR="6005C44E" w:rsidRPr="00704B2D">
        <w:rPr>
          <w:rFonts w:ascii="Century Gothic" w:eastAsia="Times New Roman" w:hAnsi="Century Gothic"/>
          <w:szCs w:val="22"/>
        </w:rPr>
        <w:t xml:space="preserve"> of space out lines in a formal agreement. </w:t>
      </w:r>
    </w:p>
    <w:p w14:paraId="47F115E3" w14:textId="77777777" w:rsidR="004B4ABF" w:rsidRDefault="004B4ABF" w:rsidP="004B4ABF">
      <w:pPr>
        <w:rPr>
          <w:rFonts w:ascii="Century Gothic" w:eastAsia="Times New Roman" w:hAnsi="Century Gothic"/>
          <w:b/>
          <w:bCs/>
          <w:szCs w:val="22"/>
        </w:rPr>
      </w:pPr>
    </w:p>
    <w:p w14:paraId="15D1CE82" w14:textId="77777777" w:rsidR="004B4ABF" w:rsidRDefault="6774A25A" w:rsidP="004B4ABF">
      <w:pPr>
        <w:rPr>
          <w:rFonts w:ascii="Century Gothic" w:eastAsia="Times New Roman" w:hAnsi="Century Gothic"/>
          <w:szCs w:val="22"/>
        </w:rPr>
      </w:pPr>
      <w:r w:rsidRPr="004B4ABF">
        <w:rPr>
          <w:rFonts w:ascii="Century Gothic" w:eastAsia="Times New Roman" w:hAnsi="Century Gothic"/>
          <w:b/>
          <w:bCs/>
          <w:szCs w:val="22"/>
        </w:rPr>
        <w:t>Outcomes</w:t>
      </w:r>
      <w:r w:rsidR="67F1A41E" w:rsidRPr="004B4ABF">
        <w:rPr>
          <w:rFonts w:ascii="Century Gothic" w:eastAsia="Times New Roman" w:hAnsi="Century Gothic"/>
          <w:b/>
          <w:bCs/>
          <w:szCs w:val="22"/>
        </w:rPr>
        <w:t>:</w:t>
      </w:r>
      <w:r w:rsidR="67F1A41E" w:rsidRPr="004B4ABF">
        <w:rPr>
          <w:rFonts w:ascii="Century Gothic" w:eastAsia="Times New Roman" w:hAnsi="Century Gothic"/>
          <w:szCs w:val="22"/>
        </w:rPr>
        <w:t>46 slots filled for Summer Programming 2:1 Tutor time for Homework Help and mentorship</w:t>
      </w:r>
    </w:p>
    <w:p w14:paraId="69D17B02" w14:textId="06E18C58" w:rsidR="440C5A6C" w:rsidRPr="004B4ABF" w:rsidRDefault="67F1A41E" w:rsidP="004B4ABF">
      <w:pPr>
        <w:pStyle w:val="ListParagraph"/>
        <w:numPr>
          <w:ilvl w:val="0"/>
          <w:numId w:val="138"/>
        </w:numPr>
        <w:rPr>
          <w:rFonts w:ascii="Century Gothic" w:eastAsia="MS PGothic" w:hAnsi="Century Gothic"/>
          <w:szCs w:val="22"/>
        </w:rPr>
      </w:pPr>
      <w:r w:rsidRPr="004B4ABF">
        <w:rPr>
          <w:rFonts w:ascii="Century Gothic" w:eastAsia="Times New Roman" w:hAnsi="Century Gothic"/>
          <w:szCs w:val="22"/>
        </w:rPr>
        <w:t>Participants 6-12 years of ages85% perfect program attendance</w:t>
      </w:r>
    </w:p>
    <w:p w14:paraId="1C661BAA" w14:textId="0A7609A2" w:rsidR="5462498C" w:rsidRPr="004B4ABF" w:rsidRDefault="5462498C" w:rsidP="004B4ABF">
      <w:pPr>
        <w:pStyle w:val="ListParagraph"/>
        <w:numPr>
          <w:ilvl w:val="0"/>
          <w:numId w:val="138"/>
        </w:numPr>
        <w:shd w:val="clear" w:color="auto" w:fill="FFFFFF" w:themeFill="background1"/>
        <w:spacing w:line="360" w:lineRule="auto"/>
        <w:rPr>
          <w:rFonts w:ascii="Century Gothic" w:eastAsia="Times New Roman" w:hAnsi="Century Gothic"/>
          <w:color w:val="000000" w:themeColor="text1"/>
          <w:szCs w:val="22"/>
          <w:lang w:val="en"/>
        </w:rPr>
      </w:pPr>
      <w:r w:rsidRPr="004B4ABF">
        <w:rPr>
          <w:rFonts w:ascii="Century Gothic" w:eastAsia="Times New Roman" w:hAnsi="Century Gothic"/>
          <w:color w:val="000000" w:themeColor="text1"/>
          <w:szCs w:val="22"/>
          <w:lang w:val="en"/>
        </w:rPr>
        <w:t>2:1 Tutor time for Homework Help and mentorship</w:t>
      </w:r>
    </w:p>
    <w:p w14:paraId="76B8694D" w14:textId="377967A4" w:rsidR="5462498C" w:rsidRPr="004B4ABF" w:rsidRDefault="5462498C" w:rsidP="004B4ABF">
      <w:pPr>
        <w:pStyle w:val="ListParagraph"/>
        <w:numPr>
          <w:ilvl w:val="0"/>
          <w:numId w:val="138"/>
        </w:numPr>
        <w:shd w:val="clear" w:color="auto" w:fill="FFFFFF" w:themeFill="background1"/>
        <w:spacing w:line="360" w:lineRule="auto"/>
        <w:rPr>
          <w:rFonts w:ascii="Century Gothic" w:eastAsia="Times New Roman" w:hAnsi="Century Gothic"/>
          <w:color w:val="000000" w:themeColor="text1"/>
          <w:szCs w:val="22"/>
        </w:rPr>
      </w:pPr>
      <w:r w:rsidRPr="004B4ABF">
        <w:rPr>
          <w:rFonts w:ascii="Century Gothic" w:eastAsia="Times New Roman" w:hAnsi="Century Gothic"/>
          <w:color w:val="000000" w:themeColor="text1"/>
          <w:szCs w:val="22"/>
        </w:rPr>
        <w:t xml:space="preserve">100% Participation in Reading comprehension </w:t>
      </w:r>
    </w:p>
    <w:p w14:paraId="3E8809C7" w14:textId="0791B3AF" w:rsidR="5462498C" w:rsidRPr="00704B2D" w:rsidRDefault="5462498C" w:rsidP="19B38EFC">
      <w:pPr>
        <w:shd w:val="clear" w:color="auto" w:fill="FFFFFF" w:themeFill="background1"/>
        <w:spacing w:line="360" w:lineRule="auto"/>
        <w:rPr>
          <w:rFonts w:ascii="Century Gothic" w:eastAsia="Times New Roman" w:hAnsi="Century Gothic"/>
          <w:color w:val="000000" w:themeColor="text1"/>
          <w:szCs w:val="22"/>
          <w:lang w:val="en"/>
        </w:rPr>
      </w:pPr>
      <w:r w:rsidRPr="00704B2D">
        <w:rPr>
          <w:rFonts w:ascii="Century Gothic" w:eastAsia="Times New Roman" w:hAnsi="Century Gothic"/>
          <w:color w:val="000000" w:themeColor="text1"/>
          <w:szCs w:val="22"/>
          <w:lang w:val="en"/>
        </w:rPr>
        <w:t>Computer Literacy Courses added to programming</w:t>
      </w:r>
    </w:p>
    <w:p w14:paraId="79402222" w14:textId="77777777" w:rsidR="004B4ABF" w:rsidRDefault="2F5EDB7A" w:rsidP="00486062">
      <w:pPr>
        <w:numPr>
          <w:ilvl w:val="0"/>
          <w:numId w:val="37"/>
        </w:numPr>
        <w:rPr>
          <w:rFonts w:ascii="Century Gothic" w:eastAsia="Times New Roman" w:hAnsi="Century Gothic"/>
          <w:szCs w:val="22"/>
        </w:rPr>
      </w:pPr>
      <w:r w:rsidRPr="00704B2D">
        <w:rPr>
          <w:rFonts w:ascii="Century Gothic" w:eastAsia="Times New Roman" w:hAnsi="Century Gothic"/>
          <w:szCs w:val="22"/>
        </w:rPr>
        <w:t xml:space="preserve"> </w:t>
      </w:r>
      <w:r w:rsidRPr="00704B2D">
        <w:rPr>
          <w:rFonts w:ascii="Century Gothic" w:eastAsia="Times New Roman" w:hAnsi="Century Gothic"/>
          <w:b/>
          <w:bCs/>
          <w:szCs w:val="22"/>
          <w:u w:val="single"/>
        </w:rPr>
        <w:t xml:space="preserve">Youth Money Club </w:t>
      </w:r>
      <w:r w:rsidR="1BB683A1" w:rsidRPr="00704B2D">
        <w:rPr>
          <w:rFonts w:ascii="Century Gothic" w:eastAsia="Times New Roman" w:hAnsi="Century Gothic"/>
          <w:szCs w:val="22"/>
        </w:rPr>
        <w:t>Also, in FY2</w:t>
      </w:r>
      <w:r w:rsidR="3BB78C1F" w:rsidRPr="00704B2D">
        <w:rPr>
          <w:rFonts w:ascii="Century Gothic" w:eastAsia="Times New Roman" w:hAnsi="Century Gothic"/>
          <w:szCs w:val="22"/>
        </w:rPr>
        <w:t>4</w:t>
      </w:r>
      <w:r w:rsidR="1BB683A1" w:rsidRPr="00704B2D">
        <w:rPr>
          <w:rFonts w:ascii="Century Gothic" w:eastAsia="Times New Roman" w:hAnsi="Century Gothic"/>
          <w:szCs w:val="22"/>
        </w:rPr>
        <w:t xml:space="preserve"> ECC</w:t>
      </w:r>
      <w:r w:rsidR="716F5F64" w:rsidRPr="00704B2D">
        <w:rPr>
          <w:rFonts w:ascii="Century Gothic" w:eastAsia="Times New Roman" w:hAnsi="Century Gothic"/>
          <w:szCs w:val="22"/>
        </w:rPr>
        <w:t>/HANH</w:t>
      </w:r>
      <w:r w:rsidR="1BB683A1" w:rsidRPr="00704B2D">
        <w:rPr>
          <w:rFonts w:ascii="Century Gothic" w:eastAsia="Times New Roman" w:hAnsi="Century Gothic"/>
          <w:szCs w:val="22"/>
        </w:rPr>
        <w:t xml:space="preserve"> partnered with Connecticut Association of Human Services to offer asset building programming for young people via monthly workshops focusing on savings, credit, SMART goals, real world expenses, education after high school and employment </w:t>
      </w:r>
      <w:r w:rsidR="004B4ABF" w:rsidRPr="00704B2D">
        <w:rPr>
          <w:rFonts w:ascii="Century Gothic" w:eastAsia="Times New Roman" w:hAnsi="Century Gothic"/>
          <w:szCs w:val="22"/>
        </w:rPr>
        <w:t>benefits. The</w:t>
      </w:r>
      <w:r w:rsidRPr="00704B2D">
        <w:rPr>
          <w:rFonts w:ascii="Century Gothic" w:eastAsia="Times New Roman" w:hAnsi="Century Gothic"/>
          <w:szCs w:val="22"/>
        </w:rPr>
        <w:t xml:space="preserve"> Youth Money Club consists of virtual monthly workshops tailored to youth aged 14-22, covering a range of essential subjects and skills: </w:t>
      </w:r>
    </w:p>
    <w:p w14:paraId="07CE24F6" w14:textId="77777777" w:rsidR="004B4ABF" w:rsidRDefault="04C6631A" w:rsidP="00486062">
      <w:pPr>
        <w:numPr>
          <w:ilvl w:val="0"/>
          <w:numId w:val="37"/>
        </w:numPr>
        <w:rPr>
          <w:rFonts w:ascii="Century Gothic" w:eastAsia="Times New Roman" w:hAnsi="Century Gothic"/>
          <w:szCs w:val="22"/>
        </w:rPr>
      </w:pPr>
      <w:r w:rsidRPr="00704B2D">
        <w:rPr>
          <w:rFonts w:ascii="Century Gothic" w:eastAsia="Times New Roman" w:hAnsi="Century Gothic"/>
          <w:b/>
          <w:bCs/>
          <w:szCs w:val="22"/>
        </w:rPr>
        <w:t>Healthy Banking:</w:t>
      </w:r>
      <w:r w:rsidRPr="00704B2D">
        <w:rPr>
          <w:rFonts w:ascii="Century Gothic" w:eastAsia="Times New Roman" w:hAnsi="Century Gothic"/>
          <w:szCs w:val="22"/>
        </w:rPr>
        <w:t xml:space="preserve"> Equipping </w:t>
      </w:r>
      <w:proofErr w:type="gramStart"/>
      <w:r w:rsidRPr="00704B2D">
        <w:rPr>
          <w:rFonts w:ascii="Century Gothic" w:eastAsia="Times New Roman" w:hAnsi="Century Gothic"/>
          <w:szCs w:val="22"/>
        </w:rPr>
        <w:t>youth</w:t>
      </w:r>
      <w:proofErr w:type="gramEnd"/>
      <w:r w:rsidRPr="00704B2D">
        <w:rPr>
          <w:rFonts w:ascii="Century Gothic" w:eastAsia="Times New Roman" w:hAnsi="Century Gothic"/>
          <w:szCs w:val="22"/>
        </w:rPr>
        <w:t xml:space="preserve"> with knowledge </w:t>
      </w:r>
      <w:proofErr w:type="gramStart"/>
      <w:r w:rsidRPr="00704B2D">
        <w:rPr>
          <w:rFonts w:ascii="Century Gothic" w:eastAsia="Times New Roman" w:hAnsi="Century Gothic"/>
          <w:szCs w:val="22"/>
        </w:rPr>
        <w:t>on</w:t>
      </w:r>
      <w:proofErr w:type="gramEnd"/>
      <w:r w:rsidRPr="00704B2D">
        <w:rPr>
          <w:rFonts w:ascii="Century Gothic" w:eastAsia="Times New Roman" w:hAnsi="Century Gothic"/>
          <w:szCs w:val="22"/>
        </w:rPr>
        <w:t xml:space="preserve"> responsible banking practices.</w:t>
      </w:r>
      <w:r w:rsidR="2F5EDB7A" w:rsidRPr="00704B2D">
        <w:rPr>
          <w:rFonts w:ascii="Century Gothic" w:eastAsia="Times New Roman" w:hAnsi="Century Gothic"/>
          <w:szCs w:val="22"/>
        </w:rPr>
        <w:t xml:space="preserve"> </w:t>
      </w:r>
    </w:p>
    <w:p w14:paraId="058F5D8D" w14:textId="77777777" w:rsidR="004B4ABF" w:rsidRDefault="04C6631A" w:rsidP="00486062">
      <w:pPr>
        <w:numPr>
          <w:ilvl w:val="0"/>
          <w:numId w:val="37"/>
        </w:numPr>
        <w:rPr>
          <w:rFonts w:ascii="Century Gothic" w:eastAsia="Times New Roman" w:hAnsi="Century Gothic"/>
          <w:szCs w:val="22"/>
        </w:rPr>
      </w:pPr>
      <w:r w:rsidRPr="00704B2D">
        <w:rPr>
          <w:rFonts w:ascii="Century Gothic" w:eastAsia="Times New Roman" w:hAnsi="Century Gothic"/>
          <w:b/>
          <w:bCs/>
          <w:szCs w:val="22"/>
        </w:rPr>
        <w:t>Money Values and Smart Goals:</w:t>
      </w:r>
      <w:r w:rsidRPr="00704B2D">
        <w:rPr>
          <w:rFonts w:ascii="Century Gothic" w:eastAsia="Times New Roman" w:hAnsi="Century Gothic"/>
          <w:szCs w:val="22"/>
        </w:rPr>
        <w:t xml:space="preserve"> Encouraging financial responsibility by helping participants set smart financial goals.</w:t>
      </w:r>
      <w:r w:rsidR="2F5EDB7A" w:rsidRPr="00704B2D">
        <w:rPr>
          <w:rFonts w:ascii="Century Gothic" w:eastAsia="Times New Roman" w:hAnsi="Century Gothic"/>
          <w:szCs w:val="22"/>
        </w:rPr>
        <w:t xml:space="preserve"> </w:t>
      </w:r>
    </w:p>
    <w:p w14:paraId="11512E2A" w14:textId="77777777" w:rsidR="004B4ABF" w:rsidRDefault="04C6631A" w:rsidP="00486062">
      <w:pPr>
        <w:numPr>
          <w:ilvl w:val="0"/>
          <w:numId w:val="37"/>
        </w:numPr>
        <w:rPr>
          <w:rFonts w:ascii="Century Gothic" w:eastAsia="Times New Roman" w:hAnsi="Century Gothic"/>
          <w:szCs w:val="22"/>
        </w:rPr>
      </w:pPr>
      <w:r w:rsidRPr="00704B2D">
        <w:rPr>
          <w:rFonts w:ascii="Century Gothic" w:eastAsia="Times New Roman" w:hAnsi="Century Gothic"/>
          <w:b/>
          <w:bCs/>
          <w:szCs w:val="22"/>
        </w:rPr>
        <w:t>Money Matters:</w:t>
      </w:r>
      <w:r w:rsidRPr="00704B2D">
        <w:rPr>
          <w:rFonts w:ascii="Century Gothic" w:eastAsia="Times New Roman" w:hAnsi="Century Gothic"/>
          <w:szCs w:val="22"/>
        </w:rPr>
        <w:t xml:space="preserve"> Making Money Work for You: Providing insights into managing and optimizing personal finances.</w:t>
      </w:r>
      <w:r w:rsidR="2F5EDB7A" w:rsidRPr="00704B2D">
        <w:rPr>
          <w:rFonts w:ascii="Century Gothic" w:eastAsia="Times New Roman" w:hAnsi="Century Gothic"/>
          <w:szCs w:val="22"/>
        </w:rPr>
        <w:t xml:space="preserve"> </w:t>
      </w:r>
    </w:p>
    <w:p w14:paraId="1C2E8534" w14:textId="77777777" w:rsidR="004B4ABF" w:rsidRDefault="04C6631A" w:rsidP="00486062">
      <w:pPr>
        <w:numPr>
          <w:ilvl w:val="0"/>
          <w:numId w:val="37"/>
        </w:numPr>
        <w:rPr>
          <w:rFonts w:ascii="Century Gothic" w:eastAsia="Times New Roman" w:hAnsi="Century Gothic"/>
          <w:szCs w:val="22"/>
        </w:rPr>
      </w:pPr>
      <w:r w:rsidRPr="00704B2D">
        <w:rPr>
          <w:rFonts w:ascii="Century Gothic" w:eastAsia="Times New Roman" w:hAnsi="Century Gothic"/>
          <w:b/>
          <w:bCs/>
          <w:szCs w:val="22"/>
        </w:rPr>
        <w:t xml:space="preserve">The </w:t>
      </w:r>
      <w:r w:rsidR="00E978D5" w:rsidRPr="00704B2D">
        <w:rPr>
          <w:rFonts w:ascii="Century Gothic" w:eastAsia="Times New Roman" w:hAnsi="Century Gothic"/>
          <w:b/>
          <w:bCs/>
          <w:szCs w:val="22"/>
        </w:rPr>
        <w:t>ABCs</w:t>
      </w:r>
      <w:r w:rsidRPr="00704B2D">
        <w:rPr>
          <w:rFonts w:ascii="Century Gothic" w:eastAsia="Times New Roman" w:hAnsi="Century Gothic"/>
          <w:b/>
          <w:bCs/>
          <w:szCs w:val="22"/>
        </w:rPr>
        <w:t xml:space="preserve"> of Credit and Borrowing:</w:t>
      </w:r>
      <w:r w:rsidRPr="00704B2D">
        <w:rPr>
          <w:rFonts w:ascii="Century Gothic" w:eastAsia="Times New Roman" w:hAnsi="Century Gothic"/>
          <w:szCs w:val="22"/>
        </w:rPr>
        <w:t xml:space="preserve"> Educating on the fundamentals of credit and responsible borrowing.</w:t>
      </w:r>
      <w:r w:rsidR="2F5EDB7A" w:rsidRPr="00704B2D">
        <w:rPr>
          <w:rFonts w:ascii="Century Gothic" w:eastAsia="Times New Roman" w:hAnsi="Century Gothic"/>
          <w:szCs w:val="22"/>
        </w:rPr>
        <w:t xml:space="preserve"> </w:t>
      </w:r>
    </w:p>
    <w:p w14:paraId="33DAAE13" w14:textId="77777777" w:rsidR="004B4ABF" w:rsidRDefault="04C6631A" w:rsidP="00486062">
      <w:pPr>
        <w:numPr>
          <w:ilvl w:val="0"/>
          <w:numId w:val="37"/>
        </w:numPr>
        <w:rPr>
          <w:rFonts w:ascii="Century Gothic" w:eastAsia="Times New Roman" w:hAnsi="Century Gothic"/>
          <w:szCs w:val="22"/>
        </w:rPr>
      </w:pPr>
      <w:r w:rsidRPr="00704B2D">
        <w:rPr>
          <w:rFonts w:ascii="Century Gothic" w:eastAsia="Times New Roman" w:hAnsi="Century Gothic"/>
          <w:b/>
          <w:bCs/>
          <w:szCs w:val="22"/>
        </w:rPr>
        <w:t>Real-World Expenses:</w:t>
      </w:r>
      <w:r w:rsidRPr="00704B2D">
        <w:rPr>
          <w:rFonts w:ascii="Century Gothic" w:eastAsia="Times New Roman" w:hAnsi="Century Gothic"/>
          <w:szCs w:val="22"/>
        </w:rPr>
        <w:t xml:space="preserve"> Preparing youth to navigate real-life financial challenges and expenses.</w:t>
      </w:r>
      <w:r w:rsidR="2F5EDB7A" w:rsidRPr="00704B2D">
        <w:rPr>
          <w:rFonts w:ascii="Century Gothic" w:eastAsia="Times New Roman" w:hAnsi="Century Gothic"/>
          <w:szCs w:val="22"/>
        </w:rPr>
        <w:t xml:space="preserve"> </w:t>
      </w:r>
      <w:r w:rsidRPr="00704B2D">
        <w:rPr>
          <w:rFonts w:ascii="Century Gothic" w:eastAsia="Times New Roman" w:hAnsi="Century Gothic"/>
          <w:b/>
          <w:bCs/>
          <w:szCs w:val="22"/>
        </w:rPr>
        <w:t>Education after High School:</w:t>
      </w:r>
      <w:r w:rsidRPr="00704B2D">
        <w:rPr>
          <w:rFonts w:ascii="Century Gothic" w:eastAsia="Times New Roman" w:hAnsi="Century Gothic"/>
          <w:szCs w:val="22"/>
        </w:rPr>
        <w:t xml:space="preserve"> Guiding participants on financial considerations related to post-secondary education.</w:t>
      </w:r>
      <w:r w:rsidR="2F5EDB7A" w:rsidRPr="00704B2D">
        <w:rPr>
          <w:rFonts w:ascii="Century Gothic" w:eastAsia="Times New Roman" w:hAnsi="Century Gothic"/>
          <w:szCs w:val="22"/>
        </w:rPr>
        <w:t xml:space="preserve"> </w:t>
      </w:r>
    </w:p>
    <w:p w14:paraId="3E691E98" w14:textId="397CDE84" w:rsidR="004B4ABF" w:rsidRDefault="04C6631A" w:rsidP="00486062">
      <w:pPr>
        <w:numPr>
          <w:ilvl w:val="0"/>
          <w:numId w:val="37"/>
        </w:numPr>
        <w:rPr>
          <w:rFonts w:ascii="Century Gothic" w:eastAsia="Times New Roman" w:hAnsi="Century Gothic"/>
          <w:szCs w:val="22"/>
        </w:rPr>
      </w:pPr>
      <w:r w:rsidRPr="00704B2D">
        <w:rPr>
          <w:rFonts w:ascii="Century Gothic" w:eastAsia="Times New Roman" w:hAnsi="Century Gothic"/>
          <w:b/>
          <w:bCs/>
          <w:szCs w:val="22"/>
        </w:rPr>
        <w:t>Employment Benefits:</w:t>
      </w:r>
      <w:r w:rsidRPr="00704B2D">
        <w:rPr>
          <w:rFonts w:ascii="Century Gothic" w:eastAsia="Times New Roman" w:hAnsi="Century Gothic"/>
          <w:szCs w:val="22"/>
        </w:rPr>
        <w:t xml:space="preserve"> Offering insights into understanding and maximizing employment benefits.</w:t>
      </w:r>
      <w:r w:rsidR="2F5EDB7A" w:rsidRPr="00704B2D">
        <w:rPr>
          <w:rFonts w:ascii="Century Gothic" w:eastAsia="Times New Roman" w:hAnsi="Century Gothic"/>
          <w:szCs w:val="22"/>
        </w:rPr>
        <w:t xml:space="preserve"> Through the Youth Money Club, CAHS aims to empower youth with crucial financial knowledge and skills, enabling them to make informed financial decisions and build a secure financial future. </w:t>
      </w:r>
      <w:r w:rsidR="10254CBA" w:rsidRPr="00704B2D">
        <w:rPr>
          <w:rFonts w:ascii="Century Gothic" w:eastAsia="Times New Roman" w:hAnsi="Century Gothic"/>
          <w:szCs w:val="22"/>
        </w:rPr>
        <w:t xml:space="preserve">CAHS runs the program at no cost to us in exchange for </w:t>
      </w:r>
      <w:r w:rsidR="004B4ABF" w:rsidRPr="00704B2D">
        <w:rPr>
          <w:rFonts w:ascii="Century Gothic" w:eastAsia="Times New Roman" w:hAnsi="Century Gothic"/>
          <w:szCs w:val="22"/>
        </w:rPr>
        <w:t>the use</w:t>
      </w:r>
      <w:r w:rsidR="10254CBA" w:rsidRPr="00704B2D">
        <w:rPr>
          <w:rFonts w:ascii="Century Gothic" w:eastAsia="Times New Roman" w:hAnsi="Century Gothic"/>
          <w:szCs w:val="22"/>
        </w:rPr>
        <w:t xml:space="preserve"> of space </w:t>
      </w:r>
      <w:r w:rsidR="004B4ABF" w:rsidRPr="00704B2D">
        <w:rPr>
          <w:rFonts w:ascii="Century Gothic" w:eastAsia="Times New Roman" w:hAnsi="Century Gothic"/>
          <w:szCs w:val="22"/>
        </w:rPr>
        <w:t>outlines</w:t>
      </w:r>
      <w:r w:rsidR="10254CBA" w:rsidRPr="00704B2D">
        <w:rPr>
          <w:rFonts w:ascii="Century Gothic" w:eastAsia="Times New Roman" w:hAnsi="Century Gothic"/>
          <w:szCs w:val="22"/>
        </w:rPr>
        <w:t xml:space="preserve"> in a formal agreement.</w:t>
      </w:r>
    </w:p>
    <w:p w14:paraId="3DD764A8" w14:textId="77777777" w:rsidR="004B4ABF" w:rsidRPr="004B4ABF" w:rsidRDefault="004B4ABF" w:rsidP="004B4ABF">
      <w:pPr>
        <w:ind w:left="720"/>
        <w:rPr>
          <w:rFonts w:ascii="Century Gothic" w:eastAsia="Times New Roman" w:hAnsi="Century Gothic"/>
          <w:szCs w:val="22"/>
        </w:rPr>
      </w:pPr>
    </w:p>
    <w:p w14:paraId="177514D6" w14:textId="61C7821C" w:rsidR="440C5A6C" w:rsidRPr="00704B2D" w:rsidRDefault="3B243C8A" w:rsidP="004B4ABF">
      <w:pPr>
        <w:rPr>
          <w:rFonts w:ascii="Century Gothic" w:eastAsia="Times New Roman" w:hAnsi="Century Gothic"/>
          <w:szCs w:val="22"/>
        </w:rPr>
      </w:pPr>
      <w:r w:rsidRPr="00704B2D">
        <w:rPr>
          <w:rFonts w:ascii="Century Gothic" w:eastAsia="Times New Roman" w:hAnsi="Century Gothic"/>
          <w:b/>
          <w:bCs/>
          <w:szCs w:val="22"/>
        </w:rPr>
        <w:t>Outcomes</w:t>
      </w:r>
      <w:r w:rsidR="67F1A41E" w:rsidRPr="00704B2D">
        <w:rPr>
          <w:rFonts w:ascii="Century Gothic" w:eastAsia="Times New Roman" w:hAnsi="Century Gothic"/>
          <w:b/>
          <w:bCs/>
          <w:szCs w:val="22"/>
        </w:rPr>
        <w:t>:</w:t>
      </w:r>
    </w:p>
    <w:p w14:paraId="2103D12C" w14:textId="12A4DD92" w:rsidR="38406793" w:rsidRPr="00704B2D" w:rsidRDefault="38406793" w:rsidP="00486062">
      <w:pPr>
        <w:pStyle w:val="ListParagraph"/>
        <w:numPr>
          <w:ilvl w:val="0"/>
          <w:numId w:val="9"/>
        </w:numPr>
        <w:spacing w:line="276" w:lineRule="auto"/>
        <w:ind w:left="940"/>
        <w:rPr>
          <w:rFonts w:ascii="Century Gothic" w:eastAsia="Times New Roman" w:hAnsi="Century Gothic"/>
          <w:szCs w:val="22"/>
          <w:lang w:val="en"/>
        </w:rPr>
      </w:pPr>
      <w:r w:rsidRPr="00704B2D">
        <w:rPr>
          <w:rFonts w:ascii="Century Gothic" w:eastAsia="Times New Roman" w:hAnsi="Century Gothic"/>
          <w:szCs w:val="22"/>
          <w:lang w:val="en"/>
        </w:rPr>
        <w:t>20 slots filled</w:t>
      </w:r>
      <w:r w:rsidRPr="00704B2D">
        <w:rPr>
          <w:rFonts w:ascii="Century Gothic" w:eastAsia="Times New Roman" w:hAnsi="Century Gothic"/>
          <w:szCs w:val="22"/>
          <w:u w:val="single"/>
          <w:lang w:val="en"/>
        </w:rPr>
        <w:t xml:space="preserve"> (same cohort as FY23)</w:t>
      </w:r>
      <w:r w:rsidRPr="00704B2D">
        <w:rPr>
          <w:rFonts w:ascii="Century Gothic" w:eastAsia="Times New Roman" w:hAnsi="Century Gothic"/>
          <w:szCs w:val="22"/>
          <w:lang w:val="en"/>
        </w:rPr>
        <w:t xml:space="preserve"> </w:t>
      </w:r>
    </w:p>
    <w:p w14:paraId="721B00A2" w14:textId="03FA3236" w:rsidR="38406793" w:rsidRPr="00704B2D" w:rsidRDefault="38406793" w:rsidP="00486062">
      <w:pPr>
        <w:pStyle w:val="ListParagraph"/>
        <w:numPr>
          <w:ilvl w:val="0"/>
          <w:numId w:val="8"/>
        </w:numPr>
        <w:spacing w:line="276" w:lineRule="auto"/>
        <w:ind w:left="940"/>
        <w:rPr>
          <w:rFonts w:ascii="Century Gothic" w:eastAsia="Times New Roman" w:hAnsi="Century Gothic"/>
          <w:szCs w:val="22"/>
          <w:lang w:val="en"/>
        </w:rPr>
      </w:pPr>
      <w:r w:rsidRPr="00704B2D">
        <w:rPr>
          <w:rFonts w:ascii="Century Gothic" w:eastAsia="Times New Roman" w:hAnsi="Century Gothic"/>
          <w:szCs w:val="22"/>
          <w:lang w:val="en"/>
        </w:rPr>
        <w:t xml:space="preserve">Participants 14-22 years of age </w:t>
      </w:r>
    </w:p>
    <w:p w14:paraId="5C075237" w14:textId="2A4C2B30" w:rsidR="38406793" w:rsidRPr="00704B2D" w:rsidRDefault="38406793" w:rsidP="00486062">
      <w:pPr>
        <w:pStyle w:val="ListParagraph"/>
        <w:numPr>
          <w:ilvl w:val="0"/>
          <w:numId w:val="7"/>
        </w:numPr>
        <w:spacing w:line="276" w:lineRule="auto"/>
        <w:ind w:left="940"/>
        <w:rPr>
          <w:rFonts w:ascii="Century Gothic" w:eastAsia="Times New Roman" w:hAnsi="Century Gothic"/>
          <w:szCs w:val="22"/>
          <w:lang w:val="en"/>
        </w:rPr>
      </w:pPr>
      <w:r w:rsidRPr="00704B2D">
        <w:rPr>
          <w:rFonts w:ascii="Century Gothic" w:eastAsia="Times New Roman" w:hAnsi="Century Gothic"/>
          <w:szCs w:val="22"/>
          <w:lang w:val="en"/>
        </w:rPr>
        <w:t xml:space="preserve">70% have opened accounts due to ECC/HANH programming </w:t>
      </w:r>
    </w:p>
    <w:p w14:paraId="03139AE8" w14:textId="74BA2FBD" w:rsidR="38406793" w:rsidRPr="00704B2D" w:rsidRDefault="38406793" w:rsidP="00486062">
      <w:pPr>
        <w:pStyle w:val="ListParagraph"/>
        <w:numPr>
          <w:ilvl w:val="0"/>
          <w:numId w:val="6"/>
        </w:numPr>
        <w:spacing w:line="276" w:lineRule="auto"/>
        <w:ind w:left="940"/>
        <w:rPr>
          <w:rFonts w:ascii="Century Gothic" w:eastAsia="Times New Roman" w:hAnsi="Century Gothic"/>
          <w:szCs w:val="22"/>
          <w:lang w:val="en"/>
        </w:rPr>
      </w:pPr>
      <w:r w:rsidRPr="00704B2D">
        <w:rPr>
          <w:rFonts w:ascii="Century Gothic" w:eastAsia="Times New Roman" w:hAnsi="Century Gothic"/>
          <w:szCs w:val="22"/>
          <w:lang w:val="en"/>
        </w:rPr>
        <w:lastRenderedPageBreak/>
        <w:t>100 % are interested in youth employment</w:t>
      </w:r>
      <w:r w:rsidRPr="00704B2D">
        <w:rPr>
          <w:rFonts w:ascii="Century Gothic" w:eastAsia="Times New Roman" w:hAnsi="Century Gothic"/>
          <w:szCs w:val="22"/>
          <w:u w:val="single"/>
          <w:lang w:val="en"/>
        </w:rPr>
        <w:t xml:space="preserve"> </w:t>
      </w:r>
      <w:r w:rsidRPr="00704B2D">
        <w:rPr>
          <w:rFonts w:ascii="Century Gothic" w:eastAsia="Times New Roman" w:hAnsi="Century Gothic"/>
          <w:szCs w:val="22"/>
          <w:lang w:val="en"/>
        </w:rPr>
        <w:t xml:space="preserve"> </w:t>
      </w:r>
    </w:p>
    <w:p w14:paraId="5DCA7DD9" w14:textId="20A99F39" w:rsidR="38406793" w:rsidRPr="00704B2D" w:rsidRDefault="38406793" w:rsidP="00486062">
      <w:pPr>
        <w:pStyle w:val="ListParagraph"/>
        <w:numPr>
          <w:ilvl w:val="0"/>
          <w:numId w:val="5"/>
        </w:numPr>
        <w:spacing w:line="276" w:lineRule="auto"/>
        <w:ind w:left="940"/>
        <w:rPr>
          <w:rFonts w:ascii="Century Gothic" w:eastAsia="Times New Roman" w:hAnsi="Century Gothic"/>
          <w:szCs w:val="22"/>
          <w:lang w:val="en"/>
        </w:rPr>
      </w:pPr>
      <w:r w:rsidRPr="00704B2D">
        <w:rPr>
          <w:rFonts w:ascii="Century Gothic" w:eastAsia="Times New Roman" w:hAnsi="Century Gothic"/>
          <w:szCs w:val="22"/>
          <w:lang w:val="en"/>
        </w:rPr>
        <w:t xml:space="preserve">80% </w:t>
      </w:r>
      <w:proofErr w:type="gramStart"/>
      <w:r w:rsidRPr="00704B2D">
        <w:rPr>
          <w:rFonts w:ascii="Century Gothic" w:eastAsia="Times New Roman" w:hAnsi="Century Gothic"/>
          <w:szCs w:val="22"/>
          <w:lang w:val="en"/>
        </w:rPr>
        <w:t>participants</w:t>
      </w:r>
      <w:proofErr w:type="gramEnd"/>
      <w:r w:rsidRPr="00704B2D">
        <w:rPr>
          <w:rFonts w:ascii="Century Gothic" w:eastAsia="Times New Roman" w:hAnsi="Century Gothic"/>
          <w:szCs w:val="22"/>
          <w:lang w:val="en"/>
        </w:rPr>
        <w:t xml:space="preserve"> have bank accounts </w:t>
      </w:r>
    </w:p>
    <w:p w14:paraId="61A416C6" w14:textId="59686363" w:rsidR="38406793" w:rsidRPr="00704B2D" w:rsidRDefault="38406793" w:rsidP="00486062">
      <w:pPr>
        <w:pStyle w:val="ListParagraph"/>
        <w:numPr>
          <w:ilvl w:val="0"/>
          <w:numId w:val="4"/>
        </w:numPr>
        <w:spacing w:line="276" w:lineRule="auto"/>
        <w:ind w:left="940"/>
        <w:rPr>
          <w:rFonts w:ascii="Century Gothic" w:eastAsia="Times New Roman" w:hAnsi="Century Gothic"/>
          <w:szCs w:val="22"/>
          <w:lang w:val="en"/>
        </w:rPr>
      </w:pPr>
      <w:r w:rsidRPr="00704B2D">
        <w:rPr>
          <w:rFonts w:ascii="Century Gothic" w:eastAsia="Times New Roman" w:hAnsi="Century Gothic"/>
          <w:szCs w:val="22"/>
          <w:lang w:val="en"/>
        </w:rPr>
        <w:t>1 Participant Purchased 2010 Nissan Versa</w:t>
      </w:r>
    </w:p>
    <w:p w14:paraId="66045E8E" w14:textId="76840614" w:rsidR="38406793" w:rsidRPr="004B4ABF" w:rsidRDefault="38406793" w:rsidP="00486062">
      <w:pPr>
        <w:pStyle w:val="ListParagraph"/>
        <w:numPr>
          <w:ilvl w:val="0"/>
          <w:numId w:val="3"/>
        </w:numPr>
        <w:spacing w:line="276" w:lineRule="auto"/>
        <w:ind w:left="940"/>
        <w:rPr>
          <w:rFonts w:ascii="Century Gothic" w:eastAsia="Times New Roman" w:hAnsi="Century Gothic"/>
          <w:b/>
          <w:bCs/>
          <w:color w:val="000000" w:themeColor="text1"/>
          <w:szCs w:val="22"/>
        </w:rPr>
      </w:pPr>
      <w:r w:rsidRPr="00704B2D">
        <w:rPr>
          <w:rFonts w:ascii="Century Gothic" w:eastAsia="Times New Roman" w:hAnsi="Century Gothic"/>
          <w:szCs w:val="22"/>
          <w:u w:val="single"/>
        </w:rPr>
        <w:t xml:space="preserve">Most saved $721.00 </w:t>
      </w:r>
      <w:r w:rsidRPr="00704B2D">
        <w:rPr>
          <w:rFonts w:ascii="Century Gothic" w:hAnsi="Century Gothic"/>
          <w:szCs w:val="22"/>
        </w:rPr>
        <w:br/>
      </w:r>
      <w:r w:rsidRPr="00704B2D">
        <w:rPr>
          <w:rFonts w:ascii="Century Gothic" w:eastAsia="Times New Roman" w:hAnsi="Century Gothic"/>
          <w:color w:val="000000" w:themeColor="text1"/>
          <w:szCs w:val="22"/>
        </w:rPr>
        <w:t xml:space="preserve"> </w:t>
      </w:r>
    </w:p>
    <w:p w14:paraId="43BF1E34" w14:textId="77777777" w:rsidR="004B4ABF" w:rsidRPr="00704B2D" w:rsidRDefault="004B4ABF" w:rsidP="00486062">
      <w:pPr>
        <w:pStyle w:val="ListParagraph"/>
        <w:numPr>
          <w:ilvl w:val="0"/>
          <w:numId w:val="3"/>
        </w:numPr>
        <w:spacing w:line="276" w:lineRule="auto"/>
        <w:ind w:left="940"/>
        <w:rPr>
          <w:rFonts w:ascii="Century Gothic" w:eastAsia="Times New Roman" w:hAnsi="Century Gothic"/>
          <w:b/>
          <w:bCs/>
          <w:color w:val="000000" w:themeColor="text1"/>
          <w:szCs w:val="22"/>
        </w:rPr>
      </w:pPr>
    </w:p>
    <w:p w14:paraId="6D7CD308" w14:textId="15F677A0" w:rsidR="440C5A6C" w:rsidRPr="00704B2D" w:rsidRDefault="2F5EDB7A" w:rsidP="2CA740EE">
      <w:pPr>
        <w:rPr>
          <w:rFonts w:ascii="Century Gothic" w:eastAsia="Times New Roman" w:hAnsi="Century Gothic"/>
          <w:b/>
          <w:bCs/>
          <w:szCs w:val="22"/>
        </w:rPr>
      </w:pPr>
      <w:r w:rsidRPr="004B4ABF">
        <w:rPr>
          <w:rFonts w:ascii="Century Gothic" w:eastAsia="Times New Roman" w:hAnsi="Century Gothic"/>
          <w:b/>
          <w:bCs/>
          <w:szCs w:val="22"/>
        </w:rPr>
        <w:t>Participant</w:t>
      </w:r>
      <w:r w:rsidRPr="00704B2D">
        <w:rPr>
          <w:rFonts w:ascii="Century Gothic" w:eastAsia="Times New Roman" w:hAnsi="Century Gothic"/>
          <w:b/>
          <w:bCs/>
          <w:szCs w:val="22"/>
        </w:rPr>
        <w:t xml:space="preserve"> Quotes:</w:t>
      </w:r>
    </w:p>
    <w:p w14:paraId="69350E94" w14:textId="77777777" w:rsidR="004B4ABF" w:rsidRDefault="577B2BB5" w:rsidP="7E8C102F">
      <w:pPr>
        <w:rPr>
          <w:rFonts w:ascii="Century Gothic" w:eastAsia="Times New Roman" w:hAnsi="Century Gothic"/>
          <w:szCs w:val="22"/>
        </w:rPr>
      </w:pPr>
      <w:r w:rsidRPr="00704B2D">
        <w:rPr>
          <w:rFonts w:ascii="Century Gothic" w:eastAsia="Times New Roman" w:hAnsi="Century Gothic"/>
          <w:i/>
          <w:iCs/>
          <w:color w:val="000000" w:themeColor="text1"/>
          <w:szCs w:val="22"/>
        </w:rPr>
        <w:t xml:space="preserve">“I learned to be smart with my money, I saved $100. </w:t>
      </w:r>
      <w:r w:rsidR="00455C73" w:rsidRPr="00704B2D">
        <w:rPr>
          <w:rFonts w:ascii="Century Gothic" w:eastAsia="Times New Roman" w:hAnsi="Century Gothic"/>
          <w:i/>
          <w:iCs/>
          <w:color w:val="000000" w:themeColor="text1"/>
          <w:szCs w:val="22"/>
        </w:rPr>
        <w:t>There</w:t>
      </w:r>
      <w:r w:rsidR="00D14A60">
        <w:rPr>
          <w:rFonts w:ascii="Century Gothic" w:eastAsia="Times New Roman" w:hAnsi="Century Gothic"/>
          <w:i/>
          <w:iCs/>
          <w:color w:val="000000" w:themeColor="text1"/>
          <w:szCs w:val="22"/>
        </w:rPr>
        <w:t xml:space="preserve"> are</w:t>
      </w:r>
      <w:r w:rsidRPr="00704B2D">
        <w:rPr>
          <w:rFonts w:ascii="Century Gothic" w:eastAsia="Times New Roman" w:hAnsi="Century Gothic"/>
          <w:i/>
          <w:iCs/>
          <w:color w:val="000000" w:themeColor="text1"/>
          <w:szCs w:val="22"/>
        </w:rPr>
        <w:t xml:space="preserve"> so many things that I want”. - K.R </w:t>
      </w:r>
      <w:r w:rsidR="00455C73" w:rsidRPr="00704B2D">
        <w:rPr>
          <w:rFonts w:ascii="Century Gothic" w:eastAsia="Times New Roman" w:hAnsi="Century Gothic"/>
          <w:i/>
          <w:iCs/>
          <w:color w:val="000000" w:themeColor="text1"/>
          <w:szCs w:val="22"/>
        </w:rPr>
        <w:t>(</w:t>
      </w:r>
      <w:r w:rsidR="006D1C94" w:rsidRPr="00704B2D">
        <w:rPr>
          <w:rFonts w:ascii="Century Gothic" w:eastAsia="Times New Roman" w:hAnsi="Century Gothic"/>
          <w:i/>
          <w:iCs/>
          <w:color w:val="000000" w:themeColor="text1"/>
          <w:szCs w:val="22"/>
        </w:rPr>
        <w:t xml:space="preserve">Youth) </w:t>
      </w:r>
      <w:r w:rsidR="006D1C94" w:rsidRPr="00704B2D">
        <w:rPr>
          <w:rFonts w:ascii="Century Gothic" w:eastAsia="Times New Roman" w:hAnsi="Century Gothic"/>
          <w:color w:val="000000" w:themeColor="text1"/>
          <w:szCs w:val="22"/>
        </w:rPr>
        <w:t xml:space="preserve"> </w:t>
      </w:r>
      <w:r w:rsidR="2F5EDB7A" w:rsidRPr="00704B2D">
        <w:rPr>
          <w:rFonts w:ascii="Century Gothic" w:eastAsia="Times New Roman" w:hAnsi="Century Gothic"/>
          <w:szCs w:val="22"/>
        </w:rPr>
        <w:t xml:space="preserve"> </w:t>
      </w:r>
    </w:p>
    <w:p w14:paraId="63164745" w14:textId="77777777" w:rsidR="004B4ABF" w:rsidRDefault="004B4ABF" w:rsidP="7E8C102F">
      <w:pPr>
        <w:rPr>
          <w:rFonts w:ascii="Century Gothic" w:eastAsia="Times New Roman" w:hAnsi="Century Gothic"/>
          <w:szCs w:val="22"/>
        </w:rPr>
      </w:pPr>
    </w:p>
    <w:p w14:paraId="20A83302" w14:textId="1EF5E33A" w:rsidR="00404A39" w:rsidRDefault="2F5EDB7A" w:rsidP="7E8C102F">
      <w:pPr>
        <w:rPr>
          <w:rFonts w:ascii="Century Gothic" w:eastAsia="Times New Roman" w:hAnsi="Century Gothic"/>
          <w:b/>
          <w:bCs/>
          <w:szCs w:val="22"/>
        </w:rPr>
      </w:pPr>
      <w:r w:rsidRPr="00704B2D">
        <w:rPr>
          <w:rFonts w:ascii="Century Gothic" w:eastAsia="Times New Roman" w:hAnsi="Century Gothic"/>
          <w:b/>
          <w:bCs/>
          <w:szCs w:val="22"/>
          <w:u w:val="single"/>
        </w:rPr>
        <w:t xml:space="preserve">Youth Without </w:t>
      </w:r>
      <w:r w:rsidR="00404A39" w:rsidRPr="00704B2D">
        <w:rPr>
          <w:rFonts w:ascii="Century Gothic" w:eastAsia="Times New Roman" w:hAnsi="Century Gothic"/>
          <w:b/>
          <w:bCs/>
          <w:szCs w:val="22"/>
          <w:u w:val="single"/>
        </w:rPr>
        <w:t>Limits</w:t>
      </w:r>
      <w:r w:rsidR="00404A39" w:rsidRPr="00704B2D">
        <w:rPr>
          <w:rFonts w:ascii="Century Gothic" w:eastAsia="Times New Roman" w:hAnsi="Century Gothic"/>
          <w:szCs w:val="22"/>
        </w:rPr>
        <w:t xml:space="preserve"> Youth</w:t>
      </w:r>
      <w:r w:rsidRPr="00704B2D">
        <w:rPr>
          <w:rFonts w:ascii="Century Gothic" w:eastAsia="Times New Roman" w:hAnsi="Century Gothic"/>
          <w:szCs w:val="22"/>
        </w:rPr>
        <w:t xml:space="preserve"> Without Limits is a mentoring program that </w:t>
      </w:r>
      <w:r w:rsidR="00404A39" w:rsidRPr="00704B2D">
        <w:rPr>
          <w:rFonts w:ascii="Century Gothic" w:eastAsia="Times New Roman" w:hAnsi="Century Gothic"/>
          <w:szCs w:val="22"/>
        </w:rPr>
        <w:t>is convened</w:t>
      </w:r>
      <w:r w:rsidRPr="00704B2D">
        <w:rPr>
          <w:rFonts w:ascii="Century Gothic" w:eastAsia="Times New Roman" w:hAnsi="Century Gothic"/>
          <w:szCs w:val="22"/>
        </w:rPr>
        <w:t xml:space="preserve"> weekly at Eastview Terrace. With dedicating over five years, this program is wholeheartedly committed to fostering education and nurturing leadership skills among the youth within the ECC/HANH community. Youth Without Limits comprises a dedicated team of volunteers, all of whom are esteemed community </w:t>
      </w:r>
      <w:r w:rsidR="00404A39" w:rsidRPr="00704B2D">
        <w:rPr>
          <w:rFonts w:ascii="Century Gothic" w:eastAsia="Times New Roman" w:hAnsi="Century Gothic"/>
          <w:szCs w:val="22"/>
        </w:rPr>
        <w:t>leaders. Youth</w:t>
      </w:r>
      <w:r w:rsidR="19370DE8" w:rsidRPr="00704B2D">
        <w:rPr>
          <w:rFonts w:ascii="Century Gothic" w:eastAsia="Times New Roman" w:hAnsi="Century Gothic"/>
          <w:szCs w:val="22"/>
        </w:rPr>
        <w:t xml:space="preserve"> Without Limits runs the program at no cost to us in exchange for </w:t>
      </w:r>
      <w:r w:rsidR="00281052" w:rsidRPr="00704B2D">
        <w:rPr>
          <w:rFonts w:ascii="Century Gothic" w:eastAsia="Times New Roman" w:hAnsi="Century Gothic"/>
          <w:szCs w:val="22"/>
        </w:rPr>
        <w:t>the use</w:t>
      </w:r>
      <w:r w:rsidR="19370DE8" w:rsidRPr="00704B2D">
        <w:rPr>
          <w:rFonts w:ascii="Century Gothic" w:eastAsia="Times New Roman" w:hAnsi="Century Gothic"/>
          <w:szCs w:val="22"/>
        </w:rPr>
        <w:t xml:space="preserve"> of space out lines in a formal agreement.</w:t>
      </w:r>
      <w:r w:rsidRPr="00704B2D">
        <w:rPr>
          <w:rFonts w:ascii="Century Gothic" w:eastAsia="Times New Roman" w:hAnsi="Century Gothic"/>
          <w:b/>
          <w:bCs/>
          <w:szCs w:val="22"/>
        </w:rPr>
        <w:t xml:space="preserve"> </w:t>
      </w:r>
    </w:p>
    <w:p w14:paraId="3B484A47" w14:textId="77777777" w:rsidR="00404A39" w:rsidRDefault="00404A39" w:rsidP="7E8C102F">
      <w:pPr>
        <w:rPr>
          <w:rFonts w:ascii="Century Gothic" w:eastAsia="Times New Roman" w:hAnsi="Century Gothic"/>
          <w:b/>
          <w:bCs/>
          <w:szCs w:val="22"/>
        </w:rPr>
      </w:pPr>
    </w:p>
    <w:p w14:paraId="1109CB3B" w14:textId="77777777" w:rsidR="00404A39" w:rsidRDefault="59E56EA7" w:rsidP="7E8C102F">
      <w:pPr>
        <w:rPr>
          <w:rFonts w:ascii="Century Gothic" w:eastAsia="Times New Roman" w:hAnsi="Century Gothic"/>
          <w:b/>
          <w:bCs/>
          <w:szCs w:val="22"/>
        </w:rPr>
      </w:pPr>
      <w:r w:rsidRPr="00704B2D">
        <w:rPr>
          <w:rFonts w:ascii="Century Gothic" w:eastAsia="Times New Roman" w:hAnsi="Century Gothic"/>
          <w:b/>
          <w:bCs/>
          <w:szCs w:val="22"/>
        </w:rPr>
        <w:t xml:space="preserve">The </w:t>
      </w:r>
      <w:r w:rsidR="00E978D5" w:rsidRPr="00704B2D">
        <w:rPr>
          <w:rFonts w:ascii="Century Gothic" w:eastAsia="Times New Roman" w:hAnsi="Century Gothic"/>
          <w:b/>
          <w:bCs/>
          <w:szCs w:val="22"/>
        </w:rPr>
        <w:t xml:space="preserve">following </w:t>
      </w:r>
      <w:proofErr w:type="gramStart"/>
      <w:r w:rsidR="00E978D5" w:rsidRPr="00704B2D">
        <w:rPr>
          <w:rFonts w:ascii="Century Gothic" w:eastAsia="Times New Roman" w:hAnsi="Century Gothic"/>
          <w:b/>
          <w:bCs/>
          <w:szCs w:val="22"/>
        </w:rPr>
        <w:t>trainings</w:t>
      </w:r>
      <w:proofErr w:type="gramEnd"/>
      <w:r w:rsidR="67F1A41E" w:rsidRPr="00704B2D">
        <w:rPr>
          <w:rFonts w:ascii="Century Gothic" w:eastAsia="Times New Roman" w:hAnsi="Century Gothic"/>
          <w:b/>
          <w:bCs/>
          <w:szCs w:val="22"/>
        </w:rPr>
        <w:t xml:space="preserve"> were</w:t>
      </w:r>
      <w:r w:rsidR="4AC379AA" w:rsidRPr="00704B2D">
        <w:rPr>
          <w:rFonts w:ascii="Century Gothic" w:eastAsia="Times New Roman" w:hAnsi="Century Gothic"/>
          <w:b/>
          <w:bCs/>
          <w:szCs w:val="22"/>
        </w:rPr>
        <w:t xml:space="preserve"> held</w:t>
      </w:r>
      <w:r w:rsidR="67F1A41E" w:rsidRPr="00704B2D">
        <w:rPr>
          <w:rFonts w:ascii="Century Gothic" w:eastAsia="Times New Roman" w:hAnsi="Century Gothic"/>
          <w:b/>
          <w:bCs/>
          <w:szCs w:val="22"/>
        </w:rPr>
        <w:t>:</w:t>
      </w:r>
    </w:p>
    <w:p w14:paraId="37A92350" w14:textId="77777777" w:rsidR="00404A39" w:rsidRDefault="67F1A41E" w:rsidP="7E8C102F">
      <w:pPr>
        <w:rPr>
          <w:rFonts w:ascii="Century Gothic" w:eastAsia="Times New Roman" w:hAnsi="Century Gothic"/>
          <w:szCs w:val="22"/>
        </w:rPr>
      </w:pPr>
      <w:r w:rsidRPr="00704B2D">
        <w:rPr>
          <w:rFonts w:ascii="Century Gothic" w:eastAsia="Times New Roman" w:hAnsi="Century Gothic"/>
          <w:szCs w:val="22"/>
        </w:rPr>
        <w:t>Healthy Friendships</w:t>
      </w:r>
    </w:p>
    <w:p w14:paraId="52FE6431" w14:textId="77777777" w:rsidR="00404A39" w:rsidRDefault="001C669E" w:rsidP="7E8C102F">
      <w:pPr>
        <w:rPr>
          <w:rFonts w:ascii="Century Gothic" w:eastAsia="Times New Roman" w:hAnsi="Century Gothic"/>
          <w:szCs w:val="22"/>
        </w:rPr>
      </w:pPr>
      <w:r w:rsidRPr="00704B2D">
        <w:rPr>
          <w:rFonts w:ascii="Century Gothic" w:eastAsia="Times New Roman" w:hAnsi="Century Gothic"/>
          <w:szCs w:val="22"/>
        </w:rPr>
        <w:t>Teamwork</w:t>
      </w:r>
      <w:r w:rsidR="67F1A41E" w:rsidRPr="00704B2D">
        <w:rPr>
          <w:rFonts w:ascii="Century Gothic" w:eastAsia="Times New Roman" w:hAnsi="Century Gothic"/>
          <w:szCs w:val="22"/>
        </w:rPr>
        <w:t xml:space="preserve"> skills</w:t>
      </w:r>
    </w:p>
    <w:p w14:paraId="08402002" w14:textId="77777777" w:rsidR="00404A39" w:rsidRDefault="67F1A41E" w:rsidP="7E8C102F">
      <w:pPr>
        <w:rPr>
          <w:rFonts w:ascii="Century Gothic" w:eastAsia="Times New Roman" w:hAnsi="Century Gothic"/>
          <w:szCs w:val="22"/>
        </w:rPr>
      </w:pPr>
      <w:r w:rsidRPr="00704B2D">
        <w:rPr>
          <w:rFonts w:ascii="Century Gothic" w:eastAsia="Times New Roman" w:hAnsi="Century Gothic"/>
          <w:szCs w:val="22"/>
        </w:rPr>
        <w:t>Fitness Exercises</w:t>
      </w:r>
    </w:p>
    <w:p w14:paraId="11B7DAAF" w14:textId="77777777" w:rsidR="00404A39" w:rsidRDefault="67F1A41E" w:rsidP="7E8C102F">
      <w:pPr>
        <w:rPr>
          <w:rFonts w:ascii="Century Gothic" w:eastAsia="Times New Roman" w:hAnsi="Century Gothic"/>
          <w:b/>
          <w:bCs/>
          <w:szCs w:val="22"/>
        </w:rPr>
      </w:pPr>
      <w:r w:rsidRPr="00704B2D">
        <w:rPr>
          <w:rFonts w:ascii="Century Gothic" w:eastAsia="Times New Roman" w:hAnsi="Century Gothic"/>
          <w:szCs w:val="22"/>
        </w:rPr>
        <w:t>Art Therapy Activities</w:t>
      </w:r>
      <w:r w:rsidR="2F5EDB7A" w:rsidRPr="00704B2D">
        <w:rPr>
          <w:rFonts w:ascii="Century Gothic" w:eastAsia="Times New Roman" w:hAnsi="Century Gothic"/>
          <w:szCs w:val="22"/>
        </w:rPr>
        <w:t xml:space="preserve"> </w:t>
      </w:r>
      <w:r w:rsidR="71076763" w:rsidRPr="00704B2D">
        <w:rPr>
          <w:rFonts w:ascii="Century Gothic" w:eastAsia="Times New Roman" w:hAnsi="Century Gothic"/>
          <w:b/>
          <w:bCs/>
          <w:szCs w:val="22"/>
        </w:rPr>
        <w:t xml:space="preserve"> </w:t>
      </w:r>
    </w:p>
    <w:p w14:paraId="09C711BF" w14:textId="77777777" w:rsidR="00404A39" w:rsidRDefault="00404A39" w:rsidP="7E8C102F">
      <w:pPr>
        <w:rPr>
          <w:rFonts w:ascii="Century Gothic" w:eastAsia="Times New Roman" w:hAnsi="Century Gothic"/>
          <w:b/>
          <w:bCs/>
          <w:szCs w:val="22"/>
        </w:rPr>
      </w:pPr>
    </w:p>
    <w:p w14:paraId="6CCEEEA1" w14:textId="77777777" w:rsidR="00404A39" w:rsidRDefault="71076763" w:rsidP="7E8C102F">
      <w:pPr>
        <w:rPr>
          <w:rFonts w:ascii="Century Gothic" w:eastAsia="Times New Roman" w:hAnsi="Century Gothic"/>
          <w:b/>
          <w:bCs/>
          <w:szCs w:val="22"/>
        </w:rPr>
      </w:pPr>
      <w:r w:rsidRPr="00704B2D">
        <w:rPr>
          <w:rFonts w:ascii="Century Gothic" w:eastAsia="Times New Roman" w:hAnsi="Century Gothic"/>
          <w:b/>
          <w:bCs/>
          <w:szCs w:val="22"/>
        </w:rPr>
        <w:t>Outcomes</w:t>
      </w:r>
      <w:r w:rsidR="67F1A41E" w:rsidRPr="00704B2D">
        <w:rPr>
          <w:rFonts w:ascii="Century Gothic" w:eastAsia="Times New Roman" w:hAnsi="Century Gothic"/>
          <w:b/>
          <w:bCs/>
          <w:szCs w:val="22"/>
        </w:rPr>
        <w:t>:</w:t>
      </w:r>
    </w:p>
    <w:p w14:paraId="55D53185" w14:textId="35006FD4" w:rsidR="67F1A41E" w:rsidRPr="00404A39" w:rsidRDefault="5EB7AF09" w:rsidP="00404A39">
      <w:pPr>
        <w:pStyle w:val="ListParagraph"/>
        <w:numPr>
          <w:ilvl w:val="0"/>
          <w:numId w:val="139"/>
        </w:numPr>
        <w:rPr>
          <w:rFonts w:ascii="Century Gothic" w:eastAsia="Times New Roman" w:hAnsi="Century Gothic"/>
          <w:b/>
          <w:bCs/>
          <w:szCs w:val="22"/>
        </w:rPr>
      </w:pPr>
      <w:r w:rsidRPr="00404A39">
        <w:rPr>
          <w:rFonts w:ascii="Century Gothic" w:eastAsia="Times New Roman" w:hAnsi="Century Gothic"/>
          <w:szCs w:val="22"/>
        </w:rPr>
        <w:t>25</w:t>
      </w:r>
      <w:r w:rsidR="6647956D" w:rsidRPr="00404A39">
        <w:rPr>
          <w:rFonts w:ascii="Century Gothic" w:eastAsia="Times New Roman" w:hAnsi="Century Gothic"/>
          <w:szCs w:val="22"/>
        </w:rPr>
        <w:t xml:space="preserve"> slots filled </w:t>
      </w:r>
      <w:r w:rsidR="67F1A41E" w:rsidRPr="00404A39">
        <w:rPr>
          <w:rFonts w:ascii="Century Gothic" w:eastAsia="Times New Roman" w:hAnsi="Century Gothic"/>
          <w:szCs w:val="22"/>
        </w:rPr>
        <w:t>Participants 5-11 years of ages</w:t>
      </w:r>
      <w:r w:rsidR="6647956D" w:rsidRPr="00404A39">
        <w:rPr>
          <w:rFonts w:ascii="Century Gothic" w:eastAsia="Times New Roman" w:hAnsi="Century Gothic"/>
          <w:szCs w:val="22"/>
        </w:rPr>
        <w:t xml:space="preserve">70% perfect attendance </w:t>
      </w:r>
      <w:r w:rsidR="5EDC087B" w:rsidRPr="00404A39">
        <w:rPr>
          <w:rFonts w:ascii="Century Gothic" w:eastAsia="Times New Roman" w:hAnsi="Century Gothic"/>
          <w:szCs w:val="22"/>
        </w:rPr>
        <w:t xml:space="preserve">100% </w:t>
      </w:r>
      <w:r w:rsidR="1A9605AE" w:rsidRPr="00404A39">
        <w:rPr>
          <w:rFonts w:ascii="Century Gothic" w:eastAsia="Times New Roman" w:hAnsi="Century Gothic"/>
          <w:szCs w:val="22"/>
        </w:rPr>
        <w:t xml:space="preserve">are </w:t>
      </w:r>
      <w:r w:rsidR="1F5CDB74" w:rsidRPr="00404A39">
        <w:rPr>
          <w:rFonts w:ascii="Century Gothic" w:eastAsia="Times New Roman" w:hAnsi="Century Gothic"/>
          <w:szCs w:val="22"/>
        </w:rPr>
        <w:t>participatin</w:t>
      </w:r>
      <w:r w:rsidR="1A9605AE" w:rsidRPr="00404A39">
        <w:rPr>
          <w:rFonts w:ascii="Century Gothic" w:eastAsia="Times New Roman" w:hAnsi="Century Gothic"/>
          <w:szCs w:val="22"/>
        </w:rPr>
        <w:t xml:space="preserve">g </w:t>
      </w:r>
      <w:r w:rsidR="5EDC087B" w:rsidRPr="00404A39">
        <w:rPr>
          <w:rFonts w:ascii="Century Gothic" w:eastAsia="Times New Roman" w:hAnsi="Century Gothic"/>
          <w:szCs w:val="22"/>
        </w:rPr>
        <w:t>mentoring and tutor</w:t>
      </w:r>
      <w:r w:rsidR="1AF3DF4A" w:rsidRPr="00404A39">
        <w:rPr>
          <w:rFonts w:ascii="Century Gothic" w:eastAsia="Times New Roman" w:hAnsi="Century Gothic"/>
          <w:szCs w:val="22"/>
        </w:rPr>
        <w:t>ing</w:t>
      </w:r>
      <w:r w:rsidR="5EDC087B" w:rsidRPr="00404A39">
        <w:rPr>
          <w:rFonts w:ascii="Century Gothic" w:eastAsia="Times New Roman" w:hAnsi="Century Gothic"/>
          <w:szCs w:val="22"/>
        </w:rPr>
        <w:t xml:space="preserve"> assistance</w:t>
      </w:r>
      <w:r w:rsidR="2F5EDB7A" w:rsidRPr="00404A39">
        <w:rPr>
          <w:rFonts w:ascii="Century Gothic" w:eastAsia="Times New Roman" w:hAnsi="Century Gothic"/>
          <w:szCs w:val="22"/>
        </w:rPr>
        <w:t xml:space="preserve"> </w:t>
      </w:r>
    </w:p>
    <w:p w14:paraId="70A65417" w14:textId="2AEA3471" w:rsidR="19B38EFC" w:rsidRPr="00704B2D" w:rsidRDefault="19B38EFC" w:rsidP="19B38EFC">
      <w:pPr>
        <w:shd w:val="clear" w:color="auto" w:fill="FFFFFF" w:themeFill="background1"/>
        <w:spacing w:line="360" w:lineRule="auto"/>
        <w:rPr>
          <w:rFonts w:ascii="Century Gothic" w:eastAsia="Times New Roman" w:hAnsi="Century Gothic"/>
          <w:b/>
          <w:bCs/>
          <w:color w:val="000000" w:themeColor="text1"/>
          <w:szCs w:val="22"/>
          <w:lang w:val="en"/>
        </w:rPr>
      </w:pPr>
    </w:p>
    <w:p w14:paraId="57F2167C" w14:textId="4F154401" w:rsidR="2D90A4D5" w:rsidRPr="00704B2D" w:rsidRDefault="2D90A4D5" w:rsidP="00D14A60">
      <w:pPr>
        <w:shd w:val="clear" w:color="auto" w:fill="FFFFFF" w:themeFill="background1"/>
        <w:spacing w:line="360" w:lineRule="auto"/>
        <w:rPr>
          <w:rFonts w:ascii="Century Gothic" w:eastAsia="Times New Roman" w:hAnsi="Century Gothic"/>
          <w:b/>
          <w:bCs/>
          <w:color w:val="000000" w:themeColor="text1"/>
          <w:szCs w:val="22"/>
        </w:rPr>
      </w:pPr>
      <w:r w:rsidRPr="00704B2D">
        <w:rPr>
          <w:rFonts w:ascii="Century Gothic" w:eastAsia="Times New Roman" w:hAnsi="Century Gothic"/>
          <w:b/>
          <w:bCs/>
          <w:color w:val="000000" w:themeColor="text1"/>
          <w:szCs w:val="22"/>
        </w:rPr>
        <w:t xml:space="preserve">Solar </w:t>
      </w:r>
      <w:proofErr w:type="spellStart"/>
      <w:r w:rsidR="78287881" w:rsidRPr="00704B2D">
        <w:rPr>
          <w:rFonts w:ascii="Century Gothic" w:eastAsia="Times New Roman" w:hAnsi="Century Gothic"/>
          <w:b/>
          <w:bCs/>
          <w:color w:val="000000" w:themeColor="text1"/>
          <w:szCs w:val="22"/>
          <w:lang w:val="en"/>
        </w:rPr>
        <w:t>Yo</w:t>
      </w:r>
      <w:r w:rsidRPr="00704B2D">
        <w:rPr>
          <w:rFonts w:ascii="Century Gothic" w:eastAsia="Times New Roman" w:hAnsi="Century Gothic"/>
          <w:b/>
          <w:bCs/>
          <w:color w:val="000000" w:themeColor="text1"/>
          <w:szCs w:val="22"/>
        </w:rPr>
        <w:t>uth</w:t>
      </w:r>
      <w:proofErr w:type="spellEnd"/>
      <w:r w:rsidRPr="00704B2D">
        <w:rPr>
          <w:rFonts w:ascii="Century Gothic" w:eastAsia="Times New Roman" w:hAnsi="Century Gothic"/>
          <w:b/>
          <w:bCs/>
          <w:color w:val="000000" w:themeColor="text1"/>
          <w:szCs w:val="22"/>
        </w:rPr>
        <w:t xml:space="preserve"> </w:t>
      </w:r>
    </w:p>
    <w:p w14:paraId="724420EF" w14:textId="18738341" w:rsidR="6F07B387" w:rsidRPr="00D14A60" w:rsidRDefault="6F07B387" w:rsidP="19B38EFC">
      <w:pPr>
        <w:shd w:val="clear" w:color="auto" w:fill="FFFFFF" w:themeFill="background1"/>
        <w:spacing w:after="270"/>
        <w:rPr>
          <w:rFonts w:ascii="Century Gothic" w:eastAsia="Times New Roman" w:hAnsi="Century Gothic"/>
          <w:color w:val="000000" w:themeColor="text1"/>
          <w:szCs w:val="22"/>
        </w:rPr>
      </w:pPr>
      <w:r w:rsidRPr="00704B2D">
        <w:rPr>
          <w:rFonts w:ascii="Century Gothic" w:eastAsia="Times New Roman" w:hAnsi="Century Gothic"/>
          <w:szCs w:val="22"/>
        </w:rPr>
        <w:t xml:space="preserve">Solar Youth has historically served ECC/HANH youth residents with </w:t>
      </w:r>
      <w:r w:rsidR="00970F36" w:rsidRPr="00704B2D">
        <w:rPr>
          <w:rFonts w:ascii="Century Gothic" w:eastAsia="Times New Roman" w:hAnsi="Century Gothic"/>
          <w:szCs w:val="22"/>
        </w:rPr>
        <w:t>onsite</w:t>
      </w:r>
      <w:r w:rsidR="7F29A493" w:rsidRPr="00704B2D">
        <w:rPr>
          <w:rFonts w:ascii="Century Gothic" w:eastAsia="Times New Roman" w:hAnsi="Century Gothic"/>
          <w:szCs w:val="22"/>
        </w:rPr>
        <w:t xml:space="preserve"> </w:t>
      </w:r>
      <w:r w:rsidRPr="00704B2D">
        <w:rPr>
          <w:rFonts w:ascii="Century Gothic" w:eastAsia="Times New Roman" w:hAnsi="Century Gothic"/>
          <w:szCs w:val="22"/>
        </w:rPr>
        <w:t xml:space="preserve">programming </w:t>
      </w:r>
      <w:r w:rsidR="705A785F" w:rsidRPr="00704B2D">
        <w:rPr>
          <w:rFonts w:ascii="Century Gothic" w:eastAsia="Times New Roman" w:hAnsi="Century Gothic"/>
          <w:szCs w:val="22"/>
        </w:rPr>
        <w:t xml:space="preserve">that </w:t>
      </w:r>
      <w:r w:rsidR="0929307D" w:rsidRPr="00D14A60">
        <w:rPr>
          <w:rFonts w:ascii="Century Gothic" w:eastAsia="Times New Roman" w:hAnsi="Century Gothic"/>
          <w:color w:val="000000" w:themeColor="text1"/>
          <w:szCs w:val="22"/>
        </w:rPr>
        <w:t xml:space="preserve">provides </w:t>
      </w:r>
      <w:r w:rsidR="00404A39" w:rsidRPr="00D14A60">
        <w:rPr>
          <w:rFonts w:ascii="Century Gothic" w:eastAsia="Times New Roman" w:hAnsi="Century Gothic"/>
          <w:color w:val="000000" w:themeColor="text1"/>
          <w:szCs w:val="22"/>
        </w:rPr>
        <w:t>support</w:t>
      </w:r>
      <w:r w:rsidR="0929307D" w:rsidRPr="00D14A60">
        <w:rPr>
          <w:rFonts w:ascii="Century Gothic" w:eastAsia="Times New Roman" w:hAnsi="Century Gothic"/>
          <w:color w:val="000000" w:themeColor="text1"/>
          <w:szCs w:val="22"/>
        </w:rPr>
        <w:t xml:space="preserve"> and opportunities to succeed </w:t>
      </w:r>
      <w:r w:rsidR="5DDF9969" w:rsidRPr="00D14A60">
        <w:rPr>
          <w:rFonts w:ascii="Century Gothic" w:eastAsia="Times New Roman" w:hAnsi="Century Gothic"/>
          <w:color w:val="000000" w:themeColor="text1"/>
          <w:szCs w:val="22"/>
        </w:rPr>
        <w:t xml:space="preserve">by </w:t>
      </w:r>
      <w:r w:rsidR="0929307D" w:rsidRPr="00D14A60">
        <w:rPr>
          <w:rFonts w:ascii="Century Gothic" w:eastAsia="Times New Roman" w:hAnsi="Century Gothic"/>
          <w:color w:val="000000" w:themeColor="text1"/>
          <w:szCs w:val="22"/>
        </w:rPr>
        <w:t>build</w:t>
      </w:r>
      <w:r w:rsidR="3F48745E" w:rsidRPr="00D14A60">
        <w:rPr>
          <w:rFonts w:ascii="Century Gothic" w:eastAsia="Times New Roman" w:hAnsi="Century Gothic"/>
          <w:color w:val="000000" w:themeColor="text1"/>
          <w:szCs w:val="22"/>
        </w:rPr>
        <w:t xml:space="preserve">ing </w:t>
      </w:r>
      <w:r w:rsidR="0929307D" w:rsidRPr="00D14A60">
        <w:rPr>
          <w:rFonts w:ascii="Century Gothic" w:eastAsia="Times New Roman" w:hAnsi="Century Gothic"/>
          <w:color w:val="000000" w:themeColor="text1"/>
          <w:szCs w:val="22"/>
        </w:rPr>
        <w:t xml:space="preserve">on </w:t>
      </w:r>
      <w:r w:rsidR="440D24D6" w:rsidRPr="00D14A60">
        <w:rPr>
          <w:rFonts w:ascii="Century Gothic" w:eastAsia="Times New Roman" w:hAnsi="Century Gothic"/>
          <w:color w:val="000000" w:themeColor="text1"/>
          <w:szCs w:val="22"/>
        </w:rPr>
        <w:t xml:space="preserve">youth </w:t>
      </w:r>
      <w:r w:rsidR="0929307D" w:rsidRPr="00D14A60">
        <w:rPr>
          <w:rFonts w:ascii="Century Gothic" w:eastAsia="Times New Roman" w:hAnsi="Century Gothic"/>
          <w:color w:val="000000" w:themeColor="text1"/>
          <w:szCs w:val="22"/>
        </w:rPr>
        <w:t>experiences</w:t>
      </w:r>
      <w:r w:rsidR="0E54942A" w:rsidRPr="00D14A60">
        <w:rPr>
          <w:rFonts w:ascii="Century Gothic" w:eastAsia="Times New Roman" w:hAnsi="Century Gothic"/>
          <w:color w:val="000000" w:themeColor="text1"/>
          <w:szCs w:val="22"/>
        </w:rPr>
        <w:t xml:space="preserve">, </w:t>
      </w:r>
      <w:r w:rsidR="0929307D" w:rsidRPr="00D14A60">
        <w:rPr>
          <w:rFonts w:ascii="Century Gothic" w:eastAsia="Times New Roman" w:hAnsi="Century Gothic"/>
          <w:color w:val="000000" w:themeColor="text1"/>
          <w:szCs w:val="22"/>
        </w:rPr>
        <w:t xml:space="preserve">gaining critical </w:t>
      </w:r>
      <w:r w:rsidR="320E94D0" w:rsidRPr="00D14A60">
        <w:rPr>
          <w:rFonts w:ascii="Century Gothic" w:eastAsia="Times New Roman" w:hAnsi="Century Gothic"/>
          <w:color w:val="000000" w:themeColor="text1"/>
          <w:szCs w:val="22"/>
        </w:rPr>
        <w:t>developmental assets and serving as stewards in the community.</w:t>
      </w:r>
      <w:r w:rsidR="04AD9173" w:rsidRPr="00D14A60">
        <w:rPr>
          <w:rFonts w:ascii="Century Gothic" w:eastAsia="Times New Roman" w:hAnsi="Century Gothic"/>
          <w:color w:val="000000" w:themeColor="text1"/>
          <w:szCs w:val="22"/>
        </w:rPr>
        <w:t xml:space="preserve"> In FY24, they served 188 youth with daily afterschool and summer programming in the West Rock Community</w:t>
      </w:r>
      <w:r w:rsidR="15D189C6" w:rsidRPr="00D14A60">
        <w:rPr>
          <w:rFonts w:ascii="Century Gothic" w:eastAsia="Times New Roman" w:hAnsi="Century Gothic"/>
          <w:color w:val="000000" w:themeColor="text1"/>
          <w:szCs w:val="22"/>
        </w:rPr>
        <w:t xml:space="preserve"> with 86% of participating youth reporting, “I believe I matter to others in my life and my community.”</w:t>
      </w:r>
      <w:r w:rsidR="53646714" w:rsidRPr="00D14A60">
        <w:rPr>
          <w:rFonts w:ascii="Century Gothic" w:eastAsia="Times New Roman" w:hAnsi="Century Gothic"/>
          <w:color w:val="000000" w:themeColor="text1"/>
          <w:szCs w:val="22"/>
        </w:rPr>
        <w:t xml:space="preserve">  The total cost of this program is $80,000. </w:t>
      </w:r>
    </w:p>
    <w:p w14:paraId="0A9645BB" w14:textId="76CCE37E" w:rsidR="19B38EFC" w:rsidRPr="00D14A60" w:rsidRDefault="19B38EFC" w:rsidP="19B38EFC">
      <w:pPr>
        <w:rPr>
          <w:rFonts w:ascii="Century Gothic" w:eastAsia="Times New Roman" w:hAnsi="Century Gothic"/>
          <w:b/>
          <w:bCs/>
          <w:szCs w:val="22"/>
        </w:rPr>
      </w:pPr>
      <w:r w:rsidRPr="00D14A60">
        <w:rPr>
          <w:rFonts w:ascii="Century Gothic" w:eastAsia="Times New Roman" w:hAnsi="Century Gothic"/>
          <w:b/>
          <w:bCs/>
          <w:szCs w:val="22"/>
        </w:rPr>
        <w:t>Outcomes:</w:t>
      </w:r>
    </w:p>
    <w:p w14:paraId="7DE7CDAF" w14:textId="01A26EC4" w:rsidR="16E6E783" w:rsidRPr="00D14A60" w:rsidRDefault="16E6E783" w:rsidP="19B38EFC">
      <w:pPr>
        <w:rPr>
          <w:rFonts w:ascii="Century Gothic" w:eastAsia="Times New Roman" w:hAnsi="Century Gothic"/>
          <w:szCs w:val="22"/>
        </w:rPr>
      </w:pPr>
      <w:r w:rsidRPr="00D14A60">
        <w:rPr>
          <w:rFonts w:ascii="Century Gothic" w:eastAsia="Times New Roman" w:hAnsi="Century Gothic"/>
          <w:szCs w:val="22"/>
        </w:rPr>
        <w:t>52 paid interns (ECC/HANH youth)</w:t>
      </w:r>
    </w:p>
    <w:p w14:paraId="5FFBCF05" w14:textId="3D1A0467" w:rsidR="16E6E783" w:rsidRPr="00D14A60" w:rsidRDefault="16E6E783" w:rsidP="19B38EFC">
      <w:pPr>
        <w:rPr>
          <w:rFonts w:ascii="Century Gothic" w:eastAsia="Times New Roman" w:hAnsi="Century Gothic"/>
          <w:szCs w:val="22"/>
        </w:rPr>
      </w:pPr>
      <w:r w:rsidRPr="00D14A60">
        <w:rPr>
          <w:rFonts w:ascii="Century Gothic" w:eastAsia="Times New Roman" w:hAnsi="Century Gothic"/>
          <w:szCs w:val="22"/>
        </w:rPr>
        <w:t>11 programs</w:t>
      </w:r>
    </w:p>
    <w:p w14:paraId="22D27207" w14:textId="07A0761F" w:rsidR="16E6E783" w:rsidRPr="00D14A60" w:rsidRDefault="16E6E783" w:rsidP="19B38EFC">
      <w:pPr>
        <w:rPr>
          <w:rFonts w:ascii="Century Gothic" w:eastAsia="Times New Roman" w:hAnsi="Century Gothic"/>
          <w:szCs w:val="22"/>
        </w:rPr>
      </w:pPr>
      <w:r w:rsidRPr="00D14A60">
        <w:rPr>
          <w:rFonts w:ascii="Century Gothic" w:eastAsia="Times New Roman" w:hAnsi="Century Gothic"/>
          <w:szCs w:val="22"/>
        </w:rPr>
        <w:t>28 field trips</w:t>
      </w:r>
    </w:p>
    <w:p w14:paraId="03F3812B" w14:textId="1F56DCCB" w:rsidR="16E6E783" w:rsidRPr="00D14A60" w:rsidRDefault="16E6E783" w:rsidP="19B38EFC">
      <w:pPr>
        <w:rPr>
          <w:rFonts w:ascii="Century Gothic" w:eastAsia="Times New Roman" w:hAnsi="Century Gothic"/>
          <w:szCs w:val="22"/>
        </w:rPr>
      </w:pPr>
      <w:r w:rsidRPr="00D14A60">
        <w:rPr>
          <w:rFonts w:ascii="Century Gothic" w:eastAsia="Times New Roman" w:hAnsi="Century Gothic"/>
          <w:szCs w:val="22"/>
        </w:rPr>
        <w:t>31 hours of literacy (reading and writing) support</w:t>
      </w:r>
    </w:p>
    <w:p w14:paraId="7F0A04A7" w14:textId="77777777" w:rsidR="00404A39" w:rsidRDefault="00404A39" w:rsidP="19B38EFC">
      <w:pPr>
        <w:shd w:val="clear" w:color="auto" w:fill="FFFFFF" w:themeFill="background1"/>
        <w:spacing w:after="270"/>
        <w:rPr>
          <w:rFonts w:ascii="Century Gothic" w:eastAsia="Times New Roman" w:hAnsi="Century Gothic"/>
          <w:color w:val="000000" w:themeColor="text1"/>
          <w:szCs w:val="22"/>
        </w:rPr>
      </w:pPr>
    </w:p>
    <w:p w14:paraId="2A62F2EE" w14:textId="227F0C5D" w:rsidR="3AD822D9" w:rsidRPr="00D14A60" w:rsidRDefault="3AD822D9" w:rsidP="19B38EFC">
      <w:pPr>
        <w:shd w:val="clear" w:color="auto" w:fill="FFFFFF" w:themeFill="background1"/>
        <w:spacing w:after="270"/>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Quote:</w:t>
      </w:r>
    </w:p>
    <w:p w14:paraId="753246A5" w14:textId="38CA38F7" w:rsidR="3AD822D9" w:rsidRPr="00D14A60" w:rsidRDefault="3AD822D9" w:rsidP="19B38EFC">
      <w:pPr>
        <w:shd w:val="clear" w:color="auto" w:fill="FFFFFF" w:themeFill="background1"/>
        <w:spacing w:after="270"/>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“Solar Youth changed my perspective on the environment around </w:t>
      </w:r>
      <w:proofErr w:type="gramStart"/>
      <w:r w:rsidRPr="00D14A60">
        <w:rPr>
          <w:rFonts w:ascii="Century Gothic" w:eastAsia="Times New Roman" w:hAnsi="Century Gothic"/>
          <w:color w:val="000000" w:themeColor="text1"/>
          <w:szCs w:val="22"/>
        </w:rPr>
        <w:t>me</w:t>
      </w:r>
      <w:proofErr w:type="gramEnd"/>
      <w:r w:rsidRPr="00D14A60">
        <w:rPr>
          <w:rFonts w:ascii="Century Gothic" w:eastAsia="Times New Roman" w:hAnsi="Century Gothic"/>
          <w:color w:val="000000" w:themeColor="text1"/>
          <w:szCs w:val="22"/>
        </w:rPr>
        <w:t xml:space="preserve"> and it gave me more patience.” -J.Y.</w:t>
      </w:r>
    </w:p>
    <w:p w14:paraId="5FCEBB1D" w14:textId="7FB01B41" w:rsidR="2D90A4D5" w:rsidRPr="00404A39" w:rsidRDefault="2D90A4D5" w:rsidP="00D14A60">
      <w:pPr>
        <w:shd w:val="clear" w:color="auto" w:fill="FFFFFF" w:themeFill="background1"/>
        <w:spacing w:line="360" w:lineRule="auto"/>
        <w:rPr>
          <w:rFonts w:ascii="Century Gothic" w:eastAsia="Times New Roman" w:hAnsi="Century Gothic"/>
          <w:b/>
          <w:bCs/>
          <w:color w:val="000000" w:themeColor="text1"/>
          <w:szCs w:val="22"/>
          <w:lang w:val="en"/>
        </w:rPr>
      </w:pPr>
      <w:r w:rsidRPr="00404A39">
        <w:rPr>
          <w:rFonts w:ascii="Century Gothic" w:eastAsia="Times New Roman" w:hAnsi="Century Gothic"/>
          <w:b/>
          <w:bCs/>
          <w:color w:val="000000" w:themeColor="text1"/>
          <w:szCs w:val="22"/>
          <w:lang w:val="en"/>
        </w:rPr>
        <w:t xml:space="preserve">Youth Entrepreneur Program </w:t>
      </w:r>
    </w:p>
    <w:p w14:paraId="2FC933C3" w14:textId="37BEB9B4" w:rsidR="2D90A4D5" w:rsidRPr="00D14A60" w:rsidRDefault="00404A39" w:rsidP="00D14A60">
      <w:pPr>
        <w:shd w:val="clear" w:color="auto" w:fill="FFFFFF" w:themeFill="background1"/>
        <w:spacing w:line="360" w:lineRule="auto"/>
        <w:rPr>
          <w:rFonts w:ascii="Century Gothic" w:eastAsia="Times New Roman" w:hAnsi="Century Gothic"/>
          <w:color w:val="000000" w:themeColor="text1"/>
          <w:szCs w:val="22"/>
        </w:rPr>
      </w:pPr>
      <w:r>
        <w:rPr>
          <w:rFonts w:ascii="Century Gothic" w:eastAsia="Times New Roman" w:hAnsi="Century Gothic"/>
          <w:color w:val="000000" w:themeColor="text1"/>
          <w:szCs w:val="22"/>
        </w:rPr>
        <w:lastRenderedPageBreak/>
        <w:t xml:space="preserve">The </w:t>
      </w:r>
      <w:r w:rsidR="2D90A4D5" w:rsidRPr="00D14A60">
        <w:rPr>
          <w:rFonts w:ascii="Century Gothic" w:eastAsia="Times New Roman" w:hAnsi="Century Gothic"/>
          <w:color w:val="000000" w:themeColor="text1"/>
          <w:szCs w:val="22"/>
        </w:rPr>
        <w:t xml:space="preserve">Youth Entrepreneurs </w:t>
      </w:r>
      <w:r>
        <w:rPr>
          <w:rFonts w:ascii="Century Gothic" w:eastAsia="Times New Roman" w:hAnsi="Century Gothic"/>
          <w:color w:val="000000" w:themeColor="text1"/>
          <w:szCs w:val="22"/>
        </w:rPr>
        <w:t xml:space="preserve">Program </w:t>
      </w:r>
      <w:r w:rsidR="2D90A4D5" w:rsidRPr="00D14A60">
        <w:rPr>
          <w:rFonts w:ascii="Century Gothic" w:eastAsia="Times New Roman" w:hAnsi="Century Gothic"/>
          <w:color w:val="000000" w:themeColor="text1"/>
          <w:szCs w:val="22"/>
        </w:rPr>
        <w:t xml:space="preserve">is dedicated to equipping </w:t>
      </w:r>
      <w:r w:rsidR="5105E011" w:rsidRPr="00D14A60">
        <w:rPr>
          <w:rFonts w:ascii="Century Gothic" w:eastAsia="Times New Roman" w:hAnsi="Century Gothic"/>
          <w:color w:val="000000" w:themeColor="text1"/>
          <w:szCs w:val="22"/>
        </w:rPr>
        <w:t xml:space="preserve">ECC/HANH Youth </w:t>
      </w:r>
      <w:r w:rsidR="1154C826" w:rsidRPr="00D14A60">
        <w:rPr>
          <w:rFonts w:ascii="Century Gothic" w:eastAsia="Times New Roman" w:hAnsi="Century Gothic"/>
          <w:color w:val="000000" w:themeColor="text1"/>
          <w:szCs w:val="22"/>
        </w:rPr>
        <w:t xml:space="preserve">ages 14-21 </w:t>
      </w:r>
      <w:r w:rsidR="2D90A4D5" w:rsidRPr="00D14A60">
        <w:rPr>
          <w:rFonts w:ascii="Century Gothic" w:eastAsia="Times New Roman" w:hAnsi="Century Gothic"/>
          <w:color w:val="000000" w:themeColor="text1"/>
          <w:szCs w:val="22"/>
        </w:rPr>
        <w:t xml:space="preserve">with the tools, skills, and opportunities to become successful entrepreneurs and future leaders. The mission is to foster generational wealth and financial independence through innovative and accessible education. </w:t>
      </w:r>
      <w:r w:rsidR="469D25AC" w:rsidRPr="00D14A60">
        <w:rPr>
          <w:rFonts w:ascii="Century Gothic" w:eastAsia="Times New Roman" w:hAnsi="Century Gothic"/>
          <w:color w:val="000000" w:themeColor="text1"/>
          <w:szCs w:val="22"/>
        </w:rPr>
        <w:t>I</w:t>
      </w:r>
      <w:r w:rsidR="2D90A4D5" w:rsidRPr="00D14A60">
        <w:rPr>
          <w:rFonts w:ascii="Century Gothic" w:eastAsia="Times New Roman" w:hAnsi="Century Gothic"/>
          <w:color w:val="000000" w:themeColor="text1"/>
          <w:szCs w:val="22"/>
        </w:rPr>
        <w:t xml:space="preserve">n </w:t>
      </w:r>
      <w:r w:rsidR="6B166166" w:rsidRPr="00D14A60">
        <w:rPr>
          <w:rFonts w:ascii="Century Gothic" w:eastAsia="Times New Roman" w:hAnsi="Century Gothic"/>
          <w:color w:val="000000" w:themeColor="text1"/>
          <w:szCs w:val="22"/>
        </w:rPr>
        <w:t xml:space="preserve">Summer </w:t>
      </w:r>
      <w:r w:rsidR="18559145" w:rsidRPr="00D14A60">
        <w:rPr>
          <w:rFonts w:ascii="Century Gothic" w:eastAsia="Times New Roman" w:hAnsi="Century Gothic"/>
          <w:color w:val="000000" w:themeColor="text1"/>
          <w:szCs w:val="22"/>
        </w:rPr>
        <w:t xml:space="preserve">FY24, in </w:t>
      </w:r>
      <w:r w:rsidR="2D90A4D5" w:rsidRPr="00D14A60">
        <w:rPr>
          <w:rFonts w:ascii="Century Gothic" w:eastAsia="Times New Roman" w:hAnsi="Century Gothic"/>
          <w:color w:val="000000" w:themeColor="text1"/>
          <w:szCs w:val="22"/>
        </w:rPr>
        <w:t>collaboration with ECC</w:t>
      </w:r>
      <w:r w:rsidR="6B513EB9" w:rsidRPr="00D14A60">
        <w:rPr>
          <w:rFonts w:ascii="Century Gothic" w:eastAsia="Times New Roman" w:hAnsi="Century Gothic"/>
          <w:color w:val="000000" w:themeColor="text1"/>
          <w:szCs w:val="22"/>
        </w:rPr>
        <w:t>/HANH</w:t>
      </w:r>
      <w:r w:rsidR="5F543C72" w:rsidRPr="00D14A60">
        <w:rPr>
          <w:rFonts w:ascii="Century Gothic" w:eastAsia="Times New Roman" w:hAnsi="Century Gothic"/>
          <w:color w:val="000000" w:themeColor="text1"/>
          <w:szCs w:val="22"/>
        </w:rPr>
        <w:t>, a</w:t>
      </w:r>
      <w:r w:rsidR="2D90A4D5" w:rsidRPr="00D14A60">
        <w:rPr>
          <w:rFonts w:ascii="Century Gothic" w:eastAsia="Times New Roman" w:hAnsi="Century Gothic"/>
          <w:color w:val="000000" w:themeColor="text1"/>
          <w:szCs w:val="22"/>
        </w:rPr>
        <w:t xml:space="preserve"> pilot program </w:t>
      </w:r>
      <w:r w:rsidR="2FB296D7" w:rsidRPr="00D14A60">
        <w:rPr>
          <w:rFonts w:ascii="Century Gothic" w:eastAsia="Times New Roman" w:hAnsi="Century Gothic"/>
          <w:color w:val="000000" w:themeColor="text1"/>
          <w:szCs w:val="22"/>
        </w:rPr>
        <w:t xml:space="preserve">was launched at the University of New Haven which </w:t>
      </w:r>
      <w:r w:rsidR="2D90A4D5" w:rsidRPr="00D14A60">
        <w:rPr>
          <w:rFonts w:ascii="Century Gothic" w:eastAsia="Times New Roman" w:hAnsi="Century Gothic"/>
          <w:color w:val="000000" w:themeColor="text1"/>
          <w:szCs w:val="22"/>
        </w:rPr>
        <w:t xml:space="preserve">showcased the effectiveness of </w:t>
      </w:r>
      <w:r w:rsidR="23151E39" w:rsidRPr="00D14A60">
        <w:rPr>
          <w:rFonts w:ascii="Century Gothic" w:eastAsia="Times New Roman" w:hAnsi="Century Gothic"/>
          <w:color w:val="000000" w:themeColor="text1"/>
          <w:szCs w:val="22"/>
        </w:rPr>
        <w:t xml:space="preserve">a </w:t>
      </w:r>
      <w:r w:rsidR="2D90A4D5" w:rsidRPr="00D14A60">
        <w:rPr>
          <w:rFonts w:ascii="Century Gothic" w:eastAsia="Times New Roman" w:hAnsi="Century Gothic"/>
          <w:color w:val="000000" w:themeColor="text1"/>
          <w:szCs w:val="22"/>
        </w:rPr>
        <w:t xml:space="preserve">peer-to-peer model, particularly in engaging Black males, and highlighted the importance of creating opportunities for youth to build generational wealth. </w:t>
      </w:r>
    </w:p>
    <w:p w14:paraId="7F9C65C1" w14:textId="5C178142" w:rsidR="19B38EFC" w:rsidRPr="00D14A60" w:rsidRDefault="19B38EFC" w:rsidP="19B38EFC">
      <w:pPr>
        <w:shd w:val="clear" w:color="auto" w:fill="FFFFFF" w:themeFill="background1"/>
        <w:spacing w:line="360" w:lineRule="auto"/>
        <w:rPr>
          <w:rFonts w:ascii="Century Gothic" w:eastAsia="Times New Roman" w:hAnsi="Century Gothic"/>
          <w:color w:val="000000" w:themeColor="text1"/>
          <w:szCs w:val="22"/>
        </w:rPr>
      </w:pPr>
    </w:p>
    <w:p w14:paraId="43AFF860" w14:textId="3C368A8D" w:rsidR="2D90A4D5" w:rsidRPr="00D14A60" w:rsidRDefault="2D90A4D5">
      <w:pPr>
        <w:shd w:val="clear" w:color="auto" w:fill="FFFFFF" w:themeFill="background1"/>
        <w:spacing w:line="360" w:lineRule="auto"/>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Topics Included: </w:t>
      </w:r>
    </w:p>
    <w:p w14:paraId="2878B312" w14:textId="783FFEAC" w:rsidR="2D90A4D5" w:rsidRPr="00D14A60" w:rsidRDefault="2D90A4D5" w:rsidP="00486062">
      <w:pPr>
        <w:pStyle w:val="ListParagraph"/>
        <w:numPr>
          <w:ilvl w:val="0"/>
          <w:numId w:val="2"/>
        </w:numPr>
        <w:shd w:val="clear" w:color="auto" w:fill="FFFFFF" w:themeFill="background1"/>
        <w:spacing w:line="360" w:lineRule="auto"/>
        <w:rPr>
          <w:rFonts w:ascii="Century Gothic" w:eastAsia="Times New Roman" w:hAnsi="Century Gothic"/>
          <w:color w:val="000000" w:themeColor="text1"/>
          <w:szCs w:val="22"/>
          <w:lang w:val="en"/>
        </w:rPr>
      </w:pPr>
      <w:r w:rsidRPr="00D14A60">
        <w:rPr>
          <w:rFonts w:ascii="Century Gothic" w:eastAsia="Times New Roman" w:hAnsi="Century Gothic"/>
          <w:color w:val="000000" w:themeColor="text1"/>
          <w:szCs w:val="22"/>
        </w:rPr>
        <w:t xml:space="preserve">Introduction to Entrepreneurship - Understanding Entrepreneurship - Identifying Business Opportunities - Guest Speaker: Local Entrepreneur : Business Planning and Development - Crafting a Business Plan - Market Research and Analysis - Peer Review: Business Plan Feedback </w:t>
      </w:r>
      <w:r w:rsidRPr="00D14A60">
        <w:rPr>
          <w:rFonts w:ascii="Century Gothic" w:eastAsia="Times New Roman" w:hAnsi="Century Gothic"/>
          <w:color w:val="000000" w:themeColor="text1"/>
          <w:szCs w:val="22"/>
          <w:lang w:val="en"/>
        </w:rPr>
        <w:t xml:space="preserve"> Financial Literacy and Management - Budgeting and Financial Planning - Understanding Loans and Investments - Interactive Activity: Creating a Budget -Marketing and Pitch Preparation - Developing a Marketing Strategy - Pitching Your Business Idea </w:t>
      </w:r>
    </w:p>
    <w:p w14:paraId="0DEA39AE" w14:textId="2D161F9C" w:rsidR="19B38EFC" w:rsidRPr="00D14A60" w:rsidRDefault="19B38EFC" w:rsidP="19B38EFC">
      <w:pPr>
        <w:shd w:val="clear" w:color="auto" w:fill="FFFFFF" w:themeFill="background1"/>
        <w:spacing w:line="360" w:lineRule="auto"/>
        <w:rPr>
          <w:rFonts w:ascii="Century Gothic" w:eastAsia="Times New Roman" w:hAnsi="Century Gothic"/>
          <w:color w:val="000000" w:themeColor="text1"/>
          <w:szCs w:val="22"/>
          <w:lang w:val="en"/>
        </w:rPr>
      </w:pPr>
    </w:p>
    <w:p w14:paraId="2810D62F" w14:textId="23D9E4F2" w:rsidR="35D7D4BF" w:rsidRPr="00D14A60" w:rsidRDefault="35D7D4BF" w:rsidP="00D14A60">
      <w:pPr>
        <w:shd w:val="clear" w:color="auto" w:fill="FFFFFF" w:themeFill="background1"/>
        <w:spacing w:line="360" w:lineRule="auto"/>
        <w:rPr>
          <w:rFonts w:ascii="Century Gothic" w:eastAsia="Times New Roman" w:hAnsi="Century Gothic"/>
          <w:color w:val="000000" w:themeColor="text1"/>
          <w:szCs w:val="22"/>
          <w:lang w:val="en"/>
        </w:rPr>
      </w:pPr>
      <w:r w:rsidRPr="00D14A60">
        <w:rPr>
          <w:rFonts w:ascii="Century Gothic" w:eastAsia="Times New Roman" w:hAnsi="Century Gothic"/>
          <w:color w:val="000000" w:themeColor="text1"/>
          <w:szCs w:val="22"/>
          <w:lang w:val="en"/>
        </w:rPr>
        <w:t>Outcomes: (Scale of 1-5)</w:t>
      </w:r>
    </w:p>
    <w:p w14:paraId="5E3CC13D" w14:textId="716FF520" w:rsidR="50D7B559" w:rsidRPr="00D14A60" w:rsidRDefault="50D7B559" w:rsidP="00D14A60">
      <w:pPr>
        <w:pStyle w:val="ListParagraph"/>
        <w:numPr>
          <w:ilvl w:val="0"/>
          <w:numId w:val="1"/>
        </w:numPr>
        <w:shd w:val="clear" w:color="auto" w:fill="FFFFFF" w:themeFill="background1"/>
        <w:spacing w:line="360" w:lineRule="auto"/>
        <w:rPr>
          <w:rFonts w:ascii="Century Gothic" w:eastAsia="Times New Roman" w:hAnsi="Century Gothic"/>
          <w:color w:val="000000" w:themeColor="text1"/>
          <w:szCs w:val="22"/>
          <w:lang w:val="en"/>
        </w:rPr>
      </w:pPr>
      <w:r w:rsidRPr="00D14A60">
        <w:rPr>
          <w:rFonts w:ascii="Century Gothic" w:eastAsia="Times New Roman" w:hAnsi="Century Gothic"/>
          <w:color w:val="000000" w:themeColor="text1"/>
          <w:szCs w:val="22"/>
        </w:rPr>
        <w:t xml:space="preserve">Ages </w:t>
      </w:r>
      <w:r w:rsidR="2D90A4D5" w:rsidRPr="00D14A60">
        <w:rPr>
          <w:rFonts w:ascii="Century Gothic" w:eastAsia="Times New Roman" w:hAnsi="Century Gothic"/>
          <w:color w:val="000000" w:themeColor="text1"/>
          <w:szCs w:val="22"/>
        </w:rPr>
        <w:t>12-14 and 18-21 reported the highest levels of enjoyment, both averaging 4.50.</w:t>
      </w:r>
    </w:p>
    <w:p w14:paraId="1118FACF" w14:textId="71EDFD64" w:rsidR="2D90A4D5" w:rsidRPr="00D14A60" w:rsidRDefault="2D90A4D5" w:rsidP="00486062">
      <w:pPr>
        <w:pStyle w:val="ListParagraph"/>
        <w:numPr>
          <w:ilvl w:val="0"/>
          <w:numId w:val="2"/>
        </w:numPr>
        <w:shd w:val="clear" w:color="auto" w:fill="FFFFFF" w:themeFill="background1"/>
        <w:spacing w:line="360" w:lineRule="auto"/>
        <w:rPr>
          <w:rFonts w:ascii="Century Gothic" w:eastAsia="Times New Roman" w:hAnsi="Century Gothic"/>
          <w:color w:val="000000" w:themeColor="text1"/>
          <w:szCs w:val="22"/>
          <w:lang w:val="en"/>
        </w:rPr>
      </w:pPr>
      <w:r w:rsidRPr="00D14A60">
        <w:rPr>
          <w:rFonts w:ascii="Century Gothic" w:eastAsia="Times New Roman" w:hAnsi="Century Gothic"/>
          <w:color w:val="000000" w:themeColor="text1"/>
          <w:szCs w:val="22"/>
          <w:lang w:val="en"/>
        </w:rPr>
        <w:t>Overall, the program received a solid enjoyment rating of 4.27 across all age groups.</w:t>
      </w:r>
    </w:p>
    <w:p w14:paraId="54F668B5" w14:textId="7F57EFE7" w:rsidR="5AE2A9A8" w:rsidRPr="00D14A60" w:rsidRDefault="5AE2A9A8" w:rsidP="00486062">
      <w:pPr>
        <w:pStyle w:val="ListParagraph"/>
        <w:numPr>
          <w:ilvl w:val="0"/>
          <w:numId w:val="2"/>
        </w:numPr>
        <w:shd w:val="clear" w:color="auto" w:fill="FFFFFF" w:themeFill="background1"/>
        <w:spacing w:line="360" w:lineRule="auto"/>
        <w:rPr>
          <w:rFonts w:ascii="Century Gothic" w:eastAsia="Times New Roman" w:hAnsi="Century Gothic"/>
          <w:color w:val="000000" w:themeColor="text1"/>
          <w:szCs w:val="22"/>
          <w:lang w:val="en"/>
        </w:rPr>
      </w:pPr>
      <w:r w:rsidRPr="00D14A60">
        <w:rPr>
          <w:rFonts w:ascii="Century Gothic" w:eastAsia="Times New Roman" w:hAnsi="Century Gothic"/>
          <w:color w:val="000000" w:themeColor="text1"/>
          <w:szCs w:val="22"/>
          <w:lang w:val="en"/>
        </w:rPr>
        <w:t xml:space="preserve">Ages </w:t>
      </w:r>
      <w:r w:rsidR="2D90A4D5" w:rsidRPr="00D14A60">
        <w:rPr>
          <w:rFonts w:ascii="Century Gothic" w:eastAsia="Times New Roman" w:hAnsi="Century Gothic"/>
          <w:color w:val="000000" w:themeColor="text1"/>
          <w:szCs w:val="22"/>
          <w:lang w:val="en"/>
        </w:rPr>
        <w:t>12-14 felt they learned the most, with an average learning score of 4.75.</w:t>
      </w:r>
    </w:p>
    <w:p w14:paraId="23C9AEFE" w14:textId="69F97AED" w:rsidR="507092A6" w:rsidRPr="00D14A60" w:rsidRDefault="507092A6" w:rsidP="00486062">
      <w:pPr>
        <w:pStyle w:val="ListParagraph"/>
        <w:numPr>
          <w:ilvl w:val="0"/>
          <w:numId w:val="2"/>
        </w:numPr>
        <w:shd w:val="clear" w:color="auto" w:fill="FFFFFF" w:themeFill="background1"/>
        <w:spacing w:line="360" w:lineRule="auto"/>
        <w:rPr>
          <w:rFonts w:ascii="Century Gothic" w:eastAsia="Times New Roman" w:hAnsi="Century Gothic"/>
          <w:color w:val="000000" w:themeColor="text1"/>
          <w:szCs w:val="22"/>
          <w:lang w:val="en"/>
        </w:rPr>
      </w:pPr>
      <w:r w:rsidRPr="00D14A60">
        <w:rPr>
          <w:rFonts w:ascii="Century Gothic" w:eastAsia="Times New Roman" w:hAnsi="Century Gothic"/>
          <w:color w:val="000000" w:themeColor="text1"/>
          <w:szCs w:val="22"/>
          <w:lang w:val="en"/>
        </w:rPr>
        <w:t xml:space="preserve">Ages </w:t>
      </w:r>
      <w:r w:rsidR="2D90A4D5" w:rsidRPr="00D14A60">
        <w:rPr>
          <w:rFonts w:ascii="Century Gothic" w:eastAsia="Times New Roman" w:hAnsi="Century Gothic"/>
          <w:color w:val="000000" w:themeColor="text1"/>
          <w:szCs w:val="22"/>
          <w:lang w:val="en"/>
        </w:rPr>
        <w:t>18-21 age group followed closely with an average of 4.50.</w:t>
      </w:r>
    </w:p>
    <w:p w14:paraId="3A551429" w14:textId="090DB832" w:rsidR="2D90A4D5" w:rsidRPr="00D14A60" w:rsidRDefault="2D90A4D5" w:rsidP="00486062">
      <w:pPr>
        <w:pStyle w:val="ListParagraph"/>
        <w:numPr>
          <w:ilvl w:val="0"/>
          <w:numId w:val="2"/>
        </w:numPr>
        <w:shd w:val="clear" w:color="auto" w:fill="FFFFFF" w:themeFill="background1"/>
        <w:spacing w:line="360" w:lineRule="auto"/>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The overall learning average is 4.33, indicating a positive educational impact.</w:t>
      </w:r>
    </w:p>
    <w:p w14:paraId="263CEEB3" w14:textId="0EC2CF0A" w:rsidR="2D90A4D5" w:rsidRPr="00D14A60" w:rsidRDefault="2D90A4D5" w:rsidP="00486062">
      <w:pPr>
        <w:pStyle w:val="ListParagraph"/>
        <w:numPr>
          <w:ilvl w:val="0"/>
          <w:numId w:val="2"/>
        </w:numPr>
        <w:shd w:val="clear" w:color="auto" w:fill="FFFFFF" w:themeFill="background1"/>
        <w:spacing w:line="360" w:lineRule="auto"/>
        <w:rPr>
          <w:rFonts w:ascii="Century Gothic" w:eastAsia="Times New Roman" w:hAnsi="Century Gothic"/>
          <w:color w:val="000000" w:themeColor="text1"/>
          <w:szCs w:val="22"/>
          <w:lang w:val="en"/>
        </w:rPr>
      </w:pPr>
      <w:r w:rsidRPr="00D14A60">
        <w:rPr>
          <w:rFonts w:ascii="Century Gothic" w:eastAsia="Times New Roman" w:hAnsi="Century Gothic"/>
          <w:color w:val="000000" w:themeColor="text1"/>
          <w:szCs w:val="22"/>
          <w:lang w:val="en"/>
        </w:rPr>
        <w:t>Both the 12-14 and 18-21 age groups rated leadership development very highly, each giving a score of 5.00.</w:t>
      </w:r>
    </w:p>
    <w:p w14:paraId="4260F970" w14:textId="63E6E20D" w:rsidR="2D90A4D5" w:rsidRPr="00D14A60" w:rsidRDefault="2D90A4D5" w:rsidP="00486062">
      <w:pPr>
        <w:pStyle w:val="ListParagraph"/>
        <w:numPr>
          <w:ilvl w:val="0"/>
          <w:numId w:val="2"/>
        </w:numPr>
        <w:shd w:val="clear" w:color="auto" w:fill="FFFFFF" w:themeFill="background1"/>
        <w:spacing w:line="360" w:lineRule="auto"/>
        <w:rPr>
          <w:rFonts w:ascii="Century Gothic" w:eastAsia="Times New Roman" w:hAnsi="Century Gothic"/>
          <w:color w:val="000000" w:themeColor="text1"/>
          <w:szCs w:val="22"/>
          <w:lang w:val="en"/>
        </w:rPr>
      </w:pPr>
      <w:r w:rsidRPr="00D14A60">
        <w:rPr>
          <w:rFonts w:ascii="Century Gothic" w:eastAsia="Times New Roman" w:hAnsi="Century Gothic"/>
          <w:color w:val="000000" w:themeColor="text1"/>
          <w:szCs w:val="22"/>
        </w:rPr>
        <w:t>The 18-21 age group felt the most supported</w:t>
      </w:r>
      <w:r w:rsidR="2FE05F88" w:rsidRPr="00D14A60">
        <w:rPr>
          <w:rFonts w:ascii="Century Gothic" w:eastAsia="Times New Roman" w:hAnsi="Century Gothic"/>
          <w:color w:val="000000" w:themeColor="text1"/>
          <w:szCs w:val="22"/>
          <w:lang w:val="en"/>
        </w:rPr>
        <w:t xml:space="preserve"> and mentored</w:t>
      </w:r>
      <w:r w:rsidRPr="00D14A60">
        <w:rPr>
          <w:rFonts w:ascii="Century Gothic" w:eastAsia="Times New Roman" w:hAnsi="Century Gothic"/>
          <w:color w:val="000000" w:themeColor="text1"/>
          <w:szCs w:val="22"/>
        </w:rPr>
        <w:t>, giving a score of 5.00.</w:t>
      </w:r>
    </w:p>
    <w:p w14:paraId="351500DD" w14:textId="54F39ED1" w:rsidR="2D90A4D5" w:rsidRPr="00D14A60" w:rsidRDefault="2D90A4D5" w:rsidP="00486062">
      <w:pPr>
        <w:pStyle w:val="ListParagraph"/>
        <w:numPr>
          <w:ilvl w:val="0"/>
          <w:numId w:val="2"/>
        </w:numPr>
        <w:shd w:val="clear" w:color="auto" w:fill="FFFFFF" w:themeFill="background1"/>
        <w:spacing w:line="360" w:lineRule="auto"/>
        <w:rPr>
          <w:rFonts w:ascii="Century Gothic" w:eastAsia="Times New Roman" w:hAnsi="Century Gothic"/>
          <w:color w:val="000000" w:themeColor="text1"/>
          <w:szCs w:val="22"/>
          <w:lang w:val="en"/>
        </w:rPr>
      </w:pPr>
      <w:r w:rsidRPr="00D14A60">
        <w:rPr>
          <w:rFonts w:ascii="Century Gothic" w:eastAsia="Times New Roman" w:hAnsi="Century Gothic"/>
          <w:color w:val="000000" w:themeColor="text1"/>
          <w:szCs w:val="22"/>
          <w:lang w:val="en"/>
        </w:rPr>
        <w:t>Both the 12-14 and 15-17 age groups rated support and mentorship highly at 4.67.</w:t>
      </w:r>
    </w:p>
    <w:p w14:paraId="2EBC8AB0" w14:textId="059147A0" w:rsidR="2D90A4D5" w:rsidRPr="00D14A60" w:rsidRDefault="2D90A4D5" w:rsidP="00486062">
      <w:pPr>
        <w:pStyle w:val="ListParagraph"/>
        <w:numPr>
          <w:ilvl w:val="0"/>
          <w:numId w:val="2"/>
        </w:numPr>
        <w:shd w:val="clear" w:color="auto" w:fill="FFFFFF" w:themeFill="background1"/>
        <w:spacing w:line="360" w:lineRule="auto"/>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The overall average is an impressive 4.71, indicating excellent support and mentorship throughout the program.</w:t>
      </w:r>
    </w:p>
    <w:p w14:paraId="26D0D0F3" w14:textId="6D67DD00" w:rsidR="19B38EFC" w:rsidRPr="00D14A60" w:rsidRDefault="19B38EFC" w:rsidP="19B38EFC">
      <w:pPr>
        <w:shd w:val="clear" w:color="auto" w:fill="FFFFFF" w:themeFill="background1"/>
        <w:spacing w:line="360" w:lineRule="auto"/>
        <w:rPr>
          <w:rFonts w:ascii="Century Gothic" w:eastAsia="Times New Roman" w:hAnsi="Century Gothic"/>
          <w:b/>
          <w:bCs/>
          <w:color w:val="000000" w:themeColor="text1"/>
          <w:szCs w:val="22"/>
        </w:rPr>
      </w:pPr>
    </w:p>
    <w:p w14:paraId="4C6B40F9" w14:textId="63FADCB9" w:rsidR="440C5A6C" w:rsidRPr="00D14A60" w:rsidRDefault="1AE622EF" w:rsidP="422DE406">
      <w:pPr>
        <w:rPr>
          <w:rFonts w:ascii="Century Gothic" w:eastAsia="Times New Roman" w:hAnsi="Century Gothic"/>
          <w:color w:val="808080" w:themeColor="background1" w:themeShade="80"/>
          <w:szCs w:val="22"/>
        </w:rPr>
      </w:pPr>
      <w:r w:rsidRPr="00D14A60">
        <w:rPr>
          <w:rFonts w:ascii="Century Gothic" w:eastAsia="Times New Roman" w:hAnsi="Century Gothic"/>
          <w:szCs w:val="22"/>
          <w:lang w:val="en"/>
        </w:rPr>
        <w:t xml:space="preserve"> </w:t>
      </w:r>
      <w:r w:rsidR="5943B97F" w:rsidRPr="00D14A60">
        <w:rPr>
          <w:rFonts w:ascii="Century Gothic" w:eastAsia="Times New Roman" w:hAnsi="Century Gothic"/>
          <w:b/>
          <w:bCs/>
          <w:color w:val="808080" w:themeColor="background1" w:themeShade="80"/>
          <w:szCs w:val="22"/>
        </w:rPr>
        <w:t>Outcomes</w:t>
      </w:r>
      <w:r w:rsidR="5943B97F" w:rsidRPr="00D14A60">
        <w:rPr>
          <w:rFonts w:ascii="Century Gothic" w:eastAsia="Times New Roman" w:hAnsi="Century Gothic"/>
          <w:color w:val="808080" w:themeColor="background1" w:themeShade="80"/>
          <w:szCs w:val="22"/>
        </w:rPr>
        <w:t xml:space="preserve"> </w:t>
      </w:r>
    </w:p>
    <w:p w14:paraId="09A95F88" w14:textId="40AAE86F" w:rsidR="440C5A6C" w:rsidRPr="00D14A60" w:rsidRDefault="440C5A6C" w:rsidP="4EC18A89">
      <w:pPr>
        <w:rPr>
          <w:rFonts w:ascii="Century Gothic" w:eastAsia="Times New Roman" w:hAnsi="Century Gothic"/>
          <w:szCs w:val="22"/>
        </w:rPr>
      </w:pPr>
      <w:r w:rsidRPr="00D14A60">
        <w:rPr>
          <w:rFonts w:ascii="Century Gothic" w:eastAsia="Times New Roman" w:hAnsi="Century Gothic"/>
          <w:szCs w:val="22"/>
        </w:rPr>
        <w:t xml:space="preserve"> </w:t>
      </w:r>
    </w:p>
    <w:p w14:paraId="08E78F84" w14:textId="6FDF9CC4" w:rsidR="440C5A6C" w:rsidRPr="00D14A60" w:rsidRDefault="440C5A6C" w:rsidP="4EC18A89">
      <w:pPr>
        <w:rPr>
          <w:rFonts w:ascii="Century Gothic" w:eastAsia="Times New Roman" w:hAnsi="Century Gothic"/>
          <w:szCs w:val="22"/>
        </w:rPr>
      </w:pPr>
      <w:r w:rsidRPr="00D14A60">
        <w:rPr>
          <w:rFonts w:ascii="Century Gothic" w:eastAsia="Times New Roman" w:hAnsi="Century Gothic"/>
          <w:b/>
          <w:bCs/>
          <w:szCs w:val="22"/>
        </w:rPr>
        <w:t>Internal Metrics</w:t>
      </w:r>
      <w:r w:rsidRPr="00D14A60">
        <w:rPr>
          <w:rFonts w:ascii="Century Gothic" w:eastAsia="Times New Roman" w:hAnsi="Century Gothic"/>
          <w:szCs w:val="22"/>
        </w:rPr>
        <w:t xml:space="preserve"> </w:t>
      </w:r>
    </w:p>
    <w:p w14:paraId="2DC4BB60" w14:textId="522BA88F" w:rsidR="440C5A6C" w:rsidRPr="00D14A60" w:rsidRDefault="440C5A6C" w:rsidP="4EC18A89">
      <w:pPr>
        <w:rPr>
          <w:rFonts w:ascii="Century Gothic" w:eastAsia="Times New Roman" w:hAnsi="Century Gothic"/>
          <w:szCs w:val="22"/>
        </w:rPr>
      </w:pPr>
      <w:r w:rsidRPr="00D14A60">
        <w:rPr>
          <w:rFonts w:ascii="Century Gothic" w:eastAsia="Times New Roman" w:hAnsi="Century Gothic"/>
          <w:szCs w:val="22"/>
        </w:rPr>
        <w:t xml:space="preserve"> </w:t>
      </w:r>
    </w:p>
    <w:tbl>
      <w:tblPr>
        <w:tblW w:w="10064" w:type="dxa"/>
        <w:tblLayout w:type="fixed"/>
        <w:tblLook w:val="04A0" w:firstRow="1" w:lastRow="0" w:firstColumn="1" w:lastColumn="0" w:noHBand="0" w:noVBand="1"/>
      </w:tblPr>
      <w:tblGrid>
        <w:gridCol w:w="1873"/>
        <w:gridCol w:w="236"/>
        <w:gridCol w:w="1374"/>
        <w:gridCol w:w="236"/>
        <w:gridCol w:w="1814"/>
        <w:gridCol w:w="236"/>
        <w:gridCol w:w="2400"/>
        <w:gridCol w:w="345"/>
        <w:gridCol w:w="1550"/>
      </w:tblGrid>
      <w:tr w:rsidR="7AE49448" w:rsidRPr="007E7E7E" w14:paraId="479C8D40" w14:textId="77777777" w:rsidTr="414ED316">
        <w:trPr>
          <w:trHeight w:val="390"/>
        </w:trPr>
        <w:tc>
          <w:tcPr>
            <w:tcW w:w="10064" w:type="dxa"/>
            <w:gridSpan w:val="9"/>
            <w:tcBorders>
              <w:top w:val="nil"/>
              <w:left w:val="single" w:sz="8" w:space="0" w:color="D9D9D9" w:themeColor="background1" w:themeShade="D9"/>
              <w:bottom w:val="single" w:sz="24" w:space="0" w:color="B5333C" w:themeColor="accent2"/>
              <w:right w:val="single" w:sz="8" w:space="0" w:color="D9D9D9" w:themeColor="background1" w:themeShade="D9"/>
            </w:tcBorders>
            <w:shd w:val="clear" w:color="auto" w:fill="808080" w:themeFill="background1" w:themeFillShade="80"/>
          </w:tcPr>
          <w:p w14:paraId="6A1CA81C" w14:textId="5D0CFBD9" w:rsidR="7AE49448" w:rsidRPr="00D14A60" w:rsidRDefault="629D39EA" w:rsidP="4EC18A89">
            <w:pPr>
              <w:jc w:val="center"/>
              <w:rPr>
                <w:rFonts w:ascii="Century Gothic" w:eastAsia="Times New Roman" w:hAnsi="Century Gothic"/>
                <w:b/>
                <w:bCs/>
                <w:szCs w:val="22"/>
              </w:rPr>
            </w:pPr>
            <w:r w:rsidRPr="00D14A60">
              <w:rPr>
                <w:rFonts w:ascii="Century Gothic" w:eastAsia="Times New Roman" w:hAnsi="Century Gothic"/>
                <w:b/>
                <w:bCs/>
                <w:szCs w:val="22"/>
              </w:rPr>
              <w:t>Engagement</w:t>
            </w:r>
          </w:p>
        </w:tc>
      </w:tr>
      <w:tr w:rsidR="7AE49448" w:rsidRPr="007E7E7E" w14:paraId="2E38FF77" w14:textId="77777777" w:rsidTr="414ED316">
        <w:trPr>
          <w:trHeight w:val="315"/>
        </w:trPr>
        <w:tc>
          <w:tcPr>
            <w:tcW w:w="2109" w:type="dxa"/>
            <w:gridSpan w:val="2"/>
            <w:tcBorders>
              <w:top w:val="single" w:sz="24" w:space="0" w:color="B5333C" w:themeColor="accent2"/>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7F8F3B49" w14:textId="636AD1BD" w:rsidR="7AE49448" w:rsidRPr="00D14A60" w:rsidRDefault="629D39EA" w:rsidP="4EC18A89">
            <w:pPr>
              <w:jc w:val="center"/>
              <w:rPr>
                <w:rFonts w:ascii="Century Gothic" w:eastAsia="Times New Roman" w:hAnsi="Century Gothic"/>
                <w:color w:val="000000" w:themeColor="text1"/>
                <w:szCs w:val="22"/>
              </w:rPr>
            </w:pPr>
            <w:r w:rsidRPr="00D14A60">
              <w:rPr>
                <w:rFonts w:ascii="Century Gothic" w:eastAsia="Times New Roman" w:hAnsi="Century Gothic"/>
                <w:b/>
                <w:bCs/>
                <w:color w:val="000000" w:themeColor="text1"/>
                <w:szCs w:val="22"/>
              </w:rPr>
              <w:lastRenderedPageBreak/>
              <w:t>Unit of Measurement</w:t>
            </w:r>
            <w:r w:rsidRPr="00D14A60">
              <w:rPr>
                <w:rFonts w:ascii="Century Gothic" w:eastAsia="Times New Roman" w:hAnsi="Century Gothic"/>
                <w:color w:val="000000" w:themeColor="text1"/>
                <w:szCs w:val="22"/>
              </w:rPr>
              <w:t xml:space="preserve"> </w:t>
            </w:r>
          </w:p>
        </w:tc>
        <w:tc>
          <w:tcPr>
            <w:tcW w:w="1610" w:type="dxa"/>
            <w:gridSpan w:val="2"/>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78B6D077" w14:textId="77FC6C1D" w:rsidR="7AE49448" w:rsidRPr="00D14A60" w:rsidRDefault="629D39EA" w:rsidP="4EC18A89">
            <w:pPr>
              <w:jc w:val="center"/>
              <w:rPr>
                <w:rFonts w:ascii="Century Gothic" w:eastAsia="Times New Roman" w:hAnsi="Century Gothic"/>
                <w:color w:val="000000" w:themeColor="text1"/>
                <w:szCs w:val="22"/>
              </w:rPr>
            </w:pPr>
            <w:r w:rsidRPr="00D14A60">
              <w:rPr>
                <w:rFonts w:ascii="Century Gothic" w:eastAsia="Times New Roman" w:hAnsi="Century Gothic"/>
                <w:b/>
                <w:bCs/>
                <w:color w:val="000000" w:themeColor="text1"/>
                <w:szCs w:val="22"/>
              </w:rPr>
              <w:t>Baseline</w:t>
            </w:r>
            <w:r w:rsidRPr="00D14A60">
              <w:rPr>
                <w:rFonts w:ascii="Century Gothic" w:eastAsia="Times New Roman" w:hAnsi="Century Gothic"/>
                <w:color w:val="000000" w:themeColor="text1"/>
                <w:szCs w:val="22"/>
              </w:rPr>
              <w:t xml:space="preserve"> </w:t>
            </w:r>
          </w:p>
        </w:tc>
        <w:tc>
          <w:tcPr>
            <w:tcW w:w="2050" w:type="dxa"/>
            <w:gridSpan w:val="2"/>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03009463" w14:textId="5DEB5E26" w:rsidR="7AE49448" w:rsidRPr="00D14A60" w:rsidRDefault="629D39EA" w:rsidP="4EC18A89">
            <w:pPr>
              <w:jc w:val="center"/>
              <w:rPr>
                <w:rFonts w:ascii="Century Gothic" w:eastAsia="Times New Roman" w:hAnsi="Century Gothic"/>
                <w:color w:val="000000" w:themeColor="text1"/>
                <w:szCs w:val="22"/>
              </w:rPr>
            </w:pPr>
            <w:r w:rsidRPr="00D14A60">
              <w:rPr>
                <w:rFonts w:ascii="Century Gothic" w:eastAsia="Times New Roman" w:hAnsi="Century Gothic"/>
                <w:b/>
                <w:bCs/>
                <w:color w:val="000000" w:themeColor="text1"/>
                <w:szCs w:val="22"/>
              </w:rPr>
              <w:t>Benchmark</w:t>
            </w:r>
            <w:r w:rsidRPr="00D14A60">
              <w:rPr>
                <w:rFonts w:ascii="Century Gothic" w:eastAsia="Times New Roman" w:hAnsi="Century Gothic"/>
                <w:color w:val="000000" w:themeColor="text1"/>
                <w:szCs w:val="22"/>
              </w:rPr>
              <w:t xml:space="preserve"> </w:t>
            </w:r>
          </w:p>
        </w:tc>
        <w:tc>
          <w:tcPr>
            <w:tcW w:w="2745" w:type="dxa"/>
            <w:gridSpan w:val="2"/>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7833EA64" w14:textId="08457C4C" w:rsidR="7AE49448" w:rsidRPr="00D14A60" w:rsidRDefault="629D39EA" w:rsidP="4EC18A89">
            <w:pPr>
              <w:jc w:val="center"/>
              <w:rPr>
                <w:rFonts w:ascii="Century Gothic" w:eastAsia="Times New Roman" w:hAnsi="Century Gothic"/>
                <w:color w:val="000000" w:themeColor="text1"/>
                <w:szCs w:val="22"/>
              </w:rPr>
            </w:pPr>
            <w:r w:rsidRPr="00D14A60">
              <w:rPr>
                <w:rFonts w:ascii="Century Gothic" w:eastAsia="Times New Roman" w:hAnsi="Century Gothic"/>
                <w:b/>
                <w:bCs/>
                <w:color w:val="000000" w:themeColor="text1"/>
                <w:szCs w:val="22"/>
              </w:rPr>
              <w:t>Outcome</w:t>
            </w:r>
            <w:r w:rsidRPr="00D14A60">
              <w:rPr>
                <w:rFonts w:ascii="Century Gothic" w:eastAsia="Times New Roman" w:hAnsi="Century Gothic"/>
                <w:color w:val="000000" w:themeColor="text1"/>
                <w:szCs w:val="22"/>
              </w:rPr>
              <w:t xml:space="preserve"> </w:t>
            </w:r>
          </w:p>
        </w:tc>
        <w:tc>
          <w:tcPr>
            <w:tcW w:w="1550" w:type="dxa"/>
            <w:tcBorders>
              <w:top w:val="nil"/>
              <w:left w:val="nil"/>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264AE6BD" w14:textId="4D38FB67" w:rsidR="7AE49448" w:rsidRPr="00D14A60" w:rsidRDefault="629D39EA" w:rsidP="4EC18A89">
            <w:pPr>
              <w:jc w:val="center"/>
              <w:rPr>
                <w:rFonts w:ascii="Century Gothic" w:eastAsia="Times New Roman" w:hAnsi="Century Gothic"/>
                <w:color w:val="000000" w:themeColor="text1"/>
                <w:szCs w:val="22"/>
              </w:rPr>
            </w:pPr>
            <w:r w:rsidRPr="00D14A60">
              <w:rPr>
                <w:rFonts w:ascii="Century Gothic" w:eastAsia="Times New Roman" w:hAnsi="Century Gothic"/>
                <w:b/>
                <w:bCs/>
                <w:color w:val="000000" w:themeColor="text1"/>
                <w:szCs w:val="22"/>
              </w:rPr>
              <w:t>Benchmark Achieved?</w:t>
            </w:r>
            <w:r w:rsidRPr="00D14A60">
              <w:rPr>
                <w:rFonts w:ascii="Century Gothic" w:eastAsia="Times New Roman" w:hAnsi="Century Gothic"/>
                <w:color w:val="000000" w:themeColor="text1"/>
                <w:szCs w:val="22"/>
              </w:rPr>
              <w:t xml:space="preserve"> </w:t>
            </w:r>
          </w:p>
        </w:tc>
      </w:tr>
      <w:tr w:rsidR="7AE49448" w:rsidRPr="007E7E7E" w14:paraId="343292BB" w14:textId="77777777" w:rsidTr="414ED316">
        <w:trPr>
          <w:trHeight w:val="705"/>
        </w:trPr>
        <w:tc>
          <w:tcPr>
            <w:tcW w:w="210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F9D2F02" w14:textId="0CA8E49B"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Youth Engagement</w:t>
            </w:r>
          </w:p>
        </w:tc>
        <w:tc>
          <w:tcPr>
            <w:tcW w:w="1610" w:type="dxa"/>
            <w:gridSpan w:val="2"/>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6AA3839A" w14:textId="3B160A5B"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1,263</w:t>
            </w:r>
          </w:p>
        </w:tc>
        <w:tc>
          <w:tcPr>
            <w:tcW w:w="2050" w:type="dxa"/>
            <w:gridSpan w:val="2"/>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65E3E3D7" w14:textId="119F1AF1"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Steady Annual Increase  </w:t>
            </w:r>
          </w:p>
        </w:tc>
        <w:tc>
          <w:tcPr>
            <w:tcW w:w="2745" w:type="dxa"/>
            <w:gridSpan w:val="2"/>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7D5B5484" w14:textId="260C8E63" w:rsidR="5719007D" w:rsidRPr="00D14A60" w:rsidRDefault="36E0BC2B" w:rsidP="414ED316">
            <w:pPr>
              <w:rPr>
                <w:rFonts w:ascii="Century Gothic" w:eastAsia="Times New Roman" w:hAnsi="Century Gothic"/>
                <w:color w:val="000000" w:themeColor="text1"/>
              </w:rPr>
            </w:pPr>
            <w:r w:rsidRPr="00D14A60">
              <w:rPr>
                <w:rFonts w:ascii="Century Gothic" w:eastAsia="Times New Roman" w:hAnsi="Century Gothic"/>
                <w:color w:val="000000" w:themeColor="text1"/>
              </w:rPr>
              <w:t>2024</w:t>
            </w:r>
            <w:r w:rsidR="00350EA6" w:rsidRPr="00D14A60">
              <w:rPr>
                <w:rFonts w:ascii="Century Gothic" w:eastAsia="Times New Roman" w:hAnsi="Century Gothic"/>
                <w:color w:val="000000" w:themeColor="text1"/>
              </w:rPr>
              <w:t>:</w:t>
            </w:r>
            <w:r w:rsidR="63477C59" w:rsidRPr="00D14A60">
              <w:rPr>
                <w:rFonts w:ascii="Century Gothic" w:eastAsia="Times New Roman" w:hAnsi="Century Gothic"/>
                <w:color w:val="000000" w:themeColor="text1"/>
              </w:rPr>
              <w:t>1,8</w:t>
            </w:r>
            <w:r w:rsidR="194F219A" w:rsidRPr="414ED316">
              <w:rPr>
                <w:rFonts w:ascii="Century Gothic" w:eastAsia="Times New Roman" w:hAnsi="Century Gothic"/>
                <w:color w:val="000000" w:themeColor="text1"/>
              </w:rPr>
              <w:t>5</w:t>
            </w:r>
            <w:r w:rsidR="63477C59" w:rsidRPr="00D14A60">
              <w:rPr>
                <w:rFonts w:ascii="Century Gothic" w:eastAsia="Times New Roman" w:hAnsi="Century Gothic"/>
                <w:color w:val="000000" w:themeColor="text1"/>
              </w:rPr>
              <w:t xml:space="preserve">0 </w:t>
            </w:r>
            <w:r w:rsidR="00D14A60">
              <w:rPr>
                <w:rFonts w:ascii="Century Gothic" w:eastAsia="Times New Roman" w:hAnsi="Century Gothic"/>
                <w:color w:val="000000" w:themeColor="text1"/>
              </w:rPr>
              <w:t xml:space="preserve">- </w:t>
            </w:r>
            <w:r w:rsidR="60270ACA" w:rsidRPr="00D14A60">
              <w:rPr>
                <w:rFonts w:ascii="Century Gothic" w:eastAsia="Times New Roman" w:hAnsi="Century Gothic"/>
                <w:color w:val="000000" w:themeColor="text1"/>
              </w:rPr>
              <w:t>28.5</w:t>
            </w:r>
            <w:r w:rsidR="63477C59" w:rsidRPr="00D14A60">
              <w:rPr>
                <w:rFonts w:ascii="Century Gothic" w:eastAsia="Times New Roman" w:hAnsi="Century Gothic"/>
                <w:color w:val="000000" w:themeColor="text1"/>
              </w:rPr>
              <w:t>% increase</w:t>
            </w:r>
          </w:p>
          <w:p w14:paraId="711D89AC" w14:textId="3CE347B4" w:rsidR="1B4A8018" w:rsidRPr="00D14A60" w:rsidRDefault="01971277" w:rsidP="2CA740EE">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2023:1,662</w:t>
            </w:r>
            <w:r w:rsidR="0D4EF305" w:rsidRPr="00D14A60">
              <w:rPr>
                <w:rFonts w:ascii="Century Gothic" w:eastAsia="Times New Roman" w:hAnsi="Century Gothic"/>
                <w:color w:val="000000" w:themeColor="text1"/>
                <w:szCs w:val="22"/>
              </w:rPr>
              <w:t>–</w:t>
            </w:r>
            <w:r w:rsidR="3948E57B" w:rsidRPr="00D14A60">
              <w:rPr>
                <w:rFonts w:ascii="Century Gothic" w:eastAsia="Times New Roman" w:hAnsi="Century Gothic"/>
                <w:color w:val="000000" w:themeColor="text1"/>
                <w:szCs w:val="22"/>
              </w:rPr>
              <w:t>17</w:t>
            </w:r>
            <w:r w:rsidR="0D4EF305" w:rsidRPr="00D14A60">
              <w:rPr>
                <w:rFonts w:ascii="Century Gothic" w:eastAsia="Times New Roman" w:hAnsi="Century Gothic"/>
                <w:color w:val="000000" w:themeColor="text1"/>
                <w:szCs w:val="22"/>
              </w:rPr>
              <w:t>%</w:t>
            </w:r>
            <w:r w:rsidR="25C82624" w:rsidRPr="00D14A60">
              <w:rPr>
                <w:rFonts w:ascii="Century Gothic" w:eastAsia="Times New Roman" w:hAnsi="Century Gothic"/>
                <w:color w:val="000000" w:themeColor="text1"/>
                <w:szCs w:val="22"/>
              </w:rPr>
              <w:t xml:space="preserve"> increase</w:t>
            </w:r>
          </w:p>
          <w:p w14:paraId="1B2E8B1E" w14:textId="1415E043" w:rsidR="1B4A8018" w:rsidRPr="00D14A60" w:rsidRDefault="44D4E620" w:rsidP="35B498EC">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2022: 1,424 – </w:t>
            </w:r>
            <w:r w:rsidR="2161CD3C" w:rsidRPr="00D14A60">
              <w:rPr>
                <w:rFonts w:ascii="Century Gothic" w:eastAsia="Times New Roman" w:hAnsi="Century Gothic"/>
                <w:color w:val="000000" w:themeColor="text1"/>
                <w:szCs w:val="22"/>
              </w:rPr>
              <w:t>5</w:t>
            </w:r>
            <w:r w:rsidR="4DDF8AE6" w:rsidRPr="00D14A60">
              <w:rPr>
                <w:rFonts w:ascii="Century Gothic" w:eastAsia="Times New Roman" w:hAnsi="Century Gothic"/>
                <w:color w:val="000000" w:themeColor="text1"/>
                <w:szCs w:val="22"/>
              </w:rPr>
              <w:t>%</w:t>
            </w:r>
            <w:r w:rsidRPr="00D14A60">
              <w:rPr>
                <w:rFonts w:ascii="Century Gothic" w:eastAsia="Times New Roman" w:hAnsi="Century Gothic"/>
                <w:color w:val="000000" w:themeColor="text1"/>
                <w:szCs w:val="22"/>
              </w:rPr>
              <w:t xml:space="preserve"> increase </w:t>
            </w:r>
          </w:p>
          <w:p w14:paraId="7290C9FE" w14:textId="7A6A85AA" w:rsidR="7AE49448" w:rsidRPr="00D14A60" w:rsidRDefault="1A400EE6" w:rsidP="35B498EC">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2021</w:t>
            </w:r>
            <w:r w:rsidR="00404A39" w:rsidRPr="00D14A60">
              <w:rPr>
                <w:rFonts w:ascii="Century Gothic" w:eastAsia="Times New Roman" w:hAnsi="Century Gothic"/>
                <w:color w:val="000000" w:themeColor="text1"/>
                <w:szCs w:val="22"/>
              </w:rPr>
              <w:t>: 1,351</w:t>
            </w:r>
            <w:r w:rsidRPr="00D14A60">
              <w:rPr>
                <w:rFonts w:ascii="Century Gothic" w:eastAsia="Times New Roman" w:hAnsi="Century Gothic"/>
                <w:color w:val="000000" w:themeColor="text1"/>
                <w:szCs w:val="22"/>
              </w:rPr>
              <w:t xml:space="preserve"> -7 % increase </w:t>
            </w:r>
          </w:p>
          <w:p w14:paraId="6A038C95" w14:textId="54521A03"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2020: 1263</w:t>
            </w:r>
          </w:p>
        </w:tc>
        <w:tc>
          <w:tcPr>
            <w:tcW w:w="155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540A3E64" w14:textId="16E4D3A6"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Yes</w:t>
            </w:r>
          </w:p>
        </w:tc>
      </w:tr>
      <w:tr w:rsidR="7AE49448" w:rsidRPr="007E7E7E" w14:paraId="41DD27B8" w14:textId="77777777" w:rsidTr="414ED316">
        <w:trPr>
          <w:trHeight w:val="390"/>
        </w:trPr>
        <w:tc>
          <w:tcPr>
            <w:tcW w:w="10064" w:type="dxa"/>
            <w:gridSpan w:val="9"/>
            <w:tcBorders>
              <w:top w:val="single" w:sz="8" w:space="0" w:color="D9D9D9" w:themeColor="background1" w:themeShade="D9"/>
              <w:left w:val="single" w:sz="8" w:space="0" w:color="D9D9D9" w:themeColor="background1" w:themeShade="D9"/>
              <w:bottom w:val="single" w:sz="24" w:space="0" w:color="C00000"/>
              <w:right w:val="single" w:sz="8" w:space="0" w:color="D9D9D9" w:themeColor="background1" w:themeShade="D9"/>
            </w:tcBorders>
            <w:shd w:val="clear" w:color="auto" w:fill="808080" w:themeFill="background1" w:themeFillShade="80"/>
          </w:tcPr>
          <w:p w14:paraId="5A18DFC9" w14:textId="73A8BAFF" w:rsidR="7AE49448" w:rsidRPr="00D14A60" w:rsidRDefault="629D39EA" w:rsidP="4EC18A89">
            <w:pPr>
              <w:jc w:val="center"/>
              <w:rPr>
                <w:rFonts w:ascii="Century Gothic" w:eastAsia="Times New Roman" w:hAnsi="Century Gothic"/>
                <w:color w:val="000000" w:themeColor="text1"/>
                <w:szCs w:val="22"/>
              </w:rPr>
            </w:pPr>
            <w:r w:rsidRPr="00D14A60">
              <w:rPr>
                <w:rFonts w:ascii="Century Gothic" w:eastAsia="Times New Roman" w:hAnsi="Century Gothic"/>
                <w:b/>
                <w:bCs/>
                <w:color w:val="000000" w:themeColor="text1"/>
                <w:szCs w:val="22"/>
              </w:rPr>
              <w:t>Academics</w:t>
            </w:r>
            <w:r w:rsidRPr="00D14A60">
              <w:rPr>
                <w:rFonts w:ascii="Century Gothic" w:eastAsia="Times New Roman" w:hAnsi="Century Gothic"/>
                <w:color w:val="000000" w:themeColor="text1"/>
                <w:szCs w:val="22"/>
              </w:rPr>
              <w:t xml:space="preserve"> </w:t>
            </w:r>
          </w:p>
        </w:tc>
      </w:tr>
      <w:tr w:rsidR="7AE49448" w:rsidRPr="007E7E7E" w14:paraId="0E7E82F8" w14:textId="77777777" w:rsidTr="414ED316">
        <w:trPr>
          <w:trHeight w:val="615"/>
        </w:trPr>
        <w:tc>
          <w:tcPr>
            <w:tcW w:w="2109" w:type="dxa"/>
            <w:gridSpan w:val="2"/>
            <w:tcBorders>
              <w:top w:val="single" w:sz="24" w:space="0" w:color="C00000"/>
              <w:left w:val="single" w:sz="8" w:space="0" w:color="D9D9D9" w:themeColor="background1" w:themeShade="D9"/>
              <w:bottom w:val="single" w:sz="8" w:space="0" w:color="D9D9D9" w:themeColor="background1" w:themeShade="D9"/>
              <w:right w:val="single" w:sz="8" w:space="0" w:color="D9D9D9" w:themeColor="background1" w:themeShade="D9"/>
            </w:tcBorders>
          </w:tcPr>
          <w:p w14:paraId="3D1CBB0F" w14:textId="3DA1714F"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School Attendance </w:t>
            </w:r>
          </w:p>
        </w:tc>
        <w:tc>
          <w:tcPr>
            <w:tcW w:w="1610" w:type="dxa"/>
            <w:gridSpan w:val="2"/>
            <w:tcBorders>
              <w:top w:val="nil"/>
              <w:left w:val="nil"/>
              <w:bottom w:val="single" w:sz="8" w:space="0" w:color="D9D9D9" w:themeColor="background1" w:themeShade="D9"/>
              <w:right w:val="single" w:sz="8" w:space="0" w:color="D9D9D9" w:themeColor="background1" w:themeShade="D9"/>
            </w:tcBorders>
          </w:tcPr>
          <w:p w14:paraId="6DF80511" w14:textId="5B77C67D"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N/A</w:t>
            </w:r>
          </w:p>
        </w:tc>
        <w:tc>
          <w:tcPr>
            <w:tcW w:w="2050" w:type="dxa"/>
            <w:gridSpan w:val="2"/>
            <w:tcBorders>
              <w:top w:val="nil"/>
              <w:left w:val="nil"/>
              <w:bottom w:val="single" w:sz="8" w:space="0" w:color="D9D9D9" w:themeColor="background1" w:themeShade="D9"/>
              <w:right w:val="single" w:sz="8" w:space="0" w:color="D9D9D9" w:themeColor="background1" w:themeShade="D9"/>
            </w:tcBorders>
          </w:tcPr>
          <w:p w14:paraId="096A5DCD" w14:textId="0CD9F206"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Steady annual increase  </w:t>
            </w:r>
          </w:p>
        </w:tc>
        <w:tc>
          <w:tcPr>
            <w:tcW w:w="2745" w:type="dxa"/>
            <w:gridSpan w:val="2"/>
            <w:tcBorders>
              <w:top w:val="nil"/>
              <w:left w:val="nil"/>
              <w:bottom w:val="single" w:sz="8" w:space="0" w:color="D9D9D9" w:themeColor="background1" w:themeShade="D9"/>
              <w:right w:val="single" w:sz="8" w:space="0" w:color="D9D9D9" w:themeColor="background1" w:themeShade="D9"/>
            </w:tcBorders>
          </w:tcPr>
          <w:p w14:paraId="130CD677" w14:textId="77777777" w:rsidR="00D14A60" w:rsidRDefault="06C6CD64" w:rsidP="00D14A60">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w:t>
            </w:r>
            <w:r w:rsidR="30FDD529" w:rsidRPr="00D14A60">
              <w:rPr>
                <w:rFonts w:ascii="Century Gothic" w:eastAsia="Times New Roman" w:hAnsi="Century Gothic"/>
                <w:color w:val="000000" w:themeColor="text1"/>
                <w:szCs w:val="22"/>
              </w:rPr>
              <w:t>4</w:t>
            </w:r>
            <w:r w:rsidRPr="00D14A60">
              <w:rPr>
                <w:rFonts w:ascii="Century Gothic" w:eastAsia="Times New Roman" w:hAnsi="Century Gothic"/>
                <w:color w:val="000000" w:themeColor="text1"/>
                <w:szCs w:val="22"/>
              </w:rPr>
              <w:t>:</w:t>
            </w:r>
            <w:r w:rsidR="3CB21FA6" w:rsidRPr="00D14A60">
              <w:rPr>
                <w:rFonts w:ascii="Century Gothic" w:eastAsia="Times New Roman" w:hAnsi="Century Gothic"/>
                <w:szCs w:val="22"/>
                <w:lang w:val="en"/>
              </w:rPr>
              <w:t xml:space="preserve"> </w:t>
            </w:r>
            <w:r w:rsidR="00D14A60" w:rsidRPr="00D14A60">
              <w:rPr>
                <w:rFonts w:ascii="Century Gothic" w:eastAsia="Times New Roman" w:hAnsi="Century Gothic"/>
                <w:color w:val="000000" w:themeColor="text1"/>
                <w:szCs w:val="22"/>
              </w:rPr>
              <w:t xml:space="preserve">Cannot report; schools did not provide data </w:t>
            </w:r>
          </w:p>
          <w:p w14:paraId="3B4FEC66" w14:textId="6E8C5D2F" w:rsidR="6E4E8F41" w:rsidRPr="00D14A60" w:rsidRDefault="6E4E8F41" w:rsidP="19B38EFC">
            <w:pPr>
              <w:rPr>
                <w:rFonts w:ascii="Century Gothic" w:eastAsia="Times New Roman" w:hAnsi="Century Gothic"/>
                <w:szCs w:val="22"/>
                <w:lang w:val="en"/>
              </w:rPr>
            </w:pPr>
          </w:p>
          <w:p w14:paraId="4713A5C9" w14:textId="77777777" w:rsidR="00D14A60" w:rsidRDefault="6A4AB9D1" w:rsidP="35B498EC">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2023: Cannot report; schools did not provide data </w:t>
            </w:r>
          </w:p>
          <w:p w14:paraId="5B3631D9" w14:textId="4149CB93" w:rsidR="1B4A8018" w:rsidRPr="00D14A60" w:rsidRDefault="44D4E620" w:rsidP="35B498EC">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2022: Cannot report; schools did not provide data</w:t>
            </w:r>
          </w:p>
          <w:p w14:paraId="7BE8AAA8" w14:textId="512D7B46"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2021: Cannot report; schools did not provide usable grades </w:t>
            </w:r>
          </w:p>
          <w:p w14:paraId="07485290" w14:textId="1CDAB74A"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2020: Cannot report; schools did not provide usable grades </w:t>
            </w:r>
          </w:p>
        </w:tc>
        <w:tc>
          <w:tcPr>
            <w:tcW w:w="1550" w:type="dxa"/>
            <w:tcBorders>
              <w:top w:val="nil"/>
              <w:left w:val="nil"/>
              <w:bottom w:val="single" w:sz="8" w:space="0" w:color="D9D9D9" w:themeColor="background1" w:themeShade="D9"/>
              <w:right w:val="single" w:sz="8" w:space="0" w:color="D9D9D9" w:themeColor="background1" w:themeShade="D9"/>
            </w:tcBorders>
          </w:tcPr>
          <w:p w14:paraId="17955332" w14:textId="5C7015C7"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N/A</w:t>
            </w:r>
          </w:p>
        </w:tc>
      </w:tr>
      <w:tr w:rsidR="7AE49448" w:rsidRPr="007E7E7E" w14:paraId="442FDC17" w14:textId="77777777" w:rsidTr="414ED316">
        <w:trPr>
          <w:trHeight w:val="615"/>
        </w:trPr>
        <w:tc>
          <w:tcPr>
            <w:tcW w:w="210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AD7A4B4" w14:textId="53B3F691"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Academic Achievement</w:t>
            </w:r>
          </w:p>
          <w:p w14:paraId="0E328B50" w14:textId="48EA3C50"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GPA/ D&amp;F’s</w:t>
            </w:r>
          </w:p>
        </w:tc>
        <w:tc>
          <w:tcPr>
            <w:tcW w:w="1610" w:type="dxa"/>
            <w:gridSpan w:val="2"/>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428D8207" w14:textId="73EC0B8F"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N/A</w:t>
            </w:r>
          </w:p>
        </w:tc>
        <w:tc>
          <w:tcPr>
            <w:tcW w:w="2050" w:type="dxa"/>
            <w:gridSpan w:val="2"/>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2B155A6A" w14:textId="40B3D4F8" w:rsidR="7AE49448" w:rsidRPr="00D14A60" w:rsidRDefault="629D39EA" w:rsidP="4EC18A89">
            <w:pPr>
              <w:rPr>
                <w:rFonts w:ascii="Century Gothic" w:eastAsia="Times New Roman" w:hAnsi="Century Gothic"/>
                <w:szCs w:val="22"/>
              </w:rPr>
            </w:pPr>
            <w:r w:rsidRPr="00D14A60">
              <w:rPr>
                <w:rFonts w:ascii="Century Gothic" w:eastAsia="Times New Roman" w:hAnsi="Century Gothic"/>
                <w:color w:val="000000" w:themeColor="text1"/>
                <w:szCs w:val="22"/>
              </w:rPr>
              <w:t>St</w:t>
            </w:r>
            <w:r w:rsidRPr="00D14A60">
              <w:rPr>
                <w:rFonts w:ascii="Century Gothic" w:eastAsia="Times New Roman" w:hAnsi="Century Gothic"/>
                <w:szCs w:val="22"/>
              </w:rPr>
              <w:t>udents will increase GPA</w:t>
            </w:r>
          </w:p>
        </w:tc>
        <w:tc>
          <w:tcPr>
            <w:tcW w:w="2745" w:type="dxa"/>
            <w:gridSpan w:val="2"/>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5EA2ACEA" w14:textId="54644729" w:rsidR="00D14A60" w:rsidRDefault="5DF116C6" w:rsidP="00D14A60">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w:t>
            </w:r>
            <w:r w:rsidR="00D14A60">
              <w:rPr>
                <w:rFonts w:ascii="Century Gothic" w:eastAsia="Times New Roman" w:hAnsi="Century Gothic"/>
                <w:color w:val="000000" w:themeColor="text1"/>
                <w:szCs w:val="22"/>
              </w:rPr>
              <w:t>4</w:t>
            </w:r>
            <w:r w:rsidRPr="00D14A60">
              <w:rPr>
                <w:rFonts w:ascii="Century Gothic" w:eastAsia="Times New Roman" w:hAnsi="Century Gothic"/>
                <w:color w:val="000000" w:themeColor="text1"/>
                <w:szCs w:val="22"/>
              </w:rPr>
              <w:t>:</w:t>
            </w:r>
            <w:r w:rsidR="0688C84D" w:rsidRPr="00D14A60">
              <w:rPr>
                <w:rFonts w:ascii="Century Gothic" w:eastAsia="Times New Roman" w:hAnsi="Century Gothic"/>
                <w:szCs w:val="22"/>
                <w:lang w:val="en"/>
              </w:rPr>
              <w:t xml:space="preserve"> </w:t>
            </w:r>
            <w:r w:rsidR="00D14A60" w:rsidRPr="00D14A60">
              <w:rPr>
                <w:rFonts w:ascii="Century Gothic" w:eastAsia="Times New Roman" w:hAnsi="Century Gothic"/>
                <w:color w:val="000000" w:themeColor="text1"/>
                <w:szCs w:val="22"/>
              </w:rPr>
              <w:t xml:space="preserve">Cannot report; schools did not provide data </w:t>
            </w:r>
          </w:p>
          <w:p w14:paraId="34D51397" w14:textId="21D07F0D" w:rsidR="1ED73A0C" w:rsidRPr="00D14A60" w:rsidRDefault="1ED73A0C" w:rsidP="19B38EFC">
            <w:pPr>
              <w:rPr>
                <w:rFonts w:ascii="Century Gothic" w:eastAsia="Times New Roman" w:hAnsi="Century Gothic"/>
                <w:szCs w:val="22"/>
                <w:lang w:val="en"/>
              </w:rPr>
            </w:pPr>
          </w:p>
          <w:p w14:paraId="6FD2B3FE" w14:textId="0DB7762E" w:rsidR="59692639" w:rsidRPr="00D14A60" w:rsidRDefault="59692639" w:rsidP="35B498EC">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2023: Cannot report; schools did not provide data</w:t>
            </w:r>
          </w:p>
          <w:p w14:paraId="79A401BD" w14:textId="1769BE4A" w:rsidR="1B4A8018" w:rsidRPr="00D14A60" w:rsidRDefault="1B4A8018"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2022: Cannot report; schools did not provide data</w:t>
            </w:r>
          </w:p>
          <w:p w14:paraId="00B4131A" w14:textId="7E6C46C9"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2021: Cannot report; schools did not provide usable grades </w:t>
            </w:r>
          </w:p>
          <w:p w14:paraId="494C29DE" w14:textId="7CF5FC27"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2020: Cannot report; schools did not provide usable grades </w:t>
            </w:r>
          </w:p>
          <w:p w14:paraId="38D7DA4E" w14:textId="1CF87CF8" w:rsidR="7AE49448" w:rsidRPr="00D14A60" w:rsidRDefault="629D39EA" w:rsidP="4EC18A89">
            <w:pPr>
              <w:rPr>
                <w:rFonts w:ascii="Century Gothic" w:eastAsia="Times New Roman" w:hAnsi="Century Gothic"/>
                <w:szCs w:val="22"/>
              </w:rPr>
            </w:pPr>
            <w:r w:rsidRPr="00D14A60">
              <w:rPr>
                <w:rFonts w:ascii="Century Gothic" w:eastAsia="Times New Roman" w:hAnsi="Century Gothic"/>
                <w:szCs w:val="22"/>
              </w:rPr>
              <w:t xml:space="preserve"> </w:t>
            </w:r>
          </w:p>
        </w:tc>
        <w:tc>
          <w:tcPr>
            <w:tcW w:w="155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Pr>
          <w:p w14:paraId="5546380A" w14:textId="28B0E126"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N/A</w:t>
            </w:r>
          </w:p>
        </w:tc>
      </w:tr>
      <w:tr w:rsidR="7AE49448" w:rsidRPr="007E7E7E" w14:paraId="1A9C85A2" w14:textId="77777777" w:rsidTr="414ED316">
        <w:trPr>
          <w:trHeight w:val="390"/>
        </w:trPr>
        <w:tc>
          <w:tcPr>
            <w:tcW w:w="10064" w:type="dxa"/>
            <w:gridSpan w:val="9"/>
            <w:tcBorders>
              <w:top w:val="single" w:sz="8" w:space="0" w:color="D9D9D9" w:themeColor="background1" w:themeShade="D9"/>
              <w:left w:val="single" w:sz="8" w:space="0" w:color="D9D9D9" w:themeColor="background1" w:themeShade="D9"/>
              <w:bottom w:val="single" w:sz="24" w:space="0" w:color="C00000"/>
              <w:right w:val="single" w:sz="8" w:space="0" w:color="D9D9D9" w:themeColor="background1" w:themeShade="D9"/>
            </w:tcBorders>
            <w:shd w:val="clear" w:color="auto" w:fill="A6A6A6" w:themeFill="background1" w:themeFillShade="A6"/>
          </w:tcPr>
          <w:p w14:paraId="3D3DB433" w14:textId="4ECC5CA1" w:rsidR="7AE49448" w:rsidRPr="00D14A60" w:rsidRDefault="629D39EA" w:rsidP="4EC18A89">
            <w:pPr>
              <w:jc w:val="center"/>
              <w:rPr>
                <w:rFonts w:ascii="Century Gothic" w:eastAsia="Times New Roman" w:hAnsi="Century Gothic"/>
                <w:color w:val="000000" w:themeColor="text1"/>
                <w:szCs w:val="22"/>
              </w:rPr>
            </w:pPr>
            <w:r w:rsidRPr="00D14A60">
              <w:rPr>
                <w:rFonts w:ascii="Century Gothic" w:eastAsia="Times New Roman" w:hAnsi="Century Gothic"/>
                <w:b/>
                <w:bCs/>
                <w:color w:val="000000" w:themeColor="text1"/>
                <w:szCs w:val="22"/>
              </w:rPr>
              <w:t>Employment</w:t>
            </w:r>
            <w:r w:rsidRPr="00D14A60">
              <w:rPr>
                <w:rFonts w:ascii="Century Gothic" w:eastAsia="Times New Roman" w:hAnsi="Century Gothic"/>
                <w:color w:val="000000" w:themeColor="text1"/>
                <w:szCs w:val="22"/>
              </w:rPr>
              <w:t xml:space="preserve"> </w:t>
            </w:r>
          </w:p>
        </w:tc>
      </w:tr>
      <w:tr w:rsidR="7AE49448" w:rsidRPr="007E7E7E" w14:paraId="3D691CC8" w14:textId="77777777" w:rsidTr="414ED316">
        <w:trPr>
          <w:trHeight w:val="1215"/>
        </w:trPr>
        <w:tc>
          <w:tcPr>
            <w:tcW w:w="1873" w:type="dxa"/>
            <w:tcBorders>
              <w:top w:val="single" w:sz="24" w:space="0" w:color="C00000"/>
              <w:left w:val="single" w:sz="8" w:space="0" w:color="D9D9D9" w:themeColor="background1" w:themeShade="D9"/>
              <w:bottom w:val="single" w:sz="8" w:space="0" w:color="D9D9D9" w:themeColor="background1" w:themeShade="D9"/>
              <w:right w:val="single" w:sz="8" w:space="0" w:color="D9D9D9" w:themeColor="background1" w:themeShade="D9"/>
            </w:tcBorders>
          </w:tcPr>
          <w:p w14:paraId="3CAF4B46" w14:textId="587AA9E5"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lastRenderedPageBreak/>
              <w:t xml:space="preserve">Youth Employment </w:t>
            </w:r>
          </w:p>
        </w:tc>
        <w:tc>
          <w:tcPr>
            <w:tcW w:w="1610" w:type="dxa"/>
            <w:gridSpan w:val="2"/>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Pr>
          <w:p w14:paraId="34CB9BE4" w14:textId="2027968E"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65</w:t>
            </w:r>
          </w:p>
        </w:tc>
        <w:tc>
          <w:tcPr>
            <w:tcW w:w="2050" w:type="dxa"/>
            <w:gridSpan w:val="2"/>
            <w:tcBorders>
              <w:top w:val="nil"/>
              <w:left w:val="nil"/>
              <w:bottom w:val="single" w:sz="8" w:space="0" w:color="D9D9D9" w:themeColor="background1" w:themeShade="D9"/>
              <w:right w:val="single" w:sz="8" w:space="0" w:color="D9D9D9" w:themeColor="background1" w:themeShade="D9"/>
            </w:tcBorders>
          </w:tcPr>
          <w:p w14:paraId="4FA552A9" w14:textId="3CFA4196"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Steady Annual Increase</w:t>
            </w:r>
          </w:p>
        </w:tc>
        <w:tc>
          <w:tcPr>
            <w:tcW w:w="2636" w:type="dxa"/>
            <w:gridSpan w:val="2"/>
            <w:tcBorders>
              <w:top w:val="nil"/>
              <w:left w:val="nil"/>
              <w:bottom w:val="single" w:sz="8" w:space="0" w:color="D9D9D9" w:themeColor="background1" w:themeShade="D9"/>
              <w:right w:val="single" w:sz="8" w:space="0" w:color="D9D9D9" w:themeColor="background1" w:themeShade="D9"/>
            </w:tcBorders>
          </w:tcPr>
          <w:p w14:paraId="244BED5F" w14:textId="27210049" w:rsidR="3ECA6AC0" w:rsidRPr="00D14A60" w:rsidRDefault="5854C255" w:rsidP="2CA740EE">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2024: </w:t>
            </w:r>
            <w:r w:rsidR="43988E1C" w:rsidRPr="00D14A60">
              <w:rPr>
                <w:rFonts w:ascii="Century Gothic" w:eastAsia="Times New Roman" w:hAnsi="Century Gothic"/>
                <w:color w:val="000000" w:themeColor="text1"/>
                <w:szCs w:val="22"/>
              </w:rPr>
              <w:t>132</w:t>
            </w:r>
            <w:r w:rsidRPr="00D14A60">
              <w:rPr>
                <w:rFonts w:ascii="Century Gothic" w:eastAsia="Times New Roman" w:hAnsi="Century Gothic"/>
                <w:color w:val="000000" w:themeColor="text1"/>
                <w:szCs w:val="22"/>
              </w:rPr>
              <w:t xml:space="preserve"> </w:t>
            </w:r>
            <w:r w:rsidR="55EA2496" w:rsidRPr="00D14A60">
              <w:rPr>
                <w:rFonts w:ascii="Century Gothic" w:eastAsia="Times New Roman" w:hAnsi="Century Gothic"/>
                <w:color w:val="000000" w:themeColor="text1"/>
                <w:szCs w:val="22"/>
              </w:rPr>
              <w:t>(</w:t>
            </w:r>
            <w:r w:rsidR="3ABD8682" w:rsidRPr="00D14A60">
              <w:rPr>
                <w:rFonts w:ascii="Century Gothic" w:eastAsia="Times New Roman" w:hAnsi="Century Gothic"/>
                <w:color w:val="000000" w:themeColor="text1"/>
                <w:szCs w:val="22"/>
              </w:rPr>
              <w:t>50</w:t>
            </w:r>
            <w:r w:rsidR="55EA2496" w:rsidRPr="00D14A60">
              <w:rPr>
                <w:rFonts w:ascii="Century Gothic" w:eastAsia="Times New Roman" w:hAnsi="Century Gothic"/>
                <w:color w:val="000000" w:themeColor="text1"/>
                <w:szCs w:val="22"/>
              </w:rPr>
              <w:t>% increase)</w:t>
            </w:r>
          </w:p>
          <w:p w14:paraId="30D75C20" w14:textId="64FBDB2E" w:rsidR="2CA740EE" w:rsidRPr="00D14A60" w:rsidRDefault="55EA2496" w:rsidP="2CA740EE">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2023</w:t>
            </w:r>
            <w:r w:rsidR="5D38868A" w:rsidRPr="00D14A60">
              <w:rPr>
                <w:rFonts w:ascii="Century Gothic" w:eastAsia="Times New Roman" w:hAnsi="Century Gothic"/>
                <w:color w:val="000000" w:themeColor="text1"/>
                <w:szCs w:val="22"/>
              </w:rPr>
              <w:t>: 88</w:t>
            </w:r>
          </w:p>
          <w:p w14:paraId="45DD8CA1" w14:textId="19C18A37" w:rsidR="1B4A8018" w:rsidRPr="00D14A60" w:rsidRDefault="1B4A8018"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2022: 88 (27.5% increase)</w:t>
            </w:r>
          </w:p>
          <w:p w14:paraId="7FBF6ABE" w14:textId="2B59ACAA"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2021</w:t>
            </w:r>
            <w:r w:rsidR="00404A39" w:rsidRPr="00D14A60">
              <w:rPr>
                <w:rFonts w:ascii="Century Gothic" w:eastAsia="Times New Roman" w:hAnsi="Century Gothic"/>
                <w:color w:val="000000" w:themeColor="text1"/>
                <w:szCs w:val="22"/>
              </w:rPr>
              <w:t>: 69</w:t>
            </w:r>
            <w:r w:rsidRPr="00D14A60">
              <w:rPr>
                <w:rFonts w:ascii="Century Gothic" w:eastAsia="Times New Roman" w:hAnsi="Century Gothic"/>
                <w:color w:val="000000" w:themeColor="text1"/>
                <w:szCs w:val="22"/>
              </w:rPr>
              <w:t xml:space="preserve"> (6% increase)</w:t>
            </w:r>
          </w:p>
          <w:p w14:paraId="3BBDE02D" w14:textId="429530E7"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2020: 65</w:t>
            </w:r>
          </w:p>
        </w:tc>
        <w:tc>
          <w:tcPr>
            <w:tcW w:w="1895" w:type="dxa"/>
            <w:gridSpan w:val="2"/>
            <w:tcBorders>
              <w:top w:val="nil"/>
              <w:left w:val="nil"/>
              <w:bottom w:val="single" w:sz="8" w:space="0" w:color="D9D9D9" w:themeColor="background1" w:themeShade="D9"/>
              <w:right w:val="single" w:sz="8" w:space="0" w:color="D9D9D9" w:themeColor="background1" w:themeShade="D9"/>
            </w:tcBorders>
          </w:tcPr>
          <w:p w14:paraId="1630CC80" w14:textId="62C496B3"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Yes</w:t>
            </w:r>
          </w:p>
        </w:tc>
      </w:tr>
      <w:tr w:rsidR="7AE49448" w:rsidRPr="007E7E7E" w14:paraId="7F4C59B1" w14:textId="77777777" w:rsidTr="414ED316">
        <w:tc>
          <w:tcPr>
            <w:tcW w:w="1873" w:type="dxa"/>
            <w:tcBorders>
              <w:top w:val="single" w:sz="8" w:space="0" w:color="D9D9D9" w:themeColor="background1" w:themeShade="D9"/>
              <w:left w:val="nil"/>
              <w:bottom w:val="nil"/>
              <w:right w:val="nil"/>
            </w:tcBorders>
            <w:vAlign w:val="center"/>
          </w:tcPr>
          <w:p w14:paraId="455DEC04" w14:textId="32436AA6"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w:t>
            </w:r>
          </w:p>
        </w:tc>
        <w:tc>
          <w:tcPr>
            <w:tcW w:w="236" w:type="dxa"/>
            <w:tcBorders>
              <w:top w:val="single" w:sz="8" w:space="0" w:color="D9D9D9" w:themeColor="background1" w:themeShade="D9"/>
              <w:left w:val="nil"/>
              <w:bottom w:val="nil"/>
              <w:right w:val="nil"/>
            </w:tcBorders>
            <w:vAlign w:val="center"/>
          </w:tcPr>
          <w:p w14:paraId="0F8C2E2E" w14:textId="5077C110"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w:t>
            </w:r>
          </w:p>
        </w:tc>
        <w:tc>
          <w:tcPr>
            <w:tcW w:w="1374" w:type="dxa"/>
            <w:tcBorders>
              <w:top w:val="nil"/>
              <w:left w:val="nil"/>
              <w:bottom w:val="nil"/>
              <w:right w:val="nil"/>
            </w:tcBorders>
            <w:vAlign w:val="center"/>
          </w:tcPr>
          <w:p w14:paraId="670C800B" w14:textId="45768702"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w:t>
            </w:r>
          </w:p>
        </w:tc>
        <w:tc>
          <w:tcPr>
            <w:tcW w:w="236" w:type="dxa"/>
            <w:tcBorders>
              <w:top w:val="single" w:sz="8" w:space="0" w:color="D9D9D9" w:themeColor="background1" w:themeShade="D9"/>
              <w:left w:val="nil"/>
              <w:bottom w:val="nil"/>
              <w:right w:val="nil"/>
            </w:tcBorders>
            <w:vAlign w:val="center"/>
          </w:tcPr>
          <w:p w14:paraId="4F8E4255" w14:textId="66755463"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w:t>
            </w:r>
          </w:p>
        </w:tc>
        <w:tc>
          <w:tcPr>
            <w:tcW w:w="1814" w:type="dxa"/>
            <w:tcBorders>
              <w:top w:val="nil"/>
              <w:left w:val="nil"/>
              <w:bottom w:val="nil"/>
              <w:right w:val="nil"/>
            </w:tcBorders>
            <w:vAlign w:val="center"/>
          </w:tcPr>
          <w:p w14:paraId="05251E79" w14:textId="7402C8F3"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w:t>
            </w:r>
          </w:p>
        </w:tc>
        <w:tc>
          <w:tcPr>
            <w:tcW w:w="236" w:type="dxa"/>
            <w:tcBorders>
              <w:top w:val="single" w:sz="8" w:space="0" w:color="D9D9D9" w:themeColor="background1" w:themeShade="D9"/>
              <w:left w:val="nil"/>
              <w:bottom w:val="nil"/>
              <w:right w:val="nil"/>
            </w:tcBorders>
            <w:vAlign w:val="center"/>
          </w:tcPr>
          <w:p w14:paraId="698EC81C" w14:textId="15AA6BD8"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w:t>
            </w:r>
          </w:p>
        </w:tc>
        <w:tc>
          <w:tcPr>
            <w:tcW w:w="2400" w:type="dxa"/>
            <w:tcBorders>
              <w:top w:val="nil"/>
              <w:left w:val="nil"/>
              <w:bottom w:val="nil"/>
              <w:right w:val="nil"/>
            </w:tcBorders>
            <w:vAlign w:val="center"/>
          </w:tcPr>
          <w:p w14:paraId="7A20F408" w14:textId="44960A0B"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w:t>
            </w:r>
          </w:p>
        </w:tc>
        <w:tc>
          <w:tcPr>
            <w:tcW w:w="345" w:type="dxa"/>
            <w:tcBorders>
              <w:top w:val="single" w:sz="8" w:space="0" w:color="D9D9D9" w:themeColor="background1" w:themeShade="D9"/>
              <w:left w:val="nil"/>
              <w:bottom w:val="nil"/>
              <w:right w:val="nil"/>
            </w:tcBorders>
            <w:vAlign w:val="center"/>
          </w:tcPr>
          <w:p w14:paraId="46FE26E9" w14:textId="43CC7CD9"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w:t>
            </w:r>
          </w:p>
        </w:tc>
        <w:tc>
          <w:tcPr>
            <w:tcW w:w="1550" w:type="dxa"/>
            <w:tcBorders>
              <w:top w:val="nil"/>
              <w:left w:val="nil"/>
              <w:bottom w:val="nil"/>
              <w:right w:val="nil"/>
            </w:tcBorders>
            <w:vAlign w:val="center"/>
          </w:tcPr>
          <w:p w14:paraId="3744D1E6" w14:textId="4ABD0A77" w:rsidR="7AE49448" w:rsidRPr="00D14A60" w:rsidRDefault="629D39EA" w:rsidP="4EC18A89">
            <w:pPr>
              <w:rPr>
                <w:rFonts w:ascii="Century Gothic" w:eastAsia="Times New Roman" w:hAnsi="Century Gothic"/>
                <w:color w:val="000000" w:themeColor="text1"/>
                <w:szCs w:val="22"/>
              </w:rPr>
            </w:pPr>
            <w:r w:rsidRPr="00D14A60">
              <w:rPr>
                <w:rFonts w:ascii="Century Gothic" w:eastAsia="Times New Roman" w:hAnsi="Century Gothic"/>
                <w:color w:val="000000" w:themeColor="text1"/>
                <w:szCs w:val="22"/>
              </w:rPr>
              <w:t xml:space="preserve"> </w:t>
            </w:r>
          </w:p>
        </w:tc>
      </w:tr>
    </w:tbl>
    <w:p w14:paraId="1C89F23B" w14:textId="2CEFFF7A" w:rsidR="440C5A6C" w:rsidRPr="00D14A60" w:rsidRDefault="440C5A6C" w:rsidP="00502B7A">
      <w:pPr>
        <w:spacing w:line="257" w:lineRule="auto"/>
        <w:rPr>
          <w:rFonts w:ascii="Century Gothic" w:eastAsia="Times New Roman" w:hAnsi="Century Gothic"/>
          <w:b/>
          <w:bCs/>
          <w:color w:val="7F7F7F" w:themeColor="text1" w:themeTint="80"/>
          <w:szCs w:val="22"/>
        </w:rPr>
      </w:pPr>
      <w:r w:rsidRPr="00D14A60">
        <w:rPr>
          <w:rFonts w:ascii="Century Gothic" w:eastAsia="Times New Roman" w:hAnsi="Century Gothic"/>
          <w:szCs w:val="22"/>
        </w:rPr>
        <w:t xml:space="preserve"> </w:t>
      </w:r>
      <w:r w:rsidRPr="00D14A60">
        <w:rPr>
          <w:rFonts w:ascii="Century Gothic" w:eastAsia="Times New Roman" w:hAnsi="Century Gothic"/>
          <w:b/>
          <w:bCs/>
          <w:color w:val="808080" w:themeColor="background1" w:themeShade="80"/>
          <w:szCs w:val="22"/>
        </w:rPr>
        <w:t>Ac</w:t>
      </w:r>
      <w:r w:rsidRPr="00D14A60">
        <w:rPr>
          <w:rFonts w:ascii="Century Gothic" w:eastAsia="Times New Roman" w:hAnsi="Century Gothic"/>
          <w:b/>
          <w:bCs/>
          <w:color w:val="7F7F7F" w:themeColor="text1" w:themeTint="80"/>
          <w:szCs w:val="22"/>
        </w:rPr>
        <w:t xml:space="preserve">tual non-significant changes </w:t>
      </w:r>
    </w:p>
    <w:p w14:paraId="6EC4674F" w14:textId="613916E0" w:rsidR="440C5A6C" w:rsidRPr="00D14A60" w:rsidRDefault="440C5A6C" w:rsidP="4EC18A89">
      <w:pPr>
        <w:rPr>
          <w:rFonts w:ascii="Century Gothic" w:eastAsia="Times New Roman" w:hAnsi="Century Gothic"/>
          <w:szCs w:val="22"/>
        </w:rPr>
      </w:pPr>
      <w:r w:rsidRPr="00D14A60">
        <w:rPr>
          <w:rFonts w:ascii="Century Gothic" w:eastAsia="Times New Roman" w:hAnsi="Century Gothic"/>
          <w:szCs w:val="22"/>
        </w:rPr>
        <w:t xml:space="preserve">None. </w:t>
      </w:r>
    </w:p>
    <w:p w14:paraId="2307B480" w14:textId="37F5E6D5" w:rsidR="440C5A6C" w:rsidRPr="00D14A60" w:rsidRDefault="440C5A6C" w:rsidP="4EC18A89">
      <w:pPr>
        <w:rPr>
          <w:rFonts w:ascii="Century Gothic" w:eastAsia="Times New Roman" w:hAnsi="Century Gothic"/>
          <w:szCs w:val="22"/>
        </w:rPr>
      </w:pPr>
      <w:r w:rsidRPr="00D14A60">
        <w:rPr>
          <w:rFonts w:ascii="Century Gothic" w:eastAsia="Times New Roman" w:hAnsi="Century Gothic"/>
          <w:szCs w:val="22"/>
        </w:rPr>
        <w:t xml:space="preserve"> </w:t>
      </w:r>
    </w:p>
    <w:p w14:paraId="3284BCCE" w14:textId="019C4FE5" w:rsidR="440C5A6C" w:rsidRPr="00D14A60" w:rsidRDefault="440C5A6C" w:rsidP="4EC18A89">
      <w:pPr>
        <w:rPr>
          <w:rFonts w:ascii="Century Gothic" w:eastAsia="Times New Roman" w:hAnsi="Century Gothic"/>
          <w:szCs w:val="22"/>
        </w:rPr>
      </w:pPr>
    </w:p>
    <w:p w14:paraId="5D850FA9" w14:textId="1E4F0B88" w:rsidR="440C5A6C" w:rsidRPr="00D14A60" w:rsidRDefault="440C5A6C" w:rsidP="4EC18A89">
      <w:pPr>
        <w:pStyle w:val="Heading4"/>
        <w:rPr>
          <w:rFonts w:ascii="Century Gothic" w:eastAsia="Times New Roman" w:hAnsi="Century Gothic" w:cs="Times New Roman"/>
        </w:rPr>
      </w:pPr>
      <w:r w:rsidRPr="00D14A60">
        <w:rPr>
          <w:rFonts w:ascii="Century Gothic" w:eastAsia="Times New Roman" w:hAnsi="Century Gothic" w:cs="Times New Roman"/>
        </w:rPr>
        <w:t xml:space="preserve">Actual significant changes </w:t>
      </w:r>
    </w:p>
    <w:p w14:paraId="6D98F16F" w14:textId="7D08801A" w:rsidR="440C5A6C" w:rsidRPr="00D14A60" w:rsidRDefault="440C5A6C" w:rsidP="4EC18A89">
      <w:pPr>
        <w:rPr>
          <w:rFonts w:ascii="Century Gothic" w:eastAsia="Times New Roman" w:hAnsi="Century Gothic"/>
          <w:szCs w:val="22"/>
        </w:rPr>
      </w:pPr>
      <w:r w:rsidRPr="00D14A60">
        <w:rPr>
          <w:rFonts w:ascii="Century Gothic" w:eastAsia="Times New Roman" w:hAnsi="Century Gothic"/>
          <w:szCs w:val="22"/>
        </w:rPr>
        <w:t xml:space="preserve">None. </w:t>
      </w:r>
    </w:p>
    <w:p w14:paraId="08E2D49B" w14:textId="35575E0E" w:rsidR="440C5A6C" w:rsidRPr="00D14A60" w:rsidRDefault="440C5A6C" w:rsidP="4EC18A89">
      <w:pPr>
        <w:rPr>
          <w:rFonts w:ascii="Century Gothic" w:eastAsia="Times New Roman" w:hAnsi="Century Gothic"/>
          <w:szCs w:val="22"/>
        </w:rPr>
      </w:pPr>
      <w:r w:rsidRPr="00D14A60">
        <w:rPr>
          <w:rFonts w:ascii="Century Gothic" w:eastAsia="Times New Roman" w:hAnsi="Century Gothic"/>
          <w:szCs w:val="22"/>
        </w:rPr>
        <w:t xml:space="preserve"> </w:t>
      </w:r>
    </w:p>
    <w:bookmarkEnd w:id="182"/>
    <w:p w14:paraId="096E8341" w14:textId="676D4A1C" w:rsidR="52E98CF8" w:rsidRDefault="52E98CF8" w:rsidP="655A2699">
      <w:pPr>
        <w:tabs>
          <w:tab w:val="left" w:pos="1350"/>
        </w:tabs>
        <w:spacing w:before="240" w:after="160"/>
        <w:rPr>
          <w:rFonts w:eastAsia="MS PGothic"/>
        </w:rPr>
      </w:pPr>
    </w:p>
    <w:p w14:paraId="0C3315CF" w14:textId="77777777" w:rsidR="006B5206" w:rsidRDefault="006B5206" w:rsidP="655A2699">
      <w:pPr>
        <w:tabs>
          <w:tab w:val="left" w:pos="1350"/>
        </w:tabs>
        <w:spacing w:before="240" w:after="160"/>
        <w:rPr>
          <w:rFonts w:eastAsia="MS PGothic"/>
        </w:rPr>
      </w:pPr>
    </w:p>
    <w:p w14:paraId="6F1CFAB0" w14:textId="77777777" w:rsidR="006B5206" w:rsidRDefault="006B5206" w:rsidP="655A2699">
      <w:pPr>
        <w:tabs>
          <w:tab w:val="left" w:pos="1350"/>
        </w:tabs>
        <w:spacing w:before="240" w:after="160"/>
        <w:rPr>
          <w:rFonts w:eastAsia="MS PGothic"/>
        </w:rPr>
      </w:pPr>
    </w:p>
    <w:p w14:paraId="75494AFB" w14:textId="376D2D49" w:rsidR="00404A39" w:rsidRDefault="00404A39" w:rsidP="655A2699">
      <w:pPr>
        <w:tabs>
          <w:tab w:val="left" w:pos="1350"/>
        </w:tabs>
        <w:spacing w:before="240" w:after="160"/>
        <w:rPr>
          <w:rFonts w:eastAsia="MS PGothic"/>
        </w:rPr>
      </w:pPr>
      <w:r>
        <w:rPr>
          <w:rFonts w:eastAsia="MS PGothic"/>
        </w:rPr>
        <w:br w:type="page"/>
      </w:r>
    </w:p>
    <w:p w14:paraId="4AF6C643" w14:textId="4F42904D" w:rsidR="00390A44" w:rsidRDefault="00390A44" w:rsidP="00390A44">
      <w:pPr>
        <w:rPr>
          <w:rFonts w:ascii="Century Gothic" w:eastAsia="Franklin Gothic Book" w:hAnsi="Century Gothic"/>
          <w:b/>
          <w:bCs/>
        </w:rPr>
      </w:pPr>
      <w:r w:rsidRPr="00DF3219">
        <w:rPr>
          <w:rFonts w:ascii="Century Gothic" w:eastAsia="Franklin Gothic Book" w:hAnsi="Century Gothic"/>
          <w:b/>
          <w:bCs/>
        </w:rPr>
        <w:lastRenderedPageBreak/>
        <w:t xml:space="preserve">Initiative </w:t>
      </w:r>
      <w:r>
        <w:rPr>
          <w:rFonts w:ascii="Century Gothic" w:eastAsia="Franklin Gothic Book" w:hAnsi="Century Gothic"/>
          <w:b/>
          <w:bCs/>
        </w:rPr>
        <w:t xml:space="preserve">2.13F </w:t>
      </w:r>
      <w:r w:rsidRPr="00DF3219">
        <w:rPr>
          <w:rFonts w:ascii="Century Gothic" w:eastAsia="Franklin Gothic Book" w:hAnsi="Century Gothic"/>
          <w:b/>
          <w:bCs/>
        </w:rPr>
        <w:t>Sponsored Based Housing Program (SBHP</w:t>
      </w:r>
      <w:r w:rsidR="00281052" w:rsidRPr="00DF3219">
        <w:rPr>
          <w:rFonts w:ascii="Century Gothic" w:eastAsia="Franklin Gothic Book" w:hAnsi="Century Gothic"/>
          <w:b/>
          <w:bCs/>
        </w:rPr>
        <w:t>)</w:t>
      </w:r>
      <w:r w:rsidR="00281052">
        <w:rPr>
          <w:rFonts w:ascii="Century Gothic" w:eastAsia="Franklin Gothic Book" w:hAnsi="Century Gothic"/>
          <w:b/>
          <w:bCs/>
        </w:rPr>
        <w:t xml:space="preserve"> (</w:t>
      </w:r>
      <w:r>
        <w:rPr>
          <w:rFonts w:ascii="Century Gothic" w:eastAsia="Franklin Gothic Book" w:hAnsi="Century Gothic"/>
          <w:b/>
          <w:bCs/>
        </w:rPr>
        <w:t>Previously 4.11F)</w:t>
      </w:r>
    </w:p>
    <w:p w14:paraId="6A5F3E82" w14:textId="77777777" w:rsidR="00FE5C24" w:rsidRPr="00DF3219" w:rsidRDefault="00FE5C24" w:rsidP="00390A44">
      <w:pPr>
        <w:rPr>
          <w:rFonts w:ascii="Century Gothic" w:eastAsia="Franklin Gothic Book" w:hAnsi="Century Gothic"/>
          <w:b/>
          <w:bCs/>
        </w:rPr>
      </w:pPr>
    </w:p>
    <w:p w14:paraId="7820C7E9" w14:textId="187F5661" w:rsidR="00390A44" w:rsidRPr="00DF3219" w:rsidRDefault="00390A44" w:rsidP="00390A44">
      <w:pPr>
        <w:rPr>
          <w:rFonts w:ascii="Century Gothic" w:eastAsia="Franklin Gothic Book" w:hAnsi="Century Gothic"/>
        </w:rPr>
      </w:pPr>
      <w:r w:rsidRPr="00DF3219">
        <w:rPr>
          <w:rFonts w:ascii="Century Gothic" w:eastAsia="Franklin Gothic Book" w:hAnsi="Century Gothic"/>
        </w:rPr>
        <w:t>Approved and implemented in FY2023</w:t>
      </w:r>
    </w:p>
    <w:p w14:paraId="1568DE0C" w14:textId="62EDED32" w:rsidR="00390A44" w:rsidRPr="00DF3219" w:rsidRDefault="00390A44" w:rsidP="00390A44">
      <w:pPr>
        <w:rPr>
          <w:rFonts w:ascii="Century Gothic" w:eastAsia="Franklin Gothic Book" w:hAnsi="Century Gothic"/>
          <w:b/>
          <w:bCs/>
        </w:rPr>
      </w:pPr>
      <w:r w:rsidRPr="00DF3219">
        <w:rPr>
          <w:rFonts w:ascii="Century Gothic" w:eastAsia="Franklin Gothic Book" w:hAnsi="Century Gothic"/>
          <w:b/>
          <w:bCs/>
        </w:rPr>
        <w:t xml:space="preserve"> </w:t>
      </w:r>
    </w:p>
    <w:p w14:paraId="731B3A96" w14:textId="29F03036" w:rsidR="00390A44" w:rsidRPr="00DF3219" w:rsidRDefault="00390A44" w:rsidP="00390A44">
      <w:pPr>
        <w:rPr>
          <w:rFonts w:ascii="Century Gothic" w:eastAsia="Franklin Gothic Book" w:hAnsi="Century Gothic"/>
          <w:b/>
          <w:bCs/>
          <w:color w:val="000000" w:themeColor="text1"/>
        </w:rPr>
      </w:pPr>
      <w:r w:rsidRPr="00DF3219">
        <w:rPr>
          <w:rFonts w:ascii="Century Gothic" w:eastAsia="Franklin Gothic Book" w:hAnsi="Century Gothic"/>
          <w:b/>
          <w:bCs/>
          <w:color w:val="000000" w:themeColor="text1"/>
        </w:rPr>
        <w:t>Description</w:t>
      </w:r>
    </w:p>
    <w:p w14:paraId="76A39096" w14:textId="15FFA936" w:rsidR="00390A44" w:rsidRPr="00DF3219" w:rsidRDefault="00390A44" w:rsidP="00390A44">
      <w:pPr>
        <w:rPr>
          <w:rFonts w:ascii="Century Gothic" w:eastAsia="Franklin Gothic Book" w:hAnsi="Century Gothic"/>
          <w:b/>
          <w:bCs/>
          <w:color w:val="000000" w:themeColor="text1"/>
        </w:rPr>
      </w:pPr>
    </w:p>
    <w:p w14:paraId="7BEED3AF" w14:textId="2147BAC1" w:rsidR="00390A44" w:rsidRDefault="00390A44" w:rsidP="00390A44">
      <w:pPr>
        <w:spacing w:line="257" w:lineRule="auto"/>
        <w:rPr>
          <w:rFonts w:ascii="Century Gothic" w:eastAsia="Calibri" w:hAnsi="Century Gothic"/>
        </w:rPr>
      </w:pPr>
      <w:r w:rsidRPr="00DF3219">
        <w:rPr>
          <w:rFonts w:ascii="Century Gothic" w:eastAsia="Calibri" w:hAnsi="Century Gothic"/>
        </w:rPr>
        <w:t xml:space="preserve">According to the HUD, 2020 Annual Homeless Assessment Report (AHAR) to Congress, approximately 34,000 people under the age of 25, experienced homelessness on their own as an “unaccompanied youth” and 90% of them were young adults, between the ages of 18 and 24.   </w:t>
      </w:r>
    </w:p>
    <w:p w14:paraId="143BD0E5" w14:textId="41141B80" w:rsidR="00390A44" w:rsidRDefault="00390A44" w:rsidP="00390A44">
      <w:pPr>
        <w:spacing w:line="257" w:lineRule="auto"/>
        <w:rPr>
          <w:rFonts w:ascii="Century Gothic" w:eastAsia="Calibri" w:hAnsi="Century Gothic"/>
        </w:rPr>
      </w:pPr>
    </w:p>
    <w:p w14:paraId="55C99F75" w14:textId="30EE9CBC" w:rsidR="00390A44" w:rsidRPr="00DF3219" w:rsidRDefault="00390A44" w:rsidP="00390A44">
      <w:pPr>
        <w:spacing w:line="257" w:lineRule="auto"/>
        <w:rPr>
          <w:rFonts w:ascii="Century Gothic" w:eastAsia="Calibri" w:hAnsi="Century Gothic"/>
        </w:rPr>
      </w:pPr>
      <w:r w:rsidRPr="00DF3219">
        <w:rPr>
          <w:rFonts w:ascii="Century Gothic" w:eastAsia="Calibri" w:hAnsi="Century Gothic"/>
        </w:rPr>
        <w:t>In Connecticut, on any given day, approximately 150 young adults, between the ages of 18-</w:t>
      </w:r>
      <w:proofErr w:type="gramStart"/>
      <w:r w:rsidRPr="00DF3219">
        <w:rPr>
          <w:rFonts w:ascii="Century Gothic" w:eastAsia="Calibri" w:hAnsi="Century Gothic"/>
        </w:rPr>
        <w:t>24</w:t>
      </w:r>
      <w:proofErr w:type="gramEnd"/>
      <w:r w:rsidRPr="00DF3219">
        <w:rPr>
          <w:rFonts w:ascii="Century Gothic" w:eastAsia="Calibri" w:hAnsi="Century Gothic"/>
        </w:rPr>
        <w:t xml:space="preserve"> are experiencing homelessness. </w:t>
      </w:r>
    </w:p>
    <w:p w14:paraId="32F7232C" w14:textId="11B54198" w:rsidR="00390A44" w:rsidRPr="009C6CD2" w:rsidRDefault="00390A44" w:rsidP="00390A44">
      <w:pPr>
        <w:spacing w:line="257" w:lineRule="auto"/>
        <w:rPr>
          <w:rFonts w:ascii="Century Gothic" w:eastAsia="Calibri" w:hAnsi="Century Gothic"/>
          <w:sz w:val="18"/>
          <w:szCs w:val="18"/>
        </w:rPr>
      </w:pPr>
      <w:r w:rsidRPr="009C6CD2">
        <w:rPr>
          <w:rFonts w:ascii="Century Gothic" w:eastAsia="Calibri" w:hAnsi="Century Gothic"/>
          <w:sz w:val="18"/>
          <w:szCs w:val="18"/>
        </w:rPr>
        <w:t>(1) United States Interagency Council on Homelessness</w:t>
      </w:r>
    </w:p>
    <w:p w14:paraId="4E0D1664" w14:textId="287F266B" w:rsidR="00390A44" w:rsidRPr="00DF3219" w:rsidRDefault="00390A44" w:rsidP="00390A44">
      <w:pPr>
        <w:spacing w:line="257" w:lineRule="auto"/>
        <w:rPr>
          <w:rFonts w:ascii="Century Gothic" w:eastAsia="Calibri" w:hAnsi="Century Gothic"/>
        </w:rPr>
      </w:pPr>
    </w:p>
    <w:p w14:paraId="6720D823" w14:textId="20F0CC62" w:rsidR="00390A44" w:rsidRPr="00DF3219" w:rsidRDefault="00390A44" w:rsidP="00390A44">
      <w:pPr>
        <w:spacing w:line="257" w:lineRule="auto"/>
        <w:rPr>
          <w:rFonts w:ascii="Century Gothic" w:eastAsia="Calibri" w:hAnsi="Century Gothic"/>
          <w:color w:val="000000" w:themeColor="text1"/>
        </w:rPr>
      </w:pPr>
      <w:r w:rsidRPr="00DF3219">
        <w:rPr>
          <w:rFonts w:ascii="Century Gothic" w:eastAsia="Calibri" w:hAnsi="Century Gothic"/>
          <w:color w:val="000000" w:themeColor="text1"/>
        </w:rPr>
        <w:t xml:space="preserve">In an effort to end homelessness and assist these vulnerable young people, ECC/HANH is seeking to design a program to offer sponsor-based housing models using MTW flexibility and broader use of funds to design a program where ECC/HANH provides the Sponsored Based Housing Program (SBHM) provider (a community-based provider) with funding to support the housing needs of this population outside of the traditional HCV model.  The sponsor will provide housing through either housing owned and operated by the sponsor or in properties that are master leased by the sponsor.  </w:t>
      </w:r>
    </w:p>
    <w:p w14:paraId="7210A070" w14:textId="75639013" w:rsidR="00390A44" w:rsidRPr="00DF3219" w:rsidRDefault="00390A44" w:rsidP="00390A44">
      <w:pPr>
        <w:spacing w:line="257" w:lineRule="auto"/>
        <w:rPr>
          <w:rFonts w:ascii="Century Gothic" w:eastAsia="Calibri" w:hAnsi="Century Gothic"/>
          <w:color w:val="000000" w:themeColor="text1"/>
        </w:rPr>
      </w:pPr>
    </w:p>
    <w:p w14:paraId="02E7CDD8" w14:textId="22050A3F" w:rsidR="00390A44" w:rsidRPr="00DF3219" w:rsidRDefault="00390A44" w:rsidP="00390A44">
      <w:pPr>
        <w:rPr>
          <w:rFonts w:ascii="Century Gothic" w:hAnsi="Century Gothic"/>
        </w:rPr>
      </w:pPr>
      <w:r w:rsidRPr="00DF3219">
        <w:rPr>
          <w:rFonts w:ascii="Century Gothic" w:eastAsia="Calibri" w:hAnsi="Century Gothic"/>
        </w:rPr>
        <w:t>Per Notice PIH-2011-45 (HA) this initiative is a Local Non-traditional use of a broader use of HCV funding.  This activity will be implemented under the category, Rental Subsidy Programs.  ECC/HANH will use MTW funds to provide a rental subsidy to a 3</w:t>
      </w:r>
      <w:r w:rsidRPr="00DF3219">
        <w:rPr>
          <w:rFonts w:ascii="Century Gothic" w:eastAsia="Calibri" w:hAnsi="Century Gothic"/>
          <w:vertAlign w:val="superscript"/>
        </w:rPr>
        <w:t>rd</w:t>
      </w:r>
      <w:r w:rsidRPr="00DF3219">
        <w:rPr>
          <w:rFonts w:ascii="Century Gothic" w:eastAsia="Calibri" w:hAnsi="Century Gothic"/>
        </w:rPr>
        <w:t xml:space="preserve"> party Social Service entity who will manage the intake and administration of the subsidy program.    </w:t>
      </w:r>
    </w:p>
    <w:p w14:paraId="11D09357" w14:textId="74E2B730" w:rsidR="00390A44" w:rsidRPr="00DF3219" w:rsidRDefault="00390A44" w:rsidP="00390A44">
      <w:pPr>
        <w:rPr>
          <w:rFonts w:ascii="Century Gothic" w:hAnsi="Century Gothic"/>
        </w:rPr>
      </w:pPr>
      <w:r w:rsidRPr="00DF3219">
        <w:rPr>
          <w:rFonts w:ascii="Century Gothic" w:eastAsia="Calibri" w:hAnsi="Century Gothic"/>
        </w:rPr>
        <w:t xml:space="preserve"> </w:t>
      </w:r>
    </w:p>
    <w:p w14:paraId="09B1291B" w14:textId="1D89D2EC" w:rsidR="00390A44" w:rsidRPr="00DF3219" w:rsidRDefault="00390A44" w:rsidP="00390A44">
      <w:pPr>
        <w:spacing w:line="257" w:lineRule="auto"/>
        <w:rPr>
          <w:rFonts w:ascii="Century Gothic" w:eastAsia="Calibri" w:hAnsi="Century Gothic"/>
          <w:color w:val="000000" w:themeColor="text1"/>
        </w:rPr>
      </w:pPr>
      <w:r w:rsidRPr="00DF3219">
        <w:rPr>
          <w:rFonts w:ascii="Century Gothic" w:eastAsia="Calibri" w:hAnsi="Century Gothic"/>
          <w:color w:val="000000" w:themeColor="text1"/>
        </w:rPr>
        <w:t>This program will be a partnership with a Social Service Agency that will provide supportive services to individuals.  Funding only will be issued to the Social Service Agency by ECC/HANH to support the housing operating needs.  The Social Service Agency is responsible for all aspects of the process to include determining eligibility to the program, obtaining all necessary documentation from the young adults, providing the housing, providing the supportive services and completing an exit strategy. This includes the intake and administration of the program.</w:t>
      </w:r>
    </w:p>
    <w:p w14:paraId="6C82B9A3" w14:textId="27D9EAF7" w:rsidR="00390A44" w:rsidRPr="00DF3219" w:rsidRDefault="00390A44" w:rsidP="00390A44">
      <w:pPr>
        <w:rPr>
          <w:rFonts w:ascii="Century Gothic" w:eastAsia="Franklin Gothic Book" w:hAnsi="Century Gothic"/>
          <w:color w:val="000000" w:themeColor="text1"/>
        </w:rPr>
      </w:pPr>
    </w:p>
    <w:p w14:paraId="6E189155" w14:textId="111E9C01" w:rsidR="00390A44" w:rsidRPr="00DF3219" w:rsidRDefault="00390A44" w:rsidP="00390A44">
      <w:pPr>
        <w:rPr>
          <w:rFonts w:ascii="Century Gothic" w:eastAsia="Calibri" w:hAnsi="Century Gothic"/>
        </w:rPr>
      </w:pPr>
      <w:r w:rsidRPr="00DF3219">
        <w:rPr>
          <w:rFonts w:ascii="Century Gothic" w:eastAsia="Calibri" w:hAnsi="Century Gothic"/>
        </w:rPr>
        <w:t xml:space="preserve">ECC/HANH seeks </w:t>
      </w:r>
      <w:r w:rsidR="00FE5C24" w:rsidRPr="00DF3219">
        <w:rPr>
          <w:rFonts w:ascii="Century Gothic" w:eastAsia="Calibri" w:hAnsi="Century Gothic"/>
        </w:rPr>
        <w:t>to provide</w:t>
      </w:r>
      <w:r w:rsidRPr="00DF3219">
        <w:rPr>
          <w:rFonts w:ascii="Century Gothic" w:eastAsia="Calibri" w:hAnsi="Century Gothic"/>
        </w:rPr>
        <w:t xml:space="preserve"> up to 20 Local Non-Traditional units for the program.  </w:t>
      </w:r>
    </w:p>
    <w:p w14:paraId="3F8C521B" w14:textId="4CEC5842" w:rsidR="00390A44" w:rsidRPr="00DF3219" w:rsidRDefault="00390A44" w:rsidP="00390A44">
      <w:pPr>
        <w:rPr>
          <w:rFonts w:ascii="Century Gothic" w:hAnsi="Century Gothic"/>
        </w:rPr>
      </w:pPr>
    </w:p>
    <w:p w14:paraId="0536A2C4" w14:textId="1808B605" w:rsidR="00390A44" w:rsidRPr="00DF3219" w:rsidRDefault="00390A44" w:rsidP="00390A44">
      <w:pPr>
        <w:rPr>
          <w:rFonts w:ascii="Century Gothic" w:hAnsi="Century Gothic"/>
        </w:rPr>
      </w:pPr>
      <w:r w:rsidRPr="00DF3219">
        <w:rPr>
          <w:rFonts w:ascii="Century Gothic" w:eastAsia="Calibri" w:hAnsi="Century Gothic"/>
          <w:color w:val="000000" w:themeColor="text1"/>
        </w:rPr>
        <w:t>ECC/HANH will select the sponsor-based housing entities through one of the following means:</w:t>
      </w:r>
    </w:p>
    <w:p w14:paraId="1C0EDB39" w14:textId="1098D58B" w:rsidR="00390A44" w:rsidRPr="00DF3219" w:rsidRDefault="00390A44" w:rsidP="00486062">
      <w:pPr>
        <w:pStyle w:val="ListParagraph"/>
        <w:numPr>
          <w:ilvl w:val="0"/>
          <w:numId w:val="107"/>
        </w:numPr>
        <w:rPr>
          <w:rFonts w:ascii="Century Gothic" w:eastAsia="Franklin Gothic Book" w:hAnsi="Century Gothic"/>
          <w:color w:val="000000" w:themeColor="text1"/>
        </w:rPr>
      </w:pPr>
      <w:r w:rsidRPr="00DF3219">
        <w:rPr>
          <w:rFonts w:ascii="Century Gothic" w:eastAsia="Franklin Gothic Book" w:hAnsi="Century Gothic"/>
          <w:color w:val="000000" w:themeColor="text1"/>
        </w:rPr>
        <w:t>ECC/HANH may issue a public solicitation for sponsor-based providers</w:t>
      </w:r>
    </w:p>
    <w:p w14:paraId="00FCDF05" w14:textId="5F4A81B1" w:rsidR="00390A44" w:rsidRPr="00DF3219" w:rsidRDefault="00390A44" w:rsidP="00486062">
      <w:pPr>
        <w:pStyle w:val="ListParagraph"/>
        <w:numPr>
          <w:ilvl w:val="0"/>
          <w:numId w:val="107"/>
        </w:numPr>
        <w:rPr>
          <w:rFonts w:ascii="Century Gothic" w:eastAsia="Franklin Gothic Book" w:hAnsi="Century Gothic"/>
          <w:color w:val="000000" w:themeColor="text1"/>
        </w:rPr>
      </w:pPr>
      <w:r w:rsidRPr="00DF3219">
        <w:rPr>
          <w:rFonts w:ascii="Century Gothic" w:eastAsia="Franklin Gothic Book" w:hAnsi="Century Gothic"/>
          <w:color w:val="000000" w:themeColor="text1"/>
        </w:rPr>
        <w:t xml:space="preserve">ECC/HANH may piggy-back </w:t>
      </w:r>
      <w:proofErr w:type="gramStart"/>
      <w:r w:rsidRPr="00DF3219">
        <w:rPr>
          <w:rFonts w:ascii="Century Gothic" w:eastAsia="Franklin Gothic Book" w:hAnsi="Century Gothic"/>
          <w:color w:val="000000" w:themeColor="text1"/>
        </w:rPr>
        <w:t>off of</w:t>
      </w:r>
      <w:proofErr w:type="gramEnd"/>
      <w:r w:rsidRPr="00DF3219">
        <w:rPr>
          <w:rFonts w:ascii="Century Gothic" w:eastAsia="Franklin Gothic Book" w:hAnsi="Century Gothic"/>
          <w:color w:val="000000" w:themeColor="text1"/>
        </w:rPr>
        <w:t xml:space="preserve"> a local or state issued solicitation for housing funds to support housing for this designated population</w:t>
      </w:r>
    </w:p>
    <w:p w14:paraId="000476F9" w14:textId="17C129A8" w:rsidR="00390A44" w:rsidRPr="00DF3219" w:rsidRDefault="00390A44" w:rsidP="00486062">
      <w:pPr>
        <w:pStyle w:val="ListParagraph"/>
        <w:numPr>
          <w:ilvl w:val="0"/>
          <w:numId w:val="107"/>
        </w:numPr>
        <w:rPr>
          <w:rFonts w:ascii="Century Gothic" w:eastAsia="Franklin Gothic Book" w:hAnsi="Century Gothic"/>
          <w:color w:val="000000" w:themeColor="text1"/>
        </w:rPr>
      </w:pPr>
      <w:r w:rsidRPr="00DF3219">
        <w:rPr>
          <w:rFonts w:ascii="Century Gothic" w:eastAsia="Franklin Gothic Book" w:hAnsi="Century Gothic"/>
          <w:color w:val="000000" w:themeColor="text1"/>
        </w:rPr>
        <w:t>ECC/HANH may select a sponsor through a non-competitive process when neither of the first two options yield sufficient potential partners</w:t>
      </w:r>
    </w:p>
    <w:p w14:paraId="4654CBC1" w14:textId="4741270F" w:rsidR="00390A44" w:rsidRPr="00DF3219" w:rsidRDefault="00390A44" w:rsidP="00390A44">
      <w:pPr>
        <w:rPr>
          <w:rFonts w:ascii="Century Gothic" w:eastAsia="Calibri" w:hAnsi="Century Gothic"/>
          <w:color w:val="000000" w:themeColor="text1"/>
        </w:rPr>
      </w:pPr>
      <w:r w:rsidRPr="00DF3219">
        <w:rPr>
          <w:rFonts w:ascii="Century Gothic" w:eastAsia="Calibri" w:hAnsi="Century Gothic"/>
          <w:color w:val="000000" w:themeColor="text1"/>
        </w:rPr>
        <w:t xml:space="preserve"> </w:t>
      </w:r>
    </w:p>
    <w:p w14:paraId="3E199147" w14:textId="3BF7D420" w:rsidR="00390A44" w:rsidRPr="00DF3219" w:rsidRDefault="00390A44" w:rsidP="00390A44">
      <w:pPr>
        <w:spacing w:line="257" w:lineRule="auto"/>
        <w:rPr>
          <w:rFonts w:ascii="Century Gothic" w:eastAsia="Calibri" w:hAnsi="Century Gothic"/>
        </w:rPr>
      </w:pPr>
      <w:r w:rsidRPr="00DF3219">
        <w:rPr>
          <w:rFonts w:ascii="Century Gothic" w:eastAsia="Calibri" w:hAnsi="Century Gothic"/>
        </w:rPr>
        <w:t xml:space="preserve">The target population are 18–24-year-old individuals that experiencing homelessness or fleeing domestic violence (HUD categories 1 and 4).  These individuals are “literally homeless” or at risk of becoming homeless, meaning that their housing situation cannot be resolved through referrals to services outside of the crisis response system.  </w:t>
      </w:r>
    </w:p>
    <w:p w14:paraId="75E71C65" w14:textId="1E50FC0E" w:rsidR="00390A44" w:rsidRPr="00DF3219" w:rsidRDefault="00390A44" w:rsidP="00390A44">
      <w:pPr>
        <w:spacing w:line="257" w:lineRule="auto"/>
        <w:rPr>
          <w:rFonts w:ascii="Century Gothic" w:eastAsia="Calibri" w:hAnsi="Century Gothic"/>
          <w:color w:val="000000" w:themeColor="text1"/>
        </w:rPr>
      </w:pPr>
      <w:r w:rsidRPr="00DF3219">
        <w:rPr>
          <w:rFonts w:ascii="Century Gothic" w:eastAsia="Calibri" w:hAnsi="Century Gothic"/>
          <w:color w:val="000000" w:themeColor="text1"/>
        </w:rPr>
        <w:t xml:space="preserve">The goal of the program is to prevent and end youth homelessness by building comprehensive systems of care for these young people, aged 18-24 and providing temporary transitional housing. </w:t>
      </w:r>
    </w:p>
    <w:p w14:paraId="3E393319" w14:textId="35C27969" w:rsidR="00390A44" w:rsidRPr="00DF3219" w:rsidRDefault="00390A44" w:rsidP="00390A44">
      <w:pPr>
        <w:spacing w:line="257" w:lineRule="auto"/>
        <w:rPr>
          <w:rFonts w:ascii="Century Gothic" w:eastAsia="Calibri" w:hAnsi="Century Gothic"/>
          <w:color w:val="000000" w:themeColor="text1"/>
        </w:rPr>
      </w:pPr>
    </w:p>
    <w:p w14:paraId="336A08D8" w14:textId="5C580D75" w:rsidR="00390A44" w:rsidRPr="00DF3219" w:rsidRDefault="00390A44" w:rsidP="00390A44">
      <w:pPr>
        <w:rPr>
          <w:rStyle w:val="eop"/>
          <w:rFonts w:ascii="Century Gothic" w:hAnsi="Century Gothic"/>
          <w:shd w:val="clear" w:color="auto" w:fill="FFFFFF"/>
        </w:rPr>
      </w:pPr>
      <w:r w:rsidRPr="00DF3219">
        <w:rPr>
          <w:rFonts w:ascii="Century Gothic" w:eastAsia="Calibri" w:hAnsi="Century Gothic"/>
        </w:rPr>
        <w:t xml:space="preserve">The Sponsored Based Housing Program (SBHP) is a short-term crisis housing program </w:t>
      </w:r>
      <w:r w:rsidR="00281052" w:rsidRPr="00DF3219">
        <w:rPr>
          <w:rFonts w:ascii="Century Gothic" w:eastAsia="Calibri" w:hAnsi="Century Gothic"/>
        </w:rPr>
        <w:t>that</w:t>
      </w:r>
      <w:r w:rsidRPr="00DF3219">
        <w:rPr>
          <w:rFonts w:ascii="Century Gothic" w:eastAsia="Calibri" w:hAnsi="Century Gothic"/>
        </w:rPr>
        <w:t xml:space="preserve"> will assist the individuals with meeting their basic needs and obtaining permanent housing.  </w:t>
      </w:r>
      <w:r w:rsidRPr="4EB6BE86">
        <w:rPr>
          <w:rStyle w:val="eop"/>
          <w:rFonts w:ascii="Century Gothic" w:hAnsi="Century Gothic"/>
          <w:color w:val="000000" w:themeColor="text1"/>
        </w:rPr>
        <w:t xml:space="preserve">The objective is to ensure that </w:t>
      </w:r>
      <w:proofErr w:type="gramStart"/>
      <w:r w:rsidRPr="4EB6BE86">
        <w:rPr>
          <w:rStyle w:val="eop"/>
          <w:rFonts w:ascii="Century Gothic" w:hAnsi="Century Gothic"/>
          <w:color w:val="000000" w:themeColor="text1"/>
        </w:rPr>
        <w:t>youth</w:t>
      </w:r>
      <w:proofErr w:type="gramEnd"/>
      <w:r w:rsidRPr="4EB6BE86">
        <w:rPr>
          <w:rStyle w:val="eop"/>
          <w:rFonts w:ascii="Century Gothic" w:hAnsi="Century Gothic"/>
          <w:color w:val="000000" w:themeColor="text1"/>
        </w:rPr>
        <w:t xml:space="preserve"> experiencing homelessness receive the temporary shelter and assistance needed to quickly obtain permanent housing.  The average amount of time that the youth will stay in the program is 60 - 90 days. </w:t>
      </w:r>
      <w:r w:rsidRPr="4EB6BE86">
        <w:rPr>
          <w:rStyle w:val="eop"/>
          <w:rFonts w:ascii="Century Gothic" w:hAnsi="Century Gothic"/>
        </w:rPr>
        <w:t xml:space="preserve">The Social Service Agency will provide appropriate housing for up to 60 – 90 days, unless a situation warrants a longer stay.  </w:t>
      </w:r>
    </w:p>
    <w:p w14:paraId="05E21A3E" w14:textId="658B1AB3" w:rsidR="00390A44" w:rsidRPr="00DF3219" w:rsidRDefault="00390A44" w:rsidP="00390A44">
      <w:pPr>
        <w:rPr>
          <w:rStyle w:val="eop"/>
          <w:rFonts w:ascii="Century Gothic" w:hAnsi="Century Gothic"/>
          <w:color w:val="000000"/>
          <w:shd w:val="clear" w:color="auto" w:fill="FFFFFF"/>
        </w:rPr>
      </w:pPr>
    </w:p>
    <w:p w14:paraId="4E1572D9" w14:textId="47A97F1A" w:rsidR="00390A44" w:rsidRPr="00DF3219" w:rsidRDefault="00390A44" w:rsidP="00390A44">
      <w:pPr>
        <w:spacing w:line="257" w:lineRule="auto"/>
        <w:rPr>
          <w:rFonts w:ascii="Century Gothic" w:eastAsia="Calibri" w:hAnsi="Century Gothic"/>
        </w:rPr>
      </w:pPr>
      <w:r w:rsidRPr="00DF3219">
        <w:rPr>
          <w:rFonts w:ascii="Century Gothic" w:eastAsia="Calibri" w:hAnsi="Century Gothic"/>
        </w:rPr>
        <w:t>The crisis housing settings may range from a congregate shelter, shared apartments, multi-bedroom homes, among other options. The facility must include privacy in showers, bathrooms (including at least one private, gender-neutral bathroom with shower</w:t>
      </w:r>
      <w:r w:rsidR="00FE5C24" w:rsidRPr="00DF3219">
        <w:rPr>
          <w:rFonts w:ascii="Century Gothic" w:eastAsia="Calibri" w:hAnsi="Century Gothic"/>
        </w:rPr>
        <w:t>) and</w:t>
      </w:r>
      <w:r w:rsidRPr="00DF3219">
        <w:rPr>
          <w:rFonts w:ascii="Century Gothic" w:eastAsia="Calibri" w:hAnsi="Century Gothic"/>
        </w:rPr>
        <w:t xml:space="preserve"> sleeping areas. There will also be sufficient lockable storage capacity for personal belongings.  </w:t>
      </w:r>
    </w:p>
    <w:p w14:paraId="27E3BCC2" w14:textId="5609A2FF" w:rsidR="00390A44" w:rsidRPr="00DF3219" w:rsidRDefault="00390A44" w:rsidP="00390A44">
      <w:pPr>
        <w:spacing w:line="257" w:lineRule="auto"/>
        <w:rPr>
          <w:rFonts w:ascii="Century Gothic" w:eastAsia="Calibri" w:hAnsi="Century Gothic"/>
        </w:rPr>
      </w:pPr>
    </w:p>
    <w:p w14:paraId="66CD34B8" w14:textId="1B422B8C" w:rsidR="00390A44" w:rsidRPr="00DF3219" w:rsidRDefault="00390A44" w:rsidP="00390A44">
      <w:pPr>
        <w:rPr>
          <w:rFonts w:ascii="Century Gothic" w:hAnsi="Century Gothic"/>
        </w:rPr>
      </w:pPr>
      <w:r w:rsidRPr="188A1EBF">
        <w:rPr>
          <w:rFonts w:ascii="Century Gothic" w:eastAsia="Calibri" w:hAnsi="Century Gothic"/>
          <w:color w:val="000000" w:themeColor="text1"/>
        </w:rPr>
        <w:t xml:space="preserve">ECC/HANH has identified its first sponsor-based housing program provider.  </w:t>
      </w:r>
      <w:r w:rsidRPr="188A1EBF">
        <w:rPr>
          <w:rFonts w:ascii="Century Gothic" w:eastAsia="Calibri" w:hAnsi="Century Gothic"/>
        </w:rPr>
        <w:t xml:space="preserve"> Youth Continuum, a New Haven based, not-for-profit agency that provides Connecticut’s most comprehensive array of resources dedicated to preventing and addressing youth homelessness. </w:t>
      </w:r>
      <w:r w:rsidR="00F2024E">
        <w:rPr>
          <w:rFonts w:ascii="Century Gothic" w:eastAsia="Calibri" w:hAnsi="Century Gothic"/>
        </w:rPr>
        <w:t>Youth Continuum</w:t>
      </w:r>
      <w:r w:rsidRPr="188A1EBF">
        <w:rPr>
          <w:rFonts w:ascii="Century Gothic" w:eastAsia="Calibri" w:hAnsi="Century Gothic"/>
        </w:rPr>
        <w:t xml:space="preserve"> will provide key technical assistance and added capacity to support the student-led components of the program. </w:t>
      </w:r>
      <w:r w:rsidR="00F2024E">
        <w:rPr>
          <w:rFonts w:ascii="Century Gothic" w:eastAsia="Calibri" w:hAnsi="Century Gothic"/>
        </w:rPr>
        <w:t>Youth Continuum</w:t>
      </w:r>
      <w:r w:rsidRPr="188A1EBF">
        <w:rPr>
          <w:rFonts w:ascii="Century Gothic" w:eastAsia="Calibri" w:hAnsi="Century Gothic"/>
        </w:rPr>
        <w:t xml:space="preserve"> was selected through the option allowing ECC/HANH to piggy-back </w:t>
      </w:r>
      <w:proofErr w:type="gramStart"/>
      <w:r w:rsidRPr="188A1EBF">
        <w:rPr>
          <w:rFonts w:ascii="Century Gothic" w:eastAsia="Calibri" w:hAnsi="Century Gothic"/>
        </w:rPr>
        <w:t>off of</w:t>
      </w:r>
      <w:proofErr w:type="gramEnd"/>
      <w:r w:rsidRPr="188A1EBF">
        <w:rPr>
          <w:rFonts w:ascii="Century Gothic" w:eastAsia="Calibri" w:hAnsi="Century Gothic"/>
        </w:rPr>
        <w:t xml:space="preserve"> a local or state issued solicitation for housing funds </w:t>
      </w:r>
      <w:proofErr w:type="gramStart"/>
      <w:r w:rsidRPr="188A1EBF">
        <w:rPr>
          <w:rFonts w:ascii="Century Gothic" w:eastAsia="Calibri" w:hAnsi="Century Gothic"/>
        </w:rPr>
        <w:t>in order to</w:t>
      </w:r>
      <w:proofErr w:type="gramEnd"/>
      <w:r w:rsidRPr="188A1EBF">
        <w:rPr>
          <w:rFonts w:ascii="Century Gothic" w:eastAsia="Calibri" w:hAnsi="Century Gothic"/>
        </w:rPr>
        <w:t xml:space="preserve"> support this designated population.</w:t>
      </w:r>
    </w:p>
    <w:p w14:paraId="696C534E" w14:textId="5C65B42E" w:rsidR="00390A44" w:rsidRPr="00DF3219" w:rsidRDefault="00390A44" w:rsidP="00390A44">
      <w:pPr>
        <w:rPr>
          <w:rFonts w:ascii="Century Gothic" w:hAnsi="Century Gothic"/>
        </w:rPr>
      </w:pPr>
      <w:r w:rsidRPr="00DF3219">
        <w:rPr>
          <w:rFonts w:ascii="Century Gothic" w:eastAsia="Calibri" w:hAnsi="Century Gothic"/>
        </w:rPr>
        <w:t xml:space="preserve"> </w:t>
      </w:r>
    </w:p>
    <w:p w14:paraId="5F6FAFDA" w14:textId="77777777" w:rsidR="00F2024E" w:rsidRDefault="00F2024E" w:rsidP="00390A44">
      <w:pPr>
        <w:rPr>
          <w:rFonts w:ascii="Century Gothic" w:eastAsia="Calibri" w:hAnsi="Century Gothic"/>
        </w:rPr>
      </w:pPr>
      <w:r>
        <w:rPr>
          <w:rFonts w:ascii="Century Gothic" w:eastAsia="Calibri" w:hAnsi="Century Gothic"/>
        </w:rPr>
        <w:t>Youth Continuum’s</w:t>
      </w:r>
      <w:r w:rsidR="00390A44" w:rsidRPr="00DF3219">
        <w:rPr>
          <w:rFonts w:ascii="Century Gothic" w:eastAsia="Calibri" w:hAnsi="Century Gothic"/>
        </w:rPr>
        <w:t xml:space="preserve"> model focuses on providing young adults with a safe, vibrant and welcoming environment with comprehensive pathways out of homelessness and opportunities for leadership development. As part of the youth-to-youth model, guests, student volunteers, and Youth Continuum staff will collaborate to operate a safe and affirming space for all. </w:t>
      </w:r>
    </w:p>
    <w:p w14:paraId="3044626D" w14:textId="77777777" w:rsidR="00F2024E" w:rsidRDefault="00F2024E" w:rsidP="00390A44">
      <w:pPr>
        <w:rPr>
          <w:rFonts w:ascii="Century Gothic" w:eastAsia="Calibri" w:hAnsi="Century Gothic"/>
        </w:rPr>
      </w:pPr>
    </w:p>
    <w:p w14:paraId="7BC4B6B7" w14:textId="5ABA1855" w:rsidR="00390A44" w:rsidRPr="00DF3219" w:rsidRDefault="00F2024E" w:rsidP="00390A44">
      <w:pPr>
        <w:rPr>
          <w:rFonts w:ascii="Century Gothic" w:hAnsi="Century Gothic"/>
        </w:rPr>
      </w:pPr>
      <w:r>
        <w:rPr>
          <w:rFonts w:ascii="Century Gothic" w:eastAsia="Calibri" w:hAnsi="Century Gothic"/>
        </w:rPr>
        <w:t>This</w:t>
      </w:r>
      <w:r w:rsidR="00390A44" w:rsidRPr="00DF3219">
        <w:rPr>
          <w:rFonts w:ascii="Century Gothic" w:eastAsia="Calibri" w:hAnsi="Century Gothic"/>
        </w:rPr>
        <w:t xml:space="preserve"> service model is broken into three categories: Sanctuary, Pathways out of Homelessness, and Advocacy and Leadership Development. </w:t>
      </w:r>
    </w:p>
    <w:p w14:paraId="44A29373" w14:textId="07C52BA8" w:rsidR="00390A44" w:rsidRPr="00DF3219" w:rsidRDefault="00390A44" w:rsidP="00390A44">
      <w:pPr>
        <w:rPr>
          <w:rFonts w:ascii="Century Gothic" w:hAnsi="Century Gothic"/>
        </w:rPr>
      </w:pPr>
      <w:r w:rsidRPr="00DF3219">
        <w:rPr>
          <w:rFonts w:ascii="Century Gothic" w:eastAsia="Calibri" w:hAnsi="Century Gothic"/>
        </w:rPr>
        <w:t xml:space="preserve"> </w:t>
      </w:r>
    </w:p>
    <w:p w14:paraId="2BFF7E1E" w14:textId="6A2F6F9A" w:rsidR="00390A44" w:rsidRPr="002A01D8" w:rsidRDefault="00390A44" w:rsidP="00390A44">
      <w:pPr>
        <w:rPr>
          <w:rFonts w:ascii="Century Gothic" w:hAnsi="Century Gothic"/>
          <w:b/>
          <w:bCs/>
          <w:i/>
          <w:iCs/>
        </w:rPr>
      </w:pPr>
      <w:r w:rsidRPr="002A01D8">
        <w:rPr>
          <w:rFonts w:ascii="Century Gothic" w:eastAsia="Calibri" w:hAnsi="Century Gothic"/>
          <w:b/>
          <w:bCs/>
          <w:i/>
          <w:iCs/>
        </w:rPr>
        <w:t xml:space="preserve">Sanctuary </w:t>
      </w:r>
    </w:p>
    <w:p w14:paraId="0396087D" w14:textId="1AA4370B" w:rsidR="00390A44" w:rsidRPr="00DF3219" w:rsidRDefault="00390A44" w:rsidP="00390A44">
      <w:pPr>
        <w:rPr>
          <w:rFonts w:ascii="Century Gothic" w:eastAsia="Calibri" w:hAnsi="Century Gothic"/>
        </w:rPr>
      </w:pPr>
      <w:r w:rsidRPr="00DF3219">
        <w:rPr>
          <w:rFonts w:ascii="Century Gothic" w:eastAsia="Calibri" w:hAnsi="Century Gothic"/>
        </w:rPr>
        <w:t xml:space="preserve"> </w:t>
      </w:r>
      <w:r>
        <w:tab/>
      </w:r>
      <w:r w:rsidRPr="00DF3219">
        <w:rPr>
          <w:rFonts w:ascii="Century Gothic" w:eastAsia="Calibri" w:hAnsi="Century Gothic"/>
        </w:rPr>
        <w:t xml:space="preserve">● Up to 20 gender-inclusive semi-private sleeping pods </w:t>
      </w:r>
    </w:p>
    <w:p w14:paraId="2DD050BE" w14:textId="338DB4C2"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Gender-inclusive restrooms and showers </w:t>
      </w:r>
    </w:p>
    <w:p w14:paraId="2BB65EBE" w14:textId="7BADB927"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Dinner and breakfast </w:t>
      </w:r>
    </w:p>
    <w:p w14:paraId="0E5D7113" w14:textId="2763C8E7"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Laundry </w:t>
      </w:r>
    </w:p>
    <w:p w14:paraId="31C79568" w14:textId="0BC248FA"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Internet and computer access </w:t>
      </w:r>
    </w:p>
    <w:p w14:paraId="50BB96C4" w14:textId="4A80B881" w:rsidR="00390A44" w:rsidRPr="00DF3219" w:rsidRDefault="00390A44" w:rsidP="00390A44">
      <w:pPr>
        <w:ind w:left="720"/>
        <w:rPr>
          <w:rFonts w:ascii="Century Gothic" w:hAnsi="Century Gothic"/>
        </w:rPr>
      </w:pPr>
      <w:r w:rsidRPr="00DF3219">
        <w:rPr>
          <w:rFonts w:ascii="Century Gothic" w:eastAsia="Calibri" w:hAnsi="Century Gothic"/>
        </w:rPr>
        <w:t xml:space="preserve">● Youth Continuum’s drop-in and outreach center, which offers </w:t>
      </w:r>
      <w:r>
        <w:tab/>
      </w:r>
      <w:r w:rsidRPr="00DF3219">
        <w:rPr>
          <w:rFonts w:ascii="Century Gothic" w:eastAsia="Calibri" w:hAnsi="Century Gothic"/>
        </w:rPr>
        <w:t xml:space="preserve">a food bank, diaper bank, clothing closet, and lunch </w:t>
      </w:r>
    </w:p>
    <w:p w14:paraId="4793AAD4" w14:textId="38BE203F"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w:t>
      </w:r>
    </w:p>
    <w:p w14:paraId="070D67C0" w14:textId="05A8ED36" w:rsidR="00390A44" w:rsidRPr="002A01D8" w:rsidRDefault="00390A44" w:rsidP="00390A44">
      <w:pPr>
        <w:rPr>
          <w:rFonts w:ascii="Century Gothic" w:hAnsi="Century Gothic"/>
          <w:b/>
          <w:bCs/>
          <w:i/>
          <w:iCs/>
        </w:rPr>
      </w:pPr>
      <w:r w:rsidRPr="002A01D8">
        <w:rPr>
          <w:rFonts w:ascii="Century Gothic" w:eastAsia="Calibri" w:hAnsi="Century Gothic"/>
          <w:b/>
          <w:bCs/>
          <w:i/>
          <w:iCs/>
        </w:rPr>
        <w:t xml:space="preserve">Pathways out of Homelessness </w:t>
      </w:r>
    </w:p>
    <w:p w14:paraId="2851F756" w14:textId="105891E6" w:rsidR="00390A44" w:rsidRPr="00DF3219" w:rsidRDefault="00390A44" w:rsidP="00390A44">
      <w:pPr>
        <w:rPr>
          <w:rFonts w:ascii="Century Gothic" w:hAnsi="Century Gothic"/>
        </w:rPr>
      </w:pPr>
      <w:r w:rsidRPr="00DF3219">
        <w:rPr>
          <w:rFonts w:ascii="Century Gothic" w:eastAsia="Calibri" w:hAnsi="Century Gothic"/>
        </w:rPr>
        <w:t xml:space="preserve"> </w:t>
      </w:r>
    </w:p>
    <w:p w14:paraId="6B8A55C3" w14:textId="2FEB29B6" w:rsidR="00390A44" w:rsidRPr="00DF3219" w:rsidRDefault="00390A44" w:rsidP="00390A44">
      <w:pPr>
        <w:rPr>
          <w:rFonts w:ascii="Century Gothic" w:hAnsi="Century Gothic"/>
        </w:rPr>
      </w:pPr>
      <w:r w:rsidRPr="00DF3219">
        <w:rPr>
          <w:rFonts w:ascii="Century Gothic" w:eastAsia="Calibri" w:hAnsi="Century Gothic"/>
        </w:rPr>
        <w:t>Participants will be provided with the following services. These services will be</w:t>
      </w:r>
      <w:r w:rsidRPr="00DF3219">
        <w:rPr>
          <w:rFonts w:ascii="Century Gothic" w:eastAsia="Calibri" w:hAnsi="Century Gothic"/>
          <w:strike/>
        </w:rPr>
        <w:t xml:space="preserve"> </w:t>
      </w:r>
      <w:r w:rsidRPr="00DF3219">
        <w:rPr>
          <w:rFonts w:ascii="Century Gothic" w:eastAsia="Calibri" w:hAnsi="Century Gothic"/>
        </w:rPr>
        <w:t xml:space="preserve">tracked by the Sponsor program staff and will be provided on a monthly or quarterly basis to the ECC/HANH CED department. </w:t>
      </w:r>
    </w:p>
    <w:p w14:paraId="35090A88" w14:textId="00F80741"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Professional case management </w:t>
      </w:r>
    </w:p>
    <w:p w14:paraId="36E5E470" w14:textId="2A5230BA"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Medical and behavioral health care through a fully integrated onsite clinic </w:t>
      </w:r>
    </w:p>
    <w:p w14:paraId="2C797F25" w14:textId="22F7EFE1"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HIV/AIDS specialist care </w:t>
      </w:r>
    </w:p>
    <w:p w14:paraId="4C0F7BD8" w14:textId="36101E47"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Legal aid </w:t>
      </w:r>
    </w:p>
    <w:p w14:paraId="090ED94D" w14:textId="0A9B10F9" w:rsidR="00390A44" w:rsidRDefault="00390A44" w:rsidP="00390A44">
      <w:pPr>
        <w:ind w:firstLine="720"/>
        <w:rPr>
          <w:rFonts w:ascii="Century Gothic" w:eastAsia="Calibri" w:hAnsi="Century Gothic"/>
        </w:rPr>
      </w:pPr>
      <w:r w:rsidRPr="00DF3219">
        <w:rPr>
          <w:rFonts w:ascii="Century Gothic" w:eastAsia="Calibri" w:hAnsi="Century Gothic"/>
        </w:rPr>
        <w:t xml:space="preserve"> </w:t>
      </w:r>
    </w:p>
    <w:p w14:paraId="145EDC32" w14:textId="77777777" w:rsidR="00FE5C24" w:rsidRDefault="00FE5C24" w:rsidP="00390A44">
      <w:pPr>
        <w:ind w:firstLine="720"/>
        <w:rPr>
          <w:rFonts w:ascii="Century Gothic" w:eastAsia="Calibri" w:hAnsi="Century Gothic"/>
        </w:rPr>
      </w:pPr>
    </w:p>
    <w:p w14:paraId="1B96AF07" w14:textId="77777777" w:rsidR="00FE5C24" w:rsidRPr="00DF3219" w:rsidRDefault="00FE5C24" w:rsidP="00390A44">
      <w:pPr>
        <w:ind w:firstLine="720"/>
        <w:rPr>
          <w:rFonts w:ascii="Century Gothic" w:eastAsia="Calibri" w:hAnsi="Century Gothic"/>
        </w:rPr>
      </w:pPr>
    </w:p>
    <w:p w14:paraId="19B30B8F" w14:textId="6F345A34" w:rsidR="00390A44" w:rsidRPr="002A01D8" w:rsidRDefault="00390A44" w:rsidP="00390A44">
      <w:pPr>
        <w:rPr>
          <w:rFonts w:ascii="Century Gothic" w:hAnsi="Century Gothic"/>
          <w:b/>
          <w:bCs/>
        </w:rPr>
      </w:pPr>
      <w:r w:rsidRPr="002A01D8">
        <w:rPr>
          <w:rFonts w:ascii="Century Gothic" w:eastAsia="Calibri" w:hAnsi="Century Gothic"/>
          <w:b/>
          <w:bCs/>
        </w:rPr>
        <w:lastRenderedPageBreak/>
        <w:t xml:space="preserve">Advocacy and Leadership Development </w:t>
      </w:r>
    </w:p>
    <w:p w14:paraId="04CF235A" w14:textId="30CC5D80" w:rsidR="00390A44" w:rsidRPr="00DF3219" w:rsidRDefault="00390A44" w:rsidP="00390A44">
      <w:pPr>
        <w:rPr>
          <w:rFonts w:ascii="Century Gothic" w:hAnsi="Century Gothic"/>
        </w:rPr>
      </w:pPr>
      <w:r w:rsidRPr="00DF3219">
        <w:rPr>
          <w:rFonts w:ascii="Century Gothic" w:eastAsia="Calibri" w:hAnsi="Century Gothic"/>
        </w:rPr>
        <w:t xml:space="preserve"> </w:t>
      </w:r>
    </w:p>
    <w:p w14:paraId="198BE23A" w14:textId="6782C85C"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Career development programming </w:t>
      </w:r>
    </w:p>
    <w:p w14:paraId="26729D32" w14:textId="5A3A474E"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On-site social enterprise business with direct job opportunities and training for youth </w:t>
      </w:r>
    </w:p>
    <w:p w14:paraId="16053DA4" w14:textId="07E88FE4"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Enrichment based activities </w:t>
      </w:r>
    </w:p>
    <w:p w14:paraId="621A7213" w14:textId="6BB130ED" w:rsidR="00390A44" w:rsidRPr="00DF3219" w:rsidRDefault="00390A44" w:rsidP="00390A44">
      <w:pPr>
        <w:ind w:firstLine="720"/>
        <w:rPr>
          <w:rFonts w:ascii="Century Gothic" w:eastAsia="Calibri" w:hAnsi="Century Gothic"/>
        </w:rPr>
      </w:pPr>
      <w:r w:rsidRPr="00DF3219">
        <w:rPr>
          <w:rFonts w:ascii="Century Gothic" w:eastAsia="Calibri" w:hAnsi="Century Gothic"/>
        </w:rPr>
        <w:t xml:space="preserve"> </w:t>
      </w:r>
    </w:p>
    <w:p w14:paraId="2B973744" w14:textId="321C5A95" w:rsidR="00390A44" w:rsidRPr="00DF3219" w:rsidRDefault="00390A44" w:rsidP="00390A44">
      <w:pPr>
        <w:rPr>
          <w:rFonts w:ascii="Century Gothic" w:hAnsi="Century Gothic"/>
        </w:rPr>
      </w:pPr>
      <w:r w:rsidRPr="00DF3219">
        <w:rPr>
          <w:rFonts w:ascii="Century Gothic" w:eastAsia="Calibri" w:hAnsi="Century Gothic"/>
        </w:rPr>
        <w:t xml:space="preserve">Case management services will be provided by the </w:t>
      </w:r>
      <w:r w:rsidR="00281052" w:rsidRPr="00DF3219">
        <w:rPr>
          <w:rFonts w:ascii="Century Gothic" w:eastAsia="Calibri" w:hAnsi="Century Gothic"/>
        </w:rPr>
        <w:t>Sponsor-based</w:t>
      </w:r>
      <w:r w:rsidRPr="00DF3219">
        <w:rPr>
          <w:rFonts w:ascii="Century Gothic" w:eastAsia="Calibri" w:hAnsi="Century Gothic"/>
        </w:rPr>
        <w:t xml:space="preserve"> program provider. The Community and Economic Development department of ECC/HANH will be the lead in communicating with the </w:t>
      </w:r>
      <w:r w:rsidR="003716F8">
        <w:rPr>
          <w:rFonts w:ascii="Century Gothic" w:eastAsia="Calibri" w:hAnsi="Century Gothic"/>
        </w:rPr>
        <w:t>Youth Continuum</w:t>
      </w:r>
      <w:r w:rsidRPr="00DF3219">
        <w:rPr>
          <w:rFonts w:ascii="Century Gothic" w:eastAsia="Calibri" w:hAnsi="Century Gothic"/>
        </w:rPr>
        <w:t xml:space="preserve"> staff regarding case management services.</w:t>
      </w:r>
    </w:p>
    <w:p w14:paraId="633008E9" w14:textId="6B211F49" w:rsidR="00390A44" w:rsidRPr="00DF3219" w:rsidRDefault="00390A44" w:rsidP="00390A44">
      <w:pPr>
        <w:rPr>
          <w:rFonts w:ascii="Century Gothic" w:eastAsia="Franklin Gothic Book" w:hAnsi="Century Gothic"/>
          <w:color w:val="000000" w:themeColor="text1"/>
        </w:rPr>
      </w:pPr>
    </w:p>
    <w:p w14:paraId="44D2D159" w14:textId="5D125B88" w:rsidR="00390A44" w:rsidRPr="00DF3219" w:rsidRDefault="00390A44" w:rsidP="00390A44">
      <w:pPr>
        <w:rPr>
          <w:rFonts w:ascii="Century Gothic" w:eastAsia="Franklin Gothic Book" w:hAnsi="Century Gothic"/>
          <w:b/>
          <w:bCs/>
          <w:color w:val="000000" w:themeColor="text1"/>
        </w:rPr>
      </w:pPr>
      <w:r w:rsidRPr="00DF3219">
        <w:rPr>
          <w:rFonts w:ascii="Century Gothic" w:eastAsia="Franklin Gothic Book" w:hAnsi="Century Gothic"/>
          <w:b/>
          <w:bCs/>
          <w:color w:val="000000" w:themeColor="text1"/>
        </w:rPr>
        <w:t>Impact</w:t>
      </w:r>
    </w:p>
    <w:p w14:paraId="66B62317" w14:textId="464295B0" w:rsidR="00390A44" w:rsidRPr="00DF3219" w:rsidRDefault="00390A44" w:rsidP="00390A44">
      <w:pPr>
        <w:rPr>
          <w:rFonts w:ascii="Century Gothic" w:eastAsia="Franklin Gothic Book" w:hAnsi="Century Gothic"/>
          <w:b/>
          <w:bCs/>
          <w:color w:val="000000" w:themeColor="text1"/>
        </w:rPr>
      </w:pPr>
    </w:p>
    <w:p w14:paraId="746D0870" w14:textId="6EF1BADA" w:rsidR="00390A44" w:rsidRPr="00DF3219" w:rsidRDefault="00390A44" w:rsidP="00390A44">
      <w:pPr>
        <w:rPr>
          <w:rFonts w:ascii="Century Gothic" w:eastAsia="Times New Roman" w:hAnsi="Century Gothic"/>
          <w:color w:val="242424"/>
        </w:rPr>
      </w:pPr>
      <w:r w:rsidRPr="188A1EBF">
        <w:rPr>
          <w:rFonts w:ascii="Century Gothic" w:eastAsia="Times New Roman" w:hAnsi="Century Gothic"/>
          <w:color w:val="242424"/>
        </w:rPr>
        <w:t>During FY2023, the Glendower Group assisted Youth Continuum in the planning and execution of the you</w:t>
      </w:r>
      <w:r w:rsidR="522F1A40" w:rsidRPr="188A1EBF">
        <w:rPr>
          <w:rFonts w:ascii="Century Gothic" w:eastAsia="Times New Roman" w:hAnsi="Century Gothic"/>
          <w:color w:val="242424"/>
        </w:rPr>
        <w:t>ng</w:t>
      </w:r>
      <w:r w:rsidRPr="188A1EBF">
        <w:rPr>
          <w:rFonts w:ascii="Century Gothic" w:eastAsia="Times New Roman" w:hAnsi="Century Gothic"/>
          <w:color w:val="242424"/>
        </w:rPr>
        <w:t xml:space="preserve"> adult shelter on Grand Ave.  In FY2023, an architect and Construction Manager at Risk were selected by the Youth Continuum with Glendower’s assistance. Glendower and Youth Continuum continued to hold ongoing meetings and briefings with the State of Connecticut Department of Housing (DOH), the primary funder.  Based on the Montagno pricing, Glendower identified a $800,000 project shortfall or the uses and sources balance and is working with the Youth Continuum to fill the gap.</w:t>
      </w:r>
    </w:p>
    <w:p w14:paraId="15E99DC9" w14:textId="5F83F7BD" w:rsidR="00390A44" w:rsidRPr="00DF3219" w:rsidRDefault="00390A44" w:rsidP="00390A44">
      <w:pPr>
        <w:rPr>
          <w:rFonts w:ascii="Century Gothic" w:eastAsia="Times New Roman" w:hAnsi="Century Gothic"/>
          <w:color w:val="242424"/>
        </w:rPr>
      </w:pPr>
    </w:p>
    <w:p w14:paraId="3E56ED7A" w14:textId="25FFA174" w:rsidR="00390A44" w:rsidRPr="00DF3219" w:rsidRDefault="00390A44" w:rsidP="00390A44">
      <w:pPr>
        <w:rPr>
          <w:rFonts w:ascii="Century Gothic" w:eastAsia="Times New Roman" w:hAnsi="Century Gothic"/>
          <w:color w:val="242424"/>
        </w:rPr>
      </w:pPr>
      <w:r w:rsidRPr="188A1EBF">
        <w:rPr>
          <w:rFonts w:ascii="Century Gothic" w:eastAsia="Times New Roman" w:hAnsi="Century Gothic"/>
          <w:color w:val="242424"/>
        </w:rPr>
        <w:t>The Architect worked on the Design Development drawings and ECC/HANH anticipates they will be issued in the first quarter of FY2</w:t>
      </w:r>
      <w:r w:rsidR="2D42D047" w:rsidRPr="188A1EBF">
        <w:rPr>
          <w:rFonts w:ascii="Century Gothic" w:eastAsia="Times New Roman" w:hAnsi="Century Gothic"/>
          <w:color w:val="242424"/>
        </w:rPr>
        <w:t>5</w:t>
      </w:r>
      <w:r w:rsidRPr="188A1EBF">
        <w:rPr>
          <w:rFonts w:ascii="Century Gothic" w:eastAsia="Times New Roman" w:hAnsi="Century Gothic"/>
          <w:color w:val="242424"/>
        </w:rPr>
        <w:t xml:space="preserve">.   ECC/HANH also anticipates that the construction documents will be completed by the second quarter with the </w:t>
      </w:r>
      <w:r w:rsidR="00970F36" w:rsidRPr="188A1EBF">
        <w:rPr>
          <w:rFonts w:ascii="Century Gothic" w:eastAsia="Times New Roman" w:hAnsi="Century Gothic"/>
          <w:color w:val="242424"/>
        </w:rPr>
        <w:t>groundbreaking</w:t>
      </w:r>
      <w:r w:rsidRPr="188A1EBF">
        <w:rPr>
          <w:rFonts w:ascii="Century Gothic" w:eastAsia="Times New Roman" w:hAnsi="Century Gothic"/>
          <w:color w:val="242424"/>
        </w:rPr>
        <w:t xml:space="preserve"> scheduled in 2025 once the funding gap is closed.  Construction is anticipated for FY25 and will take approximately 14 months.</w:t>
      </w:r>
    </w:p>
    <w:p w14:paraId="27E149C6" w14:textId="5E4FA5EB" w:rsidR="00390A44" w:rsidRPr="00DF3219" w:rsidRDefault="00390A44" w:rsidP="00390A44">
      <w:pPr>
        <w:rPr>
          <w:rFonts w:ascii="Century Gothic" w:eastAsia="Times New Roman" w:hAnsi="Century Gothic"/>
          <w:color w:val="242424"/>
        </w:rPr>
      </w:pPr>
    </w:p>
    <w:p w14:paraId="5E92EDBE" w14:textId="631266E4" w:rsidR="00390A44" w:rsidRPr="00DF3219" w:rsidRDefault="00390A44" w:rsidP="00390A44">
      <w:pPr>
        <w:rPr>
          <w:rFonts w:ascii="Century Gothic" w:eastAsia="Franklin Gothic Book" w:hAnsi="Century Gothic"/>
          <w:b/>
          <w:bCs/>
          <w:color w:val="000000" w:themeColor="text1"/>
        </w:rPr>
      </w:pPr>
      <w:r w:rsidRPr="00DF3219">
        <w:rPr>
          <w:rFonts w:ascii="Century Gothic" w:eastAsia="Franklin Gothic Book" w:hAnsi="Century Gothic"/>
          <w:b/>
          <w:bCs/>
          <w:color w:val="000000" w:themeColor="text1"/>
        </w:rPr>
        <w:t>Outcomes</w:t>
      </w:r>
    </w:p>
    <w:p w14:paraId="2C272720" w14:textId="59CA0E60" w:rsidR="00390A44" w:rsidRPr="00DF3219" w:rsidRDefault="00D77855" w:rsidP="00390A44">
      <w:pPr>
        <w:rPr>
          <w:rFonts w:ascii="Century Gothic" w:eastAsia="Franklin Gothic Book" w:hAnsi="Century Gothic"/>
          <w:b/>
          <w:bCs/>
          <w:color w:val="000000" w:themeColor="text1"/>
        </w:rPr>
      </w:pPr>
      <w:r>
        <w:rPr>
          <w:rFonts w:ascii="Century Gothic" w:eastAsia="Franklin Gothic Book" w:hAnsi="Century Gothic"/>
          <w:b/>
          <w:bCs/>
          <w:color w:val="000000" w:themeColor="text1"/>
        </w:rPr>
        <w:t>Internal</w:t>
      </w:r>
      <w:r w:rsidRPr="00DF3219">
        <w:rPr>
          <w:rFonts w:ascii="Century Gothic" w:eastAsia="Franklin Gothic Book" w:hAnsi="Century Gothic"/>
          <w:b/>
          <w:bCs/>
          <w:color w:val="000000" w:themeColor="text1"/>
        </w:rPr>
        <w:t xml:space="preserve"> </w:t>
      </w:r>
      <w:r w:rsidR="00390A44" w:rsidRPr="00DF3219">
        <w:rPr>
          <w:rFonts w:ascii="Century Gothic" w:eastAsia="Franklin Gothic Book" w:hAnsi="Century Gothic"/>
          <w:b/>
          <w:bCs/>
          <w:color w:val="000000" w:themeColor="text1"/>
        </w:rPr>
        <w:t>Metrics</w:t>
      </w:r>
    </w:p>
    <w:p w14:paraId="39FE7D5F" w14:textId="2E0D3A4B" w:rsidR="00390A44" w:rsidRPr="00DF3219" w:rsidRDefault="00390A44" w:rsidP="00390A44">
      <w:pPr>
        <w:jc w:val="center"/>
        <w:rPr>
          <w:rFonts w:ascii="Century Gothic" w:hAnsi="Century Gothic"/>
          <w:b/>
          <w:i/>
        </w:rPr>
      </w:pPr>
      <w:r w:rsidRPr="4EB6BE86">
        <w:rPr>
          <w:rFonts w:ascii="Century Gothic" w:hAnsi="Century Gothic"/>
          <w:b/>
          <w:i/>
        </w:rPr>
        <w:t>HC #7: Households Assisted by Services that Increase Housing Choice</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19"/>
        <w:gridCol w:w="1873"/>
        <w:gridCol w:w="2163"/>
        <w:gridCol w:w="2077"/>
        <w:gridCol w:w="2163"/>
      </w:tblGrid>
      <w:tr w:rsidR="00390A44" w:rsidRPr="00DF3219" w14:paraId="0902DA6C" w14:textId="77777777">
        <w:tc>
          <w:tcPr>
            <w:tcW w:w="1919" w:type="dxa"/>
            <w:vAlign w:val="center"/>
          </w:tcPr>
          <w:p w14:paraId="731C66C5" w14:textId="77777777" w:rsidR="00390A44" w:rsidRPr="00DF3219" w:rsidRDefault="00390A44">
            <w:pPr>
              <w:jc w:val="center"/>
              <w:rPr>
                <w:rFonts w:ascii="Century Gothic" w:hAnsi="Century Gothic"/>
                <w:szCs w:val="22"/>
              </w:rPr>
            </w:pPr>
            <w:r w:rsidRPr="00DF3219">
              <w:rPr>
                <w:rFonts w:ascii="Century Gothic" w:hAnsi="Century Gothic"/>
                <w:b/>
                <w:bCs/>
                <w:szCs w:val="22"/>
              </w:rPr>
              <w:t>Unit of Measurement</w:t>
            </w:r>
          </w:p>
        </w:tc>
        <w:tc>
          <w:tcPr>
            <w:tcW w:w="1873" w:type="dxa"/>
            <w:vAlign w:val="center"/>
          </w:tcPr>
          <w:p w14:paraId="239F9BCA" w14:textId="77777777" w:rsidR="00390A44" w:rsidRPr="00DF3219" w:rsidRDefault="00390A44">
            <w:pPr>
              <w:jc w:val="center"/>
              <w:rPr>
                <w:rFonts w:ascii="Century Gothic" w:hAnsi="Century Gothic"/>
                <w:szCs w:val="22"/>
              </w:rPr>
            </w:pPr>
            <w:r w:rsidRPr="00DF3219">
              <w:rPr>
                <w:rFonts w:ascii="Century Gothic" w:hAnsi="Century Gothic"/>
                <w:b/>
                <w:bCs/>
                <w:szCs w:val="22"/>
              </w:rPr>
              <w:t>Baseline</w:t>
            </w:r>
          </w:p>
        </w:tc>
        <w:tc>
          <w:tcPr>
            <w:tcW w:w="2163" w:type="dxa"/>
            <w:vAlign w:val="center"/>
          </w:tcPr>
          <w:p w14:paraId="3D28508D" w14:textId="77777777" w:rsidR="00390A44" w:rsidRPr="00DF3219" w:rsidRDefault="00390A44">
            <w:pPr>
              <w:jc w:val="center"/>
              <w:rPr>
                <w:rFonts w:ascii="Century Gothic" w:hAnsi="Century Gothic"/>
                <w:szCs w:val="22"/>
              </w:rPr>
            </w:pPr>
            <w:r w:rsidRPr="00DF3219">
              <w:rPr>
                <w:rFonts w:ascii="Century Gothic" w:hAnsi="Century Gothic"/>
                <w:b/>
                <w:bCs/>
                <w:szCs w:val="22"/>
              </w:rPr>
              <w:t>Benchmark</w:t>
            </w:r>
          </w:p>
        </w:tc>
        <w:tc>
          <w:tcPr>
            <w:tcW w:w="2077" w:type="dxa"/>
            <w:vAlign w:val="center"/>
          </w:tcPr>
          <w:p w14:paraId="4EA70597" w14:textId="77777777" w:rsidR="00390A44" w:rsidRPr="00DF3219" w:rsidRDefault="00390A44">
            <w:pPr>
              <w:jc w:val="center"/>
              <w:rPr>
                <w:rFonts w:ascii="Century Gothic" w:hAnsi="Century Gothic"/>
                <w:szCs w:val="22"/>
              </w:rPr>
            </w:pPr>
            <w:r w:rsidRPr="00DF3219">
              <w:rPr>
                <w:rFonts w:ascii="Century Gothic" w:hAnsi="Century Gothic"/>
                <w:b/>
                <w:bCs/>
                <w:szCs w:val="22"/>
              </w:rPr>
              <w:t>Outcome</w:t>
            </w:r>
          </w:p>
        </w:tc>
        <w:tc>
          <w:tcPr>
            <w:tcW w:w="2163" w:type="dxa"/>
            <w:vAlign w:val="center"/>
          </w:tcPr>
          <w:p w14:paraId="788E5FEC" w14:textId="77777777" w:rsidR="00390A44" w:rsidRPr="00DF3219" w:rsidRDefault="00390A44">
            <w:pPr>
              <w:jc w:val="center"/>
              <w:rPr>
                <w:rFonts w:ascii="Century Gothic" w:hAnsi="Century Gothic"/>
                <w:szCs w:val="22"/>
              </w:rPr>
            </w:pPr>
            <w:r w:rsidRPr="00DF3219">
              <w:rPr>
                <w:rFonts w:ascii="Century Gothic" w:hAnsi="Century Gothic"/>
                <w:b/>
                <w:bCs/>
                <w:szCs w:val="22"/>
              </w:rPr>
              <w:t>Benchmark Achieved?</w:t>
            </w:r>
          </w:p>
        </w:tc>
      </w:tr>
      <w:tr w:rsidR="00390A44" w:rsidRPr="00DF3219" w14:paraId="6BFE7CB4" w14:textId="77777777">
        <w:trPr>
          <w:trHeight w:val="1678"/>
        </w:trPr>
        <w:tc>
          <w:tcPr>
            <w:tcW w:w="1919" w:type="dxa"/>
          </w:tcPr>
          <w:p w14:paraId="4D82141C" w14:textId="449EA0DE" w:rsidR="00390A44" w:rsidRPr="00DF3219" w:rsidRDefault="00390A44">
            <w:pPr>
              <w:rPr>
                <w:rFonts w:ascii="Century Gothic" w:hAnsi="Century Gothic"/>
              </w:rPr>
            </w:pPr>
            <w:r w:rsidRPr="3B7CC8F7">
              <w:rPr>
                <w:rFonts w:ascii="Century Gothic" w:hAnsi="Century Gothic"/>
              </w:rPr>
              <w:t>Number of households receiving services aimed to increase housing choice (increase).</w:t>
            </w:r>
          </w:p>
          <w:p w14:paraId="79855188" w14:textId="77777777" w:rsidR="00390A44" w:rsidRPr="00DF3219" w:rsidRDefault="00390A44">
            <w:pPr>
              <w:rPr>
                <w:rFonts w:ascii="Century Gothic" w:hAnsi="Century Gothic"/>
                <w:szCs w:val="22"/>
              </w:rPr>
            </w:pPr>
          </w:p>
        </w:tc>
        <w:tc>
          <w:tcPr>
            <w:tcW w:w="1873" w:type="dxa"/>
          </w:tcPr>
          <w:p w14:paraId="0A95B656" w14:textId="77777777" w:rsidR="00390A44" w:rsidRPr="00DF3219" w:rsidRDefault="00390A44">
            <w:pPr>
              <w:rPr>
                <w:rFonts w:ascii="Century Gothic" w:hAnsi="Century Gothic"/>
                <w:szCs w:val="22"/>
              </w:rPr>
            </w:pPr>
            <w:r w:rsidRPr="00DF3219">
              <w:rPr>
                <w:rFonts w:ascii="Century Gothic" w:hAnsi="Century Gothic"/>
                <w:szCs w:val="22"/>
              </w:rPr>
              <w:t>0</w:t>
            </w:r>
          </w:p>
        </w:tc>
        <w:tc>
          <w:tcPr>
            <w:tcW w:w="2163" w:type="dxa"/>
          </w:tcPr>
          <w:p w14:paraId="2C80B252" w14:textId="77777777" w:rsidR="00390A44" w:rsidRPr="00DF3219" w:rsidRDefault="00390A44">
            <w:pPr>
              <w:rPr>
                <w:rFonts w:ascii="Century Gothic" w:hAnsi="Century Gothic"/>
                <w:szCs w:val="22"/>
              </w:rPr>
            </w:pPr>
            <w:r w:rsidRPr="00DF3219">
              <w:rPr>
                <w:rFonts w:ascii="Century Gothic" w:hAnsi="Century Gothic"/>
                <w:szCs w:val="22"/>
              </w:rPr>
              <w:t>Up to 20</w:t>
            </w:r>
          </w:p>
        </w:tc>
        <w:tc>
          <w:tcPr>
            <w:tcW w:w="2077" w:type="dxa"/>
          </w:tcPr>
          <w:p w14:paraId="6045CCA7" w14:textId="77777777" w:rsidR="00390A44" w:rsidRPr="00DF3219" w:rsidRDefault="00390A44">
            <w:pPr>
              <w:rPr>
                <w:rFonts w:ascii="Century Gothic" w:hAnsi="Century Gothic"/>
              </w:rPr>
            </w:pPr>
            <w:r w:rsidRPr="00DF3219">
              <w:rPr>
                <w:rFonts w:ascii="Century Gothic" w:hAnsi="Century Gothic"/>
              </w:rPr>
              <w:t>N/A</w:t>
            </w:r>
          </w:p>
        </w:tc>
        <w:tc>
          <w:tcPr>
            <w:tcW w:w="2163" w:type="dxa"/>
          </w:tcPr>
          <w:p w14:paraId="70C90CD7" w14:textId="77777777" w:rsidR="00390A44" w:rsidRPr="00DF3219" w:rsidRDefault="00390A44">
            <w:pPr>
              <w:rPr>
                <w:rFonts w:ascii="Century Gothic" w:hAnsi="Century Gothic"/>
              </w:rPr>
            </w:pPr>
            <w:r w:rsidRPr="00DF3219">
              <w:rPr>
                <w:rFonts w:ascii="Century Gothic" w:hAnsi="Century Gothic"/>
              </w:rPr>
              <w:t>N/A</w:t>
            </w:r>
          </w:p>
        </w:tc>
      </w:tr>
    </w:tbl>
    <w:p w14:paraId="1582066C" w14:textId="7DD16AC7" w:rsidR="00390A44" w:rsidRPr="00DF3219" w:rsidRDefault="00390A44" w:rsidP="00390A44">
      <w:pPr>
        <w:jc w:val="center"/>
        <w:rPr>
          <w:rFonts w:ascii="Century Gothic" w:hAnsi="Century Gothic"/>
          <w:b/>
          <w:i/>
        </w:rPr>
      </w:pPr>
      <w:r w:rsidRPr="4EB6BE86">
        <w:rPr>
          <w:rFonts w:ascii="Century Gothic" w:hAnsi="Century Gothic"/>
          <w:b/>
          <w:i/>
        </w:rPr>
        <w:t>SS #5: Households Assisted by Services that Increase Self Sufficiency</w:t>
      </w:r>
    </w:p>
    <w:tbl>
      <w:tblPr>
        <w:tblStyle w:val="TableGrid"/>
        <w:tblW w:w="1019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19"/>
        <w:gridCol w:w="1873"/>
        <w:gridCol w:w="2163"/>
        <w:gridCol w:w="2077"/>
        <w:gridCol w:w="2163"/>
      </w:tblGrid>
      <w:tr w:rsidR="00390A44" w:rsidRPr="00DF3219" w14:paraId="4785AFF2" w14:textId="77777777">
        <w:tc>
          <w:tcPr>
            <w:tcW w:w="1919" w:type="dxa"/>
            <w:vAlign w:val="center"/>
          </w:tcPr>
          <w:p w14:paraId="383D0925" w14:textId="77777777" w:rsidR="00390A44" w:rsidRPr="00DF3219" w:rsidRDefault="00390A44">
            <w:pPr>
              <w:jc w:val="center"/>
              <w:rPr>
                <w:rFonts w:ascii="Century Gothic" w:hAnsi="Century Gothic"/>
                <w:szCs w:val="22"/>
              </w:rPr>
            </w:pPr>
            <w:r w:rsidRPr="00DF3219">
              <w:rPr>
                <w:rFonts w:ascii="Century Gothic" w:hAnsi="Century Gothic"/>
                <w:b/>
                <w:szCs w:val="22"/>
              </w:rPr>
              <w:t>Unit of Measurement</w:t>
            </w:r>
          </w:p>
        </w:tc>
        <w:tc>
          <w:tcPr>
            <w:tcW w:w="1873" w:type="dxa"/>
            <w:vAlign w:val="center"/>
          </w:tcPr>
          <w:p w14:paraId="189494DB" w14:textId="77777777" w:rsidR="00390A44" w:rsidRPr="00DF3219" w:rsidRDefault="00390A44">
            <w:pPr>
              <w:jc w:val="center"/>
              <w:rPr>
                <w:rFonts w:ascii="Century Gothic" w:hAnsi="Century Gothic"/>
                <w:szCs w:val="22"/>
              </w:rPr>
            </w:pPr>
            <w:r w:rsidRPr="00DF3219">
              <w:rPr>
                <w:rFonts w:ascii="Century Gothic" w:hAnsi="Century Gothic"/>
                <w:b/>
                <w:szCs w:val="22"/>
              </w:rPr>
              <w:t>Baseline</w:t>
            </w:r>
          </w:p>
        </w:tc>
        <w:tc>
          <w:tcPr>
            <w:tcW w:w="2163" w:type="dxa"/>
            <w:vAlign w:val="center"/>
          </w:tcPr>
          <w:p w14:paraId="171F42D1" w14:textId="77777777" w:rsidR="00390A44" w:rsidRPr="00DF3219" w:rsidRDefault="00390A44">
            <w:pPr>
              <w:jc w:val="center"/>
              <w:rPr>
                <w:rFonts w:ascii="Century Gothic" w:hAnsi="Century Gothic"/>
                <w:szCs w:val="22"/>
              </w:rPr>
            </w:pPr>
            <w:r w:rsidRPr="00DF3219">
              <w:rPr>
                <w:rFonts w:ascii="Century Gothic" w:hAnsi="Century Gothic"/>
                <w:b/>
                <w:szCs w:val="22"/>
              </w:rPr>
              <w:t>Benchmark</w:t>
            </w:r>
          </w:p>
        </w:tc>
        <w:tc>
          <w:tcPr>
            <w:tcW w:w="2077" w:type="dxa"/>
            <w:vAlign w:val="center"/>
          </w:tcPr>
          <w:p w14:paraId="25531AAD" w14:textId="77777777" w:rsidR="00390A44" w:rsidRPr="00DF3219" w:rsidRDefault="00390A44">
            <w:pPr>
              <w:jc w:val="center"/>
              <w:rPr>
                <w:rFonts w:ascii="Century Gothic" w:hAnsi="Century Gothic"/>
                <w:szCs w:val="22"/>
              </w:rPr>
            </w:pPr>
            <w:r w:rsidRPr="00DF3219">
              <w:rPr>
                <w:rFonts w:ascii="Century Gothic" w:hAnsi="Century Gothic"/>
                <w:b/>
                <w:szCs w:val="22"/>
              </w:rPr>
              <w:t>Outcome</w:t>
            </w:r>
          </w:p>
        </w:tc>
        <w:tc>
          <w:tcPr>
            <w:tcW w:w="2163" w:type="dxa"/>
            <w:vAlign w:val="center"/>
          </w:tcPr>
          <w:p w14:paraId="00333505" w14:textId="77777777" w:rsidR="00390A44" w:rsidRPr="00DF3219" w:rsidRDefault="00390A44">
            <w:pPr>
              <w:jc w:val="center"/>
              <w:rPr>
                <w:rFonts w:ascii="Century Gothic" w:hAnsi="Century Gothic"/>
                <w:szCs w:val="22"/>
              </w:rPr>
            </w:pPr>
            <w:r w:rsidRPr="00DF3219">
              <w:rPr>
                <w:rFonts w:ascii="Century Gothic" w:hAnsi="Century Gothic"/>
                <w:b/>
                <w:szCs w:val="22"/>
              </w:rPr>
              <w:t>Benchmark Achieved?</w:t>
            </w:r>
          </w:p>
        </w:tc>
      </w:tr>
      <w:tr w:rsidR="00390A44" w:rsidRPr="00DF3219" w14:paraId="4EF70343" w14:textId="77777777">
        <w:tc>
          <w:tcPr>
            <w:tcW w:w="1919" w:type="dxa"/>
          </w:tcPr>
          <w:p w14:paraId="6EBBBA6B" w14:textId="0D58E261" w:rsidR="00390A44" w:rsidRPr="00DF3219" w:rsidRDefault="00390A44">
            <w:pPr>
              <w:rPr>
                <w:rFonts w:ascii="Century Gothic" w:hAnsi="Century Gothic"/>
              </w:rPr>
            </w:pPr>
            <w:r w:rsidRPr="3B7CC8F7">
              <w:rPr>
                <w:rFonts w:ascii="Century Gothic" w:hAnsi="Century Gothic"/>
              </w:rPr>
              <w:t>Number of households receiving services aimed to increase self-sufficiency (increase).</w:t>
            </w:r>
          </w:p>
          <w:p w14:paraId="3B482C68" w14:textId="77777777" w:rsidR="00390A44" w:rsidRPr="00DF3219" w:rsidRDefault="00390A44">
            <w:pPr>
              <w:rPr>
                <w:rFonts w:ascii="Century Gothic" w:hAnsi="Century Gothic"/>
                <w:szCs w:val="22"/>
              </w:rPr>
            </w:pPr>
          </w:p>
        </w:tc>
        <w:tc>
          <w:tcPr>
            <w:tcW w:w="1873" w:type="dxa"/>
          </w:tcPr>
          <w:p w14:paraId="5ADC5AAF" w14:textId="77777777" w:rsidR="00390A44" w:rsidRPr="00DF3219" w:rsidRDefault="00390A44">
            <w:pPr>
              <w:rPr>
                <w:rFonts w:ascii="Century Gothic" w:hAnsi="Century Gothic"/>
                <w:szCs w:val="22"/>
              </w:rPr>
            </w:pPr>
            <w:r w:rsidRPr="00DF3219">
              <w:rPr>
                <w:rFonts w:ascii="Century Gothic" w:hAnsi="Century Gothic"/>
                <w:szCs w:val="22"/>
              </w:rPr>
              <w:t>0</w:t>
            </w:r>
          </w:p>
        </w:tc>
        <w:tc>
          <w:tcPr>
            <w:tcW w:w="2163" w:type="dxa"/>
          </w:tcPr>
          <w:p w14:paraId="528FE1A9" w14:textId="77777777" w:rsidR="00390A44" w:rsidRPr="00DF3219" w:rsidRDefault="00390A44">
            <w:pPr>
              <w:rPr>
                <w:rFonts w:ascii="Century Gothic" w:hAnsi="Century Gothic"/>
                <w:szCs w:val="22"/>
              </w:rPr>
            </w:pPr>
            <w:r w:rsidRPr="00DF3219">
              <w:rPr>
                <w:rFonts w:ascii="Century Gothic" w:hAnsi="Century Gothic"/>
                <w:szCs w:val="22"/>
              </w:rPr>
              <w:t>Up to 20</w:t>
            </w:r>
          </w:p>
        </w:tc>
        <w:tc>
          <w:tcPr>
            <w:tcW w:w="2077" w:type="dxa"/>
          </w:tcPr>
          <w:p w14:paraId="74D0F46C" w14:textId="77777777" w:rsidR="00390A44" w:rsidRPr="00DF3219" w:rsidRDefault="00390A44">
            <w:pPr>
              <w:rPr>
                <w:rFonts w:ascii="Century Gothic" w:hAnsi="Century Gothic"/>
              </w:rPr>
            </w:pPr>
            <w:r w:rsidRPr="00DF3219">
              <w:rPr>
                <w:rFonts w:ascii="Century Gothic" w:hAnsi="Century Gothic"/>
              </w:rPr>
              <w:t>N/A</w:t>
            </w:r>
          </w:p>
        </w:tc>
        <w:tc>
          <w:tcPr>
            <w:tcW w:w="2163" w:type="dxa"/>
          </w:tcPr>
          <w:p w14:paraId="0F3DBFE2" w14:textId="77777777" w:rsidR="00390A44" w:rsidRPr="00DF3219" w:rsidRDefault="00390A44">
            <w:pPr>
              <w:rPr>
                <w:rFonts w:ascii="Century Gothic" w:hAnsi="Century Gothic"/>
              </w:rPr>
            </w:pPr>
            <w:r w:rsidRPr="00DF3219">
              <w:rPr>
                <w:rFonts w:ascii="Century Gothic" w:hAnsi="Century Gothic"/>
              </w:rPr>
              <w:t>N/A</w:t>
            </w:r>
          </w:p>
        </w:tc>
      </w:tr>
    </w:tbl>
    <w:p w14:paraId="74A0EBA5" w14:textId="1454E185" w:rsidR="00390A44" w:rsidRPr="00DF3219" w:rsidRDefault="00390A44" w:rsidP="00390A44">
      <w:pPr>
        <w:jc w:val="center"/>
        <w:rPr>
          <w:rFonts w:ascii="Century Gothic" w:hAnsi="Century Gothic"/>
          <w:b/>
          <w:i/>
        </w:rPr>
      </w:pPr>
      <w:r w:rsidRPr="4EB6BE86">
        <w:rPr>
          <w:rFonts w:ascii="Century Gothic" w:hAnsi="Century Gothic"/>
          <w:b/>
          <w:i/>
        </w:rPr>
        <w:lastRenderedPageBreak/>
        <w:t>SS #8: Households Transitioned to Self Sufficiency</w:t>
      </w:r>
    </w:p>
    <w:tbl>
      <w:tblPr>
        <w:tblStyle w:val="TableGrid"/>
        <w:tblW w:w="1019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730"/>
        <w:gridCol w:w="1876"/>
        <w:gridCol w:w="1892"/>
        <w:gridCol w:w="1892"/>
        <w:gridCol w:w="1805"/>
      </w:tblGrid>
      <w:tr w:rsidR="00390A44" w:rsidRPr="00DF3219" w14:paraId="5F528B9D" w14:textId="77777777">
        <w:tc>
          <w:tcPr>
            <w:tcW w:w="2730" w:type="dxa"/>
            <w:vAlign w:val="center"/>
          </w:tcPr>
          <w:p w14:paraId="5C7D0A4E" w14:textId="77777777" w:rsidR="00390A44" w:rsidRPr="00DF3219" w:rsidRDefault="00390A44">
            <w:pPr>
              <w:jc w:val="center"/>
              <w:rPr>
                <w:rFonts w:ascii="Century Gothic" w:hAnsi="Century Gothic"/>
                <w:szCs w:val="22"/>
              </w:rPr>
            </w:pPr>
            <w:r w:rsidRPr="00DF3219">
              <w:rPr>
                <w:rFonts w:ascii="Century Gothic" w:hAnsi="Century Gothic"/>
                <w:b/>
                <w:szCs w:val="22"/>
              </w:rPr>
              <w:t>Unit of Measurement</w:t>
            </w:r>
          </w:p>
        </w:tc>
        <w:tc>
          <w:tcPr>
            <w:tcW w:w="1876" w:type="dxa"/>
            <w:vAlign w:val="center"/>
          </w:tcPr>
          <w:p w14:paraId="44014BCB" w14:textId="77777777" w:rsidR="00390A44" w:rsidRPr="00DF3219" w:rsidRDefault="00390A44">
            <w:pPr>
              <w:jc w:val="center"/>
              <w:rPr>
                <w:rFonts w:ascii="Century Gothic" w:hAnsi="Century Gothic"/>
                <w:szCs w:val="22"/>
              </w:rPr>
            </w:pPr>
            <w:r w:rsidRPr="00DF3219">
              <w:rPr>
                <w:rFonts w:ascii="Century Gothic" w:hAnsi="Century Gothic"/>
                <w:b/>
                <w:szCs w:val="22"/>
              </w:rPr>
              <w:t>Baseline</w:t>
            </w:r>
          </w:p>
        </w:tc>
        <w:tc>
          <w:tcPr>
            <w:tcW w:w="1892" w:type="dxa"/>
            <w:vAlign w:val="center"/>
          </w:tcPr>
          <w:p w14:paraId="00C59573" w14:textId="77777777" w:rsidR="00390A44" w:rsidRPr="00DF3219" w:rsidRDefault="00390A44">
            <w:pPr>
              <w:jc w:val="center"/>
              <w:rPr>
                <w:rFonts w:ascii="Century Gothic" w:hAnsi="Century Gothic"/>
                <w:szCs w:val="22"/>
              </w:rPr>
            </w:pPr>
            <w:r w:rsidRPr="00DF3219">
              <w:rPr>
                <w:rFonts w:ascii="Century Gothic" w:hAnsi="Century Gothic"/>
                <w:b/>
                <w:szCs w:val="22"/>
              </w:rPr>
              <w:t>Benchmark</w:t>
            </w:r>
          </w:p>
        </w:tc>
        <w:tc>
          <w:tcPr>
            <w:tcW w:w="1892" w:type="dxa"/>
            <w:vAlign w:val="center"/>
          </w:tcPr>
          <w:p w14:paraId="37030311" w14:textId="77777777" w:rsidR="00390A44" w:rsidRPr="00DF3219" w:rsidRDefault="00390A44">
            <w:pPr>
              <w:jc w:val="center"/>
              <w:rPr>
                <w:rFonts w:ascii="Century Gothic" w:hAnsi="Century Gothic"/>
                <w:szCs w:val="22"/>
              </w:rPr>
            </w:pPr>
            <w:r w:rsidRPr="00DF3219">
              <w:rPr>
                <w:rFonts w:ascii="Century Gothic" w:hAnsi="Century Gothic"/>
                <w:b/>
                <w:szCs w:val="22"/>
              </w:rPr>
              <w:t>Outcome</w:t>
            </w:r>
          </w:p>
        </w:tc>
        <w:tc>
          <w:tcPr>
            <w:tcW w:w="1805" w:type="dxa"/>
            <w:vAlign w:val="center"/>
          </w:tcPr>
          <w:p w14:paraId="0999760D" w14:textId="77777777" w:rsidR="00390A44" w:rsidRPr="00DF3219" w:rsidRDefault="00390A44">
            <w:pPr>
              <w:jc w:val="center"/>
              <w:rPr>
                <w:rFonts w:ascii="Century Gothic" w:hAnsi="Century Gothic"/>
                <w:szCs w:val="22"/>
              </w:rPr>
            </w:pPr>
            <w:r w:rsidRPr="00DF3219">
              <w:rPr>
                <w:rFonts w:ascii="Century Gothic" w:hAnsi="Century Gothic"/>
                <w:b/>
                <w:szCs w:val="22"/>
              </w:rPr>
              <w:t>Benchmark Achieved?</w:t>
            </w:r>
          </w:p>
        </w:tc>
      </w:tr>
      <w:tr w:rsidR="00390A44" w:rsidRPr="00DF3219" w14:paraId="48CAB504" w14:textId="77777777">
        <w:tc>
          <w:tcPr>
            <w:tcW w:w="2730" w:type="dxa"/>
          </w:tcPr>
          <w:p w14:paraId="7CC2FD64" w14:textId="782F9F33" w:rsidR="00390A44" w:rsidRPr="00DF3219" w:rsidRDefault="00390A44">
            <w:pPr>
              <w:rPr>
                <w:rFonts w:ascii="Century Gothic" w:hAnsi="Century Gothic"/>
              </w:rPr>
            </w:pPr>
            <w:r w:rsidRPr="3B7CC8F7">
              <w:rPr>
                <w:rFonts w:ascii="Century Gothic" w:hAnsi="Century Gothic"/>
              </w:rPr>
              <w:t xml:space="preserve">Number of households transitioned to self-sufficiency (increase). </w:t>
            </w:r>
          </w:p>
          <w:p w14:paraId="4A9DACAB" w14:textId="77777777" w:rsidR="00390A44" w:rsidRPr="00DF3219" w:rsidRDefault="00390A44">
            <w:pPr>
              <w:rPr>
                <w:rFonts w:ascii="Century Gothic" w:hAnsi="Century Gothic"/>
                <w:szCs w:val="22"/>
              </w:rPr>
            </w:pPr>
          </w:p>
        </w:tc>
        <w:tc>
          <w:tcPr>
            <w:tcW w:w="1876" w:type="dxa"/>
          </w:tcPr>
          <w:p w14:paraId="1DF60ADE" w14:textId="77777777" w:rsidR="00390A44" w:rsidRPr="00DF3219" w:rsidRDefault="00390A44">
            <w:pPr>
              <w:rPr>
                <w:rFonts w:ascii="Century Gothic" w:hAnsi="Century Gothic"/>
                <w:szCs w:val="22"/>
              </w:rPr>
            </w:pPr>
          </w:p>
          <w:p w14:paraId="030BABF6" w14:textId="77777777" w:rsidR="00390A44" w:rsidRPr="00DF3219" w:rsidRDefault="00390A44">
            <w:pPr>
              <w:rPr>
                <w:rFonts w:ascii="Century Gothic" w:hAnsi="Century Gothic"/>
                <w:szCs w:val="22"/>
              </w:rPr>
            </w:pPr>
            <w:r w:rsidRPr="00DF3219">
              <w:rPr>
                <w:rFonts w:ascii="Century Gothic" w:hAnsi="Century Gothic"/>
                <w:szCs w:val="22"/>
              </w:rPr>
              <w:t>0</w:t>
            </w:r>
          </w:p>
        </w:tc>
        <w:tc>
          <w:tcPr>
            <w:tcW w:w="1892" w:type="dxa"/>
          </w:tcPr>
          <w:p w14:paraId="71D0B084" w14:textId="77777777" w:rsidR="00390A44" w:rsidRPr="00DF3219" w:rsidRDefault="00390A44">
            <w:pPr>
              <w:rPr>
                <w:rFonts w:ascii="Century Gothic" w:hAnsi="Century Gothic"/>
                <w:szCs w:val="22"/>
              </w:rPr>
            </w:pPr>
            <w:r w:rsidRPr="00DF3219">
              <w:rPr>
                <w:rFonts w:ascii="Century Gothic" w:hAnsi="Century Gothic"/>
                <w:szCs w:val="22"/>
              </w:rPr>
              <w:t>Up to 20</w:t>
            </w:r>
          </w:p>
        </w:tc>
        <w:tc>
          <w:tcPr>
            <w:tcW w:w="1892" w:type="dxa"/>
          </w:tcPr>
          <w:p w14:paraId="6E10A1FA" w14:textId="77777777" w:rsidR="00390A44" w:rsidRPr="00DF3219" w:rsidRDefault="00390A44">
            <w:pPr>
              <w:rPr>
                <w:rFonts w:ascii="Century Gothic" w:hAnsi="Century Gothic"/>
              </w:rPr>
            </w:pPr>
            <w:r w:rsidRPr="00DF3219">
              <w:rPr>
                <w:rFonts w:ascii="Century Gothic" w:hAnsi="Century Gothic"/>
              </w:rPr>
              <w:t>N/A</w:t>
            </w:r>
          </w:p>
        </w:tc>
        <w:tc>
          <w:tcPr>
            <w:tcW w:w="1805" w:type="dxa"/>
          </w:tcPr>
          <w:p w14:paraId="0F22E57D" w14:textId="77777777" w:rsidR="00390A44" w:rsidRPr="00DF3219" w:rsidRDefault="00390A44">
            <w:pPr>
              <w:rPr>
                <w:rFonts w:ascii="Century Gothic" w:hAnsi="Century Gothic"/>
              </w:rPr>
            </w:pPr>
            <w:r w:rsidRPr="00DF3219">
              <w:rPr>
                <w:rFonts w:ascii="Century Gothic" w:hAnsi="Century Gothic"/>
              </w:rPr>
              <w:t>N/A</w:t>
            </w:r>
          </w:p>
        </w:tc>
      </w:tr>
    </w:tbl>
    <w:p w14:paraId="238F34AB" w14:textId="695D250F" w:rsidR="00390A44" w:rsidRPr="00DF3219" w:rsidRDefault="00390A44" w:rsidP="00390A44">
      <w:pPr>
        <w:rPr>
          <w:rFonts w:ascii="Century Gothic" w:eastAsia="Franklin Gothic Book" w:hAnsi="Century Gothic"/>
          <w:color w:val="000000" w:themeColor="text1"/>
        </w:rPr>
      </w:pPr>
    </w:p>
    <w:p w14:paraId="47E45245" w14:textId="16B154D1" w:rsidR="00390A44" w:rsidRPr="00DF3219" w:rsidRDefault="00390A44" w:rsidP="00390A44">
      <w:pPr>
        <w:rPr>
          <w:rFonts w:ascii="Century Gothic" w:eastAsia="Franklin Gothic Book" w:hAnsi="Century Gothic"/>
          <w:b/>
          <w:color w:val="000000" w:themeColor="text1"/>
        </w:rPr>
      </w:pPr>
    </w:p>
    <w:p w14:paraId="1D350C37" w14:textId="644FF5C6" w:rsidR="00390A44" w:rsidRPr="00DF3219" w:rsidRDefault="00390A44" w:rsidP="00390A44">
      <w:pPr>
        <w:rPr>
          <w:rFonts w:ascii="Century Gothic" w:eastAsia="Franklin Gothic Book" w:hAnsi="Century Gothic"/>
          <w:b/>
          <w:bCs/>
          <w:color w:val="000000" w:themeColor="text1"/>
        </w:rPr>
      </w:pPr>
      <w:r w:rsidRPr="00DF3219">
        <w:rPr>
          <w:rFonts w:ascii="Century Gothic" w:eastAsia="Franklin Gothic Book" w:hAnsi="Century Gothic"/>
          <w:b/>
          <w:bCs/>
          <w:color w:val="000000" w:themeColor="text1"/>
        </w:rPr>
        <w:t>Actual Non-Significant Changes</w:t>
      </w:r>
    </w:p>
    <w:p w14:paraId="17226A15" w14:textId="1EC122EA" w:rsidR="00390A44" w:rsidRPr="00DF3219" w:rsidRDefault="00390A44" w:rsidP="00390A44">
      <w:pPr>
        <w:rPr>
          <w:rFonts w:ascii="Century Gothic" w:eastAsia="Franklin Gothic Book" w:hAnsi="Century Gothic"/>
          <w:color w:val="000000" w:themeColor="text1"/>
        </w:rPr>
      </w:pPr>
      <w:r w:rsidRPr="00DF3219">
        <w:rPr>
          <w:rFonts w:ascii="Century Gothic" w:eastAsia="Franklin Gothic Book" w:hAnsi="Century Gothic"/>
          <w:color w:val="000000" w:themeColor="text1"/>
        </w:rPr>
        <w:t>None</w:t>
      </w:r>
    </w:p>
    <w:p w14:paraId="1E4C61C7" w14:textId="7068B8AD" w:rsidR="00390A44" w:rsidRPr="00DF3219" w:rsidRDefault="00390A44" w:rsidP="00390A44">
      <w:pPr>
        <w:rPr>
          <w:rFonts w:ascii="Century Gothic" w:eastAsia="Franklin Gothic Book" w:hAnsi="Century Gothic"/>
          <w:b/>
          <w:color w:val="000000" w:themeColor="text1"/>
        </w:rPr>
      </w:pPr>
    </w:p>
    <w:p w14:paraId="15A0FD54" w14:textId="3FE93DD3" w:rsidR="00390A44" w:rsidRPr="00DF3219" w:rsidRDefault="00390A44" w:rsidP="00390A44">
      <w:pPr>
        <w:rPr>
          <w:rFonts w:ascii="Century Gothic" w:eastAsia="Franklin Gothic Book" w:hAnsi="Century Gothic"/>
          <w:b/>
          <w:color w:val="000000" w:themeColor="text1"/>
        </w:rPr>
      </w:pPr>
    </w:p>
    <w:p w14:paraId="5C232C52" w14:textId="46EC1643" w:rsidR="00390A44" w:rsidRPr="00DF3219" w:rsidRDefault="00390A44" w:rsidP="00390A44">
      <w:pPr>
        <w:rPr>
          <w:rFonts w:ascii="Century Gothic" w:eastAsia="Franklin Gothic Book" w:hAnsi="Century Gothic"/>
          <w:b/>
          <w:bCs/>
          <w:color w:val="000000" w:themeColor="text1"/>
        </w:rPr>
      </w:pPr>
      <w:r w:rsidRPr="00DF3219">
        <w:rPr>
          <w:rFonts w:ascii="Century Gothic" w:eastAsia="Franklin Gothic Book" w:hAnsi="Century Gothic"/>
          <w:b/>
          <w:bCs/>
          <w:color w:val="000000" w:themeColor="text1"/>
        </w:rPr>
        <w:t>Actual Non-Significant Changes</w:t>
      </w:r>
    </w:p>
    <w:p w14:paraId="4C683774" w14:textId="699328A0" w:rsidR="00390A44" w:rsidRPr="00DF3219" w:rsidRDefault="00390A44" w:rsidP="00390A44">
      <w:pPr>
        <w:rPr>
          <w:rFonts w:ascii="Century Gothic" w:eastAsia="Franklin Gothic Book" w:hAnsi="Century Gothic"/>
          <w:color w:val="000000" w:themeColor="text1"/>
        </w:rPr>
      </w:pPr>
      <w:r w:rsidRPr="00DF3219">
        <w:rPr>
          <w:rFonts w:ascii="Century Gothic" w:eastAsia="Franklin Gothic Book" w:hAnsi="Century Gothic"/>
          <w:color w:val="000000" w:themeColor="text1"/>
        </w:rPr>
        <w:t>None</w:t>
      </w:r>
    </w:p>
    <w:p w14:paraId="55244C09" w14:textId="716D4560" w:rsidR="00390A44" w:rsidRPr="00DF3219" w:rsidRDefault="00390A44" w:rsidP="00390A44">
      <w:pPr>
        <w:rPr>
          <w:rFonts w:ascii="Century Gothic" w:eastAsia="Franklin Gothic Book" w:hAnsi="Century Gothic"/>
          <w:b/>
          <w:color w:val="000000" w:themeColor="text1"/>
        </w:rPr>
      </w:pPr>
    </w:p>
    <w:p w14:paraId="7E7B6FA0" w14:textId="72647C00" w:rsidR="00390A44" w:rsidRPr="00DF3219" w:rsidRDefault="00390A44" w:rsidP="00390A44">
      <w:pPr>
        <w:rPr>
          <w:rFonts w:ascii="Century Gothic" w:eastAsia="Franklin Gothic Book" w:hAnsi="Century Gothic"/>
          <w:color w:val="000000" w:themeColor="text1"/>
        </w:rPr>
      </w:pPr>
    </w:p>
    <w:p w14:paraId="6076550B" w14:textId="7CF620AA" w:rsidR="00390A44" w:rsidRPr="00DF3219" w:rsidRDefault="00390A44" w:rsidP="00390A44">
      <w:pPr>
        <w:rPr>
          <w:rFonts w:ascii="Century Gothic" w:eastAsia="Franklin Gothic Book" w:hAnsi="Century Gothic"/>
          <w:color w:val="000000" w:themeColor="text1"/>
        </w:rPr>
      </w:pPr>
    </w:p>
    <w:p w14:paraId="36A97405" w14:textId="7D50EAE5" w:rsidR="00390A44" w:rsidRPr="00DF3219" w:rsidRDefault="00390A44" w:rsidP="00390A44">
      <w:pPr>
        <w:rPr>
          <w:rFonts w:ascii="Century Gothic" w:eastAsia="Franklin Gothic Book" w:hAnsi="Century Gothic"/>
          <w:color w:val="000000" w:themeColor="text1"/>
        </w:rPr>
      </w:pPr>
    </w:p>
    <w:p w14:paraId="1DD4A24F" w14:textId="56031564" w:rsidR="00390A44" w:rsidRDefault="00390A44" w:rsidP="00390A44">
      <w:pPr>
        <w:rPr>
          <w:rFonts w:ascii="Times New Roman" w:eastAsia="Franklin Gothic Book" w:hAnsi="Times New Roman"/>
          <w:color w:val="000000" w:themeColor="text1"/>
        </w:rPr>
      </w:pPr>
    </w:p>
    <w:p w14:paraId="016376E9" w14:textId="24E8FAC0" w:rsidR="00390A44" w:rsidRDefault="00390A44" w:rsidP="00390A44">
      <w:pPr>
        <w:rPr>
          <w:rFonts w:ascii="Times New Roman" w:eastAsia="Franklin Gothic Book" w:hAnsi="Times New Roman"/>
          <w:color w:val="000000" w:themeColor="text1"/>
        </w:rPr>
      </w:pPr>
    </w:p>
    <w:p w14:paraId="5FD583B0" w14:textId="6F5E2E5A" w:rsidR="00390A44" w:rsidRDefault="00390A44" w:rsidP="00390A44">
      <w:pPr>
        <w:rPr>
          <w:rFonts w:ascii="Times New Roman" w:eastAsia="Franklin Gothic Book" w:hAnsi="Times New Roman"/>
          <w:color w:val="000000" w:themeColor="text1"/>
        </w:rPr>
      </w:pPr>
    </w:p>
    <w:p w14:paraId="1D29D5E0" w14:textId="0BF69313" w:rsidR="00390A44" w:rsidRDefault="00390A44" w:rsidP="00390A44">
      <w:pPr>
        <w:rPr>
          <w:rFonts w:ascii="Times New Roman" w:eastAsia="Franklin Gothic Book" w:hAnsi="Times New Roman"/>
          <w:color w:val="000000" w:themeColor="text1"/>
        </w:rPr>
      </w:pPr>
    </w:p>
    <w:p w14:paraId="68FEB6A2" w14:textId="42FC0661" w:rsidR="00390A44" w:rsidRDefault="00390A44" w:rsidP="00390A44">
      <w:pPr>
        <w:rPr>
          <w:rFonts w:ascii="Times New Roman" w:eastAsia="Franklin Gothic Book" w:hAnsi="Times New Roman"/>
          <w:color w:val="000000" w:themeColor="text1"/>
        </w:rPr>
      </w:pPr>
    </w:p>
    <w:p w14:paraId="0EB150E7" w14:textId="67027055" w:rsidR="00390A44" w:rsidRDefault="00390A44" w:rsidP="00390A44">
      <w:pPr>
        <w:rPr>
          <w:rFonts w:ascii="Times New Roman" w:eastAsia="Franklin Gothic Book" w:hAnsi="Times New Roman"/>
          <w:color w:val="000000" w:themeColor="text1"/>
        </w:rPr>
      </w:pPr>
    </w:p>
    <w:p w14:paraId="0E074DC3" w14:textId="7A63562C" w:rsidR="00B44429" w:rsidRDefault="00B44429" w:rsidP="00390A44">
      <w:pPr>
        <w:rPr>
          <w:rFonts w:ascii="Times New Roman" w:eastAsia="Franklin Gothic Book" w:hAnsi="Times New Roman"/>
          <w:color w:val="000000" w:themeColor="text1"/>
        </w:rPr>
      </w:pPr>
    </w:p>
    <w:p w14:paraId="4B4BEBFA" w14:textId="58631B8A" w:rsidR="00B44429" w:rsidRDefault="00B44429" w:rsidP="00390A44">
      <w:pPr>
        <w:rPr>
          <w:rFonts w:ascii="Times New Roman" w:eastAsia="Franklin Gothic Book" w:hAnsi="Times New Roman"/>
          <w:color w:val="000000" w:themeColor="text1"/>
        </w:rPr>
      </w:pPr>
    </w:p>
    <w:p w14:paraId="43795E8C" w14:textId="35B0203B" w:rsidR="00390A44" w:rsidRDefault="00390A44" w:rsidP="00390A44">
      <w:pPr>
        <w:rPr>
          <w:rFonts w:ascii="Times New Roman" w:eastAsia="Franklin Gothic Book" w:hAnsi="Times New Roman"/>
          <w:color w:val="000000" w:themeColor="text1"/>
        </w:rPr>
      </w:pPr>
    </w:p>
    <w:p w14:paraId="04E1A1C5" w14:textId="404EA035" w:rsidR="00FB7FCC" w:rsidRDefault="00FB7FCC" w:rsidP="655A2699">
      <w:pPr>
        <w:tabs>
          <w:tab w:val="left" w:pos="1350"/>
        </w:tabs>
        <w:spacing w:before="240" w:after="160"/>
        <w:rPr>
          <w:rFonts w:eastAsia="MS PGothic"/>
        </w:rPr>
      </w:pPr>
    </w:p>
    <w:p w14:paraId="335985E4" w14:textId="43B55CBD" w:rsidR="00B73719" w:rsidRDefault="00B73719" w:rsidP="655A2699">
      <w:pPr>
        <w:tabs>
          <w:tab w:val="left" w:pos="1350"/>
        </w:tabs>
        <w:spacing w:before="240" w:after="160"/>
        <w:rPr>
          <w:rFonts w:eastAsia="MS PGothic"/>
        </w:rPr>
      </w:pPr>
      <w:r>
        <w:rPr>
          <w:rFonts w:eastAsia="MS PGothic"/>
        </w:rPr>
        <w:br w:type="page"/>
      </w:r>
    </w:p>
    <w:p w14:paraId="610EE267" w14:textId="1CDA7914" w:rsidR="1C28A9AA" w:rsidRPr="00E567B6" w:rsidRDefault="1B179E7D" w:rsidP="492303B8">
      <w:pPr>
        <w:pStyle w:val="Heading3"/>
        <w:rPr>
          <w:rFonts w:ascii="Century Gothic" w:hAnsi="Century Gothic" w:cs="Times New Roman"/>
          <w:b w:val="0"/>
          <w:sz w:val="22"/>
          <w:szCs w:val="22"/>
        </w:rPr>
      </w:pPr>
      <w:bookmarkStart w:id="188" w:name="_Toc89295071"/>
      <w:bookmarkStart w:id="189" w:name="_Toc89871181"/>
      <w:r w:rsidRPr="00E567B6">
        <w:rPr>
          <w:rFonts w:ascii="Century Gothic" w:hAnsi="Century Gothic"/>
          <w:sz w:val="22"/>
          <w:szCs w:val="22"/>
        </w:rPr>
        <w:lastRenderedPageBreak/>
        <w:t>Initiative</w:t>
      </w:r>
      <w:r w:rsidR="7C5CE5AC" w:rsidRPr="00E567B6">
        <w:rPr>
          <w:rFonts w:ascii="Century Gothic" w:hAnsi="Century Gothic"/>
          <w:sz w:val="22"/>
          <w:szCs w:val="22"/>
        </w:rPr>
        <w:t xml:space="preserve"> </w:t>
      </w:r>
      <w:r w:rsidR="21B21A78" w:rsidRPr="00E567B6">
        <w:rPr>
          <w:rFonts w:ascii="Century Gothic" w:hAnsi="Century Gothic" w:cs="Times New Roman"/>
          <w:sz w:val="22"/>
          <w:szCs w:val="22"/>
        </w:rPr>
        <w:t>3.11F</w:t>
      </w:r>
      <w:r w:rsidR="00281052" w:rsidRPr="00E567B6">
        <w:rPr>
          <w:rFonts w:ascii="Century Gothic" w:hAnsi="Century Gothic" w:cs="Times New Roman"/>
          <w:sz w:val="22"/>
          <w:szCs w:val="22"/>
        </w:rPr>
        <w:t>: Creation</w:t>
      </w:r>
      <w:r w:rsidR="7C5CE5AC" w:rsidRPr="00E567B6">
        <w:rPr>
          <w:rFonts w:ascii="Century Gothic" w:hAnsi="Century Gothic" w:cs="Times New Roman"/>
          <w:sz w:val="22"/>
          <w:szCs w:val="22"/>
        </w:rPr>
        <w:t xml:space="preserve"> of new instrumentality entities to support ECC/HANH goals and strategic planning activities</w:t>
      </w:r>
      <w:bookmarkEnd w:id="188"/>
      <w:bookmarkEnd w:id="189"/>
      <w:r w:rsidR="21B21A78" w:rsidRPr="00E567B6">
        <w:rPr>
          <w:rFonts w:ascii="Century Gothic" w:hAnsi="Century Gothic" w:cs="Times New Roman"/>
          <w:sz w:val="22"/>
          <w:szCs w:val="22"/>
        </w:rPr>
        <w:t xml:space="preserve"> (Previously 4.6F)</w:t>
      </w:r>
    </w:p>
    <w:p w14:paraId="516FC3A7" w14:textId="584637A8" w:rsidR="1C28A9AA" w:rsidRPr="00E567B6" w:rsidRDefault="05C9F20B" w:rsidP="492303B8">
      <w:pPr>
        <w:rPr>
          <w:rFonts w:ascii="Century Gothic" w:hAnsi="Century Gothic"/>
        </w:rPr>
      </w:pPr>
      <w:r w:rsidRPr="00E567B6">
        <w:rPr>
          <w:rFonts w:ascii="Century Gothic" w:hAnsi="Century Gothic"/>
        </w:rPr>
        <w:t>Approved and implemented in FY17</w:t>
      </w:r>
    </w:p>
    <w:p w14:paraId="3861FC2E" w14:textId="1E7685E1" w:rsidR="1C28A9AA" w:rsidRPr="00E567B6" w:rsidRDefault="35AE0CDD" w:rsidP="0E6C54AB">
      <w:pPr>
        <w:tabs>
          <w:tab w:val="left" w:pos="1350"/>
        </w:tabs>
        <w:spacing w:before="240" w:after="160"/>
        <w:rPr>
          <w:rFonts w:ascii="Century Gothic" w:eastAsia="Times New Roman" w:hAnsi="Century Gothic"/>
          <w:b/>
          <w:bCs/>
        </w:rPr>
      </w:pPr>
      <w:r w:rsidRPr="00E567B6">
        <w:rPr>
          <w:rFonts w:ascii="Century Gothic" w:eastAsia="Times New Roman" w:hAnsi="Century Gothic"/>
          <w:b/>
          <w:bCs/>
        </w:rPr>
        <w:t>Description</w:t>
      </w:r>
    </w:p>
    <w:p w14:paraId="1993D60A" w14:textId="12E11176" w:rsidR="1C28A9AA" w:rsidRPr="00E567B6" w:rsidRDefault="7755078C" w:rsidP="6B711D13">
      <w:pPr>
        <w:tabs>
          <w:tab w:val="left" w:pos="1350"/>
        </w:tabs>
        <w:spacing w:before="240" w:after="160"/>
        <w:rPr>
          <w:rFonts w:ascii="Century Gothic" w:hAnsi="Century Gothic"/>
        </w:rPr>
      </w:pPr>
      <w:r w:rsidRPr="00E567B6">
        <w:rPr>
          <w:rFonts w:ascii="Century Gothic" w:hAnsi="Century Gothic"/>
        </w:rPr>
        <w:t>ECC/HANH initiated the planning and formation of new affiliate-instrumentality entities to support the Agency’s short term and long-term plans to establish a new corporate structure, better align revenues, and provide more coordinated and effective services to residents. These new instrumentality entities</w:t>
      </w:r>
      <w:r w:rsidR="6BAEC3A3" w:rsidRPr="00E567B6">
        <w:rPr>
          <w:rFonts w:ascii="Century Gothic" w:hAnsi="Century Gothic"/>
        </w:rPr>
        <w:t xml:space="preserve"> </w:t>
      </w:r>
      <w:r w:rsidR="6FF6818C" w:rsidRPr="00E567B6">
        <w:rPr>
          <w:rFonts w:ascii="Century Gothic" w:hAnsi="Century Gothic"/>
        </w:rPr>
        <w:t>were envisioned to</w:t>
      </w:r>
      <w:r w:rsidRPr="00E567B6">
        <w:rPr>
          <w:rFonts w:ascii="Century Gothic" w:hAnsi="Century Gothic"/>
        </w:rPr>
        <w:t xml:space="preserve"> be vehicles for ECC/HANH to partner with financial institutions and other investors to continue to redevelop and modernize the ECC/HANH portfolio of properties and support the agency’s mission of creating and preserving affordable housing opportunities and supportive services for low income and working families, the elderly and persons with disabilities. The business activities of these instrumentality entities include</w:t>
      </w:r>
      <w:r w:rsidR="3E5B0ECA" w:rsidRPr="00E567B6">
        <w:rPr>
          <w:rFonts w:ascii="Century Gothic" w:hAnsi="Century Gothic"/>
        </w:rPr>
        <w:t>d</w:t>
      </w:r>
      <w:r w:rsidRPr="00E567B6">
        <w:rPr>
          <w:rFonts w:ascii="Century Gothic" w:hAnsi="Century Gothic"/>
        </w:rPr>
        <w:t>:</w:t>
      </w:r>
    </w:p>
    <w:p w14:paraId="3CC15641" w14:textId="2DEAAAB7" w:rsidR="1C28A9AA" w:rsidRPr="00E567B6" w:rsidRDefault="05C9F20B" w:rsidP="00486062">
      <w:pPr>
        <w:pStyle w:val="ListParagraph"/>
        <w:numPr>
          <w:ilvl w:val="0"/>
          <w:numId w:val="83"/>
        </w:numPr>
        <w:spacing w:before="120" w:after="120"/>
        <w:rPr>
          <w:rFonts w:ascii="Century Gothic" w:hAnsi="Century Gothic" w:cstheme="minorBidi"/>
        </w:rPr>
      </w:pPr>
      <w:r w:rsidRPr="00E567B6">
        <w:rPr>
          <w:rFonts w:ascii="Century Gothic" w:hAnsi="Century Gothic"/>
        </w:rPr>
        <w:t>Property management and consultant services</w:t>
      </w:r>
    </w:p>
    <w:p w14:paraId="1C658D53" w14:textId="2DEAAAB7" w:rsidR="1C28A9AA" w:rsidRPr="00E567B6" w:rsidRDefault="05C9F20B" w:rsidP="00486062">
      <w:pPr>
        <w:pStyle w:val="ListParagraph"/>
        <w:numPr>
          <w:ilvl w:val="0"/>
          <w:numId w:val="83"/>
        </w:numPr>
        <w:spacing w:before="120" w:after="120"/>
        <w:rPr>
          <w:rFonts w:ascii="Century Gothic" w:hAnsi="Century Gothic" w:cstheme="minorBidi"/>
        </w:rPr>
      </w:pPr>
      <w:r w:rsidRPr="00E567B6">
        <w:rPr>
          <w:rFonts w:ascii="Century Gothic" w:hAnsi="Century Gothic"/>
        </w:rPr>
        <w:t>Development of mixed-use and mixed-income real estate projects</w:t>
      </w:r>
    </w:p>
    <w:p w14:paraId="4FEAFFDF" w14:textId="628C559F" w:rsidR="1C28A9AA" w:rsidRPr="00E567B6" w:rsidRDefault="05C9F20B" w:rsidP="00486062">
      <w:pPr>
        <w:pStyle w:val="ListParagraph"/>
        <w:numPr>
          <w:ilvl w:val="0"/>
          <w:numId w:val="83"/>
        </w:numPr>
        <w:spacing w:before="120" w:after="120"/>
        <w:rPr>
          <w:rFonts w:ascii="Century Gothic" w:hAnsi="Century Gothic" w:cstheme="minorBidi"/>
        </w:rPr>
      </w:pPr>
      <w:r w:rsidRPr="00E567B6">
        <w:rPr>
          <w:rFonts w:ascii="Century Gothic" w:hAnsi="Century Gothic"/>
        </w:rPr>
        <w:t>Social services and program activities for ECC/HANH owned and non-owned developments</w:t>
      </w:r>
      <w:r w:rsidR="00DA4C91" w:rsidRPr="00E567B6">
        <w:rPr>
          <w:rFonts w:ascii="Century Gothic" w:hAnsi="Century Gothic"/>
        </w:rPr>
        <w:t>.</w:t>
      </w:r>
    </w:p>
    <w:p w14:paraId="4101A127" w14:textId="3A7E2180" w:rsidR="1C28A9AA" w:rsidRPr="00E567B6" w:rsidRDefault="7FDCC678" w:rsidP="6E9E055C">
      <w:pPr>
        <w:rPr>
          <w:rFonts w:ascii="Century Gothic" w:hAnsi="Century Gothic" w:cstheme="minorBidi"/>
        </w:rPr>
      </w:pPr>
      <w:r w:rsidRPr="00E567B6">
        <w:rPr>
          <w:rFonts w:ascii="Century Gothic" w:hAnsi="Century Gothic"/>
        </w:rPr>
        <w:t xml:space="preserve">Through the establishment of </w:t>
      </w:r>
      <w:r w:rsidR="3E8A863A" w:rsidRPr="00E567B6">
        <w:rPr>
          <w:rFonts w:ascii="Century Gothic" w:hAnsi="Century Gothic"/>
        </w:rPr>
        <w:t xml:space="preserve">the </w:t>
      </w:r>
      <w:r w:rsidRPr="00E567B6">
        <w:rPr>
          <w:rFonts w:ascii="Century Gothic" w:hAnsi="Century Gothic"/>
        </w:rPr>
        <w:t>new affiliate entities, ECC/HANH</w:t>
      </w:r>
      <w:r w:rsidR="0392B9A4" w:rsidRPr="00E567B6">
        <w:rPr>
          <w:rFonts w:ascii="Century Gothic" w:hAnsi="Century Gothic"/>
        </w:rPr>
        <w:t xml:space="preserve"> </w:t>
      </w:r>
      <w:r w:rsidR="5139A1D5" w:rsidRPr="00E567B6">
        <w:rPr>
          <w:rFonts w:ascii="Century Gothic" w:hAnsi="Century Gothic"/>
        </w:rPr>
        <w:t>sought</w:t>
      </w:r>
      <w:r w:rsidRPr="00E567B6">
        <w:rPr>
          <w:rFonts w:ascii="Century Gothic" w:hAnsi="Century Gothic"/>
        </w:rPr>
        <w:t xml:space="preserve"> to achieve the following: </w:t>
      </w:r>
    </w:p>
    <w:p w14:paraId="58113D49" w14:textId="2DEAAAB7" w:rsidR="1C28A9AA" w:rsidRPr="00E567B6" w:rsidRDefault="05C9F20B" w:rsidP="00486062">
      <w:pPr>
        <w:pStyle w:val="ListParagraph"/>
        <w:numPr>
          <w:ilvl w:val="0"/>
          <w:numId w:val="83"/>
        </w:numPr>
        <w:spacing w:before="120" w:after="120"/>
        <w:rPr>
          <w:rFonts w:ascii="Century Gothic" w:hAnsi="Century Gothic" w:cstheme="minorBidi"/>
        </w:rPr>
      </w:pPr>
      <w:r w:rsidRPr="00E567B6">
        <w:rPr>
          <w:rFonts w:ascii="Century Gothic" w:hAnsi="Century Gothic"/>
        </w:rPr>
        <w:t xml:space="preserve">Reduce costs and achieve greater cost effectiveness of federal expenditures. </w:t>
      </w:r>
    </w:p>
    <w:p w14:paraId="302F6271" w14:textId="2DEAAAB7" w:rsidR="1C28A9AA" w:rsidRPr="00E567B6" w:rsidRDefault="05C9F20B" w:rsidP="00486062">
      <w:pPr>
        <w:pStyle w:val="ListParagraph"/>
        <w:numPr>
          <w:ilvl w:val="0"/>
          <w:numId w:val="83"/>
        </w:numPr>
        <w:spacing w:before="120" w:after="120"/>
        <w:rPr>
          <w:rFonts w:ascii="Century Gothic" w:hAnsi="Century Gothic" w:cstheme="minorBidi"/>
        </w:rPr>
      </w:pPr>
      <w:r w:rsidRPr="00E567B6">
        <w:rPr>
          <w:rFonts w:ascii="Century Gothic" w:hAnsi="Century Gothic"/>
        </w:rPr>
        <w:t>Give incentives to families with children whose heads of household are working, seeking work, or are participating in job training or other programming that assists in obtaining employment and becoming economically self-sufficient.</w:t>
      </w:r>
    </w:p>
    <w:p w14:paraId="40B4C6DE" w14:textId="4D6D2189" w:rsidR="1C28A9AA" w:rsidRPr="00E567B6" w:rsidRDefault="05C9F20B" w:rsidP="00486062">
      <w:pPr>
        <w:pStyle w:val="ListParagraph"/>
        <w:numPr>
          <w:ilvl w:val="0"/>
          <w:numId w:val="83"/>
        </w:numPr>
        <w:spacing w:before="120" w:after="120"/>
        <w:rPr>
          <w:rFonts w:ascii="Century Gothic" w:hAnsi="Century Gothic" w:cstheme="minorBidi"/>
          <w:u w:val="single"/>
        </w:rPr>
      </w:pPr>
      <w:r w:rsidRPr="00E567B6">
        <w:rPr>
          <w:rFonts w:ascii="Century Gothic" w:hAnsi="Century Gothic"/>
        </w:rPr>
        <w:t xml:space="preserve">Increase housing choices for low-income families. </w:t>
      </w:r>
    </w:p>
    <w:p w14:paraId="2D1B3548" w14:textId="18AD7378" w:rsidR="1C28A9AA" w:rsidRPr="00E567B6" w:rsidRDefault="64364E85" w:rsidP="63BCA267">
      <w:pPr>
        <w:spacing w:before="120" w:after="120"/>
        <w:rPr>
          <w:rFonts w:ascii="Century Gothic" w:hAnsi="Century Gothic"/>
        </w:rPr>
      </w:pPr>
      <w:r w:rsidRPr="00E567B6">
        <w:rPr>
          <w:rFonts w:ascii="Century Gothic" w:eastAsia="Times New Roman" w:hAnsi="Century Gothic"/>
        </w:rPr>
        <w:t xml:space="preserve">Since proposing this initiative, </w:t>
      </w:r>
      <w:bookmarkStart w:id="190" w:name="_Hlk134628674"/>
      <w:r w:rsidRPr="00E567B6">
        <w:rPr>
          <w:rFonts w:ascii="Century Gothic" w:eastAsia="Times New Roman" w:hAnsi="Century Gothic"/>
        </w:rPr>
        <w:t xml:space="preserve">ECC/HANH launched </w:t>
      </w:r>
      <w:r w:rsidR="12D9AA4F" w:rsidRPr="00E567B6">
        <w:rPr>
          <w:rFonts w:ascii="Century Gothic" w:eastAsia="Times New Roman" w:hAnsi="Century Gothic"/>
        </w:rPr>
        <w:t xml:space="preserve">360 Management Group Company, </w:t>
      </w:r>
      <w:r w:rsidR="12167DFD" w:rsidRPr="00E567B6">
        <w:rPr>
          <w:rFonts w:ascii="Century Gothic" w:eastAsia="Times New Roman" w:hAnsi="Century Gothic"/>
        </w:rPr>
        <w:t>a</w:t>
      </w:r>
      <w:r w:rsidRPr="00E567B6">
        <w:rPr>
          <w:rFonts w:ascii="Century Gothic" w:eastAsia="Times New Roman" w:hAnsi="Century Gothic"/>
        </w:rPr>
        <w:t xml:space="preserve"> non-profit property management company</w:t>
      </w:r>
      <w:bookmarkEnd w:id="190"/>
      <w:r w:rsidR="1912A6D1" w:rsidRPr="00E567B6">
        <w:rPr>
          <w:rFonts w:ascii="Century Gothic" w:eastAsia="Times New Roman" w:hAnsi="Century Gothic"/>
        </w:rPr>
        <w:t xml:space="preserve">. </w:t>
      </w:r>
      <w:r w:rsidR="7FDCC678" w:rsidRPr="00E567B6">
        <w:rPr>
          <w:rFonts w:ascii="Century Gothic" w:hAnsi="Century Gothic"/>
        </w:rPr>
        <w:t>The ECC</w:t>
      </w:r>
      <w:r w:rsidR="7D20CE1A" w:rsidRPr="00E567B6">
        <w:rPr>
          <w:rFonts w:ascii="Century Gothic" w:hAnsi="Century Gothic"/>
        </w:rPr>
        <w:t>/HANH</w:t>
      </w:r>
      <w:r w:rsidR="7FDCC678" w:rsidRPr="00E567B6">
        <w:rPr>
          <w:rFonts w:ascii="Century Gothic" w:hAnsi="Century Gothic"/>
        </w:rPr>
        <w:t xml:space="preserve"> Board of Commissioners, on January 17, 2017, adopted a resolution authorizing the creation of 360 Management Group, a property management instrumentality </w:t>
      </w:r>
      <w:r w:rsidR="009A2E04" w:rsidRPr="00E567B6">
        <w:rPr>
          <w:rFonts w:ascii="Century Gothic" w:hAnsi="Century Gothic"/>
        </w:rPr>
        <w:t>entity. The</w:t>
      </w:r>
      <w:r w:rsidR="7FDCC678" w:rsidRPr="00E567B6">
        <w:rPr>
          <w:rFonts w:ascii="Century Gothic" w:hAnsi="Century Gothic"/>
        </w:rPr>
        <w:t xml:space="preserve"> purpose of this instrumentality is to:</w:t>
      </w:r>
    </w:p>
    <w:p w14:paraId="507A3AD9" w14:textId="79307C33" w:rsidR="1C28A9AA" w:rsidRPr="00E567B6" w:rsidRDefault="05C9F20B" w:rsidP="00486062">
      <w:pPr>
        <w:pStyle w:val="ListParagraph"/>
        <w:numPr>
          <w:ilvl w:val="0"/>
          <w:numId w:val="79"/>
        </w:numPr>
        <w:rPr>
          <w:rFonts w:ascii="Century Gothic" w:hAnsi="Century Gothic"/>
        </w:rPr>
      </w:pPr>
      <w:bookmarkStart w:id="191" w:name="_Hlk134628751"/>
      <w:r w:rsidRPr="00E567B6">
        <w:rPr>
          <w:rFonts w:ascii="Century Gothic" w:hAnsi="Century Gothic"/>
        </w:rPr>
        <w:t>Act as a third-party property management agent for former LIPH units being converted to RAD-HCV units, PBV-HCV units, LIHTC and market rate units</w:t>
      </w:r>
      <w:r w:rsidR="00570ADC" w:rsidRPr="00E567B6">
        <w:rPr>
          <w:rFonts w:ascii="Century Gothic" w:hAnsi="Century Gothic"/>
        </w:rPr>
        <w:t>.</w:t>
      </w:r>
      <w:r w:rsidRPr="00E567B6">
        <w:rPr>
          <w:rFonts w:ascii="Century Gothic" w:hAnsi="Century Gothic"/>
        </w:rPr>
        <w:t xml:space="preserve"> </w:t>
      </w:r>
    </w:p>
    <w:p w14:paraId="46C4E5AB" w14:textId="2DEAAAB7" w:rsidR="1C28A9AA" w:rsidRPr="00E567B6" w:rsidRDefault="05C9F20B" w:rsidP="00486062">
      <w:pPr>
        <w:pStyle w:val="ListParagraph"/>
        <w:numPr>
          <w:ilvl w:val="0"/>
          <w:numId w:val="79"/>
        </w:numPr>
        <w:rPr>
          <w:rFonts w:ascii="Century Gothic" w:hAnsi="Century Gothic"/>
        </w:rPr>
      </w:pPr>
      <w:r w:rsidRPr="00E567B6">
        <w:rPr>
          <w:rFonts w:ascii="Century Gothic" w:hAnsi="Century Gothic"/>
        </w:rPr>
        <w:t xml:space="preserve">Support the preservation of affordable housing within the City of New Haven and within other municipalities or jurisdictions that have adopted a similar mission or have similar needs. </w:t>
      </w:r>
    </w:p>
    <w:bookmarkEnd w:id="191"/>
    <w:p w14:paraId="15FCDD67" w14:textId="2DEAAAB7" w:rsidR="1C28A9AA" w:rsidRPr="00E567B6" w:rsidRDefault="1C28A9AA" w:rsidP="492303B8">
      <w:pPr>
        <w:rPr>
          <w:rFonts w:ascii="Century Gothic" w:hAnsi="Century Gothic"/>
        </w:rPr>
      </w:pPr>
    </w:p>
    <w:p w14:paraId="20E99C75" w14:textId="0E401D22" w:rsidR="00C117E6" w:rsidRDefault="0591909E" w:rsidP="63BCA267">
      <w:pPr>
        <w:tabs>
          <w:tab w:val="left" w:pos="1350"/>
        </w:tabs>
        <w:rPr>
          <w:rFonts w:ascii="Century Gothic" w:eastAsia="Times New Roman" w:hAnsi="Century Gothic"/>
        </w:rPr>
      </w:pPr>
      <w:r w:rsidRPr="00E567B6">
        <w:rPr>
          <w:rFonts w:ascii="Century Gothic" w:eastAsia="Times New Roman" w:hAnsi="Century Gothic"/>
        </w:rPr>
        <w:t xml:space="preserve">The property management instrumentality received its 501(c)(3) status in March 2018, and it assumed the property operations and compliance management of </w:t>
      </w:r>
      <w:r w:rsidR="43EDBBF8" w:rsidRPr="00E567B6">
        <w:rPr>
          <w:rFonts w:ascii="Century Gothic" w:eastAsia="Times New Roman" w:hAnsi="Century Gothic"/>
        </w:rPr>
        <w:t>312</w:t>
      </w:r>
      <w:r w:rsidRPr="00E567B6">
        <w:rPr>
          <w:rFonts w:ascii="Century Gothic" w:eastAsia="Times New Roman" w:hAnsi="Century Gothic"/>
        </w:rPr>
        <w:t xml:space="preserve"> units.  </w:t>
      </w:r>
    </w:p>
    <w:p w14:paraId="286458E1" w14:textId="77777777" w:rsidR="00C117E6" w:rsidRDefault="00C117E6" w:rsidP="63BCA267">
      <w:pPr>
        <w:tabs>
          <w:tab w:val="left" w:pos="1350"/>
        </w:tabs>
        <w:rPr>
          <w:rFonts w:ascii="Century Gothic" w:eastAsia="Times New Roman" w:hAnsi="Century Gothic"/>
        </w:rPr>
      </w:pPr>
    </w:p>
    <w:p w14:paraId="3AB095CF" w14:textId="51FAD564" w:rsidR="006D7E9C" w:rsidRPr="00C117E6" w:rsidRDefault="0591909E" w:rsidP="63BCA267">
      <w:pPr>
        <w:tabs>
          <w:tab w:val="left" w:pos="1350"/>
        </w:tabs>
        <w:rPr>
          <w:rFonts w:ascii="Century Gothic" w:eastAsia="Times New Roman" w:hAnsi="Century Gothic"/>
        </w:rPr>
      </w:pPr>
      <w:r w:rsidRPr="00C117E6">
        <w:rPr>
          <w:rFonts w:ascii="Century Gothic" w:eastAsia="Times New Roman" w:hAnsi="Century Gothic"/>
        </w:rPr>
        <w:t xml:space="preserve">Since </w:t>
      </w:r>
      <w:r w:rsidR="51AF4830" w:rsidRPr="00C117E6">
        <w:rPr>
          <w:rFonts w:ascii="Century Gothic" w:eastAsia="Times New Roman" w:hAnsi="Century Gothic"/>
        </w:rPr>
        <w:t>then</w:t>
      </w:r>
      <w:r w:rsidRPr="00C117E6">
        <w:rPr>
          <w:rFonts w:ascii="Century Gothic" w:eastAsia="Times New Roman" w:hAnsi="Century Gothic"/>
        </w:rPr>
        <w:t xml:space="preserve">, 360 Management has increased its staff to </w:t>
      </w:r>
      <w:r w:rsidR="003A6FF5" w:rsidRPr="00C117E6">
        <w:rPr>
          <w:rFonts w:ascii="Century Gothic" w:eastAsia="Times New Roman" w:hAnsi="Century Gothic"/>
        </w:rPr>
        <w:t xml:space="preserve">59 </w:t>
      </w:r>
      <w:r w:rsidR="0084587C" w:rsidRPr="00C117E6">
        <w:rPr>
          <w:rFonts w:ascii="Century Gothic" w:eastAsia="Times New Roman" w:hAnsi="Century Gothic"/>
        </w:rPr>
        <w:t>current employees</w:t>
      </w:r>
      <w:r w:rsidR="522C0DB4" w:rsidRPr="00C117E6">
        <w:rPr>
          <w:rFonts w:ascii="Century Gothic" w:eastAsia="Times New Roman" w:hAnsi="Century Gothic"/>
        </w:rPr>
        <w:t xml:space="preserve"> </w:t>
      </w:r>
      <w:r w:rsidRPr="00C117E6">
        <w:rPr>
          <w:rFonts w:ascii="Century Gothic" w:eastAsia="Times New Roman" w:hAnsi="Century Gothic"/>
        </w:rPr>
        <w:t>and provid</w:t>
      </w:r>
      <w:r w:rsidR="001A1E50">
        <w:rPr>
          <w:rFonts w:ascii="Century Gothic" w:eastAsia="Times New Roman" w:hAnsi="Century Gothic"/>
        </w:rPr>
        <w:t>es</w:t>
      </w:r>
      <w:r w:rsidRPr="00C117E6">
        <w:rPr>
          <w:rFonts w:ascii="Century Gothic" w:eastAsia="Times New Roman" w:hAnsi="Century Gothic"/>
        </w:rPr>
        <w:t xml:space="preserve"> property management services to 1</w:t>
      </w:r>
      <w:r w:rsidR="67CE5656" w:rsidRPr="00C117E6">
        <w:rPr>
          <w:rFonts w:ascii="Century Gothic" w:eastAsia="Times New Roman" w:hAnsi="Century Gothic"/>
        </w:rPr>
        <w:t>,</w:t>
      </w:r>
      <w:r w:rsidR="541299FE" w:rsidRPr="00C117E6">
        <w:rPr>
          <w:rFonts w:ascii="Century Gothic" w:eastAsia="Times New Roman" w:hAnsi="Century Gothic"/>
        </w:rPr>
        <w:t>40</w:t>
      </w:r>
      <w:r w:rsidR="6ED32DC6" w:rsidRPr="00C117E6">
        <w:rPr>
          <w:rFonts w:ascii="Century Gothic" w:eastAsia="Times New Roman" w:hAnsi="Century Gothic"/>
        </w:rPr>
        <w:t>7</w:t>
      </w:r>
      <w:r w:rsidR="007F1076" w:rsidRPr="00C117E6">
        <w:rPr>
          <w:rFonts w:ascii="Century Gothic" w:eastAsia="Times New Roman" w:hAnsi="Century Gothic"/>
        </w:rPr>
        <w:t xml:space="preserve"> </w:t>
      </w:r>
      <w:r w:rsidRPr="00C117E6">
        <w:rPr>
          <w:rFonts w:ascii="Century Gothic" w:eastAsia="Times New Roman" w:hAnsi="Century Gothic"/>
        </w:rPr>
        <w:t>units in 2</w:t>
      </w:r>
      <w:r w:rsidR="378FE3E1" w:rsidRPr="00C117E6">
        <w:rPr>
          <w:rFonts w:ascii="Century Gothic" w:eastAsia="Times New Roman" w:hAnsi="Century Gothic"/>
        </w:rPr>
        <w:t>2</w:t>
      </w:r>
      <w:r w:rsidRPr="00C117E6">
        <w:rPr>
          <w:rFonts w:ascii="Century Gothic" w:eastAsia="Times New Roman" w:hAnsi="Century Gothic"/>
        </w:rPr>
        <w:t xml:space="preserve"> developments.  </w:t>
      </w:r>
      <w:r w:rsidR="72482517" w:rsidRPr="00C117E6">
        <w:rPr>
          <w:rFonts w:ascii="Century Gothic" w:eastAsia="Times New Roman" w:hAnsi="Century Gothic"/>
        </w:rPr>
        <w:t>There are 605 unit</w:t>
      </w:r>
      <w:r w:rsidR="7625CA7B" w:rsidRPr="00C117E6">
        <w:rPr>
          <w:rFonts w:ascii="Century Gothic" w:eastAsia="Times New Roman" w:hAnsi="Century Gothic"/>
        </w:rPr>
        <w:t>s</w:t>
      </w:r>
      <w:r w:rsidR="72482517" w:rsidRPr="00C117E6">
        <w:rPr>
          <w:rFonts w:ascii="Century Gothic" w:eastAsia="Times New Roman" w:hAnsi="Century Gothic"/>
        </w:rPr>
        <w:t xml:space="preserve"> designated as Elderly/Disabled and </w:t>
      </w:r>
      <w:r w:rsidR="2EE3BB49" w:rsidRPr="00C117E6">
        <w:rPr>
          <w:rFonts w:ascii="Century Gothic" w:eastAsia="Times New Roman" w:hAnsi="Century Gothic"/>
        </w:rPr>
        <w:t>80</w:t>
      </w:r>
      <w:r w:rsidR="6AC28CDB" w:rsidRPr="00C117E6">
        <w:rPr>
          <w:rFonts w:ascii="Century Gothic" w:eastAsia="Times New Roman" w:hAnsi="Century Gothic"/>
        </w:rPr>
        <w:t>2</w:t>
      </w:r>
      <w:r w:rsidR="72482517" w:rsidRPr="00C117E6">
        <w:rPr>
          <w:rFonts w:ascii="Century Gothic" w:eastAsia="Times New Roman" w:hAnsi="Century Gothic"/>
        </w:rPr>
        <w:t xml:space="preserve"> units designated as Family.</w:t>
      </w:r>
    </w:p>
    <w:p w14:paraId="4E5B589D" w14:textId="471941AB" w:rsidR="44E87C04" w:rsidRPr="00C117E6" w:rsidRDefault="44E87C04" w:rsidP="44E87C04">
      <w:pPr>
        <w:tabs>
          <w:tab w:val="left" w:pos="1350"/>
        </w:tabs>
        <w:rPr>
          <w:rFonts w:ascii="Century Gothic" w:eastAsia="Times New Roman" w:hAnsi="Century Gothic"/>
        </w:rPr>
      </w:pPr>
    </w:p>
    <w:tbl>
      <w:tblPr>
        <w:tblStyle w:val="TableGrid"/>
        <w:tblW w:w="0" w:type="auto"/>
        <w:tblLayout w:type="fixed"/>
        <w:tblLook w:val="0680" w:firstRow="0" w:lastRow="0" w:firstColumn="1" w:lastColumn="0" w:noHBand="1" w:noVBand="1"/>
      </w:tblPr>
      <w:tblGrid>
        <w:gridCol w:w="2700"/>
        <w:gridCol w:w="2700"/>
        <w:gridCol w:w="2700"/>
        <w:gridCol w:w="2700"/>
      </w:tblGrid>
      <w:tr w:rsidR="44E87C04" w:rsidRPr="00C117E6" w14:paraId="1A3DE384" w14:textId="77777777" w:rsidTr="44E87C04">
        <w:trPr>
          <w:trHeight w:val="300"/>
        </w:trPr>
        <w:tc>
          <w:tcPr>
            <w:tcW w:w="2700" w:type="dxa"/>
            <w:tcBorders>
              <w:top w:val="single" w:sz="4" w:space="0" w:color="002060"/>
              <w:left w:val="single" w:sz="4" w:space="0" w:color="002060"/>
              <w:bottom w:val="single" w:sz="4" w:space="0" w:color="002060"/>
              <w:right w:val="single" w:sz="4" w:space="0" w:color="002060"/>
            </w:tcBorders>
            <w:shd w:val="clear" w:color="auto" w:fill="4757D6"/>
          </w:tcPr>
          <w:p w14:paraId="26860AFA" w14:textId="17C0324A" w:rsidR="4DC5DAB6" w:rsidRPr="00C117E6" w:rsidRDefault="4DC5DAB6" w:rsidP="44E87C04">
            <w:pPr>
              <w:rPr>
                <w:rFonts w:ascii="Century Gothic" w:eastAsia="Times New Roman" w:hAnsi="Century Gothic"/>
              </w:rPr>
            </w:pPr>
            <w:r w:rsidRPr="00C117E6">
              <w:rPr>
                <w:rFonts w:ascii="Century Gothic" w:eastAsia="Times New Roman" w:hAnsi="Century Gothic"/>
              </w:rPr>
              <w:t>Development</w:t>
            </w:r>
          </w:p>
        </w:tc>
        <w:tc>
          <w:tcPr>
            <w:tcW w:w="2700" w:type="dxa"/>
            <w:tcBorders>
              <w:top w:val="single" w:sz="4" w:space="0" w:color="002060"/>
              <w:left w:val="single" w:sz="4" w:space="0" w:color="002060"/>
              <w:bottom w:val="single" w:sz="4" w:space="0" w:color="002060"/>
              <w:right w:val="single" w:sz="4" w:space="0" w:color="002060"/>
            </w:tcBorders>
            <w:shd w:val="clear" w:color="auto" w:fill="4757D6"/>
          </w:tcPr>
          <w:p w14:paraId="0B279FA9" w14:textId="312528F1" w:rsidR="4DC5DAB6" w:rsidRPr="00C117E6" w:rsidRDefault="4DC5DAB6" w:rsidP="44E87C04">
            <w:pPr>
              <w:rPr>
                <w:rFonts w:ascii="Century Gothic" w:eastAsia="Times New Roman" w:hAnsi="Century Gothic"/>
              </w:rPr>
            </w:pPr>
            <w:r w:rsidRPr="00C117E6">
              <w:rPr>
                <w:rFonts w:ascii="Century Gothic" w:eastAsia="Times New Roman" w:hAnsi="Century Gothic"/>
              </w:rPr>
              <w:t>Community</w:t>
            </w:r>
          </w:p>
        </w:tc>
        <w:tc>
          <w:tcPr>
            <w:tcW w:w="2700" w:type="dxa"/>
            <w:tcBorders>
              <w:top w:val="single" w:sz="4" w:space="0" w:color="002060"/>
              <w:left w:val="single" w:sz="4" w:space="0" w:color="002060"/>
              <w:bottom w:val="single" w:sz="4" w:space="0" w:color="002060"/>
              <w:right w:val="single" w:sz="4" w:space="0" w:color="002060"/>
            </w:tcBorders>
            <w:shd w:val="clear" w:color="auto" w:fill="4757D6"/>
          </w:tcPr>
          <w:p w14:paraId="7F4AD192" w14:textId="5A75E7E3" w:rsidR="4DC5DAB6" w:rsidRPr="00C117E6" w:rsidRDefault="4DC5DAB6" w:rsidP="44E87C04">
            <w:pPr>
              <w:rPr>
                <w:rFonts w:ascii="Century Gothic" w:eastAsia="Times New Roman" w:hAnsi="Century Gothic"/>
              </w:rPr>
            </w:pPr>
            <w:r w:rsidRPr="00C117E6">
              <w:rPr>
                <w:rFonts w:ascii="Century Gothic" w:eastAsia="Times New Roman" w:hAnsi="Century Gothic"/>
              </w:rPr>
              <w:t>Designation</w:t>
            </w:r>
          </w:p>
        </w:tc>
        <w:tc>
          <w:tcPr>
            <w:tcW w:w="2700" w:type="dxa"/>
            <w:tcBorders>
              <w:top w:val="single" w:sz="4" w:space="0" w:color="002060"/>
              <w:left w:val="single" w:sz="4" w:space="0" w:color="002060"/>
              <w:bottom w:val="single" w:sz="4" w:space="0" w:color="002060"/>
              <w:right w:val="single" w:sz="4" w:space="0" w:color="002060"/>
            </w:tcBorders>
            <w:shd w:val="clear" w:color="auto" w:fill="4757D6"/>
          </w:tcPr>
          <w:p w14:paraId="2195DA93" w14:textId="3F0C4B52" w:rsidR="4DC5DAB6" w:rsidRPr="00C117E6" w:rsidRDefault="4DC5DAB6" w:rsidP="44E87C04">
            <w:pPr>
              <w:rPr>
                <w:rFonts w:ascii="Century Gothic" w:eastAsia="Times New Roman" w:hAnsi="Century Gothic"/>
              </w:rPr>
            </w:pPr>
            <w:r w:rsidRPr="00C117E6">
              <w:rPr>
                <w:rFonts w:ascii="Century Gothic" w:eastAsia="Times New Roman" w:hAnsi="Century Gothic"/>
              </w:rPr>
              <w:t>Units</w:t>
            </w:r>
          </w:p>
        </w:tc>
      </w:tr>
      <w:tr w:rsidR="44E87C04" w:rsidRPr="00C117E6" w14:paraId="37245AB3" w14:textId="77777777" w:rsidTr="44E87C04">
        <w:trPr>
          <w:trHeight w:val="300"/>
        </w:trPr>
        <w:tc>
          <w:tcPr>
            <w:tcW w:w="2700" w:type="dxa"/>
            <w:tcBorders>
              <w:top w:val="single" w:sz="4" w:space="0" w:color="002060"/>
            </w:tcBorders>
            <w:shd w:val="clear" w:color="auto" w:fill="9ABDF5"/>
          </w:tcPr>
          <w:p w14:paraId="3BDD32CA" w14:textId="4F0330C4" w:rsidR="555A4E05" w:rsidRPr="00C117E6" w:rsidRDefault="555A4E05" w:rsidP="44E87C04">
            <w:pPr>
              <w:rPr>
                <w:rFonts w:ascii="Century Gothic" w:eastAsia="Times New Roman" w:hAnsi="Century Gothic"/>
              </w:rPr>
            </w:pPr>
            <w:r w:rsidRPr="00C117E6">
              <w:rPr>
                <w:rFonts w:ascii="Century Gothic" w:eastAsia="Times New Roman" w:hAnsi="Century Gothic"/>
              </w:rPr>
              <w:t>RAD 1</w:t>
            </w:r>
          </w:p>
        </w:tc>
        <w:tc>
          <w:tcPr>
            <w:tcW w:w="2700" w:type="dxa"/>
            <w:tcBorders>
              <w:top w:val="single" w:sz="4" w:space="0" w:color="002060"/>
            </w:tcBorders>
            <w:shd w:val="clear" w:color="auto" w:fill="9ABDF5"/>
          </w:tcPr>
          <w:p w14:paraId="1EAB110A" w14:textId="0F768C63" w:rsidR="555A4E05" w:rsidRPr="00C117E6" w:rsidRDefault="555A4E05" w:rsidP="44E87C04">
            <w:pPr>
              <w:rPr>
                <w:rFonts w:ascii="Century Gothic" w:eastAsia="Times New Roman" w:hAnsi="Century Gothic"/>
              </w:rPr>
            </w:pPr>
            <w:r w:rsidRPr="00C117E6">
              <w:rPr>
                <w:rFonts w:ascii="Century Gothic" w:eastAsia="Times New Roman" w:hAnsi="Century Gothic"/>
              </w:rPr>
              <w:t>New Hall Gardens</w:t>
            </w:r>
          </w:p>
        </w:tc>
        <w:tc>
          <w:tcPr>
            <w:tcW w:w="2700" w:type="dxa"/>
            <w:tcBorders>
              <w:top w:val="single" w:sz="4" w:space="0" w:color="002060"/>
            </w:tcBorders>
            <w:shd w:val="clear" w:color="auto" w:fill="9ABDF5"/>
          </w:tcPr>
          <w:p w14:paraId="0F65CE55" w14:textId="3300D79E" w:rsidR="664C0BD9" w:rsidRPr="00C117E6" w:rsidRDefault="664C0BD9" w:rsidP="44E87C04">
            <w:pPr>
              <w:rPr>
                <w:rFonts w:ascii="Century Gothic" w:eastAsia="Times New Roman" w:hAnsi="Century Gothic"/>
              </w:rPr>
            </w:pPr>
            <w:r w:rsidRPr="00C117E6">
              <w:rPr>
                <w:rFonts w:ascii="Century Gothic" w:eastAsia="Times New Roman" w:hAnsi="Century Gothic"/>
              </w:rPr>
              <w:t>Elderly/Disabled</w:t>
            </w:r>
          </w:p>
        </w:tc>
        <w:tc>
          <w:tcPr>
            <w:tcW w:w="2700" w:type="dxa"/>
            <w:tcBorders>
              <w:top w:val="single" w:sz="4" w:space="0" w:color="002060"/>
            </w:tcBorders>
            <w:shd w:val="clear" w:color="auto" w:fill="9ABDF5"/>
          </w:tcPr>
          <w:p w14:paraId="2A138B78" w14:textId="223F20B4" w:rsidR="664C0BD9" w:rsidRPr="00C117E6" w:rsidRDefault="664C0BD9" w:rsidP="44E87C04">
            <w:pPr>
              <w:rPr>
                <w:rFonts w:ascii="Century Gothic" w:eastAsia="Times New Roman" w:hAnsi="Century Gothic"/>
              </w:rPr>
            </w:pPr>
            <w:r w:rsidRPr="00C117E6">
              <w:rPr>
                <w:rFonts w:ascii="Century Gothic" w:eastAsia="Times New Roman" w:hAnsi="Century Gothic"/>
              </w:rPr>
              <w:t>26</w:t>
            </w:r>
          </w:p>
        </w:tc>
      </w:tr>
      <w:tr w:rsidR="44E87C04" w:rsidRPr="00C117E6" w14:paraId="1FC6A766" w14:textId="77777777" w:rsidTr="44E87C04">
        <w:trPr>
          <w:trHeight w:val="300"/>
        </w:trPr>
        <w:tc>
          <w:tcPr>
            <w:tcW w:w="2700" w:type="dxa"/>
            <w:shd w:val="clear" w:color="auto" w:fill="9ABDF5"/>
          </w:tcPr>
          <w:p w14:paraId="6F866196" w14:textId="746A0ECF" w:rsidR="555A4E05" w:rsidRPr="00C117E6" w:rsidRDefault="555A4E05" w:rsidP="44E87C04">
            <w:pPr>
              <w:rPr>
                <w:rFonts w:ascii="Century Gothic" w:eastAsia="Times New Roman" w:hAnsi="Century Gothic"/>
              </w:rPr>
            </w:pPr>
            <w:r w:rsidRPr="00C117E6">
              <w:rPr>
                <w:rFonts w:ascii="Century Gothic" w:eastAsia="Times New Roman" w:hAnsi="Century Gothic"/>
              </w:rPr>
              <w:t>RAD 1</w:t>
            </w:r>
          </w:p>
        </w:tc>
        <w:tc>
          <w:tcPr>
            <w:tcW w:w="2700" w:type="dxa"/>
            <w:shd w:val="clear" w:color="auto" w:fill="9ABDF5"/>
          </w:tcPr>
          <w:p w14:paraId="4A13E21F" w14:textId="7054284E" w:rsidR="555A4E05" w:rsidRPr="00C117E6" w:rsidRDefault="555A4E05" w:rsidP="44E87C04">
            <w:pPr>
              <w:rPr>
                <w:rFonts w:ascii="Century Gothic" w:eastAsia="Times New Roman" w:hAnsi="Century Gothic"/>
              </w:rPr>
            </w:pPr>
            <w:r w:rsidRPr="00C117E6">
              <w:rPr>
                <w:rFonts w:ascii="Century Gothic" w:eastAsia="Times New Roman" w:hAnsi="Century Gothic"/>
              </w:rPr>
              <w:t>Constance B. Motley</w:t>
            </w:r>
          </w:p>
        </w:tc>
        <w:tc>
          <w:tcPr>
            <w:tcW w:w="2700" w:type="dxa"/>
            <w:shd w:val="clear" w:color="auto" w:fill="9ABDF5"/>
          </w:tcPr>
          <w:p w14:paraId="6CF8C593" w14:textId="03BDE639" w:rsidR="7B36EF96" w:rsidRPr="00C117E6" w:rsidRDefault="7B36EF96" w:rsidP="44E87C04">
            <w:pPr>
              <w:rPr>
                <w:rFonts w:ascii="Century Gothic" w:eastAsia="Times New Roman" w:hAnsi="Century Gothic"/>
              </w:rPr>
            </w:pPr>
            <w:r w:rsidRPr="00C117E6">
              <w:rPr>
                <w:rFonts w:ascii="Century Gothic" w:eastAsia="Times New Roman" w:hAnsi="Century Gothic"/>
              </w:rPr>
              <w:t>Elderly/Disabled</w:t>
            </w:r>
          </w:p>
        </w:tc>
        <w:tc>
          <w:tcPr>
            <w:tcW w:w="2700" w:type="dxa"/>
            <w:shd w:val="clear" w:color="auto" w:fill="9ABDF5"/>
          </w:tcPr>
          <w:p w14:paraId="163C8A62" w14:textId="15C0DE70" w:rsidR="384FF7B8" w:rsidRPr="00C117E6" w:rsidRDefault="384FF7B8" w:rsidP="44E87C04">
            <w:pPr>
              <w:rPr>
                <w:rFonts w:ascii="Century Gothic" w:eastAsia="Times New Roman" w:hAnsi="Century Gothic"/>
              </w:rPr>
            </w:pPr>
            <w:r w:rsidRPr="00C117E6">
              <w:rPr>
                <w:rFonts w:ascii="Century Gothic" w:eastAsia="Times New Roman" w:hAnsi="Century Gothic"/>
              </w:rPr>
              <w:t>45</w:t>
            </w:r>
          </w:p>
        </w:tc>
      </w:tr>
      <w:tr w:rsidR="44E87C04" w:rsidRPr="00C117E6" w14:paraId="1E75A86D" w14:textId="77777777" w:rsidTr="44E87C04">
        <w:trPr>
          <w:trHeight w:val="300"/>
        </w:trPr>
        <w:tc>
          <w:tcPr>
            <w:tcW w:w="2700" w:type="dxa"/>
            <w:shd w:val="clear" w:color="auto" w:fill="9ABDF5"/>
          </w:tcPr>
          <w:p w14:paraId="2F9B4CAB" w14:textId="396BA37F" w:rsidR="555A4E05" w:rsidRPr="00C117E6" w:rsidRDefault="555A4E05" w:rsidP="44E87C04">
            <w:pPr>
              <w:rPr>
                <w:rFonts w:ascii="Century Gothic" w:eastAsia="Times New Roman" w:hAnsi="Century Gothic"/>
              </w:rPr>
            </w:pPr>
            <w:r w:rsidRPr="00C117E6">
              <w:rPr>
                <w:rFonts w:ascii="Century Gothic" w:eastAsia="Times New Roman" w:hAnsi="Century Gothic"/>
              </w:rPr>
              <w:t>RAD 1</w:t>
            </w:r>
          </w:p>
        </w:tc>
        <w:tc>
          <w:tcPr>
            <w:tcW w:w="2700" w:type="dxa"/>
            <w:shd w:val="clear" w:color="auto" w:fill="9ABDF5"/>
          </w:tcPr>
          <w:p w14:paraId="06C968A0" w14:textId="6B6B735F" w:rsidR="555A4E05" w:rsidRPr="00C117E6" w:rsidRDefault="555A4E05" w:rsidP="44E87C04">
            <w:pPr>
              <w:rPr>
                <w:rFonts w:ascii="Century Gothic" w:eastAsia="Times New Roman" w:hAnsi="Century Gothic"/>
              </w:rPr>
            </w:pPr>
            <w:r w:rsidRPr="00C117E6">
              <w:rPr>
                <w:rFonts w:ascii="Century Gothic" w:eastAsia="Times New Roman" w:hAnsi="Century Gothic"/>
              </w:rPr>
              <w:t>Katherine Harvey Terrace</w:t>
            </w:r>
          </w:p>
        </w:tc>
        <w:tc>
          <w:tcPr>
            <w:tcW w:w="2700" w:type="dxa"/>
            <w:shd w:val="clear" w:color="auto" w:fill="9ABDF5"/>
          </w:tcPr>
          <w:p w14:paraId="531402E8" w14:textId="23893F6C" w:rsidR="336B9915" w:rsidRPr="00C117E6" w:rsidRDefault="336B9915" w:rsidP="44E87C04">
            <w:pPr>
              <w:rPr>
                <w:rFonts w:ascii="Century Gothic" w:eastAsia="Times New Roman" w:hAnsi="Century Gothic"/>
              </w:rPr>
            </w:pPr>
            <w:r w:rsidRPr="00C117E6">
              <w:rPr>
                <w:rFonts w:ascii="Century Gothic" w:eastAsia="Times New Roman" w:hAnsi="Century Gothic"/>
              </w:rPr>
              <w:t>Elderly/Disabled</w:t>
            </w:r>
          </w:p>
        </w:tc>
        <w:tc>
          <w:tcPr>
            <w:tcW w:w="2700" w:type="dxa"/>
            <w:shd w:val="clear" w:color="auto" w:fill="9ABDF5"/>
          </w:tcPr>
          <w:p w14:paraId="7B9DE95C" w14:textId="535ABD28" w:rsidR="4F63FD89" w:rsidRPr="00C117E6" w:rsidRDefault="4F63FD89" w:rsidP="44E87C04">
            <w:pPr>
              <w:rPr>
                <w:rFonts w:ascii="Century Gothic" w:eastAsia="Times New Roman" w:hAnsi="Century Gothic"/>
              </w:rPr>
            </w:pPr>
            <w:r w:rsidRPr="00C117E6">
              <w:rPr>
                <w:rFonts w:ascii="Century Gothic" w:eastAsia="Times New Roman" w:hAnsi="Century Gothic"/>
              </w:rPr>
              <w:t>17</w:t>
            </w:r>
          </w:p>
        </w:tc>
      </w:tr>
      <w:tr w:rsidR="44E87C04" w:rsidRPr="00C117E6" w14:paraId="319EA660" w14:textId="77777777" w:rsidTr="44E87C04">
        <w:trPr>
          <w:trHeight w:val="300"/>
        </w:trPr>
        <w:tc>
          <w:tcPr>
            <w:tcW w:w="2700" w:type="dxa"/>
            <w:shd w:val="clear" w:color="auto" w:fill="9ABDF5"/>
          </w:tcPr>
          <w:p w14:paraId="7B0EC0A7" w14:textId="36E0532D" w:rsidR="555A4E05" w:rsidRPr="00C117E6" w:rsidRDefault="555A4E05" w:rsidP="44E87C04">
            <w:pPr>
              <w:rPr>
                <w:rFonts w:ascii="Century Gothic" w:eastAsia="Times New Roman" w:hAnsi="Century Gothic"/>
              </w:rPr>
            </w:pPr>
            <w:r w:rsidRPr="00C117E6">
              <w:rPr>
                <w:rFonts w:ascii="Century Gothic" w:eastAsia="Times New Roman" w:hAnsi="Century Gothic"/>
              </w:rPr>
              <w:t>RAD 1</w:t>
            </w:r>
          </w:p>
        </w:tc>
        <w:tc>
          <w:tcPr>
            <w:tcW w:w="2700" w:type="dxa"/>
            <w:shd w:val="clear" w:color="auto" w:fill="9ABDF5"/>
          </w:tcPr>
          <w:p w14:paraId="0B9D6C17" w14:textId="2DBB6A91" w:rsidR="555A4E05" w:rsidRPr="00C117E6" w:rsidRDefault="555A4E05" w:rsidP="44E87C04">
            <w:pPr>
              <w:rPr>
                <w:rFonts w:ascii="Century Gothic" w:eastAsia="Times New Roman" w:hAnsi="Century Gothic"/>
              </w:rPr>
            </w:pPr>
            <w:r w:rsidRPr="00C117E6">
              <w:rPr>
                <w:rFonts w:ascii="Century Gothic" w:eastAsia="Times New Roman" w:hAnsi="Century Gothic"/>
              </w:rPr>
              <w:t xml:space="preserve">Prescott Bush </w:t>
            </w:r>
          </w:p>
        </w:tc>
        <w:tc>
          <w:tcPr>
            <w:tcW w:w="2700" w:type="dxa"/>
            <w:shd w:val="clear" w:color="auto" w:fill="9ABDF5"/>
          </w:tcPr>
          <w:p w14:paraId="7541FD0B" w14:textId="5C8B5A48" w:rsidR="3D77BCF6" w:rsidRPr="00C117E6" w:rsidRDefault="3D77BCF6" w:rsidP="44E87C04">
            <w:pPr>
              <w:rPr>
                <w:rFonts w:ascii="Century Gothic" w:eastAsia="Times New Roman" w:hAnsi="Century Gothic"/>
              </w:rPr>
            </w:pPr>
            <w:r w:rsidRPr="00C117E6">
              <w:rPr>
                <w:rFonts w:ascii="Century Gothic" w:eastAsia="Times New Roman" w:hAnsi="Century Gothic"/>
              </w:rPr>
              <w:t>Elderly/Disabled</w:t>
            </w:r>
          </w:p>
        </w:tc>
        <w:tc>
          <w:tcPr>
            <w:tcW w:w="2700" w:type="dxa"/>
            <w:shd w:val="clear" w:color="auto" w:fill="9ABDF5"/>
          </w:tcPr>
          <w:p w14:paraId="6B74862B" w14:textId="647A34EB" w:rsidR="3265985A" w:rsidRPr="00C117E6" w:rsidRDefault="3265985A" w:rsidP="44E87C04">
            <w:pPr>
              <w:rPr>
                <w:rFonts w:ascii="Century Gothic" w:eastAsia="Times New Roman" w:hAnsi="Century Gothic"/>
              </w:rPr>
            </w:pPr>
            <w:r w:rsidRPr="00C117E6">
              <w:rPr>
                <w:rFonts w:ascii="Century Gothic" w:eastAsia="Times New Roman" w:hAnsi="Century Gothic"/>
              </w:rPr>
              <w:t>56</w:t>
            </w:r>
          </w:p>
        </w:tc>
      </w:tr>
      <w:tr w:rsidR="44E87C04" w:rsidRPr="00C117E6" w14:paraId="1D769866" w14:textId="77777777" w:rsidTr="44E87C04">
        <w:trPr>
          <w:trHeight w:val="300"/>
        </w:trPr>
        <w:tc>
          <w:tcPr>
            <w:tcW w:w="2700" w:type="dxa"/>
            <w:shd w:val="clear" w:color="auto" w:fill="9ABDF5"/>
          </w:tcPr>
          <w:p w14:paraId="2485CD76" w14:textId="382F12DB" w:rsidR="555A4E05" w:rsidRPr="00C117E6" w:rsidRDefault="555A4E05" w:rsidP="44E87C04">
            <w:pPr>
              <w:rPr>
                <w:rFonts w:ascii="Century Gothic" w:eastAsia="Times New Roman" w:hAnsi="Century Gothic"/>
              </w:rPr>
            </w:pPr>
            <w:r w:rsidRPr="00C117E6">
              <w:rPr>
                <w:rFonts w:ascii="Century Gothic" w:eastAsia="Times New Roman" w:hAnsi="Century Gothic"/>
              </w:rPr>
              <w:t>RAD III</w:t>
            </w:r>
          </w:p>
        </w:tc>
        <w:tc>
          <w:tcPr>
            <w:tcW w:w="2700" w:type="dxa"/>
            <w:shd w:val="clear" w:color="auto" w:fill="9ABDF5"/>
          </w:tcPr>
          <w:p w14:paraId="33BA6FF9" w14:textId="4E84E0B8" w:rsidR="532FD0FF" w:rsidRPr="00C117E6" w:rsidRDefault="532FD0FF" w:rsidP="44E87C04">
            <w:pPr>
              <w:rPr>
                <w:rFonts w:ascii="Century Gothic" w:eastAsia="Times New Roman" w:hAnsi="Century Gothic"/>
              </w:rPr>
            </w:pPr>
            <w:r w:rsidRPr="00C117E6">
              <w:rPr>
                <w:rFonts w:ascii="Century Gothic" w:eastAsia="Times New Roman" w:hAnsi="Century Gothic"/>
              </w:rPr>
              <w:t>Winslow-Celentano</w:t>
            </w:r>
          </w:p>
        </w:tc>
        <w:tc>
          <w:tcPr>
            <w:tcW w:w="2700" w:type="dxa"/>
            <w:shd w:val="clear" w:color="auto" w:fill="9ABDF5"/>
          </w:tcPr>
          <w:p w14:paraId="3F1D1950" w14:textId="562F7341" w:rsidR="7DCAFD7F" w:rsidRPr="00C117E6" w:rsidRDefault="7DCAFD7F" w:rsidP="44E87C04">
            <w:pPr>
              <w:rPr>
                <w:rFonts w:ascii="Century Gothic" w:eastAsia="Times New Roman" w:hAnsi="Century Gothic"/>
              </w:rPr>
            </w:pPr>
            <w:r w:rsidRPr="00C117E6">
              <w:rPr>
                <w:rFonts w:ascii="Century Gothic" w:eastAsia="Times New Roman" w:hAnsi="Century Gothic"/>
              </w:rPr>
              <w:t>Elderly/Disabled</w:t>
            </w:r>
          </w:p>
        </w:tc>
        <w:tc>
          <w:tcPr>
            <w:tcW w:w="2700" w:type="dxa"/>
            <w:shd w:val="clear" w:color="auto" w:fill="9ABDF5"/>
          </w:tcPr>
          <w:p w14:paraId="7AA25DEC" w14:textId="1054D529" w:rsidR="0697376B" w:rsidRPr="00C117E6" w:rsidRDefault="0697376B" w:rsidP="44E87C04">
            <w:pPr>
              <w:rPr>
                <w:rFonts w:ascii="Century Gothic" w:eastAsia="Times New Roman" w:hAnsi="Century Gothic"/>
              </w:rPr>
            </w:pPr>
            <w:r w:rsidRPr="00C117E6">
              <w:rPr>
                <w:rFonts w:ascii="Century Gothic" w:eastAsia="Times New Roman" w:hAnsi="Century Gothic"/>
              </w:rPr>
              <w:t>64</w:t>
            </w:r>
          </w:p>
        </w:tc>
      </w:tr>
      <w:tr w:rsidR="44E87C04" w:rsidRPr="00C117E6" w14:paraId="2E03757D" w14:textId="77777777" w:rsidTr="44E87C04">
        <w:trPr>
          <w:trHeight w:val="300"/>
        </w:trPr>
        <w:tc>
          <w:tcPr>
            <w:tcW w:w="2700" w:type="dxa"/>
            <w:shd w:val="clear" w:color="auto" w:fill="9ABDF5"/>
          </w:tcPr>
          <w:p w14:paraId="7FE48862" w14:textId="11986560" w:rsidR="555A4E05" w:rsidRPr="00C117E6" w:rsidRDefault="555A4E05" w:rsidP="44E87C04">
            <w:pPr>
              <w:rPr>
                <w:rFonts w:ascii="Century Gothic" w:eastAsia="Times New Roman" w:hAnsi="Century Gothic"/>
              </w:rPr>
            </w:pPr>
            <w:r w:rsidRPr="00C117E6">
              <w:rPr>
                <w:rFonts w:ascii="Century Gothic" w:eastAsia="Times New Roman" w:hAnsi="Century Gothic"/>
              </w:rPr>
              <w:lastRenderedPageBreak/>
              <w:t>RAD III</w:t>
            </w:r>
          </w:p>
        </w:tc>
        <w:tc>
          <w:tcPr>
            <w:tcW w:w="2700" w:type="dxa"/>
            <w:shd w:val="clear" w:color="auto" w:fill="9ABDF5"/>
          </w:tcPr>
          <w:p w14:paraId="65DD75EE" w14:textId="1DCA839E" w:rsidR="38706C03" w:rsidRPr="00C117E6" w:rsidRDefault="38706C03" w:rsidP="44E87C04">
            <w:pPr>
              <w:rPr>
                <w:rFonts w:ascii="Century Gothic" w:eastAsia="Times New Roman" w:hAnsi="Century Gothic"/>
              </w:rPr>
            </w:pPr>
            <w:r w:rsidRPr="00C117E6">
              <w:rPr>
                <w:rFonts w:ascii="Century Gothic" w:eastAsia="Times New Roman" w:hAnsi="Century Gothic"/>
              </w:rPr>
              <w:t>Charles T. McQueeney</w:t>
            </w:r>
          </w:p>
        </w:tc>
        <w:tc>
          <w:tcPr>
            <w:tcW w:w="2700" w:type="dxa"/>
            <w:shd w:val="clear" w:color="auto" w:fill="9ABDF5"/>
          </w:tcPr>
          <w:p w14:paraId="5768B5E5" w14:textId="56E0AC9A" w:rsidR="792A8F3B" w:rsidRPr="00C117E6" w:rsidRDefault="792A8F3B" w:rsidP="44E87C04">
            <w:pPr>
              <w:rPr>
                <w:rFonts w:ascii="Century Gothic" w:eastAsia="Times New Roman" w:hAnsi="Century Gothic"/>
              </w:rPr>
            </w:pPr>
            <w:r w:rsidRPr="00C117E6">
              <w:rPr>
                <w:rFonts w:ascii="Century Gothic" w:eastAsia="Times New Roman" w:hAnsi="Century Gothic"/>
              </w:rPr>
              <w:t>Elderly/Disabled</w:t>
            </w:r>
          </w:p>
        </w:tc>
        <w:tc>
          <w:tcPr>
            <w:tcW w:w="2700" w:type="dxa"/>
            <w:shd w:val="clear" w:color="auto" w:fill="9ABDF5"/>
          </w:tcPr>
          <w:p w14:paraId="65592281" w14:textId="419A73FD" w:rsidR="5A9CC7DD" w:rsidRPr="00C117E6" w:rsidRDefault="5A9CC7DD" w:rsidP="44E87C04">
            <w:pPr>
              <w:rPr>
                <w:rFonts w:ascii="Century Gothic" w:eastAsia="Times New Roman" w:hAnsi="Century Gothic"/>
              </w:rPr>
            </w:pPr>
            <w:r w:rsidRPr="00C117E6">
              <w:rPr>
                <w:rFonts w:ascii="Century Gothic" w:eastAsia="Times New Roman" w:hAnsi="Century Gothic"/>
              </w:rPr>
              <w:t>149</w:t>
            </w:r>
          </w:p>
        </w:tc>
      </w:tr>
      <w:tr w:rsidR="44E87C04" w:rsidRPr="00C117E6" w14:paraId="0A012BCB" w14:textId="77777777" w:rsidTr="44E87C04">
        <w:trPr>
          <w:trHeight w:val="300"/>
        </w:trPr>
        <w:tc>
          <w:tcPr>
            <w:tcW w:w="2700" w:type="dxa"/>
            <w:shd w:val="clear" w:color="auto" w:fill="9ABDF5"/>
          </w:tcPr>
          <w:p w14:paraId="69D1DA2A" w14:textId="12501725" w:rsidR="555A4E05" w:rsidRPr="00C117E6" w:rsidRDefault="555A4E05" w:rsidP="44E87C04">
            <w:pPr>
              <w:rPr>
                <w:rFonts w:ascii="Century Gothic" w:eastAsia="Times New Roman" w:hAnsi="Century Gothic"/>
              </w:rPr>
            </w:pPr>
            <w:r w:rsidRPr="00C117E6">
              <w:rPr>
                <w:rFonts w:ascii="Century Gothic" w:eastAsia="Times New Roman" w:hAnsi="Century Gothic"/>
              </w:rPr>
              <w:t>RAD IV</w:t>
            </w:r>
          </w:p>
        </w:tc>
        <w:tc>
          <w:tcPr>
            <w:tcW w:w="2700" w:type="dxa"/>
            <w:shd w:val="clear" w:color="auto" w:fill="9ABDF5"/>
          </w:tcPr>
          <w:p w14:paraId="057F38B7" w14:textId="056CDABD" w:rsidR="56FD77CA" w:rsidRPr="00C117E6" w:rsidRDefault="56FD77CA" w:rsidP="44E87C04">
            <w:pPr>
              <w:rPr>
                <w:rFonts w:ascii="Century Gothic" w:eastAsia="Times New Roman" w:hAnsi="Century Gothic"/>
              </w:rPr>
            </w:pPr>
            <w:r w:rsidRPr="00C117E6">
              <w:rPr>
                <w:rFonts w:ascii="Century Gothic" w:eastAsia="Times New Roman" w:hAnsi="Century Gothic"/>
              </w:rPr>
              <w:t>Matthew Ruoppolo Manor</w:t>
            </w:r>
          </w:p>
        </w:tc>
        <w:tc>
          <w:tcPr>
            <w:tcW w:w="2700" w:type="dxa"/>
            <w:shd w:val="clear" w:color="auto" w:fill="9ABDF5"/>
          </w:tcPr>
          <w:p w14:paraId="0726F59D" w14:textId="08D50FAA" w:rsidR="06F4CF36" w:rsidRPr="00C117E6" w:rsidRDefault="06F4CF36" w:rsidP="44E87C04">
            <w:pPr>
              <w:rPr>
                <w:rFonts w:ascii="Century Gothic" w:eastAsia="Times New Roman" w:hAnsi="Century Gothic"/>
              </w:rPr>
            </w:pPr>
            <w:r w:rsidRPr="00C117E6">
              <w:rPr>
                <w:rFonts w:ascii="Century Gothic" w:eastAsia="Times New Roman" w:hAnsi="Century Gothic"/>
              </w:rPr>
              <w:t>Elderly/Disabled</w:t>
            </w:r>
          </w:p>
        </w:tc>
        <w:tc>
          <w:tcPr>
            <w:tcW w:w="2700" w:type="dxa"/>
            <w:shd w:val="clear" w:color="auto" w:fill="9ABDF5"/>
          </w:tcPr>
          <w:p w14:paraId="023F047F" w14:textId="26A0579E" w:rsidR="0AFDDE6F" w:rsidRPr="00C117E6" w:rsidRDefault="0AFDDE6F" w:rsidP="44E87C04">
            <w:pPr>
              <w:rPr>
                <w:rFonts w:ascii="Century Gothic" w:eastAsia="Times New Roman" w:hAnsi="Century Gothic"/>
              </w:rPr>
            </w:pPr>
            <w:r w:rsidRPr="00C117E6">
              <w:rPr>
                <w:rFonts w:ascii="Century Gothic" w:eastAsia="Times New Roman" w:hAnsi="Century Gothic"/>
              </w:rPr>
              <w:t>103</w:t>
            </w:r>
          </w:p>
        </w:tc>
      </w:tr>
      <w:tr w:rsidR="44E87C04" w:rsidRPr="00C117E6" w14:paraId="6CCD381F" w14:textId="77777777" w:rsidTr="44E87C04">
        <w:trPr>
          <w:trHeight w:val="300"/>
        </w:trPr>
        <w:tc>
          <w:tcPr>
            <w:tcW w:w="2700" w:type="dxa"/>
            <w:shd w:val="clear" w:color="auto" w:fill="9ABDF5"/>
          </w:tcPr>
          <w:p w14:paraId="0589F482" w14:textId="40ADC2CC" w:rsidR="555A4E05" w:rsidRPr="00C117E6" w:rsidRDefault="555A4E05" w:rsidP="44E87C04">
            <w:pPr>
              <w:rPr>
                <w:rFonts w:ascii="Century Gothic" w:eastAsia="Times New Roman" w:hAnsi="Century Gothic"/>
              </w:rPr>
            </w:pPr>
            <w:r w:rsidRPr="00C117E6">
              <w:rPr>
                <w:rFonts w:ascii="Century Gothic" w:eastAsia="Times New Roman" w:hAnsi="Century Gothic"/>
              </w:rPr>
              <w:t>RAD IV</w:t>
            </w:r>
          </w:p>
        </w:tc>
        <w:tc>
          <w:tcPr>
            <w:tcW w:w="2700" w:type="dxa"/>
            <w:shd w:val="clear" w:color="auto" w:fill="9ABDF5"/>
          </w:tcPr>
          <w:p w14:paraId="0CC13A24" w14:textId="2218136B" w:rsidR="199D6622" w:rsidRPr="00C117E6" w:rsidRDefault="199D6622" w:rsidP="44E87C04">
            <w:pPr>
              <w:rPr>
                <w:rFonts w:ascii="Century Gothic" w:eastAsia="Times New Roman" w:hAnsi="Century Gothic"/>
              </w:rPr>
            </w:pPr>
            <w:r w:rsidRPr="00C117E6">
              <w:rPr>
                <w:rFonts w:ascii="Century Gothic" w:eastAsia="Times New Roman" w:hAnsi="Century Gothic"/>
              </w:rPr>
              <w:t>Fairmont Heights</w:t>
            </w:r>
          </w:p>
        </w:tc>
        <w:tc>
          <w:tcPr>
            <w:tcW w:w="2700" w:type="dxa"/>
            <w:shd w:val="clear" w:color="auto" w:fill="9ABDF5"/>
          </w:tcPr>
          <w:p w14:paraId="6BD6D1B6" w14:textId="2D705257" w:rsidR="722CD999" w:rsidRPr="00C117E6" w:rsidRDefault="722CD999" w:rsidP="44E87C04">
            <w:pPr>
              <w:rPr>
                <w:rFonts w:ascii="Century Gothic" w:eastAsia="Times New Roman" w:hAnsi="Century Gothic"/>
              </w:rPr>
            </w:pPr>
            <w:r w:rsidRPr="00C117E6">
              <w:rPr>
                <w:rFonts w:ascii="Century Gothic" w:eastAsia="Times New Roman" w:hAnsi="Century Gothic"/>
              </w:rPr>
              <w:t>Elderly/Disabled</w:t>
            </w:r>
          </w:p>
        </w:tc>
        <w:tc>
          <w:tcPr>
            <w:tcW w:w="2700" w:type="dxa"/>
            <w:shd w:val="clear" w:color="auto" w:fill="9ABDF5"/>
          </w:tcPr>
          <w:p w14:paraId="45DAA3FE" w14:textId="09CC30CB" w:rsidR="0EEDDEAC" w:rsidRPr="00C117E6" w:rsidRDefault="0EEDDEAC" w:rsidP="44E87C04">
            <w:pPr>
              <w:rPr>
                <w:rFonts w:ascii="Century Gothic" w:eastAsia="Times New Roman" w:hAnsi="Century Gothic"/>
              </w:rPr>
            </w:pPr>
            <w:r w:rsidRPr="00C117E6">
              <w:rPr>
                <w:rFonts w:ascii="Century Gothic" w:eastAsia="Times New Roman" w:hAnsi="Century Gothic"/>
              </w:rPr>
              <w:t>98</w:t>
            </w:r>
          </w:p>
        </w:tc>
      </w:tr>
      <w:tr w:rsidR="44E87C04" w:rsidRPr="00C117E6" w14:paraId="0E4AAC1C" w14:textId="77777777" w:rsidTr="44E87C04">
        <w:trPr>
          <w:trHeight w:val="300"/>
        </w:trPr>
        <w:tc>
          <w:tcPr>
            <w:tcW w:w="2700" w:type="dxa"/>
            <w:shd w:val="clear" w:color="auto" w:fill="9ABDF5"/>
          </w:tcPr>
          <w:p w14:paraId="2B4C0597" w14:textId="471EC8E3" w:rsidR="555A4E05" w:rsidRPr="00C117E6" w:rsidRDefault="555A4E05" w:rsidP="44E87C04">
            <w:pPr>
              <w:rPr>
                <w:rFonts w:ascii="Century Gothic" w:eastAsia="Times New Roman" w:hAnsi="Century Gothic"/>
              </w:rPr>
            </w:pPr>
            <w:r w:rsidRPr="00C117E6">
              <w:rPr>
                <w:rFonts w:ascii="Century Gothic" w:eastAsia="Times New Roman" w:hAnsi="Century Gothic"/>
              </w:rPr>
              <w:t>Wilmont</w:t>
            </w:r>
          </w:p>
        </w:tc>
        <w:tc>
          <w:tcPr>
            <w:tcW w:w="2700" w:type="dxa"/>
            <w:shd w:val="clear" w:color="auto" w:fill="9ABDF5"/>
          </w:tcPr>
          <w:p w14:paraId="564E9AEF" w14:textId="3B767FB4" w:rsidR="1F1EDC7A" w:rsidRPr="00C117E6" w:rsidRDefault="1F1EDC7A" w:rsidP="44E87C04">
            <w:pPr>
              <w:rPr>
                <w:rFonts w:ascii="Century Gothic" w:eastAsia="Times New Roman" w:hAnsi="Century Gothic"/>
              </w:rPr>
            </w:pPr>
            <w:r w:rsidRPr="00C117E6">
              <w:rPr>
                <w:rFonts w:ascii="Century Gothic" w:eastAsia="Times New Roman" w:hAnsi="Century Gothic"/>
              </w:rPr>
              <w:t>Wilmot Crossing</w:t>
            </w:r>
          </w:p>
        </w:tc>
        <w:tc>
          <w:tcPr>
            <w:tcW w:w="2700" w:type="dxa"/>
            <w:shd w:val="clear" w:color="auto" w:fill="9ABDF5"/>
          </w:tcPr>
          <w:p w14:paraId="650F85A0" w14:textId="46C011A3" w:rsidR="39C99997" w:rsidRPr="00C117E6" w:rsidRDefault="39C99997" w:rsidP="44E87C04">
            <w:pPr>
              <w:rPr>
                <w:rFonts w:ascii="Century Gothic" w:eastAsia="Times New Roman" w:hAnsi="Century Gothic"/>
              </w:rPr>
            </w:pPr>
            <w:r w:rsidRPr="00C117E6">
              <w:rPr>
                <w:rFonts w:ascii="Century Gothic" w:eastAsia="Times New Roman" w:hAnsi="Century Gothic"/>
              </w:rPr>
              <w:t>Elderly/Disabled</w:t>
            </w:r>
          </w:p>
        </w:tc>
        <w:tc>
          <w:tcPr>
            <w:tcW w:w="2700" w:type="dxa"/>
            <w:shd w:val="clear" w:color="auto" w:fill="9ABDF5"/>
          </w:tcPr>
          <w:p w14:paraId="7BB9CA88" w14:textId="2863BF8B" w:rsidR="261C02EE" w:rsidRPr="00C117E6" w:rsidRDefault="261C02EE" w:rsidP="44E87C04">
            <w:pPr>
              <w:rPr>
                <w:rFonts w:ascii="Century Gothic" w:eastAsia="Times New Roman" w:hAnsi="Century Gothic"/>
              </w:rPr>
            </w:pPr>
            <w:r w:rsidRPr="00C117E6">
              <w:rPr>
                <w:rFonts w:ascii="Century Gothic" w:eastAsia="Times New Roman" w:hAnsi="Century Gothic"/>
              </w:rPr>
              <w:t>47</w:t>
            </w:r>
          </w:p>
        </w:tc>
      </w:tr>
      <w:tr w:rsidR="004335C9" w:rsidRPr="00C117E6" w14:paraId="6DE095EB" w14:textId="77777777" w:rsidTr="44E87C04">
        <w:trPr>
          <w:trHeight w:val="300"/>
        </w:trPr>
        <w:tc>
          <w:tcPr>
            <w:tcW w:w="2700" w:type="dxa"/>
            <w:shd w:val="clear" w:color="auto" w:fill="9ABDF5"/>
          </w:tcPr>
          <w:p w14:paraId="47F171A6" w14:textId="5726F900" w:rsidR="004335C9" w:rsidRPr="00C117E6" w:rsidRDefault="742DDD6B" w:rsidP="44E87C04">
            <w:pPr>
              <w:rPr>
                <w:rFonts w:ascii="Century Gothic" w:eastAsia="Times New Roman" w:hAnsi="Century Gothic"/>
              </w:rPr>
            </w:pPr>
            <w:r w:rsidRPr="00C117E6">
              <w:rPr>
                <w:rFonts w:ascii="Century Gothic" w:eastAsia="Times New Roman" w:hAnsi="Century Gothic"/>
              </w:rPr>
              <w:t>TOTAL</w:t>
            </w:r>
          </w:p>
        </w:tc>
        <w:tc>
          <w:tcPr>
            <w:tcW w:w="2700" w:type="dxa"/>
            <w:shd w:val="clear" w:color="auto" w:fill="9ABDF5"/>
          </w:tcPr>
          <w:p w14:paraId="14A1CC8B" w14:textId="77777777" w:rsidR="004335C9" w:rsidRPr="00C117E6" w:rsidRDefault="004335C9" w:rsidP="44E87C04">
            <w:pPr>
              <w:rPr>
                <w:rFonts w:ascii="Century Gothic" w:eastAsia="Times New Roman" w:hAnsi="Century Gothic"/>
              </w:rPr>
            </w:pPr>
          </w:p>
        </w:tc>
        <w:tc>
          <w:tcPr>
            <w:tcW w:w="2700" w:type="dxa"/>
            <w:shd w:val="clear" w:color="auto" w:fill="9ABDF5"/>
          </w:tcPr>
          <w:p w14:paraId="1E309ECE" w14:textId="77777777" w:rsidR="004335C9" w:rsidRPr="00C117E6" w:rsidRDefault="004335C9" w:rsidP="44E87C04">
            <w:pPr>
              <w:rPr>
                <w:rFonts w:ascii="Century Gothic" w:eastAsia="Times New Roman" w:hAnsi="Century Gothic"/>
              </w:rPr>
            </w:pPr>
          </w:p>
        </w:tc>
        <w:tc>
          <w:tcPr>
            <w:tcW w:w="2700" w:type="dxa"/>
            <w:shd w:val="clear" w:color="auto" w:fill="9ABDF5"/>
          </w:tcPr>
          <w:p w14:paraId="4A49020D" w14:textId="54100F8A" w:rsidR="004335C9" w:rsidRPr="00C117E6" w:rsidRDefault="742DDD6B" w:rsidP="44E87C04">
            <w:pPr>
              <w:rPr>
                <w:rFonts w:ascii="Century Gothic" w:eastAsia="Times New Roman" w:hAnsi="Century Gothic"/>
              </w:rPr>
            </w:pPr>
            <w:r w:rsidRPr="00C117E6">
              <w:rPr>
                <w:rFonts w:ascii="Century Gothic" w:eastAsia="Times New Roman" w:hAnsi="Century Gothic"/>
              </w:rPr>
              <w:t>605</w:t>
            </w:r>
          </w:p>
        </w:tc>
      </w:tr>
    </w:tbl>
    <w:p w14:paraId="79D19A34" w14:textId="497246B6" w:rsidR="006D7E9C" w:rsidRPr="00C117E6" w:rsidRDefault="6A5EFFAF" w:rsidP="00B73719">
      <w:pPr>
        <w:tabs>
          <w:tab w:val="left" w:pos="1350"/>
        </w:tabs>
        <w:rPr>
          <w:rFonts w:ascii="Century Gothic" w:hAnsi="Century Gothic"/>
        </w:rPr>
      </w:pPr>
      <w:r w:rsidRPr="00C117E6">
        <w:rPr>
          <w:rFonts w:ascii="Century Gothic" w:hAnsi="Century Gothic"/>
        </w:rPr>
        <w:t>  </w:t>
      </w:r>
    </w:p>
    <w:tbl>
      <w:tblPr>
        <w:tblStyle w:val="TableGrid"/>
        <w:tblW w:w="10800" w:type="dxa"/>
        <w:tblLayout w:type="fixed"/>
        <w:tblLook w:val="0680" w:firstRow="0" w:lastRow="0" w:firstColumn="1" w:lastColumn="0" w:noHBand="1" w:noVBand="1"/>
      </w:tblPr>
      <w:tblGrid>
        <w:gridCol w:w="2700"/>
        <w:gridCol w:w="2700"/>
        <w:gridCol w:w="2700"/>
        <w:gridCol w:w="2700"/>
      </w:tblGrid>
      <w:tr w:rsidR="44E87C04" w:rsidRPr="00C117E6" w14:paraId="02265686" w14:textId="77777777" w:rsidTr="662A423E">
        <w:trPr>
          <w:trHeight w:val="300"/>
        </w:trPr>
        <w:tc>
          <w:tcPr>
            <w:tcW w:w="2700" w:type="dxa"/>
            <w:tcBorders>
              <w:top w:val="single" w:sz="4" w:space="0" w:color="002060"/>
              <w:left w:val="single" w:sz="4" w:space="0" w:color="002060"/>
              <w:bottom w:val="single" w:sz="4" w:space="0" w:color="002060"/>
              <w:right w:val="single" w:sz="4" w:space="0" w:color="002060"/>
            </w:tcBorders>
            <w:shd w:val="clear" w:color="auto" w:fill="4757D6"/>
          </w:tcPr>
          <w:p w14:paraId="42866467" w14:textId="17C0324A" w:rsidR="44E87C04" w:rsidRPr="00C117E6" w:rsidRDefault="44E87C04" w:rsidP="44E87C04">
            <w:pPr>
              <w:rPr>
                <w:rFonts w:ascii="Century Gothic" w:eastAsia="Times New Roman" w:hAnsi="Century Gothic"/>
              </w:rPr>
            </w:pPr>
            <w:r w:rsidRPr="00C117E6">
              <w:rPr>
                <w:rFonts w:ascii="Century Gothic" w:eastAsia="Times New Roman" w:hAnsi="Century Gothic"/>
              </w:rPr>
              <w:t>Development</w:t>
            </w:r>
          </w:p>
        </w:tc>
        <w:tc>
          <w:tcPr>
            <w:tcW w:w="2700" w:type="dxa"/>
            <w:tcBorders>
              <w:top w:val="single" w:sz="4" w:space="0" w:color="002060"/>
              <w:left w:val="single" w:sz="4" w:space="0" w:color="002060"/>
              <w:bottom w:val="single" w:sz="4" w:space="0" w:color="002060"/>
              <w:right w:val="single" w:sz="4" w:space="0" w:color="002060"/>
            </w:tcBorders>
            <w:shd w:val="clear" w:color="auto" w:fill="4757D6"/>
          </w:tcPr>
          <w:p w14:paraId="6438AF4A" w14:textId="312528F1" w:rsidR="44E87C04" w:rsidRPr="00C117E6" w:rsidRDefault="44E87C04" w:rsidP="44E87C04">
            <w:pPr>
              <w:rPr>
                <w:rFonts w:ascii="Century Gothic" w:eastAsia="Times New Roman" w:hAnsi="Century Gothic"/>
              </w:rPr>
            </w:pPr>
            <w:r w:rsidRPr="00C117E6">
              <w:rPr>
                <w:rFonts w:ascii="Century Gothic" w:eastAsia="Times New Roman" w:hAnsi="Century Gothic"/>
              </w:rPr>
              <w:t>Community</w:t>
            </w:r>
          </w:p>
        </w:tc>
        <w:tc>
          <w:tcPr>
            <w:tcW w:w="2700" w:type="dxa"/>
            <w:tcBorders>
              <w:top w:val="single" w:sz="4" w:space="0" w:color="002060"/>
              <w:left w:val="single" w:sz="4" w:space="0" w:color="002060"/>
              <w:bottom w:val="single" w:sz="4" w:space="0" w:color="002060"/>
              <w:right w:val="single" w:sz="4" w:space="0" w:color="002060"/>
            </w:tcBorders>
            <w:shd w:val="clear" w:color="auto" w:fill="4757D6"/>
          </w:tcPr>
          <w:p w14:paraId="5DE33159" w14:textId="5A75E7E3" w:rsidR="44E87C04" w:rsidRPr="00C117E6" w:rsidRDefault="44E87C04" w:rsidP="44E87C04">
            <w:pPr>
              <w:rPr>
                <w:rFonts w:ascii="Century Gothic" w:eastAsia="Times New Roman" w:hAnsi="Century Gothic"/>
              </w:rPr>
            </w:pPr>
            <w:r w:rsidRPr="00C117E6">
              <w:rPr>
                <w:rFonts w:ascii="Century Gothic" w:eastAsia="Times New Roman" w:hAnsi="Century Gothic"/>
              </w:rPr>
              <w:t>Designation</w:t>
            </w:r>
          </w:p>
        </w:tc>
        <w:tc>
          <w:tcPr>
            <w:tcW w:w="2700" w:type="dxa"/>
            <w:tcBorders>
              <w:top w:val="single" w:sz="4" w:space="0" w:color="002060"/>
              <w:left w:val="single" w:sz="4" w:space="0" w:color="002060"/>
              <w:bottom w:val="single" w:sz="4" w:space="0" w:color="002060"/>
              <w:right w:val="single" w:sz="4" w:space="0" w:color="002060"/>
            </w:tcBorders>
            <w:shd w:val="clear" w:color="auto" w:fill="4757D6"/>
          </w:tcPr>
          <w:p w14:paraId="45546D58" w14:textId="3F0C4B52" w:rsidR="44E87C04" w:rsidRPr="00C117E6" w:rsidRDefault="44E87C04" w:rsidP="44E87C04">
            <w:pPr>
              <w:rPr>
                <w:rFonts w:ascii="Century Gothic" w:eastAsia="Times New Roman" w:hAnsi="Century Gothic"/>
              </w:rPr>
            </w:pPr>
            <w:r w:rsidRPr="00C117E6">
              <w:rPr>
                <w:rFonts w:ascii="Century Gothic" w:eastAsia="Times New Roman" w:hAnsi="Century Gothic"/>
              </w:rPr>
              <w:t>Units</w:t>
            </w:r>
          </w:p>
        </w:tc>
      </w:tr>
      <w:tr w:rsidR="44E87C04" w:rsidRPr="00C117E6" w14:paraId="5164D240" w14:textId="77777777" w:rsidTr="662A423E">
        <w:trPr>
          <w:trHeight w:val="300"/>
        </w:trPr>
        <w:tc>
          <w:tcPr>
            <w:tcW w:w="2700" w:type="dxa"/>
            <w:tcBorders>
              <w:top w:val="single" w:sz="4" w:space="0" w:color="002060"/>
            </w:tcBorders>
            <w:shd w:val="clear" w:color="auto" w:fill="9ABDF5"/>
          </w:tcPr>
          <w:p w14:paraId="59499E9D" w14:textId="00276D92" w:rsidR="1B9A5258" w:rsidRPr="00C117E6" w:rsidRDefault="1B9A5258" w:rsidP="44E87C04">
            <w:pPr>
              <w:rPr>
                <w:rFonts w:ascii="Century Gothic" w:eastAsia="Times New Roman" w:hAnsi="Century Gothic"/>
              </w:rPr>
            </w:pPr>
            <w:r w:rsidRPr="00C117E6">
              <w:rPr>
                <w:rFonts w:ascii="Century Gothic" w:eastAsia="Times New Roman" w:hAnsi="Century Gothic"/>
              </w:rPr>
              <w:t>Eastview Terrace</w:t>
            </w:r>
          </w:p>
        </w:tc>
        <w:tc>
          <w:tcPr>
            <w:tcW w:w="2700" w:type="dxa"/>
            <w:tcBorders>
              <w:top w:val="single" w:sz="4" w:space="0" w:color="002060"/>
            </w:tcBorders>
            <w:shd w:val="clear" w:color="auto" w:fill="9ABDF5"/>
          </w:tcPr>
          <w:p w14:paraId="67657CA2" w14:textId="4069D438" w:rsidR="37E21006" w:rsidRPr="00C117E6" w:rsidRDefault="37E21006" w:rsidP="44E87C04">
            <w:pPr>
              <w:rPr>
                <w:rFonts w:ascii="Century Gothic" w:eastAsia="Times New Roman" w:hAnsi="Century Gothic"/>
              </w:rPr>
            </w:pPr>
            <w:r w:rsidRPr="00C117E6">
              <w:rPr>
                <w:rFonts w:ascii="Century Gothic" w:eastAsia="Times New Roman" w:hAnsi="Century Gothic"/>
              </w:rPr>
              <w:t xml:space="preserve">Eastview Terrace </w:t>
            </w:r>
            <w:r w:rsidR="2BFE38BB" w:rsidRPr="00C117E6">
              <w:rPr>
                <w:rFonts w:ascii="Century Gothic" w:eastAsia="Times New Roman" w:hAnsi="Century Gothic"/>
              </w:rPr>
              <w:t>I</w:t>
            </w:r>
          </w:p>
        </w:tc>
        <w:tc>
          <w:tcPr>
            <w:tcW w:w="2700" w:type="dxa"/>
            <w:tcBorders>
              <w:top w:val="single" w:sz="4" w:space="0" w:color="002060"/>
            </w:tcBorders>
            <w:shd w:val="clear" w:color="auto" w:fill="9ABDF5"/>
          </w:tcPr>
          <w:p w14:paraId="417D391F" w14:textId="65C42537" w:rsidR="2AB7FFAE" w:rsidRPr="00C117E6" w:rsidRDefault="2AB7FFAE" w:rsidP="44E87C04">
            <w:pPr>
              <w:rPr>
                <w:rFonts w:ascii="Century Gothic" w:eastAsia="Times New Roman" w:hAnsi="Century Gothic"/>
              </w:rPr>
            </w:pPr>
            <w:r w:rsidRPr="00C117E6">
              <w:rPr>
                <w:rFonts w:ascii="Century Gothic" w:eastAsia="Times New Roman" w:hAnsi="Century Gothic"/>
              </w:rPr>
              <w:t>Family</w:t>
            </w:r>
          </w:p>
        </w:tc>
        <w:tc>
          <w:tcPr>
            <w:tcW w:w="2700" w:type="dxa"/>
            <w:tcBorders>
              <w:top w:val="single" w:sz="4" w:space="0" w:color="002060"/>
            </w:tcBorders>
            <w:shd w:val="clear" w:color="auto" w:fill="9ABDF5"/>
          </w:tcPr>
          <w:p w14:paraId="12FBEE23" w14:textId="15378B2D" w:rsidR="489E2BB4" w:rsidRPr="00C117E6" w:rsidRDefault="489E2BB4" w:rsidP="44E87C04">
            <w:pPr>
              <w:rPr>
                <w:rFonts w:ascii="Century Gothic" w:eastAsia="Times New Roman" w:hAnsi="Century Gothic"/>
              </w:rPr>
            </w:pPr>
            <w:r w:rsidRPr="00C117E6">
              <w:rPr>
                <w:rFonts w:ascii="Century Gothic" w:eastAsia="Times New Roman" w:hAnsi="Century Gothic"/>
              </w:rPr>
              <w:t>102</w:t>
            </w:r>
          </w:p>
        </w:tc>
      </w:tr>
      <w:tr w:rsidR="44E87C04" w:rsidRPr="00C117E6" w14:paraId="2461D57C" w14:textId="77777777" w:rsidTr="662A423E">
        <w:trPr>
          <w:trHeight w:val="300"/>
        </w:trPr>
        <w:tc>
          <w:tcPr>
            <w:tcW w:w="2700" w:type="dxa"/>
            <w:shd w:val="clear" w:color="auto" w:fill="9ABDF5"/>
          </w:tcPr>
          <w:p w14:paraId="3CA8737C" w14:textId="7F20374F" w:rsidR="5DE867F2" w:rsidRPr="00C117E6" w:rsidRDefault="5DE867F2" w:rsidP="44E87C04">
            <w:pPr>
              <w:rPr>
                <w:rFonts w:ascii="Century Gothic" w:eastAsia="Times New Roman" w:hAnsi="Century Gothic"/>
              </w:rPr>
            </w:pPr>
            <w:r w:rsidRPr="00C117E6">
              <w:rPr>
                <w:rFonts w:ascii="Century Gothic" w:eastAsia="Times New Roman" w:hAnsi="Century Gothic"/>
              </w:rPr>
              <w:t>Fairhaven/Chatham</w:t>
            </w:r>
          </w:p>
        </w:tc>
        <w:tc>
          <w:tcPr>
            <w:tcW w:w="2700" w:type="dxa"/>
            <w:shd w:val="clear" w:color="auto" w:fill="9ABDF5"/>
          </w:tcPr>
          <w:p w14:paraId="0DB9CE4A" w14:textId="4681BD0B" w:rsidR="1F48EB2C" w:rsidRPr="00C117E6" w:rsidRDefault="1F48EB2C" w:rsidP="44E87C04">
            <w:pPr>
              <w:rPr>
                <w:rFonts w:ascii="Century Gothic" w:eastAsia="Times New Roman" w:hAnsi="Century Gothic"/>
              </w:rPr>
            </w:pPr>
            <w:r w:rsidRPr="00C117E6">
              <w:rPr>
                <w:rFonts w:ascii="Century Gothic" w:eastAsia="Times New Roman" w:hAnsi="Century Gothic"/>
              </w:rPr>
              <w:t>Eastview Terrace II</w:t>
            </w:r>
          </w:p>
        </w:tc>
        <w:tc>
          <w:tcPr>
            <w:tcW w:w="2700" w:type="dxa"/>
            <w:shd w:val="clear" w:color="auto" w:fill="9ABDF5"/>
          </w:tcPr>
          <w:p w14:paraId="679953D1" w14:textId="6D8D697D" w:rsidR="6B1DAABF" w:rsidRPr="00C117E6" w:rsidRDefault="6B1DAABF"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708E0022" w14:textId="2ED8809B" w:rsidR="35706742" w:rsidRPr="00C117E6" w:rsidRDefault="35706742" w:rsidP="44E87C04">
            <w:pPr>
              <w:rPr>
                <w:rFonts w:ascii="Century Gothic" w:eastAsia="Times New Roman" w:hAnsi="Century Gothic"/>
              </w:rPr>
            </w:pPr>
            <w:r w:rsidRPr="00C117E6">
              <w:rPr>
                <w:rFonts w:ascii="Century Gothic" w:eastAsia="Times New Roman" w:hAnsi="Century Gothic"/>
              </w:rPr>
              <w:t>25</w:t>
            </w:r>
          </w:p>
        </w:tc>
      </w:tr>
      <w:tr w:rsidR="44E87C04" w:rsidRPr="00C117E6" w14:paraId="28BBBFC1" w14:textId="77777777" w:rsidTr="662A423E">
        <w:trPr>
          <w:trHeight w:val="300"/>
        </w:trPr>
        <w:tc>
          <w:tcPr>
            <w:tcW w:w="2700" w:type="dxa"/>
            <w:shd w:val="clear" w:color="auto" w:fill="9ABDF5"/>
          </w:tcPr>
          <w:p w14:paraId="60E56DEA" w14:textId="6ABFD2E7" w:rsidR="70E7B2DF" w:rsidRPr="00C117E6" w:rsidRDefault="70E7B2DF" w:rsidP="44E87C04">
            <w:pPr>
              <w:rPr>
                <w:rFonts w:ascii="Century Gothic" w:eastAsia="Times New Roman" w:hAnsi="Century Gothic"/>
              </w:rPr>
            </w:pPr>
            <w:r w:rsidRPr="00C117E6">
              <w:rPr>
                <w:rFonts w:ascii="Century Gothic" w:eastAsia="Times New Roman" w:hAnsi="Century Gothic"/>
              </w:rPr>
              <w:t>Fairhaven/Chatham</w:t>
            </w:r>
          </w:p>
        </w:tc>
        <w:tc>
          <w:tcPr>
            <w:tcW w:w="2700" w:type="dxa"/>
            <w:shd w:val="clear" w:color="auto" w:fill="9ABDF5"/>
          </w:tcPr>
          <w:p w14:paraId="5C571299" w14:textId="40D36CD7" w:rsidR="513E4C08" w:rsidRPr="00C117E6" w:rsidRDefault="513E4C08" w:rsidP="44E87C04">
            <w:pPr>
              <w:rPr>
                <w:rFonts w:ascii="Century Gothic" w:eastAsia="Times New Roman" w:hAnsi="Century Gothic"/>
              </w:rPr>
            </w:pPr>
            <w:r w:rsidRPr="00C117E6">
              <w:rPr>
                <w:rFonts w:ascii="Century Gothic" w:eastAsia="Times New Roman" w:hAnsi="Century Gothic"/>
              </w:rPr>
              <w:t>Chatham</w:t>
            </w:r>
          </w:p>
        </w:tc>
        <w:tc>
          <w:tcPr>
            <w:tcW w:w="2700" w:type="dxa"/>
            <w:shd w:val="clear" w:color="auto" w:fill="9ABDF5"/>
          </w:tcPr>
          <w:p w14:paraId="7BBF5FF8" w14:textId="0450C31F" w:rsidR="321581C0" w:rsidRPr="00C117E6" w:rsidRDefault="321581C0"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4FD19AE9" w14:textId="14DD9BDE" w:rsidR="6F44F584" w:rsidRPr="00C117E6" w:rsidRDefault="6F44F584" w:rsidP="44E87C04">
            <w:pPr>
              <w:rPr>
                <w:rFonts w:ascii="Century Gothic" w:eastAsia="Times New Roman" w:hAnsi="Century Gothic"/>
              </w:rPr>
            </w:pPr>
            <w:r w:rsidRPr="00C117E6">
              <w:rPr>
                <w:rFonts w:ascii="Century Gothic" w:eastAsia="Times New Roman" w:hAnsi="Century Gothic"/>
              </w:rPr>
              <w:t>32</w:t>
            </w:r>
          </w:p>
        </w:tc>
      </w:tr>
      <w:tr w:rsidR="44E87C04" w:rsidRPr="00C117E6" w14:paraId="72A2201C" w14:textId="77777777" w:rsidTr="662A423E">
        <w:trPr>
          <w:trHeight w:val="300"/>
        </w:trPr>
        <w:tc>
          <w:tcPr>
            <w:tcW w:w="2700" w:type="dxa"/>
            <w:shd w:val="clear" w:color="auto" w:fill="9ABDF5"/>
          </w:tcPr>
          <w:p w14:paraId="788C3DBE" w14:textId="67C33CE3" w:rsidR="626E1A42" w:rsidRPr="00C117E6" w:rsidRDefault="626E1A42" w:rsidP="44E87C04">
            <w:pPr>
              <w:rPr>
                <w:rFonts w:ascii="Century Gothic" w:eastAsia="Times New Roman" w:hAnsi="Century Gothic"/>
              </w:rPr>
            </w:pPr>
            <w:r w:rsidRPr="00C117E6">
              <w:rPr>
                <w:rFonts w:ascii="Century Gothic" w:eastAsia="Times New Roman" w:hAnsi="Century Gothic"/>
              </w:rPr>
              <w:t>Mill River</w:t>
            </w:r>
            <w:r w:rsidR="32821523" w:rsidRPr="00C117E6">
              <w:rPr>
                <w:rFonts w:ascii="Century Gothic" w:eastAsia="Times New Roman" w:hAnsi="Century Gothic"/>
              </w:rPr>
              <w:t xml:space="preserve"> Phase I</w:t>
            </w:r>
          </w:p>
        </w:tc>
        <w:tc>
          <w:tcPr>
            <w:tcW w:w="2700" w:type="dxa"/>
            <w:shd w:val="clear" w:color="auto" w:fill="9ABDF5"/>
          </w:tcPr>
          <w:p w14:paraId="189B52AF" w14:textId="67C33CE3" w:rsidR="44E87C04" w:rsidRPr="00C117E6" w:rsidRDefault="44E87C04" w:rsidP="44E87C04">
            <w:pPr>
              <w:rPr>
                <w:rFonts w:ascii="Century Gothic" w:eastAsia="Times New Roman" w:hAnsi="Century Gothic"/>
              </w:rPr>
            </w:pPr>
            <w:r w:rsidRPr="00C117E6">
              <w:rPr>
                <w:rFonts w:ascii="Century Gothic" w:eastAsia="Times New Roman" w:hAnsi="Century Gothic"/>
              </w:rPr>
              <w:t>Mill River Phase I</w:t>
            </w:r>
          </w:p>
        </w:tc>
        <w:tc>
          <w:tcPr>
            <w:tcW w:w="2700" w:type="dxa"/>
            <w:shd w:val="clear" w:color="auto" w:fill="9ABDF5"/>
          </w:tcPr>
          <w:p w14:paraId="74FB215E" w14:textId="72AD4DF1" w:rsidR="1EE0FBF9" w:rsidRPr="00C117E6" w:rsidRDefault="1EE0FBF9"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72CCB526" w14:textId="59870E70" w:rsidR="26F1C0A9" w:rsidRPr="00C117E6" w:rsidRDefault="26F1C0A9" w:rsidP="44E87C04">
            <w:pPr>
              <w:rPr>
                <w:rFonts w:ascii="Century Gothic" w:eastAsia="Times New Roman" w:hAnsi="Century Gothic"/>
              </w:rPr>
            </w:pPr>
            <w:r w:rsidRPr="00C117E6">
              <w:rPr>
                <w:rFonts w:ascii="Century Gothic" w:eastAsia="Times New Roman" w:hAnsi="Century Gothic"/>
              </w:rPr>
              <w:t>94</w:t>
            </w:r>
          </w:p>
        </w:tc>
      </w:tr>
      <w:tr w:rsidR="44E87C04" w:rsidRPr="00C117E6" w14:paraId="6DB08E54" w14:textId="77777777" w:rsidTr="662A423E">
        <w:trPr>
          <w:trHeight w:val="300"/>
        </w:trPr>
        <w:tc>
          <w:tcPr>
            <w:tcW w:w="2700" w:type="dxa"/>
            <w:shd w:val="clear" w:color="auto" w:fill="9ABDF5"/>
          </w:tcPr>
          <w:p w14:paraId="3E2773AC" w14:textId="50D50F85" w:rsidR="36A4C2F2" w:rsidRPr="00C117E6" w:rsidRDefault="36A4C2F2" w:rsidP="44E87C04">
            <w:pPr>
              <w:rPr>
                <w:rFonts w:ascii="Century Gothic" w:eastAsia="Times New Roman" w:hAnsi="Century Gothic"/>
              </w:rPr>
            </w:pPr>
            <w:r w:rsidRPr="00C117E6">
              <w:rPr>
                <w:rFonts w:ascii="Century Gothic" w:eastAsia="Times New Roman" w:hAnsi="Century Gothic"/>
              </w:rPr>
              <w:t>Mill River Phase II</w:t>
            </w:r>
          </w:p>
        </w:tc>
        <w:tc>
          <w:tcPr>
            <w:tcW w:w="2700" w:type="dxa"/>
            <w:shd w:val="clear" w:color="auto" w:fill="9ABDF5"/>
          </w:tcPr>
          <w:p w14:paraId="2037FB4A" w14:textId="0E14B8CF" w:rsidR="44E87C04" w:rsidRPr="00C117E6" w:rsidRDefault="44E87C04" w:rsidP="44E87C04">
            <w:pPr>
              <w:rPr>
                <w:rFonts w:ascii="Century Gothic" w:eastAsia="Times New Roman" w:hAnsi="Century Gothic"/>
              </w:rPr>
            </w:pPr>
            <w:r w:rsidRPr="00C117E6">
              <w:rPr>
                <w:rFonts w:ascii="Century Gothic" w:eastAsia="Times New Roman" w:hAnsi="Century Gothic"/>
              </w:rPr>
              <w:t xml:space="preserve">Mill River Phase </w:t>
            </w:r>
            <w:r w:rsidR="6E4C4E55" w:rsidRPr="00C117E6">
              <w:rPr>
                <w:rFonts w:ascii="Century Gothic" w:eastAsia="Times New Roman" w:hAnsi="Century Gothic"/>
              </w:rPr>
              <w:t>2B</w:t>
            </w:r>
          </w:p>
        </w:tc>
        <w:tc>
          <w:tcPr>
            <w:tcW w:w="2700" w:type="dxa"/>
            <w:shd w:val="clear" w:color="auto" w:fill="9ABDF5"/>
          </w:tcPr>
          <w:p w14:paraId="4EB60DA4" w14:textId="14E01A70" w:rsidR="7163FF1D" w:rsidRPr="00C117E6" w:rsidRDefault="7163FF1D"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2B6F461A" w14:textId="5ACE4EEC" w:rsidR="412F826B" w:rsidRPr="00C117E6" w:rsidRDefault="412F826B" w:rsidP="44E87C04">
            <w:pPr>
              <w:rPr>
                <w:rFonts w:ascii="Century Gothic" w:eastAsia="Times New Roman" w:hAnsi="Century Gothic"/>
              </w:rPr>
            </w:pPr>
            <w:r w:rsidRPr="00C117E6">
              <w:rPr>
                <w:rFonts w:ascii="Century Gothic" w:eastAsia="Times New Roman" w:hAnsi="Century Gothic"/>
              </w:rPr>
              <w:t>66</w:t>
            </w:r>
          </w:p>
        </w:tc>
      </w:tr>
      <w:tr w:rsidR="44E87C04" w:rsidRPr="00C117E6" w14:paraId="4ED7A8E4" w14:textId="77777777" w:rsidTr="662A423E">
        <w:trPr>
          <w:trHeight w:val="300"/>
        </w:trPr>
        <w:tc>
          <w:tcPr>
            <w:tcW w:w="2700" w:type="dxa"/>
            <w:shd w:val="clear" w:color="auto" w:fill="9ABDF5"/>
          </w:tcPr>
          <w:p w14:paraId="7839A899" w14:textId="5D539132" w:rsidR="664F0BAB" w:rsidRPr="00C117E6" w:rsidRDefault="664F0BAB" w:rsidP="44E87C04">
            <w:pPr>
              <w:rPr>
                <w:rFonts w:ascii="Century Gothic" w:eastAsia="Times New Roman" w:hAnsi="Century Gothic"/>
              </w:rPr>
            </w:pPr>
            <w:r w:rsidRPr="00C117E6">
              <w:rPr>
                <w:rFonts w:ascii="Century Gothic" w:eastAsia="Times New Roman" w:hAnsi="Century Gothic"/>
              </w:rPr>
              <w:t>Mill River Phase III</w:t>
            </w:r>
          </w:p>
        </w:tc>
        <w:tc>
          <w:tcPr>
            <w:tcW w:w="2700" w:type="dxa"/>
            <w:shd w:val="clear" w:color="auto" w:fill="9ABDF5"/>
          </w:tcPr>
          <w:p w14:paraId="0006D08A" w14:textId="4B445C53" w:rsidR="44E87C04" w:rsidRPr="00C117E6" w:rsidRDefault="44E87C04" w:rsidP="44E87C04">
            <w:pPr>
              <w:rPr>
                <w:rFonts w:ascii="Century Gothic" w:eastAsia="Times New Roman" w:hAnsi="Century Gothic"/>
              </w:rPr>
            </w:pPr>
            <w:r w:rsidRPr="00C117E6">
              <w:rPr>
                <w:rFonts w:ascii="Century Gothic" w:eastAsia="Times New Roman" w:hAnsi="Century Gothic"/>
              </w:rPr>
              <w:t xml:space="preserve">Mill River Phase </w:t>
            </w:r>
            <w:r w:rsidR="07425790" w:rsidRPr="00C117E6">
              <w:rPr>
                <w:rFonts w:ascii="Century Gothic" w:eastAsia="Times New Roman" w:hAnsi="Century Gothic"/>
              </w:rPr>
              <w:t>2A</w:t>
            </w:r>
          </w:p>
        </w:tc>
        <w:tc>
          <w:tcPr>
            <w:tcW w:w="2700" w:type="dxa"/>
            <w:shd w:val="clear" w:color="auto" w:fill="9ABDF5"/>
          </w:tcPr>
          <w:p w14:paraId="45A76EF8" w14:textId="23FE9097" w:rsidR="3C4A7C52" w:rsidRPr="00C117E6" w:rsidRDefault="3C4A7C52"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011CCCBC" w14:textId="354034FF" w:rsidR="1964CA7F" w:rsidRPr="00C117E6" w:rsidRDefault="1964CA7F" w:rsidP="44E87C04">
            <w:pPr>
              <w:rPr>
                <w:rFonts w:ascii="Century Gothic" w:eastAsia="Times New Roman" w:hAnsi="Century Gothic"/>
              </w:rPr>
            </w:pPr>
            <w:r w:rsidRPr="00C117E6">
              <w:rPr>
                <w:rFonts w:ascii="Century Gothic" w:eastAsia="Times New Roman" w:hAnsi="Century Gothic"/>
              </w:rPr>
              <w:t>45</w:t>
            </w:r>
          </w:p>
        </w:tc>
      </w:tr>
      <w:tr w:rsidR="44E87C04" w:rsidRPr="00C117E6" w14:paraId="3EF05A34" w14:textId="77777777" w:rsidTr="662A423E">
        <w:trPr>
          <w:trHeight w:val="300"/>
        </w:trPr>
        <w:tc>
          <w:tcPr>
            <w:tcW w:w="2700" w:type="dxa"/>
            <w:shd w:val="clear" w:color="auto" w:fill="9ABDF5"/>
          </w:tcPr>
          <w:p w14:paraId="0142251A" w14:textId="2611FA98" w:rsidR="44E87C04" w:rsidRPr="00C117E6" w:rsidRDefault="44E87C04" w:rsidP="44E87C04">
            <w:pPr>
              <w:rPr>
                <w:rFonts w:ascii="Century Gothic" w:eastAsia="Times New Roman" w:hAnsi="Century Gothic"/>
              </w:rPr>
            </w:pPr>
            <w:r w:rsidRPr="00C117E6">
              <w:rPr>
                <w:rFonts w:ascii="Century Gothic" w:eastAsia="Times New Roman" w:hAnsi="Century Gothic"/>
              </w:rPr>
              <w:t>RA</w:t>
            </w:r>
            <w:r w:rsidR="4DC7CB1B" w:rsidRPr="00C117E6">
              <w:rPr>
                <w:rFonts w:ascii="Century Gothic" w:eastAsia="Times New Roman" w:hAnsi="Century Gothic"/>
              </w:rPr>
              <w:t>D II</w:t>
            </w:r>
          </w:p>
        </w:tc>
        <w:tc>
          <w:tcPr>
            <w:tcW w:w="2700" w:type="dxa"/>
            <w:shd w:val="clear" w:color="auto" w:fill="9ABDF5"/>
          </w:tcPr>
          <w:p w14:paraId="14D713CF" w14:textId="6A4A5C76" w:rsidR="44FAAC71" w:rsidRPr="00C117E6" w:rsidRDefault="44FAAC71" w:rsidP="44E87C04">
            <w:pPr>
              <w:rPr>
                <w:rFonts w:ascii="Century Gothic" w:eastAsia="Times New Roman" w:hAnsi="Century Gothic"/>
              </w:rPr>
            </w:pPr>
            <w:r w:rsidRPr="00C117E6">
              <w:rPr>
                <w:rFonts w:ascii="Century Gothic" w:eastAsia="Times New Roman" w:hAnsi="Century Gothic"/>
              </w:rPr>
              <w:t>Waverly Townhouses</w:t>
            </w:r>
          </w:p>
        </w:tc>
        <w:tc>
          <w:tcPr>
            <w:tcW w:w="2700" w:type="dxa"/>
            <w:shd w:val="clear" w:color="auto" w:fill="9ABDF5"/>
          </w:tcPr>
          <w:p w14:paraId="3E26737B" w14:textId="65C42537" w:rsidR="44E87C04" w:rsidRPr="00C117E6" w:rsidRDefault="44E87C04"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3BD45327" w14:textId="7F302525" w:rsidR="480A2E05" w:rsidRPr="00C117E6" w:rsidRDefault="480A2E05" w:rsidP="44E87C04">
            <w:pPr>
              <w:rPr>
                <w:rFonts w:ascii="Century Gothic" w:eastAsia="Times New Roman" w:hAnsi="Century Gothic"/>
              </w:rPr>
            </w:pPr>
            <w:r w:rsidRPr="00C117E6">
              <w:rPr>
                <w:rFonts w:ascii="Century Gothic" w:eastAsia="Times New Roman" w:hAnsi="Century Gothic"/>
              </w:rPr>
              <w:t>51</w:t>
            </w:r>
          </w:p>
        </w:tc>
      </w:tr>
      <w:tr w:rsidR="44E87C04" w:rsidRPr="00C117E6" w14:paraId="73A081A0" w14:textId="77777777" w:rsidTr="662A423E">
        <w:trPr>
          <w:trHeight w:val="300"/>
        </w:trPr>
        <w:tc>
          <w:tcPr>
            <w:tcW w:w="2700" w:type="dxa"/>
            <w:shd w:val="clear" w:color="auto" w:fill="9ABDF5"/>
          </w:tcPr>
          <w:p w14:paraId="1058E129" w14:textId="51010A11" w:rsidR="7495BCFB" w:rsidRPr="00C117E6" w:rsidRDefault="7495BCFB" w:rsidP="44E87C04">
            <w:pPr>
              <w:rPr>
                <w:rFonts w:ascii="Century Gothic" w:eastAsia="Times New Roman" w:hAnsi="Century Gothic"/>
              </w:rPr>
            </w:pPr>
            <w:r w:rsidRPr="00C117E6">
              <w:rPr>
                <w:rFonts w:ascii="Century Gothic" w:eastAsia="Times New Roman" w:hAnsi="Century Gothic"/>
              </w:rPr>
              <w:t>RAD II</w:t>
            </w:r>
          </w:p>
        </w:tc>
        <w:tc>
          <w:tcPr>
            <w:tcW w:w="2700" w:type="dxa"/>
            <w:shd w:val="clear" w:color="auto" w:fill="9ABDF5"/>
          </w:tcPr>
          <w:p w14:paraId="61CFFC5B" w14:textId="23FA3560" w:rsidR="056E4712" w:rsidRPr="00C117E6" w:rsidRDefault="056E4712" w:rsidP="44E87C04">
            <w:pPr>
              <w:rPr>
                <w:rFonts w:ascii="Century Gothic" w:eastAsia="Times New Roman" w:hAnsi="Century Gothic"/>
              </w:rPr>
            </w:pPr>
            <w:r w:rsidRPr="00C117E6">
              <w:rPr>
                <w:rFonts w:ascii="Century Gothic" w:eastAsia="Times New Roman" w:hAnsi="Century Gothic"/>
              </w:rPr>
              <w:t>Stanley Justice</w:t>
            </w:r>
          </w:p>
        </w:tc>
        <w:tc>
          <w:tcPr>
            <w:tcW w:w="2700" w:type="dxa"/>
            <w:shd w:val="clear" w:color="auto" w:fill="9ABDF5"/>
          </w:tcPr>
          <w:p w14:paraId="1DC81E43" w14:textId="6D8D697D" w:rsidR="44E87C04" w:rsidRPr="00C117E6" w:rsidRDefault="44E87C04"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36590A18" w14:textId="2245E850" w:rsidR="7AE6CBA1" w:rsidRPr="00C117E6" w:rsidRDefault="7AE6CBA1" w:rsidP="44E87C04">
            <w:pPr>
              <w:rPr>
                <w:rFonts w:ascii="Century Gothic" w:eastAsia="Times New Roman" w:hAnsi="Century Gothic"/>
              </w:rPr>
            </w:pPr>
            <w:r w:rsidRPr="00C117E6">
              <w:rPr>
                <w:rFonts w:ascii="Century Gothic" w:eastAsia="Times New Roman" w:hAnsi="Century Gothic"/>
              </w:rPr>
              <w:t>7</w:t>
            </w:r>
          </w:p>
        </w:tc>
      </w:tr>
      <w:tr w:rsidR="44E87C04" w:rsidRPr="00C117E6" w14:paraId="62EED6F6" w14:textId="77777777" w:rsidTr="662A423E">
        <w:trPr>
          <w:trHeight w:val="300"/>
        </w:trPr>
        <w:tc>
          <w:tcPr>
            <w:tcW w:w="2700" w:type="dxa"/>
            <w:shd w:val="clear" w:color="auto" w:fill="9ABDF5"/>
          </w:tcPr>
          <w:p w14:paraId="16F42E8E" w14:textId="7F53F5F3" w:rsidR="5EE9603B" w:rsidRPr="00C117E6" w:rsidRDefault="5EE9603B" w:rsidP="44E87C04">
            <w:pPr>
              <w:rPr>
                <w:rFonts w:ascii="Century Gothic" w:eastAsia="Times New Roman" w:hAnsi="Century Gothic"/>
              </w:rPr>
            </w:pPr>
            <w:r w:rsidRPr="00C117E6">
              <w:rPr>
                <w:rFonts w:ascii="Century Gothic" w:eastAsia="Times New Roman" w:hAnsi="Century Gothic"/>
              </w:rPr>
              <w:t>RAD II</w:t>
            </w:r>
          </w:p>
        </w:tc>
        <w:tc>
          <w:tcPr>
            <w:tcW w:w="2700" w:type="dxa"/>
            <w:shd w:val="clear" w:color="auto" w:fill="9ABDF5"/>
          </w:tcPr>
          <w:p w14:paraId="407704DC" w14:textId="1B50844B" w:rsidR="37321169" w:rsidRPr="00C117E6" w:rsidRDefault="37321169" w:rsidP="44E87C04">
            <w:pPr>
              <w:rPr>
                <w:rFonts w:ascii="Century Gothic" w:eastAsia="Times New Roman" w:hAnsi="Century Gothic"/>
              </w:rPr>
            </w:pPr>
            <w:r w:rsidRPr="00C117E6">
              <w:rPr>
                <w:rFonts w:ascii="Century Gothic" w:eastAsia="Times New Roman" w:hAnsi="Century Gothic"/>
              </w:rPr>
              <w:t xml:space="preserve">Fulton Park </w:t>
            </w:r>
          </w:p>
        </w:tc>
        <w:tc>
          <w:tcPr>
            <w:tcW w:w="2700" w:type="dxa"/>
            <w:shd w:val="clear" w:color="auto" w:fill="9ABDF5"/>
          </w:tcPr>
          <w:p w14:paraId="0A945D43" w14:textId="0450C31F" w:rsidR="44E87C04" w:rsidRPr="00C117E6" w:rsidRDefault="44E87C04"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071B03EC" w14:textId="1FEF6145" w:rsidR="7FA9F640" w:rsidRPr="00C117E6" w:rsidRDefault="7FA9F640" w:rsidP="44E87C04">
            <w:pPr>
              <w:rPr>
                <w:rFonts w:ascii="Century Gothic" w:eastAsia="Times New Roman" w:hAnsi="Century Gothic"/>
              </w:rPr>
            </w:pPr>
            <w:r w:rsidRPr="00C117E6">
              <w:rPr>
                <w:rFonts w:ascii="Century Gothic" w:eastAsia="Times New Roman" w:hAnsi="Century Gothic"/>
              </w:rPr>
              <w:t>12</w:t>
            </w:r>
          </w:p>
        </w:tc>
      </w:tr>
      <w:tr w:rsidR="44E87C04" w:rsidRPr="00C117E6" w14:paraId="731B3C63" w14:textId="77777777" w:rsidTr="662A423E">
        <w:trPr>
          <w:trHeight w:val="300"/>
        </w:trPr>
        <w:tc>
          <w:tcPr>
            <w:tcW w:w="2700" w:type="dxa"/>
            <w:shd w:val="clear" w:color="auto" w:fill="9ABDF5"/>
          </w:tcPr>
          <w:p w14:paraId="00EAA7BF" w14:textId="66F714F8" w:rsidR="1ADBA816" w:rsidRPr="00C117E6" w:rsidRDefault="1ADBA816" w:rsidP="44E87C04">
            <w:pPr>
              <w:rPr>
                <w:rFonts w:ascii="Century Gothic" w:eastAsia="Times New Roman" w:hAnsi="Century Gothic"/>
              </w:rPr>
            </w:pPr>
            <w:r w:rsidRPr="00C117E6">
              <w:rPr>
                <w:rFonts w:ascii="Century Gothic" w:eastAsia="Times New Roman" w:hAnsi="Century Gothic"/>
              </w:rPr>
              <w:t>Twinbrooks</w:t>
            </w:r>
          </w:p>
        </w:tc>
        <w:tc>
          <w:tcPr>
            <w:tcW w:w="2700" w:type="dxa"/>
            <w:shd w:val="clear" w:color="auto" w:fill="9ABDF5"/>
          </w:tcPr>
          <w:p w14:paraId="21355F92" w14:textId="2C790AE4" w:rsidR="0577EC61" w:rsidRPr="00C117E6" w:rsidRDefault="0577EC61" w:rsidP="44E87C04">
            <w:pPr>
              <w:rPr>
                <w:rFonts w:ascii="Century Gothic" w:eastAsia="Times New Roman" w:hAnsi="Century Gothic"/>
              </w:rPr>
            </w:pPr>
            <w:proofErr w:type="spellStart"/>
            <w:r w:rsidRPr="00C117E6">
              <w:rPr>
                <w:rFonts w:ascii="Century Gothic" w:eastAsia="Times New Roman" w:hAnsi="Century Gothic"/>
              </w:rPr>
              <w:t>Ribicoff</w:t>
            </w:r>
            <w:proofErr w:type="spellEnd"/>
            <w:r w:rsidRPr="00C117E6">
              <w:rPr>
                <w:rFonts w:ascii="Century Gothic" w:eastAsia="Times New Roman" w:hAnsi="Century Gothic"/>
              </w:rPr>
              <w:t xml:space="preserve"> 4</w:t>
            </w:r>
          </w:p>
        </w:tc>
        <w:tc>
          <w:tcPr>
            <w:tcW w:w="2700" w:type="dxa"/>
            <w:shd w:val="clear" w:color="auto" w:fill="9ABDF5"/>
          </w:tcPr>
          <w:p w14:paraId="118C1D91" w14:textId="72AD4DF1" w:rsidR="44E87C04" w:rsidRPr="00C117E6" w:rsidRDefault="44E87C04"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59FD75CD" w14:textId="6B01EEDE" w:rsidR="12E3353E" w:rsidRPr="00C117E6" w:rsidRDefault="12E3353E" w:rsidP="44E87C04">
            <w:pPr>
              <w:rPr>
                <w:rFonts w:ascii="Century Gothic" w:eastAsia="Times New Roman" w:hAnsi="Century Gothic"/>
              </w:rPr>
            </w:pPr>
            <w:r w:rsidRPr="00C117E6">
              <w:rPr>
                <w:rFonts w:ascii="Century Gothic" w:eastAsia="Times New Roman" w:hAnsi="Century Gothic"/>
              </w:rPr>
              <w:t>51</w:t>
            </w:r>
          </w:p>
        </w:tc>
      </w:tr>
      <w:tr w:rsidR="44E87C04" w:rsidRPr="00C117E6" w14:paraId="4077328B" w14:textId="77777777" w:rsidTr="662A423E">
        <w:trPr>
          <w:trHeight w:val="300"/>
        </w:trPr>
        <w:tc>
          <w:tcPr>
            <w:tcW w:w="2700" w:type="dxa"/>
            <w:shd w:val="clear" w:color="auto" w:fill="9ABDF5"/>
          </w:tcPr>
          <w:p w14:paraId="080D132A" w14:textId="5EBD9544" w:rsidR="1ADBA816" w:rsidRPr="00C117E6" w:rsidRDefault="1ADBA816" w:rsidP="44E87C04">
            <w:pPr>
              <w:rPr>
                <w:rFonts w:ascii="Century Gothic" w:eastAsia="Times New Roman" w:hAnsi="Century Gothic"/>
              </w:rPr>
            </w:pPr>
            <w:r w:rsidRPr="00C117E6">
              <w:rPr>
                <w:rFonts w:ascii="Century Gothic" w:eastAsia="Times New Roman" w:hAnsi="Century Gothic"/>
              </w:rPr>
              <w:t>Twinbrooks</w:t>
            </w:r>
          </w:p>
        </w:tc>
        <w:tc>
          <w:tcPr>
            <w:tcW w:w="2700" w:type="dxa"/>
            <w:shd w:val="clear" w:color="auto" w:fill="9ABDF5"/>
          </w:tcPr>
          <w:p w14:paraId="6A275B62" w14:textId="77905497" w:rsidR="29CD5F06" w:rsidRPr="00C117E6" w:rsidRDefault="00E978D5" w:rsidP="44E87C04">
            <w:pPr>
              <w:rPr>
                <w:rFonts w:ascii="Century Gothic" w:eastAsia="Times New Roman" w:hAnsi="Century Gothic"/>
              </w:rPr>
            </w:pPr>
            <w:proofErr w:type="spellStart"/>
            <w:r w:rsidRPr="00C117E6">
              <w:rPr>
                <w:rFonts w:ascii="Century Gothic" w:eastAsia="Times New Roman" w:hAnsi="Century Gothic"/>
              </w:rPr>
              <w:t>Ribicoff</w:t>
            </w:r>
            <w:proofErr w:type="spellEnd"/>
            <w:r w:rsidRPr="00C117E6">
              <w:rPr>
                <w:rFonts w:ascii="Century Gothic" w:eastAsia="Times New Roman" w:hAnsi="Century Gothic"/>
              </w:rPr>
              <w:t xml:space="preserve"> 9</w:t>
            </w:r>
            <w:r w:rsidR="29CD5F06" w:rsidRPr="00C117E6">
              <w:rPr>
                <w:rFonts w:ascii="Century Gothic" w:eastAsia="Times New Roman" w:hAnsi="Century Gothic"/>
              </w:rPr>
              <w:t xml:space="preserve"> Market</w:t>
            </w:r>
          </w:p>
        </w:tc>
        <w:tc>
          <w:tcPr>
            <w:tcW w:w="2700" w:type="dxa"/>
            <w:shd w:val="clear" w:color="auto" w:fill="9ABDF5"/>
          </w:tcPr>
          <w:p w14:paraId="651C58B9" w14:textId="0450C31F" w:rsidR="44E87C04" w:rsidRPr="00C117E6" w:rsidRDefault="44E87C04"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0E83DECF" w14:textId="110AC285" w:rsidR="1A5D12F7" w:rsidRPr="00C117E6" w:rsidRDefault="1A5D12F7" w:rsidP="44E87C04">
            <w:pPr>
              <w:rPr>
                <w:rFonts w:ascii="Century Gothic" w:eastAsia="Times New Roman" w:hAnsi="Century Gothic"/>
              </w:rPr>
            </w:pPr>
            <w:r w:rsidRPr="00C117E6">
              <w:rPr>
                <w:rFonts w:ascii="Century Gothic" w:eastAsia="Times New Roman" w:hAnsi="Century Gothic"/>
              </w:rPr>
              <w:t>11</w:t>
            </w:r>
          </w:p>
        </w:tc>
      </w:tr>
      <w:tr w:rsidR="44E87C04" w:rsidRPr="00C117E6" w14:paraId="48840D62" w14:textId="77777777" w:rsidTr="662A423E">
        <w:trPr>
          <w:trHeight w:val="300"/>
        </w:trPr>
        <w:tc>
          <w:tcPr>
            <w:tcW w:w="2700" w:type="dxa"/>
            <w:shd w:val="clear" w:color="auto" w:fill="9ABDF5"/>
          </w:tcPr>
          <w:p w14:paraId="2C50B246" w14:textId="4B17554C" w:rsidR="1ADBA816" w:rsidRPr="00C117E6" w:rsidRDefault="1ADBA816" w:rsidP="44E87C04">
            <w:pPr>
              <w:rPr>
                <w:rFonts w:ascii="Century Gothic" w:eastAsia="Times New Roman" w:hAnsi="Century Gothic"/>
              </w:rPr>
            </w:pPr>
            <w:r w:rsidRPr="00C117E6">
              <w:rPr>
                <w:rFonts w:ascii="Century Gothic" w:eastAsia="Times New Roman" w:hAnsi="Century Gothic"/>
              </w:rPr>
              <w:t>Twinbrooks</w:t>
            </w:r>
          </w:p>
        </w:tc>
        <w:tc>
          <w:tcPr>
            <w:tcW w:w="2700" w:type="dxa"/>
            <w:shd w:val="clear" w:color="auto" w:fill="9ABDF5"/>
          </w:tcPr>
          <w:p w14:paraId="53073DB0" w14:textId="682554DE" w:rsidR="047DC003" w:rsidRPr="00C117E6" w:rsidRDefault="047DC003" w:rsidP="44E87C04">
            <w:pPr>
              <w:rPr>
                <w:rFonts w:ascii="Century Gothic" w:eastAsia="Times New Roman" w:hAnsi="Century Gothic"/>
              </w:rPr>
            </w:pPr>
            <w:proofErr w:type="spellStart"/>
            <w:r w:rsidRPr="00C117E6">
              <w:rPr>
                <w:rFonts w:ascii="Century Gothic" w:eastAsia="Times New Roman" w:hAnsi="Century Gothic"/>
              </w:rPr>
              <w:t>Ribicoff</w:t>
            </w:r>
            <w:proofErr w:type="spellEnd"/>
            <w:r w:rsidRPr="00C117E6">
              <w:rPr>
                <w:rFonts w:ascii="Century Gothic" w:eastAsia="Times New Roman" w:hAnsi="Century Gothic"/>
              </w:rPr>
              <w:t xml:space="preserve"> 9 </w:t>
            </w:r>
          </w:p>
        </w:tc>
        <w:tc>
          <w:tcPr>
            <w:tcW w:w="2700" w:type="dxa"/>
            <w:shd w:val="clear" w:color="auto" w:fill="9ABDF5"/>
          </w:tcPr>
          <w:p w14:paraId="572527BC" w14:textId="72AD4DF1" w:rsidR="44E87C04" w:rsidRPr="00C117E6" w:rsidRDefault="44E87C04" w:rsidP="44E87C04">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6C14CCE0" w14:textId="5F33F277" w:rsidR="573AACE9" w:rsidRPr="00C117E6" w:rsidRDefault="573AACE9" w:rsidP="44E87C04">
            <w:pPr>
              <w:rPr>
                <w:rFonts w:ascii="Century Gothic" w:eastAsia="Times New Roman" w:hAnsi="Century Gothic"/>
              </w:rPr>
            </w:pPr>
            <w:r w:rsidRPr="00C117E6">
              <w:rPr>
                <w:rFonts w:ascii="Century Gothic" w:eastAsia="Times New Roman" w:hAnsi="Century Gothic"/>
              </w:rPr>
              <w:t>44</w:t>
            </w:r>
          </w:p>
        </w:tc>
      </w:tr>
      <w:tr w:rsidR="30F239C2" w:rsidRPr="00C117E6" w14:paraId="0B179C02" w14:textId="77777777" w:rsidTr="662A423E">
        <w:trPr>
          <w:trHeight w:val="300"/>
        </w:trPr>
        <w:tc>
          <w:tcPr>
            <w:tcW w:w="2700" w:type="dxa"/>
            <w:shd w:val="clear" w:color="auto" w:fill="9ABDF5"/>
          </w:tcPr>
          <w:p w14:paraId="4E277657" w14:textId="5B3B0B0C" w:rsidR="5042DBE2" w:rsidRPr="00C117E6" w:rsidRDefault="5042DBE2" w:rsidP="30F239C2">
            <w:pPr>
              <w:rPr>
                <w:rFonts w:ascii="Century Gothic" w:eastAsia="Times New Roman" w:hAnsi="Century Gothic"/>
              </w:rPr>
            </w:pPr>
            <w:r w:rsidRPr="00C117E6">
              <w:rPr>
                <w:rFonts w:ascii="Century Gothic" w:eastAsia="Times New Roman" w:hAnsi="Century Gothic"/>
              </w:rPr>
              <w:t>Glendower McConaughy Terrace 9%</w:t>
            </w:r>
          </w:p>
        </w:tc>
        <w:tc>
          <w:tcPr>
            <w:tcW w:w="2700" w:type="dxa"/>
            <w:shd w:val="clear" w:color="auto" w:fill="9ABDF5"/>
          </w:tcPr>
          <w:p w14:paraId="7B7287E4" w14:textId="11D9AFDB" w:rsidR="5042DBE2" w:rsidRPr="00C117E6" w:rsidRDefault="5042DBE2" w:rsidP="30F239C2">
            <w:pPr>
              <w:rPr>
                <w:rFonts w:ascii="Century Gothic" w:eastAsia="Times New Roman" w:hAnsi="Century Gothic"/>
              </w:rPr>
            </w:pPr>
            <w:r w:rsidRPr="00C117E6">
              <w:rPr>
                <w:rFonts w:ascii="Century Gothic" w:eastAsia="Times New Roman" w:hAnsi="Century Gothic"/>
              </w:rPr>
              <w:t>McConaughy 9%</w:t>
            </w:r>
          </w:p>
        </w:tc>
        <w:tc>
          <w:tcPr>
            <w:tcW w:w="2700" w:type="dxa"/>
            <w:shd w:val="clear" w:color="auto" w:fill="9ABDF5"/>
          </w:tcPr>
          <w:p w14:paraId="5B75F725" w14:textId="528E5228" w:rsidR="5042DBE2" w:rsidRPr="00C117E6" w:rsidRDefault="5042DBE2" w:rsidP="30F239C2">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0AFFDC0E" w14:textId="7A8AF38C" w:rsidR="5042DBE2" w:rsidRPr="00C117E6" w:rsidRDefault="0A5CA38C" w:rsidP="30F239C2">
            <w:pPr>
              <w:rPr>
                <w:rFonts w:ascii="Century Gothic" w:eastAsia="Times New Roman" w:hAnsi="Century Gothic"/>
              </w:rPr>
            </w:pPr>
            <w:r w:rsidRPr="00C117E6">
              <w:rPr>
                <w:rFonts w:ascii="Century Gothic" w:eastAsia="Times New Roman" w:hAnsi="Century Gothic"/>
              </w:rPr>
              <w:t>13</w:t>
            </w:r>
            <w:r w:rsidR="26796A2F" w:rsidRPr="00C117E6">
              <w:rPr>
                <w:rFonts w:ascii="Century Gothic" w:eastAsia="Times New Roman" w:hAnsi="Century Gothic"/>
              </w:rPr>
              <w:t>0</w:t>
            </w:r>
          </w:p>
        </w:tc>
      </w:tr>
      <w:tr w:rsidR="30F239C2" w:rsidRPr="00C117E6" w14:paraId="6675B981" w14:textId="77777777" w:rsidTr="662A423E">
        <w:trPr>
          <w:trHeight w:val="300"/>
        </w:trPr>
        <w:tc>
          <w:tcPr>
            <w:tcW w:w="2700" w:type="dxa"/>
            <w:shd w:val="clear" w:color="auto" w:fill="9ABDF5"/>
          </w:tcPr>
          <w:p w14:paraId="214E98C4" w14:textId="62F56969" w:rsidR="5042DBE2" w:rsidRPr="00C117E6" w:rsidRDefault="5042DBE2" w:rsidP="30F239C2">
            <w:pPr>
              <w:rPr>
                <w:rFonts w:ascii="Century Gothic" w:eastAsia="Times New Roman" w:hAnsi="Century Gothic"/>
              </w:rPr>
            </w:pPr>
            <w:r w:rsidRPr="00C117E6">
              <w:rPr>
                <w:rFonts w:ascii="Century Gothic" w:eastAsia="Times New Roman" w:hAnsi="Century Gothic"/>
              </w:rPr>
              <w:t>Glendower McConaughy Terrace 4%</w:t>
            </w:r>
          </w:p>
        </w:tc>
        <w:tc>
          <w:tcPr>
            <w:tcW w:w="2700" w:type="dxa"/>
            <w:shd w:val="clear" w:color="auto" w:fill="9ABDF5"/>
          </w:tcPr>
          <w:p w14:paraId="7D465B1C" w14:textId="61E6741E" w:rsidR="5042DBE2" w:rsidRPr="00C117E6" w:rsidRDefault="5042DBE2" w:rsidP="30F239C2">
            <w:pPr>
              <w:rPr>
                <w:rFonts w:ascii="Century Gothic" w:eastAsia="Times New Roman" w:hAnsi="Century Gothic"/>
              </w:rPr>
            </w:pPr>
            <w:r w:rsidRPr="00C117E6">
              <w:rPr>
                <w:rFonts w:ascii="Century Gothic" w:eastAsia="Times New Roman" w:hAnsi="Century Gothic"/>
              </w:rPr>
              <w:t>McConaughy 4%</w:t>
            </w:r>
          </w:p>
        </w:tc>
        <w:tc>
          <w:tcPr>
            <w:tcW w:w="2700" w:type="dxa"/>
            <w:shd w:val="clear" w:color="auto" w:fill="9ABDF5"/>
          </w:tcPr>
          <w:p w14:paraId="7DC37211" w14:textId="43FEA849" w:rsidR="5042DBE2" w:rsidRPr="00C117E6" w:rsidRDefault="5042DBE2" w:rsidP="30F239C2">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04794DC5" w14:textId="648D08FB" w:rsidR="5042DBE2" w:rsidRPr="00C117E6" w:rsidRDefault="0A5CA38C" w:rsidP="30F239C2">
            <w:pPr>
              <w:rPr>
                <w:rFonts w:ascii="Century Gothic" w:eastAsia="Times New Roman" w:hAnsi="Century Gothic"/>
              </w:rPr>
            </w:pPr>
            <w:r w:rsidRPr="00C117E6">
              <w:rPr>
                <w:rFonts w:ascii="Century Gothic" w:eastAsia="Times New Roman" w:hAnsi="Century Gothic"/>
              </w:rPr>
              <w:t>9</w:t>
            </w:r>
            <w:r w:rsidR="5C6418E3" w:rsidRPr="00C117E6">
              <w:rPr>
                <w:rFonts w:ascii="Century Gothic" w:eastAsia="Times New Roman" w:hAnsi="Century Gothic"/>
              </w:rPr>
              <w:t>2</w:t>
            </w:r>
          </w:p>
        </w:tc>
      </w:tr>
      <w:tr w:rsidR="30F239C2" w:rsidRPr="00C117E6" w14:paraId="0B4474D9" w14:textId="77777777" w:rsidTr="662A423E">
        <w:trPr>
          <w:trHeight w:val="300"/>
        </w:trPr>
        <w:tc>
          <w:tcPr>
            <w:tcW w:w="2700" w:type="dxa"/>
            <w:shd w:val="clear" w:color="auto" w:fill="9ABDF5"/>
          </w:tcPr>
          <w:p w14:paraId="7169192C" w14:textId="3E32DB97" w:rsidR="270CCB6D" w:rsidRPr="00C117E6" w:rsidRDefault="270CCB6D" w:rsidP="30F239C2">
            <w:pPr>
              <w:rPr>
                <w:rFonts w:ascii="Century Gothic" w:eastAsia="Times New Roman" w:hAnsi="Century Gothic"/>
              </w:rPr>
            </w:pPr>
            <w:r w:rsidRPr="00C117E6">
              <w:rPr>
                <w:rFonts w:ascii="Century Gothic" w:eastAsia="Times New Roman" w:hAnsi="Century Gothic"/>
              </w:rPr>
              <w:t>ECC Group II A RAD</w:t>
            </w:r>
          </w:p>
        </w:tc>
        <w:tc>
          <w:tcPr>
            <w:tcW w:w="2700" w:type="dxa"/>
            <w:shd w:val="clear" w:color="auto" w:fill="9ABDF5"/>
          </w:tcPr>
          <w:p w14:paraId="388053EB" w14:textId="54CB7845" w:rsidR="270CCB6D" w:rsidRPr="00C117E6" w:rsidRDefault="270CCB6D" w:rsidP="30F239C2">
            <w:pPr>
              <w:rPr>
                <w:rFonts w:ascii="Century Gothic" w:eastAsia="Times New Roman" w:hAnsi="Century Gothic"/>
              </w:rPr>
            </w:pPr>
            <w:r w:rsidRPr="00C117E6">
              <w:rPr>
                <w:rFonts w:ascii="Century Gothic" w:eastAsia="Times New Roman" w:hAnsi="Century Gothic"/>
              </w:rPr>
              <w:t>Valley</w:t>
            </w:r>
          </w:p>
        </w:tc>
        <w:tc>
          <w:tcPr>
            <w:tcW w:w="2700" w:type="dxa"/>
            <w:shd w:val="clear" w:color="auto" w:fill="9ABDF5"/>
          </w:tcPr>
          <w:p w14:paraId="7862990F" w14:textId="3381A64C" w:rsidR="270CCB6D" w:rsidRPr="00C117E6" w:rsidRDefault="270CCB6D" w:rsidP="30F239C2">
            <w:pPr>
              <w:rPr>
                <w:rFonts w:ascii="Century Gothic" w:eastAsia="Times New Roman" w:hAnsi="Century Gothic"/>
              </w:rPr>
            </w:pPr>
            <w:r w:rsidRPr="00C117E6">
              <w:rPr>
                <w:rFonts w:ascii="Century Gothic" w:eastAsia="Times New Roman" w:hAnsi="Century Gothic"/>
              </w:rPr>
              <w:t>Family</w:t>
            </w:r>
          </w:p>
        </w:tc>
        <w:tc>
          <w:tcPr>
            <w:tcW w:w="2700" w:type="dxa"/>
            <w:shd w:val="clear" w:color="auto" w:fill="9ABDF5"/>
          </w:tcPr>
          <w:p w14:paraId="33701E61" w14:textId="1659E2E1" w:rsidR="270CCB6D" w:rsidRPr="00C117E6" w:rsidRDefault="270CCB6D" w:rsidP="30F239C2">
            <w:pPr>
              <w:rPr>
                <w:rFonts w:ascii="Century Gothic" w:eastAsia="Times New Roman" w:hAnsi="Century Gothic"/>
              </w:rPr>
            </w:pPr>
            <w:r w:rsidRPr="00C117E6">
              <w:rPr>
                <w:rFonts w:ascii="Century Gothic" w:eastAsia="Times New Roman" w:hAnsi="Century Gothic"/>
              </w:rPr>
              <w:t>40</w:t>
            </w:r>
          </w:p>
        </w:tc>
      </w:tr>
      <w:tr w:rsidR="004335C9" w:rsidRPr="00C117E6" w14:paraId="67DD3D0F" w14:textId="77777777" w:rsidTr="662A423E">
        <w:trPr>
          <w:trHeight w:val="300"/>
        </w:trPr>
        <w:tc>
          <w:tcPr>
            <w:tcW w:w="2700" w:type="dxa"/>
            <w:shd w:val="clear" w:color="auto" w:fill="9ABDF5"/>
          </w:tcPr>
          <w:p w14:paraId="5A959C04" w14:textId="77777777" w:rsidR="004335C9" w:rsidRPr="00C117E6" w:rsidRDefault="004335C9" w:rsidP="30F239C2">
            <w:pPr>
              <w:rPr>
                <w:rFonts w:ascii="Century Gothic" w:eastAsia="Times New Roman" w:hAnsi="Century Gothic"/>
              </w:rPr>
            </w:pPr>
          </w:p>
        </w:tc>
        <w:tc>
          <w:tcPr>
            <w:tcW w:w="2700" w:type="dxa"/>
            <w:shd w:val="clear" w:color="auto" w:fill="9ABDF5"/>
          </w:tcPr>
          <w:p w14:paraId="388F2A02" w14:textId="77777777" w:rsidR="004335C9" w:rsidRPr="00C117E6" w:rsidRDefault="004335C9" w:rsidP="30F239C2">
            <w:pPr>
              <w:rPr>
                <w:rFonts w:ascii="Century Gothic" w:eastAsia="Times New Roman" w:hAnsi="Century Gothic"/>
              </w:rPr>
            </w:pPr>
          </w:p>
        </w:tc>
        <w:tc>
          <w:tcPr>
            <w:tcW w:w="2700" w:type="dxa"/>
            <w:shd w:val="clear" w:color="auto" w:fill="9ABDF5"/>
          </w:tcPr>
          <w:p w14:paraId="674B5F6C" w14:textId="77777777" w:rsidR="004335C9" w:rsidRPr="00C117E6" w:rsidRDefault="004335C9" w:rsidP="30F239C2">
            <w:pPr>
              <w:rPr>
                <w:rFonts w:ascii="Century Gothic" w:eastAsia="Times New Roman" w:hAnsi="Century Gothic"/>
              </w:rPr>
            </w:pPr>
          </w:p>
        </w:tc>
        <w:tc>
          <w:tcPr>
            <w:tcW w:w="2700" w:type="dxa"/>
            <w:shd w:val="clear" w:color="auto" w:fill="9ABDF5"/>
          </w:tcPr>
          <w:p w14:paraId="5198A420" w14:textId="0608A5D8" w:rsidR="004335C9" w:rsidRPr="00C117E6" w:rsidRDefault="33232E63" w:rsidP="30F239C2">
            <w:pPr>
              <w:rPr>
                <w:rFonts w:ascii="Century Gothic" w:eastAsia="Times New Roman" w:hAnsi="Century Gothic"/>
              </w:rPr>
            </w:pPr>
            <w:r w:rsidRPr="00C117E6">
              <w:rPr>
                <w:rFonts w:ascii="Century Gothic" w:eastAsia="Times New Roman" w:hAnsi="Century Gothic"/>
              </w:rPr>
              <w:t>802</w:t>
            </w:r>
          </w:p>
        </w:tc>
      </w:tr>
    </w:tbl>
    <w:p w14:paraId="36456E06" w14:textId="407E215B" w:rsidR="41BB5583" w:rsidRPr="00C117E6" w:rsidRDefault="41BB5583" w:rsidP="46316ACA">
      <w:pPr>
        <w:tabs>
          <w:tab w:val="left" w:pos="1350"/>
        </w:tabs>
        <w:spacing w:before="240" w:after="160"/>
        <w:jc w:val="center"/>
        <w:rPr>
          <w:rFonts w:ascii="Century Gothic" w:eastAsia="MS PGothic" w:hAnsi="Century Gothic"/>
        </w:rPr>
      </w:pPr>
    </w:p>
    <w:p w14:paraId="299BD29D" w14:textId="29929819" w:rsidR="46316ACA" w:rsidRPr="00C117E6" w:rsidRDefault="46316ACA" w:rsidP="46316ACA">
      <w:pPr>
        <w:tabs>
          <w:tab w:val="left" w:pos="1350"/>
        </w:tabs>
        <w:spacing w:before="240" w:after="160"/>
        <w:rPr>
          <w:rFonts w:ascii="Century Gothic" w:eastAsia="Times New Roman" w:hAnsi="Century Gothic"/>
        </w:rPr>
      </w:pPr>
    </w:p>
    <w:p w14:paraId="5372EF5A" w14:textId="52BA596A" w:rsidR="46316ACA" w:rsidRPr="00855213" w:rsidRDefault="03D26BAC">
      <w:pPr>
        <w:rPr>
          <w:rFonts w:ascii="Century Gothic" w:hAnsi="Century Gothic"/>
        </w:rPr>
      </w:pPr>
      <w:r w:rsidRPr="00855213">
        <w:rPr>
          <w:rFonts w:ascii="Century Gothic" w:hAnsi="Century Gothic"/>
          <w:noProof/>
        </w:rPr>
        <w:lastRenderedPageBreak/>
        <w:drawing>
          <wp:inline distT="0" distB="0" distL="0" distR="0" wp14:anchorId="0439A8E4" wp14:editId="56E5AA5A">
            <wp:extent cx="6559440" cy="3019425"/>
            <wp:effectExtent l="0" t="0" r="0" b="0"/>
            <wp:docPr id="192288778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559440" cy="3019425"/>
                    </a:xfrm>
                    <a:prstGeom prst="rect">
                      <a:avLst/>
                    </a:prstGeom>
                  </pic:spPr>
                </pic:pic>
              </a:graphicData>
            </a:graphic>
          </wp:inline>
        </w:drawing>
      </w:r>
    </w:p>
    <w:p w14:paraId="50145EBD" w14:textId="1E30753A" w:rsidR="46316ACA" w:rsidRPr="00855213" w:rsidRDefault="46316ACA" w:rsidP="662A423E">
      <w:pPr>
        <w:rPr>
          <w:rFonts w:ascii="Century Gothic" w:hAnsi="Century Gothic"/>
        </w:rPr>
      </w:pPr>
    </w:p>
    <w:p w14:paraId="29094FFC" w14:textId="5BA9AB5C" w:rsidR="1C28A9AA" w:rsidRPr="001A1E50" w:rsidRDefault="00AB6015" w:rsidP="6B711D13">
      <w:pPr>
        <w:rPr>
          <w:rFonts w:ascii="Century Gothic" w:eastAsia="Times New Roman" w:hAnsi="Century Gothic"/>
          <w:b/>
          <w:szCs w:val="22"/>
        </w:rPr>
      </w:pPr>
      <w:r w:rsidRPr="00FC3B55">
        <w:rPr>
          <w:rFonts w:ascii="Century Gothic" w:eastAsia="Times New Roman" w:hAnsi="Century Gothic"/>
          <w:b/>
          <w:szCs w:val="22"/>
        </w:rPr>
        <w:t>Impact</w:t>
      </w:r>
    </w:p>
    <w:p w14:paraId="42AB6BF8" w14:textId="3033355C" w:rsidR="34F55919" w:rsidRPr="001A1E50" w:rsidRDefault="34F55919" w:rsidP="6B711D13">
      <w:pPr>
        <w:rPr>
          <w:rFonts w:ascii="Century Gothic" w:eastAsia="Times New Roman" w:hAnsi="Century Gothic"/>
          <w:b/>
          <w:bCs/>
          <w:szCs w:val="22"/>
          <w:u w:val="single"/>
        </w:rPr>
      </w:pPr>
    </w:p>
    <w:p w14:paraId="50A35172" w14:textId="7FA8245D" w:rsidR="003523CC" w:rsidRPr="001A1E50" w:rsidRDefault="78DB19A9" w:rsidP="46316ACA">
      <w:pPr>
        <w:rPr>
          <w:rFonts w:ascii="Century Gothic" w:eastAsia="MS PGothic" w:hAnsi="Century Gothic"/>
        </w:rPr>
      </w:pPr>
      <w:r w:rsidRPr="001A1E50">
        <w:rPr>
          <w:rFonts w:ascii="Century Gothic" w:eastAsia="Times New Roman" w:hAnsi="Century Gothic"/>
        </w:rPr>
        <w:t>During FY</w:t>
      </w:r>
      <w:r w:rsidR="0117A77A" w:rsidRPr="001A1E50">
        <w:rPr>
          <w:rFonts w:ascii="Century Gothic" w:eastAsia="Times New Roman" w:hAnsi="Century Gothic"/>
        </w:rPr>
        <w:t xml:space="preserve"> 202</w:t>
      </w:r>
      <w:r w:rsidR="6E2287B2" w:rsidRPr="001A1E50">
        <w:rPr>
          <w:rFonts w:ascii="Century Gothic" w:eastAsia="Times New Roman" w:hAnsi="Century Gothic"/>
        </w:rPr>
        <w:t>4</w:t>
      </w:r>
      <w:r w:rsidRPr="001A1E50">
        <w:rPr>
          <w:rFonts w:ascii="Century Gothic" w:eastAsia="Times New Roman" w:hAnsi="Century Gothic"/>
        </w:rPr>
        <w:t xml:space="preserve">, </w:t>
      </w:r>
      <w:r w:rsidR="512F4F56" w:rsidRPr="001A1E50">
        <w:rPr>
          <w:rFonts w:ascii="Century Gothic" w:eastAsia="Times New Roman" w:hAnsi="Century Gothic"/>
        </w:rPr>
        <w:t xml:space="preserve">360 </w:t>
      </w:r>
      <w:r w:rsidR="087CC114" w:rsidRPr="001A1E50">
        <w:rPr>
          <w:rFonts w:ascii="Century Gothic" w:eastAsia="Times New Roman" w:hAnsi="Century Gothic"/>
        </w:rPr>
        <w:t>Management’s redevelopment</w:t>
      </w:r>
      <w:r w:rsidR="71C15ECE" w:rsidRPr="001A1E50">
        <w:rPr>
          <w:rFonts w:ascii="Century Gothic" w:eastAsia="Times New Roman" w:hAnsi="Century Gothic"/>
        </w:rPr>
        <w:t xml:space="preserve"> strategic goal was to achieve at least </w:t>
      </w:r>
      <w:r w:rsidR="00281052" w:rsidRPr="001A1E50">
        <w:rPr>
          <w:rFonts w:ascii="Century Gothic" w:eastAsia="Times New Roman" w:hAnsi="Century Gothic"/>
        </w:rPr>
        <w:t>10</w:t>
      </w:r>
      <w:r w:rsidR="71C15ECE" w:rsidRPr="001A1E50">
        <w:rPr>
          <w:rFonts w:ascii="Century Gothic" w:eastAsia="Times New Roman" w:hAnsi="Century Gothic"/>
        </w:rPr>
        <w:t xml:space="preserve">% savings on total operating expenses. </w:t>
      </w:r>
      <w:r w:rsidR="054F7254" w:rsidRPr="001A1E50">
        <w:rPr>
          <w:rFonts w:ascii="Century Gothic" w:eastAsia="Times New Roman" w:hAnsi="Century Gothic"/>
        </w:rPr>
        <w:t xml:space="preserve">Overall, </w:t>
      </w:r>
      <w:r w:rsidR="71C15ECE" w:rsidRPr="001A1E50">
        <w:rPr>
          <w:rFonts w:ascii="Century Gothic" w:eastAsia="Times New Roman" w:hAnsi="Century Gothic"/>
        </w:rPr>
        <w:t xml:space="preserve">360 Mgt. continued to achieve savings on total operating expenses. </w:t>
      </w:r>
      <w:r w:rsidR="054F7254" w:rsidRPr="001A1E50">
        <w:rPr>
          <w:rFonts w:ascii="Century Gothic" w:eastAsia="Times New Roman" w:hAnsi="Century Gothic"/>
        </w:rPr>
        <w:t>360 Mgt achiev</w:t>
      </w:r>
      <w:r w:rsidR="3B6E458D" w:rsidRPr="001A1E50">
        <w:rPr>
          <w:rFonts w:ascii="Century Gothic" w:eastAsia="Times New Roman" w:hAnsi="Century Gothic"/>
        </w:rPr>
        <w:t xml:space="preserve">ed </w:t>
      </w:r>
      <w:r w:rsidR="054F7254" w:rsidRPr="001A1E50">
        <w:rPr>
          <w:rFonts w:ascii="Century Gothic" w:eastAsia="Times New Roman" w:hAnsi="Century Gothic"/>
        </w:rPr>
        <w:t xml:space="preserve">the goal of 10% </w:t>
      </w:r>
      <w:r w:rsidR="275DAA63" w:rsidRPr="001A1E50">
        <w:rPr>
          <w:rFonts w:ascii="Century Gothic" w:eastAsia="Times New Roman" w:hAnsi="Century Gothic"/>
        </w:rPr>
        <w:t xml:space="preserve">savings </w:t>
      </w:r>
      <w:r w:rsidR="054F7254" w:rsidRPr="001A1E50">
        <w:rPr>
          <w:rFonts w:ascii="Century Gothic" w:eastAsia="Times New Roman" w:hAnsi="Century Gothic"/>
        </w:rPr>
        <w:t>across all portfolios.</w:t>
      </w:r>
    </w:p>
    <w:p w14:paraId="5A4384F3" w14:textId="516F3445" w:rsidR="63BCA267" w:rsidRPr="001A1E50" w:rsidRDefault="63BCA267" w:rsidP="4566E4F4">
      <w:pPr>
        <w:rPr>
          <w:rFonts w:ascii="Century Gothic" w:eastAsia="MS PGothic" w:hAnsi="Century Gothic"/>
          <w:szCs w:val="22"/>
          <w:highlight w:val="yellow"/>
        </w:rPr>
      </w:pPr>
    </w:p>
    <w:tbl>
      <w:tblPr>
        <w:tblStyle w:val="TableGrid"/>
        <w:tblW w:w="10655" w:type="dxa"/>
        <w:tblLayout w:type="fixed"/>
        <w:tblLook w:val="06A0" w:firstRow="1" w:lastRow="0" w:firstColumn="1" w:lastColumn="0" w:noHBand="1" w:noVBand="1"/>
      </w:tblPr>
      <w:tblGrid>
        <w:gridCol w:w="2335"/>
        <w:gridCol w:w="1303"/>
        <w:gridCol w:w="1303"/>
        <w:gridCol w:w="1500"/>
        <w:gridCol w:w="1431"/>
        <w:gridCol w:w="1358"/>
        <w:gridCol w:w="1425"/>
      </w:tblGrid>
      <w:tr w:rsidR="007433F0" w:rsidRPr="001A1E50" w14:paraId="42B19266" w14:textId="5C812564" w:rsidTr="188A1EBF">
        <w:trPr>
          <w:trHeight w:val="709"/>
        </w:trPr>
        <w:tc>
          <w:tcPr>
            <w:tcW w:w="2335" w:type="dxa"/>
            <w:tcBorders>
              <w:top w:val="single" w:sz="8" w:space="0" w:color="auto"/>
              <w:left w:val="single" w:sz="8" w:space="0" w:color="auto"/>
              <w:bottom w:val="single" w:sz="8" w:space="0" w:color="auto"/>
              <w:right w:val="single" w:sz="8" w:space="0" w:color="auto"/>
            </w:tcBorders>
            <w:shd w:val="clear" w:color="auto" w:fill="D9E1F2"/>
            <w:vAlign w:val="bottom"/>
          </w:tcPr>
          <w:p w14:paraId="2EDDE5D3" w14:textId="4873352B" w:rsidR="007433F0" w:rsidRPr="001A1E50" w:rsidRDefault="007433F0" w:rsidP="4566E4F4">
            <w:pPr>
              <w:rPr>
                <w:rFonts w:ascii="Century Gothic" w:eastAsia="Calibri" w:hAnsi="Century Gothic"/>
                <w:b/>
                <w:bCs/>
                <w:color w:val="000000" w:themeColor="text1"/>
                <w:sz w:val="18"/>
                <w:szCs w:val="18"/>
              </w:rPr>
            </w:pPr>
            <w:r w:rsidRPr="001A1E50">
              <w:rPr>
                <w:rFonts w:ascii="Century Gothic" w:eastAsia="Calibri" w:hAnsi="Century Gothic"/>
                <w:b/>
                <w:bCs/>
                <w:color w:val="000000" w:themeColor="text1"/>
                <w:sz w:val="18"/>
                <w:szCs w:val="18"/>
              </w:rPr>
              <w:t>SITE</w:t>
            </w:r>
          </w:p>
        </w:tc>
        <w:tc>
          <w:tcPr>
            <w:tcW w:w="1303" w:type="dxa"/>
            <w:tcBorders>
              <w:top w:val="single" w:sz="8" w:space="0" w:color="auto"/>
              <w:left w:val="single" w:sz="8" w:space="0" w:color="auto"/>
              <w:bottom w:val="single" w:sz="8" w:space="0" w:color="auto"/>
              <w:right w:val="single" w:sz="8" w:space="0" w:color="auto"/>
            </w:tcBorders>
            <w:shd w:val="clear" w:color="auto" w:fill="D9E1F2"/>
            <w:vAlign w:val="bottom"/>
          </w:tcPr>
          <w:p w14:paraId="5D4CE971" w14:textId="68EF12AA" w:rsidR="007433F0" w:rsidRPr="001A1E50" w:rsidRDefault="007433F0" w:rsidP="4566E4F4">
            <w:pPr>
              <w:jc w:val="center"/>
              <w:rPr>
                <w:rFonts w:ascii="Century Gothic" w:eastAsia="Calibri" w:hAnsi="Century Gothic"/>
                <w:b/>
                <w:bCs/>
                <w:color w:val="000000" w:themeColor="text1"/>
                <w:sz w:val="18"/>
                <w:szCs w:val="18"/>
              </w:rPr>
            </w:pPr>
            <w:r w:rsidRPr="001A1E50">
              <w:rPr>
                <w:rFonts w:ascii="Century Gothic" w:eastAsia="Calibri" w:hAnsi="Century Gothic"/>
                <w:b/>
                <w:bCs/>
                <w:color w:val="000000" w:themeColor="text1"/>
                <w:sz w:val="18"/>
                <w:szCs w:val="18"/>
              </w:rPr>
              <w:t>BASELINE OPERATING COST</w:t>
            </w:r>
          </w:p>
        </w:tc>
        <w:tc>
          <w:tcPr>
            <w:tcW w:w="1303" w:type="dxa"/>
            <w:tcBorders>
              <w:top w:val="single" w:sz="8" w:space="0" w:color="auto"/>
              <w:left w:val="single" w:sz="8" w:space="0" w:color="auto"/>
              <w:bottom w:val="single" w:sz="8" w:space="0" w:color="auto"/>
              <w:right w:val="single" w:sz="8" w:space="0" w:color="auto"/>
            </w:tcBorders>
            <w:shd w:val="clear" w:color="auto" w:fill="D9E1F2"/>
            <w:vAlign w:val="bottom"/>
          </w:tcPr>
          <w:p w14:paraId="07AE988C" w14:textId="77D3AD60" w:rsidR="7E182F4A" w:rsidRPr="001A1E50" w:rsidRDefault="018457B7" w:rsidP="602459C0">
            <w:pPr>
              <w:jc w:val="center"/>
              <w:rPr>
                <w:rFonts w:ascii="Century Gothic" w:eastAsia="Calibri" w:hAnsi="Century Gothic"/>
                <w:b/>
                <w:bCs/>
                <w:color w:val="000000" w:themeColor="text1"/>
                <w:sz w:val="18"/>
                <w:szCs w:val="18"/>
              </w:rPr>
            </w:pPr>
            <w:r w:rsidRPr="001A1E50">
              <w:rPr>
                <w:rFonts w:ascii="Century Gothic" w:eastAsia="Calibri" w:hAnsi="Century Gothic"/>
                <w:b/>
                <w:bCs/>
                <w:color w:val="000000" w:themeColor="text1"/>
                <w:sz w:val="18"/>
                <w:szCs w:val="18"/>
              </w:rPr>
              <w:t>ADJUSTED BASELINE OPERATING COST - 202</w:t>
            </w:r>
            <w:r w:rsidR="601BB62D" w:rsidRPr="001A1E50">
              <w:rPr>
                <w:rFonts w:ascii="Century Gothic" w:eastAsia="Calibri" w:hAnsi="Century Gothic"/>
                <w:b/>
                <w:bCs/>
                <w:color w:val="000000" w:themeColor="text1"/>
                <w:sz w:val="18"/>
                <w:szCs w:val="18"/>
              </w:rPr>
              <w:t>4</w:t>
            </w:r>
          </w:p>
        </w:tc>
        <w:tc>
          <w:tcPr>
            <w:tcW w:w="1500" w:type="dxa"/>
            <w:tcBorders>
              <w:top w:val="single" w:sz="8" w:space="0" w:color="auto"/>
              <w:left w:val="single" w:sz="8" w:space="0" w:color="auto"/>
              <w:bottom w:val="single" w:sz="8" w:space="0" w:color="auto"/>
              <w:right w:val="single" w:sz="8" w:space="0" w:color="auto"/>
            </w:tcBorders>
            <w:shd w:val="clear" w:color="auto" w:fill="D9E1F2"/>
            <w:vAlign w:val="bottom"/>
          </w:tcPr>
          <w:p w14:paraId="36AF763B" w14:textId="53C02129" w:rsidR="007433F0" w:rsidRPr="001A1E50" w:rsidRDefault="007433F0" w:rsidP="4566E4F4">
            <w:pPr>
              <w:jc w:val="center"/>
              <w:rPr>
                <w:rFonts w:ascii="Century Gothic" w:eastAsia="Calibri" w:hAnsi="Century Gothic"/>
                <w:b/>
                <w:bCs/>
                <w:color w:val="000000" w:themeColor="text1"/>
                <w:sz w:val="18"/>
                <w:szCs w:val="18"/>
              </w:rPr>
            </w:pPr>
            <w:r w:rsidRPr="001A1E50">
              <w:rPr>
                <w:rFonts w:ascii="Century Gothic" w:eastAsia="Calibri" w:hAnsi="Century Gothic"/>
                <w:b/>
                <w:bCs/>
                <w:color w:val="000000" w:themeColor="text1"/>
                <w:sz w:val="18"/>
                <w:szCs w:val="18"/>
              </w:rPr>
              <w:t>BENCHMARK</w:t>
            </w:r>
          </w:p>
        </w:tc>
        <w:tc>
          <w:tcPr>
            <w:tcW w:w="1431" w:type="dxa"/>
            <w:tcBorders>
              <w:top w:val="single" w:sz="8" w:space="0" w:color="auto"/>
              <w:left w:val="single" w:sz="8" w:space="0" w:color="auto"/>
              <w:bottom w:val="single" w:sz="8" w:space="0" w:color="auto"/>
              <w:right w:val="single" w:sz="8" w:space="0" w:color="auto"/>
            </w:tcBorders>
            <w:shd w:val="clear" w:color="auto" w:fill="D9E1F2"/>
            <w:vAlign w:val="bottom"/>
          </w:tcPr>
          <w:p w14:paraId="6892429A" w14:textId="17F2D6C4" w:rsidR="007433F0" w:rsidRPr="001A1E50" w:rsidRDefault="007433F0" w:rsidP="4566E4F4">
            <w:pPr>
              <w:jc w:val="center"/>
              <w:rPr>
                <w:rFonts w:ascii="Century Gothic" w:eastAsia="Calibri" w:hAnsi="Century Gothic"/>
                <w:b/>
                <w:bCs/>
                <w:color w:val="000000" w:themeColor="text1"/>
                <w:sz w:val="18"/>
                <w:szCs w:val="18"/>
              </w:rPr>
            </w:pPr>
            <w:r w:rsidRPr="001A1E50">
              <w:rPr>
                <w:rFonts w:ascii="Century Gothic" w:eastAsia="Calibri" w:hAnsi="Century Gothic"/>
                <w:b/>
                <w:bCs/>
                <w:color w:val="000000" w:themeColor="text1"/>
                <w:sz w:val="18"/>
                <w:szCs w:val="18"/>
              </w:rPr>
              <w:t>ANNUAL COST UNDER 360 MGT</w:t>
            </w:r>
          </w:p>
        </w:tc>
        <w:tc>
          <w:tcPr>
            <w:tcW w:w="1358" w:type="dxa"/>
            <w:tcBorders>
              <w:top w:val="single" w:sz="8" w:space="0" w:color="auto"/>
              <w:left w:val="single" w:sz="8" w:space="0" w:color="auto"/>
              <w:bottom w:val="single" w:sz="8" w:space="0" w:color="auto"/>
              <w:right w:val="single" w:sz="8" w:space="0" w:color="auto"/>
            </w:tcBorders>
            <w:shd w:val="clear" w:color="auto" w:fill="D9E1F2"/>
            <w:vAlign w:val="bottom"/>
          </w:tcPr>
          <w:p w14:paraId="6BE2A913" w14:textId="74AB0AE2" w:rsidR="007433F0" w:rsidRPr="001A1E50" w:rsidRDefault="007433F0" w:rsidP="4566E4F4">
            <w:pPr>
              <w:jc w:val="center"/>
              <w:rPr>
                <w:rFonts w:ascii="Century Gothic" w:eastAsia="Calibri" w:hAnsi="Century Gothic"/>
                <w:b/>
                <w:bCs/>
                <w:color w:val="000000" w:themeColor="text1"/>
                <w:sz w:val="18"/>
                <w:szCs w:val="18"/>
              </w:rPr>
            </w:pPr>
            <w:r w:rsidRPr="001A1E50">
              <w:rPr>
                <w:rFonts w:ascii="Century Gothic" w:eastAsia="Calibri" w:hAnsi="Century Gothic"/>
                <w:b/>
                <w:bCs/>
                <w:color w:val="000000" w:themeColor="text1"/>
                <w:sz w:val="18"/>
                <w:szCs w:val="18"/>
              </w:rPr>
              <w:t>OUTCOME</w:t>
            </w:r>
          </w:p>
        </w:tc>
        <w:tc>
          <w:tcPr>
            <w:tcW w:w="1425" w:type="dxa"/>
            <w:tcBorders>
              <w:top w:val="single" w:sz="8" w:space="0" w:color="auto"/>
              <w:left w:val="single" w:sz="8" w:space="0" w:color="auto"/>
              <w:bottom w:val="single" w:sz="8" w:space="0" w:color="auto"/>
              <w:right w:val="single" w:sz="8" w:space="0" w:color="auto"/>
            </w:tcBorders>
            <w:shd w:val="clear" w:color="auto" w:fill="D9E1F2"/>
          </w:tcPr>
          <w:p w14:paraId="61844285" w14:textId="0C989EA4" w:rsidR="007433F0" w:rsidRPr="001A1E50" w:rsidRDefault="007433F0" w:rsidP="4566E4F4">
            <w:pPr>
              <w:jc w:val="center"/>
              <w:rPr>
                <w:rFonts w:ascii="Century Gothic" w:eastAsia="Calibri" w:hAnsi="Century Gothic"/>
                <w:b/>
                <w:bCs/>
                <w:color w:val="000000" w:themeColor="text1"/>
                <w:sz w:val="18"/>
                <w:szCs w:val="18"/>
              </w:rPr>
            </w:pPr>
            <w:r w:rsidRPr="001A1E50">
              <w:rPr>
                <w:rFonts w:ascii="Century Gothic" w:eastAsia="Calibri" w:hAnsi="Century Gothic"/>
                <w:b/>
                <w:bCs/>
                <w:color w:val="000000" w:themeColor="text1"/>
                <w:sz w:val="18"/>
                <w:szCs w:val="18"/>
              </w:rPr>
              <w:t>BENCHMARK ACHIEVED</w:t>
            </w:r>
          </w:p>
        </w:tc>
      </w:tr>
      <w:tr w:rsidR="007433F0" w:rsidRPr="00C117E6" w14:paraId="0C6EEA09" w14:textId="29F8D650" w:rsidTr="188A1EBF">
        <w:trPr>
          <w:trHeight w:val="1326"/>
        </w:trPr>
        <w:tc>
          <w:tcPr>
            <w:tcW w:w="2335" w:type="dxa"/>
            <w:tcBorders>
              <w:top w:val="single" w:sz="8" w:space="0" w:color="auto"/>
              <w:left w:val="single" w:sz="8" w:space="0" w:color="auto"/>
              <w:bottom w:val="single" w:sz="8" w:space="0" w:color="auto"/>
              <w:right w:val="single" w:sz="8" w:space="0" w:color="auto"/>
            </w:tcBorders>
            <w:vAlign w:val="bottom"/>
          </w:tcPr>
          <w:p w14:paraId="521EAB7B" w14:textId="405A66C2" w:rsidR="007433F0" w:rsidRPr="003D376F" w:rsidRDefault="007433F0" w:rsidP="4566E4F4">
            <w:pPr>
              <w:rPr>
                <w:rFonts w:ascii="Century Gothic" w:eastAsia="Calibri" w:hAnsi="Century Gothic"/>
                <w:color w:val="000000" w:themeColor="text1"/>
                <w:sz w:val="18"/>
                <w:szCs w:val="18"/>
              </w:rPr>
            </w:pPr>
            <w:r w:rsidRPr="003D376F">
              <w:rPr>
                <w:rFonts w:ascii="Century Gothic" w:eastAsia="Calibri" w:hAnsi="Century Gothic"/>
                <w:b/>
                <w:bCs/>
                <w:color w:val="000000" w:themeColor="text1"/>
                <w:sz w:val="18"/>
                <w:szCs w:val="18"/>
              </w:rPr>
              <w:t>RAD GROUP I -</w:t>
            </w:r>
            <w:r w:rsidRPr="003D376F">
              <w:rPr>
                <w:rFonts w:ascii="Century Gothic" w:eastAsia="Calibri" w:hAnsi="Century Gothic"/>
                <w:color w:val="000000" w:themeColor="text1"/>
                <w:sz w:val="18"/>
                <w:szCs w:val="18"/>
              </w:rPr>
              <w:t xml:space="preserve">  </w:t>
            </w:r>
            <w:proofErr w:type="gramStart"/>
            <w:r w:rsidRPr="003D376F">
              <w:rPr>
                <w:rFonts w:ascii="Century Gothic" w:eastAsia="Calibri" w:hAnsi="Century Gothic"/>
                <w:color w:val="000000" w:themeColor="text1"/>
                <w:sz w:val="18"/>
                <w:szCs w:val="18"/>
              </w:rPr>
              <w:t xml:space="preserve"> </w:t>
            </w:r>
            <w:r w:rsidR="00432ECA" w:rsidRPr="003D376F">
              <w:rPr>
                <w:rFonts w:ascii="Century Gothic" w:eastAsia="Calibri" w:hAnsi="Century Gothic"/>
                <w:color w:val="000000" w:themeColor="text1"/>
                <w:sz w:val="18"/>
                <w:szCs w:val="18"/>
              </w:rPr>
              <w:t xml:space="preserve">  (</w:t>
            </w:r>
            <w:proofErr w:type="gramEnd"/>
            <w:r w:rsidRPr="003D376F">
              <w:rPr>
                <w:rFonts w:ascii="Century Gothic" w:eastAsia="Calibri" w:hAnsi="Century Gothic"/>
                <w:color w:val="000000" w:themeColor="text1"/>
                <w:sz w:val="18"/>
                <w:szCs w:val="18"/>
              </w:rPr>
              <w:t>PRESCOTT BUSH; CB MOTLEY; KATHERINE HARVEY; NEWHALL GARDENS)</w:t>
            </w:r>
          </w:p>
        </w:tc>
        <w:tc>
          <w:tcPr>
            <w:tcW w:w="1303" w:type="dxa"/>
            <w:tcBorders>
              <w:top w:val="single" w:sz="8" w:space="0" w:color="auto"/>
              <w:left w:val="single" w:sz="8" w:space="0" w:color="auto"/>
              <w:bottom w:val="single" w:sz="8" w:space="0" w:color="auto"/>
              <w:right w:val="single" w:sz="8" w:space="0" w:color="auto"/>
            </w:tcBorders>
            <w:vAlign w:val="bottom"/>
          </w:tcPr>
          <w:p w14:paraId="75C938F2" w14:textId="34CBD040" w:rsidR="007433F0" w:rsidRPr="003D376F" w:rsidRDefault="007433F0"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 xml:space="preserve">$1,286,696 </w:t>
            </w:r>
          </w:p>
        </w:tc>
        <w:tc>
          <w:tcPr>
            <w:tcW w:w="1303" w:type="dxa"/>
            <w:tcBorders>
              <w:top w:val="single" w:sz="8" w:space="0" w:color="auto"/>
              <w:left w:val="single" w:sz="8" w:space="0" w:color="auto"/>
              <w:bottom w:val="single" w:sz="8" w:space="0" w:color="auto"/>
              <w:right w:val="single" w:sz="8" w:space="0" w:color="auto"/>
            </w:tcBorders>
            <w:vAlign w:val="bottom"/>
          </w:tcPr>
          <w:p w14:paraId="57E89786" w14:textId="031A57C4" w:rsidR="602459C0" w:rsidRPr="003D376F" w:rsidRDefault="5F66D94D" w:rsidP="188A1EBF">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$1,588,602</w:t>
            </w:r>
          </w:p>
        </w:tc>
        <w:tc>
          <w:tcPr>
            <w:tcW w:w="1500" w:type="dxa"/>
            <w:tcBorders>
              <w:top w:val="single" w:sz="8" w:space="0" w:color="auto"/>
              <w:left w:val="single" w:sz="8" w:space="0" w:color="auto"/>
              <w:bottom w:val="single" w:sz="8" w:space="0" w:color="auto"/>
              <w:right w:val="single" w:sz="8" w:space="0" w:color="auto"/>
            </w:tcBorders>
            <w:vAlign w:val="bottom"/>
          </w:tcPr>
          <w:p w14:paraId="6A1AEEA8" w14:textId="1726CF74" w:rsidR="007433F0" w:rsidRPr="003D376F" w:rsidRDefault="007433F0"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10%</w:t>
            </w:r>
          </w:p>
        </w:tc>
        <w:tc>
          <w:tcPr>
            <w:tcW w:w="1431" w:type="dxa"/>
            <w:tcBorders>
              <w:top w:val="single" w:sz="8" w:space="0" w:color="auto"/>
              <w:left w:val="single" w:sz="8" w:space="0" w:color="auto"/>
              <w:bottom w:val="single" w:sz="8" w:space="0" w:color="auto"/>
              <w:right w:val="single" w:sz="8" w:space="0" w:color="auto"/>
            </w:tcBorders>
            <w:vAlign w:val="bottom"/>
          </w:tcPr>
          <w:p w14:paraId="33D36DD7" w14:textId="6506761E" w:rsidR="007433F0" w:rsidRPr="003D376F" w:rsidRDefault="666ABE7E">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$1</w:t>
            </w:r>
            <w:r w:rsidR="00F54A2D" w:rsidRPr="003D376F">
              <w:rPr>
                <w:rFonts w:ascii="Century Gothic" w:eastAsia="Calibri" w:hAnsi="Century Gothic"/>
                <w:color w:val="000000" w:themeColor="text1"/>
                <w:sz w:val="18"/>
                <w:szCs w:val="18"/>
              </w:rPr>
              <w:t>,</w:t>
            </w:r>
            <w:r w:rsidRPr="003D376F">
              <w:rPr>
                <w:rFonts w:ascii="Century Gothic" w:eastAsia="Calibri" w:hAnsi="Century Gothic"/>
                <w:color w:val="000000" w:themeColor="text1"/>
                <w:sz w:val="18"/>
                <w:szCs w:val="18"/>
              </w:rPr>
              <w:t>622,939</w:t>
            </w:r>
          </w:p>
        </w:tc>
        <w:tc>
          <w:tcPr>
            <w:tcW w:w="1358" w:type="dxa"/>
            <w:tcBorders>
              <w:top w:val="single" w:sz="8" w:space="0" w:color="auto"/>
              <w:left w:val="single" w:sz="8" w:space="0" w:color="auto"/>
              <w:bottom w:val="single" w:sz="8" w:space="0" w:color="auto"/>
              <w:right w:val="single" w:sz="8" w:space="0" w:color="auto"/>
            </w:tcBorders>
            <w:vAlign w:val="bottom"/>
          </w:tcPr>
          <w:p w14:paraId="71B43638" w14:textId="60D738EE" w:rsidR="007433F0" w:rsidRPr="003D376F" w:rsidRDefault="2A4C3446"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2</w:t>
            </w:r>
            <w:r w:rsidR="79384105" w:rsidRPr="003D376F">
              <w:rPr>
                <w:rFonts w:ascii="Century Gothic" w:eastAsia="Calibri" w:hAnsi="Century Gothic"/>
                <w:color w:val="000000" w:themeColor="text1"/>
                <w:sz w:val="18"/>
                <w:szCs w:val="18"/>
              </w:rPr>
              <w:t>%</w:t>
            </w:r>
            <w:r w:rsidR="4EA6612D" w:rsidRPr="003D376F">
              <w:rPr>
                <w:rFonts w:ascii="Century Gothic" w:eastAsia="Calibri" w:hAnsi="Century Gothic"/>
                <w:color w:val="000000" w:themeColor="text1"/>
                <w:sz w:val="18"/>
                <w:szCs w:val="18"/>
              </w:rPr>
              <w:t xml:space="preserve"> </w:t>
            </w:r>
          </w:p>
        </w:tc>
        <w:tc>
          <w:tcPr>
            <w:tcW w:w="1425" w:type="dxa"/>
            <w:tcBorders>
              <w:top w:val="single" w:sz="8" w:space="0" w:color="auto"/>
              <w:left w:val="single" w:sz="8" w:space="0" w:color="auto"/>
              <w:bottom w:val="single" w:sz="8" w:space="0" w:color="auto"/>
              <w:right w:val="single" w:sz="8" w:space="0" w:color="auto"/>
            </w:tcBorders>
          </w:tcPr>
          <w:p w14:paraId="4273138A" w14:textId="77777777" w:rsidR="007433F0" w:rsidRPr="003D376F" w:rsidRDefault="007433F0" w:rsidP="4566E4F4">
            <w:pPr>
              <w:jc w:val="center"/>
              <w:rPr>
                <w:rFonts w:ascii="Century Gothic" w:eastAsia="Calibri" w:hAnsi="Century Gothic"/>
                <w:color w:val="000000" w:themeColor="text1"/>
                <w:sz w:val="18"/>
                <w:szCs w:val="18"/>
              </w:rPr>
            </w:pPr>
          </w:p>
          <w:p w14:paraId="3F8BAF77" w14:textId="77777777" w:rsidR="007433F0" w:rsidRPr="003D376F" w:rsidRDefault="007433F0" w:rsidP="4566E4F4">
            <w:pPr>
              <w:jc w:val="center"/>
              <w:rPr>
                <w:rFonts w:ascii="Century Gothic" w:eastAsia="Calibri" w:hAnsi="Century Gothic"/>
                <w:color w:val="000000" w:themeColor="text1"/>
                <w:sz w:val="18"/>
                <w:szCs w:val="18"/>
              </w:rPr>
            </w:pPr>
          </w:p>
          <w:p w14:paraId="17DAEC0D" w14:textId="77777777" w:rsidR="007433F0" w:rsidRPr="003D376F" w:rsidRDefault="007433F0" w:rsidP="4566E4F4">
            <w:pPr>
              <w:jc w:val="center"/>
              <w:rPr>
                <w:rFonts w:ascii="Century Gothic" w:eastAsia="Calibri" w:hAnsi="Century Gothic"/>
                <w:color w:val="000000" w:themeColor="text1"/>
                <w:sz w:val="18"/>
                <w:szCs w:val="18"/>
              </w:rPr>
            </w:pPr>
          </w:p>
          <w:p w14:paraId="0DF2F021" w14:textId="77777777" w:rsidR="007433F0" w:rsidRPr="003D376F" w:rsidRDefault="007433F0" w:rsidP="4566E4F4">
            <w:pPr>
              <w:jc w:val="center"/>
              <w:rPr>
                <w:rFonts w:ascii="Century Gothic" w:eastAsia="Calibri" w:hAnsi="Century Gothic"/>
                <w:color w:val="000000" w:themeColor="text1"/>
                <w:sz w:val="18"/>
                <w:szCs w:val="18"/>
              </w:rPr>
            </w:pPr>
          </w:p>
          <w:p w14:paraId="6FF3B0E1" w14:textId="77777777" w:rsidR="007433F0" w:rsidRPr="003D376F" w:rsidRDefault="007433F0" w:rsidP="4566E4F4">
            <w:pPr>
              <w:jc w:val="center"/>
              <w:rPr>
                <w:rFonts w:ascii="Century Gothic" w:eastAsia="Calibri" w:hAnsi="Century Gothic"/>
                <w:color w:val="000000" w:themeColor="text1"/>
                <w:sz w:val="18"/>
                <w:szCs w:val="18"/>
              </w:rPr>
            </w:pPr>
          </w:p>
          <w:p w14:paraId="4A42876A" w14:textId="424F1AAD" w:rsidR="007433F0" w:rsidRPr="003D376F" w:rsidRDefault="4EA6612D"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No</w:t>
            </w:r>
          </w:p>
        </w:tc>
      </w:tr>
      <w:tr w:rsidR="007433F0" w:rsidRPr="00C117E6" w14:paraId="2593D2D7" w14:textId="7551CADE" w:rsidTr="188A1EBF">
        <w:trPr>
          <w:trHeight w:val="801"/>
        </w:trPr>
        <w:tc>
          <w:tcPr>
            <w:tcW w:w="2335" w:type="dxa"/>
            <w:tcBorders>
              <w:top w:val="single" w:sz="8" w:space="0" w:color="auto"/>
              <w:left w:val="single" w:sz="8" w:space="0" w:color="auto"/>
              <w:bottom w:val="single" w:sz="8" w:space="0" w:color="auto"/>
              <w:right w:val="single" w:sz="8" w:space="0" w:color="auto"/>
            </w:tcBorders>
            <w:vAlign w:val="bottom"/>
          </w:tcPr>
          <w:p w14:paraId="7A9C1342" w14:textId="0557EB63" w:rsidR="007433F0" w:rsidRPr="003D376F" w:rsidRDefault="007433F0" w:rsidP="4566E4F4">
            <w:pPr>
              <w:rPr>
                <w:rFonts w:ascii="Century Gothic" w:eastAsia="Calibri" w:hAnsi="Century Gothic"/>
                <w:color w:val="000000" w:themeColor="text1"/>
                <w:sz w:val="18"/>
                <w:szCs w:val="18"/>
              </w:rPr>
            </w:pPr>
            <w:r w:rsidRPr="003D376F">
              <w:rPr>
                <w:rFonts w:ascii="Century Gothic" w:eastAsia="Calibri" w:hAnsi="Century Gothic"/>
                <w:b/>
                <w:bCs/>
                <w:color w:val="000000" w:themeColor="text1"/>
                <w:sz w:val="18"/>
                <w:szCs w:val="18"/>
              </w:rPr>
              <w:t xml:space="preserve">RAD GROUP II </w:t>
            </w:r>
            <w:r w:rsidRPr="003D376F">
              <w:rPr>
                <w:rFonts w:ascii="Century Gothic" w:eastAsia="Calibri" w:hAnsi="Century Gothic"/>
                <w:color w:val="000000" w:themeColor="text1"/>
                <w:sz w:val="18"/>
                <w:szCs w:val="18"/>
              </w:rPr>
              <w:t>- (FULTON; STANLEY; WAVERLY)</w:t>
            </w:r>
          </w:p>
        </w:tc>
        <w:tc>
          <w:tcPr>
            <w:tcW w:w="1303" w:type="dxa"/>
            <w:tcBorders>
              <w:top w:val="single" w:sz="8" w:space="0" w:color="auto"/>
              <w:left w:val="single" w:sz="8" w:space="0" w:color="auto"/>
              <w:bottom w:val="single" w:sz="8" w:space="0" w:color="auto"/>
              <w:right w:val="single" w:sz="8" w:space="0" w:color="auto"/>
            </w:tcBorders>
            <w:vAlign w:val="bottom"/>
          </w:tcPr>
          <w:p w14:paraId="0430D4DB" w14:textId="63B6F4EB" w:rsidR="007433F0" w:rsidRPr="003D376F" w:rsidRDefault="007433F0"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 xml:space="preserve">$1,124,435 </w:t>
            </w:r>
          </w:p>
        </w:tc>
        <w:tc>
          <w:tcPr>
            <w:tcW w:w="1303" w:type="dxa"/>
            <w:tcBorders>
              <w:top w:val="single" w:sz="8" w:space="0" w:color="auto"/>
              <w:left w:val="single" w:sz="8" w:space="0" w:color="auto"/>
              <w:bottom w:val="single" w:sz="8" w:space="0" w:color="auto"/>
              <w:right w:val="single" w:sz="8" w:space="0" w:color="auto"/>
            </w:tcBorders>
            <w:vAlign w:val="bottom"/>
          </w:tcPr>
          <w:p w14:paraId="050441CE" w14:textId="7698E914" w:rsidR="602459C0" w:rsidRPr="003D376F" w:rsidRDefault="52EF3781" w:rsidP="188A1EBF">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w:t>
            </w:r>
            <w:r w:rsidR="16730E32" w:rsidRPr="003D376F">
              <w:rPr>
                <w:rFonts w:ascii="Century Gothic" w:eastAsia="Calibri" w:hAnsi="Century Gothic"/>
                <w:color w:val="000000" w:themeColor="text1"/>
                <w:sz w:val="18"/>
                <w:szCs w:val="18"/>
              </w:rPr>
              <w:t>1,388,269</w:t>
            </w:r>
          </w:p>
        </w:tc>
        <w:tc>
          <w:tcPr>
            <w:tcW w:w="1500" w:type="dxa"/>
            <w:tcBorders>
              <w:top w:val="single" w:sz="8" w:space="0" w:color="auto"/>
              <w:left w:val="single" w:sz="8" w:space="0" w:color="auto"/>
              <w:bottom w:val="single" w:sz="8" w:space="0" w:color="auto"/>
              <w:right w:val="single" w:sz="8" w:space="0" w:color="auto"/>
            </w:tcBorders>
            <w:vAlign w:val="bottom"/>
          </w:tcPr>
          <w:p w14:paraId="25E6353C" w14:textId="752EF681" w:rsidR="007433F0" w:rsidRPr="003D376F" w:rsidRDefault="007433F0"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10%</w:t>
            </w:r>
          </w:p>
        </w:tc>
        <w:tc>
          <w:tcPr>
            <w:tcW w:w="1431" w:type="dxa"/>
            <w:tcBorders>
              <w:top w:val="single" w:sz="8" w:space="0" w:color="auto"/>
              <w:left w:val="single" w:sz="8" w:space="0" w:color="auto"/>
              <w:bottom w:val="single" w:sz="8" w:space="0" w:color="auto"/>
              <w:right w:val="single" w:sz="8" w:space="0" w:color="auto"/>
            </w:tcBorders>
            <w:vAlign w:val="bottom"/>
          </w:tcPr>
          <w:p w14:paraId="2A2116CF" w14:textId="026F3D85" w:rsidR="007433F0" w:rsidRPr="003D376F" w:rsidRDefault="23C21333">
            <w:pPr>
              <w:jc w:val="center"/>
              <w:rPr>
                <w:rFonts w:ascii="Century Gothic" w:eastAsia="Times New Roman" w:hAnsi="Century Gothic"/>
                <w:sz w:val="18"/>
                <w:szCs w:val="18"/>
              </w:rPr>
            </w:pPr>
            <w:r w:rsidRPr="003D376F">
              <w:rPr>
                <w:rFonts w:ascii="Century Gothic" w:eastAsia="Calibri" w:hAnsi="Century Gothic"/>
                <w:color w:val="000000" w:themeColor="text1"/>
                <w:sz w:val="18"/>
                <w:szCs w:val="18"/>
              </w:rPr>
              <w:t>$978,494</w:t>
            </w:r>
          </w:p>
        </w:tc>
        <w:tc>
          <w:tcPr>
            <w:tcW w:w="1358" w:type="dxa"/>
            <w:tcBorders>
              <w:top w:val="single" w:sz="8" w:space="0" w:color="auto"/>
              <w:left w:val="single" w:sz="8" w:space="0" w:color="auto"/>
              <w:bottom w:val="single" w:sz="8" w:space="0" w:color="auto"/>
              <w:right w:val="single" w:sz="8" w:space="0" w:color="auto"/>
            </w:tcBorders>
            <w:vAlign w:val="bottom"/>
          </w:tcPr>
          <w:p w14:paraId="04290CEF" w14:textId="38A5CD50" w:rsidR="007433F0" w:rsidRPr="003D376F" w:rsidRDefault="3B23E32B"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3</w:t>
            </w:r>
            <w:r w:rsidR="57E1C208" w:rsidRPr="003D376F">
              <w:rPr>
                <w:rFonts w:ascii="Century Gothic" w:eastAsia="Calibri" w:hAnsi="Century Gothic"/>
                <w:color w:val="000000" w:themeColor="text1"/>
                <w:sz w:val="18"/>
                <w:szCs w:val="18"/>
              </w:rPr>
              <w:t>0</w:t>
            </w:r>
            <w:r w:rsidR="79384105" w:rsidRPr="003D376F">
              <w:rPr>
                <w:rFonts w:ascii="Century Gothic" w:eastAsia="Calibri" w:hAnsi="Century Gothic"/>
                <w:color w:val="000000" w:themeColor="text1"/>
                <w:sz w:val="18"/>
                <w:szCs w:val="18"/>
              </w:rPr>
              <w:t>%</w:t>
            </w:r>
          </w:p>
        </w:tc>
        <w:tc>
          <w:tcPr>
            <w:tcW w:w="1425" w:type="dxa"/>
            <w:tcBorders>
              <w:top w:val="single" w:sz="8" w:space="0" w:color="auto"/>
              <w:left w:val="single" w:sz="8" w:space="0" w:color="auto"/>
              <w:bottom w:val="single" w:sz="8" w:space="0" w:color="auto"/>
              <w:right w:val="single" w:sz="8" w:space="0" w:color="auto"/>
            </w:tcBorders>
          </w:tcPr>
          <w:p w14:paraId="4534C748" w14:textId="77777777" w:rsidR="007433F0" w:rsidRPr="003D376F" w:rsidRDefault="007433F0" w:rsidP="4566E4F4">
            <w:pPr>
              <w:jc w:val="center"/>
              <w:rPr>
                <w:rFonts w:ascii="Century Gothic" w:eastAsia="Calibri" w:hAnsi="Century Gothic"/>
                <w:color w:val="000000" w:themeColor="text1"/>
                <w:sz w:val="18"/>
                <w:szCs w:val="18"/>
              </w:rPr>
            </w:pPr>
          </w:p>
          <w:p w14:paraId="3A148CCB" w14:textId="77777777" w:rsidR="007433F0" w:rsidRPr="003D376F" w:rsidRDefault="007433F0" w:rsidP="4566E4F4">
            <w:pPr>
              <w:jc w:val="center"/>
              <w:rPr>
                <w:rFonts w:ascii="Century Gothic" w:eastAsia="Calibri" w:hAnsi="Century Gothic"/>
                <w:color w:val="000000" w:themeColor="text1"/>
                <w:sz w:val="18"/>
                <w:szCs w:val="18"/>
              </w:rPr>
            </w:pPr>
          </w:p>
          <w:p w14:paraId="1FB407E0" w14:textId="77777777" w:rsidR="007433F0" w:rsidRPr="003D376F" w:rsidRDefault="007433F0" w:rsidP="4566E4F4">
            <w:pPr>
              <w:jc w:val="center"/>
              <w:rPr>
                <w:rFonts w:ascii="Century Gothic" w:eastAsia="Calibri" w:hAnsi="Century Gothic"/>
                <w:color w:val="000000" w:themeColor="text1"/>
                <w:sz w:val="18"/>
                <w:szCs w:val="18"/>
              </w:rPr>
            </w:pPr>
          </w:p>
          <w:p w14:paraId="5DE08CED" w14:textId="1437B171" w:rsidR="007433F0" w:rsidRPr="003D376F" w:rsidRDefault="007433F0"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Yes</w:t>
            </w:r>
          </w:p>
        </w:tc>
      </w:tr>
      <w:tr w:rsidR="007433F0" w:rsidRPr="00C117E6" w14:paraId="7B0BC8A5" w14:textId="0A8B37B1" w:rsidTr="188A1EBF">
        <w:trPr>
          <w:trHeight w:val="1064"/>
        </w:trPr>
        <w:tc>
          <w:tcPr>
            <w:tcW w:w="2335" w:type="dxa"/>
            <w:tcBorders>
              <w:top w:val="single" w:sz="8" w:space="0" w:color="auto"/>
              <w:left w:val="single" w:sz="8" w:space="0" w:color="auto"/>
              <w:bottom w:val="single" w:sz="8" w:space="0" w:color="auto"/>
              <w:right w:val="single" w:sz="8" w:space="0" w:color="auto"/>
            </w:tcBorders>
            <w:vAlign w:val="bottom"/>
          </w:tcPr>
          <w:p w14:paraId="5A6FB9AF" w14:textId="4CCE4559" w:rsidR="007433F0" w:rsidRPr="003D376F" w:rsidRDefault="007433F0" w:rsidP="4566E4F4">
            <w:pPr>
              <w:rPr>
                <w:rFonts w:ascii="Century Gothic" w:eastAsia="Calibri" w:hAnsi="Century Gothic"/>
                <w:color w:val="000000" w:themeColor="text1"/>
                <w:sz w:val="18"/>
                <w:szCs w:val="18"/>
              </w:rPr>
            </w:pPr>
            <w:r w:rsidRPr="003D376F">
              <w:rPr>
                <w:rFonts w:ascii="Century Gothic" w:eastAsia="Calibri" w:hAnsi="Century Gothic"/>
                <w:b/>
                <w:bCs/>
                <w:color w:val="000000" w:themeColor="text1"/>
                <w:sz w:val="18"/>
                <w:szCs w:val="18"/>
              </w:rPr>
              <w:t>RAD GROUP III</w:t>
            </w:r>
            <w:r w:rsidRPr="003D376F">
              <w:rPr>
                <w:rFonts w:ascii="Century Gothic" w:eastAsia="Calibri" w:hAnsi="Century Gothic"/>
                <w:color w:val="000000" w:themeColor="text1"/>
                <w:sz w:val="18"/>
                <w:szCs w:val="18"/>
              </w:rPr>
              <w:t xml:space="preserve"> - MCQUEENEY (RESIDENTIAL); CELENTANO</w:t>
            </w:r>
          </w:p>
        </w:tc>
        <w:tc>
          <w:tcPr>
            <w:tcW w:w="1303" w:type="dxa"/>
            <w:tcBorders>
              <w:top w:val="single" w:sz="8" w:space="0" w:color="auto"/>
              <w:left w:val="single" w:sz="8" w:space="0" w:color="auto"/>
              <w:bottom w:val="single" w:sz="8" w:space="0" w:color="auto"/>
              <w:right w:val="single" w:sz="8" w:space="0" w:color="auto"/>
            </w:tcBorders>
            <w:vAlign w:val="bottom"/>
          </w:tcPr>
          <w:p w14:paraId="797C0391" w14:textId="45BF51F5" w:rsidR="007433F0" w:rsidRPr="003D376F" w:rsidRDefault="007433F0"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 xml:space="preserve">$3,074,395 </w:t>
            </w:r>
          </w:p>
        </w:tc>
        <w:tc>
          <w:tcPr>
            <w:tcW w:w="1303" w:type="dxa"/>
            <w:tcBorders>
              <w:top w:val="single" w:sz="8" w:space="0" w:color="auto"/>
              <w:left w:val="single" w:sz="8" w:space="0" w:color="auto"/>
              <w:bottom w:val="single" w:sz="8" w:space="0" w:color="auto"/>
              <w:right w:val="single" w:sz="8" w:space="0" w:color="auto"/>
            </w:tcBorders>
            <w:vAlign w:val="bottom"/>
          </w:tcPr>
          <w:p w14:paraId="57E2B95F" w14:textId="3A0BBCA8" w:rsidR="602459C0" w:rsidRPr="003D376F" w:rsidRDefault="7AD5C0FF" w:rsidP="602459C0">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w:t>
            </w:r>
            <w:r w:rsidR="6295BDDB" w:rsidRPr="003D376F">
              <w:rPr>
                <w:rFonts w:ascii="Century Gothic" w:eastAsia="Calibri" w:hAnsi="Century Gothic"/>
                <w:color w:val="000000" w:themeColor="text1"/>
                <w:sz w:val="18"/>
                <w:szCs w:val="18"/>
              </w:rPr>
              <w:t>3,728,644</w:t>
            </w:r>
          </w:p>
        </w:tc>
        <w:tc>
          <w:tcPr>
            <w:tcW w:w="1500" w:type="dxa"/>
            <w:tcBorders>
              <w:top w:val="single" w:sz="8" w:space="0" w:color="auto"/>
              <w:left w:val="single" w:sz="8" w:space="0" w:color="auto"/>
              <w:bottom w:val="single" w:sz="8" w:space="0" w:color="auto"/>
              <w:right w:val="single" w:sz="8" w:space="0" w:color="auto"/>
            </w:tcBorders>
            <w:vAlign w:val="bottom"/>
          </w:tcPr>
          <w:p w14:paraId="4DF6A6AA" w14:textId="0EBEB2A5" w:rsidR="007433F0" w:rsidRPr="003D376F" w:rsidRDefault="007433F0"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10%</w:t>
            </w:r>
          </w:p>
        </w:tc>
        <w:tc>
          <w:tcPr>
            <w:tcW w:w="1431" w:type="dxa"/>
            <w:tcBorders>
              <w:top w:val="single" w:sz="8" w:space="0" w:color="auto"/>
              <w:left w:val="single" w:sz="8" w:space="0" w:color="auto"/>
              <w:bottom w:val="single" w:sz="8" w:space="0" w:color="auto"/>
              <w:right w:val="single" w:sz="8" w:space="0" w:color="auto"/>
            </w:tcBorders>
            <w:vAlign w:val="bottom"/>
          </w:tcPr>
          <w:p w14:paraId="071B35C2" w14:textId="5ECDAEBD" w:rsidR="007433F0" w:rsidRPr="003D376F" w:rsidRDefault="180F41CD"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$2,355,123</w:t>
            </w:r>
          </w:p>
        </w:tc>
        <w:tc>
          <w:tcPr>
            <w:tcW w:w="1358" w:type="dxa"/>
            <w:tcBorders>
              <w:top w:val="single" w:sz="8" w:space="0" w:color="auto"/>
              <w:left w:val="single" w:sz="8" w:space="0" w:color="auto"/>
              <w:bottom w:val="single" w:sz="8" w:space="0" w:color="auto"/>
              <w:right w:val="single" w:sz="8" w:space="0" w:color="auto"/>
            </w:tcBorders>
            <w:vAlign w:val="bottom"/>
          </w:tcPr>
          <w:p w14:paraId="300043AD" w14:textId="37334F0E" w:rsidR="007433F0" w:rsidRPr="003D376F" w:rsidRDefault="6D9DB2F0"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4</w:t>
            </w:r>
            <w:r w:rsidR="71E923EA" w:rsidRPr="003D376F">
              <w:rPr>
                <w:rFonts w:ascii="Century Gothic" w:eastAsia="Calibri" w:hAnsi="Century Gothic"/>
                <w:color w:val="000000" w:themeColor="text1"/>
                <w:sz w:val="18"/>
                <w:szCs w:val="18"/>
              </w:rPr>
              <w:t>3</w:t>
            </w:r>
            <w:r w:rsidR="7F59C4D4" w:rsidRPr="003D376F">
              <w:rPr>
                <w:rFonts w:ascii="Century Gothic" w:eastAsia="Calibri" w:hAnsi="Century Gothic"/>
                <w:color w:val="000000" w:themeColor="text1"/>
                <w:sz w:val="18"/>
                <w:szCs w:val="18"/>
              </w:rPr>
              <w:t>%</w:t>
            </w:r>
          </w:p>
        </w:tc>
        <w:tc>
          <w:tcPr>
            <w:tcW w:w="1425" w:type="dxa"/>
            <w:tcBorders>
              <w:top w:val="single" w:sz="8" w:space="0" w:color="auto"/>
              <w:left w:val="single" w:sz="8" w:space="0" w:color="auto"/>
              <w:bottom w:val="single" w:sz="8" w:space="0" w:color="auto"/>
              <w:right w:val="single" w:sz="8" w:space="0" w:color="auto"/>
            </w:tcBorders>
          </w:tcPr>
          <w:p w14:paraId="68E76DBD" w14:textId="77777777" w:rsidR="007433F0" w:rsidRPr="003D376F" w:rsidRDefault="007433F0" w:rsidP="4566E4F4">
            <w:pPr>
              <w:jc w:val="center"/>
              <w:rPr>
                <w:rFonts w:ascii="Century Gothic" w:eastAsia="Calibri" w:hAnsi="Century Gothic"/>
                <w:color w:val="000000" w:themeColor="text1"/>
                <w:sz w:val="18"/>
                <w:szCs w:val="18"/>
              </w:rPr>
            </w:pPr>
          </w:p>
          <w:p w14:paraId="221DED6C" w14:textId="77777777" w:rsidR="007433F0" w:rsidRPr="003D376F" w:rsidRDefault="007433F0" w:rsidP="4566E4F4">
            <w:pPr>
              <w:jc w:val="center"/>
              <w:rPr>
                <w:rFonts w:ascii="Century Gothic" w:eastAsia="Calibri" w:hAnsi="Century Gothic"/>
                <w:color w:val="000000" w:themeColor="text1"/>
                <w:sz w:val="18"/>
                <w:szCs w:val="18"/>
              </w:rPr>
            </w:pPr>
          </w:p>
          <w:p w14:paraId="77AF2CFA" w14:textId="77777777" w:rsidR="007433F0" w:rsidRPr="003D376F" w:rsidRDefault="007433F0" w:rsidP="4566E4F4">
            <w:pPr>
              <w:jc w:val="center"/>
              <w:rPr>
                <w:rFonts w:ascii="Century Gothic" w:eastAsia="Calibri" w:hAnsi="Century Gothic"/>
                <w:color w:val="000000" w:themeColor="text1"/>
                <w:sz w:val="18"/>
                <w:szCs w:val="18"/>
              </w:rPr>
            </w:pPr>
          </w:p>
          <w:p w14:paraId="19EA40BD" w14:textId="77777777" w:rsidR="007433F0" w:rsidRPr="003D376F" w:rsidRDefault="007433F0" w:rsidP="4566E4F4">
            <w:pPr>
              <w:jc w:val="center"/>
              <w:rPr>
                <w:rFonts w:ascii="Century Gothic" w:eastAsia="Calibri" w:hAnsi="Century Gothic"/>
                <w:color w:val="000000" w:themeColor="text1"/>
                <w:sz w:val="18"/>
                <w:szCs w:val="18"/>
              </w:rPr>
            </w:pPr>
          </w:p>
          <w:p w14:paraId="19E441BE" w14:textId="5FC9E493" w:rsidR="007433F0" w:rsidRPr="003D376F" w:rsidRDefault="007433F0" w:rsidP="4566E4F4">
            <w:pPr>
              <w:jc w:val="center"/>
              <w:rPr>
                <w:rFonts w:ascii="Century Gothic" w:eastAsia="Calibri" w:hAnsi="Century Gothic"/>
                <w:color w:val="000000" w:themeColor="text1"/>
                <w:sz w:val="18"/>
                <w:szCs w:val="18"/>
              </w:rPr>
            </w:pPr>
            <w:r w:rsidRPr="003D376F">
              <w:rPr>
                <w:rFonts w:ascii="Century Gothic" w:eastAsia="Calibri" w:hAnsi="Century Gothic"/>
                <w:color w:val="000000" w:themeColor="text1"/>
                <w:sz w:val="18"/>
                <w:szCs w:val="18"/>
              </w:rPr>
              <w:t>Yes</w:t>
            </w:r>
          </w:p>
        </w:tc>
      </w:tr>
      <w:tr w:rsidR="007433F0" w:rsidRPr="00AF0528" w14:paraId="5C198D05" w14:textId="64BAD197" w:rsidTr="188A1EBF">
        <w:trPr>
          <w:trHeight w:val="801"/>
        </w:trPr>
        <w:tc>
          <w:tcPr>
            <w:tcW w:w="2335" w:type="dxa"/>
            <w:tcBorders>
              <w:top w:val="single" w:sz="8" w:space="0" w:color="auto"/>
              <w:left w:val="single" w:sz="8" w:space="0" w:color="auto"/>
              <w:bottom w:val="single" w:sz="8" w:space="0" w:color="auto"/>
              <w:right w:val="single" w:sz="8" w:space="0" w:color="auto"/>
            </w:tcBorders>
            <w:vAlign w:val="bottom"/>
          </w:tcPr>
          <w:p w14:paraId="19DFC003" w14:textId="5726B964" w:rsidR="007433F0" w:rsidRPr="00AF0528" w:rsidRDefault="007433F0" w:rsidP="4566E4F4">
            <w:pPr>
              <w:rPr>
                <w:rFonts w:ascii="Century Gothic" w:eastAsia="Calibri" w:hAnsi="Century Gothic"/>
                <w:color w:val="000000" w:themeColor="text1"/>
                <w:sz w:val="18"/>
                <w:szCs w:val="18"/>
              </w:rPr>
            </w:pPr>
            <w:r w:rsidRPr="00AF0528">
              <w:rPr>
                <w:rFonts w:ascii="Century Gothic" w:eastAsia="Calibri" w:hAnsi="Century Gothic"/>
                <w:b/>
                <w:bCs/>
                <w:color w:val="000000" w:themeColor="text1"/>
                <w:sz w:val="18"/>
                <w:szCs w:val="18"/>
              </w:rPr>
              <w:t>RAD GROUP IV</w:t>
            </w:r>
            <w:r w:rsidRPr="00AF0528">
              <w:rPr>
                <w:rFonts w:ascii="Century Gothic" w:eastAsia="Calibri" w:hAnsi="Century Gothic"/>
                <w:color w:val="000000" w:themeColor="text1"/>
                <w:sz w:val="18"/>
                <w:szCs w:val="18"/>
              </w:rPr>
              <w:t xml:space="preserve"> - FAIMONT HEIGHTS; RUOPPOLO MANOR</w:t>
            </w:r>
          </w:p>
        </w:tc>
        <w:tc>
          <w:tcPr>
            <w:tcW w:w="1303" w:type="dxa"/>
            <w:tcBorders>
              <w:top w:val="single" w:sz="8" w:space="0" w:color="auto"/>
              <w:left w:val="single" w:sz="8" w:space="0" w:color="auto"/>
              <w:bottom w:val="single" w:sz="8" w:space="0" w:color="auto"/>
              <w:right w:val="single" w:sz="8" w:space="0" w:color="auto"/>
            </w:tcBorders>
            <w:vAlign w:val="bottom"/>
          </w:tcPr>
          <w:p w14:paraId="0712DD28" w14:textId="2C8B018B" w:rsidR="007433F0" w:rsidRPr="00AF0528" w:rsidRDefault="007433F0" w:rsidP="4566E4F4">
            <w:pPr>
              <w:jc w:val="center"/>
              <w:rPr>
                <w:rFonts w:ascii="Century Gothic" w:eastAsia="Calibri" w:hAnsi="Century Gothic"/>
                <w:color w:val="000000" w:themeColor="text1"/>
                <w:sz w:val="18"/>
                <w:szCs w:val="18"/>
              </w:rPr>
            </w:pPr>
            <w:r w:rsidRPr="00AF0528">
              <w:rPr>
                <w:rFonts w:ascii="Century Gothic" w:eastAsia="Calibri" w:hAnsi="Century Gothic"/>
                <w:color w:val="000000" w:themeColor="text1"/>
                <w:sz w:val="18"/>
                <w:szCs w:val="18"/>
              </w:rPr>
              <w:t xml:space="preserve">$2,249,026 </w:t>
            </w:r>
          </w:p>
        </w:tc>
        <w:tc>
          <w:tcPr>
            <w:tcW w:w="1303" w:type="dxa"/>
            <w:tcBorders>
              <w:top w:val="single" w:sz="8" w:space="0" w:color="auto"/>
              <w:left w:val="single" w:sz="8" w:space="0" w:color="auto"/>
              <w:bottom w:val="single" w:sz="8" w:space="0" w:color="auto"/>
              <w:right w:val="single" w:sz="8" w:space="0" w:color="auto"/>
            </w:tcBorders>
            <w:vAlign w:val="bottom"/>
          </w:tcPr>
          <w:p w14:paraId="259A505A" w14:textId="1DA483AB" w:rsidR="602459C0" w:rsidRPr="00AF0528" w:rsidRDefault="7AD5C0FF" w:rsidP="602459C0">
            <w:pPr>
              <w:jc w:val="center"/>
              <w:rPr>
                <w:rFonts w:ascii="Century Gothic" w:eastAsia="Calibri" w:hAnsi="Century Gothic"/>
                <w:color w:val="000000" w:themeColor="text1"/>
                <w:sz w:val="18"/>
                <w:szCs w:val="18"/>
              </w:rPr>
            </w:pPr>
            <w:r w:rsidRPr="00AF0528">
              <w:rPr>
                <w:rFonts w:ascii="Century Gothic" w:eastAsia="Calibri" w:hAnsi="Century Gothic"/>
                <w:color w:val="000000" w:themeColor="text1"/>
                <w:sz w:val="18"/>
                <w:szCs w:val="18"/>
              </w:rPr>
              <w:t>$2</w:t>
            </w:r>
            <w:r w:rsidR="28B5C548" w:rsidRPr="00AF0528">
              <w:rPr>
                <w:rFonts w:ascii="Century Gothic" w:eastAsia="Calibri" w:hAnsi="Century Gothic"/>
                <w:color w:val="000000" w:themeColor="text1"/>
                <w:sz w:val="18"/>
                <w:szCs w:val="18"/>
              </w:rPr>
              <w:t>,727,632</w:t>
            </w:r>
          </w:p>
        </w:tc>
        <w:tc>
          <w:tcPr>
            <w:tcW w:w="1500" w:type="dxa"/>
            <w:tcBorders>
              <w:top w:val="single" w:sz="8" w:space="0" w:color="auto"/>
              <w:left w:val="single" w:sz="8" w:space="0" w:color="auto"/>
              <w:bottom w:val="single" w:sz="8" w:space="0" w:color="auto"/>
              <w:right w:val="single" w:sz="8" w:space="0" w:color="auto"/>
            </w:tcBorders>
            <w:vAlign w:val="bottom"/>
          </w:tcPr>
          <w:p w14:paraId="20ED516B" w14:textId="169779E9" w:rsidR="007433F0" w:rsidRPr="00AF0528" w:rsidRDefault="007433F0" w:rsidP="4566E4F4">
            <w:pPr>
              <w:jc w:val="center"/>
              <w:rPr>
                <w:rFonts w:ascii="Century Gothic" w:eastAsia="Calibri" w:hAnsi="Century Gothic"/>
                <w:color w:val="000000" w:themeColor="text1"/>
                <w:sz w:val="18"/>
                <w:szCs w:val="18"/>
              </w:rPr>
            </w:pPr>
            <w:r w:rsidRPr="00AF0528">
              <w:rPr>
                <w:rFonts w:ascii="Century Gothic" w:eastAsia="Calibri" w:hAnsi="Century Gothic"/>
                <w:color w:val="000000" w:themeColor="text1"/>
                <w:sz w:val="18"/>
                <w:szCs w:val="18"/>
              </w:rPr>
              <w:t>10%</w:t>
            </w:r>
          </w:p>
        </w:tc>
        <w:tc>
          <w:tcPr>
            <w:tcW w:w="1431" w:type="dxa"/>
            <w:tcBorders>
              <w:top w:val="single" w:sz="8" w:space="0" w:color="auto"/>
              <w:left w:val="single" w:sz="8" w:space="0" w:color="auto"/>
              <w:bottom w:val="single" w:sz="8" w:space="0" w:color="auto"/>
              <w:right w:val="single" w:sz="8" w:space="0" w:color="auto"/>
            </w:tcBorders>
            <w:vAlign w:val="bottom"/>
          </w:tcPr>
          <w:p w14:paraId="579D5732" w14:textId="3889FEB0" w:rsidR="007433F0" w:rsidRPr="00AF0528" w:rsidRDefault="005A408A" w:rsidP="4566E4F4">
            <w:pPr>
              <w:jc w:val="center"/>
              <w:rPr>
                <w:rFonts w:ascii="Century Gothic" w:eastAsia="Calibri" w:hAnsi="Century Gothic"/>
                <w:color w:val="000000" w:themeColor="text1"/>
                <w:sz w:val="18"/>
                <w:szCs w:val="18"/>
              </w:rPr>
            </w:pPr>
            <w:r w:rsidRPr="00AF0528">
              <w:rPr>
                <w:rFonts w:ascii="Century Gothic" w:eastAsia="Calibri" w:hAnsi="Century Gothic"/>
                <w:color w:val="000000" w:themeColor="text1"/>
                <w:sz w:val="18"/>
                <w:szCs w:val="18"/>
              </w:rPr>
              <w:t xml:space="preserve"> </w:t>
            </w:r>
            <w:r w:rsidR="4DFBA966" w:rsidRPr="00AF0528">
              <w:rPr>
                <w:rFonts w:ascii="Century Gothic" w:eastAsia="Calibri" w:hAnsi="Century Gothic"/>
                <w:color w:val="000000" w:themeColor="text1"/>
                <w:sz w:val="18"/>
                <w:szCs w:val="18"/>
              </w:rPr>
              <w:t>$2,050,311</w:t>
            </w:r>
          </w:p>
        </w:tc>
        <w:tc>
          <w:tcPr>
            <w:tcW w:w="1358" w:type="dxa"/>
            <w:tcBorders>
              <w:top w:val="single" w:sz="8" w:space="0" w:color="auto"/>
              <w:left w:val="single" w:sz="8" w:space="0" w:color="auto"/>
              <w:bottom w:val="single" w:sz="8" w:space="0" w:color="auto"/>
              <w:right w:val="single" w:sz="8" w:space="0" w:color="auto"/>
            </w:tcBorders>
            <w:vAlign w:val="bottom"/>
          </w:tcPr>
          <w:p w14:paraId="4763C2DD" w14:textId="006DA6A8" w:rsidR="007433F0" w:rsidRPr="00AF0528" w:rsidRDefault="5733A06C" w:rsidP="4566E4F4">
            <w:pPr>
              <w:jc w:val="center"/>
              <w:rPr>
                <w:rFonts w:ascii="Century Gothic" w:eastAsia="Calibri" w:hAnsi="Century Gothic"/>
                <w:color w:val="000000" w:themeColor="text1"/>
                <w:sz w:val="18"/>
                <w:szCs w:val="18"/>
              </w:rPr>
            </w:pPr>
            <w:r w:rsidRPr="00AF0528">
              <w:rPr>
                <w:rFonts w:ascii="Century Gothic" w:eastAsia="Calibri" w:hAnsi="Century Gothic"/>
                <w:color w:val="000000" w:themeColor="text1"/>
                <w:sz w:val="18"/>
                <w:szCs w:val="18"/>
              </w:rPr>
              <w:t>25%</w:t>
            </w:r>
          </w:p>
        </w:tc>
        <w:tc>
          <w:tcPr>
            <w:tcW w:w="1425" w:type="dxa"/>
            <w:tcBorders>
              <w:top w:val="single" w:sz="8" w:space="0" w:color="auto"/>
              <w:left w:val="single" w:sz="8" w:space="0" w:color="auto"/>
              <w:bottom w:val="single" w:sz="8" w:space="0" w:color="auto"/>
              <w:right w:val="single" w:sz="8" w:space="0" w:color="auto"/>
            </w:tcBorders>
          </w:tcPr>
          <w:p w14:paraId="04EE46F5" w14:textId="77777777" w:rsidR="007433F0" w:rsidRPr="00AF0528" w:rsidRDefault="007433F0" w:rsidP="4566E4F4">
            <w:pPr>
              <w:jc w:val="center"/>
              <w:rPr>
                <w:rFonts w:ascii="Century Gothic" w:eastAsia="Calibri" w:hAnsi="Century Gothic"/>
                <w:color w:val="000000" w:themeColor="text1"/>
                <w:sz w:val="18"/>
                <w:szCs w:val="18"/>
              </w:rPr>
            </w:pPr>
          </w:p>
          <w:p w14:paraId="51C318B0" w14:textId="77777777" w:rsidR="007433F0" w:rsidRPr="00AF0528" w:rsidRDefault="007433F0" w:rsidP="4566E4F4">
            <w:pPr>
              <w:jc w:val="center"/>
              <w:rPr>
                <w:rFonts w:ascii="Century Gothic" w:eastAsia="Calibri" w:hAnsi="Century Gothic"/>
                <w:color w:val="000000" w:themeColor="text1"/>
                <w:sz w:val="18"/>
                <w:szCs w:val="18"/>
              </w:rPr>
            </w:pPr>
          </w:p>
          <w:p w14:paraId="6CE03B4F" w14:textId="77777777" w:rsidR="007433F0" w:rsidRPr="00AF0528" w:rsidRDefault="007433F0" w:rsidP="4566E4F4">
            <w:pPr>
              <w:jc w:val="center"/>
              <w:rPr>
                <w:rFonts w:ascii="Century Gothic" w:eastAsia="Calibri" w:hAnsi="Century Gothic"/>
                <w:color w:val="000000" w:themeColor="text1"/>
                <w:sz w:val="18"/>
                <w:szCs w:val="18"/>
              </w:rPr>
            </w:pPr>
          </w:p>
          <w:p w14:paraId="6E077734" w14:textId="77F1CD6D" w:rsidR="007433F0" w:rsidRPr="00AF0528" w:rsidRDefault="64A6C7D2">
            <w:pPr>
              <w:jc w:val="center"/>
              <w:rPr>
                <w:rFonts w:ascii="Century Gothic" w:eastAsia="Times New Roman" w:hAnsi="Century Gothic"/>
                <w:sz w:val="18"/>
                <w:szCs w:val="18"/>
              </w:rPr>
            </w:pPr>
            <w:r w:rsidRPr="00AF0528">
              <w:rPr>
                <w:rFonts w:ascii="Century Gothic" w:eastAsia="Calibri" w:hAnsi="Century Gothic"/>
                <w:color w:val="000000" w:themeColor="text1"/>
                <w:sz w:val="18"/>
                <w:szCs w:val="18"/>
              </w:rPr>
              <w:t>Yes</w:t>
            </w:r>
          </w:p>
        </w:tc>
      </w:tr>
    </w:tbl>
    <w:p w14:paraId="065E892E" w14:textId="786B3CB2" w:rsidR="63BCA267" w:rsidRPr="00AF0528" w:rsidRDefault="63BCA267" w:rsidP="4566E4F4">
      <w:pPr>
        <w:rPr>
          <w:rFonts w:ascii="Century Gothic" w:eastAsia="MS PGothic" w:hAnsi="Century Gothic"/>
          <w:szCs w:val="22"/>
        </w:rPr>
      </w:pPr>
    </w:p>
    <w:p w14:paraId="54AD709F" w14:textId="3E29191C" w:rsidR="77C796A3" w:rsidRPr="00AF0528" w:rsidRDefault="77C796A3" w:rsidP="46316ACA">
      <w:pPr>
        <w:rPr>
          <w:rFonts w:ascii="Century Gothic" w:eastAsia="Times New Roman" w:hAnsi="Century Gothic"/>
          <w:b/>
          <w:bCs/>
        </w:rPr>
      </w:pPr>
      <w:r w:rsidRPr="00AF0528">
        <w:rPr>
          <w:rFonts w:ascii="Century Gothic" w:eastAsia="Times New Roman" w:hAnsi="Century Gothic"/>
          <w:b/>
          <w:bCs/>
        </w:rPr>
        <w:t>Increase Housing Choice</w:t>
      </w:r>
    </w:p>
    <w:p w14:paraId="5458992D" w14:textId="42274AD7" w:rsidR="4D581A61" w:rsidRPr="00AF0528" w:rsidRDefault="4D581A61" w:rsidP="46316ACA">
      <w:pPr>
        <w:tabs>
          <w:tab w:val="left" w:pos="1350"/>
        </w:tabs>
        <w:rPr>
          <w:rFonts w:ascii="Century Gothic" w:eastAsia="Times New Roman" w:hAnsi="Century Gothic"/>
        </w:rPr>
      </w:pPr>
      <w:r w:rsidRPr="00AF0528">
        <w:rPr>
          <w:rFonts w:ascii="Century Gothic" w:eastAsia="Times New Roman" w:hAnsi="Century Gothic"/>
        </w:rPr>
        <w:t>In FY202</w:t>
      </w:r>
      <w:r w:rsidR="2E30CBAD" w:rsidRPr="00AF0528">
        <w:rPr>
          <w:rFonts w:ascii="Century Gothic" w:eastAsia="Times New Roman" w:hAnsi="Century Gothic"/>
        </w:rPr>
        <w:t>4</w:t>
      </w:r>
      <w:r w:rsidRPr="00AF0528">
        <w:rPr>
          <w:rFonts w:ascii="Century Gothic" w:eastAsia="Times New Roman" w:hAnsi="Century Gothic"/>
        </w:rPr>
        <w:t>, 360</w:t>
      </w:r>
      <w:r w:rsidR="71D10F06" w:rsidRPr="00AF0528">
        <w:rPr>
          <w:rFonts w:ascii="Century Gothic" w:eastAsia="Times New Roman" w:hAnsi="Century Gothic"/>
        </w:rPr>
        <w:t xml:space="preserve"> </w:t>
      </w:r>
      <w:r w:rsidRPr="00AF0528">
        <w:rPr>
          <w:rFonts w:ascii="Century Gothic" w:eastAsia="Times New Roman" w:hAnsi="Century Gothic"/>
        </w:rPr>
        <w:t>Mgt served 1,</w:t>
      </w:r>
      <w:r w:rsidR="5BBF1ACE" w:rsidRPr="00AF0528">
        <w:rPr>
          <w:rFonts w:ascii="Century Gothic" w:eastAsia="Times New Roman" w:hAnsi="Century Gothic"/>
        </w:rPr>
        <w:t>263</w:t>
      </w:r>
      <w:r w:rsidRPr="00AF0528">
        <w:rPr>
          <w:rFonts w:ascii="Century Gothic" w:eastAsia="Times New Roman" w:hAnsi="Century Gothic"/>
        </w:rPr>
        <w:t xml:space="preserve"> families</w:t>
      </w:r>
      <w:r w:rsidR="1964D6E1" w:rsidRPr="00AF0528">
        <w:rPr>
          <w:rFonts w:ascii="Century Gothic" w:eastAsia="Times New Roman" w:hAnsi="Century Gothic"/>
        </w:rPr>
        <w:t xml:space="preserve"> and t</w:t>
      </w:r>
      <w:r w:rsidR="05A5CD58" w:rsidRPr="00AF0528">
        <w:rPr>
          <w:rFonts w:ascii="Century Gothic" w:eastAsia="Times New Roman" w:hAnsi="Century Gothic"/>
        </w:rPr>
        <w:t>he average household income was $1</w:t>
      </w:r>
      <w:r w:rsidR="6E932A1B" w:rsidRPr="00AF0528">
        <w:rPr>
          <w:rFonts w:ascii="Century Gothic" w:eastAsia="Times New Roman" w:hAnsi="Century Gothic"/>
        </w:rPr>
        <w:t>8</w:t>
      </w:r>
      <w:r w:rsidR="05A5CD58" w:rsidRPr="00AF0528">
        <w:rPr>
          <w:rFonts w:ascii="Century Gothic" w:eastAsia="Times New Roman" w:hAnsi="Century Gothic"/>
        </w:rPr>
        <w:t>,</w:t>
      </w:r>
      <w:r w:rsidR="2EBE0324" w:rsidRPr="00AF0528">
        <w:rPr>
          <w:rFonts w:ascii="Century Gothic" w:eastAsia="Times New Roman" w:hAnsi="Century Gothic"/>
        </w:rPr>
        <w:t>107</w:t>
      </w:r>
      <w:r w:rsidR="05A5CD58" w:rsidRPr="00AF0528">
        <w:rPr>
          <w:rFonts w:ascii="Century Gothic" w:eastAsia="Times New Roman" w:hAnsi="Century Gothic"/>
        </w:rPr>
        <w:t>.</w:t>
      </w:r>
    </w:p>
    <w:p w14:paraId="1E902232" w14:textId="67626888" w:rsidR="46316ACA" w:rsidRDefault="46316ACA" w:rsidP="46316ACA">
      <w:pPr>
        <w:rPr>
          <w:rFonts w:ascii="Century Gothic" w:eastAsia="Times New Roman" w:hAnsi="Century Gothic"/>
          <w:b/>
          <w:bCs/>
        </w:rPr>
      </w:pPr>
    </w:p>
    <w:p w14:paraId="52B64199" w14:textId="77777777" w:rsidR="00B73719" w:rsidRDefault="00B73719" w:rsidP="46316ACA">
      <w:pPr>
        <w:rPr>
          <w:rFonts w:ascii="Century Gothic" w:eastAsia="Times New Roman" w:hAnsi="Century Gothic"/>
          <w:b/>
          <w:bCs/>
        </w:rPr>
      </w:pPr>
    </w:p>
    <w:p w14:paraId="4426DBA2" w14:textId="77777777" w:rsidR="00B73719" w:rsidRPr="00AF0528" w:rsidRDefault="00B73719" w:rsidP="46316ACA">
      <w:pPr>
        <w:rPr>
          <w:rFonts w:ascii="Century Gothic" w:eastAsia="Times New Roman" w:hAnsi="Century Gothic"/>
          <w:b/>
          <w:bCs/>
        </w:rPr>
      </w:pPr>
    </w:p>
    <w:p w14:paraId="4DFF56DB" w14:textId="0F2541D5" w:rsidR="46316ACA" w:rsidRPr="00AF0528" w:rsidRDefault="00AB6015" w:rsidP="46316ACA">
      <w:pPr>
        <w:rPr>
          <w:rFonts w:ascii="Century Gothic" w:eastAsia="Times New Roman" w:hAnsi="Century Gothic"/>
          <w:b/>
          <w:bCs/>
        </w:rPr>
      </w:pPr>
      <w:r w:rsidRPr="00AF0528">
        <w:rPr>
          <w:rFonts w:ascii="Century Gothic" w:eastAsia="Times New Roman" w:hAnsi="Century Gothic"/>
          <w:b/>
          <w:bCs/>
        </w:rPr>
        <w:lastRenderedPageBreak/>
        <w:t>Outcomes</w:t>
      </w:r>
    </w:p>
    <w:p w14:paraId="15371D83" w14:textId="7D260457" w:rsidR="003523CC" w:rsidRPr="00AF0528" w:rsidRDefault="003523CC" w:rsidP="003523CC">
      <w:pPr>
        <w:rPr>
          <w:rFonts w:ascii="Century Gothic" w:eastAsia="Times New Roman" w:hAnsi="Century Gothic"/>
          <w:b/>
          <w:bCs/>
        </w:rPr>
      </w:pPr>
      <w:r w:rsidRPr="00AF0528">
        <w:rPr>
          <w:rFonts w:ascii="Century Gothic" w:eastAsia="Times New Roman" w:hAnsi="Century Gothic"/>
          <w:b/>
          <w:bCs/>
        </w:rPr>
        <w:t>Internal Metrics</w:t>
      </w:r>
    </w:p>
    <w:p w14:paraId="7E73D645" w14:textId="17B75AB7" w:rsidR="003523CC" w:rsidRPr="00AF0528" w:rsidRDefault="003523CC" w:rsidP="003523CC">
      <w:pPr>
        <w:rPr>
          <w:rFonts w:ascii="Century Gothic" w:eastAsia="MS PGothic" w:hAnsi="Century Gothic"/>
        </w:rPr>
      </w:pPr>
    </w:p>
    <w:p w14:paraId="24F0EFC1" w14:textId="5AD50626" w:rsidR="167B47C9" w:rsidRPr="00AF0528" w:rsidRDefault="167B47C9" w:rsidP="4566E4F4">
      <w:pPr>
        <w:rPr>
          <w:rFonts w:ascii="Century Gothic" w:eastAsia="Times New Roman" w:hAnsi="Century Gothic"/>
        </w:rPr>
      </w:pPr>
      <w:r w:rsidRPr="00AF0528">
        <w:rPr>
          <w:rFonts w:ascii="Century Gothic" w:eastAsia="Times New Roman" w:hAnsi="Century Gothic"/>
        </w:rPr>
        <w:t xml:space="preserve">360 Management Group Company </w:t>
      </w:r>
      <w:r w:rsidR="2E0C092F" w:rsidRPr="00AF0528">
        <w:rPr>
          <w:rFonts w:ascii="Century Gothic" w:eastAsia="Times New Roman" w:hAnsi="Century Gothic"/>
        </w:rPr>
        <w:t xml:space="preserve">continues to </w:t>
      </w:r>
      <w:r w:rsidRPr="00AF0528">
        <w:rPr>
          <w:rFonts w:ascii="Century Gothic" w:eastAsia="Times New Roman" w:hAnsi="Century Gothic"/>
        </w:rPr>
        <w:t xml:space="preserve">work to reduce costs and increase cost efficiency by improving operations, increasing rent collection rates, and reducing vacancy rates to align with affordable housing industry standards. </w:t>
      </w:r>
    </w:p>
    <w:p w14:paraId="116F7980" w14:textId="5B023517" w:rsidR="4566E4F4" w:rsidRPr="00AF0528" w:rsidRDefault="4566E4F4" w:rsidP="341CC84A">
      <w:pPr>
        <w:rPr>
          <w:rFonts w:ascii="Century Gothic" w:eastAsia="MS PGothic" w:hAnsi="Century Gothic"/>
        </w:rPr>
      </w:pPr>
    </w:p>
    <w:p w14:paraId="2E6569F9" w14:textId="5576CF78" w:rsidR="2A7B9AD5" w:rsidRPr="00AF0528" w:rsidRDefault="19EB29C4" w:rsidP="46316ACA">
      <w:pPr>
        <w:rPr>
          <w:rFonts w:ascii="Century Gothic" w:eastAsia="Times New Roman" w:hAnsi="Century Gothic"/>
        </w:rPr>
      </w:pPr>
      <w:r w:rsidRPr="00AF0528">
        <w:rPr>
          <w:rFonts w:ascii="Century Gothic" w:eastAsia="Times New Roman" w:hAnsi="Century Gothic"/>
        </w:rPr>
        <w:t>In FY 20</w:t>
      </w:r>
      <w:r w:rsidR="305E6C9B" w:rsidRPr="00AF0528">
        <w:rPr>
          <w:rFonts w:ascii="Century Gothic" w:eastAsia="Times New Roman" w:hAnsi="Century Gothic"/>
        </w:rPr>
        <w:t>2</w:t>
      </w:r>
      <w:r w:rsidR="76D17955" w:rsidRPr="00AF0528">
        <w:rPr>
          <w:rFonts w:ascii="Century Gothic" w:eastAsia="Times New Roman" w:hAnsi="Century Gothic"/>
        </w:rPr>
        <w:t>4</w:t>
      </w:r>
      <w:r w:rsidR="02A0D7B7" w:rsidRPr="00AF0528">
        <w:rPr>
          <w:rFonts w:ascii="Century Gothic" w:eastAsia="Times New Roman" w:hAnsi="Century Gothic"/>
        </w:rPr>
        <w:t xml:space="preserve"> 360 Management achieved the following performance metric</w:t>
      </w:r>
      <w:r w:rsidR="1F0CD4AA" w:rsidRPr="00AF0528">
        <w:rPr>
          <w:rFonts w:ascii="Century Gothic" w:eastAsia="Times New Roman" w:hAnsi="Century Gothic"/>
        </w:rPr>
        <w:t>s.</w:t>
      </w:r>
    </w:p>
    <w:p w14:paraId="7057DCA6" w14:textId="0836A8A5" w:rsidR="46CA3759" w:rsidRPr="00AF0528" w:rsidRDefault="5E3F4225" w:rsidP="00486062">
      <w:pPr>
        <w:pStyle w:val="ListParagraph"/>
        <w:numPr>
          <w:ilvl w:val="0"/>
          <w:numId w:val="84"/>
        </w:numPr>
        <w:rPr>
          <w:rFonts w:ascii="Century Gothic" w:eastAsia="Times New Roman" w:hAnsi="Century Gothic"/>
        </w:rPr>
      </w:pPr>
      <w:r w:rsidRPr="00AF0528">
        <w:rPr>
          <w:rFonts w:ascii="Century Gothic" w:eastAsia="Times New Roman" w:hAnsi="Century Gothic"/>
        </w:rPr>
        <w:t>Rent collection rate</w:t>
      </w:r>
      <w:r w:rsidR="71775D7F" w:rsidRPr="00AF0528">
        <w:rPr>
          <w:rFonts w:ascii="Century Gothic" w:eastAsia="Times New Roman" w:hAnsi="Century Gothic"/>
        </w:rPr>
        <w:t xml:space="preserve"> </w:t>
      </w:r>
      <w:r w:rsidR="212690EB" w:rsidRPr="00AF0528">
        <w:rPr>
          <w:rFonts w:ascii="Century Gothic" w:eastAsia="Times New Roman" w:hAnsi="Century Gothic"/>
        </w:rPr>
        <w:t xml:space="preserve">– </w:t>
      </w:r>
      <w:r w:rsidR="10D75322" w:rsidRPr="00AF0528">
        <w:rPr>
          <w:rFonts w:ascii="Century Gothic" w:eastAsia="Times New Roman" w:hAnsi="Century Gothic"/>
        </w:rPr>
        <w:t>7</w:t>
      </w:r>
      <w:r w:rsidR="5DCA352D" w:rsidRPr="00AF0528">
        <w:rPr>
          <w:rFonts w:ascii="Century Gothic" w:eastAsia="Times New Roman" w:hAnsi="Century Gothic"/>
        </w:rPr>
        <w:t>9</w:t>
      </w:r>
      <w:r w:rsidR="212690EB" w:rsidRPr="00AF0528">
        <w:rPr>
          <w:rFonts w:ascii="Century Gothic" w:eastAsia="Times New Roman" w:hAnsi="Century Gothic"/>
        </w:rPr>
        <w:t xml:space="preserve"> </w:t>
      </w:r>
      <w:r w:rsidR="10D75322" w:rsidRPr="00AF0528">
        <w:rPr>
          <w:rFonts w:ascii="Century Gothic" w:eastAsia="Times New Roman" w:hAnsi="Century Gothic"/>
        </w:rPr>
        <w:t>%</w:t>
      </w:r>
    </w:p>
    <w:p w14:paraId="46F7C7BE" w14:textId="0DBF7221" w:rsidR="650823D0" w:rsidRPr="00AF0528" w:rsidRDefault="650823D0" w:rsidP="00486062">
      <w:pPr>
        <w:pStyle w:val="ListParagraph"/>
        <w:numPr>
          <w:ilvl w:val="0"/>
          <w:numId w:val="84"/>
        </w:numPr>
        <w:rPr>
          <w:rFonts w:ascii="Century Gothic" w:eastAsia="Times New Roman" w:hAnsi="Century Gothic"/>
        </w:rPr>
      </w:pPr>
      <w:r w:rsidRPr="00AF0528">
        <w:rPr>
          <w:rFonts w:ascii="Century Gothic" w:eastAsia="Times New Roman" w:hAnsi="Century Gothic"/>
        </w:rPr>
        <w:t>Certification Rate –</w:t>
      </w:r>
      <w:r w:rsidR="1E123927" w:rsidRPr="00AF0528">
        <w:rPr>
          <w:rFonts w:ascii="Century Gothic" w:eastAsia="Times New Roman" w:hAnsi="Century Gothic"/>
        </w:rPr>
        <w:t xml:space="preserve"> </w:t>
      </w:r>
      <w:r w:rsidR="71A7FC14" w:rsidRPr="00AF0528">
        <w:rPr>
          <w:rFonts w:ascii="Century Gothic" w:eastAsia="Times New Roman" w:hAnsi="Century Gothic"/>
        </w:rPr>
        <w:t>68</w:t>
      </w:r>
      <w:r w:rsidR="2F5551FF" w:rsidRPr="00AF0528">
        <w:rPr>
          <w:rFonts w:ascii="Century Gothic" w:eastAsia="Times New Roman" w:hAnsi="Century Gothic"/>
        </w:rPr>
        <w:t>%</w:t>
      </w:r>
    </w:p>
    <w:p w14:paraId="0E30426E" w14:textId="08370323" w:rsidR="0B4D16E8" w:rsidRPr="00AF0528" w:rsidRDefault="0B4D16E8" w:rsidP="00486062">
      <w:pPr>
        <w:pStyle w:val="ListParagraph"/>
        <w:numPr>
          <w:ilvl w:val="0"/>
          <w:numId w:val="84"/>
        </w:numPr>
        <w:rPr>
          <w:rFonts w:ascii="Century Gothic" w:eastAsia="Times New Roman" w:hAnsi="Century Gothic"/>
        </w:rPr>
      </w:pPr>
      <w:r w:rsidRPr="00AF0528">
        <w:rPr>
          <w:rFonts w:ascii="Century Gothic" w:eastAsia="Times New Roman" w:hAnsi="Century Gothic"/>
        </w:rPr>
        <w:t xml:space="preserve">Occupancy Rate </w:t>
      </w:r>
      <w:r w:rsidR="00E978D5" w:rsidRPr="00AF0528">
        <w:rPr>
          <w:rFonts w:ascii="Century Gothic" w:eastAsia="Times New Roman" w:hAnsi="Century Gothic"/>
        </w:rPr>
        <w:t>– 9</w:t>
      </w:r>
      <w:r w:rsidR="085F31B2" w:rsidRPr="00AF0528">
        <w:rPr>
          <w:rFonts w:ascii="Century Gothic" w:eastAsia="Times New Roman" w:hAnsi="Century Gothic"/>
        </w:rPr>
        <w:t>1</w:t>
      </w:r>
      <w:r w:rsidR="0A8EBC18" w:rsidRPr="00AF0528">
        <w:rPr>
          <w:rFonts w:ascii="Century Gothic" w:eastAsia="Times New Roman" w:hAnsi="Century Gothic"/>
        </w:rPr>
        <w:t>%</w:t>
      </w:r>
    </w:p>
    <w:p w14:paraId="29BF3649" w14:textId="14275019" w:rsidR="003E02A7" w:rsidRPr="00AF0528" w:rsidRDefault="17D8F901" w:rsidP="00486062">
      <w:pPr>
        <w:pStyle w:val="ListParagraph"/>
        <w:numPr>
          <w:ilvl w:val="0"/>
          <w:numId w:val="84"/>
        </w:numPr>
        <w:rPr>
          <w:rFonts w:ascii="Century Gothic" w:eastAsia="Times New Roman" w:hAnsi="Century Gothic"/>
        </w:rPr>
      </w:pPr>
      <w:r w:rsidRPr="00AF0528">
        <w:rPr>
          <w:rFonts w:ascii="Century Gothic" w:eastAsia="Times New Roman" w:hAnsi="Century Gothic"/>
        </w:rPr>
        <w:t xml:space="preserve">Work Orders – </w:t>
      </w:r>
      <w:r w:rsidR="260B288D" w:rsidRPr="00AF0528">
        <w:rPr>
          <w:rFonts w:ascii="Century Gothic" w:eastAsia="Times New Roman" w:hAnsi="Century Gothic"/>
        </w:rPr>
        <w:t>100</w:t>
      </w:r>
      <w:r w:rsidR="36323782" w:rsidRPr="00AF0528">
        <w:rPr>
          <w:rFonts w:ascii="Century Gothic" w:eastAsia="Times New Roman" w:hAnsi="Century Gothic"/>
        </w:rPr>
        <w:t>%</w:t>
      </w:r>
    </w:p>
    <w:p w14:paraId="42C00570" w14:textId="64B8A53F" w:rsidR="4566E4F4" w:rsidRPr="00AF0528" w:rsidRDefault="4566E4F4" w:rsidP="4566E4F4">
      <w:pPr>
        <w:rPr>
          <w:rFonts w:ascii="Century Gothic" w:eastAsia="MS PGothic" w:hAnsi="Century Gothic"/>
          <w:szCs w:val="22"/>
        </w:rPr>
      </w:pPr>
    </w:p>
    <w:p w14:paraId="2C8F7336" w14:textId="77777777" w:rsidR="1A0472F7" w:rsidRPr="00AF0528" w:rsidRDefault="3B7E646A" w:rsidP="52E98CF8">
      <w:pPr>
        <w:pStyle w:val="Heading4"/>
        <w:rPr>
          <w:rStyle w:val="SubtleEmphasis"/>
          <w:rFonts w:ascii="Century Gothic" w:hAnsi="Century Gothic" w:cs="Times New Roman"/>
          <w:color w:val="808080" w:themeColor="background1" w:themeShade="80"/>
          <w:sz w:val="22"/>
        </w:rPr>
      </w:pPr>
      <w:r w:rsidRPr="00AF0528">
        <w:rPr>
          <w:rStyle w:val="SubtleEmphasis"/>
          <w:rFonts w:ascii="Century Gothic" w:hAnsi="Century Gothic" w:cs="Times New Roman"/>
          <w:color w:val="808080" w:themeColor="background1" w:themeShade="80"/>
          <w:sz w:val="22"/>
        </w:rPr>
        <w:t>Actual Non-Significant Changes</w:t>
      </w:r>
    </w:p>
    <w:p w14:paraId="15973E3D" w14:textId="48C41680" w:rsidR="1A0472F7" w:rsidRPr="00AF0528" w:rsidRDefault="3B7E646A" w:rsidP="52E98CF8">
      <w:pPr>
        <w:rPr>
          <w:rFonts w:ascii="Century Gothic" w:hAnsi="Century Gothic"/>
          <w:sz w:val="24"/>
        </w:rPr>
      </w:pPr>
      <w:r w:rsidRPr="00AF0528">
        <w:rPr>
          <w:rFonts w:ascii="Century Gothic" w:hAnsi="Century Gothic"/>
          <w:sz w:val="24"/>
        </w:rPr>
        <w:t>None</w:t>
      </w:r>
    </w:p>
    <w:p w14:paraId="733336E2" w14:textId="77777777" w:rsidR="1A0472F7" w:rsidRPr="00AF0528" w:rsidRDefault="1A0472F7" w:rsidP="52E98CF8">
      <w:pPr>
        <w:rPr>
          <w:rFonts w:ascii="Century Gothic" w:hAnsi="Century Gothic"/>
          <w:sz w:val="24"/>
        </w:rPr>
      </w:pPr>
    </w:p>
    <w:p w14:paraId="040A0E02" w14:textId="77777777" w:rsidR="1A0472F7" w:rsidRPr="00AF0528" w:rsidRDefault="3B7E646A" w:rsidP="52E98CF8">
      <w:pPr>
        <w:rPr>
          <w:rStyle w:val="SubtleEmphasis"/>
          <w:rFonts w:ascii="Century Gothic" w:eastAsiaTheme="majorEastAsia" w:hAnsi="Century Gothic"/>
          <w:b/>
          <w:bCs/>
          <w:color w:val="808080" w:themeColor="background1" w:themeShade="80"/>
          <w:sz w:val="22"/>
          <w:szCs w:val="22"/>
        </w:rPr>
      </w:pPr>
      <w:r w:rsidRPr="00AF0528">
        <w:rPr>
          <w:rStyle w:val="SubtleEmphasis"/>
          <w:rFonts w:ascii="Century Gothic" w:eastAsiaTheme="majorEastAsia" w:hAnsi="Century Gothic"/>
          <w:b/>
          <w:bCs/>
          <w:color w:val="808080" w:themeColor="background1" w:themeShade="80"/>
          <w:sz w:val="22"/>
          <w:szCs w:val="22"/>
        </w:rPr>
        <w:t>Actual Significant Changes</w:t>
      </w:r>
    </w:p>
    <w:p w14:paraId="2DD3A6A7" w14:textId="08CDA4FA" w:rsidR="1A0472F7" w:rsidRPr="00AF0528" w:rsidRDefault="3B7E646A" w:rsidP="52E98CF8">
      <w:pPr>
        <w:rPr>
          <w:rFonts w:ascii="Century Gothic" w:hAnsi="Century Gothic"/>
          <w:sz w:val="24"/>
        </w:rPr>
      </w:pPr>
      <w:r w:rsidRPr="00AF0528">
        <w:rPr>
          <w:rFonts w:ascii="Century Gothic" w:hAnsi="Century Gothic"/>
          <w:sz w:val="24"/>
        </w:rPr>
        <w:t>None</w:t>
      </w:r>
    </w:p>
    <w:p w14:paraId="57AD681A" w14:textId="77777777" w:rsidR="1A0472F7" w:rsidRPr="00AF0528" w:rsidRDefault="1A0472F7" w:rsidP="52E98CF8">
      <w:pPr>
        <w:rPr>
          <w:rFonts w:ascii="Century Gothic" w:hAnsi="Century Gothic"/>
          <w:sz w:val="24"/>
        </w:rPr>
      </w:pPr>
    </w:p>
    <w:p w14:paraId="73EECC7D" w14:textId="3D0E0DB2" w:rsidR="46316ACA" w:rsidRPr="00AF0528" w:rsidRDefault="46316ACA" w:rsidP="46316ACA">
      <w:pPr>
        <w:rPr>
          <w:rFonts w:ascii="Century Gothic" w:eastAsia="Times New Roman" w:hAnsi="Century Gothic"/>
        </w:rPr>
      </w:pPr>
    </w:p>
    <w:p w14:paraId="6A902EF8" w14:textId="3A9F07E1" w:rsidR="1C28A9AA" w:rsidRPr="00A400ED" w:rsidRDefault="05C9F20B" w:rsidP="492303B8">
      <w:pPr>
        <w:pStyle w:val="NormalWeb"/>
        <w:rPr>
          <w:rFonts w:ascii="Century Gothic" w:hAnsi="Century Gothic"/>
          <w:b/>
          <w:bCs/>
          <w:sz w:val="22"/>
          <w:szCs w:val="22"/>
          <w:u w:val="single"/>
        </w:rPr>
      </w:pPr>
      <w:r w:rsidRPr="00AF0528">
        <w:rPr>
          <w:rFonts w:ascii="Century Gothic" w:hAnsi="Century Gothic"/>
          <w:b/>
          <w:bCs/>
          <w:sz w:val="22"/>
          <w:szCs w:val="22"/>
          <w:u w:val="single"/>
        </w:rPr>
        <w:t>The Formation of a Resident Services Instrumentality</w:t>
      </w:r>
    </w:p>
    <w:p w14:paraId="0A9E6B63" w14:textId="77777777" w:rsidR="006D6C2E" w:rsidRPr="00A400ED" w:rsidRDefault="006D6C2E" w:rsidP="006D6C2E">
      <w:pPr>
        <w:rPr>
          <w:rFonts w:ascii="Century Gothic" w:eastAsia="Times New Roman" w:hAnsi="Century Gothic"/>
          <w:b/>
          <w:bCs/>
        </w:rPr>
      </w:pPr>
      <w:r w:rsidRPr="00A400ED">
        <w:rPr>
          <w:rFonts w:ascii="Century Gothic" w:eastAsia="Times New Roman" w:hAnsi="Century Gothic"/>
          <w:b/>
          <w:bCs/>
        </w:rPr>
        <w:t>Description</w:t>
      </w:r>
    </w:p>
    <w:p w14:paraId="47E07A1A" w14:textId="7C14F23C" w:rsidR="1C28A9AA" w:rsidRPr="00A400ED" w:rsidRDefault="00DD664F" w:rsidP="492303B8">
      <w:pPr>
        <w:pStyle w:val="NormalWeb"/>
        <w:jc w:val="both"/>
        <w:rPr>
          <w:rFonts w:ascii="Century Gothic" w:hAnsi="Century Gothic"/>
          <w:sz w:val="22"/>
          <w:szCs w:val="22"/>
        </w:rPr>
      </w:pPr>
      <w:r w:rsidRPr="00A400ED">
        <w:rPr>
          <w:rFonts w:ascii="Century Gothic" w:hAnsi="Century Gothic"/>
          <w:sz w:val="22"/>
          <w:szCs w:val="22"/>
        </w:rPr>
        <w:t xml:space="preserve">ECC/HANH is </w:t>
      </w:r>
      <w:r w:rsidR="7F98D2FD" w:rsidRPr="00A400ED">
        <w:rPr>
          <w:rFonts w:ascii="Century Gothic" w:hAnsi="Century Gothic"/>
          <w:sz w:val="22"/>
          <w:szCs w:val="22"/>
        </w:rPr>
        <w:t>exploring the creation of a</w:t>
      </w:r>
      <w:r w:rsidRPr="00A400ED">
        <w:rPr>
          <w:rFonts w:ascii="Century Gothic" w:hAnsi="Century Gothic"/>
          <w:sz w:val="22"/>
          <w:szCs w:val="22"/>
        </w:rPr>
        <w:t xml:space="preserve"> resident services </w:t>
      </w:r>
      <w:r w:rsidR="55A3AB93" w:rsidRPr="00A400ED">
        <w:rPr>
          <w:rFonts w:ascii="Century Gothic" w:hAnsi="Century Gothic"/>
          <w:sz w:val="22"/>
          <w:szCs w:val="22"/>
        </w:rPr>
        <w:t>entity</w:t>
      </w:r>
      <w:r w:rsidRPr="00A400ED">
        <w:rPr>
          <w:rFonts w:ascii="Century Gothic" w:hAnsi="Century Gothic"/>
          <w:sz w:val="22"/>
          <w:szCs w:val="22"/>
        </w:rPr>
        <w:t xml:space="preserve"> </w:t>
      </w:r>
      <w:r w:rsidR="4C89E46F" w:rsidRPr="00A400ED">
        <w:rPr>
          <w:rFonts w:ascii="Century Gothic" w:hAnsi="Century Gothic"/>
          <w:sz w:val="22"/>
          <w:szCs w:val="22"/>
        </w:rPr>
        <w:t xml:space="preserve">to provide services to </w:t>
      </w:r>
      <w:r w:rsidRPr="00A400ED">
        <w:rPr>
          <w:rFonts w:ascii="Century Gothic" w:hAnsi="Century Gothic"/>
          <w:sz w:val="22"/>
          <w:szCs w:val="22"/>
        </w:rPr>
        <w:t xml:space="preserve">families with children whose heads of household are working, seeking work, or are participating in job training or other programming that assists in obtaining employment and becoming economically self-sufficient. Currently these services are coordinated by ECC/HANH’s Community and Economic Development division that provides educational and workforce training, job placement, after-school youth and teen programs, mentoring, youth employment – all to link community resources to the families to achieve health and wellness, and ﬁnancial literacy. In addition, ECC/HANH strives to connect Elderly/Disabled residents to resources and supportive services, in the areas of health and wellness, financial literacy, education and socialization to ensure residents remain independently housed, and achieve maximum quality of life through the provision of a variety of supportive care services. Resident services are also integral to improving the performance of ECC/HANH’s public housing and affordable housing properties by reducing turnover, evictions, and preserving vibrant and well-maintained communities. </w:t>
      </w:r>
    </w:p>
    <w:p w14:paraId="41C16417" w14:textId="7945012F" w:rsidR="1C28A9AA" w:rsidRPr="00A400ED" w:rsidRDefault="00DD664F" w:rsidP="492303B8">
      <w:pPr>
        <w:pStyle w:val="NormalWeb"/>
        <w:jc w:val="both"/>
        <w:rPr>
          <w:rFonts w:ascii="Century Gothic" w:hAnsi="Century Gothic"/>
          <w:sz w:val="22"/>
          <w:szCs w:val="22"/>
        </w:rPr>
      </w:pPr>
      <w:r w:rsidRPr="00A400ED">
        <w:rPr>
          <w:rFonts w:ascii="Century Gothic" w:hAnsi="Century Gothic"/>
          <w:sz w:val="22"/>
          <w:szCs w:val="22"/>
        </w:rPr>
        <w:t xml:space="preserve">In accordance with Strategic Plan 2016-18, ECC/HANH MTW 2020 goal </w:t>
      </w:r>
      <w:r w:rsidR="267E3B68" w:rsidRPr="00A400ED">
        <w:rPr>
          <w:rFonts w:ascii="Century Gothic" w:hAnsi="Century Gothic"/>
          <w:sz w:val="22"/>
          <w:szCs w:val="22"/>
        </w:rPr>
        <w:t xml:space="preserve">was </w:t>
      </w:r>
      <w:r w:rsidRPr="00A400ED">
        <w:rPr>
          <w:rFonts w:ascii="Century Gothic" w:hAnsi="Century Gothic"/>
          <w:sz w:val="22"/>
          <w:szCs w:val="22"/>
        </w:rPr>
        <w:t>to establish a nonprofit 501(c)3 Resident Services instrumentality. The purpose of the instrumentality is to create a social services affiliate organization dedicated to supporting and serving low-income residents of New Haven and surrounding communities, particularly those living in Elm City Communities’ affordable housing communities. This organization will provide services to residents directly and will coordinate activities with other community-based partners.</w:t>
      </w:r>
    </w:p>
    <w:p w14:paraId="5C594840" w14:textId="2DEAAAB7" w:rsidR="1C28A9AA" w:rsidRPr="00A400ED" w:rsidRDefault="3939115B" w:rsidP="492303B8">
      <w:pPr>
        <w:pStyle w:val="NormalWeb"/>
        <w:jc w:val="both"/>
        <w:rPr>
          <w:rFonts w:ascii="Century Gothic" w:hAnsi="Century Gothic"/>
          <w:sz w:val="22"/>
          <w:szCs w:val="22"/>
        </w:rPr>
      </w:pPr>
      <w:r w:rsidRPr="00A400ED">
        <w:rPr>
          <w:rFonts w:ascii="Century Gothic" w:hAnsi="Century Gothic"/>
          <w:sz w:val="22"/>
          <w:szCs w:val="22"/>
        </w:rPr>
        <w:t xml:space="preserve">A primary purpose of establishing a Resident Services instrumentality is to pursue revenue-generating opportunities that may not be available to a public housing authority. Using federal MTW funds, ECC/HANH currently supports a wide range of services for residents. However, </w:t>
      </w:r>
      <w:proofErr w:type="gramStart"/>
      <w:r w:rsidRPr="00A400ED">
        <w:rPr>
          <w:rFonts w:ascii="Century Gothic" w:hAnsi="Century Gothic"/>
          <w:sz w:val="22"/>
          <w:szCs w:val="22"/>
        </w:rPr>
        <w:t>in light of</w:t>
      </w:r>
      <w:proofErr w:type="gramEnd"/>
      <w:r w:rsidRPr="00A400ED">
        <w:rPr>
          <w:rFonts w:ascii="Century Gothic" w:hAnsi="Century Gothic"/>
          <w:sz w:val="22"/>
          <w:szCs w:val="22"/>
        </w:rPr>
        <w:t xml:space="preserve"> changes or </w:t>
      </w:r>
      <w:r w:rsidRPr="00A400ED">
        <w:rPr>
          <w:rFonts w:ascii="Century Gothic" w:hAnsi="Century Gothic"/>
          <w:sz w:val="22"/>
          <w:szCs w:val="22"/>
        </w:rPr>
        <w:lastRenderedPageBreak/>
        <w:t xml:space="preserve">the expansion of ECC/HANH ‘s MTW funded initiatives, continued funding for resident services will be limited.  The Strategic plan anticipates that the Resident Services instrumentality will ultimately secure funding through non-MTW funds to support at least 50% of residents’ services currently funded MTW sources. </w:t>
      </w:r>
    </w:p>
    <w:p w14:paraId="02DD14CC" w14:textId="35DC4DB3" w:rsidR="006D6C2E" w:rsidRPr="00A400ED" w:rsidRDefault="006D6C2E" w:rsidP="006D6C2E">
      <w:pPr>
        <w:rPr>
          <w:rFonts w:ascii="Century Gothic" w:eastAsia="Times New Roman" w:hAnsi="Century Gothic"/>
          <w:b/>
          <w:bCs/>
        </w:rPr>
      </w:pPr>
      <w:r w:rsidRPr="00A400ED">
        <w:rPr>
          <w:rFonts w:ascii="Century Gothic" w:eastAsia="Times New Roman" w:hAnsi="Century Gothic"/>
          <w:b/>
          <w:bCs/>
        </w:rPr>
        <w:t>Impact</w:t>
      </w:r>
    </w:p>
    <w:p w14:paraId="3D9584CC" w14:textId="77777777" w:rsidR="006D6C2E" w:rsidRPr="00A400ED" w:rsidRDefault="006D6C2E" w:rsidP="006D6C2E">
      <w:pPr>
        <w:rPr>
          <w:rFonts w:ascii="Century Gothic" w:eastAsia="Times New Roman" w:hAnsi="Century Gothic"/>
          <w:b/>
          <w:bCs/>
        </w:rPr>
      </w:pPr>
    </w:p>
    <w:p w14:paraId="324CFD91" w14:textId="6D2C334C" w:rsidR="3FAD624A" w:rsidRPr="00A400ED" w:rsidRDefault="5E35F03F" w:rsidP="4566E4F4">
      <w:pPr>
        <w:rPr>
          <w:rFonts w:ascii="Century Gothic" w:eastAsia="MS PGothic" w:hAnsi="Century Gothic"/>
          <w:szCs w:val="22"/>
        </w:rPr>
      </w:pPr>
      <w:r w:rsidRPr="00A400ED">
        <w:rPr>
          <w:rFonts w:ascii="Century Gothic" w:hAnsi="Century Gothic"/>
        </w:rPr>
        <w:t>The</w:t>
      </w:r>
      <w:r w:rsidR="740B90A6" w:rsidRPr="00A400ED">
        <w:rPr>
          <w:rFonts w:ascii="Century Gothic" w:hAnsi="Century Gothic"/>
        </w:rPr>
        <w:t xml:space="preserve"> proposed needs assessment and the </w:t>
      </w:r>
      <w:r w:rsidRPr="00A400ED">
        <w:rPr>
          <w:rFonts w:ascii="Century Gothic" w:hAnsi="Century Gothic"/>
        </w:rPr>
        <w:t xml:space="preserve">creation of a legal entity </w:t>
      </w:r>
      <w:r w:rsidR="6937F2D2" w:rsidRPr="00A400ED">
        <w:rPr>
          <w:rFonts w:ascii="Century Gothic" w:hAnsi="Century Gothic"/>
        </w:rPr>
        <w:t>are</w:t>
      </w:r>
      <w:r w:rsidRPr="00A400ED">
        <w:rPr>
          <w:rFonts w:ascii="Century Gothic" w:hAnsi="Century Gothic"/>
        </w:rPr>
        <w:t xml:space="preserve"> postponed.  </w:t>
      </w:r>
    </w:p>
    <w:p w14:paraId="23B386C8" w14:textId="794DBCAD" w:rsidR="3FAD624A" w:rsidRPr="00A400ED" w:rsidRDefault="485B76F0" w:rsidP="4566E4F4">
      <w:pPr>
        <w:rPr>
          <w:rFonts w:ascii="Century Gothic" w:eastAsia="Calibri" w:hAnsi="Century Gothic" w:cs="Calibri"/>
        </w:rPr>
      </w:pPr>
      <w:r w:rsidRPr="00A400ED">
        <w:rPr>
          <w:rFonts w:ascii="Century Gothic" w:eastAsia="Calibri" w:hAnsi="Century Gothic" w:cs="Calibri"/>
        </w:rPr>
        <w:t xml:space="preserve"> </w:t>
      </w:r>
    </w:p>
    <w:p w14:paraId="614DA386" w14:textId="27672B12" w:rsidR="006D6C2E" w:rsidRPr="00A400ED" w:rsidRDefault="006D6C2E" w:rsidP="006D6C2E">
      <w:pPr>
        <w:rPr>
          <w:rFonts w:ascii="Century Gothic" w:eastAsia="Times New Roman" w:hAnsi="Century Gothic"/>
          <w:b/>
          <w:bCs/>
        </w:rPr>
      </w:pPr>
      <w:r w:rsidRPr="00A400ED">
        <w:rPr>
          <w:rFonts w:ascii="Century Gothic" w:eastAsia="Times New Roman" w:hAnsi="Century Gothic"/>
          <w:b/>
          <w:bCs/>
        </w:rPr>
        <w:t>Outcomes</w:t>
      </w:r>
    </w:p>
    <w:p w14:paraId="57C4AE0A" w14:textId="38396B36" w:rsidR="006D6C2E" w:rsidRPr="00A400ED" w:rsidRDefault="006D6C2E" w:rsidP="006D6C2E">
      <w:pPr>
        <w:rPr>
          <w:rFonts w:ascii="Century Gothic" w:eastAsia="Times New Roman" w:hAnsi="Century Gothic"/>
        </w:rPr>
      </w:pPr>
      <w:r w:rsidRPr="00A400ED">
        <w:rPr>
          <w:rFonts w:ascii="Century Gothic" w:eastAsia="Times New Roman" w:hAnsi="Century Gothic"/>
        </w:rPr>
        <w:t>No outcomes</w:t>
      </w:r>
    </w:p>
    <w:p w14:paraId="17B6F32A" w14:textId="77777777" w:rsidR="006D6C2E" w:rsidRPr="00A400ED" w:rsidRDefault="006D6C2E" w:rsidP="4566E4F4">
      <w:pPr>
        <w:rPr>
          <w:rFonts w:ascii="Century Gothic" w:eastAsia="MS PGothic" w:hAnsi="Century Gothic"/>
          <w:szCs w:val="22"/>
        </w:rPr>
      </w:pPr>
    </w:p>
    <w:p w14:paraId="618164FB" w14:textId="5AE1F3CC" w:rsidR="255DB681" w:rsidRPr="00A400ED" w:rsidRDefault="105C038F" w:rsidP="6B711D13">
      <w:pPr>
        <w:jc w:val="both"/>
        <w:rPr>
          <w:rFonts w:ascii="Century Gothic" w:eastAsia="Times New Roman" w:hAnsi="Century Gothic"/>
          <w:b/>
        </w:rPr>
      </w:pPr>
      <w:r w:rsidRPr="00A400ED">
        <w:rPr>
          <w:rFonts w:ascii="Century Gothic" w:eastAsia="Times New Roman" w:hAnsi="Century Gothic"/>
          <w:b/>
          <w:bCs/>
        </w:rPr>
        <w:t>Actual</w:t>
      </w:r>
      <w:r w:rsidR="255DB681" w:rsidRPr="00A400ED">
        <w:rPr>
          <w:rFonts w:ascii="Century Gothic" w:eastAsia="Times New Roman" w:hAnsi="Century Gothic"/>
          <w:b/>
        </w:rPr>
        <w:t xml:space="preserve"> Non-Significant Changes</w:t>
      </w:r>
    </w:p>
    <w:p w14:paraId="11698D26" w14:textId="4649D3A9" w:rsidR="3D50E84B" w:rsidRPr="00A400ED" w:rsidRDefault="356CCABD" w:rsidP="63BCA267">
      <w:pPr>
        <w:jc w:val="both"/>
        <w:rPr>
          <w:rFonts w:ascii="Century Gothic" w:eastAsia="Times New Roman" w:hAnsi="Century Gothic"/>
        </w:rPr>
      </w:pPr>
      <w:r w:rsidRPr="00A400ED">
        <w:rPr>
          <w:rFonts w:ascii="Century Gothic" w:eastAsia="Times New Roman" w:hAnsi="Century Gothic"/>
        </w:rPr>
        <w:t>T</w:t>
      </w:r>
      <w:r w:rsidR="243C8203" w:rsidRPr="00A400ED">
        <w:rPr>
          <w:rFonts w:ascii="Century Gothic" w:eastAsia="Times New Roman" w:hAnsi="Century Gothic"/>
        </w:rPr>
        <w:t xml:space="preserve">he MTW 2022 goal </w:t>
      </w:r>
      <w:r w:rsidR="3EB5F9AD" w:rsidRPr="00A400ED">
        <w:rPr>
          <w:rFonts w:ascii="Century Gothic" w:eastAsia="Times New Roman" w:hAnsi="Century Gothic"/>
        </w:rPr>
        <w:t>was</w:t>
      </w:r>
      <w:r w:rsidR="243C8203" w:rsidRPr="00A400ED">
        <w:rPr>
          <w:rFonts w:ascii="Century Gothic" w:eastAsia="Times New Roman" w:hAnsi="Century Gothic"/>
        </w:rPr>
        <w:t xml:space="preserve"> to complete a due diligence process, which </w:t>
      </w:r>
      <w:r w:rsidR="3552C49D" w:rsidRPr="00A400ED">
        <w:rPr>
          <w:rFonts w:ascii="Century Gothic" w:eastAsia="Times New Roman" w:hAnsi="Century Gothic"/>
        </w:rPr>
        <w:t>would</w:t>
      </w:r>
      <w:r w:rsidR="243C8203" w:rsidRPr="00A400ED">
        <w:rPr>
          <w:rFonts w:ascii="Century Gothic" w:eastAsia="Times New Roman" w:hAnsi="Century Gothic"/>
        </w:rPr>
        <w:t xml:space="preserve"> include details about the need for the instrumentality's services (a needs assessment</w:t>
      </w:r>
      <w:r w:rsidR="3405562D" w:rsidRPr="00A400ED">
        <w:rPr>
          <w:rFonts w:ascii="Century Gothic" w:eastAsia="Times New Roman" w:hAnsi="Century Gothic"/>
        </w:rPr>
        <w:t>), the</w:t>
      </w:r>
      <w:r w:rsidR="243C8203" w:rsidRPr="00A400ED">
        <w:rPr>
          <w:rFonts w:ascii="Century Gothic" w:eastAsia="Times New Roman" w:hAnsi="Century Gothic"/>
        </w:rPr>
        <w:t xml:space="preserve"> likelihood that certain funding will be available (a feasibility study), and (competitive analysis) describing what other entities may be providing similar services in the instrumentality’s service and mission areas. Upon completion </w:t>
      </w:r>
      <w:r w:rsidR="7858AB48" w:rsidRPr="00A400ED">
        <w:rPr>
          <w:rFonts w:ascii="Century Gothic" w:eastAsia="Times New Roman" w:hAnsi="Century Gothic"/>
        </w:rPr>
        <w:t xml:space="preserve">of </w:t>
      </w:r>
      <w:r w:rsidR="243C8203" w:rsidRPr="00A400ED">
        <w:rPr>
          <w:rFonts w:ascii="Century Gothic" w:eastAsia="Times New Roman" w:hAnsi="Century Gothic"/>
        </w:rPr>
        <w:t xml:space="preserve">the due diligence process, </w:t>
      </w:r>
      <w:r w:rsidR="089C51E7" w:rsidRPr="00A400ED">
        <w:rPr>
          <w:rFonts w:ascii="Century Gothic" w:eastAsia="Times New Roman" w:hAnsi="Century Gothic"/>
        </w:rPr>
        <w:t>it would inform ECC</w:t>
      </w:r>
      <w:r w:rsidR="4688C2A9" w:rsidRPr="00A400ED">
        <w:rPr>
          <w:rFonts w:ascii="Century Gothic" w:eastAsia="Times New Roman" w:hAnsi="Century Gothic"/>
        </w:rPr>
        <w:t>/HANH</w:t>
      </w:r>
      <w:r w:rsidR="089C51E7" w:rsidRPr="00A400ED">
        <w:rPr>
          <w:rFonts w:ascii="Century Gothic" w:eastAsia="Times New Roman" w:hAnsi="Century Gothic"/>
        </w:rPr>
        <w:t xml:space="preserve"> </w:t>
      </w:r>
      <w:r w:rsidR="243C8203" w:rsidRPr="00A400ED">
        <w:rPr>
          <w:rFonts w:ascii="Century Gothic" w:eastAsia="Times New Roman" w:hAnsi="Century Gothic"/>
        </w:rPr>
        <w:t>to proceed or reconsider the formation of a Resident Services instrumentality.</w:t>
      </w:r>
    </w:p>
    <w:p w14:paraId="4D9E9223" w14:textId="370B1F5E" w:rsidR="63BCA267" w:rsidRPr="00A400ED" w:rsidRDefault="63BCA267" w:rsidP="63BCA267">
      <w:pPr>
        <w:jc w:val="both"/>
        <w:rPr>
          <w:rFonts w:ascii="Century Gothic" w:eastAsia="MS PGothic" w:hAnsi="Century Gothic"/>
          <w:szCs w:val="22"/>
        </w:rPr>
      </w:pPr>
    </w:p>
    <w:p w14:paraId="3DB1629A" w14:textId="798906FE" w:rsidR="53CD097B" w:rsidRPr="00A400ED" w:rsidRDefault="11B6DFC9" w:rsidP="003F0D12">
      <w:pPr>
        <w:jc w:val="both"/>
        <w:rPr>
          <w:rFonts w:ascii="Century Gothic" w:eastAsia="Times New Roman" w:hAnsi="Century Gothic"/>
        </w:rPr>
      </w:pPr>
      <w:r w:rsidRPr="00A400ED">
        <w:rPr>
          <w:rFonts w:ascii="Century Gothic" w:eastAsia="Times New Roman" w:hAnsi="Century Gothic"/>
        </w:rPr>
        <w:t xml:space="preserve">This process has not been started and is </w:t>
      </w:r>
      <w:r w:rsidR="0083773E">
        <w:rPr>
          <w:rFonts w:ascii="Century Gothic" w:eastAsia="Times New Roman" w:hAnsi="Century Gothic"/>
        </w:rPr>
        <w:t xml:space="preserve">currently </w:t>
      </w:r>
      <w:r w:rsidRPr="00A400ED">
        <w:rPr>
          <w:rFonts w:ascii="Century Gothic" w:eastAsia="Times New Roman" w:hAnsi="Century Gothic"/>
        </w:rPr>
        <w:t>on-hold</w:t>
      </w:r>
      <w:r w:rsidR="0083773E">
        <w:rPr>
          <w:rFonts w:ascii="Century Gothic" w:eastAsia="Times New Roman" w:hAnsi="Century Gothic"/>
        </w:rPr>
        <w:t>.</w:t>
      </w:r>
    </w:p>
    <w:p w14:paraId="0E5D1DA2" w14:textId="1354A829" w:rsidR="63BCA267" w:rsidRPr="00A400ED" w:rsidRDefault="63BCA267" w:rsidP="63BCA267">
      <w:pPr>
        <w:jc w:val="both"/>
        <w:rPr>
          <w:rFonts w:ascii="Century Gothic" w:eastAsia="MS PGothic" w:hAnsi="Century Gothic"/>
          <w:szCs w:val="22"/>
        </w:rPr>
      </w:pPr>
    </w:p>
    <w:p w14:paraId="1A574A56" w14:textId="77777777" w:rsidR="52E98CF8" w:rsidRPr="00A400ED" w:rsidRDefault="52E98CF8" w:rsidP="52E98CF8">
      <w:pPr>
        <w:rPr>
          <w:rFonts w:ascii="Century Gothic" w:hAnsi="Century Gothic"/>
          <w:sz w:val="24"/>
        </w:rPr>
      </w:pPr>
    </w:p>
    <w:p w14:paraId="10AC7F49" w14:textId="77777777" w:rsidR="6822746B" w:rsidRPr="00A400ED" w:rsidRDefault="6822746B" w:rsidP="52E98CF8">
      <w:pPr>
        <w:rPr>
          <w:rStyle w:val="SubtleEmphasis"/>
          <w:rFonts w:ascii="Century Gothic" w:eastAsiaTheme="majorEastAsia" w:hAnsi="Century Gothic"/>
          <w:b/>
          <w:bCs/>
          <w:color w:val="808080" w:themeColor="background1" w:themeShade="80"/>
          <w:sz w:val="22"/>
          <w:szCs w:val="22"/>
        </w:rPr>
      </w:pPr>
      <w:r w:rsidRPr="00A400ED">
        <w:rPr>
          <w:rStyle w:val="SubtleEmphasis"/>
          <w:rFonts w:ascii="Century Gothic" w:eastAsiaTheme="majorEastAsia" w:hAnsi="Century Gothic"/>
          <w:b/>
          <w:bCs/>
          <w:color w:val="808080" w:themeColor="background1" w:themeShade="80"/>
          <w:sz w:val="22"/>
          <w:szCs w:val="22"/>
        </w:rPr>
        <w:t>Actual Significant Changes</w:t>
      </w:r>
    </w:p>
    <w:p w14:paraId="55DBB5C2" w14:textId="08CDA4FA" w:rsidR="6822746B" w:rsidRPr="00A400ED" w:rsidRDefault="6822746B" w:rsidP="52E98CF8">
      <w:pPr>
        <w:rPr>
          <w:rFonts w:ascii="Century Gothic" w:hAnsi="Century Gothic"/>
          <w:szCs w:val="22"/>
        </w:rPr>
      </w:pPr>
      <w:r w:rsidRPr="00A400ED">
        <w:rPr>
          <w:rFonts w:ascii="Century Gothic" w:hAnsi="Century Gothic"/>
          <w:szCs w:val="22"/>
        </w:rPr>
        <w:t>None</w:t>
      </w:r>
    </w:p>
    <w:p w14:paraId="6A37B2AA" w14:textId="77777777" w:rsidR="52E98CF8" w:rsidRPr="00A400ED" w:rsidRDefault="52E98CF8" w:rsidP="52E98CF8">
      <w:pPr>
        <w:rPr>
          <w:rFonts w:ascii="Century Gothic" w:hAnsi="Century Gothic"/>
          <w:iCs/>
          <w:szCs w:val="22"/>
        </w:rPr>
      </w:pPr>
    </w:p>
    <w:p w14:paraId="7BFAA478" w14:textId="0D03E462" w:rsidR="1C28A9AA" w:rsidRPr="00A400ED" w:rsidRDefault="1C28A9AA" w:rsidP="655A2699">
      <w:pPr>
        <w:pStyle w:val="Heading3"/>
        <w:rPr>
          <w:rFonts w:ascii="Century Gothic" w:hAnsi="Century Gothic" w:cs="Times New Roman"/>
          <w:i/>
          <w:iCs/>
          <w:sz w:val="22"/>
          <w:szCs w:val="22"/>
        </w:rPr>
      </w:pPr>
    </w:p>
    <w:p w14:paraId="03CDFDCC" w14:textId="77777777" w:rsidR="00301612" w:rsidRPr="00A400ED" w:rsidRDefault="00301612" w:rsidP="00301612">
      <w:pPr>
        <w:rPr>
          <w:rFonts w:ascii="Century Gothic" w:hAnsi="Century Gothic"/>
        </w:rPr>
      </w:pPr>
    </w:p>
    <w:p w14:paraId="196DB391" w14:textId="77777777" w:rsidR="00301612" w:rsidRPr="00A400ED" w:rsidRDefault="00301612" w:rsidP="00301612">
      <w:pPr>
        <w:rPr>
          <w:rFonts w:ascii="Century Gothic" w:hAnsi="Century Gothic"/>
        </w:rPr>
      </w:pPr>
    </w:p>
    <w:p w14:paraId="11924458" w14:textId="77777777" w:rsidR="00301612" w:rsidRDefault="00301612" w:rsidP="00301612">
      <w:pPr>
        <w:rPr>
          <w:rFonts w:ascii="Century Gothic" w:hAnsi="Century Gothic"/>
        </w:rPr>
      </w:pPr>
    </w:p>
    <w:p w14:paraId="085202CE" w14:textId="77777777" w:rsidR="00C117E6" w:rsidRDefault="00C117E6" w:rsidP="00301612">
      <w:pPr>
        <w:rPr>
          <w:rFonts w:ascii="Century Gothic" w:hAnsi="Century Gothic"/>
        </w:rPr>
      </w:pPr>
    </w:p>
    <w:p w14:paraId="048D3E32" w14:textId="77777777" w:rsidR="00C117E6" w:rsidRDefault="00C117E6" w:rsidP="00301612">
      <w:pPr>
        <w:rPr>
          <w:rFonts w:ascii="Century Gothic" w:hAnsi="Century Gothic"/>
        </w:rPr>
      </w:pPr>
    </w:p>
    <w:p w14:paraId="09F19CD6" w14:textId="77777777" w:rsidR="00C117E6" w:rsidRDefault="00C117E6" w:rsidP="00301612">
      <w:pPr>
        <w:rPr>
          <w:rFonts w:ascii="Century Gothic" w:hAnsi="Century Gothic"/>
        </w:rPr>
      </w:pPr>
    </w:p>
    <w:p w14:paraId="30E6B4FE" w14:textId="77777777" w:rsidR="00C117E6" w:rsidRDefault="00C117E6" w:rsidP="00301612">
      <w:pPr>
        <w:rPr>
          <w:rFonts w:ascii="Century Gothic" w:hAnsi="Century Gothic"/>
        </w:rPr>
      </w:pPr>
    </w:p>
    <w:p w14:paraId="0EDDA583" w14:textId="77777777" w:rsidR="00C117E6" w:rsidRDefault="00C117E6" w:rsidP="00301612">
      <w:pPr>
        <w:rPr>
          <w:rFonts w:ascii="Century Gothic" w:hAnsi="Century Gothic"/>
        </w:rPr>
      </w:pPr>
    </w:p>
    <w:p w14:paraId="2E8591DB" w14:textId="77777777" w:rsidR="00C117E6" w:rsidRDefault="00C117E6" w:rsidP="00301612">
      <w:pPr>
        <w:rPr>
          <w:rFonts w:ascii="Century Gothic" w:hAnsi="Century Gothic"/>
        </w:rPr>
      </w:pPr>
    </w:p>
    <w:p w14:paraId="1088DAB1" w14:textId="77777777" w:rsidR="00C117E6" w:rsidRDefault="00C117E6" w:rsidP="00301612">
      <w:pPr>
        <w:rPr>
          <w:rFonts w:ascii="Century Gothic" w:hAnsi="Century Gothic"/>
        </w:rPr>
      </w:pPr>
    </w:p>
    <w:p w14:paraId="7650D6EF" w14:textId="77777777" w:rsidR="00C117E6" w:rsidRDefault="00C117E6" w:rsidP="00301612">
      <w:pPr>
        <w:rPr>
          <w:rFonts w:ascii="Century Gothic" w:hAnsi="Century Gothic"/>
        </w:rPr>
      </w:pPr>
    </w:p>
    <w:p w14:paraId="7845D149" w14:textId="77777777" w:rsidR="00C117E6" w:rsidRDefault="00C117E6" w:rsidP="00301612">
      <w:pPr>
        <w:rPr>
          <w:rFonts w:ascii="Century Gothic" w:hAnsi="Century Gothic"/>
        </w:rPr>
      </w:pPr>
    </w:p>
    <w:p w14:paraId="6A92E8C6" w14:textId="77777777" w:rsidR="00C117E6" w:rsidRDefault="00C117E6" w:rsidP="00301612">
      <w:pPr>
        <w:rPr>
          <w:rFonts w:ascii="Century Gothic" w:hAnsi="Century Gothic"/>
        </w:rPr>
      </w:pPr>
    </w:p>
    <w:p w14:paraId="09C32DA4" w14:textId="77777777" w:rsidR="00C117E6" w:rsidRDefault="00C117E6" w:rsidP="00301612">
      <w:pPr>
        <w:rPr>
          <w:rFonts w:ascii="Century Gothic" w:hAnsi="Century Gothic"/>
        </w:rPr>
      </w:pPr>
    </w:p>
    <w:p w14:paraId="53AF80DF" w14:textId="77777777" w:rsidR="00C117E6" w:rsidRDefault="00C117E6" w:rsidP="00301612">
      <w:pPr>
        <w:rPr>
          <w:rFonts w:ascii="Century Gothic" w:hAnsi="Century Gothic"/>
        </w:rPr>
      </w:pPr>
    </w:p>
    <w:p w14:paraId="216DB934" w14:textId="77777777" w:rsidR="00C117E6" w:rsidRDefault="00C117E6" w:rsidP="00301612">
      <w:pPr>
        <w:rPr>
          <w:rFonts w:ascii="Century Gothic" w:hAnsi="Century Gothic"/>
        </w:rPr>
      </w:pPr>
    </w:p>
    <w:p w14:paraId="45E1B8F7" w14:textId="77777777" w:rsidR="00C117E6" w:rsidRDefault="00C117E6" w:rsidP="00301612">
      <w:pPr>
        <w:rPr>
          <w:rFonts w:ascii="Century Gothic" w:hAnsi="Century Gothic"/>
        </w:rPr>
      </w:pPr>
    </w:p>
    <w:p w14:paraId="2D2B1EB5" w14:textId="77777777" w:rsidR="00C117E6" w:rsidRDefault="00C117E6" w:rsidP="00301612">
      <w:pPr>
        <w:rPr>
          <w:rFonts w:ascii="Century Gothic" w:hAnsi="Century Gothic"/>
        </w:rPr>
      </w:pPr>
    </w:p>
    <w:p w14:paraId="10921617" w14:textId="77777777" w:rsidR="00C117E6" w:rsidRDefault="00C117E6" w:rsidP="00301612">
      <w:pPr>
        <w:rPr>
          <w:rFonts w:ascii="Century Gothic" w:hAnsi="Century Gothic"/>
        </w:rPr>
      </w:pPr>
    </w:p>
    <w:p w14:paraId="1E5C5E54" w14:textId="77777777" w:rsidR="00C117E6" w:rsidRDefault="00C117E6" w:rsidP="00301612">
      <w:pPr>
        <w:rPr>
          <w:rFonts w:ascii="Century Gothic" w:hAnsi="Century Gothic"/>
        </w:rPr>
      </w:pPr>
    </w:p>
    <w:p w14:paraId="5DCDF8D3" w14:textId="77777777" w:rsidR="00C117E6" w:rsidRDefault="00C117E6" w:rsidP="00301612">
      <w:pPr>
        <w:rPr>
          <w:rFonts w:ascii="Century Gothic" w:hAnsi="Century Gothic"/>
        </w:rPr>
      </w:pPr>
    </w:p>
    <w:p w14:paraId="541D757A" w14:textId="77777777" w:rsidR="00C117E6" w:rsidRDefault="00C117E6" w:rsidP="00301612">
      <w:pPr>
        <w:rPr>
          <w:rFonts w:ascii="Century Gothic" w:hAnsi="Century Gothic"/>
        </w:rPr>
      </w:pPr>
    </w:p>
    <w:p w14:paraId="169302E7" w14:textId="77777777" w:rsidR="00837AEB" w:rsidRPr="00C117E6" w:rsidRDefault="00837AEB" w:rsidP="00837AEB">
      <w:pPr>
        <w:spacing w:after="160" w:line="276" w:lineRule="auto"/>
        <w:rPr>
          <w:rFonts w:ascii="Century Gothic" w:eastAsia="MS PGothic" w:hAnsi="Century Gothic"/>
          <w:b/>
          <w:bCs/>
          <w:szCs w:val="22"/>
        </w:rPr>
      </w:pPr>
      <w:r w:rsidRPr="00C117E6">
        <w:rPr>
          <w:rFonts w:ascii="Century Gothic" w:hAnsi="Century Gothic"/>
          <w:b/>
          <w:bCs/>
        </w:rPr>
        <w:lastRenderedPageBreak/>
        <w:t>B. LOCAL ASSET MANAGEMENT PLAN</w:t>
      </w:r>
    </w:p>
    <w:p w14:paraId="20E30780" w14:textId="03F94BCE" w:rsidR="00837AEB" w:rsidRPr="00C117E6" w:rsidRDefault="00DE6A54" w:rsidP="00837AEB">
      <w:pPr>
        <w:spacing w:after="160" w:line="276" w:lineRule="auto"/>
        <w:ind w:left="360"/>
        <w:contextualSpacing/>
        <w:rPr>
          <w:rFonts w:ascii="Century Gothic" w:hAnsi="Century Gothic"/>
          <w:b/>
          <w:bCs/>
          <w:i/>
          <w:iCs/>
        </w:rPr>
      </w:pPr>
      <w:r w:rsidRPr="00C117E6">
        <w:rPr>
          <w:rFonts w:ascii="Century Gothic" w:hAnsi="Century Gothic"/>
          <w:noProof/>
        </w:rPr>
        <mc:AlternateContent>
          <mc:Choice Requires="wps">
            <w:drawing>
              <wp:anchor distT="0" distB="0" distL="114300" distR="114300" simplePos="0" relativeHeight="251658241" behindDoc="0" locked="0" layoutInCell="1" allowOverlap="1" wp14:anchorId="26C42CE5" wp14:editId="4D8BB706">
                <wp:simplePos x="0" y="0"/>
                <wp:positionH relativeFrom="column">
                  <wp:posOffset>4774565</wp:posOffset>
                </wp:positionH>
                <wp:positionV relativeFrom="paragraph">
                  <wp:posOffset>160020</wp:posOffset>
                </wp:positionV>
                <wp:extent cx="485140" cy="205105"/>
                <wp:effectExtent l="19050" t="19050" r="0" b="4445"/>
                <wp:wrapNone/>
                <wp:docPr id="4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05105"/>
                        </a:xfrm>
                        <a:prstGeom prst="rect">
                          <a:avLst/>
                        </a:prstGeom>
                        <a:solidFill>
                          <a:srgbClr val="FFFFFF"/>
                        </a:solidFill>
                        <a:ln w="28575">
                          <a:solidFill>
                            <a:srgbClr val="000000"/>
                          </a:solidFill>
                          <a:miter lim="800000"/>
                          <a:headEnd/>
                          <a:tailEnd/>
                        </a:ln>
                      </wps:spPr>
                      <wps:txbx>
                        <w:txbxContent>
                          <w:p w14:paraId="441D8553" w14:textId="71756432" w:rsidR="009F26DD" w:rsidRPr="0081780F" w:rsidRDefault="00837AEB" w:rsidP="00EC5276">
                            <w:pPr>
                              <w:ind w:right="-163"/>
                              <w:jc w:val="center"/>
                              <w:rPr>
                                <w:sz w:val="18"/>
                                <w:szCs w:val="18"/>
                              </w:rPr>
                            </w:pPr>
                            <w:r>
                              <w:rPr>
                                <w:sz w:val="18"/>
                                <w:szCs w:val="18"/>
                              </w:rPr>
                              <w:t>No</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C42CE5" id="Text Box 115" o:spid="_x0000_s1085" type="#_x0000_t202" style="position:absolute;left:0;text-align:left;margin-left:375.95pt;margin-top:12.6pt;width:38.2pt;height:16.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" strokeweight="2.25pt">
                <v:textbox inset=",0,,0">
                  <w:txbxContent>
                    <w:p w14:paraId="441D8553" w14:textId="71756432" w:rsidR="009F26DD" w:rsidRPr="0081780F" w:rsidRDefault="00837AEB" w:rsidP="00EC5276">
                      <w:pPr>
                        <w:ind w:right="-163"/>
                        <w:jc w:val="center"/>
                        <w:rPr>
                          <w:sz w:val="18"/>
                          <w:szCs w:val="18"/>
                        </w:rPr>
                      </w:pPr>
                      <w:r>
                        <w:rPr>
                          <w:sz w:val="18"/>
                          <w:szCs w:val="18"/>
                        </w:rPr>
                        <w:t>No</w:t>
                      </w:r>
                    </w:p>
                  </w:txbxContent>
                </v:textbox>
              </v:shape>
            </w:pict>
          </mc:Fallback>
        </mc:AlternateContent>
      </w:r>
    </w:p>
    <w:p w14:paraId="40A37A17" w14:textId="3C016B62" w:rsidR="00837AEB" w:rsidRPr="00C117E6" w:rsidRDefault="00837AEB" w:rsidP="00486062">
      <w:pPr>
        <w:numPr>
          <w:ilvl w:val="0"/>
          <w:numId w:val="69"/>
        </w:numPr>
        <w:spacing w:after="160" w:line="276" w:lineRule="auto"/>
        <w:ind w:hanging="270"/>
        <w:contextualSpacing/>
        <w:rPr>
          <w:rFonts w:ascii="Century Gothic" w:hAnsi="Century Gothic"/>
          <w:b/>
          <w:bCs/>
        </w:rPr>
      </w:pPr>
      <w:r w:rsidRPr="00C117E6">
        <w:rPr>
          <w:rFonts w:ascii="Century Gothic" w:hAnsi="Century Gothic"/>
          <w:b/>
          <w:bCs/>
        </w:rPr>
        <w:t>Did the MTW PHA allocate costs within statute in the Plan Year?</w:t>
      </w:r>
    </w:p>
    <w:p w14:paraId="5A8F8DDC" w14:textId="0B5418D4" w:rsidR="00837AEB" w:rsidRPr="00C117E6" w:rsidRDefault="00837AEB" w:rsidP="00837AEB">
      <w:pPr>
        <w:spacing w:after="160" w:line="276" w:lineRule="auto"/>
        <w:ind w:left="720"/>
        <w:contextualSpacing/>
        <w:rPr>
          <w:rFonts w:ascii="Century Gothic" w:hAnsi="Century Gothic"/>
          <w:b/>
          <w:bCs/>
        </w:rPr>
      </w:pPr>
    </w:p>
    <w:p w14:paraId="50421207" w14:textId="0165D595" w:rsidR="00837AEB" w:rsidRPr="00C117E6" w:rsidRDefault="00837AEB" w:rsidP="00486062">
      <w:pPr>
        <w:numPr>
          <w:ilvl w:val="0"/>
          <w:numId w:val="69"/>
        </w:numPr>
        <w:spacing w:after="160" w:line="276" w:lineRule="auto"/>
        <w:ind w:hanging="270"/>
        <w:contextualSpacing/>
        <w:rPr>
          <w:rFonts w:ascii="Century Gothic" w:hAnsi="Century Gothic"/>
          <w:b/>
          <w:bCs/>
        </w:rPr>
      </w:pPr>
      <w:r w:rsidRPr="00C117E6">
        <w:rPr>
          <w:rFonts w:ascii="Century Gothic" w:hAnsi="Century Gothic"/>
          <w:b/>
          <w:bCs/>
          <w:noProof/>
        </w:rPr>
        <w:t>Did the MTW PHA implement a local asset management plan (LAMP) in the Plan Year?</w:t>
      </w:r>
      <w:r w:rsidR="00DE6A54" w:rsidRPr="00C117E6">
        <w:rPr>
          <w:rFonts w:ascii="Century Gothic" w:hAnsi="Century Gothic"/>
          <w:noProof/>
        </w:rPr>
        <mc:AlternateContent>
          <mc:Choice Requires="wps">
            <w:drawing>
              <wp:inline distT="0" distB="0" distL="0" distR="0" wp14:anchorId="01D50444" wp14:editId="5D397C63">
                <wp:extent cx="632460" cy="205740"/>
                <wp:effectExtent l="19050" t="19050" r="15240" b="22860"/>
                <wp:docPr id="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05740"/>
                        </a:xfrm>
                        <a:prstGeom prst="rect">
                          <a:avLst/>
                        </a:prstGeom>
                        <a:solidFill>
                          <a:srgbClr val="FFFFFF"/>
                        </a:solidFill>
                        <a:ln w="28575">
                          <a:solidFill>
                            <a:srgbClr val="000000"/>
                          </a:solidFill>
                          <a:miter lim="800000"/>
                          <a:headEnd/>
                          <a:tailEnd/>
                        </a:ln>
                      </wps:spPr>
                      <wps:txbx>
                        <w:txbxContent>
                          <w:p w14:paraId="4EE44022" w14:textId="77777777" w:rsidR="00837AEB" w:rsidRPr="0081780F" w:rsidRDefault="00837AEB" w:rsidP="00837AEB">
                            <w:pPr>
                              <w:ind w:right="-163"/>
                              <w:jc w:val="center"/>
                              <w:rPr>
                                <w:sz w:val="18"/>
                                <w:szCs w:val="18"/>
                              </w:rPr>
                            </w:pPr>
                            <w:r w:rsidRPr="0081780F">
                              <w:rPr>
                                <w:sz w:val="18"/>
                                <w:szCs w:val="18"/>
                              </w:rPr>
                              <w:t>Yes</w:t>
                            </w:r>
                          </w:p>
                        </w:txbxContent>
                      </wps:txbx>
                      <wps:bodyPr rot="0" vert="horz" wrap="square" lIns="91440" tIns="0" rIns="91440" bIns="0" anchor="ctr" anchorCtr="0" upright="1">
                        <a:noAutofit/>
                      </wps:bodyPr>
                    </wps:wsp>
                  </a:graphicData>
                </a:graphic>
              </wp:inline>
            </w:drawing>
          </mc:Choice>
          <mc:Fallback>
            <w:pict>
              <v:shape w14:anchorId="01D50444" id="Text Box 116" o:spid="_x0000_s1086" type="#_x0000_t202" style="width:49.8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" strokeweight="2.25pt">
                <v:textbox inset=",0,,0">
                  <w:txbxContent>
                    <w:p w14:paraId="4EE44022" w14:textId="77777777" w:rsidR="00837AEB" w:rsidRPr="0081780F" w:rsidRDefault="00837AEB" w:rsidP="00837AEB">
                      <w:pPr>
                        <w:ind w:right="-163"/>
                        <w:jc w:val="center"/>
                        <w:rPr>
                          <w:sz w:val="18"/>
                          <w:szCs w:val="18"/>
                        </w:rPr>
                      </w:pPr>
                      <w:r w:rsidRPr="0081780F">
                        <w:rPr>
                          <w:sz w:val="18"/>
                          <w:szCs w:val="18"/>
                        </w:rPr>
                        <w:t>Yes</w:t>
                      </w:r>
                    </w:p>
                  </w:txbxContent>
                </v:textbox>
                <w10:anchorlock/>
              </v:shape>
            </w:pict>
          </mc:Fallback>
        </mc:AlternateContent>
      </w:r>
    </w:p>
    <w:p w14:paraId="11BA7FF8" w14:textId="77777777" w:rsidR="00837AEB" w:rsidRPr="00C117E6" w:rsidRDefault="00837AEB" w:rsidP="00837AEB">
      <w:pPr>
        <w:spacing w:after="160" w:line="276" w:lineRule="auto"/>
        <w:ind w:left="720"/>
        <w:contextualSpacing/>
        <w:rPr>
          <w:rFonts w:ascii="Century Gothic" w:hAnsi="Century Gothic"/>
          <w:b/>
          <w:bCs/>
        </w:rPr>
      </w:pPr>
    </w:p>
    <w:p w14:paraId="3ACC1660" w14:textId="19EE5C14" w:rsidR="00837AEB" w:rsidRPr="00C117E6" w:rsidRDefault="00837AEB" w:rsidP="00486062">
      <w:pPr>
        <w:numPr>
          <w:ilvl w:val="0"/>
          <w:numId w:val="69"/>
        </w:numPr>
        <w:tabs>
          <w:tab w:val="decimal" w:pos="720"/>
        </w:tabs>
        <w:spacing w:after="160" w:line="276" w:lineRule="auto"/>
        <w:contextualSpacing/>
        <w:rPr>
          <w:rFonts w:ascii="Century Gothic" w:hAnsi="Century Gothic"/>
          <w:b/>
          <w:bCs/>
        </w:rPr>
      </w:pPr>
      <w:r w:rsidRPr="00C117E6">
        <w:rPr>
          <w:rFonts w:ascii="Century Gothic" w:hAnsi="Century Gothic"/>
          <w:b/>
          <w:bCs/>
        </w:rPr>
        <w:t>Did the MTW PHA provide a LAMP in the appendix?</w:t>
      </w:r>
      <w:r w:rsidR="00DE6A54" w:rsidRPr="00C117E6">
        <w:rPr>
          <w:rFonts w:ascii="Century Gothic" w:hAnsi="Century Gothic"/>
          <w:noProof/>
        </w:rPr>
        <mc:AlternateContent>
          <mc:Choice Requires="wps">
            <w:drawing>
              <wp:inline distT="0" distB="0" distL="0" distR="0" wp14:anchorId="37BB81C4" wp14:editId="73A19C19">
                <wp:extent cx="632460" cy="205740"/>
                <wp:effectExtent l="19050" t="19050" r="15240" b="22860"/>
                <wp:docPr id="3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05740"/>
                        </a:xfrm>
                        <a:prstGeom prst="rect">
                          <a:avLst/>
                        </a:prstGeom>
                        <a:solidFill>
                          <a:srgbClr val="FFFFFF"/>
                        </a:solidFill>
                        <a:ln w="28575">
                          <a:solidFill>
                            <a:srgbClr val="000000"/>
                          </a:solidFill>
                          <a:miter lim="800000"/>
                          <a:headEnd/>
                          <a:tailEnd/>
                        </a:ln>
                      </wps:spPr>
                      <wps:txbx>
                        <w:txbxContent>
                          <w:p w14:paraId="257D3B69" w14:textId="77777777" w:rsidR="00837AEB" w:rsidRPr="0081780F" w:rsidRDefault="00837AEB" w:rsidP="00837AEB">
                            <w:pPr>
                              <w:ind w:right="-163"/>
                              <w:jc w:val="center"/>
                              <w:rPr>
                                <w:sz w:val="18"/>
                                <w:szCs w:val="18"/>
                              </w:rPr>
                            </w:pPr>
                            <w:r w:rsidRPr="0081780F">
                              <w:rPr>
                                <w:sz w:val="18"/>
                                <w:szCs w:val="18"/>
                              </w:rPr>
                              <w:t>Yes</w:t>
                            </w:r>
                          </w:p>
                        </w:txbxContent>
                      </wps:txbx>
                      <wps:bodyPr rot="0" vert="horz" wrap="square" lIns="91440" tIns="0" rIns="91440" bIns="0" anchor="ctr" anchorCtr="0" upright="1">
                        <a:noAutofit/>
                      </wps:bodyPr>
                    </wps:wsp>
                  </a:graphicData>
                </a:graphic>
              </wp:inline>
            </w:drawing>
          </mc:Choice>
          <mc:Fallback>
            <w:pict>
              <v:shape w14:anchorId="37BB81C4" id="Text Box 117" o:spid="_x0000_s1087" type="#_x0000_t202" style="width:49.8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" strokeweight="2.25pt">
                <v:textbox inset=",0,,0">
                  <w:txbxContent>
                    <w:p w14:paraId="257D3B69" w14:textId="77777777" w:rsidR="00837AEB" w:rsidRPr="0081780F" w:rsidRDefault="00837AEB" w:rsidP="00837AEB">
                      <w:pPr>
                        <w:ind w:right="-163"/>
                        <w:jc w:val="center"/>
                        <w:rPr>
                          <w:sz w:val="18"/>
                          <w:szCs w:val="18"/>
                        </w:rPr>
                      </w:pPr>
                      <w:r w:rsidRPr="0081780F">
                        <w:rPr>
                          <w:sz w:val="18"/>
                          <w:szCs w:val="18"/>
                        </w:rPr>
                        <w:t>Yes</w:t>
                      </w:r>
                    </w:p>
                  </w:txbxContent>
                </v:textbox>
                <w10:anchorlock/>
              </v:shape>
            </w:pict>
          </mc:Fallback>
        </mc:AlternateContent>
      </w:r>
    </w:p>
    <w:p w14:paraId="42832D14" w14:textId="5DFABF2C" w:rsidR="00837AEB" w:rsidRPr="00C117E6" w:rsidRDefault="00837AEB" w:rsidP="00837AEB">
      <w:pPr>
        <w:spacing w:after="160" w:line="276" w:lineRule="auto"/>
        <w:ind w:left="720"/>
        <w:contextualSpacing/>
        <w:rPr>
          <w:rFonts w:ascii="Century Gothic" w:hAnsi="Century Gothic"/>
          <w:b/>
          <w:bCs/>
        </w:rPr>
      </w:pPr>
    </w:p>
    <w:p w14:paraId="3D6527B1" w14:textId="6FE207A5" w:rsidR="00837AEB" w:rsidRPr="00C117E6" w:rsidRDefault="00837AEB" w:rsidP="00486062">
      <w:pPr>
        <w:numPr>
          <w:ilvl w:val="0"/>
          <w:numId w:val="69"/>
        </w:numPr>
        <w:spacing w:after="160" w:line="276" w:lineRule="auto"/>
        <w:ind w:left="810"/>
        <w:contextualSpacing/>
        <w:rPr>
          <w:rFonts w:ascii="Century Gothic" w:hAnsi="Century Gothic"/>
          <w:b/>
          <w:bCs/>
        </w:rPr>
      </w:pPr>
      <w:r w:rsidRPr="00C117E6">
        <w:rPr>
          <w:rFonts w:ascii="Century Gothic" w:hAnsi="Century Gothic"/>
          <w:b/>
          <w:bCs/>
        </w:rPr>
        <w:t xml:space="preserve">If the MTW PHA has provided a LAMP in the appendix, please provide a brief update on implementation of the LAMP. Please provide any actual changes (which must be detailed in an approved Annual MTW Plan/Plan amendment) or state that the MTW PHA did not make any changes in the Plan Year. </w:t>
      </w:r>
    </w:p>
    <w:p w14:paraId="6CB07974" w14:textId="77777777" w:rsidR="00837AEB" w:rsidRPr="00C117E6" w:rsidRDefault="00837AEB" w:rsidP="00837AEB">
      <w:pPr>
        <w:spacing w:after="160" w:line="276" w:lineRule="auto"/>
        <w:ind w:left="720"/>
        <w:contextualSpacing/>
        <w:rPr>
          <w:rFonts w:ascii="Century Gothic" w:eastAsia="MS PGothic" w:hAnsi="Century Gothic"/>
          <w:b/>
          <w:bCs/>
          <w:szCs w:val="22"/>
        </w:rPr>
      </w:pPr>
    </w:p>
    <w:p w14:paraId="49305445" w14:textId="724B58EC" w:rsidR="00837AEB" w:rsidRPr="00C117E6" w:rsidRDefault="00837AEB" w:rsidP="00837AEB">
      <w:pPr>
        <w:spacing w:after="160" w:line="276" w:lineRule="auto"/>
        <w:rPr>
          <w:rFonts w:ascii="Century Gothic" w:hAnsi="Century Gothic"/>
          <w:b/>
          <w:bCs/>
        </w:rPr>
      </w:pPr>
      <w:r w:rsidRPr="00C117E6">
        <w:rPr>
          <w:rFonts w:ascii="Century Gothic" w:hAnsi="Century Gothic"/>
          <w:b/>
          <w:bCs/>
        </w:rPr>
        <w:t xml:space="preserve">                 </w:t>
      </w:r>
      <w:r w:rsidR="00DE6A54" w:rsidRPr="00C117E6">
        <w:rPr>
          <w:rFonts w:ascii="Century Gothic" w:hAnsi="Century Gothic"/>
          <w:noProof/>
        </w:rPr>
        <mc:AlternateContent>
          <mc:Choice Requires="wps">
            <w:drawing>
              <wp:inline distT="0" distB="0" distL="0" distR="0" wp14:anchorId="6F083E0B" wp14:editId="4AEC9CE2">
                <wp:extent cx="5099050" cy="228600"/>
                <wp:effectExtent l="19050" t="19050" r="15875" b="19050"/>
                <wp:docPr id="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228600"/>
                        </a:xfrm>
                        <a:prstGeom prst="rect">
                          <a:avLst/>
                        </a:prstGeom>
                        <a:solidFill>
                          <a:srgbClr val="FFFFFF"/>
                        </a:solidFill>
                        <a:ln w="28575">
                          <a:solidFill>
                            <a:srgbClr val="000000"/>
                          </a:solidFill>
                          <a:miter lim="800000"/>
                          <a:headEnd/>
                          <a:tailEnd/>
                        </a:ln>
                      </wps:spPr>
                      <wps:txbx>
                        <w:txbxContent>
                          <w:p w14:paraId="505CE391" w14:textId="749F6B61" w:rsidR="00837AEB" w:rsidRPr="0083773E" w:rsidRDefault="00837AEB" w:rsidP="00837AEB">
                            <w:pPr>
                              <w:ind w:right="-163"/>
                              <w:rPr>
                                <w:rFonts w:ascii="Century Gothic" w:hAnsi="Century Gothic"/>
                                <w:szCs w:val="22"/>
                              </w:rPr>
                            </w:pPr>
                            <w:r w:rsidRPr="0083773E">
                              <w:rPr>
                                <w:rFonts w:ascii="Century Gothic" w:hAnsi="Century Gothic"/>
                                <w:b/>
                                <w:color w:val="262626" w:themeColor="text1" w:themeTint="D9"/>
                                <w:szCs w:val="22"/>
                              </w:rPr>
                              <w:t>No changes were made in</w:t>
                            </w:r>
                            <w:r w:rsidR="00E978D5" w:rsidRPr="0083773E">
                              <w:rPr>
                                <w:rFonts w:ascii="Century Gothic" w:hAnsi="Century Gothic"/>
                                <w:b/>
                                <w:color w:val="262626" w:themeColor="text1" w:themeTint="D9"/>
                                <w:szCs w:val="22"/>
                              </w:rPr>
                              <w:t xml:space="preserve"> </w:t>
                            </w:r>
                            <w:r w:rsidR="00272BC4" w:rsidRPr="0083773E">
                              <w:rPr>
                                <w:rFonts w:ascii="Century Gothic" w:hAnsi="Century Gothic"/>
                                <w:b/>
                                <w:color w:val="262626" w:themeColor="text1" w:themeTint="D9"/>
                                <w:szCs w:val="22"/>
                              </w:rPr>
                              <w:t>FY202</w:t>
                            </w:r>
                            <w:r w:rsidR="00C117E6" w:rsidRPr="0083773E">
                              <w:rPr>
                                <w:rFonts w:ascii="Century Gothic" w:hAnsi="Century Gothic"/>
                                <w:b/>
                                <w:color w:val="262626" w:themeColor="text1" w:themeTint="D9"/>
                                <w:szCs w:val="22"/>
                              </w:rPr>
                              <w:t>4</w:t>
                            </w:r>
                            <w:r w:rsidR="00272BC4" w:rsidRPr="0083773E">
                              <w:rPr>
                                <w:rFonts w:ascii="Century Gothic" w:hAnsi="Century Gothic"/>
                                <w:b/>
                                <w:color w:val="262626" w:themeColor="text1" w:themeTint="D9"/>
                                <w:szCs w:val="22"/>
                              </w:rPr>
                              <w:t>.</w:t>
                            </w:r>
                          </w:p>
                        </w:txbxContent>
                      </wps:txbx>
                      <wps:bodyPr rot="0" vert="horz" wrap="square" lIns="91440" tIns="0" rIns="91440" bIns="0" anchor="ctr" anchorCtr="0" upright="1">
                        <a:noAutofit/>
                      </wps:bodyPr>
                    </wps:wsp>
                  </a:graphicData>
                </a:graphic>
              </wp:inline>
            </w:drawing>
          </mc:Choice>
          <mc:Fallback>
            <w:pict>
              <v:shape w14:anchorId="6F083E0B" id="Text Box 118" o:spid="_x0000_s1088" type="#_x0000_t202" style="width:401.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" strokeweight="2.25pt">
                <v:textbox inset=",0,,0">
                  <w:txbxContent>
                    <w:p w14:paraId="505CE391" w14:textId="749F6B61" w:rsidR="00837AEB" w:rsidRPr="0083773E" w:rsidRDefault="00837AEB" w:rsidP="00837AEB">
                      <w:pPr>
                        <w:ind w:right="-163"/>
                        <w:rPr>
                          <w:rFonts w:ascii="Century Gothic" w:hAnsi="Century Gothic"/>
                          <w:szCs w:val="22"/>
                        </w:rPr>
                      </w:pPr>
                      <w:r w:rsidRPr="0083773E">
                        <w:rPr>
                          <w:rFonts w:ascii="Century Gothic" w:hAnsi="Century Gothic"/>
                          <w:b/>
                          <w:color w:val="262626" w:themeColor="text1" w:themeTint="D9"/>
                          <w:szCs w:val="22"/>
                        </w:rPr>
                        <w:t>No changes were made in</w:t>
                      </w:r>
                      <w:r w:rsidR="00E978D5" w:rsidRPr="0083773E">
                        <w:rPr>
                          <w:rFonts w:ascii="Century Gothic" w:hAnsi="Century Gothic"/>
                          <w:b/>
                          <w:color w:val="262626" w:themeColor="text1" w:themeTint="D9"/>
                          <w:szCs w:val="22"/>
                        </w:rPr>
                        <w:t xml:space="preserve"> </w:t>
                      </w:r>
                      <w:r w:rsidR="00272BC4" w:rsidRPr="0083773E">
                        <w:rPr>
                          <w:rFonts w:ascii="Century Gothic" w:hAnsi="Century Gothic"/>
                          <w:b/>
                          <w:color w:val="262626" w:themeColor="text1" w:themeTint="D9"/>
                          <w:szCs w:val="22"/>
                        </w:rPr>
                        <w:t>FY202</w:t>
                      </w:r>
                      <w:r w:rsidR="00C117E6" w:rsidRPr="0083773E">
                        <w:rPr>
                          <w:rFonts w:ascii="Century Gothic" w:hAnsi="Century Gothic"/>
                          <w:b/>
                          <w:color w:val="262626" w:themeColor="text1" w:themeTint="D9"/>
                          <w:szCs w:val="22"/>
                        </w:rPr>
                        <w:t>4</w:t>
                      </w:r>
                      <w:r w:rsidR="00272BC4" w:rsidRPr="0083773E">
                        <w:rPr>
                          <w:rFonts w:ascii="Century Gothic" w:hAnsi="Century Gothic"/>
                          <w:b/>
                          <w:color w:val="262626" w:themeColor="text1" w:themeTint="D9"/>
                          <w:szCs w:val="22"/>
                        </w:rPr>
                        <w:t>.</w:t>
                      </w:r>
                    </w:p>
                  </w:txbxContent>
                </v:textbox>
                <w10:anchorlock/>
              </v:shape>
            </w:pict>
          </mc:Fallback>
        </mc:AlternateContent>
      </w:r>
    </w:p>
    <w:p w14:paraId="7742742A" w14:textId="53EB47AD" w:rsidR="00837AEB" w:rsidRPr="00C117E6" w:rsidRDefault="00837AEB" w:rsidP="00E978D5">
      <w:pPr>
        <w:ind w:left="720"/>
        <w:rPr>
          <w:rFonts w:ascii="Century Gothic" w:eastAsia="Times New Roman" w:hAnsi="Century Gothic"/>
        </w:rPr>
      </w:pPr>
      <w:r w:rsidRPr="00C117E6">
        <w:rPr>
          <w:rFonts w:ascii="Century Gothic" w:hAnsi="Century Gothic"/>
        </w:rPr>
        <w:tab/>
      </w:r>
    </w:p>
    <w:p w14:paraId="0D5FC5DF" w14:textId="62193AC2" w:rsidR="00837AEB" w:rsidRPr="00C117E6" w:rsidRDefault="00837AEB" w:rsidP="46316ACA">
      <w:pPr>
        <w:rPr>
          <w:rFonts w:ascii="Century Gothic" w:eastAsia="Times New Roman" w:hAnsi="Century Gothic"/>
        </w:rPr>
      </w:pPr>
    </w:p>
    <w:p w14:paraId="50888548" w14:textId="469315F5" w:rsidR="655A2699" w:rsidRPr="00C117E6" w:rsidRDefault="655A2699" w:rsidP="655A2699">
      <w:pPr>
        <w:rPr>
          <w:rFonts w:ascii="Century Gothic" w:eastAsia="MS PGothic" w:hAnsi="Century Gothic"/>
          <w:szCs w:val="22"/>
        </w:rPr>
      </w:pPr>
    </w:p>
    <w:p w14:paraId="6E4FED3F" w14:textId="6DFE5C62" w:rsidR="00EC5276" w:rsidRPr="00266B3C" w:rsidRDefault="00EC5276" w:rsidP="001161F5">
      <w:pPr>
        <w:contextualSpacing/>
        <w:rPr>
          <w:rFonts w:ascii="Century Gothic" w:hAnsi="Century Gothic"/>
          <w:b/>
          <w:bCs/>
          <w:sz w:val="28"/>
          <w:szCs w:val="28"/>
        </w:rPr>
      </w:pPr>
      <w:r w:rsidRPr="00C117E6">
        <w:rPr>
          <w:rFonts w:ascii="Century Gothic" w:hAnsi="Century Gothic"/>
        </w:rPr>
        <w:br w:type="page"/>
      </w:r>
      <w:bookmarkStart w:id="192" w:name="_Toc470178872"/>
      <w:bookmarkStart w:id="193" w:name="_Toc470179776"/>
      <w:bookmarkStart w:id="194" w:name="_Toc528927303"/>
      <w:bookmarkStart w:id="195" w:name="_Toc89871194"/>
      <w:r w:rsidR="38F59E49" w:rsidRPr="00266B3C">
        <w:rPr>
          <w:rFonts w:ascii="Century Gothic" w:hAnsi="Century Gothic"/>
          <w:b/>
          <w:bCs/>
          <w:sz w:val="28"/>
          <w:szCs w:val="28"/>
        </w:rPr>
        <w:lastRenderedPageBreak/>
        <w:t>VI. ADMINISTRATIVE</w:t>
      </w:r>
      <w:bookmarkEnd w:id="192"/>
      <w:bookmarkEnd w:id="193"/>
      <w:bookmarkEnd w:id="194"/>
      <w:bookmarkEnd w:id="195"/>
    </w:p>
    <w:p w14:paraId="459C0404" w14:textId="77777777" w:rsidR="001161F5" w:rsidRPr="00171DAD" w:rsidRDefault="001161F5" w:rsidP="001161F5">
      <w:pPr>
        <w:rPr>
          <w:rFonts w:ascii="Century Gothic" w:hAnsi="Century Gothic"/>
          <w:b/>
          <w:bCs/>
          <w:szCs w:val="22"/>
        </w:rPr>
      </w:pPr>
    </w:p>
    <w:p w14:paraId="5AE126F3" w14:textId="6A12EE61" w:rsidR="4566E4F4" w:rsidRPr="00171DAD" w:rsidRDefault="4566E4F4" w:rsidP="002D0B3C">
      <w:pPr>
        <w:pStyle w:val="Body1"/>
        <w:framePr w:wrap="around"/>
        <w:rPr>
          <w:rFonts w:ascii="Century Gothic" w:hAnsi="Century Gothic"/>
          <w:sz w:val="22"/>
          <w:szCs w:val="22"/>
        </w:rPr>
      </w:pPr>
    </w:p>
    <w:p w14:paraId="0B4D80CD" w14:textId="7B777A1C" w:rsidR="00EC5276" w:rsidRPr="00171DAD" w:rsidRDefault="37C7FFFE" w:rsidP="4566E4F4">
      <w:pPr>
        <w:spacing w:line="259" w:lineRule="auto"/>
        <w:contextualSpacing/>
        <w:rPr>
          <w:rFonts w:ascii="Century Gothic" w:hAnsi="Century Gothic"/>
          <w:b/>
          <w:bCs/>
          <w:szCs w:val="22"/>
        </w:rPr>
      </w:pPr>
      <w:r w:rsidRPr="00171DAD">
        <w:rPr>
          <w:rFonts w:ascii="Century Gothic" w:hAnsi="Century Gothic"/>
          <w:b/>
          <w:bCs/>
          <w:szCs w:val="22"/>
        </w:rPr>
        <w:t>A.</w:t>
      </w:r>
      <w:r w:rsidRPr="00171DAD">
        <w:rPr>
          <w:rFonts w:ascii="Century Gothic" w:hAnsi="Century Gothic"/>
          <w:szCs w:val="22"/>
        </w:rPr>
        <w:tab/>
      </w:r>
      <w:r w:rsidR="25D3F63E" w:rsidRPr="00171DAD">
        <w:rPr>
          <w:rFonts w:ascii="Century Gothic" w:hAnsi="Century Gothic"/>
          <w:b/>
          <w:bCs/>
          <w:szCs w:val="22"/>
        </w:rPr>
        <w:t xml:space="preserve">REVIEWS, AUDITS AND INSPECTIONS </w:t>
      </w:r>
    </w:p>
    <w:p w14:paraId="261A443C" w14:textId="7EE1208F" w:rsidR="00A400ED" w:rsidRPr="00171DAD" w:rsidRDefault="69075CC6" w:rsidP="00EC5276">
      <w:pPr>
        <w:ind w:left="720"/>
        <w:contextualSpacing/>
        <w:rPr>
          <w:rFonts w:ascii="Century Gothic" w:hAnsi="Century Gothic"/>
          <w:szCs w:val="22"/>
        </w:rPr>
      </w:pPr>
      <w:r w:rsidRPr="00171DAD">
        <w:rPr>
          <w:rFonts w:ascii="Century Gothic" w:hAnsi="Century Gothic"/>
          <w:szCs w:val="22"/>
        </w:rPr>
        <w:t>ECC</w:t>
      </w:r>
      <w:r w:rsidR="7F87819D" w:rsidRPr="00171DAD">
        <w:rPr>
          <w:rFonts w:ascii="Century Gothic" w:hAnsi="Century Gothic"/>
          <w:szCs w:val="22"/>
        </w:rPr>
        <w:t>/</w:t>
      </w:r>
      <w:r w:rsidRPr="00171DAD">
        <w:rPr>
          <w:rFonts w:ascii="Century Gothic" w:hAnsi="Century Gothic"/>
          <w:szCs w:val="22"/>
        </w:rPr>
        <w:t>HANH has closed the books for FY202</w:t>
      </w:r>
      <w:r w:rsidR="06A7FC74" w:rsidRPr="00171DAD">
        <w:rPr>
          <w:rFonts w:ascii="Century Gothic" w:hAnsi="Century Gothic"/>
          <w:szCs w:val="22"/>
        </w:rPr>
        <w:t>4</w:t>
      </w:r>
      <w:r w:rsidRPr="00171DAD">
        <w:rPr>
          <w:rFonts w:ascii="Century Gothic" w:hAnsi="Century Gothic"/>
          <w:szCs w:val="22"/>
        </w:rPr>
        <w:t xml:space="preserve"> and the unaudited FDS </w:t>
      </w:r>
      <w:r w:rsidR="00A400ED" w:rsidRPr="00171DAD">
        <w:rPr>
          <w:rFonts w:ascii="Century Gothic" w:hAnsi="Century Gothic"/>
          <w:szCs w:val="22"/>
        </w:rPr>
        <w:t xml:space="preserve">has been </w:t>
      </w:r>
      <w:r w:rsidRPr="00171DAD">
        <w:rPr>
          <w:rFonts w:ascii="Century Gothic" w:hAnsi="Century Gothic"/>
          <w:szCs w:val="22"/>
        </w:rPr>
        <w:t>submitted</w:t>
      </w:r>
      <w:r w:rsidR="00A400ED" w:rsidRPr="00171DAD">
        <w:rPr>
          <w:rFonts w:ascii="Century Gothic" w:hAnsi="Century Gothic"/>
          <w:szCs w:val="22"/>
        </w:rPr>
        <w:t xml:space="preserve">. </w:t>
      </w:r>
      <w:r w:rsidRPr="00171DAD">
        <w:rPr>
          <w:rFonts w:ascii="Century Gothic" w:hAnsi="Century Gothic"/>
          <w:szCs w:val="22"/>
        </w:rPr>
        <w:t xml:space="preserve"> </w:t>
      </w:r>
    </w:p>
    <w:p w14:paraId="4537F1DA" w14:textId="77777777" w:rsidR="00171DAD" w:rsidRPr="00171DAD" w:rsidRDefault="11431117" w:rsidP="00EC5276">
      <w:pPr>
        <w:ind w:left="720"/>
        <w:contextualSpacing/>
        <w:rPr>
          <w:rFonts w:ascii="Century Gothic" w:hAnsi="Century Gothic"/>
          <w:szCs w:val="22"/>
        </w:rPr>
      </w:pPr>
      <w:r w:rsidRPr="00171DAD">
        <w:rPr>
          <w:rFonts w:ascii="Century Gothic" w:hAnsi="Century Gothic"/>
          <w:szCs w:val="22"/>
        </w:rPr>
        <w:t xml:space="preserve">All prior CHRO and HUD VCA requirements have been met.  </w:t>
      </w:r>
    </w:p>
    <w:p w14:paraId="2C3B7713" w14:textId="77777777" w:rsidR="00171DAD" w:rsidRPr="00171DAD" w:rsidRDefault="00171DAD" w:rsidP="00EC5276">
      <w:pPr>
        <w:ind w:left="720"/>
        <w:contextualSpacing/>
        <w:rPr>
          <w:rFonts w:ascii="Century Gothic" w:hAnsi="Century Gothic"/>
          <w:szCs w:val="22"/>
        </w:rPr>
      </w:pPr>
      <w:r w:rsidRPr="00171DAD">
        <w:rPr>
          <w:rFonts w:ascii="Century Gothic" w:hAnsi="Century Gothic"/>
          <w:szCs w:val="22"/>
        </w:rPr>
        <w:t>Inspections have been completed and t</w:t>
      </w:r>
      <w:r w:rsidR="58304B9E" w:rsidRPr="00171DAD">
        <w:rPr>
          <w:rFonts w:ascii="Century Gothic" w:hAnsi="Century Gothic"/>
          <w:szCs w:val="22"/>
        </w:rPr>
        <w:t>he average REAC score in FY2024 was 76%.</w:t>
      </w:r>
      <w:r w:rsidR="11431117" w:rsidRPr="00171DAD">
        <w:rPr>
          <w:rFonts w:ascii="Century Gothic" w:hAnsi="Century Gothic"/>
          <w:szCs w:val="22"/>
        </w:rPr>
        <w:t xml:space="preserve"> </w:t>
      </w:r>
    </w:p>
    <w:p w14:paraId="04B9895D" w14:textId="6642D03C" w:rsidR="00EC5276" w:rsidRPr="00171DAD" w:rsidRDefault="2B9E4E15" w:rsidP="00EC5276">
      <w:pPr>
        <w:ind w:left="720"/>
        <w:contextualSpacing/>
        <w:rPr>
          <w:rFonts w:ascii="Century Gothic" w:hAnsi="Century Gothic"/>
          <w:szCs w:val="22"/>
        </w:rPr>
      </w:pPr>
      <w:r w:rsidRPr="00171DAD">
        <w:rPr>
          <w:rFonts w:ascii="Century Gothic" w:hAnsi="Century Gothic"/>
          <w:szCs w:val="22"/>
        </w:rPr>
        <w:t>ECC/HANH has worked closely with HUD Field Office around issues of occupan</w:t>
      </w:r>
      <w:r w:rsidR="5A2554EA" w:rsidRPr="00171DAD">
        <w:rPr>
          <w:rFonts w:ascii="Century Gothic" w:hAnsi="Century Gothic"/>
          <w:szCs w:val="22"/>
        </w:rPr>
        <w:t xml:space="preserve">cy and TAR reduction. </w:t>
      </w:r>
    </w:p>
    <w:p w14:paraId="5CD776CC" w14:textId="77777777" w:rsidR="00EC5276" w:rsidRPr="00171DAD" w:rsidRDefault="00EC5276" w:rsidP="00EC5276">
      <w:pPr>
        <w:ind w:left="720"/>
        <w:contextualSpacing/>
        <w:rPr>
          <w:rFonts w:ascii="Century Gothic" w:hAnsi="Century Gothic"/>
          <w:szCs w:val="22"/>
        </w:rPr>
      </w:pPr>
    </w:p>
    <w:p w14:paraId="5328D376" w14:textId="78675B14" w:rsidR="009F26DD" w:rsidRPr="00171DAD" w:rsidRDefault="36C8EAFB" w:rsidP="4566E4F4">
      <w:pPr>
        <w:spacing w:after="160" w:line="259" w:lineRule="auto"/>
        <w:contextualSpacing/>
        <w:rPr>
          <w:rFonts w:ascii="Century Gothic" w:hAnsi="Century Gothic"/>
          <w:b/>
          <w:bCs/>
          <w:szCs w:val="22"/>
        </w:rPr>
      </w:pPr>
      <w:r w:rsidRPr="00171DAD">
        <w:rPr>
          <w:rFonts w:ascii="Century Gothic" w:hAnsi="Century Gothic"/>
          <w:b/>
          <w:bCs/>
          <w:szCs w:val="22"/>
        </w:rPr>
        <w:t xml:space="preserve">B.  </w:t>
      </w:r>
      <w:r w:rsidR="009F26DD" w:rsidRPr="00171DAD">
        <w:rPr>
          <w:rFonts w:ascii="Century Gothic" w:hAnsi="Century Gothic"/>
          <w:szCs w:val="22"/>
        </w:rPr>
        <w:tab/>
      </w:r>
      <w:r w:rsidRPr="00171DAD">
        <w:rPr>
          <w:rFonts w:ascii="Century Gothic" w:hAnsi="Century Gothic"/>
          <w:b/>
          <w:bCs/>
          <w:szCs w:val="22"/>
        </w:rPr>
        <w:t>EVALUATION RESULTS</w:t>
      </w:r>
    </w:p>
    <w:p w14:paraId="0BBCC8CA" w14:textId="670960F9" w:rsidR="31554F63" w:rsidRPr="00171DAD" w:rsidRDefault="31554F63" w:rsidP="00347563">
      <w:pPr>
        <w:spacing w:line="259" w:lineRule="auto"/>
        <w:ind w:firstLine="720"/>
        <w:contextualSpacing/>
        <w:rPr>
          <w:rFonts w:ascii="Century Gothic" w:eastAsia="MS PGothic" w:hAnsi="Century Gothic"/>
          <w:b/>
          <w:bCs/>
          <w:szCs w:val="22"/>
        </w:rPr>
      </w:pPr>
      <w:r w:rsidRPr="00171DAD">
        <w:rPr>
          <w:rFonts w:ascii="Century Gothic" w:eastAsia="MS PGothic" w:hAnsi="Century Gothic"/>
          <w:szCs w:val="22"/>
        </w:rPr>
        <w:t>None</w:t>
      </w:r>
    </w:p>
    <w:p w14:paraId="1BD7C50B" w14:textId="120F193E" w:rsidR="4566E4F4" w:rsidRDefault="4566E4F4" w:rsidP="7E8C102F">
      <w:pPr>
        <w:spacing w:line="259" w:lineRule="auto"/>
        <w:contextualSpacing/>
        <w:rPr>
          <w:rFonts w:eastAsia="MS PGothic"/>
          <w:b/>
          <w:bCs/>
        </w:rPr>
      </w:pPr>
    </w:p>
    <w:p w14:paraId="7E63D1ED" w14:textId="53C25143" w:rsidR="00FE6A23" w:rsidRPr="00171DAD" w:rsidRDefault="00FE6A23" w:rsidP="00FE6A23">
      <w:pPr>
        <w:spacing w:after="160" w:line="259" w:lineRule="auto"/>
        <w:contextualSpacing/>
        <w:rPr>
          <w:rFonts w:ascii="Century Gothic" w:hAnsi="Century Gothic"/>
          <w:b/>
          <w:bCs/>
          <w:szCs w:val="22"/>
        </w:rPr>
      </w:pPr>
      <w:r>
        <w:rPr>
          <w:rFonts w:ascii="Century Gothic" w:hAnsi="Century Gothic"/>
          <w:b/>
          <w:bCs/>
          <w:szCs w:val="22"/>
        </w:rPr>
        <w:t>C</w:t>
      </w:r>
      <w:proofErr w:type="gramStart"/>
      <w:r w:rsidRPr="00171DAD">
        <w:rPr>
          <w:rFonts w:ascii="Century Gothic" w:hAnsi="Century Gothic"/>
          <w:b/>
          <w:bCs/>
          <w:szCs w:val="22"/>
        </w:rPr>
        <w:t xml:space="preserve">.  </w:t>
      </w:r>
      <w:r w:rsidRPr="00171DAD">
        <w:rPr>
          <w:rFonts w:ascii="Century Gothic" w:hAnsi="Century Gothic"/>
          <w:szCs w:val="22"/>
        </w:rPr>
        <w:tab/>
      </w:r>
      <w:proofErr w:type="gramEnd"/>
      <w:r w:rsidRPr="00FE6A23">
        <w:rPr>
          <w:rFonts w:ascii="Century Gothic" w:hAnsi="Century Gothic"/>
          <w:b/>
          <w:bCs/>
          <w:szCs w:val="22"/>
        </w:rPr>
        <w:t>MTW ENERGY PERFORMANCE CONTRACT FLEXIBILITY (EPC) DATA</w:t>
      </w:r>
    </w:p>
    <w:p w14:paraId="56797665" w14:textId="77777777" w:rsidR="00FE6A23" w:rsidRPr="00171DAD" w:rsidRDefault="00FE6A23" w:rsidP="00FE6A23">
      <w:pPr>
        <w:spacing w:line="259" w:lineRule="auto"/>
        <w:ind w:firstLine="720"/>
        <w:contextualSpacing/>
        <w:rPr>
          <w:rFonts w:ascii="Century Gothic" w:eastAsia="MS PGothic" w:hAnsi="Century Gothic"/>
          <w:b/>
          <w:bCs/>
          <w:szCs w:val="22"/>
        </w:rPr>
      </w:pPr>
      <w:r w:rsidRPr="00171DAD">
        <w:rPr>
          <w:rFonts w:ascii="Century Gothic" w:eastAsia="MS PGothic" w:hAnsi="Century Gothic"/>
          <w:szCs w:val="22"/>
        </w:rPr>
        <w:t>None</w:t>
      </w:r>
    </w:p>
    <w:p w14:paraId="779DDE3D" w14:textId="77777777" w:rsidR="00FE6A23" w:rsidRPr="00B807EB" w:rsidRDefault="00FE6A23" w:rsidP="7E8C102F">
      <w:pPr>
        <w:spacing w:line="259" w:lineRule="auto"/>
        <w:contextualSpacing/>
        <w:rPr>
          <w:rFonts w:eastAsia="MS PGothic"/>
          <w:b/>
          <w:bCs/>
        </w:rPr>
      </w:pPr>
    </w:p>
    <w:p w14:paraId="0ACC7C9D" w14:textId="31CD10D3" w:rsidR="00EC5276" w:rsidRPr="00FE6A23" w:rsidRDefault="00EC5276" w:rsidP="00EC5276">
      <w:pPr>
        <w:rPr>
          <w:rFonts w:ascii="Century Gothic" w:hAnsi="Century Gothic"/>
          <w:b/>
          <w:szCs w:val="22"/>
        </w:rPr>
      </w:pPr>
    </w:p>
    <w:p w14:paraId="5C211D47" w14:textId="3F96F3E6" w:rsidR="00B60260" w:rsidRDefault="00B60260" w:rsidP="00EC5276">
      <w:pPr>
        <w:rPr>
          <w:rFonts w:ascii="Times New Roman" w:hAnsi="Times New Roman"/>
          <w:b/>
          <w:szCs w:val="22"/>
        </w:rPr>
      </w:pPr>
    </w:p>
    <w:p w14:paraId="1D178CA2" w14:textId="77777777" w:rsidR="00B05CFA" w:rsidRPr="0020355D" w:rsidRDefault="00B05CFA" w:rsidP="00EC5276">
      <w:pPr>
        <w:rPr>
          <w:rFonts w:ascii="Times New Roman" w:hAnsi="Times New Roman"/>
          <w:b/>
          <w:szCs w:val="22"/>
        </w:rPr>
      </w:pPr>
    </w:p>
    <w:p w14:paraId="5D1138F9" w14:textId="78C39BC5" w:rsidR="00B60260" w:rsidRPr="0020355D" w:rsidRDefault="00B60260" w:rsidP="00EC5276">
      <w:pPr>
        <w:rPr>
          <w:rFonts w:ascii="Times New Roman" w:hAnsi="Times New Roman"/>
          <w:b/>
          <w:szCs w:val="22"/>
        </w:rPr>
      </w:pPr>
    </w:p>
    <w:p w14:paraId="033BC351" w14:textId="26C09986" w:rsidR="00B60260" w:rsidRPr="0020355D" w:rsidRDefault="00B60260" w:rsidP="00EC5276">
      <w:pPr>
        <w:rPr>
          <w:rFonts w:ascii="Times New Roman" w:hAnsi="Times New Roman"/>
          <w:b/>
          <w:szCs w:val="22"/>
        </w:rPr>
      </w:pPr>
    </w:p>
    <w:p w14:paraId="45CE6BC5" w14:textId="1B0936FD" w:rsidR="00B60260" w:rsidRPr="0020355D" w:rsidRDefault="00B60260" w:rsidP="00EC5276">
      <w:pPr>
        <w:rPr>
          <w:rFonts w:ascii="Times New Roman" w:hAnsi="Times New Roman"/>
          <w:b/>
          <w:szCs w:val="22"/>
        </w:rPr>
      </w:pPr>
    </w:p>
    <w:p w14:paraId="4B8F5A42" w14:textId="2281F192" w:rsidR="00B60260" w:rsidRDefault="00B60260" w:rsidP="00EC5276">
      <w:pPr>
        <w:rPr>
          <w:rFonts w:ascii="Times New Roman" w:hAnsi="Times New Roman"/>
          <w:b/>
          <w:szCs w:val="22"/>
        </w:rPr>
      </w:pPr>
    </w:p>
    <w:p w14:paraId="6E1D2855" w14:textId="6FA12ADB" w:rsidR="009F26DD" w:rsidRDefault="009F26DD" w:rsidP="00EC5276">
      <w:pPr>
        <w:rPr>
          <w:rFonts w:ascii="Times New Roman" w:hAnsi="Times New Roman"/>
          <w:b/>
          <w:szCs w:val="22"/>
        </w:rPr>
      </w:pPr>
    </w:p>
    <w:p w14:paraId="14F5F5A5" w14:textId="3ADD6594" w:rsidR="009F26DD" w:rsidRDefault="009F26DD" w:rsidP="00EC5276">
      <w:pPr>
        <w:rPr>
          <w:rFonts w:ascii="Times New Roman" w:hAnsi="Times New Roman"/>
          <w:b/>
          <w:szCs w:val="22"/>
        </w:rPr>
      </w:pPr>
    </w:p>
    <w:p w14:paraId="0CE05E02" w14:textId="77777777" w:rsidR="0041551C" w:rsidRDefault="0041551C" w:rsidP="00EC5276">
      <w:pPr>
        <w:rPr>
          <w:rFonts w:ascii="Times New Roman" w:hAnsi="Times New Roman"/>
          <w:b/>
          <w:szCs w:val="22"/>
        </w:rPr>
      </w:pPr>
    </w:p>
    <w:p w14:paraId="40746987" w14:textId="77777777" w:rsidR="0041551C" w:rsidRDefault="0041551C" w:rsidP="00EC5276">
      <w:pPr>
        <w:rPr>
          <w:rFonts w:ascii="Times New Roman" w:hAnsi="Times New Roman"/>
          <w:b/>
          <w:szCs w:val="22"/>
        </w:rPr>
      </w:pPr>
    </w:p>
    <w:p w14:paraId="43D41C3D" w14:textId="77777777" w:rsidR="0041551C" w:rsidRDefault="0041551C" w:rsidP="00EC5276">
      <w:pPr>
        <w:rPr>
          <w:rFonts w:ascii="Times New Roman" w:hAnsi="Times New Roman"/>
          <w:b/>
          <w:szCs w:val="22"/>
        </w:rPr>
      </w:pPr>
    </w:p>
    <w:p w14:paraId="735E9A65" w14:textId="77777777" w:rsidR="0041551C" w:rsidRDefault="0041551C" w:rsidP="00EC5276">
      <w:pPr>
        <w:rPr>
          <w:rFonts w:ascii="Times New Roman" w:hAnsi="Times New Roman"/>
          <w:b/>
          <w:szCs w:val="22"/>
        </w:rPr>
      </w:pPr>
    </w:p>
    <w:p w14:paraId="71F9C321" w14:textId="77777777" w:rsidR="0041551C" w:rsidRDefault="0041551C" w:rsidP="00EC5276">
      <w:pPr>
        <w:rPr>
          <w:rFonts w:ascii="Times New Roman" w:hAnsi="Times New Roman"/>
          <w:b/>
          <w:szCs w:val="22"/>
        </w:rPr>
      </w:pPr>
    </w:p>
    <w:p w14:paraId="7737A9C2" w14:textId="77777777" w:rsidR="0041551C" w:rsidRDefault="0041551C" w:rsidP="00EC5276">
      <w:pPr>
        <w:rPr>
          <w:rFonts w:ascii="Times New Roman" w:hAnsi="Times New Roman"/>
          <w:b/>
          <w:szCs w:val="22"/>
        </w:rPr>
      </w:pPr>
    </w:p>
    <w:p w14:paraId="7F9756EB" w14:textId="77777777" w:rsidR="0041551C" w:rsidRDefault="0041551C" w:rsidP="00EC5276">
      <w:pPr>
        <w:rPr>
          <w:rFonts w:ascii="Times New Roman" w:hAnsi="Times New Roman"/>
          <w:b/>
          <w:szCs w:val="22"/>
        </w:rPr>
      </w:pPr>
    </w:p>
    <w:p w14:paraId="383AE20A" w14:textId="77777777" w:rsidR="0041551C" w:rsidRDefault="0041551C" w:rsidP="00EC5276">
      <w:pPr>
        <w:rPr>
          <w:rFonts w:ascii="Times New Roman" w:hAnsi="Times New Roman"/>
          <w:b/>
          <w:szCs w:val="22"/>
        </w:rPr>
      </w:pPr>
    </w:p>
    <w:p w14:paraId="4F27A90A" w14:textId="77777777" w:rsidR="0041551C" w:rsidRDefault="0041551C" w:rsidP="00EC5276">
      <w:pPr>
        <w:rPr>
          <w:rFonts w:ascii="Times New Roman" w:hAnsi="Times New Roman"/>
          <w:b/>
          <w:szCs w:val="22"/>
        </w:rPr>
      </w:pPr>
    </w:p>
    <w:p w14:paraId="17A1A08B" w14:textId="77777777" w:rsidR="0041551C" w:rsidRDefault="0041551C" w:rsidP="00EC5276">
      <w:pPr>
        <w:rPr>
          <w:rFonts w:ascii="Times New Roman" w:hAnsi="Times New Roman"/>
          <w:b/>
          <w:szCs w:val="22"/>
        </w:rPr>
      </w:pPr>
    </w:p>
    <w:p w14:paraId="29562B86" w14:textId="77777777" w:rsidR="001D434F" w:rsidRDefault="001D434F" w:rsidP="00EC5276">
      <w:pPr>
        <w:rPr>
          <w:rFonts w:ascii="Times New Roman" w:hAnsi="Times New Roman"/>
          <w:b/>
          <w:szCs w:val="22"/>
        </w:rPr>
      </w:pPr>
    </w:p>
    <w:p w14:paraId="7BA4D49B" w14:textId="77777777" w:rsidR="001D434F" w:rsidRDefault="001D434F" w:rsidP="00EC5276">
      <w:pPr>
        <w:rPr>
          <w:rFonts w:ascii="Times New Roman" w:hAnsi="Times New Roman"/>
          <w:b/>
          <w:szCs w:val="22"/>
        </w:rPr>
      </w:pPr>
    </w:p>
    <w:p w14:paraId="324B434D" w14:textId="77777777" w:rsidR="0041551C" w:rsidRDefault="0041551C" w:rsidP="00EC5276">
      <w:pPr>
        <w:rPr>
          <w:rFonts w:ascii="Times New Roman" w:hAnsi="Times New Roman"/>
          <w:b/>
          <w:szCs w:val="22"/>
        </w:rPr>
      </w:pPr>
    </w:p>
    <w:p w14:paraId="1B45DAE0" w14:textId="77777777" w:rsidR="0041551C" w:rsidRDefault="0041551C" w:rsidP="00EC5276">
      <w:pPr>
        <w:rPr>
          <w:rFonts w:ascii="Times New Roman" w:hAnsi="Times New Roman"/>
          <w:b/>
          <w:szCs w:val="22"/>
        </w:rPr>
      </w:pPr>
    </w:p>
    <w:p w14:paraId="7EA42F69" w14:textId="77777777" w:rsidR="0041551C" w:rsidRDefault="0041551C" w:rsidP="00EC5276">
      <w:pPr>
        <w:rPr>
          <w:rFonts w:ascii="Times New Roman" w:hAnsi="Times New Roman"/>
          <w:b/>
          <w:szCs w:val="22"/>
        </w:rPr>
      </w:pPr>
    </w:p>
    <w:p w14:paraId="6E73220F" w14:textId="77777777" w:rsidR="0041551C" w:rsidRDefault="0041551C" w:rsidP="00EC5276">
      <w:pPr>
        <w:rPr>
          <w:rFonts w:ascii="Times New Roman" w:hAnsi="Times New Roman"/>
          <w:b/>
          <w:szCs w:val="22"/>
        </w:rPr>
      </w:pPr>
    </w:p>
    <w:p w14:paraId="49612F3A" w14:textId="77777777" w:rsidR="0041551C" w:rsidRDefault="0041551C" w:rsidP="00EC5276">
      <w:pPr>
        <w:rPr>
          <w:rFonts w:ascii="Times New Roman" w:hAnsi="Times New Roman"/>
          <w:b/>
          <w:szCs w:val="22"/>
        </w:rPr>
      </w:pPr>
    </w:p>
    <w:p w14:paraId="109FBAEB" w14:textId="77777777" w:rsidR="0041551C" w:rsidRDefault="0041551C" w:rsidP="00EC5276">
      <w:pPr>
        <w:rPr>
          <w:rFonts w:ascii="Times New Roman" w:hAnsi="Times New Roman"/>
          <w:b/>
          <w:szCs w:val="22"/>
        </w:rPr>
      </w:pPr>
    </w:p>
    <w:p w14:paraId="57A2074A" w14:textId="77777777" w:rsidR="0041551C" w:rsidRDefault="0041551C" w:rsidP="00EC5276">
      <w:pPr>
        <w:rPr>
          <w:rFonts w:ascii="Times New Roman" w:hAnsi="Times New Roman"/>
          <w:b/>
          <w:szCs w:val="22"/>
        </w:rPr>
      </w:pPr>
    </w:p>
    <w:p w14:paraId="26A69C57" w14:textId="77777777" w:rsidR="0041551C" w:rsidRDefault="0041551C" w:rsidP="00EC5276">
      <w:pPr>
        <w:rPr>
          <w:rFonts w:ascii="Times New Roman" w:hAnsi="Times New Roman"/>
          <w:b/>
          <w:szCs w:val="22"/>
        </w:rPr>
      </w:pPr>
    </w:p>
    <w:p w14:paraId="03A21A3C" w14:textId="77777777" w:rsidR="0041551C" w:rsidRDefault="0041551C" w:rsidP="00EC5276">
      <w:pPr>
        <w:rPr>
          <w:rFonts w:ascii="Times New Roman" w:hAnsi="Times New Roman"/>
          <w:b/>
          <w:szCs w:val="22"/>
        </w:rPr>
      </w:pPr>
    </w:p>
    <w:p w14:paraId="1943B442" w14:textId="77777777" w:rsidR="0041551C" w:rsidRDefault="0041551C" w:rsidP="00EC5276">
      <w:pPr>
        <w:rPr>
          <w:rFonts w:ascii="Times New Roman" w:hAnsi="Times New Roman"/>
          <w:b/>
          <w:szCs w:val="22"/>
        </w:rPr>
      </w:pPr>
    </w:p>
    <w:p w14:paraId="5A8E9FCD" w14:textId="2C956ECA" w:rsidR="009F26DD" w:rsidRDefault="009F26DD" w:rsidP="00EC5276">
      <w:pPr>
        <w:rPr>
          <w:rFonts w:ascii="Times New Roman" w:hAnsi="Times New Roman"/>
          <w:b/>
          <w:szCs w:val="22"/>
        </w:rPr>
      </w:pPr>
    </w:p>
    <w:p w14:paraId="7BC803C3" w14:textId="43453B83" w:rsidR="009F26DD" w:rsidRDefault="009F26DD" w:rsidP="00EC5276">
      <w:pPr>
        <w:rPr>
          <w:rFonts w:ascii="Times New Roman" w:hAnsi="Times New Roman"/>
          <w:b/>
          <w:szCs w:val="22"/>
        </w:rPr>
      </w:pPr>
    </w:p>
    <w:p w14:paraId="68ED1A7C" w14:textId="6B1DFDA8" w:rsidR="00B60260" w:rsidRPr="0020355D" w:rsidRDefault="00B60260" w:rsidP="00EC5276">
      <w:pPr>
        <w:rPr>
          <w:rFonts w:ascii="Times New Roman" w:hAnsi="Times New Roman"/>
          <w:b/>
          <w:szCs w:val="22"/>
        </w:rPr>
      </w:pPr>
    </w:p>
    <w:p w14:paraId="776830C4" w14:textId="77777777" w:rsidR="00B60260" w:rsidRPr="008E3451" w:rsidRDefault="00B60260" w:rsidP="00B60260">
      <w:pPr>
        <w:pStyle w:val="MTWHeader1"/>
        <w:rPr>
          <w:rFonts w:ascii="Century Gothic" w:hAnsi="Century Gothic"/>
          <w:sz w:val="22"/>
          <w:szCs w:val="22"/>
        </w:rPr>
      </w:pPr>
      <w:bookmarkStart w:id="196" w:name="_Toc89871195"/>
      <w:r w:rsidRPr="008E3451">
        <w:rPr>
          <w:rFonts w:ascii="Century Gothic" w:hAnsi="Century Gothic"/>
          <w:sz w:val="22"/>
          <w:szCs w:val="22"/>
        </w:rPr>
        <w:lastRenderedPageBreak/>
        <w:t>VII. APPENDICES</w:t>
      </w:r>
      <w:bookmarkEnd w:id="196"/>
    </w:p>
    <w:p w14:paraId="3B1AFF8B" w14:textId="77777777" w:rsidR="00035F16" w:rsidRPr="008E3451" w:rsidRDefault="237A8CC8" w:rsidP="00035F16">
      <w:pPr>
        <w:pStyle w:val="MTWHeader2"/>
        <w:rPr>
          <w:rFonts w:ascii="Century Gothic" w:eastAsia="Times New Roman" w:hAnsi="Century Gothic" w:cs="Times New Roman"/>
          <w:sz w:val="22"/>
          <w:szCs w:val="22"/>
        </w:rPr>
      </w:pPr>
      <w:bookmarkStart w:id="197" w:name="_Toc89871196"/>
      <w:r w:rsidRPr="008E3451">
        <w:rPr>
          <w:rFonts w:ascii="Century Gothic" w:eastAsia="Times New Roman" w:hAnsi="Century Gothic" w:cs="Times New Roman"/>
          <w:sz w:val="22"/>
          <w:szCs w:val="22"/>
        </w:rPr>
        <w:t>Appendix 1: Documentation of Public Hearing and Public Comment Period</w:t>
      </w:r>
      <w:bookmarkEnd w:id="197"/>
      <w:r w:rsidR="00035F16">
        <w:rPr>
          <w:rFonts w:ascii="Century Gothic" w:eastAsia="Times New Roman" w:hAnsi="Century Gothic" w:cs="Times New Roman"/>
          <w:sz w:val="22"/>
          <w:szCs w:val="22"/>
        </w:rPr>
        <w:t>, Board Resolution and Certifcate of Compliance</w:t>
      </w:r>
    </w:p>
    <w:p w14:paraId="7869B0E9" w14:textId="15CA5B14" w:rsidR="00035F16" w:rsidRDefault="00035F16" w:rsidP="00035F16">
      <w:pPr>
        <w:pStyle w:val="MTWHeader2"/>
        <w:jc w:val="center"/>
        <w:rPr>
          <w:rFonts w:ascii="Century Gothic" w:eastAsia="Times New Roman" w:hAnsi="Century Gothic" w:cs="Times New Roman"/>
          <w:sz w:val="22"/>
          <w:szCs w:val="22"/>
        </w:rPr>
      </w:pPr>
    </w:p>
    <w:p w14:paraId="0636FCA4" w14:textId="3C2490C8" w:rsidR="00DC342A" w:rsidRDefault="00DC342A" w:rsidP="00035F16">
      <w:pPr>
        <w:pStyle w:val="MTWHeader2"/>
        <w:jc w:val="center"/>
        <w:rPr>
          <w:rFonts w:ascii="Century Gothic" w:eastAsia="Times New Roman" w:hAnsi="Century Gothic" w:cs="Times New Roman"/>
          <w:sz w:val="22"/>
          <w:szCs w:val="22"/>
        </w:rPr>
      </w:pPr>
    </w:p>
    <w:p w14:paraId="3702E36F" w14:textId="77777777" w:rsidR="00BE33A2" w:rsidRPr="00AA22FD" w:rsidRDefault="00BE33A2" w:rsidP="00BE33A2">
      <w:pPr>
        <w:jc w:val="center"/>
        <w:rPr>
          <w:rFonts w:ascii="Century Gothic" w:eastAsia="Times New Roman" w:hAnsi="Century Gothic"/>
          <w:b/>
          <w:bCs/>
          <w:noProof/>
          <w:szCs w:val="22"/>
        </w:rPr>
      </w:pPr>
      <w:r w:rsidRPr="00AA22FD">
        <w:rPr>
          <w:rFonts w:ascii="Century Gothic" w:eastAsia="Times New Roman" w:hAnsi="Century Gothic"/>
          <w:b/>
          <w:bCs/>
          <w:noProof/>
          <w:szCs w:val="22"/>
        </w:rPr>
        <w:t>Elm City Communities/Housing Authority of the City of New Haven</w:t>
      </w:r>
    </w:p>
    <w:p w14:paraId="04DBDE30" w14:textId="77777777" w:rsidR="00BE33A2" w:rsidRPr="00AA22FD" w:rsidRDefault="00BE33A2" w:rsidP="00BE33A2">
      <w:pPr>
        <w:jc w:val="center"/>
        <w:rPr>
          <w:rFonts w:ascii="Century Gothic" w:eastAsia="Times New Roman" w:hAnsi="Century Gothic"/>
          <w:b/>
          <w:bCs/>
          <w:noProof/>
          <w:szCs w:val="22"/>
        </w:rPr>
      </w:pPr>
      <w:r w:rsidRPr="00AA22FD">
        <w:rPr>
          <w:rFonts w:ascii="Century Gothic" w:eastAsia="Times New Roman" w:hAnsi="Century Gothic"/>
          <w:b/>
          <w:bCs/>
          <w:noProof/>
          <w:szCs w:val="22"/>
        </w:rPr>
        <w:t>Public Hearing: Elm City Communities/Housing Authority of the City of New Haven</w:t>
      </w:r>
    </w:p>
    <w:p w14:paraId="01E78825" w14:textId="77777777" w:rsidR="00BE33A2" w:rsidRPr="00AA22FD" w:rsidRDefault="00BE33A2" w:rsidP="00BE33A2">
      <w:pPr>
        <w:jc w:val="center"/>
        <w:rPr>
          <w:rFonts w:ascii="Century Gothic" w:eastAsia="Times New Roman" w:hAnsi="Century Gothic"/>
          <w:b/>
          <w:bCs/>
          <w:noProof/>
          <w:szCs w:val="22"/>
        </w:rPr>
      </w:pPr>
      <w:r w:rsidRPr="00AA22FD">
        <w:rPr>
          <w:rFonts w:ascii="Century Gothic" w:eastAsia="Times New Roman" w:hAnsi="Century Gothic"/>
          <w:b/>
          <w:bCs/>
          <w:noProof/>
          <w:szCs w:val="22"/>
        </w:rPr>
        <w:t>Moving to Work (MTW) Report FY2024</w:t>
      </w:r>
    </w:p>
    <w:p w14:paraId="2A5EA977" w14:textId="77777777" w:rsidR="00BE33A2" w:rsidRPr="00AA22FD" w:rsidRDefault="00BE33A2" w:rsidP="00BE33A2">
      <w:pPr>
        <w:jc w:val="center"/>
        <w:rPr>
          <w:rFonts w:ascii="Century Gothic" w:eastAsia="Times New Roman" w:hAnsi="Century Gothic"/>
          <w:b/>
          <w:bCs/>
          <w:noProof/>
          <w:szCs w:val="22"/>
        </w:rPr>
      </w:pPr>
      <w:r w:rsidRPr="00AA22FD">
        <w:rPr>
          <w:rFonts w:ascii="Century Gothic" w:eastAsia="Times New Roman" w:hAnsi="Century Gothic"/>
          <w:b/>
          <w:bCs/>
          <w:noProof/>
          <w:szCs w:val="22"/>
        </w:rPr>
        <w:t xml:space="preserve"> Monday November 25, 2024 @ 3:00 p.m.</w:t>
      </w:r>
    </w:p>
    <w:p w14:paraId="0C9812A7" w14:textId="77777777" w:rsidR="00BE33A2" w:rsidRPr="00AA22FD" w:rsidRDefault="00BE33A2" w:rsidP="00BE33A2">
      <w:pPr>
        <w:jc w:val="center"/>
        <w:rPr>
          <w:rFonts w:ascii="Century Gothic" w:eastAsia="Times New Roman" w:hAnsi="Century Gothic"/>
          <w:b/>
          <w:bCs/>
          <w:noProof/>
          <w:szCs w:val="22"/>
        </w:rPr>
      </w:pPr>
      <w:r w:rsidRPr="00AA22FD">
        <w:rPr>
          <w:rFonts w:ascii="Century Gothic" w:eastAsia="Times New Roman" w:hAnsi="Century Gothic"/>
          <w:b/>
          <w:bCs/>
          <w:noProof/>
          <w:szCs w:val="22"/>
        </w:rPr>
        <w:t>360 Orange Street, New Haven, CT 06511</w:t>
      </w:r>
      <w:r w:rsidRPr="00AA22FD">
        <w:rPr>
          <w:rFonts w:ascii="Century Gothic" w:hAnsi="Century Gothic"/>
          <w:b/>
          <w:bCs/>
          <w:szCs w:val="22"/>
        </w:rPr>
        <w:br/>
      </w:r>
      <w:r w:rsidRPr="00AA22FD">
        <w:rPr>
          <w:rFonts w:ascii="Century Gothic" w:eastAsia="Times New Roman" w:hAnsi="Century Gothic"/>
          <w:b/>
          <w:bCs/>
          <w:noProof/>
          <w:szCs w:val="22"/>
        </w:rPr>
        <w:t xml:space="preserve"> (Via RingCentral teleconference)</w:t>
      </w:r>
    </w:p>
    <w:p w14:paraId="411041AC" w14:textId="77777777" w:rsidR="00BE33A2" w:rsidRPr="00AA22FD" w:rsidRDefault="00BE33A2" w:rsidP="00BE33A2">
      <w:pPr>
        <w:rPr>
          <w:szCs w:val="22"/>
        </w:rPr>
      </w:pPr>
    </w:p>
    <w:p w14:paraId="27B43562" w14:textId="77777777" w:rsidR="00BE33A2" w:rsidRPr="00AA22FD" w:rsidRDefault="00BE33A2" w:rsidP="00BE33A2">
      <w:pPr>
        <w:rPr>
          <w:rFonts w:ascii="Century Gothic" w:hAnsi="Century Gothic"/>
          <w:noProof/>
          <w:szCs w:val="22"/>
        </w:rPr>
      </w:pPr>
      <w:r w:rsidRPr="00AA22FD">
        <w:rPr>
          <w:rFonts w:ascii="Century Gothic" w:eastAsia="Times New Roman" w:hAnsi="Century Gothic"/>
          <w:noProof/>
          <w:szCs w:val="22"/>
          <w:u w:val="single"/>
        </w:rPr>
        <w:t>Those present included</w:t>
      </w:r>
      <w:r w:rsidRPr="00AA22FD">
        <w:rPr>
          <w:rFonts w:ascii="Century Gothic" w:eastAsia="Times New Roman" w:hAnsi="Century Gothic"/>
          <w:noProof/>
          <w:szCs w:val="22"/>
        </w:rPr>
        <w:t xml:space="preserve">: </w:t>
      </w:r>
    </w:p>
    <w:p w14:paraId="4770B888" w14:textId="77777777" w:rsidR="00BE33A2" w:rsidRPr="00AA22FD" w:rsidRDefault="00BE33A2" w:rsidP="00BE33A2">
      <w:pPr>
        <w:rPr>
          <w:rFonts w:ascii="Century Gothic" w:eastAsia="Times New Roman" w:hAnsi="Century Gothic"/>
          <w:noProof/>
          <w:szCs w:val="22"/>
        </w:rPr>
      </w:pPr>
    </w:p>
    <w:p w14:paraId="4A6421A2"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Evelise Ribeiro, ECC/HANH</w:t>
      </w:r>
    </w:p>
    <w:p w14:paraId="7E6B10B9"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Michael Southam, ECC/HANH</w:t>
      </w:r>
    </w:p>
    <w:p w14:paraId="6C6D9758"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Rachel Gilroy, ECC/HANH</w:t>
      </w:r>
    </w:p>
    <w:p w14:paraId="4353FAD6"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Desire Sessions, ECC/HANH</w:t>
      </w:r>
    </w:p>
    <w:p w14:paraId="07CAC4EE"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Mohan Yadavalli, ECC/HANH</w:t>
      </w:r>
    </w:p>
    <w:p w14:paraId="08F18221"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Haley Vincent, ECC/HANH</w:t>
      </w:r>
    </w:p>
    <w:p w14:paraId="3419F126"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Yvonne Temple, ECC/HANH</w:t>
      </w:r>
    </w:p>
    <w:p w14:paraId="62450B61"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Kenneth Brogden, ECC/HANH</w:t>
      </w:r>
    </w:p>
    <w:p w14:paraId="0DD27A82"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Shenae Draughn, ECC/HANH</w:t>
      </w:r>
    </w:p>
    <w:p w14:paraId="5EB280C7"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Catherine Hawthorne, ECC/HANH</w:t>
      </w:r>
    </w:p>
    <w:p w14:paraId="01032AF0"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Tierra Moore, ECC/HANH</w:t>
      </w:r>
    </w:p>
    <w:p w14:paraId="7192E817"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Isaac Kelly, ECC/HANH</w:t>
      </w:r>
    </w:p>
    <w:p w14:paraId="2BDEAF52" w14:textId="77777777" w:rsidR="00BE33A2" w:rsidRPr="00AA22FD" w:rsidRDefault="00BE33A2" w:rsidP="00BE33A2">
      <w:pPr>
        <w:rPr>
          <w:rFonts w:ascii="Century Gothic" w:eastAsia="Times New Roman" w:hAnsi="Century Gothic"/>
          <w:noProof/>
          <w:szCs w:val="22"/>
        </w:rPr>
      </w:pPr>
      <w:r w:rsidRPr="00AA22FD">
        <w:rPr>
          <w:rFonts w:ascii="Century Gothic" w:eastAsia="Times New Roman" w:hAnsi="Century Gothic"/>
          <w:noProof/>
          <w:szCs w:val="22"/>
        </w:rPr>
        <w:t>Amaryllis Viera, ECC/HAH</w:t>
      </w:r>
    </w:p>
    <w:p w14:paraId="18F8B0A3" w14:textId="77777777" w:rsidR="00BE33A2" w:rsidRPr="00AA22FD" w:rsidRDefault="00BE33A2" w:rsidP="00BE33A2">
      <w:pPr>
        <w:rPr>
          <w:szCs w:val="22"/>
        </w:rPr>
      </w:pPr>
    </w:p>
    <w:p w14:paraId="179D1A82" w14:textId="77777777" w:rsidR="00BE33A2" w:rsidRPr="00AA22FD" w:rsidRDefault="00BE33A2" w:rsidP="00BE33A2">
      <w:pPr>
        <w:rPr>
          <w:rFonts w:ascii="Century Gothic" w:hAnsi="Century Gothic"/>
          <w:szCs w:val="22"/>
        </w:rPr>
      </w:pPr>
      <w:r w:rsidRPr="00AA22FD">
        <w:rPr>
          <w:rFonts w:ascii="Century Gothic" w:hAnsi="Century Gothic"/>
          <w:szCs w:val="22"/>
        </w:rPr>
        <w:t>The public hearing was called to order at 3:02 p.m. by Evelise Ribeiro, Director of Compliance and MTW Initiatives.</w:t>
      </w:r>
    </w:p>
    <w:p w14:paraId="010EB709" w14:textId="77777777" w:rsidR="00BE33A2" w:rsidRPr="00AA22FD" w:rsidRDefault="00BE33A2" w:rsidP="00BE33A2">
      <w:pPr>
        <w:rPr>
          <w:rFonts w:ascii="Century Gothic" w:hAnsi="Century Gothic"/>
          <w:szCs w:val="22"/>
        </w:rPr>
      </w:pPr>
    </w:p>
    <w:p w14:paraId="2C908486" w14:textId="77777777" w:rsidR="00BE33A2" w:rsidRPr="00AA22FD" w:rsidRDefault="00BE33A2" w:rsidP="00BE33A2">
      <w:pPr>
        <w:rPr>
          <w:rFonts w:ascii="Century Gothic" w:hAnsi="Century Gothic"/>
          <w:szCs w:val="22"/>
        </w:rPr>
      </w:pPr>
      <w:r w:rsidRPr="00AA22FD">
        <w:rPr>
          <w:rFonts w:ascii="Century Gothic" w:hAnsi="Century Gothic"/>
          <w:szCs w:val="22"/>
        </w:rPr>
        <w:t xml:space="preserve">Ms. Ribeiro read the legal notice aloud which stated the reason the public hearing was being called. She noted that the notice was in English and Spanish and both versions would be submitted for the record.  </w:t>
      </w:r>
    </w:p>
    <w:p w14:paraId="3F38E19F" w14:textId="77777777" w:rsidR="00BE33A2" w:rsidRPr="00AA22FD" w:rsidRDefault="00BE33A2" w:rsidP="00BE33A2">
      <w:pPr>
        <w:rPr>
          <w:szCs w:val="22"/>
        </w:rPr>
      </w:pPr>
    </w:p>
    <w:p w14:paraId="0434670C" w14:textId="77777777" w:rsidR="00BE33A2" w:rsidRPr="00DC342A" w:rsidRDefault="00BE33A2" w:rsidP="00BE33A2">
      <w:pPr>
        <w:pStyle w:val="NoSpacing"/>
        <w:jc w:val="center"/>
        <w:rPr>
          <w:rFonts w:ascii="Century Gothic" w:hAnsi="Century Gothic" w:cs="Times New Roman"/>
          <w:bCs/>
          <w:sz w:val="22"/>
          <w:szCs w:val="22"/>
        </w:rPr>
      </w:pPr>
      <w:r w:rsidRPr="00DC342A">
        <w:rPr>
          <w:rFonts w:ascii="Century Gothic" w:hAnsi="Century Gothic" w:cs="Times New Roman"/>
          <w:bCs/>
          <w:sz w:val="22"/>
          <w:szCs w:val="22"/>
        </w:rPr>
        <w:t>NOTICE OF PUBLIC HEARING FOR</w:t>
      </w:r>
    </w:p>
    <w:p w14:paraId="6961DDB8" w14:textId="7D7D2BB3" w:rsidR="00BE33A2" w:rsidRPr="00DC342A" w:rsidRDefault="00BE33A2" w:rsidP="00BE33A2">
      <w:pPr>
        <w:pStyle w:val="NoSpacing"/>
        <w:jc w:val="center"/>
        <w:rPr>
          <w:rFonts w:ascii="Century Gothic" w:hAnsi="Century Gothic" w:cs="Times New Roman"/>
          <w:bCs/>
          <w:sz w:val="22"/>
          <w:szCs w:val="22"/>
        </w:rPr>
      </w:pPr>
      <w:r w:rsidRPr="00DC342A">
        <w:rPr>
          <w:rFonts w:ascii="Century Gothic" w:hAnsi="Century Gothic" w:cs="Times New Roman"/>
          <w:bCs/>
          <w:sz w:val="22"/>
          <w:szCs w:val="22"/>
        </w:rPr>
        <w:t>THE ELM CITY</w:t>
      </w:r>
      <w:r w:rsidR="001D434F">
        <w:rPr>
          <w:rFonts w:ascii="Century Gothic" w:hAnsi="Century Gothic" w:cs="Times New Roman"/>
          <w:bCs/>
          <w:sz w:val="22"/>
          <w:szCs w:val="22"/>
        </w:rPr>
        <w:t xml:space="preserve"> </w:t>
      </w:r>
      <w:r w:rsidRPr="00DC342A">
        <w:rPr>
          <w:rFonts w:ascii="Century Gothic" w:hAnsi="Century Gothic" w:cs="Times New Roman"/>
          <w:bCs/>
          <w:sz w:val="22"/>
          <w:szCs w:val="22"/>
        </w:rPr>
        <w:t>COMMUNITIES, HOUSING AUTHORITY OF NEW HAVEN (ECC/HANH)</w:t>
      </w:r>
    </w:p>
    <w:p w14:paraId="6A83DC0B" w14:textId="77777777" w:rsidR="00BE33A2" w:rsidRPr="00DC342A" w:rsidRDefault="00BE33A2" w:rsidP="00BE33A2">
      <w:pPr>
        <w:pStyle w:val="NoSpacing"/>
        <w:jc w:val="center"/>
        <w:rPr>
          <w:rFonts w:ascii="Century Gothic" w:hAnsi="Century Gothic" w:cs="Times New Roman"/>
          <w:bCs/>
          <w:sz w:val="22"/>
          <w:szCs w:val="22"/>
        </w:rPr>
      </w:pPr>
      <w:r w:rsidRPr="00DC342A">
        <w:rPr>
          <w:rFonts w:ascii="Century Gothic" w:hAnsi="Century Gothic" w:cs="Times New Roman"/>
          <w:bCs/>
          <w:sz w:val="22"/>
          <w:szCs w:val="22"/>
        </w:rPr>
        <w:t>MOVING TO WORK (MTW) FY2024 ANNUAL REPORT</w:t>
      </w:r>
    </w:p>
    <w:p w14:paraId="5F9D8A08" w14:textId="77777777" w:rsidR="00BE33A2" w:rsidRPr="00AA22FD" w:rsidRDefault="00BE33A2" w:rsidP="00BE33A2">
      <w:pPr>
        <w:spacing w:after="20"/>
        <w:ind w:left="91"/>
        <w:jc w:val="center"/>
        <w:rPr>
          <w:rFonts w:ascii="Century Gothic" w:hAnsi="Century Gothic"/>
          <w:b/>
          <w:bCs/>
          <w:szCs w:val="22"/>
        </w:rPr>
      </w:pPr>
    </w:p>
    <w:p w14:paraId="39C52E4C" w14:textId="77777777" w:rsidR="00BE33A2" w:rsidRPr="00AA22FD" w:rsidRDefault="00BE33A2" w:rsidP="00BE33A2">
      <w:pPr>
        <w:ind w:left="274"/>
        <w:rPr>
          <w:rFonts w:ascii="Century Gothic" w:eastAsia="Calibri" w:hAnsi="Century Gothic"/>
          <w:szCs w:val="22"/>
        </w:rPr>
      </w:pPr>
      <w:r w:rsidRPr="00AA22FD">
        <w:rPr>
          <w:rFonts w:ascii="Century Gothic" w:eastAsia="Calibri" w:hAnsi="Century Gothic"/>
          <w:szCs w:val="22"/>
        </w:rPr>
        <w:t>Section II and Section VII of the Authority's Moving to Work Agreement</w:t>
      </w:r>
      <w:r w:rsidRPr="00AA22FD">
        <w:rPr>
          <w:rFonts w:ascii="Century Gothic" w:hAnsi="Century Gothic"/>
          <w:szCs w:val="22"/>
        </w:rPr>
        <w:t xml:space="preserve"> </w:t>
      </w:r>
      <w:r w:rsidRPr="00AA22FD">
        <w:rPr>
          <w:rFonts w:ascii="Century Gothic" w:eastAsia="Calibri" w:hAnsi="Century Gothic"/>
          <w:szCs w:val="22"/>
        </w:rPr>
        <w:t>{the "Agreement") requires that before the Agency can file its Approved Annual Moving to Work Report and Report to the U.S.</w:t>
      </w:r>
      <w:r w:rsidRPr="00AA22FD">
        <w:rPr>
          <w:rFonts w:ascii="Century Gothic" w:hAnsi="Century Gothic"/>
          <w:szCs w:val="22"/>
        </w:rPr>
        <w:t xml:space="preserve"> </w:t>
      </w:r>
      <w:r w:rsidRPr="00AA22FD">
        <w:rPr>
          <w:rFonts w:ascii="Century Gothic" w:eastAsia="Calibri" w:hAnsi="Century Gothic"/>
          <w:szCs w:val="22"/>
        </w:rPr>
        <w:t>Department of Housing and Urban Development (the "HUD") that it must conduct a public hearing, consider comments from the public on the proposed amendments, obtain approval from the Board of Commissioners, and submit the amendments to HUD.</w:t>
      </w:r>
    </w:p>
    <w:p w14:paraId="5C8DE7D5" w14:textId="77777777" w:rsidR="00BE33A2" w:rsidRPr="00AA22FD" w:rsidRDefault="00BE33A2" w:rsidP="00BE33A2">
      <w:pPr>
        <w:autoSpaceDE w:val="0"/>
        <w:autoSpaceDN w:val="0"/>
        <w:adjustRightInd w:val="0"/>
        <w:ind w:left="274"/>
        <w:rPr>
          <w:rFonts w:ascii="Century Gothic" w:hAnsi="Century Gothic"/>
          <w:szCs w:val="22"/>
        </w:rPr>
      </w:pPr>
      <w:r w:rsidRPr="00AA22FD">
        <w:rPr>
          <w:rFonts w:ascii="Century Gothic" w:hAnsi="Century Gothic"/>
          <w:szCs w:val="22"/>
        </w:rPr>
        <w:t xml:space="preserve">The thirty (30) days comment period begins on Friday, November 1, 2024 to Saturday, November 30, 2024 and copies of the Moving to Work (MTW) FY2024 Report, will be made available on the agency website </w:t>
      </w:r>
      <w:hyperlink r:id="rId50" w:history="1">
        <w:r w:rsidRPr="00AA22FD">
          <w:rPr>
            <w:rStyle w:val="Hyperlink"/>
            <w:rFonts w:ascii="Century Gothic" w:hAnsi="Century Gothic"/>
            <w:szCs w:val="22"/>
          </w:rPr>
          <w:t>www.elmcitycommunities.org</w:t>
        </w:r>
      </w:hyperlink>
      <w:r w:rsidRPr="00AA22FD">
        <w:rPr>
          <w:rFonts w:ascii="Century Gothic" w:hAnsi="Century Gothic"/>
          <w:szCs w:val="22"/>
        </w:rPr>
        <w:t xml:space="preserve"> or via Twitter, </w:t>
      </w:r>
      <w:hyperlink r:id="rId51" w:history="1">
        <w:r w:rsidRPr="00AA22FD">
          <w:rPr>
            <w:rStyle w:val="Hyperlink"/>
            <w:rFonts w:ascii="Century Gothic" w:hAnsi="Century Gothic"/>
            <w:szCs w:val="22"/>
          </w:rPr>
          <w:t>www.twitter.com/ECCommunities</w:t>
        </w:r>
      </w:hyperlink>
      <w:r w:rsidRPr="00AA22FD">
        <w:rPr>
          <w:rFonts w:ascii="Century Gothic" w:hAnsi="Century Gothic"/>
          <w:szCs w:val="22"/>
        </w:rPr>
        <w:t xml:space="preserve"> or via Facebook </w:t>
      </w:r>
      <w:hyperlink r:id="rId52" w:history="1">
        <w:r w:rsidRPr="00AA22FD">
          <w:rPr>
            <w:rStyle w:val="Hyperlink"/>
            <w:rFonts w:ascii="Century Gothic" w:hAnsi="Century Gothic"/>
            <w:szCs w:val="22"/>
          </w:rPr>
          <w:t>www.facebook.com/ElmCityCommunities</w:t>
        </w:r>
      </w:hyperlink>
      <w:r w:rsidRPr="00AA22FD">
        <w:rPr>
          <w:rFonts w:ascii="Century Gothic" w:hAnsi="Century Gothic"/>
          <w:szCs w:val="22"/>
        </w:rPr>
        <w:t xml:space="preserve">. </w:t>
      </w:r>
    </w:p>
    <w:p w14:paraId="4B03C87F" w14:textId="77777777" w:rsidR="00BE33A2" w:rsidRPr="00AA22FD" w:rsidRDefault="00BE33A2" w:rsidP="00BE33A2">
      <w:pPr>
        <w:autoSpaceDE w:val="0"/>
        <w:autoSpaceDN w:val="0"/>
        <w:adjustRightInd w:val="0"/>
        <w:ind w:left="274"/>
        <w:rPr>
          <w:rFonts w:ascii="Century Gothic" w:hAnsi="Century Gothic"/>
          <w:szCs w:val="22"/>
        </w:rPr>
      </w:pPr>
    </w:p>
    <w:p w14:paraId="6B2F7C1D" w14:textId="77777777" w:rsidR="00BE33A2" w:rsidRPr="00AA22FD" w:rsidRDefault="00BE33A2" w:rsidP="00BE33A2">
      <w:pPr>
        <w:autoSpaceDE w:val="0"/>
        <w:autoSpaceDN w:val="0"/>
        <w:adjustRightInd w:val="0"/>
        <w:ind w:left="274"/>
        <w:rPr>
          <w:rFonts w:ascii="Century Gothic" w:hAnsi="Century Gothic"/>
          <w:szCs w:val="22"/>
        </w:rPr>
      </w:pPr>
      <w:r w:rsidRPr="00AA22FD">
        <w:rPr>
          <w:rFonts w:ascii="Century Gothic" w:hAnsi="Century Gothic"/>
          <w:szCs w:val="22"/>
        </w:rPr>
        <w:t xml:space="preserve">You are invited to provide written comments addressed to: ECC/HANH, Moving to Work FY2024 Annual Report, Attn: Evelise Ribeiro, 360 Orange Street, New Haven, CT 06511 or via email to: eribeiro@elmcitycommunities.org. </w:t>
      </w:r>
    </w:p>
    <w:p w14:paraId="17B9456C" w14:textId="77777777" w:rsidR="00BE33A2" w:rsidRPr="00A4409D" w:rsidRDefault="00BE33A2" w:rsidP="00BE33A2">
      <w:pPr>
        <w:autoSpaceDE w:val="0"/>
        <w:autoSpaceDN w:val="0"/>
        <w:ind w:left="274"/>
        <w:rPr>
          <w:rFonts w:ascii="Century Gothic" w:eastAsia="Calibri" w:hAnsi="Century Gothic"/>
          <w:bCs/>
          <w:szCs w:val="22"/>
        </w:rPr>
      </w:pPr>
    </w:p>
    <w:p w14:paraId="39A8EE77" w14:textId="77777777" w:rsidR="00BE33A2" w:rsidRPr="00A4409D" w:rsidRDefault="00BE33A2" w:rsidP="00BE33A2">
      <w:pPr>
        <w:pStyle w:val="NoSpacing"/>
        <w:ind w:left="274"/>
        <w:rPr>
          <w:rFonts w:ascii="Century Gothic" w:hAnsi="Century Gothic" w:cs="Times New Roman"/>
          <w:b w:val="0"/>
          <w:bCs/>
          <w:sz w:val="22"/>
          <w:szCs w:val="22"/>
        </w:rPr>
      </w:pPr>
      <w:r w:rsidRPr="00A4409D">
        <w:rPr>
          <w:rFonts w:ascii="Century Gothic" w:eastAsia="Calibri" w:hAnsi="Century Gothic" w:cs="Times New Roman"/>
          <w:b w:val="0"/>
          <w:bCs/>
          <w:sz w:val="22"/>
          <w:szCs w:val="22"/>
        </w:rPr>
        <w:t xml:space="preserve">Pursuant to said Sections II and VII), </w:t>
      </w:r>
      <w:r w:rsidRPr="00A4409D">
        <w:rPr>
          <w:rFonts w:ascii="Century Gothic" w:hAnsi="Century Gothic" w:cs="Times New Roman"/>
          <w:b w:val="0"/>
          <w:bCs/>
          <w:sz w:val="22"/>
          <w:szCs w:val="22"/>
        </w:rPr>
        <w:t xml:space="preserve">a public hearing where public comments will be accepted and recorded is scheduled for Monday, November 25, 2024 at 3:00pm via RingCentral: </w:t>
      </w:r>
      <w:hyperlink r:id="rId53" w:history="1">
        <w:r w:rsidRPr="00A4409D">
          <w:rPr>
            <w:rStyle w:val="Hyperlink"/>
            <w:rFonts w:ascii="Century Gothic" w:hAnsi="Century Gothic"/>
            <w:b w:val="0"/>
            <w:bCs/>
            <w:sz w:val="22"/>
            <w:szCs w:val="22"/>
          </w:rPr>
          <w:t>https://v.ringcentral.com/join/185686287?pw=d7db4e4f735df6289ed5adfb24f3f113</w:t>
        </w:r>
      </w:hyperlink>
      <w:r w:rsidRPr="00A4409D" w:rsidDel="008D4AD6">
        <w:rPr>
          <w:rFonts w:ascii="Century Gothic" w:hAnsi="Century Gothic"/>
          <w:b w:val="0"/>
          <w:bCs/>
          <w:sz w:val="22"/>
          <w:szCs w:val="22"/>
        </w:rPr>
        <w:t xml:space="preserve"> </w:t>
      </w:r>
      <w:r w:rsidRPr="00A4409D">
        <w:rPr>
          <w:rFonts w:ascii="Century Gothic" w:hAnsi="Century Gothic"/>
          <w:b w:val="0"/>
          <w:bCs/>
          <w:sz w:val="22"/>
          <w:szCs w:val="22"/>
        </w:rPr>
        <w:br/>
      </w:r>
      <w:r w:rsidRPr="00A4409D">
        <w:rPr>
          <w:rFonts w:ascii="Century Gothic" w:hAnsi="Century Gothic"/>
          <w:b w:val="0"/>
          <w:bCs/>
          <w:sz w:val="22"/>
          <w:szCs w:val="22"/>
        </w:rPr>
        <w:br/>
        <w:t>Meeting ID: 185686287</w:t>
      </w:r>
      <w:r w:rsidRPr="00A4409D">
        <w:rPr>
          <w:rFonts w:ascii="Century Gothic" w:hAnsi="Century Gothic"/>
          <w:b w:val="0"/>
          <w:bCs/>
          <w:sz w:val="22"/>
          <w:szCs w:val="22"/>
        </w:rPr>
        <w:br/>
        <w:t>Password: yaw6Zk28PK</w:t>
      </w:r>
    </w:p>
    <w:p w14:paraId="20D127D8" w14:textId="77777777" w:rsidR="00BE33A2" w:rsidRPr="00AA22FD" w:rsidRDefault="00BE33A2" w:rsidP="00BE33A2">
      <w:pPr>
        <w:autoSpaceDE w:val="0"/>
        <w:autoSpaceDN w:val="0"/>
        <w:ind w:left="274"/>
        <w:rPr>
          <w:rFonts w:ascii="Century Gothic" w:hAnsi="Century Gothic"/>
          <w:bCs/>
          <w:szCs w:val="22"/>
        </w:rPr>
      </w:pPr>
      <w:r w:rsidRPr="00AA22FD">
        <w:rPr>
          <w:rFonts w:ascii="Century Gothic" w:hAnsi="Century Gothic"/>
          <w:szCs w:val="22"/>
        </w:rPr>
        <w:br/>
        <w:t>Or dial:</w:t>
      </w:r>
      <w:r w:rsidRPr="00AA22FD">
        <w:rPr>
          <w:rFonts w:ascii="Century Gothic" w:hAnsi="Century Gothic"/>
          <w:szCs w:val="22"/>
        </w:rPr>
        <w:br/>
        <w:t> +12679304000 United States (Philadelphia, PA)</w:t>
      </w:r>
      <w:r w:rsidRPr="00AA22FD">
        <w:rPr>
          <w:rFonts w:ascii="Century Gothic" w:hAnsi="Century Gothic"/>
          <w:szCs w:val="22"/>
        </w:rPr>
        <w:br/>
        <w:t> Access Code / Meeting ID: 185686287</w:t>
      </w:r>
      <w:r w:rsidRPr="00AA22FD">
        <w:rPr>
          <w:rFonts w:ascii="Century Gothic" w:hAnsi="Century Gothic"/>
          <w:szCs w:val="22"/>
        </w:rPr>
        <w:br/>
        <w:t>Dial-in password: 9296952875</w:t>
      </w:r>
      <w:r w:rsidRPr="00AA22FD">
        <w:rPr>
          <w:rFonts w:ascii="Century Gothic" w:hAnsi="Century Gothic"/>
          <w:szCs w:val="22"/>
        </w:rPr>
        <w:br/>
      </w:r>
      <w:r w:rsidRPr="00AA22FD">
        <w:rPr>
          <w:rFonts w:ascii="Century Gothic" w:hAnsi="Century Gothic"/>
          <w:szCs w:val="22"/>
        </w:rPr>
        <w:br/>
        <w:t xml:space="preserve">International numbers available: </w:t>
      </w:r>
      <w:hyperlink r:id="rId54" w:tgtFrame="_blank" w:history="1">
        <w:r w:rsidRPr="00AA22FD">
          <w:rPr>
            <w:rStyle w:val="Hyperlink"/>
            <w:rFonts w:ascii="Century Gothic" w:hAnsi="Century Gothic"/>
            <w:szCs w:val="22"/>
          </w:rPr>
          <w:t>https://v.ringcentral.com/teleconference</w:t>
        </w:r>
      </w:hyperlink>
      <w:r w:rsidRPr="00AA22FD">
        <w:rPr>
          <w:rFonts w:ascii="Century Gothic" w:hAnsi="Century Gothic"/>
          <w:szCs w:val="22"/>
        </w:rPr>
        <w:br/>
      </w:r>
    </w:p>
    <w:p w14:paraId="12F2506E" w14:textId="77777777" w:rsidR="00BE33A2" w:rsidRPr="00AA22FD" w:rsidRDefault="00BE33A2" w:rsidP="00BE33A2">
      <w:pPr>
        <w:autoSpaceDE w:val="0"/>
        <w:autoSpaceDN w:val="0"/>
        <w:ind w:left="274"/>
        <w:rPr>
          <w:rFonts w:ascii="Century Gothic" w:hAnsi="Century Gothic"/>
          <w:szCs w:val="22"/>
        </w:rPr>
      </w:pPr>
      <w:r w:rsidRPr="00AA22FD">
        <w:rPr>
          <w:rFonts w:ascii="Century Gothic" w:hAnsi="Century Gothic"/>
          <w:szCs w:val="22"/>
        </w:rPr>
        <w:t xml:space="preserve">Any individual requiring </w:t>
      </w:r>
      <w:proofErr w:type="gramStart"/>
      <w:r w:rsidRPr="00AA22FD">
        <w:rPr>
          <w:rFonts w:ascii="Century Gothic" w:hAnsi="Century Gothic"/>
          <w:szCs w:val="22"/>
        </w:rPr>
        <w:t>a Reasonable</w:t>
      </w:r>
      <w:proofErr w:type="gramEnd"/>
      <w:r w:rsidRPr="00AA22FD">
        <w:rPr>
          <w:rFonts w:ascii="Century Gothic" w:hAnsi="Century Gothic"/>
          <w:szCs w:val="22"/>
        </w:rPr>
        <w:t xml:space="preserve"> Accommodation to participate in the hearing may call the Reasonable Accommodation Manager (203) 498-8800, ext. 1506 or at the TDD Number (203) 497-8434.</w:t>
      </w:r>
    </w:p>
    <w:p w14:paraId="75043FF5" w14:textId="77777777" w:rsidR="00BE33A2" w:rsidRPr="00AA22FD" w:rsidRDefault="00BE33A2" w:rsidP="00BE33A2">
      <w:pPr>
        <w:spacing w:line="216" w:lineRule="auto"/>
        <w:ind w:left="274" w:right="62"/>
        <w:rPr>
          <w:szCs w:val="22"/>
        </w:rPr>
      </w:pPr>
    </w:p>
    <w:p w14:paraId="3F169C74" w14:textId="77777777" w:rsidR="00BE33A2" w:rsidRPr="00AA22FD" w:rsidRDefault="00BE33A2" w:rsidP="00BE33A2">
      <w:pPr>
        <w:spacing w:line="216" w:lineRule="auto"/>
        <w:ind w:left="274" w:right="62"/>
        <w:jc w:val="center"/>
        <w:rPr>
          <w:rFonts w:ascii="Times New Roman" w:hAnsi="Times New Roman"/>
          <w:szCs w:val="22"/>
        </w:rPr>
      </w:pPr>
    </w:p>
    <w:p w14:paraId="617CF11F" w14:textId="77777777" w:rsidR="00BE33A2" w:rsidRPr="00DC342A" w:rsidRDefault="00BE33A2" w:rsidP="00BE33A2">
      <w:pPr>
        <w:pStyle w:val="NoSpacing"/>
        <w:jc w:val="center"/>
        <w:rPr>
          <w:rFonts w:ascii="Century Gothic" w:hAnsi="Century Gothic"/>
          <w:bCs/>
          <w:sz w:val="22"/>
          <w:szCs w:val="22"/>
        </w:rPr>
      </w:pPr>
      <w:r w:rsidRPr="00DC342A">
        <w:rPr>
          <w:rFonts w:ascii="Century Gothic" w:hAnsi="Century Gothic"/>
          <w:bCs/>
          <w:sz w:val="22"/>
          <w:szCs w:val="22"/>
        </w:rPr>
        <w:t>AVISO DE AUDIENCIA PÚBLICA PARA</w:t>
      </w:r>
    </w:p>
    <w:p w14:paraId="113B0A15" w14:textId="77777777" w:rsidR="00BE33A2" w:rsidRPr="00DC342A" w:rsidRDefault="00BE33A2" w:rsidP="00BE33A2">
      <w:pPr>
        <w:pStyle w:val="NoSpacing"/>
        <w:jc w:val="center"/>
        <w:rPr>
          <w:rFonts w:ascii="Century Gothic" w:hAnsi="Century Gothic"/>
          <w:bCs/>
          <w:sz w:val="22"/>
          <w:szCs w:val="22"/>
        </w:rPr>
      </w:pPr>
      <w:r w:rsidRPr="00DC342A">
        <w:rPr>
          <w:rFonts w:ascii="Century Gothic" w:hAnsi="Century Gothic"/>
          <w:bCs/>
          <w:sz w:val="22"/>
          <w:szCs w:val="22"/>
        </w:rPr>
        <w:t>LA AUTORIDAD DE VIVIENDA DE NEW HAVEN (ECC/HANH)</w:t>
      </w:r>
    </w:p>
    <w:p w14:paraId="20FE769C" w14:textId="77777777" w:rsidR="00BE33A2" w:rsidRPr="00DC342A" w:rsidRDefault="00BE33A2" w:rsidP="00BE33A2">
      <w:pPr>
        <w:pStyle w:val="NoSpacing"/>
        <w:jc w:val="center"/>
        <w:rPr>
          <w:rFonts w:ascii="Century Gothic" w:hAnsi="Century Gothic"/>
          <w:bCs/>
          <w:sz w:val="22"/>
          <w:szCs w:val="22"/>
        </w:rPr>
      </w:pPr>
      <w:r w:rsidRPr="00DC342A">
        <w:rPr>
          <w:rFonts w:ascii="Century Gothic" w:hAnsi="Century Gothic"/>
          <w:bCs/>
          <w:sz w:val="22"/>
          <w:szCs w:val="22"/>
        </w:rPr>
        <w:t xml:space="preserve">INFORME ANUAL DE TRABAJO (MTW) </w:t>
      </w:r>
      <w:r w:rsidRPr="00DC342A">
        <w:rPr>
          <w:rFonts w:ascii="Arial" w:hAnsi="Arial" w:cs="Arial"/>
          <w:bCs/>
          <w:sz w:val="22"/>
          <w:szCs w:val="22"/>
        </w:rPr>
        <w:t>​​</w:t>
      </w:r>
      <w:r w:rsidRPr="00DC342A">
        <w:rPr>
          <w:rFonts w:ascii="Century Gothic" w:hAnsi="Century Gothic"/>
          <w:bCs/>
          <w:sz w:val="22"/>
          <w:szCs w:val="22"/>
        </w:rPr>
        <w:t>DEL A</w:t>
      </w:r>
      <w:r w:rsidRPr="00DC342A">
        <w:rPr>
          <w:rFonts w:ascii="Century Gothic" w:hAnsi="Century Gothic" w:cs="Century Gothic"/>
          <w:bCs/>
          <w:sz w:val="22"/>
          <w:szCs w:val="22"/>
        </w:rPr>
        <w:t>Ñ</w:t>
      </w:r>
      <w:r w:rsidRPr="00DC342A">
        <w:rPr>
          <w:rFonts w:ascii="Century Gothic" w:hAnsi="Century Gothic"/>
          <w:bCs/>
          <w:sz w:val="22"/>
          <w:szCs w:val="22"/>
        </w:rPr>
        <w:t>O FISCAL 2024</w:t>
      </w:r>
    </w:p>
    <w:p w14:paraId="5D19143D" w14:textId="77777777" w:rsidR="00BE33A2" w:rsidRPr="00AA22FD" w:rsidRDefault="00BE33A2" w:rsidP="00BE33A2">
      <w:pPr>
        <w:spacing w:line="216" w:lineRule="auto"/>
        <w:ind w:left="274" w:right="62"/>
        <w:rPr>
          <w:rFonts w:ascii="Century Gothic" w:hAnsi="Century Gothic"/>
          <w:szCs w:val="22"/>
        </w:rPr>
      </w:pPr>
    </w:p>
    <w:p w14:paraId="262A52A3" w14:textId="77777777" w:rsidR="00BE33A2" w:rsidRPr="00AA22FD" w:rsidRDefault="00BE33A2" w:rsidP="00BE33A2">
      <w:pPr>
        <w:spacing w:line="216" w:lineRule="auto"/>
        <w:ind w:left="274" w:right="62"/>
        <w:rPr>
          <w:rFonts w:ascii="Century Gothic" w:hAnsi="Century Gothic"/>
          <w:szCs w:val="22"/>
        </w:rPr>
      </w:pPr>
      <w:r w:rsidRPr="00AA22FD">
        <w:rPr>
          <w:rFonts w:ascii="Century Gothic" w:hAnsi="Century Gothic"/>
          <w:szCs w:val="22"/>
        </w:rPr>
        <w:t xml:space="preserve">La </w:t>
      </w:r>
      <w:proofErr w:type="spellStart"/>
      <w:r w:rsidRPr="00AA22FD">
        <w:rPr>
          <w:rFonts w:ascii="Century Gothic" w:hAnsi="Century Gothic"/>
          <w:szCs w:val="22"/>
        </w:rPr>
        <w:t>Sección</w:t>
      </w:r>
      <w:proofErr w:type="spellEnd"/>
      <w:r w:rsidRPr="00AA22FD">
        <w:rPr>
          <w:rFonts w:ascii="Century Gothic" w:hAnsi="Century Gothic"/>
          <w:szCs w:val="22"/>
        </w:rPr>
        <w:t xml:space="preserve"> II y la </w:t>
      </w:r>
      <w:proofErr w:type="spellStart"/>
      <w:r w:rsidRPr="00AA22FD">
        <w:rPr>
          <w:rFonts w:ascii="Century Gothic" w:hAnsi="Century Gothic"/>
          <w:szCs w:val="22"/>
        </w:rPr>
        <w:t>Sección</w:t>
      </w:r>
      <w:proofErr w:type="spellEnd"/>
      <w:r w:rsidRPr="00AA22FD">
        <w:rPr>
          <w:rFonts w:ascii="Century Gothic" w:hAnsi="Century Gothic"/>
          <w:szCs w:val="22"/>
        </w:rPr>
        <w:t xml:space="preserve"> VII del </w:t>
      </w:r>
      <w:proofErr w:type="spellStart"/>
      <w:r w:rsidRPr="00AA22FD">
        <w:rPr>
          <w:rFonts w:ascii="Century Gothic" w:hAnsi="Century Gothic"/>
          <w:szCs w:val="22"/>
        </w:rPr>
        <w:t>Acuerdo</w:t>
      </w:r>
      <w:proofErr w:type="spellEnd"/>
      <w:r w:rsidRPr="00AA22FD">
        <w:rPr>
          <w:rFonts w:ascii="Century Gothic" w:hAnsi="Century Gothic"/>
          <w:szCs w:val="22"/>
        </w:rPr>
        <w:t xml:space="preserve"> de </w:t>
      </w:r>
      <w:proofErr w:type="spellStart"/>
      <w:r w:rsidRPr="00AA22FD">
        <w:rPr>
          <w:rFonts w:ascii="Century Gothic" w:hAnsi="Century Gothic"/>
          <w:szCs w:val="22"/>
        </w:rPr>
        <w:t>Trabajo</w:t>
      </w:r>
      <w:proofErr w:type="spellEnd"/>
      <w:r w:rsidRPr="00AA22FD">
        <w:rPr>
          <w:rFonts w:ascii="Century Gothic" w:hAnsi="Century Gothic"/>
          <w:szCs w:val="22"/>
        </w:rPr>
        <w:t xml:space="preserve"> de la </w:t>
      </w:r>
      <w:proofErr w:type="spellStart"/>
      <w:r w:rsidRPr="00AA22FD">
        <w:rPr>
          <w:rFonts w:ascii="Century Gothic" w:hAnsi="Century Gothic"/>
          <w:szCs w:val="22"/>
        </w:rPr>
        <w:t>Autoridad</w:t>
      </w:r>
      <w:proofErr w:type="spellEnd"/>
      <w:r w:rsidRPr="00AA22FD">
        <w:rPr>
          <w:rFonts w:ascii="Century Gothic" w:hAnsi="Century Gothic"/>
          <w:szCs w:val="22"/>
        </w:rPr>
        <w:t xml:space="preserve"> {</w:t>
      </w:r>
      <w:proofErr w:type="spellStart"/>
      <w:r w:rsidRPr="00AA22FD">
        <w:rPr>
          <w:rFonts w:ascii="Century Gothic" w:hAnsi="Century Gothic"/>
          <w:szCs w:val="22"/>
        </w:rPr>
        <w:t>el</w:t>
      </w:r>
      <w:proofErr w:type="spellEnd"/>
      <w:r w:rsidRPr="00AA22FD">
        <w:rPr>
          <w:rFonts w:ascii="Century Gothic" w:hAnsi="Century Gothic"/>
          <w:szCs w:val="22"/>
        </w:rPr>
        <w:t xml:space="preserve"> "</w:t>
      </w:r>
      <w:proofErr w:type="spellStart"/>
      <w:r w:rsidRPr="00AA22FD">
        <w:rPr>
          <w:rFonts w:ascii="Century Gothic" w:hAnsi="Century Gothic"/>
          <w:szCs w:val="22"/>
        </w:rPr>
        <w:t>Acuerdo</w:t>
      </w:r>
      <w:proofErr w:type="spellEnd"/>
      <w:r w:rsidRPr="00AA22FD">
        <w:rPr>
          <w:rFonts w:ascii="Century Gothic" w:hAnsi="Century Gothic"/>
          <w:szCs w:val="22"/>
        </w:rPr>
        <w:t xml:space="preserve">") </w:t>
      </w:r>
      <w:proofErr w:type="spellStart"/>
      <w:r w:rsidRPr="00AA22FD">
        <w:rPr>
          <w:rFonts w:ascii="Century Gothic" w:hAnsi="Century Gothic"/>
          <w:szCs w:val="22"/>
        </w:rPr>
        <w:t>exige</w:t>
      </w:r>
      <w:proofErr w:type="spellEnd"/>
      <w:r w:rsidRPr="00AA22FD">
        <w:rPr>
          <w:rFonts w:ascii="Century Gothic" w:hAnsi="Century Gothic"/>
          <w:szCs w:val="22"/>
        </w:rPr>
        <w:t xml:space="preserve"> </w:t>
      </w:r>
      <w:proofErr w:type="spellStart"/>
      <w:r w:rsidRPr="00AA22FD">
        <w:rPr>
          <w:rFonts w:ascii="Century Gothic" w:hAnsi="Century Gothic"/>
          <w:szCs w:val="22"/>
        </w:rPr>
        <w:t>que</w:t>
      </w:r>
      <w:proofErr w:type="spellEnd"/>
      <w:r w:rsidRPr="00AA22FD">
        <w:rPr>
          <w:rFonts w:ascii="Century Gothic" w:hAnsi="Century Gothic"/>
          <w:szCs w:val="22"/>
        </w:rPr>
        <w:t xml:space="preserve"> antes de </w:t>
      </w:r>
      <w:proofErr w:type="spellStart"/>
      <w:r w:rsidRPr="00AA22FD">
        <w:rPr>
          <w:rFonts w:ascii="Century Gothic" w:hAnsi="Century Gothic"/>
          <w:szCs w:val="22"/>
        </w:rPr>
        <w:t>que</w:t>
      </w:r>
      <w:proofErr w:type="spellEnd"/>
      <w:r w:rsidRPr="00AA22FD">
        <w:rPr>
          <w:rFonts w:ascii="Century Gothic" w:hAnsi="Century Gothic"/>
          <w:szCs w:val="22"/>
        </w:rPr>
        <w:t xml:space="preserve"> la Agencia </w:t>
      </w:r>
      <w:proofErr w:type="spellStart"/>
      <w:r w:rsidRPr="00AA22FD">
        <w:rPr>
          <w:rFonts w:ascii="Century Gothic" w:hAnsi="Century Gothic"/>
          <w:szCs w:val="22"/>
        </w:rPr>
        <w:t>pueda</w:t>
      </w:r>
      <w:proofErr w:type="spellEnd"/>
      <w:r w:rsidRPr="00AA22FD">
        <w:rPr>
          <w:rFonts w:ascii="Century Gothic" w:hAnsi="Century Gothic"/>
          <w:szCs w:val="22"/>
        </w:rPr>
        <w:t xml:space="preserve"> </w:t>
      </w:r>
      <w:proofErr w:type="spellStart"/>
      <w:r w:rsidRPr="00AA22FD">
        <w:rPr>
          <w:rFonts w:ascii="Century Gothic" w:hAnsi="Century Gothic"/>
          <w:szCs w:val="22"/>
        </w:rPr>
        <w:t>presentar</w:t>
      </w:r>
      <w:proofErr w:type="spellEnd"/>
      <w:r w:rsidRPr="00AA22FD">
        <w:rPr>
          <w:rFonts w:ascii="Century Gothic" w:hAnsi="Century Gothic"/>
          <w:szCs w:val="22"/>
        </w:rPr>
        <w:t xml:space="preserve"> </w:t>
      </w:r>
      <w:proofErr w:type="spellStart"/>
      <w:r w:rsidRPr="00AA22FD">
        <w:rPr>
          <w:rFonts w:ascii="Century Gothic" w:hAnsi="Century Gothic"/>
          <w:szCs w:val="22"/>
        </w:rPr>
        <w:t>su</w:t>
      </w:r>
      <w:proofErr w:type="spellEnd"/>
      <w:r w:rsidRPr="00AA22FD">
        <w:rPr>
          <w:rFonts w:ascii="Century Gothic" w:hAnsi="Century Gothic"/>
          <w:szCs w:val="22"/>
        </w:rPr>
        <w:t xml:space="preserve"> Plan y Informe </w:t>
      </w:r>
      <w:proofErr w:type="spellStart"/>
      <w:r w:rsidRPr="00AA22FD">
        <w:rPr>
          <w:rFonts w:ascii="Century Gothic" w:hAnsi="Century Gothic"/>
          <w:szCs w:val="22"/>
        </w:rPr>
        <w:t>Anual</w:t>
      </w:r>
      <w:proofErr w:type="spellEnd"/>
      <w:r w:rsidRPr="00AA22FD">
        <w:rPr>
          <w:rFonts w:ascii="Century Gothic" w:hAnsi="Century Gothic"/>
          <w:szCs w:val="22"/>
        </w:rPr>
        <w:t xml:space="preserve"> de </w:t>
      </w:r>
      <w:proofErr w:type="spellStart"/>
      <w:r w:rsidRPr="00AA22FD">
        <w:rPr>
          <w:rFonts w:ascii="Century Gothic" w:hAnsi="Century Gothic"/>
          <w:szCs w:val="22"/>
        </w:rPr>
        <w:t>Trabajo</w:t>
      </w:r>
      <w:proofErr w:type="spellEnd"/>
      <w:r w:rsidRPr="00AA22FD">
        <w:rPr>
          <w:rFonts w:ascii="Century Gothic" w:hAnsi="Century Gothic"/>
          <w:szCs w:val="22"/>
        </w:rPr>
        <w:t xml:space="preserve"> Aprobado al Departamento de Vivienda y Desarrollo Urbano de </w:t>
      </w:r>
      <w:proofErr w:type="spellStart"/>
      <w:r w:rsidRPr="00AA22FD">
        <w:rPr>
          <w:rFonts w:ascii="Century Gothic" w:hAnsi="Century Gothic"/>
          <w:szCs w:val="22"/>
        </w:rPr>
        <w:t>los</w:t>
      </w:r>
      <w:proofErr w:type="spellEnd"/>
      <w:r w:rsidRPr="00AA22FD">
        <w:rPr>
          <w:rFonts w:ascii="Century Gothic" w:hAnsi="Century Gothic"/>
          <w:szCs w:val="22"/>
        </w:rPr>
        <w:t xml:space="preserve"> EE. UU. (</w:t>
      </w:r>
      <w:proofErr w:type="spellStart"/>
      <w:r w:rsidRPr="00AA22FD">
        <w:rPr>
          <w:rFonts w:ascii="Century Gothic" w:hAnsi="Century Gothic"/>
          <w:szCs w:val="22"/>
        </w:rPr>
        <w:t>el</w:t>
      </w:r>
      <w:proofErr w:type="spellEnd"/>
      <w:r w:rsidRPr="00AA22FD">
        <w:rPr>
          <w:rFonts w:ascii="Century Gothic" w:hAnsi="Century Gothic"/>
          <w:szCs w:val="22"/>
        </w:rPr>
        <w:t xml:space="preserve"> "HUD"), </w:t>
      </w:r>
      <w:proofErr w:type="spellStart"/>
      <w:r w:rsidRPr="00AA22FD">
        <w:rPr>
          <w:rFonts w:ascii="Century Gothic" w:hAnsi="Century Gothic"/>
          <w:szCs w:val="22"/>
        </w:rPr>
        <w:t>debe</w:t>
      </w:r>
      <w:proofErr w:type="spellEnd"/>
      <w:r w:rsidRPr="00AA22FD">
        <w:rPr>
          <w:rFonts w:ascii="Century Gothic" w:hAnsi="Century Gothic"/>
          <w:szCs w:val="22"/>
        </w:rPr>
        <w:t xml:space="preserve"> </w:t>
      </w:r>
      <w:proofErr w:type="spellStart"/>
      <w:r w:rsidRPr="00AA22FD">
        <w:rPr>
          <w:rFonts w:ascii="Century Gothic" w:hAnsi="Century Gothic"/>
          <w:szCs w:val="22"/>
        </w:rPr>
        <w:t>realizar</w:t>
      </w:r>
      <w:proofErr w:type="spellEnd"/>
      <w:r w:rsidRPr="00AA22FD">
        <w:rPr>
          <w:rFonts w:ascii="Century Gothic" w:hAnsi="Century Gothic"/>
          <w:szCs w:val="22"/>
        </w:rPr>
        <w:t xml:space="preserve"> </w:t>
      </w:r>
      <w:proofErr w:type="spellStart"/>
      <w:r w:rsidRPr="00AA22FD">
        <w:rPr>
          <w:rFonts w:ascii="Century Gothic" w:hAnsi="Century Gothic"/>
          <w:szCs w:val="22"/>
        </w:rPr>
        <w:t>una</w:t>
      </w:r>
      <w:proofErr w:type="spellEnd"/>
      <w:r w:rsidRPr="00AA22FD">
        <w:rPr>
          <w:rFonts w:ascii="Century Gothic" w:hAnsi="Century Gothic"/>
          <w:szCs w:val="22"/>
        </w:rPr>
        <w:t xml:space="preserve"> audiencia </w:t>
      </w:r>
      <w:proofErr w:type="spellStart"/>
      <w:r w:rsidRPr="00AA22FD">
        <w:rPr>
          <w:rFonts w:ascii="Century Gothic" w:hAnsi="Century Gothic"/>
          <w:szCs w:val="22"/>
        </w:rPr>
        <w:t>pública</w:t>
      </w:r>
      <w:proofErr w:type="spellEnd"/>
      <w:r w:rsidRPr="00AA22FD">
        <w:rPr>
          <w:rFonts w:ascii="Century Gothic" w:hAnsi="Century Gothic"/>
          <w:szCs w:val="22"/>
        </w:rPr>
        <w:t xml:space="preserve">, </w:t>
      </w:r>
      <w:proofErr w:type="spellStart"/>
      <w:r w:rsidRPr="00AA22FD">
        <w:rPr>
          <w:rFonts w:ascii="Century Gothic" w:hAnsi="Century Gothic"/>
          <w:szCs w:val="22"/>
        </w:rPr>
        <w:t>considerar</w:t>
      </w:r>
      <w:proofErr w:type="spellEnd"/>
      <w:r w:rsidRPr="00AA22FD">
        <w:rPr>
          <w:rFonts w:ascii="Century Gothic" w:hAnsi="Century Gothic"/>
          <w:szCs w:val="22"/>
        </w:rPr>
        <w:t xml:space="preserve"> </w:t>
      </w:r>
      <w:proofErr w:type="spellStart"/>
      <w:r w:rsidRPr="00AA22FD">
        <w:rPr>
          <w:rFonts w:ascii="Century Gothic" w:hAnsi="Century Gothic"/>
          <w:szCs w:val="22"/>
        </w:rPr>
        <w:t>los</w:t>
      </w:r>
      <w:proofErr w:type="spellEnd"/>
      <w:r w:rsidRPr="00AA22FD">
        <w:rPr>
          <w:rFonts w:ascii="Century Gothic" w:hAnsi="Century Gothic"/>
          <w:szCs w:val="22"/>
        </w:rPr>
        <w:t xml:space="preserve"> </w:t>
      </w:r>
      <w:proofErr w:type="spellStart"/>
      <w:r w:rsidRPr="00AA22FD">
        <w:rPr>
          <w:rFonts w:ascii="Century Gothic" w:hAnsi="Century Gothic"/>
          <w:szCs w:val="22"/>
        </w:rPr>
        <w:t>comentarios</w:t>
      </w:r>
      <w:proofErr w:type="spellEnd"/>
      <w:r w:rsidRPr="00AA22FD">
        <w:rPr>
          <w:rFonts w:ascii="Century Gothic" w:hAnsi="Century Gothic"/>
          <w:szCs w:val="22"/>
        </w:rPr>
        <w:t xml:space="preserve"> del </w:t>
      </w:r>
      <w:proofErr w:type="spellStart"/>
      <w:r w:rsidRPr="00AA22FD">
        <w:rPr>
          <w:rFonts w:ascii="Century Gothic" w:hAnsi="Century Gothic"/>
          <w:szCs w:val="22"/>
        </w:rPr>
        <w:t>público</w:t>
      </w:r>
      <w:proofErr w:type="spellEnd"/>
      <w:r w:rsidRPr="00AA22FD">
        <w:rPr>
          <w:rFonts w:ascii="Century Gothic" w:hAnsi="Century Gothic"/>
          <w:szCs w:val="22"/>
        </w:rPr>
        <w:t xml:space="preserve"> </w:t>
      </w:r>
      <w:proofErr w:type="spellStart"/>
      <w:r w:rsidRPr="00AA22FD">
        <w:rPr>
          <w:rFonts w:ascii="Century Gothic" w:hAnsi="Century Gothic"/>
          <w:szCs w:val="22"/>
        </w:rPr>
        <w:t>sobre</w:t>
      </w:r>
      <w:proofErr w:type="spellEnd"/>
      <w:r w:rsidRPr="00AA22FD">
        <w:rPr>
          <w:rFonts w:ascii="Century Gothic" w:hAnsi="Century Gothic"/>
          <w:szCs w:val="22"/>
        </w:rPr>
        <w:t xml:space="preserve"> las </w:t>
      </w:r>
      <w:proofErr w:type="spellStart"/>
      <w:r w:rsidRPr="00AA22FD">
        <w:rPr>
          <w:rFonts w:ascii="Century Gothic" w:hAnsi="Century Gothic"/>
          <w:szCs w:val="22"/>
        </w:rPr>
        <w:t>enmiendas</w:t>
      </w:r>
      <w:proofErr w:type="spellEnd"/>
      <w:r w:rsidRPr="00AA22FD">
        <w:rPr>
          <w:rFonts w:ascii="Century Gothic" w:hAnsi="Century Gothic"/>
          <w:szCs w:val="22"/>
        </w:rPr>
        <w:t xml:space="preserve"> </w:t>
      </w:r>
      <w:proofErr w:type="spellStart"/>
      <w:r w:rsidRPr="00AA22FD">
        <w:rPr>
          <w:rFonts w:ascii="Century Gothic" w:hAnsi="Century Gothic"/>
          <w:szCs w:val="22"/>
        </w:rPr>
        <w:t>propuestas</w:t>
      </w:r>
      <w:proofErr w:type="spellEnd"/>
      <w:r w:rsidRPr="00AA22FD">
        <w:rPr>
          <w:rFonts w:ascii="Century Gothic" w:hAnsi="Century Gothic"/>
          <w:szCs w:val="22"/>
        </w:rPr>
        <w:t xml:space="preserve">, </w:t>
      </w:r>
      <w:proofErr w:type="spellStart"/>
      <w:r w:rsidRPr="00AA22FD">
        <w:rPr>
          <w:rFonts w:ascii="Century Gothic" w:hAnsi="Century Gothic"/>
          <w:szCs w:val="22"/>
        </w:rPr>
        <w:t>obtener</w:t>
      </w:r>
      <w:proofErr w:type="spellEnd"/>
      <w:r w:rsidRPr="00AA22FD">
        <w:rPr>
          <w:rFonts w:ascii="Century Gothic" w:hAnsi="Century Gothic"/>
          <w:szCs w:val="22"/>
        </w:rPr>
        <w:t xml:space="preserve"> la </w:t>
      </w:r>
      <w:proofErr w:type="spellStart"/>
      <w:r w:rsidRPr="00AA22FD">
        <w:rPr>
          <w:rFonts w:ascii="Century Gothic" w:hAnsi="Century Gothic"/>
          <w:szCs w:val="22"/>
        </w:rPr>
        <w:t>aprobación</w:t>
      </w:r>
      <w:proofErr w:type="spellEnd"/>
      <w:r w:rsidRPr="00AA22FD">
        <w:rPr>
          <w:rFonts w:ascii="Century Gothic" w:hAnsi="Century Gothic"/>
          <w:szCs w:val="22"/>
        </w:rPr>
        <w:t xml:space="preserve"> de la Junta de </w:t>
      </w:r>
      <w:proofErr w:type="spellStart"/>
      <w:r w:rsidRPr="00AA22FD">
        <w:rPr>
          <w:rFonts w:ascii="Century Gothic" w:hAnsi="Century Gothic"/>
          <w:szCs w:val="22"/>
        </w:rPr>
        <w:t>Comisionados</w:t>
      </w:r>
      <w:proofErr w:type="spellEnd"/>
      <w:r w:rsidRPr="00AA22FD">
        <w:rPr>
          <w:rFonts w:ascii="Century Gothic" w:hAnsi="Century Gothic"/>
          <w:szCs w:val="22"/>
        </w:rPr>
        <w:t xml:space="preserve"> y </w:t>
      </w:r>
      <w:proofErr w:type="spellStart"/>
      <w:r w:rsidRPr="00AA22FD">
        <w:rPr>
          <w:rFonts w:ascii="Century Gothic" w:hAnsi="Century Gothic"/>
          <w:szCs w:val="22"/>
        </w:rPr>
        <w:t>presentar</w:t>
      </w:r>
      <w:proofErr w:type="spellEnd"/>
      <w:r w:rsidRPr="00AA22FD">
        <w:rPr>
          <w:rFonts w:ascii="Century Gothic" w:hAnsi="Century Gothic"/>
          <w:szCs w:val="22"/>
        </w:rPr>
        <w:t xml:space="preserve"> las </w:t>
      </w:r>
      <w:proofErr w:type="spellStart"/>
      <w:r w:rsidRPr="00AA22FD">
        <w:rPr>
          <w:rFonts w:ascii="Century Gothic" w:hAnsi="Century Gothic"/>
          <w:szCs w:val="22"/>
        </w:rPr>
        <w:t>enmiendas</w:t>
      </w:r>
      <w:proofErr w:type="spellEnd"/>
      <w:r w:rsidRPr="00AA22FD">
        <w:rPr>
          <w:rFonts w:ascii="Century Gothic" w:hAnsi="Century Gothic"/>
          <w:szCs w:val="22"/>
        </w:rPr>
        <w:t xml:space="preserve"> al HUD.</w:t>
      </w:r>
    </w:p>
    <w:p w14:paraId="40B0EEF6" w14:textId="77777777" w:rsidR="00BE33A2" w:rsidRPr="00AA22FD" w:rsidRDefault="00BE33A2" w:rsidP="00BE33A2">
      <w:pPr>
        <w:spacing w:line="216" w:lineRule="auto"/>
        <w:ind w:left="274" w:right="62"/>
        <w:rPr>
          <w:rFonts w:ascii="Century Gothic" w:hAnsi="Century Gothic"/>
          <w:szCs w:val="22"/>
        </w:rPr>
      </w:pPr>
      <w:r w:rsidRPr="00AA22FD">
        <w:rPr>
          <w:rFonts w:ascii="Century Gothic" w:hAnsi="Century Gothic"/>
          <w:szCs w:val="22"/>
        </w:rPr>
        <w:t xml:space="preserve">El </w:t>
      </w:r>
      <w:proofErr w:type="spellStart"/>
      <w:r w:rsidRPr="00AA22FD">
        <w:rPr>
          <w:rFonts w:ascii="Century Gothic" w:hAnsi="Century Gothic"/>
          <w:szCs w:val="22"/>
        </w:rPr>
        <w:t>período</w:t>
      </w:r>
      <w:proofErr w:type="spellEnd"/>
      <w:r w:rsidRPr="00AA22FD">
        <w:rPr>
          <w:rFonts w:ascii="Century Gothic" w:hAnsi="Century Gothic"/>
          <w:szCs w:val="22"/>
        </w:rPr>
        <w:t xml:space="preserve"> de </w:t>
      </w:r>
      <w:proofErr w:type="spellStart"/>
      <w:r w:rsidRPr="00AA22FD">
        <w:rPr>
          <w:rFonts w:ascii="Century Gothic" w:hAnsi="Century Gothic"/>
          <w:szCs w:val="22"/>
        </w:rPr>
        <w:t>comentarios</w:t>
      </w:r>
      <w:proofErr w:type="spellEnd"/>
      <w:r w:rsidRPr="00AA22FD">
        <w:rPr>
          <w:rFonts w:ascii="Century Gothic" w:hAnsi="Century Gothic"/>
          <w:szCs w:val="22"/>
        </w:rPr>
        <w:t xml:space="preserve"> de </w:t>
      </w:r>
      <w:proofErr w:type="spellStart"/>
      <w:r w:rsidRPr="00AA22FD">
        <w:rPr>
          <w:rFonts w:ascii="Century Gothic" w:hAnsi="Century Gothic"/>
          <w:szCs w:val="22"/>
        </w:rPr>
        <w:t>treinta</w:t>
      </w:r>
      <w:proofErr w:type="spellEnd"/>
      <w:r w:rsidRPr="00AA22FD">
        <w:rPr>
          <w:rFonts w:ascii="Century Gothic" w:hAnsi="Century Gothic"/>
          <w:szCs w:val="22"/>
        </w:rPr>
        <w:t xml:space="preserve"> (30) días </w:t>
      </w:r>
      <w:proofErr w:type="spellStart"/>
      <w:r w:rsidRPr="00AA22FD">
        <w:rPr>
          <w:rFonts w:ascii="Century Gothic" w:hAnsi="Century Gothic"/>
          <w:szCs w:val="22"/>
        </w:rPr>
        <w:t>comienza</w:t>
      </w:r>
      <w:proofErr w:type="spellEnd"/>
      <w:r w:rsidRPr="00AA22FD">
        <w:rPr>
          <w:rFonts w:ascii="Century Gothic" w:hAnsi="Century Gothic"/>
          <w:szCs w:val="22"/>
        </w:rPr>
        <w:t xml:space="preserve"> </w:t>
      </w:r>
      <w:proofErr w:type="spellStart"/>
      <w:r w:rsidRPr="00AA22FD">
        <w:rPr>
          <w:rFonts w:ascii="Century Gothic" w:hAnsi="Century Gothic"/>
          <w:szCs w:val="22"/>
        </w:rPr>
        <w:t>el</w:t>
      </w:r>
      <w:proofErr w:type="spellEnd"/>
      <w:r w:rsidRPr="00AA22FD">
        <w:rPr>
          <w:rFonts w:ascii="Century Gothic" w:hAnsi="Century Gothic"/>
          <w:szCs w:val="22"/>
        </w:rPr>
        <w:t xml:space="preserve"> </w:t>
      </w:r>
      <w:proofErr w:type="spellStart"/>
      <w:r w:rsidRPr="00AA22FD">
        <w:rPr>
          <w:rFonts w:ascii="Century Gothic" w:hAnsi="Century Gothic"/>
          <w:szCs w:val="22"/>
        </w:rPr>
        <w:t>viernes</w:t>
      </w:r>
      <w:proofErr w:type="spellEnd"/>
      <w:r w:rsidRPr="00AA22FD">
        <w:rPr>
          <w:rFonts w:ascii="Century Gothic" w:hAnsi="Century Gothic"/>
          <w:szCs w:val="22"/>
        </w:rPr>
        <w:t xml:space="preserve"> 1 de </w:t>
      </w:r>
      <w:proofErr w:type="spellStart"/>
      <w:r>
        <w:rPr>
          <w:rFonts w:ascii="Century Gothic" w:hAnsi="Century Gothic"/>
          <w:szCs w:val="22"/>
        </w:rPr>
        <w:t>N</w:t>
      </w:r>
      <w:r w:rsidRPr="00AA22FD">
        <w:rPr>
          <w:rFonts w:ascii="Century Gothic" w:hAnsi="Century Gothic"/>
          <w:szCs w:val="22"/>
        </w:rPr>
        <w:t>oviembre</w:t>
      </w:r>
      <w:proofErr w:type="spellEnd"/>
      <w:r w:rsidRPr="00AA22FD">
        <w:rPr>
          <w:rFonts w:ascii="Century Gothic" w:hAnsi="Century Gothic"/>
          <w:szCs w:val="22"/>
        </w:rPr>
        <w:t xml:space="preserve"> de 2024 y </w:t>
      </w:r>
      <w:proofErr w:type="spellStart"/>
      <w:r w:rsidRPr="00AA22FD">
        <w:rPr>
          <w:rFonts w:ascii="Century Gothic" w:hAnsi="Century Gothic"/>
          <w:szCs w:val="22"/>
        </w:rPr>
        <w:t>finaliza</w:t>
      </w:r>
      <w:proofErr w:type="spellEnd"/>
      <w:r w:rsidRPr="00AA22FD">
        <w:rPr>
          <w:rFonts w:ascii="Century Gothic" w:hAnsi="Century Gothic"/>
          <w:szCs w:val="22"/>
        </w:rPr>
        <w:t xml:space="preserve"> </w:t>
      </w:r>
      <w:proofErr w:type="spellStart"/>
      <w:r w:rsidRPr="00AA22FD">
        <w:rPr>
          <w:rFonts w:ascii="Century Gothic" w:hAnsi="Century Gothic"/>
          <w:szCs w:val="22"/>
        </w:rPr>
        <w:t>el</w:t>
      </w:r>
      <w:proofErr w:type="spellEnd"/>
      <w:r w:rsidRPr="00AA22FD">
        <w:rPr>
          <w:rFonts w:ascii="Century Gothic" w:hAnsi="Century Gothic"/>
          <w:szCs w:val="22"/>
        </w:rPr>
        <w:t xml:space="preserve"> </w:t>
      </w:r>
      <w:proofErr w:type="spellStart"/>
      <w:r w:rsidRPr="00AA22FD">
        <w:rPr>
          <w:rFonts w:ascii="Century Gothic" w:hAnsi="Century Gothic"/>
          <w:szCs w:val="22"/>
        </w:rPr>
        <w:t>sábado</w:t>
      </w:r>
      <w:proofErr w:type="spellEnd"/>
      <w:r w:rsidRPr="00AA22FD">
        <w:rPr>
          <w:rFonts w:ascii="Century Gothic" w:hAnsi="Century Gothic"/>
          <w:szCs w:val="22"/>
        </w:rPr>
        <w:t xml:space="preserve"> 30 de </w:t>
      </w:r>
      <w:proofErr w:type="spellStart"/>
      <w:r w:rsidRPr="00AA22FD">
        <w:rPr>
          <w:rFonts w:ascii="Century Gothic" w:hAnsi="Century Gothic"/>
          <w:szCs w:val="22"/>
        </w:rPr>
        <w:t>noviembre</w:t>
      </w:r>
      <w:proofErr w:type="spellEnd"/>
      <w:r w:rsidRPr="00AA22FD">
        <w:rPr>
          <w:rFonts w:ascii="Century Gothic" w:hAnsi="Century Gothic"/>
          <w:szCs w:val="22"/>
        </w:rPr>
        <w:t xml:space="preserve"> de 2024. Se </w:t>
      </w:r>
      <w:proofErr w:type="spellStart"/>
      <w:r w:rsidRPr="00AA22FD">
        <w:rPr>
          <w:rFonts w:ascii="Century Gothic" w:hAnsi="Century Gothic"/>
          <w:szCs w:val="22"/>
        </w:rPr>
        <w:t>pondrán</w:t>
      </w:r>
      <w:proofErr w:type="spellEnd"/>
      <w:r w:rsidRPr="00AA22FD">
        <w:rPr>
          <w:rFonts w:ascii="Century Gothic" w:hAnsi="Century Gothic"/>
          <w:szCs w:val="22"/>
        </w:rPr>
        <w:t xml:space="preserve"> a </w:t>
      </w:r>
      <w:proofErr w:type="spellStart"/>
      <w:r w:rsidRPr="00AA22FD">
        <w:rPr>
          <w:rFonts w:ascii="Century Gothic" w:hAnsi="Century Gothic"/>
          <w:szCs w:val="22"/>
        </w:rPr>
        <w:t>disposición</w:t>
      </w:r>
      <w:proofErr w:type="spellEnd"/>
      <w:r w:rsidRPr="00AA22FD">
        <w:rPr>
          <w:rFonts w:ascii="Century Gothic" w:hAnsi="Century Gothic"/>
          <w:szCs w:val="22"/>
        </w:rPr>
        <w:t xml:space="preserve"> </w:t>
      </w:r>
      <w:proofErr w:type="spellStart"/>
      <w:r w:rsidRPr="00AA22FD">
        <w:rPr>
          <w:rFonts w:ascii="Century Gothic" w:hAnsi="Century Gothic"/>
          <w:szCs w:val="22"/>
        </w:rPr>
        <w:t>copias</w:t>
      </w:r>
      <w:proofErr w:type="spellEnd"/>
      <w:r w:rsidRPr="00AA22FD">
        <w:rPr>
          <w:rFonts w:ascii="Century Gothic" w:hAnsi="Century Gothic"/>
          <w:szCs w:val="22"/>
        </w:rPr>
        <w:t xml:space="preserve"> del Informe Moving to Work (MTW) </w:t>
      </w:r>
      <w:r w:rsidRPr="00AA22FD">
        <w:rPr>
          <w:rFonts w:ascii="Arial" w:hAnsi="Arial" w:cs="Arial"/>
          <w:szCs w:val="22"/>
        </w:rPr>
        <w:t>​​</w:t>
      </w:r>
      <w:r w:rsidRPr="00AA22FD">
        <w:rPr>
          <w:rFonts w:ascii="Century Gothic" w:hAnsi="Century Gothic"/>
          <w:szCs w:val="22"/>
        </w:rPr>
        <w:t xml:space="preserve">del </w:t>
      </w:r>
      <w:proofErr w:type="spellStart"/>
      <w:r w:rsidRPr="00AA22FD">
        <w:rPr>
          <w:rFonts w:ascii="Century Gothic" w:hAnsi="Century Gothic"/>
          <w:szCs w:val="22"/>
        </w:rPr>
        <w:t>a</w:t>
      </w:r>
      <w:r w:rsidRPr="00AA22FD">
        <w:rPr>
          <w:rFonts w:ascii="Century Gothic" w:hAnsi="Century Gothic" w:cs="Century Gothic"/>
          <w:szCs w:val="22"/>
        </w:rPr>
        <w:t>ñ</w:t>
      </w:r>
      <w:r w:rsidRPr="00AA22FD">
        <w:rPr>
          <w:rFonts w:ascii="Century Gothic" w:hAnsi="Century Gothic"/>
          <w:szCs w:val="22"/>
        </w:rPr>
        <w:t>o</w:t>
      </w:r>
      <w:proofErr w:type="spellEnd"/>
      <w:r w:rsidRPr="00AA22FD">
        <w:rPr>
          <w:rFonts w:ascii="Century Gothic" w:hAnsi="Century Gothic"/>
          <w:szCs w:val="22"/>
        </w:rPr>
        <w:t xml:space="preserve"> fiscal 2024 </w:t>
      </w:r>
      <w:proofErr w:type="spellStart"/>
      <w:r w:rsidRPr="00AA22FD">
        <w:rPr>
          <w:rFonts w:ascii="Century Gothic" w:hAnsi="Century Gothic"/>
          <w:szCs w:val="22"/>
        </w:rPr>
        <w:t>en</w:t>
      </w:r>
      <w:proofErr w:type="spellEnd"/>
      <w:r w:rsidRPr="00AA22FD">
        <w:rPr>
          <w:rFonts w:ascii="Century Gothic" w:hAnsi="Century Gothic"/>
          <w:szCs w:val="22"/>
        </w:rPr>
        <w:t xml:space="preserve"> </w:t>
      </w:r>
      <w:proofErr w:type="spellStart"/>
      <w:r w:rsidRPr="00AA22FD">
        <w:rPr>
          <w:rFonts w:ascii="Century Gothic" w:hAnsi="Century Gothic"/>
          <w:szCs w:val="22"/>
        </w:rPr>
        <w:t>el</w:t>
      </w:r>
      <w:proofErr w:type="spellEnd"/>
      <w:r w:rsidRPr="00AA22FD">
        <w:rPr>
          <w:rFonts w:ascii="Century Gothic" w:hAnsi="Century Gothic"/>
          <w:szCs w:val="22"/>
        </w:rPr>
        <w:t xml:space="preserve"> sitio web de la </w:t>
      </w:r>
      <w:proofErr w:type="spellStart"/>
      <w:r w:rsidRPr="00AA22FD">
        <w:rPr>
          <w:rFonts w:ascii="Century Gothic" w:hAnsi="Century Gothic"/>
          <w:szCs w:val="22"/>
        </w:rPr>
        <w:t>agencia</w:t>
      </w:r>
      <w:proofErr w:type="spellEnd"/>
      <w:r w:rsidRPr="00AA22FD">
        <w:rPr>
          <w:rFonts w:ascii="Century Gothic" w:hAnsi="Century Gothic"/>
          <w:szCs w:val="22"/>
        </w:rPr>
        <w:t xml:space="preserve"> www.elmcitycommunities.org </w:t>
      </w:r>
      <w:proofErr w:type="spellStart"/>
      <w:r w:rsidRPr="00AA22FD">
        <w:rPr>
          <w:rFonts w:ascii="Century Gothic" w:hAnsi="Century Gothic"/>
          <w:szCs w:val="22"/>
        </w:rPr>
        <w:t>o</w:t>
      </w:r>
      <w:proofErr w:type="spellEnd"/>
      <w:r w:rsidRPr="00AA22FD">
        <w:rPr>
          <w:rFonts w:ascii="Century Gothic" w:hAnsi="Century Gothic"/>
          <w:szCs w:val="22"/>
        </w:rPr>
        <w:t xml:space="preserve"> a </w:t>
      </w:r>
      <w:proofErr w:type="spellStart"/>
      <w:r w:rsidRPr="00AA22FD">
        <w:rPr>
          <w:rFonts w:ascii="Century Gothic" w:hAnsi="Century Gothic"/>
          <w:szCs w:val="22"/>
        </w:rPr>
        <w:t>trav</w:t>
      </w:r>
      <w:r w:rsidRPr="00AA22FD">
        <w:rPr>
          <w:rFonts w:ascii="Century Gothic" w:hAnsi="Century Gothic" w:cs="Century Gothic"/>
          <w:szCs w:val="22"/>
        </w:rPr>
        <w:t>é</w:t>
      </w:r>
      <w:r w:rsidRPr="00AA22FD">
        <w:rPr>
          <w:rFonts w:ascii="Century Gothic" w:hAnsi="Century Gothic"/>
          <w:szCs w:val="22"/>
        </w:rPr>
        <w:t>s</w:t>
      </w:r>
      <w:proofErr w:type="spellEnd"/>
      <w:r w:rsidRPr="00AA22FD">
        <w:rPr>
          <w:rFonts w:ascii="Century Gothic" w:hAnsi="Century Gothic"/>
          <w:szCs w:val="22"/>
        </w:rPr>
        <w:t xml:space="preserve"> de Twitter, www.twitter.com/ECCommunities </w:t>
      </w:r>
      <w:proofErr w:type="spellStart"/>
      <w:r w:rsidRPr="00AA22FD">
        <w:rPr>
          <w:rFonts w:ascii="Century Gothic" w:hAnsi="Century Gothic"/>
          <w:szCs w:val="22"/>
        </w:rPr>
        <w:t>o</w:t>
      </w:r>
      <w:proofErr w:type="spellEnd"/>
      <w:r w:rsidRPr="00AA22FD">
        <w:rPr>
          <w:rFonts w:ascii="Century Gothic" w:hAnsi="Century Gothic"/>
          <w:szCs w:val="22"/>
        </w:rPr>
        <w:t xml:space="preserve"> a </w:t>
      </w:r>
      <w:proofErr w:type="spellStart"/>
      <w:r w:rsidRPr="00AA22FD">
        <w:rPr>
          <w:rFonts w:ascii="Century Gothic" w:hAnsi="Century Gothic"/>
          <w:szCs w:val="22"/>
        </w:rPr>
        <w:t>trav</w:t>
      </w:r>
      <w:r w:rsidRPr="00AA22FD">
        <w:rPr>
          <w:rFonts w:ascii="Century Gothic" w:hAnsi="Century Gothic" w:cs="Century Gothic"/>
          <w:szCs w:val="22"/>
        </w:rPr>
        <w:t>é</w:t>
      </w:r>
      <w:r w:rsidRPr="00AA22FD">
        <w:rPr>
          <w:rFonts w:ascii="Century Gothic" w:hAnsi="Century Gothic"/>
          <w:szCs w:val="22"/>
        </w:rPr>
        <w:t>s</w:t>
      </w:r>
      <w:proofErr w:type="spellEnd"/>
      <w:r w:rsidRPr="00AA22FD">
        <w:rPr>
          <w:rFonts w:ascii="Century Gothic" w:hAnsi="Century Gothic"/>
          <w:szCs w:val="22"/>
        </w:rPr>
        <w:t xml:space="preserve"> de Facebook </w:t>
      </w:r>
      <w:hyperlink r:id="rId55" w:history="1">
        <w:r w:rsidRPr="00AA22FD">
          <w:rPr>
            <w:rStyle w:val="Hyperlink"/>
            <w:rFonts w:ascii="Century Gothic" w:hAnsi="Century Gothic"/>
            <w:szCs w:val="22"/>
          </w:rPr>
          <w:t>www.facebook.com/ElmCityCommunities</w:t>
        </w:r>
      </w:hyperlink>
      <w:r w:rsidRPr="00AA22FD">
        <w:rPr>
          <w:rFonts w:ascii="Century Gothic" w:hAnsi="Century Gothic"/>
          <w:szCs w:val="22"/>
        </w:rPr>
        <w:t>.</w:t>
      </w:r>
    </w:p>
    <w:p w14:paraId="5ECC3299" w14:textId="77777777" w:rsidR="00BE33A2" w:rsidRPr="00AA22FD" w:rsidRDefault="00BE33A2" w:rsidP="00BE33A2">
      <w:pPr>
        <w:spacing w:line="216" w:lineRule="auto"/>
        <w:ind w:left="274" w:right="62"/>
        <w:rPr>
          <w:rFonts w:ascii="Century Gothic" w:hAnsi="Century Gothic"/>
          <w:szCs w:val="22"/>
        </w:rPr>
      </w:pPr>
    </w:p>
    <w:p w14:paraId="5ABE129D" w14:textId="77777777" w:rsidR="00BE33A2" w:rsidRPr="00AA22FD" w:rsidRDefault="00BE33A2" w:rsidP="00BE33A2">
      <w:pPr>
        <w:spacing w:line="216" w:lineRule="auto"/>
        <w:ind w:left="274" w:right="62"/>
        <w:rPr>
          <w:rFonts w:ascii="Century Gothic" w:hAnsi="Century Gothic"/>
          <w:szCs w:val="22"/>
        </w:rPr>
      </w:pPr>
      <w:r w:rsidRPr="00AA22FD">
        <w:rPr>
          <w:rFonts w:ascii="Century Gothic" w:hAnsi="Century Gothic"/>
          <w:szCs w:val="22"/>
        </w:rPr>
        <w:t xml:space="preserve">Se le </w:t>
      </w:r>
      <w:proofErr w:type="spellStart"/>
      <w:r w:rsidRPr="00AA22FD">
        <w:rPr>
          <w:rFonts w:ascii="Century Gothic" w:hAnsi="Century Gothic"/>
          <w:szCs w:val="22"/>
        </w:rPr>
        <w:t>invita</w:t>
      </w:r>
      <w:proofErr w:type="spellEnd"/>
      <w:r w:rsidRPr="00AA22FD">
        <w:rPr>
          <w:rFonts w:ascii="Century Gothic" w:hAnsi="Century Gothic"/>
          <w:szCs w:val="22"/>
        </w:rPr>
        <w:t xml:space="preserve"> a </w:t>
      </w:r>
      <w:proofErr w:type="spellStart"/>
      <w:r w:rsidRPr="00AA22FD">
        <w:rPr>
          <w:rFonts w:ascii="Century Gothic" w:hAnsi="Century Gothic"/>
          <w:szCs w:val="22"/>
        </w:rPr>
        <w:t>enviar</w:t>
      </w:r>
      <w:proofErr w:type="spellEnd"/>
      <w:r w:rsidRPr="00AA22FD">
        <w:rPr>
          <w:rFonts w:ascii="Century Gothic" w:hAnsi="Century Gothic"/>
          <w:szCs w:val="22"/>
        </w:rPr>
        <w:t xml:space="preserve"> </w:t>
      </w:r>
      <w:proofErr w:type="spellStart"/>
      <w:r w:rsidRPr="00AA22FD">
        <w:rPr>
          <w:rFonts w:ascii="Century Gothic" w:hAnsi="Century Gothic"/>
          <w:szCs w:val="22"/>
        </w:rPr>
        <w:t>comentarios</w:t>
      </w:r>
      <w:proofErr w:type="spellEnd"/>
      <w:r w:rsidRPr="00AA22FD">
        <w:rPr>
          <w:rFonts w:ascii="Century Gothic" w:hAnsi="Century Gothic"/>
          <w:szCs w:val="22"/>
        </w:rPr>
        <w:t xml:space="preserve"> </w:t>
      </w:r>
      <w:proofErr w:type="spellStart"/>
      <w:r w:rsidRPr="00AA22FD">
        <w:rPr>
          <w:rFonts w:ascii="Century Gothic" w:hAnsi="Century Gothic"/>
          <w:szCs w:val="22"/>
        </w:rPr>
        <w:t>por</w:t>
      </w:r>
      <w:proofErr w:type="spellEnd"/>
      <w:r w:rsidRPr="00AA22FD">
        <w:rPr>
          <w:rFonts w:ascii="Century Gothic" w:hAnsi="Century Gothic"/>
          <w:szCs w:val="22"/>
        </w:rPr>
        <w:t xml:space="preserve"> </w:t>
      </w:r>
      <w:proofErr w:type="spellStart"/>
      <w:r w:rsidRPr="00AA22FD">
        <w:rPr>
          <w:rFonts w:ascii="Century Gothic" w:hAnsi="Century Gothic"/>
          <w:szCs w:val="22"/>
        </w:rPr>
        <w:t>escrito</w:t>
      </w:r>
      <w:proofErr w:type="spellEnd"/>
      <w:r w:rsidRPr="00AA22FD">
        <w:rPr>
          <w:rFonts w:ascii="Century Gothic" w:hAnsi="Century Gothic"/>
          <w:szCs w:val="22"/>
        </w:rPr>
        <w:t xml:space="preserve"> </w:t>
      </w:r>
      <w:proofErr w:type="spellStart"/>
      <w:r w:rsidRPr="00AA22FD">
        <w:rPr>
          <w:rFonts w:ascii="Century Gothic" w:hAnsi="Century Gothic"/>
          <w:szCs w:val="22"/>
        </w:rPr>
        <w:t>dirigidos</w:t>
      </w:r>
      <w:proofErr w:type="spellEnd"/>
      <w:r w:rsidRPr="00AA22FD">
        <w:rPr>
          <w:rFonts w:ascii="Century Gothic" w:hAnsi="Century Gothic"/>
          <w:szCs w:val="22"/>
        </w:rPr>
        <w:t xml:space="preserve"> a: ECC/HANH, Moving to Work FY2024 Annual Report, Attn: Evelise Ribeiro, 360 Orange Street, New Haven, CT 06511 o </w:t>
      </w:r>
      <w:proofErr w:type="spellStart"/>
      <w:r w:rsidRPr="00AA22FD">
        <w:rPr>
          <w:rFonts w:ascii="Century Gothic" w:hAnsi="Century Gothic"/>
          <w:szCs w:val="22"/>
        </w:rPr>
        <w:t>por</w:t>
      </w:r>
      <w:proofErr w:type="spellEnd"/>
      <w:r w:rsidRPr="00AA22FD">
        <w:rPr>
          <w:rFonts w:ascii="Century Gothic" w:hAnsi="Century Gothic"/>
          <w:szCs w:val="22"/>
        </w:rPr>
        <w:t xml:space="preserve"> </w:t>
      </w:r>
      <w:proofErr w:type="spellStart"/>
      <w:r w:rsidRPr="00AA22FD">
        <w:rPr>
          <w:rFonts w:ascii="Century Gothic" w:hAnsi="Century Gothic"/>
          <w:szCs w:val="22"/>
        </w:rPr>
        <w:t>correo</w:t>
      </w:r>
      <w:proofErr w:type="spellEnd"/>
      <w:r w:rsidRPr="00AA22FD">
        <w:rPr>
          <w:rFonts w:ascii="Century Gothic" w:hAnsi="Century Gothic"/>
          <w:szCs w:val="22"/>
        </w:rPr>
        <w:t xml:space="preserve"> </w:t>
      </w:r>
      <w:proofErr w:type="spellStart"/>
      <w:r w:rsidRPr="00AA22FD">
        <w:rPr>
          <w:rFonts w:ascii="Century Gothic" w:hAnsi="Century Gothic"/>
          <w:szCs w:val="22"/>
        </w:rPr>
        <w:t>electrónico</w:t>
      </w:r>
      <w:proofErr w:type="spellEnd"/>
      <w:r w:rsidRPr="00AA22FD">
        <w:rPr>
          <w:rFonts w:ascii="Century Gothic" w:hAnsi="Century Gothic"/>
          <w:szCs w:val="22"/>
        </w:rPr>
        <w:t xml:space="preserve"> a: </w:t>
      </w:r>
      <w:hyperlink r:id="rId56" w:history="1">
        <w:r w:rsidRPr="00AA22FD">
          <w:rPr>
            <w:rStyle w:val="Hyperlink"/>
            <w:rFonts w:ascii="Century Gothic" w:hAnsi="Century Gothic"/>
            <w:szCs w:val="22"/>
          </w:rPr>
          <w:t>eribeiro@elmcitycommunities.org</w:t>
        </w:r>
      </w:hyperlink>
      <w:r w:rsidRPr="00AA22FD">
        <w:rPr>
          <w:rFonts w:ascii="Century Gothic" w:hAnsi="Century Gothic"/>
          <w:szCs w:val="22"/>
        </w:rPr>
        <w:t>.</w:t>
      </w:r>
    </w:p>
    <w:p w14:paraId="48DCF49D" w14:textId="77777777" w:rsidR="00BE33A2" w:rsidRPr="00AA22FD" w:rsidRDefault="00BE33A2" w:rsidP="00BE33A2">
      <w:pPr>
        <w:spacing w:line="216" w:lineRule="auto"/>
        <w:ind w:left="274" w:right="62"/>
        <w:rPr>
          <w:rFonts w:ascii="Century Gothic" w:hAnsi="Century Gothic"/>
          <w:szCs w:val="22"/>
        </w:rPr>
      </w:pPr>
    </w:p>
    <w:p w14:paraId="5FA1143C" w14:textId="71BC4A39" w:rsidR="00BE33A2" w:rsidRPr="00937D6D" w:rsidRDefault="00BE33A2" w:rsidP="00BE33A2">
      <w:pPr>
        <w:spacing w:line="216" w:lineRule="auto"/>
        <w:ind w:left="274" w:right="62"/>
        <w:rPr>
          <w:rFonts w:ascii="Century Gothic" w:hAnsi="Century Gothic"/>
          <w:szCs w:val="22"/>
        </w:rPr>
      </w:pPr>
      <w:r w:rsidRPr="00AA22FD">
        <w:rPr>
          <w:rFonts w:ascii="Century Gothic" w:hAnsi="Century Gothic"/>
          <w:szCs w:val="22"/>
        </w:rPr>
        <w:t xml:space="preserve">De </w:t>
      </w:r>
      <w:proofErr w:type="spellStart"/>
      <w:r w:rsidRPr="00AA22FD">
        <w:rPr>
          <w:rFonts w:ascii="Century Gothic" w:hAnsi="Century Gothic"/>
          <w:szCs w:val="22"/>
        </w:rPr>
        <w:t>conformidad</w:t>
      </w:r>
      <w:proofErr w:type="spellEnd"/>
      <w:r w:rsidRPr="00AA22FD">
        <w:rPr>
          <w:rFonts w:ascii="Century Gothic" w:hAnsi="Century Gothic"/>
          <w:szCs w:val="22"/>
        </w:rPr>
        <w:t xml:space="preserve"> con las </w:t>
      </w:r>
      <w:proofErr w:type="spellStart"/>
      <w:r w:rsidRPr="00AA22FD">
        <w:rPr>
          <w:rFonts w:ascii="Century Gothic" w:hAnsi="Century Gothic"/>
          <w:szCs w:val="22"/>
        </w:rPr>
        <w:t>Secciones</w:t>
      </w:r>
      <w:proofErr w:type="spellEnd"/>
      <w:r w:rsidRPr="00AA22FD">
        <w:rPr>
          <w:rFonts w:ascii="Century Gothic" w:hAnsi="Century Gothic"/>
          <w:szCs w:val="22"/>
        </w:rPr>
        <w:t xml:space="preserve"> II y VII </w:t>
      </w:r>
      <w:proofErr w:type="spellStart"/>
      <w:r w:rsidRPr="00AA22FD">
        <w:rPr>
          <w:rFonts w:ascii="Century Gothic" w:hAnsi="Century Gothic"/>
          <w:szCs w:val="22"/>
        </w:rPr>
        <w:t>mencionadas</w:t>
      </w:r>
      <w:proofErr w:type="spellEnd"/>
      <w:r w:rsidRPr="00AA22FD">
        <w:rPr>
          <w:rFonts w:ascii="Century Gothic" w:hAnsi="Century Gothic"/>
          <w:szCs w:val="22"/>
        </w:rPr>
        <w:t xml:space="preserve">, se ha </w:t>
      </w:r>
      <w:proofErr w:type="spellStart"/>
      <w:r w:rsidRPr="00AA22FD">
        <w:rPr>
          <w:rFonts w:ascii="Century Gothic" w:hAnsi="Century Gothic"/>
          <w:szCs w:val="22"/>
        </w:rPr>
        <w:t>programado</w:t>
      </w:r>
      <w:proofErr w:type="spellEnd"/>
      <w:r w:rsidRPr="00AA22FD">
        <w:rPr>
          <w:rFonts w:ascii="Century Gothic" w:hAnsi="Century Gothic"/>
          <w:szCs w:val="22"/>
        </w:rPr>
        <w:t xml:space="preserve"> </w:t>
      </w:r>
      <w:proofErr w:type="spellStart"/>
      <w:r w:rsidRPr="00AA22FD">
        <w:rPr>
          <w:rFonts w:ascii="Century Gothic" w:hAnsi="Century Gothic"/>
          <w:szCs w:val="22"/>
        </w:rPr>
        <w:t>una</w:t>
      </w:r>
      <w:proofErr w:type="spellEnd"/>
      <w:r w:rsidRPr="00AA22FD">
        <w:rPr>
          <w:rFonts w:ascii="Century Gothic" w:hAnsi="Century Gothic"/>
          <w:szCs w:val="22"/>
        </w:rPr>
        <w:t xml:space="preserve"> audiencia </w:t>
      </w:r>
      <w:proofErr w:type="spellStart"/>
      <w:r w:rsidRPr="00937D6D">
        <w:rPr>
          <w:rFonts w:ascii="Century Gothic" w:hAnsi="Century Gothic"/>
          <w:szCs w:val="22"/>
        </w:rPr>
        <w:t>pública</w:t>
      </w:r>
      <w:proofErr w:type="spellEnd"/>
      <w:r w:rsidRPr="00937D6D">
        <w:rPr>
          <w:rFonts w:ascii="Century Gothic" w:hAnsi="Century Gothic"/>
          <w:szCs w:val="22"/>
        </w:rPr>
        <w:t xml:space="preserve"> </w:t>
      </w:r>
      <w:proofErr w:type="spellStart"/>
      <w:r w:rsidRPr="00937D6D">
        <w:rPr>
          <w:rFonts w:ascii="Century Gothic" w:hAnsi="Century Gothic"/>
          <w:szCs w:val="22"/>
        </w:rPr>
        <w:t>en</w:t>
      </w:r>
      <w:proofErr w:type="spellEnd"/>
      <w:r w:rsidRPr="00937D6D">
        <w:rPr>
          <w:rFonts w:ascii="Century Gothic" w:hAnsi="Century Gothic"/>
          <w:szCs w:val="22"/>
        </w:rPr>
        <w:t xml:space="preserve"> la </w:t>
      </w:r>
      <w:proofErr w:type="spellStart"/>
      <w:r w:rsidRPr="00937D6D">
        <w:rPr>
          <w:rFonts w:ascii="Century Gothic" w:hAnsi="Century Gothic"/>
          <w:szCs w:val="22"/>
        </w:rPr>
        <w:t>que</w:t>
      </w:r>
      <w:proofErr w:type="spellEnd"/>
      <w:r w:rsidRPr="00937D6D">
        <w:rPr>
          <w:rFonts w:ascii="Century Gothic" w:hAnsi="Century Gothic"/>
          <w:szCs w:val="22"/>
        </w:rPr>
        <w:t xml:space="preserve"> se </w:t>
      </w:r>
      <w:proofErr w:type="spellStart"/>
      <w:r w:rsidRPr="00937D6D">
        <w:rPr>
          <w:rFonts w:ascii="Century Gothic" w:hAnsi="Century Gothic"/>
          <w:szCs w:val="22"/>
        </w:rPr>
        <w:t>aceptarán</w:t>
      </w:r>
      <w:proofErr w:type="spellEnd"/>
      <w:r w:rsidRPr="00937D6D">
        <w:rPr>
          <w:rFonts w:ascii="Century Gothic" w:hAnsi="Century Gothic"/>
          <w:szCs w:val="22"/>
        </w:rPr>
        <w:t xml:space="preserve"> y </w:t>
      </w:r>
      <w:proofErr w:type="spellStart"/>
      <w:r w:rsidRPr="00937D6D">
        <w:rPr>
          <w:rFonts w:ascii="Century Gothic" w:hAnsi="Century Gothic"/>
          <w:szCs w:val="22"/>
        </w:rPr>
        <w:t>registrarán</w:t>
      </w:r>
      <w:proofErr w:type="spellEnd"/>
      <w:r w:rsidRPr="00937D6D">
        <w:rPr>
          <w:rFonts w:ascii="Century Gothic" w:hAnsi="Century Gothic"/>
          <w:szCs w:val="22"/>
        </w:rPr>
        <w:t xml:space="preserve"> </w:t>
      </w:r>
      <w:proofErr w:type="spellStart"/>
      <w:r w:rsidRPr="00937D6D">
        <w:rPr>
          <w:rFonts w:ascii="Century Gothic" w:hAnsi="Century Gothic"/>
          <w:szCs w:val="22"/>
        </w:rPr>
        <w:t>los</w:t>
      </w:r>
      <w:proofErr w:type="spellEnd"/>
      <w:r w:rsidRPr="00937D6D">
        <w:rPr>
          <w:rFonts w:ascii="Century Gothic" w:hAnsi="Century Gothic"/>
          <w:szCs w:val="22"/>
        </w:rPr>
        <w:t xml:space="preserve"> </w:t>
      </w:r>
      <w:proofErr w:type="spellStart"/>
      <w:r w:rsidRPr="00937D6D">
        <w:rPr>
          <w:rFonts w:ascii="Century Gothic" w:hAnsi="Century Gothic"/>
          <w:szCs w:val="22"/>
        </w:rPr>
        <w:t>comentarios</w:t>
      </w:r>
      <w:proofErr w:type="spellEnd"/>
      <w:r w:rsidRPr="00937D6D">
        <w:rPr>
          <w:rFonts w:ascii="Century Gothic" w:hAnsi="Century Gothic"/>
          <w:szCs w:val="22"/>
        </w:rPr>
        <w:t xml:space="preserve"> </w:t>
      </w:r>
      <w:proofErr w:type="spellStart"/>
      <w:r w:rsidRPr="00937D6D">
        <w:rPr>
          <w:rFonts w:ascii="Century Gothic" w:hAnsi="Century Gothic"/>
          <w:szCs w:val="22"/>
        </w:rPr>
        <w:t>públicos</w:t>
      </w:r>
      <w:proofErr w:type="spellEnd"/>
      <w:r w:rsidRPr="00937D6D">
        <w:rPr>
          <w:rFonts w:ascii="Century Gothic" w:hAnsi="Century Gothic"/>
          <w:szCs w:val="22"/>
        </w:rPr>
        <w:t xml:space="preserve"> para </w:t>
      </w:r>
      <w:proofErr w:type="spellStart"/>
      <w:r w:rsidRPr="00937D6D">
        <w:rPr>
          <w:rFonts w:ascii="Century Gothic" w:hAnsi="Century Gothic"/>
          <w:szCs w:val="22"/>
        </w:rPr>
        <w:t>el</w:t>
      </w:r>
      <w:proofErr w:type="spellEnd"/>
      <w:r w:rsidRPr="00937D6D">
        <w:rPr>
          <w:rFonts w:ascii="Century Gothic" w:hAnsi="Century Gothic"/>
          <w:szCs w:val="22"/>
        </w:rPr>
        <w:t xml:space="preserve"> lunes 25 de </w:t>
      </w:r>
      <w:proofErr w:type="spellStart"/>
      <w:r w:rsidR="00937D6D">
        <w:rPr>
          <w:rFonts w:ascii="Century Gothic" w:hAnsi="Century Gothic"/>
          <w:szCs w:val="22"/>
        </w:rPr>
        <w:t>N</w:t>
      </w:r>
      <w:r w:rsidRPr="00937D6D">
        <w:rPr>
          <w:rFonts w:ascii="Century Gothic" w:hAnsi="Century Gothic"/>
          <w:szCs w:val="22"/>
        </w:rPr>
        <w:t>oviembre</w:t>
      </w:r>
      <w:proofErr w:type="spellEnd"/>
      <w:r w:rsidRPr="00937D6D">
        <w:rPr>
          <w:rFonts w:ascii="Century Gothic" w:hAnsi="Century Gothic"/>
          <w:szCs w:val="22"/>
        </w:rPr>
        <w:t xml:space="preserve"> de 2024 a las 3:00 p. m. a </w:t>
      </w:r>
      <w:proofErr w:type="spellStart"/>
      <w:r w:rsidRPr="00937D6D">
        <w:rPr>
          <w:rFonts w:ascii="Century Gothic" w:hAnsi="Century Gothic"/>
          <w:szCs w:val="22"/>
        </w:rPr>
        <w:t>través</w:t>
      </w:r>
      <w:proofErr w:type="spellEnd"/>
      <w:r w:rsidRPr="00937D6D">
        <w:rPr>
          <w:rFonts w:ascii="Century Gothic" w:hAnsi="Century Gothic"/>
          <w:szCs w:val="22"/>
        </w:rPr>
        <w:t xml:space="preserve"> de RingCentral: https://v.ringcentral.com/join/185686287?pw=d7db4e4f735df6289ed5adfb24f3f113</w:t>
      </w:r>
    </w:p>
    <w:p w14:paraId="41921C89" w14:textId="77777777" w:rsidR="00BE33A2" w:rsidRPr="00937D6D" w:rsidRDefault="00BE33A2" w:rsidP="00BE33A2">
      <w:pPr>
        <w:pStyle w:val="NoSpacing"/>
        <w:ind w:firstLine="274"/>
        <w:rPr>
          <w:rFonts w:ascii="Century Gothic" w:hAnsi="Century Gothic"/>
          <w:b w:val="0"/>
          <w:sz w:val="22"/>
          <w:szCs w:val="22"/>
        </w:rPr>
      </w:pPr>
      <w:r w:rsidRPr="00937D6D">
        <w:rPr>
          <w:rFonts w:ascii="Century Gothic" w:hAnsi="Century Gothic"/>
          <w:b w:val="0"/>
          <w:sz w:val="22"/>
          <w:szCs w:val="22"/>
        </w:rPr>
        <w:t xml:space="preserve">ID de la </w:t>
      </w:r>
      <w:proofErr w:type="spellStart"/>
      <w:r w:rsidRPr="00937D6D">
        <w:rPr>
          <w:rFonts w:ascii="Century Gothic" w:hAnsi="Century Gothic"/>
          <w:b w:val="0"/>
          <w:sz w:val="22"/>
          <w:szCs w:val="22"/>
        </w:rPr>
        <w:t>reunión</w:t>
      </w:r>
      <w:proofErr w:type="spellEnd"/>
      <w:r w:rsidRPr="00937D6D">
        <w:rPr>
          <w:rFonts w:ascii="Century Gothic" w:hAnsi="Century Gothic"/>
          <w:b w:val="0"/>
          <w:sz w:val="22"/>
          <w:szCs w:val="22"/>
        </w:rPr>
        <w:t>: 185686287</w:t>
      </w:r>
    </w:p>
    <w:p w14:paraId="1D5D8C56" w14:textId="77777777" w:rsidR="00BE33A2" w:rsidRPr="00937D6D" w:rsidRDefault="00BE33A2" w:rsidP="00BE33A2">
      <w:pPr>
        <w:pStyle w:val="NoSpacing"/>
        <w:ind w:firstLine="274"/>
        <w:rPr>
          <w:rFonts w:ascii="Century Gothic" w:hAnsi="Century Gothic"/>
          <w:b w:val="0"/>
          <w:sz w:val="22"/>
          <w:szCs w:val="22"/>
        </w:rPr>
      </w:pPr>
      <w:proofErr w:type="spellStart"/>
      <w:r w:rsidRPr="00937D6D">
        <w:rPr>
          <w:rFonts w:ascii="Century Gothic" w:hAnsi="Century Gothic"/>
          <w:b w:val="0"/>
          <w:sz w:val="22"/>
          <w:szCs w:val="22"/>
        </w:rPr>
        <w:t>Contraseña</w:t>
      </w:r>
      <w:proofErr w:type="spellEnd"/>
      <w:r w:rsidRPr="00937D6D">
        <w:rPr>
          <w:rFonts w:ascii="Century Gothic" w:hAnsi="Century Gothic"/>
          <w:b w:val="0"/>
          <w:sz w:val="22"/>
          <w:szCs w:val="22"/>
        </w:rPr>
        <w:t>: yaw6Zk28PK</w:t>
      </w:r>
    </w:p>
    <w:p w14:paraId="28DD8D8B" w14:textId="77777777" w:rsidR="00BE33A2" w:rsidRPr="00937D6D" w:rsidRDefault="00BE33A2" w:rsidP="00BE33A2">
      <w:pPr>
        <w:pStyle w:val="NoSpacing"/>
        <w:ind w:firstLine="274"/>
        <w:rPr>
          <w:rFonts w:ascii="Century Gothic" w:hAnsi="Century Gothic"/>
          <w:b w:val="0"/>
          <w:sz w:val="22"/>
          <w:szCs w:val="22"/>
        </w:rPr>
      </w:pPr>
    </w:p>
    <w:p w14:paraId="568BE037" w14:textId="77777777" w:rsidR="00BE33A2" w:rsidRPr="00937D6D" w:rsidRDefault="00BE33A2" w:rsidP="00BE33A2">
      <w:pPr>
        <w:pStyle w:val="NoSpacing"/>
        <w:ind w:firstLine="274"/>
        <w:rPr>
          <w:rFonts w:ascii="Century Gothic" w:hAnsi="Century Gothic"/>
          <w:b w:val="0"/>
          <w:sz w:val="22"/>
          <w:szCs w:val="22"/>
        </w:rPr>
      </w:pPr>
      <w:r w:rsidRPr="00937D6D">
        <w:rPr>
          <w:rFonts w:ascii="Century Gothic" w:hAnsi="Century Gothic"/>
          <w:b w:val="0"/>
          <w:sz w:val="22"/>
          <w:szCs w:val="22"/>
        </w:rPr>
        <w:t>O marque:</w:t>
      </w:r>
    </w:p>
    <w:p w14:paraId="4F258C33" w14:textId="77777777" w:rsidR="00BE33A2" w:rsidRPr="00937D6D" w:rsidRDefault="00BE33A2" w:rsidP="00BE33A2">
      <w:pPr>
        <w:pStyle w:val="NoSpacing"/>
        <w:ind w:firstLine="274"/>
        <w:rPr>
          <w:rFonts w:ascii="Century Gothic" w:hAnsi="Century Gothic"/>
          <w:b w:val="0"/>
          <w:sz w:val="22"/>
          <w:szCs w:val="22"/>
        </w:rPr>
      </w:pPr>
      <w:r w:rsidRPr="00937D6D">
        <w:rPr>
          <w:rFonts w:ascii="Century Gothic" w:hAnsi="Century Gothic"/>
          <w:b w:val="0"/>
          <w:sz w:val="22"/>
          <w:szCs w:val="22"/>
        </w:rPr>
        <w:t xml:space="preserve">+12679304000 </w:t>
      </w:r>
      <w:proofErr w:type="spellStart"/>
      <w:r w:rsidRPr="00937D6D">
        <w:rPr>
          <w:rFonts w:ascii="Century Gothic" w:hAnsi="Century Gothic"/>
          <w:b w:val="0"/>
          <w:sz w:val="22"/>
          <w:szCs w:val="22"/>
        </w:rPr>
        <w:t>Estados</w:t>
      </w:r>
      <w:proofErr w:type="spellEnd"/>
      <w:r w:rsidRPr="00937D6D">
        <w:rPr>
          <w:rFonts w:ascii="Century Gothic" w:hAnsi="Century Gothic"/>
          <w:b w:val="0"/>
          <w:sz w:val="22"/>
          <w:szCs w:val="22"/>
        </w:rPr>
        <w:t xml:space="preserve"> Unidos (Filadelfia, PA)</w:t>
      </w:r>
    </w:p>
    <w:p w14:paraId="6E8061C8" w14:textId="77777777" w:rsidR="00BE33A2" w:rsidRPr="00937D6D" w:rsidRDefault="00BE33A2" w:rsidP="00BE33A2">
      <w:pPr>
        <w:pStyle w:val="NoSpacing"/>
        <w:ind w:firstLine="274"/>
        <w:rPr>
          <w:rFonts w:ascii="Century Gothic" w:hAnsi="Century Gothic"/>
          <w:b w:val="0"/>
          <w:sz w:val="22"/>
          <w:szCs w:val="22"/>
        </w:rPr>
      </w:pPr>
      <w:r w:rsidRPr="00937D6D">
        <w:rPr>
          <w:rFonts w:ascii="Century Gothic" w:hAnsi="Century Gothic"/>
          <w:b w:val="0"/>
          <w:sz w:val="22"/>
          <w:szCs w:val="22"/>
        </w:rPr>
        <w:lastRenderedPageBreak/>
        <w:t xml:space="preserve">Código de </w:t>
      </w:r>
      <w:proofErr w:type="spellStart"/>
      <w:r w:rsidRPr="00937D6D">
        <w:rPr>
          <w:rFonts w:ascii="Century Gothic" w:hAnsi="Century Gothic"/>
          <w:b w:val="0"/>
          <w:sz w:val="22"/>
          <w:szCs w:val="22"/>
        </w:rPr>
        <w:t>acceso</w:t>
      </w:r>
      <w:proofErr w:type="spellEnd"/>
      <w:r w:rsidRPr="00937D6D">
        <w:rPr>
          <w:rFonts w:ascii="Century Gothic" w:hAnsi="Century Gothic"/>
          <w:b w:val="0"/>
          <w:sz w:val="22"/>
          <w:szCs w:val="22"/>
        </w:rPr>
        <w:t xml:space="preserve">/ID de la </w:t>
      </w:r>
      <w:proofErr w:type="spellStart"/>
      <w:r w:rsidRPr="00937D6D">
        <w:rPr>
          <w:rFonts w:ascii="Century Gothic" w:hAnsi="Century Gothic"/>
          <w:b w:val="0"/>
          <w:sz w:val="22"/>
          <w:szCs w:val="22"/>
        </w:rPr>
        <w:t>reunión</w:t>
      </w:r>
      <w:proofErr w:type="spellEnd"/>
      <w:r w:rsidRPr="00937D6D">
        <w:rPr>
          <w:rFonts w:ascii="Century Gothic" w:hAnsi="Century Gothic"/>
          <w:b w:val="0"/>
          <w:sz w:val="22"/>
          <w:szCs w:val="22"/>
        </w:rPr>
        <w:t>: 185686287</w:t>
      </w:r>
    </w:p>
    <w:p w14:paraId="4E342D04" w14:textId="77777777" w:rsidR="00BE33A2" w:rsidRPr="00937D6D" w:rsidRDefault="00BE33A2" w:rsidP="00BE33A2">
      <w:pPr>
        <w:pStyle w:val="NoSpacing"/>
        <w:ind w:firstLine="274"/>
        <w:rPr>
          <w:rFonts w:ascii="Century Gothic" w:hAnsi="Century Gothic"/>
          <w:b w:val="0"/>
          <w:sz w:val="22"/>
          <w:szCs w:val="22"/>
        </w:rPr>
      </w:pPr>
      <w:proofErr w:type="spellStart"/>
      <w:r w:rsidRPr="00937D6D">
        <w:rPr>
          <w:rFonts w:ascii="Century Gothic" w:hAnsi="Century Gothic"/>
          <w:b w:val="0"/>
          <w:sz w:val="22"/>
          <w:szCs w:val="22"/>
        </w:rPr>
        <w:t>Contraseña</w:t>
      </w:r>
      <w:proofErr w:type="spellEnd"/>
      <w:r w:rsidRPr="00937D6D">
        <w:rPr>
          <w:rFonts w:ascii="Century Gothic" w:hAnsi="Century Gothic"/>
          <w:b w:val="0"/>
          <w:sz w:val="22"/>
          <w:szCs w:val="22"/>
        </w:rPr>
        <w:t xml:space="preserve"> de </w:t>
      </w:r>
      <w:proofErr w:type="spellStart"/>
      <w:r w:rsidRPr="00937D6D">
        <w:rPr>
          <w:rFonts w:ascii="Century Gothic" w:hAnsi="Century Gothic"/>
          <w:b w:val="0"/>
          <w:sz w:val="22"/>
          <w:szCs w:val="22"/>
        </w:rPr>
        <w:t>acceso</w:t>
      </w:r>
      <w:proofErr w:type="spellEnd"/>
      <w:r w:rsidRPr="00937D6D">
        <w:rPr>
          <w:rFonts w:ascii="Century Gothic" w:hAnsi="Century Gothic"/>
          <w:b w:val="0"/>
          <w:sz w:val="22"/>
          <w:szCs w:val="22"/>
        </w:rPr>
        <w:t xml:space="preserve"> </w:t>
      </w:r>
      <w:proofErr w:type="spellStart"/>
      <w:r w:rsidRPr="00937D6D">
        <w:rPr>
          <w:rFonts w:ascii="Century Gothic" w:hAnsi="Century Gothic"/>
          <w:b w:val="0"/>
          <w:sz w:val="22"/>
          <w:szCs w:val="22"/>
        </w:rPr>
        <w:t>telefónico</w:t>
      </w:r>
      <w:proofErr w:type="spellEnd"/>
      <w:r w:rsidRPr="00937D6D">
        <w:rPr>
          <w:rFonts w:ascii="Century Gothic" w:hAnsi="Century Gothic"/>
          <w:b w:val="0"/>
          <w:sz w:val="22"/>
          <w:szCs w:val="22"/>
        </w:rPr>
        <w:t>: 9296952875</w:t>
      </w:r>
    </w:p>
    <w:p w14:paraId="42AFD9EE" w14:textId="77777777" w:rsidR="00BE33A2" w:rsidRPr="00AA22FD" w:rsidRDefault="00BE33A2" w:rsidP="00BE33A2">
      <w:pPr>
        <w:spacing w:line="216" w:lineRule="auto"/>
        <w:ind w:left="274" w:right="62"/>
        <w:rPr>
          <w:rFonts w:ascii="Century Gothic" w:hAnsi="Century Gothic"/>
          <w:szCs w:val="22"/>
        </w:rPr>
      </w:pPr>
    </w:p>
    <w:p w14:paraId="6F485361" w14:textId="77777777" w:rsidR="00BE33A2" w:rsidRPr="00AA22FD" w:rsidRDefault="00BE33A2" w:rsidP="00BE33A2">
      <w:pPr>
        <w:spacing w:line="216" w:lineRule="auto"/>
        <w:ind w:left="274" w:right="62"/>
        <w:rPr>
          <w:rFonts w:ascii="Century Gothic" w:hAnsi="Century Gothic"/>
          <w:szCs w:val="22"/>
        </w:rPr>
      </w:pPr>
      <w:proofErr w:type="spellStart"/>
      <w:r w:rsidRPr="00AA22FD">
        <w:rPr>
          <w:rFonts w:ascii="Century Gothic" w:hAnsi="Century Gothic"/>
          <w:szCs w:val="22"/>
        </w:rPr>
        <w:t>Números</w:t>
      </w:r>
      <w:proofErr w:type="spellEnd"/>
      <w:r w:rsidRPr="00AA22FD">
        <w:rPr>
          <w:rFonts w:ascii="Century Gothic" w:hAnsi="Century Gothic"/>
          <w:szCs w:val="22"/>
        </w:rPr>
        <w:t xml:space="preserve"> </w:t>
      </w:r>
      <w:proofErr w:type="spellStart"/>
      <w:r w:rsidRPr="00AA22FD">
        <w:rPr>
          <w:rFonts w:ascii="Century Gothic" w:hAnsi="Century Gothic"/>
          <w:szCs w:val="22"/>
        </w:rPr>
        <w:t>internacionales</w:t>
      </w:r>
      <w:proofErr w:type="spellEnd"/>
      <w:r w:rsidRPr="00AA22FD">
        <w:rPr>
          <w:rFonts w:ascii="Century Gothic" w:hAnsi="Century Gothic"/>
          <w:szCs w:val="22"/>
        </w:rPr>
        <w:t xml:space="preserve"> </w:t>
      </w:r>
      <w:proofErr w:type="spellStart"/>
      <w:r w:rsidRPr="00AA22FD">
        <w:rPr>
          <w:rFonts w:ascii="Century Gothic" w:hAnsi="Century Gothic"/>
          <w:szCs w:val="22"/>
        </w:rPr>
        <w:t>disponibles</w:t>
      </w:r>
      <w:proofErr w:type="spellEnd"/>
      <w:r w:rsidRPr="00AA22FD">
        <w:rPr>
          <w:rFonts w:ascii="Century Gothic" w:hAnsi="Century Gothic"/>
          <w:szCs w:val="22"/>
        </w:rPr>
        <w:t>: https://v.ringcentral.com/teleconference</w:t>
      </w:r>
    </w:p>
    <w:p w14:paraId="44B39ADC" w14:textId="77777777" w:rsidR="00BE33A2" w:rsidRPr="00AA22FD" w:rsidRDefault="00BE33A2" w:rsidP="00BE33A2">
      <w:pPr>
        <w:spacing w:line="216" w:lineRule="auto"/>
        <w:ind w:left="274" w:right="62"/>
        <w:rPr>
          <w:rFonts w:ascii="Century Gothic" w:hAnsi="Century Gothic"/>
          <w:szCs w:val="22"/>
        </w:rPr>
      </w:pPr>
      <w:r w:rsidRPr="00AA22FD">
        <w:rPr>
          <w:rFonts w:ascii="Century Gothic" w:hAnsi="Century Gothic"/>
          <w:szCs w:val="22"/>
        </w:rPr>
        <w:t xml:space="preserve">Cualquier persona </w:t>
      </w:r>
      <w:proofErr w:type="spellStart"/>
      <w:r w:rsidRPr="00AA22FD">
        <w:rPr>
          <w:rFonts w:ascii="Century Gothic" w:hAnsi="Century Gothic"/>
          <w:szCs w:val="22"/>
        </w:rPr>
        <w:t>que</w:t>
      </w:r>
      <w:proofErr w:type="spellEnd"/>
      <w:r w:rsidRPr="00AA22FD">
        <w:rPr>
          <w:rFonts w:ascii="Century Gothic" w:hAnsi="Century Gothic"/>
          <w:szCs w:val="22"/>
        </w:rPr>
        <w:t xml:space="preserve"> </w:t>
      </w:r>
      <w:proofErr w:type="spellStart"/>
      <w:r w:rsidRPr="00AA22FD">
        <w:rPr>
          <w:rFonts w:ascii="Century Gothic" w:hAnsi="Century Gothic"/>
          <w:szCs w:val="22"/>
        </w:rPr>
        <w:t>requiera</w:t>
      </w:r>
      <w:proofErr w:type="spellEnd"/>
      <w:r w:rsidRPr="00AA22FD">
        <w:rPr>
          <w:rFonts w:ascii="Century Gothic" w:hAnsi="Century Gothic"/>
          <w:szCs w:val="22"/>
        </w:rPr>
        <w:t xml:space="preserve"> </w:t>
      </w:r>
      <w:proofErr w:type="spellStart"/>
      <w:r w:rsidRPr="00AA22FD">
        <w:rPr>
          <w:rFonts w:ascii="Century Gothic" w:hAnsi="Century Gothic"/>
          <w:szCs w:val="22"/>
        </w:rPr>
        <w:t>una</w:t>
      </w:r>
      <w:proofErr w:type="spellEnd"/>
      <w:r w:rsidRPr="00AA22FD">
        <w:rPr>
          <w:rFonts w:ascii="Century Gothic" w:hAnsi="Century Gothic"/>
          <w:szCs w:val="22"/>
        </w:rPr>
        <w:t xml:space="preserve"> </w:t>
      </w:r>
      <w:proofErr w:type="spellStart"/>
      <w:r w:rsidRPr="00AA22FD">
        <w:rPr>
          <w:rFonts w:ascii="Century Gothic" w:hAnsi="Century Gothic"/>
          <w:szCs w:val="22"/>
        </w:rPr>
        <w:t>adaptación</w:t>
      </w:r>
      <w:proofErr w:type="spellEnd"/>
      <w:r w:rsidRPr="00AA22FD">
        <w:rPr>
          <w:rFonts w:ascii="Century Gothic" w:hAnsi="Century Gothic"/>
          <w:szCs w:val="22"/>
        </w:rPr>
        <w:t xml:space="preserve"> </w:t>
      </w:r>
      <w:proofErr w:type="spellStart"/>
      <w:r w:rsidRPr="00AA22FD">
        <w:rPr>
          <w:rFonts w:ascii="Century Gothic" w:hAnsi="Century Gothic"/>
          <w:szCs w:val="22"/>
        </w:rPr>
        <w:t>razonable</w:t>
      </w:r>
      <w:proofErr w:type="spellEnd"/>
      <w:r w:rsidRPr="00AA22FD">
        <w:rPr>
          <w:rFonts w:ascii="Century Gothic" w:hAnsi="Century Gothic"/>
          <w:szCs w:val="22"/>
        </w:rPr>
        <w:t xml:space="preserve"> para </w:t>
      </w:r>
      <w:proofErr w:type="spellStart"/>
      <w:r w:rsidRPr="00AA22FD">
        <w:rPr>
          <w:rFonts w:ascii="Century Gothic" w:hAnsi="Century Gothic"/>
          <w:szCs w:val="22"/>
        </w:rPr>
        <w:t>participar</w:t>
      </w:r>
      <w:proofErr w:type="spellEnd"/>
      <w:r w:rsidRPr="00AA22FD">
        <w:rPr>
          <w:rFonts w:ascii="Century Gothic" w:hAnsi="Century Gothic"/>
          <w:szCs w:val="22"/>
        </w:rPr>
        <w:t xml:space="preserve"> </w:t>
      </w:r>
      <w:proofErr w:type="spellStart"/>
      <w:r w:rsidRPr="00AA22FD">
        <w:rPr>
          <w:rFonts w:ascii="Century Gothic" w:hAnsi="Century Gothic"/>
          <w:szCs w:val="22"/>
        </w:rPr>
        <w:t>en</w:t>
      </w:r>
      <w:proofErr w:type="spellEnd"/>
      <w:r w:rsidRPr="00AA22FD">
        <w:rPr>
          <w:rFonts w:ascii="Century Gothic" w:hAnsi="Century Gothic"/>
          <w:szCs w:val="22"/>
        </w:rPr>
        <w:t xml:space="preserve"> la audiencia </w:t>
      </w:r>
      <w:proofErr w:type="spellStart"/>
      <w:r w:rsidRPr="00AA22FD">
        <w:rPr>
          <w:rFonts w:ascii="Century Gothic" w:hAnsi="Century Gothic"/>
          <w:szCs w:val="22"/>
        </w:rPr>
        <w:t>puede</w:t>
      </w:r>
      <w:proofErr w:type="spellEnd"/>
      <w:r w:rsidRPr="00AA22FD">
        <w:rPr>
          <w:rFonts w:ascii="Century Gothic" w:hAnsi="Century Gothic"/>
          <w:szCs w:val="22"/>
        </w:rPr>
        <w:t xml:space="preserve"> </w:t>
      </w:r>
      <w:proofErr w:type="spellStart"/>
      <w:r w:rsidRPr="00AA22FD">
        <w:rPr>
          <w:rFonts w:ascii="Century Gothic" w:hAnsi="Century Gothic"/>
          <w:szCs w:val="22"/>
        </w:rPr>
        <w:t>llamar</w:t>
      </w:r>
      <w:proofErr w:type="spellEnd"/>
      <w:r w:rsidRPr="00AA22FD">
        <w:rPr>
          <w:rFonts w:ascii="Century Gothic" w:hAnsi="Century Gothic"/>
          <w:szCs w:val="22"/>
        </w:rPr>
        <w:t xml:space="preserve"> al </w:t>
      </w:r>
      <w:proofErr w:type="spellStart"/>
      <w:r w:rsidRPr="00AA22FD">
        <w:rPr>
          <w:rFonts w:ascii="Century Gothic" w:hAnsi="Century Gothic"/>
          <w:szCs w:val="22"/>
        </w:rPr>
        <w:t>Gerente</w:t>
      </w:r>
      <w:proofErr w:type="spellEnd"/>
      <w:r w:rsidRPr="00AA22FD">
        <w:rPr>
          <w:rFonts w:ascii="Century Gothic" w:hAnsi="Century Gothic"/>
          <w:szCs w:val="22"/>
        </w:rPr>
        <w:t xml:space="preserve"> de </w:t>
      </w:r>
      <w:proofErr w:type="spellStart"/>
      <w:r w:rsidRPr="00AA22FD">
        <w:rPr>
          <w:rFonts w:ascii="Century Gothic" w:hAnsi="Century Gothic"/>
          <w:szCs w:val="22"/>
        </w:rPr>
        <w:t>adaptaciones</w:t>
      </w:r>
      <w:proofErr w:type="spellEnd"/>
      <w:r w:rsidRPr="00AA22FD">
        <w:rPr>
          <w:rFonts w:ascii="Century Gothic" w:hAnsi="Century Gothic"/>
          <w:szCs w:val="22"/>
        </w:rPr>
        <w:t xml:space="preserve"> </w:t>
      </w:r>
      <w:proofErr w:type="spellStart"/>
      <w:r w:rsidRPr="00AA22FD">
        <w:rPr>
          <w:rFonts w:ascii="Century Gothic" w:hAnsi="Century Gothic"/>
          <w:szCs w:val="22"/>
        </w:rPr>
        <w:t>razonables</w:t>
      </w:r>
      <w:proofErr w:type="spellEnd"/>
      <w:r w:rsidRPr="00AA22FD">
        <w:rPr>
          <w:rFonts w:ascii="Century Gothic" w:hAnsi="Century Gothic"/>
          <w:szCs w:val="22"/>
        </w:rPr>
        <w:t xml:space="preserve"> (203) 498-8800, ext. 1506 o al </w:t>
      </w:r>
      <w:proofErr w:type="spellStart"/>
      <w:r w:rsidRPr="00AA22FD">
        <w:rPr>
          <w:rFonts w:ascii="Century Gothic" w:hAnsi="Century Gothic"/>
          <w:szCs w:val="22"/>
        </w:rPr>
        <w:t>número</w:t>
      </w:r>
      <w:proofErr w:type="spellEnd"/>
      <w:r w:rsidRPr="00AA22FD">
        <w:rPr>
          <w:rFonts w:ascii="Century Gothic" w:hAnsi="Century Gothic"/>
          <w:szCs w:val="22"/>
        </w:rPr>
        <w:t xml:space="preserve"> TDD (203) 497-8434.mber (203) 497-8434.</w:t>
      </w:r>
    </w:p>
    <w:p w14:paraId="3948D60B" w14:textId="77777777" w:rsidR="00BE33A2" w:rsidRPr="00AA22FD" w:rsidRDefault="00BE33A2" w:rsidP="00BE33A2">
      <w:pPr>
        <w:jc w:val="center"/>
        <w:rPr>
          <w:rFonts w:ascii="Times New Roman" w:hAnsi="Times New Roman"/>
          <w:b/>
          <w:bCs/>
          <w:szCs w:val="22"/>
        </w:rPr>
      </w:pPr>
    </w:p>
    <w:p w14:paraId="3A4841F5" w14:textId="77777777" w:rsidR="00BE33A2" w:rsidRPr="00AA22FD" w:rsidRDefault="00BE33A2" w:rsidP="00BE33A2">
      <w:pPr>
        <w:rPr>
          <w:szCs w:val="22"/>
        </w:rPr>
      </w:pPr>
    </w:p>
    <w:p w14:paraId="0117254E" w14:textId="402E4CEC" w:rsidR="00BE33A2" w:rsidRPr="00AA22FD" w:rsidRDefault="00BE33A2" w:rsidP="00BE33A2">
      <w:pPr>
        <w:rPr>
          <w:rFonts w:ascii="Century Gothic" w:hAnsi="Century Gothic"/>
          <w:szCs w:val="22"/>
        </w:rPr>
      </w:pPr>
      <w:r w:rsidRPr="00AA22FD">
        <w:rPr>
          <w:rFonts w:ascii="Century Gothic" w:hAnsi="Century Gothic"/>
          <w:szCs w:val="22"/>
        </w:rPr>
        <w:t xml:space="preserve">At 3:04 p.m., the meeting was opened </w:t>
      </w:r>
      <w:r w:rsidR="001D434F">
        <w:rPr>
          <w:rFonts w:ascii="Century Gothic" w:hAnsi="Century Gothic"/>
          <w:szCs w:val="22"/>
        </w:rPr>
        <w:t>for</w:t>
      </w:r>
      <w:r w:rsidRPr="00AA22FD">
        <w:rPr>
          <w:rFonts w:ascii="Century Gothic" w:hAnsi="Century Gothic"/>
          <w:szCs w:val="22"/>
        </w:rPr>
        <w:t xml:space="preserve"> public comments. </w:t>
      </w:r>
    </w:p>
    <w:p w14:paraId="6FFED7E2" w14:textId="77777777" w:rsidR="00BE33A2" w:rsidRPr="00AA22FD" w:rsidRDefault="00BE33A2" w:rsidP="00BE33A2">
      <w:pPr>
        <w:rPr>
          <w:rFonts w:ascii="Century Gothic" w:hAnsi="Century Gothic"/>
          <w:szCs w:val="22"/>
        </w:rPr>
      </w:pPr>
      <w:r w:rsidRPr="00AA22FD">
        <w:rPr>
          <w:rFonts w:ascii="Century Gothic" w:hAnsi="Century Gothic"/>
          <w:szCs w:val="22"/>
        </w:rPr>
        <w:t>There was a second call for public comments at 3:06pm.</w:t>
      </w:r>
    </w:p>
    <w:p w14:paraId="1EACDBEF" w14:textId="77777777" w:rsidR="00BE33A2" w:rsidRPr="00AA22FD" w:rsidRDefault="00BE33A2" w:rsidP="00BE33A2">
      <w:pPr>
        <w:rPr>
          <w:rFonts w:ascii="Century Gothic" w:hAnsi="Century Gothic"/>
          <w:szCs w:val="22"/>
        </w:rPr>
      </w:pPr>
      <w:r w:rsidRPr="00AA22FD">
        <w:rPr>
          <w:rFonts w:ascii="Century Gothic" w:hAnsi="Century Gothic"/>
          <w:szCs w:val="22"/>
        </w:rPr>
        <w:t xml:space="preserve">There was a third call for public </w:t>
      </w:r>
      <w:proofErr w:type="gramStart"/>
      <w:r w:rsidRPr="00AA22FD">
        <w:rPr>
          <w:rFonts w:ascii="Century Gothic" w:hAnsi="Century Gothic"/>
          <w:szCs w:val="22"/>
        </w:rPr>
        <w:t>comments</w:t>
      </w:r>
      <w:proofErr w:type="gramEnd"/>
      <w:r w:rsidRPr="00AA22FD">
        <w:rPr>
          <w:rFonts w:ascii="Century Gothic" w:hAnsi="Century Gothic"/>
          <w:szCs w:val="22"/>
        </w:rPr>
        <w:t xml:space="preserve"> 3:08pm.</w:t>
      </w:r>
    </w:p>
    <w:p w14:paraId="687E3551" w14:textId="77777777" w:rsidR="00BE33A2" w:rsidRPr="00AA22FD" w:rsidRDefault="00BE33A2" w:rsidP="00BE33A2">
      <w:pPr>
        <w:rPr>
          <w:rFonts w:ascii="Century Gothic" w:hAnsi="Century Gothic"/>
          <w:szCs w:val="22"/>
        </w:rPr>
      </w:pPr>
      <w:r w:rsidRPr="00AA22FD">
        <w:rPr>
          <w:rFonts w:ascii="Century Gothic" w:hAnsi="Century Gothic"/>
          <w:szCs w:val="22"/>
        </w:rPr>
        <w:t>There was a fourth call for public comments at 3:010pm.</w:t>
      </w:r>
    </w:p>
    <w:p w14:paraId="4CD047EE" w14:textId="77777777" w:rsidR="00BE33A2" w:rsidRPr="00AA22FD" w:rsidRDefault="00BE33A2" w:rsidP="00BE33A2">
      <w:pPr>
        <w:rPr>
          <w:rFonts w:ascii="Century Gothic" w:hAnsi="Century Gothic"/>
          <w:szCs w:val="22"/>
        </w:rPr>
      </w:pPr>
      <w:r w:rsidRPr="00AA22FD">
        <w:rPr>
          <w:rFonts w:ascii="Century Gothic" w:hAnsi="Century Gothic"/>
          <w:szCs w:val="22"/>
        </w:rPr>
        <w:t>There was a fifth for public comments at 3:14pm.</w:t>
      </w:r>
    </w:p>
    <w:p w14:paraId="6D6457B1" w14:textId="77777777" w:rsidR="00BE33A2" w:rsidRPr="00AA22FD" w:rsidRDefault="00BE33A2" w:rsidP="00BE33A2">
      <w:pPr>
        <w:rPr>
          <w:rFonts w:ascii="Century Gothic" w:hAnsi="Century Gothic"/>
          <w:szCs w:val="22"/>
        </w:rPr>
      </w:pPr>
      <w:r w:rsidRPr="00AA22FD">
        <w:rPr>
          <w:rFonts w:ascii="Century Gothic" w:hAnsi="Century Gothic"/>
          <w:szCs w:val="22"/>
        </w:rPr>
        <w:t>There was a sixth and final call for public comments at 3:16pm.</w:t>
      </w:r>
    </w:p>
    <w:p w14:paraId="3D850029" w14:textId="77777777" w:rsidR="00BE33A2" w:rsidRPr="00AA22FD" w:rsidRDefault="00BE33A2" w:rsidP="00BE33A2">
      <w:pPr>
        <w:rPr>
          <w:rFonts w:ascii="Century Gothic" w:hAnsi="Century Gothic"/>
          <w:b/>
          <w:szCs w:val="22"/>
          <w:u w:val="single"/>
        </w:rPr>
      </w:pPr>
    </w:p>
    <w:p w14:paraId="3263FD3C" w14:textId="77777777" w:rsidR="00BE33A2" w:rsidRPr="00AA22FD" w:rsidRDefault="00BE33A2" w:rsidP="00BE33A2">
      <w:pPr>
        <w:rPr>
          <w:rFonts w:ascii="Century Gothic" w:hAnsi="Century Gothic"/>
          <w:b/>
          <w:szCs w:val="22"/>
          <w:u w:val="single"/>
        </w:rPr>
      </w:pPr>
      <w:r w:rsidRPr="00AA22FD">
        <w:rPr>
          <w:rFonts w:ascii="Century Gothic" w:hAnsi="Century Gothic"/>
          <w:b/>
          <w:szCs w:val="22"/>
          <w:u w:val="single"/>
        </w:rPr>
        <w:t>Public Comments:</w:t>
      </w:r>
    </w:p>
    <w:p w14:paraId="40F6C68E" w14:textId="77777777" w:rsidR="00BE33A2" w:rsidRPr="00AA22FD" w:rsidRDefault="00BE33A2" w:rsidP="00BE33A2">
      <w:pPr>
        <w:rPr>
          <w:rFonts w:ascii="Century Gothic" w:hAnsi="Century Gothic"/>
          <w:szCs w:val="22"/>
        </w:rPr>
      </w:pPr>
    </w:p>
    <w:p w14:paraId="562C14AB" w14:textId="77777777" w:rsidR="00BE33A2" w:rsidRPr="00AA22FD" w:rsidRDefault="00BE33A2" w:rsidP="00BE33A2">
      <w:pPr>
        <w:rPr>
          <w:rFonts w:ascii="Century Gothic" w:hAnsi="Century Gothic"/>
          <w:b/>
          <w:szCs w:val="22"/>
        </w:rPr>
      </w:pPr>
      <w:r w:rsidRPr="00AA22FD">
        <w:rPr>
          <w:rFonts w:ascii="Century Gothic" w:hAnsi="Century Gothic"/>
          <w:szCs w:val="22"/>
        </w:rPr>
        <w:t>No Public comments</w:t>
      </w:r>
      <w:r w:rsidRPr="00AA22FD">
        <w:rPr>
          <w:rFonts w:ascii="Century Gothic" w:hAnsi="Century Gothic"/>
          <w:szCs w:val="22"/>
        </w:rPr>
        <w:br/>
      </w:r>
    </w:p>
    <w:p w14:paraId="7421D137" w14:textId="77777777" w:rsidR="00BE33A2" w:rsidRPr="00AA22FD" w:rsidRDefault="00BE33A2" w:rsidP="00BE33A2">
      <w:pPr>
        <w:rPr>
          <w:rFonts w:ascii="Century Gothic" w:hAnsi="Century Gothic"/>
          <w:b/>
          <w:szCs w:val="22"/>
        </w:rPr>
      </w:pPr>
      <w:r w:rsidRPr="00AA22FD">
        <w:rPr>
          <w:rFonts w:ascii="Century Gothic" w:hAnsi="Century Gothic"/>
          <w:b/>
          <w:szCs w:val="22"/>
          <w:u w:val="single"/>
        </w:rPr>
        <w:t>Adjournment:</w:t>
      </w:r>
    </w:p>
    <w:p w14:paraId="506416CD" w14:textId="77777777" w:rsidR="00BE33A2" w:rsidRPr="00AA22FD" w:rsidRDefault="00BE33A2" w:rsidP="00BE33A2">
      <w:pPr>
        <w:ind w:left="1080"/>
        <w:rPr>
          <w:rFonts w:ascii="Century Gothic" w:hAnsi="Century Gothic"/>
          <w:szCs w:val="22"/>
        </w:rPr>
      </w:pPr>
      <w:r w:rsidRPr="00AA22FD">
        <w:rPr>
          <w:rFonts w:ascii="Century Gothic" w:hAnsi="Century Gothic"/>
          <w:szCs w:val="22"/>
        </w:rPr>
        <w:t xml:space="preserve"> </w:t>
      </w:r>
    </w:p>
    <w:p w14:paraId="2ACB9F00" w14:textId="77777777" w:rsidR="00BE33A2" w:rsidRPr="00AA22FD" w:rsidRDefault="00BE33A2" w:rsidP="00BE33A2">
      <w:pPr>
        <w:rPr>
          <w:rFonts w:ascii="Century Gothic" w:hAnsi="Century Gothic"/>
          <w:szCs w:val="22"/>
        </w:rPr>
      </w:pPr>
      <w:r w:rsidRPr="00AA22FD">
        <w:rPr>
          <w:rFonts w:ascii="Century Gothic" w:hAnsi="Century Gothic"/>
          <w:szCs w:val="22"/>
        </w:rPr>
        <w:t>Ms. Ribeiro stated the attendees’ names for the record.</w:t>
      </w:r>
    </w:p>
    <w:p w14:paraId="609F8563" w14:textId="77777777" w:rsidR="00BE33A2" w:rsidRPr="00AA22FD" w:rsidRDefault="00BE33A2" w:rsidP="00BE33A2">
      <w:pPr>
        <w:rPr>
          <w:rFonts w:ascii="Century Gothic" w:hAnsi="Century Gothic"/>
          <w:szCs w:val="22"/>
        </w:rPr>
      </w:pPr>
      <w:r w:rsidRPr="00AA22FD">
        <w:rPr>
          <w:rFonts w:ascii="Century Gothic" w:hAnsi="Century Gothic"/>
          <w:szCs w:val="22"/>
        </w:rPr>
        <w:t>She then thanked the participants, and the public hearing was adjourned at 3:16 p.m.</w:t>
      </w:r>
    </w:p>
    <w:p w14:paraId="4F374C72" w14:textId="77777777" w:rsidR="00680FE2" w:rsidRDefault="00680FE2" w:rsidP="0D8BAA9B">
      <w:pPr>
        <w:jc w:val="center"/>
        <w:rPr>
          <w:rFonts w:ascii="Times New Roman" w:eastAsia="Times New Roman" w:hAnsi="Times New Roman"/>
          <w:noProof/>
          <w:szCs w:val="22"/>
        </w:rPr>
      </w:pPr>
    </w:p>
    <w:p w14:paraId="191A0FC1" w14:textId="77777777" w:rsidR="00680FE2" w:rsidRDefault="00680FE2" w:rsidP="0D8BAA9B">
      <w:pPr>
        <w:jc w:val="center"/>
        <w:rPr>
          <w:rFonts w:ascii="Times New Roman" w:eastAsia="Times New Roman" w:hAnsi="Times New Roman"/>
          <w:noProof/>
          <w:szCs w:val="22"/>
        </w:rPr>
      </w:pPr>
    </w:p>
    <w:p w14:paraId="6AEE57D1" w14:textId="77777777" w:rsidR="00680FE2" w:rsidRDefault="00680FE2" w:rsidP="0D8BAA9B">
      <w:pPr>
        <w:jc w:val="center"/>
        <w:rPr>
          <w:rFonts w:ascii="Times New Roman" w:eastAsia="Times New Roman" w:hAnsi="Times New Roman"/>
          <w:noProof/>
          <w:szCs w:val="22"/>
        </w:rPr>
      </w:pPr>
    </w:p>
    <w:p w14:paraId="409F0CD9" w14:textId="77777777" w:rsidR="00680FE2" w:rsidRDefault="00680FE2" w:rsidP="0D8BAA9B">
      <w:pPr>
        <w:jc w:val="center"/>
        <w:rPr>
          <w:rFonts w:ascii="Times New Roman" w:eastAsia="Times New Roman" w:hAnsi="Times New Roman"/>
          <w:noProof/>
          <w:szCs w:val="22"/>
        </w:rPr>
      </w:pPr>
    </w:p>
    <w:p w14:paraId="04C70C70" w14:textId="77777777" w:rsidR="00680FE2" w:rsidRDefault="00680FE2" w:rsidP="0D8BAA9B">
      <w:pPr>
        <w:jc w:val="center"/>
        <w:rPr>
          <w:rFonts w:ascii="Times New Roman" w:eastAsia="Times New Roman" w:hAnsi="Times New Roman"/>
          <w:noProof/>
          <w:szCs w:val="22"/>
        </w:rPr>
      </w:pPr>
    </w:p>
    <w:p w14:paraId="6D181815" w14:textId="77777777" w:rsidR="00680FE2" w:rsidRDefault="00680FE2" w:rsidP="0D8BAA9B">
      <w:pPr>
        <w:jc w:val="center"/>
        <w:rPr>
          <w:rFonts w:ascii="Times New Roman" w:eastAsia="Times New Roman" w:hAnsi="Times New Roman"/>
          <w:noProof/>
          <w:szCs w:val="22"/>
        </w:rPr>
      </w:pPr>
    </w:p>
    <w:p w14:paraId="2D61AB6C" w14:textId="77777777" w:rsidR="00680FE2" w:rsidRDefault="00680FE2" w:rsidP="0D8BAA9B">
      <w:pPr>
        <w:jc w:val="center"/>
        <w:rPr>
          <w:rFonts w:ascii="Times New Roman" w:eastAsia="Times New Roman" w:hAnsi="Times New Roman"/>
          <w:noProof/>
          <w:szCs w:val="22"/>
        </w:rPr>
      </w:pPr>
    </w:p>
    <w:p w14:paraId="52B7BB24" w14:textId="77777777" w:rsidR="00680FE2" w:rsidRDefault="00680FE2" w:rsidP="0D8BAA9B">
      <w:pPr>
        <w:jc w:val="center"/>
        <w:rPr>
          <w:rFonts w:ascii="Times New Roman" w:eastAsia="Times New Roman" w:hAnsi="Times New Roman"/>
          <w:noProof/>
          <w:szCs w:val="22"/>
        </w:rPr>
      </w:pPr>
    </w:p>
    <w:p w14:paraId="43E28C95" w14:textId="77777777" w:rsidR="00680FE2" w:rsidRDefault="00680FE2" w:rsidP="0D8BAA9B">
      <w:pPr>
        <w:jc w:val="center"/>
        <w:rPr>
          <w:rFonts w:ascii="Times New Roman" w:eastAsia="Times New Roman" w:hAnsi="Times New Roman"/>
          <w:noProof/>
          <w:szCs w:val="22"/>
        </w:rPr>
      </w:pPr>
    </w:p>
    <w:p w14:paraId="774314B2" w14:textId="77777777" w:rsidR="00680FE2" w:rsidRDefault="00680FE2" w:rsidP="0D8BAA9B">
      <w:pPr>
        <w:jc w:val="center"/>
        <w:rPr>
          <w:rFonts w:ascii="Times New Roman" w:eastAsia="Times New Roman" w:hAnsi="Times New Roman"/>
          <w:noProof/>
          <w:szCs w:val="22"/>
        </w:rPr>
      </w:pPr>
    </w:p>
    <w:p w14:paraId="139DA096" w14:textId="77777777" w:rsidR="001D434F" w:rsidRDefault="001D434F" w:rsidP="0D8BAA9B">
      <w:pPr>
        <w:jc w:val="center"/>
        <w:rPr>
          <w:rFonts w:ascii="Times New Roman" w:eastAsia="Times New Roman" w:hAnsi="Times New Roman"/>
          <w:noProof/>
          <w:szCs w:val="22"/>
        </w:rPr>
      </w:pPr>
    </w:p>
    <w:p w14:paraId="5502DAD8" w14:textId="77777777" w:rsidR="001D434F" w:rsidRDefault="001D434F" w:rsidP="0D8BAA9B">
      <w:pPr>
        <w:jc w:val="center"/>
        <w:rPr>
          <w:rFonts w:ascii="Times New Roman" w:eastAsia="Times New Roman" w:hAnsi="Times New Roman"/>
          <w:noProof/>
          <w:szCs w:val="22"/>
        </w:rPr>
      </w:pPr>
    </w:p>
    <w:p w14:paraId="313BC7EA" w14:textId="77777777" w:rsidR="001D434F" w:rsidRDefault="001D434F" w:rsidP="0D8BAA9B">
      <w:pPr>
        <w:jc w:val="center"/>
        <w:rPr>
          <w:rFonts w:ascii="Times New Roman" w:eastAsia="Times New Roman" w:hAnsi="Times New Roman"/>
          <w:noProof/>
          <w:szCs w:val="22"/>
        </w:rPr>
      </w:pPr>
    </w:p>
    <w:p w14:paraId="5ADDFAFF" w14:textId="77777777" w:rsidR="001D434F" w:rsidRDefault="001D434F" w:rsidP="0D8BAA9B">
      <w:pPr>
        <w:jc w:val="center"/>
        <w:rPr>
          <w:rFonts w:ascii="Times New Roman" w:eastAsia="Times New Roman" w:hAnsi="Times New Roman"/>
          <w:noProof/>
          <w:szCs w:val="22"/>
        </w:rPr>
      </w:pPr>
    </w:p>
    <w:p w14:paraId="50435B5D" w14:textId="77777777" w:rsidR="001D434F" w:rsidRDefault="001D434F" w:rsidP="0D8BAA9B">
      <w:pPr>
        <w:jc w:val="center"/>
        <w:rPr>
          <w:rFonts w:ascii="Times New Roman" w:eastAsia="Times New Roman" w:hAnsi="Times New Roman"/>
          <w:noProof/>
          <w:szCs w:val="22"/>
        </w:rPr>
      </w:pPr>
    </w:p>
    <w:p w14:paraId="126B1C6E" w14:textId="77777777" w:rsidR="001D434F" w:rsidRDefault="001D434F" w:rsidP="0D8BAA9B">
      <w:pPr>
        <w:jc w:val="center"/>
        <w:rPr>
          <w:rFonts w:ascii="Times New Roman" w:eastAsia="Times New Roman" w:hAnsi="Times New Roman"/>
          <w:noProof/>
          <w:szCs w:val="22"/>
        </w:rPr>
      </w:pPr>
    </w:p>
    <w:p w14:paraId="36B05249" w14:textId="77777777" w:rsidR="001D434F" w:rsidRDefault="001D434F" w:rsidP="0D8BAA9B">
      <w:pPr>
        <w:jc w:val="center"/>
        <w:rPr>
          <w:rFonts w:ascii="Times New Roman" w:eastAsia="Times New Roman" w:hAnsi="Times New Roman"/>
          <w:noProof/>
          <w:szCs w:val="22"/>
        </w:rPr>
      </w:pPr>
    </w:p>
    <w:p w14:paraId="4242E6CC" w14:textId="77777777" w:rsidR="001D434F" w:rsidRDefault="001D434F" w:rsidP="0D8BAA9B">
      <w:pPr>
        <w:jc w:val="center"/>
        <w:rPr>
          <w:rFonts w:ascii="Times New Roman" w:eastAsia="Times New Roman" w:hAnsi="Times New Roman"/>
          <w:noProof/>
          <w:szCs w:val="22"/>
        </w:rPr>
      </w:pPr>
    </w:p>
    <w:p w14:paraId="6FFCD325" w14:textId="77777777" w:rsidR="001D434F" w:rsidRDefault="001D434F" w:rsidP="0D8BAA9B">
      <w:pPr>
        <w:jc w:val="center"/>
        <w:rPr>
          <w:rFonts w:ascii="Times New Roman" w:eastAsia="Times New Roman" w:hAnsi="Times New Roman"/>
          <w:noProof/>
          <w:szCs w:val="22"/>
        </w:rPr>
      </w:pPr>
    </w:p>
    <w:p w14:paraId="32BBA1E6" w14:textId="77777777" w:rsidR="001D434F" w:rsidRDefault="001D434F" w:rsidP="0D8BAA9B">
      <w:pPr>
        <w:jc w:val="center"/>
        <w:rPr>
          <w:rFonts w:ascii="Times New Roman" w:eastAsia="Times New Roman" w:hAnsi="Times New Roman"/>
          <w:noProof/>
          <w:szCs w:val="22"/>
        </w:rPr>
      </w:pPr>
    </w:p>
    <w:p w14:paraId="7C9D5D8E" w14:textId="77777777" w:rsidR="001D434F" w:rsidRDefault="001D434F" w:rsidP="0D8BAA9B">
      <w:pPr>
        <w:jc w:val="center"/>
        <w:rPr>
          <w:rFonts w:ascii="Times New Roman" w:eastAsia="Times New Roman" w:hAnsi="Times New Roman"/>
          <w:noProof/>
          <w:szCs w:val="22"/>
        </w:rPr>
      </w:pPr>
    </w:p>
    <w:p w14:paraId="77682FA5" w14:textId="77777777" w:rsidR="001D434F" w:rsidRDefault="001D434F" w:rsidP="0D8BAA9B">
      <w:pPr>
        <w:jc w:val="center"/>
        <w:rPr>
          <w:rFonts w:ascii="Times New Roman" w:eastAsia="Times New Roman" w:hAnsi="Times New Roman"/>
          <w:noProof/>
          <w:szCs w:val="22"/>
        </w:rPr>
      </w:pPr>
    </w:p>
    <w:p w14:paraId="4B451465" w14:textId="77777777" w:rsidR="001D434F" w:rsidRDefault="001D434F" w:rsidP="0D8BAA9B">
      <w:pPr>
        <w:jc w:val="center"/>
        <w:rPr>
          <w:rFonts w:ascii="Times New Roman" w:eastAsia="Times New Roman" w:hAnsi="Times New Roman"/>
          <w:noProof/>
          <w:szCs w:val="22"/>
        </w:rPr>
      </w:pPr>
    </w:p>
    <w:p w14:paraId="22E7D9BB" w14:textId="77777777" w:rsidR="001D434F" w:rsidRDefault="001D434F" w:rsidP="0D8BAA9B">
      <w:pPr>
        <w:jc w:val="center"/>
        <w:rPr>
          <w:rFonts w:ascii="Times New Roman" w:eastAsia="Times New Roman" w:hAnsi="Times New Roman"/>
          <w:noProof/>
          <w:szCs w:val="22"/>
        </w:rPr>
      </w:pPr>
    </w:p>
    <w:p w14:paraId="03FA2601" w14:textId="77777777" w:rsidR="001D434F" w:rsidRDefault="001D434F" w:rsidP="0D8BAA9B">
      <w:pPr>
        <w:jc w:val="center"/>
        <w:rPr>
          <w:rFonts w:ascii="Times New Roman" w:eastAsia="Times New Roman" w:hAnsi="Times New Roman"/>
          <w:noProof/>
          <w:szCs w:val="22"/>
        </w:rPr>
      </w:pPr>
    </w:p>
    <w:p w14:paraId="3E6D22C2" w14:textId="77777777" w:rsidR="00680FE2" w:rsidRDefault="00680FE2" w:rsidP="0D8BAA9B">
      <w:pPr>
        <w:jc w:val="center"/>
        <w:rPr>
          <w:rFonts w:ascii="Times New Roman" w:eastAsia="Times New Roman" w:hAnsi="Times New Roman"/>
          <w:noProof/>
          <w:szCs w:val="22"/>
        </w:rPr>
      </w:pPr>
    </w:p>
    <w:p w14:paraId="17EE4A6E" w14:textId="77777777" w:rsidR="00680FE2" w:rsidRPr="00BE33A2" w:rsidRDefault="00680FE2" w:rsidP="0D8BAA9B">
      <w:pPr>
        <w:jc w:val="center"/>
        <w:rPr>
          <w:rFonts w:ascii="Times New Roman" w:eastAsia="Times New Roman" w:hAnsi="Times New Roman"/>
          <w:noProof/>
          <w:szCs w:val="22"/>
        </w:rPr>
      </w:pPr>
    </w:p>
    <w:p w14:paraId="4029747B" w14:textId="78C6C9BE" w:rsidR="4C4F5E4A" w:rsidRPr="001D434F" w:rsidRDefault="4C4F5E4A" w:rsidP="4C4F5E4A">
      <w:pPr>
        <w:rPr>
          <w:rFonts w:ascii="Century Gothic" w:hAnsi="Century Gothic"/>
          <w:b/>
          <w:bCs/>
          <w:szCs w:val="22"/>
        </w:rPr>
      </w:pPr>
    </w:p>
    <w:p w14:paraId="693A1C43" w14:textId="534C4C5D" w:rsidR="008E3451" w:rsidRDefault="008E3451" w:rsidP="008E3451">
      <w:pPr>
        <w:spacing w:after="160" w:line="276" w:lineRule="auto"/>
        <w:ind w:left="720"/>
        <w:jc w:val="center"/>
        <w:rPr>
          <w:rFonts w:ascii="Century Gothic" w:hAnsi="Century Gothic"/>
          <w:b/>
          <w:bCs/>
          <w:szCs w:val="22"/>
        </w:rPr>
      </w:pPr>
      <w:r w:rsidRPr="001D434F">
        <w:rPr>
          <w:rFonts w:ascii="Century Gothic" w:hAnsi="Century Gothic"/>
          <w:b/>
          <w:bCs/>
          <w:szCs w:val="22"/>
        </w:rPr>
        <w:lastRenderedPageBreak/>
        <w:t>Board Resolution and Certificate of Compliance</w:t>
      </w:r>
    </w:p>
    <w:p w14:paraId="5A2E8CAF" w14:textId="36A8FDA1" w:rsidR="00BD17B8" w:rsidRDefault="00BB3E9A" w:rsidP="008E3451">
      <w:pPr>
        <w:spacing w:after="160" w:line="276" w:lineRule="auto"/>
        <w:ind w:left="720"/>
        <w:jc w:val="center"/>
        <w:rPr>
          <w:rFonts w:ascii="Century Gothic" w:hAnsi="Century Gothic"/>
          <w:b/>
          <w:bCs/>
          <w:szCs w:val="22"/>
        </w:rPr>
      </w:pPr>
      <w:r w:rsidRPr="00BB3E9A">
        <w:rPr>
          <w:rFonts w:ascii="Century Gothic" w:hAnsi="Century Gothic"/>
          <w:b/>
          <w:bCs/>
          <w:noProof/>
          <w:szCs w:val="22"/>
        </w:rPr>
        <w:lastRenderedPageBreak/>
        <w:drawing>
          <wp:inline distT="0" distB="0" distL="0" distR="0" wp14:anchorId="390F179E" wp14:editId="7A49A11F">
            <wp:extent cx="6858000" cy="8877300"/>
            <wp:effectExtent l="0" t="0" r="0" b="0"/>
            <wp:docPr id="211647377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A2D61" w:rsidRPr="00FA2D61">
        <w:rPr>
          <w:rFonts w:ascii="Century Gothic" w:hAnsi="Century Gothic"/>
          <w:b/>
          <w:bCs/>
          <w:noProof/>
          <w:szCs w:val="22"/>
        </w:rPr>
        <w:lastRenderedPageBreak/>
        <w:drawing>
          <wp:inline distT="0" distB="0" distL="0" distR="0" wp14:anchorId="68282B8F" wp14:editId="42B77CF7">
            <wp:extent cx="6858000" cy="8877300"/>
            <wp:effectExtent l="0" t="0" r="0" b="0"/>
            <wp:docPr id="106872984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25BF9EE1" w14:textId="22BCEA34" w:rsidR="005946BF" w:rsidRPr="001D434F" w:rsidRDefault="00460712" w:rsidP="001D434F">
      <w:pPr>
        <w:spacing w:after="160" w:line="276" w:lineRule="auto"/>
        <w:ind w:left="720"/>
        <w:jc w:val="center"/>
        <w:rPr>
          <w:rFonts w:ascii="Century Gothic" w:hAnsi="Century Gothic"/>
          <w:b/>
          <w:bCs/>
          <w:szCs w:val="22"/>
        </w:rPr>
      </w:pPr>
      <w:r w:rsidRPr="00460712">
        <w:rPr>
          <w:rFonts w:ascii="Century Gothic" w:hAnsi="Century Gothic"/>
          <w:b/>
          <w:bCs/>
          <w:noProof/>
          <w:szCs w:val="22"/>
        </w:rPr>
        <w:lastRenderedPageBreak/>
        <w:drawing>
          <wp:inline distT="0" distB="0" distL="0" distR="0" wp14:anchorId="072ECB63" wp14:editId="7B15CC09">
            <wp:extent cx="6858000" cy="8877300"/>
            <wp:effectExtent l="0" t="0" r="0" b="0"/>
            <wp:docPr id="147717236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35CB20A6" w14:textId="61F5BD9B" w:rsidR="00095B33" w:rsidRDefault="009E54A2" w:rsidP="1D14EC89">
      <w:pPr>
        <w:rPr>
          <w:noProof/>
        </w:rPr>
      </w:pPr>
      <w:r w:rsidRPr="009E54A2">
        <w:rPr>
          <w:noProof/>
        </w:rPr>
        <w:lastRenderedPageBreak/>
        <w:drawing>
          <wp:inline distT="0" distB="0" distL="0" distR="0" wp14:anchorId="7EB34311" wp14:editId="5DECF29B">
            <wp:extent cx="6858000" cy="8869680"/>
            <wp:effectExtent l="0" t="0" r="0" b="7620"/>
            <wp:docPr id="31990405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14:paraId="3B1C63FE" w14:textId="7FFD3691" w:rsidR="00EC5276" w:rsidRPr="00035F16" w:rsidRDefault="1131EADB" w:rsidP="00B005F4">
      <w:pPr>
        <w:pStyle w:val="MTWHeader1"/>
        <w:rPr>
          <w:rFonts w:ascii="Century Gothic" w:eastAsia="Times New Roman" w:hAnsi="Century Gothic"/>
          <w:sz w:val="22"/>
          <w:szCs w:val="22"/>
        </w:rPr>
      </w:pPr>
      <w:bookmarkStart w:id="198" w:name="_Appendix_1"/>
      <w:bookmarkStart w:id="199" w:name="_Appendix_2"/>
      <w:bookmarkStart w:id="200" w:name="_Appendix_3"/>
      <w:bookmarkStart w:id="201" w:name="_Appendix_4"/>
      <w:bookmarkStart w:id="202" w:name="_Toc89871197"/>
      <w:bookmarkEnd w:id="198"/>
      <w:bookmarkEnd w:id="199"/>
      <w:bookmarkEnd w:id="200"/>
      <w:bookmarkEnd w:id="201"/>
      <w:r w:rsidRPr="00035F16">
        <w:rPr>
          <w:rFonts w:ascii="Century Gothic" w:hAnsi="Century Gothic"/>
          <w:sz w:val="22"/>
          <w:szCs w:val="22"/>
        </w:rPr>
        <w:lastRenderedPageBreak/>
        <w:t>Appendix 2: Alternative TDC and HCC Limits</w:t>
      </w:r>
      <w:bookmarkEnd w:id="202"/>
      <w:r w:rsidRPr="00035F16">
        <w:rPr>
          <w:rFonts w:ascii="Century Gothic" w:hAnsi="Century Gothic"/>
          <w:sz w:val="22"/>
          <w:szCs w:val="22"/>
        </w:rPr>
        <w:t xml:space="preserve"> </w:t>
      </w:r>
      <w:r w:rsidR="37C7FFFE" w:rsidRPr="00035F16">
        <w:rPr>
          <w:rFonts w:ascii="Century Gothic" w:hAnsi="Century Gothic"/>
        </w:rPr>
        <w:br/>
      </w:r>
    </w:p>
    <w:p w14:paraId="4B34E921" w14:textId="77777777" w:rsidR="00EC5276" w:rsidRPr="00035F16" w:rsidRDefault="00EC5276" w:rsidP="00EC5276">
      <w:pPr>
        <w:rPr>
          <w:rFonts w:ascii="Century Gothic" w:eastAsia="Times New Roman" w:hAnsi="Century Gothic"/>
          <w:b/>
          <w:szCs w:val="22"/>
          <w:lang w:eastAsia="en-US"/>
        </w:rPr>
      </w:pPr>
      <w:r w:rsidRPr="00035F16">
        <w:rPr>
          <w:rFonts w:ascii="Century Gothic" w:eastAsia="Times New Roman" w:hAnsi="Century Gothic"/>
          <w:b/>
          <w:szCs w:val="22"/>
          <w:lang w:eastAsia="en-US"/>
        </w:rPr>
        <w:t>ECC/HANH’s local total development cost (TDC) limits as approved by HUD.</w:t>
      </w:r>
    </w:p>
    <w:p w14:paraId="47E0795E" w14:textId="32537DF8" w:rsidR="00EC5276" w:rsidRPr="00035F16" w:rsidRDefault="00EC5276" w:rsidP="00EC5276">
      <w:pPr>
        <w:rPr>
          <w:rFonts w:ascii="Century Gothic" w:eastAsia="Times New Roman" w:hAnsi="Century Gothic"/>
          <w:szCs w:val="22"/>
          <w:lang w:eastAsia="en-US"/>
        </w:rPr>
      </w:pPr>
      <w:r w:rsidRPr="00035F16">
        <w:rPr>
          <w:rFonts w:ascii="Century Gothic" w:eastAsia="Times New Roman" w:hAnsi="Century Gothic"/>
          <w:szCs w:val="22"/>
          <w:lang w:eastAsia="en-US"/>
        </w:rPr>
        <w:t xml:space="preserve">The following pages detail </w:t>
      </w:r>
      <w:r w:rsidR="00656082" w:rsidRPr="00035F16">
        <w:rPr>
          <w:rFonts w:ascii="Century Gothic" w:eastAsia="Times New Roman" w:hAnsi="Century Gothic"/>
          <w:szCs w:val="22"/>
          <w:lang w:eastAsia="en-US"/>
        </w:rPr>
        <w:t>ECC/HANH</w:t>
      </w:r>
      <w:r w:rsidRPr="00035F16">
        <w:rPr>
          <w:rFonts w:ascii="Century Gothic" w:eastAsia="Times New Roman" w:hAnsi="Century Gothic"/>
          <w:szCs w:val="22"/>
          <w:lang w:eastAsia="en-US"/>
        </w:rPr>
        <w:t>’s Alternate TDCs.</w:t>
      </w:r>
    </w:p>
    <w:p w14:paraId="099CF7F3" w14:textId="77777777" w:rsidR="00EC5276" w:rsidRPr="00035F16" w:rsidRDefault="00EC5276" w:rsidP="00EC5276">
      <w:pPr>
        <w:rPr>
          <w:rFonts w:ascii="Century Gothic" w:eastAsia="Times New Roman" w:hAnsi="Century Gothic"/>
          <w:szCs w:val="22"/>
          <w:lang w:eastAsia="en-US"/>
        </w:rPr>
      </w:pPr>
    </w:p>
    <w:tbl>
      <w:tblPr>
        <w:tblStyle w:val="ListTable4-Accent2111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92"/>
        <w:gridCol w:w="1193"/>
        <w:gridCol w:w="1192"/>
        <w:gridCol w:w="1193"/>
        <w:gridCol w:w="1192"/>
        <w:gridCol w:w="1193"/>
        <w:gridCol w:w="1215"/>
        <w:gridCol w:w="1170"/>
      </w:tblGrid>
      <w:tr w:rsidR="004B46D2" w:rsidRPr="00035F16" w14:paraId="7C6CC6DA" w14:textId="77777777" w:rsidTr="00EC527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0" w:type="dxa"/>
            <w:gridSpan w:val="8"/>
            <w:tcBorders>
              <w:top w:val="nil"/>
              <w:left w:val="single" w:sz="4" w:space="0" w:color="D9D9D9"/>
              <w:bottom w:val="single" w:sz="24" w:space="0" w:color="B5333C"/>
              <w:right w:val="single" w:sz="4" w:space="0" w:color="D9D9D9"/>
            </w:tcBorders>
            <w:shd w:val="clear" w:color="auto" w:fill="808080"/>
            <w:noWrap/>
            <w:vAlign w:val="center"/>
          </w:tcPr>
          <w:p w14:paraId="65E0CEDC" w14:textId="77777777" w:rsidR="00EC5276" w:rsidRPr="00035F16" w:rsidRDefault="00EC5276" w:rsidP="00EC5276">
            <w:pPr>
              <w:jc w:val="center"/>
              <w:rPr>
                <w:rFonts w:ascii="Century Gothic" w:hAnsi="Century Gothic"/>
                <w:b w:val="0"/>
                <w:color w:val="auto"/>
                <w:szCs w:val="22"/>
              </w:rPr>
            </w:pPr>
            <w:r w:rsidRPr="00035F16">
              <w:rPr>
                <w:rFonts w:ascii="Century Gothic" w:hAnsi="Century Gothic"/>
                <w:color w:val="auto"/>
                <w:szCs w:val="22"/>
                <w:lang w:eastAsia="en-US"/>
              </w:rPr>
              <w:t>HUD HCC 2013</w:t>
            </w:r>
          </w:p>
        </w:tc>
      </w:tr>
      <w:tr w:rsidR="0032063E" w:rsidRPr="00035F16" w14:paraId="6A2D0DCE" w14:textId="77777777" w:rsidTr="002C26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74159FD7" w14:textId="77777777" w:rsidR="00EC5276" w:rsidRPr="00035F16" w:rsidRDefault="00EC5276" w:rsidP="00EC5276">
            <w:pPr>
              <w:jc w:val="center"/>
              <w:rPr>
                <w:rFonts w:ascii="Century Gothic" w:hAnsi="Century Gothic"/>
                <w:szCs w:val="22"/>
              </w:rPr>
            </w:pP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7CA1E4AD"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0</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69CEBE80"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1</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3B6F25DE"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2</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320C88A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3</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25E3EBDA"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4</w:t>
            </w:r>
          </w:p>
        </w:tc>
        <w:tc>
          <w:tcPr>
            <w:tcW w:w="1215" w:type="dxa"/>
            <w:tcBorders>
              <w:top w:val="single" w:sz="24" w:space="0" w:color="B5333C"/>
              <w:left w:val="single" w:sz="4" w:space="0" w:color="D9D9D9"/>
              <w:bottom w:val="single" w:sz="4" w:space="0" w:color="D9D9D9"/>
              <w:right w:val="single" w:sz="4" w:space="0" w:color="D9D9D9"/>
            </w:tcBorders>
            <w:shd w:val="clear" w:color="auto" w:fill="BFBFBF"/>
            <w:noWrap/>
          </w:tcPr>
          <w:p w14:paraId="33DBDAF8"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146C2E9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5</w:t>
            </w:r>
          </w:p>
          <w:p w14:paraId="1544302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tc>
        <w:tc>
          <w:tcPr>
            <w:tcW w:w="1170" w:type="dxa"/>
            <w:tcBorders>
              <w:top w:val="single" w:sz="24" w:space="0" w:color="B5333C"/>
              <w:left w:val="single" w:sz="4" w:space="0" w:color="D9D9D9"/>
              <w:bottom w:val="single" w:sz="4" w:space="0" w:color="D9D9D9"/>
              <w:right w:val="single" w:sz="4" w:space="0" w:color="D9D9D9"/>
            </w:tcBorders>
            <w:shd w:val="clear" w:color="auto" w:fill="BFBFBF"/>
            <w:noWrap/>
          </w:tcPr>
          <w:p w14:paraId="73F8CF3D"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2B334D6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6</w:t>
            </w:r>
          </w:p>
        </w:tc>
      </w:tr>
      <w:tr w:rsidR="00353996" w:rsidRPr="00035F16" w14:paraId="1ECEE9B0" w14:textId="77777777" w:rsidTr="002C2674">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5D778A2D"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Detached</w:t>
            </w:r>
          </w:p>
        </w:tc>
        <w:tc>
          <w:tcPr>
            <w:tcW w:w="1193" w:type="dxa"/>
            <w:tcBorders>
              <w:top w:val="single" w:sz="4" w:space="0" w:color="D9D9D9"/>
              <w:left w:val="single" w:sz="4" w:space="0" w:color="D9D9D9"/>
              <w:bottom w:val="single" w:sz="4" w:space="0" w:color="D9D9D9"/>
              <w:right w:val="single" w:sz="4" w:space="0" w:color="D9D9D9"/>
            </w:tcBorders>
            <w:noWrap/>
            <w:vAlign w:val="bottom"/>
          </w:tcPr>
          <w:p w14:paraId="4DFCC13B"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$ 96,195</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748DC8F3"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$ 122,916</w:t>
            </w:r>
          </w:p>
        </w:tc>
        <w:tc>
          <w:tcPr>
            <w:tcW w:w="1193" w:type="dxa"/>
            <w:tcBorders>
              <w:top w:val="single" w:sz="4" w:space="0" w:color="D9D9D9"/>
              <w:left w:val="single" w:sz="4" w:space="0" w:color="D9D9D9"/>
              <w:bottom w:val="single" w:sz="4" w:space="0" w:color="D9D9D9"/>
              <w:right w:val="single" w:sz="4" w:space="0" w:color="D9D9D9"/>
            </w:tcBorders>
            <w:noWrap/>
            <w:vAlign w:val="bottom"/>
          </w:tcPr>
          <w:p w14:paraId="7E630E48"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$ 144,239</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3927D1AC"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$ 170,801</w:t>
            </w:r>
          </w:p>
        </w:tc>
        <w:tc>
          <w:tcPr>
            <w:tcW w:w="1193" w:type="dxa"/>
            <w:tcBorders>
              <w:top w:val="single" w:sz="4" w:space="0" w:color="D9D9D9"/>
              <w:left w:val="single" w:sz="4" w:space="0" w:color="D9D9D9"/>
              <w:bottom w:val="single" w:sz="4" w:space="0" w:color="D9D9D9"/>
              <w:right w:val="nil"/>
            </w:tcBorders>
            <w:noWrap/>
            <w:vAlign w:val="bottom"/>
          </w:tcPr>
          <w:p w14:paraId="47A39484"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$ 200,549</w:t>
            </w:r>
          </w:p>
        </w:tc>
        <w:tc>
          <w:tcPr>
            <w:tcW w:w="1215" w:type="dxa"/>
            <w:tcBorders>
              <w:top w:val="single" w:sz="4" w:space="0" w:color="D9D9D9"/>
              <w:left w:val="single" w:sz="4" w:space="0" w:color="D9D9D9"/>
              <w:bottom w:val="single" w:sz="4" w:space="0" w:color="D9D9D9"/>
              <w:right w:val="nil"/>
            </w:tcBorders>
            <w:shd w:val="clear" w:color="auto" w:fill="FFFFFF"/>
            <w:noWrap/>
            <w:vAlign w:val="bottom"/>
          </w:tcPr>
          <w:p w14:paraId="69856E68"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$ 219,593</w:t>
            </w:r>
          </w:p>
        </w:tc>
        <w:tc>
          <w:tcPr>
            <w:tcW w:w="1170" w:type="dxa"/>
            <w:tcBorders>
              <w:top w:val="single" w:sz="4" w:space="0" w:color="D9D9D9"/>
              <w:left w:val="single" w:sz="4" w:space="0" w:color="D9D9D9"/>
              <w:bottom w:val="single" w:sz="4" w:space="0" w:color="D9D9D9"/>
              <w:right w:val="nil"/>
            </w:tcBorders>
            <w:shd w:val="clear" w:color="auto" w:fill="FFFFFF"/>
            <w:noWrap/>
            <w:vAlign w:val="bottom"/>
          </w:tcPr>
          <w:p w14:paraId="3EE97F8C"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$ 237,542</w:t>
            </w:r>
          </w:p>
        </w:tc>
      </w:tr>
      <w:tr w:rsidR="00353996" w:rsidRPr="00035F16" w14:paraId="034479EC" w14:textId="77777777" w:rsidTr="002C267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02E7D7E3"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Row House</w:t>
            </w:r>
          </w:p>
        </w:tc>
        <w:tc>
          <w:tcPr>
            <w:tcW w:w="1193" w:type="dxa"/>
            <w:tcBorders>
              <w:top w:val="single" w:sz="4" w:space="0" w:color="D9D9D9"/>
              <w:left w:val="single" w:sz="4" w:space="0" w:color="D9D9D9"/>
              <w:bottom w:val="single" w:sz="4" w:space="0" w:color="D9D9D9"/>
              <w:right w:val="single" w:sz="4" w:space="0" w:color="D9D9D9"/>
            </w:tcBorders>
            <w:noWrap/>
            <w:vAlign w:val="bottom"/>
          </w:tcPr>
          <w:p w14:paraId="1351D5DE"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$ 78,165</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4586542E"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$ 102,750</w:t>
            </w:r>
          </w:p>
        </w:tc>
        <w:tc>
          <w:tcPr>
            <w:tcW w:w="1193" w:type="dxa"/>
            <w:tcBorders>
              <w:top w:val="single" w:sz="4" w:space="0" w:color="D9D9D9"/>
              <w:left w:val="single" w:sz="4" w:space="0" w:color="D9D9D9"/>
              <w:bottom w:val="single" w:sz="4" w:space="0" w:color="D9D9D9"/>
              <w:right w:val="single" w:sz="4" w:space="0" w:color="D9D9D9"/>
            </w:tcBorders>
            <w:noWrap/>
            <w:vAlign w:val="bottom"/>
          </w:tcPr>
          <w:p w14:paraId="4D5851D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$ 121,542</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50485283"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$ 148,120</w:t>
            </w:r>
          </w:p>
        </w:tc>
        <w:tc>
          <w:tcPr>
            <w:tcW w:w="1193" w:type="dxa"/>
            <w:tcBorders>
              <w:top w:val="single" w:sz="4" w:space="0" w:color="D9D9D9"/>
              <w:left w:val="single" w:sz="4" w:space="0" w:color="D9D9D9"/>
              <w:bottom w:val="single" w:sz="4" w:space="0" w:color="D9D9D9"/>
              <w:right w:val="nil"/>
            </w:tcBorders>
            <w:noWrap/>
            <w:vAlign w:val="bottom"/>
          </w:tcPr>
          <w:p w14:paraId="0192484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$ 176,091</w:t>
            </w:r>
          </w:p>
        </w:tc>
        <w:tc>
          <w:tcPr>
            <w:tcW w:w="1215" w:type="dxa"/>
            <w:tcBorders>
              <w:top w:val="single" w:sz="4" w:space="0" w:color="D9D9D9"/>
              <w:left w:val="single" w:sz="4" w:space="0" w:color="D9D9D9"/>
              <w:bottom w:val="single" w:sz="4" w:space="0" w:color="D9D9D9"/>
              <w:right w:val="nil"/>
            </w:tcBorders>
            <w:shd w:val="clear" w:color="auto" w:fill="FFFFFF"/>
            <w:noWrap/>
            <w:vAlign w:val="bottom"/>
          </w:tcPr>
          <w:p w14:paraId="63EB99B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$ 194,147</w:t>
            </w:r>
          </w:p>
        </w:tc>
        <w:tc>
          <w:tcPr>
            <w:tcW w:w="1170" w:type="dxa"/>
            <w:tcBorders>
              <w:top w:val="single" w:sz="4" w:space="0" w:color="D9D9D9"/>
              <w:left w:val="single" w:sz="4" w:space="0" w:color="D9D9D9"/>
              <w:bottom w:val="single" w:sz="4" w:space="0" w:color="D9D9D9"/>
              <w:right w:val="nil"/>
            </w:tcBorders>
            <w:shd w:val="clear" w:color="auto" w:fill="FFFFFF"/>
            <w:noWrap/>
            <w:vAlign w:val="bottom"/>
          </w:tcPr>
          <w:p w14:paraId="6074FE1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$ 211,074</w:t>
            </w:r>
          </w:p>
        </w:tc>
      </w:tr>
      <w:tr w:rsidR="00353996" w:rsidRPr="00035F16" w14:paraId="25E9BCA6" w14:textId="77777777" w:rsidTr="002C2674">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750603BC"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Walk Up</w:t>
            </w:r>
          </w:p>
        </w:tc>
        <w:tc>
          <w:tcPr>
            <w:tcW w:w="1193" w:type="dxa"/>
            <w:tcBorders>
              <w:top w:val="single" w:sz="4" w:space="0" w:color="D9D9D9"/>
              <w:left w:val="single" w:sz="4" w:space="0" w:color="D9D9D9"/>
              <w:bottom w:val="single" w:sz="4" w:space="0" w:color="D9D9D9"/>
              <w:right w:val="single" w:sz="4" w:space="0" w:color="D9D9D9"/>
            </w:tcBorders>
            <w:noWrap/>
            <w:vAlign w:val="bottom"/>
          </w:tcPr>
          <w:p w14:paraId="02CA3B90"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rPr>
              <w:t>$ 71,663</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235BBBE3"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rPr>
              <w:t>$ 97,219</w:t>
            </w:r>
          </w:p>
        </w:tc>
        <w:tc>
          <w:tcPr>
            <w:tcW w:w="1193" w:type="dxa"/>
            <w:tcBorders>
              <w:top w:val="single" w:sz="4" w:space="0" w:color="D9D9D9"/>
              <w:left w:val="single" w:sz="4" w:space="0" w:color="D9D9D9"/>
              <w:bottom w:val="single" w:sz="4" w:space="0" w:color="D9D9D9"/>
              <w:right w:val="single" w:sz="4" w:space="0" w:color="D9D9D9"/>
            </w:tcBorders>
            <w:noWrap/>
            <w:vAlign w:val="bottom"/>
          </w:tcPr>
          <w:p w14:paraId="1143AC44"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$ 123,709</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6C346B0B"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$ 161,949</w:t>
            </w:r>
          </w:p>
        </w:tc>
        <w:tc>
          <w:tcPr>
            <w:tcW w:w="1193" w:type="dxa"/>
            <w:tcBorders>
              <w:top w:val="single" w:sz="4" w:space="0" w:color="D9D9D9"/>
              <w:left w:val="single" w:sz="4" w:space="0" w:color="D9D9D9"/>
              <w:bottom w:val="single" w:sz="4" w:space="0" w:color="D9D9D9"/>
              <w:right w:val="nil"/>
            </w:tcBorders>
            <w:noWrap/>
            <w:vAlign w:val="bottom"/>
          </w:tcPr>
          <w:p w14:paraId="31FB63A2"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$ 201,180</w:t>
            </w:r>
          </w:p>
        </w:tc>
        <w:tc>
          <w:tcPr>
            <w:tcW w:w="1215" w:type="dxa"/>
            <w:tcBorders>
              <w:top w:val="single" w:sz="4" w:space="0" w:color="D9D9D9"/>
              <w:left w:val="single" w:sz="4" w:space="0" w:color="D9D9D9"/>
              <w:bottom w:val="single" w:sz="4" w:space="0" w:color="D9D9D9"/>
              <w:right w:val="nil"/>
            </w:tcBorders>
            <w:shd w:val="clear" w:color="auto" w:fill="FFFFFF"/>
            <w:noWrap/>
            <w:vAlign w:val="bottom"/>
          </w:tcPr>
          <w:p w14:paraId="142A0137"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$ 226,579</w:t>
            </w:r>
          </w:p>
        </w:tc>
        <w:tc>
          <w:tcPr>
            <w:tcW w:w="1170" w:type="dxa"/>
            <w:tcBorders>
              <w:top w:val="single" w:sz="4" w:space="0" w:color="D9D9D9"/>
              <w:left w:val="single" w:sz="4" w:space="0" w:color="D9D9D9"/>
              <w:bottom w:val="single" w:sz="4" w:space="0" w:color="D9D9D9"/>
              <w:right w:val="nil"/>
            </w:tcBorders>
            <w:shd w:val="clear" w:color="auto" w:fill="FFFFFF"/>
            <w:noWrap/>
            <w:vAlign w:val="bottom"/>
          </w:tcPr>
          <w:p w14:paraId="2A7D59C6"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$ 251,643</w:t>
            </w:r>
          </w:p>
        </w:tc>
      </w:tr>
      <w:tr w:rsidR="00353996" w:rsidRPr="00035F16" w14:paraId="134307C1" w14:textId="77777777" w:rsidTr="002C267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12F6FD3B"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Elevator</w:t>
            </w:r>
          </w:p>
        </w:tc>
        <w:tc>
          <w:tcPr>
            <w:tcW w:w="1193" w:type="dxa"/>
            <w:tcBorders>
              <w:top w:val="single" w:sz="4" w:space="0" w:color="D9D9D9"/>
              <w:left w:val="single" w:sz="4" w:space="0" w:color="D9D9D9"/>
              <w:bottom w:val="single" w:sz="4" w:space="0" w:color="D9D9D9"/>
              <w:right w:val="single" w:sz="4" w:space="0" w:color="D9D9D9"/>
            </w:tcBorders>
            <w:noWrap/>
            <w:vAlign w:val="bottom"/>
          </w:tcPr>
          <w:p w14:paraId="285D7A81"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rPr>
              <w:t>$ 81,545</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253177F0"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rPr>
              <w:t>$ 114,163</w:t>
            </w:r>
          </w:p>
        </w:tc>
        <w:tc>
          <w:tcPr>
            <w:tcW w:w="1193" w:type="dxa"/>
            <w:tcBorders>
              <w:top w:val="single" w:sz="4" w:space="0" w:color="D9D9D9"/>
              <w:left w:val="single" w:sz="4" w:space="0" w:color="D9D9D9"/>
              <w:bottom w:val="single" w:sz="4" w:space="0" w:color="D9D9D9"/>
              <w:right w:val="single" w:sz="4" w:space="0" w:color="D9D9D9"/>
            </w:tcBorders>
            <w:noWrap/>
            <w:vAlign w:val="bottom"/>
          </w:tcPr>
          <w:p w14:paraId="75D2FA31"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$ 146,781</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39D518F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$ 195,708</w:t>
            </w:r>
          </w:p>
        </w:tc>
        <w:tc>
          <w:tcPr>
            <w:tcW w:w="1193" w:type="dxa"/>
            <w:tcBorders>
              <w:top w:val="single" w:sz="4" w:space="0" w:color="D9D9D9"/>
              <w:left w:val="single" w:sz="4" w:space="0" w:color="D9D9D9"/>
              <w:bottom w:val="single" w:sz="4" w:space="0" w:color="D9D9D9"/>
              <w:right w:val="nil"/>
            </w:tcBorders>
            <w:noWrap/>
            <w:vAlign w:val="bottom"/>
          </w:tcPr>
          <w:p w14:paraId="3F2CB76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$ 244,635</w:t>
            </w:r>
          </w:p>
        </w:tc>
        <w:tc>
          <w:tcPr>
            <w:tcW w:w="1215" w:type="dxa"/>
            <w:tcBorders>
              <w:top w:val="single" w:sz="4" w:space="0" w:color="D9D9D9"/>
              <w:left w:val="single" w:sz="4" w:space="0" w:color="D9D9D9"/>
              <w:bottom w:val="single" w:sz="4" w:space="0" w:color="D9D9D9"/>
              <w:right w:val="nil"/>
            </w:tcBorders>
            <w:shd w:val="clear" w:color="auto" w:fill="FFFFFF"/>
            <w:noWrap/>
            <w:vAlign w:val="bottom"/>
          </w:tcPr>
          <w:p w14:paraId="31845F7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$ 277,253</w:t>
            </w:r>
          </w:p>
        </w:tc>
        <w:tc>
          <w:tcPr>
            <w:tcW w:w="1170" w:type="dxa"/>
            <w:tcBorders>
              <w:top w:val="single" w:sz="4" w:space="0" w:color="D9D9D9"/>
              <w:left w:val="single" w:sz="4" w:space="0" w:color="D9D9D9"/>
              <w:bottom w:val="single" w:sz="4" w:space="0" w:color="D9D9D9"/>
              <w:right w:val="nil"/>
            </w:tcBorders>
            <w:shd w:val="clear" w:color="auto" w:fill="FFFFFF"/>
            <w:noWrap/>
            <w:vAlign w:val="bottom"/>
          </w:tcPr>
          <w:p w14:paraId="3E4FB79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$ 309,871</w:t>
            </w:r>
          </w:p>
        </w:tc>
      </w:tr>
    </w:tbl>
    <w:p w14:paraId="0D8D402C" w14:textId="77777777" w:rsidR="00EC5276" w:rsidRPr="00035F16" w:rsidRDefault="00EC5276" w:rsidP="00EC5276">
      <w:pPr>
        <w:rPr>
          <w:rFonts w:ascii="Century Gothic" w:eastAsia="Times New Roman" w:hAnsi="Century Gothic"/>
          <w:szCs w:val="22"/>
          <w:lang w:eastAsia="en-US"/>
        </w:rPr>
      </w:pPr>
    </w:p>
    <w:tbl>
      <w:tblPr>
        <w:tblStyle w:val="ListTable4-Accent2111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92"/>
        <w:gridCol w:w="1193"/>
        <w:gridCol w:w="1192"/>
        <w:gridCol w:w="1193"/>
        <w:gridCol w:w="1192"/>
        <w:gridCol w:w="1193"/>
        <w:gridCol w:w="1192"/>
        <w:gridCol w:w="1193"/>
      </w:tblGrid>
      <w:tr w:rsidR="004B46D2" w:rsidRPr="00035F16" w14:paraId="7AFC98F1" w14:textId="77777777" w:rsidTr="00EC527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0" w:type="dxa"/>
            <w:gridSpan w:val="8"/>
            <w:tcBorders>
              <w:top w:val="nil"/>
              <w:left w:val="single" w:sz="4" w:space="0" w:color="D9D9D9"/>
              <w:bottom w:val="single" w:sz="24" w:space="0" w:color="B5333C"/>
              <w:right w:val="single" w:sz="4" w:space="0" w:color="D9D9D9"/>
            </w:tcBorders>
            <w:shd w:val="clear" w:color="auto" w:fill="808080"/>
            <w:noWrap/>
            <w:vAlign w:val="center"/>
          </w:tcPr>
          <w:p w14:paraId="7EE38F47" w14:textId="77777777" w:rsidR="00EC5276" w:rsidRPr="00035F16" w:rsidRDefault="00EC5276" w:rsidP="00EC5276">
            <w:pPr>
              <w:jc w:val="center"/>
              <w:rPr>
                <w:rFonts w:ascii="Century Gothic" w:hAnsi="Century Gothic"/>
                <w:b w:val="0"/>
                <w:color w:val="auto"/>
                <w:szCs w:val="22"/>
              </w:rPr>
            </w:pPr>
            <w:bookmarkStart w:id="203" w:name="_Hlk529534210"/>
            <w:r w:rsidRPr="00035F16">
              <w:rPr>
                <w:rFonts w:ascii="Century Gothic" w:hAnsi="Century Gothic"/>
                <w:color w:val="auto"/>
                <w:szCs w:val="22"/>
              </w:rPr>
              <w:t>HUD HCC FACTORS</w:t>
            </w:r>
          </w:p>
        </w:tc>
      </w:tr>
      <w:tr w:rsidR="0032063E" w:rsidRPr="00035F16" w14:paraId="28082DD8" w14:textId="77777777" w:rsidTr="00EC5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47844305" w14:textId="77777777" w:rsidR="00EC5276" w:rsidRPr="00035F16" w:rsidRDefault="00EC5276" w:rsidP="00EC5276">
            <w:pPr>
              <w:jc w:val="center"/>
              <w:rPr>
                <w:rFonts w:ascii="Century Gothic" w:hAnsi="Century Gothic"/>
                <w:szCs w:val="22"/>
              </w:rPr>
            </w:pP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380BFF31"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0</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3F49D59D"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1</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0E94C792"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2</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7CB8F63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3</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5ECA9570"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4</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tcPr>
          <w:p w14:paraId="1CD3D476"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058A867E"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5</w:t>
            </w:r>
          </w:p>
          <w:p w14:paraId="2E563829"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tcPr>
          <w:p w14:paraId="3CB55310"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1340624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6</w:t>
            </w:r>
          </w:p>
        </w:tc>
      </w:tr>
      <w:tr w:rsidR="00353996" w:rsidRPr="00035F16" w14:paraId="5603BFFA"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5CD37356"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Detached</w:t>
            </w:r>
          </w:p>
        </w:tc>
        <w:tc>
          <w:tcPr>
            <w:tcW w:w="1193" w:type="dxa"/>
            <w:tcBorders>
              <w:top w:val="single" w:sz="4" w:space="0" w:color="D9D9D9"/>
              <w:left w:val="single" w:sz="4" w:space="0" w:color="D9D9D9"/>
              <w:bottom w:val="single" w:sz="4" w:space="0" w:color="D9D9D9"/>
              <w:right w:val="single" w:sz="4" w:space="0" w:color="D9D9D9"/>
            </w:tcBorders>
            <w:noWrap/>
          </w:tcPr>
          <w:p w14:paraId="36FC891A"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-33.31%</w:t>
            </w:r>
          </w:p>
        </w:tc>
        <w:tc>
          <w:tcPr>
            <w:tcW w:w="1192" w:type="dxa"/>
            <w:tcBorders>
              <w:top w:val="single" w:sz="4" w:space="0" w:color="D9D9D9"/>
              <w:left w:val="single" w:sz="4" w:space="0" w:color="D9D9D9"/>
              <w:bottom w:val="single" w:sz="4" w:space="0" w:color="D9D9D9"/>
              <w:right w:val="single" w:sz="4" w:space="0" w:color="D9D9D9"/>
            </w:tcBorders>
            <w:noWrap/>
          </w:tcPr>
          <w:p w14:paraId="112482A4"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-14.78%</w:t>
            </w:r>
          </w:p>
        </w:tc>
        <w:tc>
          <w:tcPr>
            <w:tcW w:w="1193" w:type="dxa"/>
            <w:tcBorders>
              <w:top w:val="single" w:sz="4" w:space="0" w:color="D9D9D9"/>
              <w:left w:val="single" w:sz="4" w:space="0" w:color="D9D9D9"/>
              <w:bottom w:val="single" w:sz="4" w:space="0" w:color="D9D9D9"/>
              <w:right w:val="single" w:sz="4" w:space="0" w:color="D9D9D9"/>
            </w:tcBorders>
            <w:noWrap/>
          </w:tcPr>
          <w:p w14:paraId="40B47909"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16.60%</w:t>
            </w:r>
          </w:p>
        </w:tc>
        <w:tc>
          <w:tcPr>
            <w:tcW w:w="1192" w:type="dxa"/>
            <w:tcBorders>
              <w:top w:val="single" w:sz="4" w:space="0" w:color="D9D9D9"/>
              <w:left w:val="single" w:sz="4" w:space="0" w:color="D9D9D9"/>
              <w:bottom w:val="single" w:sz="4" w:space="0" w:color="D9D9D9"/>
              <w:right w:val="single" w:sz="4" w:space="0" w:color="D9D9D9"/>
            </w:tcBorders>
            <w:noWrap/>
          </w:tcPr>
          <w:p w14:paraId="66943598"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18.42%</w:t>
            </w:r>
          </w:p>
        </w:tc>
        <w:tc>
          <w:tcPr>
            <w:tcW w:w="1193" w:type="dxa"/>
            <w:tcBorders>
              <w:top w:val="single" w:sz="4" w:space="0" w:color="D9D9D9"/>
              <w:left w:val="single" w:sz="4" w:space="0" w:color="D9D9D9"/>
              <w:bottom w:val="single" w:sz="4" w:space="0" w:color="D9D9D9"/>
              <w:right w:val="nil"/>
            </w:tcBorders>
            <w:noWrap/>
          </w:tcPr>
          <w:p w14:paraId="5ED8F490"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39.04%</w:t>
            </w:r>
          </w:p>
        </w:tc>
        <w:tc>
          <w:tcPr>
            <w:tcW w:w="1192" w:type="dxa"/>
            <w:tcBorders>
              <w:top w:val="single" w:sz="4" w:space="0" w:color="D9D9D9"/>
              <w:left w:val="single" w:sz="4" w:space="0" w:color="D9D9D9"/>
              <w:bottom w:val="single" w:sz="4" w:space="0" w:color="D9D9D9"/>
              <w:right w:val="nil"/>
            </w:tcBorders>
            <w:shd w:val="clear" w:color="auto" w:fill="FFFFFF"/>
            <w:noWrap/>
          </w:tcPr>
          <w:p w14:paraId="442B2B2D"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52.24%</w:t>
            </w:r>
          </w:p>
        </w:tc>
        <w:tc>
          <w:tcPr>
            <w:tcW w:w="1193" w:type="dxa"/>
            <w:tcBorders>
              <w:top w:val="single" w:sz="4" w:space="0" w:color="D9D9D9"/>
              <w:left w:val="single" w:sz="4" w:space="0" w:color="D9D9D9"/>
              <w:bottom w:val="single" w:sz="4" w:space="0" w:color="D9D9D9"/>
              <w:right w:val="nil"/>
            </w:tcBorders>
            <w:shd w:val="clear" w:color="auto" w:fill="FFFFFF"/>
            <w:noWrap/>
          </w:tcPr>
          <w:p w14:paraId="472448A5"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64.69%</w:t>
            </w:r>
          </w:p>
        </w:tc>
      </w:tr>
      <w:tr w:rsidR="00353996" w:rsidRPr="00035F16" w14:paraId="1B65C9B8" w14:textId="77777777" w:rsidTr="00EC527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68E8B215"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Row House</w:t>
            </w:r>
          </w:p>
        </w:tc>
        <w:tc>
          <w:tcPr>
            <w:tcW w:w="1193" w:type="dxa"/>
            <w:tcBorders>
              <w:top w:val="single" w:sz="4" w:space="0" w:color="D9D9D9"/>
              <w:left w:val="single" w:sz="4" w:space="0" w:color="D9D9D9"/>
              <w:bottom w:val="single" w:sz="4" w:space="0" w:color="D9D9D9"/>
              <w:right w:val="single" w:sz="4" w:space="0" w:color="D9D9D9"/>
            </w:tcBorders>
            <w:noWrap/>
          </w:tcPr>
          <w:p w14:paraId="4204CEC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-35.69%</w:t>
            </w:r>
          </w:p>
        </w:tc>
        <w:tc>
          <w:tcPr>
            <w:tcW w:w="1192" w:type="dxa"/>
            <w:tcBorders>
              <w:top w:val="single" w:sz="4" w:space="0" w:color="D9D9D9"/>
              <w:left w:val="single" w:sz="4" w:space="0" w:color="D9D9D9"/>
              <w:bottom w:val="single" w:sz="4" w:space="0" w:color="D9D9D9"/>
              <w:right w:val="single" w:sz="4" w:space="0" w:color="D9D9D9"/>
            </w:tcBorders>
            <w:noWrap/>
          </w:tcPr>
          <w:p w14:paraId="4D7DB1D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-15.46%</w:t>
            </w:r>
          </w:p>
        </w:tc>
        <w:tc>
          <w:tcPr>
            <w:tcW w:w="1193" w:type="dxa"/>
            <w:tcBorders>
              <w:top w:val="single" w:sz="4" w:space="0" w:color="D9D9D9"/>
              <w:left w:val="single" w:sz="4" w:space="0" w:color="D9D9D9"/>
              <w:bottom w:val="single" w:sz="4" w:space="0" w:color="D9D9D9"/>
              <w:right w:val="single" w:sz="4" w:space="0" w:color="D9D9D9"/>
            </w:tcBorders>
            <w:noWrap/>
          </w:tcPr>
          <w:p w14:paraId="6A1D31A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-1.75%</w:t>
            </w:r>
          </w:p>
        </w:tc>
        <w:tc>
          <w:tcPr>
            <w:tcW w:w="1192" w:type="dxa"/>
            <w:tcBorders>
              <w:top w:val="single" w:sz="4" w:space="0" w:color="D9D9D9"/>
              <w:left w:val="single" w:sz="4" w:space="0" w:color="D9D9D9"/>
              <w:bottom w:val="single" w:sz="4" w:space="0" w:color="D9D9D9"/>
              <w:right w:val="single" w:sz="4" w:space="0" w:color="D9D9D9"/>
            </w:tcBorders>
            <w:noWrap/>
          </w:tcPr>
          <w:p w14:paraId="7D064FE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21.87%</w:t>
            </w:r>
          </w:p>
        </w:tc>
        <w:tc>
          <w:tcPr>
            <w:tcW w:w="1193" w:type="dxa"/>
            <w:tcBorders>
              <w:top w:val="single" w:sz="4" w:space="0" w:color="D9D9D9"/>
              <w:left w:val="single" w:sz="4" w:space="0" w:color="D9D9D9"/>
              <w:bottom w:val="single" w:sz="4" w:space="0" w:color="D9D9D9"/>
              <w:right w:val="nil"/>
            </w:tcBorders>
            <w:noWrap/>
          </w:tcPr>
          <w:p w14:paraId="7634E76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44.88%</w:t>
            </w:r>
          </w:p>
        </w:tc>
        <w:tc>
          <w:tcPr>
            <w:tcW w:w="1192" w:type="dxa"/>
            <w:tcBorders>
              <w:top w:val="single" w:sz="4" w:space="0" w:color="D9D9D9"/>
              <w:left w:val="single" w:sz="4" w:space="0" w:color="D9D9D9"/>
              <w:bottom w:val="single" w:sz="4" w:space="0" w:color="D9D9D9"/>
              <w:right w:val="nil"/>
            </w:tcBorders>
            <w:shd w:val="clear" w:color="auto" w:fill="FFFFFF"/>
            <w:noWrap/>
          </w:tcPr>
          <w:p w14:paraId="669F209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59.74%</w:t>
            </w:r>
          </w:p>
        </w:tc>
        <w:tc>
          <w:tcPr>
            <w:tcW w:w="1193" w:type="dxa"/>
            <w:tcBorders>
              <w:top w:val="single" w:sz="4" w:space="0" w:color="D9D9D9"/>
              <w:left w:val="single" w:sz="4" w:space="0" w:color="D9D9D9"/>
              <w:bottom w:val="single" w:sz="4" w:space="0" w:color="D9D9D9"/>
              <w:right w:val="nil"/>
            </w:tcBorders>
            <w:shd w:val="clear" w:color="auto" w:fill="FFFFFF"/>
            <w:noWrap/>
          </w:tcPr>
          <w:p w14:paraId="01B1C1D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73.66%</w:t>
            </w:r>
          </w:p>
        </w:tc>
      </w:tr>
      <w:tr w:rsidR="00353996" w:rsidRPr="00035F16" w14:paraId="1F5A5F1A"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2AF85A4F"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Walk Up</w:t>
            </w:r>
          </w:p>
        </w:tc>
        <w:tc>
          <w:tcPr>
            <w:tcW w:w="1193" w:type="dxa"/>
            <w:tcBorders>
              <w:top w:val="single" w:sz="4" w:space="0" w:color="D9D9D9"/>
              <w:left w:val="single" w:sz="4" w:space="0" w:color="D9D9D9"/>
              <w:bottom w:val="single" w:sz="4" w:space="0" w:color="D9D9D9"/>
              <w:right w:val="single" w:sz="4" w:space="0" w:color="D9D9D9"/>
            </w:tcBorders>
            <w:noWrap/>
          </w:tcPr>
          <w:p w14:paraId="14AD579A"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-42.07%</w:t>
            </w:r>
          </w:p>
        </w:tc>
        <w:tc>
          <w:tcPr>
            <w:tcW w:w="1192" w:type="dxa"/>
            <w:tcBorders>
              <w:top w:val="single" w:sz="4" w:space="0" w:color="D9D9D9"/>
              <w:left w:val="single" w:sz="4" w:space="0" w:color="D9D9D9"/>
              <w:bottom w:val="single" w:sz="4" w:space="0" w:color="D9D9D9"/>
              <w:right w:val="single" w:sz="4" w:space="0" w:color="D9D9D9"/>
            </w:tcBorders>
            <w:noWrap/>
          </w:tcPr>
          <w:p w14:paraId="59066CAF"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-21.41%</w:t>
            </w:r>
          </w:p>
        </w:tc>
        <w:tc>
          <w:tcPr>
            <w:tcW w:w="1193" w:type="dxa"/>
            <w:tcBorders>
              <w:top w:val="single" w:sz="4" w:space="0" w:color="D9D9D9"/>
              <w:left w:val="single" w:sz="4" w:space="0" w:color="D9D9D9"/>
              <w:bottom w:val="single" w:sz="4" w:space="0" w:color="D9D9D9"/>
              <w:right w:val="single" w:sz="4" w:space="0" w:color="D9D9D9"/>
            </w:tcBorders>
            <w:noWrap/>
          </w:tcPr>
          <w:p w14:paraId="66846930"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0.00%</w:t>
            </w:r>
          </w:p>
        </w:tc>
        <w:tc>
          <w:tcPr>
            <w:tcW w:w="1192" w:type="dxa"/>
            <w:tcBorders>
              <w:top w:val="single" w:sz="4" w:space="0" w:color="D9D9D9"/>
              <w:left w:val="single" w:sz="4" w:space="0" w:color="D9D9D9"/>
              <w:bottom w:val="single" w:sz="4" w:space="0" w:color="D9D9D9"/>
              <w:right w:val="single" w:sz="4" w:space="0" w:color="D9D9D9"/>
            </w:tcBorders>
            <w:noWrap/>
          </w:tcPr>
          <w:p w14:paraId="00C43AB2"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30.91%</w:t>
            </w:r>
          </w:p>
        </w:tc>
        <w:tc>
          <w:tcPr>
            <w:tcW w:w="1193" w:type="dxa"/>
            <w:tcBorders>
              <w:top w:val="single" w:sz="4" w:space="0" w:color="D9D9D9"/>
              <w:left w:val="single" w:sz="4" w:space="0" w:color="D9D9D9"/>
              <w:bottom w:val="single" w:sz="4" w:space="0" w:color="D9D9D9"/>
              <w:right w:val="nil"/>
            </w:tcBorders>
            <w:noWrap/>
          </w:tcPr>
          <w:p w14:paraId="030C737E"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62.62%</w:t>
            </w:r>
          </w:p>
        </w:tc>
        <w:tc>
          <w:tcPr>
            <w:tcW w:w="1192" w:type="dxa"/>
            <w:tcBorders>
              <w:top w:val="single" w:sz="4" w:space="0" w:color="D9D9D9"/>
              <w:left w:val="single" w:sz="4" w:space="0" w:color="D9D9D9"/>
              <w:bottom w:val="single" w:sz="4" w:space="0" w:color="D9D9D9"/>
              <w:right w:val="nil"/>
            </w:tcBorders>
            <w:shd w:val="clear" w:color="auto" w:fill="FFFFFF"/>
            <w:noWrap/>
          </w:tcPr>
          <w:p w14:paraId="0FB75E6D"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83.16%</w:t>
            </w:r>
          </w:p>
        </w:tc>
        <w:tc>
          <w:tcPr>
            <w:tcW w:w="1193" w:type="dxa"/>
            <w:tcBorders>
              <w:top w:val="single" w:sz="4" w:space="0" w:color="D9D9D9"/>
              <w:left w:val="single" w:sz="4" w:space="0" w:color="D9D9D9"/>
              <w:bottom w:val="single" w:sz="4" w:space="0" w:color="D9D9D9"/>
              <w:right w:val="nil"/>
            </w:tcBorders>
            <w:shd w:val="clear" w:color="auto" w:fill="FFFFFF"/>
            <w:noWrap/>
          </w:tcPr>
          <w:p w14:paraId="08AE3CAD"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103.42%</w:t>
            </w:r>
          </w:p>
        </w:tc>
      </w:tr>
      <w:tr w:rsidR="00353996" w:rsidRPr="00035F16" w14:paraId="52E7675F" w14:textId="77777777" w:rsidTr="00EC527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68FF24A6"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Elevator</w:t>
            </w:r>
          </w:p>
        </w:tc>
        <w:tc>
          <w:tcPr>
            <w:tcW w:w="1193" w:type="dxa"/>
            <w:tcBorders>
              <w:top w:val="single" w:sz="4" w:space="0" w:color="D9D9D9"/>
              <w:left w:val="single" w:sz="4" w:space="0" w:color="D9D9D9"/>
              <w:bottom w:val="single" w:sz="4" w:space="0" w:color="D9D9D9"/>
              <w:right w:val="single" w:sz="4" w:space="0" w:color="D9D9D9"/>
            </w:tcBorders>
            <w:noWrap/>
          </w:tcPr>
          <w:p w14:paraId="1F2DDF5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-44.44%</w:t>
            </w:r>
          </w:p>
        </w:tc>
        <w:tc>
          <w:tcPr>
            <w:tcW w:w="1192" w:type="dxa"/>
            <w:tcBorders>
              <w:top w:val="single" w:sz="4" w:space="0" w:color="D9D9D9"/>
              <w:left w:val="single" w:sz="4" w:space="0" w:color="D9D9D9"/>
              <w:bottom w:val="single" w:sz="4" w:space="0" w:color="D9D9D9"/>
              <w:right w:val="single" w:sz="4" w:space="0" w:color="D9D9D9"/>
            </w:tcBorders>
            <w:noWrap/>
          </w:tcPr>
          <w:p w14:paraId="3DDDE579"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-22.22%</w:t>
            </w:r>
          </w:p>
        </w:tc>
        <w:tc>
          <w:tcPr>
            <w:tcW w:w="1193" w:type="dxa"/>
            <w:tcBorders>
              <w:top w:val="single" w:sz="4" w:space="0" w:color="D9D9D9"/>
              <w:left w:val="single" w:sz="4" w:space="0" w:color="D9D9D9"/>
              <w:bottom w:val="single" w:sz="4" w:space="0" w:color="D9D9D9"/>
              <w:right w:val="single" w:sz="4" w:space="0" w:color="D9D9D9"/>
            </w:tcBorders>
            <w:noWrap/>
          </w:tcPr>
          <w:p w14:paraId="04B916C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w:t>
            </w:r>
          </w:p>
        </w:tc>
        <w:tc>
          <w:tcPr>
            <w:tcW w:w="1192" w:type="dxa"/>
            <w:tcBorders>
              <w:top w:val="single" w:sz="4" w:space="0" w:color="D9D9D9"/>
              <w:left w:val="single" w:sz="4" w:space="0" w:color="D9D9D9"/>
              <w:bottom w:val="single" w:sz="4" w:space="0" w:color="D9D9D9"/>
              <w:right w:val="single" w:sz="4" w:space="0" w:color="D9D9D9"/>
            </w:tcBorders>
            <w:noWrap/>
          </w:tcPr>
          <w:p w14:paraId="4BAB45CD"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33.33%</w:t>
            </w:r>
          </w:p>
        </w:tc>
        <w:tc>
          <w:tcPr>
            <w:tcW w:w="1193" w:type="dxa"/>
            <w:tcBorders>
              <w:top w:val="single" w:sz="4" w:space="0" w:color="D9D9D9"/>
              <w:left w:val="single" w:sz="4" w:space="0" w:color="D9D9D9"/>
              <w:bottom w:val="single" w:sz="4" w:space="0" w:color="D9D9D9"/>
              <w:right w:val="nil"/>
            </w:tcBorders>
            <w:noWrap/>
          </w:tcPr>
          <w:p w14:paraId="04A1B932"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66.67%</w:t>
            </w:r>
          </w:p>
        </w:tc>
        <w:tc>
          <w:tcPr>
            <w:tcW w:w="1192" w:type="dxa"/>
            <w:tcBorders>
              <w:top w:val="single" w:sz="4" w:space="0" w:color="D9D9D9"/>
              <w:left w:val="single" w:sz="4" w:space="0" w:color="D9D9D9"/>
              <w:bottom w:val="single" w:sz="4" w:space="0" w:color="D9D9D9"/>
              <w:right w:val="nil"/>
            </w:tcBorders>
            <w:shd w:val="clear" w:color="auto" w:fill="FFFFFF"/>
            <w:noWrap/>
          </w:tcPr>
          <w:p w14:paraId="4B4A5FF9"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88.89%</w:t>
            </w:r>
          </w:p>
        </w:tc>
        <w:tc>
          <w:tcPr>
            <w:tcW w:w="1193" w:type="dxa"/>
            <w:tcBorders>
              <w:top w:val="single" w:sz="4" w:space="0" w:color="D9D9D9"/>
              <w:left w:val="single" w:sz="4" w:space="0" w:color="D9D9D9"/>
              <w:bottom w:val="single" w:sz="4" w:space="0" w:color="D9D9D9"/>
              <w:right w:val="nil"/>
            </w:tcBorders>
            <w:shd w:val="clear" w:color="auto" w:fill="FFFFFF"/>
            <w:noWrap/>
          </w:tcPr>
          <w:p w14:paraId="7F509EC2"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111.11%</w:t>
            </w:r>
          </w:p>
        </w:tc>
      </w:tr>
      <w:bookmarkEnd w:id="203"/>
    </w:tbl>
    <w:p w14:paraId="12757AC3" w14:textId="77777777" w:rsidR="00EC5276" w:rsidRPr="00035F16" w:rsidRDefault="00EC5276" w:rsidP="00EC5276">
      <w:pPr>
        <w:rPr>
          <w:rFonts w:ascii="Century Gothic" w:eastAsia="Times New Roman" w:hAnsi="Century Gothic"/>
          <w:szCs w:val="22"/>
          <w:lang w:eastAsia="en-US"/>
        </w:rPr>
      </w:pPr>
    </w:p>
    <w:tbl>
      <w:tblPr>
        <w:tblStyle w:val="ListTable4-Accent2111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70"/>
        <w:gridCol w:w="1226"/>
        <w:gridCol w:w="1190"/>
        <w:gridCol w:w="1192"/>
        <w:gridCol w:w="1190"/>
        <w:gridCol w:w="1191"/>
        <w:gridCol w:w="1190"/>
        <w:gridCol w:w="1191"/>
      </w:tblGrid>
      <w:tr w:rsidR="004B46D2" w:rsidRPr="00035F16" w14:paraId="70882828" w14:textId="77777777" w:rsidTr="00EC527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0" w:type="dxa"/>
            <w:gridSpan w:val="8"/>
            <w:tcBorders>
              <w:top w:val="nil"/>
              <w:left w:val="single" w:sz="4" w:space="0" w:color="D9D9D9"/>
              <w:bottom w:val="single" w:sz="24" w:space="0" w:color="B5333C"/>
              <w:right w:val="single" w:sz="4" w:space="0" w:color="D9D9D9"/>
            </w:tcBorders>
            <w:shd w:val="clear" w:color="auto" w:fill="808080"/>
            <w:noWrap/>
            <w:vAlign w:val="center"/>
          </w:tcPr>
          <w:p w14:paraId="3FF336C0" w14:textId="3095B27A" w:rsidR="00EC5276" w:rsidRPr="00035F16" w:rsidRDefault="00656082" w:rsidP="00EC5276">
            <w:pPr>
              <w:jc w:val="center"/>
              <w:rPr>
                <w:rFonts w:ascii="Century Gothic" w:hAnsi="Century Gothic"/>
                <w:b w:val="0"/>
                <w:color w:val="auto"/>
                <w:szCs w:val="22"/>
              </w:rPr>
            </w:pPr>
            <w:bookmarkStart w:id="204" w:name="_Hlk529534355"/>
            <w:r w:rsidRPr="00035F16">
              <w:rPr>
                <w:rFonts w:ascii="Century Gothic" w:hAnsi="Century Gothic"/>
                <w:color w:val="auto"/>
                <w:szCs w:val="22"/>
              </w:rPr>
              <w:t>ECC/HANH</w:t>
            </w:r>
            <w:r w:rsidR="00EC5276" w:rsidRPr="00035F16">
              <w:rPr>
                <w:rFonts w:ascii="Century Gothic" w:hAnsi="Century Gothic"/>
                <w:color w:val="auto"/>
                <w:szCs w:val="22"/>
              </w:rPr>
              <w:t xml:space="preserve"> HCC 2013</w:t>
            </w:r>
          </w:p>
        </w:tc>
      </w:tr>
      <w:tr w:rsidR="0032063E" w:rsidRPr="00035F16" w14:paraId="633E0EA7" w14:textId="77777777" w:rsidTr="002C26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0"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32798084" w14:textId="77777777" w:rsidR="00EC5276" w:rsidRPr="00035F16" w:rsidRDefault="00EC5276" w:rsidP="00EC5276">
            <w:pPr>
              <w:jc w:val="center"/>
              <w:rPr>
                <w:rFonts w:ascii="Century Gothic" w:hAnsi="Century Gothic"/>
                <w:szCs w:val="22"/>
              </w:rPr>
            </w:pPr>
          </w:p>
        </w:tc>
        <w:tc>
          <w:tcPr>
            <w:tcW w:w="1226"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7A4416B3"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0</w:t>
            </w:r>
          </w:p>
        </w:tc>
        <w:tc>
          <w:tcPr>
            <w:tcW w:w="1190"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2127CD8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1</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0F05BC9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2</w:t>
            </w:r>
          </w:p>
        </w:tc>
        <w:tc>
          <w:tcPr>
            <w:tcW w:w="1190"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6A20DE4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3</w:t>
            </w:r>
          </w:p>
        </w:tc>
        <w:tc>
          <w:tcPr>
            <w:tcW w:w="1191"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09FCE39A"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4</w:t>
            </w:r>
          </w:p>
        </w:tc>
        <w:tc>
          <w:tcPr>
            <w:tcW w:w="1190" w:type="dxa"/>
            <w:tcBorders>
              <w:top w:val="single" w:sz="24" w:space="0" w:color="B5333C"/>
              <w:left w:val="single" w:sz="4" w:space="0" w:color="D9D9D9"/>
              <w:bottom w:val="single" w:sz="4" w:space="0" w:color="D9D9D9"/>
              <w:right w:val="single" w:sz="4" w:space="0" w:color="D9D9D9"/>
            </w:tcBorders>
            <w:shd w:val="clear" w:color="auto" w:fill="BFBFBF"/>
            <w:noWrap/>
          </w:tcPr>
          <w:p w14:paraId="45B44431"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2FA8DCF3"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5</w:t>
            </w:r>
          </w:p>
          <w:p w14:paraId="7C312540"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tc>
        <w:tc>
          <w:tcPr>
            <w:tcW w:w="1191" w:type="dxa"/>
            <w:tcBorders>
              <w:top w:val="single" w:sz="24" w:space="0" w:color="B5333C"/>
              <w:left w:val="single" w:sz="4" w:space="0" w:color="D9D9D9"/>
              <w:bottom w:val="single" w:sz="4" w:space="0" w:color="D9D9D9"/>
              <w:right w:val="single" w:sz="4" w:space="0" w:color="D9D9D9"/>
            </w:tcBorders>
            <w:shd w:val="clear" w:color="auto" w:fill="BFBFBF"/>
            <w:noWrap/>
          </w:tcPr>
          <w:p w14:paraId="046EF354"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2F79805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6</w:t>
            </w:r>
          </w:p>
        </w:tc>
      </w:tr>
      <w:tr w:rsidR="00353996" w:rsidRPr="00035F16" w14:paraId="6469ADA7" w14:textId="77777777" w:rsidTr="002C2674">
        <w:trPr>
          <w:trHeight w:val="135"/>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D9D9D9"/>
              <w:left w:val="nil"/>
              <w:bottom w:val="single" w:sz="4" w:space="0" w:color="D9D9D9"/>
              <w:right w:val="single" w:sz="4" w:space="0" w:color="D9D9D9"/>
            </w:tcBorders>
            <w:noWrap/>
            <w:vAlign w:val="center"/>
          </w:tcPr>
          <w:p w14:paraId="5EC51693"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Detached</w:t>
            </w:r>
          </w:p>
        </w:tc>
        <w:tc>
          <w:tcPr>
            <w:tcW w:w="1226" w:type="dxa"/>
            <w:tcBorders>
              <w:top w:val="single" w:sz="4" w:space="0" w:color="D9D9D9"/>
              <w:left w:val="single" w:sz="4" w:space="0" w:color="D9D9D9"/>
              <w:bottom w:val="single" w:sz="4" w:space="0" w:color="D9D9D9"/>
              <w:right w:val="single" w:sz="4" w:space="0" w:color="D9D9D9"/>
            </w:tcBorders>
            <w:noWrap/>
            <w:vAlign w:val="bottom"/>
          </w:tcPr>
          <w:p w14:paraId="49FFF38C"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$ 145,318 </w:t>
            </w:r>
          </w:p>
        </w:tc>
        <w:tc>
          <w:tcPr>
            <w:tcW w:w="1190" w:type="dxa"/>
            <w:tcBorders>
              <w:top w:val="single" w:sz="4" w:space="0" w:color="D9D9D9"/>
              <w:left w:val="single" w:sz="4" w:space="0" w:color="D9D9D9"/>
              <w:bottom w:val="single" w:sz="4" w:space="0" w:color="D9D9D9"/>
              <w:right w:val="single" w:sz="4" w:space="0" w:color="D9D9D9"/>
            </w:tcBorders>
            <w:noWrap/>
            <w:vAlign w:val="bottom"/>
          </w:tcPr>
          <w:p w14:paraId="7B2F1C25"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$ 185,685 </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5957B2EC"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$ 217,896 </w:t>
            </w:r>
          </w:p>
        </w:tc>
        <w:tc>
          <w:tcPr>
            <w:tcW w:w="1190" w:type="dxa"/>
            <w:tcBorders>
              <w:top w:val="single" w:sz="4" w:space="0" w:color="D9D9D9"/>
              <w:left w:val="single" w:sz="4" w:space="0" w:color="D9D9D9"/>
              <w:bottom w:val="single" w:sz="4" w:space="0" w:color="D9D9D9"/>
              <w:right w:val="single" w:sz="4" w:space="0" w:color="D9D9D9"/>
            </w:tcBorders>
            <w:noWrap/>
            <w:vAlign w:val="bottom"/>
          </w:tcPr>
          <w:p w14:paraId="1477EEC4"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$ 258,023 </w:t>
            </w:r>
          </w:p>
        </w:tc>
        <w:tc>
          <w:tcPr>
            <w:tcW w:w="1191" w:type="dxa"/>
            <w:tcBorders>
              <w:top w:val="single" w:sz="4" w:space="0" w:color="D9D9D9"/>
              <w:left w:val="single" w:sz="4" w:space="0" w:color="D9D9D9"/>
              <w:bottom w:val="single" w:sz="4" w:space="0" w:color="D9D9D9"/>
              <w:right w:val="nil"/>
            </w:tcBorders>
            <w:noWrap/>
            <w:vAlign w:val="bottom"/>
          </w:tcPr>
          <w:p w14:paraId="580F7F50"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$ 302,962 </w:t>
            </w:r>
          </w:p>
        </w:tc>
        <w:tc>
          <w:tcPr>
            <w:tcW w:w="1190" w:type="dxa"/>
            <w:tcBorders>
              <w:top w:val="single" w:sz="4" w:space="0" w:color="D9D9D9"/>
              <w:left w:val="single" w:sz="4" w:space="0" w:color="D9D9D9"/>
              <w:bottom w:val="single" w:sz="4" w:space="0" w:color="D9D9D9"/>
              <w:right w:val="nil"/>
            </w:tcBorders>
            <w:shd w:val="clear" w:color="auto" w:fill="FFFFFF"/>
            <w:noWrap/>
            <w:vAlign w:val="bottom"/>
          </w:tcPr>
          <w:p w14:paraId="6593FD0C"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$ 331,731 </w:t>
            </w:r>
          </w:p>
        </w:tc>
        <w:tc>
          <w:tcPr>
            <w:tcW w:w="1191" w:type="dxa"/>
            <w:tcBorders>
              <w:top w:val="single" w:sz="4" w:space="0" w:color="D9D9D9"/>
              <w:left w:val="single" w:sz="4" w:space="0" w:color="D9D9D9"/>
              <w:bottom w:val="single" w:sz="4" w:space="0" w:color="D9D9D9"/>
              <w:right w:val="nil"/>
            </w:tcBorders>
            <w:shd w:val="clear" w:color="auto" w:fill="FFFFFF"/>
            <w:noWrap/>
            <w:vAlign w:val="bottom"/>
          </w:tcPr>
          <w:p w14:paraId="795F9F28"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$ 358,846 </w:t>
            </w:r>
          </w:p>
        </w:tc>
      </w:tr>
      <w:tr w:rsidR="00353996" w:rsidRPr="00035F16" w14:paraId="0E6CB411" w14:textId="77777777" w:rsidTr="002C267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D9D9D9"/>
              <w:left w:val="nil"/>
              <w:bottom w:val="single" w:sz="4" w:space="0" w:color="D9D9D9"/>
              <w:right w:val="single" w:sz="4" w:space="0" w:color="D9D9D9"/>
            </w:tcBorders>
            <w:noWrap/>
            <w:vAlign w:val="center"/>
          </w:tcPr>
          <w:p w14:paraId="4537BDB4"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Row House</w:t>
            </w:r>
          </w:p>
        </w:tc>
        <w:tc>
          <w:tcPr>
            <w:tcW w:w="1226" w:type="dxa"/>
            <w:tcBorders>
              <w:top w:val="single" w:sz="4" w:space="0" w:color="D9D9D9"/>
              <w:left w:val="single" w:sz="4" w:space="0" w:color="D9D9D9"/>
              <w:bottom w:val="single" w:sz="4" w:space="0" w:color="D9D9D9"/>
              <w:right w:val="single" w:sz="4" w:space="0" w:color="D9D9D9"/>
            </w:tcBorders>
            <w:noWrap/>
            <w:vAlign w:val="bottom"/>
          </w:tcPr>
          <w:p w14:paraId="06757AA9"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$ 118,081 </w:t>
            </w:r>
          </w:p>
        </w:tc>
        <w:tc>
          <w:tcPr>
            <w:tcW w:w="1190" w:type="dxa"/>
            <w:tcBorders>
              <w:top w:val="single" w:sz="4" w:space="0" w:color="D9D9D9"/>
              <w:left w:val="single" w:sz="4" w:space="0" w:color="D9D9D9"/>
              <w:bottom w:val="single" w:sz="4" w:space="0" w:color="D9D9D9"/>
              <w:right w:val="single" w:sz="4" w:space="0" w:color="D9D9D9"/>
            </w:tcBorders>
            <w:noWrap/>
            <w:vAlign w:val="bottom"/>
          </w:tcPr>
          <w:p w14:paraId="63EF57D2"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$ 155,221 </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7008F67E"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$ 183,609 </w:t>
            </w:r>
          </w:p>
        </w:tc>
        <w:tc>
          <w:tcPr>
            <w:tcW w:w="1190" w:type="dxa"/>
            <w:tcBorders>
              <w:top w:val="single" w:sz="4" w:space="0" w:color="D9D9D9"/>
              <w:left w:val="single" w:sz="4" w:space="0" w:color="D9D9D9"/>
              <w:bottom w:val="single" w:sz="4" w:space="0" w:color="D9D9D9"/>
              <w:right w:val="single" w:sz="4" w:space="0" w:color="D9D9D9"/>
            </w:tcBorders>
            <w:noWrap/>
            <w:vAlign w:val="bottom"/>
          </w:tcPr>
          <w:p w14:paraId="22E52C7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$ 223,759 </w:t>
            </w:r>
          </w:p>
        </w:tc>
        <w:tc>
          <w:tcPr>
            <w:tcW w:w="1191" w:type="dxa"/>
            <w:tcBorders>
              <w:top w:val="single" w:sz="4" w:space="0" w:color="D9D9D9"/>
              <w:left w:val="single" w:sz="4" w:space="0" w:color="D9D9D9"/>
              <w:bottom w:val="single" w:sz="4" w:space="0" w:color="D9D9D9"/>
              <w:right w:val="nil"/>
            </w:tcBorders>
            <w:noWrap/>
            <w:vAlign w:val="bottom"/>
          </w:tcPr>
          <w:p w14:paraId="4CE8CD31"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$ 266,014 </w:t>
            </w:r>
          </w:p>
        </w:tc>
        <w:tc>
          <w:tcPr>
            <w:tcW w:w="1190" w:type="dxa"/>
            <w:tcBorders>
              <w:top w:val="single" w:sz="4" w:space="0" w:color="D9D9D9"/>
              <w:left w:val="single" w:sz="4" w:space="0" w:color="D9D9D9"/>
              <w:bottom w:val="single" w:sz="4" w:space="0" w:color="D9D9D9"/>
              <w:right w:val="nil"/>
            </w:tcBorders>
            <w:shd w:val="clear" w:color="auto" w:fill="FFFFFF"/>
            <w:noWrap/>
            <w:vAlign w:val="bottom"/>
          </w:tcPr>
          <w:p w14:paraId="1A14AE7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$ 293,290 </w:t>
            </w:r>
          </w:p>
        </w:tc>
        <w:tc>
          <w:tcPr>
            <w:tcW w:w="1191" w:type="dxa"/>
            <w:tcBorders>
              <w:top w:val="single" w:sz="4" w:space="0" w:color="D9D9D9"/>
              <w:left w:val="single" w:sz="4" w:space="0" w:color="D9D9D9"/>
              <w:bottom w:val="single" w:sz="4" w:space="0" w:color="D9D9D9"/>
              <w:right w:val="nil"/>
            </w:tcBorders>
            <w:shd w:val="clear" w:color="auto" w:fill="FFFFFF"/>
            <w:noWrap/>
            <w:vAlign w:val="bottom"/>
          </w:tcPr>
          <w:p w14:paraId="2675C0A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$ 318,861 </w:t>
            </w:r>
          </w:p>
        </w:tc>
      </w:tr>
      <w:tr w:rsidR="00353996" w:rsidRPr="00035F16" w14:paraId="76CCDC8A" w14:textId="77777777" w:rsidTr="002C2674">
        <w:trPr>
          <w:trHeight w:val="135"/>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D9D9D9"/>
              <w:left w:val="nil"/>
              <w:bottom w:val="single" w:sz="4" w:space="0" w:color="D9D9D9"/>
              <w:right w:val="single" w:sz="4" w:space="0" w:color="D9D9D9"/>
            </w:tcBorders>
            <w:noWrap/>
            <w:vAlign w:val="center"/>
          </w:tcPr>
          <w:p w14:paraId="7B44AB24"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Walk Up</w:t>
            </w:r>
          </w:p>
        </w:tc>
        <w:tc>
          <w:tcPr>
            <w:tcW w:w="1226" w:type="dxa"/>
            <w:tcBorders>
              <w:top w:val="single" w:sz="4" w:space="0" w:color="D9D9D9"/>
              <w:left w:val="single" w:sz="4" w:space="0" w:color="D9D9D9"/>
              <w:bottom w:val="single" w:sz="4" w:space="0" w:color="D9D9D9"/>
              <w:right w:val="single" w:sz="4" w:space="0" w:color="D9D9D9"/>
            </w:tcBorders>
            <w:noWrap/>
            <w:vAlign w:val="bottom"/>
          </w:tcPr>
          <w:p w14:paraId="14668269"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rPr>
              <w:t xml:space="preserve"> $ 108,259 </w:t>
            </w:r>
          </w:p>
        </w:tc>
        <w:tc>
          <w:tcPr>
            <w:tcW w:w="1190" w:type="dxa"/>
            <w:tcBorders>
              <w:top w:val="single" w:sz="4" w:space="0" w:color="D9D9D9"/>
              <w:left w:val="single" w:sz="4" w:space="0" w:color="D9D9D9"/>
              <w:bottom w:val="single" w:sz="4" w:space="0" w:color="D9D9D9"/>
              <w:right w:val="single" w:sz="4" w:space="0" w:color="D9D9D9"/>
            </w:tcBorders>
            <w:noWrap/>
            <w:vAlign w:val="bottom"/>
          </w:tcPr>
          <w:p w14:paraId="3BA5B336"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rPr>
              <w:t xml:space="preserve"> $ 146,866 </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5ED8F9E1"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$ 186,882 </w:t>
            </w:r>
          </w:p>
        </w:tc>
        <w:tc>
          <w:tcPr>
            <w:tcW w:w="1190" w:type="dxa"/>
            <w:tcBorders>
              <w:top w:val="single" w:sz="4" w:space="0" w:color="D9D9D9"/>
              <w:left w:val="single" w:sz="4" w:space="0" w:color="D9D9D9"/>
              <w:bottom w:val="single" w:sz="4" w:space="0" w:color="D9D9D9"/>
              <w:right w:val="single" w:sz="4" w:space="0" w:color="D9D9D9"/>
            </w:tcBorders>
            <w:noWrap/>
            <w:vAlign w:val="bottom"/>
          </w:tcPr>
          <w:p w14:paraId="44F70FB8"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$ 244,651 </w:t>
            </w:r>
          </w:p>
        </w:tc>
        <w:tc>
          <w:tcPr>
            <w:tcW w:w="1191" w:type="dxa"/>
            <w:tcBorders>
              <w:top w:val="single" w:sz="4" w:space="0" w:color="D9D9D9"/>
              <w:left w:val="single" w:sz="4" w:space="0" w:color="D9D9D9"/>
              <w:bottom w:val="single" w:sz="4" w:space="0" w:color="D9D9D9"/>
              <w:right w:val="nil"/>
            </w:tcBorders>
            <w:noWrap/>
            <w:vAlign w:val="bottom"/>
          </w:tcPr>
          <w:p w14:paraId="5522DDA9"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$ 303,915 </w:t>
            </w:r>
          </w:p>
        </w:tc>
        <w:tc>
          <w:tcPr>
            <w:tcW w:w="1190" w:type="dxa"/>
            <w:tcBorders>
              <w:top w:val="single" w:sz="4" w:space="0" w:color="D9D9D9"/>
              <w:left w:val="single" w:sz="4" w:space="0" w:color="D9D9D9"/>
              <w:bottom w:val="single" w:sz="4" w:space="0" w:color="D9D9D9"/>
              <w:right w:val="nil"/>
            </w:tcBorders>
            <w:shd w:val="clear" w:color="auto" w:fill="FFFFFF"/>
            <w:noWrap/>
            <w:vAlign w:val="bottom"/>
          </w:tcPr>
          <w:p w14:paraId="359E71BD"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$ 342,285 </w:t>
            </w:r>
          </w:p>
        </w:tc>
        <w:tc>
          <w:tcPr>
            <w:tcW w:w="1191" w:type="dxa"/>
            <w:tcBorders>
              <w:top w:val="single" w:sz="4" w:space="0" w:color="D9D9D9"/>
              <w:left w:val="single" w:sz="4" w:space="0" w:color="D9D9D9"/>
              <w:bottom w:val="single" w:sz="4" w:space="0" w:color="D9D9D9"/>
              <w:right w:val="nil"/>
            </w:tcBorders>
            <w:shd w:val="clear" w:color="auto" w:fill="FFFFFF"/>
            <w:noWrap/>
            <w:vAlign w:val="bottom"/>
          </w:tcPr>
          <w:p w14:paraId="1A7E353B"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$ 380,149 </w:t>
            </w:r>
          </w:p>
        </w:tc>
      </w:tr>
      <w:tr w:rsidR="00353996" w:rsidRPr="00035F16" w14:paraId="65F3DB0E" w14:textId="77777777" w:rsidTr="002C267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D9D9D9"/>
              <w:left w:val="nil"/>
              <w:bottom w:val="single" w:sz="4" w:space="0" w:color="D9D9D9"/>
              <w:right w:val="single" w:sz="4" w:space="0" w:color="D9D9D9"/>
            </w:tcBorders>
            <w:noWrap/>
            <w:vAlign w:val="center"/>
          </w:tcPr>
          <w:p w14:paraId="2C359E9C"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Elevator</w:t>
            </w:r>
          </w:p>
        </w:tc>
        <w:tc>
          <w:tcPr>
            <w:tcW w:w="1226" w:type="dxa"/>
            <w:tcBorders>
              <w:top w:val="single" w:sz="4" w:space="0" w:color="D9D9D9"/>
              <w:left w:val="single" w:sz="4" w:space="0" w:color="D9D9D9"/>
              <w:bottom w:val="single" w:sz="4" w:space="0" w:color="D9D9D9"/>
              <w:right w:val="single" w:sz="4" w:space="0" w:color="D9D9D9"/>
            </w:tcBorders>
            <w:noWrap/>
            <w:vAlign w:val="bottom"/>
          </w:tcPr>
          <w:p w14:paraId="20127F8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rPr>
              <w:t xml:space="preserve"> $ 109,828 </w:t>
            </w:r>
          </w:p>
        </w:tc>
        <w:tc>
          <w:tcPr>
            <w:tcW w:w="1190" w:type="dxa"/>
            <w:tcBorders>
              <w:top w:val="single" w:sz="4" w:space="0" w:color="D9D9D9"/>
              <w:left w:val="single" w:sz="4" w:space="0" w:color="D9D9D9"/>
              <w:bottom w:val="single" w:sz="4" w:space="0" w:color="D9D9D9"/>
              <w:right w:val="single" w:sz="4" w:space="0" w:color="D9D9D9"/>
            </w:tcBorders>
            <w:noWrap/>
            <w:vAlign w:val="bottom"/>
          </w:tcPr>
          <w:p w14:paraId="00B3CC2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rPr>
              <w:t xml:space="preserve"> $ 153,759 </w:t>
            </w:r>
          </w:p>
        </w:tc>
        <w:tc>
          <w:tcPr>
            <w:tcW w:w="1192" w:type="dxa"/>
            <w:tcBorders>
              <w:top w:val="single" w:sz="4" w:space="0" w:color="D9D9D9"/>
              <w:left w:val="single" w:sz="4" w:space="0" w:color="D9D9D9"/>
              <w:bottom w:val="single" w:sz="4" w:space="0" w:color="D9D9D9"/>
              <w:right w:val="single" w:sz="4" w:space="0" w:color="D9D9D9"/>
            </w:tcBorders>
            <w:noWrap/>
            <w:vAlign w:val="bottom"/>
          </w:tcPr>
          <w:p w14:paraId="0CAC4AD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$ 197,690 </w:t>
            </w:r>
          </w:p>
        </w:tc>
        <w:tc>
          <w:tcPr>
            <w:tcW w:w="1190" w:type="dxa"/>
            <w:tcBorders>
              <w:top w:val="single" w:sz="4" w:space="0" w:color="D9D9D9"/>
              <w:left w:val="single" w:sz="4" w:space="0" w:color="D9D9D9"/>
              <w:bottom w:val="single" w:sz="4" w:space="0" w:color="D9D9D9"/>
              <w:right w:val="single" w:sz="4" w:space="0" w:color="D9D9D9"/>
            </w:tcBorders>
            <w:noWrap/>
            <w:vAlign w:val="bottom"/>
          </w:tcPr>
          <w:p w14:paraId="48BFDCF1"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$ 263,587 </w:t>
            </w:r>
          </w:p>
        </w:tc>
        <w:tc>
          <w:tcPr>
            <w:tcW w:w="1191" w:type="dxa"/>
            <w:tcBorders>
              <w:top w:val="single" w:sz="4" w:space="0" w:color="D9D9D9"/>
              <w:left w:val="single" w:sz="4" w:space="0" w:color="D9D9D9"/>
              <w:bottom w:val="single" w:sz="4" w:space="0" w:color="D9D9D9"/>
              <w:right w:val="nil"/>
            </w:tcBorders>
            <w:noWrap/>
            <w:vAlign w:val="bottom"/>
          </w:tcPr>
          <w:p w14:paraId="038BEFC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$ 329,483 </w:t>
            </w:r>
          </w:p>
        </w:tc>
        <w:tc>
          <w:tcPr>
            <w:tcW w:w="1190" w:type="dxa"/>
            <w:tcBorders>
              <w:top w:val="single" w:sz="4" w:space="0" w:color="D9D9D9"/>
              <w:left w:val="single" w:sz="4" w:space="0" w:color="D9D9D9"/>
              <w:bottom w:val="single" w:sz="4" w:space="0" w:color="D9D9D9"/>
              <w:right w:val="nil"/>
            </w:tcBorders>
            <w:shd w:val="clear" w:color="auto" w:fill="FFFFFF"/>
            <w:noWrap/>
            <w:vAlign w:val="bottom"/>
          </w:tcPr>
          <w:p w14:paraId="2A7AFFA3"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$ 373,414 </w:t>
            </w:r>
          </w:p>
        </w:tc>
        <w:tc>
          <w:tcPr>
            <w:tcW w:w="1191" w:type="dxa"/>
            <w:tcBorders>
              <w:top w:val="single" w:sz="4" w:space="0" w:color="D9D9D9"/>
              <w:left w:val="single" w:sz="4" w:space="0" w:color="D9D9D9"/>
              <w:bottom w:val="single" w:sz="4" w:space="0" w:color="D9D9D9"/>
              <w:right w:val="nil"/>
            </w:tcBorders>
            <w:shd w:val="clear" w:color="auto" w:fill="FFFFFF"/>
            <w:noWrap/>
            <w:vAlign w:val="bottom"/>
          </w:tcPr>
          <w:p w14:paraId="4BADCF3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rPr>
              <w:t xml:space="preserve"> $ 417,346 </w:t>
            </w:r>
          </w:p>
        </w:tc>
      </w:tr>
      <w:bookmarkEnd w:id="204"/>
    </w:tbl>
    <w:p w14:paraId="57279302" w14:textId="77777777" w:rsidR="00EC5276" w:rsidRPr="00035F16" w:rsidRDefault="00EC5276" w:rsidP="00EC5276">
      <w:pPr>
        <w:rPr>
          <w:rFonts w:ascii="Century Gothic" w:eastAsia="Times New Roman" w:hAnsi="Century Gothic"/>
          <w:szCs w:val="22"/>
          <w:lang w:eastAsia="en-US"/>
        </w:rPr>
      </w:pPr>
    </w:p>
    <w:tbl>
      <w:tblPr>
        <w:tblStyle w:val="ListTable4-Accent2111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98"/>
        <w:gridCol w:w="1198"/>
        <w:gridCol w:w="1190"/>
        <w:gridCol w:w="1192"/>
        <w:gridCol w:w="1190"/>
        <w:gridCol w:w="1191"/>
        <w:gridCol w:w="1190"/>
        <w:gridCol w:w="1191"/>
      </w:tblGrid>
      <w:tr w:rsidR="004B46D2" w:rsidRPr="00035F16" w14:paraId="364ED807" w14:textId="77777777" w:rsidTr="00EC527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0" w:type="dxa"/>
            <w:gridSpan w:val="8"/>
            <w:tcBorders>
              <w:top w:val="nil"/>
              <w:left w:val="single" w:sz="4" w:space="0" w:color="D9D9D9"/>
              <w:bottom w:val="single" w:sz="24" w:space="0" w:color="B5333C"/>
              <w:right w:val="single" w:sz="4" w:space="0" w:color="D9D9D9"/>
            </w:tcBorders>
            <w:shd w:val="clear" w:color="auto" w:fill="808080"/>
            <w:noWrap/>
            <w:vAlign w:val="center"/>
          </w:tcPr>
          <w:p w14:paraId="243F9549" w14:textId="77777777" w:rsidR="00EC5276" w:rsidRPr="00035F16" w:rsidRDefault="00EC5276" w:rsidP="00EC5276">
            <w:pPr>
              <w:jc w:val="center"/>
              <w:rPr>
                <w:rFonts w:ascii="Century Gothic" w:hAnsi="Century Gothic"/>
                <w:b w:val="0"/>
                <w:color w:val="auto"/>
                <w:szCs w:val="22"/>
              </w:rPr>
            </w:pPr>
            <w:r w:rsidRPr="00035F16">
              <w:rPr>
                <w:rFonts w:ascii="Century Gothic" w:hAnsi="Century Gothic"/>
                <w:color w:val="auto"/>
                <w:szCs w:val="22"/>
              </w:rPr>
              <w:t>HUD TDC 2013</w:t>
            </w:r>
          </w:p>
        </w:tc>
      </w:tr>
      <w:tr w:rsidR="0032063E" w:rsidRPr="00035F16" w14:paraId="62AEB09C" w14:textId="77777777" w:rsidTr="00EC5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8"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09C25B77" w14:textId="77777777" w:rsidR="00EC5276" w:rsidRPr="00035F16" w:rsidRDefault="00EC5276" w:rsidP="00EC5276">
            <w:pPr>
              <w:jc w:val="center"/>
              <w:rPr>
                <w:rFonts w:ascii="Century Gothic" w:hAnsi="Century Gothic"/>
                <w:szCs w:val="22"/>
              </w:rPr>
            </w:pPr>
          </w:p>
        </w:tc>
        <w:tc>
          <w:tcPr>
            <w:tcW w:w="1198"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003B8C52"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0</w:t>
            </w:r>
          </w:p>
        </w:tc>
        <w:tc>
          <w:tcPr>
            <w:tcW w:w="1190"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0782E01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1</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42DB6B9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2</w:t>
            </w:r>
          </w:p>
        </w:tc>
        <w:tc>
          <w:tcPr>
            <w:tcW w:w="1190"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76BC09B0"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3</w:t>
            </w:r>
          </w:p>
        </w:tc>
        <w:tc>
          <w:tcPr>
            <w:tcW w:w="1191"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26CCA78A"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4</w:t>
            </w:r>
          </w:p>
        </w:tc>
        <w:tc>
          <w:tcPr>
            <w:tcW w:w="1190" w:type="dxa"/>
            <w:tcBorders>
              <w:top w:val="single" w:sz="24" w:space="0" w:color="B5333C"/>
              <w:left w:val="single" w:sz="4" w:space="0" w:color="D9D9D9"/>
              <w:bottom w:val="single" w:sz="4" w:space="0" w:color="D9D9D9"/>
              <w:right w:val="single" w:sz="4" w:space="0" w:color="D9D9D9"/>
            </w:tcBorders>
            <w:shd w:val="clear" w:color="auto" w:fill="BFBFBF"/>
            <w:noWrap/>
          </w:tcPr>
          <w:p w14:paraId="144423B1"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1519E68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5</w:t>
            </w:r>
          </w:p>
          <w:p w14:paraId="1DAD05A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tc>
        <w:tc>
          <w:tcPr>
            <w:tcW w:w="1191" w:type="dxa"/>
            <w:tcBorders>
              <w:top w:val="single" w:sz="24" w:space="0" w:color="B5333C"/>
              <w:left w:val="single" w:sz="4" w:space="0" w:color="D9D9D9"/>
              <w:bottom w:val="single" w:sz="4" w:space="0" w:color="D9D9D9"/>
              <w:right w:val="single" w:sz="4" w:space="0" w:color="D9D9D9"/>
            </w:tcBorders>
            <w:shd w:val="clear" w:color="auto" w:fill="BFBFBF"/>
            <w:noWrap/>
          </w:tcPr>
          <w:p w14:paraId="11BFD91A"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07F87BB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6</w:t>
            </w:r>
          </w:p>
        </w:tc>
      </w:tr>
      <w:tr w:rsidR="00353996" w:rsidRPr="00035F16" w14:paraId="16E75DC4"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8" w:type="dxa"/>
            <w:tcBorders>
              <w:top w:val="single" w:sz="4" w:space="0" w:color="D9D9D9"/>
              <w:left w:val="nil"/>
              <w:bottom w:val="single" w:sz="4" w:space="0" w:color="D9D9D9"/>
              <w:right w:val="single" w:sz="4" w:space="0" w:color="D9D9D9"/>
            </w:tcBorders>
            <w:noWrap/>
            <w:vAlign w:val="center"/>
          </w:tcPr>
          <w:p w14:paraId="62BA330D"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Detached</w:t>
            </w:r>
          </w:p>
        </w:tc>
        <w:tc>
          <w:tcPr>
            <w:tcW w:w="1198" w:type="dxa"/>
            <w:tcBorders>
              <w:top w:val="single" w:sz="4" w:space="0" w:color="D9D9D9"/>
              <w:left w:val="single" w:sz="4" w:space="0" w:color="D9D9D9"/>
              <w:bottom w:val="single" w:sz="4" w:space="0" w:color="D9D9D9"/>
              <w:right w:val="single" w:sz="4" w:space="0" w:color="D9D9D9"/>
            </w:tcBorders>
            <w:noWrap/>
          </w:tcPr>
          <w:p w14:paraId="1C456685"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$ 168,342 </w:t>
            </w:r>
          </w:p>
        </w:tc>
        <w:tc>
          <w:tcPr>
            <w:tcW w:w="1190" w:type="dxa"/>
            <w:tcBorders>
              <w:top w:val="single" w:sz="4" w:space="0" w:color="D9D9D9"/>
              <w:left w:val="single" w:sz="4" w:space="0" w:color="D9D9D9"/>
              <w:bottom w:val="single" w:sz="4" w:space="0" w:color="D9D9D9"/>
              <w:right w:val="single" w:sz="4" w:space="0" w:color="D9D9D9"/>
            </w:tcBorders>
            <w:noWrap/>
          </w:tcPr>
          <w:p w14:paraId="2D7ACC44"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$ 215,103 </w:t>
            </w:r>
          </w:p>
        </w:tc>
        <w:tc>
          <w:tcPr>
            <w:tcW w:w="1192" w:type="dxa"/>
            <w:tcBorders>
              <w:top w:val="single" w:sz="4" w:space="0" w:color="D9D9D9"/>
              <w:left w:val="single" w:sz="4" w:space="0" w:color="D9D9D9"/>
              <w:bottom w:val="single" w:sz="4" w:space="0" w:color="D9D9D9"/>
              <w:right w:val="single" w:sz="4" w:space="0" w:color="D9D9D9"/>
            </w:tcBorders>
            <w:noWrap/>
          </w:tcPr>
          <w:p w14:paraId="5AFB1F46"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$ 252,419 </w:t>
            </w:r>
          </w:p>
        </w:tc>
        <w:tc>
          <w:tcPr>
            <w:tcW w:w="1190" w:type="dxa"/>
            <w:tcBorders>
              <w:top w:val="single" w:sz="4" w:space="0" w:color="D9D9D9"/>
              <w:left w:val="single" w:sz="4" w:space="0" w:color="D9D9D9"/>
              <w:bottom w:val="single" w:sz="4" w:space="0" w:color="D9D9D9"/>
              <w:right w:val="single" w:sz="4" w:space="0" w:color="D9D9D9"/>
            </w:tcBorders>
            <w:noWrap/>
          </w:tcPr>
          <w:p w14:paraId="6EEBA0B6"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$ 298,901 </w:t>
            </w:r>
          </w:p>
        </w:tc>
        <w:tc>
          <w:tcPr>
            <w:tcW w:w="1191" w:type="dxa"/>
            <w:tcBorders>
              <w:top w:val="single" w:sz="4" w:space="0" w:color="D9D9D9"/>
              <w:left w:val="single" w:sz="4" w:space="0" w:color="D9D9D9"/>
              <w:bottom w:val="single" w:sz="4" w:space="0" w:color="D9D9D9"/>
              <w:right w:val="nil"/>
            </w:tcBorders>
            <w:noWrap/>
          </w:tcPr>
          <w:p w14:paraId="60814F9D"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$ 350,961 </w:t>
            </w:r>
          </w:p>
        </w:tc>
        <w:tc>
          <w:tcPr>
            <w:tcW w:w="1190" w:type="dxa"/>
            <w:tcBorders>
              <w:top w:val="single" w:sz="4" w:space="0" w:color="D9D9D9"/>
              <w:left w:val="single" w:sz="4" w:space="0" w:color="D9D9D9"/>
              <w:bottom w:val="single" w:sz="4" w:space="0" w:color="D9D9D9"/>
              <w:right w:val="nil"/>
            </w:tcBorders>
            <w:shd w:val="clear" w:color="auto" w:fill="FFFFFF"/>
            <w:noWrap/>
          </w:tcPr>
          <w:p w14:paraId="5BD830A5"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$ 384,288 </w:t>
            </w:r>
          </w:p>
        </w:tc>
        <w:tc>
          <w:tcPr>
            <w:tcW w:w="1191" w:type="dxa"/>
            <w:tcBorders>
              <w:top w:val="single" w:sz="4" w:space="0" w:color="D9D9D9"/>
              <w:left w:val="single" w:sz="4" w:space="0" w:color="D9D9D9"/>
              <w:bottom w:val="single" w:sz="4" w:space="0" w:color="D9D9D9"/>
              <w:right w:val="nil"/>
            </w:tcBorders>
            <w:shd w:val="clear" w:color="auto" w:fill="FFFFFF"/>
            <w:noWrap/>
          </w:tcPr>
          <w:p w14:paraId="0FCF1864"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$ 415,699 </w:t>
            </w:r>
          </w:p>
        </w:tc>
      </w:tr>
      <w:tr w:rsidR="00353996" w:rsidRPr="00035F16" w14:paraId="1A51B673" w14:textId="77777777" w:rsidTr="00EC527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98" w:type="dxa"/>
            <w:tcBorders>
              <w:top w:val="single" w:sz="4" w:space="0" w:color="D9D9D9"/>
              <w:left w:val="nil"/>
              <w:bottom w:val="single" w:sz="4" w:space="0" w:color="D9D9D9"/>
              <w:right w:val="single" w:sz="4" w:space="0" w:color="D9D9D9"/>
            </w:tcBorders>
            <w:noWrap/>
            <w:vAlign w:val="center"/>
          </w:tcPr>
          <w:p w14:paraId="4504ECD6"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Row House</w:t>
            </w:r>
          </w:p>
        </w:tc>
        <w:tc>
          <w:tcPr>
            <w:tcW w:w="1198" w:type="dxa"/>
            <w:tcBorders>
              <w:top w:val="single" w:sz="4" w:space="0" w:color="D9D9D9"/>
              <w:left w:val="single" w:sz="4" w:space="0" w:color="D9D9D9"/>
              <w:bottom w:val="single" w:sz="4" w:space="0" w:color="D9D9D9"/>
              <w:right w:val="single" w:sz="4" w:space="0" w:color="D9D9D9"/>
            </w:tcBorders>
            <w:noWrap/>
          </w:tcPr>
          <w:p w14:paraId="68FEB64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$ 136,788 </w:t>
            </w:r>
          </w:p>
        </w:tc>
        <w:tc>
          <w:tcPr>
            <w:tcW w:w="1190" w:type="dxa"/>
            <w:tcBorders>
              <w:top w:val="single" w:sz="4" w:space="0" w:color="D9D9D9"/>
              <w:left w:val="single" w:sz="4" w:space="0" w:color="D9D9D9"/>
              <w:bottom w:val="single" w:sz="4" w:space="0" w:color="D9D9D9"/>
              <w:right w:val="single" w:sz="4" w:space="0" w:color="D9D9D9"/>
            </w:tcBorders>
            <w:noWrap/>
          </w:tcPr>
          <w:p w14:paraId="0EA3377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$ 179,813 </w:t>
            </w:r>
          </w:p>
        </w:tc>
        <w:tc>
          <w:tcPr>
            <w:tcW w:w="1192" w:type="dxa"/>
            <w:tcBorders>
              <w:top w:val="single" w:sz="4" w:space="0" w:color="D9D9D9"/>
              <w:left w:val="single" w:sz="4" w:space="0" w:color="D9D9D9"/>
              <w:bottom w:val="single" w:sz="4" w:space="0" w:color="D9D9D9"/>
              <w:right w:val="single" w:sz="4" w:space="0" w:color="D9D9D9"/>
            </w:tcBorders>
            <w:noWrap/>
          </w:tcPr>
          <w:p w14:paraId="2693346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$ 212,699 </w:t>
            </w:r>
          </w:p>
        </w:tc>
        <w:tc>
          <w:tcPr>
            <w:tcW w:w="1190" w:type="dxa"/>
            <w:tcBorders>
              <w:top w:val="single" w:sz="4" w:space="0" w:color="D9D9D9"/>
              <w:left w:val="single" w:sz="4" w:space="0" w:color="D9D9D9"/>
              <w:bottom w:val="single" w:sz="4" w:space="0" w:color="D9D9D9"/>
              <w:right w:val="single" w:sz="4" w:space="0" w:color="D9D9D9"/>
            </w:tcBorders>
            <w:noWrap/>
          </w:tcPr>
          <w:p w14:paraId="784F5140"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$ 259,210 </w:t>
            </w:r>
          </w:p>
        </w:tc>
        <w:tc>
          <w:tcPr>
            <w:tcW w:w="1191" w:type="dxa"/>
            <w:tcBorders>
              <w:top w:val="single" w:sz="4" w:space="0" w:color="D9D9D9"/>
              <w:left w:val="single" w:sz="4" w:space="0" w:color="D9D9D9"/>
              <w:bottom w:val="single" w:sz="4" w:space="0" w:color="D9D9D9"/>
              <w:right w:val="nil"/>
            </w:tcBorders>
            <w:noWrap/>
          </w:tcPr>
          <w:p w14:paraId="15ECF6A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$ 308,159 </w:t>
            </w:r>
          </w:p>
        </w:tc>
        <w:tc>
          <w:tcPr>
            <w:tcW w:w="1190" w:type="dxa"/>
            <w:tcBorders>
              <w:top w:val="single" w:sz="4" w:space="0" w:color="D9D9D9"/>
              <w:left w:val="single" w:sz="4" w:space="0" w:color="D9D9D9"/>
              <w:bottom w:val="single" w:sz="4" w:space="0" w:color="D9D9D9"/>
              <w:right w:val="nil"/>
            </w:tcBorders>
            <w:shd w:val="clear" w:color="auto" w:fill="FFFFFF"/>
            <w:noWrap/>
          </w:tcPr>
          <w:p w14:paraId="3EBFBFA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$ 339,757 </w:t>
            </w:r>
          </w:p>
        </w:tc>
        <w:tc>
          <w:tcPr>
            <w:tcW w:w="1191" w:type="dxa"/>
            <w:tcBorders>
              <w:top w:val="single" w:sz="4" w:space="0" w:color="D9D9D9"/>
              <w:left w:val="single" w:sz="4" w:space="0" w:color="D9D9D9"/>
              <w:bottom w:val="single" w:sz="4" w:space="0" w:color="D9D9D9"/>
              <w:right w:val="nil"/>
            </w:tcBorders>
            <w:shd w:val="clear" w:color="auto" w:fill="FFFFFF"/>
            <w:noWrap/>
          </w:tcPr>
          <w:p w14:paraId="5D2973F0"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$ 369,380 </w:t>
            </w:r>
          </w:p>
        </w:tc>
      </w:tr>
      <w:tr w:rsidR="00353996" w:rsidRPr="00035F16" w14:paraId="7BFDD87A"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8" w:type="dxa"/>
            <w:tcBorders>
              <w:top w:val="single" w:sz="4" w:space="0" w:color="D9D9D9"/>
              <w:left w:val="nil"/>
              <w:bottom w:val="single" w:sz="4" w:space="0" w:color="D9D9D9"/>
              <w:right w:val="single" w:sz="4" w:space="0" w:color="D9D9D9"/>
            </w:tcBorders>
            <w:noWrap/>
            <w:vAlign w:val="center"/>
          </w:tcPr>
          <w:p w14:paraId="4BD121B5"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Walk Up</w:t>
            </w:r>
          </w:p>
        </w:tc>
        <w:tc>
          <w:tcPr>
            <w:tcW w:w="1198" w:type="dxa"/>
            <w:tcBorders>
              <w:top w:val="single" w:sz="4" w:space="0" w:color="D9D9D9"/>
              <w:left w:val="single" w:sz="4" w:space="0" w:color="D9D9D9"/>
              <w:bottom w:val="single" w:sz="4" w:space="0" w:color="D9D9D9"/>
              <w:right w:val="single" w:sz="4" w:space="0" w:color="D9D9D9"/>
            </w:tcBorders>
            <w:noWrap/>
          </w:tcPr>
          <w:p w14:paraId="310704FB"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 xml:space="preserve"> $ 125,410 </w:t>
            </w:r>
          </w:p>
        </w:tc>
        <w:tc>
          <w:tcPr>
            <w:tcW w:w="1190" w:type="dxa"/>
            <w:tcBorders>
              <w:top w:val="single" w:sz="4" w:space="0" w:color="D9D9D9"/>
              <w:left w:val="single" w:sz="4" w:space="0" w:color="D9D9D9"/>
              <w:bottom w:val="single" w:sz="4" w:space="0" w:color="D9D9D9"/>
              <w:right w:val="single" w:sz="4" w:space="0" w:color="D9D9D9"/>
            </w:tcBorders>
            <w:noWrap/>
          </w:tcPr>
          <w:p w14:paraId="7556DE0F"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 xml:space="preserve"> $ 170,134 </w:t>
            </w:r>
          </w:p>
        </w:tc>
        <w:tc>
          <w:tcPr>
            <w:tcW w:w="1192" w:type="dxa"/>
            <w:tcBorders>
              <w:top w:val="single" w:sz="4" w:space="0" w:color="D9D9D9"/>
              <w:left w:val="single" w:sz="4" w:space="0" w:color="D9D9D9"/>
              <w:bottom w:val="single" w:sz="4" w:space="0" w:color="D9D9D9"/>
              <w:right w:val="single" w:sz="4" w:space="0" w:color="D9D9D9"/>
            </w:tcBorders>
            <w:noWrap/>
          </w:tcPr>
          <w:p w14:paraId="2091CD3A"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$ 216,490 </w:t>
            </w:r>
          </w:p>
        </w:tc>
        <w:tc>
          <w:tcPr>
            <w:tcW w:w="1190" w:type="dxa"/>
            <w:tcBorders>
              <w:top w:val="single" w:sz="4" w:space="0" w:color="D9D9D9"/>
              <w:left w:val="single" w:sz="4" w:space="0" w:color="D9D9D9"/>
              <w:bottom w:val="single" w:sz="4" w:space="0" w:color="D9D9D9"/>
              <w:right w:val="single" w:sz="4" w:space="0" w:color="D9D9D9"/>
            </w:tcBorders>
            <w:noWrap/>
          </w:tcPr>
          <w:p w14:paraId="147AF394"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$ 283,411 </w:t>
            </w:r>
          </w:p>
        </w:tc>
        <w:tc>
          <w:tcPr>
            <w:tcW w:w="1191" w:type="dxa"/>
            <w:tcBorders>
              <w:top w:val="single" w:sz="4" w:space="0" w:color="D9D9D9"/>
              <w:left w:val="single" w:sz="4" w:space="0" w:color="D9D9D9"/>
              <w:bottom w:val="single" w:sz="4" w:space="0" w:color="D9D9D9"/>
              <w:right w:val="nil"/>
            </w:tcBorders>
            <w:noWrap/>
          </w:tcPr>
          <w:p w14:paraId="4BDF2F82"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$ 352,064 </w:t>
            </w:r>
          </w:p>
        </w:tc>
        <w:tc>
          <w:tcPr>
            <w:tcW w:w="1190" w:type="dxa"/>
            <w:tcBorders>
              <w:top w:val="single" w:sz="4" w:space="0" w:color="D9D9D9"/>
              <w:left w:val="single" w:sz="4" w:space="0" w:color="D9D9D9"/>
              <w:bottom w:val="single" w:sz="4" w:space="0" w:color="D9D9D9"/>
              <w:right w:val="nil"/>
            </w:tcBorders>
            <w:shd w:val="clear" w:color="auto" w:fill="FFFFFF"/>
            <w:noWrap/>
          </w:tcPr>
          <w:p w14:paraId="4C2E77A6"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$ 396,513 </w:t>
            </w:r>
          </w:p>
        </w:tc>
        <w:tc>
          <w:tcPr>
            <w:tcW w:w="1191" w:type="dxa"/>
            <w:tcBorders>
              <w:top w:val="single" w:sz="4" w:space="0" w:color="D9D9D9"/>
              <w:left w:val="single" w:sz="4" w:space="0" w:color="D9D9D9"/>
              <w:bottom w:val="single" w:sz="4" w:space="0" w:color="D9D9D9"/>
              <w:right w:val="nil"/>
            </w:tcBorders>
            <w:shd w:val="clear" w:color="auto" w:fill="FFFFFF"/>
            <w:noWrap/>
          </w:tcPr>
          <w:p w14:paraId="2DB10AF3"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$ 440,376 </w:t>
            </w:r>
          </w:p>
        </w:tc>
      </w:tr>
      <w:tr w:rsidR="00353996" w:rsidRPr="00035F16" w14:paraId="234022CD" w14:textId="77777777" w:rsidTr="00EC527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8" w:type="dxa"/>
            <w:tcBorders>
              <w:top w:val="single" w:sz="4" w:space="0" w:color="D9D9D9"/>
              <w:left w:val="nil"/>
              <w:bottom w:val="single" w:sz="4" w:space="0" w:color="D9D9D9"/>
              <w:right w:val="single" w:sz="4" w:space="0" w:color="D9D9D9"/>
            </w:tcBorders>
            <w:noWrap/>
            <w:vAlign w:val="center"/>
          </w:tcPr>
          <w:p w14:paraId="5466B61B"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Elevator</w:t>
            </w:r>
          </w:p>
        </w:tc>
        <w:tc>
          <w:tcPr>
            <w:tcW w:w="1198" w:type="dxa"/>
            <w:tcBorders>
              <w:top w:val="single" w:sz="4" w:space="0" w:color="D9D9D9"/>
              <w:left w:val="single" w:sz="4" w:space="0" w:color="D9D9D9"/>
              <w:bottom w:val="single" w:sz="4" w:space="0" w:color="D9D9D9"/>
              <w:right w:val="single" w:sz="4" w:space="0" w:color="D9D9D9"/>
            </w:tcBorders>
            <w:noWrap/>
          </w:tcPr>
          <w:p w14:paraId="0365185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 xml:space="preserve"> $ 130,472 </w:t>
            </w:r>
          </w:p>
        </w:tc>
        <w:tc>
          <w:tcPr>
            <w:tcW w:w="1190" w:type="dxa"/>
            <w:tcBorders>
              <w:top w:val="single" w:sz="4" w:space="0" w:color="D9D9D9"/>
              <w:left w:val="single" w:sz="4" w:space="0" w:color="D9D9D9"/>
              <w:bottom w:val="single" w:sz="4" w:space="0" w:color="D9D9D9"/>
              <w:right w:val="single" w:sz="4" w:space="0" w:color="D9D9D9"/>
            </w:tcBorders>
            <w:noWrap/>
          </w:tcPr>
          <w:p w14:paraId="5863254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 xml:space="preserve"> $ 182,661 </w:t>
            </w:r>
          </w:p>
        </w:tc>
        <w:tc>
          <w:tcPr>
            <w:tcW w:w="1192" w:type="dxa"/>
            <w:tcBorders>
              <w:top w:val="single" w:sz="4" w:space="0" w:color="D9D9D9"/>
              <w:left w:val="single" w:sz="4" w:space="0" w:color="D9D9D9"/>
              <w:bottom w:val="single" w:sz="4" w:space="0" w:color="D9D9D9"/>
              <w:right w:val="single" w:sz="4" w:space="0" w:color="D9D9D9"/>
            </w:tcBorders>
            <w:noWrap/>
          </w:tcPr>
          <w:p w14:paraId="6E9A220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$ 234,850 </w:t>
            </w:r>
          </w:p>
        </w:tc>
        <w:tc>
          <w:tcPr>
            <w:tcW w:w="1190" w:type="dxa"/>
            <w:tcBorders>
              <w:top w:val="single" w:sz="4" w:space="0" w:color="D9D9D9"/>
              <w:left w:val="single" w:sz="4" w:space="0" w:color="D9D9D9"/>
              <w:bottom w:val="single" w:sz="4" w:space="0" w:color="D9D9D9"/>
              <w:right w:val="single" w:sz="4" w:space="0" w:color="D9D9D9"/>
            </w:tcBorders>
            <w:noWrap/>
          </w:tcPr>
          <w:p w14:paraId="2A1875C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$ 313,133 </w:t>
            </w:r>
          </w:p>
        </w:tc>
        <w:tc>
          <w:tcPr>
            <w:tcW w:w="1191" w:type="dxa"/>
            <w:tcBorders>
              <w:top w:val="single" w:sz="4" w:space="0" w:color="D9D9D9"/>
              <w:left w:val="single" w:sz="4" w:space="0" w:color="D9D9D9"/>
              <w:bottom w:val="single" w:sz="4" w:space="0" w:color="D9D9D9"/>
              <w:right w:val="nil"/>
            </w:tcBorders>
            <w:noWrap/>
          </w:tcPr>
          <w:p w14:paraId="076C4511"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$ 391,416 </w:t>
            </w:r>
          </w:p>
        </w:tc>
        <w:tc>
          <w:tcPr>
            <w:tcW w:w="1190" w:type="dxa"/>
            <w:tcBorders>
              <w:top w:val="single" w:sz="4" w:space="0" w:color="D9D9D9"/>
              <w:left w:val="single" w:sz="4" w:space="0" w:color="D9D9D9"/>
              <w:bottom w:val="single" w:sz="4" w:space="0" w:color="D9D9D9"/>
              <w:right w:val="nil"/>
            </w:tcBorders>
            <w:shd w:val="clear" w:color="auto" w:fill="FFFFFF"/>
            <w:noWrap/>
          </w:tcPr>
          <w:p w14:paraId="5FA25FD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$ 443,605 </w:t>
            </w:r>
          </w:p>
        </w:tc>
        <w:tc>
          <w:tcPr>
            <w:tcW w:w="1191" w:type="dxa"/>
            <w:tcBorders>
              <w:top w:val="single" w:sz="4" w:space="0" w:color="D9D9D9"/>
              <w:left w:val="single" w:sz="4" w:space="0" w:color="D9D9D9"/>
              <w:bottom w:val="single" w:sz="4" w:space="0" w:color="D9D9D9"/>
              <w:right w:val="nil"/>
            </w:tcBorders>
            <w:shd w:val="clear" w:color="auto" w:fill="FFFFFF"/>
            <w:noWrap/>
          </w:tcPr>
          <w:p w14:paraId="73446E1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 xml:space="preserve"> $ 495,794 </w:t>
            </w:r>
          </w:p>
        </w:tc>
      </w:tr>
    </w:tbl>
    <w:p w14:paraId="6E83E005" w14:textId="77777777" w:rsidR="00EC5276" w:rsidRPr="00035F16" w:rsidRDefault="00EC5276" w:rsidP="00EC5276">
      <w:pPr>
        <w:rPr>
          <w:rFonts w:ascii="Century Gothic" w:eastAsia="Times New Roman" w:hAnsi="Century Gothic"/>
          <w:szCs w:val="22"/>
          <w:lang w:eastAsia="en-US"/>
        </w:rPr>
      </w:pPr>
    </w:p>
    <w:tbl>
      <w:tblPr>
        <w:tblStyle w:val="ListTable4-Accent2111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92"/>
        <w:gridCol w:w="1193"/>
        <w:gridCol w:w="1192"/>
        <w:gridCol w:w="1193"/>
        <w:gridCol w:w="1192"/>
        <w:gridCol w:w="1193"/>
        <w:gridCol w:w="1192"/>
        <w:gridCol w:w="1193"/>
      </w:tblGrid>
      <w:tr w:rsidR="004B46D2" w:rsidRPr="00035F16" w14:paraId="3B7451C5" w14:textId="77777777" w:rsidTr="00EC527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0" w:type="dxa"/>
            <w:gridSpan w:val="8"/>
            <w:tcBorders>
              <w:top w:val="nil"/>
              <w:left w:val="single" w:sz="4" w:space="0" w:color="D9D9D9"/>
              <w:bottom w:val="single" w:sz="24" w:space="0" w:color="B5333C"/>
              <w:right w:val="single" w:sz="4" w:space="0" w:color="D9D9D9"/>
            </w:tcBorders>
            <w:shd w:val="clear" w:color="auto" w:fill="808080"/>
            <w:noWrap/>
            <w:vAlign w:val="center"/>
          </w:tcPr>
          <w:p w14:paraId="54361FF1" w14:textId="4324349A" w:rsidR="00EC5276" w:rsidRPr="00035F16" w:rsidRDefault="00656082" w:rsidP="00EC5276">
            <w:pPr>
              <w:jc w:val="center"/>
              <w:rPr>
                <w:rFonts w:ascii="Century Gothic" w:hAnsi="Century Gothic"/>
                <w:b w:val="0"/>
                <w:color w:val="auto"/>
                <w:szCs w:val="22"/>
              </w:rPr>
            </w:pPr>
            <w:r w:rsidRPr="00035F16">
              <w:rPr>
                <w:rFonts w:ascii="Century Gothic" w:hAnsi="Century Gothic"/>
                <w:color w:val="auto"/>
                <w:szCs w:val="22"/>
              </w:rPr>
              <w:t>ECC/HANH</w:t>
            </w:r>
            <w:r w:rsidR="00EC5276" w:rsidRPr="00035F16">
              <w:rPr>
                <w:rFonts w:ascii="Century Gothic" w:hAnsi="Century Gothic"/>
                <w:color w:val="auto"/>
                <w:szCs w:val="22"/>
              </w:rPr>
              <w:t xml:space="preserve"> TDC 2013</w:t>
            </w:r>
          </w:p>
        </w:tc>
      </w:tr>
      <w:tr w:rsidR="0032063E" w:rsidRPr="00035F16" w14:paraId="68A54C20" w14:textId="77777777" w:rsidTr="00EC5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7871B7A6" w14:textId="77777777" w:rsidR="00EC5276" w:rsidRPr="00035F16" w:rsidRDefault="00EC5276" w:rsidP="00EC5276">
            <w:pPr>
              <w:jc w:val="center"/>
              <w:rPr>
                <w:rFonts w:ascii="Century Gothic" w:hAnsi="Century Gothic"/>
                <w:szCs w:val="22"/>
              </w:rPr>
            </w:pP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3D9F474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0</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227E3EE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1</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603F915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2</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01B76849"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3</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74287C6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4</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tcPr>
          <w:p w14:paraId="50396AFD"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45CA482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5</w:t>
            </w:r>
          </w:p>
          <w:p w14:paraId="7C3EA44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tcPr>
          <w:p w14:paraId="0A314D21"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20689EEA"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6</w:t>
            </w:r>
          </w:p>
        </w:tc>
      </w:tr>
      <w:tr w:rsidR="00353996" w:rsidRPr="00035F16" w14:paraId="51399796"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28664EA7"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Detached</w:t>
            </w:r>
          </w:p>
        </w:tc>
        <w:tc>
          <w:tcPr>
            <w:tcW w:w="1193" w:type="dxa"/>
            <w:tcBorders>
              <w:top w:val="single" w:sz="4" w:space="0" w:color="D9D9D9"/>
              <w:left w:val="single" w:sz="4" w:space="0" w:color="D9D9D9"/>
              <w:bottom w:val="single" w:sz="4" w:space="0" w:color="D9D9D9"/>
              <w:right w:val="single" w:sz="4" w:space="0" w:color="D9D9D9"/>
            </w:tcBorders>
            <w:noWrap/>
          </w:tcPr>
          <w:p w14:paraId="77E42D23"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$228,357</w:t>
            </w:r>
          </w:p>
        </w:tc>
        <w:tc>
          <w:tcPr>
            <w:tcW w:w="1192" w:type="dxa"/>
            <w:tcBorders>
              <w:top w:val="single" w:sz="4" w:space="0" w:color="D9D9D9"/>
              <w:left w:val="single" w:sz="4" w:space="0" w:color="D9D9D9"/>
              <w:bottom w:val="single" w:sz="4" w:space="0" w:color="D9D9D9"/>
              <w:right w:val="single" w:sz="4" w:space="0" w:color="D9D9D9"/>
            </w:tcBorders>
            <w:noWrap/>
          </w:tcPr>
          <w:p w14:paraId="07A49B11"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$291,790</w:t>
            </w:r>
          </w:p>
        </w:tc>
        <w:tc>
          <w:tcPr>
            <w:tcW w:w="1193" w:type="dxa"/>
            <w:tcBorders>
              <w:top w:val="single" w:sz="4" w:space="0" w:color="D9D9D9"/>
              <w:left w:val="single" w:sz="4" w:space="0" w:color="D9D9D9"/>
              <w:bottom w:val="single" w:sz="4" w:space="0" w:color="D9D9D9"/>
              <w:right w:val="single" w:sz="4" w:space="0" w:color="D9D9D9"/>
            </w:tcBorders>
            <w:noWrap/>
          </w:tcPr>
          <w:p w14:paraId="50DD9EAF"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$342,408</w:t>
            </w:r>
          </w:p>
        </w:tc>
        <w:tc>
          <w:tcPr>
            <w:tcW w:w="1192" w:type="dxa"/>
            <w:tcBorders>
              <w:top w:val="single" w:sz="4" w:space="0" w:color="D9D9D9"/>
              <w:left w:val="single" w:sz="4" w:space="0" w:color="D9D9D9"/>
              <w:bottom w:val="single" w:sz="4" w:space="0" w:color="D9D9D9"/>
              <w:right w:val="single" w:sz="4" w:space="0" w:color="D9D9D9"/>
            </w:tcBorders>
            <w:noWrap/>
          </w:tcPr>
          <w:p w14:paraId="611D92AA"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$405,464</w:t>
            </w:r>
          </w:p>
        </w:tc>
        <w:tc>
          <w:tcPr>
            <w:tcW w:w="1193" w:type="dxa"/>
            <w:tcBorders>
              <w:top w:val="single" w:sz="4" w:space="0" w:color="D9D9D9"/>
              <w:left w:val="single" w:sz="4" w:space="0" w:color="D9D9D9"/>
              <w:bottom w:val="single" w:sz="4" w:space="0" w:color="D9D9D9"/>
              <w:right w:val="nil"/>
            </w:tcBorders>
            <w:noWrap/>
          </w:tcPr>
          <w:p w14:paraId="46905D99"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$476,083</w:t>
            </w:r>
          </w:p>
        </w:tc>
        <w:tc>
          <w:tcPr>
            <w:tcW w:w="1192" w:type="dxa"/>
            <w:tcBorders>
              <w:top w:val="single" w:sz="4" w:space="0" w:color="D9D9D9"/>
              <w:left w:val="single" w:sz="4" w:space="0" w:color="D9D9D9"/>
              <w:bottom w:val="single" w:sz="4" w:space="0" w:color="D9D9D9"/>
              <w:right w:val="nil"/>
            </w:tcBorders>
            <w:shd w:val="clear" w:color="auto" w:fill="FFFFFF"/>
            <w:noWrap/>
          </w:tcPr>
          <w:p w14:paraId="2B638841"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$521,291</w:t>
            </w:r>
          </w:p>
        </w:tc>
        <w:tc>
          <w:tcPr>
            <w:tcW w:w="1193" w:type="dxa"/>
            <w:tcBorders>
              <w:top w:val="single" w:sz="4" w:space="0" w:color="D9D9D9"/>
              <w:left w:val="single" w:sz="4" w:space="0" w:color="D9D9D9"/>
              <w:bottom w:val="single" w:sz="4" w:space="0" w:color="D9D9D9"/>
              <w:right w:val="nil"/>
            </w:tcBorders>
            <w:shd w:val="clear" w:color="auto" w:fill="FFFFFF"/>
            <w:noWrap/>
          </w:tcPr>
          <w:p w14:paraId="246EFF01"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$563,900</w:t>
            </w:r>
          </w:p>
        </w:tc>
      </w:tr>
      <w:tr w:rsidR="00353996" w:rsidRPr="00035F16" w14:paraId="5B9D6794" w14:textId="77777777" w:rsidTr="00EC527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2979479C"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Row House</w:t>
            </w:r>
          </w:p>
        </w:tc>
        <w:tc>
          <w:tcPr>
            <w:tcW w:w="1193" w:type="dxa"/>
            <w:tcBorders>
              <w:top w:val="single" w:sz="4" w:space="0" w:color="D9D9D9"/>
              <w:left w:val="single" w:sz="4" w:space="0" w:color="D9D9D9"/>
              <w:bottom w:val="single" w:sz="4" w:space="0" w:color="D9D9D9"/>
              <w:right w:val="single" w:sz="4" w:space="0" w:color="D9D9D9"/>
            </w:tcBorders>
            <w:noWrap/>
          </w:tcPr>
          <w:p w14:paraId="2CBCF7A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$185,556</w:t>
            </w:r>
          </w:p>
        </w:tc>
        <w:tc>
          <w:tcPr>
            <w:tcW w:w="1192" w:type="dxa"/>
            <w:tcBorders>
              <w:top w:val="single" w:sz="4" w:space="0" w:color="D9D9D9"/>
              <w:left w:val="single" w:sz="4" w:space="0" w:color="D9D9D9"/>
              <w:bottom w:val="single" w:sz="4" w:space="0" w:color="D9D9D9"/>
              <w:right w:val="single" w:sz="4" w:space="0" w:color="D9D9D9"/>
            </w:tcBorders>
            <w:noWrap/>
          </w:tcPr>
          <w:p w14:paraId="68757C2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$243,918</w:t>
            </w:r>
          </w:p>
        </w:tc>
        <w:tc>
          <w:tcPr>
            <w:tcW w:w="1193" w:type="dxa"/>
            <w:tcBorders>
              <w:top w:val="single" w:sz="4" w:space="0" w:color="D9D9D9"/>
              <w:left w:val="single" w:sz="4" w:space="0" w:color="D9D9D9"/>
              <w:bottom w:val="single" w:sz="4" w:space="0" w:color="D9D9D9"/>
              <w:right w:val="single" w:sz="4" w:space="0" w:color="D9D9D9"/>
            </w:tcBorders>
            <w:noWrap/>
          </w:tcPr>
          <w:p w14:paraId="7E2A11F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$288,528</w:t>
            </w:r>
          </w:p>
        </w:tc>
        <w:tc>
          <w:tcPr>
            <w:tcW w:w="1192" w:type="dxa"/>
            <w:tcBorders>
              <w:top w:val="single" w:sz="4" w:space="0" w:color="D9D9D9"/>
              <w:left w:val="single" w:sz="4" w:space="0" w:color="D9D9D9"/>
              <w:bottom w:val="single" w:sz="4" w:space="0" w:color="D9D9D9"/>
              <w:right w:val="single" w:sz="4" w:space="0" w:color="D9D9D9"/>
            </w:tcBorders>
            <w:noWrap/>
          </w:tcPr>
          <w:p w14:paraId="2EFFB9A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$351,622</w:t>
            </w:r>
          </w:p>
        </w:tc>
        <w:tc>
          <w:tcPr>
            <w:tcW w:w="1193" w:type="dxa"/>
            <w:tcBorders>
              <w:top w:val="single" w:sz="4" w:space="0" w:color="D9D9D9"/>
              <w:left w:val="single" w:sz="4" w:space="0" w:color="D9D9D9"/>
              <w:bottom w:val="single" w:sz="4" w:space="0" w:color="D9D9D9"/>
              <w:right w:val="nil"/>
            </w:tcBorders>
            <w:noWrap/>
          </w:tcPr>
          <w:p w14:paraId="2381E07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$418,022</w:t>
            </w:r>
          </w:p>
        </w:tc>
        <w:tc>
          <w:tcPr>
            <w:tcW w:w="1192" w:type="dxa"/>
            <w:tcBorders>
              <w:top w:val="single" w:sz="4" w:space="0" w:color="D9D9D9"/>
              <w:left w:val="single" w:sz="4" w:space="0" w:color="D9D9D9"/>
              <w:bottom w:val="single" w:sz="4" w:space="0" w:color="D9D9D9"/>
              <w:right w:val="nil"/>
            </w:tcBorders>
            <w:shd w:val="clear" w:color="auto" w:fill="FFFFFF"/>
            <w:noWrap/>
          </w:tcPr>
          <w:p w14:paraId="488CC97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$460,885</w:t>
            </w:r>
          </w:p>
        </w:tc>
        <w:tc>
          <w:tcPr>
            <w:tcW w:w="1193" w:type="dxa"/>
            <w:tcBorders>
              <w:top w:val="single" w:sz="4" w:space="0" w:color="D9D9D9"/>
              <w:left w:val="single" w:sz="4" w:space="0" w:color="D9D9D9"/>
              <w:bottom w:val="single" w:sz="4" w:space="0" w:color="D9D9D9"/>
              <w:right w:val="nil"/>
            </w:tcBorders>
            <w:shd w:val="clear" w:color="auto" w:fill="FFFFFF"/>
            <w:noWrap/>
          </w:tcPr>
          <w:p w14:paraId="5C198F5A"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$501,068</w:t>
            </w:r>
          </w:p>
        </w:tc>
      </w:tr>
      <w:tr w:rsidR="00353996" w:rsidRPr="00035F16" w14:paraId="4982DF36"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409B8A95"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Walk Up</w:t>
            </w:r>
          </w:p>
        </w:tc>
        <w:tc>
          <w:tcPr>
            <w:tcW w:w="1193" w:type="dxa"/>
            <w:tcBorders>
              <w:top w:val="single" w:sz="4" w:space="0" w:color="D9D9D9"/>
              <w:left w:val="single" w:sz="4" w:space="0" w:color="D9D9D9"/>
              <w:bottom w:val="single" w:sz="4" w:space="0" w:color="D9D9D9"/>
              <w:right w:val="single" w:sz="4" w:space="0" w:color="D9D9D9"/>
            </w:tcBorders>
            <w:noWrap/>
          </w:tcPr>
          <w:p w14:paraId="2A204C99"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$170,121</w:t>
            </w:r>
          </w:p>
        </w:tc>
        <w:tc>
          <w:tcPr>
            <w:tcW w:w="1192" w:type="dxa"/>
            <w:tcBorders>
              <w:top w:val="single" w:sz="4" w:space="0" w:color="D9D9D9"/>
              <w:left w:val="single" w:sz="4" w:space="0" w:color="D9D9D9"/>
              <w:bottom w:val="single" w:sz="4" w:space="0" w:color="D9D9D9"/>
              <w:right w:val="single" w:sz="4" w:space="0" w:color="D9D9D9"/>
            </w:tcBorders>
            <w:noWrap/>
          </w:tcPr>
          <w:p w14:paraId="34275496"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$230,789</w:t>
            </w:r>
          </w:p>
        </w:tc>
        <w:tc>
          <w:tcPr>
            <w:tcW w:w="1193" w:type="dxa"/>
            <w:tcBorders>
              <w:top w:val="single" w:sz="4" w:space="0" w:color="D9D9D9"/>
              <w:left w:val="single" w:sz="4" w:space="0" w:color="D9D9D9"/>
              <w:bottom w:val="single" w:sz="4" w:space="0" w:color="D9D9D9"/>
              <w:right w:val="single" w:sz="4" w:space="0" w:color="D9D9D9"/>
            </w:tcBorders>
            <w:noWrap/>
          </w:tcPr>
          <w:p w14:paraId="63E4D183"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$293,673</w:t>
            </w:r>
          </w:p>
        </w:tc>
        <w:tc>
          <w:tcPr>
            <w:tcW w:w="1192" w:type="dxa"/>
            <w:tcBorders>
              <w:top w:val="single" w:sz="4" w:space="0" w:color="D9D9D9"/>
              <w:left w:val="single" w:sz="4" w:space="0" w:color="D9D9D9"/>
              <w:bottom w:val="single" w:sz="4" w:space="0" w:color="D9D9D9"/>
              <w:right w:val="single" w:sz="4" w:space="0" w:color="D9D9D9"/>
            </w:tcBorders>
            <w:noWrap/>
          </w:tcPr>
          <w:p w14:paraId="5C467251"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$384,452</w:t>
            </w:r>
          </w:p>
        </w:tc>
        <w:tc>
          <w:tcPr>
            <w:tcW w:w="1193" w:type="dxa"/>
            <w:tcBorders>
              <w:top w:val="single" w:sz="4" w:space="0" w:color="D9D9D9"/>
              <w:left w:val="single" w:sz="4" w:space="0" w:color="D9D9D9"/>
              <w:bottom w:val="single" w:sz="4" w:space="0" w:color="D9D9D9"/>
              <w:right w:val="nil"/>
            </w:tcBorders>
            <w:noWrap/>
          </w:tcPr>
          <w:p w14:paraId="159C8491"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$477,581</w:t>
            </w:r>
          </w:p>
        </w:tc>
        <w:tc>
          <w:tcPr>
            <w:tcW w:w="1192" w:type="dxa"/>
            <w:tcBorders>
              <w:top w:val="single" w:sz="4" w:space="0" w:color="D9D9D9"/>
              <w:left w:val="single" w:sz="4" w:space="0" w:color="D9D9D9"/>
              <w:bottom w:val="single" w:sz="4" w:space="0" w:color="D9D9D9"/>
              <w:right w:val="nil"/>
            </w:tcBorders>
            <w:shd w:val="clear" w:color="auto" w:fill="FFFFFF"/>
            <w:noWrap/>
          </w:tcPr>
          <w:p w14:paraId="30965ACF"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$537,877</w:t>
            </w:r>
          </w:p>
        </w:tc>
        <w:tc>
          <w:tcPr>
            <w:tcW w:w="1193" w:type="dxa"/>
            <w:tcBorders>
              <w:top w:val="single" w:sz="4" w:space="0" w:color="D9D9D9"/>
              <w:left w:val="single" w:sz="4" w:space="0" w:color="D9D9D9"/>
              <w:bottom w:val="single" w:sz="4" w:space="0" w:color="D9D9D9"/>
              <w:right w:val="nil"/>
            </w:tcBorders>
            <w:shd w:val="clear" w:color="auto" w:fill="FFFFFF"/>
            <w:noWrap/>
          </w:tcPr>
          <w:p w14:paraId="13269084"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$597,377</w:t>
            </w:r>
          </w:p>
        </w:tc>
      </w:tr>
      <w:tr w:rsidR="00353996" w:rsidRPr="00035F16" w14:paraId="04A9D6F9" w14:textId="77777777" w:rsidTr="00EC527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3CB9EA7E"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Elevator</w:t>
            </w:r>
          </w:p>
        </w:tc>
        <w:tc>
          <w:tcPr>
            <w:tcW w:w="1193" w:type="dxa"/>
            <w:tcBorders>
              <w:top w:val="single" w:sz="4" w:space="0" w:color="D9D9D9"/>
              <w:left w:val="single" w:sz="4" w:space="0" w:color="D9D9D9"/>
              <w:bottom w:val="single" w:sz="4" w:space="0" w:color="D9D9D9"/>
              <w:right w:val="single" w:sz="4" w:space="0" w:color="D9D9D9"/>
            </w:tcBorders>
            <w:noWrap/>
          </w:tcPr>
          <w:p w14:paraId="4365AF60"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$178,470</w:t>
            </w:r>
          </w:p>
        </w:tc>
        <w:tc>
          <w:tcPr>
            <w:tcW w:w="1192" w:type="dxa"/>
            <w:tcBorders>
              <w:top w:val="single" w:sz="4" w:space="0" w:color="D9D9D9"/>
              <w:left w:val="single" w:sz="4" w:space="0" w:color="D9D9D9"/>
              <w:bottom w:val="single" w:sz="4" w:space="0" w:color="D9D9D9"/>
              <w:right w:val="single" w:sz="4" w:space="0" w:color="D9D9D9"/>
            </w:tcBorders>
            <w:noWrap/>
          </w:tcPr>
          <w:p w14:paraId="2F05DA4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$249,858</w:t>
            </w:r>
          </w:p>
        </w:tc>
        <w:tc>
          <w:tcPr>
            <w:tcW w:w="1193" w:type="dxa"/>
            <w:tcBorders>
              <w:top w:val="single" w:sz="4" w:space="0" w:color="D9D9D9"/>
              <w:left w:val="single" w:sz="4" w:space="0" w:color="D9D9D9"/>
              <w:bottom w:val="single" w:sz="4" w:space="0" w:color="D9D9D9"/>
              <w:right w:val="single" w:sz="4" w:space="0" w:color="D9D9D9"/>
            </w:tcBorders>
            <w:noWrap/>
          </w:tcPr>
          <w:p w14:paraId="0E93BEE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$321,246</w:t>
            </w:r>
          </w:p>
        </w:tc>
        <w:tc>
          <w:tcPr>
            <w:tcW w:w="1192" w:type="dxa"/>
            <w:tcBorders>
              <w:top w:val="single" w:sz="4" w:space="0" w:color="D9D9D9"/>
              <w:left w:val="single" w:sz="4" w:space="0" w:color="D9D9D9"/>
              <w:bottom w:val="single" w:sz="4" w:space="0" w:color="D9D9D9"/>
              <w:right w:val="single" w:sz="4" w:space="0" w:color="D9D9D9"/>
            </w:tcBorders>
            <w:noWrap/>
          </w:tcPr>
          <w:p w14:paraId="5510112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$428,328</w:t>
            </w:r>
          </w:p>
        </w:tc>
        <w:tc>
          <w:tcPr>
            <w:tcW w:w="1193" w:type="dxa"/>
            <w:tcBorders>
              <w:top w:val="single" w:sz="4" w:space="0" w:color="D9D9D9"/>
              <w:left w:val="single" w:sz="4" w:space="0" w:color="D9D9D9"/>
              <w:bottom w:val="single" w:sz="4" w:space="0" w:color="D9D9D9"/>
              <w:right w:val="nil"/>
            </w:tcBorders>
            <w:noWrap/>
          </w:tcPr>
          <w:p w14:paraId="646E6EC3"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$535,410</w:t>
            </w:r>
          </w:p>
        </w:tc>
        <w:tc>
          <w:tcPr>
            <w:tcW w:w="1192" w:type="dxa"/>
            <w:tcBorders>
              <w:top w:val="single" w:sz="4" w:space="0" w:color="D9D9D9"/>
              <w:left w:val="single" w:sz="4" w:space="0" w:color="D9D9D9"/>
              <w:bottom w:val="single" w:sz="4" w:space="0" w:color="D9D9D9"/>
              <w:right w:val="nil"/>
            </w:tcBorders>
            <w:shd w:val="clear" w:color="auto" w:fill="FFFFFF"/>
            <w:noWrap/>
          </w:tcPr>
          <w:p w14:paraId="7B9C2320"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$606,798</w:t>
            </w:r>
          </w:p>
        </w:tc>
        <w:tc>
          <w:tcPr>
            <w:tcW w:w="1193" w:type="dxa"/>
            <w:tcBorders>
              <w:top w:val="single" w:sz="4" w:space="0" w:color="D9D9D9"/>
              <w:left w:val="single" w:sz="4" w:space="0" w:color="D9D9D9"/>
              <w:bottom w:val="single" w:sz="4" w:space="0" w:color="D9D9D9"/>
              <w:right w:val="nil"/>
            </w:tcBorders>
            <w:shd w:val="clear" w:color="auto" w:fill="FFFFFF"/>
            <w:noWrap/>
          </w:tcPr>
          <w:p w14:paraId="2FFC7F3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$678,186</w:t>
            </w:r>
          </w:p>
        </w:tc>
      </w:tr>
    </w:tbl>
    <w:p w14:paraId="02A8CE73" w14:textId="77777777" w:rsidR="00EC5276" w:rsidRPr="00035F16" w:rsidRDefault="00EC5276" w:rsidP="00EC5276">
      <w:pPr>
        <w:rPr>
          <w:rFonts w:ascii="Century Gothic" w:eastAsia="Times New Roman" w:hAnsi="Century Gothic"/>
          <w:szCs w:val="22"/>
          <w:lang w:eastAsia="en-US"/>
        </w:rPr>
      </w:pPr>
    </w:p>
    <w:p w14:paraId="2104C9E7" w14:textId="7BE37D3F" w:rsidR="00EC5276" w:rsidRPr="00035F16" w:rsidRDefault="00EC5276" w:rsidP="4566E4F4">
      <w:pPr>
        <w:rPr>
          <w:rFonts w:ascii="Century Gothic" w:eastAsia="MS PGothic" w:hAnsi="Century Gothic"/>
          <w:szCs w:val="22"/>
          <w:lang w:eastAsia="en-US"/>
        </w:rPr>
      </w:pPr>
    </w:p>
    <w:tbl>
      <w:tblPr>
        <w:tblStyle w:val="ListTable4-Accent2111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92"/>
        <w:gridCol w:w="1193"/>
        <w:gridCol w:w="1192"/>
        <w:gridCol w:w="1193"/>
        <w:gridCol w:w="1192"/>
        <w:gridCol w:w="1193"/>
        <w:gridCol w:w="1192"/>
        <w:gridCol w:w="1193"/>
      </w:tblGrid>
      <w:tr w:rsidR="004B46D2" w:rsidRPr="00035F16" w14:paraId="6DC12621" w14:textId="77777777" w:rsidTr="00EC527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0" w:type="dxa"/>
            <w:gridSpan w:val="8"/>
            <w:tcBorders>
              <w:top w:val="nil"/>
              <w:left w:val="single" w:sz="4" w:space="0" w:color="D9D9D9"/>
              <w:bottom w:val="single" w:sz="24" w:space="0" w:color="B5333C"/>
              <w:right w:val="single" w:sz="4" w:space="0" w:color="D9D9D9"/>
            </w:tcBorders>
            <w:shd w:val="clear" w:color="auto" w:fill="808080"/>
            <w:noWrap/>
            <w:vAlign w:val="center"/>
          </w:tcPr>
          <w:p w14:paraId="4FC25845" w14:textId="59F11A99" w:rsidR="00EC5276" w:rsidRPr="00035F16" w:rsidRDefault="00EC5276" w:rsidP="00656082">
            <w:pPr>
              <w:jc w:val="center"/>
              <w:rPr>
                <w:rFonts w:ascii="Century Gothic" w:hAnsi="Century Gothic"/>
                <w:b w:val="0"/>
                <w:color w:val="auto"/>
                <w:szCs w:val="22"/>
              </w:rPr>
            </w:pPr>
            <w:r w:rsidRPr="00035F16">
              <w:rPr>
                <w:rFonts w:ascii="Century Gothic" w:hAnsi="Century Gothic"/>
                <w:color w:val="auto"/>
                <w:szCs w:val="22"/>
              </w:rPr>
              <w:t xml:space="preserve">PERCENT CHANGE </w:t>
            </w:r>
            <w:r w:rsidR="00656082" w:rsidRPr="00035F16">
              <w:rPr>
                <w:rFonts w:ascii="Century Gothic" w:hAnsi="Century Gothic"/>
                <w:color w:val="auto"/>
                <w:szCs w:val="22"/>
              </w:rPr>
              <w:t>ECC/HANH</w:t>
            </w:r>
            <w:r w:rsidRPr="00035F16">
              <w:rPr>
                <w:rFonts w:ascii="Century Gothic" w:hAnsi="Century Gothic"/>
                <w:color w:val="auto"/>
                <w:szCs w:val="22"/>
              </w:rPr>
              <w:t xml:space="preserve"> TDC 2008-2013</w:t>
            </w:r>
          </w:p>
        </w:tc>
      </w:tr>
      <w:tr w:rsidR="0032063E" w:rsidRPr="00035F16" w14:paraId="0F79F0E3" w14:textId="77777777" w:rsidTr="00EC5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25E0C2BD" w14:textId="77777777" w:rsidR="00EC5276" w:rsidRPr="00035F16" w:rsidRDefault="00EC5276" w:rsidP="00EC5276">
            <w:pPr>
              <w:jc w:val="center"/>
              <w:rPr>
                <w:rFonts w:ascii="Century Gothic" w:hAnsi="Century Gothic"/>
                <w:szCs w:val="22"/>
              </w:rPr>
            </w:pP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3A9BA52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0</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001B9081"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1</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3C83555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2</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156DD87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3</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3215A6F1"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4</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tcPr>
          <w:p w14:paraId="03B24C5D"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6A2832F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5</w:t>
            </w:r>
          </w:p>
          <w:p w14:paraId="23385439"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tcPr>
          <w:p w14:paraId="4303D969"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05B86EA9"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6</w:t>
            </w:r>
          </w:p>
        </w:tc>
      </w:tr>
      <w:tr w:rsidR="00353996" w:rsidRPr="00035F16" w14:paraId="6D48697F"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541ADD60"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Detached</w:t>
            </w:r>
          </w:p>
        </w:tc>
        <w:tc>
          <w:tcPr>
            <w:tcW w:w="1193" w:type="dxa"/>
            <w:tcBorders>
              <w:top w:val="single" w:sz="4" w:space="0" w:color="D9D9D9"/>
              <w:left w:val="single" w:sz="4" w:space="0" w:color="D9D9D9"/>
              <w:bottom w:val="single" w:sz="4" w:space="0" w:color="D9D9D9"/>
              <w:right w:val="single" w:sz="4" w:space="0" w:color="D9D9D9"/>
            </w:tcBorders>
            <w:noWrap/>
          </w:tcPr>
          <w:p w14:paraId="25AB8C76"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15.00%</w:t>
            </w:r>
          </w:p>
        </w:tc>
        <w:tc>
          <w:tcPr>
            <w:tcW w:w="1192" w:type="dxa"/>
            <w:tcBorders>
              <w:top w:val="single" w:sz="4" w:space="0" w:color="D9D9D9"/>
              <w:left w:val="single" w:sz="4" w:space="0" w:color="D9D9D9"/>
              <w:bottom w:val="single" w:sz="4" w:space="0" w:color="D9D9D9"/>
              <w:right w:val="single" w:sz="4" w:space="0" w:color="D9D9D9"/>
            </w:tcBorders>
            <w:noWrap/>
          </w:tcPr>
          <w:p w14:paraId="41384383"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13.00%</w:t>
            </w:r>
          </w:p>
        </w:tc>
        <w:tc>
          <w:tcPr>
            <w:tcW w:w="1193" w:type="dxa"/>
            <w:tcBorders>
              <w:top w:val="single" w:sz="4" w:space="0" w:color="D9D9D9"/>
              <w:left w:val="single" w:sz="4" w:space="0" w:color="D9D9D9"/>
              <w:bottom w:val="single" w:sz="4" w:space="0" w:color="D9D9D9"/>
              <w:right w:val="single" w:sz="4" w:space="0" w:color="D9D9D9"/>
            </w:tcBorders>
            <w:noWrap/>
          </w:tcPr>
          <w:p w14:paraId="2682DEB8"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10.73%</w:t>
            </w:r>
          </w:p>
        </w:tc>
        <w:tc>
          <w:tcPr>
            <w:tcW w:w="1192" w:type="dxa"/>
            <w:tcBorders>
              <w:top w:val="single" w:sz="4" w:space="0" w:color="D9D9D9"/>
              <w:left w:val="single" w:sz="4" w:space="0" w:color="D9D9D9"/>
              <w:bottom w:val="single" w:sz="4" w:space="0" w:color="D9D9D9"/>
              <w:right w:val="single" w:sz="4" w:space="0" w:color="D9D9D9"/>
            </w:tcBorders>
            <w:noWrap/>
          </w:tcPr>
          <w:p w14:paraId="05A7026D"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9.54%</w:t>
            </w:r>
          </w:p>
        </w:tc>
        <w:tc>
          <w:tcPr>
            <w:tcW w:w="1193" w:type="dxa"/>
            <w:tcBorders>
              <w:top w:val="single" w:sz="4" w:space="0" w:color="D9D9D9"/>
              <w:left w:val="single" w:sz="4" w:space="0" w:color="D9D9D9"/>
              <w:bottom w:val="single" w:sz="4" w:space="0" w:color="D9D9D9"/>
              <w:right w:val="nil"/>
            </w:tcBorders>
            <w:noWrap/>
          </w:tcPr>
          <w:p w14:paraId="7314D14F"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9.11%</w:t>
            </w:r>
          </w:p>
        </w:tc>
        <w:tc>
          <w:tcPr>
            <w:tcW w:w="1192" w:type="dxa"/>
            <w:tcBorders>
              <w:top w:val="single" w:sz="4" w:space="0" w:color="D9D9D9"/>
              <w:left w:val="single" w:sz="4" w:space="0" w:color="D9D9D9"/>
              <w:bottom w:val="single" w:sz="4" w:space="0" w:color="D9D9D9"/>
              <w:right w:val="nil"/>
            </w:tcBorders>
            <w:shd w:val="clear" w:color="auto" w:fill="FFFFFF"/>
            <w:noWrap/>
          </w:tcPr>
          <w:p w14:paraId="00AEA902"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9.20%</w:t>
            </w:r>
          </w:p>
        </w:tc>
        <w:tc>
          <w:tcPr>
            <w:tcW w:w="1193" w:type="dxa"/>
            <w:tcBorders>
              <w:top w:val="single" w:sz="4" w:space="0" w:color="D9D9D9"/>
              <w:left w:val="single" w:sz="4" w:space="0" w:color="D9D9D9"/>
              <w:bottom w:val="single" w:sz="4" w:space="0" w:color="D9D9D9"/>
              <w:right w:val="nil"/>
            </w:tcBorders>
            <w:shd w:val="clear" w:color="auto" w:fill="FFFFFF"/>
            <w:noWrap/>
          </w:tcPr>
          <w:p w14:paraId="47965505"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8.94%</w:t>
            </w:r>
          </w:p>
        </w:tc>
      </w:tr>
      <w:tr w:rsidR="00353996" w:rsidRPr="00035F16" w14:paraId="5407390C" w14:textId="77777777" w:rsidTr="00EC527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0E0419C9"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Row House</w:t>
            </w:r>
          </w:p>
        </w:tc>
        <w:tc>
          <w:tcPr>
            <w:tcW w:w="1193" w:type="dxa"/>
            <w:tcBorders>
              <w:top w:val="single" w:sz="4" w:space="0" w:color="D9D9D9"/>
              <w:left w:val="single" w:sz="4" w:space="0" w:color="D9D9D9"/>
              <w:bottom w:val="single" w:sz="4" w:space="0" w:color="D9D9D9"/>
              <w:right w:val="single" w:sz="4" w:space="0" w:color="D9D9D9"/>
            </w:tcBorders>
            <w:noWrap/>
          </w:tcPr>
          <w:p w14:paraId="4E5DF62E"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1.50%</w:t>
            </w:r>
          </w:p>
        </w:tc>
        <w:tc>
          <w:tcPr>
            <w:tcW w:w="1192" w:type="dxa"/>
            <w:tcBorders>
              <w:top w:val="single" w:sz="4" w:space="0" w:color="D9D9D9"/>
              <w:left w:val="single" w:sz="4" w:space="0" w:color="D9D9D9"/>
              <w:bottom w:val="single" w:sz="4" w:space="0" w:color="D9D9D9"/>
              <w:right w:val="single" w:sz="4" w:space="0" w:color="D9D9D9"/>
            </w:tcBorders>
            <w:noWrap/>
          </w:tcPr>
          <w:p w14:paraId="05BA2B7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2.94%</w:t>
            </w:r>
          </w:p>
        </w:tc>
        <w:tc>
          <w:tcPr>
            <w:tcW w:w="1193" w:type="dxa"/>
            <w:tcBorders>
              <w:top w:val="single" w:sz="4" w:space="0" w:color="D9D9D9"/>
              <w:left w:val="single" w:sz="4" w:space="0" w:color="D9D9D9"/>
              <w:bottom w:val="single" w:sz="4" w:space="0" w:color="D9D9D9"/>
              <w:right w:val="single" w:sz="4" w:space="0" w:color="D9D9D9"/>
            </w:tcBorders>
            <w:noWrap/>
          </w:tcPr>
          <w:p w14:paraId="5222252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2.73%</w:t>
            </w:r>
          </w:p>
        </w:tc>
        <w:tc>
          <w:tcPr>
            <w:tcW w:w="1192" w:type="dxa"/>
            <w:tcBorders>
              <w:top w:val="single" w:sz="4" w:space="0" w:color="D9D9D9"/>
              <w:left w:val="single" w:sz="4" w:space="0" w:color="D9D9D9"/>
              <w:bottom w:val="single" w:sz="4" w:space="0" w:color="D9D9D9"/>
              <w:right w:val="single" w:sz="4" w:space="0" w:color="D9D9D9"/>
            </w:tcBorders>
            <w:noWrap/>
          </w:tcPr>
          <w:p w14:paraId="02F860D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5.14%</w:t>
            </w:r>
          </w:p>
        </w:tc>
        <w:tc>
          <w:tcPr>
            <w:tcW w:w="1193" w:type="dxa"/>
            <w:tcBorders>
              <w:top w:val="single" w:sz="4" w:space="0" w:color="D9D9D9"/>
              <w:left w:val="single" w:sz="4" w:space="0" w:color="D9D9D9"/>
              <w:bottom w:val="single" w:sz="4" w:space="0" w:color="D9D9D9"/>
              <w:right w:val="nil"/>
            </w:tcBorders>
            <w:noWrap/>
          </w:tcPr>
          <w:p w14:paraId="0DA74AB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6.20%</w:t>
            </w:r>
          </w:p>
        </w:tc>
        <w:tc>
          <w:tcPr>
            <w:tcW w:w="1192" w:type="dxa"/>
            <w:tcBorders>
              <w:top w:val="single" w:sz="4" w:space="0" w:color="D9D9D9"/>
              <w:left w:val="single" w:sz="4" w:space="0" w:color="D9D9D9"/>
              <w:bottom w:val="single" w:sz="4" w:space="0" w:color="D9D9D9"/>
              <w:right w:val="nil"/>
            </w:tcBorders>
            <w:shd w:val="clear" w:color="auto" w:fill="FFFFFF"/>
            <w:noWrap/>
          </w:tcPr>
          <w:p w14:paraId="65E9C33E"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6.94%</w:t>
            </w:r>
          </w:p>
        </w:tc>
        <w:tc>
          <w:tcPr>
            <w:tcW w:w="1193" w:type="dxa"/>
            <w:tcBorders>
              <w:top w:val="single" w:sz="4" w:space="0" w:color="D9D9D9"/>
              <w:left w:val="single" w:sz="4" w:space="0" w:color="D9D9D9"/>
              <w:bottom w:val="single" w:sz="4" w:space="0" w:color="D9D9D9"/>
              <w:right w:val="nil"/>
            </w:tcBorders>
            <w:shd w:val="clear" w:color="auto" w:fill="FFFFFF"/>
            <w:noWrap/>
          </w:tcPr>
          <w:p w14:paraId="53F408E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7.49%</w:t>
            </w:r>
          </w:p>
        </w:tc>
      </w:tr>
      <w:tr w:rsidR="00353996" w:rsidRPr="00035F16" w14:paraId="54D4992B"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3424701B"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Walk Up</w:t>
            </w:r>
          </w:p>
        </w:tc>
        <w:tc>
          <w:tcPr>
            <w:tcW w:w="1193" w:type="dxa"/>
            <w:tcBorders>
              <w:top w:val="single" w:sz="4" w:space="0" w:color="D9D9D9"/>
              <w:left w:val="single" w:sz="4" w:space="0" w:color="D9D9D9"/>
              <w:bottom w:val="single" w:sz="4" w:space="0" w:color="D9D9D9"/>
              <w:right w:val="single" w:sz="4" w:space="0" w:color="D9D9D9"/>
            </w:tcBorders>
            <w:noWrap/>
          </w:tcPr>
          <w:p w14:paraId="74ED811D"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16.75%</w:t>
            </w:r>
          </w:p>
        </w:tc>
        <w:tc>
          <w:tcPr>
            <w:tcW w:w="1192" w:type="dxa"/>
            <w:tcBorders>
              <w:top w:val="single" w:sz="4" w:space="0" w:color="D9D9D9"/>
              <w:left w:val="single" w:sz="4" w:space="0" w:color="D9D9D9"/>
              <w:bottom w:val="single" w:sz="4" w:space="0" w:color="D9D9D9"/>
              <w:right w:val="single" w:sz="4" w:space="0" w:color="D9D9D9"/>
            </w:tcBorders>
            <w:noWrap/>
          </w:tcPr>
          <w:p w14:paraId="567F3669"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16.65%</w:t>
            </w:r>
          </w:p>
        </w:tc>
        <w:tc>
          <w:tcPr>
            <w:tcW w:w="1193" w:type="dxa"/>
            <w:tcBorders>
              <w:top w:val="single" w:sz="4" w:space="0" w:color="D9D9D9"/>
              <w:left w:val="single" w:sz="4" w:space="0" w:color="D9D9D9"/>
              <w:bottom w:val="single" w:sz="4" w:space="0" w:color="D9D9D9"/>
              <w:right w:val="single" w:sz="4" w:space="0" w:color="D9D9D9"/>
            </w:tcBorders>
            <w:noWrap/>
          </w:tcPr>
          <w:p w14:paraId="6957442A"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17.70%</w:t>
            </w:r>
          </w:p>
        </w:tc>
        <w:tc>
          <w:tcPr>
            <w:tcW w:w="1192" w:type="dxa"/>
            <w:tcBorders>
              <w:top w:val="single" w:sz="4" w:space="0" w:color="D9D9D9"/>
              <w:left w:val="single" w:sz="4" w:space="0" w:color="D9D9D9"/>
              <w:bottom w:val="single" w:sz="4" w:space="0" w:color="D9D9D9"/>
              <w:right w:val="single" w:sz="4" w:space="0" w:color="D9D9D9"/>
            </w:tcBorders>
            <w:noWrap/>
          </w:tcPr>
          <w:p w14:paraId="53DF0049"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18.47%</w:t>
            </w:r>
          </w:p>
        </w:tc>
        <w:tc>
          <w:tcPr>
            <w:tcW w:w="1193" w:type="dxa"/>
            <w:tcBorders>
              <w:top w:val="single" w:sz="4" w:space="0" w:color="D9D9D9"/>
              <w:left w:val="single" w:sz="4" w:space="0" w:color="D9D9D9"/>
              <w:bottom w:val="single" w:sz="4" w:space="0" w:color="D9D9D9"/>
              <w:right w:val="nil"/>
            </w:tcBorders>
            <w:noWrap/>
          </w:tcPr>
          <w:p w14:paraId="2D1AC21E"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20.73%</w:t>
            </w:r>
          </w:p>
        </w:tc>
        <w:tc>
          <w:tcPr>
            <w:tcW w:w="1192" w:type="dxa"/>
            <w:tcBorders>
              <w:top w:val="single" w:sz="4" w:space="0" w:color="D9D9D9"/>
              <w:left w:val="single" w:sz="4" w:space="0" w:color="D9D9D9"/>
              <w:bottom w:val="single" w:sz="4" w:space="0" w:color="D9D9D9"/>
              <w:right w:val="nil"/>
            </w:tcBorders>
            <w:shd w:val="clear" w:color="auto" w:fill="FFFFFF"/>
            <w:noWrap/>
          </w:tcPr>
          <w:p w14:paraId="7695CB51"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21.86%</w:t>
            </w:r>
          </w:p>
        </w:tc>
        <w:tc>
          <w:tcPr>
            <w:tcW w:w="1193" w:type="dxa"/>
            <w:tcBorders>
              <w:top w:val="single" w:sz="4" w:space="0" w:color="D9D9D9"/>
              <w:left w:val="single" w:sz="4" w:space="0" w:color="D9D9D9"/>
              <w:bottom w:val="single" w:sz="4" w:space="0" w:color="D9D9D9"/>
              <w:right w:val="nil"/>
            </w:tcBorders>
            <w:shd w:val="clear" w:color="auto" w:fill="FFFFFF"/>
            <w:noWrap/>
          </w:tcPr>
          <w:p w14:paraId="6BA5DB22"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23.14%</w:t>
            </w:r>
          </w:p>
        </w:tc>
      </w:tr>
      <w:tr w:rsidR="00353996" w:rsidRPr="00035F16" w14:paraId="02BA5FB7" w14:textId="77777777" w:rsidTr="00EC527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7B04DD29"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Elevator</w:t>
            </w:r>
          </w:p>
        </w:tc>
        <w:tc>
          <w:tcPr>
            <w:tcW w:w="1193" w:type="dxa"/>
            <w:tcBorders>
              <w:top w:val="single" w:sz="4" w:space="0" w:color="D9D9D9"/>
              <w:left w:val="single" w:sz="4" w:space="0" w:color="D9D9D9"/>
              <w:bottom w:val="single" w:sz="4" w:space="0" w:color="D9D9D9"/>
              <w:right w:val="single" w:sz="4" w:space="0" w:color="D9D9D9"/>
            </w:tcBorders>
            <w:noWrap/>
          </w:tcPr>
          <w:p w14:paraId="04A5663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10.45%</w:t>
            </w:r>
          </w:p>
        </w:tc>
        <w:tc>
          <w:tcPr>
            <w:tcW w:w="1192" w:type="dxa"/>
            <w:tcBorders>
              <w:top w:val="single" w:sz="4" w:space="0" w:color="D9D9D9"/>
              <w:left w:val="single" w:sz="4" w:space="0" w:color="D9D9D9"/>
              <w:bottom w:val="single" w:sz="4" w:space="0" w:color="D9D9D9"/>
              <w:right w:val="single" w:sz="4" w:space="0" w:color="D9D9D9"/>
            </w:tcBorders>
            <w:noWrap/>
          </w:tcPr>
          <w:p w14:paraId="584FB47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10.45%</w:t>
            </w:r>
          </w:p>
        </w:tc>
        <w:tc>
          <w:tcPr>
            <w:tcW w:w="1193" w:type="dxa"/>
            <w:tcBorders>
              <w:top w:val="single" w:sz="4" w:space="0" w:color="D9D9D9"/>
              <w:left w:val="single" w:sz="4" w:space="0" w:color="D9D9D9"/>
              <w:bottom w:val="single" w:sz="4" w:space="0" w:color="D9D9D9"/>
              <w:right w:val="single" w:sz="4" w:space="0" w:color="D9D9D9"/>
            </w:tcBorders>
            <w:noWrap/>
          </w:tcPr>
          <w:p w14:paraId="04CBC4BA"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10.45%</w:t>
            </w:r>
          </w:p>
        </w:tc>
        <w:tc>
          <w:tcPr>
            <w:tcW w:w="1192" w:type="dxa"/>
            <w:tcBorders>
              <w:top w:val="single" w:sz="4" w:space="0" w:color="D9D9D9"/>
              <w:left w:val="single" w:sz="4" w:space="0" w:color="D9D9D9"/>
              <w:bottom w:val="single" w:sz="4" w:space="0" w:color="D9D9D9"/>
              <w:right w:val="single" w:sz="4" w:space="0" w:color="D9D9D9"/>
            </w:tcBorders>
            <w:noWrap/>
          </w:tcPr>
          <w:p w14:paraId="1846D89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10.45%</w:t>
            </w:r>
          </w:p>
        </w:tc>
        <w:tc>
          <w:tcPr>
            <w:tcW w:w="1193" w:type="dxa"/>
            <w:tcBorders>
              <w:top w:val="single" w:sz="4" w:space="0" w:color="D9D9D9"/>
              <w:left w:val="single" w:sz="4" w:space="0" w:color="D9D9D9"/>
              <w:bottom w:val="single" w:sz="4" w:space="0" w:color="D9D9D9"/>
              <w:right w:val="nil"/>
            </w:tcBorders>
            <w:noWrap/>
          </w:tcPr>
          <w:p w14:paraId="70EF8AC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10.44%</w:t>
            </w:r>
          </w:p>
        </w:tc>
        <w:tc>
          <w:tcPr>
            <w:tcW w:w="1192" w:type="dxa"/>
            <w:tcBorders>
              <w:top w:val="single" w:sz="4" w:space="0" w:color="D9D9D9"/>
              <w:left w:val="single" w:sz="4" w:space="0" w:color="D9D9D9"/>
              <w:bottom w:val="single" w:sz="4" w:space="0" w:color="D9D9D9"/>
              <w:right w:val="nil"/>
            </w:tcBorders>
            <w:shd w:val="clear" w:color="auto" w:fill="FFFFFF"/>
            <w:noWrap/>
          </w:tcPr>
          <w:p w14:paraId="30AB7BB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10.45%</w:t>
            </w:r>
          </w:p>
        </w:tc>
        <w:tc>
          <w:tcPr>
            <w:tcW w:w="1193" w:type="dxa"/>
            <w:tcBorders>
              <w:top w:val="single" w:sz="4" w:space="0" w:color="D9D9D9"/>
              <w:left w:val="single" w:sz="4" w:space="0" w:color="D9D9D9"/>
              <w:bottom w:val="single" w:sz="4" w:space="0" w:color="D9D9D9"/>
              <w:right w:val="nil"/>
            </w:tcBorders>
            <w:shd w:val="clear" w:color="auto" w:fill="FFFFFF"/>
            <w:noWrap/>
          </w:tcPr>
          <w:p w14:paraId="3DB5CE5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10.45%</w:t>
            </w:r>
          </w:p>
        </w:tc>
      </w:tr>
    </w:tbl>
    <w:p w14:paraId="42F69D1D" w14:textId="77777777" w:rsidR="00EC5276" w:rsidRPr="00035F16" w:rsidRDefault="00EC5276" w:rsidP="00EC5276">
      <w:pPr>
        <w:rPr>
          <w:rFonts w:ascii="Century Gothic" w:eastAsia="Times New Roman" w:hAnsi="Century Gothic"/>
          <w:szCs w:val="22"/>
          <w:lang w:eastAsia="en-US"/>
        </w:rPr>
      </w:pPr>
    </w:p>
    <w:tbl>
      <w:tblPr>
        <w:tblStyle w:val="ListTable4-Accent2111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92"/>
        <w:gridCol w:w="1193"/>
        <w:gridCol w:w="1192"/>
        <w:gridCol w:w="1193"/>
        <w:gridCol w:w="1192"/>
        <w:gridCol w:w="1193"/>
        <w:gridCol w:w="1192"/>
        <w:gridCol w:w="1193"/>
      </w:tblGrid>
      <w:tr w:rsidR="004B46D2" w:rsidRPr="00035F16" w14:paraId="442033C5" w14:textId="77777777" w:rsidTr="00EC527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0" w:type="dxa"/>
            <w:gridSpan w:val="8"/>
            <w:tcBorders>
              <w:top w:val="nil"/>
              <w:left w:val="single" w:sz="4" w:space="0" w:color="D9D9D9"/>
              <w:bottom w:val="single" w:sz="24" w:space="0" w:color="B5333C"/>
              <w:right w:val="single" w:sz="4" w:space="0" w:color="D9D9D9"/>
            </w:tcBorders>
            <w:shd w:val="clear" w:color="auto" w:fill="808080"/>
            <w:noWrap/>
            <w:vAlign w:val="center"/>
          </w:tcPr>
          <w:p w14:paraId="09F62CC5" w14:textId="49D40C58" w:rsidR="00EC5276" w:rsidRPr="00035F16" w:rsidRDefault="00EC5276" w:rsidP="00656082">
            <w:pPr>
              <w:jc w:val="center"/>
              <w:rPr>
                <w:rFonts w:ascii="Century Gothic" w:hAnsi="Century Gothic"/>
                <w:b w:val="0"/>
                <w:color w:val="auto"/>
                <w:szCs w:val="22"/>
              </w:rPr>
            </w:pPr>
            <w:r w:rsidRPr="00035F16">
              <w:rPr>
                <w:rFonts w:ascii="Century Gothic" w:hAnsi="Century Gothic"/>
                <w:color w:val="auto"/>
                <w:szCs w:val="22"/>
              </w:rPr>
              <w:t>R</w:t>
            </w:r>
            <w:r w:rsidR="00656082" w:rsidRPr="00035F16">
              <w:rPr>
                <w:rFonts w:ascii="Century Gothic" w:hAnsi="Century Gothic"/>
                <w:color w:val="auto"/>
                <w:szCs w:val="22"/>
              </w:rPr>
              <w:t>E</w:t>
            </w:r>
            <w:r w:rsidRPr="00035F16">
              <w:rPr>
                <w:rFonts w:ascii="Century Gothic" w:hAnsi="Century Gothic"/>
                <w:color w:val="auto"/>
                <w:szCs w:val="22"/>
              </w:rPr>
              <w:t xml:space="preserve">CENT CHANGE COMPARISON HUD TO </w:t>
            </w:r>
            <w:r w:rsidR="00656082" w:rsidRPr="00035F16">
              <w:rPr>
                <w:rFonts w:ascii="Century Gothic" w:hAnsi="Century Gothic"/>
                <w:color w:val="auto"/>
                <w:szCs w:val="22"/>
              </w:rPr>
              <w:t>ECC/HANH</w:t>
            </w:r>
            <w:r w:rsidRPr="00035F16">
              <w:rPr>
                <w:rFonts w:ascii="Century Gothic" w:hAnsi="Century Gothic"/>
                <w:color w:val="auto"/>
                <w:szCs w:val="22"/>
              </w:rPr>
              <w:t xml:space="preserve"> TDC</w:t>
            </w:r>
          </w:p>
        </w:tc>
      </w:tr>
      <w:tr w:rsidR="0032063E" w:rsidRPr="00035F16" w14:paraId="0850ADAE" w14:textId="77777777" w:rsidTr="00EC5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226EDADE" w14:textId="77777777" w:rsidR="00EC5276" w:rsidRPr="00035F16" w:rsidRDefault="00EC5276" w:rsidP="00EC5276">
            <w:pPr>
              <w:jc w:val="center"/>
              <w:rPr>
                <w:rFonts w:ascii="Century Gothic" w:hAnsi="Century Gothic"/>
                <w:szCs w:val="22"/>
              </w:rPr>
            </w:pP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11CF495F"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0</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583E895E"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1</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7228BC6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2</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1FD0B2C8"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3</w:t>
            </w: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vAlign w:val="center"/>
          </w:tcPr>
          <w:p w14:paraId="246763C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4</w:t>
            </w:r>
          </w:p>
        </w:tc>
        <w:tc>
          <w:tcPr>
            <w:tcW w:w="1192" w:type="dxa"/>
            <w:tcBorders>
              <w:top w:val="single" w:sz="24" w:space="0" w:color="B5333C"/>
              <w:left w:val="single" w:sz="4" w:space="0" w:color="D9D9D9"/>
              <w:bottom w:val="single" w:sz="4" w:space="0" w:color="D9D9D9"/>
              <w:right w:val="single" w:sz="4" w:space="0" w:color="D9D9D9"/>
            </w:tcBorders>
            <w:shd w:val="clear" w:color="auto" w:fill="BFBFBF"/>
            <w:noWrap/>
          </w:tcPr>
          <w:p w14:paraId="2D6B507D"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08FB8FA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5</w:t>
            </w:r>
          </w:p>
          <w:p w14:paraId="35C37F2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tc>
        <w:tc>
          <w:tcPr>
            <w:tcW w:w="1193" w:type="dxa"/>
            <w:tcBorders>
              <w:top w:val="single" w:sz="24" w:space="0" w:color="B5333C"/>
              <w:left w:val="single" w:sz="4" w:space="0" w:color="D9D9D9"/>
              <w:bottom w:val="single" w:sz="4" w:space="0" w:color="D9D9D9"/>
              <w:right w:val="single" w:sz="4" w:space="0" w:color="D9D9D9"/>
            </w:tcBorders>
            <w:shd w:val="clear" w:color="auto" w:fill="BFBFBF"/>
            <w:noWrap/>
          </w:tcPr>
          <w:p w14:paraId="27F26B9D" w14:textId="77777777" w:rsidR="00EC5276" w:rsidRPr="00035F16" w:rsidRDefault="00EC5276" w:rsidP="00EC5276">
            <w:pP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p>
          <w:p w14:paraId="1A173B7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Cs w:val="22"/>
              </w:rPr>
            </w:pPr>
            <w:r w:rsidRPr="00035F16">
              <w:rPr>
                <w:rFonts w:ascii="Century Gothic" w:hAnsi="Century Gothic"/>
                <w:b/>
                <w:szCs w:val="22"/>
              </w:rPr>
              <w:t>6</w:t>
            </w:r>
          </w:p>
        </w:tc>
      </w:tr>
      <w:tr w:rsidR="00353996" w:rsidRPr="00035F16" w14:paraId="143F043E"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1A23AC34"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Detached</w:t>
            </w:r>
          </w:p>
        </w:tc>
        <w:tc>
          <w:tcPr>
            <w:tcW w:w="1193" w:type="dxa"/>
            <w:tcBorders>
              <w:top w:val="single" w:sz="4" w:space="0" w:color="D9D9D9"/>
              <w:left w:val="single" w:sz="4" w:space="0" w:color="D9D9D9"/>
              <w:bottom w:val="single" w:sz="4" w:space="0" w:color="D9D9D9"/>
              <w:right w:val="single" w:sz="4" w:space="0" w:color="D9D9D9"/>
            </w:tcBorders>
            <w:noWrap/>
          </w:tcPr>
          <w:p w14:paraId="6591FF03"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0.76%</w:t>
            </w:r>
          </w:p>
        </w:tc>
        <w:tc>
          <w:tcPr>
            <w:tcW w:w="1192" w:type="dxa"/>
            <w:tcBorders>
              <w:top w:val="single" w:sz="4" w:space="0" w:color="D9D9D9"/>
              <w:left w:val="single" w:sz="4" w:space="0" w:color="D9D9D9"/>
              <w:bottom w:val="single" w:sz="4" w:space="0" w:color="D9D9D9"/>
              <w:right w:val="single" w:sz="4" w:space="0" w:color="D9D9D9"/>
            </w:tcBorders>
            <w:noWrap/>
          </w:tcPr>
          <w:p w14:paraId="2CF0F1CE"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0.74%</w:t>
            </w:r>
          </w:p>
        </w:tc>
        <w:tc>
          <w:tcPr>
            <w:tcW w:w="1193" w:type="dxa"/>
            <w:tcBorders>
              <w:top w:val="single" w:sz="4" w:space="0" w:color="D9D9D9"/>
              <w:left w:val="single" w:sz="4" w:space="0" w:color="D9D9D9"/>
              <w:bottom w:val="single" w:sz="4" w:space="0" w:color="D9D9D9"/>
              <w:right w:val="single" w:sz="4" w:space="0" w:color="D9D9D9"/>
            </w:tcBorders>
            <w:noWrap/>
          </w:tcPr>
          <w:p w14:paraId="32792BE7"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0.73%</w:t>
            </w:r>
          </w:p>
        </w:tc>
        <w:tc>
          <w:tcPr>
            <w:tcW w:w="1192" w:type="dxa"/>
            <w:tcBorders>
              <w:top w:val="single" w:sz="4" w:space="0" w:color="D9D9D9"/>
              <w:left w:val="single" w:sz="4" w:space="0" w:color="D9D9D9"/>
              <w:bottom w:val="single" w:sz="4" w:space="0" w:color="D9D9D9"/>
              <w:right w:val="single" w:sz="4" w:space="0" w:color="D9D9D9"/>
            </w:tcBorders>
            <w:noWrap/>
          </w:tcPr>
          <w:p w14:paraId="6D95FC01"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0.64%</w:t>
            </w:r>
          </w:p>
        </w:tc>
        <w:tc>
          <w:tcPr>
            <w:tcW w:w="1193" w:type="dxa"/>
            <w:tcBorders>
              <w:top w:val="single" w:sz="4" w:space="0" w:color="D9D9D9"/>
              <w:left w:val="single" w:sz="4" w:space="0" w:color="D9D9D9"/>
              <w:bottom w:val="single" w:sz="4" w:space="0" w:color="D9D9D9"/>
              <w:right w:val="nil"/>
            </w:tcBorders>
            <w:noWrap/>
          </w:tcPr>
          <w:p w14:paraId="2DF1B052"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0.72%</w:t>
            </w:r>
          </w:p>
        </w:tc>
        <w:tc>
          <w:tcPr>
            <w:tcW w:w="1192" w:type="dxa"/>
            <w:tcBorders>
              <w:top w:val="single" w:sz="4" w:space="0" w:color="D9D9D9"/>
              <w:left w:val="single" w:sz="4" w:space="0" w:color="D9D9D9"/>
              <w:bottom w:val="single" w:sz="4" w:space="0" w:color="D9D9D9"/>
              <w:right w:val="nil"/>
            </w:tcBorders>
            <w:shd w:val="clear" w:color="auto" w:fill="FFFFFF"/>
            <w:noWrap/>
          </w:tcPr>
          <w:p w14:paraId="2C05FA4E"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0.72%</w:t>
            </w:r>
          </w:p>
        </w:tc>
        <w:tc>
          <w:tcPr>
            <w:tcW w:w="1193" w:type="dxa"/>
            <w:tcBorders>
              <w:top w:val="single" w:sz="4" w:space="0" w:color="D9D9D9"/>
              <w:left w:val="single" w:sz="4" w:space="0" w:color="D9D9D9"/>
              <w:bottom w:val="single" w:sz="4" w:space="0" w:color="D9D9D9"/>
              <w:right w:val="nil"/>
            </w:tcBorders>
            <w:shd w:val="clear" w:color="auto" w:fill="FFFFFF"/>
            <w:noWrap/>
          </w:tcPr>
          <w:p w14:paraId="7C6044DE"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0.71%</w:t>
            </w:r>
          </w:p>
        </w:tc>
      </w:tr>
      <w:tr w:rsidR="00415D33" w:rsidRPr="00035F16" w14:paraId="365B952F" w14:textId="77777777" w:rsidTr="00EC527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50928149"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Row House</w:t>
            </w:r>
          </w:p>
        </w:tc>
        <w:tc>
          <w:tcPr>
            <w:tcW w:w="1193" w:type="dxa"/>
            <w:tcBorders>
              <w:top w:val="single" w:sz="4" w:space="0" w:color="D9D9D9"/>
              <w:left w:val="single" w:sz="4" w:space="0" w:color="D9D9D9"/>
              <w:bottom w:val="single" w:sz="4" w:space="0" w:color="D9D9D9"/>
              <w:right w:val="single" w:sz="4" w:space="0" w:color="D9D9D9"/>
            </w:tcBorders>
            <w:noWrap/>
          </w:tcPr>
          <w:p w14:paraId="1F76A14B"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0.66%</w:t>
            </w:r>
          </w:p>
        </w:tc>
        <w:tc>
          <w:tcPr>
            <w:tcW w:w="1192" w:type="dxa"/>
            <w:tcBorders>
              <w:top w:val="single" w:sz="4" w:space="0" w:color="D9D9D9"/>
              <w:left w:val="single" w:sz="4" w:space="0" w:color="D9D9D9"/>
              <w:bottom w:val="single" w:sz="4" w:space="0" w:color="D9D9D9"/>
              <w:right w:val="single" w:sz="4" w:space="0" w:color="D9D9D9"/>
            </w:tcBorders>
            <w:noWrap/>
          </w:tcPr>
          <w:p w14:paraId="25167092"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0.67%</w:t>
            </w:r>
          </w:p>
        </w:tc>
        <w:tc>
          <w:tcPr>
            <w:tcW w:w="1193" w:type="dxa"/>
            <w:tcBorders>
              <w:top w:val="single" w:sz="4" w:space="0" w:color="D9D9D9"/>
              <w:left w:val="single" w:sz="4" w:space="0" w:color="D9D9D9"/>
              <w:bottom w:val="single" w:sz="4" w:space="0" w:color="D9D9D9"/>
              <w:right w:val="single" w:sz="4" w:space="0" w:color="D9D9D9"/>
            </w:tcBorders>
            <w:noWrap/>
          </w:tcPr>
          <w:p w14:paraId="68E95EF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0.67%</w:t>
            </w:r>
          </w:p>
        </w:tc>
        <w:tc>
          <w:tcPr>
            <w:tcW w:w="1192" w:type="dxa"/>
            <w:tcBorders>
              <w:top w:val="single" w:sz="4" w:space="0" w:color="D9D9D9"/>
              <w:left w:val="single" w:sz="4" w:space="0" w:color="D9D9D9"/>
              <w:bottom w:val="single" w:sz="4" w:space="0" w:color="D9D9D9"/>
              <w:right w:val="single" w:sz="4" w:space="0" w:color="D9D9D9"/>
            </w:tcBorders>
            <w:noWrap/>
          </w:tcPr>
          <w:p w14:paraId="5BECFFF9"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0.73%</w:t>
            </w:r>
          </w:p>
        </w:tc>
        <w:tc>
          <w:tcPr>
            <w:tcW w:w="1193" w:type="dxa"/>
            <w:tcBorders>
              <w:top w:val="single" w:sz="4" w:space="0" w:color="D9D9D9"/>
              <w:left w:val="single" w:sz="4" w:space="0" w:color="D9D9D9"/>
              <w:bottom w:val="single" w:sz="4" w:space="0" w:color="D9D9D9"/>
              <w:right w:val="nil"/>
            </w:tcBorders>
            <w:noWrap/>
          </w:tcPr>
          <w:p w14:paraId="2E24CFEC"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0.69%</w:t>
            </w:r>
          </w:p>
        </w:tc>
        <w:tc>
          <w:tcPr>
            <w:tcW w:w="1192" w:type="dxa"/>
            <w:tcBorders>
              <w:top w:val="single" w:sz="4" w:space="0" w:color="D9D9D9"/>
              <w:left w:val="single" w:sz="4" w:space="0" w:color="D9D9D9"/>
              <w:bottom w:val="single" w:sz="4" w:space="0" w:color="D9D9D9"/>
              <w:right w:val="nil"/>
            </w:tcBorders>
            <w:shd w:val="clear" w:color="auto" w:fill="FFFFFF"/>
            <w:noWrap/>
          </w:tcPr>
          <w:p w14:paraId="554949C1"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0.70%</w:t>
            </w:r>
          </w:p>
        </w:tc>
        <w:tc>
          <w:tcPr>
            <w:tcW w:w="1193" w:type="dxa"/>
            <w:tcBorders>
              <w:top w:val="single" w:sz="4" w:space="0" w:color="D9D9D9"/>
              <w:left w:val="single" w:sz="4" w:space="0" w:color="D9D9D9"/>
              <w:bottom w:val="single" w:sz="4" w:space="0" w:color="D9D9D9"/>
              <w:right w:val="nil"/>
            </w:tcBorders>
            <w:shd w:val="clear" w:color="auto" w:fill="FFFFFF"/>
            <w:noWrap/>
          </w:tcPr>
          <w:p w14:paraId="779F53B7"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0.70%</w:t>
            </w:r>
          </w:p>
        </w:tc>
      </w:tr>
      <w:tr w:rsidR="00415D33" w:rsidRPr="00035F16" w14:paraId="06FF989D" w14:textId="77777777" w:rsidTr="00EC5276">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7276EFBB"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Walk Up</w:t>
            </w:r>
          </w:p>
        </w:tc>
        <w:tc>
          <w:tcPr>
            <w:tcW w:w="1193" w:type="dxa"/>
            <w:tcBorders>
              <w:top w:val="single" w:sz="4" w:space="0" w:color="D9D9D9"/>
              <w:left w:val="single" w:sz="4" w:space="0" w:color="D9D9D9"/>
              <w:bottom w:val="single" w:sz="4" w:space="0" w:color="D9D9D9"/>
              <w:right w:val="single" w:sz="4" w:space="0" w:color="D9D9D9"/>
            </w:tcBorders>
            <w:noWrap/>
          </w:tcPr>
          <w:p w14:paraId="57D7D9F6"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0.76%</w:t>
            </w:r>
          </w:p>
        </w:tc>
        <w:tc>
          <w:tcPr>
            <w:tcW w:w="1192" w:type="dxa"/>
            <w:tcBorders>
              <w:top w:val="single" w:sz="4" w:space="0" w:color="D9D9D9"/>
              <w:left w:val="single" w:sz="4" w:space="0" w:color="D9D9D9"/>
              <w:bottom w:val="single" w:sz="4" w:space="0" w:color="D9D9D9"/>
              <w:right w:val="single" w:sz="4" w:space="0" w:color="D9D9D9"/>
            </w:tcBorders>
            <w:noWrap/>
          </w:tcPr>
          <w:p w14:paraId="0ED1841E"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0.76%</w:t>
            </w:r>
          </w:p>
        </w:tc>
        <w:tc>
          <w:tcPr>
            <w:tcW w:w="1193" w:type="dxa"/>
            <w:tcBorders>
              <w:top w:val="single" w:sz="4" w:space="0" w:color="D9D9D9"/>
              <w:left w:val="single" w:sz="4" w:space="0" w:color="D9D9D9"/>
              <w:bottom w:val="single" w:sz="4" w:space="0" w:color="D9D9D9"/>
              <w:right w:val="single" w:sz="4" w:space="0" w:color="D9D9D9"/>
            </w:tcBorders>
            <w:noWrap/>
          </w:tcPr>
          <w:p w14:paraId="16C62CE5"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0.77%</w:t>
            </w:r>
          </w:p>
        </w:tc>
        <w:tc>
          <w:tcPr>
            <w:tcW w:w="1192" w:type="dxa"/>
            <w:tcBorders>
              <w:top w:val="single" w:sz="4" w:space="0" w:color="D9D9D9"/>
              <w:left w:val="single" w:sz="4" w:space="0" w:color="D9D9D9"/>
              <w:bottom w:val="single" w:sz="4" w:space="0" w:color="D9D9D9"/>
              <w:right w:val="single" w:sz="4" w:space="0" w:color="D9D9D9"/>
            </w:tcBorders>
            <w:noWrap/>
          </w:tcPr>
          <w:p w14:paraId="4BB5174C"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0.79%</w:t>
            </w:r>
          </w:p>
        </w:tc>
        <w:tc>
          <w:tcPr>
            <w:tcW w:w="1193" w:type="dxa"/>
            <w:tcBorders>
              <w:top w:val="single" w:sz="4" w:space="0" w:color="D9D9D9"/>
              <w:left w:val="single" w:sz="4" w:space="0" w:color="D9D9D9"/>
              <w:bottom w:val="single" w:sz="4" w:space="0" w:color="D9D9D9"/>
              <w:right w:val="nil"/>
            </w:tcBorders>
            <w:noWrap/>
          </w:tcPr>
          <w:p w14:paraId="7D4B8ABC"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0.79%</w:t>
            </w:r>
          </w:p>
        </w:tc>
        <w:tc>
          <w:tcPr>
            <w:tcW w:w="1192" w:type="dxa"/>
            <w:tcBorders>
              <w:top w:val="single" w:sz="4" w:space="0" w:color="D9D9D9"/>
              <w:left w:val="single" w:sz="4" w:space="0" w:color="D9D9D9"/>
              <w:bottom w:val="single" w:sz="4" w:space="0" w:color="D9D9D9"/>
              <w:right w:val="nil"/>
            </w:tcBorders>
            <w:shd w:val="clear" w:color="auto" w:fill="FFFFFF"/>
            <w:noWrap/>
          </w:tcPr>
          <w:p w14:paraId="56163D1D"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0.80%</w:t>
            </w:r>
          </w:p>
        </w:tc>
        <w:tc>
          <w:tcPr>
            <w:tcW w:w="1193" w:type="dxa"/>
            <w:tcBorders>
              <w:top w:val="single" w:sz="4" w:space="0" w:color="D9D9D9"/>
              <w:left w:val="single" w:sz="4" w:space="0" w:color="D9D9D9"/>
              <w:bottom w:val="single" w:sz="4" w:space="0" w:color="D9D9D9"/>
              <w:right w:val="nil"/>
            </w:tcBorders>
            <w:shd w:val="clear" w:color="auto" w:fill="FFFFFF"/>
            <w:noWrap/>
          </w:tcPr>
          <w:p w14:paraId="2E337440" w14:textId="77777777" w:rsidR="00EC5276" w:rsidRPr="00035F16" w:rsidRDefault="00EC5276" w:rsidP="00EC527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0.80%</w:t>
            </w:r>
          </w:p>
        </w:tc>
      </w:tr>
      <w:tr w:rsidR="00415D33" w:rsidRPr="00035F16" w14:paraId="11256260" w14:textId="77777777" w:rsidTr="00EC527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left w:val="nil"/>
              <w:bottom w:val="single" w:sz="4" w:space="0" w:color="D9D9D9"/>
              <w:right w:val="single" w:sz="4" w:space="0" w:color="D9D9D9"/>
            </w:tcBorders>
            <w:noWrap/>
            <w:vAlign w:val="center"/>
          </w:tcPr>
          <w:p w14:paraId="168E7EF4" w14:textId="77777777" w:rsidR="00EC5276" w:rsidRPr="00035F16" w:rsidRDefault="00EC5276" w:rsidP="00EC5276">
            <w:pPr>
              <w:jc w:val="center"/>
              <w:rPr>
                <w:rFonts w:ascii="Century Gothic" w:hAnsi="Century Gothic"/>
                <w:szCs w:val="22"/>
              </w:rPr>
            </w:pPr>
            <w:r w:rsidRPr="00035F16">
              <w:rPr>
                <w:rFonts w:ascii="Century Gothic" w:hAnsi="Century Gothic"/>
                <w:szCs w:val="22"/>
              </w:rPr>
              <w:t>Elevator</w:t>
            </w:r>
          </w:p>
        </w:tc>
        <w:tc>
          <w:tcPr>
            <w:tcW w:w="1193" w:type="dxa"/>
            <w:tcBorders>
              <w:top w:val="single" w:sz="4" w:space="0" w:color="D9D9D9"/>
              <w:left w:val="single" w:sz="4" w:space="0" w:color="D9D9D9"/>
              <w:bottom w:val="single" w:sz="4" w:space="0" w:color="D9D9D9"/>
              <w:right w:val="single" w:sz="4" w:space="0" w:color="D9D9D9"/>
            </w:tcBorders>
            <w:noWrap/>
          </w:tcPr>
          <w:p w14:paraId="73A907CA"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-0.20%</w:t>
            </w:r>
          </w:p>
        </w:tc>
        <w:tc>
          <w:tcPr>
            <w:tcW w:w="1192" w:type="dxa"/>
            <w:tcBorders>
              <w:top w:val="single" w:sz="4" w:space="0" w:color="D9D9D9"/>
              <w:left w:val="single" w:sz="4" w:space="0" w:color="D9D9D9"/>
              <w:bottom w:val="single" w:sz="4" w:space="0" w:color="D9D9D9"/>
              <w:right w:val="single" w:sz="4" w:space="0" w:color="D9D9D9"/>
            </w:tcBorders>
            <w:noWrap/>
          </w:tcPr>
          <w:p w14:paraId="369CD69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Cs w:val="22"/>
              </w:rPr>
            </w:pPr>
            <w:r w:rsidRPr="00035F16">
              <w:rPr>
                <w:rFonts w:ascii="Century Gothic" w:hAnsi="Century Gothic"/>
                <w:szCs w:val="22"/>
                <w:lang w:eastAsia="en-US"/>
              </w:rPr>
              <w:t>-0.20%</w:t>
            </w:r>
          </w:p>
        </w:tc>
        <w:tc>
          <w:tcPr>
            <w:tcW w:w="1193" w:type="dxa"/>
            <w:tcBorders>
              <w:top w:val="single" w:sz="4" w:space="0" w:color="D9D9D9"/>
              <w:left w:val="single" w:sz="4" w:space="0" w:color="D9D9D9"/>
              <w:bottom w:val="single" w:sz="4" w:space="0" w:color="D9D9D9"/>
              <w:right w:val="single" w:sz="4" w:space="0" w:color="D9D9D9"/>
            </w:tcBorders>
            <w:noWrap/>
          </w:tcPr>
          <w:p w14:paraId="39E0D1E5"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-0.20%</w:t>
            </w:r>
          </w:p>
        </w:tc>
        <w:tc>
          <w:tcPr>
            <w:tcW w:w="1192" w:type="dxa"/>
            <w:tcBorders>
              <w:top w:val="single" w:sz="4" w:space="0" w:color="D9D9D9"/>
              <w:left w:val="single" w:sz="4" w:space="0" w:color="D9D9D9"/>
              <w:bottom w:val="single" w:sz="4" w:space="0" w:color="D9D9D9"/>
              <w:right w:val="single" w:sz="4" w:space="0" w:color="D9D9D9"/>
            </w:tcBorders>
            <w:noWrap/>
          </w:tcPr>
          <w:p w14:paraId="00E107C6"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-0.20%</w:t>
            </w:r>
          </w:p>
        </w:tc>
        <w:tc>
          <w:tcPr>
            <w:tcW w:w="1193" w:type="dxa"/>
            <w:tcBorders>
              <w:top w:val="single" w:sz="4" w:space="0" w:color="D9D9D9"/>
              <w:left w:val="single" w:sz="4" w:space="0" w:color="D9D9D9"/>
              <w:bottom w:val="single" w:sz="4" w:space="0" w:color="D9D9D9"/>
              <w:right w:val="nil"/>
            </w:tcBorders>
            <w:noWrap/>
          </w:tcPr>
          <w:p w14:paraId="53F3F8A4"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-0.20%</w:t>
            </w:r>
          </w:p>
        </w:tc>
        <w:tc>
          <w:tcPr>
            <w:tcW w:w="1192" w:type="dxa"/>
            <w:tcBorders>
              <w:top w:val="single" w:sz="4" w:space="0" w:color="D9D9D9"/>
              <w:left w:val="single" w:sz="4" w:space="0" w:color="D9D9D9"/>
              <w:bottom w:val="single" w:sz="4" w:space="0" w:color="D9D9D9"/>
              <w:right w:val="nil"/>
            </w:tcBorders>
            <w:shd w:val="clear" w:color="auto" w:fill="FFFFFF"/>
            <w:noWrap/>
          </w:tcPr>
          <w:p w14:paraId="519690E2"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-0.20%</w:t>
            </w:r>
          </w:p>
        </w:tc>
        <w:tc>
          <w:tcPr>
            <w:tcW w:w="1193" w:type="dxa"/>
            <w:tcBorders>
              <w:top w:val="single" w:sz="4" w:space="0" w:color="D9D9D9"/>
              <w:left w:val="single" w:sz="4" w:space="0" w:color="D9D9D9"/>
              <w:bottom w:val="single" w:sz="4" w:space="0" w:color="D9D9D9"/>
              <w:right w:val="nil"/>
            </w:tcBorders>
            <w:shd w:val="clear" w:color="auto" w:fill="FFFFFF"/>
            <w:noWrap/>
          </w:tcPr>
          <w:p w14:paraId="18410339" w14:textId="77777777" w:rsidR="00EC5276" w:rsidRPr="00035F16" w:rsidRDefault="00EC5276" w:rsidP="00EC52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Cs w:val="22"/>
              </w:rPr>
            </w:pPr>
            <w:r w:rsidRPr="00035F16">
              <w:rPr>
                <w:rFonts w:ascii="Century Gothic" w:hAnsi="Century Gothic"/>
                <w:szCs w:val="22"/>
                <w:lang w:eastAsia="en-US"/>
              </w:rPr>
              <w:t>-0.20%</w:t>
            </w:r>
          </w:p>
        </w:tc>
      </w:tr>
    </w:tbl>
    <w:p w14:paraId="623BA6FC" w14:textId="77777777" w:rsidR="00EC5276" w:rsidRPr="00035F16" w:rsidRDefault="00EC5276" w:rsidP="00EC5276">
      <w:pPr>
        <w:rPr>
          <w:rFonts w:ascii="Century Gothic" w:eastAsia="Times New Roman" w:hAnsi="Century Gothic"/>
          <w:szCs w:val="22"/>
          <w:lang w:eastAsia="en-US"/>
        </w:rPr>
      </w:pPr>
    </w:p>
    <w:tbl>
      <w:tblPr>
        <w:tblStyle w:val="ListTable4-Accent211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193"/>
        <w:gridCol w:w="1192"/>
        <w:gridCol w:w="1193"/>
        <w:gridCol w:w="1192"/>
        <w:gridCol w:w="1193"/>
        <w:gridCol w:w="1192"/>
        <w:gridCol w:w="1193"/>
      </w:tblGrid>
      <w:tr w:rsidR="004B46D2" w:rsidRPr="00035F16" w14:paraId="4DC2214A" w14:textId="77777777" w:rsidTr="4566E4F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0" w:type="dxa"/>
            <w:gridSpan w:val="8"/>
            <w:tcBorders>
              <w:top w:val="nil"/>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vAlign w:val="center"/>
          </w:tcPr>
          <w:p w14:paraId="6DE6A0A6" w14:textId="3C6A5494" w:rsidR="4566E4F4" w:rsidRPr="00035F16" w:rsidRDefault="4566E4F4" w:rsidP="4566E4F4">
            <w:pPr>
              <w:jc w:val="center"/>
              <w:rPr>
                <w:rFonts w:ascii="Century Gothic" w:hAnsi="Century Gothic"/>
              </w:rPr>
            </w:pPr>
            <w:r w:rsidRPr="00035F16">
              <w:rPr>
                <w:rFonts w:ascii="Century Gothic" w:hAnsi="Century Gothic"/>
                <w:color w:val="auto"/>
              </w:rPr>
              <w:t>ECC/HANH HCC 2022</w:t>
            </w:r>
          </w:p>
        </w:tc>
      </w:tr>
      <w:tr w:rsidR="0032063E" w:rsidRPr="00035F16" w14:paraId="35C212C9" w14:textId="77777777" w:rsidTr="4566E4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329C1604" w14:textId="77777777" w:rsidR="4566E4F4" w:rsidRPr="00035F16" w:rsidRDefault="4566E4F4" w:rsidP="4566E4F4">
            <w:pPr>
              <w:jc w:val="center"/>
              <w:rPr>
                <w:rFonts w:ascii="Century Gothic" w:hAnsi="Century Gothic"/>
              </w:rPr>
            </w:pPr>
          </w:p>
        </w:tc>
        <w:tc>
          <w:tcPr>
            <w:tcW w:w="119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727E027"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0</w:t>
            </w:r>
          </w:p>
        </w:tc>
        <w:tc>
          <w:tcPr>
            <w:tcW w:w="119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589597A"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1</w:t>
            </w:r>
          </w:p>
        </w:tc>
        <w:tc>
          <w:tcPr>
            <w:tcW w:w="119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EDD166C"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2</w:t>
            </w:r>
          </w:p>
        </w:tc>
        <w:tc>
          <w:tcPr>
            <w:tcW w:w="119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CB9FB5E"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3</w:t>
            </w:r>
          </w:p>
        </w:tc>
        <w:tc>
          <w:tcPr>
            <w:tcW w:w="119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AE1EFC4"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4</w:t>
            </w:r>
          </w:p>
        </w:tc>
        <w:tc>
          <w:tcPr>
            <w:tcW w:w="119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38D1980F" w14:textId="77777777" w:rsidR="4566E4F4" w:rsidRPr="00035F16" w:rsidRDefault="4566E4F4" w:rsidP="4566E4F4">
            <w:pP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p w14:paraId="6670EE98"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lastRenderedPageBreak/>
              <w:t>5</w:t>
            </w:r>
          </w:p>
          <w:p w14:paraId="0221DC2E"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119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5FFBA13D" w14:textId="77777777" w:rsidR="4566E4F4" w:rsidRPr="00035F16" w:rsidRDefault="4566E4F4" w:rsidP="4566E4F4">
            <w:pP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p w14:paraId="46FD6091"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lastRenderedPageBreak/>
              <w:t>6</w:t>
            </w:r>
          </w:p>
        </w:tc>
      </w:tr>
      <w:tr w:rsidR="0032063E" w:rsidRPr="00035F16" w14:paraId="0DB5203F" w14:textId="77777777" w:rsidTr="4566E4F4">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C4F8EDF" w14:textId="77777777" w:rsidR="4566E4F4" w:rsidRPr="00035F16" w:rsidRDefault="4566E4F4" w:rsidP="4566E4F4">
            <w:pPr>
              <w:jc w:val="center"/>
              <w:rPr>
                <w:rFonts w:ascii="Century Gothic" w:hAnsi="Century Gothic"/>
              </w:rPr>
            </w:pPr>
            <w:r w:rsidRPr="00035F16">
              <w:rPr>
                <w:rFonts w:ascii="Century Gothic" w:hAnsi="Century Gothic"/>
              </w:rPr>
              <w:lastRenderedPageBreak/>
              <w:t>Detached</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FC6C01" w14:textId="21C34E11"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121,190</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AF1939" w14:textId="430CE7B4"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157,040</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07D3044" w14:textId="0791C93C"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187,528</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34A2336" w14:textId="6CA6507C"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223,311</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7BEC5047" w14:textId="3800B1C1"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262,697</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49E3E8D9" w14:textId="480623D1"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287,968</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36C95835" w14:textId="07B515E1"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312,337</w:t>
            </w:r>
          </w:p>
        </w:tc>
      </w:tr>
      <w:tr w:rsidR="0032063E" w:rsidRPr="00035F16" w14:paraId="05210D4A" w14:textId="77777777" w:rsidTr="4566E4F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714E3AD" w14:textId="77777777" w:rsidR="4566E4F4" w:rsidRPr="00035F16" w:rsidRDefault="4566E4F4" w:rsidP="4566E4F4">
            <w:pPr>
              <w:jc w:val="center"/>
              <w:rPr>
                <w:rFonts w:ascii="Century Gothic" w:hAnsi="Century Gothic"/>
              </w:rPr>
            </w:pPr>
            <w:r w:rsidRPr="00035F16">
              <w:rPr>
                <w:rFonts w:ascii="Century Gothic" w:hAnsi="Century Gothic"/>
              </w:rPr>
              <w:t>Row House</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70C7C60" w14:textId="795A1BC5"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97,635</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DF3EDB" w14:textId="76DDE529"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125,759</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97627E5" w14:textId="13F8580D"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152,092</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3F0A55" w14:textId="3F3C91A4"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185,624</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830276A" w14:textId="08423979"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219,976</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4564FE48" w14:textId="27367D30"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242,265</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2BB66E49" w14:textId="0A84A34C"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263,053</w:t>
            </w:r>
          </w:p>
        </w:tc>
      </w:tr>
      <w:tr w:rsidR="0032063E" w:rsidRPr="00035F16" w14:paraId="4E737AE1" w14:textId="77777777" w:rsidTr="4566E4F4">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9CAD01C" w14:textId="77777777" w:rsidR="4566E4F4" w:rsidRPr="00035F16" w:rsidRDefault="4566E4F4" w:rsidP="4566E4F4">
            <w:pPr>
              <w:jc w:val="center"/>
              <w:rPr>
                <w:rFonts w:ascii="Century Gothic" w:hAnsi="Century Gothic"/>
              </w:rPr>
            </w:pPr>
            <w:r w:rsidRPr="00035F16">
              <w:rPr>
                <w:rFonts w:ascii="Century Gothic" w:hAnsi="Century Gothic"/>
              </w:rPr>
              <w:t>Walk Up</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9B0D92" w14:textId="5A9316A1"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93,735,</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EF5211" w14:textId="3D122F06"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126,547</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8A52A6B" w14:textId="241C54AA"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160,381</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A233CB" w14:textId="3C8B7774"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211,534</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B737DBC" w14:textId="46519409"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262,255</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4F80173C" w14:textId="3A98C739"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295,587</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70E366F1" w14:textId="0873BF4B"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328,536</w:t>
            </w:r>
          </w:p>
        </w:tc>
      </w:tr>
      <w:tr w:rsidR="0032063E" w:rsidRPr="00035F16" w14:paraId="4107AB5C" w14:textId="77777777" w:rsidTr="4566E4F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F6DF9CD" w14:textId="77777777" w:rsidR="4566E4F4" w:rsidRPr="00035F16" w:rsidRDefault="4566E4F4" w:rsidP="4566E4F4">
            <w:pPr>
              <w:jc w:val="center"/>
              <w:rPr>
                <w:rFonts w:ascii="Century Gothic" w:hAnsi="Century Gothic"/>
              </w:rPr>
            </w:pPr>
            <w:r w:rsidRPr="00035F16">
              <w:rPr>
                <w:rFonts w:ascii="Century Gothic" w:hAnsi="Century Gothic"/>
              </w:rPr>
              <w:t>Elevator</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98FBF94" w14:textId="670178EC"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98,169</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2CD200" w14:textId="7339447A"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137,437</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5ED83B" w14:textId="3D2B06B3"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176,704</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EA7141" w14:textId="068DB318"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235,606</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0960B4E4" w14:textId="4E9F47FE"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294,507</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351B1548" w14:textId="39F230CC"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333,775</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224C0019" w14:textId="0B072B2A"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373,042</w:t>
            </w:r>
          </w:p>
        </w:tc>
      </w:tr>
      <w:tr w:rsidR="004B46D2" w:rsidRPr="00035F16" w14:paraId="71976F5D" w14:textId="77777777" w:rsidTr="4566E4F4">
        <w:trPr>
          <w:trHeight w:val="255"/>
        </w:trPr>
        <w:tc>
          <w:tcPr>
            <w:cnfStyle w:val="001000000000" w:firstRow="0" w:lastRow="0" w:firstColumn="1" w:lastColumn="0" w:oddVBand="0" w:evenVBand="0" w:oddHBand="0" w:evenHBand="0" w:firstRowFirstColumn="0" w:firstRowLastColumn="0" w:lastRowFirstColumn="0" w:lastRowLastColumn="0"/>
            <w:tcW w:w="9540" w:type="dxa"/>
            <w:gridSpan w:val="8"/>
            <w:tcBorders>
              <w:top w:val="nil"/>
              <w:left w:val="single" w:sz="4" w:space="0" w:color="D9D9D9" w:themeColor="background1" w:themeShade="D9"/>
              <w:bottom w:val="single" w:sz="24" w:space="0" w:color="B5333C" w:themeColor="accent2"/>
              <w:right w:val="single" w:sz="4" w:space="0" w:color="D9D9D9" w:themeColor="background1" w:themeShade="D9"/>
            </w:tcBorders>
            <w:shd w:val="clear" w:color="auto" w:fill="808080" w:themeFill="background1" w:themeFillShade="80"/>
            <w:vAlign w:val="center"/>
          </w:tcPr>
          <w:p w14:paraId="04994822" w14:textId="0DB06C64" w:rsidR="4566E4F4" w:rsidRPr="00035F16" w:rsidRDefault="4566E4F4" w:rsidP="4566E4F4">
            <w:pPr>
              <w:jc w:val="center"/>
              <w:rPr>
                <w:rFonts w:ascii="Century Gothic" w:hAnsi="Century Gothic"/>
              </w:rPr>
            </w:pPr>
            <w:r w:rsidRPr="00035F16">
              <w:rPr>
                <w:rFonts w:ascii="Century Gothic" w:hAnsi="Century Gothic"/>
              </w:rPr>
              <w:t>ECC/HANH TDC 2022</w:t>
            </w:r>
          </w:p>
        </w:tc>
      </w:tr>
      <w:tr w:rsidR="0032063E" w:rsidRPr="00035F16" w14:paraId="1EE8A7EC" w14:textId="77777777" w:rsidTr="4566E4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5A42CDE" w14:textId="77777777" w:rsidR="4566E4F4" w:rsidRPr="00035F16" w:rsidRDefault="4566E4F4" w:rsidP="4566E4F4">
            <w:pPr>
              <w:jc w:val="center"/>
              <w:rPr>
                <w:rFonts w:ascii="Century Gothic" w:hAnsi="Century Gothic"/>
              </w:rPr>
            </w:pPr>
          </w:p>
        </w:tc>
        <w:tc>
          <w:tcPr>
            <w:tcW w:w="119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391E9AD6"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0</w:t>
            </w:r>
          </w:p>
        </w:tc>
        <w:tc>
          <w:tcPr>
            <w:tcW w:w="119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FDF51EC"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1</w:t>
            </w:r>
          </w:p>
        </w:tc>
        <w:tc>
          <w:tcPr>
            <w:tcW w:w="119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39BE380"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2</w:t>
            </w:r>
          </w:p>
        </w:tc>
        <w:tc>
          <w:tcPr>
            <w:tcW w:w="119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79716EB"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3</w:t>
            </w:r>
          </w:p>
        </w:tc>
        <w:tc>
          <w:tcPr>
            <w:tcW w:w="119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168BBA0"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4</w:t>
            </w:r>
          </w:p>
        </w:tc>
        <w:tc>
          <w:tcPr>
            <w:tcW w:w="1192"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5DB16EE9" w14:textId="77777777" w:rsidR="4566E4F4" w:rsidRPr="00035F16" w:rsidRDefault="4566E4F4" w:rsidP="4566E4F4">
            <w:pP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p w14:paraId="3D4B09D6"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5</w:t>
            </w:r>
          </w:p>
          <w:p w14:paraId="4147B755"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1193" w:type="dxa"/>
            <w:tcBorders>
              <w:top w:val="single" w:sz="24" w:space="0" w:color="B5333C" w:themeColor="accent2"/>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70B80646" w14:textId="77777777" w:rsidR="4566E4F4" w:rsidRPr="00035F16" w:rsidRDefault="4566E4F4" w:rsidP="4566E4F4">
            <w:pP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p w14:paraId="7777B8AB" w14:textId="77777777"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035F16">
              <w:rPr>
                <w:rFonts w:ascii="Century Gothic" w:hAnsi="Century Gothic"/>
                <w:b/>
                <w:bCs/>
              </w:rPr>
              <w:t>6</w:t>
            </w:r>
          </w:p>
        </w:tc>
      </w:tr>
      <w:tr w:rsidR="0032063E" w:rsidRPr="00035F16" w14:paraId="5F648AF7" w14:textId="77777777" w:rsidTr="4566E4F4">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7B8A76C" w14:textId="77777777" w:rsidR="4566E4F4" w:rsidRPr="00035F16" w:rsidRDefault="4566E4F4" w:rsidP="4566E4F4">
            <w:pPr>
              <w:jc w:val="center"/>
              <w:rPr>
                <w:rFonts w:ascii="Century Gothic" w:hAnsi="Century Gothic"/>
              </w:rPr>
            </w:pPr>
            <w:r w:rsidRPr="00035F16">
              <w:rPr>
                <w:rFonts w:ascii="Century Gothic" w:hAnsi="Century Gothic"/>
              </w:rPr>
              <w:t>Detached</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ED2F2A" w14:textId="2ACED0A1"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eastAsia="MS PGothic" w:hAnsi="Century Gothic"/>
              </w:rPr>
            </w:pPr>
            <w:r w:rsidRPr="00035F16">
              <w:rPr>
                <w:rFonts w:ascii="Century Gothic" w:hAnsi="Century Gothic"/>
              </w:rPr>
              <w:t>212,082</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EA30F4" w14:textId="1284419D"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274,821</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CFB3F3" w14:textId="1E15D89D"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328,175</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D81B8B" w14:textId="3FE26773"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390,793</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27D4C786" w14:textId="41092D0E"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459,720</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7B23441E" w14:textId="704CC371"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503,944</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33661C60" w14:textId="567E2013"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546,589</w:t>
            </w:r>
          </w:p>
        </w:tc>
      </w:tr>
      <w:tr w:rsidR="0032063E" w:rsidRPr="00035F16" w14:paraId="6D51AAB5" w14:textId="77777777" w:rsidTr="4566E4F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BE340D4" w14:textId="77777777" w:rsidR="4566E4F4" w:rsidRPr="00035F16" w:rsidRDefault="4566E4F4" w:rsidP="4566E4F4">
            <w:pPr>
              <w:jc w:val="center"/>
              <w:rPr>
                <w:rFonts w:ascii="Century Gothic" w:hAnsi="Century Gothic"/>
              </w:rPr>
            </w:pPr>
            <w:r w:rsidRPr="00035F16">
              <w:rPr>
                <w:rFonts w:ascii="Century Gothic" w:hAnsi="Century Gothic"/>
              </w:rPr>
              <w:t>Row House</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F9ADC36" w14:textId="4C144026"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eastAsia="MS PGothic" w:hAnsi="Century Gothic"/>
              </w:rPr>
            </w:pPr>
            <w:r w:rsidRPr="00035F16">
              <w:rPr>
                <w:rFonts w:ascii="Century Gothic" w:hAnsi="Century Gothic"/>
              </w:rPr>
              <w:t>168,330</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A425A2" w14:textId="7AD2C448"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220,078</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CDE93C9" w14:textId="1DDBBC34"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266,161</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00D778" w14:textId="585E2439"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324,843</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7CA0FC2" w14:textId="269399E4"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384,958</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7B956CBA" w14:textId="77025AFB"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423,964</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4388C849" w14:textId="0A4AB3D1"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460,344</w:t>
            </w:r>
          </w:p>
        </w:tc>
      </w:tr>
      <w:tr w:rsidR="0032063E" w:rsidRPr="00035F16" w14:paraId="6686809D" w14:textId="77777777" w:rsidTr="4566E4F4">
        <w:trPr>
          <w:trHeight w:val="135"/>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B46701B" w14:textId="77777777" w:rsidR="4566E4F4" w:rsidRPr="00035F16" w:rsidRDefault="4566E4F4" w:rsidP="4566E4F4">
            <w:pPr>
              <w:jc w:val="center"/>
              <w:rPr>
                <w:rFonts w:ascii="Century Gothic" w:hAnsi="Century Gothic"/>
              </w:rPr>
            </w:pPr>
            <w:r w:rsidRPr="00035F16">
              <w:rPr>
                <w:rFonts w:ascii="Century Gothic" w:hAnsi="Century Gothic"/>
              </w:rPr>
              <w:t>Walk Up</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CD3C47" w14:textId="7CAD6C03"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eastAsia="MS PGothic" w:hAnsi="Century Gothic"/>
              </w:rPr>
            </w:pPr>
            <w:r w:rsidRPr="00035F16">
              <w:rPr>
                <w:rFonts w:ascii="Century Gothic" w:hAnsi="Century Gothic"/>
              </w:rPr>
              <w:t>162,165</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969C114" w14:textId="5341220F"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221,457</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EEEA9F8" w14:textId="15B14AB4"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280,667</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786CD6" w14:textId="0F3403F4"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370,185</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57E95CD3" w14:textId="73F613D4"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458,945</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096826AB" w14:textId="03BCE9FD"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517,278</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6310E3DD" w14:textId="573BE0DE" w:rsidR="4566E4F4" w:rsidRPr="00035F16" w:rsidRDefault="4566E4F4" w:rsidP="4566E4F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574,938</w:t>
            </w:r>
          </w:p>
        </w:tc>
      </w:tr>
      <w:tr w:rsidR="0032063E" w:rsidRPr="00035F16" w14:paraId="3D412ECA" w14:textId="77777777" w:rsidTr="4566E4F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68F86F4" w14:textId="77777777" w:rsidR="4566E4F4" w:rsidRPr="00035F16" w:rsidRDefault="4566E4F4" w:rsidP="4566E4F4">
            <w:pPr>
              <w:jc w:val="center"/>
              <w:rPr>
                <w:rFonts w:ascii="Century Gothic" w:hAnsi="Century Gothic"/>
              </w:rPr>
            </w:pPr>
            <w:r w:rsidRPr="00035F16">
              <w:rPr>
                <w:rFonts w:ascii="Century Gothic" w:hAnsi="Century Gothic"/>
              </w:rPr>
              <w:t>Elevator</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73AA62" w14:textId="6CF86915"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eastAsia="MS PGothic" w:hAnsi="Century Gothic"/>
              </w:rPr>
            </w:pPr>
            <w:r w:rsidRPr="00035F16">
              <w:rPr>
                <w:rFonts w:ascii="Century Gothic" w:hAnsi="Century Gothic"/>
              </w:rPr>
              <w:t>157,071</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DF2A87" w14:textId="1A6C66F9"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219,899</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078833" w14:textId="0EFDE120"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282,727</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A49B8E" w14:textId="0179DDF5"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376,969</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4ADEE7B" w14:textId="0F768DEF"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471,212</w:t>
            </w:r>
          </w:p>
        </w:tc>
        <w:tc>
          <w:tcPr>
            <w:tcW w:w="119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FE7B132" w14:textId="6A05D806"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534,040</w:t>
            </w:r>
          </w:p>
        </w:tc>
        <w:tc>
          <w:tcPr>
            <w:tcW w:w="1193"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13B8C378" w14:textId="054E9369" w:rsidR="4566E4F4" w:rsidRPr="00035F16" w:rsidRDefault="4566E4F4" w:rsidP="4566E4F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n-US"/>
              </w:rPr>
            </w:pPr>
            <w:r w:rsidRPr="00035F16">
              <w:rPr>
                <w:rFonts w:ascii="Century Gothic" w:hAnsi="Century Gothic"/>
                <w:lang w:eastAsia="en-US"/>
              </w:rPr>
              <w:t>596,868</w:t>
            </w:r>
          </w:p>
        </w:tc>
      </w:tr>
    </w:tbl>
    <w:p w14:paraId="2581EE89" w14:textId="376E8AD1" w:rsidR="00EC5276" w:rsidRPr="00035F16" w:rsidRDefault="00EC5276" w:rsidP="4566E4F4">
      <w:pPr>
        <w:rPr>
          <w:rFonts w:ascii="Century Gothic" w:eastAsia="MS PGothic" w:hAnsi="Century Gothic"/>
          <w:szCs w:val="22"/>
          <w:lang w:eastAsia="en-US"/>
        </w:rPr>
      </w:pPr>
    </w:p>
    <w:p w14:paraId="04A8C135" w14:textId="77777777" w:rsidR="00EC5276" w:rsidRPr="0020355D" w:rsidRDefault="00EC5276" w:rsidP="00EC5276">
      <w:pPr>
        <w:rPr>
          <w:rFonts w:ascii="Times New Roman" w:eastAsia="Times New Roman" w:hAnsi="Times New Roman"/>
          <w:szCs w:val="22"/>
          <w:lang w:eastAsia="en-US"/>
        </w:rPr>
      </w:pPr>
    </w:p>
    <w:p w14:paraId="5908D403" w14:textId="77777777" w:rsidR="00EC5276" w:rsidRDefault="00EC5276" w:rsidP="00EC5276">
      <w:pPr>
        <w:rPr>
          <w:rFonts w:ascii="Times New Roman" w:eastAsia="Times New Roman" w:hAnsi="Times New Roman"/>
          <w:szCs w:val="22"/>
          <w:lang w:eastAsia="en-US"/>
        </w:rPr>
      </w:pPr>
    </w:p>
    <w:p w14:paraId="297118DC" w14:textId="77777777" w:rsidR="007C7BBE" w:rsidRDefault="007C7BBE" w:rsidP="00EC5276">
      <w:pPr>
        <w:rPr>
          <w:rFonts w:ascii="Times New Roman" w:eastAsia="Times New Roman" w:hAnsi="Times New Roman"/>
          <w:szCs w:val="22"/>
          <w:lang w:eastAsia="en-US"/>
        </w:rPr>
      </w:pPr>
    </w:p>
    <w:p w14:paraId="33AA2571" w14:textId="77777777" w:rsidR="007C7BBE" w:rsidRDefault="007C7BBE" w:rsidP="00EC5276">
      <w:pPr>
        <w:rPr>
          <w:rFonts w:ascii="Times New Roman" w:eastAsia="Times New Roman" w:hAnsi="Times New Roman"/>
          <w:szCs w:val="22"/>
          <w:lang w:eastAsia="en-US"/>
        </w:rPr>
      </w:pPr>
    </w:p>
    <w:p w14:paraId="285C7FBA" w14:textId="77777777" w:rsidR="007C7BBE" w:rsidRDefault="007C7BBE" w:rsidP="00EC5276">
      <w:pPr>
        <w:rPr>
          <w:rFonts w:ascii="Times New Roman" w:eastAsia="Times New Roman" w:hAnsi="Times New Roman"/>
          <w:szCs w:val="22"/>
          <w:lang w:eastAsia="en-US"/>
        </w:rPr>
      </w:pPr>
    </w:p>
    <w:p w14:paraId="3EA106C0" w14:textId="77777777" w:rsidR="007C7BBE" w:rsidRDefault="007C7BBE" w:rsidP="00EC5276">
      <w:pPr>
        <w:rPr>
          <w:rFonts w:ascii="Times New Roman" w:eastAsia="Times New Roman" w:hAnsi="Times New Roman"/>
          <w:szCs w:val="22"/>
          <w:lang w:eastAsia="en-US"/>
        </w:rPr>
      </w:pPr>
    </w:p>
    <w:p w14:paraId="2D30FD1E" w14:textId="77777777" w:rsidR="007C7BBE" w:rsidRDefault="007C7BBE" w:rsidP="00EC5276">
      <w:pPr>
        <w:rPr>
          <w:rFonts w:ascii="Times New Roman" w:eastAsia="Times New Roman" w:hAnsi="Times New Roman"/>
          <w:szCs w:val="22"/>
          <w:lang w:eastAsia="en-US"/>
        </w:rPr>
      </w:pPr>
    </w:p>
    <w:p w14:paraId="6A759BF9" w14:textId="77777777" w:rsidR="007C7BBE" w:rsidRDefault="007C7BBE" w:rsidP="00EC5276">
      <w:pPr>
        <w:rPr>
          <w:rFonts w:ascii="Times New Roman" w:eastAsia="Times New Roman" w:hAnsi="Times New Roman"/>
          <w:szCs w:val="22"/>
          <w:lang w:eastAsia="en-US"/>
        </w:rPr>
      </w:pPr>
    </w:p>
    <w:p w14:paraId="7DFFA285" w14:textId="77777777" w:rsidR="007C7BBE" w:rsidRDefault="007C7BBE" w:rsidP="00EC5276">
      <w:pPr>
        <w:rPr>
          <w:rFonts w:ascii="Times New Roman" w:eastAsia="Times New Roman" w:hAnsi="Times New Roman"/>
          <w:szCs w:val="22"/>
          <w:lang w:eastAsia="en-US"/>
        </w:rPr>
      </w:pPr>
    </w:p>
    <w:p w14:paraId="5D1AC653" w14:textId="77777777" w:rsidR="007C7BBE" w:rsidRDefault="007C7BBE" w:rsidP="00EC5276">
      <w:pPr>
        <w:rPr>
          <w:rFonts w:ascii="Times New Roman" w:eastAsia="Times New Roman" w:hAnsi="Times New Roman"/>
          <w:szCs w:val="22"/>
          <w:lang w:eastAsia="en-US"/>
        </w:rPr>
      </w:pPr>
    </w:p>
    <w:p w14:paraId="4E2F28A4" w14:textId="77777777" w:rsidR="007C7BBE" w:rsidRDefault="007C7BBE" w:rsidP="00EC5276">
      <w:pPr>
        <w:rPr>
          <w:rFonts w:ascii="Times New Roman" w:eastAsia="Times New Roman" w:hAnsi="Times New Roman"/>
          <w:szCs w:val="22"/>
          <w:lang w:eastAsia="en-US"/>
        </w:rPr>
      </w:pPr>
    </w:p>
    <w:p w14:paraId="1226F366" w14:textId="77777777" w:rsidR="007C7BBE" w:rsidRDefault="007C7BBE" w:rsidP="00EC5276">
      <w:pPr>
        <w:rPr>
          <w:rFonts w:ascii="Times New Roman" w:eastAsia="Times New Roman" w:hAnsi="Times New Roman"/>
          <w:szCs w:val="22"/>
          <w:lang w:eastAsia="en-US"/>
        </w:rPr>
      </w:pPr>
    </w:p>
    <w:p w14:paraId="6BF47277" w14:textId="77777777" w:rsidR="007C7BBE" w:rsidRDefault="007C7BBE" w:rsidP="00EC5276">
      <w:pPr>
        <w:rPr>
          <w:rFonts w:ascii="Times New Roman" w:eastAsia="Times New Roman" w:hAnsi="Times New Roman"/>
          <w:szCs w:val="22"/>
          <w:lang w:eastAsia="en-US"/>
        </w:rPr>
      </w:pPr>
    </w:p>
    <w:p w14:paraId="4FD2F06B" w14:textId="77777777" w:rsidR="007C7BBE" w:rsidRDefault="007C7BBE" w:rsidP="00EC5276">
      <w:pPr>
        <w:rPr>
          <w:rFonts w:ascii="Times New Roman" w:eastAsia="Times New Roman" w:hAnsi="Times New Roman"/>
          <w:szCs w:val="22"/>
          <w:lang w:eastAsia="en-US"/>
        </w:rPr>
      </w:pPr>
    </w:p>
    <w:p w14:paraId="374B32EB" w14:textId="77777777" w:rsidR="007C7BBE" w:rsidRDefault="007C7BBE" w:rsidP="00EC5276">
      <w:pPr>
        <w:rPr>
          <w:rFonts w:ascii="Times New Roman" w:eastAsia="Times New Roman" w:hAnsi="Times New Roman"/>
          <w:szCs w:val="22"/>
          <w:lang w:eastAsia="en-US"/>
        </w:rPr>
      </w:pPr>
    </w:p>
    <w:p w14:paraId="57EBD079" w14:textId="77777777" w:rsidR="007C7BBE" w:rsidRDefault="007C7BBE" w:rsidP="00EC5276">
      <w:pPr>
        <w:rPr>
          <w:rFonts w:ascii="Times New Roman" w:eastAsia="Times New Roman" w:hAnsi="Times New Roman"/>
          <w:szCs w:val="22"/>
          <w:lang w:eastAsia="en-US"/>
        </w:rPr>
      </w:pPr>
    </w:p>
    <w:p w14:paraId="5FD4FDBC" w14:textId="77777777" w:rsidR="007C7BBE" w:rsidRDefault="007C7BBE" w:rsidP="00EC5276">
      <w:pPr>
        <w:rPr>
          <w:rFonts w:ascii="Times New Roman" w:eastAsia="Times New Roman" w:hAnsi="Times New Roman"/>
          <w:szCs w:val="22"/>
          <w:lang w:eastAsia="en-US"/>
        </w:rPr>
      </w:pPr>
    </w:p>
    <w:p w14:paraId="54788E7E" w14:textId="77777777" w:rsidR="007C7BBE" w:rsidRDefault="007C7BBE" w:rsidP="00EC5276">
      <w:pPr>
        <w:rPr>
          <w:rFonts w:ascii="Times New Roman" w:eastAsia="Times New Roman" w:hAnsi="Times New Roman"/>
          <w:szCs w:val="22"/>
          <w:lang w:eastAsia="en-US"/>
        </w:rPr>
      </w:pPr>
    </w:p>
    <w:p w14:paraId="71386236" w14:textId="77777777" w:rsidR="007C7BBE" w:rsidRDefault="007C7BBE" w:rsidP="00EC5276">
      <w:pPr>
        <w:rPr>
          <w:rFonts w:ascii="Times New Roman" w:eastAsia="Times New Roman" w:hAnsi="Times New Roman"/>
          <w:szCs w:val="22"/>
          <w:lang w:eastAsia="en-US"/>
        </w:rPr>
      </w:pPr>
    </w:p>
    <w:p w14:paraId="375FF124" w14:textId="77777777" w:rsidR="007C7BBE" w:rsidRDefault="007C7BBE" w:rsidP="00EC5276">
      <w:pPr>
        <w:rPr>
          <w:rFonts w:ascii="Times New Roman" w:eastAsia="Times New Roman" w:hAnsi="Times New Roman"/>
          <w:szCs w:val="22"/>
          <w:lang w:eastAsia="en-US"/>
        </w:rPr>
      </w:pPr>
    </w:p>
    <w:p w14:paraId="4528DDD4" w14:textId="77777777" w:rsidR="007C7BBE" w:rsidRDefault="007C7BBE" w:rsidP="00EC5276">
      <w:pPr>
        <w:rPr>
          <w:rFonts w:ascii="Times New Roman" w:eastAsia="Times New Roman" w:hAnsi="Times New Roman"/>
          <w:szCs w:val="22"/>
          <w:lang w:eastAsia="en-US"/>
        </w:rPr>
      </w:pPr>
    </w:p>
    <w:p w14:paraId="723B6F14" w14:textId="77777777" w:rsidR="007C7BBE" w:rsidRDefault="007C7BBE" w:rsidP="00EC5276">
      <w:pPr>
        <w:rPr>
          <w:rFonts w:ascii="Times New Roman" w:eastAsia="Times New Roman" w:hAnsi="Times New Roman"/>
          <w:szCs w:val="22"/>
          <w:lang w:eastAsia="en-US"/>
        </w:rPr>
      </w:pPr>
    </w:p>
    <w:p w14:paraId="2E384773" w14:textId="77777777" w:rsidR="007C7BBE" w:rsidRDefault="007C7BBE" w:rsidP="00EC5276">
      <w:pPr>
        <w:rPr>
          <w:rFonts w:ascii="Times New Roman" w:eastAsia="Times New Roman" w:hAnsi="Times New Roman"/>
          <w:szCs w:val="22"/>
          <w:lang w:eastAsia="en-US"/>
        </w:rPr>
      </w:pPr>
    </w:p>
    <w:p w14:paraId="3C8E5647" w14:textId="77777777" w:rsidR="007C7BBE" w:rsidRDefault="007C7BBE" w:rsidP="00EC5276">
      <w:pPr>
        <w:rPr>
          <w:rFonts w:ascii="Times New Roman" w:eastAsia="Times New Roman" w:hAnsi="Times New Roman"/>
          <w:szCs w:val="22"/>
          <w:lang w:eastAsia="en-US"/>
        </w:rPr>
      </w:pPr>
    </w:p>
    <w:p w14:paraId="38A95C7A" w14:textId="77777777" w:rsidR="007C7BBE" w:rsidRDefault="007C7BBE" w:rsidP="00EC5276">
      <w:pPr>
        <w:rPr>
          <w:rFonts w:ascii="Times New Roman" w:eastAsia="Times New Roman" w:hAnsi="Times New Roman"/>
          <w:szCs w:val="22"/>
          <w:lang w:eastAsia="en-US"/>
        </w:rPr>
      </w:pPr>
    </w:p>
    <w:p w14:paraId="3AD2B4EB" w14:textId="77777777" w:rsidR="007C7BBE" w:rsidRDefault="007C7BBE" w:rsidP="00EC5276">
      <w:pPr>
        <w:rPr>
          <w:rFonts w:ascii="Times New Roman" w:eastAsia="Times New Roman" w:hAnsi="Times New Roman"/>
          <w:szCs w:val="22"/>
          <w:lang w:eastAsia="en-US"/>
        </w:rPr>
      </w:pPr>
    </w:p>
    <w:p w14:paraId="258A4B24" w14:textId="77777777" w:rsidR="007C7BBE" w:rsidRDefault="007C7BBE" w:rsidP="00EC5276">
      <w:pPr>
        <w:rPr>
          <w:rFonts w:ascii="Times New Roman" w:eastAsia="Times New Roman" w:hAnsi="Times New Roman"/>
          <w:szCs w:val="22"/>
          <w:lang w:eastAsia="en-US"/>
        </w:rPr>
      </w:pPr>
    </w:p>
    <w:p w14:paraId="29CB2227" w14:textId="77777777" w:rsidR="007C7BBE" w:rsidRDefault="007C7BBE" w:rsidP="00EC5276">
      <w:pPr>
        <w:rPr>
          <w:rFonts w:ascii="Times New Roman" w:eastAsia="Times New Roman" w:hAnsi="Times New Roman"/>
          <w:szCs w:val="22"/>
          <w:lang w:eastAsia="en-US"/>
        </w:rPr>
      </w:pPr>
    </w:p>
    <w:p w14:paraId="5D90BDC2" w14:textId="77777777" w:rsidR="007C7BBE" w:rsidRDefault="007C7BBE" w:rsidP="00EC5276">
      <w:pPr>
        <w:rPr>
          <w:rFonts w:ascii="Times New Roman" w:eastAsia="Times New Roman" w:hAnsi="Times New Roman"/>
          <w:szCs w:val="22"/>
          <w:lang w:eastAsia="en-US"/>
        </w:rPr>
      </w:pPr>
    </w:p>
    <w:p w14:paraId="0C06E25F" w14:textId="77777777" w:rsidR="007C7BBE" w:rsidRPr="0020355D" w:rsidRDefault="007C7BBE" w:rsidP="00EC5276">
      <w:pPr>
        <w:rPr>
          <w:rFonts w:ascii="Times New Roman" w:eastAsia="Times New Roman" w:hAnsi="Times New Roman"/>
          <w:szCs w:val="22"/>
          <w:lang w:eastAsia="en-US"/>
        </w:rPr>
      </w:pPr>
    </w:p>
    <w:p w14:paraId="52A90DD6" w14:textId="0FCA675B" w:rsidR="00EC5276" w:rsidRPr="0020355D" w:rsidRDefault="00EC5276" w:rsidP="4566E4F4">
      <w:pPr>
        <w:rPr>
          <w:rFonts w:eastAsia="MS PGothic"/>
          <w:szCs w:val="22"/>
          <w:lang w:eastAsia="en-US"/>
        </w:rPr>
      </w:pPr>
    </w:p>
    <w:p w14:paraId="3A84B969" w14:textId="77777777" w:rsidR="00EC5276" w:rsidRPr="0020355D" w:rsidRDefault="00EC5276" w:rsidP="00EC5276">
      <w:pPr>
        <w:rPr>
          <w:rFonts w:ascii="Times New Roman" w:eastAsia="Times New Roman" w:hAnsi="Times New Roman"/>
          <w:szCs w:val="22"/>
        </w:rPr>
      </w:pPr>
    </w:p>
    <w:p w14:paraId="2A1DC478" w14:textId="2C708DC3" w:rsidR="00EC5276" w:rsidRPr="00C872D3" w:rsidRDefault="00656082" w:rsidP="004C0050">
      <w:pPr>
        <w:pStyle w:val="MTWHeader2"/>
        <w:rPr>
          <w:rFonts w:ascii="Century Gothic" w:eastAsia="ヒラギノ角ゴ Pro W3" w:hAnsi="Century Gothic" w:cs="Times New Roman"/>
          <w:noProof w:val="0"/>
          <w:color w:val="000000"/>
          <w:sz w:val="22"/>
          <w:szCs w:val="22"/>
        </w:rPr>
      </w:pPr>
      <w:bookmarkStart w:id="205" w:name="_Toc89871198"/>
      <w:r w:rsidRPr="00C872D3">
        <w:rPr>
          <w:rFonts w:ascii="Century Gothic" w:eastAsia="ヒラギノ角ゴ Pro W3" w:hAnsi="Century Gothic" w:cs="Times New Roman"/>
          <w:noProof w:val="0"/>
          <w:color w:val="000000"/>
          <w:sz w:val="22"/>
          <w:szCs w:val="22"/>
        </w:rPr>
        <w:lastRenderedPageBreak/>
        <w:t>Appendix 3</w:t>
      </w:r>
      <w:r w:rsidR="00EC5276" w:rsidRPr="00C872D3">
        <w:rPr>
          <w:rFonts w:ascii="Century Gothic" w:eastAsia="ヒラギノ角ゴ Pro W3" w:hAnsi="Century Gothic" w:cs="Times New Roman"/>
          <w:noProof w:val="0"/>
          <w:color w:val="000000"/>
          <w:sz w:val="22"/>
          <w:szCs w:val="22"/>
        </w:rPr>
        <w:t>: Local Asset Based Management</w:t>
      </w:r>
      <w:bookmarkEnd w:id="205"/>
    </w:p>
    <w:p w14:paraId="5306F2E1" w14:textId="77777777" w:rsidR="00EC5276" w:rsidRPr="00C872D3" w:rsidRDefault="00EC5276" w:rsidP="00EC5276">
      <w:pPr>
        <w:rPr>
          <w:rFonts w:ascii="Century Gothic" w:eastAsia="Times New Roman" w:hAnsi="Century Gothic"/>
          <w:b/>
          <w:bCs/>
          <w:iCs/>
          <w:szCs w:val="22"/>
          <w:lang w:eastAsia="en-US"/>
        </w:rPr>
      </w:pPr>
    </w:p>
    <w:p w14:paraId="13FF7385" w14:textId="7F9328D7" w:rsidR="00656082" w:rsidRPr="00C872D3" w:rsidRDefault="00656082" w:rsidP="00656082">
      <w:pPr>
        <w:spacing w:after="200"/>
        <w:rPr>
          <w:rFonts w:ascii="Century Gothic" w:hAnsi="Century Gothic"/>
          <w:szCs w:val="22"/>
        </w:rPr>
      </w:pPr>
      <w:r w:rsidRPr="00C872D3">
        <w:rPr>
          <w:rFonts w:ascii="Century Gothic" w:hAnsi="Century Gothic"/>
          <w:bCs/>
          <w:szCs w:val="22"/>
        </w:rPr>
        <w:t xml:space="preserve">Under the First Amendment to the MTW Agreement 10-15-08, ECC/HANH is permitted to design and implement its own Local Asset Based Management Program so long as the ECC/HANH and HUD agree that the principles and understanding outlined in the Amendment are adhered to.  </w:t>
      </w:r>
    </w:p>
    <w:p w14:paraId="49FF814B" w14:textId="17EFA2E0" w:rsidR="00656082" w:rsidRPr="00C872D3" w:rsidRDefault="00656082" w:rsidP="00486062">
      <w:pPr>
        <w:pStyle w:val="ListParagraph"/>
        <w:numPr>
          <w:ilvl w:val="0"/>
          <w:numId w:val="62"/>
        </w:numPr>
        <w:spacing w:after="200"/>
        <w:ind w:left="360"/>
        <w:rPr>
          <w:rFonts w:ascii="Century Gothic" w:hAnsi="Century Gothic"/>
          <w:szCs w:val="22"/>
        </w:rPr>
      </w:pPr>
      <w:r w:rsidRPr="00C872D3">
        <w:rPr>
          <w:rFonts w:ascii="Century Gothic" w:hAnsi="Century Gothic"/>
          <w:bCs/>
          <w:szCs w:val="22"/>
        </w:rPr>
        <w:t xml:space="preserve">ECC/HANH developed a program wherein Excess Operating Reserves are funded from the General Fund Account and will be used to cover deficits through a journal voucher once per year to ensure that the transfer of funds from the General Fund to a project to cover any operating deficits are reflected </w:t>
      </w:r>
      <w:proofErr w:type="gramStart"/>
      <w:r w:rsidRPr="00C872D3">
        <w:rPr>
          <w:rFonts w:ascii="Century Gothic" w:hAnsi="Century Gothic"/>
          <w:bCs/>
          <w:szCs w:val="22"/>
        </w:rPr>
        <w:t>on</w:t>
      </w:r>
      <w:proofErr w:type="gramEnd"/>
      <w:r w:rsidRPr="00C872D3">
        <w:rPr>
          <w:rFonts w:ascii="Century Gothic" w:hAnsi="Century Gothic"/>
          <w:bCs/>
          <w:szCs w:val="22"/>
        </w:rPr>
        <w:t xml:space="preserve"> the income and expense statement of the project. </w:t>
      </w:r>
    </w:p>
    <w:p w14:paraId="6A0FFB20" w14:textId="77777777" w:rsidR="00656082" w:rsidRPr="00C872D3" w:rsidRDefault="00656082" w:rsidP="00486062">
      <w:pPr>
        <w:pStyle w:val="ListParagraph"/>
        <w:numPr>
          <w:ilvl w:val="0"/>
          <w:numId w:val="62"/>
        </w:numPr>
        <w:spacing w:after="200"/>
        <w:ind w:left="360"/>
        <w:rPr>
          <w:rFonts w:ascii="Century Gothic" w:hAnsi="Century Gothic"/>
          <w:szCs w:val="22"/>
        </w:rPr>
      </w:pPr>
      <w:r w:rsidRPr="00C872D3">
        <w:rPr>
          <w:rFonts w:ascii="Century Gothic" w:hAnsi="Century Gothic"/>
          <w:bCs/>
          <w:szCs w:val="22"/>
        </w:rPr>
        <w:t xml:space="preserve">ECC/HANH uses project-based accounting and project-based budgeting for direct costs incurred by each property.  </w:t>
      </w:r>
    </w:p>
    <w:p w14:paraId="0221F583" w14:textId="77777777" w:rsidR="00656082" w:rsidRPr="00C872D3" w:rsidRDefault="00656082" w:rsidP="00486062">
      <w:pPr>
        <w:pStyle w:val="ListParagraph"/>
        <w:numPr>
          <w:ilvl w:val="0"/>
          <w:numId w:val="62"/>
        </w:numPr>
        <w:spacing w:after="200"/>
        <w:ind w:left="360"/>
        <w:rPr>
          <w:rFonts w:ascii="Century Gothic" w:hAnsi="Century Gothic"/>
          <w:szCs w:val="22"/>
        </w:rPr>
      </w:pPr>
      <w:r w:rsidRPr="00C872D3">
        <w:rPr>
          <w:rFonts w:ascii="Century Gothic" w:hAnsi="Century Gothic"/>
          <w:bCs/>
          <w:szCs w:val="22"/>
        </w:rPr>
        <w:t xml:space="preserve">ECC/HANH considers its cost allocation plan for the entire operation of the Agency, rather than a strict focus on only the MTW program.  This cost allocation plan addresses the larger ECC/HANH operation as well as the specific information required related to the MTW Program. </w:t>
      </w:r>
    </w:p>
    <w:p w14:paraId="6BD451DE" w14:textId="77777777" w:rsidR="00656082" w:rsidRPr="00C872D3" w:rsidRDefault="00656082" w:rsidP="00486062">
      <w:pPr>
        <w:pStyle w:val="ListParagraph"/>
        <w:numPr>
          <w:ilvl w:val="0"/>
          <w:numId w:val="62"/>
        </w:numPr>
        <w:spacing w:after="200"/>
        <w:ind w:left="360"/>
        <w:rPr>
          <w:rFonts w:ascii="Century Gothic" w:hAnsi="Century Gothic"/>
          <w:szCs w:val="22"/>
        </w:rPr>
      </w:pPr>
      <w:r w:rsidRPr="00C872D3">
        <w:rPr>
          <w:rFonts w:ascii="Century Gothic" w:hAnsi="Century Gothic"/>
          <w:bCs/>
          <w:szCs w:val="22"/>
        </w:rPr>
        <w:t>All associated activities funded under the MTW Single Fund authority are deemed as a single cost objective.  The MTW Program cost objective includes the Asset Management Projects in the public housing program, housing choice vouchers – both project-based and tenant-based vouchers, development activities funded from MTW, resident services, case management services, capital fund program, and any other activity that is permitted under the Amended and Restated MTW Agreement.</w:t>
      </w:r>
    </w:p>
    <w:p w14:paraId="4B55A318" w14:textId="77777777" w:rsidR="00656082" w:rsidRPr="00C872D3" w:rsidRDefault="00656082" w:rsidP="00486062">
      <w:pPr>
        <w:pStyle w:val="ListParagraph"/>
        <w:numPr>
          <w:ilvl w:val="0"/>
          <w:numId w:val="62"/>
        </w:numPr>
        <w:spacing w:after="200"/>
        <w:ind w:left="360"/>
        <w:rPr>
          <w:rFonts w:ascii="Century Gothic" w:hAnsi="Century Gothic"/>
          <w:szCs w:val="22"/>
        </w:rPr>
      </w:pPr>
      <w:r w:rsidRPr="00C872D3">
        <w:rPr>
          <w:rFonts w:ascii="Century Gothic" w:hAnsi="Century Gothic"/>
          <w:szCs w:val="22"/>
        </w:rPr>
        <w:t>ECC/HANH’s proposed cost allocation system is more comprehensive than HUD’s Asset Management System, which is a fee-for-service approach specific to the asset management projects in the public housing program.  In consideration of ECC/HANH’s other programs such as business activities, ECC/HANH’s proposed LAMP addresses much broader than public housing properties and includes the entire ECC/HANH operation.</w:t>
      </w:r>
    </w:p>
    <w:p w14:paraId="2F5E9A6C" w14:textId="77777777" w:rsidR="00656082" w:rsidRPr="00C872D3" w:rsidRDefault="00656082" w:rsidP="00486062">
      <w:pPr>
        <w:pStyle w:val="ListParagraph"/>
        <w:numPr>
          <w:ilvl w:val="0"/>
          <w:numId w:val="62"/>
        </w:numPr>
        <w:spacing w:after="200"/>
        <w:ind w:left="360"/>
        <w:rPr>
          <w:rFonts w:ascii="Century Gothic" w:hAnsi="Century Gothic"/>
          <w:szCs w:val="22"/>
        </w:rPr>
      </w:pPr>
      <w:r w:rsidRPr="00C872D3">
        <w:rPr>
          <w:rFonts w:ascii="Century Gothic" w:hAnsi="Century Gothic"/>
          <w:bCs/>
          <w:szCs w:val="22"/>
        </w:rPr>
        <w:t>ECC/HANH will use a simple fee system of charging up to 10% of the project/program funds to cover the costs of the Central Office Cost Center (COCC).  ECC/HANH views the up to 10% fee as reasonable when compared to the fees earned for administering other programs or non-profit affiliates.</w:t>
      </w:r>
    </w:p>
    <w:p w14:paraId="5B56FEBE" w14:textId="77777777" w:rsidR="00656082" w:rsidRPr="00C872D3" w:rsidRDefault="00656082" w:rsidP="00656082">
      <w:pPr>
        <w:spacing w:after="200"/>
        <w:rPr>
          <w:rFonts w:ascii="Century Gothic" w:hAnsi="Century Gothic"/>
          <w:szCs w:val="22"/>
        </w:rPr>
      </w:pPr>
      <w:r w:rsidRPr="00C872D3">
        <w:rPr>
          <w:rFonts w:ascii="Century Gothic" w:hAnsi="Century Gothic"/>
          <w:bCs/>
          <w:szCs w:val="22"/>
        </w:rPr>
        <w:t>Proceeds from the energy performance contracts and other non-federal sources to support project operations are not reflected in the operating statements for each project.  The COCC operates on the allowable fees as described above.  ECC/HANH systematically reviews information regarding the financial, physical and management performance of each project and identifies non-performing assets.  All non-performing assets will have a management plan that includes a set of measurable goals to address.  During FY 2009, ECC/HANH conducted an updated Physical Needs Assessment for each project.  The work was completed in FY2010 and was fully reported in the FY10 report.  Finally, ECC/HANH has implemented a Risk Management Program in accordance with §990.270.</w:t>
      </w:r>
    </w:p>
    <w:p w14:paraId="61A6AF87" w14:textId="77777777" w:rsidR="00EC5276" w:rsidRPr="00C872D3" w:rsidRDefault="00EC5276" w:rsidP="00EC5276">
      <w:pPr>
        <w:rPr>
          <w:rFonts w:ascii="Century Gothic" w:eastAsia="Times New Roman" w:hAnsi="Century Gothic"/>
          <w:b/>
          <w:bCs/>
          <w:iCs/>
          <w:szCs w:val="22"/>
          <w:lang w:eastAsia="en-US"/>
        </w:rPr>
      </w:pPr>
    </w:p>
    <w:p w14:paraId="52A8B0DF" w14:textId="77777777" w:rsidR="00EC5276" w:rsidRPr="00C872D3" w:rsidRDefault="00EC5276" w:rsidP="00EC5276">
      <w:pPr>
        <w:rPr>
          <w:rFonts w:ascii="Century Gothic" w:eastAsia="Times New Roman" w:hAnsi="Century Gothic"/>
          <w:b/>
          <w:bCs/>
          <w:iCs/>
          <w:szCs w:val="22"/>
          <w:lang w:eastAsia="en-US"/>
        </w:rPr>
      </w:pPr>
    </w:p>
    <w:p w14:paraId="2C964B41" w14:textId="77777777" w:rsidR="00EC5276" w:rsidRPr="00C872D3" w:rsidRDefault="00EC5276" w:rsidP="00EC5276">
      <w:pPr>
        <w:rPr>
          <w:rFonts w:ascii="Century Gothic" w:eastAsia="Times New Roman" w:hAnsi="Century Gothic"/>
          <w:b/>
          <w:bCs/>
          <w:iCs/>
          <w:szCs w:val="22"/>
          <w:lang w:eastAsia="en-US"/>
        </w:rPr>
      </w:pPr>
    </w:p>
    <w:p w14:paraId="1CD1DA34" w14:textId="77777777" w:rsidR="00EC5276" w:rsidRPr="00C872D3" w:rsidRDefault="00EC5276" w:rsidP="00EC5276">
      <w:pPr>
        <w:rPr>
          <w:rFonts w:ascii="Century Gothic" w:eastAsia="Times New Roman" w:hAnsi="Century Gothic"/>
          <w:b/>
          <w:bCs/>
          <w:iCs/>
          <w:szCs w:val="22"/>
          <w:lang w:eastAsia="en-US"/>
        </w:rPr>
      </w:pPr>
    </w:p>
    <w:p w14:paraId="39ACAB59" w14:textId="77777777" w:rsidR="00EC5276" w:rsidRPr="00C872D3" w:rsidRDefault="00EC5276" w:rsidP="00EC5276">
      <w:pPr>
        <w:spacing w:after="160" w:line="259" w:lineRule="auto"/>
        <w:rPr>
          <w:rFonts w:ascii="Century Gothic" w:eastAsia="Times New Roman" w:hAnsi="Century Gothic"/>
          <w:b/>
          <w:bCs/>
          <w:iCs/>
          <w:szCs w:val="22"/>
          <w:lang w:eastAsia="en-US"/>
        </w:rPr>
      </w:pPr>
      <w:r w:rsidRPr="00C872D3">
        <w:rPr>
          <w:rFonts w:ascii="Century Gothic" w:eastAsia="Times New Roman" w:hAnsi="Century Gothic"/>
          <w:b/>
          <w:bCs/>
          <w:iCs/>
          <w:szCs w:val="22"/>
          <w:lang w:eastAsia="en-US"/>
        </w:rPr>
        <w:br w:type="page"/>
      </w:r>
    </w:p>
    <w:p w14:paraId="3036407D" w14:textId="77777777" w:rsidR="00EC5276" w:rsidRPr="00C872D3" w:rsidRDefault="00EC5276" w:rsidP="004C0050">
      <w:pPr>
        <w:pStyle w:val="MTWHeader2"/>
        <w:rPr>
          <w:rFonts w:ascii="Century Gothic" w:eastAsia="Times New Roman" w:hAnsi="Century Gothic" w:cs="Times New Roman"/>
          <w:sz w:val="22"/>
          <w:szCs w:val="22"/>
        </w:rPr>
      </w:pPr>
      <w:bookmarkStart w:id="206" w:name="_Toc89871199"/>
      <w:r w:rsidRPr="00C872D3">
        <w:rPr>
          <w:rFonts w:ascii="Century Gothic" w:eastAsia="Times New Roman" w:hAnsi="Century Gothic" w:cs="Times New Roman"/>
          <w:sz w:val="22"/>
          <w:szCs w:val="22"/>
        </w:rPr>
        <w:lastRenderedPageBreak/>
        <w:t>Appendix 4: ECC/HANH MTW Evaluation</w:t>
      </w:r>
      <w:bookmarkEnd w:id="206"/>
    </w:p>
    <w:p w14:paraId="2C54B601" w14:textId="77777777" w:rsidR="00EC5276" w:rsidRPr="00C872D3" w:rsidRDefault="00EC5276" w:rsidP="00EC5276">
      <w:pPr>
        <w:rPr>
          <w:rFonts w:ascii="Century Gothic" w:eastAsia="Times New Roman" w:hAnsi="Century Gothic"/>
          <w:b/>
          <w:szCs w:val="22"/>
          <w:lang w:eastAsia="en-US"/>
        </w:rPr>
      </w:pPr>
    </w:p>
    <w:p w14:paraId="48D71FDA" w14:textId="77777777" w:rsidR="00EC5276" w:rsidRPr="00C872D3" w:rsidRDefault="00EC5276" w:rsidP="00EC5276">
      <w:pPr>
        <w:rPr>
          <w:rFonts w:ascii="Century Gothic" w:eastAsia="Times New Roman" w:hAnsi="Century Gothic"/>
          <w:b/>
          <w:szCs w:val="22"/>
        </w:rPr>
      </w:pPr>
      <w:r w:rsidRPr="00C872D3">
        <w:rPr>
          <w:rFonts w:ascii="Century Gothic" w:eastAsia="Times New Roman" w:hAnsi="Century Gothic"/>
          <w:b/>
          <w:szCs w:val="22"/>
        </w:rPr>
        <w:t>Executive Summary</w:t>
      </w:r>
    </w:p>
    <w:p w14:paraId="7FEDBFB7" w14:textId="77777777" w:rsidR="00EC5276" w:rsidRPr="00C872D3" w:rsidRDefault="00EC5276" w:rsidP="00EC5276">
      <w:pPr>
        <w:rPr>
          <w:rFonts w:ascii="Century Gothic" w:eastAsia="Times New Roman" w:hAnsi="Century Gothic"/>
          <w:szCs w:val="22"/>
        </w:rPr>
      </w:pPr>
      <w:r w:rsidRPr="00C872D3">
        <w:rPr>
          <w:rFonts w:ascii="Century Gothic" w:eastAsia="Times New Roman" w:hAnsi="Century Gothic"/>
          <w:szCs w:val="22"/>
        </w:rPr>
        <w:t xml:space="preserve">A 2015 evaluation of ECC/HANH’s MTW program found the following: </w:t>
      </w:r>
    </w:p>
    <w:p w14:paraId="5EE0C14C" w14:textId="77777777" w:rsidR="00EC5276" w:rsidRPr="00C872D3" w:rsidRDefault="00EC5276" w:rsidP="00EC5276">
      <w:pPr>
        <w:rPr>
          <w:rFonts w:ascii="Century Gothic" w:eastAsia="Times New Roman" w:hAnsi="Century Gothic"/>
          <w:szCs w:val="22"/>
        </w:rPr>
      </w:pPr>
    </w:p>
    <w:p w14:paraId="6F645726" w14:textId="6537247F" w:rsidR="00EC5276" w:rsidRPr="00C872D3" w:rsidRDefault="00EC5276" w:rsidP="00486062">
      <w:pPr>
        <w:numPr>
          <w:ilvl w:val="0"/>
          <w:numId w:val="6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 xml:space="preserve">MTW has been used extensively by </w:t>
      </w:r>
      <w:r w:rsidR="007F16D6" w:rsidRPr="00C872D3">
        <w:rPr>
          <w:rFonts w:ascii="Century Gothic" w:eastAsia="Times New Roman" w:hAnsi="Century Gothic"/>
          <w:szCs w:val="22"/>
        </w:rPr>
        <w:t>ECC/HANH</w:t>
      </w:r>
      <w:r w:rsidRPr="00C872D3">
        <w:rPr>
          <w:rFonts w:ascii="Century Gothic" w:eastAsia="Times New Roman" w:hAnsi="Century Gothic"/>
          <w:szCs w:val="22"/>
        </w:rPr>
        <w:t xml:space="preserve"> to assist in redeveloping many of its properties. Various MTW flexibilities related to fungibility, income limits, project-based vouchers, and development and construction cost limits have been used to help redevelop over 800 affordable units. Through these projects </w:t>
      </w:r>
      <w:r w:rsidR="007F16D6" w:rsidRPr="00C872D3">
        <w:rPr>
          <w:rFonts w:ascii="Century Gothic" w:eastAsia="Times New Roman" w:hAnsi="Century Gothic"/>
          <w:szCs w:val="22"/>
        </w:rPr>
        <w:t>ECC/HANH</w:t>
      </w:r>
      <w:r w:rsidRPr="00C872D3">
        <w:rPr>
          <w:rFonts w:ascii="Century Gothic" w:eastAsia="Times New Roman" w:hAnsi="Century Gothic"/>
          <w:szCs w:val="22"/>
        </w:rPr>
        <w:t xml:space="preserve"> was also able to earn nearly $5 million in developer fees.</w:t>
      </w:r>
    </w:p>
    <w:p w14:paraId="77704523" w14:textId="77777777" w:rsidR="00EC5276" w:rsidRPr="00C872D3" w:rsidRDefault="00EC5276" w:rsidP="00EC5276">
      <w:pPr>
        <w:rPr>
          <w:rFonts w:ascii="Century Gothic" w:eastAsia="Times New Roman" w:hAnsi="Century Gothic"/>
          <w:szCs w:val="22"/>
        </w:rPr>
      </w:pPr>
    </w:p>
    <w:p w14:paraId="29194521" w14:textId="3BEC7F68" w:rsidR="00EC5276" w:rsidRPr="00C872D3" w:rsidRDefault="007F16D6" w:rsidP="00486062">
      <w:pPr>
        <w:numPr>
          <w:ilvl w:val="0"/>
          <w:numId w:val="6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ECC/HANH</w:t>
      </w:r>
      <w:r w:rsidR="00EC5276" w:rsidRPr="00C872D3">
        <w:rPr>
          <w:rFonts w:ascii="Century Gothic" w:eastAsia="Times New Roman" w:hAnsi="Century Gothic"/>
          <w:szCs w:val="22"/>
        </w:rPr>
        <w:t xml:space="preserve"> has had success using MTW flexibilities to implement activities that have led to 40K hours of staff time savings and over $500K in cost savings. Key activity drivers of these savings include rent simplification’s biennial/triennial reexam schedules, biennial/triennial HQS inspections, mandatory direct deposit for HCV landlords, and limiting HCV landlord rent increases to once per reexam cycle. </w:t>
      </w:r>
    </w:p>
    <w:p w14:paraId="497DCEBE" w14:textId="77777777" w:rsidR="00EC5276" w:rsidRPr="00C872D3" w:rsidRDefault="00EC5276" w:rsidP="00EC5276">
      <w:pPr>
        <w:rPr>
          <w:rFonts w:ascii="Century Gothic" w:eastAsia="Times New Roman" w:hAnsi="Century Gothic"/>
          <w:szCs w:val="22"/>
        </w:rPr>
      </w:pPr>
    </w:p>
    <w:p w14:paraId="7A711AFF" w14:textId="32BE1FAD" w:rsidR="00EC5276" w:rsidRPr="00C872D3" w:rsidRDefault="00EC5276" w:rsidP="00486062">
      <w:pPr>
        <w:numPr>
          <w:ilvl w:val="0"/>
          <w:numId w:val="6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 xml:space="preserve">MTW flexibility has also been used to create special programs that serve sub-populations with unique challenges including families facing homelessness and foreclosure and former prisoners who are re-entering the community. </w:t>
      </w:r>
      <w:r w:rsidR="007F16D6" w:rsidRPr="00C872D3">
        <w:rPr>
          <w:rFonts w:ascii="Century Gothic" w:eastAsia="Times New Roman" w:hAnsi="Century Gothic"/>
          <w:szCs w:val="22"/>
        </w:rPr>
        <w:t>ECC/HANH</w:t>
      </w:r>
      <w:r w:rsidRPr="00C872D3">
        <w:rPr>
          <w:rFonts w:ascii="Century Gothic" w:eastAsia="Times New Roman" w:hAnsi="Century Gothic"/>
          <w:szCs w:val="22"/>
        </w:rPr>
        <w:t xml:space="preserve"> has also aided families seeking to move into lower poverty areas through its </w:t>
      </w:r>
      <w:r w:rsidR="00050D89" w:rsidRPr="00C872D3">
        <w:rPr>
          <w:rFonts w:ascii="Century Gothic" w:eastAsia="Times New Roman" w:hAnsi="Century Gothic"/>
          <w:szCs w:val="22"/>
        </w:rPr>
        <w:t>Deconcentration</w:t>
      </w:r>
      <w:r w:rsidRPr="00C872D3">
        <w:rPr>
          <w:rFonts w:ascii="Century Gothic" w:eastAsia="Times New Roman" w:hAnsi="Century Gothic"/>
          <w:szCs w:val="22"/>
        </w:rPr>
        <w:t xml:space="preserve"> initiative.</w:t>
      </w:r>
    </w:p>
    <w:p w14:paraId="6025AFE1" w14:textId="77777777" w:rsidR="00EC5276" w:rsidRPr="00C872D3" w:rsidRDefault="00EC5276" w:rsidP="00EC5276">
      <w:pPr>
        <w:rPr>
          <w:rFonts w:ascii="Century Gothic" w:eastAsia="Times New Roman" w:hAnsi="Century Gothic"/>
          <w:szCs w:val="22"/>
        </w:rPr>
      </w:pPr>
    </w:p>
    <w:p w14:paraId="20D945B3" w14:textId="77777777" w:rsidR="00EC5276" w:rsidRPr="00C872D3" w:rsidRDefault="00EC5276" w:rsidP="00EC5276">
      <w:pPr>
        <w:rPr>
          <w:rFonts w:ascii="Century Gothic" w:eastAsia="Times New Roman" w:hAnsi="Century Gothic"/>
          <w:szCs w:val="22"/>
        </w:rPr>
      </w:pPr>
      <w:r w:rsidRPr="00C872D3">
        <w:rPr>
          <w:rFonts w:ascii="Century Gothic" w:eastAsia="Times New Roman" w:hAnsi="Century Gothic"/>
          <w:szCs w:val="22"/>
        </w:rPr>
        <w:t xml:space="preserve">The evaluation provided the following recommendations: </w:t>
      </w:r>
    </w:p>
    <w:p w14:paraId="4A539A46" w14:textId="77777777" w:rsidR="00EC5276" w:rsidRPr="00C872D3" w:rsidRDefault="00EC5276" w:rsidP="00EC5276">
      <w:pPr>
        <w:rPr>
          <w:rFonts w:ascii="Century Gothic" w:eastAsia="Times New Roman" w:hAnsi="Century Gothic"/>
          <w:szCs w:val="22"/>
        </w:rPr>
      </w:pPr>
    </w:p>
    <w:p w14:paraId="04525CC1" w14:textId="77777777" w:rsidR="00EC5276" w:rsidRPr="00C872D3" w:rsidRDefault="00EC5276" w:rsidP="00486062">
      <w:pPr>
        <w:numPr>
          <w:ilvl w:val="0"/>
          <w:numId w:val="8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 xml:space="preserve">Improve core self-sufficiency activities by advancing case management and classes. </w:t>
      </w:r>
    </w:p>
    <w:p w14:paraId="66BD0C1D" w14:textId="11273304" w:rsidR="00EC5276" w:rsidRPr="00C872D3" w:rsidRDefault="00EC5276" w:rsidP="00486062">
      <w:pPr>
        <w:numPr>
          <w:ilvl w:val="0"/>
          <w:numId w:val="8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 xml:space="preserve">Streamline the number of self-sufficiency programs and review </w:t>
      </w:r>
      <w:r w:rsidR="001C72E3" w:rsidRPr="00C872D3">
        <w:rPr>
          <w:rFonts w:ascii="Century Gothic" w:eastAsia="Times New Roman" w:hAnsi="Century Gothic"/>
          <w:szCs w:val="22"/>
        </w:rPr>
        <w:t>alternative service</w:t>
      </w:r>
      <w:r w:rsidRPr="00C872D3">
        <w:rPr>
          <w:rFonts w:ascii="Century Gothic" w:eastAsia="Times New Roman" w:hAnsi="Century Gothic"/>
          <w:szCs w:val="22"/>
        </w:rPr>
        <w:t>.</w:t>
      </w:r>
    </w:p>
    <w:p w14:paraId="7D86909E" w14:textId="77777777" w:rsidR="00EC5276" w:rsidRPr="00C872D3" w:rsidRDefault="00EC5276" w:rsidP="00486062">
      <w:pPr>
        <w:numPr>
          <w:ilvl w:val="0"/>
          <w:numId w:val="8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Transform MTW data collection and reporting by advancing data management and streamlining processes.</w:t>
      </w:r>
    </w:p>
    <w:p w14:paraId="2E6706AB" w14:textId="77777777" w:rsidR="00EC5276" w:rsidRPr="00C872D3" w:rsidRDefault="00EC5276" w:rsidP="00486062">
      <w:pPr>
        <w:numPr>
          <w:ilvl w:val="0"/>
          <w:numId w:val="8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Enhance staff involvement in setting and meeting MTW goals.</w:t>
      </w:r>
    </w:p>
    <w:p w14:paraId="41779EF8" w14:textId="77777777" w:rsidR="00EC5276" w:rsidRPr="00C872D3" w:rsidRDefault="00EC5276" w:rsidP="00486062">
      <w:pPr>
        <w:numPr>
          <w:ilvl w:val="0"/>
          <w:numId w:val="8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 xml:space="preserve">Continue to streamline administrative processes. </w:t>
      </w:r>
    </w:p>
    <w:p w14:paraId="251A698F" w14:textId="77777777" w:rsidR="00EC5276" w:rsidRPr="00C872D3" w:rsidRDefault="00EC5276" w:rsidP="00486062">
      <w:pPr>
        <w:numPr>
          <w:ilvl w:val="0"/>
          <w:numId w:val="8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 xml:space="preserve">Evolve MTW rent policy to enhance </w:t>
      </w:r>
      <w:proofErr w:type="gramStart"/>
      <w:r w:rsidRPr="00C872D3">
        <w:rPr>
          <w:rFonts w:ascii="Century Gothic" w:eastAsia="Times New Roman" w:hAnsi="Century Gothic"/>
          <w:szCs w:val="22"/>
        </w:rPr>
        <w:t>motivations</w:t>
      </w:r>
      <w:proofErr w:type="gramEnd"/>
      <w:r w:rsidRPr="00C872D3">
        <w:rPr>
          <w:rFonts w:ascii="Century Gothic" w:eastAsia="Times New Roman" w:hAnsi="Century Gothic"/>
          <w:szCs w:val="22"/>
        </w:rPr>
        <w:t xml:space="preserve"> for work-able families to work.</w:t>
      </w:r>
    </w:p>
    <w:p w14:paraId="01506826" w14:textId="77777777" w:rsidR="00EC5276" w:rsidRPr="00C872D3" w:rsidRDefault="00EC5276" w:rsidP="00486062">
      <w:pPr>
        <w:numPr>
          <w:ilvl w:val="0"/>
          <w:numId w:val="81"/>
        </w:numPr>
        <w:spacing w:after="160" w:line="259" w:lineRule="auto"/>
        <w:contextualSpacing/>
        <w:rPr>
          <w:rFonts w:ascii="Century Gothic" w:eastAsia="Times New Roman" w:hAnsi="Century Gothic"/>
          <w:szCs w:val="22"/>
        </w:rPr>
      </w:pPr>
      <w:r w:rsidRPr="00C872D3">
        <w:rPr>
          <w:rFonts w:ascii="Century Gothic" w:eastAsia="Times New Roman" w:hAnsi="Century Gothic"/>
          <w:szCs w:val="22"/>
        </w:rPr>
        <w:t>Raise awareness for MTW programs with clients and partners.</w:t>
      </w:r>
    </w:p>
    <w:p w14:paraId="04B81B14" w14:textId="77777777" w:rsidR="00EC5276" w:rsidRPr="00C872D3" w:rsidRDefault="00EC5276" w:rsidP="00EC5276">
      <w:pPr>
        <w:rPr>
          <w:rFonts w:ascii="Century Gothic" w:eastAsia="Times New Roman" w:hAnsi="Century Gothic"/>
          <w:szCs w:val="22"/>
        </w:rPr>
      </w:pPr>
    </w:p>
    <w:p w14:paraId="25F37442" w14:textId="178DF716" w:rsidR="00EC5276" w:rsidRPr="00C872D3" w:rsidRDefault="00EC5276" w:rsidP="00EC5276">
      <w:pPr>
        <w:rPr>
          <w:rFonts w:ascii="Century Gothic" w:eastAsia="Times New Roman" w:hAnsi="Century Gothic"/>
          <w:szCs w:val="22"/>
        </w:rPr>
      </w:pPr>
      <w:r w:rsidRPr="00C872D3">
        <w:rPr>
          <w:rFonts w:ascii="Century Gothic" w:eastAsia="Times New Roman" w:hAnsi="Century Gothic"/>
          <w:szCs w:val="22"/>
        </w:rPr>
        <w:t xml:space="preserve">ECC/HANH has been working toward these recommendations. In 2016, the agency contracted with Enterprise Community Partners to position the agency </w:t>
      </w:r>
      <w:r w:rsidR="008F259B" w:rsidRPr="00C872D3">
        <w:rPr>
          <w:rFonts w:ascii="Century Gothic" w:eastAsia="Times New Roman" w:hAnsi="Century Gothic"/>
          <w:szCs w:val="22"/>
        </w:rPr>
        <w:t>for future</w:t>
      </w:r>
      <w:r w:rsidRPr="00C872D3">
        <w:rPr>
          <w:rFonts w:ascii="Century Gothic" w:eastAsia="Times New Roman" w:hAnsi="Century Gothic"/>
          <w:szCs w:val="22"/>
        </w:rPr>
        <w:t xml:space="preserve"> evaluation of its MTW program and each of its initiatives. Enterprise </w:t>
      </w:r>
      <w:r w:rsidR="00027BCB" w:rsidRPr="00C872D3">
        <w:rPr>
          <w:rFonts w:ascii="Century Gothic" w:eastAsia="Times New Roman" w:hAnsi="Century Gothic"/>
          <w:szCs w:val="22"/>
        </w:rPr>
        <w:t>has completed</w:t>
      </w:r>
      <w:r w:rsidRPr="00C872D3">
        <w:rPr>
          <w:rFonts w:ascii="Century Gothic" w:eastAsia="Times New Roman" w:hAnsi="Century Gothic"/>
          <w:szCs w:val="22"/>
        </w:rPr>
        <w:t xml:space="preserve"> its three-year contract to complete ECC/HANH’s MTW Plans and Reports each year and has </w:t>
      </w:r>
      <w:proofErr w:type="gramStart"/>
      <w:r w:rsidRPr="00C872D3">
        <w:rPr>
          <w:rFonts w:ascii="Century Gothic" w:eastAsia="Times New Roman" w:hAnsi="Century Gothic"/>
          <w:szCs w:val="22"/>
        </w:rPr>
        <w:t>coordinated with</w:t>
      </w:r>
      <w:proofErr w:type="gramEnd"/>
      <w:r w:rsidRPr="00C872D3">
        <w:rPr>
          <w:rFonts w:ascii="Century Gothic" w:eastAsia="Times New Roman" w:hAnsi="Century Gothic"/>
          <w:szCs w:val="22"/>
        </w:rPr>
        <w:t xml:space="preserve"> ECC/HANH’s data collection software provider for optimal data collection. Enterprise has provided data collection recommendations to ensure ECC/HANH is collecting data for metrics to support proper reporting and to support a future evaluation.</w:t>
      </w:r>
    </w:p>
    <w:p w14:paraId="6F905D6F" w14:textId="50B13B48" w:rsidR="00EC5276" w:rsidRPr="00C872D3" w:rsidRDefault="000F74D2" w:rsidP="00EC5276">
      <w:pPr>
        <w:rPr>
          <w:rFonts w:ascii="Century Gothic" w:eastAsia="Times New Roman" w:hAnsi="Century Gothic"/>
          <w:szCs w:val="22"/>
        </w:rPr>
      </w:pPr>
      <w:r w:rsidRPr="00C872D3">
        <w:rPr>
          <w:rFonts w:ascii="Century Gothic" w:eastAsia="Times New Roman" w:hAnsi="Century Gothic"/>
          <w:szCs w:val="22"/>
        </w:rPr>
        <w:br/>
      </w:r>
      <w:r w:rsidR="00EC5276" w:rsidRPr="00C872D3">
        <w:rPr>
          <w:rFonts w:ascii="Century Gothic" w:eastAsia="Times New Roman" w:hAnsi="Century Gothic"/>
          <w:szCs w:val="22"/>
        </w:rPr>
        <w:t>Enterprise Community Partners found the following:</w:t>
      </w:r>
    </w:p>
    <w:p w14:paraId="105D5C9E" w14:textId="392A18F0" w:rsidR="00EC5276" w:rsidRPr="00C872D3" w:rsidRDefault="00EC5276" w:rsidP="3743D8DA">
      <w:pPr>
        <w:rPr>
          <w:rFonts w:ascii="Century Gothic" w:eastAsia="Times New Roman" w:hAnsi="Century Gothic"/>
        </w:rPr>
      </w:pPr>
    </w:p>
    <w:p w14:paraId="5B362553" w14:textId="5790930A" w:rsidR="00C30B5A" w:rsidRPr="00C872D3" w:rsidRDefault="00C30B5A" w:rsidP="3743D8DA">
      <w:pPr>
        <w:rPr>
          <w:rFonts w:ascii="Century Gothic" w:eastAsia="Times New Roman" w:hAnsi="Century Gothic"/>
        </w:rPr>
      </w:pPr>
      <w:r w:rsidRPr="00C872D3">
        <w:rPr>
          <w:rFonts w:ascii="Century Gothic" w:eastAsia="Times New Roman" w:hAnsi="Century Gothic"/>
        </w:rPr>
        <w:t xml:space="preserve">ECC/HANH continues to support housing choice for their residents by redeveloping and repositioning aging low-income public housing developments, replacing demolished units with a variety of affordable housing types, increasing participation in the RAD program, renovating offline units, upgrading units, and making accessibility improvements. These efforts could produce positive ripple effects throughout the city of New Haven, especially near the West Rock Neighborhood where </w:t>
      </w:r>
      <w:r w:rsidRPr="00C872D3">
        <w:rPr>
          <w:rFonts w:ascii="Century Gothic" w:eastAsia="Times New Roman" w:hAnsi="Century Gothic"/>
        </w:rPr>
        <w:lastRenderedPageBreak/>
        <w:t xml:space="preserve">ECC/HANH is working to redevelop all public housing properties. Positive community impacts are being reported at the two ECC/HANH properties for which crime data was analyzed, both of which have had reductions in the number of major crimes. ECC/HANH’s efforts to provide housing choice for vulnerable populations </w:t>
      </w:r>
      <w:proofErr w:type="gramStart"/>
      <w:r w:rsidRPr="00C872D3">
        <w:rPr>
          <w:rFonts w:ascii="Century Gothic" w:eastAsia="Times New Roman" w:hAnsi="Century Gothic"/>
        </w:rPr>
        <w:t>continues</w:t>
      </w:r>
      <w:proofErr w:type="gramEnd"/>
      <w:r w:rsidRPr="00C872D3">
        <w:rPr>
          <w:rFonts w:ascii="Century Gothic" w:eastAsia="Times New Roman" w:hAnsi="Century Gothic"/>
        </w:rPr>
        <w:t xml:space="preserve"> to increase. </w:t>
      </w:r>
    </w:p>
    <w:p w14:paraId="0EEB8805" w14:textId="77777777" w:rsidR="00C30B5A" w:rsidRPr="00C872D3" w:rsidRDefault="00C30B5A" w:rsidP="00C30B5A">
      <w:pPr>
        <w:rPr>
          <w:rFonts w:ascii="Century Gothic" w:eastAsia="Times New Roman" w:hAnsi="Century Gothic"/>
          <w:szCs w:val="22"/>
        </w:rPr>
      </w:pPr>
    </w:p>
    <w:p w14:paraId="7CCDE867" w14:textId="69023C2A" w:rsidR="00C30B5A" w:rsidRPr="00C872D3" w:rsidRDefault="00C30B5A" w:rsidP="00C30B5A">
      <w:pPr>
        <w:rPr>
          <w:rFonts w:ascii="Century Gothic" w:eastAsia="Times New Roman" w:hAnsi="Century Gothic"/>
          <w:szCs w:val="22"/>
        </w:rPr>
      </w:pPr>
      <w:r w:rsidRPr="00C872D3">
        <w:rPr>
          <w:rFonts w:ascii="Century Gothic" w:eastAsia="Times New Roman" w:hAnsi="Century Gothic"/>
          <w:szCs w:val="22"/>
        </w:rPr>
        <w:t xml:space="preserve">ECC/HANH continues to work toward improving its self-sufficiency programming, especially for particularly vulnerable populations. To assist the most vulnerable, ECC/HANH continues to serve a high proportion of very low-income </w:t>
      </w:r>
      <w:r w:rsidR="00434121" w:rsidRPr="00C872D3">
        <w:rPr>
          <w:rFonts w:ascii="Century Gothic" w:eastAsia="Times New Roman" w:hAnsi="Century Gothic"/>
          <w:szCs w:val="22"/>
        </w:rPr>
        <w:t>households.</w:t>
      </w:r>
    </w:p>
    <w:p w14:paraId="44737CB4" w14:textId="54E71E85" w:rsidR="00C30B5A" w:rsidRPr="00C872D3" w:rsidRDefault="00C30B5A" w:rsidP="00C30B5A">
      <w:pPr>
        <w:rPr>
          <w:rFonts w:ascii="Century Gothic" w:eastAsia="Times New Roman" w:hAnsi="Century Gothic"/>
          <w:szCs w:val="22"/>
        </w:rPr>
      </w:pPr>
      <w:r w:rsidRPr="00C872D3">
        <w:rPr>
          <w:rFonts w:ascii="Century Gothic" w:eastAsia="Times New Roman" w:hAnsi="Century Gothic"/>
          <w:szCs w:val="22"/>
        </w:rPr>
        <w:t xml:space="preserve">The self-sufficiency programs saw </w:t>
      </w:r>
      <w:r w:rsidR="00111946" w:rsidRPr="00C872D3">
        <w:rPr>
          <w:rFonts w:ascii="Century Gothic" w:eastAsia="Times New Roman" w:hAnsi="Century Gothic"/>
          <w:szCs w:val="22"/>
        </w:rPr>
        <w:t xml:space="preserve">decreased </w:t>
      </w:r>
      <w:r w:rsidRPr="00C872D3">
        <w:rPr>
          <w:rFonts w:ascii="Century Gothic" w:eastAsia="Times New Roman" w:hAnsi="Century Gothic"/>
          <w:szCs w:val="22"/>
        </w:rPr>
        <w:t xml:space="preserve">participation in </w:t>
      </w:r>
      <w:r w:rsidR="00111946" w:rsidRPr="00C872D3">
        <w:rPr>
          <w:rFonts w:ascii="Century Gothic" w:eastAsia="Times New Roman" w:hAnsi="Century Gothic"/>
          <w:szCs w:val="22"/>
        </w:rPr>
        <w:t>FY 2021</w:t>
      </w:r>
      <w:r w:rsidRPr="00C872D3">
        <w:rPr>
          <w:rFonts w:ascii="Century Gothic" w:eastAsia="Times New Roman" w:hAnsi="Century Gothic"/>
          <w:szCs w:val="22"/>
        </w:rPr>
        <w:t xml:space="preserve">, including FSS, Teacher </w:t>
      </w:r>
      <w:r w:rsidR="003A7677" w:rsidRPr="00C872D3">
        <w:rPr>
          <w:rFonts w:ascii="Century Gothic" w:eastAsia="Times New Roman" w:hAnsi="Century Gothic"/>
          <w:szCs w:val="22"/>
        </w:rPr>
        <w:t>in</w:t>
      </w:r>
      <w:r w:rsidRPr="00C872D3">
        <w:rPr>
          <w:rFonts w:ascii="Century Gothic" w:eastAsia="Times New Roman" w:hAnsi="Century Gothic"/>
          <w:szCs w:val="22"/>
        </w:rPr>
        <w:t xml:space="preserve"> </w:t>
      </w:r>
      <w:r w:rsidR="001E1410" w:rsidRPr="00C872D3">
        <w:rPr>
          <w:rFonts w:ascii="Century Gothic" w:eastAsia="Times New Roman" w:hAnsi="Century Gothic"/>
          <w:szCs w:val="22"/>
        </w:rPr>
        <w:t xml:space="preserve">Residence, </w:t>
      </w:r>
      <w:r w:rsidR="008F259B" w:rsidRPr="00C872D3">
        <w:rPr>
          <w:rFonts w:ascii="Century Gothic" w:eastAsia="Times New Roman" w:hAnsi="Century Gothic"/>
          <w:szCs w:val="22"/>
        </w:rPr>
        <w:t>and Resident</w:t>
      </w:r>
      <w:r w:rsidRPr="00C872D3">
        <w:rPr>
          <w:rFonts w:ascii="Century Gothic" w:eastAsia="Times New Roman" w:hAnsi="Century Gothic"/>
          <w:szCs w:val="22"/>
        </w:rPr>
        <w:t xml:space="preserve"> Owned Business</w:t>
      </w:r>
      <w:r w:rsidR="00111946" w:rsidRPr="00C872D3">
        <w:rPr>
          <w:rFonts w:ascii="Century Gothic" w:eastAsia="Times New Roman" w:hAnsi="Century Gothic"/>
          <w:szCs w:val="22"/>
        </w:rPr>
        <w:t xml:space="preserve"> due to COVID19, however</w:t>
      </w:r>
      <w:r w:rsidRPr="00C872D3">
        <w:rPr>
          <w:rFonts w:ascii="Century Gothic" w:eastAsia="Times New Roman" w:hAnsi="Century Gothic"/>
          <w:szCs w:val="22"/>
        </w:rPr>
        <w:t xml:space="preserve"> ECC/HANH continues to </w:t>
      </w:r>
      <w:proofErr w:type="gramStart"/>
      <w:r w:rsidRPr="00C872D3">
        <w:rPr>
          <w:rFonts w:ascii="Century Gothic" w:eastAsia="Times New Roman" w:hAnsi="Century Gothic"/>
          <w:szCs w:val="22"/>
        </w:rPr>
        <w:t xml:space="preserve">focus </w:t>
      </w:r>
      <w:r w:rsidR="00111946" w:rsidRPr="00C872D3">
        <w:rPr>
          <w:rFonts w:ascii="Century Gothic" w:eastAsia="Times New Roman" w:hAnsi="Century Gothic"/>
          <w:szCs w:val="22"/>
        </w:rPr>
        <w:t>on</w:t>
      </w:r>
      <w:proofErr w:type="gramEnd"/>
      <w:r w:rsidR="00111946" w:rsidRPr="00C872D3">
        <w:rPr>
          <w:rFonts w:ascii="Century Gothic" w:eastAsia="Times New Roman" w:hAnsi="Century Gothic"/>
          <w:szCs w:val="22"/>
        </w:rPr>
        <w:t xml:space="preserve"> </w:t>
      </w:r>
      <w:r w:rsidRPr="00C872D3">
        <w:rPr>
          <w:rFonts w:ascii="Century Gothic" w:eastAsia="Times New Roman" w:hAnsi="Century Gothic"/>
          <w:szCs w:val="22"/>
        </w:rPr>
        <w:t xml:space="preserve">efforts on increasing participation. </w:t>
      </w:r>
    </w:p>
    <w:p w14:paraId="1D83CF6D" w14:textId="77777777" w:rsidR="00C30B5A" w:rsidRPr="00C872D3" w:rsidRDefault="00C30B5A" w:rsidP="00C30B5A">
      <w:pPr>
        <w:rPr>
          <w:rFonts w:ascii="Century Gothic" w:eastAsia="Times New Roman" w:hAnsi="Century Gothic"/>
          <w:szCs w:val="22"/>
        </w:rPr>
      </w:pPr>
    </w:p>
    <w:p w14:paraId="64B93E65" w14:textId="4B7929E0" w:rsidR="00C30B5A" w:rsidRPr="00C872D3" w:rsidRDefault="00C30B5A" w:rsidP="00C30B5A">
      <w:pPr>
        <w:rPr>
          <w:rFonts w:ascii="Century Gothic" w:eastAsia="Times New Roman" w:hAnsi="Century Gothic"/>
          <w:szCs w:val="22"/>
        </w:rPr>
      </w:pPr>
      <w:r w:rsidRPr="00C872D3">
        <w:rPr>
          <w:rFonts w:ascii="Century Gothic" w:eastAsia="Times New Roman" w:hAnsi="Century Gothic"/>
          <w:szCs w:val="22"/>
        </w:rPr>
        <w:t>ECC/HANH has demonstrated continued cost effectiveness by deriving agency revenue from redevelopment fees, leveraging private investment through the mixed-finance process, and reducing administrative burden. The Rent Simplification initiative has saved an average of nearly 7,000 hours of staff time per year since 2008, while the HCV Rent Simplification/Cost Stabilization Measure initiative saved over 200 hours of staff time in 2015 and 2016. Since 2008, ECC/HANH has saved over $</w:t>
      </w:r>
      <w:r w:rsidR="00A65771" w:rsidRPr="00C872D3">
        <w:rPr>
          <w:rFonts w:ascii="Century Gothic" w:eastAsia="Times New Roman" w:hAnsi="Century Gothic"/>
          <w:szCs w:val="22"/>
        </w:rPr>
        <w:t>221,000</w:t>
      </w:r>
      <w:r w:rsidRPr="00C872D3">
        <w:rPr>
          <w:rFonts w:ascii="Century Gothic" w:eastAsia="Times New Roman" w:hAnsi="Century Gothic"/>
          <w:szCs w:val="22"/>
        </w:rPr>
        <w:t xml:space="preserve"> in printing and mailing costs alone by changing the annual recertification schedule. In 2016, ECC/HANH implemented a new quality assurance process that decreased their average error rate for calculating recertifications to just 1</w:t>
      </w:r>
      <w:r w:rsidR="001E1410" w:rsidRPr="00C872D3">
        <w:rPr>
          <w:rFonts w:ascii="Century Gothic" w:eastAsia="Times New Roman" w:hAnsi="Century Gothic"/>
          <w:szCs w:val="22"/>
        </w:rPr>
        <w:t>%,</w:t>
      </w:r>
      <w:r w:rsidRPr="00C872D3">
        <w:rPr>
          <w:rFonts w:ascii="Century Gothic" w:eastAsia="Times New Roman" w:hAnsi="Century Gothic"/>
          <w:szCs w:val="22"/>
        </w:rPr>
        <w:t xml:space="preserve"> reducing administrative burden even further.</w:t>
      </w:r>
    </w:p>
    <w:p w14:paraId="319B9291" w14:textId="77777777" w:rsidR="00C30B5A" w:rsidRPr="00C872D3" w:rsidRDefault="00C30B5A" w:rsidP="00C30B5A">
      <w:pPr>
        <w:rPr>
          <w:rFonts w:ascii="Century Gothic" w:eastAsia="Times New Roman" w:hAnsi="Century Gothic"/>
          <w:szCs w:val="22"/>
        </w:rPr>
      </w:pPr>
    </w:p>
    <w:p w14:paraId="38529167" w14:textId="301C89C8" w:rsidR="00C30B5A" w:rsidRPr="00C872D3" w:rsidRDefault="00C30B5A" w:rsidP="00C30B5A">
      <w:pPr>
        <w:rPr>
          <w:rFonts w:ascii="Century Gothic" w:eastAsia="Times New Roman" w:hAnsi="Century Gothic"/>
          <w:szCs w:val="22"/>
        </w:rPr>
      </w:pPr>
      <w:r w:rsidRPr="00C872D3">
        <w:rPr>
          <w:rFonts w:ascii="Century Gothic" w:eastAsia="Times New Roman" w:hAnsi="Century Gothic"/>
          <w:szCs w:val="22"/>
        </w:rPr>
        <w:t xml:space="preserve">Despite efforts to increase the cost effectiveness of its development activities, ECC/HANH still faces challenges due to the high construction costs of the area. To </w:t>
      </w:r>
      <w:proofErr w:type="gramStart"/>
      <w:r w:rsidRPr="00C872D3">
        <w:rPr>
          <w:rFonts w:ascii="Century Gothic" w:eastAsia="Times New Roman" w:hAnsi="Century Gothic"/>
          <w:szCs w:val="22"/>
        </w:rPr>
        <w:t>drive down</w:t>
      </w:r>
      <w:proofErr w:type="gramEnd"/>
      <w:r w:rsidRPr="00C872D3">
        <w:rPr>
          <w:rFonts w:ascii="Century Gothic" w:eastAsia="Times New Roman" w:hAnsi="Century Gothic"/>
          <w:szCs w:val="22"/>
        </w:rPr>
        <w:t xml:space="preserve"> costs, ECC/HANH have improved development design, adhered to competitive bidding </w:t>
      </w:r>
      <w:r w:rsidR="003A7677" w:rsidRPr="00C872D3">
        <w:rPr>
          <w:rFonts w:ascii="Century Gothic" w:eastAsia="Times New Roman" w:hAnsi="Century Gothic"/>
          <w:szCs w:val="22"/>
        </w:rPr>
        <w:t>procedures,</w:t>
      </w:r>
      <w:r w:rsidRPr="00C872D3">
        <w:rPr>
          <w:rFonts w:ascii="Century Gothic" w:eastAsia="Times New Roman" w:hAnsi="Century Gothic"/>
          <w:szCs w:val="22"/>
        </w:rPr>
        <w:t xml:space="preserve"> and encouraged competition among contractors. However, according to RS Means cost data for 2014, construction costs in the New Haven metropolitan area were 110.2% of the national average.</w:t>
      </w:r>
      <w:r w:rsidRPr="00C872D3">
        <w:rPr>
          <w:rFonts w:ascii="Century Gothic" w:eastAsia="Times New Roman" w:hAnsi="Century Gothic"/>
          <w:szCs w:val="22"/>
          <w:vertAlign w:val="superscript"/>
        </w:rPr>
        <w:t>1</w:t>
      </w:r>
      <w:r w:rsidRPr="00C872D3">
        <w:rPr>
          <w:rFonts w:ascii="Century Gothic" w:eastAsia="Times New Roman" w:hAnsi="Century Gothic"/>
          <w:szCs w:val="22"/>
        </w:rPr>
        <w:t xml:space="preserve"> Comparatively, many much more populous cities experience construction costs lower than the national average: Atlanta (87.5%), Denver (93.3%), Los Angeles (107.3%), Phoenix (88.7%) and Washington, DC (97.7%). The 2014 construction costs in New Haven increased by 0.05% from 2010, suggesting that 2017 costs may be even higher than 110.2% of the national average.</w:t>
      </w:r>
      <w:r w:rsidRPr="00C872D3">
        <w:rPr>
          <w:rFonts w:ascii="Century Gothic" w:eastAsia="Times New Roman" w:hAnsi="Century Gothic"/>
          <w:szCs w:val="22"/>
          <w:vertAlign w:val="superscript"/>
        </w:rPr>
        <w:t>2</w:t>
      </w:r>
      <w:r w:rsidRPr="00C872D3">
        <w:rPr>
          <w:rFonts w:ascii="Century Gothic" w:eastAsia="Times New Roman" w:hAnsi="Century Gothic"/>
          <w:szCs w:val="22"/>
        </w:rPr>
        <w:t xml:space="preserve"> </w:t>
      </w:r>
    </w:p>
    <w:p w14:paraId="52A0F642" w14:textId="77777777" w:rsidR="00C30B5A" w:rsidRPr="00C872D3" w:rsidRDefault="00C30B5A" w:rsidP="00C30B5A">
      <w:pPr>
        <w:rPr>
          <w:rFonts w:ascii="Century Gothic" w:eastAsia="Times New Roman" w:hAnsi="Century Gothic"/>
          <w:szCs w:val="22"/>
        </w:rPr>
      </w:pPr>
    </w:p>
    <w:p w14:paraId="3F012004" w14:textId="108AE6C1" w:rsidR="00EC5276" w:rsidRPr="00C872D3" w:rsidRDefault="00C30B5A" w:rsidP="00832182">
      <w:pPr>
        <w:rPr>
          <w:rFonts w:ascii="Century Gothic" w:eastAsia="Times New Roman" w:hAnsi="Century Gothic"/>
          <w:szCs w:val="22"/>
        </w:rPr>
      </w:pPr>
      <w:r w:rsidRPr="00C872D3">
        <w:rPr>
          <w:rFonts w:ascii="Century Gothic" w:eastAsia="Times New Roman" w:hAnsi="Century Gothic"/>
        </w:rPr>
        <w:t xml:space="preserve">ECC/HANH has also focused on further engaging staff with the MTW reporting process and updating their data collection processes and infrastructure. In 2016, Enterprise Community Partners presented metrics and data collection recommendations to ECC/HANH leadership and held listening sessions with ECC/HANH data stewards, which resulted in better tailored metrics and data collection recommendations. </w:t>
      </w:r>
    </w:p>
    <w:p w14:paraId="29360A74" w14:textId="77777777" w:rsidR="00EC5276" w:rsidRPr="00C872D3" w:rsidRDefault="00EC5276" w:rsidP="00EC5276">
      <w:pPr>
        <w:rPr>
          <w:rFonts w:ascii="Century Gothic" w:eastAsia="Times New Roman" w:hAnsi="Century Gothic"/>
          <w:szCs w:val="22"/>
        </w:rPr>
      </w:pPr>
      <w:r w:rsidRPr="00C872D3">
        <w:rPr>
          <w:rFonts w:ascii="Century Gothic" w:eastAsia="Times New Roman" w:hAnsi="Century Gothic"/>
          <w:szCs w:val="22"/>
          <w:vertAlign w:val="superscript"/>
        </w:rPr>
        <w:t>1</w:t>
      </w:r>
      <w:r w:rsidRPr="00C872D3">
        <w:rPr>
          <w:rFonts w:ascii="Century Gothic" w:eastAsia="Times New Roman" w:hAnsi="Century Gothic"/>
          <w:szCs w:val="22"/>
        </w:rPr>
        <w:t xml:space="preserve"> The costs represented in the RS Means cost data publications are based on national averages for materials and installation. </w:t>
      </w:r>
    </w:p>
    <w:p w14:paraId="193BC52E" w14:textId="39592E94" w:rsidR="00EC5276" w:rsidRPr="00C872D3" w:rsidRDefault="00EC5276" w:rsidP="00EC5276">
      <w:pPr>
        <w:rPr>
          <w:rFonts w:ascii="Century Gothic" w:eastAsia="Times New Roman" w:hAnsi="Century Gothic"/>
          <w:szCs w:val="22"/>
        </w:rPr>
      </w:pPr>
      <w:r w:rsidRPr="00C872D3">
        <w:rPr>
          <w:rFonts w:ascii="Century Gothic" w:eastAsia="Times New Roman" w:hAnsi="Century Gothic"/>
          <w:szCs w:val="22"/>
          <w:vertAlign w:val="superscript"/>
        </w:rPr>
        <w:t>2</w:t>
      </w:r>
      <w:r w:rsidRPr="00C872D3">
        <w:rPr>
          <w:rFonts w:ascii="Century Gothic" w:eastAsia="Times New Roman" w:hAnsi="Century Gothic"/>
          <w:szCs w:val="22"/>
        </w:rPr>
        <w:t xml:space="preserve"> At time of the submission of this report, ECC/HANH did not have access for the 2017 </w:t>
      </w:r>
      <w:r w:rsidR="001E1410" w:rsidRPr="00C872D3">
        <w:rPr>
          <w:rFonts w:ascii="Century Gothic" w:eastAsia="Times New Roman" w:hAnsi="Century Gothic"/>
          <w:szCs w:val="22"/>
        </w:rPr>
        <w:t>RS Means</w:t>
      </w:r>
      <w:r w:rsidRPr="00C872D3">
        <w:rPr>
          <w:rFonts w:ascii="Century Gothic" w:eastAsia="Times New Roman" w:hAnsi="Century Gothic"/>
          <w:szCs w:val="22"/>
        </w:rPr>
        <w:t xml:space="preserve"> data for the New Haven metro area. </w:t>
      </w:r>
      <w:r w:rsidR="0083773E" w:rsidRPr="00C872D3">
        <w:rPr>
          <w:rFonts w:ascii="Century Gothic" w:eastAsia="Times New Roman" w:hAnsi="Century Gothic"/>
          <w:szCs w:val="22"/>
        </w:rPr>
        <w:t>Because in</w:t>
      </w:r>
      <w:r w:rsidRPr="00C872D3">
        <w:rPr>
          <w:rFonts w:ascii="Century Gothic" w:eastAsia="Times New Roman" w:hAnsi="Century Gothic"/>
          <w:szCs w:val="22"/>
        </w:rPr>
        <w:t xml:space="preserve"> 2010 construction costs increased by .05% from 109.7% of the national average in 2010 to 110.2% of the national average in 2014, so ECC/HANH expects that 2017 construction costs are even higher than 110.2% of the national average. </w:t>
      </w:r>
    </w:p>
    <w:p w14:paraId="250842AA" w14:textId="77777777" w:rsidR="00EC5276" w:rsidRPr="00C872D3" w:rsidRDefault="00EC5276" w:rsidP="00EC5276">
      <w:pPr>
        <w:rPr>
          <w:rFonts w:ascii="Century Gothic" w:eastAsia="Times New Roman" w:hAnsi="Century Gothic"/>
          <w:szCs w:val="22"/>
        </w:rPr>
      </w:pPr>
    </w:p>
    <w:p w14:paraId="48F23C23" w14:textId="77777777" w:rsidR="00EC5276" w:rsidRPr="00C872D3" w:rsidRDefault="00EC5276" w:rsidP="00EC5276">
      <w:pPr>
        <w:rPr>
          <w:rFonts w:ascii="Century Gothic" w:eastAsia="Times New Roman" w:hAnsi="Century Gothic"/>
          <w:szCs w:val="22"/>
          <w:lang w:eastAsia="en-US"/>
        </w:rPr>
      </w:pPr>
    </w:p>
    <w:p w14:paraId="0FF9F664" w14:textId="77777777" w:rsidR="00EC5276" w:rsidRPr="00C872D3" w:rsidRDefault="00EC5276" w:rsidP="00EC5276">
      <w:pPr>
        <w:rPr>
          <w:rFonts w:ascii="Century Gothic" w:eastAsia="Times New Roman" w:hAnsi="Century Gothic"/>
          <w:szCs w:val="22"/>
          <w:lang w:eastAsia="en-US"/>
        </w:rPr>
      </w:pPr>
    </w:p>
    <w:p w14:paraId="036E0E7B" w14:textId="77777777" w:rsidR="00EC5276" w:rsidRPr="00C872D3" w:rsidRDefault="00EC5276" w:rsidP="00EC5276">
      <w:pPr>
        <w:spacing w:after="160" w:line="276" w:lineRule="auto"/>
        <w:rPr>
          <w:rFonts w:ascii="Century Gothic" w:eastAsia="Times New Roman" w:hAnsi="Century Gothic"/>
          <w:b/>
          <w:szCs w:val="22"/>
        </w:rPr>
      </w:pPr>
      <w:r w:rsidRPr="00C872D3">
        <w:rPr>
          <w:rFonts w:ascii="Century Gothic" w:eastAsia="Times New Roman" w:hAnsi="Century Gothic"/>
          <w:szCs w:val="22"/>
        </w:rPr>
        <w:br w:type="page"/>
      </w:r>
    </w:p>
    <w:p w14:paraId="302E4858" w14:textId="77777777" w:rsidR="00EC5276" w:rsidRPr="00C872D3" w:rsidRDefault="00EC5276" w:rsidP="004C0050">
      <w:pPr>
        <w:pStyle w:val="MTWHeader2"/>
        <w:rPr>
          <w:rFonts w:ascii="Century Gothic" w:eastAsia="Times New Roman" w:hAnsi="Century Gothic" w:cs="Times New Roman"/>
          <w:sz w:val="22"/>
          <w:szCs w:val="22"/>
        </w:rPr>
      </w:pPr>
      <w:bookmarkStart w:id="207" w:name="_Toc89871200"/>
      <w:r w:rsidRPr="00C872D3">
        <w:rPr>
          <w:rFonts w:ascii="Century Gothic" w:eastAsia="Times New Roman" w:hAnsi="Century Gothic" w:cs="Times New Roman"/>
          <w:sz w:val="22"/>
          <w:szCs w:val="22"/>
        </w:rPr>
        <w:lastRenderedPageBreak/>
        <w:t>Appendix 5: Procedures for Rent Simplification for the Public Housing Program</w:t>
      </w:r>
      <w:bookmarkEnd w:id="207"/>
    </w:p>
    <w:p w14:paraId="54ECF925" w14:textId="77777777" w:rsidR="00B2304E" w:rsidRPr="00C872D3" w:rsidRDefault="00B2304E" w:rsidP="00B2304E">
      <w:pPr>
        <w:pStyle w:val="Subheading"/>
        <w:jc w:val="center"/>
        <w:rPr>
          <w:rStyle w:val="IntenseEmphasis"/>
          <w:rFonts w:ascii="Century Gothic" w:hAnsi="Century Gothic" w:cs="Times New Roman"/>
          <w:i/>
          <w:color w:val="auto"/>
          <w:sz w:val="22"/>
          <w:szCs w:val="22"/>
        </w:rPr>
      </w:pPr>
    </w:p>
    <w:p w14:paraId="221EE1B3" w14:textId="7CBA78F9" w:rsidR="00B2304E" w:rsidRPr="00C872D3" w:rsidRDefault="00B2304E" w:rsidP="00B2304E">
      <w:pPr>
        <w:pStyle w:val="Subheading"/>
        <w:jc w:val="center"/>
        <w:rPr>
          <w:rFonts w:ascii="Century Gothic" w:hAnsi="Century Gothic" w:cs="Times New Roman"/>
          <w:w w:val="84"/>
          <w:sz w:val="22"/>
          <w:szCs w:val="22"/>
        </w:rPr>
      </w:pPr>
      <w:bookmarkStart w:id="208" w:name="_Toc25222031"/>
      <w:bookmarkStart w:id="209" w:name="_Toc89871201"/>
      <w:r w:rsidRPr="00C872D3">
        <w:rPr>
          <w:rFonts w:ascii="Century Gothic" w:hAnsi="Century Gothic" w:cs="Times New Roman"/>
          <w:sz w:val="22"/>
          <w:szCs w:val="22"/>
        </w:rPr>
        <w:t>HOUSING AUTHORITY OF THE CITY OF NEW HAVEN</w:t>
      </w:r>
      <w:bookmarkEnd w:id="208"/>
      <w:bookmarkEnd w:id="209"/>
    </w:p>
    <w:p w14:paraId="15C56107" w14:textId="77777777" w:rsidR="00B2304E" w:rsidRPr="00C872D3" w:rsidRDefault="00B2304E" w:rsidP="00B2304E">
      <w:pPr>
        <w:pStyle w:val="Subheading"/>
        <w:jc w:val="center"/>
        <w:rPr>
          <w:rFonts w:ascii="Century Gothic" w:hAnsi="Century Gothic" w:cs="Times New Roman"/>
          <w:w w:val="84"/>
          <w:sz w:val="22"/>
          <w:szCs w:val="22"/>
        </w:rPr>
      </w:pPr>
    </w:p>
    <w:p w14:paraId="50280A94" w14:textId="2A1416B1" w:rsidR="00B2304E" w:rsidRPr="00C872D3" w:rsidRDefault="00B2304E" w:rsidP="00B2304E">
      <w:pPr>
        <w:pStyle w:val="Subheading"/>
        <w:jc w:val="center"/>
        <w:rPr>
          <w:rFonts w:ascii="Century Gothic" w:hAnsi="Century Gothic" w:cs="Times New Roman"/>
          <w:sz w:val="22"/>
          <w:szCs w:val="22"/>
        </w:rPr>
      </w:pPr>
      <w:bookmarkStart w:id="210" w:name="_Toc25222032"/>
      <w:bookmarkStart w:id="211" w:name="_Toc89871202"/>
      <w:r w:rsidRPr="00C872D3">
        <w:rPr>
          <w:rFonts w:ascii="Century Gothic" w:hAnsi="Century Gothic" w:cs="Times New Roman"/>
          <w:sz w:val="22"/>
          <w:szCs w:val="22"/>
        </w:rPr>
        <w:t>MOVING TO WORK SUFFICIENCY PROGRAM</w:t>
      </w:r>
      <w:bookmarkEnd w:id="210"/>
      <w:bookmarkEnd w:id="211"/>
    </w:p>
    <w:p w14:paraId="2B2AC315" w14:textId="77777777" w:rsidR="00B2304E" w:rsidRPr="00C872D3" w:rsidRDefault="00B2304E" w:rsidP="00B2304E">
      <w:pPr>
        <w:pStyle w:val="Subheading"/>
        <w:jc w:val="center"/>
        <w:rPr>
          <w:rFonts w:ascii="Century Gothic" w:hAnsi="Century Gothic" w:cs="Times New Roman"/>
          <w:sz w:val="22"/>
          <w:szCs w:val="22"/>
        </w:rPr>
      </w:pPr>
    </w:p>
    <w:p w14:paraId="228AC503" w14:textId="6518F57D" w:rsidR="00B2304E" w:rsidRPr="00C872D3" w:rsidRDefault="00B2304E" w:rsidP="00B2304E">
      <w:pPr>
        <w:pStyle w:val="Subheading"/>
        <w:jc w:val="center"/>
        <w:rPr>
          <w:rFonts w:ascii="Century Gothic" w:hAnsi="Century Gothic" w:cs="Times New Roman"/>
          <w:w w:val="84"/>
          <w:sz w:val="22"/>
          <w:szCs w:val="22"/>
        </w:rPr>
      </w:pPr>
      <w:bookmarkStart w:id="212" w:name="_Toc25222033"/>
      <w:bookmarkStart w:id="213" w:name="_Toc89871203"/>
      <w:r w:rsidRPr="00C872D3">
        <w:rPr>
          <w:rFonts w:ascii="Century Gothic" w:hAnsi="Century Gothic" w:cs="Times New Roman"/>
          <w:sz w:val="22"/>
          <w:szCs w:val="22"/>
        </w:rPr>
        <w:t>RENT SIMPLIFICATION PROCEDURES FOR THE PUBLIC HOUSING PROGRAM</w:t>
      </w:r>
      <w:bookmarkEnd w:id="212"/>
      <w:bookmarkEnd w:id="213"/>
    </w:p>
    <w:p w14:paraId="40B4C966" w14:textId="77777777" w:rsidR="00B2304E" w:rsidRPr="00C872D3" w:rsidRDefault="00B2304E" w:rsidP="00B2304E">
      <w:pPr>
        <w:pStyle w:val="Title"/>
        <w:rPr>
          <w:rStyle w:val="IntenseEmphasis"/>
          <w:rFonts w:ascii="Century Gothic" w:hAnsi="Century Gothic" w:cs="Times New Roman"/>
          <w:i/>
          <w:color w:val="auto"/>
          <w:sz w:val="22"/>
          <w:szCs w:val="22"/>
        </w:rPr>
      </w:pPr>
    </w:p>
    <w:p w14:paraId="729F2891" w14:textId="77777777" w:rsidR="00B2304E" w:rsidRPr="00C872D3" w:rsidRDefault="00B2304E" w:rsidP="00B2304E">
      <w:pPr>
        <w:pStyle w:val="Title"/>
        <w:rPr>
          <w:rStyle w:val="IntenseEmphasis"/>
          <w:rFonts w:ascii="Century Gothic" w:hAnsi="Century Gothic" w:cs="Times New Roman"/>
          <w:i/>
          <w:color w:val="auto"/>
          <w:sz w:val="22"/>
          <w:szCs w:val="22"/>
        </w:rPr>
      </w:pPr>
    </w:p>
    <w:p w14:paraId="25E49CC5" w14:textId="35C91DC3" w:rsidR="00B2304E" w:rsidRPr="00C872D3" w:rsidRDefault="00B2304E" w:rsidP="009F5154">
      <w:pPr>
        <w:spacing w:after="200" w:line="276" w:lineRule="auto"/>
        <w:rPr>
          <w:rFonts w:ascii="Century Gothic" w:hAnsi="Century Gothic"/>
          <w:b/>
          <w:bCs/>
          <w:szCs w:val="22"/>
        </w:rPr>
      </w:pPr>
      <w:bookmarkStart w:id="214" w:name="_Toc518556052"/>
      <w:bookmarkStart w:id="215" w:name="_Toc3305623"/>
      <w:bookmarkStart w:id="216" w:name="_Toc9319865"/>
      <w:bookmarkStart w:id="217" w:name="_Toc159478005"/>
      <w:bookmarkStart w:id="218" w:name="_Toc360619130"/>
      <w:bookmarkStart w:id="219" w:name="_Toc374361492"/>
      <w:bookmarkStart w:id="220" w:name="_Toc383770246"/>
      <w:bookmarkStart w:id="221" w:name="_Toc385328964"/>
      <w:bookmarkStart w:id="222" w:name="_Toc385329598"/>
      <w:bookmarkStart w:id="223" w:name="_Toc444259163"/>
      <w:r w:rsidRPr="00C872D3">
        <w:rPr>
          <w:rFonts w:ascii="Century Gothic" w:hAnsi="Century Gothic"/>
          <w:b/>
          <w:bCs/>
          <w:szCs w:val="22"/>
        </w:rPr>
        <w:t>Public Housing Program Rent Simplification</w:t>
      </w:r>
      <w:bookmarkEnd w:id="214"/>
      <w:bookmarkEnd w:id="215"/>
      <w:bookmarkEnd w:id="216"/>
    </w:p>
    <w:p w14:paraId="4E5F0004" w14:textId="6D1DD3A9" w:rsidR="00B2304E" w:rsidRPr="00C872D3" w:rsidRDefault="00B2304E" w:rsidP="00B2304E">
      <w:pPr>
        <w:rPr>
          <w:rFonts w:ascii="Century Gothic" w:hAnsi="Century Gothic"/>
          <w:spacing w:val="1"/>
          <w:szCs w:val="22"/>
        </w:rPr>
      </w:pPr>
      <w:r w:rsidRPr="00C872D3">
        <w:rPr>
          <w:rFonts w:ascii="Century Gothic" w:hAnsi="Century Gothic"/>
          <w:spacing w:val="3"/>
          <w:szCs w:val="22"/>
        </w:rPr>
        <w:t xml:space="preserve">ECC/HANH believes there is a better way to administer essential housing programs, one </w:t>
      </w:r>
      <w:r w:rsidRPr="00C872D3">
        <w:rPr>
          <w:rFonts w:ascii="Century Gothic" w:hAnsi="Century Gothic"/>
          <w:spacing w:val="1"/>
          <w:szCs w:val="22"/>
        </w:rPr>
        <w:t>that encourages long-term self-sufficiency for both the program participants as well as the agency.</w:t>
      </w:r>
    </w:p>
    <w:p w14:paraId="2C4DEE29" w14:textId="77777777" w:rsidR="00D55905" w:rsidRPr="00C872D3" w:rsidRDefault="00D55905" w:rsidP="00B2304E">
      <w:pPr>
        <w:rPr>
          <w:rFonts w:ascii="Century Gothic" w:hAnsi="Century Gothic"/>
          <w:szCs w:val="22"/>
        </w:rPr>
      </w:pPr>
    </w:p>
    <w:p w14:paraId="2D907A1D" w14:textId="77777777" w:rsidR="00B2304E" w:rsidRPr="00C872D3" w:rsidRDefault="00B2304E" w:rsidP="00B2304E">
      <w:pPr>
        <w:rPr>
          <w:rFonts w:ascii="Century Gothic" w:hAnsi="Century Gothic"/>
          <w:b/>
          <w:bCs/>
          <w:szCs w:val="22"/>
        </w:rPr>
      </w:pPr>
      <w:bookmarkStart w:id="224" w:name="_Toc518556053"/>
      <w:bookmarkStart w:id="225" w:name="_Toc3305624"/>
      <w:bookmarkStart w:id="226" w:name="_Toc9319866"/>
      <w:r w:rsidRPr="00C872D3">
        <w:rPr>
          <w:rFonts w:ascii="Century Gothic" w:hAnsi="Century Gothic"/>
          <w:b/>
          <w:bCs/>
          <w:szCs w:val="22"/>
        </w:rPr>
        <w:t>Rent Simplification: Equity &amp; Efficiency</w:t>
      </w:r>
      <w:bookmarkEnd w:id="224"/>
      <w:bookmarkEnd w:id="225"/>
      <w:bookmarkEnd w:id="226"/>
    </w:p>
    <w:p w14:paraId="1AA96A27" w14:textId="44B666CC" w:rsidR="00B2304E" w:rsidRPr="00C872D3" w:rsidRDefault="00B2304E" w:rsidP="00B2304E">
      <w:pPr>
        <w:rPr>
          <w:rFonts w:ascii="Century Gothic" w:hAnsi="Century Gothic"/>
          <w:szCs w:val="22"/>
        </w:rPr>
      </w:pPr>
      <w:bookmarkStart w:id="227" w:name="_Toc518556054"/>
      <w:bookmarkStart w:id="228" w:name="_Toc3305625"/>
      <w:bookmarkStart w:id="229" w:name="_Toc9319867"/>
      <w:r w:rsidRPr="00C872D3">
        <w:rPr>
          <w:rFonts w:ascii="Century Gothic" w:hAnsi="Century Gothic"/>
          <w:spacing w:val="4"/>
          <w:szCs w:val="22"/>
        </w:rPr>
        <w:t xml:space="preserve">The proposed system rewards families who increase their </w:t>
      </w:r>
      <w:r w:rsidR="003A7677" w:rsidRPr="00C872D3">
        <w:rPr>
          <w:rFonts w:ascii="Century Gothic" w:hAnsi="Century Gothic"/>
          <w:spacing w:val="4"/>
          <w:szCs w:val="22"/>
        </w:rPr>
        <w:t>incomes and</w:t>
      </w:r>
      <w:r w:rsidRPr="00C872D3">
        <w:rPr>
          <w:rFonts w:ascii="Century Gothic" w:hAnsi="Century Gothic"/>
          <w:spacing w:val="4"/>
          <w:szCs w:val="22"/>
        </w:rPr>
        <w:t xml:space="preserve"> </w:t>
      </w:r>
      <w:proofErr w:type="gramStart"/>
      <w:r w:rsidRPr="00C872D3">
        <w:rPr>
          <w:rFonts w:ascii="Century Gothic" w:hAnsi="Century Gothic"/>
          <w:spacing w:val="4"/>
          <w:szCs w:val="22"/>
        </w:rPr>
        <w:t>provides</w:t>
      </w:r>
      <w:proofErr w:type="gramEnd"/>
      <w:r w:rsidRPr="00C872D3">
        <w:rPr>
          <w:rFonts w:ascii="Century Gothic" w:hAnsi="Century Gothic"/>
          <w:spacing w:val="4"/>
          <w:szCs w:val="22"/>
        </w:rPr>
        <w:t xml:space="preserve"> them </w:t>
      </w:r>
      <w:r w:rsidRPr="00C872D3">
        <w:rPr>
          <w:rFonts w:ascii="Century Gothic" w:hAnsi="Century Gothic"/>
          <w:spacing w:val="2"/>
          <w:szCs w:val="22"/>
        </w:rPr>
        <w:t xml:space="preserve">with more opportunities to save while easing ECC/HANH burden of administering these housing </w:t>
      </w:r>
      <w:r w:rsidRPr="00C872D3">
        <w:rPr>
          <w:rFonts w:ascii="Century Gothic" w:hAnsi="Century Gothic"/>
          <w:szCs w:val="22"/>
        </w:rPr>
        <w:t>programs.</w:t>
      </w:r>
      <w:bookmarkEnd w:id="227"/>
      <w:bookmarkEnd w:id="228"/>
      <w:bookmarkEnd w:id="229"/>
    </w:p>
    <w:p w14:paraId="24927A06" w14:textId="77777777" w:rsidR="00D55905" w:rsidRPr="00C872D3" w:rsidRDefault="00D55905" w:rsidP="00B2304E">
      <w:pPr>
        <w:rPr>
          <w:rFonts w:ascii="Century Gothic" w:hAnsi="Century Gothic"/>
          <w:b/>
          <w:szCs w:val="22"/>
        </w:rPr>
      </w:pPr>
    </w:p>
    <w:p w14:paraId="705A15CF" w14:textId="77777777" w:rsidR="00B2304E" w:rsidRPr="00C872D3" w:rsidRDefault="00B2304E" w:rsidP="00B2304E">
      <w:pPr>
        <w:rPr>
          <w:rFonts w:ascii="Century Gothic" w:hAnsi="Century Gothic"/>
          <w:b/>
          <w:bCs/>
          <w:szCs w:val="22"/>
        </w:rPr>
      </w:pPr>
      <w:bookmarkStart w:id="230" w:name="_Toc518556055"/>
      <w:bookmarkStart w:id="231" w:name="_Toc3305626"/>
      <w:bookmarkStart w:id="232" w:name="_Toc9319868"/>
      <w:r w:rsidRPr="00C872D3">
        <w:rPr>
          <w:rFonts w:ascii="Century Gothic" w:hAnsi="Century Gothic"/>
          <w:b/>
          <w:bCs/>
          <w:szCs w:val="22"/>
        </w:rPr>
        <w:t>Everyone Should Contribute</w:t>
      </w:r>
      <w:bookmarkEnd w:id="230"/>
      <w:bookmarkEnd w:id="231"/>
      <w:bookmarkEnd w:id="232"/>
    </w:p>
    <w:p w14:paraId="4B039684" w14:textId="66E4C58C" w:rsidR="00B2304E" w:rsidRPr="00C872D3" w:rsidRDefault="00B2304E" w:rsidP="00B2304E">
      <w:pPr>
        <w:rPr>
          <w:rFonts w:ascii="Century Gothic" w:hAnsi="Century Gothic"/>
          <w:spacing w:val="2"/>
          <w:szCs w:val="22"/>
        </w:rPr>
      </w:pPr>
      <w:r w:rsidRPr="00C872D3">
        <w:rPr>
          <w:rFonts w:ascii="Century Gothic" w:hAnsi="Century Gothic"/>
          <w:spacing w:val="2"/>
          <w:szCs w:val="22"/>
        </w:rPr>
        <w:t xml:space="preserve">ECC/HANH believes that every family should contribute towards their housing. Under Rent Simplification, the criteria under which a family can claim zero income and not pay any </w:t>
      </w:r>
      <w:r w:rsidRPr="00C872D3">
        <w:rPr>
          <w:rFonts w:ascii="Century Gothic" w:hAnsi="Century Gothic"/>
          <w:spacing w:val="4"/>
          <w:szCs w:val="22"/>
        </w:rPr>
        <w:t xml:space="preserve">rent are not changed. What will change is the amount of time families will be permitted to request an interim adjustment.  The minimum rent will remain at </w:t>
      </w:r>
      <w:r w:rsidRPr="00C872D3">
        <w:rPr>
          <w:rFonts w:ascii="Century Gothic" w:hAnsi="Century Gothic"/>
          <w:spacing w:val="2"/>
          <w:szCs w:val="22"/>
        </w:rPr>
        <w:t>$50.00 per month.</w:t>
      </w:r>
    </w:p>
    <w:p w14:paraId="717B7A73" w14:textId="77777777" w:rsidR="00D55905" w:rsidRPr="00C872D3" w:rsidRDefault="00D55905" w:rsidP="00B2304E">
      <w:pPr>
        <w:rPr>
          <w:rFonts w:ascii="Century Gothic" w:hAnsi="Century Gothic"/>
          <w:szCs w:val="22"/>
        </w:rPr>
      </w:pPr>
    </w:p>
    <w:p w14:paraId="63B22A94" w14:textId="77777777" w:rsidR="00B2304E" w:rsidRPr="00C872D3" w:rsidRDefault="00B2304E" w:rsidP="00B2304E">
      <w:pPr>
        <w:rPr>
          <w:rFonts w:ascii="Century Gothic" w:hAnsi="Century Gothic"/>
          <w:b/>
          <w:bCs/>
          <w:szCs w:val="22"/>
        </w:rPr>
      </w:pPr>
      <w:bookmarkStart w:id="233" w:name="_Toc518556056"/>
      <w:bookmarkStart w:id="234" w:name="_Toc3305627"/>
      <w:bookmarkStart w:id="235" w:name="_Toc9319869"/>
      <w:r w:rsidRPr="00C872D3">
        <w:rPr>
          <w:rFonts w:ascii="Century Gothic" w:hAnsi="Century Gothic"/>
          <w:b/>
          <w:bCs/>
          <w:szCs w:val="22"/>
        </w:rPr>
        <w:t>Fiscal Equity for ECC/HANH</w:t>
      </w:r>
      <w:bookmarkEnd w:id="233"/>
      <w:bookmarkEnd w:id="234"/>
      <w:bookmarkEnd w:id="235"/>
    </w:p>
    <w:p w14:paraId="45186DCC" w14:textId="3D28B822" w:rsidR="00B2304E" w:rsidRPr="00C872D3" w:rsidRDefault="00B2304E" w:rsidP="00B2304E">
      <w:pPr>
        <w:rPr>
          <w:rFonts w:ascii="Century Gothic" w:hAnsi="Century Gothic"/>
          <w:spacing w:val="2"/>
          <w:szCs w:val="22"/>
        </w:rPr>
      </w:pPr>
      <w:r w:rsidRPr="00C872D3">
        <w:rPr>
          <w:rFonts w:ascii="Century Gothic" w:hAnsi="Century Gothic"/>
          <w:spacing w:val="2"/>
          <w:szCs w:val="22"/>
        </w:rPr>
        <w:t xml:space="preserve">Rent Simplification is forecast to be </w:t>
      </w:r>
      <w:r w:rsidR="003A7677" w:rsidRPr="00C872D3">
        <w:rPr>
          <w:rFonts w:ascii="Century Gothic" w:hAnsi="Century Gothic"/>
          <w:spacing w:val="2"/>
          <w:szCs w:val="22"/>
        </w:rPr>
        <w:t>revenue neutral</w:t>
      </w:r>
      <w:r w:rsidRPr="00C872D3">
        <w:rPr>
          <w:rFonts w:ascii="Century Gothic" w:hAnsi="Century Gothic"/>
          <w:spacing w:val="2"/>
          <w:szCs w:val="22"/>
        </w:rPr>
        <w:t>. In other words, the implementation of Rent Simplification will not increase the amount of rental revenue to the ECC/HANH</w:t>
      </w:r>
    </w:p>
    <w:p w14:paraId="5E2CCDEF" w14:textId="77777777" w:rsidR="00D55905" w:rsidRPr="00C872D3" w:rsidRDefault="00D55905" w:rsidP="00B2304E">
      <w:pPr>
        <w:rPr>
          <w:rFonts w:ascii="Century Gothic" w:hAnsi="Century Gothic"/>
          <w:szCs w:val="22"/>
        </w:rPr>
      </w:pPr>
    </w:p>
    <w:p w14:paraId="5538F284" w14:textId="77777777" w:rsidR="00B2304E" w:rsidRPr="00C872D3" w:rsidRDefault="00B2304E" w:rsidP="00B2304E">
      <w:pPr>
        <w:rPr>
          <w:rFonts w:ascii="Century Gothic" w:hAnsi="Century Gothic"/>
          <w:b/>
          <w:bCs/>
          <w:szCs w:val="22"/>
        </w:rPr>
      </w:pPr>
      <w:bookmarkStart w:id="236" w:name="_Toc518556057"/>
      <w:bookmarkStart w:id="237" w:name="_Toc3305628"/>
      <w:bookmarkStart w:id="238" w:name="_Toc9319870"/>
      <w:r w:rsidRPr="00C872D3">
        <w:rPr>
          <w:rFonts w:ascii="Century Gothic" w:hAnsi="Century Gothic"/>
          <w:b/>
          <w:bCs/>
          <w:szCs w:val="22"/>
        </w:rPr>
        <w:t>Approvable Method</w:t>
      </w:r>
      <w:bookmarkEnd w:id="236"/>
      <w:bookmarkEnd w:id="237"/>
      <w:bookmarkEnd w:id="238"/>
    </w:p>
    <w:p w14:paraId="04BC8FC4" w14:textId="424E20C5" w:rsidR="00B2304E" w:rsidRPr="00C872D3" w:rsidRDefault="00B2304E" w:rsidP="00B2304E">
      <w:pPr>
        <w:rPr>
          <w:rFonts w:ascii="Century Gothic" w:hAnsi="Century Gothic"/>
          <w:spacing w:val="2"/>
          <w:szCs w:val="22"/>
        </w:rPr>
      </w:pPr>
      <w:r w:rsidRPr="00C872D3">
        <w:rPr>
          <w:rFonts w:ascii="Century Gothic" w:hAnsi="Century Gothic"/>
          <w:spacing w:val="3"/>
          <w:szCs w:val="22"/>
        </w:rPr>
        <w:t xml:space="preserve">Rent Simplification allows all stakeholders to easily understand how tenant rents are </w:t>
      </w:r>
      <w:r w:rsidRPr="00C872D3">
        <w:rPr>
          <w:rFonts w:ascii="Century Gothic" w:hAnsi="Century Gothic"/>
          <w:spacing w:val="1"/>
          <w:szCs w:val="22"/>
        </w:rPr>
        <w:t xml:space="preserve">determined, and armed with some basic income data, </w:t>
      </w:r>
      <w:proofErr w:type="gramStart"/>
      <w:r w:rsidRPr="00C872D3">
        <w:rPr>
          <w:rFonts w:ascii="Century Gothic" w:hAnsi="Century Gothic"/>
          <w:spacing w:val="1"/>
          <w:szCs w:val="22"/>
        </w:rPr>
        <w:t>anticipate</w:t>
      </w:r>
      <w:proofErr w:type="gramEnd"/>
      <w:r w:rsidRPr="00C872D3">
        <w:rPr>
          <w:rFonts w:ascii="Century Gothic" w:hAnsi="Century Gothic"/>
          <w:spacing w:val="1"/>
          <w:szCs w:val="22"/>
        </w:rPr>
        <w:t xml:space="preserve"> what future rents will be. </w:t>
      </w:r>
      <w:r w:rsidRPr="00C872D3">
        <w:rPr>
          <w:rFonts w:ascii="Century Gothic" w:hAnsi="Century Gothic"/>
          <w:spacing w:val="2"/>
          <w:szCs w:val="22"/>
        </w:rPr>
        <w:t>This will allow families to easily plan for future expenses and savings.</w:t>
      </w:r>
    </w:p>
    <w:p w14:paraId="4A4C0806" w14:textId="77777777" w:rsidR="00D55905" w:rsidRPr="00C872D3" w:rsidRDefault="00D55905" w:rsidP="00B2304E">
      <w:pPr>
        <w:rPr>
          <w:rFonts w:ascii="Century Gothic" w:hAnsi="Century Gothic"/>
          <w:szCs w:val="22"/>
        </w:rPr>
      </w:pPr>
    </w:p>
    <w:p w14:paraId="50E41590" w14:textId="77777777" w:rsidR="00B2304E" w:rsidRPr="00C872D3" w:rsidRDefault="00B2304E" w:rsidP="00B2304E">
      <w:pPr>
        <w:rPr>
          <w:rFonts w:ascii="Century Gothic" w:hAnsi="Century Gothic"/>
          <w:b/>
          <w:bCs/>
          <w:szCs w:val="22"/>
        </w:rPr>
      </w:pPr>
      <w:bookmarkStart w:id="239" w:name="_Toc518556058"/>
      <w:bookmarkStart w:id="240" w:name="_Toc3305629"/>
      <w:bookmarkStart w:id="241" w:name="_Toc9319871"/>
      <w:r w:rsidRPr="00C872D3">
        <w:rPr>
          <w:rFonts w:ascii="Century Gothic" w:hAnsi="Century Gothic"/>
          <w:b/>
          <w:bCs/>
          <w:szCs w:val="22"/>
        </w:rPr>
        <w:t>Measurable Reduction in Administrative Time</w:t>
      </w:r>
      <w:bookmarkEnd w:id="239"/>
      <w:bookmarkEnd w:id="240"/>
      <w:bookmarkEnd w:id="241"/>
    </w:p>
    <w:p w14:paraId="591C1A77" w14:textId="07327FF4" w:rsidR="00B2304E" w:rsidRPr="00C872D3" w:rsidRDefault="00B2304E" w:rsidP="00B2304E">
      <w:pPr>
        <w:rPr>
          <w:rFonts w:ascii="Century Gothic" w:hAnsi="Century Gothic"/>
          <w:spacing w:val="2"/>
          <w:szCs w:val="22"/>
        </w:rPr>
      </w:pPr>
      <w:r w:rsidRPr="00C872D3">
        <w:rPr>
          <w:rFonts w:ascii="Century Gothic" w:hAnsi="Century Gothic"/>
          <w:spacing w:val="6"/>
          <w:szCs w:val="22"/>
        </w:rPr>
        <w:t xml:space="preserve">By simplifying the rent determination and deduction procedures in Federal Public </w:t>
      </w:r>
      <w:r w:rsidRPr="00C872D3">
        <w:rPr>
          <w:rFonts w:ascii="Century Gothic" w:hAnsi="Century Gothic"/>
          <w:spacing w:val="2"/>
          <w:szCs w:val="22"/>
        </w:rPr>
        <w:t>Housing, Rent Simplification makes the job of recertifying tenants significantly easier.</w:t>
      </w:r>
    </w:p>
    <w:p w14:paraId="37636A0A" w14:textId="77777777" w:rsidR="00D55905" w:rsidRPr="00C872D3" w:rsidRDefault="00D55905" w:rsidP="00B2304E">
      <w:pPr>
        <w:rPr>
          <w:rFonts w:ascii="Century Gothic" w:hAnsi="Century Gothic"/>
          <w:szCs w:val="22"/>
        </w:rPr>
      </w:pPr>
    </w:p>
    <w:p w14:paraId="26302950" w14:textId="77777777" w:rsidR="00B2304E" w:rsidRPr="00C872D3" w:rsidRDefault="00B2304E" w:rsidP="00B2304E">
      <w:pPr>
        <w:rPr>
          <w:rFonts w:ascii="Century Gothic" w:hAnsi="Century Gothic"/>
          <w:b/>
          <w:bCs/>
          <w:szCs w:val="22"/>
        </w:rPr>
      </w:pPr>
      <w:bookmarkStart w:id="242" w:name="_Toc518556059"/>
      <w:bookmarkStart w:id="243" w:name="_Toc3305630"/>
      <w:bookmarkStart w:id="244" w:name="_Toc9319872"/>
      <w:r w:rsidRPr="00C872D3">
        <w:rPr>
          <w:rFonts w:ascii="Century Gothic" w:hAnsi="Century Gothic"/>
          <w:b/>
          <w:bCs/>
          <w:szCs w:val="22"/>
        </w:rPr>
        <w:t>Transition to Avoid Hardships</w:t>
      </w:r>
      <w:bookmarkEnd w:id="242"/>
      <w:bookmarkEnd w:id="243"/>
      <w:bookmarkEnd w:id="244"/>
    </w:p>
    <w:p w14:paraId="1C395F95" w14:textId="6014A547" w:rsidR="00D55905" w:rsidRPr="00C872D3" w:rsidRDefault="00B2304E" w:rsidP="00B2304E">
      <w:pPr>
        <w:rPr>
          <w:rFonts w:ascii="Century Gothic" w:hAnsi="Century Gothic"/>
          <w:spacing w:val="2"/>
          <w:szCs w:val="22"/>
        </w:rPr>
      </w:pPr>
      <w:r w:rsidRPr="00C872D3">
        <w:rPr>
          <w:rFonts w:ascii="Century Gothic" w:hAnsi="Century Gothic"/>
          <w:spacing w:val="2"/>
          <w:szCs w:val="22"/>
        </w:rPr>
        <w:t xml:space="preserve">ECC/HANH has devised a system that is not only </w:t>
      </w:r>
      <w:proofErr w:type="gramStart"/>
      <w:r w:rsidRPr="00C872D3">
        <w:rPr>
          <w:rFonts w:ascii="Century Gothic" w:hAnsi="Century Gothic"/>
          <w:spacing w:val="2"/>
          <w:szCs w:val="22"/>
        </w:rPr>
        <w:t>revenue neutral</w:t>
      </w:r>
      <w:proofErr w:type="gramEnd"/>
      <w:r w:rsidRPr="00C872D3">
        <w:rPr>
          <w:rFonts w:ascii="Century Gothic" w:hAnsi="Century Gothic"/>
          <w:spacing w:val="2"/>
          <w:szCs w:val="22"/>
        </w:rPr>
        <w:t xml:space="preserve"> for the </w:t>
      </w:r>
      <w:r w:rsidR="003A7677" w:rsidRPr="00C872D3">
        <w:rPr>
          <w:rFonts w:ascii="Century Gothic" w:hAnsi="Century Gothic"/>
          <w:spacing w:val="2"/>
          <w:szCs w:val="22"/>
        </w:rPr>
        <w:t>organization but</w:t>
      </w:r>
      <w:r w:rsidRPr="00C872D3">
        <w:rPr>
          <w:rFonts w:ascii="Century Gothic" w:hAnsi="Century Gothic"/>
          <w:spacing w:val="2"/>
          <w:szCs w:val="22"/>
        </w:rPr>
        <w:t xml:space="preserve"> will not result in any undue hardship </w:t>
      </w:r>
      <w:proofErr w:type="gramStart"/>
      <w:r w:rsidRPr="00C872D3">
        <w:rPr>
          <w:rFonts w:ascii="Century Gothic" w:hAnsi="Century Gothic"/>
          <w:spacing w:val="2"/>
          <w:szCs w:val="22"/>
        </w:rPr>
        <w:t>to</w:t>
      </w:r>
      <w:proofErr w:type="gramEnd"/>
      <w:r w:rsidRPr="00C872D3">
        <w:rPr>
          <w:rFonts w:ascii="Century Gothic" w:hAnsi="Century Gothic"/>
          <w:spacing w:val="2"/>
          <w:szCs w:val="22"/>
        </w:rPr>
        <w:t xml:space="preserve"> our families. There will be a transition period of one year from the current </w:t>
      </w:r>
      <w:r w:rsidR="003A7677" w:rsidRPr="00C872D3">
        <w:rPr>
          <w:rFonts w:ascii="Century Gothic" w:hAnsi="Century Gothic"/>
          <w:spacing w:val="2"/>
          <w:szCs w:val="22"/>
        </w:rPr>
        <w:t>income-based</w:t>
      </w:r>
      <w:r w:rsidRPr="00C872D3">
        <w:rPr>
          <w:rFonts w:ascii="Century Gothic" w:hAnsi="Century Gothic"/>
          <w:spacing w:val="2"/>
          <w:szCs w:val="22"/>
        </w:rPr>
        <w:t xml:space="preserve"> rent determination process to the new </w:t>
      </w:r>
      <w:proofErr w:type="gramStart"/>
      <w:r w:rsidRPr="00C872D3">
        <w:rPr>
          <w:rFonts w:ascii="Century Gothic" w:hAnsi="Century Gothic"/>
          <w:spacing w:val="2"/>
          <w:szCs w:val="22"/>
        </w:rPr>
        <w:t>income tiered</w:t>
      </w:r>
      <w:proofErr w:type="gramEnd"/>
      <w:r w:rsidRPr="00C872D3">
        <w:rPr>
          <w:rFonts w:ascii="Century Gothic" w:hAnsi="Century Gothic"/>
          <w:spacing w:val="2"/>
          <w:szCs w:val="22"/>
        </w:rPr>
        <w:t xml:space="preserve"> rent determination process. No family will have an increase in Total Tenant Payment (TTP) during the first year they are subject to the requirements of this Rent Simplification Policy. </w:t>
      </w:r>
    </w:p>
    <w:p w14:paraId="13157FF2" w14:textId="77777777" w:rsidR="00D55905" w:rsidRPr="00C872D3" w:rsidRDefault="00D55905" w:rsidP="00B2304E">
      <w:pPr>
        <w:rPr>
          <w:rFonts w:ascii="Century Gothic" w:hAnsi="Century Gothic"/>
          <w:spacing w:val="2"/>
          <w:szCs w:val="22"/>
        </w:rPr>
      </w:pPr>
    </w:p>
    <w:p w14:paraId="70758A06" w14:textId="236C5EC5" w:rsidR="0048584F" w:rsidRDefault="00B2304E" w:rsidP="00B2304E">
      <w:pPr>
        <w:rPr>
          <w:rFonts w:ascii="Century Gothic" w:hAnsi="Century Gothic"/>
          <w:spacing w:val="2"/>
          <w:szCs w:val="22"/>
        </w:rPr>
      </w:pPr>
      <w:r w:rsidRPr="00C872D3">
        <w:rPr>
          <w:rFonts w:ascii="Century Gothic" w:hAnsi="Century Gothic"/>
          <w:spacing w:val="2"/>
          <w:szCs w:val="22"/>
        </w:rPr>
        <w:t xml:space="preserve">Please note that this hold harmless provision does not apply to increases in TTP that result from an increase in family annual income above the amount earned in the reporting period immediately preceding the family being subject to Rent Simplification. No family shall be subject to an increase </w:t>
      </w:r>
      <w:r w:rsidRPr="00C872D3">
        <w:rPr>
          <w:rFonts w:ascii="Century Gothic" w:hAnsi="Century Gothic"/>
          <w:spacing w:val="2"/>
          <w:szCs w:val="22"/>
        </w:rPr>
        <w:lastRenderedPageBreak/>
        <w:t>in TTP of greater than $25.00 a month during the second year that the family is subject to the Rent Simplification Policy. The increase in TTP during the third year the family is subject to Rent Simplification shall not exceed $50; $75 a month during the fourth year; and $100 a month above the monthly TTP in the year immediately following the implementation of Rent Simplificat</w:t>
      </w:r>
      <w:r w:rsidR="0048584F">
        <w:rPr>
          <w:rFonts w:ascii="Century Gothic" w:hAnsi="Century Gothic"/>
          <w:spacing w:val="2"/>
          <w:szCs w:val="22"/>
        </w:rPr>
        <w:t>ion</w:t>
      </w:r>
      <w:bookmarkStart w:id="245" w:name="_Toc518556060"/>
      <w:bookmarkStart w:id="246" w:name="_Toc3305631"/>
      <w:bookmarkStart w:id="247" w:name="_Toc9319873"/>
      <w:r w:rsidR="0048584F">
        <w:rPr>
          <w:rFonts w:ascii="Century Gothic" w:hAnsi="Century Gothic"/>
          <w:spacing w:val="2"/>
          <w:szCs w:val="22"/>
        </w:rPr>
        <w:t>.</w:t>
      </w:r>
    </w:p>
    <w:p w14:paraId="06B9DD53" w14:textId="77777777" w:rsidR="0048584F" w:rsidRDefault="0048584F" w:rsidP="00B2304E">
      <w:pPr>
        <w:rPr>
          <w:rFonts w:ascii="Century Gothic" w:hAnsi="Century Gothic"/>
          <w:spacing w:val="2"/>
          <w:szCs w:val="22"/>
        </w:rPr>
      </w:pPr>
    </w:p>
    <w:p w14:paraId="42B84DFB" w14:textId="683CFCC4" w:rsidR="00B2304E" w:rsidRPr="00C872D3" w:rsidRDefault="00B2304E" w:rsidP="00B2304E">
      <w:pPr>
        <w:rPr>
          <w:rFonts w:ascii="Century Gothic" w:hAnsi="Century Gothic"/>
          <w:b/>
          <w:bCs/>
          <w:szCs w:val="22"/>
        </w:rPr>
      </w:pPr>
      <w:r w:rsidRPr="00C872D3">
        <w:rPr>
          <w:rFonts w:ascii="Century Gothic" w:hAnsi="Century Gothic"/>
          <w:b/>
          <w:bCs/>
          <w:szCs w:val="22"/>
        </w:rPr>
        <w:t>Asset Exclusion</w:t>
      </w:r>
      <w:bookmarkEnd w:id="245"/>
      <w:bookmarkEnd w:id="246"/>
      <w:bookmarkEnd w:id="247"/>
    </w:p>
    <w:p w14:paraId="33946742" w14:textId="74C2BA69" w:rsidR="00B2304E" w:rsidRPr="00C872D3" w:rsidRDefault="00B2304E" w:rsidP="00B2304E">
      <w:pPr>
        <w:rPr>
          <w:rFonts w:ascii="Century Gothic" w:hAnsi="Century Gothic"/>
          <w:szCs w:val="22"/>
        </w:rPr>
      </w:pPr>
      <w:r w:rsidRPr="00C872D3">
        <w:rPr>
          <w:rFonts w:ascii="Century Gothic" w:hAnsi="Century Gothic"/>
          <w:spacing w:val="6"/>
          <w:szCs w:val="22"/>
        </w:rPr>
        <w:t xml:space="preserve">Asset exclusion is raised to $50,000.00. Increasing the asset exclusion amount allows </w:t>
      </w:r>
      <w:r w:rsidRPr="00C872D3">
        <w:rPr>
          <w:rFonts w:ascii="Century Gothic" w:hAnsi="Century Gothic"/>
          <w:spacing w:val="2"/>
          <w:szCs w:val="22"/>
        </w:rPr>
        <w:t xml:space="preserve">residents to accumulate more assets before they are calculated as income. Families will </w:t>
      </w:r>
      <w:r w:rsidR="003A7677" w:rsidRPr="00C872D3">
        <w:rPr>
          <w:rFonts w:ascii="Century Gothic" w:hAnsi="Century Gothic"/>
          <w:spacing w:val="2"/>
          <w:szCs w:val="22"/>
        </w:rPr>
        <w:t>self-certify</w:t>
      </w:r>
      <w:r w:rsidRPr="00C872D3">
        <w:rPr>
          <w:rFonts w:ascii="Century Gothic" w:hAnsi="Century Gothic"/>
          <w:spacing w:val="2"/>
          <w:szCs w:val="22"/>
        </w:rPr>
        <w:t xml:space="preserve"> that they do not have </w:t>
      </w:r>
      <w:proofErr w:type="gramStart"/>
      <w:r w:rsidRPr="00C872D3">
        <w:rPr>
          <w:rFonts w:ascii="Century Gothic" w:hAnsi="Century Gothic"/>
          <w:spacing w:val="2"/>
          <w:szCs w:val="22"/>
        </w:rPr>
        <w:t>assets</w:t>
      </w:r>
      <w:proofErr w:type="gramEnd"/>
      <w:r w:rsidRPr="00C872D3">
        <w:rPr>
          <w:rFonts w:ascii="Century Gothic" w:hAnsi="Century Gothic"/>
          <w:spacing w:val="2"/>
          <w:szCs w:val="22"/>
        </w:rPr>
        <w:t xml:space="preserve"> </w:t>
      </w:r>
      <w:r w:rsidR="00050D89" w:rsidRPr="00C872D3">
        <w:rPr>
          <w:rFonts w:ascii="Century Gothic" w:hAnsi="Century Gothic"/>
          <w:spacing w:val="2"/>
          <w:szCs w:val="22"/>
        </w:rPr>
        <w:t>more than</w:t>
      </w:r>
      <w:r w:rsidRPr="00C872D3">
        <w:rPr>
          <w:rFonts w:ascii="Century Gothic" w:hAnsi="Century Gothic"/>
          <w:spacing w:val="2"/>
          <w:szCs w:val="22"/>
        </w:rPr>
        <w:t xml:space="preserve"> $50,000.00.</w:t>
      </w:r>
    </w:p>
    <w:p w14:paraId="5F4A16FB" w14:textId="77777777" w:rsidR="00B2304E" w:rsidRPr="00C872D3" w:rsidRDefault="00B2304E" w:rsidP="00B2304E">
      <w:pPr>
        <w:rPr>
          <w:rFonts w:ascii="Century Gothic" w:hAnsi="Century Gothic"/>
          <w:b/>
          <w:szCs w:val="22"/>
        </w:rPr>
      </w:pPr>
    </w:p>
    <w:p w14:paraId="38608A61" w14:textId="77777777" w:rsidR="00B2304E" w:rsidRPr="00C872D3" w:rsidRDefault="00B2304E" w:rsidP="00B2304E">
      <w:pPr>
        <w:rPr>
          <w:rFonts w:ascii="Century Gothic" w:hAnsi="Century Gothic"/>
          <w:b/>
          <w:szCs w:val="22"/>
        </w:rPr>
      </w:pPr>
      <w:r w:rsidRPr="00C872D3">
        <w:rPr>
          <w:rFonts w:ascii="Century Gothic" w:hAnsi="Century Gothic"/>
          <w:b/>
          <w:szCs w:val="22"/>
        </w:rPr>
        <w:t>Earned Income Disallowance (EID)</w:t>
      </w:r>
    </w:p>
    <w:p w14:paraId="6AA973FE" w14:textId="0248613A" w:rsidR="00B2304E" w:rsidRPr="00C872D3" w:rsidRDefault="00B2304E" w:rsidP="00B2304E">
      <w:pPr>
        <w:rPr>
          <w:rFonts w:ascii="Century Gothic" w:hAnsi="Century Gothic"/>
          <w:spacing w:val="-3"/>
          <w:szCs w:val="22"/>
        </w:rPr>
      </w:pPr>
      <w:r w:rsidRPr="00C872D3">
        <w:rPr>
          <w:rFonts w:ascii="Century Gothic" w:hAnsi="Century Gothic"/>
          <w:szCs w:val="22"/>
        </w:rPr>
        <w:t>This benefit is embedded into the Rent Simplification rule so the provision of</w:t>
      </w:r>
      <w:r w:rsidR="003A7677" w:rsidRPr="00C872D3">
        <w:rPr>
          <w:rFonts w:ascii="Century Gothic" w:hAnsi="Century Gothic"/>
          <w:szCs w:val="22"/>
        </w:rPr>
        <w:t xml:space="preserve"> EID,</w:t>
      </w:r>
      <w:r w:rsidRPr="00C872D3">
        <w:rPr>
          <w:rFonts w:ascii="Century Gothic" w:hAnsi="Century Gothic"/>
          <w:szCs w:val="22"/>
        </w:rPr>
        <w:t xml:space="preserve"> </w:t>
      </w:r>
      <w:r w:rsidR="00050D89" w:rsidRPr="00C872D3">
        <w:rPr>
          <w:rFonts w:ascii="Century Gothic" w:hAnsi="Century Gothic"/>
          <w:szCs w:val="22"/>
        </w:rPr>
        <w:t>of</w:t>
      </w:r>
      <w:r w:rsidRPr="00C872D3">
        <w:rPr>
          <w:rFonts w:ascii="Century Gothic" w:hAnsi="Century Gothic"/>
          <w:szCs w:val="22"/>
        </w:rPr>
        <w:t xml:space="preserve"> regulation, and annual tracking is eliminated for LIPH Participants. Families will not lose out on the </w:t>
      </w:r>
      <w:r w:rsidR="003A7677" w:rsidRPr="00C872D3">
        <w:rPr>
          <w:rFonts w:ascii="Century Gothic" w:hAnsi="Century Gothic"/>
          <w:szCs w:val="22"/>
        </w:rPr>
        <w:t>benefit;</w:t>
      </w:r>
      <w:r w:rsidRPr="00C872D3">
        <w:rPr>
          <w:rFonts w:ascii="Century Gothic" w:hAnsi="Century Gothic"/>
          <w:szCs w:val="22"/>
        </w:rPr>
        <w:t xml:space="preserve"> however, ECC/HANH will help streamline staff responsibility by eliminating the requirement. </w:t>
      </w:r>
      <w:r w:rsidRPr="00C872D3">
        <w:rPr>
          <w:rFonts w:ascii="Century Gothic" w:hAnsi="Century Gothic"/>
          <w:spacing w:val="-3"/>
          <w:szCs w:val="22"/>
        </w:rPr>
        <w:t>The Federal Earned Income Disregard (EID) will continue to be implemented in the LIPH program for families who are required to report increase in wages or new job under the LIPH Rent Simplification Rules. The maximum amount of time a family can be enrolled in the Federal EID is 24 months with a start/stop clock of 48 months. At the beginning of the 12 months of 50% EID, an interim will not be conducted; the family will remain at the 100% until the scheduled bi/tri</w:t>
      </w:r>
      <w:r w:rsidR="00FE5D17" w:rsidRPr="00C872D3">
        <w:rPr>
          <w:rFonts w:ascii="Century Gothic" w:hAnsi="Century Gothic"/>
          <w:spacing w:val="-3"/>
          <w:szCs w:val="22"/>
        </w:rPr>
        <w:t>ennial</w:t>
      </w:r>
      <w:r w:rsidRPr="00C872D3">
        <w:rPr>
          <w:rFonts w:ascii="Century Gothic" w:hAnsi="Century Gothic"/>
          <w:spacing w:val="-3"/>
          <w:szCs w:val="22"/>
        </w:rPr>
        <w:t xml:space="preserve"> certification comes up. In many cases the </w:t>
      </w:r>
      <w:r w:rsidR="003A7677" w:rsidRPr="00C872D3">
        <w:rPr>
          <w:rFonts w:ascii="Century Gothic" w:hAnsi="Century Gothic"/>
          <w:spacing w:val="-3"/>
          <w:szCs w:val="22"/>
        </w:rPr>
        <w:t>48-month</w:t>
      </w:r>
      <w:r w:rsidRPr="00C872D3">
        <w:rPr>
          <w:rFonts w:ascii="Century Gothic" w:hAnsi="Century Gothic"/>
          <w:spacing w:val="-3"/>
          <w:szCs w:val="22"/>
        </w:rPr>
        <w:t xml:space="preserve"> window will not be used as most families will receive the Rent Simplification benefit throughout the life of the EID; for the most part eliminating the need to stop or re-start the EID clock. </w:t>
      </w:r>
    </w:p>
    <w:p w14:paraId="01D3BF6E" w14:textId="77777777" w:rsidR="00B2304E" w:rsidRPr="00C872D3" w:rsidRDefault="00B2304E" w:rsidP="00B2304E">
      <w:pPr>
        <w:rPr>
          <w:rFonts w:ascii="Century Gothic" w:hAnsi="Century Gothic"/>
          <w:szCs w:val="22"/>
        </w:rPr>
      </w:pPr>
    </w:p>
    <w:p w14:paraId="33637E82" w14:textId="21E53A96" w:rsidR="00B2304E" w:rsidRPr="00C872D3" w:rsidRDefault="00B2304E" w:rsidP="00B2304E">
      <w:pPr>
        <w:rPr>
          <w:rFonts w:ascii="Century Gothic" w:hAnsi="Century Gothic"/>
          <w:szCs w:val="22"/>
        </w:rPr>
      </w:pPr>
      <w:r w:rsidRPr="00C872D3">
        <w:rPr>
          <w:rFonts w:ascii="Century Gothic" w:hAnsi="Century Gothic"/>
          <w:szCs w:val="22"/>
        </w:rPr>
        <w:t xml:space="preserve">When individuals are up for </w:t>
      </w:r>
      <w:proofErr w:type="spellStart"/>
      <w:r w:rsidRPr="00C872D3">
        <w:rPr>
          <w:rFonts w:ascii="Century Gothic" w:hAnsi="Century Gothic"/>
          <w:szCs w:val="22"/>
        </w:rPr>
        <w:t>bi</w:t>
      </w:r>
      <w:proofErr w:type="spellEnd"/>
      <w:r w:rsidRPr="00C872D3">
        <w:rPr>
          <w:rFonts w:ascii="Century Gothic" w:hAnsi="Century Gothic"/>
          <w:szCs w:val="22"/>
        </w:rPr>
        <w:t xml:space="preserve">/tri certs, anyone who would </w:t>
      </w:r>
      <w:proofErr w:type="gramStart"/>
      <w:r w:rsidRPr="00C872D3">
        <w:rPr>
          <w:rFonts w:ascii="Century Gothic" w:hAnsi="Century Gothic"/>
          <w:szCs w:val="22"/>
        </w:rPr>
        <w:t>have benefited</w:t>
      </w:r>
      <w:proofErr w:type="gramEnd"/>
      <w:r w:rsidRPr="00C872D3">
        <w:rPr>
          <w:rFonts w:ascii="Century Gothic" w:hAnsi="Century Gothic"/>
          <w:szCs w:val="22"/>
        </w:rPr>
        <w:t xml:space="preserve"> from the EID will have the months checked off in Elite for tracking purposes, however, a reduction from 100 to 50 does not occur, therefore, a family will generally benefit from a minimum of 48 months of discounted wage increases at 100% EID.</w:t>
      </w:r>
    </w:p>
    <w:p w14:paraId="0AF906C4" w14:textId="77777777" w:rsidR="00B2304E" w:rsidRPr="00C872D3" w:rsidRDefault="00B2304E" w:rsidP="00B2304E">
      <w:pPr>
        <w:rPr>
          <w:rFonts w:ascii="Century Gothic" w:hAnsi="Century Gothic"/>
          <w:szCs w:val="22"/>
        </w:rPr>
      </w:pPr>
    </w:p>
    <w:p w14:paraId="0E8546E7" w14:textId="77777777" w:rsidR="00B2304E" w:rsidRPr="00C872D3" w:rsidRDefault="00B2304E" w:rsidP="00B2304E">
      <w:pPr>
        <w:rPr>
          <w:rFonts w:ascii="Century Gothic" w:hAnsi="Century Gothic"/>
          <w:szCs w:val="22"/>
        </w:rPr>
      </w:pPr>
      <w:r w:rsidRPr="00C872D3">
        <w:rPr>
          <w:rFonts w:ascii="Century Gothic" w:hAnsi="Century Gothic"/>
          <w:szCs w:val="22"/>
        </w:rPr>
        <w:t xml:space="preserve">Families on Bi-annual updates who would have an income increase </w:t>
      </w:r>
      <w:proofErr w:type="gramStart"/>
      <w:r w:rsidRPr="00C872D3">
        <w:rPr>
          <w:rFonts w:ascii="Century Gothic" w:hAnsi="Century Gothic"/>
          <w:szCs w:val="22"/>
        </w:rPr>
        <w:t>at</w:t>
      </w:r>
      <w:proofErr w:type="gramEnd"/>
      <w:r w:rsidRPr="00C872D3">
        <w:rPr>
          <w:rFonts w:ascii="Century Gothic" w:hAnsi="Century Gothic"/>
          <w:szCs w:val="22"/>
        </w:rPr>
        <w:t xml:space="preserve"> year two; benefiting from a full 2 years at 100% discounted Income, &amp; Families on Tri-annual Updates who would have an income Increase at year three, benefiting from a full 3</w:t>
      </w:r>
      <w:r w:rsidRPr="00C872D3">
        <w:rPr>
          <w:rFonts w:ascii="Century Gothic" w:hAnsi="Century Gothic"/>
          <w:szCs w:val="22"/>
          <w:vertAlign w:val="superscript"/>
        </w:rPr>
        <w:t>rd</w:t>
      </w:r>
      <w:r w:rsidRPr="00C872D3">
        <w:rPr>
          <w:rFonts w:ascii="Century Gothic" w:hAnsi="Century Gothic"/>
          <w:szCs w:val="22"/>
        </w:rPr>
        <w:t xml:space="preserve"> year of 100% discounted income. </w:t>
      </w:r>
    </w:p>
    <w:p w14:paraId="29FDBA27" w14:textId="77777777" w:rsidR="00B2304E" w:rsidRPr="00C872D3" w:rsidRDefault="00B2304E" w:rsidP="00B2304E">
      <w:pPr>
        <w:rPr>
          <w:rFonts w:ascii="Century Gothic" w:hAnsi="Century Gothic"/>
          <w:szCs w:val="22"/>
        </w:rPr>
      </w:pPr>
    </w:p>
    <w:p w14:paraId="05DB206C" w14:textId="77777777" w:rsidR="00B2304E" w:rsidRPr="00C872D3" w:rsidRDefault="00B2304E" w:rsidP="00B2304E">
      <w:pPr>
        <w:rPr>
          <w:rFonts w:ascii="Century Gothic" w:hAnsi="Century Gothic"/>
          <w:szCs w:val="22"/>
        </w:rPr>
      </w:pPr>
      <w:r w:rsidRPr="00C872D3">
        <w:rPr>
          <w:rFonts w:ascii="Century Gothic" w:hAnsi="Century Gothic"/>
          <w:szCs w:val="22"/>
        </w:rPr>
        <w:t xml:space="preserve">It is still required that at time of Bi-annual or Tri annual cert: The specialist enters EID dates in Elite, dating back to the Start of when benefit would have started, as well as end date.  </w:t>
      </w:r>
    </w:p>
    <w:p w14:paraId="42776FD4" w14:textId="77777777" w:rsidR="00B2304E" w:rsidRPr="00C872D3" w:rsidRDefault="00B2304E" w:rsidP="00B2304E">
      <w:pPr>
        <w:rPr>
          <w:rFonts w:ascii="Century Gothic" w:hAnsi="Century Gothic"/>
          <w:szCs w:val="22"/>
        </w:rPr>
      </w:pPr>
    </w:p>
    <w:p w14:paraId="7B09F260" w14:textId="024E69D3" w:rsidR="00B2304E" w:rsidRPr="00C872D3" w:rsidRDefault="00B2304E" w:rsidP="00B2304E">
      <w:pPr>
        <w:rPr>
          <w:rFonts w:ascii="Century Gothic" w:hAnsi="Century Gothic"/>
          <w:szCs w:val="22"/>
        </w:rPr>
      </w:pPr>
      <w:r w:rsidRPr="00C872D3">
        <w:rPr>
          <w:rFonts w:ascii="Century Gothic" w:hAnsi="Century Gothic"/>
          <w:szCs w:val="22"/>
        </w:rPr>
        <w:t xml:space="preserve">ECC/HANH staff will still utilize </w:t>
      </w:r>
      <w:r w:rsidR="005F0826" w:rsidRPr="00C872D3">
        <w:rPr>
          <w:rFonts w:ascii="Century Gothic" w:hAnsi="Century Gothic"/>
          <w:szCs w:val="22"/>
        </w:rPr>
        <w:t xml:space="preserve">the </w:t>
      </w:r>
      <w:r w:rsidRPr="00C872D3">
        <w:rPr>
          <w:rFonts w:ascii="Century Gothic" w:hAnsi="Century Gothic"/>
          <w:szCs w:val="22"/>
        </w:rPr>
        <w:t xml:space="preserve">worksheet as needed to determine if a person qualified, in order to check off </w:t>
      </w:r>
      <w:r w:rsidR="003A7677" w:rsidRPr="00C872D3">
        <w:rPr>
          <w:rFonts w:ascii="Century Gothic" w:hAnsi="Century Gothic"/>
          <w:szCs w:val="22"/>
        </w:rPr>
        <w:t>boxes</w:t>
      </w:r>
      <w:r w:rsidRPr="00C872D3">
        <w:rPr>
          <w:rFonts w:ascii="Century Gothic" w:hAnsi="Century Gothic"/>
          <w:szCs w:val="22"/>
        </w:rPr>
        <w:t xml:space="preserve"> in Elite for PIC submission purposes, however, annual tracking and tracking at time of interim change would be eliminated in efforts to streamline the interim and certification process, relieving staff of the additional burden and allowing families to benefit from the full extent of Rent Simplification as written. Tracking in Elite will only occur at time of bi/tri certifications.  </w:t>
      </w:r>
    </w:p>
    <w:p w14:paraId="05840623" w14:textId="77777777" w:rsidR="00B2304E" w:rsidRPr="00C872D3" w:rsidRDefault="00B2304E" w:rsidP="00B2304E">
      <w:pPr>
        <w:rPr>
          <w:rFonts w:ascii="Century Gothic" w:hAnsi="Century Gothic"/>
          <w:szCs w:val="22"/>
        </w:rPr>
      </w:pPr>
    </w:p>
    <w:p w14:paraId="34EC1E2B" w14:textId="77777777" w:rsidR="00B2304E" w:rsidRPr="00C872D3" w:rsidRDefault="00B2304E" w:rsidP="00B2304E">
      <w:pPr>
        <w:rPr>
          <w:rFonts w:ascii="Century Gothic" w:hAnsi="Century Gothic"/>
          <w:b/>
          <w:bCs/>
          <w:szCs w:val="22"/>
        </w:rPr>
      </w:pPr>
      <w:bookmarkStart w:id="248" w:name="_Toc518556062"/>
      <w:bookmarkStart w:id="249" w:name="_Toc3305632"/>
      <w:bookmarkStart w:id="250" w:name="_Toc9319874"/>
      <w:r w:rsidRPr="00C872D3">
        <w:rPr>
          <w:rFonts w:ascii="Century Gothic" w:hAnsi="Century Gothic"/>
          <w:b/>
          <w:bCs/>
          <w:szCs w:val="22"/>
        </w:rPr>
        <w:t>Other Exclusions</w:t>
      </w:r>
      <w:bookmarkEnd w:id="248"/>
      <w:bookmarkEnd w:id="249"/>
      <w:bookmarkEnd w:id="250"/>
    </w:p>
    <w:p w14:paraId="614E2CF6" w14:textId="4FFFED6C" w:rsidR="00B2304E" w:rsidRPr="00C872D3" w:rsidRDefault="00B2304E" w:rsidP="00B2304E">
      <w:pPr>
        <w:rPr>
          <w:rFonts w:ascii="Century Gothic" w:hAnsi="Century Gothic"/>
          <w:szCs w:val="22"/>
        </w:rPr>
      </w:pPr>
      <w:r w:rsidRPr="00C872D3">
        <w:rPr>
          <w:rFonts w:ascii="Century Gothic" w:hAnsi="Century Gothic"/>
          <w:spacing w:val="2"/>
          <w:szCs w:val="22"/>
        </w:rPr>
        <w:t>All adoption assistance payments will be excluded from income calculations under Section 5</w:t>
      </w:r>
      <w:r w:rsidRPr="00C872D3">
        <w:rPr>
          <w:rFonts w:ascii="Century Gothic" w:hAnsi="Century Gothic"/>
          <w:szCs w:val="22"/>
        </w:rPr>
        <w:t xml:space="preserve">.609(c) (8) (x11) as the $480 dependent deduction is eliminated. All income earned by full-time college students will no longer be included in the determination since there will no longer be the $480 dependent deduction to offset income. </w:t>
      </w:r>
    </w:p>
    <w:p w14:paraId="2844272C" w14:textId="77777777" w:rsidR="0071597D" w:rsidRPr="00C872D3" w:rsidRDefault="0071597D" w:rsidP="00B2304E">
      <w:pPr>
        <w:rPr>
          <w:rFonts w:ascii="Century Gothic" w:hAnsi="Century Gothic"/>
          <w:szCs w:val="22"/>
        </w:rPr>
      </w:pPr>
    </w:p>
    <w:p w14:paraId="0F1FD54D" w14:textId="77777777" w:rsidR="00B2304E" w:rsidRPr="00C872D3" w:rsidRDefault="00B2304E" w:rsidP="00B2304E">
      <w:pPr>
        <w:rPr>
          <w:rFonts w:ascii="Century Gothic" w:hAnsi="Century Gothic"/>
          <w:b/>
          <w:bCs/>
          <w:szCs w:val="22"/>
        </w:rPr>
      </w:pPr>
      <w:bookmarkStart w:id="251" w:name="_Toc518556063"/>
      <w:bookmarkStart w:id="252" w:name="_Toc3305633"/>
      <w:bookmarkStart w:id="253" w:name="_Toc9319875"/>
      <w:r w:rsidRPr="00C872D3">
        <w:rPr>
          <w:rFonts w:ascii="Century Gothic" w:hAnsi="Century Gothic"/>
          <w:b/>
          <w:bCs/>
          <w:szCs w:val="22"/>
        </w:rPr>
        <w:t>Annualized Income Calculation</w:t>
      </w:r>
      <w:bookmarkEnd w:id="251"/>
      <w:bookmarkEnd w:id="252"/>
      <w:bookmarkEnd w:id="253"/>
    </w:p>
    <w:p w14:paraId="5346AF15" w14:textId="599F7BC7" w:rsidR="00B2304E" w:rsidRPr="00C872D3" w:rsidRDefault="00B2304E" w:rsidP="00B2304E">
      <w:pPr>
        <w:rPr>
          <w:rFonts w:ascii="Century Gothic" w:hAnsi="Century Gothic"/>
          <w:spacing w:val="8"/>
          <w:szCs w:val="22"/>
        </w:rPr>
      </w:pPr>
      <w:r w:rsidRPr="00C872D3">
        <w:rPr>
          <w:rFonts w:ascii="Century Gothic" w:hAnsi="Century Gothic"/>
          <w:spacing w:val="6"/>
          <w:szCs w:val="22"/>
        </w:rPr>
        <w:t xml:space="preserve">Prospective and past income may be used to calculate resident rents, especially for </w:t>
      </w:r>
      <w:r w:rsidRPr="00C872D3">
        <w:rPr>
          <w:rFonts w:ascii="Century Gothic" w:hAnsi="Century Gothic"/>
          <w:spacing w:val="7"/>
          <w:szCs w:val="22"/>
        </w:rPr>
        <w:t xml:space="preserve">families with irregular or sporadic employment histories. For families with income of up to and including $5,000.00 we will accept </w:t>
      </w:r>
      <w:proofErr w:type="gramStart"/>
      <w:r w:rsidRPr="00C872D3">
        <w:rPr>
          <w:rFonts w:ascii="Century Gothic" w:hAnsi="Century Gothic"/>
          <w:spacing w:val="7"/>
          <w:szCs w:val="22"/>
        </w:rPr>
        <w:t>a self</w:t>
      </w:r>
      <w:proofErr w:type="gramEnd"/>
      <w:r w:rsidRPr="00C872D3">
        <w:rPr>
          <w:rFonts w:ascii="Century Gothic" w:hAnsi="Century Gothic"/>
          <w:spacing w:val="7"/>
          <w:szCs w:val="22"/>
        </w:rPr>
        <w:t xml:space="preserve">-certification. For families earning more than $5,000.00 of wages </w:t>
      </w:r>
      <w:r w:rsidRPr="00C872D3">
        <w:rPr>
          <w:rFonts w:ascii="Century Gothic" w:hAnsi="Century Gothic"/>
          <w:spacing w:val="7"/>
          <w:szCs w:val="22"/>
        </w:rPr>
        <w:lastRenderedPageBreak/>
        <w:t xml:space="preserve">and salaries we want pay stubs covering the most recent four weeks of employment or a W-2 or 1099 within 180 days of the effective date of recertification. </w:t>
      </w:r>
      <w:r w:rsidRPr="00C872D3">
        <w:rPr>
          <w:rFonts w:ascii="Century Gothic" w:hAnsi="Century Gothic"/>
          <w:spacing w:val="8"/>
          <w:szCs w:val="22"/>
        </w:rPr>
        <w:t xml:space="preserve">We must complete EIV or other UIV as required by HUD. </w:t>
      </w:r>
    </w:p>
    <w:p w14:paraId="565C755B" w14:textId="77777777" w:rsidR="0071597D" w:rsidRPr="00C872D3" w:rsidRDefault="0071597D" w:rsidP="00B2304E">
      <w:pPr>
        <w:rPr>
          <w:rFonts w:ascii="Century Gothic" w:hAnsi="Century Gothic"/>
          <w:szCs w:val="22"/>
        </w:rPr>
      </w:pPr>
    </w:p>
    <w:p w14:paraId="59B796BD" w14:textId="77777777" w:rsidR="00B2304E" w:rsidRPr="00C872D3" w:rsidRDefault="00B2304E" w:rsidP="00B2304E">
      <w:pPr>
        <w:rPr>
          <w:rFonts w:ascii="Century Gothic" w:hAnsi="Century Gothic"/>
          <w:b/>
          <w:bCs/>
          <w:szCs w:val="22"/>
        </w:rPr>
      </w:pPr>
      <w:bookmarkStart w:id="254" w:name="_Toc518556064"/>
      <w:bookmarkStart w:id="255" w:name="_Toc3305634"/>
      <w:bookmarkStart w:id="256" w:name="_Toc9319876"/>
      <w:r w:rsidRPr="00C872D3">
        <w:rPr>
          <w:rFonts w:ascii="Century Gothic" w:hAnsi="Century Gothic"/>
          <w:b/>
          <w:bCs/>
          <w:szCs w:val="22"/>
        </w:rPr>
        <w:t>Annual Reexaminations</w:t>
      </w:r>
      <w:bookmarkEnd w:id="254"/>
      <w:bookmarkEnd w:id="255"/>
      <w:bookmarkEnd w:id="256"/>
    </w:p>
    <w:p w14:paraId="731EAFE4" w14:textId="032A1E42" w:rsidR="00B2304E" w:rsidRPr="00C872D3" w:rsidRDefault="00B2304E" w:rsidP="3743D8DA">
      <w:pPr>
        <w:rPr>
          <w:rFonts w:ascii="Century Gothic" w:hAnsi="Century Gothic"/>
          <w:spacing w:val="1"/>
        </w:rPr>
      </w:pPr>
      <w:r w:rsidRPr="00C872D3">
        <w:rPr>
          <w:rFonts w:ascii="Century Gothic" w:hAnsi="Century Gothic"/>
          <w:spacing w:val="2"/>
        </w:rPr>
        <w:t>Reexaminations are currently conducted every year for non-elderly households and every two year</w:t>
      </w:r>
      <w:r w:rsidR="0071597D" w:rsidRPr="00C872D3">
        <w:rPr>
          <w:rFonts w:ascii="Century Gothic" w:hAnsi="Century Gothic"/>
          <w:spacing w:val="2"/>
        </w:rPr>
        <w:t>s</w:t>
      </w:r>
      <w:r w:rsidRPr="00C872D3">
        <w:rPr>
          <w:rFonts w:ascii="Century Gothic" w:hAnsi="Century Gothic"/>
          <w:spacing w:val="2"/>
        </w:rPr>
        <w:t xml:space="preserve"> for elderly and disabled households. ECC/HANH spends on average three hours per annual reexamination. ECC/HANH must perform more than 3,200 LIPH reexaminations every year. This is inordinately time consuming and an exceedingly complex process. Under Rent Simplification, annual reexaminations will occur e</w:t>
      </w:r>
      <w:r w:rsidRPr="00C872D3">
        <w:rPr>
          <w:rFonts w:ascii="Century Gothic" w:hAnsi="Century Gothic"/>
          <w:spacing w:val="7"/>
        </w:rPr>
        <w:t xml:space="preserve">very two years for non-elderly households and every three years for elderly and disabled households. These changes will allow </w:t>
      </w:r>
      <w:r w:rsidRPr="00C872D3">
        <w:rPr>
          <w:rFonts w:ascii="Century Gothic" w:hAnsi="Century Gothic"/>
          <w:spacing w:val="4"/>
        </w:rPr>
        <w:t xml:space="preserve">families who experience increases in income to retain </w:t>
      </w:r>
      <w:r w:rsidR="003A7677" w:rsidRPr="00C872D3">
        <w:rPr>
          <w:rFonts w:ascii="Century Gothic" w:hAnsi="Century Gothic"/>
          <w:spacing w:val="4"/>
        </w:rPr>
        <w:t>all</w:t>
      </w:r>
      <w:r w:rsidRPr="00C872D3">
        <w:rPr>
          <w:rFonts w:ascii="Century Gothic" w:hAnsi="Century Gothic"/>
          <w:spacing w:val="4"/>
        </w:rPr>
        <w:t xml:space="preserve"> their increased earnings </w:t>
      </w:r>
      <w:r w:rsidRPr="00C872D3">
        <w:rPr>
          <w:rFonts w:ascii="Century Gothic" w:hAnsi="Century Gothic"/>
          <w:spacing w:val="1"/>
        </w:rPr>
        <w:t xml:space="preserve">between annual reexaminations. CSSR requirements will be reviewed at time of bi-tri certification for families and individuals who are not exempt and required to complete the required 96 hours per year. Household members exempt from having to meet the CSSR will be required to certify exemption at time of bi-tri </w:t>
      </w:r>
      <w:r w:rsidR="003A7677" w:rsidRPr="00C872D3">
        <w:rPr>
          <w:rFonts w:ascii="Century Gothic" w:hAnsi="Century Gothic"/>
          <w:spacing w:val="1"/>
        </w:rPr>
        <w:t>certification</w:t>
      </w:r>
      <w:r w:rsidRPr="00C872D3">
        <w:rPr>
          <w:rFonts w:ascii="Century Gothic" w:hAnsi="Century Gothic"/>
          <w:spacing w:val="1"/>
        </w:rPr>
        <w:t xml:space="preserve">.  </w:t>
      </w:r>
      <w:r w:rsidRPr="00C872D3">
        <w:rPr>
          <w:rFonts w:ascii="Century Gothic" w:hAnsi="Century Gothic"/>
        </w:rPr>
        <w:t xml:space="preserve">This change relieves staff of the additional burden of annual </w:t>
      </w:r>
      <w:r w:rsidR="003A7677" w:rsidRPr="00C872D3">
        <w:rPr>
          <w:rFonts w:ascii="Century Gothic" w:hAnsi="Century Gothic"/>
        </w:rPr>
        <w:t>tracking and</w:t>
      </w:r>
      <w:r w:rsidRPr="00C872D3">
        <w:rPr>
          <w:rFonts w:ascii="Century Gothic" w:hAnsi="Century Gothic"/>
        </w:rPr>
        <w:t xml:space="preserve"> </w:t>
      </w:r>
      <w:proofErr w:type="gramStart"/>
      <w:r w:rsidRPr="00C872D3">
        <w:rPr>
          <w:rFonts w:ascii="Century Gothic" w:hAnsi="Century Gothic"/>
        </w:rPr>
        <w:t>allowing</w:t>
      </w:r>
      <w:proofErr w:type="gramEnd"/>
      <w:r w:rsidRPr="00C872D3">
        <w:rPr>
          <w:rFonts w:ascii="Century Gothic" w:hAnsi="Century Gothic"/>
        </w:rPr>
        <w:t xml:space="preserve"> families to benefit from the full extent of Rent Simplification as written. Tracking in Elite will only occur at time of bi/tri </w:t>
      </w:r>
      <w:r w:rsidR="00272BC4" w:rsidRPr="00C872D3">
        <w:rPr>
          <w:rFonts w:ascii="Century Gothic" w:hAnsi="Century Gothic"/>
        </w:rPr>
        <w:t>certifications.</w:t>
      </w:r>
      <w:r w:rsidRPr="00C872D3">
        <w:rPr>
          <w:rFonts w:ascii="Century Gothic" w:hAnsi="Century Gothic"/>
        </w:rPr>
        <w:t xml:space="preserve"> </w:t>
      </w:r>
    </w:p>
    <w:p w14:paraId="4742C03C" w14:textId="6E32E094" w:rsidR="00B2304E" w:rsidRPr="00C872D3" w:rsidRDefault="00B2304E" w:rsidP="3743D8DA">
      <w:pPr>
        <w:rPr>
          <w:rFonts w:ascii="Century Gothic" w:hAnsi="Century Gothic"/>
        </w:rPr>
      </w:pPr>
      <w:r>
        <w:br/>
      </w:r>
      <w:r w:rsidRPr="00C872D3">
        <w:rPr>
          <w:rFonts w:ascii="Century Gothic" w:hAnsi="Century Gothic"/>
        </w:rPr>
        <w:t>Effective FY15 (October 2014), ECC/HANH updated its definitions of elderly/disabled and work-able families. Under the policy change, an elderly/disabled family will be defined as one in which all adult members (excluding live-in attendants) are elderly and/or disabled. A work-able family will be one that doesn’t meet the new elderly/disabled definition. Work-able households under the new definition will have reexaminations every two years (biennial schedule) and elderly/disabled households will have annual reexaminations every three years (triennial schedule).</w:t>
      </w:r>
    </w:p>
    <w:p w14:paraId="1616B3A8" w14:textId="1780B9B9" w:rsidR="00B2304E" w:rsidRPr="00C872D3" w:rsidRDefault="00B2304E" w:rsidP="3743D8DA">
      <w:pPr>
        <w:rPr>
          <w:rFonts w:ascii="Century Gothic" w:hAnsi="Century Gothic"/>
        </w:rPr>
      </w:pPr>
    </w:p>
    <w:p w14:paraId="66D5AAE4" w14:textId="7AE1FCF1" w:rsidR="00B2304E" w:rsidRPr="00C872D3" w:rsidRDefault="00B2304E" w:rsidP="3743D8DA">
      <w:pPr>
        <w:rPr>
          <w:rFonts w:ascii="Century Gothic" w:hAnsi="Century Gothic"/>
        </w:rPr>
      </w:pPr>
      <w:r w:rsidRPr="00C872D3">
        <w:rPr>
          <w:rFonts w:ascii="Century Gothic" w:hAnsi="Century Gothic"/>
        </w:rPr>
        <w:t xml:space="preserve">ECC/HANH believes this new definition more closely matches the spirit of a “work-able” family since all work-able families would have at least one work-able adult. Under the prior definition, an elderly/disabled family only needed a head, co-head, or spouse to be elderly or disabled which led to some families with work-able adults being categories as elderly/disabled. This change will also give ECC/HANH the ability to better track earnings and employment for work-able families; and the better population division will give ECC/HANH the flexibility to implement work-able specific rent policy changes in the future if it </w:t>
      </w:r>
      <w:proofErr w:type="gramStart"/>
      <w:r w:rsidRPr="00C872D3">
        <w:rPr>
          <w:rFonts w:ascii="Century Gothic" w:hAnsi="Century Gothic"/>
        </w:rPr>
        <w:t>so chooses</w:t>
      </w:r>
      <w:proofErr w:type="gramEnd"/>
      <w:r w:rsidRPr="00C872D3">
        <w:rPr>
          <w:rFonts w:ascii="Century Gothic" w:hAnsi="Century Gothic"/>
        </w:rPr>
        <w:t>.</w:t>
      </w:r>
    </w:p>
    <w:p w14:paraId="489F8EEB" w14:textId="77777777" w:rsidR="00F53281" w:rsidRPr="00C872D3" w:rsidRDefault="00F53281" w:rsidP="00B2304E">
      <w:pPr>
        <w:rPr>
          <w:rFonts w:ascii="Century Gothic" w:hAnsi="Century Gothic"/>
          <w:szCs w:val="22"/>
        </w:rPr>
      </w:pPr>
    </w:p>
    <w:p w14:paraId="3CC3476B" w14:textId="77777777" w:rsidR="00B2304E" w:rsidRPr="00C872D3" w:rsidRDefault="00B2304E" w:rsidP="00B2304E">
      <w:pPr>
        <w:rPr>
          <w:rFonts w:ascii="Century Gothic" w:hAnsi="Century Gothic"/>
          <w:b/>
          <w:bCs/>
          <w:szCs w:val="22"/>
        </w:rPr>
      </w:pPr>
      <w:bookmarkStart w:id="257" w:name="_Toc518556065"/>
      <w:bookmarkStart w:id="258" w:name="_Toc3305635"/>
      <w:bookmarkStart w:id="259" w:name="_Toc9319877"/>
      <w:r w:rsidRPr="00C872D3">
        <w:rPr>
          <w:rFonts w:ascii="Century Gothic" w:hAnsi="Century Gothic"/>
          <w:b/>
          <w:bCs/>
          <w:szCs w:val="22"/>
        </w:rPr>
        <w:t>Deductions for Exceptional Expenses</w:t>
      </w:r>
      <w:bookmarkEnd w:id="257"/>
      <w:bookmarkEnd w:id="258"/>
      <w:bookmarkEnd w:id="259"/>
    </w:p>
    <w:p w14:paraId="2A97A937" w14:textId="2F648F2D" w:rsidR="00B2304E" w:rsidRPr="00C872D3" w:rsidRDefault="00B2304E" w:rsidP="00B2304E">
      <w:pPr>
        <w:rPr>
          <w:rFonts w:ascii="Century Gothic" w:hAnsi="Century Gothic"/>
          <w:spacing w:val="1"/>
          <w:szCs w:val="22"/>
        </w:rPr>
      </w:pPr>
      <w:r w:rsidRPr="00C872D3">
        <w:rPr>
          <w:rFonts w:ascii="Century Gothic" w:hAnsi="Century Gothic"/>
          <w:spacing w:val="1"/>
          <w:szCs w:val="22"/>
        </w:rPr>
        <w:t xml:space="preserve">Excess resources are dedicated to verifying deductions for </w:t>
      </w:r>
      <w:r w:rsidR="003A7677" w:rsidRPr="00C872D3">
        <w:rPr>
          <w:rFonts w:ascii="Century Gothic" w:hAnsi="Century Gothic"/>
          <w:spacing w:val="1"/>
          <w:szCs w:val="22"/>
        </w:rPr>
        <w:t>childcare</w:t>
      </w:r>
      <w:r w:rsidRPr="00C872D3">
        <w:rPr>
          <w:rFonts w:ascii="Century Gothic" w:hAnsi="Century Gothic"/>
          <w:spacing w:val="1"/>
          <w:szCs w:val="22"/>
        </w:rPr>
        <w:t xml:space="preserve">, medical and disability allowances. Third party verifications of these amounts are difficult to </w:t>
      </w:r>
      <w:r w:rsidR="009A2E04" w:rsidRPr="00C872D3">
        <w:rPr>
          <w:rFonts w:ascii="Century Gothic" w:hAnsi="Century Gothic"/>
          <w:spacing w:val="1"/>
          <w:szCs w:val="22"/>
        </w:rPr>
        <w:t>accomplish,</w:t>
      </w:r>
      <w:r w:rsidRPr="00C872D3">
        <w:rPr>
          <w:rFonts w:ascii="Century Gothic" w:hAnsi="Century Gothic"/>
          <w:spacing w:val="1"/>
          <w:szCs w:val="22"/>
        </w:rPr>
        <w:t xml:space="preserve"> and the agency </w:t>
      </w:r>
      <w:proofErr w:type="gramStart"/>
      <w:r w:rsidRPr="00C872D3">
        <w:rPr>
          <w:rFonts w:ascii="Century Gothic" w:hAnsi="Century Gothic"/>
          <w:spacing w:val="1"/>
          <w:szCs w:val="22"/>
        </w:rPr>
        <w:t>more often than not</w:t>
      </w:r>
      <w:proofErr w:type="gramEnd"/>
      <w:r w:rsidRPr="00C872D3">
        <w:rPr>
          <w:rFonts w:ascii="Century Gothic" w:hAnsi="Century Gothic"/>
          <w:spacing w:val="1"/>
          <w:szCs w:val="22"/>
        </w:rPr>
        <w:t xml:space="preserve"> relies upon </w:t>
      </w:r>
      <w:r w:rsidR="003A7677" w:rsidRPr="00C872D3">
        <w:rPr>
          <w:rFonts w:ascii="Century Gothic" w:hAnsi="Century Gothic"/>
          <w:spacing w:val="1"/>
          <w:szCs w:val="22"/>
        </w:rPr>
        <w:t>second- and first-party</w:t>
      </w:r>
      <w:r w:rsidRPr="00C872D3">
        <w:rPr>
          <w:rFonts w:ascii="Century Gothic" w:hAnsi="Century Gothic"/>
          <w:spacing w:val="1"/>
          <w:szCs w:val="22"/>
        </w:rPr>
        <w:t xml:space="preserve"> verifications of these deductions. Obtaining verification data also places an undue burden on the </w:t>
      </w:r>
      <w:proofErr w:type="gramStart"/>
      <w:r w:rsidRPr="00C872D3">
        <w:rPr>
          <w:rFonts w:ascii="Century Gothic" w:hAnsi="Century Gothic"/>
          <w:spacing w:val="1"/>
          <w:szCs w:val="22"/>
        </w:rPr>
        <w:t>resident</w:t>
      </w:r>
      <w:proofErr w:type="gramEnd"/>
      <w:r w:rsidRPr="00C872D3">
        <w:rPr>
          <w:rFonts w:ascii="Century Gothic" w:hAnsi="Century Gothic"/>
          <w:spacing w:val="1"/>
          <w:szCs w:val="22"/>
        </w:rPr>
        <w:t>. To simplify this process, ECC/HANH will eliminate standard deductions for these amounts for elderly, disabled and non-elderly households.</w:t>
      </w:r>
    </w:p>
    <w:p w14:paraId="1743788D" w14:textId="77777777" w:rsidR="00B2304E" w:rsidRPr="00C872D3" w:rsidRDefault="00B2304E" w:rsidP="00B2304E">
      <w:pPr>
        <w:rPr>
          <w:rFonts w:ascii="Century Gothic" w:hAnsi="Century Gothic"/>
          <w:spacing w:val="1"/>
          <w:szCs w:val="22"/>
        </w:rPr>
      </w:pPr>
      <w:r w:rsidRPr="00C872D3">
        <w:rPr>
          <w:rFonts w:ascii="Century Gothic" w:hAnsi="Century Gothic"/>
          <w:spacing w:val="1"/>
          <w:szCs w:val="22"/>
        </w:rPr>
        <w:tab/>
      </w:r>
      <w:r w:rsidRPr="00C872D3">
        <w:rPr>
          <w:rFonts w:ascii="Century Gothic" w:hAnsi="Century Gothic"/>
          <w:spacing w:val="1"/>
          <w:szCs w:val="22"/>
        </w:rPr>
        <w:tab/>
      </w:r>
    </w:p>
    <w:p w14:paraId="12747D56" w14:textId="17B7E78F" w:rsidR="00B2304E" w:rsidRPr="00C872D3" w:rsidRDefault="00B2304E" w:rsidP="00B2304E">
      <w:pPr>
        <w:rPr>
          <w:rFonts w:ascii="Century Gothic" w:hAnsi="Century Gothic"/>
          <w:szCs w:val="22"/>
        </w:rPr>
      </w:pPr>
      <w:r w:rsidRPr="00C872D3">
        <w:rPr>
          <w:rFonts w:ascii="Century Gothic" w:hAnsi="Century Gothic"/>
          <w:szCs w:val="22"/>
        </w:rPr>
        <w:t xml:space="preserve">Households with exceptional expenses may request a rent reduction.  This includes large families (with more than two (2) </w:t>
      </w:r>
      <w:r w:rsidR="003A7677" w:rsidRPr="00C872D3">
        <w:rPr>
          <w:rFonts w:ascii="Century Gothic" w:hAnsi="Century Gothic"/>
          <w:szCs w:val="22"/>
        </w:rPr>
        <w:t>dependents</w:t>
      </w:r>
      <w:r w:rsidRPr="00C872D3">
        <w:rPr>
          <w:rFonts w:ascii="Century Gothic" w:hAnsi="Century Gothic"/>
          <w:szCs w:val="22"/>
        </w:rPr>
        <w:t xml:space="preserve">).  It also includes families with high medical expenses, disability assistance expenses, or childcare expenses.  </w:t>
      </w:r>
    </w:p>
    <w:p w14:paraId="19F903FE" w14:textId="77777777" w:rsidR="00B2304E" w:rsidRPr="00C872D3" w:rsidRDefault="00B2304E" w:rsidP="00B2304E">
      <w:pPr>
        <w:rPr>
          <w:rFonts w:ascii="Century Gothic" w:hAnsi="Century Gothic"/>
          <w:szCs w:val="22"/>
        </w:rPr>
      </w:pPr>
    </w:p>
    <w:p w14:paraId="011AE026" w14:textId="053B2741" w:rsidR="00B2304E" w:rsidRPr="00C872D3" w:rsidRDefault="00B2304E" w:rsidP="00B2304E">
      <w:pPr>
        <w:rPr>
          <w:rFonts w:ascii="Century Gothic" w:hAnsi="Century Gothic"/>
          <w:szCs w:val="22"/>
        </w:rPr>
      </w:pPr>
      <w:r w:rsidRPr="00C872D3">
        <w:rPr>
          <w:rFonts w:ascii="Century Gothic" w:hAnsi="Century Gothic"/>
          <w:szCs w:val="22"/>
        </w:rPr>
        <w:t xml:space="preserve">The amount of expense is set in $2,000.00 tiers.  This allows ECC/HANH to move away from verifying </w:t>
      </w:r>
      <w:r w:rsidR="003A7677" w:rsidRPr="00C872D3">
        <w:rPr>
          <w:rFonts w:ascii="Century Gothic" w:hAnsi="Century Gothic"/>
          <w:szCs w:val="22"/>
        </w:rPr>
        <w:t>every</w:t>
      </w:r>
      <w:r w:rsidRPr="00C872D3">
        <w:rPr>
          <w:rFonts w:ascii="Century Gothic" w:hAnsi="Century Gothic"/>
          <w:szCs w:val="22"/>
        </w:rPr>
        <w:t xml:space="preserve"> dollar.  Tenants are not required to provide documentation </w:t>
      </w:r>
      <w:proofErr w:type="gramStart"/>
      <w:r w:rsidRPr="00C872D3">
        <w:rPr>
          <w:rFonts w:ascii="Century Gothic" w:hAnsi="Century Gothic"/>
          <w:szCs w:val="22"/>
        </w:rPr>
        <w:t>of</w:t>
      </w:r>
      <w:proofErr w:type="gramEnd"/>
      <w:r w:rsidRPr="00C872D3">
        <w:rPr>
          <w:rFonts w:ascii="Century Gothic" w:hAnsi="Century Gothic"/>
          <w:szCs w:val="22"/>
        </w:rPr>
        <w:t xml:space="preserve"> every dollar of expense; rather, tenants need only provide documentation sufficient to meet the appropriate tier.  </w:t>
      </w:r>
    </w:p>
    <w:p w14:paraId="7F15C01B" w14:textId="77777777" w:rsidR="00B2304E" w:rsidRPr="00C872D3" w:rsidRDefault="00B2304E" w:rsidP="00B2304E">
      <w:pPr>
        <w:rPr>
          <w:rFonts w:ascii="Century Gothic" w:hAnsi="Century Gothic"/>
          <w:szCs w:val="22"/>
        </w:rPr>
      </w:pPr>
    </w:p>
    <w:p w14:paraId="0077D5C2" w14:textId="77777777" w:rsidR="00B2304E" w:rsidRPr="00C872D3" w:rsidRDefault="00B2304E" w:rsidP="00B2304E">
      <w:pPr>
        <w:rPr>
          <w:rFonts w:ascii="Century Gothic" w:hAnsi="Century Gothic"/>
          <w:szCs w:val="22"/>
        </w:rPr>
      </w:pPr>
      <w:r w:rsidRPr="00C872D3">
        <w:rPr>
          <w:rFonts w:ascii="Century Gothic" w:hAnsi="Century Gothic"/>
          <w:szCs w:val="22"/>
        </w:rPr>
        <w:lastRenderedPageBreak/>
        <w:t xml:space="preserve">The </w:t>
      </w:r>
      <w:proofErr w:type="gramStart"/>
      <w:r w:rsidRPr="00C872D3">
        <w:rPr>
          <w:rFonts w:ascii="Century Gothic" w:hAnsi="Century Gothic"/>
          <w:szCs w:val="22"/>
        </w:rPr>
        <w:t>amount of monthly</w:t>
      </w:r>
      <w:proofErr w:type="gramEnd"/>
      <w:r w:rsidRPr="00C872D3">
        <w:rPr>
          <w:rFonts w:ascii="Century Gothic" w:hAnsi="Century Gothic"/>
          <w:szCs w:val="22"/>
        </w:rPr>
        <w:t xml:space="preserve"> rent reduction is established at the mid-range of the tier.  </w:t>
      </w:r>
    </w:p>
    <w:p w14:paraId="10501B91" w14:textId="77777777" w:rsidR="00B2304E" w:rsidRPr="00C872D3" w:rsidRDefault="00B2304E" w:rsidP="00B2304E">
      <w:pPr>
        <w:rPr>
          <w:rFonts w:ascii="Century Gothic" w:hAnsi="Century Gothic"/>
          <w:szCs w:val="22"/>
        </w:rPr>
      </w:pPr>
    </w:p>
    <w:p w14:paraId="6C3E43F8" w14:textId="77777777" w:rsidR="00B2304E" w:rsidRPr="00C872D3" w:rsidRDefault="00B2304E" w:rsidP="00B2304E">
      <w:pPr>
        <w:rPr>
          <w:rFonts w:ascii="Century Gothic" w:hAnsi="Century Gothic"/>
          <w:szCs w:val="22"/>
        </w:rPr>
      </w:pPr>
      <w:r w:rsidRPr="00C872D3">
        <w:rPr>
          <w:rFonts w:ascii="Century Gothic" w:hAnsi="Century Gothic"/>
          <w:szCs w:val="22"/>
        </w:rPr>
        <w:t xml:space="preserve">Households with exceptional expenses will receive a direct reduction of the monthly rent.  However, no tenant’s rent will be reduced below a rent of $50.00 as a result.  </w:t>
      </w:r>
    </w:p>
    <w:p w14:paraId="2BC27293" w14:textId="77777777" w:rsidR="00B2304E" w:rsidRPr="00C872D3" w:rsidRDefault="00B2304E" w:rsidP="00B2304E">
      <w:pPr>
        <w:rPr>
          <w:rFonts w:ascii="Century Gothic" w:hAnsi="Century Gothic"/>
          <w:szCs w:val="22"/>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4177"/>
      </w:tblGrid>
      <w:tr w:rsidR="00B2304E" w:rsidRPr="003B606D" w14:paraId="24F73114" w14:textId="77777777" w:rsidTr="00310FD8">
        <w:tc>
          <w:tcPr>
            <w:tcW w:w="4156" w:type="dxa"/>
          </w:tcPr>
          <w:p w14:paraId="5DB23BCE" w14:textId="77777777" w:rsidR="00B2304E" w:rsidRPr="00C872D3" w:rsidRDefault="00B2304E" w:rsidP="00310FD8">
            <w:pPr>
              <w:rPr>
                <w:rFonts w:ascii="Century Gothic" w:hAnsi="Century Gothic"/>
                <w:b/>
                <w:bCs/>
                <w:szCs w:val="22"/>
              </w:rPr>
            </w:pPr>
            <w:r w:rsidRPr="00C872D3">
              <w:rPr>
                <w:rFonts w:ascii="Century Gothic" w:hAnsi="Century Gothic"/>
                <w:b/>
                <w:szCs w:val="22"/>
              </w:rPr>
              <w:t>Tiered Amount of Expenses</w:t>
            </w:r>
          </w:p>
        </w:tc>
        <w:tc>
          <w:tcPr>
            <w:tcW w:w="4177" w:type="dxa"/>
          </w:tcPr>
          <w:p w14:paraId="19AD35D7" w14:textId="77777777" w:rsidR="00B2304E" w:rsidRPr="00C872D3" w:rsidRDefault="00B2304E" w:rsidP="00310FD8">
            <w:pPr>
              <w:rPr>
                <w:rFonts w:ascii="Century Gothic" w:hAnsi="Century Gothic"/>
                <w:b/>
                <w:bCs/>
                <w:szCs w:val="22"/>
              </w:rPr>
            </w:pPr>
            <w:r w:rsidRPr="00C872D3">
              <w:rPr>
                <w:rFonts w:ascii="Century Gothic" w:hAnsi="Century Gothic"/>
                <w:b/>
                <w:szCs w:val="22"/>
              </w:rPr>
              <w:t>Monthly Rent Reduction</w:t>
            </w:r>
          </w:p>
        </w:tc>
      </w:tr>
      <w:tr w:rsidR="00B2304E" w:rsidRPr="003B606D" w14:paraId="2A874EAE" w14:textId="77777777" w:rsidTr="00310FD8">
        <w:tc>
          <w:tcPr>
            <w:tcW w:w="4156" w:type="dxa"/>
          </w:tcPr>
          <w:p w14:paraId="3A229A0B" w14:textId="77777777" w:rsidR="00B2304E" w:rsidRPr="00206D48" w:rsidRDefault="00B2304E" w:rsidP="00310FD8">
            <w:pPr>
              <w:rPr>
                <w:rFonts w:ascii="Century Gothic" w:hAnsi="Century Gothic"/>
                <w:szCs w:val="22"/>
              </w:rPr>
            </w:pPr>
            <w:r w:rsidRPr="00206D48">
              <w:rPr>
                <w:rFonts w:ascii="Century Gothic" w:hAnsi="Century Gothic"/>
                <w:szCs w:val="22"/>
              </w:rPr>
              <w:t>$ 2,000 - $ 3,999</w:t>
            </w:r>
          </w:p>
        </w:tc>
        <w:tc>
          <w:tcPr>
            <w:tcW w:w="4177" w:type="dxa"/>
          </w:tcPr>
          <w:p w14:paraId="5C7C604D" w14:textId="3B2D44F4" w:rsidR="00B2304E" w:rsidRPr="00206D48" w:rsidRDefault="00B2304E" w:rsidP="00310FD8">
            <w:pPr>
              <w:rPr>
                <w:rFonts w:ascii="Century Gothic" w:hAnsi="Century Gothic"/>
                <w:szCs w:val="22"/>
              </w:rPr>
            </w:pPr>
            <w:r w:rsidRPr="00206D48">
              <w:rPr>
                <w:rFonts w:ascii="Century Gothic" w:hAnsi="Century Gothic"/>
                <w:szCs w:val="22"/>
              </w:rPr>
              <w:t xml:space="preserve">$ </w:t>
            </w:r>
            <w:r w:rsidR="00E27A6F" w:rsidRPr="00206D48">
              <w:rPr>
                <w:rFonts w:ascii="Century Gothic" w:hAnsi="Century Gothic"/>
                <w:szCs w:val="22"/>
              </w:rPr>
              <w:t>75 (</w:t>
            </w:r>
            <w:r w:rsidRPr="00206D48">
              <w:rPr>
                <w:rFonts w:ascii="Century Gothic" w:hAnsi="Century Gothic"/>
                <w:szCs w:val="22"/>
              </w:rPr>
              <w:t>equivalent to $3,000 deduction)</w:t>
            </w:r>
          </w:p>
        </w:tc>
      </w:tr>
      <w:tr w:rsidR="00B2304E" w:rsidRPr="003B606D" w14:paraId="5A757C10" w14:textId="77777777" w:rsidTr="00310FD8">
        <w:tc>
          <w:tcPr>
            <w:tcW w:w="4156" w:type="dxa"/>
          </w:tcPr>
          <w:p w14:paraId="23E2217C" w14:textId="77777777" w:rsidR="00B2304E" w:rsidRPr="00206D48" w:rsidRDefault="00B2304E" w:rsidP="00310FD8">
            <w:pPr>
              <w:rPr>
                <w:rFonts w:ascii="Century Gothic" w:hAnsi="Century Gothic"/>
                <w:szCs w:val="22"/>
              </w:rPr>
            </w:pPr>
            <w:r w:rsidRPr="00206D48">
              <w:rPr>
                <w:rFonts w:ascii="Century Gothic" w:hAnsi="Century Gothic"/>
                <w:szCs w:val="22"/>
              </w:rPr>
              <w:t>$ 4,000 - $ 5,999</w:t>
            </w:r>
          </w:p>
        </w:tc>
        <w:tc>
          <w:tcPr>
            <w:tcW w:w="4177" w:type="dxa"/>
          </w:tcPr>
          <w:p w14:paraId="352B5555" w14:textId="37E8AA05" w:rsidR="00B2304E" w:rsidRPr="00206D48" w:rsidRDefault="00B2304E" w:rsidP="00310FD8">
            <w:pPr>
              <w:rPr>
                <w:rFonts w:ascii="Century Gothic" w:hAnsi="Century Gothic"/>
                <w:szCs w:val="22"/>
              </w:rPr>
            </w:pPr>
            <w:r w:rsidRPr="00206D48">
              <w:rPr>
                <w:rFonts w:ascii="Century Gothic" w:hAnsi="Century Gothic"/>
                <w:szCs w:val="22"/>
              </w:rPr>
              <w:t xml:space="preserve">$ </w:t>
            </w:r>
            <w:r w:rsidR="00491A91" w:rsidRPr="00206D48">
              <w:rPr>
                <w:rFonts w:ascii="Century Gothic" w:hAnsi="Century Gothic"/>
                <w:szCs w:val="22"/>
              </w:rPr>
              <w:t>125 (</w:t>
            </w:r>
            <w:r w:rsidRPr="00206D48">
              <w:rPr>
                <w:rFonts w:ascii="Century Gothic" w:hAnsi="Century Gothic"/>
                <w:szCs w:val="22"/>
              </w:rPr>
              <w:t>equivalent to $5,000 deduction)</w:t>
            </w:r>
          </w:p>
        </w:tc>
      </w:tr>
      <w:tr w:rsidR="00B2304E" w:rsidRPr="003B606D" w14:paraId="6BF27DF4" w14:textId="77777777" w:rsidTr="00310FD8">
        <w:tc>
          <w:tcPr>
            <w:tcW w:w="4156" w:type="dxa"/>
          </w:tcPr>
          <w:p w14:paraId="68255803" w14:textId="77777777" w:rsidR="00B2304E" w:rsidRPr="00C872D3" w:rsidRDefault="00B2304E" w:rsidP="00310FD8">
            <w:pPr>
              <w:rPr>
                <w:rFonts w:ascii="Century Gothic" w:hAnsi="Century Gothic"/>
                <w:szCs w:val="22"/>
              </w:rPr>
            </w:pPr>
            <w:r w:rsidRPr="00C872D3">
              <w:rPr>
                <w:rFonts w:ascii="Century Gothic" w:hAnsi="Century Gothic"/>
                <w:szCs w:val="22"/>
              </w:rPr>
              <w:t>$ 6,000 +</w:t>
            </w:r>
          </w:p>
        </w:tc>
        <w:tc>
          <w:tcPr>
            <w:tcW w:w="4177" w:type="dxa"/>
          </w:tcPr>
          <w:p w14:paraId="7BAE61FF" w14:textId="77777777" w:rsidR="00B2304E" w:rsidRPr="00C872D3" w:rsidRDefault="00B2304E" w:rsidP="00310FD8">
            <w:pPr>
              <w:rPr>
                <w:rFonts w:ascii="Century Gothic" w:hAnsi="Century Gothic"/>
                <w:szCs w:val="22"/>
              </w:rPr>
            </w:pPr>
            <w:r w:rsidRPr="00C872D3">
              <w:rPr>
                <w:rFonts w:ascii="Century Gothic" w:hAnsi="Century Gothic"/>
                <w:szCs w:val="22"/>
              </w:rPr>
              <w:t>Hardship Review</w:t>
            </w:r>
          </w:p>
        </w:tc>
      </w:tr>
    </w:tbl>
    <w:p w14:paraId="50D6DF78" w14:textId="77777777" w:rsidR="00B2304E" w:rsidRPr="00C872D3" w:rsidRDefault="00B2304E" w:rsidP="00B2304E">
      <w:pPr>
        <w:rPr>
          <w:rFonts w:ascii="Century Gothic" w:hAnsi="Century Gothic"/>
          <w:szCs w:val="22"/>
        </w:rPr>
      </w:pPr>
    </w:p>
    <w:p w14:paraId="34E6FAF4" w14:textId="77777777" w:rsidR="00B2304E" w:rsidRPr="00C872D3" w:rsidRDefault="00B2304E" w:rsidP="00B2304E">
      <w:pPr>
        <w:rPr>
          <w:rFonts w:ascii="Century Gothic" w:hAnsi="Century Gothic"/>
          <w:b/>
          <w:szCs w:val="22"/>
        </w:rPr>
      </w:pPr>
      <w:r w:rsidRPr="00C872D3">
        <w:rPr>
          <w:rFonts w:ascii="Century Gothic" w:hAnsi="Century Gothic"/>
          <w:b/>
          <w:szCs w:val="22"/>
        </w:rPr>
        <w:t>Changes in Family Composition</w:t>
      </w:r>
    </w:p>
    <w:p w14:paraId="1C362F38" w14:textId="2DC6A24C" w:rsidR="00B2304E" w:rsidRPr="00C872D3" w:rsidRDefault="00B2304E" w:rsidP="00B2304E">
      <w:pPr>
        <w:rPr>
          <w:rFonts w:ascii="Century Gothic" w:hAnsi="Century Gothic"/>
          <w:szCs w:val="22"/>
        </w:rPr>
      </w:pPr>
      <w:r w:rsidRPr="00C872D3">
        <w:rPr>
          <w:rFonts w:ascii="Century Gothic" w:hAnsi="Century Gothic"/>
          <w:spacing w:val="5"/>
          <w:szCs w:val="22"/>
        </w:rPr>
        <w:t xml:space="preserve">Residents are still required to get permission from the Housing Manager and the Director of Housing Management to add anyone to a </w:t>
      </w:r>
      <w:r w:rsidRPr="00C872D3">
        <w:rPr>
          <w:rFonts w:ascii="Century Gothic" w:hAnsi="Century Gothic"/>
          <w:spacing w:val="3"/>
          <w:szCs w:val="22"/>
        </w:rPr>
        <w:t xml:space="preserve">household and to report changes in family composition. </w:t>
      </w:r>
      <w:r w:rsidRPr="00C872D3">
        <w:rPr>
          <w:rFonts w:ascii="Century Gothic" w:hAnsi="Century Gothic"/>
          <w:szCs w:val="22"/>
        </w:rPr>
        <w:t>A family's rent is recalculated if the addition or subtraction of a household member results in an income change of $200.00 per month or more, or that causes the family to move from one income tier to another. This increase in rent does not count as an interim reexamination.</w:t>
      </w:r>
    </w:p>
    <w:p w14:paraId="39F09AE6" w14:textId="77777777" w:rsidR="00BE3DE3" w:rsidRPr="00C872D3" w:rsidRDefault="00BE3DE3" w:rsidP="00B2304E">
      <w:pPr>
        <w:rPr>
          <w:rFonts w:ascii="Century Gothic" w:hAnsi="Century Gothic"/>
          <w:szCs w:val="22"/>
        </w:rPr>
      </w:pPr>
    </w:p>
    <w:p w14:paraId="65BE433E" w14:textId="77777777" w:rsidR="00B2304E" w:rsidRPr="00C872D3" w:rsidRDefault="00B2304E" w:rsidP="00B2304E">
      <w:pPr>
        <w:rPr>
          <w:rFonts w:ascii="Century Gothic" w:hAnsi="Century Gothic"/>
          <w:b/>
          <w:bCs/>
          <w:szCs w:val="22"/>
        </w:rPr>
      </w:pPr>
      <w:bookmarkStart w:id="260" w:name="_Toc518556066"/>
      <w:bookmarkStart w:id="261" w:name="_Toc3305636"/>
      <w:bookmarkStart w:id="262" w:name="_Toc9319878"/>
      <w:r w:rsidRPr="00C872D3">
        <w:rPr>
          <w:rFonts w:ascii="Century Gothic" w:hAnsi="Century Gothic"/>
          <w:b/>
          <w:bCs/>
          <w:szCs w:val="22"/>
        </w:rPr>
        <w:t>Mandatory Interim Reexaminations Policy</w:t>
      </w:r>
      <w:bookmarkEnd w:id="260"/>
      <w:bookmarkEnd w:id="261"/>
      <w:bookmarkEnd w:id="262"/>
    </w:p>
    <w:p w14:paraId="4F26A1CD" w14:textId="77777777" w:rsidR="00B2304E" w:rsidRPr="00C872D3" w:rsidRDefault="00B2304E" w:rsidP="00486062">
      <w:pPr>
        <w:pStyle w:val="ListParagraph"/>
        <w:numPr>
          <w:ilvl w:val="0"/>
          <w:numId w:val="86"/>
        </w:numPr>
        <w:rPr>
          <w:rFonts w:ascii="Century Gothic" w:hAnsi="Century Gothic"/>
          <w:spacing w:val="1"/>
          <w:szCs w:val="22"/>
        </w:rPr>
      </w:pPr>
      <w:r w:rsidRPr="00C872D3">
        <w:rPr>
          <w:rFonts w:ascii="Century Gothic" w:hAnsi="Century Gothic"/>
          <w:spacing w:val="1"/>
          <w:szCs w:val="22"/>
        </w:rPr>
        <w:t xml:space="preserve">Residents must request an interim reexamination if any of the following conditions occur: </w:t>
      </w:r>
    </w:p>
    <w:p w14:paraId="3A9C43CE" w14:textId="77777777" w:rsidR="00B2304E" w:rsidRPr="00C872D3" w:rsidRDefault="00B2304E" w:rsidP="00486062">
      <w:pPr>
        <w:pStyle w:val="ListParagraph"/>
        <w:numPr>
          <w:ilvl w:val="0"/>
          <w:numId w:val="86"/>
        </w:numPr>
        <w:rPr>
          <w:rFonts w:ascii="Century Gothic" w:hAnsi="Century Gothic"/>
          <w:spacing w:val="1"/>
          <w:szCs w:val="22"/>
        </w:rPr>
      </w:pPr>
      <w:r w:rsidRPr="00C872D3">
        <w:rPr>
          <w:rFonts w:ascii="Century Gothic" w:hAnsi="Century Gothic"/>
          <w:spacing w:val="1"/>
          <w:szCs w:val="22"/>
        </w:rPr>
        <w:t>Change in family composition that affects the voucher size or bedroom size.</w:t>
      </w:r>
    </w:p>
    <w:p w14:paraId="54D104EB" w14:textId="77777777" w:rsidR="00B2304E" w:rsidRPr="00C872D3" w:rsidRDefault="00B2304E" w:rsidP="00486062">
      <w:pPr>
        <w:pStyle w:val="ListParagraph"/>
        <w:numPr>
          <w:ilvl w:val="0"/>
          <w:numId w:val="86"/>
        </w:numPr>
        <w:rPr>
          <w:rFonts w:ascii="Century Gothic" w:hAnsi="Century Gothic"/>
          <w:spacing w:val="1"/>
          <w:szCs w:val="22"/>
        </w:rPr>
      </w:pPr>
      <w:r w:rsidRPr="00C872D3">
        <w:rPr>
          <w:rFonts w:ascii="Century Gothic" w:hAnsi="Century Gothic"/>
          <w:spacing w:val="1"/>
          <w:szCs w:val="22"/>
        </w:rPr>
        <w:t>The addition of a family member 18 years of age or older</w:t>
      </w:r>
    </w:p>
    <w:p w14:paraId="71B6891B" w14:textId="77777777" w:rsidR="00B2304E" w:rsidRPr="00C872D3" w:rsidRDefault="00B2304E" w:rsidP="00B2304E">
      <w:pPr>
        <w:rPr>
          <w:rFonts w:ascii="Century Gothic" w:hAnsi="Century Gothic"/>
          <w:spacing w:val="1"/>
          <w:szCs w:val="22"/>
        </w:rPr>
      </w:pPr>
    </w:p>
    <w:p w14:paraId="02B6B391" w14:textId="77777777" w:rsidR="00B2304E" w:rsidRPr="00C872D3" w:rsidRDefault="00B2304E" w:rsidP="00486062">
      <w:pPr>
        <w:pStyle w:val="ListParagraph"/>
        <w:numPr>
          <w:ilvl w:val="0"/>
          <w:numId w:val="86"/>
        </w:numPr>
        <w:rPr>
          <w:rFonts w:ascii="Century Gothic" w:hAnsi="Century Gothic"/>
          <w:spacing w:val="1"/>
          <w:szCs w:val="22"/>
        </w:rPr>
      </w:pPr>
      <w:r w:rsidRPr="00C872D3">
        <w:rPr>
          <w:rFonts w:ascii="Century Gothic" w:hAnsi="Century Gothic"/>
          <w:spacing w:val="1"/>
          <w:szCs w:val="22"/>
        </w:rPr>
        <w:t>Change in family composition that causes the family to move from one income tier to another with a higher rent schedule.</w:t>
      </w:r>
    </w:p>
    <w:p w14:paraId="25D80FF2" w14:textId="77777777" w:rsidR="00B2304E" w:rsidRPr="00C872D3" w:rsidRDefault="00B2304E" w:rsidP="00486062">
      <w:pPr>
        <w:pStyle w:val="ListParagraph"/>
        <w:numPr>
          <w:ilvl w:val="0"/>
          <w:numId w:val="86"/>
        </w:numPr>
        <w:rPr>
          <w:rFonts w:ascii="Century Gothic" w:hAnsi="Century Gothic"/>
          <w:spacing w:val="1"/>
          <w:szCs w:val="22"/>
        </w:rPr>
      </w:pPr>
      <w:r w:rsidRPr="00C872D3">
        <w:rPr>
          <w:rFonts w:ascii="Century Gothic" w:hAnsi="Century Gothic"/>
          <w:spacing w:val="1"/>
          <w:szCs w:val="22"/>
        </w:rPr>
        <w:t>Addition of a live-in aid</w:t>
      </w:r>
    </w:p>
    <w:p w14:paraId="6CE873C1" w14:textId="77777777" w:rsidR="00B2304E" w:rsidRPr="00C872D3" w:rsidRDefault="00B2304E" w:rsidP="00486062">
      <w:pPr>
        <w:pStyle w:val="ListParagraph"/>
        <w:numPr>
          <w:ilvl w:val="0"/>
          <w:numId w:val="86"/>
        </w:numPr>
        <w:rPr>
          <w:rFonts w:ascii="Century Gothic" w:hAnsi="Century Gothic"/>
          <w:b/>
          <w:szCs w:val="22"/>
        </w:rPr>
      </w:pPr>
      <w:bookmarkStart w:id="263" w:name="_Toc518556067"/>
      <w:bookmarkStart w:id="264" w:name="_Toc3305637"/>
      <w:bookmarkStart w:id="265" w:name="_Toc9319879"/>
      <w:r w:rsidRPr="00C872D3">
        <w:rPr>
          <w:rFonts w:ascii="Century Gothic" w:hAnsi="Century Gothic"/>
          <w:spacing w:val="7"/>
          <w:szCs w:val="22"/>
        </w:rPr>
        <w:t>Income increase following a</w:t>
      </w:r>
      <w:r w:rsidRPr="00C872D3">
        <w:rPr>
          <w:rFonts w:ascii="Century Gothic" w:hAnsi="Century Gothic"/>
          <w:spacing w:val="1"/>
          <w:szCs w:val="22"/>
        </w:rPr>
        <w:t>n interim rent reduction</w:t>
      </w:r>
      <w:bookmarkEnd w:id="263"/>
      <w:bookmarkEnd w:id="264"/>
      <w:bookmarkEnd w:id="265"/>
      <w:r w:rsidRPr="00C872D3">
        <w:rPr>
          <w:rFonts w:ascii="Century Gothic" w:hAnsi="Century Gothic"/>
          <w:spacing w:val="1"/>
          <w:szCs w:val="22"/>
        </w:rPr>
        <w:t xml:space="preserve"> </w:t>
      </w:r>
    </w:p>
    <w:p w14:paraId="2CAD9FD6" w14:textId="77777777" w:rsidR="00B2304E" w:rsidRPr="00C872D3" w:rsidRDefault="00B2304E" w:rsidP="00B2304E">
      <w:pPr>
        <w:rPr>
          <w:rFonts w:ascii="Century Gothic" w:hAnsi="Century Gothic"/>
          <w:szCs w:val="22"/>
        </w:rPr>
      </w:pPr>
    </w:p>
    <w:p w14:paraId="1BD99DCD" w14:textId="77777777" w:rsidR="00B2304E" w:rsidRPr="00C872D3" w:rsidRDefault="00B2304E" w:rsidP="00B2304E">
      <w:pPr>
        <w:rPr>
          <w:rFonts w:ascii="Century Gothic" w:hAnsi="Century Gothic"/>
          <w:spacing w:val="1"/>
          <w:szCs w:val="22"/>
        </w:rPr>
      </w:pPr>
      <w:r w:rsidRPr="00C872D3">
        <w:rPr>
          <w:rFonts w:ascii="Century Gothic" w:hAnsi="Century Gothic"/>
          <w:spacing w:val="1"/>
          <w:szCs w:val="22"/>
        </w:rPr>
        <w:t>If ECC/HANH grants an exceptional deduction for any family and there is a subsequent change then the family must report that change to ECC/HANH.</w:t>
      </w:r>
    </w:p>
    <w:p w14:paraId="068778C6" w14:textId="77777777" w:rsidR="00B2304E" w:rsidRPr="00C872D3" w:rsidRDefault="00B2304E" w:rsidP="00B2304E">
      <w:pPr>
        <w:rPr>
          <w:rFonts w:ascii="Century Gothic" w:hAnsi="Century Gothic"/>
          <w:szCs w:val="22"/>
        </w:rPr>
      </w:pPr>
    </w:p>
    <w:p w14:paraId="1630F95B" w14:textId="77777777" w:rsidR="00B2304E" w:rsidRPr="00C872D3" w:rsidRDefault="00B2304E" w:rsidP="00B2304E">
      <w:pPr>
        <w:rPr>
          <w:rFonts w:ascii="Century Gothic" w:hAnsi="Century Gothic"/>
          <w:b/>
          <w:bCs/>
          <w:szCs w:val="22"/>
        </w:rPr>
      </w:pPr>
      <w:bookmarkStart w:id="266" w:name="_Toc518556068"/>
      <w:bookmarkStart w:id="267" w:name="_Toc3305638"/>
      <w:bookmarkStart w:id="268" w:name="_Toc9319880"/>
      <w:r w:rsidRPr="00C872D3">
        <w:rPr>
          <w:rFonts w:ascii="Century Gothic" w:hAnsi="Century Gothic"/>
          <w:b/>
          <w:bCs/>
          <w:szCs w:val="22"/>
        </w:rPr>
        <w:t>Optional Interim Reexaminations Policy</w:t>
      </w:r>
      <w:bookmarkEnd w:id="266"/>
      <w:bookmarkEnd w:id="267"/>
      <w:bookmarkEnd w:id="268"/>
    </w:p>
    <w:p w14:paraId="6FDADF17" w14:textId="77777777" w:rsidR="00B2304E" w:rsidRPr="00C872D3" w:rsidRDefault="00B2304E" w:rsidP="00B2304E">
      <w:pPr>
        <w:rPr>
          <w:rFonts w:ascii="Century Gothic" w:hAnsi="Century Gothic"/>
          <w:spacing w:val="1"/>
          <w:szCs w:val="22"/>
        </w:rPr>
      </w:pPr>
      <w:r w:rsidRPr="00C872D3">
        <w:rPr>
          <w:rFonts w:ascii="Century Gothic" w:hAnsi="Century Gothic"/>
          <w:spacing w:val="1"/>
          <w:szCs w:val="22"/>
        </w:rPr>
        <w:t>Residents have the option to request three (3) interim reexaminations during every twelve (12) month period. Interims may be granted in the following instances:</w:t>
      </w:r>
    </w:p>
    <w:p w14:paraId="3AAD56B0" w14:textId="77777777" w:rsidR="00B2304E" w:rsidRPr="00C872D3" w:rsidRDefault="00B2304E" w:rsidP="00B2304E">
      <w:pPr>
        <w:rPr>
          <w:rFonts w:ascii="Century Gothic" w:hAnsi="Century Gothic"/>
          <w:spacing w:val="1"/>
          <w:szCs w:val="22"/>
        </w:rPr>
      </w:pPr>
    </w:p>
    <w:p w14:paraId="26E375FB" w14:textId="77777777" w:rsidR="00B2304E" w:rsidRPr="00C872D3" w:rsidRDefault="00B2304E" w:rsidP="00B2304E">
      <w:pPr>
        <w:rPr>
          <w:rFonts w:ascii="Century Gothic" w:hAnsi="Century Gothic"/>
          <w:spacing w:val="1"/>
          <w:szCs w:val="22"/>
        </w:rPr>
      </w:pPr>
      <w:r w:rsidRPr="00C872D3">
        <w:rPr>
          <w:rFonts w:ascii="Century Gothic" w:hAnsi="Century Gothic"/>
          <w:spacing w:val="1"/>
          <w:szCs w:val="22"/>
        </w:rPr>
        <w:t xml:space="preserve">Decrease in family income that is expected to last 90 days or more if it </w:t>
      </w:r>
      <w:proofErr w:type="gramStart"/>
      <w:r w:rsidRPr="00C872D3">
        <w:rPr>
          <w:rFonts w:ascii="Century Gothic" w:hAnsi="Century Gothic"/>
          <w:spacing w:val="1"/>
          <w:szCs w:val="22"/>
        </w:rPr>
        <w:t>will result</w:t>
      </w:r>
      <w:proofErr w:type="gramEnd"/>
      <w:r w:rsidRPr="00C872D3">
        <w:rPr>
          <w:rFonts w:ascii="Century Gothic" w:hAnsi="Century Gothic"/>
          <w:spacing w:val="1"/>
          <w:szCs w:val="22"/>
        </w:rPr>
        <w:t xml:space="preserve"> in a change in the family’s income tier (</w:t>
      </w:r>
      <w:proofErr w:type="gramStart"/>
      <w:r w:rsidRPr="00C872D3">
        <w:rPr>
          <w:rFonts w:ascii="Century Gothic" w:hAnsi="Century Gothic"/>
          <w:spacing w:val="1"/>
          <w:szCs w:val="22"/>
        </w:rPr>
        <w:t>exclude</w:t>
      </w:r>
      <w:proofErr w:type="gramEnd"/>
      <w:r w:rsidRPr="00C872D3">
        <w:rPr>
          <w:rFonts w:ascii="Century Gothic" w:hAnsi="Century Gothic"/>
          <w:spacing w:val="1"/>
          <w:szCs w:val="22"/>
        </w:rPr>
        <w:t xml:space="preserve"> seasonal workers; see below)</w:t>
      </w:r>
    </w:p>
    <w:p w14:paraId="7F31E211" w14:textId="77777777" w:rsidR="00B2304E" w:rsidRPr="00C872D3" w:rsidRDefault="00B2304E" w:rsidP="00B2304E">
      <w:pPr>
        <w:rPr>
          <w:rFonts w:ascii="Century Gothic" w:hAnsi="Century Gothic"/>
          <w:spacing w:val="1"/>
          <w:szCs w:val="22"/>
        </w:rPr>
      </w:pPr>
    </w:p>
    <w:p w14:paraId="37BA95BF" w14:textId="01D76B06" w:rsidR="00B2304E" w:rsidRPr="00C872D3" w:rsidRDefault="00B2304E" w:rsidP="00B2304E">
      <w:pPr>
        <w:rPr>
          <w:rFonts w:ascii="Century Gothic" w:hAnsi="Century Gothic"/>
          <w:spacing w:val="1"/>
          <w:szCs w:val="22"/>
        </w:rPr>
      </w:pPr>
      <w:r w:rsidRPr="00C872D3">
        <w:rPr>
          <w:rFonts w:ascii="Century Gothic" w:hAnsi="Century Gothic"/>
          <w:spacing w:val="1"/>
          <w:szCs w:val="22"/>
        </w:rPr>
        <w:t xml:space="preserve">Increase in Exceptional Expenses of at least </w:t>
      </w:r>
      <w:r w:rsidR="00272BC4" w:rsidRPr="00C872D3">
        <w:rPr>
          <w:rFonts w:ascii="Century Gothic" w:hAnsi="Century Gothic"/>
          <w:spacing w:val="1"/>
          <w:szCs w:val="22"/>
        </w:rPr>
        <w:t>$2,000.00.</w:t>
      </w:r>
    </w:p>
    <w:p w14:paraId="0C0F85B3" w14:textId="77777777" w:rsidR="00B2304E" w:rsidRPr="00C872D3" w:rsidRDefault="00B2304E" w:rsidP="00B2304E">
      <w:pPr>
        <w:rPr>
          <w:rFonts w:ascii="Century Gothic" w:hAnsi="Century Gothic"/>
          <w:spacing w:val="1"/>
          <w:szCs w:val="22"/>
        </w:rPr>
      </w:pPr>
    </w:p>
    <w:p w14:paraId="4A88D82D" w14:textId="3BC33B9A" w:rsidR="00B2304E" w:rsidRPr="00C872D3" w:rsidRDefault="00B2304E" w:rsidP="00B2304E">
      <w:pPr>
        <w:rPr>
          <w:rFonts w:ascii="Century Gothic" w:hAnsi="Century Gothic"/>
          <w:spacing w:val="1"/>
          <w:szCs w:val="22"/>
        </w:rPr>
      </w:pPr>
      <w:bookmarkStart w:id="269" w:name="_Hlk36105192"/>
      <w:r w:rsidRPr="00C872D3">
        <w:rPr>
          <w:rFonts w:ascii="Century Gothic" w:hAnsi="Century Gothic"/>
          <w:spacing w:val="1"/>
          <w:szCs w:val="22"/>
        </w:rPr>
        <w:t xml:space="preserve">Interim rents normally remain in place until the next scheduled reexamination. If a family experiences an increase in </w:t>
      </w:r>
      <w:r w:rsidR="00E718EB" w:rsidRPr="00E718EB">
        <w:rPr>
          <w:rFonts w:ascii="Century Gothic" w:hAnsi="Century Gothic"/>
          <w:spacing w:val="1"/>
          <w:szCs w:val="22"/>
        </w:rPr>
        <w:t>income,</w:t>
      </w:r>
      <w:r w:rsidRPr="00C872D3">
        <w:rPr>
          <w:rFonts w:ascii="Century Gothic" w:hAnsi="Century Gothic"/>
          <w:spacing w:val="1"/>
          <w:szCs w:val="22"/>
        </w:rPr>
        <w:t xml:space="preserve"> it is not necessary for the family to report this increase in income until the next scheduled certification date, except when the increase occurs after an interim decrease has been processed. </w:t>
      </w:r>
    </w:p>
    <w:bookmarkEnd w:id="269"/>
    <w:p w14:paraId="7EDA205E" w14:textId="77777777" w:rsidR="00B2304E" w:rsidRPr="00C872D3" w:rsidRDefault="00B2304E" w:rsidP="00B2304E">
      <w:pPr>
        <w:rPr>
          <w:rFonts w:ascii="Century Gothic" w:hAnsi="Century Gothic"/>
          <w:spacing w:val="1"/>
          <w:szCs w:val="22"/>
        </w:rPr>
      </w:pPr>
    </w:p>
    <w:p w14:paraId="1118B72E" w14:textId="77777777" w:rsidR="00B2304E" w:rsidRPr="00C872D3" w:rsidRDefault="00B2304E" w:rsidP="00B2304E">
      <w:pPr>
        <w:rPr>
          <w:rFonts w:ascii="Century Gothic" w:hAnsi="Century Gothic"/>
          <w:spacing w:val="1"/>
          <w:szCs w:val="22"/>
        </w:rPr>
      </w:pPr>
      <w:r w:rsidRPr="00C872D3">
        <w:rPr>
          <w:rFonts w:ascii="Century Gothic" w:hAnsi="Century Gothic"/>
          <w:spacing w:val="1"/>
          <w:szCs w:val="22"/>
        </w:rPr>
        <w:t xml:space="preserve">Households receiving a requested interim rent reduction must report any </w:t>
      </w:r>
      <w:r w:rsidRPr="00C872D3">
        <w:rPr>
          <w:rFonts w:ascii="Century Gothic" w:hAnsi="Century Gothic"/>
          <w:spacing w:val="7"/>
          <w:szCs w:val="22"/>
        </w:rPr>
        <w:t>subsequent income increase to ECC/HANH within thirty (30) days of occurrence. Failure to r</w:t>
      </w:r>
      <w:r w:rsidRPr="00C872D3">
        <w:rPr>
          <w:rFonts w:ascii="Century Gothic" w:hAnsi="Century Gothic"/>
          <w:spacing w:val="2"/>
          <w:szCs w:val="22"/>
        </w:rPr>
        <w:t xml:space="preserve">eport the change within thirty (30) days results in retroactive rent changes, and depending on the severity </w:t>
      </w:r>
      <w:r w:rsidRPr="00C872D3">
        <w:rPr>
          <w:rFonts w:ascii="Century Gothic" w:hAnsi="Century Gothic"/>
          <w:spacing w:val="1"/>
          <w:szCs w:val="22"/>
        </w:rPr>
        <w:t xml:space="preserve">of the circumstances, lease termination. </w:t>
      </w:r>
    </w:p>
    <w:p w14:paraId="7C380B17" w14:textId="77777777" w:rsidR="00B2304E" w:rsidRPr="00C872D3" w:rsidRDefault="00B2304E" w:rsidP="00B2304E">
      <w:pPr>
        <w:rPr>
          <w:rFonts w:ascii="Century Gothic" w:hAnsi="Century Gothic"/>
          <w:spacing w:val="1"/>
          <w:szCs w:val="22"/>
        </w:rPr>
      </w:pPr>
    </w:p>
    <w:p w14:paraId="0D0E7814" w14:textId="77777777" w:rsidR="00B2304E" w:rsidRPr="00C872D3" w:rsidRDefault="00B2304E" w:rsidP="00B2304E">
      <w:pPr>
        <w:rPr>
          <w:rFonts w:ascii="Century Gothic" w:hAnsi="Century Gothic"/>
          <w:b/>
          <w:bCs/>
          <w:spacing w:val="1"/>
          <w:szCs w:val="22"/>
        </w:rPr>
      </w:pPr>
      <w:r w:rsidRPr="00C872D3">
        <w:rPr>
          <w:rFonts w:ascii="Century Gothic" w:hAnsi="Century Gothic"/>
          <w:b/>
          <w:bCs/>
          <w:spacing w:val="1"/>
          <w:szCs w:val="22"/>
        </w:rPr>
        <w:t>Rent Simplification Interims:</w:t>
      </w:r>
    </w:p>
    <w:p w14:paraId="7F216184" w14:textId="3FD584D1" w:rsidR="00B2304E" w:rsidRPr="00C872D3" w:rsidRDefault="00B2304E" w:rsidP="00B2304E">
      <w:pPr>
        <w:shd w:val="clear" w:color="auto" w:fill="FFFFFF"/>
        <w:spacing w:line="254" w:lineRule="exact"/>
        <w:rPr>
          <w:rFonts w:ascii="Century Gothic" w:hAnsi="Century Gothic"/>
          <w:spacing w:val="1"/>
          <w:szCs w:val="22"/>
        </w:rPr>
      </w:pPr>
      <w:r w:rsidRPr="00C872D3">
        <w:rPr>
          <w:rFonts w:ascii="Century Gothic" w:hAnsi="Century Gothic"/>
          <w:spacing w:val="1"/>
          <w:szCs w:val="22"/>
        </w:rPr>
        <w:t xml:space="preserve">Rent Simplification in both LIPH and HCV will include a request to adjust rent during COVID19 and any similar pandemic or </w:t>
      </w:r>
      <w:r w:rsidRPr="00C872D3">
        <w:rPr>
          <w:rFonts w:ascii="Century Gothic" w:hAnsi="Century Gothic"/>
          <w:szCs w:val="22"/>
        </w:rPr>
        <w:t xml:space="preserve">national, </w:t>
      </w:r>
      <w:r w:rsidR="003A7677" w:rsidRPr="00C872D3">
        <w:rPr>
          <w:rFonts w:ascii="Century Gothic" w:hAnsi="Century Gothic"/>
          <w:szCs w:val="22"/>
        </w:rPr>
        <w:t>state,</w:t>
      </w:r>
      <w:r w:rsidRPr="00C872D3">
        <w:rPr>
          <w:rFonts w:ascii="Century Gothic" w:hAnsi="Century Gothic"/>
          <w:szCs w:val="22"/>
        </w:rPr>
        <w:t xml:space="preserve"> or local emergencies that affect </w:t>
      </w:r>
      <w:r w:rsidR="00050D89" w:rsidRPr="00C872D3">
        <w:rPr>
          <w:rFonts w:ascii="Century Gothic" w:hAnsi="Century Gothic"/>
          <w:szCs w:val="22"/>
        </w:rPr>
        <w:t>many</w:t>
      </w:r>
      <w:r w:rsidRPr="00C872D3">
        <w:rPr>
          <w:rFonts w:ascii="Century Gothic" w:hAnsi="Century Gothic"/>
          <w:szCs w:val="22"/>
        </w:rPr>
        <w:t xml:space="preserve"> families in the community.  </w:t>
      </w:r>
      <w:r w:rsidRPr="00C872D3">
        <w:rPr>
          <w:rFonts w:ascii="Century Gothic" w:hAnsi="Century Gothic"/>
          <w:spacing w:val="1"/>
          <w:szCs w:val="22"/>
        </w:rPr>
        <w:t xml:space="preserve"> </w:t>
      </w:r>
      <w:proofErr w:type="gramStart"/>
      <w:r w:rsidRPr="00C872D3">
        <w:rPr>
          <w:rFonts w:ascii="Century Gothic" w:hAnsi="Century Gothic"/>
          <w:spacing w:val="1"/>
          <w:szCs w:val="22"/>
        </w:rPr>
        <w:t>In order to</w:t>
      </w:r>
      <w:proofErr w:type="gramEnd"/>
      <w:r w:rsidRPr="00C872D3">
        <w:rPr>
          <w:rFonts w:ascii="Century Gothic" w:hAnsi="Century Gothic"/>
          <w:spacing w:val="1"/>
          <w:szCs w:val="22"/>
        </w:rPr>
        <w:t xml:space="preserve"> prevent staff having to reprocess files when families go back to work during a time like this, ECC/HANH will create a </w:t>
      </w:r>
      <w:r w:rsidR="009A2E04" w:rsidRPr="00C872D3">
        <w:rPr>
          <w:rFonts w:ascii="Century Gothic" w:hAnsi="Century Gothic"/>
          <w:spacing w:val="1"/>
          <w:szCs w:val="22"/>
        </w:rPr>
        <w:t>letter which</w:t>
      </w:r>
      <w:r w:rsidRPr="00C872D3">
        <w:rPr>
          <w:rFonts w:ascii="Century Gothic" w:hAnsi="Century Gothic"/>
          <w:spacing w:val="1"/>
          <w:szCs w:val="22"/>
        </w:rPr>
        <w:t xml:space="preserve"> advises the families of </w:t>
      </w:r>
      <w:r w:rsidR="00E6505C" w:rsidRPr="00C872D3">
        <w:rPr>
          <w:rFonts w:ascii="Century Gothic" w:hAnsi="Century Gothic"/>
          <w:spacing w:val="1"/>
          <w:szCs w:val="22"/>
        </w:rPr>
        <w:t xml:space="preserve">the </w:t>
      </w:r>
      <w:r w:rsidRPr="00C872D3">
        <w:rPr>
          <w:rFonts w:ascii="Century Gothic" w:hAnsi="Century Gothic"/>
          <w:spacing w:val="1"/>
          <w:szCs w:val="22"/>
        </w:rPr>
        <w:t xml:space="preserve">decrease to their rent for 3 months, </w:t>
      </w:r>
      <w:proofErr w:type="gramStart"/>
      <w:r w:rsidRPr="00C872D3">
        <w:rPr>
          <w:rFonts w:ascii="Century Gothic" w:hAnsi="Century Gothic"/>
          <w:spacing w:val="1"/>
          <w:szCs w:val="22"/>
        </w:rPr>
        <w:t>as a result of</w:t>
      </w:r>
      <w:proofErr w:type="gramEnd"/>
      <w:r w:rsidRPr="00C872D3">
        <w:rPr>
          <w:rFonts w:ascii="Century Gothic" w:hAnsi="Century Gothic"/>
          <w:spacing w:val="1"/>
          <w:szCs w:val="22"/>
        </w:rPr>
        <w:t xml:space="preserve"> loss or decrease in income. At the end of the 3 months, the rent will be adjusted back </w:t>
      </w:r>
      <w:r w:rsidR="003A7677" w:rsidRPr="00C872D3">
        <w:rPr>
          <w:rFonts w:ascii="Century Gothic" w:hAnsi="Century Gothic"/>
          <w:spacing w:val="1"/>
          <w:szCs w:val="22"/>
        </w:rPr>
        <w:t>to what</w:t>
      </w:r>
      <w:r w:rsidRPr="00C872D3">
        <w:rPr>
          <w:rFonts w:ascii="Century Gothic" w:hAnsi="Century Gothic"/>
          <w:spacing w:val="1"/>
          <w:szCs w:val="22"/>
        </w:rPr>
        <w:t xml:space="preserve"> it was before the decrease.  Staff would process 2 actions, </w:t>
      </w:r>
      <w:proofErr w:type="gramStart"/>
      <w:r w:rsidRPr="00C872D3">
        <w:rPr>
          <w:rFonts w:ascii="Century Gothic" w:hAnsi="Century Gothic"/>
          <w:spacing w:val="1"/>
          <w:szCs w:val="22"/>
        </w:rPr>
        <w:t>the</w:t>
      </w:r>
      <w:proofErr w:type="gramEnd"/>
      <w:r w:rsidRPr="00C872D3">
        <w:rPr>
          <w:rFonts w:ascii="Century Gothic" w:hAnsi="Century Gothic"/>
          <w:spacing w:val="1"/>
          <w:szCs w:val="22"/>
        </w:rPr>
        <w:t xml:space="preserve"> decrease, and a </w:t>
      </w:r>
      <w:r w:rsidR="003A7677" w:rsidRPr="00C872D3">
        <w:rPr>
          <w:rFonts w:ascii="Century Gothic" w:hAnsi="Century Gothic"/>
          <w:spacing w:val="1"/>
          <w:szCs w:val="22"/>
        </w:rPr>
        <w:t>second action</w:t>
      </w:r>
      <w:r w:rsidRPr="00C872D3">
        <w:rPr>
          <w:rFonts w:ascii="Century Gothic" w:hAnsi="Century Gothic"/>
          <w:spacing w:val="1"/>
          <w:szCs w:val="22"/>
        </w:rPr>
        <w:t xml:space="preserve"> (effective on the 1st day of the 4th month) which would be an increase back to previous amount.   This way, families will not need to report the </w:t>
      </w:r>
      <w:proofErr w:type="gramStart"/>
      <w:r w:rsidRPr="00C872D3">
        <w:rPr>
          <w:rFonts w:ascii="Century Gothic" w:hAnsi="Century Gothic"/>
          <w:spacing w:val="1"/>
          <w:szCs w:val="22"/>
        </w:rPr>
        <w:t>increase</w:t>
      </w:r>
      <w:proofErr w:type="gramEnd"/>
      <w:r w:rsidRPr="00C872D3">
        <w:rPr>
          <w:rFonts w:ascii="Century Gothic" w:hAnsi="Century Gothic"/>
          <w:spacing w:val="1"/>
          <w:szCs w:val="22"/>
        </w:rPr>
        <w:t xml:space="preserve"> and staff can give </w:t>
      </w:r>
      <w:r w:rsidR="003A7677" w:rsidRPr="00C872D3">
        <w:rPr>
          <w:rFonts w:ascii="Century Gothic" w:hAnsi="Century Gothic"/>
          <w:spacing w:val="1"/>
          <w:szCs w:val="22"/>
        </w:rPr>
        <w:t>30-day</w:t>
      </w:r>
      <w:r w:rsidRPr="00C872D3">
        <w:rPr>
          <w:rFonts w:ascii="Century Gothic" w:hAnsi="Century Gothic"/>
          <w:spacing w:val="1"/>
          <w:szCs w:val="22"/>
        </w:rPr>
        <w:t xml:space="preserve"> notice of the potential increase change at the same </w:t>
      </w:r>
      <w:proofErr w:type="gramStart"/>
      <w:r w:rsidRPr="00C872D3">
        <w:rPr>
          <w:rFonts w:ascii="Century Gothic" w:hAnsi="Century Gothic"/>
          <w:spacing w:val="1"/>
          <w:szCs w:val="22"/>
        </w:rPr>
        <w:t>time</w:t>
      </w:r>
      <w:proofErr w:type="gramEnd"/>
      <w:r w:rsidRPr="00C872D3">
        <w:rPr>
          <w:rFonts w:ascii="Century Gothic" w:hAnsi="Century Gothic"/>
          <w:spacing w:val="1"/>
          <w:szCs w:val="22"/>
        </w:rPr>
        <w:t xml:space="preserve"> they are giving the decrease notice.  </w:t>
      </w:r>
    </w:p>
    <w:p w14:paraId="3EA70561" w14:textId="77777777" w:rsidR="00B2304E" w:rsidRPr="00C872D3" w:rsidRDefault="00B2304E" w:rsidP="00B2304E">
      <w:pPr>
        <w:rPr>
          <w:rFonts w:ascii="Century Gothic" w:hAnsi="Century Gothic"/>
          <w:spacing w:val="1"/>
          <w:szCs w:val="22"/>
        </w:rPr>
      </w:pPr>
    </w:p>
    <w:p w14:paraId="288640F7" w14:textId="0A28678A" w:rsidR="00B2304E" w:rsidRPr="00C872D3" w:rsidRDefault="00B2304E" w:rsidP="00B2304E">
      <w:pPr>
        <w:rPr>
          <w:rFonts w:ascii="Century Gothic" w:hAnsi="Century Gothic"/>
          <w:spacing w:val="1"/>
          <w:szCs w:val="22"/>
        </w:rPr>
      </w:pPr>
      <w:r w:rsidRPr="00C872D3">
        <w:rPr>
          <w:rFonts w:ascii="Century Gothic" w:hAnsi="Century Gothic"/>
          <w:spacing w:val="1"/>
          <w:szCs w:val="22"/>
        </w:rPr>
        <w:t xml:space="preserve">If families are not yet back to work or the change is permanent, they must report the change to ECC/HANH as soon as they are aware so that the second interim may be cancelled or adjusted.   This change does not cancel or supersede the current interim change rule where families are not required to report a new income or increase in income if the previous decrease was associated with an annual certification.  In other </w:t>
      </w:r>
      <w:r w:rsidR="003A7677" w:rsidRPr="00C872D3">
        <w:rPr>
          <w:rFonts w:ascii="Century Gothic" w:hAnsi="Century Gothic"/>
          <w:spacing w:val="1"/>
          <w:szCs w:val="22"/>
        </w:rPr>
        <w:t>words,</w:t>
      </w:r>
      <w:r w:rsidRPr="00C872D3">
        <w:rPr>
          <w:rFonts w:ascii="Century Gothic" w:hAnsi="Century Gothic"/>
          <w:spacing w:val="1"/>
          <w:szCs w:val="22"/>
        </w:rPr>
        <w:t xml:space="preserve"> Interim rents normally remain in place until the next scheduled reexamination. If a family experiences an increase in </w:t>
      </w:r>
      <w:r w:rsidR="00127D73" w:rsidRPr="00127D73">
        <w:rPr>
          <w:rFonts w:ascii="Century Gothic" w:hAnsi="Century Gothic"/>
          <w:spacing w:val="1"/>
          <w:szCs w:val="22"/>
        </w:rPr>
        <w:t>income,</w:t>
      </w:r>
      <w:r w:rsidRPr="00C872D3">
        <w:rPr>
          <w:rFonts w:ascii="Century Gothic" w:hAnsi="Century Gothic"/>
          <w:spacing w:val="1"/>
          <w:szCs w:val="22"/>
        </w:rPr>
        <w:t xml:space="preserve"> it is not necessary for the family to report this increase in income until the next scheduled certification date, except when the increase occurs after an interim decrease has been processed. </w:t>
      </w:r>
    </w:p>
    <w:p w14:paraId="41771EB2" w14:textId="77777777" w:rsidR="00B2304E" w:rsidRPr="00C872D3" w:rsidRDefault="00B2304E" w:rsidP="00B2304E">
      <w:pPr>
        <w:rPr>
          <w:rFonts w:ascii="Century Gothic" w:hAnsi="Century Gothic"/>
          <w:spacing w:val="1"/>
          <w:szCs w:val="22"/>
        </w:rPr>
      </w:pPr>
      <w:r w:rsidRPr="00C872D3">
        <w:rPr>
          <w:rFonts w:ascii="Century Gothic" w:hAnsi="Century Gothic"/>
          <w:spacing w:val="1"/>
          <w:szCs w:val="22"/>
        </w:rPr>
        <w:t xml:space="preserve">  </w:t>
      </w:r>
    </w:p>
    <w:p w14:paraId="11E159C6" w14:textId="678D387A" w:rsidR="00B2304E" w:rsidRPr="00C872D3" w:rsidRDefault="00B2304E" w:rsidP="00B2304E">
      <w:pPr>
        <w:rPr>
          <w:rFonts w:ascii="Century Gothic" w:hAnsi="Century Gothic"/>
          <w:spacing w:val="1"/>
          <w:szCs w:val="22"/>
        </w:rPr>
      </w:pPr>
      <w:r w:rsidRPr="00C872D3">
        <w:rPr>
          <w:rFonts w:ascii="Century Gothic" w:hAnsi="Century Gothic"/>
          <w:spacing w:val="1"/>
          <w:szCs w:val="22"/>
        </w:rPr>
        <w:t xml:space="preserve">Seasonal workers who are employed for </w:t>
      </w:r>
      <w:proofErr w:type="gramStart"/>
      <w:r w:rsidRPr="00C872D3">
        <w:rPr>
          <w:rFonts w:ascii="Century Gothic" w:hAnsi="Century Gothic"/>
          <w:spacing w:val="1"/>
          <w:szCs w:val="22"/>
        </w:rPr>
        <w:t>a period of time</w:t>
      </w:r>
      <w:proofErr w:type="gramEnd"/>
      <w:r w:rsidRPr="00C872D3">
        <w:rPr>
          <w:rFonts w:ascii="Century Gothic" w:hAnsi="Century Gothic"/>
          <w:spacing w:val="1"/>
          <w:szCs w:val="22"/>
        </w:rPr>
        <w:t xml:space="preserve"> less than 12 months annually will have their rent calculated over a </w:t>
      </w:r>
      <w:r w:rsidR="003A7677" w:rsidRPr="00C872D3">
        <w:rPr>
          <w:rFonts w:ascii="Century Gothic" w:hAnsi="Century Gothic"/>
          <w:spacing w:val="1"/>
          <w:szCs w:val="22"/>
        </w:rPr>
        <w:t>12-month</w:t>
      </w:r>
      <w:r w:rsidRPr="00C872D3">
        <w:rPr>
          <w:rFonts w:ascii="Century Gothic" w:hAnsi="Century Gothic"/>
          <w:spacing w:val="1"/>
          <w:szCs w:val="22"/>
        </w:rPr>
        <w:t xml:space="preserve"> period using the 9 or 10 months of income earned. During the months the worker is not actively working, the family will not be able to request a rent reduction as the rent has already been adjusted over a </w:t>
      </w:r>
      <w:r w:rsidR="003A7677" w:rsidRPr="00C872D3">
        <w:rPr>
          <w:rFonts w:ascii="Century Gothic" w:hAnsi="Century Gothic"/>
          <w:spacing w:val="1"/>
          <w:szCs w:val="22"/>
        </w:rPr>
        <w:t>12-month</w:t>
      </w:r>
      <w:r w:rsidRPr="00C872D3">
        <w:rPr>
          <w:rFonts w:ascii="Century Gothic" w:hAnsi="Century Gothic"/>
          <w:spacing w:val="1"/>
          <w:szCs w:val="22"/>
        </w:rPr>
        <w:t xml:space="preserve"> period.</w:t>
      </w:r>
    </w:p>
    <w:p w14:paraId="2FBC962F" w14:textId="77777777" w:rsidR="00E6505C" w:rsidRPr="00C872D3" w:rsidRDefault="00E6505C" w:rsidP="00B2304E">
      <w:pPr>
        <w:rPr>
          <w:rFonts w:ascii="Century Gothic" w:hAnsi="Century Gothic"/>
          <w:spacing w:val="1"/>
          <w:szCs w:val="22"/>
        </w:rPr>
      </w:pPr>
    </w:p>
    <w:p w14:paraId="0D3DC2DF" w14:textId="084C3094" w:rsidR="00B2304E" w:rsidRPr="00C872D3" w:rsidRDefault="00B2304E" w:rsidP="00B2304E">
      <w:pPr>
        <w:rPr>
          <w:rFonts w:ascii="Century Gothic" w:hAnsi="Century Gothic"/>
          <w:spacing w:val="2"/>
          <w:szCs w:val="22"/>
        </w:rPr>
      </w:pPr>
      <w:r w:rsidRPr="00C872D3">
        <w:rPr>
          <w:rFonts w:ascii="Century Gothic" w:hAnsi="Century Gothic"/>
          <w:spacing w:val="4"/>
          <w:szCs w:val="22"/>
        </w:rPr>
        <w:t xml:space="preserve">Permanent loss of income (i.e., death of an income </w:t>
      </w:r>
      <w:r w:rsidRPr="00C872D3">
        <w:rPr>
          <w:rFonts w:ascii="Century Gothic" w:hAnsi="Century Gothic"/>
          <w:spacing w:val="3"/>
          <w:szCs w:val="22"/>
        </w:rPr>
        <w:t xml:space="preserve">earner) results in a permanent, rather than interim, rent reduction. This decrease in rent </w:t>
      </w:r>
      <w:r w:rsidRPr="00C872D3">
        <w:rPr>
          <w:rFonts w:ascii="Century Gothic" w:hAnsi="Century Gothic"/>
          <w:spacing w:val="2"/>
          <w:szCs w:val="22"/>
        </w:rPr>
        <w:t xml:space="preserve">does not count as an interim reexamination. Under </w:t>
      </w:r>
      <w:proofErr w:type="gramStart"/>
      <w:r w:rsidRPr="00C872D3">
        <w:rPr>
          <w:rFonts w:ascii="Century Gothic" w:hAnsi="Century Gothic"/>
          <w:spacing w:val="2"/>
          <w:szCs w:val="22"/>
        </w:rPr>
        <w:t>this circumstance</w:t>
      </w:r>
      <w:proofErr w:type="gramEnd"/>
      <w:r w:rsidRPr="00C872D3">
        <w:rPr>
          <w:rFonts w:ascii="Century Gothic" w:hAnsi="Century Gothic"/>
          <w:spacing w:val="2"/>
          <w:szCs w:val="22"/>
        </w:rPr>
        <w:t>, the family is not required to report a subsequent increase in income until the next scheduled certification.</w:t>
      </w:r>
    </w:p>
    <w:p w14:paraId="6DF063BF" w14:textId="77777777" w:rsidR="00A2510C" w:rsidRPr="00C872D3" w:rsidRDefault="00A2510C" w:rsidP="00B2304E">
      <w:pPr>
        <w:rPr>
          <w:rFonts w:ascii="Century Gothic" w:hAnsi="Century Gothic"/>
          <w:szCs w:val="22"/>
        </w:rPr>
      </w:pPr>
    </w:p>
    <w:p w14:paraId="1569927F" w14:textId="7F879FDF" w:rsidR="00B2304E" w:rsidRPr="0083773E" w:rsidRDefault="00B2304E" w:rsidP="00B2304E">
      <w:pPr>
        <w:rPr>
          <w:rFonts w:ascii="Century Gothic" w:hAnsi="Century Gothic"/>
          <w:b/>
          <w:bCs/>
          <w:szCs w:val="22"/>
        </w:rPr>
      </w:pPr>
      <w:bookmarkStart w:id="270" w:name="_Toc518556069"/>
      <w:bookmarkStart w:id="271" w:name="_Toc3305639"/>
      <w:bookmarkStart w:id="272" w:name="_Toc9319881"/>
      <w:r w:rsidRPr="0083773E">
        <w:rPr>
          <w:rFonts w:ascii="Century Gothic" w:hAnsi="Century Gothic"/>
          <w:b/>
          <w:bCs/>
          <w:szCs w:val="22"/>
        </w:rPr>
        <w:t>Verification of Annual Income from Wages and Salaries and Assets</w:t>
      </w:r>
      <w:bookmarkEnd w:id="270"/>
      <w:bookmarkEnd w:id="271"/>
      <w:bookmarkEnd w:id="272"/>
    </w:p>
    <w:p w14:paraId="0E25CF6E" w14:textId="77777777" w:rsidR="00B2304E" w:rsidRPr="00C872D3" w:rsidRDefault="00B2304E" w:rsidP="00B2304E">
      <w:pPr>
        <w:rPr>
          <w:rFonts w:ascii="Century Gothic" w:hAnsi="Century Gothic"/>
          <w:szCs w:val="22"/>
        </w:rPr>
      </w:pPr>
      <w:r w:rsidRPr="00C872D3">
        <w:rPr>
          <w:rFonts w:ascii="Century Gothic" w:hAnsi="Century Gothic"/>
          <w:szCs w:val="22"/>
        </w:rPr>
        <w:t>To reduce the administrative burden associated with the verification of income ECC/HANH has amended its Admission and Continued Occupancy (ACOP) to specify that:</w:t>
      </w:r>
    </w:p>
    <w:p w14:paraId="5B9378C4" w14:textId="77777777" w:rsidR="00B2304E" w:rsidRPr="00C872D3" w:rsidRDefault="00B2304E" w:rsidP="00B2304E">
      <w:pPr>
        <w:rPr>
          <w:rFonts w:ascii="Century Gothic" w:hAnsi="Century Gothic"/>
          <w:szCs w:val="22"/>
        </w:rPr>
      </w:pPr>
    </w:p>
    <w:p w14:paraId="438CCDD2" w14:textId="52F1D64E" w:rsidR="00B2304E" w:rsidRPr="00C872D3" w:rsidRDefault="00B2304E" w:rsidP="00B2304E">
      <w:pPr>
        <w:rPr>
          <w:rFonts w:ascii="Century Gothic" w:hAnsi="Century Gothic"/>
          <w:szCs w:val="22"/>
        </w:rPr>
      </w:pPr>
      <w:r w:rsidRPr="00C872D3">
        <w:rPr>
          <w:rFonts w:ascii="Century Gothic" w:hAnsi="Century Gothic"/>
          <w:szCs w:val="22"/>
        </w:rPr>
        <w:t xml:space="preserve">For earnings from wages and salaries where Annual Income for the prior period of up to and including $5,000.00, </w:t>
      </w:r>
      <w:r w:rsidR="003A7677" w:rsidRPr="00C872D3">
        <w:rPr>
          <w:rFonts w:ascii="Century Gothic" w:hAnsi="Century Gothic"/>
          <w:szCs w:val="22"/>
        </w:rPr>
        <w:t>self-certification</w:t>
      </w:r>
      <w:r w:rsidRPr="00C872D3">
        <w:rPr>
          <w:rFonts w:ascii="Century Gothic" w:hAnsi="Century Gothic"/>
          <w:szCs w:val="22"/>
        </w:rPr>
        <w:t xml:space="preserve"> from family is all that shall be required as verification of income. </w:t>
      </w:r>
    </w:p>
    <w:p w14:paraId="0BC0CA3C" w14:textId="77777777" w:rsidR="00B2304E" w:rsidRPr="00C872D3" w:rsidRDefault="00B2304E" w:rsidP="00B2304E">
      <w:pPr>
        <w:rPr>
          <w:rFonts w:ascii="Century Gothic" w:hAnsi="Century Gothic"/>
          <w:szCs w:val="22"/>
        </w:rPr>
      </w:pPr>
    </w:p>
    <w:p w14:paraId="7E1B0435" w14:textId="7D552D19" w:rsidR="00B2304E" w:rsidRPr="00C872D3" w:rsidRDefault="00B2304E" w:rsidP="00B2304E">
      <w:pPr>
        <w:rPr>
          <w:rFonts w:ascii="Century Gothic" w:hAnsi="Century Gothic"/>
          <w:szCs w:val="22"/>
        </w:rPr>
      </w:pPr>
      <w:r w:rsidRPr="00C872D3">
        <w:rPr>
          <w:rFonts w:ascii="Century Gothic" w:hAnsi="Century Gothic"/>
          <w:szCs w:val="22"/>
        </w:rPr>
        <w:t xml:space="preserve">For earnings from and salaries of more than $5,000.00 the most recent pay stubs for recent 4 weeks of employment, or W-2 or 1099 within 180 days of the anniversary date shall be required in addition to </w:t>
      </w:r>
      <w:proofErr w:type="gramStart"/>
      <w:r w:rsidRPr="00C872D3">
        <w:rPr>
          <w:rFonts w:ascii="Century Gothic" w:hAnsi="Century Gothic"/>
          <w:szCs w:val="22"/>
        </w:rPr>
        <w:t>the self</w:t>
      </w:r>
      <w:proofErr w:type="gramEnd"/>
      <w:r w:rsidRPr="00C872D3">
        <w:rPr>
          <w:rFonts w:ascii="Century Gothic" w:hAnsi="Century Gothic"/>
          <w:szCs w:val="22"/>
        </w:rPr>
        <w:t xml:space="preserve">-certification, but only to the extent that verification of Annual Income is not available from a </w:t>
      </w:r>
      <w:r w:rsidR="009A2E04" w:rsidRPr="00C872D3">
        <w:rPr>
          <w:rFonts w:ascii="Century Gothic" w:hAnsi="Century Gothic"/>
          <w:szCs w:val="22"/>
        </w:rPr>
        <w:t>third-party</w:t>
      </w:r>
      <w:r w:rsidRPr="00C872D3">
        <w:rPr>
          <w:rFonts w:ascii="Century Gothic" w:hAnsi="Century Gothic"/>
          <w:szCs w:val="22"/>
        </w:rPr>
        <w:t xml:space="preserve"> source of Upfront Income Verification.</w:t>
      </w:r>
    </w:p>
    <w:p w14:paraId="6D7D7018" w14:textId="77777777" w:rsidR="00B2304E" w:rsidRPr="00C872D3" w:rsidRDefault="00B2304E" w:rsidP="00B2304E">
      <w:pPr>
        <w:rPr>
          <w:rFonts w:ascii="Century Gothic" w:hAnsi="Century Gothic"/>
          <w:szCs w:val="22"/>
        </w:rPr>
      </w:pPr>
    </w:p>
    <w:p w14:paraId="004238E4" w14:textId="77777777" w:rsidR="00B2304E" w:rsidRPr="00C872D3" w:rsidRDefault="00B2304E" w:rsidP="00B2304E">
      <w:pPr>
        <w:rPr>
          <w:rFonts w:ascii="Century Gothic" w:hAnsi="Century Gothic"/>
          <w:szCs w:val="22"/>
        </w:rPr>
      </w:pPr>
      <w:r w:rsidRPr="00C872D3">
        <w:rPr>
          <w:rFonts w:ascii="Century Gothic" w:hAnsi="Century Gothic"/>
          <w:szCs w:val="22"/>
        </w:rPr>
        <w:t>Self-certification of all sources of Annual Income shall be required in all cases.</w:t>
      </w:r>
    </w:p>
    <w:p w14:paraId="078D3329" w14:textId="77777777" w:rsidR="00B2304E" w:rsidRPr="00C872D3" w:rsidRDefault="00B2304E" w:rsidP="00B2304E">
      <w:pPr>
        <w:rPr>
          <w:rFonts w:ascii="Century Gothic" w:hAnsi="Century Gothic"/>
          <w:szCs w:val="22"/>
        </w:rPr>
      </w:pPr>
    </w:p>
    <w:p w14:paraId="4EF06571" w14:textId="77777777" w:rsidR="00B2304E" w:rsidRPr="00C872D3" w:rsidRDefault="00B2304E" w:rsidP="00B2304E">
      <w:pPr>
        <w:rPr>
          <w:rFonts w:ascii="Century Gothic" w:hAnsi="Century Gothic"/>
          <w:szCs w:val="22"/>
        </w:rPr>
      </w:pPr>
      <w:r w:rsidRPr="00C872D3">
        <w:rPr>
          <w:rFonts w:ascii="Century Gothic" w:hAnsi="Century Gothic"/>
          <w:szCs w:val="22"/>
        </w:rPr>
        <w:t xml:space="preserve">For families with total assets of $50,000.00 or less </w:t>
      </w:r>
      <w:proofErr w:type="gramStart"/>
      <w:r w:rsidRPr="00C872D3">
        <w:rPr>
          <w:rFonts w:ascii="Century Gothic" w:hAnsi="Century Gothic"/>
          <w:szCs w:val="22"/>
        </w:rPr>
        <w:t>a self</w:t>
      </w:r>
      <w:proofErr w:type="gramEnd"/>
      <w:r w:rsidRPr="00C872D3">
        <w:rPr>
          <w:rFonts w:ascii="Century Gothic" w:hAnsi="Century Gothic"/>
          <w:szCs w:val="22"/>
        </w:rPr>
        <w:t>-certification of said assets shall be required.</w:t>
      </w:r>
    </w:p>
    <w:p w14:paraId="77707515" w14:textId="77777777" w:rsidR="00B2304E" w:rsidRPr="00C872D3" w:rsidRDefault="00B2304E" w:rsidP="00B2304E">
      <w:pPr>
        <w:rPr>
          <w:rFonts w:ascii="Century Gothic" w:hAnsi="Century Gothic"/>
          <w:szCs w:val="22"/>
        </w:rPr>
      </w:pPr>
    </w:p>
    <w:p w14:paraId="30489DC4" w14:textId="22B74927" w:rsidR="00B2304E" w:rsidRPr="00C872D3" w:rsidRDefault="00B2304E" w:rsidP="00B2304E">
      <w:pPr>
        <w:rPr>
          <w:rFonts w:ascii="Century Gothic" w:hAnsi="Century Gothic"/>
          <w:szCs w:val="22"/>
        </w:rPr>
      </w:pPr>
      <w:bookmarkStart w:id="273" w:name="_Toc518556070"/>
      <w:bookmarkStart w:id="274" w:name="_Toc3305640"/>
      <w:bookmarkStart w:id="275" w:name="_Toc9319882"/>
      <w:r w:rsidRPr="00C872D3">
        <w:rPr>
          <w:rFonts w:ascii="Century Gothic" w:hAnsi="Century Gothic"/>
          <w:szCs w:val="22"/>
        </w:rPr>
        <w:t>Income Tiered Rents Calculated within $1,000 Bands</w:t>
      </w:r>
      <w:r w:rsidRPr="00C872D3">
        <w:rPr>
          <w:rFonts w:ascii="Century Gothic" w:hAnsi="Century Gothic"/>
          <w:szCs w:val="22"/>
        </w:rPr>
        <w:br/>
      </w:r>
      <w:r w:rsidRPr="00C872D3">
        <w:rPr>
          <w:rFonts w:ascii="Century Gothic" w:hAnsi="Century Gothic"/>
          <w:spacing w:val="5"/>
          <w:szCs w:val="22"/>
        </w:rPr>
        <w:t xml:space="preserve">Rents are based on $1,000.00 income bands starting at $2,500.00. Using a band-based </w:t>
      </w:r>
      <w:r w:rsidRPr="00C872D3">
        <w:rPr>
          <w:rFonts w:ascii="Century Gothic" w:hAnsi="Century Gothic"/>
          <w:spacing w:val="1"/>
          <w:szCs w:val="22"/>
        </w:rPr>
        <w:t xml:space="preserve">rent </w:t>
      </w:r>
      <w:r w:rsidRPr="00C872D3">
        <w:rPr>
          <w:rFonts w:ascii="Century Gothic" w:hAnsi="Century Gothic"/>
          <w:spacing w:val="1"/>
          <w:szCs w:val="22"/>
        </w:rPr>
        <w:lastRenderedPageBreak/>
        <w:t xml:space="preserve">schedule allows the ECC/HANH and residents to move away from verifying </w:t>
      </w:r>
      <w:r w:rsidR="003A7677" w:rsidRPr="00C872D3">
        <w:rPr>
          <w:rFonts w:ascii="Century Gothic" w:hAnsi="Century Gothic"/>
          <w:spacing w:val="1"/>
          <w:szCs w:val="22"/>
        </w:rPr>
        <w:t>every</w:t>
      </w:r>
      <w:r w:rsidRPr="00C872D3">
        <w:rPr>
          <w:rFonts w:ascii="Century Gothic" w:hAnsi="Century Gothic"/>
          <w:spacing w:val="1"/>
          <w:szCs w:val="22"/>
        </w:rPr>
        <w:t xml:space="preserve"> dollar </w:t>
      </w:r>
      <w:r w:rsidRPr="00C872D3">
        <w:rPr>
          <w:rFonts w:ascii="Century Gothic" w:hAnsi="Century Gothic"/>
          <w:spacing w:val="2"/>
          <w:szCs w:val="22"/>
        </w:rPr>
        <w:t>earned and deducted. (See Exhibit A)</w:t>
      </w:r>
      <w:bookmarkEnd w:id="273"/>
      <w:bookmarkEnd w:id="274"/>
      <w:bookmarkEnd w:id="275"/>
    </w:p>
    <w:p w14:paraId="6CD93AD9" w14:textId="77777777" w:rsidR="00B2304E" w:rsidRPr="00C872D3" w:rsidRDefault="00B2304E" w:rsidP="00B2304E">
      <w:pPr>
        <w:rPr>
          <w:rFonts w:ascii="Century Gothic" w:hAnsi="Century Gothic"/>
          <w:b/>
          <w:bCs/>
          <w:spacing w:val="2"/>
          <w:szCs w:val="22"/>
        </w:rPr>
      </w:pPr>
    </w:p>
    <w:p w14:paraId="64B37E15" w14:textId="47B01CDB" w:rsidR="00B2304E" w:rsidRPr="00C872D3" w:rsidRDefault="009A2E04" w:rsidP="00B2304E">
      <w:pPr>
        <w:rPr>
          <w:rFonts w:ascii="Century Gothic" w:hAnsi="Century Gothic"/>
          <w:b/>
          <w:bCs/>
          <w:szCs w:val="22"/>
        </w:rPr>
      </w:pPr>
      <w:r w:rsidRPr="00C872D3">
        <w:rPr>
          <w:rFonts w:ascii="Century Gothic" w:hAnsi="Century Gothic"/>
          <w:b/>
          <w:szCs w:val="22"/>
        </w:rPr>
        <w:t>On</w:t>
      </w:r>
      <w:r w:rsidR="00B2304E" w:rsidRPr="00C872D3">
        <w:rPr>
          <w:rFonts w:ascii="Century Gothic" w:hAnsi="Century Gothic"/>
          <w:b/>
          <w:szCs w:val="22"/>
        </w:rPr>
        <w:t xml:space="preserve"> January 31, 2007, both the median and mode percentage of Total Tenant Payment (TTP) to annual income is 28.5 percent. That is, most families pay 28.5 percent of their family income (before utility allowance) as rent. </w:t>
      </w:r>
      <w:r w:rsidR="003A7677" w:rsidRPr="00C872D3">
        <w:rPr>
          <w:rFonts w:ascii="Century Gothic" w:hAnsi="Century Gothic"/>
          <w:b/>
          <w:szCs w:val="22"/>
        </w:rPr>
        <w:t>Fifty-two</w:t>
      </w:r>
      <w:r w:rsidR="00B2304E" w:rsidRPr="00C872D3">
        <w:rPr>
          <w:rFonts w:ascii="Century Gothic" w:hAnsi="Century Gothic"/>
          <w:b/>
          <w:szCs w:val="22"/>
        </w:rPr>
        <w:t xml:space="preserve"> (52) percent of households pay 28 percent or more of annual income for TTP; six percent pay less than 10 percent; 13 percent pay between 10 and 20 percent; and 26 percent pay between 20 and 27 </w:t>
      </w:r>
      <w:proofErr w:type="gramStart"/>
      <w:r w:rsidR="00B2304E" w:rsidRPr="00C872D3">
        <w:rPr>
          <w:rFonts w:ascii="Century Gothic" w:hAnsi="Century Gothic"/>
          <w:b/>
          <w:szCs w:val="22"/>
        </w:rPr>
        <w:t>percent of</w:t>
      </w:r>
      <w:proofErr w:type="gramEnd"/>
      <w:r w:rsidR="00B2304E" w:rsidRPr="00C872D3">
        <w:rPr>
          <w:rFonts w:ascii="Century Gothic" w:hAnsi="Century Gothic"/>
          <w:b/>
          <w:szCs w:val="22"/>
        </w:rPr>
        <w:t xml:space="preserve"> income as TTP.</w:t>
      </w:r>
    </w:p>
    <w:p w14:paraId="54F8D128" w14:textId="77777777" w:rsidR="00B2304E" w:rsidRPr="00C872D3" w:rsidRDefault="00B2304E" w:rsidP="00B2304E">
      <w:pPr>
        <w:rPr>
          <w:rFonts w:ascii="Century Gothic" w:hAnsi="Century Gothic"/>
          <w:szCs w:val="22"/>
        </w:rPr>
      </w:pPr>
    </w:p>
    <w:p w14:paraId="687CCA17" w14:textId="40317CA1" w:rsidR="00B2304E" w:rsidRPr="00C872D3" w:rsidRDefault="00B2304E" w:rsidP="00B2304E">
      <w:pPr>
        <w:rPr>
          <w:rFonts w:ascii="Century Gothic" w:hAnsi="Century Gothic"/>
          <w:szCs w:val="22"/>
        </w:rPr>
      </w:pPr>
      <w:r w:rsidRPr="00C872D3">
        <w:rPr>
          <w:rFonts w:ascii="Century Gothic" w:hAnsi="Century Gothic"/>
          <w:szCs w:val="22"/>
        </w:rPr>
        <w:t xml:space="preserve">Rent will be set at 28.50 percent of income for income tiers of $1000.00 starting at $2,500.00. The rent will be calculated at the lower end of each tier. For example, for the $2,500.00 to $3,499.00 tier, the rent will be calculated at 28.50 percent of $2,500.00. Families with incomes below $2,500.00 will be charged the minimum rent. Families will be permitted to apply for </w:t>
      </w:r>
      <w:proofErr w:type="gramStart"/>
      <w:r w:rsidRPr="00C872D3">
        <w:rPr>
          <w:rFonts w:ascii="Century Gothic" w:hAnsi="Century Gothic"/>
          <w:szCs w:val="22"/>
        </w:rPr>
        <w:t>a hardship</w:t>
      </w:r>
      <w:proofErr w:type="gramEnd"/>
      <w:r w:rsidRPr="00C872D3">
        <w:rPr>
          <w:rFonts w:ascii="Century Gothic" w:hAnsi="Century Gothic"/>
          <w:szCs w:val="22"/>
        </w:rPr>
        <w:t xml:space="preserve"> if verifiable proof is provided that </w:t>
      </w:r>
      <w:r w:rsidR="003A7677" w:rsidRPr="00C872D3">
        <w:rPr>
          <w:rFonts w:ascii="Century Gothic" w:hAnsi="Century Gothic"/>
          <w:szCs w:val="22"/>
        </w:rPr>
        <w:t>their</w:t>
      </w:r>
      <w:r w:rsidRPr="00C872D3">
        <w:rPr>
          <w:rFonts w:ascii="Century Gothic" w:hAnsi="Century Gothic"/>
          <w:szCs w:val="22"/>
        </w:rPr>
        <w:t xml:space="preserve"> total expenses exceed </w:t>
      </w:r>
      <w:r w:rsidR="00272BC4" w:rsidRPr="00C872D3">
        <w:rPr>
          <w:rFonts w:ascii="Century Gothic" w:hAnsi="Century Gothic"/>
          <w:szCs w:val="22"/>
        </w:rPr>
        <w:t>$2,000.00.</w:t>
      </w:r>
    </w:p>
    <w:p w14:paraId="1661B70A" w14:textId="77777777" w:rsidR="00B2304E" w:rsidRPr="00C872D3" w:rsidRDefault="00B2304E" w:rsidP="00B2304E">
      <w:pPr>
        <w:rPr>
          <w:rFonts w:ascii="Century Gothic" w:hAnsi="Century Gothic"/>
          <w:szCs w:val="22"/>
        </w:rPr>
      </w:pPr>
      <w:bookmarkStart w:id="276" w:name="_Toc518556071"/>
      <w:bookmarkStart w:id="277" w:name="_Toc3305641"/>
      <w:bookmarkStart w:id="278" w:name="_Toc9319883"/>
      <w:r w:rsidRPr="00C872D3">
        <w:rPr>
          <w:rFonts w:ascii="Century Gothic" w:hAnsi="Century Gothic"/>
          <w:szCs w:val="22"/>
        </w:rPr>
        <w:t>Minimum Rents and Flat Rents</w:t>
      </w:r>
      <w:bookmarkEnd w:id="276"/>
      <w:bookmarkEnd w:id="277"/>
      <w:bookmarkEnd w:id="278"/>
    </w:p>
    <w:p w14:paraId="3DB7B693" w14:textId="77777777" w:rsidR="00B2304E" w:rsidRPr="00C872D3" w:rsidRDefault="00B2304E" w:rsidP="00B2304E">
      <w:pPr>
        <w:rPr>
          <w:rFonts w:ascii="Century Gothic" w:hAnsi="Century Gothic"/>
          <w:spacing w:val="2"/>
          <w:szCs w:val="22"/>
        </w:rPr>
      </w:pPr>
    </w:p>
    <w:p w14:paraId="4BE40B3B" w14:textId="77777777" w:rsidR="00B2304E" w:rsidRPr="00C872D3" w:rsidRDefault="00B2304E" w:rsidP="00B2304E">
      <w:pPr>
        <w:rPr>
          <w:rFonts w:ascii="Century Gothic" w:hAnsi="Century Gothic"/>
          <w:b/>
          <w:bCs/>
          <w:szCs w:val="22"/>
        </w:rPr>
      </w:pPr>
      <w:r w:rsidRPr="00C872D3">
        <w:rPr>
          <w:rFonts w:ascii="Century Gothic" w:hAnsi="Century Gothic"/>
          <w:b/>
          <w:spacing w:val="2"/>
          <w:szCs w:val="22"/>
        </w:rPr>
        <w:t>Families with annual income below $2,500.00 will pay a minimum rent of $50.00.  In no event shall any family pay less than 25 percent of its Annual Income for TTP.</w:t>
      </w:r>
    </w:p>
    <w:p w14:paraId="068FAA82" w14:textId="781BDF43" w:rsidR="00B2304E" w:rsidRPr="00C872D3" w:rsidRDefault="00B2304E" w:rsidP="00B2304E">
      <w:pPr>
        <w:rPr>
          <w:rFonts w:ascii="Century Gothic" w:hAnsi="Century Gothic"/>
          <w:spacing w:val="1"/>
          <w:szCs w:val="22"/>
        </w:rPr>
      </w:pPr>
      <w:r w:rsidRPr="00C872D3">
        <w:rPr>
          <w:rFonts w:ascii="Century Gothic" w:hAnsi="Century Gothic"/>
          <w:spacing w:val="1"/>
          <w:szCs w:val="22"/>
        </w:rPr>
        <w:t xml:space="preserve">All residents at a rent of $50.00, except for the elderly and </w:t>
      </w:r>
      <w:proofErr w:type="gramStart"/>
      <w:r w:rsidRPr="00C872D3">
        <w:rPr>
          <w:rFonts w:ascii="Century Gothic" w:hAnsi="Century Gothic"/>
          <w:spacing w:val="1"/>
          <w:szCs w:val="22"/>
        </w:rPr>
        <w:t>persons</w:t>
      </w:r>
      <w:proofErr w:type="gramEnd"/>
      <w:r w:rsidRPr="00C872D3">
        <w:rPr>
          <w:rFonts w:ascii="Century Gothic" w:hAnsi="Century Gothic"/>
          <w:spacing w:val="1"/>
          <w:szCs w:val="22"/>
        </w:rPr>
        <w:t xml:space="preserve"> with disabilities, are referred </w:t>
      </w:r>
      <w:proofErr w:type="gramStart"/>
      <w:r w:rsidRPr="00C872D3">
        <w:rPr>
          <w:rFonts w:ascii="Century Gothic" w:hAnsi="Century Gothic"/>
          <w:spacing w:val="1"/>
          <w:szCs w:val="22"/>
        </w:rPr>
        <w:t>to</w:t>
      </w:r>
      <w:proofErr w:type="gramEnd"/>
      <w:r w:rsidRPr="00C872D3">
        <w:rPr>
          <w:rFonts w:ascii="Century Gothic" w:hAnsi="Century Gothic"/>
          <w:spacing w:val="1"/>
          <w:szCs w:val="22"/>
        </w:rPr>
        <w:t xml:space="preserve"> the Family Self Sufficiency (FSS) Program for job or benefit counseling. Families may still choose the existing Flat Rent option for public housing. The Flat Rent option certification form will only be signed at time of bi-tri </w:t>
      </w:r>
      <w:r w:rsidR="003A7677" w:rsidRPr="00C872D3">
        <w:rPr>
          <w:rFonts w:ascii="Century Gothic" w:hAnsi="Century Gothic"/>
          <w:spacing w:val="1"/>
          <w:szCs w:val="22"/>
        </w:rPr>
        <w:t>certification;</w:t>
      </w:r>
      <w:r w:rsidRPr="00C872D3">
        <w:rPr>
          <w:rFonts w:ascii="Century Gothic" w:hAnsi="Century Gothic"/>
          <w:spacing w:val="1"/>
          <w:szCs w:val="22"/>
        </w:rPr>
        <w:t xml:space="preserve"> however, families will have the opportunity to switch to the Flat rent once a year. Annual notice will go out to families, but signature will not be required except for at time of scheduled bi/tri certification. This change is in line with </w:t>
      </w:r>
      <w:r w:rsidRPr="00C872D3">
        <w:rPr>
          <w:rFonts w:ascii="Century Gothic" w:hAnsi="Century Gothic"/>
          <w:szCs w:val="22"/>
        </w:rPr>
        <w:t xml:space="preserve">efforts to streamline the certification process; relieving staff of </w:t>
      </w:r>
      <w:proofErr w:type="gramStart"/>
      <w:r w:rsidRPr="00C872D3">
        <w:rPr>
          <w:rFonts w:ascii="Century Gothic" w:hAnsi="Century Gothic"/>
          <w:szCs w:val="22"/>
        </w:rPr>
        <w:t>the</w:t>
      </w:r>
      <w:proofErr w:type="gramEnd"/>
      <w:r w:rsidRPr="00C872D3">
        <w:rPr>
          <w:rFonts w:ascii="Century Gothic" w:hAnsi="Century Gothic"/>
          <w:szCs w:val="22"/>
        </w:rPr>
        <w:t xml:space="preserve"> additional burden and allowing families to benefit from the full extent of Rent Simplification as written. </w:t>
      </w:r>
    </w:p>
    <w:p w14:paraId="508CE90F" w14:textId="77777777" w:rsidR="00B2304E" w:rsidRPr="00C872D3" w:rsidRDefault="00B2304E" w:rsidP="00B2304E">
      <w:pPr>
        <w:rPr>
          <w:rFonts w:ascii="Century Gothic" w:hAnsi="Century Gothic"/>
          <w:szCs w:val="22"/>
        </w:rPr>
      </w:pPr>
      <w:bookmarkStart w:id="279" w:name="_Toc518556072"/>
      <w:bookmarkStart w:id="280" w:name="_Toc3305642"/>
      <w:bookmarkStart w:id="281" w:name="_Toc9319884"/>
      <w:r w:rsidRPr="00C872D3">
        <w:rPr>
          <w:rFonts w:ascii="Century Gothic" w:hAnsi="Century Gothic"/>
          <w:szCs w:val="22"/>
        </w:rPr>
        <w:t>Zero Income Households</w:t>
      </w:r>
      <w:bookmarkEnd w:id="279"/>
      <w:bookmarkEnd w:id="280"/>
      <w:bookmarkEnd w:id="281"/>
      <w:r w:rsidRPr="00C872D3">
        <w:rPr>
          <w:rFonts w:ascii="Century Gothic" w:hAnsi="Century Gothic"/>
          <w:szCs w:val="22"/>
        </w:rPr>
        <w:br/>
      </w:r>
    </w:p>
    <w:p w14:paraId="48D5C841" w14:textId="77777777" w:rsidR="00B2304E" w:rsidRPr="00C872D3" w:rsidRDefault="00B2304E" w:rsidP="00B2304E">
      <w:pPr>
        <w:rPr>
          <w:rFonts w:ascii="Century Gothic" w:hAnsi="Century Gothic"/>
          <w:szCs w:val="22"/>
        </w:rPr>
      </w:pPr>
      <w:r w:rsidRPr="00C872D3">
        <w:rPr>
          <w:rFonts w:ascii="Century Gothic" w:hAnsi="Century Gothic"/>
          <w:szCs w:val="22"/>
        </w:rPr>
        <w:t xml:space="preserve">Families with Annual Income below $2,500 annually shall pay the minimum rent of $50.00 per month. </w:t>
      </w:r>
    </w:p>
    <w:p w14:paraId="4C703D5B" w14:textId="77777777" w:rsidR="00B2304E" w:rsidRPr="00C872D3" w:rsidRDefault="00B2304E" w:rsidP="00B2304E">
      <w:pPr>
        <w:rPr>
          <w:rFonts w:ascii="Century Gothic" w:hAnsi="Century Gothic"/>
          <w:szCs w:val="22"/>
        </w:rPr>
      </w:pPr>
    </w:p>
    <w:p w14:paraId="08EE9A70" w14:textId="605105F9" w:rsidR="00B2304E" w:rsidRPr="00C872D3" w:rsidRDefault="00B2304E" w:rsidP="00B2304E">
      <w:pPr>
        <w:rPr>
          <w:rFonts w:ascii="Century Gothic" w:hAnsi="Century Gothic"/>
          <w:szCs w:val="22"/>
        </w:rPr>
      </w:pPr>
      <w:r w:rsidRPr="00C872D3">
        <w:rPr>
          <w:rFonts w:ascii="Century Gothic" w:hAnsi="Century Gothic"/>
          <w:szCs w:val="22"/>
        </w:rPr>
        <w:t xml:space="preserve">All families placed on minimum rent </w:t>
      </w:r>
      <w:r w:rsidR="003A7677" w:rsidRPr="00C872D3">
        <w:rPr>
          <w:rFonts w:ascii="Century Gothic" w:hAnsi="Century Gothic"/>
          <w:szCs w:val="22"/>
        </w:rPr>
        <w:t>except for</w:t>
      </w:r>
      <w:r w:rsidRPr="00C872D3">
        <w:rPr>
          <w:rFonts w:ascii="Century Gothic" w:hAnsi="Century Gothic"/>
          <w:szCs w:val="22"/>
        </w:rPr>
        <w:t xml:space="preserve"> elderly and disabled families will be referred to the Family Self Sufficiency Program.  </w:t>
      </w:r>
    </w:p>
    <w:p w14:paraId="44A76E03" w14:textId="77777777" w:rsidR="00B2304E" w:rsidRPr="00C872D3" w:rsidRDefault="00B2304E" w:rsidP="00B2304E">
      <w:pPr>
        <w:rPr>
          <w:rFonts w:ascii="Century Gothic" w:hAnsi="Century Gothic"/>
          <w:szCs w:val="22"/>
        </w:rPr>
      </w:pPr>
    </w:p>
    <w:p w14:paraId="66345330" w14:textId="77777777" w:rsidR="00B2304E" w:rsidRPr="00C872D3" w:rsidRDefault="00B2304E" w:rsidP="00B2304E">
      <w:pPr>
        <w:rPr>
          <w:rFonts w:ascii="Century Gothic" w:hAnsi="Century Gothic"/>
          <w:szCs w:val="22"/>
        </w:rPr>
      </w:pPr>
      <w:r w:rsidRPr="00C872D3">
        <w:rPr>
          <w:rFonts w:ascii="Century Gothic" w:hAnsi="Century Gothic"/>
          <w:szCs w:val="22"/>
        </w:rPr>
        <w:t>If a family is unable to pay the minimum rent because of a financial hardship, the family is eligible for a temporary or long-term hardship exemption from the minimum rent requirements.</w:t>
      </w:r>
    </w:p>
    <w:p w14:paraId="00683A13" w14:textId="77777777" w:rsidR="00B2304E" w:rsidRDefault="00B2304E" w:rsidP="00B2304E">
      <w:pPr>
        <w:rPr>
          <w:rFonts w:ascii="Century Gothic" w:hAnsi="Century Gothic"/>
          <w:szCs w:val="22"/>
        </w:rPr>
      </w:pPr>
      <w:r w:rsidRPr="00C872D3">
        <w:rPr>
          <w:rFonts w:ascii="Century Gothic" w:hAnsi="Century Gothic"/>
          <w:szCs w:val="22"/>
        </w:rPr>
        <w:t xml:space="preserve">All families placed on minimum rent must be informed in writing of the procedures for applying for a hardship exemption from the Minimum Rent Requirement and the ability to have minimum rent waived.  </w:t>
      </w:r>
    </w:p>
    <w:p w14:paraId="4A7C6993" w14:textId="77777777" w:rsidR="001C72E3" w:rsidRPr="00C872D3" w:rsidRDefault="001C72E3" w:rsidP="00B2304E">
      <w:pPr>
        <w:rPr>
          <w:rFonts w:ascii="Century Gothic" w:hAnsi="Century Gothic"/>
          <w:szCs w:val="22"/>
        </w:rPr>
      </w:pPr>
    </w:p>
    <w:p w14:paraId="39889204" w14:textId="1C6AC6CC" w:rsidR="00B2304E" w:rsidRDefault="00B2304E" w:rsidP="00B2304E">
      <w:pPr>
        <w:rPr>
          <w:rFonts w:ascii="Century Gothic" w:hAnsi="Century Gothic"/>
          <w:spacing w:val="1"/>
          <w:szCs w:val="22"/>
        </w:rPr>
      </w:pPr>
      <w:r w:rsidRPr="00C872D3">
        <w:rPr>
          <w:rFonts w:ascii="Century Gothic" w:hAnsi="Century Gothic"/>
          <w:szCs w:val="22"/>
        </w:rPr>
        <w:t xml:space="preserve">All families who apply for such hardship exemption, </w:t>
      </w:r>
      <w:r w:rsidR="003A7677" w:rsidRPr="00C872D3">
        <w:rPr>
          <w:rFonts w:ascii="Century Gothic" w:hAnsi="Century Gothic"/>
          <w:szCs w:val="22"/>
        </w:rPr>
        <w:t>apart from</w:t>
      </w:r>
      <w:r w:rsidRPr="00C872D3">
        <w:rPr>
          <w:rFonts w:ascii="Century Gothic" w:hAnsi="Century Gothic"/>
          <w:szCs w:val="22"/>
        </w:rPr>
        <w:t xml:space="preserve"> elderly </w:t>
      </w:r>
      <w:proofErr w:type="gramStart"/>
      <w:r w:rsidRPr="00C872D3">
        <w:rPr>
          <w:rFonts w:ascii="Century Gothic" w:hAnsi="Century Gothic"/>
          <w:szCs w:val="22"/>
        </w:rPr>
        <w:t>persons</w:t>
      </w:r>
      <w:proofErr w:type="gramEnd"/>
      <w:r w:rsidRPr="00C872D3">
        <w:rPr>
          <w:rFonts w:ascii="Century Gothic" w:hAnsi="Century Gothic"/>
          <w:szCs w:val="22"/>
        </w:rPr>
        <w:t xml:space="preserve"> and </w:t>
      </w:r>
      <w:proofErr w:type="gramStart"/>
      <w:r w:rsidRPr="00C872D3">
        <w:rPr>
          <w:rFonts w:ascii="Century Gothic" w:hAnsi="Century Gothic"/>
          <w:szCs w:val="22"/>
        </w:rPr>
        <w:t>persons</w:t>
      </w:r>
      <w:proofErr w:type="gramEnd"/>
      <w:r w:rsidRPr="00C872D3">
        <w:rPr>
          <w:rFonts w:ascii="Century Gothic" w:hAnsi="Century Gothic"/>
          <w:szCs w:val="22"/>
        </w:rPr>
        <w:t xml:space="preserve"> with disabilities, will be referred to the Family Self Sufficiency Program </w:t>
      </w:r>
      <w:proofErr w:type="gramStart"/>
      <w:r w:rsidRPr="00C872D3">
        <w:rPr>
          <w:rFonts w:ascii="Century Gothic" w:hAnsi="Century Gothic"/>
          <w:spacing w:val="1"/>
          <w:szCs w:val="22"/>
        </w:rPr>
        <w:t>in order to</w:t>
      </w:r>
      <w:proofErr w:type="gramEnd"/>
      <w:r w:rsidRPr="00C872D3">
        <w:rPr>
          <w:rFonts w:ascii="Century Gothic" w:hAnsi="Century Gothic"/>
          <w:spacing w:val="1"/>
          <w:szCs w:val="22"/>
        </w:rPr>
        <w:t xml:space="preserve"> </w:t>
      </w:r>
      <w:r w:rsidRPr="001C72E3">
        <w:rPr>
          <w:rFonts w:ascii="Century Gothic" w:hAnsi="Century Gothic"/>
          <w:spacing w:val="1"/>
          <w:szCs w:val="22"/>
        </w:rPr>
        <w:t>assist the family in moving</w:t>
      </w:r>
      <w:r w:rsidRPr="0020355D">
        <w:rPr>
          <w:rFonts w:ascii="Times New Roman" w:hAnsi="Times New Roman"/>
          <w:spacing w:val="1"/>
          <w:szCs w:val="22"/>
        </w:rPr>
        <w:t xml:space="preserve"> </w:t>
      </w:r>
      <w:r w:rsidRPr="00206D48">
        <w:rPr>
          <w:rFonts w:ascii="Century Gothic" w:hAnsi="Century Gothic"/>
          <w:spacing w:val="1"/>
          <w:szCs w:val="22"/>
        </w:rPr>
        <w:t xml:space="preserve">towards </w:t>
      </w:r>
      <w:r w:rsidR="003A7677" w:rsidRPr="00206D48">
        <w:rPr>
          <w:rFonts w:ascii="Century Gothic" w:hAnsi="Century Gothic"/>
          <w:spacing w:val="1"/>
          <w:szCs w:val="22"/>
        </w:rPr>
        <w:t>self-sufficiency</w:t>
      </w:r>
      <w:r w:rsidRPr="00206D48">
        <w:rPr>
          <w:rFonts w:ascii="Century Gothic" w:hAnsi="Century Gothic"/>
          <w:spacing w:val="1"/>
          <w:szCs w:val="22"/>
        </w:rPr>
        <w:t xml:space="preserve">. </w:t>
      </w:r>
    </w:p>
    <w:p w14:paraId="4741765F" w14:textId="77777777" w:rsidR="001C72E3" w:rsidRPr="00206D48" w:rsidRDefault="001C72E3" w:rsidP="00B2304E">
      <w:pPr>
        <w:rPr>
          <w:rFonts w:ascii="Century Gothic" w:hAnsi="Century Gothic"/>
          <w:spacing w:val="7"/>
          <w:szCs w:val="22"/>
        </w:rPr>
      </w:pPr>
    </w:p>
    <w:p w14:paraId="47567640" w14:textId="4A4FD24D" w:rsidR="00B2304E" w:rsidRPr="00206D48" w:rsidRDefault="00B2304E" w:rsidP="00B2304E">
      <w:pPr>
        <w:rPr>
          <w:rFonts w:ascii="Century Gothic" w:hAnsi="Century Gothic"/>
          <w:spacing w:val="6"/>
          <w:szCs w:val="22"/>
        </w:rPr>
      </w:pPr>
      <w:r w:rsidRPr="00206D48">
        <w:rPr>
          <w:rFonts w:ascii="Century Gothic" w:hAnsi="Century Gothic"/>
          <w:spacing w:val="1"/>
          <w:szCs w:val="22"/>
        </w:rPr>
        <w:t xml:space="preserve">ECC/HANH will notify all families of their right to request a hardship exemption from the minimum rent requirements.  Residents will be notified of their right to request a hardship exemption through the </w:t>
      </w:r>
      <w:r w:rsidRPr="00206D48">
        <w:rPr>
          <w:rFonts w:ascii="Century Gothic" w:hAnsi="Century Gothic"/>
          <w:spacing w:val="6"/>
          <w:szCs w:val="22"/>
        </w:rPr>
        <w:t xml:space="preserve">Application for Exemption from Minimum Rent, a copy of which will be provided to tenants at lease-up and at </w:t>
      </w:r>
      <w:r w:rsidR="009A2E04" w:rsidRPr="00206D48">
        <w:rPr>
          <w:rFonts w:ascii="Century Gothic" w:hAnsi="Century Gothic"/>
          <w:spacing w:val="6"/>
          <w:szCs w:val="22"/>
        </w:rPr>
        <w:t>each recertification</w:t>
      </w:r>
      <w:r w:rsidRPr="00206D48">
        <w:rPr>
          <w:rFonts w:ascii="Century Gothic" w:hAnsi="Century Gothic"/>
          <w:spacing w:val="6"/>
          <w:szCs w:val="22"/>
        </w:rPr>
        <w:t xml:space="preserve"> appointment and mailed to residents at </w:t>
      </w:r>
      <w:proofErr w:type="gramStart"/>
      <w:r w:rsidRPr="00206D48">
        <w:rPr>
          <w:rFonts w:ascii="Century Gothic" w:hAnsi="Century Gothic"/>
          <w:spacing w:val="6"/>
          <w:szCs w:val="22"/>
        </w:rPr>
        <w:t>each interim</w:t>
      </w:r>
      <w:proofErr w:type="gramEnd"/>
      <w:r w:rsidRPr="00206D48">
        <w:rPr>
          <w:rFonts w:ascii="Century Gothic" w:hAnsi="Century Gothic"/>
          <w:spacing w:val="6"/>
          <w:szCs w:val="22"/>
        </w:rPr>
        <w:t xml:space="preserve"> recertification.  The policy and procedures for requesting such hardship exemption will also be included in tenant rent change notifications, the form lease agreement and all form documents related to the exemption process.</w:t>
      </w:r>
    </w:p>
    <w:p w14:paraId="4CB1479F" w14:textId="77777777" w:rsidR="00A2510C" w:rsidRPr="00206D48" w:rsidRDefault="00A2510C" w:rsidP="00B2304E">
      <w:pPr>
        <w:rPr>
          <w:rFonts w:ascii="Century Gothic" w:hAnsi="Century Gothic"/>
          <w:szCs w:val="22"/>
        </w:rPr>
      </w:pPr>
    </w:p>
    <w:p w14:paraId="5B035276" w14:textId="4759469E" w:rsidR="00B2304E" w:rsidRPr="00206D48" w:rsidRDefault="00B2304E" w:rsidP="00B2304E">
      <w:pPr>
        <w:rPr>
          <w:rFonts w:ascii="Century Gothic" w:hAnsi="Century Gothic"/>
          <w:bCs/>
          <w:spacing w:val="1"/>
          <w:szCs w:val="22"/>
        </w:rPr>
      </w:pPr>
      <w:bookmarkStart w:id="282" w:name="_Toc518556073"/>
      <w:bookmarkStart w:id="283" w:name="_Toc3305643"/>
      <w:bookmarkStart w:id="284" w:name="_Toc9319885"/>
      <w:r w:rsidRPr="00206D48">
        <w:rPr>
          <w:rFonts w:ascii="Century Gothic" w:hAnsi="Century Gothic"/>
          <w:spacing w:val="1"/>
          <w:szCs w:val="22"/>
        </w:rPr>
        <w:t xml:space="preserve">Criteria for Hardship Exemption </w:t>
      </w:r>
      <w:r w:rsidR="003A7677" w:rsidRPr="00206D48">
        <w:rPr>
          <w:rFonts w:ascii="Century Gothic" w:hAnsi="Century Gothic"/>
          <w:spacing w:val="1"/>
          <w:szCs w:val="22"/>
        </w:rPr>
        <w:t>from</w:t>
      </w:r>
      <w:r w:rsidRPr="00206D48">
        <w:rPr>
          <w:rFonts w:ascii="Century Gothic" w:hAnsi="Century Gothic"/>
          <w:spacing w:val="1"/>
          <w:szCs w:val="22"/>
        </w:rPr>
        <w:t xml:space="preserve"> Minimum Rent Requirement</w:t>
      </w:r>
      <w:bookmarkEnd w:id="282"/>
      <w:bookmarkEnd w:id="283"/>
      <w:bookmarkEnd w:id="284"/>
      <w:r w:rsidRPr="00206D48">
        <w:rPr>
          <w:rFonts w:ascii="Century Gothic" w:hAnsi="Century Gothic"/>
          <w:spacing w:val="1"/>
          <w:szCs w:val="22"/>
        </w:rPr>
        <w:t xml:space="preserve"> </w:t>
      </w:r>
    </w:p>
    <w:p w14:paraId="145B3E04" w14:textId="46F6F251" w:rsidR="00B2304E" w:rsidRPr="00206D48" w:rsidRDefault="00B2304E" w:rsidP="00486062">
      <w:pPr>
        <w:pStyle w:val="ListParagraph"/>
        <w:numPr>
          <w:ilvl w:val="0"/>
          <w:numId w:val="87"/>
        </w:numPr>
        <w:rPr>
          <w:rFonts w:ascii="Century Gothic" w:hAnsi="Century Gothic"/>
          <w:szCs w:val="22"/>
        </w:rPr>
      </w:pPr>
      <w:r w:rsidRPr="00206D48">
        <w:rPr>
          <w:rFonts w:ascii="Century Gothic" w:hAnsi="Century Gothic"/>
          <w:szCs w:val="22"/>
        </w:rPr>
        <w:t xml:space="preserve">A family is automatically exempt from the minimum rent requirements for a </w:t>
      </w:r>
      <w:r w:rsidR="003A7677" w:rsidRPr="00206D48">
        <w:rPr>
          <w:rFonts w:ascii="Century Gothic" w:hAnsi="Century Gothic"/>
          <w:szCs w:val="22"/>
        </w:rPr>
        <w:t>90-day</w:t>
      </w:r>
      <w:r w:rsidRPr="00206D48">
        <w:rPr>
          <w:rFonts w:ascii="Century Gothic" w:hAnsi="Century Gothic"/>
          <w:szCs w:val="22"/>
        </w:rPr>
        <w:t xml:space="preserve"> period when the family’s circumstances fall into any one of the following criteria:</w:t>
      </w:r>
    </w:p>
    <w:p w14:paraId="037FFD16" w14:textId="0ABADBE1" w:rsidR="00B2304E" w:rsidRPr="00206D48" w:rsidRDefault="00B2304E" w:rsidP="00486062">
      <w:pPr>
        <w:pStyle w:val="ListParagraph"/>
        <w:numPr>
          <w:ilvl w:val="0"/>
          <w:numId w:val="87"/>
        </w:numPr>
        <w:rPr>
          <w:rFonts w:ascii="Century Gothic" w:hAnsi="Century Gothic"/>
          <w:szCs w:val="22"/>
        </w:rPr>
      </w:pPr>
      <w:r w:rsidRPr="00206D48">
        <w:rPr>
          <w:rFonts w:ascii="Century Gothic" w:hAnsi="Century Gothic"/>
          <w:szCs w:val="22"/>
        </w:rPr>
        <w:t xml:space="preserve">When a family has lost eligibility or is awaiting eligibility determination from a Federal, State or local assistance </w:t>
      </w:r>
      <w:r w:rsidR="003A7677" w:rsidRPr="00206D48">
        <w:rPr>
          <w:rFonts w:ascii="Century Gothic" w:hAnsi="Century Gothic"/>
          <w:szCs w:val="22"/>
        </w:rPr>
        <w:t>program.</w:t>
      </w:r>
    </w:p>
    <w:p w14:paraId="601CD416" w14:textId="3D920108" w:rsidR="00B2304E" w:rsidRPr="00206D48" w:rsidRDefault="00B2304E" w:rsidP="00486062">
      <w:pPr>
        <w:pStyle w:val="ListParagraph"/>
        <w:numPr>
          <w:ilvl w:val="0"/>
          <w:numId w:val="87"/>
        </w:numPr>
        <w:rPr>
          <w:rFonts w:ascii="Century Gothic" w:hAnsi="Century Gothic"/>
          <w:szCs w:val="22"/>
        </w:rPr>
      </w:pPr>
      <w:r w:rsidRPr="00206D48">
        <w:rPr>
          <w:rFonts w:ascii="Century Gothic" w:hAnsi="Century Gothic"/>
          <w:szCs w:val="22"/>
        </w:rPr>
        <w:t xml:space="preserve">When the family </w:t>
      </w:r>
      <w:proofErr w:type="gramStart"/>
      <w:r w:rsidRPr="00206D48">
        <w:rPr>
          <w:rFonts w:ascii="Century Gothic" w:hAnsi="Century Gothic"/>
          <w:szCs w:val="22"/>
        </w:rPr>
        <w:t>would be</w:t>
      </w:r>
      <w:proofErr w:type="gramEnd"/>
      <w:r w:rsidRPr="00206D48">
        <w:rPr>
          <w:rFonts w:ascii="Century Gothic" w:hAnsi="Century Gothic"/>
          <w:szCs w:val="22"/>
        </w:rPr>
        <w:t xml:space="preserve"> evicted because it is unable to pay the minimum </w:t>
      </w:r>
      <w:r w:rsidR="003A7677" w:rsidRPr="00206D48">
        <w:rPr>
          <w:rFonts w:ascii="Century Gothic" w:hAnsi="Century Gothic"/>
          <w:szCs w:val="22"/>
        </w:rPr>
        <w:t>rent.</w:t>
      </w:r>
      <w:r w:rsidRPr="00206D48">
        <w:rPr>
          <w:rFonts w:ascii="Century Gothic" w:hAnsi="Century Gothic"/>
          <w:szCs w:val="22"/>
        </w:rPr>
        <w:t xml:space="preserve"> </w:t>
      </w:r>
    </w:p>
    <w:p w14:paraId="4D013871" w14:textId="253E75E3" w:rsidR="00B2304E" w:rsidRPr="00206D48" w:rsidRDefault="00B2304E" w:rsidP="00486062">
      <w:pPr>
        <w:pStyle w:val="ListParagraph"/>
        <w:numPr>
          <w:ilvl w:val="0"/>
          <w:numId w:val="87"/>
        </w:numPr>
        <w:rPr>
          <w:rFonts w:ascii="Century Gothic" w:hAnsi="Century Gothic"/>
          <w:szCs w:val="22"/>
        </w:rPr>
      </w:pPr>
      <w:r w:rsidRPr="00206D48">
        <w:rPr>
          <w:rFonts w:ascii="Century Gothic" w:hAnsi="Century Gothic"/>
          <w:szCs w:val="22"/>
        </w:rPr>
        <w:t xml:space="preserve">When the income of the family has decreased because of changed circumstances, including loss of </w:t>
      </w:r>
      <w:r w:rsidR="003A7677" w:rsidRPr="00206D48">
        <w:rPr>
          <w:rFonts w:ascii="Century Gothic" w:hAnsi="Century Gothic"/>
          <w:szCs w:val="22"/>
        </w:rPr>
        <w:t>employment.</w:t>
      </w:r>
    </w:p>
    <w:p w14:paraId="42DF28D5" w14:textId="77777777" w:rsidR="00B2304E" w:rsidRPr="00206D48" w:rsidRDefault="00B2304E" w:rsidP="00486062">
      <w:pPr>
        <w:pStyle w:val="ListParagraph"/>
        <w:numPr>
          <w:ilvl w:val="0"/>
          <w:numId w:val="87"/>
        </w:numPr>
        <w:rPr>
          <w:rFonts w:ascii="Century Gothic" w:hAnsi="Century Gothic"/>
          <w:szCs w:val="22"/>
        </w:rPr>
      </w:pPr>
      <w:r w:rsidRPr="00206D48">
        <w:rPr>
          <w:rFonts w:ascii="Century Gothic" w:hAnsi="Century Gothic"/>
          <w:szCs w:val="22"/>
        </w:rPr>
        <w:t>When a death in the family has occurred; or</w:t>
      </w:r>
    </w:p>
    <w:p w14:paraId="062E4ECC" w14:textId="77777777" w:rsidR="00B2304E" w:rsidRPr="00206D48" w:rsidRDefault="00B2304E" w:rsidP="00486062">
      <w:pPr>
        <w:pStyle w:val="ListParagraph"/>
        <w:numPr>
          <w:ilvl w:val="0"/>
          <w:numId w:val="87"/>
        </w:numPr>
        <w:rPr>
          <w:rFonts w:ascii="Century Gothic" w:hAnsi="Century Gothic"/>
          <w:szCs w:val="22"/>
        </w:rPr>
      </w:pPr>
      <w:r w:rsidRPr="00206D48">
        <w:rPr>
          <w:rFonts w:ascii="Century Gothic" w:hAnsi="Century Gothic"/>
          <w:szCs w:val="22"/>
        </w:rPr>
        <w:t xml:space="preserve">Other circumstances determined by ECC/HANH to be reasons to waive the minimum rent requirement (collectively, the "Criteria for Minimum Rent Exemption"). </w:t>
      </w:r>
    </w:p>
    <w:p w14:paraId="39918C4D" w14:textId="77777777" w:rsidR="00B2304E" w:rsidRPr="00206D48" w:rsidRDefault="00B2304E" w:rsidP="00B2304E">
      <w:pPr>
        <w:rPr>
          <w:rFonts w:ascii="Century Gothic" w:hAnsi="Century Gothic"/>
          <w:szCs w:val="22"/>
        </w:rPr>
      </w:pPr>
    </w:p>
    <w:p w14:paraId="1FC0358C" w14:textId="77777777" w:rsidR="00B2304E" w:rsidRPr="00206D48" w:rsidRDefault="00B2304E" w:rsidP="00B2304E">
      <w:pPr>
        <w:rPr>
          <w:rFonts w:ascii="Century Gothic" w:hAnsi="Century Gothic"/>
          <w:szCs w:val="22"/>
        </w:rPr>
      </w:pPr>
      <w:r w:rsidRPr="00206D48">
        <w:rPr>
          <w:rFonts w:ascii="Century Gothic" w:hAnsi="Century Gothic"/>
          <w:szCs w:val="22"/>
        </w:rPr>
        <w:t xml:space="preserve">If a family is unable to pay the minimum rent because of a financial hardship, the family is eligible for a temporary or long-term hardship </w:t>
      </w:r>
      <w:proofErr w:type="gramStart"/>
      <w:r w:rsidRPr="00206D48">
        <w:rPr>
          <w:rFonts w:ascii="Century Gothic" w:hAnsi="Century Gothic"/>
          <w:szCs w:val="22"/>
        </w:rPr>
        <w:t>exemption</w:t>
      </w:r>
      <w:proofErr w:type="gramEnd"/>
      <w:r w:rsidRPr="00206D48">
        <w:rPr>
          <w:rFonts w:ascii="Century Gothic" w:hAnsi="Century Gothic"/>
          <w:szCs w:val="22"/>
        </w:rPr>
        <w:t xml:space="preserve"> from the minimum rent requirement. </w:t>
      </w:r>
    </w:p>
    <w:p w14:paraId="2BD311F4" w14:textId="77777777" w:rsidR="00B2304E" w:rsidRPr="00206D48" w:rsidRDefault="00B2304E" w:rsidP="00B2304E">
      <w:pPr>
        <w:rPr>
          <w:rFonts w:ascii="Century Gothic" w:hAnsi="Century Gothic"/>
          <w:szCs w:val="22"/>
        </w:rPr>
      </w:pPr>
    </w:p>
    <w:p w14:paraId="5B648C2A" w14:textId="384D083E" w:rsidR="00B2304E" w:rsidRPr="00206D48" w:rsidRDefault="00B2304E" w:rsidP="00486062">
      <w:pPr>
        <w:pStyle w:val="ListParagraph"/>
        <w:numPr>
          <w:ilvl w:val="0"/>
          <w:numId w:val="88"/>
        </w:numPr>
        <w:rPr>
          <w:rFonts w:ascii="Century Gothic" w:hAnsi="Century Gothic"/>
          <w:szCs w:val="22"/>
        </w:rPr>
      </w:pPr>
      <w:r w:rsidRPr="00206D48">
        <w:rPr>
          <w:rFonts w:ascii="Century Gothic" w:hAnsi="Century Gothic"/>
          <w:szCs w:val="22"/>
        </w:rPr>
        <w:t>A temporary hardship exemption exists when none of the above criteria is expected to last for more than 90 days.</w:t>
      </w:r>
    </w:p>
    <w:p w14:paraId="3BE1D5F5" w14:textId="77777777" w:rsidR="00B2304E" w:rsidRPr="00206D48" w:rsidRDefault="00B2304E" w:rsidP="00486062">
      <w:pPr>
        <w:pStyle w:val="ListParagraph"/>
        <w:numPr>
          <w:ilvl w:val="0"/>
          <w:numId w:val="88"/>
        </w:numPr>
        <w:rPr>
          <w:rFonts w:ascii="Century Gothic" w:hAnsi="Century Gothic"/>
          <w:szCs w:val="22"/>
        </w:rPr>
      </w:pPr>
      <w:r w:rsidRPr="00206D48">
        <w:rPr>
          <w:rFonts w:ascii="Century Gothic" w:hAnsi="Century Gothic"/>
          <w:szCs w:val="22"/>
        </w:rPr>
        <w:t>A long-term hardship exemption exists when at least one of the above criteria is expected to last for more than 90 days.</w:t>
      </w:r>
    </w:p>
    <w:p w14:paraId="61D9FA62" w14:textId="77777777" w:rsidR="00B2304E" w:rsidRPr="00206D48" w:rsidRDefault="00B2304E" w:rsidP="00B2304E">
      <w:pPr>
        <w:rPr>
          <w:rFonts w:ascii="Century Gothic" w:hAnsi="Century Gothic"/>
          <w:szCs w:val="22"/>
        </w:rPr>
      </w:pPr>
    </w:p>
    <w:p w14:paraId="02676E67" w14:textId="05BA452F" w:rsidR="00B2304E" w:rsidRPr="00206D48" w:rsidRDefault="00B2304E" w:rsidP="00B2304E">
      <w:pPr>
        <w:rPr>
          <w:rFonts w:ascii="Century Gothic" w:hAnsi="Century Gothic"/>
          <w:szCs w:val="22"/>
        </w:rPr>
      </w:pPr>
      <w:r w:rsidRPr="00206D48">
        <w:rPr>
          <w:rFonts w:ascii="Century Gothic" w:hAnsi="Century Gothic"/>
          <w:szCs w:val="22"/>
        </w:rPr>
        <w:t xml:space="preserve">A family may only receive one hardship exemption from the minimum rent requirement during a </w:t>
      </w:r>
      <w:r w:rsidR="003A7677" w:rsidRPr="00206D48">
        <w:rPr>
          <w:rFonts w:ascii="Century Gothic" w:hAnsi="Century Gothic"/>
          <w:szCs w:val="22"/>
        </w:rPr>
        <w:t>twelve-month</w:t>
      </w:r>
      <w:r w:rsidRPr="00206D48">
        <w:rPr>
          <w:rFonts w:ascii="Century Gothic" w:hAnsi="Century Gothic"/>
          <w:szCs w:val="22"/>
        </w:rPr>
        <w:t xml:space="preserve"> period, unless a tenant is elderly, disabled, or is enrolled in ECC/HANH’s Family Self Sufficiency Program. The minimum rent requirement may be waived more than once during a </w:t>
      </w:r>
      <w:r w:rsidR="003A7677" w:rsidRPr="00206D48">
        <w:rPr>
          <w:rFonts w:ascii="Century Gothic" w:hAnsi="Century Gothic"/>
          <w:szCs w:val="22"/>
        </w:rPr>
        <w:t>twelve-month</w:t>
      </w:r>
      <w:r w:rsidRPr="00206D48">
        <w:rPr>
          <w:rFonts w:ascii="Century Gothic" w:hAnsi="Century Gothic"/>
          <w:szCs w:val="22"/>
        </w:rPr>
        <w:t xml:space="preserve"> period if at least one adult member of the household enrolls in the Family Self Sufficiency Program (the "FSS Program").  Elderly and disabled families are not required to enroll in the FSS Program. </w:t>
      </w:r>
    </w:p>
    <w:p w14:paraId="55030F01" w14:textId="77777777" w:rsidR="00B2304E" w:rsidRPr="00206D48" w:rsidRDefault="00B2304E" w:rsidP="00B2304E">
      <w:pPr>
        <w:rPr>
          <w:rFonts w:ascii="Century Gothic" w:hAnsi="Century Gothic"/>
          <w:szCs w:val="22"/>
        </w:rPr>
      </w:pPr>
    </w:p>
    <w:p w14:paraId="71636BEF" w14:textId="77777777" w:rsidR="00B2304E" w:rsidRPr="00206D48" w:rsidRDefault="00B2304E" w:rsidP="00B2304E">
      <w:pPr>
        <w:rPr>
          <w:rFonts w:ascii="Century Gothic" w:hAnsi="Century Gothic"/>
          <w:szCs w:val="22"/>
        </w:rPr>
      </w:pPr>
      <w:r w:rsidRPr="00206D48">
        <w:rPr>
          <w:rFonts w:ascii="Century Gothic" w:hAnsi="Century Gothic"/>
          <w:szCs w:val="22"/>
        </w:rPr>
        <w:t xml:space="preserve">Once the Authority identifies a resident’s need for </w:t>
      </w:r>
      <w:proofErr w:type="gramStart"/>
      <w:r w:rsidRPr="00206D48">
        <w:rPr>
          <w:rFonts w:ascii="Century Gothic" w:hAnsi="Century Gothic"/>
          <w:szCs w:val="22"/>
        </w:rPr>
        <w:t>a hardship</w:t>
      </w:r>
      <w:proofErr w:type="gramEnd"/>
      <w:r w:rsidRPr="00206D48">
        <w:rPr>
          <w:rFonts w:ascii="Century Gothic" w:hAnsi="Century Gothic"/>
          <w:szCs w:val="22"/>
        </w:rPr>
        <w:t xml:space="preserve"> exemption from the minimum rent requirement or the family requests such exemption, the minimum rent shall be suspended immediately for a period of 90 days. </w:t>
      </w:r>
    </w:p>
    <w:p w14:paraId="0E30A71D" w14:textId="77777777" w:rsidR="00B2304E" w:rsidRPr="00206D48" w:rsidRDefault="00B2304E" w:rsidP="00B2304E">
      <w:pPr>
        <w:rPr>
          <w:rFonts w:ascii="Century Gothic" w:hAnsi="Century Gothic"/>
          <w:szCs w:val="22"/>
        </w:rPr>
      </w:pPr>
    </w:p>
    <w:p w14:paraId="7B87BD9A" w14:textId="77D223DA" w:rsidR="00B2304E" w:rsidRPr="00206D48" w:rsidRDefault="00B2304E" w:rsidP="00B2304E">
      <w:pPr>
        <w:rPr>
          <w:rFonts w:ascii="Century Gothic" w:hAnsi="Century Gothic"/>
          <w:b/>
          <w:bCs/>
          <w:spacing w:val="1"/>
          <w:szCs w:val="22"/>
        </w:rPr>
      </w:pPr>
      <w:bookmarkStart w:id="285" w:name="_Toc518556074"/>
      <w:bookmarkStart w:id="286" w:name="_Toc3305644"/>
      <w:bookmarkStart w:id="287" w:name="_Toc9319886"/>
      <w:r w:rsidRPr="00206D48">
        <w:rPr>
          <w:rFonts w:ascii="Century Gothic" w:hAnsi="Century Gothic"/>
          <w:b/>
          <w:bCs/>
          <w:spacing w:val="1"/>
          <w:szCs w:val="22"/>
        </w:rPr>
        <w:t>Hardship Review Committee</w:t>
      </w:r>
      <w:bookmarkEnd w:id="285"/>
      <w:bookmarkEnd w:id="286"/>
      <w:bookmarkEnd w:id="287"/>
    </w:p>
    <w:p w14:paraId="2181B462" w14:textId="77777777" w:rsidR="00B2304E" w:rsidRPr="00206D48" w:rsidRDefault="00B2304E" w:rsidP="00B2304E">
      <w:pPr>
        <w:rPr>
          <w:rFonts w:ascii="Century Gothic" w:hAnsi="Century Gothic"/>
          <w:spacing w:val="6"/>
          <w:szCs w:val="22"/>
        </w:rPr>
      </w:pPr>
    </w:p>
    <w:p w14:paraId="07F1DBC3" w14:textId="77777777" w:rsidR="00B2304E" w:rsidRPr="00206D48" w:rsidRDefault="00B2304E" w:rsidP="00B2304E">
      <w:pPr>
        <w:rPr>
          <w:rFonts w:ascii="Century Gothic" w:hAnsi="Century Gothic"/>
          <w:spacing w:val="6"/>
          <w:szCs w:val="22"/>
        </w:rPr>
      </w:pPr>
      <w:r w:rsidRPr="00206D48">
        <w:rPr>
          <w:rFonts w:ascii="Century Gothic" w:hAnsi="Century Gothic"/>
          <w:spacing w:val="6"/>
          <w:szCs w:val="22"/>
        </w:rPr>
        <w:t xml:space="preserve">All “Applications for Exemption from Minimum Rent” shall be forwarded to the Hardship Review Committee. </w:t>
      </w:r>
    </w:p>
    <w:p w14:paraId="6488783E" w14:textId="77777777" w:rsidR="00B2304E" w:rsidRPr="00206D48" w:rsidRDefault="00B2304E" w:rsidP="00B2304E">
      <w:pPr>
        <w:rPr>
          <w:rFonts w:ascii="Century Gothic" w:hAnsi="Century Gothic"/>
          <w:spacing w:val="6"/>
          <w:szCs w:val="22"/>
        </w:rPr>
      </w:pPr>
    </w:p>
    <w:p w14:paraId="6279C966" w14:textId="77777777" w:rsidR="00B2304E" w:rsidRPr="00206D48" w:rsidRDefault="00B2304E" w:rsidP="00B2304E">
      <w:pPr>
        <w:rPr>
          <w:rFonts w:ascii="Century Gothic" w:hAnsi="Century Gothic"/>
          <w:spacing w:val="6"/>
          <w:szCs w:val="22"/>
        </w:rPr>
      </w:pPr>
      <w:r w:rsidRPr="00206D48">
        <w:rPr>
          <w:rFonts w:ascii="Century Gothic" w:hAnsi="Century Gothic"/>
          <w:spacing w:val="6"/>
          <w:szCs w:val="22"/>
        </w:rPr>
        <w:t>The Hardship Review Committee shall consist of the Executive Director or his/her designee, the Chief Operations Officer or his/her designee, the Service Center Director or his/her designee, and the Assistant Executive Director of Community and Economic Development or his/her designee. At the family’s option, the Hardship Review Committee may include one (1) resident of ECC/HANH who is in good standing.</w:t>
      </w:r>
    </w:p>
    <w:p w14:paraId="753036F4" w14:textId="77777777" w:rsidR="00B2304E" w:rsidRPr="00206D48" w:rsidRDefault="00B2304E" w:rsidP="00B2304E">
      <w:pPr>
        <w:rPr>
          <w:rFonts w:ascii="Century Gothic" w:hAnsi="Century Gothic"/>
          <w:spacing w:val="6"/>
          <w:szCs w:val="22"/>
        </w:rPr>
      </w:pPr>
    </w:p>
    <w:p w14:paraId="55B913DE" w14:textId="55FCC668" w:rsidR="00B2304E" w:rsidRPr="00206D48" w:rsidRDefault="00B2304E" w:rsidP="00B2304E">
      <w:pPr>
        <w:rPr>
          <w:rFonts w:ascii="Century Gothic" w:hAnsi="Century Gothic"/>
          <w:spacing w:val="6"/>
          <w:szCs w:val="22"/>
        </w:rPr>
      </w:pPr>
      <w:r w:rsidRPr="00206D48">
        <w:rPr>
          <w:rFonts w:ascii="Century Gothic" w:hAnsi="Century Gothic"/>
          <w:spacing w:val="6"/>
          <w:szCs w:val="22"/>
        </w:rPr>
        <w:t xml:space="preserve">The Application for Exemption from Minimum Rent shall originate from the family or from </w:t>
      </w:r>
      <w:r w:rsidR="003A7677" w:rsidRPr="00206D48">
        <w:rPr>
          <w:rFonts w:ascii="Century Gothic" w:hAnsi="Century Gothic"/>
          <w:spacing w:val="6"/>
          <w:szCs w:val="22"/>
        </w:rPr>
        <w:t>an</w:t>
      </w:r>
      <w:r w:rsidRPr="00206D48">
        <w:rPr>
          <w:rFonts w:ascii="Century Gothic" w:hAnsi="Century Gothic"/>
          <w:spacing w:val="6"/>
          <w:szCs w:val="22"/>
        </w:rPr>
        <w:t xml:space="preserve"> ECC/HANH employee whenever evidence exists that the family falls into any one of the Criteria for Minimum Rent Exemption. </w:t>
      </w:r>
    </w:p>
    <w:p w14:paraId="383C14C6" w14:textId="77777777" w:rsidR="00B2304E" w:rsidRPr="00206D48" w:rsidRDefault="00B2304E" w:rsidP="00B2304E">
      <w:pPr>
        <w:rPr>
          <w:rFonts w:ascii="Century Gothic" w:hAnsi="Century Gothic"/>
          <w:spacing w:val="6"/>
          <w:szCs w:val="22"/>
        </w:rPr>
      </w:pPr>
    </w:p>
    <w:p w14:paraId="73F5C3B2" w14:textId="7343BE85" w:rsidR="00B2304E" w:rsidRPr="00206D48" w:rsidRDefault="00B2304E" w:rsidP="00B2304E">
      <w:pPr>
        <w:rPr>
          <w:rFonts w:ascii="Century Gothic" w:hAnsi="Century Gothic"/>
          <w:spacing w:val="6"/>
          <w:szCs w:val="22"/>
        </w:rPr>
      </w:pPr>
      <w:r w:rsidRPr="00206D48">
        <w:rPr>
          <w:rFonts w:ascii="Century Gothic" w:hAnsi="Century Gothic"/>
          <w:spacing w:val="6"/>
          <w:szCs w:val="22"/>
        </w:rPr>
        <w:t xml:space="preserve">When a resident </w:t>
      </w:r>
      <w:proofErr w:type="gramStart"/>
      <w:r w:rsidRPr="00206D48">
        <w:rPr>
          <w:rFonts w:ascii="Century Gothic" w:hAnsi="Century Gothic"/>
          <w:spacing w:val="6"/>
          <w:szCs w:val="22"/>
        </w:rPr>
        <w:t>submits an application</w:t>
      </w:r>
      <w:proofErr w:type="gramEnd"/>
      <w:r w:rsidRPr="00206D48">
        <w:rPr>
          <w:rFonts w:ascii="Century Gothic" w:hAnsi="Century Gothic"/>
          <w:spacing w:val="6"/>
          <w:szCs w:val="22"/>
        </w:rPr>
        <w:t xml:space="preserve"> or </w:t>
      </w:r>
      <w:r w:rsidR="009A2E04" w:rsidRPr="00206D48">
        <w:rPr>
          <w:rFonts w:ascii="Century Gothic" w:hAnsi="Century Gothic"/>
          <w:spacing w:val="6"/>
          <w:szCs w:val="22"/>
        </w:rPr>
        <w:t>an</w:t>
      </w:r>
      <w:r w:rsidRPr="00206D48">
        <w:rPr>
          <w:rFonts w:ascii="Century Gothic" w:hAnsi="Century Gothic"/>
          <w:spacing w:val="6"/>
          <w:szCs w:val="22"/>
        </w:rPr>
        <w:t xml:space="preserve"> ECC/HANH employee </w:t>
      </w:r>
      <w:proofErr w:type="gramStart"/>
      <w:r w:rsidRPr="00206D48">
        <w:rPr>
          <w:rFonts w:ascii="Century Gothic" w:hAnsi="Century Gothic"/>
          <w:spacing w:val="6"/>
          <w:szCs w:val="22"/>
        </w:rPr>
        <w:t>submits an application</w:t>
      </w:r>
      <w:proofErr w:type="gramEnd"/>
      <w:r w:rsidRPr="00206D48">
        <w:rPr>
          <w:rFonts w:ascii="Century Gothic" w:hAnsi="Century Gothic"/>
          <w:spacing w:val="6"/>
          <w:szCs w:val="22"/>
        </w:rPr>
        <w:t xml:space="preserve"> on behalf of a resident, ECC/HANH will suspend the minimum rent requirement commencing on the first of the month following the date of the application for a period of 90 days. </w:t>
      </w:r>
    </w:p>
    <w:p w14:paraId="5679E87B" w14:textId="5D5475AC" w:rsidR="00B2304E" w:rsidRPr="00206D48" w:rsidRDefault="00B2304E" w:rsidP="00B2304E">
      <w:pPr>
        <w:rPr>
          <w:rFonts w:ascii="Century Gothic" w:hAnsi="Century Gothic"/>
          <w:spacing w:val="6"/>
          <w:szCs w:val="22"/>
        </w:rPr>
      </w:pPr>
      <w:r w:rsidRPr="00206D48">
        <w:rPr>
          <w:rFonts w:ascii="Century Gothic" w:hAnsi="Century Gothic"/>
          <w:spacing w:val="6"/>
          <w:szCs w:val="22"/>
        </w:rPr>
        <w:lastRenderedPageBreak/>
        <w:t xml:space="preserve">The resident cannot be evicted for nonpayment of minimum rent while resident’s Application for Exemption from Minimum Rent is pending or during the </w:t>
      </w:r>
      <w:r w:rsidR="003A7677" w:rsidRPr="00206D48">
        <w:rPr>
          <w:rFonts w:ascii="Century Gothic" w:hAnsi="Century Gothic"/>
          <w:spacing w:val="6"/>
          <w:szCs w:val="22"/>
        </w:rPr>
        <w:t>90-day</w:t>
      </w:r>
      <w:r w:rsidRPr="00206D48">
        <w:rPr>
          <w:rFonts w:ascii="Century Gothic" w:hAnsi="Century Gothic"/>
          <w:spacing w:val="6"/>
          <w:szCs w:val="22"/>
        </w:rPr>
        <w:t xml:space="preserve"> period of suspension, whichever is longer.</w:t>
      </w:r>
    </w:p>
    <w:p w14:paraId="18AE9089" w14:textId="77777777" w:rsidR="00B2304E" w:rsidRPr="00206D48" w:rsidRDefault="00B2304E" w:rsidP="00B2304E">
      <w:pPr>
        <w:rPr>
          <w:rFonts w:ascii="Century Gothic" w:hAnsi="Century Gothic"/>
          <w:spacing w:val="6"/>
          <w:szCs w:val="22"/>
        </w:rPr>
      </w:pPr>
      <w:r w:rsidRPr="00206D48">
        <w:rPr>
          <w:rFonts w:ascii="Century Gothic" w:hAnsi="Century Gothic"/>
          <w:spacing w:val="6"/>
          <w:szCs w:val="22"/>
        </w:rPr>
        <w:t xml:space="preserve">The Hardship Review Committee shall send a letter to all </w:t>
      </w:r>
      <w:proofErr w:type="gramStart"/>
      <w:r w:rsidRPr="00206D48">
        <w:rPr>
          <w:rFonts w:ascii="Century Gothic" w:hAnsi="Century Gothic"/>
          <w:spacing w:val="6"/>
          <w:szCs w:val="22"/>
        </w:rPr>
        <w:t>resident families</w:t>
      </w:r>
      <w:proofErr w:type="gramEnd"/>
      <w:r w:rsidRPr="00206D48">
        <w:rPr>
          <w:rFonts w:ascii="Century Gothic" w:hAnsi="Century Gothic"/>
          <w:spacing w:val="6"/>
          <w:szCs w:val="22"/>
        </w:rPr>
        <w:t xml:space="preserve"> who have applied for hardship exemption from minimum rent </w:t>
      </w:r>
      <w:proofErr w:type="gramStart"/>
      <w:r w:rsidRPr="00206D48">
        <w:rPr>
          <w:rFonts w:ascii="Century Gothic" w:hAnsi="Century Gothic"/>
          <w:spacing w:val="6"/>
          <w:szCs w:val="22"/>
        </w:rPr>
        <w:t>stating</w:t>
      </w:r>
      <w:proofErr w:type="gramEnd"/>
      <w:r w:rsidRPr="00206D48">
        <w:rPr>
          <w:rFonts w:ascii="Century Gothic" w:hAnsi="Century Gothic"/>
          <w:spacing w:val="6"/>
          <w:szCs w:val="22"/>
        </w:rPr>
        <w:t xml:space="preserve">: </w:t>
      </w:r>
    </w:p>
    <w:p w14:paraId="7BEB9129" w14:textId="77777777" w:rsidR="00B2304E" w:rsidRPr="00206D48" w:rsidRDefault="00B2304E" w:rsidP="00B2304E">
      <w:pPr>
        <w:rPr>
          <w:rFonts w:ascii="Century Gothic" w:hAnsi="Century Gothic"/>
          <w:spacing w:val="6"/>
          <w:szCs w:val="22"/>
        </w:rPr>
      </w:pPr>
    </w:p>
    <w:p w14:paraId="172CD758" w14:textId="77777777" w:rsidR="00B2304E" w:rsidRPr="00206D48" w:rsidRDefault="00B2304E" w:rsidP="00486062">
      <w:pPr>
        <w:pStyle w:val="ListParagraph"/>
        <w:numPr>
          <w:ilvl w:val="0"/>
          <w:numId w:val="95"/>
        </w:numPr>
        <w:rPr>
          <w:rFonts w:ascii="Century Gothic" w:hAnsi="Century Gothic"/>
          <w:spacing w:val="6"/>
          <w:szCs w:val="22"/>
        </w:rPr>
      </w:pPr>
      <w:r w:rsidRPr="00206D48">
        <w:rPr>
          <w:rFonts w:ascii="Century Gothic" w:hAnsi="Century Gothic"/>
          <w:spacing w:val="6"/>
          <w:szCs w:val="22"/>
        </w:rPr>
        <w:t xml:space="preserve">that ECC/HANH has received an Application for Exemption from Minimum Rent, </w:t>
      </w:r>
    </w:p>
    <w:p w14:paraId="040CCBB9" w14:textId="0C3324EC" w:rsidR="00B2304E" w:rsidRPr="00206D48" w:rsidRDefault="00B2304E" w:rsidP="00486062">
      <w:pPr>
        <w:pStyle w:val="ListParagraph"/>
        <w:numPr>
          <w:ilvl w:val="0"/>
          <w:numId w:val="95"/>
        </w:numPr>
        <w:rPr>
          <w:rFonts w:ascii="Century Gothic" w:hAnsi="Century Gothic"/>
          <w:spacing w:val="6"/>
          <w:szCs w:val="22"/>
        </w:rPr>
      </w:pPr>
      <w:r w:rsidRPr="00206D48">
        <w:rPr>
          <w:rFonts w:ascii="Century Gothic" w:hAnsi="Century Gothic"/>
          <w:spacing w:val="6"/>
          <w:szCs w:val="22"/>
        </w:rPr>
        <w:t xml:space="preserve">that ECC/HANH will suspend the minimum rent requirement for 90 days </w:t>
      </w:r>
      <w:proofErr w:type="gramStart"/>
      <w:r w:rsidRPr="00206D48">
        <w:rPr>
          <w:rFonts w:ascii="Century Gothic" w:hAnsi="Century Gothic"/>
          <w:spacing w:val="6"/>
          <w:szCs w:val="22"/>
        </w:rPr>
        <w:t>effective</w:t>
      </w:r>
      <w:proofErr w:type="gramEnd"/>
      <w:r w:rsidRPr="00206D48">
        <w:rPr>
          <w:rFonts w:ascii="Century Gothic" w:hAnsi="Century Gothic"/>
          <w:spacing w:val="6"/>
          <w:szCs w:val="22"/>
        </w:rPr>
        <w:t xml:space="preserve"> as of the first of the next month and the effective dates of the </w:t>
      </w:r>
      <w:r w:rsidR="003A7677" w:rsidRPr="00206D48">
        <w:rPr>
          <w:rFonts w:ascii="Century Gothic" w:hAnsi="Century Gothic"/>
          <w:spacing w:val="6"/>
          <w:szCs w:val="22"/>
        </w:rPr>
        <w:t>90-day</w:t>
      </w:r>
      <w:r w:rsidRPr="00206D48">
        <w:rPr>
          <w:rFonts w:ascii="Century Gothic" w:hAnsi="Century Gothic"/>
          <w:spacing w:val="6"/>
          <w:szCs w:val="22"/>
        </w:rPr>
        <w:t xml:space="preserve"> suspension, </w:t>
      </w:r>
    </w:p>
    <w:p w14:paraId="0F5B1825" w14:textId="211C389E" w:rsidR="00B2304E" w:rsidRPr="00206D48" w:rsidRDefault="00B2304E" w:rsidP="00486062">
      <w:pPr>
        <w:pStyle w:val="ListParagraph"/>
        <w:numPr>
          <w:ilvl w:val="0"/>
          <w:numId w:val="95"/>
        </w:numPr>
        <w:rPr>
          <w:rFonts w:ascii="Century Gothic" w:hAnsi="Century Gothic"/>
          <w:spacing w:val="6"/>
          <w:szCs w:val="22"/>
        </w:rPr>
      </w:pPr>
      <w:r w:rsidRPr="00206D48">
        <w:rPr>
          <w:rFonts w:ascii="Century Gothic" w:hAnsi="Century Gothic"/>
          <w:spacing w:val="6"/>
          <w:szCs w:val="22"/>
        </w:rPr>
        <w:t xml:space="preserve">that there can be no eviction for non-payment of rent during the suspension </w:t>
      </w:r>
      <w:r w:rsidR="003A7677" w:rsidRPr="00206D48">
        <w:rPr>
          <w:rFonts w:ascii="Century Gothic" w:hAnsi="Century Gothic"/>
          <w:spacing w:val="6"/>
          <w:szCs w:val="22"/>
        </w:rPr>
        <w:t>period.</w:t>
      </w:r>
    </w:p>
    <w:p w14:paraId="5CFD6A25" w14:textId="77777777" w:rsidR="00B2304E" w:rsidRPr="00206D48" w:rsidRDefault="00B2304E" w:rsidP="00486062">
      <w:pPr>
        <w:pStyle w:val="ListParagraph"/>
        <w:numPr>
          <w:ilvl w:val="0"/>
          <w:numId w:val="95"/>
        </w:numPr>
        <w:rPr>
          <w:rFonts w:ascii="Century Gothic" w:hAnsi="Century Gothic"/>
          <w:spacing w:val="6"/>
          <w:szCs w:val="22"/>
        </w:rPr>
      </w:pPr>
      <w:r w:rsidRPr="00206D48">
        <w:rPr>
          <w:rFonts w:ascii="Century Gothic" w:hAnsi="Century Gothic"/>
          <w:spacing w:val="6"/>
          <w:szCs w:val="22"/>
        </w:rPr>
        <w:t xml:space="preserve">the date for a meeting with the resident </w:t>
      </w:r>
      <w:r w:rsidRPr="00206D48">
        <w:rPr>
          <w:rFonts w:ascii="Century Gothic" w:hAnsi="Century Gothic"/>
          <w:spacing w:val="3"/>
          <w:szCs w:val="22"/>
        </w:rPr>
        <w:t>to discuss the hardship exemption request, giving the resident family at least ten days advance notice of such meeting and informing the resident that he or she may have one opportunity to reschedule the meeting; and</w:t>
      </w:r>
    </w:p>
    <w:p w14:paraId="5F402152" w14:textId="7EEDC3F3" w:rsidR="00B2304E" w:rsidRPr="00206D48" w:rsidRDefault="00B2304E" w:rsidP="00486062">
      <w:pPr>
        <w:pStyle w:val="ListParagraph"/>
        <w:numPr>
          <w:ilvl w:val="0"/>
          <w:numId w:val="95"/>
        </w:numPr>
        <w:rPr>
          <w:rFonts w:ascii="Century Gothic" w:hAnsi="Century Gothic"/>
          <w:spacing w:val="6"/>
          <w:szCs w:val="22"/>
        </w:rPr>
      </w:pPr>
      <w:r w:rsidRPr="00206D48">
        <w:rPr>
          <w:rFonts w:ascii="Century Gothic" w:hAnsi="Century Gothic"/>
          <w:spacing w:val="6"/>
          <w:szCs w:val="22"/>
        </w:rPr>
        <w:t xml:space="preserve">that, </w:t>
      </w:r>
      <w:r w:rsidR="003A7677" w:rsidRPr="00206D48">
        <w:rPr>
          <w:rFonts w:ascii="Century Gothic" w:hAnsi="Century Gothic"/>
          <w:spacing w:val="6"/>
          <w:szCs w:val="22"/>
        </w:rPr>
        <w:t>except for</w:t>
      </w:r>
      <w:r w:rsidRPr="00206D48">
        <w:rPr>
          <w:rFonts w:ascii="Century Gothic" w:hAnsi="Century Gothic"/>
          <w:spacing w:val="6"/>
          <w:szCs w:val="22"/>
        </w:rPr>
        <w:t xml:space="preserve"> elderly and disabled families, the resident family has been referred to the FSS program and will not be able to receive a hardship exemption </w:t>
      </w:r>
      <w:proofErr w:type="gramStart"/>
      <w:r w:rsidRPr="00206D48">
        <w:rPr>
          <w:rFonts w:ascii="Century Gothic" w:hAnsi="Century Gothic"/>
          <w:spacing w:val="6"/>
          <w:szCs w:val="22"/>
        </w:rPr>
        <w:t>in excess of</w:t>
      </w:r>
      <w:proofErr w:type="gramEnd"/>
      <w:r w:rsidRPr="00206D48">
        <w:rPr>
          <w:rFonts w:ascii="Century Gothic" w:hAnsi="Century Gothic"/>
          <w:spacing w:val="6"/>
          <w:szCs w:val="22"/>
        </w:rPr>
        <w:t xml:space="preserve"> 90 days without enrolling in the program.</w:t>
      </w:r>
    </w:p>
    <w:p w14:paraId="3A4B40B3" w14:textId="77777777" w:rsidR="00B2304E" w:rsidRPr="00206D48" w:rsidRDefault="00B2304E" w:rsidP="00B2304E">
      <w:pPr>
        <w:rPr>
          <w:rFonts w:ascii="Century Gothic" w:hAnsi="Century Gothic"/>
          <w:spacing w:val="6"/>
          <w:szCs w:val="22"/>
        </w:rPr>
      </w:pPr>
    </w:p>
    <w:p w14:paraId="73FDE645" w14:textId="77777777" w:rsidR="00B2304E" w:rsidRPr="00206D48" w:rsidRDefault="00B2304E" w:rsidP="00B2304E">
      <w:pPr>
        <w:rPr>
          <w:rFonts w:ascii="Century Gothic" w:hAnsi="Century Gothic"/>
          <w:spacing w:val="6"/>
          <w:szCs w:val="22"/>
        </w:rPr>
      </w:pPr>
      <w:r w:rsidRPr="00206D48">
        <w:rPr>
          <w:rFonts w:ascii="Century Gothic" w:hAnsi="Century Gothic"/>
          <w:spacing w:val="6"/>
          <w:szCs w:val="22"/>
        </w:rPr>
        <w:t xml:space="preserve">The Hardship Review Committee will review the circumstances surrounding the request and determine if the request is temporary, long term or nonexistent.  </w:t>
      </w:r>
    </w:p>
    <w:p w14:paraId="6E77DDB3" w14:textId="77777777" w:rsidR="00B2304E" w:rsidRPr="00206D48" w:rsidRDefault="00B2304E" w:rsidP="00B2304E">
      <w:pPr>
        <w:rPr>
          <w:rFonts w:ascii="Century Gothic" w:hAnsi="Century Gothic"/>
          <w:szCs w:val="22"/>
        </w:rPr>
      </w:pPr>
    </w:p>
    <w:p w14:paraId="078106F4" w14:textId="77777777" w:rsidR="00B2304E" w:rsidRPr="00206D48" w:rsidRDefault="00B2304E" w:rsidP="00B2304E">
      <w:pPr>
        <w:rPr>
          <w:rFonts w:ascii="Century Gothic" w:hAnsi="Century Gothic"/>
          <w:szCs w:val="22"/>
        </w:rPr>
      </w:pPr>
      <w:r w:rsidRPr="00206D48">
        <w:rPr>
          <w:rFonts w:ascii="Century Gothic" w:hAnsi="Century Gothic"/>
          <w:szCs w:val="22"/>
        </w:rPr>
        <w:t xml:space="preserve">If the Committee determines that </w:t>
      </w:r>
      <w:r w:rsidRPr="00206D48">
        <w:rPr>
          <w:rFonts w:ascii="Century Gothic" w:hAnsi="Century Gothic"/>
          <w:b/>
          <w:i/>
          <w:szCs w:val="22"/>
        </w:rPr>
        <w:t>the hardship is of a temporary nature (the hardship is expected to last less than 90 days)</w:t>
      </w:r>
      <w:r w:rsidRPr="00206D48">
        <w:rPr>
          <w:rFonts w:ascii="Century Gothic" w:hAnsi="Century Gothic"/>
          <w:szCs w:val="22"/>
        </w:rPr>
        <w:t xml:space="preserve">, at the end of the 90-day period, the resident’s rent will be reinstated to the minimum rent retroactively to the initial date of suspension. The </w:t>
      </w:r>
      <w:proofErr w:type="gramStart"/>
      <w:r w:rsidRPr="00206D48">
        <w:rPr>
          <w:rFonts w:ascii="Century Gothic" w:hAnsi="Century Gothic"/>
          <w:szCs w:val="22"/>
        </w:rPr>
        <w:t>resident</w:t>
      </w:r>
      <w:proofErr w:type="gramEnd"/>
      <w:r w:rsidRPr="00206D48">
        <w:rPr>
          <w:rFonts w:ascii="Century Gothic" w:hAnsi="Century Gothic"/>
          <w:szCs w:val="22"/>
        </w:rPr>
        <w:t xml:space="preserve"> will have an opportunity to enter into a reasonable repayment agreement with ECC/HANH for any back rent that is due and owing to ECC/HANH.</w:t>
      </w:r>
    </w:p>
    <w:p w14:paraId="7BF479E8" w14:textId="77777777" w:rsidR="00B2304E" w:rsidRPr="00206D48" w:rsidRDefault="00B2304E" w:rsidP="00B2304E">
      <w:pPr>
        <w:rPr>
          <w:rFonts w:ascii="Century Gothic" w:hAnsi="Century Gothic"/>
          <w:szCs w:val="22"/>
        </w:rPr>
      </w:pPr>
    </w:p>
    <w:p w14:paraId="6CF5AD1E" w14:textId="77777777" w:rsidR="00B2304E" w:rsidRPr="00206D48" w:rsidRDefault="00B2304E" w:rsidP="00B2304E">
      <w:pPr>
        <w:rPr>
          <w:rFonts w:ascii="Century Gothic" w:hAnsi="Century Gothic"/>
          <w:szCs w:val="22"/>
        </w:rPr>
      </w:pPr>
      <w:r w:rsidRPr="00206D48">
        <w:rPr>
          <w:rFonts w:ascii="Century Gothic" w:hAnsi="Century Gothic"/>
          <w:szCs w:val="22"/>
        </w:rPr>
        <w:t xml:space="preserve">If the Committee determines that the </w:t>
      </w:r>
      <w:r w:rsidRPr="00206D48">
        <w:rPr>
          <w:rFonts w:ascii="Century Gothic" w:hAnsi="Century Gothic"/>
          <w:b/>
          <w:i/>
          <w:szCs w:val="22"/>
        </w:rPr>
        <w:t xml:space="preserve">hardship is of a long-term nature (the hardship is expected to last more than 90 days), </w:t>
      </w:r>
      <w:r w:rsidRPr="00206D48">
        <w:rPr>
          <w:rFonts w:ascii="Century Gothic" w:hAnsi="Century Gothic"/>
          <w:szCs w:val="22"/>
        </w:rPr>
        <w:t xml:space="preserve">the tenant shall be exempt from the minimum rent requirement from the first of the month following the date of the application for exemption from the minimum rent until such time that the hardship no longer exists. </w:t>
      </w:r>
    </w:p>
    <w:p w14:paraId="27FF5136" w14:textId="1721736A" w:rsidR="00B2304E" w:rsidRDefault="00B2304E" w:rsidP="00B2304E">
      <w:pPr>
        <w:rPr>
          <w:rFonts w:ascii="Century Gothic" w:hAnsi="Century Gothic"/>
          <w:spacing w:val="3"/>
          <w:szCs w:val="22"/>
        </w:rPr>
      </w:pPr>
      <w:r w:rsidRPr="00206D48">
        <w:rPr>
          <w:rFonts w:ascii="Century Gothic" w:hAnsi="Century Gothic"/>
          <w:szCs w:val="22"/>
        </w:rPr>
        <w:t xml:space="preserve">ECC/HANH may deny a resident a long-term exemption from the minimum rent </w:t>
      </w:r>
      <w:r w:rsidR="003A7677" w:rsidRPr="00206D48">
        <w:rPr>
          <w:rFonts w:ascii="Century Gothic" w:hAnsi="Century Gothic"/>
          <w:szCs w:val="22"/>
        </w:rPr>
        <w:t>requirement if</w:t>
      </w:r>
      <w:r w:rsidRPr="00206D48">
        <w:rPr>
          <w:rFonts w:ascii="Century Gothic" w:hAnsi="Century Gothic"/>
          <w:szCs w:val="22"/>
        </w:rPr>
        <w:t xml:space="preserve"> the resident fails to attend the scheduled meeting with the Hardship Review Committee. </w:t>
      </w:r>
      <w:r w:rsidRPr="00206D48">
        <w:rPr>
          <w:rFonts w:ascii="Century Gothic" w:hAnsi="Century Gothic"/>
          <w:spacing w:val="3"/>
          <w:szCs w:val="22"/>
        </w:rPr>
        <w:t xml:space="preserve">ECC/HANH will provide each </w:t>
      </w:r>
      <w:proofErr w:type="gramStart"/>
      <w:r w:rsidRPr="00206D48">
        <w:rPr>
          <w:rFonts w:ascii="Century Gothic" w:hAnsi="Century Gothic"/>
          <w:spacing w:val="3"/>
          <w:szCs w:val="22"/>
        </w:rPr>
        <w:t>resident</w:t>
      </w:r>
      <w:proofErr w:type="gramEnd"/>
      <w:r w:rsidRPr="00206D48">
        <w:rPr>
          <w:rFonts w:ascii="Century Gothic" w:hAnsi="Century Gothic"/>
          <w:spacing w:val="3"/>
          <w:szCs w:val="22"/>
        </w:rPr>
        <w:t xml:space="preserve"> </w:t>
      </w:r>
      <w:proofErr w:type="gramStart"/>
      <w:r w:rsidRPr="00206D48">
        <w:rPr>
          <w:rFonts w:ascii="Century Gothic" w:hAnsi="Century Gothic"/>
          <w:spacing w:val="3"/>
          <w:szCs w:val="22"/>
        </w:rPr>
        <w:t>one</w:t>
      </w:r>
      <w:proofErr w:type="gramEnd"/>
      <w:r w:rsidRPr="00206D48">
        <w:rPr>
          <w:rFonts w:ascii="Century Gothic" w:hAnsi="Century Gothic"/>
          <w:spacing w:val="3"/>
          <w:szCs w:val="22"/>
        </w:rPr>
        <w:t xml:space="preserve"> opportunity to reschedule the meeting.  If the resident fails to attend the scheduled meetings, ECC/HANH may deny the long-term exemption from the minimum rent requirement.  The letter scheduling the meeting shall inform residents that </w:t>
      </w:r>
      <w:proofErr w:type="gramStart"/>
      <w:r w:rsidRPr="00206D48">
        <w:rPr>
          <w:rFonts w:ascii="Century Gothic" w:hAnsi="Century Gothic"/>
          <w:spacing w:val="3"/>
          <w:szCs w:val="22"/>
        </w:rPr>
        <w:t>persons</w:t>
      </w:r>
      <w:proofErr w:type="gramEnd"/>
      <w:r w:rsidRPr="00206D48">
        <w:rPr>
          <w:rFonts w:ascii="Century Gothic" w:hAnsi="Century Gothic"/>
          <w:spacing w:val="3"/>
          <w:szCs w:val="22"/>
        </w:rPr>
        <w:t xml:space="preserve"> with disabilities are entitled to reasonable accommodation </w:t>
      </w:r>
      <w:proofErr w:type="gramStart"/>
      <w:r w:rsidR="003A7677" w:rsidRPr="00206D48">
        <w:rPr>
          <w:rFonts w:ascii="Century Gothic" w:hAnsi="Century Gothic"/>
          <w:spacing w:val="3"/>
          <w:szCs w:val="22"/>
        </w:rPr>
        <w:t>about</w:t>
      </w:r>
      <w:proofErr w:type="gramEnd"/>
      <w:r w:rsidRPr="00206D48">
        <w:rPr>
          <w:rFonts w:ascii="Century Gothic" w:hAnsi="Century Gothic"/>
          <w:spacing w:val="3"/>
          <w:szCs w:val="22"/>
        </w:rPr>
        <w:t xml:space="preserve"> this requirement.</w:t>
      </w:r>
    </w:p>
    <w:p w14:paraId="0D7EEB50" w14:textId="77777777" w:rsidR="00432ECA" w:rsidRPr="00206D48" w:rsidRDefault="00432ECA" w:rsidP="00B2304E">
      <w:pPr>
        <w:rPr>
          <w:rFonts w:ascii="Century Gothic" w:hAnsi="Century Gothic"/>
          <w:spacing w:val="3"/>
          <w:szCs w:val="22"/>
        </w:rPr>
      </w:pPr>
    </w:p>
    <w:p w14:paraId="08DB3B18" w14:textId="1AD0D2E2" w:rsidR="00B2304E" w:rsidRPr="00206D48" w:rsidRDefault="00B2304E" w:rsidP="00B2304E">
      <w:pPr>
        <w:rPr>
          <w:rFonts w:ascii="Century Gothic" w:hAnsi="Century Gothic"/>
          <w:spacing w:val="3"/>
          <w:szCs w:val="22"/>
        </w:rPr>
      </w:pPr>
      <w:r w:rsidRPr="00206D48">
        <w:rPr>
          <w:rFonts w:ascii="Century Gothic" w:hAnsi="Century Gothic"/>
          <w:spacing w:val="3"/>
          <w:szCs w:val="22"/>
        </w:rPr>
        <w:t xml:space="preserve">Except for Elderly or Disabled families, no tenant shall be exempt from the minimum rent requirement for more than 90 days during a </w:t>
      </w:r>
      <w:r w:rsidR="009A2E04" w:rsidRPr="00206D48">
        <w:rPr>
          <w:rFonts w:ascii="Century Gothic" w:hAnsi="Century Gothic"/>
          <w:spacing w:val="3"/>
          <w:szCs w:val="22"/>
        </w:rPr>
        <w:t>one-year</w:t>
      </w:r>
      <w:r w:rsidRPr="00206D48">
        <w:rPr>
          <w:rFonts w:ascii="Century Gothic" w:hAnsi="Century Gothic"/>
          <w:spacing w:val="3"/>
          <w:szCs w:val="22"/>
        </w:rPr>
        <w:t xml:space="preserve"> period unless at least one member of the family who is 18 years of age or older enrolls and actively participates in ECC/HANH’s FSS Program for job or benefit counseling.  Such family member(s) shall enroll in the FSS Program within 30 days from the date of the Application for Exemption from Minimum Rent. </w:t>
      </w:r>
      <w:r w:rsidRPr="00206D48">
        <w:rPr>
          <w:rFonts w:ascii="Century Gothic" w:hAnsi="Century Gothic"/>
          <w:spacing w:val="3"/>
          <w:szCs w:val="22"/>
        </w:rPr>
        <w:br/>
      </w:r>
    </w:p>
    <w:p w14:paraId="5D76BD37" w14:textId="500C52B7" w:rsidR="00B2304E" w:rsidRPr="00206D48" w:rsidRDefault="00B2304E" w:rsidP="3743D8DA">
      <w:pPr>
        <w:rPr>
          <w:rFonts w:ascii="Century Gothic" w:hAnsi="Century Gothic"/>
        </w:rPr>
      </w:pPr>
      <w:r w:rsidRPr="00206D48">
        <w:rPr>
          <w:rFonts w:ascii="Century Gothic" w:hAnsi="Century Gothic"/>
        </w:rPr>
        <w:t xml:space="preserve">If the </w:t>
      </w:r>
      <w:r w:rsidRPr="00206D48">
        <w:rPr>
          <w:rFonts w:ascii="Century Gothic" w:hAnsi="Century Gothic"/>
          <w:b/>
          <w:bCs/>
          <w:i/>
          <w:iCs/>
        </w:rPr>
        <w:t xml:space="preserve">hardship is determined to be non-existent, </w:t>
      </w:r>
      <w:r w:rsidRPr="00206D48">
        <w:rPr>
          <w:rFonts w:ascii="Century Gothic" w:hAnsi="Century Gothic"/>
        </w:rPr>
        <w:t xml:space="preserve">the </w:t>
      </w:r>
      <w:proofErr w:type="gramStart"/>
      <w:r w:rsidRPr="00206D48">
        <w:rPr>
          <w:rFonts w:ascii="Century Gothic" w:hAnsi="Century Gothic"/>
        </w:rPr>
        <w:t>resident</w:t>
      </w:r>
      <w:proofErr w:type="gramEnd"/>
      <w:r w:rsidRPr="00206D48">
        <w:rPr>
          <w:rFonts w:ascii="Century Gothic" w:hAnsi="Century Gothic"/>
        </w:rPr>
        <w:t xml:space="preserve"> will be responsible for paying rent to ECC/HANH for any rent that was suspended while tenant's Application for Exemption from Minimum Rent was pending. The minimum rent shall be re-instated retroactively to the initial date of the suspension. The </w:t>
      </w:r>
      <w:proofErr w:type="gramStart"/>
      <w:r w:rsidRPr="00206D48">
        <w:rPr>
          <w:rFonts w:ascii="Century Gothic" w:hAnsi="Century Gothic"/>
        </w:rPr>
        <w:t>resident</w:t>
      </w:r>
      <w:proofErr w:type="gramEnd"/>
      <w:r w:rsidRPr="00206D48">
        <w:rPr>
          <w:rFonts w:ascii="Century Gothic" w:hAnsi="Century Gothic"/>
        </w:rPr>
        <w:t xml:space="preserve"> will have an opportunity to enter into a reasonable repayment agreement with ECC/HANH for any back rent that is due and owing to ECC/HANH. </w:t>
      </w:r>
    </w:p>
    <w:p w14:paraId="2E09D8A7" w14:textId="77777777" w:rsidR="00B2304E" w:rsidRPr="00206D48" w:rsidRDefault="00B2304E" w:rsidP="3743D8DA">
      <w:pPr>
        <w:rPr>
          <w:rFonts w:ascii="Century Gothic" w:hAnsi="Century Gothic"/>
          <w:spacing w:val="3"/>
        </w:rPr>
      </w:pPr>
      <w:r w:rsidRPr="00206D48">
        <w:rPr>
          <w:rFonts w:ascii="Century Gothic" w:hAnsi="Century Gothic"/>
          <w:spacing w:val="3"/>
        </w:rPr>
        <w:lastRenderedPageBreak/>
        <w:t>Upon completion of the review process, the Hardship Review Committee shall render a written recommendation to the Executive Director, who shall then adopt or reject the recommendation and shall issue a written decision that states as follows:</w:t>
      </w:r>
    </w:p>
    <w:p w14:paraId="25FC9C2E" w14:textId="77777777" w:rsidR="00B2304E" w:rsidRPr="00206D48" w:rsidRDefault="00B2304E" w:rsidP="00B2304E">
      <w:pPr>
        <w:rPr>
          <w:rFonts w:ascii="Century Gothic" w:hAnsi="Century Gothic"/>
          <w:b/>
          <w:spacing w:val="5"/>
          <w:szCs w:val="22"/>
        </w:rPr>
      </w:pPr>
      <w:r w:rsidRPr="00206D48">
        <w:rPr>
          <w:rFonts w:ascii="Century Gothic" w:hAnsi="Century Gothic"/>
          <w:b/>
          <w:spacing w:val="4"/>
          <w:szCs w:val="22"/>
        </w:rPr>
        <w:t>If the hardship exemption is determined to be temporary:</w:t>
      </w:r>
    </w:p>
    <w:p w14:paraId="6700690D" w14:textId="77777777" w:rsidR="00B2304E" w:rsidRPr="00206D48" w:rsidRDefault="00B2304E" w:rsidP="00B2304E">
      <w:pPr>
        <w:rPr>
          <w:rFonts w:ascii="Century Gothic" w:hAnsi="Century Gothic"/>
          <w:spacing w:val="5"/>
          <w:szCs w:val="22"/>
        </w:rPr>
      </w:pPr>
    </w:p>
    <w:p w14:paraId="15CAF77C" w14:textId="531782C7" w:rsidR="00B2304E" w:rsidRPr="00206D48" w:rsidRDefault="00B2304E" w:rsidP="00486062">
      <w:pPr>
        <w:pStyle w:val="ListParagraph"/>
        <w:numPr>
          <w:ilvl w:val="0"/>
          <w:numId w:val="96"/>
        </w:numPr>
        <w:rPr>
          <w:rFonts w:ascii="Century Gothic" w:hAnsi="Century Gothic"/>
          <w:spacing w:val="4"/>
          <w:szCs w:val="22"/>
        </w:rPr>
      </w:pPr>
      <w:r w:rsidRPr="00206D48">
        <w:rPr>
          <w:rFonts w:ascii="Century Gothic" w:hAnsi="Century Gothic"/>
          <w:spacing w:val="4"/>
          <w:szCs w:val="22"/>
        </w:rPr>
        <w:t xml:space="preserve">that a temporary hardship exemption was </w:t>
      </w:r>
      <w:r w:rsidR="003A7677" w:rsidRPr="00206D48">
        <w:rPr>
          <w:rFonts w:ascii="Century Gothic" w:hAnsi="Century Gothic"/>
          <w:spacing w:val="4"/>
          <w:szCs w:val="22"/>
        </w:rPr>
        <w:t>granted.</w:t>
      </w:r>
    </w:p>
    <w:p w14:paraId="268508C5" w14:textId="77777777" w:rsidR="00B2304E" w:rsidRPr="00206D48" w:rsidRDefault="00B2304E" w:rsidP="00B2304E">
      <w:pPr>
        <w:rPr>
          <w:rFonts w:ascii="Century Gothic" w:hAnsi="Century Gothic"/>
          <w:spacing w:val="4"/>
          <w:szCs w:val="22"/>
        </w:rPr>
      </w:pPr>
    </w:p>
    <w:p w14:paraId="58AE344C" w14:textId="7ABBBB64" w:rsidR="00B2304E" w:rsidRPr="00206D48" w:rsidRDefault="00B2304E" w:rsidP="00486062">
      <w:pPr>
        <w:pStyle w:val="ListParagraph"/>
        <w:numPr>
          <w:ilvl w:val="0"/>
          <w:numId w:val="96"/>
        </w:numPr>
        <w:rPr>
          <w:rFonts w:ascii="Century Gothic" w:hAnsi="Century Gothic"/>
          <w:spacing w:val="4"/>
          <w:szCs w:val="22"/>
        </w:rPr>
      </w:pPr>
      <w:r w:rsidRPr="00206D48">
        <w:rPr>
          <w:rFonts w:ascii="Century Gothic" w:hAnsi="Century Gothic"/>
          <w:spacing w:val="4"/>
          <w:szCs w:val="22"/>
        </w:rPr>
        <w:t xml:space="preserve">the effective dates of the </w:t>
      </w:r>
      <w:r w:rsidR="003A7677" w:rsidRPr="00206D48">
        <w:rPr>
          <w:rFonts w:ascii="Century Gothic" w:hAnsi="Century Gothic"/>
          <w:spacing w:val="4"/>
          <w:szCs w:val="22"/>
        </w:rPr>
        <w:t>exemption.</w:t>
      </w:r>
    </w:p>
    <w:p w14:paraId="2E19336F" w14:textId="77777777" w:rsidR="00B2304E" w:rsidRPr="00206D48" w:rsidRDefault="00B2304E" w:rsidP="00B2304E">
      <w:pPr>
        <w:rPr>
          <w:rFonts w:ascii="Century Gothic" w:hAnsi="Century Gothic"/>
          <w:spacing w:val="4"/>
          <w:szCs w:val="22"/>
        </w:rPr>
      </w:pPr>
    </w:p>
    <w:p w14:paraId="17D6EB6A" w14:textId="77777777" w:rsidR="00B2304E" w:rsidRPr="00206D48" w:rsidRDefault="00B2304E" w:rsidP="00486062">
      <w:pPr>
        <w:pStyle w:val="ListParagraph"/>
        <w:numPr>
          <w:ilvl w:val="0"/>
          <w:numId w:val="96"/>
        </w:numPr>
        <w:rPr>
          <w:rFonts w:ascii="Century Gothic" w:hAnsi="Century Gothic"/>
          <w:spacing w:val="4"/>
          <w:szCs w:val="22"/>
        </w:rPr>
      </w:pPr>
      <w:r w:rsidRPr="00206D48">
        <w:rPr>
          <w:rFonts w:ascii="Century Gothic" w:hAnsi="Century Gothic"/>
          <w:spacing w:val="4"/>
          <w:szCs w:val="22"/>
        </w:rPr>
        <w:t>the basis for the decision to grant a temporary hardship exemption, including that a long-term exemption was denied and the reason that such long-term exemption was denied; and</w:t>
      </w:r>
    </w:p>
    <w:p w14:paraId="2B11FCED" w14:textId="77777777" w:rsidR="00B2304E" w:rsidRPr="00206D48" w:rsidRDefault="00B2304E" w:rsidP="00B2304E">
      <w:pPr>
        <w:rPr>
          <w:rFonts w:ascii="Century Gothic" w:hAnsi="Century Gothic"/>
          <w:spacing w:val="4"/>
          <w:szCs w:val="22"/>
        </w:rPr>
      </w:pPr>
    </w:p>
    <w:p w14:paraId="6C20EB82" w14:textId="77777777" w:rsidR="00B2304E" w:rsidRPr="00206D48" w:rsidRDefault="00B2304E" w:rsidP="00486062">
      <w:pPr>
        <w:pStyle w:val="ListParagraph"/>
        <w:numPr>
          <w:ilvl w:val="0"/>
          <w:numId w:val="96"/>
        </w:numPr>
        <w:rPr>
          <w:rFonts w:ascii="Century Gothic" w:hAnsi="Century Gothic"/>
          <w:spacing w:val="4"/>
          <w:szCs w:val="22"/>
        </w:rPr>
      </w:pPr>
      <w:r w:rsidRPr="00206D48">
        <w:rPr>
          <w:rFonts w:ascii="Century Gothic" w:hAnsi="Century Gothic"/>
          <w:spacing w:val="4"/>
          <w:szCs w:val="22"/>
        </w:rPr>
        <w:t xml:space="preserve">that the resident has a right to </w:t>
      </w:r>
      <w:r w:rsidRPr="00206D48">
        <w:rPr>
          <w:rFonts w:ascii="Century Gothic" w:hAnsi="Century Gothic"/>
          <w:szCs w:val="22"/>
        </w:rPr>
        <w:t>enter into a reasonable repayment agreement with ECC/HANH for the minimum rent that was suspended and is now owing to ECC/HANH</w:t>
      </w:r>
      <w:r w:rsidRPr="00206D48">
        <w:rPr>
          <w:rFonts w:ascii="Century Gothic" w:hAnsi="Century Gothic"/>
          <w:spacing w:val="4"/>
          <w:szCs w:val="22"/>
        </w:rPr>
        <w:t>.</w:t>
      </w:r>
    </w:p>
    <w:p w14:paraId="4E391A17" w14:textId="77777777" w:rsidR="00B2304E" w:rsidRPr="00206D48" w:rsidRDefault="00B2304E" w:rsidP="00B2304E">
      <w:pPr>
        <w:rPr>
          <w:rFonts w:ascii="Century Gothic" w:hAnsi="Century Gothic"/>
          <w:b/>
          <w:spacing w:val="4"/>
          <w:szCs w:val="22"/>
        </w:rPr>
      </w:pPr>
    </w:p>
    <w:p w14:paraId="7FAAC16A" w14:textId="77777777" w:rsidR="00B2304E" w:rsidRPr="00206D48" w:rsidRDefault="00B2304E" w:rsidP="00B2304E">
      <w:pPr>
        <w:rPr>
          <w:rFonts w:ascii="Century Gothic" w:hAnsi="Century Gothic"/>
          <w:b/>
          <w:spacing w:val="5"/>
          <w:szCs w:val="22"/>
        </w:rPr>
      </w:pPr>
      <w:r w:rsidRPr="00206D48">
        <w:rPr>
          <w:rFonts w:ascii="Century Gothic" w:hAnsi="Century Gothic"/>
          <w:b/>
          <w:spacing w:val="4"/>
          <w:szCs w:val="22"/>
        </w:rPr>
        <w:t>If the hardship exemption is determined to be long-term:</w:t>
      </w:r>
    </w:p>
    <w:p w14:paraId="54CAF046" w14:textId="77777777" w:rsidR="00B2304E" w:rsidRPr="00206D48" w:rsidRDefault="00B2304E" w:rsidP="00B2304E">
      <w:pPr>
        <w:rPr>
          <w:rFonts w:ascii="Century Gothic" w:hAnsi="Century Gothic"/>
          <w:spacing w:val="5"/>
          <w:szCs w:val="22"/>
        </w:rPr>
      </w:pPr>
    </w:p>
    <w:p w14:paraId="08709582" w14:textId="0F10E6AA" w:rsidR="00B2304E" w:rsidRPr="00206D48" w:rsidRDefault="00B2304E" w:rsidP="00486062">
      <w:pPr>
        <w:pStyle w:val="ListParagraph"/>
        <w:numPr>
          <w:ilvl w:val="0"/>
          <w:numId w:val="97"/>
        </w:numPr>
        <w:rPr>
          <w:rFonts w:ascii="Century Gothic" w:hAnsi="Century Gothic"/>
          <w:spacing w:val="6"/>
          <w:szCs w:val="22"/>
        </w:rPr>
      </w:pPr>
      <w:r w:rsidRPr="00206D48">
        <w:rPr>
          <w:rFonts w:ascii="Century Gothic" w:hAnsi="Century Gothic"/>
          <w:spacing w:val="4"/>
          <w:szCs w:val="22"/>
        </w:rPr>
        <w:t xml:space="preserve">that a long-term hardship exemption was </w:t>
      </w:r>
      <w:r w:rsidR="003A7677" w:rsidRPr="00206D48">
        <w:rPr>
          <w:rFonts w:ascii="Century Gothic" w:hAnsi="Century Gothic"/>
          <w:spacing w:val="4"/>
          <w:szCs w:val="22"/>
        </w:rPr>
        <w:t>granted.</w:t>
      </w:r>
    </w:p>
    <w:p w14:paraId="62245B2A" w14:textId="77777777" w:rsidR="00B2304E" w:rsidRPr="00206D48" w:rsidRDefault="00B2304E" w:rsidP="00B2304E">
      <w:pPr>
        <w:rPr>
          <w:rFonts w:ascii="Century Gothic" w:hAnsi="Century Gothic"/>
          <w:spacing w:val="6"/>
          <w:szCs w:val="22"/>
        </w:rPr>
      </w:pPr>
      <w:r w:rsidRPr="00206D48">
        <w:rPr>
          <w:rFonts w:ascii="Century Gothic" w:hAnsi="Century Gothic"/>
          <w:spacing w:val="4"/>
          <w:szCs w:val="22"/>
        </w:rPr>
        <w:t xml:space="preserve"> </w:t>
      </w:r>
    </w:p>
    <w:p w14:paraId="27CA4A47" w14:textId="166DBAA3" w:rsidR="00B2304E" w:rsidRPr="00206D48" w:rsidRDefault="00B2304E" w:rsidP="00486062">
      <w:pPr>
        <w:pStyle w:val="ListParagraph"/>
        <w:numPr>
          <w:ilvl w:val="0"/>
          <w:numId w:val="97"/>
        </w:numPr>
        <w:rPr>
          <w:rFonts w:ascii="Century Gothic" w:hAnsi="Century Gothic"/>
          <w:spacing w:val="6"/>
          <w:szCs w:val="22"/>
        </w:rPr>
      </w:pPr>
      <w:r w:rsidRPr="00206D48">
        <w:rPr>
          <w:rFonts w:ascii="Century Gothic" w:hAnsi="Century Gothic"/>
          <w:spacing w:val="4"/>
          <w:szCs w:val="22"/>
        </w:rPr>
        <w:t xml:space="preserve">whether the long-term exemption is permanent or subject to periodic review and, if subject to periodic review, when such review will take </w:t>
      </w:r>
      <w:r w:rsidR="003A7677" w:rsidRPr="00206D48">
        <w:rPr>
          <w:rFonts w:ascii="Century Gothic" w:hAnsi="Century Gothic"/>
          <w:spacing w:val="4"/>
          <w:szCs w:val="22"/>
        </w:rPr>
        <w:t>place.</w:t>
      </w:r>
      <w:r w:rsidRPr="00206D48">
        <w:rPr>
          <w:rFonts w:ascii="Century Gothic" w:hAnsi="Century Gothic"/>
          <w:spacing w:val="4"/>
          <w:szCs w:val="22"/>
        </w:rPr>
        <w:t xml:space="preserve"> </w:t>
      </w:r>
    </w:p>
    <w:p w14:paraId="16904E7A" w14:textId="77777777" w:rsidR="00B2304E" w:rsidRPr="00206D48" w:rsidRDefault="00B2304E" w:rsidP="00B2304E">
      <w:pPr>
        <w:rPr>
          <w:rFonts w:ascii="Century Gothic" w:hAnsi="Century Gothic"/>
          <w:spacing w:val="2"/>
          <w:szCs w:val="22"/>
        </w:rPr>
      </w:pPr>
    </w:p>
    <w:p w14:paraId="391F5924" w14:textId="77777777" w:rsidR="00B2304E" w:rsidRPr="00206D48" w:rsidRDefault="00B2304E" w:rsidP="00486062">
      <w:pPr>
        <w:pStyle w:val="ListParagraph"/>
        <w:numPr>
          <w:ilvl w:val="0"/>
          <w:numId w:val="97"/>
        </w:numPr>
        <w:rPr>
          <w:rFonts w:ascii="Century Gothic" w:hAnsi="Century Gothic"/>
          <w:spacing w:val="6"/>
          <w:szCs w:val="22"/>
        </w:rPr>
      </w:pPr>
      <w:r w:rsidRPr="00206D48">
        <w:rPr>
          <w:rFonts w:ascii="Century Gothic" w:hAnsi="Century Gothic"/>
          <w:spacing w:val="6"/>
          <w:szCs w:val="22"/>
        </w:rPr>
        <w:t>that all non-elderly, non-disabled residents are required to comply with FSS requirements as a condition of the receipt of a long-term exemption; and</w:t>
      </w:r>
    </w:p>
    <w:p w14:paraId="02AB841D" w14:textId="77777777" w:rsidR="00B2304E" w:rsidRPr="00206D48" w:rsidRDefault="00B2304E" w:rsidP="00B2304E">
      <w:pPr>
        <w:rPr>
          <w:rFonts w:ascii="Century Gothic" w:hAnsi="Century Gothic"/>
          <w:spacing w:val="6"/>
          <w:szCs w:val="22"/>
        </w:rPr>
      </w:pPr>
    </w:p>
    <w:p w14:paraId="08F7EB56" w14:textId="77777777" w:rsidR="00B2304E" w:rsidRPr="00206D48" w:rsidRDefault="00B2304E" w:rsidP="00486062">
      <w:pPr>
        <w:pStyle w:val="ListParagraph"/>
        <w:numPr>
          <w:ilvl w:val="0"/>
          <w:numId w:val="97"/>
        </w:numPr>
        <w:rPr>
          <w:rFonts w:ascii="Century Gothic" w:hAnsi="Century Gothic"/>
          <w:spacing w:val="6"/>
          <w:szCs w:val="22"/>
        </w:rPr>
      </w:pPr>
      <w:r w:rsidRPr="00206D48">
        <w:rPr>
          <w:rFonts w:ascii="Century Gothic" w:hAnsi="Century Gothic"/>
          <w:spacing w:val="6"/>
          <w:szCs w:val="22"/>
        </w:rPr>
        <w:t>that the resident must notify ECC/HANH within 10 days if the hardship ceases to exist because the resident has obtained a source of income sufficient to pay (at least) the minimum rent.</w:t>
      </w:r>
    </w:p>
    <w:p w14:paraId="2A0BE876" w14:textId="77777777" w:rsidR="00B2304E" w:rsidRPr="00206D48" w:rsidRDefault="00B2304E" w:rsidP="00B2304E">
      <w:pPr>
        <w:rPr>
          <w:rFonts w:ascii="Century Gothic" w:hAnsi="Century Gothic"/>
          <w:b/>
          <w:bCs/>
          <w:spacing w:val="6"/>
          <w:szCs w:val="22"/>
        </w:rPr>
      </w:pPr>
    </w:p>
    <w:p w14:paraId="25E1B367" w14:textId="60C88BDB" w:rsidR="00B2304E" w:rsidRPr="00206D48" w:rsidRDefault="00B2304E" w:rsidP="00B2304E">
      <w:pPr>
        <w:shd w:val="clear" w:color="auto" w:fill="FFFFFF"/>
        <w:spacing w:line="254" w:lineRule="exact"/>
        <w:rPr>
          <w:rFonts w:ascii="Century Gothic" w:hAnsi="Century Gothic"/>
          <w:b/>
          <w:bCs/>
          <w:spacing w:val="1"/>
          <w:szCs w:val="22"/>
        </w:rPr>
      </w:pPr>
      <w:r w:rsidRPr="00206D48">
        <w:rPr>
          <w:rFonts w:ascii="Century Gothic" w:hAnsi="Century Gothic"/>
          <w:b/>
          <w:bCs/>
          <w:spacing w:val="6"/>
          <w:szCs w:val="22"/>
        </w:rPr>
        <w:t xml:space="preserve">Minimum Rent Hardship during COVID19 and any similar pandemic or </w:t>
      </w:r>
      <w:r w:rsidRPr="00206D48">
        <w:rPr>
          <w:rFonts w:ascii="Century Gothic" w:hAnsi="Century Gothic"/>
          <w:b/>
          <w:bCs/>
          <w:szCs w:val="22"/>
        </w:rPr>
        <w:t xml:space="preserve">national, </w:t>
      </w:r>
      <w:r w:rsidR="003A7677" w:rsidRPr="00206D48">
        <w:rPr>
          <w:rFonts w:ascii="Century Gothic" w:hAnsi="Century Gothic"/>
          <w:b/>
          <w:bCs/>
          <w:szCs w:val="22"/>
        </w:rPr>
        <w:t>state,</w:t>
      </w:r>
      <w:r w:rsidRPr="00206D48">
        <w:rPr>
          <w:rFonts w:ascii="Century Gothic" w:hAnsi="Century Gothic"/>
          <w:b/>
          <w:bCs/>
          <w:szCs w:val="22"/>
        </w:rPr>
        <w:t xml:space="preserve"> or local emergencies that affect </w:t>
      </w:r>
      <w:r w:rsidR="00050D89" w:rsidRPr="00206D48">
        <w:rPr>
          <w:rFonts w:ascii="Century Gothic" w:hAnsi="Century Gothic"/>
          <w:b/>
          <w:bCs/>
          <w:szCs w:val="22"/>
        </w:rPr>
        <w:t>many</w:t>
      </w:r>
      <w:r w:rsidRPr="00206D48">
        <w:rPr>
          <w:rFonts w:ascii="Century Gothic" w:hAnsi="Century Gothic"/>
          <w:b/>
          <w:bCs/>
          <w:szCs w:val="22"/>
        </w:rPr>
        <w:t xml:space="preserve"> families in the community:</w:t>
      </w:r>
    </w:p>
    <w:p w14:paraId="5EAC3804" w14:textId="5836DDC0" w:rsidR="00B2304E" w:rsidRPr="00206D48" w:rsidRDefault="00B2304E" w:rsidP="00B2304E">
      <w:pPr>
        <w:shd w:val="clear" w:color="auto" w:fill="FFFFFF"/>
        <w:spacing w:line="254" w:lineRule="exact"/>
        <w:rPr>
          <w:rFonts w:ascii="Century Gothic" w:hAnsi="Century Gothic"/>
          <w:spacing w:val="1"/>
          <w:szCs w:val="22"/>
        </w:rPr>
      </w:pPr>
      <w:r w:rsidRPr="00206D48">
        <w:rPr>
          <w:rFonts w:ascii="Century Gothic" w:hAnsi="Century Gothic"/>
          <w:spacing w:val="6"/>
          <w:szCs w:val="22"/>
        </w:rPr>
        <w:t xml:space="preserve">The </w:t>
      </w:r>
      <w:r w:rsidR="00FE5D17" w:rsidRPr="00206D48">
        <w:rPr>
          <w:rFonts w:ascii="Century Gothic" w:hAnsi="Century Gothic"/>
          <w:spacing w:val="6"/>
          <w:szCs w:val="22"/>
        </w:rPr>
        <w:t>three-month</w:t>
      </w:r>
      <w:r w:rsidRPr="00206D48">
        <w:rPr>
          <w:rFonts w:ascii="Century Gothic" w:hAnsi="Century Gothic"/>
          <w:spacing w:val="6"/>
          <w:szCs w:val="22"/>
        </w:rPr>
        <w:t xml:space="preserve"> hardship </w:t>
      </w:r>
      <w:r w:rsidR="009A2E04" w:rsidRPr="00206D48">
        <w:rPr>
          <w:rFonts w:ascii="Century Gothic" w:hAnsi="Century Gothic"/>
          <w:spacing w:val="6"/>
          <w:szCs w:val="22"/>
        </w:rPr>
        <w:t>timeframe</w:t>
      </w:r>
      <w:r w:rsidRPr="00206D48">
        <w:rPr>
          <w:rFonts w:ascii="Century Gothic" w:hAnsi="Century Gothic"/>
          <w:spacing w:val="6"/>
          <w:szCs w:val="22"/>
        </w:rPr>
        <w:t xml:space="preserve"> will be increased to four </w:t>
      </w:r>
      <w:r w:rsidR="003A7677" w:rsidRPr="00206D48">
        <w:rPr>
          <w:rFonts w:ascii="Century Gothic" w:hAnsi="Century Gothic"/>
          <w:spacing w:val="6"/>
          <w:szCs w:val="22"/>
        </w:rPr>
        <w:t>months during</w:t>
      </w:r>
      <w:r w:rsidRPr="00206D48">
        <w:rPr>
          <w:rFonts w:ascii="Century Gothic" w:hAnsi="Century Gothic"/>
          <w:spacing w:val="6"/>
          <w:szCs w:val="22"/>
        </w:rPr>
        <w:t xml:space="preserve"> COVID19 and any similar pandemic or </w:t>
      </w:r>
      <w:r w:rsidRPr="00206D48">
        <w:rPr>
          <w:rFonts w:ascii="Century Gothic" w:hAnsi="Century Gothic"/>
          <w:szCs w:val="22"/>
        </w:rPr>
        <w:t xml:space="preserve">national, state or local emergencies that affect </w:t>
      </w:r>
      <w:proofErr w:type="gramStart"/>
      <w:r w:rsidRPr="00206D48">
        <w:rPr>
          <w:rFonts w:ascii="Century Gothic" w:hAnsi="Century Gothic"/>
          <w:szCs w:val="22"/>
        </w:rPr>
        <w:t>a large number of</w:t>
      </w:r>
      <w:proofErr w:type="gramEnd"/>
      <w:r w:rsidRPr="00206D48">
        <w:rPr>
          <w:rFonts w:ascii="Century Gothic" w:hAnsi="Century Gothic"/>
          <w:szCs w:val="22"/>
        </w:rPr>
        <w:t xml:space="preserve"> families in the community.  </w:t>
      </w:r>
    </w:p>
    <w:p w14:paraId="0FEDDF7D" w14:textId="42310FDF" w:rsidR="00B2304E" w:rsidRPr="00206D48" w:rsidRDefault="003A7677" w:rsidP="00B2304E">
      <w:pPr>
        <w:rPr>
          <w:rFonts w:ascii="Century Gothic" w:hAnsi="Century Gothic"/>
          <w:spacing w:val="6"/>
          <w:szCs w:val="22"/>
        </w:rPr>
      </w:pPr>
      <w:r w:rsidRPr="00206D48">
        <w:rPr>
          <w:rFonts w:ascii="Century Gothic" w:hAnsi="Century Gothic"/>
          <w:spacing w:val="6"/>
          <w:szCs w:val="22"/>
        </w:rPr>
        <w:t>Additionally, families</w:t>
      </w:r>
      <w:r w:rsidR="00B2304E" w:rsidRPr="00206D48">
        <w:rPr>
          <w:rFonts w:ascii="Century Gothic" w:hAnsi="Century Gothic"/>
          <w:spacing w:val="6"/>
          <w:szCs w:val="22"/>
        </w:rPr>
        <w:t xml:space="preserve"> who fall under the hardship repayment requirement will not be required to repay hardship. Referrals to FSS are not required </w:t>
      </w:r>
      <w:r w:rsidRPr="00206D48">
        <w:rPr>
          <w:rFonts w:ascii="Century Gothic" w:hAnsi="Century Gothic"/>
          <w:spacing w:val="6"/>
          <w:szCs w:val="22"/>
        </w:rPr>
        <w:t>because of</w:t>
      </w:r>
      <w:r w:rsidR="00B2304E" w:rsidRPr="00206D48">
        <w:rPr>
          <w:rFonts w:ascii="Century Gothic" w:hAnsi="Century Gothic"/>
          <w:spacing w:val="6"/>
          <w:szCs w:val="22"/>
        </w:rPr>
        <w:t xml:space="preserve"> this type of decrease.</w:t>
      </w:r>
    </w:p>
    <w:p w14:paraId="33A37B1A" w14:textId="77777777" w:rsidR="00B2304E" w:rsidRPr="00206D48" w:rsidRDefault="00B2304E" w:rsidP="00B2304E">
      <w:pPr>
        <w:rPr>
          <w:rFonts w:ascii="Century Gothic" w:hAnsi="Century Gothic"/>
          <w:spacing w:val="6"/>
          <w:szCs w:val="22"/>
        </w:rPr>
      </w:pPr>
    </w:p>
    <w:p w14:paraId="6F6F6FA7" w14:textId="77777777" w:rsidR="00B2304E" w:rsidRPr="00206D48" w:rsidRDefault="00B2304E" w:rsidP="00B2304E">
      <w:pPr>
        <w:rPr>
          <w:rFonts w:ascii="Century Gothic" w:hAnsi="Century Gothic"/>
          <w:b/>
          <w:spacing w:val="4"/>
          <w:szCs w:val="22"/>
        </w:rPr>
      </w:pPr>
      <w:r w:rsidRPr="00206D48">
        <w:rPr>
          <w:rFonts w:ascii="Century Gothic" w:hAnsi="Century Gothic"/>
          <w:b/>
          <w:spacing w:val="4"/>
          <w:szCs w:val="22"/>
        </w:rPr>
        <w:t>If the hardship is determined to be non-existent:</w:t>
      </w:r>
    </w:p>
    <w:p w14:paraId="211B55FA" w14:textId="77777777" w:rsidR="00B2304E" w:rsidRPr="00206D48" w:rsidRDefault="00B2304E" w:rsidP="00B2304E">
      <w:pPr>
        <w:rPr>
          <w:rFonts w:ascii="Century Gothic" w:hAnsi="Century Gothic"/>
          <w:spacing w:val="4"/>
          <w:szCs w:val="22"/>
        </w:rPr>
      </w:pPr>
    </w:p>
    <w:p w14:paraId="30BE187C" w14:textId="6F3AA604" w:rsidR="00B2304E" w:rsidRPr="00206D48" w:rsidRDefault="00B2304E" w:rsidP="00486062">
      <w:pPr>
        <w:pStyle w:val="ListParagraph"/>
        <w:numPr>
          <w:ilvl w:val="0"/>
          <w:numId w:val="98"/>
        </w:numPr>
        <w:rPr>
          <w:rFonts w:ascii="Century Gothic" w:hAnsi="Century Gothic"/>
          <w:spacing w:val="4"/>
          <w:szCs w:val="22"/>
        </w:rPr>
      </w:pPr>
      <w:r w:rsidRPr="00206D48">
        <w:rPr>
          <w:rFonts w:ascii="Century Gothic" w:hAnsi="Century Gothic"/>
          <w:spacing w:val="4"/>
          <w:szCs w:val="22"/>
        </w:rPr>
        <w:t xml:space="preserve">that </w:t>
      </w:r>
      <w:proofErr w:type="gramStart"/>
      <w:r w:rsidRPr="00206D48">
        <w:rPr>
          <w:rFonts w:ascii="Century Gothic" w:hAnsi="Century Gothic"/>
          <w:spacing w:val="4"/>
          <w:szCs w:val="22"/>
        </w:rPr>
        <w:t>a hardship</w:t>
      </w:r>
      <w:proofErr w:type="gramEnd"/>
      <w:r w:rsidRPr="00206D48">
        <w:rPr>
          <w:rFonts w:ascii="Century Gothic" w:hAnsi="Century Gothic"/>
          <w:spacing w:val="4"/>
          <w:szCs w:val="22"/>
        </w:rPr>
        <w:t xml:space="preserve"> exemption was </w:t>
      </w:r>
      <w:r w:rsidR="003A7677" w:rsidRPr="00206D48">
        <w:rPr>
          <w:rFonts w:ascii="Century Gothic" w:hAnsi="Century Gothic"/>
          <w:spacing w:val="4"/>
          <w:szCs w:val="22"/>
        </w:rPr>
        <w:t>denied.</w:t>
      </w:r>
    </w:p>
    <w:p w14:paraId="07BE1D86" w14:textId="77777777" w:rsidR="00B2304E" w:rsidRPr="00206D48" w:rsidRDefault="00B2304E" w:rsidP="00B2304E">
      <w:pPr>
        <w:rPr>
          <w:rFonts w:ascii="Century Gothic" w:hAnsi="Century Gothic"/>
          <w:spacing w:val="4"/>
          <w:szCs w:val="22"/>
        </w:rPr>
      </w:pPr>
    </w:p>
    <w:p w14:paraId="237F544E" w14:textId="77777777" w:rsidR="00B2304E" w:rsidRPr="00206D48" w:rsidRDefault="00B2304E" w:rsidP="00486062">
      <w:pPr>
        <w:pStyle w:val="ListParagraph"/>
        <w:numPr>
          <w:ilvl w:val="0"/>
          <w:numId w:val="98"/>
        </w:numPr>
        <w:rPr>
          <w:rFonts w:ascii="Century Gothic" w:hAnsi="Century Gothic"/>
          <w:spacing w:val="4"/>
          <w:szCs w:val="22"/>
        </w:rPr>
      </w:pPr>
      <w:r w:rsidRPr="00206D48">
        <w:rPr>
          <w:rFonts w:ascii="Century Gothic" w:hAnsi="Century Gothic"/>
          <w:spacing w:val="4"/>
          <w:szCs w:val="22"/>
        </w:rPr>
        <w:t>the reason for such determination; and</w:t>
      </w:r>
    </w:p>
    <w:p w14:paraId="66D1F7C5" w14:textId="77777777" w:rsidR="00B2304E" w:rsidRPr="00206D48" w:rsidRDefault="00B2304E" w:rsidP="00B2304E">
      <w:pPr>
        <w:rPr>
          <w:rFonts w:ascii="Century Gothic" w:hAnsi="Century Gothic"/>
          <w:spacing w:val="4"/>
          <w:szCs w:val="22"/>
        </w:rPr>
      </w:pPr>
    </w:p>
    <w:p w14:paraId="201B2CB1" w14:textId="5C23F96D" w:rsidR="00B2304E" w:rsidRPr="00206D48" w:rsidRDefault="00B2304E" w:rsidP="00486062">
      <w:pPr>
        <w:pStyle w:val="ListParagraph"/>
        <w:numPr>
          <w:ilvl w:val="0"/>
          <w:numId w:val="98"/>
        </w:numPr>
        <w:rPr>
          <w:rFonts w:ascii="Century Gothic" w:hAnsi="Century Gothic"/>
          <w:spacing w:val="4"/>
          <w:szCs w:val="22"/>
        </w:rPr>
      </w:pPr>
      <w:r w:rsidRPr="00206D48">
        <w:rPr>
          <w:rFonts w:ascii="Century Gothic" w:hAnsi="Century Gothic"/>
          <w:spacing w:val="4"/>
          <w:szCs w:val="22"/>
        </w:rPr>
        <w:t xml:space="preserve">the terms and conditions on which the resident family must pay back </w:t>
      </w:r>
      <w:r w:rsidRPr="00206D48">
        <w:rPr>
          <w:rFonts w:ascii="Century Gothic" w:hAnsi="Century Gothic"/>
          <w:szCs w:val="22"/>
        </w:rPr>
        <w:t>the minimum rent that was suspended and is now owing to ECC/HANH.</w:t>
      </w:r>
      <w:r w:rsidRPr="00206D48">
        <w:rPr>
          <w:rFonts w:ascii="Century Gothic" w:hAnsi="Century Gothic"/>
          <w:spacing w:val="4"/>
          <w:szCs w:val="22"/>
        </w:rPr>
        <w:t xml:space="preserve"> </w:t>
      </w:r>
    </w:p>
    <w:p w14:paraId="6B24B897" w14:textId="77777777" w:rsidR="00A2510C" w:rsidRPr="00206D48" w:rsidRDefault="00A2510C" w:rsidP="00B2304E">
      <w:pPr>
        <w:rPr>
          <w:rFonts w:ascii="Century Gothic" w:hAnsi="Century Gothic"/>
          <w:spacing w:val="4"/>
          <w:szCs w:val="22"/>
        </w:rPr>
      </w:pPr>
    </w:p>
    <w:p w14:paraId="4D8E39E6" w14:textId="7ACA6B91" w:rsidR="00B2304E" w:rsidRDefault="00B2304E" w:rsidP="00B2304E">
      <w:pPr>
        <w:rPr>
          <w:rFonts w:ascii="Century Gothic" w:hAnsi="Century Gothic"/>
          <w:spacing w:val="6"/>
          <w:szCs w:val="22"/>
        </w:rPr>
      </w:pPr>
      <w:r w:rsidRPr="00206D48">
        <w:rPr>
          <w:rFonts w:ascii="Century Gothic" w:hAnsi="Century Gothic"/>
          <w:spacing w:val="6"/>
          <w:szCs w:val="22"/>
        </w:rPr>
        <w:t xml:space="preserve">All letters concerning Hardship Review Committee determinations shall state that any resident who disagrees with the decision may request a grievance in accordance with ECC/HANH’s grievance procedures, a copy of which will be included with the written decision.  In cases </w:t>
      </w:r>
      <w:r w:rsidRPr="00206D48">
        <w:rPr>
          <w:rFonts w:ascii="Century Gothic" w:hAnsi="Century Gothic"/>
          <w:spacing w:val="6"/>
          <w:szCs w:val="22"/>
        </w:rPr>
        <w:lastRenderedPageBreak/>
        <w:t xml:space="preserve">where </w:t>
      </w:r>
      <w:proofErr w:type="gramStart"/>
      <w:r w:rsidRPr="00206D48">
        <w:rPr>
          <w:rFonts w:ascii="Century Gothic" w:hAnsi="Century Gothic"/>
          <w:spacing w:val="6"/>
          <w:szCs w:val="22"/>
        </w:rPr>
        <w:t>a grievance</w:t>
      </w:r>
      <w:proofErr w:type="gramEnd"/>
      <w:r w:rsidRPr="00206D48">
        <w:rPr>
          <w:rFonts w:ascii="Century Gothic" w:hAnsi="Century Gothic"/>
          <w:spacing w:val="6"/>
          <w:szCs w:val="22"/>
        </w:rPr>
        <w:t xml:space="preserve"> is sought, no action shall be taken by ECC/HANH until the grievance process is completed.  </w:t>
      </w:r>
    </w:p>
    <w:p w14:paraId="0D63CF88" w14:textId="77777777" w:rsidR="002A35F2" w:rsidRPr="00206D48" w:rsidRDefault="002A35F2" w:rsidP="00B2304E">
      <w:pPr>
        <w:rPr>
          <w:rFonts w:ascii="Century Gothic" w:hAnsi="Century Gothic"/>
          <w:spacing w:val="6"/>
          <w:szCs w:val="22"/>
        </w:rPr>
      </w:pPr>
    </w:p>
    <w:p w14:paraId="644FFDDA" w14:textId="77777777" w:rsidR="00B2304E" w:rsidRPr="00206D48" w:rsidRDefault="00B2304E" w:rsidP="00B2304E">
      <w:pPr>
        <w:rPr>
          <w:rFonts w:ascii="Century Gothic" w:hAnsi="Century Gothic"/>
          <w:b/>
          <w:bCs/>
          <w:szCs w:val="22"/>
        </w:rPr>
      </w:pPr>
      <w:bookmarkStart w:id="288" w:name="_Toc518556075"/>
      <w:bookmarkStart w:id="289" w:name="_Toc3305645"/>
      <w:bookmarkStart w:id="290" w:name="_Toc9319887"/>
      <w:r w:rsidRPr="00206D48">
        <w:rPr>
          <w:rFonts w:ascii="Century Gothic" w:hAnsi="Century Gothic"/>
          <w:b/>
          <w:bCs/>
          <w:szCs w:val="22"/>
        </w:rPr>
        <w:t>Mixed Families</w:t>
      </w:r>
      <w:bookmarkEnd w:id="288"/>
      <w:bookmarkEnd w:id="289"/>
      <w:bookmarkEnd w:id="290"/>
    </w:p>
    <w:p w14:paraId="6BCA711B" w14:textId="673787DF" w:rsidR="00B2304E" w:rsidRPr="00206D48" w:rsidRDefault="00B2304E" w:rsidP="00B2304E">
      <w:pPr>
        <w:rPr>
          <w:rFonts w:ascii="Century Gothic" w:hAnsi="Century Gothic"/>
          <w:spacing w:val="2"/>
          <w:szCs w:val="22"/>
        </w:rPr>
      </w:pPr>
      <w:r w:rsidRPr="00206D48">
        <w:rPr>
          <w:rFonts w:ascii="Century Gothic" w:hAnsi="Century Gothic"/>
          <w:spacing w:val="1"/>
          <w:szCs w:val="22"/>
        </w:rPr>
        <w:t xml:space="preserve">For mixed families, where some households include members with citizenship or eligible </w:t>
      </w:r>
      <w:r w:rsidRPr="00206D48">
        <w:rPr>
          <w:rFonts w:ascii="Century Gothic" w:hAnsi="Century Gothic"/>
          <w:spacing w:val="2"/>
          <w:szCs w:val="22"/>
        </w:rPr>
        <w:t xml:space="preserve">immigration status as well as those without, rents are calculated using the simplification model; subsidy is then prorated </w:t>
      </w:r>
      <w:proofErr w:type="gramStart"/>
      <w:r w:rsidR="00505AAF">
        <w:rPr>
          <w:rFonts w:ascii="Century Gothic" w:hAnsi="Century Gothic"/>
          <w:spacing w:val="2"/>
          <w:szCs w:val="22"/>
        </w:rPr>
        <w:t>per</w:t>
      </w:r>
      <w:proofErr w:type="gramEnd"/>
      <w:r w:rsidR="00505AAF">
        <w:rPr>
          <w:rFonts w:ascii="Century Gothic" w:hAnsi="Century Gothic"/>
          <w:spacing w:val="2"/>
          <w:szCs w:val="22"/>
        </w:rPr>
        <w:t xml:space="preserve"> regulations</w:t>
      </w:r>
      <w:r w:rsidRPr="00206D48">
        <w:rPr>
          <w:rFonts w:ascii="Century Gothic" w:hAnsi="Century Gothic"/>
          <w:spacing w:val="2"/>
          <w:szCs w:val="22"/>
        </w:rPr>
        <w:t>.</w:t>
      </w:r>
    </w:p>
    <w:p w14:paraId="02B33629" w14:textId="77777777" w:rsidR="00A2510C" w:rsidRPr="00206D48" w:rsidRDefault="00A2510C" w:rsidP="00B2304E">
      <w:pPr>
        <w:rPr>
          <w:rFonts w:ascii="Century Gothic" w:hAnsi="Century Gothic"/>
          <w:spacing w:val="2"/>
          <w:szCs w:val="22"/>
        </w:rPr>
      </w:pPr>
    </w:p>
    <w:p w14:paraId="5061FBA3" w14:textId="77777777" w:rsidR="00B2304E" w:rsidRPr="00206D48" w:rsidRDefault="00B2304E" w:rsidP="00B2304E">
      <w:pPr>
        <w:rPr>
          <w:rFonts w:ascii="Century Gothic" w:hAnsi="Century Gothic"/>
          <w:b/>
          <w:bCs/>
          <w:szCs w:val="22"/>
        </w:rPr>
      </w:pPr>
      <w:bookmarkStart w:id="291" w:name="_Toc518556076"/>
      <w:bookmarkStart w:id="292" w:name="_Toc3305646"/>
      <w:bookmarkStart w:id="293" w:name="_Toc9319888"/>
      <w:r w:rsidRPr="00206D48">
        <w:rPr>
          <w:rFonts w:ascii="Century Gothic" w:hAnsi="Century Gothic"/>
          <w:b/>
          <w:bCs/>
          <w:szCs w:val="22"/>
        </w:rPr>
        <w:t>Fraud Prevention</w:t>
      </w:r>
      <w:bookmarkEnd w:id="291"/>
      <w:bookmarkEnd w:id="292"/>
      <w:bookmarkEnd w:id="293"/>
    </w:p>
    <w:p w14:paraId="59FF8C88" w14:textId="49302030" w:rsidR="00B2304E" w:rsidRPr="00206D48" w:rsidRDefault="00B2304E" w:rsidP="00B2304E">
      <w:pPr>
        <w:rPr>
          <w:rFonts w:ascii="Century Gothic" w:hAnsi="Century Gothic"/>
          <w:spacing w:val="3"/>
          <w:szCs w:val="22"/>
        </w:rPr>
      </w:pPr>
      <w:r w:rsidRPr="00206D48">
        <w:rPr>
          <w:rFonts w:ascii="Century Gothic" w:hAnsi="Century Gothic"/>
          <w:spacing w:val="2"/>
          <w:szCs w:val="22"/>
        </w:rPr>
        <w:t xml:space="preserve">After two or more instances of job loss or income drop within ninety (90) days of a </w:t>
      </w:r>
      <w:r w:rsidRPr="00206D48">
        <w:rPr>
          <w:rFonts w:ascii="Century Gothic" w:hAnsi="Century Gothic"/>
          <w:spacing w:val="3"/>
          <w:szCs w:val="22"/>
        </w:rPr>
        <w:t xml:space="preserve">scheduled reexamination (based on current and prior reexamination history), ECC/HANH sets a </w:t>
      </w:r>
      <w:r w:rsidRPr="00206D48">
        <w:rPr>
          <w:rFonts w:ascii="Century Gothic" w:hAnsi="Century Gothic"/>
          <w:spacing w:val="5"/>
          <w:szCs w:val="22"/>
        </w:rPr>
        <w:t xml:space="preserve">rent based on the past year's W-2 or other information available for income verification. </w:t>
      </w:r>
      <w:r w:rsidRPr="00206D48">
        <w:rPr>
          <w:rFonts w:ascii="Century Gothic" w:hAnsi="Century Gothic"/>
          <w:spacing w:val="1"/>
          <w:szCs w:val="22"/>
        </w:rPr>
        <w:t xml:space="preserve">Households are advised that this is a potential fraud issue and that they have the right to grieve through the normal process to </w:t>
      </w:r>
      <w:r w:rsidR="003A7677" w:rsidRPr="00206D48">
        <w:rPr>
          <w:rFonts w:ascii="Century Gothic" w:hAnsi="Century Gothic"/>
          <w:spacing w:val="1"/>
          <w:szCs w:val="22"/>
        </w:rPr>
        <w:t>explain the reasons more fully</w:t>
      </w:r>
      <w:r w:rsidRPr="00206D48">
        <w:rPr>
          <w:rFonts w:ascii="Century Gothic" w:hAnsi="Century Gothic"/>
          <w:spacing w:val="1"/>
          <w:szCs w:val="22"/>
        </w:rPr>
        <w:t xml:space="preserve"> for the pattern of income </w:t>
      </w:r>
      <w:r w:rsidRPr="00206D48">
        <w:rPr>
          <w:rFonts w:ascii="Century Gothic" w:hAnsi="Century Gothic"/>
          <w:spacing w:val="3"/>
          <w:szCs w:val="22"/>
        </w:rPr>
        <w:t>loss. ECC/HANH will set the rent after the Conference Panel review.</w:t>
      </w:r>
    </w:p>
    <w:p w14:paraId="564FA1FC" w14:textId="77777777" w:rsidR="00A2510C" w:rsidRPr="00206D48" w:rsidRDefault="00A2510C" w:rsidP="00B2304E">
      <w:pPr>
        <w:rPr>
          <w:rFonts w:ascii="Century Gothic" w:hAnsi="Century Gothic"/>
          <w:szCs w:val="22"/>
        </w:rPr>
      </w:pPr>
    </w:p>
    <w:p w14:paraId="3BBF21F6" w14:textId="2A1932D8" w:rsidR="00B2304E" w:rsidRPr="00206D48" w:rsidRDefault="00B2304E" w:rsidP="00B2304E">
      <w:pPr>
        <w:rPr>
          <w:rFonts w:ascii="Century Gothic" w:hAnsi="Century Gothic"/>
          <w:spacing w:val="2"/>
          <w:szCs w:val="22"/>
        </w:rPr>
      </w:pPr>
      <w:r w:rsidRPr="00206D48">
        <w:rPr>
          <w:rFonts w:ascii="Century Gothic" w:hAnsi="Century Gothic"/>
          <w:spacing w:val="5"/>
          <w:szCs w:val="22"/>
        </w:rPr>
        <w:t xml:space="preserve">Households with two or more instances of job loss or income drop within ninety (90) </w:t>
      </w:r>
      <w:r w:rsidRPr="00206D48">
        <w:rPr>
          <w:rFonts w:ascii="Century Gothic" w:hAnsi="Century Gothic"/>
          <w:spacing w:val="2"/>
          <w:szCs w:val="22"/>
        </w:rPr>
        <w:t>days of a scheduled certification do not have access to the Hardship Review Committee.</w:t>
      </w:r>
    </w:p>
    <w:p w14:paraId="23C062E9" w14:textId="77777777" w:rsidR="00A2510C" w:rsidRPr="00206D48" w:rsidRDefault="00A2510C" w:rsidP="00B2304E">
      <w:pPr>
        <w:rPr>
          <w:rFonts w:ascii="Century Gothic" w:hAnsi="Century Gothic"/>
          <w:szCs w:val="22"/>
        </w:rPr>
      </w:pPr>
    </w:p>
    <w:p w14:paraId="2E86AB11" w14:textId="529B5FFF" w:rsidR="00B2304E" w:rsidRPr="00206D48" w:rsidRDefault="00B2304E" w:rsidP="00B2304E">
      <w:pPr>
        <w:rPr>
          <w:rFonts w:ascii="Century Gothic" w:hAnsi="Century Gothic"/>
          <w:b/>
          <w:bCs/>
          <w:szCs w:val="22"/>
        </w:rPr>
      </w:pPr>
      <w:bookmarkStart w:id="294" w:name="_Toc518556077"/>
      <w:bookmarkStart w:id="295" w:name="_Toc3305647"/>
      <w:bookmarkStart w:id="296" w:name="_Toc9319889"/>
      <w:r w:rsidRPr="00206D48">
        <w:rPr>
          <w:rFonts w:ascii="Century Gothic" w:hAnsi="Century Gothic"/>
          <w:b/>
          <w:bCs/>
          <w:szCs w:val="22"/>
        </w:rPr>
        <w:t>Rent Simplification Implementation - Public Housing</w:t>
      </w:r>
      <w:bookmarkEnd w:id="294"/>
      <w:bookmarkEnd w:id="295"/>
      <w:bookmarkEnd w:id="296"/>
    </w:p>
    <w:p w14:paraId="7F5D76B3" w14:textId="61F7F951" w:rsidR="00B2304E" w:rsidRPr="00493920" w:rsidRDefault="00B2304E" w:rsidP="00B2304E">
      <w:pPr>
        <w:rPr>
          <w:rFonts w:ascii="Century Gothic" w:hAnsi="Century Gothic"/>
          <w:szCs w:val="22"/>
        </w:rPr>
      </w:pPr>
      <w:r w:rsidRPr="00206D48">
        <w:rPr>
          <w:rFonts w:ascii="Century Gothic" w:hAnsi="Century Gothic"/>
          <w:spacing w:val="2"/>
          <w:szCs w:val="22"/>
        </w:rPr>
        <w:t xml:space="preserve">Residents </w:t>
      </w:r>
      <w:r w:rsidR="00F10A07">
        <w:rPr>
          <w:rFonts w:ascii="Century Gothic" w:hAnsi="Century Gothic"/>
          <w:spacing w:val="2"/>
          <w:szCs w:val="22"/>
        </w:rPr>
        <w:t>received</w:t>
      </w:r>
      <w:r w:rsidRPr="00493920">
        <w:rPr>
          <w:rFonts w:ascii="Century Gothic" w:hAnsi="Century Gothic"/>
          <w:spacing w:val="2"/>
          <w:szCs w:val="22"/>
        </w:rPr>
        <w:t xml:space="preserve"> notice of the new policy on July 1, </w:t>
      </w:r>
      <w:proofErr w:type="gramStart"/>
      <w:r w:rsidRPr="00493920">
        <w:rPr>
          <w:rFonts w:ascii="Century Gothic" w:hAnsi="Century Gothic"/>
          <w:spacing w:val="2"/>
          <w:szCs w:val="22"/>
        </w:rPr>
        <w:t>2007</w:t>
      </w:r>
      <w:proofErr w:type="gramEnd"/>
      <w:r w:rsidRPr="00493920">
        <w:rPr>
          <w:rFonts w:ascii="Century Gothic" w:hAnsi="Century Gothic"/>
          <w:spacing w:val="2"/>
          <w:szCs w:val="22"/>
        </w:rPr>
        <w:t xml:space="preserve"> and the policy </w:t>
      </w:r>
      <w:r w:rsidR="00F10A07">
        <w:rPr>
          <w:rFonts w:ascii="Century Gothic" w:hAnsi="Century Gothic"/>
          <w:spacing w:val="2"/>
          <w:szCs w:val="22"/>
        </w:rPr>
        <w:t>was effect</w:t>
      </w:r>
      <w:r w:rsidR="00493920">
        <w:rPr>
          <w:rFonts w:ascii="Century Gothic" w:hAnsi="Century Gothic"/>
          <w:spacing w:val="2"/>
          <w:szCs w:val="22"/>
        </w:rPr>
        <w:t>ive</w:t>
      </w:r>
      <w:r w:rsidRPr="00493920">
        <w:rPr>
          <w:rFonts w:ascii="Century Gothic" w:hAnsi="Century Gothic"/>
          <w:spacing w:val="2"/>
          <w:szCs w:val="22"/>
        </w:rPr>
        <w:t xml:space="preserve"> on January 1, </w:t>
      </w:r>
      <w:proofErr w:type="gramStart"/>
      <w:r w:rsidRPr="00493920">
        <w:rPr>
          <w:rFonts w:ascii="Century Gothic" w:hAnsi="Century Gothic"/>
          <w:spacing w:val="2"/>
          <w:szCs w:val="22"/>
        </w:rPr>
        <w:t>2008</w:t>
      </w:r>
      <w:proofErr w:type="gramEnd"/>
      <w:r w:rsidRPr="00493920">
        <w:rPr>
          <w:rFonts w:ascii="Century Gothic" w:hAnsi="Century Gothic"/>
          <w:spacing w:val="2"/>
          <w:szCs w:val="22"/>
        </w:rPr>
        <w:t xml:space="preserve"> for all reexaminations with an anniversary effective date on or after January 1, </w:t>
      </w:r>
      <w:proofErr w:type="gramStart"/>
      <w:r w:rsidRPr="00493920">
        <w:rPr>
          <w:rFonts w:ascii="Century Gothic" w:hAnsi="Century Gothic"/>
          <w:spacing w:val="2"/>
          <w:szCs w:val="22"/>
        </w:rPr>
        <w:t>2008</w:t>
      </w:r>
      <w:proofErr w:type="gramEnd"/>
      <w:r w:rsidRPr="00493920">
        <w:rPr>
          <w:rFonts w:ascii="Century Gothic" w:hAnsi="Century Gothic"/>
          <w:spacing w:val="2"/>
          <w:szCs w:val="22"/>
        </w:rPr>
        <w:t xml:space="preserve"> and for all new lease-ups and residents requesting interim </w:t>
      </w:r>
      <w:r w:rsidRPr="00493920">
        <w:rPr>
          <w:rFonts w:ascii="Century Gothic" w:hAnsi="Century Gothic"/>
          <w:spacing w:val="1"/>
          <w:szCs w:val="22"/>
        </w:rPr>
        <w:t>reexaminations after January 1, 2008.</w:t>
      </w:r>
    </w:p>
    <w:p w14:paraId="3F9FB4D4" w14:textId="6CDA670F" w:rsidR="00B2304E" w:rsidRPr="00493920" w:rsidRDefault="00B2304E" w:rsidP="00B2304E">
      <w:pPr>
        <w:rPr>
          <w:rFonts w:ascii="Century Gothic" w:hAnsi="Century Gothic"/>
          <w:spacing w:val="2"/>
          <w:szCs w:val="22"/>
        </w:rPr>
      </w:pPr>
      <w:r w:rsidRPr="00493920">
        <w:rPr>
          <w:rFonts w:ascii="Century Gothic" w:hAnsi="Century Gothic"/>
          <w:spacing w:val="2"/>
          <w:szCs w:val="22"/>
        </w:rPr>
        <w:t xml:space="preserve">A staggered approach is used to integrate the two-year and </w:t>
      </w:r>
      <w:r w:rsidR="003A7677" w:rsidRPr="00493920">
        <w:rPr>
          <w:rFonts w:ascii="Century Gothic" w:hAnsi="Century Gothic"/>
          <w:spacing w:val="2"/>
          <w:szCs w:val="22"/>
        </w:rPr>
        <w:t>three-year</w:t>
      </w:r>
      <w:r w:rsidRPr="00493920">
        <w:rPr>
          <w:rFonts w:ascii="Century Gothic" w:hAnsi="Century Gothic"/>
          <w:spacing w:val="2"/>
          <w:szCs w:val="22"/>
        </w:rPr>
        <w:t xml:space="preserve"> reexamination cycles. </w:t>
      </w:r>
    </w:p>
    <w:p w14:paraId="6CE8EFF8" w14:textId="77777777" w:rsidR="00B2304E" w:rsidRPr="00493920" w:rsidRDefault="00B2304E" w:rsidP="00B2304E">
      <w:pPr>
        <w:rPr>
          <w:rFonts w:ascii="Century Gothic" w:hAnsi="Century Gothic"/>
          <w:spacing w:val="2"/>
          <w:szCs w:val="22"/>
        </w:rPr>
      </w:pPr>
      <w:r w:rsidRPr="00493920">
        <w:rPr>
          <w:rFonts w:ascii="Century Gothic" w:hAnsi="Century Gothic"/>
          <w:spacing w:val="2"/>
          <w:szCs w:val="22"/>
        </w:rPr>
        <w:t xml:space="preserve">Initially in fiscal year 2008, all families will be re-examined during the first year. </w:t>
      </w:r>
    </w:p>
    <w:p w14:paraId="3F4AFDD2" w14:textId="77777777" w:rsidR="00B2304E" w:rsidRPr="00493920" w:rsidRDefault="00B2304E" w:rsidP="00B2304E">
      <w:pPr>
        <w:rPr>
          <w:rFonts w:ascii="Century Gothic" w:hAnsi="Century Gothic"/>
          <w:spacing w:val="2"/>
          <w:szCs w:val="22"/>
        </w:rPr>
      </w:pPr>
      <w:r w:rsidRPr="00493920">
        <w:rPr>
          <w:rFonts w:ascii="Century Gothic" w:hAnsi="Century Gothic"/>
          <w:spacing w:val="2"/>
          <w:szCs w:val="22"/>
        </w:rPr>
        <w:t>In the second year of the program (2009), two thirds of the elderly/disabled families will be re-examined and one half of the non-elderly/non-disabled families.</w:t>
      </w:r>
    </w:p>
    <w:p w14:paraId="3AF83D87" w14:textId="77777777" w:rsidR="00B2304E" w:rsidRPr="00493920" w:rsidRDefault="00B2304E" w:rsidP="00B2304E">
      <w:pPr>
        <w:rPr>
          <w:rFonts w:ascii="Century Gothic" w:hAnsi="Century Gothic"/>
          <w:spacing w:val="2"/>
          <w:szCs w:val="22"/>
        </w:rPr>
      </w:pPr>
      <w:r w:rsidRPr="00493920">
        <w:rPr>
          <w:rFonts w:ascii="Century Gothic" w:hAnsi="Century Gothic"/>
          <w:spacing w:val="2"/>
          <w:szCs w:val="22"/>
        </w:rPr>
        <w:t>In the third year of the program (2010), one third on the elderly/disabled families will be re-examined and one-half of the remaining non-elderly/non-disabled families.</w:t>
      </w:r>
    </w:p>
    <w:p w14:paraId="605D2E85" w14:textId="77777777" w:rsidR="00B2304E" w:rsidRPr="00493920" w:rsidRDefault="00B2304E" w:rsidP="00B2304E">
      <w:pPr>
        <w:rPr>
          <w:rFonts w:ascii="Century Gothic" w:hAnsi="Century Gothic"/>
          <w:b/>
          <w:iCs/>
          <w:szCs w:val="22"/>
        </w:rPr>
      </w:pPr>
      <w:r w:rsidRPr="00493920">
        <w:rPr>
          <w:rFonts w:ascii="Century Gothic" w:hAnsi="Century Gothic"/>
          <w:spacing w:val="2"/>
          <w:szCs w:val="22"/>
        </w:rPr>
        <w:t>Rent Simplification is expected to be fully implemented by December 31, 2010.</w:t>
      </w:r>
    </w:p>
    <w:p w14:paraId="71CE9348" w14:textId="77777777" w:rsidR="00B2304E" w:rsidRPr="00493920" w:rsidRDefault="00B2304E" w:rsidP="00B2304E">
      <w:pPr>
        <w:rPr>
          <w:rFonts w:ascii="Century Gothic" w:hAnsi="Century Gothic"/>
          <w:b/>
          <w:iCs/>
          <w:szCs w:val="22"/>
        </w:rPr>
      </w:pPr>
    </w:p>
    <w:p w14:paraId="1CF531BC" w14:textId="77777777" w:rsidR="00B2304E" w:rsidRPr="00493920" w:rsidRDefault="00B2304E" w:rsidP="00B2304E">
      <w:pPr>
        <w:rPr>
          <w:rFonts w:ascii="Century Gothic" w:hAnsi="Century Gothic"/>
          <w:b/>
          <w:iCs/>
          <w:szCs w:val="22"/>
        </w:rPr>
      </w:pPr>
      <w:r w:rsidRPr="00493920">
        <w:rPr>
          <w:rFonts w:ascii="Century Gothic" w:hAnsi="Century Gothic"/>
          <w:b/>
          <w:iCs/>
          <w:szCs w:val="22"/>
        </w:rPr>
        <w:t>Low Income Public Housing (LIPH) Program</w:t>
      </w:r>
      <w:r w:rsidRPr="00493920">
        <w:rPr>
          <w:rFonts w:ascii="Century Gothic" w:hAnsi="Century Gothic"/>
          <w:b/>
          <w:iCs/>
          <w:szCs w:val="22"/>
        </w:rPr>
        <w:br/>
        <w:t>Rent Simplification Rent Tier Schedule</w:t>
      </w:r>
    </w:p>
    <w:p w14:paraId="0581C773" w14:textId="77777777" w:rsidR="00B2304E" w:rsidRPr="00493920" w:rsidRDefault="00B2304E" w:rsidP="00B2304E">
      <w:pPr>
        <w:rPr>
          <w:rFonts w:ascii="Century Gothic" w:hAnsi="Century Gothic"/>
          <w:szCs w:val="22"/>
        </w:rPr>
      </w:pPr>
    </w:p>
    <w:tbl>
      <w:tblPr>
        <w:tblW w:w="955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170"/>
        <w:gridCol w:w="2070"/>
        <w:gridCol w:w="630"/>
        <w:gridCol w:w="1673"/>
        <w:gridCol w:w="1297"/>
        <w:gridCol w:w="1297"/>
      </w:tblGrid>
      <w:tr w:rsidR="00B2304E" w:rsidRPr="006D6566" w14:paraId="04D8A36A" w14:textId="77777777" w:rsidTr="00310FD8">
        <w:trPr>
          <w:trHeight w:val="330"/>
        </w:trPr>
        <w:tc>
          <w:tcPr>
            <w:tcW w:w="9559" w:type="dxa"/>
            <w:gridSpan w:val="7"/>
            <w:noWrap/>
            <w:vAlign w:val="bottom"/>
          </w:tcPr>
          <w:p w14:paraId="5ECD4B8F" w14:textId="77777777" w:rsidR="00B2304E" w:rsidRPr="00493920" w:rsidRDefault="00B2304E" w:rsidP="00310FD8">
            <w:pPr>
              <w:rPr>
                <w:rFonts w:ascii="Century Gothic" w:hAnsi="Century Gothic"/>
                <w:b/>
                <w:szCs w:val="22"/>
              </w:rPr>
            </w:pPr>
            <w:r w:rsidRPr="00493920">
              <w:rPr>
                <w:rFonts w:ascii="Century Gothic" w:hAnsi="Century Gothic"/>
                <w:b/>
                <w:szCs w:val="22"/>
              </w:rPr>
              <w:t>Rent Tier</w:t>
            </w:r>
          </w:p>
        </w:tc>
      </w:tr>
      <w:tr w:rsidR="00B2304E" w:rsidRPr="006D6566" w14:paraId="0F2185B6" w14:textId="77777777" w:rsidTr="00310FD8">
        <w:trPr>
          <w:trHeight w:val="330"/>
        </w:trPr>
        <w:tc>
          <w:tcPr>
            <w:tcW w:w="9559" w:type="dxa"/>
            <w:gridSpan w:val="7"/>
            <w:shd w:val="clear" w:color="auto" w:fill="FFFFFF"/>
          </w:tcPr>
          <w:p w14:paraId="0601D3A8" w14:textId="77777777" w:rsidR="00B2304E" w:rsidRPr="00F10A07" w:rsidRDefault="00B2304E" w:rsidP="00310FD8">
            <w:pPr>
              <w:rPr>
                <w:rFonts w:ascii="Century Gothic" w:hAnsi="Century Gothic"/>
                <w:b/>
                <w:szCs w:val="22"/>
              </w:rPr>
            </w:pPr>
            <w:r w:rsidRPr="00F10A07">
              <w:rPr>
                <w:rFonts w:ascii="Century Gothic" w:hAnsi="Century Gothic"/>
                <w:b/>
                <w:szCs w:val="22"/>
              </w:rPr>
              <w:t>Income Range</w:t>
            </w:r>
          </w:p>
        </w:tc>
      </w:tr>
      <w:tr w:rsidR="00B2304E" w:rsidRPr="006D6566" w14:paraId="4DF32209" w14:textId="77777777" w:rsidTr="00310FD8">
        <w:trPr>
          <w:trHeight w:val="330"/>
        </w:trPr>
        <w:tc>
          <w:tcPr>
            <w:tcW w:w="1422" w:type="dxa"/>
            <w:shd w:val="clear" w:color="auto" w:fill="FFFFFF"/>
          </w:tcPr>
          <w:p w14:paraId="14135B01" w14:textId="77777777" w:rsidR="00B2304E" w:rsidRPr="00F10A07" w:rsidRDefault="00B2304E" w:rsidP="00310FD8">
            <w:pPr>
              <w:rPr>
                <w:rFonts w:ascii="Century Gothic" w:hAnsi="Century Gothic"/>
                <w:szCs w:val="22"/>
              </w:rPr>
            </w:pPr>
            <w:r w:rsidRPr="00F10A07">
              <w:rPr>
                <w:rFonts w:ascii="Century Gothic" w:hAnsi="Century Gothic"/>
                <w:szCs w:val="22"/>
              </w:rPr>
              <w:t xml:space="preserve">$0 </w:t>
            </w:r>
          </w:p>
        </w:tc>
        <w:tc>
          <w:tcPr>
            <w:tcW w:w="1170" w:type="dxa"/>
            <w:shd w:val="clear" w:color="auto" w:fill="FFFFFF"/>
          </w:tcPr>
          <w:p w14:paraId="4596FE91" w14:textId="77777777" w:rsidR="00B2304E" w:rsidRPr="00F10A07" w:rsidRDefault="00B2304E" w:rsidP="00310FD8">
            <w:pPr>
              <w:rPr>
                <w:rFonts w:ascii="Century Gothic" w:hAnsi="Century Gothic"/>
                <w:szCs w:val="22"/>
              </w:rPr>
            </w:pPr>
            <w:r w:rsidRPr="00F10A07">
              <w:rPr>
                <w:rFonts w:ascii="Century Gothic" w:hAnsi="Century Gothic"/>
                <w:szCs w:val="22"/>
              </w:rPr>
              <w:t xml:space="preserve">$2,499 </w:t>
            </w:r>
          </w:p>
        </w:tc>
        <w:tc>
          <w:tcPr>
            <w:tcW w:w="2070" w:type="dxa"/>
            <w:shd w:val="clear" w:color="auto" w:fill="FFFFFF"/>
          </w:tcPr>
          <w:p w14:paraId="4CB0EC46" w14:textId="77777777" w:rsidR="00B2304E" w:rsidRPr="00F10A07" w:rsidRDefault="00B2304E" w:rsidP="00310FD8">
            <w:pPr>
              <w:rPr>
                <w:rFonts w:ascii="Century Gothic" w:hAnsi="Century Gothic"/>
                <w:szCs w:val="22"/>
              </w:rPr>
            </w:pPr>
            <w:r w:rsidRPr="00F10A07">
              <w:rPr>
                <w:rFonts w:ascii="Century Gothic" w:hAnsi="Century Gothic"/>
                <w:szCs w:val="22"/>
              </w:rPr>
              <w:t>$50</w:t>
            </w:r>
          </w:p>
        </w:tc>
        <w:tc>
          <w:tcPr>
            <w:tcW w:w="630" w:type="dxa"/>
            <w:shd w:val="clear" w:color="auto" w:fill="FFFFFF"/>
          </w:tcPr>
          <w:p w14:paraId="3A650CFA" w14:textId="77777777" w:rsidR="00B2304E" w:rsidRPr="00F10A07" w:rsidRDefault="00B2304E" w:rsidP="00310FD8">
            <w:pPr>
              <w:rPr>
                <w:rFonts w:ascii="Century Gothic" w:hAnsi="Century Gothic"/>
                <w:szCs w:val="22"/>
              </w:rPr>
            </w:pPr>
          </w:p>
        </w:tc>
        <w:tc>
          <w:tcPr>
            <w:tcW w:w="1673" w:type="dxa"/>
            <w:shd w:val="clear" w:color="auto" w:fill="FFFFFF"/>
          </w:tcPr>
          <w:p w14:paraId="51AF9A9A" w14:textId="77777777" w:rsidR="00B2304E" w:rsidRPr="00F10A07" w:rsidRDefault="00B2304E" w:rsidP="00310FD8">
            <w:pPr>
              <w:rPr>
                <w:rFonts w:ascii="Century Gothic" w:hAnsi="Century Gothic"/>
                <w:szCs w:val="22"/>
              </w:rPr>
            </w:pPr>
            <w:r w:rsidRPr="00F10A07">
              <w:rPr>
                <w:rFonts w:ascii="Century Gothic" w:hAnsi="Century Gothic"/>
                <w:szCs w:val="22"/>
              </w:rPr>
              <w:t>$36,500</w:t>
            </w:r>
          </w:p>
        </w:tc>
        <w:tc>
          <w:tcPr>
            <w:tcW w:w="1297" w:type="dxa"/>
            <w:shd w:val="clear" w:color="auto" w:fill="FFFFFF"/>
          </w:tcPr>
          <w:p w14:paraId="58CAE03C" w14:textId="77777777" w:rsidR="00B2304E" w:rsidRPr="00F10A07" w:rsidRDefault="00B2304E" w:rsidP="00310FD8">
            <w:pPr>
              <w:rPr>
                <w:rFonts w:ascii="Century Gothic" w:hAnsi="Century Gothic"/>
                <w:szCs w:val="22"/>
              </w:rPr>
            </w:pPr>
            <w:r w:rsidRPr="00F10A07">
              <w:rPr>
                <w:rFonts w:ascii="Century Gothic" w:hAnsi="Century Gothic"/>
                <w:szCs w:val="22"/>
              </w:rPr>
              <w:t>$37,499</w:t>
            </w:r>
          </w:p>
        </w:tc>
        <w:tc>
          <w:tcPr>
            <w:tcW w:w="1297" w:type="dxa"/>
            <w:shd w:val="clear" w:color="auto" w:fill="FFFFFF"/>
          </w:tcPr>
          <w:p w14:paraId="7A0932EA" w14:textId="77777777" w:rsidR="00B2304E" w:rsidRPr="00F10A07" w:rsidRDefault="00B2304E" w:rsidP="00310FD8">
            <w:pPr>
              <w:rPr>
                <w:rFonts w:ascii="Century Gothic" w:hAnsi="Century Gothic"/>
                <w:szCs w:val="22"/>
              </w:rPr>
            </w:pPr>
            <w:r w:rsidRPr="00F10A07">
              <w:rPr>
                <w:rFonts w:ascii="Century Gothic" w:hAnsi="Century Gothic"/>
                <w:szCs w:val="22"/>
              </w:rPr>
              <w:t>$867</w:t>
            </w:r>
          </w:p>
        </w:tc>
      </w:tr>
      <w:tr w:rsidR="00B2304E" w:rsidRPr="006D6566" w14:paraId="22531A89" w14:textId="77777777" w:rsidTr="00310FD8">
        <w:trPr>
          <w:trHeight w:val="330"/>
        </w:trPr>
        <w:tc>
          <w:tcPr>
            <w:tcW w:w="1422" w:type="dxa"/>
            <w:shd w:val="clear" w:color="auto" w:fill="FFFFFF"/>
          </w:tcPr>
          <w:p w14:paraId="036D83D2" w14:textId="77777777" w:rsidR="00B2304E" w:rsidRPr="00F10A07" w:rsidRDefault="00B2304E" w:rsidP="00310FD8">
            <w:pPr>
              <w:rPr>
                <w:rFonts w:ascii="Century Gothic" w:hAnsi="Century Gothic"/>
                <w:szCs w:val="22"/>
              </w:rPr>
            </w:pPr>
            <w:r w:rsidRPr="00F10A07">
              <w:rPr>
                <w:rFonts w:ascii="Century Gothic" w:hAnsi="Century Gothic"/>
                <w:szCs w:val="22"/>
              </w:rPr>
              <w:t xml:space="preserve">$2,500 </w:t>
            </w:r>
          </w:p>
        </w:tc>
        <w:tc>
          <w:tcPr>
            <w:tcW w:w="1170" w:type="dxa"/>
            <w:shd w:val="clear" w:color="auto" w:fill="FFFFFF"/>
          </w:tcPr>
          <w:p w14:paraId="1B66CCE2" w14:textId="77777777" w:rsidR="00B2304E" w:rsidRPr="00F10A07" w:rsidRDefault="00B2304E" w:rsidP="00310FD8">
            <w:pPr>
              <w:rPr>
                <w:rFonts w:ascii="Century Gothic" w:hAnsi="Century Gothic"/>
                <w:szCs w:val="22"/>
              </w:rPr>
            </w:pPr>
            <w:r w:rsidRPr="00F10A07">
              <w:rPr>
                <w:rFonts w:ascii="Century Gothic" w:hAnsi="Century Gothic"/>
                <w:szCs w:val="22"/>
              </w:rPr>
              <w:t xml:space="preserve">$3,499 </w:t>
            </w:r>
          </w:p>
        </w:tc>
        <w:tc>
          <w:tcPr>
            <w:tcW w:w="2070" w:type="dxa"/>
            <w:shd w:val="clear" w:color="auto" w:fill="FFFFFF"/>
          </w:tcPr>
          <w:p w14:paraId="51CEB96A" w14:textId="77777777" w:rsidR="00B2304E" w:rsidRPr="00F10A07" w:rsidRDefault="00B2304E" w:rsidP="00310FD8">
            <w:pPr>
              <w:rPr>
                <w:rFonts w:ascii="Century Gothic" w:hAnsi="Century Gothic"/>
                <w:szCs w:val="22"/>
              </w:rPr>
            </w:pPr>
            <w:r w:rsidRPr="00F10A07">
              <w:rPr>
                <w:rFonts w:ascii="Century Gothic" w:hAnsi="Century Gothic"/>
                <w:szCs w:val="22"/>
              </w:rPr>
              <w:t xml:space="preserve">$59 </w:t>
            </w:r>
          </w:p>
        </w:tc>
        <w:tc>
          <w:tcPr>
            <w:tcW w:w="630" w:type="dxa"/>
            <w:shd w:val="clear" w:color="auto" w:fill="FFFFFF"/>
          </w:tcPr>
          <w:p w14:paraId="02AC0402" w14:textId="77777777" w:rsidR="00B2304E" w:rsidRPr="00F10A07" w:rsidRDefault="00B2304E" w:rsidP="00310FD8">
            <w:pPr>
              <w:rPr>
                <w:rFonts w:ascii="Century Gothic" w:hAnsi="Century Gothic"/>
                <w:szCs w:val="22"/>
              </w:rPr>
            </w:pPr>
          </w:p>
        </w:tc>
        <w:tc>
          <w:tcPr>
            <w:tcW w:w="1673" w:type="dxa"/>
            <w:shd w:val="clear" w:color="auto" w:fill="FFFFFF"/>
          </w:tcPr>
          <w:p w14:paraId="1C2274CE" w14:textId="77777777" w:rsidR="00B2304E" w:rsidRPr="00F10A07" w:rsidRDefault="00B2304E" w:rsidP="00310FD8">
            <w:pPr>
              <w:rPr>
                <w:rFonts w:ascii="Century Gothic" w:hAnsi="Century Gothic"/>
                <w:szCs w:val="22"/>
              </w:rPr>
            </w:pPr>
            <w:r w:rsidRPr="00F10A07">
              <w:rPr>
                <w:rFonts w:ascii="Century Gothic" w:hAnsi="Century Gothic"/>
                <w:szCs w:val="22"/>
              </w:rPr>
              <w:t>$37,500</w:t>
            </w:r>
          </w:p>
        </w:tc>
        <w:tc>
          <w:tcPr>
            <w:tcW w:w="1297" w:type="dxa"/>
            <w:shd w:val="clear" w:color="auto" w:fill="FFFFFF"/>
          </w:tcPr>
          <w:p w14:paraId="70E7BF87" w14:textId="77777777" w:rsidR="00B2304E" w:rsidRPr="00F10A07" w:rsidRDefault="00B2304E" w:rsidP="00310FD8">
            <w:pPr>
              <w:rPr>
                <w:rFonts w:ascii="Century Gothic" w:hAnsi="Century Gothic"/>
                <w:szCs w:val="22"/>
              </w:rPr>
            </w:pPr>
            <w:r w:rsidRPr="00F10A07">
              <w:rPr>
                <w:rFonts w:ascii="Century Gothic" w:hAnsi="Century Gothic"/>
                <w:szCs w:val="22"/>
              </w:rPr>
              <w:t>$38,499</w:t>
            </w:r>
          </w:p>
        </w:tc>
        <w:tc>
          <w:tcPr>
            <w:tcW w:w="1297" w:type="dxa"/>
            <w:shd w:val="clear" w:color="auto" w:fill="FFFFFF"/>
          </w:tcPr>
          <w:p w14:paraId="05AB93D6" w14:textId="77777777" w:rsidR="00B2304E" w:rsidRPr="00F10A07" w:rsidRDefault="00B2304E" w:rsidP="00310FD8">
            <w:pPr>
              <w:rPr>
                <w:rFonts w:ascii="Century Gothic" w:hAnsi="Century Gothic"/>
                <w:szCs w:val="22"/>
              </w:rPr>
            </w:pPr>
            <w:r w:rsidRPr="00F10A07">
              <w:rPr>
                <w:rFonts w:ascii="Century Gothic" w:hAnsi="Century Gothic"/>
                <w:szCs w:val="22"/>
              </w:rPr>
              <w:t>$891</w:t>
            </w:r>
          </w:p>
        </w:tc>
      </w:tr>
      <w:tr w:rsidR="00B2304E" w:rsidRPr="006D6566" w14:paraId="637CFB5B" w14:textId="77777777" w:rsidTr="00310FD8">
        <w:trPr>
          <w:trHeight w:val="330"/>
        </w:trPr>
        <w:tc>
          <w:tcPr>
            <w:tcW w:w="1422" w:type="dxa"/>
            <w:shd w:val="clear" w:color="auto" w:fill="FFFFFF"/>
          </w:tcPr>
          <w:p w14:paraId="692DD089"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$3,500 </w:t>
            </w:r>
          </w:p>
        </w:tc>
        <w:tc>
          <w:tcPr>
            <w:tcW w:w="1170" w:type="dxa"/>
            <w:shd w:val="clear" w:color="auto" w:fill="FFFFFF"/>
          </w:tcPr>
          <w:p w14:paraId="1DA5FEA6"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$4,499 </w:t>
            </w:r>
          </w:p>
        </w:tc>
        <w:tc>
          <w:tcPr>
            <w:tcW w:w="2070" w:type="dxa"/>
            <w:shd w:val="clear" w:color="auto" w:fill="FFFFFF"/>
          </w:tcPr>
          <w:p w14:paraId="0426E8D8"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$83 </w:t>
            </w:r>
          </w:p>
        </w:tc>
        <w:tc>
          <w:tcPr>
            <w:tcW w:w="630" w:type="dxa"/>
            <w:shd w:val="clear" w:color="auto" w:fill="FFFFFF"/>
          </w:tcPr>
          <w:p w14:paraId="63BF6555" w14:textId="77777777" w:rsidR="00B2304E" w:rsidRPr="00493920" w:rsidRDefault="00B2304E" w:rsidP="00310FD8">
            <w:pPr>
              <w:rPr>
                <w:rFonts w:ascii="Century Gothic" w:hAnsi="Century Gothic"/>
                <w:szCs w:val="22"/>
              </w:rPr>
            </w:pPr>
          </w:p>
        </w:tc>
        <w:tc>
          <w:tcPr>
            <w:tcW w:w="1673" w:type="dxa"/>
            <w:shd w:val="clear" w:color="auto" w:fill="FFFFFF"/>
          </w:tcPr>
          <w:p w14:paraId="409F56EE" w14:textId="77777777" w:rsidR="00B2304E" w:rsidRPr="00493920" w:rsidRDefault="00B2304E" w:rsidP="00310FD8">
            <w:pPr>
              <w:rPr>
                <w:rFonts w:ascii="Century Gothic" w:hAnsi="Century Gothic"/>
                <w:szCs w:val="22"/>
              </w:rPr>
            </w:pPr>
            <w:r w:rsidRPr="00493920">
              <w:rPr>
                <w:rFonts w:ascii="Century Gothic" w:hAnsi="Century Gothic"/>
                <w:szCs w:val="22"/>
              </w:rPr>
              <w:t>$38,500</w:t>
            </w:r>
          </w:p>
        </w:tc>
        <w:tc>
          <w:tcPr>
            <w:tcW w:w="1297" w:type="dxa"/>
            <w:shd w:val="clear" w:color="auto" w:fill="FFFFFF"/>
          </w:tcPr>
          <w:p w14:paraId="3BD6B543" w14:textId="77777777" w:rsidR="00B2304E" w:rsidRPr="00493920" w:rsidRDefault="00B2304E" w:rsidP="00310FD8">
            <w:pPr>
              <w:rPr>
                <w:rFonts w:ascii="Century Gothic" w:hAnsi="Century Gothic"/>
                <w:szCs w:val="22"/>
              </w:rPr>
            </w:pPr>
            <w:r w:rsidRPr="00493920">
              <w:rPr>
                <w:rFonts w:ascii="Century Gothic" w:hAnsi="Century Gothic"/>
                <w:szCs w:val="22"/>
              </w:rPr>
              <w:t>$39,499</w:t>
            </w:r>
          </w:p>
        </w:tc>
        <w:tc>
          <w:tcPr>
            <w:tcW w:w="1297" w:type="dxa"/>
            <w:shd w:val="clear" w:color="auto" w:fill="FFFFFF"/>
          </w:tcPr>
          <w:p w14:paraId="36F4AC26" w14:textId="77777777" w:rsidR="00B2304E" w:rsidRPr="00493920" w:rsidRDefault="00B2304E" w:rsidP="00310FD8">
            <w:pPr>
              <w:rPr>
                <w:rFonts w:ascii="Century Gothic" w:hAnsi="Century Gothic"/>
                <w:szCs w:val="22"/>
              </w:rPr>
            </w:pPr>
            <w:r w:rsidRPr="00493920">
              <w:rPr>
                <w:rFonts w:ascii="Century Gothic" w:hAnsi="Century Gothic"/>
                <w:szCs w:val="22"/>
              </w:rPr>
              <w:t>$914</w:t>
            </w:r>
          </w:p>
        </w:tc>
      </w:tr>
      <w:tr w:rsidR="00B2304E" w:rsidRPr="006D6566" w14:paraId="05FC7439" w14:textId="77777777" w:rsidTr="00310FD8">
        <w:trPr>
          <w:trHeight w:val="330"/>
        </w:trPr>
        <w:tc>
          <w:tcPr>
            <w:tcW w:w="1422" w:type="dxa"/>
            <w:shd w:val="clear" w:color="auto" w:fill="FFFFFF"/>
          </w:tcPr>
          <w:p w14:paraId="4CC3ABD2"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$4,500 </w:t>
            </w:r>
          </w:p>
        </w:tc>
        <w:tc>
          <w:tcPr>
            <w:tcW w:w="1170" w:type="dxa"/>
            <w:shd w:val="clear" w:color="auto" w:fill="FFFFFF"/>
          </w:tcPr>
          <w:p w14:paraId="09A3885C"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$5,499 </w:t>
            </w:r>
          </w:p>
        </w:tc>
        <w:tc>
          <w:tcPr>
            <w:tcW w:w="2070" w:type="dxa"/>
            <w:shd w:val="clear" w:color="auto" w:fill="FFFFFF"/>
          </w:tcPr>
          <w:p w14:paraId="61B2E891"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$107 </w:t>
            </w:r>
          </w:p>
        </w:tc>
        <w:tc>
          <w:tcPr>
            <w:tcW w:w="630" w:type="dxa"/>
            <w:shd w:val="clear" w:color="auto" w:fill="FFFFFF"/>
          </w:tcPr>
          <w:p w14:paraId="2790F6E4" w14:textId="77777777" w:rsidR="00B2304E" w:rsidRPr="00493920" w:rsidRDefault="00B2304E" w:rsidP="00310FD8">
            <w:pPr>
              <w:rPr>
                <w:rFonts w:ascii="Century Gothic" w:hAnsi="Century Gothic"/>
                <w:szCs w:val="22"/>
              </w:rPr>
            </w:pPr>
          </w:p>
        </w:tc>
        <w:tc>
          <w:tcPr>
            <w:tcW w:w="1673" w:type="dxa"/>
            <w:shd w:val="clear" w:color="auto" w:fill="FFFFFF"/>
          </w:tcPr>
          <w:p w14:paraId="7F5C5819" w14:textId="77777777" w:rsidR="00B2304E" w:rsidRPr="00493920" w:rsidRDefault="00B2304E" w:rsidP="00310FD8">
            <w:pPr>
              <w:rPr>
                <w:rFonts w:ascii="Century Gothic" w:hAnsi="Century Gothic"/>
                <w:szCs w:val="22"/>
              </w:rPr>
            </w:pPr>
            <w:r w:rsidRPr="00493920">
              <w:rPr>
                <w:rFonts w:ascii="Century Gothic" w:hAnsi="Century Gothic"/>
                <w:szCs w:val="22"/>
              </w:rPr>
              <w:t>$39,500</w:t>
            </w:r>
          </w:p>
        </w:tc>
        <w:tc>
          <w:tcPr>
            <w:tcW w:w="1297" w:type="dxa"/>
            <w:shd w:val="clear" w:color="auto" w:fill="FFFFFF"/>
          </w:tcPr>
          <w:p w14:paraId="14ACBE08" w14:textId="77777777" w:rsidR="00B2304E" w:rsidRPr="00493920" w:rsidRDefault="00B2304E" w:rsidP="00310FD8">
            <w:pPr>
              <w:rPr>
                <w:rFonts w:ascii="Century Gothic" w:hAnsi="Century Gothic"/>
                <w:szCs w:val="22"/>
              </w:rPr>
            </w:pPr>
            <w:r w:rsidRPr="00493920">
              <w:rPr>
                <w:rFonts w:ascii="Century Gothic" w:hAnsi="Century Gothic"/>
                <w:szCs w:val="22"/>
              </w:rPr>
              <w:t>$40,499</w:t>
            </w:r>
          </w:p>
        </w:tc>
        <w:tc>
          <w:tcPr>
            <w:tcW w:w="1297" w:type="dxa"/>
            <w:shd w:val="clear" w:color="auto" w:fill="FFFFFF"/>
          </w:tcPr>
          <w:p w14:paraId="4202F1A1" w14:textId="77777777" w:rsidR="00B2304E" w:rsidRPr="00493920" w:rsidRDefault="00B2304E" w:rsidP="00310FD8">
            <w:pPr>
              <w:rPr>
                <w:rFonts w:ascii="Century Gothic" w:hAnsi="Century Gothic"/>
                <w:szCs w:val="22"/>
              </w:rPr>
            </w:pPr>
            <w:r w:rsidRPr="00493920">
              <w:rPr>
                <w:rFonts w:ascii="Century Gothic" w:hAnsi="Century Gothic"/>
                <w:szCs w:val="22"/>
              </w:rPr>
              <w:t>$938</w:t>
            </w:r>
          </w:p>
        </w:tc>
      </w:tr>
      <w:tr w:rsidR="00B2304E" w:rsidRPr="006D6566" w14:paraId="25FC43B3" w14:textId="77777777" w:rsidTr="00310FD8">
        <w:trPr>
          <w:trHeight w:val="330"/>
        </w:trPr>
        <w:tc>
          <w:tcPr>
            <w:tcW w:w="1422" w:type="dxa"/>
            <w:shd w:val="clear" w:color="auto" w:fill="FFFFFF"/>
          </w:tcPr>
          <w:p w14:paraId="4103742A"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$5,500 </w:t>
            </w:r>
          </w:p>
        </w:tc>
        <w:tc>
          <w:tcPr>
            <w:tcW w:w="1170" w:type="dxa"/>
            <w:shd w:val="clear" w:color="auto" w:fill="FFFFFF"/>
          </w:tcPr>
          <w:p w14:paraId="3C8C57B5"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$6,499 </w:t>
            </w:r>
          </w:p>
        </w:tc>
        <w:tc>
          <w:tcPr>
            <w:tcW w:w="2070" w:type="dxa"/>
            <w:shd w:val="clear" w:color="auto" w:fill="FFFFFF"/>
          </w:tcPr>
          <w:p w14:paraId="6F0D9C88"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$131 </w:t>
            </w:r>
          </w:p>
        </w:tc>
        <w:tc>
          <w:tcPr>
            <w:tcW w:w="630" w:type="dxa"/>
            <w:shd w:val="clear" w:color="auto" w:fill="FFFFFF"/>
          </w:tcPr>
          <w:p w14:paraId="783B0F2E" w14:textId="77777777" w:rsidR="00B2304E" w:rsidRPr="00493920" w:rsidRDefault="00B2304E" w:rsidP="00310FD8">
            <w:pPr>
              <w:rPr>
                <w:rFonts w:ascii="Century Gothic" w:hAnsi="Century Gothic"/>
                <w:szCs w:val="22"/>
              </w:rPr>
            </w:pPr>
          </w:p>
        </w:tc>
        <w:tc>
          <w:tcPr>
            <w:tcW w:w="1673" w:type="dxa"/>
            <w:shd w:val="clear" w:color="auto" w:fill="FFFFFF"/>
          </w:tcPr>
          <w:p w14:paraId="0CC248A2" w14:textId="77777777" w:rsidR="00B2304E" w:rsidRPr="00493920" w:rsidRDefault="00B2304E" w:rsidP="00310FD8">
            <w:pPr>
              <w:rPr>
                <w:rFonts w:ascii="Century Gothic" w:hAnsi="Century Gothic"/>
                <w:szCs w:val="22"/>
              </w:rPr>
            </w:pPr>
            <w:r w:rsidRPr="00493920">
              <w:rPr>
                <w:rFonts w:ascii="Century Gothic" w:hAnsi="Century Gothic"/>
                <w:szCs w:val="22"/>
              </w:rPr>
              <w:t>$40,500</w:t>
            </w:r>
          </w:p>
        </w:tc>
        <w:tc>
          <w:tcPr>
            <w:tcW w:w="1297" w:type="dxa"/>
            <w:shd w:val="clear" w:color="auto" w:fill="FFFFFF"/>
          </w:tcPr>
          <w:p w14:paraId="14691824" w14:textId="77777777" w:rsidR="00B2304E" w:rsidRPr="00493920" w:rsidRDefault="00B2304E" w:rsidP="00310FD8">
            <w:pPr>
              <w:rPr>
                <w:rFonts w:ascii="Century Gothic" w:hAnsi="Century Gothic"/>
                <w:szCs w:val="22"/>
              </w:rPr>
            </w:pPr>
            <w:r w:rsidRPr="00493920">
              <w:rPr>
                <w:rFonts w:ascii="Century Gothic" w:hAnsi="Century Gothic"/>
                <w:szCs w:val="22"/>
              </w:rPr>
              <w:t>$41,499</w:t>
            </w:r>
          </w:p>
        </w:tc>
        <w:tc>
          <w:tcPr>
            <w:tcW w:w="1297" w:type="dxa"/>
            <w:shd w:val="clear" w:color="auto" w:fill="FFFFFF"/>
          </w:tcPr>
          <w:p w14:paraId="1ECFD3C7" w14:textId="77777777" w:rsidR="00B2304E" w:rsidRPr="00493920" w:rsidRDefault="00B2304E" w:rsidP="00310FD8">
            <w:pPr>
              <w:rPr>
                <w:rFonts w:ascii="Century Gothic" w:hAnsi="Century Gothic"/>
                <w:szCs w:val="22"/>
              </w:rPr>
            </w:pPr>
            <w:r w:rsidRPr="00493920">
              <w:rPr>
                <w:rFonts w:ascii="Century Gothic" w:hAnsi="Century Gothic"/>
                <w:szCs w:val="22"/>
              </w:rPr>
              <w:t>$962</w:t>
            </w:r>
          </w:p>
        </w:tc>
      </w:tr>
      <w:tr w:rsidR="00B2304E" w:rsidRPr="006D6566" w14:paraId="21F0D275" w14:textId="77777777" w:rsidTr="00310FD8">
        <w:trPr>
          <w:trHeight w:val="330"/>
        </w:trPr>
        <w:tc>
          <w:tcPr>
            <w:tcW w:w="1422" w:type="dxa"/>
            <w:shd w:val="clear" w:color="auto" w:fill="FFFFFF"/>
          </w:tcPr>
          <w:p w14:paraId="59BDEBAA"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$6,500 </w:t>
            </w:r>
          </w:p>
        </w:tc>
        <w:tc>
          <w:tcPr>
            <w:tcW w:w="1170" w:type="dxa"/>
            <w:shd w:val="clear" w:color="auto" w:fill="FFFFFF"/>
          </w:tcPr>
          <w:p w14:paraId="6606B717"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$7,499 </w:t>
            </w:r>
          </w:p>
        </w:tc>
        <w:tc>
          <w:tcPr>
            <w:tcW w:w="2070" w:type="dxa"/>
            <w:shd w:val="clear" w:color="auto" w:fill="FFFFFF"/>
          </w:tcPr>
          <w:p w14:paraId="2AAAE17F"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$154 </w:t>
            </w:r>
          </w:p>
        </w:tc>
        <w:tc>
          <w:tcPr>
            <w:tcW w:w="630" w:type="dxa"/>
            <w:shd w:val="clear" w:color="auto" w:fill="FFFFFF"/>
          </w:tcPr>
          <w:p w14:paraId="78998D70" w14:textId="77777777" w:rsidR="00B2304E" w:rsidRPr="00493920" w:rsidRDefault="00B2304E" w:rsidP="00310FD8">
            <w:pPr>
              <w:rPr>
                <w:rFonts w:ascii="Century Gothic" w:hAnsi="Century Gothic"/>
                <w:szCs w:val="22"/>
              </w:rPr>
            </w:pPr>
          </w:p>
        </w:tc>
        <w:tc>
          <w:tcPr>
            <w:tcW w:w="1673" w:type="dxa"/>
            <w:shd w:val="clear" w:color="auto" w:fill="FFFFFF"/>
          </w:tcPr>
          <w:p w14:paraId="35D40CC1" w14:textId="77777777" w:rsidR="00B2304E" w:rsidRPr="00493920" w:rsidRDefault="00B2304E" w:rsidP="00310FD8">
            <w:pPr>
              <w:rPr>
                <w:rFonts w:ascii="Century Gothic" w:hAnsi="Century Gothic"/>
                <w:szCs w:val="22"/>
              </w:rPr>
            </w:pPr>
            <w:r w:rsidRPr="00493920">
              <w:rPr>
                <w:rFonts w:ascii="Century Gothic" w:hAnsi="Century Gothic"/>
                <w:szCs w:val="22"/>
              </w:rPr>
              <w:t>$41,500</w:t>
            </w:r>
          </w:p>
        </w:tc>
        <w:tc>
          <w:tcPr>
            <w:tcW w:w="1297" w:type="dxa"/>
            <w:shd w:val="clear" w:color="auto" w:fill="FFFFFF"/>
          </w:tcPr>
          <w:p w14:paraId="22FA26C0" w14:textId="77777777" w:rsidR="00B2304E" w:rsidRPr="00493920" w:rsidRDefault="00B2304E" w:rsidP="00310FD8">
            <w:pPr>
              <w:rPr>
                <w:rFonts w:ascii="Century Gothic" w:hAnsi="Century Gothic"/>
                <w:szCs w:val="22"/>
              </w:rPr>
            </w:pPr>
            <w:r w:rsidRPr="00493920">
              <w:rPr>
                <w:rFonts w:ascii="Century Gothic" w:hAnsi="Century Gothic"/>
                <w:szCs w:val="22"/>
              </w:rPr>
              <w:t>$42,499</w:t>
            </w:r>
          </w:p>
        </w:tc>
        <w:tc>
          <w:tcPr>
            <w:tcW w:w="1297" w:type="dxa"/>
            <w:shd w:val="clear" w:color="auto" w:fill="FFFFFF"/>
          </w:tcPr>
          <w:p w14:paraId="71AD5708" w14:textId="77777777" w:rsidR="00B2304E" w:rsidRPr="00493920" w:rsidRDefault="00B2304E" w:rsidP="00310FD8">
            <w:pPr>
              <w:rPr>
                <w:rFonts w:ascii="Century Gothic" w:hAnsi="Century Gothic"/>
                <w:szCs w:val="22"/>
              </w:rPr>
            </w:pPr>
            <w:r w:rsidRPr="00493920">
              <w:rPr>
                <w:rFonts w:ascii="Century Gothic" w:hAnsi="Century Gothic"/>
                <w:szCs w:val="22"/>
              </w:rPr>
              <w:t>$986</w:t>
            </w:r>
          </w:p>
        </w:tc>
      </w:tr>
      <w:tr w:rsidR="00B2304E" w:rsidRPr="006D6566" w14:paraId="56D461A3" w14:textId="77777777" w:rsidTr="00310FD8">
        <w:trPr>
          <w:trHeight w:val="330"/>
        </w:trPr>
        <w:tc>
          <w:tcPr>
            <w:tcW w:w="1422" w:type="dxa"/>
            <w:shd w:val="clear" w:color="auto" w:fill="FFFFFF"/>
          </w:tcPr>
          <w:p w14:paraId="2EC6926B"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$7,500 </w:t>
            </w:r>
          </w:p>
        </w:tc>
        <w:tc>
          <w:tcPr>
            <w:tcW w:w="1170" w:type="dxa"/>
            <w:shd w:val="clear" w:color="auto" w:fill="FFFFFF"/>
          </w:tcPr>
          <w:p w14:paraId="12EBEA64"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$8,499 </w:t>
            </w:r>
          </w:p>
        </w:tc>
        <w:tc>
          <w:tcPr>
            <w:tcW w:w="2070" w:type="dxa"/>
            <w:shd w:val="clear" w:color="auto" w:fill="FFFFFF"/>
          </w:tcPr>
          <w:p w14:paraId="7F8BB7CB"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$178 </w:t>
            </w:r>
          </w:p>
        </w:tc>
        <w:tc>
          <w:tcPr>
            <w:tcW w:w="630" w:type="dxa"/>
            <w:shd w:val="clear" w:color="auto" w:fill="FFFFFF"/>
          </w:tcPr>
          <w:p w14:paraId="2E16F32A" w14:textId="77777777" w:rsidR="00B2304E" w:rsidRPr="00493920" w:rsidRDefault="00B2304E" w:rsidP="00310FD8">
            <w:pPr>
              <w:rPr>
                <w:rFonts w:ascii="Century Gothic" w:hAnsi="Century Gothic"/>
                <w:szCs w:val="22"/>
              </w:rPr>
            </w:pPr>
          </w:p>
        </w:tc>
        <w:tc>
          <w:tcPr>
            <w:tcW w:w="1673" w:type="dxa"/>
            <w:shd w:val="clear" w:color="auto" w:fill="FFFFFF"/>
          </w:tcPr>
          <w:p w14:paraId="417B5505" w14:textId="77777777" w:rsidR="00B2304E" w:rsidRPr="00493920" w:rsidRDefault="00B2304E" w:rsidP="00310FD8">
            <w:pPr>
              <w:rPr>
                <w:rFonts w:ascii="Century Gothic" w:hAnsi="Century Gothic"/>
                <w:szCs w:val="22"/>
              </w:rPr>
            </w:pPr>
            <w:r w:rsidRPr="00493920">
              <w:rPr>
                <w:rFonts w:ascii="Century Gothic" w:hAnsi="Century Gothic"/>
                <w:szCs w:val="22"/>
              </w:rPr>
              <w:t>$42,500</w:t>
            </w:r>
          </w:p>
        </w:tc>
        <w:tc>
          <w:tcPr>
            <w:tcW w:w="1297" w:type="dxa"/>
            <w:shd w:val="clear" w:color="auto" w:fill="FFFFFF"/>
          </w:tcPr>
          <w:p w14:paraId="33797496" w14:textId="77777777" w:rsidR="00B2304E" w:rsidRPr="00493920" w:rsidRDefault="00B2304E" w:rsidP="00310FD8">
            <w:pPr>
              <w:rPr>
                <w:rFonts w:ascii="Century Gothic" w:hAnsi="Century Gothic"/>
                <w:szCs w:val="22"/>
              </w:rPr>
            </w:pPr>
            <w:r w:rsidRPr="00493920">
              <w:rPr>
                <w:rFonts w:ascii="Century Gothic" w:hAnsi="Century Gothic"/>
                <w:szCs w:val="22"/>
              </w:rPr>
              <w:t>$43,499</w:t>
            </w:r>
          </w:p>
        </w:tc>
        <w:tc>
          <w:tcPr>
            <w:tcW w:w="1297" w:type="dxa"/>
            <w:shd w:val="clear" w:color="auto" w:fill="FFFFFF"/>
          </w:tcPr>
          <w:p w14:paraId="557A7B2D" w14:textId="77777777" w:rsidR="00B2304E" w:rsidRPr="00493920" w:rsidRDefault="00B2304E" w:rsidP="00310FD8">
            <w:pPr>
              <w:rPr>
                <w:rFonts w:ascii="Century Gothic" w:hAnsi="Century Gothic"/>
                <w:szCs w:val="22"/>
              </w:rPr>
            </w:pPr>
            <w:r w:rsidRPr="00493920">
              <w:rPr>
                <w:rFonts w:ascii="Century Gothic" w:hAnsi="Century Gothic"/>
                <w:szCs w:val="22"/>
              </w:rPr>
              <w:t>$1,009</w:t>
            </w:r>
          </w:p>
        </w:tc>
      </w:tr>
      <w:tr w:rsidR="00B2304E" w:rsidRPr="006D6566" w14:paraId="4D64E83F" w14:textId="77777777" w:rsidTr="00310FD8">
        <w:trPr>
          <w:trHeight w:val="330"/>
        </w:trPr>
        <w:tc>
          <w:tcPr>
            <w:tcW w:w="1422" w:type="dxa"/>
            <w:shd w:val="clear" w:color="auto" w:fill="FFFFFF"/>
          </w:tcPr>
          <w:p w14:paraId="2CB28075"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$8,500 </w:t>
            </w:r>
          </w:p>
        </w:tc>
        <w:tc>
          <w:tcPr>
            <w:tcW w:w="1170" w:type="dxa"/>
            <w:shd w:val="clear" w:color="auto" w:fill="FFFFFF"/>
          </w:tcPr>
          <w:p w14:paraId="56F6E4F7"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$9,499 </w:t>
            </w:r>
          </w:p>
        </w:tc>
        <w:tc>
          <w:tcPr>
            <w:tcW w:w="2070" w:type="dxa"/>
            <w:shd w:val="clear" w:color="auto" w:fill="FFFFFF"/>
          </w:tcPr>
          <w:p w14:paraId="58BAB71D"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$202 </w:t>
            </w:r>
          </w:p>
        </w:tc>
        <w:tc>
          <w:tcPr>
            <w:tcW w:w="630" w:type="dxa"/>
            <w:shd w:val="clear" w:color="auto" w:fill="FFFFFF"/>
          </w:tcPr>
          <w:p w14:paraId="0E0FB625" w14:textId="77777777" w:rsidR="00B2304E" w:rsidRPr="00493920" w:rsidRDefault="00B2304E" w:rsidP="00310FD8">
            <w:pPr>
              <w:rPr>
                <w:rFonts w:ascii="Century Gothic" w:hAnsi="Century Gothic"/>
                <w:szCs w:val="22"/>
              </w:rPr>
            </w:pPr>
          </w:p>
        </w:tc>
        <w:tc>
          <w:tcPr>
            <w:tcW w:w="1673" w:type="dxa"/>
            <w:shd w:val="clear" w:color="auto" w:fill="FFFFFF"/>
          </w:tcPr>
          <w:p w14:paraId="0BCB5E6B" w14:textId="77777777" w:rsidR="00B2304E" w:rsidRPr="00493920" w:rsidRDefault="00B2304E" w:rsidP="00310FD8">
            <w:pPr>
              <w:rPr>
                <w:rFonts w:ascii="Century Gothic" w:hAnsi="Century Gothic"/>
                <w:szCs w:val="22"/>
              </w:rPr>
            </w:pPr>
            <w:r w:rsidRPr="00493920">
              <w:rPr>
                <w:rFonts w:ascii="Century Gothic" w:hAnsi="Century Gothic"/>
                <w:szCs w:val="22"/>
              </w:rPr>
              <w:t>$43,500</w:t>
            </w:r>
          </w:p>
        </w:tc>
        <w:tc>
          <w:tcPr>
            <w:tcW w:w="1297" w:type="dxa"/>
            <w:shd w:val="clear" w:color="auto" w:fill="FFFFFF"/>
          </w:tcPr>
          <w:p w14:paraId="13F1F276" w14:textId="77777777" w:rsidR="00B2304E" w:rsidRPr="00493920" w:rsidRDefault="00B2304E" w:rsidP="00310FD8">
            <w:pPr>
              <w:rPr>
                <w:rFonts w:ascii="Century Gothic" w:hAnsi="Century Gothic"/>
                <w:szCs w:val="22"/>
              </w:rPr>
            </w:pPr>
            <w:r w:rsidRPr="00493920">
              <w:rPr>
                <w:rFonts w:ascii="Century Gothic" w:hAnsi="Century Gothic"/>
                <w:szCs w:val="22"/>
              </w:rPr>
              <w:t>$44,499</w:t>
            </w:r>
          </w:p>
        </w:tc>
        <w:tc>
          <w:tcPr>
            <w:tcW w:w="1297" w:type="dxa"/>
            <w:shd w:val="clear" w:color="auto" w:fill="FFFFFF"/>
          </w:tcPr>
          <w:p w14:paraId="43EF4633" w14:textId="77777777" w:rsidR="00B2304E" w:rsidRPr="00493920" w:rsidRDefault="00B2304E" w:rsidP="00310FD8">
            <w:pPr>
              <w:rPr>
                <w:rFonts w:ascii="Century Gothic" w:hAnsi="Century Gothic"/>
                <w:szCs w:val="22"/>
              </w:rPr>
            </w:pPr>
            <w:r w:rsidRPr="00493920">
              <w:rPr>
                <w:rFonts w:ascii="Century Gothic" w:hAnsi="Century Gothic"/>
                <w:szCs w:val="22"/>
              </w:rPr>
              <w:t>$1,033</w:t>
            </w:r>
          </w:p>
        </w:tc>
      </w:tr>
      <w:tr w:rsidR="00B2304E" w:rsidRPr="006D6566" w14:paraId="14AB5CBD" w14:textId="77777777" w:rsidTr="00310FD8">
        <w:trPr>
          <w:trHeight w:val="330"/>
        </w:trPr>
        <w:tc>
          <w:tcPr>
            <w:tcW w:w="1422" w:type="dxa"/>
            <w:shd w:val="clear" w:color="auto" w:fill="FFFFFF"/>
          </w:tcPr>
          <w:p w14:paraId="332E8AEF"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$9,500 </w:t>
            </w:r>
          </w:p>
        </w:tc>
        <w:tc>
          <w:tcPr>
            <w:tcW w:w="1170" w:type="dxa"/>
            <w:shd w:val="clear" w:color="auto" w:fill="FFFFFF"/>
          </w:tcPr>
          <w:p w14:paraId="1B94C8B2"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$10,499 </w:t>
            </w:r>
          </w:p>
        </w:tc>
        <w:tc>
          <w:tcPr>
            <w:tcW w:w="2070" w:type="dxa"/>
            <w:shd w:val="clear" w:color="auto" w:fill="FFFFFF"/>
          </w:tcPr>
          <w:p w14:paraId="35E40E49"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$226 </w:t>
            </w:r>
          </w:p>
        </w:tc>
        <w:tc>
          <w:tcPr>
            <w:tcW w:w="630" w:type="dxa"/>
            <w:shd w:val="clear" w:color="auto" w:fill="FFFFFF"/>
          </w:tcPr>
          <w:p w14:paraId="0904D426" w14:textId="77777777" w:rsidR="00B2304E" w:rsidRPr="00493920" w:rsidRDefault="00B2304E" w:rsidP="00310FD8">
            <w:pPr>
              <w:rPr>
                <w:rFonts w:ascii="Century Gothic" w:hAnsi="Century Gothic"/>
                <w:szCs w:val="22"/>
              </w:rPr>
            </w:pPr>
          </w:p>
        </w:tc>
        <w:tc>
          <w:tcPr>
            <w:tcW w:w="1673" w:type="dxa"/>
            <w:shd w:val="clear" w:color="auto" w:fill="FFFFFF"/>
          </w:tcPr>
          <w:p w14:paraId="194B702D" w14:textId="77777777" w:rsidR="00B2304E" w:rsidRPr="00493920" w:rsidRDefault="00B2304E" w:rsidP="00310FD8">
            <w:pPr>
              <w:rPr>
                <w:rFonts w:ascii="Century Gothic" w:hAnsi="Century Gothic"/>
                <w:szCs w:val="22"/>
              </w:rPr>
            </w:pPr>
            <w:r w:rsidRPr="00493920">
              <w:rPr>
                <w:rFonts w:ascii="Century Gothic" w:hAnsi="Century Gothic"/>
                <w:szCs w:val="22"/>
              </w:rPr>
              <w:t>$44,500</w:t>
            </w:r>
          </w:p>
        </w:tc>
        <w:tc>
          <w:tcPr>
            <w:tcW w:w="1297" w:type="dxa"/>
            <w:shd w:val="clear" w:color="auto" w:fill="FFFFFF"/>
          </w:tcPr>
          <w:p w14:paraId="7E1B34ED" w14:textId="77777777" w:rsidR="00B2304E" w:rsidRPr="00493920" w:rsidRDefault="00B2304E" w:rsidP="00310FD8">
            <w:pPr>
              <w:rPr>
                <w:rFonts w:ascii="Century Gothic" w:hAnsi="Century Gothic"/>
                <w:szCs w:val="22"/>
              </w:rPr>
            </w:pPr>
            <w:r w:rsidRPr="00493920">
              <w:rPr>
                <w:rFonts w:ascii="Century Gothic" w:hAnsi="Century Gothic"/>
                <w:szCs w:val="22"/>
              </w:rPr>
              <w:t>$45,499</w:t>
            </w:r>
          </w:p>
        </w:tc>
        <w:tc>
          <w:tcPr>
            <w:tcW w:w="1297" w:type="dxa"/>
            <w:shd w:val="clear" w:color="auto" w:fill="FFFFFF"/>
          </w:tcPr>
          <w:p w14:paraId="74CA6C58" w14:textId="77777777" w:rsidR="00B2304E" w:rsidRPr="00493920" w:rsidRDefault="00B2304E" w:rsidP="00310FD8">
            <w:pPr>
              <w:rPr>
                <w:rFonts w:ascii="Century Gothic" w:hAnsi="Century Gothic"/>
                <w:szCs w:val="22"/>
              </w:rPr>
            </w:pPr>
            <w:r w:rsidRPr="00493920">
              <w:rPr>
                <w:rFonts w:ascii="Century Gothic" w:hAnsi="Century Gothic"/>
                <w:szCs w:val="22"/>
              </w:rPr>
              <w:t>$1,057</w:t>
            </w:r>
          </w:p>
        </w:tc>
      </w:tr>
      <w:tr w:rsidR="00B2304E" w:rsidRPr="006D6566" w14:paraId="375A8609" w14:textId="77777777" w:rsidTr="00310FD8">
        <w:trPr>
          <w:trHeight w:val="330"/>
        </w:trPr>
        <w:tc>
          <w:tcPr>
            <w:tcW w:w="1422" w:type="dxa"/>
            <w:shd w:val="clear" w:color="auto" w:fill="FFFFFF"/>
          </w:tcPr>
          <w:p w14:paraId="0D118060"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$10,500 </w:t>
            </w:r>
          </w:p>
        </w:tc>
        <w:tc>
          <w:tcPr>
            <w:tcW w:w="1170" w:type="dxa"/>
            <w:shd w:val="clear" w:color="auto" w:fill="FFFFFF"/>
          </w:tcPr>
          <w:p w14:paraId="7376A1D0"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$11,499 </w:t>
            </w:r>
          </w:p>
        </w:tc>
        <w:tc>
          <w:tcPr>
            <w:tcW w:w="2070" w:type="dxa"/>
            <w:shd w:val="clear" w:color="auto" w:fill="FFFFFF"/>
          </w:tcPr>
          <w:p w14:paraId="292A9895"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$249 </w:t>
            </w:r>
          </w:p>
        </w:tc>
        <w:tc>
          <w:tcPr>
            <w:tcW w:w="630" w:type="dxa"/>
            <w:shd w:val="clear" w:color="auto" w:fill="FFFFFF"/>
          </w:tcPr>
          <w:p w14:paraId="622C54E2" w14:textId="77777777" w:rsidR="00B2304E" w:rsidRPr="00493920" w:rsidRDefault="00B2304E" w:rsidP="00310FD8">
            <w:pPr>
              <w:rPr>
                <w:rFonts w:ascii="Century Gothic" w:hAnsi="Century Gothic"/>
                <w:szCs w:val="22"/>
              </w:rPr>
            </w:pPr>
          </w:p>
        </w:tc>
        <w:tc>
          <w:tcPr>
            <w:tcW w:w="1673" w:type="dxa"/>
            <w:shd w:val="clear" w:color="auto" w:fill="FFFFFF"/>
          </w:tcPr>
          <w:p w14:paraId="59C14A40" w14:textId="77777777" w:rsidR="00B2304E" w:rsidRPr="00493920" w:rsidRDefault="00B2304E" w:rsidP="00310FD8">
            <w:pPr>
              <w:rPr>
                <w:rFonts w:ascii="Century Gothic" w:hAnsi="Century Gothic"/>
                <w:szCs w:val="22"/>
              </w:rPr>
            </w:pPr>
            <w:r w:rsidRPr="00493920">
              <w:rPr>
                <w:rFonts w:ascii="Century Gothic" w:hAnsi="Century Gothic"/>
                <w:szCs w:val="22"/>
              </w:rPr>
              <w:t>$45,500</w:t>
            </w:r>
          </w:p>
        </w:tc>
        <w:tc>
          <w:tcPr>
            <w:tcW w:w="1297" w:type="dxa"/>
            <w:shd w:val="clear" w:color="auto" w:fill="FFFFFF"/>
          </w:tcPr>
          <w:p w14:paraId="674A6585" w14:textId="77777777" w:rsidR="00B2304E" w:rsidRPr="00493920" w:rsidRDefault="00B2304E" w:rsidP="00310FD8">
            <w:pPr>
              <w:rPr>
                <w:rFonts w:ascii="Century Gothic" w:hAnsi="Century Gothic"/>
                <w:szCs w:val="22"/>
              </w:rPr>
            </w:pPr>
            <w:r w:rsidRPr="00493920">
              <w:rPr>
                <w:rFonts w:ascii="Century Gothic" w:hAnsi="Century Gothic"/>
                <w:szCs w:val="22"/>
              </w:rPr>
              <w:t>$46,499</w:t>
            </w:r>
          </w:p>
        </w:tc>
        <w:tc>
          <w:tcPr>
            <w:tcW w:w="1297" w:type="dxa"/>
            <w:shd w:val="clear" w:color="auto" w:fill="FFFFFF"/>
          </w:tcPr>
          <w:p w14:paraId="2C258B37" w14:textId="77777777" w:rsidR="00B2304E" w:rsidRPr="00493920" w:rsidRDefault="00B2304E" w:rsidP="00310FD8">
            <w:pPr>
              <w:rPr>
                <w:rFonts w:ascii="Century Gothic" w:hAnsi="Century Gothic"/>
                <w:szCs w:val="22"/>
              </w:rPr>
            </w:pPr>
            <w:r w:rsidRPr="00493920">
              <w:rPr>
                <w:rFonts w:ascii="Century Gothic" w:hAnsi="Century Gothic"/>
                <w:szCs w:val="22"/>
              </w:rPr>
              <w:t>$1,081</w:t>
            </w:r>
          </w:p>
        </w:tc>
      </w:tr>
      <w:tr w:rsidR="00B2304E" w:rsidRPr="006D6566" w14:paraId="3C4A0BFC" w14:textId="77777777" w:rsidTr="00310FD8">
        <w:trPr>
          <w:trHeight w:val="330"/>
        </w:trPr>
        <w:tc>
          <w:tcPr>
            <w:tcW w:w="1422" w:type="dxa"/>
            <w:shd w:val="clear" w:color="auto" w:fill="FFFFFF"/>
          </w:tcPr>
          <w:p w14:paraId="26D4E4EF" w14:textId="77777777" w:rsidR="00B2304E" w:rsidRPr="00493920" w:rsidRDefault="00B2304E" w:rsidP="00310FD8">
            <w:pPr>
              <w:rPr>
                <w:rFonts w:ascii="Century Gothic" w:hAnsi="Century Gothic"/>
                <w:szCs w:val="22"/>
              </w:rPr>
            </w:pPr>
            <w:r w:rsidRPr="00493920">
              <w:rPr>
                <w:rFonts w:ascii="Century Gothic" w:hAnsi="Century Gothic"/>
                <w:szCs w:val="22"/>
              </w:rPr>
              <w:lastRenderedPageBreak/>
              <w:t xml:space="preserve">$11,500 </w:t>
            </w:r>
          </w:p>
        </w:tc>
        <w:tc>
          <w:tcPr>
            <w:tcW w:w="1170" w:type="dxa"/>
            <w:shd w:val="clear" w:color="auto" w:fill="FFFFFF"/>
          </w:tcPr>
          <w:p w14:paraId="505F5A3F"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$12,499 </w:t>
            </w:r>
          </w:p>
        </w:tc>
        <w:tc>
          <w:tcPr>
            <w:tcW w:w="2070" w:type="dxa"/>
            <w:shd w:val="clear" w:color="auto" w:fill="FFFFFF"/>
          </w:tcPr>
          <w:p w14:paraId="75161047"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$273 </w:t>
            </w:r>
          </w:p>
        </w:tc>
        <w:tc>
          <w:tcPr>
            <w:tcW w:w="630" w:type="dxa"/>
            <w:shd w:val="clear" w:color="auto" w:fill="FFFFFF"/>
          </w:tcPr>
          <w:p w14:paraId="6A7B7B7C" w14:textId="77777777" w:rsidR="00B2304E" w:rsidRPr="00493920" w:rsidRDefault="00B2304E" w:rsidP="00310FD8">
            <w:pPr>
              <w:rPr>
                <w:rFonts w:ascii="Century Gothic" w:hAnsi="Century Gothic"/>
                <w:szCs w:val="22"/>
              </w:rPr>
            </w:pPr>
          </w:p>
        </w:tc>
        <w:tc>
          <w:tcPr>
            <w:tcW w:w="1673" w:type="dxa"/>
            <w:shd w:val="clear" w:color="auto" w:fill="FFFFFF"/>
          </w:tcPr>
          <w:p w14:paraId="1E3D4274" w14:textId="77777777" w:rsidR="00B2304E" w:rsidRPr="00493920" w:rsidRDefault="00B2304E" w:rsidP="00310FD8">
            <w:pPr>
              <w:rPr>
                <w:rFonts w:ascii="Century Gothic" w:hAnsi="Century Gothic"/>
                <w:szCs w:val="22"/>
              </w:rPr>
            </w:pPr>
            <w:r w:rsidRPr="00493920">
              <w:rPr>
                <w:rFonts w:ascii="Century Gothic" w:hAnsi="Century Gothic"/>
                <w:szCs w:val="22"/>
              </w:rPr>
              <w:t>$46,500</w:t>
            </w:r>
          </w:p>
        </w:tc>
        <w:tc>
          <w:tcPr>
            <w:tcW w:w="1297" w:type="dxa"/>
            <w:shd w:val="clear" w:color="auto" w:fill="FFFFFF"/>
          </w:tcPr>
          <w:p w14:paraId="2F2B2007" w14:textId="77777777" w:rsidR="00B2304E" w:rsidRPr="00493920" w:rsidRDefault="00B2304E" w:rsidP="00310FD8">
            <w:pPr>
              <w:rPr>
                <w:rFonts w:ascii="Century Gothic" w:hAnsi="Century Gothic"/>
                <w:szCs w:val="22"/>
              </w:rPr>
            </w:pPr>
            <w:r w:rsidRPr="00493920">
              <w:rPr>
                <w:rFonts w:ascii="Century Gothic" w:hAnsi="Century Gothic"/>
                <w:szCs w:val="22"/>
              </w:rPr>
              <w:t>$47,499</w:t>
            </w:r>
          </w:p>
        </w:tc>
        <w:tc>
          <w:tcPr>
            <w:tcW w:w="1297" w:type="dxa"/>
            <w:shd w:val="clear" w:color="auto" w:fill="FFFFFF"/>
          </w:tcPr>
          <w:p w14:paraId="247875C0" w14:textId="77777777" w:rsidR="00B2304E" w:rsidRPr="00493920" w:rsidRDefault="00B2304E" w:rsidP="00310FD8">
            <w:pPr>
              <w:rPr>
                <w:rFonts w:ascii="Century Gothic" w:hAnsi="Century Gothic"/>
                <w:szCs w:val="22"/>
              </w:rPr>
            </w:pPr>
            <w:r w:rsidRPr="00493920">
              <w:rPr>
                <w:rFonts w:ascii="Century Gothic" w:hAnsi="Century Gothic"/>
                <w:szCs w:val="22"/>
              </w:rPr>
              <w:t>$1,104</w:t>
            </w:r>
          </w:p>
        </w:tc>
      </w:tr>
      <w:tr w:rsidR="00B2304E" w:rsidRPr="006D6566" w14:paraId="66A956CC" w14:textId="77777777" w:rsidTr="00310FD8">
        <w:trPr>
          <w:trHeight w:val="330"/>
        </w:trPr>
        <w:tc>
          <w:tcPr>
            <w:tcW w:w="1422" w:type="dxa"/>
            <w:shd w:val="clear" w:color="auto" w:fill="FFFFFF"/>
          </w:tcPr>
          <w:p w14:paraId="7FBA9617"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$12,500 </w:t>
            </w:r>
          </w:p>
        </w:tc>
        <w:tc>
          <w:tcPr>
            <w:tcW w:w="1170" w:type="dxa"/>
            <w:shd w:val="clear" w:color="auto" w:fill="FFFFFF"/>
          </w:tcPr>
          <w:p w14:paraId="341CDE80"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$13,499 </w:t>
            </w:r>
          </w:p>
        </w:tc>
        <w:tc>
          <w:tcPr>
            <w:tcW w:w="2070" w:type="dxa"/>
            <w:shd w:val="clear" w:color="auto" w:fill="FFFFFF"/>
          </w:tcPr>
          <w:p w14:paraId="5290AEF0"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$297 </w:t>
            </w:r>
          </w:p>
        </w:tc>
        <w:tc>
          <w:tcPr>
            <w:tcW w:w="630" w:type="dxa"/>
            <w:shd w:val="clear" w:color="auto" w:fill="FFFFFF"/>
          </w:tcPr>
          <w:p w14:paraId="1394103F" w14:textId="77777777" w:rsidR="00B2304E" w:rsidRPr="00493920" w:rsidRDefault="00B2304E" w:rsidP="00310FD8">
            <w:pPr>
              <w:rPr>
                <w:rFonts w:ascii="Century Gothic" w:hAnsi="Century Gothic"/>
                <w:szCs w:val="22"/>
              </w:rPr>
            </w:pPr>
          </w:p>
        </w:tc>
        <w:tc>
          <w:tcPr>
            <w:tcW w:w="1673" w:type="dxa"/>
            <w:shd w:val="clear" w:color="auto" w:fill="FFFFFF"/>
          </w:tcPr>
          <w:p w14:paraId="323FF94F" w14:textId="77777777" w:rsidR="00B2304E" w:rsidRPr="00493920" w:rsidRDefault="00B2304E" w:rsidP="00310FD8">
            <w:pPr>
              <w:rPr>
                <w:rFonts w:ascii="Century Gothic" w:hAnsi="Century Gothic"/>
                <w:szCs w:val="22"/>
              </w:rPr>
            </w:pPr>
            <w:r w:rsidRPr="00493920">
              <w:rPr>
                <w:rFonts w:ascii="Century Gothic" w:hAnsi="Century Gothic"/>
                <w:szCs w:val="22"/>
              </w:rPr>
              <w:t>$47,500</w:t>
            </w:r>
          </w:p>
        </w:tc>
        <w:tc>
          <w:tcPr>
            <w:tcW w:w="1297" w:type="dxa"/>
            <w:shd w:val="clear" w:color="auto" w:fill="FFFFFF"/>
          </w:tcPr>
          <w:p w14:paraId="5B4C1CEC" w14:textId="77777777" w:rsidR="00B2304E" w:rsidRPr="00493920" w:rsidRDefault="00B2304E" w:rsidP="00310FD8">
            <w:pPr>
              <w:rPr>
                <w:rFonts w:ascii="Century Gothic" w:hAnsi="Century Gothic"/>
                <w:szCs w:val="22"/>
              </w:rPr>
            </w:pPr>
            <w:r w:rsidRPr="00493920">
              <w:rPr>
                <w:rFonts w:ascii="Century Gothic" w:hAnsi="Century Gothic"/>
                <w:szCs w:val="22"/>
              </w:rPr>
              <w:t>$48,499</w:t>
            </w:r>
          </w:p>
        </w:tc>
        <w:tc>
          <w:tcPr>
            <w:tcW w:w="1297" w:type="dxa"/>
            <w:shd w:val="clear" w:color="auto" w:fill="FFFFFF"/>
          </w:tcPr>
          <w:p w14:paraId="11FE5FAE" w14:textId="77777777" w:rsidR="00B2304E" w:rsidRPr="00493920" w:rsidRDefault="00B2304E" w:rsidP="00310FD8">
            <w:pPr>
              <w:rPr>
                <w:rFonts w:ascii="Century Gothic" w:hAnsi="Century Gothic"/>
                <w:szCs w:val="22"/>
              </w:rPr>
            </w:pPr>
            <w:r w:rsidRPr="00493920">
              <w:rPr>
                <w:rFonts w:ascii="Century Gothic" w:hAnsi="Century Gothic"/>
                <w:szCs w:val="22"/>
              </w:rPr>
              <w:t>$1,128</w:t>
            </w:r>
          </w:p>
        </w:tc>
      </w:tr>
      <w:tr w:rsidR="00B2304E" w:rsidRPr="006D6566" w14:paraId="6A5FB2BB" w14:textId="77777777" w:rsidTr="00310FD8">
        <w:trPr>
          <w:trHeight w:val="330"/>
        </w:trPr>
        <w:tc>
          <w:tcPr>
            <w:tcW w:w="1422" w:type="dxa"/>
            <w:shd w:val="clear" w:color="auto" w:fill="FFFFFF"/>
          </w:tcPr>
          <w:p w14:paraId="0973BFFB"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$13,500 </w:t>
            </w:r>
          </w:p>
        </w:tc>
        <w:tc>
          <w:tcPr>
            <w:tcW w:w="1170" w:type="dxa"/>
            <w:shd w:val="clear" w:color="auto" w:fill="FFFFFF"/>
          </w:tcPr>
          <w:p w14:paraId="3898BAEE"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$14,499 </w:t>
            </w:r>
          </w:p>
        </w:tc>
        <w:tc>
          <w:tcPr>
            <w:tcW w:w="2070" w:type="dxa"/>
            <w:shd w:val="clear" w:color="auto" w:fill="FFFFFF"/>
          </w:tcPr>
          <w:p w14:paraId="5647FF85"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$321 </w:t>
            </w:r>
          </w:p>
        </w:tc>
        <w:tc>
          <w:tcPr>
            <w:tcW w:w="630" w:type="dxa"/>
            <w:shd w:val="clear" w:color="auto" w:fill="FFFFFF"/>
          </w:tcPr>
          <w:p w14:paraId="232280F6" w14:textId="77777777" w:rsidR="00B2304E" w:rsidRPr="00493920" w:rsidRDefault="00B2304E" w:rsidP="00310FD8">
            <w:pPr>
              <w:rPr>
                <w:rFonts w:ascii="Century Gothic" w:hAnsi="Century Gothic"/>
                <w:szCs w:val="22"/>
              </w:rPr>
            </w:pPr>
          </w:p>
        </w:tc>
        <w:tc>
          <w:tcPr>
            <w:tcW w:w="1673" w:type="dxa"/>
            <w:shd w:val="clear" w:color="auto" w:fill="FFFFFF"/>
          </w:tcPr>
          <w:p w14:paraId="7DBA2991" w14:textId="77777777" w:rsidR="00B2304E" w:rsidRPr="00493920" w:rsidRDefault="00B2304E" w:rsidP="00310FD8">
            <w:pPr>
              <w:rPr>
                <w:rFonts w:ascii="Century Gothic" w:hAnsi="Century Gothic"/>
                <w:szCs w:val="22"/>
              </w:rPr>
            </w:pPr>
            <w:r w:rsidRPr="00493920">
              <w:rPr>
                <w:rFonts w:ascii="Century Gothic" w:hAnsi="Century Gothic"/>
                <w:szCs w:val="22"/>
              </w:rPr>
              <w:t>$48,500</w:t>
            </w:r>
          </w:p>
        </w:tc>
        <w:tc>
          <w:tcPr>
            <w:tcW w:w="1297" w:type="dxa"/>
            <w:shd w:val="clear" w:color="auto" w:fill="FFFFFF"/>
          </w:tcPr>
          <w:p w14:paraId="69D99576" w14:textId="77777777" w:rsidR="00B2304E" w:rsidRPr="00493920" w:rsidRDefault="00B2304E" w:rsidP="00310FD8">
            <w:pPr>
              <w:rPr>
                <w:rFonts w:ascii="Century Gothic" w:hAnsi="Century Gothic"/>
                <w:szCs w:val="22"/>
              </w:rPr>
            </w:pPr>
            <w:r w:rsidRPr="00493920">
              <w:rPr>
                <w:rFonts w:ascii="Century Gothic" w:hAnsi="Century Gothic"/>
                <w:szCs w:val="22"/>
              </w:rPr>
              <w:t>$49,449</w:t>
            </w:r>
          </w:p>
        </w:tc>
        <w:tc>
          <w:tcPr>
            <w:tcW w:w="1297" w:type="dxa"/>
            <w:shd w:val="clear" w:color="auto" w:fill="FFFFFF"/>
          </w:tcPr>
          <w:p w14:paraId="5B47BE63" w14:textId="77777777" w:rsidR="00B2304E" w:rsidRPr="00493920" w:rsidRDefault="00B2304E" w:rsidP="00310FD8">
            <w:pPr>
              <w:rPr>
                <w:rFonts w:ascii="Century Gothic" w:hAnsi="Century Gothic"/>
                <w:szCs w:val="22"/>
              </w:rPr>
            </w:pPr>
            <w:r w:rsidRPr="00493920">
              <w:rPr>
                <w:rFonts w:ascii="Century Gothic" w:hAnsi="Century Gothic"/>
                <w:szCs w:val="22"/>
              </w:rPr>
              <w:t>$1,152</w:t>
            </w:r>
          </w:p>
        </w:tc>
      </w:tr>
      <w:tr w:rsidR="00B2304E" w:rsidRPr="006D6566" w14:paraId="555F1D44" w14:textId="77777777" w:rsidTr="00310FD8">
        <w:trPr>
          <w:trHeight w:val="330"/>
        </w:trPr>
        <w:tc>
          <w:tcPr>
            <w:tcW w:w="1422" w:type="dxa"/>
            <w:shd w:val="clear" w:color="auto" w:fill="FFFFFF"/>
          </w:tcPr>
          <w:p w14:paraId="745896CF"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$14,500 </w:t>
            </w:r>
          </w:p>
        </w:tc>
        <w:tc>
          <w:tcPr>
            <w:tcW w:w="1170" w:type="dxa"/>
            <w:shd w:val="clear" w:color="auto" w:fill="FFFFFF"/>
          </w:tcPr>
          <w:p w14:paraId="059E6C1A"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$15,499 </w:t>
            </w:r>
          </w:p>
        </w:tc>
        <w:tc>
          <w:tcPr>
            <w:tcW w:w="2070" w:type="dxa"/>
            <w:shd w:val="clear" w:color="auto" w:fill="FFFFFF"/>
          </w:tcPr>
          <w:p w14:paraId="29A5E050" w14:textId="77777777" w:rsidR="00B2304E" w:rsidRPr="00493920" w:rsidRDefault="00B2304E" w:rsidP="00310FD8">
            <w:pPr>
              <w:rPr>
                <w:rFonts w:ascii="Century Gothic" w:hAnsi="Century Gothic"/>
                <w:szCs w:val="22"/>
              </w:rPr>
            </w:pPr>
            <w:r w:rsidRPr="00493920">
              <w:rPr>
                <w:rFonts w:ascii="Century Gothic" w:hAnsi="Century Gothic"/>
                <w:szCs w:val="22"/>
              </w:rPr>
              <w:t xml:space="preserve">$344 </w:t>
            </w:r>
          </w:p>
        </w:tc>
        <w:tc>
          <w:tcPr>
            <w:tcW w:w="630" w:type="dxa"/>
            <w:shd w:val="clear" w:color="auto" w:fill="FFFFFF"/>
          </w:tcPr>
          <w:p w14:paraId="5B9B1FBF" w14:textId="77777777" w:rsidR="00B2304E" w:rsidRPr="00493920" w:rsidRDefault="00B2304E" w:rsidP="00310FD8">
            <w:pPr>
              <w:rPr>
                <w:rFonts w:ascii="Century Gothic" w:hAnsi="Century Gothic"/>
                <w:szCs w:val="22"/>
              </w:rPr>
            </w:pPr>
          </w:p>
        </w:tc>
        <w:tc>
          <w:tcPr>
            <w:tcW w:w="1673" w:type="dxa"/>
            <w:shd w:val="clear" w:color="auto" w:fill="FFFFFF"/>
          </w:tcPr>
          <w:p w14:paraId="691DD58D" w14:textId="77777777" w:rsidR="00B2304E" w:rsidRPr="00493920" w:rsidRDefault="00B2304E" w:rsidP="00310FD8">
            <w:pPr>
              <w:rPr>
                <w:rFonts w:ascii="Century Gothic" w:hAnsi="Century Gothic"/>
                <w:szCs w:val="22"/>
              </w:rPr>
            </w:pPr>
            <w:r w:rsidRPr="00493920">
              <w:rPr>
                <w:rFonts w:ascii="Century Gothic" w:hAnsi="Century Gothic"/>
                <w:szCs w:val="22"/>
              </w:rPr>
              <w:t>$49,500</w:t>
            </w:r>
          </w:p>
        </w:tc>
        <w:tc>
          <w:tcPr>
            <w:tcW w:w="1297" w:type="dxa"/>
            <w:shd w:val="clear" w:color="auto" w:fill="FFFFFF"/>
          </w:tcPr>
          <w:p w14:paraId="38966308" w14:textId="77777777" w:rsidR="00B2304E" w:rsidRPr="00493920" w:rsidRDefault="00B2304E" w:rsidP="00310FD8">
            <w:pPr>
              <w:rPr>
                <w:rFonts w:ascii="Century Gothic" w:hAnsi="Century Gothic"/>
                <w:szCs w:val="22"/>
              </w:rPr>
            </w:pPr>
            <w:r w:rsidRPr="00493920">
              <w:rPr>
                <w:rFonts w:ascii="Century Gothic" w:hAnsi="Century Gothic"/>
                <w:szCs w:val="22"/>
              </w:rPr>
              <w:t>Above</w:t>
            </w:r>
          </w:p>
        </w:tc>
        <w:tc>
          <w:tcPr>
            <w:tcW w:w="1297" w:type="dxa"/>
            <w:shd w:val="clear" w:color="auto" w:fill="FFFFFF"/>
          </w:tcPr>
          <w:p w14:paraId="7C61F774" w14:textId="77777777" w:rsidR="00B2304E" w:rsidRPr="00493920" w:rsidRDefault="00B2304E" w:rsidP="00310FD8">
            <w:pPr>
              <w:rPr>
                <w:rFonts w:ascii="Century Gothic" w:hAnsi="Century Gothic"/>
                <w:szCs w:val="22"/>
              </w:rPr>
            </w:pPr>
            <w:r w:rsidRPr="00493920">
              <w:rPr>
                <w:rFonts w:ascii="Century Gothic" w:hAnsi="Century Gothic"/>
                <w:szCs w:val="22"/>
              </w:rPr>
              <w:t>$1,176</w:t>
            </w:r>
          </w:p>
        </w:tc>
      </w:tr>
      <w:tr w:rsidR="00B2304E" w:rsidRPr="006D6566" w14:paraId="38F8ECD1" w14:textId="77777777" w:rsidTr="00310FD8">
        <w:trPr>
          <w:trHeight w:val="330"/>
        </w:trPr>
        <w:tc>
          <w:tcPr>
            <w:tcW w:w="1422" w:type="dxa"/>
            <w:shd w:val="clear" w:color="auto" w:fill="FFFFFF"/>
          </w:tcPr>
          <w:p w14:paraId="3CF2AAEC"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$15,500 </w:t>
            </w:r>
          </w:p>
        </w:tc>
        <w:tc>
          <w:tcPr>
            <w:tcW w:w="1170" w:type="dxa"/>
            <w:shd w:val="clear" w:color="auto" w:fill="FFFFFF"/>
          </w:tcPr>
          <w:p w14:paraId="4493E4D1"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$16,499 </w:t>
            </w:r>
          </w:p>
        </w:tc>
        <w:tc>
          <w:tcPr>
            <w:tcW w:w="2070" w:type="dxa"/>
            <w:shd w:val="clear" w:color="auto" w:fill="FFFFFF"/>
          </w:tcPr>
          <w:p w14:paraId="78BE11E5"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$368 </w:t>
            </w:r>
          </w:p>
        </w:tc>
        <w:tc>
          <w:tcPr>
            <w:tcW w:w="630" w:type="dxa"/>
            <w:shd w:val="clear" w:color="auto" w:fill="FFFFFF"/>
          </w:tcPr>
          <w:p w14:paraId="2EC17494" w14:textId="77777777" w:rsidR="00B2304E" w:rsidRPr="009340D5" w:rsidRDefault="00B2304E" w:rsidP="00310FD8">
            <w:pPr>
              <w:rPr>
                <w:rFonts w:ascii="Century Gothic" w:hAnsi="Century Gothic"/>
                <w:szCs w:val="22"/>
              </w:rPr>
            </w:pPr>
          </w:p>
        </w:tc>
        <w:tc>
          <w:tcPr>
            <w:tcW w:w="1673" w:type="dxa"/>
            <w:shd w:val="clear" w:color="auto" w:fill="FFFFFF"/>
          </w:tcPr>
          <w:p w14:paraId="4EA22B4E" w14:textId="77777777" w:rsidR="00B2304E" w:rsidRPr="009340D5" w:rsidRDefault="00B2304E" w:rsidP="00310FD8">
            <w:pPr>
              <w:rPr>
                <w:rFonts w:ascii="Century Gothic" w:hAnsi="Century Gothic"/>
                <w:szCs w:val="22"/>
              </w:rPr>
            </w:pPr>
          </w:p>
        </w:tc>
        <w:tc>
          <w:tcPr>
            <w:tcW w:w="1297" w:type="dxa"/>
            <w:shd w:val="clear" w:color="auto" w:fill="FFFFFF"/>
          </w:tcPr>
          <w:p w14:paraId="3E642B80" w14:textId="77777777" w:rsidR="00B2304E" w:rsidRPr="009340D5" w:rsidRDefault="00B2304E" w:rsidP="00310FD8">
            <w:pPr>
              <w:rPr>
                <w:rFonts w:ascii="Century Gothic" w:hAnsi="Century Gothic"/>
                <w:szCs w:val="22"/>
              </w:rPr>
            </w:pPr>
          </w:p>
        </w:tc>
        <w:tc>
          <w:tcPr>
            <w:tcW w:w="1297" w:type="dxa"/>
            <w:shd w:val="clear" w:color="auto" w:fill="FFFFFF"/>
          </w:tcPr>
          <w:p w14:paraId="23E59103" w14:textId="77777777" w:rsidR="00B2304E" w:rsidRPr="009340D5" w:rsidRDefault="00B2304E" w:rsidP="00310FD8">
            <w:pPr>
              <w:rPr>
                <w:rFonts w:ascii="Century Gothic" w:hAnsi="Century Gothic"/>
                <w:szCs w:val="22"/>
              </w:rPr>
            </w:pPr>
          </w:p>
        </w:tc>
      </w:tr>
      <w:tr w:rsidR="00B2304E" w:rsidRPr="006D6566" w14:paraId="63BDAC7B" w14:textId="77777777" w:rsidTr="00310FD8">
        <w:trPr>
          <w:trHeight w:val="330"/>
        </w:trPr>
        <w:tc>
          <w:tcPr>
            <w:tcW w:w="1422" w:type="dxa"/>
            <w:shd w:val="clear" w:color="auto" w:fill="FFFFFF"/>
          </w:tcPr>
          <w:p w14:paraId="40A1E7C4"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$16,500 </w:t>
            </w:r>
          </w:p>
        </w:tc>
        <w:tc>
          <w:tcPr>
            <w:tcW w:w="1170" w:type="dxa"/>
            <w:shd w:val="clear" w:color="auto" w:fill="FFFFFF"/>
          </w:tcPr>
          <w:p w14:paraId="1E451BE1"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$17,499 </w:t>
            </w:r>
          </w:p>
        </w:tc>
        <w:tc>
          <w:tcPr>
            <w:tcW w:w="2070" w:type="dxa"/>
            <w:shd w:val="clear" w:color="auto" w:fill="FFFFFF"/>
          </w:tcPr>
          <w:p w14:paraId="5C4B39C3"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$392 </w:t>
            </w:r>
          </w:p>
        </w:tc>
        <w:tc>
          <w:tcPr>
            <w:tcW w:w="630" w:type="dxa"/>
            <w:shd w:val="clear" w:color="auto" w:fill="FFFFFF"/>
          </w:tcPr>
          <w:p w14:paraId="4CF3E26E" w14:textId="77777777" w:rsidR="00B2304E" w:rsidRPr="009340D5" w:rsidRDefault="00B2304E" w:rsidP="00310FD8">
            <w:pPr>
              <w:rPr>
                <w:rFonts w:ascii="Century Gothic" w:hAnsi="Century Gothic"/>
                <w:szCs w:val="22"/>
              </w:rPr>
            </w:pPr>
          </w:p>
        </w:tc>
        <w:tc>
          <w:tcPr>
            <w:tcW w:w="1673" w:type="dxa"/>
            <w:shd w:val="clear" w:color="auto" w:fill="FFFFFF"/>
          </w:tcPr>
          <w:p w14:paraId="434261B7" w14:textId="77777777" w:rsidR="00B2304E" w:rsidRPr="009340D5" w:rsidRDefault="00B2304E" w:rsidP="00310FD8">
            <w:pPr>
              <w:rPr>
                <w:rFonts w:ascii="Century Gothic" w:hAnsi="Century Gothic"/>
                <w:szCs w:val="22"/>
              </w:rPr>
            </w:pPr>
          </w:p>
        </w:tc>
        <w:tc>
          <w:tcPr>
            <w:tcW w:w="1297" w:type="dxa"/>
            <w:shd w:val="clear" w:color="auto" w:fill="FFFFFF"/>
          </w:tcPr>
          <w:p w14:paraId="64AB7575" w14:textId="77777777" w:rsidR="00B2304E" w:rsidRPr="009340D5" w:rsidRDefault="00B2304E" w:rsidP="00310FD8">
            <w:pPr>
              <w:rPr>
                <w:rFonts w:ascii="Century Gothic" w:hAnsi="Century Gothic"/>
                <w:szCs w:val="22"/>
              </w:rPr>
            </w:pPr>
          </w:p>
        </w:tc>
        <w:tc>
          <w:tcPr>
            <w:tcW w:w="1297" w:type="dxa"/>
            <w:shd w:val="clear" w:color="auto" w:fill="FFFFFF"/>
          </w:tcPr>
          <w:p w14:paraId="20C5EA63" w14:textId="77777777" w:rsidR="00B2304E" w:rsidRPr="009340D5" w:rsidRDefault="00B2304E" w:rsidP="00310FD8">
            <w:pPr>
              <w:rPr>
                <w:rFonts w:ascii="Century Gothic" w:hAnsi="Century Gothic"/>
                <w:szCs w:val="22"/>
              </w:rPr>
            </w:pPr>
          </w:p>
        </w:tc>
      </w:tr>
      <w:tr w:rsidR="00B2304E" w:rsidRPr="006D6566" w14:paraId="364D7AFC" w14:textId="77777777" w:rsidTr="00310FD8">
        <w:trPr>
          <w:trHeight w:val="330"/>
        </w:trPr>
        <w:tc>
          <w:tcPr>
            <w:tcW w:w="1422" w:type="dxa"/>
            <w:shd w:val="clear" w:color="auto" w:fill="FFFFFF"/>
          </w:tcPr>
          <w:p w14:paraId="7E8EE6B0"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$17,500 </w:t>
            </w:r>
          </w:p>
        </w:tc>
        <w:tc>
          <w:tcPr>
            <w:tcW w:w="1170" w:type="dxa"/>
            <w:shd w:val="clear" w:color="auto" w:fill="FFFFFF"/>
          </w:tcPr>
          <w:p w14:paraId="4B34DF61"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$18,499 </w:t>
            </w:r>
          </w:p>
        </w:tc>
        <w:tc>
          <w:tcPr>
            <w:tcW w:w="2070" w:type="dxa"/>
            <w:shd w:val="clear" w:color="auto" w:fill="FFFFFF"/>
          </w:tcPr>
          <w:p w14:paraId="466A6660"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$416 </w:t>
            </w:r>
          </w:p>
        </w:tc>
        <w:tc>
          <w:tcPr>
            <w:tcW w:w="630" w:type="dxa"/>
            <w:shd w:val="clear" w:color="auto" w:fill="FFFFFF"/>
          </w:tcPr>
          <w:p w14:paraId="7AE65E6B" w14:textId="77777777" w:rsidR="00B2304E" w:rsidRPr="009340D5" w:rsidRDefault="00B2304E" w:rsidP="00310FD8">
            <w:pPr>
              <w:rPr>
                <w:rFonts w:ascii="Century Gothic" w:hAnsi="Century Gothic"/>
                <w:szCs w:val="22"/>
              </w:rPr>
            </w:pPr>
          </w:p>
        </w:tc>
        <w:tc>
          <w:tcPr>
            <w:tcW w:w="1673" w:type="dxa"/>
            <w:shd w:val="clear" w:color="auto" w:fill="FFFFFF"/>
          </w:tcPr>
          <w:p w14:paraId="72C11E23" w14:textId="77777777" w:rsidR="00B2304E" w:rsidRPr="009340D5" w:rsidRDefault="00B2304E" w:rsidP="00310FD8">
            <w:pPr>
              <w:rPr>
                <w:rFonts w:ascii="Century Gothic" w:hAnsi="Century Gothic"/>
                <w:szCs w:val="22"/>
              </w:rPr>
            </w:pPr>
          </w:p>
        </w:tc>
        <w:tc>
          <w:tcPr>
            <w:tcW w:w="1297" w:type="dxa"/>
            <w:shd w:val="clear" w:color="auto" w:fill="FFFFFF"/>
          </w:tcPr>
          <w:p w14:paraId="75AE1AE0" w14:textId="77777777" w:rsidR="00B2304E" w:rsidRPr="009340D5" w:rsidRDefault="00B2304E" w:rsidP="00310FD8">
            <w:pPr>
              <w:rPr>
                <w:rFonts w:ascii="Century Gothic" w:hAnsi="Century Gothic"/>
                <w:szCs w:val="22"/>
              </w:rPr>
            </w:pPr>
          </w:p>
        </w:tc>
        <w:tc>
          <w:tcPr>
            <w:tcW w:w="1297" w:type="dxa"/>
            <w:shd w:val="clear" w:color="auto" w:fill="FFFFFF"/>
          </w:tcPr>
          <w:p w14:paraId="3349EE73" w14:textId="77777777" w:rsidR="00B2304E" w:rsidRPr="009340D5" w:rsidRDefault="00B2304E" w:rsidP="00310FD8">
            <w:pPr>
              <w:rPr>
                <w:rFonts w:ascii="Century Gothic" w:hAnsi="Century Gothic"/>
                <w:szCs w:val="22"/>
              </w:rPr>
            </w:pPr>
          </w:p>
        </w:tc>
      </w:tr>
      <w:tr w:rsidR="00B2304E" w:rsidRPr="006D6566" w14:paraId="0DFB9BAD" w14:textId="77777777" w:rsidTr="00310FD8">
        <w:trPr>
          <w:trHeight w:val="330"/>
        </w:trPr>
        <w:tc>
          <w:tcPr>
            <w:tcW w:w="1422" w:type="dxa"/>
            <w:shd w:val="clear" w:color="auto" w:fill="FFFFFF"/>
          </w:tcPr>
          <w:p w14:paraId="5573DAC8"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$18,500 </w:t>
            </w:r>
          </w:p>
        </w:tc>
        <w:tc>
          <w:tcPr>
            <w:tcW w:w="1170" w:type="dxa"/>
            <w:shd w:val="clear" w:color="auto" w:fill="FFFFFF"/>
          </w:tcPr>
          <w:p w14:paraId="589CFE33"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$19,499 </w:t>
            </w:r>
          </w:p>
        </w:tc>
        <w:tc>
          <w:tcPr>
            <w:tcW w:w="2070" w:type="dxa"/>
            <w:shd w:val="clear" w:color="auto" w:fill="FFFFFF"/>
          </w:tcPr>
          <w:p w14:paraId="19D0D8AD"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$439 </w:t>
            </w:r>
          </w:p>
        </w:tc>
        <w:tc>
          <w:tcPr>
            <w:tcW w:w="630" w:type="dxa"/>
            <w:shd w:val="clear" w:color="auto" w:fill="FFFFFF"/>
          </w:tcPr>
          <w:p w14:paraId="7C1518C5" w14:textId="77777777" w:rsidR="00B2304E" w:rsidRPr="009340D5" w:rsidRDefault="00B2304E" w:rsidP="00310FD8">
            <w:pPr>
              <w:rPr>
                <w:rFonts w:ascii="Century Gothic" w:hAnsi="Century Gothic"/>
                <w:szCs w:val="22"/>
              </w:rPr>
            </w:pPr>
          </w:p>
        </w:tc>
        <w:tc>
          <w:tcPr>
            <w:tcW w:w="1673" w:type="dxa"/>
            <w:shd w:val="clear" w:color="auto" w:fill="FFFFFF"/>
          </w:tcPr>
          <w:p w14:paraId="5064390C" w14:textId="77777777" w:rsidR="00B2304E" w:rsidRPr="009340D5" w:rsidRDefault="00B2304E" w:rsidP="00310FD8">
            <w:pPr>
              <w:rPr>
                <w:rFonts w:ascii="Century Gothic" w:hAnsi="Century Gothic"/>
                <w:szCs w:val="22"/>
              </w:rPr>
            </w:pPr>
          </w:p>
        </w:tc>
        <w:tc>
          <w:tcPr>
            <w:tcW w:w="1297" w:type="dxa"/>
            <w:shd w:val="clear" w:color="auto" w:fill="FFFFFF"/>
          </w:tcPr>
          <w:p w14:paraId="2FED6863" w14:textId="77777777" w:rsidR="00B2304E" w:rsidRPr="009340D5" w:rsidRDefault="00B2304E" w:rsidP="00310FD8">
            <w:pPr>
              <w:rPr>
                <w:rFonts w:ascii="Century Gothic" w:hAnsi="Century Gothic"/>
                <w:szCs w:val="22"/>
              </w:rPr>
            </w:pPr>
          </w:p>
        </w:tc>
        <w:tc>
          <w:tcPr>
            <w:tcW w:w="1297" w:type="dxa"/>
            <w:shd w:val="clear" w:color="auto" w:fill="FFFFFF"/>
          </w:tcPr>
          <w:p w14:paraId="41CA6E70" w14:textId="77777777" w:rsidR="00B2304E" w:rsidRPr="009340D5" w:rsidRDefault="00B2304E" w:rsidP="00310FD8">
            <w:pPr>
              <w:rPr>
                <w:rFonts w:ascii="Century Gothic" w:hAnsi="Century Gothic"/>
                <w:szCs w:val="22"/>
              </w:rPr>
            </w:pPr>
          </w:p>
        </w:tc>
      </w:tr>
      <w:tr w:rsidR="00B2304E" w:rsidRPr="006D6566" w14:paraId="61244CFC" w14:textId="77777777" w:rsidTr="00310FD8">
        <w:trPr>
          <w:trHeight w:val="330"/>
        </w:trPr>
        <w:tc>
          <w:tcPr>
            <w:tcW w:w="1422" w:type="dxa"/>
            <w:shd w:val="clear" w:color="auto" w:fill="FFFFFF"/>
          </w:tcPr>
          <w:p w14:paraId="088FFF49"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$19,500 </w:t>
            </w:r>
          </w:p>
        </w:tc>
        <w:tc>
          <w:tcPr>
            <w:tcW w:w="1170" w:type="dxa"/>
            <w:shd w:val="clear" w:color="auto" w:fill="FFFFFF"/>
          </w:tcPr>
          <w:p w14:paraId="17415948"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$20,499 </w:t>
            </w:r>
          </w:p>
        </w:tc>
        <w:tc>
          <w:tcPr>
            <w:tcW w:w="2070" w:type="dxa"/>
            <w:shd w:val="clear" w:color="auto" w:fill="FFFFFF"/>
          </w:tcPr>
          <w:p w14:paraId="410AD6C1"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$463 </w:t>
            </w:r>
          </w:p>
        </w:tc>
        <w:tc>
          <w:tcPr>
            <w:tcW w:w="630" w:type="dxa"/>
            <w:shd w:val="clear" w:color="auto" w:fill="FFFFFF"/>
          </w:tcPr>
          <w:p w14:paraId="57DD7B69" w14:textId="77777777" w:rsidR="00B2304E" w:rsidRPr="009340D5" w:rsidRDefault="00B2304E" w:rsidP="00310FD8">
            <w:pPr>
              <w:rPr>
                <w:rFonts w:ascii="Century Gothic" w:hAnsi="Century Gothic"/>
                <w:szCs w:val="22"/>
              </w:rPr>
            </w:pPr>
          </w:p>
        </w:tc>
        <w:tc>
          <w:tcPr>
            <w:tcW w:w="1673" w:type="dxa"/>
            <w:shd w:val="clear" w:color="auto" w:fill="FFFFFF"/>
          </w:tcPr>
          <w:p w14:paraId="66D4480E" w14:textId="77777777" w:rsidR="00B2304E" w:rsidRPr="009340D5" w:rsidRDefault="00B2304E" w:rsidP="00310FD8">
            <w:pPr>
              <w:rPr>
                <w:rFonts w:ascii="Century Gothic" w:hAnsi="Century Gothic"/>
                <w:szCs w:val="22"/>
              </w:rPr>
            </w:pPr>
          </w:p>
        </w:tc>
        <w:tc>
          <w:tcPr>
            <w:tcW w:w="1297" w:type="dxa"/>
            <w:shd w:val="clear" w:color="auto" w:fill="FFFFFF"/>
          </w:tcPr>
          <w:p w14:paraId="78DD23EA" w14:textId="77777777" w:rsidR="00B2304E" w:rsidRPr="009340D5" w:rsidRDefault="00B2304E" w:rsidP="00310FD8">
            <w:pPr>
              <w:rPr>
                <w:rFonts w:ascii="Century Gothic" w:hAnsi="Century Gothic"/>
                <w:szCs w:val="22"/>
              </w:rPr>
            </w:pPr>
          </w:p>
        </w:tc>
        <w:tc>
          <w:tcPr>
            <w:tcW w:w="1297" w:type="dxa"/>
            <w:shd w:val="clear" w:color="auto" w:fill="FFFFFF"/>
          </w:tcPr>
          <w:p w14:paraId="56B7B840" w14:textId="77777777" w:rsidR="00B2304E" w:rsidRPr="009340D5" w:rsidRDefault="00B2304E" w:rsidP="00310FD8">
            <w:pPr>
              <w:rPr>
                <w:rFonts w:ascii="Century Gothic" w:hAnsi="Century Gothic"/>
                <w:szCs w:val="22"/>
              </w:rPr>
            </w:pPr>
          </w:p>
        </w:tc>
      </w:tr>
      <w:tr w:rsidR="00B2304E" w:rsidRPr="006D6566" w14:paraId="4865D160" w14:textId="77777777" w:rsidTr="00310FD8">
        <w:trPr>
          <w:trHeight w:val="330"/>
        </w:trPr>
        <w:tc>
          <w:tcPr>
            <w:tcW w:w="1422" w:type="dxa"/>
            <w:shd w:val="clear" w:color="auto" w:fill="FFFFFF"/>
          </w:tcPr>
          <w:p w14:paraId="48AA424D"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$20,500 </w:t>
            </w:r>
          </w:p>
        </w:tc>
        <w:tc>
          <w:tcPr>
            <w:tcW w:w="1170" w:type="dxa"/>
            <w:shd w:val="clear" w:color="auto" w:fill="FFFFFF"/>
          </w:tcPr>
          <w:p w14:paraId="46BE6D3F"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$21,499 </w:t>
            </w:r>
          </w:p>
        </w:tc>
        <w:tc>
          <w:tcPr>
            <w:tcW w:w="2070" w:type="dxa"/>
            <w:shd w:val="clear" w:color="auto" w:fill="FFFFFF"/>
          </w:tcPr>
          <w:p w14:paraId="1271EB99"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$487 </w:t>
            </w:r>
          </w:p>
        </w:tc>
        <w:tc>
          <w:tcPr>
            <w:tcW w:w="630" w:type="dxa"/>
            <w:shd w:val="clear" w:color="auto" w:fill="FFFFFF"/>
          </w:tcPr>
          <w:p w14:paraId="3767FAAA" w14:textId="77777777" w:rsidR="00B2304E" w:rsidRPr="009340D5" w:rsidRDefault="00B2304E" w:rsidP="00310FD8">
            <w:pPr>
              <w:rPr>
                <w:rFonts w:ascii="Century Gothic" w:hAnsi="Century Gothic"/>
                <w:szCs w:val="22"/>
              </w:rPr>
            </w:pPr>
          </w:p>
        </w:tc>
        <w:tc>
          <w:tcPr>
            <w:tcW w:w="1673" w:type="dxa"/>
            <w:shd w:val="clear" w:color="auto" w:fill="FFFFFF"/>
          </w:tcPr>
          <w:p w14:paraId="2B081A6F" w14:textId="77777777" w:rsidR="00B2304E" w:rsidRPr="009340D5" w:rsidRDefault="00B2304E" w:rsidP="00310FD8">
            <w:pPr>
              <w:rPr>
                <w:rFonts w:ascii="Century Gothic" w:hAnsi="Century Gothic"/>
                <w:szCs w:val="22"/>
              </w:rPr>
            </w:pPr>
          </w:p>
        </w:tc>
        <w:tc>
          <w:tcPr>
            <w:tcW w:w="1297" w:type="dxa"/>
            <w:shd w:val="clear" w:color="auto" w:fill="FFFFFF"/>
          </w:tcPr>
          <w:p w14:paraId="70EAE385" w14:textId="77777777" w:rsidR="00B2304E" w:rsidRPr="009340D5" w:rsidRDefault="00B2304E" w:rsidP="00310FD8">
            <w:pPr>
              <w:rPr>
                <w:rFonts w:ascii="Century Gothic" w:hAnsi="Century Gothic"/>
                <w:szCs w:val="22"/>
              </w:rPr>
            </w:pPr>
          </w:p>
        </w:tc>
        <w:tc>
          <w:tcPr>
            <w:tcW w:w="1297" w:type="dxa"/>
            <w:shd w:val="clear" w:color="auto" w:fill="FFFFFF"/>
          </w:tcPr>
          <w:p w14:paraId="7E27654A" w14:textId="77777777" w:rsidR="00B2304E" w:rsidRPr="009340D5" w:rsidRDefault="00B2304E" w:rsidP="00310FD8">
            <w:pPr>
              <w:rPr>
                <w:rFonts w:ascii="Century Gothic" w:hAnsi="Century Gothic"/>
                <w:szCs w:val="22"/>
              </w:rPr>
            </w:pPr>
          </w:p>
        </w:tc>
      </w:tr>
      <w:tr w:rsidR="00B2304E" w:rsidRPr="006D6566" w14:paraId="2F35FD7C" w14:textId="77777777" w:rsidTr="00310FD8">
        <w:trPr>
          <w:trHeight w:val="330"/>
        </w:trPr>
        <w:tc>
          <w:tcPr>
            <w:tcW w:w="1422" w:type="dxa"/>
            <w:shd w:val="clear" w:color="auto" w:fill="FFFFFF"/>
          </w:tcPr>
          <w:p w14:paraId="051E35B5"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$21,500 </w:t>
            </w:r>
          </w:p>
        </w:tc>
        <w:tc>
          <w:tcPr>
            <w:tcW w:w="1170" w:type="dxa"/>
            <w:shd w:val="clear" w:color="auto" w:fill="FFFFFF"/>
          </w:tcPr>
          <w:p w14:paraId="72FF0E75"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$22,499 </w:t>
            </w:r>
          </w:p>
        </w:tc>
        <w:tc>
          <w:tcPr>
            <w:tcW w:w="2070" w:type="dxa"/>
            <w:shd w:val="clear" w:color="auto" w:fill="FFFFFF"/>
          </w:tcPr>
          <w:p w14:paraId="3DDA9710"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$511 </w:t>
            </w:r>
          </w:p>
        </w:tc>
        <w:tc>
          <w:tcPr>
            <w:tcW w:w="630" w:type="dxa"/>
            <w:shd w:val="clear" w:color="auto" w:fill="FFFFFF"/>
          </w:tcPr>
          <w:p w14:paraId="05E224B2" w14:textId="77777777" w:rsidR="00B2304E" w:rsidRPr="009340D5" w:rsidRDefault="00B2304E" w:rsidP="00310FD8">
            <w:pPr>
              <w:rPr>
                <w:rFonts w:ascii="Century Gothic" w:hAnsi="Century Gothic"/>
                <w:szCs w:val="22"/>
              </w:rPr>
            </w:pPr>
          </w:p>
        </w:tc>
        <w:tc>
          <w:tcPr>
            <w:tcW w:w="1673" w:type="dxa"/>
            <w:shd w:val="clear" w:color="auto" w:fill="FFFFFF"/>
          </w:tcPr>
          <w:p w14:paraId="4FA67902" w14:textId="77777777" w:rsidR="00B2304E" w:rsidRPr="009340D5" w:rsidRDefault="00B2304E" w:rsidP="00310FD8">
            <w:pPr>
              <w:rPr>
                <w:rFonts w:ascii="Century Gothic" w:hAnsi="Century Gothic"/>
                <w:szCs w:val="22"/>
              </w:rPr>
            </w:pPr>
          </w:p>
        </w:tc>
        <w:tc>
          <w:tcPr>
            <w:tcW w:w="1297" w:type="dxa"/>
            <w:shd w:val="clear" w:color="auto" w:fill="FFFFFF"/>
          </w:tcPr>
          <w:p w14:paraId="407D3258" w14:textId="77777777" w:rsidR="00B2304E" w:rsidRPr="009340D5" w:rsidRDefault="00B2304E" w:rsidP="00310FD8">
            <w:pPr>
              <w:rPr>
                <w:rFonts w:ascii="Century Gothic" w:hAnsi="Century Gothic"/>
                <w:szCs w:val="22"/>
              </w:rPr>
            </w:pPr>
          </w:p>
        </w:tc>
        <w:tc>
          <w:tcPr>
            <w:tcW w:w="1297" w:type="dxa"/>
            <w:shd w:val="clear" w:color="auto" w:fill="FFFFFF"/>
          </w:tcPr>
          <w:p w14:paraId="1E013409" w14:textId="77777777" w:rsidR="00B2304E" w:rsidRPr="009340D5" w:rsidRDefault="00B2304E" w:rsidP="00310FD8">
            <w:pPr>
              <w:rPr>
                <w:rFonts w:ascii="Century Gothic" w:hAnsi="Century Gothic"/>
                <w:szCs w:val="22"/>
              </w:rPr>
            </w:pPr>
          </w:p>
        </w:tc>
      </w:tr>
      <w:tr w:rsidR="00B2304E" w:rsidRPr="006D6566" w14:paraId="267C3E62" w14:textId="77777777" w:rsidTr="00310FD8">
        <w:trPr>
          <w:trHeight w:val="330"/>
        </w:trPr>
        <w:tc>
          <w:tcPr>
            <w:tcW w:w="1422" w:type="dxa"/>
            <w:shd w:val="clear" w:color="auto" w:fill="FFFFFF"/>
          </w:tcPr>
          <w:p w14:paraId="454A4B13"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$22,500 </w:t>
            </w:r>
          </w:p>
        </w:tc>
        <w:tc>
          <w:tcPr>
            <w:tcW w:w="1170" w:type="dxa"/>
            <w:shd w:val="clear" w:color="auto" w:fill="FFFFFF"/>
          </w:tcPr>
          <w:p w14:paraId="4E2EE740"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$23,499 </w:t>
            </w:r>
          </w:p>
        </w:tc>
        <w:tc>
          <w:tcPr>
            <w:tcW w:w="2070" w:type="dxa"/>
            <w:shd w:val="clear" w:color="auto" w:fill="FFFFFF"/>
          </w:tcPr>
          <w:p w14:paraId="786A69CC"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$534 </w:t>
            </w:r>
          </w:p>
        </w:tc>
        <w:tc>
          <w:tcPr>
            <w:tcW w:w="630" w:type="dxa"/>
            <w:shd w:val="clear" w:color="auto" w:fill="FFFFFF"/>
          </w:tcPr>
          <w:p w14:paraId="2569B85D" w14:textId="77777777" w:rsidR="00B2304E" w:rsidRPr="009340D5" w:rsidRDefault="00B2304E" w:rsidP="00310FD8">
            <w:pPr>
              <w:rPr>
                <w:rFonts w:ascii="Century Gothic" w:hAnsi="Century Gothic"/>
                <w:szCs w:val="22"/>
              </w:rPr>
            </w:pPr>
          </w:p>
        </w:tc>
        <w:tc>
          <w:tcPr>
            <w:tcW w:w="1673" w:type="dxa"/>
            <w:shd w:val="clear" w:color="auto" w:fill="FFFFFF"/>
          </w:tcPr>
          <w:p w14:paraId="63D287FF" w14:textId="77777777" w:rsidR="00B2304E" w:rsidRPr="009340D5" w:rsidRDefault="00B2304E" w:rsidP="00310FD8">
            <w:pPr>
              <w:rPr>
                <w:rFonts w:ascii="Century Gothic" w:hAnsi="Century Gothic"/>
                <w:szCs w:val="22"/>
              </w:rPr>
            </w:pPr>
          </w:p>
        </w:tc>
        <w:tc>
          <w:tcPr>
            <w:tcW w:w="1297" w:type="dxa"/>
            <w:shd w:val="clear" w:color="auto" w:fill="FFFFFF"/>
          </w:tcPr>
          <w:p w14:paraId="1EB83507" w14:textId="77777777" w:rsidR="00B2304E" w:rsidRPr="009340D5" w:rsidRDefault="00B2304E" w:rsidP="00310FD8">
            <w:pPr>
              <w:rPr>
                <w:rFonts w:ascii="Century Gothic" w:hAnsi="Century Gothic"/>
                <w:szCs w:val="22"/>
              </w:rPr>
            </w:pPr>
          </w:p>
        </w:tc>
        <w:tc>
          <w:tcPr>
            <w:tcW w:w="1297" w:type="dxa"/>
            <w:shd w:val="clear" w:color="auto" w:fill="FFFFFF"/>
          </w:tcPr>
          <w:p w14:paraId="1BD71CE5" w14:textId="77777777" w:rsidR="00B2304E" w:rsidRPr="009340D5" w:rsidRDefault="00B2304E" w:rsidP="00310FD8">
            <w:pPr>
              <w:rPr>
                <w:rFonts w:ascii="Century Gothic" w:hAnsi="Century Gothic"/>
                <w:szCs w:val="22"/>
              </w:rPr>
            </w:pPr>
          </w:p>
        </w:tc>
      </w:tr>
      <w:tr w:rsidR="00B2304E" w:rsidRPr="006D6566" w14:paraId="7610ECF8" w14:textId="77777777" w:rsidTr="00310FD8">
        <w:trPr>
          <w:trHeight w:val="330"/>
        </w:trPr>
        <w:tc>
          <w:tcPr>
            <w:tcW w:w="1422" w:type="dxa"/>
            <w:shd w:val="clear" w:color="auto" w:fill="FFFFFF"/>
          </w:tcPr>
          <w:p w14:paraId="0771EA21"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$23,500 </w:t>
            </w:r>
          </w:p>
        </w:tc>
        <w:tc>
          <w:tcPr>
            <w:tcW w:w="1170" w:type="dxa"/>
            <w:shd w:val="clear" w:color="auto" w:fill="FFFFFF"/>
          </w:tcPr>
          <w:p w14:paraId="382FB421"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$24,499 </w:t>
            </w:r>
          </w:p>
        </w:tc>
        <w:tc>
          <w:tcPr>
            <w:tcW w:w="2070" w:type="dxa"/>
            <w:shd w:val="clear" w:color="auto" w:fill="FFFFFF"/>
          </w:tcPr>
          <w:p w14:paraId="191E1C0D"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$558 </w:t>
            </w:r>
          </w:p>
        </w:tc>
        <w:tc>
          <w:tcPr>
            <w:tcW w:w="630" w:type="dxa"/>
            <w:shd w:val="clear" w:color="auto" w:fill="FFFFFF"/>
          </w:tcPr>
          <w:p w14:paraId="3326CBD5" w14:textId="77777777" w:rsidR="00B2304E" w:rsidRPr="009340D5" w:rsidRDefault="00B2304E" w:rsidP="00310FD8">
            <w:pPr>
              <w:rPr>
                <w:rFonts w:ascii="Century Gothic" w:hAnsi="Century Gothic"/>
                <w:szCs w:val="22"/>
              </w:rPr>
            </w:pPr>
          </w:p>
        </w:tc>
        <w:tc>
          <w:tcPr>
            <w:tcW w:w="1673" w:type="dxa"/>
            <w:shd w:val="clear" w:color="auto" w:fill="FFFFFF"/>
          </w:tcPr>
          <w:p w14:paraId="72666B30" w14:textId="77777777" w:rsidR="00B2304E" w:rsidRPr="009340D5" w:rsidRDefault="00B2304E" w:rsidP="00310FD8">
            <w:pPr>
              <w:rPr>
                <w:rFonts w:ascii="Century Gothic" w:hAnsi="Century Gothic"/>
                <w:szCs w:val="22"/>
              </w:rPr>
            </w:pPr>
          </w:p>
        </w:tc>
        <w:tc>
          <w:tcPr>
            <w:tcW w:w="1297" w:type="dxa"/>
            <w:shd w:val="clear" w:color="auto" w:fill="FFFFFF"/>
          </w:tcPr>
          <w:p w14:paraId="5E2B1535" w14:textId="77777777" w:rsidR="00B2304E" w:rsidRPr="009340D5" w:rsidRDefault="00B2304E" w:rsidP="00310FD8">
            <w:pPr>
              <w:rPr>
                <w:rFonts w:ascii="Century Gothic" w:hAnsi="Century Gothic"/>
                <w:szCs w:val="22"/>
              </w:rPr>
            </w:pPr>
          </w:p>
        </w:tc>
        <w:tc>
          <w:tcPr>
            <w:tcW w:w="1297" w:type="dxa"/>
            <w:shd w:val="clear" w:color="auto" w:fill="FFFFFF"/>
          </w:tcPr>
          <w:p w14:paraId="35D98D5D" w14:textId="77777777" w:rsidR="00B2304E" w:rsidRPr="009340D5" w:rsidRDefault="00B2304E" w:rsidP="00310FD8">
            <w:pPr>
              <w:rPr>
                <w:rFonts w:ascii="Century Gothic" w:hAnsi="Century Gothic"/>
                <w:szCs w:val="22"/>
              </w:rPr>
            </w:pPr>
          </w:p>
        </w:tc>
      </w:tr>
      <w:tr w:rsidR="00B2304E" w:rsidRPr="006D6566" w14:paraId="2DF26FCE" w14:textId="77777777" w:rsidTr="00310FD8">
        <w:trPr>
          <w:trHeight w:val="330"/>
        </w:trPr>
        <w:tc>
          <w:tcPr>
            <w:tcW w:w="1422" w:type="dxa"/>
            <w:shd w:val="clear" w:color="auto" w:fill="FFFFFF"/>
          </w:tcPr>
          <w:p w14:paraId="025FCB2D"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$24,500 </w:t>
            </w:r>
          </w:p>
        </w:tc>
        <w:tc>
          <w:tcPr>
            <w:tcW w:w="1170" w:type="dxa"/>
            <w:shd w:val="clear" w:color="auto" w:fill="FFFFFF"/>
          </w:tcPr>
          <w:p w14:paraId="3002322C"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$25,499 </w:t>
            </w:r>
          </w:p>
        </w:tc>
        <w:tc>
          <w:tcPr>
            <w:tcW w:w="2070" w:type="dxa"/>
            <w:shd w:val="clear" w:color="auto" w:fill="FFFFFF"/>
          </w:tcPr>
          <w:p w14:paraId="5F4B9DFF"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$582 </w:t>
            </w:r>
          </w:p>
        </w:tc>
        <w:tc>
          <w:tcPr>
            <w:tcW w:w="630" w:type="dxa"/>
            <w:shd w:val="clear" w:color="auto" w:fill="FFFFFF"/>
          </w:tcPr>
          <w:p w14:paraId="72F93293" w14:textId="77777777" w:rsidR="00B2304E" w:rsidRPr="009340D5" w:rsidRDefault="00B2304E" w:rsidP="00310FD8">
            <w:pPr>
              <w:rPr>
                <w:rFonts w:ascii="Century Gothic" w:hAnsi="Century Gothic"/>
                <w:szCs w:val="22"/>
              </w:rPr>
            </w:pPr>
          </w:p>
        </w:tc>
        <w:tc>
          <w:tcPr>
            <w:tcW w:w="1673" w:type="dxa"/>
            <w:shd w:val="clear" w:color="auto" w:fill="FFFFFF"/>
          </w:tcPr>
          <w:p w14:paraId="5D1623AB" w14:textId="77777777" w:rsidR="00B2304E" w:rsidRPr="009340D5" w:rsidRDefault="00B2304E" w:rsidP="00310FD8">
            <w:pPr>
              <w:rPr>
                <w:rFonts w:ascii="Century Gothic" w:hAnsi="Century Gothic"/>
                <w:szCs w:val="22"/>
              </w:rPr>
            </w:pPr>
          </w:p>
        </w:tc>
        <w:tc>
          <w:tcPr>
            <w:tcW w:w="1297" w:type="dxa"/>
            <w:shd w:val="clear" w:color="auto" w:fill="FFFFFF"/>
          </w:tcPr>
          <w:p w14:paraId="3563311C" w14:textId="77777777" w:rsidR="00B2304E" w:rsidRPr="009340D5" w:rsidRDefault="00B2304E" w:rsidP="00310FD8">
            <w:pPr>
              <w:rPr>
                <w:rFonts w:ascii="Century Gothic" w:hAnsi="Century Gothic"/>
                <w:szCs w:val="22"/>
              </w:rPr>
            </w:pPr>
          </w:p>
        </w:tc>
        <w:tc>
          <w:tcPr>
            <w:tcW w:w="1297" w:type="dxa"/>
            <w:shd w:val="clear" w:color="auto" w:fill="FFFFFF"/>
          </w:tcPr>
          <w:p w14:paraId="395FDEC8" w14:textId="77777777" w:rsidR="00B2304E" w:rsidRPr="009340D5" w:rsidRDefault="00B2304E" w:rsidP="00310FD8">
            <w:pPr>
              <w:rPr>
                <w:rFonts w:ascii="Century Gothic" w:hAnsi="Century Gothic"/>
                <w:szCs w:val="22"/>
              </w:rPr>
            </w:pPr>
          </w:p>
        </w:tc>
      </w:tr>
      <w:tr w:rsidR="00B2304E" w:rsidRPr="006D6566" w14:paraId="278EE3F4" w14:textId="77777777" w:rsidTr="00310FD8">
        <w:trPr>
          <w:trHeight w:val="330"/>
        </w:trPr>
        <w:tc>
          <w:tcPr>
            <w:tcW w:w="1422" w:type="dxa"/>
            <w:shd w:val="clear" w:color="auto" w:fill="FFFFFF"/>
          </w:tcPr>
          <w:p w14:paraId="48B800CF"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$25,500 </w:t>
            </w:r>
          </w:p>
        </w:tc>
        <w:tc>
          <w:tcPr>
            <w:tcW w:w="1170" w:type="dxa"/>
            <w:shd w:val="clear" w:color="auto" w:fill="FFFFFF"/>
          </w:tcPr>
          <w:p w14:paraId="5603F045"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$26,499 </w:t>
            </w:r>
          </w:p>
        </w:tc>
        <w:tc>
          <w:tcPr>
            <w:tcW w:w="2070" w:type="dxa"/>
            <w:shd w:val="clear" w:color="auto" w:fill="FFFFFF"/>
          </w:tcPr>
          <w:p w14:paraId="7025768F"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$606 </w:t>
            </w:r>
          </w:p>
        </w:tc>
        <w:tc>
          <w:tcPr>
            <w:tcW w:w="630" w:type="dxa"/>
            <w:shd w:val="clear" w:color="auto" w:fill="FFFFFF"/>
          </w:tcPr>
          <w:p w14:paraId="68423093" w14:textId="77777777" w:rsidR="00B2304E" w:rsidRPr="009340D5" w:rsidRDefault="00B2304E" w:rsidP="00310FD8">
            <w:pPr>
              <w:rPr>
                <w:rFonts w:ascii="Century Gothic" w:hAnsi="Century Gothic"/>
                <w:szCs w:val="22"/>
              </w:rPr>
            </w:pPr>
          </w:p>
        </w:tc>
        <w:tc>
          <w:tcPr>
            <w:tcW w:w="1673" w:type="dxa"/>
            <w:shd w:val="clear" w:color="auto" w:fill="FFFFFF"/>
          </w:tcPr>
          <w:p w14:paraId="4E4E7582" w14:textId="77777777" w:rsidR="00B2304E" w:rsidRPr="009340D5" w:rsidRDefault="00B2304E" w:rsidP="00310FD8">
            <w:pPr>
              <w:rPr>
                <w:rFonts w:ascii="Century Gothic" w:hAnsi="Century Gothic"/>
                <w:szCs w:val="22"/>
              </w:rPr>
            </w:pPr>
          </w:p>
        </w:tc>
        <w:tc>
          <w:tcPr>
            <w:tcW w:w="1297" w:type="dxa"/>
            <w:shd w:val="clear" w:color="auto" w:fill="FFFFFF"/>
          </w:tcPr>
          <w:p w14:paraId="32FECA9A" w14:textId="77777777" w:rsidR="00B2304E" w:rsidRPr="009340D5" w:rsidRDefault="00B2304E" w:rsidP="00310FD8">
            <w:pPr>
              <w:rPr>
                <w:rFonts w:ascii="Century Gothic" w:hAnsi="Century Gothic"/>
                <w:szCs w:val="22"/>
              </w:rPr>
            </w:pPr>
          </w:p>
        </w:tc>
        <w:tc>
          <w:tcPr>
            <w:tcW w:w="1297" w:type="dxa"/>
            <w:shd w:val="clear" w:color="auto" w:fill="FFFFFF"/>
          </w:tcPr>
          <w:p w14:paraId="73AF4FA2" w14:textId="77777777" w:rsidR="00B2304E" w:rsidRPr="009340D5" w:rsidRDefault="00B2304E" w:rsidP="00310FD8">
            <w:pPr>
              <w:rPr>
                <w:rFonts w:ascii="Century Gothic" w:hAnsi="Century Gothic"/>
                <w:szCs w:val="22"/>
              </w:rPr>
            </w:pPr>
          </w:p>
        </w:tc>
      </w:tr>
      <w:tr w:rsidR="00B2304E" w:rsidRPr="006D6566" w14:paraId="7FC308F1" w14:textId="77777777" w:rsidTr="00310FD8">
        <w:trPr>
          <w:trHeight w:val="330"/>
        </w:trPr>
        <w:tc>
          <w:tcPr>
            <w:tcW w:w="1422" w:type="dxa"/>
            <w:shd w:val="clear" w:color="auto" w:fill="FFFFFF"/>
          </w:tcPr>
          <w:p w14:paraId="2FCBC2E9"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$26,500 </w:t>
            </w:r>
          </w:p>
        </w:tc>
        <w:tc>
          <w:tcPr>
            <w:tcW w:w="1170" w:type="dxa"/>
            <w:shd w:val="clear" w:color="auto" w:fill="FFFFFF"/>
          </w:tcPr>
          <w:p w14:paraId="3701321F"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$27,499 </w:t>
            </w:r>
          </w:p>
        </w:tc>
        <w:tc>
          <w:tcPr>
            <w:tcW w:w="2070" w:type="dxa"/>
            <w:shd w:val="clear" w:color="auto" w:fill="FFFFFF"/>
          </w:tcPr>
          <w:p w14:paraId="43ECA20F"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$629 </w:t>
            </w:r>
          </w:p>
        </w:tc>
        <w:tc>
          <w:tcPr>
            <w:tcW w:w="630" w:type="dxa"/>
            <w:shd w:val="clear" w:color="auto" w:fill="FFFFFF"/>
          </w:tcPr>
          <w:p w14:paraId="6811E846" w14:textId="77777777" w:rsidR="00B2304E" w:rsidRPr="009340D5" w:rsidRDefault="00B2304E" w:rsidP="00310FD8">
            <w:pPr>
              <w:rPr>
                <w:rFonts w:ascii="Century Gothic" w:hAnsi="Century Gothic"/>
                <w:szCs w:val="22"/>
              </w:rPr>
            </w:pPr>
          </w:p>
        </w:tc>
        <w:tc>
          <w:tcPr>
            <w:tcW w:w="1673" w:type="dxa"/>
            <w:shd w:val="clear" w:color="auto" w:fill="FFFFFF"/>
          </w:tcPr>
          <w:p w14:paraId="1208A292" w14:textId="77777777" w:rsidR="00B2304E" w:rsidRPr="009340D5" w:rsidRDefault="00B2304E" w:rsidP="00310FD8">
            <w:pPr>
              <w:rPr>
                <w:rFonts w:ascii="Century Gothic" w:hAnsi="Century Gothic"/>
                <w:szCs w:val="22"/>
              </w:rPr>
            </w:pPr>
          </w:p>
        </w:tc>
        <w:tc>
          <w:tcPr>
            <w:tcW w:w="1297" w:type="dxa"/>
            <w:shd w:val="clear" w:color="auto" w:fill="FFFFFF"/>
          </w:tcPr>
          <w:p w14:paraId="7051660C" w14:textId="77777777" w:rsidR="00B2304E" w:rsidRPr="009340D5" w:rsidRDefault="00B2304E" w:rsidP="00310FD8">
            <w:pPr>
              <w:rPr>
                <w:rFonts w:ascii="Century Gothic" w:hAnsi="Century Gothic"/>
                <w:szCs w:val="22"/>
              </w:rPr>
            </w:pPr>
          </w:p>
        </w:tc>
        <w:tc>
          <w:tcPr>
            <w:tcW w:w="1297" w:type="dxa"/>
            <w:shd w:val="clear" w:color="auto" w:fill="FFFFFF"/>
          </w:tcPr>
          <w:p w14:paraId="7DC4BE3C" w14:textId="77777777" w:rsidR="00B2304E" w:rsidRPr="009340D5" w:rsidRDefault="00B2304E" w:rsidP="00310FD8">
            <w:pPr>
              <w:rPr>
                <w:rFonts w:ascii="Century Gothic" w:hAnsi="Century Gothic"/>
                <w:szCs w:val="22"/>
              </w:rPr>
            </w:pPr>
          </w:p>
        </w:tc>
      </w:tr>
      <w:tr w:rsidR="00B2304E" w:rsidRPr="006D6566" w14:paraId="0D8E3712" w14:textId="77777777" w:rsidTr="00310FD8">
        <w:trPr>
          <w:trHeight w:val="330"/>
        </w:trPr>
        <w:tc>
          <w:tcPr>
            <w:tcW w:w="1422" w:type="dxa"/>
            <w:shd w:val="clear" w:color="auto" w:fill="FFFFFF"/>
          </w:tcPr>
          <w:p w14:paraId="783AFD35"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$27,500 </w:t>
            </w:r>
          </w:p>
        </w:tc>
        <w:tc>
          <w:tcPr>
            <w:tcW w:w="1170" w:type="dxa"/>
            <w:shd w:val="clear" w:color="auto" w:fill="FFFFFF"/>
          </w:tcPr>
          <w:p w14:paraId="0A10DD9B"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$28,499 </w:t>
            </w:r>
          </w:p>
        </w:tc>
        <w:tc>
          <w:tcPr>
            <w:tcW w:w="2070" w:type="dxa"/>
            <w:shd w:val="clear" w:color="auto" w:fill="FFFFFF"/>
          </w:tcPr>
          <w:p w14:paraId="441246D2"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$653 </w:t>
            </w:r>
          </w:p>
        </w:tc>
        <w:tc>
          <w:tcPr>
            <w:tcW w:w="630" w:type="dxa"/>
            <w:shd w:val="clear" w:color="auto" w:fill="FFFFFF"/>
          </w:tcPr>
          <w:p w14:paraId="0C33B305" w14:textId="77777777" w:rsidR="00B2304E" w:rsidRPr="009340D5" w:rsidRDefault="00B2304E" w:rsidP="00310FD8">
            <w:pPr>
              <w:rPr>
                <w:rFonts w:ascii="Century Gothic" w:hAnsi="Century Gothic"/>
                <w:szCs w:val="22"/>
              </w:rPr>
            </w:pPr>
          </w:p>
        </w:tc>
        <w:tc>
          <w:tcPr>
            <w:tcW w:w="1673" w:type="dxa"/>
            <w:shd w:val="clear" w:color="auto" w:fill="FFFFFF"/>
          </w:tcPr>
          <w:p w14:paraId="36677A4B" w14:textId="77777777" w:rsidR="00B2304E" w:rsidRPr="009340D5" w:rsidRDefault="00B2304E" w:rsidP="00310FD8">
            <w:pPr>
              <w:rPr>
                <w:rFonts w:ascii="Century Gothic" w:hAnsi="Century Gothic"/>
                <w:szCs w:val="22"/>
              </w:rPr>
            </w:pPr>
          </w:p>
        </w:tc>
        <w:tc>
          <w:tcPr>
            <w:tcW w:w="1297" w:type="dxa"/>
            <w:shd w:val="clear" w:color="auto" w:fill="FFFFFF"/>
          </w:tcPr>
          <w:p w14:paraId="3ACB60EB" w14:textId="77777777" w:rsidR="00B2304E" w:rsidRPr="009340D5" w:rsidRDefault="00B2304E" w:rsidP="00310FD8">
            <w:pPr>
              <w:rPr>
                <w:rFonts w:ascii="Century Gothic" w:hAnsi="Century Gothic"/>
                <w:szCs w:val="22"/>
              </w:rPr>
            </w:pPr>
          </w:p>
        </w:tc>
        <w:tc>
          <w:tcPr>
            <w:tcW w:w="1297" w:type="dxa"/>
            <w:shd w:val="clear" w:color="auto" w:fill="FFFFFF"/>
          </w:tcPr>
          <w:p w14:paraId="2751F0C3" w14:textId="77777777" w:rsidR="00B2304E" w:rsidRPr="009340D5" w:rsidRDefault="00B2304E" w:rsidP="00310FD8">
            <w:pPr>
              <w:rPr>
                <w:rFonts w:ascii="Century Gothic" w:hAnsi="Century Gothic"/>
                <w:szCs w:val="22"/>
              </w:rPr>
            </w:pPr>
          </w:p>
        </w:tc>
      </w:tr>
      <w:tr w:rsidR="00B2304E" w:rsidRPr="006D6566" w14:paraId="7D046130" w14:textId="77777777" w:rsidTr="00310FD8">
        <w:trPr>
          <w:trHeight w:val="330"/>
        </w:trPr>
        <w:tc>
          <w:tcPr>
            <w:tcW w:w="1422" w:type="dxa"/>
            <w:shd w:val="clear" w:color="auto" w:fill="FFFFFF"/>
          </w:tcPr>
          <w:p w14:paraId="23E352EE"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$28,500 </w:t>
            </w:r>
          </w:p>
        </w:tc>
        <w:tc>
          <w:tcPr>
            <w:tcW w:w="1170" w:type="dxa"/>
            <w:shd w:val="clear" w:color="auto" w:fill="FFFFFF"/>
          </w:tcPr>
          <w:p w14:paraId="62F14070"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$29,499 </w:t>
            </w:r>
          </w:p>
        </w:tc>
        <w:tc>
          <w:tcPr>
            <w:tcW w:w="2070" w:type="dxa"/>
            <w:shd w:val="clear" w:color="auto" w:fill="FFFFFF"/>
          </w:tcPr>
          <w:p w14:paraId="5C41E992"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$677 </w:t>
            </w:r>
          </w:p>
        </w:tc>
        <w:tc>
          <w:tcPr>
            <w:tcW w:w="630" w:type="dxa"/>
            <w:shd w:val="clear" w:color="auto" w:fill="FFFFFF"/>
          </w:tcPr>
          <w:p w14:paraId="67AA5A8E" w14:textId="77777777" w:rsidR="00B2304E" w:rsidRPr="009340D5" w:rsidRDefault="00B2304E" w:rsidP="00310FD8">
            <w:pPr>
              <w:rPr>
                <w:rFonts w:ascii="Century Gothic" w:hAnsi="Century Gothic"/>
                <w:szCs w:val="22"/>
              </w:rPr>
            </w:pPr>
          </w:p>
        </w:tc>
        <w:tc>
          <w:tcPr>
            <w:tcW w:w="1673" w:type="dxa"/>
            <w:shd w:val="clear" w:color="auto" w:fill="FFFFFF"/>
          </w:tcPr>
          <w:p w14:paraId="0D60F598" w14:textId="77777777" w:rsidR="00B2304E" w:rsidRPr="009340D5" w:rsidRDefault="00B2304E" w:rsidP="00310FD8">
            <w:pPr>
              <w:rPr>
                <w:rFonts w:ascii="Century Gothic" w:hAnsi="Century Gothic"/>
                <w:szCs w:val="22"/>
              </w:rPr>
            </w:pPr>
          </w:p>
        </w:tc>
        <w:tc>
          <w:tcPr>
            <w:tcW w:w="1297" w:type="dxa"/>
            <w:shd w:val="clear" w:color="auto" w:fill="FFFFFF"/>
          </w:tcPr>
          <w:p w14:paraId="5BBA934C" w14:textId="77777777" w:rsidR="00B2304E" w:rsidRPr="009340D5" w:rsidRDefault="00B2304E" w:rsidP="00310FD8">
            <w:pPr>
              <w:rPr>
                <w:rFonts w:ascii="Century Gothic" w:hAnsi="Century Gothic"/>
                <w:szCs w:val="22"/>
              </w:rPr>
            </w:pPr>
          </w:p>
        </w:tc>
        <w:tc>
          <w:tcPr>
            <w:tcW w:w="1297" w:type="dxa"/>
            <w:shd w:val="clear" w:color="auto" w:fill="FFFFFF"/>
          </w:tcPr>
          <w:p w14:paraId="1FB1A49A" w14:textId="77777777" w:rsidR="00B2304E" w:rsidRPr="009340D5" w:rsidRDefault="00B2304E" w:rsidP="00310FD8">
            <w:pPr>
              <w:rPr>
                <w:rFonts w:ascii="Century Gothic" w:hAnsi="Century Gothic"/>
                <w:szCs w:val="22"/>
              </w:rPr>
            </w:pPr>
          </w:p>
        </w:tc>
      </w:tr>
      <w:tr w:rsidR="00B2304E" w:rsidRPr="006D6566" w14:paraId="667D41EE" w14:textId="77777777" w:rsidTr="00310FD8">
        <w:trPr>
          <w:trHeight w:val="330"/>
        </w:trPr>
        <w:tc>
          <w:tcPr>
            <w:tcW w:w="1422" w:type="dxa"/>
            <w:shd w:val="clear" w:color="auto" w:fill="FFFFFF"/>
          </w:tcPr>
          <w:p w14:paraId="2C1165F3"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$29,500 </w:t>
            </w:r>
          </w:p>
        </w:tc>
        <w:tc>
          <w:tcPr>
            <w:tcW w:w="1170" w:type="dxa"/>
            <w:shd w:val="clear" w:color="auto" w:fill="FFFFFF"/>
          </w:tcPr>
          <w:p w14:paraId="3280EA54"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$30,499 </w:t>
            </w:r>
          </w:p>
        </w:tc>
        <w:tc>
          <w:tcPr>
            <w:tcW w:w="2070" w:type="dxa"/>
            <w:shd w:val="clear" w:color="auto" w:fill="FFFFFF"/>
          </w:tcPr>
          <w:p w14:paraId="16AA6432"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$701 </w:t>
            </w:r>
          </w:p>
        </w:tc>
        <w:tc>
          <w:tcPr>
            <w:tcW w:w="630" w:type="dxa"/>
            <w:shd w:val="clear" w:color="auto" w:fill="FFFFFF"/>
          </w:tcPr>
          <w:p w14:paraId="21D2972D" w14:textId="77777777" w:rsidR="00B2304E" w:rsidRPr="009340D5" w:rsidRDefault="00B2304E" w:rsidP="00310FD8">
            <w:pPr>
              <w:rPr>
                <w:rFonts w:ascii="Century Gothic" w:hAnsi="Century Gothic"/>
                <w:szCs w:val="22"/>
              </w:rPr>
            </w:pPr>
          </w:p>
        </w:tc>
        <w:tc>
          <w:tcPr>
            <w:tcW w:w="1673" w:type="dxa"/>
            <w:shd w:val="clear" w:color="auto" w:fill="FFFFFF"/>
          </w:tcPr>
          <w:p w14:paraId="26FE57FD" w14:textId="77777777" w:rsidR="00B2304E" w:rsidRPr="009340D5" w:rsidRDefault="00B2304E" w:rsidP="00310FD8">
            <w:pPr>
              <w:rPr>
                <w:rFonts w:ascii="Century Gothic" w:hAnsi="Century Gothic"/>
                <w:szCs w:val="22"/>
              </w:rPr>
            </w:pPr>
          </w:p>
        </w:tc>
        <w:tc>
          <w:tcPr>
            <w:tcW w:w="1297" w:type="dxa"/>
            <w:shd w:val="clear" w:color="auto" w:fill="FFFFFF"/>
          </w:tcPr>
          <w:p w14:paraId="0682590F" w14:textId="77777777" w:rsidR="00B2304E" w:rsidRPr="009340D5" w:rsidRDefault="00B2304E" w:rsidP="00310FD8">
            <w:pPr>
              <w:rPr>
                <w:rFonts w:ascii="Century Gothic" w:hAnsi="Century Gothic"/>
                <w:szCs w:val="22"/>
              </w:rPr>
            </w:pPr>
          </w:p>
        </w:tc>
        <w:tc>
          <w:tcPr>
            <w:tcW w:w="1297" w:type="dxa"/>
            <w:shd w:val="clear" w:color="auto" w:fill="FFFFFF"/>
          </w:tcPr>
          <w:p w14:paraId="519F4740" w14:textId="77777777" w:rsidR="00B2304E" w:rsidRPr="009340D5" w:rsidRDefault="00B2304E" w:rsidP="00310FD8">
            <w:pPr>
              <w:rPr>
                <w:rFonts w:ascii="Century Gothic" w:hAnsi="Century Gothic"/>
                <w:szCs w:val="22"/>
              </w:rPr>
            </w:pPr>
          </w:p>
        </w:tc>
      </w:tr>
      <w:tr w:rsidR="00B2304E" w:rsidRPr="006D6566" w14:paraId="5D7AA7EA" w14:textId="77777777" w:rsidTr="00310FD8">
        <w:trPr>
          <w:trHeight w:val="330"/>
        </w:trPr>
        <w:tc>
          <w:tcPr>
            <w:tcW w:w="1422" w:type="dxa"/>
            <w:shd w:val="clear" w:color="auto" w:fill="FFFFFF"/>
          </w:tcPr>
          <w:p w14:paraId="6E5745F0"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$30,500 </w:t>
            </w:r>
          </w:p>
        </w:tc>
        <w:tc>
          <w:tcPr>
            <w:tcW w:w="1170" w:type="dxa"/>
            <w:shd w:val="clear" w:color="auto" w:fill="FFFFFF"/>
          </w:tcPr>
          <w:p w14:paraId="2522F968"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$31,499 </w:t>
            </w:r>
          </w:p>
        </w:tc>
        <w:tc>
          <w:tcPr>
            <w:tcW w:w="2070" w:type="dxa"/>
            <w:shd w:val="clear" w:color="auto" w:fill="FFFFFF"/>
          </w:tcPr>
          <w:p w14:paraId="49C6CFF1"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$724 </w:t>
            </w:r>
          </w:p>
        </w:tc>
        <w:tc>
          <w:tcPr>
            <w:tcW w:w="630" w:type="dxa"/>
            <w:shd w:val="clear" w:color="auto" w:fill="FFFFFF"/>
          </w:tcPr>
          <w:p w14:paraId="6B241D20" w14:textId="77777777" w:rsidR="00B2304E" w:rsidRPr="009340D5" w:rsidRDefault="00B2304E" w:rsidP="00310FD8">
            <w:pPr>
              <w:rPr>
                <w:rFonts w:ascii="Century Gothic" w:hAnsi="Century Gothic"/>
                <w:szCs w:val="22"/>
              </w:rPr>
            </w:pPr>
          </w:p>
        </w:tc>
        <w:tc>
          <w:tcPr>
            <w:tcW w:w="1673" w:type="dxa"/>
            <w:shd w:val="clear" w:color="auto" w:fill="FFFFFF"/>
          </w:tcPr>
          <w:p w14:paraId="637E46E4" w14:textId="77777777" w:rsidR="00B2304E" w:rsidRPr="009340D5" w:rsidRDefault="00B2304E" w:rsidP="00310FD8">
            <w:pPr>
              <w:rPr>
                <w:rFonts w:ascii="Century Gothic" w:hAnsi="Century Gothic"/>
                <w:szCs w:val="22"/>
              </w:rPr>
            </w:pPr>
          </w:p>
        </w:tc>
        <w:tc>
          <w:tcPr>
            <w:tcW w:w="1297" w:type="dxa"/>
            <w:shd w:val="clear" w:color="auto" w:fill="FFFFFF"/>
          </w:tcPr>
          <w:p w14:paraId="7E7272D0" w14:textId="77777777" w:rsidR="00B2304E" w:rsidRPr="009340D5" w:rsidRDefault="00B2304E" w:rsidP="00310FD8">
            <w:pPr>
              <w:rPr>
                <w:rFonts w:ascii="Century Gothic" w:hAnsi="Century Gothic"/>
                <w:szCs w:val="22"/>
              </w:rPr>
            </w:pPr>
          </w:p>
        </w:tc>
        <w:tc>
          <w:tcPr>
            <w:tcW w:w="1297" w:type="dxa"/>
            <w:shd w:val="clear" w:color="auto" w:fill="FFFFFF"/>
          </w:tcPr>
          <w:p w14:paraId="07AB9B8A" w14:textId="77777777" w:rsidR="00B2304E" w:rsidRPr="009340D5" w:rsidRDefault="00B2304E" w:rsidP="00310FD8">
            <w:pPr>
              <w:rPr>
                <w:rFonts w:ascii="Century Gothic" w:hAnsi="Century Gothic"/>
                <w:szCs w:val="22"/>
              </w:rPr>
            </w:pPr>
          </w:p>
        </w:tc>
      </w:tr>
      <w:tr w:rsidR="00B2304E" w:rsidRPr="006D6566" w14:paraId="7D5B55FB" w14:textId="77777777" w:rsidTr="00310FD8">
        <w:trPr>
          <w:trHeight w:val="330"/>
        </w:trPr>
        <w:tc>
          <w:tcPr>
            <w:tcW w:w="1422" w:type="dxa"/>
            <w:shd w:val="clear" w:color="auto" w:fill="FFFFFF"/>
          </w:tcPr>
          <w:p w14:paraId="4588B158"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$31,500 </w:t>
            </w:r>
          </w:p>
        </w:tc>
        <w:tc>
          <w:tcPr>
            <w:tcW w:w="1170" w:type="dxa"/>
            <w:shd w:val="clear" w:color="auto" w:fill="FFFFFF"/>
          </w:tcPr>
          <w:p w14:paraId="2808680B"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$32,499 </w:t>
            </w:r>
          </w:p>
        </w:tc>
        <w:tc>
          <w:tcPr>
            <w:tcW w:w="2070" w:type="dxa"/>
            <w:shd w:val="clear" w:color="auto" w:fill="FFFFFF"/>
          </w:tcPr>
          <w:p w14:paraId="658C3720"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$748 </w:t>
            </w:r>
          </w:p>
        </w:tc>
        <w:tc>
          <w:tcPr>
            <w:tcW w:w="630" w:type="dxa"/>
            <w:shd w:val="clear" w:color="auto" w:fill="FFFFFF"/>
          </w:tcPr>
          <w:p w14:paraId="4F2BAB41" w14:textId="77777777" w:rsidR="00B2304E" w:rsidRPr="009340D5" w:rsidRDefault="00B2304E" w:rsidP="00310FD8">
            <w:pPr>
              <w:rPr>
                <w:rFonts w:ascii="Century Gothic" w:hAnsi="Century Gothic"/>
                <w:szCs w:val="22"/>
              </w:rPr>
            </w:pPr>
          </w:p>
        </w:tc>
        <w:tc>
          <w:tcPr>
            <w:tcW w:w="1673" w:type="dxa"/>
            <w:shd w:val="clear" w:color="auto" w:fill="FFFFFF"/>
          </w:tcPr>
          <w:p w14:paraId="5955B447" w14:textId="77777777" w:rsidR="00B2304E" w:rsidRPr="009340D5" w:rsidRDefault="00B2304E" w:rsidP="00310FD8">
            <w:pPr>
              <w:rPr>
                <w:rFonts w:ascii="Century Gothic" w:hAnsi="Century Gothic"/>
                <w:szCs w:val="22"/>
              </w:rPr>
            </w:pPr>
          </w:p>
        </w:tc>
        <w:tc>
          <w:tcPr>
            <w:tcW w:w="1297" w:type="dxa"/>
            <w:shd w:val="clear" w:color="auto" w:fill="FFFFFF"/>
          </w:tcPr>
          <w:p w14:paraId="47F1F590" w14:textId="77777777" w:rsidR="00B2304E" w:rsidRPr="009340D5" w:rsidRDefault="00B2304E" w:rsidP="00310FD8">
            <w:pPr>
              <w:rPr>
                <w:rFonts w:ascii="Century Gothic" w:hAnsi="Century Gothic"/>
                <w:szCs w:val="22"/>
              </w:rPr>
            </w:pPr>
          </w:p>
        </w:tc>
        <w:tc>
          <w:tcPr>
            <w:tcW w:w="1297" w:type="dxa"/>
            <w:shd w:val="clear" w:color="auto" w:fill="FFFFFF"/>
          </w:tcPr>
          <w:p w14:paraId="28667320" w14:textId="77777777" w:rsidR="00B2304E" w:rsidRPr="009340D5" w:rsidRDefault="00B2304E" w:rsidP="00310FD8">
            <w:pPr>
              <w:rPr>
                <w:rFonts w:ascii="Century Gothic" w:hAnsi="Century Gothic"/>
                <w:szCs w:val="22"/>
              </w:rPr>
            </w:pPr>
          </w:p>
        </w:tc>
      </w:tr>
      <w:tr w:rsidR="00B2304E" w:rsidRPr="006D6566" w14:paraId="6FB99839" w14:textId="77777777" w:rsidTr="00310FD8">
        <w:trPr>
          <w:trHeight w:val="330"/>
        </w:trPr>
        <w:tc>
          <w:tcPr>
            <w:tcW w:w="1422" w:type="dxa"/>
            <w:shd w:val="clear" w:color="auto" w:fill="FFFFFF"/>
          </w:tcPr>
          <w:p w14:paraId="33FE89B3"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$32,500 </w:t>
            </w:r>
          </w:p>
        </w:tc>
        <w:tc>
          <w:tcPr>
            <w:tcW w:w="1170" w:type="dxa"/>
            <w:shd w:val="clear" w:color="auto" w:fill="FFFFFF"/>
          </w:tcPr>
          <w:p w14:paraId="46F57A42"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$33,499 </w:t>
            </w:r>
          </w:p>
        </w:tc>
        <w:tc>
          <w:tcPr>
            <w:tcW w:w="2070" w:type="dxa"/>
            <w:shd w:val="clear" w:color="auto" w:fill="FFFFFF"/>
          </w:tcPr>
          <w:p w14:paraId="526014D6"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$772 </w:t>
            </w:r>
          </w:p>
        </w:tc>
        <w:tc>
          <w:tcPr>
            <w:tcW w:w="630" w:type="dxa"/>
            <w:shd w:val="clear" w:color="auto" w:fill="FFFFFF"/>
          </w:tcPr>
          <w:p w14:paraId="4B0C2DEF" w14:textId="77777777" w:rsidR="00B2304E" w:rsidRPr="009340D5" w:rsidRDefault="00B2304E" w:rsidP="00310FD8">
            <w:pPr>
              <w:rPr>
                <w:rFonts w:ascii="Century Gothic" w:hAnsi="Century Gothic"/>
                <w:szCs w:val="22"/>
              </w:rPr>
            </w:pPr>
          </w:p>
        </w:tc>
        <w:tc>
          <w:tcPr>
            <w:tcW w:w="1673" w:type="dxa"/>
            <w:shd w:val="clear" w:color="auto" w:fill="FFFFFF"/>
          </w:tcPr>
          <w:p w14:paraId="2D4AFBA6" w14:textId="77777777" w:rsidR="00B2304E" w:rsidRPr="009340D5" w:rsidRDefault="00B2304E" w:rsidP="00310FD8">
            <w:pPr>
              <w:rPr>
                <w:rFonts w:ascii="Century Gothic" w:hAnsi="Century Gothic"/>
                <w:szCs w:val="22"/>
              </w:rPr>
            </w:pPr>
          </w:p>
        </w:tc>
        <w:tc>
          <w:tcPr>
            <w:tcW w:w="1297" w:type="dxa"/>
            <w:shd w:val="clear" w:color="auto" w:fill="FFFFFF"/>
          </w:tcPr>
          <w:p w14:paraId="30A4D045" w14:textId="77777777" w:rsidR="00B2304E" w:rsidRPr="009340D5" w:rsidRDefault="00B2304E" w:rsidP="00310FD8">
            <w:pPr>
              <w:rPr>
                <w:rFonts w:ascii="Century Gothic" w:hAnsi="Century Gothic"/>
                <w:szCs w:val="22"/>
              </w:rPr>
            </w:pPr>
          </w:p>
        </w:tc>
        <w:tc>
          <w:tcPr>
            <w:tcW w:w="1297" w:type="dxa"/>
            <w:shd w:val="clear" w:color="auto" w:fill="FFFFFF"/>
          </w:tcPr>
          <w:p w14:paraId="3DD6AD0D" w14:textId="77777777" w:rsidR="00B2304E" w:rsidRPr="009340D5" w:rsidRDefault="00B2304E" w:rsidP="00310FD8">
            <w:pPr>
              <w:rPr>
                <w:rFonts w:ascii="Century Gothic" w:hAnsi="Century Gothic"/>
                <w:szCs w:val="22"/>
              </w:rPr>
            </w:pPr>
          </w:p>
        </w:tc>
      </w:tr>
      <w:tr w:rsidR="00B2304E" w:rsidRPr="006D6566" w14:paraId="6741EC2D" w14:textId="77777777" w:rsidTr="00310FD8">
        <w:trPr>
          <w:trHeight w:val="330"/>
        </w:trPr>
        <w:tc>
          <w:tcPr>
            <w:tcW w:w="1422" w:type="dxa"/>
            <w:shd w:val="clear" w:color="auto" w:fill="FFFFFF"/>
          </w:tcPr>
          <w:p w14:paraId="3E11AE01"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$33,500 </w:t>
            </w:r>
          </w:p>
        </w:tc>
        <w:tc>
          <w:tcPr>
            <w:tcW w:w="1170" w:type="dxa"/>
            <w:shd w:val="clear" w:color="auto" w:fill="FFFFFF"/>
          </w:tcPr>
          <w:p w14:paraId="474D3A66"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$34,499 </w:t>
            </w:r>
          </w:p>
        </w:tc>
        <w:tc>
          <w:tcPr>
            <w:tcW w:w="2070" w:type="dxa"/>
            <w:shd w:val="clear" w:color="auto" w:fill="FFFFFF"/>
          </w:tcPr>
          <w:p w14:paraId="78C63351"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$796 </w:t>
            </w:r>
          </w:p>
        </w:tc>
        <w:tc>
          <w:tcPr>
            <w:tcW w:w="630" w:type="dxa"/>
            <w:shd w:val="clear" w:color="auto" w:fill="FFFFFF"/>
          </w:tcPr>
          <w:p w14:paraId="66ABA994" w14:textId="77777777" w:rsidR="00B2304E" w:rsidRPr="009340D5" w:rsidRDefault="00B2304E" w:rsidP="00310FD8">
            <w:pPr>
              <w:rPr>
                <w:rFonts w:ascii="Century Gothic" w:hAnsi="Century Gothic"/>
                <w:szCs w:val="22"/>
              </w:rPr>
            </w:pPr>
          </w:p>
        </w:tc>
        <w:tc>
          <w:tcPr>
            <w:tcW w:w="1673" w:type="dxa"/>
            <w:shd w:val="clear" w:color="auto" w:fill="FFFFFF"/>
          </w:tcPr>
          <w:p w14:paraId="6295760B" w14:textId="77777777" w:rsidR="00B2304E" w:rsidRPr="009340D5" w:rsidRDefault="00B2304E" w:rsidP="00310FD8">
            <w:pPr>
              <w:rPr>
                <w:rFonts w:ascii="Century Gothic" w:hAnsi="Century Gothic"/>
                <w:szCs w:val="22"/>
              </w:rPr>
            </w:pPr>
          </w:p>
        </w:tc>
        <w:tc>
          <w:tcPr>
            <w:tcW w:w="1297" w:type="dxa"/>
            <w:shd w:val="clear" w:color="auto" w:fill="FFFFFF"/>
          </w:tcPr>
          <w:p w14:paraId="1ADE77B0" w14:textId="77777777" w:rsidR="00B2304E" w:rsidRPr="009340D5" w:rsidRDefault="00B2304E" w:rsidP="00310FD8">
            <w:pPr>
              <w:rPr>
                <w:rFonts w:ascii="Century Gothic" w:hAnsi="Century Gothic"/>
                <w:szCs w:val="22"/>
              </w:rPr>
            </w:pPr>
          </w:p>
        </w:tc>
        <w:tc>
          <w:tcPr>
            <w:tcW w:w="1297" w:type="dxa"/>
            <w:shd w:val="clear" w:color="auto" w:fill="FFFFFF"/>
          </w:tcPr>
          <w:p w14:paraId="63A25FCB" w14:textId="77777777" w:rsidR="00B2304E" w:rsidRPr="009340D5" w:rsidRDefault="00B2304E" w:rsidP="00310FD8">
            <w:pPr>
              <w:rPr>
                <w:rFonts w:ascii="Century Gothic" w:hAnsi="Century Gothic"/>
                <w:szCs w:val="22"/>
              </w:rPr>
            </w:pPr>
          </w:p>
        </w:tc>
      </w:tr>
      <w:tr w:rsidR="00B2304E" w:rsidRPr="006D6566" w14:paraId="7A2CDCBA" w14:textId="77777777" w:rsidTr="00310FD8">
        <w:trPr>
          <w:trHeight w:val="330"/>
        </w:trPr>
        <w:tc>
          <w:tcPr>
            <w:tcW w:w="1422" w:type="dxa"/>
            <w:shd w:val="clear" w:color="auto" w:fill="FFFFFF"/>
          </w:tcPr>
          <w:p w14:paraId="670E56BB"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$34,500 </w:t>
            </w:r>
          </w:p>
        </w:tc>
        <w:tc>
          <w:tcPr>
            <w:tcW w:w="1170" w:type="dxa"/>
            <w:shd w:val="clear" w:color="auto" w:fill="FFFFFF"/>
          </w:tcPr>
          <w:p w14:paraId="2C2242B7"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$35,499 </w:t>
            </w:r>
          </w:p>
        </w:tc>
        <w:tc>
          <w:tcPr>
            <w:tcW w:w="2070" w:type="dxa"/>
            <w:shd w:val="clear" w:color="auto" w:fill="FFFFFF"/>
          </w:tcPr>
          <w:p w14:paraId="396626D8"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$819 </w:t>
            </w:r>
          </w:p>
        </w:tc>
        <w:tc>
          <w:tcPr>
            <w:tcW w:w="630" w:type="dxa"/>
            <w:shd w:val="clear" w:color="auto" w:fill="FFFFFF"/>
          </w:tcPr>
          <w:p w14:paraId="1EED076F" w14:textId="77777777" w:rsidR="00B2304E" w:rsidRPr="009340D5" w:rsidRDefault="00B2304E" w:rsidP="00310FD8">
            <w:pPr>
              <w:rPr>
                <w:rFonts w:ascii="Century Gothic" w:hAnsi="Century Gothic"/>
                <w:szCs w:val="22"/>
              </w:rPr>
            </w:pPr>
          </w:p>
        </w:tc>
        <w:tc>
          <w:tcPr>
            <w:tcW w:w="1673" w:type="dxa"/>
            <w:shd w:val="clear" w:color="auto" w:fill="FFFFFF"/>
          </w:tcPr>
          <w:p w14:paraId="0642F46F" w14:textId="77777777" w:rsidR="00B2304E" w:rsidRPr="009340D5" w:rsidRDefault="00B2304E" w:rsidP="00310FD8">
            <w:pPr>
              <w:rPr>
                <w:rFonts w:ascii="Century Gothic" w:hAnsi="Century Gothic"/>
                <w:szCs w:val="22"/>
              </w:rPr>
            </w:pPr>
          </w:p>
        </w:tc>
        <w:tc>
          <w:tcPr>
            <w:tcW w:w="1297" w:type="dxa"/>
            <w:shd w:val="clear" w:color="auto" w:fill="FFFFFF"/>
          </w:tcPr>
          <w:p w14:paraId="51A80843" w14:textId="77777777" w:rsidR="00B2304E" w:rsidRPr="009340D5" w:rsidRDefault="00B2304E" w:rsidP="00310FD8">
            <w:pPr>
              <w:rPr>
                <w:rFonts w:ascii="Century Gothic" w:hAnsi="Century Gothic"/>
                <w:szCs w:val="22"/>
              </w:rPr>
            </w:pPr>
          </w:p>
        </w:tc>
        <w:tc>
          <w:tcPr>
            <w:tcW w:w="1297" w:type="dxa"/>
            <w:shd w:val="clear" w:color="auto" w:fill="FFFFFF"/>
          </w:tcPr>
          <w:p w14:paraId="3651C62F" w14:textId="77777777" w:rsidR="00B2304E" w:rsidRPr="009340D5" w:rsidRDefault="00B2304E" w:rsidP="00310FD8">
            <w:pPr>
              <w:rPr>
                <w:rFonts w:ascii="Century Gothic" w:hAnsi="Century Gothic"/>
                <w:szCs w:val="22"/>
              </w:rPr>
            </w:pPr>
          </w:p>
        </w:tc>
      </w:tr>
      <w:tr w:rsidR="00B2304E" w:rsidRPr="006D6566" w14:paraId="0EB6050B" w14:textId="77777777" w:rsidTr="00310FD8">
        <w:trPr>
          <w:trHeight w:val="330"/>
        </w:trPr>
        <w:tc>
          <w:tcPr>
            <w:tcW w:w="1422" w:type="dxa"/>
            <w:shd w:val="clear" w:color="auto" w:fill="FFFFFF"/>
          </w:tcPr>
          <w:p w14:paraId="261CBBBD"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$35,500 </w:t>
            </w:r>
          </w:p>
        </w:tc>
        <w:tc>
          <w:tcPr>
            <w:tcW w:w="1170" w:type="dxa"/>
            <w:shd w:val="clear" w:color="auto" w:fill="FFFFFF"/>
          </w:tcPr>
          <w:p w14:paraId="375B185A"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$36,499 </w:t>
            </w:r>
          </w:p>
        </w:tc>
        <w:tc>
          <w:tcPr>
            <w:tcW w:w="2070" w:type="dxa"/>
            <w:shd w:val="clear" w:color="auto" w:fill="FFFFFF"/>
          </w:tcPr>
          <w:p w14:paraId="3CC2149B"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$843 </w:t>
            </w:r>
          </w:p>
        </w:tc>
        <w:tc>
          <w:tcPr>
            <w:tcW w:w="630" w:type="dxa"/>
            <w:shd w:val="clear" w:color="auto" w:fill="FFFFFF"/>
          </w:tcPr>
          <w:p w14:paraId="7C9D44F6" w14:textId="77777777" w:rsidR="00B2304E" w:rsidRPr="009340D5" w:rsidRDefault="00B2304E" w:rsidP="00310FD8">
            <w:pPr>
              <w:rPr>
                <w:rFonts w:ascii="Century Gothic" w:hAnsi="Century Gothic"/>
                <w:szCs w:val="22"/>
              </w:rPr>
            </w:pPr>
          </w:p>
        </w:tc>
        <w:tc>
          <w:tcPr>
            <w:tcW w:w="1673" w:type="dxa"/>
            <w:shd w:val="clear" w:color="auto" w:fill="FFFFFF"/>
          </w:tcPr>
          <w:p w14:paraId="386B9C96" w14:textId="77777777" w:rsidR="00B2304E" w:rsidRPr="009340D5" w:rsidRDefault="00B2304E" w:rsidP="00310FD8">
            <w:pPr>
              <w:rPr>
                <w:rFonts w:ascii="Century Gothic" w:hAnsi="Century Gothic"/>
                <w:szCs w:val="22"/>
              </w:rPr>
            </w:pPr>
          </w:p>
        </w:tc>
        <w:tc>
          <w:tcPr>
            <w:tcW w:w="1297" w:type="dxa"/>
            <w:shd w:val="clear" w:color="auto" w:fill="FFFFFF"/>
          </w:tcPr>
          <w:p w14:paraId="1362ECDA" w14:textId="77777777" w:rsidR="00B2304E" w:rsidRPr="009340D5" w:rsidRDefault="00B2304E" w:rsidP="00310FD8">
            <w:pPr>
              <w:rPr>
                <w:rFonts w:ascii="Century Gothic" w:hAnsi="Century Gothic"/>
                <w:szCs w:val="22"/>
              </w:rPr>
            </w:pPr>
          </w:p>
        </w:tc>
        <w:tc>
          <w:tcPr>
            <w:tcW w:w="1297" w:type="dxa"/>
            <w:shd w:val="clear" w:color="auto" w:fill="FFFFFF"/>
          </w:tcPr>
          <w:p w14:paraId="5525302D" w14:textId="77777777" w:rsidR="00B2304E" w:rsidRPr="009340D5" w:rsidRDefault="00B2304E" w:rsidP="00310FD8">
            <w:pPr>
              <w:rPr>
                <w:rFonts w:ascii="Century Gothic" w:hAnsi="Century Gothic"/>
                <w:szCs w:val="22"/>
              </w:rPr>
            </w:pPr>
          </w:p>
        </w:tc>
      </w:tr>
    </w:tbl>
    <w:p w14:paraId="29E05438" w14:textId="77777777" w:rsidR="00773761" w:rsidRPr="009340D5" w:rsidRDefault="00773761" w:rsidP="00B2304E">
      <w:pPr>
        <w:rPr>
          <w:rFonts w:ascii="Century Gothic" w:hAnsi="Century Gothic"/>
          <w:spacing w:val="1"/>
          <w:szCs w:val="22"/>
        </w:rPr>
      </w:pPr>
      <w:bookmarkStart w:id="297" w:name="_Toc518556078"/>
      <w:bookmarkStart w:id="298" w:name="_Toc3305648"/>
      <w:bookmarkStart w:id="299" w:name="_Toc9319890"/>
    </w:p>
    <w:p w14:paraId="77EC308A" w14:textId="52A89EC9" w:rsidR="00B2304E" w:rsidRPr="009340D5" w:rsidRDefault="00B2304E" w:rsidP="00B2304E">
      <w:pPr>
        <w:rPr>
          <w:rFonts w:ascii="Century Gothic" w:hAnsi="Century Gothic"/>
          <w:b/>
          <w:bCs/>
          <w:spacing w:val="1"/>
          <w:szCs w:val="22"/>
        </w:rPr>
      </w:pPr>
      <w:r w:rsidRPr="009340D5">
        <w:rPr>
          <w:rFonts w:ascii="Century Gothic" w:hAnsi="Century Gothic"/>
          <w:b/>
          <w:bCs/>
          <w:spacing w:val="1"/>
          <w:szCs w:val="22"/>
        </w:rPr>
        <w:t>Hardship Waiver Policy and Guidelines</w:t>
      </w:r>
      <w:bookmarkEnd w:id="297"/>
      <w:bookmarkEnd w:id="298"/>
      <w:bookmarkEnd w:id="299"/>
      <w:r w:rsidRPr="009340D5">
        <w:rPr>
          <w:rFonts w:ascii="Century Gothic" w:hAnsi="Century Gothic"/>
          <w:b/>
          <w:bCs/>
          <w:spacing w:val="1"/>
          <w:szCs w:val="22"/>
        </w:rPr>
        <w:t xml:space="preserve">  </w:t>
      </w:r>
    </w:p>
    <w:p w14:paraId="3B0F0B27" w14:textId="77777777" w:rsidR="00B2304E" w:rsidRPr="009340D5" w:rsidRDefault="00B2304E" w:rsidP="00B2304E">
      <w:pPr>
        <w:rPr>
          <w:rFonts w:ascii="Century Gothic" w:hAnsi="Century Gothic"/>
          <w:szCs w:val="22"/>
        </w:rPr>
      </w:pPr>
      <w:r w:rsidRPr="009340D5">
        <w:rPr>
          <w:rFonts w:ascii="Century Gothic" w:hAnsi="Century Gothic"/>
          <w:szCs w:val="22"/>
        </w:rPr>
        <w:br/>
        <w:t xml:space="preserve">Families with Annual Income below $2,500 annually shall pay the minimum rent of $50.00 per month. </w:t>
      </w:r>
    </w:p>
    <w:p w14:paraId="4B2BBC19" w14:textId="77777777" w:rsidR="00B2304E" w:rsidRPr="009340D5" w:rsidRDefault="00B2304E" w:rsidP="00B2304E">
      <w:pPr>
        <w:rPr>
          <w:rFonts w:ascii="Century Gothic" w:hAnsi="Century Gothic"/>
          <w:szCs w:val="22"/>
        </w:rPr>
      </w:pPr>
    </w:p>
    <w:p w14:paraId="67DBD842" w14:textId="11B0929A" w:rsidR="00B2304E" w:rsidRPr="009340D5" w:rsidRDefault="00B2304E" w:rsidP="00B2304E">
      <w:pPr>
        <w:rPr>
          <w:rFonts w:ascii="Century Gothic" w:hAnsi="Century Gothic"/>
          <w:szCs w:val="22"/>
        </w:rPr>
      </w:pPr>
      <w:r w:rsidRPr="009340D5">
        <w:rPr>
          <w:rFonts w:ascii="Century Gothic" w:hAnsi="Century Gothic"/>
          <w:szCs w:val="22"/>
        </w:rPr>
        <w:t xml:space="preserve">All families placed on minimum rent </w:t>
      </w:r>
      <w:r w:rsidR="003A7677" w:rsidRPr="009340D5">
        <w:rPr>
          <w:rFonts w:ascii="Century Gothic" w:hAnsi="Century Gothic"/>
          <w:szCs w:val="22"/>
        </w:rPr>
        <w:t>except for</w:t>
      </w:r>
      <w:r w:rsidRPr="009340D5">
        <w:rPr>
          <w:rFonts w:ascii="Century Gothic" w:hAnsi="Century Gothic"/>
          <w:szCs w:val="22"/>
        </w:rPr>
        <w:t xml:space="preserve"> elderly and disabled families will be referred to the Family Self Sufficiency Program.  </w:t>
      </w:r>
    </w:p>
    <w:p w14:paraId="78043942" w14:textId="77777777" w:rsidR="00B2304E" w:rsidRPr="009340D5" w:rsidRDefault="00B2304E" w:rsidP="00B2304E">
      <w:pPr>
        <w:rPr>
          <w:rFonts w:ascii="Century Gothic" w:hAnsi="Century Gothic"/>
          <w:szCs w:val="22"/>
        </w:rPr>
      </w:pPr>
    </w:p>
    <w:p w14:paraId="55159EA6" w14:textId="77777777" w:rsidR="00B2304E" w:rsidRPr="009340D5" w:rsidRDefault="00B2304E" w:rsidP="00B2304E">
      <w:pPr>
        <w:rPr>
          <w:rFonts w:ascii="Century Gothic" w:hAnsi="Century Gothic"/>
          <w:szCs w:val="22"/>
        </w:rPr>
      </w:pPr>
      <w:r w:rsidRPr="009340D5">
        <w:rPr>
          <w:rFonts w:ascii="Century Gothic" w:hAnsi="Century Gothic"/>
          <w:szCs w:val="22"/>
        </w:rPr>
        <w:t>If a family is unable to pay the minimum rent because of a financial hardship, the family is eligible for a temporary or long-term hardship exemption from the minimum rent requirements.</w:t>
      </w:r>
    </w:p>
    <w:p w14:paraId="397421F1" w14:textId="77777777" w:rsidR="00B2304E" w:rsidRPr="009340D5" w:rsidRDefault="00B2304E" w:rsidP="00B2304E">
      <w:pPr>
        <w:rPr>
          <w:rFonts w:ascii="Century Gothic" w:hAnsi="Century Gothic"/>
          <w:szCs w:val="22"/>
        </w:rPr>
      </w:pPr>
      <w:r w:rsidRPr="009340D5">
        <w:rPr>
          <w:rFonts w:ascii="Century Gothic" w:hAnsi="Century Gothic"/>
          <w:szCs w:val="22"/>
        </w:rPr>
        <w:t xml:space="preserve">All families placed on minimum rent must be informed in writing of the procedures for applying for a hardship exemption from the Minimum Rent Requirement and the ability to have minimum rent waived.  </w:t>
      </w:r>
    </w:p>
    <w:p w14:paraId="3746FA03" w14:textId="69744B8E" w:rsidR="00B2304E" w:rsidRPr="009340D5" w:rsidRDefault="00B2304E" w:rsidP="00B2304E">
      <w:pPr>
        <w:rPr>
          <w:rFonts w:ascii="Century Gothic" w:hAnsi="Century Gothic"/>
          <w:spacing w:val="7"/>
          <w:szCs w:val="22"/>
        </w:rPr>
      </w:pPr>
      <w:r w:rsidRPr="009340D5">
        <w:rPr>
          <w:rFonts w:ascii="Century Gothic" w:hAnsi="Century Gothic"/>
          <w:szCs w:val="22"/>
        </w:rPr>
        <w:t xml:space="preserve">All families who apply for such hardship exemption, </w:t>
      </w:r>
      <w:r w:rsidR="003A7677" w:rsidRPr="009340D5">
        <w:rPr>
          <w:rFonts w:ascii="Century Gothic" w:hAnsi="Century Gothic"/>
          <w:szCs w:val="22"/>
        </w:rPr>
        <w:t>except for</w:t>
      </w:r>
      <w:r w:rsidRPr="009340D5">
        <w:rPr>
          <w:rFonts w:ascii="Century Gothic" w:hAnsi="Century Gothic"/>
          <w:szCs w:val="22"/>
        </w:rPr>
        <w:t xml:space="preserve"> elderly </w:t>
      </w:r>
      <w:proofErr w:type="gramStart"/>
      <w:r w:rsidRPr="009340D5">
        <w:rPr>
          <w:rFonts w:ascii="Century Gothic" w:hAnsi="Century Gothic"/>
          <w:szCs w:val="22"/>
        </w:rPr>
        <w:t>persons</w:t>
      </w:r>
      <w:proofErr w:type="gramEnd"/>
      <w:r w:rsidRPr="009340D5">
        <w:rPr>
          <w:rFonts w:ascii="Century Gothic" w:hAnsi="Century Gothic"/>
          <w:szCs w:val="22"/>
        </w:rPr>
        <w:t xml:space="preserve"> and </w:t>
      </w:r>
      <w:proofErr w:type="gramStart"/>
      <w:r w:rsidRPr="009340D5">
        <w:rPr>
          <w:rFonts w:ascii="Century Gothic" w:hAnsi="Century Gothic"/>
          <w:szCs w:val="22"/>
        </w:rPr>
        <w:t>persons</w:t>
      </w:r>
      <w:proofErr w:type="gramEnd"/>
      <w:r w:rsidRPr="009340D5">
        <w:rPr>
          <w:rFonts w:ascii="Century Gothic" w:hAnsi="Century Gothic"/>
          <w:szCs w:val="22"/>
        </w:rPr>
        <w:t xml:space="preserve"> with disabilities, will be referred to the Family Self Sufficiency Program </w:t>
      </w:r>
      <w:proofErr w:type="gramStart"/>
      <w:r w:rsidRPr="009340D5">
        <w:rPr>
          <w:rFonts w:ascii="Century Gothic" w:hAnsi="Century Gothic"/>
          <w:spacing w:val="1"/>
          <w:szCs w:val="22"/>
        </w:rPr>
        <w:t>in order to</w:t>
      </w:r>
      <w:proofErr w:type="gramEnd"/>
      <w:r w:rsidRPr="009340D5">
        <w:rPr>
          <w:rFonts w:ascii="Century Gothic" w:hAnsi="Century Gothic"/>
          <w:spacing w:val="1"/>
          <w:szCs w:val="22"/>
        </w:rPr>
        <w:t xml:space="preserve"> assist the family in moving towards </w:t>
      </w:r>
      <w:r w:rsidR="003A7677" w:rsidRPr="009340D5">
        <w:rPr>
          <w:rFonts w:ascii="Century Gothic" w:hAnsi="Century Gothic"/>
          <w:spacing w:val="1"/>
          <w:szCs w:val="22"/>
        </w:rPr>
        <w:t>self-sufficiency</w:t>
      </w:r>
      <w:r w:rsidRPr="009340D5">
        <w:rPr>
          <w:rFonts w:ascii="Century Gothic" w:hAnsi="Century Gothic"/>
          <w:spacing w:val="1"/>
          <w:szCs w:val="22"/>
        </w:rPr>
        <w:t xml:space="preserve">. </w:t>
      </w:r>
    </w:p>
    <w:p w14:paraId="38F2084D" w14:textId="4BE5EAB0" w:rsidR="00B2304E" w:rsidRPr="009340D5" w:rsidRDefault="00B2304E" w:rsidP="00B2304E">
      <w:pPr>
        <w:rPr>
          <w:rFonts w:ascii="Century Gothic" w:hAnsi="Century Gothic"/>
          <w:spacing w:val="6"/>
          <w:szCs w:val="22"/>
        </w:rPr>
      </w:pPr>
      <w:r w:rsidRPr="009340D5">
        <w:rPr>
          <w:rFonts w:ascii="Century Gothic" w:hAnsi="Century Gothic"/>
          <w:spacing w:val="1"/>
          <w:szCs w:val="22"/>
        </w:rPr>
        <w:t xml:space="preserve">ECC/HANH will notify all families of their right to request </w:t>
      </w:r>
      <w:proofErr w:type="gramStart"/>
      <w:r w:rsidRPr="009340D5">
        <w:rPr>
          <w:rFonts w:ascii="Century Gothic" w:hAnsi="Century Gothic"/>
          <w:spacing w:val="1"/>
          <w:szCs w:val="22"/>
        </w:rPr>
        <w:t>a hardship</w:t>
      </w:r>
      <w:proofErr w:type="gramEnd"/>
      <w:r w:rsidRPr="009340D5">
        <w:rPr>
          <w:rFonts w:ascii="Century Gothic" w:hAnsi="Century Gothic"/>
          <w:spacing w:val="1"/>
          <w:szCs w:val="22"/>
        </w:rPr>
        <w:t xml:space="preserve"> exemption from the minimum rent requirements and in accordance with the provisions set forth herein.  Residents will be notified of </w:t>
      </w:r>
      <w:r w:rsidRPr="009340D5">
        <w:rPr>
          <w:rFonts w:ascii="Century Gothic" w:hAnsi="Century Gothic"/>
          <w:spacing w:val="1"/>
          <w:szCs w:val="22"/>
        </w:rPr>
        <w:lastRenderedPageBreak/>
        <w:t xml:space="preserve">their right to request a hardship exemption through the </w:t>
      </w:r>
      <w:r w:rsidRPr="009340D5">
        <w:rPr>
          <w:rFonts w:ascii="Century Gothic" w:hAnsi="Century Gothic"/>
          <w:spacing w:val="6"/>
          <w:szCs w:val="22"/>
        </w:rPr>
        <w:t xml:space="preserve">Application for Exemption from Minimum Rent, a copy of which will be provided to tenants at lease-up and at </w:t>
      </w:r>
      <w:r w:rsidR="009A2E04" w:rsidRPr="009340D5">
        <w:rPr>
          <w:rFonts w:ascii="Century Gothic" w:hAnsi="Century Gothic"/>
          <w:spacing w:val="6"/>
          <w:szCs w:val="22"/>
        </w:rPr>
        <w:t>each recertification</w:t>
      </w:r>
      <w:r w:rsidRPr="009340D5">
        <w:rPr>
          <w:rFonts w:ascii="Century Gothic" w:hAnsi="Century Gothic"/>
          <w:spacing w:val="6"/>
          <w:szCs w:val="22"/>
        </w:rPr>
        <w:t xml:space="preserve"> appointment and mailed to residents at </w:t>
      </w:r>
      <w:proofErr w:type="gramStart"/>
      <w:r w:rsidRPr="009340D5">
        <w:rPr>
          <w:rFonts w:ascii="Century Gothic" w:hAnsi="Century Gothic"/>
          <w:spacing w:val="6"/>
          <w:szCs w:val="22"/>
        </w:rPr>
        <w:t>each interim</w:t>
      </w:r>
      <w:proofErr w:type="gramEnd"/>
      <w:r w:rsidRPr="009340D5">
        <w:rPr>
          <w:rFonts w:ascii="Century Gothic" w:hAnsi="Century Gothic"/>
          <w:spacing w:val="6"/>
          <w:szCs w:val="22"/>
        </w:rPr>
        <w:t xml:space="preserve"> recertification.  The policy and procedures for requesting such hardship exemption will also be included in tenant rent change notifications, the form lease agreement and all form documents related to the exemption process.</w:t>
      </w:r>
    </w:p>
    <w:p w14:paraId="38354931" w14:textId="77777777" w:rsidR="00B2304E" w:rsidRPr="009340D5" w:rsidRDefault="00B2304E" w:rsidP="00B2304E">
      <w:pPr>
        <w:rPr>
          <w:rFonts w:ascii="Century Gothic" w:hAnsi="Century Gothic"/>
          <w:spacing w:val="6"/>
          <w:szCs w:val="22"/>
        </w:rPr>
      </w:pPr>
    </w:p>
    <w:p w14:paraId="5B733FB7" w14:textId="77777777" w:rsidR="00B2304E" w:rsidRPr="009340D5" w:rsidRDefault="00B2304E" w:rsidP="00B2304E">
      <w:pPr>
        <w:rPr>
          <w:rFonts w:ascii="Century Gothic" w:hAnsi="Century Gothic"/>
          <w:bCs/>
          <w:spacing w:val="1"/>
          <w:szCs w:val="22"/>
        </w:rPr>
      </w:pPr>
      <w:bookmarkStart w:id="300" w:name="_Toc518556079"/>
      <w:bookmarkStart w:id="301" w:name="_Toc3305649"/>
      <w:bookmarkStart w:id="302" w:name="_Toc9319891"/>
      <w:r w:rsidRPr="009340D5">
        <w:rPr>
          <w:rFonts w:ascii="Century Gothic" w:hAnsi="Century Gothic"/>
          <w:spacing w:val="1"/>
          <w:szCs w:val="22"/>
        </w:rPr>
        <w:t>1.</w:t>
      </w:r>
      <w:r w:rsidRPr="009340D5">
        <w:rPr>
          <w:rFonts w:ascii="Century Gothic" w:hAnsi="Century Gothic"/>
          <w:spacing w:val="1"/>
          <w:szCs w:val="22"/>
        </w:rPr>
        <w:tab/>
        <w:t>Criteria for Hardship Exemption from Minimum Rent Requirement</w:t>
      </w:r>
      <w:bookmarkEnd w:id="300"/>
      <w:bookmarkEnd w:id="301"/>
      <w:bookmarkEnd w:id="302"/>
      <w:r w:rsidRPr="009340D5">
        <w:rPr>
          <w:rFonts w:ascii="Century Gothic" w:hAnsi="Century Gothic"/>
          <w:spacing w:val="1"/>
          <w:szCs w:val="22"/>
        </w:rPr>
        <w:t xml:space="preserve"> </w:t>
      </w:r>
    </w:p>
    <w:p w14:paraId="6F603156" w14:textId="77777777" w:rsidR="00B2304E" w:rsidRPr="009340D5" w:rsidRDefault="00B2304E" w:rsidP="00B2304E">
      <w:pPr>
        <w:rPr>
          <w:rFonts w:ascii="Century Gothic" w:hAnsi="Century Gothic"/>
          <w:b/>
          <w:szCs w:val="22"/>
        </w:rPr>
      </w:pPr>
    </w:p>
    <w:p w14:paraId="5851929F" w14:textId="2D836512" w:rsidR="00B2304E" w:rsidRPr="009340D5" w:rsidRDefault="00B2304E" w:rsidP="00B2304E">
      <w:pPr>
        <w:rPr>
          <w:rFonts w:ascii="Century Gothic" w:hAnsi="Century Gothic"/>
          <w:szCs w:val="22"/>
        </w:rPr>
      </w:pPr>
      <w:r w:rsidRPr="009340D5">
        <w:rPr>
          <w:rFonts w:ascii="Century Gothic" w:hAnsi="Century Gothic"/>
          <w:szCs w:val="22"/>
        </w:rPr>
        <w:t xml:space="preserve">A family is automatically exempt from the minimum rent requirements for a </w:t>
      </w:r>
      <w:r w:rsidR="003A7677" w:rsidRPr="009340D5">
        <w:rPr>
          <w:rFonts w:ascii="Century Gothic" w:hAnsi="Century Gothic"/>
          <w:szCs w:val="22"/>
        </w:rPr>
        <w:t>90-day</w:t>
      </w:r>
      <w:r w:rsidRPr="009340D5">
        <w:rPr>
          <w:rFonts w:ascii="Century Gothic" w:hAnsi="Century Gothic"/>
          <w:szCs w:val="22"/>
        </w:rPr>
        <w:t xml:space="preserve"> period when the family’s circumstances fall into any one of the following criteria:</w:t>
      </w:r>
    </w:p>
    <w:p w14:paraId="4C72CAA2" w14:textId="77777777" w:rsidR="00B2304E" w:rsidRPr="009340D5" w:rsidRDefault="00B2304E" w:rsidP="00B2304E">
      <w:pPr>
        <w:rPr>
          <w:rFonts w:ascii="Century Gothic" w:hAnsi="Century Gothic"/>
          <w:szCs w:val="22"/>
        </w:rPr>
      </w:pPr>
    </w:p>
    <w:p w14:paraId="6AD47FC4" w14:textId="24C93F41" w:rsidR="00B2304E" w:rsidRPr="009340D5" w:rsidRDefault="00B2304E" w:rsidP="00B2304E">
      <w:pPr>
        <w:rPr>
          <w:rFonts w:ascii="Century Gothic" w:hAnsi="Century Gothic"/>
          <w:szCs w:val="22"/>
        </w:rPr>
      </w:pPr>
      <w:r w:rsidRPr="009340D5">
        <w:rPr>
          <w:rFonts w:ascii="Century Gothic" w:hAnsi="Century Gothic"/>
          <w:szCs w:val="22"/>
        </w:rPr>
        <w:t xml:space="preserve">When a family has lost eligibility or is awaiting eligibility determination from a Federal, State or local assistance </w:t>
      </w:r>
      <w:r w:rsidR="003A7677" w:rsidRPr="009340D5">
        <w:rPr>
          <w:rFonts w:ascii="Century Gothic" w:hAnsi="Century Gothic"/>
          <w:szCs w:val="22"/>
        </w:rPr>
        <w:t>program.</w:t>
      </w:r>
    </w:p>
    <w:p w14:paraId="75367703" w14:textId="578C60AD" w:rsidR="00B2304E" w:rsidRPr="009340D5" w:rsidRDefault="00B2304E" w:rsidP="00B2304E">
      <w:pPr>
        <w:rPr>
          <w:rFonts w:ascii="Century Gothic" w:hAnsi="Century Gothic"/>
          <w:szCs w:val="22"/>
        </w:rPr>
      </w:pPr>
      <w:r w:rsidRPr="009340D5">
        <w:rPr>
          <w:rFonts w:ascii="Century Gothic" w:hAnsi="Century Gothic"/>
          <w:szCs w:val="22"/>
        </w:rPr>
        <w:t xml:space="preserve">When the family </w:t>
      </w:r>
      <w:proofErr w:type="gramStart"/>
      <w:r w:rsidRPr="009340D5">
        <w:rPr>
          <w:rFonts w:ascii="Century Gothic" w:hAnsi="Century Gothic"/>
          <w:szCs w:val="22"/>
        </w:rPr>
        <w:t>would be</w:t>
      </w:r>
      <w:proofErr w:type="gramEnd"/>
      <w:r w:rsidRPr="009340D5">
        <w:rPr>
          <w:rFonts w:ascii="Century Gothic" w:hAnsi="Century Gothic"/>
          <w:szCs w:val="22"/>
        </w:rPr>
        <w:t xml:space="preserve"> evicted because it is unable to pay the minimum </w:t>
      </w:r>
      <w:r w:rsidR="003A7677" w:rsidRPr="009340D5">
        <w:rPr>
          <w:rFonts w:ascii="Century Gothic" w:hAnsi="Century Gothic"/>
          <w:szCs w:val="22"/>
        </w:rPr>
        <w:t>rent.</w:t>
      </w:r>
      <w:r w:rsidRPr="009340D5">
        <w:rPr>
          <w:rFonts w:ascii="Century Gothic" w:hAnsi="Century Gothic"/>
          <w:szCs w:val="22"/>
        </w:rPr>
        <w:t xml:space="preserve"> </w:t>
      </w:r>
    </w:p>
    <w:p w14:paraId="4580B52F" w14:textId="3F65B24D" w:rsidR="00B2304E" w:rsidRPr="009340D5" w:rsidRDefault="00B2304E" w:rsidP="00B2304E">
      <w:pPr>
        <w:rPr>
          <w:rFonts w:ascii="Century Gothic" w:hAnsi="Century Gothic"/>
          <w:szCs w:val="22"/>
        </w:rPr>
      </w:pPr>
      <w:r w:rsidRPr="009340D5">
        <w:rPr>
          <w:rFonts w:ascii="Century Gothic" w:hAnsi="Century Gothic"/>
          <w:szCs w:val="22"/>
        </w:rPr>
        <w:t xml:space="preserve">When the income of the family has decreased because of changed circumstances, including loss of </w:t>
      </w:r>
      <w:r w:rsidR="003A7677" w:rsidRPr="009340D5">
        <w:rPr>
          <w:rFonts w:ascii="Century Gothic" w:hAnsi="Century Gothic"/>
          <w:szCs w:val="22"/>
        </w:rPr>
        <w:t>employment.</w:t>
      </w:r>
    </w:p>
    <w:p w14:paraId="75B3B918" w14:textId="77777777" w:rsidR="00B2304E" w:rsidRPr="009340D5" w:rsidRDefault="00B2304E" w:rsidP="00B2304E">
      <w:pPr>
        <w:rPr>
          <w:rFonts w:ascii="Century Gothic" w:hAnsi="Century Gothic"/>
          <w:szCs w:val="22"/>
        </w:rPr>
      </w:pPr>
      <w:r w:rsidRPr="009340D5">
        <w:rPr>
          <w:rFonts w:ascii="Century Gothic" w:hAnsi="Century Gothic"/>
          <w:szCs w:val="22"/>
        </w:rPr>
        <w:t>When a death in the family has occurred; or</w:t>
      </w:r>
    </w:p>
    <w:p w14:paraId="0AD0B293" w14:textId="77777777" w:rsidR="00B2304E" w:rsidRPr="009340D5" w:rsidRDefault="00B2304E" w:rsidP="00B2304E">
      <w:pPr>
        <w:rPr>
          <w:rFonts w:ascii="Century Gothic" w:hAnsi="Century Gothic"/>
          <w:szCs w:val="22"/>
        </w:rPr>
      </w:pPr>
      <w:r w:rsidRPr="009340D5">
        <w:rPr>
          <w:rFonts w:ascii="Century Gothic" w:hAnsi="Century Gothic"/>
          <w:szCs w:val="22"/>
        </w:rPr>
        <w:t xml:space="preserve">Other circumstances determined by ECC/HANH to be reasons to waive the minimum rent requirement (collectively, the "Criteria for Minimum Rent Exemption"). </w:t>
      </w:r>
    </w:p>
    <w:p w14:paraId="035F77C4" w14:textId="77777777" w:rsidR="00B2304E" w:rsidRPr="009340D5" w:rsidRDefault="00B2304E" w:rsidP="00B2304E">
      <w:pPr>
        <w:rPr>
          <w:rFonts w:ascii="Century Gothic" w:hAnsi="Century Gothic"/>
          <w:szCs w:val="22"/>
        </w:rPr>
      </w:pPr>
    </w:p>
    <w:p w14:paraId="00823CD3" w14:textId="77777777" w:rsidR="00B2304E" w:rsidRPr="009340D5" w:rsidRDefault="00B2304E" w:rsidP="00B2304E">
      <w:pPr>
        <w:rPr>
          <w:rFonts w:ascii="Century Gothic" w:hAnsi="Century Gothic"/>
          <w:szCs w:val="22"/>
        </w:rPr>
      </w:pPr>
      <w:r w:rsidRPr="009340D5">
        <w:rPr>
          <w:rFonts w:ascii="Century Gothic" w:hAnsi="Century Gothic"/>
          <w:szCs w:val="22"/>
        </w:rPr>
        <w:t xml:space="preserve">If a family is unable to pay the minimum rent because of a financial hardship, the family is eligible for a temporary or long-term hardship </w:t>
      </w:r>
      <w:proofErr w:type="gramStart"/>
      <w:r w:rsidRPr="009340D5">
        <w:rPr>
          <w:rFonts w:ascii="Century Gothic" w:hAnsi="Century Gothic"/>
          <w:szCs w:val="22"/>
        </w:rPr>
        <w:t>exemption</w:t>
      </w:r>
      <w:proofErr w:type="gramEnd"/>
      <w:r w:rsidRPr="009340D5">
        <w:rPr>
          <w:rFonts w:ascii="Century Gothic" w:hAnsi="Century Gothic"/>
          <w:szCs w:val="22"/>
        </w:rPr>
        <w:t xml:space="preserve"> from the minimum rent requirement. </w:t>
      </w:r>
    </w:p>
    <w:p w14:paraId="1F641AFC" w14:textId="77777777" w:rsidR="00B2304E" w:rsidRPr="009340D5" w:rsidRDefault="00B2304E" w:rsidP="00B2304E">
      <w:pPr>
        <w:rPr>
          <w:rFonts w:ascii="Century Gothic" w:hAnsi="Century Gothic"/>
          <w:szCs w:val="22"/>
        </w:rPr>
      </w:pPr>
    </w:p>
    <w:p w14:paraId="5E6BEF17" w14:textId="77777777" w:rsidR="00B2304E" w:rsidRPr="009340D5" w:rsidRDefault="00B2304E" w:rsidP="00B2304E">
      <w:pPr>
        <w:rPr>
          <w:rFonts w:ascii="Century Gothic" w:hAnsi="Century Gothic"/>
          <w:szCs w:val="22"/>
        </w:rPr>
      </w:pPr>
      <w:r w:rsidRPr="009340D5">
        <w:rPr>
          <w:rFonts w:ascii="Century Gothic" w:hAnsi="Century Gothic"/>
          <w:szCs w:val="22"/>
        </w:rPr>
        <w:t xml:space="preserve"> A temporary hardship exemption exists when none of the above criteria is expected to last for more than 90 days.</w:t>
      </w:r>
    </w:p>
    <w:p w14:paraId="6DC03DE0" w14:textId="77777777" w:rsidR="00B2304E" w:rsidRPr="009340D5" w:rsidRDefault="00B2304E" w:rsidP="00B2304E">
      <w:pPr>
        <w:rPr>
          <w:rFonts w:ascii="Century Gothic" w:hAnsi="Century Gothic"/>
          <w:szCs w:val="22"/>
        </w:rPr>
      </w:pPr>
    </w:p>
    <w:p w14:paraId="0312ADEB" w14:textId="77777777" w:rsidR="00B2304E" w:rsidRPr="009340D5" w:rsidRDefault="00B2304E" w:rsidP="00B2304E">
      <w:pPr>
        <w:rPr>
          <w:rFonts w:ascii="Century Gothic" w:hAnsi="Century Gothic"/>
          <w:szCs w:val="22"/>
        </w:rPr>
      </w:pPr>
      <w:r w:rsidRPr="009340D5">
        <w:rPr>
          <w:rFonts w:ascii="Century Gothic" w:hAnsi="Century Gothic"/>
          <w:szCs w:val="22"/>
        </w:rPr>
        <w:t>A long-term hardship exemption exists when at least one of the above criteria is expected to last for more than 90 days.</w:t>
      </w:r>
    </w:p>
    <w:p w14:paraId="7EA6C771" w14:textId="77777777" w:rsidR="00B2304E" w:rsidRPr="009340D5" w:rsidRDefault="00B2304E" w:rsidP="00B2304E">
      <w:pPr>
        <w:rPr>
          <w:rFonts w:ascii="Century Gothic" w:hAnsi="Century Gothic"/>
          <w:szCs w:val="22"/>
        </w:rPr>
      </w:pPr>
    </w:p>
    <w:p w14:paraId="5F3E274C" w14:textId="1FA78C78" w:rsidR="00B2304E" w:rsidRPr="009340D5" w:rsidRDefault="00B2304E" w:rsidP="00B2304E">
      <w:pPr>
        <w:rPr>
          <w:rFonts w:ascii="Century Gothic" w:hAnsi="Century Gothic"/>
          <w:szCs w:val="22"/>
        </w:rPr>
      </w:pPr>
      <w:r w:rsidRPr="009340D5">
        <w:rPr>
          <w:rFonts w:ascii="Century Gothic" w:hAnsi="Century Gothic"/>
          <w:szCs w:val="22"/>
        </w:rPr>
        <w:t xml:space="preserve">A family may only receive one hardship exemption from the minimum rent requirement during a </w:t>
      </w:r>
      <w:r w:rsidR="003A7677" w:rsidRPr="009340D5">
        <w:rPr>
          <w:rFonts w:ascii="Century Gothic" w:hAnsi="Century Gothic"/>
          <w:szCs w:val="22"/>
        </w:rPr>
        <w:t>twelve-month</w:t>
      </w:r>
      <w:r w:rsidRPr="009340D5">
        <w:rPr>
          <w:rFonts w:ascii="Century Gothic" w:hAnsi="Century Gothic"/>
          <w:szCs w:val="22"/>
        </w:rPr>
        <w:t xml:space="preserve"> period, unless a tenant is elderly, disabled, or is enrolled in ECC/HANH’s Family Self Sufficiency Program. The minimum rent requirement may be waived more than once during a </w:t>
      </w:r>
      <w:r w:rsidR="003A7677" w:rsidRPr="009340D5">
        <w:rPr>
          <w:rFonts w:ascii="Century Gothic" w:hAnsi="Century Gothic"/>
          <w:szCs w:val="22"/>
        </w:rPr>
        <w:t>twelve-month</w:t>
      </w:r>
      <w:r w:rsidRPr="009340D5">
        <w:rPr>
          <w:rFonts w:ascii="Century Gothic" w:hAnsi="Century Gothic"/>
          <w:szCs w:val="22"/>
        </w:rPr>
        <w:t xml:space="preserve"> period if at least one adult member of the household enrolls in the Family Self Sufficiency Program (the "FSS Program").  Elderly and disabled families are not required to enroll in the FSS Program. </w:t>
      </w:r>
    </w:p>
    <w:p w14:paraId="6E767914" w14:textId="77777777" w:rsidR="00B2304E" w:rsidRPr="009340D5" w:rsidRDefault="00B2304E" w:rsidP="00B2304E">
      <w:pPr>
        <w:rPr>
          <w:rFonts w:ascii="Century Gothic" w:hAnsi="Century Gothic"/>
          <w:szCs w:val="22"/>
        </w:rPr>
      </w:pPr>
    </w:p>
    <w:p w14:paraId="49C649E5" w14:textId="2A1DF334" w:rsidR="00B2304E" w:rsidRPr="009340D5" w:rsidRDefault="00B2304E" w:rsidP="00B2304E">
      <w:pPr>
        <w:rPr>
          <w:rFonts w:ascii="Century Gothic" w:hAnsi="Century Gothic"/>
          <w:bCs/>
          <w:spacing w:val="1"/>
          <w:szCs w:val="22"/>
        </w:rPr>
      </w:pPr>
      <w:r w:rsidRPr="009340D5">
        <w:rPr>
          <w:rFonts w:ascii="Century Gothic" w:hAnsi="Century Gothic"/>
          <w:szCs w:val="22"/>
        </w:rPr>
        <w:t xml:space="preserve">Once the Authority identifies a resident’s need for </w:t>
      </w:r>
      <w:proofErr w:type="gramStart"/>
      <w:r w:rsidRPr="009340D5">
        <w:rPr>
          <w:rFonts w:ascii="Century Gothic" w:hAnsi="Century Gothic"/>
          <w:szCs w:val="22"/>
        </w:rPr>
        <w:t>a hardship</w:t>
      </w:r>
      <w:proofErr w:type="gramEnd"/>
      <w:r w:rsidRPr="009340D5">
        <w:rPr>
          <w:rFonts w:ascii="Century Gothic" w:hAnsi="Century Gothic"/>
          <w:szCs w:val="22"/>
        </w:rPr>
        <w:t xml:space="preserve"> exemption from the minimum rent requirement or the family requests such exemption, the minimum rent shall be suspended immediately for a period of 90 days. </w:t>
      </w:r>
      <w:r w:rsidRPr="009340D5">
        <w:rPr>
          <w:rFonts w:ascii="Century Gothic" w:hAnsi="Century Gothic"/>
          <w:szCs w:val="22"/>
        </w:rPr>
        <w:br/>
      </w:r>
      <w:r w:rsidRPr="009340D5">
        <w:rPr>
          <w:rFonts w:ascii="Century Gothic" w:hAnsi="Century Gothic"/>
          <w:szCs w:val="22"/>
        </w:rPr>
        <w:br/>
      </w:r>
      <w:bookmarkStart w:id="303" w:name="_Toc518556080"/>
      <w:bookmarkStart w:id="304" w:name="_Toc3305650"/>
      <w:bookmarkStart w:id="305" w:name="_Toc9319892"/>
      <w:r w:rsidRPr="009340D5">
        <w:rPr>
          <w:rFonts w:ascii="Century Gothic" w:hAnsi="Century Gothic"/>
          <w:spacing w:val="1"/>
          <w:szCs w:val="22"/>
        </w:rPr>
        <w:t>2.</w:t>
      </w:r>
      <w:r w:rsidRPr="009340D5">
        <w:rPr>
          <w:rFonts w:ascii="Century Gothic" w:hAnsi="Century Gothic"/>
          <w:spacing w:val="1"/>
          <w:szCs w:val="22"/>
        </w:rPr>
        <w:tab/>
        <w:t>Initiation of Hardship Exemption Review</w:t>
      </w:r>
      <w:bookmarkEnd w:id="303"/>
      <w:bookmarkEnd w:id="304"/>
      <w:bookmarkEnd w:id="305"/>
    </w:p>
    <w:p w14:paraId="570DAADC" w14:textId="77777777" w:rsidR="00B2304E" w:rsidRPr="009340D5" w:rsidRDefault="00B2304E" w:rsidP="00B2304E">
      <w:pPr>
        <w:rPr>
          <w:rFonts w:ascii="Century Gothic" w:hAnsi="Century Gothic"/>
          <w:szCs w:val="22"/>
        </w:rPr>
      </w:pPr>
    </w:p>
    <w:p w14:paraId="42609D80" w14:textId="79C49A94"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An Application for Exemption from Minimum Rent may originate from either </w:t>
      </w:r>
      <w:r w:rsidR="003A7677" w:rsidRPr="009340D5">
        <w:rPr>
          <w:rFonts w:ascii="Century Gothic" w:hAnsi="Century Gothic"/>
          <w:spacing w:val="6"/>
          <w:szCs w:val="22"/>
        </w:rPr>
        <w:t>an</w:t>
      </w:r>
      <w:r w:rsidRPr="009340D5">
        <w:rPr>
          <w:rFonts w:ascii="Century Gothic" w:hAnsi="Century Gothic"/>
          <w:spacing w:val="6"/>
          <w:szCs w:val="22"/>
        </w:rPr>
        <w:t xml:space="preserve"> ECC/HANH employee or the resident family.</w:t>
      </w:r>
    </w:p>
    <w:p w14:paraId="0F8720B4" w14:textId="77777777" w:rsidR="00B2304E" w:rsidRPr="009340D5" w:rsidRDefault="00B2304E" w:rsidP="00B2304E">
      <w:pPr>
        <w:rPr>
          <w:rFonts w:ascii="Century Gothic" w:hAnsi="Century Gothic"/>
          <w:spacing w:val="6"/>
          <w:szCs w:val="22"/>
        </w:rPr>
      </w:pPr>
    </w:p>
    <w:p w14:paraId="4DFE4DC4"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ECC/HANH employees must complete and </w:t>
      </w:r>
      <w:proofErr w:type="gramStart"/>
      <w:r w:rsidRPr="009340D5">
        <w:rPr>
          <w:rFonts w:ascii="Century Gothic" w:hAnsi="Century Gothic"/>
          <w:spacing w:val="6"/>
          <w:szCs w:val="22"/>
        </w:rPr>
        <w:t>submit an Application</w:t>
      </w:r>
      <w:proofErr w:type="gramEnd"/>
      <w:r w:rsidRPr="009340D5">
        <w:rPr>
          <w:rFonts w:ascii="Century Gothic" w:hAnsi="Century Gothic"/>
          <w:spacing w:val="6"/>
          <w:szCs w:val="22"/>
        </w:rPr>
        <w:t xml:space="preserve"> for Exemption from Minimum Rent on behalf of a resident family whenever any evidence exists that the family falls into any one of the Criteria for Minimum Rent Exemption (as set forth above).</w:t>
      </w:r>
    </w:p>
    <w:p w14:paraId="2C2DC3DE" w14:textId="77777777" w:rsidR="00B2304E" w:rsidRDefault="00B2304E" w:rsidP="00B2304E">
      <w:pPr>
        <w:rPr>
          <w:rFonts w:ascii="Century Gothic" w:hAnsi="Century Gothic"/>
          <w:spacing w:val="6"/>
          <w:szCs w:val="22"/>
        </w:rPr>
      </w:pPr>
      <w:r w:rsidRPr="009340D5">
        <w:rPr>
          <w:rFonts w:ascii="Century Gothic" w:hAnsi="Century Gothic"/>
          <w:spacing w:val="6"/>
          <w:szCs w:val="22"/>
        </w:rPr>
        <w:lastRenderedPageBreak/>
        <w:t>A resident family also has the right to request a hardship exemption from minimum rent.  Such request must be in writing and must state the family circumstances that qualify the family for a hardship exemption.</w:t>
      </w:r>
    </w:p>
    <w:p w14:paraId="056C62FB" w14:textId="77777777" w:rsidR="002A35F2" w:rsidRPr="009340D5" w:rsidRDefault="002A35F2" w:rsidP="00B2304E">
      <w:pPr>
        <w:rPr>
          <w:rFonts w:ascii="Century Gothic" w:hAnsi="Century Gothic"/>
          <w:spacing w:val="6"/>
          <w:szCs w:val="22"/>
        </w:rPr>
      </w:pPr>
    </w:p>
    <w:p w14:paraId="48287A5E" w14:textId="77777777" w:rsidR="00B2304E" w:rsidRPr="009340D5" w:rsidRDefault="00B2304E" w:rsidP="00B2304E">
      <w:pPr>
        <w:rPr>
          <w:rFonts w:ascii="Century Gothic" w:hAnsi="Century Gothic"/>
          <w:bCs/>
          <w:spacing w:val="1"/>
          <w:szCs w:val="22"/>
        </w:rPr>
      </w:pPr>
      <w:bookmarkStart w:id="306" w:name="_Toc518556081"/>
      <w:bookmarkStart w:id="307" w:name="_Toc3305651"/>
      <w:bookmarkStart w:id="308" w:name="_Toc9319893"/>
      <w:r w:rsidRPr="009340D5">
        <w:rPr>
          <w:rFonts w:ascii="Century Gothic" w:hAnsi="Century Gothic"/>
          <w:spacing w:val="1"/>
          <w:szCs w:val="22"/>
        </w:rPr>
        <w:t>3.</w:t>
      </w:r>
      <w:r w:rsidRPr="009340D5">
        <w:rPr>
          <w:rFonts w:ascii="Century Gothic" w:hAnsi="Century Gothic"/>
          <w:spacing w:val="1"/>
          <w:szCs w:val="22"/>
        </w:rPr>
        <w:tab/>
        <w:t>Notification of the Right to a Hardship Exemption</w:t>
      </w:r>
      <w:bookmarkEnd w:id="306"/>
      <w:bookmarkEnd w:id="307"/>
      <w:bookmarkEnd w:id="308"/>
    </w:p>
    <w:p w14:paraId="53EB497B" w14:textId="77777777" w:rsidR="00B2304E" w:rsidRPr="009340D5" w:rsidRDefault="00B2304E" w:rsidP="00B2304E">
      <w:pPr>
        <w:rPr>
          <w:rFonts w:ascii="Century Gothic" w:hAnsi="Century Gothic"/>
          <w:szCs w:val="22"/>
        </w:rPr>
      </w:pPr>
    </w:p>
    <w:p w14:paraId="046ECBA7"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ECC/HANH will notify all families of the ability to receive a hardship exemption from minimum rent and the procedures for applying for such a hardship exemption in the Application for Exemption from Minimum Rent, a copy of which will be provided to residents at lease up and at each recertification appointment or mailed to residents for interim recertifications. </w:t>
      </w:r>
    </w:p>
    <w:p w14:paraId="29878296" w14:textId="77777777" w:rsidR="00B2304E" w:rsidRPr="009340D5" w:rsidRDefault="00B2304E" w:rsidP="00B2304E">
      <w:pPr>
        <w:rPr>
          <w:rFonts w:ascii="Century Gothic" w:hAnsi="Century Gothic"/>
          <w:spacing w:val="6"/>
          <w:szCs w:val="22"/>
        </w:rPr>
      </w:pPr>
    </w:p>
    <w:p w14:paraId="4EA981D1" w14:textId="3E372904" w:rsidR="00B2304E" w:rsidRPr="009340D5" w:rsidRDefault="00B2304E" w:rsidP="00B2304E">
      <w:pPr>
        <w:rPr>
          <w:rFonts w:ascii="Century Gothic" w:hAnsi="Century Gothic"/>
          <w:spacing w:val="6"/>
          <w:szCs w:val="22"/>
        </w:rPr>
      </w:pPr>
      <w:r w:rsidRPr="009340D5">
        <w:rPr>
          <w:rFonts w:ascii="Century Gothic" w:hAnsi="Century Gothic"/>
          <w:spacing w:val="6"/>
          <w:szCs w:val="22"/>
        </w:rPr>
        <w:t>ECC/HANH will also notify all families in writing of the ability to receive a hardship exemption from minimum rent and the procedures for applying for such a hardship exemption in the following documents</w:t>
      </w:r>
      <w:r w:rsidR="00CC5826" w:rsidRPr="009340D5">
        <w:rPr>
          <w:rFonts w:ascii="Century Gothic" w:hAnsi="Century Gothic"/>
          <w:spacing w:val="6"/>
          <w:szCs w:val="22"/>
        </w:rPr>
        <w:t>: resident</w:t>
      </w:r>
      <w:r w:rsidRPr="009340D5">
        <w:rPr>
          <w:rFonts w:ascii="Century Gothic" w:hAnsi="Century Gothic"/>
          <w:spacing w:val="6"/>
          <w:szCs w:val="22"/>
        </w:rPr>
        <w:t xml:space="preserve"> rent change notifications when monthly rent is set at the minimum rent, the form lease agreement and all form documents related to the hardship exemption process.</w:t>
      </w:r>
    </w:p>
    <w:p w14:paraId="57E61A26" w14:textId="77777777" w:rsidR="00B2304E" w:rsidRPr="009340D5" w:rsidRDefault="00B2304E" w:rsidP="00B2304E">
      <w:pPr>
        <w:rPr>
          <w:rFonts w:ascii="Century Gothic" w:hAnsi="Century Gothic"/>
          <w:spacing w:val="6"/>
          <w:szCs w:val="22"/>
        </w:rPr>
      </w:pPr>
    </w:p>
    <w:p w14:paraId="3185FADF" w14:textId="066B0872"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ECC/HANH will also notify all families in </w:t>
      </w:r>
      <w:proofErr w:type="gramStart"/>
      <w:r w:rsidRPr="009340D5">
        <w:rPr>
          <w:rFonts w:ascii="Century Gothic" w:hAnsi="Century Gothic"/>
          <w:spacing w:val="6"/>
          <w:szCs w:val="22"/>
        </w:rPr>
        <w:t>all of</w:t>
      </w:r>
      <w:proofErr w:type="gramEnd"/>
      <w:r w:rsidRPr="009340D5">
        <w:rPr>
          <w:rFonts w:ascii="Century Gothic" w:hAnsi="Century Gothic"/>
          <w:spacing w:val="6"/>
          <w:szCs w:val="22"/>
        </w:rPr>
        <w:t xml:space="preserve"> the above documents that all families that are exempt from the minimum rent requirement will be referred to the Family Self Sufficiency (FSS) Program </w:t>
      </w:r>
      <w:proofErr w:type="gramStart"/>
      <w:r w:rsidRPr="009340D5">
        <w:rPr>
          <w:rFonts w:ascii="Century Gothic" w:hAnsi="Century Gothic"/>
          <w:spacing w:val="6"/>
          <w:szCs w:val="22"/>
        </w:rPr>
        <w:t>in order to</w:t>
      </w:r>
      <w:proofErr w:type="gramEnd"/>
      <w:r w:rsidRPr="009340D5">
        <w:rPr>
          <w:rFonts w:ascii="Century Gothic" w:hAnsi="Century Gothic"/>
          <w:spacing w:val="6"/>
          <w:szCs w:val="22"/>
        </w:rPr>
        <w:t xml:space="preserve"> assist the family in moving toward </w:t>
      </w:r>
      <w:r w:rsidR="003A7677" w:rsidRPr="009340D5">
        <w:rPr>
          <w:rFonts w:ascii="Century Gothic" w:hAnsi="Century Gothic"/>
          <w:spacing w:val="6"/>
          <w:szCs w:val="22"/>
        </w:rPr>
        <w:t>self-sufficiency</w:t>
      </w:r>
      <w:r w:rsidRPr="009340D5">
        <w:rPr>
          <w:rFonts w:ascii="Century Gothic" w:hAnsi="Century Gothic"/>
          <w:spacing w:val="6"/>
          <w:szCs w:val="22"/>
        </w:rPr>
        <w:t>.  Elderly and disabled families are not required to participate in the FSS program.</w:t>
      </w:r>
    </w:p>
    <w:p w14:paraId="7BF61965" w14:textId="77777777" w:rsidR="00B2304E" w:rsidRPr="009340D5" w:rsidRDefault="00B2304E" w:rsidP="00B2304E">
      <w:pPr>
        <w:rPr>
          <w:rFonts w:ascii="Century Gothic" w:hAnsi="Century Gothic"/>
          <w:spacing w:val="6"/>
          <w:szCs w:val="22"/>
        </w:rPr>
      </w:pPr>
    </w:p>
    <w:p w14:paraId="2B393679" w14:textId="77777777" w:rsidR="00B2304E" w:rsidRPr="009340D5" w:rsidRDefault="00B2304E" w:rsidP="00B2304E">
      <w:pPr>
        <w:rPr>
          <w:rFonts w:ascii="Century Gothic" w:hAnsi="Century Gothic"/>
          <w:bCs/>
          <w:spacing w:val="1"/>
          <w:szCs w:val="22"/>
        </w:rPr>
      </w:pPr>
      <w:bookmarkStart w:id="309" w:name="_Toc518556082"/>
      <w:bookmarkStart w:id="310" w:name="_Toc3305652"/>
      <w:bookmarkStart w:id="311" w:name="_Toc9319894"/>
      <w:r w:rsidRPr="009340D5">
        <w:rPr>
          <w:rFonts w:ascii="Century Gothic" w:hAnsi="Century Gothic"/>
          <w:spacing w:val="1"/>
          <w:szCs w:val="22"/>
        </w:rPr>
        <w:t>4.</w:t>
      </w:r>
      <w:r w:rsidRPr="009340D5">
        <w:rPr>
          <w:rFonts w:ascii="Century Gothic" w:hAnsi="Century Gothic"/>
          <w:spacing w:val="1"/>
          <w:szCs w:val="22"/>
        </w:rPr>
        <w:tab/>
        <w:t>Hardship Review Committee</w:t>
      </w:r>
      <w:bookmarkEnd w:id="309"/>
      <w:bookmarkEnd w:id="310"/>
      <w:bookmarkEnd w:id="311"/>
    </w:p>
    <w:p w14:paraId="4CEB8052" w14:textId="77777777" w:rsidR="00B2304E" w:rsidRPr="009340D5" w:rsidRDefault="00B2304E" w:rsidP="00B2304E">
      <w:pPr>
        <w:rPr>
          <w:rFonts w:ascii="Century Gothic" w:hAnsi="Century Gothic"/>
          <w:spacing w:val="6"/>
          <w:szCs w:val="22"/>
        </w:rPr>
      </w:pPr>
    </w:p>
    <w:p w14:paraId="01A6A4C2"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All “Applications for Exemption from Minimum Rent” shall be forwarded to the Hardship Review Committee. </w:t>
      </w:r>
    </w:p>
    <w:p w14:paraId="710B4738" w14:textId="77777777" w:rsidR="00B2304E" w:rsidRPr="009340D5" w:rsidRDefault="00B2304E" w:rsidP="00B2304E">
      <w:pPr>
        <w:rPr>
          <w:rFonts w:ascii="Century Gothic" w:hAnsi="Century Gothic"/>
          <w:spacing w:val="6"/>
          <w:szCs w:val="22"/>
        </w:rPr>
      </w:pPr>
    </w:p>
    <w:p w14:paraId="58B817A5"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The Hardship Review Committee shall consist of the Executive Director or his/her designee, the Chief Operations Officer or his/her designee, the Service Center Director or his/her designee, and the Assistant Executive Director of Community and Economic Development or his/her designee. At the family’s option, the Hardship Review Committee may include one (1) resident of ECC/HANH who is in good standing.</w:t>
      </w:r>
    </w:p>
    <w:p w14:paraId="296FF454" w14:textId="77777777" w:rsidR="00B2304E" w:rsidRPr="009340D5" w:rsidRDefault="00B2304E" w:rsidP="00B2304E">
      <w:pPr>
        <w:rPr>
          <w:rFonts w:ascii="Century Gothic" w:hAnsi="Century Gothic"/>
          <w:spacing w:val="6"/>
          <w:szCs w:val="22"/>
        </w:rPr>
      </w:pPr>
    </w:p>
    <w:p w14:paraId="46FCF6C2" w14:textId="532FA773"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The Application for Exemption from Minimum Rent shall originate from the family or from </w:t>
      </w:r>
      <w:r w:rsidR="003A7677" w:rsidRPr="009340D5">
        <w:rPr>
          <w:rFonts w:ascii="Century Gothic" w:hAnsi="Century Gothic"/>
          <w:spacing w:val="6"/>
          <w:szCs w:val="22"/>
        </w:rPr>
        <w:t>an</w:t>
      </w:r>
      <w:r w:rsidRPr="009340D5">
        <w:rPr>
          <w:rFonts w:ascii="Century Gothic" w:hAnsi="Century Gothic"/>
          <w:spacing w:val="6"/>
          <w:szCs w:val="22"/>
        </w:rPr>
        <w:t xml:space="preserve"> ECC/HANH employee whenever evidence exists that the family falls into any one of the Criteria for Minimum Rent Exemption. </w:t>
      </w:r>
    </w:p>
    <w:p w14:paraId="71934BD0" w14:textId="77777777" w:rsidR="00B2304E" w:rsidRPr="009340D5" w:rsidRDefault="00B2304E" w:rsidP="00B2304E">
      <w:pPr>
        <w:rPr>
          <w:rFonts w:ascii="Century Gothic" w:hAnsi="Century Gothic"/>
          <w:spacing w:val="6"/>
          <w:szCs w:val="22"/>
        </w:rPr>
      </w:pPr>
    </w:p>
    <w:p w14:paraId="3AD05483" w14:textId="4E6936E8"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When a resident </w:t>
      </w:r>
      <w:proofErr w:type="gramStart"/>
      <w:r w:rsidRPr="009340D5">
        <w:rPr>
          <w:rFonts w:ascii="Century Gothic" w:hAnsi="Century Gothic"/>
          <w:spacing w:val="6"/>
          <w:szCs w:val="22"/>
        </w:rPr>
        <w:t>submits an application</w:t>
      </w:r>
      <w:proofErr w:type="gramEnd"/>
      <w:r w:rsidRPr="009340D5">
        <w:rPr>
          <w:rFonts w:ascii="Century Gothic" w:hAnsi="Century Gothic"/>
          <w:spacing w:val="6"/>
          <w:szCs w:val="22"/>
        </w:rPr>
        <w:t xml:space="preserve"> or </w:t>
      </w:r>
      <w:r w:rsidR="009A2E04" w:rsidRPr="009340D5">
        <w:rPr>
          <w:rFonts w:ascii="Century Gothic" w:hAnsi="Century Gothic"/>
          <w:spacing w:val="6"/>
          <w:szCs w:val="22"/>
        </w:rPr>
        <w:t>an</w:t>
      </w:r>
      <w:r w:rsidRPr="009340D5">
        <w:rPr>
          <w:rFonts w:ascii="Century Gothic" w:hAnsi="Century Gothic"/>
          <w:spacing w:val="6"/>
          <w:szCs w:val="22"/>
        </w:rPr>
        <w:t xml:space="preserve"> ECC/HANH employee </w:t>
      </w:r>
      <w:proofErr w:type="gramStart"/>
      <w:r w:rsidRPr="009340D5">
        <w:rPr>
          <w:rFonts w:ascii="Century Gothic" w:hAnsi="Century Gothic"/>
          <w:spacing w:val="6"/>
          <w:szCs w:val="22"/>
        </w:rPr>
        <w:t>submits an application</w:t>
      </w:r>
      <w:proofErr w:type="gramEnd"/>
      <w:r w:rsidRPr="009340D5">
        <w:rPr>
          <w:rFonts w:ascii="Century Gothic" w:hAnsi="Century Gothic"/>
          <w:spacing w:val="6"/>
          <w:szCs w:val="22"/>
        </w:rPr>
        <w:t xml:space="preserve"> on behalf of a resident, ECC/HANH will suspend the minimum rent requirement commencing on the first of the month following the date of the application for a period of 90 days. </w:t>
      </w:r>
    </w:p>
    <w:p w14:paraId="6546F96F" w14:textId="77777777" w:rsidR="00B2304E" w:rsidRPr="009340D5" w:rsidRDefault="00B2304E" w:rsidP="00B2304E">
      <w:pPr>
        <w:rPr>
          <w:rFonts w:ascii="Century Gothic" w:hAnsi="Century Gothic"/>
          <w:spacing w:val="6"/>
          <w:szCs w:val="22"/>
        </w:rPr>
      </w:pPr>
    </w:p>
    <w:p w14:paraId="6EDBFAFA" w14:textId="6637BCCB"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The resident cannot be evicted for nonpayment of minimum rent while resident’s Application for Exemption from Minimum Rent is pending or during the </w:t>
      </w:r>
      <w:r w:rsidR="003A7677" w:rsidRPr="009340D5">
        <w:rPr>
          <w:rFonts w:ascii="Century Gothic" w:hAnsi="Century Gothic"/>
          <w:spacing w:val="6"/>
          <w:szCs w:val="22"/>
        </w:rPr>
        <w:t>90-day</w:t>
      </w:r>
      <w:r w:rsidRPr="009340D5">
        <w:rPr>
          <w:rFonts w:ascii="Century Gothic" w:hAnsi="Century Gothic"/>
          <w:spacing w:val="6"/>
          <w:szCs w:val="22"/>
        </w:rPr>
        <w:t xml:space="preserve"> period of suspension, whichever is longer.</w:t>
      </w:r>
    </w:p>
    <w:p w14:paraId="083838FE" w14:textId="77777777" w:rsidR="00B2304E" w:rsidRPr="009340D5" w:rsidRDefault="00B2304E" w:rsidP="00B2304E">
      <w:pPr>
        <w:rPr>
          <w:rFonts w:ascii="Century Gothic" w:hAnsi="Century Gothic"/>
          <w:spacing w:val="6"/>
          <w:szCs w:val="22"/>
        </w:rPr>
      </w:pPr>
    </w:p>
    <w:p w14:paraId="6FEF1899"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The Hardship Review Committee shall send a letter to all </w:t>
      </w:r>
      <w:proofErr w:type="gramStart"/>
      <w:r w:rsidRPr="009340D5">
        <w:rPr>
          <w:rFonts w:ascii="Century Gothic" w:hAnsi="Century Gothic"/>
          <w:spacing w:val="6"/>
          <w:szCs w:val="22"/>
        </w:rPr>
        <w:t>resident families</w:t>
      </w:r>
      <w:proofErr w:type="gramEnd"/>
      <w:r w:rsidRPr="009340D5">
        <w:rPr>
          <w:rFonts w:ascii="Century Gothic" w:hAnsi="Century Gothic"/>
          <w:spacing w:val="6"/>
          <w:szCs w:val="22"/>
        </w:rPr>
        <w:t xml:space="preserve"> who have applied for hardship exemption from minimum rent </w:t>
      </w:r>
      <w:proofErr w:type="gramStart"/>
      <w:r w:rsidRPr="009340D5">
        <w:rPr>
          <w:rFonts w:ascii="Century Gothic" w:hAnsi="Century Gothic"/>
          <w:spacing w:val="6"/>
          <w:szCs w:val="22"/>
        </w:rPr>
        <w:t>stating</w:t>
      </w:r>
      <w:proofErr w:type="gramEnd"/>
      <w:r w:rsidRPr="009340D5">
        <w:rPr>
          <w:rFonts w:ascii="Century Gothic" w:hAnsi="Century Gothic"/>
          <w:spacing w:val="6"/>
          <w:szCs w:val="22"/>
        </w:rPr>
        <w:t xml:space="preserve">: </w:t>
      </w:r>
    </w:p>
    <w:p w14:paraId="428FABDB" w14:textId="77777777" w:rsidR="00B2304E" w:rsidRPr="009340D5" w:rsidRDefault="00B2304E" w:rsidP="00B2304E">
      <w:pPr>
        <w:rPr>
          <w:rFonts w:ascii="Century Gothic" w:hAnsi="Century Gothic"/>
          <w:spacing w:val="6"/>
          <w:szCs w:val="22"/>
        </w:rPr>
      </w:pPr>
    </w:p>
    <w:p w14:paraId="1CC0B738"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that ECC/HANH has received an Application for Exemption from Minimum Rent, </w:t>
      </w:r>
    </w:p>
    <w:p w14:paraId="28419DD6" w14:textId="77777777" w:rsidR="00B2304E" w:rsidRPr="009340D5" w:rsidRDefault="00B2304E" w:rsidP="00B2304E">
      <w:pPr>
        <w:rPr>
          <w:rFonts w:ascii="Century Gothic" w:hAnsi="Century Gothic"/>
          <w:spacing w:val="6"/>
          <w:szCs w:val="22"/>
        </w:rPr>
      </w:pPr>
    </w:p>
    <w:p w14:paraId="7850E0F2" w14:textId="0352A5AC" w:rsidR="00B2304E" w:rsidRPr="009340D5" w:rsidRDefault="00B2304E" w:rsidP="00B2304E">
      <w:pPr>
        <w:rPr>
          <w:rFonts w:ascii="Century Gothic" w:hAnsi="Century Gothic"/>
          <w:spacing w:val="6"/>
          <w:szCs w:val="22"/>
        </w:rPr>
      </w:pPr>
      <w:r w:rsidRPr="009340D5">
        <w:rPr>
          <w:rFonts w:ascii="Century Gothic" w:hAnsi="Century Gothic"/>
          <w:spacing w:val="6"/>
          <w:szCs w:val="22"/>
        </w:rPr>
        <w:lastRenderedPageBreak/>
        <w:t xml:space="preserve">that ECC/HANH will suspend the minimum rent requirement for 90 days </w:t>
      </w:r>
      <w:proofErr w:type="gramStart"/>
      <w:r w:rsidRPr="009340D5">
        <w:rPr>
          <w:rFonts w:ascii="Century Gothic" w:hAnsi="Century Gothic"/>
          <w:spacing w:val="6"/>
          <w:szCs w:val="22"/>
        </w:rPr>
        <w:t>effective</w:t>
      </w:r>
      <w:proofErr w:type="gramEnd"/>
      <w:r w:rsidRPr="009340D5">
        <w:rPr>
          <w:rFonts w:ascii="Century Gothic" w:hAnsi="Century Gothic"/>
          <w:spacing w:val="6"/>
          <w:szCs w:val="22"/>
        </w:rPr>
        <w:t xml:space="preserve"> as of the first of the next month and the effective dates of the </w:t>
      </w:r>
      <w:r w:rsidR="003A7677" w:rsidRPr="009340D5">
        <w:rPr>
          <w:rFonts w:ascii="Century Gothic" w:hAnsi="Century Gothic"/>
          <w:spacing w:val="6"/>
          <w:szCs w:val="22"/>
        </w:rPr>
        <w:t>90-day</w:t>
      </w:r>
      <w:r w:rsidRPr="009340D5">
        <w:rPr>
          <w:rFonts w:ascii="Century Gothic" w:hAnsi="Century Gothic"/>
          <w:spacing w:val="6"/>
          <w:szCs w:val="22"/>
        </w:rPr>
        <w:t xml:space="preserve"> suspension, </w:t>
      </w:r>
    </w:p>
    <w:p w14:paraId="51D2ABAF" w14:textId="77777777" w:rsidR="00B2304E" w:rsidRPr="009340D5" w:rsidRDefault="00B2304E" w:rsidP="00B2304E">
      <w:pPr>
        <w:rPr>
          <w:rFonts w:ascii="Century Gothic" w:hAnsi="Century Gothic"/>
          <w:spacing w:val="6"/>
          <w:szCs w:val="22"/>
        </w:rPr>
      </w:pPr>
    </w:p>
    <w:p w14:paraId="1A113783" w14:textId="14AA5682"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that there can be no eviction for non-payment of rent during the suspension </w:t>
      </w:r>
      <w:r w:rsidR="003A7677" w:rsidRPr="009340D5">
        <w:rPr>
          <w:rFonts w:ascii="Century Gothic" w:hAnsi="Century Gothic"/>
          <w:spacing w:val="6"/>
          <w:szCs w:val="22"/>
        </w:rPr>
        <w:t>period.</w:t>
      </w:r>
    </w:p>
    <w:p w14:paraId="218B5563" w14:textId="77777777" w:rsidR="00B2304E" w:rsidRPr="009340D5" w:rsidRDefault="00B2304E" w:rsidP="00B2304E">
      <w:pPr>
        <w:rPr>
          <w:rFonts w:ascii="Century Gothic" w:hAnsi="Century Gothic"/>
          <w:spacing w:val="6"/>
          <w:szCs w:val="22"/>
        </w:rPr>
      </w:pPr>
    </w:p>
    <w:p w14:paraId="795784AA"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the date for a meeting with the resident </w:t>
      </w:r>
      <w:r w:rsidRPr="009340D5">
        <w:rPr>
          <w:rFonts w:ascii="Century Gothic" w:hAnsi="Century Gothic"/>
          <w:spacing w:val="3"/>
          <w:szCs w:val="22"/>
        </w:rPr>
        <w:t>to discuss the hardship exemption request, giving the resident family at least ten days advance notice of such meeting and informing the resident that he or she may have one opportunity to reschedule the meeting; and</w:t>
      </w:r>
    </w:p>
    <w:p w14:paraId="2D895576" w14:textId="77777777" w:rsidR="00B2304E" w:rsidRPr="009340D5" w:rsidRDefault="00B2304E" w:rsidP="00B2304E">
      <w:pPr>
        <w:rPr>
          <w:rFonts w:ascii="Century Gothic" w:hAnsi="Century Gothic"/>
          <w:spacing w:val="6"/>
          <w:szCs w:val="22"/>
        </w:rPr>
      </w:pPr>
    </w:p>
    <w:p w14:paraId="08A05255"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that, </w:t>
      </w:r>
      <w:proofErr w:type="gramStart"/>
      <w:r w:rsidRPr="009340D5">
        <w:rPr>
          <w:rFonts w:ascii="Century Gothic" w:hAnsi="Century Gothic"/>
          <w:spacing w:val="6"/>
          <w:szCs w:val="22"/>
        </w:rPr>
        <w:t>with the exception of</w:t>
      </w:r>
      <w:proofErr w:type="gramEnd"/>
      <w:r w:rsidRPr="009340D5">
        <w:rPr>
          <w:rFonts w:ascii="Century Gothic" w:hAnsi="Century Gothic"/>
          <w:spacing w:val="6"/>
          <w:szCs w:val="22"/>
        </w:rPr>
        <w:t xml:space="preserve"> elderly and disabled families, the resident family has been referred to the FSS program and will not be able to receive a hardship exemption </w:t>
      </w:r>
      <w:proofErr w:type="gramStart"/>
      <w:r w:rsidRPr="009340D5">
        <w:rPr>
          <w:rFonts w:ascii="Century Gothic" w:hAnsi="Century Gothic"/>
          <w:spacing w:val="6"/>
          <w:szCs w:val="22"/>
        </w:rPr>
        <w:t>in excess of</w:t>
      </w:r>
      <w:proofErr w:type="gramEnd"/>
      <w:r w:rsidRPr="009340D5">
        <w:rPr>
          <w:rFonts w:ascii="Century Gothic" w:hAnsi="Century Gothic"/>
          <w:spacing w:val="6"/>
          <w:szCs w:val="22"/>
        </w:rPr>
        <w:t xml:space="preserve"> 90 days without enrolling in the program.</w:t>
      </w:r>
    </w:p>
    <w:p w14:paraId="09833EC7" w14:textId="77777777" w:rsidR="00B2304E" w:rsidRPr="009340D5" w:rsidRDefault="00B2304E" w:rsidP="00B2304E">
      <w:pPr>
        <w:rPr>
          <w:rFonts w:ascii="Century Gothic" w:hAnsi="Century Gothic"/>
          <w:spacing w:val="6"/>
          <w:szCs w:val="22"/>
        </w:rPr>
      </w:pPr>
    </w:p>
    <w:p w14:paraId="0B0C1F1B"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The Hardship Review Committee will review the circumstances surrounding the request and determine if the request is temporary, long term or nonexistent.  </w:t>
      </w:r>
    </w:p>
    <w:p w14:paraId="6B11F4DF" w14:textId="77777777" w:rsidR="00B2304E" w:rsidRPr="009340D5" w:rsidRDefault="00B2304E" w:rsidP="00B2304E">
      <w:pPr>
        <w:rPr>
          <w:rFonts w:ascii="Century Gothic" w:hAnsi="Century Gothic"/>
          <w:szCs w:val="22"/>
        </w:rPr>
      </w:pPr>
    </w:p>
    <w:p w14:paraId="2AEBF358" w14:textId="652D4269" w:rsidR="00B2304E" w:rsidRPr="009340D5" w:rsidRDefault="00B2304E" w:rsidP="00B2304E">
      <w:pPr>
        <w:rPr>
          <w:rFonts w:ascii="Century Gothic" w:hAnsi="Century Gothic"/>
          <w:szCs w:val="22"/>
        </w:rPr>
      </w:pPr>
      <w:r w:rsidRPr="009340D5">
        <w:rPr>
          <w:rFonts w:ascii="Century Gothic" w:hAnsi="Century Gothic"/>
          <w:szCs w:val="22"/>
        </w:rPr>
        <w:t xml:space="preserve">If the Committee determines that </w:t>
      </w:r>
      <w:r w:rsidRPr="009340D5">
        <w:rPr>
          <w:rFonts w:ascii="Century Gothic" w:hAnsi="Century Gothic"/>
          <w:b/>
          <w:i/>
          <w:szCs w:val="22"/>
        </w:rPr>
        <w:t>the hardship is of a temporary nature (the hardship is expected to last less than 90 days)</w:t>
      </w:r>
      <w:r w:rsidRPr="009340D5">
        <w:rPr>
          <w:rFonts w:ascii="Century Gothic" w:hAnsi="Century Gothic"/>
          <w:szCs w:val="22"/>
        </w:rPr>
        <w:t xml:space="preserve">, at the end of the 90-day period, the resident’s rent will be reinstated to the minimum rent retroactively to the initial date of suspension. </w:t>
      </w:r>
      <w:r w:rsidR="00CC5826">
        <w:rPr>
          <w:rFonts w:ascii="Century Gothic" w:hAnsi="Century Gothic"/>
          <w:szCs w:val="22"/>
        </w:rPr>
        <w:t xml:space="preserve"> </w:t>
      </w:r>
      <w:r w:rsidRPr="009340D5">
        <w:rPr>
          <w:rFonts w:ascii="Century Gothic" w:hAnsi="Century Gothic"/>
          <w:szCs w:val="22"/>
        </w:rPr>
        <w:t xml:space="preserve">The </w:t>
      </w:r>
      <w:proofErr w:type="gramStart"/>
      <w:r w:rsidRPr="009340D5">
        <w:rPr>
          <w:rFonts w:ascii="Century Gothic" w:hAnsi="Century Gothic"/>
          <w:szCs w:val="22"/>
        </w:rPr>
        <w:t>resident</w:t>
      </w:r>
      <w:proofErr w:type="gramEnd"/>
      <w:r w:rsidRPr="009340D5">
        <w:rPr>
          <w:rFonts w:ascii="Century Gothic" w:hAnsi="Century Gothic"/>
          <w:szCs w:val="22"/>
        </w:rPr>
        <w:t xml:space="preserve"> will have an opportunity to enter into a reasonable repayment agreement with ECC/HANH for any back rent that is due and owing to ECC/HANH.</w:t>
      </w:r>
    </w:p>
    <w:p w14:paraId="38E332D6" w14:textId="77777777" w:rsidR="00B2304E" w:rsidRPr="009340D5" w:rsidRDefault="00B2304E" w:rsidP="00B2304E">
      <w:pPr>
        <w:rPr>
          <w:rFonts w:ascii="Century Gothic" w:hAnsi="Century Gothic"/>
          <w:szCs w:val="22"/>
        </w:rPr>
      </w:pPr>
    </w:p>
    <w:p w14:paraId="7F221A99" w14:textId="2596D038" w:rsidR="00B2304E" w:rsidRDefault="00B2304E" w:rsidP="3743D8DA">
      <w:pPr>
        <w:rPr>
          <w:rFonts w:ascii="Century Gothic" w:hAnsi="Century Gothic"/>
        </w:rPr>
      </w:pPr>
      <w:r w:rsidRPr="009340D5">
        <w:rPr>
          <w:rFonts w:ascii="Century Gothic" w:hAnsi="Century Gothic"/>
        </w:rPr>
        <w:t xml:space="preserve">If the Committee determines that the </w:t>
      </w:r>
      <w:r w:rsidRPr="009340D5">
        <w:rPr>
          <w:rFonts w:ascii="Century Gothic" w:hAnsi="Century Gothic"/>
          <w:b/>
          <w:bCs/>
          <w:i/>
          <w:iCs/>
        </w:rPr>
        <w:t xml:space="preserve">hardship is of a long-term nature (the hardship is expected to last more than 90 days), </w:t>
      </w:r>
      <w:r w:rsidRPr="009340D5">
        <w:rPr>
          <w:rFonts w:ascii="Century Gothic" w:hAnsi="Century Gothic"/>
        </w:rPr>
        <w:t xml:space="preserve">the tenant shall be exempt from the minimum rent requirement from the first of the month following the date of the application for exemption from the minimum rent until such time that the hardship no longer exists. </w:t>
      </w:r>
    </w:p>
    <w:p w14:paraId="2F865303" w14:textId="77777777" w:rsidR="00CC5826" w:rsidRPr="009340D5" w:rsidRDefault="00CC5826" w:rsidP="3743D8DA">
      <w:pPr>
        <w:rPr>
          <w:rFonts w:ascii="Century Gothic" w:hAnsi="Century Gothic"/>
        </w:rPr>
      </w:pPr>
    </w:p>
    <w:p w14:paraId="4AC940C1" w14:textId="4E8375C2" w:rsidR="00B2304E" w:rsidRDefault="00B2304E" w:rsidP="3743D8DA">
      <w:pPr>
        <w:rPr>
          <w:rFonts w:ascii="Century Gothic" w:hAnsi="Century Gothic"/>
          <w:spacing w:val="3"/>
        </w:rPr>
      </w:pPr>
      <w:r w:rsidRPr="009340D5">
        <w:rPr>
          <w:rFonts w:ascii="Century Gothic" w:hAnsi="Century Gothic"/>
        </w:rPr>
        <w:t xml:space="preserve">ECC/HANH may deny a resident a long-term exemption from the minimum rent requirement, if the resident fails to attend the scheduled meeting with the Hardship Review Committee. </w:t>
      </w:r>
      <w:r w:rsidRPr="009340D5">
        <w:rPr>
          <w:rFonts w:ascii="Century Gothic" w:hAnsi="Century Gothic"/>
          <w:spacing w:val="3"/>
        </w:rPr>
        <w:t xml:space="preserve">ECC/HANH will provide each resident </w:t>
      </w:r>
      <w:r w:rsidR="00CC5826">
        <w:rPr>
          <w:rFonts w:ascii="Century Gothic" w:hAnsi="Century Gothic"/>
          <w:spacing w:val="3"/>
        </w:rPr>
        <w:t xml:space="preserve">with </w:t>
      </w:r>
      <w:r w:rsidRPr="009340D5">
        <w:rPr>
          <w:rFonts w:ascii="Century Gothic" w:hAnsi="Century Gothic"/>
          <w:spacing w:val="3"/>
        </w:rPr>
        <w:t xml:space="preserve">one opportunity to reschedule the meeting.  If the resident fails to attend the scheduled meetings, ECC/HANH may deny the long-term exemption from the minimum rent requirement.  The letter scheduling the meeting shall inform residents that </w:t>
      </w:r>
      <w:proofErr w:type="gramStart"/>
      <w:r w:rsidRPr="009340D5">
        <w:rPr>
          <w:rFonts w:ascii="Century Gothic" w:hAnsi="Century Gothic"/>
          <w:spacing w:val="3"/>
        </w:rPr>
        <w:t>persons</w:t>
      </w:r>
      <w:proofErr w:type="gramEnd"/>
      <w:r w:rsidRPr="009340D5">
        <w:rPr>
          <w:rFonts w:ascii="Century Gothic" w:hAnsi="Century Gothic"/>
          <w:spacing w:val="3"/>
        </w:rPr>
        <w:t xml:space="preserve"> with disabilities are entitled to reasonable accommodation </w:t>
      </w:r>
      <w:proofErr w:type="gramStart"/>
      <w:r w:rsidRPr="009340D5">
        <w:rPr>
          <w:rFonts w:ascii="Century Gothic" w:hAnsi="Century Gothic"/>
          <w:spacing w:val="3"/>
        </w:rPr>
        <w:t>with regard to</w:t>
      </w:r>
      <w:proofErr w:type="gramEnd"/>
      <w:r w:rsidRPr="009340D5">
        <w:rPr>
          <w:rFonts w:ascii="Century Gothic" w:hAnsi="Century Gothic"/>
          <w:spacing w:val="3"/>
        </w:rPr>
        <w:t xml:space="preserve"> this requirement.</w:t>
      </w:r>
    </w:p>
    <w:p w14:paraId="5172BE7A" w14:textId="77777777" w:rsidR="00CC5826" w:rsidRPr="009340D5" w:rsidRDefault="00CC5826" w:rsidP="3743D8DA">
      <w:pPr>
        <w:rPr>
          <w:rFonts w:ascii="Century Gothic" w:hAnsi="Century Gothic"/>
          <w:spacing w:val="3"/>
        </w:rPr>
      </w:pPr>
    </w:p>
    <w:p w14:paraId="311F369D" w14:textId="356C3B5F" w:rsidR="00B2304E" w:rsidRPr="009340D5" w:rsidRDefault="00B2304E" w:rsidP="00B2304E">
      <w:pPr>
        <w:rPr>
          <w:rFonts w:ascii="Century Gothic" w:hAnsi="Century Gothic"/>
          <w:spacing w:val="3"/>
          <w:szCs w:val="22"/>
        </w:rPr>
      </w:pPr>
      <w:r w:rsidRPr="009340D5">
        <w:rPr>
          <w:rFonts w:ascii="Century Gothic" w:hAnsi="Century Gothic"/>
          <w:spacing w:val="3"/>
          <w:szCs w:val="22"/>
        </w:rPr>
        <w:t xml:space="preserve">Except for Elderly or Disabled families, no tenant shall be exempt from the minimum rent requirement for more than 90 days during a </w:t>
      </w:r>
      <w:r w:rsidR="009A2E04" w:rsidRPr="009340D5">
        <w:rPr>
          <w:rFonts w:ascii="Century Gothic" w:hAnsi="Century Gothic"/>
          <w:spacing w:val="3"/>
          <w:szCs w:val="22"/>
        </w:rPr>
        <w:t>one-year</w:t>
      </w:r>
      <w:r w:rsidRPr="009340D5">
        <w:rPr>
          <w:rFonts w:ascii="Century Gothic" w:hAnsi="Century Gothic"/>
          <w:spacing w:val="3"/>
          <w:szCs w:val="22"/>
        </w:rPr>
        <w:t xml:space="preserve"> period unless at least one member of the family who is 18 years of age or older enrolls and actively participates in ECC/HANH’s FSS Program for job or benefit counseling.  Such family member(s) shall enroll in the FSS Program within 30 days from the date of the Application for Exemption from Minimum Rent. </w:t>
      </w:r>
      <w:r w:rsidRPr="009340D5">
        <w:rPr>
          <w:rFonts w:ascii="Century Gothic" w:hAnsi="Century Gothic"/>
          <w:spacing w:val="3"/>
          <w:szCs w:val="22"/>
        </w:rPr>
        <w:br/>
      </w:r>
    </w:p>
    <w:p w14:paraId="157EECF8" w14:textId="427861AA" w:rsidR="00B2304E" w:rsidRPr="009340D5" w:rsidRDefault="00B2304E" w:rsidP="3743D8DA">
      <w:pPr>
        <w:rPr>
          <w:rFonts w:ascii="Century Gothic" w:hAnsi="Century Gothic"/>
        </w:rPr>
      </w:pPr>
      <w:r w:rsidRPr="009340D5">
        <w:rPr>
          <w:rFonts w:ascii="Century Gothic" w:hAnsi="Century Gothic"/>
        </w:rPr>
        <w:t xml:space="preserve">If the </w:t>
      </w:r>
      <w:r w:rsidRPr="009340D5">
        <w:rPr>
          <w:rFonts w:ascii="Century Gothic" w:hAnsi="Century Gothic"/>
          <w:b/>
          <w:bCs/>
          <w:i/>
          <w:iCs/>
        </w:rPr>
        <w:t xml:space="preserve">hardship is determined to be non-existent, </w:t>
      </w:r>
      <w:r w:rsidRPr="009340D5">
        <w:rPr>
          <w:rFonts w:ascii="Century Gothic" w:hAnsi="Century Gothic"/>
        </w:rPr>
        <w:t xml:space="preserve">the </w:t>
      </w:r>
      <w:proofErr w:type="gramStart"/>
      <w:r w:rsidRPr="009340D5">
        <w:rPr>
          <w:rFonts w:ascii="Century Gothic" w:hAnsi="Century Gothic"/>
        </w:rPr>
        <w:t>resident</w:t>
      </w:r>
      <w:proofErr w:type="gramEnd"/>
      <w:r w:rsidRPr="009340D5">
        <w:rPr>
          <w:rFonts w:ascii="Century Gothic" w:hAnsi="Century Gothic"/>
        </w:rPr>
        <w:t xml:space="preserve"> will be responsible for paying rent to ECC/HANH for any rent that was suspended while tenant's Application for Exemption from Minimum Rent was pending. The minimum rent shall be re-instated retroactively to the initial date of the suspension. The </w:t>
      </w:r>
      <w:proofErr w:type="gramStart"/>
      <w:r w:rsidRPr="009340D5">
        <w:rPr>
          <w:rFonts w:ascii="Century Gothic" w:hAnsi="Century Gothic"/>
        </w:rPr>
        <w:t>resident</w:t>
      </w:r>
      <w:proofErr w:type="gramEnd"/>
      <w:r w:rsidRPr="009340D5">
        <w:rPr>
          <w:rFonts w:ascii="Century Gothic" w:hAnsi="Century Gothic"/>
        </w:rPr>
        <w:t xml:space="preserve"> will have an opportunity to enter into a reasonable repayment agreement with ECC/HANH for any back rent that is due and owing to ECC/HANH. </w:t>
      </w:r>
    </w:p>
    <w:p w14:paraId="25C60DE6" w14:textId="77777777" w:rsidR="00B2304E" w:rsidRPr="009340D5" w:rsidRDefault="00B2304E" w:rsidP="3743D8DA">
      <w:pPr>
        <w:rPr>
          <w:rFonts w:ascii="Century Gothic" w:hAnsi="Century Gothic"/>
          <w:spacing w:val="3"/>
        </w:rPr>
      </w:pPr>
      <w:r w:rsidRPr="009340D5">
        <w:rPr>
          <w:rFonts w:ascii="Century Gothic" w:hAnsi="Century Gothic"/>
          <w:spacing w:val="3"/>
        </w:rPr>
        <w:t>Upon completion of the review process, the Hardship Review Committee shall render a written recommendation to the Executive Director, who shall then adopt or reject the recommendation and shall issue a written decision that states as follows:</w:t>
      </w:r>
    </w:p>
    <w:p w14:paraId="441CB722" w14:textId="77777777" w:rsidR="00773761" w:rsidRPr="009340D5" w:rsidRDefault="00773761" w:rsidP="00B2304E">
      <w:pPr>
        <w:rPr>
          <w:rFonts w:ascii="Century Gothic" w:hAnsi="Century Gothic"/>
          <w:szCs w:val="22"/>
        </w:rPr>
      </w:pPr>
    </w:p>
    <w:p w14:paraId="7A02B819" w14:textId="77777777" w:rsidR="002A35F2" w:rsidRDefault="002A35F2" w:rsidP="00B2304E">
      <w:pPr>
        <w:rPr>
          <w:rFonts w:ascii="Century Gothic" w:hAnsi="Century Gothic"/>
          <w:b/>
          <w:spacing w:val="4"/>
          <w:szCs w:val="22"/>
        </w:rPr>
      </w:pPr>
    </w:p>
    <w:p w14:paraId="0E192EE2" w14:textId="5A07D852" w:rsidR="00B2304E" w:rsidRPr="009340D5" w:rsidRDefault="00B2304E" w:rsidP="00B2304E">
      <w:pPr>
        <w:rPr>
          <w:rFonts w:ascii="Century Gothic" w:hAnsi="Century Gothic"/>
          <w:spacing w:val="5"/>
          <w:szCs w:val="22"/>
        </w:rPr>
      </w:pPr>
      <w:r w:rsidRPr="009340D5">
        <w:rPr>
          <w:rFonts w:ascii="Century Gothic" w:hAnsi="Century Gothic"/>
          <w:b/>
          <w:spacing w:val="4"/>
          <w:szCs w:val="22"/>
        </w:rPr>
        <w:lastRenderedPageBreak/>
        <w:t>If the hardship exemption is determined to be temporary:</w:t>
      </w:r>
    </w:p>
    <w:p w14:paraId="77285583" w14:textId="77777777" w:rsidR="00B2304E" w:rsidRPr="009340D5" w:rsidRDefault="00B2304E" w:rsidP="00B2304E">
      <w:pPr>
        <w:rPr>
          <w:rFonts w:ascii="Century Gothic" w:hAnsi="Century Gothic"/>
          <w:spacing w:val="4"/>
          <w:szCs w:val="22"/>
        </w:rPr>
      </w:pPr>
    </w:p>
    <w:p w14:paraId="61657262" w14:textId="77777777" w:rsidR="00B2304E" w:rsidRPr="009340D5" w:rsidRDefault="00B2304E" w:rsidP="00B2304E">
      <w:pPr>
        <w:rPr>
          <w:rFonts w:ascii="Century Gothic" w:hAnsi="Century Gothic"/>
          <w:spacing w:val="4"/>
          <w:szCs w:val="22"/>
        </w:rPr>
      </w:pPr>
      <w:r w:rsidRPr="009340D5">
        <w:rPr>
          <w:rFonts w:ascii="Century Gothic" w:hAnsi="Century Gothic"/>
          <w:spacing w:val="4"/>
          <w:szCs w:val="22"/>
        </w:rPr>
        <w:t xml:space="preserve">That </w:t>
      </w:r>
      <w:proofErr w:type="gramStart"/>
      <w:r w:rsidRPr="009340D5">
        <w:rPr>
          <w:rFonts w:ascii="Century Gothic" w:hAnsi="Century Gothic"/>
          <w:spacing w:val="4"/>
          <w:szCs w:val="22"/>
        </w:rPr>
        <w:t>a temporary</w:t>
      </w:r>
      <w:proofErr w:type="gramEnd"/>
      <w:r w:rsidRPr="009340D5">
        <w:rPr>
          <w:rFonts w:ascii="Century Gothic" w:hAnsi="Century Gothic"/>
          <w:spacing w:val="4"/>
          <w:szCs w:val="22"/>
        </w:rPr>
        <w:t xml:space="preserve"> hardship exemption was </w:t>
      </w:r>
      <w:proofErr w:type="gramStart"/>
      <w:r w:rsidRPr="009340D5">
        <w:rPr>
          <w:rFonts w:ascii="Century Gothic" w:hAnsi="Century Gothic"/>
          <w:spacing w:val="4"/>
          <w:szCs w:val="22"/>
        </w:rPr>
        <w:t>granted;</w:t>
      </w:r>
      <w:proofErr w:type="gramEnd"/>
    </w:p>
    <w:p w14:paraId="0BE1F3BE" w14:textId="77777777" w:rsidR="00B2304E" w:rsidRPr="009340D5" w:rsidRDefault="00B2304E" w:rsidP="00B2304E">
      <w:pPr>
        <w:rPr>
          <w:rFonts w:ascii="Century Gothic" w:hAnsi="Century Gothic"/>
          <w:spacing w:val="4"/>
          <w:szCs w:val="22"/>
        </w:rPr>
      </w:pPr>
    </w:p>
    <w:p w14:paraId="76508734" w14:textId="77777777" w:rsidR="00B2304E" w:rsidRPr="009340D5" w:rsidRDefault="00B2304E" w:rsidP="00B2304E">
      <w:pPr>
        <w:rPr>
          <w:rFonts w:ascii="Century Gothic" w:hAnsi="Century Gothic"/>
          <w:spacing w:val="4"/>
          <w:szCs w:val="22"/>
        </w:rPr>
      </w:pPr>
      <w:r w:rsidRPr="009340D5">
        <w:rPr>
          <w:rFonts w:ascii="Century Gothic" w:hAnsi="Century Gothic"/>
          <w:spacing w:val="4"/>
          <w:szCs w:val="22"/>
        </w:rPr>
        <w:t xml:space="preserve">the effective dates of the </w:t>
      </w:r>
      <w:proofErr w:type="gramStart"/>
      <w:r w:rsidRPr="009340D5">
        <w:rPr>
          <w:rFonts w:ascii="Century Gothic" w:hAnsi="Century Gothic"/>
          <w:spacing w:val="4"/>
          <w:szCs w:val="22"/>
        </w:rPr>
        <w:t>exemption;</w:t>
      </w:r>
      <w:proofErr w:type="gramEnd"/>
    </w:p>
    <w:p w14:paraId="0A5FC52A" w14:textId="77777777" w:rsidR="00B2304E" w:rsidRPr="009340D5" w:rsidRDefault="00B2304E" w:rsidP="00B2304E">
      <w:pPr>
        <w:rPr>
          <w:rFonts w:ascii="Century Gothic" w:hAnsi="Century Gothic"/>
          <w:spacing w:val="4"/>
          <w:szCs w:val="22"/>
        </w:rPr>
      </w:pPr>
    </w:p>
    <w:p w14:paraId="171B85B2" w14:textId="77777777" w:rsidR="00B2304E" w:rsidRPr="009340D5" w:rsidRDefault="00B2304E" w:rsidP="00B2304E">
      <w:pPr>
        <w:rPr>
          <w:rFonts w:ascii="Century Gothic" w:hAnsi="Century Gothic"/>
          <w:spacing w:val="4"/>
          <w:szCs w:val="22"/>
        </w:rPr>
      </w:pPr>
      <w:r w:rsidRPr="009340D5">
        <w:rPr>
          <w:rFonts w:ascii="Century Gothic" w:hAnsi="Century Gothic"/>
          <w:spacing w:val="4"/>
          <w:szCs w:val="22"/>
        </w:rPr>
        <w:t>the basis for the decision to grant a temporary hardship exemption, including that a long-term exemption was denied and the reason that such long-term exemption was denied; and</w:t>
      </w:r>
    </w:p>
    <w:p w14:paraId="15E4C24D" w14:textId="77777777" w:rsidR="00B2304E" w:rsidRPr="009340D5" w:rsidRDefault="00B2304E" w:rsidP="00B2304E">
      <w:pPr>
        <w:rPr>
          <w:rFonts w:ascii="Century Gothic" w:hAnsi="Century Gothic"/>
          <w:spacing w:val="4"/>
          <w:szCs w:val="22"/>
        </w:rPr>
      </w:pPr>
    </w:p>
    <w:p w14:paraId="03FEC623" w14:textId="77777777" w:rsidR="00B2304E" w:rsidRPr="009340D5" w:rsidRDefault="00B2304E" w:rsidP="00B2304E">
      <w:pPr>
        <w:rPr>
          <w:rFonts w:ascii="Century Gothic" w:hAnsi="Century Gothic"/>
          <w:spacing w:val="4"/>
          <w:szCs w:val="22"/>
        </w:rPr>
      </w:pPr>
      <w:r w:rsidRPr="009340D5">
        <w:rPr>
          <w:rFonts w:ascii="Century Gothic" w:hAnsi="Century Gothic"/>
          <w:spacing w:val="4"/>
          <w:szCs w:val="22"/>
        </w:rPr>
        <w:t xml:space="preserve">that the resident has a right to </w:t>
      </w:r>
      <w:r w:rsidRPr="009340D5">
        <w:rPr>
          <w:rFonts w:ascii="Century Gothic" w:hAnsi="Century Gothic"/>
          <w:szCs w:val="22"/>
        </w:rPr>
        <w:t>enter into a reasonable repayment agreement with ECC/HANH for the minimum rent that was suspended and is now owing to ECC/HANH</w:t>
      </w:r>
      <w:r w:rsidRPr="009340D5">
        <w:rPr>
          <w:rFonts w:ascii="Century Gothic" w:hAnsi="Century Gothic"/>
          <w:spacing w:val="4"/>
          <w:szCs w:val="22"/>
        </w:rPr>
        <w:t xml:space="preserve">. </w:t>
      </w:r>
    </w:p>
    <w:p w14:paraId="6003EF1A" w14:textId="77777777" w:rsidR="00B2304E" w:rsidRPr="009340D5" w:rsidRDefault="00B2304E" w:rsidP="00B2304E">
      <w:pPr>
        <w:rPr>
          <w:rFonts w:ascii="Century Gothic" w:hAnsi="Century Gothic"/>
          <w:spacing w:val="4"/>
          <w:szCs w:val="22"/>
        </w:rPr>
      </w:pPr>
    </w:p>
    <w:p w14:paraId="11F88FBD" w14:textId="77777777" w:rsidR="00B2304E" w:rsidRPr="009340D5" w:rsidRDefault="00B2304E" w:rsidP="00B2304E">
      <w:pPr>
        <w:rPr>
          <w:rFonts w:ascii="Century Gothic" w:hAnsi="Century Gothic"/>
          <w:b/>
          <w:spacing w:val="5"/>
          <w:szCs w:val="22"/>
        </w:rPr>
      </w:pPr>
      <w:r w:rsidRPr="009340D5">
        <w:rPr>
          <w:rFonts w:ascii="Century Gothic" w:hAnsi="Century Gothic"/>
          <w:b/>
          <w:spacing w:val="4"/>
          <w:szCs w:val="22"/>
        </w:rPr>
        <w:t>If the hardship exemption is determined to be long-term:</w:t>
      </w:r>
    </w:p>
    <w:p w14:paraId="07AF1098" w14:textId="77777777" w:rsidR="00B2304E" w:rsidRPr="009340D5" w:rsidRDefault="00B2304E" w:rsidP="00B2304E">
      <w:pPr>
        <w:rPr>
          <w:rFonts w:ascii="Century Gothic" w:hAnsi="Century Gothic"/>
          <w:spacing w:val="5"/>
          <w:szCs w:val="22"/>
        </w:rPr>
      </w:pPr>
    </w:p>
    <w:p w14:paraId="621C3CE8" w14:textId="77777777" w:rsidR="00B2304E" w:rsidRPr="009340D5" w:rsidRDefault="00B2304E" w:rsidP="00B2304E">
      <w:pPr>
        <w:rPr>
          <w:rFonts w:ascii="Century Gothic" w:hAnsi="Century Gothic"/>
          <w:spacing w:val="6"/>
          <w:szCs w:val="22"/>
        </w:rPr>
      </w:pPr>
      <w:r w:rsidRPr="009340D5">
        <w:rPr>
          <w:rFonts w:ascii="Century Gothic" w:hAnsi="Century Gothic"/>
          <w:spacing w:val="4"/>
          <w:szCs w:val="22"/>
        </w:rPr>
        <w:t xml:space="preserve">that a long-term hardship exemption was </w:t>
      </w:r>
      <w:proofErr w:type="gramStart"/>
      <w:r w:rsidRPr="009340D5">
        <w:rPr>
          <w:rFonts w:ascii="Century Gothic" w:hAnsi="Century Gothic"/>
          <w:spacing w:val="4"/>
          <w:szCs w:val="22"/>
        </w:rPr>
        <w:t>granted;</w:t>
      </w:r>
      <w:proofErr w:type="gramEnd"/>
    </w:p>
    <w:p w14:paraId="70597821" w14:textId="77777777" w:rsidR="00B2304E" w:rsidRPr="009340D5" w:rsidRDefault="00B2304E" w:rsidP="00B2304E">
      <w:pPr>
        <w:rPr>
          <w:rFonts w:ascii="Century Gothic" w:hAnsi="Century Gothic"/>
          <w:spacing w:val="6"/>
          <w:szCs w:val="22"/>
        </w:rPr>
      </w:pPr>
      <w:r w:rsidRPr="009340D5">
        <w:rPr>
          <w:rFonts w:ascii="Century Gothic" w:hAnsi="Century Gothic"/>
          <w:spacing w:val="4"/>
          <w:szCs w:val="22"/>
        </w:rPr>
        <w:t xml:space="preserve"> </w:t>
      </w:r>
    </w:p>
    <w:p w14:paraId="336280C0" w14:textId="77777777" w:rsidR="00B2304E" w:rsidRPr="009340D5" w:rsidRDefault="00B2304E" w:rsidP="00B2304E">
      <w:pPr>
        <w:rPr>
          <w:rFonts w:ascii="Century Gothic" w:hAnsi="Century Gothic"/>
          <w:spacing w:val="6"/>
          <w:szCs w:val="22"/>
        </w:rPr>
      </w:pPr>
      <w:r w:rsidRPr="009340D5">
        <w:rPr>
          <w:rFonts w:ascii="Century Gothic" w:hAnsi="Century Gothic"/>
          <w:spacing w:val="4"/>
          <w:szCs w:val="22"/>
        </w:rPr>
        <w:t xml:space="preserve">whether the long-term exemption is permanent or subject to periodic review and, if subject to periodic review, when such review will take </w:t>
      </w:r>
      <w:proofErr w:type="gramStart"/>
      <w:r w:rsidRPr="009340D5">
        <w:rPr>
          <w:rFonts w:ascii="Century Gothic" w:hAnsi="Century Gothic"/>
          <w:spacing w:val="4"/>
          <w:szCs w:val="22"/>
        </w:rPr>
        <w:t>place;</w:t>
      </w:r>
      <w:proofErr w:type="gramEnd"/>
      <w:r w:rsidRPr="009340D5">
        <w:rPr>
          <w:rFonts w:ascii="Century Gothic" w:hAnsi="Century Gothic"/>
          <w:spacing w:val="4"/>
          <w:szCs w:val="22"/>
        </w:rPr>
        <w:t xml:space="preserve"> </w:t>
      </w:r>
    </w:p>
    <w:p w14:paraId="64F21BD7" w14:textId="77777777" w:rsidR="00B2304E" w:rsidRPr="009340D5" w:rsidRDefault="00B2304E" w:rsidP="00B2304E">
      <w:pPr>
        <w:rPr>
          <w:rFonts w:ascii="Century Gothic" w:hAnsi="Century Gothic"/>
          <w:spacing w:val="2"/>
          <w:szCs w:val="22"/>
        </w:rPr>
      </w:pPr>
    </w:p>
    <w:p w14:paraId="3722FBFF"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that all non-elderly, non-disabled residents are required to comply with FSS requirements as a condition of the receipt of a long-term exemption; and</w:t>
      </w:r>
    </w:p>
    <w:p w14:paraId="542A26E6" w14:textId="77777777" w:rsidR="00B2304E" w:rsidRPr="009340D5" w:rsidRDefault="00B2304E" w:rsidP="00B2304E">
      <w:pPr>
        <w:rPr>
          <w:rFonts w:ascii="Century Gothic" w:hAnsi="Century Gothic"/>
          <w:spacing w:val="6"/>
          <w:szCs w:val="22"/>
        </w:rPr>
      </w:pPr>
    </w:p>
    <w:p w14:paraId="70232769" w14:textId="77777777" w:rsidR="00B2304E" w:rsidRPr="009340D5" w:rsidRDefault="00B2304E" w:rsidP="00B2304E">
      <w:pPr>
        <w:rPr>
          <w:rFonts w:ascii="Century Gothic" w:hAnsi="Century Gothic"/>
          <w:spacing w:val="6"/>
          <w:szCs w:val="22"/>
        </w:rPr>
      </w:pPr>
      <w:r w:rsidRPr="009340D5">
        <w:rPr>
          <w:rFonts w:ascii="Century Gothic" w:hAnsi="Century Gothic"/>
          <w:spacing w:val="6"/>
          <w:szCs w:val="22"/>
        </w:rPr>
        <w:t>that the resident must notify ECC/HANH within 10 days if the hardship ceases to exist because the resident has obtained a source of income sufficient to pay (at least) the minimum rent.</w:t>
      </w:r>
    </w:p>
    <w:p w14:paraId="0FABC987" w14:textId="77777777" w:rsidR="00B2304E" w:rsidRPr="009340D5" w:rsidRDefault="00B2304E" w:rsidP="00B2304E">
      <w:pPr>
        <w:rPr>
          <w:rFonts w:ascii="Century Gothic" w:hAnsi="Century Gothic"/>
          <w:spacing w:val="6"/>
          <w:szCs w:val="22"/>
        </w:rPr>
      </w:pPr>
    </w:p>
    <w:p w14:paraId="4C5F068D" w14:textId="77777777" w:rsidR="00B2304E" w:rsidRPr="009340D5" w:rsidRDefault="00B2304E" w:rsidP="00B2304E">
      <w:pPr>
        <w:rPr>
          <w:rFonts w:ascii="Century Gothic" w:hAnsi="Century Gothic"/>
          <w:b/>
          <w:spacing w:val="4"/>
          <w:szCs w:val="22"/>
        </w:rPr>
      </w:pPr>
      <w:r w:rsidRPr="009340D5">
        <w:rPr>
          <w:rFonts w:ascii="Century Gothic" w:hAnsi="Century Gothic"/>
          <w:b/>
          <w:spacing w:val="4"/>
          <w:szCs w:val="22"/>
        </w:rPr>
        <w:t>If the hardship is determined to be non-existent:</w:t>
      </w:r>
    </w:p>
    <w:p w14:paraId="748B2623" w14:textId="77777777" w:rsidR="00B2304E" w:rsidRPr="009340D5" w:rsidRDefault="00B2304E" w:rsidP="00B2304E">
      <w:pPr>
        <w:rPr>
          <w:rFonts w:ascii="Century Gothic" w:hAnsi="Century Gothic"/>
          <w:spacing w:val="4"/>
          <w:szCs w:val="22"/>
        </w:rPr>
      </w:pPr>
    </w:p>
    <w:p w14:paraId="19430188" w14:textId="77777777" w:rsidR="00B2304E" w:rsidRPr="009340D5" w:rsidRDefault="00B2304E" w:rsidP="00B2304E">
      <w:pPr>
        <w:rPr>
          <w:rFonts w:ascii="Century Gothic" w:hAnsi="Century Gothic"/>
          <w:spacing w:val="4"/>
          <w:szCs w:val="22"/>
        </w:rPr>
      </w:pPr>
      <w:r w:rsidRPr="009340D5">
        <w:rPr>
          <w:rFonts w:ascii="Century Gothic" w:hAnsi="Century Gothic"/>
          <w:spacing w:val="4"/>
          <w:szCs w:val="22"/>
        </w:rPr>
        <w:t xml:space="preserve">that a hardship exemption was </w:t>
      </w:r>
      <w:proofErr w:type="gramStart"/>
      <w:r w:rsidRPr="009340D5">
        <w:rPr>
          <w:rFonts w:ascii="Century Gothic" w:hAnsi="Century Gothic"/>
          <w:spacing w:val="4"/>
          <w:szCs w:val="22"/>
        </w:rPr>
        <w:t>denied;</w:t>
      </w:r>
      <w:proofErr w:type="gramEnd"/>
    </w:p>
    <w:p w14:paraId="3A9E78C7" w14:textId="77777777" w:rsidR="00B2304E" w:rsidRPr="009340D5" w:rsidRDefault="00B2304E" w:rsidP="00B2304E">
      <w:pPr>
        <w:rPr>
          <w:rFonts w:ascii="Century Gothic" w:hAnsi="Century Gothic"/>
          <w:spacing w:val="4"/>
          <w:szCs w:val="22"/>
        </w:rPr>
      </w:pPr>
    </w:p>
    <w:p w14:paraId="6C8C30DF" w14:textId="77777777" w:rsidR="00B2304E" w:rsidRPr="009340D5" w:rsidRDefault="00B2304E" w:rsidP="00B2304E">
      <w:pPr>
        <w:rPr>
          <w:rFonts w:ascii="Century Gothic" w:hAnsi="Century Gothic"/>
          <w:spacing w:val="4"/>
          <w:szCs w:val="22"/>
        </w:rPr>
      </w:pPr>
      <w:r w:rsidRPr="009340D5">
        <w:rPr>
          <w:rFonts w:ascii="Century Gothic" w:hAnsi="Century Gothic"/>
          <w:spacing w:val="4"/>
          <w:szCs w:val="22"/>
        </w:rPr>
        <w:t>the reason for such determination; and</w:t>
      </w:r>
    </w:p>
    <w:p w14:paraId="593BDF42" w14:textId="77777777" w:rsidR="00B2304E" w:rsidRPr="009340D5" w:rsidRDefault="00B2304E" w:rsidP="00B2304E">
      <w:pPr>
        <w:rPr>
          <w:rFonts w:ascii="Century Gothic" w:hAnsi="Century Gothic"/>
          <w:spacing w:val="4"/>
          <w:szCs w:val="22"/>
        </w:rPr>
      </w:pPr>
    </w:p>
    <w:p w14:paraId="68F0D7BE" w14:textId="77777777" w:rsidR="00B2304E" w:rsidRPr="009340D5" w:rsidRDefault="00B2304E" w:rsidP="00B2304E">
      <w:pPr>
        <w:rPr>
          <w:rFonts w:ascii="Century Gothic" w:hAnsi="Century Gothic"/>
          <w:spacing w:val="4"/>
          <w:szCs w:val="22"/>
        </w:rPr>
      </w:pPr>
      <w:r w:rsidRPr="009340D5">
        <w:rPr>
          <w:rFonts w:ascii="Century Gothic" w:hAnsi="Century Gothic"/>
          <w:spacing w:val="4"/>
          <w:szCs w:val="22"/>
        </w:rPr>
        <w:t xml:space="preserve">the terms and conditions on which the resident family must pay back </w:t>
      </w:r>
      <w:r w:rsidRPr="009340D5">
        <w:rPr>
          <w:rFonts w:ascii="Century Gothic" w:hAnsi="Century Gothic"/>
          <w:szCs w:val="22"/>
        </w:rPr>
        <w:t>the minimum rent that was suspended and is now owing to ECC/HANH.</w:t>
      </w:r>
      <w:r w:rsidRPr="009340D5">
        <w:rPr>
          <w:rFonts w:ascii="Century Gothic" w:hAnsi="Century Gothic"/>
          <w:spacing w:val="4"/>
          <w:szCs w:val="22"/>
        </w:rPr>
        <w:t xml:space="preserve"> </w:t>
      </w:r>
    </w:p>
    <w:p w14:paraId="7A917C05" w14:textId="7BACAD92" w:rsidR="00B2304E" w:rsidRPr="009340D5" w:rsidRDefault="00B2304E" w:rsidP="00B2304E">
      <w:pPr>
        <w:rPr>
          <w:rFonts w:ascii="Century Gothic" w:hAnsi="Century Gothic"/>
          <w:spacing w:val="6"/>
          <w:szCs w:val="22"/>
        </w:rPr>
      </w:pPr>
      <w:r w:rsidRPr="009340D5">
        <w:rPr>
          <w:rFonts w:ascii="Century Gothic" w:hAnsi="Century Gothic"/>
          <w:spacing w:val="6"/>
          <w:szCs w:val="22"/>
        </w:rPr>
        <w:t xml:space="preserve">All letters concerning Hardship Review Committee determinations shall state that any resident who disagrees with the decision may request a grievance in accordance with ECC/HANH’s grievance procedures, a copy of which will be included with the written decision.  In cases where </w:t>
      </w:r>
      <w:proofErr w:type="gramStart"/>
      <w:r w:rsidRPr="009340D5">
        <w:rPr>
          <w:rFonts w:ascii="Century Gothic" w:hAnsi="Century Gothic"/>
          <w:spacing w:val="6"/>
          <w:szCs w:val="22"/>
        </w:rPr>
        <w:t>a grievance</w:t>
      </w:r>
      <w:proofErr w:type="gramEnd"/>
      <w:r w:rsidRPr="009340D5">
        <w:rPr>
          <w:rFonts w:ascii="Century Gothic" w:hAnsi="Century Gothic"/>
          <w:spacing w:val="6"/>
          <w:szCs w:val="22"/>
        </w:rPr>
        <w:t xml:space="preserve"> is sought, no action shall be taken by ECC/HANH until the grievance process is completed.  </w:t>
      </w:r>
    </w:p>
    <w:p w14:paraId="2A8BABDB" w14:textId="77777777" w:rsidR="00B27536" w:rsidRPr="009340D5" w:rsidRDefault="00B27536" w:rsidP="00B2304E">
      <w:pPr>
        <w:rPr>
          <w:rFonts w:ascii="Century Gothic" w:hAnsi="Century Gothic"/>
          <w:spacing w:val="6"/>
          <w:szCs w:val="22"/>
        </w:rPr>
      </w:pPr>
    </w:p>
    <w:p w14:paraId="3A4FD084" w14:textId="77777777" w:rsidR="00B2304E" w:rsidRPr="009340D5" w:rsidRDefault="00B2304E" w:rsidP="00B2304E">
      <w:pPr>
        <w:rPr>
          <w:rFonts w:ascii="Century Gothic" w:hAnsi="Century Gothic"/>
          <w:b/>
          <w:spacing w:val="6"/>
          <w:szCs w:val="22"/>
        </w:rPr>
      </w:pPr>
      <w:r w:rsidRPr="009340D5">
        <w:rPr>
          <w:rFonts w:ascii="Century Gothic" w:hAnsi="Century Gothic"/>
          <w:b/>
          <w:spacing w:val="6"/>
          <w:szCs w:val="22"/>
        </w:rPr>
        <w:t>7.</w:t>
      </w:r>
      <w:r w:rsidRPr="009340D5">
        <w:rPr>
          <w:rFonts w:ascii="Century Gothic" w:hAnsi="Century Gothic"/>
          <w:b/>
          <w:spacing w:val="6"/>
          <w:szCs w:val="22"/>
        </w:rPr>
        <w:tab/>
        <w:t>Termination of Long-Term Exemptions</w:t>
      </w:r>
    </w:p>
    <w:p w14:paraId="22FF25CE" w14:textId="77777777" w:rsidR="00B2304E" w:rsidRDefault="00B2304E" w:rsidP="00B2304E">
      <w:pPr>
        <w:rPr>
          <w:rFonts w:ascii="Century Gothic" w:hAnsi="Century Gothic"/>
          <w:spacing w:val="6"/>
          <w:szCs w:val="22"/>
        </w:rPr>
      </w:pPr>
      <w:r w:rsidRPr="009340D5">
        <w:rPr>
          <w:rFonts w:ascii="Century Gothic" w:hAnsi="Century Gothic"/>
          <w:spacing w:val="6"/>
          <w:szCs w:val="22"/>
        </w:rPr>
        <w:t>ECC/HANH may conduct periodic reviews of all long-term hardship exemptions to determine if the hardship continues to exist and, for non-elderly and non-disabled residents, whether the resident is complying with FSS requirements.</w:t>
      </w:r>
    </w:p>
    <w:p w14:paraId="007DB68D" w14:textId="77777777" w:rsidR="00CC5826" w:rsidRPr="009340D5" w:rsidRDefault="00CC5826" w:rsidP="00B2304E">
      <w:pPr>
        <w:rPr>
          <w:rFonts w:ascii="Century Gothic" w:hAnsi="Century Gothic"/>
          <w:spacing w:val="6"/>
          <w:szCs w:val="22"/>
        </w:rPr>
      </w:pPr>
    </w:p>
    <w:p w14:paraId="315A1F1C" w14:textId="77777777" w:rsidR="00B2304E" w:rsidRPr="009340D5" w:rsidRDefault="00B2304E" w:rsidP="00B2304E">
      <w:pPr>
        <w:rPr>
          <w:rFonts w:ascii="Century Gothic" w:hAnsi="Century Gothic"/>
          <w:spacing w:val="5"/>
          <w:szCs w:val="22"/>
        </w:rPr>
      </w:pPr>
      <w:r w:rsidRPr="009340D5">
        <w:rPr>
          <w:rFonts w:ascii="Century Gothic" w:hAnsi="Century Gothic"/>
          <w:spacing w:val="2"/>
          <w:szCs w:val="22"/>
        </w:rPr>
        <w:t xml:space="preserve">If ECC/HANH determines that a family is no longer eligible for a long-term </w:t>
      </w:r>
      <w:r w:rsidRPr="009340D5">
        <w:rPr>
          <w:rFonts w:ascii="Century Gothic" w:hAnsi="Century Gothic"/>
          <w:szCs w:val="22"/>
        </w:rPr>
        <w:t xml:space="preserve">hardship exemption (because the hardship no longer exists or the non-elderly/non-disabled tenant has not complied with FSS requirements), ECC/HANH shall notify the family of the proposed termination of the long-term hardship exemption, the effective date of the proposed termination, and the reason for such proposed termination.  This letter shall be delivered to the </w:t>
      </w:r>
      <w:proofErr w:type="gramStart"/>
      <w:r w:rsidRPr="009340D5">
        <w:rPr>
          <w:rFonts w:ascii="Century Gothic" w:hAnsi="Century Gothic"/>
          <w:szCs w:val="22"/>
        </w:rPr>
        <w:t>resident</w:t>
      </w:r>
      <w:proofErr w:type="gramEnd"/>
      <w:r w:rsidRPr="009340D5">
        <w:rPr>
          <w:rFonts w:ascii="Century Gothic" w:hAnsi="Century Gothic"/>
          <w:szCs w:val="22"/>
        </w:rPr>
        <w:t xml:space="preserve"> by first class mail no later than thirty (30) days prior to the effective date of the proposed termination.  Any resident who disagrees with</w:t>
      </w:r>
      <w:r w:rsidRPr="009340D5">
        <w:rPr>
          <w:rFonts w:ascii="Century Gothic" w:hAnsi="Century Gothic"/>
          <w:spacing w:val="2"/>
          <w:szCs w:val="22"/>
        </w:rPr>
        <w:t xml:space="preserve"> </w:t>
      </w:r>
      <w:r w:rsidRPr="009340D5">
        <w:rPr>
          <w:rFonts w:ascii="Century Gothic" w:hAnsi="Century Gothic"/>
          <w:spacing w:val="2"/>
          <w:szCs w:val="22"/>
        </w:rPr>
        <w:lastRenderedPageBreak/>
        <w:t xml:space="preserve">the proposed termination may request a grievance in accordance with ECC/HANH’s grievance procedures, a copy of which will be included in the notice of termination.  In cases where an appeal is sought, no action shall be taken by ECC/HANH </w:t>
      </w:r>
      <w:r w:rsidRPr="009340D5">
        <w:rPr>
          <w:rFonts w:ascii="Century Gothic" w:hAnsi="Century Gothic"/>
          <w:spacing w:val="5"/>
          <w:szCs w:val="22"/>
        </w:rPr>
        <w:t>until the grievance process is completed.</w:t>
      </w:r>
    </w:p>
    <w:p w14:paraId="696855C1" w14:textId="77777777" w:rsidR="00B2304E" w:rsidRPr="009340D5" w:rsidRDefault="00B2304E" w:rsidP="00B2304E">
      <w:pPr>
        <w:rPr>
          <w:rFonts w:ascii="Century Gothic" w:hAnsi="Century Gothic"/>
          <w:b/>
          <w:spacing w:val="2"/>
          <w:szCs w:val="22"/>
        </w:rPr>
      </w:pPr>
      <w:bookmarkStart w:id="312" w:name="_Toc518556083"/>
      <w:bookmarkStart w:id="313" w:name="_Toc3305653"/>
      <w:bookmarkStart w:id="314" w:name="_Toc9319895"/>
      <w:r w:rsidRPr="009340D5">
        <w:rPr>
          <w:rFonts w:ascii="Century Gothic" w:hAnsi="Century Gothic"/>
          <w:spacing w:val="2"/>
          <w:szCs w:val="22"/>
        </w:rPr>
        <w:t xml:space="preserve">The Executive Director may waive any or </w:t>
      </w:r>
      <w:proofErr w:type="gramStart"/>
      <w:r w:rsidRPr="009340D5">
        <w:rPr>
          <w:rFonts w:ascii="Century Gothic" w:hAnsi="Century Gothic"/>
          <w:spacing w:val="2"/>
          <w:szCs w:val="22"/>
        </w:rPr>
        <w:t>all of</w:t>
      </w:r>
      <w:proofErr w:type="gramEnd"/>
      <w:r w:rsidRPr="009340D5">
        <w:rPr>
          <w:rFonts w:ascii="Century Gothic" w:hAnsi="Century Gothic"/>
          <w:spacing w:val="2"/>
          <w:szCs w:val="22"/>
        </w:rPr>
        <w:t xml:space="preserve"> these requirements in cases where he/she determines that the hardship conditions are likely to be permanent.</w:t>
      </w:r>
      <w:bookmarkEnd w:id="312"/>
      <w:bookmarkEnd w:id="313"/>
      <w:bookmarkEnd w:id="314"/>
      <w:r w:rsidRPr="009340D5">
        <w:rPr>
          <w:rFonts w:ascii="Century Gothic" w:hAnsi="Century Gothic"/>
          <w:spacing w:val="2"/>
          <w:szCs w:val="22"/>
        </w:rPr>
        <w:t xml:space="preserve"> </w:t>
      </w:r>
    </w:p>
    <w:p w14:paraId="62AEAC1F" w14:textId="77777777" w:rsidR="00B2304E" w:rsidRPr="009340D5" w:rsidRDefault="00B2304E" w:rsidP="00B2304E">
      <w:pPr>
        <w:rPr>
          <w:rFonts w:ascii="Century Gothic" w:hAnsi="Century Gothic"/>
          <w:szCs w:val="22"/>
        </w:rPr>
        <w:sectPr w:rsidR="00B2304E" w:rsidRPr="009340D5" w:rsidSect="006D3596">
          <w:footerReference w:type="default" r:id="rId61"/>
          <w:pgSz w:w="12240" w:h="15840" w:code="1"/>
          <w:pgMar w:top="446" w:right="720" w:bottom="720" w:left="720" w:header="720" w:footer="720" w:gutter="0"/>
          <w:cols w:space="60"/>
          <w:noEndnote/>
        </w:sectPr>
      </w:pPr>
    </w:p>
    <w:p w14:paraId="620E0763" w14:textId="77777777" w:rsidR="00B2304E" w:rsidRPr="009340D5" w:rsidRDefault="00B2304E" w:rsidP="00B2304E">
      <w:pPr>
        <w:rPr>
          <w:rFonts w:ascii="Century Gothic" w:hAnsi="Century Gothic"/>
          <w:b/>
          <w:spacing w:val="-8"/>
          <w:szCs w:val="22"/>
        </w:rPr>
      </w:pPr>
      <w:r w:rsidRPr="009340D5">
        <w:rPr>
          <w:rFonts w:ascii="Century Gothic" w:hAnsi="Century Gothic"/>
          <w:b/>
          <w:spacing w:val="-8"/>
          <w:szCs w:val="22"/>
        </w:rPr>
        <w:lastRenderedPageBreak/>
        <w:t>PUBLIC HOUSING RENT SIMPLIFICATION SUMMARY</w:t>
      </w:r>
    </w:p>
    <w:p w14:paraId="4F3E50E8" w14:textId="77777777" w:rsidR="00B2304E" w:rsidRPr="009340D5" w:rsidRDefault="00B2304E" w:rsidP="00B2304E">
      <w:pPr>
        <w:rPr>
          <w:rFonts w:ascii="Century Gothic" w:hAnsi="Century Gothic"/>
          <w:szCs w:val="22"/>
        </w:rPr>
      </w:pPr>
      <w:bookmarkStart w:id="315" w:name="_Toc518556084"/>
      <w:bookmarkStart w:id="316" w:name="_Toc3305654"/>
      <w:bookmarkStart w:id="317" w:name="_Toc9319896"/>
      <w:r w:rsidRPr="009340D5">
        <w:rPr>
          <w:rFonts w:ascii="Century Gothic" w:hAnsi="Century Gothic"/>
          <w:szCs w:val="22"/>
        </w:rPr>
        <w:t>EXCEPTIONS TO LIPH REGULATIONS</w:t>
      </w:r>
      <w:bookmarkEnd w:id="315"/>
      <w:bookmarkEnd w:id="316"/>
      <w:bookmarkEnd w:id="317"/>
    </w:p>
    <w:p w14:paraId="24B2BC5C" w14:textId="77777777" w:rsidR="00B2304E" w:rsidRPr="009340D5" w:rsidRDefault="00B2304E" w:rsidP="00B2304E">
      <w:pPr>
        <w:rPr>
          <w:rFonts w:ascii="Century Gothic" w:hAnsi="Century Gothic"/>
          <w:szCs w:val="22"/>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463"/>
        <w:gridCol w:w="3388"/>
        <w:gridCol w:w="3477"/>
      </w:tblGrid>
      <w:tr w:rsidR="00B2304E" w:rsidRPr="006D6566" w14:paraId="70E6DDB0" w14:textId="77777777" w:rsidTr="3743D8DA">
        <w:trPr>
          <w:trHeight w:val="525"/>
          <w:tblHeader/>
        </w:trPr>
        <w:tc>
          <w:tcPr>
            <w:tcW w:w="1615" w:type="dxa"/>
            <w:shd w:val="clear" w:color="auto" w:fill="EEBAAA" w:themeFill="accent4" w:themeFillTint="66"/>
          </w:tcPr>
          <w:p w14:paraId="77F0D45C" w14:textId="77777777" w:rsidR="00B2304E" w:rsidRPr="009340D5" w:rsidRDefault="00B2304E" w:rsidP="00310FD8">
            <w:pPr>
              <w:rPr>
                <w:rFonts w:ascii="Century Gothic" w:hAnsi="Century Gothic"/>
                <w:b/>
                <w:bCs/>
                <w:szCs w:val="22"/>
              </w:rPr>
            </w:pPr>
            <w:r w:rsidRPr="009340D5">
              <w:rPr>
                <w:rFonts w:ascii="Century Gothic" w:hAnsi="Century Gothic"/>
                <w:b/>
                <w:szCs w:val="22"/>
              </w:rPr>
              <w:t>Topic</w:t>
            </w:r>
          </w:p>
        </w:tc>
        <w:tc>
          <w:tcPr>
            <w:tcW w:w="1463" w:type="dxa"/>
            <w:shd w:val="clear" w:color="auto" w:fill="EEBAAA" w:themeFill="accent4" w:themeFillTint="66"/>
          </w:tcPr>
          <w:p w14:paraId="6D0FBD70" w14:textId="77777777" w:rsidR="00B2304E" w:rsidRPr="009340D5" w:rsidRDefault="00B2304E" w:rsidP="00310FD8">
            <w:pPr>
              <w:rPr>
                <w:rFonts w:ascii="Century Gothic" w:hAnsi="Century Gothic"/>
                <w:b/>
                <w:bCs/>
                <w:szCs w:val="22"/>
              </w:rPr>
            </w:pPr>
            <w:r w:rsidRPr="009340D5">
              <w:rPr>
                <w:rFonts w:ascii="Century Gothic" w:hAnsi="Century Gothic"/>
                <w:b/>
                <w:szCs w:val="22"/>
              </w:rPr>
              <w:t>Regulatory Provision</w:t>
            </w:r>
          </w:p>
        </w:tc>
        <w:tc>
          <w:tcPr>
            <w:tcW w:w="3388" w:type="dxa"/>
            <w:shd w:val="clear" w:color="auto" w:fill="EEBAAA" w:themeFill="accent4" w:themeFillTint="66"/>
          </w:tcPr>
          <w:p w14:paraId="0FE360CF" w14:textId="77777777" w:rsidR="00B2304E" w:rsidRPr="009340D5" w:rsidRDefault="00B2304E" w:rsidP="00310FD8">
            <w:pPr>
              <w:rPr>
                <w:rFonts w:ascii="Century Gothic" w:hAnsi="Century Gothic"/>
                <w:b/>
                <w:bCs/>
                <w:szCs w:val="22"/>
              </w:rPr>
            </w:pPr>
            <w:r w:rsidRPr="009340D5">
              <w:rPr>
                <w:rFonts w:ascii="Century Gothic" w:hAnsi="Century Gothic"/>
                <w:b/>
                <w:szCs w:val="22"/>
              </w:rPr>
              <w:t>Current Policy</w:t>
            </w:r>
          </w:p>
        </w:tc>
        <w:tc>
          <w:tcPr>
            <w:tcW w:w="3477" w:type="dxa"/>
            <w:shd w:val="clear" w:color="auto" w:fill="EEBAAA" w:themeFill="accent4" w:themeFillTint="66"/>
          </w:tcPr>
          <w:p w14:paraId="2105A710" w14:textId="77777777" w:rsidR="00B2304E" w:rsidRPr="009340D5" w:rsidRDefault="00B2304E" w:rsidP="00310FD8">
            <w:pPr>
              <w:rPr>
                <w:rFonts w:ascii="Century Gothic" w:hAnsi="Century Gothic"/>
                <w:szCs w:val="22"/>
              </w:rPr>
            </w:pPr>
            <w:r w:rsidRPr="009340D5">
              <w:rPr>
                <w:rFonts w:ascii="Century Gothic" w:hAnsi="Century Gothic"/>
                <w:b/>
                <w:szCs w:val="22"/>
              </w:rPr>
              <w:t>Alternative MTW Policy for Public Housing Program</w:t>
            </w:r>
          </w:p>
        </w:tc>
      </w:tr>
      <w:tr w:rsidR="00B2304E" w:rsidRPr="006D6566" w14:paraId="5EBEA585" w14:textId="77777777" w:rsidTr="3743D8DA">
        <w:trPr>
          <w:trHeight w:val="525"/>
        </w:trPr>
        <w:tc>
          <w:tcPr>
            <w:tcW w:w="1615" w:type="dxa"/>
          </w:tcPr>
          <w:p w14:paraId="63D390B6" w14:textId="77777777" w:rsidR="00B2304E" w:rsidRPr="00281FBE" w:rsidRDefault="00B2304E" w:rsidP="00310FD8">
            <w:pPr>
              <w:rPr>
                <w:rFonts w:ascii="Century Gothic" w:hAnsi="Century Gothic"/>
                <w:szCs w:val="22"/>
              </w:rPr>
            </w:pPr>
            <w:r w:rsidRPr="00281FBE">
              <w:rPr>
                <w:rFonts w:ascii="Century Gothic" w:hAnsi="Century Gothic"/>
                <w:szCs w:val="22"/>
              </w:rPr>
              <w:t>Annual Income</w:t>
            </w:r>
          </w:p>
        </w:tc>
        <w:tc>
          <w:tcPr>
            <w:tcW w:w="1463" w:type="dxa"/>
          </w:tcPr>
          <w:p w14:paraId="466385FC" w14:textId="77777777" w:rsidR="00B2304E" w:rsidRPr="00281FBE" w:rsidRDefault="00B2304E" w:rsidP="00310FD8">
            <w:pPr>
              <w:rPr>
                <w:rFonts w:ascii="Century Gothic" w:hAnsi="Century Gothic"/>
                <w:szCs w:val="22"/>
              </w:rPr>
            </w:pPr>
            <w:r w:rsidRPr="00281FBE">
              <w:rPr>
                <w:rFonts w:ascii="Century Gothic" w:hAnsi="Century Gothic"/>
                <w:szCs w:val="22"/>
              </w:rPr>
              <w:t>24 CFR Part 5.609(a)(4)</w:t>
            </w:r>
          </w:p>
          <w:p w14:paraId="7317F5A7" w14:textId="77777777" w:rsidR="00B2304E" w:rsidRPr="00281FBE" w:rsidRDefault="00B2304E" w:rsidP="00310FD8">
            <w:pPr>
              <w:rPr>
                <w:rFonts w:ascii="Century Gothic" w:hAnsi="Century Gothic"/>
                <w:szCs w:val="22"/>
              </w:rPr>
            </w:pPr>
          </w:p>
          <w:p w14:paraId="7937F117" w14:textId="77777777" w:rsidR="00B2304E" w:rsidRPr="00281FBE" w:rsidRDefault="00B2304E" w:rsidP="00310FD8">
            <w:pPr>
              <w:rPr>
                <w:rFonts w:ascii="Century Gothic" w:hAnsi="Century Gothic"/>
                <w:szCs w:val="22"/>
              </w:rPr>
            </w:pPr>
            <w:r w:rsidRPr="00281FBE">
              <w:rPr>
                <w:rFonts w:ascii="Century Gothic" w:hAnsi="Century Gothic"/>
                <w:spacing w:val="2"/>
                <w:szCs w:val="22"/>
              </w:rPr>
              <w:t>5</w:t>
            </w:r>
            <w:r w:rsidRPr="00281FBE">
              <w:rPr>
                <w:rFonts w:ascii="Century Gothic" w:hAnsi="Century Gothic"/>
                <w:szCs w:val="22"/>
              </w:rPr>
              <w:t>.609(c)(</w:t>
            </w:r>
            <w:proofErr w:type="gramStart"/>
            <w:r w:rsidRPr="00281FBE">
              <w:rPr>
                <w:rFonts w:ascii="Century Gothic" w:hAnsi="Century Gothic"/>
                <w:szCs w:val="22"/>
              </w:rPr>
              <w:t>8)(</w:t>
            </w:r>
            <w:proofErr w:type="gramEnd"/>
            <w:r w:rsidRPr="00281FBE">
              <w:rPr>
                <w:rFonts w:ascii="Century Gothic" w:hAnsi="Century Gothic"/>
                <w:szCs w:val="22"/>
              </w:rPr>
              <w:t>x11</w:t>
            </w:r>
          </w:p>
        </w:tc>
        <w:tc>
          <w:tcPr>
            <w:tcW w:w="3388" w:type="dxa"/>
          </w:tcPr>
          <w:p w14:paraId="7228EF12" w14:textId="77777777" w:rsidR="00B2304E" w:rsidRPr="00281FBE" w:rsidRDefault="00B2304E" w:rsidP="00310FD8">
            <w:pPr>
              <w:rPr>
                <w:rFonts w:ascii="Century Gothic" w:hAnsi="Century Gothic"/>
                <w:szCs w:val="22"/>
              </w:rPr>
            </w:pPr>
            <w:r w:rsidRPr="00281FBE">
              <w:rPr>
                <w:rFonts w:ascii="Century Gothic" w:hAnsi="Century Gothic"/>
                <w:szCs w:val="22"/>
              </w:rPr>
              <w:t>Any income derived from an asset to which any member of the family has access</w:t>
            </w:r>
          </w:p>
          <w:p w14:paraId="27687F26" w14:textId="77777777" w:rsidR="00B2304E" w:rsidRPr="00281FBE" w:rsidRDefault="00B2304E" w:rsidP="00310FD8">
            <w:pPr>
              <w:rPr>
                <w:rFonts w:ascii="Century Gothic" w:hAnsi="Century Gothic"/>
                <w:szCs w:val="22"/>
              </w:rPr>
            </w:pPr>
          </w:p>
          <w:p w14:paraId="6EE2A726" w14:textId="77777777" w:rsidR="00B2304E" w:rsidRPr="00281FBE" w:rsidRDefault="00B2304E" w:rsidP="00310FD8">
            <w:pPr>
              <w:rPr>
                <w:rFonts w:ascii="Century Gothic" w:hAnsi="Century Gothic"/>
                <w:szCs w:val="22"/>
              </w:rPr>
            </w:pPr>
            <w:r w:rsidRPr="00281FBE">
              <w:rPr>
                <w:rFonts w:ascii="Century Gothic" w:hAnsi="Century Gothic"/>
                <w:szCs w:val="22"/>
              </w:rPr>
              <w:t xml:space="preserve">Adoption assistance payments for any child </w:t>
            </w:r>
            <w:proofErr w:type="gramStart"/>
            <w:r w:rsidRPr="00281FBE">
              <w:rPr>
                <w:rFonts w:ascii="Century Gothic" w:hAnsi="Century Gothic"/>
                <w:szCs w:val="22"/>
              </w:rPr>
              <w:t>in excess of</w:t>
            </w:r>
            <w:proofErr w:type="gramEnd"/>
            <w:r w:rsidRPr="00281FBE">
              <w:rPr>
                <w:rFonts w:ascii="Century Gothic" w:hAnsi="Century Gothic"/>
                <w:szCs w:val="22"/>
              </w:rPr>
              <w:t xml:space="preserve"> $480.00 received. </w:t>
            </w:r>
          </w:p>
        </w:tc>
        <w:tc>
          <w:tcPr>
            <w:tcW w:w="3477" w:type="dxa"/>
          </w:tcPr>
          <w:p w14:paraId="08334E8D" w14:textId="77777777" w:rsidR="00B2304E" w:rsidRPr="00281FBE" w:rsidRDefault="00B2304E" w:rsidP="00310FD8">
            <w:pPr>
              <w:rPr>
                <w:rFonts w:ascii="Century Gothic" w:hAnsi="Century Gothic"/>
                <w:szCs w:val="22"/>
              </w:rPr>
            </w:pPr>
            <w:r w:rsidRPr="00281FBE">
              <w:rPr>
                <w:rFonts w:ascii="Century Gothic" w:hAnsi="Century Gothic"/>
                <w:szCs w:val="22"/>
              </w:rPr>
              <w:t xml:space="preserve">Excludes </w:t>
            </w:r>
            <w:proofErr w:type="gramStart"/>
            <w:r w:rsidRPr="00281FBE">
              <w:rPr>
                <w:rFonts w:ascii="Century Gothic" w:hAnsi="Century Gothic"/>
                <w:szCs w:val="22"/>
              </w:rPr>
              <w:t>asset</w:t>
            </w:r>
            <w:proofErr w:type="gramEnd"/>
            <w:r w:rsidRPr="00281FBE">
              <w:rPr>
                <w:rFonts w:ascii="Century Gothic" w:hAnsi="Century Gothic"/>
                <w:szCs w:val="22"/>
              </w:rPr>
              <w:t xml:space="preserve"> from the determination of annual income to the extent the amount does not exceed $50,000. </w:t>
            </w:r>
          </w:p>
          <w:p w14:paraId="33592082" w14:textId="439B0322" w:rsidR="00B2304E" w:rsidRPr="00281FBE" w:rsidRDefault="00B2304E" w:rsidP="00310FD8">
            <w:pPr>
              <w:rPr>
                <w:rFonts w:ascii="Century Gothic" w:hAnsi="Century Gothic"/>
                <w:szCs w:val="22"/>
              </w:rPr>
            </w:pPr>
            <w:r w:rsidRPr="00281FBE">
              <w:rPr>
                <w:rFonts w:ascii="Century Gothic" w:hAnsi="Century Gothic"/>
                <w:szCs w:val="22"/>
              </w:rPr>
              <w:t xml:space="preserve">All income earned by </w:t>
            </w:r>
            <w:r w:rsidR="0055544B">
              <w:rPr>
                <w:rFonts w:ascii="Century Gothic" w:hAnsi="Century Gothic"/>
                <w:szCs w:val="22"/>
              </w:rPr>
              <w:t>a</w:t>
            </w:r>
            <w:r w:rsidR="0055544B" w:rsidRPr="00281FBE">
              <w:rPr>
                <w:rFonts w:ascii="Century Gothic" w:hAnsi="Century Gothic"/>
                <w:szCs w:val="22"/>
              </w:rPr>
              <w:t xml:space="preserve"> full-time</w:t>
            </w:r>
            <w:r w:rsidRPr="00281FBE">
              <w:rPr>
                <w:rFonts w:ascii="Century Gothic" w:hAnsi="Century Gothic"/>
                <w:szCs w:val="22"/>
              </w:rPr>
              <w:t xml:space="preserve"> student will be excluded who is </w:t>
            </w:r>
            <w:r w:rsidR="0055544B" w:rsidRPr="00281FBE">
              <w:rPr>
                <w:rFonts w:ascii="Century Gothic" w:hAnsi="Century Gothic"/>
                <w:szCs w:val="22"/>
              </w:rPr>
              <w:t>over 18</w:t>
            </w:r>
            <w:r w:rsidRPr="00281FBE">
              <w:rPr>
                <w:rFonts w:ascii="Century Gothic" w:hAnsi="Century Gothic"/>
                <w:szCs w:val="22"/>
              </w:rPr>
              <w:t xml:space="preserve">.  Students who are HOH or spouse are not excluded. </w:t>
            </w:r>
          </w:p>
          <w:p w14:paraId="7D40F849" w14:textId="77777777" w:rsidR="00B2304E" w:rsidRPr="00281FBE" w:rsidRDefault="00B2304E" w:rsidP="00310FD8">
            <w:pPr>
              <w:rPr>
                <w:rFonts w:ascii="Century Gothic" w:hAnsi="Century Gothic"/>
                <w:szCs w:val="22"/>
              </w:rPr>
            </w:pPr>
          </w:p>
          <w:p w14:paraId="4081F949" w14:textId="77777777" w:rsidR="00B2304E" w:rsidRPr="00281FBE" w:rsidRDefault="00B2304E" w:rsidP="00310FD8">
            <w:pPr>
              <w:rPr>
                <w:rFonts w:ascii="Century Gothic" w:hAnsi="Century Gothic"/>
                <w:szCs w:val="22"/>
              </w:rPr>
            </w:pPr>
            <w:r w:rsidRPr="00281FBE">
              <w:rPr>
                <w:rFonts w:ascii="Century Gothic" w:hAnsi="Century Gothic"/>
                <w:szCs w:val="22"/>
              </w:rPr>
              <w:t>All income earned by a family from adoption assistance will be excluded.</w:t>
            </w:r>
          </w:p>
          <w:p w14:paraId="55454D98" w14:textId="77777777" w:rsidR="00B2304E" w:rsidRPr="00281FBE" w:rsidRDefault="00B2304E" w:rsidP="00310FD8">
            <w:pPr>
              <w:rPr>
                <w:rFonts w:ascii="Century Gothic" w:hAnsi="Century Gothic"/>
                <w:szCs w:val="22"/>
              </w:rPr>
            </w:pPr>
          </w:p>
        </w:tc>
      </w:tr>
      <w:tr w:rsidR="00B2304E" w:rsidRPr="006D6566" w14:paraId="45A2A6ED" w14:textId="77777777" w:rsidTr="3743D8DA">
        <w:trPr>
          <w:trHeight w:val="1800"/>
        </w:trPr>
        <w:tc>
          <w:tcPr>
            <w:tcW w:w="1615" w:type="dxa"/>
          </w:tcPr>
          <w:p w14:paraId="52E0CF55" w14:textId="77777777" w:rsidR="00B2304E" w:rsidRPr="00281FBE" w:rsidRDefault="00B2304E" w:rsidP="00310FD8">
            <w:pPr>
              <w:rPr>
                <w:rFonts w:ascii="Century Gothic" w:hAnsi="Century Gothic"/>
                <w:szCs w:val="22"/>
              </w:rPr>
            </w:pPr>
            <w:r w:rsidRPr="00281FBE">
              <w:rPr>
                <w:rFonts w:ascii="Century Gothic" w:hAnsi="Century Gothic"/>
                <w:szCs w:val="22"/>
              </w:rPr>
              <w:t>Income Exclusion for Person Enrolled in FSS Program</w:t>
            </w:r>
          </w:p>
        </w:tc>
        <w:tc>
          <w:tcPr>
            <w:tcW w:w="1463" w:type="dxa"/>
          </w:tcPr>
          <w:p w14:paraId="157EDEED" w14:textId="77777777" w:rsidR="00B2304E" w:rsidRPr="00281FBE" w:rsidRDefault="00B2304E" w:rsidP="00310FD8">
            <w:pPr>
              <w:rPr>
                <w:rFonts w:ascii="Century Gothic" w:hAnsi="Century Gothic"/>
                <w:szCs w:val="22"/>
              </w:rPr>
            </w:pPr>
            <w:r w:rsidRPr="00281FBE">
              <w:rPr>
                <w:rFonts w:ascii="Century Gothic" w:hAnsi="Century Gothic"/>
                <w:szCs w:val="22"/>
              </w:rPr>
              <w:t>24 CFR Part 5.609(b)(1)</w:t>
            </w:r>
          </w:p>
        </w:tc>
        <w:tc>
          <w:tcPr>
            <w:tcW w:w="3388" w:type="dxa"/>
          </w:tcPr>
          <w:p w14:paraId="3F3AE4EB" w14:textId="77777777" w:rsidR="00B2304E" w:rsidRPr="00281FBE" w:rsidRDefault="00B2304E" w:rsidP="00310FD8">
            <w:pPr>
              <w:rPr>
                <w:rFonts w:ascii="Century Gothic" w:hAnsi="Century Gothic"/>
                <w:szCs w:val="22"/>
              </w:rPr>
            </w:pPr>
            <w:r w:rsidRPr="00281FBE">
              <w:rPr>
                <w:rFonts w:ascii="Century Gothic" w:hAnsi="Century Gothic"/>
                <w:szCs w:val="22"/>
              </w:rPr>
              <w:t xml:space="preserve">Incremental earnings and benefits resulting in any family member from participation in a qualifying </w:t>
            </w:r>
            <w:r w:rsidRPr="00281FBE">
              <w:rPr>
                <w:rFonts w:ascii="Century Gothic" w:hAnsi="Century Gothic"/>
                <w:b/>
                <w:szCs w:val="22"/>
              </w:rPr>
              <w:t xml:space="preserve">State or local employment training </w:t>
            </w:r>
            <w:r w:rsidRPr="00281FBE">
              <w:rPr>
                <w:rFonts w:ascii="Century Gothic" w:hAnsi="Century Gothic"/>
                <w:szCs w:val="22"/>
              </w:rPr>
              <w:t>programs (including training programs not affiliated with a local government) and training of a family member as resident management staff.</w:t>
            </w:r>
          </w:p>
        </w:tc>
        <w:tc>
          <w:tcPr>
            <w:tcW w:w="3477" w:type="dxa"/>
          </w:tcPr>
          <w:p w14:paraId="516CD566" w14:textId="77777777" w:rsidR="00B2304E" w:rsidRPr="00281FBE" w:rsidRDefault="00B2304E" w:rsidP="00310FD8">
            <w:pPr>
              <w:rPr>
                <w:rFonts w:ascii="Century Gothic" w:hAnsi="Century Gothic"/>
                <w:szCs w:val="22"/>
              </w:rPr>
            </w:pPr>
            <w:r w:rsidRPr="00281FBE">
              <w:rPr>
                <w:rFonts w:ascii="Century Gothic" w:hAnsi="Century Gothic"/>
                <w:szCs w:val="22"/>
              </w:rPr>
              <w:t>Exclude 100 percent of any incremental earnings from wages or salaries earned by any family member during the first year of FSS program participation, 75% in 2</w:t>
            </w:r>
            <w:r w:rsidRPr="00281FBE">
              <w:rPr>
                <w:rFonts w:ascii="Century Gothic" w:hAnsi="Century Gothic"/>
                <w:szCs w:val="22"/>
                <w:vertAlign w:val="superscript"/>
              </w:rPr>
              <w:t>nd</w:t>
            </w:r>
            <w:r w:rsidRPr="00281FBE">
              <w:rPr>
                <w:rFonts w:ascii="Century Gothic" w:hAnsi="Century Gothic"/>
                <w:szCs w:val="22"/>
              </w:rPr>
              <w:t xml:space="preserve"> year, 50% in 3</w:t>
            </w:r>
            <w:r w:rsidRPr="00281FBE">
              <w:rPr>
                <w:rFonts w:ascii="Century Gothic" w:hAnsi="Century Gothic"/>
                <w:szCs w:val="22"/>
                <w:vertAlign w:val="superscript"/>
              </w:rPr>
              <w:t>rd</w:t>
            </w:r>
            <w:r w:rsidRPr="00281FBE">
              <w:rPr>
                <w:rFonts w:ascii="Century Gothic" w:hAnsi="Century Gothic"/>
                <w:szCs w:val="22"/>
              </w:rPr>
              <w:t xml:space="preserve"> year, 25% in 4</w:t>
            </w:r>
            <w:r w:rsidRPr="00281FBE">
              <w:rPr>
                <w:rFonts w:ascii="Century Gothic" w:hAnsi="Century Gothic"/>
                <w:szCs w:val="22"/>
                <w:vertAlign w:val="superscript"/>
              </w:rPr>
              <w:t>th</w:t>
            </w:r>
            <w:r w:rsidRPr="00281FBE">
              <w:rPr>
                <w:rFonts w:ascii="Century Gothic" w:hAnsi="Century Gothic"/>
                <w:szCs w:val="22"/>
              </w:rPr>
              <w:t xml:space="preserve"> year and 0% in 5</w:t>
            </w:r>
            <w:r w:rsidRPr="00281FBE">
              <w:rPr>
                <w:rFonts w:ascii="Century Gothic" w:hAnsi="Century Gothic"/>
                <w:szCs w:val="22"/>
                <w:vertAlign w:val="superscript"/>
              </w:rPr>
              <w:t>th</w:t>
            </w:r>
            <w:r w:rsidRPr="00281FBE">
              <w:rPr>
                <w:rFonts w:ascii="Century Gothic" w:hAnsi="Century Gothic"/>
                <w:szCs w:val="22"/>
              </w:rPr>
              <w:t xml:space="preserve"> year, </w:t>
            </w:r>
            <w:proofErr w:type="gramStart"/>
            <w:r w:rsidRPr="00281FBE">
              <w:rPr>
                <w:rFonts w:ascii="Century Gothic" w:hAnsi="Century Gothic"/>
                <w:szCs w:val="22"/>
              </w:rPr>
              <w:t>as long as</w:t>
            </w:r>
            <w:proofErr w:type="gramEnd"/>
            <w:r w:rsidRPr="00281FBE">
              <w:rPr>
                <w:rFonts w:ascii="Century Gothic" w:hAnsi="Century Gothic"/>
                <w:szCs w:val="22"/>
              </w:rPr>
              <w:t xml:space="preserve"> the household is enrolled in the FSS Program.  This will not exceed 5 years. </w:t>
            </w:r>
          </w:p>
          <w:p w14:paraId="57439593" w14:textId="77777777" w:rsidR="00B2304E" w:rsidRPr="00281FBE" w:rsidRDefault="00B2304E" w:rsidP="00310FD8">
            <w:pPr>
              <w:rPr>
                <w:rFonts w:ascii="Century Gothic" w:hAnsi="Century Gothic"/>
                <w:szCs w:val="22"/>
              </w:rPr>
            </w:pPr>
          </w:p>
          <w:p w14:paraId="56CE1B57" w14:textId="71449882" w:rsidR="00B2304E" w:rsidRPr="00281FBE" w:rsidRDefault="00B2304E" w:rsidP="00310FD8">
            <w:pPr>
              <w:rPr>
                <w:rFonts w:ascii="Century Gothic" w:hAnsi="Century Gothic"/>
                <w:szCs w:val="22"/>
              </w:rPr>
            </w:pPr>
            <w:r w:rsidRPr="00281FBE">
              <w:rPr>
                <w:rFonts w:ascii="Century Gothic" w:hAnsi="Century Gothic"/>
                <w:szCs w:val="22"/>
              </w:rPr>
              <w:t xml:space="preserve">A family’s eligibility to receive this optional income disallowance is limited to a total of 48 months. In addition, for families that qualify and receive the federal EID, the total number of months that a family may receive the optional income disallowance provided for under this subparagraph and under the Federal Earned Income Disregard (EID) may not exceed 48 months. In no event shall the family receive the exclusion provided for under this subparagraph during the same period said </w:t>
            </w:r>
            <w:r w:rsidRPr="00281FBE">
              <w:rPr>
                <w:rFonts w:ascii="Century Gothic" w:hAnsi="Century Gothic"/>
                <w:szCs w:val="22"/>
              </w:rPr>
              <w:lastRenderedPageBreak/>
              <w:t xml:space="preserve">family member is receiving the </w:t>
            </w:r>
            <w:r w:rsidR="00491A91" w:rsidRPr="00281FBE">
              <w:rPr>
                <w:rFonts w:ascii="Century Gothic" w:hAnsi="Century Gothic"/>
                <w:szCs w:val="22"/>
              </w:rPr>
              <w:t>federal EID</w:t>
            </w:r>
            <w:r w:rsidRPr="00281FBE">
              <w:rPr>
                <w:rFonts w:ascii="Century Gothic" w:hAnsi="Century Gothic"/>
                <w:szCs w:val="22"/>
              </w:rPr>
              <w:t xml:space="preserve"> as set forth in 24 CFR Part 5.617.</w:t>
            </w:r>
          </w:p>
          <w:p w14:paraId="3BFBCADF" w14:textId="77777777" w:rsidR="00B2304E" w:rsidRPr="00281FBE" w:rsidRDefault="00B2304E" w:rsidP="00310FD8">
            <w:pPr>
              <w:rPr>
                <w:rFonts w:ascii="Century Gothic" w:hAnsi="Century Gothic"/>
                <w:szCs w:val="22"/>
              </w:rPr>
            </w:pPr>
            <w:r w:rsidRPr="00281FBE">
              <w:rPr>
                <w:rFonts w:ascii="Century Gothic" w:hAnsi="Century Gothic"/>
                <w:szCs w:val="22"/>
              </w:rPr>
              <w:t xml:space="preserve">Additionally, the current exclusion covering incremental earnings of any family participating in a state or local program will be expanded to include any qualifying </w:t>
            </w:r>
            <w:r w:rsidRPr="00281FBE">
              <w:rPr>
                <w:rFonts w:ascii="Century Gothic" w:hAnsi="Century Gothic"/>
                <w:b/>
                <w:szCs w:val="22"/>
              </w:rPr>
              <w:t>federal</w:t>
            </w:r>
            <w:r w:rsidRPr="00281FBE">
              <w:rPr>
                <w:rFonts w:ascii="Century Gothic" w:hAnsi="Century Gothic"/>
                <w:szCs w:val="22"/>
              </w:rPr>
              <w:t xml:space="preserve"> program, </w:t>
            </w:r>
            <w:proofErr w:type="gramStart"/>
            <w:r w:rsidRPr="00281FBE">
              <w:rPr>
                <w:rFonts w:ascii="Century Gothic" w:hAnsi="Century Gothic"/>
                <w:szCs w:val="22"/>
              </w:rPr>
              <w:t>whether or not</w:t>
            </w:r>
            <w:proofErr w:type="gramEnd"/>
            <w:r w:rsidRPr="00281FBE">
              <w:rPr>
                <w:rFonts w:ascii="Century Gothic" w:hAnsi="Century Gothic"/>
                <w:szCs w:val="22"/>
              </w:rPr>
              <w:t xml:space="preserve"> the member is enrolled in the FSS program</w:t>
            </w:r>
          </w:p>
        </w:tc>
      </w:tr>
      <w:tr w:rsidR="00B2304E" w:rsidRPr="006D6566" w14:paraId="76448953" w14:textId="77777777" w:rsidTr="3743D8DA">
        <w:trPr>
          <w:trHeight w:val="1545"/>
        </w:trPr>
        <w:tc>
          <w:tcPr>
            <w:tcW w:w="1615" w:type="dxa"/>
          </w:tcPr>
          <w:p w14:paraId="0BEAAABE" w14:textId="77777777" w:rsidR="00B2304E" w:rsidRPr="009340D5" w:rsidRDefault="00B2304E" w:rsidP="00310FD8">
            <w:pPr>
              <w:rPr>
                <w:rFonts w:ascii="Century Gothic" w:hAnsi="Century Gothic"/>
                <w:szCs w:val="22"/>
              </w:rPr>
            </w:pPr>
            <w:r w:rsidRPr="009340D5">
              <w:rPr>
                <w:rFonts w:ascii="Century Gothic" w:hAnsi="Century Gothic"/>
                <w:szCs w:val="22"/>
              </w:rPr>
              <w:lastRenderedPageBreak/>
              <w:t>Business Income for Resident Owned Businesses</w:t>
            </w:r>
          </w:p>
        </w:tc>
        <w:tc>
          <w:tcPr>
            <w:tcW w:w="1463" w:type="dxa"/>
          </w:tcPr>
          <w:p w14:paraId="44A4E9EE" w14:textId="77777777" w:rsidR="00B2304E" w:rsidRPr="009340D5" w:rsidRDefault="00B2304E" w:rsidP="00310FD8">
            <w:pPr>
              <w:rPr>
                <w:rFonts w:ascii="Century Gothic" w:hAnsi="Century Gothic"/>
                <w:szCs w:val="22"/>
              </w:rPr>
            </w:pPr>
            <w:r w:rsidRPr="009340D5">
              <w:rPr>
                <w:rFonts w:ascii="Century Gothic" w:hAnsi="Century Gothic"/>
                <w:szCs w:val="22"/>
              </w:rPr>
              <w:t>24 CFR Part 5.609(b)(2)</w:t>
            </w:r>
          </w:p>
        </w:tc>
        <w:tc>
          <w:tcPr>
            <w:tcW w:w="3388" w:type="dxa"/>
          </w:tcPr>
          <w:p w14:paraId="05AF1E11" w14:textId="77777777" w:rsidR="00B2304E" w:rsidRPr="009340D5" w:rsidRDefault="00B2304E" w:rsidP="00310FD8">
            <w:pPr>
              <w:rPr>
                <w:rFonts w:ascii="Century Gothic" w:hAnsi="Century Gothic"/>
                <w:szCs w:val="22"/>
              </w:rPr>
            </w:pPr>
            <w:r w:rsidRPr="009340D5">
              <w:rPr>
                <w:rFonts w:ascii="Century Gothic" w:hAnsi="Century Gothic"/>
                <w:szCs w:val="22"/>
              </w:rPr>
              <w:t>The net income from the operation of a business or profession is included in determining annual income.</w:t>
            </w:r>
          </w:p>
          <w:p w14:paraId="2A21140C" w14:textId="77777777" w:rsidR="00B2304E" w:rsidRPr="009340D5" w:rsidRDefault="00B2304E" w:rsidP="00310FD8">
            <w:pPr>
              <w:rPr>
                <w:rFonts w:ascii="Century Gothic" w:hAnsi="Century Gothic"/>
                <w:szCs w:val="22"/>
              </w:rPr>
            </w:pPr>
          </w:p>
        </w:tc>
        <w:tc>
          <w:tcPr>
            <w:tcW w:w="3477" w:type="dxa"/>
          </w:tcPr>
          <w:p w14:paraId="520AC7BB" w14:textId="77777777" w:rsidR="00B2304E" w:rsidRPr="009340D5" w:rsidRDefault="00B2304E" w:rsidP="00310FD8">
            <w:pPr>
              <w:rPr>
                <w:rFonts w:ascii="Century Gothic" w:hAnsi="Century Gothic"/>
                <w:szCs w:val="22"/>
              </w:rPr>
            </w:pPr>
            <w:r w:rsidRPr="009340D5">
              <w:rPr>
                <w:rFonts w:ascii="Century Gothic" w:hAnsi="Century Gothic"/>
                <w:szCs w:val="22"/>
              </w:rPr>
              <w:t xml:space="preserve">Exclude 100 Percent of any net income derived from the operation of a </w:t>
            </w:r>
            <w:proofErr w:type="gramStart"/>
            <w:r w:rsidRPr="009340D5">
              <w:rPr>
                <w:rFonts w:ascii="Century Gothic" w:hAnsi="Century Gothic"/>
                <w:szCs w:val="22"/>
              </w:rPr>
              <w:t>businesses</w:t>
            </w:r>
            <w:proofErr w:type="gramEnd"/>
            <w:r w:rsidRPr="009340D5">
              <w:rPr>
                <w:rFonts w:ascii="Century Gothic" w:hAnsi="Century Gothic"/>
                <w:szCs w:val="22"/>
              </w:rPr>
              <w:t xml:space="preserve">; provided the business qualifies as </w:t>
            </w:r>
            <w:r w:rsidRPr="009340D5">
              <w:rPr>
                <w:rFonts w:ascii="Century Gothic" w:hAnsi="Century Gothic"/>
                <w:b/>
                <w:szCs w:val="22"/>
              </w:rPr>
              <w:t>a resident owned business</w:t>
            </w:r>
            <w:r w:rsidRPr="009340D5">
              <w:rPr>
                <w:rFonts w:ascii="Century Gothic" w:hAnsi="Century Gothic"/>
                <w:szCs w:val="22"/>
              </w:rPr>
              <w:t xml:space="preserve"> under 24 CFR Part 963.5. During the first year of enrollment in FSS program 100 percent; 75 percent in the second year; 50 percent in the third year; 25 percent in the fourth year; 0 percent exclusion thereafter. </w:t>
            </w:r>
          </w:p>
          <w:p w14:paraId="029D33B1" w14:textId="77777777" w:rsidR="00B2304E" w:rsidRPr="009340D5" w:rsidRDefault="00B2304E" w:rsidP="00310FD8">
            <w:pPr>
              <w:rPr>
                <w:rFonts w:ascii="Century Gothic" w:hAnsi="Century Gothic"/>
                <w:szCs w:val="22"/>
              </w:rPr>
            </w:pPr>
          </w:p>
          <w:p w14:paraId="63D4D036" w14:textId="77777777" w:rsidR="00B2304E" w:rsidRPr="009340D5" w:rsidRDefault="00B2304E" w:rsidP="00310FD8">
            <w:pPr>
              <w:rPr>
                <w:rFonts w:ascii="Century Gothic" w:hAnsi="Century Gothic"/>
                <w:szCs w:val="22"/>
              </w:rPr>
            </w:pPr>
          </w:p>
        </w:tc>
      </w:tr>
      <w:tr w:rsidR="00B2304E" w:rsidRPr="006D6566" w14:paraId="446457AF" w14:textId="77777777" w:rsidTr="3743D8DA">
        <w:trPr>
          <w:trHeight w:val="1545"/>
        </w:trPr>
        <w:tc>
          <w:tcPr>
            <w:tcW w:w="1615" w:type="dxa"/>
          </w:tcPr>
          <w:p w14:paraId="3E55209A" w14:textId="77777777" w:rsidR="00B2304E" w:rsidRPr="001D622B" w:rsidRDefault="00B2304E" w:rsidP="00310FD8">
            <w:pPr>
              <w:rPr>
                <w:rFonts w:ascii="Century Gothic" w:hAnsi="Century Gothic"/>
                <w:bCs/>
                <w:szCs w:val="22"/>
              </w:rPr>
            </w:pPr>
            <w:r w:rsidRPr="001D622B">
              <w:rPr>
                <w:rFonts w:ascii="Century Gothic" w:hAnsi="Century Gothic"/>
                <w:szCs w:val="22"/>
              </w:rPr>
              <w:t xml:space="preserve">Earned Income Disallowance </w:t>
            </w:r>
          </w:p>
        </w:tc>
        <w:tc>
          <w:tcPr>
            <w:tcW w:w="1463" w:type="dxa"/>
          </w:tcPr>
          <w:p w14:paraId="62D079B4" w14:textId="40A472B6" w:rsidR="00B2304E" w:rsidRPr="001D622B" w:rsidRDefault="00B2304E" w:rsidP="00310FD8">
            <w:pPr>
              <w:rPr>
                <w:rFonts w:ascii="Century Gothic" w:hAnsi="Century Gothic"/>
                <w:bCs/>
                <w:szCs w:val="22"/>
              </w:rPr>
            </w:pPr>
            <w:r w:rsidRPr="001D622B">
              <w:rPr>
                <w:rFonts w:ascii="Century Gothic" w:hAnsi="Century Gothic"/>
                <w:szCs w:val="22"/>
              </w:rPr>
              <w:t xml:space="preserve">24 CFR </w:t>
            </w:r>
            <w:r w:rsidR="00491A91" w:rsidRPr="001D622B">
              <w:rPr>
                <w:rFonts w:ascii="Century Gothic" w:hAnsi="Century Gothic"/>
                <w:szCs w:val="22"/>
              </w:rPr>
              <w:t>Part 960</w:t>
            </w:r>
            <w:r w:rsidRPr="001D622B">
              <w:rPr>
                <w:rFonts w:ascii="Century Gothic" w:hAnsi="Century Gothic"/>
                <w:szCs w:val="22"/>
              </w:rPr>
              <w:t>.255</w:t>
            </w:r>
          </w:p>
        </w:tc>
        <w:tc>
          <w:tcPr>
            <w:tcW w:w="3388" w:type="dxa"/>
          </w:tcPr>
          <w:p w14:paraId="3A0FE59B" w14:textId="1719EEB3" w:rsidR="00B2304E" w:rsidRPr="001D622B" w:rsidRDefault="00B2304E" w:rsidP="3743D8DA">
            <w:pPr>
              <w:rPr>
                <w:rFonts w:ascii="Century Gothic" w:hAnsi="Century Gothic"/>
              </w:rPr>
            </w:pPr>
            <w:r w:rsidRPr="001D622B">
              <w:rPr>
                <w:rFonts w:ascii="Century Gothic" w:hAnsi="Century Gothic"/>
              </w:rPr>
              <w:t xml:space="preserve">Incremental income earned by a family member, provided the increase in income is the result (1)  of employment of a family member was previously unemployed for one or more years prior to employment; (2) increased earnings by a family member during participation in any economic self-sufficiency or other job training program; or (3) result of new employment or increased earnings of a family member during or within six months after receiving assistance, benefits or services under any state program for temporary assistance for needy families </w:t>
            </w:r>
          </w:p>
          <w:p w14:paraId="288169FF" w14:textId="7059BAB2" w:rsidR="00B2304E" w:rsidRPr="001D622B" w:rsidRDefault="00B2304E" w:rsidP="3743D8DA">
            <w:pPr>
              <w:rPr>
                <w:rFonts w:ascii="Century Gothic" w:hAnsi="Century Gothic"/>
              </w:rPr>
            </w:pPr>
          </w:p>
        </w:tc>
        <w:tc>
          <w:tcPr>
            <w:tcW w:w="3477" w:type="dxa"/>
          </w:tcPr>
          <w:p w14:paraId="07CC1243" w14:textId="77777777" w:rsidR="00B2304E" w:rsidRPr="001D622B" w:rsidRDefault="00B2304E" w:rsidP="00310FD8">
            <w:pPr>
              <w:rPr>
                <w:rFonts w:ascii="Century Gothic" w:hAnsi="Century Gothic"/>
                <w:szCs w:val="22"/>
              </w:rPr>
            </w:pPr>
          </w:p>
          <w:p w14:paraId="3AE557C7" w14:textId="77777777" w:rsidR="00B2304E" w:rsidRPr="001D622B" w:rsidRDefault="00B2304E" w:rsidP="00310FD8">
            <w:pPr>
              <w:rPr>
                <w:rFonts w:ascii="Century Gothic" w:hAnsi="Century Gothic"/>
                <w:szCs w:val="22"/>
              </w:rPr>
            </w:pPr>
          </w:p>
          <w:p w14:paraId="0B65330E"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The Federal EID benefit is embedded into the Rent Simplification rule so the provision of EID </w:t>
            </w:r>
            <w:proofErr w:type="gramStart"/>
            <w:r w:rsidRPr="001D622B">
              <w:rPr>
                <w:rFonts w:ascii="Century Gothic" w:hAnsi="Century Gothic"/>
                <w:szCs w:val="22"/>
              </w:rPr>
              <w:t>by definition of</w:t>
            </w:r>
            <w:proofErr w:type="gramEnd"/>
            <w:r w:rsidRPr="001D622B">
              <w:rPr>
                <w:rFonts w:ascii="Century Gothic" w:hAnsi="Century Gothic"/>
                <w:szCs w:val="22"/>
              </w:rPr>
              <w:t xml:space="preserve"> regulation, and annual tracking is eliminated for LIPH Participants. Families will not lose out on the </w:t>
            </w:r>
            <w:proofErr w:type="gramStart"/>
            <w:r w:rsidRPr="001D622B">
              <w:rPr>
                <w:rFonts w:ascii="Century Gothic" w:hAnsi="Century Gothic"/>
                <w:szCs w:val="22"/>
              </w:rPr>
              <w:t>benefit,</w:t>
            </w:r>
            <w:proofErr w:type="gramEnd"/>
            <w:r w:rsidRPr="001D622B">
              <w:rPr>
                <w:rFonts w:ascii="Century Gothic" w:hAnsi="Century Gothic"/>
                <w:szCs w:val="22"/>
              </w:rPr>
              <w:t xml:space="preserve"> however, ECC/HANH will help streamline staff responsibility by eliminating the requirement. </w:t>
            </w:r>
            <w:r w:rsidRPr="001D622B">
              <w:rPr>
                <w:rFonts w:ascii="Century Gothic" w:hAnsi="Century Gothic"/>
                <w:spacing w:val="-3"/>
                <w:szCs w:val="22"/>
              </w:rPr>
              <w:t xml:space="preserve">The Federal Earned Income Disregard (EID) will continue to be implemented in the LIPH program for families who are required to report increase in wages or new job under the LIPH Rent Simplification Rules. </w:t>
            </w:r>
            <w:r w:rsidRPr="001D622B">
              <w:rPr>
                <w:rFonts w:ascii="Century Gothic" w:hAnsi="Century Gothic"/>
                <w:spacing w:val="-3"/>
                <w:szCs w:val="22"/>
              </w:rPr>
              <w:lastRenderedPageBreak/>
              <w:t xml:space="preserve">The maximum amount of time a family can be enrolled in the Federal EID is 24 months with a start/stop clock of 48 months.  At the beginning of the 12 months of 50% EID, an interim will not be conducted; the family will remain at the 100% until the scheduled bi/tri annual certification comes up. Families who do already receive the benefit of no increase in rent with higher wages under the Rent Simplification rule will be tracked in Elite under EID at time of Bi-Tri annual certifications. </w:t>
            </w:r>
          </w:p>
        </w:tc>
      </w:tr>
      <w:tr w:rsidR="00B2304E" w:rsidRPr="006D6566" w14:paraId="67A4AEEE" w14:textId="77777777" w:rsidTr="3743D8DA">
        <w:trPr>
          <w:trHeight w:val="525"/>
        </w:trPr>
        <w:tc>
          <w:tcPr>
            <w:tcW w:w="1615" w:type="dxa"/>
          </w:tcPr>
          <w:p w14:paraId="5884A5DF" w14:textId="77777777" w:rsidR="00B2304E" w:rsidRPr="001D622B" w:rsidRDefault="00B2304E" w:rsidP="00310FD8">
            <w:pPr>
              <w:rPr>
                <w:rFonts w:ascii="Century Gothic" w:hAnsi="Century Gothic"/>
                <w:szCs w:val="22"/>
              </w:rPr>
            </w:pPr>
            <w:r w:rsidRPr="001D622B">
              <w:rPr>
                <w:rFonts w:ascii="Century Gothic" w:hAnsi="Century Gothic"/>
                <w:szCs w:val="22"/>
              </w:rPr>
              <w:lastRenderedPageBreak/>
              <w:t>Mandatory Deductions</w:t>
            </w:r>
          </w:p>
        </w:tc>
        <w:tc>
          <w:tcPr>
            <w:tcW w:w="1463" w:type="dxa"/>
          </w:tcPr>
          <w:p w14:paraId="73DC38EC" w14:textId="77777777" w:rsidR="00B2304E" w:rsidRPr="001D622B" w:rsidRDefault="00B2304E" w:rsidP="00310FD8">
            <w:pPr>
              <w:rPr>
                <w:rFonts w:ascii="Century Gothic" w:hAnsi="Century Gothic"/>
                <w:szCs w:val="22"/>
              </w:rPr>
            </w:pPr>
            <w:r w:rsidRPr="001D622B">
              <w:rPr>
                <w:rFonts w:ascii="Century Gothic" w:hAnsi="Century Gothic"/>
                <w:szCs w:val="22"/>
              </w:rPr>
              <w:t>24 CFR Part 5.611</w:t>
            </w:r>
          </w:p>
        </w:tc>
        <w:tc>
          <w:tcPr>
            <w:tcW w:w="3388" w:type="dxa"/>
          </w:tcPr>
          <w:p w14:paraId="62809890" w14:textId="0AE51178" w:rsidR="00B2304E" w:rsidRPr="001D622B" w:rsidRDefault="00B2304E" w:rsidP="00310FD8">
            <w:pPr>
              <w:rPr>
                <w:rFonts w:ascii="Century Gothic" w:hAnsi="Century Gothic"/>
                <w:szCs w:val="22"/>
              </w:rPr>
            </w:pPr>
            <w:r w:rsidRPr="001D622B">
              <w:rPr>
                <w:rFonts w:ascii="Century Gothic" w:hAnsi="Century Gothic"/>
                <w:szCs w:val="22"/>
              </w:rPr>
              <w:t xml:space="preserve">(1) $480 for each </w:t>
            </w:r>
            <w:r w:rsidR="009A2E04" w:rsidRPr="001D622B">
              <w:rPr>
                <w:rFonts w:ascii="Century Gothic" w:hAnsi="Century Gothic"/>
                <w:szCs w:val="22"/>
              </w:rPr>
              <w:t>dependent; (</w:t>
            </w:r>
            <w:r w:rsidRPr="001D622B">
              <w:rPr>
                <w:rFonts w:ascii="Century Gothic" w:hAnsi="Century Gothic"/>
                <w:szCs w:val="22"/>
              </w:rPr>
              <w:t xml:space="preserve">2) $400 for any elderly family or disabled </w:t>
            </w:r>
            <w:r w:rsidR="00272BC4" w:rsidRPr="001D622B">
              <w:rPr>
                <w:rFonts w:ascii="Century Gothic" w:hAnsi="Century Gothic"/>
                <w:szCs w:val="22"/>
              </w:rPr>
              <w:t>family; (</w:t>
            </w:r>
            <w:r w:rsidRPr="001D622B">
              <w:rPr>
                <w:rFonts w:ascii="Century Gothic" w:hAnsi="Century Gothic"/>
                <w:szCs w:val="22"/>
              </w:rPr>
              <w:t xml:space="preserve">3) The sum of the </w:t>
            </w:r>
            <w:r w:rsidR="004F69DD" w:rsidRPr="001D622B">
              <w:rPr>
                <w:rFonts w:ascii="Century Gothic" w:hAnsi="Century Gothic"/>
                <w:szCs w:val="22"/>
              </w:rPr>
              <w:t>following to</w:t>
            </w:r>
            <w:r w:rsidRPr="001D622B">
              <w:rPr>
                <w:rFonts w:ascii="Century Gothic" w:hAnsi="Century Gothic"/>
                <w:szCs w:val="22"/>
              </w:rPr>
              <w:t xml:space="preserve"> the extent the sum exceeds </w:t>
            </w:r>
            <w:r w:rsidR="00B37982" w:rsidRPr="001D622B">
              <w:rPr>
                <w:rFonts w:ascii="Century Gothic" w:hAnsi="Century Gothic"/>
                <w:szCs w:val="22"/>
              </w:rPr>
              <w:t>three percent</w:t>
            </w:r>
            <w:r w:rsidRPr="001D622B">
              <w:rPr>
                <w:rFonts w:ascii="Century Gothic" w:hAnsi="Century Gothic"/>
                <w:szCs w:val="22"/>
              </w:rPr>
              <w:t xml:space="preserve"> of annual income</w:t>
            </w:r>
            <w:r w:rsidR="005C6B99" w:rsidRPr="001D622B">
              <w:rPr>
                <w:rFonts w:ascii="Century Gothic" w:hAnsi="Century Gothic"/>
                <w:szCs w:val="22"/>
              </w:rPr>
              <w:t>: (</w:t>
            </w:r>
            <w:r w:rsidR="003A7677" w:rsidRPr="001D622B">
              <w:rPr>
                <w:rFonts w:ascii="Century Gothic" w:hAnsi="Century Gothic"/>
                <w:szCs w:val="22"/>
              </w:rPr>
              <w:t>I</w:t>
            </w:r>
            <w:r w:rsidRPr="001D622B">
              <w:rPr>
                <w:rFonts w:ascii="Century Gothic" w:hAnsi="Century Gothic"/>
                <w:szCs w:val="22"/>
              </w:rPr>
              <w:t xml:space="preserve">) Un-reimbursed medical expenses of any elderly family or </w:t>
            </w:r>
            <w:r w:rsidR="00B37982" w:rsidRPr="001D622B">
              <w:rPr>
                <w:rFonts w:ascii="Century Gothic" w:hAnsi="Century Gothic"/>
                <w:szCs w:val="22"/>
              </w:rPr>
              <w:t>disabled family</w:t>
            </w:r>
            <w:r w:rsidRPr="001D622B">
              <w:rPr>
                <w:rFonts w:ascii="Century Gothic" w:hAnsi="Century Gothic"/>
                <w:szCs w:val="22"/>
              </w:rPr>
              <w:t xml:space="preserve">; </w:t>
            </w:r>
            <w:r w:rsidR="00272BC4" w:rsidRPr="001D622B">
              <w:rPr>
                <w:rFonts w:ascii="Century Gothic" w:hAnsi="Century Gothic"/>
                <w:szCs w:val="22"/>
              </w:rPr>
              <w:t>and (</w:t>
            </w:r>
            <w:r w:rsidRPr="001D622B">
              <w:rPr>
                <w:rFonts w:ascii="Century Gothic" w:hAnsi="Century Gothic"/>
                <w:szCs w:val="22"/>
              </w:rPr>
              <w:t>ii) reimbursed reasonable attendant care and auxiliary apparatus expenses for each member of the family who is a person with disabilities</w:t>
            </w:r>
          </w:p>
          <w:p w14:paraId="7A69BCA0" w14:textId="25304778" w:rsidR="00B2304E" w:rsidRPr="001D622B" w:rsidRDefault="00B2304E" w:rsidP="00310FD8">
            <w:pPr>
              <w:rPr>
                <w:rFonts w:ascii="Century Gothic" w:hAnsi="Century Gothic"/>
                <w:szCs w:val="22"/>
              </w:rPr>
            </w:pPr>
            <w:r w:rsidRPr="001D622B">
              <w:rPr>
                <w:rFonts w:ascii="Century Gothic" w:hAnsi="Century Gothic"/>
                <w:szCs w:val="22"/>
              </w:rPr>
              <w:t xml:space="preserve"> (4) Any reasonable </w:t>
            </w:r>
            <w:r w:rsidR="00491A91" w:rsidRPr="001D622B">
              <w:rPr>
                <w:rFonts w:ascii="Century Gothic" w:hAnsi="Century Gothic"/>
                <w:szCs w:val="22"/>
              </w:rPr>
              <w:t>childcare</w:t>
            </w:r>
            <w:r w:rsidRPr="001D622B">
              <w:rPr>
                <w:rFonts w:ascii="Century Gothic" w:hAnsi="Century Gothic"/>
                <w:szCs w:val="22"/>
              </w:rPr>
              <w:t xml:space="preserve"> expenses necessary to enable a member of the family to be employed or to further his or her education.</w:t>
            </w:r>
          </w:p>
          <w:p w14:paraId="4576510B"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    </w:t>
            </w:r>
          </w:p>
        </w:tc>
        <w:tc>
          <w:tcPr>
            <w:tcW w:w="3477" w:type="dxa"/>
          </w:tcPr>
          <w:p w14:paraId="670FE3D7"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Eliminate the outlined mandatory deductions under this part. These deductions will be considered as Exceptional Expense Deductions </w:t>
            </w:r>
          </w:p>
        </w:tc>
      </w:tr>
      <w:tr w:rsidR="00B2304E" w:rsidRPr="006D6566" w14:paraId="00A66339" w14:textId="77777777" w:rsidTr="3743D8DA">
        <w:trPr>
          <w:trHeight w:val="3032"/>
        </w:trPr>
        <w:tc>
          <w:tcPr>
            <w:tcW w:w="1615" w:type="dxa"/>
          </w:tcPr>
          <w:p w14:paraId="33D7DC05" w14:textId="77777777" w:rsidR="00B2304E" w:rsidRPr="009340D5" w:rsidRDefault="00B2304E" w:rsidP="00310FD8">
            <w:pPr>
              <w:rPr>
                <w:rFonts w:ascii="Century Gothic" w:hAnsi="Century Gothic"/>
                <w:szCs w:val="22"/>
              </w:rPr>
            </w:pPr>
            <w:r w:rsidRPr="009340D5">
              <w:rPr>
                <w:rFonts w:ascii="Century Gothic" w:hAnsi="Century Gothic"/>
                <w:szCs w:val="22"/>
              </w:rPr>
              <w:lastRenderedPageBreak/>
              <w:t>Additional (Exception) Expenses Deductions</w:t>
            </w:r>
          </w:p>
        </w:tc>
        <w:tc>
          <w:tcPr>
            <w:tcW w:w="1463" w:type="dxa"/>
          </w:tcPr>
          <w:p w14:paraId="7B207372" w14:textId="77777777" w:rsidR="00B2304E" w:rsidRPr="009340D5" w:rsidRDefault="00B2304E" w:rsidP="00310FD8">
            <w:pPr>
              <w:rPr>
                <w:rFonts w:ascii="Century Gothic" w:hAnsi="Century Gothic"/>
                <w:szCs w:val="22"/>
              </w:rPr>
            </w:pPr>
            <w:r w:rsidRPr="009340D5">
              <w:rPr>
                <w:rFonts w:ascii="Century Gothic" w:hAnsi="Century Gothic"/>
                <w:szCs w:val="22"/>
              </w:rPr>
              <w:t>24 CFR 5.611</w:t>
            </w:r>
          </w:p>
        </w:tc>
        <w:tc>
          <w:tcPr>
            <w:tcW w:w="3388" w:type="dxa"/>
          </w:tcPr>
          <w:p w14:paraId="26F9CF22" w14:textId="77777777" w:rsidR="00B2304E" w:rsidRPr="009340D5" w:rsidRDefault="00B2304E" w:rsidP="00310FD8">
            <w:pPr>
              <w:rPr>
                <w:rFonts w:ascii="Century Gothic" w:hAnsi="Century Gothic"/>
                <w:szCs w:val="22"/>
              </w:rPr>
            </w:pPr>
            <w:r w:rsidRPr="009340D5">
              <w:rPr>
                <w:rFonts w:ascii="Century Gothic" w:hAnsi="Century Gothic"/>
                <w:szCs w:val="22"/>
              </w:rPr>
              <w:t>A PHA may adopt additional deductions from annual income. ECC/HANH had none</w:t>
            </w:r>
          </w:p>
        </w:tc>
        <w:tc>
          <w:tcPr>
            <w:tcW w:w="3477" w:type="dxa"/>
          </w:tcPr>
          <w:p w14:paraId="588C026C" w14:textId="6DDDF9C0" w:rsidR="00B2304E" w:rsidRPr="009340D5" w:rsidRDefault="00B2304E" w:rsidP="00310FD8">
            <w:pPr>
              <w:rPr>
                <w:rFonts w:ascii="Century Gothic" w:hAnsi="Century Gothic"/>
                <w:szCs w:val="22"/>
              </w:rPr>
            </w:pPr>
            <w:r w:rsidRPr="009340D5">
              <w:rPr>
                <w:rFonts w:ascii="Century Gothic" w:hAnsi="Century Gothic"/>
                <w:spacing w:val="2"/>
                <w:szCs w:val="22"/>
              </w:rPr>
              <w:t xml:space="preserve">Families with verifiable deductions </w:t>
            </w:r>
            <w:proofErr w:type="gramStart"/>
            <w:r w:rsidRPr="009340D5">
              <w:rPr>
                <w:rFonts w:ascii="Century Gothic" w:hAnsi="Century Gothic"/>
                <w:spacing w:val="2"/>
                <w:szCs w:val="22"/>
              </w:rPr>
              <w:t>in excess of</w:t>
            </w:r>
            <w:proofErr w:type="gramEnd"/>
            <w:r w:rsidRPr="009340D5">
              <w:rPr>
                <w:rFonts w:ascii="Century Gothic" w:hAnsi="Century Gothic"/>
                <w:spacing w:val="2"/>
                <w:szCs w:val="22"/>
              </w:rPr>
              <w:t xml:space="preserve"> $2,000 will be allowed to request that these additional expenses be used in determining TTP. These verifiable deductions must exceed $2,000 and shall be the sum of (1) Mandatory Deductions determined in accordance with </w:t>
            </w:r>
            <w:r w:rsidRPr="009340D5">
              <w:rPr>
                <w:rFonts w:ascii="Century Gothic" w:hAnsi="Century Gothic"/>
                <w:szCs w:val="22"/>
              </w:rPr>
              <w:t xml:space="preserve">Section 5.611 (2), </w:t>
            </w:r>
            <w:r w:rsidR="00491A91" w:rsidRPr="009340D5">
              <w:rPr>
                <w:rFonts w:ascii="Century Gothic" w:hAnsi="Century Gothic"/>
                <w:szCs w:val="22"/>
              </w:rPr>
              <w:t>plus non</w:t>
            </w:r>
            <w:r w:rsidRPr="009340D5">
              <w:rPr>
                <w:rFonts w:ascii="Century Gothic" w:hAnsi="Century Gothic"/>
                <w:szCs w:val="22"/>
              </w:rPr>
              <w:t xml:space="preserve">-reimbursed utility expenses </w:t>
            </w:r>
            <w:r w:rsidR="00E27A6F" w:rsidRPr="009340D5">
              <w:rPr>
                <w:rFonts w:ascii="Century Gothic" w:hAnsi="Century Gothic"/>
                <w:szCs w:val="22"/>
              </w:rPr>
              <w:t>(except</w:t>
            </w:r>
            <w:r w:rsidRPr="009340D5">
              <w:rPr>
                <w:rFonts w:ascii="Century Gothic" w:hAnsi="Century Gothic"/>
                <w:szCs w:val="22"/>
              </w:rPr>
              <w:t xml:space="preserve"> telephone and cable)</w:t>
            </w:r>
          </w:p>
          <w:p w14:paraId="0E45D67C" w14:textId="77777777" w:rsidR="00B2304E" w:rsidRPr="009340D5" w:rsidRDefault="00B2304E" w:rsidP="00310FD8">
            <w:pPr>
              <w:rPr>
                <w:rFonts w:ascii="Century Gothic" w:hAnsi="Century Gothic"/>
                <w:szCs w:val="22"/>
              </w:rPr>
            </w:pPr>
          </w:p>
          <w:p w14:paraId="28420015" w14:textId="77777777" w:rsidR="00B2304E" w:rsidRPr="009340D5" w:rsidRDefault="00B2304E" w:rsidP="00310FD8">
            <w:pPr>
              <w:rPr>
                <w:rFonts w:ascii="Century Gothic" w:hAnsi="Century Gothic"/>
                <w:szCs w:val="22"/>
              </w:rPr>
            </w:pPr>
          </w:p>
          <w:p w14:paraId="0709DF7A" w14:textId="77777777" w:rsidR="00B2304E" w:rsidRPr="009340D5" w:rsidRDefault="00B2304E" w:rsidP="00310FD8">
            <w:pPr>
              <w:rPr>
                <w:rFonts w:ascii="Century Gothic" w:hAnsi="Century Gothic"/>
                <w:szCs w:val="22"/>
              </w:rPr>
            </w:pPr>
          </w:p>
          <w:p w14:paraId="20CF077D" w14:textId="77777777" w:rsidR="00B2304E" w:rsidRPr="009340D5" w:rsidRDefault="00B2304E" w:rsidP="00310FD8">
            <w:pPr>
              <w:rPr>
                <w:rFonts w:ascii="Century Gothic" w:hAnsi="Century Gothic"/>
                <w:szCs w:val="22"/>
              </w:rPr>
            </w:pPr>
          </w:p>
          <w:p w14:paraId="415F1AC8" w14:textId="77777777" w:rsidR="00B2304E" w:rsidRPr="009340D5" w:rsidRDefault="00B2304E" w:rsidP="00310FD8">
            <w:pPr>
              <w:rPr>
                <w:rFonts w:ascii="Century Gothic" w:hAnsi="Century Gothic"/>
                <w:szCs w:val="22"/>
              </w:rPr>
            </w:pPr>
          </w:p>
          <w:p w14:paraId="7893325C" w14:textId="77777777" w:rsidR="00B2304E" w:rsidRPr="009340D5" w:rsidRDefault="00B2304E" w:rsidP="00310FD8">
            <w:pPr>
              <w:rPr>
                <w:rFonts w:ascii="Century Gothic" w:hAnsi="Century Gothic"/>
                <w:szCs w:val="22"/>
              </w:rPr>
            </w:pPr>
          </w:p>
          <w:p w14:paraId="41FFED1B" w14:textId="77777777" w:rsidR="00B2304E" w:rsidRPr="009340D5" w:rsidRDefault="00B2304E" w:rsidP="00310FD8">
            <w:pPr>
              <w:rPr>
                <w:rFonts w:ascii="Century Gothic" w:hAnsi="Century Gothic"/>
                <w:szCs w:val="22"/>
              </w:rPr>
            </w:pPr>
          </w:p>
          <w:p w14:paraId="1237FE0D" w14:textId="77777777" w:rsidR="00B2304E" w:rsidRPr="009340D5" w:rsidRDefault="00B2304E" w:rsidP="00310FD8">
            <w:pPr>
              <w:rPr>
                <w:rFonts w:ascii="Century Gothic" w:hAnsi="Century Gothic"/>
                <w:szCs w:val="22"/>
              </w:rPr>
            </w:pPr>
          </w:p>
          <w:p w14:paraId="0919F904" w14:textId="77777777" w:rsidR="00B2304E" w:rsidRPr="009340D5" w:rsidRDefault="00B2304E" w:rsidP="00310FD8">
            <w:pPr>
              <w:rPr>
                <w:rFonts w:ascii="Century Gothic" w:hAnsi="Century Gothic"/>
                <w:szCs w:val="22"/>
              </w:rPr>
            </w:pPr>
          </w:p>
          <w:p w14:paraId="4472BC16" w14:textId="77777777" w:rsidR="00B2304E" w:rsidRPr="009340D5" w:rsidRDefault="00B2304E" w:rsidP="00310FD8">
            <w:pPr>
              <w:rPr>
                <w:rFonts w:ascii="Century Gothic" w:hAnsi="Century Gothic"/>
                <w:szCs w:val="22"/>
              </w:rPr>
            </w:pPr>
          </w:p>
        </w:tc>
      </w:tr>
      <w:tr w:rsidR="00B2304E" w:rsidRPr="006D6566" w14:paraId="617B49BE" w14:textId="77777777" w:rsidTr="3743D8DA">
        <w:trPr>
          <w:trHeight w:val="1035"/>
        </w:trPr>
        <w:tc>
          <w:tcPr>
            <w:tcW w:w="1615" w:type="dxa"/>
          </w:tcPr>
          <w:p w14:paraId="0A394346" w14:textId="77777777" w:rsidR="00B2304E" w:rsidRPr="001D622B" w:rsidRDefault="00B2304E" w:rsidP="00310FD8">
            <w:pPr>
              <w:rPr>
                <w:rFonts w:ascii="Century Gothic" w:hAnsi="Century Gothic"/>
                <w:szCs w:val="22"/>
              </w:rPr>
            </w:pPr>
            <w:r w:rsidRPr="001D622B">
              <w:rPr>
                <w:rFonts w:ascii="Century Gothic" w:hAnsi="Century Gothic"/>
                <w:szCs w:val="22"/>
              </w:rPr>
              <w:t>Total Tenant Payment</w:t>
            </w:r>
          </w:p>
        </w:tc>
        <w:tc>
          <w:tcPr>
            <w:tcW w:w="1463" w:type="dxa"/>
          </w:tcPr>
          <w:p w14:paraId="51D6856F" w14:textId="77777777" w:rsidR="00B2304E" w:rsidRPr="001D622B" w:rsidRDefault="00B2304E" w:rsidP="00310FD8">
            <w:pPr>
              <w:rPr>
                <w:rFonts w:ascii="Century Gothic" w:hAnsi="Century Gothic"/>
                <w:szCs w:val="22"/>
              </w:rPr>
            </w:pPr>
            <w:r w:rsidRPr="001D622B">
              <w:rPr>
                <w:rFonts w:ascii="Century Gothic" w:hAnsi="Century Gothic"/>
                <w:szCs w:val="22"/>
              </w:rPr>
              <w:t>24 CFR 5.628</w:t>
            </w:r>
          </w:p>
        </w:tc>
        <w:tc>
          <w:tcPr>
            <w:tcW w:w="3388" w:type="dxa"/>
          </w:tcPr>
          <w:p w14:paraId="32591FD3" w14:textId="76387D77" w:rsidR="00B2304E" w:rsidRPr="001D622B" w:rsidRDefault="00B2304E" w:rsidP="00310FD8">
            <w:pPr>
              <w:rPr>
                <w:rFonts w:ascii="Century Gothic" w:hAnsi="Century Gothic"/>
                <w:szCs w:val="22"/>
              </w:rPr>
            </w:pPr>
            <w:r w:rsidRPr="001D622B">
              <w:rPr>
                <w:rFonts w:ascii="Century Gothic" w:hAnsi="Century Gothic"/>
                <w:szCs w:val="22"/>
              </w:rPr>
              <w:t>(a) Determining total tenant payment (TTP). Total tenant payment is the highest of the following amounts, rounded to the nearest dollar:</w:t>
            </w:r>
          </w:p>
          <w:p w14:paraId="2026BA98"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    (1) 30 percent of the family's monthly adjusted </w:t>
            </w:r>
            <w:proofErr w:type="gramStart"/>
            <w:r w:rsidRPr="001D622B">
              <w:rPr>
                <w:rFonts w:ascii="Century Gothic" w:hAnsi="Century Gothic"/>
                <w:szCs w:val="22"/>
              </w:rPr>
              <w:t>income;</w:t>
            </w:r>
            <w:proofErr w:type="gramEnd"/>
          </w:p>
          <w:p w14:paraId="08D12400"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    (2) 10 percent of the family's monthly </w:t>
            </w:r>
            <w:proofErr w:type="gramStart"/>
            <w:r w:rsidRPr="001D622B">
              <w:rPr>
                <w:rFonts w:ascii="Century Gothic" w:hAnsi="Century Gothic"/>
                <w:szCs w:val="22"/>
              </w:rPr>
              <w:t>income;</w:t>
            </w:r>
            <w:proofErr w:type="gramEnd"/>
          </w:p>
          <w:p w14:paraId="5A5ED21D"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    (3) If the family is receiving payments for welfare assistance from </w:t>
            </w:r>
          </w:p>
          <w:p w14:paraId="02AF92A2"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a public agency and a part of those payments, adjusted in accordance </w:t>
            </w:r>
          </w:p>
          <w:p w14:paraId="2498FA24"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with the family's actual housing costs, is specifically designated by </w:t>
            </w:r>
          </w:p>
          <w:p w14:paraId="1BC0EDC8"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such agency to meet the family's housing costs, the portion of those </w:t>
            </w:r>
          </w:p>
          <w:p w14:paraId="536ECCB3"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payments which </w:t>
            </w:r>
            <w:proofErr w:type="gramStart"/>
            <w:r w:rsidRPr="001D622B">
              <w:rPr>
                <w:rFonts w:ascii="Century Gothic" w:hAnsi="Century Gothic"/>
                <w:szCs w:val="22"/>
              </w:rPr>
              <w:t>is</w:t>
            </w:r>
            <w:proofErr w:type="gramEnd"/>
            <w:r w:rsidRPr="001D622B">
              <w:rPr>
                <w:rFonts w:ascii="Century Gothic" w:hAnsi="Century Gothic"/>
                <w:szCs w:val="22"/>
              </w:rPr>
              <w:t xml:space="preserve"> so designated; or</w:t>
            </w:r>
          </w:p>
          <w:p w14:paraId="5CAFCDF6" w14:textId="77777777" w:rsidR="00B2304E" w:rsidRPr="001D622B" w:rsidRDefault="00B2304E" w:rsidP="00310FD8">
            <w:pPr>
              <w:rPr>
                <w:rFonts w:ascii="Century Gothic" w:hAnsi="Century Gothic"/>
                <w:szCs w:val="22"/>
              </w:rPr>
            </w:pPr>
            <w:r w:rsidRPr="001D622B">
              <w:rPr>
                <w:rFonts w:ascii="Century Gothic" w:hAnsi="Century Gothic"/>
                <w:szCs w:val="22"/>
              </w:rPr>
              <w:lastRenderedPageBreak/>
              <w:t xml:space="preserve">    (4) The minimum rent, as determined in accordance with Sec. 5.630.</w:t>
            </w:r>
          </w:p>
        </w:tc>
        <w:tc>
          <w:tcPr>
            <w:tcW w:w="3477" w:type="dxa"/>
          </w:tcPr>
          <w:p w14:paraId="5F7D3586" w14:textId="77777777" w:rsidR="00B2304E" w:rsidRPr="001D622B" w:rsidRDefault="00B2304E" w:rsidP="00310FD8">
            <w:pPr>
              <w:rPr>
                <w:rFonts w:ascii="Century Gothic" w:hAnsi="Century Gothic"/>
                <w:szCs w:val="22"/>
              </w:rPr>
            </w:pPr>
            <w:r w:rsidRPr="001D622B">
              <w:rPr>
                <w:rFonts w:ascii="Century Gothic" w:hAnsi="Century Gothic"/>
                <w:szCs w:val="22"/>
              </w:rPr>
              <w:lastRenderedPageBreak/>
              <w:t xml:space="preserve">The Total Tenant Payment (TTP) will be based upon (1) income-tiered TTP structure or the minimum TTP $50 for a family with income of up to $2,500 annually. </w:t>
            </w:r>
          </w:p>
        </w:tc>
      </w:tr>
      <w:tr w:rsidR="00B2304E" w:rsidRPr="006D6566" w14:paraId="5CAB1D4A" w14:textId="77777777" w:rsidTr="3743D8DA">
        <w:trPr>
          <w:trHeight w:val="1231"/>
        </w:trPr>
        <w:tc>
          <w:tcPr>
            <w:tcW w:w="1615" w:type="dxa"/>
          </w:tcPr>
          <w:p w14:paraId="51C8E5B9" w14:textId="77777777" w:rsidR="00B2304E" w:rsidRPr="001D622B" w:rsidRDefault="00B2304E" w:rsidP="00310FD8">
            <w:pPr>
              <w:rPr>
                <w:rFonts w:ascii="Century Gothic" w:hAnsi="Century Gothic"/>
                <w:szCs w:val="22"/>
              </w:rPr>
            </w:pPr>
            <w:r w:rsidRPr="001D622B">
              <w:rPr>
                <w:rFonts w:ascii="Century Gothic" w:hAnsi="Century Gothic"/>
                <w:szCs w:val="22"/>
              </w:rPr>
              <w:t>Hardship Provision for Exceptional Expenses</w:t>
            </w:r>
          </w:p>
        </w:tc>
        <w:tc>
          <w:tcPr>
            <w:tcW w:w="1463" w:type="dxa"/>
          </w:tcPr>
          <w:p w14:paraId="2321D309" w14:textId="77777777" w:rsidR="00B2304E" w:rsidRPr="001D622B" w:rsidRDefault="00B2304E" w:rsidP="00310FD8">
            <w:pPr>
              <w:rPr>
                <w:rFonts w:ascii="Century Gothic" w:hAnsi="Century Gothic"/>
                <w:szCs w:val="22"/>
              </w:rPr>
            </w:pPr>
            <w:r w:rsidRPr="001D622B">
              <w:rPr>
                <w:rFonts w:ascii="Century Gothic" w:hAnsi="Century Gothic"/>
                <w:szCs w:val="22"/>
              </w:rPr>
              <w:t>24 CFR 5.611(2))</w:t>
            </w:r>
          </w:p>
        </w:tc>
        <w:tc>
          <w:tcPr>
            <w:tcW w:w="3388" w:type="dxa"/>
          </w:tcPr>
          <w:p w14:paraId="63A9B82A"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A PHA may adopt additional deductions from annual income. The PHA must establish a written policy for such deductions. </w:t>
            </w:r>
          </w:p>
        </w:tc>
        <w:tc>
          <w:tcPr>
            <w:tcW w:w="3452" w:type="dxa"/>
          </w:tcPr>
          <w:p w14:paraId="010B106F"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A family may be exempt from minimum rent as </w:t>
            </w:r>
            <w:proofErr w:type="gramStart"/>
            <w:r w:rsidRPr="001D622B">
              <w:rPr>
                <w:rFonts w:ascii="Century Gothic" w:hAnsi="Century Gothic"/>
                <w:szCs w:val="22"/>
              </w:rPr>
              <w:t>follows;</w:t>
            </w:r>
            <w:proofErr w:type="gramEnd"/>
          </w:p>
          <w:p w14:paraId="20821864" w14:textId="77777777" w:rsidR="00B2304E" w:rsidRPr="001D622B" w:rsidRDefault="00B2304E" w:rsidP="00310FD8">
            <w:pPr>
              <w:rPr>
                <w:rFonts w:ascii="Century Gothic" w:hAnsi="Century Gothic"/>
                <w:szCs w:val="22"/>
              </w:rPr>
            </w:pPr>
            <w:r w:rsidRPr="001D622B">
              <w:rPr>
                <w:rFonts w:ascii="Century Gothic" w:hAnsi="Century Gothic"/>
                <w:szCs w:val="22"/>
              </w:rPr>
              <w:t>When the family has lost eligibility for or is awaiting an eligibility determination for a Federal, State or local assistance program, including a family that includes a member who is a non-citizen</w:t>
            </w:r>
          </w:p>
          <w:p w14:paraId="39EE724C"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When the family would be evicted because it is unable to pay the minimum rent </w:t>
            </w:r>
          </w:p>
          <w:p w14:paraId="0BA394E8" w14:textId="77777777" w:rsidR="00B2304E" w:rsidRPr="001D622B" w:rsidRDefault="00B2304E" w:rsidP="00310FD8">
            <w:pPr>
              <w:rPr>
                <w:rFonts w:ascii="Century Gothic" w:hAnsi="Century Gothic"/>
                <w:szCs w:val="22"/>
              </w:rPr>
            </w:pPr>
            <w:r w:rsidRPr="001D622B">
              <w:rPr>
                <w:rFonts w:ascii="Century Gothic" w:hAnsi="Century Gothic"/>
                <w:szCs w:val="22"/>
              </w:rPr>
              <w:t>When the income of the family has decreased because of changed circumstances, including loss of employment.</w:t>
            </w:r>
          </w:p>
          <w:p w14:paraId="1D94486C" w14:textId="77777777" w:rsidR="00B2304E" w:rsidRPr="001D622B" w:rsidRDefault="00B2304E" w:rsidP="00310FD8">
            <w:pPr>
              <w:rPr>
                <w:rFonts w:ascii="Century Gothic" w:hAnsi="Century Gothic"/>
                <w:szCs w:val="22"/>
              </w:rPr>
            </w:pPr>
            <w:r w:rsidRPr="001D622B">
              <w:rPr>
                <w:rFonts w:ascii="Century Gothic" w:hAnsi="Century Gothic"/>
                <w:szCs w:val="22"/>
              </w:rPr>
              <w:t xml:space="preserve">Family whose shelter expenses, plus un-reimbursed medical, childcare and disability expenses exceed 40 percent of annual income or </w:t>
            </w:r>
            <w:proofErr w:type="gramStart"/>
            <w:r w:rsidRPr="001D622B">
              <w:rPr>
                <w:rFonts w:ascii="Century Gothic" w:hAnsi="Century Gothic"/>
                <w:szCs w:val="22"/>
              </w:rPr>
              <w:t>whose</w:t>
            </w:r>
            <w:proofErr w:type="gramEnd"/>
            <w:r w:rsidRPr="001D622B">
              <w:rPr>
                <w:rFonts w:ascii="Century Gothic" w:hAnsi="Century Gothic"/>
                <w:szCs w:val="22"/>
              </w:rPr>
              <w:t xml:space="preserve"> medical, childcare or disability expenses of $6,000 or more annually may seek a deduction in rent for exceptional expenses. </w:t>
            </w:r>
          </w:p>
        </w:tc>
      </w:tr>
      <w:tr w:rsidR="00B2304E" w:rsidRPr="006D6566" w14:paraId="63EAAEBF" w14:textId="77777777" w:rsidTr="3743D8DA">
        <w:trPr>
          <w:trHeight w:val="1290"/>
        </w:trPr>
        <w:tc>
          <w:tcPr>
            <w:tcW w:w="1615" w:type="dxa"/>
          </w:tcPr>
          <w:p w14:paraId="2B8F99B8" w14:textId="77777777" w:rsidR="00B2304E" w:rsidRPr="001D622B" w:rsidRDefault="00B2304E" w:rsidP="00310FD8">
            <w:pPr>
              <w:rPr>
                <w:rFonts w:ascii="Century Gothic" w:hAnsi="Century Gothic"/>
                <w:szCs w:val="22"/>
                <w:lang w:val="fr-FR"/>
              </w:rPr>
            </w:pPr>
            <w:r w:rsidRPr="001D622B">
              <w:rPr>
                <w:rFonts w:ascii="Century Gothic" w:hAnsi="Century Gothic"/>
                <w:szCs w:val="22"/>
                <w:lang w:val="fr-FR"/>
              </w:rPr>
              <w:t>Minimum</w:t>
            </w:r>
            <w:r w:rsidRPr="001D622B">
              <w:rPr>
                <w:rFonts w:ascii="Century Gothic" w:hAnsi="Century Gothic"/>
                <w:szCs w:val="22"/>
              </w:rPr>
              <w:t xml:space="preserve"> Rent</w:t>
            </w:r>
          </w:p>
        </w:tc>
        <w:tc>
          <w:tcPr>
            <w:tcW w:w="1463" w:type="dxa"/>
          </w:tcPr>
          <w:p w14:paraId="3F08E8A8" w14:textId="77777777" w:rsidR="00B2304E" w:rsidRPr="001D622B" w:rsidRDefault="00B2304E" w:rsidP="00310FD8">
            <w:pPr>
              <w:rPr>
                <w:rFonts w:ascii="Century Gothic" w:hAnsi="Century Gothic"/>
                <w:szCs w:val="22"/>
                <w:lang w:val="fr-FR"/>
              </w:rPr>
            </w:pPr>
            <w:r w:rsidRPr="001D622B">
              <w:rPr>
                <w:rFonts w:ascii="Century Gothic" w:hAnsi="Century Gothic"/>
                <w:szCs w:val="22"/>
                <w:lang w:val="fr-FR"/>
              </w:rPr>
              <w:t>24 CFR 5.630</w:t>
            </w:r>
          </w:p>
        </w:tc>
        <w:tc>
          <w:tcPr>
            <w:tcW w:w="3388" w:type="dxa"/>
          </w:tcPr>
          <w:p w14:paraId="765CDB80" w14:textId="77777777" w:rsidR="00B2304E" w:rsidRPr="001D622B" w:rsidRDefault="00B2304E" w:rsidP="00310FD8">
            <w:pPr>
              <w:rPr>
                <w:rFonts w:ascii="Century Gothic" w:hAnsi="Century Gothic"/>
                <w:szCs w:val="22"/>
              </w:rPr>
            </w:pPr>
            <w:r w:rsidRPr="001D622B">
              <w:rPr>
                <w:rFonts w:ascii="Century Gothic" w:hAnsi="Century Gothic"/>
                <w:szCs w:val="22"/>
              </w:rPr>
              <w:t>A family may be exempt from minimum rent of $50.00 as follows: (</w:t>
            </w:r>
            <w:r w:rsidR="003A7677" w:rsidRPr="001D622B">
              <w:rPr>
                <w:rFonts w:ascii="Century Gothic" w:hAnsi="Century Gothic"/>
                <w:szCs w:val="22"/>
              </w:rPr>
              <w:t>I</w:t>
            </w:r>
            <w:r w:rsidRPr="001D622B">
              <w:rPr>
                <w:rFonts w:ascii="Century Gothic" w:hAnsi="Century Gothic"/>
                <w:szCs w:val="22"/>
              </w:rPr>
              <w:t xml:space="preserve">) When the family has lost eligibility for or is awaiting an eligibility determination for a Federal, State, or local assistance </w:t>
            </w:r>
          </w:p>
          <w:p w14:paraId="166A285E" w14:textId="77777777" w:rsidR="00B2304E" w:rsidRPr="002768AF" w:rsidRDefault="00B2304E" w:rsidP="00310FD8">
            <w:pPr>
              <w:rPr>
                <w:rFonts w:ascii="Century Gothic" w:hAnsi="Century Gothic"/>
                <w:szCs w:val="22"/>
              </w:rPr>
            </w:pPr>
            <w:r w:rsidRPr="001D622B">
              <w:rPr>
                <w:rFonts w:ascii="Century Gothic" w:hAnsi="Century Gothic"/>
                <w:szCs w:val="22"/>
              </w:rPr>
              <w:t xml:space="preserve">program, including a family that includes a member who is a non-citizen; (ii) When the family would be evicted because it is unable to pay the minimum rent; (iii) When the income of the family has decreased because of changed circumstances; (iv) a death has occurred in the </w:t>
            </w:r>
            <w:r w:rsidRPr="001D622B">
              <w:rPr>
                <w:rFonts w:ascii="Century Gothic" w:hAnsi="Century Gothic"/>
                <w:szCs w:val="22"/>
              </w:rPr>
              <w:lastRenderedPageBreak/>
              <w:t>family’s household; (v) any other circumstances to be considered by the PHA to be reason to waive the minimum rent requirement.</w:t>
            </w:r>
          </w:p>
        </w:tc>
        <w:tc>
          <w:tcPr>
            <w:tcW w:w="3477" w:type="dxa"/>
          </w:tcPr>
          <w:p w14:paraId="05E31A54" w14:textId="60AF759A" w:rsidR="00B2304E" w:rsidRPr="001D622B" w:rsidRDefault="00B2304E" w:rsidP="00310FD8">
            <w:pPr>
              <w:rPr>
                <w:rFonts w:ascii="Century Gothic" w:hAnsi="Century Gothic"/>
                <w:szCs w:val="22"/>
              </w:rPr>
            </w:pPr>
            <w:r w:rsidRPr="001D622B">
              <w:rPr>
                <w:rFonts w:ascii="Century Gothic" w:hAnsi="Century Gothic"/>
                <w:szCs w:val="22"/>
              </w:rPr>
              <w:lastRenderedPageBreak/>
              <w:t xml:space="preserve">A family may only receive one hardship exemption from the minimum rent requirement during a </w:t>
            </w:r>
            <w:r w:rsidR="00C90CAF" w:rsidRPr="001D622B">
              <w:rPr>
                <w:rFonts w:ascii="Century Gothic" w:hAnsi="Century Gothic"/>
                <w:szCs w:val="22"/>
              </w:rPr>
              <w:t>twelve-month</w:t>
            </w:r>
            <w:r w:rsidRPr="001D622B">
              <w:rPr>
                <w:rFonts w:ascii="Century Gothic" w:hAnsi="Century Gothic"/>
                <w:szCs w:val="22"/>
              </w:rPr>
              <w:t xml:space="preserve"> period, unless a tenant is elderly, disabled, or is enrolled in ECC/HANH’s Family Self Sufficiency Program. The minimum rent requirement may be waived more than once during a </w:t>
            </w:r>
            <w:r w:rsidR="00C90CAF" w:rsidRPr="001D622B">
              <w:rPr>
                <w:rFonts w:ascii="Century Gothic" w:hAnsi="Century Gothic"/>
                <w:szCs w:val="22"/>
              </w:rPr>
              <w:t>twelve-month</w:t>
            </w:r>
            <w:r w:rsidRPr="001D622B">
              <w:rPr>
                <w:rFonts w:ascii="Century Gothic" w:hAnsi="Century Gothic"/>
                <w:szCs w:val="22"/>
              </w:rPr>
              <w:t xml:space="preserve"> period if at least one adult member of the household enrolls in the Family Self Sufficiency Program (the "FSS Program").  Elderly and disabled families are not </w:t>
            </w:r>
            <w:r w:rsidRPr="001D622B">
              <w:rPr>
                <w:rFonts w:ascii="Century Gothic" w:hAnsi="Century Gothic"/>
                <w:szCs w:val="22"/>
              </w:rPr>
              <w:lastRenderedPageBreak/>
              <w:t xml:space="preserve">required to enroll in the FSS Program. </w:t>
            </w:r>
          </w:p>
          <w:p w14:paraId="7475BD43" w14:textId="77777777" w:rsidR="00B2304E" w:rsidRPr="001D622B" w:rsidRDefault="00B2304E" w:rsidP="00310FD8">
            <w:pPr>
              <w:rPr>
                <w:rFonts w:ascii="Century Gothic" w:hAnsi="Century Gothic"/>
                <w:szCs w:val="22"/>
              </w:rPr>
            </w:pPr>
          </w:p>
        </w:tc>
      </w:tr>
      <w:tr w:rsidR="00B2304E" w:rsidRPr="006D6566" w14:paraId="2E0CB9D8" w14:textId="77777777" w:rsidTr="3743D8DA">
        <w:tc>
          <w:tcPr>
            <w:tcW w:w="1615" w:type="dxa"/>
          </w:tcPr>
          <w:p w14:paraId="3D3EB585" w14:textId="77777777" w:rsidR="00B2304E" w:rsidRPr="00024652" w:rsidRDefault="00B2304E" w:rsidP="00310FD8">
            <w:pPr>
              <w:rPr>
                <w:rFonts w:ascii="Century Gothic" w:hAnsi="Century Gothic"/>
                <w:szCs w:val="22"/>
              </w:rPr>
            </w:pPr>
            <w:r w:rsidRPr="00024652">
              <w:rPr>
                <w:rFonts w:ascii="Century Gothic" w:hAnsi="Century Gothic"/>
                <w:szCs w:val="22"/>
              </w:rPr>
              <w:lastRenderedPageBreak/>
              <w:t>Utility Allowances and Reimbursements</w:t>
            </w:r>
          </w:p>
        </w:tc>
        <w:tc>
          <w:tcPr>
            <w:tcW w:w="1463" w:type="dxa"/>
          </w:tcPr>
          <w:p w14:paraId="29C68AE1" w14:textId="77777777" w:rsidR="00B2304E" w:rsidRPr="00024652" w:rsidRDefault="00B2304E" w:rsidP="00310FD8">
            <w:pPr>
              <w:rPr>
                <w:rFonts w:ascii="Century Gothic" w:hAnsi="Century Gothic"/>
                <w:szCs w:val="22"/>
              </w:rPr>
            </w:pPr>
            <w:r w:rsidRPr="00024652">
              <w:rPr>
                <w:rFonts w:ascii="Century Gothic" w:hAnsi="Century Gothic"/>
                <w:szCs w:val="22"/>
              </w:rPr>
              <w:t>24 CFR 5.632(a) and (b)</w:t>
            </w:r>
          </w:p>
        </w:tc>
        <w:tc>
          <w:tcPr>
            <w:tcW w:w="3388" w:type="dxa"/>
          </w:tcPr>
          <w:p w14:paraId="40CAB23B" w14:textId="77777777" w:rsidR="00B2304E" w:rsidRPr="00024652" w:rsidRDefault="00B2304E" w:rsidP="00310FD8">
            <w:pPr>
              <w:rPr>
                <w:rFonts w:ascii="Century Gothic" w:hAnsi="Century Gothic"/>
                <w:szCs w:val="22"/>
              </w:rPr>
            </w:pPr>
            <w:r w:rsidRPr="00024652">
              <w:rPr>
                <w:rFonts w:ascii="Century Gothic" w:hAnsi="Century Gothic"/>
                <w:szCs w:val="22"/>
              </w:rPr>
              <w:t>Tenant Paid Utilities to be deducted from TTP to determine tenant rent.</w:t>
            </w:r>
          </w:p>
        </w:tc>
        <w:tc>
          <w:tcPr>
            <w:tcW w:w="3477" w:type="dxa"/>
          </w:tcPr>
          <w:p w14:paraId="3B2448C4" w14:textId="53970516" w:rsidR="00B2304E" w:rsidRPr="00024652" w:rsidRDefault="00B2304E" w:rsidP="00310FD8">
            <w:pPr>
              <w:rPr>
                <w:rFonts w:ascii="Century Gothic" w:hAnsi="Century Gothic"/>
                <w:szCs w:val="22"/>
              </w:rPr>
            </w:pPr>
            <w:r w:rsidRPr="00024652">
              <w:rPr>
                <w:rFonts w:ascii="Century Gothic" w:hAnsi="Century Gothic"/>
                <w:szCs w:val="22"/>
              </w:rPr>
              <w:t>No</w:t>
            </w:r>
            <w:r w:rsidR="0055544B">
              <w:rPr>
                <w:rFonts w:ascii="Century Gothic" w:hAnsi="Century Gothic"/>
                <w:szCs w:val="22"/>
              </w:rPr>
              <w:t xml:space="preserve"> c</w:t>
            </w:r>
            <w:r w:rsidRPr="00024652">
              <w:rPr>
                <w:rFonts w:ascii="Century Gothic" w:hAnsi="Century Gothic"/>
                <w:szCs w:val="22"/>
              </w:rPr>
              <w:t xml:space="preserve">hange. ECC/HANH will </w:t>
            </w:r>
            <w:r w:rsidR="0055544B" w:rsidRPr="00024652">
              <w:rPr>
                <w:rFonts w:ascii="Century Gothic" w:hAnsi="Century Gothic"/>
                <w:szCs w:val="22"/>
              </w:rPr>
              <w:t>pay for</w:t>
            </w:r>
            <w:r w:rsidRPr="00024652">
              <w:rPr>
                <w:rFonts w:ascii="Century Gothic" w:hAnsi="Century Gothic"/>
                <w:szCs w:val="22"/>
              </w:rPr>
              <w:t xml:space="preserve"> all utilities except for electricity at Westville Manor, Fairmont Heights, </w:t>
            </w:r>
            <w:r w:rsidR="003A7677" w:rsidRPr="00024652">
              <w:rPr>
                <w:rFonts w:ascii="Century Gothic" w:hAnsi="Century Gothic"/>
                <w:szCs w:val="22"/>
              </w:rPr>
              <w:t>McConaughey</w:t>
            </w:r>
            <w:r w:rsidRPr="00024652">
              <w:rPr>
                <w:rFonts w:ascii="Century Gothic" w:hAnsi="Century Gothic"/>
                <w:szCs w:val="22"/>
              </w:rPr>
              <w:t xml:space="preserve"> Terrace and all Scattered Site properties.</w:t>
            </w:r>
          </w:p>
          <w:p w14:paraId="7A085E0B" w14:textId="77777777" w:rsidR="00B2304E" w:rsidRPr="00024652" w:rsidRDefault="00B2304E" w:rsidP="00310FD8">
            <w:pPr>
              <w:rPr>
                <w:rFonts w:ascii="Century Gothic" w:hAnsi="Century Gothic"/>
                <w:szCs w:val="22"/>
              </w:rPr>
            </w:pPr>
          </w:p>
        </w:tc>
      </w:tr>
      <w:tr w:rsidR="00B2304E" w:rsidRPr="006D6566" w14:paraId="66381AE1" w14:textId="77777777" w:rsidTr="3743D8DA">
        <w:trPr>
          <w:trHeight w:val="1290"/>
        </w:trPr>
        <w:tc>
          <w:tcPr>
            <w:tcW w:w="1615" w:type="dxa"/>
          </w:tcPr>
          <w:p w14:paraId="39425209" w14:textId="77777777" w:rsidR="00B2304E" w:rsidRPr="00024652" w:rsidRDefault="00B2304E" w:rsidP="00310FD8">
            <w:pPr>
              <w:rPr>
                <w:rFonts w:ascii="Century Gothic" w:hAnsi="Century Gothic"/>
                <w:szCs w:val="22"/>
              </w:rPr>
            </w:pPr>
            <w:r w:rsidRPr="00024652">
              <w:rPr>
                <w:rFonts w:ascii="Century Gothic" w:hAnsi="Century Gothic"/>
                <w:szCs w:val="22"/>
              </w:rPr>
              <w:t>Annual Reexamination of Income and Family Composition</w:t>
            </w:r>
          </w:p>
        </w:tc>
        <w:tc>
          <w:tcPr>
            <w:tcW w:w="1463" w:type="dxa"/>
          </w:tcPr>
          <w:p w14:paraId="4051F072" w14:textId="77777777" w:rsidR="00B2304E" w:rsidRPr="00024652" w:rsidRDefault="00B2304E" w:rsidP="00310FD8">
            <w:pPr>
              <w:rPr>
                <w:rFonts w:ascii="Century Gothic" w:hAnsi="Century Gothic"/>
                <w:szCs w:val="22"/>
              </w:rPr>
            </w:pPr>
            <w:r w:rsidRPr="00024652">
              <w:rPr>
                <w:rFonts w:ascii="Century Gothic" w:hAnsi="Century Gothic"/>
                <w:szCs w:val="22"/>
              </w:rPr>
              <w:t>24 CFR 960 Part 257</w:t>
            </w:r>
          </w:p>
        </w:tc>
        <w:tc>
          <w:tcPr>
            <w:tcW w:w="3388" w:type="dxa"/>
          </w:tcPr>
          <w:p w14:paraId="228222B4" w14:textId="77777777" w:rsidR="00B2304E" w:rsidRPr="00024652" w:rsidRDefault="00B2304E" w:rsidP="00310FD8">
            <w:pPr>
              <w:rPr>
                <w:rFonts w:ascii="Century Gothic" w:hAnsi="Century Gothic"/>
                <w:szCs w:val="22"/>
              </w:rPr>
            </w:pPr>
            <w:r w:rsidRPr="00024652">
              <w:rPr>
                <w:rFonts w:ascii="Century Gothic" w:hAnsi="Century Gothic"/>
                <w:szCs w:val="22"/>
              </w:rPr>
              <w:t>Reexamination of income must occur every year, except every two years for elderly or disabled households.</w:t>
            </w:r>
          </w:p>
        </w:tc>
        <w:tc>
          <w:tcPr>
            <w:tcW w:w="3477" w:type="dxa"/>
          </w:tcPr>
          <w:p w14:paraId="757A0C55" w14:textId="70CF4752" w:rsidR="00B2304E" w:rsidRPr="00024652" w:rsidRDefault="00B2304E" w:rsidP="00310FD8">
            <w:pPr>
              <w:rPr>
                <w:rFonts w:ascii="Century Gothic" w:hAnsi="Century Gothic"/>
                <w:szCs w:val="22"/>
              </w:rPr>
            </w:pPr>
            <w:r w:rsidRPr="00024652">
              <w:rPr>
                <w:rFonts w:ascii="Century Gothic" w:hAnsi="Century Gothic"/>
                <w:szCs w:val="22"/>
              </w:rPr>
              <w:t xml:space="preserve">Reexamination of income will occur every three years for Elderly and Disabled families and every two years for all other families. Annual update of changes in family composition for </w:t>
            </w:r>
            <w:proofErr w:type="gramStart"/>
            <w:r w:rsidRPr="00024652">
              <w:rPr>
                <w:rFonts w:ascii="Century Gothic" w:hAnsi="Century Gothic"/>
                <w:szCs w:val="22"/>
              </w:rPr>
              <w:t>persons</w:t>
            </w:r>
            <w:proofErr w:type="gramEnd"/>
            <w:r w:rsidRPr="00024652">
              <w:rPr>
                <w:rFonts w:ascii="Century Gothic" w:hAnsi="Century Gothic"/>
                <w:szCs w:val="22"/>
              </w:rPr>
              <w:t xml:space="preserve"> 18 years of age and older that are added or subtracted from the family. ECC/HANH will do UIV and submit a 50058 annually. </w:t>
            </w:r>
            <w:r w:rsidR="00491A91" w:rsidRPr="00024652">
              <w:rPr>
                <w:rFonts w:ascii="Century Gothic" w:hAnsi="Century Gothic"/>
                <w:szCs w:val="22"/>
              </w:rPr>
              <w:t>Additionally,</w:t>
            </w:r>
            <w:r w:rsidRPr="00024652">
              <w:rPr>
                <w:rFonts w:ascii="Century Gothic" w:hAnsi="Century Gothic"/>
                <w:szCs w:val="22"/>
              </w:rPr>
              <w:t xml:space="preserve"> the Community Service requirement will be reviewed annually for all household members who are not disabled, working less than 20 hours per week or enrolled in classes under the FSS program.  </w:t>
            </w:r>
          </w:p>
        </w:tc>
      </w:tr>
      <w:tr w:rsidR="00B2304E" w:rsidRPr="006D6566" w14:paraId="6A2F5212" w14:textId="77777777" w:rsidTr="3743D8DA">
        <w:trPr>
          <w:trHeight w:val="1682"/>
        </w:trPr>
        <w:tc>
          <w:tcPr>
            <w:tcW w:w="1615" w:type="dxa"/>
          </w:tcPr>
          <w:p w14:paraId="116C0946" w14:textId="77777777" w:rsidR="00B2304E" w:rsidRPr="00024652" w:rsidRDefault="00B2304E" w:rsidP="00310FD8">
            <w:pPr>
              <w:rPr>
                <w:rFonts w:ascii="Century Gothic" w:hAnsi="Century Gothic"/>
                <w:szCs w:val="22"/>
              </w:rPr>
            </w:pPr>
            <w:r w:rsidRPr="00024652">
              <w:rPr>
                <w:rFonts w:ascii="Century Gothic" w:hAnsi="Century Gothic"/>
                <w:szCs w:val="22"/>
              </w:rPr>
              <w:t>Interim Reexamination</w:t>
            </w:r>
          </w:p>
        </w:tc>
        <w:tc>
          <w:tcPr>
            <w:tcW w:w="1463" w:type="dxa"/>
          </w:tcPr>
          <w:p w14:paraId="78AC8C9B" w14:textId="77777777" w:rsidR="00B2304E" w:rsidRPr="00024652" w:rsidRDefault="00B2304E" w:rsidP="00310FD8">
            <w:pPr>
              <w:rPr>
                <w:rFonts w:ascii="Century Gothic" w:hAnsi="Century Gothic"/>
                <w:szCs w:val="22"/>
              </w:rPr>
            </w:pPr>
            <w:r w:rsidRPr="00024652">
              <w:rPr>
                <w:rFonts w:ascii="Century Gothic" w:hAnsi="Century Gothic"/>
                <w:szCs w:val="22"/>
              </w:rPr>
              <w:t>24 CFR 960 Part 257</w:t>
            </w:r>
          </w:p>
        </w:tc>
        <w:tc>
          <w:tcPr>
            <w:tcW w:w="3388" w:type="dxa"/>
          </w:tcPr>
          <w:p w14:paraId="0E9B0FC5" w14:textId="77777777" w:rsidR="00B2304E" w:rsidRPr="00024652" w:rsidRDefault="00B2304E" w:rsidP="00310FD8">
            <w:pPr>
              <w:rPr>
                <w:rFonts w:ascii="Century Gothic" w:hAnsi="Century Gothic"/>
                <w:szCs w:val="22"/>
              </w:rPr>
            </w:pPr>
            <w:r w:rsidRPr="00024652">
              <w:rPr>
                <w:rFonts w:ascii="Century Gothic" w:hAnsi="Century Gothic"/>
                <w:szCs w:val="22"/>
              </w:rPr>
              <w:t xml:space="preserve">A family may request an interim </w:t>
            </w:r>
          </w:p>
          <w:p w14:paraId="6DB8BCF9" w14:textId="77777777" w:rsidR="00B2304E" w:rsidRPr="00024652" w:rsidRDefault="00B2304E" w:rsidP="00310FD8">
            <w:pPr>
              <w:rPr>
                <w:rFonts w:ascii="Century Gothic" w:hAnsi="Century Gothic"/>
                <w:szCs w:val="22"/>
              </w:rPr>
            </w:pPr>
            <w:r w:rsidRPr="00024652">
              <w:rPr>
                <w:rFonts w:ascii="Century Gothic" w:hAnsi="Century Gothic"/>
                <w:szCs w:val="22"/>
              </w:rPr>
              <w:t xml:space="preserve">reexamination of family income because of any changes since the last </w:t>
            </w:r>
          </w:p>
          <w:p w14:paraId="63369670" w14:textId="77777777" w:rsidR="00B2304E" w:rsidRPr="00024652" w:rsidRDefault="00B2304E" w:rsidP="00310FD8">
            <w:pPr>
              <w:rPr>
                <w:rFonts w:ascii="Century Gothic" w:hAnsi="Century Gothic"/>
                <w:szCs w:val="22"/>
              </w:rPr>
            </w:pPr>
            <w:r w:rsidRPr="00024652">
              <w:rPr>
                <w:rFonts w:ascii="Century Gothic" w:hAnsi="Century Gothic"/>
                <w:szCs w:val="22"/>
              </w:rPr>
              <w:t xml:space="preserve">examination. The owner must make the interim reexamination within a </w:t>
            </w:r>
          </w:p>
          <w:p w14:paraId="40363BCD" w14:textId="77777777" w:rsidR="00B2304E" w:rsidRPr="00024652" w:rsidRDefault="00B2304E" w:rsidP="00310FD8">
            <w:pPr>
              <w:rPr>
                <w:rFonts w:ascii="Century Gothic" w:hAnsi="Century Gothic"/>
                <w:szCs w:val="22"/>
              </w:rPr>
            </w:pPr>
            <w:r w:rsidRPr="00024652">
              <w:rPr>
                <w:rFonts w:ascii="Century Gothic" w:hAnsi="Century Gothic"/>
                <w:szCs w:val="22"/>
              </w:rPr>
              <w:t>reasonable time after the family request. Currently, family must report any change in income that amounts to $200 or more a month.</w:t>
            </w:r>
          </w:p>
        </w:tc>
        <w:tc>
          <w:tcPr>
            <w:tcW w:w="3477" w:type="dxa"/>
          </w:tcPr>
          <w:p w14:paraId="7BA0FDA3" w14:textId="77777777" w:rsidR="00B2304E" w:rsidRPr="00024652" w:rsidRDefault="00B2304E" w:rsidP="00310FD8">
            <w:pPr>
              <w:rPr>
                <w:rFonts w:ascii="Century Gothic" w:hAnsi="Century Gothic"/>
                <w:szCs w:val="22"/>
              </w:rPr>
            </w:pPr>
            <w:r w:rsidRPr="00024652">
              <w:rPr>
                <w:rFonts w:ascii="Century Gothic" w:hAnsi="Century Gothic"/>
                <w:szCs w:val="22"/>
              </w:rPr>
              <w:t xml:space="preserve">A family can request only three interim re-examinations each 12 months with the exceptions of those conditions where they are required to report certain changes in family composition or certain changes in family income. A family, except for elderly or disabled or a family enrolled in FSS may make </w:t>
            </w:r>
            <w:r w:rsidRPr="00024652">
              <w:rPr>
                <w:rFonts w:ascii="Century Gothic" w:hAnsi="Century Gothic"/>
                <w:b/>
                <w:szCs w:val="22"/>
              </w:rPr>
              <w:t>one</w:t>
            </w:r>
            <w:r w:rsidRPr="00024652">
              <w:rPr>
                <w:rFonts w:ascii="Century Gothic" w:hAnsi="Century Gothic"/>
                <w:szCs w:val="22"/>
              </w:rPr>
              <w:t xml:space="preserve"> request for an </w:t>
            </w:r>
            <w:r w:rsidRPr="00024652">
              <w:rPr>
                <w:rFonts w:ascii="Century Gothic" w:hAnsi="Century Gothic"/>
                <w:b/>
                <w:szCs w:val="22"/>
              </w:rPr>
              <w:t>interim</w:t>
            </w:r>
            <w:r w:rsidRPr="00024652">
              <w:rPr>
                <w:rFonts w:ascii="Century Gothic" w:hAnsi="Century Gothic"/>
                <w:szCs w:val="22"/>
              </w:rPr>
              <w:t xml:space="preserve"> for a hardship exemption each 12 months.</w:t>
            </w:r>
          </w:p>
        </w:tc>
      </w:tr>
      <w:tr w:rsidR="00B2304E" w:rsidRPr="006D6566" w14:paraId="6CF1025D" w14:textId="77777777" w:rsidTr="3743D8DA">
        <w:trPr>
          <w:trHeight w:val="1035"/>
        </w:trPr>
        <w:tc>
          <w:tcPr>
            <w:tcW w:w="1615" w:type="dxa"/>
          </w:tcPr>
          <w:p w14:paraId="346C601F" w14:textId="77777777" w:rsidR="00B2304E" w:rsidRPr="00C50181" w:rsidRDefault="00B2304E" w:rsidP="00310FD8">
            <w:pPr>
              <w:rPr>
                <w:rFonts w:ascii="Century Gothic" w:hAnsi="Century Gothic"/>
                <w:szCs w:val="22"/>
              </w:rPr>
            </w:pPr>
            <w:r w:rsidRPr="00C50181">
              <w:rPr>
                <w:rFonts w:ascii="Century Gothic" w:hAnsi="Century Gothic"/>
                <w:szCs w:val="22"/>
              </w:rPr>
              <w:lastRenderedPageBreak/>
              <w:t xml:space="preserve">Verification of Wages, Salaries and Assets below $5,000 and Assets below $50,000 </w:t>
            </w:r>
          </w:p>
        </w:tc>
        <w:tc>
          <w:tcPr>
            <w:tcW w:w="1463" w:type="dxa"/>
          </w:tcPr>
          <w:p w14:paraId="3CB04819" w14:textId="77777777" w:rsidR="00B2304E" w:rsidRPr="00C50181" w:rsidRDefault="00B2304E" w:rsidP="00310FD8">
            <w:pPr>
              <w:rPr>
                <w:rFonts w:ascii="Century Gothic" w:hAnsi="Century Gothic"/>
                <w:szCs w:val="22"/>
              </w:rPr>
            </w:pPr>
            <w:r w:rsidRPr="00C50181">
              <w:rPr>
                <w:rFonts w:ascii="Century Gothic" w:hAnsi="Century Gothic"/>
                <w:szCs w:val="22"/>
              </w:rPr>
              <w:t>24 CFR 5.659</w:t>
            </w:r>
          </w:p>
        </w:tc>
        <w:tc>
          <w:tcPr>
            <w:tcW w:w="3388" w:type="dxa"/>
          </w:tcPr>
          <w:p w14:paraId="51CAC1D2" w14:textId="77777777" w:rsidR="00B2304E" w:rsidRPr="00C50181" w:rsidRDefault="00B2304E" w:rsidP="00310FD8">
            <w:pPr>
              <w:rPr>
                <w:rFonts w:ascii="Century Gothic" w:hAnsi="Century Gothic"/>
                <w:szCs w:val="22"/>
              </w:rPr>
            </w:pPr>
            <w:r w:rsidRPr="00C50181">
              <w:rPr>
                <w:rFonts w:ascii="Century Gothic" w:hAnsi="Century Gothic"/>
                <w:szCs w:val="22"/>
              </w:rPr>
              <w:t xml:space="preserve">The owner must obtain and </w:t>
            </w:r>
          </w:p>
          <w:p w14:paraId="6A7A6DDA" w14:textId="1A24A880" w:rsidR="00B2304E" w:rsidRPr="00C50181" w:rsidRDefault="00B2304E" w:rsidP="00310FD8">
            <w:pPr>
              <w:rPr>
                <w:rFonts w:ascii="Century Gothic" w:hAnsi="Century Gothic"/>
                <w:szCs w:val="22"/>
              </w:rPr>
            </w:pPr>
            <w:r w:rsidRPr="00C50181">
              <w:rPr>
                <w:rFonts w:ascii="Century Gothic" w:hAnsi="Century Gothic"/>
                <w:szCs w:val="22"/>
              </w:rPr>
              <w:t xml:space="preserve">document in the family’s file third party verification of the following </w:t>
            </w:r>
            <w:r w:rsidR="00272BC4" w:rsidRPr="00C50181">
              <w:rPr>
                <w:rFonts w:ascii="Century Gothic" w:hAnsi="Century Gothic"/>
                <w:szCs w:val="22"/>
              </w:rPr>
              <w:t>factors or</w:t>
            </w:r>
            <w:r w:rsidRPr="00C50181">
              <w:rPr>
                <w:rFonts w:ascii="Century Gothic" w:hAnsi="Century Gothic"/>
                <w:szCs w:val="22"/>
              </w:rPr>
              <w:t xml:space="preserve"> must document in the file why </w:t>
            </w:r>
            <w:r w:rsidR="00272BC4" w:rsidRPr="00C50181">
              <w:rPr>
                <w:rFonts w:ascii="Century Gothic" w:hAnsi="Century Gothic"/>
                <w:szCs w:val="22"/>
              </w:rPr>
              <w:t>third-party</w:t>
            </w:r>
            <w:r w:rsidRPr="00C50181">
              <w:rPr>
                <w:rFonts w:ascii="Century Gothic" w:hAnsi="Century Gothic"/>
                <w:szCs w:val="22"/>
              </w:rPr>
              <w:t xml:space="preserve"> verification was not available :(1) Reported family annual income; (2) The value of assets; (3) Expenses related to deductions from annual income; and (4) Other factors that affect the determination of adjusted income.</w:t>
            </w:r>
          </w:p>
        </w:tc>
        <w:tc>
          <w:tcPr>
            <w:tcW w:w="3477" w:type="dxa"/>
          </w:tcPr>
          <w:p w14:paraId="75D538DB" w14:textId="77777777" w:rsidR="00B2304E" w:rsidRPr="00C50181" w:rsidRDefault="00B2304E" w:rsidP="00310FD8">
            <w:pPr>
              <w:rPr>
                <w:rFonts w:ascii="Century Gothic" w:hAnsi="Century Gothic"/>
                <w:szCs w:val="22"/>
              </w:rPr>
            </w:pPr>
            <w:r w:rsidRPr="00C50181">
              <w:rPr>
                <w:rFonts w:ascii="Century Gothic" w:hAnsi="Century Gothic"/>
                <w:szCs w:val="22"/>
              </w:rPr>
              <w:t xml:space="preserve">Only </w:t>
            </w:r>
            <w:proofErr w:type="gramStart"/>
            <w:r w:rsidRPr="00C50181">
              <w:rPr>
                <w:rFonts w:ascii="Century Gothic" w:hAnsi="Century Gothic"/>
                <w:szCs w:val="22"/>
              </w:rPr>
              <w:t>a self</w:t>
            </w:r>
            <w:proofErr w:type="gramEnd"/>
            <w:r w:rsidRPr="00C50181">
              <w:rPr>
                <w:rFonts w:ascii="Century Gothic" w:hAnsi="Century Gothic"/>
                <w:szCs w:val="22"/>
              </w:rPr>
              <w:t>-certification will be required for income up to and including $5,000.00. For income above $5,000.00 two most recent pay stubs or a W-2 or 1099 dated within 90 days of effective date of re-examination.  ECC/HANH will continue to conduct EIV or UIV.</w:t>
            </w:r>
          </w:p>
          <w:p w14:paraId="0FF322A5" w14:textId="77777777" w:rsidR="00B2304E" w:rsidRPr="00C50181" w:rsidRDefault="00B2304E" w:rsidP="00310FD8">
            <w:pPr>
              <w:rPr>
                <w:rFonts w:ascii="Century Gothic" w:hAnsi="Century Gothic"/>
                <w:szCs w:val="22"/>
              </w:rPr>
            </w:pPr>
          </w:p>
          <w:p w14:paraId="7D84DBCB" w14:textId="2729EC3C" w:rsidR="00B2304E" w:rsidRPr="00C50181" w:rsidRDefault="00B2304E" w:rsidP="00310FD8">
            <w:pPr>
              <w:rPr>
                <w:rFonts w:ascii="Century Gothic" w:hAnsi="Century Gothic"/>
                <w:szCs w:val="22"/>
              </w:rPr>
            </w:pPr>
            <w:r w:rsidRPr="00C50181">
              <w:rPr>
                <w:rFonts w:ascii="Century Gothic" w:hAnsi="Century Gothic"/>
                <w:szCs w:val="22"/>
              </w:rPr>
              <w:t xml:space="preserve">Asset exclusion is raised to $50,000.00 and only </w:t>
            </w:r>
            <w:r w:rsidR="003A7677" w:rsidRPr="00C50181">
              <w:rPr>
                <w:rFonts w:ascii="Century Gothic" w:hAnsi="Century Gothic"/>
                <w:szCs w:val="22"/>
              </w:rPr>
              <w:t>self-certification</w:t>
            </w:r>
            <w:r w:rsidRPr="00C50181">
              <w:rPr>
                <w:rFonts w:ascii="Century Gothic" w:hAnsi="Century Gothic"/>
                <w:szCs w:val="22"/>
              </w:rPr>
              <w:t xml:space="preserve"> will be required.  </w:t>
            </w:r>
          </w:p>
        </w:tc>
      </w:tr>
      <w:tr w:rsidR="00B2304E" w:rsidRPr="006D6566" w14:paraId="57E63A4F" w14:textId="77777777" w:rsidTr="3743D8DA">
        <w:trPr>
          <w:trHeight w:val="1412"/>
        </w:trPr>
        <w:tc>
          <w:tcPr>
            <w:tcW w:w="1615" w:type="dxa"/>
          </w:tcPr>
          <w:p w14:paraId="74F4A14B" w14:textId="77777777" w:rsidR="00B2304E" w:rsidRPr="00C50181" w:rsidRDefault="00B2304E" w:rsidP="00310FD8">
            <w:pPr>
              <w:rPr>
                <w:rFonts w:ascii="Century Gothic" w:hAnsi="Century Gothic"/>
                <w:szCs w:val="22"/>
              </w:rPr>
            </w:pPr>
            <w:r w:rsidRPr="00C50181">
              <w:rPr>
                <w:rFonts w:ascii="Century Gothic" w:hAnsi="Century Gothic"/>
                <w:szCs w:val="22"/>
              </w:rPr>
              <w:t>Determination of Tenant Total Payment (TTP)</w:t>
            </w:r>
          </w:p>
        </w:tc>
        <w:tc>
          <w:tcPr>
            <w:tcW w:w="1463" w:type="dxa"/>
          </w:tcPr>
          <w:p w14:paraId="67DCAFA8" w14:textId="77777777" w:rsidR="00B2304E" w:rsidRPr="00C50181" w:rsidRDefault="00B2304E" w:rsidP="00310FD8">
            <w:pPr>
              <w:rPr>
                <w:rFonts w:ascii="Century Gothic" w:hAnsi="Century Gothic"/>
                <w:szCs w:val="22"/>
              </w:rPr>
            </w:pPr>
            <w:r w:rsidRPr="00C50181">
              <w:rPr>
                <w:rFonts w:ascii="Century Gothic" w:hAnsi="Century Gothic"/>
                <w:szCs w:val="22"/>
              </w:rPr>
              <w:t>24 CFR 5.628</w:t>
            </w:r>
          </w:p>
        </w:tc>
        <w:tc>
          <w:tcPr>
            <w:tcW w:w="3388" w:type="dxa"/>
          </w:tcPr>
          <w:p w14:paraId="019B4C15" w14:textId="77777777" w:rsidR="00B2304E" w:rsidRPr="002768AF" w:rsidRDefault="00B2304E" w:rsidP="00B37982">
            <w:pPr>
              <w:rPr>
                <w:rFonts w:ascii="Century Gothic" w:hAnsi="Century Gothic"/>
                <w:szCs w:val="22"/>
              </w:rPr>
            </w:pPr>
            <w:r w:rsidRPr="00C50181">
              <w:rPr>
                <w:rFonts w:ascii="Century Gothic" w:hAnsi="Century Gothic"/>
                <w:szCs w:val="22"/>
              </w:rPr>
              <w:t>a) Determining total tenant payment (TTP). Total tenant payment is the highest of the following amounts, rounded to the nearest dollar:     (1) 30 percent of the family's monthly adjusted income; (2) 10 percent of the family's monthly income; (3) If the family is receiving payments for welfare assistance from a public agency and a part of those payments, adjusted in accordance with the family's actual housing costs, is specifically designated by such agency to meet the family's housing costs, the portion of those payments which is so designated; or (4) The minimum rent</w:t>
            </w:r>
          </w:p>
        </w:tc>
        <w:tc>
          <w:tcPr>
            <w:tcW w:w="3477" w:type="dxa"/>
          </w:tcPr>
          <w:p w14:paraId="7A7D8403" w14:textId="77777777" w:rsidR="00B2304E" w:rsidRPr="00C50181" w:rsidRDefault="00B2304E" w:rsidP="3743D8DA">
            <w:pPr>
              <w:rPr>
                <w:rFonts w:ascii="Century Gothic" w:hAnsi="Century Gothic"/>
                <w:spacing w:val="2"/>
              </w:rPr>
            </w:pPr>
            <w:r w:rsidRPr="00C50181">
              <w:rPr>
                <w:rFonts w:ascii="Century Gothic" w:hAnsi="Century Gothic"/>
              </w:rPr>
              <w:t xml:space="preserve">TTP based upon income-tiered approach. </w:t>
            </w:r>
            <w:r w:rsidRPr="00C50181">
              <w:rPr>
                <w:rFonts w:ascii="Century Gothic" w:hAnsi="Century Gothic"/>
                <w:spacing w:val="2"/>
              </w:rPr>
              <w:t xml:space="preserve">No family shall be subject to an increase in TTP of greater than $25.00 a month during the second year that the family is subject to the Rent Simplification Policy. The increase in TTP during the third year the family is subject to Rent Simplification shall not exceed more than $50 during the third year; $75 a month during the fourth year; and $100 a month above the monthly TTP in the year immediately preceding the implementation of Rent Simplification. The families TTP after the fifth year shall be whatever amount is determined under Rent Simplification. </w:t>
            </w:r>
          </w:p>
          <w:p w14:paraId="533FF6A7" w14:textId="77777777" w:rsidR="00B2304E" w:rsidRPr="00C50181" w:rsidRDefault="00B2304E" w:rsidP="3743D8DA">
            <w:pPr>
              <w:rPr>
                <w:rFonts w:ascii="Century Gothic" w:hAnsi="Century Gothic"/>
              </w:rPr>
            </w:pPr>
            <w:r w:rsidRPr="00C50181">
              <w:rPr>
                <w:rFonts w:ascii="Century Gothic" w:hAnsi="Century Gothic"/>
                <w:spacing w:val="2"/>
              </w:rPr>
              <w:t xml:space="preserve">These limitations on rent increase shall only apply to increases in TTP that result from the imposition of Rent Simplification and not for increases that result from changes in family composition or changes in family income. </w:t>
            </w:r>
          </w:p>
        </w:tc>
      </w:tr>
    </w:tbl>
    <w:p w14:paraId="3657DA24" w14:textId="77777777" w:rsidR="00B2304E" w:rsidRPr="00C50181" w:rsidRDefault="00B2304E" w:rsidP="00B2304E">
      <w:pPr>
        <w:rPr>
          <w:rFonts w:ascii="Century Gothic" w:hAnsi="Century Gothic"/>
          <w:szCs w:val="22"/>
        </w:rPr>
      </w:pPr>
    </w:p>
    <w:p w14:paraId="63587111" w14:textId="77777777" w:rsidR="00B2304E" w:rsidRPr="00C50181" w:rsidRDefault="00B2304E" w:rsidP="00B2304E">
      <w:pPr>
        <w:rPr>
          <w:rFonts w:ascii="Century Gothic" w:hAnsi="Century Gothic"/>
          <w:szCs w:val="22"/>
        </w:rPr>
      </w:pPr>
    </w:p>
    <w:p w14:paraId="5F7B4E47" w14:textId="5674F276" w:rsidR="00E50131" w:rsidRPr="00C872D3" w:rsidRDefault="00E50131" w:rsidP="00E50131">
      <w:pPr>
        <w:pStyle w:val="MTWHeader2"/>
        <w:rPr>
          <w:rFonts w:ascii="Century Gothic" w:eastAsia="Times New Roman" w:hAnsi="Century Gothic" w:cs="Times New Roman"/>
          <w:sz w:val="22"/>
          <w:szCs w:val="22"/>
        </w:rPr>
      </w:pPr>
      <w:r w:rsidRPr="00C872D3">
        <w:rPr>
          <w:rFonts w:ascii="Century Gothic" w:eastAsia="Times New Roman" w:hAnsi="Century Gothic" w:cs="Times New Roman"/>
          <w:sz w:val="22"/>
          <w:szCs w:val="22"/>
        </w:rPr>
        <w:lastRenderedPageBreak/>
        <w:t xml:space="preserve">Appendix </w:t>
      </w:r>
      <w:r>
        <w:rPr>
          <w:rFonts w:ascii="Century Gothic" w:eastAsia="Times New Roman" w:hAnsi="Century Gothic" w:cs="Times New Roman"/>
          <w:sz w:val="22"/>
          <w:szCs w:val="22"/>
        </w:rPr>
        <w:t>6</w:t>
      </w:r>
      <w:r w:rsidRPr="00C872D3">
        <w:rPr>
          <w:rFonts w:ascii="Century Gothic" w:eastAsia="Times New Roman" w:hAnsi="Century Gothic" w:cs="Times New Roman"/>
          <w:sz w:val="22"/>
          <w:szCs w:val="22"/>
        </w:rPr>
        <w:t xml:space="preserve">: Procedures for Rent Simplification for the </w:t>
      </w:r>
      <w:r>
        <w:rPr>
          <w:rFonts w:ascii="Century Gothic" w:eastAsia="Times New Roman" w:hAnsi="Century Gothic" w:cs="Times New Roman"/>
          <w:sz w:val="22"/>
          <w:szCs w:val="22"/>
        </w:rPr>
        <w:t>Housing Choice Voucher</w:t>
      </w:r>
      <w:r w:rsidRPr="00C872D3">
        <w:rPr>
          <w:rFonts w:ascii="Century Gothic" w:eastAsia="Times New Roman" w:hAnsi="Century Gothic" w:cs="Times New Roman"/>
          <w:sz w:val="22"/>
          <w:szCs w:val="22"/>
        </w:rPr>
        <w:t xml:space="preserve"> Program</w:t>
      </w:r>
    </w:p>
    <w:p w14:paraId="7B68A898" w14:textId="77777777" w:rsidR="00B2304E" w:rsidRPr="00C50181" w:rsidRDefault="00B2304E" w:rsidP="00B2304E">
      <w:pPr>
        <w:rPr>
          <w:rFonts w:ascii="Century Gothic" w:hAnsi="Century Gothic"/>
          <w:szCs w:val="22"/>
        </w:rPr>
      </w:pPr>
    </w:p>
    <w:bookmarkEnd w:id="217"/>
    <w:bookmarkEnd w:id="218"/>
    <w:bookmarkEnd w:id="219"/>
    <w:bookmarkEnd w:id="220"/>
    <w:bookmarkEnd w:id="221"/>
    <w:bookmarkEnd w:id="222"/>
    <w:bookmarkEnd w:id="223"/>
    <w:p w14:paraId="7918BA4A" w14:textId="77777777" w:rsidR="00B2304E" w:rsidRPr="00C50181" w:rsidRDefault="00B2304E" w:rsidP="00B2304E">
      <w:pPr>
        <w:rPr>
          <w:rFonts w:ascii="Century Gothic" w:hAnsi="Century Gothic"/>
          <w:spacing w:val="-8"/>
          <w:szCs w:val="22"/>
        </w:rPr>
      </w:pPr>
    </w:p>
    <w:p w14:paraId="662C1630" w14:textId="5A5FC76A" w:rsidR="00B2304E" w:rsidRPr="00C50181" w:rsidRDefault="00B2304E" w:rsidP="00B2304E">
      <w:pPr>
        <w:rPr>
          <w:rFonts w:ascii="Century Gothic" w:hAnsi="Century Gothic"/>
          <w:b/>
          <w:w w:val="84"/>
          <w:szCs w:val="22"/>
        </w:rPr>
      </w:pPr>
      <w:r w:rsidRPr="00C50181">
        <w:rPr>
          <w:rFonts w:ascii="Century Gothic" w:hAnsi="Century Gothic"/>
          <w:b/>
          <w:szCs w:val="22"/>
        </w:rPr>
        <w:t>HOUSING AUTHORITY OF THE CITY OF NEW HAVEN</w:t>
      </w:r>
    </w:p>
    <w:p w14:paraId="445C2899" w14:textId="77777777" w:rsidR="00B2304E" w:rsidRPr="00C50181" w:rsidRDefault="00B2304E" w:rsidP="00B2304E">
      <w:pPr>
        <w:rPr>
          <w:rFonts w:ascii="Century Gothic" w:hAnsi="Century Gothic"/>
          <w:b/>
          <w:w w:val="84"/>
          <w:szCs w:val="22"/>
        </w:rPr>
      </w:pPr>
    </w:p>
    <w:p w14:paraId="1E8E4469" w14:textId="77777777" w:rsidR="00B2304E" w:rsidRPr="00C50181" w:rsidRDefault="00B2304E" w:rsidP="00B2304E">
      <w:pPr>
        <w:rPr>
          <w:rFonts w:ascii="Century Gothic" w:hAnsi="Century Gothic"/>
          <w:b/>
          <w:szCs w:val="22"/>
        </w:rPr>
      </w:pPr>
      <w:r w:rsidRPr="00C50181">
        <w:rPr>
          <w:rFonts w:ascii="Century Gothic" w:hAnsi="Century Gothic"/>
          <w:b/>
          <w:szCs w:val="22"/>
        </w:rPr>
        <w:t>MOVING TO WORK SUFFICIENCY PROGRAM</w:t>
      </w:r>
    </w:p>
    <w:p w14:paraId="52E326EB" w14:textId="77777777" w:rsidR="00B2304E" w:rsidRPr="00C50181" w:rsidRDefault="00B2304E" w:rsidP="00B2304E">
      <w:pPr>
        <w:rPr>
          <w:rFonts w:ascii="Century Gothic" w:hAnsi="Century Gothic"/>
          <w:b/>
          <w:szCs w:val="22"/>
        </w:rPr>
      </w:pPr>
    </w:p>
    <w:p w14:paraId="6F58D6BE" w14:textId="77777777" w:rsidR="00B2304E" w:rsidRPr="00C50181" w:rsidRDefault="00B2304E" w:rsidP="00B2304E">
      <w:pPr>
        <w:rPr>
          <w:rFonts w:ascii="Century Gothic" w:hAnsi="Century Gothic"/>
          <w:b/>
          <w:w w:val="84"/>
          <w:szCs w:val="22"/>
        </w:rPr>
      </w:pPr>
      <w:r w:rsidRPr="00C50181">
        <w:rPr>
          <w:rFonts w:ascii="Century Gothic" w:hAnsi="Century Gothic"/>
          <w:b/>
          <w:szCs w:val="22"/>
        </w:rPr>
        <w:t>RENT SIMPLIFICATION PROCEDURES FOR THE SECTION 8 MTW VOUCHER PROGRAM</w:t>
      </w:r>
    </w:p>
    <w:p w14:paraId="3E331AE7" w14:textId="77777777" w:rsidR="00B2304E" w:rsidRPr="00C50181" w:rsidRDefault="00B2304E" w:rsidP="00B2304E">
      <w:pPr>
        <w:rPr>
          <w:rStyle w:val="IntenseEmphasis"/>
          <w:rFonts w:ascii="Century Gothic" w:hAnsi="Century Gothic"/>
          <w:i/>
          <w:sz w:val="22"/>
          <w:szCs w:val="22"/>
        </w:rPr>
      </w:pPr>
    </w:p>
    <w:p w14:paraId="7E21409C" w14:textId="18334C84" w:rsidR="00B2304E" w:rsidRPr="00366607" w:rsidRDefault="00B2304E" w:rsidP="00B2304E">
      <w:pPr>
        <w:rPr>
          <w:rFonts w:ascii="Century Gothic" w:hAnsi="Century Gothic"/>
          <w:b/>
          <w:bCs/>
          <w:szCs w:val="22"/>
        </w:rPr>
      </w:pPr>
      <w:bookmarkStart w:id="318" w:name="_Toc518556085"/>
      <w:bookmarkStart w:id="319" w:name="_Toc3305655"/>
      <w:r w:rsidRPr="00366607">
        <w:rPr>
          <w:rFonts w:ascii="Century Gothic" w:hAnsi="Century Gothic"/>
          <w:b/>
          <w:bCs/>
          <w:szCs w:val="22"/>
        </w:rPr>
        <w:t>Housing Choice Voucher Program Rent Simplification</w:t>
      </w:r>
      <w:bookmarkEnd w:id="318"/>
      <w:bookmarkEnd w:id="319"/>
    </w:p>
    <w:p w14:paraId="5B7F026A" w14:textId="77777777" w:rsidR="00B27536" w:rsidRPr="00366607" w:rsidRDefault="00B27536" w:rsidP="00B2304E">
      <w:pPr>
        <w:rPr>
          <w:rFonts w:ascii="Century Gothic" w:hAnsi="Century Gothic"/>
          <w:szCs w:val="22"/>
        </w:rPr>
      </w:pPr>
    </w:p>
    <w:p w14:paraId="5CB89CFA" w14:textId="328C91C6" w:rsidR="00B2304E" w:rsidRPr="00366607" w:rsidRDefault="00B2304E" w:rsidP="00B2304E">
      <w:pPr>
        <w:rPr>
          <w:rFonts w:ascii="Century Gothic" w:hAnsi="Century Gothic"/>
          <w:spacing w:val="1"/>
          <w:szCs w:val="22"/>
        </w:rPr>
      </w:pPr>
      <w:r w:rsidRPr="00366607">
        <w:rPr>
          <w:rFonts w:ascii="Century Gothic" w:hAnsi="Century Gothic"/>
          <w:spacing w:val="3"/>
          <w:szCs w:val="22"/>
        </w:rPr>
        <w:t xml:space="preserve">ECC/HANH believes there is a better way to administer essential housing programs, one </w:t>
      </w:r>
      <w:r w:rsidRPr="00366607">
        <w:rPr>
          <w:rFonts w:ascii="Century Gothic" w:hAnsi="Century Gothic"/>
          <w:spacing w:val="1"/>
          <w:szCs w:val="22"/>
        </w:rPr>
        <w:t>that encourages long-term self-sufficiency for both the program participants as well as the agency.</w:t>
      </w:r>
    </w:p>
    <w:p w14:paraId="55C116AB" w14:textId="77777777" w:rsidR="00B27536" w:rsidRPr="00366607" w:rsidRDefault="00B27536" w:rsidP="00B2304E">
      <w:pPr>
        <w:rPr>
          <w:rFonts w:ascii="Century Gothic" w:hAnsi="Century Gothic"/>
          <w:szCs w:val="22"/>
        </w:rPr>
      </w:pPr>
    </w:p>
    <w:p w14:paraId="316B09D9" w14:textId="6B8F91BC" w:rsidR="00B2304E" w:rsidRPr="00366607" w:rsidRDefault="00B2304E" w:rsidP="00B2304E">
      <w:pPr>
        <w:rPr>
          <w:rFonts w:ascii="Century Gothic" w:hAnsi="Century Gothic"/>
          <w:b/>
          <w:spacing w:val="1"/>
          <w:szCs w:val="22"/>
        </w:rPr>
      </w:pPr>
      <w:r w:rsidRPr="00366607">
        <w:rPr>
          <w:rFonts w:ascii="Century Gothic" w:hAnsi="Century Gothic"/>
          <w:b/>
          <w:spacing w:val="1"/>
          <w:szCs w:val="22"/>
        </w:rPr>
        <w:t>The Rent Simplification policies apply only to the Housing Choice Voucher (HCV) Program included under the agency’s MTW Program. The Moderate Rehabilitation Program, Mainstream for Elderly, Welfare to Work VASH, RAD, and Enhanced Vouchers are not covered by this policy.</w:t>
      </w:r>
    </w:p>
    <w:p w14:paraId="7DD6BD8C" w14:textId="77777777" w:rsidR="00B27536" w:rsidRPr="00366607" w:rsidRDefault="00B27536" w:rsidP="00B2304E">
      <w:pPr>
        <w:rPr>
          <w:rFonts w:ascii="Century Gothic" w:hAnsi="Century Gothic"/>
          <w:spacing w:val="1"/>
          <w:szCs w:val="22"/>
        </w:rPr>
      </w:pPr>
    </w:p>
    <w:p w14:paraId="72659A4D" w14:textId="49FA31C2" w:rsidR="00B2304E" w:rsidRPr="00366607" w:rsidRDefault="00B2304E" w:rsidP="00B2304E">
      <w:pPr>
        <w:rPr>
          <w:rFonts w:ascii="Century Gothic" w:hAnsi="Century Gothic"/>
          <w:b/>
          <w:bCs/>
          <w:szCs w:val="22"/>
        </w:rPr>
      </w:pPr>
      <w:bookmarkStart w:id="320" w:name="_Toc518556086"/>
      <w:bookmarkStart w:id="321" w:name="_Toc3305656"/>
      <w:r w:rsidRPr="00366607">
        <w:rPr>
          <w:rFonts w:ascii="Century Gothic" w:hAnsi="Century Gothic"/>
          <w:b/>
          <w:bCs/>
          <w:szCs w:val="22"/>
        </w:rPr>
        <w:t>Rent Simplification: Equity &amp; Efficiency</w:t>
      </w:r>
      <w:bookmarkEnd w:id="320"/>
      <w:bookmarkEnd w:id="321"/>
    </w:p>
    <w:p w14:paraId="3EDD7F53" w14:textId="0B60F8BD" w:rsidR="00B2304E" w:rsidRPr="00366607" w:rsidRDefault="00B2304E" w:rsidP="00B2304E">
      <w:pPr>
        <w:rPr>
          <w:rFonts w:ascii="Century Gothic" w:hAnsi="Century Gothic"/>
          <w:szCs w:val="22"/>
        </w:rPr>
      </w:pPr>
      <w:bookmarkStart w:id="322" w:name="_Toc518556087"/>
      <w:bookmarkStart w:id="323" w:name="_Toc3305657"/>
      <w:r w:rsidRPr="00366607">
        <w:rPr>
          <w:rFonts w:ascii="Century Gothic" w:hAnsi="Century Gothic"/>
          <w:spacing w:val="4"/>
          <w:szCs w:val="22"/>
        </w:rPr>
        <w:t xml:space="preserve">The proposed system rewards families who increase their </w:t>
      </w:r>
      <w:r w:rsidR="00272BC4" w:rsidRPr="00366607">
        <w:rPr>
          <w:rFonts w:ascii="Century Gothic" w:hAnsi="Century Gothic"/>
          <w:spacing w:val="4"/>
          <w:szCs w:val="22"/>
        </w:rPr>
        <w:t>incomes and</w:t>
      </w:r>
      <w:r w:rsidRPr="00366607">
        <w:rPr>
          <w:rFonts w:ascii="Century Gothic" w:hAnsi="Century Gothic"/>
          <w:spacing w:val="4"/>
          <w:szCs w:val="22"/>
        </w:rPr>
        <w:t xml:space="preserve"> </w:t>
      </w:r>
      <w:proofErr w:type="gramStart"/>
      <w:r w:rsidRPr="00366607">
        <w:rPr>
          <w:rFonts w:ascii="Century Gothic" w:hAnsi="Century Gothic"/>
          <w:spacing w:val="4"/>
          <w:szCs w:val="22"/>
        </w:rPr>
        <w:t>provides</w:t>
      </w:r>
      <w:proofErr w:type="gramEnd"/>
      <w:r w:rsidRPr="00366607">
        <w:rPr>
          <w:rFonts w:ascii="Century Gothic" w:hAnsi="Century Gothic"/>
          <w:spacing w:val="4"/>
          <w:szCs w:val="22"/>
        </w:rPr>
        <w:t xml:space="preserve"> them </w:t>
      </w:r>
      <w:r w:rsidRPr="00366607">
        <w:rPr>
          <w:rFonts w:ascii="Century Gothic" w:hAnsi="Century Gothic"/>
          <w:spacing w:val="2"/>
          <w:szCs w:val="22"/>
        </w:rPr>
        <w:t xml:space="preserve">with more opportunities to save while easing ECC/HANH’s burden of administering these housing </w:t>
      </w:r>
      <w:r w:rsidRPr="00366607">
        <w:rPr>
          <w:rFonts w:ascii="Century Gothic" w:hAnsi="Century Gothic"/>
          <w:szCs w:val="22"/>
        </w:rPr>
        <w:t>programs.</w:t>
      </w:r>
      <w:bookmarkEnd w:id="322"/>
      <w:bookmarkEnd w:id="323"/>
    </w:p>
    <w:p w14:paraId="5C0648F9" w14:textId="77777777" w:rsidR="00B27536" w:rsidRPr="00366607" w:rsidRDefault="00B27536" w:rsidP="00B2304E">
      <w:pPr>
        <w:rPr>
          <w:rFonts w:ascii="Century Gothic" w:hAnsi="Century Gothic"/>
          <w:b/>
          <w:szCs w:val="22"/>
        </w:rPr>
      </w:pPr>
    </w:p>
    <w:p w14:paraId="526A56A9" w14:textId="0614DA36" w:rsidR="00B2304E" w:rsidRPr="00366607" w:rsidRDefault="00B2304E" w:rsidP="00B2304E">
      <w:pPr>
        <w:rPr>
          <w:rFonts w:ascii="Century Gothic" w:hAnsi="Century Gothic"/>
          <w:b/>
          <w:bCs/>
          <w:szCs w:val="22"/>
        </w:rPr>
      </w:pPr>
      <w:bookmarkStart w:id="324" w:name="_Toc518556088"/>
      <w:bookmarkStart w:id="325" w:name="_Toc3305658"/>
      <w:r w:rsidRPr="00366607">
        <w:rPr>
          <w:rFonts w:ascii="Century Gothic" w:hAnsi="Century Gothic"/>
          <w:b/>
          <w:bCs/>
          <w:szCs w:val="22"/>
        </w:rPr>
        <w:t>Everyone Should Contribute</w:t>
      </w:r>
      <w:bookmarkEnd w:id="324"/>
      <w:bookmarkEnd w:id="325"/>
    </w:p>
    <w:p w14:paraId="548B847C" w14:textId="0D8BD36C" w:rsidR="00B2304E" w:rsidRPr="00366607" w:rsidRDefault="00B2304E" w:rsidP="00B2304E">
      <w:pPr>
        <w:rPr>
          <w:rFonts w:ascii="Century Gothic" w:hAnsi="Century Gothic"/>
          <w:spacing w:val="2"/>
          <w:szCs w:val="22"/>
        </w:rPr>
      </w:pPr>
      <w:r w:rsidRPr="00366607">
        <w:rPr>
          <w:rFonts w:ascii="Century Gothic" w:hAnsi="Century Gothic"/>
          <w:spacing w:val="2"/>
          <w:szCs w:val="22"/>
        </w:rPr>
        <w:t xml:space="preserve">ECC/HANH believes that every family should contribute towards their housing. Under Rent Simplification, the criteria under which a family can claim zero income and not pay any </w:t>
      </w:r>
      <w:r w:rsidRPr="00366607">
        <w:rPr>
          <w:rFonts w:ascii="Century Gothic" w:hAnsi="Century Gothic"/>
          <w:spacing w:val="4"/>
          <w:szCs w:val="22"/>
        </w:rPr>
        <w:t xml:space="preserve">rent are not changed. What will change is the amount of time families will be permitted to request an interim adjustment.  The minimum rent will be increased from $25.00 per month to $50.00 </w:t>
      </w:r>
      <w:r w:rsidRPr="00366607">
        <w:rPr>
          <w:rFonts w:ascii="Century Gothic" w:hAnsi="Century Gothic"/>
          <w:spacing w:val="2"/>
          <w:szCs w:val="22"/>
        </w:rPr>
        <w:t>per month for the HCV Program.</w:t>
      </w:r>
    </w:p>
    <w:p w14:paraId="483A892F" w14:textId="77777777" w:rsidR="00B27536" w:rsidRPr="00366607" w:rsidRDefault="00B27536" w:rsidP="00B2304E">
      <w:pPr>
        <w:rPr>
          <w:rFonts w:ascii="Century Gothic" w:hAnsi="Century Gothic"/>
          <w:szCs w:val="22"/>
        </w:rPr>
      </w:pPr>
    </w:p>
    <w:p w14:paraId="076662E4" w14:textId="73F91C69" w:rsidR="00B2304E" w:rsidRPr="00366607" w:rsidRDefault="00B2304E" w:rsidP="00B2304E">
      <w:pPr>
        <w:rPr>
          <w:rFonts w:ascii="Century Gothic" w:hAnsi="Century Gothic"/>
          <w:b/>
          <w:bCs/>
          <w:szCs w:val="22"/>
        </w:rPr>
      </w:pPr>
      <w:bookmarkStart w:id="326" w:name="_Toc518556089"/>
      <w:bookmarkStart w:id="327" w:name="_Toc3305659"/>
      <w:r w:rsidRPr="00366607">
        <w:rPr>
          <w:rFonts w:ascii="Century Gothic" w:hAnsi="Century Gothic"/>
          <w:b/>
          <w:bCs/>
          <w:szCs w:val="22"/>
        </w:rPr>
        <w:t>Fiscal Equity for ECC/HANH</w:t>
      </w:r>
      <w:bookmarkEnd w:id="326"/>
      <w:bookmarkEnd w:id="327"/>
    </w:p>
    <w:p w14:paraId="7DEC7022" w14:textId="22333404" w:rsidR="00B2304E" w:rsidRPr="00366607" w:rsidRDefault="00B2304E" w:rsidP="00B2304E">
      <w:pPr>
        <w:rPr>
          <w:rFonts w:ascii="Century Gothic" w:hAnsi="Century Gothic"/>
          <w:spacing w:val="2"/>
          <w:szCs w:val="22"/>
        </w:rPr>
      </w:pPr>
      <w:r w:rsidRPr="00366607">
        <w:rPr>
          <w:rFonts w:ascii="Century Gothic" w:hAnsi="Century Gothic"/>
          <w:spacing w:val="2"/>
          <w:szCs w:val="22"/>
        </w:rPr>
        <w:t xml:space="preserve">Rent Simplification is forecast to be </w:t>
      </w:r>
      <w:r w:rsidR="00272BC4" w:rsidRPr="00366607">
        <w:rPr>
          <w:rFonts w:ascii="Century Gothic" w:hAnsi="Century Gothic"/>
          <w:spacing w:val="2"/>
          <w:szCs w:val="22"/>
        </w:rPr>
        <w:t>revenue neutral</w:t>
      </w:r>
      <w:r w:rsidRPr="00366607">
        <w:rPr>
          <w:rFonts w:ascii="Century Gothic" w:hAnsi="Century Gothic"/>
          <w:spacing w:val="2"/>
          <w:szCs w:val="22"/>
        </w:rPr>
        <w:t>. In other words, the implementation of Rent Simplification will not increase the amount of rental revenue to the ECC/HANH.</w:t>
      </w:r>
    </w:p>
    <w:p w14:paraId="18E112B4" w14:textId="77777777" w:rsidR="00B27536" w:rsidRPr="00366607" w:rsidRDefault="00B27536" w:rsidP="00B2304E">
      <w:pPr>
        <w:rPr>
          <w:rFonts w:ascii="Century Gothic" w:hAnsi="Century Gothic"/>
          <w:szCs w:val="22"/>
        </w:rPr>
      </w:pPr>
    </w:p>
    <w:p w14:paraId="7296C81A" w14:textId="7FE19737" w:rsidR="00B2304E" w:rsidRPr="00366607" w:rsidRDefault="00B2304E" w:rsidP="00B2304E">
      <w:pPr>
        <w:rPr>
          <w:rFonts w:ascii="Century Gothic" w:hAnsi="Century Gothic"/>
          <w:b/>
          <w:bCs/>
          <w:szCs w:val="22"/>
        </w:rPr>
      </w:pPr>
      <w:bookmarkStart w:id="328" w:name="_Toc518556090"/>
      <w:bookmarkStart w:id="329" w:name="_Toc3305660"/>
      <w:r w:rsidRPr="00366607">
        <w:rPr>
          <w:rFonts w:ascii="Century Gothic" w:hAnsi="Century Gothic"/>
          <w:b/>
          <w:bCs/>
          <w:szCs w:val="22"/>
        </w:rPr>
        <w:t>Approvable Method</w:t>
      </w:r>
      <w:bookmarkEnd w:id="328"/>
      <w:bookmarkEnd w:id="329"/>
    </w:p>
    <w:p w14:paraId="1D87821C" w14:textId="4ACEE8E0" w:rsidR="00B2304E" w:rsidRPr="00366607" w:rsidRDefault="00B2304E" w:rsidP="00B2304E">
      <w:pPr>
        <w:rPr>
          <w:rFonts w:ascii="Century Gothic" w:hAnsi="Century Gothic"/>
          <w:spacing w:val="2"/>
          <w:szCs w:val="22"/>
        </w:rPr>
      </w:pPr>
      <w:r w:rsidRPr="00366607">
        <w:rPr>
          <w:rFonts w:ascii="Century Gothic" w:hAnsi="Century Gothic"/>
          <w:spacing w:val="3"/>
          <w:szCs w:val="22"/>
        </w:rPr>
        <w:t xml:space="preserve">Rent Simplification allows all stakeholders to easily understand how tenant rents are </w:t>
      </w:r>
      <w:r w:rsidRPr="00366607">
        <w:rPr>
          <w:rFonts w:ascii="Century Gothic" w:hAnsi="Century Gothic"/>
          <w:spacing w:val="1"/>
          <w:szCs w:val="22"/>
        </w:rPr>
        <w:t xml:space="preserve">determined, and armed with some basic income data, </w:t>
      </w:r>
      <w:proofErr w:type="gramStart"/>
      <w:r w:rsidRPr="00366607">
        <w:rPr>
          <w:rFonts w:ascii="Century Gothic" w:hAnsi="Century Gothic"/>
          <w:spacing w:val="1"/>
          <w:szCs w:val="22"/>
        </w:rPr>
        <w:t>anticipate</w:t>
      </w:r>
      <w:proofErr w:type="gramEnd"/>
      <w:r w:rsidRPr="00366607">
        <w:rPr>
          <w:rFonts w:ascii="Century Gothic" w:hAnsi="Century Gothic"/>
          <w:spacing w:val="1"/>
          <w:szCs w:val="22"/>
        </w:rPr>
        <w:t xml:space="preserve"> what future rents will be. </w:t>
      </w:r>
      <w:r w:rsidRPr="00366607">
        <w:rPr>
          <w:rFonts w:ascii="Century Gothic" w:hAnsi="Century Gothic"/>
          <w:spacing w:val="2"/>
          <w:szCs w:val="22"/>
        </w:rPr>
        <w:t>This will allow families to easily plan for future expenses and savings.</w:t>
      </w:r>
    </w:p>
    <w:p w14:paraId="7EC8A75F" w14:textId="77777777" w:rsidR="00B27536" w:rsidRPr="00366607" w:rsidRDefault="00B27536" w:rsidP="00B2304E">
      <w:pPr>
        <w:rPr>
          <w:rFonts w:ascii="Century Gothic" w:hAnsi="Century Gothic"/>
          <w:szCs w:val="22"/>
        </w:rPr>
      </w:pPr>
    </w:p>
    <w:p w14:paraId="72973EF7" w14:textId="6B3185B0" w:rsidR="00B2304E" w:rsidRPr="00366607" w:rsidRDefault="00B2304E" w:rsidP="00B2304E">
      <w:pPr>
        <w:rPr>
          <w:rFonts w:ascii="Century Gothic" w:hAnsi="Century Gothic"/>
          <w:b/>
          <w:bCs/>
          <w:szCs w:val="22"/>
        </w:rPr>
      </w:pPr>
      <w:bookmarkStart w:id="330" w:name="_Toc518556091"/>
      <w:bookmarkStart w:id="331" w:name="_Toc3305661"/>
      <w:r w:rsidRPr="00366607">
        <w:rPr>
          <w:rFonts w:ascii="Century Gothic" w:hAnsi="Century Gothic"/>
          <w:b/>
          <w:bCs/>
          <w:szCs w:val="22"/>
        </w:rPr>
        <w:t>Measurable Reduction in Administrative Time</w:t>
      </w:r>
      <w:bookmarkEnd w:id="330"/>
      <w:bookmarkEnd w:id="331"/>
    </w:p>
    <w:p w14:paraId="2F577EEB" w14:textId="5D5733B6" w:rsidR="00B2304E" w:rsidRPr="00366607" w:rsidRDefault="00B2304E" w:rsidP="00B2304E">
      <w:pPr>
        <w:rPr>
          <w:rFonts w:ascii="Century Gothic" w:hAnsi="Century Gothic"/>
          <w:spacing w:val="2"/>
          <w:szCs w:val="22"/>
        </w:rPr>
      </w:pPr>
      <w:r w:rsidRPr="00366607">
        <w:rPr>
          <w:rFonts w:ascii="Century Gothic" w:hAnsi="Century Gothic"/>
          <w:spacing w:val="6"/>
          <w:szCs w:val="22"/>
        </w:rPr>
        <w:t xml:space="preserve">By simplifying the rent determination and deduction procedures in Federal Public </w:t>
      </w:r>
      <w:r w:rsidRPr="00366607">
        <w:rPr>
          <w:rFonts w:ascii="Century Gothic" w:hAnsi="Century Gothic"/>
          <w:spacing w:val="2"/>
          <w:szCs w:val="22"/>
        </w:rPr>
        <w:t>Housing, Rent Simplification makes the job of recertifying tenants significantly easier.</w:t>
      </w:r>
    </w:p>
    <w:p w14:paraId="7567B32B" w14:textId="77777777" w:rsidR="00B27536" w:rsidRPr="00366607" w:rsidRDefault="00B27536" w:rsidP="00B2304E">
      <w:pPr>
        <w:rPr>
          <w:rFonts w:ascii="Century Gothic" w:hAnsi="Century Gothic"/>
          <w:szCs w:val="22"/>
        </w:rPr>
      </w:pPr>
    </w:p>
    <w:p w14:paraId="4AACDA82" w14:textId="77777777" w:rsidR="00B2304E" w:rsidRPr="00366607" w:rsidRDefault="00B2304E" w:rsidP="00B2304E">
      <w:pPr>
        <w:rPr>
          <w:rFonts w:ascii="Century Gothic" w:hAnsi="Century Gothic"/>
          <w:b/>
          <w:bCs/>
          <w:szCs w:val="22"/>
        </w:rPr>
      </w:pPr>
      <w:bookmarkStart w:id="332" w:name="_Toc518556092"/>
      <w:bookmarkStart w:id="333" w:name="_Toc3305662"/>
      <w:bookmarkStart w:id="334" w:name="_Toc159478012"/>
      <w:r w:rsidRPr="00366607">
        <w:rPr>
          <w:rFonts w:ascii="Century Gothic" w:hAnsi="Century Gothic"/>
          <w:b/>
          <w:bCs/>
          <w:szCs w:val="22"/>
        </w:rPr>
        <w:t>Transition to Avoid Hardships</w:t>
      </w:r>
      <w:bookmarkEnd w:id="332"/>
      <w:bookmarkEnd w:id="333"/>
    </w:p>
    <w:p w14:paraId="41CCC6EE" w14:textId="77777777" w:rsidR="00EC24F0" w:rsidRDefault="00B2304E" w:rsidP="00B2304E">
      <w:pPr>
        <w:rPr>
          <w:rFonts w:ascii="Century Gothic" w:hAnsi="Century Gothic"/>
          <w:spacing w:val="2"/>
          <w:szCs w:val="22"/>
        </w:rPr>
      </w:pPr>
      <w:r w:rsidRPr="00366607">
        <w:rPr>
          <w:rFonts w:ascii="Century Gothic" w:hAnsi="Century Gothic"/>
          <w:spacing w:val="2"/>
          <w:szCs w:val="22"/>
        </w:rPr>
        <w:t xml:space="preserve">ECC/HANH has devised a system that is not only </w:t>
      </w:r>
      <w:proofErr w:type="gramStart"/>
      <w:r w:rsidRPr="00366607">
        <w:rPr>
          <w:rFonts w:ascii="Century Gothic" w:hAnsi="Century Gothic"/>
          <w:spacing w:val="2"/>
          <w:szCs w:val="22"/>
        </w:rPr>
        <w:t>revenue neutral</w:t>
      </w:r>
      <w:proofErr w:type="gramEnd"/>
      <w:r w:rsidRPr="00366607">
        <w:rPr>
          <w:rFonts w:ascii="Century Gothic" w:hAnsi="Century Gothic"/>
          <w:spacing w:val="2"/>
          <w:szCs w:val="22"/>
        </w:rPr>
        <w:t xml:space="preserve"> for the </w:t>
      </w:r>
      <w:r w:rsidR="005C6B99" w:rsidRPr="00366607">
        <w:rPr>
          <w:rFonts w:ascii="Century Gothic" w:hAnsi="Century Gothic"/>
          <w:spacing w:val="2"/>
          <w:szCs w:val="22"/>
        </w:rPr>
        <w:t>organization but</w:t>
      </w:r>
      <w:r w:rsidRPr="00366607">
        <w:rPr>
          <w:rFonts w:ascii="Century Gothic" w:hAnsi="Century Gothic"/>
          <w:spacing w:val="2"/>
          <w:szCs w:val="22"/>
        </w:rPr>
        <w:t xml:space="preserve"> will not result in any undue hardship </w:t>
      </w:r>
      <w:proofErr w:type="gramStart"/>
      <w:r w:rsidRPr="00366607">
        <w:rPr>
          <w:rFonts w:ascii="Century Gothic" w:hAnsi="Century Gothic"/>
          <w:spacing w:val="2"/>
          <w:szCs w:val="22"/>
        </w:rPr>
        <w:t>to</w:t>
      </w:r>
      <w:proofErr w:type="gramEnd"/>
      <w:r w:rsidRPr="00366607">
        <w:rPr>
          <w:rFonts w:ascii="Century Gothic" w:hAnsi="Century Gothic"/>
          <w:spacing w:val="2"/>
          <w:szCs w:val="22"/>
        </w:rPr>
        <w:t xml:space="preserve"> our families. There will be a transition period of one year from the current </w:t>
      </w:r>
      <w:r w:rsidR="008F259B" w:rsidRPr="00366607">
        <w:rPr>
          <w:rFonts w:ascii="Century Gothic" w:hAnsi="Century Gothic"/>
          <w:spacing w:val="2"/>
          <w:szCs w:val="22"/>
        </w:rPr>
        <w:t>income-based</w:t>
      </w:r>
      <w:r w:rsidRPr="00366607">
        <w:rPr>
          <w:rFonts w:ascii="Century Gothic" w:hAnsi="Century Gothic"/>
          <w:spacing w:val="2"/>
          <w:szCs w:val="22"/>
        </w:rPr>
        <w:t xml:space="preserve"> rent determination process to the new </w:t>
      </w:r>
      <w:proofErr w:type="gramStart"/>
      <w:r w:rsidRPr="00366607">
        <w:rPr>
          <w:rFonts w:ascii="Century Gothic" w:hAnsi="Century Gothic"/>
          <w:spacing w:val="2"/>
          <w:szCs w:val="22"/>
        </w:rPr>
        <w:t>income tiered</w:t>
      </w:r>
      <w:proofErr w:type="gramEnd"/>
      <w:r w:rsidRPr="00366607">
        <w:rPr>
          <w:rFonts w:ascii="Century Gothic" w:hAnsi="Century Gothic"/>
          <w:spacing w:val="2"/>
          <w:szCs w:val="22"/>
        </w:rPr>
        <w:t xml:space="preserve"> rent determination process. No family will have an increase in Total Tenant Payment (TTP) during the first year they are subject to the requirements of this Rent Simplification Policy. Please note that this hold harmless provision does not apply to increases in TTP that result from an increase in family annual income </w:t>
      </w:r>
      <w:r w:rsidRPr="00366607">
        <w:rPr>
          <w:rFonts w:ascii="Century Gothic" w:hAnsi="Century Gothic"/>
          <w:spacing w:val="2"/>
          <w:szCs w:val="22"/>
        </w:rPr>
        <w:lastRenderedPageBreak/>
        <w:t xml:space="preserve">above the amount earned in the reporting period immediately preceding the family being subject to Rent Simplification. No family shall be subject to an increase in TTP of greater than $25.00 a month during the second year that the family is subject to the Rent Simplification Policy. The increase in TTP during the third year the family is subject to Rent Simplification shall not exceed $50; $75 a month during the fourth year; and $100 a month above the monthly TTP in the year immediately following the implementation of Rent Simplification. </w:t>
      </w:r>
      <w:bookmarkStart w:id="335" w:name="_Toc518556093"/>
      <w:bookmarkStart w:id="336" w:name="_Toc3305663"/>
      <w:bookmarkEnd w:id="334"/>
    </w:p>
    <w:p w14:paraId="40E6E9EA" w14:textId="77777777" w:rsidR="00EC24F0" w:rsidRDefault="00EC24F0" w:rsidP="00B2304E">
      <w:pPr>
        <w:rPr>
          <w:rFonts w:ascii="Century Gothic" w:hAnsi="Century Gothic"/>
          <w:spacing w:val="2"/>
          <w:szCs w:val="22"/>
        </w:rPr>
      </w:pPr>
    </w:p>
    <w:p w14:paraId="25D09777" w14:textId="67F86FD3" w:rsidR="00B2304E" w:rsidRPr="00366607" w:rsidRDefault="00B2304E" w:rsidP="00B2304E">
      <w:pPr>
        <w:rPr>
          <w:rFonts w:ascii="Century Gothic" w:hAnsi="Century Gothic"/>
          <w:b/>
          <w:bCs/>
          <w:szCs w:val="22"/>
        </w:rPr>
      </w:pPr>
      <w:r w:rsidRPr="00366607">
        <w:rPr>
          <w:rFonts w:ascii="Century Gothic" w:hAnsi="Century Gothic"/>
          <w:b/>
          <w:bCs/>
          <w:szCs w:val="22"/>
        </w:rPr>
        <w:t>Asset Exclusion</w:t>
      </w:r>
      <w:bookmarkEnd w:id="335"/>
      <w:bookmarkEnd w:id="336"/>
    </w:p>
    <w:p w14:paraId="4E4F6893" w14:textId="78DC5BC5" w:rsidR="00B2304E" w:rsidRPr="00366607" w:rsidRDefault="00B2304E" w:rsidP="00B2304E">
      <w:pPr>
        <w:rPr>
          <w:rFonts w:ascii="Century Gothic" w:hAnsi="Century Gothic"/>
          <w:spacing w:val="2"/>
          <w:szCs w:val="22"/>
        </w:rPr>
      </w:pPr>
      <w:r w:rsidRPr="00366607">
        <w:rPr>
          <w:rFonts w:ascii="Century Gothic" w:hAnsi="Century Gothic"/>
          <w:spacing w:val="6"/>
          <w:szCs w:val="22"/>
        </w:rPr>
        <w:t xml:space="preserve">Asset exclusion is raised to $50,000.00. Increasing the asset exclusion amount allows </w:t>
      </w:r>
      <w:r w:rsidRPr="00366607">
        <w:rPr>
          <w:rFonts w:ascii="Century Gothic" w:hAnsi="Century Gothic"/>
          <w:spacing w:val="2"/>
          <w:szCs w:val="22"/>
        </w:rPr>
        <w:t xml:space="preserve">residents to accumulate more assets before they are calculated as income. Families will </w:t>
      </w:r>
      <w:r w:rsidR="003A7677" w:rsidRPr="00366607">
        <w:rPr>
          <w:rFonts w:ascii="Century Gothic" w:hAnsi="Century Gothic"/>
          <w:spacing w:val="2"/>
          <w:szCs w:val="22"/>
        </w:rPr>
        <w:t>self-certify</w:t>
      </w:r>
      <w:r w:rsidRPr="00366607">
        <w:rPr>
          <w:rFonts w:ascii="Century Gothic" w:hAnsi="Century Gothic"/>
          <w:spacing w:val="2"/>
          <w:szCs w:val="22"/>
        </w:rPr>
        <w:t xml:space="preserve"> that they do not have assets </w:t>
      </w:r>
      <w:proofErr w:type="gramStart"/>
      <w:r w:rsidRPr="00366607">
        <w:rPr>
          <w:rFonts w:ascii="Century Gothic" w:hAnsi="Century Gothic"/>
          <w:spacing w:val="2"/>
          <w:szCs w:val="22"/>
        </w:rPr>
        <w:t>in excess of</w:t>
      </w:r>
      <w:proofErr w:type="gramEnd"/>
      <w:r w:rsidRPr="00366607">
        <w:rPr>
          <w:rFonts w:ascii="Century Gothic" w:hAnsi="Century Gothic"/>
          <w:spacing w:val="2"/>
          <w:szCs w:val="22"/>
        </w:rPr>
        <w:t xml:space="preserve"> $50,000.00.</w:t>
      </w:r>
    </w:p>
    <w:p w14:paraId="38B996B8" w14:textId="77777777" w:rsidR="00B27536" w:rsidRPr="00366607" w:rsidRDefault="00B27536" w:rsidP="00B2304E">
      <w:pPr>
        <w:rPr>
          <w:rFonts w:ascii="Century Gothic" w:hAnsi="Century Gothic"/>
          <w:szCs w:val="22"/>
        </w:rPr>
      </w:pPr>
    </w:p>
    <w:p w14:paraId="576BC005" w14:textId="16AAAFE5" w:rsidR="00B2304E" w:rsidRPr="00366607" w:rsidRDefault="00B2304E" w:rsidP="00B2304E">
      <w:pPr>
        <w:rPr>
          <w:rFonts w:ascii="Century Gothic" w:hAnsi="Century Gothic"/>
          <w:b/>
          <w:bCs/>
          <w:szCs w:val="22"/>
        </w:rPr>
      </w:pPr>
      <w:bookmarkStart w:id="337" w:name="_Toc518556094"/>
      <w:bookmarkStart w:id="338" w:name="_Toc3305664"/>
      <w:r w:rsidRPr="00366607">
        <w:rPr>
          <w:rFonts w:ascii="Century Gothic" w:hAnsi="Century Gothic"/>
          <w:b/>
          <w:bCs/>
          <w:szCs w:val="22"/>
        </w:rPr>
        <w:t>Earned Income Disallowance</w:t>
      </w:r>
      <w:bookmarkEnd w:id="337"/>
      <w:bookmarkEnd w:id="338"/>
    </w:p>
    <w:p w14:paraId="5BB259E1" w14:textId="0C6C9A9D" w:rsidR="00B2304E" w:rsidRPr="00366607" w:rsidRDefault="00B2304E" w:rsidP="00B2304E">
      <w:pPr>
        <w:rPr>
          <w:rFonts w:ascii="Century Gothic" w:hAnsi="Century Gothic"/>
          <w:szCs w:val="22"/>
        </w:rPr>
      </w:pPr>
      <w:r w:rsidRPr="00366607">
        <w:rPr>
          <w:rFonts w:ascii="Century Gothic" w:hAnsi="Century Gothic"/>
          <w:bCs/>
          <w:szCs w:val="22"/>
        </w:rPr>
        <w:t>The Earned Income Disallowance (EID) under Sec. 5.617 for</w:t>
      </w:r>
      <w:r w:rsidRPr="00366607">
        <w:rPr>
          <w:rFonts w:ascii="Century Gothic" w:hAnsi="Century Gothic"/>
          <w:szCs w:val="22"/>
        </w:rPr>
        <w:t xml:space="preserve"> </w:t>
      </w:r>
      <w:r w:rsidR="00491A91" w:rsidRPr="00366607">
        <w:rPr>
          <w:rFonts w:ascii="Century Gothic" w:hAnsi="Century Gothic"/>
          <w:szCs w:val="22"/>
        </w:rPr>
        <w:t>all HCV</w:t>
      </w:r>
      <w:r w:rsidRPr="00366607">
        <w:rPr>
          <w:rFonts w:ascii="Century Gothic" w:hAnsi="Century Gothic"/>
          <w:szCs w:val="22"/>
        </w:rPr>
        <w:t xml:space="preserve"> participants EID is eliminated. </w:t>
      </w:r>
    </w:p>
    <w:p w14:paraId="3D743667" w14:textId="77777777" w:rsidR="00B27536" w:rsidRPr="00366607" w:rsidRDefault="00B27536" w:rsidP="00B2304E">
      <w:pPr>
        <w:rPr>
          <w:rFonts w:ascii="Century Gothic" w:hAnsi="Century Gothic"/>
          <w:spacing w:val="-3"/>
          <w:szCs w:val="22"/>
        </w:rPr>
      </w:pPr>
    </w:p>
    <w:p w14:paraId="642EF350" w14:textId="7203DB58" w:rsidR="00B2304E" w:rsidRPr="00366607" w:rsidRDefault="00B2304E" w:rsidP="00B2304E">
      <w:pPr>
        <w:rPr>
          <w:rFonts w:ascii="Century Gothic" w:hAnsi="Century Gothic"/>
          <w:b/>
          <w:bCs/>
          <w:szCs w:val="22"/>
        </w:rPr>
      </w:pPr>
      <w:bookmarkStart w:id="339" w:name="_Toc518556097"/>
      <w:bookmarkStart w:id="340" w:name="_Toc3305665"/>
      <w:r w:rsidRPr="00366607">
        <w:rPr>
          <w:rFonts w:ascii="Century Gothic" w:hAnsi="Century Gothic"/>
          <w:b/>
          <w:bCs/>
          <w:szCs w:val="22"/>
        </w:rPr>
        <w:t>Other Exclusions</w:t>
      </w:r>
      <w:bookmarkEnd w:id="339"/>
      <w:bookmarkEnd w:id="340"/>
    </w:p>
    <w:p w14:paraId="78393773" w14:textId="538ACCEC" w:rsidR="00B2304E" w:rsidRPr="00366607" w:rsidRDefault="00B2304E" w:rsidP="00B2304E">
      <w:pPr>
        <w:rPr>
          <w:rFonts w:ascii="Century Gothic" w:hAnsi="Century Gothic"/>
          <w:szCs w:val="22"/>
        </w:rPr>
      </w:pPr>
      <w:r w:rsidRPr="00366607">
        <w:rPr>
          <w:rFonts w:ascii="Century Gothic" w:hAnsi="Century Gothic"/>
          <w:spacing w:val="2"/>
          <w:szCs w:val="22"/>
        </w:rPr>
        <w:t>All adoption assistance payments will be excluded from income calculations under Section 5</w:t>
      </w:r>
      <w:r w:rsidRPr="00366607">
        <w:rPr>
          <w:rFonts w:ascii="Century Gothic" w:hAnsi="Century Gothic"/>
          <w:szCs w:val="22"/>
        </w:rPr>
        <w:t xml:space="preserve">.609(c) (8) (v) as the $480 dependent deduction is eliminated. All income earned by full-time college students will no longer be included in the determination since there will no longer be the $480 dependent deduction to offset income. </w:t>
      </w:r>
    </w:p>
    <w:p w14:paraId="0EE4675C" w14:textId="77777777" w:rsidR="00B27536" w:rsidRPr="00366607" w:rsidRDefault="00B27536" w:rsidP="00B2304E">
      <w:pPr>
        <w:rPr>
          <w:rFonts w:ascii="Century Gothic" w:hAnsi="Century Gothic"/>
          <w:szCs w:val="22"/>
        </w:rPr>
      </w:pPr>
    </w:p>
    <w:p w14:paraId="46112C7D" w14:textId="090D1315" w:rsidR="00B2304E" w:rsidRPr="00366607" w:rsidRDefault="00B2304E" w:rsidP="00B2304E">
      <w:pPr>
        <w:rPr>
          <w:rFonts w:ascii="Century Gothic" w:hAnsi="Century Gothic"/>
          <w:b/>
          <w:bCs/>
          <w:szCs w:val="22"/>
        </w:rPr>
      </w:pPr>
      <w:bookmarkStart w:id="341" w:name="_Toc518556098"/>
      <w:bookmarkStart w:id="342" w:name="_Toc3305666"/>
      <w:r w:rsidRPr="00366607">
        <w:rPr>
          <w:rFonts w:ascii="Century Gothic" w:hAnsi="Century Gothic"/>
          <w:b/>
          <w:bCs/>
          <w:szCs w:val="22"/>
        </w:rPr>
        <w:t>Annualized Income Calculation</w:t>
      </w:r>
      <w:bookmarkEnd w:id="341"/>
      <w:bookmarkEnd w:id="342"/>
    </w:p>
    <w:p w14:paraId="1BE49F0A" w14:textId="2EC96B14" w:rsidR="00B2304E" w:rsidRPr="00366607" w:rsidRDefault="00B2304E" w:rsidP="00B2304E">
      <w:pPr>
        <w:rPr>
          <w:rFonts w:ascii="Century Gothic" w:hAnsi="Century Gothic"/>
          <w:spacing w:val="8"/>
          <w:szCs w:val="22"/>
        </w:rPr>
      </w:pPr>
      <w:r w:rsidRPr="00366607">
        <w:rPr>
          <w:rFonts w:ascii="Century Gothic" w:hAnsi="Century Gothic"/>
          <w:spacing w:val="6"/>
          <w:szCs w:val="22"/>
        </w:rPr>
        <w:t xml:space="preserve">Prospective and past income may be used to calculate resident rents, especially for </w:t>
      </w:r>
      <w:r w:rsidRPr="00366607">
        <w:rPr>
          <w:rFonts w:ascii="Century Gothic" w:hAnsi="Century Gothic"/>
          <w:spacing w:val="7"/>
          <w:szCs w:val="22"/>
        </w:rPr>
        <w:t xml:space="preserve">families with irregular or sporadic employment histories. For families with income of up to and including $5,000.00 we will accept </w:t>
      </w:r>
      <w:proofErr w:type="gramStart"/>
      <w:r w:rsidRPr="00366607">
        <w:rPr>
          <w:rFonts w:ascii="Century Gothic" w:hAnsi="Century Gothic"/>
          <w:spacing w:val="7"/>
          <w:szCs w:val="22"/>
        </w:rPr>
        <w:t>a self</w:t>
      </w:r>
      <w:proofErr w:type="gramEnd"/>
      <w:r w:rsidRPr="00366607">
        <w:rPr>
          <w:rFonts w:ascii="Century Gothic" w:hAnsi="Century Gothic"/>
          <w:spacing w:val="7"/>
          <w:szCs w:val="22"/>
        </w:rPr>
        <w:t xml:space="preserve">-certification. For families earning more than $5,000.00 of wages and salaries we want pay stubs covering the most recent four weeks of employment or a W-2 or 1099 within 180 days of the effective date of recertification. </w:t>
      </w:r>
      <w:r w:rsidRPr="00366607">
        <w:rPr>
          <w:rFonts w:ascii="Century Gothic" w:hAnsi="Century Gothic"/>
          <w:spacing w:val="8"/>
          <w:szCs w:val="22"/>
        </w:rPr>
        <w:t xml:space="preserve">We must complete EIV or other UIV as required by HUD. </w:t>
      </w:r>
    </w:p>
    <w:p w14:paraId="001DA800" w14:textId="77777777" w:rsidR="00B27536" w:rsidRPr="00366607" w:rsidRDefault="00B27536" w:rsidP="00B2304E">
      <w:pPr>
        <w:rPr>
          <w:rFonts w:ascii="Century Gothic" w:hAnsi="Century Gothic"/>
          <w:szCs w:val="22"/>
        </w:rPr>
      </w:pPr>
    </w:p>
    <w:p w14:paraId="2CB5FE21" w14:textId="57646034" w:rsidR="00B2304E" w:rsidRPr="00366607" w:rsidRDefault="00B2304E" w:rsidP="00B2304E">
      <w:pPr>
        <w:rPr>
          <w:rFonts w:ascii="Century Gothic" w:hAnsi="Century Gothic"/>
          <w:b/>
          <w:bCs/>
          <w:szCs w:val="22"/>
        </w:rPr>
      </w:pPr>
      <w:bookmarkStart w:id="343" w:name="_Toc518556099"/>
      <w:bookmarkStart w:id="344" w:name="_Toc3305667"/>
      <w:r w:rsidRPr="00366607">
        <w:rPr>
          <w:rFonts w:ascii="Century Gothic" w:hAnsi="Century Gothic"/>
          <w:b/>
          <w:bCs/>
          <w:szCs w:val="22"/>
        </w:rPr>
        <w:t>Annual Reexaminations</w:t>
      </w:r>
      <w:bookmarkEnd w:id="343"/>
      <w:bookmarkEnd w:id="344"/>
    </w:p>
    <w:p w14:paraId="5CE2F401" w14:textId="215F50A0" w:rsidR="00B2304E" w:rsidRPr="00366607" w:rsidRDefault="00B2304E" w:rsidP="3743D8DA">
      <w:pPr>
        <w:rPr>
          <w:rFonts w:ascii="Century Gothic" w:hAnsi="Century Gothic"/>
          <w:spacing w:val="1"/>
        </w:rPr>
      </w:pPr>
      <w:r w:rsidRPr="00366607">
        <w:rPr>
          <w:rFonts w:ascii="Century Gothic" w:hAnsi="Century Gothic"/>
          <w:spacing w:val="2"/>
        </w:rPr>
        <w:t xml:space="preserve">Reexaminations are currently conducted every year for non-elderly households and every two </w:t>
      </w:r>
      <w:r w:rsidR="00272BC4" w:rsidRPr="00366607">
        <w:rPr>
          <w:rFonts w:ascii="Century Gothic" w:hAnsi="Century Gothic"/>
          <w:spacing w:val="2"/>
        </w:rPr>
        <w:t>years</w:t>
      </w:r>
      <w:r w:rsidRPr="00366607">
        <w:rPr>
          <w:rFonts w:ascii="Century Gothic" w:hAnsi="Century Gothic"/>
          <w:spacing w:val="2"/>
        </w:rPr>
        <w:t xml:space="preserve"> for elderly and disabled households. ECC/HANH spends on average three hours per annual reexamination. Under Rent Simplification, annual reexaminations will occur e</w:t>
      </w:r>
      <w:r w:rsidRPr="00366607">
        <w:rPr>
          <w:rFonts w:ascii="Century Gothic" w:hAnsi="Century Gothic"/>
          <w:spacing w:val="7"/>
        </w:rPr>
        <w:t xml:space="preserve">very two years for non-elderly households and every three years for elderly and disabled households. These changes will allow </w:t>
      </w:r>
      <w:r w:rsidRPr="00366607">
        <w:rPr>
          <w:rFonts w:ascii="Century Gothic" w:hAnsi="Century Gothic"/>
          <w:spacing w:val="4"/>
        </w:rPr>
        <w:t xml:space="preserve">families who experience increases in income to retain </w:t>
      </w:r>
      <w:proofErr w:type="gramStart"/>
      <w:r w:rsidRPr="00366607">
        <w:rPr>
          <w:rFonts w:ascii="Century Gothic" w:hAnsi="Century Gothic"/>
          <w:spacing w:val="4"/>
        </w:rPr>
        <w:t>all of</w:t>
      </w:r>
      <w:proofErr w:type="gramEnd"/>
      <w:r w:rsidRPr="00366607">
        <w:rPr>
          <w:rFonts w:ascii="Century Gothic" w:hAnsi="Century Gothic"/>
          <w:spacing w:val="4"/>
        </w:rPr>
        <w:t xml:space="preserve"> their increased earnings </w:t>
      </w:r>
      <w:r w:rsidRPr="00366607">
        <w:rPr>
          <w:rFonts w:ascii="Century Gothic" w:hAnsi="Century Gothic"/>
          <w:spacing w:val="1"/>
        </w:rPr>
        <w:t xml:space="preserve">between annual reexaminations.  During the first year all families will be recertified. This process will be phased in over a three-year period. </w:t>
      </w:r>
    </w:p>
    <w:p w14:paraId="3C3E5C0E" w14:textId="6AB9F48B" w:rsidR="00B2304E" w:rsidRPr="001D622B" w:rsidRDefault="00B2304E" w:rsidP="3743D8DA">
      <w:pPr>
        <w:rPr>
          <w:rFonts w:ascii="Century Gothic" w:hAnsi="Century Gothic"/>
        </w:rPr>
      </w:pPr>
      <w:r>
        <w:br/>
      </w:r>
      <w:r w:rsidRPr="001D622B">
        <w:rPr>
          <w:rFonts w:ascii="Century Gothic" w:hAnsi="Century Gothic"/>
        </w:rPr>
        <w:t>Effective FY15 (October 2014), ECC/HANH updated its definitions of elderly/disabled and work-able families. Under the policy change, an elderly/disabled family will be defined as one in which all adult members (excluding live-in attendants) are elderly and/or disabled. A work-able family will be one that doesn’t meet the new elderly/disabled definition. Work-able households under the new definition will have reexaminations every two years (biennial schedule) and elderly/disabled households will have annual reexaminations every three years (triennial schedule).</w:t>
      </w:r>
    </w:p>
    <w:p w14:paraId="3F5E4D64" w14:textId="0DD66007" w:rsidR="00B2304E" w:rsidRPr="001D622B" w:rsidRDefault="00B2304E" w:rsidP="3743D8DA">
      <w:pPr>
        <w:rPr>
          <w:rFonts w:ascii="Century Gothic" w:hAnsi="Century Gothic"/>
        </w:rPr>
      </w:pPr>
      <w:r w:rsidRPr="001D622B">
        <w:rPr>
          <w:rFonts w:ascii="Century Gothic" w:hAnsi="Century Gothic"/>
        </w:rPr>
        <w:t xml:space="preserve">ECC/HANH believes this new definition more closely matches the spirit of a “work-able” family since all work-able families would have at least one work-able adult. Under the prior definition, an elderly/disabled family only needed a head, co-head, or spouse to be elderly or disabled which led to some families with work-able adults being categories as elderly/disabled. This change will also give ECC/HANH the ability to better track earnings and employment for work-able families; and the better </w:t>
      </w:r>
      <w:r w:rsidRPr="001D622B">
        <w:rPr>
          <w:rFonts w:ascii="Century Gothic" w:hAnsi="Century Gothic"/>
        </w:rPr>
        <w:lastRenderedPageBreak/>
        <w:t xml:space="preserve">population division will give ECC/HANH the flexibility to implement work-able specific rent policy changes in the future if it </w:t>
      </w:r>
      <w:proofErr w:type="gramStart"/>
      <w:r w:rsidRPr="001D622B">
        <w:rPr>
          <w:rFonts w:ascii="Century Gothic" w:hAnsi="Century Gothic"/>
        </w:rPr>
        <w:t>so chooses</w:t>
      </w:r>
      <w:proofErr w:type="gramEnd"/>
      <w:r w:rsidRPr="001D622B">
        <w:rPr>
          <w:rFonts w:ascii="Century Gothic" w:hAnsi="Century Gothic"/>
        </w:rPr>
        <w:t>.</w:t>
      </w:r>
    </w:p>
    <w:p w14:paraId="379D249A" w14:textId="77777777" w:rsidR="00B27536" w:rsidRPr="001D622B" w:rsidRDefault="00B27536" w:rsidP="00B2304E">
      <w:pPr>
        <w:rPr>
          <w:rFonts w:ascii="Century Gothic" w:hAnsi="Century Gothic"/>
          <w:szCs w:val="22"/>
        </w:rPr>
      </w:pPr>
    </w:p>
    <w:p w14:paraId="0DA1840B" w14:textId="3C5EA391" w:rsidR="00B2304E" w:rsidRPr="001D622B" w:rsidRDefault="00B2304E" w:rsidP="00B2304E">
      <w:pPr>
        <w:rPr>
          <w:rFonts w:ascii="Century Gothic" w:hAnsi="Century Gothic"/>
          <w:b/>
          <w:bCs/>
          <w:iCs/>
          <w:szCs w:val="22"/>
        </w:rPr>
      </w:pPr>
      <w:bookmarkStart w:id="345" w:name="_Toc518556100"/>
      <w:bookmarkStart w:id="346" w:name="_Toc3305668"/>
      <w:r w:rsidRPr="001D622B">
        <w:rPr>
          <w:rFonts w:ascii="Century Gothic" w:hAnsi="Century Gothic"/>
          <w:b/>
          <w:bCs/>
          <w:iCs/>
          <w:szCs w:val="22"/>
        </w:rPr>
        <w:t>Deductions for Exceptional Expenses</w:t>
      </w:r>
      <w:bookmarkEnd w:id="345"/>
      <w:bookmarkEnd w:id="346"/>
    </w:p>
    <w:p w14:paraId="085353EB" w14:textId="60A4D56D" w:rsidR="00B2304E" w:rsidRPr="001D622B" w:rsidRDefault="00B2304E" w:rsidP="00B2304E">
      <w:pPr>
        <w:rPr>
          <w:rFonts w:ascii="Century Gothic" w:hAnsi="Century Gothic"/>
          <w:spacing w:val="1"/>
          <w:szCs w:val="22"/>
        </w:rPr>
      </w:pPr>
      <w:r w:rsidRPr="001D622B">
        <w:rPr>
          <w:rFonts w:ascii="Century Gothic" w:hAnsi="Century Gothic"/>
          <w:spacing w:val="1"/>
          <w:szCs w:val="22"/>
        </w:rPr>
        <w:t xml:space="preserve">Excess resources are dedicated to verifying deductions for </w:t>
      </w:r>
      <w:proofErr w:type="gramStart"/>
      <w:r w:rsidRPr="001D622B">
        <w:rPr>
          <w:rFonts w:ascii="Century Gothic" w:hAnsi="Century Gothic"/>
          <w:spacing w:val="1"/>
          <w:szCs w:val="22"/>
        </w:rPr>
        <w:t>child care</w:t>
      </w:r>
      <w:proofErr w:type="gramEnd"/>
      <w:r w:rsidRPr="001D622B">
        <w:rPr>
          <w:rFonts w:ascii="Century Gothic" w:hAnsi="Century Gothic"/>
          <w:spacing w:val="1"/>
          <w:szCs w:val="22"/>
        </w:rPr>
        <w:t xml:space="preserve">, medical and disability allowances. Third party verifications of these amounts are difficult to </w:t>
      </w:r>
      <w:r w:rsidR="00272BC4" w:rsidRPr="001D622B">
        <w:rPr>
          <w:rFonts w:ascii="Century Gothic" w:hAnsi="Century Gothic"/>
          <w:spacing w:val="1"/>
          <w:szCs w:val="22"/>
        </w:rPr>
        <w:t>accomplish,</w:t>
      </w:r>
      <w:r w:rsidRPr="001D622B">
        <w:rPr>
          <w:rFonts w:ascii="Century Gothic" w:hAnsi="Century Gothic"/>
          <w:spacing w:val="1"/>
          <w:szCs w:val="22"/>
        </w:rPr>
        <w:t xml:space="preserve"> and the agency </w:t>
      </w:r>
      <w:proofErr w:type="gramStart"/>
      <w:r w:rsidRPr="001D622B">
        <w:rPr>
          <w:rFonts w:ascii="Century Gothic" w:hAnsi="Century Gothic"/>
          <w:spacing w:val="1"/>
          <w:szCs w:val="22"/>
        </w:rPr>
        <w:t>more often than not</w:t>
      </w:r>
      <w:proofErr w:type="gramEnd"/>
      <w:r w:rsidRPr="001D622B">
        <w:rPr>
          <w:rFonts w:ascii="Century Gothic" w:hAnsi="Century Gothic"/>
          <w:spacing w:val="1"/>
          <w:szCs w:val="22"/>
        </w:rPr>
        <w:t xml:space="preserve"> relies upon </w:t>
      </w:r>
      <w:r w:rsidR="0030226C" w:rsidRPr="001D622B">
        <w:rPr>
          <w:rFonts w:ascii="Century Gothic" w:hAnsi="Century Gothic"/>
          <w:spacing w:val="1"/>
          <w:szCs w:val="22"/>
        </w:rPr>
        <w:t>first- and second-party</w:t>
      </w:r>
      <w:r w:rsidRPr="001D622B">
        <w:rPr>
          <w:rFonts w:ascii="Century Gothic" w:hAnsi="Century Gothic"/>
          <w:spacing w:val="1"/>
          <w:szCs w:val="22"/>
        </w:rPr>
        <w:t xml:space="preserve"> verifications of these deductions. Obtaining verification data also places an undue burden on the </w:t>
      </w:r>
      <w:proofErr w:type="gramStart"/>
      <w:r w:rsidRPr="001D622B">
        <w:rPr>
          <w:rFonts w:ascii="Century Gothic" w:hAnsi="Century Gothic"/>
          <w:spacing w:val="1"/>
          <w:szCs w:val="22"/>
        </w:rPr>
        <w:t>resident</w:t>
      </w:r>
      <w:proofErr w:type="gramEnd"/>
      <w:r w:rsidRPr="001D622B">
        <w:rPr>
          <w:rFonts w:ascii="Century Gothic" w:hAnsi="Century Gothic"/>
          <w:spacing w:val="1"/>
          <w:szCs w:val="22"/>
        </w:rPr>
        <w:t>. To simplify this process, ECC/HANH will eliminate standard deductions for these amounts for elderly, disabled and non-elderly households.</w:t>
      </w:r>
    </w:p>
    <w:p w14:paraId="7FC72181"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ab/>
      </w:r>
      <w:r w:rsidRPr="001D622B">
        <w:rPr>
          <w:rFonts w:ascii="Century Gothic" w:hAnsi="Century Gothic"/>
          <w:spacing w:val="1"/>
          <w:szCs w:val="22"/>
        </w:rPr>
        <w:tab/>
      </w:r>
    </w:p>
    <w:p w14:paraId="155D487A"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Households with exceptional expenses may request a rent reduction.  This includes large families (more than two children).  It also includes families with high medical expenses, disability assistance expenses, or childcare expenses. Combined, exceptional expenses must total no less than $2000.00 </w:t>
      </w:r>
      <w:proofErr w:type="gramStart"/>
      <w:r w:rsidRPr="001D622B">
        <w:rPr>
          <w:rFonts w:ascii="Century Gothic" w:hAnsi="Century Gothic"/>
          <w:szCs w:val="22"/>
        </w:rPr>
        <w:t>in order for</w:t>
      </w:r>
      <w:proofErr w:type="gramEnd"/>
      <w:r w:rsidRPr="001D622B">
        <w:rPr>
          <w:rFonts w:ascii="Century Gothic" w:hAnsi="Century Gothic"/>
          <w:szCs w:val="22"/>
        </w:rPr>
        <w:t xml:space="preserve"> family to qualify for the additional monthly rent deduction.</w:t>
      </w:r>
    </w:p>
    <w:p w14:paraId="36B2387A" w14:textId="77777777" w:rsidR="00B2304E" w:rsidRPr="001D622B" w:rsidRDefault="00B2304E" w:rsidP="00B2304E">
      <w:pPr>
        <w:rPr>
          <w:rFonts w:ascii="Century Gothic" w:hAnsi="Century Gothic"/>
          <w:szCs w:val="22"/>
        </w:rPr>
      </w:pPr>
    </w:p>
    <w:p w14:paraId="6E2D7716"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The amount of expense is set in $2,000.00 tiers.  This allows ECC/HANH to move away from verifying </w:t>
      </w:r>
      <w:proofErr w:type="gramStart"/>
      <w:r w:rsidRPr="001D622B">
        <w:rPr>
          <w:rFonts w:ascii="Century Gothic" w:hAnsi="Century Gothic"/>
          <w:szCs w:val="22"/>
        </w:rPr>
        <w:t>every last</w:t>
      </w:r>
      <w:proofErr w:type="gramEnd"/>
      <w:r w:rsidRPr="001D622B">
        <w:rPr>
          <w:rFonts w:ascii="Century Gothic" w:hAnsi="Century Gothic"/>
          <w:szCs w:val="22"/>
        </w:rPr>
        <w:t xml:space="preserve"> dollar.  Tenants are not required to provide documentation </w:t>
      </w:r>
      <w:proofErr w:type="gramStart"/>
      <w:r w:rsidRPr="001D622B">
        <w:rPr>
          <w:rFonts w:ascii="Century Gothic" w:hAnsi="Century Gothic"/>
          <w:szCs w:val="22"/>
        </w:rPr>
        <w:t>of</w:t>
      </w:r>
      <w:proofErr w:type="gramEnd"/>
      <w:r w:rsidRPr="001D622B">
        <w:rPr>
          <w:rFonts w:ascii="Century Gothic" w:hAnsi="Century Gothic"/>
          <w:szCs w:val="22"/>
        </w:rPr>
        <w:t xml:space="preserve"> every dollar of expense; rather, tenants need only provide documentation sufficient to meet the appropriate tier.  </w:t>
      </w:r>
    </w:p>
    <w:p w14:paraId="613E6DDE" w14:textId="77777777" w:rsidR="00B2304E" w:rsidRPr="001D622B" w:rsidRDefault="00B2304E" w:rsidP="00B2304E">
      <w:pPr>
        <w:rPr>
          <w:rFonts w:ascii="Century Gothic" w:hAnsi="Century Gothic"/>
          <w:szCs w:val="22"/>
        </w:rPr>
      </w:pPr>
    </w:p>
    <w:p w14:paraId="3309C6A0"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The </w:t>
      </w:r>
      <w:proofErr w:type="gramStart"/>
      <w:r w:rsidRPr="001D622B">
        <w:rPr>
          <w:rFonts w:ascii="Century Gothic" w:hAnsi="Century Gothic"/>
          <w:szCs w:val="22"/>
        </w:rPr>
        <w:t>amount of monthly</w:t>
      </w:r>
      <w:proofErr w:type="gramEnd"/>
      <w:r w:rsidRPr="001D622B">
        <w:rPr>
          <w:rFonts w:ascii="Century Gothic" w:hAnsi="Century Gothic"/>
          <w:szCs w:val="22"/>
        </w:rPr>
        <w:t xml:space="preserve"> rent reduction is established at the mid-range of the tier.  </w:t>
      </w:r>
    </w:p>
    <w:p w14:paraId="1915ADF6" w14:textId="77777777" w:rsidR="00B2304E" w:rsidRPr="001D622B" w:rsidRDefault="00B2304E" w:rsidP="00B2304E">
      <w:pPr>
        <w:rPr>
          <w:rFonts w:ascii="Century Gothic" w:hAnsi="Century Gothic"/>
          <w:szCs w:val="22"/>
        </w:rPr>
      </w:pPr>
    </w:p>
    <w:p w14:paraId="6FBF74EE"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Households with exceptional expenses will receive a direct reduction of the monthly rent.  However, no tenant’s rent will be reduced below a rent of $50.00 as a result.  </w:t>
      </w:r>
    </w:p>
    <w:p w14:paraId="1EF5C201" w14:textId="77777777" w:rsidR="00B2304E" w:rsidRPr="001D622B" w:rsidRDefault="00B2304E" w:rsidP="00B2304E">
      <w:pPr>
        <w:rPr>
          <w:rFonts w:ascii="Century Gothic" w:hAnsi="Century Gothic"/>
          <w:szCs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4177"/>
      </w:tblGrid>
      <w:tr w:rsidR="00B2304E" w:rsidRPr="006D6566" w14:paraId="77B8F66E" w14:textId="77777777" w:rsidTr="00310FD8">
        <w:tc>
          <w:tcPr>
            <w:tcW w:w="4156" w:type="dxa"/>
          </w:tcPr>
          <w:p w14:paraId="5520576F" w14:textId="77777777" w:rsidR="00B2304E" w:rsidRPr="001D622B" w:rsidRDefault="00B2304E" w:rsidP="00310FD8">
            <w:pPr>
              <w:rPr>
                <w:rFonts w:ascii="Century Gothic" w:hAnsi="Century Gothic"/>
                <w:b/>
                <w:bCs/>
                <w:szCs w:val="22"/>
              </w:rPr>
            </w:pPr>
            <w:r w:rsidRPr="001D622B">
              <w:rPr>
                <w:rFonts w:ascii="Century Gothic" w:hAnsi="Century Gothic"/>
                <w:b/>
                <w:szCs w:val="22"/>
              </w:rPr>
              <w:t>Tiered Amount of Expenses</w:t>
            </w:r>
          </w:p>
        </w:tc>
        <w:tc>
          <w:tcPr>
            <w:tcW w:w="4177" w:type="dxa"/>
          </w:tcPr>
          <w:p w14:paraId="54C72A92" w14:textId="77777777" w:rsidR="00B2304E" w:rsidRPr="001D622B" w:rsidRDefault="00B2304E" w:rsidP="00310FD8">
            <w:pPr>
              <w:rPr>
                <w:rFonts w:ascii="Century Gothic" w:hAnsi="Century Gothic"/>
                <w:b/>
                <w:bCs/>
                <w:szCs w:val="22"/>
              </w:rPr>
            </w:pPr>
            <w:r w:rsidRPr="001D622B">
              <w:rPr>
                <w:rFonts w:ascii="Century Gothic" w:hAnsi="Century Gothic"/>
                <w:b/>
                <w:szCs w:val="22"/>
              </w:rPr>
              <w:t>Monthly Rent Reduction</w:t>
            </w:r>
          </w:p>
        </w:tc>
      </w:tr>
      <w:tr w:rsidR="00B2304E" w:rsidRPr="006D6566" w14:paraId="102A028F" w14:textId="77777777" w:rsidTr="00310FD8">
        <w:tc>
          <w:tcPr>
            <w:tcW w:w="4156" w:type="dxa"/>
          </w:tcPr>
          <w:p w14:paraId="0DD2E089" w14:textId="77777777" w:rsidR="00B2304E" w:rsidRPr="001D622B" w:rsidRDefault="00B2304E" w:rsidP="00310FD8">
            <w:pPr>
              <w:rPr>
                <w:rFonts w:ascii="Century Gothic" w:hAnsi="Century Gothic"/>
                <w:szCs w:val="22"/>
              </w:rPr>
            </w:pPr>
            <w:r w:rsidRPr="001D622B">
              <w:rPr>
                <w:rFonts w:ascii="Century Gothic" w:hAnsi="Century Gothic"/>
                <w:szCs w:val="22"/>
              </w:rPr>
              <w:t>$ 2,000 - $ 3,999</w:t>
            </w:r>
          </w:p>
        </w:tc>
        <w:tc>
          <w:tcPr>
            <w:tcW w:w="4177" w:type="dxa"/>
          </w:tcPr>
          <w:p w14:paraId="6DFCA3EF" w14:textId="1E93760D" w:rsidR="00B2304E" w:rsidRPr="001D622B" w:rsidRDefault="00B2304E" w:rsidP="00310FD8">
            <w:pPr>
              <w:rPr>
                <w:rFonts w:ascii="Century Gothic" w:hAnsi="Century Gothic"/>
                <w:szCs w:val="22"/>
              </w:rPr>
            </w:pPr>
            <w:r w:rsidRPr="001D622B">
              <w:rPr>
                <w:rFonts w:ascii="Century Gothic" w:hAnsi="Century Gothic"/>
                <w:szCs w:val="22"/>
              </w:rPr>
              <w:t xml:space="preserve">$ </w:t>
            </w:r>
            <w:r w:rsidR="00E27A6F" w:rsidRPr="001D622B">
              <w:rPr>
                <w:rFonts w:ascii="Century Gothic" w:hAnsi="Century Gothic"/>
                <w:szCs w:val="22"/>
              </w:rPr>
              <w:t>75 (</w:t>
            </w:r>
            <w:r w:rsidRPr="001D622B">
              <w:rPr>
                <w:rFonts w:ascii="Century Gothic" w:hAnsi="Century Gothic"/>
                <w:szCs w:val="22"/>
              </w:rPr>
              <w:t>equivalent to $3,000 deduction)</w:t>
            </w:r>
          </w:p>
        </w:tc>
      </w:tr>
      <w:tr w:rsidR="00B2304E" w:rsidRPr="006D6566" w14:paraId="5AD3D0B7" w14:textId="77777777" w:rsidTr="00310FD8">
        <w:tc>
          <w:tcPr>
            <w:tcW w:w="4156" w:type="dxa"/>
          </w:tcPr>
          <w:p w14:paraId="36B0EFCE" w14:textId="77777777" w:rsidR="00B2304E" w:rsidRPr="001D622B" w:rsidRDefault="00B2304E" w:rsidP="00310FD8">
            <w:pPr>
              <w:rPr>
                <w:rFonts w:ascii="Century Gothic" w:hAnsi="Century Gothic"/>
                <w:szCs w:val="22"/>
              </w:rPr>
            </w:pPr>
            <w:r w:rsidRPr="001D622B">
              <w:rPr>
                <w:rFonts w:ascii="Century Gothic" w:hAnsi="Century Gothic"/>
                <w:szCs w:val="22"/>
              </w:rPr>
              <w:t>$ 4,000 - $ 5,999</w:t>
            </w:r>
          </w:p>
        </w:tc>
        <w:tc>
          <w:tcPr>
            <w:tcW w:w="4177" w:type="dxa"/>
          </w:tcPr>
          <w:p w14:paraId="3CEC9318" w14:textId="60EF779A" w:rsidR="00B2304E" w:rsidRPr="001D622B" w:rsidRDefault="00B2304E" w:rsidP="00310FD8">
            <w:pPr>
              <w:rPr>
                <w:rFonts w:ascii="Century Gothic" w:hAnsi="Century Gothic"/>
                <w:szCs w:val="22"/>
              </w:rPr>
            </w:pPr>
            <w:r w:rsidRPr="001D622B">
              <w:rPr>
                <w:rFonts w:ascii="Century Gothic" w:hAnsi="Century Gothic"/>
                <w:szCs w:val="22"/>
              </w:rPr>
              <w:t xml:space="preserve">$ </w:t>
            </w:r>
            <w:r w:rsidR="00E27A6F" w:rsidRPr="001D622B">
              <w:rPr>
                <w:rFonts w:ascii="Century Gothic" w:hAnsi="Century Gothic"/>
                <w:szCs w:val="22"/>
              </w:rPr>
              <w:t>125 (</w:t>
            </w:r>
            <w:r w:rsidRPr="001D622B">
              <w:rPr>
                <w:rFonts w:ascii="Century Gothic" w:hAnsi="Century Gothic"/>
                <w:szCs w:val="22"/>
              </w:rPr>
              <w:t>equivalent to $5,000 deduction)</w:t>
            </w:r>
          </w:p>
        </w:tc>
      </w:tr>
      <w:tr w:rsidR="00B2304E" w:rsidRPr="006D6566" w14:paraId="1DF83B78" w14:textId="77777777" w:rsidTr="00310FD8">
        <w:tc>
          <w:tcPr>
            <w:tcW w:w="4156" w:type="dxa"/>
          </w:tcPr>
          <w:p w14:paraId="0AFAE3E3" w14:textId="77777777" w:rsidR="00B2304E" w:rsidRPr="001D622B" w:rsidRDefault="00B2304E" w:rsidP="00310FD8">
            <w:pPr>
              <w:rPr>
                <w:rFonts w:ascii="Century Gothic" w:hAnsi="Century Gothic"/>
                <w:szCs w:val="22"/>
              </w:rPr>
            </w:pPr>
            <w:r w:rsidRPr="001D622B">
              <w:rPr>
                <w:rFonts w:ascii="Century Gothic" w:hAnsi="Century Gothic"/>
                <w:szCs w:val="22"/>
              </w:rPr>
              <w:t>$ 6,000 +</w:t>
            </w:r>
          </w:p>
        </w:tc>
        <w:tc>
          <w:tcPr>
            <w:tcW w:w="4177" w:type="dxa"/>
          </w:tcPr>
          <w:p w14:paraId="5605220D" w14:textId="77777777" w:rsidR="00B2304E" w:rsidRPr="001D622B" w:rsidRDefault="00B2304E" w:rsidP="00310FD8">
            <w:pPr>
              <w:rPr>
                <w:rFonts w:ascii="Century Gothic" w:hAnsi="Century Gothic"/>
                <w:szCs w:val="22"/>
              </w:rPr>
            </w:pPr>
            <w:r w:rsidRPr="001D622B">
              <w:rPr>
                <w:rFonts w:ascii="Century Gothic" w:hAnsi="Century Gothic"/>
                <w:szCs w:val="22"/>
              </w:rPr>
              <w:t>Hardship Review</w:t>
            </w:r>
          </w:p>
        </w:tc>
      </w:tr>
    </w:tbl>
    <w:p w14:paraId="570E2FE7" w14:textId="77777777" w:rsidR="00B2304E" w:rsidRPr="001D622B" w:rsidRDefault="00B2304E" w:rsidP="00B2304E">
      <w:pPr>
        <w:rPr>
          <w:rFonts w:ascii="Century Gothic" w:hAnsi="Century Gothic"/>
          <w:b/>
          <w:szCs w:val="22"/>
        </w:rPr>
      </w:pPr>
    </w:p>
    <w:p w14:paraId="56508B6E" w14:textId="77777777" w:rsidR="00B2304E" w:rsidRPr="001D622B" w:rsidRDefault="00B2304E" w:rsidP="00B2304E">
      <w:pPr>
        <w:rPr>
          <w:rFonts w:ascii="Century Gothic" w:hAnsi="Century Gothic"/>
          <w:b/>
          <w:szCs w:val="22"/>
        </w:rPr>
      </w:pPr>
      <w:bookmarkStart w:id="347" w:name="_Toc518556107"/>
      <w:bookmarkStart w:id="348" w:name="_Toc3305675"/>
      <w:r w:rsidRPr="001D622B">
        <w:rPr>
          <w:rFonts w:ascii="Century Gothic" w:hAnsi="Century Gothic"/>
          <w:b/>
          <w:szCs w:val="22"/>
        </w:rPr>
        <w:t>Changes in Family Composition</w:t>
      </w:r>
    </w:p>
    <w:p w14:paraId="6B01E4FB" w14:textId="32AF0553" w:rsidR="00B2304E" w:rsidRPr="001D622B" w:rsidRDefault="00B2304E" w:rsidP="00B2304E">
      <w:pPr>
        <w:rPr>
          <w:rFonts w:ascii="Century Gothic" w:hAnsi="Century Gothic"/>
          <w:szCs w:val="22"/>
        </w:rPr>
      </w:pPr>
      <w:r w:rsidRPr="001D622B">
        <w:rPr>
          <w:rFonts w:ascii="Century Gothic" w:hAnsi="Century Gothic"/>
          <w:spacing w:val="5"/>
          <w:szCs w:val="22"/>
        </w:rPr>
        <w:t xml:space="preserve">Residents are still required to get permission from the Housing Manager and the Director of </w:t>
      </w:r>
      <w:r w:rsidR="0055544B" w:rsidRPr="001D622B">
        <w:rPr>
          <w:rFonts w:ascii="Century Gothic" w:hAnsi="Century Gothic"/>
          <w:spacing w:val="5"/>
          <w:szCs w:val="22"/>
        </w:rPr>
        <w:t>Housing</w:t>
      </w:r>
      <w:r w:rsidRPr="001D622B">
        <w:rPr>
          <w:rFonts w:ascii="Century Gothic" w:hAnsi="Century Gothic"/>
          <w:spacing w:val="5"/>
          <w:szCs w:val="22"/>
        </w:rPr>
        <w:t xml:space="preserve"> Management to add anyone to a </w:t>
      </w:r>
      <w:r w:rsidRPr="001D622B">
        <w:rPr>
          <w:rFonts w:ascii="Century Gothic" w:hAnsi="Century Gothic"/>
          <w:spacing w:val="3"/>
          <w:szCs w:val="22"/>
        </w:rPr>
        <w:t xml:space="preserve">household and to report changes in family composition. </w:t>
      </w:r>
      <w:r w:rsidRPr="001D622B">
        <w:rPr>
          <w:rFonts w:ascii="Century Gothic" w:hAnsi="Century Gothic"/>
          <w:szCs w:val="22"/>
        </w:rPr>
        <w:t>A family's rent is recalculated if the addition or subtraction of a household member results in an income change of $200.00 per month or more, or that causes the family to move from one income tier to another. This increase in rent does not count as an interim reexamination.</w:t>
      </w:r>
    </w:p>
    <w:p w14:paraId="42BA7236" w14:textId="77777777" w:rsidR="00B2304E" w:rsidRPr="001D622B" w:rsidRDefault="00B2304E" w:rsidP="00B2304E">
      <w:pPr>
        <w:rPr>
          <w:rFonts w:ascii="Century Gothic" w:hAnsi="Century Gothic"/>
          <w:szCs w:val="22"/>
        </w:rPr>
      </w:pPr>
      <w:r w:rsidRPr="001D622B">
        <w:rPr>
          <w:rFonts w:ascii="Century Gothic" w:hAnsi="Century Gothic"/>
          <w:szCs w:val="22"/>
        </w:rPr>
        <w:t>Mandatory Interim Reexaminations Policy</w:t>
      </w:r>
    </w:p>
    <w:p w14:paraId="05BC535E"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 xml:space="preserve">Residents must request an interim reexamination if any of the following conditions occur: </w:t>
      </w:r>
    </w:p>
    <w:p w14:paraId="24D6F725" w14:textId="77777777" w:rsidR="00B2304E" w:rsidRPr="001D622B" w:rsidRDefault="00B2304E" w:rsidP="00B2304E">
      <w:pPr>
        <w:rPr>
          <w:rFonts w:ascii="Century Gothic" w:hAnsi="Century Gothic"/>
          <w:spacing w:val="1"/>
          <w:szCs w:val="22"/>
        </w:rPr>
      </w:pPr>
    </w:p>
    <w:p w14:paraId="65D4108B"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Change in family composition that affects the voucher size or bedroom size.</w:t>
      </w:r>
    </w:p>
    <w:p w14:paraId="138B96FD" w14:textId="77777777" w:rsidR="00B2304E" w:rsidRPr="001D622B" w:rsidRDefault="00B2304E" w:rsidP="00B2304E">
      <w:pPr>
        <w:rPr>
          <w:rFonts w:ascii="Century Gothic" w:hAnsi="Century Gothic"/>
          <w:spacing w:val="1"/>
          <w:szCs w:val="22"/>
        </w:rPr>
      </w:pPr>
    </w:p>
    <w:p w14:paraId="6D2C305D"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The addition of a family member 18 years of age or older</w:t>
      </w:r>
    </w:p>
    <w:p w14:paraId="5348526D" w14:textId="77777777" w:rsidR="00B2304E" w:rsidRPr="001D622B" w:rsidRDefault="00B2304E" w:rsidP="00B2304E">
      <w:pPr>
        <w:rPr>
          <w:rFonts w:ascii="Century Gothic" w:hAnsi="Century Gothic"/>
          <w:spacing w:val="1"/>
          <w:szCs w:val="22"/>
        </w:rPr>
      </w:pPr>
    </w:p>
    <w:p w14:paraId="188EF624"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Change in family composition that causes the family to move from one income tier to another with a higher rent schedule.</w:t>
      </w:r>
    </w:p>
    <w:p w14:paraId="3F85950D" w14:textId="77777777" w:rsidR="00B2304E" w:rsidRPr="001D622B" w:rsidRDefault="00B2304E" w:rsidP="00B2304E">
      <w:pPr>
        <w:rPr>
          <w:rFonts w:ascii="Century Gothic" w:hAnsi="Century Gothic"/>
          <w:spacing w:val="1"/>
          <w:szCs w:val="22"/>
        </w:rPr>
      </w:pPr>
    </w:p>
    <w:p w14:paraId="02B3E2A0" w14:textId="2935A048" w:rsidR="00B2304E" w:rsidRPr="001D622B" w:rsidRDefault="00B2304E" w:rsidP="00B2304E">
      <w:pPr>
        <w:rPr>
          <w:rFonts w:ascii="Century Gothic" w:hAnsi="Century Gothic"/>
          <w:spacing w:val="1"/>
          <w:szCs w:val="22"/>
        </w:rPr>
      </w:pPr>
      <w:r w:rsidRPr="001D622B">
        <w:rPr>
          <w:rFonts w:ascii="Century Gothic" w:hAnsi="Century Gothic"/>
          <w:spacing w:val="1"/>
          <w:szCs w:val="22"/>
        </w:rPr>
        <w:t>Addition of a live-in aid</w:t>
      </w:r>
    </w:p>
    <w:p w14:paraId="4A09D1DE" w14:textId="77777777" w:rsidR="00B2304E" w:rsidRPr="001D622B" w:rsidRDefault="00B2304E" w:rsidP="00B2304E">
      <w:pPr>
        <w:rPr>
          <w:rFonts w:ascii="Century Gothic" w:hAnsi="Century Gothic"/>
          <w:b/>
          <w:szCs w:val="22"/>
        </w:rPr>
      </w:pPr>
      <w:r w:rsidRPr="001D622B">
        <w:rPr>
          <w:rFonts w:ascii="Century Gothic" w:hAnsi="Century Gothic"/>
          <w:spacing w:val="7"/>
          <w:szCs w:val="22"/>
        </w:rPr>
        <w:t>Income increase following a</w:t>
      </w:r>
      <w:r w:rsidRPr="001D622B">
        <w:rPr>
          <w:rFonts w:ascii="Century Gothic" w:hAnsi="Century Gothic"/>
          <w:spacing w:val="1"/>
          <w:szCs w:val="22"/>
        </w:rPr>
        <w:t xml:space="preserve">n interim rent reduction </w:t>
      </w:r>
    </w:p>
    <w:p w14:paraId="75C4FEE6" w14:textId="77777777" w:rsidR="00B2304E" w:rsidRPr="001D622B" w:rsidRDefault="00B2304E" w:rsidP="00B2304E">
      <w:pPr>
        <w:rPr>
          <w:rFonts w:ascii="Century Gothic" w:hAnsi="Century Gothic"/>
          <w:szCs w:val="22"/>
        </w:rPr>
      </w:pPr>
    </w:p>
    <w:p w14:paraId="2173B8D0"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If ECC/HANH grants an exceptional deduction for any family and there is a subsequent change then the family must report that change to ECC/HANH.</w:t>
      </w:r>
    </w:p>
    <w:p w14:paraId="6F85D5C2" w14:textId="77777777" w:rsidR="00B2304E" w:rsidRPr="001D622B" w:rsidRDefault="00B2304E" w:rsidP="00B2304E">
      <w:pPr>
        <w:rPr>
          <w:rFonts w:ascii="Century Gothic" w:hAnsi="Century Gothic"/>
          <w:szCs w:val="22"/>
        </w:rPr>
      </w:pPr>
    </w:p>
    <w:p w14:paraId="7C665747" w14:textId="77777777" w:rsidR="00B2304E" w:rsidRPr="00CC5826" w:rsidRDefault="00B2304E" w:rsidP="00B2304E">
      <w:pPr>
        <w:rPr>
          <w:rFonts w:ascii="Century Gothic" w:hAnsi="Century Gothic"/>
          <w:b/>
          <w:bCs/>
          <w:szCs w:val="22"/>
        </w:rPr>
      </w:pPr>
      <w:r w:rsidRPr="00CC5826">
        <w:rPr>
          <w:rFonts w:ascii="Century Gothic" w:hAnsi="Century Gothic"/>
          <w:b/>
          <w:bCs/>
          <w:szCs w:val="22"/>
        </w:rPr>
        <w:t>Optional Interim Reexaminations Policy</w:t>
      </w:r>
    </w:p>
    <w:p w14:paraId="7D2F3CE5"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Residents have the option to request three (3) interim reexaminations during every twelve (12) month period. Interims may be granted in the following instances:</w:t>
      </w:r>
    </w:p>
    <w:p w14:paraId="18401202" w14:textId="77777777" w:rsidR="00B2304E" w:rsidRPr="001D622B" w:rsidRDefault="00B2304E" w:rsidP="00B2304E">
      <w:pPr>
        <w:rPr>
          <w:rFonts w:ascii="Century Gothic" w:hAnsi="Century Gothic"/>
          <w:spacing w:val="1"/>
          <w:szCs w:val="22"/>
        </w:rPr>
      </w:pPr>
    </w:p>
    <w:p w14:paraId="6CFF9118"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 xml:space="preserve">Decrease in family income that is expected to last 90 days or more if it </w:t>
      </w:r>
      <w:proofErr w:type="gramStart"/>
      <w:r w:rsidRPr="001D622B">
        <w:rPr>
          <w:rFonts w:ascii="Century Gothic" w:hAnsi="Century Gothic"/>
          <w:spacing w:val="1"/>
          <w:szCs w:val="22"/>
        </w:rPr>
        <w:t>will result</w:t>
      </w:r>
      <w:proofErr w:type="gramEnd"/>
      <w:r w:rsidRPr="001D622B">
        <w:rPr>
          <w:rFonts w:ascii="Century Gothic" w:hAnsi="Century Gothic"/>
          <w:spacing w:val="1"/>
          <w:szCs w:val="22"/>
        </w:rPr>
        <w:t xml:space="preserve"> in a change in the family’s income tier (</w:t>
      </w:r>
      <w:proofErr w:type="gramStart"/>
      <w:r w:rsidRPr="001D622B">
        <w:rPr>
          <w:rFonts w:ascii="Century Gothic" w:hAnsi="Century Gothic"/>
          <w:spacing w:val="1"/>
          <w:szCs w:val="22"/>
        </w:rPr>
        <w:t>exclude</w:t>
      </w:r>
      <w:proofErr w:type="gramEnd"/>
      <w:r w:rsidRPr="001D622B">
        <w:rPr>
          <w:rFonts w:ascii="Century Gothic" w:hAnsi="Century Gothic"/>
          <w:spacing w:val="1"/>
          <w:szCs w:val="22"/>
        </w:rPr>
        <w:t xml:space="preserve"> seasonal workers; see below)</w:t>
      </w:r>
    </w:p>
    <w:p w14:paraId="236E32AB" w14:textId="77777777" w:rsidR="00B2304E" w:rsidRPr="001D622B" w:rsidRDefault="00B2304E" w:rsidP="00B2304E">
      <w:pPr>
        <w:rPr>
          <w:rFonts w:ascii="Century Gothic" w:hAnsi="Century Gothic"/>
          <w:spacing w:val="1"/>
          <w:szCs w:val="22"/>
        </w:rPr>
      </w:pPr>
    </w:p>
    <w:p w14:paraId="559A81CB"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Increase in Exceptional Expenses of at least $2,000.00</w:t>
      </w:r>
    </w:p>
    <w:p w14:paraId="23722104" w14:textId="77777777" w:rsidR="00B2304E" w:rsidRPr="001D622B" w:rsidRDefault="00B2304E" w:rsidP="00B2304E">
      <w:pPr>
        <w:rPr>
          <w:rFonts w:ascii="Century Gothic" w:hAnsi="Century Gothic"/>
          <w:spacing w:val="1"/>
          <w:szCs w:val="22"/>
        </w:rPr>
      </w:pPr>
    </w:p>
    <w:p w14:paraId="6C6948E1" w14:textId="2E9CA57E" w:rsidR="00B2304E" w:rsidRPr="001D622B" w:rsidRDefault="00B2304E" w:rsidP="00B2304E">
      <w:pPr>
        <w:rPr>
          <w:rFonts w:ascii="Century Gothic" w:hAnsi="Century Gothic"/>
          <w:spacing w:val="1"/>
          <w:szCs w:val="22"/>
        </w:rPr>
      </w:pPr>
      <w:r w:rsidRPr="001D622B">
        <w:rPr>
          <w:rFonts w:ascii="Century Gothic" w:hAnsi="Century Gothic"/>
          <w:spacing w:val="1"/>
          <w:szCs w:val="22"/>
        </w:rPr>
        <w:t xml:space="preserve">Interim rents normally remain in place until the next scheduled reexamination. If a family experiences an increase in </w:t>
      </w:r>
      <w:proofErr w:type="gramStart"/>
      <w:r w:rsidRPr="001D622B">
        <w:rPr>
          <w:rFonts w:ascii="Century Gothic" w:hAnsi="Century Gothic"/>
          <w:spacing w:val="1"/>
          <w:szCs w:val="22"/>
        </w:rPr>
        <w:t>income</w:t>
      </w:r>
      <w:proofErr w:type="gramEnd"/>
      <w:r w:rsidRPr="001D622B">
        <w:rPr>
          <w:rFonts w:ascii="Century Gothic" w:hAnsi="Century Gothic"/>
          <w:spacing w:val="1"/>
          <w:szCs w:val="22"/>
        </w:rPr>
        <w:t xml:space="preserve"> it is not necessary for the family to report this increase in income until the next scheduled certification date, except when the increase occurs after an interim decrease has been processed.  This rule does not apply to Hardships. See language related to </w:t>
      </w:r>
      <w:r w:rsidR="00272BC4" w:rsidRPr="001D622B">
        <w:rPr>
          <w:rFonts w:ascii="Century Gothic" w:hAnsi="Century Gothic"/>
          <w:spacing w:val="1"/>
          <w:szCs w:val="22"/>
        </w:rPr>
        <w:t>hardships.</w:t>
      </w:r>
    </w:p>
    <w:p w14:paraId="1E1DC2F2" w14:textId="77777777" w:rsidR="00B2304E" w:rsidRPr="001D622B" w:rsidRDefault="00B2304E" w:rsidP="00B2304E">
      <w:pPr>
        <w:rPr>
          <w:rFonts w:ascii="Century Gothic" w:hAnsi="Century Gothic"/>
          <w:spacing w:val="1"/>
          <w:szCs w:val="22"/>
        </w:rPr>
      </w:pPr>
    </w:p>
    <w:p w14:paraId="76CC8445" w14:textId="77777777" w:rsidR="00B2304E" w:rsidRPr="001D622B" w:rsidRDefault="00B2304E" w:rsidP="00B2304E">
      <w:pPr>
        <w:rPr>
          <w:rFonts w:ascii="Century Gothic" w:hAnsi="Century Gothic"/>
          <w:spacing w:val="1"/>
          <w:szCs w:val="22"/>
        </w:rPr>
      </w:pPr>
      <w:r w:rsidRPr="001D622B">
        <w:rPr>
          <w:rFonts w:ascii="Century Gothic" w:hAnsi="Century Gothic"/>
          <w:spacing w:val="1"/>
          <w:szCs w:val="22"/>
        </w:rPr>
        <w:t xml:space="preserve">Households receiving a requested interim rent reduction must report any </w:t>
      </w:r>
      <w:r w:rsidRPr="001D622B">
        <w:rPr>
          <w:rFonts w:ascii="Century Gothic" w:hAnsi="Century Gothic"/>
          <w:spacing w:val="7"/>
          <w:szCs w:val="22"/>
        </w:rPr>
        <w:t>subsequent income increase to ECC/HANH within thirty (30) days of occurrence. Failure to r</w:t>
      </w:r>
      <w:r w:rsidRPr="001D622B">
        <w:rPr>
          <w:rFonts w:ascii="Century Gothic" w:hAnsi="Century Gothic"/>
          <w:spacing w:val="2"/>
          <w:szCs w:val="22"/>
        </w:rPr>
        <w:t xml:space="preserve">eport the change within thirty (30) days results in retroactive rent changes, and depending on the severity </w:t>
      </w:r>
      <w:r w:rsidRPr="001D622B">
        <w:rPr>
          <w:rFonts w:ascii="Century Gothic" w:hAnsi="Century Gothic"/>
          <w:spacing w:val="1"/>
          <w:szCs w:val="22"/>
        </w:rPr>
        <w:t xml:space="preserve">of the circumstances, lease termination. </w:t>
      </w:r>
    </w:p>
    <w:p w14:paraId="1EFB3A6A" w14:textId="77777777" w:rsidR="00B2304E" w:rsidRPr="001D622B" w:rsidRDefault="00B2304E" w:rsidP="00B2304E">
      <w:pPr>
        <w:rPr>
          <w:rFonts w:ascii="Century Gothic" w:hAnsi="Century Gothic"/>
          <w:spacing w:val="1"/>
          <w:szCs w:val="22"/>
        </w:rPr>
      </w:pPr>
    </w:p>
    <w:p w14:paraId="26FCA4FD" w14:textId="4AF734FE" w:rsidR="00B2304E" w:rsidRPr="001D622B" w:rsidRDefault="00B2304E" w:rsidP="00B2304E">
      <w:pPr>
        <w:rPr>
          <w:rFonts w:ascii="Century Gothic" w:hAnsi="Century Gothic"/>
          <w:spacing w:val="1"/>
          <w:szCs w:val="22"/>
        </w:rPr>
      </w:pPr>
      <w:r w:rsidRPr="001D622B">
        <w:rPr>
          <w:rFonts w:ascii="Century Gothic" w:hAnsi="Century Gothic"/>
          <w:spacing w:val="1"/>
          <w:szCs w:val="22"/>
        </w:rPr>
        <w:t xml:space="preserve">Seasonal workers who are employed for </w:t>
      </w:r>
      <w:proofErr w:type="gramStart"/>
      <w:r w:rsidRPr="001D622B">
        <w:rPr>
          <w:rFonts w:ascii="Century Gothic" w:hAnsi="Century Gothic"/>
          <w:spacing w:val="1"/>
          <w:szCs w:val="22"/>
        </w:rPr>
        <w:t>a period of time</w:t>
      </w:r>
      <w:proofErr w:type="gramEnd"/>
      <w:r w:rsidRPr="001D622B">
        <w:rPr>
          <w:rFonts w:ascii="Century Gothic" w:hAnsi="Century Gothic"/>
          <w:spacing w:val="1"/>
          <w:szCs w:val="22"/>
        </w:rPr>
        <w:t xml:space="preserve"> less than 12 months annually will have their rent calculated over a </w:t>
      </w:r>
      <w:r w:rsidR="00491A91" w:rsidRPr="001D622B">
        <w:rPr>
          <w:rFonts w:ascii="Century Gothic" w:hAnsi="Century Gothic"/>
          <w:spacing w:val="1"/>
          <w:szCs w:val="22"/>
        </w:rPr>
        <w:t>12-month</w:t>
      </w:r>
      <w:r w:rsidRPr="001D622B">
        <w:rPr>
          <w:rFonts w:ascii="Century Gothic" w:hAnsi="Century Gothic"/>
          <w:spacing w:val="1"/>
          <w:szCs w:val="22"/>
        </w:rPr>
        <w:t xml:space="preserve"> period using the 9 or 10 months of income earned. During the months the worker is not actively working, the family will not be able to request a rent reduction as the rent has already been adjusted over a </w:t>
      </w:r>
      <w:r w:rsidR="00491A91" w:rsidRPr="001D622B">
        <w:rPr>
          <w:rFonts w:ascii="Century Gothic" w:hAnsi="Century Gothic"/>
          <w:spacing w:val="1"/>
          <w:szCs w:val="22"/>
        </w:rPr>
        <w:t>12-month</w:t>
      </w:r>
      <w:r w:rsidRPr="001D622B">
        <w:rPr>
          <w:rFonts w:ascii="Century Gothic" w:hAnsi="Century Gothic"/>
          <w:spacing w:val="1"/>
          <w:szCs w:val="22"/>
        </w:rPr>
        <w:t xml:space="preserve"> period.</w:t>
      </w:r>
    </w:p>
    <w:p w14:paraId="08B8C367" w14:textId="77777777" w:rsidR="001342AE" w:rsidRPr="001D622B" w:rsidRDefault="001342AE" w:rsidP="00B2304E">
      <w:pPr>
        <w:rPr>
          <w:rFonts w:ascii="Century Gothic" w:hAnsi="Century Gothic"/>
          <w:spacing w:val="1"/>
          <w:szCs w:val="22"/>
        </w:rPr>
      </w:pPr>
    </w:p>
    <w:p w14:paraId="45524564" w14:textId="77777777" w:rsidR="00B2304E" w:rsidRDefault="00B2304E" w:rsidP="00B2304E">
      <w:pPr>
        <w:rPr>
          <w:rFonts w:ascii="Century Gothic" w:hAnsi="Century Gothic"/>
          <w:spacing w:val="2"/>
          <w:szCs w:val="22"/>
        </w:rPr>
      </w:pPr>
      <w:r w:rsidRPr="001D622B">
        <w:rPr>
          <w:rFonts w:ascii="Century Gothic" w:hAnsi="Century Gothic"/>
          <w:spacing w:val="4"/>
          <w:szCs w:val="22"/>
        </w:rPr>
        <w:t xml:space="preserve">Permanent loss of income (i.e., death of an income </w:t>
      </w:r>
      <w:r w:rsidRPr="001D622B">
        <w:rPr>
          <w:rFonts w:ascii="Century Gothic" w:hAnsi="Century Gothic"/>
          <w:spacing w:val="3"/>
          <w:szCs w:val="22"/>
        </w:rPr>
        <w:t xml:space="preserve">earner) results in a permanent, rather than interim, rent reduction. This decrease in rent </w:t>
      </w:r>
      <w:r w:rsidRPr="001D622B">
        <w:rPr>
          <w:rFonts w:ascii="Century Gothic" w:hAnsi="Century Gothic"/>
          <w:spacing w:val="2"/>
          <w:szCs w:val="22"/>
        </w:rPr>
        <w:t xml:space="preserve">does not count as an interim reexamination. Under </w:t>
      </w:r>
      <w:proofErr w:type="gramStart"/>
      <w:r w:rsidRPr="001D622B">
        <w:rPr>
          <w:rFonts w:ascii="Century Gothic" w:hAnsi="Century Gothic"/>
          <w:spacing w:val="2"/>
          <w:szCs w:val="22"/>
        </w:rPr>
        <w:t>this circumstance</w:t>
      </w:r>
      <w:proofErr w:type="gramEnd"/>
      <w:r w:rsidRPr="001D622B">
        <w:rPr>
          <w:rFonts w:ascii="Century Gothic" w:hAnsi="Century Gothic"/>
          <w:spacing w:val="2"/>
          <w:szCs w:val="22"/>
        </w:rPr>
        <w:t>, the family is not required to report a subsequent increase in income until the next scheduled certification.</w:t>
      </w:r>
    </w:p>
    <w:p w14:paraId="79DE78F8" w14:textId="77777777" w:rsidR="00CC5826" w:rsidRPr="001D622B" w:rsidRDefault="00CC5826" w:rsidP="00B2304E">
      <w:pPr>
        <w:rPr>
          <w:rFonts w:ascii="Century Gothic" w:hAnsi="Century Gothic"/>
          <w:szCs w:val="22"/>
        </w:rPr>
      </w:pPr>
    </w:p>
    <w:p w14:paraId="003CF21C" w14:textId="77777777" w:rsidR="00B2304E" w:rsidRPr="00CC5826" w:rsidRDefault="00B2304E" w:rsidP="00B2304E">
      <w:pPr>
        <w:rPr>
          <w:rFonts w:ascii="Century Gothic" w:hAnsi="Century Gothic"/>
          <w:b/>
          <w:bCs/>
          <w:szCs w:val="22"/>
        </w:rPr>
      </w:pPr>
      <w:r w:rsidRPr="00CC5826">
        <w:rPr>
          <w:rFonts w:ascii="Century Gothic" w:hAnsi="Century Gothic"/>
          <w:b/>
          <w:bCs/>
          <w:szCs w:val="22"/>
        </w:rPr>
        <w:t>Verification of Annual Income from Wages and Salaries and Assets</w:t>
      </w:r>
    </w:p>
    <w:p w14:paraId="3D20DB69" w14:textId="77777777" w:rsidR="00B2304E" w:rsidRPr="001D622B" w:rsidRDefault="00B2304E" w:rsidP="00B2304E">
      <w:pPr>
        <w:rPr>
          <w:rFonts w:ascii="Century Gothic" w:hAnsi="Century Gothic"/>
          <w:szCs w:val="22"/>
        </w:rPr>
      </w:pPr>
      <w:r w:rsidRPr="001D622B">
        <w:rPr>
          <w:rFonts w:ascii="Century Gothic" w:hAnsi="Century Gothic"/>
          <w:szCs w:val="22"/>
        </w:rPr>
        <w:t>To reduce the administrative burden associated with the verification of income ECC/HANH has amended its Admission and Continued Occupancy (ACOP) to specify that:</w:t>
      </w:r>
    </w:p>
    <w:p w14:paraId="308E30AD" w14:textId="77777777" w:rsidR="00B2304E" w:rsidRPr="001D622B" w:rsidRDefault="00B2304E" w:rsidP="00B2304E">
      <w:pPr>
        <w:rPr>
          <w:rFonts w:ascii="Century Gothic" w:hAnsi="Century Gothic"/>
          <w:szCs w:val="22"/>
        </w:rPr>
      </w:pPr>
    </w:p>
    <w:p w14:paraId="59EE236E" w14:textId="72EEB662" w:rsidR="00B2304E" w:rsidRPr="001D622B" w:rsidRDefault="00B2304E" w:rsidP="00B2304E">
      <w:pPr>
        <w:rPr>
          <w:rFonts w:ascii="Century Gothic" w:hAnsi="Century Gothic"/>
          <w:szCs w:val="22"/>
        </w:rPr>
      </w:pPr>
      <w:r w:rsidRPr="001D622B">
        <w:rPr>
          <w:rFonts w:ascii="Century Gothic" w:hAnsi="Century Gothic"/>
          <w:szCs w:val="22"/>
        </w:rPr>
        <w:t xml:space="preserve">For earnings from wages and salaries where Annual Income for the prior period of up to and including $5,000.00, </w:t>
      </w:r>
      <w:r w:rsidR="003A7677" w:rsidRPr="001D622B">
        <w:rPr>
          <w:rFonts w:ascii="Century Gothic" w:hAnsi="Century Gothic"/>
          <w:szCs w:val="22"/>
        </w:rPr>
        <w:t>self-certification</w:t>
      </w:r>
      <w:r w:rsidRPr="001D622B">
        <w:rPr>
          <w:rFonts w:ascii="Century Gothic" w:hAnsi="Century Gothic"/>
          <w:szCs w:val="22"/>
        </w:rPr>
        <w:t xml:space="preserve"> from family is all that shall be required as verification of income. </w:t>
      </w:r>
    </w:p>
    <w:p w14:paraId="1FD210D9" w14:textId="77777777" w:rsidR="00B2304E" w:rsidRPr="001D622B" w:rsidRDefault="00B2304E" w:rsidP="00B2304E">
      <w:pPr>
        <w:rPr>
          <w:rFonts w:ascii="Century Gothic" w:hAnsi="Century Gothic"/>
          <w:szCs w:val="22"/>
        </w:rPr>
      </w:pPr>
    </w:p>
    <w:p w14:paraId="58DD1F29" w14:textId="50D47E2D" w:rsidR="00B2304E" w:rsidRPr="001D622B" w:rsidRDefault="00B2304E" w:rsidP="00B2304E">
      <w:pPr>
        <w:rPr>
          <w:rFonts w:ascii="Century Gothic" w:hAnsi="Century Gothic"/>
          <w:szCs w:val="22"/>
        </w:rPr>
      </w:pPr>
      <w:r w:rsidRPr="001D622B">
        <w:rPr>
          <w:rFonts w:ascii="Century Gothic" w:hAnsi="Century Gothic"/>
          <w:szCs w:val="22"/>
        </w:rPr>
        <w:t xml:space="preserve">For earnings from and salaries of more than $5,000.00 the most recent pay stubs for recent 4 weeks of employment, or W-2 or 1099 within 180 days of the anniversary date shall be required in addition to </w:t>
      </w:r>
      <w:proofErr w:type="gramStart"/>
      <w:r w:rsidRPr="001D622B">
        <w:rPr>
          <w:rFonts w:ascii="Century Gothic" w:hAnsi="Century Gothic"/>
          <w:szCs w:val="22"/>
        </w:rPr>
        <w:t>the self</w:t>
      </w:r>
      <w:proofErr w:type="gramEnd"/>
      <w:r w:rsidRPr="001D622B">
        <w:rPr>
          <w:rFonts w:ascii="Century Gothic" w:hAnsi="Century Gothic"/>
          <w:szCs w:val="22"/>
        </w:rPr>
        <w:t xml:space="preserve">-certification, but only to the extent that verification of Annual Income is not available from a </w:t>
      </w:r>
      <w:r w:rsidR="009A2E04" w:rsidRPr="001D622B">
        <w:rPr>
          <w:rFonts w:ascii="Century Gothic" w:hAnsi="Century Gothic"/>
          <w:szCs w:val="22"/>
        </w:rPr>
        <w:t>third-party</w:t>
      </w:r>
      <w:r w:rsidRPr="001D622B">
        <w:rPr>
          <w:rFonts w:ascii="Century Gothic" w:hAnsi="Century Gothic"/>
          <w:szCs w:val="22"/>
        </w:rPr>
        <w:t xml:space="preserve"> source of Upfront Income Verification.</w:t>
      </w:r>
    </w:p>
    <w:p w14:paraId="360148ED" w14:textId="77777777" w:rsidR="00B2304E" w:rsidRPr="001D622B" w:rsidRDefault="00B2304E" w:rsidP="00B2304E">
      <w:pPr>
        <w:rPr>
          <w:rFonts w:ascii="Century Gothic" w:hAnsi="Century Gothic"/>
          <w:szCs w:val="22"/>
        </w:rPr>
      </w:pPr>
    </w:p>
    <w:p w14:paraId="6A578E8D" w14:textId="77777777" w:rsidR="00B2304E" w:rsidRPr="001D622B" w:rsidRDefault="00B2304E" w:rsidP="00B2304E">
      <w:pPr>
        <w:rPr>
          <w:rFonts w:ascii="Century Gothic" w:hAnsi="Century Gothic"/>
          <w:szCs w:val="22"/>
        </w:rPr>
      </w:pPr>
      <w:r w:rsidRPr="001D622B">
        <w:rPr>
          <w:rFonts w:ascii="Century Gothic" w:hAnsi="Century Gothic"/>
          <w:szCs w:val="22"/>
        </w:rPr>
        <w:t>Self-certification of all sources of Annual Income shall be required in all cases.</w:t>
      </w:r>
    </w:p>
    <w:p w14:paraId="3C04AAFD" w14:textId="77777777" w:rsidR="00B2304E" w:rsidRPr="001D622B" w:rsidRDefault="00B2304E" w:rsidP="00B2304E">
      <w:pPr>
        <w:rPr>
          <w:rFonts w:ascii="Century Gothic" w:hAnsi="Century Gothic"/>
          <w:szCs w:val="22"/>
        </w:rPr>
      </w:pPr>
    </w:p>
    <w:p w14:paraId="1A2077BD"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For families with total assets of $50,000.00 or less </w:t>
      </w:r>
      <w:proofErr w:type="gramStart"/>
      <w:r w:rsidRPr="001D622B">
        <w:rPr>
          <w:rFonts w:ascii="Century Gothic" w:hAnsi="Century Gothic"/>
          <w:szCs w:val="22"/>
        </w:rPr>
        <w:t>a self</w:t>
      </w:r>
      <w:proofErr w:type="gramEnd"/>
      <w:r w:rsidRPr="001D622B">
        <w:rPr>
          <w:rFonts w:ascii="Century Gothic" w:hAnsi="Century Gothic"/>
          <w:szCs w:val="22"/>
        </w:rPr>
        <w:t>-certification of said assets shall be required.</w:t>
      </w:r>
    </w:p>
    <w:p w14:paraId="6A9E609A" w14:textId="77777777" w:rsidR="00B2304E" w:rsidRPr="001D622B" w:rsidRDefault="00B2304E" w:rsidP="00B2304E">
      <w:pPr>
        <w:rPr>
          <w:rFonts w:ascii="Century Gothic" w:hAnsi="Century Gothic"/>
          <w:szCs w:val="22"/>
        </w:rPr>
      </w:pPr>
    </w:p>
    <w:p w14:paraId="58ECF712" w14:textId="77777777" w:rsidR="00B2304E" w:rsidRPr="001D622B" w:rsidRDefault="00B2304E" w:rsidP="00B2304E">
      <w:pPr>
        <w:rPr>
          <w:rFonts w:ascii="Century Gothic" w:hAnsi="Century Gothic"/>
          <w:szCs w:val="22"/>
        </w:rPr>
      </w:pPr>
      <w:r w:rsidRPr="001D622B">
        <w:rPr>
          <w:rFonts w:ascii="Century Gothic" w:hAnsi="Century Gothic"/>
          <w:szCs w:val="22"/>
        </w:rPr>
        <w:lastRenderedPageBreak/>
        <w:t>Income Tiered Rents Calculated within $1,000 Bands</w:t>
      </w:r>
      <w:r w:rsidRPr="001D622B">
        <w:rPr>
          <w:rFonts w:ascii="Century Gothic" w:hAnsi="Century Gothic"/>
          <w:szCs w:val="22"/>
        </w:rPr>
        <w:br/>
      </w:r>
      <w:r w:rsidRPr="001D622B">
        <w:rPr>
          <w:rFonts w:ascii="Century Gothic" w:hAnsi="Century Gothic"/>
          <w:spacing w:val="5"/>
          <w:szCs w:val="22"/>
        </w:rPr>
        <w:t xml:space="preserve">Rents are based on $1,000.00 income bands starting at $2,500.00. Using a band-based </w:t>
      </w:r>
      <w:r w:rsidRPr="001D622B">
        <w:rPr>
          <w:rFonts w:ascii="Century Gothic" w:hAnsi="Century Gothic"/>
          <w:spacing w:val="1"/>
          <w:szCs w:val="22"/>
        </w:rPr>
        <w:t xml:space="preserve">rent schedule allows the ECC/HANH and residents to move away from verifying </w:t>
      </w:r>
      <w:proofErr w:type="gramStart"/>
      <w:r w:rsidRPr="001D622B">
        <w:rPr>
          <w:rFonts w:ascii="Century Gothic" w:hAnsi="Century Gothic"/>
          <w:spacing w:val="1"/>
          <w:szCs w:val="22"/>
        </w:rPr>
        <w:t>every last</w:t>
      </w:r>
      <w:proofErr w:type="gramEnd"/>
      <w:r w:rsidRPr="001D622B">
        <w:rPr>
          <w:rFonts w:ascii="Century Gothic" w:hAnsi="Century Gothic"/>
          <w:spacing w:val="1"/>
          <w:szCs w:val="22"/>
        </w:rPr>
        <w:t xml:space="preserve"> dollar </w:t>
      </w:r>
      <w:r w:rsidRPr="001D622B">
        <w:rPr>
          <w:rFonts w:ascii="Century Gothic" w:hAnsi="Century Gothic"/>
          <w:spacing w:val="2"/>
          <w:szCs w:val="22"/>
        </w:rPr>
        <w:t>earned and deducted. (See Exhibit A)</w:t>
      </w:r>
    </w:p>
    <w:p w14:paraId="15CF4270" w14:textId="77777777" w:rsidR="00B2304E" w:rsidRPr="001D622B" w:rsidRDefault="00B2304E" w:rsidP="00B2304E">
      <w:pPr>
        <w:rPr>
          <w:rFonts w:ascii="Century Gothic" w:hAnsi="Century Gothic"/>
          <w:b/>
          <w:bCs/>
          <w:spacing w:val="2"/>
          <w:szCs w:val="22"/>
        </w:rPr>
      </w:pPr>
    </w:p>
    <w:p w14:paraId="4B346E72" w14:textId="4A85A605" w:rsidR="00B2304E" w:rsidRPr="001D622B" w:rsidRDefault="009A2E04" w:rsidP="00B2304E">
      <w:pPr>
        <w:rPr>
          <w:rFonts w:ascii="Century Gothic" w:hAnsi="Century Gothic"/>
          <w:b/>
          <w:bCs/>
          <w:szCs w:val="22"/>
        </w:rPr>
      </w:pPr>
      <w:r w:rsidRPr="001D622B">
        <w:rPr>
          <w:rFonts w:ascii="Century Gothic" w:hAnsi="Century Gothic"/>
          <w:b/>
          <w:szCs w:val="22"/>
        </w:rPr>
        <w:t>On</w:t>
      </w:r>
      <w:r w:rsidR="00B2304E" w:rsidRPr="001D622B">
        <w:rPr>
          <w:rFonts w:ascii="Century Gothic" w:hAnsi="Century Gothic"/>
          <w:b/>
          <w:szCs w:val="22"/>
        </w:rPr>
        <w:t xml:space="preserve"> January 31, 2007, both the median and mode percentage of Total Tenant Payment (TTP) to annual income is 28.5 percent. That is, most families pay 28.5 percent of their family income (before utility allowance) as rent. </w:t>
      </w:r>
      <w:r w:rsidR="00272BC4" w:rsidRPr="001D622B">
        <w:rPr>
          <w:rFonts w:ascii="Century Gothic" w:hAnsi="Century Gothic"/>
          <w:b/>
          <w:szCs w:val="22"/>
        </w:rPr>
        <w:t>Fifty-two</w:t>
      </w:r>
      <w:r w:rsidR="00B2304E" w:rsidRPr="001D622B">
        <w:rPr>
          <w:rFonts w:ascii="Century Gothic" w:hAnsi="Century Gothic"/>
          <w:b/>
          <w:szCs w:val="22"/>
        </w:rPr>
        <w:t xml:space="preserve"> (52) percent of households pay 28 percent or more of annual income for TTP; six percent pay less than 10 percent; 13 percent pay between 10 and 20 percent; and 26 percent pay between 20 and 27 </w:t>
      </w:r>
      <w:proofErr w:type="gramStart"/>
      <w:r w:rsidR="00B2304E" w:rsidRPr="001D622B">
        <w:rPr>
          <w:rFonts w:ascii="Century Gothic" w:hAnsi="Century Gothic"/>
          <w:b/>
          <w:szCs w:val="22"/>
        </w:rPr>
        <w:t>percent of</w:t>
      </w:r>
      <w:proofErr w:type="gramEnd"/>
      <w:r w:rsidR="00B2304E" w:rsidRPr="001D622B">
        <w:rPr>
          <w:rFonts w:ascii="Century Gothic" w:hAnsi="Century Gothic"/>
          <w:b/>
          <w:szCs w:val="22"/>
        </w:rPr>
        <w:t xml:space="preserve"> income as TTP.</w:t>
      </w:r>
    </w:p>
    <w:p w14:paraId="357DE840" w14:textId="77777777" w:rsidR="00B2304E" w:rsidRPr="001D622B" w:rsidRDefault="00B2304E" w:rsidP="00B2304E">
      <w:pPr>
        <w:rPr>
          <w:rFonts w:ascii="Century Gothic" w:hAnsi="Century Gothic"/>
          <w:szCs w:val="22"/>
        </w:rPr>
      </w:pPr>
    </w:p>
    <w:p w14:paraId="3A43BB1D" w14:textId="043EE017" w:rsidR="00B2304E" w:rsidRPr="001D622B" w:rsidRDefault="00B2304E" w:rsidP="00B2304E">
      <w:pPr>
        <w:rPr>
          <w:rFonts w:ascii="Century Gothic" w:hAnsi="Century Gothic"/>
          <w:szCs w:val="22"/>
        </w:rPr>
      </w:pPr>
      <w:r w:rsidRPr="001D622B">
        <w:rPr>
          <w:rFonts w:ascii="Century Gothic" w:hAnsi="Century Gothic"/>
          <w:szCs w:val="22"/>
        </w:rPr>
        <w:t xml:space="preserve">Rent will be set at 28.50 percent of income for income tiers of $1000.00 starting at $2,500.00. The rent will be calculated at the lower end of each tier. For example, for the $2,500.00 to $3,499.00 tier, the rent will be calculated at 28.50 percent of $2,500.00. Families with incomes below $2,500.00 will be charged the minimum rent. Families will be permitted to apply for </w:t>
      </w:r>
      <w:proofErr w:type="gramStart"/>
      <w:r w:rsidRPr="001D622B">
        <w:rPr>
          <w:rFonts w:ascii="Century Gothic" w:hAnsi="Century Gothic"/>
          <w:szCs w:val="22"/>
        </w:rPr>
        <w:t>a hardship</w:t>
      </w:r>
      <w:proofErr w:type="gramEnd"/>
      <w:r w:rsidRPr="001D622B">
        <w:rPr>
          <w:rFonts w:ascii="Century Gothic" w:hAnsi="Century Gothic"/>
          <w:szCs w:val="22"/>
        </w:rPr>
        <w:t xml:space="preserve"> if verifiable proof is provided that </w:t>
      </w:r>
      <w:r w:rsidR="00491A91" w:rsidRPr="001D622B">
        <w:rPr>
          <w:rFonts w:ascii="Century Gothic" w:hAnsi="Century Gothic"/>
          <w:szCs w:val="22"/>
        </w:rPr>
        <w:t>their</w:t>
      </w:r>
      <w:r w:rsidRPr="001D622B">
        <w:rPr>
          <w:rFonts w:ascii="Century Gothic" w:hAnsi="Century Gothic"/>
          <w:szCs w:val="22"/>
        </w:rPr>
        <w:t xml:space="preserve"> total expenses exceed </w:t>
      </w:r>
      <w:r w:rsidR="00272BC4" w:rsidRPr="001D622B">
        <w:rPr>
          <w:rFonts w:ascii="Century Gothic" w:hAnsi="Century Gothic"/>
          <w:szCs w:val="22"/>
        </w:rPr>
        <w:t>$2,000.00.</w:t>
      </w:r>
    </w:p>
    <w:p w14:paraId="536E1589"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Minimum Rents </w:t>
      </w:r>
    </w:p>
    <w:p w14:paraId="413D05FB" w14:textId="77777777" w:rsidR="00B2304E" w:rsidRPr="001D622B" w:rsidRDefault="00B2304E" w:rsidP="00B2304E">
      <w:pPr>
        <w:rPr>
          <w:rFonts w:ascii="Century Gothic" w:hAnsi="Century Gothic"/>
          <w:spacing w:val="2"/>
          <w:szCs w:val="22"/>
        </w:rPr>
      </w:pPr>
    </w:p>
    <w:p w14:paraId="5D1B4686" w14:textId="77777777" w:rsidR="00B2304E" w:rsidRPr="001D622B" w:rsidRDefault="00B2304E" w:rsidP="00B2304E">
      <w:pPr>
        <w:rPr>
          <w:rFonts w:ascii="Century Gothic" w:hAnsi="Century Gothic"/>
          <w:b/>
          <w:bCs/>
          <w:szCs w:val="22"/>
        </w:rPr>
      </w:pPr>
      <w:r w:rsidRPr="001D622B">
        <w:rPr>
          <w:rFonts w:ascii="Century Gothic" w:hAnsi="Century Gothic"/>
          <w:b/>
          <w:spacing w:val="2"/>
          <w:szCs w:val="22"/>
        </w:rPr>
        <w:t>Families with annual income below $2,500.00 will pay a minimum rent of $50.00.  In no event shall any family pay less than 25 percent of its Annual Income for TTP.</w:t>
      </w:r>
    </w:p>
    <w:p w14:paraId="7A6D626F" w14:textId="7D8EC19B" w:rsidR="00B2304E" w:rsidRPr="001D622B" w:rsidRDefault="00B2304E" w:rsidP="00B2304E">
      <w:pPr>
        <w:rPr>
          <w:rFonts w:ascii="Century Gothic" w:hAnsi="Century Gothic"/>
          <w:szCs w:val="22"/>
        </w:rPr>
      </w:pPr>
      <w:r w:rsidRPr="001D622B">
        <w:rPr>
          <w:rFonts w:ascii="Century Gothic" w:hAnsi="Century Gothic"/>
          <w:szCs w:val="22"/>
        </w:rPr>
        <w:t>Zero (0) Income Households</w:t>
      </w:r>
      <w:bookmarkEnd w:id="347"/>
      <w:bookmarkEnd w:id="348"/>
    </w:p>
    <w:p w14:paraId="516641C5" w14:textId="36C9C4A4" w:rsidR="00B2304E" w:rsidRPr="001D622B" w:rsidRDefault="00B2304E" w:rsidP="00B2304E">
      <w:pPr>
        <w:rPr>
          <w:rFonts w:ascii="Century Gothic" w:hAnsi="Century Gothic"/>
          <w:szCs w:val="22"/>
        </w:rPr>
      </w:pPr>
      <w:r w:rsidRPr="001D622B">
        <w:rPr>
          <w:rFonts w:ascii="Century Gothic" w:hAnsi="Century Gothic"/>
          <w:szCs w:val="22"/>
        </w:rPr>
        <w:t xml:space="preserve">A family claiming zero ($0) rent is automatically exempt from the minimum rent requirements for a </w:t>
      </w:r>
      <w:r w:rsidR="009A2E04" w:rsidRPr="001D622B">
        <w:rPr>
          <w:rFonts w:ascii="Century Gothic" w:hAnsi="Century Gothic"/>
          <w:szCs w:val="22"/>
        </w:rPr>
        <w:t>90-day</w:t>
      </w:r>
      <w:r w:rsidRPr="001D622B">
        <w:rPr>
          <w:rFonts w:ascii="Century Gothic" w:hAnsi="Century Gothic"/>
          <w:szCs w:val="22"/>
        </w:rPr>
        <w:t xml:space="preserve"> period when the family’s circumstances fall into any one of the following criteria:</w:t>
      </w:r>
    </w:p>
    <w:p w14:paraId="5AF60FBC" w14:textId="77777777" w:rsidR="00B2304E" w:rsidRPr="001D622B" w:rsidRDefault="00B2304E" w:rsidP="00486062">
      <w:pPr>
        <w:pStyle w:val="ListParagraph"/>
        <w:numPr>
          <w:ilvl w:val="0"/>
          <w:numId w:val="94"/>
        </w:numPr>
        <w:rPr>
          <w:rFonts w:ascii="Century Gothic" w:hAnsi="Century Gothic"/>
          <w:szCs w:val="22"/>
        </w:rPr>
      </w:pPr>
      <w:r w:rsidRPr="001D622B">
        <w:rPr>
          <w:rFonts w:ascii="Century Gothic" w:hAnsi="Century Gothic"/>
          <w:szCs w:val="22"/>
        </w:rPr>
        <w:t xml:space="preserve">When a family has lost eligibility or is awaiting eligibility determination from a Federal, State or local assistance </w:t>
      </w:r>
      <w:proofErr w:type="gramStart"/>
      <w:r w:rsidRPr="001D622B">
        <w:rPr>
          <w:rFonts w:ascii="Century Gothic" w:hAnsi="Century Gothic"/>
          <w:szCs w:val="22"/>
        </w:rPr>
        <w:t>program;</w:t>
      </w:r>
      <w:proofErr w:type="gramEnd"/>
    </w:p>
    <w:p w14:paraId="2CC69217" w14:textId="77777777" w:rsidR="00B2304E" w:rsidRPr="001D622B" w:rsidRDefault="00B2304E" w:rsidP="00486062">
      <w:pPr>
        <w:pStyle w:val="ListParagraph"/>
        <w:numPr>
          <w:ilvl w:val="0"/>
          <w:numId w:val="94"/>
        </w:numPr>
        <w:rPr>
          <w:rFonts w:ascii="Century Gothic" w:hAnsi="Century Gothic"/>
          <w:szCs w:val="22"/>
        </w:rPr>
      </w:pPr>
      <w:r w:rsidRPr="001D622B">
        <w:rPr>
          <w:rFonts w:ascii="Century Gothic" w:hAnsi="Century Gothic"/>
          <w:szCs w:val="22"/>
        </w:rPr>
        <w:t xml:space="preserve">When the family would be evicted because it is unable to pay the minimum </w:t>
      </w:r>
      <w:proofErr w:type="gramStart"/>
      <w:r w:rsidRPr="001D622B">
        <w:rPr>
          <w:rFonts w:ascii="Century Gothic" w:hAnsi="Century Gothic"/>
          <w:szCs w:val="22"/>
        </w:rPr>
        <w:t>rent;</w:t>
      </w:r>
      <w:proofErr w:type="gramEnd"/>
      <w:r w:rsidRPr="001D622B">
        <w:rPr>
          <w:rFonts w:ascii="Century Gothic" w:hAnsi="Century Gothic"/>
          <w:szCs w:val="22"/>
        </w:rPr>
        <w:t xml:space="preserve"> </w:t>
      </w:r>
    </w:p>
    <w:p w14:paraId="58DF3A52" w14:textId="77777777" w:rsidR="00B2304E" w:rsidRPr="001D622B" w:rsidRDefault="00B2304E" w:rsidP="00486062">
      <w:pPr>
        <w:pStyle w:val="ListParagraph"/>
        <w:numPr>
          <w:ilvl w:val="0"/>
          <w:numId w:val="94"/>
        </w:numPr>
        <w:rPr>
          <w:rFonts w:ascii="Century Gothic" w:hAnsi="Century Gothic"/>
          <w:szCs w:val="22"/>
        </w:rPr>
      </w:pPr>
      <w:r w:rsidRPr="001D622B">
        <w:rPr>
          <w:rFonts w:ascii="Century Gothic" w:hAnsi="Century Gothic"/>
          <w:szCs w:val="22"/>
        </w:rPr>
        <w:t xml:space="preserve">When the income of the family has decreased because of changed circumstances, including loss of </w:t>
      </w:r>
      <w:proofErr w:type="gramStart"/>
      <w:r w:rsidRPr="001D622B">
        <w:rPr>
          <w:rFonts w:ascii="Century Gothic" w:hAnsi="Century Gothic"/>
          <w:szCs w:val="22"/>
        </w:rPr>
        <w:t>employment;</w:t>
      </w:r>
      <w:proofErr w:type="gramEnd"/>
    </w:p>
    <w:p w14:paraId="06CD3DF3" w14:textId="77777777" w:rsidR="00B2304E" w:rsidRPr="001D622B" w:rsidRDefault="00B2304E" w:rsidP="00486062">
      <w:pPr>
        <w:pStyle w:val="ListParagraph"/>
        <w:numPr>
          <w:ilvl w:val="0"/>
          <w:numId w:val="94"/>
        </w:numPr>
        <w:rPr>
          <w:rFonts w:ascii="Century Gothic" w:hAnsi="Century Gothic"/>
          <w:szCs w:val="22"/>
        </w:rPr>
      </w:pPr>
      <w:r w:rsidRPr="001D622B">
        <w:rPr>
          <w:rFonts w:ascii="Century Gothic" w:hAnsi="Century Gothic"/>
          <w:szCs w:val="22"/>
        </w:rPr>
        <w:t>When a death in the family has occurred; or</w:t>
      </w:r>
    </w:p>
    <w:p w14:paraId="0ACE44CF" w14:textId="77777777" w:rsidR="00B2304E" w:rsidRPr="001D622B" w:rsidRDefault="00B2304E" w:rsidP="00486062">
      <w:pPr>
        <w:pStyle w:val="ListParagraph"/>
        <w:numPr>
          <w:ilvl w:val="0"/>
          <w:numId w:val="94"/>
        </w:numPr>
        <w:rPr>
          <w:rFonts w:ascii="Century Gothic" w:hAnsi="Century Gothic"/>
          <w:szCs w:val="22"/>
        </w:rPr>
      </w:pPr>
      <w:r w:rsidRPr="001D622B">
        <w:rPr>
          <w:rFonts w:ascii="Century Gothic" w:hAnsi="Century Gothic"/>
          <w:szCs w:val="22"/>
        </w:rPr>
        <w:t xml:space="preserve">Other circumstances determined by ECC/HANH to be reasons to waive the minimum rent requirement (collectively, the "Criteria for Minimum Rent Exemption"). </w:t>
      </w:r>
    </w:p>
    <w:p w14:paraId="26326F26" w14:textId="77777777" w:rsidR="00B2304E" w:rsidRPr="001D622B" w:rsidRDefault="00B2304E" w:rsidP="00B2304E">
      <w:pPr>
        <w:rPr>
          <w:rFonts w:ascii="Century Gothic" w:hAnsi="Century Gothic"/>
          <w:szCs w:val="22"/>
        </w:rPr>
      </w:pPr>
    </w:p>
    <w:p w14:paraId="77DED640" w14:textId="758995BA" w:rsidR="00B2304E" w:rsidRPr="001D622B" w:rsidRDefault="00B2304E" w:rsidP="00B2304E">
      <w:pPr>
        <w:rPr>
          <w:rFonts w:ascii="Century Gothic" w:hAnsi="Century Gothic"/>
          <w:szCs w:val="22"/>
        </w:rPr>
      </w:pPr>
      <w:r w:rsidRPr="001D622B">
        <w:rPr>
          <w:rFonts w:ascii="Century Gothic" w:hAnsi="Century Gothic"/>
          <w:szCs w:val="22"/>
        </w:rPr>
        <w:t xml:space="preserve">If a family is unable to pay the minimum rent because of </w:t>
      </w:r>
      <w:proofErr w:type="gramStart"/>
      <w:r w:rsidRPr="001D622B">
        <w:rPr>
          <w:rFonts w:ascii="Century Gothic" w:hAnsi="Century Gothic"/>
          <w:szCs w:val="22"/>
        </w:rPr>
        <w:t>a financial</w:t>
      </w:r>
      <w:proofErr w:type="gramEnd"/>
      <w:r w:rsidRPr="001D622B">
        <w:rPr>
          <w:rFonts w:ascii="Century Gothic" w:hAnsi="Century Gothic"/>
          <w:szCs w:val="22"/>
        </w:rPr>
        <w:t xml:space="preserve"> hardship, the family is eligible for a temporary or </w:t>
      </w:r>
      <w:r w:rsidR="009A2E04" w:rsidRPr="001D622B">
        <w:rPr>
          <w:rFonts w:ascii="Century Gothic" w:hAnsi="Century Gothic"/>
          <w:szCs w:val="22"/>
        </w:rPr>
        <w:t>long-term</w:t>
      </w:r>
      <w:r w:rsidRPr="001D622B">
        <w:rPr>
          <w:rFonts w:ascii="Century Gothic" w:hAnsi="Century Gothic"/>
          <w:szCs w:val="22"/>
        </w:rPr>
        <w:t xml:space="preserve"> exemption from the minimum rent </w:t>
      </w:r>
      <w:proofErr w:type="gramStart"/>
      <w:r w:rsidRPr="001D622B">
        <w:rPr>
          <w:rFonts w:ascii="Century Gothic" w:hAnsi="Century Gothic"/>
          <w:szCs w:val="22"/>
        </w:rPr>
        <w:t>requirement</w:t>
      </w:r>
      <w:proofErr w:type="gramEnd"/>
      <w:r w:rsidRPr="001D622B">
        <w:rPr>
          <w:rFonts w:ascii="Century Gothic" w:hAnsi="Century Gothic"/>
          <w:szCs w:val="22"/>
        </w:rPr>
        <w:t xml:space="preserve"> and the HAP will be adjusted accordingly.  </w:t>
      </w:r>
    </w:p>
    <w:p w14:paraId="3ACE4019" w14:textId="77777777" w:rsidR="00B2304E" w:rsidRPr="001D622B" w:rsidRDefault="00B2304E" w:rsidP="00B2304E">
      <w:pPr>
        <w:rPr>
          <w:rFonts w:ascii="Century Gothic" w:hAnsi="Century Gothic"/>
          <w:szCs w:val="22"/>
        </w:rPr>
      </w:pPr>
    </w:p>
    <w:p w14:paraId="157DD9D3" w14:textId="77777777" w:rsidR="00B2304E" w:rsidRPr="001D622B" w:rsidRDefault="00B2304E" w:rsidP="00B2304E">
      <w:pPr>
        <w:rPr>
          <w:rFonts w:ascii="Century Gothic" w:hAnsi="Century Gothic"/>
          <w:szCs w:val="22"/>
        </w:rPr>
      </w:pPr>
      <w:r w:rsidRPr="001D622B">
        <w:rPr>
          <w:rFonts w:ascii="Century Gothic" w:hAnsi="Century Gothic"/>
          <w:szCs w:val="22"/>
        </w:rPr>
        <w:t>A temporary hardship exemption exists when none of the above criteria is expected to last for more than 90 days. At the end of the 90 days, the family will undergo an interim increase.</w:t>
      </w:r>
    </w:p>
    <w:p w14:paraId="181A25DB" w14:textId="77777777" w:rsidR="00B2304E" w:rsidRPr="001D622B" w:rsidRDefault="00B2304E" w:rsidP="00B2304E">
      <w:pPr>
        <w:rPr>
          <w:rFonts w:ascii="Century Gothic" w:hAnsi="Century Gothic"/>
          <w:szCs w:val="22"/>
        </w:rPr>
      </w:pPr>
    </w:p>
    <w:p w14:paraId="3E2B10DC" w14:textId="116F3A51" w:rsidR="00B2304E" w:rsidRPr="001D622B" w:rsidRDefault="00B2304E" w:rsidP="00B2304E">
      <w:pPr>
        <w:rPr>
          <w:rFonts w:ascii="Century Gothic" w:hAnsi="Century Gothic"/>
          <w:szCs w:val="22"/>
        </w:rPr>
      </w:pPr>
      <w:r w:rsidRPr="001D622B">
        <w:rPr>
          <w:rFonts w:ascii="Century Gothic" w:hAnsi="Century Gothic"/>
          <w:szCs w:val="22"/>
        </w:rPr>
        <w:t xml:space="preserve">A </w:t>
      </w:r>
      <w:r w:rsidR="009A2E04" w:rsidRPr="001D622B">
        <w:rPr>
          <w:rFonts w:ascii="Century Gothic" w:hAnsi="Century Gothic"/>
          <w:szCs w:val="22"/>
        </w:rPr>
        <w:t>long-term</w:t>
      </w:r>
      <w:r w:rsidRPr="001D622B">
        <w:rPr>
          <w:rFonts w:ascii="Century Gothic" w:hAnsi="Century Gothic"/>
          <w:szCs w:val="22"/>
        </w:rPr>
        <w:t xml:space="preserve"> hardship exemption exists when at least one of the above criteria is expected to last for more than 90 days. At the end of the </w:t>
      </w:r>
      <w:r w:rsidR="009A2E04" w:rsidRPr="001D622B">
        <w:rPr>
          <w:rFonts w:ascii="Century Gothic" w:hAnsi="Century Gothic"/>
          <w:szCs w:val="22"/>
        </w:rPr>
        <w:t>long-term</w:t>
      </w:r>
      <w:r w:rsidRPr="001D622B">
        <w:rPr>
          <w:rFonts w:ascii="Century Gothic" w:hAnsi="Century Gothic"/>
          <w:szCs w:val="22"/>
        </w:rPr>
        <w:t xml:space="preserve"> hardship, an interim is conducted to adjust the family’s income.</w:t>
      </w:r>
    </w:p>
    <w:p w14:paraId="15329AA5" w14:textId="77777777" w:rsidR="00B2304E" w:rsidRPr="001D622B" w:rsidRDefault="00B2304E" w:rsidP="00B2304E">
      <w:pPr>
        <w:rPr>
          <w:rFonts w:ascii="Century Gothic" w:hAnsi="Century Gothic"/>
          <w:szCs w:val="22"/>
        </w:rPr>
      </w:pPr>
    </w:p>
    <w:p w14:paraId="516373CC" w14:textId="0F89AA57" w:rsidR="00B2304E" w:rsidRPr="001D622B" w:rsidRDefault="00B2304E" w:rsidP="3743D8DA">
      <w:pPr>
        <w:rPr>
          <w:rFonts w:ascii="Century Gothic" w:hAnsi="Century Gothic"/>
        </w:rPr>
      </w:pPr>
      <w:r w:rsidRPr="001D622B">
        <w:rPr>
          <w:rFonts w:ascii="Century Gothic" w:hAnsi="Century Gothic"/>
        </w:rPr>
        <w:t xml:space="preserve">A family may only receive one hardship exemption from the minimum rent requirement during a </w:t>
      </w:r>
      <w:r w:rsidR="009A2E04" w:rsidRPr="001D622B">
        <w:rPr>
          <w:rFonts w:ascii="Century Gothic" w:hAnsi="Century Gothic"/>
        </w:rPr>
        <w:t>twelve-month</w:t>
      </w:r>
      <w:r w:rsidRPr="001D622B">
        <w:rPr>
          <w:rFonts w:ascii="Century Gothic" w:hAnsi="Century Gothic"/>
        </w:rPr>
        <w:t xml:space="preserve"> period, unless a participant is elderly, disabled or is enrolled in ECC/HANH’s Family Self-Sufficiency Program.  The minimum rent requirement may be waived more than once during a </w:t>
      </w:r>
      <w:r w:rsidR="009A2E04" w:rsidRPr="001D622B">
        <w:rPr>
          <w:rFonts w:ascii="Century Gothic" w:hAnsi="Century Gothic"/>
        </w:rPr>
        <w:t>twelve-month</w:t>
      </w:r>
      <w:r w:rsidRPr="001D622B">
        <w:rPr>
          <w:rFonts w:ascii="Century Gothic" w:hAnsi="Century Gothic"/>
        </w:rPr>
        <w:t xml:space="preserve"> period if at least one adult member of the household enrolls in the Family Self Sufficiency Program (the FSS Program).  Elderly and disabled families are not required to enroll in the FSS Program.  </w:t>
      </w:r>
    </w:p>
    <w:p w14:paraId="1FCBDA09" w14:textId="4212CEED" w:rsidR="00B2304E" w:rsidRPr="001D622B" w:rsidRDefault="00B2304E" w:rsidP="3743D8DA">
      <w:pPr>
        <w:rPr>
          <w:rFonts w:ascii="Century Gothic" w:hAnsi="Century Gothic"/>
        </w:rPr>
      </w:pPr>
      <w:r w:rsidRPr="001D622B">
        <w:rPr>
          <w:rFonts w:ascii="Century Gothic" w:hAnsi="Century Gothic"/>
        </w:rPr>
        <w:lastRenderedPageBreak/>
        <w:t xml:space="preserve">Once ECC/HANH identifies a participant’s need for </w:t>
      </w:r>
      <w:proofErr w:type="gramStart"/>
      <w:r w:rsidRPr="001D622B">
        <w:rPr>
          <w:rFonts w:ascii="Century Gothic" w:hAnsi="Century Gothic"/>
        </w:rPr>
        <w:t>a hardship</w:t>
      </w:r>
      <w:proofErr w:type="gramEnd"/>
      <w:r w:rsidRPr="001D622B">
        <w:rPr>
          <w:rFonts w:ascii="Century Gothic" w:hAnsi="Century Gothic"/>
        </w:rPr>
        <w:t xml:space="preserve"> exemption from the minimum rent requirement or the family requests such exemption, the minimum rent shall be suspended immediately for a period of 90 days.  At the end of the hardship, an interim will be conducted to bring family up to speed on current household income. </w:t>
      </w:r>
    </w:p>
    <w:p w14:paraId="0CF1F926" w14:textId="75F2F278" w:rsidR="00B2304E" w:rsidRPr="001D622B" w:rsidRDefault="00B2304E" w:rsidP="00B2304E">
      <w:pPr>
        <w:rPr>
          <w:rFonts w:ascii="Century Gothic" w:hAnsi="Century Gothic"/>
          <w:szCs w:val="22"/>
        </w:rPr>
      </w:pPr>
      <w:bookmarkStart w:id="349" w:name="_Toc518556108"/>
      <w:bookmarkStart w:id="350" w:name="_Toc3305676"/>
      <w:r w:rsidRPr="001D622B">
        <w:rPr>
          <w:rFonts w:ascii="Century Gothic" w:hAnsi="Century Gothic"/>
          <w:szCs w:val="22"/>
        </w:rPr>
        <w:t>Hardship Review</w:t>
      </w:r>
      <w:bookmarkEnd w:id="349"/>
      <w:bookmarkEnd w:id="350"/>
    </w:p>
    <w:p w14:paraId="39EFE7EB"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All “Applications for Exemption from Minimum Rent” shall be forwarded to the Hardship Review Committee. </w:t>
      </w:r>
    </w:p>
    <w:p w14:paraId="43A0F64A" w14:textId="77777777" w:rsidR="00B2304E" w:rsidRPr="001D622B" w:rsidRDefault="00B2304E" w:rsidP="00B2304E">
      <w:pPr>
        <w:rPr>
          <w:rFonts w:ascii="Century Gothic" w:hAnsi="Century Gothic"/>
          <w:szCs w:val="22"/>
        </w:rPr>
      </w:pPr>
    </w:p>
    <w:p w14:paraId="11155F82" w14:textId="77777777" w:rsidR="00B2304E" w:rsidRPr="001D622B" w:rsidRDefault="00B2304E" w:rsidP="00B2304E">
      <w:pPr>
        <w:rPr>
          <w:rFonts w:ascii="Century Gothic" w:hAnsi="Century Gothic"/>
          <w:szCs w:val="22"/>
        </w:rPr>
      </w:pPr>
      <w:r w:rsidRPr="001D622B">
        <w:rPr>
          <w:rFonts w:ascii="Century Gothic" w:hAnsi="Century Gothic"/>
          <w:szCs w:val="22"/>
        </w:rPr>
        <w:t>The Hardship Review Committee shall consist of the Executive Director or his/her designee, the Chief Operations Officer or his/her designee, the Service Center Director or his/her designee, and the Assistant Executive Director of Community and Economic Development or his/her designee. At the family’s option, the Hardship Review Committee may include one (1) participant of ECC/HANH who is in good standing.</w:t>
      </w:r>
    </w:p>
    <w:p w14:paraId="7BFDC3E8" w14:textId="77777777" w:rsidR="00B2304E" w:rsidRPr="001D622B" w:rsidRDefault="00B2304E" w:rsidP="00B2304E">
      <w:pPr>
        <w:rPr>
          <w:rFonts w:ascii="Century Gothic" w:hAnsi="Century Gothic"/>
          <w:szCs w:val="22"/>
        </w:rPr>
      </w:pPr>
    </w:p>
    <w:p w14:paraId="515198A3" w14:textId="550BC1A5" w:rsidR="00B2304E" w:rsidRPr="001D622B" w:rsidRDefault="00B2304E" w:rsidP="00B2304E">
      <w:pPr>
        <w:rPr>
          <w:rFonts w:ascii="Century Gothic" w:hAnsi="Century Gothic"/>
          <w:szCs w:val="22"/>
        </w:rPr>
      </w:pPr>
      <w:r w:rsidRPr="001D622B">
        <w:rPr>
          <w:rFonts w:ascii="Century Gothic" w:hAnsi="Century Gothic"/>
          <w:szCs w:val="22"/>
        </w:rPr>
        <w:t xml:space="preserve">The Application for Exemption from Minimum Rent shall originate from the family or </w:t>
      </w:r>
      <w:r w:rsidR="00491A91" w:rsidRPr="001D622B">
        <w:rPr>
          <w:rFonts w:ascii="Century Gothic" w:hAnsi="Century Gothic"/>
          <w:szCs w:val="22"/>
        </w:rPr>
        <w:t>an</w:t>
      </w:r>
      <w:r w:rsidRPr="001D622B">
        <w:rPr>
          <w:rFonts w:ascii="Century Gothic" w:hAnsi="Century Gothic"/>
          <w:szCs w:val="22"/>
        </w:rPr>
        <w:t xml:space="preserve"> ECC/HANH employee if the family experiences any one of the Criteria for Minimum Rent Exemption. </w:t>
      </w:r>
    </w:p>
    <w:p w14:paraId="42597AB5" w14:textId="77777777" w:rsidR="00B2304E" w:rsidRPr="001D622B" w:rsidRDefault="00B2304E" w:rsidP="00B2304E">
      <w:pPr>
        <w:rPr>
          <w:rFonts w:ascii="Century Gothic" w:hAnsi="Century Gothic"/>
          <w:szCs w:val="22"/>
        </w:rPr>
      </w:pPr>
    </w:p>
    <w:p w14:paraId="7DC55541" w14:textId="30FCE283" w:rsidR="00B2304E" w:rsidRPr="001D622B" w:rsidRDefault="00B2304E" w:rsidP="00B2304E">
      <w:pPr>
        <w:rPr>
          <w:rFonts w:ascii="Century Gothic" w:hAnsi="Century Gothic"/>
          <w:szCs w:val="22"/>
        </w:rPr>
      </w:pPr>
      <w:r w:rsidRPr="001D622B">
        <w:rPr>
          <w:rFonts w:ascii="Century Gothic" w:hAnsi="Century Gothic"/>
          <w:szCs w:val="22"/>
        </w:rPr>
        <w:t xml:space="preserve">When a participant </w:t>
      </w:r>
      <w:proofErr w:type="gramStart"/>
      <w:r w:rsidRPr="001D622B">
        <w:rPr>
          <w:rFonts w:ascii="Century Gothic" w:hAnsi="Century Gothic"/>
          <w:szCs w:val="22"/>
        </w:rPr>
        <w:t>submits an application</w:t>
      </w:r>
      <w:proofErr w:type="gramEnd"/>
      <w:r w:rsidRPr="001D622B">
        <w:rPr>
          <w:rFonts w:ascii="Century Gothic" w:hAnsi="Century Gothic"/>
          <w:szCs w:val="22"/>
        </w:rPr>
        <w:t xml:space="preserve"> or </w:t>
      </w:r>
      <w:r w:rsidR="00491A91" w:rsidRPr="001D622B">
        <w:rPr>
          <w:rFonts w:ascii="Century Gothic" w:hAnsi="Century Gothic"/>
          <w:szCs w:val="22"/>
        </w:rPr>
        <w:t>an</w:t>
      </w:r>
      <w:r w:rsidRPr="001D622B">
        <w:rPr>
          <w:rFonts w:ascii="Century Gothic" w:hAnsi="Century Gothic"/>
          <w:szCs w:val="22"/>
        </w:rPr>
        <w:t xml:space="preserve"> ECC/HANH employee </w:t>
      </w:r>
      <w:proofErr w:type="gramStart"/>
      <w:r w:rsidRPr="001D622B">
        <w:rPr>
          <w:rFonts w:ascii="Century Gothic" w:hAnsi="Century Gothic"/>
          <w:szCs w:val="22"/>
        </w:rPr>
        <w:t>submits an application</w:t>
      </w:r>
      <w:proofErr w:type="gramEnd"/>
      <w:r w:rsidRPr="001D622B">
        <w:rPr>
          <w:rFonts w:ascii="Century Gothic" w:hAnsi="Century Gothic"/>
          <w:szCs w:val="22"/>
        </w:rPr>
        <w:t xml:space="preserve"> on behalf of a participant. ECC/HANH will suspend the minimum rent requirement commencing on the first of the month following the date of the application for a period of 90 days and adjust the HAP payment accordingly. </w:t>
      </w:r>
    </w:p>
    <w:p w14:paraId="1664A736" w14:textId="77777777" w:rsidR="00B2304E" w:rsidRPr="001D622B" w:rsidRDefault="00B2304E" w:rsidP="00B2304E">
      <w:pPr>
        <w:rPr>
          <w:rFonts w:ascii="Century Gothic" w:hAnsi="Century Gothic"/>
          <w:szCs w:val="22"/>
        </w:rPr>
      </w:pPr>
    </w:p>
    <w:p w14:paraId="2E6F7B30" w14:textId="7B2796C3" w:rsidR="00B2304E" w:rsidRPr="001D622B" w:rsidRDefault="00B2304E" w:rsidP="00B2304E">
      <w:pPr>
        <w:rPr>
          <w:rFonts w:ascii="Century Gothic" w:hAnsi="Century Gothic"/>
          <w:szCs w:val="22"/>
        </w:rPr>
      </w:pPr>
      <w:r w:rsidRPr="001D622B">
        <w:rPr>
          <w:rFonts w:ascii="Century Gothic" w:hAnsi="Century Gothic"/>
          <w:szCs w:val="22"/>
        </w:rPr>
        <w:t xml:space="preserve">The participant’s assistance cannot be terminated for nonpayment of minimum rent while participant’s Application for Exemption from Minimum Rent is pending or during the </w:t>
      </w:r>
      <w:r w:rsidR="00272BC4" w:rsidRPr="001D622B">
        <w:rPr>
          <w:rFonts w:ascii="Century Gothic" w:hAnsi="Century Gothic"/>
          <w:szCs w:val="22"/>
        </w:rPr>
        <w:t>90-day</w:t>
      </w:r>
      <w:r w:rsidRPr="001D622B">
        <w:rPr>
          <w:rFonts w:ascii="Century Gothic" w:hAnsi="Century Gothic"/>
          <w:szCs w:val="22"/>
        </w:rPr>
        <w:t xml:space="preserve"> period of suspension, whichever is longer.</w:t>
      </w:r>
    </w:p>
    <w:p w14:paraId="05D5BF9A" w14:textId="77777777" w:rsidR="00B2304E" w:rsidRPr="001D622B" w:rsidRDefault="00B2304E" w:rsidP="00B2304E">
      <w:pPr>
        <w:rPr>
          <w:rFonts w:ascii="Century Gothic" w:hAnsi="Century Gothic"/>
          <w:szCs w:val="22"/>
        </w:rPr>
      </w:pPr>
    </w:p>
    <w:p w14:paraId="74241E48"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The Hardship Review Committee shall send a letter to all participant families who have applied for Hardship Exemption from Minimum Rent stating: </w:t>
      </w:r>
    </w:p>
    <w:p w14:paraId="28AA97DC" w14:textId="77777777" w:rsidR="00B2304E" w:rsidRPr="001D622B" w:rsidRDefault="00B2304E" w:rsidP="00B2304E">
      <w:pPr>
        <w:rPr>
          <w:rFonts w:ascii="Century Gothic" w:hAnsi="Century Gothic"/>
          <w:szCs w:val="22"/>
        </w:rPr>
      </w:pPr>
    </w:p>
    <w:p w14:paraId="33909562" w14:textId="77777777" w:rsidR="00B2304E" w:rsidRPr="001D622B" w:rsidRDefault="00B2304E" w:rsidP="00486062">
      <w:pPr>
        <w:pStyle w:val="ListParagraph"/>
        <w:numPr>
          <w:ilvl w:val="0"/>
          <w:numId w:val="89"/>
        </w:numPr>
        <w:rPr>
          <w:rFonts w:ascii="Century Gothic" w:hAnsi="Century Gothic"/>
          <w:szCs w:val="22"/>
        </w:rPr>
      </w:pPr>
      <w:r w:rsidRPr="001D622B">
        <w:rPr>
          <w:rFonts w:ascii="Century Gothic" w:hAnsi="Century Gothic"/>
          <w:szCs w:val="22"/>
        </w:rPr>
        <w:t xml:space="preserve">that ECC/HANH has received an Application for Exemption from Minimum Rent, </w:t>
      </w:r>
    </w:p>
    <w:p w14:paraId="4CBFAEDC" w14:textId="77777777" w:rsidR="00B2304E" w:rsidRPr="001D622B" w:rsidRDefault="00B2304E" w:rsidP="00B2304E">
      <w:pPr>
        <w:rPr>
          <w:rFonts w:ascii="Century Gothic" w:hAnsi="Century Gothic"/>
          <w:szCs w:val="22"/>
        </w:rPr>
      </w:pPr>
    </w:p>
    <w:p w14:paraId="70A41B17" w14:textId="38CFB0D3" w:rsidR="00B2304E" w:rsidRPr="001D622B" w:rsidRDefault="00B2304E" w:rsidP="00486062">
      <w:pPr>
        <w:pStyle w:val="ListParagraph"/>
        <w:numPr>
          <w:ilvl w:val="0"/>
          <w:numId w:val="89"/>
        </w:numPr>
        <w:rPr>
          <w:rFonts w:ascii="Century Gothic" w:hAnsi="Century Gothic"/>
          <w:szCs w:val="22"/>
        </w:rPr>
      </w:pPr>
      <w:r w:rsidRPr="001D622B">
        <w:rPr>
          <w:rFonts w:ascii="Century Gothic" w:hAnsi="Century Gothic"/>
          <w:szCs w:val="22"/>
        </w:rPr>
        <w:t xml:space="preserve">that ECC/HANH will suspend the minimum rent requirement for 90 days </w:t>
      </w:r>
      <w:proofErr w:type="gramStart"/>
      <w:r w:rsidRPr="001D622B">
        <w:rPr>
          <w:rFonts w:ascii="Century Gothic" w:hAnsi="Century Gothic"/>
          <w:szCs w:val="22"/>
        </w:rPr>
        <w:t>effective</w:t>
      </w:r>
      <w:proofErr w:type="gramEnd"/>
      <w:r w:rsidRPr="001D622B">
        <w:rPr>
          <w:rFonts w:ascii="Century Gothic" w:hAnsi="Century Gothic"/>
          <w:szCs w:val="22"/>
        </w:rPr>
        <w:t xml:space="preserve"> as of the first of the next month and the effective dates of the </w:t>
      </w:r>
      <w:r w:rsidR="00272BC4" w:rsidRPr="001D622B">
        <w:rPr>
          <w:rFonts w:ascii="Century Gothic" w:hAnsi="Century Gothic"/>
          <w:szCs w:val="22"/>
        </w:rPr>
        <w:t>90-day</w:t>
      </w:r>
      <w:r w:rsidRPr="001D622B">
        <w:rPr>
          <w:rFonts w:ascii="Century Gothic" w:hAnsi="Century Gothic"/>
          <w:szCs w:val="22"/>
        </w:rPr>
        <w:t xml:space="preserve"> suspension, </w:t>
      </w:r>
    </w:p>
    <w:p w14:paraId="62B03425" w14:textId="77777777" w:rsidR="00B2304E" w:rsidRPr="001D622B" w:rsidRDefault="00B2304E" w:rsidP="00B2304E">
      <w:pPr>
        <w:rPr>
          <w:rFonts w:ascii="Century Gothic" w:hAnsi="Century Gothic"/>
          <w:szCs w:val="22"/>
        </w:rPr>
      </w:pPr>
    </w:p>
    <w:p w14:paraId="1CCD53C6" w14:textId="77777777" w:rsidR="00B2304E" w:rsidRPr="001D622B" w:rsidRDefault="00B2304E" w:rsidP="00486062">
      <w:pPr>
        <w:pStyle w:val="ListParagraph"/>
        <w:numPr>
          <w:ilvl w:val="0"/>
          <w:numId w:val="89"/>
        </w:numPr>
        <w:rPr>
          <w:rFonts w:ascii="Century Gothic" w:hAnsi="Century Gothic"/>
          <w:szCs w:val="22"/>
        </w:rPr>
      </w:pPr>
      <w:r w:rsidRPr="001D622B">
        <w:rPr>
          <w:rFonts w:ascii="Century Gothic" w:hAnsi="Century Gothic"/>
          <w:szCs w:val="22"/>
        </w:rPr>
        <w:t xml:space="preserve">that there can be no termination of assistance for non-payment of rent during the suspension </w:t>
      </w:r>
      <w:proofErr w:type="gramStart"/>
      <w:r w:rsidRPr="001D622B">
        <w:rPr>
          <w:rFonts w:ascii="Century Gothic" w:hAnsi="Century Gothic"/>
          <w:szCs w:val="22"/>
        </w:rPr>
        <w:t>period;</w:t>
      </w:r>
      <w:proofErr w:type="gramEnd"/>
    </w:p>
    <w:p w14:paraId="0C138EBA" w14:textId="77777777" w:rsidR="00B2304E" w:rsidRPr="001D622B" w:rsidRDefault="00B2304E" w:rsidP="00B2304E">
      <w:pPr>
        <w:rPr>
          <w:rFonts w:ascii="Century Gothic" w:hAnsi="Century Gothic"/>
          <w:szCs w:val="22"/>
        </w:rPr>
      </w:pPr>
    </w:p>
    <w:p w14:paraId="65572719" w14:textId="77777777" w:rsidR="00B2304E" w:rsidRPr="001D622B" w:rsidRDefault="00B2304E" w:rsidP="00486062">
      <w:pPr>
        <w:pStyle w:val="ListParagraph"/>
        <w:numPr>
          <w:ilvl w:val="0"/>
          <w:numId w:val="89"/>
        </w:numPr>
        <w:rPr>
          <w:rFonts w:ascii="Century Gothic" w:hAnsi="Century Gothic"/>
          <w:szCs w:val="22"/>
        </w:rPr>
      </w:pPr>
      <w:r w:rsidRPr="001D622B">
        <w:rPr>
          <w:rFonts w:ascii="Century Gothic" w:hAnsi="Century Gothic"/>
          <w:szCs w:val="22"/>
        </w:rPr>
        <w:t>the date for a meeting with the participant to discuss the hardship exemption request, giving the participant family at least ten days advance notice of such meeting and informing the participant that he or she may have one opportunity to reschedule the meeting; and</w:t>
      </w:r>
    </w:p>
    <w:p w14:paraId="5B83C664" w14:textId="77777777" w:rsidR="00B2304E" w:rsidRPr="001D622B" w:rsidRDefault="00B2304E" w:rsidP="00B2304E">
      <w:pPr>
        <w:rPr>
          <w:rFonts w:ascii="Century Gothic" w:hAnsi="Century Gothic"/>
          <w:szCs w:val="22"/>
        </w:rPr>
      </w:pPr>
    </w:p>
    <w:p w14:paraId="695EE223" w14:textId="77777777" w:rsidR="00B2304E" w:rsidRPr="001D622B" w:rsidRDefault="00B2304E" w:rsidP="00486062">
      <w:pPr>
        <w:pStyle w:val="ListParagraph"/>
        <w:numPr>
          <w:ilvl w:val="0"/>
          <w:numId w:val="89"/>
        </w:numPr>
        <w:rPr>
          <w:rFonts w:ascii="Century Gothic" w:hAnsi="Century Gothic"/>
          <w:szCs w:val="22"/>
        </w:rPr>
      </w:pPr>
      <w:r w:rsidRPr="001D622B">
        <w:rPr>
          <w:rFonts w:ascii="Century Gothic" w:hAnsi="Century Gothic"/>
          <w:szCs w:val="22"/>
        </w:rPr>
        <w:t xml:space="preserve">that, </w:t>
      </w:r>
      <w:proofErr w:type="gramStart"/>
      <w:r w:rsidRPr="001D622B">
        <w:rPr>
          <w:rFonts w:ascii="Century Gothic" w:hAnsi="Century Gothic"/>
          <w:szCs w:val="22"/>
        </w:rPr>
        <w:t>with the exception of</w:t>
      </w:r>
      <w:proofErr w:type="gramEnd"/>
      <w:r w:rsidRPr="001D622B">
        <w:rPr>
          <w:rFonts w:ascii="Century Gothic" w:hAnsi="Century Gothic"/>
          <w:szCs w:val="22"/>
        </w:rPr>
        <w:t xml:space="preserve"> elderly and disabled families, the participant family has been referred to the FSS program and will not be able to receive a hardship exemption </w:t>
      </w:r>
      <w:proofErr w:type="gramStart"/>
      <w:r w:rsidRPr="001D622B">
        <w:rPr>
          <w:rFonts w:ascii="Century Gothic" w:hAnsi="Century Gothic"/>
          <w:szCs w:val="22"/>
        </w:rPr>
        <w:t>in excess of</w:t>
      </w:r>
      <w:proofErr w:type="gramEnd"/>
      <w:r w:rsidRPr="001D622B">
        <w:rPr>
          <w:rFonts w:ascii="Century Gothic" w:hAnsi="Century Gothic"/>
          <w:szCs w:val="22"/>
        </w:rPr>
        <w:t xml:space="preserve"> 90 days without enrolling in the program.</w:t>
      </w:r>
    </w:p>
    <w:p w14:paraId="7816438F" w14:textId="77777777" w:rsidR="00B2304E" w:rsidRPr="001D622B" w:rsidRDefault="00B2304E" w:rsidP="00B2304E">
      <w:pPr>
        <w:rPr>
          <w:rFonts w:ascii="Century Gothic" w:hAnsi="Century Gothic"/>
          <w:szCs w:val="22"/>
        </w:rPr>
      </w:pPr>
    </w:p>
    <w:p w14:paraId="48F6F99F"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The Hardship Review Committee will review the circumstances surrounding the request and determine if the request is temporary, long term or nonexistent.  </w:t>
      </w:r>
    </w:p>
    <w:p w14:paraId="45D32646" w14:textId="77777777" w:rsidR="00B2304E" w:rsidRPr="001D622B" w:rsidRDefault="00B2304E" w:rsidP="00B2304E">
      <w:pPr>
        <w:rPr>
          <w:rFonts w:ascii="Century Gothic" w:hAnsi="Century Gothic"/>
          <w:szCs w:val="22"/>
        </w:rPr>
      </w:pPr>
    </w:p>
    <w:p w14:paraId="50701948"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If the Committee determines that </w:t>
      </w:r>
      <w:r w:rsidRPr="001D622B">
        <w:rPr>
          <w:rFonts w:ascii="Century Gothic" w:hAnsi="Century Gothic"/>
          <w:b/>
          <w:i/>
          <w:szCs w:val="22"/>
        </w:rPr>
        <w:t>the hardship is of a temporary nature (the hardship is expected to last less than 90 days</w:t>
      </w:r>
      <w:r w:rsidRPr="001D622B">
        <w:rPr>
          <w:rFonts w:ascii="Century Gothic" w:hAnsi="Century Gothic"/>
          <w:szCs w:val="22"/>
        </w:rPr>
        <w:t xml:space="preserve">), at the end of the 90-day period, the participant’s rent will be reinstated to the </w:t>
      </w:r>
      <w:r w:rsidRPr="001D622B">
        <w:rPr>
          <w:rFonts w:ascii="Century Gothic" w:hAnsi="Century Gothic"/>
          <w:szCs w:val="22"/>
        </w:rPr>
        <w:lastRenderedPageBreak/>
        <w:t>minimum rent retroactively to the initial date of suspension. The participant will have an opportunity to enter into a reasonable repayment agreement with ECC/HANH for any back rent that is due and owing to ECC/HANH.</w:t>
      </w:r>
    </w:p>
    <w:p w14:paraId="7786AE6D" w14:textId="77777777" w:rsidR="00B2304E" w:rsidRPr="001D622B" w:rsidRDefault="00B2304E" w:rsidP="00B2304E">
      <w:pPr>
        <w:rPr>
          <w:rFonts w:ascii="Century Gothic" w:hAnsi="Century Gothic"/>
          <w:szCs w:val="22"/>
        </w:rPr>
      </w:pPr>
    </w:p>
    <w:p w14:paraId="04DE928C"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If the Committee determines that the </w:t>
      </w:r>
      <w:r w:rsidRPr="001D622B">
        <w:rPr>
          <w:rFonts w:ascii="Century Gothic" w:hAnsi="Century Gothic"/>
          <w:b/>
          <w:i/>
          <w:szCs w:val="22"/>
        </w:rPr>
        <w:t>hardship is of a long-term nature (the hardship is expected to last more than 90 days),</w:t>
      </w:r>
      <w:r w:rsidRPr="001D622B">
        <w:rPr>
          <w:rFonts w:ascii="Century Gothic" w:hAnsi="Century Gothic"/>
          <w:szCs w:val="22"/>
        </w:rPr>
        <w:t xml:space="preserve"> the tenant shall be exempt from the minimum rent requirement from the first of the month following the date of the application for exemption from the minimum rent until such time that the hardship no longer exists. </w:t>
      </w:r>
    </w:p>
    <w:p w14:paraId="69A8BD94" w14:textId="74D1DB01" w:rsidR="00B2304E" w:rsidRPr="001D622B" w:rsidRDefault="00B2304E" w:rsidP="3743D8DA">
      <w:pPr>
        <w:rPr>
          <w:rFonts w:ascii="Century Gothic" w:hAnsi="Century Gothic"/>
        </w:rPr>
      </w:pPr>
    </w:p>
    <w:p w14:paraId="6A78438A" w14:textId="2C355330" w:rsidR="00B2304E" w:rsidRPr="001D622B" w:rsidRDefault="00B2304E" w:rsidP="3743D8DA">
      <w:pPr>
        <w:rPr>
          <w:rFonts w:ascii="Century Gothic" w:hAnsi="Century Gothic"/>
        </w:rPr>
      </w:pPr>
      <w:r w:rsidRPr="001D622B">
        <w:rPr>
          <w:rFonts w:ascii="Century Gothic" w:hAnsi="Century Gothic"/>
        </w:rPr>
        <w:t xml:space="preserve">ECC/HANH may deny a participant a </w:t>
      </w:r>
      <w:r w:rsidR="00491A91" w:rsidRPr="001D622B">
        <w:rPr>
          <w:rFonts w:ascii="Century Gothic" w:hAnsi="Century Gothic"/>
        </w:rPr>
        <w:t>long-term</w:t>
      </w:r>
      <w:r w:rsidRPr="001D622B">
        <w:rPr>
          <w:rFonts w:ascii="Century Gothic" w:hAnsi="Century Gothic"/>
        </w:rPr>
        <w:t xml:space="preserve"> exemption from the minimum rent </w:t>
      </w:r>
      <w:proofErr w:type="gramStart"/>
      <w:r w:rsidRPr="001D622B">
        <w:rPr>
          <w:rFonts w:ascii="Century Gothic" w:hAnsi="Century Gothic"/>
        </w:rPr>
        <w:t>requirement,</w:t>
      </w:r>
      <w:proofErr w:type="gramEnd"/>
      <w:r w:rsidRPr="001D622B">
        <w:rPr>
          <w:rFonts w:ascii="Century Gothic" w:hAnsi="Century Gothic"/>
        </w:rPr>
        <w:t xml:space="preserve"> if the participant fails to attend the scheduled meetings with the Hardship Review Committee. ECC/HANH will provide each </w:t>
      </w:r>
      <w:proofErr w:type="gramStart"/>
      <w:r w:rsidRPr="001D622B">
        <w:rPr>
          <w:rFonts w:ascii="Century Gothic" w:hAnsi="Century Gothic"/>
        </w:rPr>
        <w:t>participant</w:t>
      </w:r>
      <w:proofErr w:type="gramEnd"/>
      <w:r w:rsidRPr="001D622B">
        <w:rPr>
          <w:rFonts w:ascii="Century Gothic" w:hAnsi="Century Gothic"/>
        </w:rPr>
        <w:t xml:space="preserve"> </w:t>
      </w:r>
      <w:proofErr w:type="gramStart"/>
      <w:r w:rsidRPr="001D622B">
        <w:rPr>
          <w:rFonts w:ascii="Century Gothic" w:hAnsi="Century Gothic"/>
        </w:rPr>
        <w:t>one</w:t>
      </w:r>
      <w:proofErr w:type="gramEnd"/>
      <w:r w:rsidRPr="001D622B">
        <w:rPr>
          <w:rFonts w:ascii="Century Gothic" w:hAnsi="Century Gothic"/>
        </w:rPr>
        <w:t xml:space="preserve"> opportunity to reschedule the meeting.  If the participant fails to attend the scheduled meetings, ECC/HANH may deny the long-term exemption from the minimum rent requirement.  The letter scheduling the </w:t>
      </w:r>
      <w:proofErr w:type="gramStart"/>
      <w:r w:rsidRPr="001D622B">
        <w:rPr>
          <w:rFonts w:ascii="Century Gothic" w:hAnsi="Century Gothic"/>
        </w:rPr>
        <w:t>meeting,</w:t>
      </w:r>
      <w:proofErr w:type="gramEnd"/>
      <w:r w:rsidRPr="001D622B">
        <w:rPr>
          <w:rFonts w:ascii="Century Gothic" w:hAnsi="Century Gothic"/>
        </w:rPr>
        <w:t xml:space="preserve"> shall inform participants that </w:t>
      </w:r>
      <w:proofErr w:type="gramStart"/>
      <w:r w:rsidRPr="001D622B">
        <w:rPr>
          <w:rFonts w:ascii="Century Gothic" w:hAnsi="Century Gothic"/>
        </w:rPr>
        <w:t>persons</w:t>
      </w:r>
      <w:proofErr w:type="gramEnd"/>
      <w:r w:rsidRPr="001D622B">
        <w:rPr>
          <w:rFonts w:ascii="Century Gothic" w:hAnsi="Century Gothic"/>
        </w:rPr>
        <w:t xml:space="preserve"> with disabilities are entitled to reasonable accommodation </w:t>
      </w:r>
      <w:proofErr w:type="gramStart"/>
      <w:r w:rsidRPr="001D622B">
        <w:rPr>
          <w:rFonts w:ascii="Century Gothic" w:hAnsi="Century Gothic"/>
        </w:rPr>
        <w:t>with regard to</w:t>
      </w:r>
      <w:proofErr w:type="gramEnd"/>
      <w:r w:rsidRPr="001D622B">
        <w:rPr>
          <w:rFonts w:ascii="Century Gothic" w:hAnsi="Century Gothic"/>
        </w:rPr>
        <w:t xml:space="preserve"> this requirement.</w:t>
      </w:r>
    </w:p>
    <w:p w14:paraId="38CFBABF" w14:textId="77777777" w:rsidR="00B2304E" w:rsidRPr="001D622B" w:rsidRDefault="00B2304E" w:rsidP="00B2304E">
      <w:pPr>
        <w:rPr>
          <w:rFonts w:ascii="Century Gothic" w:hAnsi="Century Gothic"/>
          <w:szCs w:val="22"/>
        </w:rPr>
      </w:pPr>
    </w:p>
    <w:p w14:paraId="143BF37A" w14:textId="79E8CA37" w:rsidR="00B2304E" w:rsidRPr="001D622B" w:rsidRDefault="00B2304E" w:rsidP="00B2304E">
      <w:pPr>
        <w:rPr>
          <w:rFonts w:ascii="Century Gothic" w:hAnsi="Century Gothic"/>
          <w:szCs w:val="22"/>
        </w:rPr>
      </w:pPr>
      <w:r w:rsidRPr="001D622B">
        <w:rPr>
          <w:rFonts w:ascii="Century Gothic" w:hAnsi="Century Gothic"/>
          <w:szCs w:val="22"/>
        </w:rPr>
        <w:t xml:space="preserve">Except for Elderly or Disabled families, no tenant shall be exempt from the minimum rent requirements for more than 90 days during a </w:t>
      </w:r>
      <w:r w:rsidR="009A2E04" w:rsidRPr="001D622B">
        <w:rPr>
          <w:rFonts w:ascii="Century Gothic" w:hAnsi="Century Gothic"/>
          <w:szCs w:val="22"/>
        </w:rPr>
        <w:t>one-year</w:t>
      </w:r>
      <w:r w:rsidRPr="001D622B">
        <w:rPr>
          <w:rFonts w:ascii="Century Gothic" w:hAnsi="Century Gothic"/>
          <w:szCs w:val="22"/>
        </w:rPr>
        <w:t xml:space="preserve"> period unless at least one member of the family who is 18 years of age or older enrolls and actively participates in ECC/HANH’s FSS Program for job or benefit counseling.  Such family </w:t>
      </w:r>
      <w:proofErr w:type="gramStart"/>
      <w:r w:rsidRPr="001D622B">
        <w:rPr>
          <w:rFonts w:ascii="Century Gothic" w:hAnsi="Century Gothic"/>
          <w:szCs w:val="22"/>
        </w:rPr>
        <w:t>member(s)</w:t>
      </w:r>
      <w:proofErr w:type="gramEnd"/>
      <w:r w:rsidRPr="001D622B">
        <w:rPr>
          <w:rFonts w:ascii="Century Gothic" w:hAnsi="Century Gothic"/>
          <w:szCs w:val="22"/>
        </w:rPr>
        <w:t xml:space="preserve"> shall enroll in the FSS program within 30 days from the date of the Application of Exemption from Minimum Rent. </w:t>
      </w:r>
    </w:p>
    <w:p w14:paraId="5AF84ABD" w14:textId="77777777" w:rsidR="00B2304E" w:rsidRPr="001D622B" w:rsidRDefault="00B2304E" w:rsidP="00B2304E">
      <w:pPr>
        <w:rPr>
          <w:rFonts w:ascii="Century Gothic" w:hAnsi="Century Gothic"/>
          <w:szCs w:val="22"/>
        </w:rPr>
      </w:pPr>
    </w:p>
    <w:p w14:paraId="02581014" w14:textId="1882F9A2" w:rsidR="00B2304E" w:rsidRPr="001D622B" w:rsidRDefault="00B2304E" w:rsidP="3743D8DA">
      <w:pPr>
        <w:rPr>
          <w:rFonts w:ascii="Century Gothic" w:hAnsi="Century Gothic"/>
        </w:rPr>
      </w:pPr>
      <w:r w:rsidRPr="001D622B">
        <w:rPr>
          <w:rFonts w:ascii="Century Gothic" w:hAnsi="Century Gothic"/>
        </w:rPr>
        <w:t xml:space="preserve">If the hardship is determined to be nonexistent, the participant will be responsible for paying rent to ECC/HANH for any rent that was suspended while tenant's Application for Exemption from Minimum Rent was pending. The minimum rent shall be re-instated retroactively to the initial date of the suspension. Participant will have an opportunity to enter into a reasonable repayment agreement with ECC/HANH for any back rent that is due and owing to ECC/HANH. </w:t>
      </w:r>
    </w:p>
    <w:p w14:paraId="22C3EEC9" w14:textId="4F5A24EC" w:rsidR="00B2304E" w:rsidRPr="001D622B" w:rsidRDefault="00B2304E" w:rsidP="3743D8DA">
      <w:pPr>
        <w:rPr>
          <w:rFonts w:ascii="Century Gothic" w:hAnsi="Century Gothic"/>
        </w:rPr>
      </w:pPr>
      <w:r w:rsidRPr="001D622B">
        <w:rPr>
          <w:rFonts w:ascii="Century Gothic" w:hAnsi="Century Gothic"/>
        </w:rPr>
        <w:t>Upon completion of the review process, the Hardship Review Committee shall render a written recommendation to the Executive Director, who shall then adopt or reject the recommendation and shall issue a written decision that states as follows:</w:t>
      </w:r>
    </w:p>
    <w:p w14:paraId="0CF31F15" w14:textId="77777777" w:rsidR="00B2304E" w:rsidRDefault="00B2304E" w:rsidP="00B2304E">
      <w:pPr>
        <w:rPr>
          <w:rFonts w:ascii="Century Gothic" w:hAnsi="Century Gothic"/>
          <w:szCs w:val="22"/>
        </w:rPr>
      </w:pPr>
      <w:r w:rsidRPr="001D622B">
        <w:rPr>
          <w:rFonts w:ascii="Century Gothic" w:hAnsi="Century Gothic"/>
          <w:szCs w:val="22"/>
        </w:rPr>
        <w:t>If the hardship exemption is determined to be short term:</w:t>
      </w:r>
    </w:p>
    <w:p w14:paraId="2E4ECCBD" w14:textId="77777777" w:rsidR="00396FE6" w:rsidRPr="001D622B" w:rsidRDefault="00396FE6" w:rsidP="00B2304E">
      <w:pPr>
        <w:rPr>
          <w:rFonts w:ascii="Century Gothic" w:hAnsi="Century Gothic"/>
          <w:szCs w:val="22"/>
        </w:rPr>
      </w:pPr>
    </w:p>
    <w:p w14:paraId="65FC2F5A" w14:textId="3E8FFECC" w:rsidR="00B2304E" w:rsidRPr="001D622B" w:rsidRDefault="00B2304E" w:rsidP="00486062">
      <w:pPr>
        <w:pStyle w:val="ListParagraph"/>
        <w:numPr>
          <w:ilvl w:val="0"/>
          <w:numId w:val="90"/>
        </w:numPr>
        <w:rPr>
          <w:rFonts w:ascii="Century Gothic" w:hAnsi="Century Gothic"/>
          <w:szCs w:val="22"/>
        </w:rPr>
      </w:pPr>
      <w:r w:rsidRPr="001D622B">
        <w:rPr>
          <w:rFonts w:ascii="Century Gothic" w:hAnsi="Century Gothic"/>
          <w:szCs w:val="22"/>
        </w:rPr>
        <w:t xml:space="preserve">that a short-term hardship exemption was </w:t>
      </w:r>
      <w:proofErr w:type="gramStart"/>
      <w:r w:rsidRPr="001D622B">
        <w:rPr>
          <w:rFonts w:ascii="Century Gothic" w:hAnsi="Century Gothic"/>
          <w:szCs w:val="22"/>
        </w:rPr>
        <w:t>granted;</w:t>
      </w:r>
      <w:proofErr w:type="gramEnd"/>
    </w:p>
    <w:p w14:paraId="16B16C43" w14:textId="77777777" w:rsidR="00B2304E" w:rsidRPr="001D622B" w:rsidRDefault="00B2304E" w:rsidP="00B2304E">
      <w:pPr>
        <w:rPr>
          <w:rFonts w:ascii="Century Gothic" w:hAnsi="Century Gothic"/>
          <w:szCs w:val="22"/>
        </w:rPr>
      </w:pPr>
    </w:p>
    <w:p w14:paraId="2F930DBF" w14:textId="77777777" w:rsidR="00B2304E" w:rsidRPr="001D622B" w:rsidRDefault="00B2304E" w:rsidP="00486062">
      <w:pPr>
        <w:pStyle w:val="ListParagraph"/>
        <w:numPr>
          <w:ilvl w:val="0"/>
          <w:numId w:val="90"/>
        </w:numPr>
        <w:rPr>
          <w:rFonts w:ascii="Century Gothic" w:hAnsi="Century Gothic"/>
          <w:szCs w:val="22"/>
        </w:rPr>
      </w:pPr>
      <w:r w:rsidRPr="001D622B">
        <w:rPr>
          <w:rFonts w:ascii="Century Gothic" w:hAnsi="Century Gothic"/>
          <w:szCs w:val="22"/>
        </w:rPr>
        <w:t xml:space="preserve">the effective dates of the </w:t>
      </w:r>
      <w:proofErr w:type="gramStart"/>
      <w:r w:rsidRPr="001D622B">
        <w:rPr>
          <w:rFonts w:ascii="Century Gothic" w:hAnsi="Century Gothic"/>
          <w:szCs w:val="22"/>
        </w:rPr>
        <w:t>exemption;</w:t>
      </w:r>
      <w:proofErr w:type="gramEnd"/>
    </w:p>
    <w:p w14:paraId="37833633" w14:textId="77777777" w:rsidR="00B2304E" w:rsidRPr="001D622B" w:rsidRDefault="00B2304E" w:rsidP="00B2304E">
      <w:pPr>
        <w:rPr>
          <w:rFonts w:ascii="Century Gothic" w:hAnsi="Century Gothic"/>
          <w:szCs w:val="22"/>
        </w:rPr>
      </w:pPr>
    </w:p>
    <w:p w14:paraId="3FC305E3" w14:textId="77777777" w:rsidR="00B2304E" w:rsidRPr="001D622B" w:rsidRDefault="00B2304E" w:rsidP="00486062">
      <w:pPr>
        <w:pStyle w:val="ListParagraph"/>
        <w:numPr>
          <w:ilvl w:val="0"/>
          <w:numId w:val="90"/>
        </w:numPr>
        <w:rPr>
          <w:rFonts w:ascii="Century Gothic" w:hAnsi="Century Gothic"/>
          <w:szCs w:val="22"/>
        </w:rPr>
      </w:pPr>
      <w:r w:rsidRPr="001D622B">
        <w:rPr>
          <w:rFonts w:ascii="Century Gothic" w:hAnsi="Century Gothic"/>
          <w:szCs w:val="22"/>
        </w:rPr>
        <w:t>the basis for the decision to grant a short-term exemption, including that a long-term exemption was denied and the reason that such long-term exemption was denied; and</w:t>
      </w:r>
    </w:p>
    <w:p w14:paraId="37C5BA9E" w14:textId="77777777" w:rsidR="00B2304E" w:rsidRPr="001D622B" w:rsidRDefault="00B2304E" w:rsidP="00B2304E">
      <w:pPr>
        <w:rPr>
          <w:rFonts w:ascii="Century Gothic" w:hAnsi="Century Gothic"/>
          <w:szCs w:val="22"/>
        </w:rPr>
      </w:pPr>
    </w:p>
    <w:p w14:paraId="3795217B" w14:textId="77777777" w:rsidR="00B2304E" w:rsidRPr="001D622B" w:rsidRDefault="00B2304E" w:rsidP="00486062">
      <w:pPr>
        <w:pStyle w:val="ListParagraph"/>
        <w:numPr>
          <w:ilvl w:val="0"/>
          <w:numId w:val="90"/>
        </w:numPr>
        <w:rPr>
          <w:rFonts w:ascii="Century Gothic" w:hAnsi="Century Gothic"/>
          <w:szCs w:val="22"/>
        </w:rPr>
      </w:pPr>
      <w:r w:rsidRPr="001D622B">
        <w:rPr>
          <w:rFonts w:ascii="Century Gothic" w:hAnsi="Century Gothic"/>
          <w:szCs w:val="22"/>
        </w:rPr>
        <w:t>that the participant has a right to enter into a reasonable repayment agreement with ECC/HANH for the minimum rent that was suspended and is now owing to ECC/HANH.</w:t>
      </w:r>
    </w:p>
    <w:p w14:paraId="6F323C9B" w14:textId="77777777" w:rsidR="00B2304E" w:rsidRPr="001D622B" w:rsidRDefault="00B2304E" w:rsidP="00B2304E">
      <w:pPr>
        <w:rPr>
          <w:rFonts w:ascii="Century Gothic" w:hAnsi="Century Gothic"/>
          <w:szCs w:val="22"/>
        </w:rPr>
      </w:pPr>
    </w:p>
    <w:p w14:paraId="7BDFD82B" w14:textId="77777777" w:rsidR="00B2304E" w:rsidRPr="001D622B" w:rsidRDefault="00B2304E" w:rsidP="00B2304E">
      <w:pPr>
        <w:rPr>
          <w:rFonts w:ascii="Century Gothic" w:hAnsi="Century Gothic"/>
          <w:szCs w:val="22"/>
        </w:rPr>
      </w:pPr>
      <w:r w:rsidRPr="001D622B">
        <w:rPr>
          <w:rFonts w:ascii="Century Gothic" w:hAnsi="Century Gothic"/>
          <w:szCs w:val="22"/>
        </w:rPr>
        <w:t>If the hardship exemption is determined to be long term:</w:t>
      </w:r>
    </w:p>
    <w:p w14:paraId="5574DF08" w14:textId="77777777" w:rsidR="00B2304E" w:rsidRPr="001D622B" w:rsidRDefault="00B2304E" w:rsidP="00B2304E">
      <w:pPr>
        <w:rPr>
          <w:rFonts w:ascii="Century Gothic" w:hAnsi="Century Gothic"/>
          <w:szCs w:val="22"/>
        </w:rPr>
      </w:pPr>
    </w:p>
    <w:p w14:paraId="7F9D2805" w14:textId="77777777" w:rsidR="00B2304E" w:rsidRPr="001D622B" w:rsidRDefault="00B2304E" w:rsidP="00486062">
      <w:pPr>
        <w:pStyle w:val="ListParagraph"/>
        <w:numPr>
          <w:ilvl w:val="0"/>
          <w:numId w:val="91"/>
        </w:numPr>
        <w:rPr>
          <w:rFonts w:ascii="Century Gothic" w:hAnsi="Century Gothic"/>
          <w:szCs w:val="22"/>
        </w:rPr>
      </w:pPr>
      <w:r w:rsidRPr="001D622B">
        <w:rPr>
          <w:rFonts w:ascii="Century Gothic" w:hAnsi="Century Gothic"/>
          <w:szCs w:val="22"/>
        </w:rPr>
        <w:t xml:space="preserve">that a long-term hardship exemption was </w:t>
      </w:r>
      <w:proofErr w:type="gramStart"/>
      <w:r w:rsidRPr="001D622B">
        <w:rPr>
          <w:rFonts w:ascii="Century Gothic" w:hAnsi="Century Gothic"/>
          <w:szCs w:val="22"/>
        </w:rPr>
        <w:t>granted;</w:t>
      </w:r>
      <w:proofErr w:type="gramEnd"/>
    </w:p>
    <w:p w14:paraId="4B153A28"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 </w:t>
      </w:r>
    </w:p>
    <w:p w14:paraId="0864F191" w14:textId="77777777" w:rsidR="00B2304E" w:rsidRPr="001D622B" w:rsidRDefault="00B2304E" w:rsidP="00486062">
      <w:pPr>
        <w:pStyle w:val="ListParagraph"/>
        <w:numPr>
          <w:ilvl w:val="0"/>
          <w:numId w:val="91"/>
        </w:numPr>
        <w:rPr>
          <w:rFonts w:ascii="Century Gothic" w:hAnsi="Century Gothic"/>
          <w:szCs w:val="22"/>
        </w:rPr>
      </w:pPr>
      <w:r w:rsidRPr="001D622B">
        <w:rPr>
          <w:rFonts w:ascii="Century Gothic" w:hAnsi="Century Gothic"/>
          <w:szCs w:val="22"/>
        </w:rPr>
        <w:t>whether the long-term exemption is permanent or subject to periodic review and, if subject to periodic review, when such review will take place; and</w:t>
      </w:r>
    </w:p>
    <w:p w14:paraId="239403C5" w14:textId="77777777" w:rsidR="00B2304E" w:rsidRPr="001D622B" w:rsidRDefault="00B2304E" w:rsidP="00B2304E">
      <w:pPr>
        <w:rPr>
          <w:rFonts w:ascii="Century Gothic" w:hAnsi="Century Gothic"/>
          <w:szCs w:val="22"/>
        </w:rPr>
      </w:pPr>
    </w:p>
    <w:p w14:paraId="006169F9" w14:textId="12BF5D68" w:rsidR="00B2304E" w:rsidRPr="001D622B" w:rsidRDefault="00B2304E" w:rsidP="00486062">
      <w:pPr>
        <w:pStyle w:val="ListParagraph"/>
        <w:numPr>
          <w:ilvl w:val="0"/>
          <w:numId w:val="91"/>
        </w:numPr>
        <w:rPr>
          <w:rFonts w:ascii="Century Gothic" w:hAnsi="Century Gothic"/>
          <w:szCs w:val="22"/>
        </w:rPr>
      </w:pPr>
      <w:r w:rsidRPr="001D622B">
        <w:rPr>
          <w:rFonts w:ascii="Century Gothic" w:hAnsi="Century Gothic"/>
          <w:szCs w:val="22"/>
        </w:rPr>
        <w:lastRenderedPageBreak/>
        <w:t xml:space="preserve">that all non-elderly, non-disabled participants are required to comply with FSS requirements as a condition of the receipt of a </w:t>
      </w:r>
      <w:r w:rsidR="00272BC4" w:rsidRPr="001D622B">
        <w:rPr>
          <w:rFonts w:ascii="Century Gothic" w:hAnsi="Century Gothic"/>
          <w:szCs w:val="22"/>
        </w:rPr>
        <w:t>long-term</w:t>
      </w:r>
      <w:r w:rsidRPr="001D622B">
        <w:rPr>
          <w:rFonts w:ascii="Century Gothic" w:hAnsi="Century Gothic"/>
          <w:szCs w:val="22"/>
        </w:rPr>
        <w:t xml:space="preserve"> exemption; and</w:t>
      </w:r>
    </w:p>
    <w:p w14:paraId="342B1AEC" w14:textId="77777777" w:rsidR="00B2304E" w:rsidRPr="001D622B" w:rsidRDefault="00B2304E" w:rsidP="00B2304E">
      <w:pPr>
        <w:rPr>
          <w:rFonts w:ascii="Century Gothic" w:hAnsi="Century Gothic"/>
          <w:szCs w:val="22"/>
        </w:rPr>
      </w:pPr>
    </w:p>
    <w:p w14:paraId="74B4A2AE" w14:textId="77777777" w:rsidR="00B2304E" w:rsidRPr="001D622B" w:rsidRDefault="00B2304E" w:rsidP="00486062">
      <w:pPr>
        <w:pStyle w:val="ListParagraph"/>
        <w:numPr>
          <w:ilvl w:val="0"/>
          <w:numId w:val="91"/>
        </w:numPr>
        <w:rPr>
          <w:rFonts w:ascii="Century Gothic" w:hAnsi="Century Gothic"/>
          <w:szCs w:val="22"/>
        </w:rPr>
      </w:pPr>
      <w:r w:rsidRPr="001D622B">
        <w:rPr>
          <w:rFonts w:ascii="Century Gothic" w:hAnsi="Century Gothic"/>
          <w:szCs w:val="22"/>
        </w:rPr>
        <w:t>that the participant must notify ECC/HANH within 10 days if the hardship ceases to exist because the participant has obtained a source of income sufficient to pay (at least) the minimum rent.</w:t>
      </w:r>
    </w:p>
    <w:p w14:paraId="50D1D85C" w14:textId="77777777" w:rsidR="00B2304E" w:rsidRPr="001D622B" w:rsidRDefault="00B2304E" w:rsidP="00B2304E">
      <w:pPr>
        <w:rPr>
          <w:rFonts w:ascii="Century Gothic" w:hAnsi="Century Gothic"/>
          <w:szCs w:val="22"/>
        </w:rPr>
      </w:pPr>
    </w:p>
    <w:p w14:paraId="1D6611AC" w14:textId="77777777" w:rsidR="00B2304E" w:rsidRPr="001D622B" w:rsidRDefault="00B2304E" w:rsidP="00B2304E">
      <w:pPr>
        <w:rPr>
          <w:rFonts w:ascii="Century Gothic" w:hAnsi="Century Gothic"/>
          <w:szCs w:val="22"/>
        </w:rPr>
      </w:pPr>
      <w:r w:rsidRPr="001D622B">
        <w:rPr>
          <w:rFonts w:ascii="Century Gothic" w:hAnsi="Century Gothic"/>
          <w:szCs w:val="22"/>
        </w:rPr>
        <w:t>If the hardship is determined to be non-existent:</w:t>
      </w:r>
    </w:p>
    <w:p w14:paraId="6FC0BB90" w14:textId="77777777" w:rsidR="00B2304E" w:rsidRPr="001D622B" w:rsidRDefault="00B2304E" w:rsidP="00B2304E">
      <w:pPr>
        <w:rPr>
          <w:rFonts w:ascii="Century Gothic" w:hAnsi="Century Gothic"/>
          <w:szCs w:val="22"/>
        </w:rPr>
      </w:pPr>
    </w:p>
    <w:p w14:paraId="4FE87979" w14:textId="77777777" w:rsidR="00B2304E" w:rsidRPr="001D622B" w:rsidRDefault="00B2304E" w:rsidP="00486062">
      <w:pPr>
        <w:pStyle w:val="ListParagraph"/>
        <w:numPr>
          <w:ilvl w:val="0"/>
          <w:numId w:val="92"/>
        </w:numPr>
        <w:rPr>
          <w:rFonts w:ascii="Century Gothic" w:hAnsi="Century Gothic"/>
          <w:szCs w:val="22"/>
        </w:rPr>
      </w:pPr>
      <w:r w:rsidRPr="001D622B">
        <w:rPr>
          <w:rFonts w:ascii="Century Gothic" w:hAnsi="Century Gothic"/>
          <w:szCs w:val="22"/>
        </w:rPr>
        <w:t xml:space="preserve">that a hardship exemption was </w:t>
      </w:r>
      <w:proofErr w:type="gramStart"/>
      <w:r w:rsidRPr="001D622B">
        <w:rPr>
          <w:rFonts w:ascii="Century Gothic" w:hAnsi="Century Gothic"/>
          <w:szCs w:val="22"/>
        </w:rPr>
        <w:t>denied;</w:t>
      </w:r>
      <w:proofErr w:type="gramEnd"/>
    </w:p>
    <w:p w14:paraId="24890208" w14:textId="77777777" w:rsidR="00B2304E" w:rsidRPr="001D622B" w:rsidRDefault="00B2304E" w:rsidP="00B2304E">
      <w:pPr>
        <w:rPr>
          <w:rFonts w:ascii="Century Gothic" w:hAnsi="Century Gothic"/>
          <w:szCs w:val="22"/>
        </w:rPr>
      </w:pPr>
    </w:p>
    <w:p w14:paraId="371FB60A" w14:textId="77777777" w:rsidR="00B2304E" w:rsidRPr="001D622B" w:rsidRDefault="00B2304E" w:rsidP="00486062">
      <w:pPr>
        <w:pStyle w:val="ListParagraph"/>
        <w:numPr>
          <w:ilvl w:val="0"/>
          <w:numId w:val="92"/>
        </w:numPr>
        <w:rPr>
          <w:rFonts w:ascii="Century Gothic" w:hAnsi="Century Gothic"/>
          <w:szCs w:val="22"/>
        </w:rPr>
      </w:pPr>
      <w:r w:rsidRPr="001D622B">
        <w:rPr>
          <w:rFonts w:ascii="Century Gothic" w:hAnsi="Century Gothic"/>
          <w:szCs w:val="22"/>
        </w:rPr>
        <w:t>the reason for such determination; and</w:t>
      </w:r>
    </w:p>
    <w:p w14:paraId="56975BE6" w14:textId="77777777" w:rsidR="00B2304E" w:rsidRPr="001D622B" w:rsidRDefault="00B2304E" w:rsidP="00B2304E">
      <w:pPr>
        <w:rPr>
          <w:rFonts w:ascii="Century Gothic" w:hAnsi="Century Gothic"/>
          <w:szCs w:val="22"/>
        </w:rPr>
      </w:pPr>
    </w:p>
    <w:p w14:paraId="07AD5E39" w14:textId="77777777" w:rsidR="00B2304E" w:rsidRPr="001D622B" w:rsidRDefault="00B2304E" w:rsidP="00486062">
      <w:pPr>
        <w:pStyle w:val="ListParagraph"/>
        <w:numPr>
          <w:ilvl w:val="0"/>
          <w:numId w:val="92"/>
        </w:numPr>
        <w:rPr>
          <w:rFonts w:ascii="Century Gothic" w:hAnsi="Century Gothic"/>
          <w:szCs w:val="22"/>
        </w:rPr>
      </w:pPr>
      <w:r w:rsidRPr="001D622B">
        <w:rPr>
          <w:rFonts w:ascii="Century Gothic" w:hAnsi="Century Gothic"/>
          <w:szCs w:val="22"/>
        </w:rPr>
        <w:t xml:space="preserve">the terms and </w:t>
      </w:r>
      <w:proofErr w:type="gramStart"/>
      <w:r w:rsidRPr="001D622B">
        <w:rPr>
          <w:rFonts w:ascii="Century Gothic" w:hAnsi="Century Gothic"/>
          <w:szCs w:val="22"/>
        </w:rPr>
        <w:t>condition</w:t>
      </w:r>
      <w:proofErr w:type="gramEnd"/>
      <w:r w:rsidRPr="001D622B">
        <w:rPr>
          <w:rFonts w:ascii="Century Gothic" w:hAnsi="Century Gothic"/>
          <w:szCs w:val="22"/>
        </w:rPr>
        <w:t xml:space="preserve"> on which the participant family must pay back the minimum rent that was suspended and is now owing to ECC/HANH.</w:t>
      </w:r>
    </w:p>
    <w:p w14:paraId="2104781E" w14:textId="77777777" w:rsidR="00B2304E" w:rsidRPr="001D622B" w:rsidRDefault="00B2304E" w:rsidP="00B2304E">
      <w:pPr>
        <w:rPr>
          <w:rFonts w:ascii="Century Gothic" w:hAnsi="Century Gothic"/>
          <w:szCs w:val="22"/>
        </w:rPr>
      </w:pPr>
    </w:p>
    <w:p w14:paraId="4380CE58" w14:textId="615F2D4D" w:rsidR="00B2304E" w:rsidRPr="001D622B" w:rsidRDefault="00B2304E" w:rsidP="00B2304E">
      <w:pPr>
        <w:rPr>
          <w:rFonts w:ascii="Century Gothic" w:hAnsi="Century Gothic"/>
          <w:szCs w:val="22"/>
        </w:rPr>
      </w:pPr>
      <w:r w:rsidRPr="001D622B">
        <w:rPr>
          <w:rFonts w:ascii="Century Gothic" w:hAnsi="Century Gothic"/>
          <w:szCs w:val="22"/>
        </w:rPr>
        <w:t xml:space="preserve">All letters concerning Hardship Review Committee determinations shall state that any participant who disagrees with the decision may request an informal hearing in accordance with ECC/HANH’s hearing procedures, a copy of which will be included with the written decision.  In cases where a hearing is sought, no action shall be taken by ECC/HANH until the grievance process is completed.  </w:t>
      </w:r>
    </w:p>
    <w:p w14:paraId="1B59CDE6" w14:textId="77777777" w:rsidR="006C45C2" w:rsidRPr="001D622B" w:rsidRDefault="006C45C2" w:rsidP="00B2304E">
      <w:pPr>
        <w:rPr>
          <w:rFonts w:ascii="Century Gothic" w:hAnsi="Century Gothic"/>
          <w:szCs w:val="22"/>
        </w:rPr>
      </w:pPr>
    </w:p>
    <w:p w14:paraId="3F78EFB1" w14:textId="69AB1421" w:rsidR="00B2304E" w:rsidRPr="001D622B" w:rsidRDefault="00B2304E" w:rsidP="00B2304E">
      <w:pPr>
        <w:rPr>
          <w:rFonts w:ascii="Century Gothic" w:hAnsi="Century Gothic"/>
          <w:b/>
          <w:bCs/>
          <w:szCs w:val="22"/>
        </w:rPr>
      </w:pPr>
      <w:bookmarkStart w:id="351" w:name="_Toc518556109"/>
      <w:bookmarkStart w:id="352" w:name="_Toc3305677"/>
      <w:r w:rsidRPr="001D622B">
        <w:rPr>
          <w:rFonts w:ascii="Century Gothic" w:hAnsi="Century Gothic"/>
          <w:b/>
          <w:bCs/>
          <w:szCs w:val="22"/>
        </w:rPr>
        <w:t>Mixed Families</w:t>
      </w:r>
      <w:bookmarkEnd w:id="351"/>
      <w:bookmarkEnd w:id="352"/>
    </w:p>
    <w:p w14:paraId="1D903E75" w14:textId="0E8772CB" w:rsidR="00B2304E" w:rsidRPr="001D622B" w:rsidRDefault="00B2304E" w:rsidP="00B2304E">
      <w:pPr>
        <w:rPr>
          <w:rFonts w:ascii="Century Gothic" w:hAnsi="Century Gothic"/>
          <w:spacing w:val="2"/>
          <w:szCs w:val="22"/>
        </w:rPr>
      </w:pPr>
      <w:r w:rsidRPr="001D622B">
        <w:rPr>
          <w:rFonts w:ascii="Century Gothic" w:hAnsi="Century Gothic"/>
          <w:spacing w:val="1"/>
          <w:szCs w:val="22"/>
        </w:rPr>
        <w:t xml:space="preserve">For mixed families, where some households include members with citizenship or eligible </w:t>
      </w:r>
      <w:r w:rsidRPr="001D622B">
        <w:rPr>
          <w:rFonts w:ascii="Century Gothic" w:hAnsi="Century Gothic"/>
          <w:spacing w:val="2"/>
          <w:szCs w:val="22"/>
        </w:rPr>
        <w:t xml:space="preserve">immigration status as well as those without, rents are calculated using the simplification model; subsidy is then prorated </w:t>
      </w:r>
      <w:proofErr w:type="gramStart"/>
      <w:r w:rsidR="00505AAF">
        <w:rPr>
          <w:rFonts w:ascii="Century Gothic" w:hAnsi="Century Gothic"/>
          <w:spacing w:val="2"/>
          <w:szCs w:val="22"/>
        </w:rPr>
        <w:t>per</w:t>
      </w:r>
      <w:proofErr w:type="gramEnd"/>
      <w:r w:rsidR="00505AAF">
        <w:rPr>
          <w:rFonts w:ascii="Century Gothic" w:hAnsi="Century Gothic"/>
          <w:spacing w:val="2"/>
          <w:szCs w:val="22"/>
        </w:rPr>
        <w:t xml:space="preserve"> regulations</w:t>
      </w:r>
      <w:r w:rsidRPr="001D622B">
        <w:rPr>
          <w:rFonts w:ascii="Century Gothic" w:hAnsi="Century Gothic"/>
          <w:spacing w:val="2"/>
          <w:szCs w:val="22"/>
        </w:rPr>
        <w:t>.</w:t>
      </w:r>
    </w:p>
    <w:p w14:paraId="3595AB42" w14:textId="77777777" w:rsidR="006C45C2" w:rsidRPr="001D622B" w:rsidRDefault="006C45C2" w:rsidP="00B2304E">
      <w:pPr>
        <w:rPr>
          <w:rFonts w:ascii="Century Gothic" w:hAnsi="Century Gothic"/>
          <w:spacing w:val="2"/>
          <w:szCs w:val="22"/>
        </w:rPr>
      </w:pPr>
    </w:p>
    <w:p w14:paraId="41B8CA39" w14:textId="30B5D209" w:rsidR="00B2304E" w:rsidRPr="001D622B" w:rsidRDefault="00B2304E" w:rsidP="00B2304E">
      <w:pPr>
        <w:rPr>
          <w:rFonts w:ascii="Century Gothic" w:hAnsi="Century Gothic"/>
          <w:b/>
          <w:bCs/>
          <w:szCs w:val="22"/>
        </w:rPr>
      </w:pPr>
      <w:bookmarkStart w:id="353" w:name="_Toc518556110"/>
      <w:bookmarkStart w:id="354" w:name="_Toc3305678"/>
      <w:r w:rsidRPr="001D622B">
        <w:rPr>
          <w:rFonts w:ascii="Century Gothic" w:hAnsi="Century Gothic"/>
          <w:b/>
          <w:bCs/>
          <w:szCs w:val="22"/>
        </w:rPr>
        <w:t>Fraud Prevention</w:t>
      </w:r>
      <w:bookmarkEnd w:id="353"/>
      <w:bookmarkEnd w:id="354"/>
    </w:p>
    <w:p w14:paraId="6932BDA1" w14:textId="77777777" w:rsidR="00B2304E" w:rsidRPr="001D622B" w:rsidRDefault="00B2304E" w:rsidP="00B2304E">
      <w:pPr>
        <w:rPr>
          <w:rFonts w:ascii="Century Gothic" w:hAnsi="Century Gothic"/>
          <w:szCs w:val="22"/>
        </w:rPr>
      </w:pPr>
      <w:r w:rsidRPr="001D622B">
        <w:rPr>
          <w:rFonts w:ascii="Century Gothic" w:hAnsi="Century Gothic"/>
          <w:spacing w:val="2"/>
          <w:szCs w:val="22"/>
        </w:rPr>
        <w:t xml:space="preserve">After two or more instances of job loss or income drop within ninety (90) days of a </w:t>
      </w:r>
      <w:r w:rsidRPr="001D622B">
        <w:rPr>
          <w:rFonts w:ascii="Century Gothic" w:hAnsi="Century Gothic"/>
          <w:spacing w:val="3"/>
          <w:szCs w:val="22"/>
        </w:rPr>
        <w:t xml:space="preserve">scheduled reexamination (based on current and prior reexamination history), ECC/HANH sets a </w:t>
      </w:r>
      <w:r w:rsidRPr="001D622B">
        <w:rPr>
          <w:rFonts w:ascii="Century Gothic" w:hAnsi="Century Gothic"/>
          <w:spacing w:val="5"/>
          <w:szCs w:val="22"/>
        </w:rPr>
        <w:t xml:space="preserve">rent based on the past year's W-2 or other information available for income verification. </w:t>
      </w:r>
      <w:r w:rsidRPr="001D622B">
        <w:rPr>
          <w:rFonts w:ascii="Century Gothic" w:hAnsi="Century Gothic"/>
          <w:spacing w:val="1"/>
          <w:szCs w:val="22"/>
        </w:rPr>
        <w:t xml:space="preserve">Households are advised that this is a potential fraud issue and that they have the right to grieve through the normal process to more fully explain the reasons for the pattern of income </w:t>
      </w:r>
      <w:r w:rsidRPr="001D622B">
        <w:rPr>
          <w:rFonts w:ascii="Century Gothic" w:hAnsi="Century Gothic"/>
          <w:spacing w:val="3"/>
          <w:szCs w:val="22"/>
        </w:rPr>
        <w:t>loss. ECC/HANH will set the rent after the Conference Panel review.</w:t>
      </w:r>
    </w:p>
    <w:p w14:paraId="5AA1A9EB" w14:textId="368C183D" w:rsidR="00B2304E" w:rsidRPr="001D622B" w:rsidRDefault="00B2304E" w:rsidP="00B2304E">
      <w:pPr>
        <w:rPr>
          <w:rFonts w:ascii="Century Gothic" w:hAnsi="Century Gothic"/>
          <w:spacing w:val="2"/>
          <w:szCs w:val="22"/>
        </w:rPr>
      </w:pPr>
      <w:r w:rsidRPr="001D622B">
        <w:rPr>
          <w:rFonts w:ascii="Century Gothic" w:hAnsi="Century Gothic"/>
          <w:spacing w:val="5"/>
          <w:szCs w:val="22"/>
        </w:rPr>
        <w:t xml:space="preserve">Households with two or more instances of job loss or income drop within ninety (90) </w:t>
      </w:r>
      <w:r w:rsidRPr="001D622B">
        <w:rPr>
          <w:rFonts w:ascii="Century Gothic" w:hAnsi="Century Gothic"/>
          <w:spacing w:val="2"/>
          <w:szCs w:val="22"/>
        </w:rPr>
        <w:t>days of a scheduled certification do not have access to the Hardship Review Committee.</w:t>
      </w:r>
    </w:p>
    <w:p w14:paraId="378A9BED" w14:textId="77777777" w:rsidR="006C45C2" w:rsidRPr="001D622B" w:rsidRDefault="006C45C2" w:rsidP="00B2304E">
      <w:pPr>
        <w:rPr>
          <w:rFonts w:ascii="Century Gothic" w:hAnsi="Century Gothic"/>
          <w:szCs w:val="22"/>
        </w:rPr>
      </w:pPr>
    </w:p>
    <w:p w14:paraId="070093D0" w14:textId="0ABB3FEB" w:rsidR="00B2304E" w:rsidRPr="001D622B" w:rsidRDefault="00B2304E" w:rsidP="00B2304E">
      <w:pPr>
        <w:rPr>
          <w:rFonts w:ascii="Century Gothic" w:hAnsi="Century Gothic"/>
          <w:b/>
          <w:bCs/>
          <w:szCs w:val="22"/>
        </w:rPr>
      </w:pPr>
      <w:bookmarkStart w:id="355" w:name="_Toc518556111"/>
      <w:bookmarkStart w:id="356" w:name="_Toc3305679"/>
      <w:r w:rsidRPr="001D622B">
        <w:rPr>
          <w:rFonts w:ascii="Century Gothic" w:hAnsi="Century Gothic"/>
          <w:b/>
          <w:bCs/>
          <w:szCs w:val="22"/>
        </w:rPr>
        <w:t>Rent Simplification Implementation – Housing Choice</w:t>
      </w:r>
      <w:bookmarkEnd w:id="355"/>
      <w:bookmarkEnd w:id="356"/>
    </w:p>
    <w:p w14:paraId="3C333435" w14:textId="77777777" w:rsidR="00B2304E" w:rsidRPr="001D622B" w:rsidRDefault="00B2304E" w:rsidP="00B2304E">
      <w:pPr>
        <w:rPr>
          <w:rFonts w:ascii="Century Gothic" w:hAnsi="Century Gothic"/>
          <w:szCs w:val="22"/>
        </w:rPr>
      </w:pPr>
      <w:r w:rsidRPr="001D622B">
        <w:rPr>
          <w:rFonts w:ascii="Century Gothic" w:hAnsi="Century Gothic"/>
          <w:spacing w:val="2"/>
          <w:szCs w:val="22"/>
        </w:rPr>
        <w:t xml:space="preserve">Residents will receive notice of the new policy on July 1, </w:t>
      </w:r>
      <w:proofErr w:type="gramStart"/>
      <w:r w:rsidRPr="001D622B">
        <w:rPr>
          <w:rFonts w:ascii="Century Gothic" w:hAnsi="Century Gothic"/>
          <w:spacing w:val="2"/>
          <w:szCs w:val="22"/>
        </w:rPr>
        <w:t>2007</w:t>
      </w:r>
      <w:proofErr w:type="gramEnd"/>
      <w:r w:rsidRPr="001D622B">
        <w:rPr>
          <w:rFonts w:ascii="Century Gothic" w:hAnsi="Century Gothic"/>
          <w:spacing w:val="2"/>
          <w:szCs w:val="22"/>
        </w:rPr>
        <w:t xml:space="preserve"> and the policy will take effect on January 1, </w:t>
      </w:r>
      <w:proofErr w:type="gramStart"/>
      <w:r w:rsidRPr="001D622B">
        <w:rPr>
          <w:rFonts w:ascii="Century Gothic" w:hAnsi="Century Gothic"/>
          <w:spacing w:val="2"/>
          <w:szCs w:val="22"/>
        </w:rPr>
        <w:t>2008</w:t>
      </w:r>
      <w:proofErr w:type="gramEnd"/>
      <w:r w:rsidRPr="001D622B">
        <w:rPr>
          <w:rFonts w:ascii="Century Gothic" w:hAnsi="Century Gothic"/>
          <w:spacing w:val="2"/>
          <w:szCs w:val="22"/>
        </w:rPr>
        <w:t xml:space="preserve"> for all reexaminations with an anniversary effective date on or after January 1, </w:t>
      </w:r>
      <w:proofErr w:type="gramStart"/>
      <w:r w:rsidRPr="001D622B">
        <w:rPr>
          <w:rFonts w:ascii="Century Gothic" w:hAnsi="Century Gothic"/>
          <w:spacing w:val="2"/>
          <w:szCs w:val="22"/>
        </w:rPr>
        <w:t>2008</w:t>
      </w:r>
      <w:proofErr w:type="gramEnd"/>
      <w:r w:rsidRPr="001D622B">
        <w:rPr>
          <w:rFonts w:ascii="Century Gothic" w:hAnsi="Century Gothic"/>
          <w:spacing w:val="2"/>
          <w:szCs w:val="22"/>
        </w:rPr>
        <w:t xml:space="preserve"> and for all new lease-ups and residents requesting interim </w:t>
      </w:r>
      <w:r w:rsidRPr="001D622B">
        <w:rPr>
          <w:rFonts w:ascii="Century Gothic" w:hAnsi="Century Gothic"/>
          <w:spacing w:val="1"/>
          <w:szCs w:val="22"/>
        </w:rPr>
        <w:t>reexaminations after January 1, 2008.</w:t>
      </w:r>
    </w:p>
    <w:p w14:paraId="13669E16" w14:textId="7553C0DA" w:rsidR="00B2304E" w:rsidRPr="001D622B" w:rsidRDefault="00B2304E" w:rsidP="00B2304E">
      <w:pPr>
        <w:rPr>
          <w:rFonts w:ascii="Century Gothic" w:hAnsi="Century Gothic"/>
          <w:spacing w:val="2"/>
          <w:szCs w:val="22"/>
        </w:rPr>
      </w:pPr>
      <w:r w:rsidRPr="001D622B">
        <w:rPr>
          <w:rFonts w:ascii="Century Gothic" w:hAnsi="Century Gothic"/>
          <w:spacing w:val="2"/>
          <w:szCs w:val="22"/>
        </w:rPr>
        <w:t xml:space="preserve">A staggered approach is used to integrate the two-year and </w:t>
      </w:r>
      <w:r w:rsidR="0030226C" w:rsidRPr="001D622B">
        <w:rPr>
          <w:rFonts w:ascii="Century Gothic" w:hAnsi="Century Gothic"/>
          <w:spacing w:val="2"/>
          <w:szCs w:val="22"/>
        </w:rPr>
        <w:t>three-year</w:t>
      </w:r>
      <w:r w:rsidRPr="001D622B">
        <w:rPr>
          <w:rFonts w:ascii="Century Gothic" w:hAnsi="Century Gothic"/>
          <w:spacing w:val="2"/>
          <w:szCs w:val="22"/>
        </w:rPr>
        <w:t xml:space="preserve"> reexamination cycles. </w:t>
      </w:r>
    </w:p>
    <w:p w14:paraId="62CB7ABF" w14:textId="77777777" w:rsidR="00B2304E" w:rsidRPr="001D622B" w:rsidRDefault="00B2304E" w:rsidP="00B2304E">
      <w:pPr>
        <w:rPr>
          <w:rFonts w:ascii="Century Gothic" w:hAnsi="Century Gothic"/>
          <w:spacing w:val="2"/>
          <w:szCs w:val="22"/>
        </w:rPr>
      </w:pPr>
      <w:r w:rsidRPr="001D622B">
        <w:rPr>
          <w:rFonts w:ascii="Century Gothic" w:hAnsi="Century Gothic"/>
          <w:spacing w:val="2"/>
          <w:szCs w:val="22"/>
        </w:rPr>
        <w:t xml:space="preserve">Initially in fiscal year 2008, all families will be re-examined during the first year. </w:t>
      </w:r>
    </w:p>
    <w:p w14:paraId="3330D98A" w14:textId="77777777" w:rsidR="00B2304E" w:rsidRPr="001D622B" w:rsidRDefault="00B2304E" w:rsidP="00B2304E">
      <w:pPr>
        <w:rPr>
          <w:rFonts w:ascii="Century Gothic" w:hAnsi="Century Gothic"/>
          <w:spacing w:val="2"/>
          <w:szCs w:val="22"/>
        </w:rPr>
      </w:pPr>
      <w:r w:rsidRPr="001D622B">
        <w:rPr>
          <w:rFonts w:ascii="Century Gothic" w:hAnsi="Century Gothic"/>
          <w:spacing w:val="2"/>
          <w:szCs w:val="22"/>
        </w:rPr>
        <w:t>In the second year of the program (2009), two thirds of the elderly/disabled families will be re-examined and one half of the non-elderly/non-disabled families.</w:t>
      </w:r>
    </w:p>
    <w:p w14:paraId="7416490A" w14:textId="77777777" w:rsidR="00B2304E" w:rsidRPr="001D622B" w:rsidRDefault="00B2304E" w:rsidP="00B2304E">
      <w:pPr>
        <w:rPr>
          <w:rFonts w:ascii="Century Gothic" w:hAnsi="Century Gothic"/>
          <w:spacing w:val="2"/>
          <w:szCs w:val="22"/>
        </w:rPr>
      </w:pPr>
      <w:r w:rsidRPr="001D622B">
        <w:rPr>
          <w:rFonts w:ascii="Century Gothic" w:hAnsi="Century Gothic"/>
          <w:spacing w:val="2"/>
          <w:szCs w:val="22"/>
        </w:rPr>
        <w:t>In the third year of the program (2010), one third on the elderly/disabled families will be re-examined and one-half of the remaining non-elderly/non-disabled families.</w:t>
      </w:r>
    </w:p>
    <w:p w14:paraId="15FCF088" w14:textId="77777777" w:rsidR="00B2304E" w:rsidRPr="001D622B" w:rsidRDefault="00B2304E" w:rsidP="00B2304E">
      <w:pPr>
        <w:rPr>
          <w:rFonts w:ascii="Century Gothic" w:hAnsi="Century Gothic"/>
          <w:spacing w:val="2"/>
          <w:szCs w:val="22"/>
        </w:rPr>
      </w:pPr>
      <w:r w:rsidRPr="001D622B">
        <w:rPr>
          <w:rFonts w:ascii="Century Gothic" w:hAnsi="Century Gothic"/>
          <w:spacing w:val="2"/>
          <w:szCs w:val="22"/>
        </w:rPr>
        <w:t>Rent Simplification is expected to be fully implemented by December 31, 2010.</w:t>
      </w:r>
    </w:p>
    <w:p w14:paraId="23A45A77" w14:textId="77777777" w:rsidR="00B2304E" w:rsidRPr="001D622B" w:rsidRDefault="00B2304E" w:rsidP="00B2304E">
      <w:pPr>
        <w:rPr>
          <w:rFonts w:ascii="Century Gothic" w:hAnsi="Century Gothic"/>
          <w:i/>
          <w:iCs/>
          <w:spacing w:val="2"/>
          <w:szCs w:val="22"/>
        </w:rPr>
      </w:pPr>
    </w:p>
    <w:p w14:paraId="4D4473D3" w14:textId="77777777" w:rsidR="00396FE6" w:rsidRDefault="00396FE6" w:rsidP="00B2304E">
      <w:pPr>
        <w:rPr>
          <w:rFonts w:ascii="Century Gothic" w:hAnsi="Century Gothic"/>
          <w:b/>
          <w:bCs/>
          <w:szCs w:val="22"/>
        </w:rPr>
      </w:pPr>
      <w:bookmarkStart w:id="357" w:name="_Toc518556112"/>
      <w:bookmarkStart w:id="358" w:name="_Toc3305680"/>
    </w:p>
    <w:p w14:paraId="732F3E86" w14:textId="7096338C" w:rsidR="00B2304E" w:rsidRPr="001D622B" w:rsidRDefault="00B2304E" w:rsidP="00B2304E">
      <w:pPr>
        <w:rPr>
          <w:rFonts w:ascii="Century Gothic" w:hAnsi="Century Gothic"/>
          <w:b/>
          <w:bCs/>
          <w:szCs w:val="22"/>
        </w:rPr>
      </w:pPr>
      <w:r w:rsidRPr="001D622B">
        <w:rPr>
          <w:rFonts w:ascii="Century Gothic" w:hAnsi="Century Gothic"/>
          <w:b/>
          <w:bCs/>
          <w:szCs w:val="22"/>
        </w:rPr>
        <w:t>SEMAP WAIVERS</w:t>
      </w:r>
      <w:bookmarkEnd w:id="357"/>
      <w:bookmarkEnd w:id="358"/>
    </w:p>
    <w:p w14:paraId="767E9CD4" w14:textId="77777777" w:rsidR="00B2304E" w:rsidRPr="001D622B" w:rsidRDefault="00B2304E" w:rsidP="00B2304E">
      <w:pPr>
        <w:rPr>
          <w:rFonts w:ascii="Century Gothic" w:hAnsi="Century Gothic"/>
          <w:szCs w:val="22"/>
        </w:rPr>
      </w:pPr>
    </w:p>
    <w:p w14:paraId="72535E7C" w14:textId="77777777" w:rsidR="00B2304E" w:rsidRPr="001D622B" w:rsidRDefault="00B2304E" w:rsidP="00B2304E">
      <w:pPr>
        <w:rPr>
          <w:rFonts w:ascii="Century Gothic" w:hAnsi="Century Gothic"/>
          <w:szCs w:val="22"/>
        </w:rPr>
      </w:pPr>
      <w:r w:rsidRPr="001D622B">
        <w:rPr>
          <w:rFonts w:ascii="Century Gothic" w:hAnsi="Century Gothic"/>
          <w:szCs w:val="22"/>
        </w:rPr>
        <w:t>The SEMAP verification methods and ratings are set forth under 24 CFR Part 983. As a result of the Rent Simplification Plan many of these indicators will either no longer be relevant or the Authority and/or HUD will be unable to measure ECC/HANH’s performance; therefore, ECC/HANH will request a waiver of the following SEMAP indicators beginning October 1, 2007.</w:t>
      </w:r>
    </w:p>
    <w:p w14:paraId="035CA36D" w14:textId="77777777" w:rsidR="00B2304E" w:rsidRPr="001D622B" w:rsidRDefault="00B2304E" w:rsidP="00B2304E">
      <w:pPr>
        <w:rPr>
          <w:rFonts w:ascii="Century Gothic" w:hAnsi="Century Gothic"/>
          <w:szCs w:val="22"/>
        </w:rPr>
      </w:pPr>
    </w:p>
    <w:p w14:paraId="692D28C3" w14:textId="77777777" w:rsidR="00B2304E" w:rsidRPr="001D622B" w:rsidRDefault="00B2304E" w:rsidP="00B2304E">
      <w:pPr>
        <w:rPr>
          <w:rFonts w:ascii="Century Gothic" w:hAnsi="Century Gothic"/>
          <w:szCs w:val="22"/>
        </w:rPr>
      </w:pPr>
      <w:r w:rsidRPr="001D622B">
        <w:rPr>
          <w:rFonts w:ascii="Century Gothic" w:hAnsi="Century Gothic"/>
          <w:szCs w:val="22"/>
        </w:rPr>
        <w:t>Sec.  985.3(c).</w:t>
      </w:r>
      <w:r w:rsidRPr="001D622B">
        <w:rPr>
          <w:rFonts w:ascii="Century Gothic" w:hAnsi="Century Gothic"/>
          <w:szCs w:val="22"/>
        </w:rPr>
        <w:tab/>
      </w:r>
      <w:r w:rsidRPr="001D622B">
        <w:rPr>
          <w:rFonts w:ascii="Century Gothic" w:hAnsi="Century Gothic"/>
          <w:b/>
          <w:szCs w:val="22"/>
        </w:rPr>
        <w:t>Determination of Adjusted Income</w:t>
      </w:r>
      <w:r w:rsidRPr="001D622B">
        <w:rPr>
          <w:rFonts w:ascii="Century Gothic" w:hAnsi="Century Gothic"/>
          <w:szCs w:val="22"/>
        </w:rPr>
        <w:t>.</w:t>
      </w:r>
    </w:p>
    <w:p w14:paraId="0481AD44" w14:textId="5EE4DB95" w:rsidR="00B2304E" w:rsidRDefault="00B2304E" w:rsidP="00B2304E">
      <w:pPr>
        <w:rPr>
          <w:rFonts w:ascii="Century Gothic" w:hAnsi="Century Gothic"/>
          <w:szCs w:val="22"/>
        </w:rPr>
      </w:pPr>
      <w:r w:rsidRPr="001D622B">
        <w:rPr>
          <w:rFonts w:ascii="Century Gothic" w:hAnsi="Century Gothic"/>
          <w:szCs w:val="22"/>
        </w:rPr>
        <w:t xml:space="preserve">Beginning October 1, 2007, Total Tenant Payment will be </w:t>
      </w:r>
      <w:proofErr w:type="gramStart"/>
      <w:r w:rsidRPr="001D622B">
        <w:rPr>
          <w:rFonts w:ascii="Century Gothic" w:hAnsi="Century Gothic"/>
          <w:szCs w:val="22"/>
        </w:rPr>
        <w:t>based</w:t>
      </w:r>
      <w:proofErr w:type="gramEnd"/>
      <w:r w:rsidRPr="001D622B">
        <w:rPr>
          <w:rFonts w:ascii="Century Gothic" w:hAnsi="Century Gothic"/>
          <w:szCs w:val="22"/>
        </w:rPr>
        <w:t xml:space="preserve"> Annual Income by income tiers. </w:t>
      </w:r>
      <w:r w:rsidR="0055544B" w:rsidRPr="001D622B">
        <w:rPr>
          <w:rFonts w:ascii="Century Gothic" w:hAnsi="Century Gothic"/>
          <w:szCs w:val="22"/>
        </w:rPr>
        <w:t>Additionally</w:t>
      </w:r>
      <w:r w:rsidRPr="001D622B">
        <w:rPr>
          <w:rFonts w:ascii="Century Gothic" w:hAnsi="Century Gothic"/>
          <w:szCs w:val="22"/>
        </w:rPr>
        <w:t>, ECC/HANH will no longer include assets of less than $50,000in the determination of Annual Income. There will no longer be any Mandatory Deductions; therefore, a waiver of this Section is required.</w:t>
      </w:r>
    </w:p>
    <w:p w14:paraId="1654C415" w14:textId="77777777" w:rsidR="00396FE6" w:rsidRPr="001D622B" w:rsidRDefault="00396FE6" w:rsidP="00B2304E">
      <w:pPr>
        <w:rPr>
          <w:rFonts w:ascii="Century Gothic" w:hAnsi="Century Gothic"/>
          <w:szCs w:val="22"/>
        </w:rPr>
      </w:pPr>
    </w:p>
    <w:p w14:paraId="30D20A60" w14:textId="77777777" w:rsidR="00B2304E" w:rsidRPr="001D622B" w:rsidRDefault="00B2304E" w:rsidP="00B2304E">
      <w:pPr>
        <w:rPr>
          <w:rFonts w:ascii="Century Gothic" w:hAnsi="Century Gothic"/>
          <w:szCs w:val="22"/>
        </w:rPr>
      </w:pPr>
      <w:r w:rsidRPr="001D622B">
        <w:rPr>
          <w:rFonts w:ascii="Century Gothic" w:hAnsi="Century Gothic"/>
          <w:szCs w:val="22"/>
        </w:rPr>
        <w:t>Section 985.3(j)</w:t>
      </w:r>
      <w:r w:rsidRPr="001D622B">
        <w:rPr>
          <w:rFonts w:ascii="Century Gothic" w:hAnsi="Century Gothic"/>
          <w:szCs w:val="22"/>
        </w:rPr>
        <w:tab/>
      </w:r>
      <w:r w:rsidRPr="001D622B">
        <w:rPr>
          <w:rFonts w:ascii="Century Gothic" w:hAnsi="Century Gothic"/>
          <w:b/>
          <w:szCs w:val="22"/>
        </w:rPr>
        <w:t>Annual reexaminations</w:t>
      </w:r>
      <w:r w:rsidRPr="001D622B">
        <w:rPr>
          <w:rFonts w:ascii="Century Gothic" w:hAnsi="Century Gothic"/>
          <w:szCs w:val="22"/>
        </w:rPr>
        <w:t xml:space="preserve">. </w:t>
      </w:r>
    </w:p>
    <w:p w14:paraId="04E4E35D"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This indicator shows whether the PHA completes a reexamination for each participating family at least every </w:t>
      </w:r>
    </w:p>
    <w:p w14:paraId="5BF31C22" w14:textId="77777777" w:rsidR="00B2304E" w:rsidRPr="001D622B" w:rsidRDefault="00B2304E" w:rsidP="00B2304E">
      <w:pPr>
        <w:rPr>
          <w:rFonts w:ascii="Century Gothic" w:hAnsi="Century Gothic"/>
          <w:szCs w:val="22"/>
        </w:rPr>
      </w:pPr>
      <w:r w:rsidRPr="001D622B">
        <w:rPr>
          <w:rFonts w:ascii="Century Gothic" w:hAnsi="Century Gothic"/>
          <w:szCs w:val="22"/>
        </w:rPr>
        <w:t>12 months (24 CFR 5.617). A waiver of this indicator is required since ECC/HANH will no longer reexamine every family each year.</w:t>
      </w:r>
    </w:p>
    <w:p w14:paraId="188B2AC8" w14:textId="77777777" w:rsidR="00B2304E" w:rsidRPr="001D622B" w:rsidRDefault="00B2304E" w:rsidP="00B2304E">
      <w:pPr>
        <w:rPr>
          <w:rFonts w:ascii="Century Gothic" w:hAnsi="Century Gothic"/>
          <w:szCs w:val="22"/>
        </w:rPr>
      </w:pPr>
    </w:p>
    <w:p w14:paraId="2DF4F9BF" w14:textId="66D3CB96" w:rsidR="00B2304E" w:rsidRPr="001D622B" w:rsidRDefault="00B2304E" w:rsidP="00B2304E">
      <w:pPr>
        <w:rPr>
          <w:rFonts w:ascii="Century Gothic" w:hAnsi="Century Gothic"/>
          <w:szCs w:val="22"/>
        </w:rPr>
      </w:pPr>
      <w:r w:rsidRPr="001D622B">
        <w:rPr>
          <w:rFonts w:ascii="Century Gothic" w:hAnsi="Century Gothic"/>
          <w:szCs w:val="22"/>
        </w:rPr>
        <w:t>Section 985.3(m)</w:t>
      </w:r>
      <w:r w:rsidR="00CC5826">
        <w:rPr>
          <w:rFonts w:ascii="Century Gothic" w:hAnsi="Century Gothic"/>
          <w:szCs w:val="22"/>
        </w:rPr>
        <w:tab/>
      </w:r>
      <w:r w:rsidRPr="001D622B">
        <w:rPr>
          <w:rFonts w:ascii="Century Gothic" w:hAnsi="Century Gothic"/>
          <w:b/>
          <w:szCs w:val="22"/>
        </w:rPr>
        <w:t>Annual HQS Inspections</w:t>
      </w:r>
      <w:r w:rsidRPr="001D622B">
        <w:rPr>
          <w:rFonts w:ascii="Century Gothic" w:hAnsi="Century Gothic"/>
          <w:szCs w:val="22"/>
        </w:rPr>
        <w:t xml:space="preserve">. </w:t>
      </w:r>
    </w:p>
    <w:p w14:paraId="2A1DEBFB" w14:textId="5055C309" w:rsidR="00B2304E" w:rsidRPr="001D622B" w:rsidRDefault="00B2304E" w:rsidP="00B2304E">
      <w:pPr>
        <w:rPr>
          <w:rFonts w:ascii="Century Gothic" w:hAnsi="Century Gothic"/>
          <w:szCs w:val="22"/>
        </w:rPr>
      </w:pPr>
      <w:r w:rsidRPr="001D622B">
        <w:rPr>
          <w:rFonts w:ascii="Century Gothic" w:hAnsi="Century Gothic"/>
          <w:szCs w:val="22"/>
        </w:rPr>
        <w:t xml:space="preserve">This indicator shows whether the PHA inspects each unit under contract at least annually. (24 CFR 982.405(a).  ECC/HANH will no longer inspect every unit every </w:t>
      </w:r>
      <w:proofErr w:type="gramStart"/>
      <w:r w:rsidRPr="001D622B">
        <w:rPr>
          <w:rFonts w:ascii="Century Gothic" w:hAnsi="Century Gothic"/>
          <w:szCs w:val="22"/>
        </w:rPr>
        <w:t>year, but</w:t>
      </w:r>
      <w:proofErr w:type="gramEnd"/>
      <w:r w:rsidRPr="001D622B">
        <w:rPr>
          <w:rFonts w:ascii="Century Gothic" w:hAnsi="Century Gothic"/>
          <w:szCs w:val="22"/>
        </w:rPr>
        <w:t xml:space="preserve"> will instead inspect units according to the families’ biennial or triennial recertification schedule. </w:t>
      </w:r>
    </w:p>
    <w:p w14:paraId="0528204B" w14:textId="77777777" w:rsidR="006C45C2" w:rsidRPr="001D622B" w:rsidRDefault="006C45C2" w:rsidP="00B2304E">
      <w:pPr>
        <w:rPr>
          <w:rFonts w:ascii="Century Gothic" w:hAnsi="Century Gothic"/>
          <w:szCs w:val="22"/>
        </w:rPr>
      </w:pPr>
    </w:p>
    <w:p w14:paraId="58F2BC9F" w14:textId="66361F51" w:rsidR="00B2304E" w:rsidRPr="001D622B" w:rsidRDefault="00B2304E" w:rsidP="00B2304E">
      <w:pPr>
        <w:rPr>
          <w:rFonts w:ascii="Century Gothic" w:hAnsi="Century Gothic"/>
          <w:szCs w:val="22"/>
        </w:rPr>
      </w:pPr>
      <w:r w:rsidRPr="001D622B">
        <w:rPr>
          <w:rFonts w:ascii="Century Gothic" w:hAnsi="Century Gothic"/>
          <w:szCs w:val="22"/>
        </w:rPr>
        <w:t>Section 985.507(m)</w:t>
      </w:r>
      <w:r w:rsidR="00CC5826">
        <w:rPr>
          <w:rFonts w:ascii="Century Gothic" w:hAnsi="Century Gothic"/>
          <w:szCs w:val="22"/>
        </w:rPr>
        <w:tab/>
      </w:r>
      <w:r w:rsidRPr="001D622B">
        <w:rPr>
          <w:rFonts w:ascii="Century Gothic" w:hAnsi="Century Gothic"/>
          <w:b/>
          <w:szCs w:val="22"/>
        </w:rPr>
        <w:t>Rent to Owner: Reasonable Rent</w:t>
      </w:r>
      <w:r w:rsidRPr="001D622B">
        <w:rPr>
          <w:rFonts w:ascii="Century Gothic" w:hAnsi="Century Gothic"/>
          <w:szCs w:val="22"/>
        </w:rPr>
        <w:t xml:space="preserve"> </w:t>
      </w:r>
    </w:p>
    <w:p w14:paraId="39BCCCA7" w14:textId="77777777" w:rsidR="00B2304E" w:rsidRPr="001D622B" w:rsidRDefault="00B2304E" w:rsidP="00B2304E">
      <w:pPr>
        <w:rPr>
          <w:rFonts w:ascii="Century Gothic" w:hAnsi="Century Gothic"/>
          <w:szCs w:val="22"/>
        </w:rPr>
      </w:pPr>
    </w:p>
    <w:p w14:paraId="1B03E522" w14:textId="455C60DC" w:rsidR="00B2304E" w:rsidRPr="001D622B" w:rsidRDefault="00B2304E" w:rsidP="00B2304E">
      <w:pPr>
        <w:rPr>
          <w:rFonts w:ascii="Century Gothic" w:hAnsi="Century Gothic"/>
          <w:szCs w:val="22"/>
        </w:rPr>
      </w:pPr>
      <w:r w:rsidRPr="001D622B">
        <w:rPr>
          <w:rFonts w:ascii="Century Gothic" w:hAnsi="Century Gothic"/>
          <w:szCs w:val="22"/>
        </w:rPr>
        <w:t>Section 985.3(n</w:t>
      </w:r>
      <w:proofErr w:type="gramStart"/>
      <w:r w:rsidRPr="001D622B">
        <w:rPr>
          <w:rFonts w:ascii="Century Gothic" w:hAnsi="Century Gothic"/>
          <w:szCs w:val="22"/>
        </w:rPr>
        <w:t xml:space="preserve">) </w:t>
      </w:r>
      <w:r w:rsidR="00CC5826">
        <w:rPr>
          <w:rFonts w:ascii="Century Gothic" w:hAnsi="Century Gothic"/>
          <w:szCs w:val="22"/>
        </w:rPr>
        <w:tab/>
      </w:r>
      <w:r w:rsidRPr="001D622B">
        <w:rPr>
          <w:rFonts w:ascii="Century Gothic" w:hAnsi="Century Gothic"/>
          <w:b/>
          <w:szCs w:val="22"/>
        </w:rPr>
        <w:t>Lease</w:t>
      </w:r>
      <w:proofErr w:type="gramEnd"/>
      <w:r w:rsidRPr="001D622B">
        <w:rPr>
          <w:rFonts w:ascii="Century Gothic" w:hAnsi="Century Gothic"/>
          <w:b/>
          <w:szCs w:val="22"/>
        </w:rPr>
        <w:t>-Up</w:t>
      </w:r>
      <w:r w:rsidRPr="001D622B">
        <w:rPr>
          <w:rFonts w:ascii="Century Gothic" w:hAnsi="Century Gothic"/>
          <w:szCs w:val="22"/>
        </w:rPr>
        <w:t xml:space="preserve">. </w:t>
      </w:r>
    </w:p>
    <w:p w14:paraId="7F7A013F" w14:textId="2D2C0A3E" w:rsidR="00B2304E" w:rsidRPr="001D622B" w:rsidRDefault="00B2304E" w:rsidP="00B2304E">
      <w:pPr>
        <w:rPr>
          <w:rFonts w:ascii="Century Gothic" w:hAnsi="Century Gothic"/>
          <w:szCs w:val="22"/>
        </w:rPr>
      </w:pPr>
      <w:r w:rsidRPr="001D622B">
        <w:rPr>
          <w:rFonts w:ascii="Century Gothic" w:hAnsi="Century Gothic"/>
          <w:szCs w:val="22"/>
        </w:rPr>
        <w:t xml:space="preserve">This indicator shows whether the PHA enters HAP contracts for the number of units reserved under ACC for at least one year. Due to the funding fungibility under MTW, Section 8 funds are used according to the priorities set forth in the MTW Annual Plan. </w:t>
      </w:r>
    </w:p>
    <w:p w14:paraId="0D91B8A7" w14:textId="77777777" w:rsidR="006C45C2" w:rsidRPr="001D622B" w:rsidRDefault="006C45C2" w:rsidP="00B2304E">
      <w:pPr>
        <w:rPr>
          <w:rFonts w:ascii="Century Gothic" w:hAnsi="Century Gothic"/>
          <w:szCs w:val="22"/>
        </w:rPr>
      </w:pPr>
    </w:p>
    <w:p w14:paraId="068EBB10" w14:textId="10BB72C9" w:rsidR="00B2304E" w:rsidRPr="001D622B" w:rsidRDefault="00B2304E" w:rsidP="00B2304E">
      <w:pPr>
        <w:rPr>
          <w:rFonts w:ascii="Century Gothic" w:hAnsi="Century Gothic"/>
          <w:b/>
          <w:bCs/>
          <w:szCs w:val="22"/>
        </w:rPr>
      </w:pPr>
      <w:bookmarkStart w:id="359" w:name="_Toc518556113"/>
      <w:bookmarkStart w:id="360" w:name="_Toc3305681"/>
      <w:r w:rsidRPr="001D622B">
        <w:rPr>
          <w:rFonts w:ascii="Century Gothic" w:hAnsi="Century Gothic"/>
          <w:b/>
          <w:bCs/>
          <w:szCs w:val="22"/>
        </w:rPr>
        <w:t>Alternative Inspection Schedule</w:t>
      </w:r>
      <w:bookmarkEnd w:id="359"/>
      <w:bookmarkEnd w:id="360"/>
    </w:p>
    <w:p w14:paraId="2CAAFAF4" w14:textId="77777777" w:rsidR="00B2304E" w:rsidRPr="001D622B" w:rsidRDefault="00B2304E" w:rsidP="00B2304E">
      <w:pPr>
        <w:rPr>
          <w:rFonts w:ascii="Century Gothic" w:hAnsi="Century Gothic"/>
          <w:szCs w:val="22"/>
        </w:rPr>
      </w:pPr>
      <w:r w:rsidRPr="001D622B">
        <w:rPr>
          <w:rFonts w:ascii="Century Gothic" w:hAnsi="Century Gothic"/>
          <w:szCs w:val="22"/>
        </w:rPr>
        <w:t>ECC/HANH will no longer inspect each unit every year, but will instead inspect units according to the families’ biennial or triennial recertification schedule, unless:</w:t>
      </w:r>
    </w:p>
    <w:p w14:paraId="366A2793" w14:textId="77777777" w:rsidR="00B2304E" w:rsidRPr="001D622B" w:rsidRDefault="00B2304E" w:rsidP="00B2304E">
      <w:pPr>
        <w:rPr>
          <w:rFonts w:ascii="Century Gothic" w:hAnsi="Century Gothic"/>
          <w:szCs w:val="22"/>
        </w:rPr>
      </w:pPr>
      <w:r w:rsidRPr="001D622B">
        <w:rPr>
          <w:rFonts w:ascii="Century Gothic" w:hAnsi="Century Gothic"/>
          <w:szCs w:val="22"/>
        </w:rPr>
        <w:t>The participant or landlord requests a special inspection due to violations noticed by either party.</w:t>
      </w:r>
    </w:p>
    <w:p w14:paraId="217D1071" w14:textId="77777777" w:rsidR="00B2304E" w:rsidRPr="001D622B" w:rsidRDefault="00B2304E" w:rsidP="00B2304E">
      <w:pPr>
        <w:rPr>
          <w:rFonts w:ascii="Century Gothic" w:hAnsi="Century Gothic"/>
          <w:szCs w:val="22"/>
        </w:rPr>
      </w:pPr>
    </w:p>
    <w:p w14:paraId="55EC70F4" w14:textId="61E4432F" w:rsidR="00B2304E" w:rsidRPr="001D622B" w:rsidRDefault="00B2304E" w:rsidP="00B2304E">
      <w:pPr>
        <w:rPr>
          <w:rFonts w:ascii="Century Gothic" w:hAnsi="Century Gothic"/>
          <w:b/>
          <w:bCs/>
          <w:szCs w:val="22"/>
        </w:rPr>
      </w:pPr>
      <w:bookmarkStart w:id="361" w:name="_Toc518556114"/>
      <w:bookmarkStart w:id="362" w:name="_Toc3305682"/>
      <w:r w:rsidRPr="001D622B">
        <w:rPr>
          <w:rFonts w:ascii="Century Gothic" w:hAnsi="Century Gothic"/>
          <w:b/>
          <w:bCs/>
          <w:szCs w:val="22"/>
        </w:rPr>
        <w:t>Hardship Waiver Policy and Guidelines</w:t>
      </w:r>
      <w:bookmarkEnd w:id="361"/>
      <w:bookmarkEnd w:id="362"/>
    </w:p>
    <w:p w14:paraId="6AB6196E"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Families with Annual Income below $2,500 annually shall pay the minimum rent of $50.00 per month. </w:t>
      </w:r>
    </w:p>
    <w:p w14:paraId="66FA742A" w14:textId="77777777" w:rsidR="00B2304E" w:rsidRPr="001D622B" w:rsidRDefault="00B2304E" w:rsidP="00B2304E">
      <w:pPr>
        <w:rPr>
          <w:rFonts w:ascii="Century Gothic" w:hAnsi="Century Gothic"/>
          <w:szCs w:val="22"/>
        </w:rPr>
      </w:pPr>
    </w:p>
    <w:p w14:paraId="31475BFB"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All families placed on minimum rent </w:t>
      </w:r>
      <w:proofErr w:type="gramStart"/>
      <w:r w:rsidRPr="001D622B">
        <w:rPr>
          <w:rFonts w:ascii="Century Gothic" w:hAnsi="Century Gothic"/>
          <w:szCs w:val="22"/>
        </w:rPr>
        <w:t>with the exception of</w:t>
      </w:r>
      <w:proofErr w:type="gramEnd"/>
      <w:r w:rsidRPr="001D622B">
        <w:rPr>
          <w:rFonts w:ascii="Century Gothic" w:hAnsi="Century Gothic"/>
          <w:szCs w:val="22"/>
        </w:rPr>
        <w:t xml:space="preserve"> elderly and disabled families will be referred to the Family Self Sufficiency Program.  </w:t>
      </w:r>
    </w:p>
    <w:p w14:paraId="19A0752B" w14:textId="77777777" w:rsidR="00B2304E" w:rsidRPr="001D622B" w:rsidRDefault="00B2304E" w:rsidP="00B2304E">
      <w:pPr>
        <w:rPr>
          <w:rFonts w:ascii="Century Gothic" w:hAnsi="Century Gothic"/>
          <w:szCs w:val="22"/>
        </w:rPr>
      </w:pPr>
    </w:p>
    <w:p w14:paraId="3BBBA2F3" w14:textId="77777777" w:rsidR="00B2304E" w:rsidRPr="001D622B" w:rsidRDefault="00B2304E" w:rsidP="00B2304E">
      <w:pPr>
        <w:rPr>
          <w:rFonts w:ascii="Century Gothic" w:hAnsi="Century Gothic"/>
          <w:szCs w:val="22"/>
        </w:rPr>
      </w:pPr>
      <w:r w:rsidRPr="001D622B">
        <w:rPr>
          <w:rFonts w:ascii="Century Gothic" w:hAnsi="Century Gothic"/>
          <w:szCs w:val="22"/>
        </w:rPr>
        <w:t>If a family is unable to pay the minimum rent because of a financial hardship, the family is eligible for a temporary or long-term hardship exemption from the minimum rent requirements.</w:t>
      </w:r>
    </w:p>
    <w:p w14:paraId="28672430" w14:textId="77777777" w:rsidR="00B2304E" w:rsidRPr="001D622B" w:rsidRDefault="00B2304E" w:rsidP="00B2304E">
      <w:pPr>
        <w:rPr>
          <w:rFonts w:ascii="Century Gothic" w:hAnsi="Century Gothic"/>
          <w:szCs w:val="22"/>
        </w:rPr>
      </w:pPr>
    </w:p>
    <w:p w14:paraId="17E40C19"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All families placed on minimum rent must be informed in writing of the procedures for applying for a hardship exemption from the Minimum Rent Requirement and the ability to have minimum rent waived.  </w:t>
      </w:r>
    </w:p>
    <w:p w14:paraId="22B0D993" w14:textId="77777777" w:rsidR="00B2304E" w:rsidRPr="001D622B" w:rsidRDefault="00B2304E" w:rsidP="00B2304E">
      <w:pPr>
        <w:rPr>
          <w:rFonts w:ascii="Century Gothic" w:hAnsi="Century Gothic"/>
          <w:szCs w:val="22"/>
        </w:rPr>
      </w:pPr>
    </w:p>
    <w:p w14:paraId="7597A29B" w14:textId="4AD7B1DB" w:rsidR="00B2304E" w:rsidRDefault="00B2304E" w:rsidP="00B2304E">
      <w:pPr>
        <w:rPr>
          <w:rFonts w:ascii="Century Gothic" w:hAnsi="Century Gothic"/>
          <w:szCs w:val="22"/>
        </w:rPr>
      </w:pPr>
      <w:r w:rsidRPr="001D622B">
        <w:rPr>
          <w:rFonts w:ascii="Century Gothic" w:hAnsi="Century Gothic"/>
          <w:szCs w:val="22"/>
        </w:rPr>
        <w:lastRenderedPageBreak/>
        <w:t xml:space="preserve">All families who apply for such hardship exemption, </w:t>
      </w:r>
      <w:proofErr w:type="gramStart"/>
      <w:r w:rsidRPr="001D622B">
        <w:rPr>
          <w:rFonts w:ascii="Century Gothic" w:hAnsi="Century Gothic"/>
          <w:szCs w:val="22"/>
        </w:rPr>
        <w:t>with the exception of</w:t>
      </w:r>
      <w:proofErr w:type="gramEnd"/>
      <w:r w:rsidRPr="001D622B">
        <w:rPr>
          <w:rFonts w:ascii="Century Gothic" w:hAnsi="Century Gothic"/>
          <w:szCs w:val="22"/>
        </w:rPr>
        <w:t xml:space="preserve"> elderly persons and persons with disabilities, will be referred to the Family Self Sufficiency Program </w:t>
      </w:r>
      <w:proofErr w:type="gramStart"/>
      <w:r w:rsidRPr="001D622B">
        <w:rPr>
          <w:rFonts w:ascii="Century Gothic" w:hAnsi="Century Gothic"/>
          <w:szCs w:val="22"/>
        </w:rPr>
        <w:t>in order to</w:t>
      </w:r>
      <w:proofErr w:type="gramEnd"/>
      <w:r w:rsidRPr="001D622B">
        <w:rPr>
          <w:rFonts w:ascii="Century Gothic" w:hAnsi="Century Gothic"/>
          <w:szCs w:val="22"/>
        </w:rPr>
        <w:t xml:space="preserve"> assist the family in moving towards </w:t>
      </w:r>
      <w:r w:rsidR="003A7677" w:rsidRPr="001D622B">
        <w:rPr>
          <w:rFonts w:ascii="Century Gothic" w:hAnsi="Century Gothic"/>
          <w:szCs w:val="22"/>
        </w:rPr>
        <w:t>self-sufficiency</w:t>
      </w:r>
      <w:r w:rsidRPr="001D622B">
        <w:rPr>
          <w:rFonts w:ascii="Century Gothic" w:hAnsi="Century Gothic"/>
          <w:szCs w:val="22"/>
        </w:rPr>
        <w:t xml:space="preserve">.  </w:t>
      </w:r>
    </w:p>
    <w:p w14:paraId="4F3D48F1" w14:textId="77777777" w:rsidR="00A53DB5" w:rsidRPr="001D622B" w:rsidRDefault="00A53DB5" w:rsidP="00B2304E">
      <w:pPr>
        <w:rPr>
          <w:rFonts w:ascii="Century Gothic" w:hAnsi="Century Gothic"/>
          <w:szCs w:val="22"/>
        </w:rPr>
      </w:pPr>
    </w:p>
    <w:p w14:paraId="55461C14" w14:textId="72A2971D" w:rsidR="00B2304E" w:rsidRPr="001D622B" w:rsidRDefault="00B2304E" w:rsidP="00B2304E">
      <w:pPr>
        <w:rPr>
          <w:rFonts w:ascii="Century Gothic" w:hAnsi="Century Gothic"/>
          <w:szCs w:val="22"/>
        </w:rPr>
      </w:pPr>
      <w:r w:rsidRPr="001D622B">
        <w:rPr>
          <w:rFonts w:ascii="Century Gothic" w:hAnsi="Century Gothic"/>
          <w:szCs w:val="22"/>
        </w:rPr>
        <w:t xml:space="preserve">ECC/HANH will notify all families of their right to request a hardship exemption from the minimum rent requirement and in accordance with the provisions set forth herein.  Participants will be notified of their right to request a hardship exemption through the Application for Exemption from Minimum Rent, a copy of which will be provided to participants at lease-up and at </w:t>
      </w:r>
      <w:r w:rsidR="009A2E04" w:rsidRPr="001D622B">
        <w:rPr>
          <w:rFonts w:ascii="Century Gothic" w:hAnsi="Century Gothic"/>
          <w:szCs w:val="22"/>
        </w:rPr>
        <w:t>each recertification</w:t>
      </w:r>
      <w:r w:rsidRPr="001D622B">
        <w:rPr>
          <w:rFonts w:ascii="Century Gothic" w:hAnsi="Century Gothic"/>
          <w:szCs w:val="22"/>
        </w:rPr>
        <w:t xml:space="preserve"> appointment and mailed to participants at each interim recertification.  The policy and procedures for requesting such hardship exemption will also be included in participant rent change notifications, Application for Exemption from Minimum Rent and all form documents related to the exemption process.</w:t>
      </w:r>
    </w:p>
    <w:p w14:paraId="7DB00A32" w14:textId="77777777" w:rsidR="00B2304E" w:rsidRPr="001D622B" w:rsidRDefault="00B2304E" w:rsidP="00B2304E">
      <w:pPr>
        <w:rPr>
          <w:rFonts w:ascii="Century Gothic" w:hAnsi="Century Gothic"/>
          <w:b/>
          <w:szCs w:val="22"/>
        </w:rPr>
      </w:pPr>
    </w:p>
    <w:p w14:paraId="658425AF" w14:textId="77777777" w:rsidR="00B2304E" w:rsidRPr="001D622B" w:rsidRDefault="00B2304E" w:rsidP="00B2304E">
      <w:pPr>
        <w:rPr>
          <w:rFonts w:ascii="Century Gothic" w:hAnsi="Century Gothic"/>
          <w:b/>
          <w:bCs/>
          <w:szCs w:val="22"/>
        </w:rPr>
      </w:pPr>
      <w:bookmarkStart w:id="363" w:name="_Toc325466556"/>
      <w:bookmarkStart w:id="364" w:name="_Toc518556115"/>
      <w:bookmarkStart w:id="365" w:name="_Toc3305683"/>
      <w:r w:rsidRPr="001D622B">
        <w:rPr>
          <w:rFonts w:ascii="Century Gothic" w:hAnsi="Century Gothic"/>
          <w:b/>
          <w:bCs/>
          <w:szCs w:val="22"/>
        </w:rPr>
        <w:t>Criteria for Hardship Exemption from Minimum Rent Requirement.</w:t>
      </w:r>
      <w:bookmarkEnd w:id="363"/>
      <w:bookmarkEnd w:id="364"/>
      <w:bookmarkEnd w:id="365"/>
      <w:r w:rsidRPr="001D622B">
        <w:rPr>
          <w:rFonts w:ascii="Century Gothic" w:hAnsi="Century Gothic"/>
          <w:b/>
          <w:bCs/>
          <w:szCs w:val="22"/>
        </w:rPr>
        <w:t xml:space="preserve"> </w:t>
      </w:r>
    </w:p>
    <w:p w14:paraId="19A69ECA" w14:textId="77777777" w:rsidR="00B2304E" w:rsidRPr="001D622B" w:rsidRDefault="00B2304E" w:rsidP="00B2304E">
      <w:pPr>
        <w:rPr>
          <w:rFonts w:ascii="Century Gothic" w:hAnsi="Century Gothic"/>
          <w:szCs w:val="22"/>
        </w:rPr>
      </w:pPr>
    </w:p>
    <w:p w14:paraId="28267AA9" w14:textId="628C2C8B" w:rsidR="00B2304E" w:rsidRPr="001D622B" w:rsidRDefault="00B2304E" w:rsidP="00486062">
      <w:pPr>
        <w:pStyle w:val="ListParagraph"/>
        <w:numPr>
          <w:ilvl w:val="0"/>
          <w:numId w:val="93"/>
        </w:numPr>
        <w:rPr>
          <w:rFonts w:ascii="Century Gothic" w:hAnsi="Century Gothic"/>
          <w:szCs w:val="22"/>
        </w:rPr>
      </w:pPr>
      <w:r w:rsidRPr="001D622B">
        <w:rPr>
          <w:rFonts w:ascii="Century Gothic" w:hAnsi="Century Gothic"/>
          <w:szCs w:val="22"/>
        </w:rPr>
        <w:t xml:space="preserve">A family is automatically exempt from the minimum rent requirements for a </w:t>
      </w:r>
      <w:r w:rsidR="009A2E04" w:rsidRPr="001D622B">
        <w:rPr>
          <w:rFonts w:ascii="Century Gothic" w:hAnsi="Century Gothic"/>
          <w:szCs w:val="22"/>
        </w:rPr>
        <w:t>90-day</w:t>
      </w:r>
      <w:r w:rsidRPr="001D622B">
        <w:rPr>
          <w:rFonts w:ascii="Century Gothic" w:hAnsi="Century Gothic"/>
          <w:szCs w:val="22"/>
        </w:rPr>
        <w:t xml:space="preserve"> period when the family’s circumstances fall into any one </w:t>
      </w:r>
      <w:r w:rsidR="003A7677" w:rsidRPr="001D622B">
        <w:rPr>
          <w:rFonts w:ascii="Century Gothic" w:hAnsi="Century Gothic"/>
          <w:szCs w:val="22"/>
        </w:rPr>
        <w:t>of</w:t>
      </w:r>
      <w:r w:rsidRPr="001D622B">
        <w:rPr>
          <w:rFonts w:ascii="Century Gothic" w:hAnsi="Century Gothic"/>
          <w:szCs w:val="22"/>
        </w:rPr>
        <w:t xml:space="preserve"> the following criteria:</w:t>
      </w:r>
    </w:p>
    <w:p w14:paraId="673C5F9D" w14:textId="77777777" w:rsidR="00B2304E" w:rsidRPr="001D622B" w:rsidRDefault="00B2304E" w:rsidP="00486062">
      <w:pPr>
        <w:pStyle w:val="ListParagraph"/>
        <w:numPr>
          <w:ilvl w:val="0"/>
          <w:numId w:val="93"/>
        </w:numPr>
        <w:rPr>
          <w:rFonts w:ascii="Century Gothic" w:hAnsi="Century Gothic"/>
          <w:szCs w:val="22"/>
        </w:rPr>
      </w:pPr>
      <w:r w:rsidRPr="001D622B">
        <w:rPr>
          <w:rFonts w:ascii="Century Gothic" w:hAnsi="Century Gothic"/>
          <w:szCs w:val="22"/>
        </w:rPr>
        <w:t xml:space="preserve">When a family has lost eligibility or is awaiting eligibility determination from a Federal, State or local assistance </w:t>
      </w:r>
      <w:proofErr w:type="gramStart"/>
      <w:r w:rsidRPr="001D622B">
        <w:rPr>
          <w:rFonts w:ascii="Century Gothic" w:hAnsi="Century Gothic"/>
          <w:szCs w:val="22"/>
        </w:rPr>
        <w:t>program;</w:t>
      </w:r>
      <w:proofErr w:type="gramEnd"/>
    </w:p>
    <w:p w14:paraId="122CE90C" w14:textId="77777777" w:rsidR="00B2304E" w:rsidRPr="001D622B" w:rsidRDefault="00B2304E" w:rsidP="00486062">
      <w:pPr>
        <w:pStyle w:val="ListParagraph"/>
        <w:numPr>
          <w:ilvl w:val="0"/>
          <w:numId w:val="93"/>
        </w:numPr>
        <w:rPr>
          <w:rFonts w:ascii="Century Gothic" w:hAnsi="Century Gothic"/>
          <w:szCs w:val="22"/>
        </w:rPr>
      </w:pPr>
      <w:r w:rsidRPr="001D622B">
        <w:rPr>
          <w:rFonts w:ascii="Century Gothic" w:hAnsi="Century Gothic"/>
          <w:szCs w:val="22"/>
        </w:rPr>
        <w:t xml:space="preserve">When the family would be evicted because it is unable to pay the minimum </w:t>
      </w:r>
      <w:proofErr w:type="gramStart"/>
      <w:r w:rsidRPr="001D622B">
        <w:rPr>
          <w:rFonts w:ascii="Century Gothic" w:hAnsi="Century Gothic"/>
          <w:szCs w:val="22"/>
        </w:rPr>
        <w:t>rent;</w:t>
      </w:r>
      <w:proofErr w:type="gramEnd"/>
      <w:r w:rsidRPr="001D622B">
        <w:rPr>
          <w:rFonts w:ascii="Century Gothic" w:hAnsi="Century Gothic"/>
          <w:szCs w:val="22"/>
        </w:rPr>
        <w:t xml:space="preserve"> </w:t>
      </w:r>
    </w:p>
    <w:p w14:paraId="5FF5311F" w14:textId="77777777" w:rsidR="00B2304E" w:rsidRPr="001D622B" w:rsidRDefault="00B2304E" w:rsidP="00486062">
      <w:pPr>
        <w:pStyle w:val="ListParagraph"/>
        <w:numPr>
          <w:ilvl w:val="0"/>
          <w:numId w:val="93"/>
        </w:numPr>
        <w:rPr>
          <w:rFonts w:ascii="Century Gothic" w:hAnsi="Century Gothic"/>
          <w:szCs w:val="22"/>
        </w:rPr>
      </w:pPr>
      <w:r w:rsidRPr="001D622B">
        <w:rPr>
          <w:rFonts w:ascii="Century Gothic" w:hAnsi="Century Gothic"/>
          <w:szCs w:val="22"/>
        </w:rPr>
        <w:t xml:space="preserve">When the income of the family has decreased because of changed circumstances, including loss of </w:t>
      </w:r>
      <w:proofErr w:type="gramStart"/>
      <w:r w:rsidRPr="001D622B">
        <w:rPr>
          <w:rFonts w:ascii="Century Gothic" w:hAnsi="Century Gothic"/>
          <w:szCs w:val="22"/>
        </w:rPr>
        <w:t>employment;</w:t>
      </w:r>
      <w:proofErr w:type="gramEnd"/>
    </w:p>
    <w:p w14:paraId="5C6A6234" w14:textId="77777777" w:rsidR="00B2304E" w:rsidRPr="001D622B" w:rsidRDefault="00B2304E" w:rsidP="00486062">
      <w:pPr>
        <w:pStyle w:val="ListParagraph"/>
        <w:numPr>
          <w:ilvl w:val="0"/>
          <w:numId w:val="93"/>
        </w:numPr>
        <w:rPr>
          <w:rFonts w:ascii="Century Gothic" w:hAnsi="Century Gothic"/>
          <w:szCs w:val="22"/>
        </w:rPr>
      </w:pPr>
      <w:r w:rsidRPr="001D622B">
        <w:rPr>
          <w:rFonts w:ascii="Century Gothic" w:hAnsi="Century Gothic"/>
          <w:szCs w:val="22"/>
        </w:rPr>
        <w:t>When a death in the family has occurred; or</w:t>
      </w:r>
    </w:p>
    <w:p w14:paraId="78464CF7" w14:textId="77777777" w:rsidR="00B2304E" w:rsidRPr="001D622B" w:rsidRDefault="00B2304E" w:rsidP="00486062">
      <w:pPr>
        <w:pStyle w:val="ListParagraph"/>
        <w:numPr>
          <w:ilvl w:val="0"/>
          <w:numId w:val="93"/>
        </w:numPr>
        <w:rPr>
          <w:rFonts w:ascii="Century Gothic" w:hAnsi="Century Gothic"/>
          <w:szCs w:val="22"/>
        </w:rPr>
      </w:pPr>
      <w:r w:rsidRPr="001D622B">
        <w:rPr>
          <w:rFonts w:ascii="Century Gothic" w:hAnsi="Century Gothic"/>
          <w:szCs w:val="22"/>
        </w:rPr>
        <w:t xml:space="preserve">Other circumstances determined by ECC/HANH to be reasons to waive the minimum rent requirement (collectively, the "Criteria for Minimum Rent Exemption"). </w:t>
      </w:r>
    </w:p>
    <w:p w14:paraId="3C038509" w14:textId="77777777" w:rsidR="00B2304E" w:rsidRPr="001D622B" w:rsidRDefault="00B2304E" w:rsidP="00B2304E">
      <w:pPr>
        <w:rPr>
          <w:rFonts w:ascii="Century Gothic" w:hAnsi="Century Gothic"/>
          <w:szCs w:val="22"/>
        </w:rPr>
      </w:pPr>
    </w:p>
    <w:p w14:paraId="6E1373EC" w14:textId="3695B7D3" w:rsidR="00B2304E" w:rsidRPr="001D622B" w:rsidRDefault="00B2304E" w:rsidP="00B2304E">
      <w:pPr>
        <w:rPr>
          <w:rFonts w:ascii="Century Gothic" w:hAnsi="Century Gothic"/>
          <w:szCs w:val="22"/>
        </w:rPr>
      </w:pPr>
      <w:r w:rsidRPr="001D622B">
        <w:rPr>
          <w:rFonts w:ascii="Century Gothic" w:hAnsi="Century Gothic"/>
          <w:szCs w:val="22"/>
        </w:rPr>
        <w:t xml:space="preserve">If a family is unable to pay the minimum rent because of </w:t>
      </w:r>
      <w:proofErr w:type="gramStart"/>
      <w:r w:rsidRPr="001D622B">
        <w:rPr>
          <w:rFonts w:ascii="Century Gothic" w:hAnsi="Century Gothic"/>
          <w:szCs w:val="22"/>
        </w:rPr>
        <w:t>a financial</w:t>
      </w:r>
      <w:proofErr w:type="gramEnd"/>
      <w:r w:rsidRPr="001D622B">
        <w:rPr>
          <w:rFonts w:ascii="Century Gothic" w:hAnsi="Century Gothic"/>
          <w:szCs w:val="22"/>
        </w:rPr>
        <w:t xml:space="preserve"> hardship, the family is eligible for a temporary or </w:t>
      </w:r>
      <w:r w:rsidR="009A2E04" w:rsidRPr="001D622B">
        <w:rPr>
          <w:rFonts w:ascii="Century Gothic" w:hAnsi="Century Gothic"/>
          <w:szCs w:val="22"/>
        </w:rPr>
        <w:t>long-term</w:t>
      </w:r>
      <w:r w:rsidRPr="001D622B">
        <w:rPr>
          <w:rFonts w:ascii="Century Gothic" w:hAnsi="Century Gothic"/>
          <w:szCs w:val="22"/>
        </w:rPr>
        <w:t xml:space="preserve"> exemption from the minimum rent </w:t>
      </w:r>
      <w:proofErr w:type="gramStart"/>
      <w:r w:rsidRPr="001D622B">
        <w:rPr>
          <w:rFonts w:ascii="Century Gothic" w:hAnsi="Century Gothic"/>
          <w:szCs w:val="22"/>
        </w:rPr>
        <w:t>requirement</w:t>
      </w:r>
      <w:proofErr w:type="gramEnd"/>
      <w:r w:rsidRPr="001D622B">
        <w:rPr>
          <w:rFonts w:ascii="Century Gothic" w:hAnsi="Century Gothic"/>
          <w:szCs w:val="22"/>
        </w:rPr>
        <w:t xml:space="preserve"> and the HAP will be adjusted accordingly.  </w:t>
      </w:r>
    </w:p>
    <w:p w14:paraId="7B5313C6" w14:textId="77777777" w:rsidR="00B2304E" w:rsidRPr="001D622B" w:rsidRDefault="00B2304E" w:rsidP="00B2304E">
      <w:pPr>
        <w:rPr>
          <w:rFonts w:ascii="Century Gothic" w:hAnsi="Century Gothic"/>
          <w:szCs w:val="22"/>
        </w:rPr>
      </w:pPr>
    </w:p>
    <w:p w14:paraId="3D2A9AA0"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A temporary hardship exemption exists when none of the above criteria is expected to last for more than 90 days. At the end of the 90 </w:t>
      </w:r>
      <w:proofErr w:type="gramStart"/>
      <w:r w:rsidRPr="001D622B">
        <w:rPr>
          <w:rFonts w:ascii="Century Gothic" w:hAnsi="Century Gothic"/>
          <w:szCs w:val="22"/>
        </w:rPr>
        <w:t>period</w:t>
      </w:r>
      <w:proofErr w:type="gramEnd"/>
      <w:r w:rsidRPr="001D622B">
        <w:rPr>
          <w:rFonts w:ascii="Century Gothic" w:hAnsi="Century Gothic"/>
          <w:szCs w:val="22"/>
        </w:rPr>
        <w:t xml:space="preserve">, an interim will be completed to set the family to rent based on the new current income. </w:t>
      </w:r>
    </w:p>
    <w:p w14:paraId="267AC42B" w14:textId="77777777" w:rsidR="00B2304E" w:rsidRPr="001D622B" w:rsidRDefault="00B2304E" w:rsidP="00B2304E">
      <w:pPr>
        <w:rPr>
          <w:rFonts w:ascii="Century Gothic" w:hAnsi="Century Gothic"/>
          <w:szCs w:val="22"/>
        </w:rPr>
      </w:pPr>
    </w:p>
    <w:p w14:paraId="4EC46981"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A long tern </w:t>
      </w:r>
      <w:proofErr w:type="gramStart"/>
      <w:r w:rsidRPr="001D622B">
        <w:rPr>
          <w:rFonts w:ascii="Century Gothic" w:hAnsi="Century Gothic"/>
          <w:szCs w:val="22"/>
        </w:rPr>
        <w:t>hardship exemption</w:t>
      </w:r>
      <w:proofErr w:type="gramEnd"/>
      <w:r w:rsidRPr="001D622B">
        <w:rPr>
          <w:rFonts w:ascii="Century Gothic" w:hAnsi="Century Gothic"/>
          <w:szCs w:val="22"/>
        </w:rPr>
        <w:t xml:space="preserve"> exists when at least one of the above criteria is expected to last for more than 90 days. At the end of the long-term hardship, an interim will be completed to set the family to rent based on the new current income. </w:t>
      </w:r>
    </w:p>
    <w:p w14:paraId="6010696E" w14:textId="77777777" w:rsidR="00B2304E" w:rsidRPr="001D622B" w:rsidRDefault="00B2304E" w:rsidP="00B2304E">
      <w:pPr>
        <w:rPr>
          <w:rFonts w:ascii="Century Gothic" w:hAnsi="Century Gothic"/>
          <w:szCs w:val="22"/>
        </w:rPr>
      </w:pPr>
    </w:p>
    <w:p w14:paraId="70A98C8E" w14:textId="7DC53CB7" w:rsidR="00B2304E" w:rsidRDefault="00B2304E" w:rsidP="00B2304E">
      <w:pPr>
        <w:rPr>
          <w:rFonts w:ascii="Century Gothic" w:hAnsi="Century Gothic"/>
          <w:szCs w:val="22"/>
        </w:rPr>
      </w:pPr>
      <w:r w:rsidRPr="001D622B">
        <w:rPr>
          <w:rFonts w:ascii="Century Gothic" w:hAnsi="Century Gothic"/>
          <w:szCs w:val="22"/>
        </w:rPr>
        <w:t xml:space="preserve">A family may only receive one hardship exemption from the minimum rent requirement during a </w:t>
      </w:r>
      <w:r w:rsidR="009A2E04" w:rsidRPr="001D622B">
        <w:rPr>
          <w:rFonts w:ascii="Century Gothic" w:hAnsi="Century Gothic"/>
          <w:szCs w:val="22"/>
        </w:rPr>
        <w:t>twelve-month</w:t>
      </w:r>
      <w:r w:rsidRPr="001D622B">
        <w:rPr>
          <w:rFonts w:ascii="Century Gothic" w:hAnsi="Century Gothic"/>
          <w:szCs w:val="22"/>
        </w:rPr>
        <w:t xml:space="preserve"> period, unless a participant is elderly, disabled or is enrolled in ECC/HANH’s Family Self-Sufficiency Program.  The minimum rent requirement may be waived more than once during a </w:t>
      </w:r>
      <w:r w:rsidR="009A2E04" w:rsidRPr="001D622B">
        <w:rPr>
          <w:rFonts w:ascii="Century Gothic" w:hAnsi="Century Gothic"/>
          <w:szCs w:val="22"/>
        </w:rPr>
        <w:t>twelve-month</w:t>
      </w:r>
      <w:r w:rsidRPr="001D622B">
        <w:rPr>
          <w:rFonts w:ascii="Century Gothic" w:hAnsi="Century Gothic"/>
          <w:szCs w:val="22"/>
        </w:rPr>
        <w:t xml:space="preserve"> period if at least one adult member of the household enrolls in the Family Self Sufficiency Program (the FSS Program).  Elderly and disabled families are not required to enroll in the FSS Program.  </w:t>
      </w:r>
    </w:p>
    <w:p w14:paraId="0F1724B5" w14:textId="77777777" w:rsidR="00CC5826" w:rsidRPr="001D622B" w:rsidRDefault="00CC5826" w:rsidP="00B2304E">
      <w:pPr>
        <w:rPr>
          <w:rFonts w:ascii="Century Gothic" w:hAnsi="Century Gothic"/>
          <w:szCs w:val="22"/>
        </w:rPr>
      </w:pPr>
    </w:p>
    <w:p w14:paraId="33821D7F"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Once ECC/HANH identifies a participant’s need for </w:t>
      </w:r>
      <w:proofErr w:type="gramStart"/>
      <w:r w:rsidRPr="001D622B">
        <w:rPr>
          <w:rFonts w:ascii="Century Gothic" w:hAnsi="Century Gothic"/>
          <w:szCs w:val="22"/>
        </w:rPr>
        <w:t>a hardship</w:t>
      </w:r>
      <w:proofErr w:type="gramEnd"/>
      <w:r w:rsidRPr="001D622B">
        <w:rPr>
          <w:rFonts w:ascii="Century Gothic" w:hAnsi="Century Gothic"/>
          <w:szCs w:val="22"/>
        </w:rPr>
        <w:t xml:space="preserve"> exemption from the minimum rent requirement or the family requests such exemption, the minimum rent shall be suspended immediately for a period of 90 days.  </w:t>
      </w:r>
    </w:p>
    <w:p w14:paraId="21B258FF" w14:textId="77777777" w:rsidR="00B2304E" w:rsidRPr="001D622B" w:rsidRDefault="00B2304E" w:rsidP="00B2304E">
      <w:pPr>
        <w:rPr>
          <w:rFonts w:ascii="Century Gothic" w:hAnsi="Century Gothic"/>
          <w:szCs w:val="22"/>
        </w:rPr>
      </w:pPr>
    </w:p>
    <w:p w14:paraId="70A0E7CC" w14:textId="77777777" w:rsidR="00A53DB5" w:rsidRDefault="00A53DB5" w:rsidP="00B2304E">
      <w:pPr>
        <w:rPr>
          <w:rFonts w:ascii="Century Gothic" w:hAnsi="Century Gothic"/>
          <w:b/>
          <w:bCs/>
          <w:szCs w:val="22"/>
        </w:rPr>
      </w:pPr>
      <w:bookmarkStart w:id="366" w:name="_Toc325466557"/>
      <w:bookmarkStart w:id="367" w:name="_Toc518556116"/>
      <w:bookmarkStart w:id="368" w:name="_Toc3305684"/>
    </w:p>
    <w:p w14:paraId="520CE988" w14:textId="67E97D9C" w:rsidR="00B2304E" w:rsidRPr="001D622B" w:rsidRDefault="00B2304E" w:rsidP="00B2304E">
      <w:pPr>
        <w:rPr>
          <w:rFonts w:ascii="Century Gothic" w:hAnsi="Century Gothic"/>
          <w:b/>
          <w:bCs/>
          <w:szCs w:val="22"/>
        </w:rPr>
      </w:pPr>
      <w:r w:rsidRPr="001D622B">
        <w:rPr>
          <w:rFonts w:ascii="Century Gothic" w:hAnsi="Century Gothic"/>
          <w:b/>
          <w:bCs/>
          <w:szCs w:val="22"/>
        </w:rPr>
        <w:lastRenderedPageBreak/>
        <w:t>Initiation of Hardship Exemption Review</w:t>
      </w:r>
      <w:bookmarkEnd w:id="366"/>
      <w:bookmarkEnd w:id="367"/>
      <w:bookmarkEnd w:id="368"/>
    </w:p>
    <w:p w14:paraId="5467D767" w14:textId="02A93C8C" w:rsidR="00B2304E" w:rsidRPr="001D622B" w:rsidRDefault="00B2304E" w:rsidP="00B2304E">
      <w:pPr>
        <w:rPr>
          <w:rFonts w:ascii="Century Gothic" w:hAnsi="Century Gothic"/>
          <w:szCs w:val="22"/>
        </w:rPr>
      </w:pPr>
      <w:r w:rsidRPr="001D622B">
        <w:rPr>
          <w:rFonts w:ascii="Century Gothic" w:hAnsi="Century Gothic"/>
          <w:szCs w:val="22"/>
        </w:rPr>
        <w:t xml:space="preserve">An application for Exemption from Minimum Rent may originate from either </w:t>
      </w:r>
      <w:r w:rsidR="00C001D7" w:rsidRPr="001D622B">
        <w:rPr>
          <w:rFonts w:ascii="Century Gothic" w:hAnsi="Century Gothic"/>
          <w:szCs w:val="22"/>
        </w:rPr>
        <w:t>an</w:t>
      </w:r>
      <w:r w:rsidRPr="001D622B">
        <w:rPr>
          <w:rFonts w:ascii="Century Gothic" w:hAnsi="Century Gothic"/>
          <w:szCs w:val="22"/>
        </w:rPr>
        <w:t xml:space="preserve"> ECC/HANH employee or the participant family.</w:t>
      </w:r>
    </w:p>
    <w:p w14:paraId="2EBF71D2" w14:textId="77777777" w:rsidR="00B2304E" w:rsidRPr="001D622B" w:rsidRDefault="00B2304E" w:rsidP="00B2304E">
      <w:pPr>
        <w:rPr>
          <w:rFonts w:ascii="Century Gothic" w:hAnsi="Century Gothic"/>
          <w:szCs w:val="22"/>
        </w:rPr>
      </w:pPr>
    </w:p>
    <w:p w14:paraId="017E523F"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ECC/HANH employees must complete and </w:t>
      </w:r>
      <w:proofErr w:type="gramStart"/>
      <w:r w:rsidRPr="001D622B">
        <w:rPr>
          <w:rFonts w:ascii="Century Gothic" w:hAnsi="Century Gothic"/>
          <w:szCs w:val="22"/>
        </w:rPr>
        <w:t>submit an Application</w:t>
      </w:r>
      <w:proofErr w:type="gramEnd"/>
      <w:r w:rsidRPr="001D622B">
        <w:rPr>
          <w:rFonts w:ascii="Century Gothic" w:hAnsi="Century Gothic"/>
          <w:szCs w:val="22"/>
        </w:rPr>
        <w:t xml:space="preserve"> for Exemption from Minimum Rent on behalf of a participant family whenever any evidence exists that the family falls into any one of the Criteria for Minimum Rent Exemption (as set forth above).</w:t>
      </w:r>
    </w:p>
    <w:p w14:paraId="6625DCE7" w14:textId="77777777" w:rsidR="00B2304E" w:rsidRPr="001D622B" w:rsidRDefault="00B2304E" w:rsidP="00B2304E">
      <w:pPr>
        <w:rPr>
          <w:rFonts w:ascii="Century Gothic" w:hAnsi="Century Gothic"/>
          <w:szCs w:val="22"/>
        </w:rPr>
      </w:pPr>
    </w:p>
    <w:p w14:paraId="55987597" w14:textId="77777777" w:rsidR="00B2304E" w:rsidRPr="001D622B" w:rsidRDefault="00B2304E" w:rsidP="00B2304E">
      <w:pPr>
        <w:rPr>
          <w:rFonts w:ascii="Century Gothic" w:hAnsi="Century Gothic"/>
          <w:szCs w:val="22"/>
        </w:rPr>
      </w:pPr>
      <w:r w:rsidRPr="001D622B">
        <w:rPr>
          <w:rFonts w:ascii="Century Gothic" w:hAnsi="Century Gothic"/>
          <w:szCs w:val="22"/>
        </w:rPr>
        <w:t>A participant family also has the right to request a hardship exemption from minimum rent.  Such request must be in writing and must state the family circumstances that qualify the family for a hardship exemption.</w:t>
      </w:r>
    </w:p>
    <w:p w14:paraId="54E407D5" w14:textId="77777777" w:rsidR="00B2304E" w:rsidRPr="001D622B" w:rsidRDefault="00B2304E" w:rsidP="00B2304E">
      <w:pPr>
        <w:rPr>
          <w:rFonts w:ascii="Century Gothic" w:hAnsi="Century Gothic"/>
          <w:szCs w:val="22"/>
        </w:rPr>
      </w:pPr>
    </w:p>
    <w:p w14:paraId="4B0D5862" w14:textId="74569BDB" w:rsidR="00B2304E" w:rsidRPr="001D622B" w:rsidRDefault="00B2304E" w:rsidP="00B2304E">
      <w:pPr>
        <w:rPr>
          <w:rFonts w:ascii="Century Gothic" w:hAnsi="Century Gothic"/>
          <w:szCs w:val="22"/>
        </w:rPr>
      </w:pPr>
      <w:bookmarkStart w:id="369" w:name="_Toc325466558"/>
      <w:bookmarkStart w:id="370" w:name="_Toc518556117"/>
      <w:bookmarkStart w:id="371" w:name="_Toc3305685"/>
      <w:r w:rsidRPr="001D622B">
        <w:rPr>
          <w:rFonts w:ascii="Century Gothic" w:hAnsi="Century Gothic"/>
          <w:szCs w:val="22"/>
        </w:rPr>
        <w:t>Notification of the Right to a Hardship Exemption</w:t>
      </w:r>
      <w:bookmarkEnd w:id="369"/>
      <w:bookmarkEnd w:id="370"/>
      <w:bookmarkEnd w:id="371"/>
    </w:p>
    <w:p w14:paraId="5A0497EB"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ECC/HANH will notify all families of the ability to receive a hardship exemption from minimum rent and the procedures for applying for such a hardship exemption in the Application for Exemption from Minimum Rent, a copy of which will be provided to participants at lease up and at each recertification appointment or mailed to participants for interim recertifications. </w:t>
      </w:r>
    </w:p>
    <w:p w14:paraId="7D44F6EC" w14:textId="77777777" w:rsidR="00B2304E" w:rsidRPr="001D622B" w:rsidRDefault="00B2304E" w:rsidP="00B2304E">
      <w:pPr>
        <w:rPr>
          <w:rFonts w:ascii="Century Gothic" w:hAnsi="Century Gothic"/>
          <w:szCs w:val="22"/>
        </w:rPr>
      </w:pPr>
    </w:p>
    <w:p w14:paraId="59C1B2CB" w14:textId="2C4E17BA" w:rsidR="00B2304E" w:rsidRPr="001D622B" w:rsidRDefault="00B2304E" w:rsidP="00B2304E">
      <w:pPr>
        <w:rPr>
          <w:rFonts w:ascii="Century Gothic" w:hAnsi="Century Gothic"/>
          <w:szCs w:val="22"/>
        </w:rPr>
      </w:pPr>
      <w:r w:rsidRPr="001D622B">
        <w:rPr>
          <w:rFonts w:ascii="Century Gothic" w:hAnsi="Century Gothic"/>
          <w:szCs w:val="22"/>
        </w:rPr>
        <w:t>ECC/HANH will also notify all families in writing of the ability to receive a hardship exemption from minimum rent and the procedures for applying for such a hardship exemption in the following documents</w:t>
      </w:r>
      <w:r w:rsidR="00CC5826" w:rsidRPr="001D622B">
        <w:rPr>
          <w:rFonts w:ascii="Century Gothic" w:hAnsi="Century Gothic"/>
          <w:szCs w:val="22"/>
        </w:rPr>
        <w:t>: participant</w:t>
      </w:r>
      <w:r w:rsidRPr="001D622B">
        <w:rPr>
          <w:rFonts w:ascii="Century Gothic" w:hAnsi="Century Gothic"/>
          <w:szCs w:val="22"/>
        </w:rPr>
        <w:t xml:space="preserve"> rent change notifications, the Application for Exemption from Minimum Rent and all form documents related to the hardship exemption process.</w:t>
      </w:r>
    </w:p>
    <w:p w14:paraId="76F507B6" w14:textId="77777777" w:rsidR="00B2304E" w:rsidRPr="001D622B" w:rsidRDefault="00B2304E" w:rsidP="00B2304E">
      <w:pPr>
        <w:rPr>
          <w:rFonts w:ascii="Century Gothic" w:hAnsi="Century Gothic"/>
          <w:szCs w:val="22"/>
        </w:rPr>
      </w:pPr>
    </w:p>
    <w:p w14:paraId="3135B586" w14:textId="3C5328C6" w:rsidR="00B2304E" w:rsidRPr="001D622B" w:rsidRDefault="00B2304E" w:rsidP="00B2304E">
      <w:pPr>
        <w:rPr>
          <w:rFonts w:ascii="Century Gothic" w:hAnsi="Century Gothic"/>
          <w:szCs w:val="22"/>
        </w:rPr>
      </w:pPr>
      <w:r w:rsidRPr="001D622B">
        <w:rPr>
          <w:rFonts w:ascii="Century Gothic" w:hAnsi="Century Gothic"/>
          <w:szCs w:val="22"/>
        </w:rPr>
        <w:t xml:space="preserve">ECC/HANH will also notify all families in </w:t>
      </w:r>
      <w:proofErr w:type="gramStart"/>
      <w:r w:rsidRPr="001D622B">
        <w:rPr>
          <w:rFonts w:ascii="Century Gothic" w:hAnsi="Century Gothic"/>
          <w:szCs w:val="22"/>
        </w:rPr>
        <w:t>all of</w:t>
      </w:r>
      <w:proofErr w:type="gramEnd"/>
      <w:r w:rsidRPr="001D622B">
        <w:rPr>
          <w:rFonts w:ascii="Century Gothic" w:hAnsi="Century Gothic"/>
          <w:szCs w:val="22"/>
        </w:rPr>
        <w:t xml:space="preserve"> the above documents that all families that are exempt from the minimum rent requirements will be referred to the Family Self Sufficiency (FSS) Program </w:t>
      </w:r>
      <w:proofErr w:type="gramStart"/>
      <w:r w:rsidRPr="001D622B">
        <w:rPr>
          <w:rFonts w:ascii="Century Gothic" w:hAnsi="Century Gothic"/>
          <w:szCs w:val="22"/>
        </w:rPr>
        <w:t>in order to</w:t>
      </w:r>
      <w:proofErr w:type="gramEnd"/>
      <w:r w:rsidRPr="001D622B">
        <w:rPr>
          <w:rFonts w:ascii="Century Gothic" w:hAnsi="Century Gothic"/>
          <w:szCs w:val="22"/>
        </w:rPr>
        <w:t xml:space="preserve"> assist the family in moving toward </w:t>
      </w:r>
      <w:r w:rsidR="003A7677" w:rsidRPr="001D622B">
        <w:rPr>
          <w:rFonts w:ascii="Century Gothic" w:hAnsi="Century Gothic"/>
          <w:szCs w:val="22"/>
        </w:rPr>
        <w:t>self-sufficiency</w:t>
      </w:r>
      <w:r w:rsidRPr="001D622B">
        <w:rPr>
          <w:rFonts w:ascii="Century Gothic" w:hAnsi="Century Gothic"/>
          <w:szCs w:val="22"/>
        </w:rPr>
        <w:t>.  Elderly and disabled families are not required to participate in the FSS program.</w:t>
      </w:r>
    </w:p>
    <w:p w14:paraId="74819870" w14:textId="332CF2B4" w:rsidR="00B2304E" w:rsidRPr="001D622B" w:rsidRDefault="00B2304E" w:rsidP="00B2304E">
      <w:pPr>
        <w:rPr>
          <w:rFonts w:ascii="Century Gothic" w:hAnsi="Century Gothic"/>
          <w:szCs w:val="22"/>
        </w:rPr>
      </w:pPr>
      <w:r w:rsidRPr="001D622B">
        <w:rPr>
          <w:rFonts w:ascii="Century Gothic" w:hAnsi="Century Gothic"/>
          <w:szCs w:val="22"/>
        </w:rPr>
        <w:t>Significant Change to MTW FY20 Plan Amendment #1</w:t>
      </w:r>
    </w:p>
    <w:p w14:paraId="5E67A447" w14:textId="77777777" w:rsidR="001342AE" w:rsidRPr="001D622B" w:rsidRDefault="001342AE" w:rsidP="00B2304E">
      <w:pPr>
        <w:rPr>
          <w:rFonts w:ascii="Century Gothic" w:hAnsi="Century Gothic"/>
          <w:szCs w:val="22"/>
        </w:rPr>
      </w:pPr>
    </w:p>
    <w:p w14:paraId="2AC1FAD2" w14:textId="77777777" w:rsidR="00B2304E" w:rsidRPr="001D622B" w:rsidRDefault="00B2304E" w:rsidP="00B2304E">
      <w:pPr>
        <w:rPr>
          <w:rFonts w:ascii="Century Gothic" w:hAnsi="Century Gothic"/>
          <w:b/>
          <w:bCs/>
          <w:szCs w:val="22"/>
        </w:rPr>
      </w:pPr>
      <w:r w:rsidRPr="001D622B">
        <w:rPr>
          <w:rFonts w:ascii="Century Gothic" w:hAnsi="Century Gothic"/>
          <w:b/>
          <w:bCs/>
          <w:szCs w:val="22"/>
        </w:rPr>
        <w:t>Rent Simplification Interims HCV &amp; LIPH:</w:t>
      </w:r>
    </w:p>
    <w:p w14:paraId="6EC0271F" w14:textId="16E46755" w:rsidR="00B2304E" w:rsidRPr="001D622B" w:rsidRDefault="30B94C65" w:rsidP="30B94C65">
      <w:pPr>
        <w:rPr>
          <w:rFonts w:ascii="Century Gothic" w:hAnsi="Century Gothic"/>
        </w:rPr>
      </w:pPr>
      <w:r w:rsidRPr="001D622B">
        <w:rPr>
          <w:rFonts w:ascii="Century Gothic" w:hAnsi="Century Gothic"/>
        </w:rPr>
        <w:t xml:space="preserve">Rent Simplification in both LIPH and HCV will include a request to adjust rent during COVID19 and any similar pandemic or National, State or Local emergency affecting </w:t>
      </w:r>
      <w:proofErr w:type="gramStart"/>
      <w:r w:rsidRPr="001D622B">
        <w:rPr>
          <w:rFonts w:ascii="Century Gothic" w:hAnsi="Century Gothic"/>
        </w:rPr>
        <w:t>a large number of</w:t>
      </w:r>
      <w:proofErr w:type="gramEnd"/>
      <w:r w:rsidRPr="001D622B">
        <w:rPr>
          <w:rFonts w:ascii="Century Gothic" w:hAnsi="Century Gothic"/>
        </w:rPr>
        <w:t xml:space="preserve"> families in the community.  </w:t>
      </w:r>
      <w:proofErr w:type="gramStart"/>
      <w:r w:rsidRPr="001D622B">
        <w:rPr>
          <w:rFonts w:ascii="Century Gothic" w:hAnsi="Century Gothic"/>
        </w:rPr>
        <w:t>In order to</w:t>
      </w:r>
      <w:proofErr w:type="gramEnd"/>
      <w:r w:rsidRPr="001D622B">
        <w:rPr>
          <w:rFonts w:ascii="Century Gothic" w:hAnsi="Century Gothic"/>
        </w:rPr>
        <w:t xml:space="preserve"> prevent staff having to reprocess files when families go back to work during a time like this, ECC/HANH will create a letter which advises the families of decrease to their rent for 120 </w:t>
      </w:r>
      <w:r w:rsidR="009A2E04" w:rsidRPr="001D622B">
        <w:rPr>
          <w:rFonts w:ascii="Century Gothic" w:hAnsi="Century Gothic"/>
        </w:rPr>
        <w:t>days (</w:t>
      </w:r>
      <w:r w:rsidRPr="001D622B">
        <w:rPr>
          <w:rFonts w:ascii="Century Gothic" w:hAnsi="Century Gothic"/>
        </w:rPr>
        <w:t xml:space="preserve">4 months), </w:t>
      </w:r>
      <w:proofErr w:type="gramStart"/>
      <w:r w:rsidRPr="001D622B">
        <w:rPr>
          <w:rFonts w:ascii="Century Gothic" w:hAnsi="Century Gothic"/>
        </w:rPr>
        <w:t>as a result of</w:t>
      </w:r>
      <w:proofErr w:type="gramEnd"/>
      <w:r w:rsidRPr="001D622B">
        <w:rPr>
          <w:rFonts w:ascii="Century Gothic" w:hAnsi="Century Gothic"/>
        </w:rPr>
        <w:t xml:space="preserve"> loss or decrease in income. At the end of the 4 months, the rent will be adjusted back to what it was before the decrease.  Staff would process 2 actions, </w:t>
      </w:r>
      <w:proofErr w:type="gramStart"/>
      <w:r w:rsidRPr="001D622B">
        <w:rPr>
          <w:rFonts w:ascii="Century Gothic" w:hAnsi="Century Gothic"/>
        </w:rPr>
        <w:t>the</w:t>
      </w:r>
      <w:proofErr w:type="gramEnd"/>
      <w:r w:rsidRPr="001D622B">
        <w:rPr>
          <w:rFonts w:ascii="Century Gothic" w:hAnsi="Century Gothic"/>
        </w:rPr>
        <w:t xml:space="preserve"> decrease, and a second action (effective on the 1st day of the 4th month) which would be an increase back to previous amount.   This way, families will not need to report the </w:t>
      </w:r>
      <w:proofErr w:type="gramStart"/>
      <w:r w:rsidRPr="001D622B">
        <w:rPr>
          <w:rFonts w:ascii="Century Gothic" w:hAnsi="Century Gothic"/>
        </w:rPr>
        <w:t>increase</w:t>
      </w:r>
      <w:proofErr w:type="gramEnd"/>
      <w:r w:rsidRPr="001D622B">
        <w:rPr>
          <w:rFonts w:ascii="Century Gothic" w:hAnsi="Century Gothic"/>
        </w:rPr>
        <w:t xml:space="preserve"> and staff can give </w:t>
      </w:r>
      <w:r w:rsidR="009A2E04" w:rsidRPr="001D622B">
        <w:rPr>
          <w:rFonts w:ascii="Century Gothic" w:hAnsi="Century Gothic"/>
        </w:rPr>
        <w:t>30-day</w:t>
      </w:r>
      <w:r w:rsidRPr="001D622B">
        <w:rPr>
          <w:rFonts w:ascii="Century Gothic" w:hAnsi="Century Gothic"/>
        </w:rPr>
        <w:t xml:space="preserve"> notice of the potential increase change at the same </w:t>
      </w:r>
      <w:proofErr w:type="gramStart"/>
      <w:r w:rsidRPr="001D622B">
        <w:rPr>
          <w:rFonts w:ascii="Century Gothic" w:hAnsi="Century Gothic"/>
        </w:rPr>
        <w:t>time</w:t>
      </w:r>
      <w:proofErr w:type="gramEnd"/>
      <w:r w:rsidRPr="001D622B">
        <w:rPr>
          <w:rFonts w:ascii="Century Gothic" w:hAnsi="Century Gothic"/>
        </w:rPr>
        <w:t xml:space="preserve"> they are giving the decrease notice.  </w:t>
      </w:r>
    </w:p>
    <w:p w14:paraId="7069F19B" w14:textId="77777777" w:rsidR="001342AE" w:rsidRPr="001D622B" w:rsidRDefault="001342AE" w:rsidP="00B2304E">
      <w:pPr>
        <w:rPr>
          <w:rFonts w:ascii="Century Gothic" w:hAnsi="Century Gothic"/>
          <w:szCs w:val="22"/>
        </w:rPr>
      </w:pPr>
    </w:p>
    <w:p w14:paraId="5CA9D27C" w14:textId="2B66B23C" w:rsidR="00B2304E" w:rsidRPr="001D622B" w:rsidRDefault="00B2304E" w:rsidP="00B2304E">
      <w:pPr>
        <w:rPr>
          <w:rFonts w:ascii="Century Gothic" w:hAnsi="Century Gothic"/>
          <w:szCs w:val="22"/>
        </w:rPr>
      </w:pPr>
      <w:r w:rsidRPr="001D622B">
        <w:rPr>
          <w:rFonts w:ascii="Century Gothic" w:hAnsi="Century Gothic"/>
          <w:szCs w:val="22"/>
        </w:rPr>
        <w:t xml:space="preserve">If families are not yet back to work or the change is permanent, they must report the change to ECC/HANH as soon as they are aware so that the second interim may be cancelled or adjusted.   </w:t>
      </w:r>
    </w:p>
    <w:p w14:paraId="1DD06311" w14:textId="431BC5AE" w:rsidR="001342AE" w:rsidRPr="001D622B" w:rsidRDefault="001342AE" w:rsidP="3743D8DA">
      <w:pPr>
        <w:rPr>
          <w:rFonts w:ascii="Century Gothic" w:hAnsi="Century Gothic"/>
        </w:rPr>
      </w:pPr>
    </w:p>
    <w:p w14:paraId="51AC4CD7" w14:textId="58C2E354" w:rsidR="00B2304E" w:rsidRPr="001D622B" w:rsidRDefault="00B2304E" w:rsidP="3743D8DA">
      <w:pPr>
        <w:rPr>
          <w:rFonts w:ascii="Century Gothic" w:hAnsi="Century Gothic"/>
        </w:rPr>
      </w:pPr>
      <w:r w:rsidRPr="001D622B">
        <w:rPr>
          <w:rFonts w:ascii="Century Gothic" w:hAnsi="Century Gothic"/>
        </w:rPr>
        <w:t xml:space="preserve">This interim option does not cancel or supersede the current interim change rule where families are not required to report a new income or increase in income if the previous decrease was associated with an annual certification.  In other </w:t>
      </w:r>
      <w:r w:rsidR="00C001D7" w:rsidRPr="001D622B">
        <w:rPr>
          <w:rFonts w:ascii="Century Gothic" w:hAnsi="Century Gothic"/>
        </w:rPr>
        <w:t>words,</w:t>
      </w:r>
      <w:r w:rsidRPr="001D622B">
        <w:rPr>
          <w:rFonts w:ascii="Century Gothic" w:hAnsi="Century Gothic"/>
        </w:rPr>
        <w:t xml:space="preserve"> Interim rents normally remain in place until the next scheduled reexamination. If a family experiences an increase in </w:t>
      </w:r>
      <w:proofErr w:type="gramStart"/>
      <w:r w:rsidRPr="001D622B">
        <w:rPr>
          <w:rFonts w:ascii="Century Gothic" w:hAnsi="Century Gothic"/>
        </w:rPr>
        <w:t>income</w:t>
      </w:r>
      <w:proofErr w:type="gramEnd"/>
      <w:r w:rsidRPr="001D622B">
        <w:rPr>
          <w:rFonts w:ascii="Century Gothic" w:hAnsi="Century Gothic"/>
        </w:rPr>
        <w:t xml:space="preserve"> it is not necessary for the family to report this increase in income until the next scheduled certification date, except when the increase occurs after an interim decrease has been processed. With that said, COVID19, or similar pandemic or national, state or local emergency related interim decreases will remain in effect for the </w:t>
      </w:r>
      <w:r w:rsidRPr="001D622B">
        <w:rPr>
          <w:rFonts w:ascii="Century Gothic" w:hAnsi="Century Gothic"/>
        </w:rPr>
        <w:lastRenderedPageBreak/>
        <w:t xml:space="preserve">full 120 days. Any increases after this </w:t>
      </w:r>
      <w:proofErr w:type="gramStart"/>
      <w:r w:rsidRPr="001D622B">
        <w:rPr>
          <w:rFonts w:ascii="Century Gothic" w:hAnsi="Century Gothic"/>
        </w:rPr>
        <w:t>time period</w:t>
      </w:r>
      <w:proofErr w:type="gramEnd"/>
      <w:r w:rsidRPr="001D622B">
        <w:rPr>
          <w:rFonts w:ascii="Century Gothic" w:hAnsi="Century Gothic"/>
        </w:rPr>
        <w:t xml:space="preserve"> must be reported to ECC/HANH within 10 days of the change. </w:t>
      </w:r>
    </w:p>
    <w:p w14:paraId="55A3E976" w14:textId="77777777" w:rsidR="001342AE" w:rsidRPr="001D622B" w:rsidRDefault="001342AE" w:rsidP="00B2304E">
      <w:pPr>
        <w:rPr>
          <w:rFonts w:ascii="Century Gothic" w:hAnsi="Century Gothic"/>
          <w:szCs w:val="22"/>
        </w:rPr>
      </w:pPr>
    </w:p>
    <w:p w14:paraId="734D0018"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During these moments, the start and end date of interim decrease requests will </w:t>
      </w:r>
      <w:proofErr w:type="gramStart"/>
      <w:r w:rsidRPr="001D622B">
        <w:rPr>
          <w:rFonts w:ascii="Century Gothic" w:hAnsi="Century Gothic"/>
          <w:szCs w:val="22"/>
        </w:rPr>
        <w:t>made</w:t>
      </w:r>
      <w:proofErr w:type="gramEnd"/>
      <w:r w:rsidRPr="001D622B">
        <w:rPr>
          <w:rFonts w:ascii="Century Gothic" w:hAnsi="Century Gothic"/>
          <w:szCs w:val="22"/>
        </w:rPr>
        <w:t xml:space="preserve"> clear to families of ECC/HANH via current forms of communication with families.</w:t>
      </w:r>
    </w:p>
    <w:p w14:paraId="6C098F54" w14:textId="77777777" w:rsidR="00B2304E" w:rsidRPr="001D622B" w:rsidRDefault="00B2304E" w:rsidP="00B2304E">
      <w:pPr>
        <w:rPr>
          <w:rFonts w:ascii="Century Gothic" w:hAnsi="Century Gothic"/>
          <w:b/>
          <w:bCs/>
          <w:szCs w:val="22"/>
        </w:rPr>
      </w:pPr>
      <w:r w:rsidRPr="001D622B">
        <w:rPr>
          <w:rFonts w:ascii="Century Gothic" w:hAnsi="Century Gothic"/>
          <w:b/>
          <w:bCs/>
          <w:szCs w:val="22"/>
        </w:rPr>
        <w:t xml:space="preserve">  </w:t>
      </w:r>
    </w:p>
    <w:p w14:paraId="45CC7809" w14:textId="77777777" w:rsidR="00B2304E" w:rsidRPr="001D622B" w:rsidRDefault="00B2304E" w:rsidP="00B2304E">
      <w:pPr>
        <w:rPr>
          <w:rFonts w:ascii="Century Gothic" w:hAnsi="Century Gothic"/>
          <w:b/>
          <w:bCs/>
          <w:szCs w:val="22"/>
        </w:rPr>
      </w:pPr>
      <w:r w:rsidRPr="001D622B">
        <w:rPr>
          <w:rFonts w:ascii="Century Gothic" w:hAnsi="Century Gothic"/>
          <w:b/>
          <w:bCs/>
          <w:szCs w:val="22"/>
        </w:rPr>
        <w:t>Minimum Rent Hardship LIPH &amp; HCV:</w:t>
      </w:r>
    </w:p>
    <w:p w14:paraId="5025C81C" w14:textId="526F0E96" w:rsidR="00B2304E" w:rsidRPr="001D622B" w:rsidRDefault="19A6F694" w:rsidP="19A6F694">
      <w:pPr>
        <w:rPr>
          <w:rFonts w:ascii="Century Gothic" w:hAnsi="Century Gothic"/>
        </w:rPr>
      </w:pPr>
      <w:r w:rsidRPr="001D622B">
        <w:rPr>
          <w:rFonts w:ascii="Century Gothic" w:hAnsi="Century Gothic"/>
        </w:rPr>
        <w:t xml:space="preserve">The three-month hardship </w:t>
      </w:r>
      <w:r w:rsidR="00272BC4" w:rsidRPr="001D622B">
        <w:rPr>
          <w:rFonts w:ascii="Century Gothic" w:hAnsi="Century Gothic"/>
        </w:rPr>
        <w:t>timeframe</w:t>
      </w:r>
      <w:r w:rsidRPr="001D622B">
        <w:rPr>
          <w:rFonts w:ascii="Century Gothic" w:hAnsi="Century Gothic"/>
        </w:rPr>
        <w:t xml:space="preserve"> will be increased to four months during COVID19 and any similar pandemic or national, state or local emergency affecting </w:t>
      </w:r>
      <w:proofErr w:type="gramStart"/>
      <w:r w:rsidRPr="001D622B">
        <w:rPr>
          <w:rFonts w:ascii="Century Gothic" w:hAnsi="Century Gothic"/>
        </w:rPr>
        <w:t>a large number of</w:t>
      </w:r>
      <w:proofErr w:type="gramEnd"/>
      <w:r w:rsidRPr="001D622B">
        <w:rPr>
          <w:rFonts w:ascii="Century Gothic" w:hAnsi="Century Gothic"/>
        </w:rPr>
        <w:t xml:space="preserve"> families in the community. Additionally, families who fall under the hardship repayment requirement will not be required to repay hardship.</w:t>
      </w:r>
    </w:p>
    <w:p w14:paraId="547AC804" w14:textId="77777777" w:rsidR="00B2304E" w:rsidRPr="001D622B" w:rsidRDefault="00B2304E" w:rsidP="00B2304E">
      <w:pPr>
        <w:rPr>
          <w:rFonts w:ascii="Century Gothic" w:hAnsi="Century Gothic"/>
          <w:b/>
          <w:bCs/>
          <w:szCs w:val="22"/>
        </w:rPr>
      </w:pPr>
    </w:p>
    <w:p w14:paraId="0558263C" w14:textId="341383B9" w:rsidR="00B2304E" w:rsidRPr="001D622B" w:rsidRDefault="00B2304E" w:rsidP="3743D8DA">
      <w:pPr>
        <w:rPr>
          <w:rFonts w:ascii="Century Gothic" w:hAnsi="Century Gothic"/>
          <w:b/>
          <w:bCs/>
        </w:rPr>
      </w:pPr>
      <w:r w:rsidRPr="001D622B">
        <w:rPr>
          <w:rFonts w:ascii="Century Gothic" w:hAnsi="Century Gothic"/>
          <w:b/>
          <w:bCs/>
        </w:rPr>
        <w:t>Housing Choice Voucher HQS Inspections</w:t>
      </w:r>
    </w:p>
    <w:p w14:paraId="5A0CBA4E" w14:textId="5B723268" w:rsidR="00B2304E" w:rsidRPr="001D622B" w:rsidRDefault="00B2304E" w:rsidP="3743D8DA">
      <w:pPr>
        <w:rPr>
          <w:rFonts w:ascii="Century Gothic" w:hAnsi="Century Gothic"/>
        </w:rPr>
      </w:pPr>
      <w:bookmarkStart w:id="372" w:name="_Hlk40249352"/>
      <w:r w:rsidRPr="001D622B">
        <w:rPr>
          <w:rFonts w:ascii="Century Gothic" w:hAnsi="Century Gothic"/>
        </w:rPr>
        <w:t xml:space="preserve">HQS Inspections may be conducted via video conference on a </w:t>
      </w:r>
      <w:proofErr w:type="gramStart"/>
      <w:r w:rsidRPr="001D622B">
        <w:rPr>
          <w:rFonts w:ascii="Century Gothic" w:hAnsi="Century Gothic"/>
        </w:rPr>
        <w:t>case by case</w:t>
      </w:r>
      <w:proofErr w:type="gramEnd"/>
      <w:r w:rsidRPr="001D622B">
        <w:rPr>
          <w:rFonts w:ascii="Century Gothic" w:hAnsi="Century Gothic"/>
        </w:rPr>
        <w:t xml:space="preserve"> basis with the Owner or his/her designee present at the inspection site. Inspection appointments will be scheduled as usual and will be attended in person by the landlord or designee. All HQS inspections forms will be mailed to the owner or designee in advance of the scheduled appointment. A certified HQS inspector must participate </w:t>
      </w:r>
      <w:proofErr w:type="gramStart"/>
      <w:r w:rsidRPr="001D622B">
        <w:rPr>
          <w:rFonts w:ascii="Century Gothic" w:hAnsi="Century Gothic"/>
        </w:rPr>
        <w:t>on</w:t>
      </w:r>
      <w:proofErr w:type="gramEnd"/>
      <w:r w:rsidRPr="001D622B">
        <w:rPr>
          <w:rFonts w:ascii="Century Gothic" w:hAnsi="Century Gothic"/>
        </w:rPr>
        <w:t xml:space="preserve"> the video conference and will guide the homeowner or designee through the inspections process. This process will </w:t>
      </w:r>
      <w:proofErr w:type="gramStart"/>
      <w:r w:rsidRPr="001D622B">
        <w:rPr>
          <w:rFonts w:ascii="Century Gothic" w:hAnsi="Century Gothic"/>
        </w:rPr>
        <w:t>be allowed</w:t>
      </w:r>
      <w:proofErr w:type="gramEnd"/>
      <w:r w:rsidRPr="001D622B">
        <w:rPr>
          <w:rFonts w:ascii="Century Gothic" w:hAnsi="Century Gothic"/>
        </w:rPr>
        <w:t xml:space="preserve"> for initial inspections of previously inspected units, meaning if a unit was previously occupied by a family receiving HCV subsidy, the unit may qualify for a video inspection for initial inspection for new voucher holder, as well as special inspections and bi/triennial inspections.  Failed initial inspections will follow the current inspections protocol and timeline with the added option of proceeding via video conference.  A 2nd failed inspection will require that an inspector go out to the site and inspect the corrected deficiencies in person.  </w:t>
      </w:r>
    </w:p>
    <w:p w14:paraId="193F7B39" w14:textId="77777777" w:rsidR="001342AE" w:rsidRPr="001D622B" w:rsidRDefault="001342AE" w:rsidP="00B2304E">
      <w:pPr>
        <w:rPr>
          <w:rFonts w:ascii="Century Gothic" w:hAnsi="Century Gothic"/>
          <w:szCs w:val="22"/>
        </w:rPr>
      </w:pPr>
    </w:p>
    <w:p w14:paraId="4C45BDCC" w14:textId="33670B15" w:rsidR="00B2304E" w:rsidRPr="001D622B" w:rsidRDefault="00B2304E" w:rsidP="00B2304E">
      <w:pPr>
        <w:rPr>
          <w:rFonts w:ascii="Century Gothic" w:hAnsi="Century Gothic"/>
          <w:szCs w:val="22"/>
        </w:rPr>
      </w:pPr>
      <w:r w:rsidRPr="001D622B">
        <w:rPr>
          <w:rFonts w:ascii="Century Gothic" w:hAnsi="Century Gothic"/>
          <w:szCs w:val="22"/>
        </w:rPr>
        <w:t xml:space="preserve">The landlord or designee will bring the provided forms to the inspections appt and will sign the landlord portions of all forms while on video conference.  The Inspector will serve as the witness to the landlord or designee signature and will sign as such.  The inspector must include any notes regarding the process, including any information or areas that were not inspected or discussed during this time. </w:t>
      </w:r>
    </w:p>
    <w:p w14:paraId="1320E226" w14:textId="77777777" w:rsidR="001342AE" w:rsidRPr="001D622B" w:rsidRDefault="001342AE" w:rsidP="00B2304E">
      <w:pPr>
        <w:rPr>
          <w:rFonts w:ascii="Century Gothic" w:hAnsi="Century Gothic"/>
          <w:szCs w:val="22"/>
        </w:rPr>
      </w:pPr>
    </w:p>
    <w:p w14:paraId="2A8F19AC" w14:textId="77777777" w:rsidR="00B2304E" w:rsidRPr="001D622B" w:rsidRDefault="00B2304E" w:rsidP="00B2304E">
      <w:pPr>
        <w:rPr>
          <w:rFonts w:ascii="Century Gothic" w:hAnsi="Century Gothic"/>
          <w:szCs w:val="22"/>
        </w:rPr>
      </w:pPr>
      <w:proofErr w:type="gramStart"/>
      <w:r w:rsidRPr="001D622B">
        <w:rPr>
          <w:rFonts w:ascii="Century Gothic" w:hAnsi="Century Gothic"/>
          <w:szCs w:val="22"/>
        </w:rPr>
        <w:t>With the exception of</w:t>
      </w:r>
      <w:proofErr w:type="gramEnd"/>
      <w:r w:rsidRPr="001D622B">
        <w:rPr>
          <w:rFonts w:ascii="Century Gothic" w:hAnsi="Century Gothic"/>
          <w:szCs w:val="22"/>
        </w:rPr>
        <w:t xml:space="preserve"> HVAC &amp; other home systems, special inspections may be conducted via video conference.  In the same way as the Initial and bi/triennial inspections, a 2nd fail will trigger an in-person inspection by the HQS inspector.   </w:t>
      </w:r>
    </w:p>
    <w:bookmarkEnd w:id="372"/>
    <w:p w14:paraId="4ED897CD" w14:textId="77777777" w:rsidR="00B2304E" w:rsidRPr="001D622B" w:rsidRDefault="00B2304E" w:rsidP="00B2304E">
      <w:pPr>
        <w:rPr>
          <w:rFonts w:ascii="Century Gothic" w:hAnsi="Century Gothic"/>
          <w:szCs w:val="22"/>
        </w:rPr>
      </w:pPr>
    </w:p>
    <w:p w14:paraId="664475C7" w14:textId="03E11B46" w:rsidR="00B2304E" w:rsidRPr="001D622B" w:rsidRDefault="00B2304E" w:rsidP="3743D8DA">
      <w:pPr>
        <w:rPr>
          <w:rFonts w:ascii="Century Gothic" w:hAnsi="Century Gothic"/>
          <w:b/>
          <w:bCs/>
        </w:rPr>
      </w:pPr>
      <w:bookmarkStart w:id="373" w:name="_Toc173242573"/>
      <w:bookmarkStart w:id="374" w:name="_Toc173245466"/>
      <w:bookmarkStart w:id="375" w:name="_Toc173674842"/>
      <w:bookmarkStart w:id="376" w:name="_Toc174534821"/>
      <w:bookmarkStart w:id="377" w:name="_Toc175917013"/>
      <w:bookmarkStart w:id="378" w:name="_Toc181476165"/>
      <w:bookmarkStart w:id="379" w:name="_Toc182031037"/>
      <w:bookmarkStart w:id="380" w:name="_Toc188778017"/>
      <w:bookmarkStart w:id="381" w:name="_Toc325466545"/>
      <w:bookmarkStart w:id="382" w:name="_Toc518556118"/>
      <w:bookmarkStart w:id="383" w:name="_Toc3305686"/>
      <w:r w:rsidRPr="001D622B">
        <w:rPr>
          <w:rFonts w:ascii="Century Gothic" w:hAnsi="Century Gothic"/>
          <w:b/>
          <w:bCs/>
          <w:spacing w:val="1"/>
        </w:rPr>
        <w:t>Exceptional Expenses</w:t>
      </w:r>
      <w:bookmarkEnd w:id="373"/>
      <w:bookmarkEnd w:id="374"/>
      <w:bookmarkEnd w:id="375"/>
      <w:bookmarkEnd w:id="376"/>
      <w:bookmarkEnd w:id="377"/>
      <w:bookmarkEnd w:id="378"/>
      <w:bookmarkEnd w:id="379"/>
      <w:bookmarkEnd w:id="380"/>
      <w:bookmarkEnd w:id="381"/>
      <w:bookmarkEnd w:id="382"/>
      <w:bookmarkEnd w:id="383"/>
    </w:p>
    <w:p w14:paraId="35543940" w14:textId="142466E5" w:rsidR="00B2304E" w:rsidRPr="001D622B" w:rsidRDefault="00B2304E" w:rsidP="3743D8DA">
      <w:pPr>
        <w:rPr>
          <w:rFonts w:ascii="Century Gothic" w:hAnsi="Century Gothic"/>
        </w:rPr>
      </w:pPr>
      <w:r w:rsidRPr="001D622B">
        <w:rPr>
          <w:rFonts w:ascii="Century Gothic" w:hAnsi="Century Gothic"/>
          <w:b/>
          <w:bCs/>
        </w:rPr>
        <w:t>Applicability</w:t>
      </w:r>
      <w:r w:rsidR="00C001D7" w:rsidRPr="001D622B">
        <w:rPr>
          <w:rFonts w:ascii="Century Gothic" w:hAnsi="Century Gothic"/>
        </w:rPr>
        <w:t>- Deductions</w:t>
      </w:r>
      <w:r w:rsidRPr="001D622B">
        <w:rPr>
          <w:rFonts w:ascii="Century Gothic" w:hAnsi="Century Gothic"/>
        </w:rPr>
        <w:t xml:space="preserve"> permitted under 24 CFR Part 5.611(a) shall be permitted only to the extent the sum of anticipated deductions permitted under said Part 5.611(a) for the year are expected to equal or exceed $2,000. Families with Exceptional Expenses that equal or exceed $2,000 may request a rent deduction. The amounts of expenses are set in $2,000 tiers. This allows ECC/HANH to move away from having to verify every dollar of every deduction. Participants will no longer be required to provide documentation for every dollar of expenses, but, instead, participants need only provide documentation sufficient to the expenses of the appropriate tier.</w:t>
      </w:r>
    </w:p>
    <w:p w14:paraId="162A966D" w14:textId="77777777" w:rsidR="001342AE" w:rsidRPr="001D622B" w:rsidRDefault="001342AE" w:rsidP="00B2304E">
      <w:pPr>
        <w:rPr>
          <w:rFonts w:ascii="Century Gothic" w:hAnsi="Century Gothic"/>
          <w:szCs w:val="22"/>
        </w:rPr>
      </w:pPr>
    </w:p>
    <w:p w14:paraId="72072E54" w14:textId="7AD9875F" w:rsidR="00B2304E" w:rsidRPr="001D622B" w:rsidRDefault="00B2304E" w:rsidP="00B2304E">
      <w:pPr>
        <w:rPr>
          <w:rFonts w:ascii="Century Gothic" w:hAnsi="Century Gothic"/>
          <w:szCs w:val="22"/>
        </w:rPr>
      </w:pPr>
      <w:r w:rsidRPr="001D622B">
        <w:rPr>
          <w:rFonts w:ascii="Century Gothic" w:hAnsi="Century Gothic"/>
          <w:szCs w:val="22"/>
        </w:rPr>
        <w:t xml:space="preserve">The amount of the </w:t>
      </w:r>
      <w:proofErr w:type="gramStart"/>
      <w:r w:rsidRPr="001D622B">
        <w:rPr>
          <w:rFonts w:ascii="Century Gothic" w:hAnsi="Century Gothic"/>
          <w:szCs w:val="22"/>
        </w:rPr>
        <w:t>rent deduction</w:t>
      </w:r>
      <w:proofErr w:type="gramEnd"/>
      <w:r w:rsidRPr="001D622B">
        <w:rPr>
          <w:rFonts w:ascii="Century Gothic" w:hAnsi="Century Gothic"/>
          <w:szCs w:val="22"/>
        </w:rPr>
        <w:t xml:space="preserve"> is established at the mid-range of each tier. Families with Exceptional Expenses will receive a reduction in the rental payment as set forth on the following table:</w:t>
      </w:r>
    </w:p>
    <w:p w14:paraId="062B3510" w14:textId="77777777" w:rsidR="001342AE" w:rsidRPr="001D622B" w:rsidRDefault="001342AE" w:rsidP="00B2304E">
      <w:pPr>
        <w:rPr>
          <w:rFonts w:ascii="Century Gothic" w:hAnsi="Century Gothic"/>
          <w:szCs w:val="22"/>
        </w:rPr>
      </w:pPr>
    </w:p>
    <w:p w14:paraId="1889453A" w14:textId="77777777" w:rsidR="00B2304E" w:rsidRPr="001D622B" w:rsidRDefault="00B2304E" w:rsidP="00B2304E">
      <w:pPr>
        <w:rPr>
          <w:rFonts w:ascii="Century Gothic" w:hAnsi="Century Gothic"/>
          <w:szCs w:val="22"/>
        </w:rPr>
      </w:pPr>
      <w:r w:rsidRPr="001D622B">
        <w:rPr>
          <w:rFonts w:ascii="Century Gothic" w:hAnsi="Century Gothic"/>
          <w:szCs w:val="22"/>
        </w:rPr>
        <w:t xml:space="preserve">Families must have more than two qualifying dependents </w:t>
      </w:r>
      <w:proofErr w:type="gramStart"/>
      <w:r w:rsidRPr="001D622B">
        <w:rPr>
          <w:rFonts w:ascii="Century Gothic" w:hAnsi="Century Gothic"/>
          <w:szCs w:val="22"/>
        </w:rPr>
        <w:t>in order to</w:t>
      </w:r>
      <w:proofErr w:type="gramEnd"/>
      <w:r w:rsidRPr="001D622B">
        <w:rPr>
          <w:rFonts w:ascii="Century Gothic" w:hAnsi="Century Gothic"/>
          <w:szCs w:val="22"/>
        </w:rPr>
        <w:t xml:space="preserve"> qualify for additional Dependent Deductions </w:t>
      </w:r>
    </w:p>
    <w:p w14:paraId="65318D85" w14:textId="77777777" w:rsidR="00B2304E" w:rsidRPr="001D622B" w:rsidRDefault="00B2304E" w:rsidP="00B2304E">
      <w:pPr>
        <w:rPr>
          <w:rFonts w:ascii="Century Gothic" w:hAnsi="Century Gothic"/>
          <w:szCs w:val="22"/>
        </w:rPr>
      </w:pPr>
      <w:r w:rsidRPr="001D622B">
        <w:rPr>
          <w:rFonts w:ascii="Century Gothic" w:hAnsi="Century Gothic"/>
          <w:szCs w:val="22"/>
        </w:rPr>
        <w:t>The Elderly/Disabled deductions shall not be used in determining Exceptional Expenses.</w:t>
      </w:r>
    </w:p>
    <w:p w14:paraId="390F2426" w14:textId="77777777" w:rsidR="00B2304E" w:rsidRPr="001D622B" w:rsidRDefault="00B2304E" w:rsidP="00B2304E">
      <w:pPr>
        <w:rPr>
          <w:rFonts w:ascii="Century Gothic" w:hAnsi="Century Gothic"/>
          <w:szCs w:val="22"/>
        </w:rPr>
      </w:pPr>
      <w:r w:rsidRPr="001D622B">
        <w:rPr>
          <w:rFonts w:ascii="Century Gothic" w:hAnsi="Century Gothic"/>
          <w:szCs w:val="22"/>
        </w:rPr>
        <w:lastRenderedPageBreak/>
        <w:t>Dependent deduction shall only be allowed for families with more than two dependents since the standard amount of this deduction has been included in the determination of the percentage used to calculate tenant rent.</w:t>
      </w:r>
    </w:p>
    <w:p w14:paraId="14EA90D0" w14:textId="77777777" w:rsidR="00B2304E" w:rsidRPr="001D622B" w:rsidRDefault="00B2304E" w:rsidP="00B2304E">
      <w:pPr>
        <w:rPr>
          <w:rFonts w:ascii="Century Gothic" w:hAnsi="Century Gothic"/>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4177"/>
      </w:tblGrid>
      <w:tr w:rsidR="00B2304E" w:rsidRPr="006D6566" w14:paraId="4F7439AD" w14:textId="77777777" w:rsidTr="00310FD8">
        <w:trPr>
          <w:jc w:val="center"/>
        </w:trPr>
        <w:tc>
          <w:tcPr>
            <w:tcW w:w="4156" w:type="dxa"/>
          </w:tcPr>
          <w:p w14:paraId="05C22839" w14:textId="77777777" w:rsidR="00B2304E" w:rsidRPr="001D622B" w:rsidRDefault="00B2304E" w:rsidP="00310FD8">
            <w:pPr>
              <w:rPr>
                <w:rFonts w:ascii="Century Gothic" w:hAnsi="Century Gothic"/>
                <w:b/>
                <w:bCs/>
                <w:szCs w:val="22"/>
              </w:rPr>
            </w:pPr>
            <w:r w:rsidRPr="001D622B">
              <w:rPr>
                <w:rFonts w:ascii="Century Gothic" w:hAnsi="Century Gothic"/>
                <w:b/>
                <w:szCs w:val="22"/>
              </w:rPr>
              <w:t>Tiered Amount of Exceptional Expenses</w:t>
            </w:r>
          </w:p>
        </w:tc>
        <w:tc>
          <w:tcPr>
            <w:tcW w:w="4177" w:type="dxa"/>
          </w:tcPr>
          <w:p w14:paraId="048DD014" w14:textId="77777777" w:rsidR="00B2304E" w:rsidRPr="001D622B" w:rsidRDefault="00B2304E" w:rsidP="00310FD8">
            <w:pPr>
              <w:rPr>
                <w:rFonts w:ascii="Century Gothic" w:hAnsi="Century Gothic"/>
                <w:b/>
                <w:bCs/>
                <w:szCs w:val="22"/>
              </w:rPr>
            </w:pPr>
            <w:r w:rsidRPr="001D622B">
              <w:rPr>
                <w:rFonts w:ascii="Century Gothic" w:hAnsi="Century Gothic"/>
                <w:b/>
                <w:szCs w:val="22"/>
              </w:rPr>
              <w:t>Monthly Rent Reduction</w:t>
            </w:r>
          </w:p>
        </w:tc>
      </w:tr>
      <w:tr w:rsidR="00B2304E" w:rsidRPr="006D6566" w14:paraId="131F10C8" w14:textId="77777777" w:rsidTr="00310FD8">
        <w:trPr>
          <w:jc w:val="center"/>
        </w:trPr>
        <w:tc>
          <w:tcPr>
            <w:tcW w:w="4156" w:type="dxa"/>
          </w:tcPr>
          <w:p w14:paraId="38D57458" w14:textId="77777777" w:rsidR="00B2304E" w:rsidRPr="005E1AE5" w:rsidRDefault="00B2304E" w:rsidP="00310FD8">
            <w:pPr>
              <w:rPr>
                <w:rFonts w:ascii="Century Gothic" w:hAnsi="Century Gothic"/>
                <w:szCs w:val="22"/>
              </w:rPr>
            </w:pPr>
            <w:r w:rsidRPr="005E1AE5">
              <w:rPr>
                <w:rFonts w:ascii="Century Gothic" w:hAnsi="Century Gothic"/>
                <w:szCs w:val="22"/>
              </w:rPr>
              <w:t>$ 2,000 - $ 3,999</w:t>
            </w:r>
          </w:p>
        </w:tc>
        <w:tc>
          <w:tcPr>
            <w:tcW w:w="4177" w:type="dxa"/>
          </w:tcPr>
          <w:p w14:paraId="6FDD2D48" w14:textId="63736AFA" w:rsidR="00B2304E" w:rsidRPr="005E1AE5" w:rsidRDefault="00B2304E" w:rsidP="00310FD8">
            <w:pPr>
              <w:rPr>
                <w:rFonts w:ascii="Century Gothic" w:hAnsi="Century Gothic"/>
                <w:szCs w:val="22"/>
              </w:rPr>
            </w:pPr>
            <w:r w:rsidRPr="005E1AE5">
              <w:rPr>
                <w:rFonts w:ascii="Century Gothic" w:hAnsi="Century Gothic"/>
                <w:szCs w:val="22"/>
              </w:rPr>
              <w:t xml:space="preserve">$ </w:t>
            </w:r>
            <w:r w:rsidR="00E27A6F" w:rsidRPr="005E1AE5">
              <w:rPr>
                <w:rFonts w:ascii="Century Gothic" w:hAnsi="Century Gothic"/>
                <w:szCs w:val="22"/>
              </w:rPr>
              <w:t>75 (</w:t>
            </w:r>
            <w:r w:rsidRPr="005E1AE5">
              <w:rPr>
                <w:rFonts w:ascii="Century Gothic" w:hAnsi="Century Gothic"/>
                <w:szCs w:val="22"/>
              </w:rPr>
              <w:t>equivalent to $3,000 deduction)</w:t>
            </w:r>
          </w:p>
        </w:tc>
      </w:tr>
      <w:tr w:rsidR="00B2304E" w:rsidRPr="006D6566" w14:paraId="3A958401" w14:textId="77777777" w:rsidTr="00310FD8">
        <w:trPr>
          <w:jc w:val="center"/>
        </w:trPr>
        <w:tc>
          <w:tcPr>
            <w:tcW w:w="4156" w:type="dxa"/>
          </w:tcPr>
          <w:p w14:paraId="29D3723E" w14:textId="77777777" w:rsidR="00B2304E" w:rsidRPr="005E1AE5" w:rsidRDefault="00B2304E" w:rsidP="00310FD8">
            <w:pPr>
              <w:rPr>
                <w:rFonts w:ascii="Century Gothic" w:hAnsi="Century Gothic"/>
                <w:szCs w:val="22"/>
              </w:rPr>
            </w:pPr>
            <w:r w:rsidRPr="005E1AE5">
              <w:rPr>
                <w:rFonts w:ascii="Century Gothic" w:hAnsi="Century Gothic"/>
                <w:szCs w:val="22"/>
              </w:rPr>
              <w:t>$ 4,000 - $ 5,999</w:t>
            </w:r>
          </w:p>
        </w:tc>
        <w:tc>
          <w:tcPr>
            <w:tcW w:w="4177" w:type="dxa"/>
          </w:tcPr>
          <w:p w14:paraId="2FD28719" w14:textId="6462487C" w:rsidR="00B2304E" w:rsidRPr="005E1AE5" w:rsidRDefault="00B2304E" w:rsidP="00310FD8">
            <w:pPr>
              <w:rPr>
                <w:rFonts w:ascii="Century Gothic" w:hAnsi="Century Gothic"/>
                <w:szCs w:val="22"/>
              </w:rPr>
            </w:pPr>
            <w:r w:rsidRPr="005E1AE5">
              <w:rPr>
                <w:rFonts w:ascii="Century Gothic" w:hAnsi="Century Gothic"/>
                <w:szCs w:val="22"/>
              </w:rPr>
              <w:t xml:space="preserve">$ </w:t>
            </w:r>
            <w:r w:rsidR="00E27A6F" w:rsidRPr="005E1AE5">
              <w:rPr>
                <w:rFonts w:ascii="Century Gothic" w:hAnsi="Century Gothic"/>
                <w:szCs w:val="22"/>
              </w:rPr>
              <w:t>125 (</w:t>
            </w:r>
            <w:r w:rsidRPr="005E1AE5">
              <w:rPr>
                <w:rFonts w:ascii="Century Gothic" w:hAnsi="Century Gothic"/>
                <w:szCs w:val="22"/>
              </w:rPr>
              <w:t>equivalent to $5,000 deduction)</w:t>
            </w:r>
          </w:p>
        </w:tc>
      </w:tr>
      <w:tr w:rsidR="00B2304E" w:rsidRPr="006D6566" w14:paraId="11B058D6" w14:textId="77777777" w:rsidTr="00310FD8">
        <w:trPr>
          <w:jc w:val="center"/>
        </w:trPr>
        <w:tc>
          <w:tcPr>
            <w:tcW w:w="4156" w:type="dxa"/>
          </w:tcPr>
          <w:p w14:paraId="14F5DD81" w14:textId="77777777" w:rsidR="00B2304E" w:rsidRPr="005E1AE5" w:rsidRDefault="00B2304E" w:rsidP="00310FD8">
            <w:pPr>
              <w:rPr>
                <w:rFonts w:ascii="Century Gothic" w:hAnsi="Century Gothic"/>
                <w:szCs w:val="22"/>
              </w:rPr>
            </w:pPr>
            <w:r w:rsidRPr="005E1AE5">
              <w:rPr>
                <w:rFonts w:ascii="Century Gothic" w:hAnsi="Century Gothic"/>
                <w:szCs w:val="22"/>
              </w:rPr>
              <w:t>$ 6,000 +</w:t>
            </w:r>
          </w:p>
        </w:tc>
        <w:tc>
          <w:tcPr>
            <w:tcW w:w="4177" w:type="dxa"/>
          </w:tcPr>
          <w:p w14:paraId="373F47C0" w14:textId="77777777" w:rsidR="00B2304E" w:rsidRPr="005E1AE5" w:rsidRDefault="00B2304E" w:rsidP="00310FD8">
            <w:pPr>
              <w:rPr>
                <w:rFonts w:ascii="Century Gothic" w:hAnsi="Century Gothic"/>
                <w:szCs w:val="22"/>
              </w:rPr>
            </w:pPr>
            <w:r w:rsidRPr="005E1AE5">
              <w:rPr>
                <w:rFonts w:ascii="Century Gothic" w:hAnsi="Century Gothic"/>
                <w:szCs w:val="22"/>
              </w:rPr>
              <w:t>Hardship Review</w:t>
            </w:r>
          </w:p>
        </w:tc>
      </w:tr>
    </w:tbl>
    <w:p w14:paraId="73D3B785" w14:textId="77777777" w:rsidR="001342AE" w:rsidRPr="005E1AE5" w:rsidRDefault="001342AE" w:rsidP="00B2304E">
      <w:pPr>
        <w:rPr>
          <w:rFonts w:ascii="Century Gothic" w:hAnsi="Century Gothic"/>
          <w:szCs w:val="22"/>
        </w:rPr>
      </w:pPr>
    </w:p>
    <w:p w14:paraId="354CB32E" w14:textId="429F4981" w:rsidR="00B2304E" w:rsidRDefault="00B2304E" w:rsidP="00B2304E">
      <w:pPr>
        <w:rPr>
          <w:rFonts w:ascii="Century Gothic" w:hAnsi="Century Gothic"/>
          <w:szCs w:val="22"/>
        </w:rPr>
      </w:pPr>
      <w:r w:rsidRPr="005E1AE5">
        <w:rPr>
          <w:rFonts w:ascii="Century Gothic" w:hAnsi="Century Gothic"/>
          <w:szCs w:val="22"/>
        </w:rPr>
        <w:t xml:space="preserve">Elderly </w:t>
      </w:r>
      <w:proofErr w:type="gramStart"/>
      <w:r w:rsidRPr="005E1AE5">
        <w:rPr>
          <w:rFonts w:ascii="Century Gothic" w:hAnsi="Century Gothic"/>
          <w:szCs w:val="22"/>
        </w:rPr>
        <w:t>persons</w:t>
      </w:r>
      <w:proofErr w:type="gramEnd"/>
      <w:r w:rsidRPr="005E1AE5">
        <w:rPr>
          <w:rFonts w:ascii="Century Gothic" w:hAnsi="Century Gothic"/>
          <w:szCs w:val="22"/>
        </w:rPr>
        <w:t xml:space="preserve"> and </w:t>
      </w:r>
      <w:proofErr w:type="gramStart"/>
      <w:r w:rsidRPr="005E1AE5">
        <w:rPr>
          <w:rFonts w:ascii="Century Gothic" w:hAnsi="Century Gothic"/>
          <w:szCs w:val="22"/>
        </w:rPr>
        <w:t>persons</w:t>
      </w:r>
      <w:proofErr w:type="gramEnd"/>
      <w:r w:rsidRPr="005E1AE5">
        <w:rPr>
          <w:rFonts w:ascii="Century Gothic" w:hAnsi="Century Gothic"/>
          <w:szCs w:val="22"/>
        </w:rPr>
        <w:t xml:space="preserve"> with disabilities always have the right to request </w:t>
      </w:r>
      <w:proofErr w:type="gramStart"/>
      <w:r w:rsidRPr="005E1AE5">
        <w:rPr>
          <w:rFonts w:ascii="Century Gothic" w:hAnsi="Century Gothic"/>
          <w:szCs w:val="22"/>
        </w:rPr>
        <w:t>a Reasonable</w:t>
      </w:r>
      <w:proofErr w:type="gramEnd"/>
      <w:r w:rsidRPr="005E1AE5">
        <w:rPr>
          <w:rFonts w:ascii="Century Gothic" w:hAnsi="Century Gothic"/>
          <w:szCs w:val="22"/>
        </w:rPr>
        <w:t xml:space="preserve"> Accommodation(s). </w:t>
      </w:r>
    </w:p>
    <w:p w14:paraId="4C0AD8DD" w14:textId="77777777" w:rsidR="00A53DB5" w:rsidRPr="005E1AE5" w:rsidRDefault="00A53DB5" w:rsidP="00B2304E">
      <w:pPr>
        <w:rPr>
          <w:rFonts w:ascii="Century Gothic" w:hAnsi="Century Gothic"/>
          <w:szCs w:val="22"/>
        </w:rPr>
      </w:pPr>
    </w:p>
    <w:p w14:paraId="5A82B058" w14:textId="77777777" w:rsidR="00B2304E" w:rsidRPr="005E1AE5" w:rsidRDefault="00B2304E" w:rsidP="00B2304E">
      <w:pPr>
        <w:rPr>
          <w:rFonts w:ascii="Century Gothic" w:hAnsi="Century Gothic"/>
          <w:szCs w:val="22"/>
        </w:rPr>
      </w:pPr>
      <w:r w:rsidRPr="005E1AE5">
        <w:rPr>
          <w:rFonts w:ascii="Century Gothic" w:hAnsi="Century Gothic"/>
          <w:szCs w:val="22"/>
        </w:rPr>
        <w:t xml:space="preserve">Rents are determined in accordance with the methods and income measures set forth in ECC/HANH’s Public Housing Rent Simplification Policies. </w:t>
      </w:r>
    </w:p>
    <w:p w14:paraId="62B4087E" w14:textId="4AF88756" w:rsidR="00B2304E" w:rsidRPr="005E1AE5" w:rsidRDefault="00B2304E" w:rsidP="00B2304E">
      <w:pPr>
        <w:rPr>
          <w:rFonts w:ascii="Century Gothic" w:hAnsi="Century Gothic"/>
          <w:b/>
          <w:bCs/>
          <w:szCs w:val="22"/>
        </w:rPr>
      </w:pPr>
      <w:r w:rsidRPr="005E1AE5">
        <w:rPr>
          <w:rFonts w:ascii="Century Gothic" w:hAnsi="Century Gothic"/>
          <w:szCs w:val="22"/>
        </w:rPr>
        <w:br w:type="page"/>
      </w:r>
      <w:bookmarkStart w:id="384" w:name="_Toc518556119"/>
      <w:bookmarkStart w:id="385" w:name="_Toc3305687"/>
      <w:r w:rsidRPr="005E1AE5">
        <w:rPr>
          <w:rFonts w:ascii="Century Gothic" w:hAnsi="Century Gothic"/>
          <w:bCs/>
          <w:szCs w:val="22"/>
        </w:rPr>
        <w:lastRenderedPageBreak/>
        <w:t>ATTACHMENT C-1</w:t>
      </w:r>
      <w:bookmarkEnd w:id="384"/>
      <w:bookmarkEnd w:id="385"/>
    </w:p>
    <w:p w14:paraId="2FB6B286" w14:textId="49D24039" w:rsidR="00B2304E" w:rsidRPr="005E1AE5" w:rsidRDefault="00B2304E" w:rsidP="00B2304E">
      <w:pPr>
        <w:rPr>
          <w:rFonts w:ascii="Century Gothic" w:hAnsi="Century Gothic"/>
          <w:szCs w:val="22"/>
        </w:rPr>
      </w:pPr>
      <w:bookmarkStart w:id="386" w:name="_Toc518556120"/>
      <w:bookmarkStart w:id="387" w:name="_Toc3305688"/>
      <w:r w:rsidRPr="005E1AE5">
        <w:rPr>
          <w:rFonts w:ascii="Century Gothic" w:hAnsi="Century Gothic"/>
          <w:bCs/>
          <w:szCs w:val="22"/>
        </w:rPr>
        <w:t>EXCEPTION TO HCV REGULATIONS</w:t>
      </w:r>
      <w:bookmarkEnd w:id="386"/>
      <w:bookmarkEnd w:id="387"/>
    </w:p>
    <w:tbl>
      <w:tblPr>
        <w:tblW w:w="9872" w:type="dxa"/>
        <w:tblInd w:w="-72" w:type="dxa"/>
        <w:tblLayout w:type="fixed"/>
        <w:tblLook w:val="0000" w:firstRow="0" w:lastRow="0" w:firstColumn="0" w:lastColumn="0" w:noHBand="0" w:noVBand="0"/>
      </w:tblPr>
      <w:tblGrid>
        <w:gridCol w:w="1682"/>
        <w:gridCol w:w="1530"/>
        <w:gridCol w:w="3870"/>
        <w:gridCol w:w="2790"/>
      </w:tblGrid>
      <w:tr w:rsidR="00487DFC" w:rsidRPr="006D6566" w14:paraId="02CF9B9C" w14:textId="77777777" w:rsidTr="00310FD8">
        <w:trPr>
          <w:trHeight w:val="525"/>
          <w:tblHeader/>
        </w:trPr>
        <w:tc>
          <w:tcPr>
            <w:tcW w:w="1682" w:type="dxa"/>
            <w:tcBorders>
              <w:top w:val="single" w:sz="8" w:space="0" w:color="auto"/>
              <w:left w:val="single" w:sz="8" w:space="0" w:color="auto"/>
              <w:bottom w:val="single" w:sz="8" w:space="0" w:color="auto"/>
              <w:right w:val="single" w:sz="8" w:space="0" w:color="auto"/>
            </w:tcBorders>
            <w:shd w:val="clear" w:color="auto" w:fill="FFFF00"/>
            <w:vAlign w:val="bottom"/>
          </w:tcPr>
          <w:p w14:paraId="0EEB95F9" w14:textId="77777777" w:rsidR="00B2304E" w:rsidRPr="005E1AE5" w:rsidRDefault="00B2304E" w:rsidP="00310FD8">
            <w:pPr>
              <w:rPr>
                <w:rFonts w:ascii="Century Gothic" w:hAnsi="Century Gothic"/>
                <w:b/>
                <w:bCs/>
                <w:szCs w:val="22"/>
              </w:rPr>
            </w:pPr>
            <w:r w:rsidRPr="005E1AE5">
              <w:rPr>
                <w:rFonts w:ascii="Century Gothic" w:hAnsi="Century Gothic"/>
                <w:b/>
                <w:szCs w:val="22"/>
              </w:rPr>
              <w:t>Topic</w:t>
            </w:r>
          </w:p>
        </w:tc>
        <w:tc>
          <w:tcPr>
            <w:tcW w:w="1530" w:type="dxa"/>
            <w:tcBorders>
              <w:top w:val="single" w:sz="8" w:space="0" w:color="auto"/>
              <w:left w:val="nil"/>
              <w:bottom w:val="single" w:sz="8" w:space="0" w:color="auto"/>
              <w:right w:val="single" w:sz="8" w:space="0" w:color="auto"/>
            </w:tcBorders>
            <w:shd w:val="clear" w:color="auto" w:fill="FFFF00"/>
            <w:vAlign w:val="bottom"/>
          </w:tcPr>
          <w:p w14:paraId="7EE53C62" w14:textId="77777777" w:rsidR="00B2304E" w:rsidRPr="005E1AE5" w:rsidRDefault="00B2304E" w:rsidP="00310FD8">
            <w:pPr>
              <w:rPr>
                <w:rFonts w:ascii="Century Gothic" w:hAnsi="Century Gothic"/>
                <w:b/>
                <w:bCs/>
                <w:szCs w:val="22"/>
              </w:rPr>
            </w:pPr>
            <w:r w:rsidRPr="005E1AE5">
              <w:rPr>
                <w:rFonts w:ascii="Century Gothic" w:hAnsi="Century Gothic"/>
                <w:b/>
                <w:szCs w:val="22"/>
              </w:rPr>
              <w:t>Exceptions to HCV Program Regulations</w:t>
            </w:r>
          </w:p>
        </w:tc>
        <w:tc>
          <w:tcPr>
            <w:tcW w:w="3870" w:type="dxa"/>
            <w:tcBorders>
              <w:top w:val="single" w:sz="8" w:space="0" w:color="auto"/>
              <w:left w:val="nil"/>
              <w:bottom w:val="single" w:sz="8" w:space="0" w:color="auto"/>
              <w:right w:val="nil"/>
            </w:tcBorders>
            <w:shd w:val="clear" w:color="auto" w:fill="FFFF00"/>
          </w:tcPr>
          <w:p w14:paraId="3B4A6E05" w14:textId="77777777" w:rsidR="00B2304E" w:rsidRPr="005E1AE5" w:rsidRDefault="00B2304E" w:rsidP="00310FD8">
            <w:pPr>
              <w:rPr>
                <w:rFonts w:ascii="Century Gothic" w:hAnsi="Century Gothic"/>
                <w:b/>
                <w:bCs/>
                <w:szCs w:val="22"/>
              </w:rPr>
            </w:pPr>
            <w:r w:rsidRPr="005E1AE5">
              <w:rPr>
                <w:rFonts w:ascii="Century Gothic" w:hAnsi="Century Gothic"/>
                <w:b/>
                <w:szCs w:val="22"/>
              </w:rPr>
              <w:t>Current Policy</w:t>
            </w:r>
          </w:p>
        </w:tc>
        <w:tc>
          <w:tcPr>
            <w:tcW w:w="2790" w:type="dxa"/>
            <w:tcBorders>
              <w:top w:val="single" w:sz="8" w:space="0" w:color="auto"/>
              <w:left w:val="nil"/>
              <w:bottom w:val="single" w:sz="8" w:space="0" w:color="auto"/>
              <w:right w:val="single" w:sz="8" w:space="0" w:color="auto"/>
            </w:tcBorders>
            <w:shd w:val="clear" w:color="auto" w:fill="FFFF00"/>
            <w:vAlign w:val="bottom"/>
          </w:tcPr>
          <w:p w14:paraId="316B7761" w14:textId="77777777" w:rsidR="00B2304E" w:rsidRPr="005E1AE5" w:rsidRDefault="00B2304E" w:rsidP="00310FD8">
            <w:pPr>
              <w:rPr>
                <w:rFonts w:ascii="Century Gothic" w:hAnsi="Century Gothic"/>
                <w:b/>
                <w:bCs/>
                <w:szCs w:val="22"/>
              </w:rPr>
            </w:pPr>
            <w:r w:rsidRPr="005E1AE5">
              <w:rPr>
                <w:rFonts w:ascii="Century Gothic" w:hAnsi="Century Gothic"/>
                <w:b/>
                <w:szCs w:val="22"/>
              </w:rPr>
              <w:t>Alternative MTW Policy for Housing Choice Voucher Program</w:t>
            </w:r>
          </w:p>
        </w:tc>
      </w:tr>
      <w:tr w:rsidR="00F714A4" w:rsidRPr="006D6566" w14:paraId="4CCBA3CD" w14:textId="77777777" w:rsidTr="00310FD8">
        <w:trPr>
          <w:trHeight w:val="1492"/>
        </w:trPr>
        <w:tc>
          <w:tcPr>
            <w:tcW w:w="1682" w:type="dxa"/>
            <w:tcBorders>
              <w:top w:val="nil"/>
              <w:left w:val="single" w:sz="8" w:space="0" w:color="auto"/>
              <w:bottom w:val="single" w:sz="8" w:space="0" w:color="auto"/>
              <w:right w:val="single" w:sz="8" w:space="0" w:color="auto"/>
            </w:tcBorders>
            <w:vAlign w:val="bottom"/>
          </w:tcPr>
          <w:p w14:paraId="71915B34" w14:textId="77777777" w:rsidR="00B2304E" w:rsidRPr="005E1AE5" w:rsidRDefault="00B2304E" w:rsidP="00310FD8">
            <w:pPr>
              <w:rPr>
                <w:rFonts w:ascii="Century Gothic" w:hAnsi="Century Gothic"/>
                <w:szCs w:val="22"/>
              </w:rPr>
            </w:pPr>
            <w:r w:rsidRPr="005E1AE5">
              <w:rPr>
                <w:rFonts w:ascii="Century Gothic" w:hAnsi="Century Gothic"/>
                <w:szCs w:val="22"/>
              </w:rPr>
              <w:t>Annual Income</w:t>
            </w:r>
          </w:p>
        </w:tc>
        <w:tc>
          <w:tcPr>
            <w:tcW w:w="1530" w:type="dxa"/>
            <w:tcBorders>
              <w:top w:val="nil"/>
              <w:left w:val="nil"/>
              <w:bottom w:val="single" w:sz="8" w:space="0" w:color="auto"/>
              <w:right w:val="single" w:sz="8" w:space="0" w:color="auto"/>
            </w:tcBorders>
            <w:vAlign w:val="bottom"/>
          </w:tcPr>
          <w:p w14:paraId="7064C82F" w14:textId="77777777" w:rsidR="00B2304E" w:rsidRPr="005E1AE5" w:rsidRDefault="00B2304E" w:rsidP="00310FD8">
            <w:pPr>
              <w:rPr>
                <w:rFonts w:ascii="Century Gothic" w:hAnsi="Century Gothic"/>
                <w:szCs w:val="22"/>
              </w:rPr>
            </w:pPr>
            <w:r w:rsidRPr="005E1AE5">
              <w:rPr>
                <w:rFonts w:ascii="Century Gothic" w:hAnsi="Century Gothic"/>
                <w:szCs w:val="22"/>
              </w:rPr>
              <w:t>24 CFR Part 5.609(a)(4)</w:t>
            </w:r>
          </w:p>
        </w:tc>
        <w:tc>
          <w:tcPr>
            <w:tcW w:w="3870" w:type="dxa"/>
            <w:tcBorders>
              <w:top w:val="single" w:sz="8" w:space="0" w:color="auto"/>
              <w:left w:val="nil"/>
              <w:bottom w:val="single" w:sz="8" w:space="0" w:color="auto"/>
              <w:right w:val="single" w:sz="4" w:space="0" w:color="auto"/>
            </w:tcBorders>
          </w:tcPr>
          <w:p w14:paraId="6560B260" w14:textId="77777777" w:rsidR="00B2304E" w:rsidRPr="005E1AE5" w:rsidRDefault="00B2304E" w:rsidP="00310FD8">
            <w:pPr>
              <w:rPr>
                <w:rFonts w:ascii="Century Gothic" w:hAnsi="Century Gothic"/>
                <w:szCs w:val="22"/>
              </w:rPr>
            </w:pPr>
            <w:r w:rsidRPr="005E1AE5">
              <w:rPr>
                <w:rFonts w:ascii="Century Gothic" w:hAnsi="Century Gothic"/>
                <w:szCs w:val="22"/>
              </w:rPr>
              <w:t>Any income derived from an asset, to which any member of the family has access.</w:t>
            </w:r>
          </w:p>
        </w:tc>
        <w:tc>
          <w:tcPr>
            <w:tcW w:w="2790" w:type="dxa"/>
            <w:tcBorders>
              <w:top w:val="single" w:sz="8" w:space="0" w:color="auto"/>
              <w:left w:val="single" w:sz="4" w:space="0" w:color="auto"/>
              <w:bottom w:val="single" w:sz="8" w:space="0" w:color="auto"/>
              <w:right w:val="single" w:sz="8" w:space="0" w:color="auto"/>
            </w:tcBorders>
            <w:vAlign w:val="bottom"/>
          </w:tcPr>
          <w:p w14:paraId="49A7FE17" w14:textId="535CD9C8" w:rsidR="00B2304E" w:rsidRPr="005E1AE5" w:rsidRDefault="00B2304E" w:rsidP="00310FD8">
            <w:pPr>
              <w:rPr>
                <w:rFonts w:ascii="Century Gothic" w:hAnsi="Century Gothic"/>
                <w:szCs w:val="22"/>
              </w:rPr>
            </w:pPr>
            <w:r w:rsidRPr="005E1AE5">
              <w:rPr>
                <w:rFonts w:ascii="Century Gothic" w:hAnsi="Century Gothic"/>
                <w:szCs w:val="22"/>
              </w:rPr>
              <w:t xml:space="preserve">Excludes assets, </w:t>
            </w:r>
            <w:r w:rsidR="009A2E04" w:rsidRPr="005E1AE5">
              <w:rPr>
                <w:rFonts w:ascii="Century Gothic" w:hAnsi="Century Gothic"/>
                <w:szCs w:val="22"/>
              </w:rPr>
              <w:t>from the determination of annual income</w:t>
            </w:r>
            <w:r w:rsidRPr="005E1AE5">
              <w:rPr>
                <w:rFonts w:ascii="Century Gothic" w:hAnsi="Century Gothic"/>
                <w:szCs w:val="22"/>
              </w:rPr>
              <w:t xml:space="preserve"> to extent the amount is $50,000 or less.  All income earned by a </w:t>
            </w:r>
            <w:proofErr w:type="gramStart"/>
            <w:r w:rsidRPr="005E1AE5">
              <w:rPr>
                <w:rFonts w:ascii="Century Gothic" w:hAnsi="Century Gothic"/>
                <w:szCs w:val="22"/>
              </w:rPr>
              <w:t>fulltime</w:t>
            </w:r>
            <w:proofErr w:type="gramEnd"/>
            <w:r w:rsidRPr="005E1AE5">
              <w:rPr>
                <w:rFonts w:ascii="Century Gothic" w:hAnsi="Century Gothic"/>
                <w:szCs w:val="22"/>
              </w:rPr>
              <w:t xml:space="preserve"> student will be excluded. All income earned by a family from adoption assistance will be excluded.</w:t>
            </w:r>
          </w:p>
        </w:tc>
      </w:tr>
      <w:tr w:rsidR="00F714A4" w:rsidRPr="006D6566" w14:paraId="7B24566F" w14:textId="77777777" w:rsidTr="00310FD8">
        <w:trPr>
          <w:trHeight w:val="655"/>
        </w:trPr>
        <w:tc>
          <w:tcPr>
            <w:tcW w:w="1682" w:type="dxa"/>
            <w:tcBorders>
              <w:top w:val="nil"/>
              <w:left w:val="single" w:sz="8" w:space="0" w:color="auto"/>
              <w:bottom w:val="single" w:sz="8" w:space="0" w:color="auto"/>
              <w:right w:val="single" w:sz="8" w:space="0" w:color="auto"/>
            </w:tcBorders>
            <w:vAlign w:val="bottom"/>
          </w:tcPr>
          <w:p w14:paraId="3B57DB72" w14:textId="77777777" w:rsidR="00B2304E" w:rsidRPr="005E1AE5" w:rsidRDefault="00B2304E" w:rsidP="00310FD8">
            <w:pPr>
              <w:rPr>
                <w:rFonts w:ascii="Century Gothic" w:hAnsi="Century Gothic"/>
                <w:szCs w:val="22"/>
              </w:rPr>
            </w:pPr>
            <w:r w:rsidRPr="005E1AE5">
              <w:rPr>
                <w:rFonts w:ascii="Century Gothic" w:hAnsi="Century Gothic"/>
                <w:szCs w:val="22"/>
              </w:rPr>
              <w:t>Income Exclusion for Person Enrolled in FSS Program</w:t>
            </w:r>
          </w:p>
        </w:tc>
        <w:tc>
          <w:tcPr>
            <w:tcW w:w="1530" w:type="dxa"/>
            <w:tcBorders>
              <w:top w:val="nil"/>
              <w:left w:val="nil"/>
              <w:bottom w:val="single" w:sz="8" w:space="0" w:color="auto"/>
              <w:right w:val="single" w:sz="8" w:space="0" w:color="auto"/>
            </w:tcBorders>
            <w:vAlign w:val="bottom"/>
          </w:tcPr>
          <w:p w14:paraId="348A7470" w14:textId="77777777" w:rsidR="00B2304E" w:rsidRPr="005E1AE5" w:rsidRDefault="00B2304E" w:rsidP="00310FD8">
            <w:pPr>
              <w:rPr>
                <w:rFonts w:ascii="Century Gothic" w:hAnsi="Century Gothic"/>
                <w:szCs w:val="22"/>
              </w:rPr>
            </w:pPr>
            <w:r w:rsidRPr="005E1AE5">
              <w:rPr>
                <w:rFonts w:ascii="Century Gothic" w:hAnsi="Century Gothic"/>
                <w:szCs w:val="22"/>
              </w:rPr>
              <w:t>24 CFR Part 5.609(b)(1)</w:t>
            </w:r>
          </w:p>
        </w:tc>
        <w:tc>
          <w:tcPr>
            <w:tcW w:w="3870" w:type="dxa"/>
            <w:tcBorders>
              <w:top w:val="single" w:sz="8" w:space="0" w:color="auto"/>
              <w:left w:val="nil"/>
              <w:bottom w:val="single" w:sz="8" w:space="0" w:color="auto"/>
              <w:right w:val="single" w:sz="4" w:space="0" w:color="auto"/>
            </w:tcBorders>
          </w:tcPr>
          <w:p w14:paraId="3EA1C63A" w14:textId="77777777" w:rsidR="00B2304E" w:rsidRPr="005E1AE5" w:rsidRDefault="00B2304E" w:rsidP="00310FD8">
            <w:pPr>
              <w:rPr>
                <w:rFonts w:ascii="Century Gothic" w:hAnsi="Century Gothic"/>
                <w:szCs w:val="22"/>
              </w:rPr>
            </w:pPr>
            <w:r w:rsidRPr="005E1AE5">
              <w:rPr>
                <w:rFonts w:ascii="Century Gothic" w:hAnsi="Century Gothic"/>
                <w:szCs w:val="22"/>
              </w:rPr>
              <w:t>Incremental earnings and benefits to any family member, received from participation in a qualifying State or local employment training program, (including training programs not affiliated with a local government); and training of a family member participating as resident management staff.</w:t>
            </w:r>
          </w:p>
        </w:tc>
        <w:tc>
          <w:tcPr>
            <w:tcW w:w="2790" w:type="dxa"/>
            <w:tcBorders>
              <w:top w:val="single" w:sz="8" w:space="0" w:color="auto"/>
              <w:left w:val="single" w:sz="4" w:space="0" w:color="auto"/>
              <w:bottom w:val="single" w:sz="8" w:space="0" w:color="auto"/>
              <w:right w:val="single" w:sz="8" w:space="0" w:color="auto"/>
            </w:tcBorders>
            <w:vAlign w:val="bottom"/>
          </w:tcPr>
          <w:p w14:paraId="5F3E7B3B" w14:textId="77777777" w:rsidR="00B2304E" w:rsidRPr="005E1AE5" w:rsidRDefault="00B2304E" w:rsidP="00310FD8">
            <w:pPr>
              <w:rPr>
                <w:rFonts w:ascii="Century Gothic" w:hAnsi="Century Gothic"/>
                <w:szCs w:val="22"/>
              </w:rPr>
            </w:pPr>
            <w:r w:rsidRPr="005E1AE5">
              <w:rPr>
                <w:rFonts w:ascii="Century Gothic" w:hAnsi="Century Gothic"/>
                <w:szCs w:val="22"/>
              </w:rPr>
              <w:t>Exclude 100 percent of any incremental earnings from wages or salaries earned by any family member during the first year of FSS program participation, 75% in 2</w:t>
            </w:r>
            <w:r w:rsidRPr="005E1AE5">
              <w:rPr>
                <w:rFonts w:ascii="Century Gothic" w:hAnsi="Century Gothic"/>
                <w:szCs w:val="22"/>
                <w:vertAlign w:val="superscript"/>
              </w:rPr>
              <w:t>nd</w:t>
            </w:r>
            <w:r w:rsidRPr="005E1AE5">
              <w:rPr>
                <w:rFonts w:ascii="Century Gothic" w:hAnsi="Century Gothic"/>
                <w:szCs w:val="22"/>
              </w:rPr>
              <w:t xml:space="preserve"> year, 50% in 3</w:t>
            </w:r>
            <w:r w:rsidRPr="005E1AE5">
              <w:rPr>
                <w:rFonts w:ascii="Century Gothic" w:hAnsi="Century Gothic"/>
                <w:szCs w:val="22"/>
                <w:vertAlign w:val="superscript"/>
              </w:rPr>
              <w:t>rd</w:t>
            </w:r>
            <w:r w:rsidRPr="005E1AE5">
              <w:rPr>
                <w:rFonts w:ascii="Century Gothic" w:hAnsi="Century Gothic"/>
                <w:szCs w:val="22"/>
              </w:rPr>
              <w:t xml:space="preserve"> year, 25% in 4</w:t>
            </w:r>
            <w:r w:rsidRPr="005E1AE5">
              <w:rPr>
                <w:rFonts w:ascii="Century Gothic" w:hAnsi="Century Gothic"/>
                <w:szCs w:val="22"/>
                <w:vertAlign w:val="superscript"/>
              </w:rPr>
              <w:t>th</w:t>
            </w:r>
            <w:r w:rsidRPr="005E1AE5">
              <w:rPr>
                <w:rFonts w:ascii="Century Gothic" w:hAnsi="Century Gothic"/>
                <w:szCs w:val="22"/>
              </w:rPr>
              <w:t xml:space="preserve"> year and 0% in 5</w:t>
            </w:r>
            <w:r w:rsidRPr="005E1AE5">
              <w:rPr>
                <w:rFonts w:ascii="Century Gothic" w:hAnsi="Century Gothic"/>
                <w:szCs w:val="22"/>
                <w:vertAlign w:val="superscript"/>
              </w:rPr>
              <w:t>th</w:t>
            </w:r>
            <w:r w:rsidRPr="005E1AE5">
              <w:rPr>
                <w:rFonts w:ascii="Century Gothic" w:hAnsi="Century Gothic"/>
                <w:szCs w:val="22"/>
              </w:rPr>
              <w:t xml:space="preserve"> year, </w:t>
            </w:r>
            <w:proofErr w:type="gramStart"/>
            <w:r w:rsidRPr="005E1AE5">
              <w:rPr>
                <w:rFonts w:ascii="Century Gothic" w:hAnsi="Century Gothic"/>
                <w:szCs w:val="22"/>
              </w:rPr>
              <w:t>as long as</w:t>
            </w:r>
            <w:proofErr w:type="gramEnd"/>
            <w:r w:rsidRPr="005E1AE5">
              <w:rPr>
                <w:rFonts w:ascii="Century Gothic" w:hAnsi="Century Gothic"/>
                <w:szCs w:val="22"/>
              </w:rPr>
              <w:t xml:space="preserve"> the household is enrolled in the FSS Program.  This will not exceed 5 years. </w:t>
            </w:r>
          </w:p>
          <w:p w14:paraId="7B0A704E" w14:textId="77777777" w:rsidR="00B2304E" w:rsidRPr="005E1AE5" w:rsidRDefault="00B2304E" w:rsidP="00310FD8">
            <w:pPr>
              <w:rPr>
                <w:rFonts w:ascii="Century Gothic" w:hAnsi="Century Gothic"/>
                <w:szCs w:val="22"/>
              </w:rPr>
            </w:pPr>
          </w:p>
          <w:p w14:paraId="5A83536D" w14:textId="77777777" w:rsidR="00B2304E" w:rsidRPr="005E1AE5" w:rsidRDefault="00B2304E" w:rsidP="00310FD8">
            <w:pPr>
              <w:rPr>
                <w:rFonts w:ascii="Century Gothic" w:hAnsi="Century Gothic"/>
                <w:szCs w:val="22"/>
              </w:rPr>
            </w:pPr>
            <w:r w:rsidRPr="005E1AE5">
              <w:rPr>
                <w:rFonts w:ascii="Century Gothic" w:hAnsi="Century Gothic"/>
                <w:szCs w:val="22"/>
              </w:rPr>
              <w:t xml:space="preserve">Additionally, the current exclusion covering incremental earnings of any family participating in a state or local program will be expanded to include any qualifying federal program, </w:t>
            </w:r>
            <w:proofErr w:type="gramStart"/>
            <w:r w:rsidRPr="005E1AE5">
              <w:rPr>
                <w:rFonts w:ascii="Century Gothic" w:hAnsi="Century Gothic"/>
                <w:szCs w:val="22"/>
              </w:rPr>
              <w:t>whether or not</w:t>
            </w:r>
            <w:proofErr w:type="gramEnd"/>
            <w:r w:rsidRPr="005E1AE5">
              <w:rPr>
                <w:rFonts w:ascii="Century Gothic" w:hAnsi="Century Gothic"/>
                <w:szCs w:val="22"/>
              </w:rPr>
              <w:t xml:space="preserve"> the member is enrolled in the FSS program. </w:t>
            </w:r>
          </w:p>
        </w:tc>
      </w:tr>
      <w:tr w:rsidR="00F714A4" w:rsidRPr="006D6566" w14:paraId="1BED2153" w14:textId="77777777" w:rsidTr="00310FD8">
        <w:trPr>
          <w:trHeight w:val="1545"/>
        </w:trPr>
        <w:tc>
          <w:tcPr>
            <w:tcW w:w="1682" w:type="dxa"/>
            <w:tcBorders>
              <w:top w:val="nil"/>
              <w:left w:val="single" w:sz="8" w:space="0" w:color="auto"/>
              <w:bottom w:val="single" w:sz="4" w:space="0" w:color="auto"/>
              <w:right w:val="single" w:sz="8" w:space="0" w:color="auto"/>
            </w:tcBorders>
            <w:vAlign w:val="bottom"/>
          </w:tcPr>
          <w:p w14:paraId="3C14D85C" w14:textId="77777777" w:rsidR="00B2304E" w:rsidRPr="005E1AE5" w:rsidRDefault="00B2304E" w:rsidP="00310FD8">
            <w:pPr>
              <w:rPr>
                <w:rFonts w:ascii="Century Gothic" w:hAnsi="Century Gothic"/>
                <w:szCs w:val="22"/>
              </w:rPr>
            </w:pPr>
            <w:r w:rsidRPr="005E1AE5">
              <w:rPr>
                <w:rFonts w:ascii="Century Gothic" w:hAnsi="Century Gothic"/>
                <w:szCs w:val="22"/>
              </w:rPr>
              <w:t>Business Income for Resident Owned Businesses</w:t>
            </w:r>
          </w:p>
        </w:tc>
        <w:tc>
          <w:tcPr>
            <w:tcW w:w="1530" w:type="dxa"/>
            <w:tcBorders>
              <w:top w:val="nil"/>
              <w:left w:val="nil"/>
              <w:bottom w:val="single" w:sz="4" w:space="0" w:color="auto"/>
              <w:right w:val="single" w:sz="8" w:space="0" w:color="auto"/>
            </w:tcBorders>
            <w:vAlign w:val="bottom"/>
          </w:tcPr>
          <w:p w14:paraId="06BD1AF7" w14:textId="77777777" w:rsidR="00B2304E" w:rsidRPr="005E1AE5" w:rsidRDefault="00B2304E" w:rsidP="00310FD8">
            <w:pPr>
              <w:rPr>
                <w:rFonts w:ascii="Century Gothic" w:hAnsi="Century Gothic"/>
                <w:szCs w:val="22"/>
              </w:rPr>
            </w:pPr>
            <w:r w:rsidRPr="005E1AE5">
              <w:rPr>
                <w:rFonts w:ascii="Century Gothic" w:hAnsi="Century Gothic"/>
                <w:szCs w:val="22"/>
              </w:rPr>
              <w:t>24 CFR Part 5.609(b)(2)</w:t>
            </w:r>
          </w:p>
        </w:tc>
        <w:tc>
          <w:tcPr>
            <w:tcW w:w="3870" w:type="dxa"/>
            <w:tcBorders>
              <w:top w:val="single" w:sz="8" w:space="0" w:color="auto"/>
              <w:left w:val="nil"/>
              <w:bottom w:val="single" w:sz="8" w:space="0" w:color="auto"/>
              <w:right w:val="single" w:sz="4" w:space="0" w:color="auto"/>
            </w:tcBorders>
          </w:tcPr>
          <w:p w14:paraId="1FC02B88" w14:textId="77777777" w:rsidR="00B2304E" w:rsidRPr="005E1AE5" w:rsidRDefault="00B2304E" w:rsidP="00310FD8">
            <w:pPr>
              <w:rPr>
                <w:rFonts w:ascii="Century Gothic" w:hAnsi="Century Gothic"/>
                <w:szCs w:val="22"/>
              </w:rPr>
            </w:pPr>
            <w:r w:rsidRPr="005E1AE5">
              <w:rPr>
                <w:rFonts w:ascii="Century Gothic" w:hAnsi="Century Gothic"/>
                <w:szCs w:val="22"/>
              </w:rPr>
              <w:t>The net income from the operation of a business or profession is included in determining annual income.</w:t>
            </w:r>
          </w:p>
          <w:p w14:paraId="2A52C3EB" w14:textId="77777777" w:rsidR="00B2304E" w:rsidRPr="005E1AE5" w:rsidRDefault="00B2304E" w:rsidP="00310FD8">
            <w:pPr>
              <w:rPr>
                <w:rFonts w:ascii="Century Gothic" w:hAnsi="Century Gothic"/>
                <w:szCs w:val="22"/>
              </w:rPr>
            </w:pPr>
          </w:p>
        </w:tc>
        <w:tc>
          <w:tcPr>
            <w:tcW w:w="2790" w:type="dxa"/>
            <w:tcBorders>
              <w:top w:val="single" w:sz="8" w:space="0" w:color="auto"/>
              <w:left w:val="single" w:sz="4" w:space="0" w:color="auto"/>
              <w:bottom w:val="single" w:sz="8" w:space="0" w:color="auto"/>
              <w:right w:val="single" w:sz="8" w:space="0" w:color="auto"/>
            </w:tcBorders>
            <w:vAlign w:val="bottom"/>
          </w:tcPr>
          <w:p w14:paraId="4432DB19" w14:textId="77777777" w:rsidR="00B2304E" w:rsidRPr="005E1AE5" w:rsidRDefault="00B2304E" w:rsidP="00310FD8">
            <w:pPr>
              <w:rPr>
                <w:rFonts w:ascii="Century Gothic" w:hAnsi="Century Gothic"/>
                <w:szCs w:val="22"/>
              </w:rPr>
            </w:pPr>
            <w:r w:rsidRPr="005E1AE5">
              <w:rPr>
                <w:rFonts w:ascii="Century Gothic" w:hAnsi="Century Gothic"/>
                <w:szCs w:val="22"/>
              </w:rPr>
              <w:t xml:space="preserve">During the first year of enrollment in the FSS program, </w:t>
            </w:r>
            <w:proofErr w:type="gramStart"/>
            <w:r w:rsidRPr="005E1AE5">
              <w:rPr>
                <w:rFonts w:ascii="Century Gothic" w:hAnsi="Century Gothic"/>
                <w:szCs w:val="22"/>
              </w:rPr>
              <w:t>exclude</w:t>
            </w:r>
            <w:proofErr w:type="gramEnd"/>
            <w:r w:rsidRPr="005E1AE5">
              <w:rPr>
                <w:rFonts w:ascii="Century Gothic" w:hAnsi="Century Gothic"/>
                <w:szCs w:val="22"/>
              </w:rPr>
              <w:t xml:space="preserve"> 100 percent of any net income derived from </w:t>
            </w:r>
            <w:r w:rsidRPr="005E1AE5">
              <w:rPr>
                <w:rFonts w:ascii="Century Gothic" w:hAnsi="Century Gothic"/>
                <w:szCs w:val="22"/>
              </w:rPr>
              <w:lastRenderedPageBreak/>
              <w:t xml:space="preserve">the operation of a business; provided the business qualifies as a resident owned business under 24 CFR Part 963.5. </w:t>
            </w:r>
          </w:p>
          <w:p w14:paraId="6E0C27EB" w14:textId="71BD0615" w:rsidR="00B2304E" w:rsidRPr="005E1AE5" w:rsidRDefault="00B2304E" w:rsidP="00310FD8">
            <w:pPr>
              <w:rPr>
                <w:rFonts w:ascii="Century Gothic" w:hAnsi="Century Gothic"/>
                <w:szCs w:val="22"/>
              </w:rPr>
            </w:pPr>
            <w:r w:rsidRPr="005E1AE5">
              <w:rPr>
                <w:rFonts w:ascii="Century Gothic" w:hAnsi="Century Gothic"/>
                <w:szCs w:val="22"/>
              </w:rPr>
              <w:t xml:space="preserve">50 percent exclusion during the second </w:t>
            </w:r>
            <w:r w:rsidR="0030226C" w:rsidRPr="005E1AE5">
              <w:rPr>
                <w:rFonts w:ascii="Century Gothic" w:hAnsi="Century Gothic"/>
                <w:szCs w:val="22"/>
              </w:rPr>
              <w:t>year.</w:t>
            </w:r>
            <w:r w:rsidRPr="005E1AE5">
              <w:rPr>
                <w:rFonts w:ascii="Century Gothic" w:hAnsi="Century Gothic"/>
                <w:szCs w:val="22"/>
              </w:rPr>
              <w:t xml:space="preserve"> </w:t>
            </w:r>
          </w:p>
          <w:p w14:paraId="63645A68" w14:textId="77777777" w:rsidR="00B2304E" w:rsidRPr="005E1AE5" w:rsidRDefault="00B2304E" w:rsidP="00310FD8">
            <w:pPr>
              <w:rPr>
                <w:rFonts w:ascii="Century Gothic" w:hAnsi="Century Gothic"/>
                <w:szCs w:val="22"/>
              </w:rPr>
            </w:pPr>
            <w:r w:rsidRPr="005E1AE5">
              <w:rPr>
                <w:rFonts w:ascii="Century Gothic" w:hAnsi="Century Gothic"/>
                <w:szCs w:val="22"/>
              </w:rPr>
              <w:t xml:space="preserve">25 percent </w:t>
            </w:r>
            <w:proofErr w:type="gramStart"/>
            <w:r w:rsidRPr="005E1AE5">
              <w:rPr>
                <w:rFonts w:ascii="Century Gothic" w:hAnsi="Century Gothic"/>
                <w:szCs w:val="22"/>
              </w:rPr>
              <w:t>exclusion</w:t>
            </w:r>
            <w:proofErr w:type="gramEnd"/>
            <w:r w:rsidRPr="005E1AE5">
              <w:rPr>
                <w:rFonts w:ascii="Century Gothic" w:hAnsi="Century Gothic"/>
                <w:szCs w:val="22"/>
              </w:rPr>
              <w:t xml:space="preserve"> the third year.</w:t>
            </w:r>
          </w:p>
        </w:tc>
      </w:tr>
      <w:tr w:rsidR="00F714A4" w:rsidRPr="006D6566" w14:paraId="4C58717A" w14:textId="77777777" w:rsidTr="00310FD8">
        <w:trPr>
          <w:trHeight w:val="1964"/>
        </w:trPr>
        <w:tc>
          <w:tcPr>
            <w:tcW w:w="1682" w:type="dxa"/>
            <w:tcBorders>
              <w:top w:val="single" w:sz="4" w:space="0" w:color="auto"/>
              <w:left w:val="single" w:sz="4" w:space="0" w:color="auto"/>
              <w:bottom w:val="single" w:sz="4" w:space="0" w:color="auto"/>
              <w:right w:val="single" w:sz="8" w:space="0" w:color="auto"/>
            </w:tcBorders>
            <w:vAlign w:val="bottom"/>
          </w:tcPr>
          <w:p w14:paraId="732422F3" w14:textId="77777777" w:rsidR="00B2304E" w:rsidRPr="0082332C" w:rsidRDefault="00B2304E" w:rsidP="00310FD8">
            <w:pPr>
              <w:rPr>
                <w:rFonts w:ascii="Century Gothic" w:hAnsi="Century Gothic"/>
                <w:szCs w:val="22"/>
              </w:rPr>
            </w:pPr>
            <w:r w:rsidRPr="0082332C">
              <w:rPr>
                <w:rFonts w:ascii="Century Gothic" w:hAnsi="Century Gothic"/>
                <w:szCs w:val="22"/>
              </w:rPr>
              <w:lastRenderedPageBreak/>
              <w:t>Earned Income Disallowance for Persons with Disabilities</w:t>
            </w:r>
          </w:p>
          <w:p w14:paraId="4C5DAE27" w14:textId="77777777" w:rsidR="00B2304E" w:rsidRPr="0082332C" w:rsidRDefault="00B2304E" w:rsidP="00310FD8">
            <w:pPr>
              <w:rPr>
                <w:rFonts w:ascii="Century Gothic" w:hAnsi="Century Gothic"/>
                <w:b/>
                <w:szCs w:val="22"/>
              </w:rPr>
            </w:pPr>
          </w:p>
          <w:p w14:paraId="40EEDAF8" w14:textId="77777777" w:rsidR="00B2304E" w:rsidRPr="0082332C" w:rsidRDefault="00B2304E" w:rsidP="00310FD8">
            <w:pPr>
              <w:rPr>
                <w:rFonts w:ascii="Century Gothic" w:hAnsi="Century Gothic"/>
                <w:szCs w:val="22"/>
              </w:rPr>
            </w:pPr>
          </w:p>
          <w:p w14:paraId="26533CE7" w14:textId="77777777" w:rsidR="00B2304E" w:rsidRPr="0082332C" w:rsidRDefault="00B2304E" w:rsidP="00310FD8">
            <w:pPr>
              <w:rPr>
                <w:rFonts w:ascii="Century Gothic" w:hAnsi="Century Gothic"/>
                <w:szCs w:val="22"/>
              </w:rPr>
            </w:pPr>
          </w:p>
          <w:p w14:paraId="62543778" w14:textId="77777777" w:rsidR="00B2304E" w:rsidRPr="0082332C" w:rsidRDefault="00B2304E" w:rsidP="00310FD8">
            <w:pPr>
              <w:rPr>
                <w:rFonts w:ascii="Century Gothic" w:hAnsi="Century Gothic"/>
                <w:szCs w:val="22"/>
              </w:rPr>
            </w:pPr>
          </w:p>
        </w:tc>
        <w:tc>
          <w:tcPr>
            <w:tcW w:w="1530" w:type="dxa"/>
            <w:tcBorders>
              <w:top w:val="single" w:sz="4" w:space="0" w:color="auto"/>
              <w:left w:val="nil"/>
              <w:bottom w:val="single" w:sz="4" w:space="0" w:color="auto"/>
              <w:right w:val="single" w:sz="8" w:space="0" w:color="auto"/>
            </w:tcBorders>
            <w:vAlign w:val="bottom"/>
          </w:tcPr>
          <w:p w14:paraId="53E0D05B" w14:textId="77777777" w:rsidR="00B2304E" w:rsidRPr="0082332C" w:rsidRDefault="00B2304E" w:rsidP="00310FD8">
            <w:pPr>
              <w:rPr>
                <w:rFonts w:ascii="Century Gothic" w:hAnsi="Century Gothic"/>
                <w:szCs w:val="22"/>
              </w:rPr>
            </w:pPr>
            <w:r w:rsidRPr="0082332C">
              <w:rPr>
                <w:rFonts w:ascii="Century Gothic" w:hAnsi="Century Gothic"/>
                <w:szCs w:val="22"/>
              </w:rPr>
              <w:t>24 CFR Part 5.617(a)</w:t>
            </w:r>
          </w:p>
          <w:p w14:paraId="72A6241F" w14:textId="77777777" w:rsidR="00B2304E" w:rsidRPr="0082332C" w:rsidRDefault="00B2304E" w:rsidP="00310FD8">
            <w:pPr>
              <w:rPr>
                <w:rFonts w:ascii="Century Gothic" w:hAnsi="Century Gothic"/>
                <w:b/>
                <w:szCs w:val="22"/>
              </w:rPr>
            </w:pPr>
          </w:p>
          <w:p w14:paraId="6AC4BD22" w14:textId="77777777" w:rsidR="00B2304E" w:rsidRPr="0082332C" w:rsidRDefault="00B2304E" w:rsidP="00310FD8">
            <w:pPr>
              <w:rPr>
                <w:rFonts w:ascii="Century Gothic" w:hAnsi="Century Gothic"/>
                <w:szCs w:val="22"/>
              </w:rPr>
            </w:pPr>
          </w:p>
          <w:p w14:paraId="1898B591" w14:textId="77777777" w:rsidR="00B2304E" w:rsidRPr="0082332C" w:rsidRDefault="00B2304E" w:rsidP="00310FD8">
            <w:pPr>
              <w:rPr>
                <w:rFonts w:ascii="Century Gothic" w:hAnsi="Century Gothic"/>
                <w:szCs w:val="22"/>
              </w:rPr>
            </w:pPr>
          </w:p>
          <w:p w14:paraId="357A4B07" w14:textId="77777777" w:rsidR="00B2304E" w:rsidRPr="0082332C" w:rsidRDefault="00B2304E" w:rsidP="00310FD8">
            <w:pPr>
              <w:rPr>
                <w:rFonts w:ascii="Century Gothic" w:hAnsi="Century Gothic"/>
                <w:szCs w:val="22"/>
              </w:rPr>
            </w:pPr>
          </w:p>
          <w:p w14:paraId="2F9D0CBB" w14:textId="77777777" w:rsidR="00B2304E" w:rsidRPr="0082332C" w:rsidRDefault="00B2304E" w:rsidP="00310FD8">
            <w:pPr>
              <w:rPr>
                <w:rFonts w:ascii="Century Gothic" w:hAnsi="Century Gothic"/>
                <w:szCs w:val="22"/>
              </w:rPr>
            </w:pPr>
          </w:p>
          <w:p w14:paraId="36FE3CD3" w14:textId="77777777" w:rsidR="00B2304E" w:rsidRPr="0082332C" w:rsidRDefault="00B2304E" w:rsidP="00310FD8">
            <w:pPr>
              <w:rPr>
                <w:rFonts w:ascii="Century Gothic" w:hAnsi="Century Gothic"/>
                <w:szCs w:val="22"/>
              </w:rPr>
            </w:pPr>
          </w:p>
          <w:p w14:paraId="52702ACA" w14:textId="77777777" w:rsidR="00B2304E" w:rsidRPr="0082332C" w:rsidRDefault="00B2304E" w:rsidP="00310FD8">
            <w:pPr>
              <w:rPr>
                <w:rFonts w:ascii="Century Gothic" w:hAnsi="Century Gothic"/>
                <w:szCs w:val="22"/>
              </w:rPr>
            </w:pPr>
          </w:p>
        </w:tc>
        <w:tc>
          <w:tcPr>
            <w:tcW w:w="3870" w:type="dxa"/>
            <w:tcBorders>
              <w:top w:val="single" w:sz="8" w:space="0" w:color="auto"/>
              <w:left w:val="single" w:sz="4" w:space="0" w:color="auto"/>
              <w:bottom w:val="single" w:sz="8" w:space="0" w:color="auto"/>
              <w:right w:val="single" w:sz="4" w:space="0" w:color="auto"/>
            </w:tcBorders>
          </w:tcPr>
          <w:p w14:paraId="342673CE"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Incremental income earned by a previously unemployed disabled person in the 12 months prior to becoming employed, provided the increase in income is the result </w:t>
            </w:r>
            <w:proofErr w:type="gramStart"/>
            <w:r w:rsidRPr="0082332C">
              <w:rPr>
                <w:rFonts w:ascii="Century Gothic" w:hAnsi="Century Gothic"/>
                <w:szCs w:val="22"/>
              </w:rPr>
              <w:t>of;</w:t>
            </w:r>
            <w:proofErr w:type="gramEnd"/>
          </w:p>
          <w:p w14:paraId="4235794E" w14:textId="77777777" w:rsidR="00B2304E" w:rsidRPr="0082332C" w:rsidRDefault="00B2304E" w:rsidP="00310FD8">
            <w:pPr>
              <w:rPr>
                <w:rFonts w:ascii="Century Gothic" w:hAnsi="Century Gothic"/>
                <w:szCs w:val="22"/>
              </w:rPr>
            </w:pPr>
          </w:p>
          <w:p w14:paraId="187B8C84" w14:textId="77777777" w:rsidR="00B2304E" w:rsidRPr="0082332C" w:rsidRDefault="00B2304E" w:rsidP="00310FD8">
            <w:pPr>
              <w:rPr>
                <w:rFonts w:ascii="Century Gothic" w:hAnsi="Century Gothic"/>
                <w:szCs w:val="22"/>
              </w:rPr>
            </w:pPr>
            <w:r w:rsidRPr="0082332C">
              <w:rPr>
                <w:rFonts w:ascii="Century Gothic" w:hAnsi="Century Gothic"/>
                <w:szCs w:val="22"/>
              </w:rPr>
              <w:t>employment of a family</w:t>
            </w:r>
          </w:p>
          <w:p w14:paraId="56CA5C00"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member, previously unemployed for one or more years prior to </w:t>
            </w:r>
            <w:proofErr w:type="gramStart"/>
            <w:r w:rsidRPr="0082332C">
              <w:rPr>
                <w:rFonts w:ascii="Century Gothic" w:hAnsi="Century Gothic"/>
                <w:szCs w:val="22"/>
              </w:rPr>
              <w:t>employment;</w:t>
            </w:r>
            <w:proofErr w:type="gramEnd"/>
            <w:r w:rsidRPr="0082332C">
              <w:rPr>
                <w:rFonts w:ascii="Century Gothic" w:hAnsi="Century Gothic"/>
                <w:szCs w:val="22"/>
              </w:rPr>
              <w:t xml:space="preserve"> </w:t>
            </w:r>
          </w:p>
          <w:p w14:paraId="2C3840BF"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(2) increased earnings by a family member during participation in any economic self-sufficiency or other job training program; or </w:t>
            </w:r>
          </w:p>
          <w:p w14:paraId="0518A393"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(3) result of new employment or increased earnings of a family member during or within six months after receiving assistance, benefits or services under any state program for temporary assistance for needy families. </w:t>
            </w:r>
          </w:p>
          <w:p w14:paraId="1D47FD1F" w14:textId="77777777" w:rsidR="00B2304E" w:rsidRPr="0082332C" w:rsidRDefault="00B2304E" w:rsidP="00310FD8">
            <w:pPr>
              <w:rPr>
                <w:rFonts w:ascii="Century Gothic" w:hAnsi="Century Gothic"/>
                <w:szCs w:val="22"/>
              </w:rPr>
            </w:pPr>
          </w:p>
        </w:tc>
        <w:tc>
          <w:tcPr>
            <w:tcW w:w="2790" w:type="dxa"/>
            <w:tcBorders>
              <w:top w:val="single" w:sz="8" w:space="0" w:color="auto"/>
              <w:left w:val="single" w:sz="4" w:space="0" w:color="auto"/>
              <w:bottom w:val="single" w:sz="8" w:space="0" w:color="auto"/>
              <w:right w:val="single" w:sz="8" w:space="0" w:color="auto"/>
            </w:tcBorders>
            <w:vAlign w:val="bottom"/>
          </w:tcPr>
          <w:p w14:paraId="6DC64302" w14:textId="77777777" w:rsidR="00B2304E" w:rsidRPr="0082332C" w:rsidRDefault="00B2304E" w:rsidP="00310FD8">
            <w:pPr>
              <w:rPr>
                <w:rFonts w:ascii="Century Gothic" w:hAnsi="Century Gothic"/>
                <w:szCs w:val="22"/>
              </w:rPr>
            </w:pPr>
            <w:r w:rsidRPr="0082332C">
              <w:rPr>
                <w:rFonts w:ascii="Century Gothic" w:hAnsi="Century Gothic"/>
                <w:szCs w:val="22"/>
              </w:rPr>
              <w:t>Eliminated from HCV program</w:t>
            </w:r>
          </w:p>
          <w:p w14:paraId="6A059F22" w14:textId="77777777" w:rsidR="00B2304E" w:rsidRPr="0082332C" w:rsidRDefault="00B2304E" w:rsidP="00310FD8">
            <w:pPr>
              <w:rPr>
                <w:rFonts w:ascii="Century Gothic" w:hAnsi="Century Gothic"/>
                <w:b/>
                <w:szCs w:val="22"/>
              </w:rPr>
            </w:pPr>
          </w:p>
          <w:p w14:paraId="74B6BB7B" w14:textId="77777777" w:rsidR="00B2304E" w:rsidRPr="0082332C" w:rsidRDefault="00B2304E" w:rsidP="00310FD8">
            <w:pPr>
              <w:rPr>
                <w:rFonts w:ascii="Century Gothic" w:hAnsi="Century Gothic"/>
                <w:szCs w:val="22"/>
              </w:rPr>
            </w:pPr>
          </w:p>
          <w:p w14:paraId="21435F9D" w14:textId="77777777" w:rsidR="00B2304E" w:rsidRPr="0082332C" w:rsidRDefault="00B2304E" w:rsidP="00310FD8">
            <w:pPr>
              <w:rPr>
                <w:rFonts w:ascii="Century Gothic" w:hAnsi="Century Gothic"/>
                <w:szCs w:val="22"/>
              </w:rPr>
            </w:pPr>
          </w:p>
          <w:p w14:paraId="30B7BC50" w14:textId="77777777" w:rsidR="00B2304E" w:rsidRPr="0082332C" w:rsidRDefault="00B2304E" w:rsidP="00310FD8">
            <w:pPr>
              <w:rPr>
                <w:rFonts w:ascii="Century Gothic" w:hAnsi="Century Gothic"/>
                <w:szCs w:val="22"/>
              </w:rPr>
            </w:pPr>
          </w:p>
          <w:p w14:paraId="13C01E55" w14:textId="77777777" w:rsidR="00B2304E" w:rsidRPr="0082332C" w:rsidRDefault="00B2304E" w:rsidP="00310FD8">
            <w:pPr>
              <w:rPr>
                <w:rFonts w:ascii="Century Gothic" w:hAnsi="Century Gothic"/>
                <w:szCs w:val="22"/>
              </w:rPr>
            </w:pPr>
          </w:p>
        </w:tc>
      </w:tr>
      <w:tr w:rsidR="00F714A4" w:rsidRPr="006D6566" w14:paraId="28E9BA7C" w14:textId="77777777" w:rsidTr="00310FD8">
        <w:trPr>
          <w:trHeight w:val="4052"/>
        </w:trPr>
        <w:tc>
          <w:tcPr>
            <w:tcW w:w="1682" w:type="dxa"/>
            <w:tcBorders>
              <w:top w:val="single" w:sz="4" w:space="0" w:color="auto"/>
              <w:left w:val="single" w:sz="8" w:space="0" w:color="auto"/>
              <w:bottom w:val="single" w:sz="8" w:space="0" w:color="auto"/>
              <w:right w:val="single" w:sz="8" w:space="0" w:color="auto"/>
            </w:tcBorders>
            <w:vAlign w:val="bottom"/>
          </w:tcPr>
          <w:p w14:paraId="780643E9" w14:textId="77777777" w:rsidR="00B2304E" w:rsidRPr="0082332C" w:rsidRDefault="00B2304E" w:rsidP="00310FD8">
            <w:pPr>
              <w:rPr>
                <w:rFonts w:ascii="Century Gothic" w:hAnsi="Century Gothic"/>
                <w:szCs w:val="22"/>
              </w:rPr>
            </w:pPr>
            <w:r w:rsidRPr="0082332C">
              <w:rPr>
                <w:rFonts w:ascii="Century Gothic" w:hAnsi="Century Gothic"/>
                <w:szCs w:val="22"/>
              </w:rPr>
              <w:lastRenderedPageBreak/>
              <w:t>Mandatory Deductions</w:t>
            </w:r>
          </w:p>
        </w:tc>
        <w:tc>
          <w:tcPr>
            <w:tcW w:w="1530" w:type="dxa"/>
            <w:tcBorders>
              <w:top w:val="single" w:sz="4" w:space="0" w:color="auto"/>
              <w:left w:val="nil"/>
              <w:bottom w:val="single" w:sz="8" w:space="0" w:color="auto"/>
              <w:right w:val="single" w:sz="8" w:space="0" w:color="auto"/>
            </w:tcBorders>
            <w:vAlign w:val="bottom"/>
          </w:tcPr>
          <w:p w14:paraId="236845BF" w14:textId="77777777" w:rsidR="00B2304E" w:rsidRPr="0082332C" w:rsidRDefault="00B2304E" w:rsidP="00310FD8">
            <w:pPr>
              <w:rPr>
                <w:rFonts w:ascii="Century Gothic" w:hAnsi="Century Gothic"/>
                <w:szCs w:val="22"/>
              </w:rPr>
            </w:pPr>
            <w:r w:rsidRPr="0082332C">
              <w:rPr>
                <w:rFonts w:ascii="Century Gothic" w:hAnsi="Century Gothic"/>
                <w:szCs w:val="22"/>
              </w:rPr>
              <w:t>24 CFR Part 5.611</w:t>
            </w:r>
          </w:p>
        </w:tc>
        <w:tc>
          <w:tcPr>
            <w:tcW w:w="3870" w:type="dxa"/>
            <w:tcBorders>
              <w:top w:val="single" w:sz="8" w:space="0" w:color="auto"/>
              <w:left w:val="nil"/>
              <w:bottom w:val="single" w:sz="8" w:space="0" w:color="auto"/>
              <w:right w:val="single" w:sz="4" w:space="0" w:color="auto"/>
            </w:tcBorders>
          </w:tcPr>
          <w:p w14:paraId="72486CDA"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(1) $480 for each </w:t>
            </w:r>
            <w:proofErr w:type="gramStart"/>
            <w:r w:rsidRPr="0082332C">
              <w:rPr>
                <w:rFonts w:ascii="Century Gothic" w:hAnsi="Century Gothic"/>
                <w:szCs w:val="22"/>
              </w:rPr>
              <w:t>dependent;</w:t>
            </w:r>
            <w:proofErr w:type="gramEnd"/>
            <w:r w:rsidRPr="0082332C">
              <w:rPr>
                <w:rFonts w:ascii="Century Gothic" w:hAnsi="Century Gothic"/>
                <w:szCs w:val="22"/>
              </w:rPr>
              <w:t xml:space="preserve">  </w:t>
            </w:r>
          </w:p>
          <w:p w14:paraId="5F84D770"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(2) $400 for any elderly family or disabled </w:t>
            </w:r>
            <w:proofErr w:type="gramStart"/>
            <w:r w:rsidRPr="0082332C">
              <w:rPr>
                <w:rFonts w:ascii="Century Gothic" w:hAnsi="Century Gothic"/>
                <w:szCs w:val="22"/>
              </w:rPr>
              <w:t>family;</w:t>
            </w:r>
            <w:proofErr w:type="gramEnd"/>
            <w:r w:rsidRPr="0082332C">
              <w:rPr>
                <w:rFonts w:ascii="Century Gothic" w:hAnsi="Century Gothic"/>
                <w:szCs w:val="22"/>
              </w:rPr>
              <w:t xml:space="preserve">  </w:t>
            </w:r>
          </w:p>
          <w:p w14:paraId="0649C16D" w14:textId="77777777" w:rsidR="00B2304E" w:rsidRPr="0082332C" w:rsidRDefault="00B2304E" w:rsidP="00310FD8">
            <w:pPr>
              <w:rPr>
                <w:rFonts w:ascii="Century Gothic" w:hAnsi="Century Gothic"/>
                <w:szCs w:val="22"/>
              </w:rPr>
            </w:pPr>
            <w:r w:rsidRPr="0082332C">
              <w:rPr>
                <w:rFonts w:ascii="Century Gothic" w:hAnsi="Century Gothic"/>
                <w:szCs w:val="22"/>
              </w:rPr>
              <w:t>(3) The sum of the following, to the extent the sum exceeds three percent of annual income:</w:t>
            </w:r>
          </w:p>
          <w:p w14:paraId="568E2EFD" w14:textId="77777777" w:rsidR="00B2304E" w:rsidRPr="0082332C" w:rsidRDefault="00B2304E" w:rsidP="00310FD8">
            <w:pPr>
              <w:rPr>
                <w:rFonts w:ascii="Century Gothic" w:hAnsi="Century Gothic"/>
                <w:szCs w:val="22"/>
              </w:rPr>
            </w:pPr>
            <w:r w:rsidRPr="0082332C">
              <w:rPr>
                <w:rFonts w:ascii="Century Gothic" w:hAnsi="Century Gothic"/>
                <w:szCs w:val="22"/>
              </w:rPr>
              <w:t>(</w:t>
            </w:r>
            <w:proofErr w:type="spellStart"/>
            <w:r w:rsidRPr="0082332C">
              <w:rPr>
                <w:rFonts w:ascii="Century Gothic" w:hAnsi="Century Gothic"/>
                <w:szCs w:val="22"/>
              </w:rPr>
              <w:t>i</w:t>
            </w:r>
            <w:proofErr w:type="spellEnd"/>
            <w:r w:rsidRPr="0082332C">
              <w:rPr>
                <w:rFonts w:ascii="Century Gothic" w:hAnsi="Century Gothic"/>
                <w:szCs w:val="22"/>
              </w:rPr>
              <w:t>)Un-reimbursed medical</w:t>
            </w:r>
          </w:p>
          <w:p w14:paraId="27AD8930"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expenses of any elderly family or disabled family; and  </w:t>
            </w:r>
          </w:p>
          <w:p w14:paraId="4774B1C8"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(ii) </w:t>
            </w:r>
            <w:proofErr w:type="gramStart"/>
            <w:r w:rsidRPr="0082332C">
              <w:rPr>
                <w:rFonts w:ascii="Century Gothic" w:hAnsi="Century Gothic"/>
                <w:szCs w:val="22"/>
              </w:rPr>
              <w:t>reimbursed reasonable</w:t>
            </w:r>
            <w:proofErr w:type="gramEnd"/>
          </w:p>
          <w:p w14:paraId="62D51A19"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attendant care and         auxiliary</w:t>
            </w:r>
          </w:p>
          <w:p w14:paraId="2457261F" w14:textId="747BA7F0" w:rsidR="00B2304E" w:rsidRPr="0082332C" w:rsidRDefault="00B2304E" w:rsidP="00310FD8">
            <w:pPr>
              <w:rPr>
                <w:rFonts w:ascii="Century Gothic" w:hAnsi="Century Gothic"/>
                <w:szCs w:val="22"/>
              </w:rPr>
            </w:pPr>
            <w:r w:rsidRPr="0082332C">
              <w:rPr>
                <w:rFonts w:ascii="Century Gothic" w:hAnsi="Century Gothic"/>
                <w:szCs w:val="22"/>
              </w:rPr>
              <w:t xml:space="preserve">apparatus expenses for each member of the family who </w:t>
            </w:r>
            <w:r w:rsidR="00C001D7" w:rsidRPr="0082332C">
              <w:rPr>
                <w:rFonts w:ascii="Century Gothic" w:hAnsi="Century Gothic"/>
                <w:szCs w:val="22"/>
              </w:rPr>
              <w:t>is a</w:t>
            </w:r>
            <w:r w:rsidRPr="0082332C">
              <w:rPr>
                <w:rFonts w:ascii="Century Gothic" w:hAnsi="Century Gothic"/>
                <w:szCs w:val="22"/>
              </w:rPr>
              <w:t xml:space="preserve"> person with disabilities</w:t>
            </w:r>
          </w:p>
          <w:p w14:paraId="3E5E4276" w14:textId="77777777" w:rsidR="00B2304E" w:rsidRPr="0082332C" w:rsidRDefault="00B2304E" w:rsidP="00310FD8">
            <w:pPr>
              <w:rPr>
                <w:rFonts w:ascii="Century Gothic" w:hAnsi="Century Gothic"/>
                <w:szCs w:val="22"/>
              </w:rPr>
            </w:pPr>
            <w:r w:rsidRPr="0082332C">
              <w:rPr>
                <w:rFonts w:ascii="Century Gothic" w:hAnsi="Century Gothic"/>
                <w:szCs w:val="22"/>
              </w:rPr>
              <w:t>(4) Any reasonable childcare expenses necessary to enable a member of the family to be employed or to further his or her education.</w:t>
            </w:r>
          </w:p>
          <w:p w14:paraId="4128827B"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w:t>
            </w:r>
          </w:p>
        </w:tc>
        <w:tc>
          <w:tcPr>
            <w:tcW w:w="2790" w:type="dxa"/>
            <w:tcBorders>
              <w:top w:val="single" w:sz="8" w:space="0" w:color="auto"/>
              <w:left w:val="single" w:sz="4" w:space="0" w:color="auto"/>
              <w:bottom w:val="single" w:sz="8" w:space="0" w:color="auto"/>
              <w:right w:val="single" w:sz="8" w:space="0" w:color="auto"/>
            </w:tcBorders>
            <w:vAlign w:val="bottom"/>
          </w:tcPr>
          <w:p w14:paraId="4A228BD0" w14:textId="77777777" w:rsidR="00B2304E" w:rsidRPr="0082332C" w:rsidRDefault="00B2304E" w:rsidP="00310FD8">
            <w:pPr>
              <w:rPr>
                <w:rFonts w:ascii="Century Gothic" w:hAnsi="Century Gothic"/>
                <w:szCs w:val="22"/>
              </w:rPr>
            </w:pPr>
            <w:r w:rsidRPr="0082332C">
              <w:rPr>
                <w:rFonts w:ascii="Century Gothic" w:hAnsi="Century Gothic"/>
                <w:szCs w:val="22"/>
              </w:rPr>
              <w:t>Eliminate all mandatory deductions.</w:t>
            </w:r>
          </w:p>
          <w:p w14:paraId="2A5A9051" w14:textId="77777777" w:rsidR="00B2304E" w:rsidRPr="0082332C" w:rsidRDefault="00B2304E" w:rsidP="00310FD8">
            <w:pPr>
              <w:rPr>
                <w:rFonts w:ascii="Century Gothic" w:hAnsi="Century Gothic"/>
                <w:b/>
                <w:szCs w:val="22"/>
              </w:rPr>
            </w:pPr>
          </w:p>
          <w:p w14:paraId="6F5F4086" w14:textId="77777777" w:rsidR="00B2304E" w:rsidRPr="0082332C" w:rsidRDefault="00B2304E" w:rsidP="00310FD8">
            <w:pPr>
              <w:rPr>
                <w:rFonts w:ascii="Century Gothic" w:hAnsi="Century Gothic"/>
                <w:szCs w:val="22"/>
              </w:rPr>
            </w:pPr>
          </w:p>
          <w:p w14:paraId="343B515D" w14:textId="77777777" w:rsidR="00B2304E" w:rsidRPr="0082332C" w:rsidRDefault="00B2304E" w:rsidP="00310FD8">
            <w:pPr>
              <w:rPr>
                <w:rFonts w:ascii="Century Gothic" w:hAnsi="Century Gothic"/>
                <w:szCs w:val="22"/>
              </w:rPr>
            </w:pPr>
          </w:p>
          <w:p w14:paraId="62AD19DA" w14:textId="77777777" w:rsidR="00B2304E" w:rsidRPr="0082332C" w:rsidRDefault="00B2304E" w:rsidP="00310FD8">
            <w:pPr>
              <w:rPr>
                <w:rFonts w:ascii="Century Gothic" w:hAnsi="Century Gothic"/>
                <w:szCs w:val="22"/>
              </w:rPr>
            </w:pPr>
          </w:p>
          <w:p w14:paraId="25C59B76" w14:textId="77777777" w:rsidR="00B2304E" w:rsidRPr="0082332C" w:rsidRDefault="00B2304E" w:rsidP="00310FD8">
            <w:pPr>
              <w:rPr>
                <w:rFonts w:ascii="Century Gothic" w:hAnsi="Century Gothic"/>
                <w:szCs w:val="22"/>
              </w:rPr>
            </w:pPr>
          </w:p>
        </w:tc>
      </w:tr>
      <w:tr w:rsidR="00F714A4" w:rsidRPr="006D6566" w14:paraId="75586CAE" w14:textId="77777777" w:rsidTr="00310FD8">
        <w:trPr>
          <w:trHeight w:val="2612"/>
        </w:trPr>
        <w:tc>
          <w:tcPr>
            <w:tcW w:w="1682" w:type="dxa"/>
            <w:tcBorders>
              <w:top w:val="nil"/>
              <w:left w:val="single" w:sz="8" w:space="0" w:color="auto"/>
              <w:bottom w:val="single" w:sz="8" w:space="0" w:color="auto"/>
              <w:right w:val="nil"/>
            </w:tcBorders>
            <w:vAlign w:val="bottom"/>
          </w:tcPr>
          <w:p w14:paraId="29A3FEDD" w14:textId="77777777" w:rsidR="00B2304E" w:rsidRPr="0082332C" w:rsidRDefault="00B2304E" w:rsidP="00310FD8">
            <w:pPr>
              <w:rPr>
                <w:rFonts w:ascii="Century Gothic" w:hAnsi="Century Gothic"/>
                <w:szCs w:val="22"/>
              </w:rPr>
            </w:pPr>
            <w:r w:rsidRPr="0082332C">
              <w:rPr>
                <w:rFonts w:ascii="Century Gothic" w:hAnsi="Century Gothic"/>
                <w:szCs w:val="22"/>
              </w:rPr>
              <w:t>Additional (Exception) Expenses Deductions</w:t>
            </w:r>
          </w:p>
        </w:tc>
        <w:tc>
          <w:tcPr>
            <w:tcW w:w="1530" w:type="dxa"/>
            <w:tcBorders>
              <w:top w:val="nil"/>
              <w:left w:val="single" w:sz="8" w:space="0" w:color="auto"/>
              <w:bottom w:val="single" w:sz="8" w:space="0" w:color="auto"/>
              <w:right w:val="single" w:sz="8" w:space="0" w:color="auto"/>
            </w:tcBorders>
            <w:vAlign w:val="bottom"/>
          </w:tcPr>
          <w:p w14:paraId="137539A2" w14:textId="77777777" w:rsidR="00B2304E" w:rsidRPr="0082332C" w:rsidRDefault="00B2304E" w:rsidP="00310FD8">
            <w:pPr>
              <w:rPr>
                <w:rFonts w:ascii="Century Gothic" w:hAnsi="Century Gothic"/>
                <w:szCs w:val="22"/>
              </w:rPr>
            </w:pPr>
            <w:r w:rsidRPr="0082332C">
              <w:rPr>
                <w:rFonts w:ascii="Century Gothic" w:hAnsi="Century Gothic"/>
                <w:szCs w:val="22"/>
              </w:rPr>
              <w:t>24 CFR 5.611</w:t>
            </w:r>
          </w:p>
        </w:tc>
        <w:tc>
          <w:tcPr>
            <w:tcW w:w="3870" w:type="dxa"/>
            <w:tcBorders>
              <w:top w:val="single" w:sz="8" w:space="0" w:color="auto"/>
              <w:left w:val="nil"/>
              <w:bottom w:val="single" w:sz="8" w:space="0" w:color="auto"/>
              <w:right w:val="single" w:sz="4" w:space="0" w:color="auto"/>
            </w:tcBorders>
          </w:tcPr>
          <w:p w14:paraId="1330AB0F" w14:textId="77777777" w:rsidR="00B2304E" w:rsidRPr="0082332C" w:rsidRDefault="00B2304E" w:rsidP="00310FD8">
            <w:pPr>
              <w:rPr>
                <w:rFonts w:ascii="Century Gothic" w:hAnsi="Century Gothic"/>
                <w:szCs w:val="22"/>
              </w:rPr>
            </w:pPr>
            <w:r w:rsidRPr="0082332C">
              <w:rPr>
                <w:rFonts w:ascii="Century Gothic" w:hAnsi="Century Gothic"/>
                <w:szCs w:val="22"/>
              </w:rPr>
              <w:t>None</w:t>
            </w:r>
          </w:p>
        </w:tc>
        <w:tc>
          <w:tcPr>
            <w:tcW w:w="2790" w:type="dxa"/>
            <w:tcBorders>
              <w:top w:val="single" w:sz="8" w:space="0" w:color="auto"/>
              <w:left w:val="single" w:sz="4" w:space="0" w:color="auto"/>
              <w:bottom w:val="single" w:sz="8" w:space="0" w:color="auto"/>
              <w:right w:val="single" w:sz="8" w:space="0" w:color="auto"/>
            </w:tcBorders>
            <w:vAlign w:val="bottom"/>
          </w:tcPr>
          <w:p w14:paraId="4D1F228F" w14:textId="2F43F186" w:rsidR="00B2304E" w:rsidRPr="0082332C" w:rsidRDefault="00B2304E" w:rsidP="00310FD8">
            <w:pPr>
              <w:rPr>
                <w:rFonts w:ascii="Century Gothic" w:hAnsi="Century Gothic"/>
                <w:szCs w:val="22"/>
              </w:rPr>
            </w:pPr>
            <w:r w:rsidRPr="0082332C">
              <w:rPr>
                <w:rFonts w:ascii="Century Gothic" w:hAnsi="Century Gothic"/>
                <w:spacing w:val="2"/>
                <w:szCs w:val="22"/>
              </w:rPr>
              <w:t xml:space="preserve">Families with verifiable deductions at or </w:t>
            </w:r>
            <w:proofErr w:type="gramStart"/>
            <w:r w:rsidRPr="0082332C">
              <w:rPr>
                <w:rFonts w:ascii="Century Gothic" w:hAnsi="Century Gothic"/>
                <w:spacing w:val="2"/>
                <w:szCs w:val="22"/>
              </w:rPr>
              <w:t>exceed of</w:t>
            </w:r>
            <w:proofErr w:type="gramEnd"/>
            <w:r w:rsidRPr="0082332C">
              <w:rPr>
                <w:rFonts w:ascii="Century Gothic" w:hAnsi="Century Gothic"/>
                <w:spacing w:val="2"/>
                <w:szCs w:val="22"/>
              </w:rPr>
              <w:t xml:space="preserve"> $2,000 will be allowed to request that these additional expenses be used in determining TTP. These verifiable deductions must equal or exceed $2,000 and shall be the sum of: Mandatory Deductions determined in accordance with </w:t>
            </w:r>
            <w:r w:rsidRPr="0082332C">
              <w:rPr>
                <w:rFonts w:ascii="Century Gothic" w:hAnsi="Century Gothic"/>
                <w:szCs w:val="22"/>
              </w:rPr>
              <w:t>Section 5.611 (a), plus non-reimbursed utility expenses (except telephone).</w:t>
            </w:r>
          </w:p>
          <w:p w14:paraId="3E7DA60F" w14:textId="77777777" w:rsidR="00B2304E" w:rsidRPr="0082332C" w:rsidRDefault="00B2304E" w:rsidP="00310FD8">
            <w:pPr>
              <w:rPr>
                <w:rFonts w:ascii="Century Gothic" w:hAnsi="Century Gothic"/>
                <w:szCs w:val="22"/>
              </w:rPr>
            </w:pPr>
          </w:p>
        </w:tc>
      </w:tr>
      <w:tr w:rsidR="00F714A4" w:rsidRPr="006D6566" w14:paraId="1409E279" w14:textId="77777777" w:rsidTr="000503F3">
        <w:trPr>
          <w:trHeight w:val="6977"/>
        </w:trPr>
        <w:tc>
          <w:tcPr>
            <w:tcW w:w="1682" w:type="dxa"/>
            <w:tcBorders>
              <w:top w:val="nil"/>
              <w:left w:val="single" w:sz="8" w:space="0" w:color="auto"/>
              <w:bottom w:val="single" w:sz="8" w:space="0" w:color="auto"/>
              <w:right w:val="nil"/>
            </w:tcBorders>
            <w:vAlign w:val="bottom"/>
          </w:tcPr>
          <w:p w14:paraId="5C4E4A3E" w14:textId="77777777" w:rsidR="00B2304E" w:rsidRPr="0082332C" w:rsidRDefault="00B2304E" w:rsidP="00310FD8">
            <w:pPr>
              <w:rPr>
                <w:rFonts w:ascii="Century Gothic" w:hAnsi="Century Gothic"/>
                <w:szCs w:val="22"/>
              </w:rPr>
            </w:pPr>
            <w:r w:rsidRPr="0082332C">
              <w:rPr>
                <w:rFonts w:ascii="Century Gothic" w:hAnsi="Century Gothic"/>
                <w:szCs w:val="22"/>
              </w:rPr>
              <w:lastRenderedPageBreak/>
              <w:t>Total Tenant Payment</w:t>
            </w:r>
          </w:p>
        </w:tc>
        <w:tc>
          <w:tcPr>
            <w:tcW w:w="1530" w:type="dxa"/>
            <w:tcBorders>
              <w:top w:val="nil"/>
              <w:left w:val="single" w:sz="8" w:space="0" w:color="auto"/>
              <w:bottom w:val="single" w:sz="8" w:space="0" w:color="auto"/>
              <w:right w:val="single" w:sz="8" w:space="0" w:color="auto"/>
            </w:tcBorders>
            <w:vAlign w:val="bottom"/>
          </w:tcPr>
          <w:p w14:paraId="42831041" w14:textId="77777777" w:rsidR="00B2304E" w:rsidRPr="0082332C" w:rsidRDefault="00B2304E" w:rsidP="00310FD8">
            <w:pPr>
              <w:rPr>
                <w:rFonts w:ascii="Century Gothic" w:hAnsi="Century Gothic"/>
                <w:szCs w:val="22"/>
              </w:rPr>
            </w:pPr>
            <w:r w:rsidRPr="0082332C">
              <w:rPr>
                <w:rFonts w:ascii="Century Gothic" w:hAnsi="Century Gothic"/>
                <w:szCs w:val="22"/>
              </w:rPr>
              <w:t>24 CFR 5.628</w:t>
            </w:r>
          </w:p>
        </w:tc>
        <w:tc>
          <w:tcPr>
            <w:tcW w:w="3870" w:type="dxa"/>
            <w:tcBorders>
              <w:top w:val="single" w:sz="8" w:space="0" w:color="auto"/>
              <w:left w:val="nil"/>
              <w:bottom w:val="single" w:sz="8" w:space="0" w:color="auto"/>
              <w:right w:val="single" w:sz="4" w:space="0" w:color="auto"/>
            </w:tcBorders>
          </w:tcPr>
          <w:p w14:paraId="39135E63" w14:textId="77777777" w:rsidR="00B2304E" w:rsidRPr="0082332C" w:rsidRDefault="00B2304E" w:rsidP="00310FD8">
            <w:pPr>
              <w:rPr>
                <w:rFonts w:ascii="Century Gothic" w:hAnsi="Century Gothic"/>
                <w:szCs w:val="22"/>
              </w:rPr>
            </w:pPr>
            <w:r w:rsidRPr="0082332C">
              <w:rPr>
                <w:rFonts w:ascii="Century Gothic" w:hAnsi="Century Gothic"/>
                <w:szCs w:val="22"/>
              </w:rPr>
              <w:t>Determining total tenant payment (TTP). Total tenant payment is the highest of the following amounts, rounded to the nearest dollar:</w:t>
            </w:r>
          </w:p>
          <w:p w14:paraId="3718CE76" w14:textId="651DC2C8" w:rsidR="00B2304E" w:rsidRPr="0082332C" w:rsidRDefault="00B2304E" w:rsidP="00310FD8">
            <w:pPr>
              <w:rPr>
                <w:rFonts w:ascii="Century Gothic" w:hAnsi="Century Gothic"/>
                <w:szCs w:val="22"/>
              </w:rPr>
            </w:pPr>
            <w:r w:rsidRPr="0082332C">
              <w:rPr>
                <w:rFonts w:ascii="Century Gothic" w:hAnsi="Century Gothic"/>
                <w:szCs w:val="22"/>
              </w:rPr>
              <w:t xml:space="preserve">          (a) 30 percent of the family's monthly adjusted </w:t>
            </w:r>
            <w:proofErr w:type="gramStart"/>
            <w:r w:rsidRPr="0082332C">
              <w:rPr>
                <w:rFonts w:ascii="Century Gothic" w:hAnsi="Century Gothic"/>
                <w:szCs w:val="22"/>
              </w:rPr>
              <w:t>income;</w:t>
            </w:r>
            <w:proofErr w:type="gramEnd"/>
          </w:p>
          <w:p w14:paraId="41EAF855" w14:textId="51E399E9" w:rsidR="00B2304E" w:rsidRPr="0082332C" w:rsidRDefault="00B2304E" w:rsidP="00310FD8">
            <w:pPr>
              <w:rPr>
                <w:rFonts w:ascii="Century Gothic" w:hAnsi="Century Gothic"/>
                <w:szCs w:val="22"/>
              </w:rPr>
            </w:pPr>
            <w:r w:rsidRPr="0082332C">
              <w:rPr>
                <w:rFonts w:ascii="Century Gothic" w:hAnsi="Century Gothic"/>
                <w:szCs w:val="22"/>
              </w:rPr>
              <w:t xml:space="preserve">             (b) 10 percent of the family's</w:t>
            </w:r>
            <w:r w:rsidR="000503F3">
              <w:rPr>
                <w:rFonts w:ascii="Century Gothic" w:hAnsi="Century Gothic"/>
                <w:szCs w:val="22"/>
              </w:rPr>
              <w:t xml:space="preserve"> </w:t>
            </w:r>
            <w:r w:rsidRPr="0082332C">
              <w:rPr>
                <w:rFonts w:ascii="Century Gothic" w:hAnsi="Century Gothic"/>
                <w:szCs w:val="22"/>
              </w:rPr>
              <w:t xml:space="preserve">monthly </w:t>
            </w:r>
            <w:proofErr w:type="gramStart"/>
            <w:r w:rsidRPr="0082332C">
              <w:rPr>
                <w:rFonts w:ascii="Century Gothic" w:hAnsi="Century Gothic"/>
                <w:szCs w:val="22"/>
              </w:rPr>
              <w:t>income;</w:t>
            </w:r>
            <w:proofErr w:type="gramEnd"/>
          </w:p>
          <w:p w14:paraId="6E45A4C0"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(c) If the family is receiving</w:t>
            </w:r>
          </w:p>
          <w:p w14:paraId="00CE4BB8"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payments for welfare</w:t>
            </w:r>
          </w:p>
          <w:p w14:paraId="053B8FF7"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assistance from </w:t>
            </w:r>
            <w:proofErr w:type="gramStart"/>
            <w:r w:rsidRPr="0082332C">
              <w:rPr>
                <w:rFonts w:ascii="Century Gothic" w:hAnsi="Century Gothic"/>
                <w:szCs w:val="22"/>
              </w:rPr>
              <w:t>a public</w:t>
            </w:r>
            <w:proofErr w:type="gramEnd"/>
          </w:p>
          <w:p w14:paraId="12C43EAA" w14:textId="77777777" w:rsidR="000503F3" w:rsidRDefault="00B2304E" w:rsidP="00310FD8">
            <w:pPr>
              <w:rPr>
                <w:rFonts w:ascii="Century Gothic" w:hAnsi="Century Gothic"/>
                <w:szCs w:val="22"/>
              </w:rPr>
            </w:pPr>
            <w:r w:rsidRPr="0082332C">
              <w:rPr>
                <w:rFonts w:ascii="Century Gothic" w:hAnsi="Century Gothic"/>
                <w:szCs w:val="22"/>
              </w:rPr>
              <w:t xml:space="preserve">                 agency and a part of </w:t>
            </w:r>
          </w:p>
          <w:p w14:paraId="4DCE33B1" w14:textId="77777777" w:rsidR="000503F3" w:rsidRDefault="000503F3" w:rsidP="00310FD8">
            <w:pPr>
              <w:rPr>
                <w:rFonts w:ascii="Century Gothic" w:hAnsi="Century Gothic"/>
                <w:szCs w:val="22"/>
              </w:rPr>
            </w:pPr>
            <w:r>
              <w:rPr>
                <w:rFonts w:ascii="Century Gothic" w:hAnsi="Century Gothic"/>
                <w:szCs w:val="22"/>
              </w:rPr>
              <w:t xml:space="preserve">                 </w:t>
            </w:r>
            <w:r w:rsidR="00B2304E" w:rsidRPr="0082332C">
              <w:rPr>
                <w:rFonts w:ascii="Century Gothic" w:hAnsi="Century Gothic"/>
                <w:szCs w:val="22"/>
              </w:rPr>
              <w:t>those</w:t>
            </w:r>
            <w:r>
              <w:rPr>
                <w:rFonts w:ascii="Century Gothic" w:hAnsi="Century Gothic"/>
                <w:szCs w:val="22"/>
              </w:rPr>
              <w:t xml:space="preserve"> </w:t>
            </w:r>
            <w:r w:rsidR="00B2304E" w:rsidRPr="0082332C">
              <w:rPr>
                <w:rFonts w:ascii="Century Gothic" w:hAnsi="Century Gothic"/>
                <w:szCs w:val="22"/>
              </w:rPr>
              <w:t xml:space="preserve">payments, </w:t>
            </w:r>
            <w:r>
              <w:rPr>
                <w:rFonts w:ascii="Century Gothic" w:hAnsi="Century Gothic"/>
                <w:szCs w:val="22"/>
              </w:rPr>
              <w:t xml:space="preserve">   </w:t>
            </w:r>
          </w:p>
          <w:p w14:paraId="203A8C3B" w14:textId="1F29F2B8" w:rsidR="00B2304E" w:rsidRPr="0082332C" w:rsidRDefault="000503F3" w:rsidP="00310FD8">
            <w:pPr>
              <w:rPr>
                <w:rFonts w:ascii="Century Gothic" w:hAnsi="Century Gothic"/>
                <w:szCs w:val="22"/>
              </w:rPr>
            </w:pPr>
            <w:r>
              <w:rPr>
                <w:rFonts w:ascii="Century Gothic" w:hAnsi="Century Gothic"/>
                <w:szCs w:val="22"/>
              </w:rPr>
              <w:t xml:space="preserve">                 </w:t>
            </w:r>
            <w:r w:rsidR="00B2304E" w:rsidRPr="0082332C">
              <w:rPr>
                <w:rFonts w:ascii="Century Gothic" w:hAnsi="Century Gothic"/>
                <w:szCs w:val="22"/>
              </w:rPr>
              <w:t>adjusted in</w:t>
            </w:r>
          </w:p>
          <w:p w14:paraId="0122712E"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accordance with the </w:t>
            </w:r>
          </w:p>
          <w:p w14:paraId="215C989A"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family's actual housing</w:t>
            </w:r>
          </w:p>
          <w:p w14:paraId="785709D6"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costs, is specifically</w:t>
            </w:r>
          </w:p>
          <w:p w14:paraId="35EDC02A" w14:textId="77777777" w:rsidR="000503F3" w:rsidRDefault="00B2304E" w:rsidP="00310FD8">
            <w:pPr>
              <w:rPr>
                <w:rFonts w:ascii="Century Gothic" w:hAnsi="Century Gothic"/>
                <w:szCs w:val="22"/>
              </w:rPr>
            </w:pPr>
            <w:r w:rsidRPr="0082332C">
              <w:rPr>
                <w:rFonts w:ascii="Century Gothic" w:hAnsi="Century Gothic"/>
                <w:szCs w:val="22"/>
              </w:rPr>
              <w:t xml:space="preserve">                 designated by such </w:t>
            </w:r>
            <w:r w:rsidR="000503F3">
              <w:rPr>
                <w:rFonts w:ascii="Century Gothic" w:hAnsi="Century Gothic"/>
                <w:szCs w:val="22"/>
              </w:rPr>
              <w:t xml:space="preserve"> </w:t>
            </w:r>
          </w:p>
          <w:p w14:paraId="3E213D6F" w14:textId="6752328B" w:rsidR="00B2304E" w:rsidRPr="0082332C" w:rsidRDefault="000503F3" w:rsidP="00310FD8">
            <w:pPr>
              <w:rPr>
                <w:rFonts w:ascii="Century Gothic" w:hAnsi="Century Gothic"/>
                <w:szCs w:val="22"/>
              </w:rPr>
            </w:pPr>
            <w:r>
              <w:rPr>
                <w:rFonts w:ascii="Century Gothic" w:hAnsi="Century Gothic"/>
                <w:szCs w:val="22"/>
              </w:rPr>
              <w:t xml:space="preserve">                 </w:t>
            </w:r>
            <w:r w:rsidR="00B2304E" w:rsidRPr="0082332C">
              <w:rPr>
                <w:rFonts w:ascii="Century Gothic" w:hAnsi="Century Gothic"/>
                <w:szCs w:val="22"/>
              </w:rPr>
              <w:t>agency</w:t>
            </w:r>
          </w:p>
          <w:p w14:paraId="1C3E8FBC"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to meet the family's </w:t>
            </w:r>
          </w:p>
          <w:p w14:paraId="15B0C97B" w14:textId="77777777" w:rsidR="000503F3" w:rsidRDefault="00B2304E" w:rsidP="00310FD8">
            <w:pPr>
              <w:rPr>
                <w:rFonts w:ascii="Century Gothic" w:hAnsi="Century Gothic"/>
                <w:szCs w:val="22"/>
              </w:rPr>
            </w:pPr>
            <w:r w:rsidRPr="0082332C">
              <w:rPr>
                <w:rFonts w:ascii="Century Gothic" w:hAnsi="Century Gothic"/>
                <w:szCs w:val="22"/>
              </w:rPr>
              <w:t xml:space="preserve">                 housing costs, the </w:t>
            </w:r>
          </w:p>
          <w:p w14:paraId="271CF2EB" w14:textId="4570E11C" w:rsidR="00B2304E" w:rsidRPr="0082332C" w:rsidRDefault="000503F3" w:rsidP="00310FD8">
            <w:pPr>
              <w:rPr>
                <w:rFonts w:ascii="Century Gothic" w:hAnsi="Century Gothic"/>
                <w:szCs w:val="22"/>
              </w:rPr>
            </w:pPr>
            <w:r>
              <w:rPr>
                <w:rFonts w:ascii="Century Gothic" w:hAnsi="Century Gothic"/>
                <w:szCs w:val="22"/>
              </w:rPr>
              <w:t xml:space="preserve">                 </w:t>
            </w:r>
            <w:r w:rsidR="00B2304E" w:rsidRPr="0082332C">
              <w:rPr>
                <w:rFonts w:ascii="Century Gothic" w:hAnsi="Century Gothic"/>
                <w:szCs w:val="22"/>
              </w:rPr>
              <w:t>portion</w:t>
            </w:r>
          </w:p>
          <w:p w14:paraId="313D5B5A" w14:textId="77777777" w:rsidR="000503F3" w:rsidRDefault="00B2304E" w:rsidP="00310FD8">
            <w:pPr>
              <w:rPr>
                <w:rFonts w:ascii="Century Gothic" w:hAnsi="Century Gothic"/>
                <w:szCs w:val="22"/>
              </w:rPr>
            </w:pPr>
            <w:r w:rsidRPr="0082332C">
              <w:rPr>
                <w:rFonts w:ascii="Century Gothic" w:hAnsi="Century Gothic"/>
                <w:szCs w:val="22"/>
              </w:rPr>
              <w:t xml:space="preserve">                 of those payments </w:t>
            </w:r>
          </w:p>
          <w:p w14:paraId="1C9FF020" w14:textId="27347721" w:rsidR="00B2304E" w:rsidRPr="0082332C" w:rsidRDefault="000503F3" w:rsidP="00310FD8">
            <w:pPr>
              <w:rPr>
                <w:rFonts w:ascii="Century Gothic" w:hAnsi="Century Gothic"/>
                <w:szCs w:val="22"/>
              </w:rPr>
            </w:pPr>
            <w:r>
              <w:rPr>
                <w:rFonts w:ascii="Century Gothic" w:hAnsi="Century Gothic"/>
                <w:szCs w:val="22"/>
              </w:rPr>
              <w:t xml:space="preserve">                 </w:t>
            </w:r>
            <w:r w:rsidR="00B2304E" w:rsidRPr="0082332C">
              <w:rPr>
                <w:rFonts w:ascii="Century Gothic" w:hAnsi="Century Gothic"/>
                <w:szCs w:val="22"/>
              </w:rPr>
              <w:t>which is</w:t>
            </w:r>
          </w:p>
          <w:p w14:paraId="3ECBAB6E"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so designated; or</w:t>
            </w:r>
          </w:p>
          <w:p w14:paraId="267C7075"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(d) The minimum rent, as </w:t>
            </w:r>
          </w:p>
          <w:p w14:paraId="610E4D7B" w14:textId="77777777" w:rsidR="000503F3" w:rsidRDefault="00B2304E" w:rsidP="00310FD8">
            <w:pPr>
              <w:rPr>
                <w:rFonts w:ascii="Century Gothic" w:hAnsi="Century Gothic"/>
                <w:szCs w:val="22"/>
              </w:rPr>
            </w:pPr>
            <w:r w:rsidRPr="0082332C">
              <w:rPr>
                <w:rFonts w:ascii="Century Gothic" w:hAnsi="Century Gothic"/>
                <w:szCs w:val="22"/>
              </w:rPr>
              <w:t xml:space="preserve">                  determined in </w:t>
            </w:r>
          </w:p>
          <w:p w14:paraId="0EF2F5A6" w14:textId="5F9493B7" w:rsidR="00B2304E" w:rsidRPr="0082332C" w:rsidRDefault="000503F3" w:rsidP="00310FD8">
            <w:pPr>
              <w:rPr>
                <w:rFonts w:ascii="Century Gothic" w:hAnsi="Century Gothic"/>
                <w:szCs w:val="22"/>
              </w:rPr>
            </w:pPr>
            <w:r>
              <w:rPr>
                <w:rFonts w:ascii="Century Gothic" w:hAnsi="Century Gothic"/>
                <w:szCs w:val="22"/>
              </w:rPr>
              <w:t xml:space="preserve">                  </w:t>
            </w:r>
            <w:r w:rsidR="00B2304E" w:rsidRPr="0082332C">
              <w:rPr>
                <w:rFonts w:ascii="Century Gothic" w:hAnsi="Century Gothic"/>
                <w:szCs w:val="22"/>
              </w:rPr>
              <w:t>accordance</w:t>
            </w:r>
          </w:p>
          <w:p w14:paraId="19C69D2D"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                  with Sec. 5.630.</w:t>
            </w:r>
          </w:p>
        </w:tc>
        <w:tc>
          <w:tcPr>
            <w:tcW w:w="2790" w:type="dxa"/>
            <w:tcBorders>
              <w:top w:val="single" w:sz="8" w:space="0" w:color="auto"/>
              <w:left w:val="single" w:sz="4" w:space="0" w:color="auto"/>
              <w:bottom w:val="single" w:sz="8" w:space="0" w:color="auto"/>
              <w:right w:val="single" w:sz="8" w:space="0" w:color="auto"/>
            </w:tcBorders>
            <w:vAlign w:val="bottom"/>
          </w:tcPr>
          <w:p w14:paraId="73887FD7" w14:textId="15C04CCE" w:rsidR="00B2304E" w:rsidRPr="0082332C" w:rsidRDefault="00B2304E" w:rsidP="00310FD8">
            <w:pPr>
              <w:rPr>
                <w:rFonts w:ascii="Century Gothic" w:hAnsi="Century Gothic"/>
                <w:szCs w:val="22"/>
              </w:rPr>
            </w:pPr>
            <w:r w:rsidRPr="0082332C">
              <w:rPr>
                <w:rFonts w:ascii="Century Gothic" w:hAnsi="Century Gothic"/>
                <w:szCs w:val="22"/>
              </w:rPr>
              <w:t xml:space="preserve">TTP to be based upon (1) income-tiered </w:t>
            </w:r>
            <w:r w:rsidR="00C001D7" w:rsidRPr="0082332C">
              <w:rPr>
                <w:rFonts w:ascii="Century Gothic" w:hAnsi="Century Gothic"/>
                <w:szCs w:val="22"/>
              </w:rPr>
              <w:t>TTP structure</w:t>
            </w:r>
            <w:r w:rsidRPr="0082332C">
              <w:rPr>
                <w:rFonts w:ascii="Century Gothic" w:hAnsi="Century Gothic"/>
                <w:szCs w:val="22"/>
              </w:rPr>
              <w:t xml:space="preserve"> or the minimum TTP $50 for a family with income of up to $2,500 annually </w:t>
            </w:r>
          </w:p>
          <w:p w14:paraId="569D59A9" w14:textId="77777777" w:rsidR="00B2304E" w:rsidRPr="0082332C" w:rsidRDefault="00B2304E" w:rsidP="00310FD8">
            <w:pPr>
              <w:rPr>
                <w:rFonts w:ascii="Century Gothic" w:hAnsi="Century Gothic"/>
                <w:b/>
                <w:szCs w:val="22"/>
              </w:rPr>
            </w:pPr>
          </w:p>
          <w:p w14:paraId="6D857A4A" w14:textId="77777777" w:rsidR="00B2304E" w:rsidRPr="0082332C" w:rsidRDefault="00B2304E" w:rsidP="00310FD8">
            <w:pPr>
              <w:rPr>
                <w:rFonts w:ascii="Century Gothic" w:hAnsi="Century Gothic"/>
                <w:szCs w:val="22"/>
              </w:rPr>
            </w:pPr>
          </w:p>
          <w:p w14:paraId="34B1572E" w14:textId="77777777" w:rsidR="00B2304E" w:rsidRPr="0082332C" w:rsidRDefault="00B2304E" w:rsidP="00310FD8">
            <w:pPr>
              <w:rPr>
                <w:rFonts w:ascii="Century Gothic" w:hAnsi="Century Gothic"/>
                <w:szCs w:val="22"/>
              </w:rPr>
            </w:pPr>
          </w:p>
          <w:p w14:paraId="126A4193" w14:textId="77777777" w:rsidR="00B2304E" w:rsidRPr="0082332C" w:rsidRDefault="00B2304E" w:rsidP="00310FD8">
            <w:pPr>
              <w:rPr>
                <w:rFonts w:ascii="Century Gothic" w:hAnsi="Century Gothic"/>
                <w:szCs w:val="22"/>
              </w:rPr>
            </w:pPr>
          </w:p>
          <w:p w14:paraId="11627148" w14:textId="77777777" w:rsidR="00B2304E" w:rsidRPr="0082332C" w:rsidRDefault="00B2304E" w:rsidP="00310FD8">
            <w:pPr>
              <w:rPr>
                <w:rFonts w:ascii="Century Gothic" w:hAnsi="Century Gothic"/>
                <w:szCs w:val="22"/>
              </w:rPr>
            </w:pPr>
          </w:p>
          <w:p w14:paraId="08A09893" w14:textId="07D2B038" w:rsidR="00B2304E" w:rsidRPr="0082332C" w:rsidRDefault="000503F3" w:rsidP="00310FD8">
            <w:pPr>
              <w:rPr>
                <w:rFonts w:ascii="Century Gothic" w:hAnsi="Century Gothic"/>
                <w:szCs w:val="22"/>
              </w:rPr>
            </w:pPr>
            <w:r>
              <w:rPr>
                <w:rFonts w:ascii="Century Gothic" w:hAnsi="Century Gothic"/>
                <w:szCs w:val="22"/>
              </w:rPr>
              <w:t xml:space="preserve"> </w:t>
            </w:r>
          </w:p>
        </w:tc>
      </w:tr>
      <w:tr w:rsidR="00F714A4" w:rsidRPr="006D6566" w14:paraId="7F61CECB" w14:textId="77777777" w:rsidTr="00310FD8">
        <w:trPr>
          <w:trHeight w:val="3251"/>
        </w:trPr>
        <w:tc>
          <w:tcPr>
            <w:tcW w:w="1682" w:type="dxa"/>
            <w:tcBorders>
              <w:top w:val="nil"/>
              <w:left w:val="single" w:sz="8" w:space="0" w:color="auto"/>
              <w:bottom w:val="single" w:sz="8" w:space="0" w:color="auto"/>
              <w:right w:val="single" w:sz="8" w:space="0" w:color="auto"/>
            </w:tcBorders>
            <w:vAlign w:val="bottom"/>
          </w:tcPr>
          <w:p w14:paraId="5A41EFBB" w14:textId="77777777" w:rsidR="00B2304E" w:rsidRPr="004D6DB4" w:rsidRDefault="00B2304E" w:rsidP="00310FD8">
            <w:pPr>
              <w:rPr>
                <w:rFonts w:ascii="Century Gothic" w:hAnsi="Century Gothic"/>
                <w:szCs w:val="22"/>
              </w:rPr>
            </w:pPr>
            <w:r w:rsidRPr="004D6DB4">
              <w:rPr>
                <w:rFonts w:ascii="Century Gothic" w:hAnsi="Century Gothic"/>
                <w:szCs w:val="22"/>
              </w:rPr>
              <w:t>Hardship Provision</w:t>
            </w:r>
          </w:p>
        </w:tc>
        <w:tc>
          <w:tcPr>
            <w:tcW w:w="1530" w:type="dxa"/>
            <w:tcBorders>
              <w:top w:val="nil"/>
              <w:left w:val="nil"/>
              <w:bottom w:val="single" w:sz="8" w:space="0" w:color="auto"/>
              <w:right w:val="single" w:sz="8" w:space="0" w:color="auto"/>
            </w:tcBorders>
            <w:vAlign w:val="bottom"/>
          </w:tcPr>
          <w:p w14:paraId="2E96C67B" w14:textId="77777777" w:rsidR="00B2304E" w:rsidRPr="004D6DB4" w:rsidRDefault="00B2304E" w:rsidP="00310FD8">
            <w:pPr>
              <w:rPr>
                <w:rFonts w:ascii="Century Gothic" w:hAnsi="Century Gothic"/>
                <w:szCs w:val="22"/>
              </w:rPr>
            </w:pPr>
            <w:r w:rsidRPr="004D6DB4">
              <w:rPr>
                <w:rFonts w:ascii="Century Gothic" w:hAnsi="Century Gothic"/>
                <w:szCs w:val="22"/>
              </w:rPr>
              <w:t>24 CFR 5.630(b)</w:t>
            </w:r>
          </w:p>
        </w:tc>
        <w:tc>
          <w:tcPr>
            <w:tcW w:w="3870" w:type="dxa"/>
            <w:tcBorders>
              <w:top w:val="single" w:sz="8" w:space="0" w:color="auto"/>
              <w:left w:val="nil"/>
              <w:bottom w:val="single" w:sz="8" w:space="0" w:color="auto"/>
              <w:right w:val="single" w:sz="4" w:space="0" w:color="auto"/>
            </w:tcBorders>
          </w:tcPr>
          <w:p w14:paraId="69492596" w14:textId="77777777" w:rsidR="00B2304E" w:rsidRPr="004D6DB4" w:rsidRDefault="00B2304E" w:rsidP="00310FD8">
            <w:pPr>
              <w:rPr>
                <w:rFonts w:ascii="Century Gothic" w:hAnsi="Century Gothic"/>
                <w:szCs w:val="22"/>
              </w:rPr>
            </w:pPr>
            <w:r w:rsidRPr="004D6DB4">
              <w:rPr>
                <w:rFonts w:ascii="Century Gothic" w:hAnsi="Century Gothic"/>
                <w:szCs w:val="22"/>
              </w:rPr>
              <w:t>A family may be exempt from minimum rent as follows: (</w:t>
            </w:r>
            <w:proofErr w:type="spellStart"/>
            <w:r w:rsidRPr="004D6DB4">
              <w:rPr>
                <w:rFonts w:ascii="Century Gothic" w:hAnsi="Century Gothic"/>
                <w:szCs w:val="22"/>
              </w:rPr>
              <w:t>i</w:t>
            </w:r>
            <w:proofErr w:type="spellEnd"/>
            <w:r w:rsidRPr="004D6DB4">
              <w:rPr>
                <w:rFonts w:ascii="Century Gothic" w:hAnsi="Century Gothic"/>
                <w:szCs w:val="22"/>
              </w:rPr>
              <w:t>) When the family has lost eligibility or is waiting an eligibility determination for a Federal, State, or local assistance program, including a family that includes a member who is a non-citizen; (ii) When the family would be evicted because it is unable to pay the minimum rent; (iii) When the income of the family has decreased because of changed circumstances, including loss of employment.</w:t>
            </w:r>
          </w:p>
        </w:tc>
        <w:tc>
          <w:tcPr>
            <w:tcW w:w="2790" w:type="dxa"/>
            <w:tcBorders>
              <w:top w:val="single" w:sz="8" w:space="0" w:color="auto"/>
              <w:left w:val="single" w:sz="4" w:space="0" w:color="auto"/>
              <w:bottom w:val="single" w:sz="8" w:space="0" w:color="auto"/>
              <w:right w:val="single" w:sz="8" w:space="0" w:color="auto"/>
            </w:tcBorders>
            <w:vAlign w:val="bottom"/>
          </w:tcPr>
          <w:p w14:paraId="3DC2825E" w14:textId="77777777" w:rsidR="00B2304E" w:rsidRPr="002768AF" w:rsidRDefault="00B2304E" w:rsidP="00310FD8">
            <w:pPr>
              <w:rPr>
                <w:rFonts w:ascii="Century Gothic" w:hAnsi="Century Gothic"/>
                <w:szCs w:val="22"/>
              </w:rPr>
            </w:pPr>
            <w:r w:rsidRPr="004D6DB4">
              <w:rPr>
                <w:rFonts w:ascii="Century Gothic" w:hAnsi="Century Gothic"/>
                <w:szCs w:val="22"/>
              </w:rPr>
              <w:t xml:space="preserve">A family whose shelter expenses, plus un-reimbursed medical, childcare and disability expenses exceed </w:t>
            </w:r>
            <w:proofErr w:type="gramStart"/>
            <w:r w:rsidRPr="004D6DB4">
              <w:rPr>
                <w:rFonts w:ascii="Century Gothic" w:hAnsi="Century Gothic"/>
                <w:szCs w:val="22"/>
              </w:rPr>
              <w:t>40 %</w:t>
            </w:r>
            <w:proofErr w:type="gramEnd"/>
            <w:r w:rsidRPr="004D6DB4">
              <w:rPr>
                <w:rFonts w:ascii="Century Gothic" w:hAnsi="Century Gothic"/>
                <w:szCs w:val="22"/>
              </w:rPr>
              <w:t xml:space="preserve"> of annual income or </w:t>
            </w:r>
            <w:proofErr w:type="gramStart"/>
            <w:r w:rsidRPr="004D6DB4">
              <w:rPr>
                <w:rFonts w:ascii="Century Gothic" w:hAnsi="Century Gothic"/>
                <w:szCs w:val="22"/>
              </w:rPr>
              <w:t>whose</w:t>
            </w:r>
            <w:proofErr w:type="gramEnd"/>
            <w:r w:rsidRPr="004D6DB4">
              <w:rPr>
                <w:rFonts w:ascii="Century Gothic" w:hAnsi="Century Gothic"/>
                <w:szCs w:val="22"/>
              </w:rPr>
              <w:t xml:space="preserve"> medical, childcare or disability expenses of $6,000 or more annually may seek hardship.</w:t>
            </w:r>
          </w:p>
        </w:tc>
      </w:tr>
      <w:tr w:rsidR="00F714A4" w:rsidRPr="006D6566" w14:paraId="24EBEF21" w14:textId="77777777" w:rsidTr="00310FD8">
        <w:trPr>
          <w:trHeight w:val="1290"/>
        </w:trPr>
        <w:tc>
          <w:tcPr>
            <w:tcW w:w="1682" w:type="dxa"/>
            <w:tcBorders>
              <w:top w:val="nil"/>
              <w:left w:val="single" w:sz="8" w:space="0" w:color="auto"/>
              <w:bottom w:val="single" w:sz="8" w:space="0" w:color="auto"/>
              <w:right w:val="single" w:sz="8" w:space="0" w:color="auto"/>
            </w:tcBorders>
            <w:vAlign w:val="bottom"/>
          </w:tcPr>
          <w:p w14:paraId="66472E64" w14:textId="77777777" w:rsidR="00B2304E" w:rsidRPr="004D6DB4" w:rsidRDefault="00B2304E" w:rsidP="00310FD8">
            <w:pPr>
              <w:rPr>
                <w:rFonts w:ascii="Century Gothic" w:hAnsi="Century Gothic"/>
                <w:szCs w:val="22"/>
                <w:lang w:val="fr-FR"/>
              </w:rPr>
            </w:pPr>
            <w:r w:rsidRPr="004D6DB4">
              <w:rPr>
                <w:rFonts w:ascii="Century Gothic" w:hAnsi="Century Gothic"/>
                <w:szCs w:val="22"/>
                <w:lang w:val="fr-FR"/>
              </w:rPr>
              <w:lastRenderedPageBreak/>
              <w:t>Minimum Rent</w:t>
            </w:r>
          </w:p>
        </w:tc>
        <w:tc>
          <w:tcPr>
            <w:tcW w:w="1530" w:type="dxa"/>
            <w:tcBorders>
              <w:top w:val="nil"/>
              <w:left w:val="nil"/>
              <w:bottom w:val="single" w:sz="8" w:space="0" w:color="auto"/>
              <w:right w:val="single" w:sz="8" w:space="0" w:color="auto"/>
            </w:tcBorders>
            <w:vAlign w:val="bottom"/>
          </w:tcPr>
          <w:p w14:paraId="53CB9ADA" w14:textId="77777777" w:rsidR="00B2304E" w:rsidRPr="004D6DB4" w:rsidRDefault="00B2304E" w:rsidP="00310FD8">
            <w:pPr>
              <w:rPr>
                <w:rFonts w:ascii="Century Gothic" w:hAnsi="Century Gothic"/>
                <w:szCs w:val="22"/>
                <w:lang w:val="fr-FR"/>
              </w:rPr>
            </w:pPr>
            <w:r w:rsidRPr="004D6DB4">
              <w:rPr>
                <w:rFonts w:ascii="Century Gothic" w:hAnsi="Century Gothic"/>
                <w:szCs w:val="22"/>
                <w:lang w:val="fr-FR"/>
              </w:rPr>
              <w:t>24 CFR 5.630</w:t>
            </w:r>
          </w:p>
        </w:tc>
        <w:tc>
          <w:tcPr>
            <w:tcW w:w="3870" w:type="dxa"/>
            <w:tcBorders>
              <w:top w:val="single" w:sz="8" w:space="0" w:color="auto"/>
              <w:left w:val="nil"/>
              <w:bottom w:val="single" w:sz="8" w:space="0" w:color="auto"/>
              <w:right w:val="single" w:sz="4" w:space="0" w:color="auto"/>
            </w:tcBorders>
          </w:tcPr>
          <w:p w14:paraId="450085F2" w14:textId="77777777" w:rsidR="00B2304E" w:rsidRPr="004D6DB4" w:rsidRDefault="00B2304E" w:rsidP="00310FD8">
            <w:pPr>
              <w:rPr>
                <w:rFonts w:ascii="Century Gothic" w:hAnsi="Century Gothic"/>
                <w:szCs w:val="22"/>
              </w:rPr>
            </w:pPr>
            <w:r w:rsidRPr="004D6DB4">
              <w:rPr>
                <w:rFonts w:ascii="Century Gothic" w:hAnsi="Century Gothic"/>
                <w:szCs w:val="22"/>
              </w:rPr>
              <w:t>$25.00 for HCV.</w:t>
            </w:r>
          </w:p>
          <w:p w14:paraId="401F6C35" w14:textId="77777777" w:rsidR="00B2304E" w:rsidRPr="004D6DB4" w:rsidRDefault="00B2304E" w:rsidP="00310FD8">
            <w:pPr>
              <w:rPr>
                <w:rFonts w:ascii="Century Gothic" w:hAnsi="Century Gothic"/>
                <w:szCs w:val="22"/>
              </w:rPr>
            </w:pPr>
            <w:r w:rsidRPr="004D6DB4">
              <w:rPr>
                <w:rFonts w:ascii="Century Gothic" w:hAnsi="Century Gothic"/>
                <w:szCs w:val="22"/>
              </w:rPr>
              <w:t>$50.00 for LIPH</w:t>
            </w:r>
          </w:p>
        </w:tc>
        <w:tc>
          <w:tcPr>
            <w:tcW w:w="2790" w:type="dxa"/>
            <w:tcBorders>
              <w:top w:val="single" w:sz="8" w:space="0" w:color="auto"/>
              <w:left w:val="single" w:sz="4" w:space="0" w:color="auto"/>
              <w:bottom w:val="single" w:sz="8" w:space="0" w:color="auto"/>
              <w:right w:val="single" w:sz="8" w:space="0" w:color="auto"/>
            </w:tcBorders>
            <w:vAlign w:val="bottom"/>
          </w:tcPr>
          <w:p w14:paraId="1086F82F" w14:textId="77777777" w:rsidR="00B2304E" w:rsidRPr="004D6DB4" w:rsidRDefault="00B2304E" w:rsidP="00310FD8">
            <w:pPr>
              <w:rPr>
                <w:rFonts w:ascii="Century Gothic" w:hAnsi="Century Gothic"/>
                <w:szCs w:val="22"/>
              </w:rPr>
            </w:pPr>
            <w:r w:rsidRPr="004D6DB4">
              <w:rPr>
                <w:rFonts w:ascii="Century Gothic" w:hAnsi="Century Gothic"/>
                <w:szCs w:val="22"/>
              </w:rPr>
              <w:t>HCV increased from $25.00 a month to $50.00 a month so that LIPH and HCV have same minimum rent amount.</w:t>
            </w:r>
          </w:p>
        </w:tc>
      </w:tr>
      <w:tr w:rsidR="00AC5087" w:rsidRPr="006D6566" w14:paraId="211CDAEE" w14:textId="77777777" w:rsidTr="00310FD8">
        <w:tc>
          <w:tcPr>
            <w:tcW w:w="1682" w:type="dxa"/>
            <w:tcBorders>
              <w:top w:val="single" w:sz="8" w:space="0" w:color="auto"/>
              <w:left w:val="single" w:sz="8" w:space="0" w:color="auto"/>
              <w:bottom w:val="single" w:sz="8" w:space="0" w:color="auto"/>
              <w:right w:val="nil"/>
            </w:tcBorders>
            <w:vAlign w:val="bottom"/>
          </w:tcPr>
          <w:p w14:paraId="0A41867B" w14:textId="77777777" w:rsidR="00B2304E" w:rsidRPr="004D6DB4" w:rsidRDefault="00B2304E" w:rsidP="00310FD8">
            <w:pPr>
              <w:rPr>
                <w:rFonts w:ascii="Century Gothic" w:hAnsi="Century Gothic"/>
                <w:szCs w:val="22"/>
              </w:rPr>
            </w:pPr>
            <w:r w:rsidRPr="004D6DB4">
              <w:rPr>
                <w:rFonts w:ascii="Century Gothic" w:hAnsi="Century Gothic"/>
                <w:szCs w:val="22"/>
              </w:rPr>
              <w:t>Utility Allowances and Reimbursements</w:t>
            </w:r>
          </w:p>
        </w:tc>
        <w:tc>
          <w:tcPr>
            <w:tcW w:w="1530" w:type="dxa"/>
            <w:tcBorders>
              <w:top w:val="nil"/>
              <w:left w:val="single" w:sz="8" w:space="0" w:color="auto"/>
              <w:bottom w:val="single" w:sz="8" w:space="0" w:color="auto"/>
              <w:right w:val="single" w:sz="8" w:space="0" w:color="auto"/>
            </w:tcBorders>
            <w:vAlign w:val="bottom"/>
          </w:tcPr>
          <w:p w14:paraId="0ED0C6B9" w14:textId="77777777" w:rsidR="00B2304E" w:rsidRPr="004D6DB4" w:rsidRDefault="00B2304E" w:rsidP="00310FD8">
            <w:pPr>
              <w:rPr>
                <w:rFonts w:ascii="Century Gothic" w:hAnsi="Century Gothic"/>
                <w:szCs w:val="22"/>
              </w:rPr>
            </w:pPr>
            <w:r w:rsidRPr="004D6DB4">
              <w:rPr>
                <w:rFonts w:ascii="Century Gothic" w:hAnsi="Century Gothic"/>
                <w:szCs w:val="22"/>
              </w:rPr>
              <w:t>24 CFR 5.632(a) and (b)</w:t>
            </w:r>
          </w:p>
        </w:tc>
        <w:tc>
          <w:tcPr>
            <w:tcW w:w="3870" w:type="dxa"/>
            <w:tcBorders>
              <w:top w:val="single" w:sz="8" w:space="0" w:color="auto"/>
              <w:left w:val="single" w:sz="8" w:space="0" w:color="auto"/>
              <w:bottom w:val="single" w:sz="8" w:space="0" w:color="auto"/>
              <w:right w:val="single" w:sz="8" w:space="0" w:color="auto"/>
            </w:tcBorders>
          </w:tcPr>
          <w:p w14:paraId="7A6456DC" w14:textId="77777777" w:rsidR="00B2304E" w:rsidRPr="004D6DB4" w:rsidRDefault="00B2304E" w:rsidP="00310FD8">
            <w:pPr>
              <w:rPr>
                <w:rFonts w:ascii="Century Gothic" w:hAnsi="Century Gothic"/>
                <w:szCs w:val="22"/>
              </w:rPr>
            </w:pPr>
            <w:r w:rsidRPr="004D6DB4">
              <w:rPr>
                <w:rFonts w:ascii="Century Gothic" w:hAnsi="Century Gothic"/>
                <w:szCs w:val="22"/>
              </w:rPr>
              <w:t>Tenant Paid Utilities to be deducted from TTP to determine tenant rent.</w:t>
            </w:r>
          </w:p>
        </w:tc>
        <w:tc>
          <w:tcPr>
            <w:tcW w:w="2790" w:type="dxa"/>
            <w:tcBorders>
              <w:top w:val="single" w:sz="8" w:space="0" w:color="auto"/>
              <w:left w:val="single" w:sz="8" w:space="0" w:color="auto"/>
              <w:bottom w:val="single" w:sz="8" w:space="0" w:color="auto"/>
              <w:right w:val="single" w:sz="8" w:space="0" w:color="auto"/>
            </w:tcBorders>
            <w:vAlign w:val="bottom"/>
          </w:tcPr>
          <w:p w14:paraId="766523D7" w14:textId="77777777" w:rsidR="00B2304E" w:rsidRPr="004D6DB4" w:rsidRDefault="00B2304E" w:rsidP="00310FD8">
            <w:pPr>
              <w:rPr>
                <w:rFonts w:ascii="Century Gothic" w:hAnsi="Century Gothic"/>
                <w:szCs w:val="22"/>
              </w:rPr>
            </w:pPr>
            <w:r w:rsidRPr="004D6DB4">
              <w:rPr>
                <w:rFonts w:ascii="Century Gothic" w:hAnsi="Century Gothic"/>
                <w:szCs w:val="22"/>
              </w:rPr>
              <w:t>No change. Tenant paid utilities to be deducted from TTP to determine tenant rent.</w:t>
            </w:r>
          </w:p>
        </w:tc>
      </w:tr>
      <w:tr w:rsidR="00F714A4" w:rsidRPr="006D6566" w14:paraId="721C19E3" w14:textId="77777777" w:rsidTr="0002697D">
        <w:trPr>
          <w:trHeight w:val="1010"/>
        </w:trPr>
        <w:tc>
          <w:tcPr>
            <w:tcW w:w="1682" w:type="dxa"/>
            <w:tcBorders>
              <w:top w:val="single" w:sz="8" w:space="0" w:color="auto"/>
              <w:left w:val="single" w:sz="8" w:space="0" w:color="auto"/>
              <w:bottom w:val="single" w:sz="8" w:space="0" w:color="auto"/>
              <w:right w:val="nil"/>
            </w:tcBorders>
            <w:vAlign w:val="bottom"/>
          </w:tcPr>
          <w:p w14:paraId="6B079E9F" w14:textId="77777777" w:rsidR="00B2304E" w:rsidRPr="004D6DB4" w:rsidRDefault="00B2304E" w:rsidP="00310FD8">
            <w:pPr>
              <w:rPr>
                <w:rFonts w:ascii="Century Gothic" w:hAnsi="Century Gothic"/>
                <w:szCs w:val="22"/>
              </w:rPr>
            </w:pPr>
            <w:r w:rsidRPr="004D6DB4">
              <w:rPr>
                <w:rFonts w:ascii="Century Gothic" w:hAnsi="Century Gothic"/>
                <w:szCs w:val="22"/>
              </w:rPr>
              <w:t>Medical Deductions</w:t>
            </w:r>
          </w:p>
        </w:tc>
        <w:tc>
          <w:tcPr>
            <w:tcW w:w="1530" w:type="dxa"/>
            <w:tcBorders>
              <w:top w:val="nil"/>
              <w:left w:val="single" w:sz="8" w:space="0" w:color="auto"/>
              <w:bottom w:val="single" w:sz="8" w:space="0" w:color="auto"/>
              <w:right w:val="single" w:sz="8" w:space="0" w:color="auto"/>
            </w:tcBorders>
            <w:vAlign w:val="bottom"/>
          </w:tcPr>
          <w:p w14:paraId="1E5D2284" w14:textId="77777777" w:rsidR="00B2304E" w:rsidRPr="004D6DB4" w:rsidRDefault="00B2304E" w:rsidP="00310FD8">
            <w:pPr>
              <w:rPr>
                <w:rFonts w:ascii="Century Gothic" w:hAnsi="Century Gothic"/>
                <w:szCs w:val="22"/>
              </w:rPr>
            </w:pPr>
            <w:r w:rsidRPr="004D6DB4">
              <w:rPr>
                <w:rFonts w:ascii="Century Gothic" w:hAnsi="Century Gothic"/>
                <w:szCs w:val="22"/>
              </w:rPr>
              <w:t>24 CFR 5.611(c)</w:t>
            </w:r>
          </w:p>
        </w:tc>
        <w:tc>
          <w:tcPr>
            <w:tcW w:w="3870" w:type="dxa"/>
            <w:tcBorders>
              <w:top w:val="single" w:sz="8" w:space="0" w:color="auto"/>
              <w:left w:val="nil"/>
              <w:bottom w:val="single" w:sz="8" w:space="0" w:color="auto"/>
              <w:right w:val="single" w:sz="4" w:space="0" w:color="auto"/>
            </w:tcBorders>
          </w:tcPr>
          <w:p w14:paraId="7601D307" w14:textId="77777777" w:rsidR="00B2304E" w:rsidRPr="004D6DB4" w:rsidRDefault="00B2304E" w:rsidP="00310FD8">
            <w:pPr>
              <w:rPr>
                <w:rFonts w:ascii="Century Gothic" w:hAnsi="Century Gothic"/>
                <w:szCs w:val="22"/>
              </w:rPr>
            </w:pPr>
          </w:p>
        </w:tc>
        <w:tc>
          <w:tcPr>
            <w:tcW w:w="2790" w:type="dxa"/>
            <w:tcBorders>
              <w:top w:val="single" w:sz="8" w:space="0" w:color="auto"/>
              <w:left w:val="single" w:sz="4" w:space="0" w:color="auto"/>
              <w:bottom w:val="single" w:sz="8" w:space="0" w:color="auto"/>
              <w:right w:val="single" w:sz="8" w:space="0" w:color="auto"/>
            </w:tcBorders>
            <w:vAlign w:val="bottom"/>
          </w:tcPr>
          <w:p w14:paraId="3F09B2C6" w14:textId="77777777" w:rsidR="00B2304E" w:rsidRPr="004D6DB4" w:rsidRDefault="00B2304E" w:rsidP="00310FD8">
            <w:pPr>
              <w:rPr>
                <w:rFonts w:ascii="Century Gothic" w:hAnsi="Century Gothic"/>
                <w:szCs w:val="22"/>
              </w:rPr>
            </w:pPr>
            <w:r w:rsidRPr="004D6DB4">
              <w:rPr>
                <w:rFonts w:ascii="Century Gothic" w:hAnsi="Century Gothic"/>
                <w:szCs w:val="22"/>
              </w:rPr>
              <w:t>No longer applicable unless they exceed applicable threshold.</w:t>
            </w:r>
          </w:p>
        </w:tc>
      </w:tr>
      <w:tr w:rsidR="00F714A4" w:rsidRPr="006D6566" w14:paraId="40483621" w14:textId="77777777" w:rsidTr="00310FD8">
        <w:trPr>
          <w:trHeight w:val="1290"/>
        </w:trPr>
        <w:tc>
          <w:tcPr>
            <w:tcW w:w="1682" w:type="dxa"/>
            <w:tcBorders>
              <w:top w:val="single" w:sz="8" w:space="0" w:color="auto"/>
              <w:left w:val="single" w:sz="8" w:space="0" w:color="auto"/>
              <w:bottom w:val="single" w:sz="8" w:space="0" w:color="auto"/>
              <w:right w:val="single" w:sz="8" w:space="0" w:color="auto"/>
            </w:tcBorders>
            <w:vAlign w:val="bottom"/>
          </w:tcPr>
          <w:p w14:paraId="3B1A1001" w14:textId="77777777" w:rsidR="00B2304E" w:rsidRPr="004D6DB4" w:rsidRDefault="00B2304E" w:rsidP="00310FD8">
            <w:pPr>
              <w:rPr>
                <w:rFonts w:ascii="Century Gothic" w:hAnsi="Century Gothic"/>
                <w:szCs w:val="22"/>
              </w:rPr>
            </w:pPr>
            <w:r w:rsidRPr="004D6DB4">
              <w:rPr>
                <w:rFonts w:ascii="Century Gothic" w:hAnsi="Century Gothic"/>
                <w:szCs w:val="22"/>
              </w:rPr>
              <w:t>Annual Reexamination of Income and Family Composition</w:t>
            </w:r>
          </w:p>
        </w:tc>
        <w:tc>
          <w:tcPr>
            <w:tcW w:w="1530" w:type="dxa"/>
            <w:tcBorders>
              <w:top w:val="nil"/>
              <w:left w:val="nil"/>
              <w:bottom w:val="single" w:sz="8" w:space="0" w:color="auto"/>
              <w:right w:val="single" w:sz="8" w:space="0" w:color="auto"/>
            </w:tcBorders>
            <w:vAlign w:val="bottom"/>
          </w:tcPr>
          <w:p w14:paraId="71E4B7A0" w14:textId="77777777" w:rsidR="00B2304E" w:rsidRPr="004D6DB4" w:rsidRDefault="00B2304E" w:rsidP="00310FD8">
            <w:pPr>
              <w:rPr>
                <w:rFonts w:ascii="Century Gothic" w:hAnsi="Century Gothic"/>
                <w:szCs w:val="22"/>
              </w:rPr>
            </w:pPr>
            <w:r w:rsidRPr="004D6DB4">
              <w:rPr>
                <w:rFonts w:ascii="Century Gothic" w:hAnsi="Century Gothic"/>
                <w:szCs w:val="22"/>
              </w:rPr>
              <w:t>24 CFR 982.516</w:t>
            </w:r>
          </w:p>
        </w:tc>
        <w:tc>
          <w:tcPr>
            <w:tcW w:w="3870" w:type="dxa"/>
            <w:tcBorders>
              <w:top w:val="single" w:sz="8" w:space="0" w:color="auto"/>
              <w:left w:val="nil"/>
              <w:bottom w:val="single" w:sz="8" w:space="0" w:color="auto"/>
              <w:right w:val="single" w:sz="4" w:space="0" w:color="auto"/>
            </w:tcBorders>
          </w:tcPr>
          <w:p w14:paraId="6E6556FB" w14:textId="77777777" w:rsidR="00B2304E" w:rsidRPr="004D6DB4" w:rsidRDefault="00B2304E" w:rsidP="00310FD8">
            <w:pPr>
              <w:rPr>
                <w:rFonts w:ascii="Century Gothic" w:hAnsi="Century Gothic"/>
                <w:szCs w:val="22"/>
              </w:rPr>
            </w:pPr>
            <w:r w:rsidRPr="004D6DB4">
              <w:rPr>
                <w:rFonts w:ascii="Century Gothic" w:hAnsi="Century Gothic"/>
                <w:szCs w:val="22"/>
              </w:rPr>
              <w:t>Reexamination of income must occur every year, except every two years for elderly or disabled households.</w:t>
            </w:r>
          </w:p>
        </w:tc>
        <w:tc>
          <w:tcPr>
            <w:tcW w:w="2790" w:type="dxa"/>
            <w:tcBorders>
              <w:top w:val="single" w:sz="8" w:space="0" w:color="auto"/>
              <w:left w:val="single" w:sz="4" w:space="0" w:color="auto"/>
              <w:bottom w:val="single" w:sz="8" w:space="0" w:color="auto"/>
              <w:right w:val="single" w:sz="8" w:space="0" w:color="auto"/>
            </w:tcBorders>
            <w:vAlign w:val="bottom"/>
          </w:tcPr>
          <w:p w14:paraId="40C6BDB7" w14:textId="77777777" w:rsidR="00B2304E" w:rsidRPr="004D6DB4" w:rsidRDefault="00B2304E" w:rsidP="00310FD8">
            <w:pPr>
              <w:rPr>
                <w:rFonts w:ascii="Century Gothic" w:hAnsi="Century Gothic"/>
                <w:szCs w:val="22"/>
              </w:rPr>
            </w:pPr>
            <w:r w:rsidRPr="004D6DB4">
              <w:rPr>
                <w:rFonts w:ascii="Century Gothic" w:hAnsi="Century Gothic"/>
                <w:szCs w:val="22"/>
              </w:rPr>
              <w:t xml:space="preserve">Reexamination of family income will occur every three years for Elderly or Disabled families and every two years for all other families, instead of every year. </w:t>
            </w:r>
          </w:p>
          <w:p w14:paraId="2368E9ED" w14:textId="77777777" w:rsidR="00B2304E" w:rsidRPr="004D6DB4" w:rsidRDefault="00B2304E" w:rsidP="00310FD8">
            <w:pPr>
              <w:rPr>
                <w:rFonts w:ascii="Century Gothic" w:hAnsi="Century Gothic"/>
                <w:szCs w:val="22"/>
              </w:rPr>
            </w:pPr>
          </w:p>
          <w:p w14:paraId="0AE2F7C7" w14:textId="0D4F4851" w:rsidR="00B2304E" w:rsidRPr="004D6DB4" w:rsidRDefault="00B2304E" w:rsidP="00310FD8">
            <w:pPr>
              <w:rPr>
                <w:rFonts w:ascii="Century Gothic" w:hAnsi="Century Gothic"/>
                <w:szCs w:val="22"/>
              </w:rPr>
            </w:pPr>
            <w:r w:rsidRPr="004D6DB4">
              <w:rPr>
                <w:rFonts w:ascii="Century Gothic" w:hAnsi="Century Gothic"/>
                <w:szCs w:val="22"/>
              </w:rPr>
              <w:t xml:space="preserve">Reexamination of family composition will only occur if a family notifies ECC/HANH of a change in family composition since this will affect the determination of appropriate size unit.  Annual update of changes in family composition for </w:t>
            </w:r>
            <w:proofErr w:type="gramStart"/>
            <w:r w:rsidRPr="004D6DB4">
              <w:rPr>
                <w:rFonts w:ascii="Century Gothic" w:hAnsi="Century Gothic"/>
                <w:szCs w:val="22"/>
              </w:rPr>
              <w:t>persons</w:t>
            </w:r>
            <w:proofErr w:type="gramEnd"/>
            <w:r w:rsidRPr="004D6DB4">
              <w:rPr>
                <w:rFonts w:ascii="Century Gothic" w:hAnsi="Century Gothic"/>
                <w:szCs w:val="22"/>
              </w:rPr>
              <w:t xml:space="preserve"> 18 years of age and older that are added or subtracted from the family. ECC/HANH will do UIV and submit a 50058 annually.</w:t>
            </w:r>
          </w:p>
        </w:tc>
      </w:tr>
      <w:tr w:rsidR="00F714A4" w:rsidRPr="006D6566" w14:paraId="774BE709" w14:textId="77777777" w:rsidTr="00310FD8">
        <w:trPr>
          <w:trHeight w:val="1132"/>
        </w:trPr>
        <w:tc>
          <w:tcPr>
            <w:tcW w:w="1682" w:type="dxa"/>
            <w:tcBorders>
              <w:top w:val="nil"/>
              <w:left w:val="single" w:sz="8" w:space="0" w:color="auto"/>
              <w:bottom w:val="single" w:sz="8" w:space="0" w:color="auto"/>
              <w:right w:val="single" w:sz="8" w:space="0" w:color="auto"/>
            </w:tcBorders>
            <w:vAlign w:val="bottom"/>
          </w:tcPr>
          <w:p w14:paraId="2D51699B" w14:textId="77777777" w:rsidR="00B2304E" w:rsidRPr="004D6DB4" w:rsidRDefault="00B2304E" w:rsidP="00310FD8">
            <w:pPr>
              <w:rPr>
                <w:rFonts w:ascii="Century Gothic" w:hAnsi="Century Gothic"/>
                <w:szCs w:val="22"/>
              </w:rPr>
            </w:pPr>
            <w:r w:rsidRPr="004D6DB4">
              <w:rPr>
                <w:rFonts w:ascii="Century Gothic" w:hAnsi="Century Gothic"/>
                <w:szCs w:val="22"/>
              </w:rPr>
              <w:t>Interim Reexamination</w:t>
            </w:r>
          </w:p>
        </w:tc>
        <w:tc>
          <w:tcPr>
            <w:tcW w:w="1530" w:type="dxa"/>
            <w:tcBorders>
              <w:top w:val="nil"/>
              <w:left w:val="nil"/>
              <w:bottom w:val="single" w:sz="8" w:space="0" w:color="auto"/>
              <w:right w:val="single" w:sz="8" w:space="0" w:color="auto"/>
            </w:tcBorders>
            <w:vAlign w:val="bottom"/>
          </w:tcPr>
          <w:p w14:paraId="274D1C14" w14:textId="77777777" w:rsidR="00B2304E" w:rsidRPr="004D6DB4" w:rsidRDefault="00B2304E" w:rsidP="00310FD8">
            <w:pPr>
              <w:rPr>
                <w:rFonts w:ascii="Century Gothic" w:hAnsi="Century Gothic"/>
                <w:szCs w:val="22"/>
              </w:rPr>
            </w:pPr>
            <w:r w:rsidRPr="004D6DB4">
              <w:rPr>
                <w:rFonts w:ascii="Century Gothic" w:hAnsi="Century Gothic"/>
                <w:szCs w:val="22"/>
              </w:rPr>
              <w:t>24 CFR 982.516</w:t>
            </w:r>
          </w:p>
        </w:tc>
        <w:tc>
          <w:tcPr>
            <w:tcW w:w="3870" w:type="dxa"/>
            <w:tcBorders>
              <w:top w:val="single" w:sz="8" w:space="0" w:color="auto"/>
              <w:left w:val="nil"/>
              <w:bottom w:val="single" w:sz="8" w:space="0" w:color="auto"/>
              <w:right w:val="single" w:sz="4" w:space="0" w:color="auto"/>
            </w:tcBorders>
          </w:tcPr>
          <w:p w14:paraId="543AEAA7" w14:textId="77777777" w:rsidR="00B2304E" w:rsidRPr="004D6DB4" w:rsidRDefault="00B2304E" w:rsidP="00310FD8">
            <w:pPr>
              <w:rPr>
                <w:rFonts w:ascii="Century Gothic" w:hAnsi="Century Gothic"/>
                <w:szCs w:val="22"/>
              </w:rPr>
            </w:pPr>
            <w:r w:rsidRPr="004D6DB4">
              <w:rPr>
                <w:rFonts w:ascii="Century Gothic" w:hAnsi="Century Gothic"/>
                <w:szCs w:val="22"/>
              </w:rPr>
              <w:t xml:space="preserve">A family may request an interim reexamination of family income for any changes since the last annual reexamination. </w:t>
            </w:r>
          </w:p>
          <w:p w14:paraId="7348FC21" w14:textId="77777777" w:rsidR="00B2304E" w:rsidRPr="004D6DB4" w:rsidRDefault="00B2304E" w:rsidP="00310FD8">
            <w:pPr>
              <w:rPr>
                <w:rFonts w:ascii="Century Gothic" w:hAnsi="Century Gothic"/>
                <w:szCs w:val="22"/>
              </w:rPr>
            </w:pPr>
            <w:r w:rsidRPr="004D6DB4">
              <w:rPr>
                <w:rFonts w:ascii="Century Gothic" w:hAnsi="Century Gothic"/>
                <w:szCs w:val="22"/>
              </w:rPr>
              <w:lastRenderedPageBreak/>
              <w:t xml:space="preserve">ECC/HANH must conduct the interim reexamination within a </w:t>
            </w:r>
          </w:p>
          <w:p w14:paraId="51FD7AAB" w14:textId="77777777" w:rsidR="00B2304E" w:rsidRPr="004D6DB4" w:rsidRDefault="00B2304E" w:rsidP="00310FD8">
            <w:pPr>
              <w:rPr>
                <w:rFonts w:ascii="Century Gothic" w:hAnsi="Century Gothic"/>
                <w:szCs w:val="22"/>
              </w:rPr>
            </w:pPr>
            <w:r w:rsidRPr="004D6DB4">
              <w:rPr>
                <w:rFonts w:ascii="Century Gothic" w:hAnsi="Century Gothic"/>
                <w:szCs w:val="22"/>
              </w:rPr>
              <w:t xml:space="preserve">reasonable </w:t>
            </w:r>
            <w:proofErr w:type="gramStart"/>
            <w:r w:rsidRPr="004D6DB4">
              <w:rPr>
                <w:rFonts w:ascii="Century Gothic" w:hAnsi="Century Gothic"/>
                <w:szCs w:val="22"/>
              </w:rPr>
              <w:t>time period</w:t>
            </w:r>
            <w:proofErr w:type="gramEnd"/>
            <w:r w:rsidRPr="004D6DB4">
              <w:rPr>
                <w:rFonts w:ascii="Century Gothic" w:hAnsi="Century Gothic"/>
                <w:szCs w:val="22"/>
              </w:rPr>
              <w:t xml:space="preserve"> after </w:t>
            </w:r>
          </w:p>
          <w:p w14:paraId="0457D58E" w14:textId="77777777" w:rsidR="00B2304E" w:rsidRPr="004D6DB4" w:rsidRDefault="00B2304E" w:rsidP="00310FD8">
            <w:pPr>
              <w:rPr>
                <w:rFonts w:ascii="Century Gothic" w:hAnsi="Century Gothic"/>
                <w:szCs w:val="22"/>
              </w:rPr>
            </w:pPr>
            <w:r w:rsidRPr="004D6DB4">
              <w:rPr>
                <w:rFonts w:ascii="Century Gothic" w:hAnsi="Century Gothic"/>
                <w:szCs w:val="22"/>
              </w:rPr>
              <w:t xml:space="preserve">the family request. Currently, </w:t>
            </w:r>
            <w:proofErr w:type="gramStart"/>
            <w:r w:rsidRPr="004D6DB4">
              <w:rPr>
                <w:rFonts w:ascii="Century Gothic" w:hAnsi="Century Gothic"/>
                <w:szCs w:val="22"/>
              </w:rPr>
              <w:t>family</w:t>
            </w:r>
            <w:proofErr w:type="gramEnd"/>
            <w:r w:rsidRPr="004D6DB4">
              <w:rPr>
                <w:rFonts w:ascii="Century Gothic" w:hAnsi="Century Gothic"/>
                <w:szCs w:val="22"/>
              </w:rPr>
              <w:t xml:space="preserve"> must report any change</w:t>
            </w:r>
          </w:p>
          <w:p w14:paraId="38A85D7C" w14:textId="77777777" w:rsidR="00B2304E" w:rsidRPr="004D6DB4" w:rsidRDefault="00B2304E" w:rsidP="00310FD8">
            <w:pPr>
              <w:rPr>
                <w:rFonts w:ascii="Century Gothic" w:hAnsi="Century Gothic"/>
                <w:szCs w:val="22"/>
              </w:rPr>
            </w:pPr>
            <w:r w:rsidRPr="004D6DB4">
              <w:rPr>
                <w:rFonts w:ascii="Century Gothic" w:hAnsi="Century Gothic"/>
                <w:szCs w:val="22"/>
              </w:rPr>
              <w:t>in income that exceeds</w:t>
            </w:r>
          </w:p>
          <w:p w14:paraId="2E174107" w14:textId="77777777" w:rsidR="00B2304E" w:rsidRPr="004D6DB4" w:rsidRDefault="00B2304E" w:rsidP="00310FD8">
            <w:pPr>
              <w:rPr>
                <w:rFonts w:ascii="Century Gothic" w:hAnsi="Century Gothic"/>
                <w:szCs w:val="22"/>
              </w:rPr>
            </w:pPr>
            <w:r w:rsidRPr="004D6DB4">
              <w:rPr>
                <w:rFonts w:ascii="Century Gothic" w:hAnsi="Century Gothic"/>
                <w:szCs w:val="22"/>
              </w:rPr>
              <w:t xml:space="preserve"> $200 or more a month.</w:t>
            </w:r>
          </w:p>
        </w:tc>
        <w:tc>
          <w:tcPr>
            <w:tcW w:w="2790" w:type="dxa"/>
            <w:tcBorders>
              <w:top w:val="single" w:sz="8" w:space="0" w:color="auto"/>
              <w:left w:val="single" w:sz="4" w:space="0" w:color="auto"/>
              <w:bottom w:val="single" w:sz="8" w:space="0" w:color="auto"/>
              <w:right w:val="single" w:sz="8" w:space="0" w:color="auto"/>
            </w:tcBorders>
            <w:vAlign w:val="bottom"/>
          </w:tcPr>
          <w:p w14:paraId="4D26815C" w14:textId="77777777" w:rsidR="00B2304E" w:rsidRPr="004D6DB4" w:rsidRDefault="00B2304E" w:rsidP="00310FD8">
            <w:pPr>
              <w:rPr>
                <w:rFonts w:ascii="Century Gothic" w:hAnsi="Century Gothic"/>
                <w:szCs w:val="22"/>
              </w:rPr>
            </w:pPr>
            <w:r w:rsidRPr="004D6DB4">
              <w:rPr>
                <w:rFonts w:ascii="Century Gothic" w:hAnsi="Century Gothic"/>
                <w:szCs w:val="22"/>
              </w:rPr>
              <w:lastRenderedPageBreak/>
              <w:t xml:space="preserve">A family may request a maximum of three interim re-examinations within a 12-month period, </w:t>
            </w:r>
            <w:proofErr w:type="gramStart"/>
            <w:r w:rsidRPr="004D6DB4">
              <w:rPr>
                <w:rFonts w:ascii="Century Gothic" w:hAnsi="Century Gothic"/>
                <w:szCs w:val="22"/>
              </w:rPr>
              <w:t xml:space="preserve">with the </w:t>
            </w:r>
            <w:r w:rsidRPr="004D6DB4">
              <w:rPr>
                <w:rFonts w:ascii="Century Gothic" w:hAnsi="Century Gothic"/>
                <w:szCs w:val="22"/>
              </w:rPr>
              <w:lastRenderedPageBreak/>
              <w:t>exception of</w:t>
            </w:r>
            <w:proofErr w:type="gramEnd"/>
            <w:r w:rsidRPr="004D6DB4">
              <w:rPr>
                <w:rFonts w:ascii="Century Gothic" w:hAnsi="Century Gothic"/>
                <w:szCs w:val="22"/>
              </w:rPr>
              <w:t xml:space="preserve"> those conditions where they are required to report certain changes in family composition or certain changes in family income. </w:t>
            </w:r>
          </w:p>
          <w:p w14:paraId="593D7BC4" w14:textId="77777777" w:rsidR="00B2304E" w:rsidRPr="004D6DB4" w:rsidRDefault="00B2304E" w:rsidP="00310FD8">
            <w:pPr>
              <w:rPr>
                <w:rFonts w:ascii="Century Gothic" w:hAnsi="Century Gothic"/>
                <w:szCs w:val="22"/>
              </w:rPr>
            </w:pPr>
          </w:p>
          <w:p w14:paraId="26C1E3C6" w14:textId="14826B9D" w:rsidR="00B2304E" w:rsidRPr="004D6DB4" w:rsidRDefault="00B2304E" w:rsidP="00310FD8">
            <w:pPr>
              <w:rPr>
                <w:rFonts w:ascii="Century Gothic" w:hAnsi="Century Gothic"/>
                <w:szCs w:val="22"/>
              </w:rPr>
            </w:pPr>
            <w:r w:rsidRPr="004D6DB4">
              <w:rPr>
                <w:rFonts w:ascii="Century Gothic" w:hAnsi="Century Gothic"/>
                <w:szCs w:val="22"/>
              </w:rPr>
              <w:t xml:space="preserve">A family, except for elderly or disabled, may only make one request for an interim for a hardship exemption each 12 months, unless one (1) household member is enrolled in the FSS </w:t>
            </w:r>
            <w:r w:rsidR="00E27A6F" w:rsidRPr="004D6DB4">
              <w:rPr>
                <w:rFonts w:ascii="Century Gothic" w:hAnsi="Century Gothic"/>
                <w:szCs w:val="22"/>
              </w:rPr>
              <w:t>program.</w:t>
            </w:r>
          </w:p>
        </w:tc>
      </w:tr>
      <w:tr w:rsidR="00F714A4" w:rsidRPr="006D6566" w14:paraId="148033D5" w14:textId="77777777" w:rsidTr="00310FD8">
        <w:trPr>
          <w:trHeight w:val="1035"/>
        </w:trPr>
        <w:tc>
          <w:tcPr>
            <w:tcW w:w="1682" w:type="dxa"/>
            <w:tcBorders>
              <w:top w:val="nil"/>
              <w:left w:val="single" w:sz="8" w:space="0" w:color="auto"/>
              <w:bottom w:val="single" w:sz="8" w:space="0" w:color="auto"/>
              <w:right w:val="single" w:sz="8" w:space="0" w:color="auto"/>
            </w:tcBorders>
            <w:vAlign w:val="bottom"/>
          </w:tcPr>
          <w:p w14:paraId="35EB48BE" w14:textId="77777777" w:rsidR="00B2304E" w:rsidRPr="00917EC6" w:rsidRDefault="00B2304E" w:rsidP="00310FD8">
            <w:pPr>
              <w:rPr>
                <w:rFonts w:ascii="Century Gothic" w:hAnsi="Century Gothic"/>
                <w:szCs w:val="22"/>
              </w:rPr>
            </w:pPr>
            <w:r w:rsidRPr="00917EC6">
              <w:rPr>
                <w:rFonts w:ascii="Century Gothic" w:hAnsi="Century Gothic"/>
                <w:szCs w:val="22"/>
              </w:rPr>
              <w:lastRenderedPageBreak/>
              <w:t xml:space="preserve">Verification of Wages, Salaries and Assets below $5,000 and Assets below $50,000 </w:t>
            </w:r>
          </w:p>
        </w:tc>
        <w:tc>
          <w:tcPr>
            <w:tcW w:w="1530" w:type="dxa"/>
            <w:tcBorders>
              <w:top w:val="nil"/>
              <w:left w:val="nil"/>
              <w:bottom w:val="single" w:sz="8" w:space="0" w:color="auto"/>
              <w:right w:val="single" w:sz="8" w:space="0" w:color="auto"/>
            </w:tcBorders>
            <w:vAlign w:val="bottom"/>
          </w:tcPr>
          <w:p w14:paraId="1E528042" w14:textId="77777777" w:rsidR="00B2304E" w:rsidRPr="00917EC6" w:rsidRDefault="00B2304E" w:rsidP="00310FD8">
            <w:pPr>
              <w:rPr>
                <w:rFonts w:ascii="Century Gothic" w:hAnsi="Century Gothic"/>
                <w:szCs w:val="22"/>
              </w:rPr>
            </w:pPr>
            <w:r w:rsidRPr="00917EC6">
              <w:rPr>
                <w:rFonts w:ascii="Century Gothic" w:hAnsi="Century Gothic"/>
                <w:szCs w:val="22"/>
              </w:rPr>
              <w:t>24 CFR 5.659</w:t>
            </w:r>
          </w:p>
        </w:tc>
        <w:tc>
          <w:tcPr>
            <w:tcW w:w="3870" w:type="dxa"/>
            <w:tcBorders>
              <w:top w:val="single" w:sz="8" w:space="0" w:color="auto"/>
              <w:left w:val="nil"/>
              <w:bottom w:val="single" w:sz="8" w:space="0" w:color="auto"/>
              <w:right w:val="single" w:sz="4" w:space="0" w:color="auto"/>
            </w:tcBorders>
          </w:tcPr>
          <w:p w14:paraId="5E0F38A5"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ECC/HANH must obtain and </w:t>
            </w:r>
          </w:p>
          <w:p w14:paraId="08FCF586"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document in the family’s file</w:t>
            </w:r>
          </w:p>
          <w:p w14:paraId="6B63D883"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third party verification of the </w:t>
            </w:r>
          </w:p>
          <w:p w14:paraId="70761AB0"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following factors, or must </w:t>
            </w:r>
          </w:p>
          <w:p w14:paraId="7DEAD0F0"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document in the file why third </w:t>
            </w:r>
          </w:p>
          <w:p w14:paraId="345E82E5"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party verification was not</w:t>
            </w:r>
          </w:p>
          <w:p w14:paraId="28D060D6"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available:</w:t>
            </w:r>
          </w:p>
          <w:p w14:paraId="5D1FBCD2"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(1) Reported family annual</w:t>
            </w:r>
          </w:p>
          <w:p w14:paraId="259B9E48"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w:t>
            </w:r>
            <w:proofErr w:type="gramStart"/>
            <w:r w:rsidRPr="00917EC6">
              <w:rPr>
                <w:rFonts w:ascii="Century Gothic" w:hAnsi="Century Gothic"/>
                <w:szCs w:val="22"/>
              </w:rPr>
              <w:t>income;</w:t>
            </w:r>
            <w:proofErr w:type="gramEnd"/>
            <w:r w:rsidRPr="00917EC6">
              <w:rPr>
                <w:rFonts w:ascii="Century Gothic" w:hAnsi="Century Gothic"/>
                <w:szCs w:val="22"/>
              </w:rPr>
              <w:t xml:space="preserve"> </w:t>
            </w:r>
          </w:p>
          <w:p w14:paraId="5E13E966"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(2) The value of </w:t>
            </w:r>
            <w:proofErr w:type="gramStart"/>
            <w:r w:rsidRPr="00917EC6">
              <w:rPr>
                <w:rFonts w:ascii="Century Gothic" w:hAnsi="Century Gothic"/>
                <w:szCs w:val="22"/>
              </w:rPr>
              <w:t>assets;</w:t>
            </w:r>
            <w:proofErr w:type="gramEnd"/>
            <w:r w:rsidRPr="00917EC6">
              <w:rPr>
                <w:rFonts w:ascii="Century Gothic" w:hAnsi="Century Gothic"/>
                <w:szCs w:val="22"/>
              </w:rPr>
              <w:t xml:space="preserve"> </w:t>
            </w:r>
          </w:p>
          <w:p w14:paraId="3CEDE591"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(3) Expenses related to</w:t>
            </w:r>
          </w:p>
          <w:p w14:paraId="0D8CBAA7"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deductions from annual</w:t>
            </w:r>
          </w:p>
          <w:p w14:paraId="6AE15D60"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income; and </w:t>
            </w:r>
          </w:p>
          <w:p w14:paraId="62C81B5E"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(4) Other factors that affect the</w:t>
            </w:r>
          </w:p>
          <w:p w14:paraId="31CEC9C7"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determination of adjusted</w:t>
            </w:r>
          </w:p>
          <w:p w14:paraId="651FAEF5"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income.</w:t>
            </w:r>
          </w:p>
        </w:tc>
        <w:tc>
          <w:tcPr>
            <w:tcW w:w="2790" w:type="dxa"/>
            <w:tcBorders>
              <w:top w:val="single" w:sz="8" w:space="0" w:color="auto"/>
              <w:left w:val="single" w:sz="4" w:space="0" w:color="auto"/>
              <w:bottom w:val="single" w:sz="8" w:space="0" w:color="auto"/>
              <w:right w:val="single" w:sz="8" w:space="0" w:color="auto"/>
            </w:tcBorders>
            <w:vAlign w:val="bottom"/>
          </w:tcPr>
          <w:p w14:paraId="0B87DAC7"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Only </w:t>
            </w:r>
            <w:proofErr w:type="gramStart"/>
            <w:r w:rsidRPr="00917EC6">
              <w:rPr>
                <w:rFonts w:ascii="Century Gothic" w:hAnsi="Century Gothic"/>
                <w:szCs w:val="22"/>
              </w:rPr>
              <w:t>a self</w:t>
            </w:r>
            <w:proofErr w:type="gramEnd"/>
            <w:r w:rsidRPr="00917EC6">
              <w:rPr>
                <w:rFonts w:ascii="Century Gothic" w:hAnsi="Century Gothic"/>
                <w:szCs w:val="22"/>
              </w:rPr>
              <w:t>-certification will be required for income up to and including $5,000. For income above $5,000 two most recent pay stubs or a W-2 or 1099 dated within 90 days of effective date of re-examination.</w:t>
            </w:r>
          </w:p>
          <w:p w14:paraId="75E0BBBD" w14:textId="77777777" w:rsidR="00B2304E" w:rsidRPr="00917EC6" w:rsidRDefault="00B2304E" w:rsidP="00310FD8">
            <w:pPr>
              <w:rPr>
                <w:rFonts w:ascii="Century Gothic" w:hAnsi="Century Gothic"/>
                <w:szCs w:val="22"/>
              </w:rPr>
            </w:pPr>
          </w:p>
          <w:p w14:paraId="498F2B62" w14:textId="77777777" w:rsidR="00B2304E" w:rsidRPr="00917EC6" w:rsidRDefault="00B2304E" w:rsidP="00310FD8">
            <w:pPr>
              <w:rPr>
                <w:rFonts w:ascii="Century Gothic" w:hAnsi="Century Gothic"/>
                <w:szCs w:val="22"/>
              </w:rPr>
            </w:pPr>
            <w:r w:rsidRPr="00917EC6">
              <w:rPr>
                <w:rFonts w:ascii="Century Gothic" w:hAnsi="Century Gothic"/>
                <w:szCs w:val="22"/>
              </w:rPr>
              <w:t>ECC/HANH will continue to conduct EIV or UIV.</w:t>
            </w:r>
          </w:p>
        </w:tc>
      </w:tr>
      <w:tr w:rsidR="00F714A4" w:rsidRPr="006D6566" w14:paraId="1CC19099" w14:textId="77777777" w:rsidTr="00310FD8">
        <w:trPr>
          <w:trHeight w:val="525"/>
        </w:trPr>
        <w:tc>
          <w:tcPr>
            <w:tcW w:w="1682" w:type="dxa"/>
            <w:tcBorders>
              <w:top w:val="nil"/>
              <w:left w:val="single" w:sz="8" w:space="0" w:color="auto"/>
              <w:bottom w:val="single" w:sz="4" w:space="0" w:color="auto"/>
              <w:right w:val="single" w:sz="8" w:space="0" w:color="auto"/>
            </w:tcBorders>
            <w:vAlign w:val="bottom"/>
          </w:tcPr>
          <w:p w14:paraId="15513511" w14:textId="77777777" w:rsidR="00B2304E" w:rsidRPr="00917EC6" w:rsidRDefault="00B2304E" w:rsidP="00310FD8">
            <w:pPr>
              <w:rPr>
                <w:rFonts w:ascii="Century Gothic" w:hAnsi="Century Gothic"/>
                <w:szCs w:val="22"/>
              </w:rPr>
            </w:pPr>
            <w:r w:rsidRPr="00917EC6">
              <w:rPr>
                <w:rFonts w:ascii="Century Gothic" w:hAnsi="Century Gothic"/>
                <w:szCs w:val="22"/>
              </w:rPr>
              <w:t>Determination of Tenant Total Payment (TTP)</w:t>
            </w:r>
          </w:p>
        </w:tc>
        <w:tc>
          <w:tcPr>
            <w:tcW w:w="1530" w:type="dxa"/>
            <w:tcBorders>
              <w:top w:val="single" w:sz="8" w:space="0" w:color="auto"/>
              <w:left w:val="nil"/>
              <w:bottom w:val="single" w:sz="4" w:space="0" w:color="auto"/>
              <w:right w:val="single" w:sz="8" w:space="0" w:color="auto"/>
            </w:tcBorders>
            <w:vAlign w:val="bottom"/>
          </w:tcPr>
          <w:p w14:paraId="676D99FA" w14:textId="77777777" w:rsidR="00B2304E" w:rsidRPr="00917EC6" w:rsidRDefault="00B2304E" w:rsidP="00310FD8">
            <w:pPr>
              <w:rPr>
                <w:rFonts w:ascii="Century Gothic" w:hAnsi="Century Gothic"/>
                <w:szCs w:val="22"/>
              </w:rPr>
            </w:pPr>
            <w:r w:rsidRPr="00917EC6">
              <w:rPr>
                <w:rFonts w:ascii="Century Gothic" w:hAnsi="Century Gothic"/>
                <w:szCs w:val="22"/>
              </w:rPr>
              <w:t>24 CFR 5.628</w:t>
            </w:r>
          </w:p>
        </w:tc>
        <w:tc>
          <w:tcPr>
            <w:tcW w:w="3870" w:type="dxa"/>
            <w:tcBorders>
              <w:top w:val="single" w:sz="8" w:space="0" w:color="auto"/>
              <w:left w:val="nil"/>
              <w:bottom w:val="single" w:sz="4" w:space="0" w:color="auto"/>
              <w:right w:val="single" w:sz="4" w:space="0" w:color="auto"/>
            </w:tcBorders>
          </w:tcPr>
          <w:p w14:paraId="72B8ECA0"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Determining total tenant payment (TTP). Total tenant payment is the highest of the following amounts, rounded to the nearest dollar:     </w:t>
            </w:r>
          </w:p>
          <w:p w14:paraId="3B5AAA0A"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(1) 30 percent of the family's</w:t>
            </w:r>
          </w:p>
          <w:p w14:paraId="203A1B79"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monthly adjusted </w:t>
            </w:r>
            <w:proofErr w:type="gramStart"/>
            <w:r w:rsidRPr="00917EC6">
              <w:rPr>
                <w:rFonts w:ascii="Century Gothic" w:hAnsi="Century Gothic"/>
                <w:szCs w:val="22"/>
              </w:rPr>
              <w:t>income;</w:t>
            </w:r>
            <w:proofErr w:type="gramEnd"/>
            <w:r w:rsidRPr="00917EC6">
              <w:rPr>
                <w:rFonts w:ascii="Century Gothic" w:hAnsi="Century Gothic"/>
                <w:szCs w:val="22"/>
              </w:rPr>
              <w:t xml:space="preserve"> </w:t>
            </w:r>
          </w:p>
          <w:p w14:paraId="703CC2A0" w14:textId="77777777" w:rsidR="00B2304E" w:rsidRPr="00917EC6" w:rsidRDefault="00B2304E" w:rsidP="00310FD8">
            <w:pPr>
              <w:rPr>
                <w:rFonts w:ascii="Century Gothic" w:hAnsi="Century Gothic"/>
                <w:szCs w:val="22"/>
              </w:rPr>
            </w:pPr>
            <w:r w:rsidRPr="00917EC6">
              <w:rPr>
                <w:rFonts w:ascii="Century Gothic" w:hAnsi="Century Gothic"/>
                <w:szCs w:val="22"/>
              </w:rPr>
              <w:t xml:space="preserve">     (2) 10 percent of the family's </w:t>
            </w:r>
          </w:p>
          <w:p w14:paraId="660373E0" w14:textId="77777777" w:rsidR="00B2304E" w:rsidRDefault="00B2304E" w:rsidP="00310FD8">
            <w:pPr>
              <w:rPr>
                <w:rFonts w:ascii="Century Gothic" w:hAnsi="Century Gothic"/>
                <w:szCs w:val="22"/>
              </w:rPr>
            </w:pPr>
            <w:r w:rsidRPr="00917EC6">
              <w:rPr>
                <w:rFonts w:ascii="Century Gothic" w:hAnsi="Century Gothic"/>
                <w:szCs w:val="22"/>
              </w:rPr>
              <w:lastRenderedPageBreak/>
              <w:t xml:space="preserve">       monthly </w:t>
            </w:r>
            <w:proofErr w:type="gramStart"/>
            <w:r w:rsidRPr="00917EC6">
              <w:rPr>
                <w:rFonts w:ascii="Century Gothic" w:hAnsi="Century Gothic"/>
                <w:szCs w:val="22"/>
              </w:rPr>
              <w:t>income;</w:t>
            </w:r>
            <w:proofErr w:type="gramEnd"/>
            <w:r w:rsidRPr="00917EC6">
              <w:rPr>
                <w:rFonts w:ascii="Century Gothic" w:hAnsi="Century Gothic"/>
                <w:szCs w:val="22"/>
              </w:rPr>
              <w:t xml:space="preserve"> </w:t>
            </w:r>
          </w:p>
          <w:p w14:paraId="347A058D" w14:textId="77777777" w:rsidR="0002697D" w:rsidRPr="00917EC6" w:rsidRDefault="0002697D" w:rsidP="00310FD8">
            <w:pPr>
              <w:rPr>
                <w:rFonts w:ascii="Century Gothic" w:hAnsi="Century Gothic"/>
                <w:szCs w:val="22"/>
              </w:rPr>
            </w:pPr>
          </w:p>
          <w:p w14:paraId="2D814D0A" w14:textId="77777777" w:rsidR="00B2304E" w:rsidRPr="00917EC6" w:rsidRDefault="00B2304E" w:rsidP="00310FD8">
            <w:pPr>
              <w:rPr>
                <w:rFonts w:ascii="Century Gothic" w:hAnsi="Century Gothic"/>
                <w:szCs w:val="22"/>
              </w:rPr>
            </w:pPr>
            <w:r w:rsidRPr="00917EC6">
              <w:rPr>
                <w:rFonts w:ascii="Century Gothic" w:hAnsi="Century Gothic"/>
                <w:szCs w:val="22"/>
              </w:rPr>
              <w:t>(3) if the family is receiving</w:t>
            </w:r>
          </w:p>
          <w:p w14:paraId="6522AA04" w14:textId="77777777" w:rsidR="0002697D" w:rsidRDefault="00B2304E" w:rsidP="00310FD8">
            <w:pPr>
              <w:rPr>
                <w:rFonts w:ascii="Century Gothic" w:hAnsi="Century Gothic"/>
                <w:szCs w:val="22"/>
              </w:rPr>
            </w:pPr>
            <w:r w:rsidRPr="00917EC6">
              <w:rPr>
                <w:rFonts w:ascii="Century Gothic" w:hAnsi="Century Gothic"/>
                <w:szCs w:val="22"/>
              </w:rPr>
              <w:t xml:space="preserve">payments for welfare assistance from a public agency and a part of those payments, adjusted in accordance with the family's actual housing costs, </w:t>
            </w:r>
            <w:proofErr w:type="gramStart"/>
            <w:r w:rsidRPr="00917EC6">
              <w:rPr>
                <w:rFonts w:ascii="Century Gothic" w:hAnsi="Century Gothic"/>
                <w:szCs w:val="22"/>
              </w:rPr>
              <w:t>is</w:t>
            </w:r>
            <w:proofErr w:type="gramEnd"/>
            <w:r w:rsidRPr="00917EC6">
              <w:rPr>
                <w:rFonts w:ascii="Century Gothic" w:hAnsi="Century Gothic"/>
                <w:szCs w:val="22"/>
              </w:rPr>
              <w:t xml:space="preserve"> specifically designated by such agency to meet the family's housing costs, the portion of those payments which is so designated; or </w:t>
            </w:r>
          </w:p>
          <w:p w14:paraId="45F9B692" w14:textId="77777777" w:rsidR="0002697D" w:rsidRDefault="0002697D" w:rsidP="00310FD8">
            <w:pPr>
              <w:rPr>
                <w:rFonts w:ascii="Century Gothic" w:hAnsi="Century Gothic"/>
                <w:szCs w:val="22"/>
              </w:rPr>
            </w:pPr>
          </w:p>
          <w:p w14:paraId="54754B5A" w14:textId="7DE143FA" w:rsidR="00B2304E" w:rsidRPr="00917EC6" w:rsidRDefault="00B2304E" w:rsidP="00310FD8">
            <w:pPr>
              <w:rPr>
                <w:rFonts w:ascii="Century Gothic" w:hAnsi="Century Gothic"/>
                <w:szCs w:val="22"/>
              </w:rPr>
            </w:pPr>
            <w:r w:rsidRPr="00917EC6">
              <w:rPr>
                <w:rFonts w:ascii="Century Gothic" w:hAnsi="Century Gothic"/>
                <w:szCs w:val="22"/>
              </w:rPr>
              <w:t>(4) The minimum rent</w:t>
            </w:r>
          </w:p>
        </w:tc>
        <w:tc>
          <w:tcPr>
            <w:tcW w:w="2790" w:type="dxa"/>
            <w:tcBorders>
              <w:top w:val="single" w:sz="8" w:space="0" w:color="auto"/>
              <w:left w:val="single" w:sz="4" w:space="0" w:color="auto"/>
              <w:bottom w:val="single" w:sz="4" w:space="0" w:color="auto"/>
              <w:right w:val="single" w:sz="8" w:space="0" w:color="auto"/>
            </w:tcBorders>
            <w:vAlign w:val="bottom"/>
          </w:tcPr>
          <w:p w14:paraId="32D8A9EA" w14:textId="77777777" w:rsidR="00B2304E" w:rsidRPr="00917EC6" w:rsidRDefault="00B2304E" w:rsidP="00310FD8">
            <w:pPr>
              <w:rPr>
                <w:rFonts w:ascii="Century Gothic" w:hAnsi="Century Gothic"/>
                <w:szCs w:val="22"/>
              </w:rPr>
            </w:pPr>
            <w:r w:rsidRPr="00917EC6">
              <w:rPr>
                <w:rFonts w:ascii="Century Gothic" w:hAnsi="Century Gothic"/>
                <w:szCs w:val="22"/>
              </w:rPr>
              <w:lastRenderedPageBreak/>
              <w:t xml:space="preserve">TTP based upon income-tiered approach. </w:t>
            </w:r>
            <w:r w:rsidRPr="00917EC6">
              <w:rPr>
                <w:rFonts w:ascii="Century Gothic" w:hAnsi="Century Gothic"/>
                <w:spacing w:val="2"/>
                <w:szCs w:val="22"/>
              </w:rPr>
              <w:t xml:space="preserve">No family shall be subject to an increase in TTP greater than $25.00 a month during the </w:t>
            </w:r>
            <w:proofErr w:type="gramStart"/>
            <w:r w:rsidRPr="00917EC6">
              <w:rPr>
                <w:rFonts w:ascii="Century Gothic" w:hAnsi="Century Gothic"/>
                <w:spacing w:val="2"/>
                <w:szCs w:val="22"/>
              </w:rPr>
              <w:t>second year</w:t>
            </w:r>
            <w:proofErr w:type="gramEnd"/>
            <w:r w:rsidRPr="00917EC6">
              <w:rPr>
                <w:rFonts w:ascii="Century Gothic" w:hAnsi="Century Gothic"/>
                <w:spacing w:val="2"/>
                <w:szCs w:val="22"/>
              </w:rPr>
              <w:t xml:space="preserve"> </w:t>
            </w:r>
            <w:r w:rsidRPr="00917EC6">
              <w:rPr>
                <w:rFonts w:ascii="Century Gothic" w:hAnsi="Century Gothic"/>
                <w:spacing w:val="2"/>
                <w:szCs w:val="22"/>
              </w:rPr>
              <w:lastRenderedPageBreak/>
              <w:t>family is of the Rent Simplification Policy.</w:t>
            </w:r>
          </w:p>
          <w:p w14:paraId="3CFB5744" w14:textId="77777777" w:rsidR="00B2304E" w:rsidRPr="00917EC6" w:rsidRDefault="00B2304E" w:rsidP="00310FD8">
            <w:pPr>
              <w:rPr>
                <w:rFonts w:ascii="Century Gothic" w:hAnsi="Century Gothic"/>
                <w:spacing w:val="2"/>
                <w:szCs w:val="22"/>
              </w:rPr>
            </w:pPr>
          </w:p>
          <w:p w14:paraId="114F9CB4" w14:textId="77777777" w:rsidR="00B2304E" w:rsidRPr="00917EC6" w:rsidRDefault="00B2304E" w:rsidP="00310FD8">
            <w:pPr>
              <w:rPr>
                <w:rFonts w:ascii="Century Gothic" w:hAnsi="Century Gothic"/>
                <w:szCs w:val="22"/>
              </w:rPr>
            </w:pPr>
            <w:r w:rsidRPr="00917EC6">
              <w:rPr>
                <w:rFonts w:ascii="Century Gothic" w:hAnsi="Century Gothic"/>
                <w:spacing w:val="2"/>
                <w:szCs w:val="22"/>
              </w:rPr>
              <w:t>The increase in TTP during the third year of the Rent Simplification Policy shall not exceed $50 a month.</w:t>
            </w:r>
          </w:p>
          <w:p w14:paraId="363B666E" w14:textId="77777777" w:rsidR="00B2304E" w:rsidRPr="00917EC6" w:rsidRDefault="00B2304E" w:rsidP="00310FD8">
            <w:pPr>
              <w:rPr>
                <w:rFonts w:ascii="Century Gothic" w:hAnsi="Century Gothic"/>
                <w:spacing w:val="2"/>
                <w:szCs w:val="22"/>
              </w:rPr>
            </w:pPr>
          </w:p>
          <w:p w14:paraId="1FD556EA" w14:textId="77777777" w:rsidR="00B2304E" w:rsidRPr="00917EC6" w:rsidRDefault="00B2304E" w:rsidP="00310FD8">
            <w:pPr>
              <w:rPr>
                <w:rFonts w:ascii="Century Gothic" w:hAnsi="Century Gothic"/>
                <w:szCs w:val="22"/>
              </w:rPr>
            </w:pPr>
            <w:r w:rsidRPr="00917EC6">
              <w:rPr>
                <w:rFonts w:ascii="Century Gothic" w:hAnsi="Century Gothic"/>
                <w:spacing w:val="2"/>
                <w:szCs w:val="22"/>
              </w:rPr>
              <w:t xml:space="preserve">The increase in TTP during the fourth year of the Rent Simplification Policy shall not </w:t>
            </w:r>
            <w:proofErr w:type="gramStart"/>
            <w:r w:rsidRPr="00917EC6">
              <w:rPr>
                <w:rFonts w:ascii="Century Gothic" w:hAnsi="Century Gothic"/>
                <w:spacing w:val="2"/>
                <w:szCs w:val="22"/>
              </w:rPr>
              <w:t>$75</w:t>
            </w:r>
            <w:proofErr w:type="gramEnd"/>
            <w:r w:rsidRPr="00917EC6">
              <w:rPr>
                <w:rFonts w:ascii="Century Gothic" w:hAnsi="Century Gothic"/>
                <w:spacing w:val="2"/>
                <w:szCs w:val="22"/>
              </w:rPr>
              <w:t xml:space="preserve"> a month.</w:t>
            </w:r>
          </w:p>
          <w:p w14:paraId="56741763" w14:textId="77777777" w:rsidR="00B2304E" w:rsidRPr="00917EC6" w:rsidRDefault="00B2304E" w:rsidP="00310FD8">
            <w:pPr>
              <w:rPr>
                <w:rFonts w:ascii="Century Gothic" w:hAnsi="Century Gothic"/>
                <w:szCs w:val="22"/>
              </w:rPr>
            </w:pPr>
          </w:p>
          <w:p w14:paraId="3EB21CA3" w14:textId="628EF759" w:rsidR="00B2304E" w:rsidRPr="00917EC6" w:rsidRDefault="00B2304E" w:rsidP="00310FD8">
            <w:pPr>
              <w:rPr>
                <w:rFonts w:ascii="Century Gothic" w:hAnsi="Century Gothic"/>
                <w:szCs w:val="22"/>
              </w:rPr>
            </w:pPr>
            <w:r w:rsidRPr="00917EC6">
              <w:rPr>
                <w:rFonts w:ascii="Century Gothic" w:hAnsi="Century Gothic"/>
                <w:spacing w:val="2"/>
                <w:szCs w:val="22"/>
              </w:rPr>
              <w:t xml:space="preserve">The increase in TTP during the fifth </w:t>
            </w:r>
            <w:r w:rsidR="003A7677" w:rsidRPr="00917EC6">
              <w:rPr>
                <w:rFonts w:ascii="Century Gothic" w:hAnsi="Century Gothic"/>
                <w:spacing w:val="2"/>
                <w:szCs w:val="22"/>
              </w:rPr>
              <w:t>year shall</w:t>
            </w:r>
            <w:r w:rsidRPr="00917EC6">
              <w:rPr>
                <w:rFonts w:ascii="Century Gothic" w:hAnsi="Century Gothic"/>
                <w:spacing w:val="2"/>
                <w:szCs w:val="22"/>
              </w:rPr>
              <w:t xml:space="preserve"> not exceed $100 a month above the monthly TTP in the year immediately preceding the implementation of Rent Simplification Policy.</w:t>
            </w:r>
          </w:p>
          <w:p w14:paraId="520173BA" w14:textId="77777777" w:rsidR="00B2304E" w:rsidRPr="00917EC6" w:rsidRDefault="00B2304E" w:rsidP="00310FD8">
            <w:pPr>
              <w:rPr>
                <w:rFonts w:ascii="Century Gothic" w:hAnsi="Century Gothic"/>
                <w:szCs w:val="22"/>
              </w:rPr>
            </w:pPr>
            <w:r w:rsidRPr="00917EC6">
              <w:rPr>
                <w:rFonts w:ascii="Century Gothic" w:hAnsi="Century Gothic"/>
                <w:spacing w:val="2"/>
                <w:szCs w:val="22"/>
              </w:rPr>
              <w:t>These limitations on rent increase shall only apply to increases in TTP that result from the implementation of the Rent Simplification Policy and not rent increases that result from changes in family composition or changes in family income.</w:t>
            </w:r>
          </w:p>
        </w:tc>
      </w:tr>
      <w:tr w:rsidR="00AC5087" w:rsidRPr="006D6566" w14:paraId="128FE6A3" w14:textId="77777777" w:rsidTr="00310FD8">
        <w:trPr>
          <w:trHeight w:val="2394"/>
        </w:trPr>
        <w:tc>
          <w:tcPr>
            <w:tcW w:w="1682" w:type="dxa"/>
            <w:vMerge w:val="restart"/>
            <w:tcBorders>
              <w:top w:val="single" w:sz="4" w:space="0" w:color="auto"/>
              <w:left w:val="single" w:sz="8" w:space="0" w:color="auto"/>
              <w:right w:val="single" w:sz="8" w:space="0" w:color="auto"/>
            </w:tcBorders>
            <w:vAlign w:val="bottom"/>
          </w:tcPr>
          <w:p w14:paraId="48D4F1E2" w14:textId="77777777" w:rsidR="00B2304E" w:rsidRPr="001D101A" w:rsidRDefault="00B2304E" w:rsidP="00310FD8">
            <w:pPr>
              <w:rPr>
                <w:rFonts w:ascii="Century Gothic" w:hAnsi="Century Gothic"/>
                <w:szCs w:val="22"/>
              </w:rPr>
            </w:pPr>
            <w:r w:rsidRPr="001D101A">
              <w:rPr>
                <w:rFonts w:ascii="Century Gothic" w:hAnsi="Century Gothic"/>
                <w:szCs w:val="22"/>
              </w:rPr>
              <w:lastRenderedPageBreak/>
              <w:t>Annual Inspections</w:t>
            </w:r>
          </w:p>
        </w:tc>
        <w:tc>
          <w:tcPr>
            <w:tcW w:w="1530" w:type="dxa"/>
            <w:vMerge w:val="restart"/>
            <w:tcBorders>
              <w:top w:val="single" w:sz="4" w:space="0" w:color="auto"/>
              <w:left w:val="nil"/>
              <w:right w:val="single" w:sz="8" w:space="0" w:color="auto"/>
            </w:tcBorders>
            <w:vAlign w:val="bottom"/>
          </w:tcPr>
          <w:p w14:paraId="2C503CB3" w14:textId="77777777" w:rsidR="00B2304E" w:rsidRPr="001D101A" w:rsidRDefault="00B2304E" w:rsidP="00310FD8">
            <w:pPr>
              <w:rPr>
                <w:rFonts w:ascii="Century Gothic" w:hAnsi="Century Gothic"/>
                <w:szCs w:val="22"/>
              </w:rPr>
            </w:pPr>
            <w:r w:rsidRPr="001D101A">
              <w:rPr>
                <w:rFonts w:ascii="Century Gothic" w:hAnsi="Century Gothic"/>
                <w:szCs w:val="22"/>
              </w:rPr>
              <w:t>24 CFR Part 982.405(a)</w:t>
            </w:r>
          </w:p>
        </w:tc>
        <w:tc>
          <w:tcPr>
            <w:tcW w:w="3870" w:type="dxa"/>
            <w:tcBorders>
              <w:top w:val="single" w:sz="4" w:space="0" w:color="auto"/>
              <w:left w:val="nil"/>
              <w:bottom w:val="single" w:sz="4" w:space="0" w:color="auto"/>
              <w:right w:val="single" w:sz="4" w:space="0" w:color="auto"/>
            </w:tcBorders>
          </w:tcPr>
          <w:p w14:paraId="1D357173" w14:textId="77777777" w:rsidR="00B2304E" w:rsidRPr="001D101A" w:rsidRDefault="00B2304E" w:rsidP="00310FD8">
            <w:pPr>
              <w:rPr>
                <w:rFonts w:ascii="Century Gothic" w:hAnsi="Century Gothic"/>
                <w:szCs w:val="22"/>
              </w:rPr>
            </w:pPr>
            <w:r w:rsidRPr="001D101A">
              <w:rPr>
                <w:rFonts w:ascii="Century Gothic" w:hAnsi="Century Gothic"/>
                <w:szCs w:val="22"/>
              </w:rPr>
              <w:t>ECC/HANH must inspect each unit annually during Section 8 assisted occupancy.</w:t>
            </w:r>
          </w:p>
          <w:p w14:paraId="264E1B20" w14:textId="098F65FD" w:rsidR="00B2304E" w:rsidRPr="001D101A" w:rsidRDefault="00B2304E" w:rsidP="00310FD8">
            <w:pPr>
              <w:rPr>
                <w:rFonts w:ascii="Century Gothic" w:hAnsi="Century Gothic"/>
                <w:szCs w:val="22"/>
              </w:rPr>
            </w:pPr>
            <w:r w:rsidRPr="001D101A">
              <w:rPr>
                <w:rFonts w:ascii="Century Gothic" w:hAnsi="Century Gothic"/>
                <w:szCs w:val="22"/>
              </w:rPr>
              <w:t xml:space="preserve">24 CFRP Part 982.405 (a) states </w:t>
            </w:r>
            <w:r w:rsidR="00272BC4" w:rsidRPr="001D101A">
              <w:rPr>
                <w:rFonts w:ascii="Century Gothic" w:hAnsi="Century Gothic"/>
                <w:szCs w:val="22"/>
              </w:rPr>
              <w:t>that:</w:t>
            </w:r>
            <w:r w:rsidRPr="001D101A">
              <w:rPr>
                <w:rFonts w:ascii="Century Gothic" w:hAnsi="Century Gothic"/>
                <w:szCs w:val="22"/>
              </w:rPr>
              <w:t xml:space="preserve"> The PHA must inspect the unit leased to a family prior to the initial term of the lease, at least annually during assisted occupancy, and at other times as needed, to determine if the unit </w:t>
            </w:r>
            <w:r w:rsidRPr="001D101A">
              <w:rPr>
                <w:rFonts w:ascii="Century Gothic" w:hAnsi="Century Gothic"/>
                <w:szCs w:val="22"/>
              </w:rPr>
              <w:lastRenderedPageBreak/>
              <w:t>meets the HQS. (See §982.305(b)(2) concerning timing of initial inspection by the PHA.)</w:t>
            </w:r>
          </w:p>
        </w:tc>
        <w:tc>
          <w:tcPr>
            <w:tcW w:w="2790" w:type="dxa"/>
            <w:tcBorders>
              <w:top w:val="single" w:sz="4" w:space="0" w:color="auto"/>
              <w:left w:val="single" w:sz="4" w:space="0" w:color="auto"/>
              <w:bottom w:val="single" w:sz="4" w:space="0" w:color="auto"/>
              <w:right w:val="single" w:sz="8" w:space="0" w:color="auto"/>
            </w:tcBorders>
            <w:vAlign w:val="bottom"/>
          </w:tcPr>
          <w:p w14:paraId="1D736601" w14:textId="77777777" w:rsidR="00B2304E" w:rsidRPr="001D101A" w:rsidRDefault="00B2304E" w:rsidP="00310FD8">
            <w:pPr>
              <w:rPr>
                <w:rFonts w:ascii="Century Gothic" w:hAnsi="Century Gothic"/>
                <w:szCs w:val="22"/>
              </w:rPr>
            </w:pPr>
            <w:r w:rsidRPr="001D101A">
              <w:rPr>
                <w:rFonts w:ascii="Century Gothic" w:hAnsi="Century Gothic"/>
                <w:szCs w:val="22"/>
              </w:rPr>
              <w:lastRenderedPageBreak/>
              <w:t xml:space="preserve">ECC/HANH will no longer inspect every unit every year, but will instead inspect units every two years, unless the first unit inspection conducted after the implementation of the Rent Simplification </w:t>
            </w:r>
            <w:r w:rsidRPr="001D101A">
              <w:rPr>
                <w:rFonts w:ascii="Century Gothic" w:hAnsi="Century Gothic"/>
                <w:szCs w:val="22"/>
              </w:rPr>
              <w:lastRenderedPageBreak/>
              <w:t xml:space="preserve">Policy shows that the </w:t>
            </w:r>
            <w:proofErr w:type="gramStart"/>
            <w:r w:rsidRPr="001D101A">
              <w:rPr>
                <w:rFonts w:ascii="Century Gothic" w:hAnsi="Century Gothic"/>
                <w:szCs w:val="22"/>
              </w:rPr>
              <w:t>unit;</w:t>
            </w:r>
            <w:proofErr w:type="gramEnd"/>
          </w:p>
          <w:p w14:paraId="6F1D03DC" w14:textId="77777777" w:rsidR="00B2304E" w:rsidRPr="001D101A" w:rsidRDefault="00B2304E" w:rsidP="00310FD8">
            <w:pPr>
              <w:rPr>
                <w:rFonts w:ascii="Century Gothic" w:hAnsi="Century Gothic"/>
                <w:szCs w:val="22"/>
              </w:rPr>
            </w:pPr>
            <w:r w:rsidRPr="001D101A">
              <w:rPr>
                <w:rFonts w:ascii="Century Gothic" w:hAnsi="Century Gothic"/>
                <w:szCs w:val="22"/>
              </w:rPr>
              <w:t xml:space="preserve">      (1) failed an inspection, or </w:t>
            </w:r>
          </w:p>
          <w:p w14:paraId="472A0469" w14:textId="77777777" w:rsidR="00B2304E" w:rsidRPr="001D101A" w:rsidRDefault="00B2304E" w:rsidP="00310FD8">
            <w:pPr>
              <w:rPr>
                <w:rFonts w:ascii="Century Gothic" w:hAnsi="Century Gothic"/>
                <w:szCs w:val="22"/>
              </w:rPr>
            </w:pPr>
            <w:r w:rsidRPr="001D101A">
              <w:rPr>
                <w:rFonts w:ascii="Century Gothic" w:hAnsi="Century Gothic"/>
                <w:szCs w:val="22"/>
              </w:rPr>
              <w:t xml:space="preserve">      (2) the unit had a </w:t>
            </w:r>
            <w:proofErr w:type="gramStart"/>
            <w:r w:rsidRPr="001D101A">
              <w:rPr>
                <w:rFonts w:ascii="Century Gothic" w:hAnsi="Century Gothic"/>
                <w:szCs w:val="22"/>
              </w:rPr>
              <w:t>failed</w:t>
            </w:r>
            <w:proofErr w:type="gramEnd"/>
          </w:p>
          <w:p w14:paraId="31F802CB" w14:textId="77777777" w:rsidR="00B2304E" w:rsidRPr="001D101A" w:rsidRDefault="00B2304E" w:rsidP="00310FD8">
            <w:pPr>
              <w:rPr>
                <w:rFonts w:ascii="Century Gothic" w:hAnsi="Century Gothic"/>
                <w:szCs w:val="22"/>
              </w:rPr>
            </w:pPr>
            <w:r w:rsidRPr="001D101A">
              <w:rPr>
                <w:rFonts w:ascii="Century Gothic" w:hAnsi="Century Gothic"/>
                <w:szCs w:val="22"/>
              </w:rPr>
              <w:t xml:space="preserve">       inspection </w:t>
            </w:r>
            <w:proofErr w:type="gramStart"/>
            <w:r w:rsidRPr="001D101A">
              <w:rPr>
                <w:rFonts w:ascii="Century Gothic" w:hAnsi="Century Gothic"/>
                <w:szCs w:val="22"/>
              </w:rPr>
              <w:t>in</w:t>
            </w:r>
            <w:proofErr w:type="gramEnd"/>
            <w:r w:rsidRPr="001D101A">
              <w:rPr>
                <w:rFonts w:ascii="Century Gothic" w:hAnsi="Century Gothic"/>
                <w:szCs w:val="22"/>
              </w:rPr>
              <w:t xml:space="preserve"> the three </w:t>
            </w:r>
          </w:p>
        </w:tc>
      </w:tr>
      <w:tr w:rsidR="00AC5087" w:rsidRPr="006D6566" w14:paraId="6D4CB306" w14:textId="77777777" w:rsidTr="00310FD8">
        <w:tc>
          <w:tcPr>
            <w:tcW w:w="1682" w:type="dxa"/>
            <w:vMerge/>
            <w:tcBorders>
              <w:left w:val="single" w:sz="8" w:space="0" w:color="auto"/>
              <w:bottom w:val="single" w:sz="4" w:space="0" w:color="auto"/>
              <w:right w:val="single" w:sz="8" w:space="0" w:color="auto"/>
            </w:tcBorders>
            <w:vAlign w:val="bottom"/>
          </w:tcPr>
          <w:p w14:paraId="358FBA3B" w14:textId="77777777" w:rsidR="00B2304E" w:rsidRPr="00FC3B55" w:rsidRDefault="00B2304E" w:rsidP="00310FD8">
            <w:pPr>
              <w:rPr>
                <w:rFonts w:ascii="Century Gothic" w:hAnsi="Century Gothic"/>
                <w:szCs w:val="22"/>
              </w:rPr>
            </w:pPr>
          </w:p>
        </w:tc>
        <w:tc>
          <w:tcPr>
            <w:tcW w:w="1530" w:type="dxa"/>
            <w:vMerge/>
            <w:tcBorders>
              <w:left w:val="nil"/>
              <w:bottom w:val="single" w:sz="4" w:space="0" w:color="auto"/>
              <w:right w:val="single" w:sz="8" w:space="0" w:color="auto"/>
            </w:tcBorders>
            <w:vAlign w:val="bottom"/>
          </w:tcPr>
          <w:p w14:paraId="65E83A0E" w14:textId="77777777" w:rsidR="00B2304E" w:rsidRPr="00FC3B55" w:rsidRDefault="00B2304E" w:rsidP="00310FD8">
            <w:pPr>
              <w:rPr>
                <w:rFonts w:ascii="Century Gothic" w:hAnsi="Century Gothic"/>
                <w:szCs w:val="22"/>
              </w:rPr>
            </w:pPr>
          </w:p>
        </w:tc>
        <w:tc>
          <w:tcPr>
            <w:tcW w:w="3870" w:type="dxa"/>
            <w:tcBorders>
              <w:top w:val="single" w:sz="4" w:space="0" w:color="auto"/>
              <w:left w:val="nil"/>
              <w:bottom w:val="single" w:sz="4" w:space="0" w:color="auto"/>
              <w:right w:val="single" w:sz="4" w:space="0" w:color="auto"/>
            </w:tcBorders>
          </w:tcPr>
          <w:p w14:paraId="19081603" w14:textId="77777777" w:rsidR="00B2304E" w:rsidRPr="00FC3B55" w:rsidRDefault="00B2304E" w:rsidP="00310FD8">
            <w:pPr>
              <w:rPr>
                <w:rFonts w:ascii="Century Gothic" w:hAnsi="Century Gothic"/>
                <w:szCs w:val="22"/>
              </w:rPr>
            </w:pPr>
          </w:p>
        </w:tc>
        <w:tc>
          <w:tcPr>
            <w:tcW w:w="2790" w:type="dxa"/>
            <w:tcBorders>
              <w:top w:val="single" w:sz="4" w:space="0" w:color="auto"/>
              <w:left w:val="single" w:sz="4" w:space="0" w:color="auto"/>
              <w:bottom w:val="single" w:sz="4" w:space="0" w:color="auto"/>
              <w:right w:val="single" w:sz="8" w:space="0" w:color="auto"/>
            </w:tcBorders>
            <w:vAlign w:val="bottom"/>
          </w:tcPr>
          <w:p w14:paraId="66412C48" w14:textId="77777777" w:rsidR="00B2304E" w:rsidRPr="00FC3B55" w:rsidRDefault="00B2304E" w:rsidP="00310FD8">
            <w:pPr>
              <w:rPr>
                <w:rFonts w:ascii="Century Gothic" w:hAnsi="Century Gothic"/>
                <w:szCs w:val="22"/>
              </w:rPr>
            </w:pPr>
          </w:p>
        </w:tc>
      </w:tr>
      <w:tr w:rsidR="00F714A4" w:rsidRPr="006D6566" w14:paraId="327D9DA9" w14:textId="77777777" w:rsidTr="00B03907">
        <w:trPr>
          <w:trHeight w:val="849"/>
        </w:trPr>
        <w:tc>
          <w:tcPr>
            <w:tcW w:w="1682" w:type="dxa"/>
            <w:tcBorders>
              <w:top w:val="single" w:sz="4" w:space="0" w:color="auto"/>
              <w:left w:val="single" w:sz="8" w:space="0" w:color="auto"/>
              <w:bottom w:val="single" w:sz="4" w:space="0" w:color="auto"/>
              <w:right w:val="single" w:sz="8" w:space="0" w:color="auto"/>
            </w:tcBorders>
            <w:vAlign w:val="bottom"/>
          </w:tcPr>
          <w:p w14:paraId="327CEA76" w14:textId="77777777" w:rsidR="00B2304E" w:rsidRPr="0082332C" w:rsidRDefault="00B2304E" w:rsidP="00310FD8">
            <w:pPr>
              <w:rPr>
                <w:rFonts w:ascii="Century Gothic" w:hAnsi="Century Gothic"/>
                <w:szCs w:val="22"/>
              </w:rPr>
            </w:pPr>
          </w:p>
        </w:tc>
        <w:tc>
          <w:tcPr>
            <w:tcW w:w="1530" w:type="dxa"/>
            <w:tcBorders>
              <w:top w:val="single" w:sz="4" w:space="0" w:color="auto"/>
              <w:left w:val="nil"/>
              <w:bottom w:val="single" w:sz="8" w:space="0" w:color="auto"/>
              <w:right w:val="single" w:sz="8" w:space="0" w:color="auto"/>
            </w:tcBorders>
            <w:vAlign w:val="bottom"/>
          </w:tcPr>
          <w:p w14:paraId="7D3B7F50" w14:textId="77777777" w:rsidR="00B2304E" w:rsidRPr="0082332C" w:rsidRDefault="00B2304E" w:rsidP="00310FD8">
            <w:pPr>
              <w:rPr>
                <w:rFonts w:ascii="Century Gothic" w:hAnsi="Century Gothic"/>
                <w:szCs w:val="22"/>
              </w:rPr>
            </w:pPr>
          </w:p>
        </w:tc>
        <w:tc>
          <w:tcPr>
            <w:tcW w:w="3870" w:type="dxa"/>
            <w:tcBorders>
              <w:top w:val="single" w:sz="4" w:space="0" w:color="auto"/>
              <w:left w:val="nil"/>
              <w:bottom w:val="single" w:sz="8" w:space="0" w:color="auto"/>
              <w:right w:val="single" w:sz="4" w:space="0" w:color="auto"/>
            </w:tcBorders>
          </w:tcPr>
          <w:p w14:paraId="6E902715" w14:textId="77777777" w:rsidR="00B2304E" w:rsidRPr="0082332C" w:rsidRDefault="00B2304E" w:rsidP="00310FD8">
            <w:pPr>
              <w:rPr>
                <w:rFonts w:ascii="Century Gothic" w:hAnsi="Century Gothic"/>
                <w:szCs w:val="22"/>
              </w:rPr>
            </w:pPr>
          </w:p>
        </w:tc>
        <w:tc>
          <w:tcPr>
            <w:tcW w:w="2790" w:type="dxa"/>
            <w:tcBorders>
              <w:top w:val="single" w:sz="4" w:space="0" w:color="auto"/>
              <w:left w:val="single" w:sz="4" w:space="0" w:color="auto"/>
              <w:bottom w:val="single" w:sz="4" w:space="0" w:color="auto"/>
              <w:right w:val="single" w:sz="8" w:space="0" w:color="auto"/>
            </w:tcBorders>
            <w:vAlign w:val="bottom"/>
          </w:tcPr>
          <w:p w14:paraId="2B3836C2" w14:textId="77777777" w:rsidR="00B2304E" w:rsidRPr="0082332C" w:rsidRDefault="00B2304E" w:rsidP="00310FD8">
            <w:pPr>
              <w:rPr>
                <w:rFonts w:ascii="Century Gothic" w:hAnsi="Century Gothic"/>
                <w:szCs w:val="22"/>
              </w:rPr>
            </w:pPr>
            <w:r w:rsidRPr="0082332C">
              <w:rPr>
                <w:rFonts w:ascii="Century Gothic" w:hAnsi="Century Gothic"/>
                <w:szCs w:val="22"/>
              </w:rPr>
              <w:t>years</w:t>
            </w:r>
          </w:p>
          <w:p w14:paraId="26997A22"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prior to the implementation of the Rent Simplification Policy. </w:t>
            </w:r>
          </w:p>
          <w:p w14:paraId="68EF3308" w14:textId="77777777" w:rsidR="00B2304E" w:rsidRPr="0082332C" w:rsidRDefault="00B2304E" w:rsidP="00310FD8">
            <w:pPr>
              <w:rPr>
                <w:rFonts w:ascii="Century Gothic" w:hAnsi="Century Gothic"/>
                <w:szCs w:val="22"/>
              </w:rPr>
            </w:pPr>
          </w:p>
          <w:p w14:paraId="3B859B17" w14:textId="77777777" w:rsidR="00B2304E" w:rsidRPr="0082332C" w:rsidRDefault="00B2304E" w:rsidP="00310FD8">
            <w:pPr>
              <w:rPr>
                <w:rFonts w:ascii="Century Gothic" w:hAnsi="Century Gothic"/>
                <w:szCs w:val="22"/>
              </w:rPr>
            </w:pPr>
            <w:r w:rsidRPr="0082332C">
              <w:rPr>
                <w:rFonts w:ascii="Century Gothic" w:hAnsi="Century Gothic"/>
                <w:szCs w:val="22"/>
              </w:rPr>
              <w:t>A unit must have three consecutive years without a failed inspection to qualify for the bi-annual inspection.</w:t>
            </w:r>
          </w:p>
          <w:p w14:paraId="0F9B8B63" w14:textId="77777777" w:rsidR="00B2304E" w:rsidRPr="0082332C" w:rsidRDefault="00B2304E" w:rsidP="00310FD8">
            <w:pPr>
              <w:rPr>
                <w:rFonts w:ascii="Century Gothic" w:hAnsi="Century Gothic"/>
                <w:szCs w:val="22"/>
              </w:rPr>
            </w:pPr>
          </w:p>
          <w:p w14:paraId="5D3F1A1F" w14:textId="77777777" w:rsidR="00B2304E" w:rsidRPr="0082332C" w:rsidRDefault="00B2304E" w:rsidP="00310FD8">
            <w:pPr>
              <w:rPr>
                <w:rFonts w:ascii="Century Gothic" w:hAnsi="Century Gothic"/>
                <w:bCs/>
                <w:szCs w:val="22"/>
              </w:rPr>
            </w:pPr>
            <w:r w:rsidRPr="0082332C">
              <w:rPr>
                <w:rFonts w:ascii="Century Gothic" w:hAnsi="Century Gothic"/>
                <w:szCs w:val="22"/>
              </w:rPr>
              <w:t>Units for which landlords are requesting increases in HAP payment will also be inspected prior to ECC/HANH granting any such increase.</w:t>
            </w:r>
          </w:p>
          <w:p w14:paraId="58DA0A33" w14:textId="77777777" w:rsidR="00B2304E" w:rsidRPr="0082332C" w:rsidRDefault="00B2304E" w:rsidP="00310FD8">
            <w:pPr>
              <w:rPr>
                <w:rFonts w:ascii="Century Gothic" w:hAnsi="Century Gothic"/>
                <w:szCs w:val="22"/>
              </w:rPr>
            </w:pPr>
          </w:p>
          <w:p w14:paraId="3FC638CB" w14:textId="77777777" w:rsidR="00B2304E" w:rsidRPr="0082332C" w:rsidRDefault="00B2304E" w:rsidP="00310FD8">
            <w:pPr>
              <w:rPr>
                <w:rFonts w:ascii="Century Gothic" w:hAnsi="Century Gothic"/>
                <w:szCs w:val="22"/>
              </w:rPr>
            </w:pPr>
          </w:p>
        </w:tc>
      </w:tr>
      <w:tr w:rsidR="00AC5087" w:rsidRPr="006D6566" w14:paraId="55BB43C7" w14:textId="77777777" w:rsidTr="00310FD8">
        <w:trPr>
          <w:trHeight w:val="780"/>
        </w:trPr>
        <w:tc>
          <w:tcPr>
            <w:tcW w:w="1682" w:type="dxa"/>
            <w:tcBorders>
              <w:top w:val="single" w:sz="4" w:space="0" w:color="auto"/>
              <w:left w:val="single" w:sz="4" w:space="0" w:color="auto"/>
              <w:bottom w:val="single" w:sz="4" w:space="0" w:color="auto"/>
              <w:right w:val="single" w:sz="4" w:space="0" w:color="auto"/>
            </w:tcBorders>
            <w:vAlign w:val="bottom"/>
          </w:tcPr>
          <w:p w14:paraId="1816350A" w14:textId="77777777" w:rsidR="00B2304E" w:rsidRPr="0082332C" w:rsidRDefault="00B2304E" w:rsidP="00310FD8">
            <w:pPr>
              <w:rPr>
                <w:rFonts w:ascii="Century Gothic" w:hAnsi="Century Gothic"/>
                <w:szCs w:val="22"/>
              </w:rPr>
            </w:pPr>
            <w:r w:rsidRPr="0082332C">
              <w:rPr>
                <w:rFonts w:ascii="Century Gothic" w:hAnsi="Century Gothic"/>
                <w:szCs w:val="22"/>
              </w:rPr>
              <w:t>Waiver of SEMAP Indicator</w:t>
            </w:r>
          </w:p>
        </w:tc>
        <w:tc>
          <w:tcPr>
            <w:tcW w:w="1530" w:type="dxa"/>
            <w:tcBorders>
              <w:top w:val="single" w:sz="8" w:space="0" w:color="auto"/>
              <w:left w:val="single" w:sz="4" w:space="0" w:color="auto"/>
              <w:bottom w:val="single" w:sz="8" w:space="0" w:color="auto"/>
              <w:right w:val="single" w:sz="8" w:space="0" w:color="auto"/>
            </w:tcBorders>
            <w:vAlign w:val="bottom"/>
          </w:tcPr>
          <w:p w14:paraId="26FD6F8A" w14:textId="77777777" w:rsidR="00B2304E" w:rsidRPr="0082332C" w:rsidRDefault="00B2304E" w:rsidP="00310FD8">
            <w:pPr>
              <w:rPr>
                <w:rFonts w:ascii="Century Gothic" w:hAnsi="Century Gothic"/>
                <w:szCs w:val="22"/>
              </w:rPr>
            </w:pPr>
            <w:r w:rsidRPr="0082332C">
              <w:rPr>
                <w:rFonts w:ascii="Century Gothic" w:hAnsi="Century Gothic"/>
                <w:szCs w:val="22"/>
              </w:rPr>
              <w:t>24 CFR Part 985.3(c).</w:t>
            </w:r>
          </w:p>
        </w:tc>
        <w:tc>
          <w:tcPr>
            <w:tcW w:w="3870" w:type="dxa"/>
            <w:tcBorders>
              <w:top w:val="single" w:sz="8" w:space="0" w:color="auto"/>
              <w:left w:val="nil"/>
              <w:bottom w:val="single" w:sz="8" w:space="0" w:color="auto"/>
              <w:right w:val="single" w:sz="4" w:space="0" w:color="auto"/>
            </w:tcBorders>
          </w:tcPr>
          <w:p w14:paraId="63ACCFBB" w14:textId="77777777" w:rsidR="00B2304E" w:rsidRPr="0082332C" w:rsidRDefault="00B2304E" w:rsidP="00310FD8">
            <w:pPr>
              <w:rPr>
                <w:rFonts w:ascii="Century Gothic" w:hAnsi="Century Gothic"/>
                <w:szCs w:val="22"/>
              </w:rPr>
            </w:pPr>
          </w:p>
        </w:tc>
        <w:tc>
          <w:tcPr>
            <w:tcW w:w="2790" w:type="dxa"/>
            <w:tcBorders>
              <w:top w:val="single" w:sz="4" w:space="0" w:color="auto"/>
              <w:left w:val="single" w:sz="4" w:space="0" w:color="auto"/>
              <w:bottom w:val="single" w:sz="8" w:space="0" w:color="auto"/>
              <w:right w:val="single" w:sz="8" w:space="0" w:color="auto"/>
            </w:tcBorders>
            <w:vAlign w:val="bottom"/>
          </w:tcPr>
          <w:p w14:paraId="77AA2786" w14:textId="77777777" w:rsidR="00B2304E" w:rsidRPr="0082332C" w:rsidRDefault="00B2304E" w:rsidP="00310FD8">
            <w:pPr>
              <w:rPr>
                <w:rFonts w:ascii="Century Gothic" w:hAnsi="Century Gothic"/>
                <w:szCs w:val="22"/>
              </w:rPr>
            </w:pPr>
            <w:r w:rsidRPr="0082332C">
              <w:rPr>
                <w:rFonts w:ascii="Century Gothic" w:hAnsi="Century Gothic"/>
                <w:szCs w:val="22"/>
              </w:rPr>
              <w:t xml:space="preserve">Determination of Adjusted Income. Beginning October 1, 2007, Total Tenant Payment will be </w:t>
            </w:r>
            <w:proofErr w:type="gramStart"/>
            <w:r w:rsidRPr="0082332C">
              <w:rPr>
                <w:rFonts w:ascii="Century Gothic" w:hAnsi="Century Gothic"/>
                <w:szCs w:val="22"/>
              </w:rPr>
              <w:t>based</w:t>
            </w:r>
            <w:proofErr w:type="gramEnd"/>
            <w:r w:rsidRPr="0082332C">
              <w:rPr>
                <w:rFonts w:ascii="Century Gothic" w:hAnsi="Century Gothic"/>
                <w:szCs w:val="22"/>
              </w:rPr>
              <w:t xml:space="preserve"> Annual Income by income tiers. </w:t>
            </w:r>
            <w:proofErr w:type="gramStart"/>
            <w:r w:rsidRPr="0082332C">
              <w:rPr>
                <w:rFonts w:ascii="Century Gothic" w:hAnsi="Century Gothic"/>
                <w:szCs w:val="22"/>
              </w:rPr>
              <w:t>Additional</w:t>
            </w:r>
            <w:proofErr w:type="gramEnd"/>
            <w:r w:rsidRPr="0082332C">
              <w:rPr>
                <w:rFonts w:ascii="Century Gothic" w:hAnsi="Century Gothic"/>
                <w:szCs w:val="22"/>
              </w:rPr>
              <w:t xml:space="preserve">, ECC/HANH will no longer include assets of less than $50,000 is the determination of Annual Income. There will no longer be any Mandatory Deductions; </w:t>
            </w:r>
            <w:r w:rsidRPr="0082332C">
              <w:rPr>
                <w:rFonts w:ascii="Century Gothic" w:hAnsi="Century Gothic"/>
                <w:szCs w:val="22"/>
              </w:rPr>
              <w:lastRenderedPageBreak/>
              <w:t>therefore, a waiver of this Section is required by HUD.</w:t>
            </w:r>
          </w:p>
        </w:tc>
      </w:tr>
      <w:tr w:rsidR="00F714A4" w:rsidRPr="006D6566" w14:paraId="5909D56D" w14:textId="77777777" w:rsidTr="00310FD8">
        <w:trPr>
          <w:trHeight w:val="780"/>
        </w:trPr>
        <w:tc>
          <w:tcPr>
            <w:tcW w:w="1682" w:type="dxa"/>
            <w:tcBorders>
              <w:top w:val="single" w:sz="4" w:space="0" w:color="auto"/>
              <w:left w:val="single" w:sz="8" w:space="0" w:color="auto"/>
              <w:bottom w:val="single" w:sz="4" w:space="0" w:color="auto"/>
              <w:right w:val="single" w:sz="8" w:space="0" w:color="auto"/>
            </w:tcBorders>
            <w:vAlign w:val="bottom"/>
          </w:tcPr>
          <w:p w14:paraId="0C240C20" w14:textId="77777777" w:rsidR="00B2304E" w:rsidRPr="00E0071C" w:rsidRDefault="00B2304E" w:rsidP="00310FD8">
            <w:pPr>
              <w:rPr>
                <w:rFonts w:ascii="Century Gothic" w:hAnsi="Century Gothic"/>
                <w:szCs w:val="22"/>
              </w:rPr>
            </w:pPr>
            <w:r w:rsidRPr="00E0071C">
              <w:rPr>
                <w:rFonts w:ascii="Century Gothic" w:hAnsi="Century Gothic"/>
                <w:szCs w:val="22"/>
              </w:rPr>
              <w:lastRenderedPageBreak/>
              <w:t>Waiver of SEMAP Indicator</w:t>
            </w:r>
          </w:p>
        </w:tc>
        <w:tc>
          <w:tcPr>
            <w:tcW w:w="1530" w:type="dxa"/>
            <w:tcBorders>
              <w:top w:val="single" w:sz="8" w:space="0" w:color="auto"/>
              <w:left w:val="nil"/>
              <w:bottom w:val="single" w:sz="8" w:space="0" w:color="auto"/>
              <w:right w:val="single" w:sz="8" w:space="0" w:color="auto"/>
            </w:tcBorders>
            <w:vAlign w:val="bottom"/>
          </w:tcPr>
          <w:p w14:paraId="5DF1F181" w14:textId="77777777" w:rsidR="00B2304E" w:rsidRPr="00E0071C" w:rsidRDefault="00B2304E" w:rsidP="00310FD8">
            <w:pPr>
              <w:rPr>
                <w:rFonts w:ascii="Century Gothic" w:hAnsi="Century Gothic"/>
                <w:szCs w:val="22"/>
              </w:rPr>
            </w:pPr>
            <w:r w:rsidRPr="00E0071C">
              <w:rPr>
                <w:rFonts w:ascii="Century Gothic" w:hAnsi="Century Gothic"/>
                <w:szCs w:val="22"/>
              </w:rPr>
              <w:t>24 CFR Part 985.3(m)</w:t>
            </w:r>
          </w:p>
        </w:tc>
        <w:tc>
          <w:tcPr>
            <w:tcW w:w="3870" w:type="dxa"/>
            <w:tcBorders>
              <w:top w:val="single" w:sz="8" w:space="0" w:color="auto"/>
              <w:left w:val="nil"/>
              <w:bottom w:val="single" w:sz="8" w:space="0" w:color="auto"/>
              <w:right w:val="single" w:sz="4" w:space="0" w:color="auto"/>
            </w:tcBorders>
          </w:tcPr>
          <w:p w14:paraId="25CABF73" w14:textId="77777777" w:rsidR="00B2304E" w:rsidRPr="00E0071C" w:rsidRDefault="00B2304E" w:rsidP="00310FD8">
            <w:pPr>
              <w:rPr>
                <w:rFonts w:ascii="Century Gothic" w:hAnsi="Century Gothic"/>
                <w:szCs w:val="22"/>
              </w:rPr>
            </w:pPr>
          </w:p>
        </w:tc>
        <w:tc>
          <w:tcPr>
            <w:tcW w:w="2790" w:type="dxa"/>
            <w:tcBorders>
              <w:top w:val="single" w:sz="8" w:space="0" w:color="auto"/>
              <w:left w:val="single" w:sz="4" w:space="0" w:color="auto"/>
              <w:bottom w:val="single" w:sz="8" w:space="0" w:color="auto"/>
              <w:right w:val="single" w:sz="8" w:space="0" w:color="auto"/>
            </w:tcBorders>
            <w:vAlign w:val="bottom"/>
          </w:tcPr>
          <w:p w14:paraId="6E1F7398" w14:textId="77777777" w:rsidR="00B2304E" w:rsidRPr="00E0071C" w:rsidRDefault="00B2304E" w:rsidP="00310FD8">
            <w:pPr>
              <w:rPr>
                <w:rFonts w:ascii="Century Gothic" w:hAnsi="Century Gothic"/>
                <w:szCs w:val="22"/>
              </w:rPr>
            </w:pPr>
            <w:r w:rsidRPr="00E0071C">
              <w:rPr>
                <w:rFonts w:ascii="Century Gothic" w:hAnsi="Century Gothic"/>
                <w:szCs w:val="22"/>
              </w:rPr>
              <w:t>Annual HQS Inspections. This   indicator shows whether the</w:t>
            </w:r>
          </w:p>
          <w:p w14:paraId="400B3054" w14:textId="09480235" w:rsidR="00B2304E" w:rsidRPr="00E0071C" w:rsidRDefault="00B2304E" w:rsidP="00310FD8">
            <w:pPr>
              <w:rPr>
                <w:rFonts w:ascii="Century Gothic" w:hAnsi="Century Gothic"/>
                <w:szCs w:val="22"/>
              </w:rPr>
            </w:pPr>
            <w:r w:rsidRPr="00E0071C">
              <w:rPr>
                <w:rFonts w:ascii="Century Gothic" w:hAnsi="Century Gothic"/>
                <w:szCs w:val="22"/>
              </w:rPr>
              <w:t xml:space="preserve"> PHA inspects each unit under contract at least annually. </w:t>
            </w:r>
          </w:p>
          <w:p w14:paraId="0849E8FA" w14:textId="77777777" w:rsidR="00B2304E" w:rsidRPr="00E0071C" w:rsidRDefault="00B2304E" w:rsidP="00310FD8">
            <w:pPr>
              <w:rPr>
                <w:rFonts w:ascii="Century Gothic" w:hAnsi="Century Gothic"/>
                <w:szCs w:val="22"/>
              </w:rPr>
            </w:pPr>
            <w:r w:rsidRPr="00E0071C">
              <w:rPr>
                <w:rFonts w:ascii="Century Gothic" w:hAnsi="Century Gothic"/>
                <w:szCs w:val="22"/>
              </w:rPr>
              <w:t xml:space="preserve">CFR 982.405(a). </w:t>
            </w:r>
          </w:p>
          <w:p w14:paraId="167B65DC" w14:textId="66BA7CFB" w:rsidR="00B2304E" w:rsidRPr="00E0071C" w:rsidRDefault="00B2304E" w:rsidP="00310FD8">
            <w:pPr>
              <w:rPr>
                <w:rFonts w:ascii="Century Gothic" w:hAnsi="Century Gothic"/>
                <w:szCs w:val="22"/>
              </w:rPr>
            </w:pPr>
            <w:r w:rsidRPr="00E0071C">
              <w:rPr>
                <w:rFonts w:ascii="Century Gothic" w:hAnsi="Century Gothic"/>
                <w:szCs w:val="22"/>
              </w:rPr>
              <w:t xml:space="preserve">ECC/HANH will no longer inspect every unit every </w:t>
            </w:r>
            <w:proofErr w:type="gramStart"/>
            <w:r w:rsidRPr="00E0071C">
              <w:rPr>
                <w:rFonts w:ascii="Century Gothic" w:hAnsi="Century Gothic"/>
                <w:szCs w:val="22"/>
              </w:rPr>
              <w:t>year,</w:t>
            </w:r>
            <w:r w:rsidR="000476FC" w:rsidRPr="00E0071C">
              <w:rPr>
                <w:rFonts w:ascii="Century Gothic" w:hAnsi="Century Gothic"/>
                <w:szCs w:val="22"/>
              </w:rPr>
              <w:t xml:space="preserve"> </w:t>
            </w:r>
            <w:r w:rsidRPr="00E0071C">
              <w:rPr>
                <w:rFonts w:ascii="Century Gothic" w:hAnsi="Century Gothic"/>
                <w:szCs w:val="22"/>
              </w:rPr>
              <w:t>but</w:t>
            </w:r>
            <w:proofErr w:type="gramEnd"/>
            <w:r w:rsidRPr="00E0071C">
              <w:rPr>
                <w:rFonts w:ascii="Century Gothic" w:hAnsi="Century Gothic"/>
                <w:szCs w:val="22"/>
              </w:rPr>
              <w:t xml:space="preserve"> will instead inspect a unit every two years unless the unit’s inspection history indicates a need for an annual inspection as set forth above. </w:t>
            </w:r>
          </w:p>
          <w:p w14:paraId="16FF74C1" w14:textId="77777777" w:rsidR="00B2304E" w:rsidRPr="00E0071C" w:rsidRDefault="00B2304E" w:rsidP="00310FD8">
            <w:pPr>
              <w:rPr>
                <w:rFonts w:ascii="Century Gothic" w:hAnsi="Century Gothic"/>
                <w:szCs w:val="22"/>
              </w:rPr>
            </w:pPr>
          </w:p>
          <w:p w14:paraId="612EBCB2" w14:textId="77777777" w:rsidR="00B2304E" w:rsidRPr="00E0071C" w:rsidRDefault="00B2304E" w:rsidP="00310FD8">
            <w:pPr>
              <w:rPr>
                <w:rFonts w:ascii="Century Gothic" w:hAnsi="Century Gothic"/>
                <w:szCs w:val="22"/>
              </w:rPr>
            </w:pPr>
          </w:p>
        </w:tc>
      </w:tr>
      <w:tr w:rsidR="00F714A4" w:rsidRPr="006D6566" w14:paraId="41FFACF1" w14:textId="77777777" w:rsidTr="00310FD8">
        <w:trPr>
          <w:trHeight w:val="780"/>
        </w:trPr>
        <w:tc>
          <w:tcPr>
            <w:tcW w:w="1682" w:type="dxa"/>
            <w:tcBorders>
              <w:top w:val="single" w:sz="4" w:space="0" w:color="auto"/>
              <w:left w:val="single" w:sz="8" w:space="0" w:color="auto"/>
              <w:bottom w:val="single" w:sz="4" w:space="0" w:color="auto"/>
              <w:right w:val="single" w:sz="8" w:space="0" w:color="auto"/>
            </w:tcBorders>
            <w:vAlign w:val="bottom"/>
          </w:tcPr>
          <w:p w14:paraId="694D8B7D" w14:textId="77777777" w:rsidR="00B2304E" w:rsidRPr="00E0071C" w:rsidRDefault="00B2304E" w:rsidP="00310FD8">
            <w:pPr>
              <w:rPr>
                <w:rFonts w:ascii="Century Gothic" w:hAnsi="Century Gothic"/>
                <w:szCs w:val="22"/>
              </w:rPr>
            </w:pPr>
            <w:r w:rsidRPr="00E0071C">
              <w:rPr>
                <w:rFonts w:ascii="Century Gothic" w:hAnsi="Century Gothic"/>
                <w:szCs w:val="22"/>
              </w:rPr>
              <w:t>Waiver of SEMAP Indicator</w:t>
            </w:r>
          </w:p>
        </w:tc>
        <w:tc>
          <w:tcPr>
            <w:tcW w:w="1530" w:type="dxa"/>
            <w:tcBorders>
              <w:top w:val="single" w:sz="8" w:space="0" w:color="auto"/>
              <w:left w:val="nil"/>
              <w:bottom w:val="single" w:sz="8" w:space="0" w:color="auto"/>
              <w:right w:val="single" w:sz="8" w:space="0" w:color="auto"/>
            </w:tcBorders>
            <w:vAlign w:val="bottom"/>
          </w:tcPr>
          <w:p w14:paraId="5EED32E5" w14:textId="77777777" w:rsidR="00B2304E" w:rsidRPr="00E0071C" w:rsidRDefault="00B2304E" w:rsidP="00310FD8">
            <w:pPr>
              <w:rPr>
                <w:rFonts w:ascii="Century Gothic" w:hAnsi="Century Gothic"/>
                <w:szCs w:val="22"/>
              </w:rPr>
            </w:pPr>
            <w:r w:rsidRPr="00E0071C">
              <w:rPr>
                <w:rFonts w:ascii="Century Gothic" w:hAnsi="Century Gothic"/>
                <w:szCs w:val="22"/>
              </w:rPr>
              <w:t>24 CFR Part 985.3 (n)</w:t>
            </w:r>
          </w:p>
        </w:tc>
        <w:tc>
          <w:tcPr>
            <w:tcW w:w="3870" w:type="dxa"/>
            <w:tcBorders>
              <w:top w:val="single" w:sz="8" w:space="0" w:color="auto"/>
              <w:left w:val="nil"/>
              <w:bottom w:val="single" w:sz="8" w:space="0" w:color="auto"/>
              <w:right w:val="single" w:sz="4" w:space="0" w:color="auto"/>
            </w:tcBorders>
          </w:tcPr>
          <w:p w14:paraId="4CC65807" w14:textId="77777777" w:rsidR="00B2304E" w:rsidRPr="00E0071C" w:rsidRDefault="00B2304E" w:rsidP="00310FD8">
            <w:pPr>
              <w:rPr>
                <w:rFonts w:ascii="Century Gothic" w:hAnsi="Century Gothic"/>
                <w:szCs w:val="22"/>
              </w:rPr>
            </w:pPr>
          </w:p>
        </w:tc>
        <w:tc>
          <w:tcPr>
            <w:tcW w:w="2790" w:type="dxa"/>
            <w:tcBorders>
              <w:top w:val="single" w:sz="8" w:space="0" w:color="auto"/>
              <w:left w:val="single" w:sz="4" w:space="0" w:color="auto"/>
              <w:bottom w:val="single" w:sz="8" w:space="0" w:color="auto"/>
              <w:right w:val="single" w:sz="8" w:space="0" w:color="auto"/>
            </w:tcBorders>
            <w:vAlign w:val="bottom"/>
          </w:tcPr>
          <w:p w14:paraId="702BE067" w14:textId="77777777" w:rsidR="00B2304E" w:rsidRPr="00E0071C" w:rsidRDefault="00B2304E" w:rsidP="00310FD8">
            <w:pPr>
              <w:rPr>
                <w:rFonts w:ascii="Century Gothic" w:hAnsi="Century Gothic"/>
                <w:szCs w:val="22"/>
              </w:rPr>
            </w:pPr>
            <w:r w:rsidRPr="00E0071C">
              <w:rPr>
                <w:rFonts w:ascii="Century Gothic" w:hAnsi="Century Gothic"/>
                <w:szCs w:val="22"/>
              </w:rPr>
              <w:t xml:space="preserve">Lease-Up. This indicator shows </w:t>
            </w:r>
          </w:p>
          <w:p w14:paraId="5E4CC3C8" w14:textId="77777777" w:rsidR="00B2304E" w:rsidRPr="00E0071C" w:rsidRDefault="00B2304E" w:rsidP="00310FD8">
            <w:pPr>
              <w:rPr>
                <w:rFonts w:ascii="Century Gothic" w:hAnsi="Century Gothic"/>
                <w:szCs w:val="22"/>
              </w:rPr>
            </w:pPr>
            <w:r w:rsidRPr="00E0071C">
              <w:rPr>
                <w:rFonts w:ascii="Century Gothic" w:hAnsi="Century Gothic"/>
                <w:szCs w:val="22"/>
              </w:rPr>
              <w:t>whether or not ECC/HANH enters HAP contracts for the number of units reserved under ACC for at least one year. ECC/HANH currently has a waiver of this provision and request that it be extended until September 30, 2008</w:t>
            </w:r>
          </w:p>
        </w:tc>
      </w:tr>
      <w:tr w:rsidR="00F714A4" w:rsidRPr="006D6566" w14:paraId="3C885849" w14:textId="77777777" w:rsidTr="00310FD8">
        <w:trPr>
          <w:trHeight w:val="780"/>
        </w:trPr>
        <w:tc>
          <w:tcPr>
            <w:tcW w:w="1682" w:type="dxa"/>
            <w:tcBorders>
              <w:top w:val="single" w:sz="4" w:space="0" w:color="auto"/>
              <w:left w:val="single" w:sz="8" w:space="0" w:color="auto"/>
              <w:bottom w:val="single" w:sz="8" w:space="0" w:color="auto"/>
              <w:right w:val="single" w:sz="8" w:space="0" w:color="auto"/>
            </w:tcBorders>
            <w:vAlign w:val="bottom"/>
          </w:tcPr>
          <w:p w14:paraId="089A78DD" w14:textId="77777777" w:rsidR="00B2304E" w:rsidRPr="00E0071C" w:rsidRDefault="00B2304E" w:rsidP="00310FD8">
            <w:pPr>
              <w:rPr>
                <w:rFonts w:ascii="Century Gothic" w:hAnsi="Century Gothic"/>
                <w:szCs w:val="22"/>
              </w:rPr>
            </w:pPr>
            <w:r w:rsidRPr="00E0071C">
              <w:rPr>
                <w:rFonts w:ascii="Century Gothic" w:hAnsi="Century Gothic"/>
                <w:szCs w:val="22"/>
              </w:rPr>
              <w:t>Portability procedures</w:t>
            </w:r>
          </w:p>
          <w:p w14:paraId="291B6B90" w14:textId="77777777" w:rsidR="00B2304E" w:rsidRPr="00E0071C" w:rsidRDefault="00B2304E" w:rsidP="00310FD8">
            <w:pPr>
              <w:rPr>
                <w:rFonts w:ascii="Century Gothic" w:hAnsi="Century Gothic"/>
                <w:szCs w:val="22"/>
              </w:rPr>
            </w:pPr>
          </w:p>
        </w:tc>
        <w:tc>
          <w:tcPr>
            <w:tcW w:w="1530" w:type="dxa"/>
            <w:tcBorders>
              <w:top w:val="single" w:sz="8" w:space="0" w:color="auto"/>
              <w:left w:val="nil"/>
              <w:bottom w:val="single" w:sz="8" w:space="0" w:color="auto"/>
              <w:right w:val="single" w:sz="8" w:space="0" w:color="auto"/>
            </w:tcBorders>
            <w:vAlign w:val="bottom"/>
          </w:tcPr>
          <w:p w14:paraId="1BFA2C69" w14:textId="77777777" w:rsidR="00B2304E" w:rsidRPr="00E0071C" w:rsidRDefault="00B2304E" w:rsidP="00310FD8">
            <w:pPr>
              <w:rPr>
                <w:rFonts w:ascii="Century Gothic" w:hAnsi="Century Gothic"/>
                <w:szCs w:val="22"/>
              </w:rPr>
            </w:pPr>
            <w:r w:rsidRPr="00E0071C">
              <w:rPr>
                <w:rFonts w:ascii="Century Gothic" w:hAnsi="Century Gothic"/>
                <w:szCs w:val="22"/>
              </w:rPr>
              <w:t>24 CFR Part 983.355 (c) (1)</w:t>
            </w:r>
          </w:p>
        </w:tc>
        <w:tc>
          <w:tcPr>
            <w:tcW w:w="3870" w:type="dxa"/>
            <w:tcBorders>
              <w:top w:val="single" w:sz="8" w:space="0" w:color="auto"/>
              <w:left w:val="nil"/>
              <w:bottom w:val="single" w:sz="8" w:space="0" w:color="auto"/>
              <w:right w:val="single" w:sz="4" w:space="0" w:color="auto"/>
            </w:tcBorders>
          </w:tcPr>
          <w:p w14:paraId="67867B5A" w14:textId="77777777" w:rsidR="00B2304E" w:rsidRPr="00E0071C" w:rsidRDefault="00B2304E" w:rsidP="00310FD8">
            <w:pPr>
              <w:rPr>
                <w:rFonts w:ascii="Century Gothic" w:hAnsi="Century Gothic"/>
                <w:szCs w:val="22"/>
              </w:rPr>
            </w:pPr>
            <w:r w:rsidRPr="00E0071C">
              <w:rPr>
                <w:rFonts w:ascii="Century Gothic" w:hAnsi="Century Gothic"/>
                <w:szCs w:val="22"/>
              </w:rPr>
              <w:t xml:space="preserve">ECC/HANH would like to have the ability </w:t>
            </w:r>
            <w:proofErr w:type="gramStart"/>
            <w:r w:rsidRPr="00E0071C">
              <w:rPr>
                <w:rFonts w:ascii="Century Gothic" w:hAnsi="Century Gothic"/>
                <w:szCs w:val="22"/>
              </w:rPr>
              <w:t>to re-</w:t>
            </w:r>
            <w:proofErr w:type="gramEnd"/>
            <w:r w:rsidRPr="00E0071C">
              <w:rPr>
                <w:rFonts w:ascii="Century Gothic" w:hAnsi="Century Gothic"/>
                <w:szCs w:val="22"/>
              </w:rPr>
              <w:t>determine the eligibility of adult household members by performing a background check to ensure that family members do not have a criminal background.</w:t>
            </w:r>
          </w:p>
          <w:p w14:paraId="2D372947" w14:textId="77777777" w:rsidR="00B2304E" w:rsidRPr="00E0071C" w:rsidRDefault="00B2304E" w:rsidP="00310FD8">
            <w:pPr>
              <w:rPr>
                <w:rFonts w:ascii="Century Gothic" w:hAnsi="Century Gothic"/>
                <w:szCs w:val="22"/>
              </w:rPr>
            </w:pPr>
          </w:p>
        </w:tc>
        <w:tc>
          <w:tcPr>
            <w:tcW w:w="2790" w:type="dxa"/>
            <w:tcBorders>
              <w:top w:val="single" w:sz="8" w:space="0" w:color="auto"/>
              <w:left w:val="single" w:sz="4" w:space="0" w:color="auto"/>
              <w:bottom w:val="single" w:sz="8" w:space="0" w:color="auto"/>
              <w:right w:val="single" w:sz="8" w:space="0" w:color="auto"/>
            </w:tcBorders>
            <w:vAlign w:val="bottom"/>
          </w:tcPr>
          <w:p w14:paraId="38374CC1" w14:textId="77777777" w:rsidR="00B2304E" w:rsidRPr="00E0071C" w:rsidRDefault="00B2304E" w:rsidP="00310FD8">
            <w:pPr>
              <w:rPr>
                <w:rFonts w:ascii="Century Gothic" w:hAnsi="Century Gothic"/>
                <w:bCs/>
                <w:szCs w:val="22"/>
              </w:rPr>
            </w:pPr>
          </w:p>
        </w:tc>
      </w:tr>
    </w:tbl>
    <w:p w14:paraId="55AFCFFF" w14:textId="77777777" w:rsidR="00B2304E" w:rsidRPr="00E0071C" w:rsidRDefault="00B2304E" w:rsidP="00B2304E">
      <w:pPr>
        <w:rPr>
          <w:rFonts w:ascii="Century Gothic" w:hAnsi="Century Gothic"/>
          <w:szCs w:val="22"/>
        </w:rPr>
      </w:pPr>
    </w:p>
    <w:tbl>
      <w:tblPr>
        <w:tblStyle w:val="TableGrid2"/>
        <w:tblW w:w="0" w:type="auto"/>
        <w:tblInd w:w="-95" w:type="dxa"/>
        <w:tblLook w:val="04A0" w:firstRow="1" w:lastRow="0" w:firstColumn="1" w:lastColumn="0" w:noHBand="0" w:noVBand="1"/>
      </w:tblPr>
      <w:tblGrid>
        <w:gridCol w:w="1756"/>
        <w:gridCol w:w="1582"/>
        <w:gridCol w:w="3919"/>
        <w:gridCol w:w="2700"/>
      </w:tblGrid>
      <w:tr w:rsidR="00B2304E" w:rsidRPr="006D6566" w14:paraId="330A0526" w14:textId="77777777" w:rsidTr="4566E4F4">
        <w:tc>
          <w:tcPr>
            <w:tcW w:w="1670" w:type="dxa"/>
          </w:tcPr>
          <w:p w14:paraId="54CB3D8E" w14:textId="77777777" w:rsidR="00B2304E" w:rsidRPr="00E0071C" w:rsidRDefault="00B2304E" w:rsidP="00310FD8">
            <w:pPr>
              <w:rPr>
                <w:rFonts w:ascii="Century Gothic" w:eastAsia="Calibri" w:hAnsi="Century Gothic"/>
                <w:szCs w:val="22"/>
              </w:rPr>
            </w:pPr>
            <w:r w:rsidRPr="00E0071C">
              <w:rPr>
                <w:rFonts w:ascii="Century Gothic" w:eastAsia="Calibri" w:hAnsi="Century Gothic"/>
                <w:szCs w:val="22"/>
              </w:rPr>
              <w:lastRenderedPageBreak/>
              <w:t xml:space="preserve">Waiver of Requirement to give 12 </w:t>
            </w:r>
            <w:proofErr w:type="gramStart"/>
            <w:r w:rsidRPr="00E0071C">
              <w:rPr>
                <w:rFonts w:ascii="Century Gothic" w:eastAsia="Calibri" w:hAnsi="Century Gothic"/>
                <w:szCs w:val="22"/>
              </w:rPr>
              <w:t>month</w:t>
            </w:r>
            <w:proofErr w:type="gramEnd"/>
            <w:r w:rsidRPr="00E0071C">
              <w:rPr>
                <w:rFonts w:ascii="Century Gothic" w:eastAsia="Calibri" w:hAnsi="Century Gothic"/>
                <w:szCs w:val="22"/>
              </w:rPr>
              <w:t xml:space="preserve"> notice to family about Payment Standard decrease</w:t>
            </w:r>
          </w:p>
        </w:tc>
        <w:tc>
          <w:tcPr>
            <w:tcW w:w="1582" w:type="dxa"/>
          </w:tcPr>
          <w:p w14:paraId="14055B36" w14:textId="77777777" w:rsidR="00B2304E" w:rsidRPr="00E0071C" w:rsidRDefault="00B2304E" w:rsidP="00310FD8">
            <w:pPr>
              <w:rPr>
                <w:rFonts w:ascii="Century Gothic" w:eastAsia="Calibri" w:hAnsi="Century Gothic"/>
                <w:szCs w:val="22"/>
              </w:rPr>
            </w:pPr>
            <w:r w:rsidRPr="00E0071C">
              <w:rPr>
                <w:rFonts w:ascii="Century Gothic" w:eastAsia="Calibri" w:hAnsi="Century Gothic"/>
                <w:szCs w:val="22"/>
              </w:rPr>
              <w:t>24 CFR 982.505 (3)(iii)</w:t>
            </w:r>
          </w:p>
        </w:tc>
        <w:tc>
          <w:tcPr>
            <w:tcW w:w="3919" w:type="dxa"/>
          </w:tcPr>
          <w:p w14:paraId="2C88EC4D" w14:textId="77777777" w:rsidR="00B2304E" w:rsidRPr="00E0071C" w:rsidRDefault="00B2304E" w:rsidP="00310FD8">
            <w:pPr>
              <w:rPr>
                <w:rFonts w:ascii="Century Gothic" w:eastAsia="Calibri" w:hAnsi="Century Gothic"/>
                <w:szCs w:val="22"/>
              </w:rPr>
            </w:pPr>
            <w:r w:rsidRPr="00E0071C">
              <w:rPr>
                <w:rFonts w:ascii="Century Gothic" w:eastAsia="Calibri" w:hAnsi="Century Gothic"/>
                <w:szCs w:val="22"/>
              </w:rPr>
              <w:t>(iii) The PHA must provide the family with at least 12 months' notice that the payment standard is being reduced during the term of the HAP contract before the effective date of the change.</w:t>
            </w:r>
          </w:p>
        </w:tc>
        <w:tc>
          <w:tcPr>
            <w:tcW w:w="2700" w:type="dxa"/>
          </w:tcPr>
          <w:p w14:paraId="1BDE1CF8" w14:textId="77777777" w:rsidR="00B2304E" w:rsidRPr="00E0071C" w:rsidRDefault="00B2304E" w:rsidP="00310FD8">
            <w:pPr>
              <w:rPr>
                <w:rFonts w:ascii="Century Gothic" w:eastAsia="Calibri" w:hAnsi="Century Gothic"/>
                <w:szCs w:val="22"/>
              </w:rPr>
            </w:pPr>
            <w:r w:rsidRPr="00E0071C">
              <w:rPr>
                <w:rFonts w:ascii="Century Gothic" w:eastAsia="Calibri" w:hAnsi="Century Gothic"/>
                <w:szCs w:val="22"/>
              </w:rPr>
              <w:t xml:space="preserve">The PHA will notify families at the time of biennial or triennial recertification that the payment standard may increase or decrease at the next reexamination based on the </w:t>
            </w:r>
            <w:proofErr w:type="gramStart"/>
            <w:r w:rsidRPr="00E0071C">
              <w:rPr>
                <w:rFonts w:ascii="Century Gothic" w:eastAsia="Calibri" w:hAnsi="Century Gothic"/>
                <w:szCs w:val="22"/>
              </w:rPr>
              <w:t>approve</w:t>
            </w:r>
            <w:proofErr w:type="gramEnd"/>
            <w:r w:rsidRPr="00E0071C">
              <w:rPr>
                <w:rFonts w:ascii="Century Gothic" w:eastAsia="Calibri" w:hAnsi="Century Gothic"/>
                <w:szCs w:val="22"/>
              </w:rPr>
              <w:t xml:space="preserve"> FMR at that time.</w:t>
            </w:r>
          </w:p>
        </w:tc>
      </w:tr>
      <w:tr w:rsidR="00B2304E" w:rsidRPr="006D6566" w14:paraId="60589DB0" w14:textId="77777777" w:rsidTr="4566E4F4">
        <w:tc>
          <w:tcPr>
            <w:tcW w:w="1670" w:type="dxa"/>
          </w:tcPr>
          <w:p w14:paraId="22745F58" w14:textId="77777777" w:rsidR="00B2304E" w:rsidRPr="00E0071C" w:rsidRDefault="5F19D5CB" w:rsidP="4566E4F4">
            <w:pPr>
              <w:rPr>
                <w:rFonts w:ascii="Century Gothic" w:eastAsia="Times New Roman" w:hAnsi="Century Gothic"/>
              </w:rPr>
            </w:pPr>
            <w:r w:rsidRPr="00E0071C">
              <w:rPr>
                <w:rFonts w:ascii="Century Gothic" w:eastAsia="Times New Roman" w:hAnsi="Century Gothic"/>
              </w:rPr>
              <w:t>Waiver to allow a decrease in payment standard the effective date of the family’s second regular reexamination following the effective date of the decrease in payment standard.</w:t>
            </w:r>
          </w:p>
        </w:tc>
        <w:tc>
          <w:tcPr>
            <w:tcW w:w="1582" w:type="dxa"/>
          </w:tcPr>
          <w:p w14:paraId="657A72F5" w14:textId="77777777" w:rsidR="00B2304E" w:rsidRPr="00E0071C" w:rsidRDefault="00B2304E" w:rsidP="4566E4F4">
            <w:pPr>
              <w:rPr>
                <w:rFonts w:ascii="Century Gothic" w:eastAsia="Times New Roman" w:hAnsi="Century Gothic"/>
              </w:rPr>
            </w:pPr>
          </w:p>
        </w:tc>
        <w:tc>
          <w:tcPr>
            <w:tcW w:w="3919" w:type="dxa"/>
          </w:tcPr>
          <w:p w14:paraId="2598FF7E" w14:textId="77777777" w:rsidR="00B2304E" w:rsidRPr="00E0071C" w:rsidRDefault="5F19D5CB" w:rsidP="4566E4F4">
            <w:pPr>
              <w:rPr>
                <w:rFonts w:ascii="Century Gothic" w:eastAsia="Times New Roman" w:hAnsi="Century Gothic"/>
              </w:rPr>
            </w:pPr>
            <w:r w:rsidRPr="00E0071C">
              <w:rPr>
                <w:rFonts w:ascii="Century Gothic" w:eastAsia="Times New Roman" w:hAnsi="Century Gothic"/>
              </w:rPr>
              <w:t xml:space="preserve">The initial reduction in payment standard cannot take place before the effective date of the family’s second regular reexamination following the effective date of the decrease in payment standard. </w:t>
            </w:r>
          </w:p>
        </w:tc>
        <w:tc>
          <w:tcPr>
            <w:tcW w:w="2700" w:type="dxa"/>
          </w:tcPr>
          <w:p w14:paraId="798E3A1F" w14:textId="77777777" w:rsidR="00B2304E" w:rsidRPr="00E0071C" w:rsidRDefault="5F19D5CB" w:rsidP="4566E4F4">
            <w:pPr>
              <w:rPr>
                <w:rFonts w:ascii="Century Gothic" w:eastAsia="Times New Roman" w:hAnsi="Century Gothic"/>
              </w:rPr>
            </w:pPr>
            <w:r w:rsidRPr="00E0071C">
              <w:rPr>
                <w:rFonts w:ascii="Century Gothic" w:eastAsia="Times New Roman" w:hAnsi="Century Gothic"/>
              </w:rPr>
              <w:t xml:space="preserve">The PHA will use the payment standard in effect on the date of reexamination whether it is a decrease or an increase. </w:t>
            </w:r>
          </w:p>
        </w:tc>
      </w:tr>
    </w:tbl>
    <w:p w14:paraId="10F8D677" w14:textId="2C8796A2" w:rsidR="63BCA267" w:rsidRPr="00E0071C" w:rsidRDefault="63BCA267" w:rsidP="4566E4F4">
      <w:pPr>
        <w:rPr>
          <w:rFonts w:ascii="Century Gothic" w:eastAsia="Times New Roman" w:hAnsi="Century Gothic"/>
        </w:rPr>
      </w:pPr>
    </w:p>
    <w:p w14:paraId="42A64E77" w14:textId="77777777" w:rsidR="00B2304E" w:rsidRPr="00E0071C" w:rsidRDefault="00B2304E" w:rsidP="4566E4F4">
      <w:pPr>
        <w:rPr>
          <w:rFonts w:ascii="Century Gothic" w:eastAsia="Times New Roman" w:hAnsi="Century Gothic"/>
          <w:b/>
          <w:bCs/>
          <w:kern w:val="32"/>
        </w:rPr>
      </w:pPr>
    </w:p>
    <w:p w14:paraId="011D09CB" w14:textId="77777777" w:rsidR="00B2304E" w:rsidRPr="00E0071C" w:rsidRDefault="00B2304E" w:rsidP="4566E4F4">
      <w:pPr>
        <w:rPr>
          <w:rFonts w:ascii="Century Gothic" w:eastAsia="Times New Roman" w:hAnsi="Century Gothic"/>
        </w:rPr>
      </w:pPr>
      <w:r w:rsidRPr="00E0071C">
        <w:rPr>
          <w:rFonts w:ascii="Century Gothic" w:hAnsi="Century Gothic"/>
          <w:szCs w:val="22"/>
        </w:rPr>
        <w:tab/>
      </w:r>
    </w:p>
    <w:bookmarkEnd w:id="157"/>
    <w:bookmarkEnd w:id="158"/>
    <w:p w14:paraId="5108A97E" w14:textId="5608E430" w:rsidR="00310FD8" w:rsidRPr="00E0071C" w:rsidRDefault="000F74D2" w:rsidP="4566E4F4">
      <w:pPr>
        <w:spacing w:after="160" w:line="276" w:lineRule="auto"/>
        <w:rPr>
          <w:rFonts w:ascii="Century Gothic" w:eastAsia="Times New Roman" w:hAnsi="Century Gothic"/>
        </w:rPr>
      </w:pPr>
      <w:r w:rsidRPr="00E0071C">
        <w:rPr>
          <w:rFonts w:ascii="Century Gothic" w:eastAsia="Times New Roman" w:hAnsi="Century Gothic"/>
        </w:rPr>
        <w:br w:type="page"/>
      </w:r>
    </w:p>
    <w:p w14:paraId="490D010A" w14:textId="77777777" w:rsidR="00310FD8" w:rsidRPr="00E0071C" w:rsidRDefault="00310FD8" w:rsidP="4566E4F4">
      <w:pPr>
        <w:spacing w:after="160" w:line="276" w:lineRule="auto"/>
        <w:jc w:val="center"/>
        <w:rPr>
          <w:rFonts w:ascii="Century Gothic" w:eastAsia="Times New Roman" w:hAnsi="Century Gothic"/>
        </w:rPr>
      </w:pPr>
    </w:p>
    <w:p w14:paraId="0642661F" w14:textId="0FEE6C5E" w:rsidR="00310FD8" w:rsidRPr="00E0071C" w:rsidRDefault="2F00969C" w:rsidP="4566E4F4">
      <w:pPr>
        <w:pStyle w:val="MTWHeader2"/>
        <w:jc w:val="center"/>
        <w:rPr>
          <w:rFonts w:ascii="Century Gothic" w:eastAsia="Times New Roman" w:hAnsi="Century Gothic" w:cs="Times New Roman"/>
          <w:sz w:val="22"/>
          <w:szCs w:val="22"/>
        </w:rPr>
      </w:pPr>
      <w:bookmarkStart w:id="388" w:name="_Toc89871204"/>
      <w:r w:rsidRPr="00E0071C">
        <w:rPr>
          <w:rFonts w:ascii="Century Gothic" w:eastAsia="Times New Roman" w:hAnsi="Century Gothic" w:cs="Times New Roman"/>
          <w:sz w:val="22"/>
          <w:szCs w:val="22"/>
        </w:rPr>
        <w:t>Appendix 7: Actual Capital Expenses and Portfolio Capital Needs</w:t>
      </w:r>
      <w:bookmarkEnd w:id="388"/>
    </w:p>
    <w:p w14:paraId="3C547559" w14:textId="77777777" w:rsidR="00310FD8" w:rsidRPr="00E0071C" w:rsidRDefault="00310FD8" w:rsidP="4566E4F4">
      <w:pPr>
        <w:jc w:val="center"/>
        <w:rPr>
          <w:rFonts w:ascii="Century Gothic" w:eastAsia="Times New Roman" w:hAnsi="Century Gothic"/>
        </w:rPr>
      </w:pPr>
    </w:p>
    <w:p w14:paraId="0F26B91E" w14:textId="77777777" w:rsidR="00310FD8" w:rsidRPr="00E0071C" w:rsidRDefault="2A5E8109" w:rsidP="4566E4F4">
      <w:pPr>
        <w:jc w:val="center"/>
        <w:rPr>
          <w:rFonts w:ascii="Century Gothic" w:eastAsia="Times New Roman" w:hAnsi="Century Gothic"/>
          <w:b/>
          <w:bCs/>
        </w:rPr>
      </w:pPr>
      <w:r w:rsidRPr="00E0071C">
        <w:rPr>
          <w:rFonts w:ascii="Century Gothic" w:eastAsia="Times New Roman" w:hAnsi="Century Gothic"/>
          <w:b/>
          <w:bCs/>
        </w:rPr>
        <w:t>Table of General Description of All Actual Capital Expenses During the Plan Year</w:t>
      </w:r>
    </w:p>
    <w:p w14:paraId="5C9C8760" w14:textId="61C1E009" w:rsidR="053F18CD" w:rsidRPr="00E0071C" w:rsidRDefault="053F18CD">
      <w:pPr>
        <w:rPr>
          <w:rFonts w:ascii="Century Gothic" w:hAnsi="Century Gothic"/>
        </w:rPr>
      </w:pPr>
    </w:p>
    <w:p w14:paraId="2B8CC5BA" w14:textId="675A9ECE" w:rsidR="053F18CD" w:rsidRPr="00E0071C" w:rsidRDefault="053F18CD">
      <w:pPr>
        <w:rPr>
          <w:rFonts w:ascii="Century Gothic" w:hAnsi="Century Gothic"/>
        </w:rPr>
      </w:pPr>
    </w:p>
    <w:p w14:paraId="61E7F35A" w14:textId="2B025941" w:rsidR="053F18CD" w:rsidRPr="00E0071C" w:rsidRDefault="053F18CD">
      <w:pPr>
        <w:rPr>
          <w:rFonts w:ascii="Century Gothic" w:hAnsi="Century Gothic"/>
        </w:rPr>
      </w:pPr>
    </w:p>
    <w:tbl>
      <w:tblPr>
        <w:tblW w:w="0" w:type="auto"/>
        <w:tblLayout w:type="fixed"/>
        <w:tblLook w:val="06A0" w:firstRow="1" w:lastRow="0" w:firstColumn="1" w:lastColumn="0" w:noHBand="1" w:noVBand="1"/>
      </w:tblPr>
      <w:tblGrid>
        <w:gridCol w:w="1455"/>
        <w:gridCol w:w="1372"/>
        <w:gridCol w:w="930"/>
        <w:gridCol w:w="1062"/>
        <w:gridCol w:w="990"/>
        <w:gridCol w:w="533"/>
        <w:gridCol w:w="717"/>
        <w:gridCol w:w="345"/>
        <w:gridCol w:w="1387"/>
        <w:gridCol w:w="2009"/>
      </w:tblGrid>
      <w:tr w:rsidR="053F18CD" w:rsidRPr="006D6566" w14:paraId="7D7D7B8F" w14:textId="77777777" w:rsidTr="00B03907">
        <w:trPr>
          <w:trHeight w:val="1200"/>
        </w:trPr>
        <w:tc>
          <w:tcPr>
            <w:tcW w:w="1455" w:type="dxa"/>
            <w:tcBorders>
              <w:top w:val="nil"/>
              <w:left w:val="nil"/>
              <w:bottom w:val="nil"/>
              <w:right w:val="nil"/>
            </w:tcBorders>
            <w:shd w:val="clear" w:color="auto" w:fill="D6E3BC"/>
            <w:tcMar>
              <w:top w:w="15" w:type="dxa"/>
              <w:left w:w="15" w:type="dxa"/>
              <w:right w:w="15" w:type="dxa"/>
            </w:tcMar>
            <w:vAlign w:val="bottom"/>
          </w:tcPr>
          <w:p w14:paraId="65F13BDB" w14:textId="2EF1D3D6" w:rsidR="053F18CD" w:rsidRPr="00E0071C" w:rsidRDefault="053F18CD" w:rsidP="00B03907">
            <w:pPr>
              <w:jc w:val="center"/>
              <w:rPr>
                <w:rFonts w:ascii="Century Gothic" w:eastAsia="Tahoma" w:hAnsi="Century Gothic" w:cs="Tahoma"/>
                <w:b/>
                <w:bCs/>
                <w:color w:val="60497B"/>
                <w:sz w:val="20"/>
                <w:szCs w:val="20"/>
              </w:rPr>
            </w:pPr>
            <w:r w:rsidRPr="00E0071C">
              <w:rPr>
                <w:rFonts w:ascii="Century Gothic" w:eastAsia="Tahoma" w:hAnsi="Century Gothic" w:cs="Tahoma"/>
                <w:b/>
                <w:bCs/>
                <w:color w:val="60497B"/>
                <w:sz w:val="20"/>
                <w:szCs w:val="20"/>
              </w:rPr>
              <w:t>Description</w:t>
            </w:r>
          </w:p>
        </w:tc>
        <w:tc>
          <w:tcPr>
            <w:tcW w:w="1372" w:type="dxa"/>
            <w:tcBorders>
              <w:top w:val="nil"/>
              <w:left w:val="nil"/>
              <w:bottom w:val="nil"/>
              <w:right w:val="nil"/>
            </w:tcBorders>
            <w:shd w:val="clear" w:color="auto" w:fill="D6E3BC"/>
            <w:tcMar>
              <w:top w:w="15" w:type="dxa"/>
              <w:left w:w="15" w:type="dxa"/>
              <w:right w:w="15" w:type="dxa"/>
            </w:tcMar>
            <w:vAlign w:val="bottom"/>
          </w:tcPr>
          <w:p w14:paraId="14BC86D4" w14:textId="265AC26C" w:rsidR="053F18CD" w:rsidRPr="00E0071C" w:rsidRDefault="053F18CD" w:rsidP="00B03907">
            <w:pPr>
              <w:jc w:val="center"/>
              <w:rPr>
                <w:rFonts w:ascii="Century Gothic" w:eastAsia="Tahoma" w:hAnsi="Century Gothic" w:cs="Tahoma"/>
                <w:b/>
                <w:bCs/>
                <w:color w:val="60497B"/>
                <w:sz w:val="20"/>
                <w:szCs w:val="20"/>
              </w:rPr>
            </w:pPr>
            <w:r w:rsidRPr="00E0071C">
              <w:rPr>
                <w:rFonts w:ascii="Century Gothic" w:eastAsia="Tahoma" w:hAnsi="Century Gothic" w:cs="Tahoma"/>
                <w:b/>
                <w:bCs/>
                <w:color w:val="60497B"/>
                <w:sz w:val="20"/>
                <w:szCs w:val="20"/>
              </w:rPr>
              <w:t>MTW Goal or Initiative</w:t>
            </w:r>
          </w:p>
        </w:tc>
        <w:tc>
          <w:tcPr>
            <w:tcW w:w="930" w:type="dxa"/>
            <w:tcBorders>
              <w:top w:val="nil"/>
              <w:left w:val="nil"/>
              <w:bottom w:val="single" w:sz="8" w:space="0" w:color="60497B"/>
              <w:right w:val="nil"/>
            </w:tcBorders>
            <w:shd w:val="clear" w:color="auto" w:fill="D6E3BC"/>
            <w:tcMar>
              <w:top w:w="15" w:type="dxa"/>
              <w:left w:w="15" w:type="dxa"/>
              <w:right w:w="15" w:type="dxa"/>
            </w:tcMar>
            <w:vAlign w:val="bottom"/>
          </w:tcPr>
          <w:p w14:paraId="0A615330" w14:textId="0D16D536" w:rsidR="053F18CD" w:rsidRPr="00E0071C" w:rsidRDefault="053F18CD" w:rsidP="00B03907">
            <w:pPr>
              <w:jc w:val="center"/>
              <w:rPr>
                <w:rFonts w:ascii="Century Gothic" w:eastAsia="Tahoma" w:hAnsi="Century Gothic" w:cs="Tahoma"/>
                <w:b/>
                <w:bCs/>
                <w:color w:val="60497B"/>
                <w:sz w:val="16"/>
                <w:szCs w:val="16"/>
              </w:rPr>
            </w:pPr>
            <w:r w:rsidRPr="00E0071C">
              <w:rPr>
                <w:rFonts w:ascii="Century Gothic" w:eastAsia="Tahoma" w:hAnsi="Century Gothic" w:cs="Tahoma"/>
                <w:b/>
                <w:bCs/>
                <w:color w:val="60497B"/>
                <w:sz w:val="16"/>
                <w:szCs w:val="16"/>
              </w:rPr>
              <w:t>Capital Expenditures Planned FY 2024</w:t>
            </w:r>
          </w:p>
        </w:tc>
        <w:tc>
          <w:tcPr>
            <w:tcW w:w="1062" w:type="dxa"/>
            <w:tcBorders>
              <w:top w:val="nil"/>
              <w:left w:val="nil"/>
              <w:bottom w:val="single" w:sz="8" w:space="0" w:color="60497B"/>
              <w:right w:val="nil"/>
            </w:tcBorders>
            <w:shd w:val="clear" w:color="auto" w:fill="D6E3BC"/>
            <w:tcMar>
              <w:top w:w="15" w:type="dxa"/>
              <w:left w:w="15" w:type="dxa"/>
              <w:right w:w="15" w:type="dxa"/>
            </w:tcMar>
            <w:vAlign w:val="bottom"/>
          </w:tcPr>
          <w:p w14:paraId="1164A1B7" w14:textId="06265BBA" w:rsidR="053F18CD" w:rsidRPr="00E0071C" w:rsidRDefault="053F18CD" w:rsidP="00B03907">
            <w:pPr>
              <w:jc w:val="center"/>
              <w:rPr>
                <w:rFonts w:ascii="Century Gothic" w:eastAsia="Tahoma" w:hAnsi="Century Gothic" w:cs="Tahoma"/>
                <w:b/>
                <w:bCs/>
                <w:color w:val="60497B"/>
                <w:sz w:val="16"/>
                <w:szCs w:val="16"/>
              </w:rPr>
            </w:pPr>
            <w:r w:rsidRPr="00E0071C">
              <w:rPr>
                <w:rFonts w:ascii="Century Gothic" w:eastAsia="Tahoma" w:hAnsi="Century Gothic" w:cs="Tahoma"/>
                <w:b/>
                <w:bCs/>
                <w:color w:val="60497B"/>
                <w:sz w:val="16"/>
                <w:szCs w:val="16"/>
              </w:rPr>
              <w:t>Capital Expenditures 9-30-24</w:t>
            </w:r>
          </w:p>
        </w:tc>
        <w:tc>
          <w:tcPr>
            <w:tcW w:w="990" w:type="dxa"/>
            <w:tcBorders>
              <w:top w:val="nil"/>
              <w:left w:val="nil"/>
              <w:bottom w:val="single" w:sz="8" w:space="0" w:color="60497B"/>
              <w:right w:val="nil"/>
            </w:tcBorders>
            <w:shd w:val="clear" w:color="auto" w:fill="D6E3BC"/>
            <w:tcMar>
              <w:top w:w="15" w:type="dxa"/>
              <w:left w:w="15" w:type="dxa"/>
              <w:right w:w="15" w:type="dxa"/>
            </w:tcMar>
            <w:vAlign w:val="bottom"/>
          </w:tcPr>
          <w:p w14:paraId="7371D7D3" w14:textId="1CBBA04A" w:rsidR="053F18CD" w:rsidRPr="00E0071C" w:rsidRDefault="053F18CD" w:rsidP="00B03907">
            <w:pPr>
              <w:jc w:val="center"/>
              <w:rPr>
                <w:rFonts w:ascii="Century Gothic" w:eastAsia="Tahoma" w:hAnsi="Century Gothic" w:cs="Tahoma"/>
                <w:b/>
                <w:bCs/>
                <w:color w:val="60497B"/>
                <w:sz w:val="16"/>
                <w:szCs w:val="16"/>
              </w:rPr>
            </w:pPr>
            <w:r w:rsidRPr="00E0071C">
              <w:rPr>
                <w:rFonts w:ascii="Century Gothic" w:eastAsia="Tahoma" w:hAnsi="Century Gothic" w:cs="Tahoma"/>
                <w:b/>
                <w:bCs/>
                <w:color w:val="60497B"/>
                <w:sz w:val="16"/>
                <w:szCs w:val="16"/>
              </w:rPr>
              <w:t>CFP Formula Total</w:t>
            </w:r>
          </w:p>
        </w:tc>
        <w:tc>
          <w:tcPr>
            <w:tcW w:w="533" w:type="dxa"/>
            <w:tcBorders>
              <w:top w:val="nil"/>
              <w:left w:val="nil"/>
              <w:bottom w:val="single" w:sz="8" w:space="0" w:color="60497B"/>
              <w:right w:val="nil"/>
            </w:tcBorders>
            <w:shd w:val="clear" w:color="auto" w:fill="D6E3BC"/>
            <w:tcMar>
              <w:top w:w="15" w:type="dxa"/>
              <w:left w:w="15" w:type="dxa"/>
              <w:right w:w="15" w:type="dxa"/>
            </w:tcMar>
            <w:vAlign w:val="bottom"/>
          </w:tcPr>
          <w:p w14:paraId="00638C8F" w14:textId="1460DF82" w:rsidR="053F18CD" w:rsidRPr="00E0071C" w:rsidRDefault="053F18CD" w:rsidP="00B03907">
            <w:pPr>
              <w:jc w:val="center"/>
              <w:rPr>
                <w:rFonts w:ascii="Century Gothic" w:eastAsia="Tahoma" w:hAnsi="Century Gothic" w:cs="Tahoma"/>
                <w:b/>
                <w:bCs/>
                <w:color w:val="60497B"/>
                <w:sz w:val="16"/>
                <w:szCs w:val="16"/>
              </w:rPr>
            </w:pPr>
            <w:r w:rsidRPr="00E0071C">
              <w:rPr>
                <w:rFonts w:ascii="Century Gothic" w:eastAsia="Tahoma" w:hAnsi="Century Gothic" w:cs="Tahoma"/>
                <w:b/>
                <w:bCs/>
                <w:color w:val="60497B"/>
                <w:sz w:val="16"/>
                <w:szCs w:val="16"/>
              </w:rPr>
              <w:t>CFP Competitive Awards Total</w:t>
            </w:r>
          </w:p>
        </w:tc>
        <w:tc>
          <w:tcPr>
            <w:tcW w:w="717" w:type="dxa"/>
            <w:tcBorders>
              <w:top w:val="nil"/>
              <w:left w:val="nil"/>
              <w:bottom w:val="single" w:sz="8" w:space="0" w:color="60497B"/>
              <w:right w:val="nil"/>
            </w:tcBorders>
            <w:shd w:val="clear" w:color="auto" w:fill="D6E3BC"/>
            <w:tcMar>
              <w:top w:w="15" w:type="dxa"/>
              <w:left w:w="15" w:type="dxa"/>
              <w:right w:w="15" w:type="dxa"/>
            </w:tcMar>
            <w:vAlign w:val="bottom"/>
          </w:tcPr>
          <w:p w14:paraId="2171BD1D" w14:textId="30C92CEA" w:rsidR="053F18CD" w:rsidRPr="00E0071C" w:rsidRDefault="053F18CD" w:rsidP="00B03907">
            <w:pPr>
              <w:jc w:val="center"/>
              <w:rPr>
                <w:rFonts w:ascii="Century Gothic" w:eastAsia="Tahoma" w:hAnsi="Century Gothic" w:cs="Tahoma"/>
                <w:b/>
                <w:bCs/>
                <w:color w:val="60497B"/>
                <w:sz w:val="16"/>
                <w:szCs w:val="16"/>
              </w:rPr>
            </w:pPr>
            <w:r w:rsidRPr="00E0071C">
              <w:rPr>
                <w:rFonts w:ascii="Century Gothic" w:eastAsia="Tahoma" w:hAnsi="Century Gothic" w:cs="Tahoma"/>
                <w:b/>
                <w:bCs/>
                <w:color w:val="60497B"/>
                <w:sz w:val="16"/>
                <w:szCs w:val="16"/>
              </w:rPr>
              <w:t xml:space="preserve">MTW Total </w:t>
            </w:r>
          </w:p>
        </w:tc>
        <w:tc>
          <w:tcPr>
            <w:tcW w:w="345" w:type="dxa"/>
            <w:tcBorders>
              <w:top w:val="nil"/>
              <w:left w:val="nil"/>
              <w:bottom w:val="single" w:sz="8" w:space="0" w:color="60497B"/>
              <w:right w:val="nil"/>
            </w:tcBorders>
            <w:shd w:val="clear" w:color="auto" w:fill="D6E3BC"/>
            <w:tcMar>
              <w:top w:w="15" w:type="dxa"/>
              <w:left w:w="15" w:type="dxa"/>
              <w:right w:w="15" w:type="dxa"/>
            </w:tcMar>
            <w:vAlign w:val="bottom"/>
          </w:tcPr>
          <w:p w14:paraId="4103292F" w14:textId="40C6F340" w:rsidR="053F18CD" w:rsidRPr="00E0071C" w:rsidRDefault="053F18CD" w:rsidP="00B03907">
            <w:pPr>
              <w:jc w:val="center"/>
              <w:rPr>
                <w:rFonts w:ascii="Century Gothic" w:eastAsia="Tahoma" w:hAnsi="Century Gothic" w:cs="Tahoma"/>
                <w:b/>
                <w:bCs/>
                <w:color w:val="60497B"/>
                <w:sz w:val="16"/>
                <w:szCs w:val="16"/>
              </w:rPr>
            </w:pPr>
            <w:r w:rsidRPr="00E0071C">
              <w:rPr>
                <w:rFonts w:ascii="Century Gothic" w:eastAsia="Tahoma" w:hAnsi="Century Gothic" w:cs="Tahoma"/>
                <w:b/>
                <w:bCs/>
                <w:color w:val="60497B"/>
                <w:sz w:val="16"/>
                <w:szCs w:val="16"/>
              </w:rPr>
              <w:t>Other Total</w:t>
            </w:r>
          </w:p>
        </w:tc>
        <w:tc>
          <w:tcPr>
            <w:tcW w:w="1387" w:type="dxa"/>
            <w:tcBorders>
              <w:top w:val="nil"/>
              <w:left w:val="nil"/>
              <w:bottom w:val="single" w:sz="8" w:space="0" w:color="60497B"/>
              <w:right w:val="nil"/>
            </w:tcBorders>
            <w:shd w:val="clear" w:color="auto" w:fill="D6E3BC"/>
            <w:tcMar>
              <w:top w:w="15" w:type="dxa"/>
              <w:left w:w="15" w:type="dxa"/>
              <w:right w:w="15" w:type="dxa"/>
            </w:tcMar>
            <w:vAlign w:val="bottom"/>
          </w:tcPr>
          <w:p w14:paraId="073B5C46" w14:textId="5FC93682" w:rsidR="053F18CD" w:rsidRPr="00E0071C" w:rsidRDefault="053F18CD" w:rsidP="00B03907">
            <w:pPr>
              <w:jc w:val="center"/>
              <w:rPr>
                <w:rFonts w:ascii="Century Gothic" w:eastAsia="Tahoma" w:hAnsi="Century Gothic" w:cs="Tahoma"/>
                <w:b/>
                <w:bCs/>
                <w:color w:val="60497B"/>
                <w:sz w:val="16"/>
                <w:szCs w:val="16"/>
              </w:rPr>
            </w:pPr>
            <w:r w:rsidRPr="00E0071C">
              <w:rPr>
                <w:rFonts w:ascii="Century Gothic" w:eastAsia="Tahoma" w:hAnsi="Century Gothic" w:cs="Tahoma"/>
                <w:b/>
                <w:bCs/>
                <w:color w:val="60497B"/>
                <w:sz w:val="16"/>
                <w:szCs w:val="16"/>
              </w:rPr>
              <w:t xml:space="preserve">Total </w:t>
            </w:r>
            <w:r w:rsidR="00A575B1" w:rsidRPr="00E0071C">
              <w:rPr>
                <w:rFonts w:ascii="Century Gothic" w:eastAsia="Tahoma" w:hAnsi="Century Gothic" w:cs="Tahoma"/>
                <w:b/>
                <w:bCs/>
                <w:color w:val="60497B"/>
                <w:sz w:val="16"/>
                <w:szCs w:val="16"/>
              </w:rPr>
              <w:t>Estimated Project</w:t>
            </w:r>
            <w:r w:rsidRPr="00E0071C">
              <w:rPr>
                <w:rFonts w:ascii="Century Gothic" w:eastAsia="Tahoma" w:hAnsi="Century Gothic" w:cs="Tahoma"/>
                <w:b/>
                <w:bCs/>
                <w:color w:val="60497B"/>
                <w:sz w:val="16"/>
                <w:szCs w:val="16"/>
              </w:rPr>
              <w:t xml:space="preserve"> Cost</w:t>
            </w:r>
          </w:p>
        </w:tc>
        <w:tc>
          <w:tcPr>
            <w:tcW w:w="2009" w:type="dxa"/>
            <w:tcBorders>
              <w:top w:val="nil"/>
              <w:left w:val="nil"/>
              <w:bottom w:val="single" w:sz="8" w:space="0" w:color="60497B"/>
              <w:right w:val="nil"/>
            </w:tcBorders>
            <w:shd w:val="clear" w:color="auto" w:fill="D6E3BC"/>
            <w:tcMar>
              <w:top w:w="15" w:type="dxa"/>
              <w:left w:w="15" w:type="dxa"/>
              <w:right w:w="15" w:type="dxa"/>
            </w:tcMar>
            <w:vAlign w:val="bottom"/>
          </w:tcPr>
          <w:p w14:paraId="4CE7309F" w14:textId="03EB64F0" w:rsidR="053F18CD" w:rsidRPr="00E0071C" w:rsidRDefault="053F18CD" w:rsidP="00B03907">
            <w:pPr>
              <w:jc w:val="center"/>
              <w:rPr>
                <w:rFonts w:ascii="Century Gothic" w:eastAsia="Tahoma" w:hAnsi="Century Gothic" w:cs="Tahoma"/>
                <w:b/>
                <w:bCs/>
                <w:color w:val="60497B"/>
                <w:sz w:val="20"/>
                <w:szCs w:val="20"/>
              </w:rPr>
            </w:pPr>
            <w:r w:rsidRPr="00E0071C">
              <w:rPr>
                <w:rFonts w:ascii="Century Gothic" w:eastAsia="Tahoma" w:hAnsi="Century Gothic" w:cs="Tahoma"/>
                <w:b/>
                <w:bCs/>
                <w:color w:val="60497B"/>
                <w:sz w:val="20"/>
                <w:szCs w:val="20"/>
              </w:rPr>
              <w:t>Comments</w:t>
            </w:r>
          </w:p>
        </w:tc>
      </w:tr>
      <w:tr w:rsidR="00B03907" w:rsidRPr="006D6566" w14:paraId="0F762B04" w14:textId="77777777" w:rsidTr="00B03907">
        <w:trPr>
          <w:trHeight w:val="2200"/>
        </w:trPr>
        <w:tc>
          <w:tcPr>
            <w:tcW w:w="14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45BD1E32" w14:textId="52B69264" w:rsidR="053F18CD" w:rsidRPr="00E0071C" w:rsidRDefault="053F18CD">
            <w:pPr>
              <w:rPr>
                <w:rFonts w:ascii="Century Gothic" w:eastAsia="Tahoma" w:hAnsi="Century Gothic" w:cs="Tahoma"/>
                <w:b/>
                <w:bCs/>
                <w:color w:val="000000" w:themeColor="text1"/>
                <w:sz w:val="16"/>
                <w:szCs w:val="16"/>
              </w:rPr>
            </w:pPr>
            <w:r w:rsidRPr="00E0071C">
              <w:rPr>
                <w:rFonts w:ascii="Century Gothic" w:eastAsia="Tahoma" w:hAnsi="Century Gothic" w:cs="Tahoma"/>
                <w:b/>
                <w:bCs/>
                <w:color w:val="000000" w:themeColor="text1"/>
                <w:sz w:val="16"/>
                <w:szCs w:val="16"/>
              </w:rPr>
              <w:t>Crawford Interior &amp; Exterior Upgrade, including Health &amp; Safety Work Items</w:t>
            </w:r>
          </w:p>
        </w:tc>
        <w:tc>
          <w:tcPr>
            <w:tcW w:w="1372"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0F4C4D25" w14:textId="61207102" w:rsidR="053F18CD" w:rsidRPr="00E0071C" w:rsidRDefault="053F18CD">
            <w:pPr>
              <w:rPr>
                <w:rFonts w:ascii="Century Gothic" w:eastAsia="Tahoma" w:hAnsi="Century Gothic" w:cs="Tahoma"/>
                <w:b/>
                <w:bCs/>
                <w:sz w:val="16"/>
                <w:szCs w:val="16"/>
              </w:rPr>
            </w:pPr>
            <w:proofErr w:type="gramStart"/>
            <w:r w:rsidRPr="00E0071C">
              <w:rPr>
                <w:rFonts w:ascii="Century Gothic" w:eastAsia="Tahoma" w:hAnsi="Century Gothic" w:cs="Tahoma"/>
                <w:b/>
                <w:bCs/>
                <w:sz w:val="16"/>
                <w:szCs w:val="16"/>
              </w:rPr>
              <w:t>Continue</w:t>
            </w:r>
            <w:proofErr w:type="gramEnd"/>
            <w:r w:rsidRPr="00E0071C">
              <w:rPr>
                <w:rFonts w:ascii="Century Gothic" w:eastAsia="Tahoma" w:hAnsi="Century Gothic" w:cs="Tahoma"/>
                <w:b/>
                <w:bCs/>
                <w:sz w:val="16"/>
                <w:szCs w:val="16"/>
              </w:rPr>
              <w:t xml:space="preserve"> modernization and capital investment in current housing portfolio</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A79BA77" w14:textId="0AB37A1F" w:rsidR="053F18CD" w:rsidRPr="00E0071C" w:rsidRDefault="053F18CD">
            <w:pPr>
              <w:rPr>
                <w:rFonts w:ascii="Century Gothic" w:eastAsia="Tahoma" w:hAnsi="Century Gothic" w:cs="Tahoma"/>
                <w:color w:val="000000" w:themeColor="text1"/>
                <w:sz w:val="16"/>
                <w:szCs w:val="16"/>
              </w:rPr>
            </w:pPr>
            <w:r w:rsidRPr="00E0071C">
              <w:rPr>
                <w:rFonts w:ascii="Century Gothic" w:eastAsia="Tahoma" w:hAnsi="Century Gothic" w:cs="Tahoma"/>
                <w:color w:val="000000" w:themeColor="text1"/>
                <w:sz w:val="16"/>
                <w:szCs w:val="16"/>
              </w:rPr>
              <w:t xml:space="preserve">$1,000,000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494719E" w14:textId="61BD32C0" w:rsidR="053F18CD" w:rsidRPr="00E0071C" w:rsidRDefault="053F18CD">
            <w:pPr>
              <w:rPr>
                <w:rFonts w:ascii="Century Gothic" w:eastAsia="Tahoma" w:hAnsi="Century Gothic" w:cs="Tahoma"/>
                <w:color w:val="000000" w:themeColor="text1"/>
                <w:sz w:val="16"/>
                <w:szCs w:val="16"/>
              </w:rPr>
            </w:pPr>
            <w:r w:rsidRPr="00E0071C">
              <w:rPr>
                <w:rFonts w:ascii="Century Gothic" w:eastAsia="Tahoma" w:hAnsi="Century Gothic" w:cs="Tahoma"/>
                <w:color w:val="000000" w:themeColor="text1"/>
                <w:sz w:val="16"/>
                <w:szCs w:val="16"/>
              </w:rPr>
              <w:t xml:space="preserve">$909,390.62 </w:t>
            </w:r>
          </w:p>
        </w:tc>
        <w:tc>
          <w:tcPr>
            <w:tcW w:w="9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B34CA07" w14:textId="6FBA7951" w:rsidR="053F18CD" w:rsidRPr="00E0071C" w:rsidRDefault="053F18CD">
            <w:pPr>
              <w:rPr>
                <w:rFonts w:ascii="Century Gothic" w:eastAsia="Tahoma" w:hAnsi="Century Gothic" w:cs="Tahoma"/>
                <w:color w:val="000000" w:themeColor="text1"/>
                <w:sz w:val="16"/>
                <w:szCs w:val="16"/>
              </w:rPr>
            </w:pPr>
            <w:r w:rsidRPr="00E0071C">
              <w:rPr>
                <w:rFonts w:ascii="Century Gothic" w:eastAsia="Tahoma" w:hAnsi="Century Gothic" w:cs="Tahoma"/>
                <w:color w:val="000000" w:themeColor="text1"/>
                <w:sz w:val="16"/>
                <w:szCs w:val="16"/>
              </w:rPr>
              <w:t xml:space="preserve">$906,455.62 </w:t>
            </w:r>
          </w:p>
        </w:tc>
        <w:tc>
          <w:tcPr>
            <w:tcW w:w="533" w:type="dxa"/>
            <w:tcBorders>
              <w:top w:val="single" w:sz="12" w:space="0" w:color="FFFFFF" w:themeColor="background1"/>
              <w:left w:val="single" w:sz="8" w:space="0" w:color="FFFFFF" w:themeColor="background1"/>
              <w:bottom w:val="nil"/>
              <w:right w:val="nil"/>
            </w:tcBorders>
            <w:shd w:val="clear" w:color="auto" w:fill="C5D9F1"/>
            <w:tcMar>
              <w:top w:w="15" w:type="dxa"/>
              <w:left w:w="15" w:type="dxa"/>
              <w:right w:w="15" w:type="dxa"/>
            </w:tcMar>
            <w:vAlign w:val="bottom"/>
          </w:tcPr>
          <w:p w14:paraId="63681F21" w14:textId="67EB60C1" w:rsidR="053F18CD" w:rsidRPr="00E0071C" w:rsidRDefault="053F18CD">
            <w:pPr>
              <w:rPr>
                <w:rFonts w:ascii="Century Gothic" w:eastAsia="Tahoma" w:hAnsi="Century Gothic" w:cs="Tahoma"/>
                <w:color w:val="000000" w:themeColor="text1"/>
                <w:sz w:val="16"/>
                <w:szCs w:val="16"/>
              </w:rPr>
            </w:pPr>
            <w:r w:rsidRPr="00E0071C">
              <w:rPr>
                <w:rFonts w:ascii="Century Gothic" w:eastAsia="Tahoma" w:hAnsi="Century Gothic" w:cs="Tahoma"/>
                <w:color w:val="000000" w:themeColor="text1"/>
                <w:sz w:val="16"/>
                <w:szCs w:val="16"/>
              </w:rPr>
              <w:t xml:space="preserve">$0.00 </w:t>
            </w:r>
          </w:p>
        </w:tc>
        <w:tc>
          <w:tcPr>
            <w:tcW w:w="7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2BA40B88" w14:textId="46B88BDB" w:rsidR="053F18CD" w:rsidRPr="00E0071C" w:rsidRDefault="053F18CD">
            <w:pPr>
              <w:rPr>
                <w:rFonts w:ascii="Century Gothic" w:eastAsia="Tahoma" w:hAnsi="Century Gothic" w:cs="Tahoma"/>
                <w:color w:val="000000" w:themeColor="text1"/>
                <w:sz w:val="16"/>
                <w:szCs w:val="16"/>
              </w:rPr>
            </w:pPr>
            <w:r w:rsidRPr="00E0071C">
              <w:rPr>
                <w:rFonts w:ascii="Century Gothic" w:eastAsia="Tahoma" w:hAnsi="Century Gothic" w:cs="Tahoma"/>
                <w:color w:val="000000" w:themeColor="text1"/>
                <w:sz w:val="16"/>
                <w:szCs w:val="16"/>
              </w:rPr>
              <w:t xml:space="preserve">$2,935 </w:t>
            </w:r>
          </w:p>
        </w:tc>
        <w:tc>
          <w:tcPr>
            <w:tcW w:w="3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396AE1CA" w14:textId="577A4006" w:rsidR="053F18CD" w:rsidRPr="00E0071C" w:rsidRDefault="053F18CD">
            <w:pPr>
              <w:rPr>
                <w:rFonts w:ascii="Century Gothic" w:eastAsia="Tahoma" w:hAnsi="Century Gothic" w:cs="Tahoma"/>
                <w:color w:val="000000" w:themeColor="text1"/>
                <w:sz w:val="16"/>
                <w:szCs w:val="16"/>
              </w:rPr>
            </w:pPr>
            <w:r w:rsidRPr="00E0071C">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22AAA661" w14:textId="29AB5015" w:rsidR="053F18CD" w:rsidRPr="00E0071C" w:rsidRDefault="053F18CD">
            <w:pPr>
              <w:rPr>
                <w:rFonts w:ascii="Century Gothic" w:eastAsia="Tahoma" w:hAnsi="Century Gothic" w:cs="Tahoma"/>
                <w:color w:val="000000" w:themeColor="text1"/>
                <w:sz w:val="16"/>
                <w:szCs w:val="16"/>
              </w:rPr>
            </w:pPr>
            <w:r w:rsidRPr="00E0071C">
              <w:rPr>
                <w:rFonts w:ascii="Century Gothic" w:eastAsia="Tahoma" w:hAnsi="Century Gothic" w:cs="Tahoma"/>
                <w:color w:val="000000" w:themeColor="text1"/>
                <w:sz w:val="16"/>
                <w:szCs w:val="16"/>
              </w:rPr>
              <w:t xml:space="preserve">$4,200,000 </w:t>
            </w:r>
          </w:p>
        </w:tc>
        <w:tc>
          <w:tcPr>
            <w:tcW w:w="2009"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262CCC99" w14:textId="3BE5FE4D" w:rsidR="053F18CD" w:rsidRPr="00E0071C" w:rsidRDefault="053F18CD">
            <w:pPr>
              <w:rPr>
                <w:rFonts w:ascii="Century Gothic" w:eastAsia="Tahoma" w:hAnsi="Century Gothic" w:cs="Tahoma"/>
                <w:sz w:val="16"/>
                <w:szCs w:val="16"/>
              </w:rPr>
            </w:pPr>
            <w:r w:rsidRPr="00E0071C">
              <w:rPr>
                <w:rFonts w:ascii="Century Gothic" w:eastAsia="Tahoma" w:hAnsi="Century Gothic" w:cs="Tahoma"/>
                <w:sz w:val="16"/>
                <w:szCs w:val="16"/>
              </w:rPr>
              <w:t>Completed health &amp; safety improvements (electrical panel, fire pump, fire alarm system etc.) initiated in prior years.  Funds were allocated for building repairs needed until future Crawford major redevelopment through RAD conversion.</w:t>
            </w:r>
          </w:p>
        </w:tc>
      </w:tr>
      <w:tr w:rsidR="002A6154" w:rsidRPr="006D6566" w14:paraId="7C436329" w14:textId="77777777" w:rsidTr="00B03907">
        <w:trPr>
          <w:trHeight w:val="2308"/>
        </w:trPr>
        <w:tc>
          <w:tcPr>
            <w:tcW w:w="14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361677A" w14:textId="316241A7" w:rsidR="053F18CD" w:rsidRPr="00E73B25" w:rsidRDefault="053F18CD">
            <w:pPr>
              <w:rPr>
                <w:rFonts w:ascii="Century Gothic" w:eastAsia="Tahoma" w:hAnsi="Century Gothic" w:cs="Tahoma"/>
                <w:b/>
                <w:bCs/>
                <w:sz w:val="16"/>
                <w:szCs w:val="16"/>
              </w:rPr>
            </w:pPr>
            <w:r w:rsidRPr="00E73B25">
              <w:rPr>
                <w:rFonts w:ascii="Century Gothic" w:eastAsia="Tahoma" w:hAnsi="Century Gothic" w:cs="Tahoma"/>
                <w:b/>
                <w:bCs/>
                <w:sz w:val="16"/>
                <w:szCs w:val="16"/>
              </w:rPr>
              <w:t>Wolfe Health-Safety Work: Interior-Exterior Upgrade</w:t>
            </w:r>
          </w:p>
        </w:tc>
        <w:tc>
          <w:tcPr>
            <w:tcW w:w="137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794EF48B" w14:textId="4EAADAB5" w:rsidR="053F18CD" w:rsidRPr="00E73B25" w:rsidRDefault="053F18CD">
            <w:pPr>
              <w:rPr>
                <w:rFonts w:ascii="Century Gothic" w:eastAsia="Tahoma" w:hAnsi="Century Gothic" w:cs="Tahoma"/>
                <w:b/>
                <w:bCs/>
                <w:sz w:val="16"/>
                <w:szCs w:val="16"/>
              </w:rPr>
            </w:pPr>
            <w:proofErr w:type="gramStart"/>
            <w:r w:rsidRPr="00E73B25">
              <w:rPr>
                <w:rFonts w:ascii="Century Gothic" w:eastAsia="Tahoma" w:hAnsi="Century Gothic" w:cs="Tahoma"/>
                <w:b/>
                <w:bCs/>
                <w:sz w:val="16"/>
                <w:szCs w:val="16"/>
              </w:rPr>
              <w:t>Continue</w:t>
            </w:r>
            <w:proofErr w:type="gramEnd"/>
            <w:r w:rsidRPr="00E73B25">
              <w:rPr>
                <w:rFonts w:ascii="Century Gothic" w:eastAsia="Tahoma" w:hAnsi="Century Gothic" w:cs="Tahoma"/>
                <w:b/>
                <w:bCs/>
                <w:sz w:val="16"/>
                <w:szCs w:val="16"/>
              </w:rPr>
              <w:t xml:space="preserve"> modernization and capital investment in current housing portfolio</w:t>
            </w:r>
          </w:p>
        </w:tc>
        <w:tc>
          <w:tcPr>
            <w:tcW w:w="930" w:type="dxa"/>
            <w:tcBorders>
              <w:top w:val="single" w:sz="8"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5DA85530" w14:textId="6FA9D58D"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91D0A29" w14:textId="6DBAE8C9"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$167,432.50 </w:t>
            </w:r>
          </w:p>
        </w:tc>
        <w:tc>
          <w:tcPr>
            <w:tcW w:w="990" w:type="dxa"/>
            <w:tcBorders>
              <w:top w:val="single" w:sz="8" w:space="0" w:color="FFFFFF" w:themeColor="background1"/>
              <w:left w:val="single" w:sz="8"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5E0F83ED" w14:textId="12B9809E"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$138,882.50 </w:t>
            </w:r>
          </w:p>
        </w:tc>
        <w:tc>
          <w:tcPr>
            <w:tcW w:w="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60767A28" w14:textId="41152A96"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$0.00 </w:t>
            </w:r>
          </w:p>
        </w:tc>
        <w:tc>
          <w:tcPr>
            <w:tcW w:w="717" w:type="dxa"/>
            <w:tcBorders>
              <w:top w:val="single" w:sz="12" w:space="0" w:color="FFFFFF" w:themeColor="background1"/>
              <w:left w:val="single" w:sz="8" w:space="0" w:color="FFFFFF" w:themeColor="background1"/>
              <w:bottom w:val="single" w:sz="8" w:space="0" w:color="FFFFFF" w:themeColor="background1"/>
              <w:right w:val="nil"/>
            </w:tcBorders>
            <w:shd w:val="clear" w:color="auto" w:fill="C5D9F1"/>
            <w:tcMar>
              <w:top w:w="15" w:type="dxa"/>
              <w:left w:w="15" w:type="dxa"/>
              <w:right w:w="15" w:type="dxa"/>
            </w:tcMar>
            <w:vAlign w:val="bottom"/>
          </w:tcPr>
          <w:p w14:paraId="2D37A31A" w14:textId="32DAFCEB"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$28,550 </w:t>
            </w:r>
          </w:p>
        </w:tc>
        <w:tc>
          <w:tcPr>
            <w:tcW w:w="34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1445D05B" w14:textId="74CB6F51"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563F4882" w14:textId="62919710"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$2,250,000 </w:t>
            </w:r>
          </w:p>
        </w:tc>
        <w:tc>
          <w:tcPr>
            <w:tcW w:w="2009"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3DB4B35A" w14:textId="3AAF6EB4"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Completed phase 1 common area &amp; phase </w:t>
            </w:r>
            <w:proofErr w:type="gramStart"/>
            <w:r w:rsidRPr="00E73B25">
              <w:rPr>
                <w:rFonts w:ascii="Century Gothic" w:eastAsia="Tahoma" w:hAnsi="Century Gothic" w:cs="Tahoma"/>
                <w:sz w:val="16"/>
                <w:szCs w:val="16"/>
              </w:rPr>
              <w:t>2 unit</w:t>
            </w:r>
            <w:proofErr w:type="gramEnd"/>
            <w:r w:rsidRPr="00E73B25">
              <w:rPr>
                <w:rFonts w:ascii="Century Gothic" w:eastAsia="Tahoma" w:hAnsi="Century Gothic" w:cs="Tahoma"/>
                <w:sz w:val="16"/>
                <w:szCs w:val="16"/>
              </w:rPr>
              <w:t xml:space="preserve"> health &amp; safety improvements contracts. Funds were allocated for building repairs needed until future Wolfe major redevelopment through RAD conversion. Glendower awarded CNI Planning Grant.</w:t>
            </w:r>
          </w:p>
        </w:tc>
      </w:tr>
      <w:tr w:rsidR="003928ED" w:rsidRPr="006D6566" w14:paraId="33F2FB8D" w14:textId="77777777" w:rsidTr="00B03907">
        <w:trPr>
          <w:trHeight w:val="2740"/>
        </w:trPr>
        <w:tc>
          <w:tcPr>
            <w:tcW w:w="14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09DD3361" w14:textId="550947FC" w:rsidR="053F18CD" w:rsidRPr="00E73B25" w:rsidRDefault="053F18CD">
            <w:pPr>
              <w:rPr>
                <w:rFonts w:ascii="Century Gothic" w:eastAsia="Tahoma" w:hAnsi="Century Gothic" w:cs="Tahoma"/>
                <w:b/>
                <w:bCs/>
                <w:sz w:val="16"/>
                <w:szCs w:val="16"/>
              </w:rPr>
            </w:pPr>
            <w:r w:rsidRPr="00E73B25">
              <w:rPr>
                <w:rFonts w:ascii="Century Gothic" w:eastAsia="Tahoma" w:hAnsi="Century Gothic" w:cs="Tahoma"/>
                <w:b/>
                <w:bCs/>
                <w:sz w:val="16"/>
                <w:szCs w:val="16"/>
              </w:rPr>
              <w:t>Essex Health-Safety Work: Interior/Exterior Upgrade</w:t>
            </w:r>
          </w:p>
        </w:tc>
        <w:tc>
          <w:tcPr>
            <w:tcW w:w="137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6F2CFD3B" w14:textId="7A4A2D31" w:rsidR="053F18CD" w:rsidRPr="00E73B25" w:rsidRDefault="053F18CD">
            <w:pPr>
              <w:rPr>
                <w:rFonts w:ascii="Century Gothic" w:eastAsia="Tahoma" w:hAnsi="Century Gothic" w:cs="Tahoma"/>
                <w:b/>
                <w:bCs/>
                <w:sz w:val="16"/>
                <w:szCs w:val="16"/>
              </w:rPr>
            </w:pPr>
            <w:proofErr w:type="gramStart"/>
            <w:r w:rsidRPr="00E73B25">
              <w:rPr>
                <w:rFonts w:ascii="Century Gothic" w:eastAsia="Tahoma" w:hAnsi="Century Gothic" w:cs="Tahoma"/>
                <w:b/>
                <w:bCs/>
                <w:sz w:val="16"/>
                <w:szCs w:val="16"/>
              </w:rPr>
              <w:t>Continue</w:t>
            </w:r>
            <w:proofErr w:type="gramEnd"/>
            <w:r w:rsidRPr="00E73B25">
              <w:rPr>
                <w:rFonts w:ascii="Century Gothic" w:eastAsia="Tahoma" w:hAnsi="Century Gothic" w:cs="Tahoma"/>
                <w:b/>
                <w:bCs/>
                <w:sz w:val="16"/>
                <w:szCs w:val="16"/>
              </w:rPr>
              <w:t xml:space="preserve"> modernization and capital investment in current housing portfolio</w:t>
            </w:r>
          </w:p>
        </w:tc>
        <w:tc>
          <w:tcPr>
            <w:tcW w:w="93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3E73915C" w14:textId="5BF5BFF9"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$500,000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7335D236" w14:textId="5C9F5DE4"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$320,452.98 </w:t>
            </w:r>
          </w:p>
        </w:tc>
        <w:tc>
          <w:tcPr>
            <w:tcW w:w="990" w:type="dxa"/>
            <w:tcBorders>
              <w:top w:val="single" w:sz="12" w:space="0" w:color="FFFFFF" w:themeColor="background1"/>
              <w:left w:val="single" w:sz="8" w:space="0" w:color="FFFFFF" w:themeColor="background1"/>
              <w:bottom w:val="nil"/>
              <w:right w:val="nil"/>
            </w:tcBorders>
            <w:shd w:val="clear" w:color="auto" w:fill="C5D9F1"/>
            <w:tcMar>
              <w:top w:w="15" w:type="dxa"/>
              <w:left w:w="15" w:type="dxa"/>
              <w:right w:w="15" w:type="dxa"/>
            </w:tcMar>
            <w:vAlign w:val="bottom"/>
          </w:tcPr>
          <w:p w14:paraId="0657139E" w14:textId="7EB914AF"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$10,821.19 </w:t>
            </w:r>
          </w:p>
        </w:tc>
        <w:tc>
          <w:tcPr>
            <w:tcW w:w="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864DD64" w14:textId="52D35435"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$0.00 </w:t>
            </w:r>
          </w:p>
        </w:tc>
        <w:tc>
          <w:tcPr>
            <w:tcW w:w="717" w:type="dxa"/>
            <w:tcBorders>
              <w:top w:val="single" w:sz="8" w:space="0" w:color="FFFFFF" w:themeColor="background1"/>
              <w:left w:val="single" w:sz="8" w:space="0" w:color="FFFFFF" w:themeColor="background1"/>
              <w:bottom w:val="nil"/>
              <w:right w:val="nil"/>
            </w:tcBorders>
            <w:shd w:val="clear" w:color="auto" w:fill="C5D9F1"/>
            <w:tcMar>
              <w:top w:w="15" w:type="dxa"/>
              <w:left w:w="15" w:type="dxa"/>
              <w:right w:w="15" w:type="dxa"/>
            </w:tcMar>
            <w:vAlign w:val="bottom"/>
          </w:tcPr>
          <w:p w14:paraId="342783EB" w14:textId="400ED11E"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$309,631.79 </w:t>
            </w:r>
          </w:p>
        </w:tc>
        <w:tc>
          <w:tcPr>
            <w:tcW w:w="345"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2DA9D1FB" w14:textId="7692E09A"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73F833D6" w14:textId="2D757A34"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$2,300,000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688D0900" w14:textId="03AA476A"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Completed exterior envelope &amp; dwelling unit improvements contract. New project to address replacement of basement access doors and foundations, failing carports, replacement of non-code compliant entry stoops &amp; fire-damage repairs bids received September 2024 for implementation in FY 2025.</w:t>
            </w:r>
          </w:p>
        </w:tc>
      </w:tr>
      <w:tr w:rsidR="003928ED" w:rsidRPr="006D6566" w14:paraId="4E1CDD03" w14:textId="77777777" w:rsidTr="053F18CD">
        <w:trPr>
          <w:trHeight w:val="1695"/>
        </w:trPr>
        <w:tc>
          <w:tcPr>
            <w:tcW w:w="14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A3D09B0" w14:textId="72A9F630"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Scattered Sites West Interior/Building/</w:t>
            </w:r>
            <w:r w:rsidR="00A575B1" w:rsidRPr="00E73B25">
              <w:rPr>
                <w:rFonts w:ascii="Century Gothic" w:eastAsia="Tahoma" w:hAnsi="Century Gothic" w:cs="Tahoma"/>
                <w:b/>
                <w:bCs/>
                <w:color w:val="000000" w:themeColor="text1"/>
                <w:sz w:val="16"/>
                <w:szCs w:val="16"/>
              </w:rPr>
              <w:t>Site Upgrades</w:t>
            </w:r>
          </w:p>
        </w:tc>
        <w:tc>
          <w:tcPr>
            <w:tcW w:w="137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7305CD2F" w14:textId="3BFD3DBF"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 xml:space="preserve">Vacancy Reduction-Expand housing </w:t>
            </w:r>
            <w:proofErr w:type="gramStart"/>
            <w:r w:rsidRPr="00E73B25">
              <w:rPr>
                <w:rFonts w:ascii="Century Gothic" w:eastAsia="Tahoma" w:hAnsi="Century Gothic" w:cs="Tahoma"/>
                <w:b/>
                <w:bCs/>
                <w:color w:val="000000" w:themeColor="text1"/>
                <w:sz w:val="16"/>
                <w:szCs w:val="16"/>
              </w:rPr>
              <w:t>choice;</w:t>
            </w:r>
            <w:proofErr w:type="gramEnd"/>
            <w:r w:rsidRPr="00E73B25">
              <w:rPr>
                <w:rFonts w:ascii="Century Gothic" w:eastAsia="Tahoma" w:hAnsi="Century Gothic" w:cs="Tahoma"/>
                <w:b/>
                <w:bCs/>
                <w:color w:val="000000" w:themeColor="text1"/>
                <w:sz w:val="16"/>
                <w:szCs w:val="16"/>
              </w:rPr>
              <w:t xml:space="preserve"> Continue modernization and capital investment in current housing portfolio</w:t>
            </w:r>
          </w:p>
        </w:tc>
        <w:tc>
          <w:tcPr>
            <w:tcW w:w="93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1B091FC7" w14:textId="7FB6035B"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27EC50A1" w14:textId="455B7DC7"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$52,200.50 </w:t>
            </w:r>
          </w:p>
        </w:tc>
        <w:tc>
          <w:tcPr>
            <w:tcW w:w="990"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1292CF04" w14:textId="4E472C9B"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$50,654.00 </w:t>
            </w:r>
          </w:p>
        </w:tc>
        <w:tc>
          <w:tcPr>
            <w:tcW w:w="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6520DB95" w14:textId="15DF382E"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$0.00 </w:t>
            </w:r>
          </w:p>
        </w:tc>
        <w:tc>
          <w:tcPr>
            <w:tcW w:w="717" w:type="dxa"/>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6FEE359A" w14:textId="05CFD58E"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$1,546.50</w:t>
            </w:r>
          </w:p>
        </w:tc>
        <w:tc>
          <w:tcPr>
            <w:tcW w:w="345"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20B53154" w14:textId="2E49D01C"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F7362FD" w14:textId="4BECCD25"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$2,000,000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54E8EE86" w14:textId="0CC8CC8E"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Non-RAD conversion development. Units need kitchen &amp; bathroom </w:t>
            </w:r>
            <w:proofErr w:type="gramStart"/>
            <w:r w:rsidRPr="00E73B25">
              <w:rPr>
                <w:rFonts w:ascii="Century Gothic" w:eastAsia="Tahoma" w:hAnsi="Century Gothic" w:cs="Tahoma"/>
                <w:color w:val="000000" w:themeColor="text1"/>
                <w:sz w:val="16"/>
                <w:szCs w:val="16"/>
              </w:rPr>
              <w:t>upgrade</w:t>
            </w:r>
            <w:r w:rsidR="0055544B">
              <w:rPr>
                <w:rFonts w:ascii="Century Gothic" w:eastAsia="Tahoma" w:hAnsi="Century Gothic" w:cs="Tahoma"/>
                <w:color w:val="000000" w:themeColor="text1"/>
                <w:sz w:val="16"/>
                <w:szCs w:val="16"/>
              </w:rPr>
              <w:t>s</w:t>
            </w:r>
            <w:r w:rsidRPr="00E73B25">
              <w:rPr>
                <w:rFonts w:ascii="Century Gothic" w:eastAsia="Tahoma" w:hAnsi="Century Gothic" w:cs="Tahoma"/>
                <w:color w:val="000000" w:themeColor="text1"/>
                <w:sz w:val="16"/>
                <w:szCs w:val="16"/>
              </w:rPr>
              <w:t>;</w:t>
            </w:r>
            <w:proofErr w:type="gramEnd"/>
            <w:r w:rsidRPr="00E73B25">
              <w:rPr>
                <w:rFonts w:ascii="Century Gothic" w:eastAsia="Tahoma" w:hAnsi="Century Gothic" w:cs="Tahoma"/>
                <w:color w:val="000000" w:themeColor="text1"/>
                <w:sz w:val="16"/>
                <w:szCs w:val="16"/>
              </w:rPr>
              <w:t xml:space="preserve"> interior doors, walls, ceilings, appliances, fences, sidewalks, lighting, bldg. exterior repairs, etc.  Backlog of unfunded needs. Work performed in conjunction with lead grant abatement. Work pending in FY 2025.</w:t>
            </w:r>
          </w:p>
        </w:tc>
      </w:tr>
      <w:tr w:rsidR="003928ED" w:rsidRPr="006D6566" w14:paraId="6F458125" w14:textId="77777777" w:rsidTr="053F18CD">
        <w:trPr>
          <w:trHeight w:val="1965"/>
        </w:trPr>
        <w:tc>
          <w:tcPr>
            <w:tcW w:w="14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50247C59" w14:textId="29DBAC86"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lastRenderedPageBreak/>
              <w:t>Scattered Sites East Interior/Building/Site Upgrades</w:t>
            </w:r>
          </w:p>
        </w:tc>
        <w:tc>
          <w:tcPr>
            <w:tcW w:w="137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7F76065" w14:textId="05911A22"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 xml:space="preserve">Vacancy Reduction-Expand housing </w:t>
            </w:r>
            <w:proofErr w:type="gramStart"/>
            <w:r w:rsidRPr="00E73B25">
              <w:rPr>
                <w:rFonts w:ascii="Century Gothic" w:eastAsia="Tahoma" w:hAnsi="Century Gothic" w:cs="Tahoma"/>
                <w:b/>
                <w:bCs/>
                <w:color w:val="000000" w:themeColor="text1"/>
                <w:sz w:val="16"/>
                <w:szCs w:val="16"/>
              </w:rPr>
              <w:t>choice;</w:t>
            </w:r>
            <w:proofErr w:type="gramEnd"/>
            <w:r w:rsidRPr="00E73B25">
              <w:rPr>
                <w:rFonts w:ascii="Century Gothic" w:eastAsia="Tahoma" w:hAnsi="Century Gothic" w:cs="Tahoma"/>
                <w:b/>
                <w:bCs/>
                <w:color w:val="000000" w:themeColor="text1"/>
                <w:sz w:val="16"/>
                <w:szCs w:val="16"/>
              </w:rPr>
              <w:t xml:space="preserve"> Continue modernization and capital investment in current housing portfolio</w:t>
            </w:r>
          </w:p>
        </w:tc>
        <w:tc>
          <w:tcPr>
            <w:tcW w:w="93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543E689A" w14:textId="009C0DA0"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$400,000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792EB828" w14:textId="1DE1DA01"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$340,683.08 </w:t>
            </w:r>
          </w:p>
        </w:tc>
        <w:tc>
          <w:tcPr>
            <w:tcW w:w="99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7A224DBD" w14:textId="539D6D23"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$311,149.30 </w:t>
            </w:r>
          </w:p>
        </w:tc>
        <w:tc>
          <w:tcPr>
            <w:tcW w:w="533" w:type="dxa"/>
            <w:tcBorders>
              <w:top w:val="single" w:sz="8" w:space="0" w:color="FFFFFF" w:themeColor="background1"/>
              <w:left w:val="single" w:sz="12"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4D1AF0BA" w14:textId="30FE8594"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$0.00 </w:t>
            </w:r>
          </w:p>
        </w:tc>
        <w:tc>
          <w:tcPr>
            <w:tcW w:w="717"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6E6607BE" w14:textId="40F52570"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$29,533.78</w:t>
            </w:r>
          </w:p>
        </w:tc>
        <w:tc>
          <w:tcPr>
            <w:tcW w:w="345"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1F6BBEA1" w14:textId="083926A8"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5791E674" w14:textId="00A72CFB"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$4,000,000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2E541A33" w14:textId="599F6EC0"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Forty of 52 SS East units being considered for RAD conversion.  Units need kitchen &amp; bathroom </w:t>
            </w:r>
            <w:r w:rsidR="0055544B" w:rsidRPr="00E73B25">
              <w:rPr>
                <w:rFonts w:ascii="Century Gothic" w:eastAsia="Tahoma" w:hAnsi="Century Gothic" w:cs="Tahoma"/>
                <w:color w:val="000000" w:themeColor="text1"/>
                <w:sz w:val="16"/>
                <w:szCs w:val="16"/>
              </w:rPr>
              <w:t>upgrade</w:t>
            </w:r>
            <w:r w:rsidR="0055544B">
              <w:rPr>
                <w:rFonts w:ascii="Century Gothic" w:eastAsia="Tahoma" w:hAnsi="Century Gothic" w:cs="Tahoma"/>
                <w:color w:val="000000" w:themeColor="text1"/>
                <w:sz w:val="16"/>
                <w:szCs w:val="16"/>
              </w:rPr>
              <w:t>s</w:t>
            </w:r>
            <w:r w:rsidR="0055544B" w:rsidRPr="00E73B25">
              <w:rPr>
                <w:rFonts w:ascii="Century Gothic" w:eastAsia="Tahoma" w:hAnsi="Century Gothic" w:cs="Tahoma"/>
                <w:color w:val="000000" w:themeColor="text1"/>
                <w:sz w:val="16"/>
                <w:szCs w:val="16"/>
              </w:rPr>
              <w:t>,</w:t>
            </w:r>
            <w:r w:rsidRPr="00E73B25">
              <w:rPr>
                <w:rFonts w:ascii="Century Gothic" w:eastAsia="Tahoma" w:hAnsi="Century Gothic" w:cs="Tahoma"/>
                <w:color w:val="000000" w:themeColor="text1"/>
                <w:sz w:val="16"/>
                <w:szCs w:val="16"/>
              </w:rPr>
              <w:t xml:space="preserve"> interior doors, walls, ceilings, appliances, fences, sidewalks, lighting, bldg. exterior repairs, etc.  Backlog of unfunded needs. Work performed in conjunction with lead grant abatement. Work pending in FY 2025.</w:t>
            </w:r>
          </w:p>
        </w:tc>
      </w:tr>
      <w:tr w:rsidR="003928ED" w:rsidRPr="006D6566" w14:paraId="4A81C3D8" w14:textId="77777777" w:rsidTr="053F18CD">
        <w:trPr>
          <w:trHeight w:val="1800"/>
        </w:trPr>
        <w:tc>
          <w:tcPr>
            <w:tcW w:w="14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937F427" w14:textId="14999D59"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Scattered Sites Multifamily Non-RAD Locations Interior/Building/Site Upgrades</w:t>
            </w:r>
          </w:p>
        </w:tc>
        <w:tc>
          <w:tcPr>
            <w:tcW w:w="137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65622149" w14:textId="64BB67E8"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Expand housing choice; Continue modernization and capital investment in current housing portfolio</w:t>
            </w:r>
          </w:p>
        </w:tc>
        <w:tc>
          <w:tcPr>
            <w:tcW w:w="93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29CB9E0E" w14:textId="478289DC"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617AB17B" w14:textId="4605BF3C"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$1,750.00 </w:t>
            </w:r>
          </w:p>
        </w:tc>
        <w:tc>
          <w:tcPr>
            <w:tcW w:w="99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38287312" w14:textId="7FA58986"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$1,750.00 </w:t>
            </w:r>
          </w:p>
        </w:tc>
        <w:tc>
          <w:tcPr>
            <w:tcW w:w="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FA2B6B5" w14:textId="74C8FE20"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$0.00 </w:t>
            </w:r>
          </w:p>
        </w:tc>
        <w:tc>
          <w:tcPr>
            <w:tcW w:w="717" w:type="dxa"/>
            <w:tcBorders>
              <w:top w:val="single" w:sz="4"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32504A2D" w14:textId="70D99273"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$0</w:t>
            </w:r>
          </w:p>
        </w:tc>
        <w:tc>
          <w:tcPr>
            <w:tcW w:w="345"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7D07627A" w14:textId="7405E314"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06AEAC42" w14:textId="279A80F0"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$6,000,000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45ACA652" w14:textId="513B0855"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Funds spent on 2 units to supplement fire insurance. There are 8 remaining SS Multifamily LIPH units that are not converting to RAD. Units need kitchen &amp; bathroom </w:t>
            </w:r>
            <w:r w:rsidR="0055544B" w:rsidRPr="00E73B25">
              <w:rPr>
                <w:rFonts w:ascii="Century Gothic" w:eastAsia="Tahoma" w:hAnsi="Century Gothic" w:cs="Tahoma"/>
                <w:color w:val="000000" w:themeColor="text1"/>
                <w:sz w:val="16"/>
                <w:szCs w:val="16"/>
              </w:rPr>
              <w:t>upgrade</w:t>
            </w:r>
            <w:r w:rsidR="0055544B">
              <w:rPr>
                <w:rFonts w:ascii="Century Gothic" w:eastAsia="Tahoma" w:hAnsi="Century Gothic" w:cs="Tahoma"/>
                <w:color w:val="000000" w:themeColor="text1"/>
                <w:sz w:val="16"/>
                <w:szCs w:val="16"/>
              </w:rPr>
              <w:t>s</w:t>
            </w:r>
            <w:r w:rsidR="0055544B" w:rsidRPr="00E73B25">
              <w:rPr>
                <w:rFonts w:ascii="Century Gothic" w:eastAsia="Tahoma" w:hAnsi="Century Gothic" w:cs="Tahoma"/>
                <w:color w:val="000000" w:themeColor="text1"/>
                <w:sz w:val="16"/>
                <w:szCs w:val="16"/>
              </w:rPr>
              <w:t>:</w:t>
            </w:r>
            <w:r w:rsidRPr="00E73B25">
              <w:rPr>
                <w:rFonts w:ascii="Century Gothic" w:eastAsia="Tahoma" w:hAnsi="Century Gothic" w:cs="Tahoma"/>
                <w:color w:val="000000" w:themeColor="text1"/>
                <w:sz w:val="16"/>
                <w:szCs w:val="16"/>
              </w:rPr>
              <w:t xml:space="preserve"> interior doors, walls, ceilings, appliances, etc.  Backlog of unfunded needs. Work pending for FY 2025.</w:t>
            </w:r>
          </w:p>
        </w:tc>
      </w:tr>
      <w:tr w:rsidR="002A6154" w:rsidRPr="006D6566" w14:paraId="500BDEEB" w14:textId="77777777" w:rsidTr="053F18CD">
        <w:trPr>
          <w:trHeight w:val="1500"/>
        </w:trPr>
        <w:tc>
          <w:tcPr>
            <w:tcW w:w="1455"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0E997C8" w14:textId="0BA11CE0"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Continuation of Lead-Based Paint Abatement at SS West- SS East (CFP &amp; LBP Grant)</w:t>
            </w:r>
          </w:p>
        </w:tc>
        <w:tc>
          <w:tcPr>
            <w:tcW w:w="137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31098F22" w14:textId="2B019494"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Expand housing choice; Continue modernization and capital investment in current housing portfolio</w:t>
            </w:r>
          </w:p>
        </w:tc>
        <w:tc>
          <w:tcPr>
            <w:tcW w:w="930"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5D9F1"/>
            <w:tcMar>
              <w:top w:w="15" w:type="dxa"/>
              <w:left w:w="15" w:type="dxa"/>
              <w:right w:w="15" w:type="dxa"/>
            </w:tcMar>
            <w:vAlign w:val="bottom"/>
          </w:tcPr>
          <w:p w14:paraId="6FF65535" w14:textId="756594D1"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$2,000,000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F417456" w14:textId="56089FD7"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$1,156,845.85 </w:t>
            </w:r>
          </w:p>
        </w:tc>
        <w:tc>
          <w:tcPr>
            <w:tcW w:w="990" w:type="dxa"/>
            <w:tcBorders>
              <w:top w:val="single" w:sz="8" w:space="0" w:color="FFFFFF" w:themeColor="background1"/>
              <w:left w:val="single" w:sz="12" w:space="0" w:color="FFFFFF" w:themeColor="background1"/>
              <w:bottom w:val="single" w:sz="8" w:space="0" w:color="FFFFFF" w:themeColor="background1"/>
              <w:right w:val="nil"/>
            </w:tcBorders>
            <w:shd w:val="clear" w:color="auto" w:fill="C5D9F1"/>
            <w:tcMar>
              <w:top w:w="15" w:type="dxa"/>
              <w:left w:w="15" w:type="dxa"/>
              <w:right w:w="15" w:type="dxa"/>
            </w:tcMar>
            <w:vAlign w:val="bottom"/>
          </w:tcPr>
          <w:p w14:paraId="1D7EAF8A" w14:textId="27EFE509"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$0.00 </w:t>
            </w:r>
          </w:p>
        </w:tc>
        <w:tc>
          <w:tcPr>
            <w:tcW w:w="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040F4084" w14:textId="3F063215"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$1,156,845.85 </w:t>
            </w:r>
          </w:p>
        </w:tc>
        <w:tc>
          <w:tcPr>
            <w:tcW w:w="717" w:type="dxa"/>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0D017706" w14:textId="46A80736"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$0</w:t>
            </w:r>
          </w:p>
        </w:tc>
        <w:tc>
          <w:tcPr>
            <w:tcW w:w="345"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15A17AFB" w14:textId="741786F7"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7F96C32A" w14:textId="6AD61708"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$4,700,000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51285F8" w14:textId="54FBF65F"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Lead 2017 grant funds fully expended. With lead 2020 grant funds, continued lead paint abatement and related repairs </w:t>
            </w:r>
            <w:r w:rsidR="009340D5" w:rsidRPr="00E73B25">
              <w:rPr>
                <w:rFonts w:ascii="Century Gothic" w:eastAsia="Tahoma" w:hAnsi="Century Gothic" w:cs="Tahoma"/>
                <w:sz w:val="16"/>
                <w:szCs w:val="16"/>
              </w:rPr>
              <w:t>were</w:t>
            </w:r>
            <w:r w:rsidRPr="00E73B25">
              <w:rPr>
                <w:rFonts w:ascii="Century Gothic" w:eastAsia="Tahoma" w:hAnsi="Century Gothic" w:cs="Tahoma"/>
                <w:sz w:val="16"/>
                <w:szCs w:val="16"/>
              </w:rPr>
              <w:t xml:space="preserve"> identified by inspection-risk assessments. Group D 24 units contract in progress. Nine units completed.</w:t>
            </w:r>
          </w:p>
        </w:tc>
      </w:tr>
      <w:tr w:rsidR="002A6154" w:rsidRPr="006D6566" w14:paraId="31A49156" w14:textId="77777777" w:rsidTr="053F18CD">
        <w:trPr>
          <w:trHeight w:val="1200"/>
        </w:trPr>
        <w:tc>
          <w:tcPr>
            <w:tcW w:w="1455"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848427F" w14:textId="4FF5AB87"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Continuation of Housing-Related Hazards Grant activities</w:t>
            </w:r>
          </w:p>
        </w:tc>
        <w:tc>
          <w:tcPr>
            <w:tcW w:w="1372"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0D85FB45" w14:textId="7D3CA795"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Expand housing choice; Continue modernization and capital investment in current housing portfolio</w:t>
            </w:r>
          </w:p>
        </w:tc>
        <w:tc>
          <w:tcPr>
            <w:tcW w:w="930" w:type="dxa"/>
            <w:tcBorders>
              <w:top w:val="single" w:sz="8" w:space="0" w:color="FFFFFF" w:themeColor="background1"/>
              <w:left w:val="single" w:sz="12"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66CD6678" w14:textId="2AF34F5E"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$1,500,000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3031E6C" w14:textId="11253F4C"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$821,466.96 </w:t>
            </w:r>
          </w:p>
        </w:tc>
        <w:tc>
          <w:tcPr>
            <w:tcW w:w="990" w:type="dxa"/>
            <w:tcBorders>
              <w:top w:val="single" w:sz="8" w:space="0" w:color="FFFFFF" w:themeColor="background1"/>
              <w:left w:val="single" w:sz="12" w:space="0" w:color="FFFFFF" w:themeColor="background1"/>
              <w:bottom w:val="single" w:sz="8" w:space="0" w:color="FFFFFF" w:themeColor="background1"/>
              <w:right w:val="nil"/>
            </w:tcBorders>
            <w:shd w:val="clear" w:color="auto" w:fill="C5D9F1"/>
            <w:tcMar>
              <w:top w:w="15" w:type="dxa"/>
              <w:left w:w="15" w:type="dxa"/>
              <w:right w:w="15" w:type="dxa"/>
            </w:tcMar>
            <w:vAlign w:val="bottom"/>
          </w:tcPr>
          <w:p w14:paraId="3ADB77CA" w14:textId="29FE9723"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$0.00 </w:t>
            </w:r>
          </w:p>
        </w:tc>
        <w:tc>
          <w:tcPr>
            <w:tcW w:w="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3C8896C6" w14:textId="0A94141B"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$821,466.96 </w:t>
            </w:r>
          </w:p>
        </w:tc>
        <w:tc>
          <w:tcPr>
            <w:tcW w:w="717" w:type="dxa"/>
            <w:tcBorders>
              <w:top w:val="single" w:sz="12" w:space="0" w:color="FFFFFF" w:themeColor="background1"/>
              <w:left w:val="single" w:sz="8"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277F0B5F" w14:textId="77DA85D1"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$0</w:t>
            </w:r>
          </w:p>
        </w:tc>
        <w:tc>
          <w:tcPr>
            <w:tcW w:w="345"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774C6B29" w14:textId="28BE859A"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1A0EFAFA" w14:textId="425FEE81"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$3,999,993 </w:t>
            </w:r>
          </w:p>
        </w:tc>
        <w:tc>
          <w:tcPr>
            <w:tcW w:w="2009"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5D9F1"/>
            <w:tcMar>
              <w:top w:w="15" w:type="dxa"/>
              <w:left w:w="15" w:type="dxa"/>
              <w:right w:w="15" w:type="dxa"/>
            </w:tcMar>
            <w:vAlign w:val="bottom"/>
          </w:tcPr>
          <w:p w14:paraId="626F6338" w14:textId="617D7CFC"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Continued housing-related hazards abatement (mold remediation, carbon monoxide-smoke detector installation) activities initiated in FY 2022.</w:t>
            </w:r>
          </w:p>
        </w:tc>
      </w:tr>
      <w:tr w:rsidR="002A6154" w:rsidRPr="006D6566" w14:paraId="6C15BB1B" w14:textId="77777777" w:rsidTr="053F18CD">
        <w:trPr>
          <w:trHeight w:val="1305"/>
        </w:trPr>
        <w:tc>
          <w:tcPr>
            <w:tcW w:w="1455" w:type="dxa"/>
            <w:tcBorders>
              <w:top w:val="single" w:sz="12" w:space="0" w:color="FFFFFF" w:themeColor="background1"/>
              <w:left w:val="single" w:sz="4"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128245A9" w14:textId="12893B13"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Emergency Safety &amp; Security Grant</w:t>
            </w:r>
            <w:r w:rsidR="0055544B" w:rsidRPr="00E73B25">
              <w:rPr>
                <w:rFonts w:ascii="Century Gothic" w:eastAsia="Tahoma" w:hAnsi="Century Gothic" w:cs="Tahoma"/>
                <w:b/>
                <w:bCs/>
                <w:color w:val="000000" w:themeColor="text1"/>
                <w:sz w:val="16"/>
                <w:szCs w:val="16"/>
              </w:rPr>
              <w:t>: Security</w:t>
            </w:r>
            <w:r w:rsidRPr="00E73B25">
              <w:rPr>
                <w:rFonts w:ascii="Century Gothic" w:eastAsia="Tahoma" w:hAnsi="Century Gothic" w:cs="Tahoma"/>
                <w:b/>
                <w:bCs/>
                <w:color w:val="000000" w:themeColor="text1"/>
                <w:sz w:val="16"/>
                <w:szCs w:val="16"/>
              </w:rPr>
              <w:t xml:space="preserve"> Camera &amp; Access Control Upgrades at Wolfe &amp; Crawford</w:t>
            </w:r>
          </w:p>
        </w:tc>
        <w:tc>
          <w:tcPr>
            <w:tcW w:w="1372" w:type="dxa"/>
            <w:tcBorders>
              <w:top w:val="single" w:sz="8" w:space="0" w:color="FFFFFF" w:themeColor="background1"/>
              <w:left w:val="single" w:sz="8" w:space="0" w:color="FFFFFF" w:themeColor="background1"/>
              <w:bottom w:val="single" w:sz="8" w:space="0" w:color="FFFFFF" w:themeColor="background1"/>
              <w:right w:val="nil"/>
            </w:tcBorders>
            <w:shd w:val="clear" w:color="auto" w:fill="C5D9F1"/>
            <w:tcMar>
              <w:top w:w="15" w:type="dxa"/>
              <w:left w:w="15" w:type="dxa"/>
              <w:right w:w="15" w:type="dxa"/>
            </w:tcMar>
            <w:vAlign w:val="bottom"/>
          </w:tcPr>
          <w:p w14:paraId="3A145439" w14:textId="2A0729EF"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Expand housing choice; Continue modernization and capital investment in current housing portfolio</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2F31C5BE" w14:textId="4B2FF4A0"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$250,000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6A9364D9" w14:textId="0EBAA4E3"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$27,183.01 </w:t>
            </w:r>
          </w:p>
        </w:tc>
        <w:tc>
          <w:tcPr>
            <w:tcW w:w="990" w:type="dxa"/>
            <w:tcBorders>
              <w:top w:val="single" w:sz="8"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637793D9" w14:textId="44442EBD"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$0.00 </w:t>
            </w:r>
          </w:p>
        </w:tc>
        <w:tc>
          <w:tcPr>
            <w:tcW w:w="533" w:type="dxa"/>
            <w:tcBorders>
              <w:top w:val="single" w:sz="8"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27B2E684" w14:textId="12BA0721"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$27,183.01 </w:t>
            </w:r>
          </w:p>
        </w:tc>
        <w:tc>
          <w:tcPr>
            <w:tcW w:w="7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09786187" w14:textId="09E1BEA7"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$0</w:t>
            </w:r>
          </w:p>
        </w:tc>
        <w:tc>
          <w:tcPr>
            <w:tcW w:w="345" w:type="dxa"/>
            <w:tcBorders>
              <w:top w:val="single" w:sz="12" w:space="0" w:color="FFFFFF" w:themeColor="background1"/>
              <w:left w:val="single" w:sz="8" w:space="0" w:color="FFFFFF" w:themeColor="background1"/>
              <w:bottom w:val="nil"/>
              <w:right w:val="nil"/>
            </w:tcBorders>
            <w:shd w:val="clear" w:color="auto" w:fill="C5D9F1"/>
            <w:tcMar>
              <w:top w:w="15" w:type="dxa"/>
              <w:left w:w="15" w:type="dxa"/>
              <w:right w:w="15" w:type="dxa"/>
            </w:tcMar>
            <w:vAlign w:val="bottom"/>
          </w:tcPr>
          <w:p w14:paraId="4BAC6AAF" w14:textId="387576E3"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 </w:t>
            </w:r>
          </w:p>
        </w:tc>
        <w:tc>
          <w:tcPr>
            <w:tcW w:w="1387" w:type="dxa"/>
            <w:tcBorders>
              <w:top w:val="single" w:sz="8" w:space="0" w:color="FFFFFF" w:themeColor="background1"/>
              <w:left w:val="single" w:sz="8" w:space="0" w:color="FFFFFF" w:themeColor="background1"/>
              <w:bottom w:val="single" w:sz="8" w:space="0" w:color="FFFFFF" w:themeColor="background1"/>
              <w:right w:val="nil"/>
            </w:tcBorders>
            <w:shd w:val="clear" w:color="auto" w:fill="C5D9F1"/>
            <w:tcMar>
              <w:top w:w="15" w:type="dxa"/>
              <w:left w:w="15" w:type="dxa"/>
              <w:right w:w="15" w:type="dxa"/>
            </w:tcMar>
            <w:vAlign w:val="bottom"/>
          </w:tcPr>
          <w:p w14:paraId="19729620" w14:textId="46EA20D1"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$250,000 </w:t>
            </w:r>
          </w:p>
        </w:tc>
        <w:tc>
          <w:tcPr>
            <w:tcW w:w="20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85F7B22" w14:textId="2D1402B9"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Security camera enhancement and access control upgrades at Wolfe and Crawford </w:t>
            </w:r>
            <w:r w:rsidR="00E05E21" w:rsidRPr="00E73B25">
              <w:rPr>
                <w:rFonts w:ascii="Century Gothic" w:eastAsia="Tahoma" w:hAnsi="Century Gothic" w:cs="Tahoma"/>
                <w:color w:val="000000" w:themeColor="text1"/>
                <w:sz w:val="16"/>
                <w:szCs w:val="16"/>
              </w:rPr>
              <w:t>were completed</w:t>
            </w:r>
            <w:r w:rsidRPr="00E73B25">
              <w:rPr>
                <w:rFonts w:ascii="Century Gothic" w:eastAsia="Tahoma" w:hAnsi="Century Gothic" w:cs="Tahoma"/>
                <w:color w:val="000000" w:themeColor="text1"/>
                <w:sz w:val="16"/>
                <w:szCs w:val="16"/>
              </w:rPr>
              <w:t>. Funds also were expended in prior fiscal year.</w:t>
            </w:r>
          </w:p>
        </w:tc>
      </w:tr>
      <w:tr w:rsidR="002A6154" w:rsidRPr="006D6566" w14:paraId="3FDA58DB" w14:textId="77777777" w:rsidTr="053F18CD">
        <w:trPr>
          <w:trHeight w:val="1500"/>
        </w:trPr>
        <w:tc>
          <w:tcPr>
            <w:tcW w:w="1455" w:type="dxa"/>
            <w:tcBorders>
              <w:top w:val="single" w:sz="12" w:space="0" w:color="FFFFFF" w:themeColor="background1"/>
              <w:left w:val="single" w:sz="4"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4F713363" w14:textId="22C2C597"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Emergency Safety &amp; Security Grant</w:t>
            </w:r>
            <w:r w:rsidR="00E05E21" w:rsidRPr="00E73B25">
              <w:rPr>
                <w:rFonts w:ascii="Century Gothic" w:eastAsia="Tahoma" w:hAnsi="Century Gothic" w:cs="Tahoma"/>
                <w:b/>
                <w:bCs/>
                <w:color w:val="000000" w:themeColor="text1"/>
                <w:sz w:val="16"/>
                <w:szCs w:val="16"/>
              </w:rPr>
              <w:t>: Security</w:t>
            </w:r>
            <w:r w:rsidRPr="00E73B25">
              <w:rPr>
                <w:rFonts w:ascii="Century Gothic" w:eastAsia="Tahoma" w:hAnsi="Century Gothic" w:cs="Tahoma"/>
                <w:b/>
                <w:bCs/>
                <w:color w:val="000000" w:themeColor="text1"/>
                <w:sz w:val="16"/>
                <w:szCs w:val="16"/>
              </w:rPr>
              <w:t xml:space="preserve"> Camera &amp; Access Control Upgrades at Essex</w:t>
            </w:r>
          </w:p>
        </w:tc>
        <w:tc>
          <w:tcPr>
            <w:tcW w:w="1372" w:type="dxa"/>
            <w:tcBorders>
              <w:top w:val="single" w:sz="8" w:space="0" w:color="FFFFFF" w:themeColor="background1"/>
              <w:left w:val="single" w:sz="8" w:space="0" w:color="FFFFFF" w:themeColor="background1"/>
              <w:bottom w:val="single" w:sz="8" w:space="0" w:color="FFFFFF" w:themeColor="background1"/>
              <w:right w:val="nil"/>
            </w:tcBorders>
            <w:shd w:val="clear" w:color="auto" w:fill="C5D9F1"/>
            <w:tcMar>
              <w:top w:w="15" w:type="dxa"/>
              <w:left w:w="15" w:type="dxa"/>
              <w:right w:w="15" w:type="dxa"/>
            </w:tcMar>
            <w:vAlign w:val="bottom"/>
          </w:tcPr>
          <w:p w14:paraId="070692DD" w14:textId="556FCA9B" w:rsidR="053F18CD" w:rsidRPr="00E73B25" w:rsidRDefault="053F18CD">
            <w:pPr>
              <w:rPr>
                <w:rFonts w:ascii="Century Gothic" w:eastAsia="Tahoma" w:hAnsi="Century Gothic" w:cs="Tahoma"/>
                <w:b/>
                <w:bCs/>
                <w:color w:val="000000" w:themeColor="text1"/>
                <w:sz w:val="16"/>
                <w:szCs w:val="16"/>
              </w:rPr>
            </w:pPr>
            <w:r w:rsidRPr="00E73B25">
              <w:rPr>
                <w:rFonts w:ascii="Century Gothic" w:eastAsia="Tahoma" w:hAnsi="Century Gothic" w:cs="Tahoma"/>
                <w:b/>
                <w:bCs/>
                <w:color w:val="000000" w:themeColor="text1"/>
                <w:sz w:val="16"/>
                <w:szCs w:val="16"/>
              </w:rPr>
              <w:t>Expand housing choice; Continue modernization and capital investment in current housing portfolio</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2C1CA854" w14:textId="6AC5DBBB"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7242DC58" w14:textId="02A11FFD"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$250,000.00 </w:t>
            </w:r>
          </w:p>
        </w:tc>
        <w:tc>
          <w:tcPr>
            <w:tcW w:w="990" w:type="dxa"/>
            <w:tcBorders>
              <w:top w:val="single" w:sz="8"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587A5212" w14:textId="0823E53D"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$0.00 </w:t>
            </w:r>
          </w:p>
        </w:tc>
        <w:tc>
          <w:tcPr>
            <w:tcW w:w="533" w:type="dxa"/>
            <w:tcBorders>
              <w:top w:val="single" w:sz="8"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48CCAB31" w14:textId="7E11F97D" w:rsidR="053F18CD" w:rsidRPr="00E73B25" w:rsidRDefault="053F18CD">
            <w:pPr>
              <w:rPr>
                <w:rFonts w:ascii="Century Gothic" w:eastAsia="Tahoma" w:hAnsi="Century Gothic" w:cs="Tahoma"/>
                <w:sz w:val="16"/>
                <w:szCs w:val="16"/>
              </w:rPr>
            </w:pPr>
            <w:r w:rsidRPr="00E73B25">
              <w:rPr>
                <w:rFonts w:ascii="Century Gothic" w:eastAsia="Tahoma" w:hAnsi="Century Gothic" w:cs="Tahoma"/>
                <w:sz w:val="16"/>
                <w:szCs w:val="16"/>
              </w:rPr>
              <w:t xml:space="preserve">$250,000.00 </w:t>
            </w:r>
          </w:p>
        </w:tc>
        <w:tc>
          <w:tcPr>
            <w:tcW w:w="7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2069D2A9" w14:textId="749A785A"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$0</w:t>
            </w:r>
          </w:p>
        </w:tc>
        <w:tc>
          <w:tcPr>
            <w:tcW w:w="345" w:type="dxa"/>
            <w:tcBorders>
              <w:top w:val="single" w:sz="12" w:space="0" w:color="FFFFFF" w:themeColor="background1"/>
              <w:left w:val="single" w:sz="8" w:space="0" w:color="FFFFFF" w:themeColor="background1"/>
              <w:bottom w:val="nil"/>
              <w:right w:val="nil"/>
            </w:tcBorders>
            <w:shd w:val="clear" w:color="auto" w:fill="C5D9F1"/>
            <w:tcMar>
              <w:top w:w="15" w:type="dxa"/>
              <w:left w:w="15" w:type="dxa"/>
              <w:right w:w="15" w:type="dxa"/>
            </w:tcMar>
            <w:vAlign w:val="bottom"/>
          </w:tcPr>
          <w:p w14:paraId="5708B664" w14:textId="0B89393E"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$0 </w:t>
            </w:r>
          </w:p>
        </w:tc>
        <w:tc>
          <w:tcPr>
            <w:tcW w:w="13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29BCA1B5" w14:textId="333A68F8"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 xml:space="preserve">$250,000 </w:t>
            </w:r>
          </w:p>
        </w:tc>
        <w:tc>
          <w:tcPr>
            <w:tcW w:w="2009" w:type="dxa"/>
            <w:tcBorders>
              <w:top w:val="single" w:sz="8" w:space="0" w:color="FFFFFF" w:themeColor="background1"/>
              <w:left w:val="single" w:sz="8" w:space="0" w:color="FFFFFF" w:themeColor="background1"/>
              <w:bottom w:val="nil"/>
              <w:right w:val="nil"/>
            </w:tcBorders>
            <w:shd w:val="clear" w:color="auto" w:fill="C5D9F1"/>
            <w:tcMar>
              <w:top w:w="15" w:type="dxa"/>
              <w:left w:w="15" w:type="dxa"/>
              <w:right w:w="15" w:type="dxa"/>
            </w:tcMar>
            <w:vAlign w:val="bottom"/>
          </w:tcPr>
          <w:p w14:paraId="42CE2493" w14:textId="65B69CAD" w:rsidR="053F18CD" w:rsidRPr="00E73B25" w:rsidRDefault="053F18CD">
            <w:pPr>
              <w:rPr>
                <w:rFonts w:ascii="Century Gothic" w:eastAsia="Tahoma" w:hAnsi="Century Gothic" w:cs="Tahoma"/>
                <w:color w:val="000000" w:themeColor="text1"/>
                <w:sz w:val="16"/>
                <w:szCs w:val="16"/>
              </w:rPr>
            </w:pPr>
            <w:r w:rsidRPr="00E73B25">
              <w:rPr>
                <w:rFonts w:ascii="Century Gothic" w:eastAsia="Tahoma" w:hAnsi="Century Gothic" w:cs="Tahoma"/>
                <w:color w:val="000000" w:themeColor="text1"/>
                <w:sz w:val="16"/>
                <w:szCs w:val="16"/>
              </w:rPr>
              <w:t>Funds awarded Sept. 2023 for security camera enhancement and access control upgrades at Essex. Work completed. Close out pending.</w:t>
            </w:r>
          </w:p>
        </w:tc>
      </w:tr>
      <w:tr w:rsidR="002A6154" w:rsidRPr="006D6566" w14:paraId="37EEC50D" w14:textId="77777777" w:rsidTr="053F18CD">
        <w:trPr>
          <w:trHeight w:val="1995"/>
        </w:trPr>
        <w:tc>
          <w:tcPr>
            <w:tcW w:w="1455"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07291331" w14:textId="588AC33C" w:rsidR="053F18CD" w:rsidRPr="00855213" w:rsidRDefault="053F18CD">
            <w:pPr>
              <w:rPr>
                <w:rFonts w:ascii="Century Gothic" w:eastAsia="Tahoma" w:hAnsi="Century Gothic" w:cs="Tahoma"/>
                <w:b/>
                <w:bCs/>
                <w:color w:val="000000" w:themeColor="text1"/>
                <w:sz w:val="16"/>
                <w:szCs w:val="16"/>
              </w:rPr>
            </w:pPr>
            <w:r w:rsidRPr="00855213">
              <w:rPr>
                <w:rFonts w:ascii="Century Gothic" w:eastAsia="Tahoma" w:hAnsi="Century Gothic" w:cs="Tahoma"/>
                <w:b/>
                <w:bCs/>
                <w:color w:val="000000" w:themeColor="text1"/>
                <w:sz w:val="16"/>
                <w:szCs w:val="16"/>
              </w:rPr>
              <w:lastRenderedPageBreak/>
              <w:t>Agency Wide Vacancy Reduction/Unit Abatement</w:t>
            </w:r>
          </w:p>
        </w:tc>
        <w:tc>
          <w:tcPr>
            <w:tcW w:w="1372" w:type="dxa"/>
            <w:tcBorders>
              <w:top w:val="single" w:sz="8"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5B6C2B78" w14:textId="4B6ADCC8" w:rsidR="053F18CD" w:rsidRPr="00855213" w:rsidRDefault="053F18CD">
            <w:pPr>
              <w:rPr>
                <w:rFonts w:ascii="Century Gothic" w:eastAsia="Tahoma" w:hAnsi="Century Gothic" w:cs="Tahoma"/>
                <w:b/>
                <w:bCs/>
                <w:color w:val="000000" w:themeColor="text1"/>
                <w:sz w:val="16"/>
                <w:szCs w:val="16"/>
              </w:rPr>
            </w:pPr>
            <w:r w:rsidRPr="00855213">
              <w:rPr>
                <w:rFonts w:ascii="Century Gothic" w:eastAsia="Tahoma" w:hAnsi="Century Gothic" w:cs="Tahoma"/>
                <w:b/>
                <w:bCs/>
                <w:color w:val="000000" w:themeColor="text1"/>
                <w:sz w:val="16"/>
                <w:szCs w:val="16"/>
              </w:rPr>
              <w:t xml:space="preserve">Vacancy Reduction-Expand housing </w:t>
            </w:r>
            <w:proofErr w:type="gramStart"/>
            <w:r w:rsidRPr="00855213">
              <w:rPr>
                <w:rFonts w:ascii="Century Gothic" w:eastAsia="Tahoma" w:hAnsi="Century Gothic" w:cs="Tahoma"/>
                <w:b/>
                <w:bCs/>
                <w:color w:val="000000" w:themeColor="text1"/>
                <w:sz w:val="16"/>
                <w:szCs w:val="16"/>
              </w:rPr>
              <w:t>choice;</w:t>
            </w:r>
            <w:proofErr w:type="gramEnd"/>
            <w:r w:rsidRPr="00855213">
              <w:rPr>
                <w:rFonts w:ascii="Century Gothic" w:eastAsia="Tahoma" w:hAnsi="Century Gothic" w:cs="Tahoma"/>
                <w:b/>
                <w:bCs/>
                <w:color w:val="000000" w:themeColor="text1"/>
                <w:sz w:val="16"/>
                <w:szCs w:val="16"/>
              </w:rPr>
              <w:t xml:space="preserve"> Continue modernization and capital investment in current housing portfolio</w:t>
            </w:r>
          </w:p>
        </w:tc>
        <w:tc>
          <w:tcPr>
            <w:tcW w:w="930"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7280FE25" w14:textId="5AE143DA"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$40,000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0A98B6D5" w14:textId="2A29DC95"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$88,798.64 </w:t>
            </w:r>
          </w:p>
        </w:tc>
        <w:tc>
          <w:tcPr>
            <w:tcW w:w="990" w:type="dxa"/>
            <w:tcBorders>
              <w:top w:val="single" w:sz="8" w:space="0" w:color="FFFFFF" w:themeColor="background1"/>
              <w:left w:val="single" w:sz="12"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2DC06390" w14:textId="5DADAE01"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$88,798.64 </w:t>
            </w:r>
          </w:p>
        </w:tc>
        <w:tc>
          <w:tcPr>
            <w:tcW w:w="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6B5D3C26" w14:textId="55660EB4"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$0.00 </w:t>
            </w:r>
          </w:p>
        </w:tc>
        <w:tc>
          <w:tcPr>
            <w:tcW w:w="717" w:type="dxa"/>
            <w:tcBorders>
              <w:top w:val="single" w:sz="8" w:space="0" w:color="FFFFFF" w:themeColor="background1"/>
              <w:left w:val="single" w:sz="8"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7B6683F3" w14:textId="0ABC7EAA"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3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8C3D46A" w14:textId="7D42B802"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1387"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5D9F1"/>
            <w:tcMar>
              <w:top w:w="15" w:type="dxa"/>
              <w:left w:w="15" w:type="dxa"/>
              <w:right w:w="15" w:type="dxa"/>
            </w:tcMar>
            <w:vAlign w:val="bottom"/>
          </w:tcPr>
          <w:p w14:paraId="0F2389C5" w14:textId="5DE9089B"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$50,000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1C65452" w14:textId="5B3923B9"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Funds were allocated for abatement costs and vacancy reduction efforts during FY 2024. Renovated 2 units at SS Multi, 2 units at SS East, 6 units at McConaughy, 1 unit at Westville, 3 units at Essex. Abated 2 units at McConaughy, 2 units at Westville, 3 units at SS Multi, 1 unit at Wolfe, 4 units at Essex.</w:t>
            </w:r>
          </w:p>
        </w:tc>
      </w:tr>
      <w:tr w:rsidR="002A6154" w:rsidRPr="006D6566" w14:paraId="58583764" w14:textId="77777777" w:rsidTr="053F18CD">
        <w:trPr>
          <w:trHeight w:val="1005"/>
        </w:trPr>
        <w:tc>
          <w:tcPr>
            <w:tcW w:w="1455" w:type="dxa"/>
            <w:tcBorders>
              <w:top w:val="single" w:sz="12"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0576791E" w14:textId="3A4636D4" w:rsidR="053F18CD" w:rsidRPr="00855213" w:rsidRDefault="053F18CD">
            <w:pPr>
              <w:rPr>
                <w:rFonts w:ascii="Century Gothic" w:eastAsia="Tahoma" w:hAnsi="Century Gothic" w:cs="Tahoma"/>
                <w:b/>
                <w:bCs/>
                <w:color w:val="000000" w:themeColor="text1"/>
                <w:sz w:val="16"/>
                <w:szCs w:val="16"/>
              </w:rPr>
            </w:pPr>
            <w:r w:rsidRPr="00855213">
              <w:rPr>
                <w:rFonts w:ascii="Century Gothic" w:eastAsia="Tahoma" w:hAnsi="Century Gothic" w:cs="Tahoma"/>
                <w:b/>
                <w:bCs/>
                <w:color w:val="000000" w:themeColor="text1"/>
                <w:sz w:val="16"/>
                <w:szCs w:val="16"/>
              </w:rPr>
              <w:t>IQC A&amp;E</w:t>
            </w:r>
          </w:p>
        </w:tc>
        <w:tc>
          <w:tcPr>
            <w:tcW w:w="1372" w:type="dxa"/>
            <w:tcBorders>
              <w:top w:val="single" w:sz="12" w:space="0" w:color="FFFFFF" w:themeColor="background1"/>
              <w:left w:val="single" w:sz="8" w:space="0" w:color="FFFFFF" w:themeColor="background1"/>
              <w:bottom w:val="nil"/>
              <w:right w:val="single" w:sz="8" w:space="0" w:color="FFFFFF" w:themeColor="background1"/>
            </w:tcBorders>
            <w:shd w:val="clear" w:color="auto" w:fill="C5D9F1"/>
            <w:tcMar>
              <w:top w:w="15" w:type="dxa"/>
              <w:left w:w="15" w:type="dxa"/>
              <w:right w:w="15" w:type="dxa"/>
            </w:tcMar>
            <w:vAlign w:val="bottom"/>
          </w:tcPr>
          <w:p w14:paraId="29AA185D" w14:textId="0E636D5F" w:rsidR="053F18CD" w:rsidRPr="00855213" w:rsidRDefault="053F18CD">
            <w:pPr>
              <w:rPr>
                <w:rFonts w:ascii="Century Gothic" w:eastAsia="Tahoma" w:hAnsi="Century Gothic" w:cs="Tahoma"/>
                <w:b/>
                <w:bCs/>
                <w:color w:val="000000" w:themeColor="text1"/>
                <w:sz w:val="16"/>
                <w:szCs w:val="16"/>
              </w:rPr>
            </w:pPr>
            <w:proofErr w:type="gramStart"/>
            <w:r w:rsidRPr="00855213">
              <w:rPr>
                <w:rFonts w:ascii="Century Gothic" w:eastAsia="Tahoma" w:hAnsi="Century Gothic" w:cs="Tahoma"/>
                <w:b/>
                <w:bCs/>
                <w:color w:val="000000" w:themeColor="text1"/>
                <w:sz w:val="16"/>
                <w:szCs w:val="16"/>
              </w:rPr>
              <w:t>Continue</w:t>
            </w:r>
            <w:proofErr w:type="gramEnd"/>
            <w:r w:rsidRPr="00855213">
              <w:rPr>
                <w:rFonts w:ascii="Century Gothic" w:eastAsia="Tahoma" w:hAnsi="Century Gothic" w:cs="Tahoma"/>
                <w:b/>
                <w:bCs/>
                <w:color w:val="000000" w:themeColor="text1"/>
                <w:sz w:val="16"/>
                <w:szCs w:val="16"/>
              </w:rPr>
              <w:t xml:space="preserve"> modernization and capital investment in current housing portfolio</w:t>
            </w:r>
          </w:p>
        </w:tc>
        <w:tc>
          <w:tcPr>
            <w:tcW w:w="930" w:type="dxa"/>
            <w:tcBorders>
              <w:top w:val="single" w:sz="12" w:space="0" w:color="FFFFFF" w:themeColor="background1"/>
              <w:left w:val="single" w:sz="12"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40F53455" w14:textId="5EF32013"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$250,000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7394A5DB" w14:textId="5ECF89F6"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$65,724.55 </w:t>
            </w:r>
          </w:p>
        </w:tc>
        <w:tc>
          <w:tcPr>
            <w:tcW w:w="99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59BCDDD6" w14:textId="2BCFC5F4"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$65,724.55 </w:t>
            </w:r>
          </w:p>
        </w:tc>
        <w:tc>
          <w:tcPr>
            <w:tcW w:w="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468C7C1D" w14:textId="7AB3C8BB"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$0.00 </w:t>
            </w:r>
          </w:p>
        </w:tc>
        <w:tc>
          <w:tcPr>
            <w:tcW w:w="717" w:type="dxa"/>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382E6B17" w14:textId="4CF91C10"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345"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0B4FD66E" w14:textId="65D315F4"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1387"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5D9F1"/>
            <w:tcMar>
              <w:top w:w="15" w:type="dxa"/>
              <w:left w:w="15" w:type="dxa"/>
              <w:right w:w="15" w:type="dxa"/>
            </w:tcMar>
            <w:vAlign w:val="bottom"/>
          </w:tcPr>
          <w:p w14:paraId="7EB30AD1" w14:textId="686839D4"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$500,000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79ACB11C" w14:textId="67277D1C"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A&amp;E consultant firms assisted with design &amp; construction management needs agency wide.</w:t>
            </w:r>
          </w:p>
        </w:tc>
      </w:tr>
      <w:tr w:rsidR="00D56BE3" w:rsidRPr="006D6566" w14:paraId="3AC8EBAB" w14:textId="77777777" w:rsidTr="053F18CD">
        <w:trPr>
          <w:trHeight w:val="1500"/>
        </w:trPr>
        <w:tc>
          <w:tcPr>
            <w:tcW w:w="1455" w:type="dxa"/>
            <w:tcBorders>
              <w:top w:val="single" w:sz="8" w:space="0" w:color="FFFFFF" w:themeColor="background1"/>
              <w:left w:val="single" w:sz="4"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0A0081D9" w14:textId="670F3AF2" w:rsidR="053F18CD" w:rsidRPr="00855213" w:rsidRDefault="053F18CD">
            <w:pPr>
              <w:rPr>
                <w:rFonts w:ascii="Century Gothic" w:eastAsia="Tahoma" w:hAnsi="Century Gothic" w:cs="Tahoma"/>
                <w:b/>
                <w:bCs/>
                <w:color w:val="000000" w:themeColor="text1"/>
                <w:sz w:val="16"/>
                <w:szCs w:val="16"/>
              </w:rPr>
            </w:pPr>
            <w:r w:rsidRPr="00855213">
              <w:rPr>
                <w:rFonts w:ascii="Century Gothic" w:eastAsia="Tahoma" w:hAnsi="Century Gothic" w:cs="Tahoma"/>
                <w:b/>
                <w:bCs/>
                <w:color w:val="000000" w:themeColor="text1"/>
                <w:sz w:val="16"/>
                <w:szCs w:val="16"/>
              </w:rPr>
              <w:t>IQC Environmental</w:t>
            </w:r>
          </w:p>
        </w:tc>
        <w:tc>
          <w:tcPr>
            <w:tcW w:w="1372" w:type="dxa"/>
            <w:tcBorders>
              <w:top w:val="single" w:sz="12" w:space="0" w:color="FFFFFF" w:themeColor="background1"/>
              <w:left w:val="single" w:sz="8" w:space="0" w:color="FFFFFF" w:themeColor="background1"/>
              <w:bottom w:val="nil"/>
              <w:right w:val="single" w:sz="8" w:space="0" w:color="FFFFFF" w:themeColor="background1"/>
            </w:tcBorders>
            <w:shd w:val="clear" w:color="auto" w:fill="C5D9F1"/>
            <w:tcMar>
              <w:top w:w="15" w:type="dxa"/>
              <w:left w:w="15" w:type="dxa"/>
              <w:right w:w="15" w:type="dxa"/>
            </w:tcMar>
            <w:vAlign w:val="bottom"/>
          </w:tcPr>
          <w:p w14:paraId="41745A3C" w14:textId="50151979" w:rsidR="053F18CD" w:rsidRPr="00855213" w:rsidRDefault="053F18CD">
            <w:pPr>
              <w:rPr>
                <w:rFonts w:ascii="Century Gothic" w:eastAsia="Tahoma" w:hAnsi="Century Gothic" w:cs="Tahoma"/>
                <w:b/>
                <w:bCs/>
                <w:color w:val="000000" w:themeColor="text1"/>
                <w:sz w:val="16"/>
                <w:szCs w:val="16"/>
              </w:rPr>
            </w:pPr>
            <w:proofErr w:type="gramStart"/>
            <w:r w:rsidRPr="00855213">
              <w:rPr>
                <w:rFonts w:ascii="Century Gothic" w:eastAsia="Tahoma" w:hAnsi="Century Gothic" w:cs="Tahoma"/>
                <w:b/>
                <w:bCs/>
                <w:color w:val="000000" w:themeColor="text1"/>
                <w:sz w:val="16"/>
                <w:szCs w:val="16"/>
              </w:rPr>
              <w:t>Continue</w:t>
            </w:r>
            <w:proofErr w:type="gramEnd"/>
            <w:r w:rsidRPr="00855213">
              <w:rPr>
                <w:rFonts w:ascii="Century Gothic" w:eastAsia="Tahoma" w:hAnsi="Century Gothic" w:cs="Tahoma"/>
                <w:b/>
                <w:bCs/>
                <w:color w:val="000000" w:themeColor="text1"/>
                <w:sz w:val="16"/>
                <w:szCs w:val="16"/>
              </w:rPr>
              <w:t xml:space="preserve"> modernization and capital investment in current housing portfolio</w:t>
            </w:r>
          </w:p>
        </w:tc>
        <w:tc>
          <w:tcPr>
            <w:tcW w:w="930" w:type="dxa"/>
            <w:tcBorders>
              <w:top w:val="single" w:sz="12" w:space="0" w:color="FFFFFF" w:themeColor="background1"/>
              <w:left w:val="single" w:sz="8" w:space="0" w:color="FFFFFF" w:themeColor="background1"/>
              <w:bottom w:val="nil"/>
              <w:right w:val="single" w:sz="8" w:space="0" w:color="FFFFFF" w:themeColor="background1"/>
            </w:tcBorders>
            <w:shd w:val="clear" w:color="auto" w:fill="C5D9F1"/>
            <w:tcMar>
              <w:top w:w="15" w:type="dxa"/>
              <w:left w:w="15" w:type="dxa"/>
              <w:right w:w="15" w:type="dxa"/>
            </w:tcMar>
            <w:vAlign w:val="bottom"/>
          </w:tcPr>
          <w:p w14:paraId="4ABD05FD" w14:textId="6DEA5096"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$250,000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48D6A11C" w14:textId="2C360246"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$173,292.83 </w:t>
            </w:r>
          </w:p>
        </w:tc>
        <w:tc>
          <w:tcPr>
            <w:tcW w:w="990" w:type="dxa"/>
            <w:tcBorders>
              <w:top w:val="single" w:sz="12" w:space="0" w:color="FFFFFF" w:themeColor="background1"/>
              <w:left w:val="single" w:sz="8" w:space="0" w:color="FFFFFF" w:themeColor="background1"/>
              <w:bottom w:val="nil"/>
              <w:right w:val="single" w:sz="8" w:space="0" w:color="FFFFFF" w:themeColor="background1"/>
            </w:tcBorders>
            <w:shd w:val="clear" w:color="auto" w:fill="C5D9F1"/>
            <w:tcMar>
              <w:top w:w="15" w:type="dxa"/>
              <w:left w:w="15" w:type="dxa"/>
              <w:right w:w="15" w:type="dxa"/>
            </w:tcMar>
            <w:vAlign w:val="bottom"/>
          </w:tcPr>
          <w:p w14:paraId="23D08BC3" w14:textId="0B5A9D58"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$155,282.83 </w:t>
            </w:r>
          </w:p>
        </w:tc>
        <w:tc>
          <w:tcPr>
            <w:tcW w:w="533" w:type="dxa"/>
            <w:tcBorders>
              <w:top w:val="single" w:sz="8" w:space="0" w:color="FFFFFF" w:themeColor="background1"/>
              <w:left w:val="single" w:sz="8" w:space="0" w:color="FFFFFF" w:themeColor="background1"/>
              <w:bottom w:val="nil"/>
              <w:right w:val="nil"/>
            </w:tcBorders>
            <w:shd w:val="clear" w:color="auto" w:fill="C5D9F1"/>
            <w:tcMar>
              <w:top w:w="15" w:type="dxa"/>
              <w:left w:w="15" w:type="dxa"/>
              <w:right w:w="15" w:type="dxa"/>
            </w:tcMar>
            <w:vAlign w:val="bottom"/>
          </w:tcPr>
          <w:p w14:paraId="1B212D33" w14:textId="27950F0E"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$0.00 </w:t>
            </w:r>
          </w:p>
        </w:tc>
        <w:tc>
          <w:tcPr>
            <w:tcW w:w="717" w:type="dxa"/>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224921DB" w14:textId="1BD31A31"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3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09B7F445" w14:textId="44DB66B3"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$18,010 </w:t>
            </w:r>
          </w:p>
        </w:tc>
        <w:tc>
          <w:tcPr>
            <w:tcW w:w="1387"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4C3CEBD4" w14:textId="2BE08B2C"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$500,000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2E3D435C" w14:textId="58C32873"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Environmental consultant firms assisted with potential hazardous materials testing, preparation of scopes and abatement monitoring needs agency wide.</w:t>
            </w:r>
          </w:p>
        </w:tc>
      </w:tr>
      <w:tr w:rsidR="002A6154" w:rsidRPr="006D6566" w14:paraId="3804AEB5" w14:textId="77777777" w:rsidTr="053F18CD">
        <w:trPr>
          <w:trHeight w:val="1005"/>
        </w:trPr>
        <w:tc>
          <w:tcPr>
            <w:tcW w:w="1455" w:type="dxa"/>
            <w:tcBorders>
              <w:top w:val="single" w:sz="12" w:space="0" w:color="FFFFFF" w:themeColor="background1"/>
              <w:left w:val="single" w:sz="4"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7CD19AAB" w14:textId="563B204F" w:rsidR="053F18CD" w:rsidRPr="00855213" w:rsidRDefault="053F18CD">
            <w:pPr>
              <w:rPr>
                <w:rFonts w:ascii="Century Gothic" w:eastAsia="Tahoma" w:hAnsi="Century Gothic" w:cs="Tahoma"/>
                <w:b/>
                <w:bCs/>
                <w:color w:val="000000" w:themeColor="text1"/>
                <w:sz w:val="16"/>
                <w:szCs w:val="16"/>
              </w:rPr>
            </w:pPr>
            <w:r w:rsidRPr="00855213">
              <w:rPr>
                <w:rFonts w:ascii="Century Gothic" w:eastAsia="Tahoma" w:hAnsi="Century Gothic" w:cs="Tahoma"/>
                <w:b/>
                <w:bCs/>
                <w:color w:val="000000" w:themeColor="text1"/>
                <w:sz w:val="16"/>
                <w:szCs w:val="16"/>
              </w:rPr>
              <w:t>Administration Salaries-Benefits (CFP &amp; MTW)</w:t>
            </w:r>
          </w:p>
        </w:tc>
        <w:tc>
          <w:tcPr>
            <w:tcW w:w="1372"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5649262C" w14:textId="5ECE0425" w:rsidR="053F18CD" w:rsidRPr="00855213" w:rsidRDefault="053F18CD">
            <w:pPr>
              <w:rPr>
                <w:rFonts w:ascii="Century Gothic" w:eastAsia="Tahoma" w:hAnsi="Century Gothic" w:cs="Tahoma"/>
                <w:b/>
                <w:bCs/>
                <w:color w:val="000000" w:themeColor="text1"/>
                <w:sz w:val="16"/>
                <w:szCs w:val="16"/>
              </w:rPr>
            </w:pPr>
            <w:proofErr w:type="gramStart"/>
            <w:r w:rsidRPr="00855213">
              <w:rPr>
                <w:rFonts w:ascii="Century Gothic" w:eastAsia="Tahoma" w:hAnsi="Century Gothic" w:cs="Tahoma"/>
                <w:b/>
                <w:bCs/>
                <w:color w:val="000000" w:themeColor="text1"/>
                <w:sz w:val="16"/>
                <w:szCs w:val="16"/>
              </w:rPr>
              <w:t>Continue</w:t>
            </w:r>
            <w:proofErr w:type="gramEnd"/>
            <w:r w:rsidRPr="00855213">
              <w:rPr>
                <w:rFonts w:ascii="Century Gothic" w:eastAsia="Tahoma" w:hAnsi="Century Gothic" w:cs="Tahoma"/>
                <w:b/>
                <w:bCs/>
                <w:color w:val="000000" w:themeColor="text1"/>
                <w:sz w:val="16"/>
                <w:szCs w:val="16"/>
              </w:rPr>
              <w:t xml:space="preserve"> modernization and capital investment in current housing portfolio</w:t>
            </w:r>
          </w:p>
        </w:tc>
        <w:tc>
          <w:tcPr>
            <w:tcW w:w="930"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3EAB0373" w14:textId="0ED876A5"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$400,000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2C77621E" w14:textId="715B8FAF"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$337,616.98 </w:t>
            </w:r>
          </w:p>
        </w:tc>
        <w:tc>
          <w:tcPr>
            <w:tcW w:w="990"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5248ADAF" w14:textId="322737B3"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$337,616.98 </w:t>
            </w:r>
          </w:p>
        </w:tc>
        <w:tc>
          <w:tcPr>
            <w:tcW w:w="533" w:type="dxa"/>
            <w:tcBorders>
              <w:top w:val="single" w:sz="12" w:space="0" w:color="FFFFFF" w:themeColor="background1"/>
              <w:left w:val="single" w:sz="8"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491611CB" w14:textId="550B37B0"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$0.00 </w:t>
            </w:r>
          </w:p>
        </w:tc>
        <w:tc>
          <w:tcPr>
            <w:tcW w:w="717" w:type="dxa"/>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2823E59B" w14:textId="325D6092"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34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4EC5F9F5" w14:textId="5E86BAE5"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1387"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16C9C17B" w14:textId="331897E5"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$400,000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69C568B0" w14:textId="1D2373BB"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Covered portion of 3 staff salaries &amp; benefits to support CFP activities.</w:t>
            </w:r>
          </w:p>
        </w:tc>
      </w:tr>
      <w:tr w:rsidR="002A6154" w:rsidRPr="006D6566" w14:paraId="1B7A55C7" w14:textId="77777777" w:rsidTr="053F18CD">
        <w:trPr>
          <w:trHeight w:val="1905"/>
        </w:trPr>
        <w:tc>
          <w:tcPr>
            <w:tcW w:w="1455" w:type="dxa"/>
            <w:tcBorders>
              <w:top w:val="single" w:sz="12" w:space="0" w:color="FFFFFF" w:themeColor="background1"/>
              <w:left w:val="single" w:sz="4"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161D67EA" w14:textId="43535A37" w:rsidR="053F18CD" w:rsidRPr="00855213" w:rsidRDefault="053F18CD">
            <w:pPr>
              <w:rPr>
                <w:rFonts w:ascii="Century Gothic" w:eastAsia="Tahoma" w:hAnsi="Century Gothic" w:cs="Tahoma"/>
                <w:b/>
                <w:bCs/>
                <w:color w:val="000000" w:themeColor="text1"/>
                <w:sz w:val="16"/>
                <w:szCs w:val="16"/>
              </w:rPr>
            </w:pPr>
            <w:r w:rsidRPr="00855213">
              <w:rPr>
                <w:rFonts w:ascii="Century Gothic" w:eastAsia="Tahoma" w:hAnsi="Century Gothic" w:cs="Tahoma"/>
                <w:b/>
                <w:bCs/>
                <w:color w:val="000000" w:themeColor="text1"/>
                <w:sz w:val="16"/>
                <w:szCs w:val="16"/>
              </w:rPr>
              <w:t>RAD Initial Year Funding Tool Costs</w:t>
            </w:r>
          </w:p>
        </w:tc>
        <w:tc>
          <w:tcPr>
            <w:tcW w:w="1372"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343A597B" w14:textId="01688578" w:rsidR="053F18CD" w:rsidRPr="00855213" w:rsidRDefault="053F18CD">
            <w:pPr>
              <w:rPr>
                <w:rFonts w:ascii="Century Gothic" w:eastAsia="Tahoma" w:hAnsi="Century Gothic" w:cs="Tahoma"/>
                <w:b/>
                <w:bCs/>
                <w:color w:val="000000" w:themeColor="text1"/>
                <w:sz w:val="16"/>
                <w:szCs w:val="16"/>
              </w:rPr>
            </w:pPr>
            <w:r w:rsidRPr="00855213">
              <w:rPr>
                <w:rFonts w:ascii="Century Gothic" w:eastAsia="Tahoma" w:hAnsi="Century Gothic" w:cs="Tahoma"/>
                <w:b/>
                <w:bCs/>
                <w:color w:val="000000" w:themeColor="text1"/>
                <w:sz w:val="16"/>
                <w:szCs w:val="16"/>
              </w:rPr>
              <w:t>Expand housing choice</w:t>
            </w:r>
          </w:p>
        </w:tc>
        <w:tc>
          <w:tcPr>
            <w:tcW w:w="930"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1A0C144D" w14:textId="1EAB4E13"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$600,000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10AB0231" w14:textId="373B7F00"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$60,314.00 </w:t>
            </w:r>
          </w:p>
        </w:tc>
        <w:tc>
          <w:tcPr>
            <w:tcW w:w="990"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5DEFD9C3" w14:textId="2983C1CC"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$60,314.00 </w:t>
            </w:r>
          </w:p>
        </w:tc>
        <w:tc>
          <w:tcPr>
            <w:tcW w:w="533" w:type="dxa"/>
            <w:tcBorders>
              <w:top w:val="single" w:sz="12" w:space="0" w:color="FFFFFF" w:themeColor="background1"/>
              <w:left w:val="single" w:sz="8" w:space="0" w:color="FFFFFF" w:themeColor="background1"/>
              <w:bottom w:val="nil"/>
              <w:right w:val="nil"/>
            </w:tcBorders>
            <w:shd w:val="clear" w:color="auto" w:fill="C5D9F1"/>
            <w:tcMar>
              <w:top w:w="15" w:type="dxa"/>
              <w:left w:w="15" w:type="dxa"/>
              <w:right w:w="15" w:type="dxa"/>
            </w:tcMar>
            <w:vAlign w:val="bottom"/>
          </w:tcPr>
          <w:p w14:paraId="42B49694" w14:textId="6EC426E2"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717" w:type="dxa"/>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0E4BE9ED" w14:textId="13115992"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34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C5D9F1"/>
            <w:tcMar>
              <w:top w:w="15" w:type="dxa"/>
              <w:left w:w="15" w:type="dxa"/>
              <w:right w:w="15" w:type="dxa"/>
            </w:tcMar>
            <w:vAlign w:val="bottom"/>
          </w:tcPr>
          <w:p w14:paraId="20864F0D" w14:textId="1AB43718"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05726400" w14:textId="16848C82"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$600,000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4E1E654C" w14:textId="295C8D7C"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As required by HUD, CFP formula funds are allocated for RAD conversions for the anticipated months of calendar year remaining from the Housing Assistance Payment (HAP) Contract effective dates. Amount paid for McConaughy. Estimated amount for Westville and SS Multi initial year funding for future years.</w:t>
            </w:r>
          </w:p>
        </w:tc>
      </w:tr>
      <w:tr w:rsidR="002A6154" w:rsidRPr="006D6566" w14:paraId="3F8B9264" w14:textId="77777777" w:rsidTr="053F18CD">
        <w:trPr>
          <w:trHeight w:val="900"/>
        </w:trPr>
        <w:tc>
          <w:tcPr>
            <w:tcW w:w="1455" w:type="dxa"/>
            <w:tcBorders>
              <w:top w:val="single" w:sz="12" w:space="0" w:color="FFFFFF" w:themeColor="background1"/>
              <w:left w:val="single" w:sz="4" w:space="0" w:color="FFFFFF" w:themeColor="background1"/>
              <w:bottom w:val="single" w:sz="12" w:space="0" w:color="FFFFFF" w:themeColor="background1"/>
              <w:right w:val="single" w:sz="8" w:space="0" w:color="FFFFFF" w:themeColor="background1"/>
            </w:tcBorders>
            <w:shd w:val="clear" w:color="auto" w:fill="C5D9F1"/>
            <w:tcMar>
              <w:top w:w="15" w:type="dxa"/>
              <w:left w:w="15" w:type="dxa"/>
              <w:right w:w="15" w:type="dxa"/>
            </w:tcMar>
            <w:vAlign w:val="bottom"/>
          </w:tcPr>
          <w:p w14:paraId="26654877" w14:textId="42A059A0" w:rsidR="053F18CD" w:rsidRPr="00855213" w:rsidRDefault="053F18CD">
            <w:pPr>
              <w:rPr>
                <w:rFonts w:ascii="Century Gothic" w:eastAsia="Tahoma" w:hAnsi="Century Gothic" w:cs="Tahoma"/>
                <w:b/>
                <w:bCs/>
                <w:color w:val="000000" w:themeColor="text1"/>
                <w:sz w:val="16"/>
                <w:szCs w:val="16"/>
              </w:rPr>
            </w:pPr>
            <w:r w:rsidRPr="00855213">
              <w:rPr>
                <w:rFonts w:ascii="Century Gothic" w:eastAsia="Tahoma" w:hAnsi="Century Gothic" w:cs="Tahoma"/>
                <w:b/>
                <w:bCs/>
                <w:color w:val="000000" w:themeColor="text1"/>
                <w:sz w:val="16"/>
                <w:szCs w:val="16"/>
              </w:rPr>
              <w:t>CFFP Bond Debt</w:t>
            </w:r>
          </w:p>
        </w:tc>
        <w:tc>
          <w:tcPr>
            <w:tcW w:w="1372" w:type="dxa"/>
            <w:tcBorders>
              <w:top w:val="single" w:sz="12" w:space="0" w:color="FFFFFF" w:themeColor="background1"/>
              <w:left w:val="single" w:sz="8" w:space="0" w:color="FFFFFF" w:themeColor="background1"/>
              <w:bottom w:val="nil"/>
              <w:right w:val="single" w:sz="8" w:space="0" w:color="FFFFFF" w:themeColor="background1"/>
            </w:tcBorders>
            <w:shd w:val="clear" w:color="auto" w:fill="C5D9F1"/>
            <w:tcMar>
              <w:top w:w="15" w:type="dxa"/>
              <w:left w:w="15" w:type="dxa"/>
              <w:right w:w="15" w:type="dxa"/>
            </w:tcMar>
            <w:vAlign w:val="bottom"/>
          </w:tcPr>
          <w:p w14:paraId="0AF29280" w14:textId="0DEE3449" w:rsidR="053F18CD" w:rsidRPr="00855213" w:rsidRDefault="053F18CD">
            <w:pPr>
              <w:rPr>
                <w:rFonts w:ascii="Century Gothic" w:eastAsia="Tahoma" w:hAnsi="Century Gothic" w:cs="Tahoma"/>
                <w:b/>
                <w:bCs/>
                <w:color w:val="000000" w:themeColor="text1"/>
                <w:sz w:val="16"/>
                <w:szCs w:val="16"/>
              </w:rPr>
            </w:pPr>
            <w:r w:rsidRPr="00855213">
              <w:rPr>
                <w:rFonts w:ascii="Century Gothic" w:eastAsia="Tahoma" w:hAnsi="Century Gothic" w:cs="Tahoma"/>
                <w:b/>
                <w:bCs/>
                <w:color w:val="000000" w:themeColor="text1"/>
                <w:sz w:val="16"/>
                <w:szCs w:val="16"/>
              </w:rPr>
              <w:t>Expand housing choice</w:t>
            </w:r>
          </w:p>
        </w:tc>
        <w:tc>
          <w:tcPr>
            <w:tcW w:w="930" w:type="dxa"/>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5D9F1"/>
            <w:tcMar>
              <w:top w:w="15" w:type="dxa"/>
              <w:left w:w="15" w:type="dxa"/>
              <w:right w:w="15" w:type="dxa"/>
            </w:tcMar>
            <w:vAlign w:val="bottom"/>
          </w:tcPr>
          <w:p w14:paraId="174CD431" w14:textId="19B99F51"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$368,962.50 </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58AFA1F3" w14:textId="6EF15278"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$368,962.50 </w:t>
            </w:r>
          </w:p>
        </w:tc>
        <w:tc>
          <w:tcPr>
            <w:tcW w:w="990" w:type="dxa"/>
            <w:tcBorders>
              <w:top w:val="single" w:sz="12" w:space="0" w:color="FFFFFF" w:themeColor="background1"/>
              <w:left w:val="single" w:sz="12" w:space="0" w:color="FFFFFF" w:themeColor="background1"/>
              <w:bottom w:val="single" w:sz="8" w:space="0" w:color="FFFFFF" w:themeColor="background1"/>
              <w:right w:val="nil"/>
            </w:tcBorders>
            <w:shd w:val="clear" w:color="auto" w:fill="C5D9F1"/>
            <w:tcMar>
              <w:top w:w="15" w:type="dxa"/>
              <w:left w:w="15" w:type="dxa"/>
              <w:right w:w="15" w:type="dxa"/>
            </w:tcMar>
            <w:vAlign w:val="bottom"/>
          </w:tcPr>
          <w:p w14:paraId="4ECED776" w14:textId="6F0A2964"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$368,962.50 </w:t>
            </w:r>
          </w:p>
        </w:tc>
        <w:tc>
          <w:tcPr>
            <w:tcW w:w="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D9F1"/>
            <w:tcMar>
              <w:top w:w="15" w:type="dxa"/>
              <w:left w:w="15" w:type="dxa"/>
              <w:right w:w="15" w:type="dxa"/>
            </w:tcMar>
            <w:vAlign w:val="bottom"/>
          </w:tcPr>
          <w:p w14:paraId="28C0D3E2" w14:textId="2FE32C38"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$0.00 </w:t>
            </w:r>
          </w:p>
        </w:tc>
        <w:tc>
          <w:tcPr>
            <w:tcW w:w="717" w:type="dxa"/>
            <w:tcBorders>
              <w:top w:val="single" w:sz="12" w:space="0" w:color="FFFFFF" w:themeColor="background1"/>
              <w:left w:val="single" w:sz="8" w:space="0" w:color="FFFFFF" w:themeColor="background1"/>
              <w:bottom w:val="single" w:sz="8" w:space="0" w:color="FFFFFF" w:themeColor="background1"/>
              <w:right w:val="nil"/>
            </w:tcBorders>
            <w:shd w:val="clear" w:color="auto" w:fill="C5D9F1"/>
            <w:tcMar>
              <w:top w:w="15" w:type="dxa"/>
              <w:left w:w="15" w:type="dxa"/>
              <w:right w:w="15" w:type="dxa"/>
            </w:tcMar>
            <w:vAlign w:val="bottom"/>
          </w:tcPr>
          <w:p w14:paraId="58847642" w14:textId="13295497"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345" w:type="dxa"/>
            <w:tcBorders>
              <w:top w:val="single" w:sz="12" w:space="0" w:color="FFFFFF" w:themeColor="background1"/>
              <w:left w:val="single" w:sz="12" w:space="0" w:color="FFFFFF" w:themeColor="background1"/>
              <w:bottom w:val="nil"/>
              <w:right w:val="nil"/>
            </w:tcBorders>
            <w:shd w:val="clear" w:color="auto" w:fill="C5D9F1"/>
            <w:tcMar>
              <w:top w:w="15" w:type="dxa"/>
              <w:left w:w="15" w:type="dxa"/>
              <w:right w:w="15" w:type="dxa"/>
            </w:tcMar>
            <w:vAlign w:val="bottom"/>
          </w:tcPr>
          <w:p w14:paraId="2AAF6EF6" w14:textId="57FEBDCB"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$0 </w:t>
            </w:r>
          </w:p>
        </w:tc>
        <w:tc>
          <w:tcPr>
            <w:tcW w:w="1387" w:type="dxa"/>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5D9F1"/>
            <w:tcMar>
              <w:top w:w="15" w:type="dxa"/>
              <w:left w:w="15" w:type="dxa"/>
              <w:right w:w="15" w:type="dxa"/>
            </w:tcMar>
            <w:vAlign w:val="bottom"/>
          </w:tcPr>
          <w:p w14:paraId="0F4C3DAA" w14:textId="2051CEDF"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 xml:space="preserve">$368,962.50 </w:t>
            </w:r>
          </w:p>
        </w:tc>
        <w:tc>
          <w:tcPr>
            <w:tcW w:w="20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D9F1"/>
            <w:tcMar>
              <w:top w:w="15" w:type="dxa"/>
              <w:left w:w="15" w:type="dxa"/>
              <w:right w:w="15" w:type="dxa"/>
            </w:tcMar>
            <w:vAlign w:val="bottom"/>
          </w:tcPr>
          <w:p w14:paraId="329BE2DE" w14:textId="2DECA1D2" w:rsidR="053F18CD" w:rsidRPr="00855213" w:rsidRDefault="053F18CD">
            <w:pPr>
              <w:rPr>
                <w:rFonts w:ascii="Century Gothic" w:eastAsia="Tahoma" w:hAnsi="Century Gothic" w:cs="Tahoma"/>
                <w:color w:val="000000" w:themeColor="text1"/>
                <w:sz w:val="16"/>
                <w:szCs w:val="16"/>
              </w:rPr>
            </w:pPr>
            <w:r w:rsidRPr="00855213">
              <w:rPr>
                <w:rFonts w:ascii="Century Gothic" w:eastAsia="Tahoma" w:hAnsi="Century Gothic" w:cs="Tahoma"/>
                <w:color w:val="000000" w:themeColor="text1"/>
                <w:sz w:val="16"/>
                <w:szCs w:val="16"/>
              </w:rPr>
              <w:t>Post defeasance bond debt FY 2024 in accordance with HUD repayment schedule. Payments were made in March and September.</w:t>
            </w:r>
          </w:p>
        </w:tc>
      </w:tr>
      <w:tr w:rsidR="003928ED" w:rsidRPr="006D6566" w14:paraId="21043A56" w14:textId="77777777" w:rsidTr="053F18CD">
        <w:trPr>
          <w:trHeight w:val="330"/>
        </w:trPr>
        <w:tc>
          <w:tcPr>
            <w:tcW w:w="1455" w:type="dxa"/>
            <w:tcBorders>
              <w:top w:val="single" w:sz="12" w:space="0" w:color="FFFFFF" w:themeColor="background1"/>
              <w:left w:val="single" w:sz="4" w:space="0" w:color="FFFFFF" w:themeColor="background1"/>
              <w:bottom w:val="nil"/>
              <w:right w:val="nil"/>
            </w:tcBorders>
            <w:shd w:val="clear" w:color="auto" w:fill="C4D79B"/>
            <w:tcMar>
              <w:top w:w="15" w:type="dxa"/>
              <w:left w:w="15" w:type="dxa"/>
              <w:right w:w="15" w:type="dxa"/>
            </w:tcMar>
          </w:tcPr>
          <w:p w14:paraId="5026AC71" w14:textId="131BF75B" w:rsidR="053F18CD" w:rsidRPr="00855213" w:rsidRDefault="053F18CD" w:rsidP="00B03907">
            <w:pPr>
              <w:jc w:val="right"/>
              <w:rPr>
                <w:rFonts w:ascii="Century Gothic" w:eastAsia="Tahoma" w:hAnsi="Century Gothic" w:cs="Tahoma"/>
                <w:b/>
                <w:bCs/>
                <w:color w:val="5F497A"/>
                <w:sz w:val="16"/>
                <w:szCs w:val="16"/>
              </w:rPr>
            </w:pPr>
            <w:r w:rsidRPr="00855213">
              <w:rPr>
                <w:rFonts w:ascii="Century Gothic" w:eastAsia="Tahoma" w:hAnsi="Century Gothic" w:cs="Tahoma"/>
                <w:b/>
                <w:bCs/>
                <w:color w:val="5F497A"/>
                <w:sz w:val="16"/>
                <w:szCs w:val="16"/>
              </w:rPr>
              <w:t>Total</w:t>
            </w:r>
          </w:p>
        </w:tc>
        <w:tc>
          <w:tcPr>
            <w:tcW w:w="1372" w:type="dxa"/>
            <w:tcBorders>
              <w:top w:val="single" w:sz="12" w:space="0" w:color="FFFFFF" w:themeColor="background1"/>
              <w:left w:val="nil"/>
              <w:bottom w:val="single" w:sz="8" w:space="0" w:color="60497B"/>
              <w:right w:val="nil"/>
            </w:tcBorders>
            <w:shd w:val="clear" w:color="auto" w:fill="C4D79B"/>
            <w:tcMar>
              <w:top w:w="15" w:type="dxa"/>
              <w:left w:w="15" w:type="dxa"/>
              <w:right w:w="15" w:type="dxa"/>
            </w:tcMar>
          </w:tcPr>
          <w:p w14:paraId="3EAB41ED" w14:textId="20C11424" w:rsidR="053F18CD" w:rsidRPr="00855213" w:rsidRDefault="053F18CD" w:rsidP="00B03907">
            <w:pPr>
              <w:jc w:val="right"/>
              <w:rPr>
                <w:rFonts w:ascii="Century Gothic" w:eastAsia="Tahoma" w:hAnsi="Century Gothic" w:cs="Tahoma"/>
                <w:b/>
                <w:bCs/>
                <w:color w:val="5F497A"/>
                <w:sz w:val="16"/>
                <w:szCs w:val="16"/>
              </w:rPr>
            </w:pPr>
            <w:r w:rsidRPr="00855213">
              <w:rPr>
                <w:rFonts w:ascii="Century Gothic" w:eastAsia="Tahoma" w:hAnsi="Century Gothic" w:cs="Tahoma"/>
                <w:b/>
                <w:bCs/>
                <w:color w:val="5F497A"/>
                <w:sz w:val="16"/>
                <w:szCs w:val="16"/>
              </w:rPr>
              <w:t xml:space="preserve"> </w:t>
            </w:r>
          </w:p>
        </w:tc>
        <w:tc>
          <w:tcPr>
            <w:tcW w:w="930" w:type="dxa"/>
            <w:tcBorders>
              <w:top w:val="single" w:sz="12" w:space="0" w:color="FFFFFF" w:themeColor="background1"/>
              <w:left w:val="nil"/>
              <w:bottom w:val="single" w:sz="8" w:space="0" w:color="60497B"/>
              <w:right w:val="nil"/>
            </w:tcBorders>
            <w:shd w:val="clear" w:color="auto" w:fill="C4D79B"/>
            <w:tcMar>
              <w:top w:w="15" w:type="dxa"/>
              <w:left w:w="15" w:type="dxa"/>
              <w:right w:w="15" w:type="dxa"/>
            </w:tcMar>
          </w:tcPr>
          <w:p w14:paraId="04F20BC5" w14:textId="305AF279" w:rsidR="053F18CD" w:rsidRPr="00855213" w:rsidRDefault="053F18CD" w:rsidP="00B03907">
            <w:pPr>
              <w:jc w:val="right"/>
              <w:rPr>
                <w:rFonts w:ascii="Century Gothic" w:eastAsia="Tahoma" w:hAnsi="Century Gothic" w:cs="Tahoma"/>
                <w:b/>
                <w:bCs/>
                <w:color w:val="5F497A"/>
                <w:sz w:val="16"/>
                <w:szCs w:val="16"/>
              </w:rPr>
            </w:pPr>
            <w:r w:rsidRPr="00855213">
              <w:rPr>
                <w:rFonts w:ascii="Century Gothic" w:eastAsia="Tahoma" w:hAnsi="Century Gothic" w:cs="Tahoma"/>
                <w:b/>
                <w:bCs/>
                <w:color w:val="5F497A"/>
                <w:sz w:val="16"/>
                <w:szCs w:val="16"/>
              </w:rPr>
              <w:t xml:space="preserve">$8,158,962.50 </w:t>
            </w:r>
          </w:p>
        </w:tc>
        <w:tc>
          <w:tcPr>
            <w:tcW w:w="1062" w:type="dxa"/>
            <w:tcBorders>
              <w:top w:val="single" w:sz="12" w:space="0" w:color="FFFFFF" w:themeColor="background1"/>
              <w:left w:val="nil"/>
              <w:bottom w:val="single" w:sz="8" w:space="0" w:color="60497B"/>
              <w:right w:val="nil"/>
            </w:tcBorders>
            <w:shd w:val="clear" w:color="auto" w:fill="C2D69A"/>
            <w:tcMar>
              <w:top w:w="15" w:type="dxa"/>
              <w:left w:w="15" w:type="dxa"/>
              <w:right w:w="15" w:type="dxa"/>
            </w:tcMar>
          </w:tcPr>
          <w:p w14:paraId="563E3545" w14:textId="5ADFFDB0" w:rsidR="053F18CD" w:rsidRPr="00855213" w:rsidRDefault="053F18CD" w:rsidP="00B03907">
            <w:pPr>
              <w:jc w:val="right"/>
              <w:rPr>
                <w:rFonts w:ascii="Century Gothic" w:eastAsia="Tahoma" w:hAnsi="Century Gothic" w:cs="Tahoma"/>
                <w:b/>
                <w:bCs/>
                <w:color w:val="5F497A"/>
                <w:sz w:val="16"/>
                <w:szCs w:val="16"/>
              </w:rPr>
            </w:pPr>
            <w:r w:rsidRPr="00855213">
              <w:rPr>
                <w:rFonts w:ascii="Century Gothic" w:eastAsia="Tahoma" w:hAnsi="Century Gothic" w:cs="Tahoma"/>
                <w:b/>
                <w:bCs/>
                <w:color w:val="5F497A"/>
                <w:sz w:val="16"/>
                <w:szCs w:val="16"/>
              </w:rPr>
              <w:t xml:space="preserve">$5,142,115.00 </w:t>
            </w:r>
          </w:p>
        </w:tc>
        <w:tc>
          <w:tcPr>
            <w:tcW w:w="990" w:type="dxa"/>
            <w:tcBorders>
              <w:top w:val="single" w:sz="12" w:space="0" w:color="FFFFFF" w:themeColor="background1"/>
              <w:left w:val="nil"/>
              <w:bottom w:val="single" w:sz="8" w:space="0" w:color="60497B"/>
              <w:right w:val="nil"/>
            </w:tcBorders>
            <w:shd w:val="clear" w:color="auto" w:fill="C2D69A"/>
            <w:tcMar>
              <w:top w:w="15" w:type="dxa"/>
              <w:left w:w="15" w:type="dxa"/>
              <w:right w:w="15" w:type="dxa"/>
            </w:tcMar>
          </w:tcPr>
          <w:p w14:paraId="6EA7075C" w14:textId="6D1A8F77" w:rsidR="053F18CD" w:rsidRPr="00855213" w:rsidRDefault="053F18CD" w:rsidP="00B03907">
            <w:pPr>
              <w:jc w:val="right"/>
              <w:rPr>
                <w:rFonts w:ascii="Century Gothic" w:eastAsia="Tahoma" w:hAnsi="Century Gothic" w:cs="Tahoma"/>
                <w:b/>
                <w:bCs/>
                <w:color w:val="5F497A"/>
                <w:sz w:val="16"/>
                <w:szCs w:val="16"/>
              </w:rPr>
            </w:pPr>
            <w:r w:rsidRPr="00855213">
              <w:rPr>
                <w:rFonts w:ascii="Century Gothic" w:eastAsia="Tahoma" w:hAnsi="Century Gothic" w:cs="Tahoma"/>
                <w:b/>
                <w:bCs/>
                <w:color w:val="5F497A"/>
                <w:sz w:val="16"/>
                <w:szCs w:val="16"/>
              </w:rPr>
              <w:t xml:space="preserve">$2,496,412.11 </w:t>
            </w:r>
          </w:p>
        </w:tc>
        <w:tc>
          <w:tcPr>
            <w:tcW w:w="533" w:type="dxa"/>
            <w:tcBorders>
              <w:top w:val="single" w:sz="12" w:space="0" w:color="FFFFFF" w:themeColor="background1"/>
              <w:left w:val="nil"/>
              <w:bottom w:val="single" w:sz="8" w:space="0" w:color="60497B"/>
              <w:right w:val="nil"/>
            </w:tcBorders>
            <w:shd w:val="clear" w:color="auto" w:fill="C2D69A"/>
            <w:tcMar>
              <w:top w:w="15" w:type="dxa"/>
              <w:left w:w="15" w:type="dxa"/>
              <w:right w:w="15" w:type="dxa"/>
            </w:tcMar>
          </w:tcPr>
          <w:p w14:paraId="7B738CB3" w14:textId="6D4F15BB" w:rsidR="053F18CD" w:rsidRPr="00855213" w:rsidRDefault="053F18CD" w:rsidP="00B03907">
            <w:pPr>
              <w:jc w:val="right"/>
              <w:rPr>
                <w:rFonts w:ascii="Century Gothic" w:eastAsia="Tahoma" w:hAnsi="Century Gothic" w:cs="Tahoma"/>
                <w:b/>
                <w:bCs/>
                <w:color w:val="5F497A"/>
                <w:sz w:val="16"/>
                <w:szCs w:val="16"/>
              </w:rPr>
            </w:pPr>
            <w:r w:rsidRPr="00855213">
              <w:rPr>
                <w:rFonts w:ascii="Century Gothic" w:eastAsia="Tahoma" w:hAnsi="Century Gothic" w:cs="Tahoma"/>
                <w:b/>
                <w:bCs/>
                <w:color w:val="5F497A"/>
                <w:sz w:val="16"/>
                <w:szCs w:val="16"/>
              </w:rPr>
              <w:t xml:space="preserve">$2,255,495.82 </w:t>
            </w:r>
          </w:p>
        </w:tc>
        <w:tc>
          <w:tcPr>
            <w:tcW w:w="717" w:type="dxa"/>
            <w:tcBorders>
              <w:top w:val="single" w:sz="8" w:space="0" w:color="FFFFFF" w:themeColor="background1"/>
              <w:left w:val="nil"/>
              <w:bottom w:val="nil"/>
              <w:right w:val="nil"/>
            </w:tcBorders>
            <w:shd w:val="clear" w:color="auto" w:fill="C2D69A"/>
            <w:tcMar>
              <w:top w:w="15" w:type="dxa"/>
              <w:left w:w="15" w:type="dxa"/>
              <w:right w:w="15" w:type="dxa"/>
            </w:tcMar>
          </w:tcPr>
          <w:p w14:paraId="63DE4F6C" w14:textId="2BD21BBD" w:rsidR="053F18CD" w:rsidRPr="00855213" w:rsidRDefault="053F18CD" w:rsidP="00B03907">
            <w:pPr>
              <w:jc w:val="right"/>
              <w:rPr>
                <w:rFonts w:ascii="Century Gothic" w:eastAsia="Tahoma" w:hAnsi="Century Gothic" w:cs="Tahoma"/>
                <w:b/>
                <w:bCs/>
                <w:color w:val="5F497A"/>
                <w:sz w:val="16"/>
                <w:szCs w:val="16"/>
              </w:rPr>
            </w:pPr>
            <w:r w:rsidRPr="00855213">
              <w:rPr>
                <w:rFonts w:ascii="Century Gothic" w:eastAsia="Tahoma" w:hAnsi="Century Gothic" w:cs="Tahoma"/>
                <w:b/>
                <w:bCs/>
                <w:color w:val="5F497A"/>
                <w:sz w:val="16"/>
                <w:szCs w:val="16"/>
              </w:rPr>
              <w:t xml:space="preserve">$372,197.07 </w:t>
            </w:r>
          </w:p>
        </w:tc>
        <w:tc>
          <w:tcPr>
            <w:tcW w:w="345" w:type="dxa"/>
            <w:tcBorders>
              <w:top w:val="single" w:sz="12" w:space="0" w:color="FFFFFF" w:themeColor="background1"/>
              <w:left w:val="nil"/>
              <w:bottom w:val="single" w:sz="8" w:space="0" w:color="60497B"/>
              <w:right w:val="nil"/>
            </w:tcBorders>
            <w:shd w:val="clear" w:color="auto" w:fill="C2D69A"/>
            <w:tcMar>
              <w:top w:w="15" w:type="dxa"/>
              <w:left w:w="15" w:type="dxa"/>
              <w:right w:w="15" w:type="dxa"/>
            </w:tcMar>
          </w:tcPr>
          <w:p w14:paraId="0AEFCFC4" w14:textId="656B43D1" w:rsidR="053F18CD" w:rsidRPr="00855213" w:rsidRDefault="053F18CD" w:rsidP="00B03907">
            <w:pPr>
              <w:jc w:val="right"/>
              <w:rPr>
                <w:rFonts w:ascii="Century Gothic" w:eastAsia="Tahoma" w:hAnsi="Century Gothic" w:cs="Tahoma"/>
                <w:b/>
                <w:bCs/>
                <w:color w:val="5F497A"/>
                <w:sz w:val="16"/>
                <w:szCs w:val="16"/>
              </w:rPr>
            </w:pPr>
            <w:r w:rsidRPr="00855213">
              <w:rPr>
                <w:rFonts w:ascii="Century Gothic" w:eastAsia="Tahoma" w:hAnsi="Century Gothic" w:cs="Tahoma"/>
                <w:b/>
                <w:bCs/>
                <w:color w:val="5F497A"/>
                <w:sz w:val="16"/>
                <w:szCs w:val="16"/>
              </w:rPr>
              <w:t xml:space="preserve">$18,010.00 </w:t>
            </w:r>
          </w:p>
        </w:tc>
        <w:tc>
          <w:tcPr>
            <w:tcW w:w="1387" w:type="dxa"/>
            <w:tcBorders>
              <w:top w:val="single" w:sz="12" w:space="0" w:color="FFFFFF" w:themeColor="background1"/>
              <w:left w:val="nil"/>
              <w:bottom w:val="nil"/>
              <w:right w:val="single" w:sz="4" w:space="0" w:color="FFFFFF" w:themeColor="background1"/>
            </w:tcBorders>
            <w:shd w:val="clear" w:color="auto" w:fill="C2D69A"/>
            <w:tcMar>
              <w:top w:w="15" w:type="dxa"/>
              <w:left w:w="15" w:type="dxa"/>
              <w:right w:w="15" w:type="dxa"/>
            </w:tcMar>
          </w:tcPr>
          <w:p w14:paraId="44672527" w14:textId="743AEEF7" w:rsidR="053F18CD" w:rsidRPr="00855213" w:rsidRDefault="053F18CD" w:rsidP="00B03907">
            <w:pPr>
              <w:jc w:val="right"/>
              <w:rPr>
                <w:rFonts w:ascii="Century Gothic" w:eastAsia="Tahoma" w:hAnsi="Century Gothic" w:cs="Tahoma"/>
                <w:b/>
                <w:bCs/>
                <w:color w:val="5F497A"/>
                <w:sz w:val="16"/>
                <w:szCs w:val="16"/>
              </w:rPr>
            </w:pPr>
            <w:r w:rsidRPr="00855213">
              <w:rPr>
                <w:rFonts w:ascii="Century Gothic" w:eastAsia="Tahoma" w:hAnsi="Century Gothic" w:cs="Tahoma"/>
                <w:b/>
                <w:bCs/>
                <w:color w:val="5F497A"/>
                <w:sz w:val="16"/>
                <w:szCs w:val="16"/>
              </w:rPr>
              <w:t xml:space="preserve">$32,368,956 </w:t>
            </w:r>
          </w:p>
        </w:tc>
        <w:tc>
          <w:tcPr>
            <w:tcW w:w="2009" w:type="dxa"/>
            <w:tcBorders>
              <w:top w:val="single" w:sz="12" w:space="0" w:color="FFFFFF" w:themeColor="background1"/>
              <w:left w:val="single" w:sz="4" w:space="0" w:color="FFFFFF" w:themeColor="background1"/>
              <w:bottom w:val="nil"/>
              <w:right w:val="nil"/>
            </w:tcBorders>
            <w:shd w:val="clear" w:color="auto" w:fill="C2D69A"/>
            <w:tcMar>
              <w:top w:w="15" w:type="dxa"/>
              <w:left w:w="15" w:type="dxa"/>
              <w:right w:w="15" w:type="dxa"/>
            </w:tcMar>
          </w:tcPr>
          <w:p w14:paraId="4F3429AF" w14:textId="5FA35801" w:rsidR="053F18CD" w:rsidRPr="00855213" w:rsidRDefault="053F18CD">
            <w:pPr>
              <w:rPr>
                <w:rFonts w:ascii="Century Gothic" w:eastAsia="Tahoma" w:hAnsi="Century Gothic" w:cs="Tahoma"/>
                <w:color w:val="FF0000"/>
                <w:sz w:val="16"/>
                <w:szCs w:val="16"/>
              </w:rPr>
            </w:pPr>
          </w:p>
        </w:tc>
      </w:tr>
    </w:tbl>
    <w:p w14:paraId="40F9EF5A" w14:textId="3A011DF2" w:rsidR="053F18CD" w:rsidRPr="00855213" w:rsidRDefault="053F18CD" w:rsidP="053F18CD">
      <w:pPr>
        <w:rPr>
          <w:rFonts w:ascii="Century Gothic" w:hAnsi="Century Gothic"/>
          <w:sz w:val="16"/>
          <w:szCs w:val="16"/>
        </w:rPr>
      </w:pPr>
    </w:p>
    <w:p w14:paraId="63573A13" w14:textId="1E0AC83D" w:rsidR="053F18CD" w:rsidRPr="00855213" w:rsidRDefault="053F18CD" w:rsidP="053F18CD">
      <w:pPr>
        <w:rPr>
          <w:rFonts w:ascii="Century Gothic" w:hAnsi="Century Gothic"/>
          <w:sz w:val="16"/>
          <w:szCs w:val="16"/>
        </w:rPr>
      </w:pPr>
    </w:p>
    <w:p w14:paraId="6ABEA28B" w14:textId="720C0B91" w:rsidR="053F18CD" w:rsidRPr="00855213" w:rsidRDefault="053F18CD" w:rsidP="053F18CD">
      <w:pPr>
        <w:rPr>
          <w:rFonts w:ascii="Century Gothic" w:hAnsi="Century Gothic"/>
          <w:sz w:val="16"/>
          <w:szCs w:val="16"/>
        </w:rPr>
      </w:pPr>
    </w:p>
    <w:p w14:paraId="6151838E" w14:textId="7443FCFC" w:rsidR="053F18CD" w:rsidRPr="00855213" w:rsidRDefault="053F18CD" w:rsidP="053F18CD">
      <w:pPr>
        <w:rPr>
          <w:rFonts w:ascii="Century Gothic" w:hAnsi="Century Gothic"/>
          <w:sz w:val="16"/>
          <w:szCs w:val="16"/>
        </w:rPr>
      </w:pPr>
    </w:p>
    <w:p w14:paraId="62CDE111" w14:textId="69B68A52" w:rsidR="053F18CD" w:rsidRPr="00855213" w:rsidRDefault="053F18CD">
      <w:pPr>
        <w:rPr>
          <w:rFonts w:ascii="Century Gothic" w:hAnsi="Century Gothic"/>
        </w:rPr>
      </w:pPr>
    </w:p>
    <w:p w14:paraId="612A6D66" w14:textId="0ACA0507" w:rsidR="053F18CD" w:rsidRPr="00855213" w:rsidRDefault="053F18CD">
      <w:pPr>
        <w:rPr>
          <w:rFonts w:ascii="Century Gothic" w:hAnsi="Century Gothic"/>
        </w:rPr>
      </w:pPr>
    </w:p>
    <w:p w14:paraId="0DB7FEB7" w14:textId="0A9B84C5" w:rsidR="053F18CD" w:rsidRPr="00855213" w:rsidRDefault="053F18CD">
      <w:pPr>
        <w:rPr>
          <w:rFonts w:ascii="Century Gothic" w:hAnsi="Century Gothic"/>
        </w:rPr>
      </w:pPr>
    </w:p>
    <w:p w14:paraId="49093034" w14:textId="755C40EF" w:rsidR="053F18CD" w:rsidRPr="00855213" w:rsidRDefault="053F18CD">
      <w:pPr>
        <w:rPr>
          <w:rFonts w:ascii="Century Gothic" w:hAnsi="Century Gothic"/>
        </w:rPr>
      </w:pPr>
    </w:p>
    <w:p w14:paraId="1C5C2B45" w14:textId="0E7042CC" w:rsidR="053F18CD" w:rsidRPr="00855213" w:rsidRDefault="053F18CD">
      <w:pPr>
        <w:rPr>
          <w:rFonts w:ascii="Century Gothic" w:hAnsi="Century Gothic"/>
        </w:rPr>
      </w:pPr>
    </w:p>
    <w:p w14:paraId="5E7FFCEF" w14:textId="0C3E03DF" w:rsidR="2C805A1A" w:rsidRPr="00855213" w:rsidRDefault="2C805A1A" w:rsidP="2C805A1A">
      <w:pPr>
        <w:jc w:val="center"/>
        <w:rPr>
          <w:rFonts w:ascii="Century Gothic" w:eastAsia="Times New Roman" w:hAnsi="Century Gothic"/>
          <w:b/>
          <w:bCs/>
        </w:rPr>
      </w:pPr>
    </w:p>
    <w:tbl>
      <w:tblPr>
        <w:tblStyle w:val="TableGrid"/>
        <w:tblW w:w="10811" w:type="dxa"/>
        <w:tblLayout w:type="fixed"/>
        <w:tblLook w:val="06A0" w:firstRow="1" w:lastRow="0" w:firstColumn="1" w:lastColumn="0" w:noHBand="1" w:noVBand="1"/>
      </w:tblPr>
      <w:tblGrid>
        <w:gridCol w:w="1854"/>
        <w:gridCol w:w="1050"/>
        <w:gridCol w:w="1050"/>
        <w:gridCol w:w="1050"/>
        <w:gridCol w:w="942"/>
        <w:gridCol w:w="873"/>
        <w:gridCol w:w="1334"/>
        <w:gridCol w:w="2658"/>
      </w:tblGrid>
      <w:tr w:rsidR="655A2699" w:rsidRPr="006D6566" w14:paraId="6F477569" w14:textId="77777777" w:rsidTr="2C805A1A">
        <w:trPr>
          <w:trHeight w:val="315"/>
        </w:trPr>
        <w:tc>
          <w:tcPr>
            <w:tcW w:w="1854" w:type="dxa"/>
            <w:tcBorders>
              <w:top w:val="single" w:sz="8" w:space="0" w:color="60497B"/>
              <w:left w:val="single" w:sz="4" w:space="0" w:color="FFFFFF" w:themeColor="background1"/>
              <w:bottom w:val="single" w:sz="8" w:space="0" w:color="FFFFFF" w:themeColor="background1"/>
              <w:right w:val="single" w:sz="8" w:space="0" w:color="60497B"/>
            </w:tcBorders>
            <w:shd w:val="clear" w:color="auto" w:fill="60497B"/>
            <w:vAlign w:val="bottom"/>
          </w:tcPr>
          <w:p w14:paraId="17A83135" w14:textId="6A55D93C" w:rsidR="655A2699" w:rsidRPr="00855213" w:rsidRDefault="655A2699" w:rsidP="006D3596">
            <w:pPr>
              <w:jc w:val="center"/>
              <w:rPr>
                <w:rFonts w:ascii="Century Gothic" w:eastAsia="Tahoma" w:hAnsi="Century Gothic" w:cs="Tahoma"/>
                <w:color w:val="000000" w:themeColor="text1"/>
                <w:sz w:val="17"/>
                <w:szCs w:val="17"/>
              </w:rPr>
            </w:pPr>
          </w:p>
        </w:tc>
        <w:tc>
          <w:tcPr>
            <w:tcW w:w="1050" w:type="dxa"/>
            <w:tcBorders>
              <w:top w:val="single" w:sz="8" w:space="0" w:color="60497B"/>
              <w:left w:val="single" w:sz="4" w:space="0" w:color="FFFFFF" w:themeColor="background1"/>
              <w:bottom w:val="single" w:sz="8" w:space="0" w:color="FFFFFF" w:themeColor="background1"/>
              <w:right w:val="single" w:sz="8" w:space="0" w:color="60497B"/>
            </w:tcBorders>
            <w:shd w:val="clear" w:color="auto" w:fill="60497B"/>
            <w:vAlign w:val="bottom"/>
          </w:tcPr>
          <w:p w14:paraId="33730DD4" w14:textId="2FD85F4F" w:rsidR="655A2699" w:rsidRPr="00855213" w:rsidRDefault="655A2699" w:rsidP="006D3596">
            <w:pPr>
              <w:jc w:val="center"/>
              <w:rPr>
                <w:rFonts w:ascii="Century Gothic" w:eastAsia="Tahoma" w:hAnsi="Century Gothic" w:cs="Tahoma"/>
                <w:color w:val="000000" w:themeColor="text1"/>
                <w:sz w:val="17"/>
                <w:szCs w:val="17"/>
              </w:rPr>
            </w:pPr>
          </w:p>
        </w:tc>
        <w:tc>
          <w:tcPr>
            <w:tcW w:w="1050" w:type="dxa"/>
            <w:tcBorders>
              <w:top w:val="single" w:sz="8" w:space="0" w:color="60497B"/>
              <w:left w:val="single" w:sz="4" w:space="0" w:color="FFFFFF" w:themeColor="background1"/>
              <w:bottom w:val="single" w:sz="8" w:space="0" w:color="FFFFFF" w:themeColor="background1"/>
              <w:right w:val="single" w:sz="8" w:space="0" w:color="60497B"/>
            </w:tcBorders>
            <w:shd w:val="clear" w:color="auto" w:fill="60497B"/>
            <w:vAlign w:val="bottom"/>
          </w:tcPr>
          <w:p w14:paraId="5A6087B6" w14:textId="1F0E85E5" w:rsidR="655A2699" w:rsidRPr="00855213" w:rsidRDefault="655A2699" w:rsidP="006D3596">
            <w:pPr>
              <w:jc w:val="center"/>
              <w:rPr>
                <w:rFonts w:ascii="Century Gothic" w:eastAsia="Tahoma" w:hAnsi="Century Gothic" w:cs="Tahoma"/>
                <w:color w:val="000000" w:themeColor="text1"/>
                <w:sz w:val="17"/>
                <w:szCs w:val="17"/>
              </w:rPr>
            </w:pPr>
          </w:p>
        </w:tc>
        <w:tc>
          <w:tcPr>
            <w:tcW w:w="1050" w:type="dxa"/>
            <w:tcBorders>
              <w:top w:val="single" w:sz="8" w:space="0" w:color="60497B"/>
              <w:left w:val="single" w:sz="4" w:space="0" w:color="FFFFFF" w:themeColor="background1"/>
              <w:bottom w:val="single" w:sz="8" w:space="0" w:color="FFFFFF" w:themeColor="background1"/>
              <w:right w:val="single" w:sz="8" w:space="0" w:color="60497B"/>
            </w:tcBorders>
            <w:shd w:val="clear" w:color="auto" w:fill="60497B"/>
            <w:vAlign w:val="bottom"/>
          </w:tcPr>
          <w:p w14:paraId="170578A9" w14:textId="2E369DC5" w:rsidR="655A2699" w:rsidRPr="00855213" w:rsidRDefault="655A2699" w:rsidP="006D3596">
            <w:pPr>
              <w:jc w:val="center"/>
              <w:rPr>
                <w:rFonts w:ascii="Century Gothic" w:eastAsia="Tahoma" w:hAnsi="Century Gothic" w:cs="Tahoma"/>
                <w:color w:val="000000" w:themeColor="text1"/>
                <w:sz w:val="17"/>
                <w:szCs w:val="17"/>
              </w:rPr>
            </w:pPr>
          </w:p>
        </w:tc>
        <w:tc>
          <w:tcPr>
            <w:tcW w:w="942" w:type="dxa"/>
            <w:tcBorders>
              <w:top w:val="single" w:sz="8" w:space="0" w:color="60497B"/>
              <w:left w:val="single" w:sz="4" w:space="0" w:color="FFFFFF" w:themeColor="background1"/>
              <w:bottom w:val="single" w:sz="8" w:space="0" w:color="FFFFFF" w:themeColor="background1"/>
              <w:right w:val="single" w:sz="8" w:space="0" w:color="60497B"/>
            </w:tcBorders>
            <w:shd w:val="clear" w:color="auto" w:fill="60497B"/>
            <w:vAlign w:val="bottom"/>
          </w:tcPr>
          <w:p w14:paraId="3B52D81B" w14:textId="47FF8E3B" w:rsidR="655A2699" w:rsidRPr="00855213" w:rsidRDefault="655A2699" w:rsidP="006D3596">
            <w:pPr>
              <w:jc w:val="center"/>
              <w:rPr>
                <w:rFonts w:ascii="Century Gothic" w:eastAsia="Tahoma" w:hAnsi="Century Gothic" w:cs="Tahoma"/>
                <w:color w:val="000000" w:themeColor="text1"/>
                <w:sz w:val="17"/>
                <w:szCs w:val="17"/>
              </w:rPr>
            </w:pPr>
          </w:p>
        </w:tc>
        <w:tc>
          <w:tcPr>
            <w:tcW w:w="873" w:type="dxa"/>
            <w:tcBorders>
              <w:top w:val="single" w:sz="8" w:space="0" w:color="60497B"/>
              <w:left w:val="single" w:sz="8" w:space="0" w:color="60497B"/>
              <w:bottom w:val="single" w:sz="8" w:space="0" w:color="FFFFFF" w:themeColor="background1"/>
              <w:right w:val="single" w:sz="8" w:space="0" w:color="60497B"/>
            </w:tcBorders>
            <w:shd w:val="clear" w:color="auto" w:fill="60497B"/>
            <w:vAlign w:val="bottom"/>
          </w:tcPr>
          <w:p w14:paraId="6A8430B0" w14:textId="5DDE7875" w:rsidR="655A2699" w:rsidRPr="00855213" w:rsidRDefault="655A2699" w:rsidP="006D3596">
            <w:pPr>
              <w:jc w:val="center"/>
              <w:rPr>
                <w:rFonts w:ascii="Century Gothic" w:eastAsia="Tahoma" w:hAnsi="Century Gothic" w:cs="Tahoma"/>
                <w:color w:val="000000" w:themeColor="text1"/>
                <w:sz w:val="17"/>
                <w:szCs w:val="17"/>
              </w:rPr>
            </w:pPr>
          </w:p>
        </w:tc>
        <w:tc>
          <w:tcPr>
            <w:tcW w:w="1334" w:type="dxa"/>
            <w:tcBorders>
              <w:top w:val="single" w:sz="8" w:space="0" w:color="60497B"/>
              <w:left w:val="single" w:sz="8" w:space="0" w:color="60497B"/>
              <w:bottom w:val="single" w:sz="8" w:space="0" w:color="FFFFFF" w:themeColor="background1"/>
              <w:right w:val="single" w:sz="4" w:space="0" w:color="FFFFFF" w:themeColor="background1"/>
            </w:tcBorders>
            <w:shd w:val="clear" w:color="auto" w:fill="60497B"/>
            <w:vAlign w:val="bottom"/>
          </w:tcPr>
          <w:p w14:paraId="1532EEDA" w14:textId="50D740F1" w:rsidR="655A2699" w:rsidRPr="00855213" w:rsidRDefault="655A2699" w:rsidP="006D3596">
            <w:pPr>
              <w:jc w:val="center"/>
              <w:rPr>
                <w:rFonts w:ascii="Century Gothic" w:eastAsia="Tahoma" w:hAnsi="Century Gothic" w:cs="Tahoma"/>
                <w:color w:val="000000" w:themeColor="text1"/>
                <w:sz w:val="17"/>
                <w:szCs w:val="17"/>
              </w:rPr>
            </w:pPr>
          </w:p>
        </w:tc>
        <w:tc>
          <w:tcPr>
            <w:tcW w:w="2658" w:type="dxa"/>
            <w:tcBorders>
              <w:top w:val="single" w:sz="8" w:space="0" w:color="60497B"/>
              <w:left w:val="single" w:sz="4" w:space="0" w:color="FFFFFF" w:themeColor="background1"/>
              <w:bottom w:val="single" w:sz="8" w:space="0" w:color="FFFFFF" w:themeColor="background1"/>
              <w:right w:val="nil"/>
            </w:tcBorders>
            <w:shd w:val="clear" w:color="auto" w:fill="60497B"/>
            <w:vAlign w:val="bottom"/>
          </w:tcPr>
          <w:p w14:paraId="6767B19A" w14:textId="55DB920E" w:rsidR="655A2699" w:rsidRPr="00855213" w:rsidRDefault="655A2699" w:rsidP="006D3596">
            <w:pPr>
              <w:jc w:val="center"/>
              <w:rPr>
                <w:rFonts w:ascii="Century Gothic" w:eastAsia="Tahoma" w:hAnsi="Century Gothic" w:cs="Tahoma"/>
                <w:color w:val="000000" w:themeColor="text1"/>
                <w:sz w:val="17"/>
                <w:szCs w:val="17"/>
              </w:rPr>
            </w:pPr>
          </w:p>
        </w:tc>
      </w:tr>
    </w:tbl>
    <w:p w14:paraId="49F2E864" w14:textId="0359658E" w:rsidR="000D7AE6" w:rsidRPr="00855213" w:rsidRDefault="2BDF5F46" w:rsidP="000D7AE6">
      <w:pPr>
        <w:pStyle w:val="MTWHeader2"/>
        <w:rPr>
          <w:rFonts w:ascii="Century Gothic" w:hAnsi="Century Gothic" w:cs="Times New Roman"/>
          <w:sz w:val="22"/>
          <w:szCs w:val="22"/>
        </w:rPr>
      </w:pPr>
      <w:bookmarkStart w:id="389" w:name="_Toc89871205"/>
      <w:r w:rsidRPr="00855213">
        <w:rPr>
          <w:rFonts w:ascii="Century Gothic" w:hAnsi="Century Gothic" w:cs="Times New Roman"/>
          <w:sz w:val="22"/>
          <w:szCs w:val="22"/>
        </w:rPr>
        <w:t xml:space="preserve">Appendix 8: </w:t>
      </w:r>
      <w:r w:rsidR="757E170A" w:rsidRPr="00855213">
        <w:rPr>
          <w:rFonts w:ascii="Century Gothic" w:hAnsi="Century Gothic" w:cs="Times New Roman"/>
          <w:sz w:val="22"/>
          <w:szCs w:val="22"/>
        </w:rPr>
        <w:t>ECC/HANH Development REAC Scores, 2009 to Present</w:t>
      </w:r>
      <w:bookmarkEnd w:id="389"/>
      <w:r w:rsidR="757E170A" w:rsidRPr="00855213">
        <w:rPr>
          <w:rFonts w:ascii="Century Gothic" w:hAnsi="Century Gothic" w:cs="Times New Roman"/>
          <w:sz w:val="22"/>
          <w:szCs w:val="22"/>
        </w:rPr>
        <w:t xml:space="preserve"> </w:t>
      </w:r>
    </w:p>
    <w:tbl>
      <w:tblPr>
        <w:tblW w:w="10802" w:type="dxa"/>
        <w:tblLayout w:type="fixed"/>
        <w:tblLook w:val="04A0" w:firstRow="1" w:lastRow="0" w:firstColumn="1" w:lastColumn="0" w:noHBand="0" w:noVBand="1"/>
      </w:tblPr>
      <w:tblGrid>
        <w:gridCol w:w="1610"/>
        <w:gridCol w:w="810"/>
        <w:gridCol w:w="565"/>
        <w:gridCol w:w="1253"/>
        <w:gridCol w:w="795"/>
        <w:gridCol w:w="620"/>
        <w:gridCol w:w="518"/>
        <w:gridCol w:w="654"/>
        <w:gridCol w:w="518"/>
        <w:gridCol w:w="495"/>
        <w:gridCol w:w="541"/>
        <w:gridCol w:w="473"/>
        <w:gridCol w:w="402"/>
        <w:gridCol w:w="387"/>
        <w:gridCol w:w="387"/>
        <w:gridCol w:w="387"/>
        <w:gridCol w:w="387"/>
      </w:tblGrid>
      <w:tr w:rsidR="00A45931" w:rsidRPr="006D6566" w14:paraId="51899D1B" w14:textId="77777777" w:rsidTr="00855213">
        <w:trPr>
          <w:trHeight w:val="300"/>
        </w:trPr>
        <w:tc>
          <w:tcPr>
            <w:tcW w:w="10802" w:type="dxa"/>
            <w:gridSpan w:val="17"/>
            <w:tcBorders>
              <w:top w:val="single" w:sz="8" w:space="0" w:color="auto"/>
              <w:left w:val="single" w:sz="8" w:space="0" w:color="auto"/>
              <w:bottom w:val="single" w:sz="4" w:space="0" w:color="auto"/>
              <w:right w:val="single" w:sz="8" w:space="0" w:color="000000" w:themeColor="text1"/>
            </w:tcBorders>
            <w:shd w:val="clear" w:color="auto" w:fill="B1A0C7"/>
            <w:vAlign w:val="bottom"/>
          </w:tcPr>
          <w:p w14:paraId="6A0D4818" w14:textId="77777777" w:rsidR="008229EE" w:rsidRPr="00855213" w:rsidRDefault="008229EE">
            <w:pPr>
              <w:rPr>
                <w:rFonts w:ascii="Century Gothic" w:hAnsi="Century Gothic"/>
              </w:rPr>
            </w:pPr>
          </w:p>
        </w:tc>
      </w:tr>
      <w:tr w:rsidR="005762BF" w:rsidRPr="006D6566" w14:paraId="4541FE2D" w14:textId="77777777" w:rsidTr="5A58023C">
        <w:trPr>
          <w:trHeight w:val="1080"/>
        </w:trPr>
        <w:tc>
          <w:tcPr>
            <w:tcW w:w="1610" w:type="dxa"/>
            <w:tcBorders>
              <w:top w:val="nil"/>
              <w:left w:val="single" w:sz="8" w:space="0" w:color="auto"/>
              <w:bottom w:val="single" w:sz="4" w:space="0" w:color="auto"/>
              <w:right w:val="single" w:sz="4" w:space="0" w:color="auto"/>
            </w:tcBorders>
            <w:shd w:val="clear" w:color="auto" w:fill="CCC0DA"/>
            <w:noWrap/>
            <w:vAlign w:val="bottom"/>
            <w:hideMark/>
          </w:tcPr>
          <w:p w14:paraId="275CFC70" w14:textId="77777777" w:rsidR="00A45931" w:rsidRPr="00855213" w:rsidRDefault="5E89E531" w:rsidP="4566E4F4">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Development</w:t>
            </w:r>
          </w:p>
        </w:tc>
        <w:tc>
          <w:tcPr>
            <w:tcW w:w="810" w:type="dxa"/>
            <w:tcBorders>
              <w:top w:val="nil"/>
              <w:left w:val="nil"/>
              <w:bottom w:val="single" w:sz="4" w:space="0" w:color="auto"/>
              <w:right w:val="single" w:sz="4" w:space="0" w:color="auto"/>
            </w:tcBorders>
            <w:shd w:val="clear" w:color="auto" w:fill="CCC0DA"/>
            <w:vAlign w:val="bottom"/>
          </w:tcPr>
          <w:p w14:paraId="649841EB" w14:textId="7FC0A9A8" w:rsidR="3BC9616C" w:rsidRPr="00855213" w:rsidRDefault="3BC9616C" w:rsidP="2D03861B">
            <w:pP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2024</w:t>
            </w:r>
          </w:p>
        </w:tc>
        <w:tc>
          <w:tcPr>
            <w:tcW w:w="565" w:type="dxa"/>
            <w:tcBorders>
              <w:top w:val="nil"/>
              <w:left w:val="nil"/>
              <w:bottom w:val="single" w:sz="4" w:space="0" w:color="auto"/>
              <w:right w:val="single" w:sz="4" w:space="0" w:color="auto"/>
            </w:tcBorders>
            <w:shd w:val="clear" w:color="auto" w:fill="CCC0DA"/>
            <w:vAlign w:val="bottom"/>
          </w:tcPr>
          <w:p w14:paraId="14E729A2" w14:textId="26685155" w:rsidR="062472CD" w:rsidRPr="00855213" w:rsidRDefault="062472CD" w:rsidP="19DAD154">
            <w:pP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2023</w:t>
            </w:r>
          </w:p>
        </w:tc>
        <w:tc>
          <w:tcPr>
            <w:tcW w:w="1253" w:type="dxa"/>
            <w:tcBorders>
              <w:top w:val="nil"/>
              <w:left w:val="nil"/>
              <w:bottom w:val="single" w:sz="4" w:space="0" w:color="auto"/>
              <w:right w:val="single" w:sz="4" w:space="0" w:color="auto"/>
            </w:tcBorders>
            <w:shd w:val="clear" w:color="auto" w:fill="CCC0DA"/>
            <w:vAlign w:val="bottom"/>
          </w:tcPr>
          <w:p w14:paraId="5D5EBC5B" w14:textId="6087A438" w:rsidR="4262F147" w:rsidRPr="00855213" w:rsidRDefault="513BC5F4" w:rsidP="4566E4F4">
            <w:pPr>
              <w:rPr>
                <w:rFonts w:ascii="Century Gothic" w:eastAsia="Times New Roman" w:hAnsi="Century Gothic"/>
                <w:b/>
                <w:bCs/>
                <w:color w:val="000000" w:themeColor="text1"/>
                <w:szCs w:val="22"/>
                <w:lang w:eastAsia="en-US"/>
              </w:rPr>
            </w:pPr>
            <w:r w:rsidRPr="00855213">
              <w:rPr>
                <w:rFonts w:ascii="Century Gothic" w:eastAsia="Times New Roman" w:hAnsi="Century Gothic"/>
                <w:b/>
                <w:bCs/>
                <w:color w:val="000000" w:themeColor="text1"/>
                <w:szCs w:val="22"/>
                <w:lang w:eastAsia="en-US"/>
              </w:rPr>
              <w:t>2022</w:t>
            </w:r>
          </w:p>
        </w:tc>
        <w:tc>
          <w:tcPr>
            <w:tcW w:w="795" w:type="dxa"/>
            <w:tcBorders>
              <w:top w:val="nil"/>
              <w:left w:val="nil"/>
              <w:bottom w:val="single" w:sz="4" w:space="0" w:color="auto"/>
              <w:right w:val="single" w:sz="4" w:space="0" w:color="auto"/>
            </w:tcBorders>
            <w:shd w:val="clear" w:color="auto" w:fill="CCC0DA"/>
            <w:noWrap/>
            <w:vAlign w:val="bottom"/>
            <w:hideMark/>
          </w:tcPr>
          <w:p w14:paraId="354D102E" w14:textId="1E4E8AA1" w:rsidR="00A45931" w:rsidRPr="00855213" w:rsidRDefault="4060CC1F" w:rsidP="4566E4F4">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 </w:t>
            </w:r>
            <w:r w:rsidR="1415EAC5" w:rsidRPr="00855213">
              <w:rPr>
                <w:rFonts w:ascii="Century Gothic" w:eastAsia="Times New Roman" w:hAnsi="Century Gothic"/>
                <w:b/>
                <w:bCs/>
                <w:color w:val="000000" w:themeColor="text1"/>
                <w:szCs w:val="22"/>
                <w:lang w:eastAsia="en-US"/>
              </w:rPr>
              <w:t>2021</w:t>
            </w:r>
          </w:p>
        </w:tc>
        <w:tc>
          <w:tcPr>
            <w:tcW w:w="620" w:type="dxa"/>
            <w:tcBorders>
              <w:top w:val="nil"/>
              <w:left w:val="nil"/>
              <w:bottom w:val="single" w:sz="4" w:space="0" w:color="auto"/>
              <w:right w:val="single" w:sz="4" w:space="0" w:color="auto"/>
            </w:tcBorders>
            <w:shd w:val="clear" w:color="auto" w:fill="CCC0DA"/>
            <w:noWrap/>
            <w:vAlign w:val="bottom"/>
            <w:hideMark/>
          </w:tcPr>
          <w:p w14:paraId="68729717" w14:textId="06B2BE7F"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2020</w:t>
            </w:r>
          </w:p>
        </w:tc>
        <w:tc>
          <w:tcPr>
            <w:tcW w:w="518" w:type="dxa"/>
            <w:tcBorders>
              <w:top w:val="nil"/>
              <w:left w:val="nil"/>
              <w:bottom w:val="single" w:sz="4" w:space="0" w:color="auto"/>
              <w:right w:val="single" w:sz="4" w:space="0" w:color="auto"/>
            </w:tcBorders>
            <w:shd w:val="clear" w:color="auto" w:fill="CCC0DA"/>
            <w:noWrap/>
            <w:vAlign w:val="bottom"/>
            <w:hideMark/>
          </w:tcPr>
          <w:p w14:paraId="0F1B3A28"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2019</w:t>
            </w:r>
          </w:p>
        </w:tc>
        <w:tc>
          <w:tcPr>
            <w:tcW w:w="654" w:type="dxa"/>
            <w:tcBorders>
              <w:top w:val="nil"/>
              <w:left w:val="nil"/>
              <w:bottom w:val="single" w:sz="4" w:space="0" w:color="auto"/>
              <w:right w:val="single" w:sz="4" w:space="0" w:color="auto"/>
            </w:tcBorders>
            <w:shd w:val="clear" w:color="auto" w:fill="CCC0DA"/>
            <w:noWrap/>
            <w:vAlign w:val="bottom"/>
            <w:hideMark/>
          </w:tcPr>
          <w:p w14:paraId="2292BA1E"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2018</w:t>
            </w:r>
          </w:p>
        </w:tc>
        <w:tc>
          <w:tcPr>
            <w:tcW w:w="518" w:type="dxa"/>
            <w:tcBorders>
              <w:top w:val="nil"/>
              <w:left w:val="nil"/>
              <w:bottom w:val="single" w:sz="4" w:space="0" w:color="auto"/>
              <w:right w:val="single" w:sz="4" w:space="0" w:color="auto"/>
            </w:tcBorders>
            <w:shd w:val="clear" w:color="auto" w:fill="CCC0DA"/>
            <w:noWrap/>
            <w:vAlign w:val="bottom"/>
            <w:hideMark/>
          </w:tcPr>
          <w:p w14:paraId="71FAE377"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2017</w:t>
            </w:r>
          </w:p>
        </w:tc>
        <w:tc>
          <w:tcPr>
            <w:tcW w:w="495" w:type="dxa"/>
            <w:tcBorders>
              <w:top w:val="nil"/>
              <w:left w:val="nil"/>
              <w:bottom w:val="single" w:sz="4" w:space="0" w:color="auto"/>
              <w:right w:val="single" w:sz="4" w:space="0" w:color="auto"/>
            </w:tcBorders>
            <w:shd w:val="clear" w:color="auto" w:fill="CCC0DA"/>
            <w:noWrap/>
            <w:vAlign w:val="bottom"/>
            <w:hideMark/>
          </w:tcPr>
          <w:p w14:paraId="40F552E0"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2016</w:t>
            </w:r>
          </w:p>
        </w:tc>
        <w:tc>
          <w:tcPr>
            <w:tcW w:w="541" w:type="dxa"/>
            <w:tcBorders>
              <w:top w:val="nil"/>
              <w:left w:val="nil"/>
              <w:bottom w:val="single" w:sz="4" w:space="0" w:color="auto"/>
              <w:right w:val="single" w:sz="4" w:space="0" w:color="auto"/>
            </w:tcBorders>
            <w:shd w:val="clear" w:color="auto" w:fill="CCC0DA"/>
            <w:noWrap/>
            <w:vAlign w:val="bottom"/>
            <w:hideMark/>
          </w:tcPr>
          <w:p w14:paraId="1E7944F4"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2015</w:t>
            </w:r>
          </w:p>
        </w:tc>
        <w:tc>
          <w:tcPr>
            <w:tcW w:w="473" w:type="dxa"/>
            <w:tcBorders>
              <w:top w:val="nil"/>
              <w:left w:val="nil"/>
              <w:bottom w:val="single" w:sz="4" w:space="0" w:color="auto"/>
              <w:right w:val="single" w:sz="4" w:space="0" w:color="auto"/>
            </w:tcBorders>
            <w:shd w:val="clear" w:color="auto" w:fill="CCC0DA"/>
            <w:noWrap/>
            <w:vAlign w:val="bottom"/>
            <w:hideMark/>
          </w:tcPr>
          <w:p w14:paraId="2D56F57F"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2014</w:t>
            </w:r>
          </w:p>
        </w:tc>
        <w:tc>
          <w:tcPr>
            <w:tcW w:w="402" w:type="dxa"/>
            <w:tcBorders>
              <w:top w:val="nil"/>
              <w:left w:val="nil"/>
              <w:bottom w:val="single" w:sz="4" w:space="0" w:color="auto"/>
              <w:right w:val="single" w:sz="4" w:space="0" w:color="auto"/>
            </w:tcBorders>
            <w:shd w:val="clear" w:color="auto" w:fill="CCC0DA"/>
            <w:noWrap/>
            <w:vAlign w:val="bottom"/>
            <w:hideMark/>
          </w:tcPr>
          <w:p w14:paraId="7C14CD18"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2013</w:t>
            </w:r>
          </w:p>
        </w:tc>
        <w:tc>
          <w:tcPr>
            <w:tcW w:w="387" w:type="dxa"/>
            <w:tcBorders>
              <w:top w:val="nil"/>
              <w:left w:val="nil"/>
              <w:bottom w:val="single" w:sz="4" w:space="0" w:color="auto"/>
              <w:right w:val="single" w:sz="4" w:space="0" w:color="auto"/>
            </w:tcBorders>
            <w:shd w:val="clear" w:color="auto" w:fill="CCC0DA"/>
            <w:noWrap/>
            <w:vAlign w:val="bottom"/>
            <w:hideMark/>
          </w:tcPr>
          <w:p w14:paraId="450D0841"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2012</w:t>
            </w:r>
          </w:p>
        </w:tc>
        <w:tc>
          <w:tcPr>
            <w:tcW w:w="387" w:type="dxa"/>
            <w:tcBorders>
              <w:top w:val="nil"/>
              <w:left w:val="nil"/>
              <w:bottom w:val="single" w:sz="4" w:space="0" w:color="auto"/>
              <w:right w:val="single" w:sz="4" w:space="0" w:color="auto"/>
            </w:tcBorders>
            <w:shd w:val="clear" w:color="auto" w:fill="CCC0DA"/>
            <w:noWrap/>
            <w:vAlign w:val="bottom"/>
            <w:hideMark/>
          </w:tcPr>
          <w:p w14:paraId="20028D3E"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2011</w:t>
            </w:r>
          </w:p>
        </w:tc>
        <w:tc>
          <w:tcPr>
            <w:tcW w:w="387" w:type="dxa"/>
            <w:tcBorders>
              <w:top w:val="nil"/>
              <w:left w:val="nil"/>
              <w:bottom w:val="single" w:sz="4" w:space="0" w:color="auto"/>
              <w:right w:val="single" w:sz="4" w:space="0" w:color="auto"/>
            </w:tcBorders>
            <w:shd w:val="clear" w:color="auto" w:fill="CCC0DA"/>
            <w:noWrap/>
            <w:vAlign w:val="bottom"/>
            <w:hideMark/>
          </w:tcPr>
          <w:p w14:paraId="1CF13F05"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2010</w:t>
            </w:r>
          </w:p>
        </w:tc>
        <w:tc>
          <w:tcPr>
            <w:tcW w:w="387" w:type="dxa"/>
            <w:tcBorders>
              <w:top w:val="nil"/>
              <w:left w:val="nil"/>
              <w:bottom w:val="single" w:sz="4" w:space="0" w:color="auto"/>
              <w:right w:val="single" w:sz="8" w:space="0" w:color="auto"/>
            </w:tcBorders>
            <w:shd w:val="clear" w:color="auto" w:fill="CCC0DA"/>
            <w:noWrap/>
            <w:vAlign w:val="bottom"/>
            <w:hideMark/>
          </w:tcPr>
          <w:p w14:paraId="6E0B5ED5" w14:textId="77777777" w:rsidR="00A45931" w:rsidRPr="00855213" w:rsidRDefault="5E89E531" w:rsidP="4566E4F4">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themeColor="text1"/>
                <w:szCs w:val="22"/>
                <w:lang w:eastAsia="en-US"/>
              </w:rPr>
              <w:t>2009</w:t>
            </w:r>
          </w:p>
        </w:tc>
      </w:tr>
      <w:tr w:rsidR="005762BF" w:rsidRPr="006D6566" w14:paraId="0DC95EB3"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0FC0D44D" w14:textId="3391924D"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Brookside Phase I*</w:t>
            </w:r>
          </w:p>
        </w:tc>
        <w:tc>
          <w:tcPr>
            <w:tcW w:w="810" w:type="dxa"/>
            <w:tcBorders>
              <w:top w:val="nil"/>
              <w:left w:val="nil"/>
              <w:bottom w:val="single" w:sz="4" w:space="0" w:color="auto"/>
              <w:right w:val="single" w:sz="4" w:space="0" w:color="auto"/>
            </w:tcBorders>
            <w:shd w:val="clear" w:color="auto" w:fill="FFFFFF" w:themeFill="background1"/>
            <w:vAlign w:val="bottom"/>
          </w:tcPr>
          <w:p w14:paraId="2D9199DA" w14:textId="24C9A4A5" w:rsidR="2D03861B" w:rsidRPr="00855213" w:rsidRDefault="7ECBFF3A"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565" w:type="dxa"/>
            <w:tcBorders>
              <w:top w:val="nil"/>
              <w:left w:val="nil"/>
              <w:bottom w:val="single" w:sz="4" w:space="0" w:color="auto"/>
              <w:right w:val="single" w:sz="4" w:space="0" w:color="auto"/>
            </w:tcBorders>
            <w:shd w:val="clear" w:color="auto" w:fill="FFFFFF" w:themeFill="background1"/>
            <w:vAlign w:val="bottom"/>
          </w:tcPr>
          <w:p w14:paraId="0D5899F0" w14:textId="1FEBA972" w:rsidR="19DAD154" w:rsidRPr="00855213" w:rsidRDefault="49D50DD5"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529AC2E6" w14:textId="38EFB393" w:rsidR="61CA45A1" w:rsidRPr="00855213" w:rsidRDefault="59818BFA"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99</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739D3A2D" w14:textId="39D9CF0F" w:rsidR="00A45931" w:rsidRPr="00855213" w:rsidRDefault="3BC81423"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71CDD6F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0BDB7DA"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0942D721" w14:textId="73E93A88" w:rsidR="00A45931" w:rsidRPr="00855213" w:rsidRDefault="0DD0650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6443B18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95</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13FF6C25" w14:textId="55775A35" w:rsidR="00A45931" w:rsidRPr="00855213" w:rsidRDefault="6718549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48E47140"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92</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7ED98BB9" w14:textId="5ECC852F" w:rsidR="00A45931" w:rsidRPr="00855213" w:rsidRDefault="00B03884"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7AD2327D" w14:textId="75EA2174" w:rsidR="00A45931" w:rsidRPr="00855213" w:rsidRDefault="00B03884"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CE7D008" w14:textId="2270AD4C" w:rsidR="00A45931" w:rsidRPr="00855213" w:rsidRDefault="00B03884"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424AF08" w14:textId="05C42350" w:rsidR="00A45931" w:rsidRPr="00855213" w:rsidRDefault="00B03884"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E5B7D94" w14:textId="1DAA27F5" w:rsidR="00A45931" w:rsidRPr="00855213" w:rsidRDefault="00B03884"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76ED6F07" w14:textId="34419F0E" w:rsidR="00A45931" w:rsidRPr="00855213" w:rsidRDefault="00B03884"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614FDC0E"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0142B5F3" w14:textId="0A118418"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Brookside Phase II*</w:t>
            </w:r>
          </w:p>
        </w:tc>
        <w:tc>
          <w:tcPr>
            <w:tcW w:w="810" w:type="dxa"/>
            <w:tcBorders>
              <w:top w:val="nil"/>
              <w:left w:val="nil"/>
              <w:bottom w:val="single" w:sz="4" w:space="0" w:color="auto"/>
              <w:right w:val="single" w:sz="4" w:space="0" w:color="auto"/>
            </w:tcBorders>
            <w:shd w:val="clear" w:color="auto" w:fill="FFFFFF" w:themeFill="background1"/>
            <w:vAlign w:val="bottom"/>
          </w:tcPr>
          <w:p w14:paraId="57D75589" w14:textId="1FDD7C6F" w:rsidR="2D03861B" w:rsidRPr="00855213" w:rsidRDefault="662330CF"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565" w:type="dxa"/>
            <w:tcBorders>
              <w:top w:val="nil"/>
              <w:left w:val="nil"/>
              <w:bottom w:val="single" w:sz="4" w:space="0" w:color="auto"/>
              <w:right w:val="single" w:sz="4" w:space="0" w:color="auto"/>
            </w:tcBorders>
            <w:shd w:val="clear" w:color="auto" w:fill="FFFFFF" w:themeFill="background1"/>
            <w:vAlign w:val="bottom"/>
          </w:tcPr>
          <w:p w14:paraId="1C3F3EB9" w14:textId="6EACC0F6" w:rsidR="19DAD154" w:rsidRPr="00855213" w:rsidRDefault="0B3C24CE"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6CBBF03A" w14:textId="624C9B11" w:rsidR="6651075E" w:rsidRPr="00855213" w:rsidRDefault="4E98F4A8"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99</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774AD23D" w14:textId="671E456C" w:rsidR="00A45931" w:rsidRPr="00855213" w:rsidRDefault="723ECDC5"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0C705963"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4D21E748"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noWrap/>
            <w:vAlign w:val="bottom"/>
            <w:hideMark/>
          </w:tcPr>
          <w:p w14:paraId="28B29777" w14:textId="0F5A28EA" w:rsidR="00A45931" w:rsidRPr="00855213" w:rsidRDefault="7A336228"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66696FB1"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91</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75EED3BB" w14:textId="10E042F9" w:rsidR="00A45931" w:rsidRPr="00855213" w:rsidRDefault="675A759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663DA57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95</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6602B6A7" w14:textId="0675F326"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11260361" w14:textId="64335852"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7A5C6A7D" w14:textId="20D02765"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66E3DD6" w14:textId="6C840CDB"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E472179" w14:textId="20EE0C1F"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59DBD38E" w14:textId="6753BDBA"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36925BF0"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4FB9ED63" w14:textId="7F4D3D23"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Constance Motley*</w:t>
            </w:r>
            <w:r w:rsidR="47EAE690"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0DD4CBA2" w14:textId="0664F4F2" w:rsidR="4AFD1ABB" w:rsidRPr="00855213" w:rsidRDefault="4AFD1ABB"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91</w:t>
            </w:r>
          </w:p>
        </w:tc>
        <w:tc>
          <w:tcPr>
            <w:tcW w:w="565" w:type="dxa"/>
            <w:tcBorders>
              <w:top w:val="nil"/>
              <w:left w:val="nil"/>
              <w:bottom w:val="single" w:sz="4" w:space="0" w:color="auto"/>
              <w:right w:val="single" w:sz="4" w:space="0" w:color="auto"/>
            </w:tcBorders>
            <w:shd w:val="clear" w:color="auto" w:fill="FFFFFF" w:themeFill="background1"/>
            <w:vAlign w:val="bottom"/>
          </w:tcPr>
          <w:p w14:paraId="1A489B1C" w14:textId="310BC807"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81</w:t>
            </w:r>
          </w:p>
        </w:tc>
        <w:tc>
          <w:tcPr>
            <w:tcW w:w="1253" w:type="dxa"/>
            <w:tcBorders>
              <w:top w:val="nil"/>
              <w:left w:val="nil"/>
              <w:bottom w:val="single" w:sz="4" w:space="0" w:color="auto"/>
              <w:right w:val="single" w:sz="4" w:space="0" w:color="auto"/>
            </w:tcBorders>
            <w:shd w:val="clear" w:color="auto" w:fill="FFFFFF" w:themeFill="background1"/>
            <w:vAlign w:val="bottom"/>
          </w:tcPr>
          <w:p w14:paraId="7FFCE1AC" w14:textId="1DB75680" w:rsidR="75000464" w:rsidRPr="00855213" w:rsidRDefault="072C5F8E"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72</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2AD4C2D0" w14:textId="75FD9E1E" w:rsidR="00A45931" w:rsidRPr="00855213" w:rsidRDefault="1246DB12"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85</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3F4262DB" w14:textId="44FA6887" w:rsidR="00A45931" w:rsidRPr="00855213" w:rsidRDefault="1246DB12"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w:t>
            </w:r>
            <w:r w:rsidR="65CE57B0" w:rsidRPr="00855213">
              <w:rPr>
                <w:rFonts w:ascii="Century Gothic" w:eastAsia="Times New Roman" w:hAnsi="Century Gothic"/>
                <w:b/>
                <w:bCs/>
                <w:color w:val="000000" w:themeColor="text1"/>
                <w:lang w:eastAsia="en-US"/>
              </w:rPr>
              <w:t>/</w:t>
            </w:r>
            <w:r w:rsidRPr="00855213">
              <w:rPr>
                <w:rFonts w:ascii="Century Gothic" w:eastAsia="Times New Roman" w:hAnsi="Century Gothic"/>
                <w:b/>
                <w:bCs/>
                <w:color w:val="000000" w:themeColor="text1"/>
                <w:lang w:eastAsia="en-US"/>
              </w:rPr>
              <w:t>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70D7355C" w14:textId="23F10C7A" w:rsidR="00A45931" w:rsidRPr="00855213" w:rsidRDefault="6CB06856"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93</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0B270768" w14:textId="1DA7D046" w:rsidR="00A45931" w:rsidRPr="00855213" w:rsidRDefault="701AFBB3"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7353D35B" w14:textId="49EDCC25" w:rsidR="00A45931" w:rsidRPr="00855213" w:rsidRDefault="47DD5B4F"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71E03B33" w14:textId="42BD828E" w:rsidR="00A45931" w:rsidRPr="00855213" w:rsidRDefault="42B7326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424BF828"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90</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777BEE45" w14:textId="7B4656A0" w:rsidR="00A45931" w:rsidRPr="00855213" w:rsidRDefault="1BCBE6E2"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6870C1CD" w14:textId="318A0B18" w:rsidR="00A45931" w:rsidRPr="00855213" w:rsidRDefault="3AC70C4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8C7D5AD" w14:textId="340C10E1" w:rsidR="00A45931" w:rsidRPr="00855213" w:rsidRDefault="701EFC2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55D1F85" w14:textId="17D85B15" w:rsidR="00A45931" w:rsidRPr="00855213" w:rsidRDefault="0D3BD36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08F0AB5" w14:textId="622AF36B" w:rsidR="00A45931" w:rsidRPr="00855213" w:rsidRDefault="391F53A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1A9A8FFB" w14:textId="24C931F4" w:rsidR="00A45931" w:rsidRPr="00855213" w:rsidRDefault="1ECFB221"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r>
      <w:tr w:rsidR="005762BF" w:rsidRPr="006D6566" w14:paraId="6DF6CD01"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27DDD22B" w14:textId="5C6B0C20"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Crawford Manor</w:t>
            </w:r>
            <w:r w:rsidR="74466209"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10A58B29" w14:textId="6E6CCE86" w:rsidR="2D03861B" w:rsidRPr="00855213" w:rsidRDefault="456EFE15"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58</w:t>
            </w:r>
          </w:p>
        </w:tc>
        <w:tc>
          <w:tcPr>
            <w:tcW w:w="565" w:type="dxa"/>
            <w:tcBorders>
              <w:top w:val="nil"/>
              <w:left w:val="nil"/>
              <w:bottom w:val="single" w:sz="4" w:space="0" w:color="auto"/>
              <w:right w:val="single" w:sz="4" w:space="0" w:color="auto"/>
            </w:tcBorders>
            <w:shd w:val="clear" w:color="auto" w:fill="FFFFFF" w:themeFill="background1"/>
            <w:vAlign w:val="bottom"/>
          </w:tcPr>
          <w:p w14:paraId="45464634" w14:textId="3925C5F3" w:rsidR="19DAD154" w:rsidRPr="00855213" w:rsidRDefault="575E1DC0"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4266F349" w14:textId="085D8F26" w:rsidR="7F231150" w:rsidRPr="00855213" w:rsidRDefault="42F26381"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60</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03D47625" w14:textId="54763E8C" w:rsidR="00A45931" w:rsidRPr="00855213" w:rsidRDefault="7E2A5FE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08C5179A"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C271E3B"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53BF6226" w14:textId="574A559A" w:rsidR="00A45931" w:rsidRPr="00855213" w:rsidRDefault="62C32B84"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702525CA"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78</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5C27BC5A"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69</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7B71C034" w14:textId="59C2DF7E"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55E7803A" w14:textId="750F514D"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2D2F1C4B"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88</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35D4051" w14:textId="066BFD88"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B791973" w14:textId="77EA0572"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FD22931" w14:textId="67DFEBB6"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1C832388" w14:textId="1462845B"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727829F6"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30238CD6" w14:textId="3005FD4A"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Edith D Johnson Towers*</w:t>
            </w:r>
            <w:r w:rsidR="425B372C"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02D8FC5B" w14:textId="390EF598" w:rsidR="2D03861B" w:rsidRPr="00855213" w:rsidRDefault="4AC1772C"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565" w:type="dxa"/>
            <w:tcBorders>
              <w:top w:val="nil"/>
              <w:left w:val="nil"/>
              <w:bottom w:val="single" w:sz="4" w:space="0" w:color="auto"/>
              <w:right w:val="single" w:sz="4" w:space="0" w:color="auto"/>
            </w:tcBorders>
            <w:shd w:val="clear" w:color="auto" w:fill="FFFFFF" w:themeFill="background1"/>
            <w:vAlign w:val="bottom"/>
          </w:tcPr>
          <w:p w14:paraId="7ACCECF7" w14:textId="750F344F" w:rsidR="19DAD154" w:rsidRPr="00855213" w:rsidRDefault="136A3FE1"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45B4D738" w14:textId="53D8DC71" w:rsidR="0C2A2F95" w:rsidRPr="00855213" w:rsidRDefault="5B07DC49"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5EDEAFC1" w14:textId="2404C9DB" w:rsidR="00A45931" w:rsidRPr="00855213" w:rsidRDefault="3DF7A2AD"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200959E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21CBB8A2"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1F76E908" w14:textId="66C08B4E" w:rsidR="00A45931" w:rsidRPr="00855213" w:rsidRDefault="4723CF0F"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2FD6AB01" w14:textId="03AD2ABF" w:rsidR="00A45931" w:rsidRPr="00855213" w:rsidRDefault="14EDA06A"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596B09B2" w14:textId="254D9B15" w:rsidR="00A45931" w:rsidRPr="00855213" w:rsidRDefault="47858149"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7A5FE4A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95</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4BD4BA15" w14:textId="2D434939"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3AF38D93" w14:textId="544DAECD"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C8B00FE" w14:textId="4337D713"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BB1D9C7" w14:textId="5042BD42"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0FC8867" w14:textId="2B636026"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13099A7B" w14:textId="1E6C5D1C"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213AD066"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06EEB4F0" w14:textId="1173531F"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Eastview Terrace*</w:t>
            </w:r>
            <w:r w:rsidR="032C577C"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376A6FAD" w14:textId="1D4043A3" w:rsidR="7D58A876" w:rsidRPr="00855213" w:rsidRDefault="7D58A876"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74</w:t>
            </w:r>
          </w:p>
        </w:tc>
        <w:tc>
          <w:tcPr>
            <w:tcW w:w="565" w:type="dxa"/>
            <w:tcBorders>
              <w:top w:val="nil"/>
              <w:left w:val="nil"/>
              <w:bottom w:val="single" w:sz="4" w:space="0" w:color="auto"/>
              <w:right w:val="single" w:sz="4" w:space="0" w:color="auto"/>
            </w:tcBorders>
            <w:shd w:val="clear" w:color="auto" w:fill="FFFFFF" w:themeFill="background1"/>
            <w:vAlign w:val="bottom"/>
          </w:tcPr>
          <w:p w14:paraId="41FBBDAD" w14:textId="62A6555C"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73</w:t>
            </w:r>
          </w:p>
        </w:tc>
        <w:tc>
          <w:tcPr>
            <w:tcW w:w="1253" w:type="dxa"/>
            <w:tcBorders>
              <w:top w:val="nil"/>
              <w:left w:val="nil"/>
              <w:bottom w:val="single" w:sz="4" w:space="0" w:color="auto"/>
              <w:right w:val="single" w:sz="4" w:space="0" w:color="auto"/>
            </w:tcBorders>
            <w:shd w:val="clear" w:color="auto" w:fill="FFFFFF" w:themeFill="background1"/>
            <w:vAlign w:val="bottom"/>
          </w:tcPr>
          <w:p w14:paraId="4B948560" w14:textId="59BCF5D6" w:rsidR="4BF5B650" w:rsidRPr="00855213" w:rsidRDefault="2F6950F3"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86</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0EA00454" w14:textId="095CEC52" w:rsidR="00A45931" w:rsidRPr="00855213" w:rsidRDefault="1D26602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46</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2BD2B347"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4D347D70" w14:textId="794F7CB4" w:rsidR="00A45931" w:rsidRPr="00855213" w:rsidRDefault="23F24D7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71BD18F0" w14:textId="4CE2CCBF" w:rsidR="00A45931" w:rsidRPr="00855213" w:rsidRDefault="5CB3925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59</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7E729490" w14:textId="33D595C0" w:rsidR="00A45931" w:rsidRPr="00855213" w:rsidRDefault="18A9698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57</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0CBA4F61" w14:textId="41723F71" w:rsidR="00A45931" w:rsidRPr="00855213" w:rsidRDefault="35D1E1A3"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6283E17A" w14:textId="23DEC2D7" w:rsidR="00A45931" w:rsidRPr="00855213" w:rsidRDefault="502C854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786DE9B9" w14:textId="15391820" w:rsidR="00A45931" w:rsidRPr="00855213" w:rsidRDefault="502C8547"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2BAC4755" w14:textId="7EA5FB1C" w:rsidR="00A45931" w:rsidRPr="00855213" w:rsidRDefault="502C8547"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B395BBA"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95</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280ABDD" w14:textId="1B838879" w:rsidR="00A45931" w:rsidRPr="00855213" w:rsidRDefault="331B15AC"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D4E0718" w14:textId="656002A5" w:rsidR="00A45931" w:rsidRPr="00855213" w:rsidRDefault="331B15A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0572D3FA" w14:textId="0B950633" w:rsidR="00A45931" w:rsidRPr="00855213" w:rsidRDefault="331B15AC"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r>
      <w:tr w:rsidR="005762BF" w:rsidRPr="006D6566" w14:paraId="009D8050"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6859A3D5" w14:textId="10A67DCD" w:rsidR="00A45931" w:rsidRPr="00855213" w:rsidRDefault="19A6F694" w:rsidP="19A6F694">
            <w:pPr>
              <w:rPr>
                <w:rFonts w:ascii="Century Gothic" w:hAnsi="Century Gothic"/>
              </w:rPr>
            </w:pPr>
            <w:r w:rsidRPr="00855213">
              <w:rPr>
                <w:rFonts w:ascii="Century Gothic" w:eastAsia="Times New Roman" w:hAnsi="Century Gothic"/>
                <w:b/>
                <w:bCs/>
                <w:color w:val="000000" w:themeColor="text1"/>
                <w:lang w:eastAsia="en-US"/>
              </w:rPr>
              <w:t xml:space="preserve">Mill River/old </w:t>
            </w:r>
            <w:r w:rsidR="00D97A04" w:rsidRPr="00855213">
              <w:rPr>
                <w:rFonts w:ascii="Century Gothic" w:eastAsia="Times New Roman" w:hAnsi="Century Gothic"/>
                <w:b/>
                <w:bCs/>
                <w:color w:val="000000" w:themeColor="text1"/>
                <w:lang w:eastAsia="en-US"/>
              </w:rPr>
              <w:t>Farman</w:t>
            </w:r>
          </w:p>
        </w:tc>
        <w:tc>
          <w:tcPr>
            <w:tcW w:w="810" w:type="dxa"/>
            <w:tcBorders>
              <w:top w:val="nil"/>
              <w:left w:val="nil"/>
              <w:bottom w:val="single" w:sz="4" w:space="0" w:color="auto"/>
              <w:right w:val="single" w:sz="4" w:space="0" w:color="auto"/>
            </w:tcBorders>
            <w:shd w:val="clear" w:color="auto" w:fill="FFFFFF" w:themeFill="background1"/>
            <w:vAlign w:val="bottom"/>
          </w:tcPr>
          <w:p w14:paraId="6D4E2FB9" w14:textId="06BF3175" w:rsidR="425D673A" w:rsidRPr="00855213" w:rsidRDefault="425D673A"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90</w:t>
            </w:r>
          </w:p>
        </w:tc>
        <w:tc>
          <w:tcPr>
            <w:tcW w:w="565" w:type="dxa"/>
            <w:tcBorders>
              <w:top w:val="nil"/>
              <w:left w:val="nil"/>
              <w:bottom w:val="single" w:sz="4" w:space="0" w:color="auto"/>
              <w:right w:val="single" w:sz="4" w:space="0" w:color="auto"/>
            </w:tcBorders>
            <w:shd w:val="clear" w:color="auto" w:fill="FFFFFF" w:themeFill="background1"/>
            <w:vAlign w:val="bottom"/>
          </w:tcPr>
          <w:p w14:paraId="15D40210" w14:textId="647CC7EE"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83</w:t>
            </w:r>
          </w:p>
        </w:tc>
        <w:tc>
          <w:tcPr>
            <w:tcW w:w="1253" w:type="dxa"/>
            <w:tcBorders>
              <w:top w:val="nil"/>
              <w:left w:val="nil"/>
              <w:bottom w:val="single" w:sz="4" w:space="0" w:color="auto"/>
              <w:right w:val="single" w:sz="4" w:space="0" w:color="auto"/>
            </w:tcBorders>
            <w:shd w:val="clear" w:color="auto" w:fill="FFFFFF" w:themeFill="background1"/>
            <w:vAlign w:val="bottom"/>
          </w:tcPr>
          <w:p w14:paraId="5B1921FE" w14:textId="07C2E8AD" w:rsidR="55F7D74F" w:rsidRPr="00855213" w:rsidRDefault="4EAF4A75"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51EF06DB" w14:textId="33E56EA6" w:rsidR="00A45931" w:rsidRPr="00855213" w:rsidRDefault="6E4DA960"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59E6EFA6"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B84A952"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7B60657C"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36</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3C2236D1" w14:textId="03D2A728" w:rsidR="00A45931" w:rsidRPr="00855213" w:rsidRDefault="581A300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079DB1A4"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56</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47B49F85" w14:textId="43635CA2" w:rsidR="00A45931" w:rsidRPr="00855213" w:rsidRDefault="5238A5F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77587AF8" w14:textId="39E5A00D" w:rsidR="00A45931" w:rsidRPr="00855213" w:rsidRDefault="5238A5F7"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18726B24" w14:textId="6D5C500D" w:rsidR="00A45931" w:rsidRPr="00855213" w:rsidRDefault="5238A5F7"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7884FF0B" w14:textId="18D7DC30" w:rsidR="00A45931" w:rsidRPr="00855213" w:rsidRDefault="5238A5F7"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1394754" w14:textId="1BCE4E02" w:rsidR="00A45931" w:rsidRPr="00855213" w:rsidRDefault="5238A5F7"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D721E95" w14:textId="756680AF" w:rsidR="00A45931" w:rsidRPr="00855213" w:rsidRDefault="5238A5F7"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0E0C1565" w14:textId="1859102F" w:rsidR="00A45931" w:rsidRPr="00855213" w:rsidRDefault="5238A5F7"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r>
      <w:tr w:rsidR="005762BF" w:rsidRPr="006D6566" w14:paraId="46B18B3D"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35502E84" w14:textId="0881C530"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Katherine Harvey Terrace*</w:t>
            </w:r>
            <w:r w:rsidR="062C5AD9"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350851DE" w14:textId="551475E5" w:rsidR="6C658A38" w:rsidRPr="00855213" w:rsidRDefault="6C658A38"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80</w:t>
            </w:r>
          </w:p>
        </w:tc>
        <w:tc>
          <w:tcPr>
            <w:tcW w:w="565" w:type="dxa"/>
            <w:tcBorders>
              <w:top w:val="nil"/>
              <w:left w:val="nil"/>
              <w:bottom w:val="single" w:sz="4" w:space="0" w:color="auto"/>
              <w:right w:val="single" w:sz="4" w:space="0" w:color="auto"/>
            </w:tcBorders>
            <w:shd w:val="clear" w:color="auto" w:fill="FFFFFF" w:themeFill="background1"/>
            <w:vAlign w:val="bottom"/>
          </w:tcPr>
          <w:p w14:paraId="415043FB" w14:textId="6A31E3D6"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50</w:t>
            </w:r>
          </w:p>
        </w:tc>
        <w:tc>
          <w:tcPr>
            <w:tcW w:w="1253" w:type="dxa"/>
            <w:tcBorders>
              <w:top w:val="nil"/>
              <w:left w:val="nil"/>
              <w:bottom w:val="single" w:sz="4" w:space="0" w:color="auto"/>
              <w:right w:val="single" w:sz="4" w:space="0" w:color="auto"/>
            </w:tcBorders>
            <w:shd w:val="clear" w:color="auto" w:fill="FFFFFF" w:themeFill="background1"/>
            <w:vAlign w:val="bottom"/>
          </w:tcPr>
          <w:p w14:paraId="7771D741" w14:textId="6EFECDF6" w:rsidR="7D67F145" w:rsidRPr="00855213" w:rsidRDefault="1D241607"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96</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6015534C" w14:textId="22D78E3E" w:rsidR="00A45931" w:rsidRPr="00855213" w:rsidRDefault="0C012006"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71</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2D296BAE" w14:textId="1771169C" w:rsidR="00A45931" w:rsidRPr="00855213" w:rsidRDefault="19E1EA93"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2914C4EF" w14:textId="20A209AB" w:rsidR="00A45931" w:rsidRPr="00855213" w:rsidRDefault="37563B07"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73</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1CD3CCAF" w14:textId="55E5880B" w:rsidR="00A45931" w:rsidRPr="00855213" w:rsidRDefault="6912EFC1"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04601079"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86</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74649C97" w14:textId="61A0FBFD" w:rsidR="00A45931" w:rsidRPr="00855213" w:rsidRDefault="2E80F642"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52D83441" w14:textId="77F00B9F" w:rsidR="00A45931" w:rsidRPr="00855213" w:rsidRDefault="064B48D0"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4B5994E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95</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46B336D7" w14:textId="4A9E8706" w:rsidR="00A45931" w:rsidRPr="00855213" w:rsidRDefault="0BF50476"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44BC1C7" w14:textId="3270BED8" w:rsidR="00A45931" w:rsidRPr="00855213" w:rsidRDefault="0BF50476"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955C9CE" w14:textId="369ABC0E" w:rsidR="00A45931" w:rsidRPr="00855213" w:rsidRDefault="0BF50476"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7B2BCDDB" w14:textId="0650E7F8" w:rsidR="00A45931" w:rsidRPr="00855213" w:rsidRDefault="0BF50476"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5A854B95" w14:textId="2FFDD958" w:rsidR="00A45931" w:rsidRPr="00855213" w:rsidRDefault="0BF50476"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r>
      <w:tr w:rsidR="005762BF" w:rsidRPr="006D6566" w14:paraId="6633849E"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24378385" w14:textId="0F3F4547"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McConaughy Terrace</w:t>
            </w:r>
            <w:r w:rsidR="19EA5C2C"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13A74EA8" w14:textId="412F8881" w:rsidR="0F67D4D1" w:rsidRPr="00855213" w:rsidRDefault="0F67D4D1"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w:t>
            </w:r>
            <w:r w:rsidR="00CD6D35">
              <w:rPr>
                <w:rFonts w:ascii="Century Gothic" w:eastAsia="Times New Roman" w:hAnsi="Century Gothic"/>
                <w:b/>
                <w:bCs/>
                <w:color w:val="000000" w:themeColor="text1"/>
                <w:lang w:eastAsia="en-US"/>
              </w:rPr>
              <w:t>/</w:t>
            </w:r>
            <w:r w:rsidRPr="00855213">
              <w:rPr>
                <w:rFonts w:ascii="Century Gothic" w:eastAsia="Times New Roman" w:hAnsi="Century Gothic"/>
                <w:b/>
                <w:bCs/>
                <w:color w:val="000000" w:themeColor="text1"/>
                <w:lang w:eastAsia="en-US"/>
              </w:rPr>
              <w:t>a</w:t>
            </w:r>
          </w:p>
        </w:tc>
        <w:tc>
          <w:tcPr>
            <w:tcW w:w="565" w:type="dxa"/>
            <w:tcBorders>
              <w:top w:val="nil"/>
              <w:left w:val="nil"/>
              <w:bottom w:val="single" w:sz="4" w:space="0" w:color="auto"/>
              <w:right w:val="single" w:sz="4" w:space="0" w:color="auto"/>
            </w:tcBorders>
            <w:shd w:val="clear" w:color="auto" w:fill="FFFFFF" w:themeFill="background1"/>
            <w:vAlign w:val="bottom"/>
          </w:tcPr>
          <w:p w14:paraId="5ED1717F" w14:textId="2B266E06" w:rsidR="19DAD154" w:rsidRPr="00855213" w:rsidRDefault="1D77017D"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69A4B562" w14:textId="44A3531B" w:rsidR="58E34336" w:rsidRPr="00855213" w:rsidRDefault="7A49AA49"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38</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00BD4F6D" w14:textId="06F8ADB0" w:rsidR="00A45931" w:rsidRPr="00855213" w:rsidRDefault="493B2AF6" w:rsidP="2D03861B">
            <w:pPr>
              <w:jc w:val="center"/>
              <w:rPr>
                <w:rFonts w:ascii="Century Gothic" w:eastAsia="Times New Roman" w:hAnsi="Century Gothic"/>
                <w:szCs w:val="22"/>
              </w:rPr>
            </w:pPr>
            <w:r w:rsidRPr="00855213">
              <w:rPr>
                <w:rFonts w:ascii="Century Gothic" w:eastAsia="Times New Roman" w:hAnsi="Century Gothic"/>
                <w:b/>
                <w:bCs/>
                <w:color w:val="000000" w:themeColor="text1"/>
                <w:lang w:eastAsia="en-US"/>
              </w:rPr>
              <w:t>49</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799CAE5C"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AD9EE3F"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6595986A" w14:textId="4EFAD67C" w:rsidR="00A45931" w:rsidRPr="00855213" w:rsidRDefault="5BB668F2"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3704F6D2" w14:textId="0803397A"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547DA7BC" w14:textId="7EC0BC68" w:rsidR="00A45931" w:rsidRPr="00855213" w:rsidRDefault="140EDCA5"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85</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7398C224" w14:textId="7F6081CE"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465CE008" w14:textId="3460B080"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740B5D9B" w14:textId="7C5FF14B" w:rsidR="00A45931" w:rsidRPr="00855213" w:rsidRDefault="0034756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7313072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82</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C0763E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78</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2914A73"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58</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1AE1DEF8"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70</w:t>
            </w:r>
          </w:p>
        </w:tc>
      </w:tr>
      <w:tr w:rsidR="005762BF" w:rsidRPr="006D6566" w14:paraId="0EC3AFBE"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61739EE7" w14:textId="27452C22"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McQueeney*</w:t>
            </w:r>
            <w:r w:rsidR="76B5FB0B"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5F5711EA" w14:textId="29813D38" w:rsidR="244C5BDC" w:rsidRPr="00855213" w:rsidRDefault="244C5BDC"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65</w:t>
            </w:r>
          </w:p>
        </w:tc>
        <w:tc>
          <w:tcPr>
            <w:tcW w:w="565" w:type="dxa"/>
            <w:tcBorders>
              <w:top w:val="nil"/>
              <w:left w:val="nil"/>
              <w:bottom w:val="single" w:sz="4" w:space="0" w:color="auto"/>
              <w:right w:val="single" w:sz="4" w:space="0" w:color="auto"/>
            </w:tcBorders>
            <w:shd w:val="clear" w:color="auto" w:fill="FFFFFF" w:themeFill="background1"/>
            <w:vAlign w:val="bottom"/>
          </w:tcPr>
          <w:p w14:paraId="5BE239AC" w14:textId="7294C68F" w:rsidR="19DAD154" w:rsidRPr="00855213" w:rsidRDefault="244C5BDC"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93</w:t>
            </w:r>
          </w:p>
        </w:tc>
        <w:tc>
          <w:tcPr>
            <w:tcW w:w="1253" w:type="dxa"/>
            <w:tcBorders>
              <w:top w:val="nil"/>
              <w:left w:val="nil"/>
              <w:bottom w:val="single" w:sz="4" w:space="0" w:color="auto"/>
              <w:right w:val="single" w:sz="4" w:space="0" w:color="auto"/>
            </w:tcBorders>
            <w:shd w:val="clear" w:color="auto" w:fill="FFFFFF" w:themeFill="background1"/>
            <w:vAlign w:val="bottom"/>
          </w:tcPr>
          <w:p w14:paraId="3FD6B8F5" w14:textId="20533020" w:rsidR="4613520E" w:rsidRPr="00855213" w:rsidRDefault="6365ED8F"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62</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2BA3E746" w14:textId="56B3EA2F" w:rsidR="00A45931" w:rsidRPr="00855213" w:rsidRDefault="05C9BE99"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69</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49EC3CB9" w14:textId="40EB6C03" w:rsidR="00A45931" w:rsidRPr="00855213" w:rsidRDefault="10D73A4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6E26C50"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3761EA24" w14:textId="4308DFBC" w:rsidR="00A45931" w:rsidRPr="00855213" w:rsidRDefault="7ADBA432"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42603FF1"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63</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0181EABA"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7016A3CE" w14:textId="467C162C" w:rsidR="00A45931" w:rsidRPr="00855213" w:rsidRDefault="14CF0C53"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2F97058E" w14:textId="1EA0BEB8" w:rsidR="00A45931" w:rsidRPr="00855213" w:rsidRDefault="14CF0C53"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4FBCF75F" w14:textId="6D9CF1A7" w:rsidR="00A45931" w:rsidRPr="00855213" w:rsidRDefault="14CF0C53"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F6AC8BC"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64</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EA3AA3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59</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7C6CD1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85</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30B79B0B"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54</w:t>
            </w:r>
          </w:p>
        </w:tc>
      </w:tr>
      <w:tr w:rsidR="005762BF" w:rsidRPr="006D6566" w14:paraId="104599D6" w14:textId="77777777" w:rsidTr="5A58023C">
        <w:trPr>
          <w:trHeight w:val="30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0439CF17" w14:textId="57EB096E"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Monterey 1**</w:t>
            </w:r>
            <w:r w:rsidR="01C956EC"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35AAB8F8" w14:textId="7E6462F7" w:rsidR="2D03861B" w:rsidRPr="00855213" w:rsidRDefault="0D2644D2"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565" w:type="dxa"/>
            <w:tcBorders>
              <w:top w:val="nil"/>
              <w:left w:val="nil"/>
              <w:bottom w:val="single" w:sz="4" w:space="0" w:color="auto"/>
              <w:right w:val="single" w:sz="4" w:space="0" w:color="auto"/>
            </w:tcBorders>
            <w:shd w:val="clear" w:color="auto" w:fill="FFFFFF" w:themeFill="background1"/>
            <w:vAlign w:val="bottom"/>
          </w:tcPr>
          <w:p w14:paraId="43291149" w14:textId="15716732" w:rsidR="19DAD154" w:rsidRPr="00855213" w:rsidRDefault="0C5A5FE1"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506B6BE5" w14:textId="3AD129FF" w:rsidR="2B5E1C95" w:rsidRPr="00855213" w:rsidRDefault="109DC824"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38CA4846" w14:textId="216B7EE3" w:rsidR="00A45931" w:rsidRPr="00855213" w:rsidRDefault="675BB509"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434371A2"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D6B2347"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623522F2" w14:textId="33EF8955" w:rsidR="00A45931" w:rsidRPr="00855213" w:rsidRDefault="71E2D27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2B8A9B0C" w14:textId="07744492" w:rsidR="00A45931" w:rsidRPr="00855213" w:rsidRDefault="7EA1E59F"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7F6ADBDE" w14:textId="12773B7B" w:rsidR="00A45931" w:rsidRPr="00855213" w:rsidRDefault="5CDF8123"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4181E2E9" w14:textId="03319822"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2EEAE9E0"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96</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051AF911" w14:textId="68E6D954"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76D1A79C" w14:textId="7B2C5469"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41812D7" w14:textId="6EAF4BBC"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A97B606" w14:textId="55F9546C"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792EB794" w14:textId="59288714"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35F79642" w14:textId="77777777" w:rsidTr="5A58023C">
        <w:trPr>
          <w:trHeight w:val="30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592B5DF7" w14:textId="37CE204F"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Monterey 2**</w:t>
            </w:r>
            <w:r w:rsidR="6BCFFFC7"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632B4C9D" w14:textId="096D9109" w:rsidR="2D03861B" w:rsidRPr="00855213" w:rsidRDefault="2C45C177"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565" w:type="dxa"/>
            <w:tcBorders>
              <w:top w:val="nil"/>
              <w:left w:val="nil"/>
              <w:bottom w:val="single" w:sz="4" w:space="0" w:color="auto"/>
              <w:right w:val="single" w:sz="4" w:space="0" w:color="auto"/>
            </w:tcBorders>
            <w:shd w:val="clear" w:color="auto" w:fill="FFFFFF" w:themeFill="background1"/>
            <w:vAlign w:val="bottom"/>
          </w:tcPr>
          <w:p w14:paraId="66ED95C1" w14:textId="7EFD889F" w:rsidR="19DAD154" w:rsidRPr="00855213" w:rsidRDefault="48CF8BD1"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41F9102E" w14:textId="585FCE27" w:rsidR="552350D8" w:rsidRPr="00855213" w:rsidRDefault="51D9D82E"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6FC0A18C" w14:textId="20A5F78B" w:rsidR="00A45931" w:rsidRPr="00855213" w:rsidRDefault="01E340F3"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4C026960"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139168E9"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4C726EBD" w14:textId="1A1642E7" w:rsidR="00A45931" w:rsidRPr="00855213" w:rsidRDefault="3AEF12E4"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5D0F160F" w14:textId="63115342" w:rsidR="00A45931" w:rsidRPr="00855213" w:rsidRDefault="11C1608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26CE2FA4" w14:textId="2AB405C9" w:rsidR="00A45931" w:rsidRPr="00855213" w:rsidRDefault="327BF5B1"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4F067986" w14:textId="574EBEB1"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4670E671"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92</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744551F1" w14:textId="02D2EDED"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265830A" w14:textId="70FE4089"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B60CD1B" w14:textId="64FEC4C0"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BA960AC" w14:textId="1CCEE9C5"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6BEE747B" w14:textId="48EAF33F" w:rsidR="00A45931" w:rsidRPr="00855213" w:rsidRDefault="00BF307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26F3D254" w14:textId="77777777" w:rsidTr="5A58023C">
        <w:trPr>
          <w:trHeight w:val="30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764C3A50" w14:textId="3F3F5D7C"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Monterey 4**</w:t>
            </w:r>
            <w:r w:rsidR="1BD5FCCC"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6FCA2E61" w14:textId="0304E236" w:rsidR="2D03861B" w:rsidRPr="00855213" w:rsidRDefault="178E4F7B"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565" w:type="dxa"/>
            <w:tcBorders>
              <w:top w:val="nil"/>
              <w:left w:val="nil"/>
              <w:bottom w:val="single" w:sz="4" w:space="0" w:color="auto"/>
              <w:right w:val="single" w:sz="4" w:space="0" w:color="auto"/>
            </w:tcBorders>
            <w:shd w:val="clear" w:color="auto" w:fill="FFFFFF" w:themeFill="background1"/>
            <w:vAlign w:val="bottom"/>
          </w:tcPr>
          <w:p w14:paraId="40FA7BC7" w14:textId="636AD1F4" w:rsidR="19DAD154" w:rsidRPr="00855213" w:rsidRDefault="5B8D3CB7"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78B783BC" w14:textId="2C7C9246" w:rsidR="73BCB4BF" w:rsidRPr="00855213" w:rsidRDefault="0A460703"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6566152F" w14:textId="02F681DE" w:rsidR="00A45931" w:rsidRPr="00855213" w:rsidRDefault="0A377FBB"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18478B50"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BB82A5F"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333E3BBB" w14:textId="45E0D4E6" w:rsidR="00A45931" w:rsidRPr="00855213" w:rsidRDefault="69787EA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758637C4" w14:textId="5D545EB0" w:rsidR="00A45931" w:rsidRPr="00855213" w:rsidRDefault="115176AA"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39165B4E" w14:textId="08C15C55" w:rsidR="00A45931" w:rsidRPr="00855213" w:rsidRDefault="4367546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29B997FA" w14:textId="3D884DBB"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50082717"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92</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63D06BF4" w14:textId="13BDAF3D"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DCA5E3C" w14:textId="1DF38A0B"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78E0188" w14:textId="546E5208"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DDDA129" w14:textId="76D904F7"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4A7C8B2B" w14:textId="59BB955C"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6ACD92A5" w14:textId="77777777" w:rsidTr="5A58023C">
        <w:trPr>
          <w:trHeight w:val="30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72D8B4F5" w14:textId="193BA3DF"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lastRenderedPageBreak/>
              <w:t xml:space="preserve"> Monterey 5**</w:t>
            </w:r>
            <w:r w:rsidR="39828B41"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10DF378D" w14:textId="774B6A26" w:rsidR="2D03861B" w:rsidRPr="00855213" w:rsidRDefault="7C350FEE"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565" w:type="dxa"/>
            <w:tcBorders>
              <w:top w:val="nil"/>
              <w:left w:val="nil"/>
              <w:bottom w:val="single" w:sz="4" w:space="0" w:color="auto"/>
              <w:right w:val="single" w:sz="4" w:space="0" w:color="auto"/>
            </w:tcBorders>
            <w:shd w:val="clear" w:color="auto" w:fill="FFFFFF" w:themeFill="background1"/>
            <w:vAlign w:val="bottom"/>
          </w:tcPr>
          <w:p w14:paraId="1FFE06A0" w14:textId="69D51F1C" w:rsidR="19DAD154" w:rsidRPr="00855213" w:rsidRDefault="73761340"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2AC0E4A3" w14:textId="5D676EF8" w:rsidR="5A4C8470" w:rsidRPr="00855213" w:rsidRDefault="2478E3D8"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7EA3100A" w14:textId="72C07FE8" w:rsidR="00A45931" w:rsidRPr="00855213" w:rsidRDefault="1DFE2708"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50AB4558"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55902898"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16723114" w14:textId="5DF7CFCE" w:rsidR="00A45931" w:rsidRPr="00855213" w:rsidRDefault="12F41CE1"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35D18849" w14:textId="06EBFAAA" w:rsidR="00A45931" w:rsidRPr="00855213" w:rsidRDefault="1252D53A"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42661EF4" w14:textId="25FC03A8" w:rsidR="00A45931" w:rsidRPr="00855213" w:rsidRDefault="7942C845"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62BE4696" w14:textId="23615F22"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38A6E16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91</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7522F2E1" w14:textId="1CE4449A"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8CC8B3C" w14:textId="0B7F0870"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A067369" w14:textId="70EDDA61"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4864B3A" w14:textId="05BCE267"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4F00BFDE" w14:textId="4FE43021"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611FEA0E"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6B7FAC77" w14:textId="28F36450"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Newhall Gardens*</w:t>
            </w:r>
            <w:r w:rsidR="01AAF9D4"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61A127B3" w14:textId="65A820D4" w:rsidR="49D0B563" w:rsidRPr="00855213" w:rsidRDefault="49D0B563"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93</w:t>
            </w:r>
          </w:p>
        </w:tc>
        <w:tc>
          <w:tcPr>
            <w:tcW w:w="565" w:type="dxa"/>
            <w:tcBorders>
              <w:top w:val="nil"/>
              <w:left w:val="nil"/>
              <w:bottom w:val="single" w:sz="4" w:space="0" w:color="auto"/>
              <w:right w:val="single" w:sz="4" w:space="0" w:color="auto"/>
            </w:tcBorders>
            <w:shd w:val="clear" w:color="auto" w:fill="FFFFFF" w:themeFill="background1"/>
            <w:vAlign w:val="bottom"/>
          </w:tcPr>
          <w:p w14:paraId="318843C5" w14:textId="393C6D8B"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66</w:t>
            </w:r>
          </w:p>
        </w:tc>
        <w:tc>
          <w:tcPr>
            <w:tcW w:w="1253" w:type="dxa"/>
            <w:tcBorders>
              <w:top w:val="nil"/>
              <w:left w:val="nil"/>
              <w:bottom w:val="single" w:sz="4" w:space="0" w:color="auto"/>
              <w:right w:val="single" w:sz="4" w:space="0" w:color="auto"/>
            </w:tcBorders>
            <w:shd w:val="clear" w:color="auto" w:fill="FFFFFF" w:themeFill="background1"/>
            <w:vAlign w:val="bottom"/>
          </w:tcPr>
          <w:p w14:paraId="177E0E48" w14:textId="4197B055" w:rsidR="167242FE" w:rsidRPr="00855213" w:rsidRDefault="3535B7E9"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83</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1C083A0F" w14:textId="5F1A3401" w:rsidR="00A45931" w:rsidRPr="00855213" w:rsidRDefault="4406E7C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02A8096D" w14:textId="589B4785" w:rsidR="00A45931" w:rsidRPr="00855213" w:rsidRDefault="4406E7C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93</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37E4204" w14:textId="501D9B63" w:rsidR="00A45931" w:rsidRPr="00855213" w:rsidRDefault="4406E7C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1DB73567" w14:textId="73156BDD" w:rsidR="00A45931" w:rsidRPr="00855213" w:rsidRDefault="4406E7C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18885F64" w14:textId="445CBA4F" w:rsidR="00A45931" w:rsidRPr="00855213" w:rsidRDefault="4406E7C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42C045A6" w14:textId="2FBE9152" w:rsidR="00A45931" w:rsidRPr="00855213" w:rsidRDefault="4406E7C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96</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653CC9FB" w14:textId="41FC7BCA" w:rsidR="00A45931" w:rsidRPr="00855213" w:rsidRDefault="4406E7C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681D8E14" w14:textId="0E25DF3C" w:rsidR="00A45931" w:rsidRPr="00855213" w:rsidRDefault="7184288A"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50E084AF" w14:textId="5DF1B505" w:rsidR="00A45931" w:rsidRPr="00855213" w:rsidRDefault="0C2FA37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04F0B3C" w14:textId="1CBA71D0" w:rsidR="00A45931" w:rsidRPr="00855213" w:rsidRDefault="57EE8D4E"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36ED897" w14:textId="37ACE8BE" w:rsidR="00A45931" w:rsidRPr="00855213" w:rsidRDefault="57EE8D4E"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E77B986" w14:textId="7F6992FE" w:rsidR="00A45931" w:rsidRPr="00855213" w:rsidRDefault="0CA3A76F"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62152B03" w14:textId="10390F8A" w:rsidR="00A45931" w:rsidRPr="00855213" w:rsidRDefault="0CA3A76F"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r>
      <w:tr w:rsidR="005762BF" w:rsidRPr="006D6566" w14:paraId="053E9682"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2062FE5E" w14:textId="6C805DB8"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Prescott Bush Mall*</w:t>
            </w:r>
            <w:r w:rsidR="13A0FBEB"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223421EA" w14:textId="41B8CA8D" w:rsidR="770137B9" w:rsidRPr="00855213" w:rsidRDefault="770137B9"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92</w:t>
            </w:r>
          </w:p>
        </w:tc>
        <w:tc>
          <w:tcPr>
            <w:tcW w:w="565" w:type="dxa"/>
            <w:tcBorders>
              <w:top w:val="nil"/>
              <w:left w:val="nil"/>
              <w:bottom w:val="single" w:sz="4" w:space="0" w:color="auto"/>
              <w:right w:val="single" w:sz="4" w:space="0" w:color="auto"/>
            </w:tcBorders>
            <w:shd w:val="clear" w:color="auto" w:fill="FFFFFF" w:themeFill="background1"/>
            <w:vAlign w:val="bottom"/>
          </w:tcPr>
          <w:p w14:paraId="5F35EF24" w14:textId="3F0E9C99"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80</w:t>
            </w:r>
          </w:p>
        </w:tc>
        <w:tc>
          <w:tcPr>
            <w:tcW w:w="1253" w:type="dxa"/>
            <w:tcBorders>
              <w:top w:val="nil"/>
              <w:left w:val="nil"/>
              <w:bottom w:val="single" w:sz="4" w:space="0" w:color="auto"/>
              <w:right w:val="single" w:sz="4" w:space="0" w:color="auto"/>
            </w:tcBorders>
            <w:shd w:val="clear" w:color="auto" w:fill="FFFFFF" w:themeFill="background1"/>
            <w:vAlign w:val="bottom"/>
          </w:tcPr>
          <w:p w14:paraId="5215ADD7" w14:textId="1277E8D2" w:rsidR="7E4CBAE4" w:rsidRPr="00855213" w:rsidRDefault="434B9FAF"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98</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10C5297A" w14:textId="43F4BC9F" w:rsidR="00A45931" w:rsidRPr="00855213" w:rsidRDefault="7338AB1C"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78</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76D4F22D" w14:textId="3AE65B0B" w:rsidR="00A45931" w:rsidRPr="00855213" w:rsidRDefault="30C0073F" w:rsidP="00370317">
            <w:pPr>
              <w:jc w:val="center"/>
              <w:rPr>
                <w:rFonts w:ascii="Century Gothic" w:eastAsia="MS PGothic" w:hAnsi="Century Gothic"/>
                <w:szCs w:val="22"/>
              </w:rPr>
            </w:pPr>
            <w:r w:rsidRPr="00855213">
              <w:rPr>
                <w:rFonts w:ascii="Century Gothic" w:eastAsia="Times New Roman" w:hAnsi="Century Gothic"/>
                <w:b/>
                <w:bCs/>
                <w:color w:val="000000" w:themeColor="text1"/>
                <w:lang w:eastAsia="en-US"/>
              </w:rPr>
              <w:t>86</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625BA5C7"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70F39FD4" w14:textId="7815DEF2" w:rsidR="00A45931" w:rsidRPr="00855213" w:rsidRDefault="716AB9BA"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4D476E5E" w14:textId="7A16E47E" w:rsidR="00A45931" w:rsidRPr="00855213" w:rsidRDefault="712884E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4861EAC8" w14:textId="5B48BC45" w:rsidR="00A45931" w:rsidRPr="00855213" w:rsidRDefault="1F34CB35"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6F78E44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97</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0BDB6286" w14:textId="106B7EB5" w:rsidR="00A45931" w:rsidRPr="00855213" w:rsidRDefault="67418359"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7A5F6E97" w14:textId="1E1264D4" w:rsidR="00A45931" w:rsidRPr="00855213" w:rsidRDefault="67418359"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A2294BC" w14:textId="18B746FA" w:rsidR="00A45931" w:rsidRPr="00855213" w:rsidRDefault="67418359"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BB0D021" w14:textId="3D994AAA" w:rsidR="00A45931" w:rsidRPr="00855213" w:rsidRDefault="67418359"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92D680B" w14:textId="2C1944A2" w:rsidR="00A45931" w:rsidRPr="00855213" w:rsidRDefault="67418359"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4DFD309B" w14:textId="6C1332CF" w:rsidR="00A45931" w:rsidRPr="00855213" w:rsidRDefault="67418359"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r>
      <w:tr w:rsidR="005762BF" w:rsidRPr="006D6566" w14:paraId="52B2C497"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4D20B7CB" w14:textId="028B9B0D"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Quinnipiac Terrace Phase I*</w:t>
            </w:r>
          </w:p>
        </w:tc>
        <w:tc>
          <w:tcPr>
            <w:tcW w:w="810" w:type="dxa"/>
            <w:tcBorders>
              <w:top w:val="nil"/>
              <w:left w:val="nil"/>
              <w:bottom w:val="single" w:sz="4" w:space="0" w:color="auto"/>
              <w:right w:val="single" w:sz="4" w:space="0" w:color="auto"/>
            </w:tcBorders>
            <w:shd w:val="clear" w:color="auto" w:fill="FFFFFF" w:themeFill="background1"/>
            <w:vAlign w:val="bottom"/>
          </w:tcPr>
          <w:p w14:paraId="0E9BD607" w14:textId="03387878" w:rsidR="2D03861B" w:rsidRPr="00855213" w:rsidRDefault="59250339"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59</w:t>
            </w:r>
          </w:p>
        </w:tc>
        <w:tc>
          <w:tcPr>
            <w:tcW w:w="565" w:type="dxa"/>
            <w:tcBorders>
              <w:top w:val="nil"/>
              <w:left w:val="nil"/>
              <w:bottom w:val="single" w:sz="4" w:space="0" w:color="auto"/>
              <w:right w:val="single" w:sz="4" w:space="0" w:color="auto"/>
            </w:tcBorders>
            <w:shd w:val="clear" w:color="auto" w:fill="FFFFFF" w:themeFill="background1"/>
            <w:vAlign w:val="bottom"/>
          </w:tcPr>
          <w:p w14:paraId="211A8371" w14:textId="728BFD03" w:rsidR="19DAD154" w:rsidRPr="00855213" w:rsidRDefault="069AE57D"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755AA74B" w14:textId="4A096BBF" w:rsidR="638677B6" w:rsidRPr="00855213" w:rsidRDefault="338C98CB"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84</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7B37B3EB" w14:textId="06E89EDA" w:rsidR="00A45931" w:rsidRPr="00855213" w:rsidRDefault="4C6795FB"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22FE4206" w14:textId="2049836D" w:rsidR="00A45931" w:rsidRPr="00855213" w:rsidRDefault="6DF9A6A4"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F379934"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62FD1C22" w14:textId="2522D468" w:rsidR="00A45931" w:rsidRPr="00855213" w:rsidRDefault="69DE0D8D"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232D1FB1"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82</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15258CE4" w14:textId="443B70FF" w:rsidR="00A45931" w:rsidRPr="00855213" w:rsidRDefault="096F069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5C9AB429"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88</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35FE5E9D" w14:textId="3D2CF341"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7A807F14"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98</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E981E80"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89</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CD6CE46" w14:textId="77F88A57"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77B408A0" w14:textId="1A98B4BC"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50BBE0FA" w14:textId="12F6612D"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513291BC"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2F2CB2AB"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xml:space="preserve"> Quinnipiac Terrace Phase II*</w:t>
            </w:r>
          </w:p>
        </w:tc>
        <w:tc>
          <w:tcPr>
            <w:tcW w:w="810" w:type="dxa"/>
            <w:tcBorders>
              <w:top w:val="nil"/>
              <w:left w:val="nil"/>
              <w:bottom w:val="single" w:sz="4" w:space="0" w:color="auto"/>
              <w:right w:val="single" w:sz="4" w:space="0" w:color="auto"/>
            </w:tcBorders>
            <w:shd w:val="clear" w:color="auto" w:fill="FFFFFF" w:themeFill="background1"/>
            <w:vAlign w:val="bottom"/>
          </w:tcPr>
          <w:p w14:paraId="149616C0" w14:textId="469086E3" w:rsidR="2D03861B" w:rsidRPr="00855213" w:rsidRDefault="6B0A5B0F"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85</w:t>
            </w:r>
          </w:p>
        </w:tc>
        <w:tc>
          <w:tcPr>
            <w:tcW w:w="565" w:type="dxa"/>
            <w:tcBorders>
              <w:top w:val="nil"/>
              <w:left w:val="nil"/>
              <w:bottom w:val="single" w:sz="4" w:space="0" w:color="auto"/>
              <w:right w:val="single" w:sz="4" w:space="0" w:color="auto"/>
            </w:tcBorders>
            <w:shd w:val="clear" w:color="auto" w:fill="FFFFFF" w:themeFill="background1"/>
            <w:vAlign w:val="bottom"/>
          </w:tcPr>
          <w:p w14:paraId="5E8884A5" w14:textId="0DADAA6A" w:rsidR="19DAD154" w:rsidRPr="00855213" w:rsidRDefault="4D96BF62"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78B8051D" w14:textId="17961767" w:rsidR="72849D3F" w:rsidRPr="00855213" w:rsidRDefault="47D6E0DC"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82</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60CF0D7B" w14:textId="40659D7B" w:rsidR="00A45931" w:rsidRPr="00855213" w:rsidRDefault="4DE260A5"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02450CD7"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2E0A4FD3"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5CA52293" w14:textId="15573D5F" w:rsidR="00A45931" w:rsidRPr="00855213" w:rsidRDefault="76B21F6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462C58D7"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93</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2E58F81D" w14:textId="4EDA1624" w:rsidR="00A45931" w:rsidRPr="00855213" w:rsidRDefault="7DF6BE7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2633395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85</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162C93E8" w14:textId="5BC3C0B1"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4732ED11" w14:textId="7151D964"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7BD9173" w14:textId="0104FBE8"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E81AE50" w14:textId="45352D04"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008FC1F" w14:textId="4C20BB34"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13BCE890" w14:textId="66FBC602"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020647D0"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1C0DC6B2"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xml:space="preserve"> Quinnipiac Terrace Phase III*</w:t>
            </w:r>
          </w:p>
        </w:tc>
        <w:tc>
          <w:tcPr>
            <w:tcW w:w="810" w:type="dxa"/>
            <w:tcBorders>
              <w:top w:val="nil"/>
              <w:left w:val="nil"/>
              <w:bottom w:val="single" w:sz="4" w:space="0" w:color="auto"/>
              <w:right w:val="single" w:sz="4" w:space="0" w:color="auto"/>
            </w:tcBorders>
            <w:shd w:val="clear" w:color="auto" w:fill="FFFFFF" w:themeFill="background1"/>
            <w:vAlign w:val="bottom"/>
          </w:tcPr>
          <w:p w14:paraId="7DB374D9" w14:textId="7B1ECB4E" w:rsidR="2D03861B" w:rsidRPr="00855213" w:rsidRDefault="13D7BDA4"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78</w:t>
            </w:r>
          </w:p>
        </w:tc>
        <w:tc>
          <w:tcPr>
            <w:tcW w:w="565" w:type="dxa"/>
            <w:tcBorders>
              <w:top w:val="nil"/>
              <w:left w:val="nil"/>
              <w:bottom w:val="single" w:sz="4" w:space="0" w:color="auto"/>
              <w:right w:val="single" w:sz="4" w:space="0" w:color="auto"/>
            </w:tcBorders>
            <w:shd w:val="clear" w:color="auto" w:fill="FFFFFF" w:themeFill="background1"/>
            <w:vAlign w:val="bottom"/>
          </w:tcPr>
          <w:p w14:paraId="137585FF" w14:textId="4BBAC6F6" w:rsidR="19DAD154" w:rsidRPr="00855213" w:rsidRDefault="28938ED7"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6C5CBE5A" w14:textId="7D883F70" w:rsidR="6A2576AC" w:rsidRPr="00855213" w:rsidRDefault="79E28026"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83</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578C55A2" w14:textId="054F427E" w:rsidR="00A45931" w:rsidRPr="00855213" w:rsidRDefault="7CD8DFEB"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3DBDFFD1"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3D0BD835"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0A723695" w14:textId="4CB6916C" w:rsidR="00A45931" w:rsidRPr="00855213" w:rsidRDefault="75E9FC61"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5AA4B6FD" w14:textId="12F5B82D" w:rsidR="00A45931" w:rsidRPr="00855213" w:rsidRDefault="1444F8BA"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7C0CDEF9"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85</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14D2F936" w14:textId="5FD6A4AA"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7CAF3EBE" w14:textId="39A90C85"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6A06ECB7" w14:textId="006ADAF4"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6B425B0" w14:textId="22D3EC1F"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816986B" w14:textId="23543EE5"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5E225A6" w14:textId="23D930A7"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0FCB36E9" w14:textId="7ED532F5" w:rsidR="00A45931" w:rsidRPr="00855213" w:rsidRDefault="007068E8"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66999AB3"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45FDAEC2" w14:textId="5D813D7A" w:rsidR="00A45931" w:rsidRPr="00855213" w:rsidRDefault="5E89E531" w:rsidP="2B47D2C6">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w:t>
            </w:r>
            <w:proofErr w:type="spellStart"/>
            <w:r w:rsidRPr="00855213">
              <w:rPr>
                <w:rFonts w:ascii="Century Gothic" w:eastAsia="Times New Roman" w:hAnsi="Century Gothic"/>
                <w:b/>
                <w:bCs/>
                <w:color w:val="000000" w:themeColor="text1"/>
                <w:lang w:eastAsia="en-US"/>
              </w:rPr>
              <w:t>Ribicoff</w:t>
            </w:r>
            <w:proofErr w:type="spellEnd"/>
            <w:r w:rsidRPr="00855213">
              <w:rPr>
                <w:rFonts w:ascii="Century Gothic" w:eastAsia="Times New Roman" w:hAnsi="Century Gothic"/>
                <w:b/>
                <w:bCs/>
                <w:color w:val="000000" w:themeColor="text1"/>
                <w:lang w:eastAsia="en-US"/>
              </w:rPr>
              <w:t xml:space="preserve"> Cottages -EXT**</w:t>
            </w:r>
            <w:r w:rsidR="161E7147" w:rsidRPr="00855213">
              <w:rPr>
                <w:rFonts w:ascii="Century Gothic" w:eastAsia="Times New Roman" w:hAnsi="Century Gothic"/>
                <w:b/>
                <w:bCs/>
                <w:color w:val="000000" w:themeColor="text1"/>
                <w:lang w:eastAsia="en-US"/>
              </w:rPr>
              <w:t xml:space="preserve"> (Twin Brook)</w:t>
            </w:r>
          </w:p>
        </w:tc>
        <w:tc>
          <w:tcPr>
            <w:tcW w:w="810" w:type="dxa"/>
            <w:tcBorders>
              <w:top w:val="nil"/>
              <w:left w:val="nil"/>
              <w:bottom w:val="single" w:sz="4" w:space="0" w:color="auto"/>
              <w:right w:val="single" w:sz="4" w:space="0" w:color="auto"/>
            </w:tcBorders>
            <w:shd w:val="clear" w:color="auto" w:fill="FFFFFF" w:themeFill="background1"/>
            <w:vAlign w:val="bottom"/>
          </w:tcPr>
          <w:p w14:paraId="0FFF4B4E" w14:textId="44BDC4AE" w:rsidR="7DA45275" w:rsidRPr="00855213" w:rsidRDefault="7DA45275"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53</w:t>
            </w:r>
          </w:p>
        </w:tc>
        <w:tc>
          <w:tcPr>
            <w:tcW w:w="565" w:type="dxa"/>
            <w:tcBorders>
              <w:top w:val="nil"/>
              <w:left w:val="nil"/>
              <w:bottom w:val="single" w:sz="4" w:space="0" w:color="auto"/>
              <w:right w:val="single" w:sz="4" w:space="0" w:color="auto"/>
            </w:tcBorders>
            <w:shd w:val="clear" w:color="auto" w:fill="FFFFFF" w:themeFill="background1"/>
            <w:vAlign w:val="bottom"/>
          </w:tcPr>
          <w:p w14:paraId="7108DF0A" w14:textId="4728A20A"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74</w:t>
            </w:r>
          </w:p>
        </w:tc>
        <w:tc>
          <w:tcPr>
            <w:tcW w:w="1253" w:type="dxa"/>
            <w:tcBorders>
              <w:top w:val="nil"/>
              <w:left w:val="nil"/>
              <w:bottom w:val="single" w:sz="4" w:space="0" w:color="auto"/>
              <w:right w:val="single" w:sz="4" w:space="0" w:color="auto"/>
            </w:tcBorders>
            <w:shd w:val="clear" w:color="auto" w:fill="FFFFFF" w:themeFill="background1"/>
            <w:vAlign w:val="bottom"/>
          </w:tcPr>
          <w:p w14:paraId="66506BE7" w14:textId="468A0E3F" w:rsidR="63817804" w:rsidRPr="00855213" w:rsidRDefault="712A4B53"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30262B29" w14:textId="385CB39F" w:rsidR="00A45931" w:rsidRPr="00855213" w:rsidRDefault="66DE2C6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435296D7" w14:textId="695D7283" w:rsidR="00A45931" w:rsidRPr="00855213" w:rsidRDefault="7F23D1A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527192D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6A1C238A" w14:textId="5763A16B" w:rsidR="00A45931" w:rsidRPr="00855213" w:rsidRDefault="5104652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548C5D9E" w14:textId="24346ABA" w:rsidR="00A45931" w:rsidRPr="00855213" w:rsidRDefault="5878823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27F0533D" w14:textId="09EF27C8" w:rsidR="00A45931" w:rsidRPr="00855213" w:rsidRDefault="173B0B4A"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49B600A9" w14:textId="36D5DEB3" w:rsidR="00A45931" w:rsidRPr="00855213" w:rsidRDefault="1E042C65"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66442165" w14:textId="7E8891B7" w:rsidR="00A45931" w:rsidRPr="00855213" w:rsidRDefault="1E042C65"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5EC1FCE7" w14:textId="7F824CF1" w:rsidR="00A45931" w:rsidRPr="00855213" w:rsidRDefault="1E042C65"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3100242"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82</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8337DB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82</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A6B7461"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68</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675C9A55"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91</w:t>
            </w:r>
          </w:p>
        </w:tc>
      </w:tr>
      <w:tr w:rsidR="005762BF" w:rsidRPr="006D6566" w14:paraId="12625F2F"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2DD0AD7B" w14:textId="2E65EFF6"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Robert T Wolfe*</w:t>
            </w:r>
          </w:p>
        </w:tc>
        <w:tc>
          <w:tcPr>
            <w:tcW w:w="810" w:type="dxa"/>
            <w:tcBorders>
              <w:top w:val="nil"/>
              <w:left w:val="nil"/>
              <w:bottom w:val="single" w:sz="4" w:space="0" w:color="auto"/>
              <w:right w:val="single" w:sz="4" w:space="0" w:color="auto"/>
            </w:tcBorders>
            <w:shd w:val="clear" w:color="auto" w:fill="FFFFFF" w:themeFill="background1"/>
            <w:vAlign w:val="bottom"/>
          </w:tcPr>
          <w:p w14:paraId="100A18FE" w14:textId="417751C4" w:rsidR="2D03861B" w:rsidRPr="00855213" w:rsidRDefault="574B020F"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68</w:t>
            </w:r>
          </w:p>
        </w:tc>
        <w:tc>
          <w:tcPr>
            <w:tcW w:w="565" w:type="dxa"/>
            <w:tcBorders>
              <w:top w:val="nil"/>
              <w:left w:val="nil"/>
              <w:bottom w:val="single" w:sz="4" w:space="0" w:color="auto"/>
              <w:right w:val="single" w:sz="4" w:space="0" w:color="auto"/>
            </w:tcBorders>
            <w:shd w:val="clear" w:color="auto" w:fill="FFFFFF" w:themeFill="background1"/>
            <w:vAlign w:val="bottom"/>
          </w:tcPr>
          <w:p w14:paraId="5FEE6153" w14:textId="3683B0A7" w:rsidR="19DAD154" w:rsidRPr="00855213" w:rsidRDefault="41ABC23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3CA519FA" w14:textId="5906BCCE" w:rsidR="562E5792" w:rsidRPr="00855213" w:rsidRDefault="0C32E01B"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47</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399C031A" w14:textId="45CD57F6" w:rsidR="00A45931" w:rsidRPr="00855213" w:rsidRDefault="3B74726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312FD7DC"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1378DD7B"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1ED560E6" w14:textId="71B45786" w:rsidR="00A45931" w:rsidRPr="00855213" w:rsidRDefault="6DBEC8F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7AF30748"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71</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586B4A0B" w14:textId="2E8EA3BF" w:rsidR="00A45931" w:rsidRPr="00855213" w:rsidRDefault="2F126AF5"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27046FA0"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85</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703B089E" w14:textId="27856D2E" w:rsidR="00A45931" w:rsidRPr="00855213" w:rsidRDefault="00F44B8B"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23C677C8" w14:textId="31909580" w:rsidR="00A45931" w:rsidRPr="00855213" w:rsidRDefault="00F44B8B"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FEDFA2B"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82</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7A2F42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49</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17E30C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80</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6122E2C4"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51</w:t>
            </w:r>
          </w:p>
        </w:tc>
      </w:tr>
      <w:tr w:rsidR="005762BF" w:rsidRPr="006D6566" w14:paraId="1507F36C"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62EA552E" w14:textId="7BAC06C6"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Rockview Phase I*</w:t>
            </w:r>
          </w:p>
        </w:tc>
        <w:tc>
          <w:tcPr>
            <w:tcW w:w="810" w:type="dxa"/>
            <w:tcBorders>
              <w:top w:val="nil"/>
              <w:left w:val="nil"/>
              <w:bottom w:val="single" w:sz="4" w:space="0" w:color="auto"/>
              <w:right w:val="single" w:sz="4" w:space="0" w:color="auto"/>
            </w:tcBorders>
            <w:shd w:val="clear" w:color="auto" w:fill="FFFFFF" w:themeFill="background1"/>
            <w:vAlign w:val="bottom"/>
          </w:tcPr>
          <w:p w14:paraId="720D92FD" w14:textId="13AC4E30" w:rsidR="2D03861B" w:rsidRPr="00855213" w:rsidRDefault="2D03861B" w:rsidP="2D03861B">
            <w:pPr>
              <w:jc w:val="center"/>
              <w:rPr>
                <w:rFonts w:ascii="Century Gothic" w:eastAsia="Times New Roman" w:hAnsi="Century Gothic"/>
                <w:b/>
                <w:bCs/>
                <w:color w:val="000000" w:themeColor="text1"/>
                <w:lang w:eastAsia="en-US"/>
              </w:rPr>
            </w:pPr>
          </w:p>
        </w:tc>
        <w:tc>
          <w:tcPr>
            <w:tcW w:w="565" w:type="dxa"/>
            <w:tcBorders>
              <w:top w:val="nil"/>
              <w:left w:val="nil"/>
              <w:bottom w:val="single" w:sz="4" w:space="0" w:color="auto"/>
              <w:right w:val="single" w:sz="4" w:space="0" w:color="auto"/>
            </w:tcBorders>
            <w:shd w:val="clear" w:color="auto" w:fill="FFFFFF" w:themeFill="background1"/>
            <w:vAlign w:val="bottom"/>
          </w:tcPr>
          <w:p w14:paraId="6027FD96" w14:textId="429F596F" w:rsidR="19DAD154" w:rsidRPr="00855213" w:rsidRDefault="00759049"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31AA9F70" w14:textId="2A8A1A97" w:rsidR="63D5836D" w:rsidRPr="00855213" w:rsidRDefault="2DCFF91F"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98</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52D2AE03" w14:textId="1FA0E40F" w:rsidR="00A45931" w:rsidRPr="00855213" w:rsidRDefault="79F26C81"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776A7CE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4B47C07A"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1AAFF8A4" w14:textId="7A59DAA1" w:rsidR="00A45931" w:rsidRPr="00855213" w:rsidRDefault="1A647D32"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6BE269C4"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97</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68007B43" w14:textId="642541C1" w:rsidR="00A45931" w:rsidRPr="00855213" w:rsidRDefault="527CF35D"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7585AB4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96</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2409B3BE" w14:textId="58FD2958"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234142C9" w14:textId="4DC549D5"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9ABECCB" w14:textId="3DCA4B35"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73A7DE11" w14:textId="0BFC79A5"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9FF2678" w14:textId="3C5B0C24"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1C73797A" w14:textId="3F99D113"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4FE068F8" w14:textId="77777777" w:rsidTr="5A58023C">
        <w:trPr>
          <w:trHeight w:val="103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6D122F41"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xml:space="preserve"> </w:t>
            </w:r>
            <w:proofErr w:type="spellStart"/>
            <w:r w:rsidRPr="00855213">
              <w:rPr>
                <w:rFonts w:ascii="Century Gothic" w:eastAsia="Times New Roman" w:hAnsi="Century Gothic"/>
                <w:b/>
                <w:bCs/>
                <w:color w:val="000000"/>
                <w:szCs w:val="22"/>
                <w:lang w:eastAsia="en-US"/>
              </w:rPr>
              <w:t>Ruoppolo</w:t>
            </w:r>
            <w:proofErr w:type="spellEnd"/>
            <w:r w:rsidRPr="00855213">
              <w:rPr>
                <w:rFonts w:ascii="Century Gothic" w:eastAsia="Times New Roman" w:hAnsi="Century Gothic"/>
                <w:b/>
                <w:bCs/>
                <w:color w:val="000000"/>
                <w:szCs w:val="22"/>
                <w:lang w:eastAsia="en-US"/>
              </w:rPr>
              <w:t>/Fairmont**</w:t>
            </w:r>
          </w:p>
        </w:tc>
        <w:tc>
          <w:tcPr>
            <w:tcW w:w="810" w:type="dxa"/>
            <w:tcBorders>
              <w:top w:val="nil"/>
              <w:left w:val="nil"/>
              <w:bottom w:val="single" w:sz="4" w:space="0" w:color="auto"/>
              <w:right w:val="single" w:sz="4" w:space="0" w:color="auto"/>
            </w:tcBorders>
            <w:shd w:val="clear" w:color="auto" w:fill="FFFFFF" w:themeFill="background1"/>
            <w:vAlign w:val="bottom"/>
          </w:tcPr>
          <w:p w14:paraId="2914FE8D" w14:textId="1D02C8FC" w:rsidR="7FB9D367" w:rsidRPr="00855213" w:rsidRDefault="7FB9D367" w:rsidP="2D03861B">
            <w:pPr>
              <w:jc w:val="center"/>
              <w:rPr>
                <w:rFonts w:ascii="Century Gothic" w:eastAsia="Times New Roman" w:hAnsi="Century Gothic"/>
                <w:color w:val="000000" w:themeColor="text1"/>
                <w:lang w:eastAsia="en-US"/>
              </w:rPr>
            </w:pPr>
            <w:r w:rsidRPr="00855213">
              <w:rPr>
                <w:rFonts w:ascii="Century Gothic" w:eastAsia="Times New Roman" w:hAnsi="Century Gothic"/>
                <w:color w:val="000000" w:themeColor="text1"/>
                <w:lang w:eastAsia="en-US"/>
              </w:rPr>
              <w:t>75</w:t>
            </w:r>
          </w:p>
        </w:tc>
        <w:tc>
          <w:tcPr>
            <w:tcW w:w="565" w:type="dxa"/>
            <w:tcBorders>
              <w:top w:val="nil"/>
              <w:left w:val="nil"/>
              <w:bottom w:val="single" w:sz="4" w:space="0" w:color="auto"/>
              <w:right w:val="single" w:sz="4" w:space="0" w:color="auto"/>
            </w:tcBorders>
            <w:shd w:val="clear" w:color="auto" w:fill="FFFFFF" w:themeFill="background1"/>
            <w:vAlign w:val="bottom"/>
          </w:tcPr>
          <w:p w14:paraId="41DE75B8" w14:textId="14BF4898" w:rsidR="19DAD154" w:rsidRPr="00855213" w:rsidRDefault="19A6F694" w:rsidP="19DAD154">
            <w:pPr>
              <w:jc w:val="center"/>
              <w:rPr>
                <w:rFonts w:ascii="Century Gothic" w:eastAsia="Times New Roman" w:hAnsi="Century Gothic"/>
                <w:color w:val="000000" w:themeColor="text1"/>
                <w:lang w:eastAsia="en-US"/>
              </w:rPr>
            </w:pPr>
            <w:r w:rsidRPr="00855213">
              <w:rPr>
                <w:rFonts w:ascii="Century Gothic" w:eastAsia="Times New Roman" w:hAnsi="Century Gothic"/>
                <w:color w:val="000000" w:themeColor="text1"/>
                <w:lang w:eastAsia="en-US"/>
              </w:rPr>
              <w:t>88</w:t>
            </w:r>
          </w:p>
        </w:tc>
        <w:tc>
          <w:tcPr>
            <w:tcW w:w="1253" w:type="dxa"/>
            <w:tcBorders>
              <w:top w:val="nil"/>
              <w:left w:val="nil"/>
              <w:bottom w:val="single" w:sz="4" w:space="0" w:color="auto"/>
              <w:right w:val="single" w:sz="4" w:space="0" w:color="auto"/>
            </w:tcBorders>
            <w:shd w:val="clear" w:color="auto" w:fill="FFFFFF" w:themeFill="background1"/>
            <w:vAlign w:val="bottom"/>
          </w:tcPr>
          <w:p w14:paraId="433B1062" w14:textId="48556380" w:rsidR="197BF266" w:rsidRPr="00855213" w:rsidRDefault="072B5A7E" w:rsidP="00370317">
            <w:pPr>
              <w:jc w:val="center"/>
              <w:rPr>
                <w:rFonts w:ascii="Century Gothic" w:eastAsia="Times New Roman" w:hAnsi="Century Gothic"/>
                <w:color w:val="000000" w:themeColor="text1"/>
                <w:lang w:eastAsia="en-US"/>
              </w:rPr>
            </w:pPr>
            <w:r w:rsidRPr="00855213">
              <w:rPr>
                <w:rFonts w:ascii="Century Gothic" w:eastAsia="Times New Roman" w:hAnsi="Century Gothic"/>
                <w:color w:val="000000" w:themeColor="text1"/>
                <w:lang w:eastAsia="en-US"/>
              </w:rPr>
              <w:t>n/a</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6DABB337" w14:textId="5ACF803D" w:rsidR="00A45931" w:rsidRPr="00855213" w:rsidRDefault="40F9032B"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6F0746AE" w14:textId="0C75B282" w:rsidR="00A45931" w:rsidRPr="00855213" w:rsidRDefault="40D98296"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61</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52F6B3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0731B78A" w14:textId="65778CC2" w:rsidR="00A45931" w:rsidRPr="00855213" w:rsidRDefault="438895DE"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195ADB56" w14:textId="365FDE32" w:rsidR="00A45931" w:rsidRPr="00855213" w:rsidRDefault="3D46CAD1"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4D9D408B" w14:textId="16DBF756" w:rsidR="00A45931" w:rsidRPr="00855213" w:rsidRDefault="16C7227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87</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24C1E738" w14:textId="0FAC698C" w:rsidR="00A45931" w:rsidRPr="00855213" w:rsidRDefault="46DF315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3DD01733" w14:textId="0ED67EF3" w:rsidR="00A45931" w:rsidRPr="00855213" w:rsidRDefault="46DF3156"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7316E0C8"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86</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FBA5004"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79</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99C90E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65</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4670CE61"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61</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70AA49DC"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56</w:t>
            </w:r>
          </w:p>
        </w:tc>
      </w:tr>
      <w:tr w:rsidR="005762BF" w:rsidRPr="006D6566" w14:paraId="2D1E84DB" w14:textId="77777777" w:rsidTr="5A58023C">
        <w:trPr>
          <w:trHeight w:val="30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6F27C93C" w14:textId="0AD62A6B"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St. Anthony II</w:t>
            </w:r>
            <w:r w:rsidR="6390FA3D"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4F257877" w14:textId="5431D70E" w:rsidR="2D03861B" w:rsidRPr="00855213" w:rsidRDefault="2B0C385E"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45</w:t>
            </w:r>
          </w:p>
        </w:tc>
        <w:tc>
          <w:tcPr>
            <w:tcW w:w="565" w:type="dxa"/>
            <w:tcBorders>
              <w:top w:val="nil"/>
              <w:left w:val="nil"/>
              <w:bottom w:val="single" w:sz="4" w:space="0" w:color="auto"/>
              <w:right w:val="single" w:sz="4" w:space="0" w:color="auto"/>
            </w:tcBorders>
            <w:shd w:val="clear" w:color="auto" w:fill="FFFFFF" w:themeFill="background1"/>
            <w:vAlign w:val="bottom"/>
          </w:tcPr>
          <w:p w14:paraId="3A023741" w14:textId="0F05179A" w:rsidR="19DAD154" w:rsidRPr="00855213" w:rsidRDefault="4CA605A0"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299AD44A" w14:textId="52567B39" w:rsidR="62344892" w:rsidRPr="00855213" w:rsidRDefault="3D34E87D"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34</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645FE626" w14:textId="6459E863" w:rsidR="00A45931" w:rsidRPr="00855213" w:rsidRDefault="571F9D74"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4E0D3A9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6C8E67B5"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2E2D8051" w14:textId="68351792" w:rsidR="00A45931" w:rsidRPr="00855213" w:rsidRDefault="7F4282C5"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22A07D1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58</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01ECABA3" w14:textId="57D634AC" w:rsidR="00A45931" w:rsidRPr="00855213" w:rsidRDefault="4C530E50"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6F81477B" w14:textId="3065831D"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4DA02D86" w14:textId="40D86E30"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14FF578E" w14:textId="10F77F9A"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2CEAF51" w14:textId="72B1C487"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E2869E6" w14:textId="3B484D48"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F739498" w14:textId="485D8533"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30183E65" w14:textId="7A92DDED"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65616A5C" w14:textId="77777777" w:rsidTr="5A58023C">
        <w:trPr>
          <w:trHeight w:val="30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06DB8913" w14:textId="17179F63"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Val Macri</w:t>
            </w:r>
            <w:r w:rsidR="23C4DBE7"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0B93149B" w14:textId="66742EE7" w:rsidR="2D03861B" w:rsidRPr="00855213" w:rsidRDefault="64ACA92D"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82</w:t>
            </w:r>
          </w:p>
        </w:tc>
        <w:tc>
          <w:tcPr>
            <w:tcW w:w="565" w:type="dxa"/>
            <w:tcBorders>
              <w:top w:val="nil"/>
              <w:left w:val="nil"/>
              <w:bottom w:val="single" w:sz="4" w:space="0" w:color="auto"/>
              <w:right w:val="single" w:sz="4" w:space="0" w:color="auto"/>
            </w:tcBorders>
            <w:shd w:val="clear" w:color="auto" w:fill="FFFFFF" w:themeFill="background1"/>
            <w:vAlign w:val="bottom"/>
          </w:tcPr>
          <w:p w14:paraId="2E0A1612" w14:textId="3D66353D" w:rsidR="19DAD154" w:rsidRPr="00855213" w:rsidRDefault="4EC816A0"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68B5BD0C" w14:textId="1BAE1947" w:rsidR="5BEFD23D" w:rsidRPr="00855213" w:rsidRDefault="3D838CAF"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73</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2F264444" w14:textId="45824DE9" w:rsidR="00A45931" w:rsidRPr="00855213" w:rsidRDefault="0A5D058A" w:rsidP="00370317">
            <w:pPr>
              <w:jc w:val="center"/>
              <w:rPr>
                <w:rFonts w:ascii="Century Gothic" w:eastAsia="Times New Roman" w:hAnsi="Century Gothic"/>
                <w:b/>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6A15BE8A"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5F3BAC2B"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0F48C704" w14:textId="32F3C2CE" w:rsidR="00A45931" w:rsidRPr="00855213" w:rsidRDefault="044644ED"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76078C50" w14:textId="4C852689" w:rsidR="00A45931" w:rsidRPr="00855213" w:rsidRDefault="00A45931" w:rsidP="00370317">
            <w:pPr>
              <w:jc w:val="center"/>
              <w:rPr>
                <w:rFonts w:ascii="Century Gothic" w:eastAsia="Times New Roman" w:hAnsi="Century Gothic"/>
                <w:b/>
                <w:bCs/>
                <w:color w:val="000000"/>
                <w:szCs w:val="22"/>
                <w:lang w:eastAsia="en-US"/>
              </w:rPr>
            </w:pP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1A9ECB2E" w14:textId="2B243D79" w:rsidR="00A45931" w:rsidRPr="00855213" w:rsidRDefault="460EC133"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58E56FC3"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94</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74FD73B0" w14:textId="3221075A"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3A4C1DB3" w14:textId="6CB40C9A"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51C321F" w14:textId="5C09CA8B"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75BB9DC9" w14:textId="3300886F"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9A10FA5" w14:textId="3D4820B3"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72E20EDF" w14:textId="274146B5" w:rsidR="00A45931" w:rsidRPr="00855213" w:rsidRDefault="002C21E6"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434B0F03"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653A343F"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xml:space="preserve"> Waverly Townhouses**</w:t>
            </w:r>
          </w:p>
        </w:tc>
        <w:tc>
          <w:tcPr>
            <w:tcW w:w="810" w:type="dxa"/>
            <w:tcBorders>
              <w:top w:val="nil"/>
              <w:left w:val="nil"/>
              <w:bottom w:val="single" w:sz="4" w:space="0" w:color="auto"/>
              <w:right w:val="single" w:sz="4" w:space="0" w:color="auto"/>
            </w:tcBorders>
            <w:shd w:val="clear" w:color="auto" w:fill="FFFFFF" w:themeFill="background1"/>
            <w:vAlign w:val="bottom"/>
          </w:tcPr>
          <w:p w14:paraId="63494B8E" w14:textId="161C5285" w:rsidR="5E904C59" w:rsidRPr="00855213" w:rsidRDefault="5E904C59"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60</w:t>
            </w:r>
          </w:p>
        </w:tc>
        <w:tc>
          <w:tcPr>
            <w:tcW w:w="565" w:type="dxa"/>
            <w:tcBorders>
              <w:top w:val="nil"/>
              <w:left w:val="nil"/>
              <w:bottom w:val="single" w:sz="4" w:space="0" w:color="auto"/>
              <w:right w:val="single" w:sz="4" w:space="0" w:color="auto"/>
            </w:tcBorders>
            <w:shd w:val="clear" w:color="auto" w:fill="FFFFFF" w:themeFill="background1"/>
            <w:vAlign w:val="bottom"/>
          </w:tcPr>
          <w:p w14:paraId="22DE11FF" w14:textId="363B40F9"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58</w:t>
            </w:r>
          </w:p>
        </w:tc>
        <w:tc>
          <w:tcPr>
            <w:tcW w:w="1253" w:type="dxa"/>
            <w:tcBorders>
              <w:top w:val="nil"/>
              <w:left w:val="nil"/>
              <w:bottom w:val="single" w:sz="4" w:space="0" w:color="auto"/>
              <w:right w:val="single" w:sz="4" w:space="0" w:color="auto"/>
            </w:tcBorders>
            <w:shd w:val="clear" w:color="auto" w:fill="FFFFFF" w:themeFill="background1"/>
            <w:vAlign w:val="bottom"/>
          </w:tcPr>
          <w:p w14:paraId="60D33401" w14:textId="06B50123" w:rsidR="57C1AF32" w:rsidRPr="00855213" w:rsidRDefault="4314CD14"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89</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04F33327" w14:textId="16ED2FFB" w:rsidR="00A45931" w:rsidRPr="00855213" w:rsidRDefault="5950B896"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73</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00FDFF9E"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2B43F677"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6952F132" w14:textId="24566622" w:rsidR="00A45931" w:rsidRPr="00855213" w:rsidRDefault="67BE7CB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2DFBF8D3"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65</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368576CB" w14:textId="2198F7CD" w:rsidR="00A45931" w:rsidRPr="00855213" w:rsidRDefault="4D9C1D1D"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392B0FCE" w14:textId="046737F6" w:rsidR="00A45931" w:rsidRPr="00855213" w:rsidRDefault="3A093C95"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440A254E" w14:textId="5FBADA04" w:rsidR="00A45931" w:rsidRPr="00855213" w:rsidRDefault="3A093C95"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54460883" w14:textId="4C777956" w:rsidR="00A45931" w:rsidRPr="00855213" w:rsidRDefault="3A093C95"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DC16800" w14:textId="1AC30669" w:rsidR="00A45931" w:rsidRPr="00855213" w:rsidRDefault="3A093C95"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FBF9CBF" w14:textId="48CFBDC4" w:rsidR="00A45931" w:rsidRPr="00855213" w:rsidRDefault="3A093C95"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4ED0F93" w14:textId="59DF33B6" w:rsidR="00A45931" w:rsidRPr="00855213" w:rsidRDefault="3A093C95"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657B391E" w14:textId="5DD251D1" w:rsidR="00A45931" w:rsidRPr="00855213" w:rsidRDefault="3A093C95"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r>
      <w:tr w:rsidR="005762BF" w:rsidRPr="006D6566" w14:paraId="5925A186"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318BBB22" w14:textId="1390ADEA"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Westville Manor</w:t>
            </w:r>
            <w:r w:rsidR="1F58BA82"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0A971735" w14:textId="0626F0E3" w:rsidR="2D03861B" w:rsidRPr="00855213" w:rsidRDefault="4DE6F891"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49</w:t>
            </w:r>
          </w:p>
        </w:tc>
        <w:tc>
          <w:tcPr>
            <w:tcW w:w="565" w:type="dxa"/>
            <w:tcBorders>
              <w:top w:val="nil"/>
              <w:left w:val="nil"/>
              <w:bottom w:val="single" w:sz="4" w:space="0" w:color="auto"/>
              <w:right w:val="single" w:sz="4" w:space="0" w:color="auto"/>
            </w:tcBorders>
            <w:shd w:val="clear" w:color="auto" w:fill="FFFFFF" w:themeFill="background1"/>
            <w:vAlign w:val="bottom"/>
          </w:tcPr>
          <w:p w14:paraId="146BAB1D" w14:textId="3D07993B" w:rsidR="19DAD154" w:rsidRPr="00855213" w:rsidRDefault="5E6DAE25"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57E3A104" w14:textId="26CB4663" w:rsidR="1D5127C5" w:rsidRPr="00855213" w:rsidRDefault="462D6E82"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44</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5896E769" w14:textId="20CB76AB" w:rsidR="00A45931" w:rsidRPr="00855213" w:rsidRDefault="6DE2F6A5"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30387BB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01EFDE47"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6A2EEA62" w14:textId="06DA8C99" w:rsidR="00A45931" w:rsidRPr="00855213" w:rsidRDefault="649E62A4"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24E2B255"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58</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27E0339B" w14:textId="09506DDA" w:rsidR="00A45931" w:rsidRPr="00855213" w:rsidRDefault="12952B45"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5F289B25" w14:textId="68AA229D" w:rsidR="00A45931" w:rsidRPr="00855213" w:rsidRDefault="001D2F4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33D4D27A" w14:textId="5723A082" w:rsidR="00A45931" w:rsidRPr="00855213" w:rsidRDefault="001D2F4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069B6BB7" w14:textId="382690FD" w:rsidR="00A45931" w:rsidRPr="00855213" w:rsidRDefault="001D2F4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137FF358"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47</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EA742B9"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51</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1B77F2F"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35</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57970EF5"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90</w:t>
            </w:r>
          </w:p>
        </w:tc>
      </w:tr>
      <w:tr w:rsidR="005762BF" w:rsidRPr="006D6566" w14:paraId="7520A086"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13B26753" w14:textId="3CC83E00"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Wilmot Crossing**</w:t>
            </w:r>
          </w:p>
        </w:tc>
        <w:tc>
          <w:tcPr>
            <w:tcW w:w="810" w:type="dxa"/>
            <w:tcBorders>
              <w:top w:val="nil"/>
              <w:left w:val="nil"/>
              <w:bottom w:val="single" w:sz="4" w:space="0" w:color="auto"/>
              <w:right w:val="single" w:sz="4" w:space="0" w:color="auto"/>
            </w:tcBorders>
            <w:shd w:val="clear" w:color="auto" w:fill="FFFFFF" w:themeFill="background1"/>
            <w:vAlign w:val="bottom"/>
          </w:tcPr>
          <w:p w14:paraId="239752D9" w14:textId="675BCB52" w:rsidR="6C66892F" w:rsidRPr="00855213" w:rsidRDefault="6C66892F"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60</w:t>
            </w:r>
          </w:p>
        </w:tc>
        <w:tc>
          <w:tcPr>
            <w:tcW w:w="565" w:type="dxa"/>
            <w:tcBorders>
              <w:top w:val="nil"/>
              <w:left w:val="nil"/>
              <w:bottom w:val="single" w:sz="4" w:space="0" w:color="auto"/>
              <w:right w:val="single" w:sz="4" w:space="0" w:color="auto"/>
            </w:tcBorders>
            <w:shd w:val="clear" w:color="auto" w:fill="FFFFFF" w:themeFill="background1"/>
            <w:vAlign w:val="bottom"/>
          </w:tcPr>
          <w:p w14:paraId="41D4F56B" w14:textId="329D5683"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82</w:t>
            </w:r>
          </w:p>
        </w:tc>
        <w:tc>
          <w:tcPr>
            <w:tcW w:w="1253" w:type="dxa"/>
            <w:tcBorders>
              <w:top w:val="nil"/>
              <w:left w:val="nil"/>
              <w:bottom w:val="single" w:sz="4" w:space="0" w:color="auto"/>
              <w:right w:val="single" w:sz="4" w:space="0" w:color="auto"/>
            </w:tcBorders>
            <w:shd w:val="clear" w:color="auto" w:fill="FFFFFF" w:themeFill="background1"/>
            <w:vAlign w:val="bottom"/>
          </w:tcPr>
          <w:p w14:paraId="4FCB1FE2" w14:textId="522D740A" w:rsidR="199C35D2" w:rsidRPr="00855213" w:rsidRDefault="3658B083"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87</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3E32A63B" w14:textId="62E49C3C" w:rsidR="00A45931" w:rsidRPr="00855213" w:rsidRDefault="58637D42"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84</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381FFF6C" w14:textId="23C93AD0" w:rsidR="00A45931" w:rsidRPr="00855213" w:rsidRDefault="58637D42"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69</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3E96B1D8"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36317C9E" w14:textId="6761BCBB" w:rsidR="00A45931" w:rsidRPr="00855213" w:rsidRDefault="39AF5979"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70</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23868860" w14:textId="679F7879" w:rsidR="00A45931" w:rsidRPr="00855213" w:rsidRDefault="4EE62DDA"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70</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7B2A8F95" w14:textId="6D3668C7" w:rsidR="00A45931" w:rsidRPr="00855213" w:rsidRDefault="49697AA0"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2AD336A0" w14:textId="5B5E85AA" w:rsidR="00A45931" w:rsidRPr="00855213" w:rsidRDefault="516C4BFF"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03E35665"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93</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437611FF" w14:textId="543AAFD6" w:rsidR="00A45931" w:rsidRPr="00855213" w:rsidRDefault="2B840DF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39D2B0C" w14:textId="6A787FDA" w:rsidR="00A45931" w:rsidRPr="00855213" w:rsidRDefault="09D292F2"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F8922CE" w14:textId="2BCDC99B" w:rsidR="00A45931" w:rsidRPr="00855213" w:rsidRDefault="4DF50889"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B092290" w14:textId="10BBF902" w:rsidR="00A45931" w:rsidRPr="00855213" w:rsidRDefault="4DF50889"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187FAD1B" w14:textId="164C6FF6" w:rsidR="00A45931" w:rsidRPr="00855213" w:rsidRDefault="762E6979"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r>
      <w:tr w:rsidR="005762BF" w:rsidRPr="006D6566" w14:paraId="13CE3858" w14:textId="77777777" w:rsidTr="5A58023C">
        <w:trPr>
          <w:trHeight w:val="78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7FBB2BF6"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lastRenderedPageBreak/>
              <w:t xml:space="preserve"> Winslow-Celentano**</w:t>
            </w:r>
          </w:p>
        </w:tc>
        <w:tc>
          <w:tcPr>
            <w:tcW w:w="810" w:type="dxa"/>
            <w:tcBorders>
              <w:top w:val="nil"/>
              <w:left w:val="nil"/>
              <w:bottom w:val="single" w:sz="4" w:space="0" w:color="auto"/>
              <w:right w:val="single" w:sz="4" w:space="0" w:color="auto"/>
            </w:tcBorders>
            <w:shd w:val="clear" w:color="auto" w:fill="FFFFFF" w:themeFill="background1"/>
            <w:vAlign w:val="bottom"/>
          </w:tcPr>
          <w:p w14:paraId="544861D2" w14:textId="35A1FA9A" w:rsidR="7D4C6504" w:rsidRPr="00855213" w:rsidRDefault="7D4C6504"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94</w:t>
            </w:r>
          </w:p>
        </w:tc>
        <w:tc>
          <w:tcPr>
            <w:tcW w:w="565" w:type="dxa"/>
            <w:tcBorders>
              <w:top w:val="nil"/>
              <w:left w:val="nil"/>
              <w:bottom w:val="single" w:sz="4" w:space="0" w:color="auto"/>
              <w:right w:val="single" w:sz="4" w:space="0" w:color="auto"/>
            </w:tcBorders>
            <w:shd w:val="clear" w:color="auto" w:fill="FFFFFF" w:themeFill="background1"/>
            <w:vAlign w:val="bottom"/>
          </w:tcPr>
          <w:p w14:paraId="6B21DCF8" w14:textId="00C415E9" w:rsidR="19DAD154" w:rsidRPr="00855213" w:rsidRDefault="19A6F69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88</w:t>
            </w:r>
          </w:p>
        </w:tc>
        <w:tc>
          <w:tcPr>
            <w:tcW w:w="1253" w:type="dxa"/>
            <w:tcBorders>
              <w:top w:val="nil"/>
              <w:left w:val="nil"/>
              <w:bottom w:val="single" w:sz="4" w:space="0" w:color="auto"/>
              <w:right w:val="single" w:sz="4" w:space="0" w:color="auto"/>
            </w:tcBorders>
            <w:shd w:val="clear" w:color="auto" w:fill="FFFFFF" w:themeFill="background1"/>
            <w:vAlign w:val="bottom"/>
          </w:tcPr>
          <w:p w14:paraId="54DFC902" w14:textId="59A24FD9" w:rsidR="19345B17" w:rsidRPr="00855213" w:rsidRDefault="58ED7AF2"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92</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4A92832A" w14:textId="5AFC5CEB" w:rsidR="00A45931" w:rsidRPr="00855213" w:rsidRDefault="27E584FC"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86</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71BEB367" w14:textId="74058845" w:rsidR="00A45931" w:rsidRPr="00855213" w:rsidRDefault="27E584FC"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70</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3BF56BC2"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5133B656" w14:textId="0D6FE69E" w:rsidR="00A45931" w:rsidRPr="00855213" w:rsidRDefault="613A6608" w:rsidP="00370317">
            <w:pPr>
              <w:jc w:val="center"/>
              <w:rPr>
                <w:rFonts w:ascii="Century Gothic" w:eastAsia="MS PGothic" w:hAnsi="Century Gothic"/>
                <w:b/>
                <w:bCs/>
                <w:color w:val="000000" w:themeColor="text1"/>
                <w:szCs w:val="22"/>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47E6D84F"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58</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7E052B15"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2752C369" w14:textId="18EF025C" w:rsidR="00A45931" w:rsidRPr="00855213" w:rsidRDefault="59A6B94E"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2D1F5382" w14:textId="243A376D" w:rsidR="00A45931" w:rsidRPr="00855213" w:rsidRDefault="697CF704"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25D37D31"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84</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D7687E9"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71</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748B796"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74</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0BB7A2FA"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72</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1EF40E1D"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53</w:t>
            </w:r>
          </w:p>
        </w:tc>
      </w:tr>
      <w:tr w:rsidR="005762BF" w:rsidRPr="006D6566" w14:paraId="7F2C26F2" w14:textId="77777777" w:rsidTr="5A58023C">
        <w:trPr>
          <w:trHeight w:val="300"/>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69543838"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xml:space="preserve"> WT Rowe*</w:t>
            </w:r>
          </w:p>
        </w:tc>
        <w:tc>
          <w:tcPr>
            <w:tcW w:w="810" w:type="dxa"/>
            <w:tcBorders>
              <w:top w:val="nil"/>
              <w:left w:val="nil"/>
              <w:bottom w:val="single" w:sz="4" w:space="0" w:color="auto"/>
              <w:right w:val="single" w:sz="4" w:space="0" w:color="auto"/>
            </w:tcBorders>
            <w:shd w:val="clear" w:color="auto" w:fill="FFFFFF" w:themeFill="background1"/>
            <w:vAlign w:val="bottom"/>
          </w:tcPr>
          <w:p w14:paraId="3419C2E6" w14:textId="547F2898" w:rsidR="2D03861B" w:rsidRPr="00855213" w:rsidRDefault="15256092"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72</w:t>
            </w:r>
          </w:p>
        </w:tc>
        <w:tc>
          <w:tcPr>
            <w:tcW w:w="565" w:type="dxa"/>
            <w:tcBorders>
              <w:top w:val="nil"/>
              <w:left w:val="nil"/>
              <w:bottom w:val="single" w:sz="4" w:space="0" w:color="auto"/>
              <w:right w:val="single" w:sz="4" w:space="0" w:color="auto"/>
            </w:tcBorders>
            <w:shd w:val="clear" w:color="auto" w:fill="FFFFFF" w:themeFill="background1"/>
            <w:vAlign w:val="bottom"/>
          </w:tcPr>
          <w:p w14:paraId="7ABA574F" w14:textId="61EF7040" w:rsidR="19DAD154" w:rsidRPr="00855213" w:rsidRDefault="20FEFD3D"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3963716A" w14:textId="71F37826" w:rsidR="3C3EEDA0" w:rsidRPr="00855213" w:rsidRDefault="326A91FA"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86</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5EFDBBA5" w14:textId="686D0652" w:rsidR="00A45931" w:rsidRPr="00855213" w:rsidRDefault="00A45931" w:rsidP="00370317">
            <w:pPr>
              <w:jc w:val="center"/>
              <w:rPr>
                <w:rFonts w:ascii="Century Gothic" w:eastAsia="Times New Roman" w:hAnsi="Century Gothic"/>
                <w:b/>
                <w:bCs/>
                <w:color w:val="000000"/>
                <w:szCs w:val="22"/>
                <w:lang w:eastAsia="en-US"/>
              </w:rPr>
            </w:pP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47149A15"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7C67FC1B"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3C3F87E7" w14:textId="39985AB2" w:rsidR="00A45931" w:rsidRPr="00855213" w:rsidRDefault="3EC1A9F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6C4D7890"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90</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73172FBC" w14:textId="24DC2F84" w:rsidR="00A45931" w:rsidRPr="00855213" w:rsidRDefault="4795FC37"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5B8F3036"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99</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1F397DA2" w14:textId="43CE932A" w:rsidR="00A45931" w:rsidRPr="00855213" w:rsidRDefault="001D2F4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7B95668C" w14:textId="3265AEA6" w:rsidR="00A45931" w:rsidRPr="00855213" w:rsidRDefault="001D2F4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2D8BF9A1" w14:textId="0AFBD182" w:rsidR="00A45931" w:rsidRPr="00855213" w:rsidRDefault="001D2F4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DF45733" w14:textId="64C867AC" w:rsidR="00A45931" w:rsidRPr="00855213" w:rsidRDefault="001D2F4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51C224D4" w14:textId="7C31B1F4" w:rsidR="00A45931" w:rsidRPr="00855213" w:rsidRDefault="001D2F4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200BC909" w14:textId="1B13A85C" w:rsidR="00A45931" w:rsidRPr="00855213" w:rsidRDefault="001D2F43"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r>
      <w:tr w:rsidR="005762BF" w:rsidRPr="006D6566" w14:paraId="76E2FB82" w14:textId="77777777" w:rsidTr="5A58023C">
        <w:trPr>
          <w:trHeight w:val="525"/>
        </w:trPr>
        <w:tc>
          <w:tcPr>
            <w:tcW w:w="1610" w:type="dxa"/>
            <w:tcBorders>
              <w:top w:val="nil"/>
              <w:left w:val="single" w:sz="8" w:space="0" w:color="auto"/>
              <w:bottom w:val="single" w:sz="4" w:space="0" w:color="auto"/>
              <w:right w:val="single" w:sz="4" w:space="0" w:color="auto"/>
            </w:tcBorders>
            <w:shd w:val="clear" w:color="auto" w:fill="FFFFFF" w:themeFill="background1"/>
            <w:vAlign w:val="bottom"/>
            <w:hideMark/>
          </w:tcPr>
          <w:p w14:paraId="5BDF1975" w14:textId="569AC7E2"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Scattered Sites II</w:t>
            </w:r>
            <w:r w:rsidR="15163A70" w:rsidRPr="00855213">
              <w:rPr>
                <w:rFonts w:ascii="Century Gothic" w:eastAsia="Times New Roman" w:hAnsi="Century Gothic"/>
                <w:b/>
                <w:bCs/>
                <w:color w:val="000000" w:themeColor="text1"/>
                <w:lang w:eastAsia="en-US"/>
              </w:rPr>
              <w:t>*</w:t>
            </w:r>
          </w:p>
        </w:tc>
        <w:tc>
          <w:tcPr>
            <w:tcW w:w="810" w:type="dxa"/>
            <w:tcBorders>
              <w:top w:val="nil"/>
              <w:left w:val="nil"/>
              <w:bottom w:val="single" w:sz="4" w:space="0" w:color="auto"/>
              <w:right w:val="single" w:sz="4" w:space="0" w:color="auto"/>
            </w:tcBorders>
            <w:shd w:val="clear" w:color="auto" w:fill="FFFFFF" w:themeFill="background1"/>
            <w:vAlign w:val="bottom"/>
          </w:tcPr>
          <w:p w14:paraId="09F8D3F0" w14:textId="16E244C6" w:rsidR="2D03861B" w:rsidRPr="00855213" w:rsidRDefault="5FCD38A3" w:rsidP="2D03861B">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75</w:t>
            </w:r>
          </w:p>
        </w:tc>
        <w:tc>
          <w:tcPr>
            <w:tcW w:w="565" w:type="dxa"/>
            <w:tcBorders>
              <w:top w:val="nil"/>
              <w:left w:val="nil"/>
              <w:bottom w:val="single" w:sz="4" w:space="0" w:color="auto"/>
              <w:right w:val="single" w:sz="4" w:space="0" w:color="auto"/>
            </w:tcBorders>
            <w:shd w:val="clear" w:color="auto" w:fill="FFFFFF" w:themeFill="background1"/>
            <w:vAlign w:val="bottom"/>
          </w:tcPr>
          <w:p w14:paraId="759C5E53" w14:textId="47374B89" w:rsidR="19DAD154" w:rsidRPr="00855213" w:rsidRDefault="6BD03124" w:rsidP="19DAD154">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4" w:space="0" w:color="auto"/>
              <w:right w:val="single" w:sz="4" w:space="0" w:color="auto"/>
            </w:tcBorders>
            <w:shd w:val="clear" w:color="auto" w:fill="FFFFFF" w:themeFill="background1"/>
            <w:vAlign w:val="bottom"/>
          </w:tcPr>
          <w:p w14:paraId="4AE355E3" w14:textId="7E55E6AB" w:rsidR="2CFBA8BA" w:rsidRPr="00855213" w:rsidRDefault="04EF041A" w:rsidP="00370317">
            <w:pPr>
              <w:jc w:val="cente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64</w:t>
            </w:r>
          </w:p>
        </w:tc>
        <w:tc>
          <w:tcPr>
            <w:tcW w:w="795" w:type="dxa"/>
            <w:tcBorders>
              <w:top w:val="nil"/>
              <w:left w:val="nil"/>
              <w:bottom w:val="single" w:sz="4" w:space="0" w:color="auto"/>
              <w:right w:val="single" w:sz="4" w:space="0" w:color="auto"/>
            </w:tcBorders>
            <w:shd w:val="clear" w:color="auto" w:fill="FFFFFF" w:themeFill="background1"/>
            <w:vAlign w:val="bottom"/>
            <w:hideMark/>
          </w:tcPr>
          <w:p w14:paraId="18E08DF9" w14:textId="0F97904B" w:rsidR="00A45931" w:rsidRPr="00855213" w:rsidRDefault="353E5613"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620" w:type="dxa"/>
            <w:tcBorders>
              <w:top w:val="nil"/>
              <w:left w:val="nil"/>
              <w:bottom w:val="single" w:sz="4" w:space="0" w:color="auto"/>
              <w:right w:val="single" w:sz="4" w:space="0" w:color="auto"/>
            </w:tcBorders>
            <w:shd w:val="clear" w:color="auto" w:fill="FFFFFF" w:themeFill="background1"/>
            <w:vAlign w:val="bottom"/>
            <w:hideMark/>
          </w:tcPr>
          <w:p w14:paraId="79B35595"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518" w:type="dxa"/>
            <w:tcBorders>
              <w:top w:val="nil"/>
              <w:left w:val="nil"/>
              <w:bottom w:val="single" w:sz="4" w:space="0" w:color="auto"/>
              <w:right w:val="single" w:sz="4" w:space="0" w:color="auto"/>
            </w:tcBorders>
            <w:shd w:val="clear" w:color="auto" w:fill="FFFFFF" w:themeFill="background1"/>
            <w:vAlign w:val="bottom"/>
            <w:hideMark/>
          </w:tcPr>
          <w:p w14:paraId="6FE723F2"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4" w:space="0" w:color="auto"/>
              <w:right w:val="single" w:sz="4" w:space="0" w:color="auto"/>
            </w:tcBorders>
            <w:shd w:val="clear" w:color="auto" w:fill="FFFFFF" w:themeFill="background1"/>
            <w:vAlign w:val="bottom"/>
            <w:hideMark/>
          </w:tcPr>
          <w:p w14:paraId="115AEDA2" w14:textId="44874DAF" w:rsidR="00A45931" w:rsidRPr="00855213" w:rsidRDefault="27CF991F"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18" w:type="dxa"/>
            <w:tcBorders>
              <w:top w:val="nil"/>
              <w:left w:val="nil"/>
              <w:bottom w:val="single" w:sz="4" w:space="0" w:color="auto"/>
              <w:right w:val="single" w:sz="4" w:space="0" w:color="auto"/>
            </w:tcBorders>
            <w:shd w:val="clear" w:color="auto" w:fill="FFFFFF" w:themeFill="background1"/>
            <w:noWrap/>
            <w:vAlign w:val="bottom"/>
            <w:hideMark/>
          </w:tcPr>
          <w:p w14:paraId="685B16EC" w14:textId="77777777" w:rsidR="00A45931" w:rsidRPr="00855213" w:rsidRDefault="00A45931" w:rsidP="00370317">
            <w:pPr>
              <w:jc w:val="cente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80</w:t>
            </w:r>
          </w:p>
        </w:tc>
        <w:tc>
          <w:tcPr>
            <w:tcW w:w="495" w:type="dxa"/>
            <w:tcBorders>
              <w:top w:val="nil"/>
              <w:left w:val="nil"/>
              <w:bottom w:val="single" w:sz="4" w:space="0" w:color="auto"/>
              <w:right w:val="single" w:sz="4" w:space="0" w:color="auto"/>
            </w:tcBorders>
            <w:shd w:val="clear" w:color="auto" w:fill="FFFFFF" w:themeFill="background1"/>
            <w:noWrap/>
            <w:vAlign w:val="bottom"/>
            <w:hideMark/>
          </w:tcPr>
          <w:p w14:paraId="098B48FC" w14:textId="15BC1482" w:rsidR="00A45931" w:rsidRPr="00855213" w:rsidRDefault="7E5E78E8" w:rsidP="00370317">
            <w:pPr>
              <w:jc w:val="cente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n/a</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14:paraId="3F7B9894" w14:textId="6B6B8236" w:rsidR="00A45931" w:rsidRPr="00855213" w:rsidRDefault="00A45931" w:rsidP="00370317">
            <w:pPr>
              <w:jc w:val="center"/>
              <w:rPr>
                <w:rFonts w:ascii="Century Gothic" w:eastAsia="Times New Roman" w:hAnsi="Century Gothic"/>
                <w:b/>
                <w:bCs/>
                <w:color w:val="000000"/>
                <w:szCs w:val="22"/>
                <w:lang w:eastAsia="en-US"/>
              </w:rPr>
            </w:pP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039945FA" w14:textId="166F3A4B" w:rsidR="00A45931" w:rsidRPr="00855213" w:rsidRDefault="00A45931" w:rsidP="00370317">
            <w:pPr>
              <w:jc w:val="center"/>
              <w:rPr>
                <w:rFonts w:ascii="Century Gothic" w:eastAsia="Times New Roman" w:hAnsi="Century Gothic"/>
                <w:b/>
                <w:bCs/>
                <w:color w:val="000000"/>
                <w:szCs w:val="22"/>
                <w:lang w:eastAsia="en-US"/>
              </w:rPr>
            </w:pPr>
          </w:p>
        </w:tc>
        <w:tc>
          <w:tcPr>
            <w:tcW w:w="402" w:type="dxa"/>
            <w:tcBorders>
              <w:top w:val="nil"/>
              <w:left w:val="nil"/>
              <w:bottom w:val="single" w:sz="4" w:space="0" w:color="auto"/>
              <w:right w:val="single" w:sz="4" w:space="0" w:color="auto"/>
            </w:tcBorders>
            <w:shd w:val="clear" w:color="auto" w:fill="FFFFFF" w:themeFill="background1"/>
            <w:noWrap/>
            <w:vAlign w:val="bottom"/>
            <w:hideMark/>
          </w:tcPr>
          <w:p w14:paraId="2A1E43FD" w14:textId="441C1FA5" w:rsidR="00A45931" w:rsidRPr="00855213" w:rsidRDefault="00A45931" w:rsidP="00370317">
            <w:pPr>
              <w:jc w:val="center"/>
              <w:rPr>
                <w:rFonts w:ascii="Century Gothic" w:eastAsia="Times New Roman" w:hAnsi="Century Gothic"/>
                <w:b/>
                <w:bCs/>
                <w:color w:val="000000"/>
                <w:szCs w:val="22"/>
                <w:lang w:eastAsia="en-US"/>
              </w:rPr>
            </w:pP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6231547" w14:textId="05F6D2F7" w:rsidR="00A45931" w:rsidRPr="00855213" w:rsidRDefault="00A45931" w:rsidP="00370317">
            <w:pPr>
              <w:jc w:val="center"/>
              <w:rPr>
                <w:rFonts w:ascii="Century Gothic" w:eastAsia="Times New Roman" w:hAnsi="Century Gothic"/>
                <w:b/>
                <w:bCs/>
                <w:color w:val="000000"/>
                <w:szCs w:val="22"/>
                <w:lang w:eastAsia="en-US"/>
              </w:rPr>
            </w:pP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6AF432DC" w14:textId="6907EEEC" w:rsidR="00A45931" w:rsidRPr="00855213" w:rsidRDefault="00A45931" w:rsidP="00370317">
            <w:pPr>
              <w:jc w:val="center"/>
              <w:rPr>
                <w:rFonts w:ascii="Century Gothic" w:eastAsia="Times New Roman" w:hAnsi="Century Gothic"/>
                <w:b/>
                <w:bCs/>
                <w:color w:val="000000"/>
                <w:szCs w:val="22"/>
                <w:lang w:eastAsia="en-US"/>
              </w:rPr>
            </w:pPr>
          </w:p>
        </w:tc>
        <w:tc>
          <w:tcPr>
            <w:tcW w:w="387" w:type="dxa"/>
            <w:tcBorders>
              <w:top w:val="nil"/>
              <w:left w:val="nil"/>
              <w:bottom w:val="single" w:sz="4" w:space="0" w:color="auto"/>
              <w:right w:val="single" w:sz="4" w:space="0" w:color="auto"/>
            </w:tcBorders>
            <w:shd w:val="clear" w:color="auto" w:fill="FFFFFF" w:themeFill="background1"/>
            <w:noWrap/>
            <w:vAlign w:val="bottom"/>
            <w:hideMark/>
          </w:tcPr>
          <w:p w14:paraId="35501B9B" w14:textId="7065BF7B" w:rsidR="00A45931" w:rsidRPr="00855213" w:rsidRDefault="00A45931" w:rsidP="00370317">
            <w:pPr>
              <w:jc w:val="center"/>
              <w:rPr>
                <w:rFonts w:ascii="Century Gothic" w:eastAsia="Times New Roman" w:hAnsi="Century Gothic"/>
                <w:b/>
                <w:bCs/>
                <w:color w:val="000000"/>
                <w:szCs w:val="22"/>
                <w:lang w:eastAsia="en-US"/>
              </w:rPr>
            </w:pPr>
          </w:p>
        </w:tc>
        <w:tc>
          <w:tcPr>
            <w:tcW w:w="387" w:type="dxa"/>
            <w:tcBorders>
              <w:top w:val="nil"/>
              <w:left w:val="nil"/>
              <w:bottom w:val="single" w:sz="4" w:space="0" w:color="auto"/>
              <w:right w:val="single" w:sz="8" w:space="0" w:color="auto"/>
            </w:tcBorders>
            <w:shd w:val="clear" w:color="auto" w:fill="FFFFFF" w:themeFill="background1"/>
            <w:noWrap/>
            <w:vAlign w:val="bottom"/>
            <w:hideMark/>
          </w:tcPr>
          <w:p w14:paraId="5D3FE28C" w14:textId="0A6FB32B" w:rsidR="00A45931" w:rsidRPr="00855213" w:rsidRDefault="00A45931" w:rsidP="00370317">
            <w:pPr>
              <w:jc w:val="center"/>
              <w:rPr>
                <w:rFonts w:ascii="Century Gothic" w:eastAsia="Times New Roman" w:hAnsi="Century Gothic"/>
                <w:b/>
                <w:bCs/>
                <w:color w:val="000000"/>
                <w:szCs w:val="22"/>
                <w:lang w:eastAsia="en-US"/>
              </w:rPr>
            </w:pPr>
          </w:p>
        </w:tc>
      </w:tr>
      <w:tr w:rsidR="005762BF" w:rsidRPr="006D6566" w14:paraId="7C9473F3" w14:textId="77777777" w:rsidTr="5A58023C">
        <w:trPr>
          <w:trHeight w:val="540"/>
        </w:trPr>
        <w:tc>
          <w:tcPr>
            <w:tcW w:w="1610" w:type="dxa"/>
            <w:tcBorders>
              <w:top w:val="nil"/>
              <w:left w:val="single" w:sz="8" w:space="0" w:color="auto"/>
              <w:bottom w:val="single" w:sz="8" w:space="0" w:color="auto"/>
              <w:right w:val="single" w:sz="4" w:space="0" w:color="auto"/>
            </w:tcBorders>
            <w:shd w:val="clear" w:color="auto" w:fill="FFFFFF" w:themeFill="background1"/>
            <w:vAlign w:val="bottom"/>
            <w:hideMark/>
          </w:tcPr>
          <w:p w14:paraId="7CD7A495" w14:textId="5805B79C" w:rsidR="00A45931" w:rsidRPr="00855213" w:rsidRDefault="4F0815D1" w:rsidP="4566E4F4">
            <w:pPr>
              <w:rPr>
                <w:rFonts w:ascii="Century Gothic" w:eastAsia="Times New Roman" w:hAnsi="Century Gothic"/>
                <w:b/>
                <w:bCs/>
                <w:color w:val="000000"/>
                <w:lang w:eastAsia="en-US"/>
              </w:rPr>
            </w:pPr>
            <w:r w:rsidRPr="00855213">
              <w:rPr>
                <w:rFonts w:ascii="Century Gothic" w:eastAsia="Times New Roman" w:hAnsi="Century Gothic"/>
                <w:b/>
                <w:bCs/>
                <w:color w:val="000000" w:themeColor="text1"/>
                <w:lang w:eastAsia="en-US"/>
              </w:rPr>
              <w:t xml:space="preserve"> Scattered Sites III</w:t>
            </w:r>
            <w:r w:rsidR="6701871B" w:rsidRPr="00855213">
              <w:rPr>
                <w:rFonts w:ascii="Century Gothic" w:eastAsia="Times New Roman" w:hAnsi="Century Gothic"/>
                <w:b/>
                <w:bCs/>
                <w:color w:val="000000" w:themeColor="text1"/>
                <w:lang w:eastAsia="en-US"/>
              </w:rPr>
              <w:t>*</w:t>
            </w:r>
          </w:p>
        </w:tc>
        <w:tc>
          <w:tcPr>
            <w:tcW w:w="810" w:type="dxa"/>
            <w:tcBorders>
              <w:top w:val="nil"/>
              <w:left w:val="nil"/>
              <w:bottom w:val="single" w:sz="8" w:space="0" w:color="auto"/>
              <w:right w:val="single" w:sz="4" w:space="0" w:color="auto"/>
            </w:tcBorders>
            <w:shd w:val="clear" w:color="auto" w:fill="FFFFFF" w:themeFill="background1"/>
            <w:vAlign w:val="bottom"/>
          </w:tcPr>
          <w:p w14:paraId="58DB1F0B" w14:textId="7119518F" w:rsidR="2D03861B" w:rsidRPr="00855213" w:rsidRDefault="23611920" w:rsidP="2D03861B">
            <w:pP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45</w:t>
            </w:r>
          </w:p>
        </w:tc>
        <w:tc>
          <w:tcPr>
            <w:tcW w:w="565" w:type="dxa"/>
            <w:tcBorders>
              <w:top w:val="nil"/>
              <w:left w:val="nil"/>
              <w:bottom w:val="single" w:sz="8" w:space="0" w:color="auto"/>
              <w:right w:val="single" w:sz="4" w:space="0" w:color="auto"/>
            </w:tcBorders>
            <w:shd w:val="clear" w:color="auto" w:fill="FFFFFF" w:themeFill="background1"/>
            <w:vAlign w:val="bottom"/>
          </w:tcPr>
          <w:p w14:paraId="4DE0C8F9" w14:textId="0814F37E" w:rsidR="19DAD154" w:rsidRPr="00855213" w:rsidRDefault="5E984B1C" w:rsidP="19DAD154">
            <w:pP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n/a</w:t>
            </w:r>
          </w:p>
        </w:tc>
        <w:tc>
          <w:tcPr>
            <w:tcW w:w="1253" w:type="dxa"/>
            <w:tcBorders>
              <w:top w:val="nil"/>
              <w:left w:val="nil"/>
              <w:bottom w:val="single" w:sz="8" w:space="0" w:color="auto"/>
              <w:right w:val="single" w:sz="4" w:space="0" w:color="auto"/>
            </w:tcBorders>
            <w:shd w:val="clear" w:color="auto" w:fill="FFFFFF" w:themeFill="background1"/>
            <w:vAlign w:val="bottom"/>
          </w:tcPr>
          <w:p w14:paraId="7908C1D7" w14:textId="072F953A" w:rsidR="4566E4F4" w:rsidRPr="00855213" w:rsidRDefault="4566E4F4" w:rsidP="4566E4F4">
            <w:pPr>
              <w:rPr>
                <w:rFonts w:ascii="Century Gothic" w:eastAsia="Times New Roman" w:hAnsi="Century Gothic"/>
                <w:b/>
                <w:bCs/>
                <w:color w:val="000000" w:themeColor="text1"/>
                <w:lang w:eastAsia="en-US"/>
              </w:rPr>
            </w:pPr>
          </w:p>
          <w:p w14:paraId="4BBF29AF" w14:textId="753440BE" w:rsidR="2CA8DCF2" w:rsidRPr="00855213" w:rsidRDefault="7B23F7A1" w:rsidP="4566E4F4">
            <w:pP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 xml:space="preserve">         </w:t>
            </w:r>
            <w:r w:rsidR="4F726F08" w:rsidRPr="00855213">
              <w:rPr>
                <w:rFonts w:ascii="Century Gothic" w:eastAsia="Times New Roman" w:hAnsi="Century Gothic"/>
                <w:b/>
                <w:bCs/>
                <w:color w:val="000000" w:themeColor="text1"/>
                <w:lang w:eastAsia="en-US"/>
              </w:rPr>
              <w:t>46</w:t>
            </w:r>
          </w:p>
        </w:tc>
        <w:tc>
          <w:tcPr>
            <w:tcW w:w="795" w:type="dxa"/>
            <w:tcBorders>
              <w:top w:val="nil"/>
              <w:left w:val="nil"/>
              <w:bottom w:val="single" w:sz="8" w:space="0" w:color="auto"/>
              <w:right w:val="single" w:sz="4" w:space="0" w:color="auto"/>
            </w:tcBorders>
            <w:shd w:val="clear" w:color="auto" w:fill="FFFFFF" w:themeFill="background1"/>
            <w:vAlign w:val="bottom"/>
            <w:hideMark/>
          </w:tcPr>
          <w:p w14:paraId="131924FF" w14:textId="73E7698E" w:rsidR="00A45931" w:rsidRPr="00855213" w:rsidRDefault="00A45931" w:rsidP="2C2E612D">
            <w:pPr>
              <w:rPr>
                <w:rFonts w:ascii="Century Gothic" w:eastAsia="MS PGothic" w:hAnsi="Century Gothic"/>
                <w:b/>
                <w:color w:val="000000" w:themeColor="text1"/>
                <w:lang w:eastAsia="en-US"/>
              </w:rPr>
            </w:pPr>
            <w:r w:rsidRPr="00855213">
              <w:rPr>
                <w:rFonts w:ascii="Century Gothic" w:eastAsia="Times New Roman" w:hAnsi="Century Gothic"/>
                <w:b/>
                <w:color w:val="000000" w:themeColor="text1"/>
                <w:lang w:eastAsia="en-US"/>
              </w:rPr>
              <w:t> </w:t>
            </w:r>
            <w:r w:rsidR="499B518B" w:rsidRPr="00855213">
              <w:rPr>
                <w:rFonts w:ascii="Century Gothic" w:eastAsia="Times New Roman" w:hAnsi="Century Gothic"/>
                <w:b/>
                <w:bCs/>
                <w:color w:val="000000" w:themeColor="text1"/>
                <w:lang w:eastAsia="en-US"/>
              </w:rPr>
              <w:t xml:space="preserve"> </w:t>
            </w:r>
          </w:p>
          <w:p w14:paraId="77D1D9CB" w14:textId="6328901E" w:rsidR="00A45931" w:rsidRPr="00855213" w:rsidRDefault="2FC303FB" w:rsidP="2B47D2C6">
            <w:pPr>
              <w:rPr>
                <w:rFonts w:ascii="Century Gothic" w:eastAsia="Times New Roman" w:hAnsi="Century Gothic"/>
                <w:b/>
                <w:bCs/>
                <w:color w:val="000000" w:themeColor="text1"/>
                <w:lang w:eastAsia="en-US"/>
              </w:rPr>
            </w:pPr>
            <w:r w:rsidRPr="00855213">
              <w:rPr>
                <w:rFonts w:ascii="Century Gothic" w:eastAsia="Times New Roman" w:hAnsi="Century Gothic"/>
                <w:b/>
                <w:bCs/>
                <w:color w:val="000000" w:themeColor="text1"/>
                <w:lang w:eastAsia="en-US"/>
              </w:rPr>
              <w:t xml:space="preserve">   </w:t>
            </w:r>
            <w:r w:rsidR="2845EAFD" w:rsidRPr="00855213">
              <w:rPr>
                <w:rFonts w:ascii="Century Gothic" w:eastAsia="Times New Roman" w:hAnsi="Century Gothic"/>
                <w:b/>
                <w:bCs/>
                <w:color w:val="000000" w:themeColor="text1"/>
                <w:lang w:eastAsia="en-US"/>
              </w:rPr>
              <w:t>n/a</w:t>
            </w:r>
          </w:p>
        </w:tc>
        <w:tc>
          <w:tcPr>
            <w:tcW w:w="620" w:type="dxa"/>
            <w:tcBorders>
              <w:top w:val="nil"/>
              <w:left w:val="nil"/>
              <w:bottom w:val="single" w:sz="8" w:space="0" w:color="auto"/>
              <w:right w:val="single" w:sz="4" w:space="0" w:color="auto"/>
            </w:tcBorders>
            <w:shd w:val="clear" w:color="auto" w:fill="FFFFFF" w:themeFill="background1"/>
            <w:vAlign w:val="bottom"/>
            <w:hideMark/>
          </w:tcPr>
          <w:p w14:paraId="489D2FB7" w14:textId="51F99887" w:rsidR="00A45931" w:rsidRPr="00855213" w:rsidRDefault="00A45931" w:rsidP="00A45931">
            <w:pPr>
              <w:rPr>
                <w:rFonts w:ascii="Century Gothic" w:eastAsia="Times New Roman" w:hAnsi="Century Gothic"/>
                <w:b/>
                <w:color w:val="000000"/>
                <w:lang w:eastAsia="en-US"/>
              </w:rPr>
            </w:pPr>
            <w:r w:rsidRPr="00855213">
              <w:rPr>
                <w:rFonts w:ascii="Century Gothic" w:eastAsia="Times New Roman" w:hAnsi="Century Gothic"/>
                <w:b/>
                <w:color w:val="000000" w:themeColor="text1"/>
                <w:lang w:eastAsia="en-US"/>
              </w:rPr>
              <w:t>n/a</w:t>
            </w:r>
          </w:p>
        </w:tc>
        <w:tc>
          <w:tcPr>
            <w:tcW w:w="518" w:type="dxa"/>
            <w:tcBorders>
              <w:top w:val="nil"/>
              <w:left w:val="nil"/>
              <w:bottom w:val="single" w:sz="8" w:space="0" w:color="auto"/>
              <w:right w:val="single" w:sz="4" w:space="0" w:color="auto"/>
            </w:tcBorders>
            <w:shd w:val="clear" w:color="auto" w:fill="FFFFFF" w:themeFill="background1"/>
            <w:vAlign w:val="bottom"/>
            <w:hideMark/>
          </w:tcPr>
          <w:p w14:paraId="513C59C5"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n/a</w:t>
            </w:r>
          </w:p>
        </w:tc>
        <w:tc>
          <w:tcPr>
            <w:tcW w:w="654" w:type="dxa"/>
            <w:tcBorders>
              <w:top w:val="nil"/>
              <w:left w:val="nil"/>
              <w:bottom w:val="single" w:sz="8" w:space="0" w:color="auto"/>
              <w:right w:val="single" w:sz="4" w:space="0" w:color="auto"/>
            </w:tcBorders>
            <w:shd w:val="clear" w:color="auto" w:fill="FFFFFF" w:themeFill="background1"/>
            <w:vAlign w:val="bottom"/>
            <w:hideMark/>
          </w:tcPr>
          <w:p w14:paraId="134CAFB0" w14:textId="77777777" w:rsidR="00A45931" w:rsidRPr="00855213" w:rsidRDefault="00A45931" w:rsidP="00A45931">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58</w:t>
            </w:r>
          </w:p>
        </w:tc>
        <w:tc>
          <w:tcPr>
            <w:tcW w:w="518" w:type="dxa"/>
            <w:tcBorders>
              <w:top w:val="nil"/>
              <w:left w:val="nil"/>
              <w:bottom w:val="single" w:sz="8" w:space="0" w:color="auto"/>
              <w:right w:val="single" w:sz="4" w:space="0" w:color="auto"/>
            </w:tcBorders>
            <w:shd w:val="clear" w:color="auto" w:fill="FFFFFF" w:themeFill="background1"/>
            <w:noWrap/>
            <w:vAlign w:val="bottom"/>
            <w:hideMark/>
          </w:tcPr>
          <w:p w14:paraId="7FFCB399" w14:textId="77777777" w:rsidR="00A45931" w:rsidRPr="00855213" w:rsidRDefault="00A45931" w:rsidP="00A45931">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67</w:t>
            </w:r>
          </w:p>
        </w:tc>
        <w:tc>
          <w:tcPr>
            <w:tcW w:w="495" w:type="dxa"/>
            <w:tcBorders>
              <w:top w:val="nil"/>
              <w:left w:val="nil"/>
              <w:bottom w:val="single" w:sz="8" w:space="0" w:color="auto"/>
              <w:right w:val="single" w:sz="4" w:space="0" w:color="auto"/>
            </w:tcBorders>
            <w:shd w:val="clear" w:color="auto" w:fill="FFFFFF" w:themeFill="background1"/>
            <w:noWrap/>
            <w:vAlign w:val="bottom"/>
            <w:hideMark/>
          </w:tcPr>
          <w:p w14:paraId="1C82EB6C" w14:textId="77777777" w:rsidR="00A45931" w:rsidRPr="00855213" w:rsidRDefault="00A45931" w:rsidP="00A45931">
            <w:pPr>
              <w:jc w:val="right"/>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61</w:t>
            </w:r>
          </w:p>
        </w:tc>
        <w:tc>
          <w:tcPr>
            <w:tcW w:w="541" w:type="dxa"/>
            <w:tcBorders>
              <w:top w:val="nil"/>
              <w:left w:val="nil"/>
              <w:bottom w:val="single" w:sz="8" w:space="0" w:color="auto"/>
              <w:right w:val="single" w:sz="4" w:space="0" w:color="auto"/>
            </w:tcBorders>
            <w:shd w:val="clear" w:color="auto" w:fill="FFFFFF" w:themeFill="background1"/>
            <w:noWrap/>
            <w:vAlign w:val="bottom"/>
            <w:hideMark/>
          </w:tcPr>
          <w:p w14:paraId="658E4501"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w:t>
            </w:r>
          </w:p>
        </w:tc>
        <w:tc>
          <w:tcPr>
            <w:tcW w:w="473" w:type="dxa"/>
            <w:tcBorders>
              <w:top w:val="nil"/>
              <w:left w:val="nil"/>
              <w:bottom w:val="single" w:sz="8" w:space="0" w:color="auto"/>
              <w:right w:val="single" w:sz="4" w:space="0" w:color="auto"/>
            </w:tcBorders>
            <w:shd w:val="clear" w:color="auto" w:fill="FFFFFF" w:themeFill="background1"/>
            <w:noWrap/>
            <w:vAlign w:val="bottom"/>
            <w:hideMark/>
          </w:tcPr>
          <w:p w14:paraId="1DFA2F1A"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w:t>
            </w:r>
          </w:p>
        </w:tc>
        <w:tc>
          <w:tcPr>
            <w:tcW w:w="402" w:type="dxa"/>
            <w:tcBorders>
              <w:top w:val="nil"/>
              <w:left w:val="nil"/>
              <w:bottom w:val="single" w:sz="8" w:space="0" w:color="auto"/>
              <w:right w:val="single" w:sz="4" w:space="0" w:color="auto"/>
            </w:tcBorders>
            <w:shd w:val="clear" w:color="auto" w:fill="FFFFFF" w:themeFill="background1"/>
            <w:noWrap/>
            <w:vAlign w:val="bottom"/>
            <w:hideMark/>
          </w:tcPr>
          <w:p w14:paraId="21EDB5F7"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w:t>
            </w:r>
          </w:p>
        </w:tc>
        <w:tc>
          <w:tcPr>
            <w:tcW w:w="387" w:type="dxa"/>
            <w:tcBorders>
              <w:top w:val="nil"/>
              <w:left w:val="nil"/>
              <w:bottom w:val="single" w:sz="8" w:space="0" w:color="auto"/>
              <w:right w:val="single" w:sz="4" w:space="0" w:color="auto"/>
            </w:tcBorders>
            <w:shd w:val="clear" w:color="auto" w:fill="FFFFFF" w:themeFill="background1"/>
            <w:noWrap/>
            <w:vAlign w:val="bottom"/>
            <w:hideMark/>
          </w:tcPr>
          <w:p w14:paraId="376A7D14"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w:t>
            </w:r>
          </w:p>
        </w:tc>
        <w:tc>
          <w:tcPr>
            <w:tcW w:w="387" w:type="dxa"/>
            <w:tcBorders>
              <w:top w:val="nil"/>
              <w:left w:val="nil"/>
              <w:bottom w:val="single" w:sz="8" w:space="0" w:color="auto"/>
              <w:right w:val="single" w:sz="4" w:space="0" w:color="auto"/>
            </w:tcBorders>
            <w:shd w:val="clear" w:color="auto" w:fill="FFFFFF" w:themeFill="background1"/>
            <w:noWrap/>
            <w:vAlign w:val="bottom"/>
            <w:hideMark/>
          </w:tcPr>
          <w:p w14:paraId="0B4D3286"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w:t>
            </w:r>
          </w:p>
        </w:tc>
        <w:tc>
          <w:tcPr>
            <w:tcW w:w="387" w:type="dxa"/>
            <w:tcBorders>
              <w:top w:val="nil"/>
              <w:left w:val="nil"/>
              <w:bottom w:val="single" w:sz="8" w:space="0" w:color="auto"/>
              <w:right w:val="single" w:sz="4" w:space="0" w:color="auto"/>
            </w:tcBorders>
            <w:shd w:val="clear" w:color="auto" w:fill="FFFFFF" w:themeFill="background1"/>
            <w:noWrap/>
            <w:vAlign w:val="bottom"/>
            <w:hideMark/>
          </w:tcPr>
          <w:p w14:paraId="2B97F262"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w:t>
            </w:r>
          </w:p>
        </w:tc>
        <w:tc>
          <w:tcPr>
            <w:tcW w:w="387" w:type="dxa"/>
            <w:tcBorders>
              <w:top w:val="nil"/>
              <w:left w:val="nil"/>
              <w:bottom w:val="single" w:sz="8" w:space="0" w:color="auto"/>
              <w:right w:val="single" w:sz="8" w:space="0" w:color="auto"/>
            </w:tcBorders>
            <w:shd w:val="clear" w:color="auto" w:fill="FFFFFF" w:themeFill="background1"/>
            <w:noWrap/>
            <w:vAlign w:val="bottom"/>
            <w:hideMark/>
          </w:tcPr>
          <w:p w14:paraId="7F3A59D0" w14:textId="77777777" w:rsidR="00A45931" w:rsidRPr="00855213" w:rsidRDefault="00A45931" w:rsidP="00A45931">
            <w:pPr>
              <w:rPr>
                <w:rFonts w:ascii="Century Gothic" w:eastAsia="Times New Roman" w:hAnsi="Century Gothic"/>
                <w:b/>
                <w:bCs/>
                <w:color w:val="000000"/>
                <w:szCs w:val="22"/>
                <w:lang w:eastAsia="en-US"/>
              </w:rPr>
            </w:pPr>
            <w:r w:rsidRPr="00855213">
              <w:rPr>
                <w:rFonts w:ascii="Century Gothic" w:eastAsia="Times New Roman" w:hAnsi="Century Gothic"/>
                <w:b/>
                <w:bCs/>
                <w:color w:val="000000"/>
                <w:szCs w:val="22"/>
                <w:lang w:eastAsia="en-US"/>
              </w:rPr>
              <w:t> </w:t>
            </w:r>
          </w:p>
        </w:tc>
      </w:tr>
      <w:tr w:rsidR="005762BF" w:rsidRPr="006D6566" w14:paraId="563A95C9" w14:textId="77777777" w:rsidTr="5A58023C">
        <w:trPr>
          <w:trHeight w:val="540"/>
        </w:trPr>
        <w:tc>
          <w:tcPr>
            <w:tcW w:w="1610" w:type="dxa"/>
            <w:tcBorders>
              <w:top w:val="nil"/>
              <w:left w:val="single" w:sz="8" w:space="0" w:color="auto"/>
              <w:bottom w:val="single" w:sz="8" w:space="0" w:color="auto"/>
              <w:right w:val="single" w:sz="4" w:space="0" w:color="auto"/>
            </w:tcBorders>
            <w:shd w:val="clear" w:color="auto" w:fill="FFFFFF" w:themeFill="background1"/>
            <w:vAlign w:val="bottom"/>
            <w:hideMark/>
          </w:tcPr>
          <w:p w14:paraId="5D6096E4" w14:textId="79B24EA2" w:rsidR="57C5E83F" w:rsidRPr="00855213" w:rsidRDefault="0B454ECA" w:rsidP="7A144062">
            <w:pPr>
              <w:rPr>
                <w:rFonts w:ascii="Century Gothic" w:eastAsia="Times New Roman" w:hAnsi="Century Gothic"/>
                <w:color w:val="000000" w:themeColor="text1"/>
                <w:lang w:eastAsia="en-US"/>
              </w:rPr>
            </w:pPr>
            <w:r w:rsidRPr="00855213">
              <w:rPr>
                <w:rFonts w:ascii="Century Gothic" w:eastAsia="Times New Roman" w:hAnsi="Century Gothic"/>
                <w:color w:val="000000" w:themeColor="text1"/>
                <w:lang w:eastAsia="en-US"/>
              </w:rPr>
              <w:t>Average</w:t>
            </w:r>
          </w:p>
        </w:tc>
        <w:tc>
          <w:tcPr>
            <w:tcW w:w="810" w:type="dxa"/>
            <w:tcBorders>
              <w:top w:val="nil"/>
              <w:left w:val="nil"/>
              <w:bottom w:val="single" w:sz="8" w:space="0" w:color="auto"/>
              <w:right w:val="single" w:sz="4" w:space="0" w:color="auto"/>
            </w:tcBorders>
            <w:shd w:val="clear" w:color="auto" w:fill="FFFFFF" w:themeFill="background1"/>
            <w:vAlign w:val="bottom"/>
          </w:tcPr>
          <w:p w14:paraId="1509CC7E" w14:textId="25996229" w:rsidR="57C5E83F" w:rsidRPr="00855213" w:rsidRDefault="0B454ECA" w:rsidP="7A144062">
            <w:pPr>
              <w:rPr>
                <w:rFonts w:ascii="Century Gothic" w:eastAsia="Times New Roman" w:hAnsi="Century Gothic"/>
                <w:color w:val="000000" w:themeColor="text1"/>
                <w:lang w:eastAsia="en-US"/>
              </w:rPr>
            </w:pPr>
            <w:r w:rsidRPr="00855213">
              <w:rPr>
                <w:rFonts w:ascii="Century Gothic" w:eastAsia="Times New Roman" w:hAnsi="Century Gothic"/>
                <w:color w:val="000000" w:themeColor="text1"/>
                <w:lang w:eastAsia="en-US"/>
              </w:rPr>
              <w:t>76</w:t>
            </w:r>
          </w:p>
        </w:tc>
        <w:tc>
          <w:tcPr>
            <w:tcW w:w="565" w:type="dxa"/>
            <w:tcBorders>
              <w:top w:val="nil"/>
              <w:left w:val="nil"/>
              <w:bottom w:val="single" w:sz="8" w:space="0" w:color="auto"/>
              <w:right w:val="single" w:sz="4" w:space="0" w:color="auto"/>
            </w:tcBorders>
            <w:shd w:val="clear" w:color="auto" w:fill="FFFFFF" w:themeFill="background1"/>
            <w:vAlign w:val="bottom"/>
          </w:tcPr>
          <w:p w14:paraId="6E271991" w14:textId="7EF5EAC4" w:rsidR="4FD73E00" w:rsidRPr="00855213" w:rsidRDefault="4FD73E00" w:rsidP="4FD73E00">
            <w:pPr>
              <w:rPr>
                <w:rFonts w:ascii="Century Gothic" w:eastAsia="Times New Roman" w:hAnsi="Century Gothic"/>
                <w:b/>
                <w:bCs/>
                <w:color w:val="000000" w:themeColor="text1"/>
                <w:lang w:eastAsia="en-US"/>
              </w:rPr>
            </w:pPr>
          </w:p>
        </w:tc>
        <w:tc>
          <w:tcPr>
            <w:tcW w:w="1253" w:type="dxa"/>
            <w:tcBorders>
              <w:top w:val="nil"/>
              <w:left w:val="nil"/>
              <w:bottom w:val="single" w:sz="8" w:space="0" w:color="auto"/>
              <w:right w:val="single" w:sz="4" w:space="0" w:color="auto"/>
            </w:tcBorders>
            <w:shd w:val="clear" w:color="auto" w:fill="FFFFFF" w:themeFill="background1"/>
            <w:vAlign w:val="bottom"/>
          </w:tcPr>
          <w:p w14:paraId="7C182CE0" w14:textId="7FCB9AE2" w:rsidR="4FD73E00" w:rsidRPr="00855213" w:rsidRDefault="4FD73E00" w:rsidP="4FD73E00">
            <w:pPr>
              <w:rPr>
                <w:rFonts w:ascii="Century Gothic" w:eastAsia="Times New Roman" w:hAnsi="Century Gothic"/>
                <w:b/>
                <w:bCs/>
                <w:color w:val="000000" w:themeColor="text1"/>
                <w:lang w:eastAsia="en-US"/>
              </w:rPr>
            </w:pPr>
          </w:p>
        </w:tc>
        <w:tc>
          <w:tcPr>
            <w:tcW w:w="795" w:type="dxa"/>
            <w:tcBorders>
              <w:top w:val="nil"/>
              <w:left w:val="nil"/>
              <w:bottom w:val="single" w:sz="8" w:space="0" w:color="auto"/>
              <w:right w:val="single" w:sz="4" w:space="0" w:color="auto"/>
            </w:tcBorders>
            <w:shd w:val="clear" w:color="auto" w:fill="FFFFFF" w:themeFill="background1"/>
            <w:vAlign w:val="bottom"/>
            <w:hideMark/>
          </w:tcPr>
          <w:p w14:paraId="759F0EFD" w14:textId="4AEE0398" w:rsidR="4FD73E00" w:rsidRPr="00855213" w:rsidRDefault="4FD73E00" w:rsidP="4FD73E00">
            <w:pPr>
              <w:rPr>
                <w:rFonts w:ascii="Century Gothic" w:eastAsia="Times New Roman" w:hAnsi="Century Gothic"/>
                <w:b/>
                <w:bCs/>
                <w:color w:val="000000" w:themeColor="text1"/>
                <w:lang w:eastAsia="en-US"/>
              </w:rPr>
            </w:pPr>
          </w:p>
        </w:tc>
        <w:tc>
          <w:tcPr>
            <w:tcW w:w="620" w:type="dxa"/>
            <w:tcBorders>
              <w:top w:val="nil"/>
              <w:left w:val="nil"/>
              <w:bottom w:val="single" w:sz="8" w:space="0" w:color="auto"/>
              <w:right w:val="single" w:sz="4" w:space="0" w:color="auto"/>
            </w:tcBorders>
            <w:shd w:val="clear" w:color="auto" w:fill="FFFFFF" w:themeFill="background1"/>
            <w:vAlign w:val="bottom"/>
            <w:hideMark/>
          </w:tcPr>
          <w:p w14:paraId="523585BC" w14:textId="5F3A9F98" w:rsidR="4FD73E00" w:rsidRPr="00855213" w:rsidRDefault="4FD73E00" w:rsidP="4FD73E00">
            <w:pPr>
              <w:rPr>
                <w:rFonts w:ascii="Century Gothic" w:eastAsia="Times New Roman" w:hAnsi="Century Gothic"/>
                <w:b/>
                <w:bCs/>
                <w:color w:val="000000" w:themeColor="text1"/>
                <w:lang w:eastAsia="en-US"/>
              </w:rPr>
            </w:pPr>
          </w:p>
        </w:tc>
        <w:tc>
          <w:tcPr>
            <w:tcW w:w="518" w:type="dxa"/>
            <w:tcBorders>
              <w:top w:val="nil"/>
              <w:left w:val="nil"/>
              <w:bottom w:val="single" w:sz="8" w:space="0" w:color="auto"/>
              <w:right w:val="single" w:sz="4" w:space="0" w:color="auto"/>
            </w:tcBorders>
            <w:shd w:val="clear" w:color="auto" w:fill="FFFFFF" w:themeFill="background1"/>
            <w:vAlign w:val="bottom"/>
            <w:hideMark/>
          </w:tcPr>
          <w:p w14:paraId="20D91F3F" w14:textId="05C6578C" w:rsidR="4FD73E00" w:rsidRPr="00855213" w:rsidRDefault="4FD73E00" w:rsidP="4FD73E00">
            <w:pPr>
              <w:rPr>
                <w:rFonts w:ascii="Century Gothic" w:eastAsia="Times New Roman" w:hAnsi="Century Gothic"/>
                <w:b/>
                <w:bCs/>
                <w:color w:val="000000" w:themeColor="text1"/>
                <w:lang w:eastAsia="en-US"/>
              </w:rPr>
            </w:pPr>
          </w:p>
        </w:tc>
        <w:tc>
          <w:tcPr>
            <w:tcW w:w="654" w:type="dxa"/>
            <w:tcBorders>
              <w:top w:val="nil"/>
              <w:left w:val="nil"/>
              <w:bottom w:val="single" w:sz="8" w:space="0" w:color="auto"/>
              <w:right w:val="single" w:sz="4" w:space="0" w:color="auto"/>
            </w:tcBorders>
            <w:shd w:val="clear" w:color="auto" w:fill="FFFFFF" w:themeFill="background1"/>
            <w:vAlign w:val="bottom"/>
            <w:hideMark/>
          </w:tcPr>
          <w:p w14:paraId="72DDF35A" w14:textId="10EDBD71" w:rsidR="4FD73E00" w:rsidRPr="00855213" w:rsidRDefault="4FD73E00" w:rsidP="4FD73E00">
            <w:pPr>
              <w:jc w:val="right"/>
              <w:rPr>
                <w:rFonts w:ascii="Century Gothic" w:eastAsia="Times New Roman" w:hAnsi="Century Gothic"/>
                <w:b/>
                <w:bCs/>
                <w:color w:val="000000" w:themeColor="text1"/>
                <w:lang w:eastAsia="en-US"/>
              </w:rPr>
            </w:pPr>
          </w:p>
        </w:tc>
        <w:tc>
          <w:tcPr>
            <w:tcW w:w="518" w:type="dxa"/>
            <w:tcBorders>
              <w:top w:val="nil"/>
              <w:left w:val="nil"/>
              <w:bottom w:val="single" w:sz="8" w:space="0" w:color="auto"/>
              <w:right w:val="single" w:sz="4" w:space="0" w:color="auto"/>
            </w:tcBorders>
            <w:shd w:val="clear" w:color="auto" w:fill="FFFFFF" w:themeFill="background1"/>
            <w:noWrap/>
            <w:vAlign w:val="bottom"/>
            <w:hideMark/>
          </w:tcPr>
          <w:p w14:paraId="120226B2" w14:textId="5A16A624" w:rsidR="4FD73E00" w:rsidRPr="00855213" w:rsidRDefault="4FD73E00" w:rsidP="4FD73E00">
            <w:pPr>
              <w:jc w:val="right"/>
              <w:rPr>
                <w:rFonts w:ascii="Century Gothic" w:eastAsia="Times New Roman" w:hAnsi="Century Gothic"/>
                <w:b/>
                <w:bCs/>
                <w:color w:val="000000" w:themeColor="text1"/>
                <w:lang w:eastAsia="en-US"/>
              </w:rPr>
            </w:pPr>
          </w:p>
        </w:tc>
        <w:tc>
          <w:tcPr>
            <w:tcW w:w="495" w:type="dxa"/>
            <w:tcBorders>
              <w:top w:val="nil"/>
              <w:left w:val="nil"/>
              <w:bottom w:val="single" w:sz="8" w:space="0" w:color="auto"/>
              <w:right w:val="single" w:sz="4" w:space="0" w:color="auto"/>
            </w:tcBorders>
            <w:shd w:val="clear" w:color="auto" w:fill="FFFFFF" w:themeFill="background1"/>
            <w:noWrap/>
            <w:vAlign w:val="bottom"/>
            <w:hideMark/>
          </w:tcPr>
          <w:p w14:paraId="5245CEB4" w14:textId="64DC30C9" w:rsidR="4FD73E00" w:rsidRPr="00855213" w:rsidRDefault="4FD73E00" w:rsidP="4FD73E00">
            <w:pPr>
              <w:jc w:val="right"/>
              <w:rPr>
                <w:rFonts w:ascii="Century Gothic" w:eastAsia="Times New Roman" w:hAnsi="Century Gothic"/>
                <w:b/>
                <w:bCs/>
                <w:color w:val="000000" w:themeColor="text1"/>
                <w:lang w:eastAsia="en-US"/>
              </w:rPr>
            </w:pPr>
          </w:p>
        </w:tc>
        <w:tc>
          <w:tcPr>
            <w:tcW w:w="541" w:type="dxa"/>
            <w:tcBorders>
              <w:top w:val="nil"/>
              <w:left w:val="nil"/>
              <w:bottom w:val="single" w:sz="8" w:space="0" w:color="auto"/>
              <w:right w:val="single" w:sz="4" w:space="0" w:color="auto"/>
            </w:tcBorders>
            <w:shd w:val="clear" w:color="auto" w:fill="FFFFFF" w:themeFill="background1"/>
            <w:noWrap/>
            <w:vAlign w:val="bottom"/>
            <w:hideMark/>
          </w:tcPr>
          <w:p w14:paraId="7F1E67BB" w14:textId="1D7C3E49" w:rsidR="4FD73E00" w:rsidRPr="00855213" w:rsidRDefault="4FD73E00" w:rsidP="4FD73E00">
            <w:pPr>
              <w:rPr>
                <w:rFonts w:ascii="Century Gothic" w:eastAsia="Times New Roman" w:hAnsi="Century Gothic"/>
                <w:b/>
                <w:bCs/>
                <w:color w:val="000000" w:themeColor="text1"/>
                <w:lang w:eastAsia="en-US"/>
              </w:rPr>
            </w:pPr>
          </w:p>
        </w:tc>
        <w:tc>
          <w:tcPr>
            <w:tcW w:w="473" w:type="dxa"/>
            <w:tcBorders>
              <w:top w:val="nil"/>
              <w:left w:val="nil"/>
              <w:bottom w:val="single" w:sz="8" w:space="0" w:color="auto"/>
              <w:right w:val="single" w:sz="4" w:space="0" w:color="auto"/>
            </w:tcBorders>
            <w:shd w:val="clear" w:color="auto" w:fill="FFFFFF" w:themeFill="background1"/>
            <w:noWrap/>
            <w:vAlign w:val="bottom"/>
            <w:hideMark/>
          </w:tcPr>
          <w:p w14:paraId="7445183E" w14:textId="539194A3" w:rsidR="4FD73E00" w:rsidRPr="00855213" w:rsidRDefault="4FD73E00" w:rsidP="4FD73E00">
            <w:pPr>
              <w:rPr>
                <w:rFonts w:ascii="Century Gothic" w:eastAsia="Times New Roman" w:hAnsi="Century Gothic"/>
                <w:b/>
                <w:bCs/>
                <w:color w:val="000000" w:themeColor="text1"/>
                <w:lang w:eastAsia="en-US"/>
              </w:rPr>
            </w:pPr>
          </w:p>
        </w:tc>
        <w:tc>
          <w:tcPr>
            <w:tcW w:w="402" w:type="dxa"/>
            <w:tcBorders>
              <w:top w:val="nil"/>
              <w:left w:val="nil"/>
              <w:bottom w:val="single" w:sz="8" w:space="0" w:color="auto"/>
              <w:right w:val="single" w:sz="4" w:space="0" w:color="auto"/>
            </w:tcBorders>
            <w:shd w:val="clear" w:color="auto" w:fill="FFFFFF" w:themeFill="background1"/>
            <w:noWrap/>
            <w:vAlign w:val="bottom"/>
            <w:hideMark/>
          </w:tcPr>
          <w:p w14:paraId="6B31C562" w14:textId="55BCB46F" w:rsidR="4FD73E00" w:rsidRPr="00855213" w:rsidRDefault="4FD73E00" w:rsidP="4FD73E00">
            <w:pPr>
              <w:rPr>
                <w:rFonts w:ascii="Century Gothic" w:eastAsia="Times New Roman" w:hAnsi="Century Gothic"/>
                <w:b/>
                <w:bCs/>
                <w:color w:val="000000" w:themeColor="text1"/>
                <w:lang w:eastAsia="en-US"/>
              </w:rPr>
            </w:pPr>
          </w:p>
        </w:tc>
        <w:tc>
          <w:tcPr>
            <w:tcW w:w="387" w:type="dxa"/>
            <w:tcBorders>
              <w:top w:val="nil"/>
              <w:left w:val="nil"/>
              <w:bottom w:val="single" w:sz="8" w:space="0" w:color="auto"/>
              <w:right w:val="single" w:sz="4" w:space="0" w:color="auto"/>
            </w:tcBorders>
            <w:shd w:val="clear" w:color="auto" w:fill="FFFFFF" w:themeFill="background1"/>
            <w:noWrap/>
            <w:vAlign w:val="bottom"/>
            <w:hideMark/>
          </w:tcPr>
          <w:p w14:paraId="60863AA0" w14:textId="33DF056D" w:rsidR="4FD73E00" w:rsidRPr="00855213" w:rsidRDefault="4FD73E00" w:rsidP="4FD73E00">
            <w:pPr>
              <w:rPr>
                <w:rFonts w:ascii="Century Gothic" w:eastAsia="Times New Roman" w:hAnsi="Century Gothic"/>
                <w:b/>
                <w:bCs/>
                <w:color w:val="000000" w:themeColor="text1"/>
                <w:lang w:eastAsia="en-US"/>
              </w:rPr>
            </w:pPr>
          </w:p>
        </w:tc>
        <w:tc>
          <w:tcPr>
            <w:tcW w:w="387" w:type="dxa"/>
            <w:tcBorders>
              <w:top w:val="nil"/>
              <w:left w:val="nil"/>
              <w:bottom w:val="single" w:sz="8" w:space="0" w:color="auto"/>
              <w:right w:val="single" w:sz="4" w:space="0" w:color="auto"/>
            </w:tcBorders>
            <w:shd w:val="clear" w:color="auto" w:fill="FFFFFF" w:themeFill="background1"/>
            <w:noWrap/>
            <w:vAlign w:val="bottom"/>
            <w:hideMark/>
          </w:tcPr>
          <w:p w14:paraId="55F7A51B" w14:textId="7CFBA185" w:rsidR="4FD73E00" w:rsidRPr="00855213" w:rsidRDefault="4FD73E00" w:rsidP="4FD73E00">
            <w:pPr>
              <w:rPr>
                <w:rFonts w:ascii="Century Gothic" w:eastAsia="Times New Roman" w:hAnsi="Century Gothic"/>
                <w:b/>
                <w:bCs/>
                <w:color w:val="000000" w:themeColor="text1"/>
                <w:lang w:eastAsia="en-US"/>
              </w:rPr>
            </w:pPr>
          </w:p>
        </w:tc>
        <w:tc>
          <w:tcPr>
            <w:tcW w:w="387" w:type="dxa"/>
            <w:tcBorders>
              <w:top w:val="nil"/>
              <w:left w:val="nil"/>
              <w:bottom w:val="single" w:sz="8" w:space="0" w:color="auto"/>
              <w:right w:val="single" w:sz="4" w:space="0" w:color="auto"/>
            </w:tcBorders>
            <w:shd w:val="clear" w:color="auto" w:fill="FFFFFF" w:themeFill="background1"/>
            <w:noWrap/>
            <w:vAlign w:val="bottom"/>
            <w:hideMark/>
          </w:tcPr>
          <w:p w14:paraId="70492851" w14:textId="2DBAB8F4" w:rsidR="4FD73E00" w:rsidRPr="00855213" w:rsidRDefault="4FD73E00" w:rsidP="4FD73E00">
            <w:pPr>
              <w:rPr>
                <w:rFonts w:ascii="Century Gothic" w:eastAsia="Times New Roman" w:hAnsi="Century Gothic"/>
                <w:b/>
                <w:bCs/>
                <w:color w:val="000000" w:themeColor="text1"/>
                <w:lang w:eastAsia="en-US"/>
              </w:rPr>
            </w:pPr>
          </w:p>
        </w:tc>
        <w:tc>
          <w:tcPr>
            <w:tcW w:w="387" w:type="dxa"/>
            <w:tcBorders>
              <w:top w:val="nil"/>
              <w:left w:val="nil"/>
              <w:bottom w:val="single" w:sz="8" w:space="0" w:color="auto"/>
              <w:right w:val="single" w:sz="8" w:space="0" w:color="auto"/>
            </w:tcBorders>
            <w:shd w:val="clear" w:color="auto" w:fill="FFFFFF" w:themeFill="background1"/>
            <w:noWrap/>
            <w:vAlign w:val="bottom"/>
            <w:hideMark/>
          </w:tcPr>
          <w:p w14:paraId="1D5567A3" w14:textId="052F35F4" w:rsidR="4FD73E00" w:rsidRPr="00855213" w:rsidRDefault="4FD73E00" w:rsidP="4FD73E00">
            <w:pPr>
              <w:rPr>
                <w:rFonts w:ascii="Century Gothic" w:eastAsia="Times New Roman" w:hAnsi="Century Gothic"/>
                <w:b/>
                <w:bCs/>
                <w:color w:val="000000" w:themeColor="text1"/>
                <w:lang w:eastAsia="en-US"/>
              </w:rPr>
            </w:pPr>
          </w:p>
        </w:tc>
      </w:tr>
    </w:tbl>
    <w:p w14:paraId="2444B2E4" w14:textId="1F70C87E" w:rsidR="00A05C67" w:rsidRPr="00855213" w:rsidRDefault="7D2E3DA2" w:rsidP="4566E4F4">
      <w:pPr>
        <w:rPr>
          <w:rFonts w:ascii="Century Gothic" w:hAnsi="Century Gothic"/>
        </w:rPr>
      </w:pPr>
      <w:r w:rsidRPr="00855213">
        <w:rPr>
          <w:rFonts w:ascii="Century Gothic" w:hAnsi="Century Gothic"/>
        </w:rPr>
        <w:t>*S</w:t>
      </w:r>
      <w:r w:rsidR="3DAB8F2E" w:rsidRPr="00855213">
        <w:rPr>
          <w:rFonts w:ascii="Century Gothic" w:hAnsi="Century Gothic"/>
        </w:rPr>
        <w:t>core</w:t>
      </w:r>
      <w:r w:rsidR="4452EDA5" w:rsidRPr="00855213">
        <w:rPr>
          <w:rFonts w:ascii="Century Gothic" w:hAnsi="Century Gothic"/>
        </w:rPr>
        <w:t>s</w:t>
      </w:r>
      <w:r w:rsidR="3DAB8F2E" w:rsidRPr="00855213">
        <w:rPr>
          <w:rFonts w:ascii="Century Gothic" w:hAnsi="Century Gothic"/>
        </w:rPr>
        <w:t xml:space="preserve"> are based on </w:t>
      </w:r>
      <w:r w:rsidR="0E685B4F" w:rsidRPr="00855213">
        <w:rPr>
          <w:rFonts w:ascii="Century Gothic" w:hAnsi="Century Gothic"/>
        </w:rPr>
        <w:t>REAC</w:t>
      </w:r>
      <w:r w:rsidR="3DAB8F2E" w:rsidRPr="00855213">
        <w:rPr>
          <w:rFonts w:ascii="Century Gothic" w:hAnsi="Century Gothic"/>
        </w:rPr>
        <w:t xml:space="preserve"> Inspection</w:t>
      </w:r>
      <w:r w:rsidR="62B37BB5" w:rsidRPr="00855213">
        <w:rPr>
          <w:rFonts w:ascii="Century Gothic" w:hAnsi="Century Gothic"/>
        </w:rPr>
        <w:t>s</w:t>
      </w:r>
      <w:r w:rsidR="3DAB8F2E" w:rsidRPr="00855213">
        <w:rPr>
          <w:rFonts w:ascii="Century Gothic" w:hAnsi="Century Gothic"/>
        </w:rPr>
        <w:t xml:space="preserve">. </w:t>
      </w:r>
    </w:p>
    <w:p w14:paraId="654E72A7" w14:textId="2490BA61" w:rsidR="00760708" w:rsidRPr="00855213" w:rsidRDefault="729B6835" w:rsidP="4566E4F4">
      <w:pPr>
        <w:rPr>
          <w:rFonts w:ascii="Century Gothic" w:hAnsi="Century Gothic"/>
        </w:rPr>
      </w:pPr>
      <w:r w:rsidRPr="00855213">
        <w:rPr>
          <w:rFonts w:ascii="Century Gothic" w:hAnsi="Century Gothic"/>
        </w:rPr>
        <w:t xml:space="preserve">** Scores are based on </w:t>
      </w:r>
      <w:r w:rsidR="0DBCAB98" w:rsidRPr="00855213">
        <w:rPr>
          <w:rFonts w:ascii="Century Gothic" w:hAnsi="Century Gothic"/>
        </w:rPr>
        <w:t>USIG</w:t>
      </w:r>
      <w:r w:rsidRPr="00855213">
        <w:rPr>
          <w:rFonts w:ascii="Century Gothic" w:hAnsi="Century Gothic"/>
        </w:rPr>
        <w:t xml:space="preserve"> inspections</w:t>
      </w:r>
    </w:p>
    <w:p w14:paraId="1264C0A6" w14:textId="123203AC" w:rsidR="2EBA3B41" w:rsidRPr="00855213" w:rsidRDefault="2EBA3B41" w:rsidP="4566E4F4">
      <w:pPr>
        <w:rPr>
          <w:rFonts w:ascii="Century Gothic" w:eastAsia="MS PGothic" w:hAnsi="Century Gothic"/>
          <w:szCs w:val="22"/>
        </w:rPr>
      </w:pPr>
      <w:r w:rsidRPr="00855213">
        <w:rPr>
          <w:rFonts w:ascii="Century Gothic" w:eastAsia="MS PGothic" w:hAnsi="Century Gothic"/>
          <w:szCs w:val="22"/>
        </w:rPr>
        <w:t xml:space="preserve">*** N/A </w:t>
      </w:r>
    </w:p>
    <w:p w14:paraId="784F7C5E" w14:textId="2CB6D0F5" w:rsidR="655A2699" w:rsidRPr="00855213" w:rsidRDefault="655A2699">
      <w:pPr>
        <w:rPr>
          <w:rFonts w:ascii="Century Gothic" w:hAnsi="Century Gothic"/>
        </w:rPr>
      </w:pPr>
      <w:r w:rsidRPr="00855213">
        <w:rPr>
          <w:rFonts w:ascii="Century Gothic" w:hAnsi="Century Gothic"/>
        </w:rPr>
        <w:br w:type="page"/>
      </w:r>
    </w:p>
    <w:p w14:paraId="5D782442" w14:textId="0240EEAE" w:rsidR="00C237E2" w:rsidRPr="00855213" w:rsidRDefault="0BFB9242" w:rsidP="00916A8B">
      <w:pPr>
        <w:pStyle w:val="MTWHeader2"/>
        <w:rPr>
          <w:rFonts w:ascii="Century Gothic" w:hAnsi="Century Gothic" w:cs="Times New Roman"/>
          <w:sz w:val="22"/>
          <w:szCs w:val="22"/>
        </w:rPr>
      </w:pPr>
      <w:bookmarkStart w:id="390" w:name="_Toc89871206"/>
      <w:r w:rsidRPr="00855213">
        <w:rPr>
          <w:rFonts w:ascii="Century Gothic" w:hAnsi="Century Gothic" w:cs="Times New Roman"/>
          <w:sz w:val="22"/>
          <w:szCs w:val="22"/>
        </w:rPr>
        <w:lastRenderedPageBreak/>
        <w:t>A</w:t>
      </w:r>
      <w:r w:rsidR="59D9533A" w:rsidRPr="00855213">
        <w:rPr>
          <w:rFonts w:ascii="Century Gothic" w:hAnsi="Century Gothic" w:cs="Times New Roman"/>
          <w:sz w:val="22"/>
          <w:szCs w:val="22"/>
        </w:rPr>
        <w:t xml:space="preserve">ppendix 9: </w:t>
      </w:r>
      <w:r w:rsidR="66E6A9BD" w:rsidRPr="00855213">
        <w:rPr>
          <w:rFonts w:ascii="Century Gothic" w:hAnsi="Century Gothic" w:cs="Times New Roman"/>
          <w:sz w:val="22"/>
          <w:szCs w:val="22"/>
        </w:rPr>
        <w:t xml:space="preserve">Work Orders, FY09 to </w:t>
      </w:r>
      <w:r w:rsidR="7BD3CD5A" w:rsidRPr="00855213">
        <w:rPr>
          <w:rFonts w:ascii="Century Gothic" w:hAnsi="Century Gothic" w:cs="Times New Roman"/>
          <w:sz w:val="22"/>
          <w:szCs w:val="22"/>
        </w:rPr>
        <w:t>Present</w:t>
      </w:r>
      <w:r w:rsidR="020469C6" w:rsidRPr="00855213">
        <w:rPr>
          <w:rFonts w:ascii="Century Gothic" w:hAnsi="Century Gothic" w:cs="Times New Roman"/>
          <w:sz w:val="22"/>
          <w:szCs w:val="22"/>
        </w:rPr>
        <w:t xml:space="preserve"> – Completed Work Orders</w:t>
      </w:r>
      <w:bookmarkEnd w:id="390"/>
    </w:p>
    <w:tbl>
      <w:tblPr>
        <w:tblW w:w="10790" w:type="dxa"/>
        <w:tblLook w:val="04A0" w:firstRow="1" w:lastRow="0" w:firstColumn="1" w:lastColumn="0" w:noHBand="0" w:noVBand="1"/>
      </w:tblPr>
      <w:tblGrid>
        <w:gridCol w:w="1646"/>
        <w:gridCol w:w="251"/>
        <w:gridCol w:w="963"/>
        <w:gridCol w:w="895"/>
        <w:gridCol w:w="296"/>
        <w:gridCol w:w="913"/>
        <w:gridCol w:w="1044"/>
        <w:gridCol w:w="885"/>
        <w:gridCol w:w="990"/>
        <w:gridCol w:w="721"/>
        <w:gridCol w:w="715"/>
        <w:gridCol w:w="715"/>
        <w:gridCol w:w="756"/>
      </w:tblGrid>
      <w:tr w:rsidR="00E301F5" w:rsidRPr="006D6566" w14:paraId="52D15A4D" w14:textId="77777777" w:rsidTr="00855213">
        <w:trPr>
          <w:trHeight w:val="315"/>
        </w:trPr>
        <w:tc>
          <w:tcPr>
            <w:tcW w:w="1646" w:type="dxa"/>
            <w:tcBorders>
              <w:top w:val="nil"/>
              <w:left w:val="nil"/>
              <w:bottom w:val="single" w:sz="8" w:space="0" w:color="auto"/>
              <w:right w:val="single" w:sz="8" w:space="0" w:color="000000" w:themeColor="text1"/>
            </w:tcBorders>
            <w:shd w:val="clear" w:color="auto" w:fill="CD98C0" w:themeFill="accent5" w:themeFillTint="66"/>
          </w:tcPr>
          <w:p w14:paraId="16163DCE" w14:textId="77777777" w:rsidR="00E301F5" w:rsidRPr="00855213" w:rsidRDefault="00E301F5" w:rsidP="00A45931">
            <w:pPr>
              <w:jc w:val="center"/>
              <w:rPr>
                <w:rFonts w:ascii="Century Gothic" w:eastAsia="Times New Roman" w:hAnsi="Century Gothic"/>
                <w:b/>
                <w:bCs/>
                <w:color w:val="000000"/>
                <w:sz w:val="20"/>
                <w:szCs w:val="20"/>
                <w:lang w:eastAsia="en-US"/>
              </w:rPr>
            </w:pPr>
          </w:p>
        </w:tc>
        <w:tc>
          <w:tcPr>
            <w:tcW w:w="2109" w:type="dxa"/>
            <w:gridSpan w:val="3"/>
            <w:tcBorders>
              <w:top w:val="nil"/>
              <w:left w:val="nil"/>
              <w:bottom w:val="single" w:sz="8" w:space="0" w:color="auto"/>
              <w:right w:val="nil"/>
            </w:tcBorders>
            <w:shd w:val="clear" w:color="auto" w:fill="CD98C0" w:themeFill="accent5" w:themeFillTint="66"/>
          </w:tcPr>
          <w:p w14:paraId="2E349CC2" w14:textId="77777777" w:rsidR="008229EE" w:rsidRPr="00855213" w:rsidRDefault="008229EE">
            <w:pPr>
              <w:rPr>
                <w:rFonts w:ascii="Century Gothic" w:hAnsi="Century Gothic"/>
              </w:rPr>
            </w:pPr>
          </w:p>
        </w:tc>
        <w:tc>
          <w:tcPr>
            <w:tcW w:w="7035" w:type="dxa"/>
            <w:gridSpan w:val="9"/>
            <w:tcBorders>
              <w:top w:val="nil"/>
              <w:left w:val="nil"/>
              <w:bottom w:val="single" w:sz="8" w:space="0" w:color="auto"/>
              <w:right w:val="single" w:sz="8" w:space="0" w:color="000000" w:themeColor="text1"/>
            </w:tcBorders>
            <w:shd w:val="clear" w:color="auto" w:fill="CD98C0" w:themeFill="accent5" w:themeFillTint="66"/>
            <w:vAlign w:val="bottom"/>
          </w:tcPr>
          <w:p w14:paraId="3ED844C2" w14:textId="4EA16AD5" w:rsidR="00E301F5" w:rsidRPr="00855213" w:rsidRDefault="00E301F5">
            <w:pPr>
              <w:rPr>
                <w:rFonts w:ascii="Century Gothic" w:hAnsi="Century Gothic"/>
              </w:rPr>
            </w:pPr>
          </w:p>
        </w:tc>
      </w:tr>
      <w:tr w:rsidR="00621390" w:rsidRPr="006D6566" w14:paraId="327C178D" w14:textId="77777777" w:rsidTr="00855213">
        <w:trPr>
          <w:trHeight w:val="1350"/>
        </w:trPr>
        <w:tc>
          <w:tcPr>
            <w:tcW w:w="1897" w:type="dxa"/>
            <w:gridSpan w:val="2"/>
            <w:tcBorders>
              <w:top w:val="nil"/>
              <w:left w:val="single" w:sz="8" w:space="0" w:color="auto"/>
              <w:bottom w:val="single" w:sz="8" w:space="0" w:color="auto"/>
              <w:right w:val="single" w:sz="4" w:space="0" w:color="auto"/>
            </w:tcBorders>
            <w:shd w:val="clear" w:color="auto" w:fill="E6CBDF" w:themeFill="accent5" w:themeFillTint="33"/>
            <w:noWrap/>
            <w:vAlign w:val="bottom"/>
            <w:hideMark/>
          </w:tcPr>
          <w:p w14:paraId="44822373" w14:textId="77777777" w:rsidR="00E301F5" w:rsidRPr="00855213" w:rsidRDefault="00E301F5" w:rsidP="00A45931">
            <w:pPr>
              <w:rPr>
                <w:rFonts w:ascii="Century Gothic" w:eastAsia="Times New Roman" w:hAnsi="Century Gothic"/>
                <w:b/>
                <w:bCs/>
                <w:color w:val="000000"/>
                <w:sz w:val="20"/>
                <w:szCs w:val="20"/>
                <w:lang w:eastAsia="en-US"/>
              </w:rPr>
            </w:pPr>
            <w:r w:rsidRPr="00855213">
              <w:rPr>
                <w:rFonts w:ascii="Century Gothic" w:eastAsia="Times New Roman" w:hAnsi="Century Gothic"/>
                <w:b/>
                <w:bCs/>
                <w:color w:val="000000"/>
                <w:sz w:val="20"/>
                <w:szCs w:val="20"/>
                <w:lang w:eastAsia="en-US"/>
              </w:rPr>
              <w:t>Development</w:t>
            </w:r>
          </w:p>
        </w:tc>
        <w:tc>
          <w:tcPr>
            <w:tcW w:w="963" w:type="dxa"/>
            <w:tcBorders>
              <w:top w:val="single" w:sz="4" w:space="0" w:color="auto"/>
              <w:left w:val="single" w:sz="4" w:space="0" w:color="auto"/>
              <w:bottom w:val="single" w:sz="8" w:space="0" w:color="auto"/>
              <w:right w:val="single" w:sz="4" w:space="0" w:color="auto"/>
            </w:tcBorders>
            <w:shd w:val="clear" w:color="auto" w:fill="E6CBDF" w:themeFill="accent5" w:themeFillTint="33"/>
          </w:tcPr>
          <w:p w14:paraId="0BD4BD77" w14:textId="1005FB81" w:rsidR="6847EBFD" w:rsidRPr="00855213" w:rsidRDefault="6847EBFD" w:rsidP="6847EBFD">
            <w:pPr>
              <w:jc w:val="center"/>
              <w:rPr>
                <w:rFonts w:ascii="Century Gothic" w:eastAsia="MS PGothic" w:hAnsi="Century Gothic"/>
                <w:b/>
                <w:bCs/>
                <w:color w:val="000000" w:themeColor="text1"/>
                <w:sz w:val="20"/>
                <w:szCs w:val="20"/>
                <w:lang w:eastAsia="en-US"/>
              </w:rPr>
            </w:pPr>
          </w:p>
          <w:p w14:paraId="75C0733F" w14:textId="6CF586A9" w:rsidR="6847EBFD" w:rsidRPr="00855213" w:rsidRDefault="6847EBFD" w:rsidP="6847EBFD">
            <w:pPr>
              <w:jc w:val="center"/>
              <w:rPr>
                <w:rFonts w:ascii="Century Gothic" w:eastAsia="MS PGothic" w:hAnsi="Century Gothic"/>
                <w:b/>
                <w:bCs/>
                <w:color w:val="000000" w:themeColor="text1"/>
                <w:sz w:val="20"/>
                <w:szCs w:val="20"/>
                <w:lang w:eastAsia="en-US"/>
              </w:rPr>
            </w:pPr>
          </w:p>
          <w:p w14:paraId="6AAE122C" w14:textId="17D5076B" w:rsidR="6A29BF05" w:rsidRPr="00855213" w:rsidRDefault="6A29BF05" w:rsidP="2D03861B">
            <w:pPr>
              <w:jc w:val="center"/>
              <w:rPr>
                <w:rFonts w:ascii="Century Gothic" w:eastAsia="MS PGothic" w:hAnsi="Century Gothic"/>
                <w:b/>
                <w:bCs/>
                <w:color w:val="000000" w:themeColor="text1"/>
                <w:sz w:val="20"/>
                <w:szCs w:val="20"/>
                <w:lang w:eastAsia="en-US"/>
              </w:rPr>
            </w:pPr>
            <w:r w:rsidRPr="00855213">
              <w:rPr>
                <w:rFonts w:ascii="Century Gothic" w:eastAsia="MS PGothic" w:hAnsi="Century Gothic"/>
                <w:b/>
                <w:bCs/>
                <w:color w:val="000000" w:themeColor="text1"/>
                <w:sz w:val="20"/>
                <w:szCs w:val="20"/>
                <w:lang w:eastAsia="en-US"/>
              </w:rPr>
              <w:t>FY2024</w:t>
            </w:r>
          </w:p>
          <w:p w14:paraId="6980B83F" w14:textId="6B6AC153" w:rsidR="2E424E6B" w:rsidRPr="00855213" w:rsidRDefault="2E424E6B" w:rsidP="2D03861B">
            <w:pPr>
              <w:jc w:val="center"/>
              <w:rPr>
                <w:rFonts w:ascii="Century Gothic" w:eastAsia="MS PGothic" w:hAnsi="Century Gothic"/>
                <w:b/>
                <w:bCs/>
                <w:color w:val="000000" w:themeColor="text1"/>
                <w:sz w:val="20"/>
                <w:szCs w:val="20"/>
                <w:lang w:eastAsia="en-US"/>
              </w:rPr>
            </w:pPr>
          </w:p>
        </w:tc>
        <w:tc>
          <w:tcPr>
            <w:tcW w:w="1191" w:type="dxa"/>
            <w:gridSpan w:val="2"/>
            <w:tcBorders>
              <w:top w:val="single" w:sz="4" w:space="0" w:color="auto"/>
              <w:left w:val="single" w:sz="4" w:space="0" w:color="auto"/>
              <w:bottom w:val="single" w:sz="8" w:space="0" w:color="auto"/>
              <w:right w:val="single" w:sz="4" w:space="0" w:color="auto"/>
            </w:tcBorders>
            <w:shd w:val="clear" w:color="auto" w:fill="E6CBDF" w:themeFill="accent5" w:themeFillTint="33"/>
          </w:tcPr>
          <w:p w14:paraId="09DCB23A" w14:textId="7BEF20A8" w:rsidR="6847EBFD" w:rsidRPr="00855213" w:rsidRDefault="6847EBFD" w:rsidP="6847EBFD">
            <w:pPr>
              <w:jc w:val="center"/>
              <w:rPr>
                <w:rFonts w:ascii="Century Gothic" w:eastAsia="MS PGothic" w:hAnsi="Century Gothic"/>
                <w:b/>
                <w:bCs/>
                <w:color w:val="000000" w:themeColor="text1"/>
                <w:sz w:val="20"/>
                <w:szCs w:val="20"/>
                <w:lang w:eastAsia="en-US"/>
              </w:rPr>
            </w:pPr>
          </w:p>
          <w:p w14:paraId="523DC91D" w14:textId="2D66A5EF" w:rsidR="6847EBFD" w:rsidRPr="00855213" w:rsidRDefault="6847EBFD" w:rsidP="6847EBFD">
            <w:pPr>
              <w:jc w:val="center"/>
              <w:rPr>
                <w:rFonts w:ascii="Century Gothic" w:eastAsia="MS PGothic" w:hAnsi="Century Gothic"/>
                <w:b/>
                <w:bCs/>
                <w:color w:val="000000" w:themeColor="text1"/>
                <w:sz w:val="20"/>
                <w:szCs w:val="20"/>
                <w:lang w:eastAsia="en-US"/>
              </w:rPr>
            </w:pPr>
          </w:p>
          <w:p w14:paraId="233680FD" w14:textId="0B3BF467" w:rsidR="003328A4" w:rsidRPr="00855213" w:rsidRDefault="3D02C0F0" w:rsidP="003328A4">
            <w:pPr>
              <w:jc w:val="center"/>
              <w:rPr>
                <w:rFonts w:ascii="Century Gothic" w:eastAsia="MS PGothic" w:hAnsi="Century Gothic"/>
                <w:b/>
                <w:bCs/>
                <w:color w:val="000000" w:themeColor="text1"/>
                <w:sz w:val="20"/>
                <w:szCs w:val="20"/>
                <w:lang w:eastAsia="en-US"/>
              </w:rPr>
            </w:pPr>
            <w:r w:rsidRPr="00855213">
              <w:rPr>
                <w:rFonts w:ascii="Century Gothic" w:eastAsia="MS PGothic" w:hAnsi="Century Gothic"/>
                <w:b/>
                <w:bCs/>
                <w:color w:val="000000" w:themeColor="text1"/>
                <w:sz w:val="20"/>
                <w:szCs w:val="20"/>
                <w:lang w:eastAsia="en-US"/>
              </w:rPr>
              <w:t>FY2023</w:t>
            </w:r>
          </w:p>
          <w:p w14:paraId="7DCB41D1" w14:textId="30116D88" w:rsidR="00E301F5" w:rsidRPr="00855213" w:rsidRDefault="00E301F5" w:rsidP="003328A4">
            <w:pPr>
              <w:jc w:val="center"/>
              <w:rPr>
                <w:rFonts w:ascii="Century Gothic" w:eastAsia="MS PGothic" w:hAnsi="Century Gothic"/>
                <w:b/>
                <w:bCs/>
                <w:color w:val="000000" w:themeColor="text1"/>
                <w:sz w:val="20"/>
                <w:szCs w:val="20"/>
                <w:lang w:eastAsia="en-US"/>
              </w:rPr>
            </w:pPr>
          </w:p>
        </w:tc>
        <w:tc>
          <w:tcPr>
            <w:tcW w:w="913" w:type="dxa"/>
            <w:tcBorders>
              <w:top w:val="single" w:sz="4" w:space="0" w:color="auto"/>
              <w:left w:val="single" w:sz="4" w:space="0" w:color="auto"/>
              <w:bottom w:val="single" w:sz="8" w:space="0" w:color="auto"/>
              <w:right w:val="single" w:sz="4" w:space="0" w:color="auto"/>
            </w:tcBorders>
            <w:shd w:val="clear" w:color="auto" w:fill="E6CBDF" w:themeFill="accent5" w:themeFillTint="33"/>
          </w:tcPr>
          <w:p w14:paraId="135CD2D5" w14:textId="2E343B7D" w:rsidR="6847EBFD" w:rsidRPr="00855213" w:rsidRDefault="6847EBFD" w:rsidP="6847EBFD">
            <w:pPr>
              <w:jc w:val="center"/>
              <w:rPr>
                <w:rFonts w:ascii="Century Gothic" w:eastAsia="MS PGothic" w:hAnsi="Century Gothic"/>
                <w:b/>
                <w:bCs/>
                <w:color w:val="000000" w:themeColor="text1"/>
                <w:sz w:val="20"/>
                <w:szCs w:val="20"/>
                <w:lang w:eastAsia="en-US"/>
              </w:rPr>
            </w:pPr>
          </w:p>
          <w:p w14:paraId="63985651" w14:textId="4A765A18" w:rsidR="3DD6257E" w:rsidRPr="00855213" w:rsidRDefault="3DD6257E" w:rsidP="3DD6257E">
            <w:pPr>
              <w:jc w:val="center"/>
              <w:rPr>
                <w:rFonts w:ascii="Century Gothic" w:eastAsia="MS PGothic" w:hAnsi="Century Gothic"/>
                <w:b/>
                <w:bCs/>
                <w:color w:val="000000" w:themeColor="text1"/>
                <w:sz w:val="20"/>
                <w:szCs w:val="20"/>
                <w:lang w:eastAsia="en-US"/>
              </w:rPr>
            </w:pPr>
          </w:p>
          <w:p w14:paraId="6F128BAE" w14:textId="2041223D" w:rsidR="00E301F5" w:rsidRPr="00855213" w:rsidRDefault="00E301F5" w:rsidP="67582E43">
            <w:pPr>
              <w:jc w:val="center"/>
              <w:rPr>
                <w:rFonts w:ascii="Century Gothic" w:eastAsia="MS PGothic" w:hAnsi="Century Gothic"/>
                <w:b/>
                <w:bCs/>
                <w:color w:val="000000" w:themeColor="text1"/>
                <w:sz w:val="20"/>
                <w:szCs w:val="20"/>
                <w:lang w:eastAsia="en-US"/>
              </w:rPr>
            </w:pPr>
            <w:r w:rsidRPr="00855213">
              <w:rPr>
                <w:rFonts w:ascii="Century Gothic" w:eastAsia="MS PGothic" w:hAnsi="Century Gothic"/>
                <w:b/>
                <w:bCs/>
                <w:color w:val="000000" w:themeColor="text1"/>
                <w:sz w:val="20"/>
                <w:szCs w:val="20"/>
                <w:lang w:eastAsia="en-US"/>
              </w:rPr>
              <w:t>FY2022</w:t>
            </w:r>
          </w:p>
          <w:p w14:paraId="040D5FFC" w14:textId="5CA46E3D" w:rsidR="00E301F5" w:rsidRPr="00855213" w:rsidRDefault="00E301F5" w:rsidP="67582E43">
            <w:pPr>
              <w:jc w:val="center"/>
              <w:rPr>
                <w:rFonts w:ascii="Century Gothic" w:eastAsia="MS PGothic" w:hAnsi="Century Gothic"/>
                <w:b/>
                <w:bCs/>
                <w:color w:val="000000" w:themeColor="text1"/>
                <w:sz w:val="20"/>
                <w:szCs w:val="20"/>
                <w:lang w:eastAsia="en-US"/>
              </w:rPr>
            </w:pPr>
          </w:p>
        </w:tc>
        <w:tc>
          <w:tcPr>
            <w:tcW w:w="1044" w:type="dxa"/>
            <w:tcBorders>
              <w:top w:val="single" w:sz="4" w:space="0" w:color="auto"/>
              <w:left w:val="single" w:sz="4" w:space="0" w:color="auto"/>
              <w:bottom w:val="single" w:sz="8" w:space="0" w:color="auto"/>
              <w:right w:val="single" w:sz="4" w:space="0" w:color="auto"/>
            </w:tcBorders>
            <w:shd w:val="clear" w:color="auto" w:fill="E6CBDF" w:themeFill="accent5" w:themeFillTint="33"/>
          </w:tcPr>
          <w:p w14:paraId="076BB7D3" w14:textId="79BD77B9" w:rsidR="3DD6257E" w:rsidRPr="00855213" w:rsidRDefault="3DD6257E" w:rsidP="3DD6257E">
            <w:pPr>
              <w:jc w:val="center"/>
              <w:rPr>
                <w:rFonts w:ascii="Century Gothic" w:eastAsia="Times New Roman" w:hAnsi="Century Gothic"/>
                <w:b/>
                <w:bCs/>
                <w:color w:val="000000" w:themeColor="text1"/>
                <w:sz w:val="20"/>
                <w:szCs w:val="20"/>
                <w:lang w:eastAsia="en-US"/>
              </w:rPr>
            </w:pPr>
          </w:p>
          <w:p w14:paraId="4D34F672" w14:textId="0629FC64" w:rsidR="3DD6257E" w:rsidRPr="00855213" w:rsidRDefault="3DD6257E" w:rsidP="3DD6257E">
            <w:pPr>
              <w:jc w:val="center"/>
              <w:rPr>
                <w:rFonts w:ascii="Century Gothic" w:eastAsia="Times New Roman" w:hAnsi="Century Gothic"/>
                <w:b/>
                <w:bCs/>
                <w:color w:val="000000" w:themeColor="text1"/>
                <w:sz w:val="20"/>
                <w:szCs w:val="20"/>
                <w:lang w:eastAsia="en-US"/>
              </w:rPr>
            </w:pPr>
          </w:p>
          <w:p w14:paraId="1F5B58E4" w14:textId="703DA1E2" w:rsidR="00E301F5" w:rsidRPr="00855213" w:rsidRDefault="2F007F92" w:rsidP="00A45931">
            <w:pPr>
              <w:jc w:val="center"/>
              <w:rPr>
                <w:rFonts w:ascii="Century Gothic" w:eastAsia="Times New Roman" w:hAnsi="Century Gothic"/>
                <w:b/>
                <w:bCs/>
                <w:color w:val="000000"/>
                <w:sz w:val="20"/>
                <w:szCs w:val="20"/>
                <w:lang w:eastAsia="en-US"/>
              </w:rPr>
            </w:pPr>
            <w:r w:rsidRPr="00855213">
              <w:rPr>
                <w:rFonts w:ascii="Century Gothic" w:eastAsia="Times New Roman" w:hAnsi="Century Gothic"/>
                <w:b/>
                <w:bCs/>
                <w:color w:val="000000" w:themeColor="text1"/>
                <w:sz w:val="20"/>
                <w:szCs w:val="20"/>
                <w:lang w:eastAsia="en-US"/>
              </w:rPr>
              <w:t xml:space="preserve">FY2021           </w:t>
            </w:r>
          </w:p>
        </w:tc>
        <w:tc>
          <w:tcPr>
            <w:tcW w:w="885" w:type="dxa"/>
            <w:tcBorders>
              <w:top w:val="nil"/>
              <w:left w:val="single" w:sz="4" w:space="0" w:color="auto"/>
              <w:bottom w:val="single" w:sz="8" w:space="0" w:color="auto"/>
              <w:right w:val="single" w:sz="8" w:space="0" w:color="auto"/>
            </w:tcBorders>
            <w:shd w:val="clear" w:color="auto" w:fill="E6CBDF" w:themeFill="accent5" w:themeFillTint="33"/>
            <w:vAlign w:val="bottom"/>
            <w:hideMark/>
          </w:tcPr>
          <w:p w14:paraId="4F96C6B2" w14:textId="5A2CACD2" w:rsidR="00E301F5" w:rsidRPr="00855213" w:rsidRDefault="2F007F92" w:rsidP="00A45931">
            <w:pPr>
              <w:jc w:val="center"/>
              <w:rPr>
                <w:rFonts w:ascii="Century Gothic" w:eastAsia="Times New Roman" w:hAnsi="Century Gothic"/>
                <w:b/>
                <w:bCs/>
                <w:color w:val="000000"/>
                <w:sz w:val="20"/>
                <w:szCs w:val="20"/>
                <w:lang w:eastAsia="en-US"/>
              </w:rPr>
            </w:pPr>
            <w:r w:rsidRPr="00855213">
              <w:rPr>
                <w:rFonts w:ascii="Century Gothic" w:eastAsia="Times New Roman" w:hAnsi="Century Gothic"/>
                <w:b/>
                <w:bCs/>
                <w:color w:val="000000" w:themeColor="text1"/>
                <w:sz w:val="20"/>
                <w:szCs w:val="20"/>
                <w:lang w:eastAsia="en-US"/>
              </w:rPr>
              <w:t>FY2020</w:t>
            </w:r>
            <w:r w:rsidR="00E301F5" w:rsidRPr="00855213">
              <w:rPr>
                <w:rFonts w:ascii="Century Gothic" w:hAnsi="Century Gothic"/>
              </w:rPr>
              <w:br/>
            </w:r>
            <w:r w:rsidRPr="00855213">
              <w:rPr>
                <w:rFonts w:ascii="Century Gothic" w:eastAsia="Times New Roman" w:hAnsi="Century Gothic"/>
                <w:b/>
                <w:bCs/>
                <w:color w:val="000000" w:themeColor="text1"/>
                <w:sz w:val="20"/>
                <w:szCs w:val="20"/>
                <w:lang w:eastAsia="en-US"/>
              </w:rPr>
              <w:t xml:space="preserve"> </w:t>
            </w:r>
            <w:r w:rsidR="43834892" w:rsidRPr="00855213">
              <w:rPr>
                <w:rFonts w:ascii="Century Gothic" w:eastAsia="Times New Roman" w:hAnsi="Century Gothic"/>
                <w:b/>
                <w:bCs/>
                <w:color w:val="000000" w:themeColor="text1"/>
                <w:sz w:val="20"/>
                <w:szCs w:val="20"/>
                <w:lang w:eastAsia="en-US"/>
              </w:rPr>
              <w:t xml:space="preserve"> </w:t>
            </w:r>
            <w:r w:rsidR="00E301F5" w:rsidRPr="00855213">
              <w:rPr>
                <w:rFonts w:ascii="Century Gothic" w:hAnsi="Century Gothic"/>
              </w:rPr>
              <w:br/>
            </w:r>
          </w:p>
        </w:tc>
        <w:tc>
          <w:tcPr>
            <w:tcW w:w="990" w:type="dxa"/>
            <w:tcBorders>
              <w:top w:val="nil"/>
              <w:left w:val="nil"/>
              <w:bottom w:val="single" w:sz="8" w:space="0" w:color="auto"/>
              <w:right w:val="single" w:sz="8" w:space="0" w:color="auto"/>
            </w:tcBorders>
            <w:shd w:val="clear" w:color="auto" w:fill="E6CBDF" w:themeFill="accent5" w:themeFillTint="33"/>
            <w:noWrap/>
            <w:vAlign w:val="bottom"/>
            <w:hideMark/>
          </w:tcPr>
          <w:p w14:paraId="66518549" w14:textId="77777777" w:rsidR="00E301F5" w:rsidRPr="00855213" w:rsidRDefault="00E301F5" w:rsidP="00A45931">
            <w:pPr>
              <w:rPr>
                <w:rFonts w:ascii="Century Gothic" w:eastAsia="Times New Roman" w:hAnsi="Century Gothic"/>
                <w:b/>
                <w:bCs/>
                <w:color w:val="000000"/>
                <w:sz w:val="20"/>
                <w:szCs w:val="20"/>
                <w:lang w:eastAsia="en-US"/>
              </w:rPr>
            </w:pPr>
            <w:r w:rsidRPr="00855213">
              <w:rPr>
                <w:rFonts w:ascii="Century Gothic" w:eastAsia="Times New Roman" w:hAnsi="Century Gothic"/>
                <w:b/>
                <w:bCs/>
                <w:color w:val="000000"/>
                <w:sz w:val="20"/>
                <w:szCs w:val="20"/>
                <w:lang w:eastAsia="en-US"/>
              </w:rPr>
              <w:t>FY 2019</w:t>
            </w:r>
          </w:p>
        </w:tc>
        <w:tc>
          <w:tcPr>
            <w:tcW w:w="721" w:type="dxa"/>
            <w:tcBorders>
              <w:top w:val="nil"/>
              <w:left w:val="nil"/>
              <w:bottom w:val="single" w:sz="8" w:space="0" w:color="auto"/>
              <w:right w:val="single" w:sz="8" w:space="0" w:color="auto"/>
            </w:tcBorders>
            <w:shd w:val="clear" w:color="auto" w:fill="E6CBDF" w:themeFill="accent5" w:themeFillTint="33"/>
            <w:noWrap/>
            <w:vAlign w:val="bottom"/>
            <w:hideMark/>
          </w:tcPr>
          <w:p w14:paraId="60732D91" w14:textId="77777777" w:rsidR="00E301F5" w:rsidRPr="00855213" w:rsidRDefault="00E301F5" w:rsidP="00A45931">
            <w:pPr>
              <w:jc w:val="center"/>
              <w:rPr>
                <w:rFonts w:ascii="Century Gothic" w:eastAsia="Times New Roman" w:hAnsi="Century Gothic"/>
                <w:b/>
                <w:bCs/>
                <w:color w:val="000000"/>
                <w:sz w:val="20"/>
                <w:szCs w:val="20"/>
                <w:lang w:eastAsia="en-US"/>
              </w:rPr>
            </w:pPr>
            <w:r w:rsidRPr="00855213">
              <w:rPr>
                <w:rFonts w:ascii="Century Gothic" w:eastAsia="Times New Roman" w:hAnsi="Century Gothic"/>
                <w:b/>
                <w:bCs/>
                <w:color w:val="000000"/>
                <w:sz w:val="20"/>
                <w:szCs w:val="20"/>
                <w:lang w:eastAsia="en-US"/>
              </w:rPr>
              <w:t>FY 2018</w:t>
            </w:r>
          </w:p>
        </w:tc>
        <w:tc>
          <w:tcPr>
            <w:tcW w:w="715" w:type="dxa"/>
            <w:tcBorders>
              <w:top w:val="nil"/>
              <w:left w:val="nil"/>
              <w:bottom w:val="single" w:sz="8" w:space="0" w:color="auto"/>
              <w:right w:val="single" w:sz="8" w:space="0" w:color="auto"/>
            </w:tcBorders>
            <w:shd w:val="clear" w:color="auto" w:fill="E6CBDF" w:themeFill="accent5" w:themeFillTint="33"/>
            <w:noWrap/>
            <w:vAlign w:val="bottom"/>
            <w:hideMark/>
          </w:tcPr>
          <w:p w14:paraId="3DA7EAAB" w14:textId="77777777" w:rsidR="00E301F5" w:rsidRPr="00855213" w:rsidRDefault="00E301F5" w:rsidP="00A45931">
            <w:pPr>
              <w:jc w:val="right"/>
              <w:rPr>
                <w:rFonts w:ascii="Century Gothic" w:eastAsia="Times New Roman" w:hAnsi="Century Gothic"/>
                <w:b/>
                <w:bCs/>
                <w:color w:val="000000"/>
                <w:sz w:val="20"/>
                <w:szCs w:val="20"/>
                <w:lang w:eastAsia="en-US"/>
              </w:rPr>
            </w:pPr>
            <w:r w:rsidRPr="00855213">
              <w:rPr>
                <w:rFonts w:ascii="Century Gothic" w:eastAsia="Times New Roman" w:hAnsi="Century Gothic"/>
                <w:b/>
                <w:bCs/>
                <w:color w:val="000000"/>
                <w:sz w:val="20"/>
                <w:szCs w:val="20"/>
                <w:lang w:eastAsia="en-US"/>
              </w:rPr>
              <w:t>FY 2017</w:t>
            </w:r>
          </w:p>
        </w:tc>
        <w:tc>
          <w:tcPr>
            <w:tcW w:w="715" w:type="dxa"/>
            <w:tcBorders>
              <w:top w:val="nil"/>
              <w:left w:val="nil"/>
              <w:bottom w:val="single" w:sz="8" w:space="0" w:color="auto"/>
              <w:right w:val="single" w:sz="8" w:space="0" w:color="auto"/>
            </w:tcBorders>
            <w:shd w:val="clear" w:color="auto" w:fill="E6CBDF" w:themeFill="accent5" w:themeFillTint="33"/>
            <w:noWrap/>
            <w:vAlign w:val="bottom"/>
            <w:hideMark/>
          </w:tcPr>
          <w:p w14:paraId="6DE27789" w14:textId="77777777" w:rsidR="00E301F5" w:rsidRPr="00855213" w:rsidRDefault="00E301F5" w:rsidP="00A45931">
            <w:pPr>
              <w:jc w:val="right"/>
              <w:rPr>
                <w:rFonts w:ascii="Century Gothic" w:eastAsia="Times New Roman" w:hAnsi="Century Gothic"/>
                <w:b/>
                <w:bCs/>
                <w:color w:val="000000"/>
                <w:sz w:val="20"/>
                <w:szCs w:val="20"/>
                <w:lang w:eastAsia="en-US"/>
              </w:rPr>
            </w:pPr>
            <w:r w:rsidRPr="00855213">
              <w:rPr>
                <w:rFonts w:ascii="Century Gothic" w:eastAsia="Times New Roman" w:hAnsi="Century Gothic"/>
                <w:b/>
                <w:bCs/>
                <w:color w:val="000000"/>
                <w:sz w:val="20"/>
                <w:szCs w:val="20"/>
                <w:lang w:eastAsia="en-US"/>
              </w:rPr>
              <w:t>FY 2016</w:t>
            </w:r>
          </w:p>
        </w:tc>
        <w:tc>
          <w:tcPr>
            <w:tcW w:w="756" w:type="dxa"/>
            <w:tcBorders>
              <w:top w:val="nil"/>
              <w:left w:val="nil"/>
              <w:bottom w:val="single" w:sz="8" w:space="0" w:color="auto"/>
              <w:right w:val="single" w:sz="8" w:space="0" w:color="auto"/>
            </w:tcBorders>
            <w:shd w:val="clear" w:color="auto" w:fill="E6CBDF" w:themeFill="accent5" w:themeFillTint="33"/>
            <w:vAlign w:val="bottom"/>
            <w:hideMark/>
          </w:tcPr>
          <w:p w14:paraId="2410C5AC" w14:textId="77777777" w:rsidR="00E301F5" w:rsidRPr="00855213" w:rsidRDefault="00E301F5" w:rsidP="00A45931">
            <w:pPr>
              <w:jc w:val="right"/>
              <w:rPr>
                <w:rFonts w:ascii="Century Gothic" w:eastAsia="Times New Roman" w:hAnsi="Century Gothic"/>
                <w:b/>
                <w:bCs/>
                <w:color w:val="000000"/>
                <w:sz w:val="20"/>
                <w:szCs w:val="20"/>
                <w:lang w:eastAsia="en-US"/>
              </w:rPr>
            </w:pPr>
            <w:r w:rsidRPr="00855213">
              <w:rPr>
                <w:rFonts w:ascii="Century Gothic" w:eastAsia="Times New Roman" w:hAnsi="Century Gothic"/>
                <w:b/>
                <w:bCs/>
                <w:color w:val="000000"/>
                <w:sz w:val="20"/>
                <w:szCs w:val="20"/>
                <w:lang w:eastAsia="en-US"/>
              </w:rPr>
              <w:t>Other Years</w:t>
            </w:r>
          </w:p>
        </w:tc>
      </w:tr>
      <w:tr w:rsidR="003E0D24" w:rsidRPr="006D6566" w14:paraId="7488CFAB"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5DA03B50"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Brookside Phase I</w:t>
            </w:r>
          </w:p>
        </w:tc>
        <w:tc>
          <w:tcPr>
            <w:tcW w:w="963" w:type="dxa"/>
            <w:tcBorders>
              <w:top w:val="single" w:sz="8" w:space="0" w:color="auto"/>
              <w:left w:val="single" w:sz="4" w:space="0" w:color="auto"/>
              <w:bottom w:val="single" w:sz="8" w:space="0" w:color="auto"/>
              <w:right w:val="single" w:sz="4" w:space="0" w:color="auto"/>
            </w:tcBorders>
          </w:tcPr>
          <w:p w14:paraId="2BC05CEA" w14:textId="4A4307F6" w:rsidR="2D03861B" w:rsidRPr="00855213" w:rsidRDefault="6C32E426" w:rsidP="2D03861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314</w:t>
            </w:r>
          </w:p>
        </w:tc>
        <w:tc>
          <w:tcPr>
            <w:tcW w:w="1191" w:type="dxa"/>
            <w:gridSpan w:val="2"/>
            <w:tcBorders>
              <w:top w:val="single" w:sz="8" w:space="0" w:color="auto"/>
              <w:left w:val="single" w:sz="4" w:space="0" w:color="auto"/>
              <w:bottom w:val="single" w:sz="8" w:space="0" w:color="auto"/>
              <w:right w:val="single" w:sz="4" w:space="0" w:color="auto"/>
            </w:tcBorders>
          </w:tcPr>
          <w:p w14:paraId="610A3563" w14:textId="304C2555" w:rsidR="00E301F5" w:rsidRPr="00855213" w:rsidRDefault="26849182" w:rsidP="00940CE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257</w:t>
            </w:r>
          </w:p>
        </w:tc>
        <w:tc>
          <w:tcPr>
            <w:tcW w:w="913" w:type="dxa"/>
            <w:tcBorders>
              <w:top w:val="single" w:sz="8" w:space="0" w:color="auto"/>
              <w:left w:val="single" w:sz="4" w:space="0" w:color="auto"/>
              <w:bottom w:val="single" w:sz="8" w:space="0" w:color="auto"/>
              <w:right w:val="single" w:sz="4" w:space="0" w:color="auto"/>
            </w:tcBorders>
          </w:tcPr>
          <w:p w14:paraId="11AE8C48" w14:textId="79A8EFF3" w:rsidR="00E301F5" w:rsidRPr="00855213" w:rsidRDefault="00E301F5" w:rsidP="00940CE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368</w:t>
            </w:r>
          </w:p>
        </w:tc>
        <w:tc>
          <w:tcPr>
            <w:tcW w:w="1044" w:type="dxa"/>
            <w:tcBorders>
              <w:top w:val="single" w:sz="8" w:space="0" w:color="auto"/>
              <w:left w:val="single" w:sz="4" w:space="0" w:color="auto"/>
              <w:bottom w:val="single" w:sz="8" w:space="0" w:color="auto"/>
              <w:right w:val="single" w:sz="4" w:space="0" w:color="auto"/>
            </w:tcBorders>
          </w:tcPr>
          <w:p w14:paraId="5A44ECF7" w14:textId="506A6026" w:rsidR="00E301F5" w:rsidRPr="00855213" w:rsidRDefault="00E301F5" w:rsidP="00940CEB">
            <w:pPr>
              <w:jc w:val="center"/>
              <w:rPr>
                <w:rFonts w:ascii="Century Gothic" w:eastAsia="Times New Roman" w:hAnsi="Century Gothic"/>
                <w:color w:val="000000" w:themeColor="text1"/>
                <w:sz w:val="20"/>
                <w:szCs w:val="20"/>
                <w:lang w:eastAsia="en-US"/>
              </w:rPr>
            </w:pPr>
            <w:r w:rsidRPr="00855213">
              <w:rPr>
                <w:rFonts w:ascii="Century Gothic" w:eastAsia="Times New Roman" w:hAnsi="Century Gothic"/>
                <w:color w:val="000000" w:themeColor="text1"/>
                <w:sz w:val="20"/>
                <w:szCs w:val="20"/>
                <w:lang w:eastAsia="en-US"/>
              </w:rPr>
              <w:t>274</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53FCB1A8" w14:textId="716727F1" w:rsidR="00E301F5" w:rsidRPr="00855213" w:rsidRDefault="00E301F5" w:rsidP="00940CEB">
            <w:pPr>
              <w:jc w:val="center"/>
              <w:rPr>
                <w:rFonts w:ascii="Century Gothic" w:eastAsia="Times New Roman" w:hAnsi="Century Gothic"/>
                <w:color w:val="000000" w:themeColor="text1"/>
                <w:sz w:val="20"/>
                <w:szCs w:val="20"/>
                <w:lang w:eastAsia="en-US"/>
              </w:rPr>
            </w:pPr>
          </w:p>
          <w:p w14:paraId="671043A7" w14:textId="2CF7BBDB"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369</w:t>
            </w:r>
          </w:p>
        </w:tc>
        <w:tc>
          <w:tcPr>
            <w:tcW w:w="990" w:type="dxa"/>
            <w:tcBorders>
              <w:top w:val="nil"/>
              <w:left w:val="nil"/>
              <w:bottom w:val="single" w:sz="8" w:space="0" w:color="auto"/>
              <w:right w:val="single" w:sz="8" w:space="0" w:color="auto"/>
            </w:tcBorders>
            <w:noWrap/>
            <w:vAlign w:val="bottom"/>
            <w:hideMark/>
          </w:tcPr>
          <w:p w14:paraId="76004477"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494</w:t>
            </w:r>
          </w:p>
        </w:tc>
        <w:tc>
          <w:tcPr>
            <w:tcW w:w="721" w:type="dxa"/>
            <w:tcBorders>
              <w:top w:val="nil"/>
              <w:left w:val="nil"/>
              <w:bottom w:val="single" w:sz="8" w:space="0" w:color="auto"/>
              <w:right w:val="single" w:sz="8" w:space="0" w:color="auto"/>
            </w:tcBorders>
            <w:noWrap/>
            <w:vAlign w:val="bottom"/>
            <w:hideMark/>
          </w:tcPr>
          <w:p w14:paraId="034F9187"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1E8EAB1B"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15" w:type="dxa"/>
            <w:tcBorders>
              <w:top w:val="nil"/>
              <w:left w:val="nil"/>
              <w:bottom w:val="single" w:sz="8" w:space="0" w:color="auto"/>
              <w:right w:val="single" w:sz="8" w:space="0" w:color="auto"/>
            </w:tcBorders>
            <w:noWrap/>
            <w:vAlign w:val="bottom"/>
            <w:hideMark/>
          </w:tcPr>
          <w:p w14:paraId="6246F417"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461</w:t>
            </w:r>
          </w:p>
        </w:tc>
        <w:tc>
          <w:tcPr>
            <w:tcW w:w="756" w:type="dxa"/>
            <w:vMerge w:val="restart"/>
            <w:tcBorders>
              <w:top w:val="nil"/>
              <w:left w:val="single" w:sz="8" w:space="0" w:color="auto"/>
              <w:bottom w:val="single" w:sz="8" w:space="0" w:color="000000" w:themeColor="text1"/>
              <w:right w:val="single" w:sz="8" w:space="0" w:color="auto"/>
            </w:tcBorders>
            <w:vAlign w:val="bottom"/>
            <w:hideMark/>
          </w:tcPr>
          <w:p w14:paraId="570EF98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2013: 1,311</w:t>
            </w:r>
          </w:p>
        </w:tc>
      </w:tr>
      <w:tr w:rsidR="003E0D24" w:rsidRPr="006D6566" w14:paraId="2129A4D4"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3F93C277"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Brookside Phase II</w:t>
            </w:r>
          </w:p>
        </w:tc>
        <w:tc>
          <w:tcPr>
            <w:tcW w:w="963" w:type="dxa"/>
            <w:tcBorders>
              <w:top w:val="single" w:sz="8" w:space="0" w:color="auto"/>
              <w:left w:val="single" w:sz="4" w:space="0" w:color="auto"/>
              <w:bottom w:val="single" w:sz="8" w:space="0" w:color="auto"/>
              <w:right w:val="single" w:sz="4" w:space="0" w:color="auto"/>
            </w:tcBorders>
          </w:tcPr>
          <w:p w14:paraId="55597100" w14:textId="591C0407" w:rsidR="2D03861B" w:rsidRPr="00855213" w:rsidRDefault="01396E3E" w:rsidP="2D03861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274</w:t>
            </w:r>
          </w:p>
        </w:tc>
        <w:tc>
          <w:tcPr>
            <w:tcW w:w="1191" w:type="dxa"/>
            <w:gridSpan w:val="2"/>
            <w:tcBorders>
              <w:top w:val="single" w:sz="8" w:space="0" w:color="auto"/>
              <w:left w:val="single" w:sz="4" w:space="0" w:color="auto"/>
              <w:bottom w:val="single" w:sz="8" w:space="0" w:color="auto"/>
              <w:right w:val="single" w:sz="4" w:space="0" w:color="auto"/>
            </w:tcBorders>
          </w:tcPr>
          <w:p w14:paraId="5655D520" w14:textId="669C47B9" w:rsidR="00E301F5" w:rsidRPr="00855213" w:rsidRDefault="27EF3476" w:rsidP="00940CE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279</w:t>
            </w:r>
          </w:p>
        </w:tc>
        <w:tc>
          <w:tcPr>
            <w:tcW w:w="913" w:type="dxa"/>
            <w:tcBorders>
              <w:top w:val="single" w:sz="8" w:space="0" w:color="auto"/>
              <w:left w:val="single" w:sz="4" w:space="0" w:color="auto"/>
              <w:bottom w:val="single" w:sz="8" w:space="0" w:color="auto"/>
              <w:right w:val="single" w:sz="4" w:space="0" w:color="auto"/>
            </w:tcBorders>
          </w:tcPr>
          <w:p w14:paraId="53E66FE2" w14:textId="5FAEF765" w:rsidR="00E301F5" w:rsidRPr="00855213" w:rsidRDefault="00E301F5" w:rsidP="00940CE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379</w:t>
            </w:r>
          </w:p>
        </w:tc>
        <w:tc>
          <w:tcPr>
            <w:tcW w:w="1044" w:type="dxa"/>
            <w:tcBorders>
              <w:top w:val="single" w:sz="8" w:space="0" w:color="auto"/>
              <w:left w:val="single" w:sz="4" w:space="0" w:color="auto"/>
              <w:bottom w:val="single" w:sz="8" w:space="0" w:color="auto"/>
              <w:right w:val="single" w:sz="4" w:space="0" w:color="auto"/>
            </w:tcBorders>
          </w:tcPr>
          <w:p w14:paraId="60784509" w14:textId="38687C4F"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287</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2298261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226</w:t>
            </w:r>
          </w:p>
        </w:tc>
        <w:tc>
          <w:tcPr>
            <w:tcW w:w="990" w:type="dxa"/>
            <w:tcBorders>
              <w:top w:val="nil"/>
              <w:left w:val="nil"/>
              <w:bottom w:val="single" w:sz="8" w:space="0" w:color="auto"/>
              <w:right w:val="single" w:sz="8" w:space="0" w:color="auto"/>
            </w:tcBorders>
            <w:noWrap/>
            <w:vAlign w:val="bottom"/>
            <w:hideMark/>
          </w:tcPr>
          <w:p w14:paraId="41F96E6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440</w:t>
            </w:r>
          </w:p>
        </w:tc>
        <w:tc>
          <w:tcPr>
            <w:tcW w:w="721" w:type="dxa"/>
            <w:tcBorders>
              <w:top w:val="nil"/>
              <w:left w:val="nil"/>
              <w:bottom w:val="single" w:sz="8" w:space="0" w:color="auto"/>
              <w:right w:val="single" w:sz="8" w:space="0" w:color="auto"/>
            </w:tcBorders>
            <w:noWrap/>
            <w:vAlign w:val="bottom"/>
            <w:hideMark/>
          </w:tcPr>
          <w:p w14:paraId="190C8A6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112590D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15" w:type="dxa"/>
            <w:tcBorders>
              <w:top w:val="nil"/>
              <w:left w:val="nil"/>
              <w:bottom w:val="single" w:sz="8" w:space="0" w:color="auto"/>
              <w:right w:val="single" w:sz="8" w:space="0" w:color="auto"/>
            </w:tcBorders>
            <w:noWrap/>
            <w:vAlign w:val="bottom"/>
            <w:hideMark/>
          </w:tcPr>
          <w:p w14:paraId="69326DA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472</w:t>
            </w:r>
          </w:p>
        </w:tc>
        <w:tc>
          <w:tcPr>
            <w:tcW w:w="756" w:type="dxa"/>
            <w:vMerge/>
            <w:vAlign w:val="center"/>
            <w:hideMark/>
          </w:tcPr>
          <w:p w14:paraId="4EA4BE69" w14:textId="77777777" w:rsidR="00E301F5" w:rsidRPr="00855213" w:rsidRDefault="00E301F5" w:rsidP="00940CEB">
            <w:pPr>
              <w:jc w:val="center"/>
              <w:rPr>
                <w:rFonts w:ascii="Century Gothic" w:eastAsia="Times New Roman" w:hAnsi="Century Gothic"/>
                <w:color w:val="000000"/>
                <w:sz w:val="20"/>
                <w:szCs w:val="20"/>
                <w:lang w:eastAsia="en-US"/>
              </w:rPr>
            </w:pPr>
          </w:p>
        </w:tc>
      </w:tr>
      <w:tr w:rsidR="00773342" w:rsidRPr="006D6566" w14:paraId="5E4349EC"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55A514F5"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Rockview I</w:t>
            </w:r>
          </w:p>
        </w:tc>
        <w:tc>
          <w:tcPr>
            <w:tcW w:w="963" w:type="dxa"/>
            <w:tcBorders>
              <w:top w:val="single" w:sz="8" w:space="0" w:color="auto"/>
              <w:left w:val="single" w:sz="4" w:space="0" w:color="auto"/>
              <w:bottom w:val="single" w:sz="8" w:space="0" w:color="auto"/>
              <w:right w:val="single" w:sz="4" w:space="0" w:color="auto"/>
            </w:tcBorders>
          </w:tcPr>
          <w:p w14:paraId="002BE6BC" w14:textId="6E0FD737" w:rsidR="2D03861B" w:rsidRPr="00855213" w:rsidRDefault="3888E351" w:rsidP="2D03861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203</w:t>
            </w:r>
          </w:p>
        </w:tc>
        <w:tc>
          <w:tcPr>
            <w:tcW w:w="1191" w:type="dxa"/>
            <w:gridSpan w:val="2"/>
            <w:tcBorders>
              <w:top w:val="single" w:sz="8" w:space="0" w:color="auto"/>
              <w:left w:val="single" w:sz="4" w:space="0" w:color="auto"/>
              <w:bottom w:val="single" w:sz="8" w:space="0" w:color="auto"/>
              <w:right w:val="single" w:sz="4" w:space="0" w:color="auto"/>
            </w:tcBorders>
          </w:tcPr>
          <w:p w14:paraId="78E054EF" w14:textId="5D903517" w:rsidR="0C1F4FFD" w:rsidRPr="00855213" w:rsidRDefault="0C1F4FFD" w:rsidP="0C1F4FFD">
            <w:pPr>
              <w:jc w:val="center"/>
              <w:rPr>
                <w:rFonts w:ascii="Century Gothic" w:eastAsia="MS PGothic" w:hAnsi="Century Gothic"/>
                <w:color w:val="000000" w:themeColor="text1"/>
                <w:sz w:val="20"/>
                <w:szCs w:val="20"/>
                <w:lang w:eastAsia="en-US"/>
              </w:rPr>
            </w:pPr>
          </w:p>
          <w:p w14:paraId="77511088" w14:textId="349F7FA4" w:rsidR="0C1F4FFD" w:rsidRPr="00855213" w:rsidRDefault="0C1F4FFD" w:rsidP="0C1F4FFD">
            <w:pPr>
              <w:jc w:val="center"/>
              <w:rPr>
                <w:rFonts w:ascii="Century Gothic" w:eastAsia="MS PGothic" w:hAnsi="Century Gothic"/>
                <w:color w:val="000000" w:themeColor="text1"/>
                <w:sz w:val="20"/>
                <w:szCs w:val="20"/>
                <w:lang w:eastAsia="en-US"/>
              </w:rPr>
            </w:pPr>
          </w:p>
          <w:p w14:paraId="24BE7178" w14:textId="6ECCEC8E" w:rsidR="00E301F5" w:rsidRPr="00855213" w:rsidRDefault="07EA6F01" w:rsidP="00940CE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181</w:t>
            </w:r>
          </w:p>
        </w:tc>
        <w:tc>
          <w:tcPr>
            <w:tcW w:w="913" w:type="dxa"/>
            <w:tcBorders>
              <w:top w:val="single" w:sz="8" w:space="0" w:color="auto"/>
              <w:left w:val="single" w:sz="4" w:space="0" w:color="auto"/>
              <w:bottom w:val="single" w:sz="8" w:space="0" w:color="auto"/>
              <w:right w:val="single" w:sz="4" w:space="0" w:color="auto"/>
            </w:tcBorders>
          </w:tcPr>
          <w:p w14:paraId="5E100109" w14:textId="7FCDE493" w:rsidR="0C1F4FFD" w:rsidRPr="00855213" w:rsidRDefault="0C1F4FFD" w:rsidP="0C1F4FFD">
            <w:pPr>
              <w:jc w:val="center"/>
              <w:rPr>
                <w:rFonts w:ascii="Century Gothic" w:eastAsia="MS PGothic" w:hAnsi="Century Gothic"/>
                <w:color w:val="000000" w:themeColor="text1"/>
                <w:sz w:val="20"/>
                <w:szCs w:val="20"/>
                <w:lang w:eastAsia="en-US"/>
              </w:rPr>
            </w:pPr>
          </w:p>
          <w:p w14:paraId="6989AE5F" w14:textId="20FB3C6D" w:rsidR="0C1F4FFD" w:rsidRPr="00855213" w:rsidRDefault="0C1F4FFD" w:rsidP="0C1F4FFD">
            <w:pPr>
              <w:jc w:val="center"/>
              <w:rPr>
                <w:rFonts w:ascii="Century Gothic" w:eastAsia="MS PGothic" w:hAnsi="Century Gothic"/>
                <w:color w:val="000000" w:themeColor="text1"/>
                <w:sz w:val="20"/>
                <w:szCs w:val="20"/>
                <w:lang w:eastAsia="en-US"/>
              </w:rPr>
            </w:pPr>
          </w:p>
          <w:p w14:paraId="3BDE83C9" w14:textId="35DE1AFF" w:rsidR="00E301F5" w:rsidRPr="00855213" w:rsidRDefault="00E301F5" w:rsidP="00940CE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265</w:t>
            </w:r>
          </w:p>
        </w:tc>
        <w:tc>
          <w:tcPr>
            <w:tcW w:w="1044" w:type="dxa"/>
            <w:tcBorders>
              <w:top w:val="single" w:sz="8" w:space="0" w:color="auto"/>
              <w:left w:val="single" w:sz="4" w:space="0" w:color="auto"/>
              <w:bottom w:val="single" w:sz="8" w:space="0" w:color="auto"/>
              <w:right w:val="single" w:sz="4" w:space="0" w:color="auto"/>
            </w:tcBorders>
          </w:tcPr>
          <w:p w14:paraId="4DD4B7B6" w14:textId="01FC6303" w:rsidR="0C1F4FFD" w:rsidRPr="00855213" w:rsidRDefault="0C1F4FFD" w:rsidP="0C1F4FFD">
            <w:pPr>
              <w:jc w:val="center"/>
              <w:rPr>
                <w:rFonts w:ascii="Century Gothic" w:eastAsia="Times New Roman" w:hAnsi="Century Gothic"/>
                <w:color w:val="000000" w:themeColor="text1"/>
                <w:sz w:val="20"/>
                <w:szCs w:val="20"/>
                <w:lang w:eastAsia="en-US"/>
              </w:rPr>
            </w:pPr>
          </w:p>
          <w:p w14:paraId="4BF49CAB" w14:textId="45390369" w:rsidR="0C1F4FFD" w:rsidRPr="00855213" w:rsidRDefault="0C1F4FFD" w:rsidP="0C1F4FFD">
            <w:pPr>
              <w:jc w:val="center"/>
              <w:rPr>
                <w:rFonts w:ascii="Century Gothic" w:eastAsia="Times New Roman" w:hAnsi="Century Gothic"/>
                <w:color w:val="000000" w:themeColor="text1"/>
                <w:sz w:val="20"/>
                <w:szCs w:val="20"/>
                <w:lang w:eastAsia="en-US"/>
              </w:rPr>
            </w:pPr>
          </w:p>
          <w:p w14:paraId="6143B60B" w14:textId="0B4AFA6A"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308</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3921E0D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200</w:t>
            </w:r>
          </w:p>
        </w:tc>
        <w:tc>
          <w:tcPr>
            <w:tcW w:w="990" w:type="dxa"/>
            <w:tcBorders>
              <w:top w:val="nil"/>
              <w:left w:val="nil"/>
              <w:bottom w:val="single" w:sz="8" w:space="0" w:color="auto"/>
              <w:right w:val="single" w:sz="8" w:space="0" w:color="auto"/>
            </w:tcBorders>
            <w:noWrap/>
            <w:vAlign w:val="bottom"/>
            <w:hideMark/>
          </w:tcPr>
          <w:p w14:paraId="63BB1F7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274</w:t>
            </w:r>
          </w:p>
        </w:tc>
        <w:tc>
          <w:tcPr>
            <w:tcW w:w="721" w:type="dxa"/>
            <w:tcBorders>
              <w:top w:val="nil"/>
              <w:left w:val="nil"/>
              <w:bottom w:val="single" w:sz="8" w:space="0" w:color="auto"/>
              <w:right w:val="single" w:sz="8" w:space="0" w:color="auto"/>
            </w:tcBorders>
            <w:noWrap/>
            <w:vAlign w:val="bottom"/>
            <w:hideMark/>
          </w:tcPr>
          <w:p w14:paraId="1CB250FA" w14:textId="708A32B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7FD9444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c>
          <w:tcPr>
            <w:tcW w:w="715" w:type="dxa"/>
            <w:tcBorders>
              <w:top w:val="nil"/>
              <w:left w:val="nil"/>
              <w:bottom w:val="single" w:sz="8" w:space="0" w:color="auto"/>
              <w:right w:val="single" w:sz="8" w:space="0" w:color="auto"/>
            </w:tcBorders>
            <w:noWrap/>
            <w:vAlign w:val="bottom"/>
            <w:hideMark/>
          </w:tcPr>
          <w:p w14:paraId="4D1C961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c>
          <w:tcPr>
            <w:tcW w:w="756" w:type="dxa"/>
            <w:tcBorders>
              <w:top w:val="nil"/>
              <w:left w:val="nil"/>
              <w:bottom w:val="single" w:sz="8" w:space="0" w:color="auto"/>
              <w:right w:val="single" w:sz="8" w:space="0" w:color="auto"/>
            </w:tcBorders>
            <w:vAlign w:val="bottom"/>
            <w:hideMark/>
          </w:tcPr>
          <w:p w14:paraId="5CB67214" w14:textId="3E78BA16" w:rsidR="00E301F5" w:rsidRPr="00855213" w:rsidRDefault="2F4F4929"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 xml:space="preserve">      </w:t>
            </w:r>
            <w:r w:rsidR="331A3B7B" w:rsidRPr="00855213">
              <w:rPr>
                <w:rFonts w:ascii="Century Gothic" w:eastAsia="Times New Roman" w:hAnsi="Century Gothic"/>
                <w:color w:val="000000" w:themeColor="text1"/>
                <w:sz w:val="20"/>
                <w:szCs w:val="20"/>
                <w:lang w:eastAsia="en-US"/>
              </w:rPr>
              <w:t>2014: 1,562</w:t>
            </w:r>
          </w:p>
        </w:tc>
      </w:tr>
      <w:tr w:rsidR="00773342" w:rsidRPr="006D6566" w14:paraId="2E3E7A4E"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5677C8B6" w14:textId="3AF79545"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Charles T. McQueeney</w:t>
            </w:r>
          </w:p>
        </w:tc>
        <w:tc>
          <w:tcPr>
            <w:tcW w:w="963" w:type="dxa"/>
            <w:tcBorders>
              <w:top w:val="single" w:sz="8" w:space="0" w:color="auto"/>
              <w:left w:val="single" w:sz="4" w:space="0" w:color="auto"/>
              <w:bottom w:val="single" w:sz="8" w:space="0" w:color="auto"/>
              <w:right w:val="single" w:sz="4" w:space="0" w:color="auto"/>
            </w:tcBorders>
          </w:tcPr>
          <w:p w14:paraId="6916406D" w14:textId="000D2C17" w:rsidR="7006AE21" w:rsidRPr="00855213" w:rsidRDefault="7006AE21" w:rsidP="2D03861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1</w:t>
            </w:r>
            <w:r w:rsidR="24CD55BD" w:rsidRPr="00855213">
              <w:rPr>
                <w:rFonts w:ascii="Century Gothic" w:eastAsia="MS PGothic" w:hAnsi="Century Gothic"/>
                <w:color w:val="000000" w:themeColor="text1"/>
                <w:sz w:val="20"/>
                <w:szCs w:val="20"/>
                <w:lang w:eastAsia="en-US"/>
              </w:rPr>
              <w:t>465</w:t>
            </w:r>
          </w:p>
        </w:tc>
        <w:tc>
          <w:tcPr>
            <w:tcW w:w="1191" w:type="dxa"/>
            <w:gridSpan w:val="2"/>
            <w:tcBorders>
              <w:top w:val="single" w:sz="8" w:space="0" w:color="auto"/>
              <w:left w:val="single" w:sz="4" w:space="0" w:color="auto"/>
              <w:bottom w:val="single" w:sz="8" w:space="0" w:color="auto"/>
              <w:right w:val="single" w:sz="4" w:space="0" w:color="auto"/>
            </w:tcBorders>
          </w:tcPr>
          <w:p w14:paraId="48532B7B" w14:textId="352B2197" w:rsidR="00E301F5" w:rsidRPr="00855213" w:rsidRDefault="1ACABDA7" w:rsidP="00940CE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1392</w:t>
            </w:r>
          </w:p>
        </w:tc>
        <w:tc>
          <w:tcPr>
            <w:tcW w:w="913" w:type="dxa"/>
            <w:tcBorders>
              <w:top w:val="single" w:sz="8" w:space="0" w:color="auto"/>
              <w:left w:val="single" w:sz="4" w:space="0" w:color="auto"/>
              <w:bottom w:val="single" w:sz="8" w:space="0" w:color="auto"/>
              <w:right w:val="single" w:sz="4" w:space="0" w:color="auto"/>
            </w:tcBorders>
          </w:tcPr>
          <w:p w14:paraId="6101CBE1" w14:textId="3913D15A" w:rsidR="00E301F5" w:rsidRPr="00855213" w:rsidRDefault="00E301F5" w:rsidP="00940CEB">
            <w:pPr>
              <w:jc w:val="center"/>
              <w:rPr>
                <w:rFonts w:ascii="Century Gothic" w:eastAsia="MS PGothic" w:hAnsi="Century Gothic"/>
                <w:color w:val="000000" w:themeColor="text1"/>
                <w:sz w:val="20"/>
                <w:szCs w:val="20"/>
                <w:lang w:eastAsia="en-US"/>
              </w:rPr>
            </w:pPr>
            <w:r w:rsidRPr="00855213">
              <w:rPr>
                <w:rFonts w:ascii="Century Gothic" w:eastAsia="MS PGothic" w:hAnsi="Century Gothic"/>
                <w:color w:val="000000" w:themeColor="text1"/>
                <w:sz w:val="20"/>
                <w:szCs w:val="20"/>
                <w:lang w:eastAsia="en-US"/>
              </w:rPr>
              <w:t>757</w:t>
            </w:r>
          </w:p>
        </w:tc>
        <w:tc>
          <w:tcPr>
            <w:tcW w:w="1044" w:type="dxa"/>
            <w:tcBorders>
              <w:top w:val="single" w:sz="8" w:space="0" w:color="auto"/>
              <w:left w:val="single" w:sz="4" w:space="0" w:color="auto"/>
              <w:bottom w:val="single" w:sz="8" w:space="0" w:color="auto"/>
              <w:right w:val="single" w:sz="4" w:space="0" w:color="auto"/>
            </w:tcBorders>
          </w:tcPr>
          <w:p w14:paraId="42F249A5" w14:textId="4FAE47CC"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527</w:t>
            </w:r>
          </w:p>
        </w:tc>
        <w:tc>
          <w:tcPr>
            <w:tcW w:w="885" w:type="dxa"/>
            <w:tcBorders>
              <w:top w:val="nil"/>
              <w:left w:val="single" w:sz="4" w:space="0" w:color="auto"/>
              <w:bottom w:val="single" w:sz="8" w:space="0" w:color="auto"/>
              <w:right w:val="single" w:sz="8" w:space="0" w:color="auto"/>
            </w:tcBorders>
            <w:noWrap/>
            <w:vAlign w:val="bottom"/>
            <w:hideMark/>
          </w:tcPr>
          <w:p w14:paraId="4C5BD01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938</w:t>
            </w:r>
          </w:p>
        </w:tc>
        <w:tc>
          <w:tcPr>
            <w:tcW w:w="990" w:type="dxa"/>
            <w:tcBorders>
              <w:top w:val="nil"/>
              <w:left w:val="nil"/>
              <w:bottom w:val="single" w:sz="8" w:space="0" w:color="auto"/>
              <w:right w:val="single" w:sz="8" w:space="0" w:color="auto"/>
            </w:tcBorders>
            <w:noWrap/>
            <w:vAlign w:val="bottom"/>
            <w:hideMark/>
          </w:tcPr>
          <w:p w14:paraId="794C259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1113</w:t>
            </w:r>
          </w:p>
        </w:tc>
        <w:tc>
          <w:tcPr>
            <w:tcW w:w="721" w:type="dxa"/>
            <w:tcBorders>
              <w:top w:val="nil"/>
              <w:left w:val="nil"/>
              <w:bottom w:val="single" w:sz="8" w:space="0" w:color="auto"/>
              <w:right w:val="single" w:sz="8" w:space="0" w:color="auto"/>
            </w:tcBorders>
            <w:noWrap/>
            <w:vAlign w:val="bottom"/>
            <w:hideMark/>
          </w:tcPr>
          <w:p w14:paraId="794A835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769</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3A9CB1A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1,008</w:t>
            </w:r>
          </w:p>
        </w:tc>
        <w:tc>
          <w:tcPr>
            <w:tcW w:w="715" w:type="dxa"/>
            <w:tcBorders>
              <w:top w:val="nil"/>
              <w:left w:val="nil"/>
              <w:bottom w:val="single" w:sz="8" w:space="0" w:color="auto"/>
              <w:right w:val="single" w:sz="8" w:space="0" w:color="auto"/>
            </w:tcBorders>
            <w:noWrap/>
            <w:vAlign w:val="bottom"/>
            <w:hideMark/>
          </w:tcPr>
          <w:p w14:paraId="285793C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1,312</w:t>
            </w:r>
          </w:p>
        </w:tc>
        <w:tc>
          <w:tcPr>
            <w:tcW w:w="756" w:type="dxa"/>
            <w:tcBorders>
              <w:top w:val="nil"/>
              <w:left w:val="nil"/>
              <w:bottom w:val="single" w:sz="8" w:space="0" w:color="auto"/>
              <w:right w:val="single" w:sz="8" w:space="0" w:color="auto"/>
            </w:tcBorders>
            <w:vAlign w:val="bottom"/>
            <w:hideMark/>
          </w:tcPr>
          <w:p w14:paraId="42CC2F46"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579AEAB4"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2DE6CF10"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Constance B Motley</w:t>
            </w:r>
          </w:p>
        </w:tc>
        <w:tc>
          <w:tcPr>
            <w:tcW w:w="963" w:type="dxa"/>
            <w:tcBorders>
              <w:top w:val="single" w:sz="8" w:space="0" w:color="auto"/>
              <w:left w:val="single" w:sz="4" w:space="0" w:color="auto"/>
              <w:bottom w:val="single" w:sz="8" w:space="0" w:color="auto"/>
              <w:right w:val="single" w:sz="4" w:space="0" w:color="auto"/>
            </w:tcBorders>
          </w:tcPr>
          <w:p w14:paraId="466DA323" w14:textId="50E0111D" w:rsidR="451FBE91" w:rsidRPr="00855213" w:rsidRDefault="00AC139F"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 xml:space="preserve"> 643</w:t>
            </w:r>
          </w:p>
        </w:tc>
        <w:tc>
          <w:tcPr>
            <w:tcW w:w="1191" w:type="dxa"/>
            <w:gridSpan w:val="2"/>
            <w:tcBorders>
              <w:top w:val="single" w:sz="8" w:space="0" w:color="auto"/>
              <w:left w:val="single" w:sz="4" w:space="0" w:color="auto"/>
              <w:bottom w:val="single" w:sz="8" w:space="0" w:color="auto"/>
              <w:right w:val="single" w:sz="4" w:space="0" w:color="auto"/>
            </w:tcBorders>
          </w:tcPr>
          <w:p w14:paraId="61FCF189" w14:textId="77777777" w:rsidR="00E301F5" w:rsidRPr="00855213" w:rsidRDefault="00E301F5" w:rsidP="00940CEB">
            <w:pPr>
              <w:jc w:val="center"/>
              <w:rPr>
                <w:rFonts w:ascii="Century Gothic" w:eastAsia="MS PGothic" w:hAnsi="Century Gothic"/>
                <w:sz w:val="20"/>
                <w:szCs w:val="20"/>
                <w:lang w:eastAsia="en-US"/>
              </w:rPr>
            </w:pPr>
          </w:p>
        </w:tc>
        <w:tc>
          <w:tcPr>
            <w:tcW w:w="913" w:type="dxa"/>
            <w:tcBorders>
              <w:top w:val="single" w:sz="8" w:space="0" w:color="auto"/>
              <w:left w:val="single" w:sz="4" w:space="0" w:color="auto"/>
              <w:bottom w:val="single" w:sz="8" w:space="0" w:color="auto"/>
              <w:right w:val="single" w:sz="4" w:space="0" w:color="auto"/>
            </w:tcBorders>
          </w:tcPr>
          <w:p w14:paraId="1769A4C3" w14:textId="39B7F9F5"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233</w:t>
            </w:r>
          </w:p>
        </w:tc>
        <w:tc>
          <w:tcPr>
            <w:tcW w:w="1044" w:type="dxa"/>
            <w:tcBorders>
              <w:top w:val="single" w:sz="8" w:space="0" w:color="auto"/>
              <w:left w:val="single" w:sz="4" w:space="0" w:color="auto"/>
              <w:bottom w:val="single" w:sz="8" w:space="0" w:color="auto"/>
              <w:right w:val="single" w:sz="4" w:space="0" w:color="auto"/>
            </w:tcBorders>
          </w:tcPr>
          <w:p w14:paraId="7874454B" w14:textId="7585AFB2"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63</w:t>
            </w:r>
          </w:p>
        </w:tc>
        <w:tc>
          <w:tcPr>
            <w:tcW w:w="885" w:type="dxa"/>
            <w:tcBorders>
              <w:top w:val="nil"/>
              <w:left w:val="single" w:sz="4" w:space="0" w:color="auto"/>
              <w:bottom w:val="single" w:sz="8" w:space="0" w:color="auto"/>
              <w:right w:val="single" w:sz="8" w:space="0" w:color="auto"/>
            </w:tcBorders>
            <w:noWrap/>
            <w:vAlign w:val="bottom"/>
            <w:hideMark/>
          </w:tcPr>
          <w:p w14:paraId="0AA272A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123</w:t>
            </w:r>
          </w:p>
        </w:tc>
        <w:tc>
          <w:tcPr>
            <w:tcW w:w="990" w:type="dxa"/>
            <w:tcBorders>
              <w:top w:val="nil"/>
              <w:left w:val="nil"/>
              <w:bottom w:val="single" w:sz="8" w:space="0" w:color="auto"/>
              <w:right w:val="single" w:sz="8" w:space="0" w:color="auto"/>
            </w:tcBorders>
            <w:noWrap/>
            <w:vAlign w:val="bottom"/>
            <w:hideMark/>
          </w:tcPr>
          <w:p w14:paraId="1515425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97</w:t>
            </w:r>
          </w:p>
        </w:tc>
        <w:tc>
          <w:tcPr>
            <w:tcW w:w="721" w:type="dxa"/>
            <w:tcBorders>
              <w:top w:val="nil"/>
              <w:left w:val="nil"/>
              <w:bottom w:val="single" w:sz="8" w:space="0" w:color="auto"/>
              <w:right w:val="single" w:sz="8" w:space="0" w:color="auto"/>
            </w:tcBorders>
            <w:noWrap/>
            <w:vAlign w:val="bottom"/>
            <w:hideMark/>
          </w:tcPr>
          <w:p w14:paraId="6B9EDCFE"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197</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4890F0DD"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609</w:t>
            </w:r>
          </w:p>
        </w:tc>
        <w:tc>
          <w:tcPr>
            <w:tcW w:w="715" w:type="dxa"/>
            <w:tcBorders>
              <w:top w:val="nil"/>
              <w:left w:val="nil"/>
              <w:bottom w:val="single" w:sz="8" w:space="0" w:color="auto"/>
              <w:right w:val="single" w:sz="8" w:space="0" w:color="auto"/>
            </w:tcBorders>
            <w:noWrap/>
            <w:vAlign w:val="bottom"/>
            <w:hideMark/>
          </w:tcPr>
          <w:p w14:paraId="7B751A09"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573</w:t>
            </w:r>
          </w:p>
        </w:tc>
        <w:tc>
          <w:tcPr>
            <w:tcW w:w="756" w:type="dxa"/>
            <w:tcBorders>
              <w:top w:val="nil"/>
              <w:left w:val="nil"/>
              <w:bottom w:val="single" w:sz="8" w:space="0" w:color="auto"/>
              <w:right w:val="single" w:sz="8" w:space="0" w:color="auto"/>
            </w:tcBorders>
            <w:vAlign w:val="bottom"/>
            <w:hideMark/>
          </w:tcPr>
          <w:p w14:paraId="5674BD9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05783B34"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6D2ADDD8"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Crawford</w:t>
            </w:r>
          </w:p>
        </w:tc>
        <w:tc>
          <w:tcPr>
            <w:tcW w:w="963" w:type="dxa"/>
            <w:tcBorders>
              <w:top w:val="single" w:sz="8" w:space="0" w:color="auto"/>
              <w:left w:val="single" w:sz="4" w:space="0" w:color="auto"/>
              <w:bottom w:val="single" w:sz="8" w:space="0" w:color="auto"/>
              <w:right w:val="single" w:sz="4" w:space="0" w:color="auto"/>
            </w:tcBorders>
          </w:tcPr>
          <w:p w14:paraId="705F3C5C" w14:textId="3B9473F8" w:rsidR="2D03861B" w:rsidRPr="00855213" w:rsidRDefault="00DA11E6"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1548</w:t>
            </w:r>
          </w:p>
        </w:tc>
        <w:tc>
          <w:tcPr>
            <w:tcW w:w="1191" w:type="dxa"/>
            <w:gridSpan w:val="2"/>
            <w:tcBorders>
              <w:top w:val="single" w:sz="8" w:space="0" w:color="auto"/>
              <w:left w:val="single" w:sz="4" w:space="0" w:color="auto"/>
              <w:bottom w:val="single" w:sz="8" w:space="0" w:color="auto"/>
              <w:right w:val="single" w:sz="4" w:space="0" w:color="auto"/>
            </w:tcBorders>
          </w:tcPr>
          <w:p w14:paraId="6A6C8318" w14:textId="27077E01" w:rsidR="00E301F5" w:rsidRPr="00855213" w:rsidRDefault="4B69186D"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2017</w:t>
            </w:r>
          </w:p>
        </w:tc>
        <w:tc>
          <w:tcPr>
            <w:tcW w:w="913" w:type="dxa"/>
            <w:tcBorders>
              <w:top w:val="single" w:sz="8" w:space="0" w:color="auto"/>
              <w:left w:val="single" w:sz="4" w:space="0" w:color="auto"/>
              <w:bottom w:val="single" w:sz="8" w:space="0" w:color="auto"/>
              <w:right w:val="single" w:sz="4" w:space="0" w:color="auto"/>
            </w:tcBorders>
          </w:tcPr>
          <w:p w14:paraId="19BBB401" w14:textId="3FCB0430" w:rsidR="00E301F5" w:rsidRPr="00855213" w:rsidRDefault="00E301F5" w:rsidP="00940CEB">
            <w:pPr>
              <w:jc w:val="center"/>
              <w:rPr>
                <w:rFonts w:ascii="Century Gothic" w:eastAsia="MS PGothic" w:hAnsi="Century Gothic"/>
                <w:sz w:val="20"/>
                <w:szCs w:val="20"/>
                <w:lang w:eastAsia="en-US"/>
              </w:rPr>
            </w:pPr>
          </w:p>
          <w:p w14:paraId="713406D8" w14:textId="3FE2F9C7"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1172</w:t>
            </w:r>
          </w:p>
        </w:tc>
        <w:tc>
          <w:tcPr>
            <w:tcW w:w="1044" w:type="dxa"/>
            <w:tcBorders>
              <w:top w:val="single" w:sz="8" w:space="0" w:color="auto"/>
              <w:left w:val="single" w:sz="4" w:space="0" w:color="auto"/>
              <w:bottom w:val="single" w:sz="8" w:space="0" w:color="auto"/>
              <w:right w:val="single" w:sz="4" w:space="0" w:color="auto"/>
            </w:tcBorders>
          </w:tcPr>
          <w:p w14:paraId="4DFD210D" w14:textId="77777777" w:rsidR="00E301F5" w:rsidRPr="00855213" w:rsidRDefault="00E301F5" w:rsidP="00940CEB">
            <w:pPr>
              <w:jc w:val="center"/>
              <w:rPr>
                <w:rFonts w:ascii="Century Gothic" w:eastAsia="Times New Roman" w:hAnsi="Century Gothic"/>
                <w:sz w:val="20"/>
                <w:szCs w:val="20"/>
                <w:lang w:eastAsia="en-US"/>
              </w:rPr>
            </w:pPr>
          </w:p>
          <w:p w14:paraId="429BFA58" w14:textId="41C097E3"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412</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208D9B3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372</w:t>
            </w:r>
          </w:p>
        </w:tc>
        <w:tc>
          <w:tcPr>
            <w:tcW w:w="990" w:type="dxa"/>
            <w:tcBorders>
              <w:top w:val="nil"/>
              <w:left w:val="nil"/>
              <w:bottom w:val="single" w:sz="8" w:space="0" w:color="auto"/>
              <w:right w:val="single" w:sz="8" w:space="0" w:color="auto"/>
            </w:tcBorders>
            <w:noWrap/>
            <w:vAlign w:val="bottom"/>
            <w:hideMark/>
          </w:tcPr>
          <w:p w14:paraId="738918B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768</w:t>
            </w:r>
          </w:p>
        </w:tc>
        <w:tc>
          <w:tcPr>
            <w:tcW w:w="721" w:type="dxa"/>
            <w:tcBorders>
              <w:top w:val="nil"/>
              <w:left w:val="nil"/>
              <w:bottom w:val="single" w:sz="8" w:space="0" w:color="auto"/>
              <w:right w:val="single" w:sz="8" w:space="0" w:color="auto"/>
            </w:tcBorders>
            <w:noWrap/>
            <w:vAlign w:val="bottom"/>
            <w:hideMark/>
          </w:tcPr>
          <w:p w14:paraId="6D8564F0"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907</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317E4A3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1,461</w:t>
            </w:r>
          </w:p>
        </w:tc>
        <w:tc>
          <w:tcPr>
            <w:tcW w:w="715" w:type="dxa"/>
            <w:tcBorders>
              <w:top w:val="nil"/>
              <w:left w:val="nil"/>
              <w:bottom w:val="single" w:sz="8" w:space="0" w:color="auto"/>
              <w:right w:val="single" w:sz="8" w:space="0" w:color="auto"/>
            </w:tcBorders>
            <w:noWrap/>
            <w:vAlign w:val="bottom"/>
            <w:hideMark/>
          </w:tcPr>
          <w:p w14:paraId="54F10F2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56" w:type="dxa"/>
            <w:tcBorders>
              <w:top w:val="nil"/>
              <w:left w:val="nil"/>
              <w:bottom w:val="single" w:sz="8" w:space="0" w:color="auto"/>
              <w:right w:val="single" w:sz="8" w:space="0" w:color="auto"/>
            </w:tcBorders>
            <w:vAlign w:val="bottom"/>
            <w:hideMark/>
          </w:tcPr>
          <w:p w14:paraId="3EDED40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855213" w:rsidRPr="006D6566" w14:paraId="06E66BA5"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hideMark/>
          </w:tcPr>
          <w:p w14:paraId="7083F1A2" w14:textId="7B8A379C" w:rsidR="00855213" w:rsidRPr="00855213" w:rsidRDefault="00855213" w:rsidP="00855213">
            <w:pPr>
              <w:rPr>
                <w:rFonts w:ascii="Century Gothic" w:eastAsia="Times New Roman" w:hAnsi="Century Gothic"/>
                <w:color w:val="000000"/>
                <w:sz w:val="20"/>
                <w:szCs w:val="20"/>
                <w:lang w:eastAsia="en-US"/>
              </w:rPr>
            </w:pPr>
          </w:p>
        </w:tc>
        <w:tc>
          <w:tcPr>
            <w:tcW w:w="963" w:type="dxa"/>
            <w:tcBorders>
              <w:top w:val="single" w:sz="8" w:space="0" w:color="auto"/>
              <w:left w:val="single" w:sz="4" w:space="0" w:color="auto"/>
              <w:bottom w:val="single" w:sz="8" w:space="0" w:color="auto"/>
              <w:right w:val="single" w:sz="4" w:space="0" w:color="auto"/>
            </w:tcBorders>
          </w:tcPr>
          <w:p w14:paraId="7C34DBC0" w14:textId="00845A4E" w:rsidR="00855213" w:rsidRPr="00855213" w:rsidRDefault="00855213" w:rsidP="00855213">
            <w:pPr>
              <w:jc w:val="center"/>
              <w:rPr>
                <w:rFonts w:ascii="Century Gothic" w:eastAsia="MS PGothic" w:hAnsi="Century Gothic"/>
                <w:sz w:val="20"/>
                <w:szCs w:val="20"/>
                <w:lang w:eastAsia="en-US"/>
              </w:rPr>
            </w:pPr>
          </w:p>
        </w:tc>
        <w:tc>
          <w:tcPr>
            <w:tcW w:w="1191" w:type="dxa"/>
            <w:gridSpan w:val="2"/>
            <w:tcBorders>
              <w:top w:val="single" w:sz="8" w:space="0" w:color="auto"/>
              <w:left w:val="single" w:sz="4" w:space="0" w:color="auto"/>
              <w:bottom w:val="single" w:sz="8" w:space="0" w:color="auto"/>
              <w:right w:val="single" w:sz="4" w:space="0" w:color="auto"/>
            </w:tcBorders>
          </w:tcPr>
          <w:p w14:paraId="4FFBFF0B" w14:textId="708914E9" w:rsidR="00855213" w:rsidRPr="00855213" w:rsidRDefault="00855213" w:rsidP="00855213">
            <w:pPr>
              <w:jc w:val="center"/>
              <w:rPr>
                <w:rFonts w:ascii="Century Gothic" w:eastAsia="MS PGothic" w:hAnsi="Century Gothic"/>
                <w:sz w:val="20"/>
                <w:szCs w:val="20"/>
                <w:lang w:eastAsia="en-US"/>
              </w:rPr>
            </w:pPr>
          </w:p>
        </w:tc>
        <w:tc>
          <w:tcPr>
            <w:tcW w:w="913" w:type="dxa"/>
            <w:tcBorders>
              <w:top w:val="single" w:sz="8" w:space="0" w:color="auto"/>
              <w:left w:val="single" w:sz="4" w:space="0" w:color="auto"/>
              <w:bottom w:val="single" w:sz="8" w:space="0" w:color="auto"/>
              <w:right w:val="single" w:sz="4" w:space="0" w:color="auto"/>
            </w:tcBorders>
          </w:tcPr>
          <w:p w14:paraId="1F1D6365" w14:textId="55F41FC9" w:rsidR="00855213" w:rsidRPr="00855213" w:rsidRDefault="00855213" w:rsidP="00855213">
            <w:pPr>
              <w:jc w:val="center"/>
              <w:rPr>
                <w:rFonts w:ascii="Century Gothic" w:eastAsia="MS PGothic" w:hAnsi="Century Gothic"/>
                <w:sz w:val="20"/>
                <w:szCs w:val="20"/>
                <w:lang w:eastAsia="en-US"/>
              </w:rPr>
            </w:pPr>
          </w:p>
        </w:tc>
        <w:tc>
          <w:tcPr>
            <w:tcW w:w="1044" w:type="dxa"/>
            <w:tcBorders>
              <w:top w:val="single" w:sz="8" w:space="0" w:color="auto"/>
              <w:left w:val="single" w:sz="4" w:space="0" w:color="auto"/>
              <w:bottom w:val="single" w:sz="8" w:space="0" w:color="auto"/>
              <w:right w:val="single" w:sz="4" w:space="0" w:color="auto"/>
            </w:tcBorders>
          </w:tcPr>
          <w:p w14:paraId="4A075C65" w14:textId="1174520A" w:rsidR="00855213" w:rsidRPr="00855213" w:rsidRDefault="00855213" w:rsidP="00855213">
            <w:pPr>
              <w:jc w:val="center"/>
              <w:rPr>
                <w:rFonts w:ascii="Century Gothic" w:eastAsia="Times New Roman" w:hAnsi="Century Gothic"/>
                <w:sz w:val="20"/>
                <w:szCs w:val="20"/>
                <w:lang w:eastAsia="en-US"/>
              </w:rPr>
            </w:pPr>
          </w:p>
        </w:tc>
        <w:tc>
          <w:tcPr>
            <w:tcW w:w="885" w:type="dxa"/>
            <w:tcBorders>
              <w:top w:val="nil"/>
              <w:left w:val="single" w:sz="4" w:space="0" w:color="auto"/>
              <w:bottom w:val="single" w:sz="8" w:space="0" w:color="auto"/>
              <w:right w:val="single" w:sz="8" w:space="0" w:color="auto"/>
            </w:tcBorders>
            <w:noWrap/>
            <w:hideMark/>
          </w:tcPr>
          <w:p w14:paraId="10D9D974" w14:textId="367C1250" w:rsidR="00855213" w:rsidRPr="00855213" w:rsidRDefault="00855213" w:rsidP="00855213">
            <w:pPr>
              <w:jc w:val="center"/>
              <w:rPr>
                <w:rFonts w:ascii="Century Gothic" w:eastAsia="Times New Roman" w:hAnsi="Century Gothic"/>
                <w:color w:val="000000"/>
                <w:sz w:val="20"/>
                <w:szCs w:val="20"/>
                <w:lang w:eastAsia="en-US"/>
              </w:rPr>
            </w:pPr>
          </w:p>
        </w:tc>
        <w:tc>
          <w:tcPr>
            <w:tcW w:w="990" w:type="dxa"/>
            <w:tcBorders>
              <w:top w:val="nil"/>
              <w:left w:val="nil"/>
              <w:bottom w:val="single" w:sz="8" w:space="0" w:color="auto"/>
              <w:right w:val="single" w:sz="8" w:space="0" w:color="auto"/>
            </w:tcBorders>
            <w:noWrap/>
            <w:hideMark/>
          </w:tcPr>
          <w:p w14:paraId="1077E586" w14:textId="50D7683E" w:rsidR="00855213" w:rsidRPr="00855213" w:rsidRDefault="00855213" w:rsidP="00855213">
            <w:pPr>
              <w:jc w:val="center"/>
              <w:rPr>
                <w:rFonts w:ascii="Century Gothic" w:eastAsia="Times New Roman" w:hAnsi="Century Gothic"/>
                <w:color w:val="000000"/>
                <w:sz w:val="20"/>
                <w:szCs w:val="20"/>
                <w:lang w:eastAsia="en-US"/>
              </w:rPr>
            </w:pPr>
          </w:p>
        </w:tc>
        <w:tc>
          <w:tcPr>
            <w:tcW w:w="721" w:type="dxa"/>
            <w:tcBorders>
              <w:top w:val="nil"/>
              <w:left w:val="nil"/>
              <w:bottom w:val="single" w:sz="8" w:space="0" w:color="auto"/>
              <w:right w:val="single" w:sz="8" w:space="0" w:color="auto"/>
            </w:tcBorders>
            <w:noWrap/>
            <w:hideMark/>
          </w:tcPr>
          <w:p w14:paraId="62AD09DD" w14:textId="72C702EA" w:rsidR="00855213" w:rsidRPr="00855213" w:rsidRDefault="00855213" w:rsidP="00855213">
            <w:pPr>
              <w:jc w:val="center"/>
              <w:rPr>
                <w:rFonts w:ascii="Century Gothic" w:eastAsia="Times New Roman" w:hAnsi="Century Gothic"/>
                <w:color w:val="000000"/>
                <w:sz w:val="20"/>
                <w:szCs w:val="20"/>
                <w:lang w:eastAsia="en-US"/>
              </w:rPr>
            </w:pPr>
          </w:p>
        </w:tc>
        <w:tc>
          <w:tcPr>
            <w:tcW w:w="715" w:type="dxa"/>
            <w:tcBorders>
              <w:top w:val="nil"/>
              <w:left w:val="nil"/>
              <w:bottom w:val="single" w:sz="8" w:space="0" w:color="auto"/>
              <w:right w:val="single" w:sz="8" w:space="0" w:color="auto"/>
            </w:tcBorders>
            <w:shd w:val="clear" w:color="auto" w:fill="F6DCD4" w:themeFill="accent4" w:themeFillTint="33"/>
            <w:noWrap/>
            <w:hideMark/>
          </w:tcPr>
          <w:p w14:paraId="2360485E" w14:textId="57C7B687" w:rsidR="00855213" w:rsidRPr="00855213" w:rsidRDefault="00855213" w:rsidP="00855213">
            <w:pPr>
              <w:jc w:val="center"/>
              <w:rPr>
                <w:rFonts w:ascii="Century Gothic" w:eastAsia="Times New Roman" w:hAnsi="Century Gothic"/>
                <w:color w:val="000000"/>
                <w:sz w:val="20"/>
                <w:szCs w:val="20"/>
                <w:lang w:eastAsia="en-US"/>
              </w:rPr>
            </w:pPr>
          </w:p>
        </w:tc>
        <w:tc>
          <w:tcPr>
            <w:tcW w:w="715" w:type="dxa"/>
            <w:tcBorders>
              <w:top w:val="nil"/>
              <w:left w:val="nil"/>
              <w:bottom w:val="single" w:sz="8" w:space="0" w:color="auto"/>
              <w:right w:val="single" w:sz="8" w:space="0" w:color="auto"/>
            </w:tcBorders>
            <w:noWrap/>
            <w:hideMark/>
          </w:tcPr>
          <w:p w14:paraId="3FC4F2E6" w14:textId="23B24C0F" w:rsidR="00855213" w:rsidRPr="00855213" w:rsidRDefault="00855213" w:rsidP="00855213">
            <w:pPr>
              <w:jc w:val="center"/>
              <w:rPr>
                <w:rFonts w:ascii="Century Gothic" w:eastAsia="Times New Roman" w:hAnsi="Century Gothic"/>
                <w:color w:val="000000"/>
                <w:sz w:val="20"/>
                <w:szCs w:val="20"/>
                <w:lang w:eastAsia="en-US"/>
              </w:rPr>
            </w:pPr>
          </w:p>
        </w:tc>
        <w:tc>
          <w:tcPr>
            <w:tcW w:w="756" w:type="dxa"/>
            <w:tcBorders>
              <w:top w:val="nil"/>
              <w:left w:val="nil"/>
              <w:bottom w:val="single" w:sz="8" w:space="0" w:color="auto"/>
              <w:right w:val="single" w:sz="8" w:space="0" w:color="auto"/>
            </w:tcBorders>
            <w:hideMark/>
          </w:tcPr>
          <w:p w14:paraId="01A7369A" w14:textId="0A1CAE53" w:rsidR="00855213" w:rsidRPr="00855213" w:rsidRDefault="00855213" w:rsidP="00855213">
            <w:pPr>
              <w:jc w:val="center"/>
              <w:rPr>
                <w:rFonts w:ascii="Century Gothic" w:eastAsia="Times New Roman" w:hAnsi="Century Gothic"/>
                <w:color w:val="000000"/>
                <w:sz w:val="20"/>
                <w:szCs w:val="20"/>
                <w:lang w:eastAsia="en-US"/>
              </w:rPr>
            </w:pPr>
          </w:p>
        </w:tc>
      </w:tr>
      <w:tr w:rsidR="00773342" w:rsidRPr="006D6566" w14:paraId="0FEC44FA"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50BC472C"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Essex Townhouses</w:t>
            </w:r>
          </w:p>
        </w:tc>
        <w:tc>
          <w:tcPr>
            <w:tcW w:w="963" w:type="dxa"/>
            <w:tcBorders>
              <w:top w:val="single" w:sz="8" w:space="0" w:color="auto"/>
              <w:left w:val="single" w:sz="4" w:space="0" w:color="auto"/>
              <w:bottom w:val="single" w:sz="8" w:space="0" w:color="auto"/>
              <w:right w:val="single" w:sz="4" w:space="0" w:color="auto"/>
            </w:tcBorders>
          </w:tcPr>
          <w:p w14:paraId="382436BB" w14:textId="2A2F0586" w:rsidR="2D03861B" w:rsidRPr="00855213" w:rsidRDefault="00127963"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788</w:t>
            </w:r>
          </w:p>
        </w:tc>
        <w:tc>
          <w:tcPr>
            <w:tcW w:w="1191" w:type="dxa"/>
            <w:gridSpan w:val="2"/>
            <w:tcBorders>
              <w:top w:val="single" w:sz="8" w:space="0" w:color="auto"/>
              <w:left w:val="single" w:sz="4" w:space="0" w:color="auto"/>
              <w:bottom w:val="single" w:sz="8" w:space="0" w:color="auto"/>
              <w:right w:val="single" w:sz="4" w:space="0" w:color="auto"/>
            </w:tcBorders>
          </w:tcPr>
          <w:p w14:paraId="3088B07C" w14:textId="3B881877" w:rsidR="00E301F5" w:rsidRPr="00855213" w:rsidRDefault="31EB66FA"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1029</w:t>
            </w:r>
          </w:p>
        </w:tc>
        <w:tc>
          <w:tcPr>
            <w:tcW w:w="913" w:type="dxa"/>
            <w:tcBorders>
              <w:top w:val="single" w:sz="8" w:space="0" w:color="auto"/>
              <w:left w:val="single" w:sz="4" w:space="0" w:color="auto"/>
              <w:bottom w:val="single" w:sz="8" w:space="0" w:color="auto"/>
              <w:right w:val="single" w:sz="4" w:space="0" w:color="auto"/>
            </w:tcBorders>
          </w:tcPr>
          <w:p w14:paraId="7F997830" w14:textId="11742A55"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716</w:t>
            </w:r>
          </w:p>
        </w:tc>
        <w:tc>
          <w:tcPr>
            <w:tcW w:w="1044" w:type="dxa"/>
            <w:tcBorders>
              <w:top w:val="single" w:sz="8" w:space="0" w:color="auto"/>
              <w:left w:val="single" w:sz="4" w:space="0" w:color="auto"/>
              <w:bottom w:val="single" w:sz="8" w:space="0" w:color="auto"/>
              <w:right w:val="single" w:sz="4" w:space="0" w:color="auto"/>
            </w:tcBorders>
          </w:tcPr>
          <w:p w14:paraId="097E94D2" w14:textId="5F94852E"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239</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62034B18" w14:textId="68A6222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167</w:t>
            </w:r>
          </w:p>
        </w:tc>
        <w:tc>
          <w:tcPr>
            <w:tcW w:w="990" w:type="dxa"/>
            <w:tcBorders>
              <w:top w:val="nil"/>
              <w:left w:val="nil"/>
              <w:bottom w:val="single" w:sz="8" w:space="0" w:color="auto"/>
              <w:right w:val="single" w:sz="8" w:space="0" w:color="auto"/>
            </w:tcBorders>
            <w:noWrap/>
            <w:vAlign w:val="bottom"/>
            <w:hideMark/>
          </w:tcPr>
          <w:p w14:paraId="3364D3A7"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156</w:t>
            </w:r>
          </w:p>
        </w:tc>
        <w:tc>
          <w:tcPr>
            <w:tcW w:w="721" w:type="dxa"/>
            <w:tcBorders>
              <w:top w:val="nil"/>
              <w:left w:val="nil"/>
              <w:bottom w:val="single" w:sz="8" w:space="0" w:color="auto"/>
              <w:right w:val="single" w:sz="8" w:space="0" w:color="auto"/>
            </w:tcBorders>
            <w:noWrap/>
            <w:vAlign w:val="bottom"/>
            <w:hideMark/>
          </w:tcPr>
          <w:p w14:paraId="3E1871C7" w14:textId="150EFD49" w:rsidR="00E301F5" w:rsidRPr="00855213" w:rsidRDefault="00E301F5" w:rsidP="00940CEB">
            <w:pPr>
              <w:jc w:val="center"/>
              <w:rPr>
                <w:rFonts w:ascii="Century Gothic" w:eastAsia="Times New Roman" w:hAnsi="Century Gothic"/>
                <w:color w:val="000000"/>
                <w:sz w:val="20"/>
                <w:szCs w:val="20"/>
                <w:lang w:eastAsia="en-US"/>
              </w:rPr>
            </w:pP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4AD1BD67"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220</w:t>
            </w:r>
          </w:p>
        </w:tc>
        <w:tc>
          <w:tcPr>
            <w:tcW w:w="715" w:type="dxa"/>
            <w:tcBorders>
              <w:top w:val="nil"/>
              <w:left w:val="nil"/>
              <w:bottom w:val="single" w:sz="8" w:space="0" w:color="auto"/>
              <w:right w:val="single" w:sz="8" w:space="0" w:color="auto"/>
            </w:tcBorders>
            <w:noWrap/>
            <w:vAlign w:val="bottom"/>
            <w:hideMark/>
          </w:tcPr>
          <w:p w14:paraId="6B5BF7A6"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190</w:t>
            </w:r>
          </w:p>
        </w:tc>
        <w:tc>
          <w:tcPr>
            <w:tcW w:w="756" w:type="dxa"/>
            <w:tcBorders>
              <w:top w:val="nil"/>
              <w:left w:val="nil"/>
              <w:bottom w:val="single" w:sz="8" w:space="0" w:color="auto"/>
              <w:right w:val="single" w:sz="8" w:space="0" w:color="auto"/>
            </w:tcBorders>
            <w:vAlign w:val="bottom"/>
            <w:hideMark/>
          </w:tcPr>
          <w:p w14:paraId="42389656"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1F55CEBE"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761ED53A"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Fairhaven Chatham</w:t>
            </w:r>
          </w:p>
        </w:tc>
        <w:tc>
          <w:tcPr>
            <w:tcW w:w="963" w:type="dxa"/>
            <w:tcBorders>
              <w:top w:val="single" w:sz="8" w:space="0" w:color="auto"/>
              <w:left w:val="single" w:sz="4" w:space="0" w:color="auto"/>
              <w:bottom w:val="single" w:sz="8" w:space="0" w:color="auto"/>
              <w:right w:val="single" w:sz="4" w:space="0" w:color="auto"/>
            </w:tcBorders>
          </w:tcPr>
          <w:p w14:paraId="464A8A92" w14:textId="235BEB47" w:rsidR="21B62376" w:rsidRPr="00855213" w:rsidRDefault="21B62376"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489</w:t>
            </w:r>
          </w:p>
        </w:tc>
        <w:tc>
          <w:tcPr>
            <w:tcW w:w="1191" w:type="dxa"/>
            <w:gridSpan w:val="2"/>
            <w:tcBorders>
              <w:top w:val="single" w:sz="8" w:space="0" w:color="auto"/>
              <w:left w:val="single" w:sz="4" w:space="0" w:color="auto"/>
              <w:bottom w:val="single" w:sz="8" w:space="0" w:color="auto"/>
              <w:right w:val="single" w:sz="4" w:space="0" w:color="auto"/>
            </w:tcBorders>
          </w:tcPr>
          <w:p w14:paraId="70DA6E0E" w14:textId="6779A50E"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353</w:t>
            </w:r>
          </w:p>
        </w:tc>
        <w:tc>
          <w:tcPr>
            <w:tcW w:w="913" w:type="dxa"/>
            <w:tcBorders>
              <w:top w:val="single" w:sz="8" w:space="0" w:color="auto"/>
              <w:left w:val="single" w:sz="4" w:space="0" w:color="auto"/>
              <w:bottom w:val="single" w:sz="8" w:space="0" w:color="auto"/>
              <w:right w:val="single" w:sz="4" w:space="0" w:color="auto"/>
            </w:tcBorders>
          </w:tcPr>
          <w:p w14:paraId="6853CD69" w14:textId="06E741F8"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325</w:t>
            </w:r>
          </w:p>
        </w:tc>
        <w:tc>
          <w:tcPr>
            <w:tcW w:w="1044" w:type="dxa"/>
            <w:tcBorders>
              <w:top w:val="single" w:sz="8" w:space="0" w:color="auto"/>
              <w:left w:val="single" w:sz="4" w:space="0" w:color="auto"/>
              <w:bottom w:val="single" w:sz="8" w:space="0" w:color="auto"/>
              <w:right w:val="single" w:sz="4" w:space="0" w:color="auto"/>
            </w:tcBorders>
          </w:tcPr>
          <w:p w14:paraId="4B26A12D" w14:textId="150A5C41"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97</w:t>
            </w:r>
          </w:p>
        </w:tc>
        <w:tc>
          <w:tcPr>
            <w:tcW w:w="885" w:type="dxa"/>
            <w:tcBorders>
              <w:top w:val="nil"/>
              <w:left w:val="single" w:sz="4" w:space="0" w:color="auto"/>
              <w:bottom w:val="single" w:sz="8" w:space="0" w:color="auto"/>
              <w:right w:val="single" w:sz="8" w:space="0" w:color="auto"/>
            </w:tcBorders>
            <w:noWrap/>
            <w:vAlign w:val="bottom"/>
            <w:hideMark/>
          </w:tcPr>
          <w:p w14:paraId="17E70AE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71</w:t>
            </w:r>
          </w:p>
        </w:tc>
        <w:tc>
          <w:tcPr>
            <w:tcW w:w="990" w:type="dxa"/>
            <w:tcBorders>
              <w:top w:val="nil"/>
              <w:left w:val="nil"/>
              <w:bottom w:val="single" w:sz="8" w:space="0" w:color="auto"/>
              <w:right w:val="single" w:sz="8" w:space="0" w:color="auto"/>
            </w:tcBorders>
            <w:noWrap/>
            <w:vAlign w:val="bottom"/>
            <w:hideMark/>
          </w:tcPr>
          <w:p w14:paraId="159B25DA"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25</w:t>
            </w:r>
          </w:p>
        </w:tc>
        <w:tc>
          <w:tcPr>
            <w:tcW w:w="721" w:type="dxa"/>
            <w:tcBorders>
              <w:top w:val="nil"/>
              <w:left w:val="nil"/>
              <w:bottom w:val="single" w:sz="8" w:space="0" w:color="auto"/>
              <w:right w:val="single" w:sz="8" w:space="0" w:color="auto"/>
            </w:tcBorders>
            <w:noWrap/>
            <w:vAlign w:val="bottom"/>
            <w:hideMark/>
          </w:tcPr>
          <w:p w14:paraId="7C07EA6B"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238</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56B8FCF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92</w:t>
            </w:r>
          </w:p>
        </w:tc>
        <w:tc>
          <w:tcPr>
            <w:tcW w:w="715" w:type="dxa"/>
            <w:tcBorders>
              <w:top w:val="nil"/>
              <w:left w:val="nil"/>
              <w:bottom w:val="single" w:sz="8" w:space="0" w:color="auto"/>
              <w:right w:val="single" w:sz="8" w:space="0" w:color="auto"/>
            </w:tcBorders>
            <w:noWrap/>
            <w:vAlign w:val="bottom"/>
            <w:hideMark/>
          </w:tcPr>
          <w:p w14:paraId="11CE41F7"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56" w:type="dxa"/>
            <w:tcBorders>
              <w:top w:val="nil"/>
              <w:left w:val="nil"/>
              <w:bottom w:val="single" w:sz="8" w:space="0" w:color="auto"/>
              <w:right w:val="single" w:sz="8" w:space="0" w:color="auto"/>
            </w:tcBorders>
            <w:vAlign w:val="bottom"/>
            <w:hideMark/>
          </w:tcPr>
          <w:p w14:paraId="30C5623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6EC6839A"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39E9250B"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Fairhaven Eastview</w:t>
            </w:r>
          </w:p>
        </w:tc>
        <w:tc>
          <w:tcPr>
            <w:tcW w:w="963" w:type="dxa"/>
            <w:tcBorders>
              <w:top w:val="single" w:sz="8" w:space="0" w:color="auto"/>
              <w:left w:val="single" w:sz="4" w:space="0" w:color="auto"/>
              <w:bottom w:val="single" w:sz="4" w:space="0" w:color="auto"/>
              <w:right w:val="single" w:sz="4" w:space="0" w:color="auto"/>
            </w:tcBorders>
          </w:tcPr>
          <w:p w14:paraId="791DE88B" w14:textId="0CCE1AB7" w:rsidR="6BAEF6A3" w:rsidRPr="00855213" w:rsidRDefault="6BAEF6A3"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380</w:t>
            </w:r>
          </w:p>
        </w:tc>
        <w:tc>
          <w:tcPr>
            <w:tcW w:w="1191" w:type="dxa"/>
            <w:gridSpan w:val="2"/>
            <w:tcBorders>
              <w:top w:val="single" w:sz="8" w:space="0" w:color="auto"/>
              <w:left w:val="single" w:sz="4" w:space="0" w:color="auto"/>
              <w:bottom w:val="single" w:sz="4" w:space="0" w:color="auto"/>
              <w:right w:val="single" w:sz="4" w:space="0" w:color="auto"/>
            </w:tcBorders>
          </w:tcPr>
          <w:p w14:paraId="1ADB7FD8" w14:textId="68DFE0F2"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278</w:t>
            </w:r>
          </w:p>
        </w:tc>
        <w:tc>
          <w:tcPr>
            <w:tcW w:w="913" w:type="dxa"/>
            <w:tcBorders>
              <w:top w:val="single" w:sz="8" w:space="0" w:color="auto"/>
              <w:left w:val="single" w:sz="4" w:space="0" w:color="auto"/>
              <w:bottom w:val="single" w:sz="4" w:space="0" w:color="auto"/>
              <w:right w:val="single" w:sz="4" w:space="0" w:color="auto"/>
            </w:tcBorders>
          </w:tcPr>
          <w:p w14:paraId="0EA6D274" w14:textId="06BCFA50"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325</w:t>
            </w:r>
          </w:p>
        </w:tc>
        <w:tc>
          <w:tcPr>
            <w:tcW w:w="1044" w:type="dxa"/>
            <w:tcBorders>
              <w:top w:val="single" w:sz="8" w:space="0" w:color="auto"/>
              <w:left w:val="single" w:sz="4" w:space="0" w:color="auto"/>
              <w:bottom w:val="single" w:sz="4" w:space="0" w:color="auto"/>
              <w:right w:val="single" w:sz="4" w:space="0" w:color="auto"/>
            </w:tcBorders>
          </w:tcPr>
          <w:p w14:paraId="6014B5CC" w14:textId="256BDD0A"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46</w:t>
            </w:r>
          </w:p>
        </w:tc>
        <w:tc>
          <w:tcPr>
            <w:tcW w:w="885" w:type="dxa"/>
            <w:tcBorders>
              <w:top w:val="nil"/>
              <w:left w:val="single" w:sz="4" w:space="0" w:color="auto"/>
              <w:bottom w:val="single" w:sz="8" w:space="0" w:color="auto"/>
              <w:right w:val="single" w:sz="8" w:space="0" w:color="auto"/>
            </w:tcBorders>
            <w:noWrap/>
            <w:vAlign w:val="bottom"/>
            <w:hideMark/>
          </w:tcPr>
          <w:p w14:paraId="403EDE8E"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28</w:t>
            </w:r>
          </w:p>
        </w:tc>
        <w:tc>
          <w:tcPr>
            <w:tcW w:w="990" w:type="dxa"/>
            <w:tcBorders>
              <w:top w:val="nil"/>
              <w:left w:val="nil"/>
              <w:bottom w:val="single" w:sz="8" w:space="0" w:color="auto"/>
              <w:right w:val="single" w:sz="8" w:space="0" w:color="auto"/>
            </w:tcBorders>
            <w:noWrap/>
            <w:vAlign w:val="bottom"/>
            <w:hideMark/>
          </w:tcPr>
          <w:p w14:paraId="46ECB2F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14</w:t>
            </w:r>
          </w:p>
        </w:tc>
        <w:tc>
          <w:tcPr>
            <w:tcW w:w="721" w:type="dxa"/>
            <w:tcBorders>
              <w:top w:val="nil"/>
              <w:left w:val="nil"/>
              <w:bottom w:val="single" w:sz="8" w:space="0" w:color="auto"/>
              <w:right w:val="single" w:sz="8" w:space="0" w:color="auto"/>
            </w:tcBorders>
            <w:noWrap/>
            <w:vAlign w:val="bottom"/>
            <w:hideMark/>
          </w:tcPr>
          <w:p w14:paraId="019AB594"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176</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2734AE4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129</w:t>
            </w:r>
          </w:p>
        </w:tc>
        <w:tc>
          <w:tcPr>
            <w:tcW w:w="715" w:type="dxa"/>
            <w:tcBorders>
              <w:top w:val="nil"/>
              <w:left w:val="nil"/>
              <w:bottom w:val="single" w:sz="8" w:space="0" w:color="auto"/>
              <w:right w:val="single" w:sz="8" w:space="0" w:color="auto"/>
            </w:tcBorders>
            <w:noWrap/>
            <w:vAlign w:val="bottom"/>
            <w:hideMark/>
          </w:tcPr>
          <w:p w14:paraId="2B0FC160"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56" w:type="dxa"/>
            <w:tcBorders>
              <w:top w:val="nil"/>
              <w:left w:val="nil"/>
              <w:bottom w:val="single" w:sz="8" w:space="0" w:color="auto"/>
              <w:right w:val="single" w:sz="8" w:space="0" w:color="auto"/>
            </w:tcBorders>
            <w:vAlign w:val="bottom"/>
            <w:hideMark/>
          </w:tcPr>
          <w:p w14:paraId="167A5974"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3046DF72"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50B3A5F0"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Fairmont Heights</w:t>
            </w:r>
          </w:p>
        </w:tc>
        <w:tc>
          <w:tcPr>
            <w:tcW w:w="963" w:type="dxa"/>
            <w:tcBorders>
              <w:top w:val="single" w:sz="4" w:space="0" w:color="auto"/>
              <w:left w:val="single" w:sz="4" w:space="0" w:color="auto"/>
              <w:bottom w:val="single" w:sz="8" w:space="0" w:color="auto"/>
              <w:right w:val="single" w:sz="4" w:space="0" w:color="auto"/>
            </w:tcBorders>
          </w:tcPr>
          <w:p w14:paraId="67DFDB69" w14:textId="2EFF39A3" w:rsidR="69EBB438" w:rsidRPr="00855213" w:rsidRDefault="69EBB438"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841</w:t>
            </w:r>
          </w:p>
        </w:tc>
        <w:tc>
          <w:tcPr>
            <w:tcW w:w="1191" w:type="dxa"/>
            <w:gridSpan w:val="2"/>
            <w:tcBorders>
              <w:top w:val="single" w:sz="4" w:space="0" w:color="auto"/>
              <w:left w:val="single" w:sz="4" w:space="0" w:color="auto"/>
              <w:bottom w:val="single" w:sz="8" w:space="0" w:color="auto"/>
              <w:right w:val="single" w:sz="4" w:space="0" w:color="auto"/>
            </w:tcBorders>
          </w:tcPr>
          <w:p w14:paraId="109D092A" w14:textId="0D99F20D"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174</w:t>
            </w:r>
          </w:p>
        </w:tc>
        <w:tc>
          <w:tcPr>
            <w:tcW w:w="913" w:type="dxa"/>
            <w:tcBorders>
              <w:top w:val="single" w:sz="4" w:space="0" w:color="auto"/>
              <w:left w:val="single" w:sz="4" w:space="0" w:color="auto"/>
              <w:bottom w:val="single" w:sz="8" w:space="0" w:color="auto"/>
              <w:right w:val="single" w:sz="4" w:space="0" w:color="auto"/>
            </w:tcBorders>
          </w:tcPr>
          <w:p w14:paraId="583E13EB" w14:textId="71C43E75"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457</w:t>
            </w:r>
          </w:p>
        </w:tc>
        <w:tc>
          <w:tcPr>
            <w:tcW w:w="1044" w:type="dxa"/>
            <w:tcBorders>
              <w:top w:val="single" w:sz="4" w:space="0" w:color="auto"/>
              <w:left w:val="single" w:sz="4" w:space="0" w:color="auto"/>
              <w:bottom w:val="single" w:sz="8" w:space="0" w:color="auto"/>
              <w:right w:val="single" w:sz="4" w:space="0" w:color="auto"/>
            </w:tcBorders>
          </w:tcPr>
          <w:p w14:paraId="627FE1B5" w14:textId="292717F2"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134</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16F1DB8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385</w:t>
            </w:r>
          </w:p>
        </w:tc>
        <w:tc>
          <w:tcPr>
            <w:tcW w:w="990" w:type="dxa"/>
            <w:tcBorders>
              <w:top w:val="nil"/>
              <w:left w:val="nil"/>
              <w:bottom w:val="single" w:sz="8" w:space="0" w:color="auto"/>
              <w:right w:val="single" w:sz="8" w:space="0" w:color="auto"/>
            </w:tcBorders>
            <w:noWrap/>
            <w:vAlign w:val="bottom"/>
            <w:hideMark/>
          </w:tcPr>
          <w:p w14:paraId="577EAC3E"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770</w:t>
            </w:r>
          </w:p>
        </w:tc>
        <w:tc>
          <w:tcPr>
            <w:tcW w:w="721" w:type="dxa"/>
            <w:tcBorders>
              <w:top w:val="nil"/>
              <w:left w:val="nil"/>
              <w:bottom w:val="single" w:sz="8" w:space="0" w:color="auto"/>
              <w:right w:val="single" w:sz="8" w:space="0" w:color="auto"/>
            </w:tcBorders>
            <w:noWrap/>
            <w:vAlign w:val="bottom"/>
            <w:hideMark/>
          </w:tcPr>
          <w:p w14:paraId="31A2B23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588</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499B02AD"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756</w:t>
            </w:r>
          </w:p>
        </w:tc>
        <w:tc>
          <w:tcPr>
            <w:tcW w:w="715" w:type="dxa"/>
            <w:tcBorders>
              <w:top w:val="nil"/>
              <w:left w:val="nil"/>
              <w:bottom w:val="single" w:sz="8" w:space="0" w:color="auto"/>
              <w:right w:val="single" w:sz="8" w:space="0" w:color="auto"/>
            </w:tcBorders>
            <w:noWrap/>
            <w:vAlign w:val="bottom"/>
            <w:hideMark/>
          </w:tcPr>
          <w:p w14:paraId="5AC290D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1024</w:t>
            </w:r>
          </w:p>
        </w:tc>
        <w:tc>
          <w:tcPr>
            <w:tcW w:w="756" w:type="dxa"/>
            <w:tcBorders>
              <w:top w:val="nil"/>
              <w:left w:val="nil"/>
              <w:bottom w:val="single" w:sz="8" w:space="0" w:color="auto"/>
              <w:right w:val="single" w:sz="8" w:space="0" w:color="auto"/>
            </w:tcBorders>
            <w:vAlign w:val="bottom"/>
            <w:hideMark/>
          </w:tcPr>
          <w:p w14:paraId="753C95A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460FD84C"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29F6EAE9" w14:textId="13874683" w:rsidR="00E301F5" w:rsidRPr="00855213" w:rsidRDefault="00E301F5" w:rsidP="00A45931">
            <w:pPr>
              <w:rPr>
                <w:rFonts w:ascii="Century Gothic" w:eastAsia="Times New Roman" w:hAnsi="Century Gothic"/>
                <w:color w:val="000000"/>
                <w:sz w:val="20"/>
                <w:szCs w:val="20"/>
                <w:lang w:eastAsia="en-US"/>
              </w:rPr>
            </w:pPr>
            <w:proofErr w:type="spellStart"/>
            <w:r w:rsidRPr="00855213">
              <w:rPr>
                <w:rFonts w:ascii="Century Gothic" w:eastAsia="Times New Roman" w:hAnsi="Century Gothic"/>
                <w:color w:val="000000"/>
                <w:sz w:val="20"/>
                <w:szCs w:val="20"/>
                <w:lang w:eastAsia="en-US"/>
              </w:rPr>
              <w:t>Farnam</w:t>
            </w:r>
            <w:proofErr w:type="spellEnd"/>
            <w:r w:rsidRPr="00855213">
              <w:rPr>
                <w:rFonts w:ascii="Century Gothic" w:eastAsia="Times New Roman" w:hAnsi="Century Gothic"/>
                <w:color w:val="000000"/>
                <w:sz w:val="20"/>
                <w:szCs w:val="20"/>
                <w:lang w:eastAsia="en-US"/>
              </w:rPr>
              <w:t xml:space="preserve"> Courts Mill River</w:t>
            </w:r>
          </w:p>
        </w:tc>
        <w:tc>
          <w:tcPr>
            <w:tcW w:w="963" w:type="dxa"/>
            <w:tcBorders>
              <w:top w:val="single" w:sz="8" w:space="0" w:color="auto"/>
              <w:left w:val="single" w:sz="4" w:space="0" w:color="auto"/>
              <w:bottom w:val="single" w:sz="8" w:space="0" w:color="auto"/>
              <w:right w:val="single" w:sz="4" w:space="0" w:color="auto"/>
            </w:tcBorders>
          </w:tcPr>
          <w:p w14:paraId="5ACED7D5" w14:textId="5E18F123" w:rsidR="5F3E869A" w:rsidRPr="00855213" w:rsidRDefault="5F3E869A"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1613</w:t>
            </w:r>
          </w:p>
        </w:tc>
        <w:tc>
          <w:tcPr>
            <w:tcW w:w="1191" w:type="dxa"/>
            <w:gridSpan w:val="2"/>
            <w:tcBorders>
              <w:top w:val="single" w:sz="8" w:space="0" w:color="auto"/>
              <w:left w:val="single" w:sz="4" w:space="0" w:color="auto"/>
              <w:bottom w:val="single" w:sz="8" w:space="0" w:color="auto"/>
              <w:right w:val="single" w:sz="4" w:space="0" w:color="auto"/>
            </w:tcBorders>
          </w:tcPr>
          <w:p w14:paraId="76B3FDF2" w14:textId="706D6476" w:rsidR="00E301F5" w:rsidRPr="00855213" w:rsidRDefault="19A6F694" w:rsidP="001474FD">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419</w:t>
            </w:r>
          </w:p>
        </w:tc>
        <w:tc>
          <w:tcPr>
            <w:tcW w:w="913" w:type="dxa"/>
            <w:tcBorders>
              <w:top w:val="single" w:sz="8" w:space="0" w:color="auto"/>
              <w:left w:val="single" w:sz="4" w:space="0" w:color="auto"/>
              <w:bottom w:val="single" w:sz="8" w:space="0" w:color="auto"/>
              <w:right w:val="single" w:sz="4" w:space="0" w:color="auto"/>
            </w:tcBorders>
          </w:tcPr>
          <w:p w14:paraId="12EF8744" w14:textId="73755111" w:rsidR="00E301F5" w:rsidRPr="00855213" w:rsidRDefault="00E301F5" w:rsidP="001474FD">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186</w:t>
            </w:r>
          </w:p>
        </w:tc>
        <w:tc>
          <w:tcPr>
            <w:tcW w:w="1044" w:type="dxa"/>
            <w:tcBorders>
              <w:top w:val="single" w:sz="8" w:space="0" w:color="auto"/>
              <w:left w:val="single" w:sz="4" w:space="0" w:color="auto"/>
              <w:bottom w:val="single" w:sz="8" w:space="0" w:color="auto"/>
              <w:right w:val="single" w:sz="4" w:space="0" w:color="auto"/>
            </w:tcBorders>
          </w:tcPr>
          <w:p w14:paraId="62421256" w14:textId="77777777" w:rsidR="00E301F5" w:rsidRPr="00855213" w:rsidRDefault="00E301F5" w:rsidP="00940CEB">
            <w:pPr>
              <w:jc w:val="center"/>
              <w:rPr>
                <w:rFonts w:ascii="Century Gothic" w:eastAsia="Times New Roman" w:hAnsi="Century Gothic"/>
                <w:sz w:val="20"/>
                <w:szCs w:val="20"/>
                <w:lang w:eastAsia="en-US"/>
              </w:rPr>
            </w:pPr>
          </w:p>
        </w:tc>
        <w:tc>
          <w:tcPr>
            <w:tcW w:w="885" w:type="dxa"/>
            <w:tcBorders>
              <w:top w:val="nil"/>
              <w:left w:val="single" w:sz="4" w:space="0" w:color="auto"/>
              <w:bottom w:val="single" w:sz="8" w:space="0" w:color="auto"/>
              <w:right w:val="single" w:sz="8" w:space="0" w:color="auto"/>
            </w:tcBorders>
            <w:noWrap/>
            <w:vAlign w:val="bottom"/>
            <w:hideMark/>
          </w:tcPr>
          <w:p w14:paraId="009EC5F7"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0</w:t>
            </w:r>
          </w:p>
        </w:tc>
        <w:tc>
          <w:tcPr>
            <w:tcW w:w="990" w:type="dxa"/>
            <w:tcBorders>
              <w:top w:val="nil"/>
              <w:left w:val="nil"/>
              <w:bottom w:val="single" w:sz="8" w:space="0" w:color="auto"/>
              <w:right w:val="single" w:sz="8" w:space="0" w:color="auto"/>
            </w:tcBorders>
            <w:noWrap/>
            <w:vAlign w:val="bottom"/>
            <w:hideMark/>
          </w:tcPr>
          <w:p w14:paraId="661D359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94</w:t>
            </w:r>
          </w:p>
        </w:tc>
        <w:tc>
          <w:tcPr>
            <w:tcW w:w="721" w:type="dxa"/>
            <w:tcBorders>
              <w:top w:val="nil"/>
              <w:left w:val="nil"/>
              <w:bottom w:val="single" w:sz="8" w:space="0" w:color="auto"/>
              <w:right w:val="single" w:sz="8" w:space="0" w:color="auto"/>
            </w:tcBorders>
            <w:noWrap/>
            <w:vAlign w:val="bottom"/>
            <w:hideMark/>
          </w:tcPr>
          <w:p w14:paraId="099F0B0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298</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3575D61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607</w:t>
            </w:r>
          </w:p>
        </w:tc>
        <w:tc>
          <w:tcPr>
            <w:tcW w:w="715" w:type="dxa"/>
            <w:tcBorders>
              <w:top w:val="nil"/>
              <w:left w:val="nil"/>
              <w:bottom w:val="single" w:sz="8" w:space="0" w:color="auto"/>
              <w:right w:val="single" w:sz="8" w:space="0" w:color="auto"/>
            </w:tcBorders>
            <w:noWrap/>
            <w:vAlign w:val="bottom"/>
            <w:hideMark/>
          </w:tcPr>
          <w:p w14:paraId="04A2269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1002</w:t>
            </w:r>
          </w:p>
        </w:tc>
        <w:tc>
          <w:tcPr>
            <w:tcW w:w="756" w:type="dxa"/>
            <w:tcBorders>
              <w:top w:val="nil"/>
              <w:left w:val="nil"/>
              <w:bottom w:val="single" w:sz="8" w:space="0" w:color="auto"/>
              <w:right w:val="single" w:sz="8" w:space="0" w:color="auto"/>
            </w:tcBorders>
            <w:vAlign w:val="bottom"/>
            <w:hideMark/>
          </w:tcPr>
          <w:p w14:paraId="5BAE3ABA"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1E85AEB0"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68E9B692"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Katherine Harvey Terrace</w:t>
            </w:r>
          </w:p>
        </w:tc>
        <w:tc>
          <w:tcPr>
            <w:tcW w:w="963" w:type="dxa"/>
            <w:tcBorders>
              <w:top w:val="single" w:sz="8" w:space="0" w:color="auto"/>
              <w:left w:val="single" w:sz="4" w:space="0" w:color="auto"/>
              <w:bottom w:val="single" w:sz="8" w:space="0" w:color="auto"/>
              <w:right w:val="single" w:sz="4" w:space="0" w:color="auto"/>
            </w:tcBorders>
          </w:tcPr>
          <w:p w14:paraId="001C348E" w14:textId="01218C8A" w:rsidR="102352A6" w:rsidRPr="00855213" w:rsidRDefault="102352A6"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381</w:t>
            </w:r>
          </w:p>
        </w:tc>
        <w:tc>
          <w:tcPr>
            <w:tcW w:w="1191" w:type="dxa"/>
            <w:gridSpan w:val="2"/>
            <w:tcBorders>
              <w:top w:val="single" w:sz="8" w:space="0" w:color="auto"/>
              <w:left w:val="single" w:sz="4" w:space="0" w:color="auto"/>
              <w:bottom w:val="single" w:sz="8" w:space="0" w:color="auto"/>
              <w:right w:val="single" w:sz="4" w:space="0" w:color="auto"/>
            </w:tcBorders>
          </w:tcPr>
          <w:p w14:paraId="23663271" w14:textId="12206BF5"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280</w:t>
            </w:r>
          </w:p>
        </w:tc>
        <w:tc>
          <w:tcPr>
            <w:tcW w:w="913" w:type="dxa"/>
            <w:tcBorders>
              <w:top w:val="single" w:sz="8" w:space="0" w:color="auto"/>
              <w:left w:val="single" w:sz="4" w:space="0" w:color="auto"/>
              <w:bottom w:val="single" w:sz="8" w:space="0" w:color="auto"/>
              <w:right w:val="single" w:sz="4" w:space="0" w:color="auto"/>
            </w:tcBorders>
          </w:tcPr>
          <w:p w14:paraId="147BACBC" w14:textId="72222805"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203</w:t>
            </w:r>
          </w:p>
        </w:tc>
        <w:tc>
          <w:tcPr>
            <w:tcW w:w="1044" w:type="dxa"/>
            <w:tcBorders>
              <w:top w:val="single" w:sz="8" w:space="0" w:color="auto"/>
              <w:left w:val="single" w:sz="4" w:space="0" w:color="auto"/>
              <w:bottom w:val="single" w:sz="8" w:space="0" w:color="auto"/>
              <w:right w:val="single" w:sz="4" w:space="0" w:color="auto"/>
            </w:tcBorders>
          </w:tcPr>
          <w:p w14:paraId="2668CA59" w14:textId="0244AED9"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63</w:t>
            </w:r>
          </w:p>
        </w:tc>
        <w:tc>
          <w:tcPr>
            <w:tcW w:w="885" w:type="dxa"/>
            <w:tcBorders>
              <w:top w:val="nil"/>
              <w:left w:val="single" w:sz="4" w:space="0" w:color="auto"/>
              <w:bottom w:val="single" w:sz="8" w:space="0" w:color="auto"/>
              <w:right w:val="single" w:sz="8" w:space="0" w:color="auto"/>
            </w:tcBorders>
            <w:noWrap/>
            <w:vAlign w:val="bottom"/>
            <w:hideMark/>
          </w:tcPr>
          <w:p w14:paraId="690DEC8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69</w:t>
            </w:r>
          </w:p>
        </w:tc>
        <w:tc>
          <w:tcPr>
            <w:tcW w:w="990" w:type="dxa"/>
            <w:tcBorders>
              <w:top w:val="nil"/>
              <w:left w:val="nil"/>
              <w:bottom w:val="single" w:sz="8" w:space="0" w:color="auto"/>
              <w:right w:val="single" w:sz="8" w:space="0" w:color="auto"/>
            </w:tcBorders>
            <w:noWrap/>
            <w:vAlign w:val="bottom"/>
            <w:hideMark/>
          </w:tcPr>
          <w:p w14:paraId="56371F87"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43</w:t>
            </w:r>
          </w:p>
        </w:tc>
        <w:tc>
          <w:tcPr>
            <w:tcW w:w="721" w:type="dxa"/>
            <w:tcBorders>
              <w:top w:val="nil"/>
              <w:left w:val="nil"/>
              <w:bottom w:val="single" w:sz="8" w:space="0" w:color="auto"/>
              <w:right w:val="single" w:sz="8" w:space="0" w:color="auto"/>
            </w:tcBorders>
            <w:noWrap/>
            <w:vAlign w:val="bottom"/>
            <w:hideMark/>
          </w:tcPr>
          <w:p w14:paraId="1BC151E4"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111</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626F551E"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172</w:t>
            </w:r>
          </w:p>
        </w:tc>
        <w:tc>
          <w:tcPr>
            <w:tcW w:w="715" w:type="dxa"/>
            <w:tcBorders>
              <w:top w:val="nil"/>
              <w:left w:val="nil"/>
              <w:bottom w:val="single" w:sz="8" w:space="0" w:color="auto"/>
              <w:right w:val="single" w:sz="8" w:space="0" w:color="auto"/>
            </w:tcBorders>
            <w:noWrap/>
            <w:vAlign w:val="bottom"/>
            <w:hideMark/>
          </w:tcPr>
          <w:p w14:paraId="64215010"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132</w:t>
            </w:r>
          </w:p>
        </w:tc>
        <w:tc>
          <w:tcPr>
            <w:tcW w:w="756" w:type="dxa"/>
            <w:tcBorders>
              <w:top w:val="nil"/>
              <w:left w:val="nil"/>
              <w:bottom w:val="single" w:sz="8" w:space="0" w:color="auto"/>
              <w:right w:val="single" w:sz="8" w:space="0" w:color="auto"/>
            </w:tcBorders>
            <w:vAlign w:val="bottom"/>
            <w:hideMark/>
          </w:tcPr>
          <w:p w14:paraId="6D0972CA"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481FA91C"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098B60CB"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Mathew Ruoppolo</w:t>
            </w:r>
          </w:p>
        </w:tc>
        <w:tc>
          <w:tcPr>
            <w:tcW w:w="963" w:type="dxa"/>
            <w:tcBorders>
              <w:top w:val="single" w:sz="8" w:space="0" w:color="auto"/>
              <w:left w:val="single" w:sz="4" w:space="0" w:color="auto"/>
              <w:bottom w:val="single" w:sz="8" w:space="0" w:color="auto"/>
              <w:right w:val="single" w:sz="4" w:space="0" w:color="auto"/>
            </w:tcBorders>
          </w:tcPr>
          <w:p w14:paraId="3A5F6B38" w14:textId="76955E6F" w:rsidR="2780CE26" w:rsidRPr="00855213" w:rsidRDefault="2780CE26"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768</w:t>
            </w:r>
          </w:p>
        </w:tc>
        <w:tc>
          <w:tcPr>
            <w:tcW w:w="1191" w:type="dxa"/>
            <w:gridSpan w:val="2"/>
            <w:tcBorders>
              <w:top w:val="single" w:sz="8" w:space="0" w:color="auto"/>
              <w:left w:val="single" w:sz="4" w:space="0" w:color="auto"/>
              <w:bottom w:val="single" w:sz="8" w:space="0" w:color="auto"/>
              <w:right w:val="single" w:sz="4" w:space="0" w:color="auto"/>
            </w:tcBorders>
          </w:tcPr>
          <w:p w14:paraId="69D58928" w14:textId="61A47FBB"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299</w:t>
            </w:r>
          </w:p>
        </w:tc>
        <w:tc>
          <w:tcPr>
            <w:tcW w:w="913" w:type="dxa"/>
            <w:tcBorders>
              <w:top w:val="single" w:sz="8" w:space="0" w:color="auto"/>
              <w:left w:val="single" w:sz="4" w:space="0" w:color="auto"/>
              <w:bottom w:val="single" w:sz="8" w:space="0" w:color="auto"/>
              <w:right w:val="single" w:sz="4" w:space="0" w:color="auto"/>
            </w:tcBorders>
          </w:tcPr>
          <w:p w14:paraId="2F4ECC16" w14:textId="22A9DED0"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358</w:t>
            </w:r>
          </w:p>
        </w:tc>
        <w:tc>
          <w:tcPr>
            <w:tcW w:w="1044" w:type="dxa"/>
            <w:tcBorders>
              <w:top w:val="single" w:sz="8" w:space="0" w:color="auto"/>
              <w:left w:val="single" w:sz="4" w:space="0" w:color="auto"/>
              <w:bottom w:val="single" w:sz="8" w:space="0" w:color="auto"/>
              <w:right w:val="single" w:sz="4" w:space="0" w:color="auto"/>
            </w:tcBorders>
          </w:tcPr>
          <w:p w14:paraId="3ACE1C86" w14:textId="44565B4F"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135</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430D10D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319</w:t>
            </w:r>
          </w:p>
        </w:tc>
        <w:tc>
          <w:tcPr>
            <w:tcW w:w="990" w:type="dxa"/>
            <w:tcBorders>
              <w:top w:val="nil"/>
              <w:left w:val="nil"/>
              <w:bottom w:val="single" w:sz="8" w:space="0" w:color="auto"/>
              <w:right w:val="single" w:sz="8" w:space="0" w:color="auto"/>
            </w:tcBorders>
            <w:noWrap/>
            <w:vAlign w:val="bottom"/>
            <w:hideMark/>
          </w:tcPr>
          <w:p w14:paraId="674B80F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504</w:t>
            </w:r>
          </w:p>
        </w:tc>
        <w:tc>
          <w:tcPr>
            <w:tcW w:w="721" w:type="dxa"/>
            <w:tcBorders>
              <w:top w:val="nil"/>
              <w:left w:val="nil"/>
              <w:bottom w:val="single" w:sz="8" w:space="0" w:color="auto"/>
              <w:right w:val="single" w:sz="8" w:space="0" w:color="auto"/>
            </w:tcBorders>
            <w:noWrap/>
            <w:vAlign w:val="bottom"/>
            <w:hideMark/>
          </w:tcPr>
          <w:p w14:paraId="56A039E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440</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5BDB5F5D"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535</w:t>
            </w:r>
          </w:p>
        </w:tc>
        <w:tc>
          <w:tcPr>
            <w:tcW w:w="715" w:type="dxa"/>
            <w:tcBorders>
              <w:top w:val="nil"/>
              <w:left w:val="nil"/>
              <w:bottom w:val="single" w:sz="8" w:space="0" w:color="auto"/>
              <w:right w:val="single" w:sz="8" w:space="0" w:color="auto"/>
            </w:tcBorders>
            <w:noWrap/>
            <w:vAlign w:val="bottom"/>
            <w:hideMark/>
          </w:tcPr>
          <w:p w14:paraId="09E64EF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607</w:t>
            </w:r>
          </w:p>
        </w:tc>
        <w:tc>
          <w:tcPr>
            <w:tcW w:w="756" w:type="dxa"/>
            <w:tcBorders>
              <w:top w:val="nil"/>
              <w:left w:val="nil"/>
              <w:bottom w:val="single" w:sz="8" w:space="0" w:color="auto"/>
              <w:right w:val="single" w:sz="8" w:space="0" w:color="auto"/>
            </w:tcBorders>
            <w:vAlign w:val="bottom"/>
            <w:hideMark/>
          </w:tcPr>
          <w:p w14:paraId="636F83C9"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43E721A1"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01A77104"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McConaughy Terrace</w:t>
            </w:r>
          </w:p>
        </w:tc>
        <w:tc>
          <w:tcPr>
            <w:tcW w:w="963" w:type="dxa"/>
            <w:tcBorders>
              <w:top w:val="single" w:sz="8" w:space="0" w:color="auto"/>
              <w:left w:val="single" w:sz="4" w:space="0" w:color="auto"/>
              <w:bottom w:val="single" w:sz="8" w:space="0" w:color="auto"/>
              <w:right w:val="single" w:sz="4" w:space="0" w:color="auto"/>
            </w:tcBorders>
          </w:tcPr>
          <w:p w14:paraId="30AFD80C" w14:textId="151B22BE" w:rsidR="7A3EAF43" w:rsidRPr="00855213" w:rsidRDefault="7A3EAF43"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576</w:t>
            </w:r>
          </w:p>
        </w:tc>
        <w:tc>
          <w:tcPr>
            <w:tcW w:w="1191" w:type="dxa"/>
            <w:gridSpan w:val="2"/>
            <w:tcBorders>
              <w:top w:val="single" w:sz="8" w:space="0" w:color="auto"/>
              <w:left w:val="single" w:sz="4" w:space="0" w:color="auto"/>
              <w:bottom w:val="single" w:sz="8" w:space="0" w:color="auto"/>
              <w:right w:val="single" w:sz="4" w:space="0" w:color="auto"/>
            </w:tcBorders>
          </w:tcPr>
          <w:p w14:paraId="374923B6" w14:textId="37C8D928" w:rsidR="00E301F5" w:rsidRPr="00855213" w:rsidRDefault="74708618"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2859</w:t>
            </w:r>
          </w:p>
        </w:tc>
        <w:tc>
          <w:tcPr>
            <w:tcW w:w="913" w:type="dxa"/>
            <w:tcBorders>
              <w:top w:val="single" w:sz="8" w:space="0" w:color="auto"/>
              <w:left w:val="single" w:sz="4" w:space="0" w:color="auto"/>
              <w:bottom w:val="single" w:sz="8" w:space="0" w:color="auto"/>
              <w:right w:val="single" w:sz="4" w:space="0" w:color="auto"/>
            </w:tcBorders>
          </w:tcPr>
          <w:p w14:paraId="150AEA0A" w14:textId="3FFBBB31"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2423</w:t>
            </w:r>
          </w:p>
        </w:tc>
        <w:tc>
          <w:tcPr>
            <w:tcW w:w="1044" w:type="dxa"/>
            <w:tcBorders>
              <w:top w:val="single" w:sz="8" w:space="0" w:color="auto"/>
              <w:left w:val="single" w:sz="4" w:space="0" w:color="auto"/>
              <w:bottom w:val="single" w:sz="8" w:space="0" w:color="auto"/>
              <w:right w:val="single" w:sz="4" w:space="0" w:color="auto"/>
            </w:tcBorders>
          </w:tcPr>
          <w:p w14:paraId="384AA5C9" w14:textId="30DC866D"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1092</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0FA751C4"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1122</w:t>
            </w:r>
          </w:p>
        </w:tc>
        <w:tc>
          <w:tcPr>
            <w:tcW w:w="990" w:type="dxa"/>
            <w:tcBorders>
              <w:top w:val="nil"/>
              <w:left w:val="nil"/>
              <w:bottom w:val="single" w:sz="8" w:space="0" w:color="auto"/>
              <w:right w:val="single" w:sz="8" w:space="0" w:color="auto"/>
            </w:tcBorders>
            <w:noWrap/>
            <w:vAlign w:val="bottom"/>
            <w:hideMark/>
          </w:tcPr>
          <w:p w14:paraId="20F87F3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1369</w:t>
            </w:r>
          </w:p>
        </w:tc>
        <w:tc>
          <w:tcPr>
            <w:tcW w:w="721" w:type="dxa"/>
            <w:tcBorders>
              <w:top w:val="nil"/>
              <w:left w:val="nil"/>
              <w:bottom w:val="single" w:sz="8" w:space="0" w:color="auto"/>
              <w:right w:val="single" w:sz="8" w:space="0" w:color="auto"/>
            </w:tcBorders>
            <w:noWrap/>
            <w:vAlign w:val="bottom"/>
            <w:hideMark/>
          </w:tcPr>
          <w:p w14:paraId="7835D42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1512</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4419034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2,981</w:t>
            </w:r>
          </w:p>
        </w:tc>
        <w:tc>
          <w:tcPr>
            <w:tcW w:w="715" w:type="dxa"/>
            <w:tcBorders>
              <w:top w:val="nil"/>
              <w:left w:val="nil"/>
              <w:bottom w:val="single" w:sz="8" w:space="0" w:color="auto"/>
              <w:right w:val="single" w:sz="8" w:space="0" w:color="auto"/>
            </w:tcBorders>
            <w:noWrap/>
            <w:vAlign w:val="bottom"/>
            <w:hideMark/>
          </w:tcPr>
          <w:p w14:paraId="0EA0471D"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1,612</w:t>
            </w:r>
          </w:p>
        </w:tc>
        <w:tc>
          <w:tcPr>
            <w:tcW w:w="756" w:type="dxa"/>
            <w:tcBorders>
              <w:top w:val="nil"/>
              <w:left w:val="nil"/>
              <w:bottom w:val="single" w:sz="8" w:space="0" w:color="auto"/>
              <w:right w:val="single" w:sz="8" w:space="0" w:color="auto"/>
            </w:tcBorders>
            <w:vAlign w:val="bottom"/>
            <w:hideMark/>
          </w:tcPr>
          <w:p w14:paraId="35D4E87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242613C9"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1501F5C2"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Newhall Gardens</w:t>
            </w:r>
          </w:p>
        </w:tc>
        <w:tc>
          <w:tcPr>
            <w:tcW w:w="963" w:type="dxa"/>
            <w:tcBorders>
              <w:top w:val="single" w:sz="8" w:space="0" w:color="auto"/>
              <w:left w:val="single" w:sz="4" w:space="0" w:color="auto"/>
              <w:bottom w:val="single" w:sz="8" w:space="0" w:color="auto"/>
              <w:right w:val="single" w:sz="4" w:space="0" w:color="auto"/>
            </w:tcBorders>
          </w:tcPr>
          <w:p w14:paraId="07085C0A" w14:textId="62012353" w:rsidR="63C903C5" w:rsidRPr="00855213" w:rsidRDefault="63C903C5"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642</w:t>
            </w:r>
          </w:p>
        </w:tc>
        <w:tc>
          <w:tcPr>
            <w:tcW w:w="1191" w:type="dxa"/>
            <w:gridSpan w:val="2"/>
            <w:tcBorders>
              <w:top w:val="single" w:sz="8" w:space="0" w:color="auto"/>
              <w:left w:val="single" w:sz="4" w:space="0" w:color="auto"/>
              <w:bottom w:val="single" w:sz="8" w:space="0" w:color="auto"/>
              <w:right w:val="single" w:sz="4" w:space="0" w:color="auto"/>
            </w:tcBorders>
          </w:tcPr>
          <w:p w14:paraId="72FB3727" w14:textId="4315F804"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91</w:t>
            </w:r>
          </w:p>
        </w:tc>
        <w:tc>
          <w:tcPr>
            <w:tcW w:w="913" w:type="dxa"/>
            <w:tcBorders>
              <w:top w:val="single" w:sz="8" w:space="0" w:color="auto"/>
              <w:left w:val="single" w:sz="4" w:space="0" w:color="auto"/>
              <w:bottom w:val="single" w:sz="8" w:space="0" w:color="auto"/>
              <w:right w:val="single" w:sz="4" w:space="0" w:color="auto"/>
            </w:tcBorders>
          </w:tcPr>
          <w:p w14:paraId="31E7B4AA" w14:textId="0BEBDFF3"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152</w:t>
            </w:r>
          </w:p>
        </w:tc>
        <w:tc>
          <w:tcPr>
            <w:tcW w:w="1044" w:type="dxa"/>
            <w:tcBorders>
              <w:top w:val="single" w:sz="8" w:space="0" w:color="auto"/>
              <w:left w:val="single" w:sz="4" w:space="0" w:color="auto"/>
              <w:bottom w:val="single" w:sz="8" w:space="0" w:color="auto"/>
              <w:right w:val="single" w:sz="4" w:space="0" w:color="auto"/>
            </w:tcBorders>
          </w:tcPr>
          <w:p w14:paraId="1118A72B" w14:textId="3ED1F18B"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69</w:t>
            </w:r>
          </w:p>
        </w:tc>
        <w:tc>
          <w:tcPr>
            <w:tcW w:w="885" w:type="dxa"/>
            <w:tcBorders>
              <w:top w:val="nil"/>
              <w:left w:val="single" w:sz="4" w:space="0" w:color="auto"/>
              <w:bottom w:val="single" w:sz="8" w:space="0" w:color="auto"/>
              <w:right w:val="single" w:sz="8" w:space="0" w:color="auto"/>
            </w:tcBorders>
            <w:noWrap/>
            <w:vAlign w:val="bottom"/>
            <w:hideMark/>
          </w:tcPr>
          <w:p w14:paraId="073DC5E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128</w:t>
            </w:r>
          </w:p>
        </w:tc>
        <w:tc>
          <w:tcPr>
            <w:tcW w:w="990" w:type="dxa"/>
            <w:tcBorders>
              <w:top w:val="nil"/>
              <w:left w:val="nil"/>
              <w:bottom w:val="single" w:sz="8" w:space="0" w:color="auto"/>
              <w:right w:val="single" w:sz="8" w:space="0" w:color="auto"/>
            </w:tcBorders>
            <w:noWrap/>
            <w:vAlign w:val="bottom"/>
            <w:hideMark/>
          </w:tcPr>
          <w:p w14:paraId="67DE121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81</w:t>
            </w:r>
          </w:p>
        </w:tc>
        <w:tc>
          <w:tcPr>
            <w:tcW w:w="721" w:type="dxa"/>
            <w:tcBorders>
              <w:top w:val="nil"/>
              <w:left w:val="nil"/>
              <w:bottom w:val="single" w:sz="8" w:space="0" w:color="auto"/>
              <w:right w:val="single" w:sz="8" w:space="0" w:color="auto"/>
            </w:tcBorders>
            <w:noWrap/>
            <w:vAlign w:val="bottom"/>
            <w:hideMark/>
          </w:tcPr>
          <w:p w14:paraId="4D6A1BFB"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106</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7AC05B86"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312</w:t>
            </w:r>
          </w:p>
        </w:tc>
        <w:tc>
          <w:tcPr>
            <w:tcW w:w="715" w:type="dxa"/>
            <w:tcBorders>
              <w:top w:val="nil"/>
              <w:left w:val="nil"/>
              <w:bottom w:val="single" w:sz="8" w:space="0" w:color="auto"/>
              <w:right w:val="single" w:sz="8" w:space="0" w:color="auto"/>
            </w:tcBorders>
            <w:noWrap/>
            <w:vAlign w:val="bottom"/>
            <w:hideMark/>
          </w:tcPr>
          <w:p w14:paraId="408420B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360</w:t>
            </w:r>
          </w:p>
        </w:tc>
        <w:tc>
          <w:tcPr>
            <w:tcW w:w="756" w:type="dxa"/>
            <w:tcBorders>
              <w:top w:val="nil"/>
              <w:left w:val="nil"/>
              <w:bottom w:val="single" w:sz="8" w:space="0" w:color="auto"/>
              <w:right w:val="single" w:sz="8" w:space="0" w:color="auto"/>
            </w:tcBorders>
            <w:vAlign w:val="bottom"/>
            <w:hideMark/>
          </w:tcPr>
          <w:p w14:paraId="27E8AC4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0CC561F1"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63D1C063"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Prescott Bush</w:t>
            </w:r>
          </w:p>
        </w:tc>
        <w:tc>
          <w:tcPr>
            <w:tcW w:w="963" w:type="dxa"/>
            <w:tcBorders>
              <w:top w:val="single" w:sz="8" w:space="0" w:color="auto"/>
              <w:left w:val="single" w:sz="4" w:space="0" w:color="auto"/>
              <w:bottom w:val="single" w:sz="8" w:space="0" w:color="auto"/>
              <w:right w:val="single" w:sz="4" w:space="0" w:color="auto"/>
            </w:tcBorders>
          </w:tcPr>
          <w:p w14:paraId="683ED21A" w14:textId="124AB37B" w:rsidR="4BA00D86" w:rsidRPr="00855213" w:rsidRDefault="4BA00D86"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769</w:t>
            </w:r>
          </w:p>
        </w:tc>
        <w:tc>
          <w:tcPr>
            <w:tcW w:w="1191" w:type="dxa"/>
            <w:gridSpan w:val="2"/>
            <w:tcBorders>
              <w:top w:val="single" w:sz="8" w:space="0" w:color="auto"/>
              <w:left w:val="single" w:sz="4" w:space="0" w:color="auto"/>
              <w:bottom w:val="single" w:sz="8" w:space="0" w:color="auto"/>
              <w:right w:val="single" w:sz="4" w:space="0" w:color="auto"/>
            </w:tcBorders>
          </w:tcPr>
          <w:p w14:paraId="056C6ECC" w14:textId="4B9F1186"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287</w:t>
            </w:r>
          </w:p>
        </w:tc>
        <w:tc>
          <w:tcPr>
            <w:tcW w:w="913" w:type="dxa"/>
            <w:tcBorders>
              <w:top w:val="single" w:sz="8" w:space="0" w:color="auto"/>
              <w:left w:val="single" w:sz="4" w:space="0" w:color="auto"/>
              <w:bottom w:val="single" w:sz="8" w:space="0" w:color="auto"/>
              <w:right w:val="single" w:sz="4" w:space="0" w:color="auto"/>
            </w:tcBorders>
          </w:tcPr>
          <w:p w14:paraId="1DE4022D" w14:textId="2A7FD71E"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311</w:t>
            </w:r>
          </w:p>
        </w:tc>
        <w:tc>
          <w:tcPr>
            <w:tcW w:w="1044" w:type="dxa"/>
            <w:tcBorders>
              <w:top w:val="single" w:sz="8" w:space="0" w:color="auto"/>
              <w:left w:val="single" w:sz="4" w:space="0" w:color="auto"/>
              <w:bottom w:val="single" w:sz="8" w:space="0" w:color="auto"/>
              <w:right w:val="single" w:sz="4" w:space="0" w:color="auto"/>
            </w:tcBorders>
          </w:tcPr>
          <w:p w14:paraId="0D351FB5" w14:textId="186A7DA1"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152</w:t>
            </w:r>
          </w:p>
        </w:tc>
        <w:tc>
          <w:tcPr>
            <w:tcW w:w="885" w:type="dxa"/>
            <w:tcBorders>
              <w:top w:val="nil"/>
              <w:left w:val="single" w:sz="4" w:space="0" w:color="auto"/>
              <w:bottom w:val="single" w:sz="8" w:space="0" w:color="auto"/>
              <w:right w:val="single" w:sz="8" w:space="0" w:color="auto"/>
            </w:tcBorders>
            <w:noWrap/>
            <w:vAlign w:val="bottom"/>
            <w:hideMark/>
          </w:tcPr>
          <w:p w14:paraId="00CE82EA"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235</w:t>
            </w:r>
          </w:p>
        </w:tc>
        <w:tc>
          <w:tcPr>
            <w:tcW w:w="990" w:type="dxa"/>
            <w:tcBorders>
              <w:top w:val="nil"/>
              <w:left w:val="nil"/>
              <w:bottom w:val="single" w:sz="8" w:space="0" w:color="auto"/>
              <w:right w:val="single" w:sz="8" w:space="0" w:color="auto"/>
            </w:tcBorders>
            <w:noWrap/>
            <w:vAlign w:val="bottom"/>
            <w:hideMark/>
          </w:tcPr>
          <w:p w14:paraId="0D81028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165</w:t>
            </w:r>
          </w:p>
        </w:tc>
        <w:tc>
          <w:tcPr>
            <w:tcW w:w="721" w:type="dxa"/>
            <w:tcBorders>
              <w:top w:val="nil"/>
              <w:left w:val="nil"/>
              <w:bottom w:val="single" w:sz="8" w:space="0" w:color="auto"/>
              <w:right w:val="single" w:sz="8" w:space="0" w:color="auto"/>
            </w:tcBorders>
            <w:noWrap/>
            <w:vAlign w:val="bottom"/>
            <w:hideMark/>
          </w:tcPr>
          <w:p w14:paraId="294AE5BD"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165</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395C49D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734</w:t>
            </w:r>
          </w:p>
        </w:tc>
        <w:tc>
          <w:tcPr>
            <w:tcW w:w="715" w:type="dxa"/>
            <w:tcBorders>
              <w:top w:val="nil"/>
              <w:left w:val="nil"/>
              <w:bottom w:val="single" w:sz="8" w:space="0" w:color="auto"/>
              <w:right w:val="single" w:sz="8" w:space="0" w:color="auto"/>
            </w:tcBorders>
            <w:noWrap/>
            <w:vAlign w:val="bottom"/>
            <w:hideMark/>
          </w:tcPr>
          <w:p w14:paraId="24893B1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464</w:t>
            </w:r>
          </w:p>
        </w:tc>
        <w:tc>
          <w:tcPr>
            <w:tcW w:w="756" w:type="dxa"/>
            <w:tcBorders>
              <w:top w:val="nil"/>
              <w:left w:val="nil"/>
              <w:bottom w:val="single" w:sz="8" w:space="0" w:color="auto"/>
              <w:right w:val="single" w:sz="8" w:space="0" w:color="auto"/>
            </w:tcBorders>
            <w:vAlign w:val="bottom"/>
            <w:hideMark/>
          </w:tcPr>
          <w:p w14:paraId="3FADE20A"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16CD6ED5"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0B4B18E5"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Quinnipiac I</w:t>
            </w:r>
          </w:p>
        </w:tc>
        <w:tc>
          <w:tcPr>
            <w:tcW w:w="963" w:type="dxa"/>
            <w:tcBorders>
              <w:top w:val="single" w:sz="8" w:space="0" w:color="auto"/>
              <w:left w:val="single" w:sz="4" w:space="0" w:color="auto"/>
              <w:bottom w:val="single" w:sz="8" w:space="0" w:color="auto"/>
              <w:right w:val="single" w:sz="4" w:space="0" w:color="auto"/>
            </w:tcBorders>
          </w:tcPr>
          <w:p w14:paraId="11DDE445" w14:textId="588E1438" w:rsidR="2D03861B" w:rsidRPr="00855213" w:rsidRDefault="16210C42"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489</w:t>
            </w:r>
          </w:p>
        </w:tc>
        <w:tc>
          <w:tcPr>
            <w:tcW w:w="1191" w:type="dxa"/>
            <w:gridSpan w:val="2"/>
            <w:tcBorders>
              <w:top w:val="single" w:sz="8" w:space="0" w:color="auto"/>
              <w:left w:val="single" w:sz="4" w:space="0" w:color="auto"/>
              <w:bottom w:val="single" w:sz="8" w:space="0" w:color="auto"/>
              <w:right w:val="single" w:sz="4" w:space="0" w:color="auto"/>
            </w:tcBorders>
          </w:tcPr>
          <w:p w14:paraId="4649A87C" w14:textId="588DE487" w:rsidR="00E301F5" w:rsidRPr="00855213" w:rsidRDefault="2F697C17"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575</w:t>
            </w:r>
          </w:p>
        </w:tc>
        <w:tc>
          <w:tcPr>
            <w:tcW w:w="913" w:type="dxa"/>
            <w:tcBorders>
              <w:top w:val="single" w:sz="8" w:space="0" w:color="auto"/>
              <w:left w:val="single" w:sz="4" w:space="0" w:color="auto"/>
              <w:bottom w:val="single" w:sz="8" w:space="0" w:color="auto"/>
              <w:right w:val="single" w:sz="4" w:space="0" w:color="auto"/>
            </w:tcBorders>
          </w:tcPr>
          <w:p w14:paraId="5661E9D1" w14:textId="2BE333DE"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627</w:t>
            </w:r>
          </w:p>
        </w:tc>
        <w:tc>
          <w:tcPr>
            <w:tcW w:w="1044" w:type="dxa"/>
            <w:tcBorders>
              <w:top w:val="single" w:sz="8" w:space="0" w:color="auto"/>
              <w:left w:val="single" w:sz="4" w:space="0" w:color="auto"/>
              <w:bottom w:val="single" w:sz="8" w:space="0" w:color="auto"/>
              <w:right w:val="single" w:sz="4" w:space="0" w:color="auto"/>
            </w:tcBorders>
          </w:tcPr>
          <w:p w14:paraId="7F3BB12A" w14:textId="44F6C438"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455</w:t>
            </w:r>
          </w:p>
        </w:tc>
        <w:tc>
          <w:tcPr>
            <w:tcW w:w="885" w:type="dxa"/>
            <w:tcBorders>
              <w:top w:val="nil"/>
              <w:left w:val="single" w:sz="4" w:space="0" w:color="auto"/>
              <w:bottom w:val="single" w:sz="8" w:space="0" w:color="auto"/>
              <w:right w:val="single" w:sz="8" w:space="0" w:color="auto"/>
            </w:tcBorders>
            <w:noWrap/>
            <w:vAlign w:val="bottom"/>
            <w:hideMark/>
          </w:tcPr>
          <w:p w14:paraId="5B06C176" w14:textId="55295A89"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494</w:t>
            </w:r>
          </w:p>
        </w:tc>
        <w:tc>
          <w:tcPr>
            <w:tcW w:w="990" w:type="dxa"/>
            <w:tcBorders>
              <w:top w:val="nil"/>
              <w:left w:val="nil"/>
              <w:bottom w:val="single" w:sz="8" w:space="0" w:color="auto"/>
              <w:right w:val="single" w:sz="8" w:space="0" w:color="auto"/>
            </w:tcBorders>
            <w:noWrap/>
            <w:vAlign w:val="bottom"/>
            <w:hideMark/>
          </w:tcPr>
          <w:p w14:paraId="2D38B584"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488</w:t>
            </w:r>
          </w:p>
        </w:tc>
        <w:tc>
          <w:tcPr>
            <w:tcW w:w="721" w:type="dxa"/>
            <w:tcBorders>
              <w:top w:val="nil"/>
              <w:left w:val="nil"/>
              <w:bottom w:val="single" w:sz="8" w:space="0" w:color="auto"/>
              <w:right w:val="single" w:sz="8" w:space="0" w:color="auto"/>
            </w:tcBorders>
            <w:noWrap/>
            <w:vAlign w:val="bottom"/>
            <w:hideMark/>
          </w:tcPr>
          <w:p w14:paraId="73986723" w14:textId="2E831ED9"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594</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38B98FEB" w14:textId="3FDA41CA" w:rsidR="00E301F5" w:rsidRPr="00855213" w:rsidRDefault="00E301F5" w:rsidP="00940CEB">
            <w:pPr>
              <w:jc w:val="center"/>
              <w:rPr>
                <w:rFonts w:ascii="Century Gothic" w:eastAsia="MS PGothic" w:hAnsi="Century Gothic"/>
                <w:sz w:val="20"/>
                <w:szCs w:val="20"/>
              </w:rPr>
            </w:pPr>
            <w:r w:rsidRPr="00855213">
              <w:rPr>
                <w:rFonts w:ascii="Century Gothic" w:eastAsia="Times New Roman" w:hAnsi="Century Gothic"/>
                <w:color w:val="000000" w:themeColor="text1"/>
                <w:sz w:val="20"/>
                <w:szCs w:val="20"/>
                <w:lang w:eastAsia="en-US"/>
              </w:rPr>
              <w:t>526</w:t>
            </w:r>
          </w:p>
        </w:tc>
        <w:tc>
          <w:tcPr>
            <w:tcW w:w="715" w:type="dxa"/>
            <w:tcBorders>
              <w:top w:val="nil"/>
              <w:left w:val="nil"/>
              <w:bottom w:val="single" w:sz="8" w:space="0" w:color="auto"/>
              <w:right w:val="single" w:sz="8" w:space="0" w:color="auto"/>
            </w:tcBorders>
            <w:noWrap/>
            <w:vAlign w:val="bottom"/>
            <w:hideMark/>
          </w:tcPr>
          <w:p w14:paraId="41D2FAEB"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531</w:t>
            </w:r>
          </w:p>
        </w:tc>
        <w:tc>
          <w:tcPr>
            <w:tcW w:w="756" w:type="dxa"/>
            <w:tcBorders>
              <w:top w:val="nil"/>
              <w:left w:val="nil"/>
              <w:bottom w:val="single" w:sz="8" w:space="0" w:color="auto"/>
              <w:right w:val="single" w:sz="8" w:space="0" w:color="auto"/>
            </w:tcBorders>
            <w:vAlign w:val="bottom"/>
            <w:hideMark/>
          </w:tcPr>
          <w:p w14:paraId="55F0ED5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2013: 204</w:t>
            </w:r>
          </w:p>
        </w:tc>
      </w:tr>
      <w:tr w:rsidR="00773342" w:rsidRPr="006D6566" w14:paraId="46602A39"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6221A783"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Quinnipiac II</w:t>
            </w:r>
          </w:p>
        </w:tc>
        <w:tc>
          <w:tcPr>
            <w:tcW w:w="963" w:type="dxa"/>
            <w:tcBorders>
              <w:top w:val="single" w:sz="8" w:space="0" w:color="auto"/>
              <w:left w:val="single" w:sz="4" w:space="0" w:color="auto"/>
              <w:bottom w:val="single" w:sz="8" w:space="0" w:color="auto"/>
              <w:right w:val="single" w:sz="4" w:space="0" w:color="auto"/>
            </w:tcBorders>
          </w:tcPr>
          <w:p w14:paraId="2B2457C5" w14:textId="4C164D1B" w:rsidR="2D03861B" w:rsidRPr="00855213" w:rsidRDefault="7A732E16"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503</w:t>
            </w:r>
          </w:p>
        </w:tc>
        <w:tc>
          <w:tcPr>
            <w:tcW w:w="1191" w:type="dxa"/>
            <w:gridSpan w:val="2"/>
            <w:tcBorders>
              <w:top w:val="single" w:sz="8" w:space="0" w:color="auto"/>
              <w:left w:val="single" w:sz="4" w:space="0" w:color="auto"/>
              <w:bottom w:val="single" w:sz="8" w:space="0" w:color="auto"/>
              <w:right w:val="single" w:sz="4" w:space="0" w:color="auto"/>
            </w:tcBorders>
          </w:tcPr>
          <w:p w14:paraId="091850A6" w14:textId="542EFC92" w:rsidR="00E301F5" w:rsidRPr="00855213" w:rsidRDefault="7F006308"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478</w:t>
            </w:r>
          </w:p>
        </w:tc>
        <w:tc>
          <w:tcPr>
            <w:tcW w:w="913" w:type="dxa"/>
            <w:tcBorders>
              <w:top w:val="single" w:sz="8" w:space="0" w:color="auto"/>
              <w:left w:val="single" w:sz="4" w:space="0" w:color="auto"/>
              <w:bottom w:val="single" w:sz="8" w:space="0" w:color="auto"/>
              <w:right w:val="single" w:sz="4" w:space="0" w:color="auto"/>
            </w:tcBorders>
          </w:tcPr>
          <w:p w14:paraId="7B200A88" w14:textId="12D178E9"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514</w:t>
            </w:r>
          </w:p>
        </w:tc>
        <w:tc>
          <w:tcPr>
            <w:tcW w:w="1044" w:type="dxa"/>
            <w:tcBorders>
              <w:top w:val="single" w:sz="8" w:space="0" w:color="auto"/>
              <w:left w:val="single" w:sz="4" w:space="0" w:color="auto"/>
              <w:bottom w:val="single" w:sz="8" w:space="0" w:color="auto"/>
              <w:right w:val="single" w:sz="4" w:space="0" w:color="auto"/>
            </w:tcBorders>
          </w:tcPr>
          <w:p w14:paraId="5B022105" w14:textId="24F81B7A"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498</w:t>
            </w:r>
          </w:p>
        </w:tc>
        <w:tc>
          <w:tcPr>
            <w:tcW w:w="885" w:type="dxa"/>
            <w:tcBorders>
              <w:top w:val="nil"/>
              <w:left w:val="single" w:sz="4" w:space="0" w:color="auto"/>
              <w:bottom w:val="single" w:sz="8" w:space="0" w:color="auto"/>
              <w:right w:val="single" w:sz="8" w:space="0" w:color="auto"/>
            </w:tcBorders>
            <w:noWrap/>
            <w:vAlign w:val="bottom"/>
            <w:hideMark/>
          </w:tcPr>
          <w:p w14:paraId="40242707" w14:textId="6ADF29F5"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415</w:t>
            </w:r>
          </w:p>
        </w:tc>
        <w:tc>
          <w:tcPr>
            <w:tcW w:w="990" w:type="dxa"/>
            <w:tcBorders>
              <w:top w:val="nil"/>
              <w:left w:val="nil"/>
              <w:bottom w:val="single" w:sz="8" w:space="0" w:color="auto"/>
              <w:right w:val="single" w:sz="8" w:space="0" w:color="auto"/>
            </w:tcBorders>
            <w:noWrap/>
            <w:vAlign w:val="bottom"/>
            <w:hideMark/>
          </w:tcPr>
          <w:p w14:paraId="45FA1A99"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481</w:t>
            </w:r>
          </w:p>
        </w:tc>
        <w:tc>
          <w:tcPr>
            <w:tcW w:w="721" w:type="dxa"/>
            <w:tcBorders>
              <w:top w:val="nil"/>
              <w:left w:val="nil"/>
              <w:bottom w:val="single" w:sz="8" w:space="0" w:color="auto"/>
              <w:right w:val="single" w:sz="8" w:space="0" w:color="auto"/>
            </w:tcBorders>
            <w:noWrap/>
            <w:vAlign w:val="bottom"/>
            <w:hideMark/>
          </w:tcPr>
          <w:p w14:paraId="26DB3E5E" w14:textId="0E597C24"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660</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43F46D5F" w14:textId="211896B9" w:rsidR="00E301F5" w:rsidRPr="00855213" w:rsidRDefault="00E301F5" w:rsidP="00940CEB">
            <w:pPr>
              <w:jc w:val="center"/>
              <w:rPr>
                <w:rFonts w:ascii="Century Gothic" w:eastAsia="MS PGothic" w:hAnsi="Century Gothic"/>
                <w:sz w:val="20"/>
                <w:szCs w:val="20"/>
              </w:rPr>
            </w:pPr>
            <w:r w:rsidRPr="00855213">
              <w:rPr>
                <w:rFonts w:ascii="Century Gothic" w:eastAsia="Times New Roman" w:hAnsi="Century Gothic"/>
                <w:color w:val="000000" w:themeColor="text1"/>
                <w:sz w:val="20"/>
                <w:szCs w:val="20"/>
                <w:lang w:eastAsia="en-US"/>
              </w:rPr>
              <w:t>566</w:t>
            </w:r>
          </w:p>
        </w:tc>
        <w:tc>
          <w:tcPr>
            <w:tcW w:w="715" w:type="dxa"/>
            <w:tcBorders>
              <w:top w:val="nil"/>
              <w:left w:val="nil"/>
              <w:bottom w:val="single" w:sz="8" w:space="0" w:color="auto"/>
              <w:right w:val="single" w:sz="8" w:space="0" w:color="auto"/>
            </w:tcBorders>
            <w:noWrap/>
            <w:vAlign w:val="bottom"/>
            <w:hideMark/>
          </w:tcPr>
          <w:p w14:paraId="1314AB7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608</w:t>
            </w:r>
          </w:p>
        </w:tc>
        <w:tc>
          <w:tcPr>
            <w:tcW w:w="756" w:type="dxa"/>
            <w:tcBorders>
              <w:top w:val="nil"/>
              <w:left w:val="nil"/>
              <w:bottom w:val="single" w:sz="8" w:space="0" w:color="auto"/>
              <w:right w:val="single" w:sz="8" w:space="0" w:color="auto"/>
            </w:tcBorders>
            <w:vAlign w:val="bottom"/>
            <w:hideMark/>
          </w:tcPr>
          <w:p w14:paraId="1B02681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2013: 273</w:t>
            </w:r>
          </w:p>
        </w:tc>
      </w:tr>
      <w:tr w:rsidR="00773342" w:rsidRPr="006D6566" w14:paraId="17F9D357"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7240ADD0"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Quinnipiac III</w:t>
            </w:r>
          </w:p>
        </w:tc>
        <w:tc>
          <w:tcPr>
            <w:tcW w:w="963" w:type="dxa"/>
            <w:tcBorders>
              <w:top w:val="single" w:sz="8" w:space="0" w:color="auto"/>
              <w:left w:val="single" w:sz="4" w:space="0" w:color="auto"/>
              <w:bottom w:val="single" w:sz="8" w:space="0" w:color="auto"/>
              <w:right w:val="single" w:sz="4" w:space="0" w:color="auto"/>
            </w:tcBorders>
          </w:tcPr>
          <w:p w14:paraId="3B08C637" w14:textId="05A7877C" w:rsidR="2D03861B" w:rsidRPr="00855213" w:rsidRDefault="67D58387"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260</w:t>
            </w:r>
          </w:p>
        </w:tc>
        <w:tc>
          <w:tcPr>
            <w:tcW w:w="1191" w:type="dxa"/>
            <w:gridSpan w:val="2"/>
            <w:tcBorders>
              <w:top w:val="single" w:sz="8" w:space="0" w:color="auto"/>
              <w:left w:val="single" w:sz="4" w:space="0" w:color="auto"/>
              <w:bottom w:val="single" w:sz="8" w:space="0" w:color="auto"/>
              <w:right w:val="single" w:sz="4" w:space="0" w:color="auto"/>
            </w:tcBorders>
          </w:tcPr>
          <w:p w14:paraId="534B5B82" w14:textId="5B97C9BF" w:rsidR="00E301F5" w:rsidRPr="00855213" w:rsidRDefault="059E78C7"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220</w:t>
            </w:r>
          </w:p>
        </w:tc>
        <w:tc>
          <w:tcPr>
            <w:tcW w:w="913" w:type="dxa"/>
            <w:tcBorders>
              <w:top w:val="single" w:sz="8" w:space="0" w:color="auto"/>
              <w:left w:val="single" w:sz="4" w:space="0" w:color="auto"/>
              <w:bottom w:val="single" w:sz="8" w:space="0" w:color="auto"/>
              <w:right w:val="single" w:sz="4" w:space="0" w:color="auto"/>
            </w:tcBorders>
          </w:tcPr>
          <w:p w14:paraId="48E93BBE" w14:textId="04DAA728"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259</w:t>
            </w:r>
          </w:p>
        </w:tc>
        <w:tc>
          <w:tcPr>
            <w:tcW w:w="1044" w:type="dxa"/>
            <w:tcBorders>
              <w:top w:val="single" w:sz="8" w:space="0" w:color="auto"/>
              <w:left w:val="single" w:sz="4" w:space="0" w:color="auto"/>
              <w:bottom w:val="single" w:sz="8" w:space="0" w:color="auto"/>
              <w:right w:val="single" w:sz="4" w:space="0" w:color="auto"/>
            </w:tcBorders>
          </w:tcPr>
          <w:p w14:paraId="5F6565E0" w14:textId="271AE662"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192</w:t>
            </w:r>
          </w:p>
        </w:tc>
        <w:tc>
          <w:tcPr>
            <w:tcW w:w="885" w:type="dxa"/>
            <w:tcBorders>
              <w:top w:val="nil"/>
              <w:left w:val="single" w:sz="4" w:space="0" w:color="auto"/>
              <w:bottom w:val="single" w:sz="8" w:space="0" w:color="auto"/>
              <w:right w:val="single" w:sz="8" w:space="0" w:color="auto"/>
            </w:tcBorders>
            <w:noWrap/>
            <w:vAlign w:val="bottom"/>
            <w:hideMark/>
          </w:tcPr>
          <w:p w14:paraId="3658EDFD" w14:textId="79582A2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181</w:t>
            </w:r>
          </w:p>
        </w:tc>
        <w:tc>
          <w:tcPr>
            <w:tcW w:w="990" w:type="dxa"/>
            <w:tcBorders>
              <w:top w:val="nil"/>
              <w:left w:val="nil"/>
              <w:bottom w:val="single" w:sz="8" w:space="0" w:color="auto"/>
              <w:right w:val="single" w:sz="8" w:space="0" w:color="auto"/>
            </w:tcBorders>
            <w:noWrap/>
            <w:vAlign w:val="bottom"/>
            <w:hideMark/>
          </w:tcPr>
          <w:p w14:paraId="0CAECC4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238</w:t>
            </w:r>
          </w:p>
        </w:tc>
        <w:tc>
          <w:tcPr>
            <w:tcW w:w="721" w:type="dxa"/>
            <w:tcBorders>
              <w:top w:val="nil"/>
              <w:left w:val="nil"/>
              <w:bottom w:val="single" w:sz="8" w:space="0" w:color="auto"/>
              <w:right w:val="single" w:sz="8" w:space="0" w:color="auto"/>
            </w:tcBorders>
            <w:noWrap/>
            <w:vAlign w:val="bottom"/>
            <w:hideMark/>
          </w:tcPr>
          <w:p w14:paraId="28DF1FE0" w14:textId="465603BE"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themeColor="text1"/>
                <w:sz w:val="20"/>
                <w:szCs w:val="20"/>
                <w:lang w:eastAsia="en-US"/>
              </w:rPr>
              <w:t>234</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12D69FAE" w14:textId="04A2E8E4" w:rsidR="00E301F5" w:rsidRPr="00855213" w:rsidRDefault="00E301F5" w:rsidP="00940CEB">
            <w:pPr>
              <w:jc w:val="center"/>
              <w:rPr>
                <w:rFonts w:ascii="Century Gothic" w:eastAsia="MS PGothic" w:hAnsi="Century Gothic"/>
                <w:sz w:val="20"/>
                <w:szCs w:val="20"/>
              </w:rPr>
            </w:pPr>
            <w:r w:rsidRPr="00855213">
              <w:rPr>
                <w:rFonts w:ascii="Century Gothic" w:eastAsia="Times New Roman" w:hAnsi="Century Gothic"/>
                <w:color w:val="000000" w:themeColor="text1"/>
                <w:sz w:val="20"/>
                <w:szCs w:val="20"/>
                <w:lang w:eastAsia="en-US"/>
              </w:rPr>
              <w:t>252</w:t>
            </w:r>
          </w:p>
        </w:tc>
        <w:tc>
          <w:tcPr>
            <w:tcW w:w="715" w:type="dxa"/>
            <w:tcBorders>
              <w:top w:val="nil"/>
              <w:left w:val="nil"/>
              <w:bottom w:val="single" w:sz="8" w:space="0" w:color="auto"/>
              <w:right w:val="single" w:sz="8" w:space="0" w:color="auto"/>
            </w:tcBorders>
            <w:noWrap/>
            <w:vAlign w:val="bottom"/>
            <w:hideMark/>
          </w:tcPr>
          <w:p w14:paraId="4EB89EBE"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277</w:t>
            </w:r>
          </w:p>
        </w:tc>
        <w:tc>
          <w:tcPr>
            <w:tcW w:w="756" w:type="dxa"/>
            <w:tcBorders>
              <w:top w:val="nil"/>
              <w:left w:val="nil"/>
              <w:bottom w:val="single" w:sz="8" w:space="0" w:color="auto"/>
              <w:right w:val="single" w:sz="8" w:space="0" w:color="auto"/>
            </w:tcBorders>
            <w:vAlign w:val="bottom"/>
            <w:hideMark/>
          </w:tcPr>
          <w:p w14:paraId="1BAEB24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2013: 289</w:t>
            </w:r>
          </w:p>
        </w:tc>
      </w:tr>
      <w:tr w:rsidR="00773342" w:rsidRPr="006D6566" w14:paraId="0EBBDC60"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662D7503" w14:textId="77777777" w:rsidR="00E301F5" w:rsidRPr="00855213" w:rsidRDefault="00E301F5" w:rsidP="00A45931">
            <w:pPr>
              <w:rPr>
                <w:rFonts w:ascii="Century Gothic" w:eastAsia="Times New Roman" w:hAnsi="Century Gothic"/>
                <w:color w:val="000000"/>
                <w:sz w:val="20"/>
                <w:szCs w:val="20"/>
                <w:lang w:eastAsia="en-US"/>
              </w:rPr>
            </w:pPr>
            <w:proofErr w:type="spellStart"/>
            <w:r w:rsidRPr="00855213">
              <w:rPr>
                <w:rFonts w:ascii="Century Gothic" w:eastAsia="Times New Roman" w:hAnsi="Century Gothic"/>
                <w:color w:val="000000"/>
                <w:sz w:val="20"/>
                <w:szCs w:val="20"/>
                <w:lang w:eastAsia="en-US"/>
              </w:rPr>
              <w:t>Ribicoff</w:t>
            </w:r>
            <w:proofErr w:type="spellEnd"/>
            <w:r w:rsidRPr="00855213">
              <w:rPr>
                <w:rFonts w:ascii="Century Gothic" w:eastAsia="Times New Roman" w:hAnsi="Century Gothic"/>
                <w:color w:val="000000"/>
                <w:sz w:val="20"/>
                <w:szCs w:val="20"/>
                <w:lang w:eastAsia="en-US"/>
              </w:rPr>
              <w:t xml:space="preserve"> 4% &amp; 9%</w:t>
            </w:r>
          </w:p>
        </w:tc>
        <w:tc>
          <w:tcPr>
            <w:tcW w:w="963" w:type="dxa"/>
            <w:tcBorders>
              <w:top w:val="single" w:sz="8" w:space="0" w:color="auto"/>
              <w:left w:val="single" w:sz="4" w:space="0" w:color="auto"/>
              <w:bottom w:val="single" w:sz="8" w:space="0" w:color="auto"/>
              <w:right w:val="single" w:sz="4" w:space="0" w:color="auto"/>
            </w:tcBorders>
          </w:tcPr>
          <w:p w14:paraId="6330C88B" w14:textId="5905D179" w:rsidR="076535DF" w:rsidRPr="00855213" w:rsidRDefault="076535DF"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1737</w:t>
            </w:r>
          </w:p>
        </w:tc>
        <w:tc>
          <w:tcPr>
            <w:tcW w:w="1191" w:type="dxa"/>
            <w:gridSpan w:val="2"/>
            <w:tcBorders>
              <w:top w:val="single" w:sz="8" w:space="0" w:color="auto"/>
              <w:left w:val="single" w:sz="4" w:space="0" w:color="auto"/>
              <w:bottom w:val="single" w:sz="8" w:space="0" w:color="auto"/>
              <w:right w:val="single" w:sz="4" w:space="0" w:color="auto"/>
            </w:tcBorders>
          </w:tcPr>
          <w:p w14:paraId="30A8C7A2" w14:textId="348FF7AC"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484</w:t>
            </w:r>
          </w:p>
        </w:tc>
        <w:tc>
          <w:tcPr>
            <w:tcW w:w="913" w:type="dxa"/>
            <w:tcBorders>
              <w:top w:val="single" w:sz="8" w:space="0" w:color="auto"/>
              <w:left w:val="single" w:sz="4" w:space="0" w:color="auto"/>
              <w:bottom w:val="single" w:sz="8" w:space="0" w:color="auto"/>
              <w:right w:val="single" w:sz="4" w:space="0" w:color="auto"/>
            </w:tcBorders>
          </w:tcPr>
          <w:p w14:paraId="0239C23B" w14:textId="0D0269FD"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523</w:t>
            </w:r>
          </w:p>
        </w:tc>
        <w:tc>
          <w:tcPr>
            <w:tcW w:w="1044" w:type="dxa"/>
            <w:tcBorders>
              <w:top w:val="single" w:sz="8" w:space="0" w:color="auto"/>
              <w:left w:val="single" w:sz="4" w:space="0" w:color="auto"/>
              <w:bottom w:val="single" w:sz="8" w:space="0" w:color="auto"/>
              <w:right w:val="single" w:sz="4" w:space="0" w:color="auto"/>
            </w:tcBorders>
          </w:tcPr>
          <w:p w14:paraId="7BCF09B4" w14:textId="2D67E646"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223</w:t>
            </w:r>
          </w:p>
        </w:tc>
        <w:tc>
          <w:tcPr>
            <w:tcW w:w="885" w:type="dxa"/>
            <w:tcBorders>
              <w:top w:val="nil"/>
              <w:left w:val="single" w:sz="4" w:space="0" w:color="auto"/>
              <w:bottom w:val="single" w:sz="8" w:space="0" w:color="auto"/>
              <w:right w:val="single" w:sz="8" w:space="0" w:color="auto"/>
            </w:tcBorders>
            <w:noWrap/>
            <w:vAlign w:val="bottom"/>
            <w:hideMark/>
          </w:tcPr>
          <w:p w14:paraId="78EEEE1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594</w:t>
            </w:r>
          </w:p>
        </w:tc>
        <w:tc>
          <w:tcPr>
            <w:tcW w:w="990" w:type="dxa"/>
            <w:tcBorders>
              <w:top w:val="nil"/>
              <w:left w:val="nil"/>
              <w:bottom w:val="single" w:sz="8" w:space="0" w:color="auto"/>
              <w:right w:val="single" w:sz="8" w:space="0" w:color="auto"/>
            </w:tcBorders>
            <w:noWrap/>
            <w:vAlign w:val="bottom"/>
            <w:hideMark/>
          </w:tcPr>
          <w:p w14:paraId="01301DA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705</w:t>
            </w:r>
          </w:p>
        </w:tc>
        <w:tc>
          <w:tcPr>
            <w:tcW w:w="721" w:type="dxa"/>
            <w:tcBorders>
              <w:top w:val="nil"/>
              <w:left w:val="nil"/>
              <w:bottom w:val="single" w:sz="8" w:space="0" w:color="auto"/>
              <w:right w:val="single" w:sz="8" w:space="0" w:color="auto"/>
            </w:tcBorders>
            <w:noWrap/>
            <w:vAlign w:val="bottom"/>
            <w:hideMark/>
          </w:tcPr>
          <w:p w14:paraId="2DEE65E9"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1222</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2DC8781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404</w:t>
            </w:r>
          </w:p>
        </w:tc>
        <w:tc>
          <w:tcPr>
            <w:tcW w:w="715" w:type="dxa"/>
            <w:tcBorders>
              <w:top w:val="nil"/>
              <w:left w:val="nil"/>
              <w:bottom w:val="single" w:sz="8" w:space="0" w:color="auto"/>
              <w:right w:val="single" w:sz="8" w:space="0" w:color="auto"/>
            </w:tcBorders>
            <w:noWrap/>
            <w:vAlign w:val="bottom"/>
            <w:hideMark/>
          </w:tcPr>
          <w:p w14:paraId="7EB48EB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122</w:t>
            </w:r>
          </w:p>
        </w:tc>
        <w:tc>
          <w:tcPr>
            <w:tcW w:w="756" w:type="dxa"/>
            <w:tcBorders>
              <w:top w:val="nil"/>
              <w:left w:val="nil"/>
              <w:bottom w:val="single" w:sz="8" w:space="0" w:color="auto"/>
              <w:right w:val="single" w:sz="8" w:space="0" w:color="auto"/>
            </w:tcBorders>
            <w:vAlign w:val="bottom"/>
            <w:hideMark/>
          </w:tcPr>
          <w:p w14:paraId="6FD30D8D"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19DF1EA5"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580215FB"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Robert T. Wolfe</w:t>
            </w:r>
          </w:p>
        </w:tc>
        <w:tc>
          <w:tcPr>
            <w:tcW w:w="963" w:type="dxa"/>
            <w:tcBorders>
              <w:top w:val="single" w:sz="8" w:space="0" w:color="auto"/>
              <w:left w:val="single" w:sz="4" w:space="0" w:color="auto"/>
              <w:bottom w:val="single" w:sz="8" w:space="0" w:color="auto"/>
              <w:right w:val="single" w:sz="4" w:space="0" w:color="auto"/>
            </w:tcBorders>
          </w:tcPr>
          <w:p w14:paraId="5D5BE123" w14:textId="0641D6A9" w:rsidR="2D03861B" w:rsidRPr="00855213" w:rsidRDefault="00B55163"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1036</w:t>
            </w:r>
          </w:p>
        </w:tc>
        <w:tc>
          <w:tcPr>
            <w:tcW w:w="1191" w:type="dxa"/>
            <w:gridSpan w:val="2"/>
            <w:tcBorders>
              <w:top w:val="single" w:sz="8" w:space="0" w:color="auto"/>
              <w:left w:val="single" w:sz="4" w:space="0" w:color="auto"/>
              <w:bottom w:val="single" w:sz="8" w:space="0" w:color="auto"/>
              <w:right w:val="single" w:sz="4" w:space="0" w:color="auto"/>
            </w:tcBorders>
          </w:tcPr>
          <w:p w14:paraId="3FF637F3" w14:textId="77777777" w:rsidR="00E301F5" w:rsidRPr="00855213" w:rsidRDefault="00E301F5" w:rsidP="00940CEB">
            <w:pPr>
              <w:jc w:val="center"/>
              <w:rPr>
                <w:rFonts w:ascii="Century Gothic" w:eastAsia="MS PGothic" w:hAnsi="Century Gothic"/>
                <w:sz w:val="20"/>
                <w:szCs w:val="20"/>
                <w:lang w:eastAsia="en-US"/>
              </w:rPr>
            </w:pPr>
          </w:p>
        </w:tc>
        <w:tc>
          <w:tcPr>
            <w:tcW w:w="913" w:type="dxa"/>
            <w:tcBorders>
              <w:top w:val="single" w:sz="8" w:space="0" w:color="auto"/>
              <w:left w:val="single" w:sz="4" w:space="0" w:color="auto"/>
              <w:bottom w:val="single" w:sz="8" w:space="0" w:color="auto"/>
              <w:right w:val="single" w:sz="4" w:space="0" w:color="auto"/>
            </w:tcBorders>
          </w:tcPr>
          <w:p w14:paraId="7CB1D02C" w14:textId="55FF5895"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1017</w:t>
            </w:r>
          </w:p>
        </w:tc>
        <w:tc>
          <w:tcPr>
            <w:tcW w:w="1044" w:type="dxa"/>
            <w:tcBorders>
              <w:top w:val="single" w:sz="8" w:space="0" w:color="auto"/>
              <w:left w:val="single" w:sz="4" w:space="0" w:color="auto"/>
              <w:bottom w:val="single" w:sz="8" w:space="0" w:color="auto"/>
              <w:right w:val="single" w:sz="4" w:space="0" w:color="auto"/>
            </w:tcBorders>
          </w:tcPr>
          <w:p w14:paraId="18DD948A" w14:textId="77777777" w:rsidR="00E301F5" w:rsidRPr="00855213" w:rsidRDefault="00E301F5" w:rsidP="00940CEB">
            <w:pPr>
              <w:jc w:val="center"/>
              <w:rPr>
                <w:rFonts w:ascii="Century Gothic" w:eastAsia="Times New Roman" w:hAnsi="Century Gothic"/>
                <w:sz w:val="20"/>
                <w:szCs w:val="20"/>
                <w:lang w:eastAsia="en-US"/>
              </w:rPr>
            </w:pP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6312267B"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399</w:t>
            </w:r>
          </w:p>
        </w:tc>
        <w:tc>
          <w:tcPr>
            <w:tcW w:w="990" w:type="dxa"/>
            <w:tcBorders>
              <w:top w:val="nil"/>
              <w:left w:val="nil"/>
              <w:bottom w:val="single" w:sz="8" w:space="0" w:color="auto"/>
              <w:right w:val="single" w:sz="8" w:space="0" w:color="auto"/>
            </w:tcBorders>
            <w:noWrap/>
            <w:vAlign w:val="bottom"/>
            <w:hideMark/>
          </w:tcPr>
          <w:p w14:paraId="4A5B36E4"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516</w:t>
            </w:r>
          </w:p>
        </w:tc>
        <w:tc>
          <w:tcPr>
            <w:tcW w:w="721" w:type="dxa"/>
            <w:tcBorders>
              <w:top w:val="nil"/>
              <w:left w:val="nil"/>
              <w:bottom w:val="single" w:sz="8" w:space="0" w:color="auto"/>
              <w:right w:val="single" w:sz="8" w:space="0" w:color="auto"/>
            </w:tcBorders>
            <w:noWrap/>
            <w:vAlign w:val="bottom"/>
            <w:hideMark/>
          </w:tcPr>
          <w:p w14:paraId="2855AC7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336</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79C6DAD9"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978</w:t>
            </w:r>
          </w:p>
        </w:tc>
        <w:tc>
          <w:tcPr>
            <w:tcW w:w="715" w:type="dxa"/>
            <w:tcBorders>
              <w:top w:val="nil"/>
              <w:left w:val="nil"/>
              <w:bottom w:val="single" w:sz="8" w:space="0" w:color="auto"/>
              <w:right w:val="single" w:sz="8" w:space="0" w:color="auto"/>
            </w:tcBorders>
            <w:noWrap/>
            <w:vAlign w:val="bottom"/>
            <w:hideMark/>
          </w:tcPr>
          <w:p w14:paraId="5CC6B3D0"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465</w:t>
            </w:r>
          </w:p>
        </w:tc>
        <w:tc>
          <w:tcPr>
            <w:tcW w:w="756" w:type="dxa"/>
            <w:tcBorders>
              <w:top w:val="nil"/>
              <w:left w:val="nil"/>
              <w:bottom w:val="single" w:sz="8" w:space="0" w:color="auto"/>
              <w:right w:val="single" w:sz="8" w:space="0" w:color="auto"/>
            </w:tcBorders>
            <w:vAlign w:val="bottom"/>
            <w:hideMark/>
          </w:tcPr>
          <w:p w14:paraId="4DED0B80"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173ACCA3"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1FA75E0F"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 xml:space="preserve">Scattered </w:t>
            </w:r>
            <w:r w:rsidRPr="00855213">
              <w:rPr>
                <w:rFonts w:ascii="Century Gothic" w:eastAsia="Times New Roman" w:hAnsi="Century Gothic"/>
                <w:sz w:val="20"/>
                <w:szCs w:val="20"/>
                <w:lang w:eastAsia="en-US"/>
              </w:rPr>
              <w:t>Sites (All)</w:t>
            </w:r>
          </w:p>
        </w:tc>
        <w:tc>
          <w:tcPr>
            <w:tcW w:w="963" w:type="dxa"/>
            <w:tcBorders>
              <w:top w:val="single" w:sz="8" w:space="0" w:color="auto"/>
              <w:left w:val="single" w:sz="4" w:space="0" w:color="auto"/>
              <w:bottom w:val="single" w:sz="8" w:space="0" w:color="auto"/>
              <w:right w:val="single" w:sz="4" w:space="0" w:color="auto"/>
            </w:tcBorders>
          </w:tcPr>
          <w:p w14:paraId="54D808B4" w14:textId="46B3C813" w:rsidR="2D03861B" w:rsidRPr="00855213" w:rsidRDefault="00724EBA"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2500</w:t>
            </w:r>
          </w:p>
        </w:tc>
        <w:tc>
          <w:tcPr>
            <w:tcW w:w="1191" w:type="dxa"/>
            <w:gridSpan w:val="2"/>
            <w:tcBorders>
              <w:top w:val="single" w:sz="8" w:space="0" w:color="auto"/>
              <w:left w:val="single" w:sz="4" w:space="0" w:color="auto"/>
              <w:bottom w:val="single" w:sz="8" w:space="0" w:color="auto"/>
              <w:right w:val="single" w:sz="4" w:space="0" w:color="auto"/>
            </w:tcBorders>
          </w:tcPr>
          <w:p w14:paraId="562BBA5A" w14:textId="2CDB4942" w:rsidR="00E301F5" w:rsidRPr="00855213" w:rsidRDefault="7D74531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1135</w:t>
            </w:r>
          </w:p>
        </w:tc>
        <w:tc>
          <w:tcPr>
            <w:tcW w:w="913" w:type="dxa"/>
            <w:tcBorders>
              <w:top w:val="single" w:sz="8" w:space="0" w:color="auto"/>
              <w:left w:val="single" w:sz="4" w:space="0" w:color="auto"/>
              <w:bottom w:val="single" w:sz="8" w:space="0" w:color="auto"/>
              <w:right w:val="single" w:sz="4" w:space="0" w:color="auto"/>
            </w:tcBorders>
          </w:tcPr>
          <w:p w14:paraId="3096B304" w14:textId="63CD4DBA"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952</w:t>
            </w:r>
          </w:p>
        </w:tc>
        <w:tc>
          <w:tcPr>
            <w:tcW w:w="1044" w:type="dxa"/>
            <w:tcBorders>
              <w:top w:val="single" w:sz="8" w:space="0" w:color="auto"/>
              <w:left w:val="single" w:sz="4" w:space="0" w:color="auto"/>
              <w:bottom w:val="single" w:sz="8" w:space="0" w:color="auto"/>
              <w:right w:val="single" w:sz="4" w:space="0" w:color="auto"/>
            </w:tcBorders>
          </w:tcPr>
          <w:p w14:paraId="73B69CA4" w14:textId="6814E0E0"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956</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72D02F2D"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926</w:t>
            </w:r>
          </w:p>
        </w:tc>
        <w:tc>
          <w:tcPr>
            <w:tcW w:w="990" w:type="dxa"/>
            <w:tcBorders>
              <w:top w:val="nil"/>
              <w:left w:val="nil"/>
              <w:bottom w:val="single" w:sz="8" w:space="0" w:color="auto"/>
              <w:right w:val="single" w:sz="8" w:space="0" w:color="auto"/>
            </w:tcBorders>
            <w:noWrap/>
            <w:vAlign w:val="bottom"/>
            <w:hideMark/>
          </w:tcPr>
          <w:p w14:paraId="37AEC75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541</w:t>
            </w:r>
          </w:p>
        </w:tc>
        <w:tc>
          <w:tcPr>
            <w:tcW w:w="721" w:type="dxa"/>
            <w:tcBorders>
              <w:top w:val="nil"/>
              <w:left w:val="nil"/>
              <w:bottom w:val="single" w:sz="8" w:space="0" w:color="auto"/>
              <w:right w:val="single" w:sz="8" w:space="0" w:color="auto"/>
            </w:tcBorders>
            <w:noWrap/>
            <w:vAlign w:val="bottom"/>
            <w:hideMark/>
          </w:tcPr>
          <w:p w14:paraId="4722F18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1348</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2299CC5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1,586</w:t>
            </w:r>
          </w:p>
        </w:tc>
        <w:tc>
          <w:tcPr>
            <w:tcW w:w="715" w:type="dxa"/>
            <w:tcBorders>
              <w:top w:val="nil"/>
              <w:left w:val="nil"/>
              <w:bottom w:val="single" w:sz="8" w:space="0" w:color="auto"/>
              <w:right w:val="single" w:sz="8" w:space="0" w:color="auto"/>
            </w:tcBorders>
            <w:noWrap/>
            <w:vAlign w:val="bottom"/>
            <w:hideMark/>
          </w:tcPr>
          <w:p w14:paraId="014049A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990</w:t>
            </w:r>
          </w:p>
        </w:tc>
        <w:tc>
          <w:tcPr>
            <w:tcW w:w="756" w:type="dxa"/>
            <w:tcBorders>
              <w:top w:val="nil"/>
              <w:left w:val="nil"/>
              <w:bottom w:val="single" w:sz="8" w:space="0" w:color="auto"/>
              <w:right w:val="single" w:sz="8" w:space="0" w:color="auto"/>
            </w:tcBorders>
            <w:vAlign w:val="bottom"/>
            <w:hideMark/>
          </w:tcPr>
          <w:p w14:paraId="1A5703D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27ACEB22"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45C9486B"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St Anthony</w:t>
            </w:r>
          </w:p>
        </w:tc>
        <w:tc>
          <w:tcPr>
            <w:tcW w:w="963" w:type="dxa"/>
            <w:tcBorders>
              <w:top w:val="single" w:sz="8" w:space="0" w:color="auto"/>
              <w:left w:val="single" w:sz="4" w:space="0" w:color="auto"/>
              <w:bottom w:val="single" w:sz="8" w:space="0" w:color="auto"/>
              <w:right w:val="single" w:sz="4" w:space="0" w:color="auto"/>
            </w:tcBorders>
          </w:tcPr>
          <w:p w14:paraId="4C39792D" w14:textId="5F9E0809" w:rsidR="2D03861B" w:rsidRPr="00855213" w:rsidRDefault="00C60A0F"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No data</w:t>
            </w:r>
          </w:p>
        </w:tc>
        <w:tc>
          <w:tcPr>
            <w:tcW w:w="1191" w:type="dxa"/>
            <w:gridSpan w:val="2"/>
            <w:tcBorders>
              <w:top w:val="single" w:sz="8" w:space="0" w:color="auto"/>
              <w:left w:val="single" w:sz="4" w:space="0" w:color="auto"/>
              <w:bottom w:val="single" w:sz="8" w:space="0" w:color="auto"/>
              <w:right w:val="single" w:sz="4" w:space="0" w:color="auto"/>
            </w:tcBorders>
          </w:tcPr>
          <w:p w14:paraId="1359FEBB" w14:textId="6287ECA7" w:rsidR="00E301F5" w:rsidRPr="00855213" w:rsidRDefault="76F23B36"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2989</w:t>
            </w:r>
          </w:p>
        </w:tc>
        <w:tc>
          <w:tcPr>
            <w:tcW w:w="913" w:type="dxa"/>
            <w:tcBorders>
              <w:top w:val="single" w:sz="8" w:space="0" w:color="auto"/>
              <w:left w:val="single" w:sz="4" w:space="0" w:color="auto"/>
              <w:bottom w:val="single" w:sz="8" w:space="0" w:color="auto"/>
              <w:right w:val="single" w:sz="4" w:space="0" w:color="auto"/>
            </w:tcBorders>
          </w:tcPr>
          <w:p w14:paraId="03659438" w14:textId="6698EA1B"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255</w:t>
            </w:r>
          </w:p>
        </w:tc>
        <w:tc>
          <w:tcPr>
            <w:tcW w:w="1044" w:type="dxa"/>
            <w:tcBorders>
              <w:top w:val="single" w:sz="8" w:space="0" w:color="auto"/>
              <w:left w:val="single" w:sz="4" w:space="0" w:color="auto"/>
              <w:bottom w:val="single" w:sz="8" w:space="0" w:color="auto"/>
              <w:right w:val="single" w:sz="4" w:space="0" w:color="auto"/>
            </w:tcBorders>
          </w:tcPr>
          <w:p w14:paraId="0076C2F5" w14:textId="5C5B92F9"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No data</w:t>
            </w:r>
          </w:p>
        </w:tc>
        <w:tc>
          <w:tcPr>
            <w:tcW w:w="885" w:type="dxa"/>
            <w:tcBorders>
              <w:top w:val="nil"/>
              <w:left w:val="single" w:sz="4" w:space="0" w:color="auto"/>
              <w:bottom w:val="single" w:sz="8" w:space="0" w:color="auto"/>
              <w:right w:val="single" w:sz="8" w:space="0" w:color="auto"/>
            </w:tcBorders>
            <w:noWrap/>
            <w:vAlign w:val="bottom"/>
            <w:hideMark/>
          </w:tcPr>
          <w:p w14:paraId="55EBFFBB" w14:textId="6CBBBAED"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990" w:type="dxa"/>
            <w:tcBorders>
              <w:top w:val="nil"/>
              <w:left w:val="nil"/>
              <w:bottom w:val="single" w:sz="8" w:space="0" w:color="auto"/>
              <w:right w:val="single" w:sz="8" w:space="0" w:color="auto"/>
            </w:tcBorders>
            <w:noWrap/>
            <w:vAlign w:val="bottom"/>
            <w:hideMark/>
          </w:tcPr>
          <w:p w14:paraId="59BE9CC6"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175</w:t>
            </w:r>
          </w:p>
        </w:tc>
        <w:tc>
          <w:tcPr>
            <w:tcW w:w="721" w:type="dxa"/>
            <w:tcBorders>
              <w:top w:val="nil"/>
              <w:left w:val="nil"/>
              <w:bottom w:val="single" w:sz="8" w:space="0" w:color="auto"/>
              <w:right w:val="single" w:sz="8" w:space="0" w:color="auto"/>
            </w:tcBorders>
            <w:noWrap/>
            <w:vAlign w:val="bottom"/>
            <w:hideMark/>
          </w:tcPr>
          <w:p w14:paraId="00912ABB" w14:textId="76472E1A"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5C20F06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52</w:t>
            </w:r>
          </w:p>
        </w:tc>
        <w:tc>
          <w:tcPr>
            <w:tcW w:w="715" w:type="dxa"/>
            <w:tcBorders>
              <w:top w:val="nil"/>
              <w:left w:val="nil"/>
              <w:bottom w:val="single" w:sz="8" w:space="0" w:color="auto"/>
              <w:right w:val="single" w:sz="8" w:space="0" w:color="auto"/>
            </w:tcBorders>
            <w:noWrap/>
            <w:vAlign w:val="bottom"/>
            <w:hideMark/>
          </w:tcPr>
          <w:p w14:paraId="76B32FD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56" w:type="dxa"/>
            <w:tcBorders>
              <w:top w:val="nil"/>
              <w:left w:val="nil"/>
              <w:bottom w:val="single" w:sz="8" w:space="0" w:color="auto"/>
              <w:right w:val="single" w:sz="8" w:space="0" w:color="auto"/>
            </w:tcBorders>
            <w:vAlign w:val="bottom"/>
            <w:hideMark/>
          </w:tcPr>
          <w:p w14:paraId="533EB4DA"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0BB30D6D"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2FC54C52"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lastRenderedPageBreak/>
              <w:t>Valley</w:t>
            </w:r>
          </w:p>
        </w:tc>
        <w:tc>
          <w:tcPr>
            <w:tcW w:w="963" w:type="dxa"/>
            <w:tcBorders>
              <w:top w:val="single" w:sz="8" w:space="0" w:color="auto"/>
              <w:left w:val="single" w:sz="4" w:space="0" w:color="auto"/>
              <w:bottom w:val="single" w:sz="8" w:space="0" w:color="auto"/>
              <w:right w:val="single" w:sz="4" w:space="0" w:color="auto"/>
            </w:tcBorders>
          </w:tcPr>
          <w:p w14:paraId="3D287FC5" w14:textId="4A40A0B4" w:rsidR="10D9B590" w:rsidRPr="00855213" w:rsidRDefault="10D9B590"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23</w:t>
            </w:r>
          </w:p>
        </w:tc>
        <w:tc>
          <w:tcPr>
            <w:tcW w:w="1191" w:type="dxa"/>
            <w:gridSpan w:val="2"/>
            <w:tcBorders>
              <w:top w:val="single" w:sz="8" w:space="0" w:color="auto"/>
              <w:left w:val="single" w:sz="4" w:space="0" w:color="auto"/>
              <w:bottom w:val="single" w:sz="8" w:space="0" w:color="auto"/>
              <w:right w:val="single" w:sz="4" w:space="0" w:color="auto"/>
            </w:tcBorders>
          </w:tcPr>
          <w:p w14:paraId="27026289" w14:textId="7BE296B5" w:rsidR="00E301F5" w:rsidRPr="00855213" w:rsidRDefault="3417AF31"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0</w:t>
            </w:r>
          </w:p>
        </w:tc>
        <w:tc>
          <w:tcPr>
            <w:tcW w:w="913" w:type="dxa"/>
            <w:tcBorders>
              <w:top w:val="single" w:sz="8" w:space="0" w:color="auto"/>
              <w:left w:val="single" w:sz="4" w:space="0" w:color="auto"/>
              <w:bottom w:val="single" w:sz="8" w:space="0" w:color="auto"/>
              <w:right w:val="single" w:sz="4" w:space="0" w:color="auto"/>
            </w:tcBorders>
          </w:tcPr>
          <w:p w14:paraId="7526C45A" w14:textId="7E8DF524"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544</w:t>
            </w:r>
          </w:p>
        </w:tc>
        <w:tc>
          <w:tcPr>
            <w:tcW w:w="1044" w:type="dxa"/>
            <w:tcBorders>
              <w:top w:val="single" w:sz="8" w:space="0" w:color="auto"/>
              <w:left w:val="single" w:sz="4" w:space="0" w:color="auto"/>
              <w:bottom w:val="single" w:sz="8" w:space="0" w:color="auto"/>
              <w:right w:val="single" w:sz="4" w:space="0" w:color="auto"/>
            </w:tcBorders>
          </w:tcPr>
          <w:p w14:paraId="67AE46C4" w14:textId="21E27031"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112</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3F0DBEE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126</w:t>
            </w:r>
          </w:p>
        </w:tc>
        <w:tc>
          <w:tcPr>
            <w:tcW w:w="990" w:type="dxa"/>
            <w:tcBorders>
              <w:top w:val="nil"/>
              <w:left w:val="nil"/>
              <w:bottom w:val="single" w:sz="8" w:space="0" w:color="auto"/>
              <w:right w:val="single" w:sz="8" w:space="0" w:color="auto"/>
            </w:tcBorders>
            <w:noWrap/>
            <w:vAlign w:val="bottom"/>
            <w:hideMark/>
          </w:tcPr>
          <w:p w14:paraId="0D609675"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534</w:t>
            </w:r>
          </w:p>
        </w:tc>
        <w:tc>
          <w:tcPr>
            <w:tcW w:w="721" w:type="dxa"/>
            <w:tcBorders>
              <w:top w:val="nil"/>
              <w:left w:val="nil"/>
              <w:bottom w:val="single" w:sz="8" w:space="0" w:color="auto"/>
              <w:right w:val="single" w:sz="8" w:space="0" w:color="auto"/>
            </w:tcBorders>
            <w:noWrap/>
            <w:vAlign w:val="bottom"/>
            <w:hideMark/>
          </w:tcPr>
          <w:p w14:paraId="4D78BC60"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775</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2BDF9FB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1,339</w:t>
            </w:r>
          </w:p>
        </w:tc>
        <w:tc>
          <w:tcPr>
            <w:tcW w:w="715" w:type="dxa"/>
            <w:tcBorders>
              <w:top w:val="nil"/>
              <w:left w:val="nil"/>
              <w:bottom w:val="single" w:sz="8" w:space="0" w:color="auto"/>
              <w:right w:val="single" w:sz="8" w:space="0" w:color="auto"/>
            </w:tcBorders>
            <w:noWrap/>
            <w:vAlign w:val="bottom"/>
            <w:hideMark/>
          </w:tcPr>
          <w:p w14:paraId="3CFF1E7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1,470</w:t>
            </w:r>
          </w:p>
        </w:tc>
        <w:tc>
          <w:tcPr>
            <w:tcW w:w="756" w:type="dxa"/>
            <w:tcBorders>
              <w:top w:val="nil"/>
              <w:left w:val="nil"/>
              <w:bottom w:val="single" w:sz="8" w:space="0" w:color="auto"/>
              <w:right w:val="single" w:sz="8" w:space="0" w:color="auto"/>
            </w:tcBorders>
            <w:vAlign w:val="bottom"/>
            <w:hideMark/>
          </w:tcPr>
          <w:p w14:paraId="223FFBFE"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14C301ED"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6F16D361"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Waverly</w:t>
            </w:r>
          </w:p>
        </w:tc>
        <w:tc>
          <w:tcPr>
            <w:tcW w:w="963" w:type="dxa"/>
            <w:tcBorders>
              <w:top w:val="single" w:sz="8" w:space="0" w:color="auto"/>
              <w:left w:val="single" w:sz="4" w:space="0" w:color="auto"/>
              <w:bottom w:val="single" w:sz="8" w:space="0" w:color="auto"/>
              <w:right w:val="single" w:sz="4" w:space="0" w:color="auto"/>
            </w:tcBorders>
          </w:tcPr>
          <w:p w14:paraId="390DFAEE" w14:textId="18F46BF0" w:rsidR="7D3A79C7" w:rsidRPr="00855213" w:rsidRDefault="7D3A79C7"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473</w:t>
            </w:r>
          </w:p>
        </w:tc>
        <w:tc>
          <w:tcPr>
            <w:tcW w:w="1191" w:type="dxa"/>
            <w:gridSpan w:val="2"/>
            <w:tcBorders>
              <w:top w:val="single" w:sz="8" w:space="0" w:color="auto"/>
              <w:left w:val="single" w:sz="4" w:space="0" w:color="auto"/>
              <w:bottom w:val="single" w:sz="8" w:space="0" w:color="auto"/>
              <w:right w:val="single" w:sz="4" w:space="0" w:color="auto"/>
            </w:tcBorders>
          </w:tcPr>
          <w:p w14:paraId="6A3434BE" w14:textId="77EB0171"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239</w:t>
            </w:r>
          </w:p>
        </w:tc>
        <w:tc>
          <w:tcPr>
            <w:tcW w:w="913" w:type="dxa"/>
            <w:tcBorders>
              <w:top w:val="single" w:sz="8" w:space="0" w:color="auto"/>
              <w:left w:val="single" w:sz="4" w:space="0" w:color="auto"/>
              <w:bottom w:val="single" w:sz="8" w:space="0" w:color="auto"/>
              <w:right w:val="single" w:sz="4" w:space="0" w:color="auto"/>
            </w:tcBorders>
          </w:tcPr>
          <w:p w14:paraId="39F8ACF8" w14:textId="218AF05F"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238</w:t>
            </w:r>
          </w:p>
        </w:tc>
        <w:tc>
          <w:tcPr>
            <w:tcW w:w="1044" w:type="dxa"/>
            <w:tcBorders>
              <w:top w:val="single" w:sz="8" w:space="0" w:color="auto"/>
              <w:left w:val="single" w:sz="4" w:space="0" w:color="auto"/>
              <w:bottom w:val="single" w:sz="8" w:space="0" w:color="auto"/>
              <w:right w:val="single" w:sz="4" w:space="0" w:color="auto"/>
            </w:tcBorders>
          </w:tcPr>
          <w:p w14:paraId="5E83CD2C" w14:textId="77777777" w:rsidR="00E301F5" w:rsidRPr="00855213" w:rsidRDefault="00E301F5" w:rsidP="00940CEB">
            <w:pPr>
              <w:jc w:val="center"/>
              <w:rPr>
                <w:rFonts w:ascii="Century Gothic" w:eastAsia="Times New Roman" w:hAnsi="Century Gothic"/>
                <w:sz w:val="20"/>
                <w:szCs w:val="20"/>
                <w:lang w:eastAsia="en-US"/>
              </w:rPr>
            </w:pP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59B826B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167</w:t>
            </w:r>
          </w:p>
        </w:tc>
        <w:tc>
          <w:tcPr>
            <w:tcW w:w="990" w:type="dxa"/>
            <w:tcBorders>
              <w:top w:val="nil"/>
              <w:left w:val="nil"/>
              <w:bottom w:val="single" w:sz="8" w:space="0" w:color="auto"/>
              <w:right w:val="single" w:sz="8" w:space="0" w:color="auto"/>
            </w:tcBorders>
            <w:noWrap/>
            <w:vAlign w:val="bottom"/>
            <w:hideMark/>
          </w:tcPr>
          <w:p w14:paraId="08B1819D" w14:textId="462A4E06" w:rsidR="00E301F5" w:rsidRPr="00855213" w:rsidRDefault="00E301F5" w:rsidP="00940CEB">
            <w:pPr>
              <w:jc w:val="center"/>
              <w:rPr>
                <w:rFonts w:ascii="Century Gothic" w:eastAsia="Times New Roman" w:hAnsi="Century Gothic"/>
                <w:color w:val="000000"/>
                <w:sz w:val="20"/>
                <w:szCs w:val="20"/>
                <w:lang w:eastAsia="en-US"/>
              </w:rPr>
            </w:pPr>
          </w:p>
        </w:tc>
        <w:tc>
          <w:tcPr>
            <w:tcW w:w="721" w:type="dxa"/>
            <w:tcBorders>
              <w:top w:val="nil"/>
              <w:left w:val="nil"/>
              <w:bottom w:val="single" w:sz="8" w:space="0" w:color="auto"/>
              <w:right w:val="single" w:sz="8" w:space="0" w:color="auto"/>
            </w:tcBorders>
            <w:noWrap/>
            <w:vAlign w:val="bottom"/>
            <w:hideMark/>
          </w:tcPr>
          <w:p w14:paraId="1CC61CAF" w14:textId="0EEFBEB6"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77472556" w14:textId="543BF35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15" w:type="dxa"/>
            <w:tcBorders>
              <w:top w:val="nil"/>
              <w:left w:val="nil"/>
              <w:bottom w:val="single" w:sz="8" w:space="0" w:color="auto"/>
              <w:right w:val="single" w:sz="8" w:space="0" w:color="auto"/>
            </w:tcBorders>
            <w:noWrap/>
            <w:vAlign w:val="bottom"/>
            <w:hideMark/>
          </w:tcPr>
          <w:p w14:paraId="7F70442E" w14:textId="0178ABFD"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No data</w:t>
            </w:r>
          </w:p>
        </w:tc>
        <w:tc>
          <w:tcPr>
            <w:tcW w:w="756" w:type="dxa"/>
            <w:tcBorders>
              <w:top w:val="nil"/>
              <w:left w:val="nil"/>
              <w:bottom w:val="single" w:sz="8" w:space="0" w:color="auto"/>
              <w:right w:val="single" w:sz="8" w:space="0" w:color="auto"/>
            </w:tcBorders>
            <w:vAlign w:val="bottom"/>
            <w:hideMark/>
          </w:tcPr>
          <w:p w14:paraId="10F4A74D" w14:textId="6E77B8C9"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091C3004"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182DA97B"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Westville</w:t>
            </w:r>
          </w:p>
        </w:tc>
        <w:tc>
          <w:tcPr>
            <w:tcW w:w="963" w:type="dxa"/>
            <w:tcBorders>
              <w:top w:val="single" w:sz="8" w:space="0" w:color="auto"/>
              <w:left w:val="single" w:sz="4" w:space="0" w:color="auto"/>
              <w:bottom w:val="single" w:sz="8" w:space="0" w:color="auto"/>
              <w:right w:val="single" w:sz="4" w:space="0" w:color="auto"/>
            </w:tcBorders>
          </w:tcPr>
          <w:p w14:paraId="79A44A64" w14:textId="6547F214" w:rsidR="2D03861B" w:rsidRPr="00855213" w:rsidRDefault="00F5767B"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1689</w:t>
            </w:r>
          </w:p>
        </w:tc>
        <w:tc>
          <w:tcPr>
            <w:tcW w:w="1191" w:type="dxa"/>
            <w:gridSpan w:val="2"/>
            <w:tcBorders>
              <w:top w:val="single" w:sz="8" w:space="0" w:color="auto"/>
              <w:left w:val="single" w:sz="4" w:space="0" w:color="auto"/>
              <w:bottom w:val="single" w:sz="8" w:space="0" w:color="auto"/>
              <w:right w:val="single" w:sz="4" w:space="0" w:color="auto"/>
            </w:tcBorders>
          </w:tcPr>
          <w:p w14:paraId="5553073B" w14:textId="4E34FD94" w:rsidR="00E301F5" w:rsidRPr="00855213" w:rsidRDefault="2F2CAB1E"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3401</w:t>
            </w:r>
          </w:p>
        </w:tc>
        <w:tc>
          <w:tcPr>
            <w:tcW w:w="913" w:type="dxa"/>
            <w:tcBorders>
              <w:top w:val="single" w:sz="8" w:space="0" w:color="auto"/>
              <w:left w:val="single" w:sz="4" w:space="0" w:color="auto"/>
              <w:bottom w:val="single" w:sz="8" w:space="0" w:color="auto"/>
              <w:right w:val="single" w:sz="4" w:space="0" w:color="auto"/>
            </w:tcBorders>
          </w:tcPr>
          <w:p w14:paraId="57547248" w14:textId="6FD83AC2"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1531</w:t>
            </w:r>
          </w:p>
        </w:tc>
        <w:tc>
          <w:tcPr>
            <w:tcW w:w="1044" w:type="dxa"/>
            <w:tcBorders>
              <w:top w:val="single" w:sz="8" w:space="0" w:color="auto"/>
              <w:left w:val="single" w:sz="4" w:space="0" w:color="auto"/>
              <w:bottom w:val="single" w:sz="8" w:space="0" w:color="auto"/>
              <w:right w:val="single" w:sz="4" w:space="0" w:color="auto"/>
            </w:tcBorders>
          </w:tcPr>
          <w:p w14:paraId="3BB7064B" w14:textId="4BF5F59D"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381</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2ACB98FE"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745</w:t>
            </w:r>
          </w:p>
        </w:tc>
        <w:tc>
          <w:tcPr>
            <w:tcW w:w="990" w:type="dxa"/>
            <w:tcBorders>
              <w:top w:val="nil"/>
              <w:left w:val="nil"/>
              <w:bottom w:val="single" w:sz="8" w:space="0" w:color="auto"/>
              <w:right w:val="single" w:sz="8" w:space="0" w:color="auto"/>
            </w:tcBorders>
            <w:noWrap/>
            <w:vAlign w:val="bottom"/>
            <w:hideMark/>
          </w:tcPr>
          <w:p w14:paraId="5FB922C9"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563</w:t>
            </w:r>
          </w:p>
        </w:tc>
        <w:tc>
          <w:tcPr>
            <w:tcW w:w="721" w:type="dxa"/>
            <w:tcBorders>
              <w:top w:val="nil"/>
              <w:left w:val="nil"/>
              <w:bottom w:val="single" w:sz="8" w:space="0" w:color="auto"/>
              <w:right w:val="single" w:sz="8" w:space="0" w:color="auto"/>
            </w:tcBorders>
            <w:noWrap/>
            <w:vAlign w:val="bottom"/>
            <w:hideMark/>
          </w:tcPr>
          <w:p w14:paraId="5C78630B"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710</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117C77AA"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961</w:t>
            </w:r>
          </w:p>
        </w:tc>
        <w:tc>
          <w:tcPr>
            <w:tcW w:w="715" w:type="dxa"/>
            <w:tcBorders>
              <w:top w:val="nil"/>
              <w:left w:val="nil"/>
              <w:bottom w:val="single" w:sz="8" w:space="0" w:color="auto"/>
              <w:right w:val="single" w:sz="8" w:space="0" w:color="auto"/>
            </w:tcBorders>
            <w:noWrap/>
            <w:vAlign w:val="bottom"/>
            <w:hideMark/>
          </w:tcPr>
          <w:p w14:paraId="6F075FFD"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1,206</w:t>
            </w:r>
          </w:p>
        </w:tc>
        <w:tc>
          <w:tcPr>
            <w:tcW w:w="756" w:type="dxa"/>
            <w:tcBorders>
              <w:top w:val="nil"/>
              <w:left w:val="nil"/>
              <w:bottom w:val="single" w:sz="8" w:space="0" w:color="auto"/>
              <w:right w:val="single" w:sz="8" w:space="0" w:color="auto"/>
            </w:tcBorders>
            <w:vAlign w:val="bottom"/>
            <w:hideMark/>
          </w:tcPr>
          <w:p w14:paraId="08FA65B3"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5E2DC0C5"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196AAE78"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Wilmot</w:t>
            </w:r>
          </w:p>
        </w:tc>
        <w:tc>
          <w:tcPr>
            <w:tcW w:w="963" w:type="dxa"/>
            <w:tcBorders>
              <w:top w:val="single" w:sz="8" w:space="0" w:color="auto"/>
              <w:left w:val="single" w:sz="4" w:space="0" w:color="auto"/>
              <w:bottom w:val="single" w:sz="8" w:space="0" w:color="auto"/>
              <w:right w:val="single" w:sz="4" w:space="0" w:color="auto"/>
            </w:tcBorders>
          </w:tcPr>
          <w:p w14:paraId="02F0D68C" w14:textId="52C95CFC" w:rsidR="7713D22B" w:rsidRPr="00855213" w:rsidRDefault="7713D22B"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750</w:t>
            </w:r>
          </w:p>
        </w:tc>
        <w:tc>
          <w:tcPr>
            <w:tcW w:w="1191" w:type="dxa"/>
            <w:gridSpan w:val="2"/>
            <w:tcBorders>
              <w:top w:val="single" w:sz="8" w:space="0" w:color="auto"/>
              <w:left w:val="single" w:sz="4" w:space="0" w:color="auto"/>
              <w:bottom w:val="single" w:sz="8" w:space="0" w:color="auto"/>
              <w:right w:val="single" w:sz="4" w:space="0" w:color="auto"/>
            </w:tcBorders>
          </w:tcPr>
          <w:p w14:paraId="2FF00034" w14:textId="0FDE2667"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244</w:t>
            </w:r>
          </w:p>
        </w:tc>
        <w:tc>
          <w:tcPr>
            <w:tcW w:w="913" w:type="dxa"/>
            <w:tcBorders>
              <w:top w:val="single" w:sz="8" w:space="0" w:color="auto"/>
              <w:left w:val="single" w:sz="4" w:space="0" w:color="auto"/>
              <w:bottom w:val="single" w:sz="8" w:space="0" w:color="auto"/>
              <w:right w:val="single" w:sz="4" w:space="0" w:color="auto"/>
            </w:tcBorders>
          </w:tcPr>
          <w:p w14:paraId="372B8753" w14:textId="6D494BDB"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274</w:t>
            </w:r>
          </w:p>
        </w:tc>
        <w:tc>
          <w:tcPr>
            <w:tcW w:w="1044" w:type="dxa"/>
            <w:tcBorders>
              <w:top w:val="single" w:sz="8" w:space="0" w:color="auto"/>
              <w:left w:val="single" w:sz="4" w:space="0" w:color="auto"/>
              <w:bottom w:val="single" w:sz="8" w:space="0" w:color="auto"/>
              <w:right w:val="single" w:sz="4" w:space="0" w:color="auto"/>
            </w:tcBorders>
          </w:tcPr>
          <w:p w14:paraId="70A65648" w14:textId="13284A27"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226</w:t>
            </w:r>
          </w:p>
        </w:tc>
        <w:tc>
          <w:tcPr>
            <w:tcW w:w="885" w:type="dxa"/>
            <w:tcBorders>
              <w:top w:val="nil"/>
              <w:left w:val="single" w:sz="4" w:space="0" w:color="auto"/>
              <w:bottom w:val="single" w:sz="8" w:space="0" w:color="auto"/>
              <w:right w:val="single" w:sz="8" w:space="0" w:color="auto"/>
            </w:tcBorders>
            <w:noWrap/>
            <w:vAlign w:val="bottom"/>
            <w:hideMark/>
          </w:tcPr>
          <w:p w14:paraId="2CB40118"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444</w:t>
            </w:r>
          </w:p>
        </w:tc>
        <w:tc>
          <w:tcPr>
            <w:tcW w:w="990" w:type="dxa"/>
            <w:tcBorders>
              <w:top w:val="nil"/>
              <w:left w:val="nil"/>
              <w:bottom w:val="single" w:sz="8" w:space="0" w:color="auto"/>
              <w:right w:val="single" w:sz="8" w:space="0" w:color="auto"/>
            </w:tcBorders>
            <w:noWrap/>
            <w:vAlign w:val="bottom"/>
            <w:hideMark/>
          </w:tcPr>
          <w:p w14:paraId="109AC4D9"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1199</w:t>
            </w:r>
          </w:p>
        </w:tc>
        <w:tc>
          <w:tcPr>
            <w:tcW w:w="721" w:type="dxa"/>
            <w:tcBorders>
              <w:top w:val="nil"/>
              <w:left w:val="nil"/>
              <w:bottom w:val="single" w:sz="8" w:space="0" w:color="auto"/>
              <w:right w:val="single" w:sz="8" w:space="0" w:color="auto"/>
            </w:tcBorders>
            <w:noWrap/>
            <w:vAlign w:val="bottom"/>
            <w:hideMark/>
          </w:tcPr>
          <w:p w14:paraId="1C7E651E"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1346</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37F9F0CA"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338</w:t>
            </w:r>
          </w:p>
        </w:tc>
        <w:tc>
          <w:tcPr>
            <w:tcW w:w="715" w:type="dxa"/>
            <w:tcBorders>
              <w:top w:val="nil"/>
              <w:left w:val="nil"/>
              <w:bottom w:val="single" w:sz="8" w:space="0" w:color="auto"/>
              <w:right w:val="single" w:sz="8" w:space="0" w:color="auto"/>
            </w:tcBorders>
            <w:noWrap/>
            <w:vAlign w:val="bottom"/>
            <w:hideMark/>
          </w:tcPr>
          <w:p w14:paraId="0A973467"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175</w:t>
            </w:r>
          </w:p>
        </w:tc>
        <w:tc>
          <w:tcPr>
            <w:tcW w:w="756" w:type="dxa"/>
            <w:tcBorders>
              <w:top w:val="nil"/>
              <w:left w:val="nil"/>
              <w:bottom w:val="single" w:sz="8" w:space="0" w:color="auto"/>
              <w:right w:val="single" w:sz="8" w:space="0" w:color="auto"/>
            </w:tcBorders>
            <w:vAlign w:val="bottom"/>
            <w:hideMark/>
          </w:tcPr>
          <w:p w14:paraId="65C1FDAD"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773342" w:rsidRPr="006D6566" w14:paraId="4BEF6C04"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vAlign w:val="bottom"/>
            <w:hideMark/>
          </w:tcPr>
          <w:p w14:paraId="1C492720"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William T. Rowe</w:t>
            </w:r>
          </w:p>
        </w:tc>
        <w:tc>
          <w:tcPr>
            <w:tcW w:w="963" w:type="dxa"/>
            <w:tcBorders>
              <w:top w:val="single" w:sz="8" w:space="0" w:color="auto"/>
              <w:left w:val="single" w:sz="4" w:space="0" w:color="auto"/>
              <w:bottom w:val="single" w:sz="8" w:space="0" w:color="auto"/>
              <w:right w:val="single" w:sz="4" w:space="0" w:color="auto"/>
            </w:tcBorders>
          </w:tcPr>
          <w:p w14:paraId="0E80EBBC" w14:textId="3A932724" w:rsidR="2D03861B" w:rsidRPr="00855213" w:rsidRDefault="4D667BA7"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506</w:t>
            </w:r>
          </w:p>
        </w:tc>
        <w:tc>
          <w:tcPr>
            <w:tcW w:w="1191" w:type="dxa"/>
            <w:gridSpan w:val="2"/>
            <w:tcBorders>
              <w:top w:val="single" w:sz="8" w:space="0" w:color="auto"/>
              <w:left w:val="single" w:sz="4" w:space="0" w:color="auto"/>
              <w:bottom w:val="single" w:sz="8" w:space="0" w:color="auto"/>
              <w:right w:val="single" w:sz="4" w:space="0" w:color="auto"/>
            </w:tcBorders>
          </w:tcPr>
          <w:p w14:paraId="536B02E2" w14:textId="5AB6C9A3" w:rsidR="00E301F5" w:rsidRPr="00855213" w:rsidRDefault="169B1E83"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627</w:t>
            </w:r>
          </w:p>
        </w:tc>
        <w:tc>
          <w:tcPr>
            <w:tcW w:w="913" w:type="dxa"/>
            <w:tcBorders>
              <w:top w:val="single" w:sz="8" w:space="0" w:color="auto"/>
              <w:left w:val="single" w:sz="4" w:space="0" w:color="auto"/>
              <w:bottom w:val="single" w:sz="8" w:space="0" w:color="auto"/>
              <w:right w:val="single" w:sz="4" w:space="0" w:color="auto"/>
            </w:tcBorders>
          </w:tcPr>
          <w:p w14:paraId="0951AB59" w14:textId="2544973F"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371</w:t>
            </w:r>
          </w:p>
        </w:tc>
        <w:tc>
          <w:tcPr>
            <w:tcW w:w="1044" w:type="dxa"/>
            <w:tcBorders>
              <w:top w:val="single" w:sz="8" w:space="0" w:color="auto"/>
              <w:left w:val="single" w:sz="4" w:space="0" w:color="auto"/>
              <w:bottom w:val="single" w:sz="8" w:space="0" w:color="auto"/>
              <w:right w:val="single" w:sz="4" w:space="0" w:color="auto"/>
            </w:tcBorders>
          </w:tcPr>
          <w:p w14:paraId="06079BB1" w14:textId="2AE0946A"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451</w:t>
            </w:r>
          </w:p>
        </w:tc>
        <w:tc>
          <w:tcPr>
            <w:tcW w:w="885" w:type="dxa"/>
            <w:tcBorders>
              <w:top w:val="nil"/>
              <w:left w:val="single" w:sz="4" w:space="0" w:color="auto"/>
              <w:bottom w:val="single" w:sz="8" w:space="0" w:color="auto"/>
              <w:right w:val="single" w:sz="8" w:space="0" w:color="auto"/>
            </w:tcBorders>
            <w:shd w:val="clear" w:color="auto" w:fill="FFFF00"/>
            <w:noWrap/>
            <w:vAlign w:val="bottom"/>
            <w:hideMark/>
          </w:tcPr>
          <w:p w14:paraId="3D6EBD22"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500</w:t>
            </w:r>
          </w:p>
        </w:tc>
        <w:tc>
          <w:tcPr>
            <w:tcW w:w="990" w:type="dxa"/>
            <w:tcBorders>
              <w:top w:val="nil"/>
              <w:left w:val="nil"/>
              <w:bottom w:val="single" w:sz="8" w:space="0" w:color="auto"/>
              <w:right w:val="single" w:sz="8" w:space="0" w:color="auto"/>
            </w:tcBorders>
            <w:noWrap/>
            <w:vAlign w:val="bottom"/>
            <w:hideMark/>
          </w:tcPr>
          <w:p w14:paraId="5C5A9844"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485</w:t>
            </w:r>
          </w:p>
        </w:tc>
        <w:tc>
          <w:tcPr>
            <w:tcW w:w="721" w:type="dxa"/>
            <w:tcBorders>
              <w:top w:val="nil"/>
              <w:left w:val="nil"/>
              <w:bottom w:val="single" w:sz="8" w:space="0" w:color="auto"/>
              <w:right w:val="single" w:sz="8" w:space="0" w:color="auto"/>
            </w:tcBorders>
            <w:noWrap/>
            <w:vAlign w:val="bottom"/>
            <w:hideMark/>
          </w:tcPr>
          <w:p w14:paraId="1A905D85" w14:textId="013B2B29"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549</w:t>
            </w:r>
          </w:p>
        </w:tc>
        <w:tc>
          <w:tcPr>
            <w:tcW w:w="715" w:type="dxa"/>
            <w:tcBorders>
              <w:top w:val="nil"/>
              <w:left w:val="nil"/>
              <w:bottom w:val="single" w:sz="8" w:space="0" w:color="auto"/>
              <w:right w:val="single" w:sz="8" w:space="0" w:color="auto"/>
            </w:tcBorders>
            <w:shd w:val="clear" w:color="auto" w:fill="F6DCD4" w:themeFill="accent4" w:themeFillTint="33"/>
            <w:noWrap/>
            <w:vAlign w:val="bottom"/>
            <w:hideMark/>
          </w:tcPr>
          <w:p w14:paraId="2F60719D" w14:textId="55F37F50"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464</w:t>
            </w:r>
          </w:p>
        </w:tc>
        <w:tc>
          <w:tcPr>
            <w:tcW w:w="715" w:type="dxa"/>
            <w:tcBorders>
              <w:top w:val="nil"/>
              <w:left w:val="nil"/>
              <w:bottom w:val="single" w:sz="8" w:space="0" w:color="auto"/>
              <w:right w:val="single" w:sz="8" w:space="0" w:color="auto"/>
            </w:tcBorders>
            <w:noWrap/>
            <w:vAlign w:val="bottom"/>
            <w:hideMark/>
          </w:tcPr>
          <w:p w14:paraId="21F353A7" w14:textId="7967FB79"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307</w:t>
            </w:r>
          </w:p>
        </w:tc>
        <w:tc>
          <w:tcPr>
            <w:tcW w:w="756" w:type="dxa"/>
            <w:tcBorders>
              <w:top w:val="nil"/>
              <w:left w:val="nil"/>
              <w:bottom w:val="single" w:sz="8" w:space="0" w:color="auto"/>
              <w:right w:val="single" w:sz="8" w:space="0" w:color="auto"/>
            </w:tcBorders>
            <w:vAlign w:val="bottom"/>
            <w:hideMark/>
          </w:tcPr>
          <w:p w14:paraId="0EDCE950" w14:textId="4EF08F3F"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C60A0F" w:rsidRPr="006D6566" w14:paraId="1F962B6F" w14:textId="77777777" w:rsidTr="00855213">
        <w:trPr>
          <w:trHeight w:val="315"/>
        </w:trPr>
        <w:tc>
          <w:tcPr>
            <w:tcW w:w="1897" w:type="dxa"/>
            <w:gridSpan w:val="2"/>
            <w:tcBorders>
              <w:top w:val="nil"/>
              <w:left w:val="single" w:sz="8" w:space="0" w:color="auto"/>
              <w:bottom w:val="nil"/>
              <w:right w:val="single" w:sz="4" w:space="0" w:color="auto"/>
            </w:tcBorders>
            <w:noWrap/>
            <w:vAlign w:val="bottom"/>
            <w:hideMark/>
          </w:tcPr>
          <w:p w14:paraId="3B0FBA02" w14:textId="77777777" w:rsidR="00E301F5" w:rsidRPr="00855213" w:rsidRDefault="00E301F5" w:rsidP="00A45931">
            <w:pP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Winslow Celentano</w:t>
            </w:r>
          </w:p>
        </w:tc>
        <w:tc>
          <w:tcPr>
            <w:tcW w:w="963" w:type="dxa"/>
            <w:tcBorders>
              <w:top w:val="single" w:sz="8" w:space="0" w:color="auto"/>
              <w:left w:val="single" w:sz="4" w:space="0" w:color="auto"/>
              <w:bottom w:val="single" w:sz="8" w:space="0" w:color="auto"/>
              <w:right w:val="single" w:sz="4" w:space="0" w:color="auto"/>
            </w:tcBorders>
          </w:tcPr>
          <w:p w14:paraId="44F4A312" w14:textId="0D720A08" w:rsidR="1B2FB912" w:rsidRPr="00855213" w:rsidRDefault="1B2FB912" w:rsidP="2D03861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822</w:t>
            </w:r>
          </w:p>
        </w:tc>
        <w:tc>
          <w:tcPr>
            <w:tcW w:w="1191" w:type="dxa"/>
            <w:gridSpan w:val="2"/>
            <w:tcBorders>
              <w:top w:val="single" w:sz="8" w:space="0" w:color="auto"/>
              <w:left w:val="single" w:sz="4" w:space="0" w:color="auto"/>
              <w:bottom w:val="single" w:sz="8" w:space="0" w:color="auto"/>
              <w:right w:val="single" w:sz="4" w:space="0" w:color="auto"/>
            </w:tcBorders>
          </w:tcPr>
          <w:p w14:paraId="69AF26C1" w14:textId="1BA3034F" w:rsidR="00E301F5" w:rsidRPr="00855213" w:rsidRDefault="19A6F694"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452</w:t>
            </w:r>
          </w:p>
        </w:tc>
        <w:tc>
          <w:tcPr>
            <w:tcW w:w="913" w:type="dxa"/>
            <w:tcBorders>
              <w:top w:val="single" w:sz="8" w:space="0" w:color="auto"/>
              <w:left w:val="single" w:sz="4" w:space="0" w:color="auto"/>
              <w:bottom w:val="single" w:sz="8" w:space="0" w:color="auto"/>
              <w:right w:val="single" w:sz="4" w:space="0" w:color="auto"/>
            </w:tcBorders>
          </w:tcPr>
          <w:p w14:paraId="0DD0303A" w14:textId="4B5A7E61" w:rsidR="00E301F5" w:rsidRPr="00855213" w:rsidRDefault="00E301F5" w:rsidP="00940CEB">
            <w:pPr>
              <w:jc w:val="center"/>
              <w:rPr>
                <w:rFonts w:ascii="Century Gothic" w:eastAsia="MS PGothic" w:hAnsi="Century Gothic"/>
                <w:sz w:val="20"/>
                <w:szCs w:val="20"/>
                <w:lang w:eastAsia="en-US"/>
              </w:rPr>
            </w:pPr>
            <w:r w:rsidRPr="00855213">
              <w:rPr>
                <w:rFonts w:ascii="Century Gothic" w:eastAsia="MS PGothic" w:hAnsi="Century Gothic"/>
                <w:sz w:val="20"/>
                <w:szCs w:val="20"/>
                <w:lang w:eastAsia="en-US"/>
              </w:rPr>
              <w:t>440</w:t>
            </w:r>
          </w:p>
        </w:tc>
        <w:tc>
          <w:tcPr>
            <w:tcW w:w="1044" w:type="dxa"/>
            <w:tcBorders>
              <w:top w:val="single" w:sz="8" w:space="0" w:color="auto"/>
              <w:left w:val="single" w:sz="4" w:space="0" w:color="auto"/>
              <w:bottom w:val="single" w:sz="8" w:space="0" w:color="auto"/>
              <w:right w:val="single" w:sz="4" w:space="0" w:color="auto"/>
            </w:tcBorders>
          </w:tcPr>
          <w:p w14:paraId="54D056E5" w14:textId="3A8EAC0C" w:rsidR="00E301F5" w:rsidRPr="00855213" w:rsidRDefault="00E301F5" w:rsidP="00940CEB">
            <w:pPr>
              <w:jc w:val="center"/>
              <w:rPr>
                <w:rFonts w:ascii="Century Gothic" w:eastAsia="Times New Roman" w:hAnsi="Century Gothic"/>
                <w:sz w:val="20"/>
                <w:szCs w:val="20"/>
                <w:lang w:eastAsia="en-US"/>
              </w:rPr>
            </w:pPr>
            <w:r w:rsidRPr="00855213">
              <w:rPr>
                <w:rFonts w:ascii="Century Gothic" w:eastAsia="Times New Roman" w:hAnsi="Century Gothic"/>
                <w:sz w:val="20"/>
                <w:szCs w:val="20"/>
                <w:lang w:eastAsia="en-US"/>
              </w:rPr>
              <w:t>175</w:t>
            </w:r>
          </w:p>
        </w:tc>
        <w:tc>
          <w:tcPr>
            <w:tcW w:w="885" w:type="dxa"/>
            <w:tcBorders>
              <w:top w:val="nil"/>
              <w:left w:val="single" w:sz="4" w:space="0" w:color="auto"/>
              <w:bottom w:val="nil"/>
              <w:right w:val="single" w:sz="8" w:space="0" w:color="auto"/>
            </w:tcBorders>
            <w:noWrap/>
            <w:vAlign w:val="bottom"/>
            <w:hideMark/>
          </w:tcPr>
          <w:p w14:paraId="655FAF6C"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403</w:t>
            </w:r>
          </w:p>
        </w:tc>
        <w:tc>
          <w:tcPr>
            <w:tcW w:w="990" w:type="dxa"/>
            <w:tcBorders>
              <w:top w:val="nil"/>
              <w:left w:val="nil"/>
              <w:bottom w:val="nil"/>
              <w:right w:val="single" w:sz="8" w:space="0" w:color="auto"/>
            </w:tcBorders>
            <w:noWrap/>
            <w:vAlign w:val="bottom"/>
            <w:hideMark/>
          </w:tcPr>
          <w:p w14:paraId="22D9B42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341</w:t>
            </w:r>
          </w:p>
        </w:tc>
        <w:tc>
          <w:tcPr>
            <w:tcW w:w="721" w:type="dxa"/>
            <w:tcBorders>
              <w:top w:val="nil"/>
              <w:left w:val="nil"/>
              <w:bottom w:val="nil"/>
              <w:right w:val="single" w:sz="8" w:space="0" w:color="auto"/>
            </w:tcBorders>
            <w:noWrap/>
            <w:vAlign w:val="bottom"/>
            <w:hideMark/>
          </w:tcPr>
          <w:p w14:paraId="14E00D10"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649</w:t>
            </w:r>
          </w:p>
        </w:tc>
        <w:tc>
          <w:tcPr>
            <w:tcW w:w="715" w:type="dxa"/>
            <w:tcBorders>
              <w:top w:val="nil"/>
              <w:left w:val="nil"/>
              <w:bottom w:val="nil"/>
              <w:right w:val="single" w:sz="8" w:space="0" w:color="auto"/>
            </w:tcBorders>
            <w:shd w:val="clear" w:color="auto" w:fill="F6DCD4" w:themeFill="accent4" w:themeFillTint="33"/>
            <w:noWrap/>
            <w:vAlign w:val="bottom"/>
            <w:hideMark/>
          </w:tcPr>
          <w:p w14:paraId="7261E5B1"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933</w:t>
            </w:r>
          </w:p>
        </w:tc>
        <w:tc>
          <w:tcPr>
            <w:tcW w:w="715" w:type="dxa"/>
            <w:tcBorders>
              <w:top w:val="nil"/>
              <w:left w:val="nil"/>
              <w:bottom w:val="nil"/>
              <w:right w:val="single" w:sz="8" w:space="0" w:color="auto"/>
            </w:tcBorders>
            <w:noWrap/>
            <w:vAlign w:val="bottom"/>
            <w:hideMark/>
          </w:tcPr>
          <w:p w14:paraId="30B5B10F"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765</w:t>
            </w:r>
          </w:p>
        </w:tc>
        <w:tc>
          <w:tcPr>
            <w:tcW w:w="756" w:type="dxa"/>
            <w:tcBorders>
              <w:top w:val="nil"/>
              <w:left w:val="nil"/>
              <w:bottom w:val="nil"/>
              <w:right w:val="single" w:sz="8" w:space="0" w:color="auto"/>
            </w:tcBorders>
            <w:vAlign w:val="bottom"/>
            <w:hideMark/>
          </w:tcPr>
          <w:p w14:paraId="45566CBB" w14:textId="77777777" w:rsidR="00E301F5" w:rsidRPr="00855213" w:rsidRDefault="00E301F5" w:rsidP="00940CEB">
            <w:pPr>
              <w:jc w:val="center"/>
              <w:rPr>
                <w:rFonts w:ascii="Century Gothic" w:eastAsia="Times New Roman" w:hAnsi="Century Gothic"/>
                <w:color w:val="000000"/>
                <w:sz w:val="20"/>
                <w:szCs w:val="20"/>
                <w:lang w:eastAsia="en-US"/>
              </w:rPr>
            </w:pPr>
            <w:r w:rsidRPr="00855213">
              <w:rPr>
                <w:rFonts w:ascii="Century Gothic" w:eastAsia="Times New Roman" w:hAnsi="Century Gothic"/>
                <w:color w:val="000000"/>
                <w:sz w:val="20"/>
                <w:szCs w:val="20"/>
                <w:lang w:eastAsia="en-US"/>
              </w:rPr>
              <w:t>N/A</w:t>
            </w:r>
          </w:p>
        </w:tc>
      </w:tr>
      <w:tr w:rsidR="00855213" w:rsidRPr="006D6566" w14:paraId="424AD61C" w14:textId="77777777" w:rsidTr="00855213">
        <w:trPr>
          <w:trHeight w:val="315"/>
        </w:trPr>
        <w:tc>
          <w:tcPr>
            <w:tcW w:w="1897" w:type="dxa"/>
            <w:gridSpan w:val="2"/>
            <w:tcBorders>
              <w:top w:val="nil"/>
              <w:left w:val="single" w:sz="8" w:space="0" w:color="auto"/>
              <w:bottom w:val="single" w:sz="8" w:space="0" w:color="auto"/>
              <w:right w:val="single" w:sz="4" w:space="0" w:color="auto"/>
            </w:tcBorders>
            <w:noWrap/>
          </w:tcPr>
          <w:p w14:paraId="6202C736" w14:textId="4A9F88C7" w:rsidR="00855213" w:rsidRPr="00855213" w:rsidRDefault="00855213" w:rsidP="00855213">
            <w:pPr>
              <w:rPr>
                <w:rFonts w:ascii="Century Gothic" w:eastAsia="Times New Roman" w:hAnsi="Century Gothic"/>
                <w:color w:val="000000"/>
                <w:sz w:val="20"/>
                <w:szCs w:val="20"/>
                <w:lang w:eastAsia="en-US"/>
              </w:rPr>
            </w:pPr>
          </w:p>
        </w:tc>
        <w:tc>
          <w:tcPr>
            <w:tcW w:w="963" w:type="dxa"/>
            <w:tcBorders>
              <w:top w:val="single" w:sz="8" w:space="0" w:color="auto"/>
              <w:left w:val="single" w:sz="4" w:space="0" w:color="auto"/>
              <w:bottom w:val="single" w:sz="4" w:space="0" w:color="auto"/>
              <w:right w:val="single" w:sz="4" w:space="0" w:color="auto"/>
            </w:tcBorders>
          </w:tcPr>
          <w:p w14:paraId="1FA15F9A" w14:textId="654F1015" w:rsidR="00855213" w:rsidRPr="00855213" w:rsidRDefault="00855213" w:rsidP="00855213">
            <w:pPr>
              <w:jc w:val="center"/>
              <w:rPr>
                <w:rFonts w:ascii="Century Gothic" w:eastAsia="MS PGothic" w:hAnsi="Century Gothic"/>
                <w:sz w:val="20"/>
                <w:szCs w:val="20"/>
                <w:lang w:eastAsia="en-US"/>
              </w:rPr>
            </w:pPr>
          </w:p>
        </w:tc>
        <w:tc>
          <w:tcPr>
            <w:tcW w:w="1191" w:type="dxa"/>
            <w:gridSpan w:val="2"/>
            <w:tcBorders>
              <w:top w:val="single" w:sz="8" w:space="0" w:color="auto"/>
              <w:left w:val="single" w:sz="4" w:space="0" w:color="auto"/>
              <w:bottom w:val="single" w:sz="4" w:space="0" w:color="auto"/>
              <w:right w:val="single" w:sz="4" w:space="0" w:color="auto"/>
            </w:tcBorders>
          </w:tcPr>
          <w:p w14:paraId="0CDD4986" w14:textId="2528F502" w:rsidR="00855213" w:rsidRPr="00855213" w:rsidRDefault="00855213" w:rsidP="00855213">
            <w:pPr>
              <w:jc w:val="center"/>
              <w:rPr>
                <w:rFonts w:ascii="Century Gothic" w:eastAsia="MS PGothic" w:hAnsi="Century Gothic"/>
                <w:sz w:val="20"/>
                <w:szCs w:val="20"/>
                <w:lang w:eastAsia="en-US"/>
              </w:rPr>
            </w:pPr>
          </w:p>
        </w:tc>
        <w:tc>
          <w:tcPr>
            <w:tcW w:w="913" w:type="dxa"/>
            <w:tcBorders>
              <w:top w:val="single" w:sz="8" w:space="0" w:color="auto"/>
              <w:left w:val="single" w:sz="4" w:space="0" w:color="auto"/>
              <w:bottom w:val="single" w:sz="4" w:space="0" w:color="auto"/>
              <w:right w:val="single" w:sz="4" w:space="0" w:color="auto"/>
            </w:tcBorders>
          </w:tcPr>
          <w:p w14:paraId="205A6476" w14:textId="2F4C1F7A" w:rsidR="00855213" w:rsidRPr="00855213" w:rsidRDefault="00855213" w:rsidP="00855213">
            <w:pPr>
              <w:jc w:val="center"/>
              <w:rPr>
                <w:rFonts w:ascii="Century Gothic" w:eastAsia="MS PGothic" w:hAnsi="Century Gothic"/>
                <w:sz w:val="20"/>
                <w:szCs w:val="20"/>
                <w:lang w:eastAsia="en-US"/>
              </w:rPr>
            </w:pPr>
          </w:p>
        </w:tc>
        <w:tc>
          <w:tcPr>
            <w:tcW w:w="1044" w:type="dxa"/>
            <w:tcBorders>
              <w:top w:val="single" w:sz="8" w:space="0" w:color="auto"/>
              <w:left w:val="single" w:sz="4" w:space="0" w:color="auto"/>
              <w:bottom w:val="single" w:sz="4" w:space="0" w:color="auto"/>
              <w:right w:val="single" w:sz="4" w:space="0" w:color="auto"/>
            </w:tcBorders>
          </w:tcPr>
          <w:p w14:paraId="46CCC0FC" w14:textId="16604551" w:rsidR="00855213" w:rsidRPr="00855213" w:rsidRDefault="00855213" w:rsidP="00855213">
            <w:pPr>
              <w:jc w:val="center"/>
              <w:rPr>
                <w:rFonts w:ascii="Century Gothic" w:eastAsia="Times New Roman" w:hAnsi="Century Gothic"/>
                <w:sz w:val="20"/>
                <w:szCs w:val="20"/>
                <w:lang w:eastAsia="en-US"/>
              </w:rPr>
            </w:pPr>
          </w:p>
        </w:tc>
        <w:tc>
          <w:tcPr>
            <w:tcW w:w="885" w:type="dxa"/>
            <w:tcBorders>
              <w:top w:val="nil"/>
              <w:left w:val="single" w:sz="4" w:space="0" w:color="auto"/>
              <w:bottom w:val="single" w:sz="8" w:space="0" w:color="auto"/>
              <w:right w:val="single" w:sz="8" w:space="0" w:color="auto"/>
            </w:tcBorders>
            <w:noWrap/>
          </w:tcPr>
          <w:p w14:paraId="38144D47" w14:textId="064FFE89" w:rsidR="00855213" w:rsidRPr="00855213" w:rsidRDefault="00855213" w:rsidP="00855213">
            <w:pPr>
              <w:jc w:val="center"/>
              <w:rPr>
                <w:rFonts w:ascii="Century Gothic" w:eastAsia="Times New Roman" w:hAnsi="Century Gothic"/>
                <w:color w:val="000000"/>
                <w:sz w:val="20"/>
                <w:szCs w:val="20"/>
                <w:lang w:eastAsia="en-US"/>
              </w:rPr>
            </w:pPr>
          </w:p>
        </w:tc>
        <w:tc>
          <w:tcPr>
            <w:tcW w:w="990" w:type="dxa"/>
            <w:tcBorders>
              <w:top w:val="nil"/>
              <w:left w:val="nil"/>
              <w:bottom w:val="single" w:sz="8" w:space="0" w:color="auto"/>
              <w:right w:val="single" w:sz="8" w:space="0" w:color="auto"/>
            </w:tcBorders>
            <w:noWrap/>
          </w:tcPr>
          <w:p w14:paraId="7DE56C70" w14:textId="45E47389" w:rsidR="00855213" w:rsidRPr="00855213" w:rsidRDefault="00855213" w:rsidP="00855213">
            <w:pPr>
              <w:jc w:val="center"/>
              <w:rPr>
                <w:rFonts w:ascii="Century Gothic" w:eastAsia="Times New Roman" w:hAnsi="Century Gothic"/>
                <w:color w:val="000000"/>
                <w:sz w:val="20"/>
                <w:szCs w:val="20"/>
                <w:lang w:eastAsia="en-US"/>
              </w:rPr>
            </w:pPr>
          </w:p>
        </w:tc>
        <w:tc>
          <w:tcPr>
            <w:tcW w:w="721" w:type="dxa"/>
            <w:tcBorders>
              <w:top w:val="nil"/>
              <w:left w:val="nil"/>
              <w:bottom w:val="single" w:sz="8" w:space="0" w:color="auto"/>
              <w:right w:val="single" w:sz="8" w:space="0" w:color="auto"/>
            </w:tcBorders>
            <w:noWrap/>
          </w:tcPr>
          <w:p w14:paraId="657E081C" w14:textId="68311739" w:rsidR="00855213" w:rsidRPr="00855213" w:rsidRDefault="00855213" w:rsidP="00855213">
            <w:pPr>
              <w:jc w:val="center"/>
              <w:rPr>
                <w:rFonts w:ascii="Century Gothic" w:eastAsia="Times New Roman" w:hAnsi="Century Gothic"/>
                <w:color w:val="000000"/>
                <w:sz w:val="20"/>
                <w:szCs w:val="20"/>
                <w:lang w:eastAsia="en-US"/>
              </w:rPr>
            </w:pPr>
          </w:p>
        </w:tc>
        <w:tc>
          <w:tcPr>
            <w:tcW w:w="715" w:type="dxa"/>
            <w:tcBorders>
              <w:top w:val="nil"/>
              <w:left w:val="nil"/>
              <w:bottom w:val="single" w:sz="8" w:space="0" w:color="auto"/>
              <w:right w:val="single" w:sz="8" w:space="0" w:color="auto"/>
            </w:tcBorders>
            <w:shd w:val="clear" w:color="auto" w:fill="F6DCD4" w:themeFill="accent4" w:themeFillTint="33"/>
            <w:noWrap/>
          </w:tcPr>
          <w:p w14:paraId="2F0A0B17" w14:textId="3E54D859" w:rsidR="00855213" w:rsidRPr="00855213" w:rsidRDefault="00855213" w:rsidP="00855213">
            <w:pPr>
              <w:jc w:val="center"/>
              <w:rPr>
                <w:rFonts w:ascii="Century Gothic" w:eastAsia="Times New Roman" w:hAnsi="Century Gothic"/>
                <w:color w:val="000000"/>
                <w:sz w:val="20"/>
                <w:szCs w:val="20"/>
                <w:lang w:eastAsia="en-US"/>
              </w:rPr>
            </w:pPr>
          </w:p>
        </w:tc>
        <w:tc>
          <w:tcPr>
            <w:tcW w:w="715" w:type="dxa"/>
            <w:tcBorders>
              <w:top w:val="nil"/>
              <w:left w:val="nil"/>
              <w:bottom w:val="single" w:sz="8" w:space="0" w:color="auto"/>
              <w:right w:val="single" w:sz="8" w:space="0" w:color="auto"/>
            </w:tcBorders>
            <w:noWrap/>
          </w:tcPr>
          <w:p w14:paraId="2F5840EE" w14:textId="57FCA4B9" w:rsidR="00855213" w:rsidRPr="00855213" w:rsidRDefault="00855213" w:rsidP="00855213">
            <w:pPr>
              <w:jc w:val="center"/>
              <w:rPr>
                <w:rFonts w:ascii="Century Gothic" w:eastAsia="Times New Roman" w:hAnsi="Century Gothic"/>
                <w:color w:val="000000"/>
                <w:sz w:val="20"/>
                <w:szCs w:val="20"/>
                <w:lang w:eastAsia="en-US"/>
              </w:rPr>
            </w:pPr>
          </w:p>
        </w:tc>
        <w:tc>
          <w:tcPr>
            <w:tcW w:w="756" w:type="dxa"/>
            <w:tcBorders>
              <w:top w:val="nil"/>
              <w:left w:val="nil"/>
              <w:bottom w:val="single" w:sz="8" w:space="0" w:color="auto"/>
              <w:right w:val="single" w:sz="8" w:space="0" w:color="auto"/>
            </w:tcBorders>
          </w:tcPr>
          <w:p w14:paraId="67BFC08D" w14:textId="1248379C" w:rsidR="00855213" w:rsidRPr="00855213" w:rsidRDefault="00855213" w:rsidP="00855213">
            <w:pPr>
              <w:jc w:val="center"/>
              <w:rPr>
                <w:rFonts w:ascii="Century Gothic" w:eastAsia="Times New Roman" w:hAnsi="Century Gothic"/>
                <w:color w:val="000000"/>
                <w:sz w:val="20"/>
                <w:szCs w:val="20"/>
                <w:lang w:eastAsia="en-US"/>
              </w:rPr>
            </w:pPr>
          </w:p>
        </w:tc>
      </w:tr>
    </w:tbl>
    <w:p w14:paraId="4FF031AC" w14:textId="77777777" w:rsidR="00760708" w:rsidRPr="00855213" w:rsidRDefault="00760708" w:rsidP="00760708">
      <w:pPr>
        <w:rPr>
          <w:rFonts w:ascii="Century Gothic" w:hAnsi="Century Gothic"/>
          <w:szCs w:val="22"/>
        </w:rPr>
      </w:pPr>
    </w:p>
    <w:p w14:paraId="48964755" w14:textId="77777777" w:rsidR="005C3F8E" w:rsidRDefault="005C3F8E" w:rsidP="00916A8B">
      <w:pPr>
        <w:pStyle w:val="MTWHeader2"/>
        <w:rPr>
          <w:rFonts w:ascii="Century Gothic" w:hAnsi="Century Gothic" w:cs="Times New Roman"/>
          <w:sz w:val="22"/>
          <w:szCs w:val="22"/>
        </w:rPr>
      </w:pPr>
      <w:bookmarkStart w:id="391" w:name="_Toc89871207"/>
    </w:p>
    <w:p w14:paraId="28FE2312" w14:textId="77777777" w:rsidR="005C3F8E" w:rsidRDefault="005C3F8E" w:rsidP="00916A8B">
      <w:pPr>
        <w:pStyle w:val="MTWHeader2"/>
        <w:rPr>
          <w:rFonts w:ascii="Century Gothic" w:hAnsi="Century Gothic" w:cs="Times New Roman"/>
          <w:sz w:val="22"/>
          <w:szCs w:val="22"/>
        </w:rPr>
      </w:pPr>
    </w:p>
    <w:p w14:paraId="26C221C3" w14:textId="77777777" w:rsidR="005C3F8E" w:rsidRDefault="005C3F8E" w:rsidP="00916A8B">
      <w:pPr>
        <w:pStyle w:val="MTWHeader2"/>
        <w:rPr>
          <w:rFonts w:ascii="Century Gothic" w:hAnsi="Century Gothic" w:cs="Times New Roman"/>
          <w:sz w:val="22"/>
          <w:szCs w:val="22"/>
        </w:rPr>
      </w:pPr>
    </w:p>
    <w:p w14:paraId="165D6979" w14:textId="77777777" w:rsidR="005C3F8E" w:rsidRDefault="005C3F8E" w:rsidP="00916A8B">
      <w:pPr>
        <w:pStyle w:val="MTWHeader2"/>
        <w:rPr>
          <w:rFonts w:ascii="Century Gothic" w:hAnsi="Century Gothic" w:cs="Times New Roman"/>
          <w:sz w:val="22"/>
          <w:szCs w:val="22"/>
        </w:rPr>
      </w:pPr>
    </w:p>
    <w:p w14:paraId="693AE9EC" w14:textId="77777777" w:rsidR="005C3F8E" w:rsidRDefault="005C3F8E" w:rsidP="00916A8B">
      <w:pPr>
        <w:pStyle w:val="MTWHeader2"/>
        <w:rPr>
          <w:rFonts w:ascii="Century Gothic" w:hAnsi="Century Gothic" w:cs="Times New Roman"/>
          <w:sz w:val="22"/>
          <w:szCs w:val="22"/>
        </w:rPr>
      </w:pPr>
    </w:p>
    <w:p w14:paraId="1AF53412" w14:textId="77777777" w:rsidR="005C3F8E" w:rsidRDefault="005C3F8E" w:rsidP="00916A8B">
      <w:pPr>
        <w:pStyle w:val="MTWHeader2"/>
        <w:rPr>
          <w:rFonts w:ascii="Century Gothic" w:hAnsi="Century Gothic" w:cs="Times New Roman"/>
          <w:sz w:val="22"/>
          <w:szCs w:val="22"/>
        </w:rPr>
      </w:pPr>
    </w:p>
    <w:p w14:paraId="3A56A339" w14:textId="77777777" w:rsidR="005C3F8E" w:rsidRDefault="005C3F8E" w:rsidP="00916A8B">
      <w:pPr>
        <w:pStyle w:val="MTWHeader2"/>
        <w:rPr>
          <w:rFonts w:ascii="Century Gothic" w:hAnsi="Century Gothic" w:cs="Times New Roman"/>
          <w:sz w:val="22"/>
          <w:szCs w:val="22"/>
        </w:rPr>
      </w:pPr>
    </w:p>
    <w:p w14:paraId="012A4F61" w14:textId="77777777" w:rsidR="005C3F8E" w:rsidRDefault="005C3F8E" w:rsidP="00916A8B">
      <w:pPr>
        <w:pStyle w:val="MTWHeader2"/>
        <w:rPr>
          <w:rFonts w:ascii="Century Gothic" w:hAnsi="Century Gothic" w:cs="Times New Roman"/>
          <w:sz w:val="22"/>
          <w:szCs w:val="22"/>
        </w:rPr>
      </w:pPr>
    </w:p>
    <w:p w14:paraId="15DF1866" w14:textId="77777777" w:rsidR="005C3F8E" w:rsidRDefault="005C3F8E" w:rsidP="00916A8B">
      <w:pPr>
        <w:pStyle w:val="MTWHeader2"/>
        <w:rPr>
          <w:rFonts w:ascii="Century Gothic" w:hAnsi="Century Gothic" w:cs="Times New Roman"/>
          <w:sz w:val="22"/>
          <w:szCs w:val="22"/>
        </w:rPr>
      </w:pPr>
    </w:p>
    <w:p w14:paraId="66532308" w14:textId="77777777" w:rsidR="005C3F8E" w:rsidRDefault="005C3F8E" w:rsidP="00916A8B">
      <w:pPr>
        <w:pStyle w:val="MTWHeader2"/>
        <w:rPr>
          <w:rFonts w:ascii="Century Gothic" w:hAnsi="Century Gothic" w:cs="Times New Roman"/>
          <w:sz w:val="22"/>
          <w:szCs w:val="22"/>
        </w:rPr>
      </w:pPr>
    </w:p>
    <w:p w14:paraId="5C1A91AF" w14:textId="77777777" w:rsidR="005C3F8E" w:rsidRDefault="005C3F8E" w:rsidP="00916A8B">
      <w:pPr>
        <w:pStyle w:val="MTWHeader2"/>
        <w:rPr>
          <w:rFonts w:ascii="Century Gothic" w:hAnsi="Century Gothic" w:cs="Times New Roman"/>
          <w:sz w:val="22"/>
          <w:szCs w:val="22"/>
        </w:rPr>
      </w:pPr>
    </w:p>
    <w:p w14:paraId="645C7968" w14:textId="77777777" w:rsidR="005C3F8E" w:rsidRDefault="005C3F8E" w:rsidP="00916A8B">
      <w:pPr>
        <w:pStyle w:val="MTWHeader2"/>
        <w:rPr>
          <w:rFonts w:ascii="Century Gothic" w:hAnsi="Century Gothic" w:cs="Times New Roman"/>
          <w:sz w:val="22"/>
          <w:szCs w:val="22"/>
        </w:rPr>
      </w:pPr>
    </w:p>
    <w:p w14:paraId="0A35BEA6" w14:textId="77777777" w:rsidR="005C3F8E" w:rsidRDefault="005C3F8E" w:rsidP="00916A8B">
      <w:pPr>
        <w:pStyle w:val="MTWHeader2"/>
        <w:rPr>
          <w:rFonts w:ascii="Century Gothic" w:hAnsi="Century Gothic" w:cs="Times New Roman"/>
          <w:sz w:val="22"/>
          <w:szCs w:val="22"/>
        </w:rPr>
      </w:pPr>
    </w:p>
    <w:p w14:paraId="01600535" w14:textId="77777777" w:rsidR="005C3F8E" w:rsidRDefault="005C3F8E" w:rsidP="00916A8B">
      <w:pPr>
        <w:pStyle w:val="MTWHeader2"/>
        <w:rPr>
          <w:rFonts w:ascii="Century Gothic" w:hAnsi="Century Gothic" w:cs="Times New Roman"/>
          <w:sz w:val="22"/>
          <w:szCs w:val="22"/>
        </w:rPr>
      </w:pPr>
    </w:p>
    <w:p w14:paraId="36BEC578" w14:textId="77777777" w:rsidR="005C3F8E" w:rsidRDefault="005C3F8E" w:rsidP="00916A8B">
      <w:pPr>
        <w:pStyle w:val="MTWHeader2"/>
        <w:rPr>
          <w:rFonts w:ascii="Century Gothic" w:hAnsi="Century Gothic" w:cs="Times New Roman"/>
          <w:sz w:val="22"/>
          <w:szCs w:val="22"/>
        </w:rPr>
      </w:pPr>
    </w:p>
    <w:p w14:paraId="53A4CA79" w14:textId="77777777" w:rsidR="005C3F8E" w:rsidRDefault="005C3F8E" w:rsidP="00916A8B">
      <w:pPr>
        <w:pStyle w:val="MTWHeader2"/>
        <w:rPr>
          <w:rFonts w:ascii="Century Gothic" w:hAnsi="Century Gothic" w:cs="Times New Roman"/>
          <w:sz w:val="22"/>
          <w:szCs w:val="22"/>
        </w:rPr>
      </w:pPr>
    </w:p>
    <w:p w14:paraId="1DB6E44E" w14:textId="77777777" w:rsidR="005C3F8E" w:rsidRDefault="005C3F8E" w:rsidP="00916A8B">
      <w:pPr>
        <w:pStyle w:val="MTWHeader2"/>
        <w:rPr>
          <w:rFonts w:ascii="Century Gothic" w:hAnsi="Century Gothic" w:cs="Times New Roman"/>
          <w:sz w:val="22"/>
          <w:szCs w:val="22"/>
        </w:rPr>
      </w:pPr>
    </w:p>
    <w:p w14:paraId="0AC35FED" w14:textId="77777777" w:rsidR="005C3F8E" w:rsidRDefault="005C3F8E" w:rsidP="00916A8B">
      <w:pPr>
        <w:pStyle w:val="MTWHeader2"/>
        <w:rPr>
          <w:rFonts w:ascii="Century Gothic" w:hAnsi="Century Gothic" w:cs="Times New Roman"/>
          <w:sz w:val="22"/>
          <w:szCs w:val="22"/>
        </w:rPr>
      </w:pPr>
    </w:p>
    <w:p w14:paraId="3428B8C9" w14:textId="77777777" w:rsidR="005C3F8E" w:rsidRDefault="005C3F8E" w:rsidP="00916A8B">
      <w:pPr>
        <w:pStyle w:val="MTWHeader2"/>
        <w:rPr>
          <w:rFonts w:ascii="Century Gothic" w:hAnsi="Century Gothic" w:cs="Times New Roman"/>
          <w:sz w:val="22"/>
          <w:szCs w:val="22"/>
        </w:rPr>
      </w:pPr>
    </w:p>
    <w:p w14:paraId="22D282FB" w14:textId="77777777" w:rsidR="005C3F8E" w:rsidRDefault="005C3F8E" w:rsidP="00916A8B">
      <w:pPr>
        <w:pStyle w:val="MTWHeader2"/>
        <w:rPr>
          <w:rFonts w:ascii="Century Gothic" w:hAnsi="Century Gothic" w:cs="Times New Roman"/>
          <w:sz w:val="22"/>
          <w:szCs w:val="22"/>
        </w:rPr>
      </w:pPr>
    </w:p>
    <w:p w14:paraId="35A5EF03" w14:textId="64441976" w:rsidR="005C3F8E" w:rsidRDefault="005C3F8E">
      <w:pPr>
        <w:spacing w:after="160" w:line="276" w:lineRule="auto"/>
        <w:rPr>
          <w:rFonts w:ascii="Century Gothic" w:eastAsiaTheme="majorEastAsia" w:hAnsi="Century Gothic"/>
          <w:b/>
          <w:noProof/>
          <w:color w:val="000000" w:themeColor="text1"/>
          <w:szCs w:val="22"/>
          <w:lang w:eastAsia="en-US"/>
        </w:rPr>
      </w:pPr>
      <w:r>
        <w:rPr>
          <w:rFonts w:ascii="Century Gothic" w:hAnsi="Century Gothic"/>
          <w:szCs w:val="22"/>
        </w:rPr>
        <w:br w:type="page"/>
      </w:r>
    </w:p>
    <w:p w14:paraId="6045FEF2" w14:textId="37F680B3" w:rsidR="00916A8B" w:rsidRPr="006D6566" w:rsidRDefault="74147E5C" w:rsidP="00916A8B">
      <w:pPr>
        <w:pStyle w:val="MTWHeader2"/>
        <w:rPr>
          <w:rFonts w:ascii="Century Gothic" w:hAnsi="Century Gothic" w:cs="Times New Roman"/>
          <w:sz w:val="22"/>
          <w:szCs w:val="22"/>
        </w:rPr>
      </w:pPr>
      <w:r w:rsidRPr="006D6566">
        <w:rPr>
          <w:rFonts w:ascii="Century Gothic" w:hAnsi="Century Gothic" w:cs="Times New Roman"/>
          <w:sz w:val="22"/>
          <w:szCs w:val="22"/>
        </w:rPr>
        <w:lastRenderedPageBreak/>
        <w:t>Appendix 10: Utility Consumption, FY16 to Present</w:t>
      </w:r>
      <w:bookmarkEnd w:id="391"/>
    </w:p>
    <w:p w14:paraId="4E16C7BF" w14:textId="084E77BA" w:rsidR="003732EC" w:rsidRPr="006D6566" w:rsidRDefault="003732EC" w:rsidP="003732EC">
      <w:pPr>
        <w:rPr>
          <w:rFonts w:ascii="Century Gothic" w:hAnsi="Century Gothic"/>
          <w:b/>
          <w:szCs w:val="22"/>
        </w:rPr>
      </w:pPr>
      <w:r w:rsidRPr="006D6566">
        <w:rPr>
          <w:rFonts w:ascii="Century Gothic" w:hAnsi="Century Gothic"/>
          <w:b/>
          <w:bCs/>
        </w:rPr>
        <w:t xml:space="preserve">Electricity Consumption: Electricity Utility Costs Per Unit Per Month </w:t>
      </w:r>
    </w:p>
    <w:tbl>
      <w:tblPr>
        <w:tblStyle w:val="TableGrid"/>
        <w:tblW w:w="10861" w:type="dxa"/>
        <w:tblLayout w:type="fixed"/>
        <w:tblLook w:val="06A0" w:firstRow="1" w:lastRow="0" w:firstColumn="1" w:lastColumn="0" w:noHBand="1" w:noVBand="1"/>
      </w:tblPr>
      <w:tblGrid>
        <w:gridCol w:w="1364"/>
        <w:gridCol w:w="1364"/>
        <w:gridCol w:w="1364"/>
        <w:gridCol w:w="1218"/>
        <w:gridCol w:w="1117"/>
        <w:gridCol w:w="1223"/>
        <w:gridCol w:w="1007"/>
        <w:gridCol w:w="1128"/>
        <w:gridCol w:w="1076"/>
      </w:tblGrid>
      <w:tr w:rsidR="00C855CA" w:rsidRPr="006D6566" w14:paraId="2088A60D" w14:textId="77777777" w:rsidTr="00C855CA">
        <w:trPr>
          <w:trHeight w:val="285"/>
        </w:trPr>
        <w:tc>
          <w:tcPr>
            <w:tcW w:w="1364" w:type="dxa"/>
            <w:tcBorders>
              <w:top w:val="nil"/>
              <w:left w:val="nil"/>
              <w:bottom w:val="nil"/>
              <w:right w:val="nil"/>
            </w:tcBorders>
            <w:vAlign w:val="bottom"/>
          </w:tcPr>
          <w:p w14:paraId="60B0834F" w14:textId="2AD9E4FB" w:rsidR="00C855CA" w:rsidRPr="006D6566" w:rsidRDefault="00C855CA">
            <w:pPr>
              <w:rPr>
                <w:rFonts w:ascii="Century Gothic" w:hAnsi="Century Gothic"/>
                <w:sz w:val="20"/>
                <w:szCs w:val="20"/>
              </w:rPr>
            </w:pPr>
            <w:r w:rsidRPr="006D6566">
              <w:rPr>
                <w:rFonts w:ascii="Century Gothic" w:eastAsia="Calibri" w:hAnsi="Century Gothic" w:cs="Calibri"/>
                <w:color w:val="000000" w:themeColor="text1"/>
                <w:sz w:val="20"/>
                <w:szCs w:val="20"/>
              </w:rPr>
              <w:t>Electricity</w:t>
            </w:r>
          </w:p>
        </w:tc>
        <w:tc>
          <w:tcPr>
            <w:tcW w:w="1364" w:type="dxa"/>
            <w:tcBorders>
              <w:top w:val="nil"/>
              <w:left w:val="nil"/>
              <w:bottom w:val="nil"/>
              <w:right w:val="nil"/>
            </w:tcBorders>
          </w:tcPr>
          <w:p w14:paraId="4A2E3F07" w14:textId="6BDA4AC3" w:rsidR="00C855CA" w:rsidRPr="006D6566" w:rsidRDefault="00C855CA" w:rsidP="662A423E">
            <w:pPr>
              <w:rPr>
                <w:rFonts w:ascii="Century Gothic" w:eastAsia="MS PGothic" w:hAnsi="Century Gothic"/>
              </w:rPr>
            </w:pPr>
          </w:p>
        </w:tc>
        <w:tc>
          <w:tcPr>
            <w:tcW w:w="1364" w:type="dxa"/>
            <w:tcBorders>
              <w:top w:val="nil"/>
              <w:left w:val="nil"/>
              <w:bottom w:val="nil"/>
              <w:right w:val="nil"/>
            </w:tcBorders>
          </w:tcPr>
          <w:p w14:paraId="696ACE5D" w14:textId="77777777" w:rsidR="00C855CA" w:rsidRPr="006D6566" w:rsidRDefault="00C855CA" w:rsidP="1B3F2E6D">
            <w:pPr>
              <w:rPr>
                <w:rFonts w:ascii="Century Gothic" w:eastAsia="MS PGothic" w:hAnsi="Century Gothic"/>
                <w:szCs w:val="22"/>
              </w:rPr>
            </w:pPr>
          </w:p>
        </w:tc>
        <w:tc>
          <w:tcPr>
            <w:tcW w:w="1218" w:type="dxa"/>
            <w:tcBorders>
              <w:top w:val="nil"/>
              <w:left w:val="nil"/>
              <w:bottom w:val="nil"/>
              <w:right w:val="nil"/>
            </w:tcBorders>
            <w:vAlign w:val="bottom"/>
          </w:tcPr>
          <w:p w14:paraId="673E5E45" w14:textId="125BDE46" w:rsidR="00C855CA" w:rsidRPr="006D6566" w:rsidRDefault="00C855CA" w:rsidP="1B3F2E6D">
            <w:pPr>
              <w:rPr>
                <w:rFonts w:ascii="Century Gothic" w:eastAsia="MS PGothic" w:hAnsi="Century Gothic"/>
                <w:szCs w:val="22"/>
              </w:rPr>
            </w:pPr>
          </w:p>
        </w:tc>
        <w:tc>
          <w:tcPr>
            <w:tcW w:w="1117" w:type="dxa"/>
            <w:tcBorders>
              <w:top w:val="nil"/>
              <w:left w:val="nil"/>
              <w:bottom w:val="nil"/>
              <w:right w:val="nil"/>
            </w:tcBorders>
            <w:vAlign w:val="bottom"/>
          </w:tcPr>
          <w:p w14:paraId="4BBB775B" w14:textId="72B4EEAD" w:rsidR="00C855CA" w:rsidRPr="006D6566" w:rsidRDefault="00C855CA">
            <w:pPr>
              <w:rPr>
                <w:rFonts w:ascii="Century Gothic" w:hAnsi="Century Gothic"/>
                <w:sz w:val="20"/>
                <w:szCs w:val="20"/>
              </w:rPr>
            </w:pPr>
          </w:p>
        </w:tc>
        <w:tc>
          <w:tcPr>
            <w:tcW w:w="1223" w:type="dxa"/>
            <w:tcBorders>
              <w:top w:val="nil"/>
              <w:left w:val="nil"/>
              <w:bottom w:val="nil"/>
              <w:right w:val="nil"/>
            </w:tcBorders>
            <w:vAlign w:val="bottom"/>
          </w:tcPr>
          <w:p w14:paraId="330355F8" w14:textId="53D8902C" w:rsidR="00C855CA" w:rsidRPr="006D6566" w:rsidRDefault="00C855CA">
            <w:pPr>
              <w:rPr>
                <w:rFonts w:ascii="Century Gothic" w:hAnsi="Century Gothic"/>
                <w:sz w:val="20"/>
                <w:szCs w:val="20"/>
              </w:rPr>
            </w:pPr>
          </w:p>
        </w:tc>
        <w:tc>
          <w:tcPr>
            <w:tcW w:w="1007" w:type="dxa"/>
            <w:tcBorders>
              <w:top w:val="nil"/>
              <w:left w:val="nil"/>
              <w:bottom w:val="nil"/>
              <w:right w:val="nil"/>
            </w:tcBorders>
            <w:vAlign w:val="bottom"/>
          </w:tcPr>
          <w:p w14:paraId="0848AED3" w14:textId="11D98C57" w:rsidR="00C855CA" w:rsidRPr="006D6566" w:rsidRDefault="00C855CA">
            <w:pPr>
              <w:rPr>
                <w:rFonts w:ascii="Century Gothic" w:hAnsi="Century Gothic"/>
                <w:sz w:val="20"/>
                <w:szCs w:val="20"/>
              </w:rPr>
            </w:pPr>
          </w:p>
        </w:tc>
        <w:tc>
          <w:tcPr>
            <w:tcW w:w="1128" w:type="dxa"/>
            <w:tcBorders>
              <w:top w:val="nil"/>
              <w:left w:val="nil"/>
              <w:bottom w:val="nil"/>
              <w:right w:val="nil"/>
            </w:tcBorders>
            <w:vAlign w:val="bottom"/>
          </w:tcPr>
          <w:p w14:paraId="13252F78" w14:textId="0AB87141" w:rsidR="00C855CA" w:rsidRPr="006D6566" w:rsidRDefault="00C855CA">
            <w:pPr>
              <w:rPr>
                <w:rFonts w:ascii="Century Gothic" w:hAnsi="Century Gothic"/>
                <w:sz w:val="20"/>
                <w:szCs w:val="20"/>
              </w:rPr>
            </w:pPr>
          </w:p>
        </w:tc>
        <w:tc>
          <w:tcPr>
            <w:tcW w:w="1076" w:type="dxa"/>
            <w:tcBorders>
              <w:top w:val="nil"/>
              <w:left w:val="nil"/>
              <w:bottom w:val="nil"/>
              <w:right w:val="nil"/>
            </w:tcBorders>
            <w:vAlign w:val="bottom"/>
          </w:tcPr>
          <w:p w14:paraId="3F8BEA5A" w14:textId="7BDB04BB" w:rsidR="00C855CA" w:rsidRPr="006D6566" w:rsidRDefault="00C855CA">
            <w:pPr>
              <w:rPr>
                <w:rFonts w:ascii="Century Gothic" w:hAnsi="Century Gothic"/>
                <w:sz w:val="20"/>
                <w:szCs w:val="20"/>
              </w:rPr>
            </w:pPr>
          </w:p>
        </w:tc>
      </w:tr>
      <w:tr w:rsidR="00C855CA" w:rsidRPr="006D6566" w14:paraId="3058D26A" w14:textId="77777777" w:rsidTr="00C855CA">
        <w:trPr>
          <w:trHeight w:val="300"/>
        </w:trPr>
        <w:tc>
          <w:tcPr>
            <w:tcW w:w="1364"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E6CBDF" w:themeFill="accent5" w:themeFillTint="33"/>
            <w:vAlign w:val="center"/>
          </w:tcPr>
          <w:p w14:paraId="65D94075" w14:textId="5E34EB93" w:rsidR="00C855CA" w:rsidRPr="006D6566" w:rsidRDefault="00C855CA" w:rsidP="46316ACA">
            <w:pPr>
              <w:rPr>
                <w:rFonts w:ascii="Century Gothic" w:eastAsia="Times New Roman" w:hAnsi="Century Gothic"/>
                <w:color w:val="000000" w:themeColor="text1"/>
              </w:rPr>
            </w:pPr>
            <w:r w:rsidRPr="006D6566">
              <w:rPr>
                <w:rFonts w:ascii="Century Gothic" w:eastAsia="Times New Roman" w:hAnsi="Century Gothic"/>
                <w:b/>
                <w:bCs/>
                <w:color w:val="000000" w:themeColor="text1"/>
              </w:rPr>
              <w:t>Development</w:t>
            </w:r>
          </w:p>
        </w:tc>
        <w:tc>
          <w:tcPr>
            <w:tcW w:w="1364"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E6CBDF" w:themeFill="accent5" w:themeFillTint="33"/>
          </w:tcPr>
          <w:p w14:paraId="0D1EA78D" w14:textId="025DABB5" w:rsidR="00C855CA" w:rsidRPr="006D6566" w:rsidRDefault="00C855CA" w:rsidP="662A423E">
            <w:pPr>
              <w:rPr>
                <w:rFonts w:ascii="Century Gothic" w:eastAsia="Times New Roman" w:hAnsi="Century Gothic"/>
                <w:b/>
                <w:bCs/>
                <w:color w:val="000000" w:themeColor="text1"/>
              </w:rPr>
            </w:pPr>
            <w:r w:rsidRPr="006D6566">
              <w:rPr>
                <w:rFonts w:ascii="Century Gothic" w:eastAsia="Times New Roman" w:hAnsi="Century Gothic"/>
                <w:b/>
                <w:bCs/>
                <w:color w:val="000000" w:themeColor="text1"/>
              </w:rPr>
              <w:t>FY 2024</w:t>
            </w:r>
          </w:p>
        </w:tc>
        <w:tc>
          <w:tcPr>
            <w:tcW w:w="1364"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E6CBDF" w:themeFill="accent5" w:themeFillTint="33"/>
          </w:tcPr>
          <w:p w14:paraId="3F1D697F" w14:textId="36C722A1" w:rsidR="00C855CA" w:rsidRPr="006D6566" w:rsidRDefault="00C855CA" w:rsidP="46316ACA">
            <w:pPr>
              <w:rPr>
                <w:rFonts w:ascii="Century Gothic" w:eastAsia="Times New Roman" w:hAnsi="Century Gothic"/>
                <w:b/>
                <w:bCs/>
                <w:color w:val="000000" w:themeColor="text1"/>
              </w:rPr>
            </w:pPr>
            <w:r w:rsidRPr="006D6566">
              <w:rPr>
                <w:rFonts w:ascii="Century Gothic" w:eastAsia="Times New Roman" w:hAnsi="Century Gothic"/>
                <w:b/>
                <w:bCs/>
                <w:color w:val="000000" w:themeColor="text1"/>
              </w:rPr>
              <w:t>FY2023</w:t>
            </w:r>
          </w:p>
        </w:tc>
        <w:tc>
          <w:tcPr>
            <w:tcW w:w="1218"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E6CBDF" w:themeFill="accent5" w:themeFillTint="33"/>
            <w:vAlign w:val="center"/>
          </w:tcPr>
          <w:p w14:paraId="367D7547" w14:textId="417BA2B2" w:rsidR="00C855CA" w:rsidRPr="006D6566" w:rsidRDefault="00C855CA" w:rsidP="46316ACA">
            <w:pPr>
              <w:rPr>
                <w:rFonts w:ascii="Century Gothic" w:eastAsia="Times New Roman" w:hAnsi="Century Gothic"/>
                <w:b/>
                <w:bCs/>
                <w:color w:val="000000" w:themeColor="text1"/>
              </w:rPr>
            </w:pPr>
            <w:r w:rsidRPr="006D6566">
              <w:rPr>
                <w:rFonts w:ascii="Century Gothic" w:eastAsia="Times New Roman" w:hAnsi="Century Gothic"/>
                <w:b/>
                <w:bCs/>
                <w:color w:val="000000" w:themeColor="text1"/>
              </w:rPr>
              <w:t>FY 2022</w:t>
            </w:r>
          </w:p>
        </w:tc>
        <w:tc>
          <w:tcPr>
            <w:tcW w:w="1117"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E6CBDF" w:themeFill="accent5" w:themeFillTint="33"/>
            <w:vAlign w:val="center"/>
          </w:tcPr>
          <w:p w14:paraId="2B6BC3D5" w14:textId="2CC5CD7D" w:rsidR="00C855CA" w:rsidRPr="006D6566" w:rsidRDefault="00C855CA" w:rsidP="46316ACA">
            <w:pPr>
              <w:rPr>
                <w:rFonts w:ascii="Century Gothic" w:eastAsia="Times New Roman" w:hAnsi="Century Gothic"/>
                <w:color w:val="000000" w:themeColor="text1"/>
              </w:rPr>
            </w:pPr>
            <w:r w:rsidRPr="006D6566">
              <w:rPr>
                <w:rFonts w:ascii="Century Gothic" w:eastAsia="Times New Roman" w:hAnsi="Century Gothic"/>
                <w:b/>
                <w:bCs/>
                <w:color w:val="000000" w:themeColor="text1"/>
              </w:rPr>
              <w:t>FY 2021</w:t>
            </w:r>
            <w:r w:rsidRPr="006D6566">
              <w:rPr>
                <w:rFonts w:ascii="Century Gothic" w:eastAsia="Times New Roman" w:hAnsi="Century Gothic"/>
                <w:color w:val="000000" w:themeColor="text1"/>
              </w:rPr>
              <w:t xml:space="preserve"> </w:t>
            </w:r>
          </w:p>
        </w:tc>
        <w:tc>
          <w:tcPr>
            <w:tcW w:w="1223"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E6CBDF" w:themeFill="accent5" w:themeFillTint="33"/>
            <w:vAlign w:val="center"/>
          </w:tcPr>
          <w:p w14:paraId="5E3E8161" w14:textId="61EBFB18" w:rsidR="00C855CA" w:rsidRPr="006D6566" w:rsidRDefault="00C855CA" w:rsidP="46316ACA">
            <w:pPr>
              <w:rPr>
                <w:rFonts w:ascii="Century Gothic" w:eastAsia="Times New Roman" w:hAnsi="Century Gothic"/>
                <w:color w:val="000000" w:themeColor="text1"/>
              </w:rPr>
            </w:pPr>
            <w:r w:rsidRPr="006D6566">
              <w:rPr>
                <w:rFonts w:ascii="Century Gothic" w:eastAsia="Times New Roman" w:hAnsi="Century Gothic"/>
                <w:b/>
                <w:bCs/>
                <w:color w:val="000000" w:themeColor="text1"/>
              </w:rPr>
              <w:t>FY2020 </w:t>
            </w:r>
            <w:r w:rsidRPr="006D6566">
              <w:rPr>
                <w:rFonts w:ascii="Century Gothic" w:eastAsia="Times New Roman" w:hAnsi="Century Gothic"/>
                <w:color w:val="000000" w:themeColor="text1"/>
              </w:rPr>
              <w:t xml:space="preserve"> </w:t>
            </w:r>
          </w:p>
        </w:tc>
        <w:tc>
          <w:tcPr>
            <w:tcW w:w="1007"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E6CBDF" w:themeFill="accent5" w:themeFillTint="33"/>
            <w:vAlign w:val="center"/>
          </w:tcPr>
          <w:p w14:paraId="157A92B2" w14:textId="023608A6" w:rsidR="00C855CA" w:rsidRPr="006D6566" w:rsidRDefault="00C855CA" w:rsidP="46316ACA">
            <w:pPr>
              <w:rPr>
                <w:rFonts w:ascii="Century Gothic" w:eastAsia="Times New Roman" w:hAnsi="Century Gothic"/>
                <w:color w:val="000000" w:themeColor="text1"/>
              </w:rPr>
            </w:pPr>
            <w:r w:rsidRPr="006D6566">
              <w:rPr>
                <w:rFonts w:ascii="Century Gothic" w:eastAsia="Times New Roman" w:hAnsi="Century Gothic"/>
                <w:b/>
                <w:bCs/>
                <w:color w:val="000000" w:themeColor="text1"/>
              </w:rPr>
              <w:t>FY2019</w:t>
            </w:r>
            <w:r w:rsidRPr="006D6566">
              <w:rPr>
                <w:rFonts w:ascii="Century Gothic" w:eastAsia="Times New Roman" w:hAnsi="Century Gothic"/>
                <w:color w:val="000000" w:themeColor="text1"/>
              </w:rPr>
              <w:t xml:space="preserve"> </w:t>
            </w:r>
          </w:p>
        </w:tc>
        <w:tc>
          <w:tcPr>
            <w:tcW w:w="1128"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E6CBDF" w:themeFill="accent5" w:themeFillTint="33"/>
            <w:vAlign w:val="center"/>
          </w:tcPr>
          <w:p w14:paraId="74730510" w14:textId="7A092C27" w:rsidR="00C855CA" w:rsidRPr="006D6566" w:rsidRDefault="00C855CA" w:rsidP="46316ACA">
            <w:pPr>
              <w:jc w:val="right"/>
              <w:rPr>
                <w:rFonts w:ascii="Century Gothic" w:eastAsia="Times New Roman" w:hAnsi="Century Gothic"/>
                <w:color w:val="000000" w:themeColor="text1"/>
              </w:rPr>
            </w:pPr>
            <w:r w:rsidRPr="006D6566">
              <w:rPr>
                <w:rFonts w:ascii="Century Gothic" w:eastAsia="Times New Roman" w:hAnsi="Century Gothic"/>
                <w:b/>
                <w:bCs/>
                <w:color w:val="000000" w:themeColor="text1"/>
              </w:rPr>
              <w:t>FY 2017</w:t>
            </w:r>
            <w:r w:rsidRPr="006D6566">
              <w:rPr>
                <w:rFonts w:ascii="Century Gothic" w:eastAsia="Times New Roman" w:hAnsi="Century Gothic"/>
                <w:color w:val="000000" w:themeColor="text1"/>
              </w:rPr>
              <w:t xml:space="preserve"> </w:t>
            </w:r>
          </w:p>
        </w:tc>
        <w:tc>
          <w:tcPr>
            <w:tcW w:w="10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E6CBDF" w:themeFill="accent5" w:themeFillTint="33"/>
            <w:vAlign w:val="center"/>
          </w:tcPr>
          <w:p w14:paraId="3A233D66" w14:textId="5B13E9B0" w:rsidR="00C855CA" w:rsidRPr="006D6566" w:rsidRDefault="00C855CA" w:rsidP="46316ACA">
            <w:pPr>
              <w:jc w:val="right"/>
              <w:rPr>
                <w:rFonts w:ascii="Century Gothic" w:eastAsia="Times New Roman" w:hAnsi="Century Gothic"/>
                <w:color w:val="000000" w:themeColor="text1"/>
              </w:rPr>
            </w:pPr>
            <w:r w:rsidRPr="006D6566">
              <w:rPr>
                <w:rFonts w:ascii="Century Gothic" w:eastAsia="Times New Roman" w:hAnsi="Century Gothic"/>
                <w:b/>
                <w:bCs/>
                <w:color w:val="000000" w:themeColor="text1"/>
              </w:rPr>
              <w:t>FY 2016</w:t>
            </w:r>
            <w:r w:rsidRPr="006D6566">
              <w:rPr>
                <w:rFonts w:ascii="Century Gothic" w:eastAsia="Times New Roman" w:hAnsi="Century Gothic"/>
                <w:color w:val="000000" w:themeColor="text1"/>
              </w:rPr>
              <w:t xml:space="preserve"> </w:t>
            </w:r>
          </w:p>
        </w:tc>
      </w:tr>
      <w:tr w:rsidR="00C855CA" w:rsidRPr="006D6566" w14:paraId="3B143058" w14:textId="77777777" w:rsidTr="00C855CA">
        <w:trPr>
          <w:trHeight w:val="300"/>
        </w:trPr>
        <w:tc>
          <w:tcPr>
            <w:tcW w:w="1364" w:type="dxa"/>
            <w:tcBorders>
              <w:top w:val="single" w:sz="8" w:space="0" w:color="000000" w:themeColor="text1"/>
              <w:left w:val="single" w:sz="4" w:space="0" w:color="auto"/>
              <w:bottom w:val="single" w:sz="8" w:space="0" w:color="auto"/>
              <w:right w:val="single" w:sz="8" w:space="0" w:color="auto"/>
            </w:tcBorders>
            <w:vAlign w:val="center"/>
          </w:tcPr>
          <w:p w14:paraId="5BE95FB7" w14:textId="01881E3C"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EASTVIEW I </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02AB2474" w14:textId="1290133D"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$55.46</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4A65320A" w14:textId="5AC9FD48"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$20.86</w:t>
            </w:r>
          </w:p>
        </w:tc>
        <w:tc>
          <w:tcPr>
            <w:tcW w:w="12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D6798C0" w14:textId="6664F704"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$23.46</w:t>
            </w:r>
          </w:p>
        </w:tc>
        <w:tc>
          <w:tcPr>
            <w:tcW w:w="1117"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FFAF147" w14:textId="78AD37AA"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$ 31.53 </w:t>
            </w:r>
          </w:p>
        </w:tc>
        <w:tc>
          <w:tcPr>
            <w:tcW w:w="12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AA163B" w14:textId="6DF5C075"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$56.02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5B2482" w14:textId="4C7ECA34" w:rsidR="00C855CA" w:rsidRPr="006D6566" w:rsidRDefault="00C855CA" w:rsidP="0060673B">
            <w:pPr>
              <w:rPr>
                <w:rFonts w:ascii="Century Gothic" w:hAnsi="Century Gothic"/>
                <w:szCs w:val="22"/>
              </w:rPr>
            </w:pPr>
            <w:r w:rsidRPr="006D6566">
              <w:rPr>
                <w:rFonts w:ascii="Century Gothic" w:eastAsia="Times New Roman" w:hAnsi="Century Gothic"/>
                <w:color w:val="000000" w:themeColor="text1"/>
                <w:szCs w:val="22"/>
              </w:rPr>
              <w:t xml:space="preserve"> $25.71 </w:t>
            </w:r>
          </w:p>
        </w:tc>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DCD0E67" w14:textId="6C3E1FCA" w:rsidR="00C855CA" w:rsidRPr="006D6566" w:rsidRDefault="00C855CA" w:rsidP="197B9397">
            <w:pPr>
              <w:jc w:val="right"/>
              <w:rPr>
                <w:rFonts w:ascii="Century Gothic" w:hAnsi="Century Gothic"/>
                <w:szCs w:val="22"/>
              </w:rPr>
            </w:pPr>
            <w:r w:rsidRPr="006D6566">
              <w:rPr>
                <w:rFonts w:ascii="Century Gothic" w:eastAsia="Times New Roman" w:hAnsi="Century Gothic"/>
                <w:color w:val="000000" w:themeColor="text1"/>
                <w:szCs w:val="22"/>
              </w:rPr>
              <w:t xml:space="preserve"> $ 68.97 </w:t>
            </w:r>
          </w:p>
        </w:tc>
        <w:tc>
          <w:tcPr>
            <w:tcW w:w="1076"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4098AA3A" w14:textId="56D13964" w:rsidR="00C855CA" w:rsidRPr="006D6566" w:rsidRDefault="00C855CA" w:rsidP="0060673B">
            <w:pPr>
              <w:rPr>
                <w:rFonts w:ascii="Century Gothic" w:hAnsi="Century Gothic"/>
                <w:szCs w:val="22"/>
              </w:rPr>
            </w:pPr>
            <w:r w:rsidRPr="006D6566">
              <w:rPr>
                <w:rFonts w:ascii="Century Gothic" w:eastAsia="Times New Roman" w:hAnsi="Century Gothic"/>
                <w:color w:val="000000" w:themeColor="text1"/>
                <w:szCs w:val="22"/>
              </w:rPr>
              <w:t xml:space="preserve"> $ 75.07 </w:t>
            </w:r>
          </w:p>
        </w:tc>
      </w:tr>
      <w:tr w:rsidR="00C855CA" w:rsidRPr="006D6566" w14:paraId="4A013D83" w14:textId="77777777" w:rsidTr="00C855CA">
        <w:trPr>
          <w:trHeight w:val="300"/>
        </w:trPr>
        <w:tc>
          <w:tcPr>
            <w:tcW w:w="1364" w:type="dxa"/>
            <w:tcBorders>
              <w:top w:val="single" w:sz="8" w:space="0" w:color="auto"/>
              <w:left w:val="single" w:sz="4" w:space="0" w:color="auto"/>
              <w:bottom w:val="single" w:sz="8" w:space="0" w:color="auto"/>
              <w:right w:val="single" w:sz="8" w:space="0" w:color="auto"/>
            </w:tcBorders>
            <w:vAlign w:val="center"/>
          </w:tcPr>
          <w:p w14:paraId="45DFE77D" w14:textId="35570102"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FAIR HAVEN </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57429C11" w14:textId="5A80C580"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$218.99</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7D28F34A" w14:textId="2A5FF63F"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$136.55</w:t>
            </w:r>
          </w:p>
        </w:tc>
        <w:tc>
          <w:tcPr>
            <w:tcW w:w="12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2EADD4E" w14:textId="273D7E74"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$157.84</w:t>
            </w:r>
          </w:p>
        </w:tc>
        <w:tc>
          <w:tcPr>
            <w:tcW w:w="1117"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3D752360" w14:textId="120AF038"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$144.14 </w:t>
            </w:r>
          </w:p>
        </w:tc>
        <w:tc>
          <w:tcPr>
            <w:tcW w:w="12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4BAECF" w14:textId="3B7FD702"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$263.92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29AE58" w14:textId="30B926C7" w:rsidR="00C855CA" w:rsidRPr="006D6566" w:rsidRDefault="00C855CA" w:rsidP="0060673B">
            <w:pPr>
              <w:rPr>
                <w:rFonts w:ascii="Century Gothic" w:hAnsi="Century Gothic"/>
                <w:szCs w:val="22"/>
              </w:rPr>
            </w:pPr>
            <w:r w:rsidRPr="006D6566">
              <w:rPr>
                <w:rFonts w:ascii="Century Gothic" w:eastAsia="Times New Roman" w:hAnsi="Century Gothic"/>
                <w:color w:val="000000" w:themeColor="text1"/>
                <w:szCs w:val="22"/>
              </w:rPr>
              <w:t xml:space="preserve">$111.83 </w:t>
            </w:r>
          </w:p>
        </w:tc>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32009E4" w14:textId="21C2E279" w:rsidR="00C855CA" w:rsidRPr="006D6566" w:rsidRDefault="00C855CA" w:rsidP="197B9397">
            <w:pPr>
              <w:jc w:val="right"/>
              <w:rPr>
                <w:rFonts w:ascii="Century Gothic" w:hAnsi="Century Gothic"/>
                <w:szCs w:val="22"/>
              </w:rPr>
            </w:pPr>
            <w:r w:rsidRPr="006D6566">
              <w:rPr>
                <w:rFonts w:ascii="Century Gothic" w:eastAsia="Times New Roman" w:hAnsi="Century Gothic"/>
                <w:color w:val="000000" w:themeColor="text1"/>
                <w:szCs w:val="22"/>
              </w:rPr>
              <w:t xml:space="preserve"> $124.57 </w:t>
            </w:r>
          </w:p>
        </w:tc>
        <w:tc>
          <w:tcPr>
            <w:tcW w:w="1076"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7BF48710" w14:textId="2443C2DB"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r>
      <w:tr w:rsidR="00C855CA" w:rsidRPr="006D6566" w14:paraId="0F1D37FC" w14:textId="77777777" w:rsidTr="00C855CA">
        <w:trPr>
          <w:trHeight w:val="300"/>
        </w:trPr>
        <w:tc>
          <w:tcPr>
            <w:tcW w:w="1364" w:type="dxa"/>
            <w:tcBorders>
              <w:top w:val="single" w:sz="8" w:space="0" w:color="auto"/>
              <w:left w:val="single" w:sz="4" w:space="0" w:color="auto"/>
              <w:bottom w:val="single" w:sz="8" w:space="0" w:color="auto"/>
              <w:right w:val="single" w:sz="8" w:space="0" w:color="auto"/>
            </w:tcBorders>
            <w:vAlign w:val="center"/>
          </w:tcPr>
          <w:p w14:paraId="7421FFCF" w14:textId="56939AE2"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QUINNIPIAC </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5B8D62C9" w14:textId="300C2979"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116.70</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54D95787" w14:textId="6AC04709" w:rsidR="00C855CA" w:rsidRPr="006D6566" w:rsidRDefault="00C855CA" w:rsidP="46316ACA">
            <w:pPr>
              <w:rPr>
                <w:rFonts w:ascii="Century Gothic" w:eastAsia="Times New Roman" w:hAnsi="Century Gothic"/>
                <w:color w:val="000000" w:themeColor="text1"/>
              </w:rPr>
            </w:pPr>
            <w:r w:rsidRPr="006D6566">
              <w:rPr>
                <w:rFonts w:ascii="Century Gothic" w:eastAsia="Times New Roman" w:hAnsi="Century Gothic"/>
                <w:color w:val="000000" w:themeColor="text1"/>
              </w:rPr>
              <w:t>$28.88</w:t>
            </w:r>
          </w:p>
        </w:tc>
        <w:tc>
          <w:tcPr>
            <w:tcW w:w="12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59807092" w14:textId="270A6535"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No data</w:t>
            </w:r>
          </w:p>
        </w:tc>
        <w:tc>
          <w:tcPr>
            <w:tcW w:w="1117"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02C1257A" w14:textId="25E112F9" w:rsidR="00C855CA" w:rsidRPr="006D6566" w:rsidRDefault="00C855CA" w:rsidP="197B9397">
            <w:pPr>
              <w:rPr>
                <w:rFonts w:ascii="Century Gothic" w:hAnsi="Century Gothic"/>
                <w:szCs w:val="22"/>
              </w:rPr>
            </w:pPr>
            <w:r w:rsidRPr="006D6566">
              <w:rPr>
                <w:rFonts w:ascii="Century Gothic" w:eastAsia="Calibri" w:hAnsi="Century Gothic" w:cs="Calibri"/>
                <w:color w:val="000000" w:themeColor="text1"/>
                <w:szCs w:val="22"/>
              </w:rPr>
              <w:t xml:space="preserve"> $ 232.04 </w:t>
            </w:r>
          </w:p>
        </w:tc>
        <w:tc>
          <w:tcPr>
            <w:tcW w:w="12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C8865A" w14:textId="143062C5" w:rsidR="00C855CA" w:rsidRPr="006D6566" w:rsidRDefault="00C855CA" w:rsidP="655A2699">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 xml:space="preserve"> $43.95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9AC7C5" w14:textId="5E90B73B" w:rsidR="00C855CA" w:rsidRPr="006D6566" w:rsidRDefault="00C855CA" w:rsidP="0060673B">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 xml:space="preserve"> $80.00   </w:t>
            </w:r>
          </w:p>
        </w:tc>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DFCE980" w14:textId="4D3BCC34" w:rsidR="00C855CA" w:rsidRPr="006D6566" w:rsidRDefault="00C855CA" w:rsidP="197B9397">
            <w:pPr>
              <w:jc w:val="right"/>
              <w:rPr>
                <w:rFonts w:ascii="Century Gothic" w:hAnsi="Century Gothic"/>
                <w:szCs w:val="22"/>
              </w:rPr>
            </w:pPr>
            <w:r w:rsidRPr="006D6566">
              <w:rPr>
                <w:rFonts w:ascii="Century Gothic" w:eastAsia="Times New Roman" w:hAnsi="Century Gothic"/>
                <w:color w:val="000000" w:themeColor="text1"/>
                <w:szCs w:val="22"/>
              </w:rPr>
              <w:t xml:space="preserve"> No data  </w:t>
            </w:r>
          </w:p>
        </w:tc>
        <w:tc>
          <w:tcPr>
            <w:tcW w:w="1076"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16F9BD37" w14:textId="107EF6F7"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r>
      <w:tr w:rsidR="00C855CA" w:rsidRPr="006D6566" w14:paraId="7B3B2A7C" w14:textId="77777777" w:rsidTr="00C855CA">
        <w:trPr>
          <w:trHeight w:val="300"/>
        </w:trPr>
        <w:tc>
          <w:tcPr>
            <w:tcW w:w="1364" w:type="dxa"/>
            <w:tcBorders>
              <w:top w:val="single" w:sz="8" w:space="0" w:color="auto"/>
              <w:left w:val="single" w:sz="4" w:space="0" w:color="auto"/>
              <w:bottom w:val="single" w:sz="8" w:space="0" w:color="auto"/>
              <w:right w:val="single" w:sz="8" w:space="0" w:color="auto"/>
            </w:tcBorders>
            <w:vAlign w:val="center"/>
          </w:tcPr>
          <w:p w14:paraId="23967158" w14:textId="439760D8"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RIBICOFF 4% </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2F9DC65F" w14:textId="0955B28E"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$221.77</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5CE2D913" w14:textId="1572CFE9"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$167.65</w:t>
            </w:r>
          </w:p>
        </w:tc>
        <w:tc>
          <w:tcPr>
            <w:tcW w:w="12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705705A" w14:textId="30FFB581"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$169.39</w:t>
            </w:r>
          </w:p>
        </w:tc>
        <w:tc>
          <w:tcPr>
            <w:tcW w:w="1117"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39FE976F" w14:textId="65D4B8B5"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$208.62 </w:t>
            </w:r>
          </w:p>
        </w:tc>
        <w:tc>
          <w:tcPr>
            <w:tcW w:w="12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0823A1" w14:textId="49E53B6E"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$180.70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C411A9" w14:textId="79433A31"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$137.43 </w:t>
            </w:r>
          </w:p>
        </w:tc>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42532A4" w14:textId="209FC598" w:rsidR="00C855CA" w:rsidRPr="006D6566" w:rsidRDefault="00C855CA" w:rsidP="197B9397">
            <w:pPr>
              <w:jc w:val="right"/>
              <w:rPr>
                <w:rFonts w:ascii="Century Gothic" w:hAnsi="Century Gothic"/>
                <w:szCs w:val="22"/>
              </w:rPr>
            </w:pPr>
            <w:r w:rsidRPr="006D6566">
              <w:rPr>
                <w:rFonts w:ascii="Century Gothic" w:eastAsia="Times New Roman" w:hAnsi="Century Gothic"/>
                <w:color w:val="000000" w:themeColor="text1"/>
                <w:szCs w:val="22"/>
              </w:rPr>
              <w:t xml:space="preserve"> $159.52 </w:t>
            </w:r>
          </w:p>
        </w:tc>
        <w:tc>
          <w:tcPr>
            <w:tcW w:w="1076"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1BFE692C" w14:textId="06F166F2"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r>
      <w:tr w:rsidR="00C855CA" w:rsidRPr="006D6566" w14:paraId="3A45619D" w14:textId="77777777" w:rsidTr="00C855CA">
        <w:trPr>
          <w:trHeight w:val="300"/>
        </w:trPr>
        <w:tc>
          <w:tcPr>
            <w:tcW w:w="1364" w:type="dxa"/>
            <w:tcBorders>
              <w:top w:val="single" w:sz="8" w:space="0" w:color="auto"/>
              <w:left w:val="single" w:sz="4" w:space="0" w:color="auto"/>
              <w:bottom w:val="single" w:sz="8" w:space="0" w:color="auto"/>
              <w:right w:val="single" w:sz="8" w:space="0" w:color="auto"/>
            </w:tcBorders>
            <w:vAlign w:val="center"/>
          </w:tcPr>
          <w:p w14:paraId="08CBF01A" w14:textId="7A46750D"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RIBICOFF 9% </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3B9DFCD3" w14:textId="324A907D"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$304.63</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1335BA3A" w14:textId="5B87AA9D"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$245.25</w:t>
            </w:r>
          </w:p>
        </w:tc>
        <w:tc>
          <w:tcPr>
            <w:tcW w:w="12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762CF2BA" w14:textId="05AE851F"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$218.27</w:t>
            </w:r>
          </w:p>
        </w:tc>
        <w:tc>
          <w:tcPr>
            <w:tcW w:w="1117"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E57FD35" w14:textId="1FE9EB9E"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$219.42 </w:t>
            </w:r>
          </w:p>
        </w:tc>
        <w:tc>
          <w:tcPr>
            <w:tcW w:w="12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FC476F" w14:textId="5CE1083B"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$207.59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54E45F" w14:textId="43B665F9"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$154.61 </w:t>
            </w:r>
          </w:p>
        </w:tc>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DBE7C67" w14:textId="536531E5" w:rsidR="00C855CA" w:rsidRPr="006D6566" w:rsidRDefault="00C855CA" w:rsidP="197B9397">
            <w:pPr>
              <w:jc w:val="right"/>
              <w:rPr>
                <w:rFonts w:ascii="Century Gothic" w:hAnsi="Century Gothic"/>
                <w:szCs w:val="22"/>
              </w:rPr>
            </w:pPr>
            <w:r w:rsidRPr="006D6566">
              <w:rPr>
                <w:rFonts w:ascii="Century Gothic" w:eastAsia="Times New Roman" w:hAnsi="Century Gothic"/>
                <w:color w:val="000000" w:themeColor="text1"/>
                <w:szCs w:val="22"/>
              </w:rPr>
              <w:t xml:space="preserve"> $183.81 </w:t>
            </w:r>
          </w:p>
        </w:tc>
        <w:tc>
          <w:tcPr>
            <w:tcW w:w="1076"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7C300F09" w14:textId="2D1A38E3"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r>
      <w:tr w:rsidR="00C855CA" w:rsidRPr="006D6566" w14:paraId="1A8297B8" w14:textId="77777777" w:rsidTr="00C855CA">
        <w:trPr>
          <w:trHeight w:val="300"/>
        </w:trPr>
        <w:tc>
          <w:tcPr>
            <w:tcW w:w="1364" w:type="dxa"/>
            <w:tcBorders>
              <w:top w:val="single" w:sz="8" w:space="0" w:color="auto"/>
              <w:left w:val="single" w:sz="4" w:space="0" w:color="auto"/>
              <w:bottom w:val="single" w:sz="8" w:space="0" w:color="auto"/>
              <w:right w:val="single" w:sz="8" w:space="0" w:color="auto"/>
            </w:tcBorders>
            <w:vAlign w:val="center"/>
          </w:tcPr>
          <w:p w14:paraId="1B3DCCBE" w14:textId="43B981E9"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WILMOT </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21748290" w14:textId="17A24501"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$166.35</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22CD5B37" w14:textId="4DF04D27"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$149.00</w:t>
            </w:r>
          </w:p>
        </w:tc>
        <w:tc>
          <w:tcPr>
            <w:tcW w:w="12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4CD91F9" w14:textId="0F35ECE2"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$167.25</w:t>
            </w:r>
          </w:p>
        </w:tc>
        <w:tc>
          <w:tcPr>
            <w:tcW w:w="1117"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FA7692F" w14:textId="11610130"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$168.25 </w:t>
            </w:r>
          </w:p>
        </w:tc>
        <w:tc>
          <w:tcPr>
            <w:tcW w:w="12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F46EE4" w14:textId="7FC680E8"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$178.58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EC979C" w14:textId="66E070CF"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$133.07 </w:t>
            </w:r>
          </w:p>
        </w:tc>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EB7E3C6" w14:textId="272E2680" w:rsidR="00C855CA" w:rsidRPr="006D6566" w:rsidRDefault="00C855CA" w:rsidP="197B9397">
            <w:pPr>
              <w:jc w:val="right"/>
              <w:rPr>
                <w:rFonts w:ascii="Century Gothic" w:hAnsi="Century Gothic"/>
                <w:szCs w:val="22"/>
              </w:rPr>
            </w:pPr>
            <w:r w:rsidRPr="006D6566">
              <w:rPr>
                <w:rFonts w:ascii="Century Gothic" w:eastAsia="Times New Roman" w:hAnsi="Century Gothic"/>
                <w:color w:val="000000" w:themeColor="text1"/>
                <w:szCs w:val="22"/>
              </w:rPr>
              <w:t xml:space="preserve"> $143.41 </w:t>
            </w:r>
          </w:p>
        </w:tc>
        <w:tc>
          <w:tcPr>
            <w:tcW w:w="1076"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70EF4115" w14:textId="0A4B1FF0"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r>
      <w:tr w:rsidR="00C855CA" w:rsidRPr="006D6566" w14:paraId="4AD8FDD4" w14:textId="77777777" w:rsidTr="00C855CA">
        <w:trPr>
          <w:trHeight w:val="300"/>
        </w:trPr>
        <w:tc>
          <w:tcPr>
            <w:tcW w:w="1364" w:type="dxa"/>
            <w:tcBorders>
              <w:top w:val="single" w:sz="8" w:space="0" w:color="auto"/>
              <w:left w:val="single" w:sz="4" w:space="0" w:color="auto"/>
              <w:bottom w:val="single" w:sz="8" w:space="0" w:color="auto"/>
              <w:right w:val="single" w:sz="8" w:space="0" w:color="auto"/>
            </w:tcBorders>
            <w:vAlign w:val="center"/>
          </w:tcPr>
          <w:p w14:paraId="57CDC740" w14:textId="1DFC05A3"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WT ROWE </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12349295" w14:textId="266E97A0"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$65.00</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66C8022D" w14:textId="653B2072" w:rsidR="00C855CA" w:rsidRPr="006D6566" w:rsidRDefault="00C855CA" w:rsidP="46316ACA">
            <w:pPr>
              <w:rPr>
                <w:rFonts w:ascii="Century Gothic" w:eastAsia="Times New Roman" w:hAnsi="Century Gothic"/>
                <w:color w:val="000000" w:themeColor="text1"/>
              </w:rPr>
            </w:pPr>
            <w:r w:rsidRPr="006D6566">
              <w:rPr>
                <w:rFonts w:ascii="Century Gothic" w:eastAsia="Times New Roman" w:hAnsi="Century Gothic"/>
                <w:color w:val="000000" w:themeColor="text1"/>
              </w:rPr>
              <w:t>$49.51</w:t>
            </w:r>
          </w:p>
        </w:tc>
        <w:tc>
          <w:tcPr>
            <w:tcW w:w="12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E70AA02" w14:textId="3B3120E7"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$68.52</w:t>
            </w:r>
          </w:p>
        </w:tc>
        <w:tc>
          <w:tcPr>
            <w:tcW w:w="1117"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005F3013" w14:textId="0E0E76CD"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$ 30.76 </w:t>
            </w:r>
          </w:p>
        </w:tc>
        <w:tc>
          <w:tcPr>
            <w:tcW w:w="12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1FCC74" w14:textId="494859F6"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$23.54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9C2F29" w14:textId="7727ECB2" w:rsidR="00C855CA" w:rsidRPr="006D6566" w:rsidRDefault="00C855CA" w:rsidP="0060673B">
            <w:pPr>
              <w:rPr>
                <w:rFonts w:ascii="Century Gothic" w:hAnsi="Century Gothic"/>
                <w:szCs w:val="22"/>
              </w:rPr>
            </w:pPr>
            <w:r w:rsidRPr="006D6566">
              <w:rPr>
                <w:rFonts w:ascii="Century Gothic" w:eastAsia="Times New Roman" w:hAnsi="Century Gothic"/>
                <w:color w:val="000000" w:themeColor="text1"/>
                <w:szCs w:val="22"/>
              </w:rPr>
              <w:t xml:space="preserve"> $22.51 </w:t>
            </w:r>
          </w:p>
        </w:tc>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E492646" w14:textId="382AC0E4" w:rsidR="00C855CA" w:rsidRPr="006D6566" w:rsidRDefault="00C855CA" w:rsidP="197B9397">
            <w:pPr>
              <w:jc w:val="right"/>
              <w:rPr>
                <w:rFonts w:ascii="Century Gothic" w:hAnsi="Century Gothic"/>
                <w:szCs w:val="22"/>
              </w:rPr>
            </w:pPr>
            <w:r w:rsidRPr="006D6566">
              <w:rPr>
                <w:rFonts w:ascii="Century Gothic" w:eastAsia="Times New Roman" w:hAnsi="Century Gothic"/>
                <w:color w:val="000000" w:themeColor="text1"/>
                <w:szCs w:val="22"/>
              </w:rPr>
              <w:t xml:space="preserve">$22.25 </w:t>
            </w:r>
          </w:p>
        </w:tc>
        <w:tc>
          <w:tcPr>
            <w:tcW w:w="1076"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0D1911BC" w14:textId="27B852B1"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$ 21.48 </w:t>
            </w:r>
          </w:p>
        </w:tc>
      </w:tr>
      <w:tr w:rsidR="00C855CA" w:rsidRPr="006D6566" w14:paraId="17698D8F" w14:textId="77777777" w:rsidTr="00C855CA">
        <w:trPr>
          <w:trHeight w:val="300"/>
        </w:trPr>
        <w:tc>
          <w:tcPr>
            <w:tcW w:w="1364" w:type="dxa"/>
            <w:tcBorders>
              <w:top w:val="single" w:sz="8" w:space="0" w:color="auto"/>
              <w:left w:val="single" w:sz="4" w:space="0" w:color="auto"/>
              <w:bottom w:val="single" w:sz="8" w:space="0" w:color="auto"/>
              <w:right w:val="single" w:sz="8" w:space="0" w:color="auto"/>
            </w:tcBorders>
            <w:vAlign w:val="center"/>
          </w:tcPr>
          <w:p w14:paraId="7FF9D9B2" w14:textId="65D756F0"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RAD II </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3C179B7C" w14:textId="6BD372A9"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$149.12</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37004DAF" w14:textId="272281AA" w:rsidR="00C855CA" w:rsidRPr="006D6566" w:rsidRDefault="00C855CA" w:rsidP="19A6F694">
            <w:pPr>
              <w:rPr>
                <w:rFonts w:ascii="Century Gothic" w:hAnsi="Century Gothic"/>
                <w:szCs w:val="22"/>
              </w:rPr>
            </w:pPr>
            <w:r w:rsidRPr="006D6566">
              <w:rPr>
                <w:rFonts w:ascii="Century Gothic" w:eastAsia="Times New Roman" w:hAnsi="Century Gothic"/>
                <w:color w:val="000000" w:themeColor="text1"/>
                <w:szCs w:val="22"/>
              </w:rPr>
              <w:t>$130.19</w:t>
            </w:r>
          </w:p>
        </w:tc>
        <w:tc>
          <w:tcPr>
            <w:tcW w:w="12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A545704" w14:textId="22086465"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$114.50</w:t>
            </w:r>
          </w:p>
        </w:tc>
        <w:tc>
          <w:tcPr>
            <w:tcW w:w="1117"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8E7E867" w14:textId="01CF1026"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$115.82 </w:t>
            </w:r>
          </w:p>
        </w:tc>
        <w:tc>
          <w:tcPr>
            <w:tcW w:w="12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08E70B" w14:textId="4029D932"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$135.38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30CF5B" w14:textId="69BE2C4E"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35E71AF" w14:textId="070831FC"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c>
          <w:tcPr>
            <w:tcW w:w="1076"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5C73DC5F" w14:textId="672E6603"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r>
      <w:tr w:rsidR="00C855CA" w:rsidRPr="006D6566" w14:paraId="0762BAB6" w14:textId="77777777" w:rsidTr="00C855CA">
        <w:trPr>
          <w:trHeight w:val="300"/>
        </w:trPr>
        <w:tc>
          <w:tcPr>
            <w:tcW w:w="1364" w:type="dxa"/>
            <w:tcBorders>
              <w:top w:val="single" w:sz="8" w:space="0" w:color="auto"/>
              <w:left w:val="single" w:sz="4" w:space="0" w:color="auto"/>
              <w:bottom w:val="single" w:sz="8" w:space="0" w:color="auto"/>
              <w:right w:val="single" w:sz="8" w:space="0" w:color="auto"/>
            </w:tcBorders>
            <w:vAlign w:val="center"/>
          </w:tcPr>
          <w:p w14:paraId="28458435" w14:textId="39668DD6"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MCQUEENY </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023405BC" w14:textId="69259D92"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$158.15</w:t>
            </w:r>
          </w:p>
        </w:tc>
        <w:tc>
          <w:tcPr>
            <w:tcW w:w="1364" w:type="dxa"/>
            <w:tcBorders>
              <w:top w:val="single" w:sz="8" w:space="0" w:color="000000" w:themeColor="text1"/>
              <w:left w:val="single" w:sz="8" w:space="0" w:color="auto"/>
              <w:bottom w:val="single" w:sz="8" w:space="0" w:color="000000" w:themeColor="text1"/>
              <w:right w:val="single" w:sz="8" w:space="0" w:color="auto"/>
            </w:tcBorders>
          </w:tcPr>
          <w:p w14:paraId="1F8C77D0" w14:textId="5656EDD9"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$117.97</w:t>
            </w:r>
          </w:p>
        </w:tc>
        <w:tc>
          <w:tcPr>
            <w:tcW w:w="12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5EF9FFE2" w14:textId="21B107FF" w:rsidR="00C855CA" w:rsidRPr="006D6566" w:rsidRDefault="00C855CA" w:rsidP="4566E4F4">
            <w:pPr>
              <w:rPr>
                <w:rFonts w:ascii="Century Gothic" w:eastAsia="Times New Roman" w:hAnsi="Century Gothic"/>
                <w:color w:val="000000" w:themeColor="text1"/>
                <w:szCs w:val="22"/>
              </w:rPr>
            </w:pPr>
            <w:r w:rsidRPr="006D6566">
              <w:rPr>
                <w:rFonts w:ascii="Century Gothic" w:eastAsia="Times New Roman" w:hAnsi="Century Gothic"/>
                <w:color w:val="000000" w:themeColor="text1"/>
                <w:szCs w:val="22"/>
              </w:rPr>
              <w:t>$155.74</w:t>
            </w:r>
          </w:p>
        </w:tc>
        <w:tc>
          <w:tcPr>
            <w:tcW w:w="1117"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C69CCDF" w14:textId="58E53A9A"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$163.87 </w:t>
            </w:r>
          </w:p>
        </w:tc>
        <w:tc>
          <w:tcPr>
            <w:tcW w:w="12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A00CE5" w14:textId="1A23C370"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$168.65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CD7D90" w14:textId="7EB4700C" w:rsidR="00C855CA" w:rsidRPr="006D6566" w:rsidRDefault="00C855CA" w:rsidP="00C855CA">
            <w:pPr>
              <w:rPr>
                <w:rFonts w:ascii="Century Gothic" w:hAnsi="Century Gothic"/>
                <w:szCs w:val="22"/>
              </w:rPr>
            </w:pPr>
            <w:r w:rsidRPr="006D6566">
              <w:rPr>
                <w:rFonts w:ascii="Century Gothic" w:eastAsia="Times New Roman" w:hAnsi="Century Gothic"/>
                <w:color w:val="000000" w:themeColor="text1"/>
                <w:szCs w:val="22"/>
              </w:rPr>
              <w:t xml:space="preserve"> $133.97 </w:t>
            </w:r>
          </w:p>
        </w:tc>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265F3B" w14:textId="56152E01" w:rsidR="00C855CA" w:rsidRPr="006D6566" w:rsidRDefault="00C855CA" w:rsidP="197B9397">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c>
          <w:tcPr>
            <w:tcW w:w="1076"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05CBB638" w14:textId="51D36156" w:rsidR="00C855CA" w:rsidRPr="006D6566" w:rsidRDefault="00C855CA" w:rsidP="0060673B">
            <w:pPr>
              <w:rPr>
                <w:rFonts w:ascii="Century Gothic" w:hAnsi="Century Gothic"/>
                <w:szCs w:val="22"/>
              </w:rPr>
            </w:pPr>
            <w:r w:rsidRPr="006D6566">
              <w:rPr>
                <w:rFonts w:ascii="Century Gothic" w:eastAsia="Times New Roman" w:hAnsi="Century Gothic"/>
                <w:color w:val="000000" w:themeColor="text1"/>
                <w:szCs w:val="22"/>
              </w:rPr>
              <w:t xml:space="preserve">  No data  </w:t>
            </w:r>
          </w:p>
        </w:tc>
      </w:tr>
      <w:tr w:rsidR="00C855CA" w:rsidRPr="006D6566" w14:paraId="24202C69" w14:textId="77777777" w:rsidTr="00C855CA">
        <w:trPr>
          <w:trHeight w:val="285"/>
        </w:trPr>
        <w:tc>
          <w:tcPr>
            <w:tcW w:w="1364" w:type="dxa"/>
            <w:tcBorders>
              <w:top w:val="single" w:sz="8" w:space="0" w:color="auto"/>
              <w:left w:val="single" w:sz="4" w:space="0" w:color="auto"/>
              <w:bottom w:val="single" w:sz="4" w:space="0" w:color="auto"/>
              <w:right w:val="single" w:sz="8" w:space="0" w:color="auto"/>
            </w:tcBorders>
            <w:vAlign w:val="center"/>
          </w:tcPr>
          <w:p w14:paraId="4975D14A" w14:textId="78BF3F53" w:rsidR="00C855CA" w:rsidRPr="006D6566" w:rsidRDefault="00C855CA" w:rsidP="197B9397">
            <w:pPr>
              <w:rPr>
                <w:rFonts w:ascii="Century Gothic" w:hAnsi="Century Gothic"/>
                <w:szCs w:val="22"/>
              </w:rPr>
            </w:pPr>
            <w:r w:rsidRPr="006D6566">
              <w:rPr>
                <w:rFonts w:ascii="Century Gothic" w:eastAsia="Calibri" w:hAnsi="Century Gothic"/>
                <w:color w:val="000000" w:themeColor="text1"/>
                <w:szCs w:val="22"/>
              </w:rPr>
              <w:t>MILL RIVER</w:t>
            </w:r>
          </w:p>
        </w:tc>
        <w:tc>
          <w:tcPr>
            <w:tcW w:w="1364" w:type="dxa"/>
            <w:tcBorders>
              <w:top w:val="single" w:sz="8" w:space="0" w:color="000000" w:themeColor="text1"/>
              <w:left w:val="single" w:sz="8" w:space="0" w:color="auto"/>
              <w:bottom w:val="single" w:sz="4" w:space="0" w:color="000000" w:themeColor="text1"/>
              <w:right w:val="single" w:sz="8" w:space="0" w:color="auto"/>
            </w:tcBorders>
          </w:tcPr>
          <w:p w14:paraId="07B3621E" w14:textId="3DF52E97" w:rsidR="00C855CA" w:rsidRPr="006D6566" w:rsidRDefault="00C855CA" w:rsidP="662A423E">
            <w:pPr>
              <w:rPr>
                <w:rFonts w:ascii="Century Gothic" w:eastAsia="Times New Roman" w:hAnsi="Century Gothic"/>
                <w:color w:val="000000" w:themeColor="text1"/>
              </w:rPr>
            </w:pPr>
            <w:r w:rsidRPr="006D6566">
              <w:rPr>
                <w:rFonts w:ascii="Century Gothic" w:eastAsia="Times New Roman" w:hAnsi="Century Gothic"/>
                <w:color w:val="000000" w:themeColor="text1"/>
              </w:rPr>
              <w:t>$85.95</w:t>
            </w:r>
          </w:p>
        </w:tc>
        <w:tc>
          <w:tcPr>
            <w:tcW w:w="1364" w:type="dxa"/>
            <w:tcBorders>
              <w:top w:val="single" w:sz="8" w:space="0" w:color="000000" w:themeColor="text1"/>
              <w:left w:val="single" w:sz="8" w:space="0" w:color="auto"/>
              <w:bottom w:val="single" w:sz="4" w:space="0" w:color="000000" w:themeColor="text1"/>
              <w:right w:val="single" w:sz="8" w:space="0" w:color="auto"/>
            </w:tcBorders>
          </w:tcPr>
          <w:p w14:paraId="411CCDB5" w14:textId="7A512BF2" w:rsidR="00C855CA" w:rsidRPr="006D6566" w:rsidRDefault="00C855CA">
            <w:pPr>
              <w:rPr>
                <w:rFonts w:ascii="Century Gothic" w:eastAsia="Times New Roman" w:hAnsi="Century Gothic"/>
                <w:color w:val="000000" w:themeColor="text1"/>
              </w:rPr>
            </w:pPr>
            <w:r w:rsidRPr="006D6566">
              <w:rPr>
                <w:rFonts w:ascii="Century Gothic" w:eastAsia="Times New Roman" w:hAnsi="Century Gothic"/>
                <w:color w:val="000000" w:themeColor="text1"/>
              </w:rPr>
              <w:t xml:space="preserve"> $116.46</w:t>
            </w:r>
          </w:p>
        </w:tc>
        <w:tc>
          <w:tcPr>
            <w:tcW w:w="1218" w:type="dxa"/>
            <w:tcBorders>
              <w:top w:val="single" w:sz="8" w:space="0" w:color="000000" w:themeColor="text1"/>
              <w:left w:val="single" w:sz="8" w:space="0" w:color="auto"/>
              <w:bottom w:val="single" w:sz="4" w:space="0" w:color="000000" w:themeColor="text1"/>
              <w:right w:val="single" w:sz="8" w:space="0" w:color="000000" w:themeColor="text1"/>
            </w:tcBorders>
            <w:vAlign w:val="center"/>
          </w:tcPr>
          <w:p w14:paraId="69E2B4FC" w14:textId="6ADD268D" w:rsidR="00C855CA" w:rsidRPr="006D6566" w:rsidRDefault="00C855CA">
            <w:pPr>
              <w:rPr>
                <w:rFonts w:ascii="Century Gothic" w:eastAsia="MS PGothic" w:hAnsi="Century Gothic"/>
                <w:color w:val="000000" w:themeColor="text1"/>
                <w:szCs w:val="22"/>
              </w:rPr>
            </w:pPr>
            <w:r w:rsidRPr="006D6566">
              <w:rPr>
                <w:rFonts w:ascii="Century Gothic" w:eastAsia="Times New Roman" w:hAnsi="Century Gothic"/>
                <w:color w:val="000000" w:themeColor="text1"/>
                <w:szCs w:val="22"/>
              </w:rPr>
              <w:t>$142.73</w:t>
            </w:r>
          </w:p>
        </w:tc>
        <w:tc>
          <w:tcPr>
            <w:tcW w:w="1117" w:type="dxa"/>
            <w:tcBorders>
              <w:top w:val="single" w:sz="8" w:space="0" w:color="000000" w:themeColor="text1"/>
              <w:left w:val="single" w:sz="8" w:space="0" w:color="auto"/>
              <w:bottom w:val="single" w:sz="4" w:space="0" w:color="000000" w:themeColor="text1"/>
              <w:right w:val="single" w:sz="8" w:space="0" w:color="000000" w:themeColor="text1"/>
            </w:tcBorders>
            <w:vAlign w:val="center"/>
          </w:tcPr>
          <w:p w14:paraId="1E6FB643" w14:textId="2D18E99A" w:rsidR="00C855CA" w:rsidRPr="006D6566" w:rsidRDefault="00C855CA" w:rsidP="197B9397">
            <w:pPr>
              <w:rPr>
                <w:rFonts w:ascii="Century Gothic" w:hAnsi="Century Gothic"/>
                <w:szCs w:val="22"/>
              </w:rPr>
            </w:pPr>
            <w:r w:rsidRPr="006D6566">
              <w:rPr>
                <w:rFonts w:ascii="Century Gothic" w:eastAsia="Calibri" w:hAnsi="Century Gothic" w:cs="Calibri"/>
                <w:color w:val="000000" w:themeColor="text1"/>
                <w:szCs w:val="22"/>
              </w:rPr>
              <w:t xml:space="preserve"> $   67.02 </w:t>
            </w:r>
          </w:p>
        </w:tc>
        <w:tc>
          <w:tcPr>
            <w:tcW w:w="1223"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25E1C962" w14:textId="07EB053C" w:rsidR="00C855CA" w:rsidRPr="006D6566" w:rsidRDefault="00C855CA" w:rsidP="197B9397">
            <w:pPr>
              <w:rPr>
                <w:rFonts w:ascii="Century Gothic" w:hAnsi="Century Gothic"/>
                <w:szCs w:val="22"/>
              </w:rPr>
            </w:pPr>
            <w:r w:rsidRPr="006D6566">
              <w:rPr>
                <w:rFonts w:ascii="Century Gothic" w:eastAsia="Calibri" w:hAnsi="Century Gothic" w:cs="Calibri"/>
                <w:color w:val="000000" w:themeColor="text1"/>
                <w:szCs w:val="22"/>
              </w:rPr>
              <w:t xml:space="preserve"> $58.99 </w:t>
            </w:r>
          </w:p>
        </w:tc>
        <w:tc>
          <w:tcPr>
            <w:tcW w:w="1007"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3E3E2918" w14:textId="35040928" w:rsidR="00C855CA" w:rsidRPr="006D6566" w:rsidRDefault="00C855CA" w:rsidP="00C855CA">
            <w:pPr>
              <w:rPr>
                <w:rFonts w:ascii="Century Gothic" w:hAnsi="Century Gothic"/>
                <w:szCs w:val="22"/>
              </w:rPr>
            </w:pPr>
            <w:r w:rsidRPr="006D6566">
              <w:rPr>
                <w:rFonts w:ascii="Century Gothic" w:eastAsia="Calibri" w:hAnsi="Century Gothic" w:cs="Calibri"/>
                <w:color w:val="000000" w:themeColor="text1"/>
                <w:szCs w:val="22"/>
              </w:rPr>
              <w:t xml:space="preserve"> No data  </w:t>
            </w:r>
          </w:p>
        </w:tc>
        <w:tc>
          <w:tcPr>
            <w:tcW w:w="1128"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36197F5E" w14:textId="58C1BF77" w:rsidR="00C855CA" w:rsidRPr="006D6566" w:rsidRDefault="00C855CA" w:rsidP="197B9397">
            <w:pPr>
              <w:rPr>
                <w:rFonts w:ascii="Century Gothic" w:hAnsi="Century Gothic"/>
                <w:szCs w:val="22"/>
              </w:rPr>
            </w:pPr>
            <w:r w:rsidRPr="006D6566">
              <w:rPr>
                <w:rFonts w:ascii="Century Gothic" w:eastAsia="Calibri" w:hAnsi="Century Gothic" w:cs="Calibri"/>
                <w:color w:val="000000" w:themeColor="text1"/>
                <w:szCs w:val="22"/>
              </w:rPr>
              <w:t xml:space="preserve"> No data  </w:t>
            </w:r>
          </w:p>
        </w:tc>
        <w:tc>
          <w:tcPr>
            <w:tcW w:w="1076" w:type="dxa"/>
            <w:tcBorders>
              <w:top w:val="single" w:sz="8" w:space="0" w:color="000000" w:themeColor="text1"/>
              <w:left w:val="single" w:sz="8" w:space="0" w:color="000000" w:themeColor="text1"/>
              <w:bottom w:val="single" w:sz="4" w:space="0" w:color="000000" w:themeColor="text1"/>
              <w:right w:val="single" w:sz="4" w:space="0" w:color="000000" w:themeColor="text1"/>
            </w:tcBorders>
            <w:vAlign w:val="center"/>
          </w:tcPr>
          <w:p w14:paraId="7A7D1C4D" w14:textId="0C44F93D" w:rsidR="00C855CA" w:rsidRPr="006D6566" w:rsidRDefault="00C855CA" w:rsidP="0060673B">
            <w:pPr>
              <w:rPr>
                <w:rFonts w:ascii="Century Gothic" w:hAnsi="Century Gothic"/>
                <w:szCs w:val="22"/>
              </w:rPr>
            </w:pPr>
            <w:r w:rsidRPr="006D6566">
              <w:rPr>
                <w:rFonts w:ascii="Century Gothic" w:eastAsia="Calibri" w:hAnsi="Century Gothic" w:cs="Calibri"/>
                <w:color w:val="000000" w:themeColor="text1"/>
                <w:szCs w:val="22"/>
              </w:rPr>
              <w:t xml:space="preserve"> No data  </w:t>
            </w:r>
          </w:p>
        </w:tc>
      </w:tr>
      <w:tr w:rsidR="00C855CA" w:rsidRPr="006D6566" w14:paraId="5AFC28F3" w14:textId="77777777" w:rsidTr="00C855CA">
        <w:trPr>
          <w:trHeight w:val="64"/>
        </w:trPr>
        <w:tc>
          <w:tcPr>
            <w:tcW w:w="1364" w:type="dxa"/>
            <w:tcBorders>
              <w:top w:val="single" w:sz="4" w:space="0" w:color="auto"/>
              <w:left w:val="single" w:sz="4" w:space="0" w:color="000000" w:themeColor="text1"/>
              <w:bottom w:val="nil"/>
              <w:right w:val="single" w:sz="8" w:space="0" w:color="000000" w:themeColor="text1"/>
            </w:tcBorders>
            <w:vAlign w:val="center"/>
          </w:tcPr>
          <w:p w14:paraId="2DF6A719" w14:textId="431AE5FD" w:rsidR="00C855CA" w:rsidRPr="006D6566" w:rsidRDefault="00C855CA">
            <w:pPr>
              <w:rPr>
                <w:rFonts w:ascii="Century Gothic" w:eastAsia="Times New Roman" w:hAnsi="Century Gothic"/>
                <w:b/>
                <w:bCs/>
                <w:color w:val="000000" w:themeColor="text1"/>
              </w:rPr>
            </w:pPr>
          </w:p>
          <w:p w14:paraId="237D5432" w14:textId="07D1ACF9" w:rsidR="00C855CA" w:rsidRPr="006D6566" w:rsidRDefault="00C855CA" w:rsidP="4566E4F4">
            <w:pPr>
              <w:rPr>
                <w:rFonts w:ascii="Century Gothic" w:eastAsia="Times New Roman" w:hAnsi="Century Gothic"/>
                <w:b/>
                <w:color w:val="000000" w:themeColor="text1"/>
              </w:rPr>
            </w:pPr>
            <w:r w:rsidRPr="006D6566">
              <w:rPr>
                <w:rFonts w:ascii="Century Gothic" w:eastAsia="Times New Roman" w:hAnsi="Century Gothic"/>
                <w:b/>
                <w:bCs/>
                <w:color w:val="000000" w:themeColor="text1"/>
              </w:rPr>
              <w:t>AVERAGE</w:t>
            </w:r>
          </w:p>
        </w:tc>
        <w:tc>
          <w:tcPr>
            <w:tcW w:w="1364" w:type="dxa"/>
            <w:tcBorders>
              <w:top w:val="single" w:sz="4" w:space="0" w:color="000000" w:themeColor="text1"/>
              <w:left w:val="single" w:sz="8" w:space="0" w:color="000000" w:themeColor="text1"/>
              <w:bottom w:val="nil"/>
              <w:right w:val="single" w:sz="8" w:space="0" w:color="000000" w:themeColor="text1"/>
            </w:tcBorders>
          </w:tcPr>
          <w:p w14:paraId="1C5B9653" w14:textId="77777777" w:rsidR="00C855CA" w:rsidRPr="006D6566" w:rsidRDefault="00C855CA" w:rsidP="662A423E">
            <w:pPr>
              <w:rPr>
                <w:rFonts w:ascii="Century Gothic" w:eastAsia="MS PGothic" w:hAnsi="Century Gothic"/>
                <w:b/>
                <w:bCs/>
                <w:color w:val="000000" w:themeColor="text1"/>
              </w:rPr>
            </w:pPr>
            <w:r w:rsidRPr="006D6566">
              <w:rPr>
                <w:rFonts w:ascii="Century Gothic" w:eastAsia="MS PGothic" w:hAnsi="Century Gothic"/>
                <w:b/>
                <w:bCs/>
                <w:color w:val="000000" w:themeColor="text1"/>
              </w:rPr>
              <w:t xml:space="preserve"> </w:t>
            </w:r>
          </w:p>
          <w:p w14:paraId="0CEA5810" w14:textId="03CAF668" w:rsidR="00C855CA" w:rsidRPr="006D6566" w:rsidRDefault="00C855CA" w:rsidP="662A423E">
            <w:pPr>
              <w:rPr>
                <w:rFonts w:ascii="Century Gothic" w:eastAsia="MS PGothic" w:hAnsi="Century Gothic"/>
                <w:b/>
                <w:bCs/>
                <w:color w:val="000000" w:themeColor="text1"/>
              </w:rPr>
            </w:pPr>
            <w:r w:rsidRPr="006D6566">
              <w:rPr>
                <w:rFonts w:ascii="Century Gothic" w:eastAsia="MS PGothic" w:hAnsi="Century Gothic"/>
                <w:b/>
                <w:bCs/>
                <w:color w:val="000000" w:themeColor="text1"/>
              </w:rPr>
              <w:t>$154.78</w:t>
            </w:r>
          </w:p>
        </w:tc>
        <w:tc>
          <w:tcPr>
            <w:tcW w:w="1364" w:type="dxa"/>
            <w:tcBorders>
              <w:top w:val="single" w:sz="4" w:space="0" w:color="000000" w:themeColor="text1"/>
              <w:left w:val="single" w:sz="8" w:space="0" w:color="000000" w:themeColor="text1"/>
              <w:bottom w:val="nil"/>
              <w:right w:val="single" w:sz="8" w:space="0" w:color="000000" w:themeColor="text1"/>
            </w:tcBorders>
          </w:tcPr>
          <w:p w14:paraId="68821143" w14:textId="62CE8A7C" w:rsidR="00C855CA" w:rsidRPr="006D6566" w:rsidRDefault="00C855CA" w:rsidP="341CC84A">
            <w:pPr>
              <w:rPr>
                <w:rFonts w:ascii="Century Gothic" w:eastAsia="MS PGothic" w:hAnsi="Century Gothic"/>
                <w:b/>
                <w:bCs/>
                <w:color w:val="000000" w:themeColor="text1"/>
              </w:rPr>
            </w:pPr>
          </w:p>
          <w:p w14:paraId="3DDFBF87" w14:textId="49FA6B16" w:rsidR="00C855CA" w:rsidRPr="006D6566" w:rsidRDefault="00C855CA">
            <w:pPr>
              <w:rPr>
                <w:rFonts w:ascii="Century Gothic" w:eastAsia="MS PGothic" w:hAnsi="Century Gothic"/>
                <w:b/>
                <w:bCs/>
                <w:color w:val="000000" w:themeColor="text1"/>
              </w:rPr>
            </w:pPr>
            <w:r w:rsidRPr="006D6566">
              <w:rPr>
                <w:rFonts w:ascii="Century Gothic" w:eastAsia="MS PGothic" w:hAnsi="Century Gothic"/>
                <w:b/>
                <w:bCs/>
                <w:color w:val="000000" w:themeColor="text1"/>
              </w:rPr>
              <w:t>$116.23</w:t>
            </w:r>
          </w:p>
        </w:tc>
        <w:tc>
          <w:tcPr>
            <w:tcW w:w="1218" w:type="dxa"/>
            <w:tcBorders>
              <w:top w:val="single" w:sz="4" w:space="0" w:color="000000" w:themeColor="text1"/>
              <w:left w:val="single" w:sz="8" w:space="0" w:color="000000" w:themeColor="text1"/>
              <w:bottom w:val="nil"/>
              <w:right w:val="nil"/>
            </w:tcBorders>
            <w:vAlign w:val="bottom"/>
          </w:tcPr>
          <w:p w14:paraId="5659B5BD" w14:textId="090C748B" w:rsidR="00C855CA" w:rsidRPr="006D6566" w:rsidRDefault="00C855CA" w:rsidP="4566E4F4">
            <w:pPr>
              <w:rPr>
                <w:rFonts w:ascii="Century Gothic" w:eastAsia="MS PGothic" w:hAnsi="Century Gothic"/>
                <w:b/>
                <w:bCs/>
                <w:color w:val="000000" w:themeColor="text1"/>
                <w:szCs w:val="22"/>
              </w:rPr>
            </w:pPr>
            <w:r w:rsidRPr="006D6566">
              <w:rPr>
                <w:rFonts w:ascii="Century Gothic" w:eastAsia="MS PGothic" w:hAnsi="Century Gothic"/>
                <w:b/>
                <w:bCs/>
                <w:color w:val="000000" w:themeColor="text1"/>
                <w:szCs w:val="22"/>
              </w:rPr>
              <w:t>$135.30</w:t>
            </w:r>
          </w:p>
        </w:tc>
        <w:tc>
          <w:tcPr>
            <w:tcW w:w="1117" w:type="dxa"/>
            <w:tcBorders>
              <w:top w:val="single" w:sz="4" w:space="0" w:color="000000" w:themeColor="text1"/>
              <w:left w:val="single" w:sz="8" w:space="0" w:color="000000" w:themeColor="text1"/>
              <w:bottom w:val="nil"/>
              <w:right w:val="nil"/>
            </w:tcBorders>
            <w:vAlign w:val="bottom"/>
          </w:tcPr>
          <w:p w14:paraId="6919ADE4" w14:textId="7DEFC7F4" w:rsidR="00C855CA" w:rsidRPr="006D6566" w:rsidRDefault="00C855CA" w:rsidP="341CC84A">
            <w:pPr>
              <w:rPr>
                <w:rFonts w:ascii="Century Gothic" w:hAnsi="Century Gothic"/>
                <w:b/>
                <w:bCs/>
              </w:rPr>
            </w:pPr>
            <w:r w:rsidRPr="006D6566">
              <w:rPr>
                <w:rFonts w:ascii="Century Gothic" w:eastAsia="Calibri" w:hAnsi="Century Gothic" w:cs="Calibri"/>
                <w:b/>
                <w:bCs/>
                <w:color w:val="000000" w:themeColor="text1"/>
              </w:rPr>
              <w:t xml:space="preserve"> </w:t>
            </w:r>
          </w:p>
          <w:p w14:paraId="5E3ABF68" w14:textId="6EF0D018" w:rsidR="00C855CA" w:rsidRPr="006D6566" w:rsidRDefault="00C855CA" w:rsidP="341CC84A">
            <w:pPr>
              <w:rPr>
                <w:rFonts w:ascii="Century Gothic" w:hAnsi="Century Gothic"/>
                <w:b/>
                <w:bCs/>
              </w:rPr>
            </w:pPr>
            <w:r w:rsidRPr="006D6566">
              <w:rPr>
                <w:rFonts w:ascii="Century Gothic" w:eastAsia="Calibri" w:hAnsi="Century Gothic" w:cs="Calibri"/>
                <w:b/>
                <w:bCs/>
                <w:color w:val="000000" w:themeColor="text1"/>
              </w:rPr>
              <w:t xml:space="preserve">$ 150.08 </w:t>
            </w:r>
          </w:p>
        </w:tc>
        <w:tc>
          <w:tcPr>
            <w:tcW w:w="1223" w:type="dxa"/>
            <w:tcBorders>
              <w:top w:val="single" w:sz="4" w:space="0" w:color="000000" w:themeColor="text1"/>
              <w:left w:val="nil"/>
              <w:bottom w:val="nil"/>
              <w:right w:val="nil"/>
            </w:tcBorders>
            <w:vAlign w:val="bottom"/>
          </w:tcPr>
          <w:p w14:paraId="26DCF49F" w14:textId="2AF12E63" w:rsidR="00C855CA" w:rsidRPr="006D6566" w:rsidRDefault="00C855CA" w:rsidP="341CC84A">
            <w:pPr>
              <w:rPr>
                <w:rFonts w:ascii="Century Gothic" w:hAnsi="Century Gothic"/>
                <w:b/>
                <w:bCs/>
              </w:rPr>
            </w:pPr>
            <w:r w:rsidRPr="006D6566">
              <w:rPr>
                <w:rFonts w:ascii="Century Gothic" w:eastAsia="Calibri" w:hAnsi="Century Gothic" w:cs="Calibri"/>
                <w:b/>
                <w:bCs/>
                <w:color w:val="000000" w:themeColor="text1"/>
              </w:rPr>
              <w:t xml:space="preserve"> $            131.73</w:t>
            </w:r>
          </w:p>
        </w:tc>
        <w:tc>
          <w:tcPr>
            <w:tcW w:w="1007" w:type="dxa"/>
            <w:tcBorders>
              <w:top w:val="single" w:sz="4" w:space="0" w:color="000000" w:themeColor="text1"/>
              <w:left w:val="nil"/>
              <w:bottom w:val="nil"/>
              <w:right w:val="nil"/>
            </w:tcBorders>
            <w:vAlign w:val="bottom"/>
          </w:tcPr>
          <w:p w14:paraId="1BF32B55" w14:textId="698975D5" w:rsidR="00C855CA" w:rsidRPr="006D6566" w:rsidRDefault="00C855CA" w:rsidP="341CC84A">
            <w:pPr>
              <w:rPr>
                <w:rFonts w:ascii="Century Gothic" w:eastAsia="Calibri" w:hAnsi="Century Gothic" w:cs="Calibri"/>
                <w:b/>
                <w:bCs/>
                <w:color w:val="000000" w:themeColor="text1"/>
              </w:rPr>
            </w:pPr>
            <w:r w:rsidRPr="006D6566">
              <w:rPr>
                <w:rFonts w:ascii="Century Gothic" w:eastAsia="Calibri" w:hAnsi="Century Gothic" w:cs="Calibri"/>
                <w:b/>
                <w:bCs/>
                <w:color w:val="000000" w:themeColor="text1"/>
              </w:rPr>
              <w:t xml:space="preserve"> $        99.82 </w:t>
            </w:r>
          </w:p>
        </w:tc>
        <w:tc>
          <w:tcPr>
            <w:tcW w:w="1128" w:type="dxa"/>
            <w:tcBorders>
              <w:top w:val="single" w:sz="4" w:space="0" w:color="000000" w:themeColor="text1"/>
              <w:left w:val="nil"/>
              <w:bottom w:val="nil"/>
              <w:right w:val="nil"/>
            </w:tcBorders>
            <w:vAlign w:val="bottom"/>
          </w:tcPr>
          <w:p w14:paraId="057C7EFF" w14:textId="23AC2229" w:rsidR="00C855CA" w:rsidRPr="006D6566" w:rsidRDefault="00C855CA" w:rsidP="4566E4F4">
            <w:pPr>
              <w:rPr>
                <w:rFonts w:ascii="Century Gothic" w:hAnsi="Century Gothic"/>
                <w:b/>
                <w:bCs/>
                <w:szCs w:val="22"/>
              </w:rPr>
            </w:pPr>
            <w:r w:rsidRPr="006D6566">
              <w:rPr>
                <w:rFonts w:ascii="Century Gothic" w:eastAsia="Calibri" w:hAnsi="Century Gothic" w:cs="Calibri"/>
                <w:b/>
                <w:bCs/>
                <w:color w:val="000000" w:themeColor="text1"/>
                <w:szCs w:val="22"/>
              </w:rPr>
              <w:t xml:space="preserve"> $          117.09 </w:t>
            </w:r>
          </w:p>
        </w:tc>
        <w:tc>
          <w:tcPr>
            <w:tcW w:w="1076" w:type="dxa"/>
            <w:tcBorders>
              <w:top w:val="single" w:sz="4" w:space="0" w:color="000000" w:themeColor="text1"/>
              <w:left w:val="nil"/>
              <w:bottom w:val="nil"/>
              <w:right w:val="nil"/>
            </w:tcBorders>
            <w:vAlign w:val="bottom"/>
          </w:tcPr>
          <w:p w14:paraId="2BA50F5F" w14:textId="3850B52C" w:rsidR="00C855CA" w:rsidRPr="006D6566" w:rsidRDefault="00C855CA" w:rsidP="4566E4F4">
            <w:pPr>
              <w:rPr>
                <w:rFonts w:ascii="Century Gothic" w:hAnsi="Century Gothic"/>
                <w:b/>
                <w:bCs/>
                <w:szCs w:val="22"/>
              </w:rPr>
            </w:pPr>
            <w:r w:rsidRPr="006D6566">
              <w:rPr>
                <w:rFonts w:ascii="Century Gothic" w:eastAsia="Calibri" w:hAnsi="Century Gothic" w:cs="Calibri"/>
                <w:b/>
                <w:bCs/>
                <w:color w:val="000000" w:themeColor="text1"/>
                <w:szCs w:val="22"/>
              </w:rPr>
              <w:t xml:space="preserve"> $   48.28</w:t>
            </w:r>
          </w:p>
        </w:tc>
      </w:tr>
    </w:tbl>
    <w:p w14:paraId="4553BDF0" w14:textId="44874CE3" w:rsidR="003F5229" w:rsidRPr="00855213" w:rsidRDefault="003F5229" w:rsidP="197B9397">
      <w:pPr>
        <w:rPr>
          <w:rFonts w:ascii="Century Gothic" w:eastAsia="MS PGothic" w:hAnsi="Century Gothic"/>
          <w:b/>
          <w:bCs/>
          <w:szCs w:val="22"/>
        </w:rPr>
      </w:pPr>
    </w:p>
    <w:p w14:paraId="2487A3FC" w14:textId="77777777" w:rsidR="003732EC" w:rsidRPr="00855213" w:rsidRDefault="003732EC" w:rsidP="003732EC">
      <w:pPr>
        <w:rPr>
          <w:rFonts w:ascii="Century Gothic" w:hAnsi="Century Gothic"/>
          <w:b/>
          <w:szCs w:val="22"/>
        </w:rPr>
      </w:pPr>
    </w:p>
    <w:p w14:paraId="02AABB37" w14:textId="77777777" w:rsidR="003732EC" w:rsidRPr="00855213" w:rsidRDefault="003732EC" w:rsidP="003732EC">
      <w:pPr>
        <w:rPr>
          <w:rFonts w:ascii="Century Gothic" w:hAnsi="Century Gothic"/>
          <w:b/>
          <w:szCs w:val="22"/>
        </w:rPr>
      </w:pPr>
    </w:p>
    <w:p w14:paraId="3F8976D8" w14:textId="26A874DB" w:rsidR="003732EC" w:rsidRPr="00855213" w:rsidRDefault="53D0923F" w:rsidP="197B9397">
      <w:pPr>
        <w:rPr>
          <w:rFonts w:ascii="Century Gothic" w:hAnsi="Century Gothic"/>
          <w:b/>
          <w:bCs/>
          <w:szCs w:val="22"/>
        </w:rPr>
      </w:pPr>
      <w:r w:rsidRPr="00855213">
        <w:rPr>
          <w:rFonts w:ascii="Century Gothic" w:hAnsi="Century Gothic"/>
          <w:b/>
          <w:bCs/>
          <w:szCs w:val="22"/>
        </w:rPr>
        <w:t>Gas Consumption: Gas Utility Costs Per Unit Per Month</w:t>
      </w:r>
    </w:p>
    <w:p w14:paraId="4C362539" w14:textId="314B0A67" w:rsidR="003732EC" w:rsidRPr="00855213" w:rsidRDefault="003732EC" w:rsidP="197B9397">
      <w:pPr>
        <w:rPr>
          <w:rFonts w:ascii="Century Gothic" w:hAnsi="Century Gothic"/>
          <w:b/>
          <w:bCs/>
        </w:rPr>
      </w:pPr>
    </w:p>
    <w:tbl>
      <w:tblPr>
        <w:tblW w:w="10801" w:type="dxa"/>
        <w:tblLayout w:type="fixed"/>
        <w:tblLook w:val="04A0" w:firstRow="1" w:lastRow="0" w:firstColumn="1" w:lastColumn="0" w:noHBand="0" w:noVBand="1"/>
      </w:tblPr>
      <w:tblGrid>
        <w:gridCol w:w="1384"/>
        <w:gridCol w:w="1384"/>
        <w:gridCol w:w="1007"/>
        <w:gridCol w:w="1038"/>
        <w:gridCol w:w="1038"/>
        <w:gridCol w:w="1517"/>
        <w:gridCol w:w="1038"/>
        <w:gridCol w:w="958"/>
        <w:gridCol w:w="1437"/>
      </w:tblGrid>
      <w:tr w:rsidR="003F7389" w:rsidRPr="006D6566" w14:paraId="30157705" w14:textId="77777777" w:rsidTr="0E71204A">
        <w:trPr>
          <w:trHeight w:val="570"/>
        </w:trPr>
        <w:tc>
          <w:tcPr>
            <w:tcW w:w="1384" w:type="dxa"/>
            <w:tcBorders>
              <w:top w:val="single" w:sz="4" w:space="0" w:color="auto"/>
              <w:left w:val="single" w:sz="4" w:space="0" w:color="auto"/>
              <w:bottom w:val="single" w:sz="8" w:space="0" w:color="auto"/>
              <w:right w:val="single" w:sz="8" w:space="0" w:color="auto"/>
            </w:tcBorders>
            <w:shd w:val="clear" w:color="auto" w:fill="E6CBDF" w:themeFill="accent5" w:themeFillTint="33"/>
            <w:vAlign w:val="center"/>
          </w:tcPr>
          <w:p w14:paraId="3779CFDE" w14:textId="6841A729" w:rsidR="003F7389" w:rsidRPr="00855213" w:rsidRDefault="003F7389" w:rsidP="197B9397">
            <w:pPr>
              <w:jc w:val="center"/>
              <w:rPr>
                <w:rFonts w:ascii="Century Gothic" w:hAnsi="Century Gothic"/>
                <w:szCs w:val="22"/>
              </w:rPr>
            </w:pPr>
            <w:r w:rsidRPr="00855213">
              <w:rPr>
                <w:rFonts w:ascii="Century Gothic" w:eastAsia="Times New Roman" w:hAnsi="Century Gothic"/>
                <w:b/>
                <w:bCs/>
                <w:color w:val="000000" w:themeColor="text1"/>
                <w:szCs w:val="22"/>
              </w:rPr>
              <w:t>Development</w:t>
            </w:r>
            <w:r w:rsidRPr="00855213">
              <w:rPr>
                <w:rFonts w:ascii="Century Gothic" w:eastAsia="Times New Roman" w:hAnsi="Century Gothic"/>
                <w:color w:val="000000" w:themeColor="text1"/>
                <w:szCs w:val="22"/>
              </w:rPr>
              <w:t xml:space="preserve"> </w:t>
            </w:r>
          </w:p>
        </w:tc>
        <w:tc>
          <w:tcPr>
            <w:tcW w:w="1384" w:type="dxa"/>
            <w:tcBorders>
              <w:top w:val="single" w:sz="4" w:space="0" w:color="000000" w:themeColor="text1"/>
              <w:left w:val="single" w:sz="8" w:space="0" w:color="auto"/>
              <w:bottom w:val="single" w:sz="8" w:space="0" w:color="000000" w:themeColor="text1"/>
              <w:right w:val="single" w:sz="8" w:space="0" w:color="auto"/>
            </w:tcBorders>
            <w:shd w:val="clear" w:color="auto" w:fill="E6CBDF" w:themeFill="accent5" w:themeFillTint="33"/>
          </w:tcPr>
          <w:p w14:paraId="0D7D6D70" w14:textId="7CDACD86" w:rsidR="4D2D83EB" w:rsidRPr="00855213" w:rsidRDefault="4D2D83EB" w:rsidP="662A423E">
            <w:pPr>
              <w:jc w:val="center"/>
              <w:rPr>
                <w:rFonts w:ascii="Century Gothic" w:eastAsia="MS PGothic" w:hAnsi="Century Gothic"/>
                <w:b/>
                <w:bCs/>
                <w:color w:val="000000" w:themeColor="text1"/>
              </w:rPr>
            </w:pPr>
            <w:r w:rsidRPr="00855213">
              <w:rPr>
                <w:rFonts w:ascii="Century Gothic" w:eastAsia="MS PGothic" w:hAnsi="Century Gothic"/>
                <w:b/>
                <w:bCs/>
                <w:color w:val="000000" w:themeColor="text1"/>
              </w:rPr>
              <w:t>FY 2024</w:t>
            </w:r>
          </w:p>
        </w:tc>
        <w:tc>
          <w:tcPr>
            <w:tcW w:w="1007" w:type="dxa"/>
            <w:tcBorders>
              <w:top w:val="single" w:sz="4" w:space="0" w:color="000000" w:themeColor="text1"/>
              <w:left w:val="single" w:sz="8" w:space="0" w:color="auto"/>
              <w:bottom w:val="single" w:sz="8" w:space="0" w:color="000000" w:themeColor="text1"/>
              <w:right w:val="single" w:sz="8" w:space="0" w:color="auto"/>
            </w:tcBorders>
            <w:shd w:val="clear" w:color="auto" w:fill="E6CBDF" w:themeFill="accent5" w:themeFillTint="33"/>
          </w:tcPr>
          <w:p w14:paraId="0FA20E1D" w14:textId="53B20FB6" w:rsidR="003F7389" w:rsidRPr="00855213" w:rsidRDefault="00C27F5E" w:rsidP="1B3F2E6D">
            <w:pPr>
              <w:jc w:val="center"/>
              <w:rPr>
                <w:rFonts w:ascii="Century Gothic" w:eastAsia="MS PGothic" w:hAnsi="Century Gothic"/>
                <w:b/>
                <w:bCs/>
                <w:color w:val="000000" w:themeColor="text1"/>
                <w:szCs w:val="22"/>
              </w:rPr>
            </w:pPr>
            <w:r w:rsidRPr="00855213">
              <w:rPr>
                <w:rFonts w:ascii="Century Gothic" w:eastAsia="MS PGothic" w:hAnsi="Century Gothic"/>
                <w:b/>
                <w:bCs/>
                <w:color w:val="000000" w:themeColor="text1"/>
                <w:szCs w:val="22"/>
              </w:rPr>
              <w:t xml:space="preserve">                </w:t>
            </w:r>
            <w:r w:rsidR="003F7389" w:rsidRPr="00855213">
              <w:rPr>
                <w:rFonts w:ascii="Century Gothic" w:eastAsia="MS PGothic" w:hAnsi="Century Gothic"/>
                <w:b/>
                <w:bCs/>
                <w:color w:val="000000" w:themeColor="text1"/>
                <w:szCs w:val="22"/>
              </w:rPr>
              <w:t>FY 2023</w:t>
            </w:r>
          </w:p>
        </w:tc>
        <w:tc>
          <w:tcPr>
            <w:tcW w:w="1038"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E6CBDF" w:themeFill="accent5" w:themeFillTint="33"/>
            <w:vAlign w:val="center"/>
          </w:tcPr>
          <w:p w14:paraId="420C467D" w14:textId="522FD242" w:rsidR="003F7389" w:rsidRPr="00855213" w:rsidRDefault="003F7389" w:rsidP="1B3F2E6D">
            <w:pPr>
              <w:jc w:val="center"/>
              <w:rPr>
                <w:rFonts w:ascii="Century Gothic" w:eastAsia="MS PGothic" w:hAnsi="Century Gothic"/>
                <w:b/>
                <w:bCs/>
                <w:color w:val="000000" w:themeColor="text1"/>
                <w:szCs w:val="22"/>
              </w:rPr>
            </w:pPr>
            <w:r w:rsidRPr="00855213">
              <w:rPr>
                <w:rFonts w:ascii="Century Gothic" w:eastAsia="MS PGothic" w:hAnsi="Century Gothic"/>
                <w:b/>
                <w:bCs/>
                <w:color w:val="000000" w:themeColor="text1"/>
                <w:szCs w:val="22"/>
              </w:rPr>
              <w:t>FY 2022</w:t>
            </w:r>
          </w:p>
        </w:tc>
        <w:tc>
          <w:tcPr>
            <w:tcW w:w="1038"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E6CBDF" w:themeFill="accent5" w:themeFillTint="33"/>
            <w:vAlign w:val="center"/>
          </w:tcPr>
          <w:p w14:paraId="28F81071" w14:textId="4881DDCE" w:rsidR="003F7389" w:rsidRPr="00855213" w:rsidRDefault="003F7389" w:rsidP="197B9397">
            <w:pPr>
              <w:jc w:val="center"/>
              <w:rPr>
                <w:rFonts w:ascii="Century Gothic" w:hAnsi="Century Gothic"/>
                <w:szCs w:val="22"/>
              </w:rPr>
            </w:pPr>
            <w:r w:rsidRPr="00855213">
              <w:rPr>
                <w:rFonts w:ascii="Century Gothic" w:eastAsia="Times New Roman" w:hAnsi="Century Gothic"/>
                <w:b/>
                <w:bCs/>
                <w:color w:val="000000" w:themeColor="text1"/>
                <w:szCs w:val="22"/>
              </w:rPr>
              <w:t>FY2021</w:t>
            </w:r>
            <w:r w:rsidRPr="00855213">
              <w:rPr>
                <w:rFonts w:ascii="Century Gothic" w:eastAsia="Times New Roman" w:hAnsi="Century Gothic"/>
                <w:color w:val="000000" w:themeColor="text1"/>
                <w:szCs w:val="22"/>
              </w:rPr>
              <w:t xml:space="preserve"> </w:t>
            </w:r>
          </w:p>
        </w:tc>
        <w:tc>
          <w:tcPr>
            <w:tcW w:w="1517"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E6CBDF" w:themeFill="accent5" w:themeFillTint="33"/>
            <w:vAlign w:val="center"/>
          </w:tcPr>
          <w:p w14:paraId="6F57E4C9" w14:textId="3C999418" w:rsidR="003F7389" w:rsidRPr="00855213" w:rsidRDefault="003F7389" w:rsidP="197B9397">
            <w:pPr>
              <w:jc w:val="center"/>
              <w:rPr>
                <w:rFonts w:ascii="Century Gothic" w:hAnsi="Century Gothic"/>
                <w:szCs w:val="22"/>
              </w:rPr>
            </w:pPr>
            <w:r w:rsidRPr="00855213">
              <w:rPr>
                <w:rFonts w:ascii="Century Gothic" w:eastAsia="Calibri" w:hAnsi="Century Gothic"/>
                <w:b/>
                <w:bCs/>
                <w:color w:val="000000" w:themeColor="text1"/>
                <w:szCs w:val="22"/>
              </w:rPr>
              <w:t>FY 2020</w:t>
            </w:r>
            <w:r w:rsidRPr="00855213">
              <w:rPr>
                <w:rFonts w:ascii="Century Gothic" w:eastAsia="Calibri" w:hAnsi="Century Gothic"/>
                <w:color w:val="000000" w:themeColor="text1"/>
                <w:szCs w:val="22"/>
              </w:rPr>
              <w:t xml:space="preserve"> </w:t>
            </w:r>
          </w:p>
        </w:tc>
        <w:tc>
          <w:tcPr>
            <w:tcW w:w="1038" w:type="dxa"/>
            <w:tcBorders>
              <w:top w:val="single" w:sz="4" w:space="0" w:color="000000" w:themeColor="text1"/>
              <w:left w:val="single" w:sz="8" w:space="0" w:color="000000" w:themeColor="text1"/>
              <w:bottom w:val="single" w:sz="8" w:space="0" w:color="000000" w:themeColor="text1"/>
              <w:right w:val="nil"/>
            </w:tcBorders>
            <w:shd w:val="clear" w:color="auto" w:fill="E6CBDF" w:themeFill="accent5" w:themeFillTint="33"/>
            <w:vAlign w:val="center"/>
          </w:tcPr>
          <w:p w14:paraId="3E5C62BF" w14:textId="5F3165F5" w:rsidR="003F7389" w:rsidRPr="00855213" w:rsidRDefault="003F7389" w:rsidP="197B9397">
            <w:pPr>
              <w:jc w:val="center"/>
              <w:rPr>
                <w:rFonts w:ascii="Century Gothic" w:hAnsi="Century Gothic"/>
                <w:szCs w:val="22"/>
              </w:rPr>
            </w:pPr>
            <w:r w:rsidRPr="00855213">
              <w:rPr>
                <w:rFonts w:ascii="Century Gothic" w:eastAsia="Times New Roman" w:hAnsi="Century Gothic"/>
                <w:b/>
                <w:bCs/>
                <w:color w:val="000000" w:themeColor="text1"/>
                <w:szCs w:val="22"/>
              </w:rPr>
              <w:t>FY2019</w:t>
            </w:r>
            <w:r w:rsidRPr="00855213">
              <w:rPr>
                <w:rFonts w:ascii="Century Gothic" w:eastAsia="Times New Roman" w:hAnsi="Century Gothic"/>
                <w:color w:val="000000" w:themeColor="text1"/>
                <w:szCs w:val="22"/>
              </w:rPr>
              <w:t xml:space="preserve"> </w:t>
            </w:r>
          </w:p>
        </w:tc>
        <w:tc>
          <w:tcPr>
            <w:tcW w:w="958" w:type="dxa"/>
            <w:tcBorders>
              <w:top w:val="single" w:sz="4" w:space="0" w:color="000000" w:themeColor="text1"/>
              <w:left w:val="nil"/>
              <w:bottom w:val="single" w:sz="8" w:space="0" w:color="000000" w:themeColor="text1"/>
              <w:right w:val="single" w:sz="8" w:space="0" w:color="000000" w:themeColor="text1"/>
            </w:tcBorders>
            <w:shd w:val="clear" w:color="auto" w:fill="E6CBDF" w:themeFill="accent5" w:themeFillTint="33"/>
            <w:vAlign w:val="center"/>
          </w:tcPr>
          <w:p w14:paraId="57BE3F10" w14:textId="6255B168" w:rsidR="003F7389" w:rsidRPr="00855213" w:rsidRDefault="003F7389" w:rsidP="197B9397">
            <w:pPr>
              <w:jc w:val="center"/>
              <w:rPr>
                <w:rFonts w:ascii="Century Gothic" w:hAnsi="Century Gothic"/>
                <w:szCs w:val="22"/>
              </w:rPr>
            </w:pPr>
            <w:r w:rsidRPr="00855213">
              <w:rPr>
                <w:rFonts w:ascii="Century Gothic" w:eastAsia="Times New Roman" w:hAnsi="Century Gothic"/>
                <w:b/>
                <w:bCs/>
                <w:color w:val="000000" w:themeColor="text1"/>
                <w:szCs w:val="22"/>
              </w:rPr>
              <w:t>FY 2017</w:t>
            </w:r>
            <w:r w:rsidRPr="00855213">
              <w:rPr>
                <w:rFonts w:ascii="Century Gothic" w:eastAsia="Times New Roman" w:hAnsi="Century Gothic"/>
                <w:color w:val="000000" w:themeColor="text1"/>
                <w:szCs w:val="22"/>
              </w:rPr>
              <w:t xml:space="preserve"> </w:t>
            </w:r>
          </w:p>
        </w:tc>
        <w:tc>
          <w:tcPr>
            <w:tcW w:w="1437"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E6CBDF" w:themeFill="accent5" w:themeFillTint="33"/>
            <w:vAlign w:val="center"/>
          </w:tcPr>
          <w:p w14:paraId="38A76163" w14:textId="7305423C" w:rsidR="003F7389" w:rsidRPr="00855213" w:rsidRDefault="003F7389" w:rsidP="197B9397">
            <w:pPr>
              <w:jc w:val="center"/>
              <w:rPr>
                <w:rFonts w:ascii="Century Gothic" w:hAnsi="Century Gothic"/>
                <w:szCs w:val="22"/>
              </w:rPr>
            </w:pPr>
            <w:r w:rsidRPr="00855213">
              <w:rPr>
                <w:rFonts w:ascii="Century Gothic" w:eastAsia="Times New Roman" w:hAnsi="Century Gothic"/>
                <w:b/>
                <w:bCs/>
                <w:color w:val="000000" w:themeColor="text1"/>
                <w:szCs w:val="22"/>
              </w:rPr>
              <w:t>FY 2016</w:t>
            </w:r>
            <w:r w:rsidRPr="00855213">
              <w:rPr>
                <w:rFonts w:ascii="Century Gothic" w:eastAsia="Times New Roman" w:hAnsi="Century Gothic"/>
                <w:color w:val="000000" w:themeColor="text1"/>
                <w:szCs w:val="22"/>
              </w:rPr>
              <w:t xml:space="preserve"> </w:t>
            </w:r>
          </w:p>
        </w:tc>
      </w:tr>
      <w:tr w:rsidR="003F7389" w:rsidRPr="006D6566" w14:paraId="79311B6E" w14:textId="77777777" w:rsidTr="0E71204A">
        <w:trPr>
          <w:trHeight w:val="300"/>
        </w:trPr>
        <w:tc>
          <w:tcPr>
            <w:tcW w:w="1384" w:type="dxa"/>
            <w:tcBorders>
              <w:top w:val="single" w:sz="8" w:space="0" w:color="auto"/>
              <w:left w:val="single" w:sz="4" w:space="0" w:color="auto"/>
              <w:bottom w:val="single" w:sz="8" w:space="0" w:color="auto"/>
              <w:right w:val="single" w:sz="8" w:space="0" w:color="auto"/>
            </w:tcBorders>
            <w:vAlign w:val="center"/>
          </w:tcPr>
          <w:p w14:paraId="17F15F81" w14:textId="4A77950A"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Eastview I </w:t>
            </w:r>
          </w:p>
        </w:tc>
        <w:tc>
          <w:tcPr>
            <w:tcW w:w="1384" w:type="dxa"/>
            <w:tcBorders>
              <w:top w:val="single" w:sz="8" w:space="0" w:color="000000" w:themeColor="text1"/>
              <w:left w:val="single" w:sz="8" w:space="0" w:color="auto"/>
              <w:bottom w:val="single" w:sz="8" w:space="0" w:color="000000" w:themeColor="text1"/>
              <w:right w:val="single" w:sz="8" w:space="0" w:color="auto"/>
            </w:tcBorders>
          </w:tcPr>
          <w:p w14:paraId="29F4A02F" w14:textId="03F3B86B" w:rsidR="6ACA823B" w:rsidRPr="00855213" w:rsidRDefault="6ACA823B"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NO data</w:t>
            </w:r>
          </w:p>
        </w:tc>
        <w:tc>
          <w:tcPr>
            <w:tcW w:w="1007" w:type="dxa"/>
            <w:tcBorders>
              <w:top w:val="single" w:sz="8" w:space="0" w:color="000000" w:themeColor="text1"/>
              <w:left w:val="single" w:sz="8" w:space="0" w:color="auto"/>
              <w:bottom w:val="single" w:sz="8" w:space="0" w:color="000000" w:themeColor="text1"/>
              <w:right w:val="single" w:sz="8" w:space="0" w:color="auto"/>
            </w:tcBorders>
          </w:tcPr>
          <w:p w14:paraId="54DBBBC9" w14:textId="4919EF1D" w:rsidR="003F7389" w:rsidRPr="00855213" w:rsidRDefault="00310E4D">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No data</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6BC3ED9A" w14:textId="570423BC" w:rsidR="003F7389" w:rsidRPr="00855213" w:rsidRDefault="003F7389">
            <w:pPr>
              <w:rPr>
                <w:rFonts w:ascii="Century Gothic" w:eastAsia="MS PGothic" w:hAnsi="Century Gothic"/>
                <w:color w:val="000000" w:themeColor="text1"/>
                <w:szCs w:val="22"/>
              </w:rPr>
            </w:pPr>
            <w:r w:rsidRPr="00855213">
              <w:rPr>
                <w:rFonts w:ascii="Century Gothic" w:eastAsia="Times New Roman" w:hAnsi="Century Gothic"/>
                <w:color w:val="000000" w:themeColor="text1"/>
                <w:szCs w:val="22"/>
              </w:rPr>
              <w:t>$51.59</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018B505" w14:textId="7CD82B84"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 $ 11.42 </w:t>
            </w:r>
          </w:p>
        </w:tc>
        <w:tc>
          <w:tcPr>
            <w:tcW w:w="15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4B2DE4" w14:textId="2C302BC0"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11.26 </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6EFA96" w14:textId="14F5BBED"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11.03 </w:t>
            </w:r>
          </w:p>
        </w:tc>
        <w:tc>
          <w:tcPr>
            <w:tcW w:w="9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9F548D" w14:textId="7BC5AD84"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11.99 </w:t>
            </w:r>
          </w:p>
        </w:tc>
        <w:tc>
          <w:tcPr>
            <w:tcW w:w="14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676E6A" w14:textId="79DF6739" w:rsidR="003F7389" w:rsidRPr="00855213" w:rsidRDefault="003F7389" w:rsidP="197B9397">
            <w:pPr>
              <w:jc w:val="right"/>
              <w:rPr>
                <w:rFonts w:ascii="Century Gothic" w:hAnsi="Century Gothic"/>
                <w:szCs w:val="22"/>
              </w:rPr>
            </w:pPr>
            <w:r w:rsidRPr="00855213">
              <w:rPr>
                <w:rFonts w:ascii="Century Gothic" w:eastAsia="Times New Roman" w:hAnsi="Century Gothic"/>
                <w:color w:val="000000" w:themeColor="text1"/>
                <w:szCs w:val="22"/>
              </w:rPr>
              <w:t xml:space="preserve"> $    7.00 </w:t>
            </w:r>
          </w:p>
        </w:tc>
      </w:tr>
      <w:tr w:rsidR="003F7389" w:rsidRPr="006D6566" w14:paraId="6AD6D248" w14:textId="77777777" w:rsidTr="0E71204A">
        <w:trPr>
          <w:trHeight w:val="300"/>
        </w:trPr>
        <w:tc>
          <w:tcPr>
            <w:tcW w:w="1384" w:type="dxa"/>
            <w:tcBorders>
              <w:top w:val="single" w:sz="8" w:space="0" w:color="auto"/>
              <w:left w:val="single" w:sz="4" w:space="0" w:color="auto"/>
              <w:bottom w:val="single" w:sz="8" w:space="0" w:color="auto"/>
              <w:right w:val="single" w:sz="8" w:space="0" w:color="auto"/>
            </w:tcBorders>
            <w:vAlign w:val="center"/>
          </w:tcPr>
          <w:p w14:paraId="6FF604E7" w14:textId="4C7F9393"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Fair Haven </w:t>
            </w:r>
          </w:p>
        </w:tc>
        <w:tc>
          <w:tcPr>
            <w:tcW w:w="1384" w:type="dxa"/>
            <w:tcBorders>
              <w:top w:val="single" w:sz="8" w:space="0" w:color="000000" w:themeColor="text1"/>
              <w:left w:val="single" w:sz="8" w:space="0" w:color="auto"/>
              <w:bottom w:val="single" w:sz="8" w:space="0" w:color="000000" w:themeColor="text1"/>
              <w:right w:val="single" w:sz="8" w:space="0" w:color="auto"/>
            </w:tcBorders>
          </w:tcPr>
          <w:p w14:paraId="4C38F980" w14:textId="79867A60" w:rsidR="61FB4146" w:rsidRPr="00855213" w:rsidRDefault="61FB4146"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$21.46</w:t>
            </w:r>
          </w:p>
        </w:tc>
        <w:tc>
          <w:tcPr>
            <w:tcW w:w="1007" w:type="dxa"/>
            <w:tcBorders>
              <w:top w:val="single" w:sz="8" w:space="0" w:color="000000" w:themeColor="text1"/>
              <w:left w:val="single" w:sz="8" w:space="0" w:color="auto"/>
              <w:bottom w:val="single" w:sz="8" w:space="0" w:color="000000" w:themeColor="text1"/>
              <w:right w:val="single" w:sz="8" w:space="0" w:color="auto"/>
            </w:tcBorders>
          </w:tcPr>
          <w:p w14:paraId="3C287253" w14:textId="49AE340F" w:rsidR="003F7389" w:rsidRPr="00855213" w:rsidRDefault="19A6F694"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$24.64</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9AF77DE" w14:textId="0CBFFBB8" w:rsidR="003F7389" w:rsidRPr="00855213" w:rsidRDefault="003F7389"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$29.30</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2AFCF7B" w14:textId="11D7AA7A"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 $ 18.83 </w:t>
            </w:r>
          </w:p>
        </w:tc>
        <w:tc>
          <w:tcPr>
            <w:tcW w:w="15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57E204" w14:textId="02028F05"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25.70 </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E56AD1" w14:textId="1DC3D6E7"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14.84 </w:t>
            </w:r>
          </w:p>
        </w:tc>
        <w:tc>
          <w:tcPr>
            <w:tcW w:w="9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2570F1" w14:textId="5B91F902"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31.17 </w:t>
            </w:r>
          </w:p>
        </w:tc>
        <w:tc>
          <w:tcPr>
            <w:tcW w:w="14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E15AB2" w14:textId="13A05208" w:rsidR="003F7389" w:rsidRPr="00855213" w:rsidRDefault="003F7389" w:rsidP="197B9397">
            <w:pPr>
              <w:jc w:val="right"/>
              <w:rPr>
                <w:rFonts w:ascii="Century Gothic" w:hAnsi="Century Gothic"/>
                <w:szCs w:val="22"/>
              </w:rPr>
            </w:pPr>
            <w:r w:rsidRPr="00855213">
              <w:rPr>
                <w:rFonts w:ascii="Century Gothic" w:eastAsia="Times New Roman" w:hAnsi="Century Gothic"/>
                <w:color w:val="000000" w:themeColor="text1"/>
                <w:szCs w:val="22"/>
              </w:rPr>
              <w:t xml:space="preserve"> No data  </w:t>
            </w:r>
          </w:p>
        </w:tc>
      </w:tr>
      <w:tr w:rsidR="003F7389" w:rsidRPr="006D6566" w14:paraId="5138DF86" w14:textId="77777777" w:rsidTr="0E71204A">
        <w:trPr>
          <w:trHeight w:val="300"/>
        </w:trPr>
        <w:tc>
          <w:tcPr>
            <w:tcW w:w="1384" w:type="dxa"/>
            <w:tcBorders>
              <w:top w:val="single" w:sz="8" w:space="0" w:color="auto"/>
              <w:left w:val="single" w:sz="4" w:space="0" w:color="auto"/>
              <w:bottom w:val="single" w:sz="8" w:space="0" w:color="auto"/>
              <w:right w:val="single" w:sz="8" w:space="0" w:color="auto"/>
            </w:tcBorders>
            <w:vAlign w:val="center"/>
          </w:tcPr>
          <w:p w14:paraId="5373D98B" w14:textId="18ACD3AC"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Quinnipiac II </w:t>
            </w:r>
          </w:p>
        </w:tc>
        <w:tc>
          <w:tcPr>
            <w:tcW w:w="1384" w:type="dxa"/>
            <w:tcBorders>
              <w:top w:val="single" w:sz="8" w:space="0" w:color="000000" w:themeColor="text1"/>
              <w:left w:val="single" w:sz="8" w:space="0" w:color="auto"/>
              <w:bottom w:val="single" w:sz="8" w:space="0" w:color="000000" w:themeColor="text1"/>
              <w:right w:val="single" w:sz="8" w:space="0" w:color="auto"/>
            </w:tcBorders>
          </w:tcPr>
          <w:p w14:paraId="74B48A18" w14:textId="7C9E752F" w:rsidR="29142D4E" w:rsidRPr="00855213" w:rsidRDefault="29142D4E"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w:t>
            </w:r>
            <w:r w:rsidR="67859746" w:rsidRPr="00855213">
              <w:rPr>
                <w:rFonts w:ascii="Century Gothic" w:eastAsia="Times New Roman" w:hAnsi="Century Gothic"/>
                <w:color w:val="000000" w:themeColor="text1"/>
              </w:rPr>
              <w:t>7.72</w:t>
            </w:r>
          </w:p>
        </w:tc>
        <w:tc>
          <w:tcPr>
            <w:tcW w:w="1007" w:type="dxa"/>
            <w:tcBorders>
              <w:top w:val="single" w:sz="8" w:space="0" w:color="000000" w:themeColor="text1"/>
              <w:left w:val="single" w:sz="8" w:space="0" w:color="auto"/>
              <w:bottom w:val="single" w:sz="8" w:space="0" w:color="000000" w:themeColor="text1"/>
              <w:right w:val="single" w:sz="8" w:space="0" w:color="auto"/>
            </w:tcBorders>
          </w:tcPr>
          <w:p w14:paraId="5763A8A1" w14:textId="5CA95246" w:rsidR="003F7389" w:rsidRPr="00855213" w:rsidRDefault="7CBFC66E" w:rsidP="46316ACA">
            <w:pPr>
              <w:rPr>
                <w:rFonts w:ascii="Century Gothic" w:eastAsia="Times New Roman" w:hAnsi="Century Gothic"/>
                <w:color w:val="000000" w:themeColor="text1"/>
              </w:rPr>
            </w:pPr>
            <w:r w:rsidRPr="00855213">
              <w:rPr>
                <w:rFonts w:ascii="Century Gothic" w:eastAsia="Times New Roman" w:hAnsi="Century Gothic"/>
                <w:color w:val="000000" w:themeColor="text1"/>
              </w:rPr>
              <w:t>$10.53</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3C0437EB" w14:textId="76B6A1A2" w:rsidR="003F7389" w:rsidRPr="00855213" w:rsidRDefault="003F7389"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$161.55</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0955355" w14:textId="66339BEC" w:rsidR="003F7389" w:rsidRPr="00855213" w:rsidRDefault="003F7389" w:rsidP="2A137AEF">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 xml:space="preserve"> $222.08</w:t>
            </w:r>
          </w:p>
        </w:tc>
        <w:tc>
          <w:tcPr>
            <w:tcW w:w="15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817803" w14:textId="04C142A6"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$53.84</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8C1EFA" w14:textId="1BB552E2" w:rsidR="003F7389" w:rsidRPr="00855213" w:rsidRDefault="003F7389" w:rsidP="655A2699">
            <w:pPr>
              <w:jc w:val="center"/>
              <w:rPr>
                <w:rFonts w:ascii="Century Gothic" w:eastAsia="Calibri" w:hAnsi="Century Gothic"/>
                <w:color w:val="000000" w:themeColor="text1"/>
                <w:szCs w:val="22"/>
              </w:rPr>
            </w:pPr>
            <w:r w:rsidRPr="00855213">
              <w:rPr>
                <w:rFonts w:ascii="Century Gothic" w:eastAsia="Calibri" w:hAnsi="Century Gothic"/>
                <w:color w:val="000000" w:themeColor="text1"/>
                <w:szCs w:val="22"/>
              </w:rPr>
              <w:t xml:space="preserve">    $36.47</w:t>
            </w:r>
          </w:p>
        </w:tc>
        <w:tc>
          <w:tcPr>
            <w:tcW w:w="9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0096A8" w14:textId="22D7E89E" w:rsidR="003F7389" w:rsidRPr="00855213" w:rsidRDefault="003F7389" w:rsidP="2A137AEF">
            <w:pPr>
              <w:jc w:val="center"/>
              <w:rPr>
                <w:rFonts w:ascii="Century Gothic" w:eastAsia="MS PGothic" w:hAnsi="Century Gothic"/>
                <w:szCs w:val="22"/>
              </w:rPr>
            </w:pPr>
            <w:r w:rsidRPr="00855213">
              <w:rPr>
                <w:rFonts w:ascii="Century Gothic" w:eastAsia="Calibri" w:hAnsi="Century Gothic"/>
                <w:color w:val="000000" w:themeColor="text1"/>
                <w:szCs w:val="22"/>
              </w:rPr>
              <w:t>$98.02</w:t>
            </w:r>
          </w:p>
        </w:tc>
        <w:tc>
          <w:tcPr>
            <w:tcW w:w="14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344AA6" w14:textId="60CC2CD7" w:rsidR="003F7389" w:rsidRPr="00855213" w:rsidRDefault="003F7389" w:rsidP="2A137AEF">
            <w:pPr>
              <w:jc w:val="right"/>
              <w:rPr>
                <w:rFonts w:ascii="Century Gothic" w:eastAsia="MS PGothic" w:hAnsi="Century Gothic"/>
                <w:szCs w:val="22"/>
              </w:rPr>
            </w:pPr>
            <w:r w:rsidRPr="00855213">
              <w:rPr>
                <w:rFonts w:ascii="Century Gothic" w:eastAsia="Times New Roman" w:hAnsi="Century Gothic"/>
                <w:color w:val="000000" w:themeColor="text1"/>
                <w:szCs w:val="22"/>
              </w:rPr>
              <w:t>$57.54</w:t>
            </w:r>
          </w:p>
        </w:tc>
      </w:tr>
      <w:tr w:rsidR="003F7389" w:rsidRPr="006D6566" w14:paraId="028A0673" w14:textId="77777777" w:rsidTr="0E71204A">
        <w:trPr>
          <w:trHeight w:val="300"/>
        </w:trPr>
        <w:tc>
          <w:tcPr>
            <w:tcW w:w="1384" w:type="dxa"/>
            <w:tcBorders>
              <w:top w:val="single" w:sz="8" w:space="0" w:color="auto"/>
              <w:left w:val="single" w:sz="4" w:space="0" w:color="auto"/>
              <w:bottom w:val="single" w:sz="8" w:space="0" w:color="auto"/>
              <w:right w:val="single" w:sz="8" w:space="0" w:color="auto"/>
            </w:tcBorders>
            <w:vAlign w:val="center"/>
          </w:tcPr>
          <w:p w14:paraId="1770CD87" w14:textId="7C29E513" w:rsidR="003F7389" w:rsidRPr="00855213" w:rsidRDefault="19A6F694" w:rsidP="197B9397">
            <w:pPr>
              <w:rPr>
                <w:rFonts w:ascii="Century Gothic" w:hAnsi="Century Gothic"/>
                <w:szCs w:val="22"/>
              </w:rPr>
            </w:pPr>
            <w:proofErr w:type="spellStart"/>
            <w:r w:rsidRPr="00855213">
              <w:rPr>
                <w:rFonts w:ascii="Century Gothic" w:eastAsia="Times New Roman" w:hAnsi="Century Gothic"/>
                <w:color w:val="000000" w:themeColor="text1"/>
                <w:szCs w:val="22"/>
              </w:rPr>
              <w:lastRenderedPageBreak/>
              <w:t>Ribicoff</w:t>
            </w:r>
            <w:proofErr w:type="spellEnd"/>
            <w:r w:rsidRPr="00855213">
              <w:rPr>
                <w:rFonts w:ascii="Century Gothic" w:eastAsia="Times New Roman" w:hAnsi="Century Gothic"/>
                <w:color w:val="000000" w:themeColor="text1"/>
                <w:szCs w:val="22"/>
              </w:rPr>
              <w:t xml:space="preserve"> 4% </w:t>
            </w:r>
          </w:p>
        </w:tc>
        <w:tc>
          <w:tcPr>
            <w:tcW w:w="1384" w:type="dxa"/>
            <w:tcBorders>
              <w:top w:val="single" w:sz="8" w:space="0" w:color="000000" w:themeColor="text1"/>
              <w:left w:val="single" w:sz="8" w:space="0" w:color="auto"/>
              <w:bottom w:val="single" w:sz="8" w:space="0" w:color="000000" w:themeColor="text1"/>
              <w:right w:val="single" w:sz="8" w:space="0" w:color="auto"/>
            </w:tcBorders>
          </w:tcPr>
          <w:p w14:paraId="085CAB02" w14:textId="1BEAC966" w:rsidR="13605B0E" w:rsidRPr="00855213" w:rsidRDefault="13605B0E"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$26.92</w:t>
            </w:r>
          </w:p>
        </w:tc>
        <w:tc>
          <w:tcPr>
            <w:tcW w:w="1007" w:type="dxa"/>
            <w:tcBorders>
              <w:top w:val="single" w:sz="8" w:space="0" w:color="000000" w:themeColor="text1"/>
              <w:left w:val="single" w:sz="8" w:space="0" w:color="auto"/>
              <w:bottom w:val="single" w:sz="8" w:space="0" w:color="000000" w:themeColor="text1"/>
              <w:right w:val="single" w:sz="8" w:space="0" w:color="auto"/>
            </w:tcBorders>
          </w:tcPr>
          <w:p w14:paraId="7EB14DC0" w14:textId="45AC4E50" w:rsidR="003F7389" w:rsidRPr="00855213" w:rsidRDefault="19A6F694"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$27.16</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CD2C86D" w14:textId="25490E2B" w:rsidR="003F7389" w:rsidRPr="00855213" w:rsidRDefault="003F7389"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$31.70</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E7CAC5F" w14:textId="64CD18BB"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 $ 24.59 </w:t>
            </w:r>
          </w:p>
        </w:tc>
        <w:tc>
          <w:tcPr>
            <w:tcW w:w="15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A81261" w14:textId="1A73E16D"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23.46 </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83A908" w14:textId="7AAB490C"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15.55 </w:t>
            </w:r>
          </w:p>
        </w:tc>
        <w:tc>
          <w:tcPr>
            <w:tcW w:w="9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21236D" w14:textId="10AD5FCC"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13.28 </w:t>
            </w:r>
          </w:p>
        </w:tc>
        <w:tc>
          <w:tcPr>
            <w:tcW w:w="14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A4F071" w14:textId="7E7E5D69" w:rsidR="003F7389" w:rsidRPr="00855213" w:rsidRDefault="003F7389" w:rsidP="197B9397">
            <w:pPr>
              <w:jc w:val="right"/>
              <w:rPr>
                <w:rFonts w:ascii="Century Gothic" w:hAnsi="Century Gothic"/>
                <w:szCs w:val="22"/>
              </w:rPr>
            </w:pPr>
            <w:r w:rsidRPr="00855213">
              <w:rPr>
                <w:rFonts w:ascii="Century Gothic" w:eastAsia="Times New Roman" w:hAnsi="Century Gothic"/>
                <w:color w:val="000000" w:themeColor="text1"/>
                <w:szCs w:val="22"/>
              </w:rPr>
              <w:t xml:space="preserve"> No data  </w:t>
            </w:r>
          </w:p>
        </w:tc>
      </w:tr>
      <w:tr w:rsidR="003F7389" w:rsidRPr="006D6566" w14:paraId="7D67525D" w14:textId="77777777" w:rsidTr="0E71204A">
        <w:trPr>
          <w:trHeight w:val="300"/>
        </w:trPr>
        <w:tc>
          <w:tcPr>
            <w:tcW w:w="1384" w:type="dxa"/>
            <w:tcBorders>
              <w:top w:val="single" w:sz="8" w:space="0" w:color="auto"/>
              <w:left w:val="single" w:sz="4" w:space="0" w:color="auto"/>
              <w:bottom w:val="single" w:sz="8" w:space="0" w:color="auto"/>
              <w:right w:val="single" w:sz="8" w:space="0" w:color="auto"/>
            </w:tcBorders>
            <w:vAlign w:val="center"/>
          </w:tcPr>
          <w:p w14:paraId="358EDBA5" w14:textId="210D8C21" w:rsidR="003F7389" w:rsidRPr="00855213" w:rsidRDefault="003F7389" w:rsidP="197B9397">
            <w:pPr>
              <w:rPr>
                <w:rFonts w:ascii="Century Gothic" w:hAnsi="Century Gothic"/>
                <w:szCs w:val="22"/>
              </w:rPr>
            </w:pPr>
            <w:proofErr w:type="spellStart"/>
            <w:r w:rsidRPr="00855213">
              <w:rPr>
                <w:rFonts w:ascii="Century Gothic" w:eastAsia="Times New Roman" w:hAnsi="Century Gothic"/>
                <w:color w:val="000000" w:themeColor="text1"/>
                <w:szCs w:val="22"/>
              </w:rPr>
              <w:t>Ribicoff</w:t>
            </w:r>
            <w:proofErr w:type="spellEnd"/>
            <w:r w:rsidRPr="00855213">
              <w:rPr>
                <w:rFonts w:ascii="Century Gothic" w:eastAsia="Times New Roman" w:hAnsi="Century Gothic"/>
                <w:color w:val="000000" w:themeColor="text1"/>
                <w:szCs w:val="22"/>
              </w:rPr>
              <w:t xml:space="preserve"> 9% </w:t>
            </w:r>
          </w:p>
        </w:tc>
        <w:tc>
          <w:tcPr>
            <w:tcW w:w="1384" w:type="dxa"/>
            <w:tcBorders>
              <w:top w:val="single" w:sz="8" w:space="0" w:color="000000" w:themeColor="text1"/>
              <w:left w:val="single" w:sz="8" w:space="0" w:color="auto"/>
              <w:bottom w:val="single" w:sz="8" w:space="0" w:color="000000" w:themeColor="text1"/>
              <w:right w:val="single" w:sz="8" w:space="0" w:color="auto"/>
            </w:tcBorders>
          </w:tcPr>
          <w:p w14:paraId="69FF8BFD" w14:textId="09AC4200" w:rsidR="0C31B7F7" w:rsidRPr="00855213" w:rsidRDefault="0C31B7F7"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$32.86</w:t>
            </w:r>
          </w:p>
        </w:tc>
        <w:tc>
          <w:tcPr>
            <w:tcW w:w="1007" w:type="dxa"/>
            <w:tcBorders>
              <w:top w:val="single" w:sz="8" w:space="0" w:color="000000" w:themeColor="text1"/>
              <w:left w:val="single" w:sz="8" w:space="0" w:color="auto"/>
              <w:bottom w:val="single" w:sz="8" w:space="0" w:color="000000" w:themeColor="text1"/>
              <w:right w:val="single" w:sz="8" w:space="0" w:color="auto"/>
            </w:tcBorders>
          </w:tcPr>
          <w:p w14:paraId="7EC16759" w14:textId="0FDC8264" w:rsidR="003F7389" w:rsidRPr="00855213" w:rsidRDefault="19A6F694"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$40.36</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238559E" w14:textId="7300BF8D" w:rsidR="003F7389" w:rsidRPr="00855213" w:rsidRDefault="003F7389"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$30.80</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5C41E18" w14:textId="58E1738F"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 $ 29.43 </w:t>
            </w:r>
          </w:p>
        </w:tc>
        <w:tc>
          <w:tcPr>
            <w:tcW w:w="15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9116B3" w14:textId="4F0A4616"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25.91 </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D04D62" w14:textId="60BCAE78"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21.21 </w:t>
            </w:r>
          </w:p>
        </w:tc>
        <w:tc>
          <w:tcPr>
            <w:tcW w:w="9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A65B14" w14:textId="09214129"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22.21 </w:t>
            </w:r>
          </w:p>
        </w:tc>
        <w:tc>
          <w:tcPr>
            <w:tcW w:w="14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694037" w14:textId="3FEC5F03" w:rsidR="003F7389" w:rsidRPr="00855213" w:rsidRDefault="003F7389" w:rsidP="197B9397">
            <w:pPr>
              <w:jc w:val="right"/>
              <w:rPr>
                <w:rFonts w:ascii="Century Gothic" w:hAnsi="Century Gothic"/>
                <w:szCs w:val="22"/>
              </w:rPr>
            </w:pPr>
            <w:r w:rsidRPr="00855213">
              <w:rPr>
                <w:rFonts w:ascii="Century Gothic" w:eastAsia="Times New Roman" w:hAnsi="Century Gothic"/>
                <w:color w:val="000000" w:themeColor="text1"/>
                <w:szCs w:val="22"/>
              </w:rPr>
              <w:t xml:space="preserve"> No data  </w:t>
            </w:r>
          </w:p>
        </w:tc>
      </w:tr>
      <w:tr w:rsidR="003F7389" w:rsidRPr="006D6566" w14:paraId="78F2E40E" w14:textId="77777777" w:rsidTr="0E71204A">
        <w:trPr>
          <w:trHeight w:val="300"/>
        </w:trPr>
        <w:tc>
          <w:tcPr>
            <w:tcW w:w="1384" w:type="dxa"/>
            <w:tcBorders>
              <w:top w:val="single" w:sz="8" w:space="0" w:color="auto"/>
              <w:left w:val="single" w:sz="4" w:space="0" w:color="auto"/>
              <w:bottom w:val="single" w:sz="8" w:space="0" w:color="auto"/>
              <w:right w:val="single" w:sz="8" w:space="0" w:color="auto"/>
            </w:tcBorders>
            <w:vAlign w:val="center"/>
          </w:tcPr>
          <w:p w14:paraId="77A1B0EC" w14:textId="1CD40CDF"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Wilmot </w:t>
            </w:r>
          </w:p>
        </w:tc>
        <w:tc>
          <w:tcPr>
            <w:tcW w:w="1384" w:type="dxa"/>
            <w:tcBorders>
              <w:top w:val="single" w:sz="8" w:space="0" w:color="000000" w:themeColor="text1"/>
              <w:left w:val="single" w:sz="8" w:space="0" w:color="auto"/>
              <w:bottom w:val="single" w:sz="8" w:space="0" w:color="000000" w:themeColor="text1"/>
              <w:right w:val="single" w:sz="8" w:space="0" w:color="auto"/>
            </w:tcBorders>
          </w:tcPr>
          <w:p w14:paraId="58B29503" w14:textId="2B5740EF" w:rsidR="4CDA4FF6" w:rsidRPr="00855213" w:rsidRDefault="4CDA4FF6"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$18.10</w:t>
            </w:r>
          </w:p>
        </w:tc>
        <w:tc>
          <w:tcPr>
            <w:tcW w:w="1007" w:type="dxa"/>
            <w:tcBorders>
              <w:top w:val="single" w:sz="8" w:space="0" w:color="000000" w:themeColor="text1"/>
              <w:left w:val="single" w:sz="8" w:space="0" w:color="auto"/>
              <w:bottom w:val="single" w:sz="8" w:space="0" w:color="000000" w:themeColor="text1"/>
              <w:right w:val="single" w:sz="8" w:space="0" w:color="auto"/>
            </w:tcBorders>
          </w:tcPr>
          <w:p w14:paraId="062761D4" w14:textId="55916077" w:rsidR="003F7389" w:rsidRPr="00855213" w:rsidRDefault="19A6F694"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$23.47</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77A8E43A" w14:textId="5CA6CD85" w:rsidR="003F7389" w:rsidRPr="00855213" w:rsidRDefault="003F7389"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$37.07</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019C9FF7" w14:textId="424E7D4A"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 $ 20.15 </w:t>
            </w:r>
          </w:p>
        </w:tc>
        <w:tc>
          <w:tcPr>
            <w:tcW w:w="15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A7A70F" w14:textId="6A3D58B5"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26.09 </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ECB1D7" w14:textId="549EA6A4"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15.14 </w:t>
            </w:r>
          </w:p>
        </w:tc>
        <w:tc>
          <w:tcPr>
            <w:tcW w:w="9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650C90" w14:textId="77F13609"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9.88 </w:t>
            </w:r>
          </w:p>
        </w:tc>
        <w:tc>
          <w:tcPr>
            <w:tcW w:w="14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897054" w14:textId="154FBBB9" w:rsidR="003F7389" w:rsidRPr="00855213" w:rsidRDefault="003F7389" w:rsidP="197B9397">
            <w:pPr>
              <w:jc w:val="right"/>
              <w:rPr>
                <w:rFonts w:ascii="Century Gothic" w:hAnsi="Century Gothic"/>
                <w:szCs w:val="22"/>
              </w:rPr>
            </w:pPr>
            <w:r w:rsidRPr="00855213">
              <w:rPr>
                <w:rFonts w:ascii="Century Gothic" w:eastAsia="Times New Roman" w:hAnsi="Century Gothic"/>
                <w:color w:val="000000" w:themeColor="text1"/>
                <w:szCs w:val="22"/>
              </w:rPr>
              <w:t xml:space="preserve"> No data  </w:t>
            </w:r>
          </w:p>
        </w:tc>
      </w:tr>
      <w:tr w:rsidR="003F7389" w:rsidRPr="006D6566" w14:paraId="5F613EE5" w14:textId="77777777" w:rsidTr="0E71204A">
        <w:trPr>
          <w:trHeight w:val="300"/>
        </w:trPr>
        <w:tc>
          <w:tcPr>
            <w:tcW w:w="1384" w:type="dxa"/>
            <w:tcBorders>
              <w:top w:val="single" w:sz="8" w:space="0" w:color="auto"/>
              <w:left w:val="single" w:sz="4" w:space="0" w:color="auto"/>
              <w:bottom w:val="single" w:sz="8" w:space="0" w:color="auto"/>
              <w:right w:val="single" w:sz="8" w:space="0" w:color="auto"/>
            </w:tcBorders>
            <w:vAlign w:val="center"/>
          </w:tcPr>
          <w:p w14:paraId="0FE1ADBB" w14:textId="574E9FF3"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WT Rowe </w:t>
            </w:r>
          </w:p>
        </w:tc>
        <w:tc>
          <w:tcPr>
            <w:tcW w:w="1384" w:type="dxa"/>
            <w:tcBorders>
              <w:top w:val="single" w:sz="8" w:space="0" w:color="000000" w:themeColor="text1"/>
              <w:left w:val="single" w:sz="8" w:space="0" w:color="auto"/>
              <w:bottom w:val="single" w:sz="8" w:space="0" w:color="000000" w:themeColor="text1"/>
              <w:right w:val="single" w:sz="8" w:space="0" w:color="auto"/>
            </w:tcBorders>
          </w:tcPr>
          <w:p w14:paraId="42551CAE" w14:textId="07C012BA" w:rsidR="662A423E" w:rsidRPr="00855213" w:rsidRDefault="27D8CE50"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$24.00</w:t>
            </w:r>
          </w:p>
        </w:tc>
        <w:tc>
          <w:tcPr>
            <w:tcW w:w="1007" w:type="dxa"/>
            <w:tcBorders>
              <w:top w:val="single" w:sz="8" w:space="0" w:color="000000" w:themeColor="text1"/>
              <w:left w:val="single" w:sz="8" w:space="0" w:color="auto"/>
              <w:bottom w:val="single" w:sz="8" w:space="0" w:color="000000" w:themeColor="text1"/>
              <w:right w:val="single" w:sz="8" w:space="0" w:color="auto"/>
            </w:tcBorders>
          </w:tcPr>
          <w:p w14:paraId="5A85959C" w14:textId="3FB936B4" w:rsidR="003F7389" w:rsidRPr="00855213" w:rsidRDefault="7A0BAEC5" w:rsidP="46316ACA">
            <w:pPr>
              <w:rPr>
                <w:rFonts w:ascii="Century Gothic" w:eastAsia="Times New Roman" w:hAnsi="Century Gothic"/>
                <w:color w:val="000000" w:themeColor="text1"/>
              </w:rPr>
            </w:pPr>
            <w:r w:rsidRPr="00855213">
              <w:rPr>
                <w:rFonts w:ascii="Century Gothic" w:eastAsia="Times New Roman" w:hAnsi="Century Gothic"/>
                <w:color w:val="000000" w:themeColor="text1"/>
              </w:rPr>
              <w:t>$70.63</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D8BD721" w14:textId="2FE0B4D1" w:rsidR="003F7389" w:rsidRPr="00855213" w:rsidRDefault="003F7389"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$35.57</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33FF7717" w14:textId="281C3026"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 $ 10.98 </w:t>
            </w:r>
          </w:p>
        </w:tc>
        <w:tc>
          <w:tcPr>
            <w:tcW w:w="15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28C0CE" w14:textId="59DFF8E1"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8.46 </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C481E5" w14:textId="69D5F9C8"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30.41 </w:t>
            </w:r>
          </w:p>
        </w:tc>
        <w:tc>
          <w:tcPr>
            <w:tcW w:w="9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AD8164" w14:textId="1B4CC911"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33.06</w:t>
            </w:r>
          </w:p>
        </w:tc>
        <w:tc>
          <w:tcPr>
            <w:tcW w:w="14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1F6885" w14:textId="29E3C364" w:rsidR="003F7389" w:rsidRPr="00855213" w:rsidRDefault="003F7389" w:rsidP="197B9397">
            <w:pPr>
              <w:jc w:val="right"/>
              <w:rPr>
                <w:rFonts w:ascii="Century Gothic" w:hAnsi="Century Gothic"/>
                <w:szCs w:val="22"/>
              </w:rPr>
            </w:pPr>
            <w:r w:rsidRPr="00855213">
              <w:rPr>
                <w:rFonts w:ascii="Century Gothic" w:eastAsia="Times New Roman" w:hAnsi="Century Gothic"/>
                <w:color w:val="000000" w:themeColor="text1"/>
                <w:szCs w:val="22"/>
              </w:rPr>
              <w:t xml:space="preserve"> $    16.74 </w:t>
            </w:r>
          </w:p>
        </w:tc>
      </w:tr>
      <w:tr w:rsidR="003F7389" w:rsidRPr="006D6566" w14:paraId="3BBE6701" w14:textId="77777777" w:rsidTr="0E71204A">
        <w:trPr>
          <w:trHeight w:val="300"/>
        </w:trPr>
        <w:tc>
          <w:tcPr>
            <w:tcW w:w="1384" w:type="dxa"/>
            <w:tcBorders>
              <w:top w:val="single" w:sz="8" w:space="0" w:color="auto"/>
              <w:left w:val="single" w:sz="4" w:space="0" w:color="auto"/>
              <w:bottom w:val="single" w:sz="8" w:space="0" w:color="auto"/>
              <w:right w:val="single" w:sz="8" w:space="0" w:color="auto"/>
            </w:tcBorders>
            <w:vAlign w:val="center"/>
          </w:tcPr>
          <w:p w14:paraId="7FBDD881" w14:textId="5E34B482"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RAD II </w:t>
            </w:r>
          </w:p>
        </w:tc>
        <w:tc>
          <w:tcPr>
            <w:tcW w:w="1384" w:type="dxa"/>
            <w:tcBorders>
              <w:top w:val="single" w:sz="8" w:space="0" w:color="000000" w:themeColor="text1"/>
              <w:left w:val="single" w:sz="8" w:space="0" w:color="auto"/>
              <w:bottom w:val="single" w:sz="8" w:space="0" w:color="000000" w:themeColor="text1"/>
              <w:right w:val="single" w:sz="8" w:space="0" w:color="auto"/>
            </w:tcBorders>
          </w:tcPr>
          <w:p w14:paraId="74C9801B" w14:textId="7F08E908" w:rsidR="4DFA19A3" w:rsidRPr="00855213" w:rsidRDefault="4DFA19A3"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$47.70</w:t>
            </w:r>
          </w:p>
        </w:tc>
        <w:tc>
          <w:tcPr>
            <w:tcW w:w="1007" w:type="dxa"/>
            <w:tcBorders>
              <w:top w:val="single" w:sz="8" w:space="0" w:color="000000" w:themeColor="text1"/>
              <w:left w:val="single" w:sz="8" w:space="0" w:color="auto"/>
              <w:bottom w:val="single" w:sz="8" w:space="0" w:color="000000" w:themeColor="text1"/>
              <w:right w:val="single" w:sz="8" w:space="0" w:color="auto"/>
            </w:tcBorders>
          </w:tcPr>
          <w:p w14:paraId="3486653D" w14:textId="38CB177E" w:rsidR="003F7389" w:rsidRPr="00855213" w:rsidRDefault="19A6F694"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$69.63</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50A4E0AB" w14:textId="51C959C9" w:rsidR="003F7389" w:rsidRPr="00855213" w:rsidRDefault="003F7389"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$63.48</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7AFD8612" w14:textId="3720D79D"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 $ 36.61 </w:t>
            </w:r>
          </w:p>
        </w:tc>
        <w:tc>
          <w:tcPr>
            <w:tcW w:w="15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502891" w14:textId="2DEBAF6E"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85.28 </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6F6EDD" w14:textId="19979F15"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No data  </w:t>
            </w:r>
          </w:p>
        </w:tc>
        <w:tc>
          <w:tcPr>
            <w:tcW w:w="9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BEE550" w14:textId="4BE48092"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No data </w:t>
            </w:r>
          </w:p>
        </w:tc>
        <w:tc>
          <w:tcPr>
            <w:tcW w:w="14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A0367A" w14:textId="68662998" w:rsidR="003F7389" w:rsidRPr="00855213" w:rsidRDefault="003F7389" w:rsidP="197B9397">
            <w:pPr>
              <w:jc w:val="right"/>
              <w:rPr>
                <w:rFonts w:ascii="Century Gothic" w:hAnsi="Century Gothic"/>
                <w:szCs w:val="22"/>
              </w:rPr>
            </w:pPr>
            <w:r w:rsidRPr="00855213">
              <w:rPr>
                <w:rFonts w:ascii="Century Gothic" w:eastAsia="Times New Roman" w:hAnsi="Century Gothic"/>
                <w:color w:val="000000" w:themeColor="text1"/>
                <w:szCs w:val="22"/>
              </w:rPr>
              <w:t xml:space="preserve"> No data  </w:t>
            </w:r>
          </w:p>
        </w:tc>
      </w:tr>
      <w:tr w:rsidR="003F7389" w:rsidRPr="006D6566" w14:paraId="7B64B93F" w14:textId="77777777" w:rsidTr="0E71204A">
        <w:trPr>
          <w:trHeight w:val="300"/>
        </w:trPr>
        <w:tc>
          <w:tcPr>
            <w:tcW w:w="1384" w:type="dxa"/>
            <w:tcBorders>
              <w:top w:val="single" w:sz="8" w:space="0" w:color="auto"/>
              <w:left w:val="single" w:sz="4" w:space="0" w:color="auto"/>
              <w:bottom w:val="single" w:sz="8" w:space="0" w:color="auto"/>
              <w:right w:val="single" w:sz="8" w:space="0" w:color="auto"/>
            </w:tcBorders>
            <w:vAlign w:val="center"/>
          </w:tcPr>
          <w:p w14:paraId="3598B42C" w14:textId="01E10664" w:rsidR="003F7389" w:rsidRPr="00855213" w:rsidRDefault="003F7389" w:rsidP="197B9397">
            <w:pPr>
              <w:rPr>
                <w:rFonts w:ascii="Century Gothic" w:hAnsi="Century Gothic"/>
                <w:szCs w:val="22"/>
              </w:rPr>
            </w:pPr>
            <w:r w:rsidRPr="00855213">
              <w:rPr>
                <w:rFonts w:ascii="Century Gothic" w:eastAsia="Calibri" w:hAnsi="Century Gothic"/>
                <w:color w:val="000000" w:themeColor="text1"/>
                <w:szCs w:val="22"/>
              </w:rPr>
              <w:t xml:space="preserve">Mill River </w:t>
            </w:r>
          </w:p>
        </w:tc>
        <w:tc>
          <w:tcPr>
            <w:tcW w:w="1384" w:type="dxa"/>
            <w:tcBorders>
              <w:top w:val="single" w:sz="8" w:space="0" w:color="000000" w:themeColor="text1"/>
              <w:left w:val="single" w:sz="8" w:space="0" w:color="auto"/>
              <w:bottom w:val="single" w:sz="8" w:space="0" w:color="000000" w:themeColor="text1"/>
              <w:right w:val="single" w:sz="8" w:space="0" w:color="auto"/>
            </w:tcBorders>
          </w:tcPr>
          <w:p w14:paraId="2B2CA554" w14:textId="3C791E2C" w:rsidR="06B32B72" w:rsidRPr="00855213" w:rsidRDefault="06B32B72"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$36.19</w:t>
            </w:r>
          </w:p>
        </w:tc>
        <w:tc>
          <w:tcPr>
            <w:tcW w:w="1007" w:type="dxa"/>
            <w:tcBorders>
              <w:top w:val="single" w:sz="8" w:space="0" w:color="000000" w:themeColor="text1"/>
              <w:left w:val="single" w:sz="8" w:space="0" w:color="auto"/>
              <w:bottom w:val="single" w:sz="8" w:space="0" w:color="000000" w:themeColor="text1"/>
              <w:right w:val="single" w:sz="8" w:space="0" w:color="auto"/>
            </w:tcBorders>
          </w:tcPr>
          <w:p w14:paraId="03B82880" w14:textId="03116CC6" w:rsidR="003F7389" w:rsidRPr="00855213" w:rsidRDefault="24373EE2">
            <w:pPr>
              <w:rPr>
                <w:rFonts w:ascii="Century Gothic" w:eastAsia="Times New Roman" w:hAnsi="Century Gothic"/>
                <w:color w:val="000000" w:themeColor="text1"/>
              </w:rPr>
            </w:pPr>
            <w:r w:rsidRPr="00855213">
              <w:rPr>
                <w:rFonts w:ascii="Century Gothic" w:eastAsia="Times New Roman" w:hAnsi="Century Gothic"/>
                <w:color w:val="000000" w:themeColor="text1"/>
              </w:rPr>
              <w:t>$37.61</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21EEA33" w14:textId="22E69A3F" w:rsidR="003F7389" w:rsidRPr="00855213" w:rsidRDefault="003F7389"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$21.21</w:t>
            </w:r>
          </w:p>
        </w:tc>
        <w:tc>
          <w:tcPr>
            <w:tcW w:w="103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1FF5AE4" w14:textId="5158987A" w:rsidR="003F7389" w:rsidRPr="00855213" w:rsidRDefault="003F7389" w:rsidP="197B9397">
            <w:pPr>
              <w:rPr>
                <w:rFonts w:ascii="Century Gothic" w:hAnsi="Century Gothic"/>
                <w:szCs w:val="22"/>
              </w:rPr>
            </w:pPr>
            <w:r w:rsidRPr="00855213">
              <w:rPr>
                <w:rFonts w:ascii="Century Gothic" w:eastAsia="Calibri" w:hAnsi="Century Gothic"/>
                <w:color w:val="000000" w:themeColor="text1"/>
                <w:szCs w:val="22"/>
              </w:rPr>
              <w:t xml:space="preserve"> $   23.94 </w:t>
            </w:r>
          </w:p>
        </w:tc>
        <w:tc>
          <w:tcPr>
            <w:tcW w:w="15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6D74CB" w14:textId="75BBD7BF"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28.02 </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5DDB5C" w14:textId="3CE2F574"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No data  </w:t>
            </w:r>
          </w:p>
        </w:tc>
        <w:tc>
          <w:tcPr>
            <w:tcW w:w="9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8F3182" w14:textId="1B3FE820"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No data </w:t>
            </w:r>
          </w:p>
        </w:tc>
        <w:tc>
          <w:tcPr>
            <w:tcW w:w="14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4625A8" w14:textId="68677F05" w:rsidR="003F7389" w:rsidRPr="00855213" w:rsidRDefault="003F7389" w:rsidP="197B9397">
            <w:pPr>
              <w:jc w:val="right"/>
              <w:rPr>
                <w:rFonts w:ascii="Century Gothic" w:hAnsi="Century Gothic"/>
                <w:szCs w:val="22"/>
              </w:rPr>
            </w:pPr>
            <w:r w:rsidRPr="00855213">
              <w:rPr>
                <w:rFonts w:ascii="Century Gothic" w:eastAsia="MS PGothic" w:hAnsi="Century Gothic"/>
                <w:color w:val="000000" w:themeColor="text1"/>
                <w:szCs w:val="22"/>
              </w:rPr>
              <w:t xml:space="preserve">No data </w:t>
            </w:r>
          </w:p>
        </w:tc>
      </w:tr>
      <w:tr w:rsidR="003F7389" w:rsidRPr="006D6566" w14:paraId="6FE7DF5E" w14:textId="77777777" w:rsidTr="0E71204A">
        <w:trPr>
          <w:trHeight w:val="285"/>
        </w:trPr>
        <w:tc>
          <w:tcPr>
            <w:tcW w:w="1384" w:type="dxa"/>
            <w:tcBorders>
              <w:top w:val="single" w:sz="8" w:space="0" w:color="auto"/>
              <w:left w:val="single" w:sz="4" w:space="0" w:color="auto"/>
              <w:bottom w:val="single" w:sz="4" w:space="0" w:color="auto"/>
              <w:right w:val="single" w:sz="8" w:space="0" w:color="auto"/>
            </w:tcBorders>
            <w:vAlign w:val="center"/>
          </w:tcPr>
          <w:p w14:paraId="7BBCE60E" w14:textId="2852B86D"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McQueeney </w:t>
            </w:r>
          </w:p>
        </w:tc>
        <w:tc>
          <w:tcPr>
            <w:tcW w:w="1384" w:type="dxa"/>
            <w:tcBorders>
              <w:top w:val="single" w:sz="8" w:space="0" w:color="000000" w:themeColor="text1"/>
              <w:left w:val="single" w:sz="8" w:space="0" w:color="auto"/>
              <w:bottom w:val="single" w:sz="4" w:space="0" w:color="000000" w:themeColor="text1"/>
              <w:right w:val="single" w:sz="8" w:space="0" w:color="auto"/>
            </w:tcBorders>
          </w:tcPr>
          <w:p w14:paraId="48CCE68C" w14:textId="0901C1DA" w:rsidR="0B03FE8E" w:rsidRPr="00855213" w:rsidRDefault="0B03FE8E" w:rsidP="662A423E">
            <w:pPr>
              <w:rPr>
                <w:rFonts w:ascii="Century Gothic" w:eastAsia="Times New Roman" w:hAnsi="Century Gothic"/>
                <w:color w:val="000000" w:themeColor="text1"/>
              </w:rPr>
            </w:pPr>
            <w:r w:rsidRPr="00855213">
              <w:rPr>
                <w:rFonts w:ascii="Century Gothic" w:eastAsia="Times New Roman" w:hAnsi="Century Gothic"/>
                <w:color w:val="000000" w:themeColor="text1"/>
              </w:rPr>
              <w:t>$6.70</w:t>
            </w:r>
          </w:p>
        </w:tc>
        <w:tc>
          <w:tcPr>
            <w:tcW w:w="1007" w:type="dxa"/>
            <w:tcBorders>
              <w:top w:val="single" w:sz="8" w:space="0" w:color="000000" w:themeColor="text1"/>
              <w:left w:val="single" w:sz="8" w:space="0" w:color="auto"/>
              <w:bottom w:val="single" w:sz="4" w:space="0" w:color="000000" w:themeColor="text1"/>
              <w:right w:val="single" w:sz="8" w:space="0" w:color="auto"/>
            </w:tcBorders>
          </w:tcPr>
          <w:p w14:paraId="68D3DE6F" w14:textId="500014C3" w:rsidR="003F7389" w:rsidRPr="00855213" w:rsidRDefault="19A6F694"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$9.31</w:t>
            </w:r>
          </w:p>
        </w:tc>
        <w:tc>
          <w:tcPr>
            <w:tcW w:w="1038" w:type="dxa"/>
            <w:tcBorders>
              <w:top w:val="single" w:sz="8" w:space="0" w:color="000000" w:themeColor="text1"/>
              <w:left w:val="single" w:sz="8" w:space="0" w:color="auto"/>
              <w:bottom w:val="single" w:sz="4" w:space="0" w:color="000000" w:themeColor="text1"/>
              <w:right w:val="single" w:sz="8" w:space="0" w:color="000000" w:themeColor="text1"/>
            </w:tcBorders>
            <w:vAlign w:val="center"/>
          </w:tcPr>
          <w:p w14:paraId="10AF805A" w14:textId="4AF66029" w:rsidR="003F7389" w:rsidRPr="00855213" w:rsidRDefault="003F7389" w:rsidP="4566E4F4">
            <w:pPr>
              <w:rPr>
                <w:rFonts w:ascii="Century Gothic" w:eastAsia="Times New Roman" w:hAnsi="Century Gothic"/>
                <w:color w:val="000000" w:themeColor="text1"/>
                <w:szCs w:val="22"/>
              </w:rPr>
            </w:pPr>
            <w:r w:rsidRPr="00855213">
              <w:rPr>
                <w:rFonts w:ascii="Century Gothic" w:eastAsia="Times New Roman" w:hAnsi="Century Gothic"/>
                <w:color w:val="000000" w:themeColor="text1"/>
                <w:szCs w:val="22"/>
              </w:rPr>
              <w:t>$12.76</w:t>
            </w:r>
          </w:p>
        </w:tc>
        <w:tc>
          <w:tcPr>
            <w:tcW w:w="1038" w:type="dxa"/>
            <w:tcBorders>
              <w:top w:val="single" w:sz="8" w:space="0" w:color="000000" w:themeColor="text1"/>
              <w:left w:val="single" w:sz="8" w:space="0" w:color="auto"/>
              <w:bottom w:val="single" w:sz="4" w:space="0" w:color="000000" w:themeColor="text1"/>
              <w:right w:val="single" w:sz="8" w:space="0" w:color="000000" w:themeColor="text1"/>
            </w:tcBorders>
            <w:vAlign w:val="center"/>
          </w:tcPr>
          <w:p w14:paraId="3CB900B9" w14:textId="7E7882C5"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 $ 34.26 </w:t>
            </w:r>
          </w:p>
        </w:tc>
        <w:tc>
          <w:tcPr>
            <w:tcW w:w="1517"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750AD660" w14:textId="7FC59D2E"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6.79 </w:t>
            </w:r>
          </w:p>
        </w:tc>
        <w:tc>
          <w:tcPr>
            <w:tcW w:w="1038"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05E36933" w14:textId="54AD7F5E"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6.79 </w:t>
            </w:r>
          </w:p>
        </w:tc>
        <w:tc>
          <w:tcPr>
            <w:tcW w:w="958"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3B9312CA" w14:textId="3F715B13" w:rsidR="003F7389" w:rsidRPr="00855213" w:rsidRDefault="003F7389" w:rsidP="197B9397">
            <w:pPr>
              <w:jc w:val="center"/>
              <w:rPr>
                <w:rFonts w:ascii="Century Gothic" w:hAnsi="Century Gothic"/>
                <w:szCs w:val="22"/>
              </w:rPr>
            </w:pPr>
            <w:r w:rsidRPr="00855213">
              <w:rPr>
                <w:rFonts w:ascii="Century Gothic" w:eastAsia="Calibri" w:hAnsi="Century Gothic"/>
                <w:color w:val="000000" w:themeColor="text1"/>
                <w:szCs w:val="22"/>
              </w:rPr>
              <w:t xml:space="preserve"> $              7.26 </w:t>
            </w:r>
          </w:p>
        </w:tc>
        <w:tc>
          <w:tcPr>
            <w:tcW w:w="1437"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177B8C9C" w14:textId="417754FA" w:rsidR="003F7389" w:rsidRPr="00855213" w:rsidRDefault="003F7389" w:rsidP="197B9397">
            <w:pPr>
              <w:rPr>
                <w:rFonts w:ascii="Century Gothic" w:hAnsi="Century Gothic"/>
                <w:szCs w:val="22"/>
              </w:rPr>
            </w:pPr>
            <w:r w:rsidRPr="00855213">
              <w:rPr>
                <w:rFonts w:ascii="Century Gothic" w:eastAsia="Times New Roman" w:hAnsi="Century Gothic"/>
                <w:color w:val="000000" w:themeColor="text1"/>
                <w:szCs w:val="22"/>
              </w:rPr>
              <w:t xml:space="preserve">     No data  </w:t>
            </w:r>
          </w:p>
        </w:tc>
      </w:tr>
      <w:tr w:rsidR="003F7389" w:rsidRPr="006D6566" w14:paraId="406DAAAA" w14:textId="77777777" w:rsidTr="0E71204A">
        <w:trPr>
          <w:trHeight w:val="780"/>
        </w:trPr>
        <w:tc>
          <w:tcPr>
            <w:tcW w:w="1384" w:type="dxa"/>
            <w:tcBorders>
              <w:top w:val="single" w:sz="4" w:space="0" w:color="auto"/>
              <w:left w:val="single" w:sz="4" w:space="0" w:color="000000" w:themeColor="text1"/>
              <w:bottom w:val="nil"/>
              <w:right w:val="single" w:sz="8" w:space="0" w:color="000000" w:themeColor="text1"/>
            </w:tcBorders>
            <w:vAlign w:val="center"/>
          </w:tcPr>
          <w:p w14:paraId="6AD2E0CB" w14:textId="61EE328C" w:rsidR="003F7389" w:rsidRPr="00855213" w:rsidRDefault="003F7389" w:rsidP="4566E4F4">
            <w:pPr>
              <w:rPr>
                <w:rFonts w:ascii="Century Gothic" w:eastAsia="Times New Roman" w:hAnsi="Century Gothic"/>
                <w:b/>
                <w:bCs/>
                <w:szCs w:val="22"/>
              </w:rPr>
            </w:pPr>
            <w:r w:rsidRPr="00855213">
              <w:rPr>
                <w:rFonts w:ascii="Century Gothic" w:eastAsia="Times New Roman" w:hAnsi="Century Gothic"/>
                <w:b/>
                <w:bCs/>
                <w:color w:val="000000" w:themeColor="text1"/>
                <w:szCs w:val="22"/>
              </w:rPr>
              <w:t>Average</w:t>
            </w:r>
          </w:p>
        </w:tc>
        <w:tc>
          <w:tcPr>
            <w:tcW w:w="1384" w:type="dxa"/>
            <w:tcBorders>
              <w:top w:val="single" w:sz="4" w:space="0" w:color="000000" w:themeColor="text1"/>
              <w:left w:val="single" w:sz="8" w:space="0" w:color="000000" w:themeColor="text1"/>
              <w:bottom w:val="nil"/>
              <w:right w:val="single" w:sz="8" w:space="0" w:color="000000" w:themeColor="text1"/>
            </w:tcBorders>
          </w:tcPr>
          <w:p w14:paraId="0F246AA3" w14:textId="02DC3F6D" w:rsidR="17AFAFE7" w:rsidRPr="00855213" w:rsidRDefault="6A5C6E74" w:rsidP="662A423E">
            <w:pPr>
              <w:rPr>
                <w:rFonts w:ascii="Century Gothic" w:eastAsia="Times New Roman" w:hAnsi="Century Gothic"/>
                <w:b/>
                <w:bCs/>
                <w:color w:val="000000" w:themeColor="text1"/>
              </w:rPr>
            </w:pPr>
            <w:r w:rsidRPr="00855213">
              <w:rPr>
                <w:rFonts w:ascii="Century Gothic" w:eastAsia="Times New Roman" w:hAnsi="Century Gothic"/>
                <w:b/>
                <w:bCs/>
                <w:color w:val="000000" w:themeColor="text1"/>
              </w:rPr>
              <w:t xml:space="preserve"> $</w:t>
            </w:r>
            <w:r w:rsidR="2E2C7E13" w:rsidRPr="00855213">
              <w:rPr>
                <w:rFonts w:ascii="Century Gothic" w:eastAsia="Times New Roman" w:hAnsi="Century Gothic"/>
                <w:b/>
                <w:bCs/>
                <w:color w:val="000000" w:themeColor="text1"/>
              </w:rPr>
              <w:t>24.63</w:t>
            </w:r>
          </w:p>
        </w:tc>
        <w:tc>
          <w:tcPr>
            <w:tcW w:w="1007" w:type="dxa"/>
            <w:tcBorders>
              <w:top w:val="single" w:sz="4" w:space="0" w:color="000000" w:themeColor="text1"/>
              <w:left w:val="single" w:sz="8" w:space="0" w:color="000000" w:themeColor="text1"/>
              <w:bottom w:val="nil"/>
              <w:right w:val="single" w:sz="8" w:space="0" w:color="000000" w:themeColor="text1"/>
            </w:tcBorders>
          </w:tcPr>
          <w:p w14:paraId="65CEC940" w14:textId="3ACADC75" w:rsidR="003F7389" w:rsidRPr="00855213" w:rsidRDefault="003F7389" w:rsidP="341CC84A">
            <w:pPr>
              <w:rPr>
                <w:rFonts w:ascii="Century Gothic" w:eastAsia="Times New Roman" w:hAnsi="Century Gothic"/>
                <w:b/>
                <w:bCs/>
                <w:color w:val="000000" w:themeColor="text1"/>
              </w:rPr>
            </w:pPr>
          </w:p>
          <w:p w14:paraId="30C992EC" w14:textId="1E198327" w:rsidR="003F7389" w:rsidRPr="00855213" w:rsidRDefault="0F7EB48A" w:rsidP="341CC84A">
            <w:pPr>
              <w:rPr>
                <w:rFonts w:ascii="Century Gothic" w:eastAsia="Times New Roman" w:hAnsi="Century Gothic"/>
                <w:b/>
                <w:bCs/>
                <w:color w:val="000000" w:themeColor="text1"/>
              </w:rPr>
            </w:pPr>
            <w:r w:rsidRPr="00855213">
              <w:rPr>
                <w:rFonts w:ascii="Century Gothic" w:eastAsia="Times New Roman" w:hAnsi="Century Gothic"/>
                <w:b/>
                <w:bCs/>
                <w:color w:val="000000" w:themeColor="text1"/>
              </w:rPr>
              <w:t>$34.</w:t>
            </w:r>
            <w:r w:rsidR="053F852C" w:rsidRPr="00855213">
              <w:rPr>
                <w:rFonts w:ascii="Century Gothic" w:eastAsia="Times New Roman" w:hAnsi="Century Gothic"/>
                <w:b/>
                <w:bCs/>
                <w:color w:val="000000" w:themeColor="text1"/>
              </w:rPr>
              <w:t>81</w:t>
            </w:r>
          </w:p>
        </w:tc>
        <w:tc>
          <w:tcPr>
            <w:tcW w:w="1038" w:type="dxa"/>
            <w:tcBorders>
              <w:top w:val="single" w:sz="4" w:space="0" w:color="000000" w:themeColor="text1"/>
              <w:left w:val="single" w:sz="8" w:space="0" w:color="000000" w:themeColor="text1"/>
              <w:bottom w:val="nil"/>
              <w:right w:val="nil"/>
            </w:tcBorders>
            <w:vAlign w:val="bottom"/>
          </w:tcPr>
          <w:p w14:paraId="56461401" w14:textId="2309247D" w:rsidR="003F7389" w:rsidRPr="00855213" w:rsidRDefault="003F7389" w:rsidP="4566E4F4">
            <w:pPr>
              <w:rPr>
                <w:rFonts w:ascii="Century Gothic" w:eastAsia="Times New Roman" w:hAnsi="Century Gothic"/>
                <w:b/>
                <w:bCs/>
                <w:color w:val="000000" w:themeColor="text1"/>
                <w:szCs w:val="22"/>
              </w:rPr>
            </w:pPr>
            <w:r w:rsidRPr="00855213">
              <w:rPr>
                <w:rFonts w:ascii="Century Gothic" w:eastAsia="Times New Roman" w:hAnsi="Century Gothic"/>
                <w:b/>
                <w:bCs/>
                <w:color w:val="000000" w:themeColor="text1"/>
                <w:szCs w:val="22"/>
              </w:rPr>
              <w:t>$47.50</w:t>
            </w:r>
          </w:p>
        </w:tc>
        <w:tc>
          <w:tcPr>
            <w:tcW w:w="1038" w:type="dxa"/>
            <w:tcBorders>
              <w:top w:val="single" w:sz="4" w:space="0" w:color="000000" w:themeColor="text1"/>
              <w:left w:val="single" w:sz="8" w:space="0" w:color="000000" w:themeColor="text1"/>
              <w:bottom w:val="nil"/>
              <w:right w:val="nil"/>
            </w:tcBorders>
            <w:vAlign w:val="bottom"/>
          </w:tcPr>
          <w:p w14:paraId="7FF4AEFB" w14:textId="2F82D279" w:rsidR="003F7389" w:rsidRPr="00855213" w:rsidRDefault="25BB34F6" w:rsidP="341CC84A">
            <w:pPr>
              <w:rPr>
                <w:rFonts w:ascii="Century Gothic" w:hAnsi="Century Gothic"/>
                <w:b/>
                <w:bCs/>
              </w:rPr>
            </w:pPr>
            <w:r w:rsidRPr="00855213">
              <w:rPr>
                <w:rFonts w:ascii="Century Gothic" w:eastAsia="Calibri" w:hAnsi="Century Gothic"/>
                <w:b/>
                <w:bCs/>
                <w:color w:val="000000" w:themeColor="text1"/>
              </w:rPr>
              <w:t xml:space="preserve"> $   </w:t>
            </w:r>
            <w:r w:rsidR="09C7D7FD" w:rsidRPr="00855213">
              <w:rPr>
                <w:rFonts w:ascii="Century Gothic" w:eastAsia="Calibri" w:hAnsi="Century Gothic"/>
                <w:b/>
                <w:bCs/>
                <w:color w:val="000000" w:themeColor="text1"/>
              </w:rPr>
              <w:t>43.33</w:t>
            </w:r>
            <w:r w:rsidRPr="00855213">
              <w:rPr>
                <w:rFonts w:ascii="Century Gothic" w:eastAsia="Calibri" w:hAnsi="Century Gothic"/>
                <w:b/>
                <w:bCs/>
                <w:color w:val="000000" w:themeColor="text1"/>
              </w:rPr>
              <w:t xml:space="preserve"> </w:t>
            </w:r>
          </w:p>
        </w:tc>
        <w:tc>
          <w:tcPr>
            <w:tcW w:w="1517" w:type="dxa"/>
            <w:tcBorders>
              <w:top w:val="single" w:sz="4" w:space="0" w:color="000000" w:themeColor="text1"/>
              <w:left w:val="nil"/>
              <w:bottom w:val="nil"/>
              <w:right w:val="nil"/>
            </w:tcBorders>
            <w:vAlign w:val="bottom"/>
          </w:tcPr>
          <w:p w14:paraId="52C7BD6C" w14:textId="621E1034" w:rsidR="003F7389" w:rsidRPr="00855213" w:rsidRDefault="25BB34F6" w:rsidP="341CC84A">
            <w:pPr>
              <w:rPr>
                <w:rFonts w:ascii="Century Gothic" w:eastAsia="Calibri" w:hAnsi="Century Gothic"/>
                <w:b/>
                <w:bCs/>
                <w:color w:val="000000" w:themeColor="text1"/>
              </w:rPr>
            </w:pPr>
            <w:r w:rsidRPr="00855213">
              <w:rPr>
                <w:rFonts w:ascii="Century Gothic" w:eastAsia="Calibri" w:hAnsi="Century Gothic"/>
                <w:b/>
                <w:bCs/>
                <w:color w:val="000000" w:themeColor="text1"/>
              </w:rPr>
              <w:t xml:space="preserve"> $              </w:t>
            </w:r>
            <w:r w:rsidR="639A2B9F" w:rsidRPr="00855213">
              <w:rPr>
                <w:rFonts w:ascii="Century Gothic" w:eastAsia="Calibri" w:hAnsi="Century Gothic"/>
                <w:b/>
                <w:bCs/>
                <w:color w:val="000000" w:themeColor="text1"/>
              </w:rPr>
              <w:t xml:space="preserve"> 29.48</w:t>
            </w:r>
          </w:p>
        </w:tc>
        <w:tc>
          <w:tcPr>
            <w:tcW w:w="1038" w:type="dxa"/>
            <w:tcBorders>
              <w:top w:val="single" w:sz="4" w:space="0" w:color="000000" w:themeColor="text1"/>
              <w:left w:val="nil"/>
              <w:bottom w:val="nil"/>
              <w:right w:val="nil"/>
            </w:tcBorders>
            <w:vAlign w:val="bottom"/>
          </w:tcPr>
          <w:p w14:paraId="3664D6CB" w14:textId="6B254D79" w:rsidR="003F7389" w:rsidRPr="00855213" w:rsidRDefault="25BB34F6" w:rsidP="341CC84A">
            <w:pPr>
              <w:rPr>
                <w:rFonts w:ascii="Century Gothic" w:hAnsi="Century Gothic"/>
                <w:b/>
                <w:bCs/>
              </w:rPr>
            </w:pPr>
            <w:r w:rsidRPr="00855213">
              <w:rPr>
                <w:rFonts w:ascii="Century Gothic" w:eastAsia="Calibri" w:hAnsi="Century Gothic"/>
                <w:b/>
                <w:bCs/>
                <w:color w:val="000000" w:themeColor="text1"/>
              </w:rPr>
              <w:t xml:space="preserve"> $        </w:t>
            </w:r>
            <w:r w:rsidR="4B2ECB8F" w:rsidRPr="00855213">
              <w:rPr>
                <w:rFonts w:ascii="Century Gothic" w:eastAsia="Calibri" w:hAnsi="Century Gothic"/>
                <w:b/>
                <w:bCs/>
                <w:color w:val="000000" w:themeColor="text1"/>
              </w:rPr>
              <w:t xml:space="preserve"> 18.93</w:t>
            </w:r>
          </w:p>
        </w:tc>
        <w:tc>
          <w:tcPr>
            <w:tcW w:w="958" w:type="dxa"/>
            <w:tcBorders>
              <w:top w:val="single" w:sz="4" w:space="0" w:color="000000" w:themeColor="text1"/>
              <w:left w:val="nil"/>
              <w:bottom w:val="nil"/>
              <w:right w:val="nil"/>
            </w:tcBorders>
            <w:vAlign w:val="bottom"/>
          </w:tcPr>
          <w:p w14:paraId="0894A891" w14:textId="461F9AFD" w:rsidR="003F7389" w:rsidRPr="00855213" w:rsidRDefault="25BB34F6" w:rsidP="341CC84A">
            <w:pPr>
              <w:rPr>
                <w:rFonts w:ascii="Century Gothic" w:hAnsi="Century Gothic"/>
                <w:b/>
                <w:bCs/>
              </w:rPr>
            </w:pPr>
            <w:r w:rsidRPr="00855213">
              <w:rPr>
                <w:rFonts w:ascii="Century Gothic" w:eastAsia="Calibri" w:hAnsi="Century Gothic"/>
                <w:b/>
                <w:bCs/>
                <w:color w:val="000000" w:themeColor="text1"/>
              </w:rPr>
              <w:t xml:space="preserve"> $            </w:t>
            </w:r>
            <w:r w:rsidR="07EF83EC" w:rsidRPr="00855213">
              <w:rPr>
                <w:rFonts w:ascii="Century Gothic" w:eastAsia="Calibri" w:hAnsi="Century Gothic"/>
                <w:b/>
                <w:bCs/>
                <w:color w:val="000000" w:themeColor="text1"/>
              </w:rPr>
              <w:t>28.36</w:t>
            </w:r>
          </w:p>
        </w:tc>
        <w:tc>
          <w:tcPr>
            <w:tcW w:w="1437" w:type="dxa"/>
            <w:tcBorders>
              <w:top w:val="single" w:sz="4" w:space="0" w:color="000000" w:themeColor="text1"/>
              <w:left w:val="nil"/>
              <w:bottom w:val="nil"/>
              <w:right w:val="nil"/>
            </w:tcBorders>
            <w:vAlign w:val="bottom"/>
          </w:tcPr>
          <w:p w14:paraId="01F0769B" w14:textId="58CDC6CD" w:rsidR="003F7389" w:rsidRPr="00855213" w:rsidRDefault="25BB34F6" w:rsidP="341CC84A">
            <w:pPr>
              <w:rPr>
                <w:rFonts w:ascii="Century Gothic" w:hAnsi="Century Gothic"/>
                <w:b/>
                <w:bCs/>
              </w:rPr>
            </w:pPr>
            <w:r w:rsidRPr="00855213">
              <w:rPr>
                <w:rFonts w:ascii="Century Gothic" w:eastAsia="Calibri" w:hAnsi="Century Gothic"/>
                <w:b/>
                <w:bCs/>
                <w:color w:val="000000" w:themeColor="text1"/>
              </w:rPr>
              <w:t xml:space="preserve"> $     </w:t>
            </w:r>
            <w:r w:rsidR="3C84A250" w:rsidRPr="00855213">
              <w:rPr>
                <w:rFonts w:ascii="Century Gothic" w:eastAsia="Calibri" w:hAnsi="Century Gothic"/>
                <w:b/>
                <w:bCs/>
                <w:color w:val="000000" w:themeColor="text1"/>
              </w:rPr>
              <w:t xml:space="preserve"> 27.09</w:t>
            </w:r>
          </w:p>
        </w:tc>
      </w:tr>
    </w:tbl>
    <w:p w14:paraId="466323E5" w14:textId="77777777" w:rsidR="005C3F8E" w:rsidRDefault="005C3F8E" w:rsidP="00916A8B">
      <w:pPr>
        <w:pStyle w:val="MTWHeader2"/>
        <w:rPr>
          <w:rFonts w:ascii="Century Gothic" w:hAnsi="Century Gothic" w:cs="Times New Roman"/>
          <w:sz w:val="22"/>
          <w:szCs w:val="22"/>
        </w:rPr>
      </w:pPr>
      <w:bookmarkStart w:id="392" w:name="_Toc89871208"/>
    </w:p>
    <w:p w14:paraId="0C124C29" w14:textId="77777777" w:rsidR="005C3F8E" w:rsidRDefault="005C3F8E" w:rsidP="00916A8B">
      <w:pPr>
        <w:pStyle w:val="MTWHeader2"/>
        <w:rPr>
          <w:rFonts w:ascii="Century Gothic" w:hAnsi="Century Gothic" w:cs="Times New Roman"/>
          <w:sz w:val="22"/>
          <w:szCs w:val="22"/>
        </w:rPr>
      </w:pPr>
    </w:p>
    <w:p w14:paraId="6F070077" w14:textId="33C074FB" w:rsidR="005C3F8E" w:rsidRDefault="005C3F8E">
      <w:pPr>
        <w:spacing w:after="160" w:line="276" w:lineRule="auto"/>
        <w:rPr>
          <w:rFonts w:ascii="Century Gothic" w:eastAsiaTheme="majorEastAsia" w:hAnsi="Century Gothic"/>
          <w:b/>
          <w:noProof/>
          <w:color w:val="000000" w:themeColor="text1"/>
          <w:szCs w:val="22"/>
          <w:lang w:eastAsia="en-US"/>
        </w:rPr>
      </w:pPr>
      <w:r>
        <w:rPr>
          <w:rFonts w:ascii="Century Gothic" w:hAnsi="Century Gothic"/>
          <w:szCs w:val="22"/>
        </w:rPr>
        <w:br w:type="page"/>
      </w:r>
    </w:p>
    <w:p w14:paraId="792CD3BE" w14:textId="43FE8AA0" w:rsidR="00916A8B" w:rsidRPr="00855213" w:rsidRDefault="31106CBE" w:rsidP="00916A8B">
      <w:pPr>
        <w:pStyle w:val="MTWHeader2"/>
        <w:rPr>
          <w:rFonts w:ascii="Century Gothic" w:hAnsi="Century Gothic" w:cs="Times New Roman"/>
          <w:sz w:val="22"/>
          <w:szCs w:val="22"/>
        </w:rPr>
      </w:pPr>
      <w:r w:rsidRPr="00855213">
        <w:rPr>
          <w:rFonts w:ascii="Century Gothic" w:hAnsi="Century Gothic" w:cs="Times New Roman"/>
          <w:sz w:val="22"/>
          <w:szCs w:val="22"/>
        </w:rPr>
        <w:lastRenderedPageBreak/>
        <w:t xml:space="preserve">Appendix 11: </w:t>
      </w:r>
      <w:r w:rsidR="17CF59B6" w:rsidRPr="00855213">
        <w:rPr>
          <w:rFonts w:ascii="Century Gothic" w:hAnsi="Century Gothic" w:cs="Times New Roman"/>
          <w:sz w:val="22"/>
          <w:szCs w:val="22"/>
        </w:rPr>
        <w:t>LIPH Occupancy</w:t>
      </w:r>
      <w:bookmarkEnd w:id="392"/>
    </w:p>
    <w:tbl>
      <w:tblPr>
        <w:tblStyle w:val="TableGrid"/>
        <w:tblW w:w="11245" w:type="dxa"/>
        <w:tblLayout w:type="fixed"/>
        <w:tblLook w:val="06A0" w:firstRow="1" w:lastRow="0" w:firstColumn="1" w:lastColumn="0" w:noHBand="1" w:noVBand="1"/>
      </w:tblPr>
      <w:tblGrid>
        <w:gridCol w:w="1635"/>
        <w:gridCol w:w="1335"/>
        <w:gridCol w:w="985"/>
        <w:gridCol w:w="1440"/>
        <w:gridCol w:w="1260"/>
        <w:gridCol w:w="990"/>
        <w:gridCol w:w="1620"/>
        <w:gridCol w:w="1980"/>
      </w:tblGrid>
      <w:tr w:rsidR="00DE3C66" w:rsidRPr="006D6566" w14:paraId="337C4E73" w14:textId="767E4D92" w:rsidTr="00DE3C66">
        <w:trPr>
          <w:trHeight w:val="1515"/>
        </w:trPr>
        <w:tc>
          <w:tcPr>
            <w:tcW w:w="1635"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F2DCDB"/>
            <w:vAlign w:val="center"/>
          </w:tcPr>
          <w:p w14:paraId="18522BCB" w14:textId="04163A24" w:rsidR="00DE3C66" w:rsidRPr="00855213" w:rsidRDefault="00DE3C66" w:rsidP="003F7389">
            <w:pPr>
              <w:rPr>
                <w:rFonts w:ascii="Century Gothic" w:hAnsi="Century Gothic"/>
              </w:rPr>
            </w:pPr>
            <w:r w:rsidRPr="00855213">
              <w:rPr>
                <w:rFonts w:ascii="Century Gothic" w:eastAsia="Times New Roman" w:hAnsi="Century Gothic"/>
                <w:b/>
                <w:bCs/>
                <w:color w:val="000000" w:themeColor="text1"/>
                <w:sz w:val="20"/>
                <w:szCs w:val="20"/>
              </w:rPr>
              <w:t>Dev #</w:t>
            </w:r>
            <w:r w:rsidRPr="00855213">
              <w:rPr>
                <w:rFonts w:ascii="Century Gothic" w:eastAsia="Times New Roman" w:hAnsi="Century Gothic"/>
                <w:color w:val="000000" w:themeColor="text1"/>
                <w:sz w:val="20"/>
                <w:szCs w:val="20"/>
              </w:rPr>
              <w:t xml:space="preserve">  </w:t>
            </w:r>
          </w:p>
        </w:tc>
        <w:tc>
          <w:tcPr>
            <w:tcW w:w="1335"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F2DCDB"/>
            <w:vAlign w:val="center"/>
          </w:tcPr>
          <w:p w14:paraId="2F783B70" w14:textId="1F1517F4"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b/>
                <w:bCs/>
                <w:color w:val="000000" w:themeColor="text1"/>
                <w:sz w:val="20"/>
                <w:szCs w:val="20"/>
              </w:rPr>
              <w:t>Site</w:t>
            </w:r>
            <w:r w:rsidRPr="00855213">
              <w:rPr>
                <w:rFonts w:ascii="Century Gothic" w:eastAsia="Times New Roman" w:hAnsi="Century Gothic"/>
                <w:color w:val="000000" w:themeColor="text1"/>
                <w:sz w:val="20"/>
                <w:szCs w:val="20"/>
              </w:rPr>
              <w:t xml:space="preserve">  </w:t>
            </w:r>
          </w:p>
        </w:tc>
        <w:tc>
          <w:tcPr>
            <w:tcW w:w="985"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F2DCDB"/>
          </w:tcPr>
          <w:p w14:paraId="638DE930" w14:textId="77777777" w:rsidR="00DE3C66" w:rsidRPr="00855213" w:rsidRDefault="00DE3C66" w:rsidP="46316ACA">
            <w:pPr>
              <w:jc w:val="center"/>
              <w:rPr>
                <w:rFonts w:ascii="Century Gothic" w:eastAsia="Times New Roman" w:hAnsi="Century Gothic"/>
                <w:b/>
                <w:bCs/>
                <w:color w:val="000000" w:themeColor="text1"/>
                <w:sz w:val="20"/>
                <w:szCs w:val="20"/>
              </w:rPr>
            </w:pPr>
          </w:p>
          <w:p w14:paraId="302A33F7" w14:textId="77777777" w:rsidR="00DE3C66" w:rsidRPr="00855213" w:rsidRDefault="00DE3C66" w:rsidP="46316ACA">
            <w:pPr>
              <w:jc w:val="center"/>
              <w:rPr>
                <w:rFonts w:ascii="Century Gothic" w:eastAsia="Times New Roman" w:hAnsi="Century Gothic"/>
                <w:b/>
                <w:bCs/>
                <w:color w:val="000000" w:themeColor="text1"/>
                <w:sz w:val="20"/>
                <w:szCs w:val="20"/>
              </w:rPr>
            </w:pPr>
          </w:p>
          <w:p w14:paraId="01C292D3" w14:textId="77777777" w:rsidR="00DE3C66" w:rsidRPr="00855213" w:rsidRDefault="00DE3C66" w:rsidP="46316ACA">
            <w:pPr>
              <w:jc w:val="center"/>
              <w:rPr>
                <w:rFonts w:ascii="Century Gothic" w:eastAsia="Times New Roman" w:hAnsi="Century Gothic"/>
                <w:b/>
                <w:bCs/>
                <w:color w:val="000000" w:themeColor="text1"/>
                <w:sz w:val="20"/>
                <w:szCs w:val="20"/>
              </w:rPr>
            </w:pPr>
          </w:p>
          <w:p w14:paraId="5D2A310D" w14:textId="65762DA9" w:rsidR="00DE3C66" w:rsidRPr="00855213" w:rsidRDefault="00DE3C66" w:rsidP="46316ACA">
            <w:pPr>
              <w:jc w:val="center"/>
              <w:rPr>
                <w:rFonts w:ascii="Century Gothic" w:eastAsia="Times New Roman" w:hAnsi="Century Gothic"/>
                <w:b/>
                <w:bCs/>
                <w:color w:val="000000" w:themeColor="text1"/>
                <w:sz w:val="20"/>
                <w:szCs w:val="20"/>
              </w:rPr>
            </w:pPr>
            <w:r w:rsidRPr="00855213">
              <w:rPr>
                <w:rFonts w:ascii="Century Gothic" w:eastAsia="Times New Roman" w:hAnsi="Century Gothic"/>
                <w:b/>
                <w:bCs/>
                <w:color w:val="000000" w:themeColor="text1"/>
                <w:sz w:val="20"/>
                <w:szCs w:val="20"/>
              </w:rPr>
              <w:t xml:space="preserve">FY24 </w:t>
            </w:r>
          </w:p>
        </w:tc>
        <w:tc>
          <w:tcPr>
            <w:tcW w:w="144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F2DCDB"/>
            <w:vAlign w:val="center"/>
          </w:tcPr>
          <w:p w14:paraId="0203750E" w14:textId="6F0918A4" w:rsidR="00DE3C66" w:rsidRPr="00855213" w:rsidRDefault="00DE3C66" w:rsidP="46316ACA">
            <w:pPr>
              <w:jc w:val="center"/>
              <w:rPr>
                <w:rFonts w:ascii="Century Gothic" w:eastAsia="Times New Roman" w:hAnsi="Century Gothic"/>
                <w:b/>
                <w:bCs/>
                <w:color w:val="000000" w:themeColor="text1"/>
                <w:sz w:val="20"/>
                <w:szCs w:val="20"/>
              </w:rPr>
            </w:pPr>
            <w:r w:rsidRPr="00855213">
              <w:rPr>
                <w:rFonts w:ascii="Century Gothic" w:eastAsia="Times New Roman" w:hAnsi="Century Gothic"/>
                <w:b/>
                <w:bCs/>
                <w:color w:val="000000" w:themeColor="text1"/>
                <w:sz w:val="20"/>
                <w:szCs w:val="20"/>
              </w:rPr>
              <w:t>FY23</w:t>
            </w:r>
            <w:r w:rsidRPr="00855213">
              <w:rPr>
                <w:rFonts w:ascii="Century Gothic" w:eastAsia="Times New Roman" w:hAnsi="Century Gothic"/>
                <w:color w:val="000000" w:themeColor="text1"/>
                <w:sz w:val="20"/>
                <w:szCs w:val="20"/>
              </w:rPr>
              <w:t xml:space="preserve"> </w:t>
            </w:r>
            <w:r w:rsidRPr="00855213">
              <w:rPr>
                <w:rFonts w:ascii="Century Gothic" w:eastAsia="Times New Roman" w:hAnsi="Century Gothic"/>
                <w:b/>
                <w:bCs/>
                <w:color w:val="000000" w:themeColor="text1"/>
                <w:sz w:val="20"/>
                <w:szCs w:val="20"/>
              </w:rPr>
              <w:t xml:space="preserve"> </w:t>
            </w:r>
          </w:p>
        </w:tc>
        <w:tc>
          <w:tcPr>
            <w:tcW w:w="126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F2DCDB"/>
            <w:vAlign w:val="center"/>
          </w:tcPr>
          <w:p w14:paraId="37851244" w14:textId="0D6247C2" w:rsidR="00DE3C66" w:rsidRPr="00855213" w:rsidRDefault="00DE3C66" w:rsidP="46316ACA">
            <w:pPr>
              <w:jc w:val="center"/>
              <w:rPr>
                <w:rFonts w:ascii="Century Gothic" w:eastAsia="Times New Roman" w:hAnsi="Century Gothic"/>
                <w:b/>
                <w:bCs/>
                <w:color w:val="000000" w:themeColor="text1"/>
                <w:sz w:val="20"/>
                <w:szCs w:val="20"/>
              </w:rPr>
            </w:pPr>
            <w:r w:rsidRPr="00855213">
              <w:rPr>
                <w:rFonts w:ascii="Century Gothic" w:eastAsia="Times New Roman" w:hAnsi="Century Gothic"/>
                <w:b/>
                <w:bCs/>
                <w:color w:val="000000" w:themeColor="text1"/>
                <w:sz w:val="20"/>
                <w:szCs w:val="20"/>
              </w:rPr>
              <w:t>FY22</w:t>
            </w:r>
            <w:r w:rsidRPr="00855213">
              <w:rPr>
                <w:rFonts w:ascii="Century Gothic" w:eastAsia="Times New Roman" w:hAnsi="Century Gothic"/>
                <w:color w:val="000000" w:themeColor="text1"/>
                <w:sz w:val="20"/>
                <w:szCs w:val="20"/>
              </w:rPr>
              <w:t xml:space="preserve"> </w:t>
            </w:r>
            <w:r w:rsidRPr="00855213">
              <w:rPr>
                <w:rFonts w:ascii="Century Gothic" w:eastAsia="Times New Roman" w:hAnsi="Century Gothic"/>
                <w:b/>
                <w:bCs/>
                <w:color w:val="000000" w:themeColor="text1"/>
                <w:sz w:val="20"/>
                <w:szCs w:val="20"/>
              </w:rPr>
              <w:t xml:space="preserve"> </w:t>
            </w:r>
          </w:p>
        </w:tc>
        <w:tc>
          <w:tcPr>
            <w:tcW w:w="99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F2DCDB"/>
            <w:vAlign w:val="center"/>
          </w:tcPr>
          <w:p w14:paraId="283A5CC9" w14:textId="1D946A22"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b/>
                <w:bCs/>
                <w:color w:val="000000" w:themeColor="text1"/>
                <w:sz w:val="20"/>
                <w:szCs w:val="20"/>
              </w:rPr>
              <w:t>FY21</w:t>
            </w:r>
            <w:r w:rsidRPr="00855213">
              <w:rPr>
                <w:rFonts w:ascii="Century Gothic" w:eastAsia="Times New Roman" w:hAnsi="Century Gothic"/>
                <w:color w:val="000000" w:themeColor="text1"/>
                <w:sz w:val="20"/>
                <w:szCs w:val="20"/>
              </w:rPr>
              <w:t xml:space="preserve"> </w:t>
            </w:r>
          </w:p>
        </w:tc>
        <w:tc>
          <w:tcPr>
            <w:tcW w:w="162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F2DCDB"/>
            <w:vAlign w:val="center"/>
          </w:tcPr>
          <w:p w14:paraId="002DE24E" w14:textId="48262CDA"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b/>
                <w:bCs/>
                <w:color w:val="000000" w:themeColor="text1"/>
                <w:sz w:val="20"/>
                <w:szCs w:val="20"/>
              </w:rPr>
              <w:t>FY20</w:t>
            </w:r>
            <w:r w:rsidRPr="00855213">
              <w:rPr>
                <w:rFonts w:ascii="Century Gothic" w:eastAsia="Times New Roman" w:hAnsi="Century Gothic"/>
                <w:color w:val="000000" w:themeColor="text1"/>
                <w:sz w:val="20"/>
                <w:szCs w:val="20"/>
              </w:rPr>
              <w:t xml:space="preserve">  </w:t>
            </w:r>
          </w:p>
        </w:tc>
        <w:tc>
          <w:tcPr>
            <w:tcW w:w="198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F2DCDB"/>
            <w:vAlign w:val="center"/>
          </w:tcPr>
          <w:p w14:paraId="1305AF95" w14:textId="4BCD156F"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b/>
                <w:bCs/>
                <w:color w:val="000000" w:themeColor="text1"/>
                <w:sz w:val="20"/>
                <w:szCs w:val="20"/>
              </w:rPr>
              <w:t>FY19</w:t>
            </w:r>
            <w:r w:rsidRPr="00855213">
              <w:rPr>
                <w:rFonts w:ascii="Century Gothic" w:eastAsia="Times New Roman" w:hAnsi="Century Gothic"/>
                <w:color w:val="000000" w:themeColor="text1"/>
                <w:sz w:val="20"/>
                <w:szCs w:val="20"/>
              </w:rPr>
              <w:t xml:space="preserve">  </w:t>
            </w:r>
          </w:p>
        </w:tc>
      </w:tr>
      <w:tr w:rsidR="00DE3C66" w:rsidRPr="006D6566" w14:paraId="1CA29BF4" w14:textId="793F0EC7" w:rsidTr="00DE3C66">
        <w:trPr>
          <w:trHeight w:val="525"/>
        </w:trPr>
        <w:tc>
          <w:tcPr>
            <w:tcW w:w="1635" w:type="dxa"/>
            <w:tcBorders>
              <w:top w:val="nil"/>
              <w:left w:val="single" w:sz="8" w:space="0" w:color="000000" w:themeColor="text1"/>
              <w:bottom w:val="single" w:sz="8" w:space="0" w:color="auto"/>
              <w:right w:val="single" w:sz="8" w:space="0" w:color="000000" w:themeColor="text1"/>
            </w:tcBorders>
            <w:vAlign w:val="center"/>
          </w:tcPr>
          <w:p w14:paraId="747B4EB3" w14:textId="4DFE50D8"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CT004000001  </w:t>
            </w:r>
          </w:p>
        </w:tc>
        <w:tc>
          <w:tcPr>
            <w:tcW w:w="1335" w:type="dxa"/>
            <w:tcBorders>
              <w:top w:val="nil"/>
              <w:left w:val="single" w:sz="8" w:space="0" w:color="000000" w:themeColor="text1"/>
              <w:bottom w:val="single" w:sz="8" w:space="0" w:color="000000" w:themeColor="text1"/>
              <w:right w:val="single" w:sz="8" w:space="0" w:color="000000" w:themeColor="text1"/>
            </w:tcBorders>
            <w:shd w:val="clear" w:color="auto" w:fill="DDD9C4"/>
            <w:vAlign w:val="center"/>
          </w:tcPr>
          <w:p w14:paraId="089CD549" w14:textId="56539E8F"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Westville Manor  </w:t>
            </w:r>
          </w:p>
        </w:tc>
        <w:tc>
          <w:tcPr>
            <w:tcW w:w="985" w:type="dxa"/>
            <w:tcBorders>
              <w:top w:val="nil"/>
              <w:left w:val="single" w:sz="8" w:space="0" w:color="000000" w:themeColor="text1"/>
              <w:bottom w:val="single" w:sz="8" w:space="0" w:color="000000" w:themeColor="text1"/>
              <w:right w:val="single" w:sz="8" w:space="0" w:color="000000" w:themeColor="text1"/>
            </w:tcBorders>
          </w:tcPr>
          <w:p w14:paraId="251A4E16"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nil"/>
              <w:left w:val="single" w:sz="8" w:space="0" w:color="000000" w:themeColor="text1"/>
              <w:bottom w:val="single" w:sz="8" w:space="0" w:color="000000" w:themeColor="text1"/>
              <w:right w:val="single" w:sz="8" w:space="0" w:color="000000" w:themeColor="text1"/>
            </w:tcBorders>
            <w:vAlign w:val="center"/>
          </w:tcPr>
          <w:p w14:paraId="63F95715" w14:textId="450D2A3D" w:rsidR="00DE3C66" w:rsidRPr="00855213" w:rsidRDefault="00DE3C66" w:rsidP="46316ACA">
            <w:pPr>
              <w:jc w:val="center"/>
              <w:rPr>
                <w:rFonts w:ascii="Century Gothic" w:eastAsia="Times New Roman" w:hAnsi="Century Gothic"/>
                <w:color w:val="000000" w:themeColor="text1"/>
                <w:sz w:val="20"/>
                <w:szCs w:val="20"/>
                <w:u w:val="single"/>
              </w:rPr>
            </w:pPr>
            <w:r w:rsidRPr="00855213">
              <w:rPr>
                <w:rFonts w:ascii="Century Gothic" w:eastAsia="Times New Roman" w:hAnsi="Century Gothic"/>
                <w:color w:val="000000" w:themeColor="text1"/>
                <w:sz w:val="20"/>
                <w:szCs w:val="20"/>
              </w:rPr>
              <w:t>98%</w:t>
            </w:r>
          </w:p>
        </w:tc>
        <w:tc>
          <w:tcPr>
            <w:tcW w:w="1260" w:type="dxa"/>
            <w:tcBorders>
              <w:top w:val="nil"/>
              <w:left w:val="single" w:sz="8" w:space="0" w:color="000000" w:themeColor="text1"/>
              <w:bottom w:val="single" w:sz="8" w:space="0" w:color="000000" w:themeColor="text1"/>
              <w:right w:val="single" w:sz="8" w:space="0" w:color="000000" w:themeColor="text1"/>
            </w:tcBorders>
            <w:vAlign w:val="center"/>
          </w:tcPr>
          <w:p w14:paraId="00011474" w14:textId="3E170242"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98%</w:t>
            </w:r>
          </w:p>
        </w:tc>
        <w:tc>
          <w:tcPr>
            <w:tcW w:w="990" w:type="dxa"/>
            <w:tcBorders>
              <w:top w:val="nil"/>
              <w:left w:val="single" w:sz="8" w:space="0" w:color="000000" w:themeColor="text1"/>
              <w:bottom w:val="single" w:sz="8" w:space="0" w:color="000000" w:themeColor="text1"/>
              <w:right w:val="single" w:sz="8" w:space="0" w:color="000000" w:themeColor="text1"/>
            </w:tcBorders>
            <w:vAlign w:val="center"/>
          </w:tcPr>
          <w:p w14:paraId="4B9FC55B" w14:textId="3425BBB0"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87% </w:t>
            </w:r>
          </w:p>
        </w:tc>
        <w:tc>
          <w:tcPr>
            <w:tcW w:w="1620" w:type="dxa"/>
            <w:tcBorders>
              <w:top w:val="nil"/>
              <w:left w:val="single" w:sz="8" w:space="0" w:color="000000" w:themeColor="text1"/>
              <w:bottom w:val="single" w:sz="8" w:space="0" w:color="000000" w:themeColor="text1"/>
              <w:right w:val="single" w:sz="8" w:space="0" w:color="000000" w:themeColor="text1"/>
            </w:tcBorders>
            <w:vAlign w:val="center"/>
          </w:tcPr>
          <w:p w14:paraId="4C9F6BF2" w14:textId="5529D733"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97% </w:t>
            </w:r>
          </w:p>
        </w:tc>
        <w:tc>
          <w:tcPr>
            <w:tcW w:w="1980" w:type="dxa"/>
            <w:tcBorders>
              <w:top w:val="nil"/>
              <w:left w:val="single" w:sz="8" w:space="0" w:color="000000" w:themeColor="text1"/>
              <w:bottom w:val="single" w:sz="8" w:space="0" w:color="000000" w:themeColor="text1"/>
              <w:right w:val="single" w:sz="8" w:space="0" w:color="000000" w:themeColor="text1"/>
            </w:tcBorders>
            <w:vAlign w:val="center"/>
          </w:tcPr>
          <w:p w14:paraId="72CF3B85" w14:textId="5612CE94"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98% </w:t>
            </w:r>
          </w:p>
        </w:tc>
      </w:tr>
      <w:tr w:rsidR="00DE3C66" w:rsidRPr="006D6566" w14:paraId="472098BF" w14:textId="049B79F1" w:rsidTr="00DE3C66">
        <w:trPr>
          <w:trHeight w:val="525"/>
        </w:trPr>
        <w:tc>
          <w:tcPr>
            <w:tcW w:w="1635" w:type="dxa"/>
            <w:tcBorders>
              <w:top w:val="single" w:sz="8" w:space="0" w:color="auto"/>
              <w:left w:val="single" w:sz="8" w:space="0" w:color="000000" w:themeColor="text1"/>
              <w:bottom w:val="single" w:sz="8" w:space="0" w:color="auto"/>
              <w:right w:val="single" w:sz="8" w:space="0" w:color="000000" w:themeColor="text1"/>
            </w:tcBorders>
            <w:vAlign w:val="center"/>
          </w:tcPr>
          <w:p w14:paraId="50293E0B" w14:textId="52747061"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CT004000004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4"/>
            <w:vAlign w:val="center"/>
          </w:tcPr>
          <w:p w14:paraId="51A3BFB3" w14:textId="34ADAB25"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McConaughy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397F0"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795B5B" w14:textId="3DBB61CC"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100% </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A0E70C" w14:textId="1A1FB6E4"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89%</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0DA75A" w14:textId="094153D8"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98%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C813AD" w14:textId="6174A203"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97%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09202" w14:textId="4F0DFC49"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92% </w:t>
            </w:r>
          </w:p>
        </w:tc>
      </w:tr>
      <w:tr w:rsidR="00DE3C66" w:rsidRPr="006D6566" w14:paraId="75F4E85D" w14:textId="69143940" w:rsidTr="00DE3C66">
        <w:trPr>
          <w:trHeight w:val="525"/>
        </w:trPr>
        <w:tc>
          <w:tcPr>
            <w:tcW w:w="1635" w:type="dxa"/>
            <w:tcBorders>
              <w:top w:val="single" w:sz="8" w:space="0" w:color="auto"/>
              <w:left w:val="single" w:sz="8" w:space="0" w:color="000000" w:themeColor="text1"/>
              <w:bottom w:val="single" w:sz="8" w:space="0" w:color="auto"/>
              <w:right w:val="single" w:sz="8" w:space="0" w:color="000000" w:themeColor="text1"/>
            </w:tcBorders>
            <w:vAlign w:val="center"/>
          </w:tcPr>
          <w:p w14:paraId="4DDD844D" w14:textId="375818C4"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CT004000005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4"/>
            <w:vAlign w:val="center"/>
          </w:tcPr>
          <w:p w14:paraId="37D9673F" w14:textId="412B5755"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Valley 2s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C0952" w14:textId="77777777" w:rsidR="00DE3C66" w:rsidRPr="00855213" w:rsidRDefault="00DE3C66" w:rsidP="46316ACA">
            <w:pPr>
              <w:jc w:val="center"/>
              <w:rPr>
                <w:rFonts w:ascii="Century Gothic" w:eastAsia="Times New Roman" w:hAnsi="Century Gothic"/>
                <w:color w:val="00B0F0"/>
                <w:sz w:val="20"/>
                <w:szCs w:val="20"/>
                <w:u w:val="single"/>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1C1AFB" w14:textId="24FB4252" w:rsidR="00DE3C66" w:rsidRPr="00855213" w:rsidRDefault="00DE3C66" w:rsidP="46316ACA">
            <w:pPr>
              <w:jc w:val="center"/>
              <w:rPr>
                <w:rFonts w:ascii="Century Gothic" w:eastAsia="Times New Roman" w:hAnsi="Century Gothic"/>
                <w:color w:val="000000" w:themeColor="text1"/>
                <w:sz w:val="20"/>
                <w:szCs w:val="20"/>
                <w:u w:val="single"/>
              </w:rPr>
            </w:pPr>
            <w:r w:rsidRPr="00855213">
              <w:rPr>
                <w:rFonts w:ascii="Century Gothic" w:eastAsia="Times New Roman" w:hAnsi="Century Gothic"/>
                <w:color w:val="00B0F0"/>
                <w:sz w:val="20"/>
                <w:szCs w:val="20"/>
                <w:u w:val="single"/>
              </w:rPr>
              <w:t>n/a</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EF3A6D" w14:textId="454204BF"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46%</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153526" w14:textId="7C736FC0"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80%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69ACE5" w14:textId="435103A5"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80%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4998EB" w14:textId="330A4C34"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87% </w:t>
            </w:r>
          </w:p>
        </w:tc>
      </w:tr>
      <w:tr w:rsidR="00DE3C66" w:rsidRPr="006D6566" w14:paraId="2D72703F" w14:textId="3D6BCC99" w:rsidTr="00DE3C66">
        <w:trPr>
          <w:trHeight w:val="525"/>
        </w:trPr>
        <w:tc>
          <w:tcPr>
            <w:tcW w:w="1635" w:type="dxa"/>
            <w:tcBorders>
              <w:top w:val="single" w:sz="8" w:space="0" w:color="auto"/>
              <w:left w:val="single" w:sz="8" w:space="0" w:color="000000" w:themeColor="text1"/>
              <w:bottom w:val="single" w:sz="8" w:space="0" w:color="auto"/>
              <w:right w:val="single" w:sz="8" w:space="0" w:color="000000" w:themeColor="text1"/>
            </w:tcBorders>
            <w:vAlign w:val="center"/>
          </w:tcPr>
          <w:p w14:paraId="0CD2E338" w14:textId="40C06A43"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CT004000010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4"/>
            <w:vAlign w:val="center"/>
          </w:tcPr>
          <w:p w14:paraId="2262DB1C" w14:textId="63CAED85"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Crawford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608E2"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DC0E17" w14:textId="7619B0F1" w:rsidR="00DE3C66" w:rsidRPr="00855213" w:rsidRDefault="00DE3C66" w:rsidP="46316ACA">
            <w:pPr>
              <w:jc w:val="center"/>
              <w:rPr>
                <w:rFonts w:ascii="Century Gothic" w:hAnsi="Century Gothic"/>
              </w:rPr>
            </w:pPr>
            <w:r w:rsidRPr="00855213">
              <w:rPr>
                <w:rFonts w:ascii="Century Gothic" w:eastAsia="Times New Roman" w:hAnsi="Century Gothic"/>
                <w:color w:val="000000" w:themeColor="text1"/>
                <w:sz w:val="20"/>
                <w:szCs w:val="20"/>
              </w:rPr>
              <w:t>99%</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998CAD" w14:textId="44B60E50"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87%</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AA0C73" w14:textId="645525D6"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84%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D84B22" w14:textId="5F3ECE57"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94%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5F6D28" w14:textId="2CBE9D46"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94% </w:t>
            </w:r>
          </w:p>
        </w:tc>
      </w:tr>
      <w:tr w:rsidR="00855213" w:rsidRPr="006D6566" w14:paraId="0FD02FAF" w14:textId="46E31A91" w:rsidTr="00855213">
        <w:trPr>
          <w:trHeight w:val="525"/>
        </w:trPr>
        <w:tc>
          <w:tcPr>
            <w:tcW w:w="1635" w:type="dxa"/>
            <w:tcBorders>
              <w:top w:val="single" w:sz="8" w:space="0" w:color="auto"/>
              <w:left w:val="single" w:sz="4" w:space="0" w:color="000000" w:themeColor="text1"/>
              <w:bottom w:val="single" w:sz="8" w:space="0" w:color="000000" w:themeColor="text1"/>
              <w:right w:val="single" w:sz="8" w:space="0" w:color="000000" w:themeColor="text1"/>
            </w:tcBorders>
          </w:tcPr>
          <w:p w14:paraId="7B0EAF50" w14:textId="09585596" w:rsidR="00855213" w:rsidRPr="00855213" w:rsidRDefault="00855213" w:rsidP="00855213">
            <w:pPr>
              <w:rPr>
                <w:rFonts w:ascii="Century Gothic" w:hAnsi="Century Gothic"/>
              </w:rPr>
            </w:pP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8CA99" w14:textId="1CD80E25" w:rsidR="00855213" w:rsidRPr="00855213" w:rsidRDefault="00855213" w:rsidP="00855213">
            <w:pPr>
              <w:jc w:val="center"/>
              <w:rPr>
                <w:rFonts w:ascii="Century Gothic" w:eastAsia="Times New Roman" w:hAnsi="Century Gothic"/>
                <w:color w:val="000000" w:themeColor="text1"/>
                <w:sz w:val="20"/>
                <w:szCs w:val="20"/>
              </w:rPr>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D021AF" w14:textId="77777777" w:rsidR="00855213" w:rsidRPr="00855213" w:rsidRDefault="00855213" w:rsidP="00855213">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93C2A" w14:textId="27A37331" w:rsidR="00855213" w:rsidRPr="00855213" w:rsidRDefault="00855213" w:rsidP="00855213">
            <w:pPr>
              <w:jc w:val="center"/>
              <w:rPr>
                <w:rFonts w:ascii="Century Gothic" w:eastAsia="Times New Roman" w:hAnsi="Century Gothic"/>
                <w:color w:val="000000" w:themeColor="text1"/>
                <w:sz w:val="20"/>
                <w:szCs w:val="20"/>
              </w:rPr>
            </w:pP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FBA4E1" w14:textId="4486D8CC" w:rsidR="00855213" w:rsidRPr="00855213" w:rsidRDefault="00855213" w:rsidP="00855213">
            <w:pPr>
              <w:jc w:val="right"/>
              <w:rPr>
                <w:rFonts w:ascii="Century Gothic" w:eastAsia="Times New Roman" w:hAnsi="Century Gothic"/>
                <w:color w:val="000000" w:themeColor="text1"/>
                <w:sz w:val="20"/>
                <w:szCs w:val="20"/>
              </w:rPr>
            </w:pP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E31DF0" w14:textId="0437D438" w:rsidR="00855213" w:rsidRPr="00855213" w:rsidRDefault="00855213" w:rsidP="00855213">
            <w:pPr>
              <w:jc w:val="right"/>
              <w:rPr>
                <w:rFonts w:ascii="Century Gothic" w:eastAsia="Times New Roman" w:hAnsi="Century Gothic"/>
                <w:color w:val="000000" w:themeColor="text1"/>
                <w:sz w:val="20"/>
                <w:szCs w:val="20"/>
              </w:rPr>
            </w:pP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1F2F2" w14:textId="6CD50E1B" w:rsidR="00855213" w:rsidRPr="00855213" w:rsidRDefault="00855213" w:rsidP="00855213">
            <w:pPr>
              <w:jc w:val="right"/>
              <w:rPr>
                <w:rFonts w:ascii="Century Gothic" w:eastAsia="Times New Roman" w:hAnsi="Century Gothic"/>
                <w:color w:val="000000" w:themeColor="text1"/>
                <w:sz w:val="20"/>
                <w:szCs w:val="20"/>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8F783" w14:textId="448B10A1" w:rsidR="00855213" w:rsidRPr="00855213" w:rsidRDefault="00855213" w:rsidP="00855213">
            <w:pPr>
              <w:jc w:val="center"/>
              <w:rPr>
                <w:rFonts w:ascii="Century Gothic" w:eastAsia="Times New Roman" w:hAnsi="Century Gothic"/>
                <w:sz w:val="20"/>
                <w:szCs w:val="20"/>
              </w:rPr>
            </w:pPr>
          </w:p>
        </w:tc>
      </w:tr>
      <w:tr w:rsidR="00DE3C66" w:rsidRPr="006D6566" w14:paraId="48D619D5" w14:textId="4FE7D61C"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23F19757" w14:textId="733D3285"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CT004000012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060948" w14:textId="4970D773"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Winslow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FCADD4"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D42832" w14:textId="107F556B"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0C0129" w14:textId="0428AC9B"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3D4E05" w14:textId="1F80240C"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 n/a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7D4537" w14:textId="1317B4A3"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66451A" w14:textId="0631A9CC"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91% </w:t>
            </w:r>
          </w:p>
        </w:tc>
      </w:tr>
      <w:tr w:rsidR="00DE3C66" w:rsidRPr="006D6566" w14:paraId="09C0C09E" w14:textId="08286579"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4F4D5270" w14:textId="0B71820F"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CT004000013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4"/>
            <w:vAlign w:val="center"/>
          </w:tcPr>
          <w:p w14:paraId="641C8F49" w14:textId="7CFC867D"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Wolfe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457C51"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F6C7DA" w14:textId="62FF82B0"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97%</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CEF62F" w14:textId="0CC45BEC"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83%</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60A290" w14:textId="509C6B8E"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87%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CB1158" w14:textId="1DD3BEA0"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98%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E5952F" w14:textId="53A3B210"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92% </w:t>
            </w:r>
          </w:p>
        </w:tc>
      </w:tr>
      <w:tr w:rsidR="00DE3C66" w:rsidRPr="006D6566" w14:paraId="155693A9" w14:textId="1DB8A7B0"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28611706" w14:textId="35753141"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CT004000014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69AC01" w14:textId="2F947FDE" w:rsidR="00DE3C66" w:rsidRPr="00855213" w:rsidRDefault="00DE3C66" w:rsidP="003F7389">
            <w:pPr>
              <w:jc w:val="center"/>
              <w:rPr>
                <w:rFonts w:ascii="Century Gothic" w:eastAsia="Times New Roman" w:hAnsi="Century Gothic"/>
                <w:color w:val="000000" w:themeColor="text1"/>
                <w:sz w:val="20"/>
                <w:szCs w:val="20"/>
              </w:rPr>
            </w:pPr>
            <w:proofErr w:type="spellStart"/>
            <w:r w:rsidRPr="00855213">
              <w:rPr>
                <w:rFonts w:ascii="Century Gothic" w:eastAsia="Times New Roman" w:hAnsi="Century Gothic"/>
                <w:color w:val="000000" w:themeColor="text1"/>
                <w:sz w:val="20"/>
                <w:szCs w:val="20"/>
              </w:rPr>
              <w:t>Farnam</w:t>
            </w:r>
            <w:proofErr w:type="spellEnd"/>
            <w:r w:rsidRPr="00855213">
              <w:rPr>
                <w:rFonts w:ascii="Century Gothic" w:eastAsia="Times New Roman" w:hAnsi="Century Gothic"/>
                <w:color w:val="000000" w:themeColor="text1"/>
                <w:sz w:val="20"/>
                <w:szCs w:val="20"/>
              </w:rPr>
              <w:t xml:space="preserve">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CCD3A"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9D681D" w14:textId="4DFCAD9A"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AFA318" w14:textId="6E766D02"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C80877" w14:textId="6340EDFA"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65C3E0" w14:textId="68E095F9"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0%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0F3610" w14:textId="0E51AE62"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1% </w:t>
            </w:r>
          </w:p>
        </w:tc>
      </w:tr>
      <w:tr w:rsidR="00DE3C66" w:rsidRPr="006D6566" w14:paraId="7A66AECD" w14:textId="0B82CADA"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18334C4D" w14:textId="5336BD4E"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CT004000015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1D0CBD" w14:textId="602F3B74" w:rsidR="00DE3C66" w:rsidRPr="00855213" w:rsidRDefault="00DE3C66" w:rsidP="003F7389">
            <w:pPr>
              <w:jc w:val="center"/>
              <w:rPr>
                <w:rFonts w:ascii="Century Gothic" w:eastAsia="Times New Roman" w:hAnsi="Century Gothic"/>
                <w:color w:val="000000" w:themeColor="text1"/>
                <w:sz w:val="20"/>
                <w:szCs w:val="20"/>
              </w:rPr>
            </w:pPr>
            <w:proofErr w:type="spellStart"/>
            <w:r w:rsidRPr="00855213">
              <w:rPr>
                <w:rFonts w:ascii="Century Gothic" w:eastAsia="Times New Roman" w:hAnsi="Century Gothic"/>
                <w:color w:val="000000" w:themeColor="text1"/>
                <w:sz w:val="20"/>
                <w:szCs w:val="20"/>
              </w:rPr>
              <w:t>Ruoppolo</w:t>
            </w:r>
            <w:proofErr w:type="spellEnd"/>
            <w:r w:rsidRPr="00855213">
              <w:rPr>
                <w:rFonts w:ascii="Century Gothic" w:eastAsia="Times New Roman" w:hAnsi="Century Gothic"/>
                <w:color w:val="000000" w:themeColor="text1"/>
                <w:sz w:val="20"/>
                <w:szCs w:val="20"/>
              </w:rPr>
              <w:t xml:space="preserve"> 2s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F5D187"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FBA310" w14:textId="68D816F6"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E2C936" w14:textId="011EDA4A"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DBD5F5" w14:textId="6626BFCA"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 n/a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C92D97" w14:textId="7A53B81E"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81%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C106FA" w14:textId="1ED13326"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84% </w:t>
            </w:r>
          </w:p>
        </w:tc>
      </w:tr>
      <w:tr w:rsidR="00DE3C66" w:rsidRPr="006D6566" w14:paraId="62929E1B" w14:textId="03856DE3" w:rsidTr="00DE3C66">
        <w:trPr>
          <w:trHeight w:val="31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4591039A" w14:textId="4F24781B"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90A93C" w14:textId="2D797E9B"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Fairmont 4s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39399"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75CF72" w14:textId="59E89A48"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AF56A9" w14:textId="74089F4A"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n/a</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350BC9" w14:textId="430ACD40"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 n/a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9595B" w14:textId="0B6DEBB2"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82%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543884" w14:textId="22AE1F76"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84% </w:t>
            </w:r>
          </w:p>
        </w:tc>
      </w:tr>
      <w:tr w:rsidR="00DE3C66" w:rsidRPr="006D6566" w14:paraId="079EA53F" w14:textId="02C2BCE6"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058EE102" w14:textId="401045AD"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CT004000016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DFEDCF" w14:textId="0E918C7E"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QT I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507114"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2D876C" w14:textId="48415B18"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99%</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BED108" w14:textId="3629DA90"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99%</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217C90" w14:textId="792653C7"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98%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03D306" w14:textId="11AE6F3F"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97%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BE57E1" w14:textId="28BDCF73"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97% </w:t>
            </w:r>
          </w:p>
        </w:tc>
      </w:tr>
      <w:tr w:rsidR="00DE3C66" w:rsidRPr="006D6566" w14:paraId="108D58EB" w14:textId="2F94BBF6"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46287E50" w14:textId="6B09508A"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CT004000017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D22B9F" w14:textId="5D677A18"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QT II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58843"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E22F53" w14:textId="2A3F8EC9"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99%</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EE158F" w14:textId="07B7438F"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F250E0" w14:textId="083D4FF4"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98%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18C6F2" w14:textId="604B338C"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100%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74DA03" w14:textId="61B90537"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100% </w:t>
            </w:r>
          </w:p>
        </w:tc>
      </w:tr>
      <w:tr w:rsidR="00DE3C66" w:rsidRPr="006D6566" w14:paraId="55842385" w14:textId="09B9B0C3"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1FDB9148" w14:textId="5E7CDAFC"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CT004000018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12E3B1" w14:textId="2B3D9649"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QT III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E6BD6"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249AAC" w14:textId="0B8D540F"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123F9F" w14:textId="19705513"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64C5BF" w14:textId="16504326"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100%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ECEA17" w14:textId="64C12160"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100%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A34323" w14:textId="0837A52C"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100% </w:t>
            </w:r>
          </w:p>
        </w:tc>
      </w:tr>
      <w:tr w:rsidR="00DE3C66" w:rsidRPr="006D6566" w14:paraId="349CC6E3" w14:textId="39E93A30"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18D1BB3A" w14:textId="0D76166F" w:rsidR="00DE3C66" w:rsidRPr="00855213" w:rsidRDefault="00DE3C66" w:rsidP="003F7389">
            <w:pPr>
              <w:rPr>
                <w:rFonts w:ascii="Century Gothic" w:hAnsi="Century Gothic"/>
              </w:rPr>
            </w:pPr>
            <w:r w:rsidRPr="00855213">
              <w:rPr>
                <w:rFonts w:ascii="Century Gothic" w:eastAsia="Times New Roman" w:hAnsi="Century Gothic"/>
                <w:color w:val="000000" w:themeColor="text1"/>
                <w:sz w:val="20"/>
                <w:szCs w:val="20"/>
              </w:rPr>
              <w:t xml:space="preserve">CT004000020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4"/>
            <w:vAlign w:val="center"/>
          </w:tcPr>
          <w:p w14:paraId="1E714DCE" w14:textId="2CF09C35" w:rsidR="00DE3C66" w:rsidRPr="00855213" w:rsidRDefault="00DE3C66" w:rsidP="003F7389">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Essex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03E94"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282007" w14:textId="43A75838"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33B92" w14:textId="264A315D"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94%</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E17694" w14:textId="1DF98B4A"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97%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B87B8A" w14:textId="4781B8F0"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97%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7B74B2" w14:textId="6CD18D4F"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91% </w:t>
            </w:r>
          </w:p>
        </w:tc>
      </w:tr>
      <w:tr w:rsidR="00DE3C66" w:rsidRPr="006D6566" w14:paraId="7551FE28" w14:textId="57F509D8"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2208B812" w14:textId="75244348" w:rsidR="00DE3C66" w:rsidRPr="00855213" w:rsidRDefault="00DE3C66" w:rsidP="19A6F694">
            <w:pPr>
              <w:rPr>
                <w:rFonts w:ascii="Century Gothic" w:eastAsia="Times New Roman" w:hAnsi="Century Gothic"/>
                <w:sz w:val="20"/>
                <w:szCs w:val="20"/>
              </w:rPr>
            </w:pPr>
            <w:r w:rsidRPr="00855213">
              <w:rPr>
                <w:rFonts w:ascii="Century Gothic" w:eastAsia="Times New Roman" w:hAnsi="Century Gothic"/>
                <w:sz w:val="20"/>
                <w:szCs w:val="20"/>
              </w:rPr>
              <w:t xml:space="preserve">CT004000021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vAlign w:val="center"/>
          </w:tcPr>
          <w:p w14:paraId="0BA552A3" w14:textId="15A70B1D"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Scattered Site Multi Family - St. Anthony II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4AFE8D57"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vAlign w:val="center"/>
          </w:tcPr>
          <w:p w14:paraId="29845533" w14:textId="6C53194D"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97%</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vAlign w:val="center"/>
          </w:tcPr>
          <w:p w14:paraId="51DF38F1" w14:textId="445F7B4F"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98%</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vAlign w:val="center"/>
          </w:tcPr>
          <w:p w14:paraId="11A5BF44" w14:textId="7B4526E5"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98%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vAlign w:val="center"/>
          </w:tcPr>
          <w:p w14:paraId="1154A049" w14:textId="7CC1F43B"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98%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vAlign w:val="center"/>
          </w:tcPr>
          <w:p w14:paraId="623F25AD" w14:textId="2DB479C9"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96% </w:t>
            </w:r>
          </w:p>
        </w:tc>
      </w:tr>
      <w:tr w:rsidR="00DE3C66" w:rsidRPr="006D6566" w14:paraId="5EDD1F3E" w14:textId="6168B424" w:rsidTr="00DE3C66">
        <w:trPr>
          <w:trHeight w:val="780"/>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5BC23A38" w14:textId="00E51B75" w:rsidR="00DE3C66" w:rsidRPr="00855213" w:rsidRDefault="00DE3C66" w:rsidP="003F7389">
            <w:pPr>
              <w:rPr>
                <w:rFonts w:ascii="Century Gothic" w:hAnsi="Century Gothic"/>
              </w:rPr>
            </w:pPr>
            <w:r w:rsidRPr="00855213">
              <w:rPr>
                <w:rFonts w:ascii="Century Gothic" w:eastAsia="Times New Roman" w:hAnsi="Century Gothic"/>
                <w:sz w:val="20"/>
                <w:szCs w:val="20"/>
              </w:rPr>
              <w:t xml:space="preserve">CT004000022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4"/>
            <w:vAlign w:val="center"/>
          </w:tcPr>
          <w:p w14:paraId="20E29A3D" w14:textId="5E663E00"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Scattered Site III - West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2373D1"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BBC071" w14:textId="64EC591C"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D64022" w14:textId="72D8B1CB"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13EC1F" w14:textId="27BB9E6E"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75D755" w14:textId="3A372D87"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C662FB" w14:textId="67A3A309" w:rsidR="00DE3C66" w:rsidRPr="00855213" w:rsidRDefault="00DE3C66" w:rsidP="003F7389">
            <w:pPr>
              <w:jc w:val="center"/>
              <w:rPr>
                <w:rFonts w:ascii="Century Gothic" w:eastAsia="Times New Roman" w:hAnsi="Century Gothic"/>
                <w:sz w:val="20"/>
                <w:szCs w:val="20"/>
              </w:rPr>
            </w:pPr>
            <w:r w:rsidRPr="00855213">
              <w:rPr>
                <w:rFonts w:ascii="Century Gothic" w:eastAsia="Times New Roman" w:hAnsi="Century Gothic"/>
                <w:sz w:val="20"/>
                <w:szCs w:val="20"/>
              </w:rPr>
              <w:t>95%</w:t>
            </w:r>
          </w:p>
        </w:tc>
      </w:tr>
      <w:tr w:rsidR="00DE3C66" w:rsidRPr="006D6566" w14:paraId="34F3EA3F" w14:textId="3E3433F8" w:rsidTr="00DE3C66">
        <w:trPr>
          <w:trHeight w:val="780"/>
        </w:trPr>
        <w:tc>
          <w:tcPr>
            <w:tcW w:w="1635" w:type="dxa"/>
            <w:tcBorders>
              <w:top w:val="single" w:sz="8" w:space="0" w:color="000000" w:themeColor="text1"/>
              <w:left w:val="single" w:sz="4" w:space="0" w:color="auto"/>
              <w:bottom w:val="single" w:sz="8" w:space="0" w:color="auto"/>
              <w:right w:val="single" w:sz="8" w:space="0" w:color="auto"/>
            </w:tcBorders>
            <w:vAlign w:val="center"/>
          </w:tcPr>
          <w:p w14:paraId="208BB68B" w14:textId="7F6826DB" w:rsidR="00DE3C66" w:rsidRPr="00855213" w:rsidRDefault="00DE3C66" w:rsidP="2B47D2C6">
            <w:pPr>
              <w:rPr>
                <w:rFonts w:ascii="Century Gothic" w:hAnsi="Century Gothic"/>
              </w:rPr>
            </w:pPr>
            <w:r w:rsidRPr="00855213">
              <w:rPr>
                <w:rFonts w:ascii="Century Gothic" w:eastAsia="Times New Roman" w:hAnsi="Century Gothic"/>
                <w:sz w:val="20"/>
                <w:szCs w:val="20"/>
              </w:rPr>
              <w:t xml:space="preserve">CT004000023  </w:t>
            </w:r>
          </w:p>
        </w:tc>
        <w:tc>
          <w:tcPr>
            <w:tcW w:w="1335"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DD9C4"/>
            <w:vAlign w:val="center"/>
          </w:tcPr>
          <w:p w14:paraId="048CF57D" w14:textId="541EEC68" w:rsidR="00DE3C66" w:rsidRPr="00855213" w:rsidRDefault="00DE3C66" w:rsidP="003F0D12">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Scattered Site III - East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D1E0C3"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6FA12D" w14:textId="11F41B8E"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96%</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8F6DF3" w14:textId="5248223E"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97%</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6AC34B" w14:textId="19B69235"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85%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81D53" w14:textId="57C96D3F"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82%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69DF80" w14:textId="5BF3FB27" w:rsidR="00DE3C66" w:rsidRPr="00855213" w:rsidRDefault="00DE3C66" w:rsidP="003F0D12">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87% </w:t>
            </w:r>
          </w:p>
        </w:tc>
      </w:tr>
      <w:tr w:rsidR="00DE3C66" w:rsidRPr="006D6566" w14:paraId="6F38E20A" w14:textId="55CA0BFF" w:rsidTr="00DE3C66">
        <w:trPr>
          <w:trHeight w:val="525"/>
        </w:trPr>
        <w:tc>
          <w:tcPr>
            <w:tcW w:w="1635" w:type="dxa"/>
            <w:tcBorders>
              <w:top w:val="single" w:sz="8" w:space="0" w:color="auto"/>
              <w:left w:val="single" w:sz="4" w:space="0" w:color="000000" w:themeColor="text1"/>
              <w:bottom w:val="single" w:sz="8" w:space="0" w:color="000000" w:themeColor="text1"/>
              <w:right w:val="single" w:sz="8" w:space="0" w:color="000000" w:themeColor="text1"/>
            </w:tcBorders>
            <w:vAlign w:val="center"/>
          </w:tcPr>
          <w:p w14:paraId="65059884" w14:textId="36A4CD70" w:rsidR="00DE3C66" w:rsidRPr="00855213" w:rsidRDefault="00DE3C66" w:rsidP="2B47D2C6">
            <w:pPr>
              <w:rPr>
                <w:rFonts w:ascii="Century Gothic" w:hAnsi="Century Gothic"/>
              </w:rPr>
            </w:pPr>
            <w:r w:rsidRPr="00855213">
              <w:rPr>
                <w:rFonts w:ascii="Century Gothic" w:eastAsia="Times New Roman" w:hAnsi="Century Gothic"/>
                <w:color w:val="000000" w:themeColor="text1"/>
                <w:sz w:val="20"/>
                <w:szCs w:val="20"/>
              </w:rPr>
              <w:t xml:space="preserve">CT004000075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AD30E2" w14:textId="460031C5" w:rsidR="00DE3C66" w:rsidRPr="00855213" w:rsidRDefault="00DE3C66" w:rsidP="003F0D12">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Rowe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459E90"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E892FD" w14:textId="3EA59B5A"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 99%</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15F381" w14:textId="68753595"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553E09" w14:textId="08294826"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96%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FA88D9" w14:textId="589A61E9"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100%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C360FA" w14:textId="48E6EA80" w:rsidR="00DE3C66" w:rsidRPr="00855213" w:rsidRDefault="00DE3C66" w:rsidP="003F0D12">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98% </w:t>
            </w:r>
          </w:p>
        </w:tc>
      </w:tr>
      <w:tr w:rsidR="00DE3C66" w:rsidRPr="006D6566" w14:paraId="3B6DD7C1" w14:textId="4D0F7E82"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2E7C784E" w14:textId="63AA9C54" w:rsidR="00DE3C66" w:rsidRPr="00855213" w:rsidRDefault="00DE3C66" w:rsidP="2B47D2C6">
            <w:pPr>
              <w:rPr>
                <w:rFonts w:ascii="Century Gothic" w:hAnsi="Century Gothic"/>
              </w:rPr>
            </w:pPr>
            <w:r w:rsidRPr="00855213">
              <w:rPr>
                <w:rFonts w:ascii="Century Gothic" w:eastAsia="Times New Roman" w:hAnsi="Century Gothic"/>
                <w:color w:val="000000" w:themeColor="text1"/>
                <w:sz w:val="20"/>
                <w:szCs w:val="20"/>
              </w:rPr>
              <w:t xml:space="preserve">CT004000076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15B5F3" w14:textId="3934529F" w:rsidR="00DE3C66" w:rsidRPr="00855213" w:rsidRDefault="00DE3C66" w:rsidP="003F0D12">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Brookside I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459EFE"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45F253" w14:textId="24113C5E" w:rsidR="00DE3C66" w:rsidRPr="00855213" w:rsidRDefault="00DE3C66" w:rsidP="46316ACA">
            <w:pPr>
              <w:jc w:val="center"/>
              <w:rPr>
                <w:rFonts w:ascii="Century Gothic" w:eastAsia="Times New Roman" w:hAnsi="Century Gothic"/>
                <w:color w:val="000000" w:themeColor="text1"/>
                <w:sz w:val="20"/>
                <w:szCs w:val="20"/>
              </w:rPr>
            </w:pPr>
          </w:p>
          <w:p w14:paraId="4DE4AB03" w14:textId="43F6833E" w:rsidR="00DE3C66" w:rsidRPr="00855213" w:rsidRDefault="00DE3C66">
            <w:pPr>
              <w:jc w:val="center"/>
              <w:rPr>
                <w:rFonts w:ascii="Century Gothic" w:eastAsia="Times New Roman" w:hAnsi="Century Gothic"/>
                <w:sz w:val="20"/>
                <w:szCs w:val="20"/>
              </w:rPr>
            </w:pPr>
            <w:r w:rsidRPr="00855213">
              <w:rPr>
                <w:rFonts w:ascii="Century Gothic" w:eastAsia="Times New Roman" w:hAnsi="Century Gothic"/>
                <w:color w:val="000000" w:themeColor="text1"/>
                <w:sz w:val="20"/>
                <w:szCs w:val="20"/>
              </w:rPr>
              <w:t>98%</w:t>
            </w:r>
          </w:p>
          <w:p w14:paraId="36A96E5D" w14:textId="1A97E398" w:rsidR="00DE3C66" w:rsidRPr="00855213" w:rsidRDefault="00DE3C66" w:rsidP="46316ACA">
            <w:pPr>
              <w:jc w:val="center"/>
              <w:rPr>
                <w:rFonts w:ascii="Century Gothic" w:eastAsia="Times New Roman" w:hAnsi="Century Gothic"/>
                <w:color w:val="000000" w:themeColor="text1"/>
                <w:sz w:val="20"/>
                <w:szCs w:val="20"/>
              </w:rPr>
            </w:pP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D509B0" w14:textId="1093E8DA"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7A880D" w14:textId="76810DEE"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98%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4CC6A" w14:textId="70BAD50A"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94%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B8057A" w14:textId="16DB9DA0" w:rsidR="00DE3C66" w:rsidRPr="00855213" w:rsidRDefault="00DE3C66" w:rsidP="003F0D12">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94% </w:t>
            </w:r>
          </w:p>
        </w:tc>
      </w:tr>
      <w:tr w:rsidR="00DE3C66" w:rsidRPr="006D6566" w14:paraId="34C9EEC1" w14:textId="355CEFB2"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705D5D2C" w14:textId="6842FF91" w:rsidR="00DE3C66" w:rsidRPr="00855213" w:rsidRDefault="00DE3C66" w:rsidP="2B47D2C6">
            <w:pPr>
              <w:rPr>
                <w:rFonts w:ascii="Century Gothic" w:hAnsi="Century Gothic"/>
              </w:rPr>
            </w:pPr>
            <w:r w:rsidRPr="00855213">
              <w:rPr>
                <w:rFonts w:ascii="Century Gothic" w:eastAsia="Times New Roman" w:hAnsi="Century Gothic"/>
                <w:color w:val="000000" w:themeColor="text1"/>
                <w:sz w:val="20"/>
                <w:szCs w:val="20"/>
              </w:rPr>
              <w:lastRenderedPageBreak/>
              <w:t xml:space="preserve">CT004000077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CBA78A" w14:textId="25F330D4" w:rsidR="00DE3C66" w:rsidRPr="00855213" w:rsidRDefault="00DE3C66" w:rsidP="003F0D12">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Brookside II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DFFF73" w14:textId="77777777" w:rsidR="00DE3C66" w:rsidRPr="00855213" w:rsidRDefault="00DE3C66">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361247" w14:textId="77915111" w:rsidR="00DE3C66" w:rsidRPr="00855213" w:rsidRDefault="00DE3C66">
            <w:pPr>
              <w:jc w:val="center"/>
              <w:rPr>
                <w:rFonts w:ascii="Century Gothic" w:eastAsia="Times New Roman" w:hAnsi="Century Gothic"/>
                <w:sz w:val="20"/>
                <w:szCs w:val="20"/>
              </w:rPr>
            </w:pPr>
            <w:r w:rsidRPr="00855213">
              <w:rPr>
                <w:rFonts w:ascii="Century Gothic" w:eastAsia="Times New Roman" w:hAnsi="Century Gothic"/>
                <w:color w:val="000000" w:themeColor="text1"/>
                <w:sz w:val="20"/>
                <w:szCs w:val="20"/>
              </w:rPr>
              <w:t>96%</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B443CA" w14:textId="30FBF076"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96%</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453F61" w14:textId="035BAB54"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90%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3F4532" w14:textId="1356C57D"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90%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27121D" w14:textId="17DF63B6" w:rsidR="00DE3C66" w:rsidRPr="00855213" w:rsidRDefault="00DE3C66" w:rsidP="003F0D12">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96% </w:t>
            </w:r>
          </w:p>
        </w:tc>
      </w:tr>
      <w:tr w:rsidR="00DE3C66" w:rsidRPr="006D6566" w14:paraId="75DEB7F5" w14:textId="26102679"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7101D5D3" w14:textId="6B16F0E6" w:rsidR="00DE3C66" w:rsidRPr="00855213" w:rsidRDefault="00DE3C66" w:rsidP="2B47D2C6">
            <w:pPr>
              <w:rPr>
                <w:rFonts w:ascii="Century Gothic" w:hAnsi="Century Gothic"/>
              </w:rPr>
            </w:pPr>
            <w:r w:rsidRPr="00855213">
              <w:rPr>
                <w:rFonts w:ascii="Century Gothic" w:eastAsia="Times New Roman" w:hAnsi="Century Gothic"/>
                <w:color w:val="000000" w:themeColor="text1"/>
                <w:sz w:val="20"/>
                <w:szCs w:val="20"/>
              </w:rPr>
              <w:t xml:space="preserve">CT004000081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F0BCF8" w14:textId="4A8A73E8" w:rsidR="00DE3C66" w:rsidRPr="00855213" w:rsidRDefault="00DE3C66" w:rsidP="003F0D12">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Rockview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912C7" w14:textId="77777777" w:rsidR="00DE3C66" w:rsidRPr="00855213" w:rsidRDefault="00DE3C66">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58B029" w14:textId="037942EC" w:rsidR="00DE3C66" w:rsidRPr="00855213" w:rsidRDefault="00DE3C66">
            <w:pPr>
              <w:jc w:val="center"/>
              <w:rPr>
                <w:rFonts w:ascii="Century Gothic" w:eastAsia="Times New Roman" w:hAnsi="Century Gothic"/>
                <w:sz w:val="20"/>
                <w:szCs w:val="20"/>
              </w:rPr>
            </w:pPr>
            <w:r w:rsidRPr="00855213">
              <w:rPr>
                <w:rFonts w:ascii="Century Gothic" w:eastAsia="Times New Roman" w:hAnsi="Century Gothic"/>
                <w:color w:val="000000" w:themeColor="text1"/>
                <w:sz w:val="20"/>
                <w:szCs w:val="20"/>
              </w:rPr>
              <w:t>94%</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BC7265" w14:textId="1850D09E"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97%</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C93E70" w14:textId="4239C08B"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93%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8C8027" w14:textId="5DA59782"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94%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113071" w14:textId="10B95D3D" w:rsidR="00DE3C66" w:rsidRPr="00855213" w:rsidRDefault="00DE3C66" w:rsidP="003F0D12">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97% </w:t>
            </w:r>
          </w:p>
        </w:tc>
      </w:tr>
      <w:tr w:rsidR="00DE3C66" w:rsidRPr="006D6566" w14:paraId="0DFA1F9A" w14:textId="356ABFCD" w:rsidTr="00DE3C66">
        <w:trPr>
          <w:trHeight w:val="525"/>
        </w:trPr>
        <w:tc>
          <w:tcPr>
            <w:tcW w:w="1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43A6756B" w14:textId="54C63BE1" w:rsidR="00DE3C66" w:rsidRPr="00855213" w:rsidRDefault="00DE3C66" w:rsidP="2B47D2C6">
            <w:pPr>
              <w:rPr>
                <w:rFonts w:ascii="Century Gothic" w:hAnsi="Century Gothic"/>
              </w:rPr>
            </w:pPr>
            <w:r w:rsidRPr="00855213">
              <w:rPr>
                <w:rFonts w:ascii="Century Gothic" w:eastAsia="Times New Roman" w:hAnsi="Century Gothic"/>
                <w:color w:val="000000" w:themeColor="text1"/>
                <w:sz w:val="20"/>
                <w:szCs w:val="20"/>
              </w:rPr>
              <w:t xml:space="preserve">CT004000082  </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07C131" w14:textId="440BF4FF" w:rsidR="00DE3C66" w:rsidRPr="00855213" w:rsidRDefault="00DE3C66" w:rsidP="003F0D12">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Val Macri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E280E" w14:textId="77777777" w:rsidR="00DE3C66" w:rsidRPr="00855213" w:rsidRDefault="00DE3C66" w:rsidP="46316ACA">
            <w:pPr>
              <w:jc w:val="center"/>
              <w:rPr>
                <w:rFonts w:ascii="Century Gothic" w:eastAsia="Times New Roman" w:hAnsi="Century Gothic"/>
                <w:color w:val="000000" w:themeColor="text1"/>
                <w:sz w:val="20"/>
                <w:szCs w:val="20"/>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4CC8C0" w14:textId="4FBA4822" w:rsidR="00DE3C66" w:rsidRPr="00855213" w:rsidRDefault="00DE3C66" w:rsidP="46316ACA">
            <w:pPr>
              <w:jc w:val="center"/>
              <w:rPr>
                <w:rFonts w:ascii="Century Gothic" w:eastAsia="Times New Roman" w:hAnsi="Century Gothic"/>
                <w:color w:val="000000" w:themeColor="text1"/>
                <w:sz w:val="20"/>
                <w:szCs w:val="20"/>
              </w:rPr>
            </w:pPr>
          </w:p>
          <w:p w14:paraId="19A26E3A" w14:textId="17C28863" w:rsidR="00DE3C66" w:rsidRPr="00855213" w:rsidRDefault="00DE3C66" w:rsidP="46316ACA">
            <w:pPr>
              <w:jc w:val="center"/>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100%</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1B3597" w14:textId="7CF359D1"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95%</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A5296A" w14:textId="4782F776"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94% </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EB8F4F" w14:textId="4FE4AF7A" w:rsidR="00DE3C66" w:rsidRPr="00855213" w:rsidRDefault="00DE3C66" w:rsidP="46316ACA">
            <w:pPr>
              <w:jc w:val="right"/>
              <w:rPr>
                <w:rFonts w:ascii="Century Gothic" w:eastAsia="Times New Roman" w:hAnsi="Century Gothic"/>
                <w:color w:val="000000" w:themeColor="text1"/>
                <w:sz w:val="20"/>
                <w:szCs w:val="20"/>
              </w:rPr>
            </w:pPr>
            <w:r w:rsidRPr="00855213">
              <w:rPr>
                <w:rFonts w:ascii="Century Gothic" w:eastAsia="Times New Roman" w:hAnsi="Century Gothic"/>
                <w:color w:val="000000" w:themeColor="text1"/>
                <w:sz w:val="20"/>
                <w:szCs w:val="20"/>
              </w:rPr>
              <w:t xml:space="preserve">99%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0E1F70" w14:textId="4406B7E4" w:rsidR="00DE3C66" w:rsidRPr="00855213" w:rsidRDefault="00DE3C66" w:rsidP="003F0D12">
            <w:pPr>
              <w:jc w:val="center"/>
              <w:rPr>
                <w:rFonts w:ascii="Century Gothic" w:eastAsia="Times New Roman" w:hAnsi="Century Gothic"/>
                <w:sz w:val="20"/>
                <w:szCs w:val="20"/>
              </w:rPr>
            </w:pPr>
            <w:r w:rsidRPr="00855213">
              <w:rPr>
                <w:rFonts w:ascii="Century Gothic" w:eastAsia="Times New Roman" w:hAnsi="Century Gothic"/>
                <w:sz w:val="20"/>
                <w:szCs w:val="20"/>
              </w:rPr>
              <w:t xml:space="preserve">100% </w:t>
            </w:r>
          </w:p>
        </w:tc>
      </w:tr>
      <w:tr w:rsidR="00DE3C66" w:rsidRPr="006D6566" w14:paraId="3460C799" w14:textId="330CC87E" w:rsidTr="00DE3C66">
        <w:trPr>
          <w:trHeight w:val="300"/>
        </w:trPr>
        <w:tc>
          <w:tcPr>
            <w:tcW w:w="1635" w:type="dxa"/>
            <w:tcBorders>
              <w:top w:val="single" w:sz="8" w:space="0" w:color="000000" w:themeColor="text1"/>
              <w:left w:val="single" w:sz="4" w:space="0" w:color="000000" w:themeColor="text1"/>
              <w:bottom w:val="single" w:sz="4" w:space="0" w:color="000000" w:themeColor="text1"/>
              <w:right w:val="single" w:sz="8" w:space="0" w:color="000000" w:themeColor="text1"/>
            </w:tcBorders>
            <w:vAlign w:val="center"/>
          </w:tcPr>
          <w:p w14:paraId="28E2E9F8" w14:textId="6F606A54" w:rsidR="00DE3C66" w:rsidRPr="00855213" w:rsidRDefault="00DE3C66" w:rsidP="2B47D2C6">
            <w:pPr>
              <w:rPr>
                <w:rFonts w:ascii="Century Gothic" w:hAnsi="Century Gothic"/>
              </w:rPr>
            </w:pPr>
            <w:r w:rsidRPr="00855213">
              <w:rPr>
                <w:rFonts w:ascii="Century Gothic" w:eastAsia="Times New Roman" w:hAnsi="Century Gothic"/>
                <w:b/>
                <w:bCs/>
                <w:color w:val="000000" w:themeColor="text1"/>
                <w:sz w:val="20"/>
                <w:szCs w:val="20"/>
              </w:rPr>
              <w:t xml:space="preserve">Average </w:t>
            </w:r>
          </w:p>
        </w:tc>
        <w:tc>
          <w:tcPr>
            <w:tcW w:w="1335"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36CC8B3B" w14:textId="195B8B8C" w:rsidR="00DE3C66" w:rsidRPr="00855213" w:rsidRDefault="00DE3C66" w:rsidP="003F0D12">
            <w:pPr>
              <w:jc w:val="center"/>
              <w:rPr>
                <w:rFonts w:ascii="Century Gothic" w:eastAsia="Times New Roman" w:hAnsi="Century Gothic"/>
                <w:b/>
                <w:bCs/>
                <w:color w:val="000000" w:themeColor="text1"/>
                <w:sz w:val="20"/>
                <w:szCs w:val="20"/>
              </w:rPr>
            </w:pPr>
            <w:r w:rsidRPr="00855213">
              <w:rPr>
                <w:rFonts w:ascii="Century Gothic" w:eastAsia="Times New Roman" w:hAnsi="Century Gothic"/>
                <w:b/>
                <w:bCs/>
                <w:color w:val="000000" w:themeColor="text1"/>
                <w:sz w:val="20"/>
                <w:szCs w:val="20"/>
              </w:rPr>
              <w:t xml:space="preserve">  </w:t>
            </w:r>
          </w:p>
        </w:tc>
        <w:tc>
          <w:tcPr>
            <w:tcW w:w="985"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3FA2CAB5" w14:textId="77777777" w:rsidR="00DE3C66" w:rsidRPr="00855213" w:rsidRDefault="00DE3C66" w:rsidP="46316ACA">
            <w:pPr>
              <w:jc w:val="center"/>
              <w:rPr>
                <w:rFonts w:ascii="Century Gothic" w:eastAsia="Times New Roman" w:hAnsi="Century Gothic"/>
                <w:b/>
                <w:bCs/>
                <w:color w:val="000000" w:themeColor="text1"/>
                <w:sz w:val="20"/>
                <w:szCs w:val="20"/>
              </w:rPr>
            </w:pPr>
          </w:p>
        </w:tc>
        <w:tc>
          <w:tcPr>
            <w:tcW w:w="1440"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0809D3E6" w14:textId="3952FC38" w:rsidR="00DE3C66" w:rsidRPr="00855213" w:rsidRDefault="00DE3C66" w:rsidP="46316ACA">
            <w:pPr>
              <w:jc w:val="center"/>
              <w:rPr>
                <w:rFonts w:ascii="Century Gothic" w:eastAsia="Times New Roman" w:hAnsi="Century Gothic"/>
                <w:b/>
                <w:bCs/>
                <w:color w:val="000000" w:themeColor="text1"/>
                <w:sz w:val="20"/>
                <w:szCs w:val="20"/>
              </w:rPr>
            </w:pPr>
            <w:r w:rsidRPr="00855213">
              <w:rPr>
                <w:rFonts w:ascii="Century Gothic" w:eastAsia="Times New Roman" w:hAnsi="Century Gothic"/>
                <w:b/>
                <w:bCs/>
                <w:color w:val="000000" w:themeColor="text1"/>
                <w:sz w:val="20"/>
                <w:szCs w:val="20"/>
              </w:rPr>
              <w:t>98%</w:t>
            </w:r>
          </w:p>
        </w:tc>
        <w:tc>
          <w:tcPr>
            <w:tcW w:w="1260"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0E5A8EC8" w14:textId="4BD3ED74" w:rsidR="00DE3C66" w:rsidRPr="00855213" w:rsidRDefault="00DE3C66" w:rsidP="46316ACA">
            <w:pPr>
              <w:jc w:val="right"/>
              <w:rPr>
                <w:rFonts w:ascii="Century Gothic" w:eastAsia="Times New Roman" w:hAnsi="Century Gothic"/>
                <w:b/>
                <w:bCs/>
                <w:color w:val="000000" w:themeColor="text1"/>
                <w:sz w:val="20"/>
                <w:szCs w:val="20"/>
              </w:rPr>
            </w:pPr>
            <w:r w:rsidRPr="00855213">
              <w:rPr>
                <w:rFonts w:ascii="Century Gothic" w:eastAsia="Times New Roman" w:hAnsi="Century Gothic"/>
                <w:b/>
                <w:bCs/>
                <w:color w:val="000000" w:themeColor="text1"/>
                <w:sz w:val="20"/>
                <w:szCs w:val="20"/>
              </w:rPr>
              <w:t xml:space="preserve">93%  </w:t>
            </w:r>
          </w:p>
        </w:tc>
        <w:tc>
          <w:tcPr>
            <w:tcW w:w="990"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5A07DF50" w14:textId="072B4ECA" w:rsidR="00DE3C66" w:rsidRPr="00855213" w:rsidRDefault="00DE3C66" w:rsidP="46316ACA">
            <w:pPr>
              <w:jc w:val="right"/>
              <w:rPr>
                <w:rFonts w:ascii="Century Gothic" w:eastAsia="Times New Roman" w:hAnsi="Century Gothic"/>
                <w:b/>
                <w:bCs/>
                <w:color w:val="000000" w:themeColor="text1"/>
                <w:sz w:val="20"/>
                <w:szCs w:val="20"/>
              </w:rPr>
            </w:pPr>
            <w:r w:rsidRPr="00855213">
              <w:rPr>
                <w:rFonts w:ascii="Century Gothic" w:eastAsia="Times New Roman" w:hAnsi="Century Gothic"/>
                <w:b/>
                <w:bCs/>
                <w:color w:val="000000" w:themeColor="text1"/>
                <w:sz w:val="20"/>
                <w:szCs w:val="20"/>
              </w:rPr>
              <w:t xml:space="preserve">93% </w:t>
            </w:r>
          </w:p>
        </w:tc>
        <w:tc>
          <w:tcPr>
            <w:tcW w:w="1620"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1611F806" w14:textId="782125FE" w:rsidR="00DE3C66" w:rsidRPr="00855213" w:rsidRDefault="00DE3C66" w:rsidP="46316ACA">
            <w:pPr>
              <w:jc w:val="right"/>
              <w:rPr>
                <w:rFonts w:ascii="Century Gothic" w:eastAsia="Times New Roman" w:hAnsi="Century Gothic"/>
                <w:b/>
                <w:bCs/>
                <w:color w:val="000000" w:themeColor="text1"/>
                <w:sz w:val="20"/>
                <w:szCs w:val="20"/>
              </w:rPr>
            </w:pPr>
            <w:r w:rsidRPr="00855213">
              <w:rPr>
                <w:rFonts w:ascii="Century Gothic" w:eastAsia="Times New Roman" w:hAnsi="Century Gothic"/>
                <w:b/>
                <w:bCs/>
                <w:color w:val="000000" w:themeColor="text1"/>
                <w:sz w:val="20"/>
                <w:szCs w:val="20"/>
              </w:rPr>
              <w:t xml:space="preserve">89% </w:t>
            </w:r>
          </w:p>
        </w:tc>
        <w:tc>
          <w:tcPr>
            <w:tcW w:w="1980"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1064A173" w14:textId="790B38F2" w:rsidR="00DE3C66" w:rsidRPr="00855213" w:rsidRDefault="00DE3C66" w:rsidP="003F0D12">
            <w:pPr>
              <w:jc w:val="center"/>
              <w:rPr>
                <w:rFonts w:ascii="Century Gothic" w:eastAsia="Times New Roman" w:hAnsi="Century Gothic"/>
                <w:b/>
                <w:bCs/>
                <w:sz w:val="20"/>
                <w:szCs w:val="20"/>
              </w:rPr>
            </w:pPr>
            <w:r w:rsidRPr="00855213">
              <w:rPr>
                <w:rFonts w:ascii="Century Gothic" w:eastAsia="Times New Roman" w:hAnsi="Century Gothic"/>
                <w:b/>
                <w:bCs/>
                <w:sz w:val="20"/>
                <w:szCs w:val="20"/>
              </w:rPr>
              <w:t xml:space="preserve">89% </w:t>
            </w:r>
          </w:p>
        </w:tc>
      </w:tr>
    </w:tbl>
    <w:p w14:paraId="3E5DF137" w14:textId="1B8C5938" w:rsidR="2B47D2C6" w:rsidRPr="00855213" w:rsidRDefault="2B47D2C6" w:rsidP="2B47D2C6">
      <w:pPr>
        <w:pStyle w:val="MTWHeader2"/>
        <w:rPr>
          <w:rFonts w:ascii="Century Gothic" w:eastAsia="MS PGothic" w:hAnsi="Century Gothic" w:cs="Arial"/>
          <w:bCs/>
          <w:szCs w:val="24"/>
        </w:rPr>
      </w:pPr>
    </w:p>
    <w:p w14:paraId="69F489FB" w14:textId="1052A0E3" w:rsidR="2B47D2C6" w:rsidRPr="00855213" w:rsidRDefault="2B47D2C6" w:rsidP="2B47D2C6">
      <w:pPr>
        <w:pStyle w:val="MTWHeader2"/>
        <w:rPr>
          <w:rFonts w:ascii="Century Gothic" w:eastAsia="MS PGothic" w:hAnsi="Century Gothic" w:cs="Arial"/>
          <w:bCs/>
          <w:szCs w:val="24"/>
        </w:rPr>
      </w:pPr>
    </w:p>
    <w:p w14:paraId="29BC491B" w14:textId="14B508F5" w:rsidR="008B7D9E" w:rsidRPr="00855213" w:rsidRDefault="008B7D9E" w:rsidP="197B9397">
      <w:pPr>
        <w:spacing w:after="160" w:line="276" w:lineRule="auto"/>
        <w:rPr>
          <w:rFonts w:ascii="Century Gothic" w:eastAsia="MS PGothic" w:hAnsi="Century Gothic"/>
          <w:b/>
          <w:bCs/>
          <w:noProof/>
          <w:color w:val="000000" w:themeColor="text1"/>
          <w:szCs w:val="22"/>
          <w:lang w:eastAsia="en-US"/>
        </w:rPr>
      </w:pPr>
    </w:p>
    <w:p w14:paraId="1733C2AC" w14:textId="77777777" w:rsidR="004A4876" w:rsidRPr="00855213" w:rsidRDefault="004A4876">
      <w:pPr>
        <w:spacing w:after="160" w:line="276" w:lineRule="auto"/>
        <w:rPr>
          <w:rFonts w:ascii="Century Gothic" w:eastAsiaTheme="majorEastAsia" w:hAnsi="Century Gothic"/>
          <w:b/>
          <w:noProof/>
          <w:color w:val="000000" w:themeColor="text1"/>
          <w:szCs w:val="22"/>
          <w:lang w:eastAsia="en-US"/>
        </w:rPr>
      </w:pPr>
      <w:r w:rsidRPr="00855213">
        <w:rPr>
          <w:rFonts w:ascii="Century Gothic" w:hAnsi="Century Gothic"/>
          <w:szCs w:val="22"/>
        </w:rPr>
        <w:br w:type="page"/>
      </w:r>
    </w:p>
    <w:p w14:paraId="1672B624" w14:textId="5902BBEE" w:rsidR="00C237E2" w:rsidRPr="00855213" w:rsidRDefault="1970D0B4" w:rsidP="00916A8B">
      <w:pPr>
        <w:pStyle w:val="MTWHeader2"/>
        <w:rPr>
          <w:rFonts w:ascii="Century Gothic" w:hAnsi="Century Gothic" w:cs="Times New Roman"/>
          <w:sz w:val="22"/>
          <w:szCs w:val="22"/>
        </w:rPr>
      </w:pPr>
      <w:bookmarkStart w:id="393" w:name="_Toc89871209"/>
      <w:r w:rsidRPr="00855213">
        <w:rPr>
          <w:rFonts w:ascii="Century Gothic" w:hAnsi="Century Gothic" w:cs="Times New Roman"/>
          <w:sz w:val="22"/>
          <w:szCs w:val="22"/>
        </w:rPr>
        <w:lastRenderedPageBreak/>
        <w:t xml:space="preserve">Appendix 12: </w:t>
      </w:r>
      <w:r w:rsidR="6A0004AE" w:rsidRPr="00855213">
        <w:rPr>
          <w:rFonts w:ascii="Century Gothic" w:hAnsi="Century Gothic" w:cs="Times New Roman"/>
          <w:sz w:val="22"/>
          <w:szCs w:val="22"/>
        </w:rPr>
        <w:t>Number of Major Crimes, FY12 to Present</w:t>
      </w:r>
      <w:bookmarkEnd w:id="393"/>
    </w:p>
    <w:tbl>
      <w:tblPr>
        <w:tblW w:w="11155" w:type="dxa"/>
        <w:tblLayout w:type="fixed"/>
        <w:tblLook w:val="0000" w:firstRow="0" w:lastRow="0" w:firstColumn="0" w:lastColumn="0" w:noHBand="0" w:noVBand="0"/>
      </w:tblPr>
      <w:tblGrid>
        <w:gridCol w:w="1369"/>
        <w:gridCol w:w="1369"/>
        <w:gridCol w:w="842"/>
        <w:gridCol w:w="829"/>
        <w:gridCol w:w="855"/>
        <w:gridCol w:w="680"/>
        <w:gridCol w:w="632"/>
        <w:gridCol w:w="1026"/>
        <w:gridCol w:w="790"/>
        <w:gridCol w:w="947"/>
        <w:gridCol w:w="790"/>
        <w:gridCol w:w="1026"/>
      </w:tblGrid>
      <w:tr w:rsidR="00C27F5E" w:rsidRPr="006D6566" w14:paraId="7A8659A3" w14:textId="77777777" w:rsidTr="662A423E">
        <w:trPr>
          <w:trHeight w:val="570"/>
        </w:trPr>
        <w:tc>
          <w:tcPr>
            <w:tcW w:w="1369" w:type="dxa"/>
            <w:tcBorders>
              <w:top w:val="single" w:sz="4" w:space="0" w:color="auto"/>
              <w:left w:val="single" w:sz="4" w:space="0" w:color="auto"/>
              <w:bottom w:val="single" w:sz="12" w:space="0" w:color="B5333C" w:themeColor="accent2"/>
              <w:right w:val="single" w:sz="8" w:space="0" w:color="D9D9D9" w:themeColor="background1" w:themeShade="D9"/>
            </w:tcBorders>
            <w:shd w:val="clear" w:color="auto" w:fill="808080" w:themeFill="background1" w:themeFillShade="80"/>
            <w:vAlign w:val="center"/>
          </w:tcPr>
          <w:p w14:paraId="154DD84A" w14:textId="67DD485D" w:rsidR="00C27F5E" w:rsidRPr="00855213" w:rsidRDefault="00C27F5E" w:rsidP="197B9397">
            <w:pPr>
              <w:rPr>
                <w:rFonts w:ascii="Century Gothic" w:eastAsia="Times New Roman" w:hAnsi="Century Gothic"/>
              </w:rPr>
            </w:pPr>
            <w:r w:rsidRPr="00855213">
              <w:rPr>
                <w:rFonts w:ascii="Century Gothic" w:eastAsia="Times New Roman" w:hAnsi="Century Gothic"/>
                <w:b/>
              </w:rPr>
              <w:t>Development</w:t>
            </w:r>
            <w:r w:rsidRPr="00855213">
              <w:rPr>
                <w:rFonts w:ascii="Century Gothic" w:eastAsia="Times New Roman" w:hAnsi="Century Gothic"/>
              </w:rPr>
              <w:t xml:space="preserve"> </w:t>
            </w:r>
          </w:p>
        </w:tc>
        <w:tc>
          <w:tcPr>
            <w:tcW w:w="1369" w:type="dxa"/>
            <w:tcBorders>
              <w:top w:val="single" w:sz="4" w:space="0" w:color="000000" w:themeColor="text1"/>
              <w:left w:val="single" w:sz="8" w:space="0" w:color="D9D9D9" w:themeColor="background1" w:themeShade="D9"/>
              <w:bottom w:val="single" w:sz="12" w:space="0" w:color="B5333C" w:themeColor="accent2"/>
              <w:right w:val="single" w:sz="8" w:space="0" w:color="D9D9D9" w:themeColor="background1" w:themeShade="D9"/>
            </w:tcBorders>
            <w:shd w:val="clear" w:color="auto" w:fill="808080" w:themeFill="background1" w:themeFillShade="80"/>
          </w:tcPr>
          <w:p w14:paraId="1AC238CA" w14:textId="74B55641" w:rsidR="37D9277F" w:rsidRPr="00855213" w:rsidRDefault="37D9277F" w:rsidP="662A423E">
            <w:pPr>
              <w:jc w:val="center"/>
              <w:rPr>
                <w:rFonts w:ascii="Century Gothic" w:eastAsia="Times New Roman" w:hAnsi="Century Gothic"/>
                <w:b/>
                <w:bCs/>
              </w:rPr>
            </w:pPr>
            <w:r w:rsidRPr="00855213">
              <w:rPr>
                <w:rFonts w:ascii="Century Gothic" w:eastAsia="Times New Roman" w:hAnsi="Century Gothic"/>
                <w:b/>
                <w:bCs/>
              </w:rPr>
              <w:t>2024</w:t>
            </w:r>
          </w:p>
          <w:p w14:paraId="6E0D6839" w14:textId="4EC33548" w:rsidR="662A423E" w:rsidRPr="00855213" w:rsidRDefault="662A423E" w:rsidP="662A423E">
            <w:pPr>
              <w:jc w:val="center"/>
              <w:rPr>
                <w:rFonts w:ascii="Century Gothic" w:eastAsia="Times New Roman" w:hAnsi="Century Gothic"/>
                <w:b/>
                <w:bCs/>
              </w:rPr>
            </w:pPr>
          </w:p>
        </w:tc>
        <w:tc>
          <w:tcPr>
            <w:tcW w:w="842" w:type="dxa"/>
            <w:tcBorders>
              <w:top w:val="single" w:sz="4" w:space="0" w:color="000000" w:themeColor="text1"/>
              <w:left w:val="single" w:sz="8" w:space="0" w:color="D9D9D9" w:themeColor="background1" w:themeShade="D9"/>
              <w:bottom w:val="single" w:sz="12" w:space="0" w:color="B5333C" w:themeColor="accent2"/>
              <w:right w:val="single" w:sz="8" w:space="0" w:color="D9D9D9" w:themeColor="background1" w:themeShade="D9"/>
            </w:tcBorders>
            <w:shd w:val="clear" w:color="auto" w:fill="808080" w:themeFill="background1" w:themeFillShade="80"/>
          </w:tcPr>
          <w:p w14:paraId="44EFE058" w14:textId="285B4A7B" w:rsidR="341CC84A" w:rsidRPr="00855213" w:rsidRDefault="341CC84A" w:rsidP="341CC84A">
            <w:pPr>
              <w:jc w:val="center"/>
              <w:rPr>
                <w:rFonts w:ascii="Century Gothic" w:eastAsia="Times New Roman" w:hAnsi="Century Gothic"/>
                <w:b/>
                <w:bCs/>
              </w:rPr>
            </w:pPr>
          </w:p>
          <w:p w14:paraId="27490FED" w14:textId="44CD4FE5" w:rsidR="00C27F5E" w:rsidRPr="00855213" w:rsidRDefault="00C27F5E" w:rsidP="00346EB6">
            <w:pPr>
              <w:jc w:val="center"/>
              <w:rPr>
                <w:rFonts w:ascii="Century Gothic" w:eastAsia="Times New Roman" w:hAnsi="Century Gothic"/>
                <w:b/>
                <w:bCs/>
              </w:rPr>
            </w:pPr>
            <w:r w:rsidRPr="00855213">
              <w:rPr>
                <w:rFonts w:ascii="Century Gothic" w:eastAsia="Times New Roman" w:hAnsi="Century Gothic"/>
                <w:b/>
                <w:bCs/>
              </w:rPr>
              <w:t>2023</w:t>
            </w:r>
          </w:p>
        </w:tc>
        <w:tc>
          <w:tcPr>
            <w:tcW w:w="829" w:type="dxa"/>
            <w:tcBorders>
              <w:top w:val="single" w:sz="4" w:space="0" w:color="000000" w:themeColor="text1"/>
              <w:left w:val="single" w:sz="8" w:space="0" w:color="D9D9D9" w:themeColor="background1" w:themeShade="D9"/>
              <w:bottom w:val="single" w:sz="12" w:space="0" w:color="B5333C" w:themeColor="accent2"/>
              <w:right w:val="single" w:sz="8" w:space="0" w:color="D9D9D9" w:themeColor="background1" w:themeShade="D9"/>
            </w:tcBorders>
            <w:shd w:val="clear" w:color="auto" w:fill="808080" w:themeFill="background1" w:themeFillShade="80"/>
          </w:tcPr>
          <w:p w14:paraId="6EB9D55B" w14:textId="37976B18" w:rsidR="00C27F5E" w:rsidRPr="00855213" w:rsidRDefault="00C27F5E" w:rsidP="341CC84A">
            <w:pPr>
              <w:jc w:val="center"/>
              <w:rPr>
                <w:rFonts w:ascii="Century Gothic" w:eastAsia="Times New Roman" w:hAnsi="Century Gothic"/>
                <w:b/>
                <w:bCs/>
              </w:rPr>
            </w:pPr>
            <w:r w:rsidRPr="00855213">
              <w:rPr>
                <w:rFonts w:ascii="Century Gothic" w:eastAsia="Times New Roman" w:hAnsi="Century Gothic"/>
                <w:b/>
                <w:bCs/>
              </w:rPr>
              <w:t xml:space="preserve">    2022</w:t>
            </w:r>
          </w:p>
        </w:tc>
        <w:tc>
          <w:tcPr>
            <w:tcW w:w="855" w:type="dxa"/>
            <w:tcBorders>
              <w:top w:val="single" w:sz="4" w:space="0" w:color="000000" w:themeColor="text1"/>
              <w:left w:val="single" w:sz="8" w:space="0" w:color="D9D9D9" w:themeColor="background1" w:themeShade="D9"/>
              <w:bottom w:val="single" w:sz="12" w:space="0" w:color="B5333C" w:themeColor="accent2"/>
              <w:right w:val="single" w:sz="8" w:space="0" w:color="D9D9D9" w:themeColor="background1" w:themeShade="D9"/>
            </w:tcBorders>
            <w:shd w:val="clear" w:color="auto" w:fill="808080" w:themeFill="background1" w:themeFillShade="80"/>
            <w:vAlign w:val="center"/>
          </w:tcPr>
          <w:p w14:paraId="454C0611" w14:textId="47EB8DFF" w:rsidR="341CC84A" w:rsidRPr="00855213" w:rsidRDefault="341CC84A" w:rsidP="341CC84A">
            <w:pPr>
              <w:jc w:val="center"/>
              <w:rPr>
                <w:rFonts w:ascii="Century Gothic" w:eastAsia="Times New Roman" w:hAnsi="Century Gothic"/>
                <w:b/>
                <w:bCs/>
              </w:rPr>
            </w:pPr>
          </w:p>
          <w:p w14:paraId="0C12ACF3" w14:textId="31CBB3B4" w:rsidR="00C27F5E" w:rsidRPr="00855213" w:rsidRDefault="00C27F5E" w:rsidP="00346EB6">
            <w:pPr>
              <w:jc w:val="center"/>
              <w:rPr>
                <w:rFonts w:ascii="Century Gothic" w:hAnsi="Century Gothic"/>
              </w:rPr>
            </w:pPr>
            <w:r w:rsidRPr="00855213">
              <w:rPr>
                <w:rFonts w:ascii="Century Gothic" w:eastAsia="Times New Roman" w:hAnsi="Century Gothic"/>
                <w:b/>
                <w:bCs/>
              </w:rPr>
              <w:t>2021</w:t>
            </w:r>
            <w:r w:rsidRPr="00855213">
              <w:rPr>
                <w:rFonts w:ascii="Century Gothic" w:eastAsia="Times New Roman" w:hAnsi="Century Gothic"/>
              </w:rPr>
              <w:t xml:space="preserve"> </w:t>
            </w:r>
          </w:p>
        </w:tc>
        <w:tc>
          <w:tcPr>
            <w:tcW w:w="680" w:type="dxa"/>
            <w:tcBorders>
              <w:top w:val="single" w:sz="4" w:space="0" w:color="000000" w:themeColor="text1"/>
              <w:left w:val="single" w:sz="8" w:space="0" w:color="D9D9D9" w:themeColor="background1" w:themeShade="D9"/>
              <w:bottom w:val="single" w:sz="12" w:space="0" w:color="B5333C" w:themeColor="accent2"/>
              <w:right w:val="single" w:sz="8" w:space="0" w:color="D9D9D9" w:themeColor="background1" w:themeShade="D9"/>
            </w:tcBorders>
            <w:shd w:val="clear" w:color="auto" w:fill="808080" w:themeFill="background1" w:themeFillShade="80"/>
            <w:vAlign w:val="center"/>
          </w:tcPr>
          <w:p w14:paraId="0F806620" w14:textId="66D6E6D5" w:rsidR="00C27F5E" w:rsidRPr="00855213" w:rsidRDefault="67CFA6D1" w:rsidP="00346EB6">
            <w:pPr>
              <w:rPr>
                <w:rFonts w:ascii="Century Gothic" w:hAnsi="Century Gothic"/>
              </w:rPr>
            </w:pPr>
            <w:r w:rsidRPr="00855213">
              <w:rPr>
                <w:rFonts w:ascii="Century Gothic" w:eastAsia="Times New Roman" w:hAnsi="Century Gothic"/>
                <w:b/>
                <w:bCs/>
              </w:rPr>
              <w:t xml:space="preserve"> </w:t>
            </w:r>
          </w:p>
          <w:p w14:paraId="19E7390A" w14:textId="03954C87" w:rsidR="00C27F5E" w:rsidRPr="00855213" w:rsidRDefault="00C27F5E" w:rsidP="341CC84A">
            <w:pPr>
              <w:rPr>
                <w:rFonts w:ascii="Century Gothic" w:hAnsi="Century Gothic"/>
              </w:rPr>
            </w:pPr>
            <w:r w:rsidRPr="00855213">
              <w:rPr>
                <w:rFonts w:ascii="Century Gothic" w:eastAsia="Times New Roman" w:hAnsi="Century Gothic"/>
                <w:b/>
                <w:bCs/>
              </w:rPr>
              <w:t>2020</w:t>
            </w:r>
            <w:r w:rsidRPr="00855213">
              <w:rPr>
                <w:rFonts w:ascii="Century Gothic" w:eastAsia="Times New Roman" w:hAnsi="Century Gothic"/>
              </w:rPr>
              <w:t xml:space="preserve"> </w:t>
            </w:r>
          </w:p>
        </w:tc>
        <w:tc>
          <w:tcPr>
            <w:tcW w:w="632" w:type="dxa"/>
            <w:tcBorders>
              <w:top w:val="single" w:sz="4" w:space="0" w:color="000000" w:themeColor="text1"/>
              <w:left w:val="single" w:sz="8" w:space="0" w:color="D9D9D9" w:themeColor="background1" w:themeShade="D9"/>
              <w:bottom w:val="single" w:sz="12" w:space="0" w:color="B5333C" w:themeColor="accent2"/>
              <w:right w:val="nil"/>
            </w:tcBorders>
            <w:shd w:val="clear" w:color="auto" w:fill="808080" w:themeFill="background1" w:themeFillShade="80"/>
            <w:vAlign w:val="center"/>
          </w:tcPr>
          <w:p w14:paraId="11E0BFBA" w14:textId="5FCB5F00" w:rsidR="341CC84A" w:rsidRPr="00855213" w:rsidRDefault="341CC84A" w:rsidP="341CC84A">
            <w:pPr>
              <w:jc w:val="center"/>
              <w:rPr>
                <w:rFonts w:ascii="Century Gothic" w:eastAsia="Times New Roman" w:hAnsi="Century Gothic"/>
                <w:b/>
                <w:bCs/>
              </w:rPr>
            </w:pPr>
          </w:p>
          <w:p w14:paraId="668BC8A2" w14:textId="57DF6277" w:rsidR="00C27F5E" w:rsidRPr="00855213" w:rsidRDefault="00C27F5E" w:rsidP="197B9397">
            <w:pPr>
              <w:jc w:val="center"/>
              <w:rPr>
                <w:rFonts w:ascii="Century Gothic" w:hAnsi="Century Gothic"/>
              </w:rPr>
            </w:pPr>
            <w:r w:rsidRPr="00855213">
              <w:rPr>
                <w:rFonts w:ascii="Century Gothic" w:eastAsia="Times New Roman" w:hAnsi="Century Gothic"/>
                <w:b/>
                <w:bCs/>
                <w:szCs w:val="22"/>
              </w:rPr>
              <w:t>2019</w:t>
            </w:r>
            <w:r w:rsidRPr="00855213">
              <w:rPr>
                <w:rFonts w:ascii="Century Gothic" w:eastAsia="Times New Roman" w:hAnsi="Century Gothic"/>
                <w:szCs w:val="22"/>
              </w:rPr>
              <w:t xml:space="preserve"> </w:t>
            </w:r>
          </w:p>
        </w:tc>
        <w:tc>
          <w:tcPr>
            <w:tcW w:w="1026" w:type="dxa"/>
            <w:tcBorders>
              <w:top w:val="single" w:sz="4" w:space="0" w:color="000000" w:themeColor="text1"/>
              <w:left w:val="single" w:sz="8" w:space="0" w:color="D9D9D9" w:themeColor="background1" w:themeShade="D9"/>
              <w:bottom w:val="single" w:sz="12" w:space="0" w:color="B5333C" w:themeColor="accent2"/>
              <w:right w:val="nil"/>
            </w:tcBorders>
            <w:shd w:val="clear" w:color="auto" w:fill="808080" w:themeFill="background1" w:themeFillShade="80"/>
            <w:vAlign w:val="center"/>
          </w:tcPr>
          <w:p w14:paraId="4A1FBBA6" w14:textId="2E86ED1F" w:rsidR="00C27F5E" w:rsidRPr="00855213" w:rsidRDefault="00C27F5E" w:rsidP="197B9397">
            <w:pPr>
              <w:jc w:val="center"/>
              <w:rPr>
                <w:rFonts w:ascii="Century Gothic" w:hAnsi="Century Gothic"/>
              </w:rPr>
            </w:pPr>
            <w:r w:rsidRPr="00855213">
              <w:rPr>
                <w:rFonts w:ascii="Century Gothic" w:eastAsia="Times New Roman" w:hAnsi="Century Gothic"/>
                <w:b/>
                <w:bCs/>
                <w:szCs w:val="22"/>
              </w:rPr>
              <w:t>2018</w:t>
            </w:r>
            <w:r w:rsidRPr="00855213">
              <w:rPr>
                <w:rFonts w:ascii="Century Gothic" w:eastAsia="Times New Roman" w:hAnsi="Century Gothic"/>
                <w:szCs w:val="22"/>
              </w:rPr>
              <w:t xml:space="preserve"> </w:t>
            </w:r>
          </w:p>
        </w:tc>
        <w:tc>
          <w:tcPr>
            <w:tcW w:w="790" w:type="dxa"/>
            <w:tcBorders>
              <w:top w:val="single" w:sz="4" w:space="0" w:color="000000" w:themeColor="text1"/>
              <w:left w:val="single" w:sz="8" w:space="0" w:color="D9D9D9" w:themeColor="background1" w:themeShade="D9"/>
              <w:bottom w:val="single" w:sz="12" w:space="0" w:color="B5333C" w:themeColor="accent2"/>
              <w:right w:val="nil"/>
            </w:tcBorders>
            <w:shd w:val="clear" w:color="auto" w:fill="808080" w:themeFill="background1" w:themeFillShade="80"/>
            <w:vAlign w:val="center"/>
          </w:tcPr>
          <w:p w14:paraId="224DA43A" w14:textId="053850D4" w:rsidR="00C27F5E" w:rsidRPr="00855213" w:rsidRDefault="00C27F5E" w:rsidP="197B9397">
            <w:pPr>
              <w:jc w:val="center"/>
              <w:rPr>
                <w:rFonts w:ascii="Century Gothic" w:hAnsi="Century Gothic"/>
              </w:rPr>
            </w:pPr>
            <w:r w:rsidRPr="00855213">
              <w:rPr>
                <w:rFonts w:ascii="Century Gothic" w:eastAsia="Times New Roman" w:hAnsi="Century Gothic"/>
                <w:b/>
                <w:bCs/>
                <w:szCs w:val="22"/>
              </w:rPr>
              <w:t>2017</w:t>
            </w:r>
            <w:r w:rsidRPr="00855213">
              <w:rPr>
                <w:rFonts w:ascii="Century Gothic" w:eastAsia="Times New Roman" w:hAnsi="Century Gothic"/>
                <w:szCs w:val="22"/>
              </w:rPr>
              <w:t xml:space="preserve"> </w:t>
            </w:r>
          </w:p>
        </w:tc>
        <w:tc>
          <w:tcPr>
            <w:tcW w:w="947" w:type="dxa"/>
            <w:tcBorders>
              <w:top w:val="single" w:sz="4" w:space="0" w:color="000000" w:themeColor="text1"/>
              <w:left w:val="single" w:sz="8" w:space="0" w:color="D9D9D9" w:themeColor="background1" w:themeShade="D9"/>
              <w:bottom w:val="single" w:sz="12" w:space="0" w:color="B5333C" w:themeColor="accent2"/>
              <w:right w:val="nil"/>
            </w:tcBorders>
            <w:shd w:val="clear" w:color="auto" w:fill="808080" w:themeFill="background1" w:themeFillShade="80"/>
            <w:vAlign w:val="center"/>
          </w:tcPr>
          <w:p w14:paraId="0A0F778D" w14:textId="7746080C" w:rsidR="00C27F5E" w:rsidRPr="00855213" w:rsidRDefault="00C27F5E" w:rsidP="197B9397">
            <w:pPr>
              <w:jc w:val="center"/>
              <w:rPr>
                <w:rFonts w:ascii="Century Gothic" w:hAnsi="Century Gothic"/>
              </w:rPr>
            </w:pPr>
            <w:r w:rsidRPr="00855213">
              <w:rPr>
                <w:rFonts w:ascii="Century Gothic" w:eastAsia="Times New Roman" w:hAnsi="Century Gothic"/>
                <w:b/>
                <w:bCs/>
                <w:szCs w:val="22"/>
              </w:rPr>
              <w:t>2016</w:t>
            </w:r>
            <w:r w:rsidRPr="00855213">
              <w:rPr>
                <w:rFonts w:ascii="Century Gothic" w:eastAsia="Times New Roman" w:hAnsi="Century Gothic"/>
                <w:szCs w:val="22"/>
              </w:rPr>
              <w:t xml:space="preserve"> </w:t>
            </w:r>
          </w:p>
        </w:tc>
        <w:tc>
          <w:tcPr>
            <w:tcW w:w="790" w:type="dxa"/>
            <w:tcBorders>
              <w:top w:val="single" w:sz="4" w:space="0" w:color="000000" w:themeColor="text1"/>
              <w:left w:val="single" w:sz="8" w:space="0" w:color="D9D9D9" w:themeColor="background1" w:themeShade="D9"/>
              <w:bottom w:val="single" w:sz="12" w:space="0" w:color="B5333C" w:themeColor="accent2"/>
              <w:right w:val="nil"/>
            </w:tcBorders>
            <w:shd w:val="clear" w:color="auto" w:fill="808080" w:themeFill="background1" w:themeFillShade="80"/>
            <w:vAlign w:val="center"/>
          </w:tcPr>
          <w:p w14:paraId="0323BA03" w14:textId="5BAEC6D2" w:rsidR="00C27F5E" w:rsidRPr="00855213" w:rsidRDefault="00C27F5E" w:rsidP="197B9397">
            <w:pPr>
              <w:jc w:val="center"/>
              <w:rPr>
                <w:rFonts w:ascii="Century Gothic" w:hAnsi="Century Gothic"/>
              </w:rPr>
            </w:pPr>
            <w:r w:rsidRPr="00855213">
              <w:rPr>
                <w:rFonts w:ascii="Century Gothic" w:eastAsia="Times New Roman" w:hAnsi="Century Gothic"/>
                <w:b/>
                <w:bCs/>
                <w:szCs w:val="22"/>
              </w:rPr>
              <w:t>2014</w:t>
            </w:r>
            <w:r w:rsidRPr="00855213">
              <w:rPr>
                <w:rFonts w:ascii="Century Gothic" w:eastAsia="Times New Roman" w:hAnsi="Century Gothic"/>
                <w:szCs w:val="22"/>
              </w:rPr>
              <w:t xml:space="preserve"> </w:t>
            </w:r>
          </w:p>
        </w:tc>
        <w:tc>
          <w:tcPr>
            <w:tcW w:w="1026" w:type="dxa"/>
            <w:tcBorders>
              <w:top w:val="single" w:sz="4" w:space="0" w:color="000000" w:themeColor="text1"/>
              <w:left w:val="single" w:sz="8" w:space="0" w:color="D9D9D9" w:themeColor="background1" w:themeShade="D9"/>
              <w:bottom w:val="single" w:sz="12" w:space="0" w:color="B5333C" w:themeColor="accent2"/>
              <w:right w:val="single" w:sz="4" w:space="0" w:color="000000" w:themeColor="text1"/>
            </w:tcBorders>
            <w:shd w:val="clear" w:color="auto" w:fill="808080" w:themeFill="background1" w:themeFillShade="80"/>
            <w:vAlign w:val="center"/>
          </w:tcPr>
          <w:p w14:paraId="6A6609D7" w14:textId="4CB28E14" w:rsidR="00C27F5E" w:rsidRPr="00855213" w:rsidRDefault="00C27F5E" w:rsidP="197B9397">
            <w:pPr>
              <w:jc w:val="center"/>
              <w:rPr>
                <w:rFonts w:ascii="Century Gothic" w:hAnsi="Century Gothic"/>
              </w:rPr>
            </w:pPr>
            <w:r w:rsidRPr="00855213">
              <w:rPr>
                <w:rFonts w:ascii="Century Gothic" w:eastAsia="Times New Roman" w:hAnsi="Century Gothic"/>
                <w:b/>
                <w:bCs/>
                <w:szCs w:val="22"/>
              </w:rPr>
              <w:t>2012</w:t>
            </w:r>
            <w:r w:rsidRPr="00855213">
              <w:rPr>
                <w:rFonts w:ascii="Century Gothic" w:eastAsia="Times New Roman" w:hAnsi="Century Gothic"/>
                <w:szCs w:val="22"/>
              </w:rPr>
              <w:t xml:space="preserve"> </w:t>
            </w:r>
          </w:p>
        </w:tc>
      </w:tr>
      <w:tr w:rsidR="00C27F5E" w:rsidRPr="006D6566" w14:paraId="07AD6E4C" w14:textId="77777777" w:rsidTr="662A423E">
        <w:trPr>
          <w:trHeight w:val="315"/>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3E3B6B4D" w14:textId="3D251833" w:rsidR="00C27F5E" w:rsidRPr="00BF1798" w:rsidRDefault="00C27F5E" w:rsidP="197B9397">
            <w:pPr>
              <w:rPr>
                <w:rFonts w:ascii="Century Gothic" w:hAnsi="Century Gothic"/>
              </w:rPr>
            </w:pPr>
            <w:r w:rsidRPr="00BF1798">
              <w:rPr>
                <w:rFonts w:ascii="Century Gothic" w:eastAsia="Times New Roman" w:hAnsi="Century Gothic"/>
                <w:szCs w:val="22"/>
              </w:rPr>
              <w:t xml:space="preserve">Eastview I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5CAE29EE" w14:textId="67A106CB" w:rsidR="33882A3E" w:rsidRPr="00BF1798" w:rsidRDefault="33882A3E" w:rsidP="662A423E">
            <w:pPr>
              <w:jc w:val="center"/>
              <w:rPr>
                <w:rFonts w:ascii="Century Gothic" w:eastAsia="Times New Roman" w:hAnsi="Century Gothic"/>
              </w:rPr>
            </w:pPr>
            <w:r w:rsidRPr="00BF1798">
              <w:rPr>
                <w:rFonts w:ascii="Century Gothic" w:eastAsia="Times New Roman" w:hAnsi="Century Gothic"/>
              </w:rPr>
              <w:t>2</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227EFEAE" w14:textId="71F4902E" w:rsidR="00C27F5E" w:rsidRPr="00BF1798" w:rsidRDefault="11C7267B" w:rsidP="00346EB6">
            <w:pPr>
              <w:jc w:val="center"/>
              <w:rPr>
                <w:rFonts w:ascii="Century Gothic" w:eastAsia="Times New Roman" w:hAnsi="Century Gothic"/>
              </w:rPr>
            </w:pPr>
            <w:r w:rsidRPr="00BF1798">
              <w:rPr>
                <w:rFonts w:ascii="Century Gothic" w:eastAsia="Times New Roman" w:hAnsi="Century Gothic"/>
              </w:rPr>
              <w:t>3</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75029161" w14:textId="38F4CD91" w:rsidR="00C27F5E" w:rsidRPr="00BF1798" w:rsidRDefault="00C27F5E" w:rsidP="00346EB6">
            <w:pPr>
              <w:jc w:val="center"/>
              <w:rPr>
                <w:rFonts w:ascii="Century Gothic" w:eastAsia="Times New Roman" w:hAnsi="Century Gothic"/>
              </w:rPr>
            </w:pPr>
            <w:r w:rsidRPr="00BF1798">
              <w:rPr>
                <w:rFonts w:ascii="Century Gothic" w:eastAsia="Times New Roman" w:hAnsi="Century Gothic"/>
              </w:rPr>
              <w:t>4</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88AF14E" w14:textId="6A3B0382" w:rsidR="00C27F5E" w:rsidRPr="00BF1798" w:rsidRDefault="00C27F5E" w:rsidP="00346EB6">
            <w:pPr>
              <w:jc w:val="center"/>
              <w:rPr>
                <w:rFonts w:ascii="Century Gothic" w:hAnsi="Century Gothic"/>
              </w:rPr>
            </w:pPr>
            <w:r w:rsidRPr="00BF1798">
              <w:rPr>
                <w:rFonts w:ascii="Century Gothic" w:eastAsia="Times New Roman" w:hAnsi="Century Gothic"/>
              </w:rPr>
              <w:t>4</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0096588" w14:textId="23355665" w:rsidR="00C27F5E" w:rsidRPr="00BF1798" w:rsidRDefault="00C27F5E" w:rsidP="00346EB6">
            <w:pPr>
              <w:jc w:val="center"/>
              <w:rPr>
                <w:rFonts w:ascii="Century Gothic" w:hAnsi="Century Gothic"/>
              </w:rPr>
            </w:pPr>
            <w:r w:rsidRPr="00BF1798">
              <w:rPr>
                <w:rFonts w:ascii="Century Gothic" w:eastAsia="Times New Roman" w:hAnsi="Century Gothic"/>
              </w:rPr>
              <w:t>6</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99BA819" w14:textId="2E2EFBCB" w:rsidR="00C27F5E" w:rsidRPr="00BF1798" w:rsidRDefault="00C27F5E" w:rsidP="00346EB6">
            <w:pPr>
              <w:jc w:val="center"/>
              <w:rPr>
                <w:rFonts w:ascii="Century Gothic" w:hAnsi="Century Gothic"/>
              </w:rPr>
            </w:pPr>
            <w:r w:rsidRPr="00BF1798">
              <w:rPr>
                <w:rFonts w:ascii="Century Gothic" w:eastAsia="Times New Roman" w:hAnsi="Century Gothic"/>
              </w:rPr>
              <w:t xml:space="preserve"> 3</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804EB49" w14:textId="69136186" w:rsidR="00C27F5E" w:rsidRPr="00BF1798" w:rsidRDefault="00C27F5E" w:rsidP="00346EB6">
            <w:pPr>
              <w:jc w:val="center"/>
              <w:rPr>
                <w:rFonts w:ascii="Century Gothic" w:hAnsi="Century Gothic"/>
              </w:rPr>
            </w:pPr>
            <w:r w:rsidRPr="00BF1798">
              <w:rPr>
                <w:rFonts w:ascii="Century Gothic" w:eastAsia="Times New Roman" w:hAnsi="Century Gothic"/>
              </w:rPr>
              <w:t>9</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6D4953D" w14:textId="68C9F13E" w:rsidR="00C27F5E" w:rsidRPr="00BF1798" w:rsidRDefault="00C27F5E" w:rsidP="00346EB6">
            <w:pPr>
              <w:jc w:val="center"/>
              <w:rPr>
                <w:rFonts w:ascii="Century Gothic" w:hAnsi="Century Gothic"/>
              </w:rPr>
            </w:pPr>
            <w:r w:rsidRPr="00BF1798">
              <w:rPr>
                <w:rFonts w:ascii="Century Gothic" w:eastAsia="Times New Roman" w:hAnsi="Century Gothic"/>
              </w:rPr>
              <w:t>7</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4A778B8" w14:textId="7A37C0D2"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1D4A0CA" w14:textId="67D2164C"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F27D268" w14:textId="17B9F827" w:rsidR="00C27F5E" w:rsidRPr="00BF1798" w:rsidRDefault="00C27F5E" w:rsidP="00346EB6">
            <w:pPr>
              <w:jc w:val="center"/>
              <w:rPr>
                <w:rFonts w:ascii="Century Gothic" w:hAnsi="Century Gothic"/>
              </w:rPr>
            </w:pPr>
            <w:r w:rsidRPr="00BF1798">
              <w:rPr>
                <w:rFonts w:ascii="Century Gothic" w:eastAsia="Times New Roman" w:hAnsi="Century Gothic"/>
              </w:rPr>
              <w:t>0</w:t>
            </w:r>
          </w:p>
        </w:tc>
      </w:tr>
      <w:tr w:rsidR="00C27F5E" w:rsidRPr="006D6566" w14:paraId="025215FF" w14:textId="77777777" w:rsidTr="662A423E">
        <w:trPr>
          <w:trHeight w:val="57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00AAD5D6" w14:textId="459C9042" w:rsidR="00C27F5E" w:rsidRPr="00BF1798" w:rsidRDefault="00C27F5E" w:rsidP="197B9397">
            <w:pPr>
              <w:rPr>
                <w:rFonts w:ascii="Century Gothic" w:hAnsi="Century Gothic"/>
              </w:rPr>
            </w:pPr>
            <w:proofErr w:type="spellStart"/>
            <w:r w:rsidRPr="00BF1798">
              <w:rPr>
                <w:rFonts w:ascii="Century Gothic" w:eastAsia="Times New Roman" w:hAnsi="Century Gothic"/>
                <w:szCs w:val="22"/>
              </w:rPr>
              <w:t>Ribicoff</w:t>
            </w:r>
            <w:proofErr w:type="spellEnd"/>
            <w:r w:rsidRPr="00BF1798">
              <w:rPr>
                <w:rFonts w:ascii="Century Gothic" w:eastAsia="Times New Roman" w:hAnsi="Century Gothic"/>
                <w:szCs w:val="22"/>
              </w:rPr>
              <w:t xml:space="preserve"> 4%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43F6706A" w14:textId="77777777" w:rsidR="00103AF8" w:rsidRDefault="00103AF8" w:rsidP="662A423E">
            <w:pPr>
              <w:jc w:val="center"/>
              <w:rPr>
                <w:rFonts w:ascii="Century Gothic" w:eastAsia="Times New Roman" w:hAnsi="Century Gothic"/>
              </w:rPr>
            </w:pPr>
          </w:p>
          <w:p w14:paraId="7CC925D9" w14:textId="4358E282" w:rsidR="73308613" w:rsidRPr="00BF1798" w:rsidRDefault="73308613" w:rsidP="662A423E">
            <w:pPr>
              <w:jc w:val="center"/>
              <w:rPr>
                <w:rFonts w:ascii="Century Gothic" w:eastAsia="Times New Roman" w:hAnsi="Century Gothic"/>
              </w:rPr>
            </w:pPr>
            <w:r w:rsidRPr="00BF1798">
              <w:rPr>
                <w:rFonts w:ascii="Century Gothic" w:eastAsia="Times New Roman" w:hAnsi="Century Gothic"/>
              </w:rPr>
              <w:t>1</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19EC7E5F" w14:textId="4024D97B" w:rsidR="341CC84A" w:rsidRPr="00BF1798" w:rsidRDefault="341CC84A" w:rsidP="341CC84A">
            <w:pPr>
              <w:jc w:val="center"/>
              <w:rPr>
                <w:rFonts w:ascii="Century Gothic" w:eastAsia="Times New Roman" w:hAnsi="Century Gothic"/>
              </w:rPr>
            </w:pPr>
          </w:p>
          <w:p w14:paraId="1796B72A" w14:textId="13535588" w:rsidR="00C27F5E" w:rsidRPr="00BF1798" w:rsidRDefault="2B48E84C" w:rsidP="00346EB6">
            <w:pPr>
              <w:jc w:val="center"/>
              <w:rPr>
                <w:rFonts w:ascii="Century Gothic" w:eastAsia="Times New Roman" w:hAnsi="Century Gothic"/>
              </w:rPr>
            </w:pPr>
            <w:r w:rsidRPr="00BF1798">
              <w:rPr>
                <w:rFonts w:ascii="Century Gothic" w:eastAsia="Times New Roman" w:hAnsi="Century Gothic"/>
              </w:rPr>
              <w:t>1</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1944D74D" w14:textId="309E30F5" w:rsidR="341CC84A" w:rsidRPr="00BF1798" w:rsidRDefault="341CC84A" w:rsidP="341CC84A">
            <w:pPr>
              <w:jc w:val="center"/>
              <w:rPr>
                <w:rFonts w:ascii="Century Gothic" w:eastAsia="Times New Roman" w:hAnsi="Century Gothic"/>
              </w:rPr>
            </w:pPr>
          </w:p>
          <w:p w14:paraId="792CF0C5" w14:textId="7CFD2C3A" w:rsidR="00C27F5E" w:rsidRPr="00BF1798" w:rsidRDefault="00C27F5E" w:rsidP="00346EB6">
            <w:pPr>
              <w:jc w:val="center"/>
              <w:rPr>
                <w:rFonts w:ascii="Century Gothic" w:eastAsia="Times New Roman" w:hAnsi="Century Gothic"/>
              </w:rPr>
            </w:pPr>
            <w:r w:rsidRPr="00BF1798">
              <w:rPr>
                <w:rFonts w:ascii="Century Gothic" w:eastAsia="Times New Roman" w:hAnsi="Century Gothic"/>
              </w:rPr>
              <w:t>0</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FACF25B" w14:textId="7E901971"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4C5C084" w14:textId="6A327C6A"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96450C6" w14:textId="59BDFF81"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01D7218" w14:textId="3BCBD428" w:rsidR="00C27F5E" w:rsidRPr="00BF1798" w:rsidRDefault="00C27F5E" w:rsidP="00346EB6">
            <w:pPr>
              <w:jc w:val="center"/>
              <w:rPr>
                <w:rFonts w:ascii="Century Gothic" w:eastAsia="Times New Roman" w:hAnsi="Century Gothic"/>
              </w:rPr>
            </w:pPr>
            <w:r w:rsidRPr="00BF1798">
              <w:rPr>
                <w:rFonts w:ascii="Century Gothic" w:eastAsia="Times New Roman" w:hAnsi="Century Gothic"/>
              </w:rPr>
              <w:t xml:space="preserve"> 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E6D21F9" w14:textId="7E01DEDE"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A9C850C" w14:textId="3BC6EBF5"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5D76386" w14:textId="2E7F1AE5" w:rsidR="00C27F5E" w:rsidRPr="00BF1798" w:rsidRDefault="00C27F5E" w:rsidP="00346EB6">
            <w:pPr>
              <w:jc w:val="center"/>
              <w:rPr>
                <w:rFonts w:ascii="Century Gothic" w:hAnsi="Century Gothic"/>
              </w:rPr>
            </w:pPr>
            <w:r w:rsidRPr="00BF1798">
              <w:rPr>
                <w:rFonts w:ascii="Century Gothic" w:eastAsia="Times New Roman" w:hAnsi="Century Gothic"/>
              </w:rPr>
              <w:t xml:space="preserve">N/A </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93C0546" w14:textId="5D913F39" w:rsidR="00C27F5E" w:rsidRPr="00BF1798" w:rsidRDefault="00C27F5E" w:rsidP="00346EB6">
            <w:pPr>
              <w:jc w:val="center"/>
              <w:rPr>
                <w:rFonts w:ascii="Century Gothic" w:hAnsi="Century Gothic"/>
              </w:rPr>
            </w:pPr>
            <w:r w:rsidRPr="00BF1798">
              <w:rPr>
                <w:rFonts w:ascii="Century Gothic" w:eastAsia="Times New Roman" w:hAnsi="Century Gothic"/>
              </w:rPr>
              <w:t xml:space="preserve">N/A </w:t>
            </w:r>
          </w:p>
        </w:tc>
      </w:tr>
      <w:tr w:rsidR="00C27F5E" w:rsidRPr="006D6566" w14:paraId="4E42C897" w14:textId="77777777" w:rsidTr="662A423E">
        <w:trPr>
          <w:trHeight w:val="57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48E01C1F" w14:textId="25B2E352" w:rsidR="00C27F5E" w:rsidRPr="00BF1798" w:rsidRDefault="00C27F5E" w:rsidP="197B9397">
            <w:pPr>
              <w:rPr>
                <w:rFonts w:ascii="Century Gothic" w:hAnsi="Century Gothic"/>
              </w:rPr>
            </w:pPr>
            <w:proofErr w:type="spellStart"/>
            <w:r w:rsidRPr="00BF1798">
              <w:rPr>
                <w:rFonts w:ascii="Century Gothic" w:eastAsia="Times New Roman" w:hAnsi="Century Gothic"/>
                <w:szCs w:val="22"/>
              </w:rPr>
              <w:t>Ribicoff</w:t>
            </w:r>
            <w:proofErr w:type="spellEnd"/>
            <w:r w:rsidRPr="00BF1798">
              <w:rPr>
                <w:rFonts w:ascii="Century Gothic" w:eastAsia="Times New Roman" w:hAnsi="Century Gothic"/>
                <w:szCs w:val="22"/>
              </w:rPr>
              <w:t xml:space="preserve"> 9%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15F3C042" w14:textId="77777777" w:rsidR="00103AF8" w:rsidRDefault="00103AF8" w:rsidP="662A423E">
            <w:pPr>
              <w:jc w:val="center"/>
              <w:rPr>
                <w:rFonts w:ascii="Century Gothic" w:eastAsia="Times New Roman" w:hAnsi="Century Gothic"/>
              </w:rPr>
            </w:pPr>
          </w:p>
          <w:p w14:paraId="3179A4A1" w14:textId="60436E85" w:rsidR="16E5C520" w:rsidRPr="00BF1798" w:rsidRDefault="16E5C520" w:rsidP="662A423E">
            <w:pPr>
              <w:jc w:val="center"/>
              <w:rPr>
                <w:rFonts w:ascii="Century Gothic" w:eastAsia="Times New Roman" w:hAnsi="Century Gothic"/>
              </w:rPr>
            </w:pPr>
            <w:r w:rsidRPr="00BF1798">
              <w:rPr>
                <w:rFonts w:ascii="Century Gothic" w:eastAsia="Times New Roman" w:hAnsi="Century Gothic"/>
              </w:rPr>
              <w:t>0</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193C54C8" w14:textId="48D7B723" w:rsidR="341CC84A" w:rsidRPr="00BF1798" w:rsidRDefault="341CC84A" w:rsidP="341CC84A">
            <w:pPr>
              <w:jc w:val="center"/>
              <w:rPr>
                <w:rFonts w:ascii="Century Gothic" w:eastAsia="Times New Roman" w:hAnsi="Century Gothic"/>
              </w:rPr>
            </w:pPr>
          </w:p>
          <w:p w14:paraId="1A9AC047" w14:textId="4EBEF7A5" w:rsidR="00C27F5E" w:rsidRPr="00BF1798" w:rsidRDefault="0A567CC7" w:rsidP="00346EB6">
            <w:pPr>
              <w:jc w:val="center"/>
              <w:rPr>
                <w:rFonts w:ascii="Century Gothic" w:eastAsia="Times New Roman" w:hAnsi="Century Gothic"/>
              </w:rPr>
            </w:pPr>
            <w:r w:rsidRPr="00BF1798">
              <w:rPr>
                <w:rFonts w:ascii="Century Gothic" w:eastAsia="Times New Roman" w:hAnsi="Century Gothic"/>
              </w:rPr>
              <w:t>1</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4F9F1404" w14:textId="3AF6501A" w:rsidR="341CC84A" w:rsidRPr="00BF1798" w:rsidRDefault="341CC84A" w:rsidP="341CC84A">
            <w:pPr>
              <w:jc w:val="center"/>
              <w:rPr>
                <w:rFonts w:ascii="Century Gothic" w:eastAsia="Times New Roman" w:hAnsi="Century Gothic"/>
              </w:rPr>
            </w:pPr>
          </w:p>
          <w:p w14:paraId="284F3549" w14:textId="0BFD971C" w:rsidR="00C27F5E" w:rsidRPr="00BF1798" w:rsidRDefault="00C27F5E" w:rsidP="00346EB6">
            <w:pPr>
              <w:jc w:val="center"/>
              <w:rPr>
                <w:rFonts w:ascii="Century Gothic" w:eastAsia="Times New Roman" w:hAnsi="Century Gothic"/>
              </w:rPr>
            </w:pPr>
            <w:r w:rsidRPr="00BF1798">
              <w:rPr>
                <w:rFonts w:ascii="Century Gothic" w:eastAsia="Times New Roman" w:hAnsi="Century Gothic"/>
              </w:rPr>
              <w:t>0</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BAD16E7" w14:textId="4C1DA4FC"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BBD590C" w14:textId="50C73122"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C419D11" w14:textId="0737A98D"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AF0BFED" w14:textId="5008DA6B" w:rsidR="00C27F5E" w:rsidRPr="00BF1798" w:rsidRDefault="00C27F5E" w:rsidP="00346EB6">
            <w:pPr>
              <w:jc w:val="center"/>
              <w:rPr>
                <w:rFonts w:ascii="Century Gothic" w:hAnsi="Century Gothic"/>
              </w:rPr>
            </w:pPr>
            <w:r w:rsidRPr="00BF1798">
              <w:rPr>
                <w:rFonts w:ascii="Century Gothic" w:eastAsia="Times New Roman" w:hAnsi="Century Gothic"/>
              </w:rPr>
              <w:t xml:space="preserve"> 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DF380EF" w14:textId="0136AE8A"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0DE2630" w14:textId="09498801"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5B87208" w14:textId="738241C3" w:rsidR="00C27F5E" w:rsidRPr="00BF1798" w:rsidRDefault="00C27F5E" w:rsidP="00346EB6">
            <w:pPr>
              <w:jc w:val="center"/>
              <w:rPr>
                <w:rFonts w:ascii="Century Gothic" w:hAnsi="Century Gothic"/>
              </w:rPr>
            </w:pPr>
            <w:r w:rsidRPr="00BF1798">
              <w:rPr>
                <w:rFonts w:ascii="Century Gothic" w:eastAsia="Times New Roman" w:hAnsi="Century Gothic"/>
              </w:rPr>
              <w:t xml:space="preserve">N/A </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9C10322" w14:textId="0C046714" w:rsidR="00C27F5E" w:rsidRPr="00BF1798" w:rsidRDefault="00C27F5E" w:rsidP="00346EB6">
            <w:pPr>
              <w:jc w:val="center"/>
              <w:rPr>
                <w:rFonts w:ascii="Century Gothic" w:hAnsi="Century Gothic"/>
              </w:rPr>
            </w:pPr>
            <w:r w:rsidRPr="00BF1798">
              <w:rPr>
                <w:rFonts w:ascii="Century Gothic" w:eastAsia="Times New Roman" w:hAnsi="Century Gothic"/>
              </w:rPr>
              <w:t xml:space="preserve">N/A </w:t>
            </w:r>
          </w:p>
        </w:tc>
      </w:tr>
      <w:tr w:rsidR="00C27F5E" w:rsidRPr="006D6566" w14:paraId="19646FF8" w14:textId="77777777" w:rsidTr="662A423E">
        <w:trPr>
          <w:trHeight w:val="57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25745B15" w14:textId="2D0C4FF9" w:rsidR="00C27F5E" w:rsidRPr="00BF1798" w:rsidRDefault="00C27F5E" w:rsidP="197B9397">
            <w:pPr>
              <w:rPr>
                <w:rFonts w:ascii="Century Gothic" w:hAnsi="Century Gothic"/>
              </w:rPr>
            </w:pPr>
            <w:r w:rsidRPr="00BF1798">
              <w:rPr>
                <w:rFonts w:ascii="Century Gothic" w:eastAsia="Times New Roman" w:hAnsi="Century Gothic"/>
                <w:szCs w:val="22"/>
              </w:rPr>
              <w:t xml:space="preserve">Quinnipiac Terrace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35597136" w14:textId="77777777" w:rsidR="00103AF8" w:rsidRDefault="00103AF8" w:rsidP="662A423E">
            <w:pPr>
              <w:jc w:val="center"/>
              <w:rPr>
                <w:rFonts w:ascii="Century Gothic" w:eastAsia="Times New Roman" w:hAnsi="Century Gothic"/>
              </w:rPr>
            </w:pPr>
          </w:p>
          <w:p w14:paraId="32700636" w14:textId="5E386A78" w:rsidR="662A423E" w:rsidRPr="00BF1798" w:rsidRDefault="00103AF8" w:rsidP="662A423E">
            <w:pPr>
              <w:jc w:val="center"/>
              <w:rPr>
                <w:rFonts w:ascii="Century Gothic" w:eastAsia="Times New Roman" w:hAnsi="Century Gothic"/>
              </w:rPr>
            </w:pPr>
            <w:r>
              <w:rPr>
                <w:rFonts w:ascii="Century Gothic" w:eastAsia="Times New Roman" w:hAnsi="Century Gothic"/>
              </w:rPr>
              <w:t>7</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0D130143" w14:textId="58CF0564" w:rsidR="341CC84A" w:rsidRPr="00BF1798" w:rsidRDefault="341CC84A" w:rsidP="341CC84A">
            <w:pPr>
              <w:jc w:val="center"/>
              <w:rPr>
                <w:rFonts w:ascii="Century Gothic" w:eastAsia="Times New Roman" w:hAnsi="Century Gothic"/>
              </w:rPr>
            </w:pPr>
          </w:p>
          <w:p w14:paraId="4C0A4BC2" w14:textId="1B993BA8" w:rsidR="00C27F5E" w:rsidRPr="00BF1798" w:rsidRDefault="72BC41A6" w:rsidP="00346EB6">
            <w:pPr>
              <w:jc w:val="center"/>
              <w:rPr>
                <w:rFonts w:ascii="Century Gothic" w:eastAsia="Times New Roman" w:hAnsi="Century Gothic"/>
              </w:rPr>
            </w:pPr>
            <w:r w:rsidRPr="00BF1798">
              <w:rPr>
                <w:rFonts w:ascii="Century Gothic" w:eastAsia="Times New Roman" w:hAnsi="Century Gothic"/>
              </w:rPr>
              <w:t>0</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6955BFDA" w14:textId="7C01CFDD" w:rsidR="341CC84A" w:rsidRPr="00BF1798" w:rsidRDefault="341CC84A" w:rsidP="341CC84A">
            <w:pPr>
              <w:jc w:val="center"/>
              <w:rPr>
                <w:rFonts w:ascii="Century Gothic" w:eastAsia="Times New Roman" w:hAnsi="Century Gothic"/>
              </w:rPr>
            </w:pPr>
          </w:p>
          <w:p w14:paraId="21A2ECEC" w14:textId="6C75F0FB" w:rsidR="00C27F5E" w:rsidRPr="00BF1798" w:rsidRDefault="0083287A" w:rsidP="00346EB6">
            <w:pPr>
              <w:jc w:val="center"/>
              <w:rPr>
                <w:rFonts w:ascii="Century Gothic" w:eastAsia="Times New Roman" w:hAnsi="Century Gothic"/>
              </w:rPr>
            </w:pPr>
            <w:r w:rsidRPr="00BF1798">
              <w:rPr>
                <w:rFonts w:ascii="Century Gothic" w:eastAsia="Times New Roman" w:hAnsi="Century Gothic"/>
              </w:rPr>
              <w:t>N/A</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9CE8F81" w14:textId="01BBEDEA"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4855E27" w14:textId="3FDB561B" w:rsidR="00C27F5E" w:rsidRPr="00BF1798" w:rsidRDefault="00C27F5E" w:rsidP="00346EB6">
            <w:pPr>
              <w:jc w:val="center"/>
              <w:rPr>
                <w:rFonts w:ascii="Century Gothic" w:eastAsia="Times New Roman" w:hAnsi="Century Gothic"/>
              </w:rPr>
            </w:pPr>
            <w:r w:rsidRPr="00BF1798">
              <w:rPr>
                <w:rFonts w:ascii="Century Gothic" w:eastAsia="Times New Roman" w:hAnsi="Century Gothic"/>
              </w:rPr>
              <w:t xml:space="preserve"> </w:t>
            </w:r>
            <w:r w:rsidR="06C07743" w:rsidRPr="00BF1798">
              <w:rPr>
                <w:rFonts w:ascii="Century Gothic" w:eastAsia="Times New Roman" w:hAnsi="Century Gothic"/>
              </w:rPr>
              <w:t>N/A</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85D4D21" w14:textId="367F7869"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F983CE6" w14:textId="69AC4502" w:rsidR="00C27F5E" w:rsidRPr="00BF1798" w:rsidRDefault="00C27F5E" w:rsidP="00346EB6">
            <w:pPr>
              <w:jc w:val="center"/>
              <w:rPr>
                <w:rFonts w:ascii="Century Gothic" w:hAnsi="Century Gothic"/>
              </w:rPr>
            </w:pPr>
            <w:r w:rsidRPr="00BF1798">
              <w:rPr>
                <w:rFonts w:ascii="Century Gothic" w:eastAsia="Times New Roman" w:hAnsi="Century Gothic"/>
              </w:rPr>
              <w:t>7</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81F7F72" w14:textId="32A0BEA0"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6C6E32E" w14:textId="375DC1B1" w:rsidR="00C27F5E" w:rsidRPr="00BF1798" w:rsidRDefault="00C27F5E" w:rsidP="00346EB6">
            <w:pPr>
              <w:jc w:val="center"/>
              <w:rPr>
                <w:rFonts w:ascii="Century Gothic" w:hAnsi="Century Gothic"/>
              </w:rPr>
            </w:pPr>
            <w:r w:rsidRPr="00BF1798">
              <w:rPr>
                <w:rFonts w:ascii="Century Gothic" w:eastAsia="Times New Roman" w:hAnsi="Century Gothic"/>
              </w:rPr>
              <w:t>2</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FEBD9F6" w14:textId="486FCC51" w:rsidR="00C27F5E" w:rsidRPr="00BF1798" w:rsidRDefault="00C27F5E" w:rsidP="00346EB6">
            <w:pPr>
              <w:jc w:val="center"/>
              <w:rPr>
                <w:rFonts w:ascii="Century Gothic" w:hAnsi="Century Gothic"/>
              </w:rPr>
            </w:pPr>
            <w:r w:rsidRPr="00BF1798">
              <w:rPr>
                <w:rFonts w:ascii="Century Gothic" w:eastAsia="Times New Roman" w:hAnsi="Century Gothic"/>
              </w:rPr>
              <w:t>4</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BCE176F" w14:textId="5A106521" w:rsidR="00C27F5E" w:rsidRPr="00BF1798" w:rsidRDefault="00C27F5E" w:rsidP="00346EB6">
            <w:pPr>
              <w:jc w:val="center"/>
              <w:rPr>
                <w:rFonts w:ascii="Century Gothic" w:hAnsi="Century Gothic"/>
              </w:rPr>
            </w:pPr>
            <w:r w:rsidRPr="00BF1798">
              <w:rPr>
                <w:rFonts w:ascii="Century Gothic" w:eastAsia="Times New Roman" w:hAnsi="Century Gothic"/>
              </w:rPr>
              <w:t>3</w:t>
            </w:r>
          </w:p>
        </w:tc>
      </w:tr>
      <w:tr w:rsidR="00C27F5E" w:rsidRPr="006D6566" w14:paraId="39580187" w14:textId="77777777" w:rsidTr="662A423E">
        <w:trPr>
          <w:trHeight w:val="57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21D853B4" w14:textId="5A32C611" w:rsidR="00C27F5E" w:rsidRPr="00BF1798" w:rsidRDefault="3394D83B" w:rsidP="46316ACA">
            <w:pPr>
              <w:rPr>
                <w:rFonts w:ascii="Century Gothic" w:eastAsia="Times New Roman" w:hAnsi="Century Gothic"/>
              </w:rPr>
            </w:pPr>
            <w:r w:rsidRPr="00BF1798">
              <w:rPr>
                <w:rFonts w:ascii="Century Gothic" w:eastAsia="Times New Roman" w:hAnsi="Century Gothic"/>
              </w:rPr>
              <w:t xml:space="preserve">Scattered Sites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52790B57" w14:textId="77777777" w:rsidR="005D475D" w:rsidRDefault="005D475D" w:rsidP="662A423E">
            <w:pPr>
              <w:jc w:val="center"/>
              <w:rPr>
                <w:rFonts w:ascii="Century Gothic" w:eastAsia="Times New Roman" w:hAnsi="Century Gothic"/>
              </w:rPr>
            </w:pPr>
          </w:p>
          <w:p w14:paraId="45CB3C69" w14:textId="3E5809B4" w:rsidR="662A423E" w:rsidRPr="00BF1798" w:rsidRDefault="005D475D" w:rsidP="662A423E">
            <w:pPr>
              <w:jc w:val="center"/>
              <w:rPr>
                <w:rFonts w:ascii="Century Gothic" w:eastAsia="Times New Roman" w:hAnsi="Century Gothic"/>
              </w:rPr>
            </w:pPr>
            <w:r>
              <w:rPr>
                <w:rFonts w:ascii="Century Gothic" w:eastAsia="Times New Roman" w:hAnsi="Century Gothic"/>
              </w:rPr>
              <w:t>0</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4B7EFD53" w14:textId="7E00289C" w:rsidR="341CC84A" w:rsidRPr="00BF1798" w:rsidRDefault="341CC84A" w:rsidP="341CC84A">
            <w:pPr>
              <w:jc w:val="center"/>
              <w:rPr>
                <w:rFonts w:ascii="Century Gothic" w:eastAsia="Times New Roman" w:hAnsi="Century Gothic"/>
              </w:rPr>
            </w:pPr>
          </w:p>
          <w:p w14:paraId="72CA2B60" w14:textId="72C5A4F5" w:rsidR="00C27F5E" w:rsidRPr="00BF1798" w:rsidRDefault="129378E1" w:rsidP="00346EB6">
            <w:pPr>
              <w:jc w:val="center"/>
              <w:rPr>
                <w:rFonts w:ascii="Century Gothic" w:eastAsia="Times New Roman" w:hAnsi="Century Gothic"/>
              </w:rPr>
            </w:pPr>
            <w:r w:rsidRPr="00BF1798">
              <w:rPr>
                <w:rFonts w:ascii="Century Gothic" w:eastAsia="Times New Roman" w:hAnsi="Century Gothic"/>
              </w:rPr>
              <w:t>2</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26A65A70" w14:textId="6F60500F" w:rsidR="341CC84A" w:rsidRPr="00BF1798" w:rsidRDefault="341CC84A" w:rsidP="341CC84A">
            <w:pPr>
              <w:jc w:val="center"/>
              <w:rPr>
                <w:rFonts w:ascii="Century Gothic" w:eastAsia="Times New Roman" w:hAnsi="Century Gothic"/>
              </w:rPr>
            </w:pPr>
          </w:p>
          <w:p w14:paraId="3C5A1E77" w14:textId="42091DD4" w:rsidR="00C27F5E" w:rsidRPr="00BF1798" w:rsidRDefault="3394D83B" w:rsidP="00346EB6">
            <w:pPr>
              <w:jc w:val="center"/>
              <w:rPr>
                <w:rFonts w:ascii="Century Gothic" w:eastAsia="Times New Roman" w:hAnsi="Century Gothic"/>
              </w:rPr>
            </w:pPr>
            <w:r w:rsidRPr="00BF1798">
              <w:rPr>
                <w:rFonts w:ascii="Century Gothic" w:eastAsia="Times New Roman" w:hAnsi="Century Gothic"/>
              </w:rPr>
              <w:t>3</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D38ADF6" w14:textId="25F48A99" w:rsidR="00C27F5E" w:rsidRPr="00BF1798" w:rsidRDefault="5735297B" w:rsidP="00346EB6">
            <w:pPr>
              <w:jc w:val="center"/>
              <w:rPr>
                <w:rFonts w:ascii="Century Gothic" w:eastAsia="Times New Roman" w:hAnsi="Century Gothic"/>
              </w:rPr>
            </w:pPr>
            <w:r w:rsidRPr="00BF1798">
              <w:rPr>
                <w:rFonts w:ascii="Century Gothic" w:eastAsia="Times New Roman" w:hAnsi="Century Gothic"/>
              </w:rPr>
              <w:t>N/A</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5803C65" w14:textId="2A6E9EA2" w:rsidR="00C27F5E" w:rsidRPr="00BF1798" w:rsidRDefault="5735297B" w:rsidP="00346EB6">
            <w:pPr>
              <w:jc w:val="center"/>
              <w:rPr>
                <w:rFonts w:ascii="Century Gothic" w:eastAsia="Times New Roman" w:hAnsi="Century Gothic"/>
              </w:rPr>
            </w:pPr>
            <w:r w:rsidRPr="00BF1798">
              <w:rPr>
                <w:rFonts w:ascii="Century Gothic" w:eastAsia="Times New Roman" w:hAnsi="Century Gothic"/>
              </w:rPr>
              <w:t>N/A</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B6DF01F" w14:textId="6B59C869" w:rsidR="00C27F5E" w:rsidRPr="00BF1798" w:rsidRDefault="1976CA04" w:rsidP="00346EB6">
            <w:pPr>
              <w:jc w:val="center"/>
              <w:rPr>
                <w:rFonts w:ascii="Century Gothic" w:eastAsia="Times New Roman"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6933E3F" w14:textId="2079489D" w:rsidR="00C27F5E" w:rsidRPr="00BF1798" w:rsidRDefault="1976CA04" w:rsidP="00346EB6">
            <w:pPr>
              <w:jc w:val="center"/>
              <w:rPr>
                <w:rFonts w:ascii="Century Gothic" w:eastAsia="Times New Roman"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AC68E39" w14:textId="60FF6A77" w:rsidR="00C27F5E" w:rsidRPr="00BF1798" w:rsidRDefault="1976CA04" w:rsidP="00346EB6">
            <w:pPr>
              <w:jc w:val="center"/>
              <w:rPr>
                <w:rFonts w:ascii="Century Gothic" w:eastAsia="Times New Roman" w:hAnsi="Century Gothic"/>
              </w:rPr>
            </w:pPr>
            <w:r w:rsidRPr="00BF1798">
              <w:rPr>
                <w:rFonts w:ascii="Century Gothic" w:eastAsia="Times New Roman" w:hAnsi="Century Gothic"/>
              </w:rPr>
              <w:t>NA</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3A285E6" w14:textId="4BA63404" w:rsidR="00C27F5E" w:rsidRPr="00BF1798" w:rsidRDefault="1976CA04" w:rsidP="00346EB6">
            <w:pPr>
              <w:jc w:val="center"/>
              <w:rPr>
                <w:rFonts w:ascii="Century Gothic" w:eastAsia="Times New Roman"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D65D4DE" w14:textId="39737E05" w:rsidR="00C27F5E" w:rsidRPr="00BF1798" w:rsidRDefault="1976CA04" w:rsidP="00346EB6">
            <w:pPr>
              <w:jc w:val="center"/>
              <w:rPr>
                <w:rFonts w:ascii="Century Gothic" w:eastAsia="Times New Roman"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44CF89D" w14:textId="3E7F2A57" w:rsidR="00C27F5E" w:rsidRPr="00BF1798" w:rsidRDefault="1976CA04" w:rsidP="00346EB6">
            <w:pPr>
              <w:jc w:val="center"/>
              <w:rPr>
                <w:rFonts w:ascii="Century Gothic" w:eastAsia="Times New Roman" w:hAnsi="Century Gothic"/>
              </w:rPr>
            </w:pPr>
            <w:r w:rsidRPr="00BF1798">
              <w:rPr>
                <w:rFonts w:ascii="Century Gothic" w:eastAsia="Times New Roman" w:hAnsi="Century Gothic"/>
              </w:rPr>
              <w:t>N/A</w:t>
            </w:r>
          </w:p>
        </w:tc>
      </w:tr>
      <w:tr w:rsidR="00C27F5E" w:rsidRPr="006D6566" w14:paraId="1283C0BA" w14:textId="77777777" w:rsidTr="007F2724">
        <w:trPr>
          <w:trHeight w:val="83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00ABD10A" w14:textId="7704F545" w:rsidR="00C27F5E" w:rsidRPr="00BF1798" w:rsidRDefault="00C27F5E" w:rsidP="197B9397">
            <w:pPr>
              <w:rPr>
                <w:rFonts w:ascii="Century Gothic" w:hAnsi="Century Gothic"/>
              </w:rPr>
            </w:pPr>
            <w:r w:rsidRPr="00BF1798">
              <w:rPr>
                <w:rFonts w:ascii="Century Gothic" w:eastAsia="Times New Roman" w:hAnsi="Century Gothic"/>
              </w:rPr>
              <w:t xml:space="preserve">West Rock (Brookside I and II)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1E9ED181" w14:textId="77777777" w:rsidR="00AB1554" w:rsidRDefault="00AB1554" w:rsidP="662A423E">
            <w:pPr>
              <w:jc w:val="center"/>
              <w:rPr>
                <w:rFonts w:ascii="Century Gothic" w:eastAsia="Times New Roman" w:hAnsi="Century Gothic"/>
              </w:rPr>
            </w:pPr>
          </w:p>
          <w:p w14:paraId="7535EADF" w14:textId="77777777" w:rsidR="00AB1554" w:rsidRDefault="00AB1554" w:rsidP="662A423E">
            <w:pPr>
              <w:jc w:val="center"/>
              <w:rPr>
                <w:rFonts w:ascii="Century Gothic" w:eastAsia="Times New Roman" w:hAnsi="Century Gothic"/>
              </w:rPr>
            </w:pPr>
          </w:p>
          <w:p w14:paraId="49A5ABD5" w14:textId="77777777" w:rsidR="00AB1554" w:rsidRDefault="00AB1554" w:rsidP="662A423E">
            <w:pPr>
              <w:jc w:val="center"/>
              <w:rPr>
                <w:rFonts w:ascii="Century Gothic" w:eastAsia="Times New Roman" w:hAnsi="Century Gothic"/>
              </w:rPr>
            </w:pPr>
          </w:p>
          <w:p w14:paraId="55763AB3" w14:textId="77777777" w:rsidR="00AB1554" w:rsidRDefault="00AB1554" w:rsidP="662A423E">
            <w:pPr>
              <w:jc w:val="center"/>
              <w:rPr>
                <w:rFonts w:ascii="Century Gothic" w:eastAsia="Times New Roman" w:hAnsi="Century Gothic"/>
              </w:rPr>
            </w:pPr>
          </w:p>
          <w:p w14:paraId="524CD4D3" w14:textId="73BDDA8D" w:rsidR="662A423E" w:rsidRPr="00BF1798" w:rsidRDefault="00AB1554" w:rsidP="662A423E">
            <w:pPr>
              <w:jc w:val="center"/>
              <w:rPr>
                <w:rFonts w:ascii="Century Gothic" w:eastAsia="Times New Roman" w:hAnsi="Century Gothic"/>
              </w:rPr>
            </w:pPr>
            <w:r>
              <w:rPr>
                <w:rFonts w:ascii="Century Gothic" w:eastAsia="Times New Roman" w:hAnsi="Century Gothic"/>
              </w:rPr>
              <w:t>5</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12C09E9A" w14:textId="25142BC1" w:rsidR="341CC84A" w:rsidRPr="00BF1798" w:rsidRDefault="341CC84A" w:rsidP="341CC84A">
            <w:pPr>
              <w:jc w:val="center"/>
              <w:rPr>
                <w:rFonts w:ascii="Century Gothic" w:eastAsia="Times New Roman" w:hAnsi="Century Gothic"/>
              </w:rPr>
            </w:pPr>
          </w:p>
          <w:p w14:paraId="1092FB87" w14:textId="3A39C9C8" w:rsidR="341CC84A" w:rsidRPr="00BF1798" w:rsidRDefault="341CC84A" w:rsidP="341CC84A">
            <w:pPr>
              <w:jc w:val="center"/>
              <w:rPr>
                <w:rFonts w:ascii="Century Gothic" w:eastAsia="Times New Roman" w:hAnsi="Century Gothic"/>
              </w:rPr>
            </w:pPr>
          </w:p>
          <w:p w14:paraId="5DB1D171" w14:textId="110817AA" w:rsidR="341CC84A" w:rsidRPr="00BF1798" w:rsidRDefault="341CC84A" w:rsidP="341CC84A">
            <w:pPr>
              <w:jc w:val="center"/>
              <w:rPr>
                <w:rFonts w:ascii="Century Gothic" w:eastAsia="Times New Roman" w:hAnsi="Century Gothic"/>
              </w:rPr>
            </w:pPr>
          </w:p>
          <w:p w14:paraId="4CAA4A2E" w14:textId="6D4443D3" w:rsidR="341CC84A" w:rsidRPr="00BF1798" w:rsidRDefault="341CC84A" w:rsidP="341CC84A">
            <w:pPr>
              <w:jc w:val="center"/>
              <w:rPr>
                <w:rFonts w:ascii="Century Gothic" w:eastAsia="Times New Roman" w:hAnsi="Century Gothic"/>
              </w:rPr>
            </w:pPr>
          </w:p>
          <w:p w14:paraId="784CF7C2" w14:textId="059FD42D" w:rsidR="00C27F5E" w:rsidRPr="00BF1798" w:rsidRDefault="1727644B" w:rsidP="00346EB6">
            <w:pPr>
              <w:jc w:val="center"/>
              <w:rPr>
                <w:rFonts w:ascii="Century Gothic" w:eastAsia="Times New Roman" w:hAnsi="Century Gothic"/>
              </w:rPr>
            </w:pPr>
            <w:r w:rsidRPr="00BF1798">
              <w:rPr>
                <w:rFonts w:ascii="Century Gothic" w:eastAsia="Times New Roman" w:hAnsi="Century Gothic"/>
              </w:rPr>
              <w:t>8</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0DC2052D" w14:textId="15DFF431" w:rsidR="341CC84A" w:rsidRPr="00BF1798" w:rsidRDefault="341CC84A" w:rsidP="341CC84A">
            <w:pPr>
              <w:jc w:val="center"/>
              <w:rPr>
                <w:rFonts w:ascii="Century Gothic" w:eastAsia="Times New Roman" w:hAnsi="Century Gothic"/>
              </w:rPr>
            </w:pPr>
          </w:p>
          <w:p w14:paraId="4F1DEAA5" w14:textId="1262C013" w:rsidR="341CC84A" w:rsidRPr="00BF1798" w:rsidRDefault="341CC84A" w:rsidP="341CC84A">
            <w:pPr>
              <w:jc w:val="center"/>
              <w:rPr>
                <w:rFonts w:ascii="Century Gothic" w:eastAsia="Times New Roman" w:hAnsi="Century Gothic"/>
              </w:rPr>
            </w:pPr>
          </w:p>
          <w:p w14:paraId="59EA1B1D" w14:textId="00667F36" w:rsidR="341CC84A" w:rsidRPr="00BF1798" w:rsidRDefault="341CC84A" w:rsidP="341CC84A">
            <w:pPr>
              <w:jc w:val="center"/>
              <w:rPr>
                <w:rFonts w:ascii="Century Gothic" w:eastAsia="Times New Roman" w:hAnsi="Century Gothic"/>
              </w:rPr>
            </w:pPr>
          </w:p>
          <w:p w14:paraId="58C91CC8" w14:textId="39B78512" w:rsidR="341CC84A" w:rsidRPr="00BF1798" w:rsidRDefault="341CC84A" w:rsidP="341CC84A">
            <w:pPr>
              <w:jc w:val="center"/>
              <w:rPr>
                <w:rFonts w:ascii="Century Gothic" w:eastAsia="Times New Roman" w:hAnsi="Century Gothic"/>
              </w:rPr>
            </w:pPr>
          </w:p>
          <w:p w14:paraId="64664BB6" w14:textId="50EEE827" w:rsidR="00C27F5E" w:rsidRPr="00BF1798" w:rsidRDefault="00C27F5E" w:rsidP="00346EB6">
            <w:pPr>
              <w:jc w:val="center"/>
              <w:rPr>
                <w:rFonts w:ascii="Century Gothic" w:eastAsia="Times New Roman" w:hAnsi="Century Gothic"/>
              </w:rPr>
            </w:pPr>
            <w:r w:rsidRPr="00BF1798">
              <w:rPr>
                <w:rFonts w:ascii="Century Gothic" w:eastAsia="Times New Roman" w:hAnsi="Century Gothic"/>
              </w:rPr>
              <w:t>0</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42A6493" w14:textId="0267D516"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88064F8" w14:textId="75173FBE"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F6C90D0" w14:textId="1671C0D3"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9D160CE" w14:textId="0461AB20" w:rsidR="00C27F5E" w:rsidRPr="00BF1798" w:rsidRDefault="00C27F5E" w:rsidP="00346EB6">
            <w:pPr>
              <w:jc w:val="center"/>
              <w:rPr>
                <w:rFonts w:ascii="Century Gothic" w:hAnsi="Century Gothic"/>
              </w:rPr>
            </w:pPr>
            <w:r w:rsidRPr="00BF1798">
              <w:rPr>
                <w:rFonts w:ascii="Century Gothic" w:eastAsia="Times New Roman" w:hAnsi="Century Gothic"/>
              </w:rPr>
              <w:t>2</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05CA878" w14:textId="53BA4F8C" w:rsidR="00C27F5E" w:rsidRPr="00BF1798" w:rsidRDefault="00C27F5E" w:rsidP="00346EB6">
            <w:pPr>
              <w:jc w:val="center"/>
              <w:rPr>
                <w:rFonts w:ascii="Century Gothic" w:hAnsi="Century Gothic"/>
              </w:rPr>
            </w:pPr>
            <w:r w:rsidRPr="00BF1798">
              <w:rPr>
                <w:rFonts w:ascii="Century Gothic" w:eastAsia="Times New Roman" w:hAnsi="Century Gothic"/>
              </w:rPr>
              <w:t xml:space="preserve">N/A </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6F5DB09" w14:textId="206BD012" w:rsidR="00C27F5E" w:rsidRPr="00BF1798" w:rsidRDefault="00C27F5E" w:rsidP="00346EB6">
            <w:pPr>
              <w:jc w:val="center"/>
              <w:rPr>
                <w:rFonts w:ascii="Century Gothic" w:hAnsi="Century Gothic"/>
              </w:rPr>
            </w:pPr>
            <w:r w:rsidRPr="00BF1798">
              <w:rPr>
                <w:rFonts w:ascii="Century Gothic" w:eastAsia="Times New Roman" w:hAnsi="Century Gothic"/>
              </w:rPr>
              <w:t xml:space="preserve">N/A </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3995A8F" w14:textId="5946533D" w:rsidR="00C27F5E" w:rsidRPr="00BF1798" w:rsidRDefault="00C27F5E" w:rsidP="00346EB6">
            <w:pPr>
              <w:jc w:val="center"/>
              <w:rPr>
                <w:rFonts w:ascii="Century Gothic" w:hAnsi="Century Gothic"/>
              </w:rPr>
            </w:pPr>
            <w:r w:rsidRPr="00BF1798">
              <w:rPr>
                <w:rFonts w:ascii="Century Gothic" w:eastAsia="Times New Roman" w:hAnsi="Century Gothic"/>
              </w:rPr>
              <w:t>7</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719027B" w14:textId="4C5619B1" w:rsidR="00C27F5E" w:rsidRPr="00BF1798" w:rsidRDefault="00C27F5E" w:rsidP="00346EB6">
            <w:pPr>
              <w:jc w:val="center"/>
              <w:rPr>
                <w:rFonts w:ascii="Century Gothic" w:hAnsi="Century Gothic"/>
              </w:rPr>
            </w:pPr>
            <w:r w:rsidRPr="00BF1798">
              <w:rPr>
                <w:rFonts w:ascii="Century Gothic" w:eastAsia="Times New Roman" w:hAnsi="Century Gothic"/>
              </w:rPr>
              <w:t>25</w:t>
            </w:r>
          </w:p>
        </w:tc>
      </w:tr>
      <w:tr w:rsidR="00C27F5E" w:rsidRPr="006D6566" w14:paraId="21F81254" w14:textId="77777777" w:rsidTr="662A423E">
        <w:trPr>
          <w:trHeight w:val="30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15BD1609" w14:textId="2FAFEA13" w:rsidR="00C27F5E" w:rsidRPr="00BF1798" w:rsidRDefault="00C27F5E" w:rsidP="197B9397">
            <w:pPr>
              <w:rPr>
                <w:rFonts w:ascii="Century Gothic" w:hAnsi="Century Gothic"/>
              </w:rPr>
            </w:pPr>
            <w:r w:rsidRPr="00BF1798">
              <w:rPr>
                <w:rFonts w:ascii="Century Gothic" w:eastAsia="Times New Roman" w:hAnsi="Century Gothic"/>
                <w:szCs w:val="22"/>
              </w:rPr>
              <w:t xml:space="preserve">Westville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1891DBC1" w14:textId="7E54B3AF" w:rsidR="662A423E" w:rsidRPr="00BF1798" w:rsidRDefault="662A423E" w:rsidP="662A423E">
            <w:pPr>
              <w:jc w:val="center"/>
              <w:rPr>
                <w:rFonts w:ascii="Century Gothic" w:eastAsia="Times New Roman" w:hAnsi="Century Gothic"/>
              </w:rPr>
            </w:pP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4415E9B9" w14:textId="5B954142" w:rsidR="00C27F5E" w:rsidRPr="00BF1798" w:rsidRDefault="319A5825" w:rsidP="00346EB6">
            <w:pPr>
              <w:jc w:val="center"/>
              <w:rPr>
                <w:rFonts w:ascii="Century Gothic" w:eastAsia="Times New Roman" w:hAnsi="Century Gothic"/>
              </w:rPr>
            </w:pPr>
            <w:r w:rsidRPr="00BF1798">
              <w:rPr>
                <w:rFonts w:ascii="Century Gothic" w:eastAsia="Times New Roman" w:hAnsi="Century Gothic"/>
              </w:rPr>
              <w:t>5</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3EC66662" w14:textId="3BC9B447" w:rsidR="00C27F5E" w:rsidRPr="00BF1798" w:rsidRDefault="00C27F5E" w:rsidP="00346EB6">
            <w:pPr>
              <w:jc w:val="center"/>
              <w:rPr>
                <w:rFonts w:ascii="Century Gothic" w:eastAsia="Times New Roman" w:hAnsi="Century Gothic"/>
              </w:rPr>
            </w:pPr>
            <w:r w:rsidRPr="00BF1798">
              <w:rPr>
                <w:rFonts w:ascii="Century Gothic" w:eastAsia="Times New Roman" w:hAnsi="Century Gothic"/>
              </w:rPr>
              <w:t>5</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098D2C1" w14:textId="43737117" w:rsidR="00C27F5E" w:rsidRPr="00BF1798" w:rsidRDefault="00C27F5E" w:rsidP="00346EB6">
            <w:pPr>
              <w:jc w:val="center"/>
              <w:rPr>
                <w:rFonts w:ascii="Century Gothic" w:hAnsi="Century Gothic"/>
              </w:rPr>
            </w:pPr>
            <w:r w:rsidRPr="00BF1798">
              <w:rPr>
                <w:rFonts w:ascii="Century Gothic" w:eastAsia="Times New Roman" w:hAnsi="Century Gothic"/>
              </w:rPr>
              <w:t>3</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7B1B730" w14:textId="2847B5D9" w:rsidR="00C27F5E" w:rsidRPr="00BF1798" w:rsidRDefault="00C27F5E" w:rsidP="00346EB6">
            <w:pPr>
              <w:jc w:val="center"/>
              <w:rPr>
                <w:rFonts w:ascii="Century Gothic" w:hAnsi="Century Gothic"/>
              </w:rPr>
            </w:pPr>
            <w:r w:rsidRPr="00BF1798">
              <w:rPr>
                <w:rFonts w:ascii="Century Gothic" w:eastAsia="Times New Roman" w:hAnsi="Century Gothic"/>
              </w:rPr>
              <w:t>4</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3744C52" w14:textId="68802829" w:rsidR="00C27F5E" w:rsidRPr="00BF1798" w:rsidRDefault="00C27F5E" w:rsidP="00346EB6">
            <w:pPr>
              <w:jc w:val="center"/>
              <w:rPr>
                <w:rFonts w:ascii="Century Gothic" w:hAnsi="Century Gothic"/>
              </w:rPr>
            </w:pPr>
            <w:r w:rsidRPr="00BF1798">
              <w:rPr>
                <w:rFonts w:ascii="Century Gothic" w:eastAsia="Times New Roman" w:hAnsi="Century Gothic"/>
              </w:rPr>
              <w:t>3</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4902D11" w14:textId="3BEE51C4" w:rsidR="00C27F5E" w:rsidRPr="00BF1798" w:rsidRDefault="00C27F5E" w:rsidP="00346EB6">
            <w:pPr>
              <w:jc w:val="center"/>
              <w:rPr>
                <w:rFonts w:ascii="Century Gothic" w:hAnsi="Century Gothic"/>
              </w:rPr>
            </w:pPr>
            <w:r w:rsidRPr="00BF1798">
              <w:rPr>
                <w:rFonts w:ascii="Century Gothic" w:eastAsia="Times New Roman" w:hAnsi="Century Gothic"/>
              </w:rPr>
              <w:t>8</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0D3616F" w14:textId="7602645F"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DFF8CCA" w14:textId="54D2F3B0"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B3BA245" w14:textId="6075261A"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63BCD13" w14:textId="098E1F05" w:rsidR="00C27F5E" w:rsidRPr="00BF1798" w:rsidRDefault="00C27F5E" w:rsidP="00346EB6">
            <w:pPr>
              <w:jc w:val="center"/>
              <w:rPr>
                <w:rFonts w:ascii="Century Gothic" w:hAnsi="Century Gothic"/>
              </w:rPr>
            </w:pPr>
            <w:r w:rsidRPr="00BF1798">
              <w:rPr>
                <w:rFonts w:ascii="Century Gothic" w:eastAsia="Times New Roman" w:hAnsi="Century Gothic"/>
              </w:rPr>
              <w:t>0</w:t>
            </w:r>
          </w:p>
        </w:tc>
      </w:tr>
      <w:tr w:rsidR="00C27F5E" w:rsidRPr="006D6566" w14:paraId="04BC4270" w14:textId="77777777" w:rsidTr="662A423E">
        <w:trPr>
          <w:trHeight w:val="57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5A7FFE1D" w14:textId="3AEF8537" w:rsidR="00C27F5E" w:rsidRPr="00BF1798" w:rsidRDefault="00C27F5E" w:rsidP="197B9397">
            <w:pPr>
              <w:rPr>
                <w:rFonts w:ascii="Century Gothic" w:hAnsi="Century Gothic"/>
              </w:rPr>
            </w:pPr>
            <w:r w:rsidRPr="00BF1798">
              <w:rPr>
                <w:rFonts w:ascii="Century Gothic" w:eastAsia="Times New Roman" w:hAnsi="Century Gothic"/>
                <w:szCs w:val="22"/>
              </w:rPr>
              <w:t xml:space="preserve">Robert T Wolfe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58CBF618" w14:textId="77777777" w:rsidR="0049434B" w:rsidRDefault="0049434B" w:rsidP="662A423E">
            <w:pPr>
              <w:jc w:val="center"/>
              <w:rPr>
                <w:rFonts w:ascii="Century Gothic" w:eastAsia="Calibri" w:hAnsi="Century Gothic" w:cs="Calibri"/>
              </w:rPr>
            </w:pPr>
          </w:p>
          <w:p w14:paraId="198C2A2E" w14:textId="06A09049" w:rsidR="662A423E" w:rsidRPr="00BF1798" w:rsidRDefault="0049434B" w:rsidP="662A423E">
            <w:pPr>
              <w:jc w:val="center"/>
              <w:rPr>
                <w:rFonts w:ascii="Century Gothic" w:eastAsia="Calibri" w:hAnsi="Century Gothic" w:cs="Calibri"/>
              </w:rPr>
            </w:pPr>
            <w:r>
              <w:rPr>
                <w:rFonts w:ascii="Century Gothic" w:eastAsia="Calibri" w:hAnsi="Century Gothic" w:cs="Calibri"/>
              </w:rPr>
              <w:t>1</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301A013C" w14:textId="3F834777" w:rsidR="341CC84A" w:rsidRPr="00BF1798" w:rsidRDefault="341CC84A" w:rsidP="341CC84A">
            <w:pPr>
              <w:jc w:val="center"/>
              <w:rPr>
                <w:rFonts w:ascii="Century Gothic" w:eastAsia="Calibri" w:hAnsi="Century Gothic" w:cs="Calibri"/>
              </w:rPr>
            </w:pPr>
          </w:p>
          <w:p w14:paraId="7A29FB42" w14:textId="64E8CB73" w:rsidR="00C27F5E" w:rsidRPr="00BF1798" w:rsidRDefault="0448520C" w:rsidP="341CC84A">
            <w:pPr>
              <w:jc w:val="center"/>
              <w:rPr>
                <w:rFonts w:ascii="Century Gothic" w:eastAsia="Calibri" w:hAnsi="Century Gothic" w:cs="Calibri"/>
              </w:rPr>
            </w:pPr>
            <w:r w:rsidRPr="00BF1798">
              <w:rPr>
                <w:rFonts w:ascii="Century Gothic" w:eastAsia="Calibri" w:hAnsi="Century Gothic" w:cs="Calibri"/>
              </w:rPr>
              <w:t>1</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6214BE3" w14:textId="17B4478F" w:rsidR="00C27F5E" w:rsidRPr="00BF1798" w:rsidRDefault="00C27F5E" w:rsidP="341CC84A">
            <w:pPr>
              <w:jc w:val="center"/>
              <w:rPr>
                <w:rFonts w:ascii="Century Gothic" w:eastAsia="Calibri" w:hAnsi="Century Gothic" w:cs="Calibri"/>
              </w:rPr>
            </w:pPr>
            <w:r w:rsidRPr="00BF1798">
              <w:rPr>
                <w:rFonts w:ascii="Century Gothic" w:eastAsia="Calibri" w:hAnsi="Century Gothic" w:cs="Calibri"/>
              </w:rPr>
              <w:t>3</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CA45FEA" w14:textId="5C528E13" w:rsidR="00C27F5E" w:rsidRPr="00BF1798" w:rsidRDefault="00C27F5E" w:rsidP="341CC84A">
            <w:pPr>
              <w:jc w:val="center"/>
              <w:rPr>
                <w:rFonts w:ascii="Century Gothic" w:hAnsi="Century Gothic"/>
              </w:rPr>
            </w:pPr>
            <w:r w:rsidRPr="00BF1798">
              <w:rPr>
                <w:rFonts w:ascii="Century Gothic" w:eastAsia="Calibri" w:hAnsi="Century Gothic" w:cs="Calibri"/>
              </w:rPr>
              <w:t>7</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B34BACD" w14:textId="0A1D749E" w:rsidR="00C27F5E" w:rsidRPr="00BF1798" w:rsidRDefault="00C27F5E" w:rsidP="341CC84A">
            <w:pPr>
              <w:jc w:val="center"/>
              <w:rPr>
                <w:rFonts w:ascii="Century Gothic" w:hAnsi="Century Gothic"/>
              </w:rPr>
            </w:pPr>
            <w:r w:rsidRPr="00BF1798">
              <w:rPr>
                <w:rFonts w:ascii="Century Gothic" w:eastAsia="Times New Roman" w:hAnsi="Century Gothic"/>
              </w:rPr>
              <w:t>1</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CF8AC6C" w14:textId="73AAE0E8" w:rsidR="00C27F5E" w:rsidRPr="00BF1798" w:rsidRDefault="00C27F5E" w:rsidP="341CC84A">
            <w:pPr>
              <w:jc w:val="center"/>
              <w:rPr>
                <w:rFonts w:ascii="Century Gothic" w:hAnsi="Century Gothic"/>
              </w:rPr>
            </w:pPr>
            <w:r w:rsidRPr="00BF1798">
              <w:rPr>
                <w:rFonts w:ascii="Century Gothic" w:eastAsia="Times New Roman" w:hAnsi="Century Gothic"/>
              </w:rPr>
              <w:t>1</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366BA1E" w14:textId="42CC2699" w:rsidR="00C27F5E" w:rsidRPr="00BF1798" w:rsidRDefault="00C27F5E" w:rsidP="341CC84A">
            <w:pPr>
              <w:jc w:val="center"/>
              <w:rPr>
                <w:rFonts w:ascii="Century Gothic" w:hAnsi="Century Gothic"/>
              </w:rPr>
            </w:pPr>
            <w:r w:rsidRPr="00BF1798">
              <w:rPr>
                <w:rFonts w:ascii="Century Gothic" w:eastAsia="Times New Roman" w:hAnsi="Century Gothic"/>
              </w:rPr>
              <w:t>0</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643C119" w14:textId="2C36D284" w:rsidR="00C27F5E" w:rsidRPr="00BF1798" w:rsidRDefault="00C27F5E" w:rsidP="341CC84A">
            <w:pPr>
              <w:jc w:val="center"/>
              <w:rPr>
                <w:rFonts w:ascii="Century Gothic" w:hAnsi="Century Gothic"/>
              </w:rPr>
            </w:pPr>
            <w:r w:rsidRPr="00BF1798">
              <w:rPr>
                <w:rFonts w:ascii="Century Gothic" w:eastAsia="Times New Roman" w:hAnsi="Century Gothic"/>
              </w:rPr>
              <w:t xml:space="preserve"> </w:t>
            </w:r>
            <w:r w:rsidR="003331BC" w:rsidRPr="00BF1798">
              <w:rPr>
                <w:rFonts w:ascii="Century Gothic" w:eastAsia="Times New Roman" w:hAnsi="Century Gothic"/>
              </w:rPr>
              <w:t>N/A</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39B339C" w14:textId="0A602AAB" w:rsidR="00C27F5E" w:rsidRPr="00BF1798" w:rsidRDefault="003331BC" w:rsidP="341CC84A">
            <w:pPr>
              <w:jc w:val="center"/>
              <w:rPr>
                <w:rFonts w:ascii="Century Gothic"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E28BEED" w14:textId="21E8BC7C" w:rsidR="00C27F5E" w:rsidRPr="00BF1798" w:rsidRDefault="1976CA04" w:rsidP="341CC84A">
            <w:pPr>
              <w:jc w:val="center"/>
              <w:rPr>
                <w:rFonts w:ascii="Century Gothic"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32D74D5" w14:textId="01378637" w:rsidR="00C27F5E" w:rsidRPr="00BF1798" w:rsidRDefault="003331BC" w:rsidP="341CC84A">
            <w:pPr>
              <w:jc w:val="center"/>
              <w:rPr>
                <w:rFonts w:ascii="Century Gothic" w:hAnsi="Century Gothic"/>
              </w:rPr>
            </w:pPr>
            <w:r w:rsidRPr="00BF1798">
              <w:rPr>
                <w:rFonts w:ascii="Century Gothic" w:eastAsia="Times New Roman" w:hAnsi="Century Gothic"/>
              </w:rPr>
              <w:t>N/A</w:t>
            </w:r>
          </w:p>
        </w:tc>
      </w:tr>
      <w:tr w:rsidR="00C27F5E" w:rsidRPr="006D6566" w14:paraId="35231D21" w14:textId="77777777" w:rsidTr="662A423E">
        <w:trPr>
          <w:trHeight w:val="57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0BF3D683" w14:textId="27B13728" w:rsidR="00C27F5E" w:rsidRPr="00BF1798" w:rsidRDefault="00C27F5E" w:rsidP="197B9397">
            <w:pPr>
              <w:rPr>
                <w:rFonts w:ascii="Century Gothic" w:hAnsi="Century Gothic"/>
              </w:rPr>
            </w:pPr>
            <w:r w:rsidRPr="00BF1798">
              <w:rPr>
                <w:rFonts w:ascii="Century Gothic" w:eastAsia="Times New Roman" w:hAnsi="Century Gothic"/>
                <w:szCs w:val="22"/>
              </w:rPr>
              <w:t xml:space="preserve">Winslow Celentano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086F103D" w14:textId="77777777" w:rsidR="00AE3528" w:rsidRDefault="00AE3528" w:rsidP="662A423E">
            <w:pPr>
              <w:jc w:val="center"/>
              <w:rPr>
                <w:rFonts w:ascii="Century Gothic" w:eastAsia="Times New Roman" w:hAnsi="Century Gothic"/>
              </w:rPr>
            </w:pPr>
          </w:p>
          <w:p w14:paraId="2CEACACA" w14:textId="1EAA5AEE" w:rsidR="2F9794A0" w:rsidRPr="00BF1798" w:rsidRDefault="2F9794A0" w:rsidP="662A423E">
            <w:pPr>
              <w:jc w:val="center"/>
              <w:rPr>
                <w:rFonts w:ascii="Century Gothic" w:eastAsia="Times New Roman" w:hAnsi="Century Gothic"/>
              </w:rPr>
            </w:pPr>
            <w:r w:rsidRPr="00BF1798">
              <w:rPr>
                <w:rFonts w:ascii="Century Gothic" w:eastAsia="Times New Roman" w:hAnsi="Century Gothic"/>
              </w:rPr>
              <w:t>0</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66EA84C9" w14:textId="2EE7DC92" w:rsidR="341CC84A" w:rsidRPr="00BF1798" w:rsidRDefault="341CC84A" w:rsidP="341CC84A">
            <w:pPr>
              <w:jc w:val="center"/>
              <w:rPr>
                <w:rFonts w:ascii="Century Gothic" w:eastAsia="Times New Roman" w:hAnsi="Century Gothic"/>
              </w:rPr>
            </w:pPr>
          </w:p>
          <w:p w14:paraId="05148DD0" w14:textId="1126C4DE" w:rsidR="00C27F5E" w:rsidRPr="00BF1798" w:rsidRDefault="26FA3464" w:rsidP="00346EB6">
            <w:pPr>
              <w:jc w:val="center"/>
              <w:rPr>
                <w:rFonts w:ascii="Century Gothic" w:eastAsia="Times New Roman" w:hAnsi="Century Gothic"/>
              </w:rPr>
            </w:pPr>
            <w:r w:rsidRPr="00BF1798">
              <w:rPr>
                <w:rFonts w:ascii="Century Gothic" w:eastAsia="Times New Roman" w:hAnsi="Century Gothic"/>
              </w:rPr>
              <w:t>0</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71DADA5B" w14:textId="5938754E" w:rsidR="341CC84A" w:rsidRPr="00BF1798" w:rsidRDefault="341CC84A" w:rsidP="341CC84A">
            <w:pPr>
              <w:jc w:val="center"/>
              <w:rPr>
                <w:rFonts w:ascii="Century Gothic" w:eastAsia="Times New Roman" w:hAnsi="Century Gothic"/>
              </w:rPr>
            </w:pPr>
          </w:p>
          <w:p w14:paraId="2BFA4F77" w14:textId="07E6086E" w:rsidR="00C27F5E" w:rsidRPr="00BF1798" w:rsidRDefault="337DD8CC" w:rsidP="00346EB6">
            <w:pPr>
              <w:jc w:val="center"/>
              <w:rPr>
                <w:rFonts w:ascii="Century Gothic" w:eastAsia="Times New Roman" w:hAnsi="Century Gothic"/>
              </w:rPr>
            </w:pPr>
            <w:r w:rsidRPr="00BF1798">
              <w:rPr>
                <w:rFonts w:ascii="Century Gothic" w:eastAsia="Times New Roman" w:hAnsi="Century Gothic"/>
              </w:rPr>
              <w:t>N/A</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81B2FF9" w14:textId="26692D44"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9E5F456" w14:textId="0E964ECE"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CBD2284" w14:textId="6E64BF94"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E357ABF" w14:textId="0DEEF937"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040774B" w14:textId="71B73ABC"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852D0AE" w14:textId="08CE6C26"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9D2EABF" w14:textId="1DDA4C74"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A26D4F7" w14:textId="076C97B2" w:rsidR="00C27F5E" w:rsidRPr="00BF1798" w:rsidRDefault="00C27F5E" w:rsidP="00346EB6">
            <w:pPr>
              <w:jc w:val="center"/>
              <w:rPr>
                <w:rFonts w:ascii="Century Gothic" w:hAnsi="Century Gothic"/>
              </w:rPr>
            </w:pPr>
            <w:r w:rsidRPr="00BF1798">
              <w:rPr>
                <w:rFonts w:ascii="Century Gothic" w:eastAsia="Times New Roman" w:hAnsi="Century Gothic"/>
              </w:rPr>
              <w:t xml:space="preserve"> </w:t>
            </w:r>
            <w:r w:rsidR="003331BC" w:rsidRPr="00BF1798">
              <w:rPr>
                <w:rFonts w:ascii="Century Gothic" w:eastAsia="Times New Roman" w:hAnsi="Century Gothic"/>
              </w:rPr>
              <w:t>N/A</w:t>
            </w:r>
          </w:p>
        </w:tc>
      </w:tr>
      <w:tr w:rsidR="00C27F5E" w:rsidRPr="006D6566" w14:paraId="57FA31CD" w14:textId="77777777" w:rsidTr="662A423E">
        <w:trPr>
          <w:trHeight w:val="57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333ACF0D" w14:textId="021B3EE7" w:rsidR="00C27F5E" w:rsidRPr="00BF1798" w:rsidRDefault="00C27F5E" w:rsidP="197B9397">
            <w:pPr>
              <w:rPr>
                <w:rFonts w:ascii="Century Gothic" w:hAnsi="Century Gothic"/>
              </w:rPr>
            </w:pPr>
            <w:r w:rsidRPr="00BF1798">
              <w:rPr>
                <w:rFonts w:ascii="Century Gothic" w:eastAsia="Times New Roman" w:hAnsi="Century Gothic"/>
                <w:szCs w:val="22"/>
              </w:rPr>
              <w:t xml:space="preserve">Crawford Manor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40F5E7E0" w14:textId="77777777" w:rsidR="00AE3528" w:rsidRDefault="00AE3528" w:rsidP="662A423E">
            <w:pPr>
              <w:jc w:val="center"/>
              <w:rPr>
                <w:rFonts w:ascii="Century Gothic" w:eastAsia="Calibri" w:hAnsi="Century Gothic" w:cs="Calibri"/>
              </w:rPr>
            </w:pPr>
          </w:p>
          <w:p w14:paraId="5235CD12" w14:textId="27CEBB58" w:rsidR="662A423E" w:rsidRPr="00BF1798" w:rsidRDefault="00AE3528" w:rsidP="662A423E">
            <w:pPr>
              <w:jc w:val="center"/>
              <w:rPr>
                <w:rFonts w:ascii="Century Gothic" w:eastAsia="Calibri" w:hAnsi="Century Gothic" w:cs="Calibri"/>
              </w:rPr>
            </w:pPr>
            <w:r>
              <w:rPr>
                <w:rFonts w:ascii="Century Gothic" w:eastAsia="Calibri" w:hAnsi="Century Gothic" w:cs="Calibri"/>
              </w:rPr>
              <w:t>2</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525B509C" w14:textId="2A4E27DC" w:rsidR="00C27F5E" w:rsidRPr="00BF1798" w:rsidRDefault="00C27F5E" w:rsidP="341CC84A">
            <w:pPr>
              <w:jc w:val="center"/>
              <w:rPr>
                <w:rFonts w:ascii="Century Gothic" w:eastAsia="Calibri" w:hAnsi="Century Gothic" w:cs="Calibri"/>
              </w:rPr>
            </w:pPr>
          </w:p>
          <w:p w14:paraId="5734C1BF" w14:textId="3F3582E4" w:rsidR="00C27F5E" w:rsidRPr="00BF1798" w:rsidRDefault="65CD8175" w:rsidP="00346EB6">
            <w:pPr>
              <w:jc w:val="center"/>
              <w:rPr>
                <w:rFonts w:ascii="Century Gothic" w:eastAsia="Calibri" w:hAnsi="Century Gothic" w:cs="Calibri"/>
              </w:rPr>
            </w:pPr>
            <w:r w:rsidRPr="00BF1798">
              <w:rPr>
                <w:rFonts w:ascii="Century Gothic" w:eastAsia="Calibri" w:hAnsi="Century Gothic" w:cs="Calibri"/>
              </w:rPr>
              <w:t>1</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60A342E8" w14:textId="36F9FE52" w:rsidR="341CC84A" w:rsidRPr="00BF1798" w:rsidRDefault="341CC84A" w:rsidP="341CC84A">
            <w:pPr>
              <w:jc w:val="center"/>
              <w:rPr>
                <w:rFonts w:ascii="Century Gothic" w:eastAsia="Calibri" w:hAnsi="Century Gothic" w:cs="Calibri"/>
              </w:rPr>
            </w:pPr>
          </w:p>
          <w:p w14:paraId="42E87950" w14:textId="009109E2" w:rsidR="00C27F5E" w:rsidRPr="00BF1798" w:rsidRDefault="00C27F5E" w:rsidP="00346EB6">
            <w:pPr>
              <w:jc w:val="center"/>
              <w:rPr>
                <w:rFonts w:ascii="Century Gothic" w:eastAsia="Calibri" w:hAnsi="Century Gothic" w:cs="Calibri"/>
              </w:rPr>
            </w:pPr>
            <w:r w:rsidRPr="00BF1798">
              <w:rPr>
                <w:rFonts w:ascii="Century Gothic" w:eastAsia="Calibri" w:hAnsi="Century Gothic" w:cs="Calibri"/>
              </w:rPr>
              <w:t>2</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D847732" w14:textId="3CC73FD4" w:rsidR="00C27F5E" w:rsidRPr="00BF1798" w:rsidRDefault="00C27F5E" w:rsidP="00346EB6">
            <w:pPr>
              <w:jc w:val="center"/>
              <w:rPr>
                <w:rFonts w:ascii="Century Gothic" w:hAnsi="Century Gothic"/>
              </w:rPr>
            </w:pPr>
            <w:r w:rsidRPr="00BF1798">
              <w:rPr>
                <w:rFonts w:ascii="Century Gothic" w:eastAsia="Calibri" w:hAnsi="Century Gothic" w:cs="Calibri"/>
              </w:rPr>
              <w:t>2</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CC1968C" w14:textId="15CBF312"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20DF243" w14:textId="771AB67A"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2DED304" w14:textId="22575512"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18DD5F6" w14:textId="64C34E2D" w:rsidR="00C27F5E" w:rsidRPr="00BF1798" w:rsidRDefault="00C27F5E" w:rsidP="00346EB6">
            <w:pPr>
              <w:jc w:val="center"/>
              <w:rPr>
                <w:rFonts w:ascii="Century Gothic" w:hAnsi="Century Gothic"/>
              </w:rPr>
            </w:pPr>
            <w:r w:rsidRPr="00BF1798">
              <w:rPr>
                <w:rFonts w:ascii="Century Gothic" w:eastAsia="Times New Roman" w:hAnsi="Century Gothic"/>
              </w:rPr>
              <w:t xml:space="preserve"> </w:t>
            </w:r>
            <w:r w:rsidR="003331BC" w:rsidRPr="00BF1798">
              <w:rPr>
                <w:rFonts w:ascii="Century Gothic" w:eastAsia="Times New Roman" w:hAnsi="Century Gothic"/>
              </w:rPr>
              <w:t>N/A</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02D2B9D" w14:textId="100DDBFE" w:rsidR="00C27F5E" w:rsidRPr="00BF1798" w:rsidRDefault="003331BC" w:rsidP="00346EB6">
            <w:pPr>
              <w:jc w:val="center"/>
              <w:rPr>
                <w:rFonts w:ascii="Century Gothic"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BEC75B0" w14:textId="6B12D850" w:rsidR="00C27F5E" w:rsidRPr="00BF1798" w:rsidRDefault="003331BC" w:rsidP="00346EB6">
            <w:pPr>
              <w:jc w:val="center"/>
              <w:rPr>
                <w:rFonts w:ascii="Century Gothic"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174485D" w14:textId="1503602D" w:rsidR="00C27F5E" w:rsidRPr="00BF1798" w:rsidRDefault="003331BC" w:rsidP="00346EB6">
            <w:pPr>
              <w:jc w:val="center"/>
              <w:rPr>
                <w:rFonts w:ascii="Century Gothic" w:hAnsi="Century Gothic"/>
              </w:rPr>
            </w:pPr>
            <w:r w:rsidRPr="00BF1798">
              <w:rPr>
                <w:rFonts w:ascii="Century Gothic" w:eastAsia="Times New Roman" w:hAnsi="Century Gothic"/>
              </w:rPr>
              <w:t>N/A</w:t>
            </w:r>
          </w:p>
        </w:tc>
      </w:tr>
      <w:tr w:rsidR="00C27F5E" w:rsidRPr="006D6566" w14:paraId="66A57709" w14:textId="77777777" w:rsidTr="662A423E">
        <w:trPr>
          <w:trHeight w:val="57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6B802C35" w14:textId="7E22FAA8" w:rsidR="00C27F5E" w:rsidRPr="00BF1798" w:rsidRDefault="00C27F5E" w:rsidP="197B9397">
            <w:pPr>
              <w:rPr>
                <w:rFonts w:ascii="Century Gothic" w:hAnsi="Century Gothic"/>
              </w:rPr>
            </w:pPr>
            <w:r w:rsidRPr="00BF1798">
              <w:rPr>
                <w:rFonts w:ascii="Century Gothic" w:eastAsia="Times New Roman" w:hAnsi="Century Gothic"/>
                <w:szCs w:val="22"/>
              </w:rPr>
              <w:t xml:space="preserve">William T Rowe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421ABC55" w14:textId="77777777" w:rsidR="003C6147" w:rsidRDefault="003C6147" w:rsidP="662A423E">
            <w:pPr>
              <w:jc w:val="center"/>
              <w:rPr>
                <w:rFonts w:ascii="Century Gothic" w:eastAsia="Times New Roman" w:hAnsi="Century Gothic"/>
              </w:rPr>
            </w:pPr>
          </w:p>
          <w:p w14:paraId="050297FB" w14:textId="0ACEFF09" w:rsidR="662A423E" w:rsidRPr="00BF1798" w:rsidRDefault="003C6147" w:rsidP="662A423E">
            <w:pPr>
              <w:jc w:val="center"/>
              <w:rPr>
                <w:rFonts w:ascii="Century Gothic" w:eastAsia="Times New Roman" w:hAnsi="Century Gothic"/>
              </w:rPr>
            </w:pPr>
            <w:r>
              <w:rPr>
                <w:rFonts w:ascii="Century Gothic" w:eastAsia="Times New Roman" w:hAnsi="Century Gothic"/>
              </w:rPr>
              <w:t>0</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551AB2B9" w14:textId="3B02B445" w:rsidR="341CC84A" w:rsidRPr="00BF1798" w:rsidRDefault="341CC84A" w:rsidP="341CC84A">
            <w:pPr>
              <w:jc w:val="center"/>
              <w:rPr>
                <w:rFonts w:ascii="Century Gothic" w:eastAsia="Times New Roman" w:hAnsi="Century Gothic"/>
              </w:rPr>
            </w:pPr>
          </w:p>
          <w:p w14:paraId="0CB158F1" w14:textId="5C904188" w:rsidR="00C27F5E" w:rsidRPr="00BF1798" w:rsidRDefault="474F8298" w:rsidP="00346EB6">
            <w:pPr>
              <w:jc w:val="center"/>
              <w:rPr>
                <w:rFonts w:ascii="Century Gothic" w:eastAsia="Times New Roman" w:hAnsi="Century Gothic"/>
              </w:rPr>
            </w:pPr>
            <w:r w:rsidRPr="00BF1798">
              <w:rPr>
                <w:rFonts w:ascii="Century Gothic" w:eastAsia="Times New Roman" w:hAnsi="Century Gothic"/>
              </w:rPr>
              <w:t>1</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20804BEE" w14:textId="6D530BDD" w:rsidR="341CC84A" w:rsidRPr="00BF1798" w:rsidRDefault="341CC84A" w:rsidP="341CC84A">
            <w:pPr>
              <w:jc w:val="center"/>
              <w:rPr>
                <w:rFonts w:ascii="Century Gothic" w:eastAsia="Times New Roman" w:hAnsi="Century Gothic"/>
              </w:rPr>
            </w:pPr>
          </w:p>
          <w:p w14:paraId="144B094A" w14:textId="0F35DF46" w:rsidR="00C27F5E" w:rsidRPr="00BF1798" w:rsidRDefault="0083287A" w:rsidP="00346EB6">
            <w:pPr>
              <w:jc w:val="center"/>
              <w:rPr>
                <w:rFonts w:ascii="Century Gothic" w:eastAsia="Times New Roman" w:hAnsi="Century Gothic"/>
              </w:rPr>
            </w:pPr>
            <w:r w:rsidRPr="00BF1798">
              <w:rPr>
                <w:rFonts w:ascii="Century Gothic" w:eastAsia="Times New Roman" w:hAnsi="Century Gothic"/>
              </w:rPr>
              <w:t>N/A</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6ED3E5B" w14:textId="6B82CEF9"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5E0768C" w14:textId="6F253521"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03EE8AB" w14:textId="4435D2AE"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F0A0854" w14:textId="1A68146B" w:rsidR="00C27F5E" w:rsidRPr="00BF1798" w:rsidRDefault="00C27F5E" w:rsidP="00346EB6">
            <w:pPr>
              <w:jc w:val="center"/>
              <w:rPr>
                <w:rFonts w:ascii="Century Gothic" w:hAnsi="Century Gothic"/>
              </w:rPr>
            </w:pPr>
            <w:r w:rsidRPr="00BF1798">
              <w:rPr>
                <w:rFonts w:ascii="Century Gothic" w:eastAsia="Times New Roman" w:hAnsi="Century Gothic"/>
              </w:rPr>
              <w:t>4</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9B3A657" w14:textId="17A3663F"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53F84CC" w14:textId="4ED630B0"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72F63C1" w14:textId="7966785C"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2C519E0" w14:textId="17448008" w:rsidR="00C27F5E" w:rsidRPr="00BF1798" w:rsidRDefault="00C27F5E" w:rsidP="00346EB6">
            <w:pPr>
              <w:jc w:val="center"/>
              <w:rPr>
                <w:rFonts w:ascii="Century Gothic" w:hAnsi="Century Gothic"/>
              </w:rPr>
            </w:pPr>
            <w:r w:rsidRPr="00BF1798">
              <w:rPr>
                <w:rFonts w:ascii="Century Gothic" w:eastAsia="Times New Roman" w:hAnsi="Century Gothic"/>
              </w:rPr>
              <w:t>0</w:t>
            </w:r>
          </w:p>
        </w:tc>
      </w:tr>
      <w:tr w:rsidR="00C27F5E" w:rsidRPr="006D6566" w14:paraId="503710C3" w14:textId="77777777" w:rsidTr="662A423E">
        <w:trPr>
          <w:trHeight w:val="570"/>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23600ADA" w14:textId="71B568BE" w:rsidR="00C27F5E" w:rsidRPr="00BF1798" w:rsidRDefault="00C27F5E" w:rsidP="197B9397">
            <w:pPr>
              <w:rPr>
                <w:rFonts w:ascii="Century Gothic" w:hAnsi="Century Gothic"/>
              </w:rPr>
            </w:pPr>
            <w:r w:rsidRPr="00BF1798">
              <w:rPr>
                <w:rFonts w:ascii="Century Gothic" w:eastAsia="Times New Roman" w:hAnsi="Century Gothic"/>
                <w:szCs w:val="22"/>
              </w:rPr>
              <w:t xml:space="preserve">McConaughy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528208D6" w14:textId="4605D8CA" w:rsidR="7D701BA1" w:rsidRPr="00BF1798" w:rsidRDefault="7D701BA1" w:rsidP="662A423E">
            <w:pPr>
              <w:jc w:val="center"/>
              <w:rPr>
                <w:rFonts w:ascii="Century Gothic" w:eastAsia="Calibri" w:hAnsi="Century Gothic" w:cs="Calibri"/>
              </w:rPr>
            </w:pPr>
            <w:r w:rsidRPr="00BF1798">
              <w:rPr>
                <w:rFonts w:ascii="Century Gothic" w:eastAsia="Calibri" w:hAnsi="Century Gothic" w:cs="Calibri"/>
              </w:rPr>
              <w:t>1</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2F181BAD" w14:textId="6E991CE7" w:rsidR="341CC84A" w:rsidRPr="00BF1798" w:rsidRDefault="341CC84A" w:rsidP="341CC84A">
            <w:pPr>
              <w:jc w:val="center"/>
              <w:rPr>
                <w:rFonts w:ascii="Century Gothic" w:eastAsia="Calibri" w:hAnsi="Century Gothic" w:cs="Calibri"/>
              </w:rPr>
            </w:pPr>
          </w:p>
          <w:p w14:paraId="46B87237" w14:textId="2897628F" w:rsidR="00C27F5E" w:rsidRPr="00BF1798" w:rsidRDefault="6AB2EF85" w:rsidP="00346EB6">
            <w:pPr>
              <w:jc w:val="center"/>
              <w:rPr>
                <w:rFonts w:ascii="Century Gothic" w:eastAsia="Calibri" w:hAnsi="Century Gothic" w:cs="Calibri"/>
              </w:rPr>
            </w:pPr>
            <w:r w:rsidRPr="00BF1798">
              <w:rPr>
                <w:rFonts w:ascii="Century Gothic" w:eastAsia="Calibri" w:hAnsi="Century Gothic" w:cs="Calibri"/>
              </w:rPr>
              <w:t>4</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080C53D0" w14:textId="70078213" w:rsidR="341CC84A" w:rsidRPr="00BF1798" w:rsidRDefault="341CC84A" w:rsidP="341CC84A">
            <w:pPr>
              <w:jc w:val="center"/>
              <w:rPr>
                <w:rFonts w:ascii="Century Gothic" w:eastAsia="Calibri" w:hAnsi="Century Gothic" w:cs="Calibri"/>
              </w:rPr>
            </w:pPr>
          </w:p>
          <w:p w14:paraId="09A8674D" w14:textId="0AADC057" w:rsidR="00C27F5E" w:rsidRPr="00BF1798" w:rsidRDefault="00C27F5E" w:rsidP="00346EB6">
            <w:pPr>
              <w:jc w:val="center"/>
              <w:rPr>
                <w:rFonts w:ascii="Century Gothic" w:eastAsia="Calibri" w:hAnsi="Century Gothic" w:cs="Calibri"/>
              </w:rPr>
            </w:pPr>
            <w:r w:rsidRPr="00BF1798">
              <w:rPr>
                <w:rFonts w:ascii="Century Gothic" w:eastAsia="Calibri" w:hAnsi="Century Gothic" w:cs="Calibri"/>
              </w:rPr>
              <w:t>3</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F3C93E7" w14:textId="1DB025D7" w:rsidR="00C27F5E" w:rsidRPr="00BF1798" w:rsidRDefault="00C27F5E" w:rsidP="00346EB6">
            <w:pPr>
              <w:jc w:val="center"/>
              <w:rPr>
                <w:rFonts w:ascii="Century Gothic" w:hAnsi="Century Gothic"/>
              </w:rPr>
            </w:pPr>
            <w:r w:rsidRPr="00BF1798">
              <w:rPr>
                <w:rFonts w:ascii="Century Gothic" w:eastAsia="Calibri" w:hAnsi="Century Gothic" w:cs="Calibri"/>
              </w:rPr>
              <w:t>12</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E678584" w14:textId="35997751" w:rsidR="00C27F5E" w:rsidRPr="00BF1798" w:rsidRDefault="00C27F5E" w:rsidP="00346EB6">
            <w:pPr>
              <w:jc w:val="center"/>
              <w:rPr>
                <w:rFonts w:ascii="Century Gothic" w:hAnsi="Century Gothic"/>
              </w:rPr>
            </w:pPr>
            <w:r w:rsidRPr="00BF1798">
              <w:rPr>
                <w:rFonts w:ascii="Century Gothic" w:eastAsia="Times New Roman" w:hAnsi="Century Gothic"/>
              </w:rPr>
              <w:t>4</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B7046F4" w14:textId="62A81ACB" w:rsidR="00C27F5E" w:rsidRPr="00BF1798" w:rsidRDefault="00C27F5E" w:rsidP="00346EB6">
            <w:pPr>
              <w:jc w:val="center"/>
              <w:rPr>
                <w:rFonts w:ascii="Century Gothic" w:hAnsi="Century Gothic"/>
              </w:rPr>
            </w:pPr>
            <w:r w:rsidRPr="00BF1798">
              <w:rPr>
                <w:rFonts w:ascii="Century Gothic" w:eastAsia="Times New Roman" w:hAnsi="Century Gothic"/>
              </w:rPr>
              <w:t>3</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CD81817" w14:textId="58C883BA" w:rsidR="00C27F5E" w:rsidRPr="00BF1798" w:rsidRDefault="00C27F5E" w:rsidP="00346EB6">
            <w:pPr>
              <w:jc w:val="center"/>
              <w:rPr>
                <w:rFonts w:ascii="Century Gothic" w:hAnsi="Century Gothic"/>
              </w:rPr>
            </w:pPr>
            <w:r w:rsidRPr="00BF1798">
              <w:rPr>
                <w:rFonts w:ascii="Century Gothic" w:eastAsia="Times New Roman" w:hAnsi="Century Gothic"/>
              </w:rPr>
              <w:t xml:space="preserve"> </w:t>
            </w:r>
            <w:r w:rsidR="0083287A"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EBCE31B" w14:textId="042D2C87" w:rsidR="00C27F5E" w:rsidRPr="00BF1798" w:rsidRDefault="0083287A" w:rsidP="00346EB6">
            <w:pPr>
              <w:jc w:val="center"/>
              <w:rPr>
                <w:rFonts w:ascii="Century Gothic" w:hAnsi="Century Gothic"/>
              </w:rPr>
            </w:pPr>
            <w:r w:rsidRPr="00BF1798">
              <w:rPr>
                <w:rFonts w:ascii="Century Gothic" w:eastAsia="Times New Roman" w:hAnsi="Century Gothic"/>
              </w:rPr>
              <w:t>N/A</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EE23046" w14:textId="0535D1DF" w:rsidR="00C27F5E" w:rsidRPr="00BF1798" w:rsidRDefault="0083287A" w:rsidP="00346EB6">
            <w:pPr>
              <w:jc w:val="center"/>
              <w:rPr>
                <w:rFonts w:ascii="Century Gothic"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5C43960" w14:textId="632582BF" w:rsidR="00C27F5E" w:rsidRPr="00BF1798" w:rsidRDefault="0083287A" w:rsidP="00346EB6">
            <w:pPr>
              <w:jc w:val="center"/>
              <w:rPr>
                <w:rFonts w:ascii="Century Gothic"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42B2AE5" w14:textId="386EB601" w:rsidR="00C27F5E" w:rsidRPr="00BF1798" w:rsidRDefault="0083287A" w:rsidP="00346EB6">
            <w:pPr>
              <w:jc w:val="center"/>
              <w:rPr>
                <w:rFonts w:ascii="Century Gothic" w:hAnsi="Century Gothic"/>
              </w:rPr>
            </w:pPr>
            <w:r w:rsidRPr="00BF1798">
              <w:rPr>
                <w:rFonts w:ascii="Century Gothic" w:eastAsia="Times New Roman" w:hAnsi="Century Gothic"/>
              </w:rPr>
              <w:t>N/A</w:t>
            </w:r>
          </w:p>
        </w:tc>
      </w:tr>
      <w:tr w:rsidR="00C27F5E" w:rsidRPr="006D6566" w14:paraId="04FE7F65" w14:textId="77777777" w:rsidTr="662A423E">
        <w:trPr>
          <w:trHeight w:val="1125"/>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7411A679" w14:textId="67EB9267" w:rsidR="00C27F5E" w:rsidRPr="00BF1798" w:rsidRDefault="00C27F5E" w:rsidP="197B9397">
            <w:pPr>
              <w:rPr>
                <w:rFonts w:ascii="Century Gothic" w:hAnsi="Century Gothic"/>
              </w:rPr>
            </w:pPr>
            <w:proofErr w:type="spellStart"/>
            <w:r w:rsidRPr="00BF1798">
              <w:rPr>
                <w:rFonts w:ascii="Century Gothic" w:eastAsia="Times New Roman" w:hAnsi="Century Gothic"/>
              </w:rPr>
              <w:t>Farnam</w:t>
            </w:r>
            <w:proofErr w:type="spellEnd"/>
            <w:r w:rsidRPr="00BF1798">
              <w:rPr>
                <w:rFonts w:ascii="Century Gothic" w:eastAsia="Times New Roman" w:hAnsi="Century Gothic"/>
              </w:rPr>
              <w:t xml:space="preserve"> Phase I (Mill River Crossing)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13B58569" w14:textId="3A98BF57" w:rsidR="2B05539F" w:rsidRPr="00BF1798" w:rsidRDefault="2B05539F" w:rsidP="662A423E">
            <w:pPr>
              <w:jc w:val="center"/>
              <w:rPr>
                <w:rFonts w:ascii="Century Gothic" w:eastAsia="Times New Roman" w:hAnsi="Century Gothic"/>
              </w:rPr>
            </w:pPr>
            <w:r w:rsidRPr="00BF1798">
              <w:rPr>
                <w:rFonts w:ascii="Century Gothic" w:eastAsia="Times New Roman" w:hAnsi="Century Gothic"/>
              </w:rPr>
              <w:t>2</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11DB220F" w14:textId="2EA77BBD" w:rsidR="341CC84A" w:rsidRPr="00BF1798" w:rsidRDefault="341CC84A" w:rsidP="341CC84A">
            <w:pPr>
              <w:jc w:val="center"/>
              <w:rPr>
                <w:rFonts w:ascii="Century Gothic" w:eastAsia="Times New Roman" w:hAnsi="Century Gothic"/>
              </w:rPr>
            </w:pPr>
          </w:p>
          <w:p w14:paraId="1439D8C3" w14:textId="3A7875E2" w:rsidR="341CC84A" w:rsidRPr="00BF1798" w:rsidRDefault="341CC84A" w:rsidP="341CC84A">
            <w:pPr>
              <w:jc w:val="center"/>
              <w:rPr>
                <w:rFonts w:ascii="Century Gothic" w:eastAsia="Times New Roman" w:hAnsi="Century Gothic"/>
              </w:rPr>
            </w:pPr>
          </w:p>
          <w:p w14:paraId="787B9589" w14:textId="39C124AD" w:rsidR="341CC84A" w:rsidRPr="00BF1798" w:rsidRDefault="341CC84A" w:rsidP="341CC84A">
            <w:pPr>
              <w:jc w:val="center"/>
              <w:rPr>
                <w:rFonts w:ascii="Century Gothic" w:eastAsia="Times New Roman" w:hAnsi="Century Gothic"/>
              </w:rPr>
            </w:pPr>
          </w:p>
          <w:p w14:paraId="56D04937" w14:textId="30205FD5" w:rsidR="00C27F5E" w:rsidRPr="00BF1798" w:rsidRDefault="21D157C9" w:rsidP="00346EB6">
            <w:pPr>
              <w:jc w:val="center"/>
              <w:rPr>
                <w:rFonts w:ascii="Century Gothic" w:eastAsia="Times New Roman" w:hAnsi="Century Gothic"/>
              </w:rPr>
            </w:pPr>
            <w:r w:rsidRPr="00BF1798">
              <w:rPr>
                <w:rFonts w:ascii="Century Gothic" w:eastAsia="Times New Roman" w:hAnsi="Century Gothic"/>
              </w:rPr>
              <w:t>2</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687C53E3" w14:textId="4238D86D" w:rsidR="341CC84A" w:rsidRPr="00BF1798" w:rsidRDefault="341CC84A" w:rsidP="341CC84A">
            <w:pPr>
              <w:jc w:val="center"/>
              <w:rPr>
                <w:rFonts w:ascii="Century Gothic" w:eastAsia="Times New Roman" w:hAnsi="Century Gothic"/>
              </w:rPr>
            </w:pPr>
          </w:p>
          <w:p w14:paraId="39B623D4" w14:textId="20394648" w:rsidR="341CC84A" w:rsidRPr="00BF1798" w:rsidRDefault="341CC84A" w:rsidP="341CC84A">
            <w:pPr>
              <w:jc w:val="center"/>
              <w:rPr>
                <w:rFonts w:ascii="Century Gothic" w:eastAsia="Times New Roman" w:hAnsi="Century Gothic"/>
              </w:rPr>
            </w:pPr>
          </w:p>
          <w:p w14:paraId="24BC1980" w14:textId="3A63945D" w:rsidR="341CC84A" w:rsidRPr="00BF1798" w:rsidRDefault="341CC84A" w:rsidP="341CC84A">
            <w:pPr>
              <w:jc w:val="center"/>
              <w:rPr>
                <w:rFonts w:ascii="Century Gothic" w:eastAsia="Times New Roman" w:hAnsi="Century Gothic"/>
              </w:rPr>
            </w:pPr>
          </w:p>
          <w:p w14:paraId="4CDF653A" w14:textId="2D02930E" w:rsidR="00C27F5E" w:rsidRPr="00BF1798" w:rsidRDefault="00C27F5E" w:rsidP="00346EB6">
            <w:pPr>
              <w:jc w:val="center"/>
              <w:rPr>
                <w:rFonts w:ascii="Century Gothic" w:eastAsia="Times New Roman" w:hAnsi="Century Gothic"/>
              </w:rPr>
            </w:pPr>
            <w:r w:rsidRPr="00BF1798">
              <w:rPr>
                <w:rFonts w:ascii="Century Gothic" w:eastAsia="Times New Roman" w:hAnsi="Century Gothic"/>
              </w:rPr>
              <w:t>1</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E29F9DF" w14:textId="1C8F9F4F"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B1BF956" w14:textId="1FA01F5B" w:rsidR="00C27F5E" w:rsidRPr="00BF1798" w:rsidRDefault="00C27F5E" w:rsidP="00346EB6">
            <w:pPr>
              <w:jc w:val="center"/>
              <w:rPr>
                <w:rFonts w:ascii="Century Gothic" w:hAnsi="Century Gothic"/>
              </w:rPr>
            </w:pPr>
            <w:r w:rsidRPr="00BF1798">
              <w:rPr>
                <w:rFonts w:ascii="Century Gothic" w:eastAsia="Times New Roman" w:hAnsi="Century Gothic"/>
              </w:rPr>
              <w:t>0</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11A3424" w14:textId="43F9C026"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18D97AE" w14:textId="54948161" w:rsidR="00C27F5E" w:rsidRPr="00BF1798" w:rsidRDefault="00C27F5E" w:rsidP="00346EB6">
            <w:pPr>
              <w:jc w:val="center"/>
              <w:rPr>
                <w:rFonts w:ascii="Century Gothic" w:hAnsi="Century Gothic"/>
              </w:rPr>
            </w:pPr>
            <w:r w:rsidRPr="00BF1798">
              <w:rPr>
                <w:rFonts w:ascii="Century Gothic" w:eastAsia="Times New Roman" w:hAnsi="Century Gothic"/>
              </w:rPr>
              <w:t>1</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6E9B60F" w14:textId="33181E45" w:rsidR="00C27F5E" w:rsidRPr="00BF1798" w:rsidRDefault="00C27F5E" w:rsidP="00346EB6">
            <w:pPr>
              <w:jc w:val="center"/>
              <w:rPr>
                <w:rFonts w:ascii="Century Gothic" w:hAnsi="Century Gothic"/>
              </w:rPr>
            </w:pPr>
            <w:r w:rsidRPr="00BF1798">
              <w:rPr>
                <w:rFonts w:ascii="Century Gothic" w:eastAsia="Times New Roman" w:hAnsi="Century Gothic"/>
              </w:rPr>
              <w:t xml:space="preserve"> </w:t>
            </w:r>
            <w:r w:rsidR="00EF46E8" w:rsidRPr="00BF1798">
              <w:rPr>
                <w:rFonts w:ascii="Century Gothic" w:eastAsia="Times New Roman" w:hAnsi="Century Gothic"/>
              </w:rPr>
              <w:t>N/A</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4C36C23" w14:textId="5DBD5331" w:rsidR="00C27F5E" w:rsidRPr="00BF1798" w:rsidRDefault="00EF46E8" w:rsidP="00346EB6">
            <w:pPr>
              <w:jc w:val="center"/>
              <w:rPr>
                <w:rFonts w:ascii="Century Gothic"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7A0D6DE" w14:textId="15007FCF" w:rsidR="00C27F5E" w:rsidRPr="00BF1798" w:rsidRDefault="00EF46E8" w:rsidP="00346EB6">
            <w:pPr>
              <w:jc w:val="center"/>
              <w:rPr>
                <w:rFonts w:ascii="Century Gothic"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BEDE722" w14:textId="7B5E5A5E" w:rsidR="00C27F5E" w:rsidRPr="00BF1798" w:rsidRDefault="00EF46E8" w:rsidP="00346EB6">
            <w:pPr>
              <w:jc w:val="center"/>
              <w:rPr>
                <w:rFonts w:ascii="Century Gothic" w:hAnsi="Century Gothic"/>
              </w:rPr>
            </w:pPr>
            <w:r w:rsidRPr="00BF1798">
              <w:rPr>
                <w:rFonts w:ascii="Century Gothic" w:eastAsia="Times New Roman" w:hAnsi="Century Gothic"/>
              </w:rPr>
              <w:t>N/A</w:t>
            </w:r>
          </w:p>
        </w:tc>
      </w:tr>
      <w:tr w:rsidR="398FD61F" w:rsidRPr="006D6566" w14:paraId="01AE5244" w14:textId="77777777" w:rsidTr="662A423E">
        <w:trPr>
          <w:trHeight w:val="1125"/>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7A0528FA" w14:textId="07AE7AEF" w:rsidR="3A39DF75" w:rsidRPr="00BF1798" w:rsidRDefault="3A39DF75">
            <w:pPr>
              <w:rPr>
                <w:rFonts w:ascii="Century Gothic" w:hAnsi="Century Gothic"/>
              </w:rPr>
            </w:pPr>
            <w:proofErr w:type="spellStart"/>
            <w:r w:rsidRPr="00BF1798">
              <w:rPr>
                <w:rFonts w:ascii="Century Gothic" w:eastAsia="Times New Roman" w:hAnsi="Century Gothic"/>
              </w:rPr>
              <w:t>Farnam</w:t>
            </w:r>
            <w:proofErr w:type="spellEnd"/>
            <w:r w:rsidRPr="00BF1798">
              <w:rPr>
                <w:rFonts w:ascii="Century Gothic" w:eastAsia="Times New Roman" w:hAnsi="Century Gothic"/>
              </w:rPr>
              <w:t xml:space="preserve"> Phase 2A (Mill River Crossing)</w:t>
            </w:r>
          </w:p>
          <w:p w14:paraId="603830A5" w14:textId="4C1D515B" w:rsidR="398FD61F" w:rsidRPr="00BF1798" w:rsidRDefault="398FD61F" w:rsidP="398FD61F">
            <w:pPr>
              <w:rPr>
                <w:rFonts w:ascii="Century Gothic" w:eastAsia="Times New Roman" w:hAnsi="Century Gothic"/>
              </w:rPr>
            </w:pP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4042E33F" w14:textId="77777777" w:rsidR="007F2724" w:rsidRDefault="007F2724" w:rsidP="662A423E">
            <w:pPr>
              <w:jc w:val="center"/>
              <w:rPr>
                <w:rFonts w:ascii="Century Gothic" w:eastAsia="Times New Roman" w:hAnsi="Century Gothic"/>
              </w:rPr>
            </w:pPr>
          </w:p>
          <w:p w14:paraId="73A97621" w14:textId="77777777" w:rsidR="007F2724" w:rsidRDefault="007F2724" w:rsidP="662A423E">
            <w:pPr>
              <w:jc w:val="center"/>
              <w:rPr>
                <w:rFonts w:ascii="Century Gothic" w:eastAsia="Times New Roman" w:hAnsi="Century Gothic"/>
              </w:rPr>
            </w:pPr>
          </w:p>
          <w:p w14:paraId="0E0D37DE" w14:textId="77777777" w:rsidR="007F2724" w:rsidRDefault="007F2724" w:rsidP="662A423E">
            <w:pPr>
              <w:jc w:val="center"/>
              <w:rPr>
                <w:rFonts w:ascii="Century Gothic" w:eastAsia="Times New Roman" w:hAnsi="Century Gothic"/>
              </w:rPr>
            </w:pPr>
          </w:p>
          <w:p w14:paraId="1315D673" w14:textId="4725BE95" w:rsidR="28161FF0" w:rsidRPr="00BF1798" w:rsidRDefault="28161FF0" w:rsidP="662A423E">
            <w:pPr>
              <w:jc w:val="center"/>
              <w:rPr>
                <w:rFonts w:ascii="Century Gothic" w:eastAsia="Times New Roman" w:hAnsi="Century Gothic"/>
              </w:rPr>
            </w:pPr>
            <w:r w:rsidRPr="00BF1798">
              <w:rPr>
                <w:rFonts w:ascii="Century Gothic" w:eastAsia="Times New Roman" w:hAnsi="Century Gothic"/>
              </w:rPr>
              <w:t>1</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6F8F7EE9" w14:textId="7C8BC08F" w:rsidR="341CC84A" w:rsidRPr="00BF1798" w:rsidRDefault="341CC84A" w:rsidP="341CC84A">
            <w:pPr>
              <w:jc w:val="center"/>
              <w:rPr>
                <w:rFonts w:ascii="Century Gothic" w:eastAsia="Times New Roman" w:hAnsi="Century Gothic"/>
              </w:rPr>
            </w:pPr>
          </w:p>
          <w:p w14:paraId="40E7C5D1" w14:textId="3C2BD764" w:rsidR="341CC84A" w:rsidRPr="00BF1798" w:rsidRDefault="341CC84A" w:rsidP="341CC84A">
            <w:pPr>
              <w:jc w:val="center"/>
              <w:rPr>
                <w:rFonts w:ascii="Century Gothic" w:eastAsia="Times New Roman" w:hAnsi="Century Gothic"/>
              </w:rPr>
            </w:pPr>
          </w:p>
          <w:p w14:paraId="5DB047B4" w14:textId="28466602" w:rsidR="341CC84A" w:rsidRPr="00BF1798" w:rsidRDefault="341CC84A" w:rsidP="341CC84A">
            <w:pPr>
              <w:jc w:val="center"/>
              <w:rPr>
                <w:rFonts w:ascii="Century Gothic" w:eastAsia="Times New Roman" w:hAnsi="Century Gothic"/>
              </w:rPr>
            </w:pPr>
          </w:p>
          <w:p w14:paraId="10F19F60" w14:textId="3659B485" w:rsidR="177EFF11" w:rsidRPr="00BF1798" w:rsidRDefault="177EFF11" w:rsidP="00346EB6">
            <w:pPr>
              <w:jc w:val="center"/>
              <w:rPr>
                <w:rFonts w:ascii="Century Gothic" w:eastAsia="Times New Roman" w:hAnsi="Century Gothic"/>
              </w:rPr>
            </w:pPr>
            <w:r w:rsidRPr="00BF1798">
              <w:rPr>
                <w:rFonts w:ascii="Century Gothic" w:eastAsia="Times New Roman" w:hAnsi="Century Gothic"/>
              </w:rPr>
              <w:t>1</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3EE68AC1" w14:textId="6702F0DA" w:rsidR="341CC84A" w:rsidRPr="00BF1798" w:rsidRDefault="341CC84A" w:rsidP="341CC84A">
            <w:pPr>
              <w:jc w:val="center"/>
              <w:rPr>
                <w:rFonts w:ascii="Century Gothic" w:eastAsia="Times New Roman" w:hAnsi="Century Gothic"/>
              </w:rPr>
            </w:pPr>
          </w:p>
          <w:p w14:paraId="4C7E6D81" w14:textId="6A274629" w:rsidR="341CC84A" w:rsidRPr="00BF1798" w:rsidRDefault="341CC84A" w:rsidP="341CC84A">
            <w:pPr>
              <w:jc w:val="center"/>
              <w:rPr>
                <w:rFonts w:ascii="Century Gothic" w:eastAsia="Times New Roman" w:hAnsi="Century Gothic"/>
              </w:rPr>
            </w:pPr>
          </w:p>
          <w:p w14:paraId="1254B68D" w14:textId="2F6DC9C7" w:rsidR="341CC84A" w:rsidRPr="00BF1798" w:rsidRDefault="341CC84A" w:rsidP="341CC84A">
            <w:pPr>
              <w:jc w:val="center"/>
              <w:rPr>
                <w:rFonts w:ascii="Century Gothic" w:eastAsia="Times New Roman" w:hAnsi="Century Gothic"/>
              </w:rPr>
            </w:pPr>
          </w:p>
          <w:p w14:paraId="57C005B9" w14:textId="74A0E972" w:rsidR="3A39DF75" w:rsidRPr="00BF1798" w:rsidRDefault="3A39DF75" w:rsidP="00346EB6">
            <w:pPr>
              <w:jc w:val="center"/>
              <w:rPr>
                <w:rFonts w:ascii="Century Gothic" w:eastAsia="Times New Roman" w:hAnsi="Century Gothic"/>
              </w:rPr>
            </w:pPr>
            <w:r w:rsidRPr="00BF1798">
              <w:rPr>
                <w:rFonts w:ascii="Century Gothic" w:eastAsia="Times New Roman" w:hAnsi="Century Gothic"/>
              </w:rPr>
              <w:t>0</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A45F79D" w14:textId="2609BCD8" w:rsidR="398FD61F" w:rsidRPr="00BF1798" w:rsidRDefault="398FD61F" w:rsidP="00346EB6">
            <w:pPr>
              <w:jc w:val="center"/>
              <w:rPr>
                <w:rFonts w:ascii="Century Gothic" w:hAnsi="Century Gothic"/>
              </w:rPr>
            </w:pPr>
            <w:r w:rsidRPr="00BF1798">
              <w:rPr>
                <w:rFonts w:ascii="Century Gothic" w:eastAsia="Times New Roman" w:hAnsi="Century Gothic"/>
              </w:rPr>
              <w:t>N/A</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8A3AA4C" w14:textId="0D205908" w:rsidR="398FD61F" w:rsidRPr="00BF1798" w:rsidRDefault="398FD61F" w:rsidP="00346EB6">
            <w:pPr>
              <w:jc w:val="center"/>
              <w:rPr>
                <w:rFonts w:ascii="Century Gothic" w:hAnsi="Century Gothic"/>
              </w:rPr>
            </w:pPr>
            <w:r w:rsidRPr="00BF1798">
              <w:rPr>
                <w:rFonts w:ascii="Century Gothic" w:eastAsia="Times New Roman" w:hAnsi="Century Gothic"/>
              </w:rPr>
              <w:t>N/A</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E32CB27" w14:textId="2307A5F5" w:rsidR="398FD61F" w:rsidRPr="00BF1798" w:rsidRDefault="398FD61F" w:rsidP="00346EB6">
            <w:pPr>
              <w:jc w:val="center"/>
              <w:rPr>
                <w:rFonts w:ascii="Century Gothic"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D301D67" w14:textId="052194F2" w:rsidR="398FD61F" w:rsidRPr="00BF1798" w:rsidRDefault="398FD61F" w:rsidP="00346EB6">
            <w:pPr>
              <w:jc w:val="center"/>
              <w:rPr>
                <w:rFonts w:ascii="Century Gothic"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CECE930" w14:textId="33181E45" w:rsidR="398FD61F" w:rsidRPr="00BF1798" w:rsidRDefault="398FD61F" w:rsidP="00346EB6">
            <w:pPr>
              <w:jc w:val="center"/>
              <w:rPr>
                <w:rFonts w:ascii="Century Gothic" w:hAnsi="Century Gothic"/>
              </w:rPr>
            </w:pPr>
            <w:r w:rsidRPr="00BF1798">
              <w:rPr>
                <w:rFonts w:ascii="Century Gothic" w:eastAsia="Times New Roman" w:hAnsi="Century Gothic"/>
              </w:rPr>
              <w:t xml:space="preserve"> N/A</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9730197" w14:textId="09BF52E2" w:rsidR="398FD61F" w:rsidRPr="00BF1798" w:rsidRDefault="398FD61F" w:rsidP="00346EB6">
            <w:pPr>
              <w:jc w:val="center"/>
              <w:rPr>
                <w:rFonts w:ascii="Century Gothic"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64D1D6A" w14:textId="6BFCC80F" w:rsidR="398FD61F" w:rsidRPr="00BF1798" w:rsidRDefault="398FD61F" w:rsidP="00346EB6">
            <w:pPr>
              <w:jc w:val="center"/>
              <w:rPr>
                <w:rFonts w:ascii="Century Gothic"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92E99BF" w14:textId="705E5DCB" w:rsidR="398FD61F" w:rsidRPr="00BF1798" w:rsidRDefault="398FD61F" w:rsidP="00346EB6">
            <w:pPr>
              <w:jc w:val="center"/>
              <w:rPr>
                <w:rFonts w:ascii="Century Gothic" w:hAnsi="Century Gothic"/>
              </w:rPr>
            </w:pPr>
            <w:r w:rsidRPr="00BF1798">
              <w:rPr>
                <w:rFonts w:ascii="Century Gothic" w:eastAsia="Times New Roman" w:hAnsi="Century Gothic"/>
              </w:rPr>
              <w:t>N/A</w:t>
            </w:r>
          </w:p>
        </w:tc>
      </w:tr>
      <w:tr w:rsidR="398FD61F" w:rsidRPr="006D6566" w14:paraId="05BC8B08" w14:textId="77777777" w:rsidTr="662A423E">
        <w:trPr>
          <w:trHeight w:val="1125"/>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7BE98465" w14:textId="399AA142" w:rsidR="3A39DF75" w:rsidRPr="00BF1798" w:rsidRDefault="3A39DF75">
            <w:pPr>
              <w:rPr>
                <w:rFonts w:ascii="Century Gothic" w:hAnsi="Century Gothic"/>
              </w:rPr>
            </w:pPr>
            <w:proofErr w:type="spellStart"/>
            <w:r w:rsidRPr="00BF1798">
              <w:rPr>
                <w:rFonts w:ascii="Century Gothic" w:eastAsia="Times New Roman" w:hAnsi="Century Gothic"/>
              </w:rPr>
              <w:t>Farnam</w:t>
            </w:r>
            <w:proofErr w:type="spellEnd"/>
            <w:r w:rsidRPr="00BF1798">
              <w:rPr>
                <w:rFonts w:ascii="Century Gothic" w:eastAsia="Times New Roman" w:hAnsi="Century Gothic"/>
              </w:rPr>
              <w:t xml:space="preserve"> Phase 2B (Mill River Crossing)</w:t>
            </w:r>
          </w:p>
          <w:p w14:paraId="4D15EDB7" w14:textId="223CC249" w:rsidR="398FD61F" w:rsidRPr="00BF1798" w:rsidRDefault="398FD61F" w:rsidP="398FD61F">
            <w:pPr>
              <w:rPr>
                <w:rFonts w:ascii="Century Gothic" w:eastAsia="Times New Roman" w:hAnsi="Century Gothic"/>
              </w:rPr>
            </w:pP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334624A1" w14:textId="77777777" w:rsidR="00042D49" w:rsidRDefault="00042D49" w:rsidP="662A423E">
            <w:pPr>
              <w:jc w:val="center"/>
              <w:rPr>
                <w:rFonts w:ascii="Century Gothic" w:eastAsia="Times New Roman" w:hAnsi="Century Gothic"/>
              </w:rPr>
            </w:pPr>
          </w:p>
          <w:p w14:paraId="5984529F" w14:textId="77777777" w:rsidR="00042D49" w:rsidRDefault="00042D49" w:rsidP="662A423E">
            <w:pPr>
              <w:jc w:val="center"/>
              <w:rPr>
                <w:rFonts w:ascii="Century Gothic" w:eastAsia="Times New Roman" w:hAnsi="Century Gothic"/>
              </w:rPr>
            </w:pPr>
          </w:p>
          <w:p w14:paraId="7F01741D" w14:textId="77777777" w:rsidR="007F2724" w:rsidRDefault="007F2724" w:rsidP="662A423E">
            <w:pPr>
              <w:jc w:val="center"/>
              <w:rPr>
                <w:rFonts w:ascii="Century Gothic" w:eastAsia="Times New Roman" w:hAnsi="Century Gothic"/>
              </w:rPr>
            </w:pPr>
          </w:p>
          <w:p w14:paraId="697F11F6" w14:textId="42D84CA7" w:rsidR="22717F9B" w:rsidRPr="00BF1798" w:rsidRDefault="22717F9B" w:rsidP="662A423E">
            <w:pPr>
              <w:jc w:val="center"/>
              <w:rPr>
                <w:rFonts w:ascii="Century Gothic" w:eastAsia="Times New Roman" w:hAnsi="Century Gothic"/>
              </w:rPr>
            </w:pPr>
            <w:r w:rsidRPr="00BF1798">
              <w:rPr>
                <w:rFonts w:ascii="Century Gothic" w:eastAsia="Times New Roman" w:hAnsi="Century Gothic"/>
              </w:rPr>
              <w:t>0</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601D2116" w14:textId="434C4E33" w:rsidR="341CC84A" w:rsidRPr="00BF1798" w:rsidRDefault="341CC84A" w:rsidP="341CC84A">
            <w:pPr>
              <w:jc w:val="center"/>
              <w:rPr>
                <w:rFonts w:ascii="Century Gothic" w:eastAsia="Times New Roman" w:hAnsi="Century Gothic"/>
              </w:rPr>
            </w:pPr>
          </w:p>
          <w:p w14:paraId="037CF1FB" w14:textId="3B50AB3E" w:rsidR="341CC84A" w:rsidRPr="00BF1798" w:rsidRDefault="341CC84A" w:rsidP="341CC84A">
            <w:pPr>
              <w:jc w:val="center"/>
              <w:rPr>
                <w:rFonts w:ascii="Century Gothic" w:eastAsia="Times New Roman" w:hAnsi="Century Gothic"/>
              </w:rPr>
            </w:pPr>
          </w:p>
          <w:p w14:paraId="5A9A5D59" w14:textId="3196F2E4" w:rsidR="341CC84A" w:rsidRPr="00BF1798" w:rsidRDefault="341CC84A" w:rsidP="341CC84A">
            <w:pPr>
              <w:jc w:val="center"/>
              <w:rPr>
                <w:rFonts w:ascii="Century Gothic" w:eastAsia="Times New Roman" w:hAnsi="Century Gothic"/>
              </w:rPr>
            </w:pPr>
          </w:p>
          <w:p w14:paraId="6B14808F" w14:textId="463B657E" w:rsidR="6557E594" w:rsidRPr="00BF1798" w:rsidRDefault="6557E594" w:rsidP="341CC84A">
            <w:pPr>
              <w:jc w:val="center"/>
              <w:rPr>
                <w:rFonts w:ascii="Century Gothic" w:eastAsia="Times New Roman" w:hAnsi="Century Gothic"/>
              </w:rPr>
            </w:pPr>
            <w:r w:rsidRPr="00BF1798">
              <w:rPr>
                <w:rFonts w:ascii="Century Gothic" w:eastAsia="Times New Roman" w:hAnsi="Century Gothic"/>
              </w:rPr>
              <w:t>0</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6236BAF2" w14:textId="0557D500" w:rsidR="341CC84A" w:rsidRPr="00BF1798" w:rsidRDefault="341CC84A" w:rsidP="341CC84A">
            <w:pPr>
              <w:jc w:val="center"/>
              <w:rPr>
                <w:rFonts w:ascii="Century Gothic" w:eastAsia="Times New Roman" w:hAnsi="Century Gothic"/>
              </w:rPr>
            </w:pPr>
          </w:p>
          <w:p w14:paraId="0C35B17D" w14:textId="7A8D733B" w:rsidR="341CC84A" w:rsidRPr="00BF1798" w:rsidRDefault="341CC84A" w:rsidP="341CC84A">
            <w:pPr>
              <w:jc w:val="center"/>
              <w:rPr>
                <w:rFonts w:ascii="Century Gothic" w:eastAsia="Times New Roman" w:hAnsi="Century Gothic"/>
              </w:rPr>
            </w:pPr>
          </w:p>
          <w:p w14:paraId="6CDDB1BB" w14:textId="2C32E963" w:rsidR="341CC84A" w:rsidRPr="00BF1798" w:rsidRDefault="341CC84A" w:rsidP="341CC84A">
            <w:pPr>
              <w:jc w:val="center"/>
              <w:rPr>
                <w:rFonts w:ascii="Century Gothic" w:eastAsia="Times New Roman" w:hAnsi="Century Gothic"/>
              </w:rPr>
            </w:pPr>
          </w:p>
          <w:p w14:paraId="3968C422" w14:textId="4427C0DF" w:rsidR="3A39DF75" w:rsidRPr="00BF1798" w:rsidRDefault="3A39DF75" w:rsidP="341CC84A">
            <w:pPr>
              <w:jc w:val="center"/>
              <w:rPr>
                <w:rFonts w:ascii="Century Gothic" w:eastAsia="Times New Roman" w:hAnsi="Century Gothic"/>
              </w:rPr>
            </w:pPr>
            <w:r w:rsidRPr="00BF1798">
              <w:rPr>
                <w:rFonts w:ascii="Century Gothic" w:eastAsia="Times New Roman" w:hAnsi="Century Gothic"/>
              </w:rPr>
              <w:t>0</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E8436D3" w14:textId="33181E45" w:rsidR="398FD61F" w:rsidRPr="00BF1798" w:rsidRDefault="398FD61F" w:rsidP="341CC84A">
            <w:pPr>
              <w:jc w:val="center"/>
              <w:rPr>
                <w:rFonts w:ascii="Century Gothic" w:hAnsi="Century Gothic"/>
              </w:rPr>
            </w:pPr>
            <w:r w:rsidRPr="00BF1798">
              <w:rPr>
                <w:rFonts w:ascii="Century Gothic" w:eastAsia="Times New Roman" w:hAnsi="Century Gothic"/>
              </w:rPr>
              <w:t xml:space="preserve"> N/A</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8B1BFDC" w14:textId="67B2A532" w:rsidR="398FD61F" w:rsidRPr="00BF1798" w:rsidRDefault="398FD61F" w:rsidP="341CC84A">
            <w:pPr>
              <w:jc w:val="center"/>
              <w:rPr>
                <w:rFonts w:ascii="Century Gothic" w:hAnsi="Century Gothic"/>
              </w:rPr>
            </w:pPr>
            <w:r w:rsidRPr="00BF1798">
              <w:rPr>
                <w:rFonts w:ascii="Century Gothic" w:eastAsia="Times New Roman" w:hAnsi="Century Gothic"/>
              </w:rPr>
              <w:t>N/A</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96826F1" w14:textId="0611701E" w:rsidR="398FD61F" w:rsidRPr="00BF1798" w:rsidRDefault="398FD61F" w:rsidP="341CC84A">
            <w:pPr>
              <w:jc w:val="center"/>
              <w:rPr>
                <w:rFonts w:ascii="Century Gothic"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797F49A" w14:textId="72CCBA2A" w:rsidR="398FD61F" w:rsidRPr="00BF1798" w:rsidRDefault="398FD61F" w:rsidP="341CC84A">
            <w:pPr>
              <w:jc w:val="center"/>
              <w:rPr>
                <w:rFonts w:ascii="Century Gothic"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9BDA40F" w14:textId="33181E45" w:rsidR="398FD61F" w:rsidRPr="00BF1798" w:rsidRDefault="398FD61F" w:rsidP="341CC84A">
            <w:pPr>
              <w:jc w:val="center"/>
              <w:rPr>
                <w:rFonts w:ascii="Century Gothic" w:hAnsi="Century Gothic"/>
              </w:rPr>
            </w:pPr>
            <w:r w:rsidRPr="00BF1798">
              <w:rPr>
                <w:rFonts w:ascii="Century Gothic" w:eastAsia="Times New Roman" w:hAnsi="Century Gothic"/>
              </w:rPr>
              <w:t xml:space="preserve"> N/A</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5D6A98AF" w14:textId="7B193C1E" w:rsidR="398FD61F" w:rsidRPr="00BF1798" w:rsidRDefault="398FD61F" w:rsidP="341CC84A">
            <w:pPr>
              <w:jc w:val="center"/>
              <w:rPr>
                <w:rFonts w:ascii="Century Gothic" w:hAnsi="Century Gothic"/>
              </w:rPr>
            </w:pPr>
            <w:r w:rsidRPr="00BF1798">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20D0887" w14:textId="0EB60A8F" w:rsidR="398FD61F" w:rsidRPr="00BF1798" w:rsidRDefault="398FD61F" w:rsidP="341CC84A">
            <w:pPr>
              <w:jc w:val="center"/>
              <w:rPr>
                <w:rFonts w:ascii="Century Gothic" w:hAnsi="Century Gothic"/>
              </w:rPr>
            </w:pPr>
            <w:r w:rsidRPr="00BF1798">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B7A5585" w14:textId="3000503F" w:rsidR="398FD61F" w:rsidRPr="00BF1798" w:rsidRDefault="398FD61F" w:rsidP="341CC84A">
            <w:pPr>
              <w:jc w:val="center"/>
              <w:rPr>
                <w:rFonts w:ascii="Century Gothic" w:hAnsi="Century Gothic"/>
              </w:rPr>
            </w:pPr>
            <w:r w:rsidRPr="00BF1798">
              <w:rPr>
                <w:rFonts w:ascii="Century Gothic" w:eastAsia="Times New Roman" w:hAnsi="Century Gothic"/>
              </w:rPr>
              <w:t>N/A</w:t>
            </w:r>
          </w:p>
        </w:tc>
      </w:tr>
      <w:tr w:rsidR="00C27F5E" w:rsidRPr="006D6566" w14:paraId="1061378A" w14:textId="77777777" w:rsidTr="662A423E">
        <w:trPr>
          <w:trHeight w:val="353"/>
        </w:trPr>
        <w:tc>
          <w:tcPr>
            <w:tcW w:w="1369" w:type="dxa"/>
            <w:tcBorders>
              <w:top w:val="single" w:sz="8" w:space="0" w:color="D9D9D9" w:themeColor="background1" w:themeShade="D9"/>
              <w:left w:val="single" w:sz="4" w:space="0" w:color="auto"/>
              <w:bottom w:val="single" w:sz="8" w:space="0" w:color="D9D9D9" w:themeColor="background1" w:themeShade="D9"/>
              <w:right w:val="single" w:sz="8" w:space="0" w:color="D9D9D9" w:themeColor="background1" w:themeShade="D9"/>
            </w:tcBorders>
            <w:shd w:val="clear" w:color="auto" w:fill="FFFFFF" w:themeFill="background1"/>
            <w:vAlign w:val="center"/>
          </w:tcPr>
          <w:p w14:paraId="7F00DBE6" w14:textId="02AC55BF" w:rsidR="00C27F5E" w:rsidRPr="008D73FF" w:rsidRDefault="00C27F5E" w:rsidP="197B9397">
            <w:pPr>
              <w:rPr>
                <w:rFonts w:ascii="Century Gothic" w:hAnsi="Century Gothic"/>
              </w:rPr>
            </w:pPr>
            <w:r w:rsidRPr="008D73FF">
              <w:rPr>
                <w:rFonts w:ascii="Century Gothic" w:eastAsia="Times New Roman" w:hAnsi="Century Gothic"/>
                <w:szCs w:val="22"/>
              </w:rPr>
              <w:t xml:space="preserve">Fair Haven  </w:t>
            </w:r>
          </w:p>
        </w:tc>
        <w:tc>
          <w:tcPr>
            <w:tcW w:w="13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51B01F60" w14:textId="73C05CC6" w:rsidR="552810BA" w:rsidRPr="008D73FF" w:rsidRDefault="552810BA" w:rsidP="662A423E">
            <w:pPr>
              <w:jc w:val="center"/>
              <w:rPr>
                <w:rFonts w:ascii="Century Gothic" w:eastAsia="Times New Roman" w:hAnsi="Century Gothic"/>
              </w:rPr>
            </w:pPr>
            <w:r w:rsidRPr="008D73FF">
              <w:rPr>
                <w:rFonts w:ascii="Century Gothic" w:eastAsia="Times New Roman" w:hAnsi="Century Gothic"/>
              </w:rPr>
              <w:t>0</w:t>
            </w:r>
          </w:p>
        </w:tc>
        <w:tc>
          <w:tcPr>
            <w:tcW w:w="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774E38F0" w14:textId="6DD5455B" w:rsidR="341CC84A" w:rsidRPr="008D73FF" w:rsidRDefault="341CC84A" w:rsidP="341CC84A">
            <w:pPr>
              <w:jc w:val="center"/>
              <w:rPr>
                <w:rFonts w:ascii="Century Gothic" w:eastAsia="Times New Roman" w:hAnsi="Century Gothic"/>
              </w:rPr>
            </w:pPr>
          </w:p>
          <w:p w14:paraId="7B4BE356" w14:textId="2140B3D3" w:rsidR="00C27F5E" w:rsidRPr="008D73FF" w:rsidRDefault="3C973399" w:rsidP="00346EB6">
            <w:pPr>
              <w:jc w:val="center"/>
              <w:rPr>
                <w:rFonts w:ascii="Century Gothic" w:eastAsia="Times New Roman" w:hAnsi="Century Gothic"/>
              </w:rPr>
            </w:pPr>
            <w:r w:rsidRPr="008D73FF">
              <w:rPr>
                <w:rFonts w:ascii="Century Gothic" w:eastAsia="Times New Roman" w:hAnsi="Century Gothic"/>
              </w:rPr>
              <w:t>2</w:t>
            </w:r>
          </w:p>
        </w:tc>
        <w:tc>
          <w:tcPr>
            <w:tcW w:w="8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tcPr>
          <w:p w14:paraId="272761A8" w14:textId="4454522E" w:rsidR="341CC84A" w:rsidRPr="008D73FF" w:rsidRDefault="341CC84A" w:rsidP="341CC84A">
            <w:pPr>
              <w:jc w:val="center"/>
              <w:rPr>
                <w:rFonts w:ascii="Century Gothic" w:eastAsia="Times New Roman" w:hAnsi="Century Gothic"/>
              </w:rPr>
            </w:pPr>
          </w:p>
          <w:p w14:paraId="4900251C" w14:textId="0F95A79D" w:rsidR="00C27F5E" w:rsidRPr="008D73FF" w:rsidRDefault="00C27F5E" w:rsidP="00346EB6">
            <w:pPr>
              <w:jc w:val="center"/>
              <w:rPr>
                <w:rFonts w:ascii="Century Gothic" w:eastAsia="Times New Roman" w:hAnsi="Century Gothic"/>
              </w:rPr>
            </w:pPr>
            <w:r w:rsidRPr="008D73FF">
              <w:rPr>
                <w:rFonts w:ascii="Century Gothic" w:eastAsia="Times New Roman" w:hAnsi="Century Gothic"/>
              </w:rPr>
              <w:t>1</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5869BBB" w14:textId="313B3F82" w:rsidR="00C27F5E" w:rsidRPr="008D73FF" w:rsidRDefault="00C27F5E" w:rsidP="00346EB6">
            <w:pPr>
              <w:jc w:val="center"/>
              <w:rPr>
                <w:rFonts w:ascii="Century Gothic" w:hAnsi="Century Gothic"/>
              </w:rPr>
            </w:pPr>
            <w:r w:rsidRPr="008D73FF">
              <w:rPr>
                <w:rFonts w:ascii="Century Gothic" w:eastAsia="Times New Roman" w:hAnsi="Century Gothic"/>
              </w:rPr>
              <w:t>1</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1CE6BE53" w14:textId="09E29F24" w:rsidR="00C27F5E" w:rsidRPr="008D73FF" w:rsidRDefault="00C27F5E" w:rsidP="00346EB6">
            <w:pPr>
              <w:jc w:val="center"/>
              <w:rPr>
                <w:rFonts w:ascii="Century Gothic" w:hAnsi="Century Gothic"/>
              </w:rPr>
            </w:pPr>
            <w:r w:rsidRPr="008D73FF">
              <w:rPr>
                <w:rFonts w:ascii="Century Gothic" w:eastAsia="Times New Roman" w:hAnsi="Century Gothic"/>
              </w:rPr>
              <w:t>0</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472E4C6" w14:textId="23D659AC" w:rsidR="00C27F5E" w:rsidRPr="008D73FF" w:rsidRDefault="00C27F5E" w:rsidP="00346EB6">
            <w:pPr>
              <w:jc w:val="center"/>
              <w:rPr>
                <w:rFonts w:ascii="Century Gothic" w:hAnsi="Century Gothic"/>
              </w:rPr>
            </w:pPr>
            <w:r w:rsidRPr="008D73FF">
              <w:rPr>
                <w:rFonts w:ascii="Century Gothic" w:eastAsia="Times New Roman" w:hAnsi="Century Gothic"/>
              </w:rPr>
              <w:t>1</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E46FF67" w14:textId="2FD06BBF" w:rsidR="00C27F5E" w:rsidRPr="008D73FF" w:rsidRDefault="00C27F5E" w:rsidP="00346EB6">
            <w:pPr>
              <w:jc w:val="center"/>
              <w:rPr>
                <w:rFonts w:ascii="Century Gothic" w:hAnsi="Century Gothic"/>
              </w:rPr>
            </w:pPr>
            <w:r w:rsidRPr="008D73FF">
              <w:rPr>
                <w:rFonts w:ascii="Century Gothic" w:eastAsia="Times New Roman" w:hAnsi="Century Gothic"/>
              </w:rPr>
              <w:t>3</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B881021" w14:textId="6CC7DB7B" w:rsidR="00C27F5E" w:rsidRPr="008D73FF" w:rsidRDefault="00C27F5E" w:rsidP="00346EB6">
            <w:pPr>
              <w:jc w:val="center"/>
              <w:rPr>
                <w:rFonts w:ascii="Century Gothic" w:hAnsi="Century Gothic"/>
              </w:rPr>
            </w:pPr>
            <w:r w:rsidRPr="008D73FF">
              <w:rPr>
                <w:rFonts w:ascii="Century Gothic" w:eastAsia="Times New Roman" w:hAnsi="Century Gothic"/>
              </w:rPr>
              <w:t xml:space="preserve"> </w:t>
            </w:r>
            <w:r w:rsidR="00EF46E8" w:rsidRPr="008D73FF">
              <w:rPr>
                <w:rFonts w:ascii="Century Gothic" w:eastAsia="Times New Roman" w:hAnsi="Century Gothic"/>
              </w:rPr>
              <w:t>N/A</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EEDCE7A" w14:textId="0175683B" w:rsidR="00C27F5E" w:rsidRPr="008D73FF" w:rsidRDefault="00EF46E8" w:rsidP="00346EB6">
            <w:pPr>
              <w:jc w:val="center"/>
              <w:rPr>
                <w:rFonts w:ascii="Century Gothic" w:hAnsi="Century Gothic"/>
              </w:rPr>
            </w:pPr>
            <w:r w:rsidRPr="008D73FF">
              <w:rPr>
                <w:rFonts w:ascii="Century Gothic" w:eastAsia="Times New Roman" w:hAnsi="Century Gothic"/>
              </w:rPr>
              <w:t>N/A</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AC441AF" w14:textId="5B616A9B" w:rsidR="00C27F5E" w:rsidRPr="008D73FF" w:rsidRDefault="00EF46E8" w:rsidP="00346EB6">
            <w:pPr>
              <w:jc w:val="center"/>
              <w:rPr>
                <w:rFonts w:ascii="Century Gothic" w:hAnsi="Century Gothic"/>
              </w:rPr>
            </w:pPr>
            <w:r w:rsidRPr="008D73FF">
              <w:rPr>
                <w:rFonts w:ascii="Century Gothic" w:eastAsia="Times New Roman" w:hAnsi="Century Gothic"/>
              </w:rPr>
              <w:t>N/A</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71781243" w14:textId="70CC74F8" w:rsidR="00C27F5E" w:rsidRPr="008D73FF" w:rsidRDefault="00EF46E8" w:rsidP="00346EB6">
            <w:pPr>
              <w:jc w:val="center"/>
              <w:rPr>
                <w:rFonts w:ascii="Century Gothic" w:hAnsi="Century Gothic"/>
              </w:rPr>
            </w:pPr>
            <w:r w:rsidRPr="008D73FF">
              <w:rPr>
                <w:rFonts w:ascii="Century Gothic" w:eastAsia="Times New Roman" w:hAnsi="Century Gothic"/>
              </w:rPr>
              <w:t>N/A</w:t>
            </w:r>
          </w:p>
        </w:tc>
      </w:tr>
      <w:tr w:rsidR="00346EB6" w:rsidRPr="006D6566" w14:paraId="25AE7C63" w14:textId="77777777" w:rsidTr="662A423E">
        <w:trPr>
          <w:trHeight w:val="300"/>
        </w:trPr>
        <w:tc>
          <w:tcPr>
            <w:tcW w:w="1369" w:type="dxa"/>
            <w:tcBorders>
              <w:top w:val="single" w:sz="8" w:space="0" w:color="D9D9D9" w:themeColor="background1" w:themeShade="D9"/>
              <w:left w:val="single" w:sz="4" w:space="0" w:color="auto"/>
              <w:bottom w:val="single" w:sz="4" w:space="0" w:color="000000" w:themeColor="text1"/>
              <w:right w:val="single" w:sz="8" w:space="0" w:color="D9D9D9" w:themeColor="background1" w:themeShade="D9"/>
            </w:tcBorders>
            <w:shd w:val="clear" w:color="auto" w:fill="FFFFFF" w:themeFill="background1"/>
            <w:vAlign w:val="center"/>
          </w:tcPr>
          <w:p w14:paraId="29B7B94D" w14:textId="084BA20B" w:rsidR="00346EB6" w:rsidRPr="007F2724" w:rsidRDefault="00346EB6" w:rsidP="00346EB6">
            <w:pPr>
              <w:rPr>
                <w:rFonts w:ascii="Century Gothic" w:hAnsi="Century Gothic"/>
              </w:rPr>
            </w:pPr>
            <w:r w:rsidRPr="007F2724">
              <w:rPr>
                <w:rFonts w:ascii="Century Gothic" w:eastAsia="Times New Roman" w:hAnsi="Century Gothic"/>
                <w:szCs w:val="22"/>
              </w:rPr>
              <w:t xml:space="preserve">Wilmot  </w:t>
            </w:r>
          </w:p>
        </w:tc>
        <w:tc>
          <w:tcPr>
            <w:tcW w:w="1369"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FFFFFF" w:themeFill="background1"/>
          </w:tcPr>
          <w:p w14:paraId="0CD1EA8E" w14:textId="0CE98EE2" w:rsidR="662A423E" w:rsidRPr="00042D49" w:rsidRDefault="009864B4" w:rsidP="662A423E">
            <w:pPr>
              <w:jc w:val="center"/>
              <w:rPr>
                <w:rFonts w:ascii="Century Gothic" w:eastAsia="Times New Roman" w:hAnsi="Century Gothic"/>
              </w:rPr>
            </w:pPr>
            <w:r>
              <w:rPr>
                <w:rFonts w:ascii="Century Gothic" w:eastAsia="Times New Roman" w:hAnsi="Century Gothic"/>
              </w:rPr>
              <w:t>2</w:t>
            </w:r>
          </w:p>
        </w:tc>
        <w:tc>
          <w:tcPr>
            <w:tcW w:w="842"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FFFFFF" w:themeFill="background1"/>
          </w:tcPr>
          <w:p w14:paraId="7AA078F9" w14:textId="6DD24D98" w:rsidR="00346EB6" w:rsidRPr="00042D49" w:rsidRDefault="00346EB6" w:rsidP="00346EB6">
            <w:pPr>
              <w:jc w:val="center"/>
              <w:rPr>
                <w:rFonts w:ascii="Century Gothic" w:eastAsia="Times New Roman" w:hAnsi="Century Gothic"/>
              </w:rPr>
            </w:pPr>
            <w:r w:rsidRPr="00042D49">
              <w:rPr>
                <w:rFonts w:ascii="Century Gothic" w:eastAsia="Times New Roman" w:hAnsi="Century Gothic"/>
              </w:rPr>
              <w:t>0</w:t>
            </w:r>
          </w:p>
        </w:tc>
        <w:tc>
          <w:tcPr>
            <w:tcW w:w="829"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FFFFFF" w:themeFill="background1"/>
          </w:tcPr>
          <w:p w14:paraId="7E7D78E1" w14:textId="295D4804" w:rsidR="00346EB6" w:rsidRPr="00042D49" w:rsidRDefault="00346EB6" w:rsidP="00346EB6">
            <w:pPr>
              <w:jc w:val="center"/>
              <w:rPr>
                <w:rFonts w:ascii="Century Gothic" w:eastAsia="Times New Roman" w:hAnsi="Century Gothic"/>
              </w:rPr>
            </w:pPr>
            <w:r w:rsidRPr="00042D49">
              <w:rPr>
                <w:rFonts w:ascii="Century Gothic" w:eastAsia="Times New Roman" w:hAnsi="Century Gothic"/>
              </w:rPr>
              <w:t>0</w:t>
            </w:r>
          </w:p>
        </w:tc>
        <w:tc>
          <w:tcPr>
            <w:tcW w:w="855" w:type="dxa"/>
            <w:tcBorders>
              <w:top w:val="single" w:sz="8" w:space="0" w:color="D9D9D9" w:themeColor="background1" w:themeShade="D9"/>
              <w:left w:val="single" w:sz="8" w:space="0" w:color="D9D9D9" w:themeColor="background1" w:themeShade="D9"/>
              <w:bottom w:val="single" w:sz="4" w:space="0" w:color="000000" w:themeColor="text1"/>
              <w:right w:val="single" w:sz="8" w:space="0" w:color="D9D9D9" w:themeColor="background1" w:themeShade="D9"/>
            </w:tcBorders>
            <w:shd w:val="clear" w:color="auto" w:fill="FFFFFF" w:themeFill="background1"/>
            <w:vAlign w:val="bottom"/>
          </w:tcPr>
          <w:p w14:paraId="26E9ED79" w14:textId="259C7692" w:rsidR="00346EB6" w:rsidRPr="00042D49" w:rsidRDefault="00346EB6" w:rsidP="00346EB6">
            <w:pPr>
              <w:jc w:val="center"/>
              <w:rPr>
                <w:rFonts w:ascii="Century Gothic" w:hAnsi="Century Gothic"/>
              </w:rPr>
            </w:pPr>
            <w:r w:rsidRPr="00042D49">
              <w:rPr>
                <w:rFonts w:ascii="Century Gothic" w:eastAsia="Times New Roman" w:hAnsi="Century Gothic"/>
              </w:rPr>
              <w:t>0</w:t>
            </w:r>
          </w:p>
        </w:tc>
        <w:tc>
          <w:tcPr>
            <w:tcW w:w="68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01E4945B" w14:textId="55159529" w:rsidR="00346EB6" w:rsidRPr="00042D49" w:rsidRDefault="00346EB6" w:rsidP="00346EB6">
            <w:pPr>
              <w:jc w:val="center"/>
              <w:rPr>
                <w:rFonts w:ascii="Century Gothic" w:hAnsi="Century Gothic"/>
              </w:rPr>
            </w:pPr>
            <w:r w:rsidRPr="00042D49">
              <w:rPr>
                <w:rFonts w:ascii="Century Gothic" w:eastAsia="Times New Roman" w:hAnsi="Century Gothic"/>
              </w:rPr>
              <w:t>0</w:t>
            </w:r>
          </w:p>
        </w:tc>
        <w:tc>
          <w:tcPr>
            <w:tcW w:w="63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217A0BD0" w14:textId="66AC01B6" w:rsidR="00346EB6" w:rsidRPr="00042D49" w:rsidRDefault="00346EB6" w:rsidP="00346EB6">
            <w:pPr>
              <w:jc w:val="center"/>
              <w:rPr>
                <w:rFonts w:ascii="Century Gothic" w:hAnsi="Century Gothic"/>
              </w:rPr>
            </w:pPr>
            <w:r w:rsidRPr="00042D49">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811D96D" w14:textId="716A8E08" w:rsidR="00346EB6" w:rsidRPr="00042D49" w:rsidRDefault="00346EB6" w:rsidP="00346EB6">
            <w:pPr>
              <w:jc w:val="center"/>
              <w:rPr>
                <w:rFonts w:ascii="Century Gothic" w:hAnsi="Century Gothic"/>
              </w:rPr>
            </w:pPr>
            <w:r w:rsidRPr="00042D49">
              <w:rPr>
                <w:rFonts w:ascii="Century Gothic" w:eastAsia="Times New Roman" w:hAnsi="Century Gothic"/>
              </w:rPr>
              <w:t xml:space="preserve">2 </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69F9D379" w14:textId="29D49AEE" w:rsidR="00346EB6" w:rsidRPr="00042D49" w:rsidRDefault="00346EB6" w:rsidP="00346EB6">
            <w:pPr>
              <w:jc w:val="center"/>
              <w:rPr>
                <w:rFonts w:ascii="Century Gothic" w:hAnsi="Century Gothic"/>
              </w:rPr>
            </w:pPr>
            <w:r w:rsidRPr="00042D49">
              <w:rPr>
                <w:rFonts w:ascii="Century Gothic" w:eastAsia="Times New Roman" w:hAnsi="Century Gothic"/>
              </w:rPr>
              <w:t>1</w:t>
            </w:r>
          </w:p>
        </w:tc>
        <w:tc>
          <w:tcPr>
            <w:tcW w:w="94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1B51067" w14:textId="7F069818" w:rsidR="00346EB6" w:rsidRPr="00042D49" w:rsidRDefault="00346EB6" w:rsidP="00346EB6">
            <w:pPr>
              <w:jc w:val="center"/>
              <w:rPr>
                <w:rFonts w:ascii="Century Gothic" w:hAnsi="Century Gothic"/>
              </w:rPr>
            </w:pPr>
            <w:r w:rsidRPr="00042D49">
              <w:rPr>
                <w:rFonts w:ascii="Century Gothic" w:eastAsia="Times New Roman" w:hAnsi="Century Gothic"/>
              </w:rPr>
              <w:t>0</w:t>
            </w:r>
          </w:p>
        </w:tc>
        <w:tc>
          <w:tcPr>
            <w:tcW w:w="7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30538F86" w14:textId="7641A780" w:rsidR="00346EB6" w:rsidRPr="00042D49" w:rsidRDefault="00346EB6" w:rsidP="00346EB6">
            <w:pPr>
              <w:jc w:val="center"/>
              <w:rPr>
                <w:rFonts w:ascii="Century Gothic" w:hAnsi="Century Gothic"/>
              </w:rPr>
            </w:pPr>
            <w:r w:rsidRPr="00042D49">
              <w:rPr>
                <w:rFonts w:ascii="Century Gothic" w:eastAsia="Times New Roman" w:hAnsi="Century Gothic"/>
              </w:rPr>
              <w:t>0</w:t>
            </w:r>
          </w:p>
        </w:tc>
        <w:tc>
          <w:tcPr>
            <w:tcW w:w="10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FFFFF" w:themeFill="background1"/>
            <w:vAlign w:val="bottom"/>
          </w:tcPr>
          <w:p w14:paraId="40AF7EEB" w14:textId="74EEA8D5" w:rsidR="00346EB6" w:rsidRPr="00042D49" w:rsidRDefault="00346EB6" w:rsidP="00346EB6">
            <w:pPr>
              <w:jc w:val="center"/>
              <w:rPr>
                <w:rFonts w:ascii="Century Gothic" w:hAnsi="Century Gothic"/>
              </w:rPr>
            </w:pPr>
            <w:r w:rsidRPr="00042D49">
              <w:rPr>
                <w:rFonts w:ascii="Century Gothic" w:eastAsia="Times New Roman" w:hAnsi="Century Gothic"/>
              </w:rPr>
              <w:t xml:space="preserve">N/A </w:t>
            </w:r>
          </w:p>
        </w:tc>
      </w:tr>
      <w:tr w:rsidR="00346EB6" w:rsidRPr="006D6566" w14:paraId="086A737C" w14:textId="77777777" w:rsidTr="662A423E">
        <w:trPr>
          <w:trHeight w:val="285"/>
        </w:trPr>
        <w:tc>
          <w:tcPr>
            <w:tcW w:w="1369" w:type="dxa"/>
            <w:tcBorders>
              <w:top w:val="single" w:sz="4" w:space="0" w:color="000000" w:themeColor="text1"/>
              <w:left w:val="single" w:sz="4" w:space="0" w:color="000000" w:themeColor="text1"/>
              <w:bottom w:val="nil"/>
              <w:right w:val="single" w:sz="8" w:space="0" w:color="D9D9D9" w:themeColor="background1" w:themeShade="D9"/>
            </w:tcBorders>
            <w:shd w:val="clear" w:color="auto" w:fill="FFFFFF" w:themeFill="background1"/>
            <w:vAlign w:val="center"/>
          </w:tcPr>
          <w:p w14:paraId="2FF55302" w14:textId="26D25282" w:rsidR="00346EB6" w:rsidRPr="007F2724" w:rsidRDefault="00346EB6" w:rsidP="00346EB6">
            <w:pPr>
              <w:rPr>
                <w:rFonts w:ascii="Century Gothic" w:eastAsia="Times New Roman" w:hAnsi="Century Gothic"/>
                <w:b/>
                <w:bCs/>
              </w:rPr>
            </w:pPr>
            <w:r w:rsidRPr="007F2724">
              <w:rPr>
                <w:rFonts w:ascii="Century Gothic" w:eastAsia="Times New Roman" w:hAnsi="Century Gothic"/>
                <w:b/>
                <w:bCs/>
              </w:rPr>
              <w:lastRenderedPageBreak/>
              <w:t>Average</w:t>
            </w:r>
          </w:p>
        </w:tc>
        <w:tc>
          <w:tcPr>
            <w:tcW w:w="1369" w:type="dxa"/>
            <w:tcBorders>
              <w:top w:val="single" w:sz="4" w:space="0" w:color="000000" w:themeColor="text1"/>
              <w:left w:val="single" w:sz="8" w:space="0" w:color="D9D9D9" w:themeColor="background1" w:themeShade="D9"/>
              <w:bottom w:val="nil"/>
              <w:right w:val="single" w:sz="8" w:space="0" w:color="D9D9D9" w:themeColor="background1" w:themeShade="D9"/>
            </w:tcBorders>
          </w:tcPr>
          <w:p w14:paraId="5CD1D763" w14:textId="782ECDE1" w:rsidR="4E7C809B" w:rsidRPr="007F2724" w:rsidRDefault="4E7C809B" w:rsidP="662A423E">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1.</w:t>
            </w:r>
            <w:r w:rsidR="00042D49">
              <w:rPr>
                <w:rFonts w:ascii="Century Gothic" w:eastAsia="Calibri" w:hAnsi="Century Gothic" w:cs="Calibri"/>
                <w:b/>
                <w:bCs/>
                <w:color w:val="000000" w:themeColor="text1"/>
              </w:rPr>
              <w:t>5</w:t>
            </w:r>
          </w:p>
        </w:tc>
        <w:tc>
          <w:tcPr>
            <w:tcW w:w="842" w:type="dxa"/>
            <w:tcBorders>
              <w:top w:val="single" w:sz="4" w:space="0" w:color="000000" w:themeColor="text1"/>
              <w:left w:val="single" w:sz="8" w:space="0" w:color="D9D9D9" w:themeColor="background1" w:themeShade="D9"/>
              <w:bottom w:val="nil"/>
              <w:right w:val="single" w:sz="8" w:space="0" w:color="D9D9D9" w:themeColor="background1" w:themeShade="D9"/>
            </w:tcBorders>
          </w:tcPr>
          <w:p w14:paraId="3A9067D6" w14:textId="00C7467F"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1.9</w:t>
            </w:r>
          </w:p>
        </w:tc>
        <w:tc>
          <w:tcPr>
            <w:tcW w:w="829" w:type="dxa"/>
            <w:tcBorders>
              <w:top w:val="single" w:sz="4" w:space="0" w:color="000000" w:themeColor="text1"/>
              <w:left w:val="single" w:sz="8" w:space="0" w:color="D9D9D9" w:themeColor="background1" w:themeShade="D9"/>
              <w:bottom w:val="nil"/>
              <w:right w:val="single" w:sz="8" w:space="0" w:color="D9D9D9" w:themeColor="background1" w:themeShade="D9"/>
            </w:tcBorders>
          </w:tcPr>
          <w:p w14:paraId="65BC134B" w14:textId="131756CD"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 xml:space="preserve">1.6 </w:t>
            </w:r>
          </w:p>
        </w:tc>
        <w:tc>
          <w:tcPr>
            <w:tcW w:w="855" w:type="dxa"/>
            <w:tcBorders>
              <w:top w:val="single" w:sz="4" w:space="0" w:color="000000" w:themeColor="text1"/>
              <w:left w:val="single" w:sz="8" w:space="0" w:color="D9D9D9" w:themeColor="background1" w:themeShade="D9"/>
              <w:bottom w:val="nil"/>
              <w:right w:val="nil"/>
            </w:tcBorders>
            <w:vAlign w:val="bottom"/>
          </w:tcPr>
          <w:p w14:paraId="3A889695" w14:textId="2E9358A2"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2.2</w:t>
            </w:r>
          </w:p>
        </w:tc>
        <w:tc>
          <w:tcPr>
            <w:tcW w:w="680" w:type="dxa"/>
            <w:tcBorders>
              <w:top w:val="single" w:sz="8" w:space="0" w:color="D9D9D9" w:themeColor="background1" w:themeShade="D9"/>
              <w:left w:val="nil"/>
              <w:bottom w:val="nil"/>
              <w:right w:val="nil"/>
            </w:tcBorders>
            <w:vAlign w:val="bottom"/>
          </w:tcPr>
          <w:p w14:paraId="16A92BB2" w14:textId="0ED8214A"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1.2</w:t>
            </w:r>
          </w:p>
        </w:tc>
        <w:tc>
          <w:tcPr>
            <w:tcW w:w="632" w:type="dxa"/>
            <w:tcBorders>
              <w:top w:val="single" w:sz="8" w:space="0" w:color="D9D9D9" w:themeColor="background1" w:themeShade="D9"/>
              <w:left w:val="nil"/>
              <w:bottom w:val="nil"/>
              <w:right w:val="nil"/>
            </w:tcBorders>
            <w:vAlign w:val="bottom"/>
          </w:tcPr>
          <w:p w14:paraId="7A17BBCD" w14:textId="1EF03B6C"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0.9</w:t>
            </w:r>
          </w:p>
        </w:tc>
        <w:tc>
          <w:tcPr>
            <w:tcW w:w="1026" w:type="dxa"/>
            <w:tcBorders>
              <w:top w:val="single" w:sz="8" w:space="0" w:color="D9D9D9" w:themeColor="background1" w:themeShade="D9"/>
              <w:left w:val="nil"/>
              <w:bottom w:val="nil"/>
              <w:right w:val="nil"/>
            </w:tcBorders>
            <w:vAlign w:val="bottom"/>
          </w:tcPr>
          <w:p w14:paraId="458953B7" w14:textId="6D61B69E"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3.4</w:t>
            </w:r>
          </w:p>
        </w:tc>
        <w:tc>
          <w:tcPr>
            <w:tcW w:w="790" w:type="dxa"/>
            <w:tcBorders>
              <w:top w:val="single" w:sz="8" w:space="0" w:color="D9D9D9" w:themeColor="background1" w:themeShade="D9"/>
              <w:left w:val="nil"/>
              <w:bottom w:val="nil"/>
              <w:right w:val="nil"/>
            </w:tcBorders>
            <w:vAlign w:val="bottom"/>
          </w:tcPr>
          <w:p w14:paraId="21985462" w14:textId="3460CBE0"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1.4</w:t>
            </w:r>
          </w:p>
        </w:tc>
        <w:tc>
          <w:tcPr>
            <w:tcW w:w="947" w:type="dxa"/>
            <w:tcBorders>
              <w:top w:val="single" w:sz="8" w:space="0" w:color="D9D9D9" w:themeColor="background1" w:themeShade="D9"/>
              <w:left w:val="nil"/>
              <w:bottom w:val="nil"/>
              <w:right w:val="nil"/>
            </w:tcBorders>
            <w:vAlign w:val="bottom"/>
          </w:tcPr>
          <w:p w14:paraId="63C1CCCB" w14:textId="61D3F61A"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 xml:space="preserve">0.4 </w:t>
            </w:r>
          </w:p>
        </w:tc>
        <w:tc>
          <w:tcPr>
            <w:tcW w:w="790" w:type="dxa"/>
            <w:tcBorders>
              <w:top w:val="single" w:sz="8" w:space="0" w:color="D9D9D9" w:themeColor="background1" w:themeShade="D9"/>
              <w:left w:val="nil"/>
              <w:bottom w:val="nil"/>
              <w:right w:val="nil"/>
            </w:tcBorders>
            <w:vAlign w:val="bottom"/>
          </w:tcPr>
          <w:p w14:paraId="47B8D05F" w14:textId="00953752"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 xml:space="preserve">1.7 </w:t>
            </w:r>
          </w:p>
        </w:tc>
        <w:tc>
          <w:tcPr>
            <w:tcW w:w="1026" w:type="dxa"/>
            <w:tcBorders>
              <w:top w:val="single" w:sz="8" w:space="0" w:color="D9D9D9" w:themeColor="background1" w:themeShade="D9"/>
              <w:left w:val="nil"/>
              <w:bottom w:val="nil"/>
              <w:right w:val="nil"/>
            </w:tcBorders>
            <w:vAlign w:val="bottom"/>
          </w:tcPr>
          <w:p w14:paraId="451640A4" w14:textId="486F91E7" w:rsidR="00346EB6" w:rsidRPr="007F2724" w:rsidRDefault="00346EB6" w:rsidP="00346EB6">
            <w:pPr>
              <w:rPr>
                <w:rFonts w:ascii="Century Gothic" w:eastAsia="Calibri" w:hAnsi="Century Gothic" w:cs="Calibri"/>
                <w:b/>
                <w:bCs/>
                <w:color w:val="000000" w:themeColor="text1"/>
              </w:rPr>
            </w:pPr>
            <w:r w:rsidRPr="007F2724">
              <w:rPr>
                <w:rFonts w:ascii="Century Gothic" w:eastAsia="Calibri" w:hAnsi="Century Gothic" w:cs="Calibri"/>
                <w:b/>
                <w:bCs/>
                <w:color w:val="000000" w:themeColor="text1"/>
              </w:rPr>
              <w:t>5.6</w:t>
            </w:r>
          </w:p>
        </w:tc>
      </w:tr>
    </w:tbl>
    <w:p w14:paraId="43C39812" w14:textId="7029F127" w:rsidR="00916A8B" w:rsidRPr="007F2724" w:rsidRDefault="00916A8B" w:rsidP="341CC84A">
      <w:pPr>
        <w:spacing w:after="160" w:line="276" w:lineRule="auto"/>
        <w:rPr>
          <w:rFonts w:ascii="Century Gothic" w:eastAsia="MS PGothic" w:hAnsi="Century Gothic"/>
          <w:b/>
          <w:bCs/>
        </w:rPr>
      </w:pPr>
    </w:p>
    <w:sectPr w:rsidR="00916A8B" w:rsidRPr="007F2724" w:rsidSect="006D3596">
      <w:pgSz w:w="12240" w:h="15840" w:code="1"/>
      <w:pgMar w:top="446"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1134E" w14:textId="77777777" w:rsidR="00514BA9" w:rsidRDefault="00514BA9" w:rsidP="00195253">
      <w:r>
        <w:separator/>
      </w:r>
    </w:p>
  </w:endnote>
  <w:endnote w:type="continuationSeparator" w:id="0">
    <w:p w14:paraId="1B431F7F" w14:textId="77777777" w:rsidR="00514BA9" w:rsidRDefault="00514BA9" w:rsidP="00195253">
      <w:r>
        <w:continuationSeparator/>
      </w:r>
    </w:p>
  </w:endnote>
  <w:endnote w:type="continuationNotice" w:id="1">
    <w:p w14:paraId="432E9142" w14:textId="77777777" w:rsidR="00514BA9" w:rsidRDefault="00514BA9"/>
  </w:endnote>
  <w:endnote w:id="2">
    <w:p w14:paraId="25E25D8A" w14:textId="2994B6B7" w:rsidR="0E6C54AB" w:rsidRPr="007F2724" w:rsidRDefault="0E6C54AB" w:rsidP="00B07A97">
      <w:pPr>
        <w:pStyle w:val="EndnoteText"/>
        <w:rPr>
          <w:rFonts w:ascii="Century Gothic" w:hAnsi="Century Gothic"/>
          <w:sz w:val="18"/>
          <w:szCs w:val="18"/>
        </w:rPr>
      </w:pPr>
      <w:r w:rsidRPr="007F2724">
        <w:rPr>
          <w:rStyle w:val="EndnoteReference"/>
          <w:rFonts w:ascii="Century Gothic" w:hAnsi="Century Gothic"/>
          <w:sz w:val="18"/>
          <w:szCs w:val="18"/>
        </w:rPr>
        <w:endnoteRef/>
      </w:r>
      <w:r w:rsidRPr="007F2724">
        <w:rPr>
          <w:rFonts w:ascii="Century Gothic" w:hAnsi="Century Gothic"/>
          <w:sz w:val="18"/>
          <w:szCs w:val="18"/>
        </w:rPr>
        <w:t xml:space="preserve"> Escalated to 2023 dollars, this represents a baseline income of $16, 991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ヒラギノ角ゴ Pro W3">
    <w:altName w:val="Yu Gothic"/>
    <w:charset w:val="80"/>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41B6" w14:textId="77777777" w:rsidR="00074573" w:rsidRDefault="00074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490F" w14:textId="07F2A585" w:rsidR="009F26DD" w:rsidRDefault="00DE6A54" w:rsidP="006C0AE1">
    <w:pPr>
      <w:pStyle w:val="Footer"/>
      <w:jc w:val="center"/>
    </w:pPr>
    <w:r>
      <w:rPr>
        <w:noProof/>
      </w:rPr>
      <mc:AlternateContent>
        <mc:Choice Requires="wpg">
          <w:drawing>
            <wp:anchor distT="0" distB="0" distL="114300" distR="114300" simplePos="0" relativeHeight="251658240" behindDoc="0" locked="0" layoutInCell="1" allowOverlap="1" wp14:anchorId="01502CE2" wp14:editId="78C3BB3A">
              <wp:simplePos x="0" y="0"/>
              <wp:positionH relativeFrom="page">
                <wp:posOffset>1493520</wp:posOffset>
              </wp:positionH>
              <wp:positionV relativeFrom="bottomMargin">
                <wp:posOffset>160020</wp:posOffset>
              </wp:positionV>
              <wp:extent cx="6172200" cy="274320"/>
              <wp:effectExtent l="0" t="0" r="0" b="0"/>
              <wp:wrapNone/>
              <wp:docPr id="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txbx>
                        <w:txbxContent>
                          <w:p w14:paraId="62818C72" w14:textId="464E067D" w:rsidR="009F26DD" w:rsidRDefault="00074573" w:rsidP="0011540A">
                            <w:pPr>
                              <w:pStyle w:val="Footer"/>
                              <w:tabs>
                                <w:tab w:val="clear" w:pos="4680"/>
                                <w:tab w:val="clear" w:pos="9360"/>
                              </w:tabs>
                              <w:jc w:val="right"/>
                            </w:pPr>
                            <w:sdt>
                              <w:sdtPr>
                                <w:rPr>
                                  <w:caps/>
                                  <w:color w:val="B5333C" w:themeColor="accent2"/>
                                  <w:sz w:val="20"/>
                                  <w:szCs w:val="20"/>
                                </w:rPr>
                                <w:alias w:val="Title"/>
                                <w:tag w:val=""/>
                                <w:id w:val="-1616361192"/>
                                <w:dataBinding w:prefixMappings="xmlns:ns0='http://purl.org/dc/elements/1.1/' xmlns:ns1='http://schemas.openxmlformats.org/package/2006/metadata/core-properties' " w:xpath="/ns1:coreProperties[1]/ns0:title[1]" w:storeItemID="{6C3C8BC8-F283-45AE-878A-BAB7291924A1}"/>
                                <w:text/>
                              </w:sdtPr>
                              <w:sdtEndPr/>
                              <w:sdtContent>
                                <w:r w:rsidR="009606E9">
                                  <w:rPr>
                                    <w:caps/>
                                    <w:color w:val="B5333C" w:themeColor="accent2"/>
                                    <w:sz w:val="20"/>
                                    <w:szCs w:val="20"/>
                                  </w:rPr>
                                  <w:t>ECC/HANH 2024 MTW Annual Report</w:t>
                                </w:r>
                              </w:sdtContent>
                            </w:sdt>
                            <w:r w:rsidR="009F26DD">
                              <w:rPr>
                                <w:caps/>
                                <w:color w:val="808080" w:themeColor="background1" w:themeShade="80"/>
                                <w:sz w:val="20"/>
                                <w:szCs w:val="20"/>
                              </w:rPr>
                              <w:t> |</w:t>
                            </w:r>
                            <w:r w:rsidR="009F26DD" w:rsidRPr="00026C59">
                              <w:rPr>
                                <w:caps/>
                                <w:color w:val="808080" w:themeColor="background1" w:themeShade="80"/>
                                <w:sz w:val="20"/>
                                <w:szCs w:val="20"/>
                              </w:rPr>
                              <w:fldChar w:fldCharType="begin"/>
                            </w:r>
                            <w:r w:rsidR="009F26DD" w:rsidRPr="00026C59">
                              <w:rPr>
                                <w:caps/>
                                <w:color w:val="808080" w:themeColor="background1" w:themeShade="80"/>
                                <w:sz w:val="20"/>
                                <w:szCs w:val="20"/>
                              </w:rPr>
                              <w:instrText xml:space="preserve"> PAGE   \* MERGEFORMAT </w:instrText>
                            </w:r>
                            <w:r w:rsidR="009F26DD" w:rsidRPr="00026C59">
                              <w:rPr>
                                <w:caps/>
                                <w:color w:val="808080" w:themeColor="background1" w:themeShade="80"/>
                                <w:sz w:val="20"/>
                                <w:szCs w:val="20"/>
                              </w:rPr>
                              <w:fldChar w:fldCharType="separate"/>
                            </w:r>
                            <w:r w:rsidR="009F26DD">
                              <w:rPr>
                                <w:caps/>
                                <w:noProof/>
                                <w:color w:val="808080" w:themeColor="background1" w:themeShade="80"/>
                                <w:sz w:val="20"/>
                                <w:szCs w:val="20"/>
                              </w:rPr>
                              <w:t>8</w:t>
                            </w:r>
                            <w:r w:rsidR="009F26DD" w:rsidRPr="00026C59">
                              <w:rPr>
                                <w:caps/>
                                <w:noProof/>
                                <w:color w:val="808080" w:themeColor="background1" w:themeShade="80"/>
                                <w:sz w:val="20"/>
                                <w:szCs w:val="20"/>
                              </w:rPr>
                              <w:fldChar w:fldCharType="end"/>
                            </w:r>
                            <w:r w:rsidR="009F26DD">
                              <w:rPr>
                                <w:caps/>
                                <w:color w:val="808080" w:themeColor="background1" w:themeShade="80"/>
                                <w:sz w:val="20"/>
                                <w:szCs w:val="20"/>
                              </w:rPr>
                              <w:t> </w:t>
                            </w:r>
                            <w:sdt>
                              <w:sdtPr>
                                <w:rPr>
                                  <w:color w:val="808080" w:themeColor="background1" w:themeShade="80"/>
                                  <w:sz w:val="20"/>
                                  <w:szCs w:val="20"/>
                                </w:rPr>
                                <w:alias w:val="Subtitle"/>
                                <w:tag w:val=""/>
                                <w:id w:val="1964683883"/>
                                <w:showingPlcHdr/>
                                <w:dataBinding w:prefixMappings="xmlns:ns0='http://purl.org/dc/elements/1.1/' xmlns:ns1='http://schemas.openxmlformats.org/package/2006/metadata/core-properties' " w:xpath="/ns1:coreProperties[1]/ns0:subject[1]" w:storeItemID="{6C3C8BC8-F283-45AE-878A-BAB7291924A1}"/>
                                <w:text/>
                              </w:sdtPr>
                              <w:sdtEndPr/>
                              <w:sdtContent>
                                <w:r w:rsidR="009F26DD">
                                  <w:rPr>
                                    <w:color w:val="808080" w:themeColor="background1" w:themeShade="80"/>
                                    <w:sz w:val="2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1502CE2" id="Group 124" o:spid="_x0000_s1089" style="position:absolute;left:0;text-align:left;margin-left:117.6pt;margin-top:12.6pt;width:486pt;height:21.6pt;z-index:251658240;mso-position-horizontal-relative:page;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">
              <v:rect id="Rectangle 165" o:spid="_x0000_s1090"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" fillcolor="window" stroked="f" strokeweight="1pt">
                <v:fill opacity="0"/>
              </v:rect>
              <v:shapetype id="_x0000_t202" coordsize="21600,21600" o:spt="202" path="m,l,21600r21600,l21600,xe">
                <v:stroke joinstyle="miter"/>
                <v:path gradientshapeok="t" o:connecttype="rect"/>
              </v:shapetype>
              <v:shape id="Text Box 166" o:spid="_x0000_s1091"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62818C72" w14:textId="464E067D" w:rsidR="009F26DD" w:rsidRDefault="008238AB" w:rsidP="0011540A">
                      <w:pPr>
                        <w:pStyle w:val="Footer"/>
                        <w:tabs>
                          <w:tab w:val="clear" w:pos="4680"/>
                          <w:tab w:val="clear" w:pos="9360"/>
                        </w:tabs>
                        <w:jc w:val="right"/>
                      </w:pPr>
                      <w:sdt>
                        <w:sdtPr>
                          <w:rPr>
                            <w:caps/>
                            <w:color w:val="B5333C" w:themeColor="accent2"/>
                            <w:sz w:val="20"/>
                            <w:szCs w:val="20"/>
                          </w:rPr>
                          <w:alias w:val="Title"/>
                          <w:tag w:val=""/>
                          <w:id w:val="-1616361192"/>
                          <w:dataBinding w:prefixMappings="xmlns:ns0='http://purl.org/dc/elements/1.1/' xmlns:ns1='http://schemas.openxmlformats.org/package/2006/metadata/core-properties' " w:xpath="/ns1:coreProperties[1]/ns0:title[1]" w:storeItemID="{6C3C8BC8-F283-45AE-878A-BAB7291924A1}"/>
                          <w:text/>
                        </w:sdtPr>
                        <w:sdtEndPr/>
                        <w:sdtContent>
                          <w:r w:rsidR="009606E9">
                            <w:rPr>
                              <w:caps/>
                              <w:color w:val="B5333C" w:themeColor="accent2"/>
                              <w:sz w:val="20"/>
                              <w:szCs w:val="20"/>
                            </w:rPr>
                            <w:t>ECC/HANH 2024 MTW Annual Report</w:t>
                          </w:r>
                        </w:sdtContent>
                      </w:sdt>
                      <w:r w:rsidR="009F26DD">
                        <w:rPr>
                          <w:caps/>
                          <w:color w:val="808080" w:themeColor="background1" w:themeShade="80"/>
                          <w:sz w:val="20"/>
                          <w:szCs w:val="20"/>
                        </w:rPr>
                        <w:t> |</w:t>
                      </w:r>
                      <w:r w:rsidR="009F26DD" w:rsidRPr="00026C59">
                        <w:rPr>
                          <w:caps/>
                          <w:color w:val="808080" w:themeColor="background1" w:themeShade="80"/>
                          <w:sz w:val="20"/>
                          <w:szCs w:val="20"/>
                        </w:rPr>
                        <w:fldChar w:fldCharType="begin"/>
                      </w:r>
                      <w:r w:rsidR="009F26DD" w:rsidRPr="00026C59">
                        <w:rPr>
                          <w:caps/>
                          <w:color w:val="808080" w:themeColor="background1" w:themeShade="80"/>
                          <w:sz w:val="20"/>
                          <w:szCs w:val="20"/>
                        </w:rPr>
                        <w:instrText xml:space="preserve"> PAGE   \* MERGEFORMAT </w:instrText>
                      </w:r>
                      <w:r w:rsidR="009F26DD" w:rsidRPr="00026C59">
                        <w:rPr>
                          <w:caps/>
                          <w:color w:val="808080" w:themeColor="background1" w:themeShade="80"/>
                          <w:sz w:val="20"/>
                          <w:szCs w:val="20"/>
                        </w:rPr>
                        <w:fldChar w:fldCharType="separate"/>
                      </w:r>
                      <w:r w:rsidR="009F26DD">
                        <w:rPr>
                          <w:caps/>
                          <w:noProof/>
                          <w:color w:val="808080" w:themeColor="background1" w:themeShade="80"/>
                          <w:sz w:val="20"/>
                          <w:szCs w:val="20"/>
                        </w:rPr>
                        <w:t>8</w:t>
                      </w:r>
                      <w:r w:rsidR="009F26DD" w:rsidRPr="00026C59">
                        <w:rPr>
                          <w:caps/>
                          <w:noProof/>
                          <w:color w:val="808080" w:themeColor="background1" w:themeShade="80"/>
                          <w:sz w:val="20"/>
                          <w:szCs w:val="20"/>
                        </w:rPr>
                        <w:fldChar w:fldCharType="end"/>
                      </w:r>
                      <w:r w:rsidR="009F26DD">
                        <w:rPr>
                          <w:caps/>
                          <w:color w:val="808080" w:themeColor="background1" w:themeShade="80"/>
                          <w:sz w:val="20"/>
                          <w:szCs w:val="20"/>
                        </w:rPr>
                        <w:t> </w:t>
                      </w:r>
                      <w:sdt>
                        <w:sdtPr>
                          <w:rPr>
                            <w:color w:val="808080" w:themeColor="background1" w:themeShade="80"/>
                            <w:sz w:val="20"/>
                            <w:szCs w:val="20"/>
                          </w:rPr>
                          <w:alias w:val="Subtitle"/>
                          <w:tag w:val=""/>
                          <w:id w:val="1964683883"/>
                          <w:showingPlcHdr/>
                          <w:dataBinding w:prefixMappings="xmlns:ns0='http://purl.org/dc/elements/1.1/' xmlns:ns1='http://schemas.openxmlformats.org/package/2006/metadata/core-properties' " w:xpath="/ns1:coreProperties[1]/ns0:subject[1]" w:storeItemID="{6C3C8BC8-F283-45AE-878A-BAB7291924A1}"/>
                          <w:text/>
                        </w:sdtPr>
                        <w:sdtEndPr/>
                        <w:sdtContent>
                          <w:r w:rsidR="009F26DD">
                            <w:rPr>
                              <w:color w:val="808080" w:themeColor="background1" w:themeShade="80"/>
                              <w:sz w:val="20"/>
                              <w:szCs w:val="20"/>
                            </w:rPr>
                            <w:t xml:space="preserve">     </w:t>
                          </w:r>
                        </w:sdtContent>
                      </w:sdt>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4A6B" w14:textId="1043F4F9" w:rsidR="009F26DD" w:rsidRDefault="00DE6A54">
    <w:pPr>
      <w:pStyle w:val="Footer"/>
    </w:pPr>
    <w:r>
      <w:rPr>
        <w:noProof/>
      </w:rPr>
      <mc:AlternateContent>
        <mc:Choice Requires="wpg">
          <w:drawing>
            <wp:anchor distT="0" distB="0" distL="114300" distR="114300" simplePos="0" relativeHeight="251658243" behindDoc="0" locked="0" layoutInCell="1" allowOverlap="1" wp14:anchorId="39FF1FC6" wp14:editId="6CF864E7">
              <wp:simplePos x="0" y="0"/>
              <wp:positionH relativeFrom="page">
                <wp:posOffset>1600200</wp:posOffset>
              </wp:positionH>
              <wp:positionV relativeFrom="bottomMargin">
                <wp:posOffset>228600</wp:posOffset>
              </wp:positionV>
              <wp:extent cx="6172200" cy="274320"/>
              <wp:effectExtent l="0" t="0" r="0" b="0"/>
              <wp:wrapNone/>
              <wp:docPr id="2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74320"/>
                        <a:chOff x="0" y="0"/>
                        <a:chExt cx="6172200" cy="274320"/>
                      </a:xfrm>
                    </wpg:grpSpPr>
                    <wps:wsp>
                      <wps:cNvPr id="51" name="Rectangle 51"/>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73BB8" w14:textId="6F388A95" w:rsidR="009F26DD" w:rsidRDefault="00074573" w:rsidP="00C80C41">
                            <w:pPr>
                              <w:pStyle w:val="Footer"/>
                              <w:tabs>
                                <w:tab w:val="clear" w:pos="4680"/>
                                <w:tab w:val="clear" w:pos="9360"/>
                              </w:tabs>
                              <w:jc w:val="right"/>
                            </w:pPr>
                            <w:sdt>
                              <w:sdtPr>
                                <w:rPr>
                                  <w:caps/>
                                  <w:color w:val="B5333C" w:themeColor="accent2"/>
                                  <w:sz w:val="20"/>
                                  <w:szCs w:val="20"/>
                                </w:rPr>
                                <w:alias w:val="Title"/>
                                <w:tag w:val=""/>
                                <w:id w:val="586432064"/>
                                <w:dataBinding w:prefixMappings="xmlns:ns0='http://purl.org/dc/elements/1.1/' xmlns:ns1='http://schemas.openxmlformats.org/package/2006/metadata/core-properties' " w:xpath="/ns1:coreProperties[1]/ns0:title[1]" w:storeItemID="{6C3C8BC8-F283-45AE-878A-BAB7291924A1}"/>
                                <w:text/>
                              </w:sdtPr>
                              <w:sdtEndPr/>
                              <w:sdtContent>
                                <w:r w:rsidR="009606E9">
                                  <w:rPr>
                                    <w:caps/>
                                    <w:color w:val="B5333C" w:themeColor="accent2"/>
                                    <w:sz w:val="20"/>
                                    <w:szCs w:val="20"/>
                                  </w:rPr>
                                  <w:t>ECC/HANH 2024 MTW Annual Report</w:t>
                                </w:r>
                              </w:sdtContent>
                            </w:sdt>
                            <w:r w:rsidR="009F26DD">
                              <w:rPr>
                                <w:caps/>
                                <w:color w:val="808080" w:themeColor="background1" w:themeShade="80"/>
                                <w:sz w:val="20"/>
                                <w:szCs w:val="20"/>
                              </w:rPr>
                              <w:t> |</w:t>
                            </w:r>
                            <w:r w:rsidR="009F26DD" w:rsidRPr="00026C59">
                              <w:rPr>
                                <w:caps/>
                                <w:color w:val="808080" w:themeColor="background1" w:themeShade="80"/>
                                <w:sz w:val="20"/>
                                <w:szCs w:val="20"/>
                              </w:rPr>
                              <w:fldChar w:fldCharType="begin"/>
                            </w:r>
                            <w:r w:rsidR="009F26DD" w:rsidRPr="00026C59">
                              <w:rPr>
                                <w:caps/>
                                <w:color w:val="808080" w:themeColor="background1" w:themeShade="80"/>
                                <w:sz w:val="20"/>
                                <w:szCs w:val="20"/>
                              </w:rPr>
                              <w:instrText xml:space="preserve"> PAGE   \* MERGEFORMAT </w:instrText>
                            </w:r>
                            <w:r w:rsidR="009F26DD" w:rsidRPr="00026C59">
                              <w:rPr>
                                <w:caps/>
                                <w:color w:val="808080" w:themeColor="background1" w:themeShade="80"/>
                                <w:sz w:val="20"/>
                                <w:szCs w:val="20"/>
                              </w:rPr>
                              <w:fldChar w:fldCharType="separate"/>
                            </w:r>
                            <w:r w:rsidR="009F26DD">
                              <w:rPr>
                                <w:caps/>
                                <w:noProof/>
                                <w:color w:val="808080" w:themeColor="background1" w:themeShade="80"/>
                                <w:sz w:val="20"/>
                                <w:szCs w:val="20"/>
                              </w:rPr>
                              <w:t>1</w:t>
                            </w:r>
                            <w:r w:rsidR="009F26DD" w:rsidRPr="00026C59">
                              <w:rPr>
                                <w:caps/>
                                <w:noProof/>
                                <w:color w:val="808080" w:themeColor="background1" w:themeShade="80"/>
                                <w:sz w:val="20"/>
                                <w:szCs w:val="20"/>
                              </w:rPr>
                              <w:fldChar w:fldCharType="end"/>
                            </w:r>
                            <w:r w:rsidR="009F26DD">
                              <w:rPr>
                                <w:caps/>
                                <w:color w:val="808080" w:themeColor="background1" w:themeShade="80"/>
                                <w:sz w:val="20"/>
                                <w:szCs w:val="20"/>
                              </w:rPr>
                              <w:t> </w:t>
                            </w:r>
                            <w:sdt>
                              <w:sdtPr>
                                <w:rPr>
                                  <w:color w:val="808080" w:themeColor="background1" w:themeShade="80"/>
                                  <w:sz w:val="20"/>
                                  <w:szCs w:val="20"/>
                                </w:rPr>
                                <w:alias w:val="Subtitle"/>
                                <w:tag w:val=""/>
                                <w:id w:val="-2124596244"/>
                                <w:showingPlcHdr/>
                                <w:dataBinding w:prefixMappings="xmlns:ns0='http://purl.org/dc/elements/1.1/' xmlns:ns1='http://schemas.openxmlformats.org/package/2006/metadata/core-properties' " w:xpath="/ns1:coreProperties[1]/ns0:subject[1]" w:storeItemID="{6C3C8BC8-F283-45AE-878A-BAB7291924A1}"/>
                                <w:text/>
                              </w:sdtPr>
                              <w:sdtEndPr/>
                              <w:sdtContent>
                                <w:r w:rsidR="009F26DD">
                                  <w:rPr>
                                    <w:color w:val="808080" w:themeColor="background1" w:themeShade="80"/>
                                    <w:sz w:val="2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9FF1FC6" id="Group 126" o:spid="_x0000_s1092" style="position:absolute;margin-left:126pt;margin-top:18pt;width:486pt;height:21.6pt;z-index:251658243;mso-position-horizontal-relative:page;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">
              <v:rect id="Rectangle 51" o:spid="_x0000_s1093"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" fillcolor="white [3212]" stroked="f" strokeweight="1pt">
                <v:fill opacity="0"/>
              </v:rect>
              <v:shapetype id="_x0000_t202" coordsize="21600,21600" o:spt="202" path="m,l,21600r21600,l21600,xe">
                <v:stroke joinstyle="miter"/>
                <v:path gradientshapeok="t" o:connecttype="rect"/>
              </v:shapetype>
              <v:shape id="Text Box 52" o:spid="_x0000_s1094"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" filled="f" stroked="f" strokeweight=".5pt">
                <v:textbox style="mso-fit-shape-to-text:t" inset="0,,0">
                  <w:txbxContent>
                    <w:p w14:paraId="5AE73BB8" w14:textId="6F388A95" w:rsidR="009F26DD" w:rsidRDefault="008238AB" w:rsidP="00C80C41">
                      <w:pPr>
                        <w:pStyle w:val="Footer"/>
                        <w:tabs>
                          <w:tab w:val="clear" w:pos="4680"/>
                          <w:tab w:val="clear" w:pos="9360"/>
                        </w:tabs>
                        <w:jc w:val="right"/>
                      </w:pPr>
                      <w:sdt>
                        <w:sdtPr>
                          <w:rPr>
                            <w:caps/>
                            <w:color w:val="B5333C" w:themeColor="accent2"/>
                            <w:sz w:val="20"/>
                            <w:szCs w:val="20"/>
                          </w:rPr>
                          <w:alias w:val="Title"/>
                          <w:tag w:val=""/>
                          <w:id w:val="586432064"/>
                          <w:dataBinding w:prefixMappings="xmlns:ns0='http://purl.org/dc/elements/1.1/' xmlns:ns1='http://schemas.openxmlformats.org/package/2006/metadata/core-properties' " w:xpath="/ns1:coreProperties[1]/ns0:title[1]" w:storeItemID="{6C3C8BC8-F283-45AE-878A-BAB7291924A1}"/>
                          <w:text/>
                        </w:sdtPr>
                        <w:sdtEndPr/>
                        <w:sdtContent>
                          <w:r w:rsidR="009606E9">
                            <w:rPr>
                              <w:caps/>
                              <w:color w:val="B5333C" w:themeColor="accent2"/>
                              <w:sz w:val="20"/>
                              <w:szCs w:val="20"/>
                            </w:rPr>
                            <w:t>ECC/HANH 2024 MTW Annual Report</w:t>
                          </w:r>
                        </w:sdtContent>
                      </w:sdt>
                      <w:r w:rsidR="009F26DD">
                        <w:rPr>
                          <w:caps/>
                          <w:color w:val="808080" w:themeColor="background1" w:themeShade="80"/>
                          <w:sz w:val="20"/>
                          <w:szCs w:val="20"/>
                        </w:rPr>
                        <w:t> |</w:t>
                      </w:r>
                      <w:r w:rsidR="009F26DD" w:rsidRPr="00026C59">
                        <w:rPr>
                          <w:caps/>
                          <w:color w:val="808080" w:themeColor="background1" w:themeShade="80"/>
                          <w:sz w:val="20"/>
                          <w:szCs w:val="20"/>
                        </w:rPr>
                        <w:fldChar w:fldCharType="begin"/>
                      </w:r>
                      <w:r w:rsidR="009F26DD" w:rsidRPr="00026C59">
                        <w:rPr>
                          <w:caps/>
                          <w:color w:val="808080" w:themeColor="background1" w:themeShade="80"/>
                          <w:sz w:val="20"/>
                          <w:szCs w:val="20"/>
                        </w:rPr>
                        <w:instrText xml:space="preserve"> PAGE   \* MERGEFORMAT </w:instrText>
                      </w:r>
                      <w:r w:rsidR="009F26DD" w:rsidRPr="00026C59">
                        <w:rPr>
                          <w:caps/>
                          <w:color w:val="808080" w:themeColor="background1" w:themeShade="80"/>
                          <w:sz w:val="20"/>
                          <w:szCs w:val="20"/>
                        </w:rPr>
                        <w:fldChar w:fldCharType="separate"/>
                      </w:r>
                      <w:r w:rsidR="009F26DD">
                        <w:rPr>
                          <w:caps/>
                          <w:noProof/>
                          <w:color w:val="808080" w:themeColor="background1" w:themeShade="80"/>
                          <w:sz w:val="20"/>
                          <w:szCs w:val="20"/>
                        </w:rPr>
                        <w:t>1</w:t>
                      </w:r>
                      <w:r w:rsidR="009F26DD" w:rsidRPr="00026C59">
                        <w:rPr>
                          <w:caps/>
                          <w:noProof/>
                          <w:color w:val="808080" w:themeColor="background1" w:themeShade="80"/>
                          <w:sz w:val="20"/>
                          <w:szCs w:val="20"/>
                        </w:rPr>
                        <w:fldChar w:fldCharType="end"/>
                      </w:r>
                      <w:r w:rsidR="009F26DD">
                        <w:rPr>
                          <w:caps/>
                          <w:color w:val="808080" w:themeColor="background1" w:themeShade="80"/>
                          <w:sz w:val="20"/>
                          <w:szCs w:val="20"/>
                        </w:rPr>
                        <w:t> </w:t>
                      </w:r>
                      <w:sdt>
                        <w:sdtPr>
                          <w:rPr>
                            <w:color w:val="808080" w:themeColor="background1" w:themeShade="80"/>
                            <w:sz w:val="20"/>
                            <w:szCs w:val="20"/>
                          </w:rPr>
                          <w:alias w:val="Subtitle"/>
                          <w:tag w:val=""/>
                          <w:id w:val="-2124596244"/>
                          <w:showingPlcHdr/>
                          <w:dataBinding w:prefixMappings="xmlns:ns0='http://purl.org/dc/elements/1.1/' xmlns:ns1='http://schemas.openxmlformats.org/package/2006/metadata/core-properties' " w:xpath="/ns1:coreProperties[1]/ns0:subject[1]" w:storeItemID="{6C3C8BC8-F283-45AE-878A-BAB7291924A1}"/>
                          <w:text/>
                        </w:sdtPr>
                        <w:sdtEndPr/>
                        <w:sdtContent>
                          <w:r w:rsidR="009F26DD">
                            <w:rPr>
                              <w:color w:val="808080" w:themeColor="background1" w:themeShade="80"/>
                              <w:sz w:val="20"/>
                              <w:szCs w:val="20"/>
                            </w:rPr>
                            <w:t xml:space="preserve">     </w:t>
                          </w:r>
                        </w:sdtContent>
                      </w:sdt>
                    </w:p>
                  </w:txbxContent>
                </v:textbox>
              </v:shape>
              <w10:wrap anchorx="page"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4298A" w14:textId="45F73B36" w:rsidR="009F26DD" w:rsidRDefault="009F26DD" w:rsidP="0061488B">
    <w:pPr>
      <w:pStyle w:val="Footer"/>
      <w:jc w:val="right"/>
    </w:pPr>
  </w:p>
  <w:p w14:paraId="378A3AEC" w14:textId="11FEF702" w:rsidR="009F26DD" w:rsidRDefault="00DE6A54">
    <w:pPr>
      <w:pStyle w:val="Footer"/>
    </w:pPr>
    <w:r>
      <w:rPr>
        <w:noProof/>
      </w:rPr>
      <mc:AlternateContent>
        <mc:Choice Requires="wpg">
          <w:drawing>
            <wp:anchor distT="0" distB="0" distL="114300" distR="114300" simplePos="0" relativeHeight="251658242" behindDoc="0" locked="0" layoutInCell="1" allowOverlap="1" wp14:anchorId="149D156A" wp14:editId="4C69CD8A">
              <wp:simplePos x="0" y="0"/>
              <wp:positionH relativeFrom="page">
                <wp:posOffset>1447800</wp:posOffset>
              </wp:positionH>
              <wp:positionV relativeFrom="bottomMargin">
                <wp:posOffset>283210</wp:posOffset>
              </wp:positionV>
              <wp:extent cx="6172200" cy="274320"/>
              <wp:effectExtent l="0" t="0" r="0" b="0"/>
              <wp:wrapNone/>
              <wp:docPr id="2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74320"/>
                        <a:chOff x="0" y="0"/>
                        <a:chExt cx="6172200" cy="274320"/>
                      </a:xfrm>
                    </wpg:grpSpPr>
                    <wps:wsp>
                      <wps:cNvPr id="36" name="Rectangle 36"/>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67B28" w14:textId="3871BD75" w:rsidR="009F26DD" w:rsidRDefault="00074573" w:rsidP="0011540A">
                            <w:pPr>
                              <w:pStyle w:val="Footer"/>
                              <w:tabs>
                                <w:tab w:val="clear" w:pos="4680"/>
                                <w:tab w:val="clear" w:pos="9360"/>
                              </w:tabs>
                              <w:jc w:val="right"/>
                            </w:pPr>
                            <w:sdt>
                              <w:sdtPr>
                                <w:rPr>
                                  <w:caps/>
                                  <w:color w:val="B5333C" w:themeColor="accent2"/>
                                  <w:sz w:val="20"/>
                                  <w:szCs w:val="20"/>
                                </w:rPr>
                                <w:alias w:val="Title"/>
                                <w:tag w:val=""/>
                                <w:id w:val="-1562625967"/>
                                <w:dataBinding w:prefixMappings="xmlns:ns0='http://purl.org/dc/elements/1.1/' xmlns:ns1='http://schemas.openxmlformats.org/package/2006/metadata/core-properties' " w:xpath="/ns1:coreProperties[1]/ns0:title[1]" w:storeItemID="{6C3C8BC8-F283-45AE-878A-BAB7291924A1}"/>
                                <w:text/>
                              </w:sdtPr>
                              <w:sdtEndPr/>
                              <w:sdtContent>
                                <w:r w:rsidR="009606E9">
                                  <w:rPr>
                                    <w:caps/>
                                    <w:color w:val="B5333C" w:themeColor="accent2"/>
                                    <w:sz w:val="20"/>
                                    <w:szCs w:val="20"/>
                                  </w:rPr>
                                  <w:t>ECC/HANH 2024 MTW Annual Report</w:t>
                                </w:r>
                              </w:sdtContent>
                            </w:sdt>
                            <w:r w:rsidR="009F26DD">
                              <w:rPr>
                                <w:caps/>
                                <w:color w:val="808080" w:themeColor="background1" w:themeShade="80"/>
                                <w:sz w:val="20"/>
                                <w:szCs w:val="20"/>
                              </w:rPr>
                              <w:t> |</w:t>
                            </w:r>
                            <w:r w:rsidR="009F26DD" w:rsidRPr="00026C59">
                              <w:rPr>
                                <w:caps/>
                                <w:color w:val="808080" w:themeColor="background1" w:themeShade="80"/>
                                <w:sz w:val="20"/>
                                <w:szCs w:val="20"/>
                              </w:rPr>
                              <w:fldChar w:fldCharType="begin"/>
                            </w:r>
                            <w:r w:rsidR="009F26DD" w:rsidRPr="00026C59">
                              <w:rPr>
                                <w:caps/>
                                <w:color w:val="808080" w:themeColor="background1" w:themeShade="80"/>
                                <w:sz w:val="20"/>
                                <w:szCs w:val="20"/>
                              </w:rPr>
                              <w:instrText xml:space="preserve"> PAGE   \* MERGEFORMAT </w:instrText>
                            </w:r>
                            <w:r w:rsidR="009F26DD" w:rsidRPr="00026C59">
                              <w:rPr>
                                <w:caps/>
                                <w:color w:val="808080" w:themeColor="background1" w:themeShade="80"/>
                                <w:sz w:val="20"/>
                                <w:szCs w:val="20"/>
                              </w:rPr>
                              <w:fldChar w:fldCharType="separate"/>
                            </w:r>
                            <w:r w:rsidR="009F26DD">
                              <w:rPr>
                                <w:caps/>
                                <w:noProof/>
                                <w:color w:val="808080" w:themeColor="background1" w:themeShade="80"/>
                                <w:sz w:val="20"/>
                                <w:szCs w:val="20"/>
                              </w:rPr>
                              <w:t>20</w:t>
                            </w:r>
                            <w:r w:rsidR="009F26DD" w:rsidRPr="00026C59">
                              <w:rPr>
                                <w:caps/>
                                <w:noProof/>
                                <w:color w:val="808080" w:themeColor="background1" w:themeShade="80"/>
                                <w:sz w:val="20"/>
                                <w:szCs w:val="20"/>
                              </w:rPr>
                              <w:fldChar w:fldCharType="end"/>
                            </w:r>
                            <w:r w:rsidR="009F26DD">
                              <w:rPr>
                                <w:caps/>
                                <w:color w:val="808080" w:themeColor="background1" w:themeShade="80"/>
                                <w:sz w:val="20"/>
                                <w:szCs w:val="20"/>
                              </w:rPr>
                              <w:t> </w:t>
                            </w:r>
                            <w:sdt>
                              <w:sdtPr>
                                <w:rPr>
                                  <w:color w:val="808080" w:themeColor="background1" w:themeShade="80"/>
                                  <w:sz w:val="20"/>
                                  <w:szCs w:val="20"/>
                                </w:rPr>
                                <w:alias w:val="Subtitle"/>
                                <w:tag w:val=""/>
                                <w:id w:val="-987855893"/>
                                <w:showingPlcHdr/>
                                <w:dataBinding w:prefixMappings="xmlns:ns0='http://purl.org/dc/elements/1.1/' xmlns:ns1='http://schemas.openxmlformats.org/package/2006/metadata/core-properties' " w:xpath="/ns1:coreProperties[1]/ns0:subject[1]" w:storeItemID="{6C3C8BC8-F283-45AE-878A-BAB7291924A1}"/>
                                <w:text/>
                              </w:sdtPr>
                              <w:sdtEndPr/>
                              <w:sdtContent>
                                <w:r w:rsidR="009F26DD">
                                  <w:rPr>
                                    <w:color w:val="808080" w:themeColor="background1" w:themeShade="80"/>
                                    <w:sz w:val="2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49D156A" id="Group 127" o:spid="_x0000_s1095" style="position:absolute;margin-left:114pt;margin-top:22.3pt;width:486pt;height:21.6pt;z-index:251658242;mso-position-horizontal-relative:page;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">
              <v:rect id="Rectangle 36" o:spid="_x0000_s109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" fillcolor="white [3212]" stroked="f" strokeweight="1pt">
                <v:fill opacity="0"/>
              </v:rect>
              <v:shapetype id="_x0000_t202" coordsize="21600,21600" o:spt="202" path="m,l,21600r21600,l21600,xe">
                <v:stroke joinstyle="miter"/>
                <v:path gradientshapeok="t" o:connecttype="rect"/>
              </v:shapetype>
              <v:shape id="Text Box 37" o:spid="_x0000_s1097"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" filled="f" stroked="f" strokeweight=".5pt">
                <v:textbox style="mso-fit-shape-to-text:t" inset="0,,0">
                  <w:txbxContent>
                    <w:p w14:paraId="13E67B28" w14:textId="3871BD75" w:rsidR="009F26DD" w:rsidRDefault="008238AB" w:rsidP="0011540A">
                      <w:pPr>
                        <w:pStyle w:val="Footer"/>
                        <w:tabs>
                          <w:tab w:val="clear" w:pos="4680"/>
                          <w:tab w:val="clear" w:pos="9360"/>
                        </w:tabs>
                        <w:jc w:val="right"/>
                      </w:pPr>
                      <w:sdt>
                        <w:sdtPr>
                          <w:rPr>
                            <w:caps/>
                            <w:color w:val="B5333C" w:themeColor="accent2"/>
                            <w:sz w:val="20"/>
                            <w:szCs w:val="20"/>
                          </w:rPr>
                          <w:alias w:val="Title"/>
                          <w:tag w:val=""/>
                          <w:id w:val="-1562625967"/>
                          <w:dataBinding w:prefixMappings="xmlns:ns0='http://purl.org/dc/elements/1.1/' xmlns:ns1='http://schemas.openxmlformats.org/package/2006/metadata/core-properties' " w:xpath="/ns1:coreProperties[1]/ns0:title[1]" w:storeItemID="{6C3C8BC8-F283-45AE-878A-BAB7291924A1}"/>
                          <w:text/>
                        </w:sdtPr>
                        <w:sdtEndPr/>
                        <w:sdtContent>
                          <w:r w:rsidR="009606E9">
                            <w:rPr>
                              <w:caps/>
                              <w:color w:val="B5333C" w:themeColor="accent2"/>
                              <w:sz w:val="20"/>
                              <w:szCs w:val="20"/>
                            </w:rPr>
                            <w:t>ECC/HANH 2024 MTW Annual Report</w:t>
                          </w:r>
                        </w:sdtContent>
                      </w:sdt>
                      <w:r w:rsidR="009F26DD">
                        <w:rPr>
                          <w:caps/>
                          <w:color w:val="808080" w:themeColor="background1" w:themeShade="80"/>
                          <w:sz w:val="20"/>
                          <w:szCs w:val="20"/>
                        </w:rPr>
                        <w:t> |</w:t>
                      </w:r>
                      <w:r w:rsidR="009F26DD" w:rsidRPr="00026C59">
                        <w:rPr>
                          <w:caps/>
                          <w:color w:val="808080" w:themeColor="background1" w:themeShade="80"/>
                          <w:sz w:val="20"/>
                          <w:szCs w:val="20"/>
                        </w:rPr>
                        <w:fldChar w:fldCharType="begin"/>
                      </w:r>
                      <w:r w:rsidR="009F26DD" w:rsidRPr="00026C59">
                        <w:rPr>
                          <w:caps/>
                          <w:color w:val="808080" w:themeColor="background1" w:themeShade="80"/>
                          <w:sz w:val="20"/>
                          <w:szCs w:val="20"/>
                        </w:rPr>
                        <w:instrText xml:space="preserve"> PAGE   \* MERGEFORMAT </w:instrText>
                      </w:r>
                      <w:r w:rsidR="009F26DD" w:rsidRPr="00026C59">
                        <w:rPr>
                          <w:caps/>
                          <w:color w:val="808080" w:themeColor="background1" w:themeShade="80"/>
                          <w:sz w:val="20"/>
                          <w:szCs w:val="20"/>
                        </w:rPr>
                        <w:fldChar w:fldCharType="separate"/>
                      </w:r>
                      <w:r w:rsidR="009F26DD">
                        <w:rPr>
                          <w:caps/>
                          <w:noProof/>
                          <w:color w:val="808080" w:themeColor="background1" w:themeShade="80"/>
                          <w:sz w:val="20"/>
                          <w:szCs w:val="20"/>
                        </w:rPr>
                        <w:t>20</w:t>
                      </w:r>
                      <w:r w:rsidR="009F26DD" w:rsidRPr="00026C59">
                        <w:rPr>
                          <w:caps/>
                          <w:noProof/>
                          <w:color w:val="808080" w:themeColor="background1" w:themeShade="80"/>
                          <w:sz w:val="20"/>
                          <w:szCs w:val="20"/>
                        </w:rPr>
                        <w:fldChar w:fldCharType="end"/>
                      </w:r>
                      <w:r w:rsidR="009F26DD">
                        <w:rPr>
                          <w:caps/>
                          <w:color w:val="808080" w:themeColor="background1" w:themeShade="80"/>
                          <w:sz w:val="20"/>
                          <w:szCs w:val="20"/>
                        </w:rPr>
                        <w:t> </w:t>
                      </w:r>
                      <w:sdt>
                        <w:sdtPr>
                          <w:rPr>
                            <w:color w:val="808080" w:themeColor="background1" w:themeShade="80"/>
                            <w:sz w:val="20"/>
                            <w:szCs w:val="20"/>
                          </w:rPr>
                          <w:alias w:val="Subtitle"/>
                          <w:tag w:val=""/>
                          <w:id w:val="-987855893"/>
                          <w:showingPlcHdr/>
                          <w:dataBinding w:prefixMappings="xmlns:ns0='http://purl.org/dc/elements/1.1/' xmlns:ns1='http://schemas.openxmlformats.org/package/2006/metadata/core-properties' " w:xpath="/ns1:coreProperties[1]/ns0:subject[1]" w:storeItemID="{6C3C8BC8-F283-45AE-878A-BAB7291924A1}"/>
                          <w:text/>
                        </w:sdtPr>
                        <w:sdtEndPr/>
                        <w:sdtContent>
                          <w:r w:rsidR="009F26DD">
                            <w:rPr>
                              <w:color w:val="808080" w:themeColor="background1" w:themeShade="80"/>
                              <w:sz w:val="20"/>
                              <w:szCs w:val="20"/>
                            </w:rPr>
                            <w:t xml:space="preserve">     </w:t>
                          </w:r>
                        </w:sdtContent>
                      </w:sdt>
                    </w:p>
                  </w:txbxContent>
                </v:textbox>
              </v:shape>
              <w10:wrap anchorx="page"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D6542C" w:themeColor="accent4"/>
      </w:tblBorders>
      <w:tblLook w:val="04A0" w:firstRow="1" w:lastRow="0" w:firstColumn="1" w:lastColumn="0" w:noHBand="0" w:noVBand="1"/>
    </w:tblPr>
    <w:tblGrid>
      <w:gridCol w:w="2868"/>
      <w:gridCol w:w="7932"/>
    </w:tblGrid>
    <w:tr w:rsidR="009F26DD" w:rsidRPr="004D7DC3" w14:paraId="53BF8AC5" w14:textId="77777777" w:rsidTr="00310FD8">
      <w:trPr>
        <w:trHeight w:val="257"/>
      </w:trPr>
      <w:tc>
        <w:tcPr>
          <w:tcW w:w="1328" w:type="pct"/>
          <w:shd w:val="clear" w:color="auto" w:fill="D6542C" w:themeFill="accent4"/>
        </w:tcPr>
        <w:p w14:paraId="60E2D1F6" w14:textId="77777777" w:rsidR="009F26DD" w:rsidRPr="004D7DC3" w:rsidRDefault="009F26DD">
          <w:pPr>
            <w:pStyle w:val="Footer"/>
            <w:rPr>
              <w:color w:val="FFFFFF" w:themeColor="background1"/>
              <w:sz w:val="23"/>
              <w:szCs w:val="23"/>
            </w:rPr>
          </w:pPr>
          <w:r w:rsidRPr="004D7DC3">
            <w:rPr>
              <w:sz w:val="23"/>
              <w:szCs w:val="23"/>
            </w:rPr>
            <w:fldChar w:fldCharType="begin"/>
          </w:r>
          <w:r w:rsidRPr="004D7DC3">
            <w:rPr>
              <w:sz w:val="23"/>
              <w:szCs w:val="23"/>
            </w:rPr>
            <w:instrText xml:space="preserve"> PAGE   \* MERGEFORMAT </w:instrText>
          </w:r>
          <w:r w:rsidRPr="004D7DC3">
            <w:rPr>
              <w:sz w:val="23"/>
              <w:szCs w:val="23"/>
            </w:rPr>
            <w:fldChar w:fldCharType="separate"/>
          </w:r>
          <w:r w:rsidRPr="00972D57">
            <w:rPr>
              <w:noProof/>
              <w:color w:val="FFFFFF" w:themeColor="background1"/>
              <w:sz w:val="23"/>
              <w:szCs w:val="23"/>
            </w:rPr>
            <w:t>126</w:t>
          </w:r>
          <w:r w:rsidRPr="004D7DC3">
            <w:rPr>
              <w:sz w:val="23"/>
              <w:szCs w:val="23"/>
            </w:rPr>
            <w:fldChar w:fldCharType="end"/>
          </w:r>
        </w:p>
      </w:tc>
      <w:tc>
        <w:tcPr>
          <w:tcW w:w="3672" w:type="pct"/>
        </w:tcPr>
        <w:p w14:paraId="789DAB3F" w14:textId="4F163C28" w:rsidR="009F26DD" w:rsidRPr="004D7DC3" w:rsidRDefault="009F26DD" w:rsidP="00310FD8">
          <w:pPr>
            <w:pStyle w:val="Footer"/>
            <w:jc w:val="right"/>
            <w:rPr>
              <w:sz w:val="23"/>
              <w:szCs w:val="23"/>
            </w:rPr>
          </w:pPr>
          <w:r w:rsidRPr="004D7DC3">
            <w:rPr>
              <w:sz w:val="17"/>
              <w:szCs w:val="17"/>
            </w:rPr>
            <w:t>ECC/HANH</w:t>
          </w:r>
          <w:r>
            <w:rPr>
              <w:sz w:val="17"/>
              <w:szCs w:val="17"/>
            </w:rPr>
            <w:t xml:space="preserve"> MTW </w:t>
          </w:r>
          <w:r w:rsidR="00D14DC0">
            <w:rPr>
              <w:sz w:val="17"/>
              <w:szCs w:val="17"/>
            </w:rPr>
            <w:t>FY</w:t>
          </w:r>
          <w:r w:rsidR="00C26243">
            <w:rPr>
              <w:sz w:val="17"/>
              <w:szCs w:val="17"/>
            </w:rPr>
            <w:t>20</w:t>
          </w:r>
          <w:r w:rsidR="00D14DC0">
            <w:rPr>
              <w:sz w:val="17"/>
              <w:szCs w:val="17"/>
            </w:rPr>
            <w:t>2</w:t>
          </w:r>
          <w:r w:rsidR="00C26243">
            <w:rPr>
              <w:sz w:val="17"/>
              <w:szCs w:val="17"/>
            </w:rPr>
            <w:t>4</w:t>
          </w:r>
          <w:r w:rsidR="00D14DC0">
            <w:rPr>
              <w:sz w:val="17"/>
              <w:szCs w:val="17"/>
            </w:rPr>
            <w:t xml:space="preserve"> </w:t>
          </w:r>
          <w:r>
            <w:rPr>
              <w:sz w:val="17"/>
              <w:szCs w:val="17"/>
            </w:rPr>
            <w:t>Report</w:t>
          </w:r>
        </w:p>
      </w:tc>
    </w:tr>
  </w:tbl>
  <w:p w14:paraId="763B7D35" w14:textId="77777777" w:rsidR="009F26DD" w:rsidRPr="004D7DC3" w:rsidRDefault="009F26DD">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E7A21" w14:textId="77777777" w:rsidR="00514BA9" w:rsidRDefault="00514BA9" w:rsidP="00195253">
      <w:r>
        <w:separator/>
      </w:r>
    </w:p>
  </w:footnote>
  <w:footnote w:type="continuationSeparator" w:id="0">
    <w:p w14:paraId="5E210AFE" w14:textId="77777777" w:rsidR="00514BA9" w:rsidRDefault="00514BA9" w:rsidP="00195253">
      <w:r>
        <w:continuationSeparator/>
      </w:r>
    </w:p>
  </w:footnote>
  <w:footnote w:type="continuationNotice" w:id="1">
    <w:p w14:paraId="5239912F" w14:textId="77777777" w:rsidR="00514BA9" w:rsidRDefault="00514BA9"/>
  </w:footnote>
  <w:footnote w:id="2">
    <w:p w14:paraId="79AA83EF" w14:textId="77777777" w:rsidR="009F26DD" w:rsidRPr="007356FD" w:rsidRDefault="009F26DD" w:rsidP="00006001">
      <w:pPr>
        <w:pStyle w:val="FootnoteText"/>
        <w:rPr>
          <w:rFonts w:ascii="Calibri" w:hAnsi="Calibri" w:cs="Calibri"/>
          <w:sz w:val="14"/>
          <w:szCs w:val="14"/>
        </w:rPr>
      </w:pPr>
      <w:r w:rsidRPr="009027FB">
        <w:rPr>
          <w:rStyle w:val="FootnoteReference"/>
          <w:rFonts w:eastAsiaTheme="majorEastAsia" w:cs="Calibri"/>
          <w:sz w:val="14"/>
          <w:szCs w:val="14"/>
        </w:rPr>
        <w:footnoteRef/>
      </w:r>
      <w:r w:rsidRPr="007356FD">
        <w:rPr>
          <w:rFonts w:ascii="Calibri" w:hAnsi="Calibri" w:cs="Calibri"/>
          <w:sz w:val="14"/>
          <w:szCs w:val="14"/>
        </w:rPr>
        <w:t xml:space="preserve"> Project completed</w:t>
      </w:r>
    </w:p>
  </w:footnote>
  <w:footnote w:id="3">
    <w:p w14:paraId="19F9613C" w14:textId="77777777" w:rsidR="009F26DD" w:rsidRPr="007356FD" w:rsidRDefault="009F26DD" w:rsidP="00006001">
      <w:pPr>
        <w:pStyle w:val="FootnoteText"/>
        <w:rPr>
          <w:rFonts w:ascii="Calibri" w:hAnsi="Calibri" w:cs="Calibri"/>
          <w:sz w:val="14"/>
          <w:szCs w:val="14"/>
        </w:rPr>
      </w:pPr>
      <w:r w:rsidRPr="007356FD">
        <w:rPr>
          <w:rFonts w:ascii="Calibri" w:hAnsi="Calibri" w:cs="Calibri"/>
          <w:sz w:val="14"/>
          <w:szCs w:val="14"/>
          <w:vertAlign w:val="superscript"/>
        </w:rPr>
        <w:t xml:space="preserve">4 </w:t>
      </w:r>
      <w:r w:rsidRPr="007356FD">
        <w:rPr>
          <w:rFonts w:ascii="Calibri" w:hAnsi="Calibri" w:cs="Calibri"/>
          <w:sz w:val="14"/>
          <w:szCs w:val="14"/>
        </w:rPr>
        <w:t>Project completed</w:t>
      </w:r>
    </w:p>
  </w:footnote>
  <w:footnote w:id="4">
    <w:p w14:paraId="0F13F1B9" w14:textId="77777777" w:rsidR="009F26DD" w:rsidRPr="007356FD" w:rsidRDefault="009F26DD" w:rsidP="00006001">
      <w:pPr>
        <w:pStyle w:val="FootnoteText"/>
        <w:rPr>
          <w:rFonts w:ascii="Calibri" w:hAnsi="Calibri" w:cs="Calibri"/>
          <w:sz w:val="14"/>
          <w:szCs w:val="14"/>
        </w:rPr>
      </w:pPr>
      <w:r w:rsidRPr="007356FD">
        <w:rPr>
          <w:rStyle w:val="FootnoteReference"/>
          <w:rFonts w:eastAsiaTheme="majorEastAsia" w:cs="Calibri"/>
          <w:sz w:val="14"/>
          <w:szCs w:val="14"/>
        </w:rPr>
        <w:footnoteRef/>
      </w:r>
      <w:r w:rsidRPr="007356FD">
        <w:rPr>
          <w:rFonts w:ascii="Calibri" w:hAnsi="Calibri" w:cs="Calibri"/>
          <w:sz w:val="14"/>
          <w:szCs w:val="14"/>
        </w:rPr>
        <w:t xml:space="preserve"> Project not being pursued</w:t>
      </w:r>
    </w:p>
  </w:footnote>
  <w:footnote w:id="5">
    <w:p w14:paraId="2A92DB6B" w14:textId="49A83B4C" w:rsidR="009F26DD" w:rsidRPr="001952E4" w:rsidRDefault="009F26DD" w:rsidP="001952E4">
      <w:pPr>
        <w:pStyle w:val="FootnoteText"/>
        <w:rPr>
          <w:rFonts w:ascii="Calibri" w:hAnsi="Calibri" w:cs="Calibri"/>
          <w:sz w:val="14"/>
          <w:szCs w:val="14"/>
        </w:rPr>
      </w:pPr>
      <w:r w:rsidRPr="1BFD148E">
        <w:rPr>
          <w:rStyle w:val="FootnoteReference"/>
        </w:rPr>
        <w:footnoteRef/>
      </w:r>
      <w:r w:rsidRPr="001952E4">
        <w:rPr>
          <w:rFonts w:ascii="Times New Roman" w:hAnsi="Times New Roman"/>
          <w:sz w:val="18"/>
          <w:szCs w:val="18"/>
        </w:rPr>
        <w:t xml:space="preserve"> </w:t>
      </w:r>
      <w:r w:rsidRPr="001952E4">
        <w:rPr>
          <w:rFonts w:ascii="Calibri" w:hAnsi="Calibri" w:cs="Calibri"/>
          <w:sz w:val="14"/>
          <w:szCs w:val="14"/>
        </w:rPr>
        <w:t xml:space="preserve">During FY2021 this initiative was implemented as a soft launch.  Full implementation during FY2022 </w:t>
      </w:r>
    </w:p>
  </w:footnote>
  <w:footnote w:id="6">
    <w:p w14:paraId="0B2CFF28" w14:textId="77777777" w:rsidR="009F26DD" w:rsidRPr="007356FD" w:rsidRDefault="009F26DD" w:rsidP="00006001">
      <w:pPr>
        <w:pStyle w:val="FootnoteText"/>
        <w:rPr>
          <w:rFonts w:ascii="Calibri" w:hAnsi="Calibri" w:cs="Calibri"/>
          <w:sz w:val="14"/>
          <w:szCs w:val="14"/>
        </w:rPr>
      </w:pPr>
      <w:r w:rsidRPr="007356FD">
        <w:rPr>
          <w:rStyle w:val="FootnoteReference"/>
          <w:rFonts w:eastAsiaTheme="majorEastAsia" w:cs="Calibri"/>
          <w:sz w:val="14"/>
          <w:szCs w:val="14"/>
        </w:rPr>
        <w:footnoteRef/>
      </w:r>
      <w:r w:rsidRPr="007356FD">
        <w:rPr>
          <w:rFonts w:ascii="Calibri" w:hAnsi="Calibri" w:cs="Calibri"/>
          <w:sz w:val="14"/>
          <w:szCs w:val="14"/>
        </w:rPr>
        <w:t xml:space="preserve"> Initiative no longer requires MTW flexibility</w:t>
      </w:r>
    </w:p>
  </w:footnote>
  <w:footnote w:id="7">
    <w:p w14:paraId="584556CE" w14:textId="77777777" w:rsidR="009F26DD" w:rsidRPr="007356FD" w:rsidRDefault="009F26DD" w:rsidP="00006001">
      <w:pPr>
        <w:pStyle w:val="FootnoteText"/>
        <w:rPr>
          <w:rFonts w:ascii="Calibri" w:hAnsi="Calibri" w:cs="Calibri"/>
          <w:sz w:val="14"/>
          <w:szCs w:val="14"/>
        </w:rPr>
      </w:pPr>
      <w:r w:rsidRPr="007356FD">
        <w:rPr>
          <w:rStyle w:val="FootnoteReference"/>
          <w:rFonts w:eastAsiaTheme="majorEastAsia" w:cs="Calibri"/>
          <w:sz w:val="14"/>
          <w:szCs w:val="14"/>
        </w:rPr>
        <w:footnoteRef/>
      </w:r>
      <w:r w:rsidRPr="007356FD">
        <w:rPr>
          <w:rFonts w:ascii="Calibri" w:hAnsi="Calibri" w:cs="Calibri"/>
          <w:sz w:val="14"/>
          <w:szCs w:val="14"/>
        </w:rPr>
        <w:t xml:space="preserve"> Initiative was revised and relaunched as item 3.5</w:t>
      </w:r>
    </w:p>
  </w:footnote>
  <w:footnote w:id="8">
    <w:p w14:paraId="771FFC4B" w14:textId="77777777" w:rsidR="009F26DD" w:rsidRPr="007356FD" w:rsidRDefault="009F26DD" w:rsidP="00006001">
      <w:pPr>
        <w:pStyle w:val="FootnoteText"/>
        <w:rPr>
          <w:sz w:val="14"/>
          <w:szCs w:val="14"/>
        </w:rPr>
      </w:pPr>
      <w:r w:rsidRPr="007356FD">
        <w:rPr>
          <w:rStyle w:val="FootnoteReference"/>
          <w:rFonts w:eastAsiaTheme="majorEastAsia" w:cs="Calibri"/>
          <w:sz w:val="14"/>
          <w:szCs w:val="14"/>
        </w:rPr>
        <w:footnoteRef/>
      </w:r>
      <w:r w:rsidRPr="007356FD">
        <w:rPr>
          <w:rFonts w:ascii="Calibri" w:hAnsi="Calibri" w:cs="Calibri"/>
          <w:sz w:val="14"/>
          <w:szCs w:val="14"/>
        </w:rPr>
        <w:t xml:space="preserve"> Initiative does not require MTW flexibility</w:t>
      </w:r>
    </w:p>
  </w:footnote>
  <w:footnote w:id="9">
    <w:p w14:paraId="0CF95A60" w14:textId="77777777" w:rsidR="00EF7CEC" w:rsidRPr="00F467EC" w:rsidRDefault="00EF7CEC" w:rsidP="00EF7CEC">
      <w:pPr>
        <w:pStyle w:val="FootnoteText"/>
        <w:rPr>
          <w:rFonts w:ascii="Century Gothic" w:hAnsi="Century Gothic"/>
        </w:rPr>
      </w:pPr>
      <w:r w:rsidRPr="00F467EC">
        <w:rPr>
          <w:rStyle w:val="FootnoteReference"/>
          <w:rFonts w:ascii="Century Gothic" w:eastAsiaTheme="majorEastAsia" w:hAnsi="Century Gothic"/>
          <w:sz w:val="14"/>
          <w:szCs w:val="14"/>
        </w:rPr>
        <w:footnoteRef/>
      </w:r>
      <w:r w:rsidRPr="00F467EC">
        <w:rPr>
          <w:rFonts w:ascii="Century Gothic" w:hAnsi="Century Gothic"/>
          <w:sz w:val="14"/>
          <w:szCs w:val="14"/>
        </w:rPr>
        <w:t xml:space="preserve"> Redevelopment completed</w:t>
      </w:r>
    </w:p>
  </w:footnote>
  <w:footnote w:id="10">
    <w:p w14:paraId="41880BD2" w14:textId="77777777" w:rsidR="00D10381" w:rsidRPr="007356FD" w:rsidRDefault="00D10381" w:rsidP="00EF7CEC">
      <w:pPr>
        <w:pStyle w:val="FootnoteText"/>
        <w:rPr>
          <w:rFonts w:ascii="Calibri" w:hAnsi="Calibri" w:cs="Calibri"/>
          <w:sz w:val="14"/>
          <w:szCs w:val="14"/>
        </w:rPr>
      </w:pPr>
      <w:r w:rsidRPr="00F467EC">
        <w:rPr>
          <w:rStyle w:val="FootnoteReference"/>
          <w:rFonts w:ascii="Century Gothic" w:eastAsiaTheme="majorEastAsia" w:hAnsi="Century Gothic" w:cs="Calibri"/>
          <w:sz w:val="14"/>
          <w:szCs w:val="14"/>
        </w:rPr>
        <w:footnoteRef/>
      </w:r>
      <w:r w:rsidRPr="00F467EC">
        <w:rPr>
          <w:rFonts w:ascii="Century Gothic" w:hAnsi="Century Gothic" w:cs="Calibri"/>
          <w:sz w:val="14"/>
          <w:szCs w:val="14"/>
        </w:rPr>
        <w:t xml:space="preserve"> Moved to “MTW Initiatives Requiring Funding Flexibility Only”</w:t>
      </w:r>
    </w:p>
  </w:footnote>
  <w:footnote w:id="11">
    <w:p w14:paraId="22C0F6E1" w14:textId="6F3F40D1" w:rsidR="009F26DD" w:rsidRPr="00C97C7D" w:rsidRDefault="009F26DD">
      <w:pPr>
        <w:pStyle w:val="FootnoteText"/>
        <w:rPr>
          <w:sz w:val="18"/>
          <w:szCs w:val="20"/>
        </w:rPr>
      </w:pPr>
      <w:r w:rsidRPr="00C97C7D">
        <w:rPr>
          <w:rStyle w:val="FootnoteReference"/>
          <w:sz w:val="18"/>
          <w:szCs w:val="20"/>
        </w:rPr>
        <w:footnoteRef/>
      </w:r>
      <w:r w:rsidRPr="00C97C7D">
        <w:rPr>
          <w:sz w:val="18"/>
          <w:szCs w:val="20"/>
        </w:rPr>
        <w:t xml:space="preserve"> 1,124 LIPH units and 1,122 PBV and RAD redeveloped replacement units</w:t>
      </w:r>
    </w:p>
    <w:p w14:paraId="5CBCBA38" w14:textId="77777777" w:rsidR="009F26DD" w:rsidRDefault="009F26DD">
      <w:pPr>
        <w:pStyle w:val="FootnoteText"/>
      </w:pPr>
    </w:p>
  </w:footnote>
  <w:footnote w:id="12">
    <w:p w14:paraId="1218707B" w14:textId="77777777" w:rsidR="009F26DD" w:rsidRPr="006A59F9" w:rsidRDefault="009F26DD" w:rsidP="00193B19">
      <w:pPr>
        <w:pStyle w:val="FootnoteText"/>
        <w:rPr>
          <w:rFonts w:ascii="Times New Roman" w:hAnsi="Times New Roman"/>
        </w:rPr>
      </w:pPr>
      <w:r w:rsidRPr="006A59F9">
        <w:rPr>
          <w:rStyle w:val="FootnoteReference"/>
          <w:rFonts w:ascii="Times New Roman" w:hAnsi="Times New Roman"/>
        </w:rPr>
        <w:footnoteRef/>
      </w:r>
      <w:r w:rsidRPr="006A59F9">
        <w:rPr>
          <w:rFonts w:ascii="Times New Roman" w:hAnsi="Times New Roman"/>
        </w:rPr>
        <w:t xml:space="preserve"> </w:t>
      </w:r>
      <w:r w:rsidRPr="00F60F30">
        <w:rPr>
          <w:rFonts w:ascii="Times New Roman" w:hAnsi="Times New Roman"/>
        </w:rPr>
        <w:t>1,124 LIPH units and 1,122 PBV and RAD redeveloped replacement units</w:t>
      </w:r>
    </w:p>
    <w:p w14:paraId="4E9FDF32" w14:textId="77777777" w:rsidR="009F26DD" w:rsidRDefault="009F26DD" w:rsidP="00193B19">
      <w:pPr>
        <w:pStyle w:val="FootnoteText"/>
      </w:pPr>
    </w:p>
  </w:footnote>
  <w:footnote w:id="13">
    <w:p w14:paraId="5666CBD2" w14:textId="65F31204" w:rsidR="00487DFC" w:rsidRPr="00487DFC" w:rsidRDefault="00487DFC" w:rsidP="00487DFC">
      <w:pPr>
        <w:spacing w:before="240"/>
        <w:rPr>
          <w:sz w:val="18"/>
          <w:szCs w:val="18"/>
        </w:rPr>
      </w:pPr>
      <w:bookmarkStart w:id="111" w:name="_Hlk185436849"/>
      <w:r w:rsidRPr="00487DFC">
        <w:rPr>
          <w:sz w:val="18"/>
          <w:szCs w:val="18"/>
          <w:vertAlign w:val="superscript"/>
        </w:rPr>
        <w:footnoteRef/>
      </w:r>
      <w:r w:rsidRPr="00487DFC">
        <w:rPr>
          <w:sz w:val="18"/>
          <w:szCs w:val="18"/>
        </w:rPr>
        <w:t xml:space="preserve"> </w:t>
      </w:r>
      <w:r w:rsidRPr="00487DFC">
        <w:rPr>
          <w:bCs/>
          <w:i/>
          <w:iCs/>
          <w:sz w:val="18"/>
          <w:szCs w:val="18"/>
        </w:rPr>
        <w:t xml:space="preserve">FY24 HANH divided the total number of Project Based Vouchers into the Total Voucher Authorization to come up with the percentage of Non-RAD PBV </w:t>
      </w:r>
      <w:r w:rsidR="00A54300" w:rsidRPr="00487DFC">
        <w:rPr>
          <w:bCs/>
          <w:i/>
          <w:iCs/>
          <w:sz w:val="18"/>
          <w:szCs w:val="18"/>
        </w:rPr>
        <w:t xml:space="preserve">units, </w:t>
      </w:r>
      <w:r w:rsidR="00AB1D9C" w:rsidRPr="00487DFC">
        <w:rPr>
          <w:bCs/>
          <w:i/>
          <w:iCs/>
          <w:sz w:val="18"/>
          <w:szCs w:val="18"/>
        </w:rPr>
        <w:t>(610</w:t>
      </w:r>
      <w:r w:rsidRPr="00487DFC">
        <w:rPr>
          <w:bCs/>
          <w:i/>
          <w:iCs/>
          <w:sz w:val="18"/>
          <w:szCs w:val="18"/>
        </w:rPr>
        <w:t>/4906)</w:t>
      </w:r>
      <w:bookmarkEnd w:id="111"/>
      <w:r w:rsidR="001F3C7E">
        <w:rPr>
          <w:bCs/>
          <w:i/>
          <w:iCs/>
          <w:sz w:val="18"/>
          <w:szCs w:val="18"/>
        </w:rPr>
        <w:t>.  There was a decrease in PBVs from the previous year.</w:t>
      </w:r>
    </w:p>
    <w:p w14:paraId="4EB80D5D" w14:textId="3FF75B49" w:rsidR="008B2CA4" w:rsidRPr="00573A4E" w:rsidRDefault="008B2CA4" w:rsidP="008B2CA4">
      <w:pPr>
        <w:rPr>
          <w:rFonts w:ascii="Century Gothic" w:hAnsi="Century Gothic"/>
          <w:i/>
          <w:iCs/>
          <w:sz w:val="18"/>
          <w:szCs w:val="18"/>
        </w:rPr>
      </w:pPr>
      <w:r>
        <w:rPr>
          <w:rFonts w:ascii="Century Gothic" w:hAnsi="Century Gothic"/>
          <w:i/>
          <w:iCs/>
          <w:sz w:val="18"/>
          <w:szCs w:val="18"/>
        </w:rPr>
        <w:t>*</w:t>
      </w:r>
      <w:r w:rsidRPr="00573A4E">
        <w:rPr>
          <w:rFonts w:ascii="Century Gothic" w:hAnsi="Century Gothic"/>
          <w:i/>
          <w:iCs/>
          <w:sz w:val="18"/>
          <w:szCs w:val="18"/>
        </w:rPr>
        <w:t>FY2024 – LIPH Units (821) + LIHTC PBV (307) + LIHTC RAD/PBV (1689) = 2817</w:t>
      </w:r>
    </w:p>
    <w:p w14:paraId="33787C5F" w14:textId="77777777" w:rsidR="00164259" w:rsidRPr="00D77970" w:rsidRDefault="00164259" w:rsidP="002629D5">
      <w:pPr>
        <w:spacing w:before="240"/>
        <w:rPr>
          <w:rFonts w:ascii="Times New Roman" w:hAnsi="Times New Roman"/>
          <w:sz w:val="16"/>
          <w:szCs w:val="16"/>
        </w:rPr>
      </w:pPr>
    </w:p>
    <w:p w14:paraId="63F654E5" w14:textId="0206E02D" w:rsidR="009F26DD" w:rsidRDefault="009F26DD">
      <w:pPr>
        <w:pStyle w:val="FootnoteText"/>
      </w:pPr>
    </w:p>
  </w:footnote>
  <w:footnote w:id="14">
    <w:p w14:paraId="6ECB9BC4" w14:textId="5EF21946" w:rsidR="009F26DD" w:rsidRPr="009978A2" w:rsidRDefault="009F26DD">
      <w:pPr>
        <w:pStyle w:val="FootnoteText"/>
        <w:rPr>
          <w:sz w:val="18"/>
          <w:szCs w:val="18"/>
        </w:rPr>
      </w:pPr>
      <w:r w:rsidRPr="009978A2">
        <w:rPr>
          <w:rStyle w:val="FootnoteReference"/>
          <w:sz w:val="18"/>
          <w:szCs w:val="18"/>
        </w:rPr>
        <w:footnoteRef/>
      </w:r>
      <w:r w:rsidRPr="009978A2">
        <w:rPr>
          <w:sz w:val="18"/>
          <w:szCs w:val="18"/>
        </w:rPr>
        <w:t xml:space="preserve"> Total number of annual staff time for HCV includes all HCV certs under Rent Simplification. Number of units where rent simplification is not utilized were backed out of the total annual cert count. </w:t>
      </w:r>
    </w:p>
  </w:footnote>
  <w:footnote w:id="15">
    <w:p w14:paraId="5219861A" w14:textId="77777777" w:rsidR="006D2F09" w:rsidRPr="006246FF" w:rsidRDefault="006D2F09" w:rsidP="006D2F09">
      <w:pPr>
        <w:pStyle w:val="FootnoteText"/>
        <w:rPr>
          <w:rFonts w:ascii="Century Gothic" w:hAnsi="Century Gothic"/>
        </w:rPr>
      </w:pPr>
      <w:r w:rsidRPr="006246FF">
        <w:rPr>
          <w:rStyle w:val="FootnoteReference"/>
          <w:rFonts w:ascii="Century Gothic" w:hAnsi="Century Gothic"/>
        </w:rPr>
        <w:footnoteRef/>
      </w:r>
      <w:r w:rsidRPr="006246FF">
        <w:rPr>
          <w:rFonts w:ascii="Century Gothic" w:hAnsi="Century Gothic"/>
        </w:rPr>
        <w:t xml:space="preserve"> </w:t>
      </w:r>
      <w:r w:rsidRPr="006246FF">
        <w:rPr>
          <w:rFonts w:ascii="Century Gothic" w:hAnsi="Century Gothic"/>
          <w:sz w:val="16"/>
        </w:rPr>
        <w:t xml:space="preserve">Public Housing Units at Eastview Terrace has since converted to RAD. </w:t>
      </w:r>
    </w:p>
  </w:footnote>
  <w:footnote w:id="16">
    <w:p w14:paraId="2FCEB04D" w14:textId="77777777" w:rsidR="00034C9C" w:rsidRDefault="00034C9C" w:rsidP="00034C9C">
      <w:pPr>
        <w:pStyle w:val="FootnoteText"/>
        <w:rPr>
          <w:sz w:val="16"/>
          <w:szCs w:val="16"/>
        </w:rPr>
      </w:pPr>
      <w:r w:rsidRPr="492303B8">
        <w:rPr>
          <w:rStyle w:val="FootnoteReference"/>
          <w:rFonts w:eastAsiaTheme="majorEastAsia"/>
        </w:rPr>
        <w:footnoteRef/>
      </w:r>
      <w:r>
        <w:t xml:space="preserve"> </w:t>
      </w:r>
      <w:r w:rsidRPr="492303B8">
        <w:rPr>
          <w:sz w:val="16"/>
          <w:szCs w:val="16"/>
        </w:rPr>
        <w:t>FMRs will be adjusted annually.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68EEC" w14:textId="77777777" w:rsidR="00074573" w:rsidRDefault="000745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2"/>
      <w:gridCol w:w="3312"/>
      <w:gridCol w:w="3312"/>
    </w:tblGrid>
    <w:tr w:rsidR="009F26DD" w14:paraId="14A20200" w14:textId="77777777" w:rsidTr="73C1F772">
      <w:tc>
        <w:tcPr>
          <w:tcW w:w="3312" w:type="dxa"/>
        </w:tcPr>
        <w:p w14:paraId="4441AFD2" w14:textId="5C2B9419" w:rsidR="009F26DD" w:rsidRDefault="009F26DD" w:rsidP="73C1F772">
          <w:pPr>
            <w:pStyle w:val="Header"/>
            <w:ind w:left="-115"/>
          </w:pPr>
        </w:p>
      </w:tc>
      <w:tc>
        <w:tcPr>
          <w:tcW w:w="3312" w:type="dxa"/>
        </w:tcPr>
        <w:p w14:paraId="2728F6CC" w14:textId="082DE464" w:rsidR="009F26DD" w:rsidRDefault="009F26DD" w:rsidP="73C1F772">
          <w:pPr>
            <w:pStyle w:val="Header"/>
            <w:jc w:val="center"/>
          </w:pPr>
        </w:p>
      </w:tc>
      <w:tc>
        <w:tcPr>
          <w:tcW w:w="3312" w:type="dxa"/>
        </w:tcPr>
        <w:p w14:paraId="45213FB4" w14:textId="2E1246F9" w:rsidR="009F26DD" w:rsidRDefault="009F26DD" w:rsidP="73C1F772">
          <w:pPr>
            <w:pStyle w:val="Header"/>
            <w:ind w:right="-115"/>
            <w:jc w:val="right"/>
          </w:pPr>
        </w:p>
      </w:tc>
    </w:tr>
  </w:tbl>
  <w:p w14:paraId="5D084DAF" w14:textId="305AF694" w:rsidR="009F26DD" w:rsidRDefault="009F26DD" w:rsidP="73C1F7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AE91" w14:textId="188B850A" w:rsidR="00074573" w:rsidRDefault="00074573">
    <w:r w:rsidRPr="00515003">
      <w:drawing>
        <wp:anchor distT="0" distB="0" distL="114300" distR="114300" simplePos="0" relativeHeight="251659267" behindDoc="1" locked="0" layoutInCell="1" allowOverlap="1" wp14:anchorId="407D336D" wp14:editId="68CC148B">
          <wp:simplePos x="0" y="0"/>
          <wp:positionH relativeFrom="margin">
            <wp:align>center</wp:align>
          </wp:positionH>
          <wp:positionV relativeFrom="paragraph">
            <wp:posOffset>-374650</wp:posOffset>
          </wp:positionV>
          <wp:extent cx="7289800" cy="10266045"/>
          <wp:effectExtent l="0" t="0" r="6350" b="1905"/>
          <wp:wrapTight wrapText="bothSides">
            <wp:wrapPolygon edited="0">
              <wp:start x="0" y="0"/>
              <wp:lineTo x="0" y="21564"/>
              <wp:lineTo x="21562" y="21564"/>
              <wp:lineTo x="21562" y="0"/>
              <wp:lineTo x="0" y="0"/>
            </wp:wrapPolygon>
          </wp:wrapTight>
          <wp:docPr id="2043945906" name="Picture 1" descr="A collag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45906" name="Picture 1" descr="A collage of a group of people&#10;&#10;AI-generated content may be incorrect."/>
                  <pic:cNvPicPr/>
                </pic:nvPicPr>
                <pic:blipFill>
                  <a:blip r:embed="rId1"/>
                  <a:stretch>
                    <a:fillRect/>
                  </a:stretch>
                </pic:blipFill>
                <pic:spPr>
                  <a:xfrm>
                    <a:off x="0" y="0"/>
                    <a:ext cx="7289800" cy="10266045"/>
                  </a:xfrm>
                  <a:prstGeom prst="rect">
                    <a:avLst/>
                  </a:prstGeom>
                </pic:spPr>
              </pic:pic>
            </a:graphicData>
          </a:graphic>
          <wp14:sizeRelH relativeFrom="margin">
            <wp14:pctWidth>0</wp14:pctWidth>
          </wp14:sizeRelH>
          <wp14:sizeRelV relativeFrom="margin">
            <wp14:pctHeight>0</wp14:pctHeight>
          </wp14:sizeRelV>
        </wp:anchor>
      </w:drawing>
    </w:r>
  </w:p>
  <w:p w14:paraId="5368F76E" w14:textId="77777777" w:rsidR="00074573" w:rsidRDefault="00074573"/>
  <w:p w14:paraId="14B1F496" w14:textId="77777777" w:rsidR="00074573" w:rsidRDefault="00074573"/>
  <w:p w14:paraId="5EA61031" w14:textId="77777777" w:rsidR="00074573" w:rsidRDefault="00074573"/>
  <w:p w14:paraId="4E469BF8" w14:textId="77777777" w:rsidR="00074573" w:rsidRDefault="00074573"/>
  <w:p w14:paraId="74E76098" w14:textId="2917FE82" w:rsidR="731ECE73" w:rsidRDefault="731ECE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2"/>
      <w:gridCol w:w="3312"/>
      <w:gridCol w:w="3312"/>
    </w:tblGrid>
    <w:tr w:rsidR="009F26DD" w14:paraId="7D2407CF" w14:textId="77777777" w:rsidTr="73C1F772">
      <w:tc>
        <w:tcPr>
          <w:tcW w:w="3312" w:type="dxa"/>
        </w:tcPr>
        <w:p w14:paraId="2C93947E" w14:textId="2DB828F8" w:rsidR="009F26DD" w:rsidRDefault="009F26DD" w:rsidP="73C1F772">
          <w:pPr>
            <w:pStyle w:val="Header"/>
            <w:ind w:left="-115"/>
          </w:pPr>
        </w:p>
      </w:tc>
      <w:tc>
        <w:tcPr>
          <w:tcW w:w="3312" w:type="dxa"/>
        </w:tcPr>
        <w:p w14:paraId="71DC85B2" w14:textId="115528CC" w:rsidR="009F26DD" w:rsidRDefault="009F26DD" w:rsidP="73C1F772">
          <w:pPr>
            <w:pStyle w:val="Header"/>
            <w:jc w:val="center"/>
          </w:pPr>
        </w:p>
      </w:tc>
      <w:tc>
        <w:tcPr>
          <w:tcW w:w="3312" w:type="dxa"/>
        </w:tcPr>
        <w:p w14:paraId="4D0E5E15" w14:textId="147E8B20" w:rsidR="009F26DD" w:rsidRDefault="009F26DD" w:rsidP="73C1F772">
          <w:pPr>
            <w:pStyle w:val="Header"/>
            <w:ind w:right="-115"/>
            <w:jc w:val="right"/>
          </w:pPr>
        </w:p>
      </w:tc>
    </w:tr>
  </w:tbl>
  <w:p w14:paraId="188E5D4E" w14:textId="1FDDA75A" w:rsidR="009F26DD" w:rsidRDefault="009F26DD" w:rsidP="73C1F7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2"/>
      <w:gridCol w:w="3312"/>
      <w:gridCol w:w="3312"/>
    </w:tblGrid>
    <w:tr w:rsidR="009F26DD" w14:paraId="1F91563F" w14:textId="77777777" w:rsidTr="73C1F772">
      <w:tc>
        <w:tcPr>
          <w:tcW w:w="3312" w:type="dxa"/>
        </w:tcPr>
        <w:p w14:paraId="451F2B8B" w14:textId="1508019F" w:rsidR="009F26DD" w:rsidRDefault="009F26DD" w:rsidP="73C1F772">
          <w:pPr>
            <w:pStyle w:val="Header"/>
            <w:ind w:left="-115"/>
          </w:pPr>
        </w:p>
      </w:tc>
      <w:tc>
        <w:tcPr>
          <w:tcW w:w="3312" w:type="dxa"/>
        </w:tcPr>
        <w:p w14:paraId="2DD882FB" w14:textId="6FC1970F" w:rsidR="009F26DD" w:rsidRDefault="009F26DD" w:rsidP="73C1F772">
          <w:pPr>
            <w:pStyle w:val="Header"/>
            <w:jc w:val="center"/>
          </w:pPr>
        </w:p>
      </w:tc>
      <w:tc>
        <w:tcPr>
          <w:tcW w:w="3312" w:type="dxa"/>
        </w:tcPr>
        <w:p w14:paraId="2A1027DD" w14:textId="3E3FCBA2" w:rsidR="009F26DD" w:rsidRDefault="009F26DD" w:rsidP="73C1F772">
          <w:pPr>
            <w:pStyle w:val="Header"/>
            <w:ind w:right="-115"/>
            <w:jc w:val="right"/>
          </w:pPr>
        </w:p>
      </w:tc>
    </w:tr>
  </w:tbl>
  <w:p w14:paraId="64D40652" w14:textId="4D081DB5" w:rsidR="009F26DD" w:rsidRDefault="009F26DD" w:rsidP="73C1F7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0D3D" w14:textId="5687B515" w:rsidR="009F26DD" w:rsidRDefault="009F26DD" w:rsidP="73C1F7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2"/>
      <w:gridCol w:w="3312"/>
      <w:gridCol w:w="3312"/>
    </w:tblGrid>
    <w:tr w:rsidR="009F26DD" w14:paraId="541D5109" w14:textId="77777777" w:rsidTr="73C1F772">
      <w:tc>
        <w:tcPr>
          <w:tcW w:w="3312" w:type="dxa"/>
        </w:tcPr>
        <w:p w14:paraId="5F37101B" w14:textId="58A5C6A7" w:rsidR="009F26DD" w:rsidRDefault="009F26DD" w:rsidP="73C1F772">
          <w:pPr>
            <w:pStyle w:val="Header"/>
            <w:ind w:left="-115"/>
          </w:pPr>
        </w:p>
      </w:tc>
      <w:tc>
        <w:tcPr>
          <w:tcW w:w="3312" w:type="dxa"/>
        </w:tcPr>
        <w:p w14:paraId="27EA0C36" w14:textId="3CEF38FD" w:rsidR="009F26DD" w:rsidRDefault="009F26DD" w:rsidP="73C1F772">
          <w:pPr>
            <w:pStyle w:val="Header"/>
            <w:jc w:val="center"/>
          </w:pPr>
        </w:p>
      </w:tc>
      <w:tc>
        <w:tcPr>
          <w:tcW w:w="3312" w:type="dxa"/>
        </w:tcPr>
        <w:p w14:paraId="165D1998" w14:textId="138C7FC7" w:rsidR="009F26DD" w:rsidRDefault="009F26DD" w:rsidP="73C1F772">
          <w:pPr>
            <w:pStyle w:val="Header"/>
            <w:ind w:right="-115"/>
            <w:jc w:val="right"/>
          </w:pPr>
        </w:p>
      </w:tc>
    </w:tr>
  </w:tbl>
  <w:p w14:paraId="6749DA73" w14:textId="7168B4B6" w:rsidR="009F26DD" w:rsidRDefault="009F26DD" w:rsidP="73C1F7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pStyle w:val="List0"/>
      <w:lvlText w:val="•"/>
      <w:lvlJc w:val="left"/>
      <w:pPr>
        <w:tabs>
          <w:tab w:val="num" w:pos="360"/>
        </w:tabs>
        <w:ind w:left="360" w:firstLine="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 w15:restartNumberingAfterBreak="0">
    <w:nsid w:val="00000002"/>
    <w:multiLevelType w:val="multilevel"/>
    <w:tmpl w:val="894EE874"/>
    <w:lvl w:ilvl="0">
      <w:start w:val="1"/>
      <w:numFmt w:val="bullet"/>
      <w:pStyle w:val="None"/>
      <w:suff w:val="nothing"/>
      <w:lvlText w:val=""/>
      <w:lvlJc w:val="left"/>
      <w:pPr>
        <w:ind w:left="0"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rPr>
    </w:lvl>
    <w:lvl w:ilvl="1">
      <w:start w:val="1"/>
      <w:numFmt w:val="bullet"/>
      <w:lvlText w:val=""/>
      <w:lvlJc w:val="left"/>
      <w:pPr>
        <w:tabs>
          <w:tab w:val="num" w:pos="864"/>
        </w:tabs>
        <w:ind w:left="864"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rPr>
    </w:lvl>
    <w:lvl w:ilvl="2">
      <w:start w:val="1"/>
      <w:numFmt w:val="bullet"/>
      <w:lvlText w:val=""/>
      <w:lvlJc w:val="left"/>
      <w:pPr>
        <w:tabs>
          <w:tab w:val="num" w:pos="1728"/>
        </w:tabs>
        <w:ind w:left="1728"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rPr>
    </w:lvl>
    <w:lvl w:ilvl="3">
      <w:start w:val="1"/>
      <w:numFmt w:val="bullet"/>
      <w:lvlText w:val=""/>
      <w:lvlJc w:val="left"/>
      <w:pPr>
        <w:tabs>
          <w:tab w:val="num" w:pos="2592"/>
        </w:tabs>
        <w:ind w:left="2592"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rPr>
    </w:lvl>
    <w:lvl w:ilvl="4">
      <w:start w:val="1"/>
      <w:numFmt w:val="bullet"/>
      <w:lvlText w:val=""/>
      <w:lvlJc w:val="left"/>
      <w:pPr>
        <w:tabs>
          <w:tab w:val="num" w:pos="3456"/>
        </w:tabs>
        <w:ind w:left="3456"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rPr>
    </w:lvl>
    <w:lvl w:ilvl="5">
      <w:start w:val="1"/>
      <w:numFmt w:val="bullet"/>
      <w:lvlText w:val=""/>
      <w:lvlJc w:val="left"/>
      <w:pPr>
        <w:tabs>
          <w:tab w:val="num" w:pos="4320"/>
        </w:tabs>
        <w:ind w:left="4320"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rPr>
    </w:lvl>
    <w:lvl w:ilvl="6">
      <w:start w:val="1"/>
      <w:numFmt w:val="bullet"/>
      <w:lvlText w:val=""/>
      <w:lvlJc w:val="left"/>
      <w:pPr>
        <w:tabs>
          <w:tab w:val="num" w:pos="5184"/>
        </w:tabs>
        <w:ind w:left="5184"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rPr>
    </w:lvl>
    <w:lvl w:ilvl="7">
      <w:start w:val="1"/>
      <w:numFmt w:val="bullet"/>
      <w:lvlText w:val=""/>
      <w:lvlJc w:val="left"/>
      <w:pPr>
        <w:tabs>
          <w:tab w:val="num" w:pos="6048"/>
        </w:tabs>
        <w:ind w:left="6048"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rPr>
    </w:lvl>
    <w:lvl w:ilvl="8">
      <w:start w:val="1"/>
      <w:numFmt w:val="bullet"/>
      <w:lvlText w:val=""/>
      <w:lvlJc w:val="left"/>
      <w:pPr>
        <w:tabs>
          <w:tab w:val="num" w:pos="6912"/>
        </w:tabs>
        <w:ind w:left="6912"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rPr>
    </w:lvl>
  </w:abstractNum>
  <w:abstractNum w:abstractNumId="2" w15:restartNumberingAfterBreak="0">
    <w:nsid w:val="00000004"/>
    <w:multiLevelType w:val="multilevel"/>
    <w:tmpl w:val="894EE876"/>
    <w:lvl w:ilvl="0">
      <w:start w:val="1"/>
      <w:numFmt w:val="bullet"/>
      <w:pStyle w:val="List1"/>
      <w:lvlText w:val="•"/>
      <w:lvlJc w:val="left"/>
      <w:pPr>
        <w:tabs>
          <w:tab w:val="num" w:pos="360"/>
        </w:tabs>
        <w:ind w:left="360" w:firstLine="0"/>
      </w:pPr>
      <w:rPr>
        <w:position w:val="0"/>
      </w:rPr>
    </w:lvl>
    <w:lvl w:ilvl="1">
      <w:start w:val="1"/>
      <w:numFmt w:val="bullet"/>
      <w:lvlText w:val="•"/>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3" w15:restartNumberingAfterBreak="0">
    <w:nsid w:val="00000006"/>
    <w:multiLevelType w:val="multilevel"/>
    <w:tmpl w:val="894EE878"/>
    <w:lvl w:ilvl="0">
      <w:start w:val="1"/>
      <w:numFmt w:val="bullet"/>
      <w:pStyle w:val="List21"/>
      <w:lvlText w:val="•"/>
      <w:lvlJc w:val="left"/>
      <w:pPr>
        <w:tabs>
          <w:tab w:val="num" w:pos="360"/>
        </w:tabs>
        <w:ind w:left="360" w:firstLine="0"/>
      </w:pPr>
      <w:rPr>
        <w:position w:val="0"/>
      </w:rPr>
    </w:lvl>
    <w:lvl w:ilvl="1">
      <w:start w:val="1"/>
      <w:numFmt w:val="bullet"/>
      <w:lvlText w:val="o"/>
      <w:lvlJc w:val="left"/>
      <w:pPr>
        <w:tabs>
          <w:tab w:val="num" w:pos="360"/>
        </w:tabs>
        <w:ind w:left="360" w:firstLine="720"/>
      </w:pPr>
      <w:rPr>
        <w:position w:val="0"/>
      </w:rPr>
    </w:lvl>
    <w:lvl w:ilvl="2">
      <w:start w:val="1"/>
      <w:numFmt w:val="bullet"/>
      <w:lvlText w:val="•"/>
      <w:lvlJc w:val="left"/>
      <w:pPr>
        <w:tabs>
          <w:tab w:val="num" w:pos="360"/>
        </w:tabs>
        <w:ind w:left="360" w:firstLine="1440"/>
      </w:pPr>
      <w:rPr>
        <w:position w:val="0"/>
      </w:rPr>
    </w:lvl>
    <w:lvl w:ilvl="3">
      <w:start w:val="1"/>
      <w:numFmt w:val="bullet"/>
      <w:lvlText w:val="•"/>
      <w:lvlJc w:val="left"/>
      <w:pPr>
        <w:tabs>
          <w:tab w:val="num" w:pos="360"/>
        </w:tabs>
        <w:ind w:left="360" w:firstLine="2160"/>
      </w:pPr>
      <w:rPr>
        <w:position w:val="0"/>
      </w:rPr>
    </w:lvl>
    <w:lvl w:ilvl="4">
      <w:start w:val="1"/>
      <w:numFmt w:val="bullet"/>
      <w:lvlText w:val="o"/>
      <w:lvlJc w:val="left"/>
      <w:pPr>
        <w:tabs>
          <w:tab w:val="num" w:pos="360"/>
        </w:tabs>
        <w:ind w:left="360" w:firstLine="2880"/>
      </w:pPr>
      <w:rPr>
        <w:position w:val="0"/>
      </w:rPr>
    </w:lvl>
    <w:lvl w:ilvl="5">
      <w:start w:val="1"/>
      <w:numFmt w:val="bullet"/>
      <w:lvlText w:val="•"/>
      <w:lvlJc w:val="left"/>
      <w:pPr>
        <w:tabs>
          <w:tab w:val="num" w:pos="360"/>
        </w:tabs>
        <w:ind w:left="360" w:firstLine="3600"/>
      </w:pPr>
      <w:rPr>
        <w:position w:val="0"/>
      </w:rPr>
    </w:lvl>
    <w:lvl w:ilvl="6">
      <w:start w:val="1"/>
      <w:numFmt w:val="bullet"/>
      <w:lvlText w:val="•"/>
      <w:lvlJc w:val="left"/>
      <w:pPr>
        <w:tabs>
          <w:tab w:val="num" w:pos="360"/>
        </w:tabs>
        <w:ind w:left="360" w:firstLine="4320"/>
      </w:pPr>
      <w:rPr>
        <w:position w:val="0"/>
      </w:rPr>
    </w:lvl>
    <w:lvl w:ilvl="7">
      <w:start w:val="1"/>
      <w:numFmt w:val="bullet"/>
      <w:lvlText w:val="o"/>
      <w:lvlJc w:val="left"/>
      <w:pPr>
        <w:tabs>
          <w:tab w:val="num" w:pos="360"/>
        </w:tabs>
        <w:ind w:left="360" w:firstLine="5040"/>
      </w:pPr>
      <w:rPr>
        <w:position w:val="0"/>
      </w:rPr>
    </w:lvl>
    <w:lvl w:ilvl="8">
      <w:start w:val="1"/>
      <w:numFmt w:val="bullet"/>
      <w:lvlText w:val="•"/>
      <w:lvlJc w:val="left"/>
      <w:pPr>
        <w:tabs>
          <w:tab w:val="num" w:pos="360"/>
        </w:tabs>
        <w:ind w:left="360" w:firstLine="5760"/>
      </w:pPr>
      <w:rPr>
        <w:position w:val="0"/>
      </w:rPr>
    </w:lvl>
  </w:abstractNum>
  <w:abstractNum w:abstractNumId="4" w15:restartNumberingAfterBreak="0">
    <w:nsid w:val="0000000A"/>
    <w:multiLevelType w:val="multilevel"/>
    <w:tmpl w:val="894EE87C"/>
    <w:lvl w:ilvl="0">
      <w:start w:val="1"/>
      <w:numFmt w:val="upperLetter"/>
      <w:pStyle w:val="List31"/>
      <w:lvlText w:val="%1."/>
      <w:lvlJc w:val="left"/>
      <w:pPr>
        <w:tabs>
          <w:tab w:val="num" w:pos="326"/>
        </w:tabs>
        <w:ind w:left="326" w:firstLine="360"/>
      </w:pPr>
      <w:rPr>
        <w:position w:val="0"/>
        <w:sz w:val="20"/>
        <w:szCs w:val="20"/>
      </w:rPr>
    </w:lvl>
    <w:lvl w:ilvl="1">
      <w:start w:val="1"/>
      <w:numFmt w:val="upperRoman"/>
      <w:lvlText w:val="%2."/>
      <w:lvlJc w:val="left"/>
      <w:pPr>
        <w:tabs>
          <w:tab w:val="num" w:pos="720"/>
        </w:tabs>
        <w:ind w:left="720" w:firstLine="1080"/>
      </w:pPr>
      <w:rPr>
        <w:position w:val="0"/>
      </w:rPr>
    </w:lvl>
    <w:lvl w:ilvl="2">
      <w:start w:val="1"/>
      <w:numFmt w:val="lowerRoman"/>
      <w:lvlText w:val="%3."/>
      <w:lvlJc w:val="left"/>
      <w:pPr>
        <w:tabs>
          <w:tab w:val="num" w:pos="249"/>
        </w:tabs>
        <w:ind w:left="249" w:firstLine="1828"/>
      </w:pPr>
      <w:rPr>
        <w:position w:val="0"/>
      </w:rPr>
    </w:lvl>
    <w:lvl w:ilvl="3">
      <w:start w:val="1"/>
      <w:numFmt w:val="decimal"/>
      <w:lvlText w:val="%4."/>
      <w:lvlJc w:val="left"/>
      <w:pPr>
        <w:tabs>
          <w:tab w:val="num" w:pos="270"/>
        </w:tabs>
        <w:ind w:left="270" w:firstLine="2520"/>
      </w:pPr>
    </w:lvl>
    <w:lvl w:ilvl="4">
      <w:start w:val="1"/>
      <w:numFmt w:val="lowerLetter"/>
      <w:lvlText w:val="%5."/>
      <w:lvlJc w:val="left"/>
      <w:pPr>
        <w:tabs>
          <w:tab w:val="num" w:pos="270"/>
        </w:tabs>
        <w:ind w:left="270" w:firstLine="3240"/>
      </w:pPr>
      <w:rPr>
        <w:position w:val="0"/>
      </w:rPr>
    </w:lvl>
    <w:lvl w:ilvl="5">
      <w:start w:val="1"/>
      <w:numFmt w:val="lowerRoman"/>
      <w:lvlText w:val="%6."/>
      <w:lvlJc w:val="left"/>
      <w:pPr>
        <w:tabs>
          <w:tab w:val="num" w:pos="249"/>
        </w:tabs>
        <w:ind w:left="249" w:firstLine="3988"/>
      </w:pPr>
      <w:rPr>
        <w:position w:val="0"/>
      </w:rPr>
    </w:lvl>
    <w:lvl w:ilvl="6">
      <w:start w:val="1"/>
      <w:numFmt w:val="decimal"/>
      <w:lvlText w:val="%7."/>
      <w:lvlJc w:val="left"/>
      <w:pPr>
        <w:tabs>
          <w:tab w:val="num" w:pos="270"/>
        </w:tabs>
        <w:ind w:left="270" w:firstLine="4680"/>
      </w:pPr>
      <w:rPr>
        <w:position w:val="0"/>
      </w:rPr>
    </w:lvl>
    <w:lvl w:ilvl="7">
      <w:start w:val="1"/>
      <w:numFmt w:val="lowerLetter"/>
      <w:lvlText w:val="%8."/>
      <w:lvlJc w:val="left"/>
      <w:pPr>
        <w:tabs>
          <w:tab w:val="num" w:pos="270"/>
        </w:tabs>
        <w:ind w:left="270" w:firstLine="5400"/>
      </w:pPr>
      <w:rPr>
        <w:position w:val="0"/>
      </w:rPr>
    </w:lvl>
    <w:lvl w:ilvl="8">
      <w:start w:val="1"/>
      <w:numFmt w:val="lowerRoman"/>
      <w:lvlText w:val="%9."/>
      <w:lvlJc w:val="left"/>
      <w:pPr>
        <w:tabs>
          <w:tab w:val="num" w:pos="249"/>
        </w:tabs>
        <w:ind w:left="249" w:firstLine="6148"/>
      </w:pPr>
      <w:rPr>
        <w:position w:val="0"/>
      </w:rPr>
    </w:lvl>
  </w:abstractNum>
  <w:abstractNum w:abstractNumId="5" w15:restartNumberingAfterBreak="0">
    <w:nsid w:val="0000000C"/>
    <w:multiLevelType w:val="multilevel"/>
    <w:tmpl w:val="894EE87E"/>
    <w:lvl w:ilvl="0">
      <w:start w:val="1"/>
      <w:numFmt w:val="bullet"/>
      <w:pStyle w:val="List41"/>
      <w:lvlText w:val="•"/>
      <w:lvlJc w:val="left"/>
      <w:pPr>
        <w:tabs>
          <w:tab w:val="num" w:pos="360"/>
        </w:tabs>
        <w:ind w:left="360" w:firstLine="720"/>
      </w:pPr>
      <w:rPr>
        <w:position w:val="0"/>
      </w:rPr>
    </w:lvl>
    <w:lvl w:ilvl="1">
      <w:start w:val="1"/>
      <w:numFmt w:val="bullet"/>
      <w:lvlText w:val="o"/>
      <w:lvlJc w:val="left"/>
      <w:pPr>
        <w:tabs>
          <w:tab w:val="num" w:pos="360"/>
        </w:tabs>
        <w:ind w:left="360" w:firstLine="1440"/>
      </w:pPr>
      <w:rPr>
        <w:position w:val="0"/>
      </w:rPr>
    </w:lvl>
    <w:lvl w:ilvl="2">
      <w:start w:val="1"/>
      <w:numFmt w:val="bullet"/>
      <w:lvlText w:val="•"/>
      <w:lvlJc w:val="left"/>
      <w:pPr>
        <w:tabs>
          <w:tab w:val="num" w:pos="360"/>
        </w:tabs>
        <w:ind w:left="360" w:firstLine="2160"/>
      </w:pPr>
      <w:rPr>
        <w:position w:val="0"/>
      </w:rPr>
    </w:lvl>
    <w:lvl w:ilvl="3">
      <w:start w:val="1"/>
      <w:numFmt w:val="bullet"/>
      <w:lvlText w:val="•"/>
      <w:lvlJc w:val="left"/>
      <w:pPr>
        <w:tabs>
          <w:tab w:val="num" w:pos="360"/>
        </w:tabs>
        <w:ind w:left="360" w:firstLine="2880"/>
      </w:pPr>
      <w:rPr>
        <w:position w:val="0"/>
      </w:rPr>
    </w:lvl>
    <w:lvl w:ilvl="4">
      <w:start w:val="1"/>
      <w:numFmt w:val="bullet"/>
      <w:lvlText w:val="o"/>
      <w:lvlJc w:val="left"/>
      <w:pPr>
        <w:tabs>
          <w:tab w:val="num" w:pos="360"/>
        </w:tabs>
        <w:ind w:left="360" w:firstLine="3600"/>
      </w:pPr>
      <w:rPr>
        <w:position w:val="0"/>
      </w:rPr>
    </w:lvl>
    <w:lvl w:ilvl="5">
      <w:start w:val="1"/>
      <w:numFmt w:val="bullet"/>
      <w:lvlText w:val="•"/>
      <w:lvlJc w:val="left"/>
      <w:pPr>
        <w:tabs>
          <w:tab w:val="num" w:pos="360"/>
        </w:tabs>
        <w:ind w:left="360" w:firstLine="4320"/>
      </w:pPr>
      <w:rPr>
        <w:position w:val="0"/>
      </w:rPr>
    </w:lvl>
    <w:lvl w:ilvl="6">
      <w:start w:val="1"/>
      <w:numFmt w:val="bullet"/>
      <w:lvlText w:val="•"/>
      <w:lvlJc w:val="left"/>
      <w:pPr>
        <w:tabs>
          <w:tab w:val="num" w:pos="360"/>
        </w:tabs>
        <w:ind w:left="360" w:firstLine="5040"/>
      </w:pPr>
      <w:rPr>
        <w:position w:val="0"/>
      </w:rPr>
    </w:lvl>
    <w:lvl w:ilvl="7">
      <w:start w:val="1"/>
      <w:numFmt w:val="bullet"/>
      <w:lvlText w:val="o"/>
      <w:lvlJc w:val="left"/>
      <w:pPr>
        <w:tabs>
          <w:tab w:val="num" w:pos="360"/>
        </w:tabs>
        <w:ind w:left="360" w:firstLine="5760"/>
      </w:pPr>
      <w:rPr>
        <w:position w:val="0"/>
      </w:rPr>
    </w:lvl>
    <w:lvl w:ilvl="8">
      <w:start w:val="1"/>
      <w:numFmt w:val="bullet"/>
      <w:lvlText w:val="•"/>
      <w:lvlJc w:val="left"/>
      <w:pPr>
        <w:tabs>
          <w:tab w:val="num" w:pos="360"/>
        </w:tabs>
        <w:ind w:left="360" w:firstLine="6480"/>
      </w:pPr>
      <w:rPr>
        <w:position w:val="0"/>
      </w:rPr>
    </w:lvl>
  </w:abstractNum>
  <w:abstractNum w:abstractNumId="6" w15:restartNumberingAfterBreak="0">
    <w:nsid w:val="0000000E"/>
    <w:multiLevelType w:val="multilevel"/>
    <w:tmpl w:val="894EE880"/>
    <w:lvl w:ilvl="0">
      <w:start w:val="1"/>
      <w:numFmt w:val="bullet"/>
      <w:pStyle w:val="List51"/>
      <w:lvlText w:val="•"/>
      <w:lvlJc w:val="left"/>
      <w:pPr>
        <w:tabs>
          <w:tab w:val="num" w:pos="393"/>
        </w:tabs>
        <w:ind w:left="393" w:firstLine="0"/>
      </w:pPr>
      <w:rPr>
        <w:position w:val="0"/>
      </w:rPr>
    </w:lvl>
    <w:lvl w:ilvl="1">
      <w:start w:val="1"/>
      <w:numFmt w:val="bullet"/>
      <w:lvlText w:val="o"/>
      <w:lvlJc w:val="left"/>
      <w:pPr>
        <w:tabs>
          <w:tab w:val="num" w:pos="393"/>
        </w:tabs>
        <w:ind w:left="393" w:firstLine="720"/>
      </w:pPr>
      <w:rPr>
        <w:position w:val="0"/>
      </w:rPr>
    </w:lvl>
    <w:lvl w:ilvl="2">
      <w:start w:val="1"/>
      <w:numFmt w:val="bullet"/>
      <w:lvlText w:val="•"/>
      <w:lvlJc w:val="left"/>
      <w:pPr>
        <w:tabs>
          <w:tab w:val="num" w:pos="393"/>
        </w:tabs>
        <w:ind w:left="393" w:firstLine="1440"/>
      </w:pPr>
      <w:rPr>
        <w:position w:val="0"/>
      </w:rPr>
    </w:lvl>
    <w:lvl w:ilvl="3">
      <w:start w:val="1"/>
      <w:numFmt w:val="bullet"/>
      <w:lvlText w:val="•"/>
      <w:lvlJc w:val="left"/>
      <w:pPr>
        <w:tabs>
          <w:tab w:val="num" w:pos="393"/>
        </w:tabs>
        <w:ind w:left="393" w:firstLine="2160"/>
      </w:pPr>
      <w:rPr>
        <w:position w:val="0"/>
      </w:rPr>
    </w:lvl>
    <w:lvl w:ilvl="4">
      <w:start w:val="1"/>
      <w:numFmt w:val="bullet"/>
      <w:lvlText w:val="o"/>
      <w:lvlJc w:val="left"/>
      <w:pPr>
        <w:tabs>
          <w:tab w:val="num" w:pos="393"/>
        </w:tabs>
        <w:ind w:left="393" w:firstLine="2880"/>
      </w:pPr>
      <w:rPr>
        <w:position w:val="0"/>
      </w:rPr>
    </w:lvl>
    <w:lvl w:ilvl="5">
      <w:start w:val="1"/>
      <w:numFmt w:val="bullet"/>
      <w:lvlText w:val="•"/>
      <w:lvlJc w:val="left"/>
      <w:pPr>
        <w:tabs>
          <w:tab w:val="num" w:pos="393"/>
        </w:tabs>
        <w:ind w:left="393" w:firstLine="3600"/>
      </w:pPr>
      <w:rPr>
        <w:position w:val="0"/>
      </w:rPr>
    </w:lvl>
    <w:lvl w:ilvl="6">
      <w:start w:val="1"/>
      <w:numFmt w:val="bullet"/>
      <w:lvlText w:val="•"/>
      <w:lvlJc w:val="left"/>
      <w:pPr>
        <w:tabs>
          <w:tab w:val="num" w:pos="393"/>
        </w:tabs>
        <w:ind w:left="393" w:firstLine="4320"/>
      </w:pPr>
      <w:rPr>
        <w:position w:val="0"/>
      </w:rPr>
    </w:lvl>
    <w:lvl w:ilvl="7">
      <w:start w:val="1"/>
      <w:numFmt w:val="bullet"/>
      <w:lvlText w:val="o"/>
      <w:lvlJc w:val="left"/>
      <w:pPr>
        <w:tabs>
          <w:tab w:val="num" w:pos="393"/>
        </w:tabs>
        <w:ind w:left="393" w:firstLine="5040"/>
      </w:pPr>
      <w:rPr>
        <w:position w:val="0"/>
      </w:rPr>
    </w:lvl>
    <w:lvl w:ilvl="8">
      <w:start w:val="1"/>
      <w:numFmt w:val="bullet"/>
      <w:lvlText w:val="•"/>
      <w:lvlJc w:val="left"/>
      <w:pPr>
        <w:tabs>
          <w:tab w:val="num" w:pos="393"/>
        </w:tabs>
        <w:ind w:left="393" w:firstLine="5760"/>
      </w:pPr>
      <w:rPr>
        <w:position w:val="0"/>
      </w:rPr>
    </w:lvl>
  </w:abstractNum>
  <w:abstractNum w:abstractNumId="7" w15:restartNumberingAfterBreak="0">
    <w:nsid w:val="00000010"/>
    <w:multiLevelType w:val="multilevel"/>
    <w:tmpl w:val="894EE882"/>
    <w:lvl w:ilvl="0">
      <w:start w:val="1"/>
      <w:numFmt w:val="bullet"/>
      <w:pStyle w:val="List6"/>
      <w:lvlText w:val="•"/>
      <w:lvlJc w:val="left"/>
      <w:pPr>
        <w:tabs>
          <w:tab w:val="num" w:pos="393"/>
        </w:tabs>
        <w:ind w:left="393" w:firstLine="0"/>
      </w:pPr>
      <w:rPr>
        <w:position w:val="0"/>
      </w:rPr>
    </w:lvl>
    <w:lvl w:ilvl="1">
      <w:start w:val="1"/>
      <w:numFmt w:val="bullet"/>
      <w:lvlText w:val="o"/>
      <w:lvlJc w:val="left"/>
      <w:pPr>
        <w:tabs>
          <w:tab w:val="num" w:pos="393"/>
        </w:tabs>
        <w:ind w:left="393" w:firstLine="1080"/>
      </w:pPr>
      <w:rPr>
        <w:position w:val="0"/>
      </w:rPr>
    </w:lvl>
    <w:lvl w:ilvl="2">
      <w:start w:val="1"/>
      <w:numFmt w:val="bullet"/>
      <w:lvlText w:val="•"/>
      <w:lvlJc w:val="left"/>
      <w:pPr>
        <w:tabs>
          <w:tab w:val="num" w:pos="393"/>
        </w:tabs>
        <w:ind w:left="393" w:firstLine="1800"/>
      </w:pPr>
      <w:rPr>
        <w:position w:val="0"/>
      </w:rPr>
    </w:lvl>
    <w:lvl w:ilvl="3">
      <w:start w:val="1"/>
      <w:numFmt w:val="bullet"/>
      <w:lvlText w:val="•"/>
      <w:lvlJc w:val="left"/>
      <w:pPr>
        <w:tabs>
          <w:tab w:val="num" w:pos="393"/>
        </w:tabs>
        <w:ind w:left="393" w:firstLine="2520"/>
      </w:pPr>
      <w:rPr>
        <w:position w:val="0"/>
      </w:rPr>
    </w:lvl>
    <w:lvl w:ilvl="4">
      <w:start w:val="1"/>
      <w:numFmt w:val="bullet"/>
      <w:lvlText w:val="o"/>
      <w:lvlJc w:val="left"/>
      <w:pPr>
        <w:tabs>
          <w:tab w:val="num" w:pos="393"/>
        </w:tabs>
        <w:ind w:left="393" w:firstLine="3240"/>
      </w:pPr>
      <w:rPr>
        <w:position w:val="0"/>
      </w:rPr>
    </w:lvl>
    <w:lvl w:ilvl="5">
      <w:start w:val="1"/>
      <w:numFmt w:val="bullet"/>
      <w:lvlText w:val="•"/>
      <w:lvlJc w:val="left"/>
      <w:pPr>
        <w:tabs>
          <w:tab w:val="num" w:pos="393"/>
        </w:tabs>
        <w:ind w:left="393" w:firstLine="3960"/>
      </w:pPr>
      <w:rPr>
        <w:position w:val="0"/>
      </w:rPr>
    </w:lvl>
    <w:lvl w:ilvl="6">
      <w:start w:val="1"/>
      <w:numFmt w:val="bullet"/>
      <w:lvlText w:val="•"/>
      <w:lvlJc w:val="left"/>
      <w:pPr>
        <w:tabs>
          <w:tab w:val="num" w:pos="393"/>
        </w:tabs>
        <w:ind w:left="393" w:firstLine="4680"/>
      </w:pPr>
      <w:rPr>
        <w:position w:val="0"/>
      </w:rPr>
    </w:lvl>
    <w:lvl w:ilvl="7">
      <w:start w:val="1"/>
      <w:numFmt w:val="bullet"/>
      <w:lvlText w:val="o"/>
      <w:lvlJc w:val="left"/>
      <w:pPr>
        <w:tabs>
          <w:tab w:val="num" w:pos="393"/>
        </w:tabs>
        <w:ind w:left="393" w:firstLine="5400"/>
      </w:pPr>
      <w:rPr>
        <w:position w:val="0"/>
      </w:rPr>
    </w:lvl>
    <w:lvl w:ilvl="8">
      <w:start w:val="1"/>
      <w:numFmt w:val="bullet"/>
      <w:lvlText w:val="•"/>
      <w:lvlJc w:val="left"/>
      <w:pPr>
        <w:tabs>
          <w:tab w:val="num" w:pos="393"/>
        </w:tabs>
        <w:ind w:left="393" w:firstLine="6120"/>
      </w:pPr>
      <w:rPr>
        <w:position w:val="0"/>
      </w:rPr>
    </w:lvl>
  </w:abstractNum>
  <w:abstractNum w:abstractNumId="8" w15:restartNumberingAfterBreak="0">
    <w:nsid w:val="00000012"/>
    <w:multiLevelType w:val="multilevel"/>
    <w:tmpl w:val="894EE884"/>
    <w:lvl w:ilvl="0">
      <w:start w:val="1"/>
      <w:numFmt w:val="decimal"/>
      <w:pStyle w:val="List7"/>
      <w:lvlText w:val="%1."/>
      <w:lvlJc w:val="left"/>
      <w:pPr>
        <w:tabs>
          <w:tab w:val="num" w:pos="270"/>
        </w:tabs>
        <w:ind w:left="270" w:firstLine="360"/>
      </w:pPr>
      <w:rPr>
        <w:position w:val="0"/>
      </w:rPr>
    </w:lvl>
    <w:lvl w:ilvl="1">
      <w:start w:val="1"/>
      <w:numFmt w:val="upperRoman"/>
      <w:lvlText w:val="%2."/>
      <w:lvlJc w:val="left"/>
      <w:pPr>
        <w:tabs>
          <w:tab w:val="num" w:pos="540"/>
        </w:tabs>
        <w:ind w:left="540" w:firstLine="1080"/>
      </w:pPr>
      <w:rPr>
        <w:position w:val="0"/>
      </w:rPr>
    </w:lvl>
    <w:lvl w:ilvl="2">
      <w:start w:val="1"/>
      <w:numFmt w:val="lowerRoman"/>
      <w:lvlText w:val="%3."/>
      <w:lvlJc w:val="left"/>
      <w:pPr>
        <w:tabs>
          <w:tab w:val="num" w:pos="249"/>
        </w:tabs>
        <w:ind w:left="249" w:firstLine="1828"/>
      </w:pPr>
      <w:rPr>
        <w:position w:val="0"/>
      </w:rPr>
    </w:lvl>
    <w:lvl w:ilvl="3">
      <w:start w:val="1"/>
      <w:numFmt w:val="decimal"/>
      <w:lvlText w:val="%4."/>
      <w:lvlJc w:val="left"/>
      <w:pPr>
        <w:tabs>
          <w:tab w:val="num" w:pos="270"/>
        </w:tabs>
        <w:ind w:left="270" w:firstLine="2520"/>
      </w:pPr>
      <w:rPr>
        <w:position w:val="0"/>
      </w:rPr>
    </w:lvl>
    <w:lvl w:ilvl="4">
      <w:start w:val="1"/>
      <w:numFmt w:val="lowerLetter"/>
      <w:lvlText w:val="%5."/>
      <w:lvlJc w:val="left"/>
      <w:pPr>
        <w:tabs>
          <w:tab w:val="num" w:pos="270"/>
        </w:tabs>
        <w:ind w:left="270" w:firstLine="3240"/>
      </w:pPr>
      <w:rPr>
        <w:position w:val="0"/>
      </w:rPr>
    </w:lvl>
    <w:lvl w:ilvl="5">
      <w:start w:val="1"/>
      <w:numFmt w:val="lowerRoman"/>
      <w:lvlText w:val="%6."/>
      <w:lvlJc w:val="left"/>
      <w:pPr>
        <w:tabs>
          <w:tab w:val="num" w:pos="249"/>
        </w:tabs>
        <w:ind w:left="249" w:firstLine="3988"/>
      </w:pPr>
      <w:rPr>
        <w:position w:val="0"/>
      </w:rPr>
    </w:lvl>
    <w:lvl w:ilvl="6">
      <w:start w:val="1"/>
      <w:numFmt w:val="decimal"/>
      <w:lvlText w:val="%7."/>
      <w:lvlJc w:val="left"/>
      <w:pPr>
        <w:tabs>
          <w:tab w:val="num" w:pos="270"/>
        </w:tabs>
        <w:ind w:left="270" w:firstLine="4680"/>
      </w:pPr>
      <w:rPr>
        <w:position w:val="0"/>
      </w:rPr>
    </w:lvl>
    <w:lvl w:ilvl="7">
      <w:start w:val="1"/>
      <w:numFmt w:val="lowerLetter"/>
      <w:lvlText w:val="%8."/>
      <w:lvlJc w:val="left"/>
      <w:pPr>
        <w:tabs>
          <w:tab w:val="num" w:pos="270"/>
        </w:tabs>
        <w:ind w:left="270" w:firstLine="5400"/>
      </w:pPr>
      <w:rPr>
        <w:position w:val="0"/>
      </w:rPr>
    </w:lvl>
    <w:lvl w:ilvl="8">
      <w:start w:val="1"/>
      <w:numFmt w:val="lowerRoman"/>
      <w:lvlText w:val="%9."/>
      <w:lvlJc w:val="left"/>
      <w:pPr>
        <w:tabs>
          <w:tab w:val="num" w:pos="249"/>
        </w:tabs>
        <w:ind w:left="249" w:firstLine="6148"/>
      </w:pPr>
      <w:rPr>
        <w:position w:val="0"/>
      </w:rPr>
    </w:lvl>
  </w:abstractNum>
  <w:abstractNum w:abstractNumId="9" w15:restartNumberingAfterBreak="0">
    <w:nsid w:val="00000014"/>
    <w:multiLevelType w:val="multilevel"/>
    <w:tmpl w:val="894EE886"/>
    <w:lvl w:ilvl="0">
      <w:start w:val="1"/>
      <w:numFmt w:val="bullet"/>
      <w:pStyle w:val="List8"/>
      <w:lvlText w:val="•"/>
      <w:lvlJc w:val="left"/>
      <w:pPr>
        <w:tabs>
          <w:tab w:val="num" w:pos="144"/>
        </w:tabs>
        <w:ind w:left="144" w:firstLine="0"/>
      </w:pPr>
      <w:rPr>
        <w:position w:val="0"/>
      </w:rPr>
    </w:lvl>
    <w:lvl w:ilvl="1">
      <w:start w:val="1"/>
      <w:numFmt w:val="bullet"/>
      <w:lvlText w:val="o"/>
      <w:lvlJc w:val="left"/>
      <w:pPr>
        <w:tabs>
          <w:tab w:val="num" w:pos="144"/>
        </w:tabs>
        <w:ind w:left="144" w:firstLine="720"/>
      </w:pPr>
      <w:rPr>
        <w:position w:val="0"/>
      </w:rPr>
    </w:lvl>
    <w:lvl w:ilvl="2">
      <w:start w:val="1"/>
      <w:numFmt w:val="bullet"/>
      <w:lvlText w:val="•"/>
      <w:lvlJc w:val="left"/>
      <w:pPr>
        <w:tabs>
          <w:tab w:val="num" w:pos="360"/>
        </w:tabs>
        <w:ind w:left="360" w:firstLine="4312"/>
      </w:pPr>
      <w:rPr>
        <w:position w:val="0"/>
      </w:rPr>
    </w:lvl>
    <w:lvl w:ilvl="3">
      <w:start w:val="1"/>
      <w:numFmt w:val="bullet"/>
      <w:lvlText w:val="•"/>
      <w:lvlJc w:val="left"/>
      <w:pPr>
        <w:tabs>
          <w:tab w:val="num" w:pos="360"/>
        </w:tabs>
        <w:ind w:left="360" w:firstLine="5032"/>
      </w:pPr>
      <w:rPr>
        <w:position w:val="0"/>
      </w:rPr>
    </w:lvl>
    <w:lvl w:ilvl="4">
      <w:start w:val="1"/>
      <w:numFmt w:val="bullet"/>
      <w:lvlText w:val="o"/>
      <w:lvlJc w:val="left"/>
      <w:pPr>
        <w:tabs>
          <w:tab w:val="num" w:pos="360"/>
        </w:tabs>
        <w:ind w:left="360" w:firstLine="5752"/>
      </w:pPr>
      <w:rPr>
        <w:position w:val="0"/>
      </w:rPr>
    </w:lvl>
    <w:lvl w:ilvl="5">
      <w:start w:val="1"/>
      <w:numFmt w:val="bullet"/>
      <w:lvlText w:val="•"/>
      <w:lvlJc w:val="left"/>
      <w:pPr>
        <w:tabs>
          <w:tab w:val="num" w:pos="360"/>
        </w:tabs>
        <w:ind w:left="360" w:firstLine="6472"/>
      </w:pPr>
      <w:rPr>
        <w:position w:val="0"/>
      </w:rPr>
    </w:lvl>
    <w:lvl w:ilvl="6">
      <w:start w:val="1"/>
      <w:numFmt w:val="bullet"/>
      <w:lvlText w:val="•"/>
      <w:lvlJc w:val="left"/>
      <w:pPr>
        <w:tabs>
          <w:tab w:val="num" w:pos="360"/>
        </w:tabs>
        <w:ind w:left="360" w:firstLine="7192"/>
      </w:pPr>
      <w:rPr>
        <w:position w:val="0"/>
      </w:rPr>
    </w:lvl>
    <w:lvl w:ilvl="7">
      <w:start w:val="1"/>
      <w:numFmt w:val="bullet"/>
      <w:lvlText w:val="o"/>
      <w:lvlJc w:val="left"/>
      <w:pPr>
        <w:tabs>
          <w:tab w:val="num" w:pos="360"/>
        </w:tabs>
        <w:ind w:left="360" w:firstLine="7912"/>
      </w:pPr>
      <w:rPr>
        <w:position w:val="0"/>
      </w:rPr>
    </w:lvl>
    <w:lvl w:ilvl="8">
      <w:start w:val="1"/>
      <w:numFmt w:val="bullet"/>
      <w:lvlText w:val="•"/>
      <w:lvlJc w:val="left"/>
      <w:pPr>
        <w:tabs>
          <w:tab w:val="num" w:pos="360"/>
        </w:tabs>
        <w:ind w:left="360" w:firstLine="8632"/>
      </w:pPr>
      <w:rPr>
        <w:position w:val="0"/>
      </w:rPr>
    </w:lvl>
  </w:abstractNum>
  <w:abstractNum w:abstractNumId="10" w15:restartNumberingAfterBreak="0">
    <w:nsid w:val="00000017"/>
    <w:multiLevelType w:val="multilevel"/>
    <w:tmpl w:val="894EE889"/>
    <w:lvl w:ilvl="0">
      <w:start w:val="1"/>
      <w:numFmt w:val="decimal"/>
      <w:pStyle w:val="List9"/>
      <w:lvlText w:val="%1."/>
      <w:lvlJc w:val="left"/>
      <w:pPr>
        <w:tabs>
          <w:tab w:val="num" w:pos="435"/>
        </w:tabs>
        <w:ind w:left="435" w:firstLine="0"/>
      </w:pPr>
    </w:lvl>
    <w:lvl w:ilvl="1">
      <w:start w:val="1"/>
      <w:numFmt w:val="decimal"/>
      <w:lvlText w:val="%2."/>
      <w:lvlJc w:val="left"/>
      <w:pPr>
        <w:tabs>
          <w:tab w:val="num" w:pos="360"/>
        </w:tabs>
        <w:ind w:left="360" w:firstLine="0"/>
      </w:pPr>
    </w:lvl>
    <w:lvl w:ilvl="2">
      <w:start w:val="1"/>
      <w:numFmt w:val="decimal"/>
      <w:lvlText w:val="%3."/>
      <w:lvlJc w:val="left"/>
      <w:pPr>
        <w:tabs>
          <w:tab w:val="num" w:pos="720"/>
        </w:tabs>
        <w:ind w:left="720" w:firstLine="0"/>
      </w:pPr>
      <w:rPr>
        <w:position w:val="0"/>
      </w:rPr>
    </w:lvl>
    <w:lvl w:ilvl="3">
      <w:start w:val="1"/>
      <w:numFmt w:val="decimal"/>
      <w:lvlText w:val="%4."/>
      <w:lvlJc w:val="left"/>
      <w:pPr>
        <w:tabs>
          <w:tab w:val="num" w:pos="720"/>
        </w:tabs>
        <w:ind w:left="720" w:firstLine="0"/>
      </w:pPr>
      <w:rPr>
        <w:position w:val="0"/>
      </w:rPr>
    </w:lvl>
    <w:lvl w:ilvl="4">
      <w:start w:val="1"/>
      <w:numFmt w:val="decimal"/>
      <w:lvlText w:val="%5."/>
      <w:lvlJc w:val="left"/>
      <w:pPr>
        <w:tabs>
          <w:tab w:val="num" w:pos="720"/>
        </w:tabs>
        <w:ind w:left="720" w:firstLine="0"/>
      </w:pPr>
      <w:rPr>
        <w:position w:val="0"/>
      </w:rPr>
    </w:lvl>
    <w:lvl w:ilvl="5">
      <w:start w:val="1"/>
      <w:numFmt w:val="decimal"/>
      <w:lvlText w:val="%6."/>
      <w:lvlJc w:val="left"/>
      <w:pPr>
        <w:tabs>
          <w:tab w:val="num" w:pos="1080"/>
        </w:tabs>
        <w:ind w:left="1080" w:firstLine="0"/>
      </w:pPr>
      <w:rPr>
        <w:position w:val="0"/>
      </w:rPr>
    </w:lvl>
    <w:lvl w:ilvl="6">
      <w:start w:val="1"/>
      <w:numFmt w:val="decimal"/>
      <w:lvlText w:val="%7."/>
      <w:lvlJc w:val="left"/>
      <w:pPr>
        <w:tabs>
          <w:tab w:val="num" w:pos="1080"/>
        </w:tabs>
        <w:ind w:left="1080" w:firstLine="0"/>
      </w:pPr>
      <w:rPr>
        <w:position w:val="0"/>
      </w:rPr>
    </w:lvl>
    <w:lvl w:ilvl="7">
      <w:start w:val="1"/>
      <w:numFmt w:val="decimal"/>
      <w:lvlText w:val="%8."/>
      <w:lvlJc w:val="left"/>
      <w:pPr>
        <w:tabs>
          <w:tab w:val="num" w:pos="1440"/>
        </w:tabs>
        <w:ind w:left="1440" w:firstLine="0"/>
      </w:pPr>
      <w:rPr>
        <w:position w:val="0"/>
      </w:rPr>
    </w:lvl>
    <w:lvl w:ilvl="8">
      <w:start w:val="1"/>
      <w:numFmt w:val="decimal"/>
      <w:lvlText w:val="%9."/>
      <w:lvlJc w:val="left"/>
      <w:pPr>
        <w:tabs>
          <w:tab w:val="num" w:pos="1440"/>
        </w:tabs>
        <w:ind w:left="1440" w:firstLine="0"/>
      </w:pPr>
      <w:rPr>
        <w:position w:val="0"/>
      </w:rPr>
    </w:lvl>
  </w:abstractNum>
  <w:abstractNum w:abstractNumId="11" w15:restartNumberingAfterBreak="0">
    <w:nsid w:val="0000001D"/>
    <w:multiLevelType w:val="hybridMultilevel"/>
    <w:tmpl w:val="A04C1BA0"/>
    <w:lvl w:ilvl="0" w:tplc="5446583C">
      <w:start w:val="1"/>
      <w:numFmt w:val="bullet"/>
      <w:pStyle w:val="nbull"/>
      <w:lvlText w:val=""/>
      <w:lvlJc w:val="left"/>
      <w:pPr>
        <w:tabs>
          <w:tab w:val="num" w:pos="720"/>
        </w:tabs>
        <w:ind w:left="720" w:hanging="360"/>
      </w:pPr>
      <w:rPr>
        <w:rFonts w:ascii="Symbol" w:hAnsi="Symbol" w:cs="Symbol" w:hint="default"/>
        <w:spacing w:val="0"/>
      </w:rPr>
    </w:lvl>
    <w:lvl w:ilvl="1" w:tplc="04090001">
      <w:start w:val="1"/>
      <w:numFmt w:val="bullet"/>
      <w:lvlText w:val=""/>
      <w:lvlJc w:val="left"/>
      <w:pPr>
        <w:tabs>
          <w:tab w:val="num" w:pos="1440"/>
        </w:tabs>
        <w:ind w:left="1440" w:hanging="360"/>
      </w:pPr>
      <w:rPr>
        <w:rFonts w:ascii="Symbol" w:hAnsi="Symbol" w:cs="Symbol" w:hint="default"/>
        <w:spacing w:val="0"/>
      </w:rPr>
    </w:lvl>
    <w:lvl w:ilvl="2" w:tplc="04090005">
      <w:start w:val="1"/>
      <w:numFmt w:val="bullet"/>
      <w:lvlText w:val=""/>
      <w:lvlJc w:val="left"/>
      <w:pPr>
        <w:tabs>
          <w:tab w:val="num" w:pos="2160"/>
        </w:tabs>
        <w:ind w:left="2160" w:hanging="360"/>
      </w:pPr>
      <w:rPr>
        <w:rFonts w:ascii="Wingdings" w:hAnsi="Wingdings" w:cs="Wingdings" w:hint="default"/>
        <w:spacing w:val="0"/>
      </w:rPr>
    </w:lvl>
    <w:lvl w:ilvl="3" w:tplc="04090001">
      <w:start w:val="1"/>
      <w:numFmt w:val="bullet"/>
      <w:lvlText w:val=""/>
      <w:lvlJc w:val="left"/>
      <w:pPr>
        <w:tabs>
          <w:tab w:val="num" w:pos="2880"/>
        </w:tabs>
        <w:ind w:left="2880" w:hanging="360"/>
      </w:pPr>
      <w:rPr>
        <w:rFonts w:ascii="Symbol" w:hAnsi="Symbol" w:cs="Symbol" w:hint="default"/>
        <w:spacing w:val="0"/>
      </w:rPr>
    </w:lvl>
    <w:lvl w:ilvl="4" w:tplc="04090003">
      <w:start w:val="1"/>
      <w:numFmt w:val="bullet"/>
      <w:lvlText w:val="o"/>
      <w:lvlJc w:val="left"/>
      <w:pPr>
        <w:tabs>
          <w:tab w:val="num" w:pos="3600"/>
        </w:tabs>
        <w:ind w:left="3600" w:hanging="360"/>
      </w:pPr>
      <w:rPr>
        <w:rFonts w:ascii="Courier New" w:hAnsi="Courier New" w:cs="Courier New" w:hint="default"/>
        <w:spacing w:val="0"/>
      </w:rPr>
    </w:lvl>
    <w:lvl w:ilvl="5" w:tplc="04090005">
      <w:start w:val="1"/>
      <w:numFmt w:val="bullet"/>
      <w:lvlText w:val=""/>
      <w:lvlJc w:val="left"/>
      <w:pPr>
        <w:tabs>
          <w:tab w:val="num" w:pos="4320"/>
        </w:tabs>
        <w:ind w:left="4320" w:hanging="360"/>
      </w:pPr>
      <w:rPr>
        <w:rFonts w:ascii="Wingdings" w:hAnsi="Wingdings" w:cs="Wingdings" w:hint="default"/>
        <w:spacing w:val="0"/>
      </w:rPr>
    </w:lvl>
    <w:lvl w:ilvl="6" w:tplc="04090001">
      <w:start w:val="1"/>
      <w:numFmt w:val="bullet"/>
      <w:lvlText w:val=""/>
      <w:lvlJc w:val="left"/>
      <w:pPr>
        <w:tabs>
          <w:tab w:val="num" w:pos="5040"/>
        </w:tabs>
        <w:ind w:left="5040" w:hanging="360"/>
      </w:pPr>
      <w:rPr>
        <w:rFonts w:ascii="Symbol" w:hAnsi="Symbol" w:cs="Symbol" w:hint="default"/>
        <w:spacing w:val="0"/>
      </w:rPr>
    </w:lvl>
    <w:lvl w:ilvl="7" w:tplc="04090003">
      <w:start w:val="1"/>
      <w:numFmt w:val="bullet"/>
      <w:lvlText w:val="o"/>
      <w:lvlJc w:val="left"/>
      <w:pPr>
        <w:tabs>
          <w:tab w:val="num" w:pos="5760"/>
        </w:tabs>
        <w:ind w:left="5760" w:hanging="360"/>
      </w:pPr>
      <w:rPr>
        <w:rFonts w:ascii="Courier New" w:hAnsi="Courier New" w:cs="Courier New" w:hint="default"/>
        <w:spacing w:val="0"/>
      </w:rPr>
    </w:lvl>
    <w:lvl w:ilvl="8" w:tplc="04090005">
      <w:start w:val="1"/>
      <w:numFmt w:val="bullet"/>
      <w:lvlText w:val=""/>
      <w:lvlJc w:val="left"/>
      <w:pPr>
        <w:tabs>
          <w:tab w:val="num" w:pos="6480"/>
        </w:tabs>
        <w:ind w:left="6480" w:hanging="360"/>
      </w:pPr>
      <w:rPr>
        <w:rFonts w:ascii="Wingdings" w:hAnsi="Wingdings" w:cs="Wingdings" w:hint="default"/>
        <w:spacing w:val="0"/>
      </w:rPr>
    </w:lvl>
  </w:abstractNum>
  <w:abstractNum w:abstractNumId="12" w15:restartNumberingAfterBreak="0">
    <w:nsid w:val="0000001E"/>
    <w:multiLevelType w:val="multilevel"/>
    <w:tmpl w:val="894EE890"/>
    <w:lvl w:ilvl="0">
      <w:start w:val="1"/>
      <w:numFmt w:val="lowerRoman"/>
      <w:pStyle w:val="List10"/>
      <w:lvlText w:val="%1."/>
      <w:lvlJc w:val="left"/>
      <w:pPr>
        <w:tabs>
          <w:tab w:val="num" w:pos="231"/>
        </w:tabs>
        <w:ind w:left="231" w:firstLine="1065"/>
      </w:pPr>
      <w:rPr>
        <w:position w:val="0"/>
      </w:rPr>
    </w:lvl>
    <w:lvl w:ilvl="1">
      <w:start w:val="1"/>
      <w:numFmt w:val="lowerLetter"/>
      <w:lvlText w:val="%2."/>
      <w:lvlJc w:val="left"/>
      <w:pPr>
        <w:tabs>
          <w:tab w:val="num" w:pos="360"/>
        </w:tabs>
        <w:ind w:left="360" w:firstLine="2520"/>
      </w:pPr>
      <w:rPr>
        <w:position w:val="0"/>
      </w:rPr>
    </w:lvl>
    <w:lvl w:ilvl="2">
      <w:start w:val="1"/>
      <w:numFmt w:val="lowerRoman"/>
      <w:lvlText w:val="%3."/>
      <w:lvlJc w:val="left"/>
      <w:pPr>
        <w:tabs>
          <w:tab w:val="num" w:pos="285"/>
        </w:tabs>
        <w:ind w:left="285" w:firstLine="3315"/>
      </w:pPr>
      <w:rPr>
        <w:position w:val="0"/>
      </w:rPr>
    </w:lvl>
    <w:lvl w:ilvl="3">
      <w:start w:val="1"/>
      <w:numFmt w:val="decimal"/>
      <w:lvlText w:val="%4."/>
      <w:lvlJc w:val="left"/>
      <w:pPr>
        <w:tabs>
          <w:tab w:val="num" w:pos="360"/>
        </w:tabs>
        <w:ind w:left="360" w:firstLine="3960"/>
      </w:pPr>
      <w:rPr>
        <w:position w:val="0"/>
      </w:rPr>
    </w:lvl>
    <w:lvl w:ilvl="4">
      <w:start w:val="1"/>
      <w:numFmt w:val="lowerLetter"/>
      <w:lvlText w:val="%5."/>
      <w:lvlJc w:val="left"/>
      <w:pPr>
        <w:tabs>
          <w:tab w:val="num" w:pos="360"/>
        </w:tabs>
        <w:ind w:left="360" w:firstLine="4680"/>
      </w:pPr>
      <w:rPr>
        <w:position w:val="0"/>
      </w:rPr>
    </w:lvl>
    <w:lvl w:ilvl="5">
      <w:start w:val="1"/>
      <w:numFmt w:val="lowerRoman"/>
      <w:lvlText w:val="%6."/>
      <w:lvlJc w:val="left"/>
      <w:pPr>
        <w:tabs>
          <w:tab w:val="num" w:pos="285"/>
        </w:tabs>
        <w:ind w:left="285" w:firstLine="5475"/>
      </w:pPr>
      <w:rPr>
        <w:position w:val="0"/>
      </w:rPr>
    </w:lvl>
    <w:lvl w:ilvl="6">
      <w:start w:val="1"/>
      <w:numFmt w:val="decimal"/>
      <w:lvlText w:val="%7."/>
      <w:lvlJc w:val="left"/>
      <w:pPr>
        <w:tabs>
          <w:tab w:val="num" w:pos="360"/>
        </w:tabs>
        <w:ind w:left="360" w:firstLine="6120"/>
      </w:pPr>
      <w:rPr>
        <w:position w:val="0"/>
      </w:rPr>
    </w:lvl>
    <w:lvl w:ilvl="7">
      <w:start w:val="1"/>
      <w:numFmt w:val="lowerLetter"/>
      <w:lvlText w:val="%8."/>
      <w:lvlJc w:val="left"/>
      <w:pPr>
        <w:tabs>
          <w:tab w:val="num" w:pos="360"/>
        </w:tabs>
        <w:ind w:left="360" w:firstLine="6840"/>
      </w:pPr>
      <w:rPr>
        <w:position w:val="0"/>
      </w:rPr>
    </w:lvl>
    <w:lvl w:ilvl="8">
      <w:start w:val="1"/>
      <w:numFmt w:val="lowerRoman"/>
      <w:lvlText w:val="%9."/>
      <w:lvlJc w:val="left"/>
      <w:pPr>
        <w:tabs>
          <w:tab w:val="num" w:pos="285"/>
        </w:tabs>
        <w:ind w:left="285" w:firstLine="7635"/>
      </w:pPr>
      <w:rPr>
        <w:position w:val="0"/>
      </w:rPr>
    </w:lvl>
  </w:abstractNum>
  <w:abstractNum w:abstractNumId="13" w15:restartNumberingAfterBreak="0">
    <w:nsid w:val="00000020"/>
    <w:multiLevelType w:val="multilevel"/>
    <w:tmpl w:val="894EE892"/>
    <w:lvl w:ilvl="0">
      <w:start w:val="1"/>
      <w:numFmt w:val="upperLetter"/>
      <w:pStyle w:val="List11"/>
      <w:lvlText w:val="%1."/>
      <w:lvlJc w:val="left"/>
      <w:pPr>
        <w:tabs>
          <w:tab w:val="num" w:pos="144"/>
        </w:tabs>
        <w:ind w:left="144" w:firstLine="0"/>
      </w:pPr>
      <w:rPr>
        <w:position w:val="0"/>
      </w:rPr>
    </w:lvl>
    <w:lvl w:ilvl="1">
      <w:start w:val="1"/>
      <w:numFmt w:val="lowerLetter"/>
      <w:lvlText w:val="%2."/>
      <w:lvlJc w:val="left"/>
      <w:pPr>
        <w:tabs>
          <w:tab w:val="num" w:pos="360"/>
        </w:tabs>
        <w:ind w:left="360" w:firstLine="1155"/>
      </w:pPr>
      <w:rPr>
        <w:position w:val="0"/>
      </w:rPr>
    </w:lvl>
    <w:lvl w:ilvl="2">
      <w:start w:val="1"/>
      <w:numFmt w:val="lowerRoman"/>
      <w:lvlText w:val="%3."/>
      <w:lvlJc w:val="left"/>
      <w:pPr>
        <w:tabs>
          <w:tab w:val="num" w:pos="285"/>
        </w:tabs>
        <w:ind w:left="285" w:firstLine="1950"/>
      </w:pPr>
      <w:rPr>
        <w:position w:val="0"/>
      </w:rPr>
    </w:lvl>
    <w:lvl w:ilvl="3">
      <w:start w:val="1"/>
      <w:numFmt w:val="decimal"/>
      <w:lvlText w:val="%4."/>
      <w:lvlJc w:val="left"/>
      <w:pPr>
        <w:tabs>
          <w:tab w:val="num" w:pos="360"/>
        </w:tabs>
        <w:ind w:left="360" w:firstLine="2595"/>
      </w:pPr>
      <w:rPr>
        <w:position w:val="0"/>
      </w:rPr>
    </w:lvl>
    <w:lvl w:ilvl="4">
      <w:start w:val="1"/>
      <w:numFmt w:val="lowerLetter"/>
      <w:lvlText w:val="%5."/>
      <w:lvlJc w:val="left"/>
      <w:pPr>
        <w:tabs>
          <w:tab w:val="num" w:pos="360"/>
        </w:tabs>
        <w:ind w:left="360" w:firstLine="3315"/>
      </w:pPr>
      <w:rPr>
        <w:position w:val="0"/>
      </w:rPr>
    </w:lvl>
    <w:lvl w:ilvl="5">
      <w:start w:val="1"/>
      <w:numFmt w:val="lowerRoman"/>
      <w:lvlText w:val="%6."/>
      <w:lvlJc w:val="left"/>
      <w:pPr>
        <w:tabs>
          <w:tab w:val="num" w:pos="285"/>
        </w:tabs>
        <w:ind w:left="285" w:firstLine="4110"/>
      </w:pPr>
      <w:rPr>
        <w:position w:val="0"/>
      </w:rPr>
    </w:lvl>
    <w:lvl w:ilvl="6">
      <w:start w:val="1"/>
      <w:numFmt w:val="decimal"/>
      <w:lvlText w:val="%7."/>
      <w:lvlJc w:val="left"/>
      <w:pPr>
        <w:tabs>
          <w:tab w:val="num" w:pos="360"/>
        </w:tabs>
        <w:ind w:left="360" w:firstLine="4755"/>
      </w:pPr>
      <w:rPr>
        <w:position w:val="0"/>
      </w:rPr>
    </w:lvl>
    <w:lvl w:ilvl="7">
      <w:start w:val="1"/>
      <w:numFmt w:val="lowerLetter"/>
      <w:lvlText w:val="%8."/>
      <w:lvlJc w:val="left"/>
      <w:pPr>
        <w:tabs>
          <w:tab w:val="num" w:pos="360"/>
        </w:tabs>
        <w:ind w:left="360" w:firstLine="5475"/>
      </w:pPr>
      <w:rPr>
        <w:position w:val="0"/>
      </w:rPr>
    </w:lvl>
    <w:lvl w:ilvl="8">
      <w:start w:val="1"/>
      <w:numFmt w:val="lowerRoman"/>
      <w:lvlText w:val="%9."/>
      <w:lvlJc w:val="left"/>
      <w:pPr>
        <w:tabs>
          <w:tab w:val="num" w:pos="285"/>
        </w:tabs>
        <w:ind w:left="285" w:firstLine="6270"/>
      </w:pPr>
      <w:rPr>
        <w:position w:val="0"/>
      </w:rPr>
    </w:lvl>
  </w:abstractNum>
  <w:abstractNum w:abstractNumId="14" w15:restartNumberingAfterBreak="0">
    <w:nsid w:val="00000024"/>
    <w:multiLevelType w:val="multilevel"/>
    <w:tmpl w:val="894EE896"/>
    <w:lvl w:ilvl="0">
      <w:start w:val="1"/>
      <w:numFmt w:val="decimal"/>
      <w:pStyle w:val="List12"/>
      <w:lvlText w:val="%1."/>
      <w:lvlJc w:val="left"/>
      <w:pPr>
        <w:tabs>
          <w:tab w:val="num" w:pos="360"/>
        </w:tabs>
        <w:ind w:left="360" w:firstLine="0"/>
      </w:pPr>
      <w:rPr>
        <w:position w:val="0"/>
      </w:rPr>
    </w:lvl>
    <w:lvl w:ilvl="1">
      <w:start w:val="1"/>
      <w:numFmt w:val="lowerLetter"/>
      <w:lvlText w:val="%2."/>
      <w:lvlJc w:val="left"/>
      <w:pPr>
        <w:tabs>
          <w:tab w:val="num" w:pos="360"/>
        </w:tabs>
        <w:ind w:left="360" w:firstLine="720"/>
      </w:pPr>
      <w:rPr>
        <w:position w:val="0"/>
      </w:rPr>
    </w:lvl>
    <w:lvl w:ilvl="2">
      <w:start w:val="1"/>
      <w:numFmt w:val="lowerRoman"/>
      <w:lvlText w:val="%3."/>
      <w:lvlJc w:val="left"/>
      <w:pPr>
        <w:tabs>
          <w:tab w:val="num" w:pos="285"/>
        </w:tabs>
        <w:ind w:left="285" w:firstLine="1515"/>
      </w:pPr>
      <w:rPr>
        <w:position w:val="0"/>
      </w:rPr>
    </w:lvl>
    <w:lvl w:ilvl="3">
      <w:start w:val="1"/>
      <w:numFmt w:val="decimal"/>
      <w:lvlText w:val="%4."/>
      <w:lvlJc w:val="left"/>
      <w:pPr>
        <w:tabs>
          <w:tab w:val="num" w:pos="360"/>
        </w:tabs>
        <w:ind w:left="360" w:firstLine="2160"/>
      </w:pPr>
      <w:rPr>
        <w:position w:val="0"/>
      </w:rPr>
    </w:lvl>
    <w:lvl w:ilvl="4">
      <w:start w:val="1"/>
      <w:numFmt w:val="lowerLetter"/>
      <w:lvlText w:val="%5."/>
      <w:lvlJc w:val="left"/>
      <w:pPr>
        <w:tabs>
          <w:tab w:val="num" w:pos="360"/>
        </w:tabs>
        <w:ind w:left="360" w:firstLine="2880"/>
      </w:pPr>
      <w:rPr>
        <w:position w:val="0"/>
      </w:rPr>
    </w:lvl>
    <w:lvl w:ilvl="5">
      <w:start w:val="1"/>
      <w:numFmt w:val="lowerRoman"/>
      <w:lvlText w:val="%6."/>
      <w:lvlJc w:val="left"/>
      <w:pPr>
        <w:tabs>
          <w:tab w:val="num" w:pos="285"/>
        </w:tabs>
        <w:ind w:left="285" w:firstLine="3675"/>
      </w:pPr>
      <w:rPr>
        <w:position w:val="0"/>
      </w:rPr>
    </w:lvl>
    <w:lvl w:ilvl="6">
      <w:start w:val="1"/>
      <w:numFmt w:val="decimal"/>
      <w:lvlText w:val="%7."/>
      <w:lvlJc w:val="left"/>
      <w:pPr>
        <w:tabs>
          <w:tab w:val="num" w:pos="360"/>
        </w:tabs>
        <w:ind w:left="360" w:firstLine="4320"/>
      </w:pPr>
      <w:rPr>
        <w:position w:val="0"/>
      </w:rPr>
    </w:lvl>
    <w:lvl w:ilvl="7">
      <w:start w:val="1"/>
      <w:numFmt w:val="lowerLetter"/>
      <w:lvlText w:val="%8."/>
      <w:lvlJc w:val="left"/>
      <w:pPr>
        <w:tabs>
          <w:tab w:val="num" w:pos="360"/>
        </w:tabs>
        <w:ind w:left="360" w:firstLine="5040"/>
      </w:pPr>
      <w:rPr>
        <w:position w:val="0"/>
      </w:rPr>
    </w:lvl>
    <w:lvl w:ilvl="8">
      <w:start w:val="1"/>
      <w:numFmt w:val="lowerRoman"/>
      <w:lvlText w:val="%9."/>
      <w:lvlJc w:val="left"/>
      <w:pPr>
        <w:tabs>
          <w:tab w:val="num" w:pos="285"/>
        </w:tabs>
        <w:ind w:left="285" w:firstLine="5835"/>
      </w:pPr>
      <w:rPr>
        <w:position w:val="0"/>
      </w:rPr>
    </w:lvl>
  </w:abstractNum>
  <w:abstractNum w:abstractNumId="15" w15:restartNumberingAfterBreak="0">
    <w:nsid w:val="02634222"/>
    <w:multiLevelType w:val="hybridMultilevel"/>
    <w:tmpl w:val="3C2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C831F7"/>
    <w:multiLevelType w:val="hybridMultilevel"/>
    <w:tmpl w:val="FFFFFFFF"/>
    <w:lvl w:ilvl="0" w:tplc="DFAA0842">
      <w:start w:val="1"/>
      <w:numFmt w:val="bullet"/>
      <w:lvlText w:val=""/>
      <w:lvlJc w:val="left"/>
      <w:pPr>
        <w:ind w:left="720" w:hanging="360"/>
      </w:pPr>
      <w:rPr>
        <w:rFonts w:ascii="Symbol" w:hAnsi="Symbol" w:hint="default"/>
      </w:rPr>
    </w:lvl>
    <w:lvl w:ilvl="1" w:tplc="3EA0D4A0">
      <w:start w:val="1"/>
      <w:numFmt w:val="bullet"/>
      <w:lvlText w:val="o"/>
      <w:lvlJc w:val="left"/>
      <w:pPr>
        <w:ind w:left="1440" w:hanging="360"/>
      </w:pPr>
      <w:rPr>
        <w:rFonts w:ascii="Courier New" w:hAnsi="Courier New" w:hint="default"/>
      </w:rPr>
    </w:lvl>
    <w:lvl w:ilvl="2" w:tplc="7E46D772">
      <w:start w:val="1"/>
      <w:numFmt w:val="bullet"/>
      <w:lvlText w:val=""/>
      <w:lvlJc w:val="left"/>
      <w:pPr>
        <w:ind w:left="2160" w:hanging="360"/>
      </w:pPr>
      <w:rPr>
        <w:rFonts w:ascii="Wingdings" w:hAnsi="Wingdings" w:hint="default"/>
      </w:rPr>
    </w:lvl>
    <w:lvl w:ilvl="3" w:tplc="EE083EE0">
      <w:start w:val="1"/>
      <w:numFmt w:val="bullet"/>
      <w:lvlText w:val=""/>
      <w:lvlJc w:val="left"/>
      <w:pPr>
        <w:ind w:left="2880" w:hanging="360"/>
      </w:pPr>
      <w:rPr>
        <w:rFonts w:ascii="Symbol" w:hAnsi="Symbol" w:hint="default"/>
      </w:rPr>
    </w:lvl>
    <w:lvl w:ilvl="4" w:tplc="67B28DCE">
      <w:start w:val="1"/>
      <w:numFmt w:val="bullet"/>
      <w:lvlText w:val="o"/>
      <w:lvlJc w:val="left"/>
      <w:pPr>
        <w:ind w:left="3600" w:hanging="360"/>
      </w:pPr>
      <w:rPr>
        <w:rFonts w:ascii="Courier New" w:hAnsi="Courier New" w:hint="default"/>
      </w:rPr>
    </w:lvl>
    <w:lvl w:ilvl="5" w:tplc="86167C20">
      <w:start w:val="1"/>
      <w:numFmt w:val="bullet"/>
      <w:lvlText w:val=""/>
      <w:lvlJc w:val="left"/>
      <w:pPr>
        <w:ind w:left="4320" w:hanging="360"/>
      </w:pPr>
      <w:rPr>
        <w:rFonts w:ascii="Wingdings" w:hAnsi="Wingdings" w:hint="default"/>
      </w:rPr>
    </w:lvl>
    <w:lvl w:ilvl="6" w:tplc="549EB4B8">
      <w:start w:val="1"/>
      <w:numFmt w:val="bullet"/>
      <w:lvlText w:val=""/>
      <w:lvlJc w:val="left"/>
      <w:pPr>
        <w:ind w:left="5040" w:hanging="360"/>
      </w:pPr>
      <w:rPr>
        <w:rFonts w:ascii="Symbol" w:hAnsi="Symbol" w:hint="default"/>
      </w:rPr>
    </w:lvl>
    <w:lvl w:ilvl="7" w:tplc="AEEACFAE">
      <w:start w:val="1"/>
      <w:numFmt w:val="bullet"/>
      <w:lvlText w:val="o"/>
      <w:lvlJc w:val="left"/>
      <w:pPr>
        <w:ind w:left="5760" w:hanging="360"/>
      </w:pPr>
      <w:rPr>
        <w:rFonts w:ascii="Courier New" w:hAnsi="Courier New" w:hint="default"/>
      </w:rPr>
    </w:lvl>
    <w:lvl w:ilvl="8" w:tplc="E3AA7CA8">
      <w:start w:val="1"/>
      <w:numFmt w:val="bullet"/>
      <w:lvlText w:val=""/>
      <w:lvlJc w:val="left"/>
      <w:pPr>
        <w:ind w:left="6480" w:hanging="360"/>
      </w:pPr>
      <w:rPr>
        <w:rFonts w:ascii="Wingdings" w:hAnsi="Wingdings" w:hint="default"/>
      </w:rPr>
    </w:lvl>
  </w:abstractNum>
  <w:abstractNum w:abstractNumId="17" w15:restartNumberingAfterBreak="0">
    <w:nsid w:val="04D35270"/>
    <w:multiLevelType w:val="hybridMultilevel"/>
    <w:tmpl w:val="FFFFFFFF"/>
    <w:lvl w:ilvl="0" w:tplc="5B763EEE">
      <w:start w:val="1"/>
      <w:numFmt w:val="bullet"/>
      <w:lvlText w:val="·"/>
      <w:lvlJc w:val="left"/>
      <w:pPr>
        <w:ind w:left="720" w:hanging="360"/>
      </w:pPr>
      <w:rPr>
        <w:rFonts w:ascii="Symbol" w:hAnsi="Symbol" w:hint="default"/>
      </w:rPr>
    </w:lvl>
    <w:lvl w:ilvl="1" w:tplc="8C449FFA">
      <w:start w:val="1"/>
      <w:numFmt w:val="bullet"/>
      <w:lvlText w:val="·"/>
      <w:lvlJc w:val="left"/>
      <w:pPr>
        <w:ind w:left="1440" w:hanging="360"/>
      </w:pPr>
      <w:rPr>
        <w:rFonts w:ascii="Symbol" w:hAnsi="Symbol" w:hint="default"/>
      </w:rPr>
    </w:lvl>
    <w:lvl w:ilvl="2" w:tplc="D884CF68">
      <w:start w:val="1"/>
      <w:numFmt w:val="bullet"/>
      <w:lvlText w:val=""/>
      <w:lvlJc w:val="left"/>
      <w:pPr>
        <w:ind w:left="2160" w:hanging="360"/>
      </w:pPr>
      <w:rPr>
        <w:rFonts w:ascii="Wingdings" w:hAnsi="Wingdings" w:hint="default"/>
      </w:rPr>
    </w:lvl>
    <w:lvl w:ilvl="3" w:tplc="5D0C248A">
      <w:start w:val="1"/>
      <w:numFmt w:val="bullet"/>
      <w:lvlText w:val=""/>
      <w:lvlJc w:val="left"/>
      <w:pPr>
        <w:ind w:left="2880" w:hanging="360"/>
      </w:pPr>
      <w:rPr>
        <w:rFonts w:ascii="Symbol" w:hAnsi="Symbol" w:hint="default"/>
      </w:rPr>
    </w:lvl>
    <w:lvl w:ilvl="4" w:tplc="069E1A60">
      <w:start w:val="1"/>
      <w:numFmt w:val="bullet"/>
      <w:lvlText w:val="o"/>
      <w:lvlJc w:val="left"/>
      <w:pPr>
        <w:ind w:left="3600" w:hanging="360"/>
      </w:pPr>
      <w:rPr>
        <w:rFonts w:ascii="Courier New" w:hAnsi="Courier New" w:hint="default"/>
      </w:rPr>
    </w:lvl>
    <w:lvl w:ilvl="5" w:tplc="39725D7A">
      <w:start w:val="1"/>
      <w:numFmt w:val="bullet"/>
      <w:lvlText w:val=""/>
      <w:lvlJc w:val="left"/>
      <w:pPr>
        <w:ind w:left="4320" w:hanging="360"/>
      </w:pPr>
      <w:rPr>
        <w:rFonts w:ascii="Wingdings" w:hAnsi="Wingdings" w:hint="default"/>
      </w:rPr>
    </w:lvl>
    <w:lvl w:ilvl="6" w:tplc="8BCC8832">
      <w:start w:val="1"/>
      <w:numFmt w:val="bullet"/>
      <w:lvlText w:val=""/>
      <w:lvlJc w:val="left"/>
      <w:pPr>
        <w:ind w:left="5040" w:hanging="360"/>
      </w:pPr>
      <w:rPr>
        <w:rFonts w:ascii="Symbol" w:hAnsi="Symbol" w:hint="default"/>
      </w:rPr>
    </w:lvl>
    <w:lvl w:ilvl="7" w:tplc="46A6AC1E">
      <w:start w:val="1"/>
      <w:numFmt w:val="bullet"/>
      <w:lvlText w:val="o"/>
      <w:lvlJc w:val="left"/>
      <w:pPr>
        <w:ind w:left="5760" w:hanging="360"/>
      </w:pPr>
      <w:rPr>
        <w:rFonts w:ascii="Courier New" w:hAnsi="Courier New" w:hint="default"/>
      </w:rPr>
    </w:lvl>
    <w:lvl w:ilvl="8" w:tplc="9640B2FC">
      <w:start w:val="1"/>
      <w:numFmt w:val="bullet"/>
      <w:lvlText w:val=""/>
      <w:lvlJc w:val="left"/>
      <w:pPr>
        <w:ind w:left="6480" w:hanging="360"/>
      </w:pPr>
      <w:rPr>
        <w:rFonts w:ascii="Wingdings" w:hAnsi="Wingdings" w:hint="default"/>
      </w:rPr>
    </w:lvl>
  </w:abstractNum>
  <w:abstractNum w:abstractNumId="18" w15:restartNumberingAfterBreak="0">
    <w:nsid w:val="05491AB3"/>
    <w:multiLevelType w:val="hybridMultilevel"/>
    <w:tmpl w:val="E2963756"/>
    <w:lvl w:ilvl="0" w:tplc="3C528BF2">
      <w:start w:val="1"/>
      <w:numFmt w:val="bullet"/>
      <w:lvlText w:val=""/>
      <w:lvlJc w:val="left"/>
      <w:pPr>
        <w:ind w:left="720" w:hanging="360"/>
      </w:pPr>
      <w:rPr>
        <w:rFonts w:ascii="Symbol" w:hAnsi="Symbol" w:hint="default"/>
      </w:rPr>
    </w:lvl>
    <w:lvl w:ilvl="1" w:tplc="4606C92C">
      <w:start w:val="1"/>
      <w:numFmt w:val="bullet"/>
      <w:lvlText w:val="o"/>
      <w:lvlJc w:val="left"/>
      <w:pPr>
        <w:ind w:left="1440" w:hanging="360"/>
      </w:pPr>
      <w:rPr>
        <w:rFonts w:ascii="Courier New" w:hAnsi="Courier New" w:hint="default"/>
      </w:rPr>
    </w:lvl>
    <w:lvl w:ilvl="2" w:tplc="4AEEFE5C">
      <w:start w:val="1"/>
      <w:numFmt w:val="bullet"/>
      <w:lvlText w:val=""/>
      <w:lvlJc w:val="left"/>
      <w:pPr>
        <w:ind w:left="2160" w:hanging="360"/>
      </w:pPr>
      <w:rPr>
        <w:rFonts w:ascii="Wingdings" w:hAnsi="Wingdings" w:hint="default"/>
      </w:rPr>
    </w:lvl>
    <w:lvl w:ilvl="3" w:tplc="CBBA5724">
      <w:start w:val="1"/>
      <w:numFmt w:val="bullet"/>
      <w:lvlText w:val=""/>
      <w:lvlJc w:val="left"/>
      <w:pPr>
        <w:ind w:left="2880" w:hanging="360"/>
      </w:pPr>
      <w:rPr>
        <w:rFonts w:ascii="Symbol" w:hAnsi="Symbol" w:hint="default"/>
      </w:rPr>
    </w:lvl>
    <w:lvl w:ilvl="4" w:tplc="5EE28CB2">
      <w:start w:val="1"/>
      <w:numFmt w:val="bullet"/>
      <w:lvlText w:val="o"/>
      <w:lvlJc w:val="left"/>
      <w:pPr>
        <w:ind w:left="3600" w:hanging="360"/>
      </w:pPr>
      <w:rPr>
        <w:rFonts w:ascii="Courier New" w:hAnsi="Courier New" w:hint="default"/>
      </w:rPr>
    </w:lvl>
    <w:lvl w:ilvl="5" w:tplc="2DBCE80A">
      <w:start w:val="1"/>
      <w:numFmt w:val="bullet"/>
      <w:lvlText w:val=""/>
      <w:lvlJc w:val="left"/>
      <w:pPr>
        <w:ind w:left="4320" w:hanging="360"/>
      </w:pPr>
      <w:rPr>
        <w:rFonts w:ascii="Wingdings" w:hAnsi="Wingdings" w:hint="default"/>
      </w:rPr>
    </w:lvl>
    <w:lvl w:ilvl="6" w:tplc="6CAC746C">
      <w:start w:val="1"/>
      <w:numFmt w:val="bullet"/>
      <w:lvlText w:val=""/>
      <w:lvlJc w:val="left"/>
      <w:pPr>
        <w:ind w:left="5040" w:hanging="360"/>
      </w:pPr>
      <w:rPr>
        <w:rFonts w:ascii="Symbol" w:hAnsi="Symbol" w:hint="default"/>
      </w:rPr>
    </w:lvl>
    <w:lvl w:ilvl="7" w:tplc="C38C73C2">
      <w:start w:val="1"/>
      <w:numFmt w:val="bullet"/>
      <w:lvlText w:val="o"/>
      <w:lvlJc w:val="left"/>
      <w:pPr>
        <w:ind w:left="5760" w:hanging="360"/>
      </w:pPr>
      <w:rPr>
        <w:rFonts w:ascii="Courier New" w:hAnsi="Courier New" w:hint="default"/>
      </w:rPr>
    </w:lvl>
    <w:lvl w:ilvl="8" w:tplc="564AD6D4">
      <w:start w:val="1"/>
      <w:numFmt w:val="bullet"/>
      <w:lvlText w:val=""/>
      <w:lvlJc w:val="left"/>
      <w:pPr>
        <w:ind w:left="6480" w:hanging="360"/>
      </w:pPr>
      <w:rPr>
        <w:rFonts w:ascii="Wingdings" w:hAnsi="Wingdings" w:hint="default"/>
      </w:rPr>
    </w:lvl>
  </w:abstractNum>
  <w:abstractNum w:abstractNumId="19" w15:restartNumberingAfterBreak="0">
    <w:nsid w:val="05AA3B89"/>
    <w:multiLevelType w:val="hybridMultilevel"/>
    <w:tmpl w:val="FFFFFFFF"/>
    <w:lvl w:ilvl="0" w:tplc="C8CEF9D8">
      <w:start w:val="1"/>
      <w:numFmt w:val="bullet"/>
      <w:lvlText w:val=""/>
      <w:lvlJc w:val="left"/>
      <w:pPr>
        <w:ind w:left="720" w:hanging="360"/>
      </w:pPr>
      <w:rPr>
        <w:rFonts w:ascii="Symbol" w:hAnsi="Symbol" w:hint="default"/>
      </w:rPr>
    </w:lvl>
    <w:lvl w:ilvl="1" w:tplc="5F2ECA1C">
      <w:start w:val="1"/>
      <w:numFmt w:val="bullet"/>
      <w:lvlText w:val="o"/>
      <w:lvlJc w:val="left"/>
      <w:pPr>
        <w:ind w:left="1440" w:hanging="360"/>
      </w:pPr>
      <w:rPr>
        <w:rFonts w:ascii="Courier New" w:hAnsi="Courier New" w:hint="default"/>
      </w:rPr>
    </w:lvl>
    <w:lvl w:ilvl="2" w:tplc="4000C844">
      <w:start w:val="1"/>
      <w:numFmt w:val="bullet"/>
      <w:lvlText w:val=""/>
      <w:lvlJc w:val="left"/>
      <w:pPr>
        <w:ind w:left="2160" w:hanging="360"/>
      </w:pPr>
      <w:rPr>
        <w:rFonts w:ascii="Wingdings" w:hAnsi="Wingdings" w:hint="default"/>
      </w:rPr>
    </w:lvl>
    <w:lvl w:ilvl="3" w:tplc="513E4022">
      <w:start w:val="1"/>
      <w:numFmt w:val="bullet"/>
      <w:lvlText w:val=""/>
      <w:lvlJc w:val="left"/>
      <w:pPr>
        <w:ind w:left="2880" w:hanging="360"/>
      </w:pPr>
      <w:rPr>
        <w:rFonts w:ascii="Symbol" w:hAnsi="Symbol" w:hint="default"/>
      </w:rPr>
    </w:lvl>
    <w:lvl w:ilvl="4" w:tplc="C9566F06">
      <w:start w:val="1"/>
      <w:numFmt w:val="bullet"/>
      <w:lvlText w:val="o"/>
      <w:lvlJc w:val="left"/>
      <w:pPr>
        <w:ind w:left="3600" w:hanging="360"/>
      </w:pPr>
      <w:rPr>
        <w:rFonts w:ascii="Courier New" w:hAnsi="Courier New" w:hint="default"/>
      </w:rPr>
    </w:lvl>
    <w:lvl w:ilvl="5" w:tplc="9D0423C4">
      <w:start w:val="1"/>
      <w:numFmt w:val="bullet"/>
      <w:lvlText w:val=""/>
      <w:lvlJc w:val="left"/>
      <w:pPr>
        <w:ind w:left="4320" w:hanging="360"/>
      </w:pPr>
      <w:rPr>
        <w:rFonts w:ascii="Wingdings" w:hAnsi="Wingdings" w:hint="default"/>
      </w:rPr>
    </w:lvl>
    <w:lvl w:ilvl="6" w:tplc="64CE87FC">
      <w:start w:val="1"/>
      <w:numFmt w:val="bullet"/>
      <w:lvlText w:val=""/>
      <w:lvlJc w:val="left"/>
      <w:pPr>
        <w:ind w:left="5040" w:hanging="360"/>
      </w:pPr>
      <w:rPr>
        <w:rFonts w:ascii="Symbol" w:hAnsi="Symbol" w:hint="default"/>
      </w:rPr>
    </w:lvl>
    <w:lvl w:ilvl="7" w:tplc="69C4DF56">
      <w:start w:val="1"/>
      <w:numFmt w:val="bullet"/>
      <w:lvlText w:val="o"/>
      <w:lvlJc w:val="left"/>
      <w:pPr>
        <w:ind w:left="5760" w:hanging="360"/>
      </w:pPr>
      <w:rPr>
        <w:rFonts w:ascii="Courier New" w:hAnsi="Courier New" w:hint="default"/>
      </w:rPr>
    </w:lvl>
    <w:lvl w:ilvl="8" w:tplc="70886DF4">
      <w:start w:val="1"/>
      <w:numFmt w:val="bullet"/>
      <w:lvlText w:val=""/>
      <w:lvlJc w:val="left"/>
      <w:pPr>
        <w:ind w:left="6480" w:hanging="360"/>
      </w:pPr>
      <w:rPr>
        <w:rFonts w:ascii="Wingdings" w:hAnsi="Wingdings" w:hint="default"/>
      </w:rPr>
    </w:lvl>
  </w:abstractNum>
  <w:abstractNum w:abstractNumId="20" w15:restartNumberingAfterBreak="0">
    <w:nsid w:val="0684A4C6"/>
    <w:multiLevelType w:val="hybridMultilevel"/>
    <w:tmpl w:val="FFFFFFFF"/>
    <w:lvl w:ilvl="0" w:tplc="07B60CC8">
      <w:start w:val="1"/>
      <w:numFmt w:val="bullet"/>
      <w:lvlText w:val="·"/>
      <w:lvlJc w:val="left"/>
      <w:pPr>
        <w:ind w:left="720" w:hanging="360"/>
      </w:pPr>
      <w:rPr>
        <w:rFonts w:ascii="Symbol" w:hAnsi="Symbol" w:hint="default"/>
      </w:rPr>
    </w:lvl>
    <w:lvl w:ilvl="1" w:tplc="A88ED4FE">
      <w:start w:val="1"/>
      <w:numFmt w:val="bullet"/>
      <w:lvlText w:val="o"/>
      <w:lvlJc w:val="left"/>
      <w:pPr>
        <w:ind w:left="1440" w:hanging="360"/>
      </w:pPr>
      <w:rPr>
        <w:rFonts w:ascii="Courier New" w:hAnsi="Courier New" w:hint="default"/>
      </w:rPr>
    </w:lvl>
    <w:lvl w:ilvl="2" w:tplc="BE08C9BA">
      <w:start w:val="1"/>
      <w:numFmt w:val="bullet"/>
      <w:lvlText w:val=""/>
      <w:lvlJc w:val="left"/>
      <w:pPr>
        <w:ind w:left="2160" w:hanging="360"/>
      </w:pPr>
      <w:rPr>
        <w:rFonts w:ascii="Wingdings" w:hAnsi="Wingdings" w:hint="default"/>
      </w:rPr>
    </w:lvl>
    <w:lvl w:ilvl="3" w:tplc="7F5A0316">
      <w:start w:val="1"/>
      <w:numFmt w:val="bullet"/>
      <w:lvlText w:val=""/>
      <w:lvlJc w:val="left"/>
      <w:pPr>
        <w:ind w:left="2880" w:hanging="360"/>
      </w:pPr>
      <w:rPr>
        <w:rFonts w:ascii="Symbol" w:hAnsi="Symbol" w:hint="default"/>
      </w:rPr>
    </w:lvl>
    <w:lvl w:ilvl="4" w:tplc="D7CC24FE">
      <w:start w:val="1"/>
      <w:numFmt w:val="bullet"/>
      <w:lvlText w:val="o"/>
      <w:lvlJc w:val="left"/>
      <w:pPr>
        <w:ind w:left="3600" w:hanging="360"/>
      </w:pPr>
      <w:rPr>
        <w:rFonts w:ascii="Courier New" w:hAnsi="Courier New" w:hint="default"/>
      </w:rPr>
    </w:lvl>
    <w:lvl w:ilvl="5" w:tplc="6764C29E">
      <w:start w:val="1"/>
      <w:numFmt w:val="bullet"/>
      <w:lvlText w:val=""/>
      <w:lvlJc w:val="left"/>
      <w:pPr>
        <w:ind w:left="4320" w:hanging="360"/>
      </w:pPr>
      <w:rPr>
        <w:rFonts w:ascii="Wingdings" w:hAnsi="Wingdings" w:hint="default"/>
      </w:rPr>
    </w:lvl>
    <w:lvl w:ilvl="6" w:tplc="D1F40A76">
      <w:start w:val="1"/>
      <w:numFmt w:val="bullet"/>
      <w:lvlText w:val=""/>
      <w:lvlJc w:val="left"/>
      <w:pPr>
        <w:ind w:left="5040" w:hanging="360"/>
      </w:pPr>
      <w:rPr>
        <w:rFonts w:ascii="Symbol" w:hAnsi="Symbol" w:hint="default"/>
      </w:rPr>
    </w:lvl>
    <w:lvl w:ilvl="7" w:tplc="D1D43546">
      <w:start w:val="1"/>
      <w:numFmt w:val="bullet"/>
      <w:lvlText w:val="o"/>
      <w:lvlJc w:val="left"/>
      <w:pPr>
        <w:ind w:left="5760" w:hanging="360"/>
      </w:pPr>
      <w:rPr>
        <w:rFonts w:ascii="Courier New" w:hAnsi="Courier New" w:hint="default"/>
      </w:rPr>
    </w:lvl>
    <w:lvl w:ilvl="8" w:tplc="4BFC8C52">
      <w:start w:val="1"/>
      <w:numFmt w:val="bullet"/>
      <w:lvlText w:val=""/>
      <w:lvlJc w:val="left"/>
      <w:pPr>
        <w:ind w:left="6480" w:hanging="360"/>
      </w:pPr>
      <w:rPr>
        <w:rFonts w:ascii="Wingdings" w:hAnsi="Wingdings" w:hint="default"/>
      </w:rPr>
    </w:lvl>
  </w:abstractNum>
  <w:abstractNum w:abstractNumId="21" w15:restartNumberingAfterBreak="0">
    <w:nsid w:val="069C6EB4"/>
    <w:multiLevelType w:val="hybridMultilevel"/>
    <w:tmpl w:val="FFFFFFFF"/>
    <w:lvl w:ilvl="0" w:tplc="0E5ADE56">
      <w:start w:val="1"/>
      <w:numFmt w:val="bullet"/>
      <w:lvlText w:val=""/>
      <w:lvlJc w:val="left"/>
      <w:pPr>
        <w:ind w:left="720" w:hanging="360"/>
      </w:pPr>
      <w:rPr>
        <w:rFonts w:ascii="Symbol" w:hAnsi="Symbol" w:hint="default"/>
      </w:rPr>
    </w:lvl>
    <w:lvl w:ilvl="1" w:tplc="29422836">
      <w:start w:val="1"/>
      <w:numFmt w:val="bullet"/>
      <w:lvlText w:val="o"/>
      <w:lvlJc w:val="left"/>
      <w:pPr>
        <w:ind w:left="1440" w:hanging="360"/>
      </w:pPr>
      <w:rPr>
        <w:rFonts w:ascii="Courier New" w:hAnsi="Courier New" w:hint="default"/>
      </w:rPr>
    </w:lvl>
    <w:lvl w:ilvl="2" w:tplc="F20C41A2">
      <w:start w:val="1"/>
      <w:numFmt w:val="bullet"/>
      <w:lvlText w:val=""/>
      <w:lvlJc w:val="left"/>
      <w:pPr>
        <w:ind w:left="2160" w:hanging="360"/>
      </w:pPr>
      <w:rPr>
        <w:rFonts w:ascii="Wingdings" w:hAnsi="Wingdings" w:hint="default"/>
      </w:rPr>
    </w:lvl>
    <w:lvl w:ilvl="3" w:tplc="35CADDEE">
      <w:start w:val="1"/>
      <w:numFmt w:val="bullet"/>
      <w:lvlText w:val=""/>
      <w:lvlJc w:val="left"/>
      <w:pPr>
        <w:ind w:left="2880" w:hanging="360"/>
      </w:pPr>
      <w:rPr>
        <w:rFonts w:ascii="Symbol" w:hAnsi="Symbol" w:hint="default"/>
      </w:rPr>
    </w:lvl>
    <w:lvl w:ilvl="4" w:tplc="6DC69EE4">
      <w:start w:val="1"/>
      <w:numFmt w:val="bullet"/>
      <w:lvlText w:val="o"/>
      <w:lvlJc w:val="left"/>
      <w:pPr>
        <w:ind w:left="3600" w:hanging="360"/>
      </w:pPr>
      <w:rPr>
        <w:rFonts w:ascii="Courier New" w:hAnsi="Courier New" w:hint="default"/>
      </w:rPr>
    </w:lvl>
    <w:lvl w:ilvl="5" w:tplc="F82074D6">
      <w:start w:val="1"/>
      <w:numFmt w:val="bullet"/>
      <w:lvlText w:val=""/>
      <w:lvlJc w:val="left"/>
      <w:pPr>
        <w:ind w:left="4320" w:hanging="360"/>
      </w:pPr>
      <w:rPr>
        <w:rFonts w:ascii="Wingdings" w:hAnsi="Wingdings" w:hint="default"/>
      </w:rPr>
    </w:lvl>
    <w:lvl w:ilvl="6" w:tplc="998C019E">
      <w:start w:val="1"/>
      <w:numFmt w:val="bullet"/>
      <w:lvlText w:val=""/>
      <w:lvlJc w:val="left"/>
      <w:pPr>
        <w:ind w:left="5040" w:hanging="360"/>
      </w:pPr>
      <w:rPr>
        <w:rFonts w:ascii="Symbol" w:hAnsi="Symbol" w:hint="default"/>
      </w:rPr>
    </w:lvl>
    <w:lvl w:ilvl="7" w:tplc="62E2FBFE">
      <w:start w:val="1"/>
      <w:numFmt w:val="bullet"/>
      <w:lvlText w:val="o"/>
      <w:lvlJc w:val="left"/>
      <w:pPr>
        <w:ind w:left="5760" w:hanging="360"/>
      </w:pPr>
      <w:rPr>
        <w:rFonts w:ascii="Courier New" w:hAnsi="Courier New" w:hint="default"/>
      </w:rPr>
    </w:lvl>
    <w:lvl w:ilvl="8" w:tplc="FC32B472">
      <w:start w:val="1"/>
      <w:numFmt w:val="bullet"/>
      <w:lvlText w:val=""/>
      <w:lvlJc w:val="left"/>
      <w:pPr>
        <w:ind w:left="6480" w:hanging="360"/>
      </w:pPr>
      <w:rPr>
        <w:rFonts w:ascii="Wingdings" w:hAnsi="Wingdings" w:hint="default"/>
      </w:rPr>
    </w:lvl>
  </w:abstractNum>
  <w:abstractNum w:abstractNumId="22" w15:restartNumberingAfterBreak="0">
    <w:nsid w:val="074B87AF"/>
    <w:multiLevelType w:val="hybridMultilevel"/>
    <w:tmpl w:val="FFFFFFFF"/>
    <w:lvl w:ilvl="0" w:tplc="66CC4114">
      <w:start w:val="1"/>
      <w:numFmt w:val="bullet"/>
      <w:lvlText w:val="·"/>
      <w:lvlJc w:val="left"/>
      <w:pPr>
        <w:ind w:left="720" w:hanging="360"/>
      </w:pPr>
      <w:rPr>
        <w:rFonts w:ascii="Symbol" w:hAnsi="Symbol" w:hint="default"/>
      </w:rPr>
    </w:lvl>
    <w:lvl w:ilvl="1" w:tplc="0DFA8338">
      <w:start w:val="1"/>
      <w:numFmt w:val="bullet"/>
      <w:lvlText w:val="o"/>
      <w:lvlJc w:val="left"/>
      <w:pPr>
        <w:ind w:left="1440" w:hanging="360"/>
      </w:pPr>
      <w:rPr>
        <w:rFonts w:ascii="Courier New" w:hAnsi="Courier New" w:hint="default"/>
      </w:rPr>
    </w:lvl>
    <w:lvl w:ilvl="2" w:tplc="90267170">
      <w:start w:val="1"/>
      <w:numFmt w:val="bullet"/>
      <w:lvlText w:val=""/>
      <w:lvlJc w:val="left"/>
      <w:pPr>
        <w:ind w:left="2160" w:hanging="360"/>
      </w:pPr>
      <w:rPr>
        <w:rFonts w:ascii="Wingdings" w:hAnsi="Wingdings" w:hint="default"/>
      </w:rPr>
    </w:lvl>
    <w:lvl w:ilvl="3" w:tplc="6630B6BA">
      <w:start w:val="1"/>
      <w:numFmt w:val="bullet"/>
      <w:lvlText w:val=""/>
      <w:lvlJc w:val="left"/>
      <w:pPr>
        <w:ind w:left="2880" w:hanging="360"/>
      </w:pPr>
      <w:rPr>
        <w:rFonts w:ascii="Symbol" w:hAnsi="Symbol" w:hint="default"/>
      </w:rPr>
    </w:lvl>
    <w:lvl w:ilvl="4" w:tplc="6F7A0FC2">
      <w:start w:val="1"/>
      <w:numFmt w:val="bullet"/>
      <w:lvlText w:val="o"/>
      <w:lvlJc w:val="left"/>
      <w:pPr>
        <w:ind w:left="3600" w:hanging="360"/>
      </w:pPr>
      <w:rPr>
        <w:rFonts w:ascii="Courier New" w:hAnsi="Courier New" w:hint="default"/>
      </w:rPr>
    </w:lvl>
    <w:lvl w:ilvl="5" w:tplc="E8F00530">
      <w:start w:val="1"/>
      <w:numFmt w:val="bullet"/>
      <w:lvlText w:val=""/>
      <w:lvlJc w:val="left"/>
      <w:pPr>
        <w:ind w:left="4320" w:hanging="360"/>
      </w:pPr>
      <w:rPr>
        <w:rFonts w:ascii="Wingdings" w:hAnsi="Wingdings" w:hint="default"/>
      </w:rPr>
    </w:lvl>
    <w:lvl w:ilvl="6" w:tplc="7B6E9AA4">
      <w:start w:val="1"/>
      <w:numFmt w:val="bullet"/>
      <w:lvlText w:val=""/>
      <w:lvlJc w:val="left"/>
      <w:pPr>
        <w:ind w:left="5040" w:hanging="360"/>
      </w:pPr>
      <w:rPr>
        <w:rFonts w:ascii="Symbol" w:hAnsi="Symbol" w:hint="default"/>
      </w:rPr>
    </w:lvl>
    <w:lvl w:ilvl="7" w:tplc="36187F1C">
      <w:start w:val="1"/>
      <w:numFmt w:val="bullet"/>
      <w:lvlText w:val="o"/>
      <w:lvlJc w:val="left"/>
      <w:pPr>
        <w:ind w:left="5760" w:hanging="360"/>
      </w:pPr>
      <w:rPr>
        <w:rFonts w:ascii="Courier New" w:hAnsi="Courier New" w:hint="default"/>
      </w:rPr>
    </w:lvl>
    <w:lvl w:ilvl="8" w:tplc="E7C404CC">
      <w:start w:val="1"/>
      <w:numFmt w:val="bullet"/>
      <w:lvlText w:val=""/>
      <w:lvlJc w:val="left"/>
      <w:pPr>
        <w:ind w:left="6480" w:hanging="360"/>
      </w:pPr>
      <w:rPr>
        <w:rFonts w:ascii="Wingdings" w:hAnsi="Wingdings" w:hint="default"/>
      </w:rPr>
    </w:lvl>
  </w:abstractNum>
  <w:abstractNum w:abstractNumId="23" w15:restartNumberingAfterBreak="0">
    <w:nsid w:val="07EE047E"/>
    <w:multiLevelType w:val="hybridMultilevel"/>
    <w:tmpl w:val="FFFFFFFF"/>
    <w:lvl w:ilvl="0" w:tplc="C0C28686">
      <w:start w:val="1"/>
      <w:numFmt w:val="decimal"/>
      <w:lvlText w:val="●"/>
      <w:lvlJc w:val="left"/>
      <w:pPr>
        <w:ind w:left="720" w:hanging="360"/>
      </w:pPr>
    </w:lvl>
    <w:lvl w:ilvl="1" w:tplc="3C6E96A6">
      <w:start w:val="1"/>
      <w:numFmt w:val="lowerLetter"/>
      <w:lvlText w:val="%2."/>
      <w:lvlJc w:val="left"/>
      <w:pPr>
        <w:ind w:left="1440" w:hanging="360"/>
      </w:pPr>
    </w:lvl>
    <w:lvl w:ilvl="2" w:tplc="F7760D76">
      <w:start w:val="1"/>
      <w:numFmt w:val="lowerRoman"/>
      <w:lvlText w:val="%3."/>
      <w:lvlJc w:val="right"/>
      <w:pPr>
        <w:ind w:left="2160" w:hanging="180"/>
      </w:pPr>
    </w:lvl>
    <w:lvl w:ilvl="3" w:tplc="CE4E189A">
      <w:start w:val="1"/>
      <w:numFmt w:val="decimal"/>
      <w:lvlText w:val="%4."/>
      <w:lvlJc w:val="left"/>
      <w:pPr>
        <w:ind w:left="2880" w:hanging="360"/>
      </w:pPr>
    </w:lvl>
    <w:lvl w:ilvl="4" w:tplc="3FEC8C40">
      <w:start w:val="1"/>
      <w:numFmt w:val="lowerLetter"/>
      <w:lvlText w:val="%5."/>
      <w:lvlJc w:val="left"/>
      <w:pPr>
        <w:ind w:left="3600" w:hanging="360"/>
      </w:pPr>
    </w:lvl>
    <w:lvl w:ilvl="5" w:tplc="F5ECF97E">
      <w:start w:val="1"/>
      <w:numFmt w:val="lowerRoman"/>
      <w:lvlText w:val="%6."/>
      <w:lvlJc w:val="right"/>
      <w:pPr>
        <w:ind w:left="4320" w:hanging="180"/>
      </w:pPr>
    </w:lvl>
    <w:lvl w:ilvl="6" w:tplc="F5D8146A">
      <w:start w:val="1"/>
      <w:numFmt w:val="decimal"/>
      <w:lvlText w:val="%7."/>
      <w:lvlJc w:val="left"/>
      <w:pPr>
        <w:ind w:left="5040" w:hanging="360"/>
      </w:pPr>
    </w:lvl>
    <w:lvl w:ilvl="7" w:tplc="7298CF8A">
      <w:start w:val="1"/>
      <w:numFmt w:val="lowerLetter"/>
      <w:lvlText w:val="%8."/>
      <w:lvlJc w:val="left"/>
      <w:pPr>
        <w:ind w:left="5760" w:hanging="360"/>
      </w:pPr>
    </w:lvl>
    <w:lvl w:ilvl="8" w:tplc="7C4E4D78">
      <w:start w:val="1"/>
      <w:numFmt w:val="lowerRoman"/>
      <w:lvlText w:val="%9."/>
      <w:lvlJc w:val="right"/>
      <w:pPr>
        <w:ind w:left="6480" w:hanging="180"/>
      </w:pPr>
    </w:lvl>
  </w:abstractNum>
  <w:abstractNum w:abstractNumId="24" w15:restartNumberingAfterBreak="0">
    <w:nsid w:val="0910D55D"/>
    <w:multiLevelType w:val="hybridMultilevel"/>
    <w:tmpl w:val="FFFFFFFF"/>
    <w:lvl w:ilvl="0" w:tplc="62D031F0">
      <w:start w:val="1"/>
      <w:numFmt w:val="bullet"/>
      <w:lvlText w:val="·"/>
      <w:lvlJc w:val="left"/>
      <w:pPr>
        <w:ind w:left="720" w:hanging="360"/>
      </w:pPr>
      <w:rPr>
        <w:rFonts w:ascii="Symbol" w:hAnsi="Symbol" w:hint="default"/>
      </w:rPr>
    </w:lvl>
    <w:lvl w:ilvl="1" w:tplc="3028F426">
      <w:start w:val="1"/>
      <w:numFmt w:val="bullet"/>
      <w:lvlText w:val="o"/>
      <w:lvlJc w:val="left"/>
      <w:pPr>
        <w:ind w:left="1440" w:hanging="360"/>
      </w:pPr>
      <w:rPr>
        <w:rFonts w:ascii="Courier New" w:hAnsi="Courier New" w:hint="default"/>
      </w:rPr>
    </w:lvl>
    <w:lvl w:ilvl="2" w:tplc="F26C9C26">
      <w:start w:val="1"/>
      <w:numFmt w:val="bullet"/>
      <w:lvlText w:val=""/>
      <w:lvlJc w:val="left"/>
      <w:pPr>
        <w:ind w:left="2160" w:hanging="360"/>
      </w:pPr>
      <w:rPr>
        <w:rFonts w:ascii="Wingdings" w:hAnsi="Wingdings" w:hint="default"/>
      </w:rPr>
    </w:lvl>
    <w:lvl w:ilvl="3" w:tplc="FD5A2270">
      <w:start w:val="1"/>
      <w:numFmt w:val="bullet"/>
      <w:lvlText w:val=""/>
      <w:lvlJc w:val="left"/>
      <w:pPr>
        <w:ind w:left="2880" w:hanging="360"/>
      </w:pPr>
      <w:rPr>
        <w:rFonts w:ascii="Symbol" w:hAnsi="Symbol" w:hint="default"/>
      </w:rPr>
    </w:lvl>
    <w:lvl w:ilvl="4" w:tplc="98185462">
      <w:start w:val="1"/>
      <w:numFmt w:val="bullet"/>
      <w:lvlText w:val="o"/>
      <w:lvlJc w:val="left"/>
      <w:pPr>
        <w:ind w:left="3600" w:hanging="360"/>
      </w:pPr>
      <w:rPr>
        <w:rFonts w:ascii="Courier New" w:hAnsi="Courier New" w:hint="default"/>
      </w:rPr>
    </w:lvl>
    <w:lvl w:ilvl="5" w:tplc="99E0A718">
      <w:start w:val="1"/>
      <w:numFmt w:val="bullet"/>
      <w:lvlText w:val=""/>
      <w:lvlJc w:val="left"/>
      <w:pPr>
        <w:ind w:left="4320" w:hanging="360"/>
      </w:pPr>
      <w:rPr>
        <w:rFonts w:ascii="Wingdings" w:hAnsi="Wingdings" w:hint="default"/>
      </w:rPr>
    </w:lvl>
    <w:lvl w:ilvl="6" w:tplc="AF4C90B6">
      <w:start w:val="1"/>
      <w:numFmt w:val="bullet"/>
      <w:lvlText w:val=""/>
      <w:lvlJc w:val="left"/>
      <w:pPr>
        <w:ind w:left="5040" w:hanging="360"/>
      </w:pPr>
      <w:rPr>
        <w:rFonts w:ascii="Symbol" w:hAnsi="Symbol" w:hint="default"/>
      </w:rPr>
    </w:lvl>
    <w:lvl w:ilvl="7" w:tplc="13342D1C">
      <w:start w:val="1"/>
      <w:numFmt w:val="bullet"/>
      <w:lvlText w:val="o"/>
      <w:lvlJc w:val="left"/>
      <w:pPr>
        <w:ind w:left="5760" w:hanging="360"/>
      </w:pPr>
      <w:rPr>
        <w:rFonts w:ascii="Courier New" w:hAnsi="Courier New" w:hint="default"/>
      </w:rPr>
    </w:lvl>
    <w:lvl w:ilvl="8" w:tplc="E112106C">
      <w:start w:val="1"/>
      <w:numFmt w:val="bullet"/>
      <w:lvlText w:val=""/>
      <w:lvlJc w:val="left"/>
      <w:pPr>
        <w:ind w:left="6480" w:hanging="360"/>
      </w:pPr>
      <w:rPr>
        <w:rFonts w:ascii="Wingdings" w:hAnsi="Wingdings" w:hint="default"/>
      </w:rPr>
    </w:lvl>
  </w:abstractNum>
  <w:abstractNum w:abstractNumId="25" w15:restartNumberingAfterBreak="0">
    <w:nsid w:val="0AC72CBA"/>
    <w:multiLevelType w:val="hybridMultilevel"/>
    <w:tmpl w:val="FFFFFFFF"/>
    <w:lvl w:ilvl="0" w:tplc="3CCCC3B0">
      <w:start w:val="1"/>
      <w:numFmt w:val="bullet"/>
      <w:lvlText w:val="·"/>
      <w:lvlJc w:val="left"/>
      <w:pPr>
        <w:ind w:left="720" w:hanging="360"/>
      </w:pPr>
      <w:rPr>
        <w:rFonts w:ascii="Symbol" w:hAnsi="Symbol" w:hint="default"/>
      </w:rPr>
    </w:lvl>
    <w:lvl w:ilvl="1" w:tplc="B674ECEC">
      <w:start w:val="1"/>
      <w:numFmt w:val="bullet"/>
      <w:lvlText w:val="o"/>
      <w:lvlJc w:val="left"/>
      <w:pPr>
        <w:ind w:left="1440" w:hanging="360"/>
      </w:pPr>
      <w:rPr>
        <w:rFonts w:ascii="Courier New" w:hAnsi="Courier New" w:hint="default"/>
      </w:rPr>
    </w:lvl>
    <w:lvl w:ilvl="2" w:tplc="99141EAC">
      <w:start w:val="1"/>
      <w:numFmt w:val="bullet"/>
      <w:lvlText w:val=""/>
      <w:lvlJc w:val="left"/>
      <w:pPr>
        <w:ind w:left="2160" w:hanging="360"/>
      </w:pPr>
      <w:rPr>
        <w:rFonts w:ascii="Wingdings" w:hAnsi="Wingdings" w:hint="default"/>
      </w:rPr>
    </w:lvl>
    <w:lvl w:ilvl="3" w:tplc="301C0A68">
      <w:start w:val="1"/>
      <w:numFmt w:val="bullet"/>
      <w:lvlText w:val=""/>
      <w:lvlJc w:val="left"/>
      <w:pPr>
        <w:ind w:left="2880" w:hanging="360"/>
      </w:pPr>
      <w:rPr>
        <w:rFonts w:ascii="Symbol" w:hAnsi="Symbol" w:hint="default"/>
      </w:rPr>
    </w:lvl>
    <w:lvl w:ilvl="4" w:tplc="72602D28">
      <w:start w:val="1"/>
      <w:numFmt w:val="bullet"/>
      <w:lvlText w:val="o"/>
      <w:lvlJc w:val="left"/>
      <w:pPr>
        <w:ind w:left="3600" w:hanging="360"/>
      </w:pPr>
      <w:rPr>
        <w:rFonts w:ascii="Courier New" w:hAnsi="Courier New" w:hint="default"/>
      </w:rPr>
    </w:lvl>
    <w:lvl w:ilvl="5" w:tplc="BB042D44">
      <w:start w:val="1"/>
      <w:numFmt w:val="bullet"/>
      <w:lvlText w:val=""/>
      <w:lvlJc w:val="left"/>
      <w:pPr>
        <w:ind w:left="4320" w:hanging="360"/>
      </w:pPr>
      <w:rPr>
        <w:rFonts w:ascii="Wingdings" w:hAnsi="Wingdings" w:hint="default"/>
      </w:rPr>
    </w:lvl>
    <w:lvl w:ilvl="6" w:tplc="07F6AABE">
      <w:start w:val="1"/>
      <w:numFmt w:val="bullet"/>
      <w:lvlText w:val=""/>
      <w:lvlJc w:val="left"/>
      <w:pPr>
        <w:ind w:left="5040" w:hanging="360"/>
      </w:pPr>
      <w:rPr>
        <w:rFonts w:ascii="Symbol" w:hAnsi="Symbol" w:hint="default"/>
      </w:rPr>
    </w:lvl>
    <w:lvl w:ilvl="7" w:tplc="B79ED0AE">
      <w:start w:val="1"/>
      <w:numFmt w:val="bullet"/>
      <w:lvlText w:val="o"/>
      <w:lvlJc w:val="left"/>
      <w:pPr>
        <w:ind w:left="5760" w:hanging="360"/>
      </w:pPr>
      <w:rPr>
        <w:rFonts w:ascii="Courier New" w:hAnsi="Courier New" w:hint="default"/>
      </w:rPr>
    </w:lvl>
    <w:lvl w:ilvl="8" w:tplc="27122260">
      <w:start w:val="1"/>
      <w:numFmt w:val="bullet"/>
      <w:lvlText w:val=""/>
      <w:lvlJc w:val="left"/>
      <w:pPr>
        <w:ind w:left="6480" w:hanging="360"/>
      </w:pPr>
      <w:rPr>
        <w:rFonts w:ascii="Wingdings" w:hAnsi="Wingdings" w:hint="default"/>
      </w:rPr>
    </w:lvl>
  </w:abstractNum>
  <w:abstractNum w:abstractNumId="26" w15:restartNumberingAfterBreak="0">
    <w:nsid w:val="0B93FAB8"/>
    <w:multiLevelType w:val="hybridMultilevel"/>
    <w:tmpl w:val="FFFFFFFF"/>
    <w:lvl w:ilvl="0" w:tplc="19D69252">
      <w:start w:val="1"/>
      <w:numFmt w:val="bullet"/>
      <w:lvlText w:val=""/>
      <w:lvlJc w:val="left"/>
      <w:pPr>
        <w:ind w:left="720" w:hanging="360"/>
      </w:pPr>
      <w:rPr>
        <w:rFonts w:ascii="Symbol" w:hAnsi="Symbol" w:hint="default"/>
      </w:rPr>
    </w:lvl>
    <w:lvl w:ilvl="1" w:tplc="CFF457A0">
      <w:start w:val="1"/>
      <w:numFmt w:val="bullet"/>
      <w:lvlText w:val="o"/>
      <w:lvlJc w:val="left"/>
      <w:pPr>
        <w:ind w:left="1440" w:hanging="360"/>
      </w:pPr>
      <w:rPr>
        <w:rFonts w:ascii="Courier New" w:hAnsi="Courier New" w:hint="default"/>
      </w:rPr>
    </w:lvl>
    <w:lvl w:ilvl="2" w:tplc="F37C9BF6">
      <w:start w:val="1"/>
      <w:numFmt w:val="bullet"/>
      <w:lvlText w:val=""/>
      <w:lvlJc w:val="left"/>
      <w:pPr>
        <w:ind w:left="2160" w:hanging="360"/>
      </w:pPr>
      <w:rPr>
        <w:rFonts w:ascii="Wingdings" w:hAnsi="Wingdings" w:hint="default"/>
      </w:rPr>
    </w:lvl>
    <w:lvl w:ilvl="3" w:tplc="AC04C0A8">
      <w:start w:val="1"/>
      <w:numFmt w:val="bullet"/>
      <w:lvlText w:val=""/>
      <w:lvlJc w:val="left"/>
      <w:pPr>
        <w:ind w:left="2880" w:hanging="360"/>
      </w:pPr>
      <w:rPr>
        <w:rFonts w:ascii="Symbol" w:hAnsi="Symbol" w:hint="default"/>
      </w:rPr>
    </w:lvl>
    <w:lvl w:ilvl="4" w:tplc="93080B9A">
      <w:start w:val="1"/>
      <w:numFmt w:val="bullet"/>
      <w:lvlText w:val="o"/>
      <w:lvlJc w:val="left"/>
      <w:pPr>
        <w:ind w:left="3600" w:hanging="360"/>
      </w:pPr>
      <w:rPr>
        <w:rFonts w:ascii="Courier New" w:hAnsi="Courier New" w:hint="default"/>
      </w:rPr>
    </w:lvl>
    <w:lvl w:ilvl="5" w:tplc="7668FC5C">
      <w:start w:val="1"/>
      <w:numFmt w:val="bullet"/>
      <w:lvlText w:val=""/>
      <w:lvlJc w:val="left"/>
      <w:pPr>
        <w:ind w:left="4320" w:hanging="360"/>
      </w:pPr>
      <w:rPr>
        <w:rFonts w:ascii="Wingdings" w:hAnsi="Wingdings" w:hint="default"/>
      </w:rPr>
    </w:lvl>
    <w:lvl w:ilvl="6" w:tplc="E21AA55E">
      <w:start w:val="1"/>
      <w:numFmt w:val="bullet"/>
      <w:lvlText w:val=""/>
      <w:lvlJc w:val="left"/>
      <w:pPr>
        <w:ind w:left="5040" w:hanging="360"/>
      </w:pPr>
      <w:rPr>
        <w:rFonts w:ascii="Symbol" w:hAnsi="Symbol" w:hint="default"/>
      </w:rPr>
    </w:lvl>
    <w:lvl w:ilvl="7" w:tplc="7FCE6D40">
      <w:start w:val="1"/>
      <w:numFmt w:val="bullet"/>
      <w:lvlText w:val="o"/>
      <w:lvlJc w:val="left"/>
      <w:pPr>
        <w:ind w:left="5760" w:hanging="360"/>
      </w:pPr>
      <w:rPr>
        <w:rFonts w:ascii="Courier New" w:hAnsi="Courier New" w:hint="default"/>
      </w:rPr>
    </w:lvl>
    <w:lvl w:ilvl="8" w:tplc="AC1E68B8">
      <w:start w:val="1"/>
      <w:numFmt w:val="bullet"/>
      <w:lvlText w:val=""/>
      <w:lvlJc w:val="left"/>
      <w:pPr>
        <w:ind w:left="6480" w:hanging="360"/>
      </w:pPr>
      <w:rPr>
        <w:rFonts w:ascii="Wingdings" w:hAnsi="Wingdings" w:hint="default"/>
      </w:rPr>
    </w:lvl>
  </w:abstractNum>
  <w:abstractNum w:abstractNumId="27" w15:restartNumberingAfterBreak="0">
    <w:nsid w:val="0C5F4A62"/>
    <w:multiLevelType w:val="hybridMultilevel"/>
    <w:tmpl w:val="FFFFFFFF"/>
    <w:lvl w:ilvl="0" w:tplc="2B04B486">
      <w:start w:val="1"/>
      <w:numFmt w:val="decimal"/>
      <w:lvlText w:val="●"/>
      <w:lvlJc w:val="left"/>
      <w:pPr>
        <w:ind w:left="720" w:hanging="360"/>
      </w:pPr>
    </w:lvl>
    <w:lvl w:ilvl="1" w:tplc="FD2AED92">
      <w:start w:val="1"/>
      <w:numFmt w:val="lowerLetter"/>
      <w:lvlText w:val="%2."/>
      <w:lvlJc w:val="left"/>
      <w:pPr>
        <w:ind w:left="1440" w:hanging="360"/>
      </w:pPr>
    </w:lvl>
    <w:lvl w:ilvl="2" w:tplc="B666F398">
      <w:start w:val="1"/>
      <w:numFmt w:val="lowerRoman"/>
      <w:lvlText w:val="%3."/>
      <w:lvlJc w:val="right"/>
      <w:pPr>
        <w:ind w:left="2160" w:hanging="180"/>
      </w:pPr>
    </w:lvl>
    <w:lvl w:ilvl="3" w:tplc="D9144BE6">
      <w:start w:val="1"/>
      <w:numFmt w:val="decimal"/>
      <w:lvlText w:val="%4."/>
      <w:lvlJc w:val="left"/>
      <w:pPr>
        <w:ind w:left="2880" w:hanging="360"/>
      </w:pPr>
    </w:lvl>
    <w:lvl w:ilvl="4" w:tplc="4014A274">
      <w:start w:val="1"/>
      <w:numFmt w:val="lowerLetter"/>
      <w:lvlText w:val="%5."/>
      <w:lvlJc w:val="left"/>
      <w:pPr>
        <w:ind w:left="3600" w:hanging="360"/>
      </w:pPr>
    </w:lvl>
    <w:lvl w:ilvl="5" w:tplc="DF38EF52">
      <w:start w:val="1"/>
      <w:numFmt w:val="lowerRoman"/>
      <w:lvlText w:val="%6."/>
      <w:lvlJc w:val="right"/>
      <w:pPr>
        <w:ind w:left="4320" w:hanging="180"/>
      </w:pPr>
    </w:lvl>
    <w:lvl w:ilvl="6" w:tplc="CE927548">
      <w:start w:val="1"/>
      <w:numFmt w:val="decimal"/>
      <w:lvlText w:val="%7."/>
      <w:lvlJc w:val="left"/>
      <w:pPr>
        <w:ind w:left="5040" w:hanging="360"/>
      </w:pPr>
    </w:lvl>
    <w:lvl w:ilvl="7" w:tplc="C010A90E">
      <w:start w:val="1"/>
      <w:numFmt w:val="lowerLetter"/>
      <w:lvlText w:val="%8."/>
      <w:lvlJc w:val="left"/>
      <w:pPr>
        <w:ind w:left="5760" w:hanging="360"/>
      </w:pPr>
    </w:lvl>
    <w:lvl w:ilvl="8" w:tplc="1240925A">
      <w:start w:val="1"/>
      <w:numFmt w:val="lowerRoman"/>
      <w:lvlText w:val="%9."/>
      <w:lvlJc w:val="right"/>
      <w:pPr>
        <w:ind w:left="6480" w:hanging="180"/>
      </w:pPr>
    </w:lvl>
  </w:abstractNum>
  <w:abstractNum w:abstractNumId="28" w15:restartNumberingAfterBreak="0">
    <w:nsid w:val="0C970B1B"/>
    <w:multiLevelType w:val="hybridMultilevel"/>
    <w:tmpl w:val="FFFFFFFF"/>
    <w:lvl w:ilvl="0" w:tplc="F9B88F96">
      <w:start w:val="2"/>
      <w:numFmt w:val="decimal"/>
      <w:lvlText w:val="%1."/>
      <w:lvlJc w:val="left"/>
      <w:pPr>
        <w:ind w:left="720" w:hanging="360"/>
      </w:pPr>
    </w:lvl>
    <w:lvl w:ilvl="1" w:tplc="E41486EC">
      <w:start w:val="1"/>
      <w:numFmt w:val="lowerLetter"/>
      <w:lvlText w:val="%2."/>
      <w:lvlJc w:val="left"/>
      <w:pPr>
        <w:ind w:left="1440" w:hanging="360"/>
      </w:pPr>
    </w:lvl>
    <w:lvl w:ilvl="2" w:tplc="AF002DC0">
      <w:start w:val="1"/>
      <w:numFmt w:val="lowerRoman"/>
      <w:lvlText w:val="%3."/>
      <w:lvlJc w:val="right"/>
      <w:pPr>
        <w:ind w:left="2160" w:hanging="180"/>
      </w:pPr>
    </w:lvl>
    <w:lvl w:ilvl="3" w:tplc="7C7298AE">
      <w:start w:val="1"/>
      <w:numFmt w:val="decimal"/>
      <w:lvlText w:val="%4."/>
      <w:lvlJc w:val="left"/>
      <w:pPr>
        <w:ind w:left="2880" w:hanging="360"/>
      </w:pPr>
    </w:lvl>
    <w:lvl w:ilvl="4" w:tplc="D2103DB4">
      <w:start w:val="1"/>
      <w:numFmt w:val="lowerLetter"/>
      <w:lvlText w:val="%5."/>
      <w:lvlJc w:val="left"/>
      <w:pPr>
        <w:ind w:left="3600" w:hanging="360"/>
      </w:pPr>
    </w:lvl>
    <w:lvl w:ilvl="5" w:tplc="920EA0CC">
      <w:start w:val="1"/>
      <w:numFmt w:val="lowerRoman"/>
      <w:lvlText w:val="%6."/>
      <w:lvlJc w:val="right"/>
      <w:pPr>
        <w:ind w:left="4320" w:hanging="180"/>
      </w:pPr>
    </w:lvl>
    <w:lvl w:ilvl="6" w:tplc="645ED79E">
      <w:start w:val="1"/>
      <w:numFmt w:val="decimal"/>
      <w:lvlText w:val="%7."/>
      <w:lvlJc w:val="left"/>
      <w:pPr>
        <w:ind w:left="5040" w:hanging="360"/>
      </w:pPr>
    </w:lvl>
    <w:lvl w:ilvl="7" w:tplc="660A25EA">
      <w:start w:val="1"/>
      <w:numFmt w:val="lowerLetter"/>
      <w:lvlText w:val="%8."/>
      <w:lvlJc w:val="left"/>
      <w:pPr>
        <w:ind w:left="5760" w:hanging="360"/>
      </w:pPr>
    </w:lvl>
    <w:lvl w:ilvl="8" w:tplc="07C80582">
      <w:start w:val="1"/>
      <w:numFmt w:val="lowerRoman"/>
      <w:lvlText w:val="%9."/>
      <w:lvlJc w:val="right"/>
      <w:pPr>
        <w:ind w:left="6480" w:hanging="180"/>
      </w:pPr>
    </w:lvl>
  </w:abstractNum>
  <w:abstractNum w:abstractNumId="29" w15:restartNumberingAfterBreak="0">
    <w:nsid w:val="0E5F0221"/>
    <w:multiLevelType w:val="hybridMultilevel"/>
    <w:tmpl w:val="AF30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20F047"/>
    <w:multiLevelType w:val="hybridMultilevel"/>
    <w:tmpl w:val="FFFFFFFF"/>
    <w:lvl w:ilvl="0" w:tplc="FFFFFFFF">
      <w:start w:val="1"/>
      <w:numFmt w:val="bullet"/>
      <w:lvlText w:val=""/>
      <w:lvlJc w:val="left"/>
      <w:pPr>
        <w:ind w:left="720" w:hanging="360"/>
      </w:pPr>
      <w:rPr>
        <w:rFonts w:ascii="Symbol" w:hAnsi="Symbol" w:hint="default"/>
      </w:rPr>
    </w:lvl>
    <w:lvl w:ilvl="1" w:tplc="027CC60E">
      <w:start w:val="1"/>
      <w:numFmt w:val="bullet"/>
      <w:lvlText w:val="o"/>
      <w:lvlJc w:val="left"/>
      <w:pPr>
        <w:ind w:left="1440" w:hanging="360"/>
      </w:pPr>
      <w:rPr>
        <w:rFonts w:ascii="Courier New" w:hAnsi="Courier New" w:hint="default"/>
      </w:rPr>
    </w:lvl>
    <w:lvl w:ilvl="2" w:tplc="8CD080FC">
      <w:start w:val="1"/>
      <w:numFmt w:val="bullet"/>
      <w:lvlText w:val=""/>
      <w:lvlJc w:val="left"/>
      <w:pPr>
        <w:ind w:left="2160" w:hanging="360"/>
      </w:pPr>
      <w:rPr>
        <w:rFonts w:ascii="Wingdings" w:hAnsi="Wingdings" w:hint="default"/>
      </w:rPr>
    </w:lvl>
    <w:lvl w:ilvl="3" w:tplc="A3C2CD5A">
      <w:start w:val="1"/>
      <w:numFmt w:val="bullet"/>
      <w:lvlText w:val=""/>
      <w:lvlJc w:val="left"/>
      <w:pPr>
        <w:ind w:left="2880" w:hanging="360"/>
      </w:pPr>
      <w:rPr>
        <w:rFonts w:ascii="Symbol" w:hAnsi="Symbol" w:hint="default"/>
      </w:rPr>
    </w:lvl>
    <w:lvl w:ilvl="4" w:tplc="A856968C">
      <w:start w:val="1"/>
      <w:numFmt w:val="bullet"/>
      <w:lvlText w:val="o"/>
      <w:lvlJc w:val="left"/>
      <w:pPr>
        <w:ind w:left="3600" w:hanging="360"/>
      </w:pPr>
      <w:rPr>
        <w:rFonts w:ascii="Courier New" w:hAnsi="Courier New" w:hint="default"/>
      </w:rPr>
    </w:lvl>
    <w:lvl w:ilvl="5" w:tplc="22CC3F00">
      <w:start w:val="1"/>
      <w:numFmt w:val="bullet"/>
      <w:lvlText w:val=""/>
      <w:lvlJc w:val="left"/>
      <w:pPr>
        <w:ind w:left="4320" w:hanging="360"/>
      </w:pPr>
      <w:rPr>
        <w:rFonts w:ascii="Wingdings" w:hAnsi="Wingdings" w:hint="default"/>
      </w:rPr>
    </w:lvl>
    <w:lvl w:ilvl="6" w:tplc="6666E018">
      <w:start w:val="1"/>
      <w:numFmt w:val="bullet"/>
      <w:lvlText w:val=""/>
      <w:lvlJc w:val="left"/>
      <w:pPr>
        <w:ind w:left="5040" w:hanging="360"/>
      </w:pPr>
      <w:rPr>
        <w:rFonts w:ascii="Symbol" w:hAnsi="Symbol" w:hint="default"/>
      </w:rPr>
    </w:lvl>
    <w:lvl w:ilvl="7" w:tplc="BE9C0CEC">
      <w:start w:val="1"/>
      <w:numFmt w:val="bullet"/>
      <w:lvlText w:val="o"/>
      <w:lvlJc w:val="left"/>
      <w:pPr>
        <w:ind w:left="5760" w:hanging="360"/>
      </w:pPr>
      <w:rPr>
        <w:rFonts w:ascii="Courier New" w:hAnsi="Courier New" w:hint="default"/>
      </w:rPr>
    </w:lvl>
    <w:lvl w:ilvl="8" w:tplc="3E2CAF34">
      <w:start w:val="1"/>
      <w:numFmt w:val="bullet"/>
      <w:lvlText w:val=""/>
      <w:lvlJc w:val="left"/>
      <w:pPr>
        <w:ind w:left="6480" w:hanging="360"/>
      </w:pPr>
      <w:rPr>
        <w:rFonts w:ascii="Wingdings" w:hAnsi="Wingdings" w:hint="default"/>
      </w:rPr>
    </w:lvl>
  </w:abstractNum>
  <w:abstractNum w:abstractNumId="31" w15:restartNumberingAfterBreak="0">
    <w:nsid w:val="11034769"/>
    <w:multiLevelType w:val="hybridMultilevel"/>
    <w:tmpl w:val="CA4C38AE"/>
    <w:lvl w:ilvl="0" w:tplc="C706A842">
      <w:start w:val="1"/>
      <w:numFmt w:val="bullet"/>
      <w:lvlText w:val=""/>
      <w:lvlJc w:val="left"/>
      <w:pPr>
        <w:ind w:left="360" w:hanging="360"/>
      </w:pPr>
      <w:rPr>
        <w:rFonts w:ascii="Symbol" w:hAnsi="Symbol" w:hint="default"/>
        <w:color w:val="505046"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1B3A69B"/>
    <w:multiLevelType w:val="hybridMultilevel"/>
    <w:tmpl w:val="FFFFFFFF"/>
    <w:lvl w:ilvl="0" w:tplc="D9E82B64">
      <w:start w:val="1"/>
      <w:numFmt w:val="bullet"/>
      <w:lvlText w:val="·"/>
      <w:lvlJc w:val="left"/>
      <w:pPr>
        <w:ind w:left="720" w:hanging="360"/>
      </w:pPr>
      <w:rPr>
        <w:rFonts w:ascii="Symbol" w:hAnsi="Symbol" w:hint="default"/>
      </w:rPr>
    </w:lvl>
    <w:lvl w:ilvl="1" w:tplc="0D0E496A">
      <w:start w:val="1"/>
      <w:numFmt w:val="bullet"/>
      <w:lvlText w:val="o"/>
      <w:lvlJc w:val="left"/>
      <w:pPr>
        <w:ind w:left="1440" w:hanging="360"/>
      </w:pPr>
      <w:rPr>
        <w:rFonts w:ascii="Courier New" w:hAnsi="Courier New" w:hint="default"/>
      </w:rPr>
    </w:lvl>
    <w:lvl w:ilvl="2" w:tplc="DEC2367C">
      <w:start w:val="1"/>
      <w:numFmt w:val="bullet"/>
      <w:lvlText w:val=""/>
      <w:lvlJc w:val="left"/>
      <w:pPr>
        <w:ind w:left="2160" w:hanging="360"/>
      </w:pPr>
      <w:rPr>
        <w:rFonts w:ascii="Wingdings" w:hAnsi="Wingdings" w:hint="default"/>
      </w:rPr>
    </w:lvl>
    <w:lvl w:ilvl="3" w:tplc="C2EC79CE">
      <w:start w:val="1"/>
      <w:numFmt w:val="bullet"/>
      <w:lvlText w:val=""/>
      <w:lvlJc w:val="left"/>
      <w:pPr>
        <w:ind w:left="2880" w:hanging="360"/>
      </w:pPr>
      <w:rPr>
        <w:rFonts w:ascii="Symbol" w:hAnsi="Symbol" w:hint="default"/>
      </w:rPr>
    </w:lvl>
    <w:lvl w:ilvl="4" w:tplc="45262AD0">
      <w:start w:val="1"/>
      <w:numFmt w:val="bullet"/>
      <w:lvlText w:val="o"/>
      <w:lvlJc w:val="left"/>
      <w:pPr>
        <w:ind w:left="3600" w:hanging="360"/>
      </w:pPr>
      <w:rPr>
        <w:rFonts w:ascii="Courier New" w:hAnsi="Courier New" w:hint="default"/>
      </w:rPr>
    </w:lvl>
    <w:lvl w:ilvl="5" w:tplc="EA5C86F6">
      <w:start w:val="1"/>
      <w:numFmt w:val="bullet"/>
      <w:lvlText w:val=""/>
      <w:lvlJc w:val="left"/>
      <w:pPr>
        <w:ind w:left="4320" w:hanging="360"/>
      </w:pPr>
      <w:rPr>
        <w:rFonts w:ascii="Wingdings" w:hAnsi="Wingdings" w:hint="default"/>
      </w:rPr>
    </w:lvl>
    <w:lvl w:ilvl="6" w:tplc="EDEAE57A">
      <w:start w:val="1"/>
      <w:numFmt w:val="bullet"/>
      <w:lvlText w:val=""/>
      <w:lvlJc w:val="left"/>
      <w:pPr>
        <w:ind w:left="5040" w:hanging="360"/>
      </w:pPr>
      <w:rPr>
        <w:rFonts w:ascii="Symbol" w:hAnsi="Symbol" w:hint="default"/>
      </w:rPr>
    </w:lvl>
    <w:lvl w:ilvl="7" w:tplc="1CC4D948">
      <w:start w:val="1"/>
      <w:numFmt w:val="bullet"/>
      <w:lvlText w:val="o"/>
      <w:lvlJc w:val="left"/>
      <w:pPr>
        <w:ind w:left="5760" w:hanging="360"/>
      </w:pPr>
      <w:rPr>
        <w:rFonts w:ascii="Courier New" w:hAnsi="Courier New" w:hint="default"/>
      </w:rPr>
    </w:lvl>
    <w:lvl w:ilvl="8" w:tplc="4BA69824">
      <w:start w:val="1"/>
      <w:numFmt w:val="bullet"/>
      <w:lvlText w:val=""/>
      <w:lvlJc w:val="left"/>
      <w:pPr>
        <w:ind w:left="6480" w:hanging="360"/>
      </w:pPr>
      <w:rPr>
        <w:rFonts w:ascii="Wingdings" w:hAnsi="Wingdings" w:hint="default"/>
      </w:rPr>
    </w:lvl>
  </w:abstractNum>
  <w:abstractNum w:abstractNumId="33" w15:restartNumberingAfterBreak="0">
    <w:nsid w:val="13FB9190"/>
    <w:multiLevelType w:val="hybridMultilevel"/>
    <w:tmpl w:val="FFFFFFFF"/>
    <w:lvl w:ilvl="0" w:tplc="6F126A38">
      <w:start w:val="1"/>
      <w:numFmt w:val="bullet"/>
      <w:lvlText w:val="·"/>
      <w:lvlJc w:val="left"/>
      <w:pPr>
        <w:ind w:left="720" w:hanging="360"/>
      </w:pPr>
      <w:rPr>
        <w:rFonts w:ascii="Symbol" w:hAnsi="Symbol" w:hint="default"/>
      </w:rPr>
    </w:lvl>
    <w:lvl w:ilvl="1" w:tplc="5A226754">
      <w:start w:val="1"/>
      <w:numFmt w:val="bullet"/>
      <w:lvlText w:val="o"/>
      <w:lvlJc w:val="left"/>
      <w:pPr>
        <w:ind w:left="1440" w:hanging="360"/>
      </w:pPr>
      <w:rPr>
        <w:rFonts w:ascii="Courier New" w:hAnsi="Courier New" w:hint="default"/>
      </w:rPr>
    </w:lvl>
    <w:lvl w:ilvl="2" w:tplc="819CD6E2">
      <w:start w:val="1"/>
      <w:numFmt w:val="bullet"/>
      <w:lvlText w:val=""/>
      <w:lvlJc w:val="left"/>
      <w:pPr>
        <w:ind w:left="2160" w:hanging="360"/>
      </w:pPr>
      <w:rPr>
        <w:rFonts w:ascii="Wingdings" w:hAnsi="Wingdings" w:hint="default"/>
      </w:rPr>
    </w:lvl>
    <w:lvl w:ilvl="3" w:tplc="3A4828E2">
      <w:start w:val="1"/>
      <w:numFmt w:val="bullet"/>
      <w:lvlText w:val=""/>
      <w:lvlJc w:val="left"/>
      <w:pPr>
        <w:ind w:left="2880" w:hanging="360"/>
      </w:pPr>
      <w:rPr>
        <w:rFonts w:ascii="Symbol" w:hAnsi="Symbol" w:hint="default"/>
      </w:rPr>
    </w:lvl>
    <w:lvl w:ilvl="4" w:tplc="EA6E4390">
      <w:start w:val="1"/>
      <w:numFmt w:val="bullet"/>
      <w:lvlText w:val="o"/>
      <w:lvlJc w:val="left"/>
      <w:pPr>
        <w:ind w:left="3600" w:hanging="360"/>
      </w:pPr>
      <w:rPr>
        <w:rFonts w:ascii="Courier New" w:hAnsi="Courier New" w:hint="default"/>
      </w:rPr>
    </w:lvl>
    <w:lvl w:ilvl="5" w:tplc="773A6370">
      <w:start w:val="1"/>
      <w:numFmt w:val="bullet"/>
      <w:lvlText w:val=""/>
      <w:lvlJc w:val="left"/>
      <w:pPr>
        <w:ind w:left="4320" w:hanging="360"/>
      </w:pPr>
      <w:rPr>
        <w:rFonts w:ascii="Wingdings" w:hAnsi="Wingdings" w:hint="default"/>
      </w:rPr>
    </w:lvl>
    <w:lvl w:ilvl="6" w:tplc="20E8EB28">
      <w:start w:val="1"/>
      <w:numFmt w:val="bullet"/>
      <w:lvlText w:val=""/>
      <w:lvlJc w:val="left"/>
      <w:pPr>
        <w:ind w:left="5040" w:hanging="360"/>
      </w:pPr>
      <w:rPr>
        <w:rFonts w:ascii="Symbol" w:hAnsi="Symbol" w:hint="default"/>
      </w:rPr>
    </w:lvl>
    <w:lvl w:ilvl="7" w:tplc="08D4E5DE">
      <w:start w:val="1"/>
      <w:numFmt w:val="bullet"/>
      <w:lvlText w:val="o"/>
      <w:lvlJc w:val="left"/>
      <w:pPr>
        <w:ind w:left="5760" w:hanging="360"/>
      </w:pPr>
      <w:rPr>
        <w:rFonts w:ascii="Courier New" w:hAnsi="Courier New" w:hint="default"/>
      </w:rPr>
    </w:lvl>
    <w:lvl w:ilvl="8" w:tplc="03A08756">
      <w:start w:val="1"/>
      <w:numFmt w:val="bullet"/>
      <w:lvlText w:val=""/>
      <w:lvlJc w:val="left"/>
      <w:pPr>
        <w:ind w:left="6480" w:hanging="360"/>
      </w:pPr>
      <w:rPr>
        <w:rFonts w:ascii="Wingdings" w:hAnsi="Wingdings" w:hint="default"/>
      </w:rPr>
    </w:lvl>
  </w:abstractNum>
  <w:abstractNum w:abstractNumId="34" w15:restartNumberingAfterBreak="0">
    <w:nsid w:val="14CC306C"/>
    <w:multiLevelType w:val="hybridMultilevel"/>
    <w:tmpl w:val="FFFFFFFF"/>
    <w:lvl w:ilvl="0" w:tplc="30E07ACE">
      <w:start w:val="1"/>
      <w:numFmt w:val="decimal"/>
      <w:lvlText w:val="●"/>
      <w:lvlJc w:val="left"/>
      <w:pPr>
        <w:ind w:left="720" w:hanging="360"/>
      </w:pPr>
    </w:lvl>
    <w:lvl w:ilvl="1" w:tplc="CCEC27F8">
      <w:start w:val="1"/>
      <w:numFmt w:val="lowerLetter"/>
      <w:lvlText w:val="%2."/>
      <w:lvlJc w:val="left"/>
      <w:pPr>
        <w:ind w:left="1440" w:hanging="360"/>
      </w:pPr>
    </w:lvl>
    <w:lvl w:ilvl="2" w:tplc="C6123918">
      <w:start w:val="1"/>
      <w:numFmt w:val="lowerRoman"/>
      <w:lvlText w:val="%3."/>
      <w:lvlJc w:val="right"/>
      <w:pPr>
        <w:ind w:left="2160" w:hanging="180"/>
      </w:pPr>
    </w:lvl>
    <w:lvl w:ilvl="3" w:tplc="D42AE074">
      <w:start w:val="1"/>
      <w:numFmt w:val="decimal"/>
      <w:lvlText w:val="%4."/>
      <w:lvlJc w:val="left"/>
      <w:pPr>
        <w:ind w:left="2880" w:hanging="360"/>
      </w:pPr>
    </w:lvl>
    <w:lvl w:ilvl="4" w:tplc="3F6A4ABA">
      <w:start w:val="1"/>
      <w:numFmt w:val="lowerLetter"/>
      <w:lvlText w:val="%5."/>
      <w:lvlJc w:val="left"/>
      <w:pPr>
        <w:ind w:left="3600" w:hanging="360"/>
      </w:pPr>
    </w:lvl>
    <w:lvl w:ilvl="5" w:tplc="58CAC200">
      <w:start w:val="1"/>
      <w:numFmt w:val="lowerRoman"/>
      <w:lvlText w:val="%6."/>
      <w:lvlJc w:val="right"/>
      <w:pPr>
        <w:ind w:left="4320" w:hanging="180"/>
      </w:pPr>
    </w:lvl>
    <w:lvl w:ilvl="6" w:tplc="197E5264">
      <w:start w:val="1"/>
      <w:numFmt w:val="decimal"/>
      <w:lvlText w:val="%7."/>
      <w:lvlJc w:val="left"/>
      <w:pPr>
        <w:ind w:left="5040" w:hanging="360"/>
      </w:pPr>
    </w:lvl>
    <w:lvl w:ilvl="7" w:tplc="59CC4618">
      <w:start w:val="1"/>
      <w:numFmt w:val="lowerLetter"/>
      <w:lvlText w:val="%8."/>
      <w:lvlJc w:val="left"/>
      <w:pPr>
        <w:ind w:left="5760" w:hanging="360"/>
      </w:pPr>
    </w:lvl>
    <w:lvl w:ilvl="8" w:tplc="98BAB9FA">
      <w:start w:val="1"/>
      <w:numFmt w:val="lowerRoman"/>
      <w:lvlText w:val="%9."/>
      <w:lvlJc w:val="right"/>
      <w:pPr>
        <w:ind w:left="6480" w:hanging="180"/>
      </w:pPr>
    </w:lvl>
  </w:abstractNum>
  <w:abstractNum w:abstractNumId="35" w15:restartNumberingAfterBreak="0">
    <w:nsid w:val="1520EC99"/>
    <w:multiLevelType w:val="hybridMultilevel"/>
    <w:tmpl w:val="FFFFFFFF"/>
    <w:lvl w:ilvl="0" w:tplc="362EE614">
      <w:start w:val="1"/>
      <w:numFmt w:val="bullet"/>
      <w:lvlText w:val=""/>
      <w:lvlJc w:val="left"/>
      <w:pPr>
        <w:ind w:left="720" w:hanging="360"/>
      </w:pPr>
      <w:rPr>
        <w:rFonts w:ascii="Symbol" w:hAnsi="Symbol" w:hint="default"/>
      </w:rPr>
    </w:lvl>
    <w:lvl w:ilvl="1" w:tplc="39EA54A6">
      <w:start w:val="1"/>
      <w:numFmt w:val="bullet"/>
      <w:lvlText w:val="·"/>
      <w:lvlJc w:val="left"/>
      <w:pPr>
        <w:ind w:left="1440" w:hanging="360"/>
      </w:pPr>
      <w:rPr>
        <w:rFonts w:ascii="Symbol" w:hAnsi="Symbol" w:hint="default"/>
      </w:rPr>
    </w:lvl>
    <w:lvl w:ilvl="2" w:tplc="F0348F2E">
      <w:start w:val="1"/>
      <w:numFmt w:val="bullet"/>
      <w:lvlText w:val=""/>
      <w:lvlJc w:val="left"/>
      <w:pPr>
        <w:ind w:left="2160" w:hanging="360"/>
      </w:pPr>
      <w:rPr>
        <w:rFonts w:ascii="Wingdings" w:hAnsi="Wingdings" w:hint="default"/>
      </w:rPr>
    </w:lvl>
    <w:lvl w:ilvl="3" w:tplc="7FFED83A">
      <w:start w:val="1"/>
      <w:numFmt w:val="bullet"/>
      <w:lvlText w:val=""/>
      <w:lvlJc w:val="left"/>
      <w:pPr>
        <w:ind w:left="2880" w:hanging="360"/>
      </w:pPr>
      <w:rPr>
        <w:rFonts w:ascii="Symbol" w:hAnsi="Symbol" w:hint="default"/>
      </w:rPr>
    </w:lvl>
    <w:lvl w:ilvl="4" w:tplc="BB0A19A0">
      <w:start w:val="1"/>
      <w:numFmt w:val="bullet"/>
      <w:lvlText w:val="o"/>
      <w:lvlJc w:val="left"/>
      <w:pPr>
        <w:ind w:left="3600" w:hanging="360"/>
      </w:pPr>
      <w:rPr>
        <w:rFonts w:ascii="Courier New" w:hAnsi="Courier New" w:hint="default"/>
      </w:rPr>
    </w:lvl>
    <w:lvl w:ilvl="5" w:tplc="58C4B9E6">
      <w:start w:val="1"/>
      <w:numFmt w:val="bullet"/>
      <w:lvlText w:val=""/>
      <w:lvlJc w:val="left"/>
      <w:pPr>
        <w:ind w:left="4320" w:hanging="360"/>
      </w:pPr>
      <w:rPr>
        <w:rFonts w:ascii="Wingdings" w:hAnsi="Wingdings" w:hint="default"/>
      </w:rPr>
    </w:lvl>
    <w:lvl w:ilvl="6" w:tplc="441C6454">
      <w:start w:val="1"/>
      <w:numFmt w:val="bullet"/>
      <w:lvlText w:val=""/>
      <w:lvlJc w:val="left"/>
      <w:pPr>
        <w:ind w:left="5040" w:hanging="360"/>
      </w:pPr>
      <w:rPr>
        <w:rFonts w:ascii="Symbol" w:hAnsi="Symbol" w:hint="default"/>
      </w:rPr>
    </w:lvl>
    <w:lvl w:ilvl="7" w:tplc="7144CF62">
      <w:start w:val="1"/>
      <w:numFmt w:val="bullet"/>
      <w:lvlText w:val="o"/>
      <w:lvlJc w:val="left"/>
      <w:pPr>
        <w:ind w:left="5760" w:hanging="360"/>
      </w:pPr>
      <w:rPr>
        <w:rFonts w:ascii="Courier New" w:hAnsi="Courier New" w:hint="default"/>
      </w:rPr>
    </w:lvl>
    <w:lvl w:ilvl="8" w:tplc="63BC975E">
      <w:start w:val="1"/>
      <w:numFmt w:val="bullet"/>
      <w:lvlText w:val=""/>
      <w:lvlJc w:val="left"/>
      <w:pPr>
        <w:ind w:left="6480" w:hanging="360"/>
      </w:pPr>
      <w:rPr>
        <w:rFonts w:ascii="Wingdings" w:hAnsi="Wingdings" w:hint="default"/>
      </w:rPr>
    </w:lvl>
  </w:abstractNum>
  <w:abstractNum w:abstractNumId="36" w15:restartNumberingAfterBreak="0">
    <w:nsid w:val="177B0148"/>
    <w:multiLevelType w:val="hybridMultilevel"/>
    <w:tmpl w:val="9C783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5C23D2"/>
    <w:multiLevelType w:val="hybridMultilevel"/>
    <w:tmpl w:val="29923198"/>
    <w:lvl w:ilvl="0" w:tplc="B25E6440">
      <w:start w:val="1"/>
      <w:numFmt w:val="bullet"/>
      <w:lvlText w:val=""/>
      <w:lvlJc w:val="left"/>
      <w:pPr>
        <w:ind w:left="780" w:hanging="360"/>
      </w:pPr>
      <w:rPr>
        <w:rFonts w:ascii="Symbol" w:hAnsi="Symbol" w:hint="default"/>
        <w:color w:val="B5333C" w:themeColor="accent2"/>
        <w:sz w:val="24"/>
      </w:rPr>
    </w:lvl>
    <w:lvl w:ilvl="1" w:tplc="04090003" w:tentative="1">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1AB94F2C"/>
    <w:multiLevelType w:val="hybridMultilevel"/>
    <w:tmpl w:val="30EC434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1B983A59"/>
    <w:multiLevelType w:val="hybridMultilevel"/>
    <w:tmpl w:val="5654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74330D"/>
    <w:multiLevelType w:val="hybridMultilevel"/>
    <w:tmpl w:val="5F52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2C5D5D"/>
    <w:multiLevelType w:val="hybridMultilevel"/>
    <w:tmpl w:val="FFFFFFFF"/>
    <w:lvl w:ilvl="0" w:tplc="0D606854">
      <w:start w:val="1"/>
      <w:numFmt w:val="bullet"/>
      <w:lvlText w:val=""/>
      <w:lvlJc w:val="left"/>
      <w:pPr>
        <w:ind w:left="720" w:hanging="360"/>
      </w:pPr>
      <w:rPr>
        <w:rFonts w:ascii="Symbol" w:hAnsi="Symbol" w:hint="default"/>
      </w:rPr>
    </w:lvl>
    <w:lvl w:ilvl="1" w:tplc="DA96364E">
      <w:start w:val="1"/>
      <w:numFmt w:val="bullet"/>
      <w:lvlText w:val="o"/>
      <w:lvlJc w:val="left"/>
      <w:pPr>
        <w:ind w:left="1440" w:hanging="360"/>
      </w:pPr>
      <w:rPr>
        <w:rFonts w:ascii="Courier New" w:hAnsi="Courier New" w:hint="default"/>
      </w:rPr>
    </w:lvl>
    <w:lvl w:ilvl="2" w:tplc="CE821004">
      <w:start w:val="1"/>
      <w:numFmt w:val="bullet"/>
      <w:lvlText w:val=""/>
      <w:lvlJc w:val="left"/>
      <w:pPr>
        <w:ind w:left="2160" w:hanging="360"/>
      </w:pPr>
      <w:rPr>
        <w:rFonts w:ascii="Wingdings" w:hAnsi="Wingdings" w:hint="default"/>
      </w:rPr>
    </w:lvl>
    <w:lvl w:ilvl="3" w:tplc="BC6C2A1C">
      <w:start w:val="1"/>
      <w:numFmt w:val="bullet"/>
      <w:lvlText w:val=""/>
      <w:lvlJc w:val="left"/>
      <w:pPr>
        <w:ind w:left="2880" w:hanging="360"/>
      </w:pPr>
      <w:rPr>
        <w:rFonts w:ascii="Symbol" w:hAnsi="Symbol" w:hint="default"/>
      </w:rPr>
    </w:lvl>
    <w:lvl w:ilvl="4" w:tplc="FE222942">
      <w:start w:val="1"/>
      <w:numFmt w:val="bullet"/>
      <w:lvlText w:val="o"/>
      <w:lvlJc w:val="left"/>
      <w:pPr>
        <w:ind w:left="3600" w:hanging="360"/>
      </w:pPr>
      <w:rPr>
        <w:rFonts w:ascii="Courier New" w:hAnsi="Courier New" w:hint="default"/>
      </w:rPr>
    </w:lvl>
    <w:lvl w:ilvl="5" w:tplc="468CF32E">
      <w:start w:val="1"/>
      <w:numFmt w:val="bullet"/>
      <w:lvlText w:val=""/>
      <w:lvlJc w:val="left"/>
      <w:pPr>
        <w:ind w:left="4320" w:hanging="360"/>
      </w:pPr>
      <w:rPr>
        <w:rFonts w:ascii="Wingdings" w:hAnsi="Wingdings" w:hint="default"/>
      </w:rPr>
    </w:lvl>
    <w:lvl w:ilvl="6" w:tplc="C68A57E6">
      <w:start w:val="1"/>
      <w:numFmt w:val="bullet"/>
      <w:lvlText w:val=""/>
      <w:lvlJc w:val="left"/>
      <w:pPr>
        <w:ind w:left="5040" w:hanging="360"/>
      </w:pPr>
      <w:rPr>
        <w:rFonts w:ascii="Symbol" w:hAnsi="Symbol" w:hint="default"/>
      </w:rPr>
    </w:lvl>
    <w:lvl w:ilvl="7" w:tplc="9CF01F54">
      <w:start w:val="1"/>
      <w:numFmt w:val="bullet"/>
      <w:lvlText w:val="o"/>
      <w:lvlJc w:val="left"/>
      <w:pPr>
        <w:ind w:left="5760" w:hanging="360"/>
      </w:pPr>
      <w:rPr>
        <w:rFonts w:ascii="Courier New" w:hAnsi="Courier New" w:hint="default"/>
      </w:rPr>
    </w:lvl>
    <w:lvl w:ilvl="8" w:tplc="52BA0A42">
      <w:start w:val="1"/>
      <w:numFmt w:val="bullet"/>
      <w:lvlText w:val=""/>
      <w:lvlJc w:val="left"/>
      <w:pPr>
        <w:ind w:left="6480" w:hanging="360"/>
      </w:pPr>
      <w:rPr>
        <w:rFonts w:ascii="Wingdings" w:hAnsi="Wingdings" w:hint="default"/>
      </w:rPr>
    </w:lvl>
  </w:abstractNum>
  <w:abstractNum w:abstractNumId="42" w15:restartNumberingAfterBreak="0">
    <w:nsid w:val="1E619960"/>
    <w:multiLevelType w:val="hybridMultilevel"/>
    <w:tmpl w:val="FFFFFFFF"/>
    <w:lvl w:ilvl="0" w:tplc="DBBAF506">
      <w:start w:val="1"/>
      <w:numFmt w:val="bullet"/>
      <w:lvlText w:val=""/>
      <w:lvlJc w:val="left"/>
      <w:pPr>
        <w:ind w:left="720" w:hanging="360"/>
      </w:pPr>
      <w:rPr>
        <w:rFonts w:ascii="Symbol" w:hAnsi="Symbol" w:hint="default"/>
      </w:rPr>
    </w:lvl>
    <w:lvl w:ilvl="1" w:tplc="AA7CDF9A">
      <w:start w:val="1"/>
      <w:numFmt w:val="bullet"/>
      <w:lvlText w:val="o"/>
      <w:lvlJc w:val="left"/>
      <w:pPr>
        <w:ind w:left="1440" w:hanging="360"/>
      </w:pPr>
      <w:rPr>
        <w:rFonts w:ascii="Courier New" w:hAnsi="Courier New" w:hint="default"/>
      </w:rPr>
    </w:lvl>
    <w:lvl w:ilvl="2" w:tplc="A2E23D04">
      <w:start w:val="1"/>
      <w:numFmt w:val="bullet"/>
      <w:lvlText w:val=""/>
      <w:lvlJc w:val="left"/>
      <w:pPr>
        <w:ind w:left="2160" w:hanging="360"/>
      </w:pPr>
      <w:rPr>
        <w:rFonts w:ascii="Wingdings" w:hAnsi="Wingdings" w:hint="default"/>
      </w:rPr>
    </w:lvl>
    <w:lvl w:ilvl="3" w:tplc="1B74B2F4">
      <w:start w:val="1"/>
      <w:numFmt w:val="bullet"/>
      <w:lvlText w:val=""/>
      <w:lvlJc w:val="left"/>
      <w:pPr>
        <w:ind w:left="2880" w:hanging="360"/>
      </w:pPr>
      <w:rPr>
        <w:rFonts w:ascii="Symbol" w:hAnsi="Symbol" w:hint="default"/>
      </w:rPr>
    </w:lvl>
    <w:lvl w:ilvl="4" w:tplc="E4DA0C02">
      <w:start w:val="1"/>
      <w:numFmt w:val="bullet"/>
      <w:lvlText w:val="o"/>
      <w:lvlJc w:val="left"/>
      <w:pPr>
        <w:ind w:left="3600" w:hanging="360"/>
      </w:pPr>
      <w:rPr>
        <w:rFonts w:ascii="Courier New" w:hAnsi="Courier New" w:hint="default"/>
      </w:rPr>
    </w:lvl>
    <w:lvl w:ilvl="5" w:tplc="F5708886">
      <w:start w:val="1"/>
      <w:numFmt w:val="bullet"/>
      <w:lvlText w:val=""/>
      <w:lvlJc w:val="left"/>
      <w:pPr>
        <w:ind w:left="4320" w:hanging="360"/>
      </w:pPr>
      <w:rPr>
        <w:rFonts w:ascii="Wingdings" w:hAnsi="Wingdings" w:hint="default"/>
      </w:rPr>
    </w:lvl>
    <w:lvl w:ilvl="6" w:tplc="265A9566">
      <w:start w:val="1"/>
      <w:numFmt w:val="bullet"/>
      <w:lvlText w:val=""/>
      <w:lvlJc w:val="left"/>
      <w:pPr>
        <w:ind w:left="5040" w:hanging="360"/>
      </w:pPr>
      <w:rPr>
        <w:rFonts w:ascii="Symbol" w:hAnsi="Symbol" w:hint="default"/>
      </w:rPr>
    </w:lvl>
    <w:lvl w:ilvl="7" w:tplc="ECEA7AE4">
      <w:start w:val="1"/>
      <w:numFmt w:val="bullet"/>
      <w:lvlText w:val="o"/>
      <w:lvlJc w:val="left"/>
      <w:pPr>
        <w:ind w:left="5760" w:hanging="360"/>
      </w:pPr>
      <w:rPr>
        <w:rFonts w:ascii="Courier New" w:hAnsi="Courier New" w:hint="default"/>
      </w:rPr>
    </w:lvl>
    <w:lvl w:ilvl="8" w:tplc="13EC955C">
      <w:start w:val="1"/>
      <w:numFmt w:val="bullet"/>
      <w:lvlText w:val=""/>
      <w:lvlJc w:val="left"/>
      <w:pPr>
        <w:ind w:left="6480" w:hanging="360"/>
      </w:pPr>
      <w:rPr>
        <w:rFonts w:ascii="Wingdings" w:hAnsi="Wingdings" w:hint="default"/>
      </w:rPr>
    </w:lvl>
  </w:abstractNum>
  <w:abstractNum w:abstractNumId="43" w15:restartNumberingAfterBreak="0">
    <w:nsid w:val="1F3E4FDC"/>
    <w:multiLevelType w:val="hybridMultilevel"/>
    <w:tmpl w:val="FE0A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D60701"/>
    <w:multiLevelType w:val="hybridMultilevel"/>
    <w:tmpl w:val="00FC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C409D1"/>
    <w:multiLevelType w:val="hybridMultilevel"/>
    <w:tmpl w:val="82BAB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9FBB5F"/>
    <w:multiLevelType w:val="hybridMultilevel"/>
    <w:tmpl w:val="FFFFFFFF"/>
    <w:lvl w:ilvl="0" w:tplc="1D7EAE34">
      <w:start w:val="1"/>
      <w:numFmt w:val="bullet"/>
      <w:lvlText w:val="·"/>
      <w:lvlJc w:val="left"/>
      <w:pPr>
        <w:ind w:left="720" w:hanging="360"/>
      </w:pPr>
      <w:rPr>
        <w:rFonts w:ascii="Symbol" w:hAnsi="Symbol" w:hint="default"/>
      </w:rPr>
    </w:lvl>
    <w:lvl w:ilvl="1" w:tplc="B1907BB8">
      <w:start w:val="1"/>
      <w:numFmt w:val="bullet"/>
      <w:lvlText w:val="o"/>
      <w:lvlJc w:val="left"/>
      <w:pPr>
        <w:ind w:left="1440" w:hanging="360"/>
      </w:pPr>
      <w:rPr>
        <w:rFonts w:ascii="Courier New" w:hAnsi="Courier New" w:hint="default"/>
      </w:rPr>
    </w:lvl>
    <w:lvl w:ilvl="2" w:tplc="B874B20C">
      <w:start w:val="1"/>
      <w:numFmt w:val="bullet"/>
      <w:lvlText w:val=""/>
      <w:lvlJc w:val="left"/>
      <w:pPr>
        <w:ind w:left="2160" w:hanging="360"/>
      </w:pPr>
      <w:rPr>
        <w:rFonts w:ascii="Wingdings" w:hAnsi="Wingdings" w:hint="default"/>
      </w:rPr>
    </w:lvl>
    <w:lvl w:ilvl="3" w:tplc="F66C2E02">
      <w:start w:val="1"/>
      <w:numFmt w:val="bullet"/>
      <w:lvlText w:val=""/>
      <w:lvlJc w:val="left"/>
      <w:pPr>
        <w:ind w:left="2880" w:hanging="360"/>
      </w:pPr>
      <w:rPr>
        <w:rFonts w:ascii="Symbol" w:hAnsi="Symbol" w:hint="default"/>
      </w:rPr>
    </w:lvl>
    <w:lvl w:ilvl="4" w:tplc="52F4B9CE">
      <w:start w:val="1"/>
      <w:numFmt w:val="bullet"/>
      <w:lvlText w:val="o"/>
      <w:lvlJc w:val="left"/>
      <w:pPr>
        <w:ind w:left="3600" w:hanging="360"/>
      </w:pPr>
      <w:rPr>
        <w:rFonts w:ascii="Courier New" w:hAnsi="Courier New" w:hint="default"/>
      </w:rPr>
    </w:lvl>
    <w:lvl w:ilvl="5" w:tplc="CD2CA378">
      <w:start w:val="1"/>
      <w:numFmt w:val="bullet"/>
      <w:lvlText w:val=""/>
      <w:lvlJc w:val="left"/>
      <w:pPr>
        <w:ind w:left="4320" w:hanging="360"/>
      </w:pPr>
      <w:rPr>
        <w:rFonts w:ascii="Wingdings" w:hAnsi="Wingdings" w:hint="default"/>
      </w:rPr>
    </w:lvl>
    <w:lvl w:ilvl="6" w:tplc="A3662AF6">
      <w:start w:val="1"/>
      <w:numFmt w:val="bullet"/>
      <w:lvlText w:val=""/>
      <w:lvlJc w:val="left"/>
      <w:pPr>
        <w:ind w:left="5040" w:hanging="360"/>
      </w:pPr>
      <w:rPr>
        <w:rFonts w:ascii="Symbol" w:hAnsi="Symbol" w:hint="default"/>
      </w:rPr>
    </w:lvl>
    <w:lvl w:ilvl="7" w:tplc="AA5885DA">
      <w:start w:val="1"/>
      <w:numFmt w:val="bullet"/>
      <w:lvlText w:val="o"/>
      <w:lvlJc w:val="left"/>
      <w:pPr>
        <w:ind w:left="5760" w:hanging="360"/>
      </w:pPr>
      <w:rPr>
        <w:rFonts w:ascii="Courier New" w:hAnsi="Courier New" w:hint="default"/>
      </w:rPr>
    </w:lvl>
    <w:lvl w:ilvl="8" w:tplc="9542945C">
      <w:start w:val="1"/>
      <w:numFmt w:val="bullet"/>
      <w:lvlText w:val=""/>
      <w:lvlJc w:val="left"/>
      <w:pPr>
        <w:ind w:left="6480" w:hanging="360"/>
      </w:pPr>
      <w:rPr>
        <w:rFonts w:ascii="Wingdings" w:hAnsi="Wingdings" w:hint="default"/>
      </w:rPr>
    </w:lvl>
  </w:abstractNum>
  <w:abstractNum w:abstractNumId="47" w15:restartNumberingAfterBreak="0">
    <w:nsid w:val="22FFF3A9"/>
    <w:multiLevelType w:val="hybridMultilevel"/>
    <w:tmpl w:val="FFFFFFFF"/>
    <w:lvl w:ilvl="0" w:tplc="E682A7AA">
      <w:start w:val="1"/>
      <w:numFmt w:val="decimal"/>
      <w:lvlText w:val="%1."/>
      <w:lvlJc w:val="left"/>
      <w:pPr>
        <w:ind w:left="720" w:hanging="360"/>
      </w:pPr>
    </w:lvl>
    <w:lvl w:ilvl="1" w:tplc="D5162BAC">
      <w:start w:val="1"/>
      <w:numFmt w:val="bullet"/>
      <w:lvlText w:val="§"/>
      <w:lvlJc w:val="left"/>
      <w:pPr>
        <w:ind w:left="1440" w:hanging="360"/>
      </w:pPr>
      <w:rPr>
        <w:rFonts w:ascii="Wingdings" w:hAnsi="Wingdings" w:hint="default"/>
      </w:rPr>
    </w:lvl>
    <w:lvl w:ilvl="2" w:tplc="EADC8CB2">
      <w:start w:val="1"/>
      <w:numFmt w:val="lowerRoman"/>
      <w:lvlText w:val="%3."/>
      <w:lvlJc w:val="right"/>
      <w:pPr>
        <w:ind w:left="2160" w:hanging="180"/>
      </w:pPr>
    </w:lvl>
    <w:lvl w:ilvl="3" w:tplc="00421ABE">
      <w:start w:val="1"/>
      <w:numFmt w:val="decimal"/>
      <w:lvlText w:val="%4."/>
      <w:lvlJc w:val="left"/>
      <w:pPr>
        <w:ind w:left="2880" w:hanging="360"/>
      </w:pPr>
    </w:lvl>
    <w:lvl w:ilvl="4" w:tplc="73E81AD6">
      <w:start w:val="1"/>
      <w:numFmt w:val="lowerLetter"/>
      <w:lvlText w:val="%5."/>
      <w:lvlJc w:val="left"/>
      <w:pPr>
        <w:ind w:left="3600" w:hanging="360"/>
      </w:pPr>
    </w:lvl>
    <w:lvl w:ilvl="5" w:tplc="CDCE0E56">
      <w:start w:val="1"/>
      <w:numFmt w:val="lowerRoman"/>
      <w:lvlText w:val="%6."/>
      <w:lvlJc w:val="right"/>
      <w:pPr>
        <w:ind w:left="4320" w:hanging="180"/>
      </w:pPr>
    </w:lvl>
    <w:lvl w:ilvl="6" w:tplc="639E1080">
      <w:start w:val="1"/>
      <w:numFmt w:val="decimal"/>
      <w:lvlText w:val="%7."/>
      <w:lvlJc w:val="left"/>
      <w:pPr>
        <w:ind w:left="5040" w:hanging="360"/>
      </w:pPr>
    </w:lvl>
    <w:lvl w:ilvl="7" w:tplc="5266782C">
      <w:start w:val="1"/>
      <w:numFmt w:val="lowerLetter"/>
      <w:lvlText w:val="%8."/>
      <w:lvlJc w:val="left"/>
      <w:pPr>
        <w:ind w:left="5760" w:hanging="360"/>
      </w:pPr>
    </w:lvl>
    <w:lvl w:ilvl="8" w:tplc="B192CD9C">
      <w:start w:val="1"/>
      <w:numFmt w:val="lowerRoman"/>
      <w:lvlText w:val="%9."/>
      <w:lvlJc w:val="right"/>
      <w:pPr>
        <w:ind w:left="6480" w:hanging="180"/>
      </w:pPr>
    </w:lvl>
  </w:abstractNum>
  <w:abstractNum w:abstractNumId="48" w15:restartNumberingAfterBreak="0">
    <w:nsid w:val="240F8145"/>
    <w:multiLevelType w:val="hybridMultilevel"/>
    <w:tmpl w:val="FFFFFFFF"/>
    <w:lvl w:ilvl="0" w:tplc="45264330">
      <w:start w:val="1"/>
      <w:numFmt w:val="bullet"/>
      <w:lvlText w:val=""/>
      <w:lvlJc w:val="left"/>
      <w:pPr>
        <w:ind w:left="1080" w:hanging="360"/>
      </w:pPr>
      <w:rPr>
        <w:rFonts w:ascii="Symbol" w:hAnsi="Symbol" w:hint="default"/>
      </w:rPr>
    </w:lvl>
    <w:lvl w:ilvl="1" w:tplc="10F25344">
      <w:start w:val="1"/>
      <w:numFmt w:val="bullet"/>
      <w:lvlText w:val="o"/>
      <w:lvlJc w:val="left"/>
      <w:pPr>
        <w:ind w:left="1800" w:hanging="360"/>
      </w:pPr>
      <w:rPr>
        <w:rFonts w:ascii="Courier New" w:hAnsi="Courier New" w:hint="default"/>
      </w:rPr>
    </w:lvl>
    <w:lvl w:ilvl="2" w:tplc="CF7A1F48">
      <w:start w:val="1"/>
      <w:numFmt w:val="bullet"/>
      <w:lvlText w:val=""/>
      <w:lvlJc w:val="left"/>
      <w:pPr>
        <w:ind w:left="2520" w:hanging="360"/>
      </w:pPr>
      <w:rPr>
        <w:rFonts w:ascii="Wingdings" w:hAnsi="Wingdings" w:hint="default"/>
      </w:rPr>
    </w:lvl>
    <w:lvl w:ilvl="3" w:tplc="63DA0324">
      <w:start w:val="1"/>
      <w:numFmt w:val="bullet"/>
      <w:lvlText w:val=""/>
      <w:lvlJc w:val="left"/>
      <w:pPr>
        <w:ind w:left="3240" w:hanging="360"/>
      </w:pPr>
      <w:rPr>
        <w:rFonts w:ascii="Symbol" w:hAnsi="Symbol" w:hint="default"/>
      </w:rPr>
    </w:lvl>
    <w:lvl w:ilvl="4" w:tplc="DC1A88EA">
      <w:start w:val="1"/>
      <w:numFmt w:val="bullet"/>
      <w:lvlText w:val="o"/>
      <w:lvlJc w:val="left"/>
      <w:pPr>
        <w:ind w:left="3960" w:hanging="360"/>
      </w:pPr>
      <w:rPr>
        <w:rFonts w:ascii="Courier New" w:hAnsi="Courier New" w:hint="default"/>
      </w:rPr>
    </w:lvl>
    <w:lvl w:ilvl="5" w:tplc="23165920">
      <w:start w:val="1"/>
      <w:numFmt w:val="bullet"/>
      <w:lvlText w:val=""/>
      <w:lvlJc w:val="left"/>
      <w:pPr>
        <w:ind w:left="4680" w:hanging="360"/>
      </w:pPr>
      <w:rPr>
        <w:rFonts w:ascii="Wingdings" w:hAnsi="Wingdings" w:hint="default"/>
      </w:rPr>
    </w:lvl>
    <w:lvl w:ilvl="6" w:tplc="7C74E240">
      <w:start w:val="1"/>
      <w:numFmt w:val="bullet"/>
      <w:lvlText w:val=""/>
      <w:lvlJc w:val="left"/>
      <w:pPr>
        <w:ind w:left="5400" w:hanging="360"/>
      </w:pPr>
      <w:rPr>
        <w:rFonts w:ascii="Symbol" w:hAnsi="Symbol" w:hint="default"/>
      </w:rPr>
    </w:lvl>
    <w:lvl w:ilvl="7" w:tplc="3E8AA7BA">
      <w:start w:val="1"/>
      <w:numFmt w:val="bullet"/>
      <w:lvlText w:val="o"/>
      <w:lvlJc w:val="left"/>
      <w:pPr>
        <w:ind w:left="6120" w:hanging="360"/>
      </w:pPr>
      <w:rPr>
        <w:rFonts w:ascii="Courier New" w:hAnsi="Courier New" w:hint="default"/>
      </w:rPr>
    </w:lvl>
    <w:lvl w:ilvl="8" w:tplc="3D1CB7F6">
      <w:start w:val="1"/>
      <w:numFmt w:val="bullet"/>
      <w:lvlText w:val=""/>
      <w:lvlJc w:val="left"/>
      <w:pPr>
        <w:ind w:left="6840" w:hanging="360"/>
      </w:pPr>
      <w:rPr>
        <w:rFonts w:ascii="Wingdings" w:hAnsi="Wingdings" w:hint="default"/>
      </w:rPr>
    </w:lvl>
  </w:abstractNum>
  <w:abstractNum w:abstractNumId="49" w15:restartNumberingAfterBreak="0">
    <w:nsid w:val="25C81B1D"/>
    <w:multiLevelType w:val="hybridMultilevel"/>
    <w:tmpl w:val="9312A8E0"/>
    <w:lvl w:ilvl="0" w:tplc="BAEEDECE">
      <w:start w:val="1"/>
      <w:numFmt w:val="bullet"/>
      <w:pStyle w:val="Level1Bullet"/>
      <w:lvlText w:val=""/>
      <w:lvlJc w:val="left"/>
      <w:pPr>
        <w:tabs>
          <w:tab w:val="num" w:pos="1440"/>
        </w:tabs>
        <w:ind w:left="1440" w:hanging="72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2694698C"/>
    <w:multiLevelType w:val="hybridMultilevel"/>
    <w:tmpl w:val="FFFFFFFF"/>
    <w:lvl w:ilvl="0" w:tplc="00C02310">
      <w:start w:val="1"/>
      <w:numFmt w:val="decimal"/>
      <w:lvlText w:val="%1."/>
      <w:lvlJc w:val="left"/>
      <w:pPr>
        <w:ind w:left="720" w:hanging="360"/>
      </w:pPr>
    </w:lvl>
    <w:lvl w:ilvl="1" w:tplc="A09E610A">
      <w:start w:val="1"/>
      <w:numFmt w:val="lowerLetter"/>
      <w:lvlText w:val="%2."/>
      <w:lvlJc w:val="left"/>
      <w:pPr>
        <w:ind w:left="1440" w:hanging="360"/>
      </w:pPr>
    </w:lvl>
    <w:lvl w:ilvl="2" w:tplc="4476C622">
      <w:start w:val="1"/>
      <w:numFmt w:val="lowerRoman"/>
      <w:lvlText w:val="%3."/>
      <w:lvlJc w:val="right"/>
      <w:pPr>
        <w:ind w:left="2160" w:hanging="180"/>
      </w:pPr>
    </w:lvl>
    <w:lvl w:ilvl="3" w:tplc="7C7E7F6A">
      <w:start w:val="1"/>
      <w:numFmt w:val="decimal"/>
      <w:lvlText w:val="%4."/>
      <w:lvlJc w:val="left"/>
      <w:pPr>
        <w:ind w:left="2880" w:hanging="360"/>
      </w:pPr>
    </w:lvl>
    <w:lvl w:ilvl="4" w:tplc="974819AA">
      <w:start w:val="1"/>
      <w:numFmt w:val="lowerLetter"/>
      <w:lvlText w:val="%5."/>
      <w:lvlJc w:val="left"/>
      <w:pPr>
        <w:ind w:left="3600" w:hanging="360"/>
      </w:pPr>
    </w:lvl>
    <w:lvl w:ilvl="5" w:tplc="FEC452F2">
      <w:start w:val="1"/>
      <w:numFmt w:val="lowerRoman"/>
      <w:lvlText w:val="%6."/>
      <w:lvlJc w:val="right"/>
      <w:pPr>
        <w:ind w:left="4320" w:hanging="180"/>
      </w:pPr>
    </w:lvl>
    <w:lvl w:ilvl="6" w:tplc="8E5CF920">
      <w:start w:val="1"/>
      <w:numFmt w:val="decimal"/>
      <w:lvlText w:val="%7."/>
      <w:lvlJc w:val="left"/>
      <w:pPr>
        <w:ind w:left="5040" w:hanging="360"/>
      </w:pPr>
    </w:lvl>
    <w:lvl w:ilvl="7" w:tplc="EDB02996">
      <w:start w:val="1"/>
      <w:numFmt w:val="lowerLetter"/>
      <w:lvlText w:val="%8."/>
      <w:lvlJc w:val="left"/>
      <w:pPr>
        <w:ind w:left="5760" w:hanging="360"/>
      </w:pPr>
    </w:lvl>
    <w:lvl w:ilvl="8" w:tplc="C596BA1A">
      <w:start w:val="1"/>
      <w:numFmt w:val="lowerRoman"/>
      <w:lvlText w:val="%9."/>
      <w:lvlJc w:val="right"/>
      <w:pPr>
        <w:ind w:left="6480" w:hanging="180"/>
      </w:pPr>
    </w:lvl>
  </w:abstractNum>
  <w:abstractNum w:abstractNumId="51" w15:restartNumberingAfterBreak="0">
    <w:nsid w:val="26A538D7"/>
    <w:multiLevelType w:val="hybridMultilevel"/>
    <w:tmpl w:val="8B189060"/>
    <w:lvl w:ilvl="0" w:tplc="515C93B0">
      <w:start w:val="1"/>
      <w:numFmt w:val="bullet"/>
      <w:lvlText w:val="§"/>
      <w:lvlJc w:val="left"/>
      <w:pPr>
        <w:ind w:left="720" w:hanging="360"/>
      </w:pPr>
      <w:rPr>
        <w:rFonts w:ascii="Wingdings" w:hAnsi="Wingdings" w:hint="default"/>
      </w:rPr>
    </w:lvl>
    <w:lvl w:ilvl="1" w:tplc="6354F544">
      <w:start w:val="1"/>
      <w:numFmt w:val="bullet"/>
      <w:lvlText w:val="o"/>
      <w:lvlJc w:val="left"/>
      <w:pPr>
        <w:ind w:left="1440" w:hanging="360"/>
      </w:pPr>
      <w:rPr>
        <w:rFonts w:ascii="Courier New" w:hAnsi="Courier New" w:hint="default"/>
      </w:rPr>
    </w:lvl>
    <w:lvl w:ilvl="2" w:tplc="D44CE846">
      <w:start w:val="1"/>
      <w:numFmt w:val="bullet"/>
      <w:lvlText w:val=""/>
      <w:lvlJc w:val="left"/>
      <w:pPr>
        <w:ind w:left="2160" w:hanging="360"/>
      </w:pPr>
      <w:rPr>
        <w:rFonts w:ascii="Wingdings" w:hAnsi="Wingdings" w:hint="default"/>
      </w:rPr>
    </w:lvl>
    <w:lvl w:ilvl="3" w:tplc="54D601E6">
      <w:start w:val="1"/>
      <w:numFmt w:val="bullet"/>
      <w:lvlText w:val=""/>
      <w:lvlJc w:val="left"/>
      <w:pPr>
        <w:ind w:left="2880" w:hanging="360"/>
      </w:pPr>
      <w:rPr>
        <w:rFonts w:ascii="Symbol" w:hAnsi="Symbol" w:hint="default"/>
      </w:rPr>
    </w:lvl>
    <w:lvl w:ilvl="4" w:tplc="17B2703C">
      <w:start w:val="1"/>
      <w:numFmt w:val="bullet"/>
      <w:lvlText w:val="o"/>
      <w:lvlJc w:val="left"/>
      <w:pPr>
        <w:ind w:left="3600" w:hanging="360"/>
      </w:pPr>
      <w:rPr>
        <w:rFonts w:ascii="Courier New" w:hAnsi="Courier New" w:hint="default"/>
      </w:rPr>
    </w:lvl>
    <w:lvl w:ilvl="5" w:tplc="2A3214B2">
      <w:start w:val="1"/>
      <w:numFmt w:val="bullet"/>
      <w:lvlText w:val=""/>
      <w:lvlJc w:val="left"/>
      <w:pPr>
        <w:ind w:left="4320" w:hanging="360"/>
      </w:pPr>
      <w:rPr>
        <w:rFonts w:ascii="Wingdings" w:hAnsi="Wingdings" w:hint="default"/>
      </w:rPr>
    </w:lvl>
    <w:lvl w:ilvl="6" w:tplc="558C333C">
      <w:start w:val="1"/>
      <w:numFmt w:val="bullet"/>
      <w:lvlText w:val=""/>
      <w:lvlJc w:val="left"/>
      <w:pPr>
        <w:ind w:left="5040" w:hanging="360"/>
      </w:pPr>
      <w:rPr>
        <w:rFonts w:ascii="Symbol" w:hAnsi="Symbol" w:hint="default"/>
      </w:rPr>
    </w:lvl>
    <w:lvl w:ilvl="7" w:tplc="D6145BE0">
      <w:start w:val="1"/>
      <w:numFmt w:val="bullet"/>
      <w:lvlText w:val="o"/>
      <w:lvlJc w:val="left"/>
      <w:pPr>
        <w:ind w:left="5760" w:hanging="360"/>
      </w:pPr>
      <w:rPr>
        <w:rFonts w:ascii="Courier New" w:hAnsi="Courier New" w:hint="default"/>
      </w:rPr>
    </w:lvl>
    <w:lvl w:ilvl="8" w:tplc="250C8CE6">
      <w:start w:val="1"/>
      <w:numFmt w:val="bullet"/>
      <w:lvlText w:val=""/>
      <w:lvlJc w:val="left"/>
      <w:pPr>
        <w:ind w:left="6480" w:hanging="360"/>
      </w:pPr>
      <w:rPr>
        <w:rFonts w:ascii="Wingdings" w:hAnsi="Wingdings" w:hint="default"/>
      </w:rPr>
    </w:lvl>
  </w:abstractNum>
  <w:abstractNum w:abstractNumId="52" w15:restartNumberingAfterBreak="0">
    <w:nsid w:val="28E63A73"/>
    <w:multiLevelType w:val="hybridMultilevel"/>
    <w:tmpl w:val="7E8C53FE"/>
    <w:lvl w:ilvl="0" w:tplc="1236109C">
      <w:start w:val="1"/>
      <w:numFmt w:val="bullet"/>
      <w:lvlText w:val=""/>
      <w:lvlJc w:val="left"/>
      <w:pPr>
        <w:ind w:left="720" w:hanging="360"/>
      </w:pPr>
      <w:rPr>
        <w:rFonts w:ascii="Symbol" w:hAnsi="Symbol" w:hint="default"/>
        <w:color w:val="B5333C" w:themeColor="accent2"/>
      </w:rPr>
    </w:lvl>
    <w:lvl w:ilvl="1" w:tplc="BBFC3A3E">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D776A1"/>
    <w:multiLevelType w:val="hybridMultilevel"/>
    <w:tmpl w:val="FFFFFFFF"/>
    <w:lvl w:ilvl="0" w:tplc="6946085A">
      <w:start w:val="1"/>
      <w:numFmt w:val="decimal"/>
      <w:lvlText w:val="%1."/>
      <w:lvlJc w:val="left"/>
      <w:pPr>
        <w:ind w:left="720" w:hanging="360"/>
      </w:pPr>
    </w:lvl>
    <w:lvl w:ilvl="1" w:tplc="E364F902">
      <w:start w:val="1"/>
      <w:numFmt w:val="lowerLetter"/>
      <w:lvlText w:val="%2."/>
      <w:lvlJc w:val="left"/>
      <w:pPr>
        <w:ind w:left="1440" w:hanging="360"/>
      </w:pPr>
    </w:lvl>
    <w:lvl w:ilvl="2" w:tplc="879AA2FA">
      <w:start w:val="1"/>
      <w:numFmt w:val="lowerRoman"/>
      <w:lvlText w:val="%3."/>
      <w:lvlJc w:val="right"/>
      <w:pPr>
        <w:ind w:left="2160" w:hanging="180"/>
      </w:pPr>
    </w:lvl>
    <w:lvl w:ilvl="3" w:tplc="C986B460">
      <w:start w:val="1"/>
      <w:numFmt w:val="decimal"/>
      <w:lvlText w:val="%4."/>
      <w:lvlJc w:val="left"/>
      <w:pPr>
        <w:ind w:left="2880" w:hanging="360"/>
      </w:pPr>
    </w:lvl>
    <w:lvl w:ilvl="4" w:tplc="3F52AC20">
      <w:start w:val="1"/>
      <w:numFmt w:val="lowerLetter"/>
      <w:lvlText w:val="%5."/>
      <w:lvlJc w:val="left"/>
      <w:pPr>
        <w:ind w:left="3600" w:hanging="360"/>
      </w:pPr>
    </w:lvl>
    <w:lvl w:ilvl="5" w:tplc="D8DE6C26">
      <w:start w:val="1"/>
      <w:numFmt w:val="lowerRoman"/>
      <w:lvlText w:val="%6."/>
      <w:lvlJc w:val="right"/>
      <w:pPr>
        <w:ind w:left="4320" w:hanging="180"/>
      </w:pPr>
    </w:lvl>
    <w:lvl w:ilvl="6" w:tplc="4DC275C6">
      <w:start w:val="1"/>
      <w:numFmt w:val="decimal"/>
      <w:lvlText w:val="%7."/>
      <w:lvlJc w:val="left"/>
      <w:pPr>
        <w:ind w:left="5040" w:hanging="360"/>
      </w:pPr>
    </w:lvl>
    <w:lvl w:ilvl="7" w:tplc="B22E04B0">
      <w:start w:val="1"/>
      <w:numFmt w:val="lowerLetter"/>
      <w:lvlText w:val="%8."/>
      <w:lvlJc w:val="left"/>
      <w:pPr>
        <w:ind w:left="5760" w:hanging="360"/>
      </w:pPr>
    </w:lvl>
    <w:lvl w:ilvl="8" w:tplc="39667BDC">
      <w:start w:val="1"/>
      <w:numFmt w:val="lowerRoman"/>
      <w:lvlText w:val="%9."/>
      <w:lvlJc w:val="right"/>
      <w:pPr>
        <w:ind w:left="6480" w:hanging="180"/>
      </w:pPr>
    </w:lvl>
  </w:abstractNum>
  <w:abstractNum w:abstractNumId="54" w15:restartNumberingAfterBreak="0">
    <w:nsid w:val="29DC25EE"/>
    <w:multiLevelType w:val="hybridMultilevel"/>
    <w:tmpl w:val="B7E68622"/>
    <w:lvl w:ilvl="0" w:tplc="61C8C5DA">
      <w:start w:val="1"/>
      <w:numFmt w:val="bullet"/>
      <w:lvlText w:val="·"/>
      <w:lvlJc w:val="left"/>
      <w:pPr>
        <w:ind w:left="720" w:hanging="360"/>
      </w:pPr>
      <w:rPr>
        <w:rFonts w:ascii="Symbol" w:hAnsi="Symbol" w:hint="default"/>
      </w:rPr>
    </w:lvl>
    <w:lvl w:ilvl="1" w:tplc="B966FDD2">
      <w:start w:val="1"/>
      <w:numFmt w:val="bullet"/>
      <w:lvlText w:val="o"/>
      <w:lvlJc w:val="left"/>
      <w:pPr>
        <w:ind w:left="1440" w:hanging="360"/>
      </w:pPr>
      <w:rPr>
        <w:rFonts w:ascii="Courier New" w:hAnsi="Courier New" w:hint="default"/>
      </w:rPr>
    </w:lvl>
    <w:lvl w:ilvl="2" w:tplc="2ADCAA5E">
      <w:start w:val="1"/>
      <w:numFmt w:val="bullet"/>
      <w:lvlText w:val=""/>
      <w:lvlJc w:val="left"/>
      <w:pPr>
        <w:ind w:left="2160" w:hanging="360"/>
      </w:pPr>
      <w:rPr>
        <w:rFonts w:ascii="Wingdings" w:hAnsi="Wingdings" w:hint="default"/>
      </w:rPr>
    </w:lvl>
    <w:lvl w:ilvl="3" w:tplc="7AA6B09E">
      <w:start w:val="1"/>
      <w:numFmt w:val="bullet"/>
      <w:lvlText w:val=""/>
      <w:lvlJc w:val="left"/>
      <w:pPr>
        <w:ind w:left="2880" w:hanging="360"/>
      </w:pPr>
      <w:rPr>
        <w:rFonts w:ascii="Symbol" w:hAnsi="Symbol" w:hint="default"/>
      </w:rPr>
    </w:lvl>
    <w:lvl w:ilvl="4" w:tplc="1AB87EEA">
      <w:start w:val="1"/>
      <w:numFmt w:val="bullet"/>
      <w:lvlText w:val="o"/>
      <w:lvlJc w:val="left"/>
      <w:pPr>
        <w:ind w:left="3600" w:hanging="360"/>
      </w:pPr>
      <w:rPr>
        <w:rFonts w:ascii="Courier New" w:hAnsi="Courier New" w:hint="default"/>
      </w:rPr>
    </w:lvl>
    <w:lvl w:ilvl="5" w:tplc="495E257C">
      <w:start w:val="1"/>
      <w:numFmt w:val="bullet"/>
      <w:lvlText w:val=""/>
      <w:lvlJc w:val="left"/>
      <w:pPr>
        <w:ind w:left="4320" w:hanging="360"/>
      </w:pPr>
      <w:rPr>
        <w:rFonts w:ascii="Wingdings" w:hAnsi="Wingdings" w:hint="default"/>
      </w:rPr>
    </w:lvl>
    <w:lvl w:ilvl="6" w:tplc="74FED5F8">
      <w:start w:val="1"/>
      <w:numFmt w:val="bullet"/>
      <w:lvlText w:val=""/>
      <w:lvlJc w:val="left"/>
      <w:pPr>
        <w:ind w:left="5040" w:hanging="360"/>
      </w:pPr>
      <w:rPr>
        <w:rFonts w:ascii="Symbol" w:hAnsi="Symbol" w:hint="default"/>
      </w:rPr>
    </w:lvl>
    <w:lvl w:ilvl="7" w:tplc="1F36BE02">
      <w:start w:val="1"/>
      <w:numFmt w:val="bullet"/>
      <w:lvlText w:val="o"/>
      <w:lvlJc w:val="left"/>
      <w:pPr>
        <w:ind w:left="5760" w:hanging="360"/>
      </w:pPr>
      <w:rPr>
        <w:rFonts w:ascii="Courier New" w:hAnsi="Courier New" w:hint="default"/>
      </w:rPr>
    </w:lvl>
    <w:lvl w:ilvl="8" w:tplc="DC984048">
      <w:start w:val="1"/>
      <w:numFmt w:val="bullet"/>
      <w:lvlText w:val=""/>
      <w:lvlJc w:val="left"/>
      <w:pPr>
        <w:ind w:left="6480" w:hanging="360"/>
      </w:pPr>
      <w:rPr>
        <w:rFonts w:ascii="Wingdings" w:hAnsi="Wingdings" w:hint="default"/>
      </w:rPr>
    </w:lvl>
  </w:abstractNum>
  <w:abstractNum w:abstractNumId="55" w15:restartNumberingAfterBreak="0">
    <w:nsid w:val="2A181EB6"/>
    <w:multiLevelType w:val="hybridMultilevel"/>
    <w:tmpl w:val="812C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C16E5B"/>
    <w:multiLevelType w:val="hybridMultilevel"/>
    <w:tmpl w:val="635A060A"/>
    <w:lvl w:ilvl="0" w:tplc="FFFFFFFF">
      <w:start w:val="1"/>
      <w:numFmt w:val="upperLetter"/>
      <w:lvlText w:val="%1."/>
      <w:lvlJc w:val="left"/>
      <w:pPr>
        <w:ind w:left="81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CD1169"/>
    <w:multiLevelType w:val="hybridMultilevel"/>
    <w:tmpl w:val="838625D6"/>
    <w:lvl w:ilvl="0" w:tplc="04090011">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F580AB0">
      <w:start w:val="3"/>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C972DE"/>
    <w:multiLevelType w:val="hybridMultilevel"/>
    <w:tmpl w:val="FFFFFFFF"/>
    <w:lvl w:ilvl="0" w:tplc="9022E648">
      <w:start w:val="1"/>
      <w:numFmt w:val="decimal"/>
      <w:lvlText w:val="●"/>
      <w:lvlJc w:val="left"/>
      <w:pPr>
        <w:ind w:left="720" w:hanging="360"/>
      </w:pPr>
    </w:lvl>
    <w:lvl w:ilvl="1" w:tplc="F440C8FE">
      <w:start w:val="1"/>
      <w:numFmt w:val="lowerLetter"/>
      <w:lvlText w:val="%2."/>
      <w:lvlJc w:val="left"/>
      <w:pPr>
        <w:ind w:left="1440" w:hanging="360"/>
      </w:pPr>
    </w:lvl>
    <w:lvl w:ilvl="2" w:tplc="6330ACC6">
      <w:start w:val="1"/>
      <w:numFmt w:val="lowerRoman"/>
      <w:lvlText w:val="%3."/>
      <w:lvlJc w:val="right"/>
      <w:pPr>
        <w:ind w:left="2160" w:hanging="180"/>
      </w:pPr>
    </w:lvl>
    <w:lvl w:ilvl="3" w:tplc="D2B4D916">
      <w:start w:val="1"/>
      <w:numFmt w:val="decimal"/>
      <w:lvlText w:val="%4."/>
      <w:lvlJc w:val="left"/>
      <w:pPr>
        <w:ind w:left="2880" w:hanging="360"/>
      </w:pPr>
    </w:lvl>
    <w:lvl w:ilvl="4" w:tplc="9FD896AC">
      <w:start w:val="1"/>
      <w:numFmt w:val="lowerLetter"/>
      <w:lvlText w:val="%5."/>
      <w:lvlJc w:val="left"/>
      <w:pPr>
        <w:ind w:left="3600" w:hanging="360"/>
      </w:pPr>
    </w:lvl>
    <w:lvl w:ilvl="5" w:tplc="C5664EBC">
      <w:start w:val="1"/>
      <w:numFmt w:val="lowerRoman"/>
      <w:lvlText w:val="%6."/>
      <w:lvlJc w:val="right"/>
      <w:pPr>
        <w:ind w:left="4320" w:hanging="180"/>
      </w:pPr>
    </w:lvl>
    <w:lvl w:ilvl="6" w:tplc="DAD6CF6C">
      <w:start w:val="1"/>
      <w:numFmt w:val="decimal"/>
      <w:lvlText w:val="%7."/>
      <w:lvlJc w:val="left"/>
      <w:pPr>
        <w:ind w:left="5040" w:hanging="360"/>
      </w:pPr>
    </w:lvl>
    <w:lvl w:ilvl="7" w:tplc="1506E40E">
      <w:start w:val="1"/>
      <w:numFmt w:val="lowerLetter"/>
      <w:lvlText w:val="%8."/>
      <w:lvlJc w:val="left"/>
      <w:pPr>
        <w:ind w:left="5760" w:hanging="360"/>
      </w:pPr>
    </w:lvl>
    <w:lvl w:ilvl="8" w:tplc="9E56D3F0">
      <w:start w:val="1"/>
      <w:numFmt w:val="lowerRoman"/>
      <w:lvlText w:val="%9."/>
      <w:lvlJc w:val="right"/>
      <w:pPr>
        <w:ind w:left="6480" w:hanging="180"/>
      </w:pPr>
    </w:lvl>
  </w:abstractNum>
  <w:abstractNum w:abstractNumId="59" w15:restartNumberingAfterBreak="0">
    <w:nsid w:val="2EE42DAC"/>
    <w:multiLevelType w:val="hybridMultilevel"/>
    <w:tmpl w:val="9F4CA5FC"/>
    <w:lvl w:ilvl="0" w:tplc="01E02F28">
      <w:start w:val="1"/>
      <w:numFmt w:val="lowerLetter"/>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FA6A040"/>
    <w:multiLevelType w:val="hybridMultilevel"/>
    <w:tmpl w:val="FFFFFFFF"/>
    <w:lvl w:ilvl="0" w:tplc="B0E6F97C">
      <w:start w:val="1"/>
      <w:numFmt w:val="bullet"/>
      <w:lvlText w:val="§"/>
      <w:lvlJc w:val="left"/>
      <w:pPr>
        <w:ind w:left="720" w:hanging="360"/>
      </w:pPr>
      <w:rPr>
        <w:rFonts w:ascii="Wingdings" w:hAnsi="Wingdings" w:hint="default"/>
      </w:rPr>
    </w:lvl>
    <w:lvl w:ilvl="1" w:tplc="D6DAFF16">
      <w:start w:val="1"/>
      <w:numFmt w:val="bullet"/>
      <w:lvlText w:val="o"/>
      <w:lvlJc w:val="left"/>
      <w:pPr>
        <w:ind w:left="1440" w:hanging="360"/>
      </w:pPr>
      <w:rPr>
        <w:rFonts w:ascii="Courier New" w:hAnsi="Courier New" w:hint="default"/>
      </w:rPr>
    </w:lvl>
    <w:lvl w:ilvl="2" w:tplc="98D25FB0">
      <w:start w:val="1"/>
      <w:numFmt w:val="bullet"/>
      <w:lvlText w:val=""/>
      <w:lvlJc w:val="left"/>
      <w:pPr>
        <w:ind w:left="2160" w:hanging="360"/>
      </w:pPr>
      <w:rPr>
        <w:rFonts w:ascii="Wingdings" w:hAnsi="Wingdings" w:hint="default"/>
      </w:rPr>
    </w:lvl>
    <w:lvl w:ilvl="3" w:tplc="765047BC">
      <w:start w:val="1"/>
      <w:numFmt w:val="bullet"/>
      <w:lvlText w:val=""/>
      <w:lvlJc w:val="left"/>
      <w:pPr>
        <w:ind w:left="2880" w:hanging="360"/>
      </w:pPr>
      <w:rPr>
        <w:rFonts w:ascii="Symbol" w:hAnsi="Symbol" w:hint="default"/>
      </w:rPr>
    </w:lvl>
    <w:lvl w:ilvl="4" w:tplc="486A749A">
      <w:start w:val="1"/>
      <w:numFmt w:val="bullet"/>
      <w:lvlText w:val="o"/>
      <w:lvlJc w:val="left"/>
      <w:pPr>
        <w:ind w:left="3600" w:hanging="360"/>
      </w:pPr>
      <w:rPr>
        <w:rFonts w:ascii="Courier New" w:hAnsi="Courier New" w:hint="default"/>
      </w:rPr>
    </w:lvl>
    <w:lvl w:ilvl="5" w:tplc="D3CCD4DC">
      <w:start w:val="1"/>
      <w:numFmt w:val="bullet"/>
      <w:lvlText w:val=""/>
      <w:lvlJc w:val="left"/>
      <w:pPr>
        <w:ind w:left="4320" w:hanging="360"/>
      </w:pPr>
      <w:rPr>
        <w:rFonts w:ascii="Wingdings" w:hAnsi="Wingdings" w:hint="default"/>
      </w:rPr>
    </w:lvl>
    <w:lvl w:ilvl="6" w:tplc="858006EA">
      <w:start w:val="1"/>
      <w:numFmt w:val="bullet"/>
      <w:lvlText w:val=""/>
      <w:lvlJc w:val="left"/>
      <w:pPr>
        <w:ind w:left="5040" w:hanging="360"/>
      </w:pPr>
      <w:rPr>
        <w:rFonts w:ascii="Symbol" w:hAnsi="Symbol" w:hint="default"/>
      </w:rPr>
    </w:lvl>
    <w:lvl w:ilvl="7" w:tplc="93B2847E">
      <w:start w:val="1"/>
      <w:numFmt w:val="bullet"/>
      <w:lvlText w:val="o"/>
      <w:lvlJc w:val="left"/>
      <w:pPr>
        <w:ind w:left="5760" w:hanging="360"/>
      </w:pPr>
      <w:rPr>
        <w:rFonts w:ascii="Courier New" w:hAnsi="Courier New" w:hint="default"/>
      </w:rPr>
    </w:lvl>
    <w:lvl w:ilvl="8" w:tplc="3D5C70DA">
      <w:start w:val="1"/>
      <w:numFmt w:val="bullet"/>
      <w:lvlText w:val=""/>
      <w:lvlJc w:val="left"/>
      <w:pPr>
        <w:ind w:left="6480" w:hanging="360"/>
      </w:pPr>
      <w:rPr>
        <w:rFonts w:ascii="Wingdings" w:hAnsi="Wingdings" w:hint="default"/>
      </w:rPr>
    </w:lvl>
  </w:abstractNum>
  <w:abstractNum w:abstractNumId="61" w15:restartNumberingAfterBreak="0">
    <w:nsid w:val="3063701F"/>
    <w:multiLevelType w:val="hybridMultilevel"/>
    <w:tmpl w:val="FFFFFFFF"/>
    <w:lvl w:ilvl="0" w:tplc="00007884">
      <w:start w:val="1"/>
      <w:numFmt w:val="bullet"/>
      <w:lvlText w:val="·"/>
      <w:lvlJc w:val="left"/>
      <w:pPr>
        <w:ind w:left="720" w:hanging="360"/>
      </w:pPr>
      <w:rPr>
        <w:rFonts w:ascii="Symbol" w:hAnsi="Symbol" w:hint="default"/>
      </w:rPr>
    </w:lvl>
    <w:lvl w:ilvl="1" w:tplc="DE1C859E">
      <w:start w:val="1"/>
      <w:numFmt w:val="bullet"/>
      <w:lvlText w:val="o"/>
      <w:lvlJc w:val="left"/>
      <w:pPr>
        <w:ind w:left="1440" w:hanging="360"/>
      </w:pPr>
      <w:rPr>
        <w:rFonts w:ascii="Courier New" w:hAnsi="Courier New" w:hint="default"/>
      </w:rPr>
    </w:lvl>
    <w:lvl w:ilvl="2" w:tplc="8162EF20">
      <w:start w:val="1"/>
      <w:numFmt w:val="bullet"/>
      <w:lvlText w:val=""/>
      <w:lvlJc w:val="left"/>
      <w:pPr>
        <w:ind w:left="2160" w:hanging="360"/>
      </w:pPr>
      <w:rPr>
        <w:rFonts w:ascii="Wingdings" w:hAnsi="Wingdings" w:hint="default"/>
      </w:rPr>
    </w:lvl>
    <w:lvl w:ilvl="3" w:tplc="4EFA4DFA">
      <w:start w:val="1"/>
      <w:numFmt w:val="bullet"/>
      <w:lvlText w:val=""/>
      <w:lvlJc w:val="left"/>
      <w:pPr>
        <w:ind w:left="2880" w:hanging="360"/>
      </w:pPr>
      <w:rPr>
        <w:rFonts w:ascii="Symbol" w:hAnsi="Symbol" w:hint="default"/>
      </w:rPr>
    </w:lvl>
    <w:lvl w:ilvl="4" w:tplc="E34A2B30">
      <w:start w:val="1"/>
      <w:numFmt w:val="bullet"/>
      <w:lvlText w:val="o"/>
      <w:lvlJc w:val="left"/>
      <w:pPr>
        <w:ind w:left="3600" w:hanging="360"/>
      </w:pPr>
      <w:rPr>
        <w:rFonts w:ascii="Courier New" w:hAnsi="Courier New" w:hint="default"/>
      </w:rPr>
    </w:lvl>
    <w:lvl w:ilvl="5" w:tplc="512ED746">
      <w:start w:val="1"/>
      <w:numFmt w:val="bullet"/>
      <w:lvlText w:val=""/>
      <w:lvlJc w:val="left"/>
      <w:pPr>
        <w:ind w:left="4320" w:hanging="360"/>
      </w:pPr>
      <w:rPr>
        <w:rFonts w:ascii="Wingdings" w:hAnsi="Wingdings" w:hint="default"/>
      </w:rPr>
    </w:lvl>
    <w:lvl w:ilvl="6" w:tplc="4E56D056">
      <w:start w:val="1"/>
      <w:numFmt w:val="bullet"/>
      <w:lvlText w:val=""/>
      <w:lvlJc w:val="left"/>
      <w:pPr>
        <w:ind w:left="5040" w:hanging="360"/>
      </w:pPr>
      <w:rPr>
        <w:rFonts w:ascii="Symbol" w:hAnsi="Symbol" w:hint="default"/>
      </w:rPr>
    </w:lvl>
    <w:lvl w:ilvl="7" w:tplc="25EAF7AE">
      <w:start w:val="1"/>
      <w:numFmt w:val="bullet"/>
      <w:lvlText w:val="o"/>
      <w:lvlJc w:val="left"/>
      <w:pPr>
        <w:ind w:left="5760" w:hanging="360"/>
      </w:pPr>
      <w:rPr>
        <w:rFonts w:ascii="Courier New" w:hAnsi="Courier New" w:hint="default"/>
      </w:rPr>
    </w:lvl>
    <w:lvl w:ilvl="8" w:tplc="55D2AAA6">
      <w:start w:val="1"/>
      <w:numFmt w:val="bullet"/>
      <w:lvlText w:val=""/>
      <w:lvlJc w:val="left"/>
      <w:pPr>
        <w:ind w:left="6480" w:hanging="360"/>
      </w:pPr>
      <w:rPr>
        <w:rFonts w:ascii="Wingdings" w:hAnsi="Wingdings" w:hint="default"/>
      </w:rPr>
    </w:lvl>
  </w:abstractNum>
  <w:abstractNum w:abstractNumId="62" w15:restartNumberingAfterBreak="0">
    <w:nsid w:val="30EB538E"/>
    <w:multiLevelType w:val="hybridMultilevel"/>
    <w:tmpl w:val="FFFFFFFF"/>
    <w:lvl w:ilvl="0" w:tplc="5104638E">
      <w:start w:val="1"/>
      <w:numFmt w:val="bullet"/>
      <w:lvlText w:val=""/>
      <w:lvlJc w:val="left"/>
      <w:pPr>
        <w:ind w:left="720" w:hanging="360"/>
      </w:pPr>
      <w:rPr>
        <w:rFonts w:ascii="Symbol" w:hAnsi="Symbol" w:hint="default"/>
      </w:rPr>
    </w:lvl>
    <w:lvl w:ilvl="1" w:tplc="D9E83C1A">
      <w:start w:val="1"/>
      <w:numFmt w:val="bullet"/>
      <w:lvlText w:val="o"/>
      <w:lvlJc w:val="left"/>
      <w:pPr>
        <w:ind w:left="1440" w:hanging="360"/>
      </w:pPr>
      <w:rPr>
        <w:rFonts w:ascii="Courier New" w:hAnsi="Courier New" w:hint="default"/>
      </w:rPr>
    </w:lvl>
    <w:lvl w:ilvl="2" w:tplc="37DA1DF4">
      <w:start w:val="1"/>
      <w:numFmt w:val="bullet"/>
      <w:lvlText w:val=""/>
      <w:lvlJc w:val="left"/>
      <w:pPr>
        <w:ind w:left="2160" w:hanging="360"/>
      </w:pPr>
      <w:rPr>
        <w:rFonts w:ascii="Wingdings" w:hAnsi="Wingdings" w:hint="default"/>
      </w:rPr>
    </w:lvl>
    <w:lvl w:ilvl="3" w:tplc="59B63108">
      <w:start w:val="1"/>
      <w:numFmt w:val="bullet"/>
      <w:lvlText w:val=""/>
      <w:lvlJc w:val="left"/>
      <w:pPr>
        <w:ind w:left="2880" w:hanging="360"/>
      </w:pPr>
      <w:rPr>
        <w:rFonts w:ascii="Symbol" w:hAnsi="Symbol" w:hint="default"/>
      </w:rPr>
    </w:lvl>
    <w:lvl w:ilvl="4" w:tplc="4FE47794">
      <w:start w:val="1"/>
      <w:numFmt w:val="bullet"/>
      <w:lvlText w:val="o"/>
      <w:lvlJc w:val="left"/>
      <w:pPr>
        <w:ind w:left="3600" w:hanging="360"/>
      </w:pPr>
      <w:rPr>
        <w:rFonts w:ascii="Courier New" w:hAnsi="Courier New" w:hint="default"/>
      </w:rPr>
    </w:lvl>
    <w:lvl w:ilvl="5" w:tplc="F6FCB294">
      <w:start w:val="1"/>
      <w:numFmt w:val="bullet"/>
      <w:lvlText w:val=""/>
      <w:lvlJc w:val="left"/>
      <w:pPr>
        <w:ind w:left="4320" w:hanging="360"/>
      </w:pPr>
      <w:rPr>
        <w:rFonts w:ascii="Wingdings" w:hAnsi="Wingdings" w:hint="default"/>
      </w:rPr>
    </w:lvl>
    <w:lvl w:ilvl="6" w:tplc="4C7A51A6">
      <w:start w:val="1"/>
      <w:numFmt w:val="bullet"/>
      <w:lvlText w:val=""/>
      <w:lvlJc w:val="left"/>
      <w:pPr>
        <w:ind w:left="5040" w:hanging="360"/>
      </w:pPr>
      <w:rPr>
        <w:rFonts w:ascii="Symbol" w:hAnsi="Symbol" w:hint="default"/>
      </w:rPr>
    </w:lvl>
    <w:lvl w:ilvl="7" w:tplc="BC7A354A">
      <w:start w:val="1"/>
      <w:numFmt w:val="bullet"/>
      <w:lvlText w:val="o"/>
      <w:lvlJc w:val="left"/>
      <w:pPr>
        <w:ind w:left="5760" w:hanging="360"/>
      </w:pPr>
      <w:rPr>
        <w:rFonts w:ascii="Courier New" w:hAnsi="Courier New" w:hint="default"/>
      </w:rPr>
    </w:lvl>
    <w:lvl w:ilvl="8" w:tplc="DF86D512">
      <w:start w:val="1"/>
      <w:numFmt w:val="bullet"/>
      <w:lvlText w:val=""/>
      <w:lvlJc w:val="left"/>
      <w:pPr>
        <w:ind w:left="6480" w:hanging="360"/>
      </w:pPr>
      <w:rPr>
        <w:rFonts w:ascii="Wingdings" w:hAnsi="Wingdings" w:hint="default"/>
      </w:rPr>
    </w:lvl>
  </w:abstractNum>
  <w:abstractNum w:abstractNumId="63" w15:restartNumberingAfterBreak="0">
    <w:nsid w:val="31070C5C"/>
    <w:multiLevelType w:val="hybridMultilevel"/>
    <w:tmpl w:val="9ACCE9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237E37B"/>
    <w:multiLevelType w:val="hybridMultilevel"/>
    <w:tmpl w:val="FFFFFFFF"/>
    <w:lvl w:ilvl="0" w:tplc="1E54D7D2">
      <w:start w:val="1"/>
      <w:numFmt w:val="decimal"/>
      <w:lvlText w:val="●"/>
      <w:lvlJc w:val="left"/>
      <w:pPr>
        <w:ind w:left="720" w:hanging="360"/>
      </w:pPr>
    </w:lvl>
    <w:lvl w:ilvl="1" w:tplc="2E0E414E">
      <w:start w:val="1"/>
      <w:numFmt w:val="lowerLetter"/>
      <w:lvlText w:val="%2."/>
      <w:lvlJc w:val="left"/>
      <w:pPr>
        <w:ind w:left="1440" w:hanging="360"/>
      </w:pPr>
    </w:lvl>
    <w:lvl w:ilvl="2" w:tplc="AE7A1CCE">
      <w:start w:val="1"/>
      <w:numFmt w:val="lowerRoman"/>
      <w:lvlText w:val="%3."/>
      <w:lvlJc w:val="right"/>
      <w:pPr>
        <w:ind w:left="2160" w:hanging="180"/>
      </w:pPr>
    </w:lvl>
    <w:lvl w:ilvl="3" w:tplc="71621908">
      <w:start w:val="1"/>
      <w:numFmt w:val="decimal"/>
      <w:lvlText w:val="%4."/>
      <w:lvlJc w:val="left"/>
      <w:pPr>
        <w:ind w:left="2880" w:hanging="360"/>
      </w:pPr>
    </w:lvl>
    <w:lvl w:ilvl="4" w:tplc="A2BA2D56">
      <w:start w:val="1"/>
      <w:numFmt w:val="lowerLetter"/>
      <w:lvlText w:val="%5."/>
      <w:lvlJc w:val="left"/>
      <w:pPr>
        <w:ind w:left="3600" w:hanging="360"/>
      </w:pPr>
    </w:lvl>
    <w:lvl w:ilvl="5" w:tplc="92C4F3E0">
      <w:start w:val="1"/>
      <w:numFmt w:val="lowerRoman"/>
      <w:lvlText w:val="%6."/>
      <w:lvlJc w:val="right"/>
      <w:pPr>
        <w:ind w:left="4320" w:hanging="180"/>
      </w:pPr>
    </w:lvl>
    <w:lvl w:ilvl="6" w:tplc="57B8C8E4">
      <w:start w:val="1"/>
      <w:numFmt w:val="decimal"/>
      <w:lvlText w:val="%7."/>
      <w:lvlJc w:val="left"/>
      <w:pPr>
        <w:ind w:left="5040" w:hanging="360"/>
      </w:pPr>
    </w:lvl>
    <w:lvl w:ilvl="7" w:tplc="567A1ED6">
      <w:start w:val="1"/>
      <w:numFmt w:val="lowerLetter"/>
      <w:lvlText w:val="%8."/>
      <w:lvlJc w:val="left"/>
      <w:pPr>
        <w:ind w:left="5760" w:hanging="360"/>
      </w:pPr>
    </w:lvl>
    <w:lvl w:ilvl="8" w:tplc="6ACA2DBA">
      <w:start w:val="1"/>
      <w:numFmt w:val="lowerRoman"/>
      <w:lvlText w:val="%9."/>
      <w:lvlJc w:val="right"/>
      <w:pPr>
        <w:ind w:left="6480" w:hanging="180"/>
      </w:pPr>
    </w:lvl>
  </w:abstractNum>
  <w:abstractNum w:abstractNumId="65" w15:restartNumberingAfterBreak="0">
    <w:nsid w:val="333947FD"/>
    <w:multiLevelType w:val="hybridMultilevel"/>
    <w:tmpl w:val="EB06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BC7507"/>
    <w:multiLevelType w:val="hybridMultilevel"/>
    <w:tmpl w:val="1AB0517E"/>
    <w:lvl w:ilvl="0" w:tplc="04090003">
      <w:start w:val="1"/>
      <w:numFmt w:val="bullet"/>
      <w:lvlText w:val="o"/>
      <w:lvlJc w:val="left"/>
      <w:pPr>
        <w:ind w:left="1824" w:hanging="360"/>
      </w:pPr>
      <w:rPr>
        <w:rFonts w:ascii="Courier New" w:hAnsi="Courier New" w:cs="Courier New"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67" w15:restartNumberingAfterBreak="0">
    <w:nsid w:val="36391526"/>
    <w:multiLevelType w:val="hybridMultilevel"/>
    <w:tmpl w:val="FFFFFFFF"/>
    <w:lvl w:ilvl="0" w:tplc="F04E7EF4">
      <w:start w:val="1"/>
      <w:numFmt w:val="bullet"/>
      <w:lvlText w:val="·"/>
      <w:lvlJc w:val="left"/>
      <w:pPr>
        <w:ind w:left="720" w:hanging="360"/>
      </w:pPr>
      <w:rPr>
        <w:rFonts w:ascii="Symbol" w:hAnsi="Symbol" w:hint="default"/>
      </w:rPr>
    </w:lvl>
    <w:lvl w:ilvl="1" w:tplc="F8EAB0C2">
      <w:start w:val="1"/>
      <w:numFmt w:val="bullet"/>
      <w:lvlText w:val="·"/>
      <w:lvlJc w:val="left"/>
      <w:pPr>
        <w:ind w:left="1440" w:hanging="360"/>
      </w:pPr>
      <w:rPr>
        <w:rFonts w:ascii="Symbol" w:hAnsi="Symbol" w:hint="default"/>
      </w:rPr>
    </w:lvl>
    <w:lvl w:ilvl="2" w:tplc="A39643EC">
      <w:start w:val="1"/>
      <w:numFmt w:val="bullet"/>
      <w:lvlText w:val=""/>
      <w:lvlJc w:val="left"/>
      <w:pPr>
        <w:ind w:left="2160" w:hanging="360"/>
      </w:pPr>
      <w:rPr>
        <w:rFonts w:ascii="Wingdings" w:hAnsi="Wingdings" w:hint="default"/>
      </w:rPr>
    </w:lvl>
    <w:lvl w:ilvl="3" w:tplc="3D881234">
      <w:start w:val="1"/>
      <w:numFmt w:val="bullet"/>
      <w:lvlText w:val=""/>
      <w:lvlJc w:val="left"/>
      <w:pPr>
        <w:ind w:left="2880" w:hanging="360"/>
      </w:pPr>
      <w:rPr>
        <w:rFonts w:ascii="Symbol" w:hAnsi="Symbol" w:hint="default"/>
      </w:rPr>
    </w:lvl>
    <w:lvl w:ilvl="4" w:tplc="A6F6B7D0">
      <w:start w:val="1"/>
      <w:numFmt w:val="bullet"/>
      <w:lvlText w:val="o"/>
      <w:lvlJc w:val="left"/>
      <w:pPr>
        <w:ind w:left="3600" w:hanging="360"/>
      </w:pPr>
      <w:rPr>
        <w:rFonts w:ascii="Courier New" w:hAnsi="Courier New" w:hint="default"/>
      </w:rPr>
    </w:lvl>
    <w:lvl w:ilvl="5" w:tplc="57F6E912">
      <w:start w:val="1"/>
      <w:numFmt w:val="bullet"/>
      <w:lvlText w:val=""/>
      <w:lvlJc w:val="left"/>
      <w:pPr>
        <w:ind w:left="4320" w:hanging="360"/>
      </w:pPr>
      <w:rPr>
        <w:rFonts w:ascii="Wingdings" w:hAnsi="Wingdings" w:hint="default"/>
      </w:rPr>
    </w:lvl>
    <w:lvl w:ilvl="6" w:tplc="F7FE937A">
      <w:start w:val="1"/>
      <w:numFmt w:val="bullet"/>
      <w:lvlText w:val=""/>
      <w:lvlJc w:val="left"/>
      <w:pPr>
        <w:ind w:left="5040" w:hanging="360"/>
      </w:pPr>
      <w:rPr>
        <w:rFonts w:ascii="Symbol" w:hAnsi="Symbol" w:hint="default"/>
      </w:rPr>
    </w:lvl>
    <w:lvl w:ilvl="7" w:tplc="26CEFA3E">
      <w:start w:val="1"/>
      <w:numFmt w:val="bullet"/>
      <w:lvlText w:val="o"/>
      <w:lvlJc w:val="left"/>
      <w:pPr>
        <w:ind w:left="5760" w:hanging="360"/>
      </w:pPr>
      <w:rPr>
        <w:rFonts w:ascii="Courier New" w:hAnsi="Courier New" w:hint="default"/>
      </w:rPr>
    </w:lvl>
    <w:lvl w:ilvl="8" w:tplc="D7A09FC0">
      <w:start w:val="1"/>
      <w:numFmt w:val="bullet"/>
      <w:lvlText w:val=""/>
      <w:lvlJc w:val="left"/>
      <w:pPr>
        <w:ind w:left="6480" w:hanging="360"/>
      </w:pPr>
      <w:rPr>
        <w:rFonts w:ascii="Wingdings" w:hAnsi="Wingdings" w:hint="default"/>
      </w:rPr>
    </w:lvl>
  </w:abstractNum>
  <w:abstractNum w:abstractNumId="68" w15:restartNumberingAfterBreak="0">
    <w:nsid w:val="36620466"/>
    <w:multiLevelType w:val="hybridMultilevel"/>
    <w:tmpl w:val="B27EF862"/>
    <w:lvl w:ilvl="0" w:tplc="FFFFFFFF">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79F1A1A"/>
    <w:multiLevelType w:val="hybridMultilevel"/>
    <w:tmpl w:val="2A625B50"/>
    <w:lvl w:ilvl="0" w:tplc="0409000B">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295" w:hanging="360"/>
      </w:pPr>
      <w:rPr>
        <w:rFonts w:ascii="Symbol" w:hAnsi="Symbol" w:hint="default"/>
      </w:rPr>
    </w:lvl>
    <w:lvl w:ilvl="4" w:tplc="04090003">
      <w:start w:val="1"/>
      <w:numFmt w:val="decimal"/>
      <w:lvlText w:val="%5."/>
      <w:lvlJc w:val="left"/>
      <w:pPr>
        <w:tabs>
          <w:tab w:val="num" w:pos="3915"/>
        </w:tabs>
        <w:ind w:left="3915" w:hanging="360"/>
      </w:pPr>
    </w:lvl>
    <w:lvl w:ilvl="5" w:tplc="04090005">
      <w:start w:val="1"/>
      <w:numFmt w:val="decimal"/>
      <w:lvlText w:val="%6."/>
      <w:lvlJc w:val="left"/>
      <w:pPr>
        <w:tabs>
          <w:tab w:val="num" w:pos="4635"/>
        </w:tabs>
        <w:ind w:left="4635" w:hanging="360"/>
      </w:pPr>
    </w:lvl>
    <w:lvl w:ilvl="6" w:tplc="04090001">
      <w:start w:val="1"/>
      <w:numFmt w:val="decimal"/>
      <w:lvlText w:val="%7."/>
      <w:lvlJc w:val="left"/>
      <w:pPr>
        <w:tabs>
          <w:tab w:val="num" w:pos="5355"/>
        </w:tabs>
        <w:ind w:left="5355" w:hanging="360"/>
      </w:pPr>
    </w:lvl>
    <w:lvl w:ilvl="7" w:tplc="04090003">
      <w:start w:val="1"/>
      <w:numFmt w:val="decimal"/>
      <w:lvlText w:val="%8."/>
      <w:lvlJc w:val="left"/>
      <w:pPr>
        <w:tabs>
          <w:tab w:val="num" w:pos="6075"/>
        </w:tabs>
        <w:ind w:left="6075" w:hanging="360"/>
      </w:pPr>
    </w:lvl>
    <w:lvl w:ilvl="8" w:tplc="04090005">
      <w:start w:val="1"/>
      <w:numFmt w:val="decimal"/>
      <w:lvlText w:val="%9."/>
      <w:lvlJc w:val="left"/>
      <w:pPr>
        <w:tabs>
          <w:tab w:val="num" w:pos="6795"/>
        </w:tabs>
        <w:ind w:left="6795" w:hanging="360"/>
      </w:pPr>
    </w:lvl>
  </w:abstractNum>
  <w:abstractNum w:abstractNumId="70" w15:restartNumberingAfterBreak="0">
    <w:nsid w:val="37B28D4E"/>
    <w:multiLevelType w:val="hybridMultilevel"/>
    <w:tmpl w:val="FFFFFFFF"/>
    <w:lvl w:ilvl="0" w:tplc="355ED05C">
      <w:start w:val="1"/>
      <w:numFmt w:val="bullet"/>
      <w:lvlText w:val=""/>
      <w:lvlJc w:val="left"/>
      <w:pPr>
        <w:ind w:left="1080" w:hanging="360"/>
      </w:pPr>
      <w:rPr>
        <w:rFonts w:ascii="Symbol" w:hAnsi="Symbol" w:hint="default"/>
      </w:rPr>
    </w:lvl>
    <w:lvl w:ilvl="1" w:tplc="F2B24FBA">
      <w:start w:val="1"/>
      <w:numFmt w:val="bullet"/>
      <w:lvlText w:val="o"/>
      <w:lvlJc w:val="left"/>
      <w:pPr>
        <w:ind w:left="1800" w:hanging="360"/>
      </w:pPr>
      <w:rPr>
        <w:rFonts w:ascii="Courier New" w:hAnsi="Courier New" w:hint="default"/>
      </w:rPr>
    </w:lvl>
    <w:lvl w:ilvl="2" w:tplc="F92C92A8">
      <w:start w:val="1"/>
      <w:numFmt w:val="bullet"/>
      <w:lvlText w:val=""/>
      <w:lvlJc w:val="left"/>
      <w:pPr>
        <w:ind w:left="2520" w:hanging="360"/>
      </w:pPr>
      <w:rPr>
        <w:rFonts w:ascii="Wingdings" w:hAnsi="Wingdings" w:hint="default"/>
      </w:rPr>
    </w:lvl>
    <w:lvl w:ilvl="3" w:tplc="D43A43EE">
      <w:start w:val="1"/>
      <w:numFmt w:val="bullet"/>
      <w:lvlText w:val=""/>
      <w:lvlJc w:val="left"/>
      <w:pPr>
        <w:ind w:left="3240" w:hanging="360"/>
      </w:pPr>
      <w:rPr>
        <w:rFonts w:ascii="Symbol" w:hAnsi="Symbol" w:hint="default"/>
      </w:rPr>
    </w:lvl>
    <w:lvl w:ilvl="4" w:tplc="54DE28A0">
      <w:start w:val="1"/>
      <w:numFmt w:val="bullet"/>
      <w:lvlText w:val="o"/>
      <w:lvlJc w:val="left"/>
      <w:pPr>
        <w:ind w:left="3960" w:hanging="360"/>
      </w:pPr>
      <w:rPr>
        <w:rFonts w:ascii="Courier New" w:hAnsi="Courier New" w:hint="default"/>
      </w:rPr>
    </w:lvl>
    <w:lvl w:ilvl="5" w:tplc="C88408C0">
      <w:start w:val="1"/>
      <w:numFmt w:val="bullet"/>
      <w:lvlText w:val=""/>
      <w:lvlJc w:val="left"/>
      <w:pPr>
        <w:ind w:left="4680" w:hanging="360"/>
      </w:pPr>
      <w:rPr>
        <w:rFonts w:ascii="Wingdings" w:hAnsi="Wingdings" w:hint="default"/>
      </w:rPr>
    </w:lvl>
    <w:lvl w:ilvl="6" w:tplc="F29AC65A">
      <w:start w:val="1"/>
      <w:numFmt w:val="bullet"/>
      <w:lvlText w:val=""/>
      <w:lvlJc w:val="left"/>
      <w:pPr>
        <w:ind w:left="5400" w:hanging="360"/>
      </w:pPr>
      <w:rPr>
        <w:rFonts w:ascii="Symbol" w:hAnsi="Symbol" w:hint="default"/>
      </w:rPr>
    </w:lvl>
    <w:lvl w:ilvl="7" w:tplc="E542A9B2">
      <w:start w:val="1"/>
      <w:numFmt w:val="bullet"/>
      <w:lvlText w:val="o"/>
      <w:lvlJc w:val="left"/>
      <w:pPr>
        <w:ind w:left="6120" w:hanging="360"/>
      </w:pPr>
      <w:rPr>
        <w:rFonts w:ascii="Courier New" w:hAnsi="Courier New" w:hint="default"/>
      </w:rPr>
    </w:lvl>
    <w:lvl w:ilvl="8" w:tplc="C18A4BA2">
      <w:start w:val="1"/>
      <w:numFmt w:val="bullet"/>
      <w:lvlText w:val=""/>
      <w:lvlJc w:val="left"/>
      <w:pPr>
        <w:ind w:left="6840" w:hanging="360"/>
      </w:pPr>
      <w:rPr>
        <w:rFonts w:ascii="Wingdings" w:hAnsi="Wingdings" w:hint="default"/>
      </w:rPr>
    </w:lvl>
  </w:abstractNum>
  <w:abstractNum w:abstractNumId="71" w15:restartNumberingAfterBreak="0">
    <w:nsid w:val="38EB28BB"/>
    <w:multiLevelType w:val="hybridMultilevel"/>
    <w:tmpl w:val="FFFFFFFF"/>
    <w:lvl w:ilvl="0" w:tplc="D20EE076">
      <w:start w:val="1"/>
      <w:numFmt w:val="decimal"/>
      <w:lvlText w:val="●"/>
      <w:lvlJc w:val="left"/>
      <w:pPr>
        <w:ind w:left="720" w:hanging="360"/>
      </w:pPr>
    </w:lvl>
    <w:lvl w:ilvl="1" w:tplc="9726FD1E">
      <w:start w:val="1"/>
      <w:numFmt w:val="lowerLetter"/>
      <w:lvlText w:val="%2."/>
      <w:lvlJc w:val="left"/>
      <w:pPr>
        <w:ind w:left="1440" w:hanging="360"/>
      </w:pPr>
    </w:lvl>
    <w:lvl w:ilvl="2" w:tplc="0BFAE548">
      <w:start w:val="1"/>
      <w:numFmt w:val="lowerRoman"/>
      <w:lvlText w:val="%3."/>
      <w:lvlJc w:val="right"/>
      <w:pPr>
        <w:ind w:left="2160" w:hanging="180"/>
      </w:pPr>
    </w:lvl>
    <w:lvl w:ilvl="3" w:tplc="8690C03C">
      <w:start w:val="1"/>
      <w:numFmt w:val="decimal"/>
      <w:lvlText w:val="%4."/>
      <w:lvlJc w:val="left"/>
      <w:pPr>
        <w:ind w:left="2880" w:hanging="360"/>
      </w:pPr>
    </w:lvl>
    <w:lvl w:ilvl="4" w:tplc="3F120C9C">
      <w:start w:val="1"/>
      <w:numFmt w:val="lowerLetter"/>
      <w:lvlText w:val="%5."/>
      <w:lvlJc w:val="left"/>
      <w:pPr>
        <w:ind w:left="3600" w:hanging="360"/>
      </w:pPr>
    </w:lvl>
    <w:lvl w:ilvl="5" w:tplc="05E8F5FC">
      <w:start w:val="1"/>
      <w:numFmt w:val="lowerRoman"/>
      <w:lvlText w:val="%6."/>
      <w:lvlJc w:val="right"/>
      <w:pPr>
        <w:ind w:left="4320" w:hanging="180"/>
      </w:pPr>
    </w:lvl>
    <w:lvl w:ilvl="6" w:tplc="4C8020C0">
      <w:start w:val="1"/>
      <w:numFmt w:val="decimal"/>
      <w:lvlText w:val="%7."/>
      <w:lvlJc w:val="left"/>
      <w:pPr>
        <w:ind w:left="5040" w:hanging="360"/>
      </w:pPr>
    </w:lvl>
    <w:lvl w:ilvl="7" w:tplc="DD326A5C">
      <w:start w:val="1"/>
      <w:numFmt w:val="lowerLetter"/>
      <w:lvlText w:val="%8."/>
      <w:lvlJc w:val="left"/>
      <w:pPr>
        <w:ind w:left="5760" w:hanging="360"/>
      </w:pPr>
    </w:lvl>
    <w:lvl w:ilvl="8" w:tplc="E5EE628E">
      <w:start w:val="1"/>
      <w:numFmt w:val="lowerRoman"/>
      <w:lvlText w:val="%9."/>
      <w:lvlJc w:val="right"/>
      <w:pPr>
        <w:ind w:left="6480" w:hanging="180"/>
      </w:pPr>
    </w:lvl>
  </w:abstractNum>
  <w:abstractNum w:abstractNumId="72" w15:restartNumberingAfterBreak="0">
    <w:nsid w:val="391801C9"/>
    <w:multiLevelType w:val="hybridMultilevel"/>
    <w:tmpl w:val="633A47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15:restartNumberingAfterBreak="0">
    <w:nsid w:val="3AB2CA84"/>
    <w:multiLevelType w:val="hybridMultilevel"/>
    <w:tmpl w:val="CA804C9E"/>
    <w:lvl w:ilvl="0" w:tplc="C060C080">
      <w:start w:val="1"/>
      <w:numFmt w:val="bullet"/>
      <w:lvlText w:val=""/>
      <w:lvlJc w:val="left"/>
      <w:pPr>
        <w:ind w:left="720" w:hanging="360"/>
      </w:pPr>
      <w:rPr>
        <w:rFonts w:ascii="Symbol" w:hAnsi="Symbol" w:hint="default"/>
      </w:rPr>
    </w:lvl>
    <w:lvl w:ilvl="1" w:tplc="97341ECC">
      <w:start w:val="1"/>
      <w:numFmt w:val="bullet"/>
      <w:lvlText w:val="o"/>
      <w:lvlJc w:val="left"/>
      <w:pPr>
        <w:ind w:left="1440" w:hanging="360"/>
      </w:pPr>
      <w:rPr>
        <w:rFonts w:ascii="Courier New" w:hAnsi="Courier New" w:hint="default"/>
      </w:rPr>
    </w:lvl>
    <w:lvl w:ilvl="2" w:tplc="0358A07E">
      <w:start w:val="1"/>
      <w:numFmt w:val="bullet"/>
      <w:lvlText w:val=""/>
      <w:lvlJc w:val="left"/>
      <w:pPr>
        <w:ind w:left="2160" w:hanging="360"/>
      </w:pPr>
      <w:rPr>
        <w:rFonts w:ascii="Wingdings" w:hAnsi="Wingdings" w:hint="default"/>
      </w:rPr>
    </w:lvl>
    <w:lvl w:ilvl="3" w:tplc="8620E4A4">
      <w:start w:val="1"/>
      <w:numFmt w:val="bullet"/>
      <w:lvlText w:val=""/>
      <w:lvlJc w:val="left"/>
      <w:pPr>
        <w:ind w:left="2880" w:hanging="360"/>
      </w:pPr>
      <w:rPr>
        <w:rFonts w:ascii="Symbol" w:hAnsi="Symbol" w:hint="default"/>
      </w:rPr>
    </w:lvl>
    <w:lvl w:ilvl="4" w:tplc="EFA0749E">
      <w:start w:val="1"/>
      <w:numFmt w:val="bullet"/>
      <w:lvlText w:val="o"/>
      <w:lvlJc w:val="left"/>
      <w:pPr>
        <w:ind w:left="3600" w:hanging="360"/>
      </w:pPr>
      <w:rPr>
        <w:rFonts w:ascii="Courier New" w:hAnsi="Courier New" w:hint="default"/>
      </w:rPr>
    </w:lvl>
    <w:lvl w:ilvl="5" w:tplc="5BB0FB34">
      <w:start w:val="1"/>
      <w:numFmt w:val="bullet"/>
      <w:lvlText w:val=""/>
      <w:lvlJc w:val="left"/>
      <w:pPr>
        <w:ind w:left="4320" w:hanging="360"/>
      </w:pPr>
      <w:rPr>
        <w:rFonts w:ascii="Wingdings" w:hAnsi="Wingdings" w:hint="default"/>
      </w:rPr>
    </w:lvl>
    <w:lvl w:ilvl="6" w:tplc="977A9F0A">
      <w:start w:val="1"/>
      <w:numFmt w:val="bullet"/>
      <w:lvlText w:val=""/>
      <w:lvlJc w:val="left"/>
      <w:pPr>
        <w:ind w:left="5040" w:hanging="360"/>
      </w:pPr>
      <w:rPr>
        <w:rFonts w:ascii="Symbol" w:hAnsi="Symbol" w:hint="default"/>
      </w:rPr>
    </w:lvl>
    <w:lvl w:ilvl="7" w:tplc="D9A06BF0">
      <w:start w:val="1"/>
      <w:numFmt w:val="bullet"/>
      <w:lvlText w:val="o"/>
      <w:lvlJc w:val="left"/>
      <w:pPr>
        <w:ind w:left="5760" w:hanging="360"/>
      </w:pPr>
      <w:rPr>
        <w:rFonts w:ascii="Courier New" w:hAnsi="Courier New" w:hint="default"/>
      </w:rPr>
    </w:lvl>
    <w:lvl w:ilvl="8" w:tplc="766A21FC">
      <w:start w:val="1"/>
      <w:numFmt w:val="bullet"/>
      <w:lvlText w:val=""/>
      <w:lvlJc w:val="left"/>
      <w:pPr>
        <w:ind w:left="6480" w:hanging="360"/>
      </w:pPr>
      <w:rPr>
        <w:rFonts w:ascii="Wingdings" w:hAnsi="Wingdings" w:hint="default"/>
      </w:rPr>
    </w:lvl>
  </w:abstractNum>
  <w:abstractNum w:abstractNumId="74" w15:restartNumberingAfterBreak="0">
    <w:nsid w:val="3AEA7396"/>
    <w:multiLevelType w:val="hybridMultilevel"/>
    <w:tmpl w:val="903CC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311538"/>
    <w:multiLevelType w:val="hybridMultilevel"/>
    <w:tmpl w:val="FFFFFFFF"/>
    <w:lvl w:ilvl="0" w:tplc="9390643A">
      <w:start w:val="1"/>
      <w:numFmt w:val="decimal"/>
      <w:lvlText w:val="%1."/>
      <w:lvlJc w:val="left"/>
      <w:pPr>
        <w:ind w:left="720" w:hanging="360"/>
      </w:pPr>
    </w:lvl>
    <w:lvl w:ilvl="1" w:tplc="8216ED7E">
      <w:start w:val="1"/>
      <w:numFmt w:val="lowerLetter"/>
      <w:lvlText w:val="%2."/>
      <w:lvlJc w:val="left"/>
      <w:pPr>
        <w:ind w:left="1440" w:hanging="360"/>
      </w:pPr>
    </w:lvl>
    <w:lvl w:ilvl="2" w:tplc="B86EF13E">
      <w:start w:val="1"/>
      <w:numFmt w:val="lowerRoman"/>
      <w:lvlText w:val="%3."/>
      <w:lvlJc w:val="right"/>
      <w:pPr>
        <w:ind w:left="2160" w:hanging="180"/>
      </w:pPr>
    </w:lvl>
    <w:lvl w:ilvl="3" w:tplc="7AB6163C">
      <w:start w:val="1"/>
      <w:numFmt w:val="decimal"/>
      <w:lvlText w:val="%4."/>
      <w:lvlJc w:val="left"/>
      <w:pPr>
        <w:ind w:left="2880" w:hanging="360"/>
      </w:pPr>
    </w:lvl>
    <w:lvl w:ilvl="4" w:tplc="5BC4ECE2">
      <w:start w:val="1"/>
      <w:numFmt w:val="lowerLetter"/>
      <w:lvlText w:val="%5."/>
      <w:lvlJc w:val="left"/>
      <w:pPr>
        <w:ind w:left="3600" w:hanging="360"/>
      </w:pPr>
    </w:lvl>
    <w:lvl w:ilvl="5" w:tplc="42FC2FD0">
      <w:start w:val="1"/>
      <w:numFmt w:val="lowerRoman"/>
      <w:lvlText w:val="%6."/>
      <w:lvlJc w:val="right"/>
      <w:pPr>
        <w:ind w:left="4320" w:hanging="180"/>
      </w:pPr>
    </w:lvl>
    <w:lvl w:ilvl="6" w:tplc="B2E4706C">
      <w:start w:val="1"/>
      <w:numFmt w:val="decimal"/>
      <w:lvlText w:val="%7."/>
      <w:lvlJc w:val="left"/>
      <w:pPr>
        <w:ind w:left="5040" w:hanging="360"/>
      </w:pPr>
    </w:lvl>
    <w:lvl w:ilvl="7" w:tplc="80E40A38">
      <w:start w:val="1"/>
      <w:numFmt w:val="lowerLetter"/>
      <w:lvlText w:val="%8."/>
      <w:lvlJc w:val="left"/>
      <w:pPr>
        <w:ind w:left="5760" w:hanging="360"/>
      </w:pPr>
    </w:lvl>
    <w:lvl w:ilvl="8" w:tplc="520AB8A4">
      <w:start w:val="1"/>
      <w:numFmt w:val="lowerRoman"/>
      <w:lvlText w:val="%9."/>
      <w:lvlJc w:val="right"/>
      <w:pPr>
        <w:ind w:left="6480" w:hanging="180"/>
      </w:pPr>
    </w:lvl>
  </w:abstractNum>
  <w:abstractNum w:abstractNumId="76" w15:restartNumberingAfterBreak="0">
    <w:nsid w:val="3B6133D8"/>
    <w:multiLevelType w:val="hybridMultilevel"/>
    <w:tmpl w:val="B388F82C"/>
    <w:lvl w:ilvl="0" w:tplc="625006DE">
      <w:numFmt w:val="decimal"/>
      <w:lvlText w:val="(%1)"/>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A689AA"/>
    <w:multiLevelType w:val="hybridMultilevel"/>
    <w:tmpl w:val="FFFFFFFF"/>
    <w:lvl w:ilvl="0" w:tplc="04602DC6">
      <w:start w:val="1"/>
      <w:numFmt w:val="bullet"/>
      <w:lvlText w:val=""/>
      <w:lvlJc w:val="left"/>
      <w:pPr>
        <w:ind w:left="720" w:hanging="360"/>
      </w:pPr>
      <w:rPr>
        <w:rFonts w:ascii="Symbol" w:hAnsi="Symbol" w:hint="default"/>
      </w:rPr>
    </w:lvl>
    <w:lvl w:ilvl="1" w:tplc="814807C6">
      <w:start w:val="1"/>
      <w:numFmt w:val="bullet"/>
      <w:lvlText w:val=""/>
      <w:lvlJc w:val="left"/>
      <w:pPr>
        <w:ind w:left="1440" w:hanging="360"/>
      </w:pPr>
      <w:rPr>
        <w:rFonts w:ascii="Symbol" w:hAnsi="Symbol" w:hint="default"/>
      </w:rPr>
    </w:lvl>
    <w:lvl w:ilvl="2" w:tplc="91308C0E">
      <w:start w:val="1"/>
      <w:numFmt w:val="bullet"/>
      <w:lvlText w:val=""/>
      <w:lvlJc w:val="left"/>
      <w:pPr>
        <w:ind w:left="2160" w:hanging="360"/>
      </w:pPr>
      <w:rPr>
        <w:rFonts w:ascii="Wingdings" w:hAnsi="Wingdings" w:hint="default"/>
      </w:rPr>
    </w:lvl>
    <w:lvl w:ilvl="3" w:tplc="6618472C">
      <w:start w:val="1"/>
      <w:numFmt w:val="bullet"/>
      <w:lvlText w:val=""/>
      <w:lvlJc w:val="left"/>
      <w:pPr>
        <w:ind w:left="2880" w:hanging="360"/>
      </w:pPr>
      <w:rPr>
        <w:rFonts w:ascii="Symbol" w:hAnsi="Symbol" w:hint="default"/>
      </w:rPr>
    </w:lvl>
    <w:lvl w:ilvl="4" w:tplc="CFFCA1EA">
      <w:start w:val="1"/>
      <w:numFmt w:val="bullet"/>
      <w:lvlText w:val="o"/>
      <w:lvlJc w:val="left"/>
      <w:pPr>
        <w:ind w:left="3600" w:hanging="360"/>
      </w:pPr>
      <w:rPr>
        <w:rFonts w:ascii="Courier New" w:hAnsi="Courier New" w:hint="default"/>
      </w:rPr>
    </w:lvl>
    <w:lvl w:ilvl="5" w:tplc="F66AD018">
      <w:start w:val="1"/>
      <w:numFmt w:val="bullet"/>
      <w:lvlText w:val=""/>
      <w:lvlJc w:val="left"/>
      <w:pPr>
        <w:ind w:left="4320" w:hanging="360"/>
      </w:pPr>
      <w:rPr>
        <w:rFonts w:ascii="Wingdings" w:hAnsi="Wingdings" w:hint="default"/>
      </w:rPr>
    </w:lvl>
    <w:lvl w:ilvl="6" w:tplc="A516C80A">
      <w:start w:val="1"/>
      <w:numFmt w:val="bullet"/>
      <w:lvlText w:val=""/>
      <w:lvlJc w:val="left"/>
      <w:pPr>
        <w:ind w:left="5040" w:hanging="360"/>
      </w:pPr>
      <w:rPr>
        <w:rFonts w:ascii="Symbol" w:hAnsi="Symbol" w:hint="default"/>
      </w:rPr>
    </w:lvl>
    <w:lvl w:ilvl="7" w:tplc="D87A54C0">
      <w:start w:val="1"/>
      <w:numFmt w:val="bullet"/>
      <w:lvlText w:val="o"/>
      <w:lvlJc w:val="left"/>
      <w:pPr>
        <w:ind w:left="5760" w:hanging="360"/>
      </w:pPr>
      <w:rPr>
        <w:rFonts w:ascii="Courier New" w:hAnsi="Courier New" w:hint="default"/>
      </w:rPr>
    </w:lvl>
    <w:lvl w:ilvl="8" w:tplc="B010C45C">
      <w:start w:val="1"/>
      <w:numFmt w:val="bullet"/>
      <w:lvlText w:val=""/>
      <w:lvlJc w:val="left"/>
      <w:pPr>
        <w:ind w:left="6480" w:hanging="360"/>
      </w:pPr>
      <w:rPr>
        <w:rFonts w:ascii="Wingdings" w:hAnsi="Wingdings" w:hint="default"/>
      </w:rPr>
    </w:lvl>
  </w:abstractNum>
  <w:abstractNum w:abstractNumId="78" w15:restartNumberingAfterBreak="0">
    <w:nsid w:val="3F9D3A95"/>
    <w:multiLevelType w:val="hybridMultilevel"/>
    <w:tmpl w:val="7DEC5E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576E91"/>
    <w:multiLevelType w:val="hybridMultilevel"/>
    <w:tmpl w:val="29A2853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0" w15:restartNumberingAfterBreak="0">
    <w:nsid w:val="42BB34D7"/>
    <w:multiLevelType w:val="hybridMultilevel"/>
    <w:tmpl w:val="39945A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1" w15:restartNumberingAfterBreak="0">
    <w:nsid w:val="42E3E20A"/>
    <w:multiLevelType w:val="hybridMultilevel"/>
    <w:tmpl w:val="FFFFFFFF"/>
    <w:lvl w:ilvl="0" w:tplc="B0E6F8C2">
      <w:start w:val="1"/>
      <w:numFmt w:val="decimal"/>
      <w:lvlText w:val="%1."/>
      <w:lvlJc w:val="left"/>
      <w:pPr>
        <w:ind w:left="720" w:hanging="360"/>
      </w:pPr>
    </w:lvl>
    <w:lvl w:ilvl="1" w:tplc="F5D6D2D6">
      <w:start w:val="1"/>
      <w:numFmt w:val="lowerLetter"/>
      <w:lvlText w:val="%2."/>
      <w:lvlJc w:val="left"/>
      <w:pPr>
        <w:ind w:left="1440" w:hanging="360"/>
      </w:pPr>
    </w:lvl>
    <w:lvl w:ilvl="2" w:tplc="D4762AE2">
      <w:start w:val="1"/>
      <w:numFmt w:val="lowerRoman"/>
      <w:lvlText w:val="%3."/>
      <w:lvlJc w:val="right"/>
      <w:pPr>
        <w:ind w:left="2160" w:hanging="180"/>
      </w:pPr>
    </w:lvl>
    <w:lvl w:ilvl="3" w:tplc="A8228A06">
      <w:start w:val="1"/>
      <w:numFmt w:val="decimal"/>
      <w:lvlText w:val="%4."/>
      <w:lvlJc w:val="left"/>
      <w:pPr>
        <w:ind w:left="2880" w:hanging="360"/>
      </w:pPr>
    </w:lvl>
    <w:lvl w:ilvl="4" w:tplc="998E6A1A">
      <w:start w:val="1"/>
      <w:numFmt w:val="lowerLetter"/>
      <w:lvlText w:val="%5."/>
      <w:lvlJc w:val="left"/>
      <w:pPr>
        <w:ind w:left="3600" w:hanging="360"/>
      </w:pPr>
    </w:lvl>
    <w:lvl w:ilvl="5" w:tplc="DE38BCD4">
      <w:start w:val="1"/>
      <w:numFmt w:val="lowerRoman"/>
      <w:lvlText w:val="%6."/>
      <w:lvlJc w:val="right"/>
      <w:pPr>
        <w:ind w:left="4320" w:hanging="180"/>
      </w:pPr>
    </w:lvl>
    <w:lvl w:ilvl="6" w:tplc="829C237A">
      <w:start w:val="1"/>
      <w:numFmt w:val="decimal"/>
      <w:lvlText w:val="%7."/>
      <w:lvlJc w:val="left"/>
      <w:pPr>
        <w:ind w:left="5040" w:hanging="360"/>
      </w:pPr>
    </w:lvl>
    <w:lvl w:ilvl="7" w:tplc="72A47E6A">
      <w:start w:val="1"/>
      <w:numFmt w:val="lowerLetter"/>
      <w:lvlText w:val="%8."/>
      <w:lvlJc w:val="left"/>
      <w:pPr>
        <w:ind w:left="5760" w:hanging="360"/>
      </w:pPr>
    </w:lvl>
    <w:lvl w:ilvl="8" w:tplc="40FC589C">
      <w:start w:val="1"/>
      <w:numFmt w:val="lowerRoman"/>
      <w:lvlText w:val="%9."/>
      <w:lvlJc w:val="right"/>
      <w:pPr>
        <w:ind w:left="6480" w:hanging="180"/>
      </w:pPr>
    </w:lvl>
  </w:abstractNum>
  <w:abstractNum w:abstractNumId="82" w15:restartNumberingAfterBreak="0">
    <w:nsid w:val="43B40030"/>
    <w:multiLevelType w:val="hybridMultilevel"/>
    <w:tmpl w:val="E14CE3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44C33622"/>
    <w:multiLevelType w:val="hybridMultilevel"/>
    <w:tmpl w:val="0A2EF7D2"/>
    <w:lvl w:ilvl="0" w:tplc="04090019">
      <w:start w:val="9"/>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4FE0F33"/>
    <w:multiLevelType w:val="hybridMultilevel"/>
    <w:tmpl w:val="74DC83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51F06A6"/>
    <w:multiLevelType w:val="hybridMultilevel"/>
    <w:tmpl w:val="5A70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406CF8"/>
    <w:multiLevelType w:val="hybridMultilevel"/>
    <w:tmpl w:val="FFFFFFFF"/>
    <w:lvl w:ilvl="0" w:tplc="3BD0FA0A">
      <w:start w:val="1"/>
      <w:numFmt w:val="bullet"/>
      <w:lvlText w:val=""/>
      <w:lvlJc w:val="left"/>
      <w:pPr>
        <w:ind w:left="720" w:hanging="360"/>
      </w:pPr>
      <w:rPr>
        <w:rFonts w:ascii="Symbol" w:hAnsi="Symbol" w:hint="default"/>
      </w:rPr>
    </w:lvl>
    <w:lvl w:ilvl="1" w:tplc="1E2CF5DC">
      <w:start w:val="1"/>
      <w:numFmt w:val="bullet"/>
      <w:lvlText w:val="o"/>
      <w:lvlJc w:val="left"/>
      <w:pPr>
        <w:ind w:left="1440" w:hanging="360"/>
      </w:pPr>
      <w:rPr>
        <w:rFonts w:ascii="Courier New" w:hAnsi="Courier New" w:hint="default"/>
      </w:rPr>
    </w:lvl>
    <w:lvl w:ilvl="2" w:tplc="A182853C">
      <w:start w:val="1"/>
      <w:numFmt w:val="bullet"/>
      <w:lvlText w:val=""/>
      <w:lvlJc w:val="left"/>
      <w:pPr>
        <w:ind w:left="2160" w:hanging="360"/>
      </w:pPr>
      <w:rPr>
        <w:rFonts w:ascii="Wingdings" w:hAnsi="Wingdings" w:hint="default"/>
      </w:rPr>
    </w:lvl>
    <w:lvl w:ilvl="3" w:tplc="C212C3AA">
      <w:start w:val="1"/>
      <w:numFmt w:val="bullet"/>
      <w:lvlText w:val=""/>
      <w:lvlJc w:val="left"/>
      <w:pPr>
        <w:ind w:left="2880" w:hanging="360"/>
      </w:pPr>
      <w:rPr>
        <w:rFonts w:ascii="Symbol" w:hAnsi="Symbol" w:hint="default"/>
      </w:rPr>
    </w:lvl>
    <w:lvl w:ilvl="4" w:tplc="FAD695F8">
      <w:start w:val="1"/>
      <w:numFmt w:val="bullet"/>
      <w:lvlText w:val="o"/>
      <w:lvlJc w:val="left"/>
      <w:pPr>
        <w:ind w:left="3600" w:hanging="360"/>
      </w:pPr>
      <w:rPr>
        <w:rFonts w:ascii="Courier New" w:hAnsi="Courier New" w:hint="default"/>
      </w:rPr>
    </w:lvl>
    <w:lvl w:ilvl="5" w:tplc="BE30C408">
      <w:start w:val="1"/>
      <w:numFmt w:val="bullet"/>
      <w:lvlText w:val=""/>
      <w:lvlJc w:val="left"/>
      <w:pPr>
        <w:ind w:left="4320" w:hanging="360"/>
      </w:pPr>
      <w:rPr>
        <w:rFonts w:ascii="Wingdings" w:hAnsi="Wingdings" w:hint="default"/>
      </w:rPr>
    </w:lvl>
    <w:lvl w:ilvl="6" w:tplc="DC0A0770">
      <w:start w:val="1"/>
      <w:numFmt w:val="bullet"/>
      <w:lvlText w:val=""/>
      <w:lvlJc w:val="left"/>
      <w:pPr>
        <w:ind w:left="5040" w:hanging="360"/>
      </w:pPr>
      <w:rPr>
        <w:rFonts w:ascii="Symbol" w:hAnsi="Symbol" w:hint="default"/>
      </w:rPr>
    </w:lvl>
    <w:lvl w:ilvl="7" w:tplc="C2EA4332">
      <w:start w:val="1"/>
      <w:numFmt w:val="bullet"/>
      <w:lvlText w:val="o"/>
      <w:lvlJc w:val="left"/>
      <w:pPr>
        <w:ind w:left="5760" w:hanging="360"/>
      </w:pPr>
      <w:rPr>
        <w:rFonts w:ascii="Courier New" w:hAnsi="Courier New" w:hint="default"/>
      </w:rPr>
    </w:lvl>
    <w:lvl w:ilvl="8" w:tplc="41A2641E">
      <w:start w:val="1"/>
      <w:numFmt w:val="bullet"/>
      <w:lvlText w:val=""/>
      <w:lvlJc w:val="left"/>
      <w:pPr>
        <w:ind w:left="6480" w:hanging="360"/>
      </w:pPr>
      <w:rPr>
        <w:rFonts w:ascii="Wingdings" w:hAnsi="Wingdings" w:hint="default"/>
      </w:rPr>
    </w:lvl>
  </w:abstractNum>
  <w:abstractNum w:abstractNumId="87" w15:restartNumberingAfterBreak="0">
    <w:nsid w:val="466E39D2"/>
    <w:multiLevelType w:val="hybridMultilevel"/>
    <w:tmpl w:val="F706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A770D2"/>
    <w:multiLevelType w:val="hybridMultilevel"/>
    <w:tmpl w:val="6632187A"/>
    <w:lvl w:ilvl="0" w:tplc="002A91AC">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A8B0070"/>
    <w:multiLevelType w:val="hybridMultilevel"/>
    <w:tmpl w:val="D662EEA4"/>
    <w:lvl w:ilvl="0" w:tplc="002A91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ABB238E"/>
    <w:multiLevelType w:val="hybridMultilevel"/>
    <w:tmpl w:val="8C54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BC07EC7"/>
    <w:multiLevelType w:val="hybridMultilevel"/>
    <w:tmpl w:val="FFFFFFFF"/>
    <w:lvl w:ilvl="0" w:tplc="45A68444">
      <w:start w:val="1"/>
      <w:numFmt w:val="decimal"/>
      <w:lvlText w:val="●"/>
      <w:lvlJc w:val="left"/>
      <w:pPr>
        <w:ind w:left="720" w:hanging="360"/>
      </w:pPr>
    </w:lvl>
    <w:lvl w:ilvl="1" w:tplc="CA8AA980">
      <w:start w:val="1"/>
      <w:numFmt w:val="lowerLetter"/>
      <w:lvlText w:val="%2."/>
      <w:lvlJc w:val="left"/>
      <w:pPr>
        <w:ind w:left="1440" w:hanging="360"/>
      </w:pPr>
    </w:lvl>
    <w:lvl w:ilvl="2" w:tplc="FEE643A0">
      <w:start w:val="1"/>
      <w:numFmt w:val="lowerRoman"/>
      <w:lvlText w:val="%3."/>
      <w:lvlJc w:val="right"/>
      <w:pPr>
        <w:ind w:left="2160" w:hanging="180"/>
      </w:pPr>
    </w:lvl>
    <w:lvl w:ilvl="3" w:tplc="A01239CE">
      <w:start w:val="1"/>
      <w:numFmt w:val="decimal"/>
      <w:lvlText w:val="%4."/>
      <w:lvlJc w:val="left"/>
      <w:pPr>
        <w:ind w:left="2880" w:hanging="360"/>
      </w:pPr>
    </w:lvl>
    <w:lvl w:ilvl="4" w:tplc="0A84A776">
      <w:start w:val="1"/>
      <w:numFmt w:val="lowerLetter"/>
      <w:lvlText w:val="%5."/>
      <w:lvlJc w:val="left"/>
      <w:pPr>
        <w:ind w:left="3600" w:hanging="360"/>
      </w:pPr>
    </w:lvl>
    <w:lvl w:ilvl="5" w:tplc="E5CC8454">
      <w:start w:val="1"/>
      <w:numFmt w:val="lowerRoman"/>
      <w:lvlText w:val="%6."/>
      <w:lvlJc w:val="right"/>
      <w:pPr>
        <w:ind w:left="4320" w:hanging="180"/>
      </w:pPr>
    </w:lvl>
    <w:lvl w:ilvl="6" w:tplc="1C94D2B0">
      <w:start w:val="1"/>
      <w:numFmt w:val="decimal"/>
      <w:lvlText w:val="%7."/>
      <w:lvlJc w:val="left"/>
      <w:pPr>
        <w:ind w:left="5040" w:hanging="360"/>
      </w:pPr>
    </w:lvl>
    <w:lvl w:ilvl="7" w:tplc="4CE2CB28">
      <w:start w:val="1"/>
      <w:numFmt w:val="lowerLetter"/>
      <w:lvlText w:val="%8."/>
      <w:lvlJc w:val="left"/>
      <w:pPr>
        <w:ind w:left="5760" w:hanging="360"/>
      </w:pPr>
    </w:lvl>
    <w:lvl w:ilvl="8" w:tplc="4EE6639E">
      <w:start w:val="1"/>
      <w:numFmt w:val="lowerRoman"/>
      <w:lvlText w:val="%9."/>
      <w:lvlJc w:val="right"/>
      <w:pPr>
        <w:ind w:left="6480" w:hanging="180"/>
      </w:pPr>
    </w:lvl>
  </w:abstractNum>
  <w:abstractNum w:abstractNumId="92" w15:restartNumberingAfterBreak="0">
    <w:nsid w:val="4BD56D06"/>
    <w:multiLevelType w:val="hybridMultilevel"/>
    <w:tmpl w:val="73C833BA"/>
    <w:lvl w:ilvl="0" w:tplc="BBFC3A3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3" w15:restartNumberingAfterBreak="0">
    <w:nsid w:val="4C12263A"/>
    <w:multiLevelType w:val="hybridMultilevel"/>
    <w:tmpl w:val="60E482C2"/>
    <w:lvl w:ilvl="0" w:tplc="B25E6440">
      <w:start w:val="1"/>
      <w:numFmt w:val="bullet"/>
      <w:lvlText w:val=""/>
      <w:lvlJc w:val="left"/>
      <w:pPr>
        <w:ind w:left="720" w:hanging="360"/>
      </w:pPr>
      <w:rPr>
        <w:rFonts w:ascii="Symbol" w:hAnsi="Symbol" w:hint="default"/>
        <w:color w:val="B5333C"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297CE0"/>
    <w:multiLevelType w:val="hybridMultilevel"/>
    <w:tmpl w:val="FFFFFFFF"/>
    <w:lvl w:ilvl="0" w:tplc="F378D19A">
      <w:start w:val="1"/>
      <w:numFmt w:val="bullet"/>
      <w:lvlText w:val="Ø"/>
      <w:lvlJc w:val="left"/>
      <w:pPr>
        <w:ind w:left="720" w:hanging="360"/>
      </w:pPr>
      <w:rPr>
        <w:rFonts w:ascii="Wingdings" w:hAnsi="Wingdings" w:hint="default"/>
      </w:rPr>
    </w:lvl>
    <w:lvl w:ilvl="1" w:tplc="A614F966">
      <w:start w:val="1"/>
      <w:numFmt w:val="bullet"/>
      <w:lvlText w:val="o"/>
      <w:lvlJc w:val="left"/>
      <w:pPr>
        <w:ind w:left="1440" w:hanging="360"/>
      </w:pPr>
      <w:rPr>
        <w:rFonts w:ascii="Courier New" w:hAnsi="Courier New" w:hint="default"/>
      </w:rPr>
    </w:lvl>
    <w:lvl w:ilvl="2" w:tplc="83028812">
      <w:start w:val="1"/>
      <w:numFmt w:val="bullet"/>
      <w:lvlText w:val=""/>
      <w:lvlJc w:val="left"/>
      <w:pPr>
        <w:ind w:left="2160" w:hanging="360"/>
      </w:pPr>
      <w:rPr>
        <w:rFonts w:ascii="Wingdings" w:hAnsi="Wingdings" w:hint="default"/>
      </w:rPr>
    </w:lvl>
    <w:lvl w:ilvl="3" w:tplc="8EB06184">
      <w:start w:val="1"/>
      <w:numFmt w:val="bullet"/>
      <w:lvlText w:val=""/>
      <w:lvlJc w:val="left"/>
      <w:pPr>
        <w:ind w:left="2880" w:hanging="360"/>
      </w:pPr>
      <w:rPr>
        <w:rFonts w:ascii="Symbol" w:hAnsi="Symbol" w:hint="default"/>
      </w:rPr>
    </w:lvl>
    <w:lvl w:ilvl="4" w:tplc="9594C906">
      <w:start w:val="1"/>
      <w:numFmt w:val="bullet"/>
      <w:lvlText w:val="o"/>
      <w:lvlJc w:val="left"/>
      <w:pPr>
        <w:ind w:left="3600" w:hanging="360"/>
      </w:pPr>
      <w:rPr>
        <w:rFonts w:ascii="Courier New" w:hAnsi="Courier New" w:hint="default"/>
      </w:rPr>
    </w:lvl>
    <w:lvl w:ilvl="5" w:tplc="889A0E86">
      <w:start w:val="1"/>
      <w:numFmt w:val="bullet"/>
      <w:lvlText w:val=""/>
      <w:lvlJc w:val="left"/>
      <w:pPr>
        <w:ind w:left="4320" w:hanging="360"/>
      </w:pPr>
      <w:rPr>
        <w:rFonts w:ascii="Wingdings" w:hAnsi="Wingdings" w:hint="default"/>
      </w:rPr>
    </w:lvl>
    <w:lvl w:ilvl="6" w:tplc="7D209A2E">
      <w:start w:val="1"/>
      <w:numFmt w:val="bullet"/>
      <w:lvlText w:val=""/>
      <w:lvlJc w:val="left"/>
      <w:pPr>
        <w:ind w:left="5040" w:hanging="360"/>
      </w:pPr>
      <w:rPr>
        <w:rFonts w:ascii="Symbol" w:hAnsi="Symbol" w:hint="default"/>
      </w:rPr>
    </w:lvl>
    <w:lvl w:ilvl="7" w:tplc="8098E204">
      <w:start w:val="1"/>
      <w:numFmt w:val="bullet"/>
      <w:lvlText w:val="o"/>
      <w:lvlJc w:val="left"/>
      <w:pPr>
        <w:ind w:left="5760" w:hanging="360"/>
      </w:pPr>
      <w:rPr>
        <w:rFonts w:ascii="Courier New" w:hAnsi="Courier New" w:hint="default"/>
      </w:rPr>
    </w:lvl>
    <w:lvl w:ilvl="8" w:tplc="6DA84BBA">
      <w:start w:val="1"/>
      <w:numFmt w:val="bullet"/>
      <w:lvlText w:val=""/>
      <w:lvlJc w:val="left"/>
      <w:pPr>
        <w:ind w:left="6480" w:hanging="360"/>
      </w:pPr>
      <w:rPr>
        <w:rFonts w:ascii="Wingdings" w:hAnsi="Wingdings" w:hint="default"/>
      </w:rPr>
    </w:lvl>
  </w:abstractNum>
  <w:abstractNum w:abstractNumId="95" w15:restartNumberingAfterBreak="0">
    <w:nsid w:val="4DB20A44"/>
    <w:multiLevelType w:val="hybridMultilevel"/>
    <w:tmpl w:val="FFFFFFFF"/>
    <w:lvl w:ilvl="0" w:tplc="F6A0DA5E">
      <w:start w:val="1"/>
      <w:numFmt w:val="bullet"/>
      <w:lvlText w:val=""/>
      <w:lvlJc w:val="left"/>
      <w:pPr>
        <w:ind w:left="720" w:hanging="360"/>
      </w:pPr>
      <w:rPr>
        <w:rFonts w:ascii="Symbol" w:hAnsi="Symbol" w:hint="default"/>
      </w:rPr>
    </w:lvl>
    <w:lvl w:ilvl="1" w:tplc="DB2E245E">
      <w:start w:val="1"/>
      <w:numFmt w:val="bullet"/>
      <w:lvlText w:val="o"/>
      <w:lvlJc w:val="left"/>
      <w:pPr>
        <w:ind w:left="1440" w:hanging="360"/>
      </w:pPr>
      <w:rPr>
        <w:rFonts w:ascii="Courier New" w:hAnsi="Courier New" w:hint="default"/>
      </w:rPr>
    </w:lvl>
    <w:lvl w:ilvl="2" w:tplc="917E038A">
      <w:start w:val="1"/>
      <w:numFmt w:val="bullet"/>
      <w:lvlText w:val=""/>
      <w:lvlJc w:val="left"/>
      <w:pPr>
        <w:ind w:left="2160" w:hanging="360"/>
      </w:pPr>
      <w:rPr>
        <w:rFonts w:ascii="Wingdings" w:hAnsi="Wingdings" w:hint="default"/>
      </w:rPr>
    </w:lvl>
    <w:lvl w:ilvl="3" w:tplc="3522A0DC">
      <w:start w:val="1"/>
      <w:numFmt w:val="bullet"/>
      <w:lvlText w:val=""/>
      <w:lvlJc w:val="left"/>
      <w:pPr>
        <w:ind w:left="2880" w:hanging="360"/>
      </w:pPr>
      <w:rPr>
        <w:rFonts w:ascii="Symbol" w:hAnsi="Symbol" w:hint="default"/>
      </w:rPr>
    </w:lvl>
    <w:lvl w:ilvl="4" w:tplc="A3F0BAC6">
      <w:start w:val="1"/>
      <w:numFmt w:val="bullet"/>
      <w:lvlText w:val="o"/>
      <w:lvlJc w:val="left"/>
      <w:pPr>
        <w:ind w:left="3600" w:hanging="360"/>
      </w:pPr>
      <w:rPr>
        <w:rFonts w:ascii="Courier New" w:hAnsi="Courier New" w:hint="default"/>
      </w:rPr>
    </w:lvl>
    <w:lvl w:ilvl="5" w:tplc="E8C67454">
      <w:start w:val="1"/>
      <w:numFmt w:val="bullet"/>
      <w:lvlText w:val=""/>
      <w:lvlJc w:val="left"/>
      <w:pPr>
        <w:ind w:left="4320" w:hanging="360"/>
      </w:pPr>
      <w:rPr>
        <w:rFonts w:ascii="Wingdings" w:hAnsi="Wingdings" w:hint="default"/>
      </w:rPr>
    </w:lvl>
    <w:lvl w:ilvl="6" w:tplc="2B92E1FA">
      <w:start w:val="1"/>
      <w:numFmt w:val="bullet"/>
      <w:lvlText w:val=""/>
      <w:lvlJc w:val="left"/>
      <w:pPr>
        <w:ind w:left="5040" w:hanging="360"/>
      </w:pPr>
      <w:rPr>
        <w:rFonts w:ascii="Symbol" w:hAnsi="Symbol" w:hint="default"/>
      </w:rPr>
    </w:lvl>
    <w:lvl w:ilvl="7" w:tplc="CB0AE74C">
      <w:start w:val="1"/>
      <w:numFmt w:val="bullet"/>
      <w:lvlText w:val="o"/>
      <w:lvlJc w:val="left"/>
      <w:pPr>
        <w:ind w:left="5760" w:hanging="360"/>
      </w:pPr>
      <w:rPr>
        <w:rFonts w:ascii="Courier New" w:hAnsi="Courier New" w:hint="default"/>
      </w:rPr>
    </w:lvl>
    <w:lvl w:ilvl="8" w:tplc="CCAEC516">
      <w:start w:val="1"/>
      <w:numFmt w:val="bullet"/>
      <w:lvlText w:val=""/>
      <w:lvlJc w:val="left"/>
      <w:pPr>
        <w:ind w:left="6480" w:hanging="360"/>
      </w:pPr>
      <w:rPr>
        <w:rFonts w:ascii="Wingdings" w:hAnsi="Wingdings" w:hint="default"/>
      </w:rPr>
    </w:lvl>
  </w:abstractNum>
  <w:abstractNum w:abstractNumId="96" w15:restartNumberingAfterBreak="0">
    <w:nsid w:val="51F7252A"/>
    <w:multiLevelType w:val="hybridMultilevel"/>
    <w:tmpl w:val="2FD45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7BAEA9"/>
    <w:multiLevelType w:val="hybridMultilevel"/>
    <w:tmpl w:val="78B8B70E"/>
    <w:lvl w:ilvl="0" w:tplc="46F8F558">
      <w:start w:val="1"/>
      <w:numFmt w:val="lowerRoman"/>
      <w:lvlText w:val="%1."/>
      <w:lvlJc w:val="right"/>
      <w:pPr>
        <w:ind w:left="720" w:hanging="360"/>
      </w:pPr>
    </w:lvl>
    <w:lvl w:ilvl="1" w:tplc="F7AAF2D6">
      <w:start w:val="1"/>
      <w:numFmt w:val="lowerLetter"/>
      <w:lvlText w:val="%2."/>
      <w:lvlJc w:val="left"/>
      <w:pPr>
        <w:ind w:left="1440" w:hanging="360"/>
      </w:pPr>
    </w:lvl>
    <w:lvl w:ilvl="2" w:tplc="98186F7E">
      <w:start w:val="1"/>
      <w:numFmt w:val="lowerRoman"/>
      <w:lvlText w:val="%3."/>
      <w:lvlJc w:val="right"/>
      <w:pPr>
        <w:ind w:left="2160" w:hanging="180"/>
      </w:pPr>
    </w:lvl>
    <w:lvl w:ilvl="3" w:tplc="B25AB2B0">
      <w:start w:val="1"/>
      <w:numFmt w:val="decimal"/>
      <w:lvlText w:val="%4."/>
      <w:lvlJc w:val="left"/>
      <w:pPr>
        <w:ind w:left="2880" w:hanging="360"/>
      </w:pPr>
    </w:lvl>
    <w:lvl w:ilvl="4" w:tplc="9A24C636">
      <w:start w:val="1"/>
      <w:numFmt w:val="lowerLetter"/>
      <w:lvlText w:val="%5."/>
      <w:lvlJc w:val="left"/>
      <w:pPr>
        <w:ind w:left="3600" w:hanging="360"/>
      </w:pPr>
    </w:lvl>
    <w:lvl w:ilvl="5" w:tplc="792873A8">
      <w:start w:val="1"/>
      <w:numFmt w:val="lowerRoman"/>
      <w:lvlText w:val="%6."/>
      <w:lvlJc w:val="right"/>
      <w:pPr>
        <w:ind w:left="4320" w:hanging="180"/>
      </w:pPr>
    </w:lvl>
    <w:lvl w:ilvl="6" w:tplc="6AFEF642">
      <w:start w:val="1"/>
      <w:numFmt w:val="decimal"/>
      <w:lvlText w:val="%7."/>
      <w:lvlJc w:val="left"/>
      <w:pPr>
        <w:ind w:left="5040" w:hanging="360"/>
      </w:pPr>
    </w:lvl>
    <w:lvl w:ilvl="7" w:tplc="D764CFB4">
      <w:start w:val="1"/>
      <w:numFmt w:val="lowerLetter"/>
      <w:lvlText w:val="%8."/>
      <w:lvlJc w:val="left"/>
      <w:pPr>
        <w:ind w:left="5760" w:hanging="360"/>
      </w:pPr>
    </w:lvl>
    <w:lvl w:ilvl="8" w:tplc="BBDC73C6">
      <w:start w:val="1"/>
      <w:numFmt w:val="lowerRoman"/>
      <w:lvlText w:val="%9."/>
      <w:lvlJc w:val="right"/>
      <w:pPr>
        <w:ind w:left="6480" w:hanging="180"/>
      </w:pPr>
    </w:lvl>
  </w:abstractNum>
  <w:abstractNum w:abstractNumId="98" w15:restartNumberingAfterBreak="0">
    <w:nsid w:val="538D0218"/>
    <w:multiLevelType w:val="hybridMultilevel"/>
    <w:tmpl w:val="44643EC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54951B87"/>
    <w:multiLevelType w:val="hybridMultilevel"/>
    <w:tmpl w:val="7FD22F6C"/>
    <w:lvl w:ilvl="0" w:tplc="B25E6440">
      <w:start w:val="1"/>
      <w:numFmt w:val="bullet"/>
      <w:lvlText w:val=""/>
      <w:lvlJc w:val="left"/>
      <w:pPr>
        <w:ind w:left="720" w:hanging="360"/>
      </w:pPr>
      <w:rPr>
        <w:rFonts w:ascii="Symbol" w:hAnsi="Symbol" w:hint="default"/>
        <w:color w:val="B5333C"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4DC46DB"/>
    <w:multiLevelType w:val="hybridMultilevel"/>
    <w:tmpl w:val="7BF4AD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61E7450"/>
    <w:multiLevelType w:val="hybridMultilevel"/>
    <w:tmpl w:val="B352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7165B6C"/>
    <w:multiLevelType w:val="hybridMultilevel"/>
    <w:tmpl w:val="FFFFFFFF"/>
    <w:lvl w:ilvl="0" w:tplc="0E3A03A6">
      <w:start w:val="1"/>
      <w:numFmt w:val="decimal"/>
      <w:lvlText w:val="●"/>
      <w:lvlJc w:val="left"/>
      <w:pPr>
        <w:ind w:left="720" w:hanging="360"/>
      </w:pPr>
    </w:lvl>
    <w:lvl w:ilvl="1" w:tplc="744CF0F2">
      <w:start w:val="1"/>
      <w:numFmt w:val="lowerLetter"/>
      <w:lvlText w:val="%2."/>
      <w:lvlJc w:val="left"/>
      <w:pPr>
        <w:ind w:left="1440" w:hanging="360"/>
      </w:pPr>
    </w:lvl>
    <w:lvl w:ilvl="2" w:tplc="3C10952C">
      <w:start w:val="1"/>
      <w:numFmt w:val="lowerRoman"/>
      <w:lvlText w:val="%3."/>
      <w:lvlJc w:val="right"/>
      <w:pPr>
        <w:ind w:left="2160" w:hanging="180"/>
      </w:pPr>
    </w:lvl>
    <w:lvl w:ilvl="3" w:tplc="55C6F1F8">
      <w:start w:val="1"/>
      <w:numFmt w:val="decimal"/>
      <w:lvlText w:val="%4."/>
      <w:lvlJc w:val="left"/>
      <w:pPr>
        <w:ind w:left="2880" w:hanging="360"/>
      </w:pPr>
    </w:lvl>
    <w:lvl w:ilvl="4" w:tplc="6F929C02">
      <w:start w:val="1"/>
      <w:numFmt w:val="lowerLetter"/>
      <w:lvlText w:val="%5."/>
      <w:lvlJc w:val="left"/>
      <w:pPr>
        <w:ind w:left="3600" w:hanging="360"/>
      </w:pPr>
    </w:lvl>
    <w:lvl w:ilvl="5" w:tplc="9E887618">
      <w:start w:val="1"/>
      <w:numFmt w:val="lowerRoman"/>
      <w:lvlText w:val="%6."/>
      <w:lvlJc w:val="right"/>
      <w:pPr>
        <w:ind w:left="4320" w:hanging="180"/>
      </w:pPr>
    </w:lvl>
    <w:lvl w:ilvl="6" w:tplc="E5E66BE4">
      <w:start w:val="1"/>
      <w:numFmt w:val="decimal"/>
      <w:lvlText w:val="%7."/>
      <w:lvlJc w:val="left"/>
      <w:pPr>
        <w:ind w:left="5040" w:hanging="360"/>
      </w:pPr>
    </w:lvl>
    <w:lvl w:ilvl="7" w:tplc="9B22EB8E">
      <w:start w:val="1"/>
      <w:numFmt w:val="lowerLetter"/>
      <w:lvlText w:val="%8."/>
      <w:lvlJc w:val="left"/>
      <w:pPr>
        <w:ind w:left="5760" w:hanging="360"/>
      </w:pPr>
    </w:lvl>
    <w:lvl w:ilvl="8" w:tplc="300A792A">
      <w:start w:val="1"/>
      <w:numFmt w:val="lowerRoman"/>
      <w:lvlText w:val="%9."/>
      <w:lvlJc w:val="right"/>
      <w:pPr>
        <w:ind w:left="6480" w:hanging="180"/>
      </w:pPr>
    </w:lvl>
  </w:abstractNum>
  <w:abstractNum w:abstractNumId="103" w15:restartNumberingAfterBreak="0">
    <w:nsid w:val="58F281C9"/>
    <w:multiLevelType w:val="hybridMultilevel"/>
    <w:tmpl w:val="FFFFFFFF"/>
    <w:lvl w:ilvl="0" w:tplc="59602FEC">
      <w:start w:val="1"/>
      <w:numFmt w:val="bullet"/>
      <w:lvlText w:val="·"/>
      <w:lvlJc w:val="left"/>
      <w:pPr>
        <w:ind w:left="1080" w:hanging="360"/>
      </w:pPr>
      <w:rPr>
        <w:rFonts w:ascii="Symbol" w:hAnsi="Symbol" w:hint="default"/>
      </w:rPr>
    </w:lvl>
    <w:lvl w:ilvl="1" w:tplc="B9847B40">
      <w:start w:val="1"/>
      <w:numFmt w:val="bullet"/>
      <w:lvlText w:val="o"/>
      <w:lvlJc w:val="left"/>
      <w:pPr>
        <w:ind w:left="1800" w:hanging="360"/>
      </w:pPr>
      <w:rPr>
        <w:rFonts w:ascii="Courier New" w:hAnsi="Courier New" w:hint="default"/>
      </w:rPr>
    </w:lvl>
    <w:lvl w:ilvl="2" w:tplc="D356288C">
      <w:start w:val="1"/>
      <w:numFmt w:val="bullet"/>
      <w:lvlText w:val=""/>
      <w:lvlJc w:val="left"/>
      <w:pPr>
        <w:ind w:left="2520" w:hanging="360"/>
      </w:pPr>
      <w:rPr>
        <w:rFonts w:ascii="Wingdings" w:hAnsi="Wingdings" w:hint="default"/>
      </w:rPr>
    </w:lvl>
    <w:lvl w:ilvl="3" w:tplc="F552E4F4">
      <w:start w:val="1"/>
      <w:numFmt w:val="bullet"/>
      <w:lvlText w:val=""/>
      <w:lvlJc w:val="left"/>
      <w:pPr>
        <w:ind w:left="3240" w:hanging="360"/>
      </w:pPr>
      <w:rPr>
        <w:rFonts w:ascii="Symbol" w:hAnsi="Symbol" w:hint="default"/>
      </w:rPr>
    </w:lvl>
    <w:lvl w:ilvl="4" w:tplc="26841C4E">
      <w:start w:val="1"/>
      <w:numFmt w:val="bullet"/>
      <w:lvlText w:val="o"/>
      <w:lvlJc w:val="left"/>
      <w:pPr>
        <w:ind w:left="3960" w:hanging="360"/>
      </w:pPr>
      <w:rPr>
        <w:rFonts w:ascii="Courier New" w:hAnsi="Courier New" w:hint="default"/>
      </w:rPr>
    </w:lvl>
    <w:lvl w:ilvl="5" w:tplc="611E3880">
      <w:start w:val="1"/>
      <w:numFmt w:val="bullet"/>
      <w:lvlText w:val=""/>
      <w:lvlJc w:val="left"/>
      <w:pPr>
        <w:ind w:left="4680" w:hanging="360"/>
      </w:pPr>
      <w:rPr>
        <w:rFonts w:ascii="Wingdings" w:hAnsi="Wingdings" w:hint="default"/>
      </w:rPr>
    </w:lvl>
    <w:lvl w:ilvl="6" w:tplc="EEB2C0A6">
      <w:start w:val="1"/>
      <w:numFmt w:val="bullet"/>
      <w:lvlText w:val=""/>
      <w:lvlJc w:val="left"/>
      <w:pPr>
        <w:ind w:left="5400" w:hanging="360"/>
      </w:pPr>
      <w:rPr>
        <w:rFonts w:ascii="Symbol" w:hAnsi="Symbol" w:hint="default"/>
      </w:rPr>
    </w:lvl>
    <w:lvl w:ilvl="7" w:tplc="286AB09C">
      <w:start w:val="1"/>
      <w:numFmt w:val="bullet"/>
      <w:lvlText w:val="o"/>
      <w:lvlJc w:val="left"/>
      <w:pPr>
        <w:ind w:left="6120" w:hanging="360"/>
      </w:pPr>
      <w:rPr>
        <w:rFonts w:ascii="Courier New" w:hAnsi="Courier New" w:hint="default"/>
      </w:rPr>
    </w:lvl>
    <w:lvl w:ilvl="8" w:tplc="D1F4106E">
      <w:start w:val="1"/>
      <w:numFmt w:val="bullet"/>
      <w:lvlText w:val=""/>
      <w:lvlJc w:val="left"/>
      <w:pPr>
        <w:ind w:left="6840" w:hanging="360"/>
      </w:pPr>
      <w:rPr>
        <w:rFonts w:ascii="Wingdings" w:hAnsi="Wingdings" w:hint="default"/>
      </w:rPr>
    </w:lvl>
  </w:abstractNum>
  <w:abstractNum w:abstractNumId="104" w15:restartNumberingAfterBreak="0">
    <w:nsid w:val="59BA0115"/>
    <w:multiLevelType w:val="hybridMultilevel"/>
    <w:tmpl w:val="5654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400671"/>
    <w:multiLevelType w:val="hybridMultilevel"/>
    <w:tmpl w:val="B8D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A5B3E45"/>
    <w:multiLevelType w:val="hybridMultilevel"/>
    <w:tmpl w:val="FFFFFFFF"/>
    <w:lvl w:ilvl="0" w:tplc="B52A9B12">
      <w:start w:val="1"/>
      <w:numFmt w:val="bullet"/>
      <w:lvlText w:val="v"/>
      <w:lvlJc w:val="left"/>
      <w:pPr>
        <w:ind w:left="720" w:hanging="360"/>
      </w:pPr>
      <w:rPr>
        <w:rFonts w:ascii="Wingdings" w:hAnsi="Wingdings" w:hint="default"/>
      </w:rPr>
    </w:lvl>
    <w:lvl w:ilvl="1" w:tplc="86504DCE">
      <w:start w:val="1"/>
      <w:numFmt w:val="bullet"/>
      <w:lvlText w:val="o"/>
      <w:lvlJc w:val="left"/>
      <w:pPr>
        <w:ind w:left="1440" w:hanging="360"/>
      </w:pPr>
      <w:rPr>
        <w:rFonts w:ascii="Courier New" w:hAnsi="Courier New" w:hint="default"/>
      </w:rPr>
    </w:lvl>
    <w:lvl w:ilvl="2" w:tplc="6F72D664">
      <w:start w:val="1"/>
      <w:numFmt w:val="bullet"/>
      <w:lvlText w:val=""/>
      <w:lvlJc w:val="left"/>
      <w:pPr>
        <w:ind w:left="2160" w:hanging="360"/>
      </w:pPr>
      <w:rPr>
        <w:rFonts w:ascii="Wingdings" w:hAnsi="Wingdings" w:hint="default"/>
      </w:rPr>
    </w:lvl>
    <w:lvl w:ilvl="3" w:tplc="7D129530">
      <w:start w:val="1"/>
      <w:numFmt w:val="bullet"/>
      <w:lvlText w:val=""/>
      <w:lvlJc w:val="left"/>
      <w:pPr>
        <w:ind w:left="2880" w:hanging="360"/>
      </w:pPr>
      <w:rPr>
        <w:rFonts w:ascii="Symbol" w:hAnsi="Symbol" w:hint="default"/>
      </w:rPr>
    </w:lvl>
    <w:lvl w:ilvl="4" w:tplc="DCF8ACB4">
      <w:start w:val="1"/>
      <w:numFmt w:val="bullet"/>
      <w:lvlText w:val="o"/>
      <w:lvlJc w:val="left"/>
      <w:pPr>
        <w:ind w:left="3600" w:hanging="360"/>
      </w:pPr>
      <w:rPr>
        <w:rFonts w:ascii="Courier New" w:hAnsi="Courier New" w:hint="default"/>
      </w:rPr>
    </w:lvl>
    <w:lvl w:ilvl="5" w:tplc="E3E8DAC6">
      <w:start w:val="1"/>
      <w:numFmt w:val="bullet"/>
      <w:lvlText w:val=""/>
      <w:lvlJc w:val="left"/>
      <w:pPr>
        <w:ind w:left="4320" w:hanging="360"/>
      </w:pPr>
      <w:rPr>
        <w:rFonts w:ascii="Wingdings" w:hAnsi="Wingdings" w:hint="default"/>
      </w:rPr>
    </w:lvl>
    <w:lvl w:ilvl="6" w:tplc="8D3A4D06">
      <w:start w:val="1"/>
      <w:numFmt w:val="bullet"/>
      <w:lvlText w:val=""/>
      <w:lvlJc w:val="left"/>
      <w:pPr>
        <w:ind w:left="5040" w:hanging="360"/>
      </w:pPr>
      <w:rPr>
        <w:rFonts w:ascii="Symbol" w:hAnsi="Symbol" w:hint="default"/>
      </w:rPr>
    </w:lvl>
    <w:lvl w:ilvl="7" w:tplc="4DF62B0E">
      <w:start w:val="1"/>
      <w:numFmt w:val="bullet"/>
      <w:lvlText w:val="o"/>
      <w:lvlJc w:val="left"/>
      <w:pPr>
        <w:ind w:left="5760" w:hanging="360"/>
      </w:pPr>
      <w:rPr>
        <w:rFonts w:ascii="Courier New" w:hAnsi="Courier New" w:hint="default"/>
      </w:rPr>
    </w:lvl>
    <w:lvl w:ilvl="8" w:tplc="11007ABA">
      <w:start w:val="1"/>
      <w:numFmt w:val="bullet"/>
      <w:lvlText w:val=""/>
      <w:lvlJc w:val="left"/>
      <w:pPr>
        <w:ind w:left="6480" w:hanging="360"/>
      </w:pPr>
      <w:rPr>
        <w:rFonts w:ascii="Wingdings" w:hAnsi="Wingdings" w:hint="default"/>
      </w:rPr>
    </w:lvl>
  </w:abstractNum>
  <w:abstractNum w:abstractNumId="107" w15:restartNumberingAfterBreak="0">
    <w:nsid w:val="5B681FE1"/>
    <w:multiLevelType w:val="hybridMultilevel"/>
    <w:tmpl w:val="6A583CD2"/>
    <w:lvl w:ilvl="0" w:tplc="B71C284C">
      <w:start w:val="1"/>
      <w:numFmt w:val="bullet"/>
      <w:lvlText w:val=""/>
      <w:lvlJc w:val="left"/>
      <w:pPr>
        <w:ind w:left="720" w:hanging="360"/>
      </w:pPr>
      <w:rPr>
        <w:rFonts w:ascii="Wingdings" w:hAnsi="Wingdings" w:hint="default"/>
      </w:rPr>
    </w:lvl>
    <w:lvl w:ilvl="1" w:tplc="4808BDAA">
      <w:start w:val="1"/>
      <w:numFmt w:val="bullet"/>
      <w:lvlText w:val="o"/>
      <w:lvlJc w:val="left"/>
      <w:pPr>
        <w:ind w:left="1440" w:hanging="360"/>
      </w:pPr>
      <w:rPr>
        <w:rFonts w:ascii="Courier New" w:hAnsi="Courier New" w:hint="default"/>
      </w:rPr>
    </w:lvl>
    <w:lvl w:ilvl="2" w:tplc="B6EC21A8">
      <w:start w:val="1"/>
      <w:numFmt w:val="bullet"/>
      <w:lvlText w:val=""/>
      <w:lvlJc w:val="left"/>
      <w:pPr>
        <w:ind w:left="2160" w:hanging="360"/>
      </w:pPr>
      <w:rPr>
        <w:rFonts w:ascii="Wingdings" w:hAnsi="Wingdings" w:hint="default"/>
      </w:rPr>
    </w:lvl>
    <w:lvl w:ilvl="3" w:tplc="85A0D57C">
      <w:start w:val="1"/>
      <w:numFmt w:val="bullet"/>
      <w:lvlText w:val=""/>
      <w:lvlJc w:val="left"/>
      <w:pPr>
        <w:ind w:left="2880" w:hanging="360"/>
      </w:pPr>
      <w:rPr>
        <w:rFonts w:ascii="Symbol" w:hAnsi="Symbol" w:hint="default"/>
      </w:rPr>
    </w:lvl>
    <w:lvl w:ilvl="4" w:tplc="B5889E88">
      <w:start w:val="1"/>
      <w:numFmt w:val="bullet"/>
      <w:lvlText w:val="o"/>
      <w:lvlJc w:val="left"/>
      <w:pPr>
        <w:ind w:left="3600" w:hanging="360"/>
      </w:pPr>
      <w:rPr>
        <w:rFonts w:ascii="Courier New" w:hAnsi="Courier New" w:hint="default"/>
      </w:rPr>
    </w:lvl>
    <w:lvl w:ilvl="5" w:tplc="6014790C">
      <w:start w:val="1"/>
      <w:numFmt w:val="bullet"/>
      <w:lvlText w:val=""/>
      <w:lvlJc w:val="left"/>
      <w:pPr>
        <w:ind w:left="4320" w:hanging="360"/>
      </w:pPr>
      <w:rPr>
        <w:rFonts w:ascii="Wingdings" w:hAnsi="Wingdings" w:hint="default"/>
      </w:rPr>
    </w:lvl>
    <w:lvl w:ilvl="6" w:tplc="4CD0219C">
      <w:start w:val="1"/>
      <w:numFmt w:val="bullet"/>
      <w:lvlText w:val=""/>
      <w:lvlJc w:val="left"/>
      <w:pPr>
        <w:ind w:left="5040" w:hanging="360"/>
      </w:pPr>
      <w:rPr>
        <w:rFonts w:ascii="Symbol" w:hAnsi="Symbol" w:hint="default"/>
      </w:rPr>
    </w:lvl>
    <w:lvl w:ilvl="7" w:tplc="C7F6DBD8">
      <w:start w:val="1"/>
      <w:numFmt w:val="bullet"/>
      <w:lvlText w:val="o"/>
      <w:lvlJc w:val="left"/>
      <w:pPr>
        <w:ind w:left="5760" w:hanging="360"/>
      </w:pPr>
      <w:rPr>
        <w:rFonts w:ascii="Courier New" w:hAnsi="Courier New" w:hint="default"/>
      </w:rPr>
    </w:lvl>
    <w:lvl w:ilvl="8" w:tplc="84E6E6BC">
      <w:start w:val="1"/>
      <w:numFmt w:val="bullet"/>
      <w:lvlText w:val=""/>
      <w:lvlJc w:val="left"/>
      <w:pPr>
        <w:ind w:left="6480" w:hanging="360"/>
      </w:pPr>
      <w:rPr>
        <w:rFonts w:ascii="Wingdings" w:hAnsi="Wingdings" w:hint="default"/>
      </w:rPr>
    </w:lvl>
  </w:abstractNum>
  <w:abstractNum w:abstractNumId="108" w15:restartNumberingAfterBreak="0">
    <w:nsid w:val="5CFF472D"/>
    <w:multiLevelType w:val="hybridMultilevel"/>
    <w:tmpl w:val="FFFFFFFF"/>
    <w:lvl w:ilvl="0" w:tplc="F962DC20">
      <w:start w:val="1"/>
      <w:numFmt w:val="bullet"/>
      <w:lvlText w:val="§"/>
      <w:lvlJc w:val="left"/>
      <w:pPr>
        <w:ind w:left="720" w:hanging="360"/>
      </w:pPr>
      <w:rPr>
        <w:rFonts w:ascii="Wingdings" w:hAnsi="Wingdings" w:hint="default"/>
      </w:rPr>
    </w:lvl>
    <w:lvl w:ilvl="1" w:tplc="4E9C10D4">
      <w:start w:val="1"/>
      <w:numFmt w:val="bullet"/>
      <w:lvlText w:val="o"/>
      <w:lvlJc w:val="left"/>
      <w:pPr>
        <w:ind w:left="1440" w:hanging="360"/>
      </w:pPr>
      <w:rPr>
        <w:rFonts w:ascii="Courier New" w:hAnsi="Courier New" w:hint="default"/>
      </w:rPr>
    </w:lvl>
    <w:lvl w:ilvl="2" w:tplc="037032C0">
      <w:start w:val="1"/>
      <w:numFmt w:val="bullet"/>
      <w:lvlText w:val=""/>
      <w:lvlJc w:val="left"/>
      <w:pPr>
        <w:ind w:left="2160" w:hanging="360"/>
      </w:pPr>
      <w:rPr>
        <w:rFonts w:ascii="Wingdings" w:hAnsi="Wingdings" w:hint="default"/>
      </w:rPr>
    </w:lvl>
    <w:lvl w:ilvl="3" w:tplc="4378D02E">
      <w:start w:val="1"/>
      <w:numFmt w:val="bullet"/>
      <w:lvlText w:val=""/>
      <w:lvlJc w:val="left"/>
      <w:pPr>
        <w:ind w:left="2880" w:hanging="360"/>
      </w:pPr>
      <w:rPr>
        <w:rFonts w:ascii="Symbol" w:hAnsi="Symbol" w:hint="default"/>
      </w:rPr>
    </w:lvl>
    <w:lvl w:ilvl="4" w:tplc="2EDE5034">
      <w:start w:val="1"/>
      <w:numFmt w:val="bullet"/>
      <w:lvlText w:val="o"/>
      <w:lvlJc w:val="left"/>
      <w:pPr>
        <w:ind w:left="3600" w:hanging="360"/>
      </w:pPr>
      <w:rPr>
        <w:rFonts w:ascii="Courier New" w:hAnsi="Courier New" w:hint="default"/>
      </w:rPr>
    </w:lvl>
    <w:lvl w:ilvl="5" w:tplc="69B4AB90">
      <w:start w:val="1"/>
      <w:numFmt w:val="bullet"/>
      <w:lvlText w:val=""/>
      <w:lvlJc w:val="left"/>
      <w:pPr>
        <w:ind w:left="4320" w:hanging="360"/>
      </w:pPr>
      <w:rPr>
        <w:rFonts w:ascii="Wingdings" w:hAnsi="Wingdings" w:hint="default"/>
      </w:rPr>
    </w:lvl>
    <w:lvl w:ilvl="6" w:tplc="5ABEAB96">
      <w:start w:val="1"/>
      <w:numFmt w:val="bullet"/>
      <w:lvlText w:val=""/>
      <w:lvlJc w:val="left"/>
      <w:pPr>
        <w:ind w:left="5040" w:hanging="360"/>
      </w:pPr>
      <w:rPr>
        <w:rFonts w:ascii="Symbol" w:hAnsi="Symbol" w:hint="default"/>
      </w:rPr>
    </w:lvl>
    <w:lvl w:ilvl="7" w:tplc="149E4BD8">
      <w:start w:val="1"/>
      <w:numFmt w:val="bullet"/>
      <w:lvlText w:val="o"/>
      <w:lvlJc w:val="left"/>
      <w:pPr>
        <w:ind w:left="5760" w:hanging="360"/>
      </w:pPr>
      <w:rPr>
        <w:rFonts w:ascii="Courier New" w:hAnsi="Courier New" w:hint="default"/>
      </w:rPr>
    </w:lvl>
    <w:lvl w:ilvl="8" w:tplc="03A42010">
      <w:start w:val="1"/>
      <w:numFmt w:val="bullet"/>
      <w:lvlText w:val=""/>
      <w:lvlJc w:val="left"/>
      <w:pPr>
        <w:ind w:left="6480" w:hanging="360"/>
      </w:pPr>
      <w:rPr>
        <w:rFonts w:ascii="Wingdings" w:hAnsi="Wingdings" w:hint="default"/>
      </w:rPr>
    </w:lvl>
  </w:abstractNum>
  <w:abstractNum w:abstractNumId="109" w15:restartNumberingAfterBreak="0">
    <w:nsid w:val="5F285274"/>
    <w:multiLevelType w:val="hybridMultilevel"/>
    <w:tmpl w:val="250699A2"/>
    <w:lvl w:ilvl="0" w:tplc="4FB2B664">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02D5C0E"/>
    <w:multiLevelType w:val="hybridMultilevel"/>
    <w:tmpl w:val="859ACCB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610D0B03"/>
    <w:multiLevelType w:val="hybridMultilevel"/>
    <w:tmpl w:val="FFFFFFFF"/>
    <w:lvl w:ilvl="0" w:tplc="D6983F2C">
      <w:start w:val="1"/>
      <w:numFmt w:val="decimal"/>
      <w:lvlText w:val="%1."/>
      <w:lvlJc w:val="left"/>
      <w:pPr>
        <w:ind w:left="720" w:hanging="360"/>
      </w:pPr>
    </w:lvl>
    <w:lvl w:ilvl="1" w:tplc="EBFE1B7E">
      <w:start w:val="1"/>
      <w:numFmt w:val="lowerLetter"/>
      <w:lvlText w:val="%2."/>
      <w:lvlJc w:val="left"/>
      <w:pPr>
        <w:ind w:left="1440" w:hanging="360"/>
      </w:pPr>
    </w:lvl>
    <w:lvl w:ilvl="2" w:tplc="2FD66FDC">
      <w:start w:val="1"/>
      <w:numFmt w:val="lowerRoman"/>
      <w:lvlText w:val="%3."/>
      <w:lvlJc w:val="right"/>
      <w:pPr>
        <w:ind w:left="2160" w:hanging="180"/>
      </w:pPr>
    </w:lvl>
    <w:lvl w:ilvl="3" w:tplc="ACBC1DDA">
      <w:start w:val="1"/>
      <w:numFmt w:val="decimal"/>
      <w:lvlText w:val="%4."/>
      <w:lvlJc w:val="left"/>
      <w:pPr>
        <w:ind w:left="2880" w:hanging="360"/>
      </w:pPr>
    </w:lvl>
    <w:lvl w:ilvl="4" w:tplc="900227A4">
      <w:start w:val="1"/>
      <w:numFmt w:val="lowerLetter"/>
      <w:lvlText w:val="%5."/>
      <w:lvlJc w:val="left"/>
      <w:pPr>
        <w:ind w:left="3600" w:hanging="360"/>
      </w:pPr>
    </w:lvl>
    <w:lvl w:ilvl="5" w:tplc="0DA830E8">
      <w:start w:val="1"/>
      <w:numFmt w:val="lowerRoman"/>
      <w:lvlText w:val="%6."/>
      <w:lvlJc w:val="right"/>
      <w:pPr>
        <w:ind w:left="4320" w:hanging="180"/>
      </w:pPr>
    </w:lvl>
    <w:lvl w:ilvl="6" w:tplc="AE8A697C">
      <w:start w:val="1"/>
      <w:numFmt w:val="decimal"/>
      <w:lvlText w:val="%7."/>
      <w:lvlJc w:val="left"/>
      <w:pPr>
        <w:ind w:left="5040" w:hanging="360"/>
      </w:pPr>
    </w:lvl>
    <w:lvl w:ilvl="7" w:tplc="29727994">
      <w:start w:val="1"/>
      <w:numFmt w:val="lowerLetter"/>
      <w:lvlText w:val="%8."/>
      <w:lvlJc w:val="left"/>
      <w:pPr>
        <w:ind w:left="5760" w:hanging="360"/>
      </w:pPr>
    </w:lvl>
    <w:lvl w:ilvl="8" w:tplc="93E8935C">
      <w:start w:val="1"/>
      <w:numFmt w:val="lowerRoman"/>
      <w:lvlText w:val="%9."/>
      <w:lvlJc w:val="right"/>
      <w:pPr>
        <w:ind w:left="6480" w:hanging="180"/>
      </w:pPr>
    </w:lvl>
  </w:abstractNum>
  <w:abstractNum w:abstractNumId="112" w15:restartNumberingAfterBreak="0">
    <w:nsid w:val="61A07AD5"/>
    <w:multiLevelType w:val="hybridMultilevel"/>
    <w:tmpl w:val="923E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36DDA11"/>
    <w:multiLevelType w:val="hybridMultilevel"/>
    <w:tmpl w:val="FFFFFFFF"/>
    <w:lvl w:ilvl="0" w:tplc="8592C300">
      <w:start w:val="1"/>
      <w:numFmt w:val="bullet"/>
      <w:lvlText w:val="·"/>
      <w:lvlJc w:val="left"/>
      <w:pPr>
        <w:ind w:left="720" w:hanging="360"/>
      </w:pPr>
      <w:rPr>
        <w:rFonts w:ascii="Symbol" w:hAnsi="Symbol" w:hint="default"/>
      </w:rPr>
    </w:lvl>
    <w:lvl w:ilvl="1" w:tplc="68B6858A">
      <w:start w:val="1"/>
      <w:numFmt w:val="bullet"/>
      <w:lvlText w:val="o"/>
      <w:lvlJc w:val="left"/>
      <w:pPr>
        <w:ind w:left="1440" w:hanging="360"/>
      </w:pPr>
      <w:rPr>
        <w:rFonts w:ascii="Courier New" w:hAnsi="Courier New" w:hint="default"/>
      </w:rPr>
    </w:lvl>
    <w:lvl w:ilvl="2" w:tplc="7826EE0A">
      <w:start w:val="1"/>
      <w:numFmt w:val="bullet"/>
      <w:lvlText w:val=""/>
      <w:lvlJc w:val="left"/>
      <w:pPr>
        <w:ind w:left="2160" w:hanging="360"/>
      </w:pPr>
      <w:rPr>
        <w:rFonts w:ascii="Wingdings" w:hAnsi="Wingdings" w:hint="default"/>
      </w:rPr>
    </w:lvl>
    <w:lvl w:ilvl="3" w:tplc="9DB0DDD2">
      <w:start w:val="1"/>
      <w:numFmt w:val="bullet"/>
      <w:lvlText w:val=""/>
      <w:lvlJc w:val="left"/>
      <w:pPr>
        <w:ind w:left="2880" w:hanging="360"/>
      </w:pPr>
      <w:rPr>
        <w:rFonts w:ascii="Symbol" w:hAnsi="Symbol" w:hint="default"/>
      </w:rPr>
    </w:lvl>
    <w:lvl w:ilvl="4" w:tplc="4A7CCB76">
      <w:start w:val="1"/>
      <w:numFmt w:val="bullet"/>
      <w:lvlText w:val="o"/>
      <w:lvlJc w:val="left"/>
      <w:pPr>
        <w:ind w:left="3600" w:hanging="360"/>
      </w:pPr>
      <w:rPr>
        <w:rFonts w:ascii="Courier New" w:hAnsi="Courier New" w:hint="default"/>
      </w:rPr>
    </w:lvl>
    <w:lvl w:ilvl="5" w:tplc="203AAA22">
      <w:start w:val="1"/>
      <w:numFmt w:val="bullet"/>
      <w:lvlText w:val=""/>
      <w:lvlJc w:val="left"/>
      <w:pPr>
        <w:ind w:left="4320" w:hanging="360"/>
      </w:pPr>
      <w:rPr>
        <w:rFonts w:ascii="Wingdings" w:hAnsi="Wingdings" w:hint="default"/>
      </w:rPr>
    </w:lvl>
    <w:lvl w:ilvl="6" w:tplc="5CD8657A">
      <w:start w:val="1"/>
      <w:numFmt w:val="bullet"/>
      <w:lvlText w:val=""/>
      <w:lvlJc w:val="left"/>
      <w:pPr>
        <w:ind w:left="5040" w:hanging="360"/>
      </w:pPr>
      <w:rPr>
        <w:rFonts w:ascii="Symbol" w:hAnsi="Symbol" w:hint="default"/>
      </w:rPr>
    </w:lvl>
    <w:lvl w:ilvl="7" w:tplc="50D8EA06">
      <w:start w:val="1"/>
      <w:numFmt w:val="bullet"/>
      <w:lvlText w:val="o"/>
      <w:lvlJc w:val="left"/>
      <w:pPr>
        <w:ind w:left="5760" w:hanging="360"/>
      </w:pPr>
      <w:rPr>
        <w:rFonts w:ascii="Courier New" w:hAnsi="Courier New" w:hint="default"/>
      </w:rPr>
    </w:lvl>
    <w:lvl w:ilvl="8" w:tplc="AD8A0D28">
      <w:start w:val="1"/>
      <w:numFmt w:val="bullet"/>
      <w:lvlText w:val=""/>
      <w:lvlJc w:val="left"/>
      <w:pPr>
        <w:ind w:left="6480" w:hanging="360"/>
      </w:pPr>
      <w:rPr>
        <w:rFonts w:ascii="Wingdings" w:hAnsi="Wingdings" w:hint="default"/>
      </w:rPr>
    </w:lvl>
  </w:abstractNum>
  <w:abstractNum w:abstractNumId="114" w15:restartNumberingAfterBreak="0">
    <w:nsid w:val="638116F6"/>
    <w:multiLevelType w:val="hybridMultilevel"/>
    <w:tmpl w:val="141E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632940"/>
    <w:multiLevelType w:val="hybridMultilevel"/>
    <w:tmpl w:val="CD6C4B6A"/>
    <w:lvl w:ilvl="0" w:tplc="B25E6440">
      <w:start w:val="1"/>
      <w:numFmt w:val="bullet"/>
      <w:lvlText w:val=""/>
      <w:lvlJc w:val="left"/>
      <w:pPr>
        <w:ind w:left="720" w:hanging="360"/>
      </w:pPr>
      <w:rPr>
        <w:rFonts w:ascii="Symbol" w:hAnsi="Symbol" w:hint="default"/>
        <w:color w:val="B5333C" w:themeColor="accent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75505FE"/>
    <w:multiLevelType w:val="hybridMultilevel"/>
    <w:tmpl w:val="488465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7" w15:restartNumberingAfterBreak="0">
    <w:nsid w:val="67B83CAA"/>
    <w:multiLevelType w:val="hybridMultilevel"/>
    <w:tmpl w:val="17AC9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0D5F7B"/>
    <w:multiLevelType w:val="hybridMultilevel"/>
    <w:tmpl w:val="6714DCC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694A13FB"/>
    <w:multiLevelType w:val="hybridMultilevel"/>
    <w:tmpl w:val="CE4271CE"/>
    <w:lvl w:ilvl="0" w:tplc="86643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9B803B2"/>
    <w:multiLevelType w:val="hybridMultilevel"/>
    <w:tmpl w:val="19960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B723D34"/>
    <w:multiLevelType w:val="hybridMultilevel"/>
    <w:tmpl w:val="D612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CB06E33"/>
    <w:multiLevelType w:val="hybridMultilevel"/>
    <w:tmpl w:val="FFFFFFFF"/>
    <w:lvl w:ilvl="0" w:tplc="E712455E">
      <w:start w:val="1"/>
      <w:numFmt w:val="bullet"/>
      <w:lvlText w:val=""/>
      <w:lvlJc w:val="left"/>
      <w:pPr>
        <w:ind w:left="720" w:hanging="360"/>
      </w:pPr>
      <w:rPr>
        <w:rFonts w:ascii="Symbol" w:hAnsi="Symbol" w:hint="default"/>
      </w:rPr>
    </w:lvl>
    <w:lvl w:ilvl="1" w:tplc="AD448C76">
      <w:start w:val="1"/>
      <w:numFmt w:val="bullet"/>
      <w:lvlText w:val="o"/>
      <w:lvlJc w:val="left"/>
      <w:pPr>
        <w:ind w:left="1440" w:hanging="360"/>
      </w:pPr>
      <w:rPr>
        <w:rFonts w:ascii="Courier New" w:hAnsi="Courier New" w:hint="default"/>
      </w:rPr>
    </w:lvl>
    <w:lvl w:ilvl="2" w:tplc="206E81F4">
      <w:start w:val="1"/>
      <w:numFmt w:val="bullet"/>
      <w:lvlText w:val=""/>
      <w:lvlJc w:val="left"/>
      <w:pPr>
        <w:ind w:left="2160" w:hanging="360"/>
      </w:pPr>
      <w:rPr>
        <w:rFonts w:ascii="Wingdings" w:hAnsi="Wingdings" w:hint="default"/>
      </w:rPr>
    </w:lvl>
    <w:lvl w:ilvl="3" w:tplc="0B36646C">
      <w:start w:val="1"/>
      <w:numFmt w:val="bullet"/>
      <w:lvlText w:val=""/>
      <w:lvlJc w:val="left"/>
      <w:pPr>
        <w:ind w:left="2880" w:hanging="360"/>
      </w:pPr>
      <w:rPr>
        <w:rFonts w:ascii="Symbol" w:hAnsi="Symbol" w:hint="default"/>
      </w:rPr>
    </w:lvl>
    <w:lvl w:ilvl="4" w:tplc="DF82111A">
      <w:start w:val="1"/>
      <w:numFmt w:val="bullet"/>
      <w:lvlText w:val="o"/>
      <w:lvlJc w:val="left"/>
      <w:pPr>
        <w:ind w:left="3600" w:hanging="360"/>
      </w:pPr>
      <w:rPr>
        <w:rFonts w:ascii="Courier New" w:hAnsi="Courier New" w:hint="default"/>
      </w:rPr>
    </w:lvl>
    <w:lvl w:ilvl="5" w:tplc="73B6A8AA">
      <w:start w:val="1"/>
      <w:numFmt w:val="bullet"/>
      <w:lvlText w:val=""/>
      <w:lvlJc w:val="left"/>
      <w:pPr>
        <w:ind w:left="4320" w:hanging="360"/>
      </w:pPr>
      <w:rPr>
        <w:rFonts w:ascii="Wingdings" w:hAnsi="Wingdings" w:hint="default"/>
      </w:rPr>
    </w:lvl>
    <w:lvl w:ilvl="6" w:tplc="146EFE34">
      <w:start w:val="1"/>
      <w:numFmt w:val="bullet"/>
      <w:lvlText w:val=""/>
      <w:lvlJc w:val="left"/>
      <w:pPr>
        <w:ind w:left="5040" w:hanging="360"/>
      </w:pPr>
      <w:rPr>
        <w:rFonts w:ascii="Symbol" w:hAnsi="Symbol" w:hint="default"/>
      </w:rPr>
    </w:lvl>
    <w:lvl w:ilvl="7" w:tplc="D5C4592E">
      <w:start w:val="1"/>
      <w:numFmt w:val="bullet"/>
      <w:lvlText w:val="o"/>
      <w:lvlJc w:val="left"/>
      <w:pPr>
        <w:ind w:left="5760" w:hanging="360"/>
      </w:pPr>
      <w:rPr>
        <w:rFonts w:ascii="Courier New" w:hAnsi="Courier New" w:hint="default"/>
      </w:rPr>
    </w:lvl>
    <w:lvl w:ilvl="8" w:tplc="D56AD05A">
      <w:start w:val="1"/>
      <w:numFmt w:val="bullet"/>
      <w:lvlText w:val=""/>
      <w:lvlJc w:val="left"/>
      <w:pPr>
        <w:ind w:left="6480" w:hanging="360"/>
      </w:pPr>
      <w:rPr>
        <w:rFonts w:ascii="Wingdings" w:hAnsi="Wingdings" w:hint="default"/>
      </w:rPr>
    </w:lvl>
  </w:abstractNum>
  <w:abstractNum w:abstractNumId="123" w15:restartNumberingAfterBreak="0">
    <w:nsid w:val="6F4E055A"/>
    <w:multiLevelType w:val="hybridMultilevel"/>
    <w:tmpl w:val="FFFFFFFF"/>
    <w:lvl w:ilvl="0" w:tplc="5AC22AD2">
      <w:start w:val="1"/>
      <w:numFmt w:val="bullet"/>
      <w:lvlText w:val=""/>
      <w:lvlJc w:val="left"/>
      <w:pPr>
        <w:ind w:left="720" w:hanging="360"/>
      </w:pPr>
      <w:rPr>
        <w:rFonts w:ascii="Symbol" w:hAnsi="Symbol" w:hint="default"/>
      </w:rPr>
    </w:lvl>
    <w:lvl w:ilvl="1" w:tplc="00FE7D7A">
      <w:start w:val="1"/>
      <w:numFmt w:val="bullet"/>
      <w:lvlText w:val="o"/>
      <w:lvlJc w:val="left"/>
      <w:pPr>
        <w:ind w:left="1440" w:hanging="360"/>
      </w:pPr>
      <w:rPr>
        <w:rFonts w:ascii="Courier New" w:hAnsi="Courier New" w:hint="default"/>
      </w:rPr>
    </w:lvl>
    <w:lvl w:ilvl="2" w:tplc="219602B4">
      <w:start w:val="1"/>
      <w:numFmt w:val="bullet"/>
      <w:lvlText w:val=""/>
      <w:lvlJc w:val="left"/>
      <w:pPr>
        <w:ind w:left="2160" w:hanging="360"/>
      </w:pPr>
      <w:rPr>
        <w:rFonts w:ascii="Wingdings" w:hAnsi="Wingdings" w:hint="default"/>
      </w:rPr>
    </w:lvl>
    <w:lvl w:ilvl="3" w:tplc="16367138">
      <w:start w:val="1"/>
      <w:numFmt w:val="bullet"/>
      <w:lvlText w:val=""/>
      <w:lvlJc w:val="left"/>
      <w:pPr>
        <w:ind w:left="2880" w:hanging="360"/>
      </w:pPr>
      <w:rPr>
        <w:rFonts w:ascii="Symbol" w:hAnsi="Symbol" w:hint="default"/>
      </w:rPr>
    </w:lvl>
    <w:lvl w:ilvl="4" w:tplc="015C818A">
      <w:start w:val="1"/>
      <w:numFmt w:val="bullet"/>
      <w:lvlText w:val="o"/>
      <w:lvlJc w:val="left"/>
      <w:pPr>
        <w:ind w:left="3600" w:hanging="360"/>
      </w:pPr>
      <w:rPr>
        <w:rFonts w:ascii="Courier New" w:hAnsi="Courier New" w:hint="default"/>
      </w:rPr>
    </w:lvl>
    <w:lvl w:ilvl="5" w:tplc="29C6E370">
      <w:start w:val="1"/>
      <w:numFmt w:val="bullet"/>
      <w:lvlText w:val=""/>
      <w:lvlJc w:val="left"/>
      <w:pPr>
        <w:ind w:left="4320" w:hanging="360"/>
      </w:pPr>
      <w:rPr>
        <w:rFonts w:ascii="Wingdings" w:hAnsi="Wingdings" w:hint="default"/>
      </w:rPr>
    </w:lvl>
    <w:lvl w:ilvl="6" w:tplc="E6F4E284">
      <w:start w:val="1"/>
      <w:numFmt w:val="bullet"/>
      <w:lvlText w:val=""/>
      <w:lvlJc w:val="left"/>
      <w:pPr>
        <w:ind w:left="5040" w:hanging="360"/>
      </w:pPr>
      <w:rPr>
        <w:rFonts w:ascii="Symbol" w:hAnsi="Symbol" w:hint="default"/>
      </w:rPr>
    </w:lvl>
    <w:lvl w:ilvl="7" w:tplc="8BA84BA8">
      <w:start w:val="1"/>
      <w:numFmt w:val="bullet"/>
      <w:lvlText w:val="o"/>
      <w:lvlJc w:val="left"/>
      <w:pPr>
        <w:ind w:left="5760" w:hanging="360"/>
      </w:pPr>
      <w:rPr>
        <w:rFonts w:ascii="Courier New" w:hAnsi="Courier New" w:hint="default"/>
      </w:rPr>
    </w:lvl>
    <w:lvl w:ilvl="8" w:tplc="FD289444">
      <w:start w:val="1"/>
      <w:numFmt w:val="bullet"/>
      <w:lvlText w:val=""/>
      <w:lvlJc w:val="left"/>
      <w:pPr>
        <w:ind w:left="6480" w:hanging="360"/>
      </w:pPr>
      <w:rPr>
        <w:rFonts w:ascii="Wingdings" w:hAnsi="Wingdings" w:hint="default"/>
      </w:rPr>
    </w:lvl>
  </w:abstractNum>
  <w:abstractNum w:abstractNumId="124" w15:restartNumberingAfterBreak="0">
    <w:nsid w:val="6FD466DA"/>
    <w:multiLevelType w:val="hybridMultilevel"/>
    <w:tmpl w:val="FC4A35AA"/>
    <w:lvl w:ilvl="0" w:tplc="B25E6440">
      <w:start w:val="1"/>
      <w:numFmt w:val="bullet"/>
      <w:lvlText w:val=""/>
      <w:lvlJc w:val="left"/>
      <w:pPr>
        <w:ind w:left="720" w:hanging="360"/>
      </w:pPr>
      <w:rPr>
        <w:rFonts w:ascii="Symbol" w:hAnsi="Symbol" w:hint="default"/>
        <w:color w:val="B5333C" w:themeColor="accent2"/>
        <w:sz w:val="24"/>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32017DE"/>
    <w:multiLevelType w:val="hybridMultilevel"/>
    <w:tmpl w:val="FFFFFFFF"/>
    <w:lvl w:ilvl="0" w:tplc="16B0C3BE">
      <w:start w:val="1"/>
      <w:numFmt w:val="bullet"/>
      <w:lvlText w:val="·"/>
      <w:lvlJc w:val="left"/>
      <w:pPr>
        <w:ind w:left="720" w:hanging="360"/>
      </w:pPr>
      <w:rPr>
        <w:rFonts w:ascii="Symbol" w:hAnsi="Symbol" w:hint="default"/>
      </w:rPr>
    </w:lvl>
    <w:lvl w:ilvl="1" w:tplc="E4FE9162">
      <w:start w:val="1"/>
      <w:numFmt w:val="bullet"/>
      <w:lvlText w:val="o"/>
      <w:lvlJc w:val="left"/>
      <w:pPr>
        <w:ind w:left="1440" w:hanging="360"/>
      </w:pPr>
      <w:rPr>
        <w:rFonts w:ascii="Courier New" w:hAnsi="Courier New" w:hint="default"/>
      </w:rPr>
    </w:lvl>
    <w:lvl w:ilvl="2" w:tplc="D00A8A84">
      <w:start w:val="1"/>
      <w:numFmt w:val="bullet"/>
      <w:lvlText w:val=""/>
      <w:lvlJc w:val="left"/>
      <w:pPr>
        <w:ind w:left="2160" w:hanging="360"/>
      </w:pPr>
      <w:rPr>
        <w:rFonts w:ascii="Wingdings" w:hAnsi="Wingdings" w:hint="default"/>
      </w:rPr>
    </w:lvl>
    <w:lvl w:ilvl="3" w:tplc="9524178E">
      <w:start w:val="1"/>
      <w:numFmt w:val="bullet"/>
      <w:lvlText w:val=""/>
      <w:lvlJc w:val="left"/>
      <w:pPr>
        <w:ind w:left="2880" w:hanging="360"/>
      </w:pPr>
      <w:rPr>
        <w:rFonts w:ascii="Symbol" w:hAnsi="Symbol" w:hint="default"/>
      </w:rPr>
    </w:lvl>
    <w:lvl w:ilvl="4" w:tplc="2A6C002C">
      <w:start w:val="1"/>
      <w:numFmt w:val="bullet"/>
      <w:lvlText w:val="o"/>
      <w:lvlJc w:val="left"/>
      <w:pPr>
        <w:ind w:left="3600" w:hanging="360"/>
      </w:pPr>
      <w:rPr>
        <w:rFonts w:ascii="Courier New" w:hAnsi="Courier New" w:hint="default"/>
      </w:rPr>
    </w:lvl>
    <w:lvl w:ilvl="5" w:tplc="CE30BF66">
      <w:start w:val="1"/>
      <w:numFmt w:val="bullet"/>
      <w:lvlText w:val=""/>
      <w:lvlJc w:val="left"/>
      <w:pPr>
        <w:ind w:left="4320" w:hanging="360"/>
      </w:pPr>
      <w:rPr>
        <w:rFonts w:ascii="Wingdings" w:hAnsi="Wingdings" w:hint="default"/>
      </w:rPr>
    </w:lvl>
    <w:lvl w:ilvl="6" w:tplc="1BF87BA2">
      <w:start w:val="1"/>
      <w:numFmt w:val="bullet"/>
      <w:lvlText w:val=""/>
      <w:lvlJc w:val="left"/>
      <w:pPr>
        <w:ind w:left="5040" w:hanging="360"/>
      </w:pPr>
      <w:rPr>
        <w:rFonts w:ascii="Symbol" w:hAnsi="Symbol" w:hint="default"/>
      </w:rPr>
    </w:lvl>
    <w:lvl w:ilvl="7" w:tplc="7AD0F300">
      <w:start w:val="1"/>
      <w:numFmt w:val="bullet"/>
      <w:lvlText w:val="o"/>
      <w:lvlJc w:val="left"/>
      <w:pPr>
        <w:ind w:left="5760" w:hanging="360"/>
      </w:pPr>
      <w:rPr>
        <w:rFonts w:ascii="Courier New" w:hAnsi="Courier New" w:hint="default"/>
      </w:rPr>
    </w:lvl>
    <w:lvl w:ilvl="8" w:tplc="DC52EE70">
      <w:start w:val="1"/>
      <w:numFmt w:val="bullet"/>
      <w:lvlText w:val=""/>
      <w:lvlJc w:val="left"/>
      <w:pPr>
        <w:ind w:left="6480" w:hanging="360"/>
      </w:pPr>
      <w:rPr>
        <w:rFonts w:ascii="Wingdings" w:hAnsi="Wingdings" w:hint="default"/>
      </w:rPr>
    </w:lvl>
  </w:abstractNum>
  <w:abstractNum w:abstractNumId="126" w15:restartNumberingAfterBreak="0">
    <w:nsid w:val="7343D71C"/>
    <w:multiLevelType w:val="hybridMultilevel"/>
    <w:tmpl w:val="FFFFFFFF"/>
    <w:lvl w:ilvl="0" w:tplc="174AB690">
      <w:start w:val="1"/>
      <w:numFmt w:val="bullet"/>
      <w:lvlText w:val=""/>
      <w:lvlJc w:val="left"/>
      <w:pPr>
        <w:ind w:left="720" w:hanging="360"/>
      </w:pPr>
      <w:rPr>
        <w:rFonts w:ascii="Symbol" w:hAnsi="Symbol" w:hint="default"/>
      </w:rPr>
    </w:lvl>
    <w:lvl w:ilvl="1" w:tplc="57220948">
      <w:start w:val="1"/>
      <w:numFmt w:val="bullet"/>
      <w:lvlText w:val="o"/>
      <w:lvlJc w:val="left"/>
      <w:pPr>
        <w:ind w:left="1440" w:hanging="360"/>
      </w:pPr>
      <w:rPr>
        <w:rFonts w:ascii="Courier New" w:hAnsi="Courier New" w:hint="default"/>
      </w:rPr>
    </w:lvl>
    <w:lvl w:ilvl="2" w:tplc="7C322D5C">
      <w:start w:val="1"/>
      <w:numFmt w:val="bullet"/>
      <w:lvlText w:val=""/>
      <w:lvlJc w:val="left"/>
      <w:pPr>
        <w:ind w:left="2160" w:hanging="360"/>
      </w:pPr>
      <w:rPr>
        <w:rFonts w:ascii="Wingdings" w:hAnsi="Wingdings" w:hint="default"/>
      </w:rPr>
    </w:lvl>
    <w:lvl w:ilvl="3" w:tplc="723256C8">
      <w:start w:val="1"/>
      <w:numFmt w:val="bullet"/>
      <w:lvlText w:val=""/>
      <w:lvlJc w:val="left"/>
      <w:pPr>
        <w:ind w:left="2880" w:hanging="360"/>
      </w:pPr>
      <w:rPr>
        <w:rFonts w:ascii="Symbol" w:hAnsi="Symbol" w:hint="default"/>
      </w:rPr>
    </w:lvl>
    <w:lvl w:ilvl="4" w:tplc="ADA419D4">
      <w:start w:val="1"/>
      <w:numFmt w:val="bullet"/>
      <w:lvlText w:val="o"/>
      <w:lvlJc w:val="left"/>
      <w:pPr>
        <w:ind w:left="3600" w:hanging="360"/>
      </w:pPr>
      <w:rPr>
        <w:rFonts w:ascii="Courier New" w:hAnsi="Courier New" w:hint="default"/>
      </w:rPr>
    </w:lvl>
    <w:lvl w:ilvl="5" w:tplc="301044A8">
      <w:start w:val="1"/>
      <w:numFmt w:val="bullet"/>
      <w:lvlText w:val=""/>
      <w:lvlJc w:val="left"/>
      <w:pPr>
        <w:ind w:left="4320" w:hanging="360"/>
      </w:pPr>
      <w:rPr>
        <w:rFonts w:ascii="Wingdings" w:hAnsi="Wingdings" w:hint="default"/>
      </w:rPr>
    </w:lvl>
    <w:lvl w:ilvl="6" w:tplc="334093BE">
      <w:start w:val="1"/>
      <w:numFmt w:val="bullet"/>
      <w:lvlText w:val=""/>
      <w:lvlJc w:val="left"/>
      <w:pPr>
        <w:ind w:left="5040" w:hanging="360"/>
      </w:pPr>
      <w:rPr>
        <w:rFonts w:ascii="Symbol" w:hAnsi="Symbol" w:hint="default"/>
      </w:rPr>
    </w:lvl>
    <w:lvl w:ilvl="7" w:tplc="4C2E10A2">
      <w:start w:val="1"/>
      <w:numFmt w:val="bullet"/>
      <w:lvlText w:val="o"/>
      <w:lvlJc w:val="left"/>
      <w:pPr>
        <w:ind w:left="5760" w:hanging="360"/>
      </w:pPr>
      <w:rPr>
        <w:rFonts w:ascii="Courier New" w:hAnsi="Courier New" w:hint="default"/>
      </w:rPr>
    </w:lvl>
    <w:lvl w:ilvl="8" w:tplc="7794F5FE">
      <w:start w:val="1"/>
      <w:numFmt w:val="bullet"/>
      <w:lvlText w:val=""/>
      <w:lvlJc w:val="left"/>
      <w:pPr>
        <w:ind w:left="6480" w:hanging="360"/>
      </w:pPr>
      <w:rPr>
        <w:rFonts w:ascii="Wingdings" w:hAnsi="Wingdings" w:hint="default"/>
      </w:rPr>
    </w:lvl>
  </w:abstractNum>
  <w:abstractNum w:abstractNumId="127" w15:restartNumberingAfterBreak="0">
    <w:nsid w:val="734C09E1"/>
    <w:multiLevelType w:val="hybridMultilevel"/>
    <w:tmpl w:val="FFFFFFFF"/>
    <w:lvl w:ilvl="0" w:tplc="55E465EA">
      <w:start w:val="1"/>
      <w:numFmt w:val="bullet"/>
      <w:lvlText w:val=""/>
      <w:lvlJc w:val="left"/>
      <w:pPr>
        <w:ind w:left="720" w:hanging="360"/>
      </w:pPr>
      <w:rPr>
        <w:rFonts w:ascii="Symbol" w:hAnsi="Symbol" w:hint="default"/>
      </w:rPr>
    </w:lvl>
    <w:lvl w:ilvl="1" w:tplc="202ED9A6">
      <w:start w:val="1"/>
      <w:numFmt w:val="bullet"/>
      <w:lvlText w:val="o"/>
      <w:lvlJc w:val="left"/>
      <w:pPr>
        <w:ind w:left="1440" w:hanging="360"/>
      </w:pPr>
      <w:rPr>
        <w:rFonts w:ascii="Courier New" w:hAnsi="Courier New" w:hint="default"/>
      </w:rPr>
    </w:lvl>
    <w:lvl w:ilvl="2" w:tplc="3B20A5BC">
      <w:start w:val="1"/>
      <w:numFmt w:val="bullet"/>
      <w:lvlText w:val=""/>
      <w:lvlJc w:val="left"/>
      <w:pPr>
        <w:ind w:left="2160" w:hanging="360"/>
      </w:pPr>
      <w:rPr>
        <w:rFonts w:ascii="Wingdings" w:hAnsi="Wingdings" w:hint="default"/>
      </w:rPr>
    </w:lvl>
    <w:lvl w:ilvl="3" w:tplc="95B6FC8E">
      <w:start w:val="1"/>
      <w:numFmt w:val="bullet"/>
      <w:lvlText w:val=""/>
      <w:lvlJc w:val="left"/>
      <w:pPr>
        <w:ind w:left="2880" w:hanging="360"/>
      </w:pPr>
      <w:rPr>
        <w:rFonts w:ascii="Symbol" w:hAnsi="Symbol" w:hint="default"/>
      </w:rPr>
    </w:lvl>
    <w:lvl w:ilvl="4" w:tplc="9738B746">
      <w:start w:val="1"/>
      <w:numFmt w:val="bullet"/>
      <w:lvlText w:val="o"/>
      <w:lvlJc w:val="left"/>
      <w:pPr>
        <w:ind w:left="3600" w:hanging="360"/>
      </w:pPr>
      <w:rPr>
        <w:rFonts w:ascii="Courier New" w:hAnsi="Courier New" w:hint="default"/>
      </w:rPr>
    </w:lvl>
    <w:lvl w:ilvl="5" w:tplc="981293E0">
      <w:start w:val="1"/>
      <w:numFmt w:val="bullet"/>
      <w:lvlText w:val=""/>
      <w:lvlJc w:val="left"/>
      <w:pPr>
        <w:ind w:left="4320" w:hanging="360"/>
      </w:pPr>
      <w:rPr>
        <w:rFonts w:ascii="Wingdings" w:hAnsi="Wingdings" w:hint="default"/>
      </w:rPr>
    </w:lvl>
    <w:lvl w:ilvl="6" w:tplc="623E7BDA">
      <w:start w:val="1"/>
      <w:numFmt w:val="bullet"/>
      <w:lvlText w:val=""/>
      <w:lvlJc w:val="left"/>
      <w:pPr>
        <w:ind w:left="5040" w:hanging="360"/>
      </w:pPr>
      <w:rPr>
        <w:rFonts w:ascii="Symbol" w:hAnsi="Symbol" w:hint="default"/>
      </w:rPr>
    </w:lvl>
    <w:lvl w:ilvl="7" w:tplc="D1F0708E">
      <w:start w:val="1"/>
      <w:numFmt w:val="bullet"/>
      <w:lvlText w:val="o"/>
      <w:lvlJc w:val="left"/>
      <w:pPr>
        <w:ind w:left="5760" w:hanging="360"/>
      </w:pPr>
      <w:rPr>
        <w:rFonts w:ascii="Courier New" w:hAnsi="Courier New" w:hint="default"/>
      </w:rPr>
    </w:lvl>
    <w:lvl w:ilvl="8" w:tplc="52DC4B5C">
      <w:start w:val="1"/>
      <w:numFmt w:val="bullet"/>
      <w:lvlText w:val=""/>
      <w:lvlJc w:val="left"/>
      <w:pPr>
        <w:ind w:left="6480" w:hanging="360"/>
      </w:pPr>
      <w:rPr>
        <w:rFonts w:ascii="Wingdings" w:hAnsi="Wingdings" w:hint="default"/>
      </w:rPr>
    </w:lvl>
  </w:abstractNum>
  <w:abstractNum w:abstractNumId="128" w15:restartNumberingAfterBreak="0">
    <w:nsid w:val="746C976B"/>
    <w:multiLevelType w:val="hybridMultilevel"/>
    <w:tmpl w:val="FFFFFFFF"/>
    <w:lvl w:ilvl="0" w:tplc="82C07CFC">
      <w:start w:val="1"/>
      <w:numFmt w:val="bullet"/>
      <w:lvlText w:val="·"/>
      <w:lvlJc w:val="left"/>
      <w:pPr>
        <w:ind w:left="1440" w:hanging="360"/>
      </w:pPr>
      <w:rPr>
        <w:rFonts w:ascii="Symbol" w:hAnsi="Symbol" w:hint="default"/>
      </w:rPr>
    </w:lvl>
    <w:lvl w:ilvl="1" w:tplc="349CC706">
      <w:start w:val="1"/>
      <w:numFmt w:val="bullet"/>
      <w:lvlText w:val="·"/>
      <w:lvlJc w:val="left"/>
      <w:pPr>
        <w:ind w:left="2160" w:hanging="360"/>
      </w:pPr>
      <w:rPr>
        <w:rFonts w:ascii="Symbol" w:hAnsi="Symbol" w:hint="default"/>
      </w:rPr>
    </w:lvl>
    <w:lvl w:ilvl="2" w:tplc="E8E65DD0">
      <w:start w:val="1"/>
      <w:numFmt w:val="bullet"/>
      <w:lvlText w:val=""/>
      <w:lvlJc w:val="left"/>
      <w:pPr>
        <w:ind w:left="2880" w:hanging="360"/>
      </w:pPr>
      <w:rPr>
        <w:rFonts w:ascii="Wingdings" w:hAnsi="Wingdings" w:hint="default"/>
      </w:rPr>
    </w:lvl>
    <w:lvl w:ilvl="3" w:tplc="669E11BC">
      <w:start w:val="1"/>
      <w:numFmt w:val="bullet"/>
      <w:lvlText w:val=""/>
      <w:lvlJc w:val="left"/>
      <w:pPr>
        <w:ind w:left="3600" w:hanging="360"/>
      </w:pPr>
      <w:rPr>
        <w:rFonts w:ascii="Symbol" w:hAnsi="Symbol" w:hint="default"/>
      </w:rPr>
    </w:lvl>
    <w:lvl w:ilvl="4" w:tplc="BD66616A">
      <w:start w:val="1"/>
      <w:numFmt w:val="bullet"/>
      <w:lvlText w:val="o"/>
      <w:lvlJc w:val="left"/>
      <w:pPr>
        <w:ind w:left="4320" w:hanging="360"/>
      </w:pPr>
      <w:rPr>
        <w:rFonts w:ascii="Courier New" w:hAnsi="Courier New" w:hint="default"/>
      </w:rPr>
    </w:lvl>
    <w:lvl w:ilvl="5" w:tplc="756422EA">
      <w:start w:val="1"/>
      <w:numFmt w:val="bullet"/>
      <w:lvlText w:val=""/>
      <w:lvlJc w:val="left"/>
      <w:pPr>
        <w:ind w:left="5040" w:hanging="360"/>
      </w:pPr>
      <w:rPr>
        <w:rFonts w:ascii="Wingdings" w:hAnsi="Wingdings" w:hint="default"/>
      </w:rPr>
    </w:lvl>
    <w:lvl w:ilvl="6" w:tplc="B4BE7A26">
      <w:start w:val="1"/>
      <w:numFmt w:val="bullet"/>
      <w:lvlText w:val=""/>
      <w:lvlJc w:val="left"/>
      <w:pPr>
        <w:ind w:left="5760" w:hanging="360"/>
      </w:pPr>
      <w:rPr>
        <w:rFonts w:ascii="Symbol" w:hAnsi="Symbol" w:hint="default"/>
      </w:rPr>
    </w:lvl>
    <w:lvl w:ilvl="7" w:tplc="8FC0308E">
      <w:start w:val="1"/>
      <w:numFmt w:val="bullet"/>
      <w:lvlText w:val="o"/>
      <w:lvlJc w:val="left"/>
      <w:pPr>
        <w:ind w:left="6480" w:hanging="360"/>
      </w:pPr>
      <w:rPr>
        <w:rFonts w:ascii="Courier New" w:hAnsi="Courier New" w:hint="default"/>
      </w:rPr>
    </w:lvl>
    <w:lvl w:ilvl="8" w:tplc="3298792E">
      <w:start w:val="1"/>
      <w:numFmt w:val="bullet"/>
      <w:lvlText w:val=""/>
      <w:lvlJc w:val="left"/>
      <w:pPr>
        <w:ind w:left="7200" w:hanging="360"/>
      </w:pPr>
      <w:rPr>
        <w:rFonts w:ascii="Wingdings" w:hAnsi="Wingdings" w:hint="default"/>
      </w:rPr>
    </w:lvl>
  </w:abstractNum>
  <w:abstractNum w:abstractNumId="129" w15:restartNumberingAfterBreak="0">
    <w:nsid w:val="7733B3F4"/>
    <w:multiLevelType w:val="hybridMultilevel"/>
    <w:tmpl w:val="FFFFFFFF"/>
    <w:lvl w:ilvl="0" w:tplc="F6969408">
      <w:start w:val="1"/>
      <w:numFmt w:val="bullet"/>
      <w:lvlText w:val=""/>
      <w:lvlJc w:val="left"/>
      <w:pPr>
        <w:ind w:left="720" w:hanging="360"/>
      </w:pPr>
      <w:rPr>
        <w:rFonts w:ascii="Symbol" w:hAnsi="Symbol" w:hint="default"/>
      </w:rPr>
    </w:lvl>
    <w:lvl w:ilvl="1" w:tplc="984AFDC4">
      <w:start w:val="1"/>
      <w:numFmt w:val="bullet"/>
      <w:lvlText w:val="§"/>
      <w:lvlJc w:val="left"/>
      <w:pPr>
        <w:ind w:left="1440" w:hanging="360"/>
      </w:pPr>
      <w:rPr>
        <w:rFonts w:ascii="Wingdings" w:hAnsi="Wingdings" w:hint="default"/>
      </w:rPr>
    </w:lvl>
    <w:lvl w:ilvl="2" w:tplc="CD2C99A2">
      <w:start w:val="1"/>
      <w:numFmt w:val="bullet"/>
      <w:lvlText w:val=""/>
      <w:lvlJc w:val="left"/>
      <w:pPr>
        <w:ind w:left="2160" w:hanging="360"/>
      </w:pPr>
      <w:rPr>
        <w:rFonts w:ascii="Wingdings" w:hAnsi="Wingdings" w:hint="default"/>
      </w:rPr>
    </w:lvl>
    <w:lvl w:ilvl="3" w:tplc="6512C9B4">
      <w:start w:val="1"/>
      <w:numFmt w:val="bullet"/>
      <w:lvlText w:val=""/>
      <w:lvlJc w:val="left"/>
      <w:pPr>
        <w:ind w:left="2880" w:hanging="360"/>
      </w:pPr>
      <w:rPr>
        <w:rFonts w:ascii="Symbol" w:hAnsi="Symbol" w:hint="default"/>
      </w:rPr>
    </w:lvl>
    <w:lvl w:ilvl="4" w:tplc="847624F8">
      <w:start w:val="1"/>
      <w:numFmt w:val="bullet"/>
      <w:lvlText w:val="o"/>
      <w:lvlJc w:val="left"/>
      <w:pPr>
        <w:ind w:left="3600" w:hanging="360"/>
      </w:pPr>
      <w:rPr>
        <w:rFonts w:ascii="Courier New" w:hAnsi="Courier New" w:hint="default"/>
      </w:rPr>
    </w:lvl>
    <w:lvl w:ilvl="5" w:tplc="ACF830D4">
      <w:start w:val="1"/>
      <w:numFmt w:val="bullet"/>
      <w:lvlText w:val=""/>
      <w:lvlJc w:val="left"/>
      <w:pPr>
        <w:ind w:left="4320" w:hanging="360"/>
      </w:pPr>
      <w:rPr>
        <w:rFonts w:ascii="Wingdings" w:hAnsi="Wingdings" w:hint="default"/>
      </w:rPr>
    </w:lvl>
    <w:lvl w:ilvl="6" w:tplc="A6A48FDA">
      <w:start w:val="1"/>
      <w:numFmt w:val="bullet"/>
      <w:lvlText w:val=""/>
      <w:lvlJc w:val="left"/>
      <w:pPr>
        <w:ind w:left="5040" w:hanging="360"/>
      </w:pPr>
      <w:rPr>
        <w:rFonts w:ascii="Symbol" w:hAnsi="Symbol" w:hint="default"/>
      </w:rPr>
    </w:lvl>
    <w:lvl w:ilvl="7" w:tplc="2E86531C">
      <w:start w:val="1"/>
      <w:numFmt w:val="bullet"/>
      <w:lvlText w:val="o"/>
      <w:lvlJc w:val="left"/>
      <w:pPr>
        <w:ind w:left="5760" w:hanging="360"/>
      </w:pPr>
      <w:rPr>
        <w:rFonts w:ascii="Courier New" w:hAnsi="Courier New" w:hint="default"/>
      </w:rPr>
    </w:lvl>
    <w:lvl w:ilvl="8" w:tplc="BE847800">
      <w:start w:val="1"/>
      <w:numFmt w:val="bullet"/>
      <w:lvlText w:val=""/>
      <w:lvlJc w:val="left"/>
      <w:pPr>
        <w:ind w:left="6480" w:hanging="360"/>
      </w:pPr>
      <w:rPr>
        <w:rFonts w:ascii="Wingdings" w:hAnsi="Wingdings" w:hint="default"/>
      </w:rPr>
    </w:lvl>
  </w:abstractNum>
  <w:abstractNum w:abstractNumId="130" w15:restartNumberingAfterBreak="0">
    <w:nsid w:val="794D5B45"/>
    <w:multiLevelType w:val="hybridMultilevel"/>
    <w:tmpl w:val="A8C0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96A2801"/>
    <w:multiLevelType w:val="hybridMultilevel"/>
    <w:tmpl w:val="FFFFFFFF"/>
    <w:lvl w:ilvl="0" w:tplc="7B422BBA">
      <w:start w:val="1"/>
      <w:numFmt w:val="bullet"/>
      <w:lvlText w:val=""/>
      <w:lvlJc w:val="left"/>
      <w:pPr>
        <w:ind w:left="720" w:hanging="360"/>
      </w:pPr>
      <w:rPr>
        <w:rFonts w:ascii="Symbol" w:hAnsi="Symbol" w:hint="default"/>
      </w:rPr>
    </w:lvl>
    <w:lvl w:ilvl="1" w:tplc="D174EAB0">
      <w:start w:val="1"/>
      <w:numFmt w:val="bullet"/>
      <w:lvlText w:val="o"/>
      <w:lvlJc w:val="left"/>
      <w:pPr>
        <w:ind w:left="1440" w:hanging="360"/>
      </w:pPr>
      <w:rPr>
        <w:rFonts w:ascii="Courier New" w:hAnsi="Courier New" w:hint="default"/>
      </w:rPr>
    </w:lvl>
    <w:lvl w:ilvl="2" w:tplc="28F47938">
      <w:start w:val="1"/>
      <w:numFmt w:val="bullet"/>
      <w:lvlText w:val=""/>
      <w:lvlJc w:val="left"/>
      <w:pPr>
        <w:ind w:left="2160" w:hanging="360"/>
      </w:pPr>
      <w:rPr>
        <w:rFonts w:ascii="Wingdings" w:hAnsi="Wingdings" w:hint="default"/>
      </w:rPr>
    </w:lvl>
    <w:lvl w:ilvl="3" w:tplc="DF9E5F26">
      <w:start w:val="1"/>
      <w:numFmt w:val="bullet"/>
      <w:lvlText w:val=""/>
      <w:lvlJc w:val="left"/>
      <w:pPr>
        <w:ind w:left="2880" w:hanging="360"/>
      </w:pPr>
      <w:rPr>
        <w:rFonts w:ascii="Symbol" w:hAnsi="Symbol" w:hint="default"/>
      </w:rPr>
    </w:lvl>
    <w:lvl w:ilvl="4" w:tplc="D338B248">
      <w:start w:val="1"/>
      <w:numFmt w:val="bullet"/>
      <w:lvlText w:val="o"/>
      <w:lvlJc w:val="left"/>
      <w:pPr>
        <w:ind w:left="3600" w:hanging="360"/>
      </w:pPr>
      <w:rPr>
        <w:rFonts w:ascii="Courier New" w:hAnsi="Courier New" w:hint="default"/>
      </w:rPr>
    </w:lvl>
    <w:lvl w:ilvl="5" w:tplc="EA50A7F6">
      <w:start w:val="1"/>
      <w:numFmt w:val="bullet"/>
      <w:lvlText w:val=""/>
      <w:lvlJc w:val="left"/>
      <w:pPr>
        <w:ind w:left="4320" w:hanging="360"/>
      </w:pPr>
      <w:rPr>
        <w:rFonts w:ascii="Wingdings" w:hAnsi="Wingdings" w:hint="default"/>
      </w:rPr>
    </w:lvl>
    <w:lvl w:ilvl="6" w:tplc="38D0F02A">
      <w:start w:val="1"/>
      <w:numFmt w:val="bullet"/>
      <w:lvlText w:val=""/>
      <w:lvlJc w:val="left"/>
      <w:pPr>
        <w:ind w:left="5040" w:hanging="360"/>
      </w:pPr>
      <w:rPr>
        <w:rFonts w:ascii="Symbol" w:hAnsi="Symbol" w:hint="default"/>
      </w:rPr>
    </w:lvl>
    <w:lvl w:ilvl="7" w:tplc="01EC2156">
      <w:start w:val="1"/>
      <w:numFmt w:val="bullet"/>
      <w:lvlText w:val="o"/>
      <w:lvlJc w:val="left"/>
      <w:pPr>
        <w:ind w:left="5760" w:hanging="360"/>
      </w:pPr>
      <w:rPr>
        <w:rFonts w:ascii="Courier New" w:hAnsi="Courier New" w:hint="default"/>
      </w:rPr>
    </w:lvl>
    <w:lvl w:ilvl="8" w:tplc="412EEB3A">
      <w:start w:val="1"/>
      <w:numFmt w:val="bullet"/>
      <w:lvlText w:val=""/>
      <w:lvlJc w:val="left"/>
      <w:pPr>
        <w:ind w:left="6480" w:hanging="360"/>
      </w:pPr>
      <w:rPr>
        <w:rFonts w:ascii="Wingdings" w:hAnsi="Wingdings" w:hint="default"/>
      </w:rPr>
    </w:lvl>
  </w:abstractNum>
  <w:abstractNum w:abstractNumId="132" w15:restartNumberingAfterBreak="0">
    <w:nsid w:val="7A03E87D"/>
    <w:multiLevelType w:val="hybridMultilevel"/>
    <w:tmpl w:val="FFFFFFFF"/>
    <w:lvl w:ilvl="0" w:tplc="18CA6DCA">
      <w:start w:val="1"/>
      <w:numFmt w:val="bullet"/>
      <w:lvlText w:val="v"/>
      <w:lvlJc w:val="left"/>
      <w:pPr>
        <w:ind w:left="720" w:hanging="360"/>
      </w:pPr>
      <w:rPr>
        <w:rFonts w:ascii="Wingdings" w:hAnsi="Wingdings" w:hint="default"/>
      </w:rPr>
    </w:lvl>
    <w:lvl w:ilvl="1" w:tplc="66F2CD6C">
      <w:start w:val="1"/>
      <w:numFmt w:val="bullet"/>
      <w:lvlText w:val="o"/>
      <w:lvlJc w:val="left"/>
      <w:pPr>
        <w:ind w:left="1440" w:hanging="360"/>
      </w:pPr>
      <w:rPr>
        <w:rFonts w:ascii="Courier New" w:hAnsi="Courier New" w:hint="default"/>
      </w:rPr>
    </w:lvl>
    <w:lvl w:ilvl="2" w:tplc="2E921EE2">
      <w:start w:val="1"/>
      <w:numFmt w:val="bullet"/>
      <w:lvlText w:val=""/>
      <w:lvlJc w:val="left"/>
      <w:pPr>
        <w:ind w:left="2160" w:hanging="360"/>
      </w:pPr>
      <w:rPr>
        <w:rFonts w:ascii="Wingdings" w:hAnsi="Wingdings" w:hint="default"/>
      </w:rPr>
    </w:lvl>
    <w:lvl w:ilvl="3" w:tplc="1AF8FB5E">
      <w:start w:val="1"/>
      <w:numFmt w:val="bullet"/>
      <w:lvlText w:val=""/>
      <w:lvlJc w:val="left"/>
      <w:pPr>
        <w:ind w:left="2880" w:hanging="360"/>
      </w:pPr>
      <w:rPr>
        <w:rFonts w:ascii="Symbol" w:hAnsi="Symbol" w:hint="default"/>
      </w:rPr>
    </w:lvl>
    <w:lvl w:ilvl="4" w:tplc="DA2AFEB6">
      <w:start w:val="1"/>
      <w:numFmt w:val="bullet"/>
      <w:lvlText w:val="o"/>
      <w:lvlJc w:val="left"/>
      <w:pPr>
        <w:ind w:left="3600" w:hanging="360"/>
      </w:pPr>
      <w:rPr>
        <w:rFonts w:ascii="Courier New" w:hAnsi="Courier New" w:hint="default"/>
      </w:rPr>
    </w:lvl>
    <w:lvl w:ilvl="5" w:tplc="55FC2C4A">
      <w:start w:val="1"/>
      <w:numFmt w:val="bullet"/>
      <w:lvlText w:val=""/>
      <w:lvlJc w:val="left"/>
      <w:pPr>
        <w:ind w:left="4320" w:hanging="360"/>
      </w:pPr>
      <w:rPr>
        <w:rFonts w:ascii="Wingdings" w:hAnsi="Wingdings" w:hint="default"/>
      </w:rPr>
    </w:lvl>
    <w:lvl w:ilvl="6" w:tplc="867225F2">
      <w:start w:val="1"/>
      <w:numFmt w:val="bullet"/>
      <w:lvlText w:val=""/>
      <w:lvlJc w:val="left"/>
      <w:pPr>
        <w:ind w:left="5040" w:hanging="360"/>
      </w:pPr>
      <w:rPr>
        <w:rFonts w:ascii="Symbol" w:hAnsi="Symbol" w:hint="default"/>
      </w:rPr>
    </w:lvl>
    <w:lvl w:ilvl="7" w:tplc="2AF07DD4">
      <w:start w:val="1"/>
      <w:numFmt w:val="bullet"/>
      <w:lvlText w:val="o"/>
      <w:lvlJc w:val="left"/>
      <w:pPr>
        <w:ind w:left="5760" w:hanging="360"/>
      </w:pPr>
      <w:rPr>
        <w:rFonts w:ascii="Courier New" w:hAnsi="Courier New" w:hint="default"/>
      </w:rPr>
    </w:lvl>
    <w:lvl w:ilvl="8" w:tplc="8F9E2796">
      <w:start w:val="1"/>
      <w:numFmt w:val="bullet"/>
      <w:lvlText w:val=""/>
      <w:lvlJc w:val="left"/>
      <w:pPr>
        <w:ind w:left="6480" w:hanging="360"/>
      </w:pPr>
      <w:rPr>
        <w:rFonts w:ascii="Wingdings" w:hAnsi="Wingdings" w:hint="default"/>
      </w:rPr>
    </w:lvl>
  </w:abstractNum>
  <w:abstractNum w:abstractNumId="133" w15:restartNumberingAfterBreak="0">
    <w:nsid w:val="7AE57EFB"/>
    <w:multiLevelType w:val="hybridMultilevel"/>
    <w:tmpl w:val="2556E108"/>
    <w:lvl w:ilvl="0" w:tplc="5CC09CF6">
      <w:start w:val="1"/>
      <w:numFmt w:val="upp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B984F33"/>
    <w:multiLevelType w:val="hybridMultilevel"/>
    <w:tmpl w:val="6C5E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BEB41BF"/>
    <w:multiLevelType w:val="hybridMultilevel"/>
    <w:tmpl w:val="5858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CD60105"/>
    <w:multiLevelType w:val="hybridMultilevel"/>
    <w:tmpl w:val="FFFFFFFF"/>
    <w:lvl w:ilvl="0" w:tplc="B5C02714">
      <w:start w:val="1"/>
      <w:numFmt w:val="decimal"/>
      <w:lvlText w:val="%1)"/>
      <w:lvlJc w:val="left"/>
      <w:pPr>
        <w:ind w:left="720" w:hanging="360"/>
      </w:pPr>
    </w:lvl>
    <w:lvl w:ilvl="1" w:tplc="7B76D278">
      <w:start w:val="1"/>
      <w:numFmt w:val="lowerLetter"/>
      <w:lvlText w:val="%2."/>
      <w:lvlJc w:val="left"/>
      <w:pPr>
        <w:ind w:left="1440" w:hanging="360"/>
      </w:pPr>
    </w:lvl>
    <w:lvl w:ilvl="2" w:tplc="F4E8F868">
      <w:start w:val="1"/>
      <w:numFmt w:val="lowerRoman"/>
      <w:lvlText w:val="%3."/>
      <w:lvlJc w:val="right"/>
      <w:pPr>
        <w:ind w:left="2160" w:hanging="180"/>
      </w:pPr>
    </w:lvl>
    <w:lvl w:ilvl="3" w:tplc="621A0C36">
      <w:start w:val="1"/>
      <w:numFmt w:val="decimal"/>
      <w:lvlText w:val="%4."/>
      <w:lvlJc w:val="left"/>
      <w:pPr>
        <w:ind w:left="2880" w:hanging="360"/>
      </w:pPr>
    </w:lvl>
    <w:lvl w:ilvl="4" w:tplc="F5240B6C">
      <w:start w:val="1"/>
      <w:numFmt w:val="lowerLetter"/>
      <w:lvlText w:val="%5."/>
      <w:lvlJc w:val="left"/>
      <w:pPr>
        <w:ind w:left="3600" w:hanging="360"/>
      </w:pPr>
    </w:lvl>
    <w:lvl w:ilvl="5" w:tplc="AF40BEC0">
      <w:start w:val="1"/>
      <w:numFmt w:val="lowerRoman"/>
      <w:lvlText w:val="%6."/>
      <w:lvlJc w:val="right"/>
      <w:pPr>
        <w:ind w:left="4320" w:hanging="180"/>
      </w:pPr>
    </w:lvl>
    <w:lvl w:ilvl="6" w:tplc="5B9E53B4">
      <w:start w:val="1"/>
      <w:numFmt w:val="decimal"/>
      <w:lvlText w:val="%7."/>
      <w:lvlJc w:val="left"/>
      <w:pPr>
        <w:ind w:left="5040" w:hanging="360"/>
      </w:pPr>
    </w:lvl>
    <w:lvl w:ilvl="7" w:tplc="8F42638A">
      <w:start w:val="1"/>
      <w:numFmt w:val="lowerLetter"/>
      <w:lvlText w:val="%8."/>
      <w:lvlJc w:val="left"/>
      <w:pPr>
        <w:ind w:left="5760" w:hanging="360"/>
      </w:pPr>
    </w:lvl>
    <w:lvl w:ilvl="8" w:tplc="41B66D04">
      <w:start w:val="1"/>
      <w:numFmt w:val="lowerRoman"/>
      <w:lvlText w:val="%9."/>
      <w:lvlJc w:val="right"/>
      <w:pPr>
        <w:ind w:left="6480" w:hanging="180"/>
      </w:pPr>
    </w:lvl>
  </w:abstractNum>
  <w:abstractNum w:abstractNumId="137" w15:restartNumberingAfterBreak="0">
    <w:nsid w:val="7E97A52D"/>
    <w:multiLevelType w:val="hybridMultilevel"/>
    <w:tmpl w:val="0594526E"/>
    <w:lvl w:ilvl="0" w:tplc="D39CAF16">
      <w:start w:val="1"/>
      <w:numFmt w:val="lowerLetter"/>
      <w:lvlText w:val="%1."/>
      <w:lvlJc w:val="left"/>
      <w:pPr>
        <w:ind w:left="1800" w:hanging="360"/>
      </w:pPr>
      <w:rPr>
        <w:rFonts w:ascii="Century Gothic" w:eastAsia="Times New Roman" w:hAnsi="Century Gothic" w:cs="Times New Roman"/>
      </w:rPr>
    </w:lvl>
    <w:lvl w:ilvl="1" w:tplc="E0AE1680">
      <w:start w:val="1"/>
      <w:numFmt w:val="lowerLetter"/>
      <w:lvlText w:val="%2."/>
      <w:lvlJc w:val="left"/>
      <w:pPr>
        <w:ind w:left="2520" w:hanging="360"/>
      </w:pPr>
    </w:lvl>
    <w:lvl w:ilvl="2" w:tplc="844E37F6">
      <w:start w:val="1"/>
      <w:numFmt w:val="lowerRoman"/>
      <w:lvlText w:val="%3."/>
      <w:lvlJc w:val="right"/>
      <w:pPr>
        <w:ind w:left="3240" w:hanging="180"/>
      </w:pPr>
    </w:lvl>
    <w:lvl w:ilvl="3" w:tplc="39D4CCB0">
      <w:start w:val="1"/>
      <w:numFmt w:val="decimal"/>
      <w:lvlText w:val="%4."/>
      <w:lvlJc w:val="left"/>
      <w:pPr>
        <w:ind w:left="3960" w:hanging="360"/>
      </w:pPr>
    </w:lvl>
    <w:lvl w:ilvl="4" w:tplc="20FA7560">
      <w:start w:val="1"/>
      <w:numFmt w:val="lowerLetter"/>
      <w:lvlText w:val="%5."/>
      <w:lvlJc w:val="left"/>
      <w:pPr>
        <w:ind w:left="4680" w:hanging="360"/>
      </w:pPr>
    </w:lvl>
    <w:lvl w:ilvl="5" w:tplc="6C02F3A8">
      <w:start w:val="1"/>
      <w:numFmt w:val="lowerRoman"/>
      <w:lvlText w:val="%6."/>
      <w:lvlJc w:val="right"/>
      <w:pPr>
        <w:ind w:left="5400" w:hanging="180"/>
      </w:pPr>
    </w:lvl>
    <w:lvl w:ilvl="6" w:tplc="2E5CCF10">
      <w:start w:val="1"/>
      <w:numFmt w:val="decimal"/>
      <w:lvlText w:val="%7."/>
      <w:lvlJc w:val="left"/>
      <w:pPr>
        <w:ind w:left="6120" w:hanging="360"/>
      </w:pPr>
    </w:lvl>
    <w:lvl w:ilvl="7" w:tplc="4730891C">
      <w:start w:val="1"/>
      <w:numFmt w:val="lowerLetter"/>
      <w:lvlText w:val="%8."/>
      <w:lvlJc w:val="left"/>
      <w:pPr>
        <w:ind w:left="6840" w:hanging="360"/>
      </w:pPr>
    </w:lvl>
    <w:lvl w:ilvl="8" w:tplc="8114703A">
      <w:start w:val="1"/>
      <w:numFmt w:val="lowerRoman"/>
      <w:lvlText w:val="%9."/>
      <w:lvlJc w:val="right"/>
      <w:pPr>
        <w:ind w:left="7560" w:hanging="180"/>
      </w:pPr>
    </w:lvl>
  </w:abstractNum>
  <w:abstractNum w:abstractNumId="138" w15:restartNumberingAfterBreak="0">
    <w:nsid w:val="7ECF129F"/>
    <w:multiLevelType w:val="hybridMultilevel"/>
    <w:tmpl w:val="BB2864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9" w15:restartNumberingAfterBreak="0">
    <w:nsid w:val="7EE74877"/>
    <w:multiLevelType w:val="hybridMultilevel"/>
    <w:tmpl w:val="74A67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0408651">
    <w:abstractNumId w:val="42"/>
  </w:num>
  <w:num w:numId="2" w16cid:durableId="1663580934">
    <w:abstractNumId w:val="27"/>
  </w:num>
  <w:num w:numId="3" w16cid:durableId="1334796365">
    <w:abstractNumId w:val="91"/>
  </w:num>
  <w:num w:numId="4" w16cid:durableId="27219053">
    <w:abstractNumId w:val="58"/>
  </w:num>
  <w:num w:numId="5" w16cid:durableId="789666641">
    <w:abstractNumId w:val="102"/>
  </w:num>
  <w:num w:numId="6" w16cid:durableId="1387725291">
    <w:abstractNumId w:val="64"/>
  </w:num>
  <w:num w:numId="7" w16cid:durableId="1142887615">
    <w:abstractNumId w:val="23"/>
  </w:num>
  <w:num w:numId="8" w16cid:durableId="756514553">
    <w:abstractNumId w:val="34"/>
  </w:num>
  <w:num w:numId="9" w16cid:durableId="466357946">
    <w:abstractNumId w:val="71"/>
  </w:num>
  <w:num w:numId="10" w16cid:durableId="982388737">
    <w:abstractNumId w:val="70"/>
  </w:num>
  <w:num w:numId="11" w16cid:durableId="1421171944">
    <w:abstractNumId w:val="48"/>
  </w:num>
  <w:num w:numId="12" w16cid:durableId="1031303931">
    <w:abstractNumId w:val="77"/>
  </w:num>
  <w:num w:numId="13" w16cid:durableId="648444577">
    <w:abstractNumId w:val="17"/>
  </w:num>
  <w:num w:numId="14" w16cid:durableId="1969626612">
    <w:abstractNumId w:val="24"/>
  </w:num>
  <w:num w:numId="15" w16cid:durableId="822426153">
    <w:abstractNumId w:val="20"/>
  </w:num>
  <w:num w:numId="16" w16cid:durableId="968630260">
    <w:abstractNumId w:val="32"/>
  </w:num>
  <w:num w:numId="17" w16cid:durableId="2038696301">
    <w:abstractNumId w:val="46"/>
  </w:num>
  <w:num w:numId="18" w16cid:durableId="948076443">
    <w:abstractNumId w:val="103"/>
  </w:num>
  <w:num w:numId="19" w16cid:durableId="1318533299">
    <w:abstractNumId w:val="67"/>
  </w:num>
  <w:num w:numId="20" w16cid:durableId="625820503">
    <w:abstractNumId w:val="35"/>
  </w:num>
  <w:num w:numId="21" w16cid:durableId="1458641227">
    <w:abstractNumId w:val="128"/>
  </w:num>
  <w:num w:numId="22" w16cid:durableId="1827358190">
    <w:abstractNumId w:val="111"/>
  </w:num>
  <w:num w:numId="23" w16cid:durableId="887497237">
    <w:abstractNumId w:val="28"/>
  </w:num>
  <w:num w:numId="24" w16cid:durableId="1898666535">
    <w:abstractNumId w:val="50"/>
  </w:num>
  <w:num w:numId="25" w16cid:durableId="918710875">
    <w:abstractNumId w:val="25"/>
  </w:num>
  <w:num w:numId="26" w16cid:durableId="1077282334">
    <w:abstractNumId w:val="125"/>
  </w:num>
  <w:num w:numId="27" w16cid:durableId="1396591538">
    <w:abstractNumId w:val="61"/>
  </w:num>
  <w:num w:numId="28" w16cid:durableId="1292444021">
    <w:abstractNumId w:val="22"/>
  </w:num>
  <w:num w:numId="29" w16cid:durableId="1666320047">
    <w:abstractNumId w:val="33"/>
  </w:num>
  <w:num w:numId="30" w16cid:durableId="348065205">
    <w:abstractNumId w:val="137"/>
  </w:num>
  <w:num w:numId="31" w16cid:durableId="1608078459">
    <w:abstractNumId w:val="60"/>
  </w:num>
  <w:num w:numId="32" w16cid:durableId="1281063609">
    <w:abstractNumId w:val="108"/>
  </w:num>
  <w:num w:numId="33" w16cid:durableId="513107992">
    <w:abstractNumId w:val="129"/>
  </w:num>
  <w:num w:numId="34" w16cid:durableId="305554454">
    <w:abstractNumId w:val="47"/>
  </w:num>
  <w:num w:numId="35" w16cid:durableId="970793714">
    <w:abstractNumId w:val="113"/>
  </w:num>
  <w:num w:numId="36" w16cid:durableId="1835561937">
    <w:abstractNumId w:val="81"/>
  </w:num>
  <w:num w:numId="37" w16cid:durableId="1621064551">
    <w:abstractNumId w:val="131"/>
  </w:num>
  <w:num w:numId="38" w16cid:durableId="1603606900">
    <w:abstractNumId w:val="86"/>
  </w:num>
  <w:num w:numId="39" w16cid:durableId="436101539">
    <w:abstractNumId w:val="126"/>
  </w:num>
  <w:num w:numId="40" w16cid:durableId="1016272240">
    <w:abstractNumId w:val="107"/>
  </w:num>
  <w:num w:numId="41" w16cid:durableId="1180395157">
    <w:abstractNumId w:val="51"/>
  </w:num>
  <w:num w:numId="42" w16cid:durableId="1628513775">
    <w:abstractNumId w:val="18"/>
  </w:num>
  <w:num w:numId="43" w16cid:durableId="1237128126">
    <w:abstractNumId w:val="73"/>
  </w:num>
  <w:num w:numId="44" w16cid:durableId="356303">
    <w:abstractNumId w:val="97"/>
  </w:num>
  <w:num w:numId="45" w16cid:durableId="1113018775">
    <w:abstractNumId w:val="53"/>
  </w:num>
  <w:num w:numId="46" w16cid:durableId="1882789857">
    <w:abstractNumId w:val="1"/>
  </w:num>
  <w:num w:numId="47" w16cid:durableId="962619198">
    <w:abstractNumId w:val="2"/>
  </w:num>
  <w:num w:numId="48" w16cid:durableId="1497451253">
    <w:abstractNumId w:val="3"/>
  </w:num>
  <w:num w:numId="49" w16cid:durableId="1496921549">
    <w:abstractNumId w:val="4"/>
  </w:num>
  <w:num w:numId="50" w16cid:durableId="245195202">
    <w:abstractNumId w:val="5"/>
  </w:num>
  <w:num w:numId="51" w16cid:durableId="1944797993">
    <w:abstractNumId w:val="6"/>
  </w:num>
  <w:num w:numId="52" w16cid:durableId="1279143585">
    <w:abstractNumId w:val="7"/>
  </w:num>
  <w:num w:numId="53" w16cid:durableId="1118332928">
    <w:abstractNumId w:val="8"/>
  </w:num>
  <w:num w:numId="54" w16cid:durableId="1423063756">
    <w:abstractNumId w:val="9"/>
  </w:num>
  <w:num w:numId="55" w16cid:durableId="1461996189">
    <w:abstractNumId w:val="10"/>
  </w:num>
  <w:num w:numId="56" w16cid:durableId="874200073">
    <w:abstractNumId w:val="12"/>
  </w:num>
  <w:num w:numId="57" w16cid:durableId="2060476243">
    <w:abstractNumId w:val="13"/>
  </w:num>
  <w:num w:numId="58" w16cid:durableId="1597203970">
    <w:abstractNumId w:val="14"/>
  </w:num>
  <w:num w:numId="59" w16cid:durableId="1889148236">
    <w:abstractNumId w:val="11"/>
  </w:num>
  <w:num w:numId="60" w16cid:durableId="2110351355">
    <w:abstractNumId w:val="0"/>
  </w:num>
  <w:num w:numId="61" w16cid:durableId="302277472">
    <w:abstractNumId w:val="38"/>
  </w:num>
  <w:num w:numId="62" w16cid:durableId="1044601405">
    <w:abstractNumId w:val="52"/>
  </w:num>
  <w:num w:numId="63" w16cid:durableId="1354847230">
    <w:abstractNumId w:val="115"/>
  </w:num>
  <w:num w:numId="64" w16cid:durableId="176576362">
    <w:abstractNumId w:val="93"/>
  </w:num>
  <w:num w:numId="65" w16cid:durableId="1340110923">
    <w:abstractNumId w:val="99"/>
  </w:num>
  <w:num w:numId="66" w16cid:durableId="1411805295">
    <w:abstractNumId w:val="92"/>
  </w:num>
  <w:num w:numId="67" w16cid:durableId="243801014">
    <w:abstractNumId w:val="37"/>
  </w:num>
  <w:num w:numId="68" w16cid:durableId="147988738">
    <w:abstractNumId w:val="57"/>
  </w:num>
  <w:num w:numId="69" w16cid:durableId="736822514">
    <w:abstractNumId w:val="68"/>
  </w:num>
  <w:num w:numId="70" w16cid:durableId="1630283864">
    <w:abstractNumId w:val="90"/>
  </w:num>
  <w:num w:numId="71" w16cid:durableId="1506819580">
    <w:abstractNumId w:val="116"/>
  </w:num>
  <w:num w:numId="72" w16cid:durableId="2139370677">
    <w:abstractNumId w:val="69"/>
  </w:num>
  <w:num w:numId="73" w16cid:durableId="621231786">
    <w:abstractNumId w:val="49"/>
  </w:num>
  <w:num w:numId="74" w16cid:durableId="339700577">
    <w:abstractNumId w:val="88"/>
  </w:num>
  <w:num w:numId="75" w16cid:durableId="374895805">
    <w:abstractNumId w:val="31"/>
  </w:num>
  <w:num w:numId="76" w16cid:durableId="1937668338">
    <w:abstractNumId w:val="124"/>
  </w:num>
  <w:num w:numId="77" w16cid:durableId="1658530498">
    <w:abstractNumId w:val="110"/>
  </w:num>
  <w:num w:numId="78" w16cid:durableId="1226842488">
    <w:abstractNumId w:val="127"/>
  </w:num>
  <w:num w:numId="79" w16cid:durableId="936838065">
    <w:abstractNumId w:val="136"/>
  </w:num>
  <w:num w:numId="80" w16cid:durableId="2111468942">
    <w:abstractNumId w:val="75"/>
  </w:num>
  <w:num w:numId="81" w16cid:durableId="1384789105">
    <w:abstractNumId w:val="94"/>
  </w:num>
  <w:num w:numId="82" w16cid:durableId="198326729">
    <w:abstractNumId w:val="119"/>
  </w:num>
  <w:num w:numId="83" w16cid:durableId="296301671">
    <w:abstractNumId w:val="122"/>
  </w:num>
  <w:num w:numId="84" w16cid:durableId="1550726326">
    <w:abstractNumId w:val="62"/>
  </w:num>
  <w:num w:numId="85" w16cid:durableId="370150797">
    <w:abstractNumId w:val="63"/>
  </w:num>
  <w:num w:numId="86" w16cid:durableId="182324962">
    <w:abstractNumId w:val="112"/>
  </w:num>
  <w:num w:numId="87" w16cid:durableId="972515183">
    <w:abstractNumId w:val="39"/>
  </w:num>
  <w:num w:numId="88" w16cid:durableId="1100760248">
    <w:abstractNumId w:val="80"/>
  </w:num>
  <w:num w:numId="89" w16cid:durableId="1188056450">
    <w:abstractNumId w:val="121"/>
  </w:num>
  <w:num w:numId="90" w16cid:durableId="1169445389">
    <w:abstractNumId w:val="40"/>
  </w:num>
  <w:num w:numId="91" w16cid:durableId="35200129">
    <w:abstractNumId w:val="130"/>
  </w:num>
  <w:num w:numId="92" w16cid:durableId="1591088205">
    <w:abstractNumId w:val="134"/>
  </w:num>
  <w:num w:numId="93" w16cid:durableId="1586453951">
    <w:abstractNumId w:val="55"/>
  </w:num>
  <w:num w:numId="94" w16cid:durableId="594360787">
    <w:abstractNumId w:val="105"/>
  </w:num>
  <w:num w:numId="95" w16cid:durableId="832988639">
    <w:abstractNumId w:val="101"/>
  </w:num>
  <w:num w:numId="96" w16cid:durableId="1736515357">
    <w:abstractNumId w:val="72"/>
  </w:num>
  <w:num w:numId="97" w16cid:durableId="741484297">
    <w:abstractNumId w:val="44"/>
  </w:num>
  <w:num w:numId="98" w16cid:durableId="1718042354">
    <w:abstractNumId w:val="135"/>
  </w:num>
  <w:num w:numId="99" w16cid:durableId="1169248650">
    <w:abstractNumId w:val="56"/>
  </w:num>
  <w:num w:numId="100" w16cid:durableId="114492292">
    <w:abstractNumId w:val="96"/>
  </w:num>
  <w:num w:numId="101" w16cid:durableId="1643458148">
    <w:abstractNumId w:val="43"/>
  </w:num>
  <w:num w:numId="102" w16cid:durableId="1220936938">
    <w:abstractNumId w:val="133"/>
  </w:num>
  <w:num w:numId="103" w16cid:durableId="712340547">
    <w:abstractNumId w:val="89"/>
  </w:num>
  <w:num w:numId="104" w16cid:durableId="943078943">
    <w:abstractNumId w:val="83"/>
  </w:num>
  <w:num w:numId="105" w16cid:durableId="2109764156">
    <w:abstractNumId w:val="76"/>
  </w:num>
  <w:num w:numId="106" w16cid:durableId="1380787852">
    <w:abstractNumId w:val="78"/>
  </w:num>
  <w:num w:numId="107" w16cid:durableId="27072139">
    <w:abstractNumId w:val="54"/>
  </w:num>
  <w:num w:numId="108" w16cid:durableId="1788545676">
    <w:abstractNumId w:val="109"/>
  </w:num>
  <w:num w:numId="109" w16cid:durableId="1386374158">
    <w:abstractNumId w:val="74"/>
  </w:num>
  <w:num w:numId="110" w16cid:durableId="2011058472">
    <w:abstractNumId w:val="30"/>
  </w:num>
  <w:num w:numId="111" w16cid:durableId="924194027">
    <w:abstractNumId w:val="16"/>
  </w:num>
  <w:num w:numId="112" w16cid:durableId="1391728276">
    <w:abstractNumId w:val="21"/>
  </w:num>
  <w:num w:numId="113" w16cid:durableId="862013812">
    <w:abstractNumId w:val="123"/>
  </w:num>
  <w:num w:numId="114" w16cid:durableId="2137940611">
    <w:abstractNumId w:val="19"/>
  </w:num>
  <w:num w:numId="115" w16cid:durableId="805243662">
    <w:abstractNumId w:val="98"/>
  </w:num>
  <w:num w:numId="116" w16cid:durableId="169302003">
    <w:abstractNumId w:val="82"/>
  </w:num>
  <w:num w:numId="117" w16cid:durableId="546920434">
    <w:abstractNumId w:val="66"/>
  </w:num>
  <w:num w:numId="118" w16cid:durableId="13043541">
    <w:abstractNumId w:val="118"/>
  </w:num>
  <w:num w:numId="119" w16cid:durableId="1743329145">
    <w:abstractNumId w:val="95"/>
  </w:num>
  <w:num w:numId="120" w16cid:durableId="772213267">
    <w:abstractNumId w:val="26"/>
  </w:num>
  <w:num w:numId="121" w16cid:durableId="765078355">
    <w:abstractNumId w:val="41"/>
  </w:num>
  <w:num w:numId="122" w16cid:durableId="1807501737">
    <w:abstractNumId w:val="36"/>
  </w:num>
  <w:num w:numId="123" w16cid:durableId="489905425">
    <w:abstractNumId w:val="29"/>
  </w:num>
  <w:num w:numId="124" w16cid:durableId="1376537679">
    <w:abstractNumId w:val="100"/>
  </w:num>
  <w:num w:numId="125" w16cid:durableId="1434977184">
    <w:abstractNumId w:val="84"/>
  </w:num>
  <w:num w:numId="126" w16cid:durableId="1840462549">
    <w:abstractNumId w:val="85"/>
  </w:num>
  <w:num w:numId="127" w16cid:durableId="17975862">
    <w:abstractNumId w:val="79"/>
  </w:num>
  <w:num w:numId="128" w16cid:durableId="2100104585">
    <w:abstractNumId w:val="117"/>
  </w:num>
  <w:num w:numId="129" w16cid:durableId="960307908">
    <w:abstractNumId w:val="132"/>
  </w:num>
  <w:num w:numId="130" w16cid:durableId="2050951089">
    <w:abstractNumId w:val="106"/>
  </w:num>
  <w:num w:numId="131" w16cid:durableId="287929150">
    <w:abstractNumId w:val="120"/>
  </w:num>
  <w:num w:numId="132" w16cid:durableId="1678573738">
    <w:abstractNumId w:val="45"/>
  </w:num>
  <w:num w:numId="133" w16cid:durableId="1475563870">
    <w:abstractNumId w:val="104"/>
  </w:num>
  <w:num w:numId="134" w16cid:durableId="1617101886">
    <w:abstractNumId w:val="59"/>
  </w:num>
  <w:num w:numId="135" w16cid:durableId="1887528459">
    <w:abstractNumId w:val="139"/>
  </w:num>
  <w:num w:numId="136" w16cid:durableId="1212233328">
    <w:abstractNumId w:val="65"/>
  </w:num>
  <w:num w:numId="137" w16cid:durableId="756559701">
    <w:abstractNumId w:val="138"/>
  </w:num>
  <w:num w:numId="138" w16cid:durableId="821315486">
    <w:abstractNumId w:val="87"/>
  </w:num>
  <w:num w:numId="139" w16cid:durableId="659120273">
    <w:abstractNumId w:val="114"/>
  </w:num>
  <w:num w:numId="140" w16cid:durableId="264702702">
    <w:abstractNumId w:val="1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CxNDUyMjUzNTcyNDZX0lEKTi0uzszPAykwtKwFAOx23CQtAAAA"/>
  </w:docVars>
  <w:rsids>
    <w:rsidRoot w:val="007C708D"/>
    <w:rsid w:val="00000064"/>
    <w:rsid w:val="00000599"/>
    <w:rsid w:val="00000638"/>
    <w:rsid w:val="0000067B"/>
    <w:rsid w:val="000006D9"/>
    <w:rsid w:val="00000788"/>
    <w:rsid w:val="00000897"/>
    <w:rsid w:val="000008E5"/>
    <w:rsid w:val="00000D04"/>
    <w:rsid w:val="00000F85"/>
    <w:rsid w:val="00001324"/>
    <w:rsid w:val="0000139F"/>
    <w:rsid w:val="000013AA"/>
    <w:rsid w:val="0000140C"/>
    <w:rsid w:val="0000169A"/>
    <w:rsid w:val="00001898"/>
    <w:rsid w:val="00001A2F"/>
    <w:rsid w:val="00001A5E"/>
    <w:rsid w:val="00001A88"/>
    <w:rsid w:val="00001C42"/>
    <w:rsid w:val="00001C53"/>
    <w:rsid w:val="00001CA6"/>
    <w:rsid w:val="00001D0E"/>
    <w:rsid w:val="00001DCB"/>
    <w:rsid w:val="000021CA"/>
    <w:rsid w:val="00002774"/>
    <w:rsid w:val="0000285D"/>
    <w:rsid w:val="00002EE8"/>
    <w:rsid w:val="00002F05"/>
    <w:rsid w:val="0000308F"/>
    <w:rsid w:val="000033ED"/>
    <w:rsid w:val="000033FB"/>
    <w:rsid w:val="000034E7"/>
    <w:rsid w:val="0000368D"/>
    <w:rsid w:val="00003775"/>
    <w:rsid w:val="000037BD"/>
    <w:rsid w:val="0000383A"/>
    <w:rsid w:val="000038BB"/>
    <w:rsid w:val="00003D4C"/>
    <w:rsid w:val="000041AD"/>
    <w:rsid w:val="0000458A"/>
    <w:rsid w:val="00004641"/>
    <w:rsid w:val="00004824"/>
    <w:rsid w:val="000049FC"/>
    <w:rsid w:val="00004B20"/>
    <w:rsid w:val="00004BC7"/>
    <w:rsid w:val="00004C4E"/>
    <w:rsid w:val="00004D14"/>
    <w:rsid w:val="00004D3A"/>
    <w:rsid w:val="000052B9"/>
    <w:rsid w:val="000052DB"/>
    <w:rsid w:val="000052FC"/>
    <w:rsid w:val="0000531C"/>
    <w:rsid w:val="000054BB"/>
    <w:rsid w:val="00006001"/>
    <w:rsid w:val="0000621C"/>
    <w:rsid w:val="0000624D"/>
    <w:rsid w:val="0000645D"/>
    <w:rsid w:val="000064C4"/>
    <w:rsid w:val="00006710"/>
    <w:rsid w:val="000068A8"/>
    <w:rsid w:val="00006A1E"/>
    <w:rsid w:val="00006A67"/>
    <w:rsid w:val="00006D44"/>
    <w:rsid w:val="00006FAC"/>
    <w:rsid w:val="0000716E"/>
    <w:rsid w:val="0000725D"/>
    <w:rsid w:val="000072FD"/>
    <w:rsid w:val="000075B6"/>
    <w:rsid w:val="000077A4"/>
    <w:rsid w:val="00007805"/>
    <w:rsid w:val="000078F3"/>
    <w:rsid w:val="00007AC6"/>
    <w:rsid w:val="00007BD2"/>
    <w:rsid w:val="0000BDAA"/>
    <w:rsid w:val="0000F857"/>
    <w:rsid w:val="000100A6"/>
    <w:rsid w:val="0001048C"/>
    <w:rsid w:val="00010623"/>
    <w:rsid w:val="0001064C"/>
    <w:rsid w:val="0001069B"/>
    <w:rsid w:val="00010A6B"/>
    <w:rsid w:val="00010C3E"/>
    <w:rsid w:val="00010EBA"/>
    <w:rsid w:val="00010F31"/>
    <w:rsid w:val="00010FAA"/>
    <w:rsid w:val="00011142"/>
    <w:rsid w:val="00011381"/>
    <w:rsid w:val="00011E45"/>
    <w:rsid w:val="0001231C"/>
    <w:rsid w:val="000128E4"/>
    <w:rsid w:val="00012BC1"/>
    <w:rsid w:val="00012F9A"/>
    <w:rsid w:val="00013116"/>
    <w:rsid w:val="000131AB"/>
    <w:rsid w:val="000133DB"/>
    <w:rsid w:val="000134B8"/>
    <w:rsid w:val="00013857"/>
    <w:rsid w:val="0001399E"/>
    <w:rsid w:val="00013A10"/>
    <w:rsid w:val="00013D99"/>
    <w:rsid w:val="00013E6E"/>
    <w:rsid w:val="000142DB"/>
    <w:rsid w:val="000143E4"/>
    <w:rsid w:val="00014489"/>
    <w:rsid w:val="00014AD9"/>
    <w:rsid w:val="00014DDD"/>
    <w:rsid w:val="00014E56"/>
    <w:rsid w:val="00014E97"/>
    <w:rsid w:val="000150ED"/>
    <w:rsid w:val="00015231"/>
    <w:rsid w:val="000155A8"/>
    <w:rsid w:val="00015691"/>
    <w:rsid w:val="000158F6"/>
    <w:rsid w:val="00015DFE"/>
    <w:rsid w:val="00015F07"/>
    <w:rsid w:val="00015F38"/>
    <w:rsid w:val="000160C8"/>
    <w:rsid w:val="000164B2"/>
    <w:rsid w:val="000164D7"/>
    <w:rsid w:val="0001657E"/>
    <w:rsid w:val="000165BE"/>
    <w:rsid w:val="000167D9"/>
    <w:rsid w:val="00016A4F"/>
    <w:rsid w:val="00016B89"/>
    <w:rsid w:val="00016BCA"/>
    <w:rsid w:val="00016C83"/>
    <w:rsid w:val="00016F6B"/>
    <w:rsid w:val="00016FEB"/>
    <w:rsid w:val="000170C6"/>
    <w:rsid w:val="0001732A"/>
    <w:rsid w:val="00017592"/>
    <w:rsid w:val="00017694"/>
    <w:rsid w:val="00017953"/>
    <w:rsid w:val="000179E6"/>
    <w:rsid w:val="000179F8"/>
    <w:rsid w:val="00017ACB"/>
    <w:rsid w:val="00017B9A"/>
    <w:rsid w:val="00017D04"/>
    <w:rsid w:val="00017D7D"/>
    <w:rsid w:val="00017F8F"/>
    <w:rsid w:val="00017FE9"/>
    <w:rsid w:val="000201F9"/>
    <w:rsid w:val="00020282"/>
    <w:rsid w:val="0002069B"/>
    <w:rsid w:val="000206AA"/>
    <w:rsid w:val="000208DD"/>
    <w:rsid w:val="00020B36"/>
    <w:rsid w:val="00020EE2"/>
    <w:rsid w:val="0002104F"/>
    <w:rsid w:val="00021181"/>
    <w:rsid w:val="000213EC"/>
    <w:rsid w:val="0002199F"/>
    <w:rsid w:val="00021D27"/>
    <w:rsid w:val="00021D33"/>
    <w:rsid w:val="0002238C"/>
    <w:rsid w:val="000224F2"/>
    <w:rsid w:val="0002287A"/>
    <w:rsid w:val="00022FF0"/>
    <w:rsid w:val="0002334E"/>
    <w:rsid w:val="000235D8"/>
    <w:rsid w:val="000236FC"/>
    <w:rsid w:val="000238A2"/>
    <w:rsid w:val="00023BED"/>
    <w:rsid w:val="00023D45"/>
    <w:rsid w:val="00023DB4"/>
    <w:rsid w:val="00023E90"/>
    <w:rsid w:val="00023F37"/>
    <w:rsid w:val="00023FD1"/>
    <w:rsid w:val="0002405F"/>
    <w:rsid w:val="00024184"/>
    <w:rsid w:val="0002436D"/>
    <w:rsid w:val="000243D9"/>
    <w:rsid w:val="000244C3"/>
    <w:rsid w:val="00024652"/>
    <w:rsid w:val="000246EC"/>
    <w:rsid w:val="0002478A"/>
    <w:rsid w:val="00024A4F"/>
    <w:rsid w:val="00024DD8"/>
    <w:rsid w:val="00024E45"/>
    <w:rsid w:val="00024EE4"/>
    <w:rsid w:val="0002505E"/>
    <w:rsid w:val="00025083"/>
    <w:rsid w:val="00025108"/>
    <w:rsid w:val="0002525B"/>
    <w:rsid w:val="000256CF"/>
    <w:rsid w:val="0002596B"/>
    <w:rsid w:val="00025CAF"/>
    <w:rsid w:val="00025D64"/>
    <w:rsid w:val="00026242"/>
    <w:rsid w:val="00026402"/>
    <w:rsid w:val="00026797"/>
    <w:rsid w:val="000267CC"/>
    <w:rsid w:val="0002684E"/>
    <w:rsid w:val="0002697D"/>
    <w:rsid w:val="00026AC9"/>
    <w:rsid w:val="00026ACF"/>
    <w:rsid w:val="00026ADF"/>
    <w:rsid w:val="00026B6B"/>
    <w:rsid w:val="00026C59"/>
    <w:rsid w:val="00026CAC"/>
    <w:rsid w:val="00026CBD"/>
    <w:rsid w:val="00026DEF"/>
    <w:rsid w:val="00027159"/>
    <w:rsid w:val="00027187"/>
    <w:rsid w:val="0002719E"/>
    <w:rsid w:val="000271A3"/>
    <w:rsid w:val="000275FE"/>
    <w:rsid w:val="000279EB"/>
    <w:rsid w:val="00027BCB"/>
    <w:rsid w:val="00027BF8"/>
    <w:rsid w:val="00027DF2"/>
    <w:rsid w:val="00027FF8"/>
    <w:rsid w:val="0002D886"/>
    <w:rsid w:val="0002FACF"/>
    <w:rsid w:val="0003026C"/>
    <w:rsid w:val="0003035B"/>
    <w:rsid w:val="00030567"/>
    <w:rsid w:val="000306CE"/>
    <w:rsid w:val="000308E1"/>
    <w:rsid w:val="00030B0C"/>
    <w:rsid w:val="00031011"/>
    <w:rsid w:val="000310C6"/>
    <w:rsid w:val="000312CD"/>
    <w:rsid w:val="0003135E"/>
    <w:rsid w:val="00031513"/>
    <w:rsid w:val="00031686"/>
    <w:rsid w:val="000318FE"/>
    <w:rsid w:val="00031D16"/>
    <w:rsid w:val="00031D1F"/>
    <w:rsid w:val="00031DAC"/>
    <w:rsid w:val="000322B0"/>
    <w:rsid w:val="000324A3"/>
    <w:rsid w:val="000327E3"/>
    <w:rsid w:val="0003281D"/>
    <w:rsid w:val="00032897"/>
    <w:rsid w:val="00032A01"/>
    <w:rsid w:val="00032D2B"/>
    <w:rsid w:val="00032EDE"/>
    <w:rsid w:val="00033068"/>
    <w:rsid w:val="000332E0"/>
    <w:rsid w:val="0003363E"/>
    <w:rsid w:val="0003364D"/>
    <w:rsid w:val="0003373B"/>
    <w:rsid w:val="00033CF0"/>
    <w:rsid w:val="00034268"/>
    <w:rsid w:val="0003427B"/>
    <w:rsid w:val="000346C9"/>
    <w:rsid w:val="00034716"/>
    <w:rsid w:val="00034C4F"/>
    <w:rsid w:val="00034C9C"/>
    <w:rsid w:val="00034F42"/>
    <w:rsid w:val="0003515B"/>
    <w:rsid w:val="000351B6"/>
    <w:rsid w:val="00035414"/>
    <w:rsid w:val="00035492"/>
    <w:rsid w:val="0003553D"/>
    <w:rsid w:val="00035791"/>
    <w:rsid w:val="00035873"/>
    <w:rsid w:val="00035A0E"/>
    <w:rsid w:val="00035ACE"/>
    <w:rsid w:val="00035C9A"/>
    <w:rsid w:val="00035F16"/>
    <w:rsid w:val="000361CF"/>
    <w:rsid w:val="0003625B"/>
    <w:rsid w:val="0003631A"/>
    <w:rsid w:val="000363C7"/>
    <w:rsid w:val="000365DE"/>
    <w:rsid w:val="000366D5"/>
    <w:rsid w:val="000369FB"/>
    <w:rsid w:val="00036A43"/>
    <w:rsid w:val="00036BFB"/>
    <w:rsid w:val="00036D60"/>
    <w:rsid w:val="00036E6A"/>
    <w:rsid w:val="00037097"/>
    <w:rsid w:val="000372EA"/>
    <w:rsid w:val="000375C1"/>
    <w:rsid w:val="0003771B"/>
    <w:rsid w:val="00037767"/>
    <w:rsid w:val="000378F8"/>
    <w:rsid w:val="00037989"/>
    <w:rsid w:val="00037C13"/>
    <w:rsid w:val="0003D03E"/>
    <w:rsid w:val="0003E478"/>
    <w:rsid w:val="000402F1"/>
    <w:rsid w:val="000403DB"/>
    <w:rsid w:val="00040573"/>
    <w:rsid w:val="0004062B"/>
    <w:rsid w:val="0004082B"/>
    <w:rsid w:val="00040B09"/>
    <w:rsid w:val="00040FD1"/>
    <w:rsid w:val="0004119E"/>
    <w:rsid w:val="00041216"/>
    <w:rsid w:val="00041306"/>
    <w:rsid w:val="000413A1"/>
    <w:rsid w:val="0004145D"/>
    <w:rsid w:val="00041518"/>
    <w:rsid w:val="00041559"/>
    <w:rsid w:val="00041E70"/>
    <w:rsid w:val="00041F1E"/>
    <w:rsid w:val="00041F65"/>
    <w:rsid w:val="00041FFD"/>
    <w:rsid w:val="000420BE"/>
    <w:rsid w:val="0004214C"/>
    <w:rsid w:val="0004242E"/>
    <w:rsid w:val="000424E7"/>
    <w:rsid w:val="00042644"/>
    <w:rsid w:val="0004275F"/>
    <w:rsid w:val="000427F9"/>
    <w:rsid w:val="000429CB"/>
    <w:rsid w:val="00042CB6"/>
    <w:rsid w:val="00042D49"/>
    <w:rsid w:val="00042D77"/>
    <w:rsid w:val="00042F16"/>
    <w:rsid w:val="000430C2"/>
    <w:rsid w:val="000432E6"/>
    <w:rsid w:val="000433C2"/>
    <w:rsid w:val="000433CC"/>
    <w:rsid w:val="000433FB"/>
    <w:rsid w:val="0004344B"/>
    <w:rsid w:val="0004366B"/>
    <w:rsid w:val="00043B10"/>
    <w:rsid w:val="00043BFC"/>
    <w:rsid w:val="00043D1C"/>
    <w:rsid w:val="00043EBA"/>
    <w:rsid w:val="00043F6A"/>
    <w:rsid w:val="00043F92"/>
    <w:rsid w:val="00044245"/>
    <w:rsid w:val="00044476"/>
    <w:rsid w:val="000444E4"/>
    <w:rsid w:val="00044A72"/>
    <w:rsid w:val="00044C76"/>
    <w:rsid w:val="00044D4C"/>
    <w:rsid w:val="00044F16"/>
    <w:rsid w:val="00045000"/>
    <w:rsid w:val="00045B38"/>
    <w:rsid w:val="00045B5C"/>
    <w:rsid w:val="00045B65"/>
    <w:rsid w:val="00045CA9"/>
    <w:rsid w:val="00045CAD"/>
    <w:rsid w:val="00045D1D"/>
    <w:rsid w:val="00045FD5"/>
    <w:rsid w:val="00046041"/>
    <w:rsid w:val="0004653E"/>
    <w:rsid w:val="00046A6A"/>
    <w:rsid w:val="00046DF3"/>
    <w:rsid w:val="00046E54"/>
    <w:rsid w:val="00046F5D"/>
    <w:rsid w:val="000473E0"/>
    <w:rsid w:val="000474F8"/>
    <w:rsid w:val="0004757B"/>
    <w:rsid w:val="000476FC"/>
    <w:rsid w:val="00047EB3"/>
    <w:rsid w:val="0004A20C"/>
    <w:rsid w:val="0004E99D"/>
    <w:rsid w:val="00050263"/>
    <w:rsid w:val="0005035B"/>
    <w:rsid w:val="000503BE"/>
    <w:rsid w:val="000503F3"/>
    <w:rsid w:val="0005047E"/>
    <w:rsid w:val="000504B5"/>
    <w:rsid w:val="00050545"/>
    <w:rsid w:val="000507B7"/>
    <w:rsid w:val="0005083A"/>
    <w:rsid w:val="00050D89"/>
    <w:rsid w:val="00050E23"/>
    <w:rsid w:val="00050F83"/>
    <w:rsid w:val="00050F84"/>
    <w:rsid w:val="00051360"/>
    <w:rsid w:val="00051372"/>
    <w:rsid w:val="0005140D"/>
    <w:rsid w:val="0005162E"/>
    <w:rsid w:val="00051716"/>
    <w:rsid w:val="0005176B"/>
    <w:rsid w:val="000519AC"/>
    <w:rsid w:val="00051C48"/>
    <w:rsid w:val="00052282"/>
    <w:rsid w:val="00052930"/>
    <w:rsid w:val="00052951"/>
    <w:rsid w:val="00052953"/>
    <w:rsid w:val="0005297E"/>
    <w:rsid w:val="000529F3"/>
    <w:rsid w:val="00052B54"/>
    <w:rsid w:val="00052BE1"/>
    <w:rsid w:val="00052EC0"/>
    <w:rsid w:val="00052FD5"/>
    <w:rsid w:val="000530D4"/>
    <w:rsid w:val="00053161"/>
    <w:rsid w:val="0005323C"/>
    <w:rsid w:val="0005324B"/>
    <w:rsid w:val="00053281"/>
    <w:rsid w:val="000533C6"/>
    <w:rsid w:val="00053479"/>
    <w:rsid w:val="0005359F"/>
    <w:rsid w:val="000536A1"/>
    <w:rsid w:val="00053958"/>
    <w:rsid w:val="00053F74"/>
    <w:rsid w:val="00053F8A"/>
    <w:rsid w:val="000540EB"/>
    <w:rsid w:val="0005445C"/>
    <w:rsid w:val="0005456F"/>
    <w:rsid w:val="000545C2"/>
    <w:rsid w:val="000546AD"/>
    <w:rsid w:val="00054940"/>
    <w:rsid w:val="00054951"/>
    <w:rsid w:val="00054AB2"/>
    <w:rsid w:val="00054B2D"/>
    <w:rsid w:val="00055259"/>
    <w:rsid w:val="0005543A"/>
    <w:rsid w:val="00055854"/>
    <w:rsid w:val="00055860"/>
    <w:rsid w:val="0005598A"/>
    <w:rsid w:val="00055AE5"/>
    <w:rsid w:val="00055CDD"/>
    <w:rsid w:val="00055D47"/>
    <w:rsid w:val="0005602C"/>
    <w:rsid w:val="000560A0"/>
    <w:rsid w:val="000567D4"/>
    <w:rsid w:val="000569A6"/>
    <w:rsid w:val="000569E9"/>
    <w:rsid w:val="00056B63"/>
    <w:rsid w:val="00056CE0"/>
    <w:rsid w:val="00056E54"/>
    <w:rsid w:val="000572AD"/>
    <w:rsid w:val="000572D8"/>
    <w:rsid w:val="00057727"/>
    <w:rsid w:val="0005779C"/>
    <w:rsid w:val="00057B3D"/>
    <w:rsid w:val="00057D2E"/>
    <w:rsid w:val="00057DB2"/>
    <w:rsid w:val="000606B9"/>
    <w:rsid w:val="000607D7"/>
    <w:rsid w:val="00060867"/>
    <w:rsid w:val="000609A2"/>
    <w:rsid w:val="00060A4C"/>
    <w:rsid w:val="00060AF7"/>
    <w:rsid w:val="00060D0F"/>
    <w:rsid w:val="00060E27"/>
    <w:rsid w:val="00061196"/>
    <w:rsid w:val="0006126D"/>
    <w:rsid w:val="000612E3"/>
    <w:rsid w:val="000614FE"/>
    <w:rsid w:val="00061554"/>
    <w:rsid w:val="000615F6"/>
    <w:rsid w:val="00061606"/>
    <w:rsid w:val="000618CC"/>
    <w:rsid w:val="000619DC"/>
    <w:rsid w:val="00061E16"/>
    <w:rsid w:val="00062067"/>
    <w:rsid w:val="00062769"/>
    <w:rsid w:val="00062790"/>
    <w:rsid w:val="00062835"/>
    <w:rsid w:val="00063086"/>
    <w:rsid w:val="00063133"/>
    <w:rsid w:val="00063252"/>
    <w:rsid w:val="000633E7"/>
    <w:rsid w:val="000635DE"/>
    <w:rsid w:val="00063DE0"/>
    <w:rsid w:val="0006404F"/>
    <w:rsid w:val="00064076"/>
    <w:rsid w:val="00064646"/>
    <w:rsid w:val="00064716"/>
    <w:rsid w:val="00064790"/>
    <w:rsid w:val="000647FA"/>
    <w:rsid w:val="00064C08"/>
    <w:rsid w:val="00064CDB"/>
    <w:rsid w:val="00064E6B"/>
    <w:rsid w:val="000654A6"/>
    <w:rsid w:val="00065720"/>
    <w:rsid w:val="00065738"/>
    <w:rsid w:val="00065751"/>
    <w:rsid w:val="000658FF"/>
    <w:rsid w:val="0006593B"/>
    <w:rsid w:val="00066163"/>
    <w:rsid w:val="000663A7"/>
    <w:rsid w:val="000665F6"/>
    <w:rsid w:val="00066656"/>
    <w:rsid w:val="00066C3D"/>
    <w:rsid w:val="00066DF1"/>
    <w:rsid w:val="0006737B"/>
    <w:rsid w:val="00067408"/>
    <w:rsid w:val="00067949"/>
    <w:rsid w:val="00067ACC"/>
    <w:rsid w:val="00067B79"/>
    <w:rsid w:val="00067C94"/>
    <w:rsid w:val="00067D3E"/>
    <w:rsid w:val="00067E4D"/>
    <w:rsid w:val="0007004C"/>
    <w:rsid w:val="0007022D"/>
    <w:rsid w:val="000709DD"/>
    <w:rsid w:val="00070E63"/>
    <w:rsid w:val="00070E9F"/>
    <w:rsid w:val="000710DD"/>
    <w:rsid w:val="0007116D"/>
    <w:rsid w:val="00071231"/>
    <w:rsid w:val="000712D4"/>
    <w:rsid w:val="000717BC"/>
    <w:rsid w:val="00071B9B"/>
    <w:rsid w:val="00072338"/>
    <w:rsid w:val="00072382"/>
    <w:rsid w:val="00072410"/>
    <w:rsid w:val="000724F8"/>
    <w:rsid w:val="000725EF"/>
    <w:rsid w:val="00072669"/>
    <w:rsid w:val="00072A1D"/>
    <w:rsid w:val="00072E16"/>
    <w:rsid w:val="00072FCB"/>
    <w:rsid w:val="00073009"/>
    <w:rsid w:val="00073042"/>
    <w:rsid w:val="000730D2"/>
    <w:rsid w:val="00073411"/>
    <w:rsid w:val="00073799"/>
    <w:rsid w:val="00073B11"/>
    <w:rsid w:val="00073BDA"/>
    <w:rsid w:val="00073FD5"/>
    <w:rsid w:val="00073FFE"/>
    <w:rsid w:val="000740C6"/>
    <w:rsid w:val="000740D5"/>
    <w:rsid w:val="000741C8"/>
    <w:rsid w:val="00074250"/>
    <w:rsid w:val="00074277"/>
    <w:rsid w:val="0007444F"/>
    <w:rsid w:val="00074573"/>
    <w:rsid w:val="00074821"/>
    <w:rsid w:val="0007486B"/>
    <w:rsid w:val="00074960"/>
    <w:rsid w:val="000749C5"/>
    <w:rsid w:val="00074CA0"/>
    <w:rsid w:val="00074DCA"/>
    <w:rsid w:val="000751C4"/>
    <w:rsid w:val="00075383"/>
    <w:rsid w:val="000755ED"/>
    <w:rsid w:val="00075713"/>
    <w:rsid w:val="00075746"/>
    <w:rsid w:val="0007578B"/>
    <w:rsid w:val="00075B8F"/>
    <w:rsid w:val="00075C12"/>
    <w:rsid w:val="00075C28"/>
    <w:rsid w:val="00075D89"/>
    <w:rsid w:val="00075EC9"/>
    <w:rsid w:val="00076020"/>
    <w:rsid w:val="00076198"/>
    <w:rsid w:val="000763F7"/>
    <w:rsid w:val="0007659E"/>
    <w:rsid w:val="00076CB6"/>
    <w:rsid w:val="00076D34"/>
    <w:rsid w:val="0007712A"/>
    <w:rsid w:val="000772D5"/>
    <w:rsid w:val="00077579"/>
    <w:rsid w:val="000775C4"/>
    <w:rsid w:val="0007768A"/>
    <w:rsid w:val="000777B1"/>
    <w:rsid w:val="0007E25B"/>
    <w:rsid w:val="000802C0"/>
    <w:rsid w:val="0008035C"/>
    <w:rsid w:val="00080AEF"/>
    <w:rsid w:val="00080B18"/>
    <w:rsid w:val="00080C44"/>
    <w:rsid w:val="00080CC8"/>
    <w:rsid w:val="00080DB5"/>
    <w:rsid w:val="00080DC9"/>
    <w:rsid w:val="00081181"/>
    <w:rsid w:val="0008153D"/>
    <w:rsid w:val="00081556"/>
    <w:rsid w:val="0008162F"/>
    <w:rsid w:val="00081B1E"/>
    <w:rsid w:val="00081B92"/>
    <w:rsid w:val="00081E43"/>
    <w:rsid w:val="00081F49"/>
    <w:rsid w:val="0008218E"/>
    <w:rsid w:val="000823B2"/>
    <w:rsid w:val="00082467"/>
    <w:rsid w:val="000824DB"/>
    <w:rsid w:val="000825FF"/>
    <w:rsid w:val="000828FA"/>
    <w:rsid w:val="000828FC"/>
    <w:rsid w:val="00082BFD"/>
    <w:rsid w:val="00082C5B"/>
    <w:rsid w:val="00082C8F"/>
    <w:rsid w:val="00082DB9"/>
    <w:rsid w:val="00082F79"/>
    <w:rsid w:val="00083160"/>
    <w:rsid w:val="0008319D"/>
    <w:rsid w:val="00083416"/>
    <w:rsid w:val="0008357A"/>
    <w:rsid w:val="000835EE"/>
    <w:rsid w:val="00083627"/>
    <w:rsid w:val="000838EE"/>
    <w:rsid w:val="000839F2"/>
    <w:rsid w:val="00083BB5"/>
    <w:rsid w:val="00083D90"/>
    <w:rsid w:val="00083DA8"/>
    <w:rsid w:val="00083E7D"/>
    <w:rsid w:val="00084904"/>
    <w:rsid w:val="00084EFE"/>
    <w:rsid w:val="00085045"/>
    <w:rsid w:val="00085160"/>
    <w:rsid w:val="000852FC"/>
    <w:rsid w:val="000852FE"/>
    <w:rsid w:val="0008533D"/>
    <w:rsid w:val="0008538B"/>
    <w:rsid w:val="000854D1"/>
    <w:rsid w:val="00085584"/>
    <w:rsid w:val="000855C3"/>
    <w:rsid w:val="00085843"/>
    <w:rsid w:val="000859AA"/>
    <w:rsid w:val="00085EC5"/>
    <w:rsid w:val="0008606A"/>
    <w:rsid w:val="000860AB"/>
    <w:rsid w:val="0008626F"/>
    <w:rsid w:val="000866FB"/>
    <w:rsid w:val="000867FD"/>
    <w:rsid w:val="00086844"/>
    <w:rsid w:val="0008693E"/>
    <w:rsid w:val="00086BF5"/>
    <w:rsid w:val="00086CC6"/>
    <w:rsid w:val="00086D9B"/>
    <w:rsid w:val="00086DBB"/>
    <w:rsid w:val="00086FAB"/>
    <w:rsid w:val="000871CE"/>
    <w:rsid w:val="00087552"/>
    <w:rsid w:val="000876DD"/>
    <w:rsid w:val="000877FB"/>
    <w:rsid w:val="00087A66"/>
    <w:rsid w:val="00087AB0"/>
    <w:rsid w:val="00087BD6"/>
    <w:rsid w:val="00087D7E"/>
    <w:rsid w:val="00087DFC"/>
    <w:rsid w:val="00087EA1"/>
    <w:rsid w:val="00087FB4"/>
    <w:rsid w:val="00087FD8"/>
    <w:rsid w:val="0008A239"/>
    <w:rsid w:val="0008E2BE"/>
    <w:rsid w:val="000902A6"/>
    <w:rsid w:val="00090308"/>
    <w:rsid w:val="0009032E"/>
    <w:rsid w:val="000904E9"/>
    <w:rsid w:val="000905F6"/>
    <w:rsid w:val="00090BCB"/>
    <w:rsid w:val="00090CB2"/>
    <w:rsid w:val="0009108D"/>
    <w:rsid w:val="0009121E"/>
    <w:rsid w:val="00091581"/>
    <w:rsid w:val="00091594"/>
    <w:rsid w:val="00091D80"/>
    <w:rsid w:val="00091D8D"/>
    <w:rsid w:val="00091E42"/>
    <w:rsid w:val="00091FAA"/>
    <w:rsid w:val="00092347"/>
    <w:rsid w:val="000923F4"/>
    <w:rsid w:val="000924B5"/>
    <w:rsid w:val="0009296D"/>
    <w:rsid w:val="00092CF9"/>
    <w:rsid w:val="00092D3C"/>
    <w:rsid w:val="000930B7"/>
    <w:rsid w:val="00093401"/>
    <w:rsid w:val="0009384C"/>
    <w:rsid w:val="00093C15"/>
    <w:rsid w:val="0009409B"/>
    <w:rsid w:val="00094348"/>
    <w:rsid w:val="0009457C"/>
    <w:rsid w:val="000945FD"/>
    <w:rsid w:val="00094961"/>
    <w:rsid w:val="00094B6F"/>
    <w:rsid w:val="00094C33"/>
    <w:rsid w:val="00094F18"/>
    <w:rsid w:val="00095065"/>
    <w:rsid w:val="00095158"/>
    <w:rsid w:val="0009542C"/>
    <w:rsid w:val="00095497"/>
    <w:rsid w:val="00095648"/>
    <w:rsid w:val="000956A3"/>
    <w:rsid w:val="00095987"/>
    <w:rsid w:val="00095AC3"/>
    <w:rsid w:val="00095B33"/>
    <w:rsid w:val="00095BF9"/>
    <w:rsid w:val="00095C39"/>
    <w:rsid w:val="00095C95"/>
    <w:rsid w:val="00096350"/>
    <w:rsid w:val="0009635D"/>
    <w:rsid w:val="00096586"/>
    <w:rsid w:val="000967D5"/>
    <w:rsid w:val="00096822"/>
    <w:rsid w:val="00096F0B"/>
    <w:rsid w:val="00097091"/>
    <w:rsid w:val="00097168"/>
    <w:rsid w:val="0009723A"/>
    <w:rsid w:val="0009732D"/>
    <w:rsid w:val="00097724"/>
    <w:rsid w:val="00097A4F"/>
    <w:rsid w:val="00097A6C"/>
    <w:rsid w:val="00097C16"/>
    <w:rsid w:val="000A008C"/>
    <w:rsid w:val="000A03C0"/>
    <w:rsid w:val="000A0551"/>
    <w:rsid w:val="000A056B"/>
    <w:rsid w:val="000A0686"/>
    <w:rsid w:val="000A068A"/>
    <w:rsid w:val="000A086D"/>
    <w:rsid w:val="000A086E"/>
    <w:rsid w:val="000A0BE0"/>
    <w:rsid w:val="000A0D27"/>
    <w:rsid w:val="000A0F5A"/>
    <w:rsid w:val="000A13CD"/>
    <w:rsid w:val="000A15EB"/>
    <w:rsid w:val="000A165C"/>
    <w:rsid w:val="000A1946"/>
    <w:rsid w:val="000A1B56"/>
    <w:rsid w:val="000A1D11"/>
    <w:rsid w:val="000A1E71"/>
    <w:rsid w:val="000A1F47"/>
    <w:rsid w:val="000A2144"/>
    <w:rsid w:val="000A26F4"/>
    <w:rsid w:val="000A27FB"/>
    <w:rsid w:val="000A289D"/>
    <w:rsid w:val="000A2C77"/>
    <w:rsid w:val="000A2F89"/>
    <w:rsid w:val="000A3427"/>
    <w:rsid w:val="000A35DC"/>
    <w:rsid w:val="000A3A89"/>
    <w:rsid w:val="000A3B05"/>
    <w:rsid w:val="000A3C3C"/>
    <w:rsid w:val="000A3D5B"/>
    <w:rsid w:val="000A3E38"/>
    <w:rsid w:val="000A3E76"/>
    <w:rsid w:val="000A3E79"/>
    <w:rsid w:val="000A410F"/>
    <w:rsid w:val="000A4246"/>
    <w:rsid w:val="000A42FA"/>
    <w:rsid w:val="000A45E7"/>
    <w:rsid w:val="000A4668"/>
    <w:rsid w:val="000A4681"/>
    <w:rsid w:val="000A46E7"/>
    <w:rsid w:val="000A47C2"/>
    <w:rsid w:val="000A47CC"/>
    <w:rsid w:val="000A490B"/>
    <w:rsid w:val="000A4A37"/>
    <w:rsid w:val="000A4CA4"/>
    <w:rsid w:val="000A4DCF"/>
    <w:rsid w:val="000A4E94"/>
    <w:rsid w:val="000A5285"/>
    <w:rsid w:val="000A5289"/>
    <w:rsid w:val="000A528A"/>
    <w:rsid w:val="000A5602"/>
    <w:rsid w:val="000A567D"/>
    <w:rsid w:val="000A59E4"/>
    <w:rsid w:val="000A5B20"/>
    <w:rsid w:val="000A5D17"/>
    <w:rsid w:val="000A5E98"/>
    <w:rsid w:val="000A5EDB"/>
    <w:rsid w:val="000A5FA7"/>
    <w:rsid w:val="000A653A"/>
    <w:rsid w:val="000A6754"/>
    <w:rsid w:val="000A6B83"/>
    <w:rsid w:val="000A6EA3"/>
    <w:rsid w:val="000A6FAD"/>
    <w:rsid w:val="000A70F6"/>
    <w:rsid w:val="000A7290"/>
    <w:rsid w:val="000A768C"/>
    <w:rsid w:val="000A7876"/>
    <w:rsid w:val="000A797A"/>
    <w:rsid w:val="000A79CB"/>
    <w:rsid w:val="000A7A5D"/>
    <w:rsid w:val="000A7BCF"/>
    <w:rsid w:val="000A7C99"/>
    <w:rsid w:val="000A7D91"/>
    <w:rsid w:val="000A7EE1"/>
    <w:rsid w:val="000A7F5E"/>
    <w:rsid w:val="000B0388"/>
    <w:rsid w:val="000B0455"/>
    <w:rsid w:val="000B0585"/>
    <w:rsid w:val="000B0698"/>
    <w:rsid w:val="000B0947"/>
    <w:rsid w:val="000B0AB4"/>
    <w:rsid w:val="000B0C82"/>
    <w:rsid w:val="000B0D4F"/>
    <w:rsid w:val="000B0EBA"/>
    <w:rsid w:val="000B0FDE"/>
    <w:rsid w:val="000B0FF3"/>
    <w:rsid w:val="000B1187"/>
    <w:rsid w:val="000B11CD"/>
    <w:rsid w:val="000B121B"/>
    <w:rsid w:val="000B190F"/>
    <w:rsid w:val="000B1BA0"/>
    <w:rsid w:val="000B1D86"/>
    <w:rsid w:val="000B1DAC"/>
    <w:rsid w:val="000B2072"/>
    <w:rsid w:val="000B222B"/>
    <w:rsid w:val="000B222F"/>
    <w:rsid w:val="000B2664"/>
    <w:rsid w:val="000B266A"/>
    <w:rsid w:val="000B2909"/>
    <w:rsid w:val="000B2965"/>
    <w:rsid w:val="000B2AF4"/>
    <w:rsid w:val="000B2B2A"/>
    <w:rsid w:val="000B2E6B"/>
    <w:rsid w:val="000B3545"/>
    <w:rsid w:val="000B364D"/>
    <w:rsid w:val="000B3832"/>
    <w:rsid w:val="000B39AD"/>
    <w:rsid w:val="000B3BD5"/>
    <w:rsid w:val="000B429D"/>
    <w:rsid w:val="000B4353"/>
    <w:rsid w:val="000B45F9"/>
    <w:rsid w:val="000B47EE"/>
    <w:rsid w:val="000B48BA"/>
    <w:rsid w:val="000B4B68"/>
    <w:rsid w:val="000B4C48"/>
    <w:rsid w:val="000B4F3F"/>
    <w:rsid w:val="000B4F84"/>
    <w:rsid w:val="000B51CE"/>
    <w:rsid w:val="000B5215"/>
    <w:rsid w:val="000B54F7"/>
    <w:rsid w:val="000B57F0"/>
    <w:rsid w:val="000B584E"/>
    <w:rsid w:val="000B5C15"/>
    <w:rsid w:val="000B5C25"/>
    <w:rsid w:val="000B5C3F"/>
    <w:rsid w:val="000B5CB9"/>
    <w:rsid w:val="000B5E62"/>
    <w:rsid w:val="000B5F49"/>
    <w:rsid w:val="000B6037"/>
    <w:rsid w:val="000B67F2"/>
    <w:rsid w:val="000B68A7"/>
    <w:rsid w:val="000B6972"/>
    <w:rsid w:val="000B69B3"/>
    <w:rsid w:val="000B69E2"/>
    <w:rsid w:val="000B6BED"/>
    <w:rsid w:val="000B6D85"/>
    <w:rsid w:val="000B6D8B"/>
    <w:rsid w:val="000B7005"/>
    <w:rsid w:val="000B7045"/>
    <w:rsid w:val="000B7111"/>
    <w:rsid w:val="000B721B"/>
    <w:rsid w:val="000B74D5"/>
    <w:rsid w:val="000B74E6"/>
    <w:rsid w:val="000B77F8"/>
    <w:rsid w:val="000B9255"/>
    <w:rsid w:val="000C00C0"/>
    <w:rsid w:val="000C0607"/>
    <w:rsid w:val="000C075B"/>
    <w:rsid w:val="000C0828"/>
    <w:rsid w:val="000C0ABE"/>
    <w:rsid w:val="000C0B84"/>
    <w:rsid w:val="000C0BDF"/>
    <w:rsid w:val="000C105A"/>
    <w:rsid w:val="000C10E6"/>
    <w:rsid w:val="000C1342"/>
    <w:rsid w:val="000C140F"/>
    <w:rsid w:val="000C14E1"/>
    <w:rsid w:val="000C1578"/>
    <w:rsid w:val="000C1667"/>
    <w:rsid w:val="000C1772"/>
    <w:rsid w:val="000C1CAA"/>
    <w:rsid w:val="000C2041"/>
    <w:rsid w:val="000C2639"/>
    <w:rsid w:val="000C27F6"/>
    <w:rsid w:val="000C2A6B"/>
    <w:rsid w:val="000C2B63"/>
    <w:rsid w:val="000C2CF1"/>
    <w:rsid w:val="000C2D5B"/>
    <w:rsid w:val="000C2EF3"/>
    <w:rsid w:val="000C3942"/>
    <w:rsid w:val="000C3AEB"/>
    <w:rsid w:val="000C3C0E"/>
    <w:rsid w:val="000C3EC7"/>
    <w:rsid w:val="000C3F6E"/>
    <w:rsid w:val="000C40EB"/>
    <w:rsid w:val="000C44B2"/>
    <w:rsid w:val="000C461D"/>
    <w:rsid w:val="000C46D4"/>
    <w:rsid w:val="000C4997"/>
    <w:rsid w:val="000C49A2"/>
    <w:rsid w:val="000C4CAE"/>
    <w:rsid w:val="000C4FEF"/>
    <w:rsid w:val="000C5193"/>
    <w:rsid w:val="000C51C9"/>
    <w:rsid w:val="000C52EB"/>
    <w:rsid w:val="000C5558"/>
    <w:rsid w:val="000C556B"/>
    <w:rsid w:val="000C5651"/>
    <w:rsid w:val="000C582C"/>
    <w:rsid w:val="000C59D6"/>
    <w:rsid w:val="000C5AAC"/>
    <w:rsid w:val="000C5B39"/>
    <w:rsid w:val="000C5F14"/>
    <w:rsid w:val="000C6260"/>
    <w:rsid w:val="000C62F8"/>
    <w:rsid w:val="000C6423"/>
    <w:rsid w:val="000C6698"/>
    <w:rsid w:val="000C69AB"/>
    <w:rsid w:val="000C6C16"/>
    <w:rsid w:val="000C6D93"/>
    <w:rsid w:val="000C6E25"/>
    <w:rsid w:val="000C7168"/>
    <w:rsid w:val="000C7226"/>
    <w:rsid w:val="000C72EB"/>
    <w:rsid w:val="000C7356"/>
    <w:rsid w:val="000C7494"/>
    <w:rsid w:val="000C74BE"/>
    <w:rsid w:val="000C74CF"/>
    <w:rsid w:val="000C776A"/>
    <w:rsid w:val="000C7B6B"/>
    <w:rsid w:val="000C7C1E"/>
    <w:rsid w:val="000D0097"/>
    <w:rsid w:val="000D0130"/>
    <w:rsid w:val="000D03BB"/>
    <w:rsid w:val="000D06D7"/>
    <w:rsid w:val="000D07D0"/>
    <w:rsid w:val="000D0941"/>
    <w:rsid w:val="000D09CC"/>
    <w:rsid w:val="000D0AD4"/>
    <w:rsid w:val="000D0DA0"/>
    <w:rsid w:val="000D0EC9"/>
    <w:rsid w:val="000D1020"/>
    <w:rsid w:val="000D10D8"/>
    <w:rsid w:val="000D1226"/>
    <w:rsid w:val="000D1409"/>
    <w:rsid w:val="000D15EC"/>
    <w:rsid w:val="000D177A"/>
    <w:rsid w:val="000D17C8"/>
    <w:rsid w:val="000D1852"/>
    <w:rsid w:val="000D19A5"/>
    <w:rsid w:val="000D1A31"/>
    <w:rsid w:val="000D1CAD"/>
    <w:rsid w:val="000D1F18"/>
    <w:rsid w:val="000D1F57"/>
    <w:rsid w:val="000D2491"/>
    <w:rsid w:val="000D258C"/>
    <w:rsid w:val="000D2641"/>
    <w:rsid w:val="000D27D3"/>
    <w:rsid w:val="000D28A3"/>
    <w:rsid w:val="000D29D3"/>
    <w:rsid w:val="000D2D0E"/>
    <w:rsid w:val="000D2E18"/>
    <w:rsid w:val="000D2F4D"/>
    <w:rsid w:val="000D3049"/>
    <w:rsid w:val="000D37EC"/>
    <w:rsid w:val="000D3928"/>
    <w:rsid w:val="000D3AFD"/>
    <w:rsid w:val="000D3CB4"/>
    <w:rsid w:val="000D3CCF"/>
    <w:rsid w:val="000D46A1"/>
    <w:rsid w:val="000D498D"/>
    <w:rsid w:val="000D4A31"/>
    <w:rsid w:val="000D4B2A"/>
    <w:rsid w:val="000D4CE8"/>
    <w:rsid w:val="000D50A3"/>
    <w:rsid w:val="000D546A"/>
    <w:rsid w:val="000D5529"/>
    <w:rsid w:val="000D56E9"/>
    <w:rsid w:val="000D58C1"/>
    <w:rsid w:val="000D5B58"/>
    <w:rsid w:val="000D5C1A"/>
    <w:rsid w:val="000D5D09"/>
    <w:rsid w:val="000D5E35"/>
    <w:rsid w:val="000D6263"/>
    <w:rsid w:val="000D6636"/>
    <w:rsid w:val="000D6727"/>
    <w:rsid w:val="000D6986"/>
    <w:rsid w:val="000D6ADB"/>
    <w:rsid w:val="000D6B51"/>
    <w:rsid w:val="000D6C88"/>
    <w:rsid w:val="000D6CDF"/>
    <w:rsid w:val="000D6D4F"/>
    <w:rsid w:val="000D6E6B"/>
    <w:rsid w:val="000D6FD5"/>
    <w:rsid w:val="000D7058"/>
    <w:rsid w:val="000D708A"/>
    <w:rsid w:val="000D7181"/>
    <w:rsid w:val="000D7184"/>
    <w:rsid w:val="000D7752"/>
    <w:rsid w:val="000D78F0"/>
    <w:rsid w:val="000D7A58"/>
    <w:rsid w:val="000D7A62"/>
    <w:rsid w:val="000D7AE6"/>
    <w:rsid w:val="000D7B0C"/>
    <w:rsid w:val="000D7D1F"/>
    <w:rsid w:val="000D7EA7"/>
    <w:rsid w:val="000DAF9B"/>
    <w:rsid w:val="000E023E"/>
    <w:rsid w:val="000E0442"/>
    <w:rsid w:val="000E0456"/>
    <w:rsid w:val="000E0524"/>
    <w:rsid w:val="000E09A5"/>
    <w:rsid w:val="000E09F6"/>
    <w:rsid w:val="000E0B99"/>
    <w:rsid w:val="000E0B9C"/>
    <w:rsid w:val="000E0E3F"/>
    <w:rsid w:val="000E1027"/>
    <w:rsid w:val="000E12E2"/>
    <w:rsid w:val="000E1748"/>
    <w:rsid w:val="000E174F"/>
    <w:rsid w:val="000E1917"/>
    <w:rsid w:val="000E1CC7"/>
    <w:rsid w:val="000E2846"/>
    <w:rsid w:val="000E2994"/>
    <w:rsid w:val="000E2A73"/>
    <w:rsid w:val="000E2CF3"/>
    <w:rsid w:val="000E3035"/>
    <w:rsid w:val="000E34BD"/>
    <w:rsid w:val="000E363D"/>
    <w:rsid w:val="000E3707"/>
    <w:rsid w:val="000E3736"/>
    <w:rsid w:val="000E3915"/>
    <w:rsid w:val="000E3C54"/>
    <w:rsid w:val="000E3CB8"/>
    <w:rsid w:val="000E4001"/>
    <w:rsid w:val="000E41D6"/>
    <w:rsid w:val="000E492A"/>
    <w:rsid w:val="000E492F"/>
    <w:rsid w:val="000E4B8E"/>
    <w:rsid w:val="000E4B91"/>
    <w:rsid w:val="000E4F3A"/>
    <w:rsid w:val="000E4F41"/>
    <w:rsid w:val="000E50A9"/>
    <w:rsid w:val="000E5404"/>
    <w:rsid w:val="000E54AE"/>
    <w:rsid w:val="000E5DB0"/>
    <w:rsid w:val="000E6413"/>
    <w:rsid w:val="000E6504"/>
    <w:rsid w:val="000E6643"/>
    <w:rsid w:val="000E687B"/>
    <w:rsid w:val="000E693D"/>
    <w:rsid w:val="000E693E"/>
    <w:rsid w:val="000E6AAF"/>
    <w:rsid w:val="000E6AF0"/>
    <w:rsid w:val="000E7049"/>
    <w:rsid w:val="000E7116"/>
    <w:rsid w:val="000E74EA"/>
    <w:rsid w:val="000E7A51"/>
    <w:rsid w:val="000E7C0B"/>
    <w:rsid w:val="000E7D7C"/>
    <w:rsid w:val="000E7DCE"/>
    <w:rsid w:val="000F03D5"/>
    <w:rsid w:val="000F0432"/>
    <w:rsid w:val="000F053F"/>
    <w:rsid w:val="000F0649"/>
    <w:rsid w:val="000F0C4F"/>
    <w:rsid w:val="000F0D4E"/>
    <w:rsid w:val="000F110F"/>
    <w:rsid w:val="000F13A7"/>
    <w:rsid w:val="000F1902"/>
    <w:rsid w:val="000F1A86"/>
    <w:rsid w:val="000F1C29"/>
    <w:rsid w:val="000F20E7"/>
    <w:rsid w:val="000F2195"/>
    <w:rsid w:val="000F2235"/>
    <w:rsid w:val="000F24F8"/>
    <w:rsid w:val="000F264C"/>
    <w:rsid w:val="000F2825"/>
    <w:rsid w:val="000F29E0"/>
    <w:rsid w:val="000F2BFE"/>
    <w:rsid w:val="000F2C22"/>
    <w:rsid w:val="000F3072"/>
    <w:rsid w:val="000F3695"/>
    <w:rsid w:val="000F3854"/>
    <w:rsid w:val="000F3B73"/>
    <w:rsid w:val="000F3C81"/>
    <w:rsid w:val="000F3DAA"/>
    <w:rsid w:val="000F3E47"/>
    <w:rsid w:val="000F3F43"/>
    <w:rsid w:val="000F4014"/>
    <w:rsid w:val="000F42D3"/>
    <w:rsid w:val="000F44FD"/>
    <w:rsid w:val="000F462A"/>
    <w:rsid w:val="000F4681"/>
    <w:rsid w:val="000F4818"/>
    <w:rsid w:val="000F48DC"/>
    <w:rsid w:val="000F49DC"/>
    <w:rsid w:val="000F4CFD"/>
    <w:rsid w:val="000F529F"/>
    <w:rsid w:val="000F5537"/>
    <w:rsid w:val="000F5560"/>
    <w:rsid w:val="000F55E3"/>
    <w:rsid w:val="000F590D"/>
    <w:rsid w:val="000F5B8C"/>
    <w:rsid w:val="000F5C2D"/>
    <w:rsid w:val="000F5EBB"/>
    <w:rsid w:val="000F5F9D"/>
    <w:rsid w:val="000F612D"/>
    <w:rsid w:val="000F6264"/>
    <w:rsid w:val="000F6395"/>
    <w:rsid w:val="000F63C5"/>
    <w:rsid w:val="000F69D6"/>
    <w:rsid w:val="000F6A6F"/>
    <w:rsid w:val="000F6A8E"/>
    <w:rsid w:val="000F6D8F"/>
    <w:rsid w:val="000F6E00"/>
    <w:rsid w:val="000F6F50"/>
    <w:rsid w:val="000F7060"/>
    <w:rsid w:val="000F70DE"/>
    <w:rsid w:val="000F7136"/>
    <w:rsid w:val="000F73C6"/>
    <w:rsid w:val="000F74D2"/>
    <w:rsid w:val="000F7886"/>
    <w:rsid w:val="000F79AD"/>
    <w:rsid w:val="000F7A32"/>
    <w:rsid w:val="000F7AD5"/>
    <w:rsid w:val="000F7B9C"/>
    <w:rsid w:val="000F7D12"/>
    <w:rsid w:val="000F7DE1"/>
    <w:rsid w:val="001002FC"/>
    <w:rsid w:val="00100341"/>
    <w:rsid w:val="001003AC"/>
    <w:rsid w:val="00100B71"/>
    <w:rsid w:val="00100B84"/>
    <w:rsid w:val="00100D9F"/>
    <w:rsid w:val="00100DFB"/>
    <w:rsid w:val="00100EB4"/>
    <w:rsid w:val="00100F9A"/>
    <w:rsid w:val="00100FEB"/>
    <w:rsid w:val="00101260"/>
    <w:rsid w:val="001015C5"/>
    <w:rsid w:val="001016AE"/>
    <w:rsid w:val="0010179A"/>
    <w:rsid w:val="001017E4"/>
    <w:rsid w:val="00101816"/>
    <w:rsid w:val="00101945"/>
    <w:rsid w:val="001019E5"/>
    <w:rsid w:val="00101AA9"/>
    <w:rsid w:val="00101DCC"/>
    <w:rsid w:val="00101E27"/>
    <w:rsid w:val="00102079"/>
    <w:rsid w:val="00102437"/>
    <w:rsid w:val="0010274E"/>
    <w:rsid w:val="00102793"/>
    <w:rsid w:val="00102899"/>
    <w:rsid w:val="001028AE"/>
    <w:rsid w:val="00102A05"/>
    <w:rsid w:val="00102F2F"/>
    <w:rsid w:val="00102F9B"/>
    <w:rsid w:val="001031D7"/>
    <w:rsid w:val="00103871"/>
    <w:rsid w:val="00103A94"/>
    <w:rsid w:val="00103AF8"/>
    <w:rsid w:val="00103D48"/>
    <w:rsid w:val="0010420C"/>
    <w:rsid w:val="00104280"/>
    <w:rsid w:val="0010435C"/>
    <w:rsid w:val="00104559"/>
    <w:rsid w:val="00104661"/>
    <w:rsid w:val="0010471E"/>
    <w:rsid w:val="00104888"/>
    <w:rsid w:val="00104930"/>
    <w:rsid w:val="00104932"/>
    <w:rsid w:val="00104BA9"/>
    <w:rsid w:val="00104CFD"/>
    <w:rsid w:val="00104DD2"/>
    <w:rsid w:val="00105061"/>
    <w:rsid w:val="001052EF"/>
    <w:rsid w:val="001052F0"/>
    <w:rsid w:val="00105537"/>
    <w:rsid w:val="00105713"/>
    <w:rsid w:val="00105A40"/>
    <w:rsid w:val="00105AEC"/>
    <w:rsid w:val="00105E4D"/>
    <w:rsid w:val="00105EC4"/>
    <w:rsid w:val="001061A0"/>
    <w:rsid w:val="00106AFF"/>
    <w:rsid w:val="00106B2C"/>
    <w:rsid w:val="00106D8C"/>
    <w:rsid w:val="0010700A"/>
    <w:rsid w:val="00107049"/>
    <w:rsid w:val="00107160"/>
    <w:rsid w:val="0010719A"/>
    <w:rsid w:val="00107536"/>
    <w:rsid w:val="001075DE"/>
    <w:rsid w:val="001076D9"/>
    <w:rsid w:val="001077B7"/>
    <w:rsid w:val="00107EF7"/>
    <w:rsid w:val="00110148"/>
    <w:rsid w:val="001103D7"/>
    <w:rsid w:val="00110577"/>
    <w:rsid w:val="0011074D"/>
    <w:rsid w:val="00110AA5"/>
    <w:rsid w:val="00110BB0"/>
    <w:rsid w:val="00110D87"/>
    <w:rsid w:val="00110F51"/>
    <w:rsid w:val="001110E8"/>
    <w:rsid w:val="00111341"/>
    <w:rsid w:val="0011146F"/>
    <w:rsid w:val="00111772"/>
    <w:rsid w:val="00111946"/>
    <w:rsid w:val="00111AB4"/>
    <w:rsid w:val="00111C43"/>
    <w:rsid w:val="00111F7C"/>
    <w:rsid w:val="00111FCF"/>
    <w:rsid w:val="001120C1"/>
    <w:rsid w:val="00112238"/>
    <w:rsid w:val="001122E5"/>
    <w:rsid w:val="001128CA"/>
    <w:rsid w:val="001129DA"/>
    <w:rsid w:val="00112AAD"/>
    <w:rsid w:val="00112B05"/>
    <w:rsid w:val="00112B63"/>
    <w:rsid w:val="00112BAE"/>
    <w:rsid w:val="00112C3F"/>
    <w:rsid w:val="00112D9F"/>
    <w:rsid w:val="00112F8A"/>
    <w:rsid w:val="001130FB"/>
    <w:rsid w:val="0011314A"/>
    <w:rsid w:val="0011336E"/>
    <w:rsid w:val="00113432"/>
    <w:rsid w:val="00113476"/>
    <w:rsid w:val="0011348A"/>
    <w:rsid w:val="001134A0"/>
    <w:rsid w:val="00113625"/>
    <w:rsid w:val="001138CB"/>
    <w:rsid w:val="00113BC7"/>
    <w:rsid w:val="00114052"/>
    <w:rsid w:val="001142CF"/>
    <w:rsid w:val="0011474A"/>
    <w:rsid w:val="00114C23"/>
    <w:rsid w:val="00114C74"/>
    <w:rsid w:val="00114CD3"/>
    <w:rsid w:val="00114FB3"/>
    <w:rsid w:val="00115102"/>
    <w:rsid w:val="00115186"/>
    <w:rsid w:val="00115228"/>
    <w:rsid w:val="001152F5"/>
    <w:rsid w:val="00115385"/>
    <w:rsid w:val="0011540A"/>
    <w:rsid w:val="00115442"/>
    <w:rsid w:val="001158C4"/>
    <w:rsid w:val="00115C04"/>
    <w:rsid w:val="001161A5"/>
    <w:rsid w:val="001161F5"/>
    <w:rsid w:val="00116462"/>
    <w:rsid w:val="0011656E"/>
    <w:rsid w:val="00116884"/>
    <w:rsid w:val="001169D0"/>
    <w:rsid w:val="00116B19"/>
    <w:rsid w:val="00116B4C"/>
    <w:rsid w:val="00116BBF"/>
    <w:rsid w:val="00116D54"/>
    <w:rsid w:val="00116F54"/>
    <w:rsid w:val="00116F9E"/>
    <w:rsid w:val="001171B5"/>
    <w:rsid w:val="001173DC"/>
    <w:rsid w:val="00117920"/>
    <w:rsid w:val="00117A61"/>
    <w:rsid w:val="00117DBE"/>
    <w:rsid w:val="00117E5C"/>
    <w:rsid w:val="00120276"/>
    <w:rsid w:val="0012077E"/>
    <w:rsid w:val="00120BAB"/>
    <w:rsid w:val="00120CC2"/>
    <w:rsid w:val="00120E9F"/>
    <w:rsid w:val="00120EE5"/>
    <w:rsid w:val="00121413"/>
    <w:rsid w:val="00121718"/>
    <w:rsid w:val="00121725"/>
    <w:rsid w:val="00121942"/>
    <w:rsid w:val="00121C2E"/>
    <w:rsid w:val="00121EBA"/>
    <w:rsid w:val="00122221"/>
    <w:rsid w:val="001226A7"/>
    <w:rsid w:val="001229D1"/>
    <w:rsid w:val="00122BEE"/>
    <w:rsid w:val="00122F2F"/>
    <w:rsid w:val="00122F8C"/>
    <w:rsid w:val="0012327A"/>
    <w:rsid w:val="001235EA"/>
    <w:rsid w:val="001238FC"/>
    <w:rsid w:val="00123A39"/>
    <w:rsid w:val="00123A49"/>
    <w:rsid w:val="00123ADA"/>
    <w:rsid w:val="00123BE5"/>
    <w:rsid w:val="00123D81"/>
    <w:rsid w:val="00123E52"/>
    <w:rsid w:val="00123E7B"/>
    <w:rsid w:val="00124127"/>
    <w:rsid w:val="00124398"/>
    <w:rsid w:val="001243AE"/>
    <w:rsid w:val="0012447E"/>
    <w:rsid w:val="0012470F"/>
    <w:rsid w:val="00124EA2"/>
    <w:rsid w:val="00124ED2"/>
    <w:rsid w:val="0012502C"/>
    <w:rsid w:val="0012553D"/>
    <w:rsid w:val="00125A6B"/>
    <w:rsid w:val="00125C2D"/>
    <w:rsid w:val="00125C8D"/>
    <w:rsid w:val="00125F12"/>
    <w:rsid w:val="00125FA3"/>
    <w:rsid w:val="001264FF"/>
    <w:rsid w:val="001266CD"/>
    <w:rsid w:val="001266CF"/>
    <w:rsid w:val="001266F2"/>
    <w:rsid w:val="00126780"/>
    <w:rsid w:val="00126857"/>
    <w:rsid w:val="00126874"/>
    <w:rsid w:val="0012699C"/>
    <w:rsid w:val="00126A2E"/>
    <w:rsid w:val="00126B9C"/>
    <w:rsid w:val="00126D2B"/>
    <w:rsid w:val="0012713B"/>
    <w:rsid w:val="00127162"/>
    <w:rsid w:val="00127303"/>
    <w:rsid w:val="001274A4"/>
    <w:rsid w:val="001274FA"/>
    <w:rsid w:val="00127662"/>
    <w:rsid w:val="001276DE"/>
    <w:rsid w:val="00127963"/>
    <w:rsid w:val="00127B4F"/>
    <w:rsid w:val="00127B5D"/>
    <w:rsid w:val="00127D02"/>
    <w:rsid w:val="00127D73"/>
    <w:rsid w:val="00127EFE"/>
    <w:rsid w:val="0013008E"/>
    <w:rsid w:val="00130149"/>
    <w:rsid w:val="001305B9"/>
    <w:rsid w:val="00130733"/>
    <w:rsid w:val="0013079C"/>
    <w:rsid w:val="0013096B"/>
    <w:rsid w:val="00130ADA"/>
    <w:rsid w:val="00130BA5"/>
    <w:rsid w:val="00130C6E"/>
    <w:rsid w:val="00130D5C"/>
    <w:rsid w:val="00131264"/>
    <w:rsid w:val="00131323"/>
    <w:rsid w:val="001313FE"/>
    <w:rsid w:val="001315AC"/>
    <w:rsid w:val="00131718"/>
    <w:rsid w:val="0013191A"/>
    <w:rsid w:val="00131B1E"/>
    <w:rsid w:val="00131C28"/>
    <w:rsid w:val="001326BB"/>
    <w:rsid w:val="00132A52"/>
    <w:rsid w:val="001330A3"/>
    <w:rsid w:val="001330FB"/>
    <w:rsid w:val="0013345C"/>
    <w:rsid w:val="00133463"/>
    <w:rsid w:val="00133AFA"/>
    <w:rsid w:val="00133E1A"/>
    <w:rsid w:val="00133EB5"/>
    <w:rsid w:val="001342AE"/>
    <w:rsid w:val="00134743"/>
    <w:rsid w:val="00134834"/>
    <w:rsid w:val="00134CC1"/>
    <w:rsid w:val="0013503D"/>
    <w:rsid w:val="00135362"/>
    <w:rsid w:val="0013544F"/>
    <w:rsid w:val="001359D3"/>
    <w:rsid w:val="00135E56"/>
    <w:rsid w:val="00136189"/>
    <w:rsid w:val="001361DA"/>
    <w:rsid w:val="00136832"/>
    <w:rsid w:val="00136AF5"/>
    <w:rsid w:val="00136B56"/>
    <w:rsid w:val="001370BB"/>
    <w:rsid w:val="00137375"/>
    <w:rsid w:val="001373D3"/>
    <w:rsid w:val="001373E0"/>
    <w:rsid w:val="0013742F"/>
    <w:rsid w:val="00137431"/>
    <w:rsid w:val="0013758C"/>
    <w:rsid w:val="001375DA"/>
    <w:rsid w:val="00137618"/>
    <w:rsid w:val="0013767E"/>
    <w:rsid w:val="001377A8"/>
    <w:rsid w:val="00137976"/>
    <w:rsid w:val="00137A6C"/>
    <w:rsid w:val="0013AD0E"/>
    <w:rsid w:val="0013B1FB"/>
    <w:rsid w:val="0014019D"/>
    <w:rsid w:val="001404AF"/>
    <w:rsid w:val="001408EA"/>
    <w:rsid w:val="00140A85"/>
    <w:rsid w:val="00140BA5"/>
    <w:rsid w:val="00140ED2"/>
    <w:rsid w:val="00140F25"/>
    <w:rsid w:val="00141026"/>
    <w:rsid w:val="00141787"/>
    <w:rsid w:val="0014192A"/>
    <w:rsid w:val="0014196E"/>
    <w:rsid w:val="00141D83"/>
    <w:rsid w:val="00141FAF"/>
    <w:rsid w:val="0014202B"/>
    <w:rsid w:val="001422C3"/>
    <w:rsid w:val="001423C7"/>
    <w:rsid w:val="00142450"/>
    <w:rsid w:val="001427C4"/>
    <w:rsid w:val="001428E3"/>
    <w:rsid w:val="00142924"/>
    <w:rsid w:val="001429D5"/>
    <w:rsid w:val="00142DCA"/>
    <w:rsid w:val="00142E5A"/>
    <w:rsid w:val="00142F5B"/>
    <w:rsid w:val="00142FFD"/>
    <w:rsid w:val="00143300"/>
    <w:rsid w:val="0014335D"/>
    <w:rsid w:val="001434E3"/>
    <w:rsid w:val="00143B29"/>
    <w:rsid w:val="00143C79"/>
    <w:rsid w:val="00143DE5"/>
    <w:rsid w:val="00143F9F"/>
    <w:rsid w:val="00144164"/>
    <w:rsid w:val="00144D16"/>
    <w:rsid w:val="001452AE"/>
    <w:rsid w:val="00145381"/>
    <w:rsid w:val="0014568D"/>
    <w:rsid w:val="00145A15"/>
    <w:rsid w:val="00145D2E"/>
    <w:rsid w:val="00145E18"/>
    <w:rsid w:val="00145F0D"/>
    <w:rsid w:val="00145F32"/>
    <w:rsid w:val="00146061"/>
    <w:rsid w:val="001461CE"/>
    <w:rsid w:val="00146515"/>
    <w:rsid w:val="001467B4"/>
    <w:rsid w:val="00146A6D"/>
    <w:rsid w:val="00146F07"/>
    <w:rsid w:val="00146FD3"/>
    <w:rsid w:val="0014726D"/>
    <w:rsid w:val="001472FE"/>
    <w:rsid w:val="00147339"/>
    <w:rsid w:val="001473A8"/>
    <w:rsid w:val="001473B6"/>
    <w:rsid w:val="001473C2"/>
    <w:rsid w:val="001474FD"/>
    <w:rsid w:val="001477EA"/>
    <w:rsid w:val="001477FD"/>
    <w:rsid w:val="00147EDA"/>
    <w:rsid w:val="0015040C"/>
    <w:rsid w:val="0015042E"/>
    <w:rsid w:val="00150540"/>
    <w:rsid w:val="00150629"/>
    <w:rsid w:val="0015072D"/>
    <w:rsid w:val="00150CCA"/>
    <w:rsid w:val="00150CFD"/>
    <w:rsid w:val="00150D60"/>
    <w:rsid w:val="00151016"/>
    <w:rsid w:val="001512DD"/>
    <w:rsid w:val="00151524"/>
    <w:rsid w:val="00151683"/>
    <w:rsid w:val="001516BB"/>
    <w:rsid w:val="00151842"/>
    <w:rsid w:val="00151861"/>
    <w:rsid w:val="0015192D"/>
    <w:rsid w:val="00151AFF"/>
    <w:rsid w:val="00151BEF"/>
    <w:rsid w:val="00151D6B"/>
    <w:rsid w:val="00152001"/>
    <w:rsid w:val="00152759"/>
    <w:rsid w:val="00152783"/>
    <w:rsid w:val="001529F8"/>
    <w:rsid w:val="00152A81"/>
    <w:rsid w:val="00152E83"/>
    <w:rsid w:val="00153236"/>
    <w:rsid w:val="00153259"/>
    <w:rsid w:val="001535E0"/>
    <w:rsid w:val="00153878"/>
    <w:rsid w:val="001538CD"/>
    <w:rsid w:val="0015397A"/>
    <w:rsid w:val="00154403"/>
    <w:rsid w:val="00154773"/>
    <w:rsid w:val="001547CD"/>
    <w:rsid w:val="001547FB"/>
    <w:rsid w:val="00154915"/>
    <w:rsid w:val="00154E15"/>
    <w:rsid w:val="00154F07"/>
    <w:rsid w:val="00154FAE"/>
    <w:rsid w:val="00155278"/>
    <w:rsid w:val="001553E4"/>
    <w:rsid w:val="001554C2"/>
    <w:rsid w:val="0015552C"/>
    <w:rsid w:val="0015571E"/>
    <w:rsid w:val="00155E2A"/>
    <w:rsid w:val="00156142"/>
    <w:rsid w:val="00156175"/>
    <w:rsid w:val="0015645F"/>
    <w:rsid w:val="00156542"/>
    <w:rsid w:val="00156983"/>
    <w:rsid w:val="001569FF"/>
    <w:rsid w:val="00156CE3"/>
    <w:rsid w:val="00156F2F"/>
    <w:rsid w:val="00157142"/>
    <w:rsid w:val="001571CB"/>
    <w:rsid w:val="0015753E"/>
    <w:rsid w:val="0015767B"/>
    <w:rsid w:val="00157A7C"/>
    <w:rsid w:val="00157BBC"/>
    <w:rsid w:val="00157D48"/>
    <w:rsid w:val="00157EFB"/>
    <w:rsid w:val="00157F21"/>
    <w:rsid w:val="0015A29C"/>
    <w:rsid w:val="001602A3"/>
    <w:rsid w:val="001608E5"/>
    <w:rsid w:val="00160937"/>
    <w:rsid w:val="00160B4D"/>
    <w:rsid w:val="00160D37"/>
    <w:rsid w:val="00160DDC"/>
    <w:rsid w:val="00160F77"/>
    <w:rsid w:val="00161240"/>
    <w:rsid w:val="0016154F"/>
    <w:rsid w:val="001616B2"/>
    <w:rsid w:val="001617F9"/>
    <w:rsid w:val="0016187D"/>
    <w:rsid w:val="001618E5"/>
    <w:rsid w:val="00161C23"/>
    <w:rsid w:val="00161D24"/>
    <w:rsid w:val="00161F0E"/>
    <w:rsid w:val="001620A9"/>
    <w:rsid w:val="00162352"/>
    <w:rsid w:val="001625FE"/>
    <w:rsid w:val="00162713"/>
    <w:rsid w:val="001627F1"/>
    <w:rsid w:val="00162879"/>
    <w:rsid w:val="001629E0"/>
    <w:rsid w:val="00162CDB"/>
    <w:rsid w:val="001630B5"/>
    <w:rsid w:val="00163238"/>
    <w:rsid w:val="001634B8"/>
    <w:rsid w:val="00163583"/>
    <w:rsid w:val="0016372A"/>
    <w:rsid w:val="001637ED"/>
    <w:rsid w:val="00163C5C"/>
    <w:rsid w:val="00163D57"/>
    <w:rsid w:val="00164259"/>
    <w:rsid w:val="001642AA"/>
    <w:rsid w:val="001643FE"/>
    <w:rsid w:val="00164743"/>
    <w:rsid w:val="00164803"/>
    <w:rsid w:val="00164922"/>
    <w:rsid w:val="00164955"/>
    <w:rsid w:val="00164AC1"/>
    <w:rsid w:val="00164C4B"/>
    <w:rsid w:val="00164C51"/>
    <w:rsid w:val="00164C56"/>
    <w:rsid w:val="00164DCB"/>
    <w:rsid w:val="00164E60"/>
    <w:rsid w:val="00164ECC"/>
    <w:rsid w:val="00164F9F"/>
    <w:rsid w:val="00165070"/>
    <w:rsid w:val="001650E7"/>
    <w:rsid w:val="001652F5"/>
    <w:rsid w:val="00165426"/>
    <w:rsid w:val="00165684"/>
    <w:rsid w:val="00165ADB"/>
    <w:rsid w:val="00165B1B"/>
    <w:rsid w:val="00165C43"/>
    <w:rsid w:val="00165F20"/>
    <w:rsid w:val="0016605E"/>
    <w:rsid w:val="001660FD"/>
    <w:rsid w:val="0016613A"/>
    <w:rsid w:val="0016616C"/>
    <w:rsid w:val="001661B2"/>
    <w:rsid w:val="00166319"/>
    <w:rsid w:val="0016632C"/>
    <w:rsid w:val="001663AF"/>
    <w:rsid w:val="00166791"/>
    <w:rsid w:val="001669CB"/>
    <w:rsid w:val="00166BBF"/>
    <w:rsid w:val="00166CE3"/>
    <w:rsid w:val="00166D5B"/>
    <w:rsid w:val="00166D64"/>
    <w:rsid w:val="00166F32"/>
    <w:rsid w:val="00166F7E"/>
    <w:rsid w:val="00167215"/>
    <w:rsid w:val="0016721A"/>
    <w:rsid w:val="0016725C"/>
    <w:rsid w:val="00167E20"/>
    <w:rsid w:val="0016A551"/>
    <w:rsid w:val="001700D0"/>
    <w:rsid w:val="001700FD"/>
    <w:rsid w:val="001702B3"/>
    <w:rsid w:val="001702CB"/>
    <w:rsid w:val="001702F6"/>
    <w:rsid w:val="0017074D"/>
    <w:rsid w:val="00170980"/>
    <w:rsid w:val="00170E41"/>
    <w:rsid w:val="001716BD"/>
    <w:rsid w:val="001717CC"/>
    <w:rsid w:val="001719F2"/>
    <w:rsid w:val="00171BD3"/>
    <w:rsid w:val="00171DAD"/>
    <w:rsid w:val="00171F2A"/>
    <w:rsid w:val="00171FDE"/>
    <w:rsid w:val="00172027"/>
    <w:rsid w:val="00172043"/>
    <w:rsid w:val="0017205C"/>
    <w:rsid w:val="0017223A"/>
    <w:rsid w:val="0017231D"/>
    <w:rsid w:val="00172412"/>
    <w:rsid w:val="001725C7"/>
    <w:rsid w:val="00172822"/>
    <w:rsid w:val="0017286A"/>
    <w:rsid w:val="001729C4"/>
    <w:rsid w:val="00172B7E"/>
    <w:rsid w:val="00172C36"/>
    <w:rsid w:val="00172C5F"/>
    <w:rsid w:val="00172EE9"/>
    <w:rsid w:val="00172F05"/>
    <w:rsid w:val="001732D8"/>
    <w:rsid w:val="0017344F"/>
    <w:rsid w:val="0017358A"/>
    <w:rsid w:val="001735C7"/>
    <w:rsid w:val="00173735"/>
    <w:rsid w:val="0017394B"/>
    <w:rsid w:val="00173AAD"/>
    <w:rsid w:val="00173AD7"/>
    <w:rsid w:val="00173C12"/>
    <w:rsid w:val="00173CBB"/>
    <w:rsid w:val="00173FCB"/>
    <w:rsid w:val="001742D8"/>
    <w:rsid w:val="001742EA"/>
    <w:rsid w:val="00174372"/>
    <w:rsid w:val="0017449C"/>
    <w:rsid w:val="001747E0"/>
    <w:rsid w:val="001749B1"/>
    <w:rsid w:val="00174B69"/>
    <w:rsid w:val="00174D98"/>
    <w:rsid w:val="00174DCA"/>
    <w:rsid w:val="00174DD5"/>
    <w:rsid w:val="00174E84"/>
    <w:rsid w:val="00174E96"/>
    <w:rsid w:val="00174FCD"/>
    <w:rsid w:val="00174FF2"/>
    <w:rsid w:val="00175139"/>
    <w:rsid w:val="001751ED"/>
    <w:rsid w:val="00175207"/>
    <w:rsid w:val="001754C0"/>
    <w:rsid w:val="00175612"/>
    <w:rsid w:val="001757E7"/>
    <w:rsid w:val="001759BB"/>
    <w:rsid w:val="00175A7D"/>
    <w:rsid w:val="00175AA2"/>
    <w:rsid w:val="00175EEF"/>
    <w:rsid w:val="00176061"/>
    <w:rsid w:val="0017622E"/>
    <w:rsid w:val="0017626F"/>
    <w:rsid w:val="001767F5"/>
    <w:rsid w:val="00176985"/>
    <w:rsid w:val="00176A7E"/>
    <w:rsid w:val="00176B3F"/>
    <w:rsid w:val="00176E65"/>
    <w:rsid w:val="00176F2C"/>
    <w:rsid w:val="00176F9A"/>
    <w:rsid w:val="00177655"/>
    <w:rsid w:val="001777D3"/>
    <w:rsid w:val="00177875"/>
    <w:rsid w:val="00177878"/>
    <w:rsid w:val="00177903"/>
    <w:rsid w:val="001779D8"/>
    <w:rsid w:val="00177A1C"/>
    <w:rsid w:val="00177B5B"/>
    <w:rsid w:val="00177C94"/>
    <w:rsid w:val="00177FA2"/>
    <w:rsid w:val="0018000A"/>
    <w:rsid w:val="00180064"/>
    <w:rsid w:val="001800AE"/>
    <w:rsid w:val="00180363"/>
    <w:rsid w:val="00180419"/>
    <w:rsid w:val="0018096F"/>
    <w:rsid w:val="00180FE3"/>
    <w:rsid w:val="001810F4"/>
    <w:rsid w:val="00181295"/>
    <w:rsid w:val="001815FD"/>
    <w:rsid w:val="0018166D"/>
    <w:rsid w:val="0018190E"/>
    <w:rsid w:val="00181A6C"/>
    <w:rsid w:val="001820BF"/>
    <w:rsid w:val="00182122"/>
    <w:rsid w:val="00182167"/>
    <w:rsid w:val="00182600"/>
    <w:rsid w:val="001826DB"/>
    <w:rsid w:val="00182B32"/>
    <w:rsid w:val="00182B71"/>
    <w:rsid w:val="00182DFB"/>
    <w:rsid w:val="00182E6D"/>
    <w:rsid w:val="00182F64"/>
    <w:rsid w:val="00183525"/>
    <w:rsid w:val="00183944"/>
    <w:rsid w:val="00183AC3"/>
    <w:rsid w:val="00183C29"/>
    <w:rsid w:val="00183E69"/>
    <w:rsid w:val="00183F08"/>
    <w:rsid w:val="00183FAC"/>
    <w:rsid w:val="001840BA"/>
    <w:rsid w:val="00184124"/>
    <w:rsid w:val="001844EA"/>
    <w:rsid w:val="001844EB"/>
    <w:rsid w:val="00184DAE"/>
    <w:rsid w:val="00184EA4"/>
    <w:rsid w:val="00184EBE"/>
    <w:rsid w:val="00185356"/>
    <w:rsid w:val="0018554E"/>
    <w:rsid w:val="001857CD"/>
    <w:rsid w:val="00185888"/>
    <w:rsid w:val="001859E9"/>
    <w:rsid w:val="00185DB4"/>
    <w:rsid w:val="0018608D"/>
    <w:rsid w:val="001866D9"/>
    <w:rsid w:val="00186796"/>
    <w:rsid w:val="001868DF"/>
    <w:rsid w:val="0018692B"/>
    <w:rsid w:val="00186B9E"/>
    <w:rsid w:val="00186DA1"/>
    <w:rsid w:val="00186E4E"/>
    <w:rsid w:val="00187148"/>
    <w:rsid w:val="001871BA"/>
    <w:rsid w:val="00187489"/>
    <w:rsid w:val="001876E0"/>
    <w:rsid w:val="00187D28"/>
    <w:rsid w:val="00187D59"/>
    <w:rsid w:val="00187D74"/>
    <w:rsid w:val="00187D8C"/>
    <w:rsid w:val="0019004E"/>
    <w:rsid w:val="001902A3"/>
    <w:rsid w:val="00190422"/>
    <w:rsid w:val="0019053D"/>
    <w:rsid w:val="001907E6"/>
    <w:rsid w:val="00190E3E"/>
    <w:rsid w:val="001916E6"/>
    <w:rsid w:val="00191743"/>
    <w:rsid w:val="00191E4C"/>
    <w:rsid w:val="00191E95"/>
    <w:rsid w:val="0019240C"/>
    <w:rsid w:val="0019241B"/>
    <w:rsid w:val="001924D2"/>
    <w:rsid w:val="00192598"/>
    <w:rsid w:val="001925E7"/>
    <w:rsid w:val="00192778"/>
    <w:rsid w:val="001927D6"/>
    <w:rsid w:val="00192A53"/>
    <w:rsid w:val="00192B45"/>
    <w:rsid w:val="00192D11"/>
    <w:rsid w:val="00192D6E"/>
    <w:rsid w:val="00192E13"/>
    <w:rsid w:val="00192F9A"/>
    <w:rsid w:val="00193016"/>
    <w:rsid w:val="001931CA"/>
    <w:rsid w:val="0019320B"/>
    <w:rsid w:val="00193342"/>
    <w:rsid w:val="00193396"/>
    <w:rsid w:val="00193457"/>
    <w:rsid w:val="00193480"/>
    <w:rsid w:val="00193865"/>
    <w:rsid w:val="00193B19"/>
    <w:rsid w:val="00193C10"/>
    <w:rsid w:val="00193E31"/>
    <w:rsid w:val="001946B7"/>
    <w:rsid w:val="001947EB"/>
    <w:rsid w:val="001948B7"/>
    <w:rsid w:val="00194A09"/>
    <w:rsid w:val="00194AAA"/>
    <w:rsid w:val="00194B48"/>
    <w:rsid w:val="00194D29"/>
    <w:rsid w:val="00194DCD"/>
    <w:rsid w:val="00194E43"/>
    <w:rsid w:val="001951E8"/>
    <w:rsid w:val="0019522F"/>
    <w:rsid w:val="00195253"/>
    <w:rsid w:val="001952E4"/>
    <w:rsid w:val="001953B7"/>
    <w:rsid w:val="001956AA"/>
    <w:rsid w:val="001958DA"/>
    <w:rsid w:val="00195A0F"/>
    <w:rsid w:val="00195ED7"/>
    <w:rsid w:val="00196008"/>
    <w:rsid w:val="00196118"/>
    <w:rsid w:val="00196472"/>
    <w:rsid w:val="00196796"/>
    <w:rsid w:val="001967B5"/>
    <w:rsid w:val="001968F3"/>
    <w:rsid w:val="00196937"/>
    <w:rsid w:val="00196A64"/>
    <w:rsid w:val="001974F5"/>
    <w:rsid w:val="00197789"/>
    <w:rsid w:val="00197838"/>
    <w:rsid w:val="00197881"/>
    <w:rsid w:val="001978D9"/>
    <w:rsid w:val="00197D14"/>
    <w:rsid w:val="001A043B"/>
    <w:rsid w:val="001A0555"/>
    <w:rsid w:val="001A0897"/>
    <w:rsid w:val="001A09FF"/>
    <w:rsid w:val="001A0A9C"/>
    <w:rsid w:val="001A0AA0"/>
    <w:rsid w:val="001A0FD6"/>
    <w:rsid w:val="001A101C"/>
    <w:rsid w:val="001A11A4"/>
    <w:rsid w:val="001A1683"/>
    <w:rsid w:val="001A1E50"/>
    <w:rsid w:val="001A2229"/>
    <w:rsid w:val="001A223D"/>
    <w:rsid w:val="001A272B"/>
    <w:rsid w:val="001A2973"/>
    <w:rsid w:val="001A299E"/>
    <w:rsid w:val="001A2F33"/>
    <w:rsid w:val="001A306C"/>
    <w:rsid w:val="001A308A"/>
    <w:rsid w:val="001A33AB"/>
    <w:rsid w:val="001A357D"/>
    <w:rsid w:val="001A35BD"/>
    <w:rsid w:val="001A38B5"/>
    <w:rsid w:val="001A39CC"/>
    <w:rsid w:val="001A3A81"/>
    <w:rsid w:val="001A3B02"/>
    <w:rsid w:val="001A3C13"/>
    <w:rsid w:val="001A3FCD"/>
    <w:rsid w:val="001A4089"/>
    <w:rsid w:val="001A4453"/>
    <w:rsid w:val="001A4491"/>
    <w:rsid w:val="001A4699"/>
    <w:rsid w:val="001A47F3"/>
    <w:rsid w:val="001A4827"/>
    <w:rsid w:val="001A4CE0"/>
    <w:rsid w:val="001A4EAD"/>
    <w:rsid w:val="001A4F1F"/>
    <w:rsid w:val="001A4FC2"/>
    <w:rsid w:val="001A5019"/>
    <w:rsid w:val="001A5260"/>
    <w:rsid w:val="001A5303"/>
    <w:rsid w:val="001A54B1"/>
    <w:rsid w:val="001A55D7"/>
    <w:rsid w:val="001A58D9"/>
    <w:rsid w:val="001A598D"/>
    <w:rsid w:val="001A59CD"/>
    <w:rsid w:val="001A59DC"/>
    <w:rsid w:val="001A653F"/>
    <w:rsid w:val="001A683E"/>
    <w:rsid w:val="001A68F8"/>
    <w:rsid w:val="001A6A11"/>
    <w:rsid w:val="001A6A90"/>
    <w:rsid w:val="001A6C67"/>
    <w:rsid w:val="001A6CA3"/>
    <w:rsid w:val="001A6F9B"/>
    <w:rsid w:val="001A7334"/>
    <w:rsid w:val="001A7549"/>
    <w:rsid w:val="001A761C"/>
    <w:rsid w:val="001A7691"/>
    <w:rsid w:val="001A76BB"/>
    <w:rsid w:val="001A76C7"/>
    <w:rsid w:val="001A791B"/>
    <w:rsid w:val="001A7944"/>
    <w:rsid w:val="001A79F9"/>
    <w:rsid w:val="001A7A94"/>
    <w:rsid w:val="001A7BBA"/>
    <w:rsid w:val="001AC9C5"/>
    <w:rsid w:val="001B0480"/>
    <w:rsid w:val="001B0782"/>
    <w:rsid w:val="001B09F8"/>
    <w:rsid w:val="001B0A2A"/>
    <w:rsid w:val="001B0B20"/>
    <w:rsid w:val="001B0F5F"/>
    <w:rsid w:val="001B0FAC"/>
    <w:rsid w:val="001B1148"/>
    <w:rsid w:val="001B1568"/>
    <w:rsid w:val="001B1751"/>
    <w:rsid w:val="001B18BE"/>
    <w:rsid w:val="001B1C3F"/>
    <w:rsid w:val="001B1D80"/>
    <w:rsid w:val="001B20AD"/>
    <w:rsid w:val="001B219A"/>
    <w:rsid w:val="001B2619"/>
    <w:rsid w:val="001B2806"/>
    <w:rsid w:val="001B2853"/>
    <w:rsid w:val="001B2D06"/>
    <w:rsid w:val="001B2D68"/>
    <w:rsid w:val="001B2EC5"/>
    <w:rsid w:val="001B2F45"/>
    <w:rsid w:val="001B2FB2"/>
    <w:rsid w:val="001B36EE"/>
    <w:rsid w:val="001B398E"/>
    <w:rsid w:val="001B39A3"/>
    <w:rsid w:val="001B3C49"/>
    <w:rsid w:val="001B3CE9"/>
    <w:rsid w:val="001B3CF3"/>
    <w:rsid w:val="001B3EC6"/>
    <w:rsid w:val="001B3FE1"/>
    <w:rsid w:val="001B4132"/>
    <w:rsid w:val="001B4205"/>
    <w:rsid w:val="001B420F"/>
    <w:rsid w:val="001B42C7"/>
    <w:rsid w:val="001B4389"/>
    <w:rsid w:val="001B43DA"/>
    <w:rsid w:val="001B490A"/>
    <w:rsid w:val="001B49C4"/>
    <w:rsid w:val="001B4A4C"/>
    <w:rsid w:val="001B5296"/>
    <w:rsid w:val="001B54CE"/>
    <w:rsid w:val="001B59FF"/>
    <w:rsid w:val="001B5A2F"/>
    <w:rsid w:val="001B5CBC"/>
    <w:rsid w:val="001B5D2A"/>
    <w:rsid w:val="001B5D9E"/>
    <w:rsid w:val="001B600E"/>
    <w:rsid w:val="001B609B"/>
    <w:rsid w:val="001B6202"/>
    <w:rsid w:val="001B6381"/>
    <w:rsid w:val="001B6399"/>
    <w:rsid w:val="001B63DA"/>
    <w:rsid w:val="001B64E1"/>
    <w:rsid w:val="001B666E"/>
    <w:rsid w:val="001B66A4"/>
    <w:rsid w:val="001B6CB4"/>
    <w:rsid w:val="001B6D29"/>
    <w:rsid w:val="001B70A5"/>
    <w:rsid w:val="001B7388"/>
    <w:rsid w:val="001B73EE"/>
    <w:rsid w:val="001B769E"/>
    <w:rsid w:val="001B7989"/>
    <w:rsid w:val="001B79FC"/>
    <w:rsid w:val="001B7B17"/>
    <w:rsid w:val="001BBAFA"/>
    <w:rsid w:val="001C048F"/>
    <w:rsid w:val="001C0660"/>
    <w:rsid w:val="001C078B"/>
    <w:rsid w:val="001C08BD"/>
    <w:rsid w:val="001C0A3B"/>
    <w:rsid w:val="001C0B91"/>
    <w:rsid w:val="001C0D79"/>
    <w:rsid w:val="001C0DAC"/>
    <w:rsid w:val="001C0F71"/>
    <w:rsid w:val="001C0FBC"/>
    <w:rsid w:val="001C1093"/>
    <w:rsid w:val="001C11F3"/>
    <w:rsid w:val="001C1225"/>
    <w:rsid w:val="001C14AA"/>
    <w:rsid w:val="001C190A"/>
    <w:rsid w:val="001C1C38"/>
    <w:rsid w:val="001C1D6E"/>
    <w:rsid w:val="001C1E6F"/>
    <w:rsid w:val="001C22B5"/>
    <w:rsid w:val="001C2355"/>
    <w:rsid w:val="001C2734"/>
    <w:rsid w:val="001C276E"/>
    <w:rsid w:val="001C29C7"/>
    <w:rsid w:val="001C317D"/>
    <w:rsid w:val="001C3434"/>
    <w:rsid w:val="001C3444"/>
    <w:rsid w:val="001C3538"/>
    <w:rsid w:val="001C3AC7"/>
    <w:rsid w:val="001C3AE6"/>
    <w:rsid w:val="001C3B71"/>
    <w:rsid w:val="001C3BFC"/>
    <w:rsid w:val="001C3D82"/>
    <w:rsid w:val="001C3EC7"/>
    <w:rsid w:val="001C45A8"/>
    <w:rsid w:val="001C4843"/>
    <w:rsid w:val="001C4A1D"/>
    <w:rsid w:val="001C4C76"/>
    <w:rsid w:val="001C4E24"/>
    <w:rsid w:val="001C4EE3"/>
    <w:rsid w:val="001C4F83"/>
    <w:rsid w:val="001C5128"/>
    <w:rsid w:val="001C5199"/>
    <w:rsid w:val="001C5272"/>
    <w:rsid w:val="001C5369"/>
    <w:rsid w:val="001C571B"/>
    <w:rsid w:val="001C574F"/>
    <w:rsid w:val="001C5918"/>
    <w:rsid w:val="001C5A1B"/>
    <w:rsid w:val="001C5F55"/>
    <w:rsid w:val="001C61CF"/>
    <w:rsid w:val="001C649A"/>
    <w:rsid w:val="001C64C9"/>
    <w:rsid w:val="001C665B"/>
    <w:rsid w:val="001C669E"/>
    <w:rsid w:val="001C671C"/>
    <w:rsid w:val="001C6BC7"/>
    <w:rsid w:val="001C72A2"/>
    <w:rsid w:val="001C72D1"/>
    <w:rsid w:val="001C72E3"/>
    <w:rsid w:val="001C730A"/>
    <w:rsid w:val="001C7D39"/>
    <w:rsid w:val="001C7FF0"/>
    <w:rsid w:val="001CAAED"/>
    <w:rsid w:val="001D04C7"/>
    <w:rsid w:val="001D05FC"/>
    <w:rsid w:val="001D0623"/>
    <w:rsid w:val="001D089D"/>
    <w:rsid w:val="001D08C2"/>
    <w:rsid w:val="001D0B3C"/>
    <w:rsid w:val="001D0CF6"/>
    <w:rsid w:val="001D101A"/>
    <w:rsid w:val="001D10D8"/>
    <w:rsid w:val="001D10FE"/>
    <w:rsid w:val="001D11C7"/>
    <w:rsid w:val="001D16F7"/>
    <w:rsid w:val="001D1980"/>
    <w:rsid w:val="001D1A5B"/>
    <w:rsid w:val="001D1B2A"/>
    <w:rsid w:val="001D201A"/>
    <w:rsid w:val="001D24AA"/>
    <w:rsid w:val="001D2665"/>
    <w:rsid w:val="001D289F"/>
    <w:rsid w:val="001D291C"/>
    <w:rsid w:val="001D2936"/>
    <w:rsid w:val="001D2BBF"/>
    <w:rsid w:val="001D2BC6"/>
    <w:rsid w:val="001D2C96"/>
    <w:rsid w:val="001D2CC2"/>
    <w:rsid w:val="001D2EA4"/>
    <w:rsid w:val="001D2F43"/>
    <w:rsid w:val="001D3059"/>
    <w:rsid w:val="001D32BE"/>
    <w:rsid w:val="001D34C9"/>
    <w:rsid w:val="001D3581"/>
    <w:rsid w:val="001D3623"/>
    <w:rsid w:val="001D393D"/>
    <w:rsid w:val="001D3C00"/>
    <w:rsid w:val="001D3D6F"/>
    <w:rsid w:val="001D3F5A"/>
    <w:rsid w:val="001D41E2"/>
    <w:rsid w:val="001D4248"/>
    <w:rsid w:val="001D434F"/>
    <w:rsid w:val="001D44A6"/>
    <w:rsid w:val="001D4772"/>
    <w:rsid w:val="001D4A1D"/>
    <w:rsid w:val="001D4B4D"/>
    <w:rsid w:val="001D4CED"/>
    <w:rsid w:val="001D4D0E"/>
    <w:rsid w:val="001D5019"/>
    <w:rsid w:val="001D5248"/>
    <w:rsid w:val="001D5525"/>
    <w:rsid w:val="001D55E3"/>
    <w:rsid w:val="001D563D"/>
    <w:rsid w:val="001D57FE"/>
    <w:rsid w:val="001D588A"/>
    <w:rsid w:val="001D5B2F"/>
    <w:rsid w:val="001D6039"/>
    <w:rsid w:val="001D622B"/>
    <w:rsid w:val="001D6803"/>
    <w:rsid w:val="001D68B1"/>
    <w:rsid w:val="001D6986"/>
    <w:rsid w:val="001D6A17"/>
    <w:rsid w:val="001D6BA8"/>
    <w:rsid w:val="001D6DDB"/>
    <w:rsid w:val="001D6DEC"/>
    <w:rsid w:val="001D6E82"/>
    <w:rsid w:val="001D70E1"/>
    <w:rsid w:val="001D70F7"/>
    <w:rsid w:val="001D7109"/>
    <w:rsid w:val="001D713B"/>
    <w:rsid w:val="001D73CE"/>
    <w:rsid w:val="001D73CF"/>
    <w:rsid w:val="001D7430"/>
    <w:rsid w:val="001D74CF"/>
    <w:rsid w:val="001D78E4"/>
    <w:rsid w:val="001D79BB"/>
    <w:rsid w:val="001D7BDC"/>
    <w:rsid w:val="001E00F8"/>
    <w:rsid w:val="001E0150"/>
    <w:rsid w:val="001E03AD"/>
    <w:rsid w:val="001E0720"/>
    <w:rsid w:val="001E0BA6"/>
    <w:rsid w:val="001E0DF5"/>
    <w:rsid w:val="001E0E8B"/>
    <w:rsid w:val="001E0FC9"/>
    <w:rsid w:val="001E1043"/>
    <w:rsid w:val="001E12B4"/>
    <w:rsid w:val="001E12C5"/>
    <w:rsid w:val="001E1410"/>
    <w:rsid w:val="001E155F"/>
    <w:rsid w:val="001E16E9"/>
    <w:rsid w:val="001E18A9"/>
    <w:rsid w:val="001E18F6"/>
    <w:rsid w:val="001E1903"/>
    <w:rsid w:val="001E19CE"/>
    <w:rsid w:val="001E1BD9"/>
    <w:rsid w:val="001E1E8E"/>
    <w:rsid w:val="001E1EA3"/>
    <w:rsid w:val="001E2091"/>
    <w:rsid w:val="001E222E"/>
    <w:rsid w:val="001E24C4"/>
    <w:rsid w:val="001E2609"/>
    <w:rsid w:val="001E279B"/>
    <w:rsid w:val="001E293F"/>
    <w:rsid w:val="001E29A7"/>
    <w:rsid w:val="001E2A79"/>
    <w:rsid w:val="001E2AFC"/>
    <w:rsid w:val="001E2BB6"/>
    <w:rsid w:val="001E2BFB"/>
    <w:rsid w:val="001E2D1F"/>
    <w:rsid w:val="001E2D6E"/>
    <w:rsid w:val="001E2D9A"/>
    <w:rsid w:val="001E2E1B"/>
    <w:rsid w:val="001E2FA9"/>
    <w:rsid w:val="001E2FB6"/>
    <w:rsid w:val="001E308D"/>
    <w:rsid w:val="001E329C"/>
    <w:rsid w:val="001E360D"/>
    <w:rsid w:val="001E3818"/>
    <w:rsid w:val="001E3875"/>
    <w:rsid w:val="001E39C2"/>
    <w:rsid w:val="001E3BD6"/>
    <w:rsid w:val="001E3C38"/>
    <w:rsid w:val="001E3FA8"/>
    <w:rsid w:val="001E44A9"/>
    <w:rsid w:val="001E45DA"/>
    <w:rsid w:val="001E4795"/>
    <w:rsid w:val="001E4A9E"/>
    <w:rsid w:val="001E4AF2"/>
    <w:rsid w:val="001E52F5"/>
    <w:rsid w:val="001E55C9"/>
    <w:rsid w:val="001E57C1"/>
    <w:rsid w:val="001E581B"/>
    <w:rsid w:val="001E5836"/>
    <w:rsid w:val="001E5BE9"/>
    <w:rsid w:val="001E5D7C"/>
    <w:rsid w:val="001E60F0"/>
    <w:rsid w:val="001E6135"/>
    <w:rsid w:val="001E64C1"/>
    <w:rsid w:val="001E67FE"/>
    <w:rsid w:val="001E6BF7"/>
    <w:rsid w:val="001E70A0"/>
    <w:rsid w:val="001E70D0"/>
    <w:rsid w:val="001E71F8"/>
    <w:rsid w:val="001E721E"/>
    <w:rsid w:val="001E7262"/>
    <w:rsid w:val="001E728C"/>
    <w:rsid w:val="001E7454"/>
    <w:rsid w:val="001E7537"/>
    <w:rsid w:val="001E7544"/>
    <w:rsid w:val="001E7556"/>
    <w:rsid w:val="001E7724"/>
    <w:rsid w:val="001E7928"/>
    <w:rsid w:val="001E7A3F"/>
    <w:rsid w:val="001E7F50"/>
    <w:rsid w:val="001F0053"/>
    <w:rsid w:val="001F0227"/>
    <w:rsid w:val="001F03C4"/>
    <w:rsid w:val="001F03D7"/>
    <w:rsid w:val="001F0450"/>
    <w:rsid w:val="001F06AB"/>
    <w:rsid w:val="001F084A"/>
    <w:rsid w:val="001F08DD"/>
    <w:rsid w:val="001F093B"/>
    <w:rsid w:val="001F0A51"/>
    <w:rsid w:val="001F0A5A"/>
    <w:rsid w:val="001F0D09"/>
    <w:rsid w:val="001F104D"/>
    <w:rsid w:val="001F113E"/>
    <w:rsid w:val="001F11F6"/>
    <w:rsid w:val="001F1206"/>
    <w:rsid w:val="001F142F"/>
    <w:rsid w:val="001F1430"/>
    <w:rsid w:val="001F19BC"/>
    <w:rsid w:val="001F1B03"/>
    <w:rsid w:val="001F1DBF"/>
    <w:rsid w:val="001F2465"/>
    <w:rsid w:val="001F2491"/>
    <w:rsid w:val="001F24C5"/>
    <w:rsid w:val="001F2681"/>
    <w:rsid w:val="001F28E1"/>
    <w:rsid w:val="001F290A"/>
    <w:rsid w:val="001F2DAA"/>
    <w:rsid w:val="001F2ECF"/>
    <w:rsid w:val="001F2ED1"/>
    <w:rsid w:val="001F2F98"/>
    <w:rsid w:val="001F2FC0"/>
    <w:rsid w:val="001F30BA"/>
    <w:rsid w:val="001F32CB"/>
    <w:rsid w:val="001F346F"/>
    <w:rsid w:val="001F34F6"/>
    <w:rsid w:val="001F3690"/>
    <w:rsid w:val="001F3735"/>
    <w:rsid w:val="001F38B3"/>
    <w:rsid w:val="001F39D0"/>
    <w:rsid w:val="001F3B51"/>
    <w:rsid w:val="001F3C7E"/>
    <w:rsid w:val="001F3C9D"/>
    <w:rsid w:val="001F42B2"/>
    <w:rsid w:val="001F4424"/>
    <w:rsid w:val="001F463B"/>
    <w:rsid w:val="001F4645"/>
    <w:rsid w:val="001F4668"/>
    <w:rsid w:val="001F46A1"/>
    <w:rsid w:val="001F46C7"/>
    <w:rsid w:val="001F4B6A"/>
    <w:rsid w:val="001F4C4B"/>
    <w:rsid w:val="001F4F21"/>
    <w:rsid w:val="001F5013"/>
    <w:rsid w:val="001F5231"/>
    <w:rsid w:val="001F54AB"/>
    <w:rsid w:val="001F57C3"/>
    <w:rsid w:val="001F5807"/>
    <w:rsid w:val="001F589C"/>
    <w:rsid w:val="001F5903"/>
    <w:rsid w:val="001F5975"/>
    <w:rsid w:val="001F5AD5"/>
    <w:rsid w:val="001F5CCC"/>
    <w:rsid w:val="001F5E82"/>
    <w:rsid w:val="001F5E9C"/>
    <w:rsid w:val="001F6337"/>
    <w:rsid w:val="001F6405"/>
    <w:rsid w:val="001F6778"/>
    <w:rsid w:val="001F6863"/>
    <w:rsid w:val="001F6955"/>
    <w:rsid w:val="001F6986"/>
    <w:rsid w:val="001F6FC7"/>
    <w:rsid w:val="001F70E8"/>
    <w:rsid w:val="001F75A2"/>
    <w:rsid w:val="001F767A"/>
    <w:rsid w:val="001F787A"/>
    <w:rsid w:val="001F79AD"/>
    <w:rsid w:val="001F7B06"/>
    <w:rsid w:val="001F7BA8"/>
    <w:rsid w:val="001F7FD4"/>
    <w:rsid w:val="002000F5"/>
    <w:rsid w:val="00200547"/>
    <w:rsid w:val="0020054F"/>
    <w:rsid w:val="002006E0"/>
    <w:rsid w:val="0020074F"/>
    <w:rsid w:val="00200C49"/>
    <w:rsid w:val="00200F18"/>
    <w:rsid w:val="00201947"/>
    <w:rsid w:val="00201B5F"/>
    <w:rsid w:val="00201D26"/>
    <w:rsid w:val="00201DE6"/>
    <w:rsid w:val="00201E0E"/>
    <w:rsid w:val="00201F25"/>
    <w:rsid w:val="0020250C"/>
    <w:rsid w:val="00202531"/>
    <w:rsid w:val="00202553"/>
    <w:rsid w:val="00202A00"/>
    <w:rsid w:val="00203137"/>
    <w:rsid w:val="002033BA"/>
    <w:rsid w:val="002033C1"/>
    <w:rsid w:val="0020355D"/>
    <w:rsid w:val="00203849"/>
    <w:rsid w:val="002038C1"/>
    <w:rsid w:val="00203981"/>
    <w:rsid w:val="00203B4D"/>
    <w:rsid w:val="00203B77"/>
    <w:rsid w:val="00203BD1"/>
    <w:rsid w:val="00203BE7"/>
    <w:rsid w:val="00203D39"/>
    <w:rsid w:val="00203D4B"/>
    <w:rsid w:val="00203D67"/>
    <w:rsid w:val="00204101"/>
    <w:rsid w:val="00204304"/>
    <w:rsid w:val="00204448"/>
    <w:rsid w:val="0020450D"/>
    <w:rsid w:val="00204772"/>
    <w:rsid w:val="00204930"/>
    <w:rsid w:val="00204B34"/>
    <w:rsid w:val="002050C0"/>
    <w:rsid w:val="002055E2"/>
    <w:rsid w:val="00205AED"/>
    <w:rsid w:val="00205B53"/>
    <w:rsid w:val="00205DB9"/>
    <w:rsid w:val="0020635E"/>
    <w:rsid w:val="00206776"/>
    <w:rsid w:val="00206810"/>
    <w:rsid w:val="0020684B"/>
    <w:rsid w:val="00206AE3"/>
    <w:rsid w:val="00206CE2"/>
    <w:rsid w:val="00206D48"/>
    <w:rsid w:val="00206E80"/>
    <w:rsid w:val="00207122"/>
    <w:rsid w:val="00207513"/>
    <w:rsid w:val="0020755C"/>
    <w:rsid w:val="002078A9"/>
    <w:rsid w:val="00207A27"/>
    <w:rsid w:val="00207DB2"/>
    <w:rsid w:val="00207E2A"/>
    <w:rsid w:val="00208036"/>
    <w:rsid w:val="0021001B"/>
    <w:rsid w:val="0021013C"/>
    <w:rsid w:val="00210464"/>
    <w:rsid w:val="002104C0"/>
    <w:rsid w:val="00210539"/>
    <w:rsid w:val="0021059B"/>
    <w:rsid w:val="00210624"/>
    <w:rsid w:val="00210C39"/>
    <w:rsid w:val="00210E09"/>
    <w:rsid w:val="00210EEE"/>
    <w:rsid w:val="0021143F"/>
    <w:rsid w:val="002114E1"/>
    <w:rsid w:val="0021155E"/>
    <w:rsid w:val="00211E66"/>
    <w:rsid w:val="00211F75"/>
    <w:rsid w:val="00212211"/>
    <w:rsid w:val="00212216"/>
    <w:rsid w:val="00212468"/>
    <w:rsid w:val="00212945"/>
    <w:rsid w:val="00212C6E"/>
    <w:rsid w:val="00212C83"/>
    <w:rsid w:val="00212E6C"/>
    <w:rsid w:val="00212F37"/>
    <w:rsid w:val="00213230"/>
    <w:rsid w:val="00213968"/>
    <w:rsid w:val="00213A92"/>
    <w:rsid w:val="00213DA2"/>
    <w:rsid w:val="00213FF8"/>
    <w:rsid w:val="00214085"/>
    <w:rsid w:val="002142D6"/>
    <w:rsid w:val="002142F3"/>
    <w:rsid w:val="00214421"/>
    <w:rsid w:val="0021453D"/>
    <w:rsid w:val="00214560"/>
    <w:rsid w:val="002146C7"/>
    <w:rsid w:val="0021487F"/>
    <w:rsid w:val="002148CC"/>
    <w:rsid w:val="002148D2"/>
    <w:rsid w:val="00214913"/>
    <w:rsid w:val="00214A0F"/>
    <w:rsid w:val="00214DFB"/>
    <w:rsid w:val="00215270"/>
    <w:rsid w:val="002153FE"/>
    <w:rsid w:val="00215716"/>
    <w:rsid w:val="002159D1"/>
    <w:rsid w:val="00215DD6"/>
    <w:rsid w:val="002163B0"/>
    <w:rsid w:val="00216920"/>
    <w:rsid w:val="0021692C"/>
    <w:rsid w:val="00216AC4"/>
    <w:rsid w:val="00216B41"/>
    <w:rsid w:val="00216BEF"/>
    <w:rsid w:val="00216BFD"/>
    <w:rsid w:val="00216D30"/>
    <w:rsid w:val="00216ECC"/>
    <w:rsid w:val="00216FAF"/>
    <w:rsid w:val="00217151"/>
    <w:rsid w:val="002173C2"/>
    <w:rsid w:val="00217708"/>
    <w:rsid w:val="0021772E"/>
    <w:rsid w:val="002178EF"/>
    <w:rsid w:val="00217B31"/>
    <w:rsid w:val="00217CA9"/>
    <w:rsid w:val="002202DE"/>
    <w:rsid w:val="00220473"/>
    <w:rsid w:val="00220513"/>
    <w:rsid w:val="002207D7"/>
    <w:rsid w:val="00220DDB"/>
    <w:rsid w:val="00220DF0"/>
    <w:rsid w:val="00220EC3"/>
    <w:rsid w:val="00220EFB"/>
    <w:rsid w:val="0022123A"/>
    <w:rsid w:val="00221319"/>
    <w:rsid w:val="002213C7"/>
    <w:rsid w:val="0022187D"/>
    <w:rsid w:val="00221909"/>
    <w:rsid w:val="00221B17"/>
    <w:rsid w:val="00221BA5"/>
    <w:rsid w:val="00221BE7"/>
    <w:rsid w:val="0022200A"/>
    <w:rsid w:val="00222329"/>
    <w:rsid w:val="00222331"/>
    <w:rsid w:val="0022247E"/>
    <w:rsid w:val="0022267A"/>
    <w:rsid w:val="0022287A"/>
    <w:rsid w:val="002228CD"/>
    <w:rsid w:val="00222C41"/>
    <w:rsid w:val="00222C5F"/>
    <w:rsid w:val="00222DD2"/>
    <w:rsid w:val="00223306"/>
    <w:rsid w:val="0022333D"/>
    <w:rsid w:val="00223354"/>
    <w:rsid w:val="0022391A"/>
    <w:rsid w:val="0022396B"/>
    <w:rsid w:val="00223985"/>
    <w:rsid w:val="00223AB1"/>
    <w:rsid w:val="00223C96"/>
    <w:rsid w:val="00223E10"/>
    <w:rsid w:val="00223E69"/>
    <w:rsid w:val="00224355"/>
    <w:rsid w:val="002245EE"/>
    <w:rsid w:val="0022460D"/>
    <w:rsid w:val="002246E5"/>
    <w:rsid w:val="002246EE"/>
    <w:rsid w:val="0022490D"/>
    <w:rsid w:val="00224956"/>
    <w:rsid w:val="00224ACC"/>
    <w:rsid w:val="00224CC2"/>
    <w:rsid w:val="00224CD7"/>
    <w:rsid w:val="00224E7C"/>
    <w:rsid w:val="0022547C"/>
    <w:rsid w:val="00225811"/>
    <w:rsid w:val="00225A27"/>
    <w:rsid w:val="00225B85"/>
    <w:rsid w:val="00225CC0"/>
    <w:rsid w:val="00225EC3"/>
    <w:rsid w:val="00225ECE"/>
    <w:rsid w:val="00225F9B"/>
    <w:rsid w:val="002260D4"/>
    <w:rsid w:val="0022657B"/>
    <w:rsid w:val="002265A4"/>
    <w:rsid w:val="0022664B"/>
    <w:rsid w:val="00226713"/>
    <w:rsid w:val="0022688B"/>
    <w:rsid w:val="0022694B"/>
    <w:rsid w:val="00226C24"/>
    <w:rsid w:val="00226C8A"/>
    <w:rsid w:val="00226C8B"/>
    <w:rsid w:val="00226D4B"/>
    <w:rsid w:val="0022714C"/>
    <w:rsid w:val="002274F2"/>
    <w:rsid w:val="00227646"/>
    <w:rsid w:val="002279B6"/>
    <w:rsid w:val="00227A2D"/>
    <w:rsid w:val="00227B5F"/>
    <w:rsid w:val="00227C37"/>
    <w:rsid w:val="00227C96"/>
    <w:rsid w:val="00227CD1"/>
    <w:rsid w:val="00227D65"/>
    <w:rsid w:val="00227F4F"/>
    <w:rsid w:val="0022AD48"/>
    <w:rsid w:val="002304DE"/>
    <w:rsid w:val="002304FA"/>
    <w:rsid w:val="002306C9"/>
    <w:rsid w:val="00230718"/>
    <w:rsid w:val="002308BC"/>
    <w:rsid w:val="002309B5"/>
    <w:rsid w:val="0023105F"/>
    <w:rsid w:val="0023115E"/>
    <w:rsid w:val="0023123F"/>
    <w:rsid w:val="002312CB"/>
    <w:rsid w:val="002313D9"/>
    <w:rsid w:val="002316BD"/>
    <w:rsid w:val="0023179C"/>
    <w:rsid w:val="002317FF"/>
    <w:rsid w:val="002318D6"/>
    <w:rsid w:val="00231B43"/>
    <w:rsid w:val="00231BC2"/>
    <w:rsid w:val="00231EEF"/>
    <w:rsid w:val="00232732"/>
    <w:rsid w:val="00232766"/>
    <w:rsid w:val="002328F9"/>
    <w:rsid w:val="0023295D"/>
    <w:rsid w:val="00232D1A"/>
    <w:rsid w:val="00233091"/>
    <w:rsid w:val="0023309B"/>
    <w:rsid w:val="0023358A"/>
    <w:rsid w:val="00233622"/>
    <w:rsid w:val="00233794"/>
    <w:rsid w:val="002339FE"/>
    <w:rsid w:val="00233BB9"/>
    <w:rsid w:val="00233F68"/>
    <w:rsid w:val="00234113"/>
    <w:rsid w:val="002341FE"/>
    <w:rsid w:val="002348ED"/>
    <w:rsid w:val="00234A77"/>
    <w:rsid w:val="00234BF0"/>
    <w:rsid w:val="00234E53"/>
    <w:rsid w:val="0023530C"/>
    <w:rsid w:val="00235594"/>
    <w:rsid w:val="00235651"/>
    <w:rsid w:val="00235DDB"/>
    <w:rsid w:val="00235E2E"/>
    <w:rsid w:val="002365A9"/>
    <w:rsid w:val="0023693D"/>
    <w:rsid w:val="00236AD5"/>
    <w:rsid w:val="002370C6"/>
    <w:rsid w:val="0023731B"/>
    <w:rsid w:val="0023743A"/>
    <w:rsid w:val="00237A09"/>
    <w:rsid w:val="00237CEA"/>
    <w:rsid w:val="0023E7B7"/>
    <w:rsid w:val="00240074"/>
    <w:rsid w:val="0024012F"/>
    <w:rsid w:val="00240196"/>
    <w:rsid w:val="00240220"/>
    <w:rsid w:val="00240463"/>
    <w:rsid w:val="002404DA"/>
    <w:rsid w:val="0024069A"/>
    <w:rsid w:val="00240761"/>
    <w:rsid w:val="00240878"/>
    <w:rsid w:val="00240968"/>
    <w:rsid w:val="00240C3D"/>
    <w:rsid w:val="00240DC0"/>
    <w:rsid w:val="0024113B"/>
    <w:rsid w:val="00241418"/>
    <w:rsid w:val="002414E0"/>
    <w:rsid w:val="002414F0"/>
    <w:rsid w:val="002414F6"/>
    <w:rsid w:val="00241E97"/>
    <w:rsid w:val="00242643"/>
    <w:rsid w:val="0024267A"/>
    <w:rsid w:val="0024276C"/>
    <w:rsid w:val="00242949"/>
    <w:rsid w:val="00242AC9"/>
    <w:rsid w:val="00242D2C"/>
    <w:rsid w:val="00242D93"/>
    <w:rsid w:val="00242E90"/>
    <w:rsid w:val="0024321F"/>
    <w:rsid w:val="00243613"/>
    <w:rsid w:val="002436F8"/>
    <w:rsid w:val="00243703"/>
    <w:rsid w:val="00243818"/>
    <w:rsid w:val="00243983"/>
    <w:rsid w:val="00243DA2"/>
    <w:rsid w:val="00243E38"/>
    <w:rsid w:val="00244129"/>
    <w:rsid w:val="00244270"/>
    <w:rsid w:val="002443D0"/>
    <w:rsid w:val="00244504"/>
    <w:rsid w:val="00244702"/>
    <w:rsid w:val="00244878"/>
    <w:rsid w:val="002452F2"/>
    <w:rsid w:val="002453B8"/>
    <w:rsid w:val="002453E8"/>
    <w:rsid w:val="00245584"/>
    <w:rsid w:val="002456BA"/>
    <w:rsid w:val="00245800"/>
    <w:rsid w:val="0024592D"/>
    <w:rsid w:val="00245B0B"/>
    <w:rsid w:val="00245B4D"/>
    <w:rsid w:val="00245BF6"/>
    <w:rsid w:val="00246242"/>
    <w:rsid w:val="00246256"/>
    <w:rsid w:val="00246390"/>
    <w:rsid w:val="002465BD"/>
    <w:rsid w:val="002467BF"/>
    <w:rsid w:val="00246A99"/>
    <w:rsid w:val="00246BE2"/>
    <w:rsid w:val="00246E42"/>
    <w:rsid w:val="00246E8A"/>
    <w:rsid w:val="00246EEA"/>
    <w:rsid w:val="00246EFD"/>
    <w:rsid w:val="00246F2C"/>
    <w:rsid w:val="002470B0"/>
    <w:rsid w:val="00247106"/>
    <w:rsid w:val="00247259"/>
    <w:rsid w:val="002473A9"/>
    <w:rsid w:val="002473E0"/>
    <w:rsid w:val="002474A3"/>
    <w:rsid w:val="0024782C"/>
    <w:rsid w:val="00247AA8"/>
    <w:rsid w:val="00247CE8"/>
    <w:rsid w:val="00247DE0"/>
    <w:rsid w:val="00247F65"/>
    <w:rsid w:val="002501CC"/>
    <w:rsid w:val="002502D1"/>
    <w:rsid w:val="0025034D"/>
    <w:rsid w:val="0025039C"/>
    <w:rsid w:val="0025069A"/>
    <w:rsid w:val="00250721"/>
    <w:rsid w:val="002509E5"/>
    <w:rsid w:val="00250F9C"/>
    <w:rsid w:val="0025102A"/>
    <w:rsid w:val="002510D1"/>
    <w:rsid w:val="00251378"/>
    <w:rsid w:val="00251390"/>
    <w:rsid w:val="00251C3D"/>
    <w:rsid w:val="00251F4F"/>
    <w:rsid w:val="00252161"/>
    <w:rsid w:val="00252268"/>
    <w:rsid w:val="002522EC"/>
    <w:rsid w:val="00252498"/>
    <w:rsid w:val="002525F0"/>
    <w:rsid w:val="002526A4"/>
    <w:rsid w:val="002528A1"/>
    <w:rsid w:val="00252951"/>
    <w:rsid w:val="002529DB"/>
    <w:rsid w:val="00252B29"/>
    <w:rsid w:val="00252B65"/>
    <w:rsid w:val="00252BED"/>
    <w:rsid w:val="00252DA1"/>
    <w:rsid w:val="00252DFB"/>
    <w:rsid w:val="00252E00"/>
    <w:rsid w:val="00252E91"/>
    <w:rsid w:val="00252E94"/>
    <w:rsid w:val="00253357"/>
    <w:rsid w:val="0025348B"/>
    <w:rsid w:val="00253569"/>
    <w:rsid w:val="002535C4"/>
    <w:rsid w:val="002537BA"/>
    <w:rsid w:val="00253C65"/>
    <w:rsid w:val="00253E63"/>
    <w:rsid w:val="00253E9A"/>
    <w:rsid w:val="00253EC4"/>
    <w:rsid w:val="00253EE3"/>
    <w:rsid w:val="00254002"/>
    <w:rsid w:val="00254051"/>
    <w:rsid w:val="002540D0"/>
    <w:rsid w:val="002541CA"/>
    <w:rsid w:val="00254443"/>
    <w:rsid w:val="00254476"/>
    <w:rsid w:val="002544E5"/>
    <w:rsid w:val="002545EA"/>
    <w:rsid w:val="00254B43"/>
    <w:rsid w:val="00254B6B"/>
    <w:rsid w:val="00254BF2"/>
    <w:rsid w:val="00254D04"/>
    <w:rsid w:val="00255134"/>
    <w:rsid w:val="002551D3"/>
    <w:rsid w:val="002552C8"/>
    <w:rsid w:val="00255483"/>
    <w:rsid w:val="00256065"/>
    <w:rsid w:val="0025618F"/>
    <w:rsid w:val="00256198"/>
    <w:rsid w:val="002561C9"/>
    <w:rsid w:val="00256554"/>
    <w:rsid w:val="00256724"/>
    <w:rsid w:val="002569AF"/>
    <w:rsid w:val="00256AA6"/>
    <w:rsid w:val="00256B0E"/>
    <w:rsid w:val="00256CE4"/>
    <w:rsid w:val="00256E00"/>
    <w:rsid w:val="00256F44"/>
    <w:rsid w:val="00256FE9"/>
    <w:rsid w:val="00257090"/>
    <w:rsid w:val="002570FC"/>
    <w:rsid w:val="00257182"/>
    <w:rsid w:val="0025726A"/>
    <w:rsid w:val="00257870"/>
    <w:rsid w:val="00257B68"/>
    <w:rsid w:val="00257BCC"/>
    <w:rsid w:val="00257C66"/>
    <w:rsid w:val="00257D3C"/>
    <w:rsid w:val="00257D77"/>
    <w:rsid w:val="00257D93"/>
    <w:rsid w:val="0025C065"/>
    <w:rsid w:val="0025CF02"/>
    <w:rsid w:val="00260000"/>
    <w:rsid w:val="0026095C"/>
    <w:rsid w:val="00260E00"/>
    <w:rsid w:val="00260E29"/>
    <w:rsid w:val="00260EAB"/>
    <w:rsid w:val="0026114D"/>
    <w:rsid w:val="0026143A"/>
    <w:rsid w:val="00261549"/>
    <w:rsid w:val="002616ED"/>
    <w:rsid w:val="00261827"/>
    <w:rsid w:val="0026189E"/>
    <w:rsid w:val="002619E3"/>
    <w:rsid w:val="002619F9"/>
    <w:rsid w:val="00261B62"/>
    <w:rsid w:val="00261BB2"/>
    <w:rsid w:val="00261EEC"/>
    <w:rsid w:val="00261F70"/>
    <w:rsid w:val="00262208"/>
    <w:rsid w:val="00262321"/>
    <w:rsid w:val="00262461"/>
    <w:rsid w:val="002624EC"/>
    <w:rsid w:val="002627CF"/>
    <w:rsid w:val="002629D5"/>
    <w:rsid w:val="00262B16"/>
    <w:rsid w:val="00262CEB"/>
    <w:rsid w:val="00262F1B"/>
    <w:rsid w:val="00263195"/>
    <w:rsid w:val="00263196"/>
    <w:rsid w:val="002632BC"/>
    <w:rsid w:val="002634FA"/>
    <w:rsid w:val="002635AB"/>
    <w:rsid w:val="0026360F"/>
    <w:rsid w:val="002636EB"/>
    <w:rsid w:val="002638C4"/>
    <w:rsid w:val="00263A11"/>
    <w:rsid w:val="002641C4"/>
    <w:rsid w:val="002646E4"/>
    <w:rsid w:val="002648D6"/>
    <w:rsid w:val="00264CC2"/>
    <w:rsid w:val="00264D93"/>
    <w:rsid w:val="00264ED5"/>
    <w:rsid w:val="00264F8E"/>
    <w:rsid w:val="0026526B"/>
    <w:rsid w:val="00265416"/>
    <w:rsid w:val="0026554B"/>
    <w:rsid w:val="002655D4"/>
    <w:rsid w:val="002658E9"/>
    <w:rsid w:val="00265A11"/>
    <w:rsid w:val="00265C51"/>
    <w:rsid w:val="00265CA0"/>
    <w:rsid w:val="00266751"/>
    <w:rsid w:val="00266783"/>
    <w:rsid w:val="00266B3C"/>
    <w:rsid w:val="00266C89"/>
    <w:rsid w:val="00266D4D"/>
    <w:rsid w:val="00266FA1"/>
    <w:rsid w:val="002670AB"/>
    <w:rsid w:val="002673B5"/>
    <w:rsid w:val="002675B5"/>
    <w:rsid w:val="00267675"/>
    <w:rsid w:val="00267744"/>
    <w:rsid w:val="002678AB"/>
    <w:rsid w:val="002679D5"/>
    <w:rsid w:val="00267DE3"/>
    <w:rsid w:val="00267EAF"/>
    <w:rsid w:val="00267F40"/>
    <w:rsid w:val="002702FD"/>
    <w:rsid w:val="002703F0"/>
    <w:rsid w:val="002704ED"/>
    <w:rsid w:val="0027058E"/>
    <w:rsid w:val="00270598"/>
    <w:rsid w:val="0027079E"/>
    <w:rsid w:val="00270896"/>
    <w:rsid w:val="00271311"/>
    <w:rsid w:val="002717CE"/>
    <w:rsid w:val="00271AD9"/>
    <w:rsid w:val="00271B22"/>
    <w:rsid w:val="00271B4D"/>
    <w:rsid w:val="00271EB5"/>
    <w:rsid w:val="00271F98"/>
    <w:rsid w:val="00272085"/>
    <w:rsid w:val="0027209A"/>
    <w:rsid w:val="002721F6"/>
    <w:rsid w:val="0027252B"/>
    <w:rsid w:val="00272828"/>
    <w:rsid w:val="0027291B"/>
    <w:rsid w:val="00272A52"/>
    <w:rsid w:val="00272BC4"/>
    <w:rsid w:val="00272C5E"/>
    <w:rsid w:val="00272D51"/>
    <w:rsid w:val="00272F3D"/>
    <w:rsid w:val="00273099"/>
    <w:rsid w:val="002731C8"/>
    <w:rsid w:val="002733EE"/>
    <w:rsid w:val="00273449"/>
    <w:rsid w:val="00273479"/>
    <w:rsid w:val="002737E8"/>
    <w:rsid w:val="002737FD"/>
    <w:rsid w:val="0027390B"/>
    <w:rsid w:val="00273B87"/>
    <w:rsid w:val="00273F2D"/>
    <w:rsid w:val="002741E6"/>
    <w:rsid w:val="0027427E"/>
    <w:rsid w:val="002742C7"/>
    <w:rsid w:val="00274344"/>
    <w:rsid w:val="002743E0"/>
    <w:rsid w:val="002744C3"/>
    <w:rsid w:val="002744DD"/>
    <w:rsid w:val="002746BE"/>
    <w:rsid w:val="002748F0"/>
    <w:rsid w:val="00274AD4"/>
    <w:rsid w:val="00274D7E"/>
    <w:rsid w:val="00274F3B"/>
    <w:rsid w:val="00274F5F"/>
    <w:rsid w:val="00275055"/>
    <w:rsid w:val="00275190"/>
    <w:rsid w:val="00275197"/>
    <w:rsid w:val="00275330"/>
    <w:rsid w:val="00275349"/>
    <w:rsid w:val="002753F3"/>
    <w:rsid w:val="00275450"/>
    <w:rsid w:val="002754E0"/>
    <w:rsid w:val="002757E6"/>
    <w:rsid w:val="0027582A"/>
    <w:rsid w:val="0027595B"/>
    <w:rsid w:val="00275B5C"/>
    <w:rsid w:val="00275FEB"/>
    <w:rsid w:val="002760FA"/>
    <w:rsid w:val="002762F1"/>
    <w:rsid w:val="0027684A"/>
    <w:rsid w:val="002768AF"/>
    <w:rsid w:val="002769B0"/>
    <w:rsid w:val="002769B2"/>
    <w:rsid w:val="00276A08"/>
    <w:rsid w:val="00276B56"/>
    <w:rsid w:val="00276BE7"/>
    <w:rsid w:val="002772DE"/>
    <w:rsid w:val="002774BE"/>
    <w:rsid w:val="00277628"/>
    <w:rsid w:val="002776D5"/>
    <w:rsid w:val="002777A2"/>
    <w:rsid w:val="002778B5"/>
    <w:rsid w:val="002778BD"/>
    <w:rsid w:val="0027797F"/>
    <w:rsid w:val="00277BFF"/>
    <w:rsid w:val="00277CC9"/>
    <w:rsid w:val="00277D08"/>
    <w:rsid w:val="00277E1A"/>
    <w:rsid w:val="00277F04"/>
    <w:rsid w:val="0027E883"/>
    <w:rsid w:val="00280198"/>
    <w:rsid w:val="00280A9D"/>
    <w:rsid w:val="00280BB2"/>
    <w:rsid w:val="00280BD2"/>
    <w:rsid w:val="00280D0A"/>
    <w:rsid w:val="00280F40"/>
    <w:rsid w:val="00280F87"/>
    <w:rsid w:val="00281052"/>
    <w:rsid w:val="00281181"/>
    <w:rsid w:val="0028127C"/>
    <w:rsid w:val="002813FF"/>
    <w:rsid w:val="002816F3"/>
    <w:rsid w:val="002819FB"/>
    <w:rsid w:val="00281A0A"/>
    <w:rsid w:val="00281B2F"/>
    <w:rsid w:val="00281CB7"/>
    <w:rsid w:val="00281E71"/>
    <w:rsid w:val="00281FBE"/>
    <w:rsid w:val="00282263"/>
    <w:rsid w:val="00282922"/>
    <w:rsid w:val="0028293C"/>
    <w:rsid w:val="00282C35"/>
    <w:rsid w:val="00282D26"/>
    <w:rsid w:val="00282D89"/>
    <w:rsid w:val="00282E19"/>
    <w:rsid w:val="00283123"/>
    <w:rsid w:val="00283329"/>
    <w:rsid w:val="002834A9"/>
    <w:rsid w:val="00283718"/>
    <w:rsid w:val="0028408A"/>
    <w:rsid w:val="00284361"/>
    <w:rsid w:val="00284424"/>
    <w:rsid w:val="0028444A"/>
    <w:rsid w:val="0028458E"/>
    <w:rsid w:val="00284A81"/>
    <w:rsid w:val="00284B39"/>
    <w:rsid w:val="00284D34"/>
    <w:rsid w:val="00285296"/>
    <w:rsid w:val="00285BF5"/>
    <w:rsid w:val="00285F13"/>
    <w:rsid w:val="00285F1D"/>
    <w:rsid w:val="00286031"/>
    <w:rsid w:val="002861C9"/>
    <w:rsid w:val="002864AA"/>
    <w:rsid w:val="00287420"/>
    <w:rsid w:val="0028775A"/>
    <w:rsid w:val="00287E4C"/>
    <w:rsid w:val="00287FE5"/>
    <w:rsid w:val="002888E2"/>
    <w:rsid w:val="0029000F"/>
    <w:rsid w:val="002902B7"/>
    <w:rsid w:val="0029051B"/>
    <w:rsid w:val="00290A24"/>
    <w:rsid w:val="00290DB3"/>
    <w:rsid w:val="00290DDF"/>
    <w:rsid w:val="00290FA1"/>
    <w:rsid w:val="00291005"/>
    <w:rsid w:val="002914E9"/>
    <w:rsid w:val="002916C7"/>
    <w:rsid w:val="00291769"/>
    <w:rsid w:val="0029189F"/>
    <w:rsid w:val="00291955"/>
    <w:rsid w:val="00291CE5"/>
    <w:rsid w:val="00292051"/>
    <w:rsid w:val="002920BA"/>
    <w:rsid w:val="0029233B"/>
    <w:rsid w:val="0029237F"/>
    <w:rsid w:val="00292380"/>
    <w:rsid w:val="002924A7"/>
    <w:rsid w:val="0029286B"/>
    <w:rsid w:val="0029297B"/>
    <w:rsid w:val="00292A56"/>
    <w:rsid w:val="00292B2D"/>
    <w:rsid w:val="00292B46"/>
    <w:rsid w:val="00293022"/>
    <w:rsid w:val="0029327B"/>
    <w:rsid w:val="002934E7"/>
    <w:rsid w:val="00293682"/>
    <w:rsid w:val="002936D3"/>
    <w:rsid w:val="0029377A"/>
    <w:rsid w:val="002937FC"/>
    <w:rsid w:val="0029391A"/>
    <w:rsid w:val="0029397B"/>
    <w:rsid w:val="00293F3B"/>
    <w:rsid w:val="0029411A"/>
    <w:rsid w:val="0029417A"/>
    <w:rsid w:val="00294931"/>
    <w:rsid w:val="00294ADC"/>
    <w:rsid w:val="00294B0D"/>
    <w:rsid w:val="00294B5D"/>
    <w:rsid w:val="00294DD4"/>
    <w:rsid w:val="00295222"/>
    <w:rsid w:val="002954B1"/>
    <w:rsid w:val="0029552E"/>
    <w:rsid w:val="002955E4"/>
    <w:rsid w:val="00295747"/>
    <w:rsid w:val="0029591B"/>
    <w:rsid w:val="00295C90"/>
    <w:rsid w:val="002961DE"/>
    <w:rsid w:val="00296248"/>
    <w:rsid w:val="002962EB"/>
    <w:rsid w:val="002963FA"/>
    <w:rsid w:val="002965E9"/>
    <w:rsid w:val="00296659"/>
    <w:rsid w:val="002966CE"/>
    <w:rsid w:val="002967A2"/>
    <w:rsid w:val="002970A9"/>
    <w:rsid w:val="0029716C"/>
    <w:rsid w:val="002974E3"/>
    <w:rsid w:val="00297651"/>
    <w:rsid w:val="002A016B"/>
    <w:rsid w:val="002A01C3"/>
    <w:rsid w:val="002A01D6"/>
    <w:rsid w:val="002A01D8"/>
    <w:rsid w:val="002A0677"/>
    <w:rsid w:val="002A087B"/>
    <w:rsid w:val="002A0B39"/>
    <w:rsid w:val="002A10C8"/>
    <w:rsid w:val="002A1200"/>
    <w:rsid w:val="002A1206"/>
    <w:rsid w:val="002A136A"/>
    <w:rsid w:val="002A143A"/>
    <w:rsid w:val="002A14A5"/>
    <w:rsid w:val="002A15F5"/>
    <w:rsid w:val="002A169E"/>
    <w:rsid w:val="002A1A20"/>
    <w:rsid w:val="002A1A78"/>
    <w:rsid w:val="002A1B96"/>
    <w:rsid w:val="002A1BB6"/>
    <w:rsid w:val="002A1F6D"/>
    <w:rsid w:val="002A213B"/>
    <w:rsid w:val="002A221B"/>
    <w:rsid w:val="002A25C0"/>
    <w:rsid w:val="002A2672"/>
    <w:rsid w:val="002A26A7"/>
    <w:rsid w:val="002A27D8"/>
    <w:rsid w:val="002A2BA8"/>
    <w:rsid w:val="002A2D41"/>
    <w:rsid w:val="002A2EF8"/>
    <w:rsid w:val="002A300D"/>
    <w:rsid w:val="002A30B9"/>
    <w:rsid w:val="002A30CE"/>
    <w:rsid w:val="002A3146"/>
    <w:rsid w:val="002A3445"/>
    <w:rsid w:val="002A353A"/>
    <w:rsid w:val="002A35A4"/>
    <w:rsid w:val="002A35F2"/>
    <w:rsid w:val="002A3684"/>
    <w:rsid w:val="002A38F8"/>
    <w:rsid w:val="002A394E"/>
    <w:rsid w:val="002A3C03"/>
    <w:rsid w:val="002A3D76"/>
    <w:rsid w:val="002A3D98"/>
    <w:rsid w:val="002A3E93"/>
    <w:rsid w:val="002A3EC1"/>
    <w:rsid w:val="002A3FE0"/>
    <w:rsid w:val="002A4088"/>
    <w:rsid w:val="002A40B2"/>
    <w:rsid w:val="002A40D1"/>
    <w:rsid w:val="002A40E9"/>
    <w:rsid w:val="002A4119"/>
    <w:rsid w:val="002A4C37"/>
    <w:rsid w:val="002A4C63"/>
    <w:rsid w:val="002A4C89"/>
    <w:rsid w:val="002A4E48"/>
    <w:rsid w:val="002A56BF"/>
    <w:rsid w:val="002A5820"/>
    <w:rsid w:val="002A5822"/>
    <w:rsid w:val="002A58AC"/>
    <w:rsid w:val="002A5951"/>
    <w:rsid w:val="002A5AC5"/>
    <w:rsid w:val="002A5F23"/>
    <w:rsid w:val="002A5F36"/>
    <w:rsid w:val="002A6154"/>
    <w:rsid w:val="002A61C0"/>
    <w:rsid w:val="002A6336"/>
    <w:rsid w:val="002A63D1"/>
    <w:rsid w:val="002A662B"/>
    <w:rsid w:val="002A68D0"/>
    <w:rsid w:val="002A6B23"/>
    <w:rsid w:val="002A6C77"/>
    <w:rsid w:val="002A703C"/>
    <w:rsid w:val="002A7332"/>
    <w:rsid w:val="002A785F"/>
    <w:rsid w:val="002A7886"/>
    <w:rsid w:val="002A78D3"/>
    <w:rsid w:val="002A7BDA"/>
    <w:rsid w:val="002A7BEB"/>
    <w:rsid w:val="002A7E37"/>
    <w:rsid w:val="002A7EC8"/>
    <w:rsid w:val="002AF718"/>
    <w:rsid w:val="002B012B"/>
    <w:rsid w:val="002B014A"/>
    <w:rsid w:val="002B0157"/>
    <w:rsid w:val="002B01E6"/>
    <w:rsid w:val="002B0712"/>
    <w:rsid w:val="002B0832"/>
    <w:rsid w:val="002B0B86"/>
    <w:rsid w:val="002B0C27"/>
    <w:rsid w:val="002B0C7F"/>
    <w:rsid w:val="002B0CB0"/>
    <w:rsid w:val="002B0D48"/>
    <w:rsid w:val="002B0F42"/>
    <w:rsid w:val="002B0F93"/>
    <w:rsid w:val="002B1076"/>
    <w:rsid w:val="002B13AE"/>
    <w:rsid w:val="002B14ED"/>
    <w:rsid w:val="002B17BC"/>
    <w:rsid w:val="002B1894"/>
    <w:rsid w:val="002B1A00"/>
    <w:rsid w:val="002B1A62"/>
    <w:rsid w:val="002B200B"/>
    <w:rsid w:val="002B2283"/>
    <w:rsid w:val="002B2525"/>
    <w:rsid w:val="002B2755"/>
    <w:rsid w:val="002B27C1"/>
    <w:rsid w:val="002B28CF"/>
    <w:rsid w:val="002B29D9"/>
    <w:rsid w:val="002B2B91"/>
    <w:rsid w:val="002B2E81"/>
    <w:rsid w:val="002B2FEE"/>
    <w:rsid w:val="002B32F2"/>
    <w:rsid w:val="002B332D"/>
    <w:rsid w:val="002B3640"/>
    <w:rsid w:val="002B3707"/>
    <w:rsid w:val="002B38B8"/>
    <w:rsid w:val="002B3B2E"/>
    <w:rsid w:val="002B3B51"/>
    <w:rsid w:val="002B3C5B"/>
    <w:rsid w:val="002B3E3D"/>
    <w:rsid w:val="002B4255"/>
    <w:rsid w:val="002B4262"/>
    <w:rsid w:val="002B4716"/>
    <w:rsid w:val="002B48A9"/>
    <w:rsid w:val="002B48B2"/>
    <w:rsid w:val="002B49F3"/>
    <w:rsid w:val="002B4A78"/>
    <w:rsid w:val="002B4AE2"/>
    <w:rsid w:val="002B5003"/>
    <w:rsid w:val="002B5390"/>
    <w:rsid w:val="002B5391"/>
    <w:rsid w:val="002B5411"/>
    <w:rsid w:val="002B57B8"/>
    <w:rsid w:val="002B5979"/>
    <w:rsid w:val="002B59A2"/>
    <w:rsid w:val="002B5C93"/>
    <w:rsid w:val="002B64E9"/>
    <w:rsid w:val="002B64FE"/>
    <w:rsid w:val="002B6935"/>
    <w:rsid w:val="002B6D40"/>
    <w:rsid w:val="002B6DA0"/>
    <w:rsid w:val="002B71BE"/>
    <w:rsid w:val="002B72BC"/>
    <w:rsid w:val="002B7352"/>
    <w:rsid w:val="002B768A"/>
    <w:rsid w:val="002B7738"/>
    <w:rsid w:val="002B7CA1"/>
    <w:rsid w:val="002B7E29"/>
    <w:rsid w:val="002B940E"/>
    <w:rsid w:val="002C0128"/>
    <w:rsid w:val="002C01D5"/>
    <w:rsid w:val="002C04E4"/>
    <w:rsid w:val="002C04E7"/>
    <w:rsid w:val="002C0850"/>
    <w:rsid w:val="002C0B2F"/>
    <w:rsid w:val="002C0EAB"/>
    <w:rsid w:val="002C103F"/>
    <w:rsid w:val="002C189A"/>
    <w:rsid w:val="002C1953"/>
    <w:rsid w:val="002C1CA5"/>
    <w:rsid w:val="002C1FD0"/>
    <w:rsid w:val="002C2084"/>
    <w:rsid w:val="002C2187"/>
    <w:rsid w:val="002C21CB"/>
    <w:rsid w:val="002C21E6"/>
    <w:rsid w:val="002C2674"/>
    <w:rsid w:val="002C29D5"/>
    <w:rsid w:val="002C2BD5"/>
    <w:rsid w:val="002C2C98"/>
    <w:rsid w:val="002C2D19"/>
    <w:rsid w:val="002C2FEF"/>
    <w:rsid w:val="002C32AC"/>
    <w:rsid w:val="002C34EB"/>
    <w:rsid w:val="002C38EC"/>
    <w:rsid w:val="002C3F6D"/>
    <w:rsid w:val="002C42E9"/>
    <w:rsid w:val="002C4696"/>
    <w:rsid w:val="002C480D"/>
    <w:rsid w:val="002C48ED"/>
    <w:rsid w:val="002C4AC2"/>
    <w:rsid w:val="002C4B69"/>
    <w:rsid w:val="002C4C46"/>
    <w:rsid w:val="002C4D5E"/>
    <w:rsid w:val="002C4DC3"/>
    <w:rsid w:val="002C500D"/>
    <w:rsid w:val="002C5225"/>
    <w:rsid w:val="002C53D4"/>
    <w:rsid w:val="002C5505"/>
    <w:rsid w:val="002C5A4C"/>
    <w:rsid w:val="002C5A4D"/>
    <w:rsid w:val="002C5B81"/>
    <w:rsid w:val="002C5C92"/>
    <w:rsid w:val="002C5D15"/>
    <w:rsid w:val="002C62E2"/>
    <w:rsid w:val="002C6351"/>
    <w:rsid w:val="002C6816"/>
    <w:rsid w:val="002C6960"/>
    <w:rsid w:val="002C6C0E"/>
    <w:rsid w:val="002C6FA5"/>
    <w:rsid w:val="002C705A"/>
    <w:rsid w:val="002C74B0"/>
    <w:rsid w:val="002C7587"/>
    <w:rsid w:val="002C75E5"/>
    <w:rsid w:val="002C7620"/>
    <w:rsid w:val="002C7981"/>
    <w:rsid w:val="002C7A7C"/>
    <w:rsid w:val="002C7FAB"/>
    <w:rsid w:val="002CC540"/>
    <w:rsid w:val="002D0156"/>
    <w:rsid w:val="002D01B7"/>
    <w:rsid w:val="002D04F4"/>
    <w:rsid w:val="002D0732"/>
    <w:rsid w:val="002D076B"/>
    <w:rsid w:val="002D099A"/>
    <w:rsid w:val="002D0B3C"/>
    <w:rsid w:val="002D0B90"/>
    <w:rsid w:val="002D0B99"/>
    <w:rsid w:val="002D0D1F"/>
    <w:rsid w:val="002D0DFF"/>
    <w:rsid w:val="002D0E69"/>
    <w:rsid w:val="002D0F34"/>
    <w:rsid w:val="002D11BE"/>
    <w:rsid w:val="002D15CB"/>
    <w:rsid w:val="002D19E3"/>
    <w:rsid w:val="002D1B3B"/>
    <w:rsid w:val="002D1D11"/>
    <w:rsid w:val="002D1DBE"/>
    <w:rsid w:val="002D2008"/>
    <w:rsid w:val="002D20FE"/>
    <w:rsid w:val="002D2214"/>
    <w:rsid w:val="002D25CE"/>
    <w:rsid w:val="002D2B0E"/>
    <w:rsid w:val="002D348C"/>
    <w:rsid w:val="002D355C"/>
    <w:rsid w:val="002D3757"/>
    <w:rsid w:val="002D38AC"/>
    <w:rsid w:val="002D38F3"/>
    <w:rsid w:val="002D3966"/>
    <w:rsid w:val="002D3A77"/>
    <w:rsid w:val="002D3AC6"/>
    <w:rsid w:val="002D3B2F"/>
    <w:rsid w:val="002D3D5D"/>
    <w:rsid w:val="002D3DD1"/>
    <w:rsid w:val="002D4065"/>
    <w:rsid w:val="002D4137"/>
    <w:rsid w:val="002D466A"/>
    <w:rsid w:val="002D46D6"/>
    <w:rsid w:val="002D471F"/>
    <w:rsid w:val="002D4768"/>
    <w:rsid w:val="002D47CE"/>
    <w:rsid w:val="002D4954"/>
    <w:rsid w:val="002D49DD"/>
    <w:rsid w:val="002D4C19"/>
    <w:rsid w:val="002D4C9F"/>
    <w:rsid w:val="002D5133"/>
    <w:rsid w:val="002D55F5"/>
    <w:rsid w:val="002D5AFC"/>
    <w:rsid w:val="002D5C60"/>
    <w:rsid w:val="002D5D76"/>
    <w:rsid w:val="002D5EC8"/>
    <w:rsid w:val="002D627A"/>
    <w:rsid w:val="002D64C0"/>
    <w:rsid w:val="002D6625"/>
    <w:rsid w:val="002D69DC"/>
    <w:rsid w:val="002D741F"/>
    <w:rsid w:val="002D7494"/>
    <w:rsid w:val="002D753C"/>
    <w:rsid w:val="002D75C9"/>
    <w:rsid w:val="002D7674"/>
    <w:rsid w:val="002D7987"/>
    <w:rsid w:val="002E0083"/>
    <w:rsid w:val="002E00D7"/>
    <w:rsid w:val="002E01C6"/>
    <w:rsid w:val="002E02F6"/>
    <w:rsid w:val="002E0382"/>
    <w:rsid w:val="002E06E3"/>
    <w:rsid w:val="002E07ED"/>
    <w:rsid w:val="002E0820"/>
    <w:rsid w:val="002E08B9"/>
    <w:rsid w:val="002E0AB8"/>
    <w:rsid w:val="002E10F3"/>
    <w:rsid w:val="002E1A2F"/>
    <w:rsid w:val="002E1C9F"/>
    <w:rsid w:val="002E1F3B"/>
    <w:rsid w:val="002E1F58"/>
    <w:rsid w:val="002E2225"/>
    <w:rsid w:val="002E239E"/>
    <w:rsid w:val="002E25A9"/>
    <w:rsid w:val="002E26AA"/>
    <w:rsid w:val="002E27CC"/>
    <w:rsid w:val="002E2D27"/>
    <w:rsid w:val="002E2E92"/>
    <w:rsid w:val="002E2ECE"/>
    <w:rsid w:val="002E3148"/>
    <w:rsid w:val="002E34FE"/>
    <w:rsid w:val="002E37A9"/>
    <w:rsid w:val="002E37C7"/>
    <w:rsid w:val="002E3881"/>
    <w:rsid w:val="002E38B1"/>
    <w:rsid w:val="002E39AF"/>
    <w:rsid w:val="002E3D15"/>
    <w:rsid w:val="002E3D16"/>
    <w:rsid w:val="002E423A"/>
    <w:rsid w:val="002E44B4"/>
    <w:rsid w:val="002E4B9B"/>
    <w:rsid w:val="002E4BD8"/>
    <w:rsid w:val="002E4FE8"/>
    <w:rsid w:val="002E50B0"/>
    <w:rsid w:val="002E51B3"/>
    <w:rsid w:val="002E52C8"/>
    <w:rsid w:val="002E55B5"/>
    <w:rsid w:val="002E56BE"/>
    <w:rsid w:val="002E57CF"/>
    <w:rsid w:val="002E654C"/>
    <w:rsid w:val="002E6747"/>
    <w:rsid w:val="002E6817"/>
    <w:rsid w:val="002E681B"/>
    <w:rsid w:val="002E6847"/>
    <w:rsid w:val="002E68B5"/>
    <w:rsid w:val="002E69B1"/>
    <w:rsid w:val="002E6A0F"/>
    <w:rsid w:val="002E6AFE"/>
    <w:rsid w:val="002E6CFC"/>
    <w:rsid w:val="002E6E28"/>
    <w:rsid w:val="002E7196"/>
    <w:rsid w:val="002E72E8"/>
    <w:rsid w:val="002E79E8"/>
    <w:rsid w:val="002E7A09"/>
    <w:rsid w:val="002E7A41"/>
    <w:rsid w:val="002F009F"/>
    <w:rsid w:val="002F021E"/>
    <w:rsid w:val="002F04C9"/>
    <w:rsid w:val="002F05B0"/>
    <w:rsid w:val="002F07DA"/>
    <w:rsid w:val="002F0A03"/>
    <w:rsid w:val="002F0A0F"/>
    <w:rsid w:val="002F0A22"/>
    <w:rsid w:val="002F0CC4"/>
    <w:rsid w:val="002F1099"/>
    <w:rsid w:val="002F10DE"/>
    <w:rsid w:val="002F1110"/>
    <w:rsid w:val="002F12C3"/>
    <w:rsid w:val="002F12FC"/>
    <w:rsid w:val="002F171D"/>
    <w:rsid w:val="002F1895"/>
    <w:rsid w:val="002F1A1C"/>
    <w:rsid w:val="002F1B8A"/>
    <w:rsid w:val="002F1DBA"/>
    <w:rsid w:val="002F1E12"/>
    <w:rsid w:val="002F1F28"/>
    <w:rsid w:val="002F21BE"/>
    <w:rsid w:val="002F223A"/>
    <w:rsid w:val="002F2302"/>
    <w:rsid w:val="002F230B"/>
    <w:rsid w:val="002F2444"/>
    <w:rsid w:val="002F26CE"/>
    <w:rsid w:val="002F29E0"/>
    <w:rsid w:val="002F2B6A"/>
    <w:rsid w:val="002F2C0E"/>
    <w:rsid w:val="002F2CFE"/>
    <w:rsid w:val="002F2D1B"/>
    <w:rsid w:val="002F2E42"/>
    <w:rsid w:val="002F3220"/>
    <w:rsid w:val="002F36BA"/>
    <w:rsid w:val="002F3766"/>
    <w:rsid w:val="002F39AE"/>
    <w:rsid w:val="002F3B72"/>
    <w:rsid w:val="002F4349"/>
    <w:rsid w:val="002F4566"/>
    <w:rsid w:val="002F4D02"/>
    <w:rsid w:val="002F4D5A"/>
    <w:rsid w:val="002F4DEE"/>
    <w:rsid w:val="002F4E5E"/>
    <w:rsid w:val="002F5199"/>
    <w:rsid w:val="002F5578"/>
    <w:rsid w:val="002F5AAA"/>
    <w:rsid w:val="002F5B1B"/>
    <w:rsid w:val="002F5CD8"/>
    <w:rsid w:val="002F5D06"/>
    <w:rsid w:val="002F5DDD"/>
    <w:rsid w:val="002F5F66"/>
    <w:rsid w:val="002F5FE4"/>
    <w:rsid w:val="002F6105"/>
    <w:rsid w:val="002F6479"/>
    <w:rsid w:val="002F64F3"/>
    <w:rsid w:val="002F6B1A"/>
    <w:rsid w:val="002F6B81"/>
    <w:rsid w:val="002F6B9C"/>
    <w:rsid w:val="002F720B"/>
    <w:rsid w:val="002F7259"/>
    <w:rsid w:val="002F7741"/>
    <w:rsid w:val="002F7837"/>
    <w:rsid w:val="002FC90E"/>
    <w:rsid w:val="00300132"/>
    <w:rsid w:val="003001B5"/>
    <w:rsid w:val="00300233"/>
    <w:rsid w:val="00300337"/>
    <w:rsid w:val="003003BA"/>
    <w:rsid w:val="003004D4"/>
    <w:rsid w:val="0030098B"/>
    <w:rsid w:val="00300BCF"/>
    <w:rsid w:val="00300E6F"/>
    <w:rsid w:val="00301283"/>
    <w:rsid w:val="00301388"/>
    <w:rsid w:val="00301612"/>
    <w:rsid w:val="00301804"/>
    <w:rsid w:val="00301B33"/>
    <w:rsid w:val="00301CBE"/>
    <w:rsid w:val="00301D02"/>
    <w:rsid w:val="00301E00"/>
    <w:rsid w:val="00302078"/>
    <w:rsid w:val="00302243"/>
    <w:rsid w:val="0030226C"/>
    <w:rsid w:val="0030232F"/>
    <w:rsid w:val="0030248A"/>
    <w:rsid w:val="003024A4"/>
    <w:rsid w:val="0030263A"/>
    <w:rsid w:val="003028B1"/>
    <w:rsid w:val="0030298D"/>
    <w:rsid w:val="00302AE0"/>
    <w:rsid w:val="00302CBE"/>
    <w:rsid w:val="003033A2"/>
    <w:rsid w:val="00303649"/>
    <w:rsid w:val="00303B99"/>
    <w:rsid w:val="00303D6F"/>
    <w:rsid w:val="00303E26"/>
    <w:rsid w:val="00304041"/>
    <w:rsid w:val="00304368"/>
    <w:rsid w:val="0030437B"/>
    <w:rsid w:val="003043CB"/>
    <w:rsid w:val="003044D9"/>
    <w:rsid w:val="0030473F"/>
    <w:rsid w:val="00304A00"/>
    <w:rsid w:val="00304A6B"/>
    <w:rsid w:val="00304A79"/>
    <w:rsid w:val="00304D10"/>
    <w:rsid w:val="00304E48"/>
    <w:rsid w:val="00305010"/>
    <w:rsid w:val="0030520B"/>
    <w:rsid w:val="003058CC"/>
    <w:rsid w:val="00305C3D"/>
    <w:rsid w:val="00305D2A"/>
    <w:rsid w:val="00305D7C"/>
    <w:rsid w:val="0030627B"/>
    <w:rsid w:val="00306393"/>
    <w:rsid w:val="0030667D"/>
    <w:rsid w:val="00306865"/>
    <w:rsid w:val="0030686C"/>
    <w:rsid w:val="00306908"/>
    <w:rsid w:val="0030697A"/>
    <w:rsid w:val="00306FE1"/>
    <w:rsid w:val="00306FF3"/>
    <w:rsid w:val="0030707E"/>
    <w:rsid w:val="003070E8"/>
    <w:rsid w:val="00307134"/>
    <w:rsid w:val="0030729B"/>
    <w:rsid w:val="00307469"/>
    <w:rsid w:val="003075FD"/>
    <w:rsid w:val="00307CA8"/>
    <w:rsid w:val="00307CC9"/>
    <w:rsid w:val="00307DB1"/>
    <w:rsid w:val="00310225"/>
    <w:rsid w:val="003104DF"/>
    <w:rsid w:val="00310654"/>
    <w:rsid w:val="0031065C"/>
    <w:rsid w:val="00310727"/>
    <w:rsid w:val="00310B12"/>
    <w:rsid w:val="00310B4F"/>
    <w:rsid w:val="00310C57"/>
    <w:rsid w:val="00310D1A"/>
    <w:rsid w:val="00310E4D"/>
    <w:rsid w:val="00310EB5"/>
    <w:rsid w:val="00310F1D"/>
    <w:rsid w:val="00310F34"/>
    <w:rsid w:val="00310FD8"/>
    <w:rsid w:val="0031149D"/>
    <w:rsid w:val="003116DE"/>
    <w:rsid w:val="0031177F"/>
    <w:rsid w:val="0031190E"/>
    <w:rsid w:val="00311A42"/>
    <w:rsid w:val="00311A62"/>
    <w:rsid w:val="00311AF8"/>
    <w:rsid w:val="00311F69"/>
    <w:rsid w:val="00311FD6"/>
    <w:rsid w:val="00312165"/>
    <w:rsid w:val="003122B1"/>
    <w:rsid w:val="00312784"/>
    <w:rsid w:val="00312875"/>
    <w:rsid w:val="00312931"/>
    <w:rsid w:val="00312B00"/>
    <w:rsid w:val="00312BCB"/>
    <w:rsid w:val="00312ECE"/>
    <w:rsid w:val="00312F3A"/>
    <w:rsid w:val="00313110"/>
    <w:rsid w:val="0031318C"/>
    <w:rsid w:val="003132E6"/>
    <w:rsid w:val="0031360E"/>
    <w:rsid w:val="00313C44"/>
    <w:rsid w:val="00313DE2"/>
    <w:rsid w:val="00313E0E"/>
    <w:rsid w:val="00313E35"/>
    <w:rsid w:val="00313F33"/>
    <w:rsid w:val="0031421E"/>
    <w:rsid w:val="003142D8"/>
    <w:rsid w:val="00314390"/>
    <w:rsid w:val="003143F2"/>
    <w:rsid w:val="00314461"/>
    <w:rsid w:val="003144B8"/>
    <w:rsid w:val="003146DE"/>
    <w:rsid w:val="003146E7"/>
    <w:rsid w:val="00314EFD"/>
    <w:rsid w:val="00314F9B"/>
    <w:rsid w:val="00315548"/>
    <w:rsid w:val="003155CD"/>
    <w:rsid w:val="00315659"/>
    <w:rsid w:val="00315726"/>
    <w:rsid w:val="00315A91"/>
    <w:rsid w:val="00315C73"/>
    <w:rsid w:val="00315EFC"/>
    <w:rsid w:val="00315F3C"/>
    <w:rsid w:val="00316552"/>
    <w:rsid w:val="003168BA"/>
    <w:rsid w:val="00316A8F"/>
    <w:rsid w:val="00316BBE"/>
    <w:rsid w:val="00316BF1"/>
    <w:rsid w:val="00316D3A"/>
    <w:rsid w:val="00316E91"/>
    <w:rsid w:val="0031709A"/>
    <w:rsid w:val="00317234"/>
    <w:rsid w:val="003174AD"/>
    <w:rsid w:val="003175EE"/>
    <w:rsid w:val="003176AD"/>
    <w:rsid w:val="003177CD"/>
    <w:rsid w:val="003177E9"/>
    <w:rsid w:val="00317ABC"/>
    <w:rsid w:val="00317EAA"/>
    <w:rsid w:val="00318A55"/>
    <w:rsid w:val="003200A9"/>
    <w:rsid w:val="003203B0"/>
    <w:rsid w:val="00320442"/>
    <w:rsid w:val="0032063E"/>
    <w:rsid w:val="00320725"/>
    <w:rsid w:val="003207B5"/>
    <w:rsid w:val="00320A43"/>
    <w:rsid w:val="00320A85"/>
    <w:rsid w:val="00320D02"/>
    <w:rsid w:val="00320F99"/>
    <w:rsid w:val="003213EF"/>
    <w:rsid w:val="00321592"/>
    <w:rsid w:val="0032171F"/>
    <w:rsid w:val="00321BB5"/>
    <w:rsid w:val="00321BF6"/>
    <w:rsid w:val="00321C07"/>
    <w:rsid w:val="00321C0D"/>
    <w:rsid w:val="00321EB8"/>
    <w:rsid w:val="00322121"/>
    <w:rsid w:val="003221E3"/>
    <w:rsid w:val="00322220"/>
    <w:rsid w:val="00322237"/>
    <w:rsid w:val="003222B4"/>
    <w:rsid w:val="0032244D"/>
    <w:rsid w:val="00322517"/>
    <w:rsid w:val="00322527"/>
    <w:rsid w:val="00322952"/>
    <w:rsid w:val="003229A6"/>
    <w:rsid w:val="003229CE"/>
    <w:rsid w:val="00322C55"/>
    <w:rsid w:val="00322E7D"/>
    <w:rsid w:val="0032328E"/>
    <w:rsid w:val="003233AC"/>
    <w:rsid w:val="003236D9"/>
    <w:rsid w:val="00323701"/>
    <w:rsid w:val="00323BE4"/>
    <w:rsid w:val="00323FCD"/>
    <w:rsid w:val="003240BD"/>
    <w:rsid w:val="0032410C"/>
    <w:rsid w:val="003241B3"/>
    <w:rsid w:val="00324434"/>
    <w:rsid w:val="0032460D"/>
    <w:rsid w:val="003248E9"/>
    <w:rsid w:val="00324AE9"/>
    <w:rsid w:val="00324B67"/>
    <w:rsid w:val="00324BFD"/>
    <w:rsid w:val="00324D40"/>
    <w:rsid w:val="00324E86"/>
    <w:rsid w:val="00325421"/>
    <w:rsid w:val="0032556C"/>
    <w:rsid w:val="0032556F"/>
    <w:rsid w:val="003255CB"/>
    <w:rsid w:val="00325829"/>
    <w:rsid w:val="0032587B"/>
    <w:rsid w:val="003259EB"/>
    <w:rsid w:val="00325A8E"/>
    <w:rsid w:val="00325AE6"/>
    <w:rsid w:val="00325B94"/>
    <w:rsid w:val="00325DC3"/>
    <w:rsid w:val="00325E0F"/>
    <w:rsid w:val="00325EB1"/>
    <w:rsid w:val="0032638A"/>
    <w:rsid w:val="003264E7"/>
    <w:rsid w:val="003265A8"/>
    <w:rsid w:val="0032662F"/>
    <w:rsid w:val="00326671"/>
    <w:rsid w:val="003266E1"/>
    <w:rsid w:val="00326B27"/>
    <w:rsid w:val="00326CE8"/>
    <w:rsid w:val="00326D6A"/>
    <w:rsid w:val="00327132"/>
    <w:rsid w:val="003275E6"/>
    <w:rsid w:val="0032778D"/>
    <w:rsid w:val="0032779D"/>
    <w:rsid w:val="003279DE"/>
    <w:rsid w:val="00327CE0"/>
    <w:rsid w:val="0032FD29"/>
    <w:rsid w:val="003301BA"/>
    <w:rsid w:val="003307BD"/>
    <w:rsid w:val="0033087B"/>
    <w:rsid w:val="00330BD5"/>
    <w:rsid w:val="00330C99"/>
    <w:rsid w:val="00331083"/>
    <w:rsid w:val="00331229"/>
    <w:rsid w:val="0033130A"/>
    <w:rsid w:val="003313F4"/>
    <w:rsid w:val="0033146A"/>
    <w:rsid w:val="0033167A"/>
    <w:rsid w:val="003316F9"/>
    <w:rsid w:val="003317E0"/>
    <w:rsid w:val="00331A0B"/>
    <w:rsid w:val="00331ABD"/>
    <w:rsid w:val="00331BBF"/>
    <w:rsid w:val="00331C35"/>
    <w:rsid w:val="00331C71"/>
    <w:rsid w:val="00331ED4"/>
    <w:rsid w:val="003325B0"/>
    <w:rsid w:val="00332676"/>
    <w:rsid w:val="00332821"/>
    <w:rsid w:val="003328A4"/>
    <w:rsid w:val="00332961"/>
    <w:rsid w:val="00332BD8"/>
    <w:rsid w:val="00332C44"/>
    <w:rsid w:val="00332E10"/>
    <w:rsid w:val="003331B2"/>
    <w:rsid w:val="003331BC"/>
    <w:rsid w:val="003337FD"/>
    <w:rsid w:val="003339A7"/>
    <w:rsid w:val="00333A76"/>
    <w:rsid w:val="00333EC5"/>
    <w:rsid w:val="00333F48"/>
    <w:rsid w:val="003341A2"/>
    <w:rsid w:val="00334214"/>
    <w:rsid w:val="00334632"/>
    <w:rsid w:val="003347EF"/>
    <w:rsid w:val="00334CBD"/>
    <w:rsid w:val="00334ED1"/>
    <w:rsid w:val="00334EF0"/>
    <w:rsid w:val="00335393"/>
    <w:rsid w:val="003353DC"/>
    <w:rsid w:val="003353EE"/>
    <w:rsid w:val="00335AA3"/>
    <w:rsid w:val="00335D77"/>
    <w:rsid w:val="00335F48"/>
    <w:rsid w:val="003360F5"/>
    <w:rsid w:val="0033616C"/>
    <w:rsid w:val="00336214"/>
    <w:rsid w:val="00336395"/>
    <w:rsid w:val="00336725"/>
    <w:rsid w:val="00336A3C"/>
    <w:rsid w:val="00336A4C"/>
    <w:rsid w:val="00336B1D"/>
    <w:rsid w:val="00336C28"/>
    <w:rsid w:val="00336C49"/>
    <w:rsid w:val="0033708A"/>
    <w:rsid w:val="003370C8"/>
    <w:rsid w:val="003373DE"/>
    <w:rsid w:val="0033757C"/>
    <w:rsid w:val="00337648"/>
    <w:rsid w:val="00337763"/>
    <w:rsid w:val="00337EC5"/>
    <w:rsid w:val="00337F4D"/>
    <w:rsid w:val="00340049"/>
    <w:rsid w:val="00340155"/>
    <w:rsid w:val="0034060D"/>
    <w:rsid w:val="003408AC"/>
    <w:rsid w:val="00340A7C"/>
    <w:rsid w:val="00340C2F"/>
    <w:rsid w:val="00340EAF"/>
    <w:rsid w:val="0034118E"/>
    <w:rsid w:val="003413AD"/>
    <w:rsid w:val="003413BA"/>
    <w:rsid w:val="0034148C"/>
    <w:rsid w:val="00341895"/>
    <w:rsid w:val="00341A7D"/>
    <w:rsid w:val="00341EAF"/>
    <w:rsid w:val="00341FCE"/>
    <w:rsid w:val="00342198"/>
    <w:rsid w:val="003425B0"/>
    <w:rsid w:val="00342632"/>
    <w:rsid w:val="003427B9"/>
    <w:rsid w:val="00342D09"/>
    <w:rsid w:val="00342F5D"/>
    <w:rsid w:val="003431F8"/>
    <w:rsid w:val="003432DD"/>
    <w:rsid w:val="00343461"/>
    <w:rsid w:val="0034348B"/>
    <w:rsid w:val="003435FE"/>
    <w:rsid w:val="003437A7"/>
    <w:rsid w:val="00343C17"/>
    <w:rsid w:val="00343E68"/>
    <w:rsid w:val="00343E6E"/>
    <w:rsid w:val="00344105"/>
    <w:rsid w:val="003441C1"/>
    <w:rsid w:val="003446BA"/>
    <w:rsid w:val="00344DC1"/>
    <w:rsid w:val="00344DED"/>
    <w:rsid w:val="003452AD"/>
    <w:rsid w:val="003453E2"/>
    <w:rsid w:val="003455FD"/>
    <w:rsid w:val="00345622"/>
    <w:rsid w:val="003459A9"/>
    <w:rsid w:val="00345A6C"/>
    <w:rsid w:val="00345BAC"/>
    <w:rsid w:val="00345CAB"/>
    <w:rsid w:val="00345CDA"/>
    <w:rsid w:val="00345ED6"/>
    <w:rsid w:val="00346142"/>
    <w:rsid w:val="0034617F"/>
    <w:rsid w:val="00346337"/>
    <w:rsid w:val="003463D1"/>
    <w:rsid w:val="00346BE6"/>
    <w:rsid w:val="00346EB6"/>
    <w:rsid w:val="00346F60"/>
    <w:rsid w:val="00346F6C"/>
    <w:rsid w:val="00347074"/>
    <w:rsid w:val="003470E4"/>
    <w:rsid w:val="003474FE"/>
    <w:rsid w:val="00347544"/>
    <w:rsid w:val="00347563"/>
    <w:rsid w:val="003476A4"/>
    <w:rsid w:val="003476CD"/>
    <w:rsid w:val="00347EBB"/>
    <w:rsid w:val="00347FDE"/>
    <w:rsid w:val="00350127"/>
    <w:rsid w:val="0035017D"/>
    <w:rsid w:val="00350363"/>
    <w:rsid w:val="003504C7"/>
    <w:rsid w:val="00350504"/>
    <w:rsid w:val="003506B4"/>
    <w:rsid w:val="003507B5"/>
    <w:rsid w:val="00350C81"/>
    <w:rsid w:val="00350E14"/>
    <w:rsid w:val="00350EA6"/>
    <w:rsid w:val="0035130A"/>
    <w:rsid w:val="003515C1"/>
    <w:rsid w:val="003516B9"/>
    <w:rsid w:val="00351745"/>
    <w:rsid w:val="00351B55"/>
    <w:rsid w:val="00351CF7"/>
    <w:rsid w:val="00351D21"/>
    <w:rsid w:val="00351D82"/>
    <w:rsid w:val="00351DA5"/>
    <w:rsid w:val="00351DEA"/>
    <w:rsid w:val="00351EB8"/>
    <w:rsid w:val="003523B8"/>
    <w:rsid w:val="003523CC"/>
    <w:rsid w:val="00352A30"/>
    <w:rsid w:val="00352E5F"/>
    <w:rsid w:val="00352FCD"/>
    <w:rsid w:val="00353019"/>
    <w:rsid w:val="00353163"/>
    <w:rsid w:val="003532D7"/>
    <w:rsid w:val="0035364E"/>
    <w:rsid w:val="0035378A"/>
    <w:rsid w:val="00353958"/>
    <w:rsid w:val="00353996"/>
    <w:rsid w:val="00353BA9"/>
    <w:rsid w:val="00353D69"/>
    <w:rsid w:val="00353EC6"/>
    <w:rsid w:val="00354679"/>
    <w:rsid w:val="0035469C"/>
    <w:rsid w:val="00354A64"/>
    <w:rsid w:val="00354B35"/>
    <w:rsid w:val="0035505B"/>
    <w:rsid w:val="0035521B"/>
    <w:rsid w:val="003553F7"/>
    <w:rsid w:val="00355594"/>
    <w:rsid w:val="0035563D"/>
    <w:rsid w:val="00355708"/>
    <w:rsid w:val="003558B4"/>
    <w:rsid w:val="003558C1"/>
    <w:rsid w:val="0035598B"/>
    <w:rsid w:val="003559DB"/>
    <w:rsid w:val="00355A44"/>
    <w:rsid w:val="00355BD5"/>
    <w:rsid w:val="00355D32"/>
    <w:rsid w:val="00356072"/>
    <w:rsid w:val="00356124"/>
    <w:rsid w:val="003562F9"/>
    <w:rsid w:val="00356362"/>
    <w:rsid w:val="003566DD"/>
    <w:rsid w:val="00356811"/>
    <w:rsid w:val="00356B2D"/>
    <w:rsid w:val="00356BA9"/>
    <w:rsid w:val="00356E42"/>
    <w:rsid w:val="00357560"/>
    <w:rsid w:val="00357651"/>
    <w:rsid w:val="00357652"/>
    <w:rsid w:val="003576DD"/>
    <w:rsid w:val="00357C9D"/>
    <w:rsid w:val="00357E9F"/>
    <w:rsid w:val="003603DB"/>
    <w:rsid w:val="00360400"/>
    <w:rsid w:val="00360639"/>
    <w:rsid w:val="0036083F"/>
    <w:rsid w:val="00360A24"/>
    <w:rsid w:val="00360B78"/>
    <w:rsid w:val="00360DDC"/>
    <w:rsid w:val="00361334"/>
    <w:rsid w:val="00361336"/>
    <w:rsid w:val="00361786"/>
    <w:rsid w:val="00361794"/>
    <w:rsid w:val="00361A82"/>
    <w:rsid w:val="00361B11"/>
    <w:rsid w:val="00361C7F"/>
    <w:rsid w:val="00361DBB"/>
    <w:rsid w:val="00362668"/>
    <w:rsid w:val="00362821"/>
    <w:rsid w:val="00362F8A"/>
    <w:rsid w:val="003631CD"/>
    <w:rsid w:val="003633EE"/>
    <w:rsid w:val="003635C2"/>
    <w:rsid w:val="0036360A"/>
    <w:rsid w:val="00363743"/>
    <w:rsid w:val="00363A53"/>
    <w:rsid w:val="00363B6F"/>
    <w:rsid w:val="00363DDF"/>
    <w:rsid w:val="00363F72"/>
    <w:rsid w:val="003643E1"/>
    <w:rsid w:val="00364621"/>
    <w:rsid w:val="00364829"/>
    <w:rsid w:val="00364E35"/>
    <w:rsid w:val="00364EA4"/>
    <w:rsid w:val="0036504E"/>
    <w:rsid w:val="00365056"/>
    <w:rsid w:val="00365173"/>
    <w:rsid w:val="00365267"/>
    <w:rsid w:val="003653EE"/>
    <w:rsid w:val="0036546A"/>
    <w:rsid w:val="00365ACD"/>
    <w:rsid w:val="00365E7F"/>
    <w:rsid w:val="00365EE7"/>
    <w:rsid w:val="00365F26"/>
    <w:rsid w:val="0036603D"/>
    <w:rsid w:val="0036627C"/>
    <w:rsid w:val="00366607"/>
    <w:rsid w:val="00366650"/>
    <w:rsid w:val="00366A8F"/>
    <w:rsid w:val="00366B3E"/>
    <w:rsid w:val="00366F7A"/>
    <w:rsid w:val="00366FDE"/>
    <w:rsid w:val="00367467"/>
    <w:rsid w:val="003676FA"/>
    <w:rsid w:val="00367778"/>
    <w:rsid w:val="00367958"/>
    <w:rsid w:val="003679A2"/>
    <w:rsid w:val="003679DF"/>
    <w:rsid w:val="00367C31"/>
    <w:rsid w:val="00367E49"/>
    <w:rsid w:val="00367F45"/>
    <w:rsid w:val="00368582"/>
    <w:rsid w:val="0036A85C"/>
    <w:rsid w:val="0036C549"/>
    <w:rsid w:val="003700B3"/>
    <w:rsid w:val="003700BA"/>
    <w:rsid w:val="0037022C"/>
    <w:rsid w:val="00370317"/>
    <w:rsid w:val="003704D0"/>
    <w:rsid w:val="0037051F"/>
    <w:rsid w:val="00370636"/>
    <w:rsid w:val="0037097A"/>
    <w:rsid w:val="00370B11"/>
    <w:rsid w:val="00370F6B"/>
    <w:rsid w:val="00371032"/>
    <w:rsid w:val="00371278"/>
    <w:rsid w:val="003713B2"/>
    <w:rsid w:val="00371538"/>
    <w:rsid w:val="003716F8"/>
    <w:rsid w:val="0037171B"/>
    <w:rsid w:val="00371760"/>
    <w:rsid w:val="003717F6"/>
    <w:rsid w:val="00371818"/>
    <w:rsid w:val="0037186D"/>
    <w:rsid w:val="00371A27"/>
    <w:rsid w:val="00371A86"/>
    <w:rsid w:val="00371E21"/>
    <w:rsid w:val="003725F4"/>
    <w:rsid w:val="00372BE6"/>
    <w:rsid w:val="00372BFE"/>
    <w:rsid w:val="00372D9A"/>
    <w:rsid w:val="00372E86"/>
    <w:rsid w:val="0037303B"/>
    <w:rsid w:val="003732EC"/>
    <w:rsid w:val="00373381"/>
    <w:rsid w:val="003734F2"/>
    <w:rsid w:val="00373801"/>
    <w:rsid w:val="00373868"/>
    <w:rsid w:val="0037396C"/>
    <w:rsid w:val="00373B3B"/>
    <w:rsid w:val="00373C7D"/>
    <w:rsid w:val="00373E31"/>
    <w:rsid w:val="00373F32"/>
    <w:rsid w:val="003741F2"/>
    <w:rsid w:val="00374340"/>
    <w:rsid w:val="003743FF"/>
    <w:rsid w:val="0037495A"/>
    <w:rsid w:val="00374B76"/>
    <w:rsid w:val="00374FF3"/>
    <w:rsid w:val="0037508F"/>
    <w:rsid w:val="003755CD"/>
    <w:rsid w:val="00375650"/>
    <w:rsid w:val="00375780"/>
    <w:rsid w:val="00375796"/>
    <w:rsid w:val="003758D0"/>
    <w:rsid w:val="00375A25"/>
    <w:rsid w:val="00375E59"/>
    <w:rsid w:val="00375EB2"/>
    <w:rsid w:val="00376010"/>
    <w:rsid w:val="00376042"/>
    <w:rsid w:val="003760B7"/>
    <w:rsid w:val="003761DA"/>
    <w:rsid w:val="003762E9"/>
    <w:rsid w:val="0037636B"/>
    <w:rsid w:val="00376773"/>
    <w:rsid w:val="00376B16"/>
    <w:rsid w:val="00376E22"/>
    <w:rsid w:val="00377198"/>
    <w:rsid w:val="0037731C"/>
    <w:rsid w:val="003774A0"/>
    <w:rsid w:val="00377AE9"/>
    <w:rsid w:val="00377AF5"/>
    <w:rsid w:val="00377C3F"/>
    <w:rsid w:val="00377D72"/>
    <w:rsid w:val="00377DF4"/>
    <w:rsid w:val="00377E2C"/>
    <w:rsid w:val="00380082"/>
    <w:rsid w:val="0038022C"/>
    <w:rsid w:val="003802CB"/>
    <w:rsid w:val="003807CD"/>
    <w:rsid w:val="003808B0"/>
    <w:rsid w:val="00380B35"/>
    <w:rsid w:val="00380BE0"/>
    <w:rsid w:val="00380DF3"/>
    <w:rsid w:val="0038131A"/>
    <w:rsid w:val="0038138A"/>
    <w:rsid w:val="0038169D"/>
    <w:rsid w:val="0038180B"/>
    <w:rsid w:val="0038189B"/>
    <w:rsid w:val="00381B13"/>
    <w:rsid w:val="00381DAB"/>
    <w:rsid w:val="00381DD5"/>
    <w:rsid w:val="00382257"/>
    <w:rsid w:val="00382292"/>
    <w:rsid w:val="003827A3"/>
    <w:rsid w:val="00382853"/>
    <w:rsid w:val="00382A0F"/>
    <w:rsid w:val="00382D4F"/>
    <w:rsid w:val="00382DD0"/>
    <w:rsid w:val="0038313F"/>
    <w:rsid w:val="003832B3"/>
    <w:rsid w:val="00383350"/>
    <w:rsid w:val="00383630"/>
    <w:rsid w:val="00383928"/>
    <w:rsid w:val="00383D09"/>
    <w:rsid w:val="00383E79"/>
    <w:rsid w:val="00383EB0"/>
    <w:rsid w:val="00384092"/>
    <w:rsid w:val="0038410F"/>
    <w:rsid w:val="00384312"/>
    <w:rsid w:val="00384509"/>
    <w:rsid w:val="00384A00"/>
    <w:rsid w:val="00384CFF"/>
    <w:rsid w:val="00384F86"/>
    <w:rsid w:val="00385250"/>
    <w:rsid w:val="003852AC"/>
    <w:rsid w:val="003858AC"/>
    <w:rsid w:val="00385B6E"/>
    <w:rsid w:val="0038621E"/>
    <w:rsid w:val="003862DF"/>
    <w:rsid w:val="003863C1"/>
    <w:rsid w:val="003863EA"/>
    <w:rsid w:val="00386724"/>
    <w:rsid w:val="0038688E"/>
    <w:rsid w:val="00386AE3"/>
    <w:rsid w:val="00386C50"/>
    <w:rsid w:val="00386D79"/>
    <w:rsid w:val="00386DCD"/>
    <w:rsid w:val="0038737E"/>
    <w:rsid w:val="003874CC"/>
    <w:rsid w:val="003875CB"/>
    <w:rsid w:val="00387853"/>
    <w:rsid w:val="00387873"/>
    <w:rsid w:val="00387C17"/>
    <w:rsid w:val="00387C2D"/>
    <w:rsid w:val="00387E83"/>
    <w:rsid w:val="00388A81"/>
    <w:rsid w:val="0038E85F"/>
    <w:rsid w:val="00390083"/>
    <w:rsid w:val="003901B8"/>
    <w:rsid w:val="00390406"/>
    <w:rsid w:val="00390802"/>
    <w:rsid w:val="003908A9"/>
    <w:rsid w:val="00390A44"/>
    <w:rsid w:val="00390A5E"/>
    <w:rsid w:val="00390D3B"/>
    <w:rsid w:val="00390F20"/>
    <w:rsid w:val="003910BB"/>
    <w:rsid w:val="003911F6"/>
    <w:rsid w:val="0039144F"/>
    <w:rsid w:val="0039163D"/>
    <w:rsid w:val="0039169D"/>
    <w:rsid w:val="003917D0"/>
    <w:rsid w:val="0039196F"/>
    <w:rsid w:val="003919F5"/>
    <w:rsid w:val="00392849"/>
    <w:rsid w:val="003928ED"/>
    <w:rsid w:val="00392CB9"/>
    <w:rsid w:val="003931B9"/>
    <w:rsid w:val="00393409"/>
    <w:rsid w:val="00393BFE"/>
    <w:rsid w:val="00394319"/>
    <w:rsid w:val="0039485B"/>
    <w:rsid w:val="00394875"/>
    <w:rsid w:val="003949F1"/>
    <w:rsid w:val="00394C10"/>
    <w:rsid w:val="00394D84"/>
    <w:rsid w:val="00395A29"/>
    <w:rsid w:val="00395B34"/>
    <w:rsid w:val="00395B70"/>
    <w:rsid w:val="003960B3"/>
    <w:rsid w:val="00396134"/>
    <w:rsid w:val="00396234"/>
    <w:rsid w:val="00396735"/>
    <w:rsid w:val="00396B5C"/>
    <w:rsid w:val="00396BA5"/>
    <w:rsid w:val="00396E93"/>
    <w:rsid w:val="00396FE6"/>
    <w:rsid w:val="00397044"/>
    <w:rsid w:val="003970FB"/>
    <w:rsid w:val="0039728D"/>
    <w:rsid w:val="00397317"/>
    <w:rsid w:val="0039751F"/>
    <w:rsid w:val="00397706"/>
    <w:rsid w:val="0039776B"/>
    <w:rsid w:val="003978B1"/>
    <w:rsid w:val="00397903"/>
    <w:rsid w:val="00397922"/>
    <w:rsid w:val="00397BE8"/>
    <w:rsid w:val="00397C49"/>
    <w:rsid w:val="00397C9D"/>
    <w:rsid w:val="00397CBD"/>
    <w:rsid w:val="00397CE8"/>
    <w:rsid w:val="00397D23"/>
    <w:rsid w:val="00397EEA"/>
    <w:rsid w:val="00397F85"/>
    <w:rsid w:val="00397F9E"/>
    <w:rsid w:val="00397FC8"/>
    <w:rsid w:val="0039E8D1"/>
    <w:rsid w:val="003A0001"/>
    <w:rsid w:val="003A004C"/>
    <w:rsid w:val="003A087A"/>
    <w:rsid w:val="003A08D4"/>
    <w:rsid w:val="003A0A78"/>
    <w:rsid w:val="003A0C4A"/>
    <w:rsid w:val="003A10D7"/>
    <w:rsid w:val="003A119E"/>
    <w:rsid w:val="003A1472"/>
    <w:rsid w:val="003A15E1"/>
    <w:rsid w:val="003A1717"/>
    <w:rsid w:val="003A17F9"/>
    <w:rsid w:val="003A1984"/>
    <w:rsid w:val="003A1A55"/>
    <w:rsid w:val="003A1AAD"/>
    <w:rsid w:val="003A1B93"/>
    <w:rsid w:val="003A1DAD"/>
    <w:rsid w:val="003A1DD8"/>
    <w:rsid w:val="003A1E58"/>
    <w:rsid w:val="003A1FCC"/>
    <w:rsid w:val="003A215B"/>
    <w:rsid w:val="003A2359"/>
    <w:rsid w:val="003A24FA"/>
    <w:rsid w:val="003A2606"/>
    <w:rsid w:val="003A268E"/>
    <w:rsid w:val="003A2812"/>
    <w:rsid w:val="003A28C4"/>
    <w:rsid w:val="003A2A7A"/>
    <w:rsid w:val="003A2DB1"/>
    <w:rsid w:val="003A2ECC"/>
    <w:rsid w:val="003A2F19"/>
    <w:rsid w:val="003A3167"/>
    <w:rsid w:val="003A32F9"/>
    <w:rsid w:val="003A330E"/>
    <w:rsid w:val="003A3544"/>
    <w:rsid w:val="003A3937"/>
    <w:rsid w:val="003A3B50"/>
    <w:rsid w:val="003A3C10"/>
    <w:rsid w:val="003A403B"/>
    <w:rsid w:val="003A4592"/>
    <w:rsid w:val="003A45D7"/>
    <w:rsid w:val="003A468D"/>
    <w:rsid w:val="003A4998"/>
    <w:rsid w:val="003A4A2E"/>
    <w:rsid w:val="003A4D4C"/>
    <w:rsid w:val="003A5136"/>
    <w:rsid w:val="003A54D4"/>
    <w:rsid w:val="003A557B"/>
    <w:rsid w:val="003A5800"/>
    <w:rsid w:val="003A582D"/>
    <w:rsid w:val="003A5B9A"/>
    <w:rsid w:val="003A6549"/>
    <w:rsid w:val="003A67CD"/>
    <w:rsid w:val="003A698B"/>
    <w:rsid w:val="003A6A5F"/>
    <w:rsid w:val="003A6B99"/>
    <w:rsid w:val="003A6E0D"/>
    <w:rsid w:val="003A6E3C"/>
    <w:rsid w:val="003A6FF5"/>
    <w:rsid w:val="003A70ED"/>
    <w:rsid w:val="003A7131"/>
    <w:rsid w:val="003A7414"/>
    <w:rsid w:val="003A75D8"/>
    <w:rsid w:val="003A761F"/>
    <w:rsid w:val="003A7677"/>
    <w:rsid w:val="003A7774"/>
    <w:rsid w:val="003A77A1"/>
    <w:rsid w:val="003A77CD"/>
    <w:rsid w:val="003A791D"/>
    <w:rsid w:val="003A7A70"/>
    <w:rsid w:val="003A7E68"/>
    <w:rsid w:val="003AD988"/>
    <w:rsid w:val="003B053D"/>
    <w:rsid w:val="003B057D"/>
    <w:rsid w:val="003B0648"/>
    <w:rsid w:val="003B0747"/>
    <w:rsid w:val="003B074F"/>
    <w:rsid w:val="003B0871"/>
    <w:rsid w:val="003B0BB7"/>
    <w:rsid w:val="003B0CA4"/>
    <w:rsid w:val="003B0DF7"/>
    <w:rsid w:val="003B0E06"/>
    <w:rsid w:val="003B0E38"/>
    <w:rsid w:val="003B0F38"/>
    <w:rsid w:val="003B12C9"/>
    <w:rsid w:val="003B14AE"/>
    <w:rsid w:val="003B1574"/>
    <w:rsid w:val="003B1586"/>
    <w:rsid w:val="003B1899"/>
    <w:rsid w:val="003B1A19"/>
    <w:rsid w:val="003B1A97"/>
    <w:rsid w:val="003B1AEA"/>
    <w:rsid w:val="003B1C7D"/>
    <w:rsid w:val="003B1E0C"/>
    <w:rsid w:val="003B20B0"/>
    <w:rsid w:val="003B22C7"/>
    <w:rsid w:val="003B25B4"/>
    <w:rsid w:val="003B266A"/>
    <w:rsid w:val="003B26BC"/>
    <w:rsid w:val="003B2DDC"/>
    <w:rsid w:val="003B2EFD"/>
    <w:rsid w:val="003B2F6D"/>
    <w:rsid w:val="003B34A1"/>
    <w:rsid w:val="003B34A4"/>
    <w:rsid w:val="003B37E0"/>
    <w:rsid w:val="003B381E"/>
    <w:rsid w:val="003B3919"/>
    <w:rsid w:val="003B392C"/>
    <w:rsid w:val="003B3B0D"/>
    <w:rsid w:val="003B3C10"/>
    <w:rsid w:val="003B3C81"/>
    <w:rsid w:val="003B3CBF"/>
    <w:rsid w:val="003B4218"/>
    <w:rsid w:val="003B430A"/>
    <w:rsid w:val="003B4321"/>
    <w:rsid w:val="003B46CE"/>
    <w:rsid w:val="003B4891"/>
    <w:rsid w:val="003B4D0A"/>
    <w:rsid w:val="003B4E09"/>
    <w:rsid w:val="003B5012"/>
    <w:rsid w:val="003B570E"/>
    <w:rsid w:val="003B58C3"/>
    <w:rsid w:val="003B58C7"/>
    <w:rsid w:val="003B590D"/>
    <w:rsid w:val="003B5A45"/>
    <w:rsid w:val="003B5C45"/>
    <w:rsid w:val="003B5C53"/>
    <w:rsid w:val="003B5E8E"/>
    <w:rsid w:val="003B606D"/>
    <w:rsid w:val="003B6554"/>
    <w:rsid w:val="003B655E"/>
    <w:rsid w:val="003B6A8C"/>
    <w:rsid w:val="003B6D52"/>
    <w:rsid w:val="003B6DC0"/>
    <w:rsid w:val="003B71CF"/>
    <w:rsid w:val="003B74A8"/>
    <w:rsid w:val="003B756E"/>
    <w:rsid w:val="003B794D"/>
    <w:rsid w:val="003B7C4F"/>
    <w:rsid w:val="003B7D07"/>
    <w:rsid w:val="003B7F91"/>
    <w:rsid w:val="003C0026"/>
    <w:rsid w:val="003C005E"/>
    <w:rsid w:val="003C02F9"/>
    <w:rsid w:val="003C0305"/>
    <w:rsid w:val="003C0382"/>
    <w:rsid w:val="003C0416"/>
    <w:rsid w:val="003C07F6"/>
    <w:rsid w:val="003C08DB"/>
    <w:rsid w:val="003C09C2"/>
    <w:rsid w:val="003C0A56"/>
    <w:rsid w:val="003C0A7A"/>
    <w:rsid w:val="003C0F91"/>
    <w:rsid w:val="003C127F"/>
    <w:rsid w:val="003C1482"/>
    <w:rsid w:val="003C1506"/>
    <w:rsid w:val="003C16D2"/>
    <w:rsid w:val="003C187A"/>
    <w:rsid w:val="003C1961"/>
    <w:rsid w:val="003C1E41"/>
    <w:rsid w:val="003C23EE"/>
    <w:rsid w:val="003C24A0"/>
    <w:rsid w:val="003C276A"/>
    <w:rsid w:val="003C2795"/>
    <w:rsid w:val="003C27AD"/>
    <w:rsid w:val="003C2C55"/>
    <w:rsid w:val="003C2C95"/>
    <w:rsid w:val="003C2FD3"/>
    <w:rsid w:val="003C3132"/>
    <w:rsid w:val="003C326D"/>
    <w:rsid w:val="003C3346"/>
    <w:rsid w:val="003C33F2"/>
    <w:rsid w:val="003C34EA"/>
    <w:rsid w:val="003C3A43"/>
    <w:rsid w:val="003C3B12"/>
    <w:rsid w:val="003C3CF4"/>
    <w:rsid w:val="003C3D69"/>
    <w:rsid w:val="003C3E13"/>
    <w:rsid w:val="003C3EBC"/>
    <w:rsid w:val="003C3F28"/>
    <w:rsid w:val="003C41AB"/>
    <w:rsid w:val="003C4267"/>
    <w:rsid w:val="003C45F5"/>
    <w:rsid w:val="003C4D85"/>
    <w:rsid w:val="003C519E"/>
    <w:rsid w:val="003C528D"/>
    <w:rsid w:val="003C532F"/>
    <w:rsid w:val="003C5561"/>
    <w:rsid w:val="003C5701"/>
    <w:rsid w:val="003C5735"/>
    <w:rsid w:val="003C5880"/>
    <w:rsid w:val="003C5CFF"/>
    <w:rsid w:val="003C5EEA"/>
    <w:rsid w:val="003C6147"/>
    <w:rsid w:val="003C66F3"/>
    <w:rsid w:val="003C682C"/>
    <w:rsid w:val="003C69B7"/>
    <w:rsid w:val="003C6AAF"/>
    <w:rsid w:val="003C6AEB"/>
    <w:rsid w:val="003C6F3F"/>
    <w:rsid w:val="003C6FF7"/>
    <w:rsid w:val="003C76E3"/>
    <w:rsid w:val="003C7780"/>
    <w:rsid w:val="003C78B4"/>
    <w:rsid w:val="003C7964"/>
    <w:rsid w:val="003C7A55"/>
    <w:rsid w:val="003D00A7"/>
    <w:rsid w:val="003D0A07"/>
    <w:rsid w:val="003D0B03"/>
    <w:rsid w:val="003D0DA7"/>
    <w:rsid w:val="003D0DB9"/>
    <w:rsid w:val="003D0FE1"/>
    <w:rsid w:val="003D1326"/>
    <w:rsid w:val="003D1759"/>
    <w:rsid w:val="003D19CF"/>
    <w:rsid w:val="003D1A41"/>
    <w:rsid w:val="003D1ABB"/>
    <w:rsid w:val="003D1B52"/>
    <w:rsid w:val="003D1DBC"/>
    <w:rsid w:val="003D1FF8"/>
    <w:rsid w:val="003D2536"/>
    <w:rsid w:val="003D25E9"/>
    <w:rsid w:val="003D264E"/>
    <w:rsid w:val="003D270E"/>
    <w:rsid w:val="003D27A2"/>
    <w:rsid w:val="003D283A"/>
    <w:rsid w:val="003D2902"/>
    <w:rsid w:val="003D2BC3"/>
    <w:rsid w:val="003D2C7F"/>
    <w:rsid w:val="003D2D00"/>
    <w:rsid w:val="003D3192"/>
    <w:rsid w:val="003D3488"/>
    <w:rsid w:val="003D367F"/>
    <w:rsid w:val="003D376F"/>
    <w:rsid w:val="003D378D"/>
    <w:rsid w:val="003D3954"/>
    <w:rsid w:val="003D3E5A"/>
    <w:rsid w:val="003D3EEF"/>
    <w:rsid w:val="003D402B"/>
    <w:rsid w:val="003D4087"/>
    <w:rsid w:val="003D43E4"/>
    <w:rsid w:val="003D4491"/>
    <w:rsid w:val="003D470C"/>
    <w:rsid w:val="003D4ACA"/>
    <w:rsid w:val="003D4AD4"/>
    <w:rsid w:val="003D4BE3"/>
    <w:rsid w:val="003D4CC2"/>
    <w:rsid w:val="003D4E1F"/>
    <w:rsid w:val="003D4E7E"/>
    <w:rsid w:val="003D4F03"/>
    <w:rsid w:val="003D4F3A"/>
    <w:rsid w:val="003D4FED"/>
    <w:rsid w:val="003D5004"/>
    <w:rsid w:val="003D5014"/>
    <w:rsid w:val="003D5118"/>
    <w:rsid w:val="003D5130"/>
    <w:rsid w:val="003D5358"/>
    <w:rsid w:val="003D537D"/>
    <w:rsid w:val="003D53C8"/>
    <w:rsid w:val="003D55CD"/>
    <w:rsid w:val="003D565E"/>
    <w:rsid w:val="003D5779"/>
    <w:rsid w:val="003D5BE6"/>
    <w:rsid w:val="003D5CEA"/>
    <w:rsid w:val="003D5D1F"/>
    <w:rsid w:val="003D5D7A"/>
    <w:rsid w:val="003D5EAC"/>
    <w:rsid w:val="003D5FC3"/>
    <w:rsid w:val="003D603D"/>
    <w:rsid w:val="003D60FF"/>
    <w:rsid w:val="003D6321"/>
    <w:rsid w:val="003D66D4"/>
    <w:rsid w:val="003D6ABD"/>
    <w:rsid w:val="003D6B6F"/>
    <w:rsid w:val="003D6DEC"/>
    <w:rsid w:val="003D7173"/>
    <w:rsid w:val="003D737C"/>
    <w:rsid w:val="003D757C"/>
    <w:rsid w:val="003D7596"/>
    <w:rsid w:val="003D7798"/>
    <w:rsid w:val="003D7ACE"/>
    <w:rsid w:val="003D7C06"/>
    <w:rsid w:val="003D7D23"/>
    <w:rsid w:val="003D7D7B"/>
    <w:rsid w:val="003D7FE3"/>
    <w:rsid w:val="003D7FE4"/>
    <w:rsid w:val="003DD0F2"/>
    <w:rsid w:val="003E02A7"/>
    <w:rsid w:val="003E07F1"/>
    <w:rsid w:val="003E093C"/>
    <w:rsid w:val="003E0D24"/>
    <w:rsid w:val="003E0D75"/>
    <w:rsid w:val="003E0E9D"/>
    <w:rsid w:val="003E0F31"/>
    <w:rsid w:val="003E1258"/>
    <w:rsid w:val="003E147F"/>
    <w:rsid w:val="003E1505"/>
    <w:rsid w:val="003E1840"/>
    <w:rsid w:val="003E1843"/>
    <w:rsid w:val="003E1D88"/>
    <w:rsid w:val="003E1F93"/>
    <w:rsid w:val="003E23D7"/>
    <w:rsid w:val="003E2494"/>
    <w:rsid w:val="003E2852"/>
    <w:rsid w:val="003E29CF"/>
    <w:rsid w:val="003E2ABA"/>
    <w:rsid w:val="003E2B70"/>
    <w:rsid w:val="003E2D7C"/>
    <w:rsid w:val="003E2FE8"/>
    <w:rsid w:val="003E30AE"/>
    <w:rsid w:val="003E3103"/>
    <w:rsid w:val="003E3153"/>
    <w:rsid w:val="003E321D"/>
    <w:rsid w:val="003E3453"/>
    <w:rsid w:val="003E34E8"/>
    <w:rsid w:val="003E36F6"/>
    <w:rsid w:val="003E39C1"/>
    <w:rsid w:val="003E3BC3"/>
    <w:rsid w:val="003E3C2E"/>
    <w:rsid w:val="003E3C81"/>
    <w:rsid w:val="003E3C9C"/>
    <w:rsid w:val="003E3E5A"/>
    <w:rsid w:val="003E3E9B"/>
    <w:rsid w:val="003E4007"/>
    <w:rsid w:val="003E404D"/>
    <w:rsid w:val="003E4133"/>
    <w:rsid w:val="003E4199"/>
    <w:rsid w:val="003E41FC"/>
    <w:rsid w:val="003E429E"/>
    <w:rsid w:val="003E42B0"/>
    <w:rsid w:val="003E4C57"/>
    <w:rsid w:val="003E4D7E"/>
    <w:rsid w:val="003E537B"/>
    <w:rsid w:val="003E546C"/>
    <w:rsid w:val="003E55B0"/>
    <w:rsid w:val="003E56B8"/>
    <w:rsid w:val="003E5715"/>
    <w:rsid w:val="003E59FD"/>
    <w:rsid w:val="003E5C1E"/>
    <w:rsid w:val="003E5CF1"/>
    <w:rsid w:val="003E5D08"/>
    <w:rsid w:val="003E5E7F"/>
    <w:rsid w:val="003E6513"/>
    <w:rsid w:val="003E664C"/>
    <w:rsid w:val="003E668F"/>
    <w:rsid w:val="003E6873"/>
    <w:rsid w:val="003E6ACF"/>
    <w:rsid w:val="003E6B80"/>
    <w:rsid w:val="003E6D1E"/>
    <w:rsid w:val="003E6E33"/>
    <w:rsid w:val="003E6EFD"/>
    <w:rsid w:val="003E71EC"/>
    <w:rsid w:val="003E7B90"/>
    <w:rsid w:val="003E7D5D"/>
    <w:rsid w:val="003E7FBB"/>
    <w:rsid w:val="003E9270"/>
    <w:rsid w:val="003F0935"/>
    <w:rsid w:val="003F0A91"/>
    <w:rsid w:val="003F0D0C"/>
    <w:rsid w:val="003F0D12"/>
    <w:rsid w:val="003F0DDE"/>
    <w:rsid w:val="003F0F75"/>
    <w:rsid w:val="003F1803"/>
    <w:rsid w:val="003F1938"/>
    <w:rsid w:val="003F1A3F"/>
    <w:rsid w:val="003F1B4C"/>
    <w:rsid w:val="003F1BC4"/>
    <w:rsid w:val="003F1C28"/>
    <w:rsid w:val="003F1D48"/>
    <w:rsid w:val="003F1D63"/>
    <w:rsid w:val="003F1E9A"/>
    <w:rsid w:val="003F2415"/>
    <w:rsid w:val="003F247B"/>
    <w:rsid w:val="003F24B3"/>
    <w:rsid w:val="003F2501"/>
    <w:rsid w:val="003F2A3C"/>
    <w:rsid w:val="003F2B80"/>
    <w:rsid w:val="003F2E02"/>
    <w:rsid w:val="003F2E25"/>
    <w:rsid w:val="003F2ED5"/>
    <w:rsid w:val="003F30FC"/>
    <w:rsid w:val="003F322D"/>
    <w:rsid w:val="003F34A5"/>
    <w:rsid w:val="003F3502"/>
    <w:rsid w:val="003F354F"/>
    <w:rsid w:val="003F362E"/>
    <w:rsid w:val="003F3681"/>
    <w:rsid w:val="003F36CA"/>
    <w:rsid w:val="003F38B7"/>
    <w:rsid w:val="003F3AB3"/>
    <w:rsid w:val="003F3BB9"/>
    <w:rsid w:val="003F3BF8"/>
    <w:rsid w:val="003F3E7D"/>
    <w:rsid w:val="003F414E"/>
    <w:rsid w:val="003F4212"/>
    <w:rsid w:val="003F4315"/>
    <w:rsid w:val="003F439E"/>
    <w:rsid w:val="003F46A2"/>
    <w:rsid w:val="003F4781"/>
    <w:rsid w:val="003F4A12"/>
    <w:rsid w:val="003F4A23"/>
    <w:rsid w:val="003F4AF6"/>
    <w:rsid w:val="003F4BD9"/>
    <w:rsid w:val="003F4D4D"/>
    <w:rsid w:val="003F5182"/>
    <w:rsid w:val="003F51FE"/>
    <w:rsid w:val="003F5229"/>
    <w:rsid w:val="003F550D"/>
    <w:rsid w:val="003F5956"/>
    <w:rsid w:val="003F5C9E"/>
    <w:rsid w:val="003F5ECE"/>
    <w:rsid w:val="003F611A"/>
    <w:rsid w:val="003F6162"/>
    <w:rsid w:val="003F6337"/>
    <w:rsid w:val="003F6359"/>
    <w:rsid w:val="003F685E"/>
    <w:rsid w:val="003F6C3B"/>
    <w:rsid w:val="003F721C"/>
    <w:rsid w:val="003F7389"/>
    <w:rsid w:val="003F77E8"/>
    <w:rsid w:val="003F7A9D"/>
    <w:rsid w:val="003F7B6D"/>
    <w:rsid w:val="003F7EA1"/>
    <w:rsid w:val="003FD06B"/>
    <w:rsid w:val="00400036"/>
    <w:rsid w:val="0040020C"/>
    <w:rsid w:val="00400313"/>
    <w:rsid w:val="004004A9"/>
    <w:rsid w:val="004005FB"/>
    <w:rsid w:val="00400626"/>
    <w:rsid w:val="00400A08"/>
    <w:rsid w:val="00400D97"/>
    <w:rsid w:val="00400F27"/>
    <w:rsid w:val="0040120D"/>
    <w:rsid w:val="004013AA"/>
    <w:rsid w:val="004016E2"/>
    <w:rsid w:val="004017EB"/>
    <w:rsid w:val="00401D60"/>
    <w:rsid w:val="00401EB3"/>
    <w:rsid w:val="00401EE9"/>
    <w:rsid w:val="00401F56"/>
    <w:rsid w:val="00402272"/>
    <w:rsid w:val="004022A1"/>
    <w:rsid w:val="0040231E"/>
    <w:rsid w:val="0040265C"/>
    <w:rsid w:val="0040268F"/>
    <w:rsid w:val="00402930"/>
    <w:rsid w:val="00402AC0"/>
    <w:rsid w:val="00402B44"/>
    <w:rsid w:val="00402C2D"/>
    <w:rsid w:val="00402FC5"/>
    <w:rsid w:val="00403B3D"/>
    <w:rsid w:val="00403D05"/>
    <w:rsid w:val="00403E3C"/>
    <w:rsid w:val="00404085"/>
    <w:rsid w:val="00404194"/>
    <w:rsid w:val="004042A5"/>
    <w:rsid w:val="004042F6"/>
    <w:rsid w:val="0040451B"/>
    <w:rsid w:val="00404551"/>
    <w:rsid w:val="00404744"/>
    <w:rsid w:val="00404A39"/>
    <w:rsid w:val="00404A7E"/>
    <w:rsid w:val="00405046"/>
    <w:rsid w:val="00405123"/>
    <w:rsid w:val="004051CD"/>
    <w:rsid w:val="00405776"/>
    <w:rsid w:val="00405905"/>
    <w:rsid w:val="0040592D"/>
    <w:rsid w:val="004059AA"/>
    <w:rsid w:val="00405A5B"/>
    <w:rsid w:val="00405C59"/>
    <w:rsid w:val="00405CFD"/>
    <w:rsid w:val="00405D86"/>
    <w:rsid w:val="00406146"/>
    <w:rsid w:val="0040623A"/>
    <w:rsid w:val="004063FB"/>
    <w:rsid w:val="0040646C"/>
    <w:rsid w:val="00407083"/>
    <w:rsid w:val="00407252"/>
    <w:rsid w:val="0040731B"/>
    <w:rsid w:val="00407475"/>
    <w:rsid w:val="004077EC"/>
    <w:rsid w:val="00407B5C"/>
    <w:rsid w:val="00407C5F"/>
    <w:rsid w:val="00407D0F"/>
    <w:rsid w:val="00407FCB"/>
    <w:rsid w:val="0040DB4C"/>
    <w:rsid w:val="0041029A"/>
    <w:rsid w:val="00410320"/>
    <w:rsid w:val="00410405"/>
    <w:rsid w:val="004106DB"/>
    <w:rsid w:val="0041088E"/>
    <w:rsid w:val="00410B57"/>
    <w:rsid w:val="00410CCC"/>
    <w:rsid w:val="00410DEE"/>
    <w:rsid w:val="00410E5B"/>
    <w:rsid w:val="00410FAE"/>
    <w:rsid w:val="0041101A"/>
    <w:rsid w:val="00411060"/>
    <w:rsid w:val="004113B5"/>
    <w:rsid w:val="004114FB"/>
    <w:rsid w:val="00411531"/>
    <w:rsid w:val="0041159F"/>
    <w:rsid w:val="004116A0"/>
    <w:rsid w:val="004117D9"/>
    <w:rsid w:val="00411803"/>
    <w:rsid w:val="00411B23"/>
    <w:rsid w:val="00411C23"/>
    <w:rsid w:val="00411C24"/>
    <w:rsid w:val="00411EA4"/>
    <w:rsid w:val="004120D6"/>
    <w:rsid w:val="004122E5"/>
    <w:rsid w:val="00412639"/>
    <w:rsid w:val="00412750"/>
    <w:rsid w:val="0041278C"/>
    <w:rsid w:val="0041293E"/>
    <w:rsid w:val="00412C87"/>
    <w:rsid w:val="00412DDE"/>
    <w:rsid w:val="00412E29"/>
    <w:rsid w:val="00412FE3"/>
    <w:rsid w:val="004133DE"/>
    <w:rsid w:val="00413693"/>
    <w:rsid w:val="00413759"/>
    <w:rsid w:val="004137C5"/>
    <w:rsid w:val="00413DA9"/>
    <w:rsid w:val="0041407C"/>
    <w:rsid w:val="004142B1"/>
    <w:rsid w:val="00414346"/>
    <w:rsid w:val="00414373"/>
    <w:rsid w:val="004143D3"/>
    <w:rsid w:val="0041480C"/>
    <w:rsid w:val="004148BE"/>
    <w:rsid w:val="004149BC"/>
    <w:rsid w:val="00414C22"/>
    <w:rsid w:val="00414CC6"/>
    <w:rsid w:val="00414E14"/>
    <w:rsid w:val="00414E25"/>
    <w:rsid w:val="00414F1B"/>
    <w:rsid w:val="00414FC1"/>
    <w:rsid w:val="0041505B"/>
    <w:rsid w:val="0041536F"/>
    <w:rsid w:val="004153B5"/>
    <w:rsid w:val="0041551C"/>
    <w:rsid w:val="00415A92"/>
    <w:rsid w:val="00415B4F"/>
    <w:rsid w:val="00415B64"/>
    <w:rsid w:val="00415D33"/>
    <w:rsid w:val="00415E62"/>
    <w:rsid w:val="004160AF"/>
    <w:rsid w:val="004162ED"/>
    <w:rsid w:val="00416332"/>
    <w:rsid w:val="0041668F"/>
    <w:rsid w:val="004167BE"/>
    <w:rsid w:val="00416A64"/>
    <w:rsid w:val="00416ED1"/>
    <w:rsid w:val="004179F6"/>
    <w:rsid w:val="00417A7C"/>
    <w:rsid w:val="00417A7F"/>
    <w:rsid w:val="00417B2B"/>
    <w:rsid w:val="00417BDF"/>
    <w:rsid w:val="00417DA6"/>
    <w:rsid w:val="00417E60"/>
    <w:rsid w:val="00420177"/>
    <w:rsid w:val="00420392"/>
    <w:rsid w:val="00420809"/>
    <w:rsid w:val="004209B4"/>
    <w:rsid w:val="00420BB7"/>
    <w:rsid w:val="00420C94"/>
    <w:rsid w:val="00420D9E"/>
    <w:rsid w:val="00420EA2"/>
    <w:rsid w:val="00420ECC"/>
    <w:rsid w:val="00421564"/>
    <w:rsid w:val="00421769"/>
    <w:rsid w:val="0042185C"/>
    <w:rsid w:val="0042186A"/>
    <w:rsid w:val="00421967"/>
    <w:rsid w:val="00421973"/>
    <w:rsid w:val="00421A08"/>
    <w:rsid w:val="00421ADF"/>
    <w:rsid w:val="00421AE5"/>
    <w:rsid w:val="00421E98"/>
    <w:rsid w:val="00421F0C"/>
    <w:rsid w:val="0042211A"/>
    <w:rsid w:val="00422135"/>
    <w:rsid w:val="004221D0"/>
    <w:rsid w:val="00422336"/>
    <w:rsid w:val="00422588"/>
    <w:rsid w:val="004225F0"/>
    <w:rsid w:val="00422890"/>
    <w:rsid w:val="004229A8"/>
    <w:rsid w:val="00422CFC"/>
    <w:rsid w:val="00422E57"/>
    <w:rsid w:val="00422FF0"/>
    <w:rsid w:val="0042302F"/>
    <w:rsid w:val="0042332C"/>
    <w:rsid w:val="004237D2"/>
    <w:rsid w:val="0042383B"/>
    <w:rsid w:val="004239B4"/>
    <w:rsid w:val="004239FF"/>
    <w:rsid w:val="00423AEB"/>
    <w:rsid w:val="00423B8B"/>
    <w:rsid w:val="00423C24"/>
    <w:rsid w:val="00423CD3"/>
    <w:rsid w:val="00424048"/>
    <w:rsid w:val="00424151"/>
    <w:rsid w:val="00424206"/>
    <w:rsid w:val="004244A7"/>
    <w:rsid w:val="004244BE"/>
    <w:rsid w:val="00424AB8"/>
    <w:rsid w:val="00424BF0"/>
    <w:rsid w:val="00424BF1"/>
    <w:rsid w:val="00424DEF"/>
    <w:rsid w:val="00425149"/>
    <w:rsid w:val="0042597B"/>
    <w:rsid w:val="00425AF3"/>
    <w:rsid w:val="00425DE0"/>
    <w:rsid w:val="00425EDB"/>
    <w:rsid w:val="00425FD9"/>
    <w:rsid w:val="00426100"/>
    <w:rsid w:val="00426378"/>
    <w:rsid w:val="004263D2"/>
    <w:rsid w:val="00426407"/>
    <w:rsid w:val="00426654"/>
    <w:rsid w:val="00426C80"/>
    <w:rsid w:val="0042715D"/>
    <w:rsid w:val="00427183"/>
    <w:rsid w:val="0042720A"/>
    <w:rsid w:val="00427264"/>
    <w:rsid w:val="00427425"/>
    <w:rsid w:val="0042743A"/>
    <w:rsid w:val="00427522"/>
    <w:rsid w:val="004276BF"/>
    <w:rsid w:val="00427794"/>
    <w:rsid w:val="004277F3"/>
    <w:rsid w:val="004279C1"/>
    <w:rsid w:val="00427B52"/>
    <w:rsid w:val="00427BA5"/>
    <w:rsid w:val="00427BA6"/>
    <w:rsid w:val="00427CE3"/>
    <w:rsid w:val="00427DC1"/>
    <w:rsid w:val="00427DEF"/>
    <w:rsid w:val="00430333"/>
    <w:rsid w:val="0043088A"/>
    <w:rsid w:val="00430A1B"/>
    <w:rsid w:val="00430C8D"/>
    <w:rsid w:val="00430D64"/>
    <w:rsid w:val="00430DE2"/>
    <w:rsid w:val="00430E56"/>
    <w:rsid w:val="00431093"/>
    <w:rsid w:val="004314F9"/>
    <w:rsid w:val="0043160F"/>
    <w:rsid w:val="00431656"/>
    <w:rsid w:val="00431821"/>
    <w:rsid w:val="004318AB"/>
    <w:rsid w:val="00431BFC"/>
    <w:rsid w:val="00431EB1"/>
    <w:rsid w:val="004326DE"/>
    <w:rsid w:val="0043271C"/>
    <w:rsid w:val="00432741"/>
    <w:rsid w:val="004327AE"/>
    <w:rsid w:val="004329A5"/>
    <w:rsid w:val="00432A39"/>
    <w:rsid w:val="00432ECA"/>
    <w:rsid w:val="00432F37"/>
    <w:rsid w:val="00433241"/>
    <w:rsid w:val="00433409"/>
    <w:rsid w:val="004335C9"/>
    <w:rsid w:val="004335EA"/>
    <w:rsid w:val="004337DC"/>
    <w:rsid w:val="00433CA0"/>
    <w:rsid w:val="00433E32"/>
    <w:rsid w:val="00434121"/>
    <w:rsid w:val="00434319"/>
    <w:rsid w:val="00434496"/>
    <w:rsid w:val="00434601"/>
    <w:rsid w:val="0043472E"/>
    <w:rsid w:val="00434A7B"/>
    <w:rsid w:val="00434CF0"/>
    <w:rsid w:val="00434D70"/>
    <w:rsid w:val="00434ED0"/>
    <w:rsid w:val="00434FD6"/>
    <w:rsid w:val="00435071"/>
    <w:rsid w:val="004350CD"/>
    <w:rsid w:val="004350D8"/>
    <w:rsid w:val="004352AF"/>
    <w:rsid w:val="00435455"/>
    <w:rsid w:val="004355C8"/>
    <w:rsid w:val="00435876"/>
    <w:rsid w:val="00435A2D"/>
    <w:rsid w:val="00435B77"/>
    <w:rsid w:val="00435BF3"/>
    <w:rsid w:val="00435E50"/>
    <w:rsid w:val="00435E90"/>
    <w:rsid w:val="00435EB3"/>
    <w:rsid w:val="00436201"/>
    <w:rsid w:val="00436328"/>
    <w:rsid w:val="00436793"/>
    <w:rsid w:val="00436C60"/>
    <w:rsid w:val="00436CD4"/>
    <w:rsid w:val="00436F0E"/>
    <w:rsid w:val="0043703C"/>
    <w:rsid w:val="00437094"/>
    <w:rsid w:val="0043719F"/>
    <w:rsid w:val="004373BA"/>
    <w:rsid w:val="00437429"/>
    <w:rsid w:val="00437556"/>
    <w:rsid w:val="004375E3"/>
    <w:rsid w:val="004378CD"/>
    <w:rsid w:val="00437C25"/>
    <w:rsid w:val="00437C54"/>
    <w:rsid w:val="00437DBD"/>
    <w:rsid w:val="00437EC3"/>
    <w:rsid w:val="00437F6B"/>
    <w:rsid w:val="00437FC7"/>
    <w:rsid w:val="00438FD3"/>
    <w:rsid w:val="0043E967"/>
    <w:rsid w:val="0044084E"/>
    <w:rsid w:val="00440BCA"/>
    <w:rsid w:val="00440D5B"/>
    <w:rsid w:val="00440E1A"/>
    <w:rsid w:val="00440F28"/>
    <w:rsid w:val="0044100B"/>
    <w:rsid w:val="00441092"/>
    <w:rsid w:val="00441141"/>
    <w:rsid w:val="0044133C"/>
    <w:rsid w:val="004415CF"/>
    <w:rsid w:val="0044163D"/>
    <w:rsid w:val="0044236D"/>
    <w:rsid w:val="0044250A"/>
    <w:rsid w:val="00442F80"/>
    <w:rsid w:val="00443123"/>
    <w:rsid w:val="0044313B"/>
    <w:rsid w:val="0044313E"/>
    <w:rsid w:val="004432B0"/>
    <w:rsid w:val="00443364"/>
    <w:rsid w:val="00443486"/>
    <w:rsid w:val="0044372B"/>
    <w:rsid w:val="00443766"/>
    <w:rsid w:val="0044379B"/>
    <w:rsid w:val="00443970"/>
    <w:rsid w:val="00443DF3"/>
    <w:rsid w:val="00443F9C"/>
    <w:rsid w:val="00444093"/>
    <w:rsid w:val="0044410F"/>
    <w:rsid w:val="0044440D"/>
    <w:rsid w:val="0044459A"/>
    <w:rsid w:val="0044480A"/>
    <w:rsid w:val="004448CD"/>
    <w:rsid w:val="0044493B"/>
    <w:rsid w:val="00444D7C"/>
    <w:rsid w:val="00444ED9"/>
    <w:rsid w:val="00444F18"/>
    <w:rsid w:val="0044511C"/>
    <w:rsid w:val="00445145"/>
    <w:rsid w:val="004451FD"/>
    <w:rsid w:val="00445220"/>
    <w:rsid w:val="00445560"/>
    <w:rsid w:val="0044559D"/>
    <w:rsid w:val="00445A16"/>
    <w:rsid w:val="00445B1C"/>
    <w:rsid w:val="00445BA4"/>
    <w:rsid w:val="00445CED"/>
    <w:rsid w:val="00445F55"/>
    <w:rsid w:val="00445F79"/>
    <w:rsid w:val="00445FCE"/>
    <w:rsid w:val="004463CF"/>
    <w:rsid w:val="00446483"/>
    <w:rsid w:val="00446A26"/>
    <w:rsid w:val="00446CCB"/>
    <w:rsid w:val="00446CE6"/>
    <w:rsid w:val="00446DB8"/>
    <w:rsid w:val="00446E33"/>
    <w:rsid w:val="00446F50"/>
    <w:rsid w:val="00446FCE"/>
    <w:rsid w:val="004476E5"/>
    <w:rsid w:val="00447AE0"/>
    <w:rsid w:val="00447BDA"/>
    <w:rsid w:val="0045052F"/>
    <w:rsid w:val="004505CF"/>
    <w:rsid w:val="00450678"/>
    <w:rsid w:val="00450780"/>
    <w:rsid w:val="0045079F"/>
    <w:rsid w:val="004508AB"/>
    <w:rsid w:val="00450A0D"/>
    <w:rsid w:val="00450A39"/>
    <w:rsid w:val="00450B82"/>
    <w:rsid w:val="00450DD1"/>
    <w:rsid w:val="00450E7D"/>
    <w:rsid w:val="00450F0C"/>
    <w:rsid w:val="00450F68"/>
    <w:rsid w:val="004510C8"/>
    <w:rsid w:val="0045154C"/>
    <w:rsid w:val="00451717"/>
    <w:rsid w:val="004517F9"/>
    <w:rsid w:val="0045190C"/>
    <w:rsid w:val="0045197E"/>
    <w:rsid w:val="00451AED"/>
    <w:rsid w:val="00451F22"/>
    <w:rsid w:val="00452199"/>
    <w:rsid w:val="00452319"/>
    <w:rsid w:val="00452A56"/>
    <w:rsid w:val="00452B3B"/>
    <w:rsid w:val="00452D02"/>
    <w:rsid w:val="00452D1C"/>
    <w:rsid w:val="00452D9E"/>
    <w:rsid w:val="00453E42"/>
    <w:rsid w:val="00454281"/>
    <w:rsid w:val="004543C2"/>
    <w:rsid w:val="00454708"/>
    <w:rsid w:val="0045499C"/>
    <w:rsid w:val="00455066"/>
    <w:rsid w:val="0045553A"/>
    <w:rsid w:val="004555E6"/>
    <w:rsid w:val="004556BD"/>
    <w:rsid w:val="004558B6"/>
    <w:rsid w:val="0045590F"/>
    <w:rsid w:val="00455988"/>
    <w:rsid w:val="00455A71"/>
    <w:rsid w:val="00455AF0"/>
    <w:rsid w:val="00455C73"/>
    <w:rsid w:val="00455F46"/>
    <w:rsid w:val="00455F8E"/>
    <w:rsid w:val="00455FD0"/>
    <w:rsid w:val="004560D1"/>
    <w:rsid w:val="00456100"/>
    <w:rsid w:val="004563DC"/>
    <w:rsid w:val="004564EE"/>
    <w:rsid w:val="00456697"/>
    <w:rsid w:val="00456820"/>
    <w:rsid w:val="0045686B"/>
    <w:rsid w:val="00456BB3"/>
    <w:rsid w:val="00456C31"/>
    <w:rsid w:val="00456D20"/>
    <w:rsid w:val="00456E66"/>
    <w:rsid w:val="00456FB2"/>
    <w:rsid w:val="00457163"/>
    <w:rsid w:val="004571AE"/>
    <w:rsid w:val="004571E9"/>
    <w:rsid w:val="004574CD"/>
    <w:rsid w:val="00457598"/>
    <w:rsid w:val="0045794A"/>
    <w:rsid w:val="00457E51"/>
    <w:rsid w:val="00457EEC"/>
    <w:rsid w:val="0045AE86"/>
    <w:rsid w:val="004601A7"/>
    <w:rsid w:val="00460302"/>
    <w:rsid w:val="00460695"/>
    <w:rsid w:val="00460712"/>
    <w:rsid w:val="004607AF"/>
    <w:rsid w:val="004608D6"/>
    <w:rsid w:val="00460A34"/>
    <w:rsid w:val="00460E1A"/>
    <w:rsid w:val="004610BE"/>
    <w:rsid w:val="004612A1"/>
    <w:rsid w:val="00461316"/>
    <w:rsid w:val="00461438"/>
    <w:rsid w:val="004619E1"/>
    <w:rsid w:val="00461BA5"/>
    <w:rsid w:val="00461F5D"/>
    <w:rsid w:val="004620E9"/>
    <w:rsid w:val="004621FC"/>
    <w:rsid w:val="00462385"/>
    <w:rsid w:val="0046238A"/>
    <w:rsid w:val="004623F6"/>
    <w:rsid w:val="004624D3"/>
    <w:rsid w:val="00462744"/>
    <w:rsid w:val="0046288B"/>
    <w:rsid w:val="00462964"/>
    <w:rsid w:val="00462E73"/>
    <w:rsid w:val="00462EE2"/>
    <w:rsid w:val="00463197"/>
    <w:rsid w:val="00463755"/>
    <w:rsid w:val="004637A2"/>
    <w:rsid w:val="004637EC"/>
    <w:rsid w:val="0046380B"/>
    <w:rsid w:val="00463A49"/>
    <w:rsid w:val="00464021"/>
    <w:rsid w:val="00464053"/>
    <w:rsid w:val="0046415B"/>
    <w:rsid w:val="00464177"/>
    <w:rsid w:val="0046433E"/>
    <w:rsid w:val="0046472E"/>
    <w:rsid w:val="00464881"/>
    <w:rsid w:val="00464DDB"/>
    <w:rsid w:val="00464E6C"/>
    <w:rsid w:val="00464F8A"/>
    <w:rsid w:val="00464FC7"/>
    <w:rsid w:val="0046502C"/>
    <w:rsid w:val="00465076"/>
    <w:rsid w:val="00465201"/>
    <w:rsid w:val="004654DA"/>
    <w:rsid w:val="00465691"/>
    <w:rsid w:val="004657E9"/>
    <w:rsid w:val="00465C34"/>
    <w:rsid w:val="00465D98"/>
    <w:rsid w:val="00465E56"/>
    <w:rsid w:val="00465F0B"/>
    <w:rsid w:val="00466124"/>
    <w:rsid w:val="0046613C"/>
    <w:rsid w:val="00466201"/>
    <w:rsid w:val="004665BA"/>
    <w:rsid w:val="0046664C"/>
    <w:rsid w:val="00466863"/>
    <w:rsid w:val="00466E88"/>
    <w:rsid w:val="00467022"/>
    <w:rsid w:val="0046711E"/>
    <w:rsid w:val="00467249"/>
    <w:rsid w:val="00467298"/>
    <w:rsid w:val="004672F2"/>
    <w:rsid w:val="004675AF"/>
    <w:rsid w:val="00467921"/>
    <w:rsid w:val="00467A29"/>
    <w:rsid w:val="00467A2A"/>
    <w:rsid w:val="00467DB8"/>
    <w:rsid w:val="00467E4A"/>
    <w:rsid w:val="00467E4D"/>
    <w:rsid w:val="00467F21"/>
    <w:rsid w:val="00470210"/>
    <w:rsid w:val="00470263"/>
    <w:rsid w:val="0047054A"/>
    <w:rsid w:val="004705D5"/>
    <w:rsid w:val="004709EC"/>
    <w:rsid w:val="00470AA1"/>
    <w:rsid w:val="00470ADE"/>
    <w:rsid w:val="00470D51"/>
    <w:rsid w:val="00470D81"/>
    <w:rsid w:val="0047133E"/>
    <w:rsid w:val="00471419"/>
    <w:rsid w:val="004715F6"/>
    <w:rsid w:val="004717A8"/>
    <w:rsid w:val="00471EB9"/>
    <w:rsid w:val="00471F73"/>
    <w:rsid w:val="004720C1"/>
    <w:rsid w:val="00472258"/>
    <w:rsid w:val="0047254E"/>
    <w:rsid w:val="00472B33"/>
    <w:rsid w:val="00472DC6"/>
    <w:rsid w:val="004733DE"/>
    <w:rsid w:val="004736CB"/>
    <w:rsid w:val="00473761"/>
    <w:rsid w:val="00473C2B"/>
    <w:rsid w:val="00473D63"/>
    <w:rsid w:val="00473D7F"/>
    <w:rsid w:val="00473D91"/>
    <w:rsid w:val="00473DB2"/>
    <w:rsid w:val="00474031"/>
    <w:rsid w:val="004741AD"/>
    <w:rsid w:val="004742D0"/>
    <w:rsid w:val="004745AD"/>
    <w:rsid w:val="004747E4"/>
    <w:rsid w:val="00474B11"/>
    <w:rsid w:val="00474B44"/>
    <w:rsid w:val="00474B72"/>
    <w:rsid w:val="00474B84"/>
    <w:rsid w:val="00474BDB"/>
    <w:rsid w:val="00474CA1"/>
    <w:rsid w:val="00474D9D"/>
    <w:rsid w:val="00474FD7"/>
    <w:rsid w:val="00475137"/>
    <w:rsid w:val="00475598"/>
    <w:rsid w:val="00475656"/>
    <w:rsid w:val="0047583C"/>
    <w:rsid w:val="00475BB5"/>
    <w:rsid w:val="00475C39"/>
    <w:rsid w:val="00475EC5"/>
    <w:rsid w:val="00476055"/>
    <w:rsid w:val="004760F8"/>
    <w:rsid w:val="004762DD"/>
    <w:rsid w:val="00476375"/>
    <w:rsid w:val="004764AF"/>
    <w:rsid w:val="004767C7"/>
    <w:rsid w:val="004767E1"/>
    <w:rsid w:val="00476803"/>
    <w:rsid w:val="00476A01"/>
    <w:rsid w:val="00476BB9"/>
    <w:rsid w:val="00476DEB"/>
    <w:rsid w:val="0047702F"/>
    <w:rsid w:val="004771FD"/>
    <w:rsid w:val="0047751B"/>
    <w:rsid w:val="0047754A"/>
    <w:rsid w:val="004775AE"/>
    <w:rsid w:val="004779C7"/>
    <w:rsid w:val="00477BC6"/>
    <w:rsid w:val="00477E11"/>
    <w:rsid w:val="00477F8F"/>
    <w:rsid w:val="00477FCE"/>
    <w:rsid w:val="00477FCF"/>
    <w:rsid w:val="00477FFD"/>
    <w:rsid w:val="0047B846"/>
    <w:rsid w:val="004800BA"/>
    <w:rsid w:val="004800FE"/>
    <w:rsid w:val="004803A2"/>
    <w:rsid w:val="0048072C"/>
    <w:rsid w:val="004808D9"/>
    <w:rsid w:val="004809D3"/>
    <w:rsid w:val="00481254"/>
    <w:rsid w:val="00481326"/>
    <w:rsid w:val="0048174B"/>
    <w:rsid w:val="0048184D"/>
    <w:rsid w:val="00481BB9"/>
    <w:rsid w:val="00481D71"/>
    <w:rsid w:val="00482593"/>
    <w:rsid w:val="004825F1"/>
    <w:rsid w:val="00482E12"/>
    <w:rsid w:val="00482EE1"/>
    <w:rsid w:val="004830AA"/>
    <w:rsid w:val="004831C7"/>
    <w:rsid w:val="00483245"/>
    <w:rsid w:val="00483518"/>
    <w:rsid w:val="00483534"/>
    <w:rsid w:val="0048390B"/>
    <w:rsid w:val="00483A3D"/>
    <w:rsid w:val="00483BED"/>
    <w:rsid w:val="00483EFA"/>
    <w:rsid w:val="0048414B"/>
    <w:rsid w:val="00484168"/>
    <w:rsid w:val="0048420E"/>
    <w:rsid w:val="00484248"/>
    <w:rsid w:val="004843C5"/>
    <w:rsid w:val="004846FB"/>
    <w:rsid w:val="004849C0"/>
    <w:rsid w:val="00484A33"/>
    <w:rsid w:val="00484ADB"/>
    <w:rsid w:val="00484B13"/>
    <w:rsid w:val="00484D15"/>
    <w:rsid w:val="004850BE"/>
    <w:rsid w:val="00485375"/>
    <w:rsid w:val="004853A3"/>
    <w:rsid w:val="004853E2"/>
    <w:rsid w:val="00485500"/>
    <w:rsid w:val="0048584F"/>
    <w:rsid w:val="00485A03"/>
    <w:rsid w:val="00485FC7"/>
    <w:rsid w:val="00486012"/>
    <w:rsid w:val="00486062"/>
    <w:rsid w:val="0048636C"/>
    <w:rsid w:val="004863DA"/>
    <w:rsid w:val="004865AA"/>
    <w:rsid w:val="004867C8"/>
    <w:rsid w:val="00486AB8"/>
    <w:rsid w:val="00486AE4"/>
    <w:rsid w:val="00486F92"/>
    <w:rsid w:val="00487277"/>
    <w:rsid w:val="004872BE"/>
    <w:rsid w:val="004874A0"/>
    <w:rsid w:val="0048754B"/>
    <w:rsid w:val="00487800"/>
    <w:rsid w:val="004878D2"/>
    <w:rsid w:val="004878E0"/>
    <w:rsid w:val="00487B77"/>
    <w:rsid w:val="00487BE9"/>
    <w:rsid w:val="00487D15"/>
    <w:rsid w:val="00487DFC"/>
    <w:rsid w:val="00487E50"/>
    <w:rsid w:val="00490149"/>
    <w:rsid w:val="004901B1"/>
    <w:rsid w:val="00490294"/>
    <w:rsid w:val="004904A3"/>
    <w:rsid w:val="004907E4"/>
    <w:rsid w:val="0049093A"/>
    <w:rsid w:val="00490A12"/>
    <w:rsid w:val="00490ABA"/>
    <w:rsid w:val="00490B50"/>
    <w:rsid w:val="00490BA7"/>
    <w:rsid w:val="00490DBF"/>
    <w:rsid w:val="004914DF"/>
    <w:rsid w:val="004914E3"/>
    <w:rsid w:val="00491997"/>
    <w:rsid w:val="00491999"/>
    <w:rsid w:val="00491A56"/>
    <w:rsid w:val="00491A91"/>
    <w:rsid w:val="00491B0F"/>
    <w:rsid w:val="00491C2D"/>
    <w:rsid w:val="00491DFF"/>
    <w:rsid w:val="00491EA5"/>
    <w:rsid w:val="00491EF3"/>
    <w:rsid w:val="00491F9B"/>
    <w:rsid w:val="00492678"/>
    <w:rsid w:val="004926E8"/>
    <w:rsid w:val="00492762"/>
    <w:rsid w:val="00492805"/>
    <w:rsid w:val="00492BC5"/>
    <w:rsid w:val="00492D52"/>
    <w:rsid w:val="00492D7B"/>
    <w:rsid w:val="00492E1F"/>
    <w:rsid w:val="004932AF"/>
    <w:rsid w:val="004932B7"/>
    <w:rsid w:val="00493311"/>
    <w:rsid w:val="004936AF"/>
    <w:rsid w:val="00493920"/>
    <w:rsid w:val="004942A9"/>
    <w:rsid w:val="0049434B"/>
    <w:rsid w:val="004944F1"/>
    <w:rsid w:val="0049460E"/>
    <w:rsid w:val="00494653"/>
    <w:rsid w:val="0049466F"/>
    <w:rsid w:val="004946C4"/>
    <w:rsid w:val="004948CE"/>
    <w:rsid w:val="00494939"/>
    <w:rsid w:val="00494A9A"/>
    <w:rsid w:val="00494C95"/>
    <w:rsid w:val="0049523B"/>
    <w:rsid w:val="0049535D"/>
    <w:rsid w:val="004953ED"/>
    <w:rsid w:val="00495592"/>
    <w:rsid w:val="00495942"/>
    <w:rsid w:val="00495AE1"/>
    <w:rsid w:val="00495C6B"/>
    <w:rsid w:val="004960EA"/>
    <w:rsid w:val="00496241"/>
    <w:rsid w:val="00496396"/>
    <w:rsid w:val="00496622"/>
    <w:rsid w:val="00496653"/>
    <w:rsid w:val="00496B3F"/>
    <w:rsid w:val="00496ED2"/>
    <w:rsid w:val="00497199"/>
    <w:rsid w:val="0049749B"/>
    <w:rsid w:val="00497714"/>
    <w:rsid w:val="00497958"/>
    <w:rsid w:val="00497E3E"/>
    <w:rsid w:val="00497E56"/>
    <w:rsid w:val="00497F81"/>
    <w:rsid w:val="00497FA7"/>
    <w:rsid w:val="004A0463"/>
    <w:rsid w:val="004A073D"/>
    <w:rsid w:val="004A080B"/>
    <w:rsid w:val="004A09A4"/>
    <w:rsid w:val="004A09B2"/>
    <w:rsid w:val="004A0A64"/>
    <w:rsid w:val="004A0C14"/>
    <w:rsid w:val="004A0D13"/>
    <w:rsid w:val="004A0E84"/>
    <w:rsid w:val="004A1181"/>
    <w:rsid w:val="004A1237"/>
    <w:rsid w:val="004A12B0"/>
    <w:rsid w:val="004A13AC"/>
    <w:rsid w:val="004A1494"/>
    <w:rsid w:val="004A1574"/>
    <w:rsid w:val="004A165E"/>
    <w:rsid w:val="004A16A9"/>
    <w:rsid w:val="004A16DA"/>
    <w:rsid w:val="004A1A1F"/>
    <w:rsid w:val="004A1A72"/>
    <w:rsid w:val="004A1B65"/>
    <w:rsid w:val="004A1B9D"/>
    <w:rsid w:val="004A1C54"/>
    <w:rsid w:val="004A1DFD"/>
    <w:rsid w:val="004A1EBA"/>
    <w:rsid w:val="004A1F62"/>
    <w:rsid w:val="004A20A8"/>
    <w:rsid w:val="004A224C"/>
    <w:rsid w:val="004A2572"/>
    <w:rsid w:val="004A2760"/>
    <w:rsid w:val="004A281C"/>
    <w:rsid w:val="004A2B16"/>
    <w:rsid w:val="004A31CA"/>
    <w:rsid w:val="004A3749"/>
    <w:rsid w:val="004A38FD"/>
    <w:rsid w:val="004A3A26"/>
    <w:rsid w:val="004A3A57"/>
    <w:rsid w:val="004A3A80"/>
    <w:rsid w:val="004A3BAA"/>
    <w:rsid w:val="004A3CC7"/>
    <w:rsid w:val="004A3D9B"/>
    <w:rsid w:val="004A3F58"/>
    <w:rsid w:val="004A42E2"/>
    <w:rsid w:val="004A4306"/>
    <w:rsid w:val="004A4450"/>
    <w:rsid w:val="004A44F0"/>
    <w:rsid w:val="004A4665"/>
    <w:rsid w:val="004A4876"/>
    <w:rsid w:val="004A4AFB"/>
    <w:rsid w:val="004A4F87"/>
    <w:rsid w:val="004A5300"/>
    <w:rsid w:val="004A53C3"/>
    <w:rsid w:val="004A54F6"/>
    <w:rsid w:val="004A5818"/>
    <w:rsid w:val="004A5AE6"/>
    <w:rsid w:val="004A5D15"/>
    <w:rsid w:val="004A62D7"/>
    <w:rsid w:val="004A6892"/>
    <w:rsid w:val="004A6A65"/>
    <w:rsid w:val="004A6B7A"/>
    <w:rsid w:val="004A6CC3"/>
    <w:rsid w:val="004A7135"/>
    <w:rsid w:val="004A71D4"/>
    <w:rsid w:val="004A7250"/>
    <w:rsid w:val="004A760A"/>
    <w:rsid w:val="004A7B69"/>
    <w:rsid w:val="004A7DBB"/>
    <w:rsid w:val="004B0184"/>
    <w:rsid w:val="004B04BD"/>
    <w:rsid w:val="004B0589"/>
    <w:rsid w:val="004B05A6"/>
    <w:rsid w:val="004B07E1"/>
    <w:rsid w:val="004B0874"/>
    <w:rsid w:val="004B0888"/>
    <w:rsid w:val="004B0A4F"/>
    <w:rsid w:val="004B0A98"/>
    <w:rsid w:val="004B0F84"/>
    <w:rsid w:val="004B10CB"/>
    <w:rsid w:val="004B1103"/>
    <w:rsid w:val="004B1641"/>
    <w:rsid w:val="004B1835"/>
    <w:rsid w:val="004B18B7"/>
    <w:rsid w:val="004B19F1"/>
    <w:rsid w:val="004B1E82"/>
    <w:rsid w:val="004B1F76"/>
    <w:rsid w:val="004B22E8"/>
    <w:rsid w:val="004B24BF"/>
    <w:rsid w:val="004B2823"/>
    <w:rsid w:val="004B2903"/>
    <w:rsid w:val="004B2AD6"/>
    <w:rsid w:val="004B2E89"/>
    <w:rsid w:val="004B2F1D"/>
    <w:rsid w:val="004B30BD"/>
    <w:rsid w:val="004B32C0"/>
    <w:rsid w:val="004B3346"/>
    <w:rsid w:val="004B3393"/>
    <w:rsid w:val="004B369E"/>
    <w:rsid w:val="004B36AE"/>
    <w:rsid w:val="004B36F4"/>
    <w:rsid w:val="004B37BA"/>
    <w:rsid w:val="004B37C3"/>
    <w:rsid w:val="004B3829"/>
    <w:rsid w:val="004B3860"/>
    <w:rsid w:val="004B3AEF"/>
    <w:rsid w:val="004B3DC5"/>
    <w:rsid w:val="004B3EB3"/>
    <w:rsid w:val="004B3F6C"/>
    <w:rsid w:val="004B3FBF"/>
    <w:rsid w:val="004B4348"/>
    <w:rsid w:val="004B43A9"/>
    <w:rsid w:val="004B452D"/>
    <w:rsid w:val="004B4584"/>
    <w:rsid w:val="004B4683"/>
    <w:rsid w:val="004B468D"/>
    <w:rsid w:val="004B46D2"/>
    <w:rsid w:val="004B4734"/>
    <w:rsid w:val="004B47E0"/>
    <w:rsid w:val="004B4831"/>
    <w:rsid w:val="004B4839"/>
    <w:rsid w:val="004B4ABF"/>
    <w:rsid w:val="004B4AD3"/>
    <w:rsid w:val="004B50A2"/>
    <w:rsid w:val="004B540C"/>
    <w:rsid w:val="004B54AF"/>
    <w:rsid w:val="004B5750"/>
    <w:rsid w:val="004B5788"/>
    <w:rsid w:val="004B57A2"/>
    <w:rsid w:val="004B5812"/>
    <w:rsid w:val="004B5942"/>
    <w:rsid w:val="004B59A0"/>
    <w:rsid w:val="004B5E60"/>
    <w:rsid w:val="004B63D0"/>
    <w:rsid w:val="004B6647"/>
    <w:rsid w:val="004B6719"/>
    <w:rsid w:val="004B6D6B"/>
    <w:rsid w:val="004B7225"/>
    <w:rsid w:val="004B728F"/>
    <w:rsid w:val="004B73AD"/>
    <w:rsid w:val="004B756B"/>
    <w:rsid w:val="004B7648"/>
    <w:rsid w:val="004B7975"/>
    <w:rsid w:val="004B7BC9"/>
    <w:rsid w:val="004B7C1B"/>
    <w:rsid w:val="004B7D13"/>
    <w:rsid w:val="004B7D97"/>
    <w:rsid w:val="004B7FEE"/>
    <w:rsid w:val="004C002B"/>
    <w:rsid w:val="004C0050"/>
    <w:rsid w:val="004C01D8"/>
    <w:rsid w:val="004C023E"/>
    <w:rsid w:val="004C06FF"/>
    <w:rsid w:val="004C07DF"/>
    <w:rsid w:val="004C0ABD"/>
    <w:rsid w:val="004C0B70"/>
    <w:rsid w:val="004C0B7A"/>
    <w:rsid w:val="004C0FFB"/>
    <w:rsid w:val="004C1282"/>
    <w:rsid w:val="004C198E"/>
    <w:rsid w:val="004C1B17"/>
    <w:rsid w:val="004C1B1A"/>
    <w:rsid w:val="004C1BA8"/>
    <w:rsid w:val="004C1C41"/>
    <w:rsid w:val="004C1D06"/>
    <w:rsid w:val="004C212B"/>
    <w:rsid w:val="004C27D7"/>
    <w:rsid w:val="004C2889"/>
    <w:rsid w:val="004C2F13"/>
    <w:rsid w:val="004C3380"/>
    <w:rsid w:val="004C358E"/>
    <w:rsid w:val="004C39F2"/>
    <w:rsid w:val="004C3ACD"/>
    <w:rsid w:val="004C3B8B"/>
    <w:rsid w:val="004C3CE6"/>
    <w:rsid w:val="004C3EC8"/>
    <w:rsid w:val="004C3ED9"/>
    <w:rsid w:val="004C3F88"/>
    <w:rsid w:val="004C4210"/>
    <w:rsid w:val="004C42F9"/>
    <w:rsid w:val="004C44EE"/>
    <w:rsid w:val="004C470A"/>
    <w:rsid w:val="004C48B7"/>
    <w:rsid w:val="004C4A97"/>
    <w:rsid w:val="004C4A9A"/>
    <w:rsid w:val="004C4B9D"/>
    <w:rsid w:val="004C4DA2"/>
    <w:rsid w:val="004C4DBD"/>
    <w:rsid w:val="004C4F57"/>
    <w:rsid w:val="004C4FA9"/>
    <w:rsid w:val="004C507B"/>
    <w:rsid w:val="004C508C"/>
    <w:rsid w:val="004C551F"/>
    <w:rsid w:val="004C55AD"/>
    <w:rsid w:val="004C56EB"/>
    <w:rsid w:val="004C57CD"/>
    <w:rsid w:val="004C5B8F"/>
    <w:rsid w:val="004C5BEF"/>
    <w:rsid w:val="004C5D5A"/>
    <w:rsid w:val="004C5FB5"/>
    <w:rsid w:val="004C647E"/>
    <w:rsid w:val="004C648A"/>
    <w:rsid w:val="004C65D3"/>
    <w:rsid w:val="004C6D84"/>
    <w:rsid w:val="004C6EDC"/>
    <w:rsid w:val="004C6F18"/>
    <w:rsid w:val="004C6F4E"/>
    <w:rsid w:val="004C73A0"/>
    <w:rsid w:val="004C7402"/>
    <w:rsid w:val="004C745F"/>
    <w:rsid w:val="004C75E3"/>
    <w:rsid w:val="004C7779"/>
    <w:rsid w:val="004C78BB"/>
    <w:rsid w:val="004C7A86"/>
    <w:rsid w:val="004C7B00"/>
    <w:rsid w:val="004C7B47"/>
    <w:rsid w:val="004C7C5E"/>
    <w:rsid w:val="004C7C6F"/>
    <w:rsid w:val="004C7E3E"/>
    <w:rsid w:val="004D0362"/>
    <w:rsid w:val="004D0516"/>
    <w:rsid w:val="004D0566"/>
    <w:rsid w:val="004D05C9"/>
    <w:rsid w:val="004D0B5C"/>
    <w:rsid w:val="004D0FED"/>
    <w:rsid w:val="004D10BF"/>
    <w:rsid w:val="004D11CF"/>
    <w:rsid w:val="004D157D"/>
    <w:rsid w:val="004D16E9"/>
    <w:rsid w:val="004D18E1"/>
    <w:rsid w:val="004D1B3A"/>
    <w:rsid w:val="004D1E79"/>
    <w:rsid w:val="004D1E7E"/>
    <w:rsid w:val="004D2455"/>
    <w:rsid w:val="004D2527"/>
    <w:rsid w:val="004D2566"/>
    <w:rsid w:val="004D298A"/>
    <w:rsid w:val="004D29CD"/>
    <w:rsid w:val="004D2F33"/>
    <w:rsid w:val="004D302E"/>
    <w:rsid w:val="004D304C"/>
    <w:rsid w:val="004D30AA"/>
    <w:rsid w:val="004D3351"/>
    <w:rsid w:val="004D3507"/>
    <w:rsid w:val="004D38A3"/>
    <w:rsid w:val="004D3BF4"/>
    <w:rsid w:val="004D3E2E"/>
    <w:rsid w:val="004D3EA1"/>
    <w:rsid w:val="004D4122"/>
    <w:rsid w:val="004D414E"/>
    <w:rsid w:val="004D41C0"/>
    <w:rsid w:val="004D42B4"/>
    <w:rsid w:val="004D4391"/>
    <w:rsid w:val="004D451E"/>
    <w:rsid w:val="004D47C3"/>
    <w:rsid w:val="004D4974"/>
    <w:rsid w:val="004D4BBE"/>
    <w:rsid w:val="004D4C1D"/>
    <w:rsid w:val="004D4D87"/>
    <w:rsid w:val="004D4E72"/>
    <w:rsid w:val="004D5375"/>
    <w:rsid w:val="004D5454"/>
    <w:rsid w:val="004D56C6"/>
    <w:rsid w:val="004D5DE5"/>
    <w:rsid w:val="004D5FEB"/>
    <w:rsid w:val="004D60A2"/>
    <w:rsid w:val="004D635A"/>
    <w:rsid w:val="004D6374"/>
    <w:rsid w:val="004D6514"/>
    <w:rsid w:val="004D6A9E"/>
    <w:rsid w:val="004D6C7F"/>
    <w:rsid w:val="004D6C9E"/>
    <w:rsid w:val="004D6DB4"/>
    <w:rsid w:val="004D6DBA"/>
    <w:rsid w:val="004D6EA1"/>
    <w:rsid w:val="004D6F54"/>
    <w:rsid w:val="004D7170"/>
    <w:rsid w:val="004D71A4"/>
    <w:rsid w:val="004D722C"/>
    <w:rsid w:val="004D7587"/>
    <w:rsid w:val="004D7588"/>
    <w:rsid w:val="004D765E"/>
    <w:rsid w:val="004D76AE"/>
    <w:rsid w:val="004D76C2"/>
    <w:rsid w:val="004D79BF"/>
    <w:rsid w:val="004D7C5A"/>
    <w:rsid w:val="004D7D2A"/>
    <w:rsid w:val="004D7DF9"/>
    <w:rsid w:val="004D7F61"/>
    <w:rsid w:val="004DCC51"/>
    <w:rsid w:val="004E028E"/>
    <w:rsid w:val="004E03E7"/>
    <w:rsid w:val="004E03F2"/>
    <w:rsid w:val="004E044D"/>
    <w:rsid w:val="004E06D2"/>
    <w:rsid w:val="004E0926"/>
    <w:rsid w:val="004E094B"/>
    <w:rsid w:val="004E0951"/>
    <w:rsid w:val="004E0A8C"/>
    <w:rsid w:val="004E0EDA"/>
    <w:rsid w:val="004E10CE"/>
    <w:rsid w:val="004E13A5"/>
    <w:rsid w:val="004E1641"/>
    <w:rsid w:val="004E172F"/>
    <w:rsid w:val="004E1817"/>
    <w:rsid w:val="004E1887"/>
    <w:rsid w:val="004E18A9"/>
    <w:rsid w:val="004E19A4"/>
    <w:rsid w:val="004E1C0F"/>
    <w:rsid w:val="004E1C4F"/>
    <w:rsid w:val="004E1D6B"/>
    <w:rsid w:val="004E1E44"/>
    <w:rsid w:val="004E1ED9"/>
    <w:rsid w:val="004E2122"/>
    <w:rsid w:val="004E21EF"/>
    <w:rsid w:val="004E22C3"/>
    <w:rsid w:val="004E24D0"/>
    <w:rsid w:val="004E2652"/>
    <w:rsid w:val="004E2970"/>
    <w:rsid w:val="004E2B1C"/>
    <w:rsid w:val="004E2C5B"/>
    <w:rsid w:val="004E2DDD"/>
    <w:rsid w:val="004E2FD3"/>
    <w:rsid w:val="004E30E4"/>
    <w:rsid w:val="004E33CE"/>
    <w:rsid w:val="004E3680"/>
    <w:rsid w:val="004E3780"/>
    <w:rsid w:val="004E3824"/>
    <w:rsid w:val="004E390F"/>
    <w:rsid w:val="004E399F"/>
    <w:rsid w:val="004E3B93"/>
    <w:rsid w:val="004E3F7C"/>
    <w:rsid w:val="004E4259"/>
    <w:rsid w:val="004E4361"/>
    <w:rsid w:val="004E4394"/>
    <w:rsid w:val="004E43EA"/>
    <w:rsid w:val="004E44A8"/>
    <w:rsid w:val="004E47FF"/>
    <w:rsid w:val="004E4A7D"/>
    <w:rsid w:val="004E4BF4"/>
    <w:rsid w:val="004E50CB"/>
    <w:rsid w:val="004E54E2"/>
    <w:rsid w:val="004E55D2"/>
    <w:rsid w:val="004E5951"/>
    <w:rsid w:val="004E5A76"/>
    <w:rsid w:val="004E5BA9"/>
    <w:rsid w:val="004E5BB4"/>
    <w:rsid w:val="004E5C8B"/>
    <w:rsid w:val="004E5D63"/>
    <w:rsid w:val="004E6272"/>
    <w:rsid w:val="004E63E9"/>
    <w:rsid w:val="004E653B"/>
    <w:rsid w:val="004E66B0"/>
    <w:rsid w:val="004E6716"/>
    <w:rsid w:val="004E6927"/>
    <w:rsid w:val="004E6DDD"/>
    <w:rsid w:val="004E6EE3"/>
    <w:rsid w:val="004E70E3"/>
    <w:rsid w:val="004E7214"/>
    <w:rsid w:val="004E73C4"/>
    <w:rsid w:val="004E7418"/>
    <w:rsid w:val="004E78E5"/>
    <w:rsid w:val="004E7A5E"/>
    <w:rsid w:val="004F01F5"/>
    <w:rsid w:val="004F023E"/>
    <w:rsid w:val="004F030C"/>
    <w:rsid w:val="004F0535"/>
    <w:rsid w:val="004F0A30"/>
    <w:rsid w:val="004F0C5D"/>
    <w:rsid w:val="004F119F"/>
    <w:rsid w:val="004F14EE"/>
    <w:rsid w:val="004F1886"/>
    <w:rsid w:val="004F1A75"/>
    <w:rsid w:val="004F1AC1"/>
    <w:rsid w:val="004F1B71"/>
    <w:rsid w:val="004F1E41"/>
    <w:rsid w:val="004F1EFA"/>
    <w:rsid w:val="004F1F20"/>
    <w:rsid w:val="004F1FF3"/>
    <w:rsid w:val="004F2173"/>
    <w:rsid w:val="004F22E7"/>
    <w:rsid w:val="004F233A"/>
    <w:rsid w:val="004F2416"/>
    <w:rsid w:val="004F247D"/>
    <w:rsid w:val="004F257A"/>
    <w:rsid w:val="004F269D"/>
    <w:rsid w:val="004F2A4E"/>
    <w:rsid w:val="004F2B3D"/>
    <w:rsid w:val="004F2C34"/>
    <w:rsid w:val="004F2C5F"/>
    <w:rsid w:val="004F2DE8"/>
    <w:rsid w:val="004F3078"/>
    <w:rsid w:val="004F3212"/>
    <w:rsid w:val="004F34F3"/>
    <w:rsid w:val="004F3639"/>
    <w:rsid w:val="004F3849"/>
    <w:rsid w:val="004F39DB"/>
    <w:rsid w:val="004F39EA"/>
    <w:rsid w:val="004F3AE4"/>
    <w:rsid w:val="004F3CE3"/>
    <w:rsid w:val="004F3FFF"/>
    <w:rsid w:val="004F438F"/>
    <w:rsid w:val="004F4B5E"/>
    <w:rsid w:val="004F4C26"/>
    <w:rsid w:val="004F4CC9"/>
    <w:rsid w:val="004F4F8C"/>
    <w:rsid w:val="004F4FFF"/>
    <w:rsid w:val="004F518C"/>
    <w:rsid w:val="004F55F8"/>
    <w:rsid w:val="004F5D4B"/>
    <w:rsid w:val="004F5F26"/>
    <w:rsid w:val="004F60CE"/>
    <w:rsid w:val="004F61B2"/>
    <w:rsid w:val="004F6382"/>
    <w:rsid w:val="004F69DD"/>
    <w:rsid w:val="004F6A54"/>
    <w:rsid w:val="004F6AB5"/>
    <w:rsid w:val="004F6B35"/>
    <w:rsid w:val="004F6B8C"/>
    <w:rsid w:val="004F6CC3"/>
    <w:rsid w:val="004F6FF7"/>
    <w:rsid w:val="004F71FA"/>
    <w:rsid w:val="004F7D1C"/>
    <w:rsid w:val="004F7DB4"/>
    <w:rsid w:val="004F7DBE"/>
    <w:rsid w:val="004F7FEB"/>
    <w:rsid w:val="004FC63C"/>
    <w:rsid w:val="005002DA"/>
    <w:rsid w:val="005004AB"/>
    <w:rsid w:val="00500656"/>
    <w:rsid w:val="005006B5"/>
    <w:rsid w:val="00500709"/>
    <w:rsid w:val="005007C3"/>
    <w:rsid w:val="00500B00"/>
    <w:rsid w:val="00500CBD"/>
    <w:rsid w:val="0050106C"/>
    <w:rsid w:val="00501517"/>
    <w:rsid w:val="0050165B"/>
    <w:rsid w:val="0050177A"/>
    <w:rsid w:val="005017EB"/>
    <w:rsid w:val="005018A3"/>
    <w:rsid w:val="005019B0"/>
    <w:rsid w:val="00501BAA"/>
    <w:rsid w:val="00501D28"/>
    <w:rsid w:val="005021E7"/>
    <w:rsid w:val="005021F2"/>
    <w:rsid w:val="005027DB"/>
    <w:rsid w:val="0050285C"/>
    <w:rsid w:val="00502883"/>
    <w:rsid w:val="00502B7A"/>
    <w:rsid w:val="00502E30"/>
    <w:rsid w:val="0050328F"/>
    <w:rsid w:val="00503609"/>
    <w:rsid w:val="00503903"/>
    <w:rsid w:val="0050390B"/>
    <w:rsid w:val="00503B07"/>
    <w:rsid w:val="00503CFB"/>
    <w:rsid w:val="00503ECB"/>
    <w:rsid w:val="00503EF0"/>
    <w:rsid w:val="00503F7F"/>
    <w:rsid w:val="00504406"/>
    <w:rsid w:val="00504413"/>
    <w:rsid w:val="00504491"/>
    <w:rsid w:val="005045D1"/>
    <w:rsid w:val="00504811"/>
    <w:rsid w:val="00504C2D"/>
    <w:rsid w:val="00504D9B"/>
    <w:rsid w:val="00504DB1"/>
    <w:rsid w:val="005053EE"/>
    <w:rsid w:val="00505466"/>
    <w:rsid w:val="0050548F"/>
    <w:rsid w:val="005054DC"/>
    <w:rsid w:val="00505516"/>
    <w:rsid w:val="00505525"/>
    <w:rsid w:val="00505724"/>
    <w:rsid w:val="00505913"/>
    <w:rsid w:val="00505AAF"/>
    <w:rsid w:val="00505ABE"/>
    <w:rsid w:val="00505D27"/>
    <w:rsid w:val="00505E0D"/>
    <w:rsid w:val="005063B1"/>
    <w:rsid w:val="0050686A"/>
    <w:rsid w:val="00506A1D"/>
    <w:rsid w:val="00506B17"/>
    <w:rsid w:val="00507047"/>
    <w:rsid w:val="00507304"/>
    <w:rsid w:val="0050738F"/>
    <w:rsid w:val="005074EA"/>
    <w:rsid w:val="00507506"/>
    <w:rsid w:val="00507507"/>
    <w:rsid w:val="00507810"/>
    <w:rsid w:val="00507846"/>
    <w:rsid w:val="00507A46"/>
    <w:rsid w:val="00507B1A"/>
    <w:rsid w:val="00507CD3"/>
    <w:rsid w:val="0050885A"/>
    <w:rsid w:val="00510098"/>
    <w:rsid w:val="005108FA"/>
    <w:rsid w:val="00510907"/>
    <w:rsid w:val="0051099F"/>
    <w:rsid w:val="00510CE8"/>
    <w:rsid w:val="00510D8D"/>
    <w:rsid w:val="0051113C"/>
    <w:rsid w:val="005111B7"/>
    <w:rsid w:val="00511383"/>
    <w:rsid w:val="00511410"/>
    <w:rsid w:val="00511617"/>
    <w:rsid w:val="005116F1"/>
    <w:rsid w:val="005119ED"/>
    <w:rsid w:val="00511AC1"/>
    <w:rsid w:val="00511C04"/>
    <w:rsid w:val="00511C6F"/>
    <w:rsid w:val="00511CDB"/>
    <w:rsid w:val="00511EAF"/>
    <w:rsid w:val="00511F86"/>
    <w:rsid w:val="005125F8"/>
    <w:rsid w:val="00512A60"/>
    <w:rsid w:val="00512C62"/>
    <w:rsid w:val="00512D80"/>
    <w:rsid w:val="00513034"/>
    <w:rsid w:val="00513060"/>
    <w:rsid w:val="005131D4"/>
    <w:rsid w:val="005134C3"/>
    <w:rsid w:val="00513721"/>
    <w:rsid w:val="005137D0"/>
    <w:rsid w:val="00513A5D"/>
    <w:rsid w:val="00513DE3"/>
    <w:rsid w:val="00513E3A"/>
    <w:rsid w:val="00513FB8"/>
    <w:rsid w:val="005143E3"/>
    <w:rsid w:val="00514512"/>
    <w:rsid w:val="00514577"/>
    <w:rsid w:val="00514941"/>
    <w:rsid w:val="00514BA9"/>
    <w:rsid w:val="00514D18"/>
    <w:rsid w:val="0051508E"/>
    <w:rsid w:val="005156DE"/>
    <w:rsid w:val="00515722"/>
    <w:rsid w:val="0051573C"/>
    <w:rsid w:val="00515AE1"/>
    <w:rsid w:val="00515BD7"/>
    <w:rsid w:val="00515C06"/>
    <w:rsid w:val="00515D86"/>
    <w:rsid w:val="00516247"/>
    <w:rsid w:val="005162FA"/>
    <w:rsid w:val="00516306"/>
    <w:rsid w:val="005163E5"/>
    <w:rsid w:val="0051643E"/>
    <w:rsid w:val="005164D3"/>
    <w:rsid w:val="0051679C"/>
    <w:rsid w:val="005169D1"/>
    <w:rsid w:val="00516AC3"/>
    <w:rsid w:val="00516BDB"/>
    <w:rsid w:val="00516DFC"/>
    <w:rsid w:val="00516EAA"/>
    <w:rsid w:val="00517068"/>
    <w:rsid w:val="00517497"/>
    <w:rsid w:val="005174D2"/>
    <w:rsid w:val="00517659"/>
    <w:rsid w:val="0051779E"/>
    <w:rsid w:val="005177D5"/>
    <w:rsid w:val="0051798E"/>
    <w:rsid w:val="00517A3F"/>
    <w:rsid w:val="00517AA8"/>
    <w:rsid w:val="00517AA9"/>
    <w:rsid w:val="00517B45"/>
    <w:rsid w:val="00517BE0"/>
    <w:rsid w:val="00517D50"/>
    <w:rsid w:val="00517EB7"/>
    <w:rsid w:val="0051B2B7"/>
    <w:rsid w:val="00520151"/>
    <w:rsid w:val="0052027E"/>
    <w:rsid w:val="00520CCD"/>
    <w:rsid w:val="00520D39"/>
    <w:rsid w:val="00520D9E"/>
    <w:rsid w:val="00520F0F"/>
    <w:rsid w:val="00521020"/>
    <w:rsid w:val="005216C8"/>
    <w:rsid w:val="00521749"/>
    <w:rsid w:val="0052192B"/>
    <w:rsid w:val="00521BCF"/>
    <w:rsid w:val="00521BEB"/>
    <w:rsid w:val="00521D5E"/>
    <w:rsid w:val="0052214C"/>
    <w:rsid w:val="0052225E"/>
    <w:rsid w:val="005222BF"/>
    <w:rsid w:val="00522442"/>
    <w:rsid w:val="005226E1"/>
    <w:rsid w:val="00522B1D"/>
    <w:rsid w:val="00522B95"/>
    <w:rsid w:val="00522E20"/>
    <w:rsid w:val="00522E75"/>
    <w:rsid w:val="0052300E"/>
    <w:rsid w:val="005231FD"/>
    <w:rsid w:val="0052345C"/>
    <w:rsid w:val="00523497"/>
    <w:rsid w:val="00523871"/>
    <w:rsid w:val="00523E6D"/>
    <w:rsid w:val="00523EE4"/>
    <w:rsid w:val="0052472A"/>
    <w:rsid w:val="00524A9F"/>
    <w:rsid w:val="00524C0E"/>
    <w:rsid w:val="00524EE0"/>
    <w:rsid w:val="0052538C"/>
    <w:rsid w:val="00525554"/>
    <w:rsid w:val="0052556F"/>
    <w:rsid w:val="00525DBC"/>
    <w:rsid w:val="00525DCC"/>
    <w:rsid w:val="00525E64"/>
    <w:rsid w:val="005260C1"/>
    <w:rsid w:val="005260FA"/>
    <w:rsid w:val="0052619C"/>
    <w:rsid w:val="0052623F"/>
    <w:rsid w:val="005268FF"/>
    <w:rsid w:val="00526AF0"/>
    <w:rsid w:val="00526C34"/>
    <w:rsid w:val="005271CC"/>
    <w:rsid w:val="00527275"/>
    <w:rsid w:val="0052747E"/>
    <w:rsid w:val="005279A7"/>
    <w:rsid w:val="00527B8D"/>
    <w:rsid w:val="0053006F"/>
    <w:rsid w:val="0053007F"/>
    <w:rsid w:val="005303C1"/>
    <w:rsid w:val="00530579"/>
    <w:rsid w:val="0053057C"/>
    <w:rsid w:val="005309D8"/>
    <w:rsid w:val="00530B5B"/>
    <w:rsid w:val="00530C22"/>
    <w:rsid w:val="00530E5B"/>
    <w:rsid w:val="005312EA"/>
    <w:rsid w:val="00531340"/>
    <w:rsid w:val="00531532"/>
    <w:rsid w:val="0053186F"/>
    <w:rsid w:val="00531A71"/>
    <w:rsid w:val="00531CE9"/>
    <w:rsid w:val="0053216D"/>
    <w:rsid w:val="00532250"/>
    <w:rsid w:val="005322B1"/>
    <w:rsid w:val="00532539"/>
    <w:rsid w:val="0053253F"/>
    <w:rsid w:val="00532ABD"/>
    <w:rsid w:val="00532D47"/>
    <w:rsid w:val="00533229"/>
    <w:rsid w:val="0053324E"/>
    <w:rsid w:val="0053336E"/>
    <w:rsid w:val="00533388"/>
    <w:rsid w:val="00533547"/>
    <w:rsid w:val="00533871"/>
    <w:rsid w:val="00533875"/>
    <w:rsid w:val="005338F8"/>
    <w:rsid w:val="00533990"/>
    <w:rsid w:val="005339BC"/>
    <w:rsid w:val="00533AE1"/>
    <w:rsid w:val="00533BFF"/>
    <w:rsid w:val="00533E91"/>
    <w:rsid w:val="00533EC9"/>
    <w:rsid w:val="00533EE4"/>
    <w:rsid w:val="00533F19"/>
    <w:rsid w:val="005343CD"/>
    <w:rsid w:val="0053443B"/>
    <w:rsid w:val="00534555"/>
    <w:rsid w:val="005346AA"/>
    <w:rsid w:val="00534F40"/>
    <w:rsid w:val="00535361"/>
    <w:rsid w:val="0053558F"/>
    <w:rsid w:val="005357C2"/>
    <w:rsid w:val="005358AB"/>
    <w:rsid w:val="00535A4D"/>
    <w:rsid w:val="00535B93"/>
    <w:rsid w:val="00535BA7"/>
    <w:rsid w:val="00535CF0"/>
    <w:rsid w:val="00536029"/>
    <w:rsid w:val="00536204"/>
    <w:rsid w:val="00536307"/>
    <w:rsid w:val="00536363"/>
    <w:rsid w:val="00536447"/>
    <w:rsid w:val="005364F4"/>
    <w:rsid w:val="005364F5"/>
    <w:rsid w:val="005364FB"/>
    <w:rsid w:val="00536519"/>
    <w:rsid w:val="0053673B"/>
    <w:rsid w:val="00536A38"/>
    <w:rsid w:val="00536AF4"/>
    <w:rsid w:val="00536F41"/>
    <w:rsid w:val="0053749E"/>
    <w:rsid w:val="00537512"/>
    <w:rsid w:val="00537700"/>
    <w:rsid w:val="0053773F"/>
    <w:rsid w:val="0053779F"/>
    <w:rsid w:val="00537AB0"/>
    <w:rsid w:val="00537BB5"/>
    <w:rsid w:val="00537FEF"/>
    <w:rsid w:val="0053F8B0"/>
    <w:rsid w:val="005401CF"/>
    <w:rsid w:val="0054037A"/>
    <w:rsid w:val="005403FC"/>
    <w:rsid w:val="0054060E"/>
    <w:rsid w:val="00540729"/>
    <w:rsid w:val="005408B4"/>
    <w:rsid w:val="005408BF"/>
    <w:rsid w:val="00540943"/>
    <w:rsid w:val="00540D12"/>
    <w:rsid w:val="00540E10"/>
    <w:rsid w:val="00540FAF"/>
    <w:rsid w:val="00541367"/>
    <w:rsid w:val="00541500"/>
    <w:rsid w:val="00541821"/>
    <w:rsid w:val="00541BB7"/>
    <w:rsid w:val="00541D7A"/>
    <w:rsid w:val="00541D8C"/>
    <w:rsid w:val="0054217E"/>
    <w:rsid w:val="005421E0"/>
    <w:rsid w:val="005423D1"/>
    <w:rsid w:val="00542530"/>
    <w:rsid w:val="0054257F"/>
    <w:rsid w:val="0054285C"/>
    <w:rsid w:val="00542AA0"/>
    <w:rsid w:val="00542B68"/>
    <w:rsid w:val="00542C56"/>
    <w:rsid w:val="00542CDF"/>
    <w:rsid w:val="00542E7F"/>
    <w:rsid w:val="00543001"/>
    <w:rsid w:val="005434AB"/>
    <w:rsid w:val="005437AC"/>
    <w:rsid w:val="00543B1E"/>
    <w:rsid w:val="00543C42"/>
    <w:rsid w:val="00543C7E"/>
    <w:rsid w:val="00543E93"/>
    <w:rsid w:val="005440B3"/>
    <w:rsid w:val="005440E3"/>
    <w:rsid w:val="0054426D"/>
    <w:rsid w:val="005447A5"/>
    <w:rsid w:val="005447D5"/>
    <w:rsid w:val="00544943"/>
    <w:rsid w:val="00544A3B"/>
    <w:rsid w:val="00544AD4"/>
    <w:rsid w:val="00544B47"/>
    <w:rsid w:val="00544BA0"/>
    <w:rsid w:val="00544BE0"/>
    <w:rsid w:val="00544CB2"/>
    <w:rsid w:val="00544E95"/>
    <w:rsid w:val="0054504D"/>
    <w:rsid w:val="00545642"/>
    <w:rsid w:val="0054574E"/>
    <w:rsid w:val="005457FB"/>
    <w:rsid w:val="0054588B"/>
    <w:rsid w:val="00546024"/>
    <w:rsid w:val="00546255"/>
    <w:rsid w:val="0054633E"/>
    <w:rsid w:val="005463D6"/>
    <w:rsid w:val="005466F8"/>
    <w:rsid w:val="00546723"/>
    <w:rsid w:val="00546951"/>
    <w:rsid w:val="00546B99"/>
    <w:rsid w:val="00546D52"/>
    <w:rsid w:val="00546F57"/>
    <w:rsid w:val="00546F79"/>
    <w:rsid w:val="0054704C"/>
    <w:rsid w:val="00547140"/>
    <w:rsid w:val="00547201"/>
    <w:rsid w:val="005473DC"/>
    <w:rsid w:val="005474C5"/>
    <w:rsid w:val="0054750A"/>
    <w:rsid w:val="005475EC"/>
    <w:rsid w:val="005478B0"/>
    <w:rsid w:val="00547B78"/>
    <w:rsid w:val="00547C28"/>
    <w:rsid w:val="00547C3B"/>
    <w:rsid w:val="00547FE3"/>
    <w:rsid w:val="0054B3D1"/>
    <w:rsid w:val="0054F3DE"/>
    <w:rsid w:val="00550A5D"/>
    <w:rsid w:val="00550AC7"/>
    <w:rsid w:val="00550B2B"/>
    <w:rsid w:val="00550BB0"/>
    <w:rsid w:val="00550C18"/>
    <w:rsid w:val="00550C6E"/>
    <w:rsid w:val="00550D1C"/>
    <w:rsid w:val="00550D83"/>
    <w:rsid w:val="00550DE6"/>
    <w:rsid w:val="0055102E"/>
    <w:rsid w:val="0055112A"/>
    <w:rsid w:val="00551274"/>
    <w:rsid w:val="00551334"/>
    <w:rsid w:val="005515F4"/>
    <w:rsid w:val="00551DAC"/>
    <w:rsid w:val="00551E0D"/>
    <w:rsid w:val="0055207F"/>
    <w:rsid w:val="0055209E"/>
    <w:rsid w:val="00552102"/>
    <w:rsid w:val="00552278"/>
    <w:rsid w:val="005525BC"/>
    <w:rsid w:val="005525CE"/>
    <w:rsid w:val="00552636"/>
    <w:rsid w:val="00552727"/>
    <w:rsid w:val="005527CF"/>
    <w:rsid w:val="00553072"/>
    <w:rsid w:val="0055311C"/>
    <w:rsid w:val="005534B9"/>
    <w:rsid w:val="0055354D"/>
    <w:rsid w:val="00553580"/>
    <w:rsid w:val="00553642"/>
    <w:rsid w:val="005536A4"/>
    <w:rsid w:val="005536A5"/>
    <w:rsid w:val="00553760"/>
    <w:rsid w:val="00553B53"/>
    <w:rsid w:val="00553BB4"/>
    <w:rsid w:val="00553C45"/>
    <w:rsid w:val="00553DCE"/>
    <w:rsid w:val="00553E62"/>
    <w:rsid w:val="00554424"/>
    <w:rsid w:val="005546C7"/>
    <w:rsid w:val="00554B26"/>
    <w:rsid w:val="00554E29"/>
    <w:rsid w:val="00554FF5"/>
    <w:rsid w:val="00555229"/>
    <w:rsid w:val="00555307"/>
    <w:rsid w:val="0055544B"/>
    <w:rsid w:val="00555932"/>
    <w:rsid w:val="005559E0"/>
    <w:rsid w:val="005559FF"/>
    <w:rsid w:val="00555BBA"/>
    <w:rsid w:val="00555CCE"/>
    <w:rsid w:val="00555D4A"/>
    <w:rsid w:val="00555DBB"/>
    <w:rsid w:val="005561FC"/>
    <w:rsid w:val="0055666B"/>
    <w:rsid w:val="005567D4"/>
    <w:rsid w:val="005568D6"/>
    <w:rsid w:val="00556B9B"/>
    <w:rsid w:val="00556C38"/>
    <w:rsid w:val="00556C92"/>
    <w:rsid w:val="00556CA9"/>
    <w:rsid w:val="00556CD8"/>
    <w:rsid w:val="00557143"/>
    <w:rsid w:val="0055729D"/>
    <w:rsid w:val="00557334"/>
    <w:rsid w:val="00557344"/>
    <w:rsid w:val="00557465"/>
    <w:rsid w:val="005574AB"/>
    <w:rsid w:val="005579B8"/>
    <w:rsid w:val="005579E1"/>
    <w:rsid w:val="00557A7A"/>
    <w:rsid w:val="00557ABA"/>
    <w:rsid w:val="00560569"/>
    <w:rsid w:val="005606F0"/>
    <w:rsid w:val="00560D15"/>
    <w:rsid w:val="00560DE3"/>
    <w:rsid w:val="00560E43"/>
    <w:rsid w:val="00560E56"/>
    <w:rsid w:val="00560FE2"/>
    <w:rsid w:val="00561263"/>
    <w:rsid w:val="00561303"/>
    <w:rsid w:val="005618A9"/>
    <w:rsid w:val="00561B8F"/>
    <w:rsid w:val="00561C06"/>
    <w:rsid w:val="0056237A"/>
    <w:rsid w:val="00562793"/>
    <w:rsid w:val="00562C6C"/>
    <w:rsid w:val="00562F03"/>
    <w:rsid w:val="0056334F"/>
    <w:rsid w:val="005633A0"/>
    <w:rsid w:val="00563662"/>
    <w:rsid w:val="005636DC"/>
    <w:rsid w:val="00563CB0"/>
    <w:rsid w:val="00563F2C"/>
    <w:rsid w:val="00564057"/>
    <w:rsid w:val="0056433D"/>
    <w:rsid w:val="0056467A"/>
    <w:rsid w:val="005646C5"/>
    <w:rsid w:val="0056474C"/>
    <w:rsid w:val="005648FB"/>
    <w:rsid w:val="00564C39"/>
    <w:rsid w:val="00564E3D"/>
    <w:rsid w:val="0056501F"/>
    <w:rsid w:val="005651A0"/>
    <w:rsid w:val="005651FB"/>
    <w:rsid w:val="00565505"/>
    <w:rsid w:val="00565805"/>
    <w:rsid w:val="005658B4"/>
    <w:rsid w:val="00565967"/>
    <w:rsid w:val="00565A98"/>
    <w:rsid w:val="00565C08"/>
    <w:rsid w:val="00565C65"/>
    <w:rsid w:val="00565E39"/>
    <w:rsid w:val="00565FED"/>
    <w:rsid w:val="00566186"/>
    <w:rsid w:val="00566241"/>
    <w:rsid w:val="00566332"/>
    <w:rsid w:val="0056657A"/>
    <w:rsid w:val="00566CA5"/>
    <w:rsid w:val="00566EF7"/>
    <w:rsid w:val="00566F87"/>
    <w:rsid w:val="00567049"/>
    <w:rsid w:val="0056728E"/>
    <w:rsid w:val="005672E8"/>
    <w:rsid w:val="0056747A"/>
    <w:rsid w:val="00567503"/>
    <w:rsid w:val="0056754F"/>
    <w:rsid w:val="00567776"/>
    <w:rsid w:val="005678D9"/>
    <w:rsid w:val="00567923"/>
    <w:rsid w:val="00567BFB"/>
    <w:rsid w:val="0056D67B"/>
    <w:rsid w:val="005700B4"/>
    <w:rsid w:val="0057014D"/>
    <w:rsid w:val="00570164"/>
    <w:rsid w:val="005701B5"/>
    <w:rsid w:val="0057020D"/>
    <w:rsid w:val="005702DF"/>
    <w:rsid w:val="005704BE"/>
    <w:rsid w:val="005704EC"/>
    <w:rsid w:val="00570897"/>
    <w:rsid w:val="00570ADC"/>
    <w:rsid w:val="00570D2C"/>
    <w:rsid w:val="00570E50"/>
    <w:rsid w:val="00570E8A"/>
    <w:rsid w:val="00570F1B"/>
    <w:rsid w:val="0057119B"/>
    <w:rsid w:val="005712AE"/>
    <w:rsid w:val="00571432"/>
    <w:rsid w:val="005716E3"/>
    <w:rsid w:val="00571B5D"/>
    <w:rsid w:val="00571B9D"/>
    <w:rsid w:val="00571C78"/>
    <w:rsid w:val="00571CC3"/>
    <w:rsid w:val="00571FC3"/>
    <w:rsid w:val="005722C5"/>
    <w:rsid w:val="0057265B"/>
    <w:rsid w:val="005726F8"/>
    <w:rsid w:val="00572748"/>
    <w:rsid w:val="0057275E"/>
    <w:rsid w:val="00572875"/>
    <w:rsid w:val="005728CF"/>
    <w:rsid w:val="00572BDE"/>
    <w:rsid w:val="00572BE3"/>
    <w:rsid w:val="00572E7B"/>
    <w:rsid w:val="0057392E"/>
    <w:rsid w:val="00573A4E"/>
    <w:rsid w:val="00573AB7"/>
    <w:rsid w:val="00573B4B"/>
    <w:rsid w:val="00573DC1"/>
    <w:rsid w:val="00573DEE"/>
    <w:rsid w:val="00573E1F"/>
    <w:rsid w:val="0057475A"/>
    <w:rsid w:val="005747AA"/>
    <w:rsid w:val="005748A2"/>
    <w:rsid w:val="00574A1C"/>
    <w:rsid w:val="00574C36"/>
    <w:rsid w:val="005754AE"/>
    <w:rsid w:val="005755C7"/>
    <w:rsid w:val="00575660"/>
    <w:rsid w:val="00575667"/>
    <w:rsid w:val="00575AE9"/>
    <w:rsid w:val="00575B50"/>
    <w:rsid w:val="00575EFA"/>
    <w:rsid w:val="00576268"/>
    <w:rsid w:val="005762BF"/>
    <w:rsid w:val="00576382"/>
    <w:rsid w:val="005767B3"/>
    <w:rsid w:val="00576964"/>
    <w:rsid w:val="00576A40"/>
    <w:rsid w:val="00576AA5"/>
    <w:rsid w:val="00576EC5"/>
    <w:rsid w:val="00576F72"/>
    <w:rsid w:val="005770C8"/>
    <w:rsid w:val="005771A2"/>
    <w:rsid w:val="00577353"/>
    <w:rsid w:val="0057741D"/>
    <w:rsid w:val="00577440"/>
    <w:rsid w:val="005775D3"/>
    <w:rsid w:val="00577672"/>
    <w:rsid w:val="00577BB6"/>
    <w:rsid w:val="00577CAC"/>
    <w:rsid w:val="00577DC8"/>
    <w:rsid w:val="00577FB6"/>
    <w:rsid w:val="005800F7"/>
    <w:rsid w:val="0058069B"/>
    <w:rsid w:val="00580768"/>
    <w:rsid w:val="0058091F"/>
    <w:rsid w:val="00580A6D"/>
    <w:rsid w:val="00580DB7"/>
    <w:rsid w:val="0058119B"/>
    <w:rsid w:val="005813D1"/>
    <w:rsid w:val="0058144E"/>
    <w:rsid w:val="00581621"/>
    <w:rsid w:val="00581747"/>
    <w:rsid w:val="005819EF"/>
    <w:rsid w:val="00581D5D"/>
    <w:rsid w:val="00581EEB"/>
    <w:rsid w:val="0058209A"/>
    <w:rsid w:val="00582194"/>
    <w:rsid w:val="005825D2"/>
    <w:rsid w:val="0058282D"/>
    <w:rsid w:val="0058291A"/>
    <w:rsid w:val="0058291C"/>
    <w:rsid w:val="0058294D"/>
    <w:rsid w:val="00582A17"/>
    <w:rsid w:val="00582AA7"/>
    <w:rsid w:val="00582D6C"/>
    <w:rsid w:val="005834B2"/>
    <w:rsid w:val="0058359D"/>
    <w:rsid w:val="0058380D"/>
    <w:rsid w:val="00583839"/>
    <w:rsid w:val="00583842"/>
    <w:rsid w:val="005839DF"/>
    <w:rsid w:val="00583B2B"/>
    <w:rsid w:val="00583D06"/>
    <w:rsid w:val="00583E83"/>
    <w:rsid w:val="00583ED1"/>
    <w:rsid w:val="00584100"/>
    <w:rsid w:val="005841CB"/>
    <w:rsid w:val="005844A4"/>
    <w:rsid w:val="00584C30"/>
    <w:rsid w:val="00585015"/>
    <w:rsid w:val="005851C9"/>
    <w:rsid w:val="0058549D"/>
    <w:rsid w:val="00585500"/>
    <w:rsid w:val="005858F0"/>
    <w:rsid w:val="005859FB"/>
    <w:rsid w:val="00585B92"/>
    <w:rsid w:val="00585C0A"/>
    <w:rsid w:val="00585CF0"/>
    <w:rsid w:val="00585E43"/>
    <w:rsid w:val="00585EF6"/>
    <w:rsid w:val="0058652C"/>
    <w:rsid w:val="00586558"/>
    <w:rsid w:val="0058668F"/>
    <w:rsid w:val="005868E1"/>
    <w:rsid w:val="00586DF8"/>
    <w:rsid w:val="005871E1"/>
    <w:rsid w:val="005872B9"/>
    <w:rsid w:val="005877C9"/>
    <w:rsid w:val="005877EC"/>
    <w:rsid w:val="0058793E"/>
    <w:rsid w:val="00587D5E"/>
    <w:rsid w:val="00587E2E"/>
    <w:rsid w:val="0059020D"/>
    <w:rsid w:val="005905D7"/>
    <w:rsid w:val="00590809"/>
    <w:rsid w:val="00590A57"/>
    <w:rsid w:val="00590C8A"/>
    <w:rsid w:val="00590CA2"/>
    <w:rsid w:val="00590D70"/>
    <w:rsid w:val="0059103D"/>
    <w:rsid w:val="00591C1A"/>
    <w:rsid w:val="00591D79"/>
    <w:rsid w:val="005921BF"/>
    <w:rsid w:val="005924BF"/>
    <w:rsid w:val="005925DE"/>
    <w:rsid w:val="00592682"/>
    <w:rsid w:val="00592794"/>
    <w:rsid w:val="0059288A"/>
    <w:rsid w:val="00592B91"/>
    <w:rsid w:val="00592C9E"/>
    <w:rsid w:val="005933D8"/>
    <w:rsid w:val="00593527"/>
    <w:rsid w:val="00593B30"/>
    <w:rsid w:val="00594064"/>
    <w:rsid w:val="005942BE"/>
    <w:rsid w:val="005946BF"/>
    <w:rsid w:val="005948C1"/>
    <w:rsid w:val="005948D2"/>
    <w:rsid w:val="005949AE"/>
    <w:rsid w:val="00594A69"/>
    <w:rsid w:val="00594AA6"/>
    <w:rsid w:val="00594C76"/>
    <w:rsid w:val="00594DB0"/>
    <w:rsid w:val="00594E4C"/>
    <w:rsid w:val="00594E6A"/>
    <w:rsid w:val="00594F0F"/>
    <w:rsid w:val="0059510A"/>
    <w:rsid w:val="005957D5"/>
    <w:rsid w:val="0059594E"/>
    <w:rsid w:val="00595A28"/>
    <w:rsid w:val="00595B99"/>
    <w:rsid w:val="00595BAF"/>
    <w:rsid w:val="00595D58"/>
    <w:rsid w:val="00595EBF"/>
    <w:rsid w:val="005962ED"/>
    <w:rsid w:val="00596D40"/>
    <w:rsid w:val="005972D5"/>
    <w:rsid w:val="00597374"/>
    <w:rsid w:val="0059747D"/>
    <w:rsid w:val="00597626"/>
    <w:rsid w:val="00597C48"/>
    <w:rsid w:val="005A0286"/>
    <w:rsid w:val="005A02B5"/>
    <w:rsid w:val="005A03BA"/>
    <w:rsid w:val="005A050F"/>
    <w:rsid w:val="005A05EC"/>
    <w:rsid w:val="005A0D18"/>
    <w:rsid w:val="005A0DC4"/>
    <w:rsid w:val="005A0FC1"/>
    <w:rsid w:val="005A1128"/>
    <w:rsid w:val="005A11DB"/>
    <w:rsid w:val="005A12D6"/>
    <w:rsid w:val="005A1564"/>
    <w:rsid w:val="005A159E"/>
    <w:rsid w:val="005A159F"/>
    <w:rsid w:val="005A1B44"/>
    <w:rsid w:val="005A1D62"/>
    <w:rsid w:val="005A2232"/>
    <w:rsid w:val="005A22D8"/>
    <w:rsid w:val="005A2314"/>
    <w:rsid w:val="005A27C7"/>
    <w:rsid w:val="005A29D3"/>
    <w:rsid w:val="005A2FD7"/>
    <w:rsid w:val="005A2FEE"/>
    <w:rsid w:val="005A319D"/>
    <w:rsid w:val="005A321E"/>
    <w:rsid w:val="005A3315"/>
    <w:rsid w:val="005A33DE"/>
    <w:rsid w:val="005A353D"/>
    <w:rsid w:val="005A36B8"/>
    <w:rsid w:val="005A36EF"/>
    <w:rsid w:val="005A3E0F"/>
    <w:rsid w:val="005A408A"/>
    <w:rsid w:val="005A40B5"/>
    <w:rsid w:val="005A41F2"/>
    <w:rsid w:val="005A43BB"/>
    <w:rsid w:val="005A446C"/>
    <w:rsid w:val="005A48BE"/>
    <w:rsid w:val="005A499F"/>
    <w:rsid w:val="005A4CE8"/>
    <w:rsid w:val="005A4DC7"/>
    <w:rsid w:val="005A4F02"/>
    <w:rsid w:val="005A56AA"/>
    <w:rsid w:val="005A591B"/>
    <w:rsid w:val="005A5B53"/>
    <w:rsid w:val="005A5CE4"/>
    <w:rsid w:val="005A5DE8"/>
    <w:rsid w:val="005A5DEC"/>
    <w:rsid w:val="005A6465"/>
    <w:rsid w:val="005A6498"/>
    <w:rsid w:val="005A66D0"/>
    <w:rsid w:val="005A6CCA"/>
    <w:rsid w:val="005A6F39"/>
    <w:rsid w:val="005A7058"/>
    <w:rsid w:val="005A7061"/>
    <w:rsid w:val="005A7071"/>
    <w:rsid w:val="005A7262"/>
    <w:rsid w:val="005A73CC"/>
    <w:rsid w:val="005A750F"/>
    <w:rsid w:val="005A78A4"/>
    <w:rsid w:val="005A79A6"/>
    <w:rsid w:val="005A7B34"/>
    <w:rsid w:val="005A7D7D"/>
    <w:rsid w:val="005A7EEB"/>
    <w:rsid w:val="005B00D8"/>
    <w:rsid w:val="005B02BF"/>
    <w:rsid w:val="005B04A0"/>
    <w:rsid w:val="005B050B"/>
    <w:rsid w:val="005B0671"/>
    <w:rsid w:val="005B0676"/>
    <w:rsid w:val="005B0BB3"/>
    <w:rsid w:val="005B0CE3"/>
    <w:rsid w:val="005B0CF1"/>
    <w:rsid w:val="005B0E6A"/>
    <w:rsid w:val="005B1430"/>
    <w:rsid w:val="005B163D"/>
    <w:rsid w:val="005B16F5"/>
    <w:rsid w:val="005B18B8"/>
    <w:rsid w:val="005B1973"/>
    <w:rsid w:val="005B1A1D"/>
    <w:rsid w:val="005B1A43"/>
    <w:rsid w:val="005B1AB6"/>
    <w:rsid w:val="005B1AB9"/>
    <w:rsid w:val="005B1CBF"/>
    <w:rsid w:val="005B1D4F"/>
    <w:rsid w:val="005B1DA6"/>
    <w:rsid w:val="005B201E"/>
    <w:rsid w:val="005B2225"/>
    <w:rsid w:val="005B2469"/>
    <w:rsid w:val="005B25E7"/>
    <w:rsid w:val="005B26E8"/>
    <w:rsid w:val="005B274D"/>
    <w:rsid w:val="005B279B"/>
    <w:rsid w:val="005B286D"/>
    <w:rsid w:val="005B2955"/>
    <w:rsid w:val="005B29D0"/>
    <w:rsid w:val="005B2A90"/>
    <w:rsid w:val="005B2E15"/>
    <w:rsid w:val="005B3041"/>
    <w:rsid w:val="005B30E6"/>
    <w:rsid w:val="005B32F7"/>
    <w:rsid w:val="005B338B"/>
    <w:rsid w:val="005B33B5"/>
    <w:rsid w:val="005B3D8B"/>
    <w:rsid w:val="005B4154"/>
    <w:rsid w:val="005B4446"/>
    <w:rsid w:val="005B45B4"/>
    <w:rsid w:val="005B47A4"/>
    <w:rsid w:val="005B4B04"/>
    <w:rsid w:val="005B4B7C"/>
    <w:rsid w:val="005B4FFC"/>
    <w:rsid w:val="005B52E4"/>
    <w:rsid w:val="005B54BC"/>
    <w:rsid w:val="005B59CA"/>
    <w:rsid w:val="005B5E10"/>
    <w:rsid w:val="005B5E7B"/>
    <w:rsid w:val="005B5F75"/>
    <w:rsid w:val="005B61A9"/>
    <w:rsid w:val="005B662D"/>
    <w:rsid w:val="005B6A35"/>
    <w:rsid w:val="005B6C4C"/>
    <w:rsid w:val="005B6DD8"/>
    <w:rsid w:val="005B6EFC"/>
    <w:rsid w:val="005B71ED"/>
    <w:rsid w:val="005B7208"/>
    <w:rsid w:val="005B74CA"/>
    <w:rsid w:val="005B7691"/>
    <w:rsid w:val="005B7716"/>
    <w:rsid w:val="005C04A1"/>
    <w:rsid w:val="005C07CF"/>
    <w:rsid w:val="005C08C1"/>
    <w:rsid w:val="005C0E2A"/>
    <w:rsid w:val="005C0F08"/>
    <w:rsid w:val="005C1126"/>
    <w:rsid w:val="005C11E9"/>
    <w:rsid w:val="005C120F"/>
    <w:rsid w:val="005C123A"/>
    <w:rsid w:val="005C138B"/>
    <w:rsid w:val="005C1456"/>
    <w:rsid w:val="005C157D"/>
    <w:rsid w:val="005C182B"/>
    <w:rsid w:val="005C195E"/>
    <w:rsid w:val="005C1FBE"/>
    <w:rsid w:val="005C21BB"/>
    <w:rsid w:val="005C26C0"/>
    <w:rsid w:val="005C28D4"/>
    <w:rsid w:val="005C2965"/>
    <w:rsid w:val="005C2D2E"/>
    <w:rsid w:val="005C2E7B"/>
    <w:rsid w:val="005C2EB7"/>
    <w:rsid w:val="005C2F38"/>
    <w:rsid w:val="005C326A"/>
    <w:rsid w:val="005C329B"/>
    <w:rsid w:val="005C331E"/>
    <w:rsid w:val="005C3507"/>
    <w:rsid w:val="005C3688"/>
    <w:rsid w:val="005C370E"/>
    <w:rsid w:val="005C3B93"/>
    <w:rsid w:val="005C3DA9"/>
    <w:rsid w:val="005C3DD1"/>
    <w:rsid w:val="005C3EF4"/>
    <w:rsid w:val="005C3EFA"/>
    <w:rsid w:val="005C3F8E"/>
    <w:rsid w:val="005C448D"/>
    <w:rsid w:val="005C44AA"/>
    <w:rsid w:val="005C4941"/>
    <w:rsid w:val="005C4B08"/>
    <w:rsid w:val="005C4CAA"/>
    <w:rsid w:val="005C4F9E"/>
    <w:rsid w:val="005C500E"/>
    <w:rsid w:val="005C509F"/>
    <w:rsid w:val="005C523F"/>
    <w:rsid w:val="005C52D3"/>
    <w:rsid w:val="005C542E"/>
    <w:rsid w:val="005C5573"/>
    <w:rsid w:val="005C55B0"/>
    <w:rsid w:val="005C5BCB"/>
    <w:rsid w:val="005C5D80"/>
    <w:rsid w:val="005C5FA1"/>
    <w:rsid w:val="005C6215"/>
    <w:rsid w:val="005C6252"/>
    <w:rsid w:val="005C62FD"/>
    <w:rsid w:val="005C63E7"/>
    <w:rsid w:val="005C643A"/>
    <w:rsid w:val="005C6441"/>
    <w:rsid w:val="005C6752"/>
    <w:rsid w:val="005C69B1"/>
    <w:rsid w:val="005C6B99"/>
    <w:rsid w:val="005C6C7D"/>
    <w:rsid w:val="005C6F36"/>
    <w:rsid w:val="005C71E5"/>
    <w:rsid w:val="005C767C"/>
    <w:rsid w:val="005C774B"/>
    <w:rsid w:val="005C78A7"/>
    <w:rsid w:val="005C7ADE"/>
    <w:rsid w:val="005C7EA1"/>
    <w:rsid w:val="005C7FA6"/>
    <w:rsid w:val="005D001A"/>
    <w:rsid w:val="005D010F"/>
    <w:rsid w:val="005D028D"/>
    <w:rsid w:val="005D0454"/>
    <w:rsid w:val="005D073E"/>
    <w:rsid w:val="005D08DF"/>
    <w:rsid w:val="005D0AB1"/>
    <w:rsid w:val="005D0C97"/>
    <w:rsid w:val="005D0D2B"/>
    <w:rsid w:val="005D0F00"/>
    <w:rsid w:val="005D0FB2"/>
    <w:rsid w:val="005D1016"/>
    <w:rsid w:val="005D1312"/>
    <w:rsid w:val="005D133F"/>
    <w:rsid w:val="005D136A"/>
    <w:rsid w:val="005D1637"/>
    <w:rsid w:val="005D1768"/>
    <w:rsid w:val="005D1B4E"/>
    <w:rsid w:val="005D1D67"/>
    <w:rsid w:val="005D2446"/>
    <w:rsid w:val="005D2642"/>
    <w:rsid w:val="005D26DB"/>
    <w:rsid w:val="005D272A"/>
    <w:rsid w:val="005D2774"/>
    <w:rsid w:val="005D2B5A"/>
    <w:rsid w:val="005D32E7"/>
    <w:rsid w:val="005D3347"/>
    <w:rsid w:val="005D33B0"/>
    <w:rsid w:val="005D33EE"/>
    <w:rsid w:val="005D3629"/>
    <w:rsid w:val="005D36C1"/>
    <w:rsid w:val="005D39A0"/>
    <w:rsid w:val="005D39D6"/>
    <w:rsid w:val="005D3A7F"/>
    <w:rsid w:val="005D3E24"/>
    <w:rsid w:val="005D3E81"/>
    <w:rsid w:val="005D3F9F"/>
    <w:rsid w:val="005D4177"/>
    <w:rsid w:val="005D4553"/>
    <w:rsid w:val="005D475D"/>
    <w:rsid w:val="005D4823"/>
    <w:rsid w:val="005D4AEB"/>
    <w:rsid w:val="005D4CD3"/>
    <w:rsid w:val="005D538C"/>
    <w:rsid w:val="005D540A"/>
    <w:rsid w:val="005D595C"/>
    <w:rsid w:val="005D5BB2"/>
    <w:rsid w:val="005D5EC9"/>
    <w:rsid w:val="005D5F1D"/>
    <w:rsid w:val="005D604D"/>
    <w:rsid w:val="005D61B6"/>
    <w:rsid w:val="005D64DA"/>
    <w:rsid w:val="005D67A3"/>
    <w:rsid w:val="005D6AB5"/>
    <w:rsid w:val="005D6B91"/>
    <w:rsid w:val="005D6C46"/>
    <w:rsid w:val="005D6E37"/>
    <w:rsid w:val="005D76F6"/>
    <w:rsid w:val="005D78D4"/>
    <w:rsid w:val="005D79F4"/>
    <w:rsid w:val="005D7A75"/>
    <w:rsid w:val="005D7B7E"/>
    <w:rsid w:val="005D7CAF"/>
    <w:rsid w:val="005D7F59"/>
    <w:rsid w:val="005E02F7"/>
    <w:rsid w:val="005E0BDE"/>
    <w:rsid w:val="005E0DAA"/>
    <w:rsid w:val="005E0FC4"/>
    <w:rsid w:val="005E1219"/>
    <w:rsid w:val="005E1243"/>
    <w:rsid w:val="005E12D1"/>
    <w:rsid w:val="005E1473"/>
    <w:rsid w:val="005E14BE"/>
    <w:rsid w:val="005E188B"/>
    <w:rsid w:val="005E1AE5"/>
    <w:rsid w:val="005E1B80"/>
    <w:rsid w:val="005E1C28"/>
    <w:rsid w:val="005E1F73"/>
    <w:rsid w:val="005E207B"/>
    <w:rsid w:val="005E20C1"/>
    <w:rsid w:val="005E21BC"/>
    <w:rsid w:val="005E2259"/>
    <w:rsid w:val="005E24A4"/>
    <w:rsid w:val="005E2592"/>
    <w:rsid w:val="005E25D1"/>
    <w:rsid w:val="005E2677"/>
    <w:rsid w:val="005E274F"/>
    <w:rsid w:val="005E277B"/>
    <w:rsid w:val="005E2895"/>
    <w:rsid w:val="005E2FB7"/>
    <w:rsid w:val="005E36F4"/>
    <w:rsid w:val="005E3720"/>
    <w:rsid w:val="005E3761"/>
    <w:rsid w:val="005E3AB5"/>
    <w:rsid w:val="005E412C"/>
    <w:rsid w:val="005E4276"/>
    <w:rsid w:val="005E441C"/>
    <w:rsid w:val="005E4CA9"/>
    <w:rsid w:val="005E5317"/>
    <w:rsid w:val="005E5623"/>
    <w:rsid w:val="005E567D"/>
    <w:rsid w:val="005E572F"/>
    <w:rsid w:val="005E5802"/>
    <w:rsid w:val="005E581F"/>
    <w:rsid w:val="005E59B6"/>
    <w:rsid w:val="005E59C5"/>
    <w:rsid w:val="005E5A11"/>
    <w:rsid w:val="005E5C05"/>
    <w:rsid w:val="005E5EAC"/>
    <w:rsid w:val="005E5F00"/>
    <w:rsid w:val="005E6224"/>
    <w:rsid w:val="005E656E"/>
    <w:rsid w:val="005E662A"/>
    <w:rsid w:val="005E6710"/>
    <w:rsid w:val="005E68D8"/>
    <w:rsid w:val="005E695F"/>
    <w:rsid w:val="005E6EB4"/>
    <w:rsid w:val="005E6ED5"/>
    <w:rsid w:val="005E6F1F"/>
    <w:rsid w:val="005E6FA0"/>
    <w:rsid w:val="005E7086"/>
    <w:rsid w:val="005E70D8"/>
    <w:rsid w:val="005E7106"/>
    <w:rsid w:val="005E7203"/>
    <w:rsid w:val="005E728C"/>
    <w:rsid w:val="005E7510"/>
    <w:rsid w:val="005E78A2"/>
    <w:rsid w:val="005E790A"/>
    <w:rsid w:val="005E7D9B"/>
    <w:rsid w:val="005E7DC0"/>
    <w:rsid w:val="005E7E04"/>
    <w:rsid w:val="005E7E66"/>
    <w:rsid w:val="005EBAC6"/>
    <w:rsid w:val="005EC61A"/>
    <w:rsid w:val="005F00C6"/>
    <w:rsid w:val="005F015A"/>
    <w:rsid w:val="005F02A4"/>
    <w:rsid w:val="005F0460"/>
    <w:rsid w:val="005F07A0"/>
    <w:rsid w:val="005F0826"/>
    <w:rsid w:val="005F095E"/>
    <w:rsid w:val="005F0D69"/>
    <w:rsid w:val="005F102C"/>
    <w:rsid w:val="005F10CF"/>
    <w:rsid w:val="005F1565"/>
    <w:rsid w:val="005F15E2"/>
    <w:rsid w:val="005F15F0"/>
    <w:rsid w:val="005F16FB"/>
    <w:rsid w:val="005F1965"/>
    <w:rsid w:val="005F1D8E"/>
    <w:rsid w:val="005F20C7"/>
    <w:rsid w:val="005F20EA"/>
    <w:rsid w:val="005F21CE"/>
    <w:rsid w:val="005F22F8"/>
    <w:rsid w:val="005F240F"/>
    <w:rsid w:val="005F2480"/>
    <w:rsid w:val="005F27BA"/>
    <w:rsid w:val="005F2DBE"/>
    <w:rsid w:val="005F2F0D"/>
    <w:rsid w:val="005F30A6"/>
    <w:rsid w:val="005F3149"/>
    <w:rsid w:val="005F35E5"/>
    <w:rsid w:val="005F366A"/>
    <w:rsid w:val="005F3719"/>
    <w:rsid w:val="005F381C"/>
    <w:rsid w:val="005F3822"/>
    <w:rsid w:val="005F3CD5"/>
    <w:rsid w:val="005F4392"/>
    <w:rsid w:val="005F45B6"/>
    <w:rsid w:val="005F47CB"/>
    <w:rsid w:val="005F49BA"/>
    <w:rsid w:val="005F4E09"/>
    <w:rsid w:val="005F5232"/>
    <w:rsid w:val="005F5262"/>
    <w:rsid w:val="005F52E7"/>
    <w:rsid w:val="005F5366"/>
    <w:rsid w:val="005F5685"/>
    <w:rsid w:val="005F5697"/>
    <w:rsid w:val="005F57A5"/>
    <w:rsid w:val="005F62D7"/>
    <w:rsid w:val="005F6427"/>
    <w:rsid w:val="005F66DE"/>
    <w:rsid w:val="005F67E6"/>
    <w:rsid w:val="005F6884"/>
    <w:rsid w:val="005F692D"/>
    <w:rsid w:val="005F6AB9"/>
    <w:rsid w:val="005F6AC5"/>
    <w:rsid w:val="005F6C0C"/>
    <w:rsid w:val="005F6F46"/>
    <w:rsid w:val="005F714F"/>
    <w:rsid w:val="005F7209"/>
    <w:rsid w:val="005F725E"/>
    <w:rsid w:val="005F7397"/>
    <w:rsid w:val="005F73D6"/>
    <w:rsid w:val="005F7426"/>
    <w:rsid w:val="005F75F8"/>
    <w:rsid w:val="005F7778"/>
    <w:rsid w:val="005F78CF"/>
    <w:rsid w:val="005F7C2A"/>
    <w:rsid w:val="005F7E9A"/>
    <w:rsid w:val="005F9218"/>
    <w:rsid w:val="005FB1CA"/>
    <w:rsid w:val="006001AE"/>
    <w:rsid w:val="006006FB"/>
    <w:rsid w:val="00600720"/>
    <w:rsid w:val="00600796"/>
    <w:rsid w:val="00600C3E"/>
    <w:rsid w:val="00600E01"/>
    <w:rsid w:val="0060104F"/>
    <w:rsid w:val="00601243"/>
    <w:rsid w:val="00601383"/>
    <w:rsid w:val="00601472"/>
    <w:rsid w:val="00601580"/>
    <w:rsid w:val="00601648"/>
    <w:rsid w:val="00601C8B"/>
    <w:rsid w:val="0060219E"/>
    <w:rsid w:val="00602429"/>
    <w:rsid w:val="00602679"/>
    <w:rsid w:val="006029A3"/>
    <w:rsid w:val="00602DF1"/>
    <w:rsid w:val="00603126"/>
    <w:rsid w:val="00603715"/>
    <w:rsid w:val="006038C9"/>
    <w:rsid w:val="006039FA"/>
    <w:rsid w:val="00603DF2"/>
    <w:rsid w:val="00603FC9"/>
    <w:rsid w:val="00603FED"/>
    <w:rsid w:val="00604417"/>
    <w:rsid w:val="0060443A"/>
    <w:rsid w:val="006044EA"/>
    <w:rsid w:val="006046EA"/>
    <w:rsid w:val="00604AFE"/>
    <w:rsid w:val="00604BBB"/>
    <w:rsid w:val="00604C14"/>
    <w:rsid w:val="00604E81"/>
    <w:rsid w:val="00604F1F"/>
    <w:rsid w:val="006050A7"/>
    <w:rsid w:val="00605134"/>
    <w:rsid w:val="006051D0"/>
    <w:rsid w:val="0060529B"/>
    <w:rsid w:val="00605429"/>
    <w:rsid w:val="006057CD"/>
    <w:rsid w:val="00605880"/>
    <w:rsid w:val="00605979"/>
    <w:rsid w:val="0060598B"/>
    <w:rsid w:val="00605A60"/>
    <w:rsid w:val="00605D01"/>
    <w:rsid w:val="00606067"/>
    <w:rsid w:val="006060FB"/>
    <w:rsid w:val="00606275"/>
    <w:rsid w:val="0060627A"/>
    <w:rsid w:val="00606476"/>
    <w:rsid w:val="00606548"/>
    <w:rsid w:val="0060673B"/>
    <w:rsid w:val="00606A52"/>
    <w:rsid w:val="00606C7E"/>
    <w:rsid w:val="00606CDA"/>
    <w:rsid w:val="00606D1F"/>
    <w:rsid w:val="0060715A"/>
    <w:rsid w:val="006071AE"/>
    <w:rsid w:val="00607418"/>
    <w:rsid w:val="00607796"/>
    <w:rsid w:val="0060798A"/>
    <w:rsid w:val="00607F1A"/>
    <w:rsid w:val="006100A7"/>
    <w:rsid w:val="0061011E"/>
    <w:rsid w:val="006101B3"/>
    <w:rsid w:val="00610228"/>
    <w:rsid w:val="00610445"/>
    <w:rsid w:val="00610454"/>
    <w:rsid w:val="0061053A"/>
    <w:rsid w:val="00610712"/>
    <w:rsid w:val="00610C45"/>
    <w:rsid w:val="00610DFC"/>
    <w:rsid w:val="00610F06"/>
    <w:rsid w:val="006110B2"/>
    <w:rsid w:val="006112D1"/>
    <w:rsid w:val="006114C1"/>
    <w:rsid w:val="00611622"/>
    <w:rsid w:val="006118D5"/>
    <w:rsid w:val="00611AB7"/>
    <w:rsid w:val="00611BE8"/>
    <w:rsid w:val="00611CA7"/>
    <w:rsid w:val="00611D98"/>
    <w:rsid w:val="0061202E"/>
    <w:rsid w:val="00612090"/>
    <w:rsid w:val="00612141"/>
    <w:rsid w:val="0061217E"/>
    <w:rsid w:val="006121BC"/>
    <w:rsid w:val="006121E6"/>
    <w:rsid w:val="00612527"/>
    <w:rsid w:val="00612545"/>
    <w:rsid w:val="006127B4"/>
    <w:rsid w:val="00612AE8"/>
    <w:rsid w:val="00612AF6"/>
    <w:rsid w:val="00612B50"/>
    <w:rsid w:val="00612D8F"/>
    <w:rsid w:val="00612E0B"/>
    <w:rsid w:val="0061326A"/>
    <w:rsid w:val="0061354F"/>
    <w:rsid w:val="006136F7"/>
    <w:rsid w:val="006137B0"/>
    <w:rsid w:val="0061382D"/>
    <w:rsid w:val="00613ADB"/>
    <w:rsid w:val="00613B38"/>
    <w:rsid w:val="00613B4B"/>
    <w:rsid w:val="00613DE3"/>
    <w:rsid w:val="00613E70"/>
    <w:rsid w:val="00613F71"/>
    <w:rsid w:val="006141AB"/>
    <w:rsid w:val="006141B4"/>
    <w:rsid w:val="0061438F"/>
    <w:rsid w:val="006145C9"/>
    <w:rsid w:val="0061488B"/>
    <w:rsid w:val="00614FC5"/>
    <w:rsid w:val="00615280"/>
    <w:rsid w:val="006154E9"/>
    <w:rsid w:val="00615899"/>
    <w:rsid w:val="00615A5A"/>
    <w:rsid w:val="00615BEA"/>
    <w:rsid w:val="00615F70"/>
    <w:rsid w:val="00616156"/>
    <w:rsid w:val="0061617E"/>
    <w:rsid w:val="00616257"/>
    <w:rsid w:val="00616320"/>
    <w:rsid w:val="006163B9"/>
    <w:rsid w:val="006164A1"/>
    <w:rsid w:val="00616901"/>
    <w:rsid w:val="00616925"/>
    <w:rsid w:val="00616A99"/>
    <w:rsid w:val="00616AED"/>
    <w:rsid w:val="006170CF"/>
    <w:rsid w:val="006173CA"/>
    <w:rsid w:val="00617778"/>
    <w:rsid w:val="006179F4"/>
    <w:rsid w:val="00617E4A"/>
    <w:rsid w:val="00617F29"/>
    <w:rsid w:val="0062009B"/>
    <w:rsid w:val="00620337"/>
    <w:rsid w:val="0062058B"/>
    <w:rsid w:val="006207FF"/>
    <w:rsid w:val="00620962"/>
    <w:rsid w:val="00620B6D"/>
    <w:rsid w:val="0062120B"/>
    <w:rsid w:val="0062132D"/>
    <w:rsid w:val="00621390"/>
    <w:rsid w:val="0062142C"/>
    <w:rsid w:val="006215CD"/>
    <w:rsid w:val="00621748"/>
    <w:rsid w:val="00621A62"/>
    <w:rsid w:val="00621CCD"/>
    <w:rsid w:val="006221EA"/>
    <w:rsid w:val="00622262"/>
    <w:rsid w:val="0062235C"/>
    <w:rsid w:val="0062244A"/>
    <w:rsid w:val="00622474"/>
    <w:rsid w:val="00622615"/>
    <w:rsid w:val="0062269C"/>
    <w:rsid w:val="00622755"/>
    <w:rsid w:val="00622F08"/>
    <w:rsid w:val="00622F5F"/>
    <w:rsid w:val="00622FEF"/>
    <w:rsid w:val="0062319E"/>
    <w:rsid w:val="00623442"/>
    <w:rsid w:val="006235EA"/>
    <w:rsid w:val="0062363D"/>
    <w:rsid w:val="00623745"/>
    <w:rsid w:val="006237BC"/>
    <w:rsid w:val="006238BD"/>
    <w:rsid w:val="006238F4"/>
    <w:rsid w:val="00623951"/>
    <w:rsid w:val="00623B50"/>
    <w:rsid w:val="00623E90"/>
    <w:rsid w:val="00623EE2"/>
    <w:rsid w:val="00623F02"/>
    <w:rsid w:val="006240C5"/>
    <w:rsid w:val="0062410E"/>
    <w:rsid w:val="0062450A"/>
    <w:rsid w:val="00624560"/>
    <w:rsid w:val="006246FF"/>
    <w:rsid w:val="006249F7"/>
    <w:rsid w:val="00624D1A"/>
    <w:rsid w:val="00624ED3"/>
    <w:rsid w:val="006251F6"/>
    <w:rsid w:val="006252E8"/>
    <w:rsid w:val="00625349"/>
    <w:rsid w:val="006253A2"/>
    <w:rsid w:val="0062586D"/>
    <w:rsid w:val="006259E4"/>
    <w:rsid w:val="00625AAB"/>
    <w:rsid w:val="00625AE3"/>
    <w:rsid w:val="006265A3"/>
    <w:rsid w:val="00626751"/>
    <w:rsid w:val="00626858"/>
    <w:rsid w:val="0062689D"/>
    <w:rsid w:val="00626A9F"/>
    <w:rsid w:val="00626C58"/>
    <w:rsid w:val="00626CDB"/>
    <w:rsid w:val="00626D3A"/>
    <w:rsid w:val="00626DCA"/>
    <w:rsid w:val="0062702F"/>
    <w:rsid w:val="00627225"/>
    <w:rsid w:val="006272D4"/>
    <w:rsid w:val="006275CB"/>
    <w:rsid w:val="0062799E"/>
    <w:rsid w:val="00627AF6"/>
    <w:rsid w:val="00627BB7"/>
    <w:rsid w:val="00627F7B"/>
    <w:rsid w:val="00630055"/>
    <w:rsid w:val="006300B4"/>
    <w:rsid w:val="006300D5"/>
    <w:rsid w:val="0063014D"/>
    <w:rsid w:val="006301E3"/>
    <w:rsid w:val="00630536"/>
    <w:rsid w:val="00630A8B"/>
    <w:rsid w:val="00630C8C"/>
    <w:rsid w:val="00630FDF"/>
    <w:rsid w:val="00631515"/>
    <w:rsid w:val="006315C2"/>
    <w:rsid w:val="00631682"/>
    <w:rsid w:val="00631C2C"/>
    <w:rsid w:val="00631DF0"/>
    <w:rsid w:val="00632329"/>
    <w:rsid w:val="0063232D"/>
    <w:rsid w:val="00632646"/>
    <w:rsid w:val="006326F7"/>
    <w:rsid w:val="00632709"/>
    <w:rsid w:val="0063280F"/>
    <w:rsid w:val="006328AF"/>
    <w:rsid w:val="00632A37"/>
    <w:rsid w:val="00632B9D"/>
    <w:rsid w:val="00632C54"/>
    <w:rsid w:val="00632C5E"/>
    <w:rsid w:val="00632F85"/>
    <w:rsid w:val="006330EE"/>
    <w:rsid w:val="006331D4"/>
    <w:rsid w:val="0063326C"/>
    <w:rsid w:val="006332AB"/>
    <w:rsid w:val="0063333A"/>
    <w:rsid w:val="006336B3"/>
    <w:rsid w:val="0063375A"/>
    <w:rsid w:val="00633B74"/>
    <w:rsid w:val="00633CD4"/>
    <w:rsid w:val="00633EE4"/>
    <w:rsid w:val="0063424C"/>
    <w:rsid w:val="006342E0"/>
    <w:rsid w:val="00634372"/>
    <w:rsid w:val="006344E4"/>
    <w:rsid w:val="006344F6"/>
    <w:rsid w:val="00634642"/>
    <w:rsid w:val="0063467D"/>
    <w:rsid w:val="006346C3"/>
    <w:rsid w:val="00634835"/>
    <w:rsid w:val="00634C66"/>
    <w:rsid w:val="00634D86"/>
    <w:rsid w:val="00634DA0"/>
    <w:rsid w:val="00634E4F"/>
    <w:rsid w:val="00635177"/>
    <w:rsid w:val="0063538F"/>
    <w:rsid w:val="0063548C"/>
    <w:rsid w:val="0063580A"/>
    <w:rsid w:val="00635C6A"/>
    <w:rsid w:val="00635CD1"/>
    <w:rsid w:val="00636019"/>
    <w:rsid w:val="00636094"/>
    <w:rsid w:val="00636371"/>
    <w:rsid w:val="00636670"/>
    <w:rsid w:val="0063670E"/>
    <w:rsid w:val="00636ED7"/>
    <w:rsid w:val="0063709D"/>
    <w:rsid w:val="0063721D"/>
    <w:rsid w:val="006372DC"/>
    <w:rsid w:val="0063748A"/>
    <w:rsid w:val="006375D4"/>
    <w:rsid w:val="0063767C"/>
    <w:rsid w:val="006376D0"/>
    <w:rsid w:val="006378BC"/>
    <w:rsid w:val="00637B57"/>
    <w:rsid w:val="00637C55"/>
    <w:rsid w:val="00637E90"/>
    <w:rsid w:val="00637F47"/>
    <w:rsid w:val="00637FB8"/>
    <w:rsid w:val="00640110"/>
    <w:rsid w:val="00640174"/>
    <w:rsid w:val="006402B9"/>
    <w:rsid w:val="0064050C"/>
    <w:rsid w:val="006407B5"/>
    <w:rsid w:val="00640AAD"/>
    <w:rsid w:val="00640B47"/>
    <w:rsid w:val="00640D27"/>
    <w:rsid w:val="00640EF3"/>
    <w:rsid w:val="0064105F"/>
    <w:rsid w:val="00641087"/>
    <w:rsid w:val="006411C4"/>
    <w:rsid w:val="0064130F"/>
    <w:rsid w:val="006413A4"/>
    <w:rsid w:val="00641492"/>
    <w:rsid w:val="006414BC"/>
    <w:rsid w:val="00641515"/>
    <w:rsid w:val="00641530"/>
    <w:rsid w:val="006416DE"/>
    <w:rsid w:val="00641763"/>
    <w:rsid w:val="006418DA"/>
    <w:rsid w:val="006419BF"/>
    <w:rsid w:val="00641D4E"/>
    <w:rsid w:val="00641DD9"/>
    <w:rsid w:val="00641F63"/>
    <w:rsid w:val="0064237B"/>
    <w:rsid w:val="00642512"/>
    <w:rsid w:val="006427E1"/>
    <w:rsid w:val="006428E8"/>
    <w:rsid w:val="006429D2"/>
    <w:rsid w:val="00642C51"/>
    <w:rsid w:val="00642D37"/>
    <w:rsid w:val="00642EB6"/>
    <w:rsid w:val="00642FE1"/>
    <w:rsid w:val="00643021"/>
    <w:rsid w:val="00643123"/>
    <w:rsid w:val="006431AD"/>
    <w:rsid w:val="00643339"/>
    <w:rsid w:val="006437BC"/>
    <w:rsid w:val="006437FE"/>
    <w:rsid w:val="00644195"/>
    <w:rsid w:val="00644495"/>
    <w:rsid w:val="006445E0"/>
    <w:rsid w:val="0064484A"/>
    <w:rsid w:val="006449B6"/>
    <w:rsid w:val="00644BB5"/>
    <w:rsid w:val="00644BC3"/>
    <w:rsid w:val="00644D7D"/>
    <w:rsid w:val="00645193"/>
    <w:rsid w:val="0064552B"/>
    <w:rsid w:val="00645716"/>
    <w:rsid w:val="00645A06"/>
    <w:rsid w:val="00645D6E"/>
    <w:rsid w:val="00645ED7"/>
    <w:rsid w:val="006460CF"/>
    <w:rsid w:val="0064621F"/>
    <w:rsid w:val="00646552"/>
    <w:rsid w:val="0064665A"/>
    <w:rsid w:val="00646909"/>
    <w:rsid w:val="0064697B"/>
    <w:rsid w:val="00646EA4"/>
    <w:rsid w:val="00646FC2"/>
    <w:rsid w:val="0064734C"/>
    <w:rsid w:val="006474A1"/>
    <w:rsid w:val="00647704"/>
    <w:rsid w:val="00647721"/>
    <w:rsid w:val="0064778E"/>
    <w:rsid w:val="006477F8"/>
    <w:rsid w:val="00647C8B"/>
    <w:rsid w:val="00647D4E"/>
    <w:rsid w:val="00647D97"/>
    <w:rsid w:val="00647ECC"/>
    <w:rsid w:val="00650181"/>
    <w:rsid w:val="00650423"/>
    <w:rsid w:val="00650470"/>
    <w:rsid w:val="006509DC"/>
    <w:rsid w:val="00650B5F"/>
    <w:rsid w:val="00650FDA"/>
    <w:rsid w:val="00651066"/>
    <w:rsid w:val="0065142F"/>
    <w:rsid w:val="00651449"/>
    <w:rsid w:val="00651654"/>
    <w:rsid w:val="00651938"/>
    <w:rsid w:val="0065194C"/>
    <w:rsid w:val="006520E6"/>
    <w:rsid w:val="0065211C"/>
    <w:rsid w:val="0065212B"/>
    <w:rsid w:val="00652361"/>
    <w:rsid w:val="006523D2"/>
    <w:rsid w:val="00652698"/>
    <w:rsid w:val="006529F5"/>
    <w:rsid w:val="006529F6"/>
    <w:rsid w:val="00652A8D"/>
    <w:rsid w:val="00652ACF"/>
    <w:rsid w:val="00652D04"/>
    <w:rsid w:val="00653004"/>
    <w:rsid w:val="006532C0"/>
    <w:rsid w:val="0065359A"/>
    <w:rsid w:val="0065388D"/>
    <w:rsid w:val="006539BB"/>
    <w:rsid w:val="00653CCD"/>
    <w:rsid w:val="00653DFF"/>
    <w:rsid w:val="00653F2E"/>
    <w:rsid w:val="0065411F"/>
    <w:rsid w:val="006546CB"/>
    <w:rsid w:val="006547F4"/>
    <w:rsid w:val="00654857"/>
    <w:rsid w:val="00654895"/>
    <w:rsid w:val="0065497E"/>
    <w:rsid w:val="00654999"/>
    <w:rsid w:val="00654AEE"/>
    <w:rsid w:val="00654DDC"/>
    <w:rsid w:val="00654E54"/>
    <w:rsid w:val="00655172"/>
    <w:rsid w:val="0065519F"/>
    <w:rsid w:val="00655270"/>
    <w:rsid w:val="00655605"/>
    <w:rsid w:val="0065560E"/>
    <w:rsid w:val="006556C0"/>
    <w:rsid w:val="0065578F"/>
    <w:rsid w:val="00655942"/>
    <w:rsid w:val="00655B6F"/>
    <w:rsid w:val="00655C7B"/>
    <w:rsid w:val="00655CFC"/>
    <w:rsid w:val="00655D17"/>
    <w:rsid w:val="00655E49"/>
    <w:rsid w:val="00655EF9"/>
    <w:rsid w:val="00656082"/>
    <w:rsid w:val="00656516"/>
    <w:rsid w:val="00656945"/>
    <w:rsid w:val="00656DB1"/>
    <w:rsid w:val="00656EEB"/>
    <w:rsid w:val="00657185"/>
    <w:rsid w:val="00657417"/>
    <w:rsid w:val="0065744A"/>
    <w:rsid w:val="006574C8"/>
    <w:rsid w:val="006574F8"/>
    <w:rsid w:val="0065752E"/>
    <w:rsid w:val="0065767D"/>
    <w:rsid w:val="0065772F"/>
    <w:rsid w:val="006578DC"/>
    <w:rsid w:val="0065798F"/>
    <w:rsid w:val="00657B27"/>
    <w:rsid w:val="00657B7F"/>
    <w:rsid w:val="00657B9D"/>
    <w:rsid w:val="00657D19"/>
    <w:rsid w:val="00657ED4"/>
    <w:rsid w:val="00660120"/>
    <w:rsid w:val="00660260"/>
    <w:rsid w:val="006604E1"/>
    <w:rsid w:val="00660688"/>
    <w:rsid w:val="00660D3D"/>
    <w:rsid w:val="006610FA"/>
    <w:rsid w:val="0066114E"/>
    <w:rsid w:val="0066137E"/>
    <w:rsid w:val="0066145E"/>
    <w:rsid w:val="006614F3"/>
    <w:rsid w:val="006616F1"/>
    <w:rsid w:val="00661895"/>
    <w:rsid w:val="00661BD9"/>
    <w:rsid w:val="00661C0A"/>
    <w:rsid w:val="00661C6A"/>
    <w:rsid w:val="00661DAE"/>
    <w:rsid w:val="00661DC8"/>
    <w:rsid w:val="00662076"/>
    <w:rsid w:val="006620C7"/>
    <w:rsid w:val="006621AF"/>
    <w:rsid w:val="006623D6"/>
    <w:rsid w:val="006623EA"/>
    <w:rsid w:val="006625ED"/>
    <w:rsid w:val="00662702"/>
    <w:rsid w:val="00662B66"/>
    <w:rsid w:val="00662B83"/>
    <w:rsid w:val="00662D21"/>
    <w:rsid w:val="00662D5A"/>
    <w:rsid w:val="00663042"/>
    <w:rsid w:val="0066306A"/>
    <w:rsid w:val="00663652"/>
    <w:rsid w:val="0066370F"/>
    <w:rsid w:val="006639DF"/>
    <w:rsid w:val="00663A76"/>
    <w:rsid w:val="00663C14"/>
    <w:rsid w:val="00663C6C"/>
    <w:rsid w:val="00663D6D"/>
    <w:rsid w:val="00663DBD"/>
    <w:rsid w:val="00663F48"/>
    <w:rsid w:val="00663F9D"/>
    <w:rsid w:val="00664311"/>
    <w:rsid w:val="00664433"/>
    <w:rsid w:val="00664511"/>
    <w:rsid w:val="006647D5"/>
    <w:rsid w:val="006648F1"/>
    <w:rsid w:val="00664B4B"/>
    <w:rsid w:val="00664D23"/>
    <w:rsid w:val="00664E32"/>
    <w:rsid w:val="00664F5F"/>
    <w:rsid w:val="006650D0"/>
    <w:rsid w:val="00665257"/>
    <w:rsid w:val="006652CD"/>
    <w:rsid w:val="00665331"/>
    <w:rsid w:val="00665341"/>
    <w:rsid w:val="0066544A"/>
    <w:rsid w:val="00665994"/>
    <w:rsid w:val="00665AB2"/>
    <w:rsid w:val="00665D8D"/>
    <w:rsid w:val="00665DB5"/>
    <w:rsid w:val="00665FE3"/>
    <w:rsid w:val="006662B0"/>
    <w:rsid w:val="00666374"/>
    <w:rsid w:val="006663AD"/>
    <w:rsid w:val="00666590"/>
    <w:rsid w:val="00666C8E"/>
    <w:rsid w:val="00666D20"/>
    <w:rsid w:val="0066715E"/>
    <w:rsid w:val="00667805"/>
    <w:rsid w:val="006679D5"/>
    <w:rsid w:val="00667E37"/>
    <w:rsid w:val="00667E8E"/>
    <w:rsid w:val="006700A8"/>
    <w:rsid w:val="0067020B"/>
    <w:rsid w:val="00670472"/>
    <w:rsid w:val="0067050C"/>
    <w:rsid w:val="006708F5"/>
    <w:rsid w:val="00670B31"/>
    <w:rsid w:val="00670F73"/>
    <w:rsid w:val="00670FD6"/>
    <w:rsid w:val="006710B5"/>
    <w:rsid w:val="006714BE"/>
    <w:rsid w:val="006718F8"/>
    <w:rsid w:val="00671A09"/>
    <w:rsid w:val="00671A84"/>
    <w:rsid w:val="00671FFD"/>
    <w:rsid w:val="006723DC"/>
    <w:rsid w:val="006723E8"/>
    <w:rsid w:val="006727CA"/>
    <w:rsid w:val="0067280C"/>
    <w:rsid w:val="00672916"/>
    <w:rsid w:val="0067341A"/>
    <w:rsid w:val="006734D0"/>
    <w:rsid w:val="00673537"/>
    <w:rsid w:val="0067353A"/>
    <w:rsid w:val="006735C7"/>
    <w:rsid w:val="0067361A"/>
    <w:rsid w:val="006736EE"/>
    <w:rsid w:val="00673B2B"/>
    <w:rsid w:val="00673DA9"/>
    <w:rsid w:val="00673F13"/>
    <w:rsid w:val="0067446B"/>
    <w:rsid w:val="006745C4"/>
    <w:rsid w:val="006746E7"/>
    <w:rsid w:val="00674847"/>
    <w:rsid w:val="00674929"/>
    <w:rsid w:val="00674E71"/>
    <w:rsid w:val="00674E77"/>
    <w:rsid w:val="006753AC"/>
    <w:rsid w:val="00675436"/>
    <w:rsid w:val="00675587"/>
    <w:rsid w:val="006755A7"/>
    <w:rsid w:val="006759D1"/>
    <w:rsid w:val="00675BF2"/>
    <w:rsid w:val="0067631B"/>
    <w:rsid w:val="006766EA"/>
    <w:rsid w:val="00676991"/>
    <w:rsid w:val="00676B0D"/>
    <w:rsid w:val="00676B14"/>
    <w:rsid w:val="00676CBB"/>
    <w:rsid w:val="00676D8D"/>
    <w:rsid w:val="00676DB3"/>
    <w:rsid w:val="00676DF4"/>
    <w:rsid w:val="00677013"/>
    <w:rsid w:val="00677094"/>
    <w:rsid w:val="006770A1"/>
    <w:rsid w:val="006774A9"/>
    <w:rsid w:val="00677501"/>
    <w:rsid w:val="0067771C"/>
    <w:rsid w:val="00677A56"/>
    <w:rsid w:val="00677DA7"/>
    <w:rsid w:val="00677EAE"/>
    <w:rsid w:val="00677EE2"/>
    <w:rsid w:val="00677F33"/>
    <w:rsid w:val="00677F87"/>
    <w:rsid w:val="006800BC"/>
    <w:rsid w:val="0068013C"/>
    <w:rsid w:val="006801BC"/>
    <w:rsid w:val="00680235"/>
    <w:rsid w:val="006802B6"/>
    <w:rsid w:val="00680476"/>
    <w:rsid w:val="00680702"/>
    <w:rsid w:val="0068090A"/>
    <w:rsid w:val="00680A2A"/>
    <w:rsid w:val="00680ADE"/>
    <w:rsid w:val="00680B13"/>
    <w:rsid w:val="00680BB7"/>
    <w:rsid w:val="00680E6F"/>
    <w:rsid w:val="00680EAB"/>
    <w:rsid w:val="00680FE2"/>
    <w:rsid w:val="0068166D"/>
    <w:rsid w:val="0068193B"/>
    <w:rsid w:val="00681C0A"/>
    <w:rsid w:val="00681CC8"/>
    <w:rsid w:val="00681D87"/>
    <w:rsid w:val="006822FD"/>
    <w:rsid w:val="00682328"/>
    <w:rsid w:val="00682342"/>
    <w:rsid w:val="006824BB"/>
    <w:rsid w:val="00682554"/>
    <w:rsid w:val="0068262A"/>
    <w:rsid w:val="00682A0D"/>
    <w:rsid w:val="00682C33"/>
    <w:rsid w:val="00682C70"/>
    <w:rsid w:val="00682CB5"/>
    <w:rsid w:val="00682F8B"/>
    <w:rsid w:val="00682FF3"/>
    <w:rsid w:val="0068301D"/>
    <w:rsid w:val="00683588"/>
    <w:rsid w:val="006836DD"/>
    <w:rsid w:val="0068380C"/>
    <w:rsid w:val="00683831"/>
    <w:rsid w:val="00683881"/>
    <w:rsid w:val="00683A65"/>
    <w:rsid w:val="00683AA0"/>
    <w:rsid w:val="00683AFE"/>
    <w:rsid w:val="00683FB9"/>
    <w:rsid w:val="00684194"/>
    <w:rsid w:val="00684478"/>
    <w:rsid w:val="0068450C"/>
    <w:rsid w:val="006846EA"/>
    <w:rsid w:val="00684702"/>
    <w:rsid w:val="00684706"/>
    <w:rsid w:val="006847CA"/>
    <w:rsid w:val="00684D35"/>
    <w:rsid w:val="00684DC7"/>
    <w:rsid w:val="0068500B"/>
    <w:rsid w:val="0068500E"/>
    <w:rsid w:val="00685073"/>
    <w:rsid w:val="00685186"/>
    <w:rsid w:val="0068518A"/>
    <w:rsid w:val="0068548E"/>
    <w:rsid w:val="006855DE"/>
    <w:rsid w:val="00685669"/>
    <w:rsid w:val="00685768"/>
    <w:rsid w:val="0068580A"/>
    <w:rsid w:val="00685BDE"/>
    <w:rsid w:val="006864BB"/>
    <w:rsid w:val="0068681F"/>
    <w:rsid w:val="00686962"/>
    <w:rsid w:val="00686EFA"/>
    <w:rsid w:val="00687016"/>
    <w:rsid w:val="0068715D"/>
    <w:rsid w:val="006871E2"/>
    <w:rsid w:val="006876EE"/>
    <w:rsid w:val="006876F5"/>
    <w:rsid w:val="00687723"/>
    <w:rsid w:val="006877ED"/>
    <w:rsid w:val="00687811"/>
    <w:rsid w:val="0068790A"/>
    <w:rsid w:val="00687BA1"/>
    <w:rsid w:val="00687BDB"/>
    <w:rsid w:val="00687C3C"/>
    <w:rsid w:val="00687D82"/>
    <w:rsid w:val="0068890A"/>
    <w:rsid w:val="0069000A"/>
    <w:rsid w:val="00690400"/>
    <w:rsid w:val="006904FC"/>
    <w:rsid w:val="006908A6"/>
    <w:rsid w:val="00690B6E"/>
    <w:rsid w:val="00690C61"/>
    <w:rsid w:val="00690EB7"/>
    <w:rsid w:val="0069177D"/>
    <w:rsid w:val="00691828"/>
    <w:rsid w:val="00691929"/>
    <w:rsid w:val="0069193F"/>
    <w:rsid w:val="00691D07"/>
    <w:rsid w:val="00692040"/>
    <w:rsid w:val="00692238"/>
    <w:rsid w:val="006923B6"/>
    <w:rsid w:val="006926C5"/>
    <w:rsid w:val="00692734"/>
    <w:rsid w:val="00692775"/>
    <w:rsid w:val="006927E5"/>
    <w:rsid w:val="00692C50"/>
    <w:rsid w:val="00692F24"/>
    <w:rsid w:val="00692F58"/>
    <w:rsid w:val="00693C69"/>
    <w:rsid w:val="00693CC2"/>
    <w:rsid w:val="0069401F"/>
    <w:rsid w:val="006940EE"/>
    <w:rsid w:val="00694140"/>
    <w:rsid w:val="00694190"/>
    <w:rsid w:val="00694388"/>
    <w:rsid w:val="006943E4"/>
    <w:rsid w:val="0069451D"/>
    <w:rsid w:val="00694551"/>
    <w:rsid w:val="00694644"/>
    <w:rsid w:val="00694664"/>
    <w:rsid w:val="00694869"/>
    <w:rsid w:val="00694974"/>
    <w:rsid w:val="00694A9D"/>
    <w:rsid w:val="00694D00"/>
    <w:rsid w:val="00694E57"/>
    <w:rsid w:val="00695031"/>
    <w:rsid w:val="00695044"/>
    <w:rsid w:val="00695228"/>
    <w:rsid w:val="00695259"/>
    <w:rsid w:val="0069534F"/>
    <w:rsid w:val="006953DA"/>
    <w:rsid w:val="006956DF"/>
    <w:rsid w:val="00695959"/>
    <w:rsid w:val="00695A39"/>
    <w:rsid w:val="00695A66"/>
    <w:rsid w:val="00695B6D"/>
    <w:rsid w:val="00695D81"/>
    <w:rsid w:val="00695DEB"/>
    <w:rsid w:val="006960E2"/>
    <w:rsid w:val="006961CE"/>
    <w:rsid w:val="00696340"/>
    <w:rsid w:val="006963FD"/>
    <w:rsid w:val="0069646F"/>
    <w:rsid w:val="00696562"/>
    <w:rsid w:val="006967E0"/>
    <w:rsid w:val="00696B80"/>
    <w:rsid w:val="00696CBD"/>
    <w:rsid w:val="00696F93"/>
    <w:rsid w:val="00697706"/>
    <w:rsid w:val="006979EC"/>
    <w:rsid w:val="00697A01"/>
    <w:rsid w:val="00697A06"/>
    <w:rsid w:val="00697BD9"/>
    <w:rsid w:val="00697C24"/>
    <w:rsid w:val="0069F1A3"/>
    <w:rsid w:val="006A0020"/>
    <w:rsid w:val="006A0142"/>
    <w:rsid w:val="006A030E"/>
    <w:rsid w:val="006A032F"/>
    <w:rsid w:val="006A03A3"/>
    <w:rsid w:val="006A078E"/>
    <w:rsid w:val="006A07DE"/>
    <w:rsid w:val="006A0877"/>
    <w:rsid w:val="006A08C6"/>
    <w:rsid w:val="006A08FC"/>
    <w:rsid w:val="006A09BE"/>
    <w:rsid w:val="006A0B25"/>
    <w:rsid w:val="006A0B2D"/>
    <w:rsid w:val="006A0BBD"/>
    <w:rsid w:val="006A0CAD"/>
    <w:rsid w:val="006A0D1A"/>
    <w:rsid w:val="006A0E45"/>
    <w:rsid w:val="006A10EB"/>
    <w:rsid w:val="006A1195"/>
    <w:rsid w:val="006A1429"/>
    <w:rsid w:val="006A1ABD"/>
    <w:rsid w:val="006A1D43"/>
    <w:rsid w:val="006A1E8E"/>
    <w:rsid w:val="006A2528"/>
    <w:rsid w:val="006A27CF"/>
    <w:rsid w:val="006A2898"/>
    <w:rsid w:val="006A297A"/>
    <w:rsid w:val="006A2A08"/>
    <w:rsid w:val="006A2B7C"/>
    <w:rsid w:val="006A2C39"/>
    <w:rsid w:val="006A33E1"/>
    <w:rsid w:val="006A3584"/>
    <w:rsid w:val="006A3835"/>
    <w:rsid w:val="006A3A5A"/>
    <w:rsid w:val="006A3E4E"/>
    <w:rsid w:val="006A3F89"/>
    <w:rsid w:val="006A4500"/>
    <w:rsid w:val="006A462C"/>
    <w:rsid w:val="006A46D3"/>
    <w:rsid w:val="006A4893"/>
    <w:rsid w:val="006A48E7"/>
    <w:rsid w:val="006A49ED"/>
    <w:rsid w:val="006A4B5A"/>
    <w:rsid w:val="006A4DA7"/>
    <w:rsid w:val="006A5002"/>
    <w:rsid w:val="006A5173"/>
    <w:rsid w:val="006A517A"/>
    <w:rsid w:val="006A5203"/>
    <w:rsid w:val="006A5478"/>
    <w:rsid w:val="006A59F9"/>
    <w:rsid w:val="006A5AD8"/>
    <w:rsid w:val="006A5B7C"/>
    <w:rsid w:val="006A6334"/>
    <w:rsid w:val="006A6551"/>
    <w:rsid w:val="006A6666"/>
    <w:rsid w:val="006A6AFF"/>
    <w:rsid w:val="006A7304"/>
    <w:rsid w:val="006A75BC"/>
    <w:rsid w:val="006A7896"/>
    <w:rsid w:val="006A7A21"/>
    <w:rsid w:val="006A7B18"/>
    <w:rsid w:val="006A7B41"/>
    <w:rsid w:val="006A7F12"/>
    <w:rsid w:val="006B01B8"/>
    <w:rsid w:val="006B03E6"/>
    <w:rsid w:val="006B040F"/>
    <w:rsid w:val="006B042B"/>
    <w:rsid w:val="006B085B"/>
    <w:rsid w:val="006B0AC9"/>
    <w:rsid w:val="006B0CB0"/>
    <w:rsid w:val="006B0EF1"/>
    <w:rsid w:val="006B0F3B"/>
    <w:rsid w:val="006B1136"/>
    <w:rsid w:val="006B1188"/>
    <w:rsid w:val="006B1218"/>
    <w:rsid w:val="006B1590"/>
    <w:rsid w:val="006B1800"/>
    <w:rsid w:val="006B18B0"/>
    <w:rsid w:val="006B1973"/>
    <w:rsid w:val="006B1E75"/>
    <w:rsid w:val="006B1F32"/>
    <w:rsid w:val="006B1F5B"/>
    <w:rsid w:val="006B1FBA"/>
    <w:rsid w:val="006B2145"/>
    <w:rsid w:val="006B2351"/>
    <w:rsid w:val="006B2372"/>
    <w:rsid w:val="006B277B"/>
    <w:rsid w:val="006B2780"/>
    <w:rsid w:val="006B27BE"/>
    <w:rsid w:val="006B27EA"/>
    <w:rsid w:val="006B27F5"/>
    <w:rsid w:val="006B28E3"/>
    <w:rsid w:val="006B29BA"/>
    <w:rsid w:val="006B2BE7"/>
    <w:rsid w:val="006B2CCE"/>
    <w:rsid w:val="006B3097"/>
    <w:rsid w:val="006B32FE"/>
    <w:rsid w:val="006B35B9"/>
    <w:rsid w:val="006B35DC"/>
    <w:rsid w:val="006B35E4"/>
    <w:rsid w:val="006B3640"/>
    <w:rsid w:val="006B3976"/>
    <w:rsid w:val="006B39A3"/>
    <w:rsid w:val="006B3B0F"/>
    <w:rsid w:val="006B3D91"/>
    <w:rsid w:val="006B3F49"/>
    <w:rsid w:val="006B4138"/>
    <w:rsid w:val="006B4388"/>
    <w:rsid w:val="006B446A"/>
    <w:rsid w:val="006B4483"/>
    <w:rsid w:val="006B45B9"/>
    <w:rsid w:val="006B4606"/>
    <w:rsid w:val="006B467A"/>
    <w:rsid w:val="006B4F41"/>
    <w:rsid w:val="006B50C5"/>
    <w:rsid w:val="006B5166"/>
    <w:rsid w:val="006B5192"/>
    <w:rsid w:val="006B5206"/>
    <w:rsid w:val="006B5301"/>
    <w:rsid w:val="006B5307"/>
    <w:rsid w:val="006B5348"/>
    <w:rsid w:val="006B54E2"/>
    <w:rsid w:val="006B57D8"/>
    <w:rsid w:val="006B590C"/>
    <w:rsid w:val="006B5A66"/>
    <w:rsid w:val="006B5AB1"/>
    <w:rsid w:val="006B5BC0"/>
    <w:rsid w:val="006B5C1C"/>
    <w:rsid w:val="006B5DAC"/>
    <w:rsid w:val="006B5FCB"/>
    <w:rsid w:val="006B6182"/>
    <w:rsid w:val="006B6265"/>
    <w:rsid w:val="006B64BD"/>
    <w:rsid w:val="006B64C2"/>
    <w:rsid w:val="006B6518"/>
    <w:rsid w:val="006B6D05"/>
    <w:rsid w:val="006B6E1F"/>
    <w:rsid w:val="006B6FB6"/>
    <w:rsid w:val="006B6FE3"/>
    <w:rsid w:val="006B7392"/>
    <w:rsid w:val="006B750B"/>
    <w:rsid w:val="006B7599"/>
    <w:rsid w:val="006B7AFB"/>
    <w:rsid w:val="006B7B07"/>
    <w:rsid w:val="006B7D93"/>
    <w:rsid w:val="006BA791"/>
    <w:rsid w:val="006C067B"/>
    <w:rsid w:val="006C0691"/>
    <w:rsid w:val="006C0720"/>
    <w:rsid w:val="006C0877"/>
    <w:rsid w:val="006C09AD"/>
    <w:rsid w:val="006C0AE1"/>
    <w:rsid w:val="006C0B6B"/>
    <w:rsid w:val="006C1095"/>
    <w:rsid w:val="006C10EA"/>
    <w:rsid w:val="006C120D"/>
    <w:rsid w:val="006C1379"/>
    <w:rsid w:val="006C176A"/>
    <w:rsid w:val="006C18C4"/>
    <w:rsid w:val="006C18F5"/>
    <w:rsid w:val="006C19C1"/>
    <w:rsid w:val="006C1D8E"/>
    <w:rsid w:val="006C1FE1"/>
    <w:rsid w:val="006C21AA"/>
    <w:rsid w:val="006C22B4"/>
    <w:rsid w:val="006C25F6"/>
    <w:rsid w:val="006C2710"/>
    <w:rsid w:val="006C2D96"/>
    <w:rsid w:val="006C2DF9"/>
    <w:rsid w:val="006C2DFD"/>
    <w:rsid w:val="006C30C1"/>
    <w:rsid w:val="006C3634"/>
    <w:rsid w:val="006C36CC"/>
    <w:rsid w:val="006C37AE"/>
    <w:rsid w:val="006C38CC"/>
    <w:rsid w:val="006C3D64"/>
    <w:rsid w:val="006C43E1"/>
    <w:rsid w:val="006C4561"/>
    <w:rsid w:val="006C45C2"/>
    <w:rsid w:val="006C4628"/>
    <w:rsid w:val="006C4710"/>
    <w:rsid w:val="006C4851"/>
    <w:rsid w:val="006C4957"/>
    <w:rsid w:val="006C4975"/>
    <w:rsid w:val="006C4D4C"/>
    <w:rsid w:val="006C4EC1"/>
    <w:rsid w:val="006C5062"/>
    <w:rsid w:val="006C58F1"/>
    <w:rsid w:val="006C594C"/>
    <w:rsid w:val="006C5A65"/>
    <w:rsid w:val="006C5BF4"/>
    <w:rsid w:val="006C5FDF"/>
    <w:rsid w:val="006C6128"/>
    <w:rsid w:val="006C6457"/>
    <w:rsid w:val="006C65FA"/>
    <w:rsid w:val="006C66A0"/>
    <w:rsid w:val="006C67B1"/>
    <w:rsid w:val="006C683A"/>
    <w:rsid w:val="006C6883"/>
    <w:rsid w:val="006C68B5"/>
    <w:rsid w:val="006C6AFA"/>
    <w:rsid w:val="006C6EAA"/>
    <w:rsid w:val="006C7231"/>
    <w:rsid w:val="006C788B"/>
    <w:rsid w:val="006C7E31"/>
    <w:rsid w:val="006C7FC3"/>
    <w:rsid w:val="006D0100"/>
    <w:rsid w:val="006D0251"/>
    <w:rsid w:val="006D03F8"/>
    <w:rsid w:val="006D048A"/>
    <w:rsid w:val="006D0519"/>
    <w:rsid w:val="006D05B6"/>
    <w:rsid w:val="006D07ED"/>
    <w:rsid w:val="006D0AF2"/>
    <w:rsid w:val="006D0D3B"/>
    <w:rsid w:val="006D0E4C"/>
    <w:rsid w:val="006D0E71"/>
    <w:rsid w:val="006D0E87"/>
    <w:rsid w:val="006D0F88"/>
    <w:rsid w:val="006D1564"/>
    <w:rsid w:val="006D1673"/>
    <w:rsid w:val="006D1706"/>
    <w:rsid w:val="006D1802"/>
    <w:rsid w:val="006D1BE5"/>
    <w:rsid w:val="006D1C94"/>
    <w:rsid w:val="006D1D02"/>
    <w:rsid w:val="006D21B6"/>
    <w:rsid w:val="006D2427"/>
    <w:rsid w:val="006D2585"/>
    <w:rsid w:val="006D2704"/>
    <w:rsid w:val="006D2B94"/>
    <w:rsid w:val="006D2CCE"/>
    <w:rsid w:val="006D2F09"/>
    <w:rsid w:val="006D2F2A"/>
    <w:rsid w:val="006D3596"/>
    <w:rsid w:val="006D359E"/>
    <w:rsid w:val="006D365C"/>
    <w:rsid w:val="006D3841"/>
    <w:rsid w:val="006D38AB"/>
    <w:rsid w:val="006D3ADF"/>
    <w:rsid w:val="006D3B0A"/>
    <w:rsid w:val="006D3B81"/>
    <w:rsid w:val="006D3BB0"/>
    <w:rsid w:val="006D3CF3"/>
    <w:rsid w:val="006D3E05"/>
    <w:rsid w:val="006D4656"/>
    <w:rsid w:val="006D4E01"/>
    <w:rsid w:val="006D5117"/>
    <w:rsid w:val="006D5667"/>
    <w:rsid w:val="006D573B"/>
    <w:rsid w:val="006D5930"/>
    <w:rsid w:val="006D5B73"/>
    <w:rsid w:val="006D5DA1"/>
    <w:rsid w:val="006D5DFC"/>
    <w:rsid w:val="006D612B"/>
    <w:rsid w:val="006D63F0"/>
    <w:rsid w:val="006D6566"/>
    <w:rsid w:val="006D6700"/>
    <w:rsid w:val="006D673B"/>
    <w:rsid w:val="006D691C"/>
    <w:rsid w:val="006D6940"/>
    <w:rsid w:val="006D69AA"/>
    <w:rsid w:val="006D6B6F"/>
    <w:rsid w:val="006D6C2E"/>
    <w:rsid w:val="006D6DAB"/>
    <w:rsid w:val="006D7232"/>
    <w:rsid w:val="006D78A4"/>
    <w:rsid w:val="006D795C"/>
    <w:rsid w:val="006D7A3F"/>
    <w:rsid w:val="006D7B74"/>
    <w:rsid w:val="006D7E9C"/>
    <w:rsid w:val="006D7EE2"/>
    <w:rsid w:val="006D7EFF"/>
    <w:rsid w:val="006E0054"/>
    <w:rsid w:val="006E0232"/>
    <w:rsid w:val="006E035F"/>
    <w:rsid w:val="006E058B"/>
    <w:rsid w:val="006E088B"/>
    <w:rsid w:val="006E0899"/>
    <w:rsid w:val="006E090C"/>
    <w:rsid w:val="006E0C30"/>
    <w:rsid w:val="006E0D2E"/>
    <w:rsid w:val="006E11BE"/>
    <w:rsid w:val="006E14B9"/>
    <w:rsid w:val="006E14CE"/>
    <w:rsid w:val="006E1552"/>
    <w:rsid w:val="006E18AE"/>
    <w:rsid w:val="006E1944"/>
    <w:rsid w:val="006E1F8D"/>
    <w:rsid w:val="006E1FBB"/>
    <w:rsid w:val="006E2095"/>
    <w:rsid w:val="006E2165"/>
    <w:rsid w:val="006E23B8"/>
    <w:rsid w:val="006E2573"/>
    <w:rsid w:val="006E26AA"/>
    <w:rsid w:val="006E2818"/>
    <w:rsid w:val="006E282B"/>
    <w:rsid w:val="006E29E3"/>
    <w:rsid w:val="006E2A9E"/>
    <w:rsid w:val="006E2E18"/>
    <w:rsid w:val="006E2E48"/>
    <w:rsid w:val="006E3816"/>
    <w:rsid w:val="006E39DA"/>
    <w:rsid w:val="006E3B30"/>
    <w:rsid w:val="006E3B7D"/>
    <w:rsid w:val="006E3C53"/>
    <w:rsid w:val="006E3D3A"/>
    <w:rsid w:val="006E3DA5"/>
    <w:rsid w:val="006E3EB7"/>
    <w:rsid w:val="006E44D4"/>
    <w:rsid w:val="006E46F2"/>
    <w:rsid w:val="006E479B"/>
    <w:rsid w:val="006E47F0"/>
    <w:rsid w:val="006E4898"/>
    <w:rsid w:val="006E4918"/>
    <w:rsid w:val="006E4BA6"/>
    <w:rsid w:val="006E4CA1"/>
    <w:rsid w:val="006E4DF3"/>
    <w:rsid w:val="006E4E69"/>
    <w:rsid w:val="006E4EE2"/>
    <w:rsid w:val="006E5392"/>
    <w:rsid w:val="006E5618"/>
    <w:rsid w:val="006E56F6"/>
    <w:rsid w:val="006E5746"/>
    <w:rsid w:val="006E59B5"/>
    <w:rsid w:val="006E59FC"/>
    <w:rsid w:val="006E5A2A"/>
    <w:rsid w:val="006E5C3A"/>
    <w:rsid w:val="006E5CA5"/>
    <w:rsid w:val="006E6206"/>
    <w:rsid w:val="006E64D4"/>
    <w:rsid w:val="006E6955"/>
    <w:rsid w:val="006E6967"/>
    <w:rsid w:val="006E6A25"/>
    <w:rsid w:val="006E6B8C"/>
    <w:rsid w:val="006E6C52"/>
    <w:rsid w:val="006E6F19"/>
    <w:rsid w:val="006E719F"/>
    <w:rsid w:val="006E7255"/>
    <w:rsid w:val="006E744D"/>
    <w:rsid w:val="006E7705"/>
    <w:rsid w:val="006E7755"/>
    <w:rsid w:val="006E7CF3"/>
    <w:rsid w:val="006E7E22"/>
    <w:rsid w:val="006E7EC4"/>
    <w:rsid w:val="006E7EF2"/>
    <w:rsid w:val="006ECE35"/>
    <w:rsid w:val="006F002C"/>
    <w:rsid w:val="006F04F6"/>
    <w:rsid w:val="006F0619"/>
    <w:rsid w:val="006F0771"/>
    <w:rsid w:val="006F0B60"/>
    <w:rsid w:val="006F0C81"/>
    <w:rsid w:val="006F1385"/>
    <w:rsid w:val="006F13F1"/>
    <w:rsid w:val="006F19FC"/>
    <w:rsid w:val="006F1CB3"/>
    <w:rsid w:val="006F1D24"/>
    <w:rsid w:val="006F1D5B"/>
    <w:rsid w:val="006F21D9"/>
    <w:rsid w:val="006F222C"/>
    <w:rsid w:val="006F22A5"/>
    <w:rsid w:val="006F2557"/>
    <w:rsid w:val="006F29F6"/>
    <w:rsid w:val="006F2C3C"/>
    <w:rsid w:val="006F2FB1"/>
    <w:rsid w:val="006F32F2"/>
    <w:rsid w:val="006F3350"/>
    <w:rsid w:val="006F33D8"/>
    <w:rsid w:val="006F3462"/>
    <w:rsid w:val="006F38A4"/>
    <w:rsid w:val="006F38F1"/>
    <w:rsid w:val="006F39EC"/>
    <w:rsid w:val="006F3EFD"/>
    <w:rsid w:val="006F4069"/>
    <w:rsid w:val="006F42BC"/>
    <w:rsid w:val="006F42F6"/>
    <w:rsid w:val="006F4519"/>
    <w:rsid w:val="006F45B0"/>
    <w:rsid w:val="006F45CE"/>
    <w:rsid w:val="006F4C35"/>
    <w:rsid w:val="006F4FD6"/>
    <w:rsid w:val="006F51B8"/>
    <w:rsid w:val="006F5863"/>
    <w:rsid w:val="006F591A"/>
    <w:rsid w:val="006F591B"/>
    <w:rsid w:val="006F5B84"/>
    <w:rsid w:val="006F5DB8"/>
    <w:rsid w:val="006F60F7"/>
    <w:rsid w:val="006F614C"/>
    <w:rsid w:val="006F61E4"/>
    <w:rsid w:val="006F61F9"/>
    <w:rsid w:val="006F64B1"/>
    <w:rsid w:val="006F67E2"/>
    <w:rsid w:val="006F68E7"/>
    <w:rsid w:val="006F6A70"/>
    <w:rsid w:val="006F6C3E"/>
    <w:rsid w:val="006F6E72"/>
    <w:rsid w:val="006F6ED2"/>
    <w:rsid w:val="006F7007"/>
    <w:rsid w:val="006F72B8"/>
    <w:rsid w:val="006F72C0"/>
    <w:rsid w:val="006F7429"/>
    <w:rsid w:val="006F7662"/>
    <w:rsid w:val="006F776A"/>
    <w:rsid w:val="006F7AB0"/>
    <w:rsid w:val="006F7D0B"/>
    <w:rsid w:val="006F7E34"/>
    <w:rsid w:val="006F7E99"/>
    <w:rsid w:val="006F8939"/>
    <w:rsid w:val="00700083"/>
    <w:rsid w:val="0070019F"/>
    <w:rsid w:val="00700228"/>
    <w:rsid w:val="0070032E"/>
    <w:rsid w:val="00700499"/>
    <w:rsid w:val="00700530"/>
    <w:rsid w:val="00700831"/>
    <w:rsid w:val="00700E22"/>
    <w:rsid w:val="007014AF"/>
    <w:rsid w:val="007014D9"/>
    <w:rsid w:val="007017AF"/>
    <w:rsid w:val="00701B1E"/>
    <w:rsid w:val="00701D2E"/>
    <w:rsid w:val="00701DBC"/>
    <w:rsid w:val="0070233A"/>
    <w:rsid w:val="00702357"/>
    <w:rsid w:val="00702783"/>
    <w:rsid w:val="0070280E"/>
    <w:rsid w:val="00702A33"/>
    <w:rsid w:val="00702C1A"/>
    <w:rsid w:val="00702F72"/>
    <w:rsid w:val="00703343"/>
    <w:rsid w:val="00703426"/>
    <w:rsid w:val="00703525"/>
    <w:rsid w:val="0070361D"/>
    <w:rsid w:val="00703B13"/>
    <w:rsid w:val="00704008"/>
    <w:rsid w:val="007040E0"/>
    <w:rsid w:val="007041CC"/>
    <w:rsid w:val="007043F2"/>
    <w:rsid w:val="007046AE"/>
    <w:rsid w:val="007046AF"/>
    <w:rsid w:val="00704822"/>
    <w:rsid w:val="00704895"/>
    <w:rsid w:val="007049EE"/>
    <w:rsid w:val="00704B2D"/>
    <w:rsid w:val="00704D48"/>
    <w:rsid w:val="00704EEA"/>
    <w:rsid w:val="0070506F"/>
    <w:rsid w:val="0070511D"/>
    <w:rsid w:val="0070512F"/>
    <w:rsid w:val="00705189"/>
    <w:rsid w:val="007051C0"/>
    <w:rsid w:val="00705274"/>
    <w:rsid w:val="007053E5"/>
    <w:rsid w:val="007054C2"/>
    <w:rsid w:val="0070568E"/>
    <w:rsid w:val="007056B4"/>
    <w:rsid w:val="00705948"/>
    <w:rsid w:val="00705BBA"/>
    <w:rsid w:val="00705C1C"/>
    <w:rsid w:val="00705FC4"/>
    <w:rsid w:val="00706117"/>
    <w:rsid w:val="0070617A"/>
    <w:rsid w:val="00706525"/>
    <w:rsid w:val="00706607"/>
    <w:rsid w:val="007066C0"/>
    <w:rsid w:val="007068E8"/>
    <w:rsid w:val="007068EF"/>
    <w:rsid w:val="00706BC7"/>
    <w:rsid w:val="00706EE0"/>
    <w:rsid w:val="00707076"/>
    <w:rsid w:val="0070715A"/>
    <w:rsid w:val="0070760B"/>
    <w:rsid w:val="007078B5"/>
    <w:rsid w:val="0070794A"/>
    <w:rsid w:val="00707A41"/>
    <w:rsid w:val="00707AEB"/>
    <w:rsid w:val="00707E74"/>
    <w:rsid w:val="00707ED6"/>
    <w:rsid w:val="00707F27"/>
    <w:rsid w:val="00707FBC"/>
    <w:rsid w:val="00710287"/>
    <w:rsid w:val="0071032A"/>
    <w:rsid w:val="0071033D"/>
    <w:rsid w:val="0071054B"/>
    <w:rsid w:val="007108C5"/>
    <w:rsid w:val="00710AF3"/>
    <w:rsid w:val="00710D14"/>
    <w:rsid w:val="00710EB9"/>
    <w:rsid w:val="00710F56"/>
    <w:rsid w:val="00710F8F"/>
    <w:rsid w:val="0071116A"/>
    <w:rsid w:val="007111E4"/>
    <w:rsid w:val="00711957"/>
    <w:rsid w:val="007119F2"/>
    <w:rsid w:val="00711BFB"/>
    <w:rsid w:val="00711D3A"/>
    <w:rsid w:val="00711EBF"/>
    <w:rsid w:val="007122ED"/>
    <w:rsid w:val="0071283E"/>
    <w:rsid w:val="00712A8C"/>
    <w:rsid w:val="00712BEB"/>
    <w:rsid w:val="00712D80"/>
    <w:rsid w:val="00712EAF"/>
    <w:rsid w:val="00712ED0"/>
    <w:rsid w:val="00712FD8"/>
    <w:rsid w:val="00712FDA"/>
    <w:rsid w:val="00712FE1"/>
    <w:rsid w:val="00712FF2"/>
    <w:rsid w:val="00713029"/>
    <w:rsid w:val="0071305F"/>
    <w:rsid w:val="007130B4"/>
    <w:rsid w:val="0071330B"/>
    <w:rsid w:val="00713416"/>
    <w:rsid w:val="00713495"/>
    <w:rsid w:val="0071365C"/>
    <w:rsid w:val="0071366A"/>
    <w:rsid w:val="007136C3"/>
    <w:rsid w:val="00713D91"/>
    <w:rsid w:val="00713EB7"/>
    <w:rsid w:val="007141AF"/>
    <w:rsid w:val="007142EE"/>
    <w:rsid w:val="00714607"/>
    <w:rsid w:val="00714666"/>
    <w:rsid w:val="007149C3"/>
    <w:rsid w:val="00714A40"/>
    <w:rsid w:val="00714A62"/>
    <w:rsid w:val="00714A81"/>
    <w:rsid w:val="00714AA3"/>
    <w:rsid w:val="00714B95"/>
    <w:rsid w:val="00714D11"/>
    <w:rsid w:val="0071510C"/>
    <w:rsid w:val="007152F0"/>
    <w:rsid w:val="00715678"/>
    <w:rsid w:val="00715755"/>
    <w:rsid w:val="007157ED"/>
    <w:rsid w:val="0071587C"/>
    <w:rsid w:val="0071597D"/>
    <w:rsid w:val="007165B5"/>
    <w:rsid w:val="007167E6"/>
    <w:rsid w:val="007169B9"/>
    <w:rsid w:val="00716BD8"/>
    <w:rsid w:val="00716C31"/>
    <w:rsid w:val="00716D7B"/>
    <w:rsid w:val="00716DB5"/>
    <w:rsid w:val="00716E13"/>
    <w:rsid w:val="00716ED9"/>
    <w:rsid w:val="00716F24"/>
    <w:rsid w:val="00716FC0"/>
    <w:rsid w:val="00717300"/>
    <w:rsid w:val="0071785C"/>
    <w:rsid w:val="007178F6"/>
    <w:rsid w:val="00718B55"/>
    <w:rsid w:val="0071E5D8"/>
    <w:rsid w:val="00720200"/>
    <w:rsid w:val="00720250"/>
    <w:rsid w:val="00720266"/>
    <w:rsid w:val="007203F7"/>
    <w:rsid w:val="0072046B"/>
    <w:rsid w:val="00720570"/>
    <w:rsid w:val="007205E1"/>
    <w:rsid w:val="0072062E"/>
    <w:rsid w:val="00720A17"/>
    <w:rsid w:val="00720B66"/>
    <w:rsid w:val="00720BD0"/>
    <w:rsid w:val="00720DFC"/>
    <w:rsid w:val="00720FC5"/>
    <w:rsid w:val="00721010"/>
    <w:rsid w:val="00721061"/>
    <w:rsid w:val="007211D3"/>
    <w:rsid w:val="007211E2"/>
    <w:rsid w:val="00721420"/>
    <w:rsid w:val="0072142D"/>
    <w:rsid w:val="007219CA"/>
    <w:rsid w:val="00721A17"/>
    <w:rsid w:val="00721A63"/>
    <w:rsid w:val="00721B43"/>
    <w:rsid w:val="00721C43"/>
    <w:rsid w:val="0072201C"/>
    <w:rsid w:val="007222E6"/>
    <w:rsid w:val="00722514"/>
    <w:rsid w:val="00722548"/>
    <w:rsid w:val="00722590"/>
    <w:rsid w:val="007225C7"/>
    <w:rsid w:val="007225D8"/>
    <w:rsid w:val="00722A9E"/>
    <w:rsid w:val="00722AEF"/>
    <w:rsid w:val="00722CA7"/>
    <w:rsid w:val="00722E03"/>
    <w:rsid w:val="00723064"/>
    <w:rsid w:val="007231A8"/>
    <w:rsid w:val="007231DF"/>
    <w:rsid w:val="0072320E"/>
    <w:rsid w:val="00723488"/>
    <w:rsid w:val="007236A9"/>
    <w:rsid w:val="007238EF"/>
    <w:rsid w:val="00723DDD"/>
    <w:rsid w:val="00723DFB"/>
    <w:rsid w:val="00723E18"/>
    <w:rsid w:val="0072412D"/>
    <w:rsid w:val="0072425B"/>
    <w:rsid w:val="00724337"/>
    <w:rsid w:val="00724521"/>
    <w:rsid w:val="0072483C"/>
    <w:rsid w:val="0072489E"/>
    <w:rsid w:val="00724EBA"/>
    <w:rsid w:val="0072529E"/>
    <w:rsid w:val="00726348"/>
    <w:rsid w:val="007263E6"/>
    <w:rsid w:val="007268A3"/>
    <w:rsid w:val="00726BE6"/>
    <w:rsid w:val="00726F93"/>
    <w:rsid w:val="00727187"/>
    <w:rsid w:val="007271F1"/>
    <w:rsid w:val="0072729E"/>
    <w:rsid w:val="007272D6"/>
    <w:rsid w:val="0072733B"/>
    <w:rsid w:val="007275EE"/>
    <w:rsid w:val="0072773B"/>
    <w:rsid w:val="0072788B"/>
    <w:rsid w:val="0072D8D3"/>
    <w:rsid w:val="0073007D"/>
    <w:rsid w:val="007300A8"/>
    <w:rsid w:val="00730401"/>
    <w:rsid w:val="007308E2"/>
    <w:rsid w:val="00730F0E"/>
    <w:rsid w:val="00730F5D"/>
    <w:rsid w:val="00730FB9"/>
    <w:rsid w:val="00731078"/>
    <w:rsid w:val="00731933"/>
    <w:rsid w:val="007319B7"/>
    <w:rsid w:val="00731AC7"/>
    <w:rsid w:val="00731EE7"/>
    <w:rsid w:val="00731FA8"/>
    <w:rsid w:val="00732292"/>
    <w:rsid w:val="00732473"/>
    <w:rsid w:val="00732603"/>
    <w:rsid w:val="00732759"/>
    <w:rsid w:val="00732AD3"/>
    <w:rsid w:val="00732D17"/>
    <w:rsid w:val="00732FD6"/>
    <w:rsid w:val="00733090"/>
    <w:rsid w:val="0073353B"/>
    <w:rsid w:val="00733987"/>
    <w:rsid w:val="007339CA"/>
    <w:rsid w:val="00733BEB"/>
    <w:rsid w:val="0073454B"/>
    <w:rsid w:val="0073456D"/>
    <w:rsid w:val="007348DB"/>
    <w:rsid w:val="00734975"/>
    <w:rsid w:val="00734D86"/>
    <w:rsid w:val="00734EF1"/>
    <w:rsid w:val="00735033"/>
    <w:rsid w:val="007350FF"/>
    <w:rsid w:val="00735268"/>
    <w:rsid w:val="00735565"/>
    <w:rsid w:val="007356FD"/>
    <w:rsid w:val="00735CBF"/>
    <w:rsid w:val="00735CFC"/>
    <w:rsid w:val="00735F67"/>
    <w:rsid w:val="00736608"/>
    <w:rsid w:val="00736640"/>
    <w:rsid w:val="0073669E"/>
    <w:rsid w:val="007366C6"/>
    <w:rsid w:val="00737732"/>
    <w:rsid w:val="00737829"/>
    <w:rsid w:val="00737A8D"/>
    <w:rsid w:val="007386B4"/>
    <w:rsid w:val="0074012F"/>
    <w:rsid w:val="007408F3"/>
    <w:rsid w:val="00740D2E"/>
    <w:rsid w:val="007416DA"/>
    <w:rsid w:val="00741AA6"/>
    <w:rsid w:val="00741CFB"/>
    <w:rsid w:val="00742427"/>
    <w:rsid w:val="0074250C"/>
    <w:rsid w:val="007427F0"/>
    <w:rsid w:val="00742A1F"/>
    <w:rsid w:val="00742A84"/>
    <w:rsid w:val="00742F26"/>
    <w:rsid w:val="00742FFD"/>
    <w:rsid w:val="007433F0"/>
    <w:rsid w:val="00743784"/>
    <w:rsid w:val="007438FB"/>
    <w:rsid w:val="00743C4F"/>
    <w:rsid w:val="00743E50"/>
    <w:rsid w:val="00743FA9"/>
    <w:rsid w:val="00744174"/>
    <w:rsid w:val="0074422A"/>
    <w:rsid w:val="00744300"/>
    <w:rsid w:val="0074435D"/>
    <w:rsid w:val="007444E0"/>
    <w:rsid w:val="0074452B"/>
    <w:rsid w:val="00744704"/>
    <w:rsid w:val="00744944"/>
    <w:rsid w:val="00744A00"/>
    <w:rsid w:val="00744F45"/>
    <w:rsid w:val="007451CA"/>
    <w:rsid w:val="007452F8"/>
    <w:rsid w:val="00745693"/>
    <w:rsid w:val="00745712"/>
    <w:rsid w:val="00745AEA"/>
    <w:rsid w:val="00745B2E"/>
    <w:rsid w:val="00745C1B"/>
    <w:rsid w:val="007462B4"/>
    <w:rsid w:val="0074647E"/>
    <w:rsid w:val="0074650D"/>
    <w:rsid w:val="00746715"/>
    <w:rsid w:val="00746750"/>
    <w:rsid w:val="00746A58"/>
    <w:rsid w:val="00746A87"/>
    <w:rsid w:val="0074701D"/>
    <w:rsid w:val="007472D7"/>
    <w:rsid w:val="00747338"/>
    <w:rsid w:val="00747420"/>
    <w:rsid w:val="007475CB"/>
    <w:rsid w:val="00747668"/>
    <w:rsid w:val="0074769A"/>
    <w:rsid w:val="00747737"/>
    <w:rsid w:val="0074773D"/>
    <w:rsid w:val="00747D48"/>
    <w:rsid w:val="00747DF3"/>
    <w:rsid w:val="0075012F"/>
    <w:rsid w:val="007501DC"/>
    <w:rsid w:val="00750355"/>
    <w:rsid w:val="0075045B"/>
    <w:rsid w:val="007504B4"/>
    <w:rsid w:val="007509EE"/>
    <w:rsid w:val="00750BCD"/>
    <w:rsid w:val="00750CCC"/>
    <w:rsid w:val="0075114E"/>
    <w:rsid w:val="007511EB"/>
    <w:rsid w:val="00751368"/>
    <w:rsid w:val="00751402"/>
    <w:rsid w:val="0075149C"/>
    <w:rsid w:val="00751613"/>
    <w:rsid w:val="00751833"/>
    <w:rsid w:val="007518BB"/>
    <w:rsid w:val="00751B0E"/>
    <w:rsid w:val="00751D11"/>
    <w:rsid w:val="00751D9E"/>
    <w:rsid w:val="00751FC8"/>
    <w:rsid w:val="00751FDA"/>
    <w:rsid w:val="007520B3"/>
    <w:rsid w:val="0075215C"/>
    <w:rsid w:val="00752185"/>
    <w:rsid w:val="00752338"/>
    <w:rsid w:val="0075243B"/>
    <w:rsid w:val="007524C7"/>
    <w:rsid w:val="007528BB"/>
    <w:rsid w:val="00752965"/>
    <w:rsid w:val="00752A71"/>
    <w:rsid w:val="00752D23"/>
    <w:rsid w:val="00752D83"/>
    <w:rsid w:val="00752E3B"/>
    <w:rsid w:val="00752E63"/>
    <w:rsid w:val="007532DB"/>
    <w:rsid w:val="0075334E"/>
    <w:rsid w:val="0075356F"/>
    <w:rsid w:val="007537BD"/>
    <w:rsid w:val="007537FF"/>
    <w:rsid w:val="007539A1"/>
    <w:rsid w:val="00753CC6"/>
    <w:rsid w:val="00753F12"/>
    <w:rsid w:val="00753FD0"/>
    <w:rsid w:val="0075401F"/>
    <w:rsid w:val="0075416B"/>
    <w:rsid w:val="007546E5"/>
    <w:rsid w:val="0075499A"/>
    <w:rsid w:val="007549A7"/>
    <w:rsid w:val="00754B19"/>
    <w:rsid w:val="00754BCC"/>
    <w:rsid w:val="00754D78"/>
    <w:rsid w:val="00754DF3"/>
    <w:rsid w:val="00755458"/>
    <w:rsid w:val="0075547B"/>
    <w:rsid w:val="007555C5"/>
    <w:rsid w:val="0075579F"/>
    <w:rsid w:val="007559C8"/>
    <w:rsid w:val="00755C18"/>
    <w:rsid w:val="00755EBD"/>
    <w:rsid w:val="0075616B"/>
    <w:rsid w:val="007562A3"/>
    <w:rsid w:val="007563B8"/>
    <w:rsid w:val="00756409"/>
    <w:rsid w:val="007564C7"/>
    <w:rsid w:val="00756708"/>
    <w:rsid w:val="007567B9"/>
    <w:rsid w:val="00756C9E"/>
    <w:rsid w:val="00756CCB"/>
    <w:rsid w:val="00756D32"/>
    <w:rsid w:val="00756E37"/>
    <w:rsid w:val="00756E4C"/>
    <w:rsid w:val="007573C0"/>
    <w:rsid w:val="00757459"/>
    <w:rsid w:val="0075795B"/>
    <w:rsid w:val="00757B62"/>
    <w:rsid w:val="00757D3C"/>
    <w:rsid w:val="00758014"/>
    <w:rsid w:val="00759049"/>
    <w:rsid w:val="0076005F"/>
    <w:rsid w:val="007601ED"/>
    <w:rsid w:val="0076067A"/>
    <w:rsid w:val="00760708"/>
    <w:rsid w:val="00760757"/>
    <w:rsid w:val="00760A34"/>
    <w:rsid w:val="00760ACE"/>
    <w:rsid w:val="00760CA4"/>
    <w:rsid w:val="00760E18"/>
    <w:rsid w:val="00761213"/>
    <w:rsid w:val="0076128D"/>
    <w:rsid w:val="007615B0"/>
    <w:rsid w:val="0076197C"/>
    <w:rsid w:val="00761C87"/>
    <w:rsid w:val="00761D53"/>
    <w:rsid w:val="00761D72"/>
    <w:rsid w:val="00761F13"/>
    <w:rsid w:val="00762078"/>
    <w:rsid w:val="0076218C"/>
    <w:rsid w:val="0076225B"/>
    <w:rsid w:val="007622F6"/>
    <w:rsid w:val="007623C7"/>
    <w:rsid w:val="0076251D"/>
    <w:rsid w:val="007625A5"/>
    <w:rsid w:val="0076292D"/>
    <w:rsid w:val="00762ABC"/>
    <w:rsid w:val="00762C1C"/>
    <w:rsid w:val="00762D1E"/>
    <w:rsid w:val="00763200"/>
    <w:rsid w:val="0076322A"/>
    <w:rsid w:val="00763240"/>
    <w:rsid w:val="007632D9"/>
    <w:rsid w:val="007636E1"/>
    <w:rsid w:val="00763912"/>
    <w:rsid w:val="00763AB6"/>
    <w:rsid w:val="00763E92"/>
    <w:rsid w:val="007642B5"/>
    <w:rsid w:val="00764428"/>
    <w:rsid w:val="00764556"/>
    <w:rsid w:val="007645CA"/>
    <w:rsid w:val="007646F8"/>
    <w:rsid w:val="0076494B"/>
    <w:rsid w:val="00764D0F"/>
    <w:rsid w:val="00764D1C"/>
    <w:rsid w:val="00764E86"/>
    <w:rsid w:val="00764FE5"/>
    <w:rsid w:val="00765024"/>
    <w:rsid w:val="0076506D"/>
    <w:rsid w:val="00765180"/>
    <w:rsid w:val="0076552E"/>
    <w:rsid w:val="0076582C"/>
    <w:rsid w:val="00765953"/>
    <w:rsid w:val="00765F53"/>
    <w:rsid w:val="00765F5D"/>
    <w:rsid w:val="00765FFD"/>
    <w:rsid w:val="0076639E"/>
    <w:rsid w:val="00766549"/>
    <w:rsid w:val="0076658F"/>
    <w:rsid w:val="007665DE"/>
    <w:rsid w:val="00766847"/>
    <w:rsid w:val="00766AAD"/>
    <w:rsid w:val="00766DE1"/>
    <w:rsid w:val="00767030"/>
    <w:rsid w:val="007670E4"/>
    <w:rsid w:val="00767148"/>
    <w:rsid w:val="0076725F"/>
    <w:rsid w:val="0076736F"/>
    <w:rsid w:val="007673B9"/>
    <w:rsid w:val="00767729"/>
    <w:rsid w:val="00767B45"/>
    <w:rsid w:val="00769812"/>
    <w:rsid w:val="0076FFAE"/>
    <w:rsid w:val="007704A3"/>
    <w:rsid w:val="00770581"/>
    <w:rsid w:val="00770A16"/>
    <w:rsid w:val="00770BB4"/>
    <w:rsid w:val="00770DD8"/>
    <w:rsid w:val="007710DF"/>
    <w:rsid w:val="007710FC"/>
    <w:rsid w:val="007713C3"/>
    <w:rsid w:val="00771482"/>
    <w:rsid w:val="007714F4"/>
    <w:rsid w:val="00771584"/>
    <w:rsid w:val="007715B5"/>
    <w:rsid w:val="0077164C"/>
    <w:rsid w:val="007722F9"/>
    <w:rsid w:val="00772781"/>
    <w:rsid w:val="00772846"/>
    <w:rsid w:val="00772881"/>
    <w:rsid w:val="007728E9"/>
    <w:rsid w:val="007729F5"/>
    <w:rsid w:val="00772A4F"/>
    <w:rsid w:val="00772B3C"/>
    <w:rsid w:val="00772D82"/>
    <w:rsid w:val="00772F7C"/>
    <w:rsid w:val="00773342"/>
    <w:rsid w:val="00773382"/>
    <w:rsid w:val="00773761"/>
    <w:rsid w:val="0077421B"/>
    <w:rsid w:val="007743C4"/>
    <w:rsid w:val="007744B6"/>
    <w:rsid w:val="007744EE"/>
    <w:rsid w:val="0077492C"/>
    <w:rsid w:val="00774A2D"/>
    <w:rsid w:val="00774F09"/>
    <w:rsid w:val="0077507C"/>
    <w:rsid w:val="0077556F"/>
    <w:rsid w:val="007756B9"/>
    <w:rsid w:val="007759EA"/>
    <w:rsid w:val="00775F47"/>
    <w:rsid w:val="00776207"/>
    <w:rsid w:val="00776215"/>
    <w:rsid w:val="00776438"/>
    <w:rsid w:val="0077658A"/>
    <w:rsid w:val="00776678"/>
    <w:rsid w:val="0077674C"/>
    <w:rsid w:val="007767C0"/>
    <w:rsid w:val="0077699C"/>
    <w:rsid w:val="00776A57"/>
    <w:rsid w:val="007772CE"/>
    <w:rsid w:val="007774BF"/>
    <w:rsid w:val="00777769"/>
    <w:rsid w:val="007778D1"/>
    <w:rsid w:val="00777B3B"/>
    <w:rsid w:val="00777C81"/>
    <w:rsid w:val="0077DE9F"/>
    <w:rsid w:val="00780153"/>
    <w:rsid w:val="00780224"/>
    <w:rsid w:val="00780274"/>
    <w:rsid w:val="007802BE"/>
    <w:rsid w:val="007803FF"/>
    <w:rsid w:val="007807E2"/>
    <w:rsid w:val="0078094C"/>
    <w:rsid w:val="007809AC"/>
    <w:rsid w:val="00780B55"/>
    <w:rsid w:val="00780DB3"/>
    <w:rsid w:val="00780F39"/>
    <w:rsid w:val="00780F7A"/>
    <w:rsid w:val="007810E5"/>
    <w:rsid w:val="007811E0"/>
    <w:rsid w:val="00781504"/>
    <w:rsid w:val="007815E6"/>
    <w:rsid w:val="00781842"/>
    <w:rsid w:val="00781978"/>
    <w:rsid w:val="007819B1"/>
    <w:rsid w:val="00781A33"/>
    <w:rsid w:val="00781C25"/>
    <w:rsid w:val="00781F32"/>
    <w:rsid w:val="00781F79"/>
    <w:rsid w:val="00781FF7"/>
    <w:rsid w:val="00782356"/>
    <w:rsid w:val="007828E1"/>
    <w:rsid w:val="00782A30"/>
    <w:rsid w:val="00782D53"/>
    <w:rsid w:val="00783013"/>
    <w:rsid w:val="0078312A"/>
    <w:rsid w:val="00783336"/>
    <w:rsid w:val="007835F0"/>
    <w:rsid w:val="00783812"/>
    <w:rsid w:val="00783A76"/>
    <w:rsid w:val="00783C71"/>
    <w:rsid w:val="00783D3F"/>
    <w:rsid w:val="00783E70"/>
    <w:rsid w:val="00784383"/>
    <w:rsid w:val="007846FE"/>
    <w:rsid w:val="007847B0"/>
    <w:rsid w:val="007848DD"/>
    <w:rsid w:val="00784F01"/>
    <w:rsid w:val="00785048"/>
    <w:rsid w:val="007852E2"/>
    <w:rsid w:val="00785372"/>
    <w:rsid w:val="007853A6"/>
    <w:rsid w:val="007855F4"/>
    <w:rsid w:val="00785956"/>
    <w:rsid w:val="00785C40"/>
    <w:rsid w:val="00785FC7"/>
    <w:rsid w:val="00786239"/>
    <w:rsid w:val="0078646C"/>
    <w:rsid w:val="007864EC"/>
    <w:rsid w:val="007868CA"/>
    <w:rsid w:val="00786D1D"/>
    <w:rsid w:val="00786F34"/>
    <w:rsid w:val="0078711B"/>
    <w:rsid w:val="007875BD"/>
    <w:rsid w:val="0078796B"/>
    <w:rsid w:val="0078797C"/>
    <w:rsid w:val="00787A61"/>
    <w:rsid w:val="00787AC0"/>
    <w:rsid w:val="00787AF6"/>
    <w:rsid w:val="00787B2D"/>
    <w:rsid w:val="00787E2A"/>
    <w:rsid w:val="00787EF9"/>
    <w:rsid w:val="0078D948"/>
    <w:rsid w:val="0078FB75"/>
    <w:rsid w:val="00790055"/>
    <w:rsid w:val="00790185"/>
    <w:rsid w:val="00790294"/>
    <w:rsid w:val="0079061F"/>
    <w:rsid w:val="00790A8C"/>
    <w:rsid w:val="00790C0E"/>
    <w:rsid w:val="00790CA4"/>
    <w:rsid w:val="00790D34"/>
    <w:rsid w:val="007910C4"/>
    <w:rsid w:val="00791132"/>
    <w:rsid w:val="00791181"/>
    <w:rsid w:val="007913D0"/>
    <w:rsid w:val="0079144B"/>
    <w:rsid w:val="007915A4"/>
    <w:rsid w:val="00791695"/>
    <w:rsid w:val="00791F5E"/>
    <w:rsid w:val="00792910"/>
    <w:rsid w:val="0079296E"/>
    <w:rsid w:val="00792B00"/>
    <w:rsid w:val="00792E85"/>
    <w:rsid w:val="00793101"/>
    <w:rsid w:val="0079314A"/>
    <w:rsid w:val="00793154"/>
    <w:rsid w:val="007931C2"/>
    <w:rsid w:val="0079320A"/>
    <w:rsid w:val="00793534"/>
    <w:rsid w:val="00793A1C"/>
    <w:rsid w:val="00793A7E"/>
    <w:rsid w:val="00793B02"/>
    <w:rsid w:val="00793F03"/>
    <w:rsid w:val="00794147"/>
    <w:rsid w:val="007943E1"/>
    <w:rsid w:val="0079458C"/>
    <w:rsid w:val="00794802"/>
    <w:rsid w:val="00794960"/>
    <w:rsid w:val="007951A4"/>
    <w:rsid w:val="0079525E"/>
    <w:rsid w:val="00795365"/>
    <w:rsid w:val="007956F4"/>
    <w:rsid w:val="00795737"/>
    <w:rsid w:val="00795740"/>
    <w:rsid w:val="0079577D"/>
    <w:rsid w:val="007957C2"/>
    <w:rsid w:val="00795A36"/>
    <w:rsid w:val="007960AF"/>
    <w:rsid w:val="00796217"/>
    <w:rsid w:val="00796269"/>
    <w:rsid w:val="0079649A"/>
    <w:rsid w:val="007966B9"/>
    <w:rsid w:val="007968C2"/>
    <w:rsid w:val="007968E3"/>
    <w:rsid w:val="00796A39"/>
    <w:rsid w:val="00796B2C"/>
    <w:rsid w:val="00796BAA"/>
    <w:rsid w:val="00796C05"/>
    <w:rsid w:val="0079707B"/>
    <w:rsid w:val="0079781B"/>
    <w:rsid w:val="00797AC4"/>
    <w:rsid w:val="00797B46"/>
    <w:rsid w:val="00797E6F"/>
    <w:rsid w:val="00797F4C"/>
    <w:rsid w:val="00799399"/>
    <w:rsid w:val="0079CAFB"/>
    <w:rsid w:val="007A01D9"/>
    <w:rsid w:val="007A026B"/>
    <w:rsid w:val="007A03BD"/>
    <w:rsid w:val="007A0495"/>
    <w:rsid w:val="007A082D"/>
    <w:rsid w:val="007A09B8"/>
    <w:rsid w:val="007A0B21"/>
    <w:rsid w:val="007A0C5C"/>
    <w:rsid w:val="007A0C8B"/>
    <w:rsid w:val="007A0CBB"/>
    <w:rsid w:val="007A0DA2"/>
    <w:rsid w:val="007A1022"/>
    <w:rsid w:val="007A1205"/>
    <w:rsid w:val="007A1300"/>
    <w:rsid w:val="007A14EB"/>
    <w:rsid w:val="007A15D2"/>
    <w:rsid w:val="007A16F5"/>
    <w:rsid w:val="007A1AA8"/>
    <w:rsid w:val="007A1CD5"/>
    <w:rsid w:val="007A1FA8"/>
    <w:rsid w:val="007A1FEC"/>
    <w:rsid w:val="007A2025"/>
    <w:rsid w:val="007A2039"/>
    <w:rsid w:val="007A2206"/>
    <w:rsid w:val="007A2250"/>
    <w:rsid w:val="007A234A"/>
    <w:rsid w:val="007A23D5"/>
    <w:rsid w:val="007A2721"/>
    <w:rsid w:val="007A2BCA"/>
    <w:rsid w:val="007A3236"/>
    <w:rsid w:val="007A35E8"/>
    <w:rsid w:val="007A36F2"/>
    <w:rsid w:val="007A3C1D"/>
    <w:rsid w:val="007A3C89"/>
    <w:rsid w:val="007A3EAB"/>
    <w:rsid w:val="007A42D0"/>
    <w:rsid w:val="007A44C2"/>
    <w:rsid w:val="007A44EE"/>
    <w:rsid w:val="007A490A"/>
    <w:rsid w:val="007A4A2F"/>
    <w:rsid w:val="007A4A75"/>
    <w:rsid w:val="007A4B72"/>
    <w:rsid w:val="007A4B9D"/>
    <w:rsid w:val="007A5FF7"/>
    <w:rsid w:val="007A606A"/>
    <w:rsid w:val="007A60A0"/>
    <w:rsid w:val="007A61AA"/>
    <w:rsid w:val="007A6436"/>
    <w:rsid w:val="007A6602"/>
    <w:rsid w:val="007A6895"/>
    <w:rsid w:val="007A6A97"/>
    <w:rsid w:val="007A6B81"/>
    <w:rsid w:val="007A6DAB"/>
    <w:rsid w:val="007A6DC0"/>
    <w:rsid w:val="007A6F40"/>
    <w:rsid w:val="007A7545"/>
    <w:rsid w:val="007A758E"/>
    <w:rsid w:val="007A75A8"/>
    <w:rsid w:val="007A7CBF"/>
    <w:rsid w:val="007A7CF0"/>
    <w:rsid w:val="007A7ED5"/>
    <w:rsid w:val="007A7FA7"/>
    <w:rsid w:val="007AE9EF"/>
    <w:rsid w:val="007B010D"/>
    <w:rsid w:val="007B012A"/>
    <w:rsid w:val="007B0328"/>
    <w:rsid w:val="007B0475"/>
    <w:rsid w:val="007B069E"/>
    <w:rsid w:val="007B0756"/>
    <w:rsid w:val="007B0B01"/>
    <w:rsid w:val="007B0DCF"/>
    <w:rsid w:val="007B12FE"/>
    <w:rsid w:val="007B1394"/>
    <w:rsid w:val="007B1640"/>
    <w:rsid w:val="007B1763"/>
    <w:rsid w:val="007B1CF5"/>
    <w:rsid w:val="007B202D"/>
    <w:rsid w:val="007B2064"/>
    <w:rsid w:val="007B235E"/>
    <w:rsid w:val="007B26EB"/>
    <w:rsid w:val="007B2A9F"/>
    <w:rsid w:val="007B2C13"/>
    <w:rsid w:val="007B2C89"/>
    <w:rsid w:val="007B2EF6"/>
    <w:rsid w:val="007B2F5C"/>
    <w:rsid w:val="007B2F6A"/>
    <w:rsid w:val="007B31D3"/>
    <w:rsid w:val="007B40F6"/>
    <w:rsid w:val="007B40FC"/>
    <w:rsid w:val="007B4269"/>
    <w:rsid w:val="007B4699"/>
    <w:rsid w:val="007B4CBE"/>
    <w:rsid w:val="007B4CE4"/>
    <w:rsid w:val="007B4EB3"/>
    <w:rsid w:val="007B4F77"/>
    <w:rsid w:val="007B524A"/>
    <w:rsid w:val="007B52CD"/>
    <w:rsid w:val="007B5527"/>
    <w:rsid w:val="007B554F"/>
    <w:rsid w:val="007B58C3"/>
    <w:rsid w:val="007B609F"/>
    <w:rsid w:val="007B610A"/>
    <w:rsid w:val="007B620D"/>
    <w:rsid w:val="007B621D"/>
    <w:rsid w:val="007B6478"/>
    <w:rsid w:val="007B6D1E"/>
    <w:rsid w:val="007B6DBE"/>
    <w:rsid w:val="007B6E95"/>
    <w:rsid w:val="007B6F67"/>
    <w:rsid w:val="007B7556"/>
    <w:rsid w:val="007B7671"/>
    <w:rsid w:val="007B79B8"/>
    <w:rsid w:val="007B79EC"/>
    <w:rsid w:val="007B7CEC"/>
    <w:rsid w:val="007C00DD"/>
    <w:rsid w:val="007C0169"/>
    <w:rsid w:val="007C0182"/>
    <w:rsid w:val="007C04BA"/>
    <w:rsid w:val="007C0544"/>
    <w:rsid w:val="007C09ED"/>
    <w:rsid w:val="007C0ACD"/>
    <w:rsid w:val="007C0B92"/>
    <w:rsid w:val="007C0BD1"/>
    <w:rsid w:val="007C0C17"/>
    <w:rsid w:val="007C0E88"/>
    <w:rsid w:val="007C109C"/>
    <w:rsid w:val="007C10EA"/>
    <w:rsid w:val="007C1187"/>
    <w:rsid w:val="007C146F"/>
    <w:rsid w:val="007C14A2"/>
    <w:rsid w:val="007C15C0"/>
    <w:rsid w:val="007C15EA"/>
    <w:rsid w:val="007C15FB"/>
    <w:rsid w:val="007C1636"/>
    <w:rsid w:val="007C1880"/>
    <w:rsid w:val="007C1D35"/>
    <w:rsid w:val="007C2050"/>
    <w:rsid w:val="007C2102"/>
    <w:rsid w:val="007C2195"/>
    <w:rsid w:val="007C21CC"/>
    <w:rsid w:val="007C2385"/>
    <w:rsid w:val="007C24F8"/>
    <w:rsid w:val="007C2750"/>
    <w:rsid w:val="007C296B"/>
    <w:rsid w:val="007C2A80"/>
    <w:rsid w:val="007C2B74"/>
    <w:rsid w:val="007C2ECD"/>
    <w:rsid w:val="007C2EE3"/>
    <w:rsid w:val="007C310C"/>
    <w:rsid w:val="007C324F"/>
    <w:rsid w:val="007C3672"/>
    <w:rsid w:val="007C3819"/>
    <w:rsid w:val="007C3989"/>
    <w:rsid w:val="007C39F9"/>
    <w:rsid w:val="007C3B16"/>
    <w:rsid w:val="007C3FE3"/>
    <w:rsid w:val="007C4073"/>
    <w:rsid w:val="007C436D"/>
    <w:rsid w:val="007C43F5"/>
    <w:rsid w:val="007C468F"/>
    <w:rsid w:val="007C4846"/>
    <w:rsid w:val="007C4D6D"/>
    <w:rsid w:val="007C4D96"/>
    <w:rsid w:val="007C4DE4"/>
    <w:rsid w:val="007C4EF7"/>
    <w:rsid w:val="007C5343"/>
    <w:rsid w:val="007C5345"/>
    <w:rsid w:val="007C5389"/>
    <w:rsid w:val="007C56DB"/>
    <w:rsid w:val="007C5789"/>
    <w:rsid w:val="007C5C6E"/>
    <w:rsid w:val="007C5C98"/>
    <w:rsid w:val="007C5D17"/>
    <w:rsid w:val="007C5DB0"/>
    <w:rsid w:val="007C60E6"/>
    <w:rsid w:val="007C613C"/>
    <w:rsid w:val="007C651F"/>
    <w:rsid w:val="007C67EF"/>
    <w:rsid w:val="007C6C15"/>
    <w:rsid w:val="007C6D43"/>
    <w:rsid w:val="007C6D86"/>
    <w:rsid w:val="007C708D"/>
    <w:rsid w:val="007C76CF"/>
    <w:rsid w:val="007C7798"/>
    <w:rsid w:val="007C77A5"/>
    <w:rsid w:val="007C77E8"/>
    <w:rsid w:val="007C7846"/>
    <w:rsid w:val="007C7B30"/>
    <w:rsid w:val="007C7BAB"/>
    <w:rsid w:val="007C7BBE"/>
    <w:rsid w:val="007C7C2A"/>
    <w:rsid w:val="007C7F41"/>
    <w:rsid w:val="007D0432"/>
    <w:rsid w:val="007D0574"/>
    <w:rsid w:val="007D099B"/>
    <w:rsid w:val="007D0A82"/>
    <w:rsid w:val="007D134E"/>
    <w:rsid w:val="007D1658"/>
    <w:rsid w:val="007D1A4E"/>
    <w:rsid w:val="007D1B31"/>
    <w:rsid w:val="007D2498"/>
    <w:rsid w:val="007D2A53"/>
    <w:rsid w:val="007D2B4F"/>
    <w:rsid w:val="007D2C82"/>
    <w:rsid w:val="007D2E3A"/>
    <w:rsid w:val="007D2FD4"/>
    <w:rsid w:val="007D31DD"/>
    <w:rsid w:val="007D3221"/>
    <w:rsid w:val="007D354F"/>
    <w:rsid w:val="007D3A36"/>
    <w:rsid w:val="007D3B96"/>
    <w:rsid w:val="007D3BAC"/>
    <w:rsid w:val="007D3EB7"/>
    <w:rsid w:val="007D3EEC"/>
    <w:rsid w:val="007D3F23"/>
    <w:rsid w:val="007D3FA8"/>
    <w:rsid w:val="007D4239"/>
    <w:rsid w:val="007D452F"/>
    <w:rsid w:val="007D45C2"/>
    <w:rsid w:val="007D47C8"/>
    <w:rsid w:val="007D4805"/>
    <w:rsid w:val="007D483F"/>
    <w:rsid w:val="007D4A6D"/>
    <w:rsid w:val="007D4B40"/>
    <w:rsid w:val="007D5314"/>
    <w:rsid w:val="007D540B"/>
    <w:rsid w:val="007D55A5"/>
    <w:rsid w:val="007D56A7"/>
    <w:rsid w:val="007D5850"/>
    <w:rsid w:val="007D5B07"/>
    <w:rsid w:val="007D5DA5"/>
    <w:rsid w:val="007D638E"/>
    <w:rsid w:val="007D694D"/>
    <w:rsid w:val="007D6D92"/>
    <w:rsid w:val="007D6ED5"/>
    <w:rsid w:val="007D6EFA"/>
    <w:rsid w:val="007D7155"/>
    <w:rsid w:val="007D7169"/>
    <w:rsid w:val="007D745B"/>
    <w:rsid w:val="007D76B2"/>
    <w:rsid w:val="007D779A"/>
    <w:rsid w:val="007E012E"/>
    <w:rsid w:val="007E0398"/>
    <w:rsid w:val="007E041C"/>
    <w:rsid w:val="007E0658"/>
    <w:rsid w:val="007E0739"/>
    <w:rsid w:val="007E08E4"/>
    <w:rsid w:val="007E0BAC"/>
    <w:rsid w:val="007E0F7A"/>
    <w:rsid w:val="007E104C"/>
    <w:rsid w:val="007E19AB"/>
    <w:rsid w:val="007E1F68"/>
    <w:rsid w:val="007E2264"/>
    <w:rsid w:val="007E226B"/>
    <w:rsid w:val="007E2290"/>
    <w:rsid w:val="007E22AA"/>
    <w:rsid w:val="007E25C5"/>
    <w:rsid w:val="007E2723"/>
    <w:rsid w:val="007E27F6"/>
    <w:rsid w:val="007E2859"/>
    <w:rsid w:val="007E2911"/>
    <w:rsid w:val="007E2920"/>
    <w:rsid w:val="007E29CC"/>
    <w:rsid w:val="007E2A49"/>
    <w:rsid w:val="007E2C74"/>
    <w:rsid w:val="007E2FDA"/>
    <w:rsid w:val="007E3046"/>
    <w:rsid w:val="007E3049"/>
    <w:rsid w:val="007E30DB"/>
    <w:rsid w:val="007E30DF"/>
    <w:rsid w:val="007E3106"/>
    <w:rsid w:val="007E3453"/>
    <w:rsid w:val="007E3ADB"/>
    <w:rsid w:val="007E3C5E"/>
    <w:rsid w:val="007E3CC8"/>
    <w:rsid w:val="007E4180"/>
    <w:rsid w:val="007E485B"/>
    <w:rsid w:val="007E4AFF"/>
    <w:rsid w:val="007E4CBD"/>
    <w:rsid w:val="007E4F7D"/>
    <w:rsid w:val="007E508E"/>
    <w:rsid w:val="007E52CD"/>
    <w:rsid w:val="007E52CE"/>
    <w:rsid w:val="007E533C"/>
    <w:rsid w:val="007E5724"/>
    <w:rsid w:val="007E57CA"/>
    <w:rsid w:val="007E59BA"/>
    <w:rsid w:val="007E5B5E"/>
    <w:rsid w:val="007E5C9D"/>
    <w:rsid w:val="007E5E85"/>
    <w:rsid w:val="007E5FC1"/>
    <w:rsid w:val="007E63F4"/>
    <w:rsid w:val="007E67BA"/>
    <w:rsid w:val="007E68C6"/>
    <w:rsid w:val="007E6D2D"/>
    <w:rsid w:val="007E70CC"/>
    <w:rsid w:val="007E7185"/>
    <w:rsid w:val="007E7287"/>
    <w:rsid w:val="007E73F1"/>
    <w:rsid w:val="007E756D"/>
    <w:rsid w:val="007E7574"/>
    <w:rsid w:val="007E7874"/>
    <w:rsid w:val="007E7934"/>
    <w:rsid w:val="007E7936"/>
    <w:rsid w:val="007E7B74"/>
    <w:rsid w:val="007E7C4C"/>
    <w:rsid w:val="007E7CF7"/>
    <w:rsid w:val="007E7E7E"/>
    <w:rsid w:val="007E7FDE"/>
    <w:rsid w:val="007F001F"/>
    <w:rsid w:val="007F00F0"/>
    <w:rsid w:val="007F02F4"/>
    <w:rsid w:val="007F05B6"/>
    <w:rsid w:val="007F073C"/>
    <w:rsid w:val="007F085C"/>
    <w:rsid w:val="007F0A11"/>
    <w:rsid w:val="007F0A60"/>
    <w:rsid w:val="007F0BF5"/>
    <w:rsid w:val="007F0FBF"/>
    <w:rsid w:val="007F1072"/>
    <w:rsid w:val="007F1076"/>
    <w:rsid w:val="007F11AE"/>
    <w:rsid w:val="007F143F"/>
    <w:rsid w:val="007F16D6"/>
    <w:rsid w:val="007F18BA"/>
    <w:rsid w:val="007F1A3E"/>
    <w:rsid w:val="007F1A4E"/>
    <w:rsid w:val="007F1E9F"/>
    <w:rsid w:val="007F2556"/>
    <w:rsid w:val="007F2637"/>
    <w:rsid w:val="007F2724"/>
    <w:rsid w:val="007F27B4"/>
    <w:rsid w:val="007F2A47"/>
    <w:rsid w:val="007F2D98"/>
    <w:rsid w:val="007F2E16"/>
    <w:rsid w:val="007F3084"/>
    <w:rsid w:val="007F30A0"/>
    <w:rsid w:val="007F31AB"/>
    <w:rsid w:val="007F3335"/>
    <w:rsid w:val="007F373A"/>
    <w:rsid w:val="007F37A3"/>
    <w:rsid w:val="007F383F"/>
    <w:rsid w:val="007F39BC"/>
    <w:rsid w:val="007F3C18"/>
    <w:rsid w:val="007F3C46"/>
    <w:rsid w:val="007F3EE5"/>
    <w:rsid w:val="007F4014"/>
    <w:rsid w:val="007F403E"/>
    <w:rsid w:val="007F4085"/>
    <w:rsid w:val="007F40E1"/>
    <w:rsid w:val="007F40ED"/>
    <w:rsid w:val="007F4108"/>
    <w:rsid w:val="007F413F"/>
    <w:rsid w:val="007F436A"/>
    <w:rsid w:val="007F4836"/>
    <w:rsid w:val="007F4C66"/>
    <w:rsid w:val="007F4EC5"/>
    <w:rsid w:val="007F4F2B"/>
    <w:rsid w:val="007F4F54"/>
    <w:rsid w:val="007F5295"/>
    <w:rsid w:val="007F5512"/>
    <w:rsid w:val="007F5623"/>
    <w:rsid w:val="007F56C9"/>
    <w:rsid w:val="007F56ED"/>
    <w:rsid w:val="007F598A"/>
    <w:rsid w:val="007F5BCE"/>
    <w:rsid w:val="007F5BFA"/>
    <w:rsid w:val="007F5CC9"/>
    <w:rsid w:val="007F5D1E"/>
    <w:rsid w:val="007F5E89"/>
    <w:rsid w:val="007F5EBC"/>
    <w:rsid w:val="007F6371"/>
    <w:rsid w:val="007F6784"/>
    <w:rsid w:val="007F6AA9"/>
    <w:rsid w:val="007F6D29"/>
    <w:rsid w:val="007F6D6C"/>
    <w:rsid w:val="007F6E94"/>
    <w:rsid w:val="007F6F50"/>
    <w:rsid w:val="007F7272"/>
    <w:rsid w:val="007F7292"/>
    <w:rsid w:val="007F7350"/>
    <w:rsid w:val="007F762E"/>
    <w:rsid w:val="007F7B49"/>
    <w:rsid w:val="007F7BD6"/>
    <w:rsid w:val="007F7E4F"/>
    <w:rsid w:val="008000F4"/>
    <w:rsid w:val="00800114"/>
    <w:rsid w:val="0080025C"/>
    <w:rsid w:val="00800291"/>
    <w:rsid w:val="008007B2"/>
    <w:rsid w:val="008008E2"/>
    <w:rsid w:val="00800B38"/>
    <w:rsid w:val="00800BD8"/>
    <w:rsid w:val="00800E38"/>
    <w:rsid w:val="00800E74"/>
    <w:rsid w:val="00801063"/>
    <w:rsid w:val="0080109C"/>
    <w:rsid w:val="008013A9"/>
    <w:rsid w:val="00801407"/>
    <w:rsid w:val="0080148A"/>
    <w:rsid w:val="0080152D"/>
    <w:rsid w:val="008016DD"/>
    <w:rsid w:val="00801886"/>
    <w:rsid w:val="008019EE"/>
    <w:rsid w:val="00801ADD"/>
    <w:rsid w:val="00801AEA"/>
    <w:rsid w:val="00801D01"/>
    <w:rsid w:val="00801EB1"/>
    <w:rsid w:val="00801FB4"/>
    <w:rsid w:val="00802128"/>
    <w:rsid w:val="0080218F"/>
    <w:rsid w:val="00802487"/>
    <w:rsid w:val="00802520"/>
    <w:rsid w:val="008026AD"/>
    <w:rsid w:val="008026E9"/>
    <w:rsid w:val="00802702"/>
    <w:rsid w:val="00802BC7"/>
    <w:rsid w:val="00802D41"/>
    <w:rsid w:val="00802E2F"/>
    <w:rsid w:val="008030B1"/>
    <w:rsid w:val="0080335D"/>
    <w:rsid w:val="0080393D"/>
    <w:rsid w:val="00803967"/>
    <w:rsid w:val="00803A77"/>
    <w:rsid w:val="00803C02"/>
    <w:rsid w:val="00803C1A"/>
    <w:rsid w:val="00803F70"/>
    <w:rsid w:val="00803F76"/>
    <w:rsid w:val="008042DF"/>
    <w:rsid w:val="008042F5"/>
    <w:rsid w:val="00804536"/>
    <w:rsid w:val="00804987"/>
    <w:rsid w:val="00804C71"/>
    <w:rsid w:val="008050B6"/>
    <w:rsid w:val="008052D2"/>
    <w:rsid w:val="008053D3"/>
    <w:rsid w:val="008053E9"/>
    <w:rsid w:val="008053FD"/>
    <w:rsid w:val="00805435"/>
    <w:rsid w:val="00805492"/>
    <w:rsid w:val="008057CF"/>
    <w:rsid w:val="008057EF"/>
    <w:rsid w:val="00805BE4"/>
    <w:rsid w:val="00805C02"/>
    <w:rsid w:val="00805DED"/>
    <w:rsid w:val="00805E2B"/>
    <w:rsid w:val="00805F00"/>
    <w:rsid w:val="00805F32"/>
    <w:rsid w:val="00805F99"/>
    <w:rsid w:val="008060BF"/>
    <w:rsid w:val="00806262"/>
    <w:rsid w:val="008064E5"/>
    <w:rsid w:val="00806663"/>
    <w:rsid w:val="0080679F"/>
    <w:rsid w:val="00806AFC"/>
    <w:rsid w:val="00806B1D"/>
    <w:rsid w:val="00806C6D"/>
    <w:rsid w:val="00806E74"/>
    <w:rsid w:val="00806F79"/>
    <w:rsid w:val="00807197"/>
    <w:rsid w:val="0080746C"/>
    <w:rsid w:val="008075A7"/>
    <w:rsid w:val="008075F1"/>
    <w:rsid w:val="008078CC"/>
    <w:rsid w:val="00807AE6"/>
    <w:rsid w:val="008091B8"/>
    <w:rsid w:val="0080A2E4"/>
    <w:rsid w:val="0080D17E"/>
    <w:rsid w:val="00810052"/>
    <w:rsid w:val="0081023A"/>
    <w:rsid w:val="008104D0"/>
    <w:rsid w:val="008104E7"/>
    <w:rsid w:val="008105A2"/>
    <w:rsid w:val="008105DE"/>
    <w:rsid w:val="008105E4"/>
    <w:rsid w:val="008107CF"/>
    <w:rsid w:val="00810B6A"/>
    <w:rsid w:val="00810B85"/>
    <w:rsid w:val="00810C44"/>
    <w:rsid w:val="00810E67"/>
    <w:rsid w:val="00810E9C"/>
    <w:rsid w:val="0081101B"/>
    <w:rsid w:val="00811050"/>
    <w:rsid w:val="00811135"/>
    <w:rsid w:val="00811176"/>
    <w:rsid w:val="00811282"/>
    <w:rsid w:val="008114D8"/>
    <w:rsid w:val="00811E3B"/>
    <w:rsid w:val="00812173"/>
    <w:rsid w:val="008124F1"/>
    <w:rsid w:val="008125C5"/>
    <w:rsid w:val="008129F9"/>
    <w:rsid w:val="00812CC3"/>
    <w:rsid w:val="00812D0E"/>
    <w:rsid w:val="00812DFE"/>
    <w:rsid w:val="0081348B"/>
    <w:rsid w:val="008134E2"/>
    <w:rsid w:val="008135F0"/>
    <w:rsid w:val="008136CA"/>
    <w:rsid w:val="008138D1"/>
    <w:rsid w:val="00813B7B"/>
    <w:rsid w:val="00813C14"/>
    <w:rsid w:val="00813E13"/>
    <w:rsid w:val="00813EDC"/>
    <w:rsid w:val="00813F2D"/>
    <w:rsid w:val="00814120"/>
    <w:rsid w:val="00814215"/>
    <w:rsid w:val="00814759"/>
    <w:rsid w:val="0081485E"/>
    <w:rsid w:val="00814ACF"/>
    <w:rsid w:val="00814AFD"/>
    <w:rsid w:val="00814BB7"/>
    <w:rsid w:val="0081510A"/>
    <w:rsid w:val="0081518F"/>
    <w:rsid w:val="008151D9"/>
    <w:rsid w:val="00815280"/>
    <w:rsid w:val="008153F3"/>
    <w:rsid w:val="00815433"/>
    <w:rsid w:val="008154C8"/>
    <w:rsid w:val="008154E6"/>
    <w:rsid w:val="00815575"/>
    <w:rsid w:val="0081586A"/>
    <w:rsid w:val="0081597A"/>
    <w:rsid w:val="00815B11"/>
    <w:rsid w:val="00815B66"/>
    <w:rsid w:val="00815F4F"/>
    <w:rsid w:val="0081614A"/>
    <w:rsid w:val="008163A0"/>
    <w:rsid w:val="00816621"/>
    <w:rsid w:val="008166DB"/>
    <w:rsid w:val="0081670E"/>
    <w:rsid w:val="008168D7"/>
    <w:rsid w:val="00816903"/>
    <w:rsid w:val="00816904"/>
    <w:rsid w:val="00816A7C"/>
    <w:rsid w:val="00816C51"/>
    <w:rsid w:val="00816E8B"/>
    <w:rsid w:val="0081757C"/>
    <w:rsid w:val="008175F9"/>
    <w:rsid w:val="008177E7"/>
    <w:rsid w:val="0081780F"/>
    <w:rsid w:val="00817920"/>
    <w:rsid w:val="00817937"/>
    <w:rsid w:val="008179B0"/>
    <w:rsid w:val="00817C92"/>
    <w:rsid w:val="00817CF8"/>
    <w:rsid w:val="00820326"/>
    <w:rsid w:val="00820428"/>
    <w:rsid w:val="008206C4"/>
    <w:rsid w:val="0082073E"/>
    <w:rsid w:val="0082097E"/>
    <w:rsid w:val="00820C3E"/>
    <w:rsid w:val="00820C66"/>
    <w:rsid w:val="00820C71"/>
    <w:rsid w:val="00820D8B"/>
    <w:rsid w:val="00820DF1"/>
    <w:rsid w:val="00820E0D"/>
    <w:rsid w:val="008210DB"/>
    <w:rsid w:val="0082153C"/>
    <w:rsid w:val="00821949"/>
    <w:rsid w:val="008219DB"/>
    <w:rsid w:val="00821B2B"/>
    <w:rsid w:val="00821BD3"/>
    <w:rsid w:val="00821C9F"/>
    <w:rsid w:val="00821F4A"/>
    <w:rsid w:val="00822108"/>
    <w:rsid w:val="0082221E"/>
    <w:rsid w:val="00822228"/>
    <w:rsid w:val="008225FF"/>
    <w:rsid w:val="0082271E"/>
    <w:rsid w:val="008229EE"/>
    <w:rsid w:val="00822BE7"/>
    <w:rsid w:val="00822D2B"/>
    <w:rsid w:val="008231B0"/>
    <w:rsid w:val="0082332C"/>
    <w:rsid w:val="00823350"/>
    <w:rsid w:val="00823569"/>
    <w:rsid w:val="008235AF"/>
    <w:rsid w:val="008236A7"/>
    <w:rsid w:val="008236EE"/>
    <w:rsid w:val="008238AB"/>
    <w:rsid w:val="00823923"/>
    <w:rsid w:val="00823B12"/>
    <w:rsid w:val="00823B8A"/>
    <w:rsid w:val="00823C3E"/>
    <w:rsid w:val="00823D55"/>
    <w:rsid w:val="00823FF9"/>
    <w:rsid w:val="0082404F"/>
    <w:rsid w:val="00824357"/>
    <w:rsid w:val="00824649"/>
    <w:rsid w:val="008247D9"/>
    <w:rsid w:val="00824984"/>
    <w:rsid w:val="00824A6C"/>
    <w:rsid w:val="00824B7C"/>
    <w:rsid w:val="00824CE7"/>
    <w:rsid w:val="00824D6C"/>
    <w:rsid w:val="00824F77"/>
    <w:rsid w:val="0082544D"/>
    <w:rsid w:val="008256B4"/>
    <w:rsid w:val="00825A93"/>
    <w:rsid w:val="00825CF3"/>
    <w:rsid w:val="00826194"/>
    <w:rsid w:val="008262DA"/>
    <w:rsid w:val="00826444"/>
    <w:rsid w:val="00826475"/>
    <w:rsid w:val="0082650F"/>
    <w:rsid w:val="008269F8"/>
    <w:rsid w:val="00826AE1"/>
    <w:rsid w:val="00826BC8"/>
    <w:rsid w:val="00826C10"/>
    <w:rsid w:val="00826E96"/>
    <w:rsid w:val="00826F86"/>
    <w:rsid w:val="00826FA0"/>
    <w:rsid w:val="0082735B"/>
    <w:rsid w:val="008273B8"/>
    <w:rsid w:val="0082747A"/>
    <w:rsid w:val="008275E9"/>
    <w:rsid w:val="00827634"/>
    <w:rsid w:val="008278E5"/>
    <w:rsid w:val="00827ABE"/>
    <w:rsid w:val="00827F28"/>
    <w:rsid w:val="0082A474"/>
    <w:rsid w:val="0083033A"/>
    <w:rsid w:val="00830615"/>
    <w:rsid w:val="00830778"/>
    <w:rsid w:val="008307F0"/>
    <w:rsid w:val="008308B3"/>
    <w:rsid w:val="00831102"/>
    <w:rsid w:val="0083118D"/>
    <w:rsid w:val="00831305"/>
    <w:rsid w:val="0083146A"/>
    <w:rsid w:val="008317B9"/>
    <w:rsid w:val="00831AC6"/>
    <w:rsid w:val="00831B7A"/>
    <w:rsid w:val="00831CDA"/>
    <w:rsid w:val="00831DB4"/>
    <w:rsid w:val="00831EEA"/>
    <w:rsid w:val="00832182"/>
    <w:rsid w:val="008323CC"/>
    <w:rsid w:val="0083287A"/>
    <w:rsid w:val="00832886"/>
    <w:rsid w:val="00832D58"/>
    <w:rsid w:val="00832EFD"/>
    <w:rsid w:val="008330D9"/>
    <w:rsid w:val="00833147"/>
    <w:rsid w:val="0083338C"/>
    <w:rsid w:val="00833487"/>
    <w:rsid w:val="00833751"/>
    <w:rsid w:val="008338EC"/>
    <w:rsid w:val="00833D95"/>
    <w:rsid w:val="00833E2C"/>
    <w:rsid w:val="0083492D"/>
    <w:rsid w:val="00834D21"/>
    <w:rsid w:val="00834F0A"/>
    <w:rsid w:val="00835488"/>
    <w:rsid w:val="008356D6"/>
    <w:rsid w:val="008358BE"/>
    <w:rsid w:val="0083598F"/>
    <w:rsid w:val="00835C7B"/>
    <w:rsid w:val="00835D60"/>
    <w:rsid w:val="00835E06"/>
    <w:rsid w:val="00835E40"/>
    <w:rsid w:val="00835F8E"/>
    <w:rsid w:val="00835FF2"/>
    <w:rsid w:val="00836061"/>
    <w:rsid w:val="008361D7"/>
    <w:rsid w:val="008361F9"/>
    <w:rsid w:val="00836A79"/>
    <w:rsid w:val="00836CBB"/>
    <w:rsid w:val="00836D62"/>
    <w:rsid w:val="00836E3C"/>
    <w:rsid w:val="00836EEC"/>
    <w:rsid w:val="00837077"/>
    <w:rsid w:val="008370E2"/>
    <w:rsid w:val="008370FD"/>
    <w:rsid w:val="008374DB"/>
    <w:rsid w:val="00837667"/>
    <w:rsid w:val="0083773E"/>
    <w:rsid w:val="0083777C"/>
    <w:rsid w:val="0083790D"/>
    <w:rsid w:val="00837AEB"/>
    <w:rsid w:val="00837F69"/>
    <w:rsid w:val="0083D06C"/>
    <w:rsid w:val="0083F663"/>
    <w:rsid w:val="00840099"/>
    <w:rsid w:val="00840257"/>
    <w:rsid w:val="008404B3"/>
    <w:rsid w:val="0084061C"/>
    <w:rsid w:val="0084094A"/>
    <w:rsid w:val="00840CF0"/>
    <w:rsid w:val="00840D54"/>
    <w:rsid w:val="00840E5F"/>
    <w:rsid w:val="00841136"/>
    <w:rsid w:val="0084156B"/>
    <w:rsid w:val="00841753"/>
    <w:rsid w:val="008418A9"/>
    <w:rsid w:val="00841D98"/>
    <w:rsid w:val="00841DE9"/>
    <w:rsid w:val="008422FD"/>
    <w:rsid w:val="008425AA"/>
    <w:rsid w:val="00842DBF"/>
    <w:rsid w:val="00842EAA"/>
    <w:rsid w:val="00843274"/>
    <w:rsid w:val="008433CD"/>
    <w:rsid w:val="008434F3"/>
    <w:rsid w:val="0084362F"/>
    <w:rsid w:val="0084365C"/>
    <w:rsid w:val="0084373A"/>
    <w:rsid w:val="00843776"/>
    <w:rsid w:val="0084388E"/>
    <w:rsid w:val="008438B6"/>
    <w:rsid w:val="008439E4"/>
    <w:rsid w:val="00843CAE"/>
    <w:rsid w:val="00843D66"/>
    <w:rsid w:val="00843D9E"/>
    <w:rsid w:val="00843EE8"/>
    <w:rsid w:val="00844154"/>
    <w:rsid w:val="008441C7"/>
    <w:rsid w:val="008441D4"/>
    <w:rsid w:val="00844323"/>
    <w:rsid w:val="00844382"/>
    <w:rsid w:val="008445D9"/>
    <w:rsid w:val="008445FD"/>
    <w:rsid w:val="0084467F"/>
    <w:rsid w:val="008448B3"/>
    <w:rsid w:val="008449A4"/>
    <w:rsid w:val="00844AF5"/>
    <w:rsid w:val="00844CD2"/>
    <w:rsid w:val="00844F32"/>
    <w:rsid w:val="00845054"/>
    <w:rsid w:val="0084564A"/>
    <w:rsid w:val="0084587C"/>
    <w:rsid w:val="00845AC8"/>
    <w:rsid w:val="00845AE0"/>
    <w:rsid w:val="00845B7D"/>
    <w:rsid w:val="00845CE1"/>
    <w:rsid w:val="00845E61"/>
    <w:rsid w:val="00845EDF"/>
    <w:rsid w:val="0084679E"/>
    <w:rsid w:val="00846856"/>
    <w:rsid w:val="00846C76"/>
    <w:rsid w:val="00847009"/>
    <w:rsid w:val="008470DE"/>
    <w:rsid w:val="0084719D"/>
    <w:rsid w:val="00847343"/>
    <w:rsid w:val="008475FC"/>
    <w:rsid w:val="00847670"/>
    <w:rsid w:val="00847695"/>
    <w:rsid w:val="00847901"/>
    <w:rsid w:val="00847C09"/>
    <w:rsid w:val="00847C4A"/>
    <w:rsid w:val="00847D43"/>
    <w:rsid w:val="008500C7"/>
    <w:rsid w:val="00850325"/>
    <w:rsid w:val="0085034A"/>
    <w:rsid w:val="0085041C"/>
    <w:rsid w:val="008508C9"/>
    <w:rsid w:val="00850E2D"/>
    <w:rsid w:val="00851259"/>
    <w:rsid w:val="008513DC"/>
    <w:rsid w:val="00851537"/>
    <w:rsid w:val="00851543"/>
    <w:rsid w:val="008515E0"/>
    <w:rsid w:val="00851795"/>
    <w:rsid w:val="0085194E"/>
    <w:rsid w:val="008519C9"/>
    <w:rsid w:val="00851C60"/>
    <w:rsid w:val="00851E0B"/>
    <w:rsid w:val="0085203E"/>
    <w:rsid w:val="0085234A"/>
    <w:rsid w:val="00852A68"/>
    <w:rsid w:val="00852D30"/>
    <w:rsid w:val="00852E73"/>
    <w:rsid w:val="00852F04"/>
    <w:rsid w:val="00852F52"/>
    <w:rsid w:val="00852FA0"/>
    <w:rsid w:val="008530E8"/>
    <w:rsid w:val="0085312B"/>
    <w:rsid w:val="0085320D"/>
    <w:rsid w:val="0085328A"/>
    <w:rsid w:val="008532DD"/>
    <w:rsid w:val="00853369"/>
    <w:rsid w:val="008534CA"/>
    <w:rsid w:val="0085351E"/>
    <w:rsid w:val="00853A64"/>
    <w:rsid w:val="00853A8C"/>
    <w:rsid w:val="00853B4A"/>
    <w:rsid w:val="00853DD8"/>
    <w:rsid w:val="0085407A"/>
    <w:rsid w:val="00854140"/>
    <w:rsid w:val="00854176"/>
    <w:rsid w:val="0085426A"/>
    <w:rsid w:val="00854518"/>
    <w:rsid w:val="008545B4"/>
    <w:rsid w:val="008547CB"/>
    <w:rsid w:val="00854977"/>
    <w:rsid w:val="00854ACA"/>
    <w:rsid w:val="00854ACE"/>
    <w:rsid w:val="00854E7E"/>
    <w:rsid w:val="00854F3D"/>
    <w:rsid w:val="00854FBF"/>
    <w:rsid w:val="00854FF2"/>
    <w:rsid w:val="00855021"/>
    <w:rsid w:val="008550B0"/>
    <w:rsid w:val="00855119"/>
    <w:rsid w:val="00855146"/>
    <w:rsid w:val="00855213"/>
    <w:rsid w:val="008553CD"/>
    <w:rsid w:val="00855494"/>
    <w:rsid w:val="00855617"/>
    <w:rsid w:val="008557A0"/>
    <w:rsid w:val="0085582B"/>
    <w:rsid w:val="00855C45"/>
    <w:rsid w:val="00855C69"/>
    <w:rsid w:val="00855CC2"/>
    <w:rsid w:val="00855E52"/>
    <w:rsid w:val="00855EE7"/>
    <w:rsid w:val="008560AD"/>
    <w:rsid w:val="00856680"/>
    <w:rsid w:val="008568CD"/>
    <w:rsid w:val="00856906"/>
    <w:rsid w:val="00856AEA"/>
    <w:rsid w:val="00856EED"/>
    <w:rsid w:val="0085727C"/>
    <w:rsid w:val="008572F7"/>
    <w:rsid w:val="008575CE"/>
    <w:rsid w:val="0085785A"/>
    <w:rsid w:val="00857AFF"/>
    <w:rsid w:val="00857C90"/>
    <w:rsid w:val="00857CAA"/>
    <w:rsid w:val="00857D72"/>
    <w:rsid w:val="0086014E"/>
    <w:rsid w:val="008603CD"/>
    <w:rsid w:val="0086041D"/>
    <w:rsid w:val="0086047F"/>
    <w:rsid w:val="008607CA"/>
    <w:rsid w:val="00860A4F"/>
    <w:rsid w:val="00860B07"/>
    <w:rsid w:val="00860C71"/>
    <w:rsid w:val="00860F13"/>
    <w:rsid w:val="008611B6"/>
    <w:rsid w:val="008611DE"/>
    <w:rsid w:val="0086123D"/>
    <w:rsid w:val="00861A41"/>
    <w:rsid w:val="00861A86"/>
    <w:rsid w:val="00861B46"/>
    <w:rsid w:val="00861C17"/>
    <w:rsid w:val="00861F1F"/>
    <w:rsid w:val="00861F85"/>
    <w:rsid w:val="008620EE"/>
    <w:rsid w:val="008622B4"/>
    <w:rsid w:val="00862510"/>
    <w:rsid w:val="00862653"/>
    <w:rsid w:val="0086288D"/>
    <w:rsid w:val="0086294A"/>
    <w:rsid w:val="00862C0A"/>
    <w:rsid w:val="00862E95"/>
    <w:rsid w:val="008632B1"/>
    <w:rsid w:val="0086334C"/>
    <w:rsid w:val="00863653"/>
    <w:rsid w:val="0086383B"/>
    <w:rsid w:val="0086397F"/>
    <w:rsid w:val="00863D7A"/>
    <w:rsid w:val="00864215"/>
    <w:rsid w:val="008645BC"/>
    <w:rsid w:val="008648F0"/>
    <w:rsid w:val="00864A86"/>
    <w:rsid w:val="00864AA3"/>
    <w:rsid w:val="0086506A"/>
    <w:rsid w:val="00865457"/>
    <w:rsid w:val="008657B1"/>
    <w:rsid w:val="00865861"/>
    <w:rsid w:val="00865C48"/>
    <w:rsid w:val="00865CC6"/>
    <w:rsid w:val="00865DFF"/>
    <w:rsid w:val="00865F5C"/>
    <w:rsid w:val="0086600B"/>
    <w:rsid w:val="008660A7"/>
    <w:rsid w:val="008660E2"/>
    <w:rsid w:val="0086618F"/>
    <w:rsid w:val="0086627D"/>
    <w:rsid w:val="00866310"/>
    <w:rsid w:val="008663DB"/>
    <w:rsid w:val="00866646"/>
    <w:rsid w:val="00866A1A"/>
    <w:rsid w:val="00866BAE"/>
    <w:rsid w:val="00866BD8"/>
    <w:rsid w:val="00866D21"/>
    <w:rsid w:val="00866D48"/>
    <w:rsid w:val="0086733C"/>
    <w:rsid w:val="00867427"/>
    <w:rsid w:val="00867457"/>
    <w:rsid w:val="00867790"/>
    <w:rsid w:val="0086786F"/>
    <w:rsid w:val="0086788B"/>
    <w:rsid w:val="008678D6"/>
    <w:rsid w:val="008678F7"/>
    <w:rsid w:val="00867A4E"/>
    <w:rsid w:val="00867D0D"/>
    <w:rsid w:val="00867D1C"/>
    <w:rsid w:val="00867DAF"/>
    <w:rsid w:val="00867E8E"/>
    <w:rsid w:val="00867E94"/>
    <w:rsid w:val="00867F7C"/>
    <w:rsid w:val="00869B90"/>
    <w:rsid w:val="0086F567"/>
    <w:rsid w:val="008700F0"/>
    <w:rsid w:val="008703AF"/>
    <w:rsid w:val="0087081B"/>
    <w:rsid w:val="00870883"/>
    <w:rsid w:val="008708A7"/>
    <w:rsid w:val="008709C5"/>
    <w:rsid w:val="00870B5C"/>
    <w:rsid w:val="00870B82"/>
    <w:rsid w:val="008710BA"/>
    <w:rsid w:val="0087117E"/>
    <w:rsid w:val="00871208"/>
    <w:rsid w:val="00871296"/>
    <w:rsid w:val="008712B9"/>
    <w:rsid w:val="0087135A"/>
    <w:rsid w:val="00871362"/>
    <w:rsid w:val="0087178B"/>
    <w:rsid w:val="0087182C"/>
    <w:rsid w:val="00871845"/>
    <w:rsid w:val="00871972"/>
    <w:rsid w:val="00871A21"/>
    <w:rsid w:val="00871BE0"/>
    <w:rsid w:val="00871DAC"/>
    <w:rsid w:val="00871F35"/>
    <w:rsid w:val="00871FD4"/>
    <w:rsid w:val="00872065"/>
    <w:rsid w:val="008721FF"/>
    <w:rsid w:val="00872374"/>
    <w:rsid w:val="008727E8"/>
    <w:rsid w:val="00872981"/>
    <w:rsid w:val="008729D6"/>
    <w:rsid w:val="00872ABE"/>
    <w:rsid w:val="00872F36"/>
    <w:rsid w:val="00873122"/>
    <w:rsid w:val="008733B6"/>
    <w:rsid w:val="008733E7"/>
    <w:rsid w:val="0087363B"/>
    <w:rsid w:val="00873660"/>
    <w:rsid w:val="008738A2"/>
    <w:rsid w:val="00873903"/>
    <w:rsid w:val="00873B53"/>
    <w:rsid w:val="00873BE7"/>
    <w:rsid w:val="008740FC"/>
    <w:rsid w:val="00874173"/>
    <w:rsid w:val="00874297"/>
    <w:rsid w:val="008742E4"/>
    <w:rsid w:val="0087439E"/>
    <w:rsid w:val="00874413"/>
    <w:rsid w:val="008746F6"/>
    <w:rsid w:val="00874794"/>
    <w:rsid w:val="00874863"/>
    <w:rsid w:val="00874934"/>
    <w:rsid w:val="00874F0A"/>
    <w:rsid w:val="0087529F"/>
    <w:rsid w:val="0087531D"/>
    <w:rsid w:val="00875378"/>
    <w:rsid w:val="008753E1"/>
    <w:rsid w:val="008754BA"/>
    <w:rsid w:val="00875630"/>
    <w:rsid w:val="00875646"/>
    <w:rsid w:val="008756F8"/>
    <w:rsid w:val="00875834"/>
    <w:rsid w:val="008759F4"/>
    <w:rsid w:val="00875CB4"/>
    <w:rsid w:val="00875D53"/>
    <w:rsid w:val="00875D6F"/>
    <w:rsid w:val="00875E91"/>
    <w:rsid w:val="0087644A"/>
    <w:rsid w:val="0087678B"/>
    <w:rsid w:val="0087695A"/>
    <w:rsid w:val="00876968"/>
    <w:rsid w:val="00876B14"/>
    <w:rsid w:val="00876B4E"/>
    <w:rsid w:val="00876C67"/>
    <w:rsid w:val="00876F77"/>
    <w:rsid w:val="00877123"/>
    <w:rsid w:val="008773C8"/>
    <w:rsid w:val="0087751C"/>
    <w:rsid w:val="00877675"/>
    <w:rsid w:val="0087789F"/>
    <w:rsid w:val="00880158"/>
    <w:rsid w:val="008804D4"/>
    <w:rsid w:val="0088050B"/>
    <w:rsid w:val="00880B3A"/>
    <w:rsid w:val="00880F2C"/>
    <w:rsid w:val="0088101F"/>
    <w:rsid w:val="0088126E"/>
    <w:rsid w:val="008814AA"/>
    <w:rsid w:val="00881690"/>
    <w:rsid w:val="008817CB"/>
    <w:rsid w:val="00881864"/>
    <w:rsid w:val="00881A21"/>
    <w:rsid w:val="00881C04"/>
    <w:rsid w:val="00881CCB"/>
    <w:rsid w:val="00881D8F"/>
    <w:rsid w:val="00881EBC"/>
    <w:rsid w:val="00881F58"/>
    <w:rsid w:val="00882100"/>
    <w:rsid w:val="00882188"/>
    <w:rsid w:val="0088222B"/>
    <w:rsid w:val="00882512"/>
    <w:rsid w:val="00882589"/>
    <w:rsid w:val="008825B5"/>
    <w:rsid w:val="008829AD"/>
    <w:rsid w:val="00882C6E"/>
    <w:rsid w:val="00882CC0"/>
    <w:rsid w:val="00882DC1"/>
    <w:rsid w:val="00882ED4"/>
    <w:rsid w:val="00883004"/>
    <w:rsid w:val="0088312B"/>
    <w:rsid w:val="00883320"/>
    <w:rsid w:val="008834A8"/>
    <w:rsid w:val="008834E3"/>
    <w:rsid w:val="008835DB"/>
    <w:rsid w:val="00883987"/>
    <w:rsid w:val="00883C84"/>
    <w:rsid w:val="00883CE2"/>
    <w:rsid w:val="00883F21"/>
    <w:rsid w:val="00884015"/>
    <w:rsid w:val="0088405B"/>
    <w:rsid w:val="008840F7"/>
    <w:rsid w:val="008841DF"/>
    <w:rsid w:val="008843DB"/>
    <w:rsid w:val="00884A42"/>
    <w:rsid w:val="00884A7F"/>
    <w:rsid w:val="00884F54"/>
    <w:rsid w:val="008850E4"/>
    <w:rsid w:val="00885272"/>
    <w:rsid w:val="008852EC"/>
    <w:rsid w:val="008852F1"/>
    <w:rsid w:val="008855B4"/>
    <w:rsid w:val="00885648"/>
    <w:rsid w:val="008856A3"/>
    <w:rsid w:val="008856E8"/>
    <w:rsid w:val="008857B1"/>
    <w:rsid w:val="0088590C"/>
    <w:rsid w:val="00886021"/>
    <w:rsid w:val="008862E8"/>
    <w:rsid w:val="0088648D"/>
    <w:rsid w:val="008864EC"/>
    <w:rsid w:val="00886BA0"/>
    <w:rsid w:val="00886EFC"/>
    <w:rsid w:val="00887137"/>
    <w:rsid w:val="00887319"/>
    <w:rsid w:val="0088741A"/>
    <w:rsid w:val="00887473"/>
    <w:rsid w:val="00887606"/>
    <w:rsid w:val="0088795B"/>
    <w:rsid w:val="00887EBC"/>
    <w:rsid w:val="0088F49B"/>
    <w:rsid w:val="00890003"/>
    <w:rsid w:val="008900C6"/>
    <w:rsid w:val="0089031A"/>
    <w:rsid w:val="008906C2"/>
    <w:rsid w:val="00890E47"/>
    <w:rsid w:val="00890E82"/>
    <w:rsid w:val="008910BE"/>
    <w:rsid w:val="00891122"/>
    <w:rsid w:val="00891158"/>
    <w:rsid w:val="008911D0"/>
    <w:rsid w:val="008913FC"/>
    <w:rsid w:val="0089147F"/>
    <w:rsid w:val="00891508"/>
    <w:rsid w:val="00891563"/>
    <w:rsid w:val="00891607"/>
    <w:rsid w:val="008917B9"/>
    <w:rsid w:val="00891B52"/>
    <w:rsid w:val="00891F56"/>
    <w:rsid w:val="00892043"/>
    <w:rsid w:val="008922FB"/>
    <w:rsid w:val="00892A3F"/>
    <w:rsid w:val="00892A70"/>
    <w:rsid w:val="00892ABD"/>
    <w:rsid w:val="00892B0B"/>
    <w:rsid w:val="00892CAD"/>
    <w:rsid w:val="00892CBB"/>
    <w:rsid w:val="00892F74"/>
    <w:rsid w:val="00893016"/>
    <w:rsid w:val="008931D6"/>
    <w:rsid w:val="008932BA"/>
    <w:rsid w:val="00893312"/>
    <w:rsid w:val="008935AF"/>
    <w:rsid w:val="0089372B"/>
    <w:rsid w:val="00893815"/>
    <w:rsid w:val="00893C31"/>
    <w:rsid w:val="00893DEC"/>
    <w:rsid w:val="0089421A"/>
    <w:rsid w:val="008943D4"/>
    <w:rsid w:val="0089443C"/>
    <w:rsid w:val="00894653"/>
    <w:rsid w:val="00894736"/>
    <w:rsid w:val="008948F9"/>
    <w:rsid w:val="00894973"/>
    <w:rsid w:val="00894F6B"/>
    <w:rsid w:val="0089503F"/>
    <w:rsid w:val="00895168"/>
    <w:rsid w:val="0089550B"/>
    <w:rsid w:val="00895695"/>
    <w:rsid w:val="00895817"/>
    <w:rsid w:val="008958E7"/>
    <w:rsid w:val="0089623C"/>
    <w:rsid w:val="008962AE"/>
    <w:rsid w:val="00896504"/>
    <w:rsid w:val="00896520"/>
    <w:rsid w:val="00896602"/>
    <w:rsid w:val="008968DC"/>
    <w:rsid w:val="00896925"/>
    <w:rsid w:val="00896DF2"/>
    <w:rsid w:val="008973E1"/>
    <w:rsid w:val="00897451"/>
    <w:rsid w:val="00897515"/>
    <w:rsid w:val="00897560"/>
    <w:rsid w:val="008975C8"/>
    <w:rsid w:val="00897886"/>
    <w:rsid w:val="008979D6"/>
    <w:rsid w:val="00897DB2"/>
    <w:rsid w:val="00897F7D"/>
    <w:rsid w:val="008A016A"/>
    <w:rsid w:val="008A05AB"/>
    <w:rsid w:val="008A07A3"/>
    <w:rsid w:val="008A08E0"/>
    <w:rsid w:val="008A08F6"/>
    <w:rsid w:val="008A09F3"/>
    <w:rsid w:val="008A0A2A"/>
    <w:rsid w:val="008A0C08"/>
    <w:rsid w:val="008A0D81"/>
    <w:rsid w:val="008A0E05"/>
    <w:rsid w:val="008A0F58"/>
    <w:rsid w:val="008A0FDA"/>
    <w:rsid w:val="008A101C"/>
    <w:rsid w:val="008A13F1"/>
    <w:rsid w:val="008A13F2"/>
    <w:rsid w:val="008A16D8"/>
    <w:rsid w:val="008A1BC0"/>
    <w:rsid w:val="008A1E67"/>
    <w:rsid w:val="008A20C8"/>
    <w:rsid w:val="008A2142"/>
    <w:rsid w:val="008A22A3"/>
    <w:rsid w:val="008A2365"/>
    <w:rsid w:val="008A25D0"/>
    <w:rsid w:val="008A2A23"/>
    <w:rsid w:val="008A2E3E"/>
    <w:rsid w:val="008A2F87"/>
    <w:rsid w:val="008A30F5"/>
    <w:rsid w:val="008A336C"/>
    <w:rsid w:val="008A39B0"/>
    <w:rsid w:val="008A3AE7"/>
    <w:rsid w:val="008A4044"/>
    <w:rsid w:val="008A4253"/>
    <w:rsid w:val="008A42FD"/>
    <w:rsid w:val="008A4436"/>
    <w:rsid w:val="008A4599"/>
    <w:rsid w:val="008A47CE"/>
    <w:rsid w:val="008A47E5"/>
    <w:rsid w:val="008A47FD"/>
    <w:rsid w:val="008A48CE"/>
    <w:rsid w:val="008A49AE"/>
    <w:rsid w:val="008A4CEF"/>
    <w:rsid w:val="008A5135"/>
    <w:rsid w:val="008A5382"/>
    <w:rsid w:val="008A54F5"/>
    <w:rsid w:val="008A552A"/>
    <w:rsid w:val="008A5593"/>
    <w:rsid w:val="008A55FF"/>
    <w:rsid w:val="008A5679"/>
    <w:rsid w:val="008A587C"/>
    <w:rsid w:val="008A58FB"/>
    <w:rsid w:val="008A5960"/>
    <w:rsid w:val="008A5A9B"/>
    <w:rsid w:val="008A5B11"/>
    <w:rsid w:val="008A5F75"/>
    <w:rsid w:val="008A60BB"/>
    <w:rsid w:val="008A62D6"/>
    <w:rsid w:val="008A63D5"/>
    <w:rsid w:val="008A6760"/>
    <w:rsid w:val="008A68AC"/>
    <w:rsid w:val="008A6979"/>
    <w:rsid w:val="008A6B46"/>
    <w:rsid w:val="008A6C0E"/>
    <w:rsid w:val="008A6DF7"/>
    <w:rsid w:val="008A701E"/>
    <w:rsid w:val="008A72AA"/>
    <w:rsid w:val="008A7B4E"/>
    <w:rsid w:val="008A7C85"/>
    <w:rsid w:val="008A7D68"/>
    <w:rsid w:val="008A7EB1"/>
    <w:rsid w:val="008B0268"/>
    <w:rsid w:val="008B031C"/>
    <w:rsid w:val="008B034E"/>
    <w:rsid w:val="008B0385"/>
    <w:rsid w:val="008B03C9"/>
    <w:rsid w:val="008B041C"/>
    <w:rsid w:val="008B04A8"/>
    <w:rsid w:val="008B0754"/>
    <w:rsid w:val="008B07BD"/>
    <w:rsid w:val="008B0840"/>
    <w:rsid w:val="008B08D2"/>
    <w:rsid w:val="008B0E50"/>
    <w:rsid w:val="008B1394"/>
    <w:rsid w:val="008B1516"/>
    <w:rsid w:val="008B15AD"/>
    <w:rsid w:val="008B16CB"/>
    <w:rsid w:val="008B1784"/>
    <w:rsid w:val="008B17DC"/>
    <w:rsid w:val="008B199B"/>
    <w:rsid w:val="008B19B0"/>
    <w:rsid w:val="008B1BA0"/>
    <w:rsid w:val="008B1CF3"/>
    <w:rsid w:val="008B1EA0"/>
    <w:rsid w:val="008B1EDC"/>
    <w:rsid w:val="008B1F23"/>
    <w:rsid w:val="008B201C"/>
    <w:rsid w:val="008B234E"/>
    <w:rsid w:val="008B2690"/>
    <w:rsid w:val="008B2868"/>
    <w:rsid w:val="008B2B1A"/>
    <w:rsid w:val="008B2CA4"/>
    <w:rsid w:val="008B3093"/>
    <w:rsid w:val="008B30BB"/>
    <w:rsid w:val="008B328D"/>
    <w:rsid w:val="008B32C5"/>
    <w:rsid w:val="008B3611"/>
    <w:rsid w:val="008B39F4"/>
    <w:rsid w:val="008B3C4E"/>
    <w:rsid w:val="008B3D69"/>
    <w:rsid w:val="008B44CB"/>
    <w:rsid w:val="008B4693"/>
    <w:rsid w:val="008B47E5"/>
    <w:rsid w:val="008B4AFA"/>
    <w:rsid w:val="008B4C17"/>
    <w:rsid w:val="008B4DE5"/>
    <w:rsid w:val="008B4E53"/>
    <w:rsid w:val="008B4E7C"/>
    <w:rsid w:val="008B4EF9"/>
    <w:rsid w:val="008B4F90"/>
    <w:rsid w:val="008B5006"/>
    <w:rsid w:val="008B53F7"/>
    <w:rsid w:val="008B53FE"/>
    <w:rsid w:val="008B54B2"/>
    <w:rsid w:val="008B5795"/>
    <w:rsid w:val="008B5C9A"/>
    <w:rsid w:val="008B5D6A"/>
    <w:rsid w:val="008B605A"/>
    <w:rsid w:val="008B6455"/>
    <w:rsid w:val="008B6642"/>
    <w:rsid w:val="008B664E"/>
    <w:rsid w:val="008B6710"/>
    <w:rsid w:val="008B6861"/>
    <w:rsid w:val="008B69C6"/>
    <w:rsid w:val="008B6A42"/>
    <w:rsid w:val="008B6AE0"/>
    <w:rsid w:val="008B6B21"/>
    <w:rsid w:val="008B6C80"/>
    <w:rsid w:val="008B6D62"/>
    <w:rsid w:val="008B7012"/>
    <w:rsid w:val="008B7649"/>
    <w:rsid w:val="008B7797"/>
    <w:rsid w:val="008B7C6B"/>
    <w:rsid w:val="008B7D9E"/>
    <w:rsid w:val="008C0030"/>
    <w:rsid w:val="008C01E6"/>
    <w:rsid w:val="008C021C"/>
    <w:rsid w:val="008C0474"/>
    <w:rsid w:val="008C0580"/>
    <w:rsid w:val="008C0747"/>
    <w:rsid w:val="008C0809"/>
    <w:rsid w:val="008C0888"/>
    <w:rsid w:val="008C0898"/>
    <w:rsid w:val="008C0AB0"/>
    <w:rsid w:val="008C1178"/>
    <w:rsid w:val="008C132B"/>
    <w:rsid w:val="008C1363"/>
    <w:rsid w:val="008C1374"/>
    <w:rsid w:val="008C139F"/>
    <w:rsid w:val="008C1677"/>
    <w:rsid w:val="008C1685"/>
    <w:rsid w:val="008C1697"/>
    <w:rsid w:val="008C1A25"/>
    <w:rsid w:val="008C1AE4"/>
    <w:rsid w:val="008C1D7F"/>
    <w:rsid w:val="008C1F6C"/>
    <w:rsid w:val="008C2097"/>
    <w:rsid w:val="008C2169"/>
    <w:rsid w:val="008C237C"/>
    <w:rsid w:val="008C2C80"/>
    <w:rsid w:val="008C2CCA"/>
    <w:rsid w:val="008C2D6B"/>
    <w:rsid w:val="008C2D6E"/>
    <w:rsid w:val="008C3176"/>
    <w:rsid w:val="008C3218"/>
    <w:rsid w:val="008C33B6"/>
    <w:rsid w:val="008C3482"/>
    <w:rsid w:val="008C34C3"/>
    <w:rsid w:val="008C34EE"/>
    <w:rsid w:val="008C3D99"/>
    <w:rsid w:val="008C3DF2"/>
    <w:rsid w:val="008C3E72"/>
    <w:rsid w:val="008C41C5"/>
    <w:rsid w:val="008C43A2"/>
    <w:rsid w:val="008C465C"/>
    <w:rsid w:val="008C4765"/>
    <w:rsid w:val="008C4C9C"/>
    <w:rsid w:val="008C4CF1"/>
    <w:rsid w:val="008C4D15"/>
    <w:rsid w:val="008C4D64"/>
    <w:rsid w:val="008C4E64"/>
    <w:rsid w:val="008C505C"/>
    <w:rsid w:val="008C50E5"/>
    <w:rsid w:val="008C5470"/>
    <w:rsid w:val="008C5589"/>
    <w:rsid w:val="008C5A2A"/>
    <w:rsid w:val="008C5BE4"/>
    <w:rsid w:val="008C5D8D"/>
    <w:rsid w:val="008C605A"/>
    <w:rsid w:val="008C62ED"/>
    <w:rsid w:val="008C63CC"/>
    <w:rsid w:val="008C6413"/>
    <w:rsid w:val="008C680F"/>
    <w:rsid w:val="008C6910"/>
    <w:rsid w:val="008C6B6A"/>
    <w:rsid w:val="008C6D2E"/>
    <w:rsid w:val="008C6DA9"/>
    <w:rsid w:val="008C7104"/>
    <w:rsid w:val="008C7251"/>
    <w:rsid w:val="008C7282"/>
    <w:rsid w:val="008C7462"/>
    <w:rsid w:val="008C74BD"/>
    <w:rsid w:val="008C74FA"/>
    <w:rsid w:val="008C75D6"/>
    <w:rsid w:val="008C772D"/>
    <w:rsid w:val="008C7738"/>
    <w:rsid w:val="008C7809"/>
    <w:rsid w:val="008C7949"/>
    <w:rsid w:val="008C7B67"/>
    <w:rsid w:val="008C7B74"/>
    <w:rsid w:val="008C7D0A"/>
    <w:rsid w:val="008D092E"/>
    <w:rsid w:val="008D0C84"/>
    <w:rsid w:val="008D1250"/>
    <w:rsid w:val="008D145F"/>
    <w:rsid w:val="008D17E0"/>
    <w:rsid w:val="008D1915"/>
    <w:rsid w:val="008D1CEF"/>
    <w:rsid w:val="008D1F85"/>
    <w:rsid w:val="008D2109"/>
    <w:rsid w:val="008D225C"/>
    <w:rsid w:val="008D24AB"/>
    <w:rsid w:val="008D26A6"/>
    <w:rsid w:val="008D2871"/>
    <w:rsid w:val="008D289E"/>
    <w:rsid w:val="008D2B5A"/>
    <w:rsid w:val="008D306C"/>
    <w:rsid w:val="008D30B7"/>
    <w:rsid w:val="008D3260"/>
    <w:rsid w:val="008D32D2"/>
    <w:rsid w:val="008D3427"/>
    <w:rsid w:val="008D378D"/>
    <w:rsid w:val="008D38B5"/>
    <w:rsid w:val="008D3B8B"/>
    <w:rsid w:val="008D3C4F"/>
    <w:rsid w:val="008D3D5B"/>
    <w:rsid w:val="008D3DDA"/>
    <w:rsid w:val="008D3F22"/>
    <w:rsid w:val="008D416E"/>
    <w:rsid w:val="008D440A"/>
    <w:rsid w:val="008D4471"/>
    <w:rsid w:val="008D46B6"/>
    <w:rsid w:val="008D47A8"/>
    <w:rsid w:val="008D481C"/>
    <w:rsid w:val="008D4D0E"/>
    <w:rsid w:val="008D5016"/>
    <w:rsid w:val="008D50D9"/>
    <w:rsid w:val="008D5199"/>
    <w:rsid w:val="008D52B7"/>
    <w:rsid w:val="008D52C6"/>
    <w:rsid w:val="008D5480"/>
    <w:rsid w:val="008D5489"/>
    <w:rsid w:val="008D54FD"/>
    <w:rsid w:val="008D5738"/>
    <w:rsid w:val="008D58A7"/>
    <w:rsid w:val="008D5D10"/>
    <w:rsid w:val="008D5E2C"/>
    <w:rsid w:val="008D5E53"/>
    <w:rsid w:val="008D5E83"/>
    <w:rsid w:val="008D5F15"/>
    <w:rsid w:val="008D5FE2"/>
    <w:rsid w:val="008D616B"/>
    <w:rsid w:val="008D661C"/>
    <w:rsid w:val="008D6702"/>
    <w:rsid w:val="008D6760"/>
    <w:rsid w:val="008D6DDD"/>
    <w:rsid w:val="008D7339"/>
    <w:rsid w:val="008D73DC"/>
    <w:rsid w:val="008D73FF"/>
    <w:rsid w:val="008D74D8"/>
    <w:rsid w:val="008D79D3"/>
    <w:rsid w:val="008D7B07"/>
    <w:rsid w:val="008D7B94"/>
    <w:rsid w:val="008D7E68"/>
    <w:rsid w:val="008DD602"/>
    <w:rsid w:val="008DD8E0"/>
    <w:rsid w:val="008E06F3"/>
    <w:rsid w:val="008E0780"/>
    <w:rsid w:val="008E07FE"/>
    <w:rsid w:val="008E08C3"/>
    <w:rsid w:val="008E0923"/>
    <w:rsid w:val="008E0947"/>
    <w:rsid w:val="008E09D8"/>
    <w:rsid w:val="008E0BCD"/>
    <w:rsid w:val="008E0EDF"/>
    <w:rsid w:val="008E1175"/>
    <w:rsid w:val="008E133B"/>
    <w:rsid w:val="008E16D5"/>
    <w:rsid w:val="008E1DDC"/>
    <w:rsid w:val="008E1F9D"/>
    <w:rsid w:val="008E212F"/>
    <w:rsid w:val="008E2142"/>
    <w:rsid w:val="008E22DF"/>
    <w:rsid w:val="008E25F9"/>
    <w:rsid w:val="008E2645"/>
    <w:rsid w:val="008E2995"/>
    <w:rsid w:val="008E2C94"/>
    <w:rsid w:val="008E2CF8"/>
    <w:rsid w:val="008E2D41"/>
    <w:rsid w:val="008E2D9A"/>
    <w:rsid w:val="008E2E30"/>
    <w:rsid w:val="008E32EB"/>
    <w:rsid w:val="008E3304"/>
    <w:rsid w:val="008E3451"/>
    <w:rsid w:val="008E36A8"/>
    <w:rsid w:val="008E377D"/>
    <w:rsid w:val="008E3CD5"/>
    <w:rsid w:val="008E3E37"/>
    <w:rsid w:val="008E40E1"/>
    <w:rsid w:val="008E428F"/>
    <w:rsid w:val="008E44D4"/>
    <w:rsid w:val="008E45A5"/>
    <w:rsid w:val="008E4770"/>
    <w:rsid w:val="008E4D84"/>
    <w:rsid w:val="008E4E1A"/>
    <w:rsid w:val="008E5092"/>
    <w:rsid w:val="008E5355"/>
    <w:rsid w:val="008E569D"/>
    <w:rsid w:val="008E56F7"/>
    <w:rsid w:val="008E58D4"/>
    <w:rsid w:val="008E5B3A"/>
    <w:rsid w:val="008E5C71"/>
    <w:rsid w:val="008E5CEC"/>
    <w:rsid w:val="008E61F6"/>
    <w:rsid w:val="008E6377"/>
    <w:rsid w:val="008E690A"/>
    <w:rsid w:val="008E691A"/>
    <w:rsid w:val="008E6A46"/>
    <w:rsid w:val="008E6CA0"/>
    <w:rsid w:val="008E6CC3"/>
    <w:rsid w:val="008E706A"/>
    <w:rsid w:val="008E722B"/>
    <w:rsid w:val="008E73AA"/>
    <w:rsid w:val="008E74D4"/>
    <w:rsid w:val="008E7A96"/>
    <w:rsid w:val="008E7BBE"/>
    <w:rsid w:val="008E7C71"/>
    <w:rsid w:val="008F00E7"/>
    <w:rsid w:val="008F0538"/>
    <w:rsid w:val="008F0662"/>
    <w:rsid w:val="008F0B6F"/>
    <w:rsid w:val="008F0C2B"/>
    <w:rsid w:val="008F0D44"/>
    <w:rsid w:val="008F11C6"/>
    <w:rsid w:val="008F1327"/>
    <w:rsid w:val="008F1556"/>
    <w:rsid w:val="008F169D"/>
    <w:rsid w:val="008F1AAE"/>
    <w:rsid w:val="008F1CC3"/>
    <w:rsid w:val="008F1D2A"/>
    <w:rsid w:val="008F1E37"/>
    <w:rsid w:val="008F1F1F"/>
    <w:rsid w:val="008F1F80"/>
    <w:rsid w:val="008F2296"/>
    <w:rsid w:val="008F24C7"/>
    <w:rsid w:val="008F257D"/>
    <w:rsid w:val="008F259B"/>
    <w:rsid w:val="008F2672"/>
    <w:rsid w:val="008F26A6"/>
    <w:rsid w:val="008F2FAF"/>
    <w:rsid w:val="008F2FE9"/>
    <w:rsid w:val="008F362A"/>
    <w:rsid w:val="008F382C"/>
    <w:rsid w:val="008F3A32"/>
    <w:rsid w:val="008F3A77"/>
    <w:rsid w:val="008F3BDE"/>
    <w:rsid w:val="008F41FF"/>
    <w:rsid w:val="008F4231"/>
    <w:rsid w:val="008F427B"/>
    <w:rsid w:val="008F4303"/>
    <w:rsid w:val="008F4904"/>
    <w:rsid w:val="008F4A5D"/>
    <w:rsid w:val="008F4BAE"/>
    <w:rsid w:val="008F4BE2"/>
    <w:rsid w:val="008F4C1C"/>
    <w:rsid w:val="008F4DE8"/>
    <w:rsid w:val="008F4E7A"/>
    <w:rsid w:val="008F4F49"/>
    <w:rsid w:val="008F5021"/>
    <w:rsid w:val="008F515A"/>
    <w:rsid w:val="008F5234"/>
    <w:rsid w:val="008F5404"/>
    <w:rsid w:val="008F56B4"/>
    <w:rsid w:val="008F5887"/>
    <w:rsid w:val="008F59FB"/>
    <w:rsid w:val="008F5AEF"/>
    <w:rsid w:val="008F5C61"/>
    <w:rsid w:val="008F5D0C"/>
    <w:rsid w:val="008F611D"/>
    <w:rsid w:val="008F632C"/>
    <w:rsid w:val="008F6401"/>
    <w:rsid w:val="008F6675"/>
    <w:rsid w:val="008F6D05"/>
    <w:rsid w:val="008F6E15"/>
    <w:rsid w:val="008F6FA4"/>
    <w:rsid w:val="008F720A"/>
    <w:rsid w:val="008F738D"/>
    <w:rsid w:val="008F73D2"/>
    <w:rsid w:val="008F73D3"/>
    <w:rsid w:val="008F751E"/>
    <w:rsid w:val="008F75C7"/>
    <w:rsid w:val="008F778B"/>
    <w:rsid w:val="008F7BA8"/>
    <w:rsid w:val="008F7CAD"/>
    <w:rsid w:val="008F7EA4"/>
    <w:rsid w:val="008F7F76"/>
    <w:rsid w:val="008F88ED"/>
    <w:rsid w:val="00900052"/>
    <w:rsid w:val="0090017B"/>
    <w:rsid w:val="009002AA"/>
    <w:rsid w:val="009006AB"/>
    <w:rsid w:val="00900714"/>
    <w:rsid w:val="00900C2E"/>
    <w:rsid w:val="00900DD6"/>
    <w:rsid w:val="00900E16"/>
    <w:rsid w:val="00900E77"/>
    <w:rsid w:val="00900FF8"/>
    <w:rsid w:val="00901361"/>
    <w:rsid w:val="009013CE"/>
    <w:rsid w:val="00901900"/>
    <w:rsid w:val="00901915"/>
    <w:rsid w:val="00901B4C"/>
    <w:rsid w:val="00902261"/>
    <w:rsid w:val="009026B9"/>
    <w:rsid w:val="009027FB"/>
    <w:rsid w:val="00902810"/>
    <w:rsid w:val="0090295E"/>
    <w:rsid w:val="00902B8E"/>
    <w:rsid w:val="00902BA3"/>
    <w:rsid w:val="00902C85"/>
    <w:rsid w:val="00902D9F"/>
    <w:rsid w:val="00902DAA"/>
    <w:rsid w:val="00903126"/>
    <w:rsid w:val="009032C7"/>
    <w:rsid w:val="00903314"/>
    <w:rsid w:val="009033A3"/>
    <w:rsid w:val="00903523"/>
    <w:rsid w:val="00903C95"/>
    <w:rsid w:val="0090456E"/>
    <w:rsid w:val="009046CA"/>
    <w:rsid w:val="009046FB"/>
    <w:rsid w:val="009047D6"/>
    <w:rsid w:val="009047FA"/>
    <w:rsid w:val="00904C26"/>
    <w:rsid w:val="00904D78"/>
    <w:rsid w:val="0090501B"/>
    <w:rsid w:val="00905047"/>
    <w:rsid w:val="00905340"/>
    <w:rsid w:val="00905398"/>
    <w:rsid w:val="00905AF3"/>
    <w:rsid w:val="00905C81"/>
    <w:rsid w:val="00905E55"/>
    <w:rsid w:val="0090601D"/>
    <w:rsid w:val="009061D6"/>
    <w:rsid w:val="0090628E"/>
    <w:rsid w:val="009062E6"/>
    <w:rsid w:val="00906688"/>
    <w:rsid w:val="009067D2"/>
    <w:rsid w:val="0090690C"/>
    <w:rsid w:val="009069F8"/>
    <w:rsid w:val="00906C88"/>
    <w:rsid w:val="00906DDB"/>
    <w:rsid w:val="00906EB9"/>
    <w:rsid w:val="00906F33"/>
    <w:rsid w:val="00906F9C"/>
    <w:rsid w:val="00907047"/>
    <w:rsid w:val="00907165"/>
    <w:rsid w:val="0090721D"/>
    <w:rsid w:val="009075A3"/>
    <w:rsid w:val="009076C9"/>
    <w:rsid w:val="00907D55"/>
    <w:rsid w:val="00907F15"/>
    <w:rsid w:val="00907FFE"/>
    <w:rsid w:val="0091011D"/>
    <w:rsid w:val="009103D0"/>
    <w:rsid w:val="0091059B"/>
    <w:rsid w:val="0091076A"/>
    <w:rsid w:val="00910864"/>
    <w:rsid w:val="00910A81"/>
    <w:rsid w:val="00910BBC"/>
    <w:rsid w:val="00910DDA"/>
    <w:rsid w:val="00910FC9"/>
    <w:rsid w:val="00911188"/>
    <w:rsid w:val="0091119A"/>
    <w:rsid w:val="00911465"/>
    <w:rsid w:val="00911E79"/>
    <w:rsid w:val="009123D8"/>
    <w:rsid w:val="009125ED"/>
    <w:rsid w:val="00912688"/>
    <w:rsid w:val="00912A1D"/>
    <w:rsid w:val="00912CEF"/>
    <w:rsid w:val="00912D1A"/>
    <w:rsid w:val="00912F07"/>
    <w:rsid w:val="00912F54"/>
    <w:rsid w:val="0091325B"/>
    <w:rsid w:val="009132BF"/>
    <w:rsid w:val="00913384"/>
    <w:rsid w:val="0091349B"/>
    <w:rsid w:val="00913513"/>
    <w:rsid w:val="00913BA9"/>
    <w:rsid w:val="00913D31"/>
    <w:rsid w:val="00913E92"/>
    <w:rsid w:val="009141F4"/>
    <w:rsid w:val="00914486"/>
    <w:rsid w:val="00914637"/>
    <w:rsid w:val="00914A81"/>
    <w:rsid w:val="00914D5E"/>
    <w:rsid w:val="00915295"/>
    <w:rsid w:val="009154AF"/>
    <w:rsid w:val="0091550C"/>
    <w:rsid w:val="00915858"/>
    <w:rsid w:val="0091585C"/>
    <w:rsid w:val="00915941"/>
    <w:rsid w:val="009159C9"/>
    <w:rsid w:val="00915DC9"/>
    <w:rsid w:val="00915FB4"/>
    <w:rsid w:val="009160EF"/>
    <w:rsid w:val="009160FF"/>
    <w:rsid w:val="0091617C"/>
    <w:rsid w:val="0091625A"/>
    <w:rsid w:val="009163C7"/>
    <w:rsid w:val="0091673D"/>
    <w:rsid w:val="0091677F"/>
    <w:rsid w:val="00916A8B"/>
    <w:rsid w:val="00916B77"/>
    <w:rsid w:val="00916BAA"/>
    <w:rsid w:val="00916BBC"/>
    <w:rsid w:val="00916F15"/>
    <w:rsid w:val="00917068"/>
    <w:rsid w:val="0091710A"/>
    <w:rsid w:val="009175DC"/>
    <w:rsid w:val="009176BA"/>
    <w:rsid w:val="00917767"/>
    <w:rsid w:val="0091781E"/>
    <w:rsid w:val="00917B0C"/>
    <w:rsid w:val="00917BA2"/>
    <w:rsid w:val="00917EC6"/>
    <w:rsid w:val="009202FB"/>
    <w:rsid w:val="00920597"/>
    <w:rsid w:val="00920967"/>
    <w:rsid w:val="00920C36"/>
    <w:rsid w:val="00920FC6"/>
    <w:rsid w:val="00921352"/>
    <w:rsid w:val="009215D2"/>
    <w:rsid w:val="009215FA"/>
    <w:rsid w:val="009217DE"/>
    <w:rsid w:val="009217F1"/>
    <w:rsid w:val="00921A5A"/>
    <w:rsid w:val="00921C7D"/>
    <w:rsid w:val="00921DB6"/>
    <w:rsid w:val="00922198"/>
    <w:rsid w:val="00922468"/>
    <w:rsid w:val="0092262D"/>
    <w:rsid w:val="009229AD"/>
    <w:rsid w:val="009229D0"/>
    <w:rsid w:val="00922C6E"/>
    <w:rsid w:val="00922ED6"/>
    <w:rsid w:val="00922F8B"/>
    <w:rsid w:val="00923013"/>
    <w:rsid w:val="00923097"/>
    <w:rsid w:val="009230E1"/>
    <w:rsid w:val="00923542"/>
    <w:rsid w:val="00923900"/>
    <w:rsid w:val="00923BC8"/>
    <w:rsid w:val="00923D4F"/>
    <w:rsid w:val="00923EF3"/>
    <w:rsid w:val="00923F12"/>
    <w:rsid w:val="00923F3A"/>
    <w:rsid w:val="00923FA5"/>
    <w:rsid w:val="00924304"/>
    <w:rsid w:val="00924424"/>
    <w:rsid w:val="0092466C"/>
    <w:rsid w:val="00924782"/>
    <w:rsid w:val="00924841"/>
    <w:rsid w:val="009248B3"/>
    <w:rsid w:val="00924918"/>
    <w:rsid w:val="00924C56"/>
    <w:rsid w:val="00924F3C"/>
    <w:rsid w:val="0092500D"/>
    <w:rsid w:val="00925100"/>
    <w:rsid w:val="00925155"/>
    <w:rsid w:val="009255C1"/>
    <w:rsid w:val="009256D7"/>
    <w:rsid w:val="00925766"/>
    <w:rsid w:val="00925836"/>
    <w:rsid w:val="00925A17"/>
    <w:rsid w:val="00925F1E"/>
    <w:rsid w:val="00926014"/>
    <w:rsid w:val="0092607F"/>
    <w:rsid w:val="00926099"/>
    <w:rsid w:val="009263F8"/>
    <w:rsid w:val="009265DE"/>
    <w:rsid w:val="0092665F"/>
    <w:rsid w:val="0092674F"/>
    <w:rsid w:val="009267EC"/>
    <w:rsid w:val="00926981"/>
    <w:rsid w:val="00926A33"/>
    <w:rsid w:val="00926A44"/>
    <w:rsid w:val="00926B73"/>
    <w:rsid w:val="00926C77"/>
    <w:rsid w:val="00926CCA"/>
    <w:rsid w:val="00926FFC"/>
    <w:rsid w:val="00927115"/>
    <w:rsid w:val="009272DF"/>
    <w:rsid w:val="00927379"/>
    <w:rsid w:val="00927436"/>
    <w:rsid w:val="0092746B"/>
    <w:rsid w:val="009275F5"/>
    <w:rsid w:val="0092768E"/>
    <w:rsid w:val="00927CEA"/>
    <w:rsid w:val="00927E03"/>
    <w:rsid w:val="0093005C"/>
    <w:rsid w:val="00930072"/>
    <w:rsid w:val="00930202"/>
    <w:rsid w:val="00930254"/>
    <w:rsid w:val="009305B8"/>
    <w:rsid w:val="009305C6"/>
    <w:rsid w:val="00930641"/>
    <w:rsid w:val="009307D2"/>
    <w:rsid w:val="00930A39"/>
    <w:rsid w:val="00930F1D"/>
    <w:rsid w:val="009312F6"/>
    <w:rsid w:val="009313DF"/>
    <w:rsid w:val="009317EF"/>
    <w:rsid w:val="00931B32"/>
    <w:rsid w:val="00931B64"/>
    <w:rsid w:val="00931F67"/>
    <w:rsid w:val="00931FD1"/>
    <w:rsid w:val="00932094"/>
    <w:rsid w:val="0093209C"/>
    <w:rsid w:val="00932349"/>
    <w:rsid w:val="00932583"/>
    <w:rsid w:val="00932A9B"/>
    <w:rsid w:val="00932C40"/>
    <w:rsid w:val="00932C9A"/>
    <w:rsid w:val="00932F1D"/>
    <w:rsid w:val="00933197"/>
    <w:rsid w:val="00933410"/>
    <w:rsid w:val="0093356F"/>
    <w:rsid w:val="00933853"/>
    <w:rsid w:val="00933EBE"/>
    <w:rsid w:val="00933F4D"/>
    <w:rsid w:val="009340D5"/>
    <w:rsid w:val="0093444C"/>
    <w:rsid w:val="009348F6"/>
    <w:rsid w:val="00934DBC"/>
    <w:rsid w:val="00934F4C"/>
    <w:rsid w:val="00934F52"/>
    <w:rsid w:val="0093505A"/>
    <w:rsid w:val="00935118"/>
    <w:rsid w:val="0093526B"/>
    <w:rsid w:val="009356FC"/>
    <w:rsid w:val="00935A6A"/>
    <w:rsid w:val="00935F99"/>
    <w:rsid w:val="0093609B"/>
    <w:rsid w:val="009360C0"/>
    <w:rsid w:val="009360F2"/>
    <w:rsid w:val="00937052"/>
    <w:rsid w:val="009371AC"/>
    <w:rsid w:val="009372B9"/>
    <w:rsid w:val="0093737F"/>
    <w:rsid w:val="00937390"/>
    <w:rsid w:val="00937452"/>
    <w:rsid w:val="009375A7"/>
    <w:rsid w:val="009375EA"/>
    <w:rsid w:val="0093765E"/>
    <w:rsid w:val="0093772E"/>
    <w:rsid w:val="009379F1"/>
    <w:rsid w:val="00937B93"/>
    <w:rsid w:val="00937C10"/>
    <w:rsid w:val="00937CBD"/>
    <w:rsid w:val="00937D6D"/>
    <w:rsid w:val="00937D91"/>
    <w:rsid w:val="00940039"/>
    <w:rsid w:val="00940049"/>
    <w:rsid w:val="0094023E"/>
    <w:rsid w:val="00940283"/>
    <w:rsid w:val="009402E3"/>
    <w:rsid w:val="009404D7"/>
    <w:rsid w:val="009407B9"/>
    <w:rsid w:val="00940890"/>
    <w:rsid w:val="00940A45"/>
    <w:rsid w:val="00940AAE"/>
    <w:rsid w:val="00940CEB"/>
    <w:rsid w:val="00940E39"/>
    <w:rsid w:val="00940E48"/>
    <w:rsid w:val="009416F8"/>
    <w:rsid w:val="00941BC6"/>
    <w:rsid w:val="00941BF7"/>
    <w:rsid w:val="00941D77"/>
    <w:rsid w:val="0094209C"/>
    <w:rsid w:val="00942273"/>
    <w:rsid w:val="009422CF"/>
    <w:rsid w:val="00942329"/>
    <w:rsid w:val="0094247D"/>
    <w:rsid w:val="0094270A"/>
    <w:rsid w:val="00942AA9"/>
    <w:rsid w:val="00942BD5"/>
    <w:rsid w:val="00942CB9"/>
    <w:rsid w:val="00942EDA"/>
    <w:rsid w:val="009430CC"/>
    <w:rsid w:val="00943154"/>
    <w:rsid w:val="00943259"/>
    <w:rsid w:val="009439C0"/>
    <w:rsid w:val="00943E55"/>
    <w:rsid w:val="00943E83"/>
    <w:rsid w:val="00943F9A"/>
    <w:rsid w:val="00944351"/>
    <w:rsid w:val="0094439C"/>
    <w:rsid w:val="009447E6"/>
    <w:rsid w:val="00944904"/>
    <w:rsid w:val="00944AAC"/>
    <w:rsid w:val="00944B45"/>
    <w:rsid w:val="00944BA9"/>
    <w:rsid w:val="00944FCD"/>
    <w:rsid w:val="0094549E"/>
    <w:rsid w:val="00945A66"/>
    <w:rsid w:val="00945AB5"/>
    <w:rsid w:val="00945B51"/>
    <w:rsid w:val="00945C6D"/>
    <w:rsid w:val="00945E51"/>
    <w:rsid w:val="00945F5F"/>
    <w:rsid w:val="009461C4"/>
    <w:rsid w:val="009462C3"/>
    <w:rsid w:val="009462F8"/>
    <w:rsid w:val="0094684A"/>
    <w:rsid w:val="0094686D"/>
    <w:rsid w:val="00946870"/>
    <w:rsid w:val="00946AD5"/>
    <w:rsid w:val="00946C0D"/>
    <w:rsid w:val="0094721C"/>
    <w:rsid w:val="0094729D"/>
    <w:rsid w:val="009472F7"/>
    <w:rsid w:val="009476D0"/>
    <w:rsid w:val="009477DB"/>
    <w:rsid w:val="009477FF"/>
    <w:rsid w:val="00947870"/>
    <w:rsid w:val="00947A2B"/>
    <w:rsid w:val="00947E95"/>
    <w:rsid w:val="00947FAA"/>
    <w:rsid w:val="00950239"/>
    <w:rsid w:val="00950473"/>
    <w:rsid w:val="00950956"/>
    <w:rsid w:val="00950A3F"/>
    <w:rsid w:val="00950AD1"/>
    <w:rsid w:val="00950AEF"/>
    <w:rsid w:val="00950E38"/>
    <w:rsid w:val="009510AC"/>
    <w:rsid w:val="00951161"/>
    <w:rsid w:val="00951193"/>
    <w:rsid w:val="00951248"/>
    <w:rsid w:val="009515BC"/>
    <w:rsid w:val="00951B6A"/>
    <w:rsid w:val="00951D23"/>
    <w:rsid w:val="00951D3A"/>
    <w:rsid w:val="0095200B"/>
    <w:rsid w:val="00952109"/>
    <w:rsid w:val="009522A2"/>
    <w:rsid w:val="009526D6"/>
    <w:rsid w:val="00952738"/>
    <w:rsid w:val="00952889"/>
    <w:rsid w:val="00952BA0"/>
    <w:rsid w:val="00952BC5"/>
    <w:rsid w:val="00952BCA"/>
    <w:rsid w:val="00952D33"/>
    <w:rsid w:val="00952EE4"/>
    <w:rsid w:val="00953033"/>
    <w:rsid w:val="009530BF"/>
    <w:rsid w:val="009531E6"/>
    <w:rsid w:val="0095335C"/>
    <w:rsid w:val="00953765"/>
    <w:rsid w:val="00953821"/>
    <w:rsid w:val="00953BC3"/>
    <w:rsid w:val="00953DCF"/>
    <w:rsid w:val="00954008"/>
    <w:rsid w:val="00954509"/>
    <w:rsid w:val="00954628"/>
    <w:rsid w:val="0095490E"/>
    <w:rsid w:val="00954AD5"/>
    <w:rsid w:val="00954BD8"/>
    <w:rsid w:val="00954EC5"/>
    <w:rsid w:val="0095530D"/>
    <w:rsid w:val="0095552B"/>
    <w:rsid w:val="00955601"/>
    <w:rsid w:val="00955612"/>
    <w:rsid w:val="0095578F"/>
    <w:rsid w:val="009557C1"/>
    <w:rsid w:val="0095590D"/>
    <w:rsid w:val="00955B0E"/>
    <w:rsid w:val="00955BE6"/>
    <w:rsid w:val="00955BF0"/>
    <w:rsid w:val="00956013"/>
    <w:rsid w:val="00956015"/>
    <w:rsid w:val="0095618E"/>
    <w:rsid w:val="009561BD"/>
    <w:rsid w:val="009561C1"/>
    <w:rsid w:val="009561DE"/>
    <w:rsid w:val="00956361"/>
    <w:rsid w:val="00956674"/>
    <w:rsid w:val="00956689"/>
    <w:rsid w:val="009567D4"/>
    <w:rsid w:val="009568F9"/>
    <w:rsid w:val="00956A49"/>
    <w:rsid w:val="00956AB9"/>
    <w:rsid w:val="00956BD0"/>
    <w:rsid w:val="00956C1B"/>
    <w:rsid w:val="00956D29"/>
    <w:rsid w:val="00956D41"/>
    <w:rsid w:val="00956DE4"/>
    <w:rsid w:val="00956F1D"/>
    <w:rsid w:val="00957224"/>
    <w:rsid w:val="00957592"/>
    <w:rsid w:val="00957AB0"/>
    <w:rsid w:val="0095EF03"/>
    <w:rsid w:val="00960115"/>
    <w:rsid w:val="009606E9"/>
    <w:rsid w:val="009607D6"/>
    <w:rsid w:val="00960C20"/>
    <w:rsid w:val="00960C22"/>
    <w:rsid w:val="00960E52"/>
    <w:rsid w:val="00960EEA"/>
    <w:rsid w:val="00960FFF"/>
    <w:rsid w:val="009612D6"/>
    <w:rsid w:val="0096151E"/>
    <w:rsid w:val="009617BF"/>
    <w:rsid w:val="00961AC4"/>
    <w:rsid w:val="00961D5B"/>
    <w:rsid w:val="00961F5E"/>
    <w:rsid w:val="00962125"/>
    <w:rsid w:val="00962144"/>
    <w:rsid w:val="009622C1"/>
    <w:rsid w:val="00962552"/>
    <w:rsid w:val="0096258C"/>
    <w:rsid w:val="009626AB"/>
    <w:rsid w:val="009626E7"/>
    <w:rsid w:val="00962766"/>
    <w:rsid w:val="00962A19"/>
    <w:rsid w:val="00962C31"/>
    <w:rsid w:val="00962CEE"/>
    <w:rsid w:val="00962D3F"/>
    <w:rsid w:val="00962EC4"/>
    <w:rsid w:val="0096311E"/>
    <w:rsid w:val="00963246"/>
    <w:rsid w:val="009632DB"/>
    <w:rsid w:val="00963335"/>
    <w:rsid w:val="0096352C"/>
    <w:rsid w:val="00963621"/>
    <w:rsid w:val="0096367E"/>
    <w:rsid w:val="00963CCB"/>
    <w:rsid w:val="00963EC6"/>
    <w:rsid w:val="00963F1F"/>
    <w:rsid w:val="009642D6"/>
    <w:rsid w:val="00964322"/>
    <w:rsid w:val="00964516"/>
    <w:rsid w:val="00964711"/>
    <w:rsid w:val="00964A8E"/>
    <w:rsid w:val="00964D49"/>
    <w:rsid w:val="00964F78"/>
    <w:rsid w:val="009650BC"/>
    <w:rsid w:val="009652DF"/>
    <w:rsid w:val="00965854"/>
    <w:rsid w:val="00965D49"/>
    <w:rsid w:val="00965DC2"/>
    <w:rsid w:val="00965DF9"/>
    <w:rsid w:val="00965ED0"/>
    <w:rsid w:val="00966185"/>
    <w:rsid w:val="0096643C"/>
    <w:rsid w:val="00967006"/>
    <w:rsid w:val="00967073"/>
    <w:rsid w:val="00967495"/>
    <w:rsid w:val="0096754B"/>
    <w:rsid w:val="009677B4"/>
    <w:rsid w:val="009679F3"/>
    <w:rsid w:val="00967D12"/>
    <w:rsid w:val="00967D16"/>
    <w:rsid w:val="00967D33"/>
    <w:rsid w:val="00967F90"/>
    <w:rsid w:val="00970105"/>
    <w:rsid w:val="0097034A"/>
    <w:rsid w:val="00970641"/>
    <w:rsid w:val="009707EF"/>
    <w:rsid w:val="0097093A"/>
    <w:rsid w:val="00970A34"/>
    <w:rsid w:val="00970BEA"/>
    <w:rsid w:val="00970DCB"/>
    <w:rsid w:val="00970F0D"/>
    <w:rsid w:val="00970F36"/>
    <w:rsid w:val="00970FA7"/>
    <w:rsid w:val="009713FA"/>
    <w:rsid w:val="00971660"/>
    <w:rsid w:val="00971734"/>
    <w:rsid w:val="0097182B"/>
    <w:rsid w:val="00971A59"/>
    <w:rsid w:val="00971CB3"/>
    <w:rsid w:val="00971D04"/>
    <w:rsid w:val="00972165"/>
    <w:rsid w:val="00972176"/>
    <w:rsid w:val="009721C4"/>
    <w:rsid w:val="0097224A"/>
    <w:rsid w:val="009723A6"/>
    <w:rsid w:val="009723EB"/>
    <w:rsid w:val="0097299A"/>
    <w:rsid w:val="00972BBD"/>
    <w:rsid w:val="00972D96"/>
    <w:rsid w:val="00972F0E"/>
    <w:rsid w:val="00973647"/>
    <w:rsid w:val="0097366C"/>
    <w:rsid w:val="009736CE"/>
    <w:rsid w:val="0097383B"/>
    <w:rsid w:val="00973C39"/>
    <w:rsid w:val="00973C6E"/>
    <w:rsid w:val="00974261"/>
    <w:rsid w:val="0097471F"/>
    <w:rsid w:val="0097480B"/>
    <w:rsid w:val="00974814"/>
    <w:rsid w:val="00974BDD"/>
    <w:rsid w:val="00974BFA"/>
    <w:rsid w:val="00974C12"/>
    <w:rsid w:val="00974D4D"/>
    <w:rsid w:val="00974EDC"/>
    <w:rsid w:val="00974F3D"/>
    <w:rsid w:val="0097511D"/>
    <w:rsid w:val="00975194"/>
    <w:rsid w:val="00975559"/>
    <w:rsid w:val="00975833"/>
    <w:rsid w:val="00975FA5"/>
    <w:rsid w:val="0097621C"/>
    <w:rsid w:val="009763D0"/>
    <w:rsid w:val="0097647C"/>
    <w:rsid w:val="0097658C"/>
    <w:rsid w:val="009766A9"/>
    <w:rsid w:val="0097682A"/>
    <w:rsid w:val="00976B25"/>
    <w:rsid w:val="00977034"/>
    <w:rsid w:val="0097713F"/>
    <w:rsid w:val="0097715B"/>
    <w:rsid w:val="00977220"/>
    <w:rsid w:val="00977302"/>
    <w:rsid w:val="009774C0"/>
    <w:rsid w:val="0097757B"/>
    <w:rsid w:val="0097784E"/>
    <w:rsid w:val="00977938"/>
    <w:rsid w:val="009779BD"/>
    <w:rsid w:val="00977B71"/>
    <w:rsid w:val="00977B8A"/>
    <w:rsid w:val="00977B93"/>
    <w:rsid w:val="00977D2F"/>
    <w:rsid w:val="00980094"/>
    <w:rsid w:val="0098035A"/>
    <w:rsid w:val="00980554"/>
    <w:rsid w:val="009805E6"/>
    <w:rsid w:val="00980A40"/>
    <w:rsid w:val="00980AC4"/>
    <w:rsid w:val="00980BAF"/>
    <w:rsid w:val="00980EA0"/>
    <w:rsid w:val="009810C2"/>
    <w:rsid w:val="0098154F"/>
    <w:rsid w:val="00981845"/>
    <w:rsid w:val="009818D5"/>
    <w:rsid w:val="00981AAC"/>
    <w:rsid w:val="00981D19"/>
    <w:rsid w:val="00981E15"/>
    <w:rsid w:val="0098253A"/>
    <w:rsid w:val="00982708"/>
    <w:rsid w:val="00982767"/>
    <w:rsid w:val="00982820"/>
    <w:rsid w:val="00982950"/>
    <w:rsid w:val="00982D33"/>
    <w:rsid w:val="00982E42"/>
    <w:rsid w:val="00983276"/>
    <w:rsid w:val="0098351D"/>
    <w:rsid w:val="00983606"/>
    <w:rsid w:val="00983611"/>
    <w:rsid w:val="0098380E"/>
    <w:rsid w:val="00983A3C"/>
    <w:rsid w:val="00983BF4"/>
    <w:rsid w:val="00983DFD"/>
    <w:rsid w:val="00983EA1"/>
    <w:rsid w:val="009841BD"/>
    <w:rsid w:val="0098421A"/>
    <w:rsid w:val="009843B3"/>
    <w:rsid w:val="009843C1"/>
    <w:rsid w:val="00984478"/>
    <w:rsid w:val="009845A8"/>
    <w:rsid w:val="009845D7"/>
    <w:rsid w:val="00984718"/>
    <w:rsid w:val="00984747"/>
    <w:rsid w:val="00984A84"/>
    <w:rsid w:val="00984CF0"/>
    <w:rsid w:val="009850BF"/>
    <w:rsid w:val="009853EB"/>
    <w:rsid w:val="0098542E"/>
    <w:rsid w:val="0098564D"/>
    <w:rsid w:val="0098570F"/>
    <w:rsid w:val="00985784"/>
    <w:rsid w:val="009858AB"/>
    <w:rsid w:val="00985937"/>
    <w:rsid w:val="009859C1"/>
    <w:rsid w:val="00985BD4"/>
    <w:rsid w:val="00985EB5"/>
    <w:rsid w:val="00985F8F"/>
    <w:rsid w:val="0098608A"/>
    <w:rsid w:val="00986156"/>
    <w:rsid w:val="009864B4"/>
    <w:rsid w:val="0098654C"/>
    <w:rsid w:val="00986701"/>
    <w:rsid w:val="00986BD7"/>
    <w:rsid w:val="00986C19"/>
    <w:rsid w:val="00986D87"/>
    <w:rsid w:val="009870BE"/>
    <w:rsid w:val="009876DB"/>
    <w:rsid w:val="00987977"/>
    <w:rsid w:val="00987992"/>
    <w:rsid w:val="0099040F"/>
    <w:rsid w:val="009904F3"/>
    <w:rsid w:val="009905FD"/>
    <w:rsid w:val="00990633"/>
    <w:rsid w:val="009907CF"/>
    <w:rsid w:val="00990891"/>
    <w:rsid w:val="009909A8"/>
    <w:rsid w:val="009909CA"/>
    <w:rsid w:val="00990AD4"/>
    <w:rsid w:val="00991591"/>
    <w:rsid w:val="009915AC"/>
    <w:rsid w:val="0099170C"/>
    <w:rsid w:val="009919F6"/>
    <w:rsid w:val="00991B31"/>
    <w:rsid w:val="00991CCB"/>
    <w:rsid w:val="00991CCC"/>
    <w:rsid w:val="00991E3A"/>
    <w:rsid w:val="00991ED5"/>
    <w:rsid w:val="009920AF"/>
    <w:rsid w:val="0099231F"/>
    <w:rsid w:val="009924C0"/>
    <w:rsid w:val="009924E2"/>
    <w:rsid w:val="00992541"/>
    <w:rsid w:val="009925C9"/>
    <w:rsid w:val="009925E6"/>
    <w:rsid w:val="0099273B"/>
    <w:rsid w:val="009930B4"/>
    <w:rsid w:val="0099323E"/>
    <w:rsid w:val="009932C4"/>
    <w:rsid w:val="00993436"/>
    <w:rsid w:val="00993608"/>
    <w:rsid w:val="00993AAA"/>
    <w:rsid w:val="00993B2C"/>
    <w:rsid w:val="00993B5B"/>
    <w:rsid w:val="00993C0B"/>
    <w:rsid w:val="009942D4"/>
    <w:rsid w:val="00994347"/>
    <w:rsid w:val="009943B0"/>
    <w:rsid w:val="00994763"/>
    <w:rsid w:val="00994953"/>
    <w:rsid w:val="00994F1C"/>
    <w:rsid w:val="00994F6E"/>
    <w:rsid w:val="0099520C"/>
    <w:rsid w:val="00995281"/>
    <w:rsid w:val="00995374"/>
    <w:rsid w:val="009953B5"/>
    <w:rsid w:val="009953E0"/>
    <w:rsid w:val="00995491"/>
    <w:rsid w:val="0099562E"/>
    <w:rsid w:val="009956BF"/>
    <w:rsid w:val="00995A26"/>
    <w:rsid w:val="00995A5E"/>
    <w:rsid w:val="00995CF0"/>
    <w:rsid w:val="00996294"/>
    <w:rsid w:val="00996299"/>
    <w:rsid w:val="009962C9"/>
    <w:rsid w:val="00996328"/>
    <w:rsid w:val="009967F3"/>
    <w:rsid w:val="00996A87"/>
    <w:rsid w:val="00996AB3"/>
    <w:rsid w:val="00996AEC"/>
    <w:rsid w:val="00996CD7"/>
    <w:rsid w:val="00997099"/>
    <w:rsid w:val="0099721A"/>
    <w:rsid w:val="009972C4"/>
    <w:rsid w:val="009972D8"/>
    <w:rsid w:val="009976EC"/>
    <w:rsid w:val="009978A2"/>
    <w:rsid w:val="00997F95"/>
    <w:rsid w:val="0099F47B"/>
    <w:rsid w:val="009A0070"/>
    <w:rsid w:val="009A0144"/>
    <w:rsid w:val="009A0225"/>
    <w:rsid w:val="009A0272"/>
    <w:rsid w:val="009A1146"/>
    <w:rsid w:val="009A116A"/>
    <w:rsid w:val="009A135B"/>
    <w:rsid w:val="009A1463"/>
    <w:rsid w:val="009A18E5"/>
    <w:rsid w:val="009A19A9"/>
    <w:rsid w:val="009A1A37"/>
    <w:rsid w:val="009A1FFE"/>
    <w:rsid w:val="009A204C"/>
    <w:rsid w:val="009A208E"/>
    <w:rsid w:val="009A222A"/>
    <w:rsid w:val="009A2233"/>
    <w:rsid w:val="009A22BC"/>
    <w:rsid w:val="009A2408"/>
    <w:rsid w:val="009A2759"/>
    <w:rsid w:val="009A2E04"/>
    <w:rsid w:val="009A2ED5"/>
    <w:rsid w:val="009A3054"/>
    <w:rsid w:val="009A36C0"/>
    <w:rsid w:val="009A3B64"/>
    <w:rsid w:val="009A3CD0"/>
    <w:rsid w:val="009A3D13"/>
    <w:rsid w:val="009A3D46"/>
    <w:rsid w:val="009A3F7F"/>
    <w:rsid w:val="009A4113"/>
    <w:rsid w:val="009A437C"/>
    <w:rsid w:val="009A48A0"/>
    <w:rsid w:val="009A4B02"/>
    <w:rsid w:val="009A4BB9"/>
    <w:rsid w:val="009A4CDE"/>
    <w:rsid w:val="009A4D58"/>
    <w:rsid w:val="009A4D9C"/>
    <w:rsid w:val="009A4E32"/>
    <w:rsid w:val="009A4EC1"/>
    <w:rsid w:val="009A4F38"/>
    <w:rsid w:val="009A51D7"/>
    <w:rsid w:val="009A526C"/>
    <w:rsid w:val="009A52BD"/>
    <w:rsid w:val="009A5340"/>
    <w:rsid w:val="009A534D"/>
    <w:rsid w:val="009A558C"/>
    <w:rsid w:val="009A56A9"/>
    <w:rsid w:val="009A5A1E"/>
    <w:rsid w:val="009A5D88"/>
    <w:rsid w:val="009A5E5A"/>
    <w:rsid w:val="009A6049"/>
    <w:rsid w:val="009A6118"/>
    <w:rsid w:val="009A66E3"/>
    <w:rsid w:val="009A693C"/>
    <w:rsid w:val="009A6A00"/>
    <w:rsid w:val="009A7197"/>
    <w:rsid w:val="009A7735"/>
    <w:rsid w:val="009A789A"/>
    <w:rsid w:val="009A7AE4"/>
    <w:rsid w:val="009A7D3C"/>
    <w:rsid w:val="009A7DB7"/>
    <w:rsid w:val="009A7DCE"/>
    <w:rsid w:val="009A7E77"/>
    <w:rsid w:val="009A7EE8"/>
    <w:rsid w:val="009A7F60"/>
    <w:rsid w:val="009B01FD"/>
    <w:rsid w:val="009B02F6"/>
    <w:rsid w:val="009B0378"/>
    <w:rsid w:val="009B05B2"/>
    <w:rsid w:val="009B07E6"/>
    <w:rsid w:val="009B09A3"/>
    <w:rsid w:val="009B0BFD"/>
    <w:rsid w:val="009B0CA1"/>
    <w:rsid w:val="009B0E30"/>
    <w:rsid w:val="009B12A5"/>
    <w:rsid w:val="009B149A"/>
    <w:rsid w:val="009B14F4"/>
    <w:rsid w:val="009B187A"/>
    <w:rsid w:val="009B19AF"/>
    <w:rsid w:val="009B1FB9"/>
    <w:rsid w:val="009B2011"/>
    <w:rsid w:val="009B2D53"/>
    <w:rsid w:val="009B30F1"/>
    <w:rsid w:val="009B344E"/>
    <w:rsid w:val="009B3578"/>
    <w:rsid w:val="009B367A"/>
    <w:rsid w:val="009B372F"/>
    <w:rsid w:val="009B37EA"/>
    <w:rsid w:val="009B3D69"/>
    <w:rsid w:val="009B3D96"/>
    <w:rsid w:val="009B3DB9"/>
    <w:rsid w:val="009B42E6"/>
    <w:rsid w:val="009B4467"/>
    <w:rsid w:val="009B45DA"/>
    <w:rsid w:val="009B4A76"/>
    <w:rsid w:val="009B4B06"/>
    <w:rsid w:val="009B4DBE"/>
    <w:rsid w:val="009B4F8A"/>
    <w:rsid w:val="009B51DC"/>
    <w:rsid w:val="009B57F7"/>
    <w:rsid w:val="009B5854"/>
    <w:rsid w:val="009B586C"/>
    <w:rsid w:val="009B587C"/>
    <w:rsid w:val="009B5A32"/>
    <w:rsid w:val="009B5C87"/>
    <w:rsid w:val="009B5E82"/>
    <w:rsid w:val="009B601F"/>
    <w:rsid w:val="009B60A4"/>
    <w:rsid w:val="009B6458"/>
    <w:rsid w:val="009B64DD"/>
    <w:rsid w:val="009B6515"/>
    <w:rsid w:val="009B65F4"/>
    <w:rsid w:val="009B6890"/>
    <w:rsid w:val="009B6ECA"/>
    <w:rsid w:val="009B7140"/>
    <w:rsid w:val="009B79D6"/>
    <w:rsid w:val="009C0471"/>
    <w:rsid w:val="009C0670"/>
    <w:rsid w:val="009C07A1"/>
    <w:rsid w:val="009C07A7"/>
    <w:rsid w:val="009C087A"/>
    <w:rsid w:val="009C0A41"/>
    <w:rsid w:val="009C0A7A"/>
    <w:rsid w:val="009C0D9B"/>
    <w:rsid w:val="009C10A3"/>
    <w:rsid w:val="009C13FA"/>
    <w:rsid w:val="009C169E"/>
    <w:rsid w:val="009C1846"/>
    <w:rsid w:val="009C1948"/>
    <w:rsid w:val="009C19C5"/>
    <w:rsid w:val="009C19C8"/>
    <w:rsid w:val="009C1D6C"/>
    <w:rsid w:val="009C1DF8"/>
    <w:rsid w:val="009C1EEE"/>
    <w:rsid w:val="009C2133"/>
    <w:rsid w:val="009C21A2"/>
    <w:rsid w:val="009C2369"/>
    <w:rsid w:val="009C24DC"/>
    <w:rsid w:val="009C2590"/>
    <w:rsid w:val="009C2DE3"/>
    <w:rsid w:val="009C2E3B"/>
    <w:rsid w:val="009C2FA0"/>
    <w:rsid w:val="009C31AD"/>
    <w:rsid w:val="009C3239"/>
    <w:rsid w:val="009C32A1"/>
    <w:rsid w:val="009C37D2"/>
    <w:rsid w:val="009C3BF2"/>
    <w:rsid w:val="009C3F50"/>
    <w:rsid w:val="009C3FFA"/>
    <w:rsid w:val="009C40F3"/>
    <w:rsid w:val="009C4375"/>
    <w:rsid w:val="009C4387"/>
    <w:rsid w:val="009C43D8"/>
    <w:rsid w:val="009C44CF"/>
    <w:rsid w:val="009C4606"/>
    <w:rsid w:val="009C4945"/>
    <w:rsid w:val="009C4A2E"/>
    <w:rsid w:val="009C4D8E"/>
    <w:rsid w:val="009C4DB7"/>
    <w:rsid w:val="009C4E2B"/>
    <w:rsid w:val="009C4E37"/>
    <w:rsid w:val="009C4EE5"/>
    <w:rsid w:val="009C4F43"/>
    <w:rsid w:val="009C4FB4"/>
    <w:rsid w:val="009C5096"/>
    <w:rsid w:val="009C5319"/>
    <w:rsid w:val="009C53F5"/>
    <w:rsid w:val="009C5420"/>
    <w:rsid w:val="009C581D"/>
    <w:rsid w:val="009C5948"/>
    <w:rsid w:val="009C5BD4"/>
    <w:rsid w:val="009C5C5B"/>
    <w:rsid w:val="009C5CFA"/>
    <w:rsid w:val="009C5F22"/>
    <w:rsid w:val="009C60B5"/>
    <w:rsid w:val="009C6188"/>
    <w:rsid w:val="009C668D"/>
    <w:rsid w:val="009C66B3"/>
    <w:rsid w:val="009C6A3B"/>
    <w:rsid w:val="009C6AE2"/>
    <w:rsid w:val="009C6CD2"/>
    <w:rsid w:val="009C6E07"/>
    <w:rsid w:val="009C769F"/>
    <w:rsid w:val="009C78C8"/>
    <w:rsid w:val="009C7A1C"/>
    <w:rsid w:val="009C7FCF"/>
    <w:rsid w:val="009D016B"/>
    <w:rsid w:val="009D0229"/>
    <w:rsid w:val="009D03B6"/>
    <w:rsid w:val="009D0426"/>
    <w:rsid w:val="009D04FD"/>
    <w:rsid w:val="009D05F4"/>
    <w:rsid w:val="009D0A6A"/>
    <w:rsid w:val="009D0B45"/>
    <w:rsid w:val="009D10D3"/>
    <w:rsid w:val="009D1A01"/>
    <w:rsid w:val="009D1ED9"/>
    <w:rsid w:val="009D224E"/>
    <w:rsid w:val="009D2A15"/>
    <w:rsid w:val="009D2B5B"/>
    <w:rsid w:val="009D339A"/>
    <w:rsid w:val="009D360F"/>
    <w:rsid w:val="009D36C6"/>
    <w:rsid w:val="009D3769"/>
    <w:rsid w:val="009D3953"/>
    <w:rsid w:val="009D3BB1"/>
    <w:rsid w:val="009D3BC6"/>
    <w:rsid w:val="009D3C90"/>
    <w:rsid w:val="009D3CF3"/>
    <w:rsid w:val="009D3EF3"/>
    <w:rsid w:val="009D4014"/>
    <w:rsid w:val="009D4020"/>
    <w:rsid w:val="009D411C"/>
    <w:rsid w:val="009D4121"/>
    <w:rsid w:val="009D44BC"/>
    <w:rsid w:val="009D4675"/>
    <w:rsid w:val="009D4791"/>
    <w:rsid w:val="009D48A8"/>
    <w:rsid w:val="009D49D2"/>
    <w:rsid w:val="009D4F25"/>
    <w:rsid w:val="009D5178"/>
    <w:rsid w:val="009D57CD"/>
    <w:rsid w:val="009D5C6C"/>
    <w:rsid w:val="009D5E62"/>
    <w:rsid w:val="009D5EB8"/>
    <w:rsid w:val="009D6365"/>
    <w:rsid w:val="009D648D"/>
    <w:rsid w:val="009D6547"/>
    <w:rsid w:val="009D660D"/>
    <w:rsid w:val="009D66D9"/>
    <w:rsid w:val="009D66DB"/>
    <w:rsid w:val="009D677D"/>
    <w:rsid w:val="009D6D02"/>
    <w:rsid w:val="009D6DC7"/>
    <w:rsid w:val="009D6E15"/>
    <w:rsid w:val="009D6F4B"/>
    <w:rsid w:val="009D70DB"/>
    <w:rsid w:val="009D73A8"/>
    <w:rsid w:val="009D73A9"/>
    <w:rsid w:val="009D75EB"/>
    <w:rsid w:val="009D7629"/>
    <w:rsid w:val="009D7676"/>
    <w:rsid w:val="009D76DA"/>
    <w:rsid w:val="009D76FF"/>
    <w:rsid w:val="009D77B0"/>
    <w:rsid w:val="009D7842"/>
    <w:rsid w:val="009D7E01"/>
    <w:rsid w:val="009D7E09"/>
    <w:rsid w:val="009E0031"/>
    <w:rsid w:val="009E02E3"/>
    <w:rsid w:val="009E0314"/>
    <w:rsid w:val="009E03B9"/>
    <w:rsid w:val="009E03D1"/>
    <w:rsid w:val="009E1261"/>
    <w:rsid w:val="009E14FD"/>
    <w:rsid w:val="009E155F"/>
    <w:rsid w:val="009E17AA"/>
    <w:rsid w:val="009E18B9"/>
    <w:rsid w:val="009E1A9F"/>
    <w:rsid w:val="009E1CA8"/>
    <w:rsid w:val="009E259F"/>
    <w:rsid w:val="009E261D"/>
    <w:rsid w:val="009E262D"/>
    <w:rsid w:val="009E26B0"/>
    <w:rsid w:val="009E2A9F"/>
    <w:rsid w:val="009E2BEA"/>
    <w:rsid w:val="009E2FCE"/>
    <w:rsid w:val="009E30A0"/>
    <w:rsid w:val="009E36E1"/>
    <w:rsid w:val="009E3780"/>
    <w:rsid w:val="009E38A1"/>
    <w:rsid w:val="009E3B7A"/>
    <w:rsid w:val="009E3D61"/>
    <w:rsid w:val="009E3DC2"/>
    <w:rsid w:val="009E3DCB"/>
    <w:rsid w:val="009E3F35"/>
    <w:rsid w:val="009E4182"/>
    <w:rsid w:val="009E4B43"/>
    <w:rsid w:val="009E4B9F"/>
    <w:rsid w:val="009E5022"/>
    <w:rsid w:val="009E5123"/>
    <w:rsid w:val="009E51B0"/>
    <w:rsid w:val="009E52B8"/>
    <w:rsid w:val="009E54A2"/>
    <w:rsid w:val="009E5571"/>
    <w:rsid w:val="009E55EF"/>
    <w:rsid w:val="009E592F"/>
    <w:rsid w:val="009E5E40"/>
    <w:rsid w:val="009E60B7"/>
    <w:rsid w:val="009E615E"/>
    <w:rsid w:val="009E649F"/>
    <w:rsid w:val="009E66E8"/>
    <w:rsid w:val="009E6722"/>
    <w:rsid w:val="009E679D"/>
    <w:rsid w:val="009E6987"/>
    <w:rsid w:val="009E6BAA"/>
    <w:rsid w:val="009E6E51"/>
    <w:rsid w:val="009E6EEE"/>
    <w:rsid w:val="009E6FDF"/>
    <w:rsid w:val="009E7392"/>
    <w:rsid w:val="009E7473"/>
    <w:rsid w:val="009E788D"/>
    <w:rsid w:val="009E7899"/>
    <w:rsid w:val="009E79A1"/>
    <w:rsid w:val="009E7CA2"/>
    <w:rsid w:val="009E7D0A"/>
    <w:rsid w:val="009E7EBB"/>
    <w:rsid w:val="009F015B"/>
    <w:rsid w:val="009F025E"/>
    <w:rsid w:val="009F033C"/>
    <w:rsid w:val="009F05E0"/>
    <w:rsid w:val="009F0629"/>
    <w:rsid w:val="009F06CF"/>
    <w:rsid w:val="009F085A"/>
    <w:rsid w:val="009F089B"/>
    <w:rsid w:val="009F08D3"/>
    <w:rsid w:val="009F0CE5"/>
    <w:rsid w:val="009F0E4C"/>
    <w:rsid w:val="009F1037"/>
    <w:rsid w:val="009F108C"/>
    <w:rsid w:val="009F1286"/>
    <w:rsid w:val="009F17B8"/>
    <w:rsid w:val="009F1955"/>
    <w:rsid w:val="009F1961"/>
    <w:rsid w:val="009F1F5D"/>
    <w:rsid w:val="009F2451"/>
    <w:rsid w:val="009F2503"/>
    <w:rsid w:val="009F26DD"/>
    <w:rsid w:val="009F281E"/>
    <w:rsid w:val="009F2884"/>
    <w:rsid w:val="009F29FA"/>
    <w:rsid w:val="009F2A3E"/>
    <w:rsid w:val="009F2B0C"/>
    <w:rsid w:val="009F2B48"/>
    <w:rsid w:val="009F2C65"/>
    <w:rsid w:val="009F2D33"/>
    <w:rsid w:val="009F2D8F"/>
    <w:rsid w:val="009F2E29"/>
    <w:rsid w:val="009F3102"/>
    <w:rsid w:val="009F33C9"/>
    <w:rsid w:val="009F3477"/>
    <w:rsid w:val="009F34AB"/>
    <w:rsid w:val="009F3914"/>
    <w:rsid w:val="009F3AC5"/>
    <w:rsid w:val="009F3B7E"/>
    <w:rsid w:val="009F3CED"/>
    <w:rsid w:val="009F3D3C"/>
    <w:rsid w:val="009F3E52"/>
    <w:rsid w:val="009F3E98"/>
    <w:rsid w:val="009F4017"/>
    <w:rsid w:val="009F4103"/>
    <w:rsid w:val="009F415B"/>
    <w:rsid w:val="009F42D0"/>
    <w:rsid w:val="009F443D"/>
    <w:rsid w:val="009F4463"/>
    <w:rsid w:val="009F4546"/>
    <w:rsid w:val="009F495D"/>
    <w:rsid w:val="009F4C3D"/>
    <w:rsid w:val="009F4D5B"/>
    <w:rsid w:val="009F501C"/>
    <w:rsid w:val="009F5154"/>
    <w:rsid w:val="009F530A"/>
    <w:rsid w:val="009F53F2"/>
    <w:rsid w:val="009F55A6"/>
    <w:rsid w:val="009F571A"/>
    <w:rsid w:val="009F5948"/>
    <w:rsid w:val="009F5AE5"/>
    <w:rsid w:val="009F5C10"/>
    <w:rsid w:val="009F5C45"/>
    <w:rsid w:val="009F5D17"/>
    <w:rsid w:val="009F60B2"/>
    <w:rsid w:val="009F66A7"/>
    <w:rsid w:val="009F670A"/>
    <w:rsid w:val="009F6972"/>
    <w:rsid w:val="009F69B2"/>
    <w:rsid w:val="009F6CB6"/>
    <w:rsid w:val="009F6F73"/>
    <w:rsid w:val="009F72F3"/>
    <w:rsid w:val="009F7506"/>
    <w:rsid w:val="009F761B"/>
    <w:rsid w:val="009F7784"/>
    <w:rsid w:val="009F78F9"/>
    <w:rsid w:val="009F79C7"/>
    <w:rsid w:val="009F79D3"/>
    <w:rsid w:val="009F7AA9"/>
    <w:rsid w:val="009F7E63"/>
    <w:rsid w:val="009F7E83"/>
    <w:rsid w:val="009F7F81"/>
    <w:rsid w:val="00A00409"/>
    <w:rsid w:val="00A00415"/>
    <w:rsid w:val="00A004D5"/>
    <w:rsid w:val="00A00514"/>
    <w:rsid w:val="00A007F5"/>
    <w:rsid w:val="00A009BA"/>
    <w:rsid w:val="00A00B72"/>
    <w:rsid w:val="00A00D18"/>
    <w:rsid w:val="00A00E5C"/>
    <w:rsid w:val="00A00F46"/>
    <w:rsid w:val="00A0180D"/>
    <w:rsid w:val="00A0185C"/>
    <w:rsid w:val="00A018E3"/>
    <w:rsid w:val="00A01988"/>
    <w:rsid w:val="00A01E11"/>
    <w:rsid w:val="00A02162"/>
    <w:rsid w:val="00A021F5"/>
    <w:rsid w:val="00A02397"/>
    <w:rsid w:val="00A0245D"/>
    <w:rsid w:val="00A0258E"/>
    <w:rsid w:val="00A02633"/>
    <w:rsid w:val="00A027A7"/>
    <w:rsid w:val="00A02892"/>
    <w:rsid w:val="00A02C3F"/>
    <w:rsid w:val="00A031D4"/>
    <w:rsid w:val="00A033DD"/>
    <w:rsid w:val="00A03429"/>
    <w:rsid w:val="00A034A9"/>
    <w:rsid w:val="00A03697"/>
    <w:rsid w:val="00A03856"/>
    <w:rsid w:val="00A03928"/>
    <w:rsid w:val="00A03C62"/>
    <w:rsid w:val="00A03D74"/>
    <w:rsid w:val="00A03DF4"/>
    <w:rsid w:val="00A0430D"/>
    <w:rsid w:val="00A04549"/>
    <w:rsid w:val="00A047DF"/>
    <w:rsid w:val="00A049FE"/>
    <w:rsid w:val="00A04AA5"/>
    <w:rsid w:val="00A04BD1"/>
    <w:rsid w:val="00A04D6A"/>
    <w:rsid w:val="00A04F8A"/>
    <w:rsid w:val="00A0509F"/>
    <w:rsid w:val="00A05474"/>
    <w:rsid w:val="00A0562E"/>
    <w:rsid w:val="00A057C0"/>
    <w:rsid w:val="00A05A62"/>
    <w:rsid w:val="00A05C67"/>
    <w:rsid w:val="00A05C8F"/>
    <w:rsid w:val="00A05D72"/>
    <w:rsid w:val="00A05DFD"/>
    <w:rsid w:val="00A05FBA"/>
    <w:rsid w:val="00A05FFB"/>
    <w:rsid w:val="00A060AB"/>
    <w:rsid w:val="00A0657B"/>
    <w:rsid w:val="00A065F3"/>
    <w:rsid w:val="00A066A6"/>
    <w:rsid w:val="00A06775"/>
    <w:rsid w:val="00A06790"/>
    <w:rsid w:val="00A0686F"/>
    <w:rsid w:val="00A068EE"/>
    <w:rsid w:val="00A06CE7"/>
    <w:rsid w:val="00A07089"/>
    <w:rsid w:val="00A070BD"/>
    <w:rsid w:val="00A07204"/>
    <w:rsid w:val="00A07215"/>
    <w:rsid w:val="00A07503"/>
    <w:rsid w:val="00A07783"/>
    <w:rsid w:val="00A077C9"/>
    <w:rsid w:val="00A07C1B"/>
    <w:rsid w:val="00A07F70"/>
    <w:rsid w:val="00A1001C"/>
    <w:rsid w:val="00A103D2"/>
    <w:rsid w:val="00A10767"/>
    <w:rsid w:val="00A107D4"/>
    <w:rsid w:val="00A108CC"/>
    <w:rsid w:val="00A10A9F"/>
    <w:rsid w:val="00A10B01"/>
    <w:rsid w:val="00A112F4"/>
    <w:rsid w:val="00A11387"/>
    <w:rsid w:val="00A1153F"/>
    <w:rsid w:val="00A11547"/>
    <w:rsid w:val="00A116AF"/>
    <w:rsid w:val="00A119A4"/>
    <w:rsid w:val="00A11BBC"/>
    <w:rsid w:val="00A11CEE"/>
    <w:rsid w:val="00A12522"/>
    <w:rsid w:val="00A12A6B"/>
    <w:rsid w:val="00A12AB2"/>
    <w:rsid w:val="00A13033"/>
    <w:rsid w:val="00A1321C"/>
    <w:rsid w:val="00A13257"/>
    <w:rsid w:val="00A13375"/>
    <w:rsid w:val="00A134E2"/>
    <w:rsid w:val="00A135C4"/>
    <w:rsid w:val="00A138A8"/>
    <w:rsid w:val="00A138D5"/>
    <w:rsid w:val="00A13925"/>
    <w:rsid w:val="00A13B06"/>
    <w:rsid w:val="00A13FB5"/>
    <w:rsid w:val="00A140EF"/>
    <w:rsid w:val="00A141EE"/>
    <w:rsid w:val="00A14206"/>
    <w:rsid w:val="00A1425F"/>
    <w:rsid w:val="00A142B0"/>
    <w:rsid w:val="00A144F7"/>
    <w:rsid w:val="00A14524"/>
    <w:rsid w:val="00A14559"/>
    <w:rsid w:val="00A14596"/>
    <w:rsid w:val="00A14892"/>
    <w:rsid w:val="00A148F6"/>
    <w:rsid w:val="00A149B4"/>
    <w:rsid w:val="00A14AB9"/>
    <w:rsid w:val="00A14B8E"/>
    <w:rsid w:val="00A14F96"/>
    <w:rsid w:val="00A15105"/>
    <w:rsid w:val="00A152C4"/>
    <w:rsid w:val="00A154E6"/>
    <w:rsid w:val="00A15786"/>
    <w:rsid w:val="00A157E5"/>
    <w:rsid w:val="00A158DD"/>
    <w:rsid w:val="00A159F2"/>
    <w:rsid w:val="00A15AA0"/>
    <w:rsid w:val="00A15BC9"/>
    <w:rsid w:val="00A15C84"/>
    <w:rsid w:val="00A15D98"/>
    <w:rsid w:val="00A15FAC"/>
    <w:rsid w:val="00A16165"/>
    <w:rsid w:val="00A169F3"/>
    <w:rsid w:val="00A16E06"/>
    <w:rsid w:val="00A16F0D"/>
    <w:rsid w:val="00A172D9"/>
    <w:rsid w:val="00A17541"/>
    <w:rsid w:val="00A175BD"/>
    <w:rsid w:val="00A176A1"/>
    <w:rsid w:val="00A17809"/>
    <w:rsid w:val="00A17A53"/>
    <w:rsid w:val="00A17BD6"/>
    <w:rsid w:val="00A17CB7"/>
    <w:rsid w:val="00A17E26"/>
    <w:rsid w:val="00A18E3A"/>
    <w:rsid w:val="00A1BF50"/>
    <w:rsid w:val="00A201C7"/>
    <w:rsid w:val="00A201F9"/>
    <w:rsid w:val="00A2044F"/>
    <w:rsid w:val="00A20571"/>
    <w:rsid w:val="00A20630"/>
    <w:rsid w:val="00A2071E"/>
    <w:rsid w:val="00A20822"/>
    <w:rsid w:val="00A208A7"/>
    <w:rsid w:val="00A20A73"/>
    <w:rsid w:val="00A20CAA"/>
    <w:rsid w:val="00A20D8C"/>
    <w:rsid w:val="00A21337"/>
    <w:rsid w:val="00A213B3"/>
    <w:rsid w:val="00A215BC"/>
    <w:rsid w:val="00A21767"/>
    <w:rsid w:val="00A218AF"/>
    <w:rsid w:val="00A21916"/>
    <w:rsid w:val="00A219D6"/>
    <w:rsid w:val="00A21B50"/>
    <w:rsid w:val="00A21D05"/>
    <w:rsid w:val="00A21F92"/>
    <w:rsid w:val="00A221C0"/>
    <w:rsid w:val="00A2224D"/>
    <w:rsid w:val="00A225DE"/>
    <w:rsid w:val="00A22A16"/>
    <w:rsid w:val="00A22B67"/>
    <w:rsid w:val="00A22B8E"/>
    <w:rsid w:val="00A22B94"/>
    <w:rsid w:val="00A22E50"/>
    <w:rsid w:val="00A23881"/>
    <w:rsid w:val="00A23AA0"/>
    <w:rsid w:val="00A23B6C"/>
    <w:rsid w:val="00A23C95"/>
    <w:rsid w:val="00A242A1"/>
    <w:rsid w:val="00A2440A"/>
    <w:rsid w:val="00A24463"/>
    <w:rsid w:val="00A249A0"/>
    <w:rsid w:val="00A24B37"/>
    <w:rsid w:val="00A24D5A"/>
    <w:rsid w:val="00A24FEA"/>
    <w:rsid w:val="00A2510C"/>
    <w:rsid w:val="00A25442"/>
    <w:rsid w:val="00A254A6"/>
    <w:rsid w:val="00A255D6"/>
    <w:rsid w:val="00A255EE"/>
    <w:rsid w:val="00A256D5"/>
    <w:rsid w:val="00A2574B"/>
    <w:rsid w:val="00A259A9"/>
    <w:rsid w:val="00A25A88"/>
    <w:rsid w:val="00A25DA2"/>
    <w:rsid w:val="00A25DB4"/>
    <w:rsid w:val="00A25EE0"/>
    <w:rsid w:val="00A261BA"/>
    <w:rsid w:val="00A2626B"/>
    <w:rsid w:val="00A26407"/>
    <w:rsid w:val="00A26420"/>
    <w:rsid w:val="00A2654B"/>
    <w:rsid w:val="00A2661C"/>
    <w:rsid w:val="00A26927"/>
    <w:rsid w:val="00A26A9B"/>
    <w:rsid w:val="00A275B1"/>
    <w:rsid w:val="00A2779F"/>
    <w:rsid w:val="00A278B5"/>
    <w:rsid w:val="00A278E7"/>
    <w:rsid w:val="00A27F01"/>
    <w:rsid w:val="00A27F0D"/>
    <w:rsid w:val="00A30053"/>
    <w:rsid w:val="00A30057"/>
    <w:rsid w:val="00A300F9"/>
    <w:rsid w:val="00A30174"/>
    <w:rsid w:val="00A303C3"/>
    <w:rsid w:val="00A304F6"/>
    <w:rsid w:val="00A3056B"/>
    <w:rsid w:val="00A3062D"/>
    <w:rsid w:val="00A3099F"/>
    <w:rsid w:val="00A30B49"/>
    <w:rsid w:val="00A30E18"/>
    <w:rsid w:val="00A30E40"/>
    <w:rsid w:val="00A313E1"/>
    <w:rsid w:val="00A314A2"/>
    <w:rsid w:val="00A31896"/>
    <w:rsid w:val="00A3196E"/>
    <w:rsid w:val="00A31D34"/>
    <w:rsid w:val="00A31DDF"/>
    <w:rsid w:val="00A32343"/>
    <w:rsid w:val="00A324FB"/>
    <w:rsid w:val="00A325D8"/>
    <w:rsid w:val="00A32738"/>
    <w:rsid w:val="00A3280C"/>
    <w:rsid w:val="00A3293B"/>
    <w:rsid w:val="00A32C35"/>
    <w:rsid w:val="00A32C42"/>
    <w:rsid w:val="00A32FE9"/>
    <w:rsid w:val="00A330A3"/>
    <w:rsid w:val="00A3324A"/>
    <w:rsid w:val="00A333DD"/>
    <w:rsid w:val="00A335B5"/>
    <w:rsid w:val="00A33613"/>
    <w:rsid w:val="00A3398F"/>
    <w:rsid w:val="00A33A54"/>
    <w:rsid w:val="00A33E95"/>
    <w:rsid w:val="00A34074"/>
    <w:rsid w:val="00A34210"/>
    <w:rsid w:val="00A342AE"/>
    <w:rsid w:val="00A3463D"/>
    <w:rsid w:val="00A3470E"/>
    <w:rsid w:val="00A34B52"/>
    <w:rsid w:val="00A34BE2"/>
    <w:rsid w:val="00A34CE0"/>
    <w:rsid w:val="00A34EC6"/>
    <w:rsid w:val="00A3501B"/>
    <w:rsid w:val="00A3580B"/>
    <w:rsid w:val="00A358EE"/>
    <w:rsid w:val="00A35A2A"/>
    <w:rsid w:val="00A35C4B"/>
    <w:rsid w:val="00A36304"/>
    <w:rsid w:val="00A36306"/>
    <w:rsid w:val="00A3631A"/>
    <w:rsid w:val="00A364FF"/>
    <w:rsid w:val="00A36731"/>
    <w:rsid w:val="00A36C08"/>
    <w:rsid w:val="00A37049"/>
    <w:rsid w:val="00A3709B"/>
    <w:rsid w:val="00A3721E"/>
    <w:rsid w:val="00A374BF"/>
    <w:rsid w:val="00A374DD"/>
    <w:rsid w:val="00A3782A"/>
    <w:rsid w:val="00A378AC"/>
    <w:rsid w:val="00A37C9F"/>
    <w:rsid w:val="00A3CBE1"/>
    <w:rsid w:val="00A3D2FB"/>
    <w:rsid w:val="00A4001A"/>
    <w:rsid w:val="00A400ED"/>
    <w:rsid w:val="00A401CE"/>
    <w:rsid w:val="00A40249"/>
    <w:rsid w:val="00A406EE"/>
    <w:rsid w:val="00A408F4"/>
    <w:rsid w:val="00A40A0C"/>
    <w:rsid w:val="00A40AF2"/>
    <w:rsid w:val="00A410D5"/>
    <w:rsid w:val="00A413F8"/>
    <w:rsid w:val="00A4145B"/>
    <w:rsid w:val="00A415C7"/>
    <w:rsid w:val="00A4177B"/>
    <w:rsid w:val="00A41B6C"/>
    <w:rsid w:val="00A41D38"/>
    <w:rsid w:val="00A41DD4"/>
    <w:rsid w:val="00A41E55"/>
    <w:rsid w:val="00A41E57"/>
    <w:rsid w:val="00A41ED6"/>
    <w:rsid w:val="00A42103"/>
    <w:rsid w:val="00A42104"/>
    <w:rsid w:val="00A4226D"/>
    <w:rsid w:val="00A423B5"/>
    <w:rsid w:val="00A42576"/>
    <w:rsid w:val="00A42A73"/>
    <w:rsid w:val="00A42B06"/>
    <w:rsid w:val="00A42C76"/>
    <w:rsid w:val="00A42E53"/>
    <w:rsid w:val="00A42F56"/>
    <w:rsid w:val="00A42FE9"/>
    <w:rsid w:val="00A43231"/>
    <w:rsid w:val="00A43AD9"/>
    <w:rsid w:val="00A43BB6"/>
    <w:rsid w:val="00A43CD3"/>
    <w:rsid w:val="00A43D65"/>
    <w:rsid w:val="00A43E48"/>
    <w:rsid w:val="00A43FC0"/>
    <w:rsid w:val="00A4409D"/>
    <w:rsid w:val="00A441BA"/>
    <w:rsid w:val="00A441EB"/>
    <w:rsid w:val="00A443E2"/>
    <w:rsid w:val="00A445A4"/>
    <w:rsid w:val="00A4484F"/>
    <w:rsid w:val="00A44AE3"/>
    <w:rsid w:val="00A44E16"/>
    <w:rsid w:val="00A452F2"/>
    <w:rsid w:val="00A45419"/>
    <w:rsid w:val="00A45611"/>
    <w:rsid w:val="00A457E2"/>
    <w:rsid w:val="00A45931"/>
    <w:rsid w:val="00A45A2B"/>
    <w:rsid w:val="00A45BC4"/>
    <w:rsid w:val="00A45F49"/>
    <w:rsid w:val="00A46018"/>
    <w:rsid w:val="00A463FD"/>
    <w:rsid w:val="00A46583"/>
    <w:rsid w:val="00A46719"/>
    <w:rsid w:val="00A467AA"/>
    <w:rsid w:val="00A46981"/>
    <w:rsid w:val="00A469E7"/>
    <w:rsid w:val="00A46F99"/>
    <w:rsid w:val="00A47063"/>
    <w:rsid w:val="00A471FD"/>
    <w:rsid w:val="00A472E0"/>
    <w:rsid w:val="00A47769"/>
    <w:rsid w:val="00A47857"/>
    <w:rsid w:val="00A47ADC"/>
    <w:rsid w:val="00A47C87"/>
    <w:rsid w:val="00A47D18"/>
    <w:rsid w:val="00A47EC3"/>
    <w:rsid w:val="00A47F97"/>
    <w:rsid w:val="00A501D5"/>
    <w:rsid w:val="00A501F7"/>
    <w:rsid w:val="00A50984"/>
    <w:rsid w:val="00A50986"/>
    <w:rsid w:val="00A509BB"/>
    <w:rsid w:val="00A50A8F"/>
    <w:rsid w:val="00A50ABF"/>
    <w:rsid w:val="00A50C84"/>
    <w:rsid w:val="00A50CB8"/>
    <w:rsid w:val="00A511EE"/>
    <w:rsid w:val="00A5121F"/>
    <w:rsid w:val="00A5122F"/>
    <w:rsid w:val="00A51960"/>
    <w:rsid w:val="00A51BD7"/>
    <w:rsid w:val="00A52137"/>
    <w:rsid w:val="00A527BB"/>
    <w:rsid w:val="00A52A70"/>
    <w:rsid w:val="00A52BA1"/>
    <w:rsid w:val="00A533A6"/>
    <w:rsid w:val="00A5374D"/>
    <w:rsid w:val="00A5393E"/>
    <w:rsid w:val="00A53B83"/>
    <w:rsid w:val="00A53DB5"/>
    <w:rsid w:val="00A54300"/>
    <w:rsid w:val="00A5434E"/>
    <w:rsid w:val="00A54AFB"/>
    <w:rsid w:val="00A54E6D"/>
    <w:rsid w:val="00A54E7F"/>
    <w:rsid w:val="00A54EC0"/>
    <w:rsid w:val="00A55827"/>
    <w:rsid w:val="00A55F60"/>
    <w:rsid w:val="00A567E1"/>
    <w:rsid w:val="00A56856"/>
    <w:rsid w:val="00A56A48"/>
    <w:rsid w:val="00A56C20"/>
    <w:rsid w:val="00A56D44"/>
    <w:rsid w:val="00A57256"/>
    <w:rsid w:val="00A575B1"/>
    <w:rsid w:val="00A575B3"/>
    <w:rsid w:val="00A577A9"/>
    <w:rsid w:val="00A57A27"/>
    <w:rsid w:val="00A57F54"/>
    <w:rsid w:val="00A60187"/>
    <w:rsid w:val="00A60587"/>
    <w:rsid w:val="00A6091B"/>
    <w:rsid w:val="00A60AE2"/>
    <w:rsid w:val="00A60BA1"/>
    <w:rsid w:val="00A60E63"/>
    <w:rsid w:val="00A610C2"/>
    <w:rsid w:val="00A61192"/>
    <w:rsid w:val="00A61290"/>
    <w:rsid w:val="00A613FF"/>
    <w:rsid w:val="00A61703"/>
    <w:rsid w:val="00A61763"/>
    <w:rsid w:val="00A61770"/>
    <w:rsid w:val="00A617B2"/>
    <w:rsid w:val="00A618C2"/>
    <w:rsid w:val="00A61A62"/>
    <w:rsid w:val="00A61C23"/>
    <w:rsid w:val="00A61DB4"/>
    <w:rsid w:val="00A61E35"/>
    <w:rsid w:val="00A61E41"/>
    <w:rsid w:val="00A61EC9"/>
    <w:rsid w:val="00A61FD5"/>
    <w:rsid w:val="00A62188"/>
    <w:rsid w:val="00A621D2"/>
    <w:rsid w:val="00A626B7"/>
    <w:rsid w:val="00A62718"/>
    <w:rsid w:val="00A62737"/>
    <w:rsid w:val="00A62A32"/>
    <w:rsid w:val="00A62CAF"/>
    <w:rsid w:val="00A62CFF"/>
    <w:rsid w:val="00A62DA1"/>
    <w:rsid w:val="00A62DB4"/>
    <w:rsid w:val="00A62E94"/>
    <w:rsid w:val="00A62E9B"/>
    <w:rsid w:val="00A6309C"/>
    <w:rsid w:val="00A63190"/>
    <w:rsid w:val="00A6350A"/>
    <w:rsid w:val="00A63A3B"/>
    <w:rsid w:val="00A63D22"/>
    <w:rsid w:val="00A63EC3"/>
    <w:rsid w:val="00A63F20"/>
    <w:rsid w:val="00A6447D"/>
    <w:rsid w:val="00A645C9"/>
    <w:rsid w:val="00A64785"/>
    <w:rsid w:val="00A6488E"/>
    <w:rsid w:val="00A648F8"/>
    <w:rsid w:val="00A64A06"/>
    <w:rsid w:val="00A64DAD"/>
    <w:rsid w:val="00A64E70"/>
    <w:rsid w:val="00A652B0"/>
    <w:rsid w:val="00A654AA"/>
    <w:rsid w:val="00A654CD"/>
    <w:rsid w:val="00A65771"/>
    <w:rsid w:val="00A65ADD"/>
    <w:rsid w:val="00A65B9A"/>
    <w:rsid w:val="00A65DA9"/>
    <w:rsid w:val="00A660A4"/>
    <w:rsid w:val="00A662AC"/>
    <w:rsid w:val="00A6636B"/>
    <w:rsid w:val="00A6671A"/>
    <w:rsid w:val="00A66808"/>
    <w:rsid w:val="00A66D7C"/>
    <w:rsid w:val="00A66F9B"/>
    <w:rsid w:val="00A67101"/>
    <w:rsid w:val="00A6735E"/>
    <w:rsid w:val="00A6740A"/>
    <w:rsid w:val="00A67447"/>
    <w:rsid w:val="00A67588"/>
    <w:rsid w:val="00A67876"/>
    <w:rsid w:val="00A678C4"/>
    <w:rsid w:val="00A67C1D"/>
    <w:rsid w:val="00A67E39"/>
    <w:rsid w:val="00A67EA7"/>
    <w:rsid w:val="00A70017"/>
    <w:rsid w:val="00A70333"/>
    <w:rsid w:val="00A70840"/>
    <w:rsid w:val="00A70AE1"/>
    <w:rsid w:val="00A70CAB"/>
    <w:rsid w:val="00A70DC3"/>
    <w:rsid w:val="00A70E5A"/>
    <w:rsid w:val="00A713BB"/>
    <w:rsid w:val="00A71479"/>
    <w:rsid w:val="00A7151D"/>
    <w:rsid w:val="00A7175E"/>
    <w:rsid w:val="00A718DC"/>
    <w:rsid w:val="00A71AEB"/>
    <w:rsid w:val="00A71D2E"/>
    <w:rsid w:val="00A71F61"/>
    <w:rsid w:val="00A71FCC"/>
    <w:rsid w:val="00A72246"/>
    <w:rsid w:val="00A72251"/>
    <w:rsid w:val="00A72328"/>
    <w:rsid w:val="00A72336"/>
    <w:rsid w:val="00A7233B"/>
    <w:rsid w:val="00A72798"/>
    <w:rsid w:val="00A72816"/>
    <w:rsid w:val="00A72A97"/>
    <w:rsid w:val="00A72E9B"/>
    <w:rsid w:val="00A72EA9"/>
    <w:rsid w:val="00A72ED1"/>
    <w:rsid w:val="00A7352F"/>
    <w:rsid w:val="00A73964"/>
    <w:rsid w:val="00A73C7C"/>
    <w:rsid w:val="00A7401C"/>
    <w:rsid w:val="00A74154"/>
    <w:rsid w:val="00A744A3"/>
    <w:rsid w:val="00A74765"/>
    <w:rsid w:val="00A7478B"/>
    <w:rsid w:val="00A749D3"/>
    <w:rsid w:val="00A74FE2"/>
    <w:rsid w:val="00A74FF1"/>
    <w:rsid w:val="00A75910"/>
    <w:rsid w:val="00A75A51"/>
    <w:rsid w:val="00A75D77"/>
    <w:rsid w:val="00A75DA6"/>
    <w:rsid w:val="00A76102"/>
    <w:rsid w:val="00A763ED"/>
    <w:rsid w:val="00A76473"/>
    <w:rsid w:val="00A765A9"/>
    <w:rsid w:val="00A765B3"/>
    <w:rsid w:val="00A765B4"/>
    <w:rsid w:val="00A768F3"/>
    <w:rsid w:val="00A76A21"/>
    <w:rsid w:val="00A76A5A"/>
    <w:rsid w:val="00A76D26"/>
    <w:rsid w:val="00A76FEC"/>
    <w:rsid w:val="00A77047"/>
    <w:rsid w:val="00A775F4"/>
    <w:rsid w:val="00A77805"/>
    <w:rsid w:val="00A779A4"/>
    <w:rsid w:val="00A77A60"/>
    <w:rsid w:val="00A77B90"/>
    <w:rsid w:val="00A8018B"/>
    <w:rsid w:val="00A801DB"/>
    <w:rsid w:val="00A802DA"/>
    <w:rsid w:val="00A803B1"/>
    <w:rsid w:val="00A8044B"/>
    <w:rsid w:val="00A804E8"/>
    <w:rsid w:val="00A8076F"/>
    <w:rsid w:val="00A80811"/>
    <w:rsid w:val="00A8087B"/>
    <w:rsid w:val="00A80939"/>
    <w:rsid w:val="00A81024"/>
    <w:rsid w:val="00A813E2"/>
    <w:rsid w:val="00A813EC"/>
    <w:rsid w:val="00A815EE"/>
    <w:rsid w:val="00A817AB"/>
    <w:rsid w:val="00A8185C"/>
    <w:rsid w:val="00A818D9"/>
    <w:rsid w:val="00A81DED"/>
    <w:rsid w:val="00A81EFA"/>
    <w:rsid w:val="00A81FF2"/>
    <w:rsid w:val="00A82314"/>
    <w:rsid w:val="00A82595"/>
    <w:rsid w:val="00A826A9"/>
    <w:rsid w:val="00A82721"/>
    <w:rsid w:val="00A82E5E"/>
    <w:rsid w:val="00A82ECA"/>
    <w:rsid w:val="00A83071"/>
    <w:rsid w:val="00A831D7"/>
    <w:rsid w:val="00A83328"/>
    <w:rsid w:val="00A8336B"/>
    <w:rsid w:val="00A83580"/>
    <w:rsid w:val="00A839C5"/>
    <w:rsid w:val="00A83A39"/>
    <w:rsid w:val="00A83A64"/>
    <w:rsid w:val="00A83AA7"/>
    <w:rsid w:val="00A83BBD"/>
    <w:rsid w:val="00A83D10"/>
    <w:rsid w:val="00A84130"/>
    <w:rsid w:val="00A8415E"/>
    <w:rsid w:val="00A84215"/>
    <w:rsid w:val="00A84397"/>
    <w:rsid w:val="00A84748"/>
    <w:rsid w:val="00A84980"/>
    <w:rsid w:val="00A84E89"/>
    <w:rsid w:val="00A84F44"/>
    <w:rsid w:val="00A852AB"/>
    <w:rsid w:val="00A85899"/>
    <w:rsid w:val="00A85A09"/>
    <w:rsid w:val="00A85E8D"/>
    <w:rsid w:val="00A86007"/>
    <w:rsid w:val="00A860BC"/>
    <w:rsid w:val="00A862C8"/>
    <w:rsid w:val="00A87081"/>
    <w:rsid w:val="00A8737B"/>
    <w:rsid w:val="00A8740E"/>
    <w:rsid w:val="00A87523"/>
    <w:rsid w:val="00A8767F"/>
    <w:rsid w:val="00A879CD"/>
    <w:rsid w:val="00A87E62"/>
    <w:rsid w:val="00A87ED7"/>
    <w:rsid w:val="00A8AC72"/>
    <w:rsid w:val="00A90096"/>
    <w:rsid w:val="00A9018B"/>
    <w:rsid w:val="00A901C3"/>
    <w:rsid w:val="00A90205"/>
    <w:rsid w:val="00A906FE"/>
    <w:rsid w:val="00A90760"/>
    <w:rsid w:val="00A90771"/>
    <w:rsid w:val="00A90A38"/>
    <w:rsid w:val="00A90C54"/>
    <w:rsid w:val="00A90F08"/>
    <w:rsid w:val="00A90F94"/>
    <w:rsid w:val="00A912A9"/>
    <w:rsid w:val="00A91326"/>
    <w:rsid w:val="00A91C97"/>
    <w:rsid w:val="00A91F42"/>
    <w:rsid w:val="00A91FC2"/>
    <w:rsid w:val="00A920F5"/>
    <w:rsid w:val="00A920FC"/>
    <w:rsid w:val="00A921FD"/>
    <w:rsid w:val="00A92710"/>
    <w:rsid w:val="00A92C4A"/>
    <w:rsid w:val="00A92D1C"/>
    <w:rsid w:val="00A92F93"/>
    <w:rsid w:val="00A93262"/>
    <w:rsid w:val="00A93354"/>
    <w:rsid w:val="00A9368E"/>
    <w:rsid w:val="00A93E3C"/>
    <w:rsid w:val="00A93F9B"/>
    <w:rsid w:val="00A94173"/>
    <w:rsid w:val="00A94696"/>
    <w:rsid w:val="00A949C8"/>
    <w:rsid w:val="00A94ACC"/>
    <w:rsid w:val="00A94E1A"/>
    <w:rsid w:val="00A94E68"/>
    <w:rsid w:val="00A94EA2"/>
    <w:rsid w:val="00A95050"/>
    <w:rsid w:val="00A9526B"/>
    <w:rsid w:val="00A9527D"/>
    <w:rsid w:val="00A952C6"/>
    <w:rsid w:val="00A9539E"/>
    <w:rsid w:val="00A9548B"/>
    <w:rsid w:val="00A958B0"/>
    <w:rsid w:val="00A95BA6"/>
    <w:rsid w:val="00A95C65"/>
    <w:rsid w:val="00A961F4"/>
    <w:rsid w:val="00A96243"/>
    <w:rsid w:val="00A96377"/>
    <w:rsid w:val="00A963CE"/>
    <w:rsid w:val="00A96493"/>
    <w:rsid w:val="00A968BB"/>
    <w:rsid w:val="00A96C88"/>
    <w:rsid w:val="00A96CD9"/>
    <w:rsid w:val="00A96D5C"/>
    <w:rsid w:val="00A96F1A"/>
    <w:rsid w:val="00A96FB1"/>
    <w:rsid w:val="00A9701F"/>
    <w:rsid w:val="00A97196"/>
    <w:rsid w:val="00A97315"/>
    <w:rsid w:val="00A9767F"/>
    <w:rsid w:val="00A9795D"/>
    <w:rsid w:val="00A97985"/>
    <w:rsid w:val="00A979A6"/>
    <w:rsid w:val="00A97A98"/>
    <w:rsid w:val="00A97B4C"/>
    <w:rsid w:val="00A97B63"/>
    <w:rsid w:val="00A97CB5"/>
    <w:rsid w:val="00A97E80"/>
    <w:rsid w:val="00A97ED8"/>
    <w:rsid w:val="00AA0115"/>
    <w:rsid w:val="00AA01C9"/>
    <w:rsid w:val="00AA03CF"/>
    <w:rsid w:val="00AA0483"/>
    <w:rsid w:val="00AA0524"/>
    <w:rsid w:val="00AA0553"/>
    <w:rsid w:val="00AA0927"/>
    <w:rsid w:val="00AA095A"/>
    <w:rsid w:val="00AA1920"/>
    <w:rsid w:val="00AA1A2A"/>
    <w:rsid w:val="00AA1BA8"/>
    <w:rsid w:val="00AA1C2F"/>
    <w:rsid w:val="00AA21F7"/>
    <w:rsid w:val="00AA2296"/>
    <w:rsid w:val="00AA236D"/>
    <w:rsid w:val="00AA23D4"/>
    <w:rsid w:val="00AA2481"/>
    <w:rsid w:val="00AA275B"/>
    <w:rsid w:val="00AA2794"/>
    <w:rsid w:val="00AA280F"/>
    <w:rsid w:val="00AA29CC"/>
    <w:rsid w:val="00AA29FE"/>
    <w:rsid w:val="00AA2B63"/>
    <w:rsid w:val="00AA3020"/>
    <w:rsid w:val="00AA33A0"/>
    <w:rsid w:val="00AA33AA"/>
    <w:rsid w:val="00AA341F"/>
    <w:rsid w:val="00AA389E"/>
    <w:rsid w:val="00AA3C00"/>
    <w:rsid w:val="00AA3F85"/>
    <w:rsid w:val="00AA405D"/>
    <w:rsid w:val="00AA41D4"/>
    <w:rsid w:val="00AA470B"/>
    <w:rsid w:val="00AA4817"/>
    <w:rsid w:val="00AA48EB"/>
    <w:rsid w:val="00AA4928"/>
    <w:rsid w:val="00AA4C31"/>
    <w:rsid w:val="00AA4E6C"/>
    <w:rsid w:val="00AA4FAA"/>
    <w:rsid w:val="00AA502A"/>
    <w:rsid w:val="00AA5312"/>
    <w:rsid w:val="00AA55B1"/>
    <w:rsid w:val="00AA55C2"/>
    <w:rsid w:val="00AA58AD"/>
    <w:rsid w:val="00AA597F"/>
    <w:rsid w:val="00AA5991"/>
    <w:rsid w:val="00AA5B23"/>
    <w:rsid w:val="00AA5BB8"/>
    <w:rsid w:val="00AA5C5C"/>
    <w:rsid w:val="00AA64B0"/>
    <w:rsid w:val="00AA64BB"/>
    <w:rsid w:val="00AA6C4B"/>
    <w:rsid w:val="00AA7342"/>
    <w:rsid w:val="00AA7454"/>
    <w:rsid w:val="00AA75E8"/>
    <w:rsid w:val="00AA776E"/>
    <w:rsid w:val="00AA79D8"/>
    <w:rsid w:val="00AA7AA0"/>
    <w:rsid w:val="00AA7AF1"/>
    <w:rsid w:val="00AA7BCF"/>
    <w:rsid w:val="00AA7F95"/>
    <w:rsid w:val="00AA9586"/>
    <w:rsid w:val="00AAC94C"/>
    <w:rsid w:val="00AB01B6"/>
    <w:rsid w:val="00AB03F0"/>
    <w:rsid w:val="00AB0729"/>
    <w:rsid w:val="00AB09F8"/>
    <w:rsid w:val="00AB0B4C"/>
    <w:rsid w:val="00AB0CE5"/>
    <w:rsid w:val="00AB0CEE"/>
    <w:rsid w:val="00AB1083"/>
    <w:rsid w:val="00AB12EE"/>
    <w:rsid w:val="00AB1554"/>
    <w:rsid w:val="00AB15BF"/>
    <w:rsid w:val="00AB1875"/>
    <w:rsid w:val="00AB1ADB"/>
    <w:rsid w:val="00AB1BE9"/>
    <w:rsid w:val="00AB1D64"/>
    <w:rsid w:val="00AB1D9C"/>
    <w:rsid w:val="00AB200C"/>
    <w:rsid w:val="00AB21CD"/>
    <w:rsid w:val="00AB230A"/>
    <w:rsid w:val="00AB23C7"/>
    <w:rsid w:val="00AB23E5"/>
    <w:rsid w:val="00AB2448"/>
    <w:rsid w:val="00AB245F"/>
    <w:rsid w:val="00AB264A"/>
    <w:rsid w:val="00AB284F"/>
    <w:rsid w:val="00AB2AE0"/>
    <w:rsid w:val="00AB2BBD"/>
    <w:rsid w:val="00AB2C3F"/>
    <w:rsid w:val="00AB32BF"/>
    <w:rsid w:val="00AB3A03"/>
    <w:rsid w:val="00AB3AB6"/>
    <w:rsid w:val="00AB3D3C"/>
    <w:rsid w:val="00AB3DBE"/>
    <w:rsid w:val="00AB4125"/>
    <w:rsid w:val="00AB412A"/>
    <w:rsid w:val="00AB43E4"/>
    <w:rsid w:val="00AB43F5"/>
    <w:rsid w:val="00AB44FD"/>
    <w:rsid w:val="00AB4573"/>
    <w:rsid w:val="00AB458E"/>
    <w:rsid w:val="00AB466F"/>
    <w:rsid w:val="00AB49E8"/>
    <w:rsid w:val="00AB49ED"/>
    <w:rsid w:val="00AB4A9B"/>
    <w:rsid w:val="00AB4B8E"/>
    <w:rsid w:val="00AB4D3E"/>
    <w:rsid w:val="00AB4D86"/>
    <w:rsid w:val="00AB4FB6"/>
    <w:rsid w:val="00AB5488"/>
    <w:rsid w:val="00AB5551"/>
    <w:rsid w:val="00AB562E"/>
    <w:rsid w:val="00AB6015"/>
    <w:rsid w:val="00AB6096"/>
    <w:rsid w:val="00AB641B"/>
    <w:rsid w:val="00AB6559"/>
    <w:rsid w:val="00AB6673"/>
    <w:rsid w:val="00AB6D26"/>
    <w:rsid w:val="00AB6D5C"/>
    <w:rsid w:val="00AB6E89"/>
    <w:rsid w:val="00AB6EAA"/>
    <w:rsid w:val="00AB6EED"/>
    <w:rsid w:val="00AB6F52"/>
    <w:rsid w:val="00AB6FA5"/>
    <w:rsid w:val="00AB6FB8"/>
    <w:rsid w:val="00AB714A"/>
    <w:rsid w:val="00AB7156"/>
    <w:rsid w:val="00AB7613"/>
    <w:rsid w:val="00AB7833"/>
    <w:rsid w:val="00AB7A05"/>
    <w:rsid w:val="00AB7BA9"/>
    <w:rsid w:val="00AB7C4E"/>
    <w:rsid w:val="00AB7CC7"/>
    <w:rsid w:val="00AB7DA1"/>
    <w:rsid w:val="00AB99B1"/>
    <w:rsid w:val="00AC00DA"/>
    <w:rsid w:val="00AC011C"/>
    <w:rsid w:val="00AC0293"/>
    <w:rsid w:val="00AC0556"/>
    <w:rsid w:val="00AC08AB"/>
    <w:rsid w:val="00AC0B7D"/>
    <w:rsid w:val="00AC0F5D"/>
    <w:rsid w:val="00AC11E6"/>
    <w:rsid w:val="00AC1240"/>
    <w:rsid w:val="00AC12A7"/>
    <w:rsid w:val="00AC133C"/>
    <w:rsid w:val="00AC138F"/>
    <w:rsid w:val="00AC139F"/>
    <w:rsid w:val="00AC16A2"/>
    <w:rsid w:val="00AC1ABE"/>
    <w:rsid w:val="00AC1B41"/>
    <w:rsid w:val="00AC1CA7"/>
    <w:rsid w:val="00AC1CDA"/>
    <w:rsid w:val="00AC1F19"/>
    <w:rsid w:val="00AC236C"/>
    <w:rsid w:val="00AC2474"/>
    <w:rsid w:val="00AC265F"/>
    <w:rsid w:val="00AC2767"/>
    <w:rsid w:val="00AC27DB"/>
    <w:rsid w:val="00AC27E8"/>
    <w:rsid w:val="00AC28F4"/>
    <w:rsid w:val="00AC2CA0"/>
    <w:rsid w:val="00AC2E16"/>
    <w:rsid w:val="00AC2EA7"/>
    <w:rsid w:val="00AC3023"/>
    <w:rsid w:val="00AC3176"/>
    <w:rsid w:val="00AC3666"/>
    <w:rsid w:val="00AC37C7"/>
    <w:rsid w:val="00AC37DA"/>
    <w:rsid w:val="00AC3C64"/>
    <w:rsid w:val="00AC42B7"/>
    <w:rsid w:val="00AC461F"/>
    <w:rsid w:val="00AC46C4"/>
    <w:rsid w:val="00AC47C7"/>
    <w:rsid w:val="00AC4B63"/>
    <w:rsid w:val="00AC4C6A"/>
    <w:rsid w:val="00AC5087"/>
    <w:rsid w:val="00AC522B"/>
    <w:rsid w:val="00AC55BB"/>
    <w:rsid w:val="00AC55CC"/>
    <w:rsid w:val="00AC579A"/>
    <w:rsid w:val="00AC579B"/>
    <w:rsid w:val="00AC5946"/>
    <w:rsid w:val="00AC5C4E"/>
    <w:rsid w:val="00AC5F5C"/>
    <w:rsid w:val="00AC637F"/>
    <w:rsid w:val="00AC643D"/>
    <w:rsid w:val="00AC64D7"/>
    <w:rsid w:val="00AC66A1"/>
    <w:rsid w:val="00AC6797"/>
    <w:rsid w:val="00AC6DFA"/>
    <w:rsid w:val="00AC6EFA"/>
    <w:rsid w:val="00AC7040"/>
    <w:rsid w:val="00AC705B"/>
    <w:rsid w:val="00AC7289"/>
    <w:rsid w:val="00AC72AC"/>
    <w:rsid w:val="00AC7761"/>
    <w:rsid w:val="00AC7857"/>
    <w:rsid w:val="00AC7875"/>
    <w:rsid w:val="00AC7BAB"/>
    <w:rsid w:val="00AC7D3F"/>
    <w:rsid w:val="00AC7E6E"/>
    <w:rsid w:val="00ACD9AD"/>
    <w:rsid w:val="00ACF738"/>
    <w:rsid w:val="00AD0127"/>
    <w:rsid w:val="00AD012E"/>
    <w:rsid w:val="00AD038C"/>
    <w:rsid w:val="00AD065D"/>
    <w:rsid w:val="00AD068D"/>
    <w:rsid w:val="00AD0897"/>
    <w:rsid w:val="00AD09BE"/>
    <w:rsid w:val="00AD0D76"/>
    <w:rsid w:val="00AD1138"/>
    <w:rsid w:val="00AD194A"/>
    <w:rsid w:val="00AD1A0D"/>
    <w:rsid w:val="00AD1B70"/>
    <w:rsid w:val="00AD1DC5"/>
    <w:rsid w:val="00AD1E54"/>
    <w:rsid w:val="00AD227F"/>
    <w:rsid w:val="00AD2377"/>
    <w:rsid w:val="00AD2457"/>
    <w:rsid w:val="00AD24E0"/>
    <w:rsid w:val="00AD25DA"/>
    <w:rsid w:val="00AD2617"/>
    <w:rsid w:val="00AD28C6"/>
    <w:rsid w:val="00AD2A62"/>
    <w:rsid w:val="00AD2D46"/>
    <w:rsid w:val="00AD2F35"/>
    <w:rsid w:val="00AD33B8"/>
    <w:rsid w:val="00AD376E"/>
    <w:rsid w:val="00AD3981"/>
    <w:rsid w:val="00AD3CDC"/>
    <w:rsid w:val="00AD3D76"/>
    <w:rsid w:val="00AD3E2D"/>
    <w:rsid w:val="00AD3E94"/>
    <w:rsid w:val="00AD3EBB"/>
    <w:rsid w:val="00AD44B5"/>
    <w:rsid w:val="00AD481B"/>
    <w:rsid w:val="00AD4828"/>
    <w:rsid w:val="00AD49A4"/>
    <w:rsid w:val="00AD4CB8"/>
    <w:rsid w:val="00AD4D14"/>
    <w:rsid w:val="00AD4DCF"/>
    <w:rsid w:val="00AD534B"/>
    <w:rsid w:val="00AD5C46"/>
    <w:rsid w:val="00AD5E56"/>
    <w:rsid w:val="00AD601B"/>
    <w:rsid w:val="00AD6198"/>
    <w:rsid w:val="00AD6797"/>
    <w:rsid w:val="00AD6895"/>
    <w:rsid w:val="00AD689B"/>
    <w:rsid w:val="00AD6C24"/>
    <w:rsid w:val="00AD6C50"/>
    <w:rsid w:val="00AD6D34"/>
    <w:rsid w:val="00AD6DC8"/>
    <w:rsid w:val="00AD6DDB"/>
    <w:rsid w:val="00AD6F79"/>
    <w:rsid w:val="00AD7024"/>
    <w:rsid w:val="00AD74D3"/>
    <w:rsid w:val="00AD74D9"/>
    <w:rsid w:val="00AD75C7"/>
    <w:rsid w:val="00AD7691"/>
    <w:rsid w:val="00AD7699"/>
    <w:rsid w:val="00AD78DB"/>
    <w:rsid w:val="00AD7BAA"/>
    <w:rsid w:val="00AD7C2B"/>
    <w:rsid w:val="00AD7C83"/>
    <w:rsid w:val="00AD7DC6"/>
    <w:rsid w:val="00AD7EEE"/>
    <w:rsid w:val="00AD7F50"/>
    <w:rsid w:val="00AD7F84"/>
    <w:rsid w:val="00AD7FF6"/>
    <w:rsid w:val="00AE00CE"/>
    <w:rsid w:val="00AE00E1"/>
    <w:rsid w:val="00AE0A6B"/>
    <w:rsid w:val="00AE0DEB"/>
    <w:rsid w:val="00AE1067"/>
    <w:rsid w:val="00AE137E"/>
    <w:rsid w:val="00AE143B"/>
    <w:rsid w:val="00AE14C1"/>
    <w:rsid w:val="00AE15F8"/>
    <w:rsid w:val="00AE1650"/>
    <w:rsid w:val="00AE17B2"/>
    <w:rsid w:val="00AE19BE"/>
    <w:rsid w:val="00AE1AB4"/>
    <w:rsid w:val="00AE1CC7"/>
    <w:rsid w:val="00AE1D58"/>
    <w:rsid w:val="00AE1D6E"/>
    <w:rsid w:val="00AE23A9"/>
    <w:rsid w:val="00AE27DF"/>
    <w:rsid w:val="00AE28F6"/>
    <w:rsid w:val="00AE2C2F"/>
    <w:rsid w:val="00AE2D08"/>
    <w:rsid w:val="00AE2D28"/>
    <w:rsid w:val="00AE2D57"/>
    <w:rsid w:val="00AE2F1D"/>
    <w:rsid w:val="00AE32FF"/>
    <w:rsid w:val="00AE345D"/>
    <w:rsid w:val="00AE3528"/>
    <w:rsid w:val="00AE3CAF"/>
    <w:rsid w:val="00AE3CB5"/>
    <w:rsid w:val="00AE3CBB"/>
    <w:rsid w:val="00AE4243"/>
    <w:rsid w:val="00AE4759"/>
    <w:rsid w:val="00AE4A86"/>
    <w:rsid w:val="00AE4EB9"/>
    <w:rsid w:val="00AE4ED6"/>
    <w:rsid w:val="00AE4F85"/>
    <w:rsid w:val="00AE4FB7"/>
    <w:rsid w:val="00AE53E5"/>
    <w:rsid w:val="00AE53F4"/>
    <w:rsid w:val="00AE54DA"/>
    <w:rsid w:val="00AE5501"/>
    <w:rsid w:val="00AE57D8"/>
    <w:rsid w:val="00AE5966"/>
    <w:rsid w:val="00AE5BEB"/>
    <w:rsid w:val="00AE5EC2"/>
    <w:rsid w:val="00AE5F90"/>
    <w:rsid w:val="00AE5FED"/>
    <w:rsid w:val="00AE602B"/>
    <w:rsid w:val="00AE6366"/>
    <w:rsid w:val="00AE6378"/>
    <w:rsid w:val="00AE6830"/>
    <w:rsid w:val="00AE6896"/>
    <w:rsid w:val="00AE68A1"/>
    <w:rsid w:val="00AE6BB7"/>
    <w:rsid w:val="00AE6BB8"/>
    <w:rsid w:val="00AE6E34"/>
    <w:rsid w:val="00AE6FFE"/>
    <w:rsid w:val="00AE70E8"/>
    <w:rsid w:val="00AE72C4"/>
    <w:rsid w:val="00AE7403"/>
    <w:rsid w:val="00AE7534"/>
    <w:rsid w:val="00AE7657"/>
    <w:rsid w:val="00AE76BA"/>
    <w:rsid w:val="00AE77A0"/>
    <w:rsid w:val="00AE7B1D"/>
    <w:rsid w:val="00AE7C43"/>
    <w:rsid w:val="00AE7D64"/>
    <w:rsid w:val="00AE7DA3"/>
    <w:rsid w:val="00AE7EF3"/>
    <w:rsid w:val="00AEE3AF"/>
    <w:rsid w:val="00AF002C"/>
    <w:rsid w:val="00AF0204"/>
    <w:rsid w:val="00AF0528"/>
    <w:rsid w:val="00AF0856"/>
    <w:rsid w:val="00AF0914"/>
    <w:rsid w:val="00AF0E20"/>
    <w:rsid w:val="00AF0E25"/>
    <w:rsid w:val="00AF0E36"/>
    <w:rsid w:val="00AF0EF3"/>
    <w:rsid w:val="00AF10E9"/>
    <w:rsid w:val="00AF12B2"/>
    <w:rsid w:val="00AF184D"/>
    <w:rsid w:val="00AF1A79"/>
    <w:rsid w:val="00AF1B96"/>
    <w:rsid w:val="00AF1BF4"/>
    <w:rsid w:val="00AF1C27"/>
    <w:rsid w:val="00AF1D80"/>
    <w:rsid w:val="00AF1E5A"/>
    <w:rsid w:val="00AF20C1"/>
    <w:rsid w:val="00AF213C"/>
    <w:rsid w:val="00AF214F"/>
    <w:rsid w:val="00AF2182"/>
    <w:rsid w:val="00AF22A8"/>
    <w:rsid w:val="00AF2336"/>
    <w:rsid w:val="00AF2454"/>
    <w:rsid w:val="00AF2462"/>
    <w:rsid w:val="00AF25B2"/>
    <w:rsid w:val="00AF270C"/>
    <w:rsid w:val="00AF281D"/>
    <w:rsid w:val="00AF2897"/>
    <w:rsid w:val="00AF2928"/>
    <w:rsid w:val="00AF2AD5"/>
    <w:rsid w:val="00AF2B00"/>
    <w:rsid w:val="00AF2B24"/>
    <w:rsid w:val="00AF2BFA"/>
    <w:rsid w:val="00AF2FA3"/>
    <w:rsid w:val="00AF31B8"/>
    <w:rsid w:val="00AF3480"/>
    <w:rsid w:val="00AF35B9"/>
    <w:rsid w:val="00AF361A"/>
    <w:rsid w:val="00AF3924"/>
    <w:rsid w:val="00AF3979"/>
    <w:rsid w:val="00AF39E8"/>
    <w:rsid w:val="00AF3A41"/>
    <w:rsid w:val="00AF3D39"/>
    <w:rsid w:val="00AF3E5A"/>
    <w:rsid w:val="00AF3F99"/>
    <w:rsid w:val="00AF4005"/>
    <w:rsid w:val="00AF4159"/>
    <w:rsid w:val="00AF4237"/>
    <w:rsid w:val="00AF4285"/>
    <w:rsid w:val="00AF433E"/>
    <w:rsid w:val="00AF457A"/>
    <w:rsid w:val="00AF4B19"/>
    <w:rsid w:val="00AF4B3E"/>
    <w:rsid w:val="00AF5034"/>
    <w:rsid w:val="00AF5128"/>
    <w:rsid w:val="00AF51A8"/>
    <w:rsid w:val="00AF59C7"/>
    <w:rsid w:val="00AF5A6C"/>
    <w:rsid w:val="00AF5B27"/>
    <w:rsid w:val="00AF5B52"/>
    <w:rsid w:val="00AF5BE8"/>
    <w:rsid w:val="00AF5E22"/>
    <w:rsid w:val="00AF5EDE"/>
    <w:rsid w:val="00AF60CC"/>
    <w:rsid w:val="00AF62EE"/>
    <w:rsid w:val="00AF6590"/>
    <w:rsid w:val="00AF6687"/>
    <w:rsid w:val="00AF670F"/>
    <w:rsid w:val="00AF6A4A"/>
    <w:rsid w:val="00AF6C00"/>
    <w:rsid w:val="00AF6DC0"/>
    <w:rsid w:val="00AF6DFB"/>
    <w:rsid w:val="00AF6FF8"/>
    <w:rsid w:val="00AF70E3"/>
    <w:rsid w:val="00AF7396"/>
    <w:rsid w:val="00AF74C7"/>
    <w:rsid w:val="00AF7A55"/>
    <w:rsid w:val="00AF7B97"/>
    <w:rsid w:val="00AF7C87"/>
    <w:rsid w:val="00AFD61C"/>
    <w:rsid w:val="00B00170"/>
    <w:rsid w:val="00B005F4"/>
    <w:rsid w:val="00B00759"/>
    <w:rsid w:val="00B00C78"/>
    <w:rsid w:val="00B00C7B"/>
    <w:rsid w:val="00B00CD8"/>
    <w:rsid w:val="00B00D81"/>
    <w:rsid w:val="00B00DA9"/>
    <w:rsid w:val="00B0103E"/>
    <w:rsid w:val="00B0125F"/>
    <w:rsid w:val="00B012A0"/>
    <w:rsid w:val="00B01ACE"/>
    <w:rsid w:val="00B01B0A"/>
    <w:rsid w:val="00B01BDD"/>
    <w:rsid w:val="00B020B9"/>
    <w:rsid w:val="00B020F6"/>
    <w:rsid w:val="00B023B3"/>
    <w:rsid w:val="00B023E7"/>
    <w:rsid w:val="00B029B9"/>
    <w:rsid w:val="00B02C2C"/>
    <w:rsid w:val="00B02C83"/>
    <w:rsid w:val="00B02D44"/>
    <w:rsid w:val="00B02D98"/>
    <w:rsid w:val="00B02EE4"/>
    <w:rsid w:val="00B02F58"/>
    <w:rsid w:val="00B03524"/>
    <w:rsid w:val="00B03884"/>
    <w:rsid w:val="00B038F5"/>
    <w:rsid w:val="00B03904"/>
    <w:rsid w:val="00B03907"/>
    <w:rsid w:val="00B03D7B"/>
    <w:rsid w:val="00B03DD4"/>
    <w:rsid w:val="00B04047"/>
    <w:rsid w:val="00B040C2"/>
    <w:rsid w:val="00B041FF"/>
    <w:rsid w:val="00B042B7"/>
    <w:rsid w:val="00B043F4"/>
    <w:rsid w:val="00B04470"/>
    <w:rsid w:val="00B044EF"/>
    <w:rsid w:val="00B048FD"/>
    <w:rsid w:val="00B04960"/>
    <w:rsid w:val="00B04C09"/>
    <w:rsid w:val="00B04E86"/>
    <w:rsid w:val="00B051CC"/>
    <w:rsid w:val="00B053E7"/>
    <w:rsid w:val="00B0560A"/>
    <w:rsid w:val="00B0583C"/>
    <w:rsid w:val="00B0599B"/>
    <w:rsid w:val="00B05BE4"/>
    <w:rsid w:val="00B05CFA"/>
    <w:rsid w:val="00B05CFB"/>
    <w:rsid w:val="00B0634F"/>
    <w:rsid w:val="00B06433"/>
    <w:rsid w:val="00B064C7"/>
    <w:rsid w:val="00B0655C"/>
    <w:rsid w:val="00B065A6"/>
    <w:rsid w:val="00B06769"/>
    <w:rsid w:val="00B06A94"/>
    <w:rsid w:val="00B06C01"/>
    <w:rsid w:val="00B06C89"/>
    <w:rsid w:val="00B06ECF"/>
    <w:rsid w:val="00B0709F"/>
    <w:rsid w:val="00B072F5"/>
    <w:rsid w:val="00B07345"/>
    <w:rsid w:val="00B074C2"/>
    <w:rsid w:val="00B074FB"/>
    <w:rsid w:val="00B07529"/>
    <w:rsid w:val="00B075AB"/>
    <w:rsid w:val="00B07700"/>
    <w:rsid w:val="00B07852"/>
    <w:rsid w:val="00B07970"/>
    <w:rsid w:val="00B07A97"/>
    <w:rsid w:val="00B07AD7"/>
    <w:rsid w:val="00B07CE3"/>
    <w:rsid w:val="00B0A469"/>
    <w:rsid w:val="00B10271"/>
    <w:rsid w:val="00B10897"/>
    <w:rsid w:val="00B108B9"/>
    <w:rsid w:val="00B10993"/>
    <w:rsid w:val="00B10CD0"/>
    <w:rsid w:val="00B10CD1"/>
    <w:rsid w:val="00B10CF2"/>
    <w:rsid w:val="00B10E36"/>
    <w:rsid w:val="00B10E72"/>
    <w:rsid w:val="00B10FB4"/>
    <w:rsid w:val="00B112BA"/>
    <w:rsid w:val="00B11304"/>
    <w:rsid w:val="00B1161D"/>
    <w:rsid w:val="00B116CF"/>
    <w:rsid w:val="00B11859"/>
    <w:rsid w:val="00B118B4"/>
    <w:rsid w:val="00B118CB"/>
    <w:rsid w:val="00B11B7E"/>
    <w:rsid w:val="00B1233F"/>
    <w:rsid w:val="00B128DE"/>
    <w:rsid w:val="00B129DA"/>
    <w:rsid w:val="00B12C17"/>
    <w:rsid w:val="00B12FEF"/>
    <w:rsid w:val="00B13278"/>
    <w:rsid w:val="00B13455"/>
    <w:rsid w:val="00B138D7"/>
    <w:rsid w:val="00B13933"/>
    <w:rsid w:val="00B13AF3"/>
    <w:rsid w:val="00B13B1A"/>
    <w:rsid w:val="00B13BFA"/>
    <w:rsid w:val="00B13C83"/>
    <w:rsid w:val="00B13FE9"/>
    <w:rsid w:val="00B14066"/>
    <w:rsid w:val="00B142E1"/>
    <w:rsid w:val="00B14302"/>
    <w:rsid w:val="00B14341"/>
    <w:rsid w:val="00B14764"/>
    <w:rsid w:val="00B14C0C"/>
    <w:rsid w:val="00B14C6F"/>
    <w:rsid w:val="00B14C81"/>
    <w:rsid w:val="00B15059"/>
    <w:rsid w:val="00B150F6"/>
    <w:rsid w:val="00B151A1"/>
    <w:rsid w:val="00B15450"/>
    <w:rsid w:val="00B155D6"/>
    <w:rsid w:val="00B15673"/>
    <w:rsid w:val="00B15736"/>
    <w:rsid w:val="00B15852"/>
    <w:rsid w:val="00B15C48"/>
    <w:rsid w:val="00B15FBD"/>
    <w:rsid w:val="00B1600D"/>
    <w:rsid w:val="00B1605E"/>
    <w:rsid w:val="00B1623D"/>
    <w:rsid w:val="00B165E0"/>
    <w:rsid w:val="00B16916"/>
    <w:rsid w:val="00B16E78"/>
    <w:rsid w:val="00B179BB"/>
    <w:rsid w:val="00B17A8E"/>
    <w:rsid w:val="00B17CBE"/>
    <w:rsid w:val="00B17FED"/>
    <w:rsid w:val="00B1E578"/>
    <w:rsid w:val="00B202FC"/>
    <w:rsid w:val="00B20799"/>
    <w:rsid w:val="00B20966"/>
    <w:rsid w:val="00B20E83"/>
    <w:rsid w:val="00B20F09"/>
    <w:rsid w:val="00B20FDE"/>
    <w:rsid w:val="00B2137A"/>
    <w:rsid w:val="00B2173C"/>
    <w:rsid w:val="00B2187C"/>
    <w:rsid w:val="00B21A8C"/>
    <w:rsid w:val="00B21F01"/>
    <w:rsid w:val="00B22233"/>
    <w:rsid w:val="00B22956"/>
    <w:rsid w:val="00B22969"/>
    <w:rsid w:val="00B22977"/>
    <w:rsid w:val="00B229FC"/>
    <w:rsid w:val="00B22DCA"/>
    <w:rsid w:val="00B2304E"/>
    <w:rsid w:val="00B230F7"/>
    <w:rsid w:val="00B23210"/>
    <w:rsid w:val="00B233B8"/>
    <w:rsid w:val="00B234B4"/>
    <w:rsid w:val="00B236BD"/>
    <w:rsid w:val="00B238AA"/>
    <w:rsid w:val="00B24183"/>
    <w:rsid w:val="00B2480D"/>
    <w:rsid w:val="00B24846"/>
    <w:rsid w:val="00B248E5"/>
    <w:rsid w:val="00B249EB"/>
    <w:rsid w:val="00B24DB8"/>
    <w:rsid w:val="00B25062"/>
    <w:rsid w:val="00B25140"/>
    <w:rsid w:val="00B2540E"/>
    <w:rsid w:val="00B2549C"/>
    <w:rsid w:val="00B25667"/>
    <w:rsid w:val="00B256C2"/>
    <w:rsid w:val="00B25961"/>
    <w:rsid w:val="00B25AE9"/>
    <w:rsid w:val="00B25B81"/>
    <w:rsid w:val="00B25E60"/>
    <w:rsid w:val="00B260FC"/>
    <w:rsid w:val="00B261D8"/>
    <w:rsid w:val="00B26504"/>
    <w:rsid w:val="00B2657A"/>
    <w:rsid w:val="00B2666C"/>
    <w:rsid w:val="00B2684B"/>
    <w:rsid w:val="00B26867"/>
    <w:rsid w:val="00B26978"/>
    <w:rsid w:val="00B26D0E"/>
    <w:rsid w:val="00B26E3F"/>
    <w:rsid w:val="00B27191"/>
    <w:rsid w:val="00B2732C"/>
    <w:rsid w:val="00B27515"/>
    <w:rsid w:val="00B27536"/>
    <w:rsid w:val="00B276A3"/>
    <w:rsid w:val="00B27A98"/>
    <w:rsid w:val="00B27AF6"/>
    <w:rsid w:val="00B27B1F"/>
    <w:rsid w:val="00B27F16"/>
    <w:rsid w:val="00B27F5F"/>
    <w:rsid w:val="00B3014A"/>
    <w:rsid w:val="00B30331"/>
    <w:rsid w:val="00B305A7"/>
    <w:rsid w:val="00B305DA"/>
    <w:rsid w:val="00B308F5"/>
    <w:rsid w:val="00B30995"/>
    <w:rsid w:val="00B30BA7"/>
    <w:rsid w:val="00B30C5C"/>
    <w:rsid w:val="00B30D98"/>
    <w:rsid w:val="00B30E5F"/>
    <w:rsid w:val="00B30E61"/>
    <w:rsid w:val="00B30EF9"/>
    <w:rsid w:val="00B30F93"/>
    <w:rsid w:val="00B3107E"/>
    <w:rsid w:val="00B31294"/>
    <w:rsid w:val="00B31306"/>
    <w:rsid w:val="00B31748"/>
    <w:rsid w:val="00B31786"/>
    <w:rsid w:val="00B317FF"/>
    <w:rsid w:val="00B318AA"/>
    <w:rsid w:val="00B3196F"/>
    <w:rsid w:val="00B31A71"/>
    <w:rsid w:val="00B31B4C"/>
    <w:rsid w:val="00B31E28"/>
    <w:rsid w:val="00B31F48"/>
    <w:rsid w:val="00B3239F"/>
    <w:rsid w:val="00B3255C"/>
    <w:rsid w:val="00B326DE"/>
    <w:rsid w:val="00B329C4"/>
    <w:rsid w:val="00B32BE3"/>
    <w:rsid w:val="00B32BEB"/>
    <w:rsid w:val="00B32DAB"/>
    <w:rsid w:val="00B33478"/>
    <w:rsid w:val="00B3376D"/>
    <w:rsid w:val="00B338DE"/>
    <w:rsid w:val="00B33AD3"/>
    <w:rsid w:val="00B33B2B"/>
    <w:rsid w:val="00B33BA5"/>
    <w:rsid w:val="00B33FE1"/>
    <w:rsid w:val="00B34148"/>
    <w:rsid w:val="00B341AD"/>
    <w:rsid w:val="00B3437E"/>
    <w:rsid w:val="00B34434"/>
    <w:rsid w:val="00B346B1"/>
    <w:rsid w:val="00B34B1C"/>
    <w:rsid w:val="00B34B94"/>
    <w:rsid w:val="00B34D02"/>
    <w:rsid w:val="00B34D7E"/>
    <w:rsid w:val="00B35858"/>
    <w:rsid w:val="00B358A0"/>
    <w:rsid w:val="00B358C1"/>
    <w:rsid w:val="00B35A19"/>
    <w:rsid w:val="00B35AB4"/>
    <w:rsid w:val="00B35CF2"/>
    <w:rsid w:val="00B35EA8"/>
    <w:rsid w:val="00B36083"/>
    <w:rsid w:val="00B36303"/>
    <w:rsid w:val="00B36368"/>
    <w:rsid w:val="00B369A6"/>
    <w:rsid w:val="00B36A4D"/>
    <w:rsid w:val="00B36E60"/>
    <w:rsid w:val="00B36E96"/>
    <w:rsid w:val="00B375FC"/>
    <w:rsid w:val="00B37606"/>
    <w:rsid w:val="00B3780D"/>
    <w:rsid w:val="00B3791C"/>
    <w:rsid w:val="00B37982"/>
    <w:rsid w:val="00B379C8"/>
    <w:rsid w:val="00B37BEC"/>
    <w:rsid w:val="00B39C75"/>
    <w:rsid w:val="00B3E239"/>
    <w:rsid w:val="00B3EBD8"/>
    <w:rsid w:val="00B40335"/>
    <w:rsid w:val="00B40350"/>
    <w:rsid w:val="00B40576"/>
    <w:rsid w:val="00B405AF"/>
    <w:rsid w:val="00B413CC"/>
    <w:rsid w:val="00B41527"/>
    <w:rsid w:val="00B41563"/>
    <w:rsid w:val="00B41570"/>
    <w:rsid w:val="00B41880"/>
    <w:rsid w:val="00B418C6"/>
    <w:rsid w:val="00B41EF4"/>
    <w:rsid w:val="00B42003"/>
    <w:rsid w:val="00B421D3"/>
    <w:rsid w:val="00B4264D"/>
    <w:rsid w:val="00B42689"/>
    <w:rsid w:val="00B42A2B"/>
    <w:rsid w:val="00B42A44"/>
    <w:rsid w:val="00B42A7B"/>
    <w:rsid w:val="00B42E28"/>
    <w:rsid w:val="00B42E8E"/>
    <w:rsid w:val="00B42F25"/>
    <w:rsid w:val="00B4302B"/>
    <w:rsid w:val="00B43248"/>
    <w:rsid w:val="00B432A2"/>
    <w:rsid w:val="00B432D3"/>
    <w:rsid w:val="00B4334C"/>
    <w:rsid w:val="00B434A3"/>
    <w:rsid w:val="00B4371E"/>
    <w:rsid w:val="00B43808"/>
    <w:rsid w:val="00B439F2"/>
    <w:rsid w:val="00B43B98"/>
    <w:rsid w:val="00B43C07"/>
    <w:rsid w:val="00B43F1A"/>
    <w:rsid w:val="00B44039"/>
    <w:rsid w:val="00B442B7"/>
    <w:rsid w:val="00B44405"/>
    <w:rsid w:val="00B44429"/>
    <w:rsid w:val="00B44573"/>
    <w:rsid w:val="00B44659"/>
    <w:rsid w:val="00B44854"/>
    <w:rsid w:val="00B448F6"/>
    <w:rsid w:val="00B44A0A"/>
    <w:rsid w:val="00B44A15"/>
    <w:rsid w:val="00B44BBF"/>
    <w:rsid w:val="00B44FA4"/>
    <w:rsid w:val="00B450FA"/>
    <w:rsid w:val="00B45391"/>
    <w:rsid w:val="00B454AC"/>
    <w:rsid w:val="00B459CD"/>
    <w:rsid w:val="00B459EE"/>
    <w:rsid w:val="00B45C9E"/>
    <w:rsid w:val="00B45D88"/>
    <w:rsid w:val="00B45FB4"/>
    <w:rsid w:val="00B45FD2"/>
    <w:rsid w:val="00B4611E"/>
    <w:rsid w:val="00B464B9"/>
    <w:rsid w:val="00B464E0"/>
    <w:rsid w:val="00B4691F"/>
    <w:rsid w:val="00B46AEF"/>
    <w:rsid w:val="00B46E12"/>
    <w:rsid w:val="00B46FB8"/>
    <w:rsid w:val="00B4758F"/>
    <w:rsid w:val="00B47715"/>
    <w:rsid w:val="00B47722"/>
    <w:rsid w:val="00B4780A"/>
    <w:rsid w:val="00B47E36"/>
    <w:rsid w:val="00B47F9B"/>
    <w:rsid w:val="00B505F1"/>
    <w:rsid w:val="00B5083A"/>
    <w:rsid w:val="00B509A3"/>
    <w:rsid w:val="00B50A02"/>
    <w:rsid w:val="00B50A39"/>
    <w:rsid w:val="00B50A80"/>
    <w:rsid w:val="00B50E51"/>
    <w:rsid w:val="00B510D9"/>
    <w:rsid w:val="00B5119C"/>
    <w:rsid w:val="00B5130C"/>
    <w:rsid w:val="00B513F4"/>
    <w:rsid w:val="00B51511"/>
    <w:rsid w:val="00B515A8"/>
    <w:rsid w:val="00B51920"/>
    <w:rsid w:val="00B51D81"/>
    <w:rsid w:val="00B51ED0"/>
    <w:rsid w:val="00B51FEE"/>
    <w:rsid w:val="00B521C3"/>
    <w:rsid w:val="00B52598"/>
    <w:rsid w:val="00B528B0"/>
    <w:rsid w:val="00B528FF"/>
    <w:rsid w:val="00B52A78"/>
    <w:rsid w:val="00B52AAD"/>
    <w:rsid w:val="00B52BFB"/>
    <w:rsid w:val="00B53416"/>
    <w:rsid w:val="00B5356B"/>
    <w:rsid w:val="00B5366A"/>
    <w:rsid w:val="00B53965"/>
    <w:rsid w:val="00B539B4"/>
    <w:rsid w:val="00B53A48"/>
    <w:rsid w:val="00B53B21"/>
    <w:rsid w:val="00B53BE3"/>
    <w:rsid w:val="00B53EFC"/>
    <w:rsid w:val="00B54025"/>
    <w:rsid w:val="00B541F6"/>
    <w:rsid w:val="00B5441F"/>
    <w:rsid w:val="00B54591"/>
    <w:rsid w:val="00B54602"/>
    <w:rsid w:val="00B5477C"/>
    <w:rsid w:val="00B5483B"/>
    <w:rsid w:val="00B54864"/>
    <w:rsid w:val="00B54AC2"/>
    <w:rsid w:val="00B54F59"/>
    <w:rsid w:val="00B55163"/>
    <w:rsid w:val="00B5519D"/>
    <w:rsid w:val="00B5535E"/>
    <w:rsid w:val="00B55515"/>
    <w:rsid w:val="00B557A5"/>
    <w:rsid w:val="00B5599F"/>
    <w:rsid w:val="00B55B54"/>
    <w:rsid w:val="00B55BFB"/>
    <w:rsid w:val="00B56214"/>
    <w:rsid w:val="00B56385"/>
    <w:rsid w:val="00B5676C"/>
    <w:rsid w:val="00B568BB"/>
    <w:rsid w:val="00B57081"/>
    <w:rsid w:val="00B570E1"/>
    <w:rsid w:val="00B57100"/>
    <w:rsid w:val="00B571E1"/>
    <w:rsid w:val="00B572CF"/>
    <w:rsid w:val="00B57693"/>
    <w:rsid w:val="00B576CF"/>
    <w:rsid w:val="00B57842"/>
    <w:rsid w:val="00B57A04"/>
    <w:rsid w:val="00B57A6A"/>
    <w:rsid w:val="00B57BB6"/>
    <w:rsid w:val="00B57BD6"/>
    <w:rsid w:val="00B57CF1"/>
    <w:rsid w:val="00B57E8E"/>
    <w:rsid w:val="00B6018B"/>
    <w:rsid w:val="00B60260"/>
    <w:rsid w:val="00B602C5"/>
    <w:rsid w:val="00B6032F"/>
    <w:rsid w:val="00B604D9"/>
    <w:rsid w:val="00B6086B"/>
    <w:rsid w:val="00B608D1"/>
    <w:rsid w:val="00B6099E"/>
    <w:rsid w:val="00B60AFB"/>
    <w:rsid w:val="00B60ED5"/>
    <w:rsid w:val="00B60F4A"/>
    <w:rsid w:val="00B60F8E"/>
    <w:rsid w:val="00B6101F"/>
    <w:rsid w:val="00B610A1"/>
    <w:rsid w:val="00B6152D"/>
    <w:rsid w:val="00B61715"/>
    <w:rsid w:val="00B61AE8"/>
    <w:rsid w:val="00B6204D"/>
    <w:rsid w:val="00B62401"/>
    <w:rsid w:val="00B624FC"/>
    <w:rsid w:val="00B62A46"/>
    <w:rsid w:val="00B62A63"/>
    <w:rsid w:val="00B62AB7"/>
    <w:rsid w:val="00B62BE8"/>
    <w:rsid w:val="00B62D27"/>
    <w:rsid w:val="00B63019"/>
    <w:rsid w:val="00B630F6"/>
    <w:rsid w:val="00B63278"/>
    <w:rsid w:val="00B63575"/>
    <w:rsid w:val="00B63623"/>
    <w:rsid w:val="00B6369E"/>
    <w:rsid w:val="00B6380B"/>
    <w:rsid w:val="00B63AA2"/>
    <w:rsid w:val="00B63C20"/>
    <w:rsid w:val="00B63C8A"/>
    <w:rsid w:val="00B63D5A"/>
    <w:rsid w:val="00B6418D"/>
    <w:rsid w:val="00B64272"/>
    <w:rsid w:val="00B642C2"/>
    <w:rsid w:val="00B64B31"/>
    <w:rsid w:val="00B64C86"/>
    <w:rsid w:val="00B64D37"/>
    <w:rsid w:val="00B64D82"/>
    <w:rsid w:val="00B64E2A"/>
    <w:rsid w:val="00B6534F"/>
    <w:rsid w:val="00B6581B"/>
    <w:rsid w:val="00B65995"/>
    <w:rsid w:val="00B65AC5"/>
    <w:rsid w:val="00B65B01"/>
    <w:rsid w:val="00B65B05"/>
    <w:rsid w:val="00B65FB5"/>
    <w:rsid w:val="00B660BD"/>
    <w:rsid w:val="00B66432"/>
    <w:rsid w:val="00B6643A"/>
    <w:rsid w:val="00B66F99"/>
    <w:rsid w:val="00B66FBB"/>
    <w:rsid w:val="00B67256"/>
    <w:rsid w:val="00B67279"/>
    <w:rsid w:val="00B67321"/>
    <w:rsid w:val="00B67424"/>
    <w:rsid w:val="00B6759E"/>
    <w:rsid w:val="00B679F2"/>
    <w:rsid w:val="00B67A81"/>
    <w:rsid w:val="00B67AB0"/>
    <w:rsid w:val="00B67AC3"/>
    <w:rsid w:val="00B67B38"/>
    <w:rsid w:val="00B67C29"/>
    <w:rsid w:val="00B67DC2"/>
    <w:rsid w:val="00B67EFF"/>
    <w:rsid w:val="00B67FB6"/>
    <w:rsid w:val="00B70090"/>
    <w:rsid w:val="00B701BA"/>
    <w:rsid w:val="00B70636"/>
    <w:rsid w:val="00B706F0"/>
    <w:rsid w:val="00B70A9F"/>
    <w:rsid w:val="00B70CC4"/>
    <w:rsid w:val="00B70DF5"/>
    <w:rsid w:val="00B70EF6"/>
    <w:rsid w:val="00B71005"/>
    <w:rsid w:val="00B714BB"/>
    <w:rsid w:val="00B714CD"/>
    <w:rsid w:val="00B71696"/>
    <w:rsid w:val="00B7188B"/>
    <w:rsid w:val="00B71A64"/>
    <w:rsid w:val="00B71E3D"/>
    <w:rsid w:val="00B71EFF"/>
    <w:rsid w:val="00B7215F"/>
    <w:rsid w:val="00B72363"/>
    <w:rsid w:val="00B72A9A"/>
    <w:rsid w:val="00B72A9C"/>
    <w:rsid w:val="00B72D15"/>
    <w:rsid w:val="00B72D3E"/>
    <w:rsid w:val="00B72D64"/>
    <w:rsid w:val="00B72F91"/>
    <w:rsid w:val="00B73283"/>
    <w:rsid w:val="00B73408"/>
    <w:rsid w:val="00B7359F"/>
    <w:rsid w:val="00B73719"/>
    <w:rsid w:val="00B73769"/>
    <w:rsid w:val="00B74105"/>
    <w:rsid w:val="00B7419D"/>
    <w:rsid w:val="00B74245"/>
    <w:rsid w:val="00B74650"/>
    <w:rsid w:val="00B74714"/>
    <w:rsid w:val="00B7484F"/>
    <w:rsid w:val="00B74CB5"/>
    <w:rsid w:val="00B75513"/>
    <w:rsid w:val="00B755D5"/>
    <w:rsid w:val="00B75742"/>
    <w:rsid w:val="00B75923"/>
    <w:rsid w:val="00B75A62"/>
    <w:rsid w:val="00B75CC0"/>
    <w:rsid w:val="00B75E7B"/>
    <w:rsid w:val="00B760A6"/>
    <w:rsid w:val="00B762EE"/>
    <w:rsid w:val="00B76634"/>
    <w:rsid w:val="00B7668F"/>
    <w:rsid w:val="00B76956"/>
    <w:rsid w:val="00B76AA8"/>
    <w:rsid w:val="00B76E2C"/>
    <w:rsid w:val="00B76F86"/>
    <w:rsid w:val="00B773D3"/>
    <w:rsid w:val="00B777E5"/>
    <w:rsid w:val="00B778E3"/>
    <w:rsid w:val="00B77997"/>
    <w:rsid w:val="00B77C6B"/>
    <w:rsid w:val="00B77E1A"/>
    <w:rsid w:val="00B77F25"/>
    <w:rsid w:val="00B800E9"/>
    <w:rsid w:val="00B80281"/>
    <w:rsid w:val="00B802E6"/>
    <w:rsid w:val="00B803AF"/>
    <w:rsid w:val="00B803BF"/>
    <w:rsid w:val="00B8043C"/>
    <w:rsid w:val="00B806EC"/>
    <w:rsid w:val="00B807EB"/>
    <w:rsid w:val="00B80935"/>
    <w:rsid w:val="00B80964"/>
    <w:rsid w:val="00B80A01"/>
    <w:rsid w:val="00B80A6C"/>
    <w:rsid w:val="00B810CE"/>
    <w:rsid w:val="00B811E1"/>
    <w:rsid w:val="00B8127C"/>
    <w:rsid w:val="00B814B2"/>
    <w:rsid w:val="00B81656"/>
    <w:rsid w:val="00B817B6"/>
    <w:rsid w:val="00B817C1"/>
    <w:rsid w:val="00B81F0F"/>
    <w:rsid w:val="00B8206D"/>
    <w:rsid w:val="00B820F2"/>
    <w:rsid w:val="00B821A9"/>
    <w:rsid w:val="00B82314"/>
    <w:rsid w:val="00B823FD"/>
    <w:rsid w:val="00B82583"/>
    <w:rsid w:val="00B82698"/>
    <w:rsid w:val="00B827BB"/>
    <w:rsid w:val="00B82919"/>
    <w:rsid w:val="00B82D53"/>
    <w:rsid w:val="00B83002"/>
    <w:rsid w:val="00B8310B"/>
    <w:rsid w:val="00B83207"/>
    <w:rsid w:val="00B8321D"/>
    <w:rsid w:val="00B83268"/>
    <w:rsid w:val="00B8347B"/>
    <w:rsid w:val="00B834BE"/>
    <w:rsid w:val="00B835AC"/>
    <w:rsid w:val="00B83936"/>
    <w:rsid w:val="00B83965"/>
    <w:rsid w:val="00B8397B"/>
    <w:rsid w:val="00B839C8"/>
    <w:rsid w:val="00B839D0"/>
    <w:rsid w:val="00B83B06"/>
    <w:rsid w:val="00B83BD8"/>
    <w:rsid w:val="00B84515"/>
    <w:rsid w:val="00B8456D"/>
    <w:rsid w:val="00B84582"/>
    <w:rsid w:val="00B8485E"/>
    <w:rsid w:val="00B848DC"/>
    <w:rsid w:val="00B848F1"/>
    <w:rsid w:val="00B84C63"/>
    <w:rsid w:val="00B84D3D"/>
    <w:rsid w:val="00B84F88"/>
    <w:rsid w:val="00B84FD6"/>
    <w:rsid w:val="00B855E8"/>
    <w:rsid w:val="00B8563E"/>
    <w:rsid w:val="00B857F9"/>
    <w:rsid w:val="00B859D7"/>
    <w:rsid w:val="00B85E82"/>
    <w:rsid w:val="00B862A4"/>
    <w:rsid w:val="00B862F3"/>
    <w:rsid w:val="00B86425"/>
    <w:rsid w:val="00B8659F"/>
    <w:rsid w:val="00B86737"/>
    <w:rsid w:val="00B86E5A"/>
    <w:rsid w:val="00B86F1A"/>
    <w:rsid w:val="00B87011"/>
    <w:rsid w:val="00B8753E"/>
    <w:rsid w:val="00B877A0"/>
    <w:rsid w:val="00B87905"/>
    <w:rsid w:val="00B87974"/>
    <w:rsid w:val="00B87B08"/>
    <w:rsid w:val="00B87DC1"/>
    <w:rsid w:val="00B87E42"/>
    <w:rsid w:val="00B87F48"/>
    <w:rsid w:val="00B90456"/>
    <w:rsid w:val="00B90492"/>
    <w:rsid w:val="00B906FE"/>
    <w:rsid w:val="00B90AB6"/>
    <w:rsid w:val="00B90B45"/>
    <w:rsid w:val="00B90C98"/>
    <w:rsid w:val="00B90F29"/>
    <w:rsid w:val="00B9117C"/>
    <w:rsid w:val="00B91300"/>
    <w:rsid w:val="00B91440"/>
    <w:rsid w:val="00B917A2"/>
    <w:rsid w:val="00B91BEE"/>
    <w:rsid w:val="00B91DFA"/>
    <w:rsid w:val="00B922BB"/>
    <w:rsid w:val="00B923BB"/>
    <w:rsid w:val="00B92409"/>
    <w:rsid w:val="00B924DB"/>
    <w:rsid w:val="00B929F9"/>
    <w:rsid w:val="00B92B2D"/>
    <w:rsid w:val="00B92C05"/>
    <w:rsid w:val="00B92E98"/>
    <w:rsid w:val="00B92EA7"/>
    <w:rsid w:val="00B92FE4"/>
    <w:rsid w:val="00B93052"/>
    <w:rsid w:val="00B9317B"/>
    <w:rsid w:val="00B93317"/>
    <w:rsid w:val="00B934D9"/>
    <w:rsid w:val="00B936C2"/>
    <w:rsid w:val="00B936F5"/>
    <w:rsid w:val="00B9380D"/>
    <w:rsid w:val="00B9399D"/>
    <w:rsid w:val="00B93ABA"/>
    <w:rsid w:val="00B93EE7"/>
    <w:rsid w:val="00B9452B"/>
    <w:rsid w:val="00B9457A"/>
    <w:rsid w:val="00B946AD"/>
    <w:rsid w:val="00B946EE"/>
    <w:rsid w:val="00B94AF6"/>
    <w:rsid w:val="00B94CDB"/>
    <w:rsid w:val="00B94EE3"/>
    <w:rsid w:val="00B952D3"/>
    <w:rsid w:val="00B953FD"/>
    <w:rsid w:val="00B95670"/>
    <w:rsid w:val="00B95BE7"/>
    <w:rsid w:val="00B963B6"/>
    <w:rsid w:val="00B965EC"/>
    <w:rsid w:val="00B96824"/>
    <w:rsid w:val="00B96862"/>
    <w:rsid w:val="00B9686B"/>
    <w:rsid w:val="00B96C29"/>
    <w:rsid w:val="00B9760A"/>
    <w:rsid w:val="00B977A2"/>
    <w:rsid w:val="00B97860"/>
    <w:rsid w:val="00B97B0B"/>
    <w:rsid w:val="00B97C12"/>
    <w:rsid w:val="00BA0737"/>
    <w:rsid w:val="00BA0AB5"/>
    <w:rsid w:val="00BA0BAF"/>
    <w:rsid w:val="00BA0C6C"/>
    <w:rsid w:val="00BA0F8B"/>
    <w:rsid w:val="00BA10F7"/>
    <w:rsid w:val="00BA1EE1"/>
    <w:rsid w:val="00BA1F12"/>
    <w:rsid w:val="00BA2186"/>
    <w:rsid w:val="00BA227B"/>
    <w:rsid w:val="00BA2336"/>
    <w:rsid w:val="00BA2407"/>
    <w:rsid w:val="00BA2648"/>
    <w:rsid w:val="00BA28D2"/>
    <w:rsid w:val="00BA2931"/>
    <w:rsid w:val="00BA2C9D"/>
    <w:rsid w:val="00BA2DEC"/>
    <w:rsid w:val="00BA2DFF"/>
    <w:rsid w:val="00BA2E63"/>
    <w:rsid w:val="00BA34CE"/>
    <w:rsid w:val="00BA35F0"/>
    <w:rsid w:val="00BA3B52"/>
    <w:rsid w:val="00BA3B6C"/>
    <w:rsid w:val="00BA3D3E"/>
    <w:rsid w:val="00BA3DDC"/>
    <w:rsid w:val="00BA3FD4"/>
    <w:rsid w:val="00BA400B"/>
    <w:rsid w:val="00BA40E4"/>
    <w:rsid w:val="00BA40FA"/>
    <w:rsid w:val="00BA4218"/>
    <w:rsid w:val="00BA43E1"/>
    <w:rsid w:val="00BA4ADE"/>
    <w:rsid w:val="00BA4B6D"/>
    <w:rsid w:val="00BA4C27"/>
    <w:rsid w:val="00BA4DC3"/>
    <w:rsid w:val="00BA4EFF"/>
    <w:rsid w:val="00BA4FFA"/>
    <w:rsid w:val="00BA50CB"/>
    <w:rsid w:val="00BA5241"/>
    <w:rsid w:val="00BA584E"/>
    <w:rsid w:val="00BA5956"/>
    <w:rsid w:val="00BA5B0E"/>
    <w:rsid w:val="00BA5C9A"/>
    <w:rsid w:val="00BA5DBA"/>
    <w:rsid w:val="00BA5DDD"/>
    <w:rsid w:val="00BA628A"/>
    <w:rsid w:val="00BA62A5"/>
    <w:rsid w:val="00BA66B3"/>
    <w:rsid w:val="00BA69EC"/>
    <w:rsid w:val="00BA6A2C"/>
    <w:rsid w:val="00BA6CAC"/>
    <w:rsid w:val="00BA6EE7"/>
    <w:rsid w:val="00BA705D"/>
    <w:rsid w:val="00BA7122"/>
    <w:rsid w:val="00BA7356"/>
    <w:rsid w:val="00BA7387"/>
    <w:rsid w:val="00BA746C"/>
    <w:rsid w:val="00BA75BB"/>
    <w:rsid w:val="00BA7B6C"/>
    <w:rsid w:val="00BB04CD"/>
    <w:rsid w:val="00BB06FB"/>
    <w:rsid w:val="00BB0972"/>
    <w:rsid w:val="00BB09DC"/>
    <w:rsid w:val="00BB0DFC"/>
    <w:rsid w:val="00BB1073"/>
    <w:rsid w:val="00BB12F5"/>
    <w:rsid w:val="00BB1782"/>
    <w:rsid w:val="00BB1807"/>
    <w:rsid w:val="00BB19F6"/>
    <w:rsid w:val="00BB1AB4"/>
    <w:rsid w:val="00BB1B54"/>
    <w:rsid w:val="00BB1D67"/>
    <w:rsid w:val="00BB23A5"/>
    <w:rsid w:val="00BB240A"/>
    <w:rsid w:val="00BB2926"/>
    <w:rsid w:val="00BB295E"/>
    <w:rsid w:val="00BB2B42"/>
    <w:rsid w:val="00BB2CD1"/>
    <w:rsid w:val="00BB2D74"/>
    <w:rsid w:val="00BB2DA7"/>
    <w:rsid w:val="00BB308D"/>
    <w:rsid w:val="00BB31A1"/>
    <w:rsid w:val="00BB3605"/>
    <w:rsid w:val="00BB3651"/>
    <w:rsid w:val="00BB36AF"/>
    <w:rsid w:val="00BB3AA5"/>
    <w:rsid w:val="00BB3BE5"/>
    <w:rsid w:val="00BB3DD6"/>
    <w:rsid w:val="00BB3E1F"/>
    <w:rsid w:val="00BB3E9A"/>
    <w:rsid w:val="00BB3F9B"/>
    <w:rsid w:val="00BB4088"/>
    <w:rsid w:val="00BB410E"/>
    <w:rsid w:val="00BB4265"/>
    <w:rsid w:val="00BB430C"/>
    <w:rsid w:val="00BB4834"/>
    <w:rsid w:val="00BB4C16"/>
    <w:rsid w:val="00BB4D41"/>
    <w:rsid w:val="00BB4DBE"/>
    <w:rsid w:val="00BB4F86"/>
    <w:rsid w:val="00BB518F"/>
    <w:rsid w:val="00BB57E2"/>
    <w:rsid w:val="00BB57EA"/>
    <w:rsid w:val="00BB5836"/>
    <w:rsid w:val="00BB5C5C"/>
    <w:rsid w:val="00BB5DB7"/>
    <w:rsid w:val="00BB5ED8"/>
    <w:rsid w:val="00BB64AC"/>
    <w:rsid w:val="00BB68A7"/>
    <w:rsid w:val="00BB6D78"/>
    <w:rsid w:val="00BB6E14"/>
    <w:rsid w:val="00BB6F41"/>
    <w:rsid w:val="00BB6F4C"/>
    <w:rsid w:val="00BB7010"/>
    <w:rsid w:val="00BB704E"/>
    <w:rsid w:val="00BB706C"/>
    <w:rsid w:val="00BB7192"/>
    <w:rsid w:val="00BB726F"/>
    <w:rsid w:val="00BB7705"/>
    <w:rsid w:val="00BB778D"/>
    <w:rsid w:val="00BB787A"/>
    <w:rsid w:val="00BB7901"/>
    <w:rsid w:val="00BB7A7D"/>
    <w:rsid w:val="00BB7CB2"/>
    <w:rsid w:val="00BB7CBE"/>
    <w:rsid w:val="00BC022A"/>
    <w:rsid w:val="00BC04DA"/>
    <w:rsid w:val="00BC083B"/>
    <w:rsid w:val="00BC0877"/>
    <w:rsid w:val="00BC08B1"/>
    <w:rsid w:val="00BC099C"/>
    <w:rsid w:val="00BC0A1D"/>
    <w:rsid w:val="00BC0B20"/>
    <w:rsid w:val="00BC11DD"/>
    <w:rsid w:val="00BC145B"/>
    <w:rsid w:val="00BC14F1"/>
    <w:rsid w:val="00BC1A21"/>
    <w:rsid w:val="00BC1F3A"/>
    <w:rsid w:val="00BC2091"/>
    <w:rsid w:val="00BC2123"/>
    <w:rsid w:val="00BC280D"/>
    <w:rsid w:val="00BC2B6D"/>
    <w:rsid w:val="00BC2CD2"/>
    <w:rsid w:val="00BC2D45"/>
    <w:rsid w:val="00BC2E0E"/>
    <w:rsid w:val="00BC3145"/>
    <w:rsid w:val="00BC3381"/>
    <w:rsid w:val="00BC3398"/>
    <w:rsid w:val="00BC33B4"/>
    <w:rsid w:val="00BC344D"/>
    <w:rsid w:val="00BC34A7"/>
    <w:rsid w:val="00BC3570"/>
    <w:rsid w:val="00BC36C8"/>
    <w:rsid w:val="00BC37B1"/>
    <w:rsid w:val="00BC37D0"/>
    <w:rsid w:val="00BC397B"/>
    <w:rsid w:val="00BC3A32"/>
    <w:rsid w:val="00BC3EA6"/>
    <w:rsid w:val="00BC3EF7"/>
    <w:rsid w:val="00BC3F7C"/>
    <w:rsid w:val="00BC4138"/>
    <w:rsid w:val="00BC465A"/>
    <w:rsid w:val="00BC478A"/>
    <w:rsid w:val="00BC479E"/>
    <w:rsid w:val="00BC4A23"/>
    <w:rsid w:val="00BC4A48"/>
    <w:rsid w:val="00BC4BCB"/>
    <w:rsid w:val="00BC4C67"/>
    <w:rsid w:val="00BC4CCA"/>
    <w:rsid w:val="00BC4F14"/>
    <w:rsid w:val="00BC55E9"/>
    <w:rsid w:val="00BC5684"/>
    <w:rsid w:val="00BC5714"/>
    <w:rsid w:val="00BC5A29"/>
    <w:rsid w:val="00BC5E3A"/>
    <w:rsid w:val="00BC6054"/>
    <w:rsid w:val="00BC634B"/>
    <w:rsid w:val="00BC6546"/>
    <w:rsid w:val="00BC657A"/>
    <w:rsid w:val="00BC65E5"/>
    <w:rsid w:val="00BC6BD2"/>
    <w:rsid w:val="00BC6E52"/>
    <w:rsid w:val="00BC7072"/>
    <w:rsid w:val="00BC734E"/>
    <w:rsid w:val="00BC7491"/>
    <w:rsid w:val="00BC7922"/>
    <w:rsid w:val="00BC7AA3"/>
    <w:rsid w:val="00BCB500"/>
    <w:rsid w:val="00BD0101"/>
    <w:rsid w:val="00BD0B60"/>
    <w:rsid w:val="00BD0BB9"/>
    <w:rsid w:val="00BD0CFD"/>
    <w:rsid w:val="00BD0EE3"/>
    <w:rsid w:val="00BD0F86"/>
    <w:rsid w:val="00BD15A3"/>
    <w:rsid w:val="00BD164E"/>
    <w:rsid w:val="00BD1674"/>
    <w:rsid w:val="00BD17B8"/>
    <w:rsid w:val="00BD1944"/>
    <w:rsid w:val="00BD1960"/>
    <w:rsid w:val="00BD19BC"/>
    <w:rsid w:val="00BD1ACB"/>
    <w:rsid w:val="00BD1E4A"/>
    <w:rsid w:val="00BD1FB1"/>
    <w:rsid w:val="00BD2000"/>
    <w:rsid w:val="00BD2308"/>
    <w:rsid w:val="00BD24E5"/>
    <w:rsid w:val="00BD25BF"/>
    <w:rsid w:val="00BD272F"/>
    <w:rsid w:val="00BD29CB"/>
    <w:rsid w:val="00BD29D3"/>
    <w:rsid w:val="00BD2ACB"/>
    <w:rsid w:val="00BD2BCF"/>
    <w:rsid w:val="00BD2CC4"/>
    <w:rsid w:val="00BD2F9A"/>
    <w:rsid w:val="00BD3173"/>
    <w:rsid w:val="00BD3250"/>
    <w:rsid w:val="00BD335D"/>
    <w:rsid w:val="00BD3391"/>
    <w:rsid w:val="00BD35E3"/>
    <w:rsid w:val="00BD39D5"/>
    <w:rsid w:val="00BD3A53"/>
    <w:rsid w:val="00BD3B22"/>
    <w:rsid w:val="00BD3BE6"/>
    <w:rsid w:val="00BD3C10"/>
    <w:rsid w:val="00BD3C92"/>
    <w:rsid w:val="00BD3CB7"/>
    <w:rsid w:val="00BD3CC4"/>
    <w:rsid w:val="00BD3EEC"/>
    <w:rsid w:val="00BD40DE"/>
    <w:rsid w:val="00BD41FC"/>
    <w:rsid w:val="00BD42BB"/>
    <w:rsid w:val="00BD4425"/>
    <w:rsid w:val="00BD44A6"/>
    <w:rsid w:val="00BD45E2"/>
    <w:rsid w:val="00BD465F"/>
    <w:rsid w:val="00BD46DD"/>
    <w:rsid w:val="00BD47EA"/>
    <w:rsid w:val="00BD49DD"/>
    <w:rsid w:val="00BD49FE"/>
    <w:rsid w:val="00BD4B65"/>
    <w:rsid w:val="00BD52C4"/>
    <w:rsid w:val="00BD52D4"/>
    <w:rsid w:val="00BD5485"/>
    <w:rsid w:val="00BD54B9"/>
    <w:rsid w:val="00BD5772"/>
    <w:rsid w:val="00BD582A"/>
    <w:rsid w:val="00BD5846"/>
    <w:rsid w:val="00BD5F09"/>
    <w:rsid w:val="00BD62FA"/>
    <w:rsid w:val="00BD63BA"/>
    <w:rsid w:val="00BD674B"/>
    <w:rsid w:val="00BD69F9"/>
    <w:rsid w:val="00BD6C44"/>
    <w:rsid w:val="00BD6F0D"/>
    <w:rsid w:val="00BD6F51"/>
    <w:rsid w:val="00BD70CD"/>
    <w:rsid w:val="00BD7316"/>
    <w:rsid w:val="00BD746A"/>
    <w:rsid w:val="00BD74D9"/>
    <w:rsid w:val="00BD7620"/>
    <w:rsid w:val="00BD76CF"/>
    <w:rsid w:val="00BD77FF"/>
    <w:rsid w:val="00BD7892"/>
    <w:rsid w:val="00BD7A06"/>
    <w:rsid w:val="00BD7BFF"/>
    <w:rsid w:val="00BD7CE1"/>
    <w:rsid w:val="00BD7D60"/>
    <w:rsid w:val="00BD9ABD"/>
    <w:rsid w:val="00BE019E"/>
    <w:rsid w:val="00BE0229"/>
    <w:rsid w:val="00BE0402"/>
    <w:rsid w:val="00BE06CE"/>
    <w:rsid w:val="00BE09D4"/>
    <w:rsid w:val="00BE0B83"/>
    <w:rsid w:val="00BE0DB9"/>
    <w:rsid w:val="00BE155C"/>
    <w:rsid w:val="00BE1902"/>
    <w:rsid w:val="00BE1AFC"/>
    <w:rsid w:val="00BE1B4C"/>
    <w:rsid w:val="00BE1D14"/>
    <w:rsid w:val="00BE1F38"/>
    <w:rsid w:val="00BE22C6"/>
    <w:rsid w:val="00BE2345"/>
    <w:rsid w:val="00BE283F"/>
    <w:rsid w:val="00BE289E"/>
    <w:rsid w:val="00BE2A5C"/>
    <w:rsid w:val="00BE2AAD"/>
    <w:rsid w:val="00BE2E6D"/>
    <w:rsid w:val="00BE33A2"/>
    <w:rsid w:val="00BE3751"/>
    <w:rsid w:val="00BE388B"/>
    <w:rsid w:val="00BE38BF"/>
    <w:rsid w:val="00BE38D3"/>
    <w:rsid w:val="00BE3BB2"/>
    <w:rsid w:val="00BE3CCC"/>
    <w:rsid w:val="00BE3DE3"/>
    <w:rsid w:val="00BE3E11"/>
    <w:rsid w:val="00BE3F79"/>
    <w:rsid w:val="00BE421F"/>
    <w:rsid w:val="00BE4471"/>
    <w:rsid w:val="00BE4593"/>
    <w:rsid w:val="00BE4608"/>
    <w:rsid w:val="00BE4754"/>
    <w:rsid w:val="00BE491E"/>
    <w:rsid w:val="00BE49A3"/>
    <w:rsid w:val="00BE4EAA"/>
    <w:rsid w:val="00BE53CD"/>
    <w:rsid w:val="00BE5863"/>
    <w:rsid w:val="00BE5A7D"/>
    <w:rsid w:val="00BE5C1C"/>
    <w:rsid w:val="00BE5F2F"/>
    <w:rsid w:val="00BE6637"/>
    <w:rsid w:val="00BE6785"/>
    <w:rsid w:val="00BE68FF"/>
    <w:rsid w:val="00BE6981"/>
    <w:rsid w:val="00BE6E59"/>
    <w:rsid w:val="00BE7217"/>
    <w:rsid w:val="00BE7274"/>
    <w:rsid w:val="00BE7643"/>
    <w:rsid w:val="00BE790F"/>
    <w:rsid w:val="00BE7F78"/>
    <w:rsid w:val="00BF0018"/>
    <w:rsid w:val="00BF035D"/>
    <w:rsid w:val="00BF045B"/>
    <w:rsid w:val="00BF05C5"/>
    <w:rsid w:val="00BF0CBD"/>
    <w:rsid w:val="00BF0E28"/>
    <w:rsid w:val="00BF11F1"/>
    <w:rsid w:val="00BF136D"/>
    <w:rsid w:val="00BF1471"/>
    <w:rsid w:val="00BF1473"/>
    <w:rsid w:val="00BF16C3"/>
    <w:rsid w:val="00BF16FC"/>
    <w:rsid w:val="00BF1798"/>
    <w:rsid w:val="00BF1A2C"/>
    <w:rsid w:val="00BF1A75"/>
    <w:rsid w:val="00BF1B7C"/>
    <w:rsid w:val="00BF1E51"/>
    <w:rsid w:val="00BF2188"/>
    <w:rsid w:val="00BF219C"/>
    <w:rsid w:val="00BF22D2"/>
    <w:rsid w:val="00BF2504"/>
    <w:rsid w:val="00BF270D"/>
    <w:rsid w:val="00BF275B"/>
    <w:rsid w:val="00BF289D"/>
    <w:rsid w:val="00BF2BBE"/>
    <w:rsid w:val="00BF2FD7"/>
    <w:rsid w:val="00BF2FDF"/>
    <w:rsid w:val="00BF3059"/>
    <w:rsid w:val="00BF3076"/>
    <w:rsid w:val="00BF32ED"/>
    <w:rsid w:val="00BF3358"/>
    <w:rsid w:val="00BF3386"/>
    <w:rsid w:val="00BF3BFA"/>
    <w:rsid w:val="00BF3C79"/>
    <w:rsid w:val="00BF40B4"/>
    <w:rsid w:val="00BF4114"/>
    <w:rsid w:val="00BF4264"/>
    <w:rsid w:val="00BF439F"/>
    <w:rsid w:val="00BF4403"/>
    <w:rsid w:val="00BF459C"/>
    <w:rsid w:val="00BF45B8"/>
    <w:rsid w:val="00BF4991"/>
    <w:rsid w:val="00BF49F8"/>
    <w:rsid w:val="00BF4A90"/>
    <w:rsid w:val="00BF4AA9"/>
    <w:rsid w:val="00BF4F0E"/>
    <w:rsid w:val="00BF5014"/>
    <w:rsid w:val="00BF5056"/>
    <w:rsid w:val="00BF516A"/>
    <w:rsid w:val="00BF52F1"/>
    <w:rsid w:val="00BF5371"/>
    <w:rsid w:val="00BF556F"/>
    <w:rsid w:val="00BF5742"/>
    <w:rsid w:val="00BF59FF"/>
    <w:rsid w:val="00BF5FDC"/>
    <w:rsid w:val="00BF6001"/>
    <w:rsid w:val="00BF6022"/>
    <w:rsid w:val="00BF61F1"/>
    <w:rsid w:val="00BF63C3"/>
    <w:rsid w:val="00BF653B"/>
    <w:rsid w:val="00BF6624"/>
    <w:rsid w:val="00BF6711"/>
    <w:rsid w:val="00BF67EF"/>
    <w:rsid w:val="00BF69C5"/>
    <w:rsid w:val="00BF6A61"/>
    <w:rsid w:val="00BF6A7F"/>
    <w:rsid w:val="00BF6D14"/>
    <w:rsid w:val="00BF6D6A"/>
    <w:rsid w:val="00BF6FF5"/>
    <w:rsid w:val="00BF72A1"/>
    <w:rsid w:val="00BF72E3"/>
    <w:rsid w:val="00BF7335"/>
    <w:rsid w:val="00BF74CE"/>
    <w:rsid w:val="00BF76BC"/>
    <w:rsid w:val="00BF7BB0"/>
    <w:rsid w:val="00BF7DF7"/>
    <w:rsid w:val="00BF7F83"/>
    <w:rsid w:val="00BF8315"/>
    <w:rsid w:val="00C000ED"/>
    <w:rsid w:val="00C001D7"/>
    <w:rsid w:val="00C007C2"/>
    <w:rsid w:val="00C007C3"/>
    <w:rsid w:val="00C007C8"/>
    <w:rsid w:val="00C00A42"/>
    <w:rsid w:val="00C00DE4"/>
    <w:rsid w:val="00C00E29"/>
    <w:rsid w:val="00C011E8"/>
    <w:rsid w:val="00C0156F"/>
    <w:rsid w:val="00C016EC"/>
    <w:rsid w:val="00C0192A"/>
    <w:rsid w:val="00C0196B"/>
    <w:rsid w:val="00C019C0"/>
    <w:rsid w:val="00C01BC4"/>
    <w:rsid w:val="00C01E50"/>
    <w:rsid w:val="00C01E9F"/>
    <w:rsid w:val="00C0229E"/>
    <w:rsid w:val="00C02365"/>
    <w:rsid w:val="00C024F1"/>
    <w:rsid w:val="00C02590"/>
    <w:rsid w:val="00C02616"/>
    <w:rsid w:val="00C02618"/>
    <w:rsid w:val="00C026C8"/>
    <w:rsid w:val="00C02B12"/>
    <w:rsid w:val="00C02B3E"/>
    <w:rsid w:val="00C02D00"/>
    <w:rsid w:val="00C03274"/>
    <w:rsid w:val="00C0329F"/>
    <w:rsid w:val="00C038F1"/>
    <w:rsid w:val="00C0394F"/>
    <w:rsid w:val="00C03B7F"/>
    <w:rsid w:val="00C03B95"/>
    <w:rsid w:val="00C03C65"/>
    <w:rsid w:val="00C03D0C"/>
    <w:rsid w:val="00C03D36"/>
    <w:rsid w:val="00C03FC2"/>
    <w:rsid w:val="00C04039"/>
    <w:rsid w:val="00C04187"/>
    <w:rsid w:val="00C0453B"/>
    <w:rsid w:val="00C0454C"/>
    <w:rsid w:val="00C04610"/>
    <w:rsid w:val="00C04627"/>
    <w:rsid w:val="00C04648"/>
    <w:rsid w:val="00C04750"/>
    <w:rsid w:val="00C0480C"/>
    <w:rsid w:val="00C0483F"/>
    <w:rsid w:val="00C0485A"/>
    <w:rsid w:val="00C04B15"/>
    <w:rsid w:val="00C04D6F"/>
    <w:rsid w:val="00C051B8"/>
    <w:rsid w:val="00C05613"/>
    <w:rsid w:val="00C059DB"/>
    <w:rsid w:val="00C05BB8"/>
    <w:rsid w:val="00C05ECB"/>
    <w:rsid w:val="00C0603E"/>
    <w:rsid w:val="00C0620A"/>
    <w:rsid w:val="00C062AB"/>
    <w:rsid w:val="00C064F9"/>
    <w:rsid w:val="00C06750"/>
    <w:rsid w:val="00C06BC3"/>
    <w:rsid w:val="00C06ECB"/>
    <w:rsid w:val="00C071E8"/>
    <w:rsid w:val="00C072DF"/>
    <w:rsid w:val="00C079E1"/>
    <w:rsid w:val="00C07D3F"/>
    <w:rsid w:val="00C07F5F"/>
    <w:rsid w:val="00C1004D"/>
    <w:rsid w:val="00C10078"/>
    <w:rsid w:val="00C101FD"/>
    <w:rsid w:val="00C103A7"/>
    <w:rsid w:val="00C106A1"/>
    <w:rsid w:val="00C106C9"/>
    <w:rsid w:val="00C10766"/>
    <w:rsid w:val="00C10802"/>
    <w:rsid w:val="00C10B5F"/>
    <w:rsid w:val="00C10BD5"/>
    <w:rsid w:val="00C10E05"/>
    <w:rsid w:val="00C110B5"/>
    <w:rsid w:val="00C113AC"/>
    <w:rsid w:val="00C11570"/>
    <w:rsid w:val="00C115AB"/>
    <w:rsid w:val="00C1164A"/>
    <w:rsid w:val="00C116AF"/>
    <w:rsid w:val="00C117E6"/>
    <w:rsid w:val="00C11985"/>
    <w:rsid w:val="00C11AC5"/>
    <w:rsid w:val="00C121DF"/>
    <w:rsid w:val="00C121FC"/>
    <w:rsid w:val="00C12405"/>
    <w:rsid w:val="00C126F4"/>
    <w:rsid w:val="00C12924"/>
    <w:rsid w:val="00C12B52"/>
    <w:rsid w:val="00C12BFB"/>
    <w:rsid w:val="00C1321D"/>
    <w:rsid w:val="00C13293"/>
    <w:rsid w:val="00C132F2"/>
    <w:rsid w:val="00C13461"/>
    <w:rsid w:val="00C13557"/>
    <w:rsid w:val="00C1379D"/>
    <w:rsid w:val="00C1385F"/>
    <w:rsid w:val="00C139DB"/>
    <w:rsid w:val="00C13B8B"/>
    <w:rsid w:val="00C13BA6"/>
    <w:rsid w:val="00C13CAC"/>
    <w:rsid w:val="00C13D1C"/>
    <w:rsid w:val="00C1420C"/>
    <w:rsid w:val="00C1442B"/>
    <w:rsid w:val="00C1488F"/>
    <w:rsid w:val="00C148BB"/>
    <w:rsid w:val="00C149DD"/>
    <w:rsid w:val="00C14A08"/>
    <w:rsid w:val="00C14B93"/>
    <w:rsid w:val="00C14BE7"/>
    <w:rsid w:val="00C14F27"/>
    <w:rsid w:val="00C1511F"/>
    <w:rsid w:val="00C1532E"/>
    <w:rsid w:val="00C156B2"/>
    <w:rsid w:val="00C156B6"/>
    <w:rsid w:val="00C15DFA"/>
    <w:rsid w:val="00C15EE0"/>
    <w:rsid w:val="00C15F92"/>
    <w:rsid w:val="00C16265"/>
    <w:rsid w:val="00C1638E"/>
    <w:rsid w:val="00C164ED"/>
    <w:rsid w:val="00C166C2"/>
    <w:rsid w:val="00C16CA3"/>
    <w:rsid w:val="00C173C9"/>
    <w:rsid w:val="00C173CC"/>
    <w:rsid w:val="00C17430"/>
    <w:rsid w:val="00C17456"/>
    <w:rsid w:val="00C17A10"/>
    <w:rsid w:val="00C17E57"/>
    <w:rsid w:val="00C17ED1"/>
    <w:rsid w:val="00C1C4E4"/>
    <w:rsid w:val="00C200EF"/>
    <w:rsid w:val="00C201F8"/>
    <w:rsid w:val="00C203F5"/>
    <w:rsid w:val="00C20451"/>
    <w:rsid w:val="00C207D0"/>
    <w:rsid w:val="00C20A9D"/>
    <w:rsid w:val="00C20BF4"/>
    <w:rsid w:val="00C20C27"/>
    <w:rsid w:val="00C20D24"/>
    <w:rsid w:val="00C20E26"/>
    <w:rsid w:val="00C21237"/>
    <w:rsid w:val="00C21910"/>
    <w:rsid w:val="00C21B54"/>
    <w:rsid w:val="00C21DA3"/>
    <w:rsid w:val="00C21EB0"/>
    <w:rsid w:val="00C21F13"/>
    <w:rsid w:val="00C21F4A"/>
    <w:rsid w:val="00C21F50"/>
    <w:rsid w:val="00C22194"/>
    <w:rsid w:val="00C22416"/>
    <w:rsid w:val="00C2243A"/>
    <w:rsid w:val="00C227EC"/>
    <w:rsid w:val="00C22960"/>
    <w:rsid w:val="00C22BE2"/>
    <w:rsid w:val="00C22C00"/>
    <w:rsid w:val="00C22D27"/>
    <w:rsid w:val="00C22EAA"/>
    <w:rsid w:val="00C22F90"/>
    <w:rsid w:val="00C23245"/>
    <w:rsid w:val="00C232ED"/>
    <w:rsid w:val="00C237E2"/>
    <w:rsid w:val="00C2381C"/>
    <w:rsid w:val="00C23915"/>
    <w:rsid w:val="00C23B40"/>
    <w:rsid w:val="00C23DF9"/>
    <w:rsid w:val="00C23EDA"/>
    <w:rsid w:val="00C241C7"/>
    <w:rsid w:val="00C243CC"/>
    <w:rsid w:val="00C24481"/>
    <w:rsid w:val="00C24589"/>
    <w:rsid w:val="00C246C9"/>
    <w:rsid w:val="00C24841"/>
    <w:rsid w:val="00C24A41"/>
    <w:rsid w:val="00C24B47"/>
    <w:rsid w:val="00C24F5A"/>
    <w:rsid w:val="00C251BC"/>
    <w:rsid w:val="00C251F5"/>
    <w:rsid w:val="00C255D3"/>
    <w:rsid w:val="00C2573C"/>
    <w:rsid w:val="00C25845"/>
    <w:rsid w:val="00C25F72"/>
    <w:rsid w:val="00C25F77"/>
    <w:rsid w:val="00C26128"/>
    <w:rsid w:val="00C26222"/>
    <w:rsid w:val="00C26243"/>
    <w:rsid w:val="00C26575"/>
    <w:rsid w:val="00C267F7"/>
    <w:rsid w:val="00C26A40"/>
    <w:rsid w:val="00C26AE4"/>
    <w:rsid w:val="00C26B0C"/>
    <w:rsid w:val="00C26C26"/>
    <w:rsid w:val="00C26DDB"/>
    <w:rsid w:val="00C26F59"/>
    <w:rsid w:val="00C2703B"/>
    <w:rsid w:val="00C273B2"/>
    <w:rsid w:val="00C273FA"/>
    <w:rsid w:val="00C2770B"/>
    <w:rsid w:val="00C2780E"/>
    <w:rsid w:val="00C27915"/>
    <w:rsid w:val="00C279EF"/>
    <w:rsid w:val="00C27C54"/>
    <w:rsid w:val="00C27D45"/>
    <w:rsid w:val="00C27E1C"/>
    <w:rsid w:val="00C27E7C"/>
    <w:rsid w:val="00C27F5E"/>
    <w:rsid w:val="00C3010A"/>
    <w:rsid w:val="00C30283"/>
    <w:rsid w:val="00C30705"/>
    <w:rsid w:val="00C30B5A"/>
    <w:rsid w:val="00C30C9D"/>
    <w:rsid w:val="00C30CE3"/>
    <w:rsid w:val="00C31730"/>
    <w:rsid w:val="00C31996"/>
    <w:rsid w:val="00C31A9C"/>
    <w:rsid w:val="00C31C38"/>
    <w:rsid w:val="00C31ECC"/>
    <w:rsid w:val="00C31F75"/>
    <w:rsid w:val="00C321F4"/>
    <w:rsid w:val="00C322C0"/>
    <w:rsid w:val="00C3247D"/>
    <w:rsid w:val="00C3251C"/>
    <w:rsid w:val="00C327F9"/>
    <w:rsid w:val="00C328E5"/>
    <w:rsid w:val="00C32ABC"/>
    <w:rsid w:val="00C32DCC"/>
    <w:rsid w:val="00C32E63"/>
    <w:rsid w:val="00C32EA6"/>
    <w:rsid w:val="00C32EE8"/>
    <w:rsid w:val="00C33001"/>
    <w:rsid w:val="00C33052"/>
    <w:rsid w:val="00C33316"/>
    <w:rsid w:val="00C33453"/>
    <w:rsid w:val="00C33455"/>
    <w:rsid w:val="00C33533"/>
    <w:rsid w:val="00C3367D"/>
    <w:rsid w:val="00C337B2"/>
    <w:rsid w:val="00C33AFB"/>
    <w:rsid w:val="00C33EEF"/>
    <w:rsid w:val="00C33F93"/>
    <w:rsid w:val="00C34027"/>
    <w:rsid w:val="00C34516"/>
    <w:rsid w:val="00C34618"/>
    <w:rsid w:val="00C348AF"/>
    <w:rsid w:val="00C348CE"/>
    <w:rsid w:val="00C34C29"/>
    <w:rsid w:val="00C34D95"/>
    <w:rsid w:val="00C34EDB"/>
    <w:rsid w:val="00C34F09"/>
    <w:rsid w:val="00C35795"/>
    <w:rsid w:val="00C359E9"/>
    <w:rsid w:val="00C35B7F"/>
    <w:rsid w:val="00C35C50"/>
    <w:rsid w:val="00C35D76"/>
    <w:rsid w:val="00C35EA4"/>
    <w:rsid w:val="00C35EA7"/>
    <w:rsid w:val="00C35F1D"/>
    <w:rsid w:val="00C35F54"/>
    <w:rsid w:val="00C3600C"/>
    <w:rsid w:val="00C3612F"/>
    <w:rsid w:val="00C366A7"/>
    <w:rsid w:val="00C3676C"/>
    <w:rsid w:val="00C36925"/>
    <w:rsid w:val="00C36A9F"/>
    <w:rsid w:val="00C36C38"/>
    <w:rsid w:val="00C370F5"/>
    <w:rsid w:val="00C3719D"/>
    <w:rsid w:val="00C37756"/>
    <w:rsid w:val="00C377F8"/>
    <w:rsid w:val="00C378C5"/>
    <w:rsid w:val="00C37A59"/>
    <w:rsid w:val="00C37E5A"/>
    <w:rsid w:val="00C37F92"/>
    <w:rsid w:val="00C38856"/>
    <w:rsid w:val="00C3B16F"/>
    <w:rsid w:val="00C403F2"/>
    <w:rsid w:val="00C405DC"/>
    <w:rsid w:val="00C40699"/>
    <w:rsid w:val="00C40A8A"/>
    <w:rsid w:val="00C40C65"/>
    <w:rsid w:val="00C40F32"/>
    <w:rsid w:val="00C41057"/>
    <w:rsid w:val="00C4122F"/>
    <w:rsid w:val="00C414EA"/>
    <w:rsid w:val="00C41555"/>
    <w:rsid w:val="00C41AD5"/>
    <w:rsid w:val="00C41C01"/>
    <w:rsid w:val="00C41CC8"/>
    <w:rsid w:val="00C421E9"/>
    <w:rsid w:val="00C423E9"/>
    <w:rsid w:val="00C42419"/>
    <w:rsid w:val="00C4285D"/>
    <w:rsid w:val="00C428C6"/>
    <w:rsid w:val="00C42C0E"/>
    <w:rsid w:val="00C42EC1"/>
    <w:rsid w:val="00C4300F"/>
    <w:rsid w:val="00C431E9"/>
    <w:rsid w:val="00C43212"/>
    <w:rsid w:val="00C43222"/>
    <w:rsid w:val="00C433E0"/>
    <w:rsid w:val="00C436F8"/>
    <w:rsid w:val="00C4387D"/>
    <w:rsid w:val="00C43902"/>
    <w:rsid w:val="00C43A12"/>
    <w:rsid w:val="00C43BD8"/>
    <w:rsid w:val="00C43BE6"/>
    <w:rsid w:val="00C43CDD"/>
    <w:rsid w:val="00C43FF0"/>
    <w:rsid w:val="00C4406C"/>
    <w:rsid w:val="00C44126"/>
    <w:rsid w:val="00C441FB"/>
    <w:rsid w:val="00C4428E"/>
    <w:rsid w:val="00C44552"/>
    <w:rsid w:val="00C4477B"/>
    <w:rsid w:val="00C447E3"/>
    <w:rsid w:val="00C44974"/>
    <w:rsid w:val="00C44B29"/>
    <w:rsid w:val="00C44B2A"/>
    <w:rsid w:val="00C44C8B"/>
    <w:rsid w:val="00C4521D"/>
    <w:rsid w:val="00C45280"/>
    <w:rsid w:val="00C452BB"/>
    <w:rsid w:val="00C453FF"/>
    <w:rsid w:val="00C45485"/>
    <w:rsid w:val="00C4575E"/>
    <w:rsid w:val="00C458B7"/>
    <w:rsid w:val="00C45CC5"/>
    <w:rsid w:val="00C45D1D"/>
    <w:rsid w:val="00C45EBF"/>
    <w:rsid w:val="00C464C3"/>
    <w:rsid w:val="00C4653A"/>
    <w:rsid w:val="00C467F3"/>
    <w:rsid w:val="00C46840"/>
    <w:rsid w:val="00C469B7"/>
    <w:rsid w:val="00C46AA0"/>
    <w:rsid w:val="00C46B68"/>
    <w:rsid w:val="00C46FE2"/>
    <w:rsid w:val="00C47705"/>
    <w:rsid w:val="00C478D3"/>
    <w:rsid w:val="00C4793A"/>
    <w:rsid w:val="00C479F9"/>
    <w:rsid w:val="00C47ABC"/>
    <w:rsid w:val="00C47BA1"/>
    <w:rsid w:val="00C47C34"/>
    <w:rsid w:val="00C47C46"/>
    <w:rsid w:val="00C47CE0"/>
    <w:rsid w:val="00C47F5D"/>
    <w:rsid w:val="00C47FD3"/>
    <w:rsid w:val="00C50104"/>
    <w:rsid w:val="00C50181"/>
    <w:rsid w:val="00C50282"/>
    <w:rsid w:val="00C50800"/>
    <w:rsid w:val="00C50883"/>
    <w:rsid w:val="00C508BF"/>
    <w:rsid w:val="00C508D1"/>
    <w:rsid w:val="00C50BAE"/>
    <w:rsid w:val="00C50E6C"/>
    <w:rsid w:val="00C50EEB"/>
    <w:rsid w:val="00C50F93"/>
    <w:rsid w:val="00C50FE6"/>
    <w:rsid w:val="00C5102C"/>
    <w:rsid w:val="00C511CD"/>
    <w:rsid w:val="00C51227"/>
    <w:rsid w:val="00C51340"/>
    <w:rsid w:val="00C513FD"/>
    <w:rsid w:val="00C5145E"/>
    <w:rsid w:val="00C51502"/>
    <w:rsid w:val="00C51801"/>
    <w:rsid w:val="00C5184B"/>
    <w:rsid w:val="00C519AD"/>
    <w:rsid w:val="00C51AA8"/>
    <w:rsid w:val="00C51B13"/>
    <w:rsid w:val="00C51E70"/>
    <w:rsid w:val="00C51EDF"/>
    <w:rsid w:val="00C51EEE"/>
    <w:rsid w:val="00C52093"/>
    <w:rsid w:val="00C520D1"/>
    <w:rsid w:val="00C5285D"/>
    <w:rsid w:val="00C52C69"/>
    <w:rsid w:val="00C53135"/>
    <w:rsid w:val="00C53621"/>
    <w:rsid w:val="00C5374C"/>
    <w:rsid w:val="00C53786"/>
    <w:rsid w:val="00C537C9"/>
    <w:rsid w:val="00C53928"/>
    <w:rsid w:val="00C53B12"/>
    <w:rsid w:val="00C53B43"/>
    <w:rsid w:val="00C53F34"/>
    <w:rsid w:val="00C53F98"/>
    <w:rsid w:val="00C53FC7"/>
    <w:rsid w:val="00C54582"/>
    <w:rsid w:val="00C5470D"/>
    <w:rsid w:val="00C5498F"/>
    <w:rsid w:val="00C55100"/>
    <w:rsid w:val="00C55163"/>
    <w:rsid w:val="00C55197"/>
    <w:rsid w:val="00C551A1"/>
    <w:rsid w:val="00C5524E"/>
    <w:rsid w:val="00C55403"/>
    <w:rsid w:val="00C555B8"/>
    <w:rsid w:val="00C5595E"/>
    <w:rsid w:val="00C55A5D"/>
    <w:rsid w:val="00C55C31"/>
    <w:rsid w:val="00C561AB"/>
    <w:rsid w:val="00C561C8"/>
    <w:rsid w:val="00C56486"/>
    <w:rsid w:val="00C5648F"/>
    <w:rsid w:val="00C56A61"/>
    <w:rsid w:val="00C56C22"/>
    <w:rsid w:val="00C56F30"/>
    <w:rsid w:val="00C57009"/>
    <w:rsid w:val="00C570E2"/>
    <w:rsid w:val="00C57C96"/>
    <w:rsid w:val="00C57FAE"/>
    <w:rsid w:val="00C5967C"/>
    <w:rsid w:val="00C5B474"/>
    <w:rsid w:val="00C5DAFD"/>
    <w:rsid w:val="00C6004A"/>
    <w:rsid w:val="00C6020C"/>
    <w:rsid w:val="00C603A8"/>
    <w:rsid w:val="00C603F8"/>
    <w:rsid w:val="00C605C3"/>
    <w:rsid w:val="00C605DE"/>
    <w:rsid w:val="00C607A4"/>
    <w:rsid w:val="00C60A0F"/>
    <w:rsid w:val="00C60DAC"/>
    <w:rsid w:val="00C60ECF"/>
    <w:rsid w:val="00C6169C"/>
    <w:rsid w:val="00C61766"/>
    <w:rsid w:val="00C61E85"/>
    <w:rsid w:val="00C61F2F"/>
    <w:rsid w:val="00C61FA1"/>
    <w:rsid w:val="00C62449"/>
    <w:rsid w:val="00C62D32"/>
    <w:rsid w:val="00C62FA4"/>
    <w:rsid w:val="00C63255"/>
    <w:rsid w:val="00C63499"/>
    <w:rsid w:val="00C63506"/>
    <w:rsid w:val="00C63A52"/>
    <w:rsid w:val="00C63B99"/>
    <w:rsid w:val="00C63C64"/>
    <w:rsid w:val="00C63DFF"/>
    <w:rsid w:val="00C63F32"/>
    <w:rsid w:val="00C63F77"/>
    <w:rsid w:val="00C63FF2"/>
    <w:rsid w:val="00C64156"/>
    <w:rsid w:val="00C6456C"/>
    <w:rsid w:val="00C64664"/>
    <w:rsid w:val="00C64A06"/>
    <w:rsid w:val="00C64AC2"/>
    <w:rsid w:val="00C64C55"/>
    <w:rsid w:val="00C64D8D"/>
    <w:rsid w:val="00C64FCF"/>
    <w:rsid w:val="00C6517F"/>
    <w:rsid w:val="00C65788"/>
    <w:rsid w:val="00C65807"/>
    <w:rsid w:val="00C659BA"/>
    <w:rsid w:val="00C65AB7"/>
    <w:rsid w:val="00C65D12"/>
    <w:rsid w:val="00C65D68"/>
    <w:rsid w:val="00C65D6B"/>
    <w:rsid w:val="00C65F32"/>
    <w:rsid w:val="00C66087"/>
    <w:rsid w:val="00C660D8"/>
    <w:rsid w:val="00C66191"/>
    <w:rsid w:val="00C661E7"/>
    <w:rsid w:val="00C6642C"/>
    <w:rsid w:val="00C66B16"/>
    <w:rsid w:val="00C66B4B"/>
    <w:rsid w:val="00C66BD7"/>
    <w:rsid w:val="00C6708B"/>
    <w:rsid w:val="00C6727F"/>
    <w:rsid w:val="00C67343"/>
    <w:rsid w:val="00C6776D"/>
    <w:rsid w:val="00C6777F"/>
    <w:rsid w:val="00C67791"/>
    <w:rsid w:val="00C678DA"/>
    <w:rsid w:val="00C67BF1"/>
    <w:rsid w:val="00C67CE0"/>
    <w:rsid w:val="00C67EFE"/>
    <w:rsid w:val="00C701A0"/>
    <w:rsid w:val="00C702F4"/>
    <w:rsid w:val="00C70684"/>
    <w:rsid w:val="00C70908"/>
    <w:rsid w:val="00C7118A"/>
    <w:rsid w:val="00C7126E"/>
    <w:rsid w:val="00C714C0"/>
    <w:rsid w:val="00C71B2E"/>
    <w:rsid w:val="00C71B65"/>
    <w:rsid w:val="00C72052"/>
    <w:rsid w:val="00C720E6"/>
    <w:rsid w:val="00C722AC"/>
    <w:rsid w:val="00C7250E"/>
    <w:rsid w:val="00C727D2"/>
    <w:rsid w:val="00C72F86"/>
    <w:rsid w:val="00C72FC8"/>
    <w:rsid w:val="00C730A5"/>
    <w:rsid w:val="00C730F3"/>
    <w:rsid w:val="00C7317A"/>
    <w:rsid w:val="00C734E7"/>
    <w:rsid w:val="00C737CA"/>
    <w:rsid w:val="00C73AF8"/>
    <w:rsid w:val="00C73BA5"/>
    <w:rsid w:val="00C73C4F"/>
    <w:rsid w:val="00C73D7F"/>
    <w:rsid w:val="00C73F07"/>
    <w:rsid w:val="00C73F88"/>
    <w:rsid w:val="00C73F97"/>
    <w:rsid w:val="00C7403A"/>
    <w:rsid w:val="00C74314"/>
    <w:rsid w:val="00C74627"/>
    <w:rsid w:val="00C74806"/>
    <w:rsid w:val="00C74846"/>
    <w:rsid w:val="00C74A0F"/>
    <w:rsid w:val="00C74B43"/>
    <w:rsid w:val="00C74DCD"/>
    <w:rsid w:val="00C74DE2"/>
    <w:rsid w:val="00C7508E"/>
    <w:rsid w:val="00C752C1"/>
    <w:rsid w:val="00C753F2"/>
    <w:rsid w:val="00C7540C"/>
    <w:rsid w:val="00C75493"/>
    <w:rsid w:val="00C75B19"/>
    <w:rsid w:val="00C75E56"/>
    <w:rsid w:val="00C75EBA"/>
    <w:rsid w:val="00C75FCE"/>
    <w:rsid w:val="00C763B7"/>
    <w:rsid w:val="00C76433"/>
    <w:rsid w:val="00C76524"/>
    <w:rsid w:val="00C7655A"/>
    <w:rsid w:val="00C766AA"/>
    <w:rsid w:val="00C7671A"/>
    <w:rsid w:val="00C7689D"/>
    <w:rsid w:val="00C7710F"/>
    <w:rsid w:val="00C7725E"/>
    <w:rsid w:val="00C772E4"/>
    <w:rsid w:val="00C77389"/>
    <w:rsid w:val="00C77426"/>
    <w:rsid w:val="00C77483"/>
    <w:rsid w:val="00C77570"/>
    <w:rsid w:val="00C77622"/>
    <w:rsid w:val="00C778E6"/>
    <w:rsid w:val="00C77B5A"/>
    <w:rsid w:val="00C77BBA"/>
    <w:rsid w:val="00C77BC9"/>
    <w:rsid w:val="00C77C5B"/>
    <w:rsid w:val="00C77CBF"/>
    <w:rsid w:val="00C77F30"/>
    <w:rsid w:val="00C803A9"/>
    <w:rsid w:val="00C80643"/>
    <w:rsid w:val="00C80823"/>
    <w:rsid w:val="00C809ED"/>
    <w:rsid w:val="00C80C03"/>
    <w:rsid w:val="00C80C41"/>
    <w:rsid w:val="00C80F88"/>
    <w:rsid w:val="00C81054"/>
    <w:rsid w:val="00C8120E"/>
    <w:rsid w:val="00C8147F"/>
    <w:rsid w:val="00C81595"/>
    <w:rsid w:val="00C816FA"/>
    <w:rsid w:val="00C817A5"/>
    <w:rsid w:val="00C817DB"/>
    <w:rsid w:val="00C8196D"/>
    <w:rsid w:val="00C81C4B"/>
    <w:rsid w:val="00C81D93"/>
    <w:rsid w:val="00C81DC7"/>
    <w:rsid w:val="00C82149"/>
    <w:rsid w:val="00C8218B"/>
    <w:rsid w:val="00C82252"/>
    <w:rsid w:val="00C822D0"/>
    <w:rsid w:val="00C8250E"/>
    <w:rsid w:val="00C825AB"/>
    <w:rsid w:val="00C8271D"/>
    <w:rsid w:val="00C82775"/>
    <w:rsid w:val="00C82783"/>
    <w:rsid w:val="00C829BF"/>
    <w:rsid w:val="00C82A4A"/>
    <w:rsid w:val="00C82FF2"/>
    <w:rsid w:val="00C830B7"/>
    <w:rsid w:val="00C832AA"/>
    <w:rsid w:val="00C832DE"/>
    <w:rsid w:val="00C8337A"/>
    <w:rsid w:val="00C8339E"/>
    <w:rsid w:val="00C83474"/>
    <w:rsid w:val="00C83578"/>
    <w:rsid w:val="00C835C0"/>
    <w:rsid w:val="00C837AB"/>
    <w:rsid w:val="00C842B3"/>
    <w:rsid w:val="00C842EB"/>
    <w:rsid w:val="00C84532"/>
    <w:rsid w:val="00C845A5"/>
    <w:rsid w:val="00C84836"/>
    <w:rsid w:val="00C84856"/>
    <w:rsid w:val="00C84B92"/>
    <w:rsid w:val="00C84C8E"/>
    <w:rsid w:val="00C84FEE"/>
    <w:rsid w:val="00C855CA"/>
    <w:rsid w:val="00C85AF4"/>
    <w:rsid w:val="00C85B5E"/>
    <w:rsid w:val="00C85E56"/>
    <w:rsid w:val="00C85F8B"/>
    <w:rsid w:val="00C8609E"/>
    <w:rsid w:val="00C86259"/>
    <w:rsid w:val="00C8648F"/>
    <w:rsid w:val="00C864EB"/>
    <w:rsid w:val="00C867E4"/>
    <w:rsid w:val="00C86A76"/>
    <w:rsid w:val="00C86BF8"/>
    <w:rsid w:val="00C86D40"/>
    <w:rsid w:val="00C870F6"/>
    <w:rsid w:val="00C87240"/>
    <w:rsid w:val="00C87275"/>
    <w:rsid w:val="00C872D3"/>
    <w:rsid w:val="00C875F2"/>
    <w:rsid w:val="00C87876"/>
    <w:rsid w:val="00C87D38"/>
    <w:rsid w:val="00C87ECF"/>
    <w:rsid w:val="00C90145"/>
    <w:rsid w:val="00C901A9"/>
    <w:rsid w:val="00C90298"/>
    <w:rsid w:val="00C9039F"/>
    <w:rsid w:val="00C903CA"/>
    <w:rsid w:val="00C9040F"/>
    <w:rsid w:val="00C90573"/>
    <w:rsid w:val="00C907EF"/>
    <w:rsid w:val="00C90A51"/>
    <w:rsid w:val="00C90C9D"/>
    <w:rsid w:val="00C90CAF"/>
    <w:rsid w:val="00C90D7E"/>
    <w:rsid w:val="00C90D9B"/>
    <w:rsid w:val="00C90E90"/>
    <w:rsid w:val="00C90FB0"/>
    <w:rsid w:val="00C90FE9"/>
    <w:rsid w:val="00C910D3"/>
    <w:rsid w:val="00C910FB"/>
    <w:rsid w:val="00C91607"/>
    <w:rsid w:val="00C91645"/>
    <w:rsid w:val="00C917BF"/>
    <w:rsid w:val="00C9183D"/>
    <w:rsid w:val="00C91B37"/>
    <w:rsid w:val="00C91C13"/>
    <w:rsid w:val="00C91F54"/>
    <w:rsid w:val="00C921DF"/>
    <w:rsid w:val="00C925E0"/>
    <w:rsid w:val="00C928AD"/>
    <w:rsid w:val="00C9324A"/>
    <w:rsid w:val="00C9336F"/>
    <w:rsid w:val="00C93607"/>
    <w:rsid w:val="00C93711"/>
    <w:rsid w:val="00C9385F"/>
    <w:rsid w:val="00C938FE"/>
    <w:rsid w:val="00C93A0D"/>
    <w:rsid w:val="00C93B44"/>
    <w:rsid w:val="00C93CEF"/>
    <w:rsid w:val="00C93EE8"/>
    <w:rsid w:val="00C93EFD"/>
    <w:rsid w:val="00C941D2"/>
    <w:rsid w:val="00C941ED"/>
    <w:rsid w:val="00C94231"/>
    <w:rsid w:val="00C9475C"/>
    <w:rsid w:val="00C949E0"/>
    <w:rsid w:val="00C94A5F"/>
    <w:rsid w:val="00C94C1D"/>
    <w:rsid w:val="00C94FB8"/>
    <w:rsid w:val="00C9504C"/>
    <w:rsid w:val="00C95308"/>
    <w:rsid w:val="00C95A41"/>
    <w:rsid w:val="00C96366"/>
    <w:rsid w:val="00C96433"/>
    <w:rsid w:val="00C967DE"/>
    <w:rsid w:val="00C9691D"/>
    <w:rsid w:val="00C96960"/>
    <w:rsid w:val="00C96B33"/>
    <w:rsid w:val="00C96B4C"/>
    <w:rsid w:val="00C96C87"/>
    <w:rsid w:val="00C96CA9"/>
    <w:rsid w:val="00C96D36"/>
    <w:rsid w:val="00C96E1B"/>
    <w:rsid w:val="00C96E5D"/>
    <w:rsid w:val="00C96F98"/>
    <w:rsid w:val="00C9701C"/>
    <w:rsid w:val="00C97084"/>
    <w:rsid w:val="00C970C6"/>
    <w:rsid w:val="00C97201"/>
    <w:rsid w:val="00C97224"/>
    <w:rsid w:val="00C9734A"/>
    <w:rsid w:val="00C97353"/>
    <w:rsid w:val="00C97430"/>
    <w:rsid w:val="00C9750D"/>
    <w:rsid w:val="00C97680"/>
    <w:rsid w:val="00C977AF"/>
    <w:rsid w:val="00C977E9"/>
    <w:rsid w:val="00C97893"/>
    <w:rsid w:val="00C97AF8"/>
    <w:rsid w:val="00C97B45"/>
    <w:rsid w:val="00C97C6E"/>
    <w:rsid w:val="00C97C7D"/>
    <w:rsid w:val="00C97D14"/>
    <w:rsid w:val="00CA0299"/>
    <w:rsid w:val="00CA039D"/>
    <w:rsid w:val="00CA048A"/>
    <w:rsid w:val="00CA068A"/>
    <w:rsid w:val="00CA0737"/>
    <w:rsid w:val="00CA0751"/>
    <w:rsid w:val="00CA0B61"/>
    <w:rsid w:val="00CA0C9A"/>
    <w:rsid w:val="00CA0E35"/>
    <w:rsid w:val="00CA0ED4"/>
    <w:rsid w:val="00CA106F"/>
    <w:rsid w:val="00CA183F"/>
    <w:rsid w:val="00CA1907"/>
    <w:rsid w:val="00CA19C1"/>
    <w:rsid w:val="00CA1AED"/>
    <w:rsid w:val="00CA1C23"/>
    <w:rsid w:val="00CA212B"/>
    <w:rsid w:val="00CA2462"/>
    <w:rsid w:val="00CA250F"/>
    <w:rsid w:val="00CA2858"/>
    <w:rsid w:val="00CA28F0"/>
    <w:rsid w:val="00CA29B8"/>
    <w:rsid w:val="00CA2AAD"/>
    <w:rsid w:val="00CA2C48"/>
    <w:rsid w:val="00CA33A5"/>
    <w:rsid w:val="00CA34DA"/>
    <w:rsid w:val="00CA3598"/>
    <w:rsid w:val="00CA35BD"/>
    <w:rsid w:val="00CA35E0"/>
    <w:rsid w:val="00CA36AC"/>
    <w:rsid w:val="00CA375F"/>
    <w:rsid w:val="00CA37E8"/>
    <w:rsid w:val="00CA39BB"/>
    <w:rsid w:val="00CA3A76"/>
    <w:rsid w:val="00CA3B48"/>
    <w:rsid w:val="00CA3C0C"/>
    <w:rsid w:val="00CA3EA1"/>
    <w:rsid w:val="00CA3EB7"/>
    <w:rsid w:val="00CA3FEA"/>
    <w:rsid w:val="00CA4063"/>
    <w:rsid w:val="00CA4078"/>
    <w:rsid w:val="00CA4102"/>
    <w:rsid w:val="00CA4156"/>
    <w:rsid w:val="00CA42DE"/>
    <w:rsid w:val="00CA43CF"/>
    <w:rsid w:val="00CA471D"/>
    <w:rsid w:val="00CA47DF"/>
    <w:rsid w:val="00CA4949"/>
    <w:rsid w:val="00CA49DF"/>
    <w:rsid w:val="00CA4D56"/>
    <w:rsid w:val="00CA4E03"/>
    <w:rsid w:val="00CA4E9E"/>
    <w:rsid w:val="00CA50BD"/>
    <w:rsid w:val="00CA517B"/>
    <w:rsid w:val="00CA5535"/>
    <w:rsid w:val="00CA55C3"/>
    <w:rsid w:val="00CA5C09"/>
    <w:rsid w:val="00CA5FF0"/>
    <w:rsid w:val="00CA60A5"/>
    <w:rsid w:val="00CA62BC"/>
    <w:rsid w:val="00CA6318"/>
    <w:rsid w:val="00CA66CE"/>
    <w:rsid w:val="00CA6710"/>
    <w:rsid w:val="00CA6B4F"/>
    <w:rsid w:val="00CA6C8F"/>
    <w:rsid w:val="00CA6DD2"/>
    <w:rsid w:val="00CA6F21"/>
    <w:rsid w:val="00CA7093"/>
    <w:rsid w:val="00CA71AA"/>
    <w:rsid w:val="00CA738E"/>
    <w:rsid w:val="00CA745B"/>
    <w:rsid w:val="00CA7619"/>
    <w:rsid w:val="00CA7649"/>
    <w:rsid w:val="00CA7651"/>
    <w:rsid w:val="00CA77FD"/>
    <w:rsid w:val="00CA7A2F"/>
    <w:rsid w:val="00CA7C0C"/>
    <w:rsid w:val="00CA7C7E"/>
    <w:rsid w:val="00CA7DCE"/>
    <w:rsid w:val="00CA7E25"/>
    <w:rsid w:val="00CA7E7E"/>
    <w:rsid w:val="00CA7F15"/>
    <w:rsid w:val="00CA7F32"/>
    <w:rsid w:val="00CA845C"/>
    <w:rsid w:val="00CB0045"/>
    <w:rsid w:val="00CB0375"/>
    <w:rsid w:val="00CB03AD"/>
    <w:rsid w:val="00CB04A8"/>
    <w:rsid w:val="00CB05B3"/>
    <w:rsid w:val="00CB0654"/>
    <w:rsid w:val="00CB0A26"/>
    <w:rsid w:val="00CB0A73"/>
    <w:rsid w:val="00CB10C9"/>
    <w:rsid w:val="00CB10F9"/>
    <w:rsid w:val="00CB1116"/>
    <w:rsid w:val="00CB1311"/>
    <w:rsid w:val="00CB1325"/>
    <w:rsid w:val="00CB1509"/>
    <w:rsid w:val="00CB16C9"/>
    <w:rsid w:val="00CB17B4"/>
    <w:rsid w:val="00CB1934"/>
    <w:rsid w:val="00CB19DC"/>
    <w:rsid w:val="00CB1A47"/>
    <w:rsid w:val="00CB1A75"/>
    <w:rsid w:val="00CB1B2B"/>
    <w:rsid w:val="00CB1B7C"/>
    <w:rsid w:val="00CB1B99"/>
    <w:rsid w:val="00CB1D06"/>
    <w:rsid w:val="00CB1FB7"/>
    <w:rsid w:val="00CB2103"/>
    <w:rsid w:val="00CB224B"/>
    <w:rsid w:val="00CB2C1B"/>
    <w:rsid w:val="00CB3017"/>
    <w:rsid w:val="00CB3484"/>
    <w:rsid w:val="00CB36D5"/>
    <w:rsid w:val="00CB3BBB"/>
    <w:rsid w:val="00CB3C5E"/>
    <w:rsid w:val="00CB3DA9"/>
    <w:rsid w:val="00CB41BE"/>
    <w:rsid w:val="00CB45C3"/>
    <w:rsid w:val="00CB4841"/>
    <w:rsid w:val="00CB4A54"/>
    <w:rsid w:val="00CB4B24"/>
    <w:rsid w:val="00CB4B71"/>
    <w:rsid w:val="00CB4C09"/>
    <w:rsid w:val="00CB4D5A"/>
    <w:rsid w:val="00CB4D87"/>
    <w:rsid w:val="00CB5013"/>
    <w:rsid w:val="00CB509A"/>
    <w:rsid w:val="00CB5180"/>
    <w:rsid w:val="00CB5379"/>
    <w:rsid w:val="00CB53C5"/>
    <w:rsid w:val="00CB5655"/>
    <w:rsid w:val="00CB5684"/>
    <w:rsid w:val="00CB58A1"/>
    <w:rsid w:val="00CB5904"/>
    <w:rsid w:val="00CB593D"/>
    <w:rsid w:val="00CB5988"/>
    <w:rsid w:val="00CB5D0E"/>
    <w:rsid w:val="00CB6507"/>
    <w:rsid w:val="00CB66CE"/>
    <w:rsid w:val="00CB6886"/>
    <w:rsid w:val="00CB6A84"/>
    <w:rsid w:val="00CB6B42"/>
    <w:rsid w:val="00CB6CDB"/>
    <w:rsid w:val="00CB6E05"/>
    <w:rsid w:val="00CB6FA8"/>
    <w:rsid w:val="00CB7335"/>
    <w:rsid w:val="00CB76C1"/>
    <w:rsid w:val="00CB778E"/>
    <w:rsid w:val="00CB785A"/>
    <w:rsid w:val="00CB79CC"/>
    <w:rsid w:val="00CB7A2A"/>
    <w:rsid w:val="00CB7BB3"/>
    <w:rsid w:val="00CB7D97"/>
    <w:rsid w:val="00CB7F3C"/>
    <w:rsid w:val="00CB7F85"/>
    <w:rsid w:val="00CB7FAC"/>
    <w:rsid w:val="00CB8622"/>
    <w:rsid w:val="00CC0081"/>
    <w:rsid w:val="00CC0137"/>
    <w:rsid w:val="00CC0379"/>
    <w:rsid w:val="00CC0408"/>
    <w:rsid w:val="00CC041E"/>
    <w:rsid w:val="00CC04A2"/>
    <w:rsid w:val="00CC0520"/>
    <w:rsid w:val="00CC05AD"/>
    <w:rsid w:val="00CC07A9"/>
    <w:rsid w:val="00CC096E"/>
    <w:rsid w:val="00CC0B6C"/>
    <w:rsid w:val="00CC0C56"/>
    <w:rsid w:val="00CC0C5C"/>
    <w:rsid w:val="00CC0F28"/>
    <w:rsid w:val="00CC10AC"/>
    <w:rsid w:val="00CC10B7"/>
    <w:rsid w:val="00CC139D"/>
    <w:rsid w:val="00CC1A61"/>
    <w:rsid w:val="00CC1BCA"/>
    <w:rsid w:val="00CC1C32"/>
    <w:rsid w:val="00CC1D00"/>
    <w:rsid w:val="00CC210E"/>
    <w:rsid w:val="00CC2170"/>
    <w:rsid w:val="00CC2548"/>
    <w:rsid w:val="00CC26C8"/>
    <w:rsid w:val="00CC275E"/>
    <w:rsid w:val="00CC28F1"/>
    <w:rsid w:val="00CC29A8"/>
    <w:rsid w:val="00CC2A7B"/>
    <w:rsid w:val="00CC2AF6"/>
    <w:rsid w:val="00CC2B2A"/>
    <w:rsid w:val="00CC2EEC"/>
    <w:rsid w:val="00CC3442"/>
    <w:rsid w:val="00CC3AA0"/>
    <w:rsid w:val="00CC3DE9"/>
    <w:rsid w:val="00CC3E21"/>
    <w:rsid w:val="00CC3EDF"/>
    <w:rsid w:val="00CC4068"/>
    <w:rsid w:val="00CC40E4"/>
    <w:rsid w:val="00CC4348"/>
    <w:rsid w:val="00CC45F0"/>
    <w:rsid w:val="00CC490C"/>
    <w:rsid w:val="00CC49CF"/>
    <w:rsid w:val="00CC4B01"/>
    <w:rsid w:val="00CC4B4A"/>
    <w:rsid w:val="00CC4CA7"/>
    <w:rsid w:val="00CC5381"/>
    <w:rsid w:val="00CC5419"/>
    <w:rsid w:val="00CC5485"/>
    <w:rsid w:val="00CC556C"/>
    <w:rsid w:val="00CC5826"/>
    <w:rsid w:val="00CC5A49"/>
    <w:rsid w:val="00CC5B86"/>
    <w:rsid w:val="00CC5C6C"/>
    <w:rsid w:val="00CC6210"/>
    <w:rsid w:val="00CC63B1"/>
    <w:rsid w:val="00CC64DD"/>
    <w:rsid w:val="00CC65FE"/>
    <w:rsid w:val="00CC660C"/>
    <w:rsid w:val="00CC6674"/>
    <w:rsid w:val="00CC67C2"/>
    <w:rsid w:val="00CC6BFE"/>
    <w:rsid w:val="00CC6D08"/>
    <w:rsid w:val="00CC6F16"/>
    <w:rsid w:val="00CC6F2B"/>
    <w:rsid w:val="00CC7190"/>
    <w:rsid w:val="00CC73C9"/>
    <w:rsid w:val="00CC74C0"/>
    <w:rsid w:val="00CC7909"/>
    <w:rsid w:val="00CC7939"/>
    <w:rsid w:val="00CC7B1D"/>
    <w:rsid w:val="00CC7F4F"/>
    <w:rsid w:val="00CC7FE5"/>
    <w:rsid w:val="00CD00CB"/>
    <w:rsid w:val="00CD02B1"/>
    <w:rsid w:val="00CD03CF"/>
    <w:rsid w:val="00CD06E0"/>
    <w:rsid w:val="00CD0A0C"/>
    <w:rsid w:val="00CD0AD2"/>
    <w:rsid w:val="00CD0D87"/>
    <w:rsid w:val="00CD0E9B"/>
    <w:rsid w:val="00CD0FC0"/>
    <w:rsid w:val="00CD1187"/>
    <w:rsid w:val="00CD12FE"/>
    <w:rsid w:val="00CD14F4"/>
    <w:rsid w:val="00CD1650"/>
    <w:rsid w:val="00CD1692"/>
    <w:rsid w:val="00CD18D9"/>
    <w:rsid w:val="00CD196B"/>
    <w:rsid w:val="00CD1A65"/>
    <w:rsid w:val="00CD1B27"/>
    <w:rsid w:val="00CD1D93"/>
    <w:rsid w:val="00CD2106"/>
    <w:rsid w:val="00CD237D"/>
    <w:rsid w:val="00CD23D5"/>
    <w:rsid w:val="00CD24DD"/>
    <w:rsid w:val="00CD2596"/>
    <w:rsid w:val="00CD25A0"/>
    <w:rsid w:val="00CD2633"/>
    <w:rsid w:val="00CD26BD"/>
    <w:rsid w:val="00CD29AA"/>
    <w:rsid w:val="00CD2B56"/>
    <w:rsid w:val="00CD2B66"/>
    <w:rsid w:val="00CD2BA5"/>
    <w:rsid w:val="00CD2DE1"/>
    <w:rsid w:val="00CD31A8"/>
    <w:rsid w:val="00CD349D"/>
    <w:rsid w:val="00CD39A4"/>
    <w:rsid w:val="00CD39B2"/>
    <w:rsid w:val="00CD3C1C"/>
    <w:rsid w:val="00CD3CAC"/>
    <w:rsid w:val="00CD3FAD"/>
    <w:rsid w:val="00CD414F"/>
    <w:rsid w:val="00CD4159"/>
    <w:rsid w:val="00CD415A"/>
    <w:rsid w:val="00CD4249"/>
    <w:rsid w:val="00CD4354"/>
    <w:rsid w:val="00CD470A"/>
    <w:rsid w:val="00CD47DD"/>
    <w:rsid w:val="00CD4984"/>
    <w:rsid w:val="00CD4A4E"/>
    <w:rsid w:val="00CD529D"/>
    <w:rsid w:val="00CD52C4"/>
    <w:rsid w:val="00CD5554"/>
    <w:rsid w:val="00CD5751"/>
    <w:rsid w:val="00CD5A1A"/>
    <w:rsid w:val="00CD5A8D"/>
    <w:rsid w:val="00CD611A"/>
    <w:rsid w:val="00CD6491"/>
    <w:rsid w:val="00CD66DA"/>
    <w:rsid w:val="00CD6A46"/>
    <w:rsid w:val="00CD6BE8"/>
    <w:rsid w:val="00CD6BF4"/>
    <w:rsid w:val="00CD6D0C"/>
    <w:rsid w:val="00CD6D35"/>
    <w:rsid w:val="00CD722C"/>
    <w:rsid w:val="00CD77CB"/>
    <w:rsid w:val="00CD7942"/>
    <w:rsid w:val="00CD79E9"/>
    <w:rsid w:val="00CD7A02"/>
    <w:rsid w:val="00CD7C13"/>
    <w:rsid w:val="00CD7E1E"/>
    <w:rsid w:val="00CDF818"/>
    <w:rsid w:val="00CE0474"/>
    <w:rsid w:val="00CE0AC1"/>
    <w:rsid w:val="00CE0FD1"/>
    <w:rsid w:val="00CE13F4"/>
    <w:rsid w:val="00CE1483"/>
    <w:rsid w:val="00CE14B3"/>
    <w:rsid w:val="00CE1A33"/>
    <w:rsid w:val="00CE1A5F"/>
    <w:rsid w:val="00CE1BE7"/>
    <w:rsid w:val="00CE1CC1"/>
    <w:rsid w:val="00CE1E45"/>
    <w:rsid w:val="00CE1EE0"/>
    <w:rsid w:val="00CE2035"/>
    <w:rsid w:val="00CE21D3"/>
    <w:rsid w:val="00CE228F"/>
    <w:rsid w:val="00CE2635"/>
    <w:rsid w:val="00CE2696"/>
    <w:rsid w:val="00CE26EE"/>
    <w:rsid w:val="00CE289A"/>
    <w:rsid w:val="00CE28C6"/>
    <w:rsid w:val="00CE2A27"/>
    <w:rsid w:val="00CE2DDE"/>
    <w:rsid w:val="00CE3192"/>
    <w:rsid w:val="00CE31AD"/>
    <w:rsid w:val="00CE366C"/>
    <w:rsid w:val="00CE385B"/>
    <w:rsid w:val="00CE38CA"/>
    <w:rsid w:val="00CE39F8"/>
    <w:rsid w:val="00CE3AFE"/>
    <w:rsid w:val="00CE3F2F"/>
    <w:rsid w:val="00CE40A5"/>
    <w:rsid w:val="00CE42C4"/>
    <w:rsid w:val="00CE5134"/>
    <w:rsid w:val="00CE513B"/>
    <w:rsid w:val="00CE5424"/>
    <w:rsid w:val="00CE54B0"/>
    <w:rsid w:val="00CE5611"/>
    <w:rsid w:val="00CE5A33"/>
    <w:rsid w:val="00CE5A46"/>
    <w:rsid w:val="00CE5DFF"/>
    <w:rsid w:val="00CE5F52"/>
    <w:rsid w:val="00CE6098"/>
    <w:rsid w:val="00CE6164"/>
    <w:rsid w:val="00CE66BB"/>
    <w:rsid w:val="00CE67E1"/>
    <w:rsid w:val="00CE6839"/>
    <w:rsid w:val="00CE6CF4"/>
    <w:rsid w:val="00CE6D27"/>
    <w:rsid w:val="00CE6F16"/>
    <w:rsid w:val="00CE6F7F"/>
    <w:rsid w:val="00CE729C"/>
    <w:rsid w:val="00CE736D"/>
    <w:rsid w:val="00CE76CE"/>
    <w:rsid w:val="00CE77D2"/>
    <w:rsid w:val="00CE77DB"/>
    <w:rsid w:val="00CE783A"/>
    <w:rsid w:val="00CE7AF4"/>
    <w:rsid w:val="00CE7CC8"/>
    <w:rsid w:val="00CF0140"/>
    <w:rsid w:val="00CF01BE"/>
    <w:rsid w:val="00CF02D7"/>
    <w:rsid w:val="00CF05A0"/>
    <w:rsid w:val="00CF0B3C"/>
    <w:rsid w:val="00CF0C51"/>
    <w:rsid w:val="00CF0DEF"/>
    <w:rsid w:val="00CF0E6F"/>
    <w:rsid w:val="00CF0FFD"/>
    <w:rsid w:val="00CF10C0"/>
    <w:rsid w:val="00CF10E8"/>
    <w:rsid w:val="00CF1131"/>
    <w:rsid w:val="00CF11BE"/>
    <w:rsid w:val="00CF15F8"/>
    <w:rsid w:val="00CF16B7"/>
    <w:rsid w:val="00CF17FF"/>
    <w:rsid w:val="00CF186A"/>
    <w:rsid w:val="00CF195C"/>
    <w:rsid w:val="00CF1968"/>
    <w:rsid w:val="00CF1EF0"/>
    <w:rsid w:val="00CF21D5"/>
    <w:rsid w:val="00CF24FD"/>
    <w:rsid w:val="00CF28D8"/>
    <w:rsid w:val="00CF307B"/>
    <w:rsid w:val="00CF332B"/>
    <w:rsid w:val="00CF34E3"/>
    <w:rsid w:val="00CF363F"/>
    <w:rsid w:val="00CF39A8"/>
    <w:rsid w:val="00CF3D0E"/>
    <w:rsid w:val="00CF3D47"/>
    <w:rsid w:val="00CF43DA"/>
    <w:rsid w:val="00CF4539"/>
    <w:rsid w:val="00CF4613"/>
    <w:rsid w:val="00CF462E"/>
    <w:rsid w:val="00CF4632"/>
    <w:rsid w:val="00CF4660"/>
    <w:rsid w:val="00CF4765"/>
    <w:rsid w:val="00CF4771"/>
    <w:rsid w:val="00CF4980"/>
    <w:rsid w:val="00CF4BAF"/>
    <w:rsid w:val="00CF4C28"/>
    <w:rsid w:val="00CF51A9"/>
    <w:rsid w:val="00CF5268"/>
    <w:rsid w:val="00CF5276"/>
    <w:rsid w:val="00CF5361"/>
    <w:rsid w:val="00CF558A"/>
    <w:rsid w:val="00CF5631"/>
    <w:rsid w:val="00CF5721"/>
    <w:rsid w:val="00CF57B3"/>
    <w:rsid w:val="00CF592E"/>
    <w:rsid w:val="00CF5F04"/>
    <w:rsid w:val="00CF62C0"/>
    <w:rsid w:val="00CF62F3"/>
    <w:rsid w:val="00CF66BD"/>
    <w:rsid w:val="00CF6865"/>
    <w:rsid w:val="00CF688D"/>
    <w:rsid w:val="00CF6ADE"/>
    <w:rsid w:val="00CF6C3F"/>
    <w:rsid w:val="00CF6C5E"/>
    <w:rsid w:val="00CF6C9B"/>
    <w:rsid w:val="00CF6FB5"/>
    <w:rsid w:val="00CF7460"/>
    <w:rsid w:val="00CF76F0"/>
    <w:rsid w:val="00CF7817"/>
    <w:rsid w:val="00CF794C"/>
    <w:rsid w:val="00CF7ACD"/>
    <w:rsid w:val="00CF7D14"/>
    <w:rsid w:val="00CFF861"/>
    <w:rsid w:val="00D002C1"/>
    <w:rsid w:val="00D00549"/>
    <w:rsid w:val="00D00682"/>
    <w:rsid w:val="00D00781"/>
    <w:rsid w:val="00D0079A"/>
    <w:rsid w:val="00D00878"/>
    <w:rsid w:val="00D00C51"/>
    <w:rsid w:val="00D00CCD"/>
    <w:rsid w:val="00D00E07"/>
    <w:rsid w:val="00D00EC6"/>
    <w:rsid w:val="00D01471"/>
    <w:rsid w:val="00D019F6"/>
    <w:rsid w:val="00D01A46"/>
    <w:rsid w:val="00D01A4D"/>
    <w:rsid w:val="00D01A4E"/>
    <w:rsid w:val="00D01BCB"/>
    <w:rsid w:val="00D01C46"/>
    <w:rsid w:val="00D02245"/>
    <w:rsid w:val="00D02411"/>
    <w:rsid w:val="00D02576"/>
    <w:rsid w:val="00D02762"/>
    <w:rsid w:val="00D02A56"/>
    <w:rsid w:val="00D02BEE"/>
    <w:rsid w:val="00D02DBC"/>
    <w:rsid w:val="00D02EF1"/>
    <w:rsid w:val="00D03301"/>
    <w:rsid w:val="00D03474"/>
    <w:rsid w:val="00D0373B"/>
    <w:rsid w:val="00D03809"/>
    <w:rsid w:val="00D03B8B"/>
    <w:rsid w:val="00D03D65"/>
    <w:rsid w:val="00D03FB1"/>
    <w:rsid w:val="00D043A2"/>
    <w:rsid w:val="00D044FA"/>
    <w:rsid w:val="00D04554"/>
    <w:rsid w:val="00D04851"/>
    <w:rsid w:val="00D04938"/>
    <w:rsid w:val="00D04977"/>
    <w:rsid w:val="00D04B5A"/>
    <w:rsid w:val="00D04C6F"/>
    <w:rsid w:val="00D05469"/>
    <w:rsid w:val="00D05482"/>
    <w:rsid w:val="00D05B9A"/>
    <w:rsid w:val="00D05C96"/>
    <w:rsid w:val="00D05D6B"/>
    <w:rsid w:val="00D06435"/>
    <w:rsid w:val="00D06545"/>
    <w:rsid w:val="00D06804"/>
    <w:rsid w:val="00D06868"/>
    <w:rsid w:val="00D06A06"/>
    <w:rsid w:val="00D06A81"/>
    <w:rsid w:val="00D06B4E"/>
    <w:rsid w:val="00D0764E"/>
    <w:rsid w:val="00D076AB"/>
    <w:rsid w:val="00D07BFB"/>
    <w:rsid w:val="00D07E12"/>
    <w:rsid w:val="00D07E52"/>
    <w:rsid w:val="00D10257"/>
    <w:rsid w:val="00D10319"/>
    <w:rsid w:val="00D10381"/>
    <w:rsid w:val="00D104C6"/>
    <w:rsid w:val="00D10512"/>
    <w:rsid w:val="00D1083E"/>
    <w:rsid w:val="00D10C62"/>
    <w:rsid w:val="00D10D32"/>
    <w:rsid w:val="00D10F1A"/>
    <w:rsid w:val="00D10F2D"/>
    <w:rsid w:val="00D10FAB"/>
    <w:rsid w:val="00D111B9"/>
    <w:rsid w:val="00D1139A"/>
    <w:rsid w:val="00D11620"/>
    <w:rsid w:val="00D11867"/>
    <w:rsid w:val="00D11B22"/>
    <w:rsid w:val="00D11B57"/>
    <w:rsid w:val="00D12163"/>
    <w:rsid w:val="00D12193"/>
    <w:rsid w:val="00D12696"/>
    <w:rsid w:val="00D12AAD"/>
    <w:rsid w:val="00D12C07"/>
    <w:rsid w:val="00D12CD3"/>
    <w:rsid w:val="00D12E54"/>
    <w:rsid w:val="00D12E66"/>
    <w:rsid w:val="00D12FD5"/>
    <w:rsid w:val="00D1318D"/>
    <w:rsid w:val="00D13636"/>
    <w:rsid w:val="00D137B6"/>
    <w:rsid w:val="00D138A9"/>
    <w:rsid w:val="00D13A8D"/>
    <w:rsid w:val="00D13B10"/>
    <w:rsid w:val="00D13B41"/>
    <w:rsid w:val="00D13E27"/>
    <w:rsid w:val="00D140DF"/>
    <w:rsid w:val="00D14194"/>
    <w:rsid w:val="00D143FA"/>
    <w:rsid w:val="00D1446D"/>
    <w:rsid w:val="00D148BF"/>
    <w:rsid w:val="00D148E2"/>
    <w:rsid w:val="00D14A31"/>
    <w:rsid w:val="00D14A60"/>
    <w:rsid w:val="00D14B5F"/>
    <w:rsid w:val="00D14D69"/>
    <w:rsid w:val="00D14DA4"/>
    <w:rsid w:val="00D14DC0"/>
    <w:rsid w:val="00D15282"/>
    <w:rsid w:val="00D15403"/>
    <w:rsid w:val="00D155E0"/>
    <w:rsid w:val="00D1565B"/>
    <w:rsid w:val="00D15BBE"/>
    <w:rsid w:val="00D15D02"/>
    <w:rsid w:val="00D16326"/>
    <w:rsid w:val="00D1636C"/>
    <w:rsid w:val="00D164BB"/>
    <w:rsid w:val="00D167AD"/>
    <w:rsid w:val="00D16845"/>
    <w:rsid w:val="00D168AA"/>
    <w:rsid w:val="00D16931"/>
    <w:rsid w:val="00D16A4D"/>
    <w:rsid w:val="00D16B12"/>
    <w:rsid w:val="00D16C63"/>
    <w:rsid w:val="00D17066"/>
    <w:rsid w:val="00D17164"/>
    <w:rsid w:val="00D1731A"/>
    <w:rsid w:val="00D17968"/>
    <w:rsid w:val="00D179B2"/>
    <w:rsid w:val="00D17AE4"/>
    <w:rsid w:val="00D17C66"/>
    <w:rsid w:val="00D17C77"/>
    <w:rsid w:val="00D17EFD"/>
    <w:rsid w:val="00D17FF2"/>
    <w:rsid w:val="00D20044"/>
    <w:rsid w:val="00D20076"/>
    <w:rsid w:val="00D2023F"/>
    <w:rsid w:val="00D20392"/>
    <w:rsid w:val="00D206D7"/>
    <w:rsid w:val="00D2091E"/>
    <w:rsid w:val="00D20BDA"/>
    <w:rsid w:val="00D20C35"/>
    <w:rsid w:val="00D21001"/>
    <w:rsid w:val="00D21021"/>
    <w:rsid w:val="00D21095"/>
    <w:rsid w:val="00D21147"/>
    <w:rsid w:val="00D21364"/>
    <w:rsid w:val="00D2138A"/>
    <w:rsid w:val="00D214F0"/>
    <w:rsid w:val="00D21969"/>
    <w:rsid w:val="00D21A9B"/>
    <w:rsid w:val="00D21CD9"/>
    <w:rsid w:val="00D21F5D"/>
    <w:rsid w:val="00D220C5"/>
    <w:rsid w:val="00D2232D"/>
    <w:rsid w:val="00D223BD"/>
    <w:rsid w:val="00D223D3"/>
    <w:rsid w:val="00D223DE"/>
    <w:rsid w:val="00D225D4"/>
    <w:rsid w:val="00D2290D"/>
    <w:rsid w:val="00D2297D"/>
    <w:rsid w:val="00D22C8B"/>
    <w:rsid w:val="00D22DA3"/>
    <w:rsid w:val="00D22DEF"/>
    <w:rsid w:val="00D22E78"/>
    <w:rsid w:val="00D230E7"/>
    <w:rsid w:val="00D23157"/>
    <w:rsid w:val="00D23278"/>
    <w:rsid w:val="00D23820"/>
    <w:rsid w:val="00D23850"/>
    <w:rsid w:val="00D23E69"/>
    <w:rsid w:val="00D24151"/>
    <w:rsid w:val="00D24191"/>
    <w:rsid w:val="00D2469E"/>
    <w:rsid w:val="00D24917"/>
    <w:rsid w:val="00D24B1E"/>
    <w:rsid w:val="00D24C14"/>
    <w:rsid w:val="00D24CA1"/>
    <w:rsid w:val="00D24DC9"/>
    <w:rsid w:val="00D24FCD"/>
    <w:rsid w:val="00D24FD5"/>
    <w:rsid w:val="00D25195"/>
    <w:rsid w:val="00D25239"/>
    <w:rsid w:val="00D256AB"/>
    <w:rsid w:val="00D25765"/>
    <w:rsid w:val="00D2592E"/>
    <w:rsid w:val="00D25981"/>
    <w:rsid w:val="00D25BA1"/>
    <w:rsid w:val="00D261A7"/>
    <w:rsid w:val="00D26368"/>
    <w:rsid w:val="00D263BB"/>
    <w:rsid w:val="00D263DF"/>
    <w:rsid w:val="00D26825"/>
    <w:rsid w:val="00D2683D"/>
    <w:rsid w:val="00D26ADA"/>
    <w:rsid w:val="00D26C05"/>
    <w:rsid w:val="00D26C14"/>
    <w:rsid w:val="00D27091"/>
    <w:rsid w:val="00D270DF"/>
    <w:rsid w:val="00D2743E"/>
    <w:rsid w:val="00D27C09"/>
    <w:rsid w:val="00D27C75"/>
    <w:rsid w:val="00D27CD3"/>
    <w:rsid w:val="00D27F5E"/>
    <w:rsid w:val="00D2C0F4"/>
    <w:rsid w:val="00D300BA"/>
    <w:rsid w:val="00D30152"/>
    <w:rsid w:val="00D301EF"/>
    <w:rsid w:val="00D3038D"/>
    <w:rsid w:val="00D30680"/>
    <w:rsid w:val="00D30838"/>
    <w:rsid w:val="00D30846"/>
    <w:rsid w:val="00D30F92"/>
    <w:rsid w:val="00D31215"/>
    <w:rsid w:val="00D3153E"/>
    <w:rsid w:val="00D317F6"/>
    <w:rsid w:val="00D31DFA"/>
    <w:rsid w:val="00D31F91"/>
    <w:rsid w:val="00D32410"/>
    <w:rsid w:val="00D324C9"/>
    <w:rsid w:val="00D32598"/>
    <w:rsid w:val="00D32793"/>
    <w:rsid w:val="00D327DD"/>
    <w:rsid w:val="00D32844"/>
    <w:rsid w:val="00D32A79"/>
    <w:rsid w:val="00D33390"/>
    <w:rsid w:val="00D3361D"/>
    <w:rsid w:val="00D33653"/>
    <w:rsid w:val="00D33806"/>
    <w:rsid w:val="00D338A4"/>
    <w:rsid w:val="00D33915"/>
    <w:rsid w:val="00D33A91"/>
    <w:rsid w:val="00D33E1A"/>
    <w:rsid w:val="00D341B0"/>
    <w:rsid w:val="00D343AC"/>
    <w:rsid w:val="00D34772"/>
    <w:rsid w:val="00D34794"/>
    <w:rsid w:val="00D34966"/>
    <w:rsid w:val="00D34A22"/>
    <w:rsid w:val="00D34ADD"/>
    <w:rsid w:val="00D34B18"/>
    <w:rsid w:val="00D34B4C"/>
    <w:rsid w:val="00D34B70"/>
    <w:rsid w:val="00D34B92"/>
    <w:rsid w:val="00D34E26"/>
    <w:rsid w:val="00D35018"/>
    <w:rsid w:val="00D3530D"/>
    <w:rsid w:val="00D35395"/>
    <w:rsid w:val="00D355C3"/>
    <w:rsid w:val="00D356AF"/>
    <w:rsid w:val="00D3573B"/>
    <w:rsid w:val="00D35756"/>
    <w:rsid w:val="00D35AA6"/>
    <w:rsid w:val="00D35E74"/>
    <w:rsid w:val="00D36275"/>
    <w:rsid w:val="00D3633B"/>
    <w:rsid w:val="00D366DC"/>
    <w:rsid w:val="00D36CB7"/>
    <w:rsid w:val="00D36E3A"/>
    <w:rsid w:val="00D36E7E"/>
    <w:rsid w:val="00D37641"/>
    <w:rsid w:val="00D37A7D"/>
    <w:rsid w:val="00D37D2A"/>
    <w:rsid w:val="00D37F08"/>
    <w:rsid w:val="00D40182"/>
    <w:rsid w:val="00D40232"/>
    <w:rsid w:val="00D40240"/>
    <w:rsid w:val="00D402A5"/>
    <w:rsid w:val="00D402BD"/>
    <w:rsid w:val="00D4083C"/>
    <w:rsid w:val="00D40A68"/>
    <w:rsid w:val="00D40ABA"/>
    <w:rsid w:val="00D40B35"/>
    <w:rsid w:val="00D40BED"/>
    <w:rsid w:val="00D40D13"/>
    <w:rsid w:val="00D40D9D"/>
    <w:rsid w:val="00D4134D"/>
    <w:rsid w:val="00D41391"/>
    <w:rsid w:val="00D41395"/>
    <w:rsid w:val="00D413E4"/>
    <w:rsid w:val="00D41407"/>
    <w:rsid w:val="00D414F5"/>
    <w:rsid w:val="00D41542"/>
    <w:rsid w:val="00D4172D"/>
    <w:rsid w:val="00D41829"/>
    <w:rsid w:val="00D419DD"/>
    <w:rsid w:val="00D41EBF"/>
    <w:rsid w:val="00D42165"/>
    <w:rsid w:val="00D424FE"/>
    <w:rsid w:val="00D42515"/>
    <w:rsid w:val="00D429B8"/>
    <w:rsid w:val="00D42B32"/>
    <w:rsid w:val="00D4321E"/>
    <w:rsid w:val="00D433CE"/>
    <w:rsid w:val="00D4348B"/>
    <w:rsid w:val="00D435A4"/>
    <w:rsid w:val="00D43838"/>
    <w:rsid w:val="00D43896"/>
    <w:rsid w:val="00D43DEC"/>
    <w:rsid w:val="00D441BA"/>
    <w:rsid w:val="00D441FE"/>
    <w:rsid w:val="00D44400"/>
    <w:rsid w:val="00D44486"/>
    <w:rsid w:val="00D4451F"/>
    <w:rsid w:val="00D4454E"/>
    <w:rsid w:val="00D44581"/>
    <w:rsid w:val="00D44629"/>
    <w:rsid w:val="00D446DF"/>
    <w:rsid w:val="00D4476B"/>
    <w:rsid w:val="00D44997"/>
    <w:rsid w:val="00D44BC5"/>
    <w:rsid w:val="00D44C64"/>
    <w:rsid w:val="00D44D4A"/>
    <w:rsid w:val="00D45376"/>
    <w:rsid w:val="00D45859"/>
    <w:rsid w:val="00D45942"/>
    <w:rsid w:val="00D45CBE"/>
    <w:rsid w:val="00D4614F"/>
    <w:rsid w:val="00D466E6"/>
    <w:rsid w:val="00D46776"/>
    <w:rsid w:val="00D46BDA"/>
    <w:rsid w:val="00D46FBF"/>
    <w:rsid w:val="00D4700A"/>
    <w:rsid w:val="00D470C4"/>
    <w:rsid w:val="00D47181"/>
    <w:rsid w:val="00D472C4"/>
    <w:rsid w:val="00D473C9"/>
    <w:rsid w:val="00D47546"/>
    <w:rsid w:val="00D47A03"/>
    <w:rsid w:val="00D47A16"/>
    <w:rsid w:val="00D47BED"/>
    <w:rsid w:val="00D47EE4"/>
    <w:rsid w:val="00D5034D"/>
    <w:rsid w:val="00D504CC"/>
    <w:rsid w:val="00D50545"/>
    <w:rsid w:val="00D509F7"/>
    <w:rsid w:val="00D50D3D"/>
    <w:rsid w:val="00D50E2E"/>
    <w:rsid w:val="00D50E35"/>
    <w:rsid w:val="00D50F31"/>
    <w:rsid w:val="00D51164"/>
    <w:rsid w:val="00D51360"/>
    <w:rsid w:val="00D51935"/>
    <w:rsid w:val="00D51AB4"/>
    <w:rsid w:val="00D51C8D"/>
    <w:rsid w:val="00D51ECA"/>
    <w:rsid w:val="00D520AC"/>
    <w:rsid w:val="00D520E7"/>
    <w:rsid w:val="00D521B3"/>
    <w:rsid w:val="00D52282"/>
    <w:rsid w:val="00D5258A"/>
    <w:rsid w:val="00D525B6"/>
    <w:rsid w:val="00D52930"/>
    <w:rsid w:val="00D52B28"/>
    <w:rsid w:val="00D52D78"/>
    <w:rsid w:val="00D5309D"/>
    <w:rsid w:val="00D530FD"/>
    <w:rsid w:val="00D532FD"/>
    <w:rsid w:val="00D5355C"/>
    <w:rsid w:val="00D536DD"/>
    <w:rsid w:val="00D539E8"/>
    <w:rsid w:val="00D53AE8"/>
    <w:rsid w:val="00D53CB7"/>
    <w:rsid w:val="00D53EB7"/>
    <w:rsid w:val="00D53ECB"/>
    <w:rsid w:val="00D53EE6"/>
    <w:rsid w:val="00D53F2C"/>
    <w:rsid w:val="00D53F66"/>
    <w:rsid w:val="00D53FAA"/>
    <w:rsid w:val="00D5404E"/>
    <w:rsid w:val="00D540E9"/>
    <w:rsid w:val="00D5427C"/>
    <w:rsid w:val="00D54349"/>
    <w:rsid w:val="00D54745"/>
    <w:rsid w:val="00D547B0"/>
    <w:rsid w:val="00D5497C"/>
    <w:rsid w:val="00D54B1D"/>
    <w:rsid w:val="00D54C4C"/>
    <w:rsid w:val="00D54CFF"/>
    <w:rsid w:val="00D54D3A"/>
    <w:rsid w:val="00D54E0E"/>
    <w:rsid w:val="00D54EB7"/>
    <w:rsid w:val="00D54F3F"/>
    <w:rsid w:val="00D54FAE"/>
    <w:rsid w:val="00D55795"/>
    <w:rsid w:val="00D557E3"/>
    <w:rsid w:val="00D55886"/>
    <w:rsid w:val="00D55905"/>
    <w:rsid w:val="00D55B23"/>
    <w:rsid w:val="00D55BC3"/>
    <w:rsid w:val="00D55BE7"/>
    <w:rsid w:val="00D55EB4"/>
    <w:rsid w:val="00D5630F"/>
    <w:rsid w:val="00D56691"/>
    <w:rsid w:val="00D5670E"/>
    <w:rsid w:val="00D5678A"/>
    <w:rsid w:val="00D56825"/>
    <w:rsid w:val="00D56951"/>
    <w:rsid w:val="00D56AEA"/>
    <w:rsid w:val="00D56BE3"/>
    <w:rsid w:val="00D56C4F"/>
    <w:rsid w:val="00D56C70"/>
    <w:rsid w:val="00D56E52"/>
    <w:rsid w:val="00D56E98"/>
    <w:rsid w:val="00D56FF8"/>
    <w:rsid w:val="00D571DF"/>
    <w:rsid w:val="00D573A5"/>
    <w:rsid w:val="00D57404"/>
    <w:rsid w:val="00D575DF"/>
    <w:rsid w:val="00D57763"/>
    <w:rsid w:val="00D57DA8"/>
    <w:rsid w:val="00D57E85"/>
    <w:rsid w:val="00D57ED7"/>
    <w:rsid w:val="00D6000D"/>
    <w:rsid w:val="00D60046"/>
    <w:rsid w:val="00D60EAB"/>
    <w:rsid w:val="00D61766"/>
    <w:rsid w:val="00D61774"/>
    <w:rsid w:val="00D61C86"/>
    <w:rsid w:val="00D61CF1"/>
    <w:rsid w:val="00D61E4D"/>
    <w:rsid w:val="00D62281"/>
    <w:rsid w:val="00D623E3"/>
    <w:rsid w:val="00D6244A"/>
    <w:rsid w:val="00D62602"/>
    <w:rsid w:val="00D627C5"/>
    <w:rsid w:val="00D627F4"/>
    <w:rsid w:val="00D62974"/>
    <w:rsid w:val="00D62A52"/>
    <w:rsid w:val="00D62C85"/>
    <w:rsid w:val="00D62ED6"/>
    <w:rsid w:val="00D62EF2"/>
    <w:rsid w:val="00D6310E"/>
    <w:rsid w:val="00D63309"/>
    <w:rsid w:val="00D633F4"/>
    <w:rsid w:val="00D63527"/>
    <w:rsid w:val="00D638D2"/>
    <w:rsid w:val="00D63BAD"/>
    <w:rsid w:val="00D63C25"/>
    <w:rsid w:val="00D63CAF"/>
    <w:rsid w:val="00D63DCF"/>
    <w:rsid w:val="00D63DFD"/>
    <w:rsid w:val="00D63E90"/>
    <w:rsid w:val="00D642D2"/>
    <w:rsid w:val="00D645A1"/>
    <w:rsid w:val="00D64775"/>
    <w:rsid w:val="00D64993"/>
    <w:rsid w:val="00D64A5E"/>
    <w:rsid w:val="00D64A9A"/>
    <w:rsid w:val="00D64B7D"/>
    <w:rsid w:val="00D64CF4"/>
    <w:rsid w:val="00D64D76"/>
    <w:rsid w:val="00D64D83"/>
    <w:rsid w:val="00D6501D"/>
    <w:rsid w:val="00D6517A"/>
    <w:rsid w:val="00D659E3"/>
    <w:rsid w:val="00D65A2A"/>
    <w:rsid w:val="00D65CFB"/>
    <w:rsid w:val="00D65D61"/>
    <w:rsid w:val="00D66094"/>
    <w:rsid w:val="00D66331"/>
    <w:rsid w:val="00D6640F"/>
    <w:rsid w:val="00D665C8"/>
    <w:rsid w:val="00D66965"/>
    <w:rsid w:val="00D66E74"/>
    <w:rsid w:val="00D671A6"/>
    <w:rsid w:val="00D67206"/>
    <w:rsid w:val="00D673E1"/>
    <w:rsid w:val="00D67516"/>
    <w:rsid w:val="00D67573"/>
    <w:rsid w:val="00D67651"/>
    <w:rsid w:val="00D67742"/>
    <w:rsid w:val="00D678F3"/>
    <w:rsid w:val="00D679C6"/>
    <w:rsid w:val="00D67CE0"/>
    <w:rsid w:val="00D67D23"/>
    <w:rsid w:val="00D67EBE"/>
    <w:rsid w:val="00D70299"/>
    <w:rsid w:val="00D703A9"/>
    <w:rsid w:val="00D704AE"/>
    <w:rsid w:val="00D7070F"/>
    <w:rsid w:val="00D70846"/>
    <w:rsid w:val="00D70971"/>
    <w:rsid w:val="00D70DB4"/>
    <w:rsid w:val="00D7108C"/>
    <w:rsid w:val="00D71095"/>
    <w:rsid w:val="00D71171"/>
    <w:rsid w:val="00D71394"/>
    <w:rsid w:val="00D7147F"/>
    <w:rsid w:val="00D714C3"/>
    <w:rsid w:val="00D718B5"/>
    <w:rsid w:val="00D71B68"/>
    <w:rsid w:val="00D71C13"/>
    <w:rsid w:val="00D71D0A"/>
    <w:rsid w:val="00D71D43"/>
    <w:rsid w:val="00D72138"/>
    <w:rsid w:val="00D7239B"/>
    <w:rsid w:val="00D723E8"/>
    <w:rsid w:val="00D725FC"/>
    <w:rsid w:val="00D72727"/>
    <w:rsid w:val="00D7277F"/>
    <w:rsid w:val="00D728E4"/>
    <w:rsid w:val="00D728EA"/>
    <w:rsid w:val="00D72940"/>
    <w:rsid w:val="00D72B11"/>
    <w:rsid w:val="00D73203"/>
    <w:rsid w:val="00D7332C"/>
    <w:rsid w:val="00D733DC"/>
    <w:rsid w:val="00D735D1"/>
    <w:rsid w:val="00D73B07"/>
    <w:rsid w:val="00D740F9"/>
    <w:rsid w:val="00D7419B"/>
    <w:rsid w:val="00D745EF"/>
    <w:rsid w:val="00D7462C"/>
    <w:rsid w:val="00D7481C"/>
    <w:rsid w:val="00D749A1"/>
    <w:rsid w:val="00D74A1F"/>
    <w:rsid w:val="00D74AA9"/>
    <w:rsid w:val="00D74D0A"/>
    <w:rsid w:val="00D751B1"/>
    <w:rsid w:val="00D7520F"/>
    <w:rsid w:val="00D75917"/>
    <w:rsid w:val="00D75C10"/>
    <w:rsid w:val="00D75D4A"/>
    <w:rsid w:val="00D75D52"/>
    <w:rsid w:val="00D76019"/>
    <w:rsid w:val="00D7644A"/>
    <w:rsid w:val="00D76A3F"/>
    <w:rsid w:val="00D76F6F"/>
    <w:rsid w:val="00D770ED"/>
    <w:rsid w:val="00D771E2"/>
    <w:rsid w:val="00D7721F"/>
    <w:rsid w:val="00D77448"/>
    <w:rsid w:val="00D7748E"/>
    <w:rsid w:val="00D77718"/>
    <w:rsid w:val="00D77855"/>
    <w:rsid w:val="00D77930"/>
    <w:rsid w:val="00D77970"/>
    <w:rsid w:val="00D77CAB"/>
    <w:rsid w:val="00D77E89"/>
    <w:rsid w:val="00D80086"/>
    <w:rsid w:val="00D80118"/>
    <w:rsid w:val="00D8033D"/>
    <w:rsid w:val="00D805D1"/>
    <w:rsid w:val="00D80691"/>
    <w:rsid w:val="00D806C7"/>
    <w:rsid w:val="00D80A69"/>
    <w:rsid w:val="00D80C65"/>
    <w:rsid w:val="00D80DA0"/>
    <w:rsid w:val="00D80DF2"/>
    <w:rsid w:val="00D811B6"/>
    <w:rsid w:val="00D812E9"/>
    <w:rsid w:val="00D815A0"/>
    <w:rsid w:val="00D8168E"/>
    <w:rsid w:val="00D816A5"/>
    <w:rsid w:val="00D81796"/>
    <w:rsid w:val="00D81A04"/>
    <w:rsid w:val="00D81BEB"/>
    <w:rsid w:val="00D81DA1"/>
    <w:rsid w:val="00D81F6B"/>
    <w:rsid w:val="00D8204D"/>
    <w:rsid w:val="00D822A6"/>
    <w:rsid w:val="00D8238C"/>
    <w:rsid w:val="00D828EF"/>
    <w:rsid w:val="00D82905"/>
    <w:rsid w:val="00D82BA1"/>
    <w:rsid w:val="00D82E09"/>
    <w:rsid w:val="00D8350A"/>
    <w:rsid w:val="00D83517"/>
    <w:rsid w:val="00D835A7"/>
    <w:rsid w:val="00D8362C"/>
    <w:rsid w:val="00D838FB"/>
    <w:rsid w:val="00D83CA8"/>
    <w:rsid w:val="00D83EB1"/>
    <w:rsid w:val="00D84112"/>
    <w:rsid w:val="00D8418B"/>
    <w:rsid w:val="00D842F3"/>
    <w:rsid w:val="00D84700"/>
    <w:rsid w:val="00D84CFA"/>
    <w:rsid w:val="00D84DC0"/>
    <w:rsid w:val="00D84E22"/>
    <w:rsid w:val="00D84F14"/>
    <w:rsid w:val="00D85060"/>
    <w:rsid w:val="00D85424"/>
    <w:rsid w:val="00D857AC"/>
    <w:rsid w:val="00D85955"/>
    <w:rsid w:val="00D859D7"/>
    <w:rsid w:val="00D85D8C"/>
    <w:rsid w:val="00D8615A"/>
    <w:rsid w:val="00D861ED"/>
    <w:rsid w:val="00D864B6"/>
    <w:rsid w:val="00D8688C"/>
    <w:rsid w:val="00D86963"/>
    <w:rsid w:val="00D86E1B"/>
    <w:rsid w:val="00D87035"/>
    <w:rsid w:val="00D8705E"/>
    <w:rsid w:val="00D8734F"/>
    <w:rsid w:val="00D874C7"/>
    <w:rsid w:val="00D8764A"/>
    <w:rsid w:val="00D877F5"/>
    <w:rsid w:val="00D87B0E"/>
    <w:rsid w:val="00D87E78"/>
    <w:rsid w:val="00D87F7E"/>
    <w:rsid w:val="00D87F9C"/>
    <w:rsid w:val="00D900FC"/>
    <w:rsid w:val="00D90273"/>
    <w:rsid w:val="00D902FE"/>
    <w:rsid w:val="00D903AE"/>
    <w:rsid w:val="00D90507"/>
    <w:rsid w:val="00D906EE"/>
    <w:rsid w:val="00D9072F"/>
    <w:rsid w:val="00D90959"/>
    <w:rsid w:val="00D909C9"/>
    <w:rsid w:val="00D90A3A"/>
    <w:rsid w:val="00D90AF6"/>
    <w:rsid w:val="00D90ED3"/>
    <w:rsid w:val="00D9140A"/>
    <w:rsid w:val="00D91576"/>
    <w:rsid w:val="00D915C7"/>
    <w:rsid w:val="00D918E5"/>
    <w:rsid w:val="00D91A91"/>
    <w:rsid w:val="00D91AF6"/>
    <w:rsid w:val="00D91D82"/>
    <w:rsid w:val="00D92561"/>
    <w:rsid w:val="00D92D3C"/>
    <w:rsid w:val="00D92D53"/>
    <w:rsid w:val="00D92E8D"/>
    <w:rsid w:val="00D92F7B"/>
    <w:rsid w:val="00D93087"/>
    <w:rsid w:val="00D933B1"/>
    <w:rsid w:val="00D93427"/>
    <w:rsid w:val="00D934C9"/>
    <w:rsid w:val="00D934FD"/>
    <w:rsid w:val="00D935AB"/>
    <w:rsid w:val="00D9370C"/>
    <w:rsid w:val="00D937B9"/>
    <w:rsid w:val="00D93AC4"/>
    <w:rsid w:val="00D93CB6"/>
    <w:rsid w:val="00D94332"/>
    <w:rsid w:val="00D94521"/>
    <w:rsid w:val="00D946CB"/>
    <w:rsid w:val="00D94819"/>
    <w:rsid w:val="00D94955"/>
    <w:rsid w:val="00D94CB5"/>
    <w:rsid w:val="00D94E48"/>
    <w:rsid w:val="00D94E59"/>
    <w:rsid w:val="00D95315"/>
    <w:rsid w:val="00D9537E"/>
    <w:rsid w:val="00D953E7"/>
    <w:rsid w:val="00D956D2"/>
    <w:rsid w:val="00D957EE"/>
    <w:rsid w:val="00D95A77"/>
    <w:rsid w:val="00D95C8C"/>
    <w:rsid w:val="00D95E9F"/>
    <w:rsid w:val="00D95EA7"/>
    <w:rsid w:val="00D963E3"/>
    <w:rsid w:val="00D966C3"/>
    <w:rsid w:val="00D96A53"/>
    <w:rsid w:val="00D96A65"/>
    <w:rsid w:val="00D96CEB"/>
    <w:rsid w:val="00D96E51"/>
    <w:rsid w:val="00D97000"/>
    <w:rsid w:val="00D970D8"/>
    <w:rsid w:val="00D9716C"/>
    <w:rsid w:val="00D97253"/>
    <w:rsid w:val="00D97A04"/>
    <w:rsid w:val="00D99161"/>
    <w:rsid w:val="00D99230"/>
    <w:rsid w:val="00DA0957"/>
    <w:rsid w:val="00DA0A25"/>
    <w:rsid w:val="00DA0C8E"/>
    <w:rsid w:val="00DA0D0D"/>
    <w:rsid w:val="00DA0D8F"/>
    <w:rsid w:val="00DA0E73"/>
    <w:rsid w:val="00DA0ECC"/>
    <w:rsid w:val="00DA106E"/>
    <w:rsid w:val="00DA1199"/>
    <w:rsid w:val="00DA11E6"/>
    <w:rsid w:val="00DA131D"/>
    <w:rsid w:val="00DA14F4"/>
    <w:rsid w:val="00DA1867"/>
    <w:rsid w:val="00DA1889"/>
    <w:rsid w:val="00DA1AA6"/>
    <w:rsid w:val="00DA1AF4"/>
    <w:rsid w:val="00DA1E0C"/>
    <w:rsid w:val="00DA1F75"/>
    <w:rsid w:val="00DA203A"/>
    <w:rsid w:val="00DA2132"/>
    <w:rsid w:val="00DA21DE"/>
    <w:rsid w:val="00DA21FC"/>
    <w:rsid w:val="00DA22F5"/>
    <w:rsid w:val="00DA23BD"/>
    <w:rsid w:val="00DA2774"/>
    <w:rsid w:val="00DA2A59"/>
    <w:rsid w:val="00DA2A7E"/>
    <w:rsid w:val="00DA2A87"/>
    <w:rsid w:val="00DA2B69"/>
    <w:rsid w:val="00DA2C4E"/>
    <w:rsid w:val="00DA311D"/>
    <w:rsid w:val="00DA3248"/>
    <w:rsid w:val="00DA32C9"/>
    <w:rsid w:val="00DA32D7"/>
    <w:rsid w:val="00DA345C"/>
    <w:rsid w:val="00DA34A6"/>
    <w:rsid w:val="00DA34C2"/>
    <w:rsid w:val="00DA3870"/>
    <w:rsid w:val="00DA3875"/>
    <w:rsid w:val="00DA3F59"/>
    <w:rsid w:val="00DA40A0"/>
    <w:rsid w:val="00DA40B4"/>
    <w:rsid w:val="00DA41D1"/>
    <w:rsid w:val="00DA41FA"/>
    <w:rsid w:val="00DA443E"/>
    <w:rsid w:val="00DA44A7"/>
    <w:rsid w:val="00DA4603"/>
    <w:rsid w:val="00DA49D6"/>
    <w:rsid w:val="00DA4B36"/>
    <w:rsid w:val="00DA4C91"/>
    <w:rsid w:val="00DA4D81"/>
    <w:rsid w:val="00DA50EA"/>
    <w:rsid w:val="00DA5251"/>
    <w:rsid w:val="00DA536D"/>
    <w:rsid w:val="00DA5493"/>
    <w:rsid w:val="00DA5914"/>
    <w:rsid w:val="00DA5A76"/>
    <w:rsid w:val="00DA620F"/>
    <w:rsid w:val="00DA62B0"/>
    <w:rsid w:val="00DA6BDF"/>
    <w:rsid w:val="00DA6C3A"/>
    <w:rsid w:val="00DA6D10"/>
    <w:rsid w:val="00DA6D86"/>
    <w:rsid w:val="00DA6EEE"/>
    <w:rsid w:val="00DA6F4D"/>
    <w:rsid w:val="00DA6FF8"/>
    <w:rsid w:val="00DA719F"/>
    <w:rsid w:val="00DA726F"/>
    <w:rsid w:val="00DA737F"/>
    <w:rsid w:val="00DA7400"/>
    <w:rsid w:val="00DA7496"/>
    <w:rsid w:val="00DA799E"/>
    <w:rsid w:val="00DA7D25"/>
    <w:rsid w:val="00DA7DC4"/>
    <w:rsid w:val="00DA7EA3"/>
    <w:rsid w:val="00DAD3E2"/>
    <w:rsid w:val="00DB00F1"/>
    <w:rsid w:val="00DB08B0"/>
    <w:rsid w:val="00DB0A02"/>
    <w:rsid w:val="00DB0B65"/>
    <w:rsid w:val="00DB0C9A"/>
    <w:rsid w:val="00DB0D7A"/>
    <w:rsid w:val="00DB0D81"/>
    <w:rsid w:val="00DB0E96"/>
    <w:rsid w:val="00DB0F33"/>
    <w:rsid w:val="00DB1070"/>
    <w:rsid w:val="00DB1167"/>
    <w:rsid w:val="00DB1199"/>
    <w:rsid w:val="00DB12B3"/>
    <w:rsid w:val="00DB17CE"/>
    <w:rsid w:val="00DB18F4"/>
    <w:rsid w:val="00DB1936"/>
    <w:rsid w:val="00DB1B26"/>
    <w:rsid w:val="00DB223D"/>
    <w:rsid w:val="00DB22BF"/>
    <w:rsid w:val="00DB281C"/>
    <w:rsid w:val="00DB2A8D"/>
    <w:rsid w:val="00DB2F4A"/>
    <w:rsid w:val="00DB315E"/>
    <w:rsid w:val="00DB31F5"/>
    <w:rsid w:val="00DB3283"/>
    <w:rsid w:val="00DB34E9"/>
    <w:rsid w:val="00DB40D3"/>
    <w:rsid w:val="00DB4139"/>
    <w:rsid w:val="00DB419F"/>
    <w:rsid w:val="00DB438D"/>
    <w:rsid w:val="00DB4609"/>
    <w:rsid w:val="00DB479F"/>
    <w:rsid w:val="00DB4A10"/>
    <w:rsid w:val="00DB4A3C"/>
    <w:rsid w:val="00DB4B76"/>
    <w:rsid w:val="00DB4BC4"/>
    <w:rsid w:val="00DB4E23"/>
    <w:rsid w:val="00DB539B"/>
    <w:rsid w:val="00DB54A9"/>
    <w:rsid w:val="00DB57FC"/>
    <w:rsid w:val="00DB5936"/>
    <w:rsid w:val="00DB5B48"/>
    <w:rsid w:val="00DB5EDB"/>
    <w:rsid w:val="00DB6071"/>
    <w:rsid w:val="00DB60DB"/>
    <w:rsid w:val="00DB6240"/>
    <w:rsid w:val="00DB6292"/>
    <w:rsid w:val="00DB63FA"/>
    <w:rsid w:val="00DB65EA"/>
    <w:rsid w:val="00DB699C"/>
    <w:rsid w:val="00DB6B74"/>
    <w:rsid w:val="00DB6BAB"/>
    <w:rsid w:val="00DB6D65"/>
    <w:rsid w:val="00DB702D"/>
    <w:rsid w:val="00DB73A6"/>
    <w:rsid w:val="00DB74B0"/>
    <w:rsid w:val="00DB74E7"/>
    <w:rsid w:val="00DB7589"/>
    <w:rsid w:val="00DB766C"/>
    <w:rsid w:val="00DB76C3"/>
    <w:rsid w:val="00DB7B20"/>
    <w:rsid w:val="00DB7E5D"/>
    <w:rsid w:val="00DB7F7A"/>
    <w:rsid w:val="00DC0282"/>
    <w:rsid w:val="00DC0389"/>
    <w:rsid w:val="00DC03EF"/>
    <w:rsid w:val="00DC0A6B"/>
    <w:rsid w:val="00DC0C10"/>
    <w:rsid w:val="00DC0C37"/>
    <w:rsid w:val="00DC0D28"/>
    <w:rsid w:val="00DC0E1A"/>
    <w:rsid w:val="00DC0EDE"/>
    <w:rsid w:val="00DC11A4"/>
    <w:rsid w:val="00DC11C6"/>
    <w:rsid w:val="00DC1509"/>
    <w:rsid w:val="00DC165C"/>
    <w:rsid w:val="00DC16AD"/>
    <w:rsid w:val="00DC175C"/>
    <w:rsid w:val="00DC191B"/>
    <w:rsid w:val="00DC1BE9"/>
    <w:rsid w:val="00DC1D6B"/>
    <w:rsid w:val="00DC1F59"/>
    <w:rsid w:val="00DC2135"/>
    <w:rsid w:val="00DC235C"/>
    <w:rsid w:val="00DC23FD"/>
    <w:rsid w:val="00DC249A"/>
    <w:rsid w:val="00DC24E2"/>
    <w:rsid w:val="00DC27B9"/>
    <w:rsid w:val="00DC27C5"/>
    <w:rsid w:val="00DC27D9"/>
    <w:rsid w:val="00DC27EF"/>
    <w:rsid w:val="00DC27F5"/>
    <w:rsid w:val="00DC287D"/>
    <w:rsid w:val="00DC2B7C"/>
    <w:rsid w:val="00DC2DD7"/>
    <w:rsid w:val="00DC342A"/>
    <w:rsid w:val="00DC37CA"/>
    <w:rsid w:val="00DC3AB0"/>
    <w:rsid w:val="00DC3B4C"/>
    <w:rsid w:val="00DC4231"/>
    <w:rsid w:val="00DC44BE"/>
    <w:rsid w:val="00DC452F"/>
    <w:rsid w:val="00DC46AC"/>
    <w:rsid w:val="00DC48C9"/>
    <w:rsid w:val="00DC4909"/>
    <w:rsid w:val="00DC49E8"/>
    <w:rsid w:val="00DC4A9C"/>
    <w:rsid w:val="00DC4CF9"/>
    <w:rsid w:val="00DC4EE5"/>
    <w:rsid w:val="00DC5811"/>
    <w:rsid w:val="00DC5957"/>
    <w:rsid w:val="00DC5BBB"/>
    <w:rsid w:val="00DC5CF4"/>
    <w:rsid w:val="00DC5D84"/>
    <w:rsid w:val="00DC5F4B"/>
    <w:rsid w:val="00DC6100"/>
    <w:rsid w:val="00DC6173"/>
    <w:rsid w:val="00DC61FB"/>
    <w:rsid w:val="00DC629B"/>
    <w:rsid w:val="00DC6359"/>
    <w:rsid w:val="00DC6502"/>
    <w:rsid w:val="00DC669C"/>
    <w:rsid w:val="00DC6833"/>
    <w:rsid w:val="00DC6AFA"/>
    <w:rsid w:val="00DC6B40"/>
    <w:rsid w:val="00DC6D0F"/>
    <w:rsid w:val="00DC6FE5"/>
    <w:rsid w:val="00DC7162"/>
    <w:rsid w:val="00DC72BC"/>
    <w:rsid w:val="00DC7673"/>
    <w:rsid w:val="00DC78B0"/>
    <w:rsid w:val="00DC793A"/>
    <w:rsid w:val="00DC7B23"/>
    <w:rsid w:val="00DC7BE4"/>
    <w:rsid w:val="00DC7D6B"/>
    <w:rsid w:val="00DC9364"/>
    <w:rsid w:val="00DCF892"/>
    <w:rsid w:val="00DD00F7"/>
    <w:rsid w:val="00DD0225"/>
    <w:rsid w:val="00DD0541"/>
    <w:rsid w:val="00DD07A0"/>
    <w:rsid w:val="00DD07D1"/>
    <w:rsid w:val="00DD0A4C"/>
    <w:rsid w:val="00DD0DD3"/>
    <w:rsid w:val="00DD1075"/>
    <w:rsid w:val="00DD10E8"/>
    <w:rsid w:val="00DD111D"/>
    <w:rsid w:val="00DD11DD"/>
    <w:rsid w:val="00DD12B2"/>
    <w:rsid w:val="00DD17D6"/>
    <w:rsid w:val="00DD1807"/>
    <w:rsid w:val="00DD1B6E"/>
    <w:rsid w:val="00DD1E95"/>
    <w:rsid w:val="00DD1FA4"/>
    <w:rsid w:val="00DD2070"/>
    <w:rsid w:val="00DD20E2"/>
    <w:rsid w:val="00DD21E2"/>
    <w:rsid w:val="00DD2BB9"/>
    <w:rsid w:val="00DD2C64"/>
    <w:rsid w:val="00DD2D79"/>
    <w:rsid w:val="00DD2E56"/>
    <w:rsid w:val="00DD2F39"/>
    <w:rsid w:val="00DD2FF5"/>
    <w:rsid w:val="00DD3084"/>
    <w:rsid w:val="00DD30AA"/>
    <w:rsid w:val="00DD3203"/>
    <w:rsid w:val="00DD329F"/>
    <w:rsid w:val="00DD3474"/>
    <w:rsid w:val="00DD3800"/>
    <w:rsid w:val="00DD3A74"/>
    <w:rsid w:val="00DD3C8E"/>
    <w:rsid w:val="00DD3E59"/>
    <w:rsid w:val="00DD4023"/>
    <w:rsid w:val="00DD405F"/>
    <w:rsid w:val="00DD4213"/>
    <w:rsid w:val="00DD42D3"/>
    <w:rsid w:val="00DD4322"/>
    <w:rsid w:val="00DD4414"/>
    <w:rsid w:val="00DD4484"/>
    <w:rsid w:val="00DD46DD"/>
    <w:rsid w:val="00DD47A9"/>
    <w:rsid w:val="00DD48C4"/>
    <w:rsid w:val="00DD4E8A"/>
    <w:rsid w:val="00DD4F9A"/>
    <w:rsid w:val="00DD50C4"/>
    <w:rsid w:val="00DD510D"/>
    <w:rsid w:val="00DD51F3"/>
    <w:rsid w:val="00DD54F8"/>
    <w:rsid w:val="00DD58BE"/>
    <w:rsid w:val="00DD5AD5"/>
    <w:rsid w:val="00DD5F47"/>
    <w:rsid w:val="00DD5F89"/>
    <w:rsid w:val="00DD6006"/>
    <w:rsid w:val="00DD61F8"/>
    <w:rsid w:val="00DD649D"/>
    <w:rsid w:val="00DD664F"/>
    <w:rsid w:val="00DD6AD0"/>
    <w:rsid w:val="00DD6C8E"/>
    <w:rsid w:val="00DD6D96"/>
    <w:rsid w:val="00DD7077"/>
    <w:rsid w:val="00DD70B8"/>
    <w:rsid w:val="00DD7670"/>
    <w:rsid w:val="00DD77D6"/>
    <w:rsid w:val="00DD791B"/>
    <w:rsid w:val="00DD7B86"/>
    <w:rsid w:val="00DD7E88"/>
    <w:rsid w:val="00DD8D59"/>
    <w:rsid w:val="00DD908B"/>
    <w:rsid w:val="00DE0165"/>
    <w:rsid w:val="00DE0251"/>
    <w:rsid w:val="00DE0689"/>
    <w:rsid w:val="00DE06AF"/>
    <w:rsid w:val="00DE06EE"/>
    <w:rsid w:val="00DE07C6"/>
    <w:rsid w:val="00DE0820"/>
    <w:rsid w:val="00DE08C6"/>
    <w:rsid w:val="00DE096B"/>
    <w:rsid w:val="00DE0D71"/>
    <w:rsid w:val="00DE10BF"/>
    <w:rsid w:val="00DE1292"/>
    <w:rsid w:val="00DE159A"/>
    <w:rsid w:val="00DE164E"/>
    <w:rsid w:val="00DE16A7"/>
    <w:rsid w:val="00DE16CC"/>
    <w:rsid w:val="00DE1E63"/>
    <w:rsid w:val="00DE224D"/>
    <w:rsid w:val="00DE23A0"/>
    <w:rsid w:val="00DE2587"/>
    <w:rsid w:val="00DE2A42"/>
    <w:rsid w:val="00DE2CF9"/>
    <w:rsid w:val="00DE3186"/>
    <w:rsid w:val="00DE3189"/>
    <w:rsid w:val="00DE31C0"/>
    <w:rsid w:val="00DE32EA"/>
    <w:rsid w:val="00DE35DC"/>
    <w:rsid w:val="00DE3686"/>
    <w:rsid w:val="00DE3797"/>
    <w:rsid w:val="00DE3C66"/>
    <w:rsid w:val="00DE3D4D"/>
    <w:rsid w:val="00DE3DF9"/>
    <w:rsid w:val="00DE3E0C"/>
    <w:rsid w:val="00DE3E5D"/>
    <w:rsid w:val="00DE3FE7"/>
    <w:rsid w:val="00DE4561"/>
    <w:rsid w:val="00DE4653"/>
    <w:rsid w:val="00DE484C"/>
    <w:rsid w:val="00DE4913"/>
    <w:rsid w:val="00DE4A01"/>
    <w:rsid w:val="00DE4A82"/>
    <w:rsid w:val="00DE4C7C"/>
    <w:rsid w:val="00DE501E"/>
    <w:rsid w:val="00DE53E3"/>
    <w:rsid w:val="00DE553B"/>
    <w:rsid w:val="00DE56BB"/>
    <w:rsid w:val="00DE5949"/>
    <w:rsid w:val="00DE5A58"/>
    <w:rsid w:val="00DE6180"/>
    <w:rsid w:val="00DE6309"/>
    <w:rsid w:val="00DE63A3"/>
    <w:rsid w:val="00DE63A4"/>
    <w:rsid w:val="00DE643D"/>
    <w:rsid w:val="00DE679F"/>
    <w:rsid w:val="00DE6A54"/>
    <w:rsid w:val="00DE6CFF"/>
    <w:rsid w:val="00DE6FB1"/>
    <w:rsid w:val="00DE7426"/>
    <w:rsid w:val="00DE744A"/>
    <w:rsid w:val="00DE7650"/>
    <w:rsid w:val="00DE76D3"/>
    <w:rsid w:val="00DE76DF"/>
    <w:rsid w:val="00DE78C7"/>
    <w:rsid w:val="00DE78EE"/>
    <w:rsid w:val="00DE7BBC"/>
    <w:rsid w:val="00DE7E8E"/>
    <w:rsid w:val="00DF007F"/>
    <w:rsid w:val="00DF038B"/>
    <w:rsid w:val="00DF04B3"/>
    <w:rsid w:val="00DF04C9"/>
    <w:rsid w:val="00DF065B"/>
    <w:rsid w:val="00DF06EE"/>
    <w:rsid w:val="00DF08F8"/>
    <w:rsid w:val="00DF08FF"/>
    <w:rsid w:val="00DF091E"/>
    <w:rsid w:val="00DF0B2D"/>
    <w:rsid w:val="00DF0C71"/>
    <w:rsid w:val="00DF0FA3"/>
    <w:rsid w:val="00DF0FBC"/>
    <w:rsid w:val="00DF1621"/>
    <w:rsid w:val="00DF1832"/>
    <w:rsid w:val="00DF1842"/>
    <w:rsid w:val="00DF192F"/>
    <w:rsid w:val="00DF1C63"/>
    <w:rsid w:val="00DF21CC"/>
    <w:rsid w:val="00DF22A4"/>
    <w:rsid w:val="00DF22BA"/>
    <w:rsid w:val="00DF2370"/>
    <w:rsid w:val="00DF23ED"/>
    <w:rsid w:val="00DF240A"/>
    <w:rsid w:val="00DF25E1"/>
    <w:rsid w:val="00DF269A"/>
    <w:rsid w:val="00DF291B"/>
    <w:rsid w:val="00DF2A49"/>
    <w:rsid w:val="00DF2BE4"/>
    <w:rsid w:val="00DF2EFB"/>
    <w:rsid w:val="00DF3219"/>
    <w:rsid w:val="00DF3292"/>
    <w:rsid w:val="00DF34DB"/>
    <w:rsid w:val="00DF360C"/>
    <w:rsid w:val="00DF3991"/>
    <w:rsid w:val="00DF3A33"/>
    <w:rsid w:val="00DF3A99"/>
    <w:rsid w:val="00DF3EE4"/>
    <w:rsid w:val="00DF4291"/>
    <w:rsid w:val="00DF441B"/>
    <w:rsid w:val="00DF44CF"/>
    <w:rsid w:val="00DF45F6"/>
    <w:rsid w:val="00DF46AA"/>
    <w:rsid w:val="00DF46E3"/>
    <w:rsid w:val="00DF4705"/>
    <w:rsid w:val="00DF48D5"/>
    <w:rsid w:val="00DF4B89"/>
    <w:rsid w:val="00DF4CDA"/>
    <w:rsid w:val="00DF4D47"/>
    <w:rsid w:val="00DF4F73"/>
    <w:rsid w:val="00DF50B2"/>
    <w:rsid w:val="00DF50EB"/>
    <w:rsid w:val="00DF5116"/>
    <w:rsid w:val="00DF52AC"/>
    <w:rsid w:val="00DF5377"/>
    <w:rsid w:val="00DF5382"/>
    <w:rsid w:val="00DF562A"/>
    <w:rsid w:val="00DF581F"/>
    <w:rsid w:val="00DF59A9"/>
    <w:rsid w:val="00DF5B19"/>
    <w:rsid w:val="00DF5B8F"/>
    <w:rsid w:val="00DF5CEA"/>
    <w:rsid w:val="00DF5D52"/>
    <w:rsid w:val="00DF5D9B"/>
    <w:rsid w:val="00DF6467"/>
    <w:rsid w:val="00DF6500"/>
    <w:rsid w:val="00DF656E"/>
    <w:rsid w:val="00DF6655"/>
    <w:rsid w:val="00DF6745"/>
    <w:rsid w:val="00DF67FE"/>
    <w:rsid w:val="00DF6835"/>
    <w:rsid w:val="00DF6874"/>
    <w:rsid w:val="00DF69AC"/>
    <w:rsid w:val="00DF6CAE"/>
    <w:rsid w:val="00DF6E14"/>
    <w:rsid w:val="00DF6EB7"/>
    <w:rsid w:val="00DF6FB3"/>
    <w:rsid w:val="00DF6FFA"/>
    <w:rsid w:val="00DF73A4"/>
    <w:rsid w:val="00DF73FC"/>
    <w:rsid w:val="00DF7A2C"/>
    <w:rsid w:val="00DF7B00"/>
    <w:rsid w:val="00DF7B79"/>
    <w:rsid w:val="00DF7B80"/>
    <w:rsid w:val="00DF7C6F"/>
    <w:rsid w:val="00DF7C7F"/>
    <w:rsid w:val="00DF7F16"/>
    <w:rsid w:val="00E00284"/>
    <w:rsid w:val="00E00442"/>
    <w:rsid w:val="00E00456"/>
    <w:rsid w:val="00E004C0"/>
    <w:rsid w:val="00E0071C"/>
    <w:rsid w:val="00E00794"/>
    <w:rsid w:val="00E00B37"/>
    <w:rsid w:val="00E00C87"/>
    <w:rsid w:val="00E00E0A"/>
    <w:rsid w:val="00E0100A"/>
    <w:rsid w:val="00E01096"/>
    <w:rsid w:val="00E0110E"/>
    <w:rsid w:val="00E011DB"/>
    <w:rsid w:val="00E01229"/>
    <w:rsid w:val="00E01574"/>
    <w:rsid w:val="00E015F9"/>
    <w:rsid w:val="00E01826"/>
    <w:rsid w:val="00E0188C"/>
    <w:rsid w:val="00E018C1"/>
    <w:rsid w:val="00E01B10"/>
    <w:rsid w:val="00E01BF1"/>
    <w:rsid w:val="00E01CB0"/>
    <w:rsid w:val="00E01DD9"/>
    <w:rsid w:val="00E02098"/>
    <w:rsid w:val="00E021F2"/>
    <w:rsid w:val="00E023B3"/>
    <w:rsid w:val="00E02446"/>
    <w:rsid w:val="00E024A8"/>
    <w:rsid w:val="00E02598"/>
    <w:rsid w:val="00E0275F"/>
    <w:rsid w:val="00E02763"/>
    <w:rsid w:val="00E02784"/>
    <w:rsid w:val="00E028E3"/>
    <w:rsid w:val="00E02925"/>
    <w:rsid w:val="00E02A19"/>
    <w:rsid w:val="00E03183"/>
    <w:rsid w:val="00E033B7"/>
    <w:rsid w:val="00E03479"/>
    <w:rsid w:val="00E03A64"/>
    <w:rsid w:val="00E03B96"/>
    <w:rsid w:val="00E03C80"/>
    <w:rsid w:val="00E03ED7"/>
    <w:rsid w:val="00E03F72"/>
    <w:rsid w:val="00E040DB"/>
    <w:rsid w:val="00E040FC"/>
    <w:rsid w:val="00E0417D"/>
    <w:rsid w:val="00E04206"/>
    <w:rsid w:val="00E043A4"/>
    <w:rsid w:val="00E043EB"/>
    <w:rsid w:val="00E04405"/>
    <w:rsid w:val="00E04714"/>
    <w:rsid w:val="00E048AC"/>
    <w:rsid w:val="00E04B1F"/>
    <w:rsid w:val="00E04C17"/>
    <w:rsid w:val="00E050D6"/>
    <w:rsid w:val="00E0520B"/>
    <w:rsid w:val="00E052F1"/>
    <w:rsid w:val="00E055D8"/>
    <w:rsid w:val="00E05645"/>
    <w:rsid w:val="00E05690"/>
    <w:rsid w:val="00E0591F"/>
    <w:rsid w:val="00E05927"/>
    <w:rsid w:val="00E05A06"/>
    <w:rsid w:val="00E05C15"/>
    <w:rsid w:val="00E05E21"/>
    <w:rsid w:val="00E05E8F"/>
    <w:rsid w:val="00E05F59"/>
    <w:rsid w:val="00E0608E"/>
    <w:rsid w:val="00E06289"/>
    <w:rsid w:val="00E0680F"/>
    <w:rsid w:val="00E0699F"/>
    <w:rsid w:val="00E06B4B"/>
    <w:rsid w:val="00E06DB6"/>
    <w:rsid w:val="00E06E1C"/>
    <w:rsid w:val="00E06EC2"/>
    <w:rsid w:val="00E06F93"/>
    <w:rsid w:val="00E0708C"/>
    <w:rsid w:val="00E07338"/>
    <w:rsid w:val="00E07411"/>
    <w:rsid w:val="00E07619"/>
    <w:rsid w:val="00E07C2D"/>
    <w:rsid w:val="00E07D58"/>
    <w:rsid w:val="00E07F51"/>
    <w:rsid w:val="00E10079"/>
    <w:rsid w:val="00E100A2"/>
    <w:rsid w:val="00E1024B"/>
    <w:rsid w:val="00E103B3"/>
    <w:rsid w:val="00E1054B"/>
    <w:rsid w:val="00E10A6A"/>
    <w:rsid w:val="00E10DC4"/>
    <w:rsid w:val="00E10F3D"/>
    <w:rsid w:val="00E111C7"/>
    <w:rsid w:val="00E11315"/>
    <w:rsid w:val="00E1180A"/>
    <w:rsid w:val="00E11CB7"/>
    <w:rsid w:val="00E11E9B"/>
    <w:rsid w:val="00E11EA1"/>
    <w:rsid w:val="00E12050"/>
    <w:rsid w:val="00E12275"/>
    <w:rsid w:val="00E12507"/>
    <w:rsid w:val="00E12729"/>
    <w:rsid w:val="00E127DE"/>
    <w:rsid w:val="00E12ABB"/>
    <w:rsid w:val="00E12CDC"/>
    <w:rsid w:val="00E12E14"/>
    <w:rsid w:val="00E12ED6"/>
    <w:rsid w:val="00E13170"/>
    <w:rsid w:val="00E131E5"/>
    <w:rsid w:val="00E13232"/>
    <w:rsid w:val="00E13323"/>
    <w:rsid w:val="00E133AF"/>
    <w:rsid w:val="00E134A0"/>
    <w:rsid w:val="00E1358C"/>
    <w:rsid w:val="00E137DD"/>
    <w:rsid w:val="00E13B84"/>
    <w:rsid w:val="00E13DBA"/>
    <w:rsid w:val="00E13E75"/>
    <w:rsid w:val="00E13EBF"/>
    <w:rsid w:val="00E1412B"/>
    <w:rsid w:val="00E141B0"/>
    <w:rsid w:val="00E145A2"/>
    <w:rsid w:val="00E1492C"/>
    <w:rsid w:val="00E14B45"/>
    <w:rsid w:val="00E14C6C"/>
    <w:rsid w:val="00E14DB5"/>
    <w:rsid w:val="00E14E25"/>
    <w:rsid w:val="00E1511B"/>
    <w:rsid w:val="00E152C0"/>
    <w:rsid w:val="00E15310"/>
    <w:rsid w:val="00E153DD"/>
    <w:rsid w:val="00E1557E"/>
    <w:rsid w:val="00E1567E"/>
    <w:rsid w:val="00E158FA"/>
    <w:rsid w:val="00E15971"/>
    <w:rsid w:val="00E15D28"/>
    <w:rsid w:val="00E15E88"/>
    <w:rsid w:val="00E161C0"/>
    <w:rsid w:val="00E16482"/>
    <w:rsid w:val="00E16579"/>
    <w:rsid w:val="00E16594"/>
    <w:rsid w:val="00E165E4"/>
    <w:rsid w:val="00E165FD"/>
    <w:rsid w:val="00E166A1"/>
    <w:rsid w:val="00E1677B"/>
    <w:rsid w:val="00E16928"/>
    <w:rsid w:val="00E16979"/>
    <w:rsid w:val="00E16BF1"/>
    <w:rsid w:val="00E16EB9"/>
    <w:rsid w:val="00E16ECE"/>
    <w:rsid w:val="00E16FB5"/>
    <w:rsid w:val="00E17063"/>
    <w:rsid w:val="00E171A0"/>
    <w:rsid w:val="00E172ED"/>
    <w:rsid w:val="00E17684"/>
    <w:rsid w:val="00E177E8"/>
    <w:rsid w:val="00E1783E"/>
    <w:rsid w:val="00E17840"/>
    <w:rsid w:val="00E1786F"/>
    <w:rsid w:val="00E17961"/>
    <w:rsid w:val="00E17B37"/>
    <w:rsid w:val="00E17B73"/>
    <w:rsid w:val="00E17E2F"/>
    <w:rsid w:val="00E18A0E"/>
    <w:rsid w:val="00E2006C"/>
    <w:rsid w:val="00E20185"/>
    <w:rsid w:val="00E20377"/>
    <w:rsid w:val="00E204E0"/>
    <w:rsid w:val="00E20795"/>
    <w:rsid w:val="00E20B52"/>
    <w:rsid w:val="00E20BF8"/>
    <w:rsid w:val="00E20F26"/>
    <w:rsid w:val="00E20F9A"/>
    <w:rsid w:val="00E20FDC"/>
    <w:rsid w:val="00E20FF1"/>
    <w:rsid w:val="00E21078"/>
    <w:rsid w:val="00E2126A"/>
    <w:rsid w:val="00E212CF"/>
    <w:rsid w:val="00E212E8"/>
    <w:rsid w:val="00E213F0"/>
    <w:rsid w:val="00E21970"/>
    <w:rsid w:val="00E21E43"/>
    <w:rsid w:val="00E220FD"/>
    <w:rsid w:val="00E223F6"/>
    <w:rsid w:val="00E22442"/>
    <w:rsid w:val="00E226B9"/>
    <w:rsid w:val="00E22942"/>
    <w:rsid w:val="00E22A63"/>
    <w:rsid w:val="00E22C4F"/>
    <w:rsid w:val="00E22E2C"/>
    <w:rsid w:val="00E22E59"/>
    <w:rsid w:val="00E23DA4"/>
    <w:rsid w:val="00E243C0"/>
    <w:rsid w:val="00E244BA"/>
    <w:rsid w:val="00E245D3"/>
    <w:rsid w:val="00E24677"/>
    <w:rsid w:val="00E24791"/>
    <w:rsid w:val="00E24ADE"/>
    <w:rsid w:val="00E24AF9"/>
    <w:rsid w:val="00E251DE"/>
    <w:rsid w:val="00E251E2"/>
    <w:rsid w:val="00E25200"/>
    <w:rsid w:val="00E25223"/>
    <w:rsid w:val="00E252D2"/>
    <w:rsid w:val="00E252F7"/>
    <w:rsid w:val="00E25338"/>
    <w:rsid w:val="00E253A0"/>
    <w:rsid w:val="00E25AB9"/>
    <w:rsid w:val="00E25AD1"/>
    <w:rsid w:val="00E25D48"/>
    <w:rsid w:val="00E2614A"/>
    <w:rsid w:val="00E2644D"/>
    <w:rsid w:val="00E264D3"/>
    <w:rsid w:val="00E26521"/>
    <w:rsid w:val="00E2656B"/>
    <w:rsid w:val="00E26A1C"/>
    <w:rsid w:val="00E26B0B"/>
    <w:rsid w:val="00E26B59"/>
    <w:rsid w:val="00E26CA7"/>
    <w:rsid w:val="00E273C4"/>
    <w:rsid w:val="00E276C0"/>
    <w:rsid w:val="00E27989"/>
    <w:rsid w:val="00E27A6F"/>
    <w:rsid w:val="00E27C73"/>
    <w:rsid w:val="00E27D44"/>
    <w:rsid w:val="00E27DEE"/>
    <w:rsid w:val="00E27EC8"/>
    <w:rsid w:val="00E2D8E0"/>
    <w:rsid w:val="00E3012D"/>
    <w:rsid w:val="00E301F5"/>
    <w:rsid w:val="00E30200"/>
    <w:rsid w:val="00E3021D"/>
    <w:rsid w:val="00E302B7"/>
    <w:rsid w:val="00E30505"/>
    <w:rsid w:val="00E305AF"/>
    <w:rsid w:val="00E30B6C"/>
    <w:rsid w:val="00E30E0F"/>
    <w:rsid w:val="00E31389"/>
    <w:rsid w:val="00E31495"/>
    <w:rsid w:val="00E314C9"/>
    <w:rsid w:val="00E314CA"/>
    <w:rsid w:val="00E31502"/>
    <w:rsid w:val="00E316D3"/>
    <w:rsid w:val="00E31959"/>
    <w:rsid w:val="00E319CE"/>
    <w:rsid w:val="00E320D5"/>
    <w:rsid w:val="00E3234A"/>
    <w:rsid w:val="00E32532"/>
    <w:rsid w:val="00E326CD"/>
    <w:rsid w:val="00E3271F"/>
    <w:rsid w:val="00E3276E"/>
    <w:rsid w:val="00E32779"/>
    <w:rsid w:val="00E32780"/>
    <w:rsid w:val="00E32800"/>
    <w:rsid w:val="00E3282C"/>
    <w:rsid w:val="00E328B9"/>
    <w:rsid w:val="00E32948"/>
    <w:rsid w:val="00E32A99"/>
    <w:rsid w:val="00E32CD9"/>
    <w:rsid w:val="00E32E25"/>
    <w:rsid w:val="00E32E2C"/>
    <w:rsid w:val="00E33027"/>
    <w:rsid w:val="00E3322A"/>
    <w:rsid w:val="00E332B3"/>
    <w:rsid w:val="00E33450"/>
    <w:rsid w:val="00E33789"/>
    <w:rsid w:val="00E337D8"/>
    <w:rsid w:val="00E33859"/>
    <w:rsid w:val="00E3393B"/>
    <w:rsid w:val="00E33948"/>
    <w:rsid w:val="00E33B30"/>
    <w:rsid w:val="00E33F10"/>
    <w:rsid w:val="00E34240"/>
    <w:rsid w:val="00E344B1"/>
    <w:rsid w:val="00E346E6"/>
    <w:rsid w:val="00E3474F"/>
    <w:rsid w:val="00E347B2"/>
    <w:rsid w:val="00E34853"/>
    <w:rsid w:val="00E34966"/>
    <w:rsid w:val="00E34AAF"/>
    <w:rsid w:val="00E35380"/>
    <w:rsid w:val="00E3552D"/>
    <w:rsid w:val="00E35565"/>
    <w:rsid w:val="00E356C5"/>
    <w:rsid w:val="00E356DE"/>
    <w:rsid w:val="00E35898"/>
    <w:rsid w:val="00E358A2"/>
    <w:rsid w:val="00E35A79"/>
    <w:rsid w:val="00E35BAB"/>
    <w:rsid w:val="00E35C47"/>
    <w:rsid w:val="00E35E4D"/>
    <w:rsid w:val="00E36008"/>
    <w:rsid w:val="00E362DF"/>
    <w:rsid w:val="00E36AA6"/>
    <w:rsid w:val="00E36AC1"/>
    <w:rsid w:val="00E36C06"/>
    <w:rsid w:val="00E3705E"/>
    <w:rsid w:val="00E370BA"/>
    <w:rsid w:val="00E370CB"/>
    <w:rsid w:val="00E3710C"/>
    <w:rsid w:val="00E3736C"/>
    <w:rsid w:val="00E378C8"/>
    <w:rsid w:val="00E37928"/>
    <w:rsid w:val="00E37979"/>
    <w:rsid w:val="00E37BA6"/>
    <w:rsid w:val="00E3CF4D"/>
    <w:rsid w:val="00E3D891"/>
    <w:rsid w:val="00E4001A"/>
    <w:rsid w:val="00E401CC"/>
    <w:rsid w:val="00E403F7"/>
    <w:rsid w:val="00E4042A"/>
    <w:rsid w:val="00E406BE"/>
    <w:rsid w:val="00E40B25"/>
    <w:rsid w:val="00E40B67"/>
    <w:rsid w:val="00E40B7C"/>
    <w:rsid w:val="00E40C9A"/>
    <w:rsid w:val="00E40DC4"/>
    <w:rsid w:val="00E4111E"/>
    <w:rsid w:val="00E41134"/>
    <w:rsid w:val="00E4119C"/>
    <w:rsid w:val="00E41575"/>
    <w:rsid w:val="00E418AE"/>
    <w:rsid w:val="00E41900"/>
    <w:rsid w:val="00E41E38"/>
    <w:rsid w:val="00E41F68"/>
    <w:rsid w:val="00E42098"/>
    <w:rsid w:val="00E422C6"/>
    <w:rsid w:val="00E425A1"/>
    <w:rsid w:val="00E428C3"/>
    <w:rsid w:val="00E429E7"/>
    <w:rsid w:val="00E42A01"/>
    <w:rsid w:val="00E42E29"/>
    <w:rsid w:val="00E42E4E"/>
    <w:rsid w:val="00E42F7C"/>
    <w:rsid w:val="00E431C3"/>
    <w:rsid w:val="00E43361"/>
    <w:rsid w:val="00E435DE"/>
    <w:rsid w:val="00E43978"/>
    <w:rsid w:val="00E439D9"/>
    <w:rsid w:val="00E43BB5"/>
    <w:rsid w:val="00E43DAB"/>
    <w:rsid w:val="00E43E9E"/>
    <w:rsid w:val="00E43F39"/>
    <w:rsid w:val="00E440AB"/>
    <w:rsid w:val="00E4432D"/>
    <w:rsid w:val="00E446C1"/>
    <w:rsid w:val="00E4472D"/>
    <w:rsid w:val="00E4488D"/>
    <w:rsid w:val="00E448AF"/>
    <w:rsid w:val="00E448B2"/>
    <w:rsid w:val="00E449A5"/>
    <w:rsid w:val="00E44AAE"/>
    <w:rsid w:val="00E44BDC"/>
    <w:rsid w:val="00E450C1"/>
    <w:rsid w:val="00E4525B"/>
    <w:rsid w:val="00E456B4"/>
    <w:rsid w:val="00E45A61"/>
    <w:rsid w:val="00E45A72"/>
    <w:rsid w:val="00E45AE4"/>
    <w:rsid w:val="00E45B1C"/>
    <w:rsid w:val="00E45B35"/>
    <w:rsid w:val="00E45CFF"/>
    <w:rsid w:val="00E45DBA"/>
    <w:rsid w:val="00E45E09"/>
    <w:rsid w:val="00E46147"/>
    <w:rsid w:val="00E4625E"/>
    <w:rsid w:val="00E46277"/>
    <w:rsid w:val="00E4631F"/>
    <w:rsid w:val="00E465DF"/>
    <w:rsid w:val="00E468BE"/>
    <w:rsid w:val="00E46A1E"/>
    <w:rsid w:val="00E46B8A"/>
    <w:rsid w:val="00E46DC8"/>
    <w:rsid w:val="00E46E68"/>
    <w:rsid w:val="00E47172"/>
    <w:rsid w:val="00E4744A"/>
    <w:rsid w:val="00E475C5"/>
    <w:rsid w:val="00E478A7"/>
    <w:rsid w:val="00E47C9B"/>
    <w:rsid w:val="00E47FA2"/>
    <w:rsid w:val="00E50054"/>
    <w:rsid w:val="00E50123"/>
    <w:rsid w:val="00E50131"/>
    <w:rsid w:val="00E50138"/>
    <w:rsid w:val="00E50388"/>
    <w:rsid w:val="00E50590"/>
    <w:rsid w:val="00E50A92"/>
    <w:rsid w:val="00E50CAF"/>
    <w:rsid w:val="00E50E07"/>
    <w:rsid w:val="00E51076"/>
    <w:rsid w:val="00E510E5"/>
    <w:rsid w:val="00E51599"/>
    <w:rsid w:val="00E515F5"/>
    <w:rsid w:val="00E517B5"/>
    <w:rsid w:val="00E5195D"/>
    <w:rsid w:val="00E519EF"/>
    <w:rsid w:val="00E51C65"/>
    <w:rsid w:val="00E51DAE"/>
    <w:rsid w:val="00E52145"/>
    <w:rsid w:val="00E5237D"/>
    <w:rsid w:val="00E523FA"/>
    <w:rsid w:val="00E524F8"/>
    <w:rsid w:val="00E5253A"/>
    <w:rsid w:val="00E5263B"/>
    <w:rsid w:val="00E52699"/>
    <w:rsid w:val="00E526B1"/>
    <w:rsid w:val="00E526E9"/>
    <w:rsid w:val="00E52815"/>
    <w:rsid w:val="00E52845"/>
    <w:rsid w:val="00E529BB"/>
    <w:rsid w:val="00E52F38"/>
    <w:rsid w:val="00E52FAA"/>
    <w:rsid w:val="00E53045"/>
    <w:rsid w:val="00E53514"/>
    <w:rsid w:val="00E53AB1"/>
    <w:rsid w:val="00E540D4"/>
    <w:rsid w:val="00E5426D"/>
    <w:rsid w:val="00E54301"/>
    <w:rsid w:val="00E5460C"/>
    <w:rsid w:val="00E54A8C"/>
    <w:rsid w:val="00E54B41"/>
    <w:rsid w:val="00E54BA9"/>
    <w:rsid w:val="00E552B5"/>
    <w:rsid w:val="00E5551B"/>
    <w:rsid w:val="00E5560E"/>
    <w:rsid w:val="00E5564F"/>
    <w:rsid w:val="00E55865"/>
    <w:rsid w:val="00E55DCB"/>
    <w:rsid w:val="00E55E2A"/>
    <w:rsid w:val="00E55EFD"/>
    <w:rsid w:val="00E55F09"/>
    <w:rsid w:val="00E56044"/>
    <w:rsid w:val="00E56519"/>
    <w:rsid w:val="00E567B6"/>
    <w:rsid w:val="00E56A1C"/>
    <w:rsid w:val="00E56ED8"/>
    <w:rsid w:val="00E56FEF"/>
    <w:rsid w:val="00E5718A"/>
    <w:rsid w:val="00E574FF"/>
    <w:rsid w:val="00E57536"/>
    <w:rsid w:val="00E57538"/>
    <w:rsid w:val="00E575C3"/>
    <w:rsid w:val="00E57888"/>
    <w:rsid w:val="00E57894"/>
    <w:rsid w:val="00E5791D"/>
    <w:rsid w:val="00E57D6B"/>
    <w:rsid w:val="00E57E6D"/>
    <w:rsid w:val="00E57EBE"/>
    <w:rsid w:val="00E5B932"/>
    <w:rsid w:val="00E6006A"/>
    <w:rsid w:val="00E60147"/>
    <w:rsid w:val="00E6029B"/>
    <w:rsid w:val="00E604EB"/>
    <w:rsid w:val="00E604F2"/>
    <w:rsid w:val="00E6058B"/>
    <w:rsid w:val="00E60711"/>
    <w:rsid w:val="00E60BF3"/>
    <w:rsid w:val="00E60D65"/>
    <w:rsid w:val="00E611A6"/>
    <w:rsid w:val="00E613A7"/>
    <w:rsid w:val="00E614A4"/>
    <w:rsid w:val="00E6150A"/>
    <w:rsid w:val="00E61C88"/>
    <w:rsid w:val="00E61D5D"/>
    <w:rsid w:val="00E61D92"/>
    <w:rsid w:val="00E61E77"/>
    <w:rsid w:val="00E61FCA"/>
    <w:rsid w:val="00E62097"/>
    <w:rsid w:val="00E62152"/>
    <w:rsid w:val="00E62176"/>
    <w:rsid w:val="00E62322"/>
    <w:rsid w:val="00E62498"/>
    <w:rsid w:val="00E62548"/>
    <w:rsid w:val="00E628CA"/>
    <w:rsid w:val="00E628DE"/>
    <w:rsid w:val="00E6300B"/>
    <w:rsid w:val="00E6319C"/>
    <w:rsid w:val="00E63336"/>
    <w:rsid w:val="00E634E1"/>
    <w:rsid w:val="00E63507"/>
    <w:rsid w:val="00E63566"/>
    <w:rsid w:val="00E6359B"/>
    <w:rsid w:val="00E635E9"/>
    <w:rsid w:val="00E63717"/>
    <w:rsid w:val="00E638B0"/>
    <w:rsid w:val="00E63A72"/>
    <w:rsid w:val="00E63BF3"/>
    <w:rsid w:val="00E63C32"/>
    <w:rsid w:val="00E63D2B"/>
    <w:rsid w:val="00E63E1D"/>
    <w:rsid w:val="00E63EBC"/>
    <w:rsid w:val="00E63EC1"/>
    <w:rsid w:val="00E63FDA"/>
    <w:rsid w:val="00E640B4"/>
    <w:rsid w:val="00E642A4"/>
    <w:rsid w:val="00E64677"/>
    <w:rsid w:val="00E64722"/>
    <w:rsid w:val="00E64B8E"/>
    <w:rsid w:val="00E64D2E"/>
    <w:rsid w:val="00E64F16"/>
    <w:rsid w:val="00E64FFF"/>
    <w:rsid w:val="00E6505C"/>
    <w:rsid w:val="00E65074"/>
    <w:rsid w:val="00E6533B"/>
    <w:rsid w:val="00E6545C"/>
    <w:rsid w:val="00E65894"/>
    <w:rsid w:val="00E65FF5"/>
    <w:rsid w:val="00E661B3"/>
    <w:rsid w:val="00E661E9"/>
    <w:rsid w:val="00E66233"/>
    <w:rsid w:val="00E663FF"/>
    <w:rsid w:val="00E66448"/>
    <w:rsid w:val="00E6645D"/>
    <w:rsid w:val="00E66696"/>
    <w:rsid w:val="00E66A08"/>
    <w:rsid w:val="00E66B42"/>
    <w:rsid w:val="00E66C59"/>
    <w:rsid w:val="00E66E4E"/>
    <w:rsid w:val="00E66EE5"/>
    <w:rsid w:val="00E676AB"/>
    <w:rsid w:val="00E677EF"/>
    <w:rsid w:val="00E67862"/>
    <w:rsid w:val="00E67948"/>
    <w:rsid w:val="00E67963"/>
    <w:rsid w:val="00E67B45"/>
    <w:rsid w:val="00E67B64"/>
    <w:rsid w:val="00E67BA6"/>
    <w:rsid w:val="00E67CB8"/>
    <w:rsid w:val="00E67D48"/>
    <w:rsid w:val="00E67F52"/>
    <w:rsid w:val="00E67FB9"/>
    <w:rsid w:val="00E6ECA7"/>
    <w:rsid w:val="00E700B8"/>
    <w:rsid w:val="00E7011F"/>
    <w:rsid w:val="00E703B1"/>
    <w:rsid w:val="00E70400"/>
    <w:rsid w:val="00E707D3"/>
    <w:rsid w:val="00E7094A"/>
    <w:rsid w:val="00E70C9D"/>
    <w:rsid w:val="00E70D37"/>
    <w:rsid w:val="00E70DF1"/>
    <w:rsid w:val="00E71081"/>
    <w:rsid w:val="00E710CD"/>
    <w:rsid w:val="00E71855"/>
    <w:rsid w:val="00E718EB"/>
    <w:rsid w:val="00E71901"/>
    <w:rsid w:val="00E71941"/>
    <w:rsid w:val="00E71A29"/>
    <w:rsid w:val="00E71BE4"/>
    <w:rsid w:val="00E71D8B"/>
    <w:rsid w:val="00E71E3E"/>
    <w:rsid w:val="00E71E8C"/>
    <w:rsid w:val="00E71F8F"/>
    <w:rsid w:val="00E7235C"/>
    <w:rsid w:val="00E72451"/>
    <w:rsid w:val="00E726CC"/>
    <w:rsid w:val="00E72A83"/>
    <w:rsid w:val="00E72AA5"/>
    <w:rsid w:val="00E72B40"/>
    <w:rsid w:val="00E72D2B"/>
    <w:rsid w:val="00E72DBB"/>
    <w:rsid w:val="00E72E11"/>
    <w:rsid w:val="00E72E17"/>
    <w:rsid w:val="00E7317E"/>
    <w:rsid w:val="00E733C3"/>
    <w:rsid w:val="00E735E7"/>
    <w:rsid w:val="00E736D6"/>
    <w:rsid w:val="00E73802"/>
    <w:rsid w:val="00E738D5"/>
    <w:rsid w:val="00E73B25"/>
    <w:rsid w:val="00E73D18"/>
    <w:rsid w:val="00E7403F"/>
    <w:rsid w:val="00E74361"/>
    <w:rsid w:val="00E745A3"/>
    <w:rsid w:val="00E74618"/>
    <w:rsid w:val="00E74980"/>
    <w:rsid w:val="00E74AA3"/>
    <w:rsid w:val="00E74D74"/>
    <w:rsid w:val="00E74E53"/>
    <w:rsid w:val="00E74E98"/>
    <w:rsid w:val="00E75219"/>
    <w:rsid w:val="00E75261"/>
    <w:rsid w:val="00E755A5"/>
    <w:rsid w:val="00E7560F"/>
    <w:rsid w:val="00E75D4D"/>
    <w:rsid w:val="00E76034"/>
    <w:rsid w:val="00E7608E"/>
    <w:rsid w:val="00E7610A"/>
    <w:rsid w:val="00E76124"/>
    <w:rsid w:val="00E7642B"/>
    <w:rsid w:val="00E7677A"/>
    <w:rsid w:val="00E769BB"/>
    <w:rsid w:val="00E76A49"/>
    <w:rsid w:val="00E76B74"/>
    <w:rsid w:val="00E76D2B"/>
    <w:rsid w:val="00E76D87"/>
    <w:rsid w:val="00E77161"/>
    <w:rsid w:val="00E771CC"/>
    <w:rsid w:val="00E7733C"/>
    <w:rsid w:val="00E77358"/>
    <w:rsid w:val="00E775F4"/>
    <w:rsid w:val="00E7784C"/>
    <w:rsid w:val="00E77DEC"/>
    <w:rsid w:val="00E80380"/>
    <w:rsid w:val="00E80428"/>
    <w:rsid w:val="00E80490"/>
    <w:rsid w:val="00E804C2"/>
    <w:rsid w:val="00E8058D"/>
    <w:rsid w:val="00E8088C"/>
    <w:rsid w:val="00E80BFA"/>
    <w:rsid w:val="00E80EA1"/>
    <w:rsid w:val="00E80EEE"/>
    <w:rsid w:val="00E811FA"/>
    <w:rsid w:val="00E812C2"/>
    <w:rsid w:val="00E813A4"/>
    <w:rsid w:val="00E81477"/>
    <w:rsid w:val="00E815A5"/>
    <w:rsid w:val="00E815D3"/>
    <w:rsid w:val="00E81A6D"/>
    <w:rsid w:val="00E82244"/>
    <w:rsid w:val="00E822B5"/>
    <w:rsid w:val="00E8250F"/>
    <w:rsid w:val="00E82A8C"/>
    <w:rsid w:val="00E82AC4"/>
    <w:rsid w:val="00E82BA5"/>
    <w:rsid w:val="00E82E1B"/>
    <w:rsid w:val="00E83252"/>
    <w:rsid w:val="00E833CD"/>
    <w:rsid w:val="00E8344B"/>
    <w:rsid w:val="00E835B3"/>
    <w:rsid w:val="00E835E9"/>
    <w:rsid w:val="00E83A86"/>
    <w:rsid w:val="00E83BE2"/>
    <w:rsid w:val="00E83E2D"/>
    <w:rsid w:val="00E83E4A"/>
    <w:rsid w:val="00E83E8F"/>
    <w:rsid w:val="00E840AB"/>
    <w:rsid w:val="00E84351"/>
    <w:rsid w:val="00E84523"/>
    <w:rsid w:val="00E845B3"/>
    <w:rsid w:val="00E846A0"/>
    <w:rsid w:val="00E8487B"/>
    <w:rsid w:val="00E84AE7"/>
    <w:rsid w:val="00E84BC5"/>
    <w:rsid w:val="00E84E06"/>
    <w:rsid w:val="00E84E5E"/>
    <w:rsid w:val="00E84F88"/>
    <w:rsid w:val="00E85447"/>
    <w:rsid w:val="00E85451"/>
    <w:rsid w:val="00E85536"/>
    <w:rsid w:val="00E857C0"/>
    <w:rsid w:val="00E859D9"/>
    <w:rsid w:val="00E85C6E"/>
    <w:rsid w:val="00E85F33"/>
    <w:rsid w:val="00E86005"/>
    <w:rsid w:val="00E8634B"/>
    <w:rsid w:val="00E8659A"/>
    <w:rsid w:val="00E86909"/>
    <w:rsid w:val="00E869FD"/>
    <w:rsid w:val="00E86A29"/>
    <w:rsid w:val="00E86AA9"/>
    <w:rsid w:val="00E86C9F"/>
    <w:rsid w:val="00E86CE6"/>
    <w:rsid w:val="00E871A0"/>
    <w:rsid w:val="00E872A1"/>
    <w:rsid w:val="00E8731A"/>
    <w:rsid w:val="00E87560"/>
    <w:rsid w:val="00E878B8"/>
    <w:rsid w:val="00E87B0E"/>
    <w:rsid w:val="00E87FB2"/>
    <w:rsid w:val="00E90186"/>
    <w:rsid w:val="00E9039E"/>
    <w:rsid w:val="00E90641"/>
    <w:rsid w:val="00E9065E"/>
    <w:rsid w:val="00E9074F"/>
    <w:rsid w:val="00E907A6"/>
    <w:rsid w:val="00E907C3"/>
    <w:rsid w:val="00E90907"/>
    <w:rsid w:val="00E90B4B"/>
    <w:rsid w:val="00E90CAE"/>
    <w:rsid w:val="00E90D65"/>
    <w:rsid w:val="00E90D83"/>
    <w:rsid w:val="00E91151"/>
    <w:rsid w:val="00E911BC"/>
    <w:rsid w:val="00E91257"/>
    <w:rsid w:val="00E9148F"/>
    <w:rsid w:val="00E91B42"/>
    <w:rsid w:val="00E91C7A"/>
    <w:rsid w:val="00E91E4B"/>
    <w:rsid w:val="00E91F7F"/>
    <w:rsid w:val="00E92117"/>
    <w:rsid w:val="00E9218A"/>
    <w:rsid w:val="00E921BE"/>
    <w:rsid w:val="00E9220F"/>
    <w:rsid w:val="00E922D4"/>
    <w:rsid w:val="00E92547"/>
    <w:rsid w:val="00E928B6"/>
    <w:rsid w:val="00E92B17"/>
    <w:rsid w:val="00E92C3F"/>
    <w:rsid w:val="00E92C77"/>
    <w:rsid w:val="00E9337A"/>
    <w:rsid w:val="00E93396"/>
    <w:rsid w:val="00E933D2"/>
    <w:rsid w:val="00E9348A"/>
    <w:rsid w:val="00E937A7"/>
    <w:rsid w:val="00E9398D"/>
    <w:rsid w:val="00E93AA3"/>
    <w:rsid w:val="00E93C20"/>
    <w:rsid w:val="00E93F6A"/>
    <w:rsid w:val="00E9407A"/>
    <w:rsid w:val="00E94163"/>
    <w:rsid w:val="00E942D1"/>
    <w:rsid w:val="00E9452F"/>
    <w:rsid w:val="00E9461A"/>
    <w:rsid w:val="00E94A5E"/>
    <w:rsid w:val="00E94E3C"/>
    <w:rsid w:val="00E94E63"/>
    <w:rsid w:val="00E9513C"/>
    <w:rsid w:val="00E9519D"/>
    <w:rsid w:val="00E9543D"/>
    <w:rsid w:val="00E9556C"/>
    <w:rsid w:val="00E95687"/>
    <w:rsid w:val="00E95829"/>
    <w:rsid w:val="00E95863"/>
    <w:rsid w:val="00E95CCC"/>
    <w:rsid w:val="00E95D45"/>
    <w:rsid w:val="00E960BE"/>
    <w:rsid w:val="00E961CE"/>
    <w:rsid w:val="00E96375"/>
    <w:rsid w:val="00E96545"/>
    <w:rsid w:val="00E96993"/>
    <w:rsid w:val="00E96AA3"/>
    <w:rsid w:val="00E96B7A"/>
    <w:rsid w:val="00E96CE4"/>
    <w:rsid w:val="00E96F94"/>
    <w:rsid w:val="00E96FB9"/>
    <w:rsid w:val="00E97010"/>
    <w:rsid w:val="00E97220"/>
    <w:rsid w:val="00E972C2"/>
    <w:rsid w:val="00E97413"/>
    <w:rsid w:val="00E975EC"/>
    <w:rsid w:val="00E977FF"/>
    <w:rsid w:val="00E978D5"/>
    <w:rsid w:val="00EA0051"/>
    <w:rsid w:val="00EA01B7"/>
    <w:rsid w:val="00EA062E"/>
    <w:rsid w:val="00EA0657"/>
    <w:rsid w:val="00EA07C6"/>
    <w:rsid w:val="00EA0AFF"/>
    <w:rsid w:val="00EA0D31"/>
    <w:rsid w:val="00EA1048"/>
    <w:rsid w:val="00EA1220"/>
    <w:rsid w:val="00EA16A7"/>
    <w:rsid w:val="00EA1ABF"/>
    <w:rsid w:val="00EA1B4F"/>
    <w:rsid w:val="00EA1DA6"/>
    <w:rsid w:val="00EA1DB3"/>
    <w:rsid w:val="00EA22D5"/>
    <w:rsid w:val="00EA230F"/>
    <w:rsid w:val="00EA26D8"/>
    <w:rsid w:val="00EA2925"/>
    <w:rsid w:val="00EA29E1"/>
    <w:rsid w:val="00EA2A85"/>
    <w:rsid w:val="00EA2D87"/>
    <w:rsid w:val="00EA2EB9"/>
    <w:rsid w:val="00EA2EDB"/>
    <w:rsid w:val="00EA2F96"/>
    <w:rsid w:val="00EA2FE1"/>
    <w:rsid w:val="00EA3162"/>
    <w:rsid w:val="00EA35DD"/>
    <w:rsid w:val="00EA3684"/>
    <w:rsid w:val="00EA36BC"/>
    <w:rsid w:val="00EA3A29"/>
    <w:rsid w:val="00EA3AEC"/>
    <w:rsid w:val="00EA4082"/>
    <w:rsid w:val="00EA4572"/>
    <w:rsid w:val="00EA45DA"/>
    <w:rsid w:val="00EA4BBB"/>
    <w:rsid w:val="00EA4C07"/>
    <w:rsid w:val="00EA4CED"/>
    <w:rsid w:val="00EA513E"/>
    <w:rsid w:val="00EA53DC"/>
    <w:rsid w:val="00EA55A1"/>
    <w:rsid w:val="00EA56DD"/>
    <w:rsid w:val="00EA589F"/>
    <w:rsid w:val="00EA58D6"/>
    <w:rsid w:val="00EA5952"/>
    <w:rsid w:val="00EA5AE6"/>
    <w:rsid w:val="00EA5C58"/>
    <w:rsid w:val="00EA5CDB"/>
    <w:rsid w:val="00EA5E6F"/>
    <w:rsid w:val="00EA5E82"/>
    <w:rsid w:val="00EA61E0"/>
    <w:rsid w:val="00EA6780"/>
    <w:rsid w:val="00EA683B"/>
    <w:rsid w:val="00EA6855"/>
    <w:rsid w:val="00EA69D9"/>
    <w:rsid w:val="00EA6B40"/>
    <w:rsid w:val="00EA6EBD"/>
    <w:rsid w:val="00EA705F"/>
    <w:rsid w:val="00EA70F0"/>
    <w:rsid w:val="00EA716B"/>
    <w:rsid w:val="00EA7178"/>
    <w:rsid w:val="00EA72A5"/>
    <w:rsid w:val="00EA7301"/>
    <w:rsid w:val="00EA734E"/>
    <w:rsid w:val="00EA751E"/>
    <w:rsid w:val="00EA7800"/>
    <w:rsid w:val="00EA7B5D"/>
    <w:rsid w:val="00EA7C0A"/>
    <w:rsid w:val="00EB0206"/>
    <w:rsid w:val="00EB0321"/>
    <w:rsid w:val="00EB0694"/>
    <w:rsid w:val="00EB0807"/>
    <w:rsid w:val="00EB08AB"/>
    <w:rsid w:val="00EB08AF"/>
    <w:rsid w:val="00EB0B3B"/>
    <w:rsid w:val="00EB0C1A"/>
    <w:rsid w:val="00EB0F53"/>
    <w:rsid w:val="00EB0F54"/>
    <w:rsid w:val="00EB1137"/>
    <w:rsid w:val="00EB128B"/>
    <w:rsid w:val="00EB1389"/>
    <w:rsid w:val="00EB14CF"/>
    <w:rsid w:val="00EB154A"/>
    <w:rsid w:val="00EB15A2"/>
    <w:rsid w:val="00EB1BB5"/>
    <w:rsid w:val="00EB1BD4"/>
    <w:rsid w:val="00EB1D6A"/>
    <w:rsid w:val="00EB2040"/>
    <w:rsid w:val="00EB20C1"/>
    <w:rsid w:val="00EB2197"/>
    <w:rsid w:val="00EB21AC"/>
    <w:rsid w:val="00EB2305"/>
    <w:rsid w:val="00EB240D"/>
    <w:rsid w:val="00EB24D4"/>
    <w:rsid w:val="00EB24D6"/>
    <w:rsid w:val="00EB2518"/>
    <w:rsid w:val="00EB26AB"/>
    <w:rsid w:val="00EB2753"/>
    <w:rsid w:val="00EB276C"/>
    <w:rsid w:val="00EB2893"/>
    <w:rsid w:val="00EB28AC"/>
    <w:rsid w:val="00EB2B4F"/>
    <w:rsid w:val="00EB3032"/>
    <w:rsid w:val="00EB3141"/>
    <w:rsid w:val="00EB32D7"/>
    <w:rsid w:val="00EB3377"/>
    <w:rsid w:val="00EB3479"/>
    <w:rsid w:val="00EB3839"/>
    <w:rsid w:val="00EB38C2"/>
    <w:rsid w:val="00EB441F"/>
    <w:rsid w:val="00EB458B"/>
    <w:rsid w:val="00EB45E3"/>
    <w:rsid w:val="00EB46F3"/>
    <w:rsid w:val="00EB481F"/>
    <w:rsid w:val="00EB5218"/>
    <w:rsid w:val="00EB529B"/>
    <w:rsid w:val="00EB5331"/>
    <w:rsid w:val="00EB544E"/>
    <w:rsid w:val="00EB5452"/>
    <w:rsid w:val="00EB54B8"/>
    <w:rsid w:val="00EB5783"/>
    <w:rsid w:val="00EB580D"/>
    <w:rsid w:val="00EB594C"/>
    <w:rsid w:val="00EB5A4F"/>
    <w:rsid w:val="00EB5B74"/>
    <w:rsid w:val="00EB5DB1"/>
    <w:rsid w:val="00EB5F4D"/>
    <w:rsid w:val="00EB6263"/>
    <w:rsid w:val="00EB659F"/>
    <w:rsid w:val="00EB66AA"/>
    <w:rsid w:val="00EB6928"/>
    <w:rsid w:val="00EB6BD6"/>
    <w:rsid w:val="00EB6CF9"/>
    <w:rsid w:val="00EB6F8B"/>
    <w:rsid w:val="00EB7008"/>
    <w:rsid w:val="00EB7069"/>
    <w:rsid w:val="00EB7095"/>
    <w:rsid w:val="00EB70E6"/>
    <w:rsid w:val="00EB70F3"/>
    <w:rsid w:val="00EB718C"/>
    <w:rsid w:val="00EB718F"/>
    <w:rsid w:val="00EB71F7"/>
    <w:rsid w:val="00EB7415"/>
    <w:rsid w:val="00EB75E6"/>
    <w:rsid w:val="00EB76B4"/>
    <w:rsid w:val="00EB7739"/>
    <w:rsid w:val="00EB7884"/>
    <w:rsid w:val="00EB78B1"/>
    <w:rsid w:val="00EB79B8"/>
    <w:rsid w:val="00EB7A7C"/>
    <w:rsid w:val="00EC013C"/>
    <w:rsid w:val="00EC03CE"/>
    <w:rsid w:val="00EC041E"/>
    <w:rsid w:val="00EC0484"/>
    <w:rsid w:val="00EC048A"/>
    <w:rsid w:val="00EC0530"/>
    <w:rsid w:val="00EC0618"/>
    <w:rsid w:val="00EC068D"/>
    <w:rsid w:val="00EC0A17"/>
    <w:rsid w:val="00EC0D83"/>
    <w:rsid w:val="00EC0EBC"/>
    <w:rsid w:val="00EC0F69"/>
    <w:rsid w:val="00EC1060"/>
    <w:rsid w:val="00EC1080"/>
    <w:rsid w:val="00EC137F"/>
    <w:rsid w:val="00EC141C"/>
    <w:rsid w:val="00EC147B"/>
    <w:rsid w:val="00EC1641"/>
    <w:rsid w:val="00EC1845"/>
    <w:rsid w:val="00EC1943"/>
    <w:rsid w:val="00EC1D23"/>
    <w:rsid w:val="00EC1D2C"/>
    <w:rsid w:val="00EC24F0"/>
    <w:rsid w:val="00EC2523"/>
    <w:rsid w:val="00EC2662"/>
    <w:rsid w:val="00EC27AF"/>
    <w:rsid w:val="00EC29A8"/>
    <w:rsid w:val="00EC2B02"/>
    <w:rsid w:val="00EC2CAE"/>
    <w:rsid w:val="00EC2E2C"/>
    <w:rsid w:val="00EC330B"/>
    <w:rsid w:val="00EC3644"/>
    <w:rsid w:val="00EC3706"/>
    <w:rsid w:val="00EC3740"/>
    <w:rsid w:val="00EC3A4B"/>
    <w:rsid w:val="00EC3C55"/>
    <w:rsid w:val="00EC3CDE"/>
    <w:rsid w:val="00EC3CF4"/>
    <w:rsid w:val="00EC3D0C"/>
    <w:rsid w:val="00EC3F83"/>
    <w:rsid w:val="00EC3FF5"/>
    <w:rsid w:val="00EC4724"/>
    <w:rsid w:val="00EC484C"/>
    <w:rsid w:val="00EC4980"/>
    <w:rsid w:val="00EC4B41"/>
    <w:rsid w:val="00EC4C7C"/>
    <w:rsid w:val="00EC4CFA"/>
    <w:rsid w:val="00EC4DFC"/>
    <w:rsid w:val="00EC5092"/>
    <w:rsid w:val="00EC5276"/>
    <w:rsid w:val="00EC52B8"/>
    <w:rsid w:val="00EC52C8"/>
    <w:rsid w:val="00EC5339"/>
    <w:rsid w:val="00EC53AB"/>
    <w:rsid w:val="00EC53BE"/>
    <w:rsid w:val="00EC54B9"/>
    <w:rsid w:val="00EC55B6"/>
    <w:rsid w:val="00EC5A9E"/>
    <w:rsid w:val="00EC5B63"/>
    <w:rsid w:val="00EC5B90"/>
    <w:rsid w:val="00EC5CE2"/>
    <w:rsid w:val="00EC5E12"/>
    <w:rsid w:val="00EC619D"/>
    <w:rsid w:val="00EC62EE"/>
    <w:rsid w:val="00EC64D8"/>
    <w:rsid w:val="00EC6679"/>
    <w:rsid w:val="00EC6D29"/>
    <w:rsid w:val="00EC6E28"/>
    <w:rsid w:val="00EC6E46"/>
    <w:rsid w:val="00EC6E54"/>
    <w:rsid w:val="00EC6EE1"/>
    <w:rsid w:val="00EC703B"/>
    <w:rsid w:val="00EC708F"/>
    <w:rsid w:val="00EC7273"/>
    <w:rsid w:val="00EC7337"/>
    <w:rsid w:val="00EC7465"/>
    <w:rsid w:val="00EC749E"/>
    <w:rsid w:val="00EC7684"/>
    <w:rsid w:val="00EC7E77"/>
    <w:rsid w:val="00EC7F04"/>
    <w:rsid w:val="00ED0060"/>
    <w:rsid w:val="00ED041A"/>
    <w:rsid w:val="00ED0570"/>
    <w:rsid w:val="00ED08C3"/>
    <w:rsid w:val="00ED0C74"/>
    <w:rsid w:val="00ED0CE0"/>
    <w:rsid w:val="00ED1237"/>
    <w:rsid w:val="00ED1415"/>
    <w:rsid w:val="00ED1443"/>
    <w:rsid w:val="00ED1471"/>
    <w:rsid w:val="00ED1520"/>
    <w:rsid w:val="00ED1D69"/>
    <w:rsid w:val="00ED208B"/>
    <w:rsid w:val="00ED25A8"/>
    <w:rsid w:val="00ED2621"/>
    <w:rsid w:val="00ED26F3"/>
    <w:rsid w:val="00ED2745"/>
    <w:rsid w:val="00ED27C2"/>
    <w:rsid w:val="00ED29B0"/>
    <w:rsid w:val="00ED2A7A"/>
    <w:rsid w:val="00ED2FA8"/>
    <w:rsid w:val="00ED2FE3"/>
    <w:rsid w:val="00ED3011"/>
    <w:rsid w:val="00ED3042"/>
    <w:rsid w:val="00ED3111"/>
    <w:rsid w:val="00ED313C"/>
    <w:rsid w:val="00ED31B5"/>
    <w:rsid w:val="00ED32A6"/>
    <w:rsid w:val="00ED3427"/>
    <w:rsid w:val="00ED3531"/>
    <w:rsid w:val="00ED356A"/>
    <w:rsid w:val="00ED35CD"/>
    <w:rsid w:val="00ED367A"/>
    <w:rsid w:val="00ED36BF"/>
    <w:rsid w:val="00ED388D"/>
    <w:rsid w:val="00ED38E1"/>
    <w:rsid w:val="00ED3A79"/>
    <w:rsid w:val="00ED3CB1"/>
    <w:rsid w:val="00ED3D71"/>
    <w:rsid w:val="00ED3DA8"/>
    <w:rsid w:val="00ED3F02"/>
    <w:rsid w:val="00ED3F9E"/>
    <w:rsid w:val="00ED41C3"/>
    <w:rsid w:val="00ED425B"/>
    <w:rsid w:val="00ED434F"/>
    <w:rsid w:val="00ED49A6"/>
    <w:rsid w:val="00ED4A75"/>
    <w:rsid w:val="00ED4D67"/>
    <w:rsid w:val="00ED4E69"/>
    <w:rsid w:val="00ED5176"/>
    <w:rsid w:val="00ED51AC"/>
    <w:rsid w:val="00ED5741"/>
    <w:rsid w:val="00ED5A4B"/>
    <w:rsid w:val="00ED5EF6"/>
    <w:rsid w:val="00ED608C"/>
    <w:rsid w:val="00ED631D"/>
    <w:rsid w:val="00ED6A6F"/>
    <w:rsid w:val="00ED6BF3"/>
    <w:rsid w:val="00ED710B"/>
    <w:rsid w:val="00ED719B"/>
    <w:rsid w:val="00ED747E"/>
    <w:rsid w:val="00ED7523"/>
    <w:rsid w:val="00ED791A"/>
    <w:rsid w:val="00ED7951"/>
    <w:rsid w:val="00ED79CA"/>
    <w:rsid w:val="00ED7B01"/>
    <w:rsid w:val="00ED7B81"/>
    <w:rsid w:val="00ED7BA7"/>
    <w:rsid w:val="00ED7E89"/>
    <w:rsid w:val="00EE02B5"/>
    <w:rsid w:val="00EE03C5"/>
    <w:rsid w:val="00EE0813"/>
    <w:rsid w:val="00EE09E3"/>
    <w:rsid w:val="00EE0A6B"/>
    <w:rsid w:val="00EE11D4"/>
    <w:rsid w:val="00EE1251"/>
    <w:rsid w:val="00EE12E4"/>
    <w:rsid w:val="00EE1416"/>
    <w:rsid w:val="00EE15EE"/>
    <w:rsid w:val="00EE1695"/>
    <w:rsid w:val="00EE16B9"/>
    <w:rsid w:val="00EE1845"/>
    <w:rsid w:val="00EE1982"/>
    <w:rsid w:val="00EE19B8"/>
    <w:rsid w:val="00EE19FE"/>
    <w:rsid w:val="00EE1B9D"/>
    <w:rsid w:val="00EE1D28"/>
    <w:rsid w:val="00EE1EB8"/>
    <w:rsid w:val="00EE219E"/>
    <w:rsid w:val="00EE2207"/>
    <w:rsid w:val="00EE256F"/>
    <w:rsid w:val="00EE26A9"/>
    <w:rsid w:val="00EE2737"/>
    <w:rsid w:val="00EE2FA6"/>
    <w:rsid w:val="00EE3326"/>
    <w:rsid w:val="00EE34D3"/>
    <w:rsid w:val="00EE374C"/>
    <w:rsid w:val="00EE3996"/>
    <w:rsid w:val="00EE3A41"/>
    <w:rsid w:val="00EE3B2E"/>
    <w:rsid w:val="00EE3BF9"/>
    <w:rsid w:val="00EE3CE3"/>
    <w:rsid w:val="00EE3F44"/>
    <w:rsid w:val="00EE3F6B"/>
    <w:rsid w:val="00EE3FD4"/>
    <w:rsid w:val="00EE40B0"/>
    <w:rsid w:val="00EE44D5"/>
    <w:rsid w:val="00EE451B"/>
    <w:rsid w:val="00EE4697"/>
    <w:rsid w:val="00EE4A0B"/>
    <w:rsid w:val="00EE4AA0"/>
    <w:rsid w:val="00EE4AA6"/>
    <w:rsid w:val="00EE4BB9"/>
    <w:rsid w:val="00EE4ED6"/>
    <w:rsid w:val="00EE50EB"/>
    <w:rsid w:val="00EE57B9"/>
    <w:rsid w:val="00EE5C5C"/>
    <w:rsid w:val="00EE5CF3"/>
    <w:rsid w:val="00EE5D84"/>
    <w:rsid w:val="00EE5E7E"/>
    <w:rsid w:val="00EE636A"/>
    <w:rsid w:val="00EE67CC"/>
    <w:rsid w:val="00EE6AB2"/>
    <w:rsid w:val="00EE6B38"/>
    <w:rsid w:val="00EE6C9F"/>
    <w:rsid w:val="00EE7121"/>
    <w:rsid w:val="00EE782C"/>
    <w:rsid w:val="00EE79F2"/>
    <w:rsid w:val="00EE7CE1"/>
    <w:rsid w:val="00EF002F"/>
    <w:rsid w:val="00EF005D"/>
    <w:rsid w:val="00EF0142"/>
    <w:rsid w:val="00EF0204"/>
    <w:rsid w:val="00EF0257"/>
    <w:rsid w:val="00EF037E"/>
    <w:rsid w:val="00EF05A3"/>
    <w:rsid w:val="00EF0757"/>
    <w:rsid w:val="00EF0B29"/>
    <w:rsid w:val="00EF0CBA"/>
    <w:rsid w:val="00EF0E5E"/>
    <w:rsid w:val="00EF1034"/>
    <w:rsid w:val="00EF1169"/>
    <w:rsid w:val="00EF11E8"/>
    <w:rsid w:val="00EF144A"/>
    <w:rsid w:val="00EF15F2"/>
    <w:rsid w:val="00EF1826"/>
    <w:rsid w:val="00EF1B4C"/>
    <w:rsid w:val="00EF1BD0"/>
    <w:rsid w:val="00EF1C8D"/>
    <w:rsid w:val="00EF1E75"/>
    <w:rsid w:val="00EF1E8F"/>
    <w:rsid w:val="00EF2189"/>
    <w:rsid w:val="00EF2668"/>
    <w:rsid w:val="00EF2A70"/>
    <w:rsid w:val="00EF2CDA"/>
    <w:rsid w:val="00EF2E0E"/>
    <w:rsid w:val="00EF31C2"/>
    <w:rsid w:val="00EF383E"/>
    <w:rsid w:val="00EF3860"/>
    <w:rsid w:val="00EF38E9"/>
    <w:rsid w:val="00EF399A"/>
    <w:rsid w:val="00EF3A0A"/>
    <w:rsid w:val="00EF3AC7"/>
    <w:rsid w:val="00EF3DBB"/>
    <w:rsid w:val="00EF3E0B"/>
    <w:rsid w:val="00EF3F7E"/>
    <w:rsid w:val="00EF402B"/>
    <w:rsid w:val="00EF40A4"/>
    <w:rsid w:val="00EF4433"/>
    <w:rsid w:val="00EF4480"/>
    <w:rsid w:val="00EF463A"/>
    <w:rsid w:val="00EF46E8"/>
    <w:rsid w:val="00EF471B"/>
    <w:rsid w:val="00EF4887"/>
    <w:rsid w:val="00EF4BD2"/>
    <w:rsid w:val="00EF4DEF"/>
    <w:rsid w:val="00EF4E0E"/>
    <w:rsid w:val="00EF56DA"/>
    <w:rsid w:val="00EF57E8"/>
    <w:rsid w:val="00EF5972"/>
    <w:rsid w:val="00EF5AFF"/>
    <w:rsid w:val="00EF5B2F"/>
    <w:rsid w:val="00EF5C86"/>
    <w:rsid w:val="00EF5FC3"/>
    <w:rsid w:val="00EF60BC"/>
    <w:rsid w:val="00EF60EC"/>
    <w:rsid w:val="00EF61F6"/>
    <w:rsid w:val="00EF6268"/>
    <w:rsid w:val="00EF6430"/>
    <w:rsid w:val="00EF64C9"/>
    <w:rsid w:val="00EF655A"/>
    <w:rsid w:val="00EF697A"/>
    <w:rsid w:val="00EF69CC"/>
    <w:rsid w:val="00EF6B19"/>
    <w:rsid w:val="00EF6C4A"/>
    <w:rsid w:val="00EF6E03"/>
    <w:rsid w:val="00EF7042"/>
    <w:rsid w:val="00EF71BB"/>
    <w:rsid w:val="00EF724A"/>
    <w:rsid w:val="00EF7312"/>
    <w:rsid w:val="00EF73A1"/>
    <w:rsid w:val="00EF745F"/>
    <w:rsid w:val="00EF76BC"/>
    <w:rsid w:val="00EF7A88"/>
    <w:rsid w:val="00EF7AEE"/>
    <w:rsid w:val="00EF7CEC"/>
    <w:rsid w:val="00EF7DFF"/>
    <w:rsid w:val="00EF7E9C"/>
    <w:rsid w:val="00EFC7C4"/>
    <w:rsid w:val="00F00085"/>
    <w:rsid w:val="00F0021D"/>
    <w:rsid w:val="00F00809"/>
    <w:rsid w:val="00F00A26"/>
    <w:rsid w:val="00F00BB6"/>
    <w:rsid w:val="00F00D12"/>
    <w:rsid w:val="00F00E0C"/>
    <w:rsid w:val="00F00E10"/>
    <w:rsid w:val="00F00F7B"/>
    <w:rsid w:val="00F0103B"/>
    <w:rsid w:val="00F01230"/>
    <w:rsid w:val="00F0158A"/>
    <w:rsid w:val="00F015AF"/>
    <w:rsid w:val="00F01606"/>
    <w:rsid w:val="00F01843"/>
    <w:rsid w:val="00F01A42"/>
    <w:rsid w:val="00F01A55"/>
    <w:rsid w:val="00F01AD4"/>
    <w:rsid w:val="00F01E34"/>
    <w:rsid w:val="00F01FBE"/>
    <w:rsid w:val="00F020FD"/>
    <w:rsid w:val="00F0212E"/>
    <w:rsid w:val="00F02266"/>
    <w:rsid w:val="00F022C9"/>
    <w:rsid w:val="00F02428"/>
    <w:rsid w:val="00F024A9"/>
    <w:rsid w:val="00F025D3"/>
    <w:rsid w:val="00F0296F"/>
    <w:rsid w:val="00F02DE4"/>
    <w:rsid w:val="00F02F9C"/>
    <w:rsid w:val="00F02FEC"/>
    <w:rsid w:val="00F0334E"/>
    <w:rsid w:val="00F0353A"/>
    <w:rsid w:val="00F035A3"/>
    <w:rsid w:val="00F03697"/>
    <w:rsid w:val="00F03866"/>
    <w:rsid w:val="00F0386E"/>
    <w:rsid w:val="00F03AB3"/>
    <w:rsid w:val="00F03F05"/>
    <w:rsid w:val="00F0426D"/>
    <w:rsid w:val="00F0431B"/>
    <w:rsid w:val="00F04492"/>
    <w:rsid w:val="00F044AD"/>
    <w:rsid w:val="00F04826"/>
    <w:rsid w:val="00F048D6"/>
    <w:rsid w:val="00F04B8A"/>
    <w:rsid w:val="00F05143"/>
    <w:rsid w:val="00F0519B"/>
    <w:rsid w:val="00F0523C"/>
    <w:rsid w:val="00F0532B"/>
    <w:rsid w:val="00F05404"/>
    <w:rsid w:val="00F057D9"/>
    <w:rsid w:val="00F05847"/>
    <w:rsid w:val="00F058B3"/>
    <w:rsid w:val="00F05983"/>
    <w:rsid w:val="00F05E18"/>
    <w:rsid w:val="00F06050"/>
    <w:rsid w:val="00F06358"/>
    <w:rsid w:val="00F0648F"/>
    <w:rsid w:val="00F065E5"/>
    <w:rsid w:val="00F0675F"/>
    <w:rsid w:val="00F06963"/>
    <w:rsid w:val="00F069C3"/>
    <w:rsid w:val="00F06A09"/>
    <w:rsid w:val="00F06CB1"/>
    <w:rsid w:val="00F06EAF"/>
    <w:rsid w:val="00F071DD"/>
    <w:rsid w:val="00F07BE4"/>
    <w:rsid w:val="00F07C7E"/>
    <w:rsid w:val="00F07C99"/>
    <w:rsid w:val="00F103CB"/>
    <w:rsid w:val="00F105B2"/>
    <w:rsid w:val="00F10A07"/>
    <w:rsid w:val="00F10A12"/>
    <w:rsid w:val="00F10C89"/>
    <w:rsid w:val="00F110D8"/>
    <w:rsid w:val="00F1134E"/>
    <w:rsid w:val="00F11542"/>
    <w:rsid w:val="00F1157A"/>
    <w:rsid w:val="00F116B0"/>
    <w:rsid w:val="00F119CA"/>
    <w:rsid w:val="00F11BC5"/>
    <w:rsid w:val="00F11E60"/>
    <w:rsid w:val="00F11EB7"/>
    <w:rsid w:val="00F11FE8"/>
    <w:rsid w:val="00F12637"/>
    <w:rsid w:val="00F12A3A"/>
    <w:rsid w:val="00F12A6E"/>
    <w:rsid w:val="00F12B2C"/>
    <w:rsid w:val="00F12C23"/>
    <w:rsid w:val="00F12C83"/>
    <w:rsid w:val="00F12D61"/>
    <w:rsid w:val="00F12F80"/>
    <w:rsid w:val="00F132B7"/>
    <w:rsid w:val="00F13399"/>
    <w:rsid w:val="00F137C4"/>
    <w:rsid w:val="00F13AC6"/>
    <w:rsid w:val="00F13B26"/>
    <w:rsid w:val="00F13B74"/>
    <w:rsid w:val="00F13B98"/>
    <w:rsid w:val="00F13C42"/>
    <w:rsid w:val="00F13DC1"/>
    <w:rsid w:val="00F13EE7"/>
    <w:rsid w:val="00F140DB"/>
    <w:rsid w:val="00F14103"/>
    <w:rsid w:val="00F141AA"/>
    <w:rsid w:val="00F142C5"/>
    <w:rsid w:val="00F142DF"/>
    <w:rsid w:val="00F147E3"/>
    <w:rsid w:val="00F14AA5"/>
    <w:rsid w:val="00F14CF9"/>
    <w:rsid w:val="00F14D3E"/>
    <w:rsid w:val="00F155E7"/>
    <w:rsid w:val="00F157F7"/>
    <w:rsid w:val="00F159D4"/>
    <w:rsid w:val="00F15AB3"/>
    <w:rsid w:val="00F15E16"/>
    <w:rsid w:val="00F15EB8"/>
    <w:rsid w:val="00F15F60"/>
    <w:rsid w:val="00F15F96"/>
    <w:rsid w:val="00F163A5"/>
    <w:rsid w:val="00F169EB"/>
    <w:rsid w:val="00F16AB3"/>
    <w:rsid w:val="00F16EAC"/>
    <w:rsid w:val="00F171B3"/>
    <w:rsid w:val="00F174BF"/>
    <w:rsid w:val="00F1795F"/>
    <w:rsid w:val="00F17971"/>
    <w:rsid w:val="00F17AEC"/>
    <w:rsid w:val="00F17B7B"/>
    <w:rsid w:val="00F20231"/>
    <w:rsid w:val="00F2024E"/>
    <w:rsid w:val="00F2031F"/>
    <w:rsid w:val="00F20328"/>
    <w:rsid w:val="00F206A6"/>
    <w:rsid w:val="00F20A25"/>
    <w:rsid w:val="00F20BED"/>
    <w:rsid w:val="00F20C9A"/>
    <w:rsid w:val="00F20D3B"/>
    <w:rsid w:val="00F20D8D"/>
    <w:rsid w:val="00F20E8B"/>
    <w:rsid w:val="00F211CD"/>
    <w:rsid w:val="00F21239"/>
    <w:rsid w:val="00F2156E"/>
    <w:rsid w:val="00F215B2"/>
    <w:rsid w:val="00F21601"/>
    <w:rsid w:val="00F21BC8"/>
    <w:rsid w:val="00F21BE6"/>
    <w:rsid w:val="00F21C51"/>
    <w:rsid w:val="00F21D43"/>
    <w:rsid w:val="00F21D4A"/>
    <w:rsid w:val="00F21DD3"/>
    <w:rsid w:val="00F21DD8"/>
    <w:rsid w:val="00F21E34"/>
    <w:rsid w:val="00F21F14"/>
    <w:rsid w:val="00F22696"/>
    <w:rsid w:val="00F2280E"/>
    <w:rsid w:val="00F22907"/>
    <w:rsid w:val="00F229E9"/>
    <w:rsid w:val="00F22BD9"/>
    <w:rsid w:val="00F22C0E"/>
    <w:rsid w:val="00F22C45"/>
    <w:rsid w:val="00F22D23"/>
    <w:rsid w:val="00F23394"/>
    <w:rsid w:val="00F235FB"/>
    <w:rsid w:val="00F23B11"/>
    <w:rsid w:val="00F23C45"/>
    <w:rsid w:val="00F23FA5"/>
    <w:rsid w:val="00F243B8"/>
    <w:rsid w:val="00F24441"/>
    <w:rsid w:val="00F24521"/>
    <w:rsid w:val="00F24534"/>
    <w:rsid w:val="00F246A5"/>
    <w:rsid w:val="00F24BC2"/>
    <w:rsid w:val="00F24F33"/>
    <w:rsid w:val="00F250ED"/>
    <w:rsid w:val="00F25329"/>
    <w:rsid w:val="00F253CC"/>
    <w:rsid w:val="00F2541C"/>
    <w:rsid w:val="00F25689"/>
    <w:rsid w:val="00F25BC2"/>
    <w:rsid w:val="00F25C4E"/>
    <w:rsid w:val="00F25C67"/>
    <w:rsid w:val="00F25F21"/>
    <w:rsid w:val="00F2665C"/>
    <w:rsid w:val="00F266B4"/>
    <w:rsid w:val="00F26883"/>
    <w:rsid w:val="00F268B9"/>
    <w:rsid w:val="00F26ADA"/>
    <w:rsid w:val="00F26AEB"/>
    <w:rsid w:val="00F26CF8"/>
    <w:rsid w:val="00F26F6D"/>
    <w:rsid w:val="00F27204"/>
    <w:rsid w:val="00F273BC"/>
    <w:rsid w:val="00F27442"/>
    <w:rsid w:val="00F277E9"/>
    <w:rsid w:val="00F2781D"/>
    <w:rsid w:val="00F279EB"/>
    <w:rsid w:val="00F304AA"/>
    <w:rsid w:val="00F30595"/>
    <w:rsid w:val="00F305BA"/>
    <w:rsid w:val="00F30876"/>
    <w:rsid w:val="00F30C29"/>
    <w:rsid w:val="00F30C33"/>
    <w:rsid w:val="00F30C3F"/>
    <w:rsid w:val="00F31300"/>
    <w:rsid w:val="00F314B8"/>
    <w:rsid w:val="00F314C6"/>
    <w:rsid w:val="00F31587"/>
    <w:rsid w:val="00F315B1"/>
    <w:rsid w:val="00F31C7A"/>
    <w:rsid w:val="00F31DC5"/>
    <w:rsid w:val="00F32105"/>
    <w:rsid w:val="00F3218D"/>
    <w:rsid w:val="00F321A5"/>
    <w:rsid w:val="00F32290"/>
    <w:rsid w:val="00F3265F"/>
    <w:rsid w:val="00F32731"/>
    <w:rsid w:val="00F32757"/>
    <w:rsid w:val="00F32B60"/>
    <w:rsid w:val="00F32BA1"/>
    <w:rsid w:val="00F32C71"/>
    <w:rsid w:val="00F32D58"/>
    <w:rsid w:val="00F32D82"/>
    <w:rsid w:val="00F32E1A"/>
    <w:rsid w:val="00F33010"/>
    <w:rsid w:val="00F3301E"/>
    <w:rsid w:val="00F330C1"/>
    <w:rsid w:val="00F33137"/>
    <w:rsid w:val="00F338D8"/>
    <w:rsid w:val="00F339FD"/>
    <w:rsid w:val="00F33B70"/>
    <w:rsid w:val="00F3418D"/>
    <w:rsid w:val="00F34268"/>
    <w:rsid w:val="00F342CA"/>
    <w:rsid w:val="00F345BE"/>
    <w:rsid w:val="00F346C8"/>
    <w:rsid w:val="00F347AA"/>
    <w:rsid w:val="00F347CB"/>
    <w:rsid w:val="00F34989"/>
    <w:rsid w:val="00F349DB"/>
    <w:rsid w:val="00F34A19"/>
    <w:rsid w:val="00F34E53"/>
    <w:rsid w:val="00F3537A"/>
    <w:rsid w:val="00F355F0"/>
    <w:rsid w:val="00F35699"/>
    <w:rsid w:val="00F35A6F"/>
    <w:rsid w:val="00F35B93"/>
    <w:rsid w:val="00F35BA5"/>
    <w:rsid w:val="00F35CB9"/>
    <w:rsid w:val="00F360D2"/>
    <w:rsid w:val="00F368B5"/>
    <w:rsid w:val="00F368F1"/>
    <w:rsid w:val="00F369BF"/>
    <w:rsid w:val="00F36B07"/>
    <w:rsid w:val="00F36D39"/>
    <w:rsid w:val="00F36DDB"/>
    <w:rsid w:val="00F36F73"/>
    <w:rsid w:val="00F370A1"/>
    <w:rsid w:val="00F372AE"/>
    <w:rsid w:val="00F37793"/>
    <w:rsid w:val="00F3779A"/>
    <w:rsid w:val="00F37925"/>
    <w:rsid w:val="00F37A0D"/>
    <w:rsid w:val="00F37CA9"/>
    <w:rsid w:val="00F37DA1"/>
    <w:rsid w:val="00F37EDD"/>
    <w:rsid w:val="00F37EFE"/>
    <w:rsid w:val="00F38FA2"/>
    <w:rsid w:val="00F4008D"/>
    <w:rsid w:val="00F4010A"/>
    <w:rsid w:val="00F401F5"/>
    <w:rsid w:val="00F4020A"/>
    <w:rsid w:val="00F40247"/>
    <w:rsid w:val="00F4031D"/>
    <w:rsid w:val="00F4040F"/>
    <w:rsid w:val="00F4049F"/>
    <w:rsid w:val="00F407BC"/>
    <w:rsid w:val="00F409F9"/>
    <w:rsid w:val="00F40C6B"/>
    <w:rsid w:val="00F40E0D"/>
    <w:rsid w:val="00F40E8D"/>
    <w:rsid w:val="00F41202"/>
    <w:rsid w:val="00F4125A"/>
    <w:rsid w:val="00F412FC"/>
    <w:rsid w:val="00F41486"/>
    <w:rsid w:val="00F417A6"/>
    <w:rsid w:val="00F41C66"/>
    <w:rsid w:val="00F41D3F"/>
    <w:rsid w:val="00F41FAD"/>
    <w:rsid w:val="00F41FB0"/>
    <w:rsid w:val="00F42030"/>
    <w:rsid w:val="00F42179"/>
    <w:rsid w:val="00F423F1"/>
    <w:rsid w:val="00F42A9F"/>
    <w:rsid w:val="00F42BAD"/>
    <w:rsid w:val="00F42DE5"/>
    <w:rsid w:val="00F42DF1"/>
    <w:rsid w:val="00F42F17"/>
    <w:rsid w:val="00F43061"/>
    <w:rsid w:val="00F43148"/>
    <w:rsid w:val="00F434DE"/>
    <w:rsid w:val="00F43539"/>
    <w:rsid w:val="00F4359F"/>
    <w:rsid w:val="00F436AE"/>
    <w:rsid w:val="00F4381E"/>
    <w:rsid w:val="00F43F99"/>
    <w:rsid w:val="00F44310"/>
    <w:rsid w:val="00F447A3"/>
    <w:rsid w:val="00F4491D"/>
    <w:rsid w:val="00F44B8B"/>
    <w:rsid w:val="00F44CC6"/>
    <w:rsid w:val="00F44D8C"/>
    <w:rsid w:val="00F45208"/>
    <w:rsid w:val="00F45286"/>
    <w:rsid w:val="00F452F3"/>
    <w:rsid w:val="00F45401"/>
    <w:rsid w:val="00F45588"/>
    <w:rsid w:val="00F45925"/>
    <w:rsid w:val="00F459B6"/>
    <w:rsid w:val="00F45AF4"/>
    <w:rsid w:val="00F45CDC"/>
    <w:rsid w:val="00F45E31"/>
    <w:rsid w:val="00F45F07"/>
    <w:rsid w:val="00F45F0E"/>
    <w:rsid w:val="00F46107"/>
    <w:rsid w:val="00F46261"/>
    <w:rsid w:val="00F462C7"/>
    <w:rsid w:val="00F463C5"/>
    <w:rsid w:val="00F46477"/>
    <w:rsid w:val="00F465F6"/>
    <w:rsid w:val="00F467EC"/>
    <w:rsid w:val="00F46A35"/>
    <w:rsid w:val="00F46D32"/>
    <w:rsid w:val="00F46DD9"/>
    <w:rsid w:val="00F47027"/>
    <w:rsid w:val="00F4710E"/>
    <w:rsid w:val="00F4737A"/>
    <w:rsid w:val="00F4737E"/>
    <w:rsid w:val="00F473B2"/>
    <w:rsid w:val="00F474D7"/>
    <w:rsid w:val="00F47589"/>
    <w:rsid w:val="00F477C2"/>
    <w:rsid w:val="00F478A6"/>
    <w:rsid w:val="00F47FD2"/>
    <w:rsid w:val="00F50404"/>
    <w:rsid w:val="00F505A6"/>
    <w:rsid w:val="00F50833"/>
    <w:rsid w:val="00F50AF1"/>
    <w:rsid w:val="00F50DB2"/>
    <w:rsid w:val="00F511ED"/>
    <w:rsid w:val="00F51A72"/>
    <w:rsid w:val="00F51B1C"/>
    <w:rsid w:val="00F51CD1"/>
    <w:rsid w:val="00F52095"/>
    <w:rsid w:val="00F523BD"/>
    <w:rsid w:val="00F525DE"/>
    <w:rsid w:val="00F52BBE"/>
    <w:rsid w:val="00F52D97"/>
    <w:rsid w:val="00F52E9E"/>
    <w:rsid w:val="00F531FD"/>
    <w:rsid w:val="00F53281"/>
    <w:rsid w:val="00F53721"/>
    <w:rsid w:val="00F53735"/>
    <w:rsid w:val="00F537E0"/>
    <w:rsid w:val="00F53908"/>
    <w:rsid w:val="00F53D5B"/>
    <w:rsid w:val="00F53D6F"/>
    <w:rsid w:val="00F53F96"/>
    <w:rsid w:val="00F542A6"/>
    <w:rsid w:val="00F542C7"/>
    <w:rsid w:val="00F54A2D"/>
    <w:rsid w:val="00F54A8D"/>
    <w:rsid w:val="00F54CA0"/>
    <w:rsid w:val="00F54D05"/>
    <w:rsid w:val="00F551BB"/>
    <w:rsid w:val="00F5520D"/>
    <w:rsid w:val="00F55275"/>
    <w:rsid w:val="00F5527B"/>
    <w:rsid w:val="00F5588B"/>
    <w:rsid w:val="00F55A55"/>
    <w:rsid w:val="00F55A84"/>
    <w:rsid w:val="00F55B58"/>
    <w:rsid w:val="00F55DDC"/>
    <w:rsid w:val="00F55EC8"/>
    <w:rsid w:val="00F55F72"/>
    <w:rsid w:val="00F5647D"/>
    <w:rsid w:val="00F5656A"/>
    <w:rsid w:val="00F5676A"/>
    <w:rsid w:val="00F5688B"/>
    <w:rsid w:val="00F56D1A"/>
    <w:rsid w:val="00F56D25"/>
    <w:rsid w:val="00F56D5D"/>
    <w:rsid w:val="00F56F06"/>
    <w:rsid w:val="00F56FDD"/>
    <w:rsid w:val="00F57090"/>
    <w:rsid w:val="00F57243"/>
    <w:rsid w:val="00F5732A"/>
    <w:rsid w:val="00F57613"/>
    <w:rsid w:val="00F5767B"/>
    <w:rsid w:val="00F578AF"/>
    <w:rsid w:val="00F57A3B"/>
    <w:rsid w:val="00F57C36"/>
    <w:rsid w:val="00F57E6F"/>
    <w:rsid w:val="00F57F55"/>
    <w:rsid w:val="00F57F6A"/>
    <w:rsid w:val="00F6012F"/>
    <w:rsid w:val="00F602B7"/>
    <w:rsid w:val="00F60373"/>
    <w:rsid w:val="00F603FB"/>
    <w:rsid w:val="00F60BCA"/>
    <w:rsid w:val="00F60CBF"/>
    <w:rsid w:val="00F60DAD"/>
    <w:rsid w:val="00F60E3B"/>
    <w:rsid w:val="00F60E82"/>
    <w:rsid w:val="00F60F30"/>
    <w:rsid w:val="00F61537"/>
    <w:rsid w:val="00F6158F"/>
    <w:rsid w:val="00F615CF"/>
    <w:rsid w:val="00F61693"/>
    <w:rsid w:val="00F61867"/>
    <w:rsid w:val="00F61A49"/>
    <w:rsid w:val="00F61FA8"/>
    <w:rsid w:val="00F622A3"/>
    <w:rsid w:val="00F62468"/>
    <w:rsid w:val="00F62634"/>
    <w:rsid w:val="00F626AA"/>
    <w:rsid w:val="00F62AB0"/>
    <w:rsid w:val="00F62B3C"/>
    <w:rsid w:val="00F62DAE"/>
    <w:rsid w:val="00F62EA5"/>
    <w:rsid w:val="00F6315F"/>
    <w:rsid w:val="00F632F6"/>
    <w:rsid w:val="00F6346C"/>
    <w:rsid w:val="00F63581"/>
    <w:rsid w:val="00F635AF"/>
    <w:rsid w:val="00F63782"/>
    <w:rsid w:val="00F637FC"/>
    <w:rsid w:val="00F63AA0"/>
    <w:rsid w:val="00F63B0A"/>
    <w:rsid w:val="00F63B71"/>
    <w:rsid w:val="00F63CBC"/>
    <w:rsid w:val="00F63EAF"/>
    <w:rsid w:val="00F63EFF"/>
    <w:rsid w:val="00F63F39"/>
    <w:rsid w:val="00F641B6"/>
    <w:rsid w:val="00F641CC"/>
    <w:rsid w:val="00F642BE"/>
    <w:rsid w:val="00F642DF"/>
    <w:rsid w:val="00F6434C"/>
    <w:rsid w:val="00F6477B"/>
    <w:rsid w:val="00F6481D"/>
    <w:rsid w:val="00F6485B"/>
    <w:rsid w:val="00F648C5"/>
    <w:rsid w:val="00F64957"/>
    <w:rsid w:val="00F64D14"/>
    <w:rsid w:val="00F64E77"/>
    <w:rsid w:val="00F64ECC"/>
    <w:rsid w:val="00F64FA1"/>
    <w:rsid w:val="00F64FD9"/>
    <w:rsid w:val="00F65093"/>
    <w:rsid w:val="00F65167"/>
    <w:rsid w:val="00F651A5"/>
    <w:rsid w:val="00F656CA"/>
    <w:rsid w:val="00F657D1"/>
    <w:rsid w:val="00F659C6"/>
    <w:rsid w:val="00F65A3C"/>
    <w:rsid w:val="00F65CE1"/>
    <w:rsid w:val="00F65F16"/>
    <w:rsid w:val="00F66316"/>
    <w:rsid w:val="00F6646C"/>
    <w:rsid w:val="00F66642"/>
    <w:rsid w:val="00F666B9"/>
    <w:rsid w:val="00F6671C"/>
    <w:rsid w:val="00F66BA1"/>
    <w:rsid w:val="00F674C8"/>
    <w:rsid w:val="00F67525"/>
    <w:rsid w:val="00F6757D"/>
    <w:rsid w:val="00F6770C"/>
    <w:rsid w:val="00F67875"/>
    <w:rsid w:val="00F67C93"/>
    <w:rsid w:val="00F702A4"/>
    <w:rsid w:val="00F7030A"/>
    <w:rsid w:val="00F70347"/>
    <w:rsid w:val="00F70A85"/>
    <w:rsid w:val="00F70AD8"/>
    <w:rsid w:val="00F70D99"/>
    <w:rsid w:val="00F71440"/>
    <w:rsid w:val="00F714A4"/>
    <w:rsid w:val="00F71523"/>
    <w:rsid w:val="00F715E1"/>
    <w:rsid w:val="00F717C5"/>
    <w:rsid w:val="00F71893"/>
    <w:rsid w:val="00F71A2B"/>
    <w:rsid w:val="00F71B11"/>
    <w:rsid w:val="00F71C28"/>
    <w:rsid w:val="00F71D1E"/>
    <w:rsid w:val="00F71F15"/>
    <w:rsid w:val="00F71F89"/>
    <w:rsid w:val="00F71FBA"/>
    <w:rsid w:val="00F72343"/>
    <w:rsid w:val="00F7247A"/>
    <w:rsid w:val="00F72507"/>
    <w:rsid w:val="00F72C51"/>
    <w:rsid w:val="00F72DFF"/>
    <w:rsid w:val="00F72E16"/>
    <w:rsid w:val="00F72FC3"/>
    <w:rsid w:val="00F72FCC"/>
    <w:rsid w:val="00F73018"/>
    <w:rsid w:val="00F73073"/>
    <w:rsid w:val="00F73264"/>
    <w:rsid w:val="00F7337D"/>
    <w:rsid w:val="00F736BE"/>
    <w:rsid w:val="00F736D8"/>
    <w:rsid w:val="00F738D7"/>
    <w:rsid w:val="00F73AB6"/>
    <w:rsid w:val="00F73E55"/>
    <w:rsid w:val="00F73FF1"/>
    <w:rsid w:val="00F7424A"/>
    <w:rsid w:val="00F742C5"/>
    <w:rsid w:val="00F749DF"/>
    <w:rsid w:val="00F74A54"/>
    <w:rsid w:val="00F74B33"/>
    <w:rsid w:val="00F74B68"/>
    <w:rsid w:val="00F74BCD"/>
    <w:rsid w:val="00F74C0E"/>
    <w:rsid w:val="00F74CA7"/>
    <w:rsid w:val="00F756E7"/>
    <w:rsid w:val="00F75854"/>
    <w:rsid w:val="00F75C81"/>
    <w:rsid w:val="00F75D73"/>
    <w:rsid w:val="00F75DC4"/>
    <w:rsid w:val="00F75E36"/>
    <w:rsid w:val="00F75E7C"/>
    <w:rsid w:val="00F75FAE"/>
    <w:rsid w:val="00F75FDA"/>
    <w:rsid w:val="00F7603A"/>
    <w:rsid w:val="00F760B1"/>
    <w:rsid w:val="00F76267"/>
    <w:rsid w:val="00F76A26"/>
    <w:rsid w:val="00F76C8B"/>
    <w:rsid w:val="00F76CEE"/>
    <w:rsid w:val="00F76D16"/>
    <w:rsid w:val="00F76E06"/>
    <w:rsid w:val="00F76F95"/>
    <w:rsid w:val="00F776A4"/>
    <w:rsid w:val="00F778C2"/>
    <w:rsid w:val="00F77B04"/>
    <w:rsid w:val="00F77BA8"/>
    <w:rsid w:val="00F77BDF"/>
    <w:rsid w:val="00F77E34"/>
    <w:rsid w:val="00F7CDC2"/>
    <w:rsid w:val="00F7D5EC"/>
    <w:rsid w:val="00F801AE"/>
    <w:rsid w:val="00F8028D"/>
    <w:rsid w:val="00F8048D"/>
    <w:rsid w:val="00F80516"/>
    <w:rsid w:val="00F8127D"/>
    <w:rsid w:val="00F81331"/>
    <w:rsid w:val="00F81355"/>
    <w:rsid w:val="00F81A2A"/>
    <w:rsid w:val="00F82215"/>
    <w:rsid w:val="00F8236E"/>
    <w:rsid w:val="00F8241E"/>
    <w:rsid w:val="00F82823"/>
    <w:rsid w:val="00F82920"/>
    <w:rsid w:val="00F82A14"/>
    <w:rsid w:val="00F82A71"/>
    <w:rsid w:val="00F82B34"/>
    <w:rsid w:val="00F82BE0"/>
    <w:rsid w:val="00F82CDA"/>
    <w:rsid w:val="00F82CE7"/>
    <w:rsid w:val="00F82E2C"/>
    <w:rsid w:val="00F82E7A"/>
    <w:rsid w:val="00F830EF"/>
    <w:rsid w:val="00F834D8"/>
    <w:rsid w:val="00F834DF"/>
    <w:rsid w:val="00F83547"/>
    <w:rsid w:val="00F83608"/>
    <w:rsid w:val="00F836C7"/>
    <w:rsid w:val="00F838C4"/>
    <w:rsid w:val="00F8391C"/>
    <w:rsid w:val="00F8396B"/>
    <w:rsid w:val="00F83C9A"/>
    <w:rsid w:val="00F84043"/>
    <w:rsid w:val="00F8406A"/>
    <w:rsid w:val="00F84528"/>
    <w:rsid w:val="00F845DB"/>
    <w:rsid w:val="00F846C9"/>
    <w:rsid w:val="00F84863"/>
    <w:rsid w:val="00F84EE2"/>
    <w:rsid w:val="00F852A8"/>
    <w:rsid w:val="00F857B7"/>
    <w:rsid w:val="00F857C6"/>
    <w:rsid w:val="00F8584D"/>
    <w:rsid w:val="00F85C2F"/>
    <w:rsid w:val="00F85D9E"/>
    <w:rsid w:val="00F85E56"/>
    <w:rsid w:val="00F865A5"/>
    <w:rsid w:val="00F86631"/>
    <w:rsid w:val="00F867AC"/>
    <w:rsid w:val="00F86AC6"/>
    <w:rsid w:val="00F86D60"/>
    <w:rsid w:val="00F86EE5"/>
    <w:rsid w:val="00F87403"/>
    <w:rsid w:val="00F87495"/>
    <w:rsid w:val="00F875A8"/>
    <w:rsid w:val="00F875CC"/>
    <w:rsid w:val="00F8762C"/>
    <w:rsid w:val="00F8769A"/>
    <w:rsid w:val="00F87746"/>
    <w:rsid w:val="00F8789A"/>
    <w:rsid w:val="00F879E0"/>
    <w:rsid w:val="00F87AAE"/>
    <w:rsid w:val="00F87C97"/>
    <w:rsid w:val="00F87D72"/>
    <w:rsid w:val="00F900D1"/>
    <w:rsid w:val="00F90109"/>
    <w:rsid w:val="00F902E4"/>
    <w:rsid w:val="00F902F3"/>
    <w:rsid w:val="00F90769"/>
    <w:rsid w:val="00F90797"/>
    <w:rsid w:val="00F90C2D"/>
    <w:rsid w:val="00F90C99"/>
    <w:rsid w:val="00F90EFC"/>
    <w:rsid w:val="00F90F3E"/>
    <w:rsid w:val="00F90FF4"/>
    <w:rsid w:val="00F9136F"/>
    <w:rsid w:val="00F9161F"/>
    <w:rsid w:val="00F91701"/>
    <w:rsid w:val="00F9185B"/>
    <w:rsid w:val="00F91A31"/>
    <w:rsid w:val="00F91A50"/>
    <w:rsid w:val="00F91A73"/>
    <w:rsid w:val="00F91AA6"/>
    <w:rsid w:val="00F91ACD"/>
    <w:rsid w:val="00F91CDF"/>
    <w:rsid w:val="00F91D07"/>
    <w:rsid w:val="00F91E44"/>
    <w:rsid w:val="00F9218A"/>
    <w:rsid w:val="00F92B54"/>
    <w:rsid w:val="00F92C67"/>
    <w:rsid w:val="00F92D3A"/>
    <w:rsid w:val="00F92D94"/>
    <w:rsid w:val="00F92E93"/>
    <w:rsid w:val="00F9361B"/>
    <w:rsid w:val="00F93664"/>
    <w:rsid w:val="00F93879"/>
    <w:rsid w:val="00F93AFB"/>
    <w:rsid w:val="00F93BA5"/>
    <w:rsid w:val="00F94219"/>
    <w:rsid w:val="00F943B8"/>
    <w:rsid w:val="00F94440"/>
    <w:rsid w:val="00F94B92"/>
    <w:rsid w:val="00F94B96"/>
    <w:rsid w:val="00F94BBC"/>
    <w:rsid w:val="00F94F50"/>
    <w:rsid w:val="00F9519E"/>
    <w:rsid w:val="00F95447"/>
    <w:rsid w:val="00F9556F"/>
    <w:rsid w:val="00F95705"/>
    <w:rsid w:val="00F95BE8"/>
    <w:rsid w:val="00F95CBD"/>
    <w:rsid w:val="00F95DEA"/>
    <w:rsid w:val="00F95E75"/>
    <w:rsid w:val="00F96215"/>
    <w:rsid w:val="00F96240"/>
    <w:rsid w:val="00F962FC"/>
    <w:rsid w:val="00F9636A"/>
    <w:rsid w:val="00F9645A"/>
    <w:rsid w:val="00F968A6"/>
    <w:rsid w:val="00F96916"/>
    <w:rsid w:val="00F96975"/>
    <w:rsid w:val="00F969EA"/>
    <w:rsid w:val="00F96C28"/>
    <w:rsid w:val="00F96DEF"/>
    <w:rsid w:val="00F974A2"/>
    <w:rsid w:val="00F9774B"/>
    <w:rsid w:val="00F9776B"/>
    <w:rsid w:val="00F97776"/>
    <w:rsid w:val="00F979D3"/>
    <w:rsid w:val="00F97A61"/>
    <w:rsid w:val="00FA002E"/>
    <w:rsid w:val="00FA08F5"/>
    <w:rsid w:val="00FA09C4"/>
    <w:rsid w:val="00FA0F01"/>
    <w:rsid w:val="00FA1145"/>
    <w:rsid w:val="00FA11B5"/>
    <w:rsid w:val="00FA1542"/>
    <w:rsid w:val="00FA15AF"/>
    <w:rsid w:val="00FA1865"/>
    <w:rsid w:val="00FA1A76"/>
    <w:rsid w:val="00FA1E95"/>
    <w:rsid w:val="00FA211E"/>
    <w:rsid w:val="00FA214F"/>
    <w:rsid w:val="00FA21E5"/>
    <w:rsid w:val="00FA22F6"/>
    <w:rsid w:val="00FA25D3"/>
    <w:rsid w:val="00FA25F6"/>
    <w:rsid w:val="00FA2735"/>
    <w:rsid w:val="00FA2A55"/>
    <w:rsid w:val="00FA2AC6"/>
    <w:rsid w:val="00FA2C6E"/>
    <w:rsid w:val="00FA2D61"/>
    <w:rsid w:val="00FA2DBF"/>
    <w:rsid w:val="00FA2E0F"/>
    <w:rsid w:val="00FA2EB1"/>
    <w:rsid w:val="00FA2F46"/>
    <w:rsid w:val="00FA3009"/>
    <w:rsid w:val="00FA30AC"/>
    <w:rsid w:val="00FA33EB"/>
    <w:rsid w:val="00FA3517"/>
    <w:rsid w:val="00FA37B6"/>
    <w:rsid w:val="00FA3927"/>
    <w:rsid w:val="00FA3931"/>
    <w:rsid w:val="00FA4281"/>
    <w:rsid w:val="00FA42C0"/>
    <w:rsid w:val="00FA46A9"/>
    <w:rsid w:val="00FA485E"/>
    <w:rsid w:val="00FA4C95"/>
    <w:rsid w:val="00FA4DAD"/>
    <w:rsid w:val="00FA4F02"/>
    <w:rsid w:val="00FA5821"/>
    <w:rsid w:val="00FA5B25"/>
    <w:rsid w:val="00FA5C2F"/>
    <w:rsid w:val="00FA5D84"/>
    <w:rsid w:val="00FA5F56"/>
    <w:rsid w:val="00FA5FAF"/>
    <w:rsid w:val="00FA6097"/>
    <w:rsid w:val="00FA60B8"/>
    <w:rsid w:val="00FA662D"/>
    <w:rsid w:val="00FA6646"/>
    <w:rsid w:val="00FA669F"/>
    <w:rsid w:val="00FA689B"/>
    <w:rsid w:val="00FA6D5C"/>
    <w:rsid w:val="00FA6EDC"/>
    <w:rsid w:val="00FA6F9F"/>
    <w:rsid w:val="00FA6FC8"/>
    <w:rsid w:val="00FA6FF3"/>
    <w:rsid w:val="00FA719D"/>
    <w:rsid w:val="00FA7315"/>
    <w:rsid w:val="00FA7381"/>
    <w:rsid w:val="00FA7418"/>
    <w:rsid w:val="00FA762C"/>
    <w:rsid w:val="00FA785D"/>
    <w:rsid w:val="00FA796A"/>
    <w:rsid w:val="00FA7BC0"/>
    <w:rsid w:val="00FA7DFD"/>
    <w:rsid w:val="00FB02B5"/>
    <w:rsid w:val="00FB04CA"/>
    <w:rsid w:val="00FB07BD"/>
    <w:rsid w:val="00FB0977"/>
    <w:rsid w:val="00FB0AA5"/>
    <w:rsid w:val="00FB0DFA"/>
    <w:rsid w:val="00FB0E15"/>
    <w:rsid w:val="00FB10A6"/>
    <w:rsid w:val="00FB14C2"/>
    <w:rsid w:val="00FB1753"/>
    <w:rsid w:val="00FB1847"/>
    <w:rsid w:val="00FB1BB3"/>
    <w:rsid w:val="00FB1C96"/>
    <w:rsid w:val="00FB1D73"/>
    <w:rsid w:val="00FB1F70"/>
    <w:rsid w:val="00FB1FF3"/>
    <w:rsid w:val="00FB223E"/>
    <w:rsid w:val="00FB2255"/>
    <w:rsid w:val="00FB235D"/>
    <w:rsid w:val="00FB25B9"/>
    <w:rsid w:val="00FB2B2E"/>
    <w:rsid w:val="00FB2CEA"/>
    <w:rsid w:val="00FB2D7E"/>
    <w:rsid w:val="00FB2E62"/>
    <w:rsid w:val="00FB2FD0"/>
    <w:rsid w:val="00FB3371"/>
    <w:rsid w:val="00FB34B9"/>
    <w:rsid w:val="00FB36E1"/>
    <w:rsid w:val="00FB3F93"/>
    <w:rsid w:val="00FB427A"/>
    <w:rsid w:val="00FB44C6"/>
    <w:rsid w:val="00FB454F"/>
    <w:rsid w:val="00FB4CF8"/>
    <w:rsid w:val="00FB516A"/>
    <w:rsid w:val="00FB5209"/>
    <w:rsid w:val="00FB520E"/>
    <w:rsid w:val="00FB53C0"/>
    <w:rsid w:val="00FB5829"/>
    <w:rsid w:val="00FB59FF"/>
    <w:rsid w:val="00FB5A96"/>
    <w:rsid w:val="00FB5AD5"/>
    <w:rsid w:val="00FB5AE4"/>
    <w:rsid w:val="00FB676A"/>
    <w:rsid w:val="00FB6771"/>
    <w:rsid w:val="00FB6972"/>
    <w:rsid w:val="00FB69E2"/>
    <w:rsid w:val="00FB6B58"/>
    <w:rsid w:val="00FB6BF4"/>
    <w:rsid w:val="00FB6C32"/>
    <w:rsid w:val="00FB6E24"/>
    <w:rsid w:val="00FB72F7"/>
    <w:rsid w:val="00FB7340"/>
    <w:rsid w:val="00FB76BE"/>
    <w:rsid w:val="00FB770B"/>
    <w:rsid w:val="00FB7726"/>
    <w:rsid w:val="00FB77FA"/>
    <w:rsid w:val="00FB7AE9"/>
    <w:rsid w:val="00FB7B5F"/>
    <w:rsid w:val="00FB7D27"/>
    <w:rsid w:val="00FB7D94"/>
    <w:rsid w:val="00FB7F8B"/>
    <w:rsid w:val="00FB7FCC"/>
    <w:rsid w:val="00FC02C7"/>
    <w:rsid w:val="00FC049C"/>
    <w:rsid w:val="00FC065E"/>
    <w:rsid w:val="00FC071D"/>
    <w:rsid w:val="00FC0F1E"/>
    <w:rsid w:val="00FC0FBC"/>
    <w:rsid w:val="00FC104C"/>
    <w:rsid w:val="00FC1086"/>
    <w:rsid w:val="00FC127B"/>
    <w:rsid w:val="00FC1451"/>
    <w:rsid w:val="00FC17E0"/>
    <w:rsid w:val="00FC1D8C"/>
    <w:rsid w:val="00FC2A07"/>
    <w:rsid w:val="00FC2B8A"/>
    <w:rsid w:val="00FC2D54"/>
    <w:rsid w:val="00FC2DB7"/>
    <w:rsid w:val="00FC2FAB"/>
    <w:rsid w:val="00FC3181"/>
    <w:rsid w:val="00FC34B0"/>
    <w:rsid w:val="00FC34CC"/>
    <w:rsid w:val="00FC3805"/>
    <w:rsid w:val="00FC3B55"/>
    <w:rsid w:val="00FC3D91"/>
    <w:rsid w:val="00FC410A"/>
    <w:rsid w:val="00FC4569"/>
    <w:rsid w:val="00FC473D"/>
    <w:rsid w:val="00FC49E5"/>
    <w:rsid w:val="00FC4C7C"/>
    <w:rsid w:val="00FC4CFC"/>
    <w:rsid w:val="00FC51F2"/>
    <w:rsid w:val="00FC53E6"/>
    <w:rsid w:val="00FC590E"/>
    <w:rsid w:val="00FC5A76"/>
    <w:rsid w:val="00FC5B88"/>
    <w:rsid w:val="00FC5FDE"/>
    <w:rsid w:val="00FC6011"/>
    <w:rsid w:val="00FC665C"/>
    <w:rsid w:val="00FC6727"/>
    <w:rsid w:val="00FC6964"/>
    <w:rsid w:val="00FC6AD6"/>
    <w:rsid w:val="00FC6ED2"/>
    <w:rsid w:val="00FC70FC"/>
    <w:rsid w:val="00FC73E4"/>
    <w:rsid w:val="00FC7467"/>
    <w:rsid w:val="00FC7478"/>
    <w:rsid w:val="00FC76E6"/>
    <w:rsid w:val="00FC7760"/>
    <w:rsid w:val="00FC7F0D"/>
    <w:rsid w:val="00FC7FDD"/>
    <w:rsid w:val="00FC8773"/>
    <w:rsid w:val="00FD0772"/>
    <w:rsid w:val="00FD082B"/>
    <w:rsid w:val="00FD0C35"/>
    <w:rsid w:val="00FD15CF"/>
    <w:rsid w:val="00FD17D4"/>
    <w:rsid w:val="00FD19BA"/>
    <w:rsid w:val="00FD1E30"/>
    <w:rsid w:val="00FD1E7A"/>
    <w:rsid w:val="00FD1F0A"/>
    <w:rsid w:val="00FD1F42"/>
    <w:rsid w:val="00FD20DF"/>
    <w:rsid w:val="00FD213A"/>
    <w:rsid w:val="00FD2492"/>
    <w:rsid w:val="00FD24B2"/>
    <w:rsid w:val="00FD2519"/>
    <w:rsid w:val="00FD2593"/>
    <w:rsid w:val="00FD2714"/>
    <w:rsid w:val="00FD2C1E"/>
    <w:rsid w:val="00FD2CE6"/>
    <w:rsid w:val="00FD2CF9"/>
    <w:rsid w:val="00FD333C"/>
    <w:rsid w:val="00FD33E3"/>
    <w:rsid w:val="00FD367E"/>
    <w:rsid w:val="00FD38AD"/>
    <w:rsid w:val="00FD39A7"/>
    <w:rsid w:val="00FD3A4E"/>
    <w:rsid w:val="00FD3A89"/>
    <w:rsid w:val="00FD3B58"/>
    <w:rsid w:val="00FD3B6D"/>
    <w:rsid w:val="00FD4019"/>
    <w:rsid w:val="00FD4028"/>
    <w:rsid w:val="00FD423D"/>
    <w:rsid w:val="00FD4376"/>
    <w:rsid w:val="00FD43C5"/>
    <w:rsid w:val="00FD4434"/>
    <w:rsid w:val="00FD465D"/>
    <w:rsid w:val="00FD48CC"/>
    <w:rsid w:val="00FD4B26"/>
    <w:rsid w:val="00FD4BCA"/>
    <w:rsid w:val="00FD4DE5"/>
    <w:rsid w:val="00FD5293"/>
    <w:rsid w:val="00FD5447"/>
    <w:rsid w:val="00FD5660"/>
    <w:rsid w:val="00FD58A4"/>
    <w:rsid w:val="00FD59CD"/>
    <w:rsid w:val="00FD59D1"/>
    <w:rsid w:val="00FD5ADE"/>
    <w:rsid w:val="00FD5DCC"/>
    <w:rsid w:val="00FD5E5F"/>
    <w:rsid w:val="00FD5EAC"/>
    <w:rsid w:val="00FD6487"/>
    <w:rsid w:val="00FD6606"/>
    <w:rsid w:val="00FD68A5"/>
    <w:rsid w:val="00FD6A40"/>
    <w:rsid w:val="00FD6A84"/>
    <w:rsid w:val="00FD6AE9"/>
    <w:rsid w:val="00FD6D5C"/>
    <w:rsid w:val="00FD6E91"/>
    <w:rsid w:val="00FD6F54"/>
    <w:rsid w:val="00FD7489"/>
    <w:rsid w:val="00FD7CEB"/>
    <w:rsid w:val="00FD7D4D"/>
    <w:rsid w:val="00FD7E12"/>
    <w:rsid w:val="00FD7FF4"/>
    <w:rsid w:val="00FD9558"/>
    <w:rsid w:val="00FE00CE"/>
    <w:rsid w:val="00FE028A"/>
    <w:rsid w:val="00FE0628"/>
    <w:rsid w:val="00FE087E"/>
    <w:rsid w:val="00FE0890"/>
    <w:rsid w:val="00FE0B3C"/>
    <w:rsid w:val="00FE0EA9"/>
    <w:rsid w:val="00FE0EDF"/>
    <w:rsid w:val="00FE0F42"/>
    <w:rsid w:val="00FE0F71"/>
    <w:rsid w:val="00FE0FD1"/>
    <w:rsid w:val="00FE103B"/>
    <w:rsid w:val="00FE113F"/>
    <w:rsid w:val="00FE11F4"/>
    <w:rsid w:val="00FE15BD"/>
    <w:rsid w:val="00FE15EB"/>
    <w:rsid w:val="00FE1AD7"/>
    <w:rsid w:val="00FE1B4D"/>
    <w:rsid w:val="00FE1C62"/>
    <w:rsid w:val="00FE205B"/>
    <w:rsid w:val="00FE23A8"/>
    <w:rsid w:val="00FE2467"/>
    <w:rsid w:val="00FE289E"/>
    <w:rsid w:val="00FE2DED"/>
    <w:rsid w:val="00FE2E51"/>
    <w:rsid w:val="00FE2F43"/>
    <w:rsid w:val="00FE3034"/>
    <w:rsid w:val="00FE3259"/>
    <w:rsid w:val="00FE382E"/>
    <w:rsid w:val="00FE3858"/>
    <w:rsid w:val="00FE39DB"/>
    <w:rsid w:val="00FE3B51"/>
    <w:rsid w:val="00FE415E"/>
    <w:rsid w:val="00FE4362"/>
    <w:rsid w:val="00FE4396"/>
    <w:rsid w:val="00FE4469"/>
    <w:rsid w:val="00FE4608"/>
    <w:rsid w:val="00FE470D"/>
    <w:rsid w:val="00FE4802"/>
    <w:rsid w:val="00FE4AD3"/>
    <w:rsid w:val="00FE4B1C"/>
    <w:rsid w:val="00FE4B9D"/>
    <w:rsid w:val="00FE514E"/>
    <w:rsid w:val="00FE5226"/>
    <w:rsid w:val="00FE533E"/>
    <w:rsid w:val="00FE54BA"/>
    <w:rsid w:val="00FE555A"/>
    <w:rsid w:val="00FE55BA"/>
    <w:rsid w:val="00FE567B"/>
    <w:rsid w:val="00FE5919"/>
    <w:rsid w:val="00FE5A46"/>
    <w:rsid w:val="00FE5C24"/>
    <w:rsid w:val="00FE5D17"/>
    <w:rsid w:val="00FE5E63"/>
    <w:rsid w:val="00FE5EED"/>
    <w:rsid w:val="00FE61FD"/>
    <w:rsid w:val="00FE68DC"/>
    <w:rsid w:val="00FE6968"/>
    <w:rsid w:val="00FE6A23"/>
    <w:rsid w:val="00FE6C79"/>
    <w:rsid w:val="00FE6CA1"/>
    <w:rsid w:val="00FE70BF"/>
    <w:rsid w:val="00FE72F4"/>
    <w:rsid w:val="00FE746C"/>
    <w:rsid w:val="00FE761D"/>
    <w:rsid w:val="00FE76BF"/>
    <w:rsid w:val="00FE770D"/>
    <w:rsid w:val="00FE7754"/>
    <w:rsid w:val="00FE7976"/>
    <w:rsid w:val="00FE7988"/>
    <w:rsid w:val="00FE79CC"/>
    <w:rsid w:val="00FE7B96"/>
    <w:rsid w:val="00FE7CF9"/>
    <w:rsid w:val="00FE7D4A"/>
    <w:rsid w:val="00FE7EA9"/>
    <w:rsid w:val="00FF07DA"/>
    <w:rsid w:val="00FF0D77"/>
    <w:rsid w:val="00FF1192"/>
    <w:rsid w:val="00FF1291"/>
    <w:rsid w:val="00FF14CA"/>
    <w:rsid w:val="00FF1657"/>
    <w:rsid w:val="00FF1A1B"/>
    <w:rsid w:val="00FF1ECA"/>
    <w:rsid w:val="00FF1FCD"/>
    <w:rsid w:val="00FF2019"/>
    <w:rsid w:val="00FF23C9"/>
    <w:rsid w:val="00FF24E4"/>
    <w:rsid w:val="00FF26B5"/>
    <w:rsid w:val="00FF26CF"/>
    <w:rsid w:val="00FF2717"/>
    <w:rsid w:val="00FF2772"/>
    <w:rsid w:val="00FF29A5"/>
    <w:rsid w:val="00FF2E88"/>
    <w:rsid w:val="00FF3149"/>
    <w:rsid w:val="00FF3483"/>
    <w:rsid w:val="00FF38DB"/>
    <w:rsid w:val="00FF3D1E"/>
    <w:rsid w:val="00FF3D55"/>
    <w:rsid w:val="00FF4041"/>
    <w:rsid w:val="00FF40E0"/>
    <w:rsid w:val="00FF4205"/>
    <w:rsid w:val="00FF429E"/>
    <w:rsid w:val="00FF42F4"/>
    <w:rsid w:val="00FF440A"/>
    <w:rsid w:val="00FF44FC"/>
    <w:rsid w:val="00FF46D2"/>
    <w:rsid w:val="00FF4852"/>
    <w:rsid w:val="00FF4A66"/>
    <w:rsid w:val="00FF4D83"/>
    <w:rsid w:val="00FF4F2C"/>
    <w:rsid w:val="00FF508C"/>
    <w:rsid w:val="00FF58AE"/>
    <w:rsid w:val="00FF5AC6"/>
    <w:rsid w:val="00FF5B64"/>
    <w:rsid w:val="00FF5B83"/>
    <w:rsid w:val="00FF5CCD"/>
    <w:rsid w:val="00FF5E80"/>
    <w:rsid w:val="00FF5F21"/>
    <w:rsid w:val="00FF5FC1"/>
    <w:rsid w:val="00FF609F"/>
    <w:rsid w:val="00FF6594"/>
    <w:rsid w:val="00FF6880"/>
    <w:rsid w:val="00FF6AB8"/>
    <w:rsid w:val="00FF6DDA"/>
    <w:rsid w:val="00FF6E26"/>
    <w:rsid w:val="00FF6EA1"/>
    <w:rsid w:val="00FF6F88"/>
    <w:rsid w:val="00FF7131"/>
    <w:rsid w:val="00FF73F5"/>
    <w:rsid w:val="00FF7571"/>
    <w:rsid w:val="00FF75EA"/>
    <w:rsid w:val="00FF77D0"/>
    <w:rsid w:val="00FF7A97"/>
    <w:rsid w:val="00FF7C95"/>
    <w:rsid w:val="00FF7D40"/>
    <w:rsid w:val="00FF7FDD"/>
    <w:rsid w:val="010008E4"/>
    <w:rsid w:val="0100E755"/>
    <w:rsid w:val="0101BD9F"/>
    <w:rsid w:val="01035A5F"/>
    <w:rsid w:val="0103D525"/>
    <w:rsid w:val="01040EF5"/>
    <w:rsid w:val="0104CF50"/>
    <w:rsid w:val="0106505D"/>
    <w:rsid w:val="01079261"/>
    <w:rsid w:val="0108EC7A"/>
    <w:rsid w:val="0109642E"/>
    <w:rsid w:val="010ACE5C"/>
    <w:rsid w:val="010E85F7"/>
    <w:rsid w:val="010FC842"/>
    <w:rsid w:val="01102FA0"/>
    <w:rsid w:val="01111F7E"/>
    <w:rsid w:val="011158D9"/>
    <w:rsid w:val="01119ECA"/>
    <w:rsid w:val="0111A608"/>
    <w:rsid w:val="01121447"/>
    <w:rsid w:val="01132560"/>
    <w:rsid w:val="01154026"/>
    <w:rsid w:val="01163291"/>
    <w:rsid w:val="01168D26"/>
    <w:rsid w:val="0116CD95"/>
    <w:rsid w:val="01179D2A"/>
    <w:rsid w:val="0117A77A"/>
    <w:rsid w:val="0117E697"/>
    <w:rsid w:val="0118487B"/>
    <w:rsid w:val="011AFF61"/>
    <w:rsid w:val="011B584B"/>
    <w:rsid w:val="011B98FF"/>
    <w:rsid w:val="011BB29D"/>
    <w:rsid w:val="011C7FA8"/>
    <w:rsid w:val="011D1148"/>
    <w:rsid w:val="011E054D"/>
    <w:rsid w:val="011EEBC9"/>
    <w:rsid w:val="011F2B8A"/>
    <w:rsid w:val="011F2E0A"/>
    <w:rsid w:val="011F89BA"/>
    <w:rsid w:val="01202DEE"/>
    <w:rsid w:val="012233C9"/>
    <w:rsid w:val="012416EF"/>
    <w:rsid w:val="01253186"/>
    <w:rsid w:val="01269EFF"/>
    <w:rsid w:val="0128178A"/>
    <w:rsid w:val="0128653D"/>
    <w:rsid w:val="012A64D9"/>
    <w:rsid w:val="012B3EC6"/>
    <w:rsid w:val="012B52FC"/>
    <w:rsid w:val="012D9AFE"/>
    <w:rsid w:val="012E0B07"/>
    <w:rsid w:val="01334E4C"/>
    <w:rsid w:val="01336815"/>
    <w:rsid w:val="013423C1"/>
    <w:rsid w:val="0135A9BF"/>
    <w:rsid w:val="0136756A"/>
    <w:rsid w:val="01385B6E"/>
    <w:rsid w:val="01386E6F"/>
    <w:rsid w:val="01396E3E"/>
    <w:rsid w:val="0139E86B"/>
    <w:rsid w:val="013C0727"/>
    <w:rsid w:val="013C3E85"/>
    <w:rsid w:val="013C4CCA"/>
    <w:rsid w:val="013C8C3B"/>
    <w:rsid w:val="013DBB18"/>
    <w:rsid w:val="013DD0F6"/>
    <w:rsid w:val="013FC5F9"/>
    <w:rsid w:val="0141B64C"/>
    <w:rsid w:val="0143EB8F"/>
    <w:rsid w:val="01453295"/>
    <w:rsid w:val="01453FDB"/>
    <w:rsid w:val="0145F0C0"/>
    <w:rsid w:val="0146B540"/>
    <w:rsid w:val="0147B34E"/>
    <w:rsid w:val="0149019B"/>
    <w:rsid w:val="01496007"/>
    <w:rsid w:val="014A587C"/>
    <w:rsid w:val="014ACD13"/>
    <w:rsid w:val="014B0538"/>
    <w:rsid w:val="014C1F50"/>
    <w:rsid w:val="014C72DC"/>
    <w:rsid w:val="014CD136"/>
    <w:rsid w:val="014CE312"/>
    <w:rsid w:val="014DB0CA"/>
    <w:rsid w:val="014DCD75"/>
    <w:rsid w:val="014E6C15"/>
    <w:rsid w:val="014EEB21"/>
    <w:rsid w:val="014FF22C"/>
    <w:rsid w:val="0150C4FA"/>
    <w:rsid w:val="0150F80C"/>
    <w:rsid w:val="015320EB"/>
    <w:rsid w:val="01539C5F"/>
    <w:rsid w:val="0155BE5E"/>
    <w:rsid w:val="015ADD51"/>
    <w:rsid w:val="015AEFCA"/>
    <w:rsid w:val="015C4343"/>
    <w:rsid w:val="015C4B2F"/>
    <w:rsid w:val="015F5345"/>
    <w:rsid w:val="01601A0B"/>
    <w:rsid w:val="0161A082"/>
    <w:rsid w:val="01620F3E"/>
    <w:rsid w:val="016248F4"/>
    <w:rsid w:val="0162D6C2"/>
    <w:rsid w:val="01648463"/>
    <w:rsid w:val="0164B73D"/>
    <w:rsid w:val="0164CE02"/>
    <w:rsid w:val="01657C27"/>
    <w:rsid w:val="0168B4D8"/>
    <w:rsid w:val="0169522C"/>
    <w:rsid w:val="01697861"/>
    <w:rsid w:val="016AFD13"/>
    <w:rsid w:val="016B71B0"/>
    <w:rsid w:val="016C2927"/>
    <w:rsid w:val="016C5A7E"/>
    <w:rsid w:val="01707542"/>
    <w:rsid w:val="0171D57E"/>
    <w:rsid w:val="017348B4"/>
    <w:rsid w:val="0173519C"/>
    <w:rsid w:val="0174A587"/>
    <w:rsid w:val="0174D019"/>
    <w:rsid w:val="0175C16E"/>
    <w:rsid w:val="017629D3"/>
    <w:rsid w:val="01766E4D"/>
    <w:rsid w:val="0176ACA8"/>
    <w:rsid w:val="017BBEAE"/>
    <w:rsid w:val="017D4446"/>
    <w:rsid w:val="0180BD9C"/>
    <w:rsid w:val="0180C6E7"/>
    <w:rsid w:val="018457B7"/>
    <w:rsid w:val="0184DA00"/>
    <w:rsid w:val="01858BE6"/>
    <w:rsid w:val="0185BE8A"/>
    <w:rsid w:val="0185EDEA"/>
    <w:rsid w:val="01873F0B"/>
    <w:rsid w:val="01878F87"/>
    <w:rsid w:val="018872B8"/>
    <w:rsid w:val="0189D8D6"/>
    <w:rsid w:val="0189D986"/>
    <w:rsid w:val="018A2CA4"/>
    <w:rsid w:val="018B9D21"/>
    <w:rsid w:val="018C4104"/>
    <w:rsid w:val="018D4016"/>
    <w:rsid w:val="018E35F0"/>
    <w:rsid w:val="018EBF4C"/>
    <w:rsid w:val="018EFDA3"/>
    <w:rsid w:val="018F17EB"/>
    <w:rsid w:val="018FDBBF"/>
    <w:rsid w:val="019032E4"/>
    <w:rsid w:val="01911AEC"/>
    <w:rsid w:val="01965C14"/>
    <w:rsid w:val="01971277"/>
    <w:rsid w:val="019791DF"/>
    <w:rsid w:val="0197C089"/>
    <w:rsid w:val="019802A7"/>
    <w:rsid w:val="01982431"/>
    <w:rsid w:val="01992E98"/>
    <w:rsid w:val="0199BA0D"/>
    <w:rsid w:val="0199CBB7"/>
    <w:rsid w:val="019A51E3"/>
    <w:rsid w:val="019EEADF"/>
    <w:rsid w:val="019FAF26"/>
    <w:rsid w:val="019FBF77"/>
    <w:rsid w:val="01A01DCC"/>
    <w:rsid w:val="01A0AEAF"/>
    <w:rsid w:val="01A0D5ED"/>
    <w:rsid w:val="01A1B406"/>
    <w:rsid w:val="01A2E810"/>
    <w:rsid w:val="01A312E3"/>
    <w:rsid w:val="01A3B5B1"/>
    <w:rsid w:val="01A3EC26"/>
    <w:rsid w:val="01A5C959"/>
    <w:rsid w:val="01A62635"/>
    <w:rsid w:val="01A68C00"/>
    <w:rsid w:val="01A6C37F"/>
    <w:rsid w:val="01A6CCB4"/>
    <w:rsid w:val="01A84A42"/>
    <w:rsid w:val="01A870D5"/>
    <w:rsid w:val="01A8DB44"/>
    <w:rsid w:val="01A8F1B5"/>
    <w:rsid w:val="01A96F6E"/>
    <w:rsid w:val="01AAF9D4"/>
    <w:rsid w:val="01AF3D7A"/>
    <w:rsid w:val="01B0FBFD"/>
    <w:rsid w:val="01B276F3"/>
    <w:rsid w:val="01B2807C"/>
    <w:rsid w:val="01B5ECDF"/>
    <w:rsid w:val="01B9A983"/>
    <w:rsid w:val="01BA0816"/>
    <w:rsid w:val="01BA2EFC"/>
    <w:rsid w:val="01BD3B2B"/>
    <w:rsid w:val="01BDA58F"/>
    <w:rsid w:val="01BDC516"/>
    <w:rsid w:val="01BE358E"/>
    <w:rsid w:val="01BF6454"/>
    <w:rsid w:val="01C05DE2"/>
    <w:rsid w:val="01C16824"/>
    <w:rsid w:val="01C2023F"/>
    <w:rsid w:val="01C2DDE5"/>
    <w:rsid w:val="01C30B2C"/>
    <w:rsid w:val="01C34E5B"/>
    <w:rsid w:val="01C4E1EF"/>
    <w:rsid w:val="01C56597"/>
    <w:rsid w:val="01C65320"/>
    <w:rsid w:val="01C8AB27"/>
    <w:rsid w:val="01C9159D"/>
    <w:rsid w:val="01C956EC"/>
    <w:rsid w:val="01CAF094"/>
    <w:rsid w:val="01CBEB5F"/>
    <w:rsid w:val="01CF3FE4"/>
    <w:rsid w:val="01D0842D"/>
    <w:rsid w:val="01D0E968"/>
    <w:rsid w:val="01D1065D"/>
    <w:rsid w:val="01D36A34"/>
    <w:rsid w:val="01D4BE4F"/>
    <w:rsid w:val="01D61F55"/>
    <w:rsid w:val="01D62CD9"/>
    <w:rsid w:val="01D69555"/>
    <w:rsid w:val="01D6D587"/>
    <w:rsid w:val="01D79F07"/>
    <w:rsid w:val="01D9B08E"/>
    <w:rsid w:val="01DAA2E1"/>
    <w:rsid w:val="01DB0CE4"/>
    <w:rsid w:val="01DB635C"/>
    <w:rsid w:val="01DC1E8D"/>
    <w:rsid w:val="01DDAE0C"/>
    <w:rsid w:val="01DE6665"/>
    <w:rsid w:val="01DF62FF"/>
    <w:rsid w:val="01DFCB99"/>
    <w:rsid w:val="01E1E257"/>
    <w:rsid w:val="01E340F3"/>
    <w:rsid w:val="01E3D9F7"/>
    <w:rsid w:val="01E4598D"/>
    <w:rsid w:val="01E47817"/>
    <w:rsid w:val="01E4D824"/>
    <w:rsid w:val="01E5B76B"/>
    <w:rsid w:val="01E7309F"/>
    <w:rsid w:val="01E7426A"/>
    <w:rsid w:val="01E96B1B"/>
    <w:rsid w:val="01E992DF"/>
    <w:rsid w:val="01EAFDC9"/>
    <w:rsid w:val="01EC1803"/>
    <w:rsid w:val="01ECC67D"/>
    <w:rsid w:val="01ECDEE7"/>
    <w:rsid w:val="01ED19C5"/>
    <w:rsid w:val="01EEC4CC"/>
    <w:rsid w:val="01EF1A37"/>
    <w:rsid w:val="01EF3841"/>
    <w:rsid w:val="01EFB88E"/>
    <w:rsid w:val="01F03323"/>
    <w:rsid w:val="01F15906"/>
    <w:rsid w:val="01F15DBD"/>
    <w:rsid w:val="01F1E395"/>
    <w:rsid w:val="01F454D7"/>
    <w:rsid w:val="01F4B3BB"/>
    <w:rsid w:val="01F58A8D"/>
    <w:rsid w:val="01F779A3"/>
    <w:rsid w:val="01F8FD26"/>
    <w:rsid w:val="01FA13F4"/>
    <w:rsid w:val="01FC87B2"/>
    <w:rsid w:val="0200095B"/>
    <w:rsid w:val="02006ED7"/>
    <w:rsid w:val="0200A629"/>
    <w:rsid w:val="020175F6"/>
    <w:rsid w:val="0201B721"/>
    <w:rsid w:val="02023AAB"/>
    <w:rsid w:val="02026A60"/>
    <w:rsid w:val="020469C6"/>
    <w:rsid w:val="0204B94C"/>
    <w:rsid w:val="0205701B"/>
    <w:rsid w:val="02061D6F"/>
    <w:rsid w:val="0206BFF8"/>
    <w:rsid w:val="020710B2"/>
    <w:rsid w:val="0207C51D"/>
    <w:rsid w:val="0208447A"/>
    <w:rsid w:val="0209C1D4"/>
    <w:rsid w:val="020AC069"/>
    <w:rsid w:val="020C51ED"/>
    <w:rsid w:val="020C6CB7"/>
    <w:rsid w:val="0210A4A1"/>
    <w:rsid w:val="0215E917"/>
    <w:rsid w:val="02170D94"/>
    <w:rsid w:val="021A03DF"/>
    <w:rsid w:val="021AD037"/>
    <w:rsid w:val="021AE0B7"/>
    <w:rsid w:val="021B6C6B"/>
    <w:rsid w:val="021C0EB3"/>
    <w:rsid w:val="021C654E"/>
    <w:rsid w:val="021C696B"/>
    <w:rsid w:val="021D1964"/>
    <w:rsid w:val="021E5E01"/>
    <w:rsid w:val="021F0A3C"/>
    <w:rsid w:val="021F2CB5"/>
    <w:rsid w:val="021FBDE2"/>
    <w:rsid w:val="02207AF5"/>
    <w:rsid w:val="0221B35E"/>
    <w:rsid w:val="0223421F"/>
    <w:rsid w:val="0223CE41"/>
    <w:rsid w:val="0224B93D"/>
    <w:rsid w:val="022639EC"/>
    <w:rsid w:val="02268B90"/>
    <w:rsid w:val="0228536C"/>
    <w:rsid w:val="0228932F"/>
    <w:rsid w:val="0229DC0E"/>
    <w:rsid w:val="0229FC86"/>
    <w:rsid w:val="022A7E23"/>
    <w:rsid w:val="022B0E0F"/>
    <w:rsid w:val="022B7875"/>
    <w:rsid w:val="022BE08E"/>
    <w:rsid w:val="022D7D6F"/>
    <w:rsid w:val="022E9469"/>
    <w:rsid w:val="022EA535"/>
    <w:rsid w:val="022EDB47"/>
    <w:rsid w:val="022EEA63"/>
    <w:rsid w:val="0230909E"/>
    <w:rsid w:val="02313D33"/>
    <w:rsid w:val="02327174"/>
    <w:rsid w:val="023437F7"/>
    <w:rsid w:val="02343D97"/>
    <w:rsid w:val="0236A1CD"/>
    <w:rsid w:val="02370BAF"/>
    <w:rsid w:val="02376351"/>
    <w:rsid w:val="0237EC57"/>
    <w:rsid w:val="02391A79"/>
    <w:rsid w:val="023A0664"/>
    <w:rsid w:val="023A1B66"/>
    <w:rsid w:val="023A62FD"/>
    <w:rsid w:val="023B0EB0"/>
    <w:rsid w:val="023C48F2"/>
    <w:rsid w:val="023CD019"/>
    <w:rsid w:val="023D5A2E"/>
    <w:rsid w:val="023DA51F"/>
    <w:rsid w:val="023E773D"/>
    <w:rsid w:val="023EC939"/>
    <w:rsid w:val="023ED9AB"/>
    <w:rsid w:val="02404783"/>
    <w:rsid w:val="024461E5"/>
    <w:rsid w:val="02455057"/>
    <w:rsid w:val="0245C85F"/>
    <w:rsid w:val="02464B52"/>
    <w:rsid w:val="02469C10"/>
    <w:rsid w:val="02472712"/>
    <w:rsid w:val="02472B21"/>
    <w:rsid w:val="02486B46"/>
    <w:rsid w:val="0248C647"/>
    <w:rsid w:val="0248DAC7"/>
    <w:rsid w:val="0249767F"/>
    <w:rsid w:val="02499667"/>
    <w:rsid w:val="024ADC94"/>
    <w:rsid w:val="024BE1CF"/>
    <w:rsid w:val="024EC13F"/>
    <w:rsid w:val="025018D4"/>
    <w:rsid w:val="025052F7"/>
    <w:rsid w:val="02510DAE"/>
    <w:rsid w:val="0252E492"/>
    <w:rsid w:val="0253C4DB"/>
    <w:rsid w:val="02550A7C"/>
    <w:rsid w:val="0255B500"/>
    <w:rsid w:val="0255B581"/>
    <w:rsid w:val="0255FA91"/>
    <w:rsid w:val="0257E4B5"/>
    <w:rsid w:val="025855CC"/>
    <w:rsid w:val="0258B89B"/>
    <w:rsid w:val="0258C6CB"/>
    <w:rsid w:val="0258FF9D"/>
    <w:rsid w:val="0259CE49"/>
    <w:rsid w:val="025ABE0F"/>
    <w:rsid w:val="025C3A71"/>
    <w:rsid w:val="025D63EE"/>
    <w:rsid w:val="025D76CE"/>
    <w:rsid w:val="025DED9D"/>
    <w:rsid w:val="025E80F5"/>
    <w:rsid w:val="025F999E"/>
    <w:rsid w:val="0260990E"/>
    <w:rsid w:val="0262E099"/>
    <w:rsid w:val="02641E3E"/>
    <w:rsid w:val="0266DA6B"/>
    <w:rsid w:val="0267CE9D"/>
    <w:rsid w:val="02686938"/>
    <w:rsid w:val="0269F041"/>
    <w:rsid w:val="026A27CF"/>
    <w:rsid w:val="026AA52B"/>
    <w:rsid w:val="026ACB98"/>
    <w:rsid w:val="026B1D4F"/>
    <w:rsid w:val="026B34A7"/>
    <w:rsid w:val="026E1E28"/>
    <w:rsid w:val="026EC98D"/>
    <w:rsid w:val="026FBD8D"/>
    <w:rsid w:val="02702AFE"/>
    <w:rsid w:val="0270913A"/>
    <w:rsid w:val="0270F063"/>
    <w:rsid w:val="02718C0C"/>
    <w:rsid w:val="02723A99"/>
    <w:rsid w:val="0273A020"/>
    <w:rsid w:val="02745C4E"/>
    <w:rsid w:val="02769E30"/>
    <w:rsid w:val="0277C0EB"/>
    <w:rsid w:val="02785582"/>
    <w:rsid w:val="0279C5D1"/>
    <w:rsid w:val="0279DC84"/>
    <w:rsid w:val="027B2453"/>
    <w:rsid w:val="027D8C9A"/>
    <w:rsid w:val="027EA941"/>
    <w:rsid w:val="027FDD8A"/>
    <w:rsid w:val="0281AE06"/>
    <w:rsid w:val="02837B82"/>
    <w:rsid w:val="02844CBD"/>
    <w:rsid w:val="0284C9A6"/>
    <w:rsid w:val="02852E3B"/>
    <w:rsid w:val="02853487"/>
    <w:rsid w:val="02859CE8"/>
    <w:rsid w:val="0285DBCE"/>
    <w:rsid w:val="028898E8"/>
    <w:rsid w:val="0289AD18"/>
    <w:rsid w:val="0289B517"/>
    <w:rsid w:val="028A6A2B"/>
    <w:rsid w:val="028A7748"/>
    <w:rsid w:val="028BE860"/>
    <w:rsid w:val="028BF08F"/>
    <w:rsid w:val="028C9385"/>
    <w:rsid w:val="028CB6ED"/>
    <w:rsid w:val="028DB134"/>
    <w:rsid w:val="028F6924"/>
    <w:rsid w:val="028FA703"/>
    <w:rsid w:val="0291A6D0"/>
    <w:rsid w:val="0291B930"/>
    <w:rsid w:val="0291CC63"/>
    <w:rsid w:val="0291E404"/>
    <w:rsid w:val="029305BC"/>
    <w:rsid w:val="02933D85"/>
    <w:rsid w:val="0293BD9D"/>
    <w:rsid w:val="029451F4"/>
    <w:rsid w:val="029454B0"/>
    <w:rsid w:val="02968F7A"/>
    <w:rsid w:val="029AC1C0"/>
    <w:rsid w:val="029AF61A"/>
    <w:rsid w:val="029B19E2"/>
    <w:rsid w:val="029C8A4B"/>
    <w:rsid w:val="029C8F29"/>
    <w:rsid w:val="029C9691"/>
    <w:rsid w:val="029D011F"/>
    <w:rsid w:val="029D7CDC"/>
    <w:rsid w:val="029D917A"/>
    <w:rsid w:val="02A0D7B7"/>
    <w:rsid w:val="02A0F46F"/>
    <w:rsid w:val="02A10164"/>
    <w:rsid w:val="02A4CD73"/>
    <w:rsid w:val="02A64B1E"/>
    <w:rsid w:val="02A65717"/>
    <w:rsid w:val="02A6C1A1"/>
    <w:rsid w:val="02A80A59"/>
    <w:rsid w:val="02A83A15"/>
    <w:rsid w:val="02A9FF6D"/>
    <w:rsid w:val="02AA8005"/>
    <w:rsid w:val="02AAF629"/>
    <w:rsid w:val="02AB2534"/>
    <w:rsid w:val="02AC054B"/>
    <w:rsid w:val="02ADE11F"/>
    <w:rsid w:val="02AF0E3E"/>
    <w:rsid w:val="02AFA4C4"/>
    <w:rsid w:val="02B034D4"/>
    <w:rsid w:val="02B05FA8"/>
    <w:rsid w:val="02B07E09"/>
    <w:rsid w:val="02B08444"/>
    <w:rsid w:val="02B2FFC4"/>
    <w:rsid w:val="02B5DADD"/>
    <w:rsid w:val="02B79FF0"/>
    <w:rsid w:val="02B845A7"/>
    <w:rsid w:val="02B8DE27"/>
    <w:rsid w:val="02B8EB94"/>
    <w:rsid w:val="02B9C4BF"/>
    <w:rsid w:val="02BA9AD8"/>
    <w:rsid w:val="02BDE52F"/>
    <w:rsid w:val="02BE135D"/>
    <w:rsid w:val="02BEA383"/>
    <w:rsid w:val="02BF9987"/>
    <w:rsid w:val="02C37601"/>
    <w:rsid w:val="02C44E8D"/>
    <w:rsid w:val="02C4880A"/>
    <w:rsid w:val="02C4A395"/>
    <w:rsid w:val="02C5B053"/>
    <w:rsid w:val="02C634B2"/>
    <w:rsid w:val="02C85E68"/>
    <w:rsid w:val="02C9C8A6"/>
    <w:rsid w:val="02CCFA64"/>
    <w:rsid w:val="02CF0530"/>
    <w:rsid w:val="02CFFEB1"/>
    <w:rsid w:val="02D13EA6"/>
    <w:rsid w:val="02D1CB51"/>
    <w:rsid w:val="02D1DAE8"/>
    <w:rsid w:val="02D3B55B"/>
    <w:rsid w:val="02D5DA30"/>
    <w:rsid w:val="02D82B32"/>
    <w:rsid w:val="02D91570"/>
    <w:rsid w:val="02D93713"/>
    <w:rsid w:val="02D9BBBA"/>
    <w:rsid w:val="02DA69CB"/>
    <w:rsid w:val="02DB6373"/>
    <w:rsid w:val="02DBE491"/>
    <w:rsid w:val="02DC3E48"/>
    <w:rsid w:val="02DC8D0F"/>
    <w:rsid w:val="02DC94C1"/>
    <w:rsid w:val="02DCA512"/>
    <w:rsid w:val="02DE03A3"/>
    <w:rsid w:val="02DE48B7"/>
    <w:rsid w:val="02DFBA52"/>
    <w:rsid w:val="02DFBE5E"/>
    <w:rsid w:val="02E167FC"/>
    <w:rsid w:val="02E312AB"/>
    <w:rsid w:val="02E4A9D4"/>
    <w:rsid w:val="02E50E9C"/>
    <w:rsid w:val="02E5BCAC"/>
    <w:rsid w:val="02E5F2A8"/>
    <w:rsid w:val="02E690D1"/>
    <w:rsid w:val="02E7F4D1"/>
    <w:rsid w:val="02EAB2FA"/>
    <w:rsid w:val="02EBBCE5"/>
    <w:rsid w:val="02ECD4B2"/>
    <w:rsid w:val="02ED7649"/>
    <w:rsid w:val="02EDE596"/>
    <w:rsid w:val="02EDF592"/>
    <w:rsid w:val="02EEA731"/>
    <w:rsid w:val="02F01093"/>
    <w:rsid w:val="02F010BF"/>
    <w:rsid w:val="02F08000"/>
    <w:rsid w:val="02F2B628"/>
    <w:rsid w:val="02F3E621"/>
    <w:rsid w:val="02F42A08"/>
    <w:rsid w:val="02F489C6"/>
    <w:rsid w:val="02F58A25"/>
    <w:rsid w:val="02F7D118"/>
    <w:rsid w:val="02F88769"/>
    <w:rsid w:val="02F91D97"/>
    <w:rsid w:val="02FA69FB"/>
    <w:rsid w:val="02FAF28F"/>
    <w:rsid w:val="02FB1D49"/>
    <w:rsid w:val="02FBEC44"/>
    <w:rsid w:val="02FDF88A"/>
    <w:rsid w:val="02FEB505"/>
    <w:rsid w:val="03002DF9"/>
    <w:rsid w:val="03007937"/>
    <w:rsid w:val="0300852A"/>
    <w:rsid w:val="0303996F"/>
    <w:rsid w:val="0303C991"/>
    <w:rsid w:val="0306388A"/>
    <w:rsid w:val="030708B7"/>
    <w:rsid w:val="03072081"/>
    <w:rsid w:val="03079FD8"/>
    <w:rsid w:val="0307B507"/>
    <w:rsid w:val="03083294"/>
    <w:rsid w:val="030A953B"/>
    <w:rsid w:val="030AE471"/>
    <w:rsid w:val="030B6164"/>
    <w:rsid w:val="030BF3D3"/>
    <w:rsid w:val="030CE11D"/>
    <w:rsid w:val="030E99F5"/>
    <w:rsid w:val="030F17B6"/>
    <w:rsid w:val="03101B56"/>
    <w:rsid w:val="0311897C"/>
    <w:rsid w:val="0311DDC6"/>
    <w:rsid w:val="031213FE"/>
    <w:rsid w:val="0312BE27"/>
    <w:rsid w:val="03143E70"/>
    <w:rsid w:val="03159281"/>
    <w:rsid w:val="03161F97"/>
    <w:rsid w:val="03166B88"/>
    <w:rsid w:val="03171175"/>
    <w:rsid w:val="03180F06"/>
    <w:rsid w:val="031A8100"/>
    <w:rsid w:val="031E7E4A"/>
    <w:rsid w:val="031F27C0"/>
    <w:rsid w:val="032014DC"/>
    <w:rsid w:val="0323317A"/>
    <w:rsid w:val="0323C2E9"/>
    <w:rsid w:val="03264F21"/>
    <w:rsid w:val="0326E518"/>
    <w:rsid w:val="03277486"/>
    <w:rsid w:val="03281B63"/>
    <w:rsid w:val="0329DABE"/>
    <w:rsid w:val="032B4EFF"/>
    <w:rsid w:val="032C577C"/>
    <w:rsid w:val="032C869C"/>
    <w:rsid w:val="032DE361"/>
    <w:rsid w:val="032FA6E6"/>
    <w:rsid w:val="033023D4"/>
    <w:rsid w:val="033348E5"/>
    <w:rsid w:val="03336F37"/>
    <w:rsid w:val="03350491"/>
    <w:rsid w:val="03384FCE"/>
    <w:rsid w:val="03388712"/>
    <w:rsid w:val="033A060D"/>
    <w:rsid w:val="033A0A6C"/>
    <w:rsid w:val="033A1046"/>
    <w:rsid w:val="033A98B8"/>
    <w:rsid w:val="033B2647"/>
    <w:rsid w:val="033BECB0"/>
    <w:rsid w:val="033C18E1"/>
    <w:rsid w:val="033D48BB"/>
    <w:rsid w:val="033DF580"/>
    <w:rsid w:val="033E45EB"/>
    <w:rsid w:val="033E7105"/>
    <w:rsid w:val="033F010A"/>
    <w:rsid w:val="033FBA4E"/>
    <w:rsid w:val="03415870"/>
    <w:rsid w:val="034182FE"/>
    <w:rsid w:val="0342925C"/>
    <w:rsid w:val="03438011"/>
    <w:rsid w:val="03442F2D"/>
    <w:rsid w:val="0345E239"/>
    <w:rsid w:val="0347863D"/>
    <w:rsid w:val="0347D7EE"/>
    <w:rsid w:val="034836CD"/>
    <w:rsid w:val="03499B2E"/>
    <w:rsid w:val="034B5EC1"/>
    <w:rsid w:val="034BB9F5"/>
    <w:rsid w:val="034C1F1E"/>
    <w:rsid w:val="034DA9E3"/>
    <w:rsid w:val="034F1BD0"/>
    <w:rsid w:val="03503208"/>
    <w:rsid w:val="0350D66F"/>
    <w:rsid w:val="03517EEF"/>
    <w:rsid w:val="03547ECA"/>
    <w:rsid w:val="03550DF8"/>
    <w:rsid w:val="03561ED5"/>
    <w:rsid w:val="03576989"/>
    <w:rsid w:val="03578CF0"/>
    <w:rsid w:val="03579264"/>
    <w:rsid w:val="0358346B"/>
    <w:rsid w:val="0358AE8B"/>
    <w:rsid w:val="035963E5"/>
    <w:rsid w:val="0359CB7F"/>
    <w:rsid w:val="0359F912"/>
    <w:rsid w:val="035C81AD"/>
    <w:rsid w:val="035C965D"/>
    <w:rsid w:val="035DD19E"/>
    <w:rsid w:val="035EA46D"/>
    <w:rsid w:val="035F9734"/>
    <w:rsid w:val="03603C2F"/>
    <w:rsid w:val="0361ACCE"/>
    <w:rsid w:val="03624C8F"/>
    <w:rsid w:val="03628850"/>
    <w:rsid w:val="0362D252"/>
    <w:rsid w:val="03648047"/>
    <w:rsid w:val="03650856"/>
    <w:rsid w:val="03673595"/>
    <w:rsid w:val="0367CC2F"/>
    <w:rsid w:val="0367D614"/>
    <w:rsid w:val="03687BEA"/>
    <w:rsid w:val="036894FD"/>
    <w:rsid w:val="036899A1"/>
    <w:rsid w:val="03690D6F"/>
    <w:rsid w:val="03694DB4"/>
    <w:rsid w:val="03697388"/>
    <w:rsid w:val="036A7281"/>
    <w:rsid w:val="036B60DE"/>
    <w:rsid w:val="036B7DA6"/>
    <w:rsid w:val="036BF720"/>
    <w:rsid w:val="036D8D93"/>
    <w:rsid w:val="036E22D6"/>
    <w:rsid w:val="036F54C3"/>
    <w:rsid w:val="036FB779"/>
    <w:rsid w:val="03717F50"/>
    <w:rsid w:val="0372AF4D"/>
    <w:rsid w:val="0373B4F7"/>
    <w:rsid w:val="0373CD0B"/>
    <w:rsid w:val="0375B10C"/>
    <w:rsid w:val="03763490"/>
    <w:rsid w:val="0376E72D"/>
    <w:rsid w:val="0378041E"/>
    <w:rsid w:val="0378ACA6"/>
    <w:rsid w:val="037A0284"/>
    <w:rsid w:val="037A6B98"/>
    <w:rsid w:val="037B9F94"/>
    <w:rsid w:val="037D0923"/>
    <w:rsid w:val="037E1932"/>
    <w:rsid w:val="037F1FBB"/>
    <w:rsid w:val="037FAC75"/>
    <w:rsid w:val="03811BF0"/>
    <w:rsid w:val="03824EC6"/>
    <w:rsid w:val="0383932E"/>
    <w:rsid w:val="03856828"/>
    <w:rsid w:val="03859B0A"/>
    <w:rsid w:val="0385C3DA"/>
    <w:rsid w:val="03865B4E"/>
    <w:rsid w:val="03881E6A"/>
    <w:rsid w:val="03882E1D"/>
    <w:rsid w:val="0388ABF5"/>
    <w:rsid w:val="038988CE"/>
    <w:rsid w:val="0389A4D0"/>
    <w:rsid w:val="0389B2C6"/>
    <w:rsid w:val="038B51F1"/>
    <w:rsid w:val="038B5535"/>
    <w:rsid w:val="038C192B"/>
    <w:rsid w:val="038FF641"/>
    <w:rsid w:val="03907CF1"/>
    <w:rsid w:val="03912318"/>
    <w:rsid w:val="03918FD7"/>
    <w:rsid w:val="039285EE"/>
    <w:rsid w:val="039298A9"/>
    <w:rsid w:val="0392B9A4"/>
    <w:rsid w:val="0392F668"/>
    <w:rsid w:val="0393CE08"/>
    <w:rsid w:val="039445C2"/>
    <w:rsid w:val="03952CA6"/>
    <w:rsid w:val="039533DC"/>
    <w:rsid w:val="03964438"/>
    <w:rsid w:val="03977FB5"/>
    <w:rsid w:val="03991AB6"/>
    <w:rsid w:val="039A7719"/>
    <w:rsid w:val="039AEAE5"/>
    <w:rsid w:val="039D12DD"/>
    <w:rsid w:val="039E9340"/>
    <w:rsid w:val="039F8F24"/>
    <w:rsid w:val="03A0269A"/>
    <w:rsid w:val="03A1DEA4"/>
    <w:rsid w:val="03A2C1D5"/>
    <w:rsid w:val="03A4137B"/>
    <w:rsid w:val="03A44A0F"/>
    <w:rsid w:val="03A4604F"/>
    <w:rsid w:val="03A516DB"/>
    <w:rsid w:val="03A559C5"/>
    <w:rsid w:val="03A6A588"/>
    <w:rsid w:val="03A6DA98"/>
    <w:rsid w:val="03A70A05"/>
    <w:rsid w:val="03A7F2B8"/>
    <w:rsid w:val="03AA6CCE"/>
    <w:rsid w:val="03AD97EF"/>
    <w:rsid w:val="03ADAF9A"/>
    <w:rsid w:val="03B1E9AC"/>
    <w:rsid w:val="03B2B3E8"/>
    <w:rsid w:val="03B2FE4A"/>
    <w:rsid w:val="03B5D427"/>
    <w:rsid w:val="03B623B2"/>
    <w:rsid w:val="03B6289B"/>
    <w:rsid w:val="03B6A2EF"/>
    <w:rsid w:val="03B71B99"/>
    <w:rsid w:val="03B839BE"/>
    <w:rsid w:val="03B84C92"/>
    <w:rsid w:val="03B89A91"/>
    <w:rsid w:val="03B8D9AE"/>
    <w:rsid w:val="03BA9EFA"/>
    <w:rsid w:val="03BAAF85"/>
    <w:rsid w:val="03BCE6E6"/>
    <w:rsid w:val="03BD505A"/>
    <w:rsid w:val="03BF12D5"/>
    <w:rsid w:val="03BF5481"/>
    <w:rsid w:val="03BF98CF"/>
    <w:rsid w:val="03BFCDD1"/>
    <w:rsid w:val="03BFEB3B"/>
    <w:rsid w:val="03C0A8FB"/>
    <w:rsid w:val="03C1AA56"/>
    <w:rsid w:val="03C438DD"/>
    <w:rsid w:val="03C5B03A"/>
    <w:rsid w:val="03C5B6AE"/>
    <w:rsid w:val="03C6654E"/>
    <w:rsid w:val="03C6EA2D"/>
    <w:rsid w:val="03C9154A"/>
    <w:rsid w:val="03C9414D"/>
    <w:rsid w:val="03C94A5F"/>
    <w:rsid w:val="03CA1C55"/>
    <w:rsid w:val="03CB246B"/>
    <w:rsid w:val="03CB2A60"/>
    <w:rsid w:val="03CBD851"/>
    <w:rsid w:val="03CC0293"/>
    <w:rsid w:val="03CD8820"/>
    <w:rsid w:val="03D0548A"/>
    <w:rsid w:val="03D0E0B2"/>
    <w:rsid w:val="03D13B5F"/>
    <w:rsid w:val="03D19EA2"/>
    <w:rsid w:val="03D26BAC"/>
    <w:rsid w:val="03D27D79"/>
    <w:rsid w:val="03D2FC5E"/>
    <w:rsid w:val="03D49BD9"/>
    <w:rsid w:val="03D5D33C"/>
    <w:rsid w:val="03D6C5FC"/>
    <w:rsid w:val="03D7AF4A"/>
    <w:rsid w:val="03D8A2C8"/>
    <w:rsid w:val="03D978D3"/>
    <w:rsid w:val="03DC0301"/>
    <w:rsid w:val="03DCCECC"/>
    <w:rsid w:val="03DD552B"/>
    <w:rsid w:val="03DEA95D"/>
    <w:rsid w:val="03DEC104"/>
    <w:rsid w:val="03E09610"/>
    <w:rsid w:val="03E125FE"/>
    <w:rsid w:val="03E28E0D"/>
    <w:rsid w:val="03E3E16B"/>
    <w:rsid w:val="03E440B8"/>
    <w:rsid w:val="03E65B98"/>
    <w:rsid w:val="03E7635B"/>
    <w:rsid w:val="03E81431"/>
    <w:rsid w:val="03E84ED7"/>
    <w:rsid w:val="03E9E232"/>
    <w:rsid w:val="03EA11FF"/>
    <w:rsid w:val="03EA1643"/>
    <w:rsid w:val="03EB82FB"/>
    <w:rsid w:val="03EC73B9"/>
    <w:rsid w:val="03ECA035"/>
    <w:rsid w:val="03ED65C9"/>
    <w:rsid w:val="03EDA967"/>
    <w:rsid w:val="03EDEBB0"/>
    <w:rsid w:val="03EE0706"/>
    <w:rsid w:val="03F003A7"/>
    <w:rsid w:val="03F055C9"/>
    <w:rsid w:val="03F096B3"/>
    <w:rsid w:val="03F0BCBA"/>
    <w:rsid w:val="03F1364D"/>
    <w:rsid w:val="03F14FD8"/>
    <w:rsid w:val="03F19153"/>
    <w:rsid w:val="03F21F65"/>
    <w:rsid w:val="03F225B5"/>
    <w:rsid w:val="03F29AD4"/>
    <w:rsid w:val="03F3D48F"/>
    <w:rsid w:val="03F4E7B5"/>
    <w:rsid w:val="03F4F4B4"/>
    <w:rsid w:val="03F62D1B"/>
    <w:rsid w:val="03FB32CE"/>
    <w:rsid w:val="03FD86B1"/>
    <w:rsid w:val="03FDD740"/>
    <w:rsid w:val="03FE0DC0"/>
    <w:rsid w:val="03FE2324"/>
    <w:rsid w:val="0400DFFD"/>
    <w:rsid w:val="040126A4"/>
    <w:rsid w:val="04012DEC"/>
    <w:rsid w:val="04014ED2"/>
    <w:rsid w:val="040290FC"/>
    <w:rsid w:val="0402B410"/>
    <w:rsid w:val="04048E9E"/>
    <w:rsid w:val="0406804B"/>
    <w:rsid w:val="04069D85"/>
    <w:rsid w:val="04074191"/>
    <w:rsid w:val="0407BF5E"/>
    <w:rsid w:val="040AA0DD"/>
    <w:rsid w:val="040B19C0"/>
    <w:rsid w:val="040C8F58"/>
    <w:rsid w:val="040D04C0"/>
    <w:rsid w:val="040D535B"/>
    <w:rsid w:val="040F10D4"/>
    <w:rsid w:val="040FA010"/>
    <w:rsid w:val="04101D29"/>
    <w:rsid w:val="041063BD"/>
    <w:rsid w:val="04112B4E"/>
    <w:rsid w:val="04118C77"/>
    <w:rsid w:val="04128900"/>
    <w:rsid w:val="041294A1"/>
    <w:rsid w:val="04150123"/>
    <w:rsid w:val="0417CB66"/>
    <w:rsid w:val="04187647"/>
    <w:rsid w:val="04193E6A"/>
    <w:rsid w:val="0419520D"/>
    <w:rsid w:val="041ACAB6"/>
    <w:rsid w:val="041BB15E"/>
    <w:rsid w:val="041C0527"/>
    <w:rsid w:val="041CB359"/>
    <w:rsid w:val="041E984A"/>
    <w:rsid w:val="041ECA70"/>
    <w:rsid w:val="041FD6DC"/>
    <w:rsid w:val="04209D24"/>
    <w:rsid w:val="0422958F"/>
    <w:rsid w:val="042296D1"/>
    <w:rsid w:val="0423C760"/>
    <w:rsid w:val="04241461"/>
    <w:rsid w:val="04245616"/>
    <w:rsid w:val="0424B4AF"/>
    <w:rsid w:val="0424FF24"/>
    <w:rsid w:val="04255B60"/>
    <w:rsid w:val="04268110"/>
    <w:rsid w:val="04269827"/>
    <w:rsid w:val="042795E5"/>
    <w:rsid w:val="04280BF8"/>
    <w:rsid w:val="0428CBE1"/>
    <w:rsid w:val="04290D7F"/>
    <w:rsid w:val="042A8359"/>
    <w:rsid w:val="042AB71E"/>
    <w:rsid w:val="042C7846"/>
    <w:rsid w:val="042CAD72"/>
    <w:rsid w:val="042DC8A8"/>
    <w:rsid w:val="042DFB76"/>
    <w:rsid w:val="042E0E7B"/>
    <w:rsid w:val="042EFA6F"/>
    <w:rsid w:val="042F2C22"/>
    <w:rsid w:val="0432476B"/>
    <w:rsid w:val="04332C6D"/>
    <w:rsid w:val="04337E7A"/>
    <w:rsid w:val="04361D86"/>
    <w:rsid w:val="0436B60E"/>
    <w:rsid w:val="0437DDB7"/>
    <w:rsid w:val="04382E30"/>
    <w:rsid w:val="0439946C"/>
    <w:rsid w:val="0439E9CB"/>
    <w:rsid w:val="043A7A72"/>
    <w:rsid w:val="043B429E"/>
    <w:rsid w:val="043BF1B3"/>
    <w:rsid w:val="043C3DB9"/>
    <w:rsid w:val="043DAF3C"/>
    <w:rsid w:val="043FE0E3"/>
    <w:rsid w:val="044096F6"/>
    <w:rsid w:val="0443FF7E"/>
    <w:rsid w:val="0445645D"/>
    <w:rsid w:val="044644ED"/>
    <w:rsid w:val="04466974"/>
    <w:rsid w:val="04482502"/>
    <w:rsid w:val="04483292"/>
    <w:rsid w:val="0448520C"/>
    <w:rsid w:val="0449D91A"/>
    <w:rsid w:val="044B52AB"/>
    <w:rsid w:val="044BA6CD"/>
    <w:rsid w:val="044BCCC5"/>
    <w:rsid w:val="044DD9CB"/>
    <w:rsid w:val="044EF2A1"/>
    <w:rsid w:val="044F58BE"/>
    <w:rsid w:val="044FA46A"/>
    <w:rsid w:val="0450437C"/>
    <w:rsid w:val="04517C3E"/>
    <w:rsid w:val="0451D8DA"/>
    <w:rsid w:val="045765F3"/>
    <w:rsid w:val="04579ECC"/>
    <w:rsid w:val="04593ECC"/>
    <w:rsid w:val="0459A058"/>
    <w:rsid w:val="045A49A4"/>
    <w:rsid w:val="045B5569"/>
    <w:rsid w:val="045DC85E"/>
    <w:rsid w:val="045EA6FC"/>
    <w:rsid w:val="045ECDEB"/>
    <w:rsid w:val="045F873A"/>
    <w:rsid w:val="0460986B"/>
    <w:rsid w:val="046099CA"/>
    <w:rsid w:val="0462E277"/>
    <w:rsid w:val="0464380E"/>
    <w:rsid w:val="04645577"/>
    <w:rsid w:val="0464AB60"/>
    <w:rsid w:val="04651F1A"/>
    <w:rsid w:val="0465F308"/>
    <w:rsid w:val="04666AE9"/>
    <w:rsid w:val="0466D5F8"/>
    <w:rsid w:val="04672708"/>
    <w:rsid w:val="0468712A"/>
    <w:rsid w:val="046914E7"/>
    <w:rsid w:val="046D1AD9"/>
    <w:rsid w:val="046D2EBD"/>
    <w:rsid w:val="046E770B"/>
    <w:rsid w:val="046F400E"/>
    <w:rsid w:val="0470A17D"/>
    <w:rsid w:val="0471DD3C"/>
    <w:rsid w:val="04724302"/>
    <w:rsid w:val="04736C0E"/>
    <w:rsid w:val="04739E3C"/>
    <w:rsid w:val="0473B8DA"/>
    <w:rsid w:val="0473E97C"/>
    <w:rsid w:val="0474825D"/>
    <w:rsid w:val="04750109"/>
    <w:rsid w:val="0475AD49"/>
    <w:rsid w:val="04780E8E"/>
    <w:rsid w:val="04784241"/>
    <w:rsid w:val="04787C6D"/>
    <w:rsid w:val="0479E220"/>
    <w:rsid w:val="047A499C"/>
    <w:rsid w:val="047B1EF4"/>
    <w:rsid w:val="047C576B"/>
    <w:rsid w:val="047DC003"/>
    <w:rsid w:val="047F855A"/>
    <w:rsid w:val="04806768"/>
    <w:rsid w:val="0481C163"/>
    <w:rsid w:val="0481F93E"/>
    <w:rsid w:val="0482EF9F"/>
    <w:rsid w:val="0484929E"/>
    <w:rsid w:val="04860A53"/>
    <w:rsid w:val="0486A83E"/>
    <w:rsid w:val="0489132F"/>
    <w:rsid w:val="048B7A40"/>
    <w:rsid w:val="048BD8E4"/>
    <w:rsid w:val="048C04BA"/>
    <w:rsid w:val="048C8939"/>
    <w:rsid w:val="048E25A5"/>
    <w:rsid w:val="049050EE"/>
    <w:rsid w:val="04907FD6"/>
    <w:rsid w:val="04937867"/>
    <w:rsid w:val="0494BAD8"/>
    <w:rsid w:val="0497F945"/>
    <w:rsid w:val="049931DA"/>
    <w:rsid w:val="049996AE"/>
    <w:rsid w:val="0499B3A5"/>
    <w:rsid w:val="049AA959"/>
    <w:rsid w:val="049AAE7C"/>
    <w:rsid w:val="049B3C0A"/>
    <w:rsid w:val="049C22EF"/>
    <w:rsid w:val="04A01D73"/>
    <w:rsid w:val="04A08F77"/>
    <w:rsid w:val="04A0AE84"/>
    <w:rsid w:val="04A13CCA"/>
    <w:rsid w:val="04A4A8C5"/>
    <w:rsid w:val="04A516A3"/>
    <w:rsid w:val="04A5845D"/>
    <w:rsid w:val="04A5D0BD"/>
    <w:rsid w:val="04A641B0"/>
    <w:rsid w:val="04A6A8C9"/>
    <w:rsid w:val="04A6C682"/>
    <w:rsid w:val="04A6E7F4"/>
    <w:rsid w:val="04A73FEA"/>
    <w:rsid w:val="04AA337B"/>
    <w:rsid w:val="04AA439B"/>
    <w:rsid w:val="04AA8D87"/>
    <w:rsid w:val="04AB3203"/>
    <w:rsid w:val="04ACA4D8"/>
    <w:rsid w:val="04AD76B3"/>
    <w:rsid w:val="04AD9173"/>
    <w:rsid w:val="04ADCA8A"/>
    <w:rsid w:val="04AF1FB2"/>
    <w:rsid w:val="04B0D810"/>
    <w:rsid w:val="04B2AD64"/>
    <w:rsid w:val="04B2C783"/>
    <w:rsid w:val="04B3013D"/>
    <w:rsid w:val="04B368D2"/>
    <w:rsid w:val="04B64C72"/>
    <w:rsid w:val="04B68A2D"/>
    <w:rsid w:val="04B68BF6"/>
    <w:rsid w:val="04B74642"/>
    <w:rsid w:val="04B75BB2"/>
    <w:rsid w:val="04B7ECAC"/>
    <w:rsid w:val="04BA2A86"/>
    <w:rsid w:val="04BBBA79"/>
    <w:rsid w:val="04BC0CB5"/>
    <w:rsid w:val="04BC142D"/>
    <w:rsid w:val="04BCADDC"/>
    <w:rsid w:val="04BE5D22"/>
    <w:rsid w:val="04BFE721"/>
    <w:rsid w:val="04C0A450"/>
    <w:rsid w:val="04C27EB5"/>
    <w:rsid w:val="04C3D751"/>
    <w:rsid w:val="04C421E0"/>
    <w:rsid w:val="04C424E1"/>
    <w:rsid w:val="04C48FF4"/>
    <w:rsid w:val="04C4D241"/>
    <w:rsid w:val="04C56BF7"/>
    <w:rsid w:val="04C608CC"/>
    <w:rsid w:val="04C6631A"/>
    <w:rsid w:val="04C6FEF2"/>
    <w:rsid w:val="04C724D0"/>
    <w:rsid w:val="04C7E45A"/>
    <w:rsid w:val="04C81034"/>
    <w:rsid w:val="04C88AFC"/>
    <w:rsid w:val="04C92720"/>
    <w:rsid w:val="04CB6432"/>
    <w:rsid w:val="04CB9F12"/>
    <w:rsid w:val="04CCBF93"/>
    <w:rsid w:val="04CD2C03"/>
    <w:rsid w:val="04CD3569"/>
    <w:rsid w:val="04CD4947"/>
    <w:rsid w:val="04CDC073"/>
    <w:rsid w:val="04CE7EE2"/>
    <w:rsid w:val="04CEBB2A"/>
    <w:rsid w:val="04D128CD"/>
    <w:rsid w:val="04D1870F"/>
    <w:rsid w:val="04D1C42C"/>
    <w:rsid w:val="04D3E02E"/>
    <w:rsid w:val="04D572E1"/>
    <w:rsid w:val="04D6B55F"/>
    <w:rsid w:val="04D82AF6"/>
    <w:rsid w:val="04D960E3"/>
    <w:rsid w:val="04D98E59"/>
    <w:rsid w:val="04DA0EA0"/>
    <w:rsid w:val="04DA18BE"/>
    <w:rsid w:val="04DABBC6"/>
    <w:rsid w:val="04DB34F3"/>
    <w:rsid w:val="04DB6FB3"/>
    <w:rsid w:val="04DF534C"/>
    <w:rsid w:val="04DFAC25"/>
    <w:rsid w:val="04E1F2D9"/>
    <w:rsid w:val="04E2D12B"/>
    <w:rsid w:val="04E48C91"/>
    <w:rsid w:val="04E59354"/>
    <w:rsid w:val="04E72D63"/>
    <w:rsid w:val="04E8E775"/>
    <w:rsid w:val="04EB0B69"/>
    <w:rsid w:val="04EC1D95"/>
    <w:rsid w:val="04ED0405"/>
    <w:rsid w:val="04EEA8D4"/>
    <w:rsid w:val="04EF041A"/>
    <w:rsid w:val="04EF469E"/>
    <w:rsid w:val="04EF9E39"/>
    <w:rsid w:val="04EFB273"/>
    <w:rsid w:val="04EFC593"/>
    <w:rsid w:val="04F0A3B9"/>
    <w:rsid w:val="04F16B10"/>
    <w:rsid w:val="04F18D6B"/>
    <w:rsid w:val="04F25DA9"/>
    <w:rsid w:val="04F26896"/>
    <w:rsid w:val="04F3C1F8"/>
    <w:rsid w:val="04F41C61"/>
    <w:rsid w:val="04F4A32B"/>
    <w:rsid w:val="04F6286E"/>
    <w:rsid w:val="04F767BB"/>
    <w:rsid w:val="04F7957C"/>
    <w:rsid w:val="04F7F8AB"/>
    <w:rsid w:val="04F84169"/>
    <w:rsid w:val="04F90C8B"/>
    <w:rsid w:val="04FA8C8E"/>
    <w:rsid w:val="04FA9E88"/>
    <w:rsid w:val="04FBA5C1"/>
    <w:rsid w:val="04FDB625"/>
    <w:rsid w:val="04FE1486"/>
    <w:rsid w:val="04FFB906"/>
    <w:rsid w:val="04FFF411"/>
    <w:rsid w:val="0500F2CA"/>
    <w:rsid w:val="05023BF0"/>
    <w:rsid w:val="050277B1"/>
    <w:rsid w:val="0503F12C"/>
    <w:rsid w:val="050439B9"/>
    <w:rsid w:val="0505B9C3"/>
    <w:rsid w:val="0507AAD3"/>
    <w:rsid w:val="0507F6CA"/>
    <w:rsid w:val="05092086"/>
    <w:rsid w:val="0509758D"/>
    <w:rsid w:val="0509AD9A"/>
    <w:rsid w:val="050BB868"/>
    <w:rsid w:val="050BDA14"/>
    <w:rsid w:val="050C52AB"/>
    <w:rsid w:val="05108655"/>
    <w:rsid w:val="051195AB"/>
    <w:rsid w:val="0511AEB9"/>
    <w:rsid w:val="051206AD"/>
    <w:rsid w:val="05126060"/>
    <w:rsid w:val="051624A4"/>
    <w:rsid w:val="0516AFA3"/>
    <w:rsid w:val="05171FF7"/>
    <w:rsid w:val="051792D6"/>
    <w:rsid w:val="05180E6B"/>
    <w:rsid w:val="05182B8C"/>
    <w:rsid w:val="05187F13"/>
    <w:rsid w:val="0518A66C"/>
    <w:rsid w:val="051950E4"/>
    <w:rsid w:val="0519722B"/>
    <w:rsid w:val="0519D628"/>
    <w:rsid w:val="051AE8C8"/>
    <w:rsid w:val="051B240F"/>
    <w:rsid w:val="051D4767"/>
    <w:rsid w:val="051D60A8"/>
    <w:rsid w:val="051E44C7"/>
    <w:rsid w:val="051F12D9"/>
    <w:rsid w:val="0520EA2A"/>
    <w:rsid w:val="052150CB"/>
    <w:rsid w:val="0521973F"/>
    <w:rsid w:val="0521D7B3"/>
    <w:rsid w:val="05221513"/>
    <w:rsid w:val="0522C220"/>
    <w:rsid w:val="0522E630"/>
    <w:rsid w:val="05240F22"/>
    <w:rsid w:val="0524B52E"/>
    <w:rsid w:val="0524B5AA"/>
    <w:rsid w:val="0526E6CD"/>
    <w:rsid w:val="0527345E"/>
    <w:rsid w:val="05275BDD"/>
    <w:rsid w:val="05285D44"/>
    <w:rsid w:val="05294D76"/>
    <w:rsid w:val="05295833"/>
    <w:rsid w:val="052C6067"/>
    <w:rsid w:val="052D2778"/>
    <w:rsid w:val="052DBFAE"/>
    <w:rsid w:val="052DF398"/>
    <w:rsid w:val="052E4DB9"/>
    <w:rsid w:val="052E6560"/>
    <w:rsid w:val="052F75CF"/>
    <w:rsid w:val="05300B88"/>
    <w:rsid w:val="05312C10"/>
    <w:rsid w:val="0531B2F8"/>
    <w:rsid w:val="0532BA51"/>
    <w:rsid w:val="0533D069"/>
    <w:rsid w:val="05348E57"/>
    <w:rsid w:val="0534F8FD"/>
    <w:rsid w:val="05350614"/>
    <w:rsid w:val="05353992"/>
    <w:rsid w:val="0536BEEF"/>
    <w:rsid w:val="05381257"/>
    <w:rsid w:val="0538BCD5"/>
    <w:rsid w:val="0538F181"/>
    <w:rsid w:val="05391976"/>
    <w:rsid w:val="053B139A"/>
    <w:rsid w:val="053C2E6F"/>
    <w:rsid w:val="053D3247"/>
    <w:rsid w:val="053DBB10"/>
    <w:rsid w:val="053E2D7D"/>
    <w:rsid w:val="053F18CD"/>
    <w:rsid w:val="053F852C"/>
    <w:rsid w:val="053F97A7"/>
    <w:rsid w:val="053FF693"/>
    <w:rsid w:val="0541FF4A"/>
    <w:rsid w:val="054206D2"/>
    <w:rsid w:val="054207F9"/>
    <w:rsid w:val="054379B0"/>
    <w:rsid w:val="054418F7"/>
    <w:rsid w:val="0544A9A4"/>
    <w:rsid w:val="054874BA"/>
    <w:rsid w:val="054A69B3"/>
    <w:rsid w:val="054AE48F"/>
    <w:rsid w:val="054B0579"/>
    <w:rsid w:val="054BCA83"/>
    <w:rsid w:val="054C2075"/>
    <w:rsid w:val="054C69CF"/>
    <w:rsid w:val="054E01A1"/>
    <w:rsid w:val="054E3FC1"/>
    <w:rsid w:val="054EA9E2"/>
    <w:rsid w:val="054EB19C"/>
    <w:rsid w:val="054F7254"/>
    <w:rsid w:val="0551184A"/>
    <w:rsid w:val="0551BE5A"/>
    <w:rsid w:val="0552196C"/>
    <w:rsid w:val="05524090"/>
    <w:rsid w:val="0552D7D8"/>
    <w:rsid w:val="0553B536"/>
    <w:rsid w:val="0553C1CC"/>
    <w:rsid w:val="0553FD20"/>
    <w:rsid w:val="05545CDD"/>
    <w:rsid w:val="0555A6A3"/>
    <w:rsid w:val="0556B038"/>
    <w:rsid w:val="055832A9"/>
    <w:rsid w:val="0558843E"/>
    <w:rsid w:val="055AF9AA"/>
    <w:rsid w:val="055B13CF"/>
    <w:rsid w:val="055B3D4F"/>
    <w:rsid w:val="055BFB64"/>
    <w:rsid w:val="055D98E2"/>
    <w:rsid w:val="055E3BE4"/>
    <w:rsid w:val="0561AA24"/>
    <w:rsid w:val="0562AF56"/>
    <w:rsid w:val="05632963"/>
    <w:rsid w:val="0563C237"/>
    <w:rsid w:val="0564483D"/>
    <w:rsid w:val="0564A5BE"/>
    <w:rsid w:val="05659DCA"/>
    <w:rsid w:val="056732BB"/>
    <w:rsid w:val="05695F19"/>
    <w:rsid w:val="056A67EC"/>
    <w:rsid w:val="056B78B9"/>
    <w:rsid w:val="056CBC5B"/>
    <w:rsid w:val="056D78C3"/>
    <w:rsid w:val="056DF105"/>
    <w:rsid w:val="056E4712"/>
    <w:rsid w:val="056E6C5F"/>
    <w:rsid w:val="056F0D5F"/>
    <w:rsid w:val="056FEAA3"/>
    <w:rsid w:val="0570E9ED"/>
    <w:rsid w:val="05718CCF"/>
    <w:rsid w:val="0571A597"/>
    <w:rsid w:val="05733BE0"/>
    <w:rsid w:val="0575319C"/>
    <w:rsid w:val="057690F6"/>
    <w:rsid w:val="05778B99"/>
    <w:rsid w:val="0577EA22"/>
    <w:rsid w:val="0577EC61"/>
    <w:rsid w:val="05780FA0"/>
    <w:rsid w:val="05783DFF"/>
    <w:rsid w:val="05789428"/>
    <w:rsid w:val="0578FE86"/>
    <w:rsid w:val="057BFE63"/>
    <w:rsid w:val="057DBB19"/>
    <w:rsid w:val="057DBD70"/>
    <w:rsid w:val="057E95F3"/>
    <w:rsid w:val="058084D2"/>
    <w:rsid w:val="05808AFF"/>
    <w:rsid w:val="0580A8EC"/>
    <w:rsid w:val="05829AD6"/>
    <w:rsid w:val="0582E20E"/>
    <w:rsid w:val="058334FE"/>
    <w:rsid w:val="05836F1D"/>
    <w:rsid w:val="0584118F"/>
    <w:rsid w:val="0584BBD7"/>
    <w:rsid w:val="0585FAF1"/>
    <w:rsid w:val="0586B6CE"/>
    <w:rsid w:val="05875A80"/>
    <w:rsid w:val="0587E1B1"/>
    <w:rsid w:val="058BE1D5"/>
    <w:rsid w:val="058CF437"/>
    <w:rsid w:val="058D2DFD"/>
    <w:rsid w:val="058EB4C8"/>
    <w:rsid w:val="058F0D97"/>
    <w:rsid w:val="0591909E"/>
    <w:rsid w:val="059373D8"/>
    <w:rsid w:val="05940F80"/>
    <w:rsid w:val="05943BC2"/>
    <w:rsid w:val="0598039A"/>
    <w:rsid w:val="05982BC8"/>
    <w:rsid w:val="0598C171"/>
    <w:rsid w:val="0598E149"/>
    <w:rsid w:val="0599B4A3"/>
    <w:rsid w:val="059A9BFF"/>
    <w:rsid w:val="059AAA88"/>
    <w:rsid w:val="059B103D"/>
    <w:rsid w:val="059E78C7"/>
    <w:rsid w:val="05A183E0"/>
    <w:rsid w:val="05A2B3F8"/>
    <w:rsid w:val="05A30AE9"/>
    <w:rsid w:val="05A421F3"/>
    <w:rsid w:val="05A44CBB"/>
    <w:rsid w:val="05A49F2D"/>
    <w:rsid w:val="05A4B203"/>
    <w:rsid w:val="05A52377"/>
    <w:rsid w:val="05A5431D"/>
    <w:rsid w:val="05A5CD58"/>
    <w:rsid w:val="05A8B0E6"/>
    <w:rsid w:val="05AA2FA3"/>
    <w:rsid w:val="05AA6F75"/>
    <w:rsid w:val="05AB320C"/>
    <w:rsid w:val="05AB94DB"/>
    <w:rsid w:val="05AC0928"/>
    <w:rsid w:val="05AEE9D9"/>
    <w:rsid w:val="05B14047"/>
    <w:rsid w:val="05B1B619"/>
    <w:rsid w:val="05B231CC"/>
    <w:rsid w:val="05B2D789"/>
    <w:rsid w:val="05B5BFA5"/>
    <w:rsid w:val="05B60379"/>
    <w:rsid w:val="05B7E418"/>
    <w:rsid w:val="05B86AB5"/>
    <w:rsid w:val="05B8B8EA"/>
    <w:rsid w:val="05BB0576"/>
    <w:rsid w:val="05BB911D"/>
    <w:rsid w:val="05BC1115"/>
    <w:rsid w:val="05BC582D"/>
    <w:rsid w:val="05BD470C"/>
    <w:rsid w:val="05BE35A9"/>
    <w:rsid w:val="05BE420D"/>
    <w:rsid w:val="05BED5B7"/>
    <w:rsid w:val="05BFBDAF"/>
    <w:rsid w:val="05BFF857"/>
    <w:rsid w:val="05C116AB"/>
    <w:rsid w:val="05C1C886"/>
    <w:rsid w:val="05C42811"/>
    <w:rsid w:val="05C47A36"/>
    <w:rsid w:val="05C5035B"/>
    <w:rsid w:val="05C5DDE6"/>
    <w:rsid w:val="05C6C469"/>
    <w:rsid w:val="05C70207"/>
    <w:rsid w:val="05C7CAD4"/>
    <w:rsid w:val="05C94704"/>
    <w:rsid w:val="05C96EEF"/>
    <w:rsid w:val="05C9BE99"/>
    <w:rsid w:val="05C9F20B"/>
    <w:rsid w:val="05CBAF79"/>
    <w:rsid w:val="05CBF0B3"/>
    <w:rsid w:val="05CCB87C"/>
    <w:rsid w:val="05CE1424"/>
    <w:rsid w:val="05CF93E1"/>
    <w:rsid w:val="05D03FAD"/>
    <w:rsid w:val="05D040AB"/>
    <w:rsid w:val="05D22CB6"/>
    <w:rsid w:val="05D44799"/>
    <w:rsid w:val="05D46445"/>
    <w:rsid w:val="05D47E39"/>
    <w:rsid w:val="05D489B1"/>
    <w:rsid w:val="05D4D2B2"/>
    <w:rsid w:val="05D641A8"/>
    <w:rsid w:val="05D73A7C"/>
    <w:rsid w:val="05D8BFD5"/>
    <w:rsid w:val="05D8FCCC"/>
    <w:rsid w:val="05D92719"/>
    <w:rsid w:val="05DA2AD9"/>
    <w:rsid w:val="05DA3A2A"/>
    <w:rsid w:val="05DBADC7"/>
    <w:rsid w:val="05DC3B93"/>
    <w:rsid w:val="05DF7027"/>
    <w:rsid w:val="05E109B3"/>
    <w:rsid w:val="05E21C8A"/>
    <w:rsid w:val="05E4489F"/>
    <w:rsid w:val="05E4C315"/>
    <w:rsid w:val="05E5E594"/>
    <w:rsid w:val="05E733C2"/>
    <w:rsid w:val="05E746CC"/>
    <w:rsid w:val="05E81620"/>
    <w:rsid w:val="05E89294"/>
    <w:rsid w:val="05EAE347"/>
    <w:rsid w:val="05EAF729"/>
    <w:rsid w:val="05EB0A90"/>
    <w:rsid w:val="05EB39A6"/>
    <w:rsid w:val="05EB4F23"/>
    <w:rsid w:val="05ED1533"/>
    <w:rsid w:val="05ED8FA6"/>
    <w:rsid w:val="05EE2116"/>
    <w:rsid w:val="05EE7557"/>
    <w:rsid w:val="05EFDD0D"/>
    <w:rsid w:val="05F09482"/>
    <w:rsid w:val="05F24C78"/>
    <w:rsid w:val="05F45558"/>
    <w:rsid w:val="05F457CF"/>
    <w:rsid w:val="05F46628"/>
    <w:rsid w:val="05F4C1E7"/>
    <w:rsid w:val="05F54DFF"/>
    <w:rsid w:val="05F69A35"/>
    <w:rsid w:val="05FB7566"/>
    <w:rsid w:val="05FCFFE1"/>
    <w:rsid w:val="05FEE3EF"/>
    <w:rsid w:val="05FF7B5B"/>
    <w:rsid w:val="05FF7F1E"/>
    <w:rsid w:val="060036C2"/>
    <w:rsid w:val="06005E20"/>
    <w:rsid w:val="0600A8CE"/>
    <w:rsid w:val="06023814"/>
    <w:rsid w:val="0603982D"/>
    <w:rsid w:val="0603BC85"/>
    <w:rsid w:val="0603CA29"/>
    <w:rsid w:val="06041231"/>
    <w:rsid w:val="06064EA0"/>
    <w:rsid w:val="0607511B"/>
    <w:rsid w:val="06078C0B"/>
    <w:rsid w:val="06089663"/>
    <w:rsid w:val="060A476C"/>
    <w:rsid w:val="060AF941"/>
    <w:rsid w:val="060B3109"/>
    <w:rsid w:val="060BBEEF"/>
    <w:rsid w:val="060C77E2"/>
    <w:rsid w:val="060C9CF2"/>
    <w:rsid w:val="060FCBCC"/>
    <w:rsid w:val="0610B765"/>
    <w:rsid w:val="061223AD"/>
    <w:rsid w:val="061441AD"/>
    <w:rsid w:val="06144AD6"/>
    <w:rsid w:val="06144B4F"/>
    <w:rsid w:val="06156DBC"/>
    <w:rsid w:val="06158AAE"/>
    <w:rsid w:val="0615F865"/>
    <w:rsid w:val="0615FD85"/>
    <w:rsid w:val="0616F5DB"/>
    <w:rsid w:val="0617B204"/>
    <w:rsid w:val="0617D226"/>
    <w:rsid w:val="061817FA"/>
    <w:rsid w:val="061869E0"/>
    <w:rsid w:val="06194BB2"/>
    <w:rsid w:val="06194CBE"/>
    <w:rsid w:val="0619BF26"/>
    <w:rsid w:val="061A6704"/>
    <w:rsid w:val="061BB57A"/>
    <w:rsid w:val="061BF6B7"/>
    <w:rsid w:val="061C4D0F"/>
    <w:rsid w:val="061D0BCF"/>
    <w:rsid w:val="061E6C6B"/>
    <w:rsid w:val="06207850"/>
    <w:rsid w:val="062143C4"/>
    <w:rsid w:val="062157EB"/>
    <w:rsid w:val="062191BD"/>
    <w:rsid w:val="06227B77"/>
    <w:rsid w:val="0622B6C2"/>
    <w:rsid w:val="062472CD"/>
    <w:rsid w:val="06250EA6"/>
    <w:rsid w:val="06253D56"/>
    <w:rsid w:val="0625A140"/>
    <w:rsid w:val="0627236E"/>
    <w:rsid w:val="0627C968"/>
    <w:rsid w:val="062933B5"/>
    <w:rsid w:val="0629FA40"/>
    <w:rsid w:val="062A2B77"/>
    <w:rsid w:val="062A3627"/>
    <w:rsid w:val="062B195D"/>
    <w:rsid w:val="062B973D"/>
    <w:rsid w:val="062C5965"/>
    <w:rsid w:val="062C5AD9"/>
    <w:rsid w:val="062C8C6C"/>
    <w:rsid w:val="062D85A6"/>
    <w:rsid w:val="062E0586"/>
    <w:rsid w:val="062E23EE"/>
    <w:rsid w:val="062FB245"/>
    <w:rsid w:val="06315A6B"/>
    <w:rsid w:val="06316848"/>
    <w:rsid w:val="0635B98A"/>
    <w:rsid w:val="0635C962"/>
    <w:rsid w:val="0635D830"/>
    <w:rsid w:val="0635FCEE"/>
    <w:rsid w:val="063608C6"/>
    <w:rsid w:val="06367434"/>
    <w:rsid w:val="0636CEAB"/>
    <w:rsid w:val="0636D962"/>
    <w:rsid w:val="06370DE4"/>
    <w:rsid w:val="063825EC"/>
    <w:rsid w:val="06390CAB"/>
    <w:rsid w:val="06393A88"/>
    <w:rsid w:val="063AE3C4"/>
    <w:rsid w:val="063BBB03"/>
    <w:rsid w:val="063C6A25"/>
    <w:rsid w:val="063D506F"/>
    <w:rsid w:val="0640911C"/>
    <w:rsid w:val="0640B7EB"/>
    <w:rsid w:val="0642D144"/>
    <w:rsid w:val="0644972A"/>
    <w:rsid w:val="0644B60D"/>
    <w:rsid w:val="06455799"/>
    <w:rsid w:val="0645E45D"/>
    <w:rsid w:val="0647113B"/>
    <w:rsid w:val="06475ACC"/>
    <w:rsid w:val="0647B27D"/>
    <w:rsid w:val="0648DC57"/>
    <w:rsid w:val="0649097A"/>
    <w:rsid w:val="064A1828"/>
    <w:rsid w:val="064B48D0"/>
    <w:rsid w:val="064C871D"/>
    <w:rsid w:val="064D308E"/>
    <w:rsid w:val="064D7B40"/>
    <w:rsid w:val="064D9848"/>
    <w:rsid w:val="064DD662"/>
    <w:rsid w:val="064E1D1F"/>
    <w:rsid w:val="064EBD39"/>
    <w:rsid w:val="064F00B8"/>
    <w:rsid w:val="064F47B8"/>
    <w:rsid w:val="065145EB"/>
    <w:rsid w:val="0653BF56"/>
    <w:rsid w:val="06544F95"/>
    <w:rsid w:val="0657BA94"/>
    <w:rsid w:val="06597F94"/>
    <w:rsid w:val="0659B0F7"/>
    <w:rsid w:val="065A3BE5"/>
    <w:rsid w:val="065BE451"/>
    <w:rsid w:val="065D1131"/>
    <w:rsid w:val="065F5D7D"/>
    <w:rsid w:val="0661919E"/>
    <w:rsid w:val="0662B44A"/>
    <w:rsid w:val="066358CF"/>
    <w:rsid w:val="06640D82"/>
    <w:rsid w:val="06671EC1"/>
    <w:rsid w:val="0668D0EC"/>
    <w:rsid w:val="066A439F"/>
    <w:rsid w:val="066AAA8E"/>
    <w:rsid w:val="066CB90D"/>
    <w:rsid w:val="066CF934"/>
    <w:rsid w:val="066D291B"/>
    <w:rsid w:val="066DE5D3"/>
    <w:rsid w:val="066DFE26"/>
    <w:rsid w:val="066E0BC0"/>
    <w:rsid w:val="066F3462"/>
    <w:rsid w:val="066F348A"/>
    <w:rsid w:val="066F969E"/>
    <w:rsid w:val="0670C436"/>
    <w:rsid w:val="06752893"/>
    <w:rsid w:val="06754FC6"/>
    <w:rsid w:val="06756CCB"/>
    <w:rsid w:val="0675764A"/>
    <w:rsid w:val="067584A3"/>
    <w:rsid w:val="0676ECB8"/>
    <w:rsid w:val="0677C162"/>
    <w:rsid w:val="0678A904"/>
    <w:rsid w:val="06790469"/>
    <w:rsid w:val="067BBA19"/>
    <w:rsid w:val="067BE565"/>
    <w:rsid w:val="067CB99C"/>
    <w:rsid w:val="067D9A48"/>
    <w:rsid w:val="067DFB2B"/>
    <w:rsid w:val="067E1453"/>
    <w:rsid w:val="0682D301"/>
    <w:rsid w:val="0682E14E"/>
    <w:rsid w:val="0683271D"/>
    <w:rsid w:val="0686433F"/>
    <w:rsid w:val="06874802"/>
    <w:rsid w:val="0687E5F1"/>
    <w:rsid w:val="06882324"/>
    <w:rsid w:val="0688C84D"/>
    <w:rsid w:val="0688F2FF"/>
    <w:rsid w:val="06892026"/>
    <w:rsid w:val="06893804"/>
    <w:rsid w:val="068A4DDB"/>
    <w:rsid w:val="068A8E6B"/>
    <w:rsid w:val="068B4D56"/>
    <w:rsid w:val="068BDBD6"/>
    <w:rsid w:val="068FA478"/>
    <w:rsid w:val="06916F99"/>
    <w:rsid w:val="0691AD2F"/>
    <w:rsid w:val="0692072A"/>
    <w:rsid w:val="069679C4"/>
    <w:rsid w:val="0697376B"/>
    <w:rsid w:val="06975903"/>
    <w:rsid w:val="0697C75A"/>
    <w:rsid w:val="069AE57D"/>
    <w:rsid w:val="069BB049"/>
    <w:rsid w:val="069BD21E"/>
    <w:rsid w:val="069C3989"/>
    <w:rsid w:val="069E1C45"/>
    <w:rsid w:val="06A031DA"/>
    <w:rsid w:val="06A185E4"/>
    <w:rsid w:val="06A3D31A"/>
    <w:rsid w:val="06A5F653"/>
    <w:rsid w:val="06A65258"/>
    <w:rsid w:val="06A73B24"/>
    <w:rsid w:val="06A7FC74"/>
    <w:rsid w:val="06A9654D"/>
    <w:rsid w:val="06ACBEB3"/>
    <w:rsid w:val="06AE58FC"/>
    <w:rsid w:val="06AE9AEF"/>
    <w:rsid w:val="06AF764F"/>
    <w:rsid w:val="06B23676"/>
    <w:rsid w:val="06B31679"/>
    <w:rsid w:val="06B32B72"/>
    <w:rsid w:val="06B4C35E"/>
    <w:rsid w:val="06B591AA"/>
    <w:rsid w:val="06B83E31"/>
    <w:rsid w:val="06B89C76"/>
    <w:rsid w:val="06B8ADF5"/>
    <w:rsid w:val="06B978CA"/>
    <w:rsid w:val="06BB4439"/>
    <w:rsid w:val="06BD0511"/>
    <w:rsid w:val="06BE5774"/>
    <w:rsid w:val="06BFC6E8"/>
    <w:rsid w:val="06C07743"/>
    <w:rsid w:val="06C1DD88"/>
    <w:rsid w:val="06C362C1"/>
    <w:rsid w:val="06C42C4B"/>
    <w:rsid w:val="06C5004A"/>
    <w:rsid w:val="06C69B30"/>
    <w:rsid w:val="06C6B784"/>
    <w:rsid w:val="06C6CD51"/>
    <w:rsid w:val="06C6CD64"/>
    <w:rsid w:val="06C8065A"/>
    <w:rsid w:val="06CC13DF"/>
    <w:rsid w:val="06CCD485"/>
    <w:rsid w:val="06CDD80E"/>
    <w:rsid w:val="06D08569"/>
    <w:rsid w:val="06D2B30E"/>
    <w:rsid w:val="06D3BA2C"/>
    <w:rsid w:val="06D48D00"/>
    <w:rsid w:val="06D4D5F9"/>
    <w:rsid w:val="06D6AADF"/>
    <w:rsid w:val="06D752F7"/>
    <w:rsid w:val="06D86FFF"/>
    <w:rsid w:val="06DBF068"/>
    <w:rsid w:val="06DD02D6"/>
    <w:rsid w:val="06DDD1C6"/>
    <w:rsid w:val="06DF87D6"/>
    <w:rsid w:val="06DF91D9"/>
    <w:rsid w:val="06E3259E"/>
    <w:rsid w:val="06E34B1A"/>
    <w:rsid w:val="06E38378"/>
    <w:rsid w:val="06E61404"/>
    <w:rsid w:val="06E9F56D"/>
    <w:rsid w:val="06EC1208"/>
    <w:rsid w:val="06ED9F9A"/>
    <w:rsid w:val="06EDD43D"/>
    <w:rsid w:val="06F1B87B"/>
    <w:rsid w:val="06F28B4F"/>
    <w:rsid w:val="06F300CC"/>
    <w:rsid w:val="06F3CCAA"/>
    <w:rsid w:val="06F4CF36"/>
    <w:rsid w:val="06F5847C"/>
    <w:rsid w:val="06F5F795"/>
    <w:rsid w:val="06F9B659"/>
    <w:rsid w:val="06F9D5E7"/>
    <w:rsid w:val="06FA587F"/>
    <w:rsid w:val="06FA6CA8"/>
    <w:rsid w:val="06FCFC72"/>
    <w:rsid w:val="06FD0F61"/>
    <w:rsid w:val="06FD7CD7"/>
    <w:rsid w:val="06FE5036"/>
    <w:rsid w:val="06FF25EF"/>
    <w:rsid w:val="06FF4A15"/>
    <w:rsid w:val="06FF5559"/>
    <w:rsid w:val="06FF6B0B"/>
    <w:rsid w:val="06FFC2A9"/>
    <w:rsid w:val="07007D45"/>
    <w:rsid w:val="070206F2"/>
    <w:rsid w:val="07022BCB"/>
    <w:rsid w:val="070244FA"/>
    <w:rsid w:val="0705105F"/>
    <w:rsid w:val="0705248E"/>
    <w:rsid w:val="070571D8"/>
    <w:rsid w:val="0705B4B8"/>
    <w:rsid w:val="0705DDE3"/>
    <w:rsid w:val="0709B055"/>
    <w:rsid w:val="0709B388"/>
    <w:rsid w:val="070A7D2D"/>
    <w:rsid w:val="070A917E"/>
    <w:rsid w:val="070B77E7"/>
    <w:rsid w:val="070C9F4E"/>
    <w:rsid w:val="070D8EF0"/>
    <w:rsid w:val="070DD99D"/>
    <w:rsid w:val="070F963B"/>
    <w:rsid w:val="070FF1DE"/>
    <w:rsid w:val="0710D1F9"/>
    <w:rsid w:val="0711CA0A"/>
    <w:rsid w:val="07122CE3"/>
    <w:rsid w:val="07124083"/>
    <w:rsid w:val="0715A9B4"/>
    <w:rsid w:val="07177ACE"/>
    <w:rsid w:val="071786CD"/>
    <w:rsid w:val="0717B6BC"/>
    <w:rsid w:val="071836BC"/>
    <w:rsid w:val="07193427"/>
    <w:rsid w:val="0719D55A"/>
    <w:rsid w:val="071A7BB6"/>
    <w:rsid w:val="071B1D82"/>
    <w:rsid w:val="071B47B7"/>
    <w:rsid w:val="071CB8C3"/>
    <w:rsid w:val="071D0E31"/>
    <w:rsid w:val="071E3C21"/>
    <w:rsid w:val="071F8193"/>
    <w:rsid w:val="071F9207"/>
    <w:rsid w:val="0721A2EA"/>
    <w:rsid w:val="0721B772"/>
    <w:rsid w:val="0722532B"/>
    <w:rsid w:val="072388F7"/>
    <w:rsid w:val="0724E67D"/>
    <w:rsid w:val="0724EBFD"/>
    <w:rsid w:val="0726158D"/>
    <w:rsid w:val="07269A89"/>
    <w:rsid w:val="0727EE23"/>
    <w:rsid w:val="07287F72"/>
    <w:rsid w:val="0729AAD7"/>
    <w:rsid w:val="072A37BA"/>
    <w:rsid w:val="072A51C9"/>
    <w:rsid w:val="072B5A7E"/>
    <w:rsid w:val="072C5F8E"/>
    <w:rsid w:val="072D1EB5"/>
    <w:rsid w:val="072DB17B"/>
    <w:rsid w:val="072EC697"/>
    <w:rsid w:val="07308F9A"/>
    <w:rsid w:val="0730BEBE"/>
    <w:rsid w:val="07316B70"/>
    <w:rsid w:val="0732CBBE"/>
    <w:rsid w:val="0734CB47"/>
    <w:rsid w:val="0735BC22"/>
    <w:rsid w:val="0735D3C6"/>
    <w:rsid w:val="0736B2E5"/>
    <w:rsid w:val="0737C3C5"/>
    <w:rsid w:val="0737E252"/>
    <w:rsid w:val="073822A0"/>
    <w:rsid w:val="0739D4D0"/>
    <w:rsid w:val="073B21A4"/>
    <w:rsid w:val="073B6CF5"/>
    <w:rsid w:val="073BDA5A"/>
    <w:rsid w:val="073C5FF5"/>
    <w:rsid w:val="073CB08C"/>
    <w:rsid w:val="073D45BA"/>
    <w:rsid w:val="073D504D"/>
    <w:rsid w:val="073DACA4"/>
    <w:rsid w:val="073F1E5B"/>
    <w:rsid w:val="07406967"/>
    <w:rsid w:val="0740818F"/>
    <w:rsid w:val="0741D7B0"/>
    <w:rsid w:val="07425790"/>
    <w:rsid w:val="074331A9"/>
    <w:rsid w:val="07439AAF"/>
    <w:rsid w:val="0743CD8A"/>
    <w:rsid w:val="07444A56"/>
    <w:rsid w:val="0744E348"/>
    <w:rsid w:val="074714C0"/>
    <w:rsid w:val="074723DB"/>
    <w:rsid w:val="074732E9"/>
    <w:rsid w:val="0749CDFA"/>
    <w:rsid w:val="074AC16B"/>
    <w:rsid w:val="074AE9A6"/>
    <w:rsid w:val="074C5FDC"/>
    <w:rsid w:val="074DE387"/>
    <w:rsid w:val="074F1DAC"/>
    <w:rsid w:val="07500846"/>
    <w:rsid w:val="07501F24"/>
    <w:rsid w:val="07506A0F"/>
    <w:rsid w:val="07515793"/>
    <w:rsid w:val="07520A01"/>
    <w:rsid w:val="07531541"/>
    <w:rsid w:val="07538FB8"/>
    <w:rsid w:val="07543A50"/>
    <w:rsid w:val="07546A24"/>
    <w:rsid w:val="07557FD3"/>
    <w:rsid w:val="07586BF8"/>
    <w:rsid w:val="075BA08F"/>
    <w:rsid w:val="075BB12F"/>
    <w:rsid w:val="075C785A"/>
    <w:rsid w:val="075CA789"/>
    <w:rsid w:val="075DF130"/>
    <w:rsid w:val="075E52DA"/>
    <w:rsid w:val="075E6426"/>
    <w:rsid w:val="075F794D"/>
    <w:rsid w:val="0760ABEE"/>
    <w:rsid w:val="0760F8A8"/>
    <w:rsid w:val="0763189F"/>
    <w:rsid w:val="076535DF"/>
    <w:rsid w:val="0765DD3F"/>
    <w:rsid w:val="0767CBAA"/>
    <w:rsid w:val="076A6089"/>
    <w:rsid w:val="076B5AFB"/>
    <w:rsid w:val="076D4D9D"/>
    <w:rsid w:val="076E2308"/>
    <w:rsid w:val="076F348A"/>
    <w:rsid w:val="0770ADF0"/>
    <w:rsid w:val="07717D2F"/>
    <w:rsid w:val="0771BC2C"/>
    <w:rsid w:val="0771E0AD"/>
    <w:rsid w:val="0773D5D8"/>
    <w:rsid w:val="07760491"/>
    <w:rsid w:val="0776570E"/>
    <w:rsid w:val="0777ECB9"/>
    <w:rsid w:val="0778D810"/>
    <w:rsid w:val="0778F74B"/>
    <w:rsid w:val="077924B8"/>
    <w:rsid w:val="077A25FD"/>
    <w:rsid w:val="077C9A90"/>
    <w:rsid w:val="077D4D0C"/>
    <w:rsid w:val="0780D798"/>
    <w:rsid w:val="07819B54"/>
    <w:rsid w:val="07832341"/>
    <w:rsid w:val="0783669D"/>
    <w:rsid w:val="07889D28"/>
    <w:rsid w:val="0788D75A"/>
    <w:rsid w:val="07890F7B"/>
    <w:rsid w:val="07896007"/>
    <w:rsid w:val="078ABFC2"/>
    <w:rsid w:val="078B4FE3"/>
    <w:rsid w:val="078C70E2"/>
    <w:rsid w:val="078D1564"/>
    <w:rsid w:val="079009A0"/>
    <w:rsid w:val="07905AC2"/>
    <w:rsid w:val="07907B54"/>
    <w:rsid w:val="0790EAB9"/>
    <w:rsid w:val="079110CA"/>
    <w:rsid w:val="0792786F"/>
    <w:rsid w:val="0793331B"/>
    <w:rsid w:val="0793A60B"/>
    <w:rsid w:val="079405A6"/>
    <w:rsid w:val="0794291E"/>
    <w:rsid w:val="0795D24B"/>
    <w:rsid w:val="0796471B"/>
    <w:rsid w:val="07990430"/>
    <w:rsid w:val="079930F9"/>
    <w:rsid w:val="079B379D"/>
    <w:rsid w:val="079B7449"/>
    <w:rsid w:val="079D47E7"/>
    <w:rsid w:val="079E8227"/>
    <w:rsid w:val="07A04252"/>
    <w:rsid w:val="07A209F0"/>
    <w:rsid w:val="07A3FE52"/>
    <w:rsid w:val="07A436BB"/>
    <w:rsid w:val="07A4508A"/>
    <w:rsid w:val="07A568D5"/>
    <w:rsid w:val="07A601AC"/>
    <w:rsid w:val="07A77E82"/>
    <w:rsid w:val="07A79400"/>
    <w:rsid w:val="07A83753"/>
    <w:rsid w:val="07A9F379"/>
    <w:rsid w:val="07AAB09B"/>
    <w:rsid w:val="07AB8E4E"/>
    <w:rsid w:val="07AC87C6"/>
    <w:rsid w:val="07AD32F7"/>
    <w:rsid w:val="07B01653"/>
    <w:rsid w:val="07B09D75"/>
    <w:rsid w:val="07B13E1D"/>
    <w:rsid w:val="07B3C84B"/>
    <w:rsid w:val="07B51249"/>
    <w:rsid w:val="07B53838"/>
    <w:rsid w:val="07B7B26A"/>
    <w:rsid w:val="07B7BC85"/>
    <w:rsid w:val="07B83669"/>
    <w:rsid w:val="07BA6092"/>
    <w:rsid w:val="07BA761C"/>
    <w:rsid w:val="07BBE612"/>
    <w:rsid w:val="07BC3835"/>
    <w:rsid w:val="07BCA00F"/>
    <w:rsid w:val="07BCAFEB"/>
    <w:rsid w:val="07BD33F9"/>
    <w:rsid w:val="07BE9795"/>
    <w:rsid w:val="07BF19DB"/>
    <w:rsid w:val="07BF44A7"/>
    <w:rsid w:val="07C0117C"/>
    <w:rsid w:val="07C054F0"/>
    <w:rsid w:val="07C111C9"/>
    <w:rsid w:val="07C193C7"/>
    <w:rsid w:val="07C1FCD4"/>
    <w:rsid w:val="07C2D3FA"/>
    <w:rsid w:val="07C3373C"/>
    <w:rsid w:val="07C479CD"/>
    <w:rsid w:val="07C7EC91"/>
    <w:rsid w:val="07C84A04"/>
    <w:rsid w:val="07C93706"/>
    <w:rsid w:val="07C9404C"/>
    <w:rsid w:val="07CB912F"/>
    <w:rsid w:val="07CBB0D2"/>
    <w:rsid w:val="07CC24E6"/>
    <w:rsid w:val="07CD1935"/>
    <w:rsid w:val="07CD33C3"/>
    <w:rsid w:val="07CEF84E"/>
    <w:rsid w:val="07D2880E"/>
    <w:rsid w:val="07D33A04"/>
    <w:rsid w:val="07D42623"/>
    <w:rsid w:val="07D44E9C"/>
    <w:rsid w:val="07D4DE08"/>
    <w:rsid w:val="07D74E5C"/>
    <w:rsid w:val="07D7A0CD"/>
    <w:rsid w:val="07D9EAF3"/>
    <w:rsid w:val="07DA388F"/>
    <w:rsid w:val="07DABCA3"/>
    <w:rsid w:val="07DAE765"/>
    <w:rsid w:val="07DB01DD"/>
    <w:rsid w:val="07DB2E72"/>
    <w:rsid w:val="07DB3D35"/>
    <w:rsid w:val="07DB4BFE"/>
    <w:rsid w:val="07DF14A7"/>
    <w:rsid w:val="07DF40F7"/>
    <w:rsid w:val="07DF62ED"/>
    <w:rsid w:val="07DF823D"/>
    <w:rsid w:val="07DF8E0B"/>
    <w:rsid w:val="07E1092D"/>
    <w:rsid w:val="07E1A249"/>
    <w:rsid w:val="07E2C1B3"/>
    <w:rsid w:val="07E41901"/>
    <w:rsid w:val="07E4812F"/>
    <w:rsid w:val="07E6F287"/>
    <w:rsid w:val="07E732A7"/>
    <w:rsid w:val="07E84636"/>
    <w:rsid w:val="07EA6F01"/>
    <w:rsid w:val="07EBED32"/>
    <w:rsid w:val="07EC5227"/>
    <w:rsid w:val="07EDE72E"/>
    <w:rsid w:val="07EF72C3"/>
    <w:rsid w:val="07EF83EC"/>
    <w:rsid w:val="07F1BD39"/>
    <w:rsid w:val="07F35586"/>
    <w:rsid w:val="07F37DD9"/>
    <w:rsid w:val="07F3DB16"/>
    <w:rsid w:val="07F415C2"/>
    <w:rsid w:val="07F44B34"/>
    <w:rsid w:val="07F46BD2"/>
    <w:rsid w:val="07F6F780"/>
    <w:rsid w:val="07F754B6"/>
    <w:rsid w:val="07F7C47D"/>
    <w:rsid w:val="07F81A71"/>
    <w:rsid w:val="07F8B846"/>
    <w:rsid w:val="07F9E53B"/>
    <w:rsid w:val="07FAD051"/>
    <w:rsid w:val="07FB2998"/>
    <w:rsid w:val="07FCE2D6"/>
    <w:rsid w:val="07FDF261"/>
    <w:rsid w:val="07FED435"/>
    <w:rsid w:val="080064D4"/>
    <w:rsid w:val="0800BB66"/>
    <w:rsid w:val="0801F9D2"/>
    <w:rsid w:val="08020EF6"/>
    <w:rsid w:val="080360B4"/>
    <w:rsid w:val="080638E1"/>
    <w:rsid w:val="0807797C"/>
    <w:rsid w:val="0807A50D"/>
    <w:rsid w:val="080A15C1"/>
    <w:rsid w:val="080B36B0"/>
    <w:rsid w:val="080CF013"/>
    <w:rsid w:val="080CF86C"/>
    <w:rsid w:val="080D18EF"/>
    <w:rsid w:val="080DD12A"/>
    <w:rsid w:val="080E245F"/>
    <w:rsid w:val="080E98A6"/>
    <w:rsid w:val="080EA443"/>
    <w:rsid w:val="081272F3"/>
    <w:rsid w:val="0816F429"/>
    <w:rsid w:val="08185243"/>
    <w:rsid w:val="081B046B"/>
    <w:rsid w:val="081B3AFC"/>
    <w:rsid w:val="081C0266"/>
    <w:rsid w:val="081D71AC"/>
    <w:rsid w:val="081D770F"/>
    <w:rsid w:val="081E4820"/>
    <w:rsid w:val="08212977"/>
    <w:rsid w:val="08214C03"/>
    <w:rsid w:val="08215386"/>
    <w:rsid w:val="08248CCD"/>
    <w:rsid w:val="0825DBAA"/>
    <w:rsid w:val="082653AB"/>
    <w:rsid w:val="08287BAA"/>
    <w:rsid w:val="0828973C"/>
    <w:rsid w:val="0829F45F"/>
    <w:rsid w:val="082B2A88"/>
    <w:rsid w:val="082BB707"/>
    <w:rsid w:val="082D1A2F"/>
    <w:rsid w:val="082E0766"/>
    <w:rsid w:val="082F9B84"/>
    <w:rsid w:val="0830D707"/>
    <w:rsid w:val="08315B82"/>
    <w:rsid w:val="0832F042"/>
    <w:rsid w:val="0833E7C9"/>
    <w:rsid w:val="083575B5"/>
    <w:rsid w:val="08365227"/>
    <w:rsid w:val="083782C8"/>
    <w:rsid w:val="0837966B"/>
    <w:rsid w:val="0837A04E"/>
    <w:rsid w:val="0838B96F"/>
    <w:rsid w:val="08398AAF"/>
    <w:rsid w:val="0839C283"/>
    <w:rsid w:val="083C22A3"/>
    <w:rsid w:val="083C3CB5"/>
    <w:rsid w:val="083C9C23"/>
    <w:rsid w:val="083D9C32"/>
    <w:rsid w:val="083DF6A0"/>
    <w:rsid w:val="083E7163"/>
    <w:rsid w:val="08413B5A"/>
    <w:rsid w:val="0841554F"/>
    <w:rsid w:val="08428F9C"/>
    <w:rsid w:val="0844B449"/>
    <w:rsid w:val="084656A4"/>
    <w:rsid w:val="0847A47B"/>
    <w:rsid w:val="0847A991"/>
    <w:rsid w:val="0847C6C2"/>
    <w:rsid w:val="08480B8E"/>
    <w:rsid w:val="084815FF"/>
    <w:rsid w:val="084842BF"/>
    <w:rsid w:val="0848B7CE"/>
    <w:rsid w:val="0849012C"/>
    <w:rsid w:val="084A0A36"/>
    <w:rsid w:val="084A47A4"/>
    <w:rsid w:val="084DFA93"/>
    <w:rsid w:val="084E1608"/>
    <w:rsid w:val="084EEC5A"/>
    <w:rsid w:val="08511EAB"/>
    <w:rsid w:val="085192EC"/>
    <w:rsid w:val="0851BAC3"/>
    <w:rsid w:val="08525BB1"/>
    <w:rsid w:val="0852839A"/>
    <w:rsid w:val="0852968D"/>
    <w:rsid w:val="0852B3F9"/>
    <w:rsid w:val="08536A2A"/>
    <w:rsid w:val="08538498"/>
    <w:rsid w:val="0855B9C3"/>
    <w:rsid w:val="0855EF79"/>
    <w:rsid w:val="0857B42B"/>
    <w:rsid w:val="0858A1DB"/>
    <w:rsid w:val="085A0342"/>
    <w:rsid w:val="085B14E8"/>
    <w:rsid w:val="085B5952"/>
    <w:rsid w:val="085B9749"/>
    <w:rsid w:val="085CAC88"/>
    <w:rsid w:val="085E15F6"/>
    <w:rsid w:val="085F31B2"/>
    <w:rsid w:val="085FB3D5"/>
    <w:rsid w:val="086000D8"/>
    <w:rsid w:val="0860B333"/>
    <w:rsid w:val="0860D7B5"/>
    <w:rsid w:val="0860E4A8"/>
    <w:rsid w:val="0862F492"/>
    <w:rsid w:val="08644BF9"/>
    <w:rsid w:val="0864C859"/>
    <w:rsid w:val="08650A03"/>
    <w:rsid w:val="08662E29"/>
    <w:rsid w:val="0867437E"/>
    <w:rsid w:val="0867650E"/>
    <w:rsid w:val="0867F761"/>
    <w:rsid w:val="08683635"/>
    <w:rsid w:val="0868A4E6"/>
    <w:rsid w:val="0868CF20"/>
    <w:rsid w:val="086930C3"/>
    <w:rsid w:val="0869E8C8"/>
    <w:rsid w:val="086AD2AF"/>
    <w:rsid w:val="086C14EC"/>
    <w:rsid w:val="086F9918"/>
    <w:rsid w:val="08713208"/>
    <w:rsid w:val="08725014"/>
    <w:rsid w:val="08727E75"/>
    <w:rsid w:val="0872E07D"/>
    <w:rsid w:val="0873CD34"/>
    <w:rsid w:val="08756451"/>
    <w:rsid w:val="0875AF37"/>
    <w:rsid w:val="08782075"/>
    <w:rsid w:val="0878A784"/>
    <w:rsid w:val="0879652A"/>
    <w:rsid w:val="08798D27"/>
    <w:rsid w:val="087A2131"/>
    <w:rsid w:val="087A77AF"/>
    <w:rsid w:val="087B6B8F"/>
    <w:rsid w:val="087C3F7E"/>
    <w:rsid w:val="087CA247"/>
    <w:rsid w:val="087CC114"/>
    <w:rsid w:val="087D966C"/>
    <w:rsid w:val="087DFCBC"/>
    <w:rsid w:val="087EC40A"/>
    <w:rsid w:val="0880C169"/>
    <w:rsid w:val="088351EC"/>
    <w:rsid w:val="08851BB2"/>
    <w:rsid w:val="0885AF20"/>
    <w:rsid w:val="0885BBA0"/>
    <w:rsid w:val="08860B7D"/>
    <w:rsid w:val="088663A2"/>
    <w:rsid w:val="0889264E"/>
    <w:rsid w:val="08897739"/>
    <w:rsid w:val="088E4F4E"/>
    <w:rsid w:val="088FB68A"/>
    <w:rsid w:val="088FC1CB"/>
    <w:rsid w:val="08905D45"/>
    <w:rsid w:val="08920751"/>
    <w:rsid w:val="0895F5FF"/>
    <w:rsid w:val="0896C695"/>
    <w:rsid w:val="08975BBF"/>
    <w:rsid w:val="0899D671"/>
    <w:rsid w:val="089A505C"/>
    <w:rsid w:val="089B957B"/>
    <w:rsid w:val="089C51E7"/>
    <w:rsid w:val="089C957F"/>
    <w:rsid w:val="089CD510"/>
    <w:rsid w:val="089D1C96"/>
    <w:rsid w:val="089D2FED"/>
    <w:rsid w:val="089F0CFB"/>
    <w:rsid w:val="089F1BE5"/>
    <w:rsid w:val="08A1BDE9"/>
    <w:rsid w:val="08A27114"/>
    <w:rsid w:val="08A28136"/>
    <w:rsid w:val="08A2F909"/>
    <w:rsid w:val="08A31BD8"/>
    <w:rsid w:val="08A52497"/>
    <w:rsid w:val="08A55F9D"/>
    <w:rsid w:val="08A57290"/>
    <w:rsid w:val="08A6ED49"/>
    <w:rsid w:val="08A725E8"/>
    <w:rsid w:val="08A7AC47"/>
    <w:rsid w:val="08AA1B90"/>
    <w:rsid w:val="08AA48FF"/>
    <w:rsid w:val="08AA5501"/>
    <w:rsid w:val="08AAED5E"/>
    <w:rsid w:val="08AB0709"/>
    <w:rsid w:val="08AB2A14"/>
    <w:rsid w:val="08ACA948"/>
    <w:rsid w:val="08AF294C"/>
    <w:rsid w:val="08AFB062"/>
    <w:rsid w:val="08AFB762"/>
    <w:rsid w:val="08B00498"/>
    <w:rsid w:val="08B05D7F"/>
    <w:rsid w:val="08B0773D"/>
    <w:rsid w:val="08B27DAB"/>
    <w:rsid w:val="08B4E623"/>
    <w:rsid w:val="08B81C8B"/>
    <w:rsid w:val="08B8714E"/>
    <w:rsid w:val="08B93AF0"/>
    <w:rsid w:val="08B9D465"/>
    <w:rsid w:val="08BA373B"/>
    <w:rsid w:val="08BA6C4A"/>
    <w:rsid w:val="08BB0BED"/>
    <w:rsid w:val="08BBC92E"/>
    <w:rsid w:val="08BD2655"/>
    <w:rsid w:val="08BD9F6C"/>
    <w:rsid w:val="08C066FF"/>
    <w:rsid w:val="08C36FDF"/>
    <w:rsid w:val="08C374E1"/>
    <w:rsid w:val="08C4F0C5"/>
    <w:rsid w:val="08C6558A"/>
    <w:rsid w:val="08C6A67A"/>
    <w:rsid w:val="08C7D6DA"/>
    <w:rsid w:val="08C7E9D9"/>
    <w:rsid w:val="08C94CE4"/>
    <w:rsid w:val="08CA8E3F"/>
    <w:rsid w:val="08CBBD27"/>
    <w:rsid w:val="08CC8D04"/>
    <w:rsid w:val="08CE6530"/>
    <w:rsid w:val="08CEF49C"/>
    <w:rsid w:val="08D0108A"/>
    <w:rsid w:val="08D03418"/>
    <w:rsid w:val="08D2B6ED"/>
    <w:rsid w:val="08D346F2"/>
    <w:rsid w:val="08D57B11"/>
    <w:rsid w:val="08D6196A"/>
    <w:rsid w:val="08D6507E"/>
    <w:rsid w:val="08D67559"/>
    <w:rsid w:val="08D68675"/>
    <w:rsid w:val="08D93579"/>
    <w:rsid w:val="08D93D40"/>
    <w:rsid w:val="08D98FE7"/>
    <w:rsid w:val="08DA1C8E"/>
    <w:rsid w:val="08DACAD6"/>
    <w:rsid w:val="08DB9B8C"/>
    <w:rsid w:val="08DC3FEF"/>
    <w:rsid w:val="08DDE3D8"/>
    <w:rsid w:val="08DE4D5E"/>
    <w:rsid w:val="08E02141"/>
    <w:rsid w:val="08E0F112"/>
    <w:rsid w:val="08E1BD8B"/>
    <w:rsid w:val="08E1F2EF"/>
    <w:rsid w:val="08E218F4"/>
    <w:rsid w:val="08E38716"/>
    <w:rsid w:val="08E41453"/>
    <w:rsid w:val="08E427A0"/>
    <w:rsid w:val="08E5C62E"/>
    <w:rsid w:val="08E64864"/>
    <w:rsid w:val="08E6EB41"/>
    <w:rsid w:val="08E77F08"/>
    <w:rsid w:val="08E8CE0A"/>
    <w:rsid w:val="08EAB02F"/>
    <w:rsid w:val="08EE2699"/>
    <w:rsid w:val="08EF4022"/>
    <w:rsid w:val="08EF8618"/>
    <w:rsid w:val="08EFDFAE"/>
    <w:rsid w:val="08F051B9"/>
    <w:rsid w:val="08F1C1A5"/>
    <w:rsid w:val="08F1DAD2"/>
    <w:rsid w:val="08F20E90"/>
    <w:rsid w:val="08F22BFE"/>
    <w:rsid w:val="08F296BC"/>
    <w:rsid w:val="08F32DCC"/>
    <w:rsid w:val="08F53E70"/>
    <w:rsid w:val="08F5766C"/>
    <w:rsid w:val="08F73BA7"/>
    <w:rsid w:val="08F7C665"/>
    <w:rsid w:val="08F84736"/>
    <w:rsid w:val="08F945AD"/>
    <w:rsid w:val="08F9A394"/>
    <w:rsid w:val="08F9AE6E"/>
    <w:rsid w:val="08FC7E28"/>
    <w:rsid w:val="08FE6CA9"/>
    <w:rsid w:val="090027DC"/>
    <w:rsid w:val="09003906"/>
    <w:rsid w:val="0901531C"/>
    <w:rsid w:val="0901F637"/>
    <w:rsid w:val="090392C3"/>
    <w:rsid w:val="0908004E"/>
    <w:rsid w:val="09088238"/>
    <w:rsid w:val="0909ED18"/>
    <w:rsid w:val="0909F2FF"/>
    <w:rsid w:val="090A7649"/>
    <w:rsid w:val="090A76D0"/>
    <w:rsid w:val="090BE618"/>
    <w:rsid w:val="090C3F01"/>
    <w:rsid w:val="090C7C7B"/>
    <w:rsid w:val="090D0FE7"/>
    <w:rsid w:val="090D74D2"/>
    <w:rsid w:val="090D835E"/>
    <w:rsid w:val="090E1AFE"/>
    <w:rsid w:val="090EA60E"/>
    <w:rsid w:val="090F789F"/>
    <w:rsid w:val="09109B9C"/>
    <w:rsid w:val="0910EC51"/>
    <w:rsid w:val="0911CB11"/>
    <w:rsid w:val="091241BA"/>
    <w:rsid w:val="0914A76E"/>
    <w:rsid w:val="09158463"/>
    <w:rsid w:val="09160735"/>
    <w:rsid w:val="09172116"/>
    <w:rsid w:val="0917DE13"/>
    <w:rsid w:val="09189D32"/>
    <w:rsid w:val="09189F81"/>
    <w:rsid w:val="091A522F"/>
    <w:rsid w:val="091B5050"/>
    <w:rsid w:val="091C0E55"/>
    <w:rsid w:val="091C2D04"/>
    <w:rsid w:val="091CC3FF"/>
    <w:rsid w:val="091D1E38"/>
    <w:rsid w:val="091DBAF0"/>
    <w:rsid w:val="091DD43B"/>
    <w:rsid w:val="091E523A"/>
    <w:rsid w:val="091E7DCF"/>
    <w:rsid w:val="091F5B46"/>
    <w:rsid w:val="091F6824"/>
    <w:rsid w:val="0921261C"/>
    <w:rsid w:val="09215B59"/>
    <w:rsid w:val="09227D86"/>
    <w:rsid w:val="0922CADA"/>
    <w:rsid w:val="0922E6C5"/>
    <w:rsid w:val="09241893"/>
    <w:rsid w:val="09270A51"/>
    <w:rsid w:val="0929307D"/>
    <w:rsid w:val="09293AC0"/>
    <w:rsid w:val="092B1953"/>
    <w:rsid w:val="092B7876"/>
    <w:rsid w:val="092CDC10"/>
    <w:rsid w:val="092E10CA"/>
    <w:rsid w:val="092F2995"/>
    <w:rsid w:val="093024CF"/>
    <w:rsid w:val="09325E04"/>
    <w:rsid w:val="0933DCC2"/>
    <w:rsid w:val="0933EEB6"/>
    <w:rsid w:val="09343BFA"/>
    <w:rsid w:val="093447DA"/>
    <w:rsid w:val="0935A00F"/>
    <w:rsid w:val="0936592E"/>
    <w:rsid w:val="093790A4"/>
    <w:rsid w:val="09387BA5"/>
    <w:rsid w:val="0938DAB1"/>
    <w:rsid w:val="093D2413"/>
    <w:rsid w:val="093DAC95"/>
    <w:rsid w:val="09401F9A"/>
    <w:rsid w:val="0940D094"/>
    <w:rsid w:val="0940F670"/>
    <w:rsid w:val="0941473A"/>
    <w:rsid w:val="09414FD1"/>
    <w:rsid w:val="0943E87D"/>
    <w:rsid w:val="0944CB99"/>
    <w:rsid w:val="0946ED12"/>
    <w:rsid w:val="094856FE"/>
    <w:rsid w:val="0948A5E8"/>
    <w:rsid w:val="094A08CA"/>
    <w:rsid w:val="094B47AA"/>
    <w:rsid w:val="094C518A"/>
    <w:rsid w:val="094D6BAA"/>
    <w:rsid w:val="094DCE9C"/>
    <w:rsid w:val="09531F2A"/>
    <w:rsid w:val="0954950A"/>
    <w:rsid w:val="09551987"/>
    <w:rsid w:val="095700C4"/>
    <w:rsid w:val="0958BB9C"/>
    <w:rsid w:val="0958CAAD"/>
    <w:rsid w:val="0959664D"/>
    <w:rsid w:val="095BB691"/>
    <w:rsid w:val="095CA563"/>
    <w:rsid w:val="095CB921"/>
    <w:rsid w:val="095DEDE0"/>
    <w:rsid w:val="0961979B"/>
    <w:rsid w:val="0961C6C7"/>
    <w:rsid w:val="0961F5AA"/>
    <w:rsid w:val="0962D050"/>
    <w:rsid w:val="0962F662"/>
    <w:rsid w:val="09630D99"/>
    <w:rsid w:val="09639F73"/>
    <w:rsid w:val="09644A45"/>
    <w:rsid w:val="096781A4"/>
    <w:rsid w:val="0967DF78"/>
    <w:rsid w:val="09682BD1"/>
    <w:rsid w:val="0968C2CD"/>
    <w:rsid w:val="0968F432"/>
    <w:rsid w:val="096C8EDF"/>
    <w:rsid w:val="096CCA3B"/>
    <w:rsid w:val="096CCE50"/>
    <w:rsid w:val="096E505F"/>
    <w:rsid w:val="096E5475"/>
    <w:rsid w:val="096E8C28"/>
    <w:rsid w:val="096F069C"/>
    <w:rsid w:val="096F502C"/>
    <w:rsid w:val="096FB9D7"/>
    <w:rsid w:val="096FCB96"/>
    <w:rsid w:val="09713AF5"/>
    <w:rsid w:val="0971D35E"/>
    <w:rsid w:val="097433F1"/>
    <w:rsid w:val="097448A5"/>
    <w:rsid w:val="0975B22F"/>
    <w:rsid w:val="0975D227"/>
    <w:rsid w:val="097639EC"/>
    <w:rsid w:val="0976AD92"/>
    <w:rsid w:val="0976B892"/>
    <w:rsid w:val="0976F6AE"/>
    <w:rsid w:val="097ACF67"/>
    <w:rsid w:val="097B341C"/>
    <w:rsid w:val="097BF743"/>
    <w:rsid w:val="097C45D5"/>
    <w:rsid w:val="097D36C5"/>
    <w:rsid w:val="097F502C"/>
    <w:rsid w:val="097FBBA0"/>
    <w:rsid w:val="097FBD64"/>
    <w:rsid w:val="09800C9E"/>
    <w:rsid w:val="09816D10"/>
    <w:rsid w:val="098233C3"/>
    <w:rsid w:val="0982EA9E"/>
    <w:rsid w:val="0983405B"/>
    <w:rsid w:val="0983ABE5"/>
    <w:rsid w:val="09850212"/>
    <w:rsid w:val="0986E405"/>
    <w:rsid w:val="0987FC82"/>
    <w:rsid w:val="098AA291"/>
    <w:rsid w:val="098AF8C5"/>
    <w:rsid w:val="098E348F"/>
    <w:rsid w:val="098E3893"/>
    <w:rsid w:val="098E6B23"/>
    <w:rsid w:val="098F4E53"/>
    <w:rsid w:val="09915579"/>
    <w:rsid w:val="09922FD9"/>
    <w:rsid w:val="0992811C"/>
    <w:rsid w:val="09946ACF"/>
    <w:rsid w:val="099501D7"/>
    <w:rsid w:val="0995072E"/>
    <w:rsid w:val="0995BCB7"/>
    <w:rsid w:val="0995FEA7"/>
    <w:rsid w:val="09989A32"/>
    <w:rsid w:val="09989F67"/>
    <w:rsid w:val="099A8754"/>
    <w:rsid w:val="099ADF07"/>
    <w:rsid w:val="09A1375B"/>
    <w:rsid w:val="09A3454B"/>
    <w:rsid w:val="09A3A895"/>
    <w:rsid w:val="09A67068"/>
    <w:rsid w:val="09A6D8FB"/>
    <w:rsid w:val="09A83BF3"/>
    <w:rsid w:val="09AA0428"/>
    <w:rsid w:val="09AA7A3C"/>
    <w:rsid w:val="09AB60AF"/>
    <w:rsid w:val="09ABAEA6"/>
    <w:rsid w:val="09AC9693"/>
    <w:rsid w:val="09ACC09F"/>
    <w:rsid w:val="09B1032E"/>
    <w:rsid w:val="09B1701E"/>
    <w:rsid w:val="09B421B9"/>
    <w:rsid w:val="09B56E45"/>
    <w:rsid w:val="09B59C5A"/>
    <w:rsid w:val="09B9AD70"/>
    <w:rsid w:val="09BD0FA0"/>
    <w:rsid w:val="09BD4745"/>
    <w:rsid w:val="09BF011B"/>
    <w:rsid w:val="09BF7260"/>
    <w:rsid w:val="09C06F3D"/>
    <w:rsid w:val="09C0C1C0"/>
    <w:rsid w:val="09C0C95F"/>
    <w:rsid w:val="09C13FE3"/>
    <w:rsid w:val="09C200E2"/>
    <w:rsid w:val="09C207EF"/>
    <w:rsid w:val="09C28DCB"/>
    <w:rsid w:val="09C2B7C1"/>
    <w:rsid w:val="09C2BB44"/>
    <w:rsid w:val="09C31811"/>
    <w:rsid w:val="09C3B5B8"/>
    <w:rsid w:val="09C4EEE6"/>
    <w:rsid w:val="09C5BEF2"/>
    <w:rsid w:val="09C68118"/>
    <w:rsid w:val="09C6CE74"/>
    <w:rsid w:val="09C71902"/>
    <w:rsid w:val="09C7D7FD"/>
    <w:rsid w:val="09C9E1E9"/>
    <w:rsid w:val="09CAB87B"/>
    <w:rsid w:val="09CB9D93"/>
    <w:rsid w:val="09CBEBFC"/>
    <w:rsid w:val="09CC5708"/>
    <w:rsid w:val="09CD9803"/>
    <w:rsid w:val="09CE048F"/>
    <w:rsid w:val="09CFBA49"/>
    <w:rsid w:val="09CFE9C4"/>
    <w:rsid w:val="09D19200"/>
    <w:rsid w:val="09D26BCD"/>
    <w:rsid w:val="09D292F2"/>
    <w:rsid w:val="09D2F5E2"/>
    <w:rsid w:val="09D321C5"/>
    <w:rsid w:val="09D453C3"/>
    <w:rsid w:val="09D48516"/>
    <w:rsid w:val="09D633A0"/>
    <w:rsid w:val="09D6F505"/>
    <w:rsid w:val="09D75A2B"/>
    <w:rsid w:val="09D99A79"/>
    <w:rsid w:val="09D9EB16"/>
    <w:rsid w:val="09DA5683"/>
    <w:rsid w:val="09DAFADA"/>
    <w:rsid w:val="09DB0278"/>
    <w:rsid w:val="09DCB8AC"/>
    <w:rsid w:val="09DDB75D"/>
    <w:rsid w:val="09DDEA1E"/>
    <w:rsid w:val="09DE5571"/>
    <w:rsid w:val="09DF50E2"/>
    <w:rsid w:val="09DFC753"/>
    <w:rsid w:val="09DFF00A"/>
    <w:rsid w:val="09E0F153"/>
    <w:rsid w:val="09E15797"/>
    <w:rsid w:val="09E2B68A"/>
    <w:rsid w:val="09E2DBA6"/>
    <w:rsid w:val="09E3BC86"/>
    <w:rsid w:val="09E3F8A4"/>
    <w:rsid w:val="09E42576"/>
    <w:rsid w:val="09E42AEE"/>
    <w:rsid w:val="09E510E2"/>
    <w:rsid w:val="09E5239E"/>
    <w:rsid w:val="09E5886E"/>
    <w:rsid w:val="09E62FAF"/>
    <w:rsid w:val="09E6EB59"/>
    <w:rsid w:val="09E6FD42"/>
    <w:rsid w:val="09E893F1"/>
    <w:rsid w:val="09E92B3F"/>
    <w:rsid w:val="09E96FEC"/>
    <w:rsid w:val="09E9F192"/>
    <w:rsid w:val="09EB07E6"/>
    <w:rsid w:val="09EC3A4D"/>
    <w:rsid w:val="09EF44AF"/>
    <w:rsid w:val="09F270B6"/>
    <w:rsid w:val="09F3C500"/>
    <w:rsid w:val="09F6AB23"/>
    <w:rsid w:val="09FAACDA"/>
    <w:rsid w:val="09FAB290"/>
    <w:rsid w:val="09FAB5E7"/>
    <w:rsid w:val="09FABBA3"/>
    <w:rsid w:val="09FB1F02"/>
    <w:rsid w:val="09FB2BE6"/>
    <w:rsid w:val="09FB5CD2"/>
    <w:rsid w:val="09FCEA12"/>
    <w:rsid w:val="09FE1682"/>
    <w:rsid w:val="09FF4768"/>
    <w:rsid w:val="0A03A337"/>
    <w:rsid w:val="0A04B0BD"/>
    <w:rsid w:val="0A0604C1"/>
    <w:rsid w:val="0A074656"/>
    <w:rsid w:val="0A07AC4D"/>
    <w:rsid w:val="0A0A8705"/>
    <w:rsid w:val="0A0AF677"/>
    <w:rsid w:val="0A0B4CD6"/>
    <w:rsid w:val="0A0B4D1E"/>
    <w:rsid w:val="0A0C72B4"/>
    <w:rsid w:val="0A0D429D"/>
    <w:rsid w:val="0A0E0360"/>
    <w:rsid w:val="0A0E97C8"/>
    <w:rsid w:val="0A0F5F32"/>
    <w:rsid w:val="0A106A83"/>
    <w:rsid w:val="0A118DB4"/>
    <w:rsid w:val="0A1193BC"/>
    <w:rsid w:val="0A11B11E"/>
    <w:rsid w:val="0A123650"/>
    <w:rsid w:val="0A126735"/>
    <w:rsid w:val="0A12715E"/>
    <w:rsid w:val="0A13BBD3"/>
    <w:rsid w:val="0A13CDA2"/>
    <w:rsid w:val="0A1422D0"/>
    <w:rsid w:val="0A14F824"/>
    <w:rsid w:val="0A158F10"/>
    <w:rsid w:val="0A19CD4C"/>
    <w:rsid w:val="0A1A4D74"/>
    <w:rsid w:val="0A1C7E89"/>
    <w:rsid w:val="0A1D086C"/>
    <w:rsid w:val="0A1D5BF2"/>
    <w:rsid w:val="0A1E290C"/>
    <w:rsid w:val="0A1E54D3"/>
    <w:rsid w:val="0A1F1DF4"/>
    <w:rsid w:val="0A2085AE"/>
    <w:rsid w:val="0A20EC13"/>
    <w:rsid w:val="0A2177E1"/>
    <w:rsid w:val="0A224200"/>
    <w:rsid w:val="0A24C1F2"/>
    <w:rsid w:val="0A25648B"/>
    <w:rsid w:val="0A26039F"/>
    <w:rsid w:val="0A2648FB"/>
    <w:rsid w:val="0A29D63A"/>
    <w:rsid w:val="0A2AE34A"/>
    <w:rsid w:val="0A2AF8DB"/>
    <w:rsid w:val="0A2DA46C"/>
    <w:rsid w:val="0A2F03D5"/>
    <w:rsid w:val="0A30A569"/>
    <w:rsid w:val="0A32D4CF"/>
    <w:rsid w:val="0A334A17"/>
    <w:rsid w:val="0A34C486"/>
    <w:rsid w:val="0A36CF04"/>
    <w:rsid w:val="0A36D916"/>
    <w:rsid w:val="0A377FBB"/>
    <w:rsid w:val="0A37A27D"/>
    <w:rsid w:val="0A37B960"/>
    <w:rsid w:val="0A37E65B"/>
    <w:rsid w:val="0A381484"/>
    <w:rsid w:val="0A3AB77B"/>
    <w:rsid w:val="0A3BD439"/>
    <w:rsid w:val="0A3C6AAC"/>
    <w:rsid w:val="0A3E65C5"/>
    <w:rsid w:val="0A400469"/>
    <w:rsid w:val="0A40F2DF"/>
    <w:rsid w:val="0A41537E"/>
    <w:rsid w:val="0A42097D"/>
    <w:rsid w:val="0A446B9B"/>
    <w:rsid w:val="0A460703"/>
    <w:rsid w:val="0A46D310"/>
    <w:rsid w:val="0A477E4A"/>
    <w:rsid w:val="0A4B80C3"/>
    <w:rsid w:val="0A4C31C9"/>
    <w:rsid w:val="0A4D756A"/>
    <w:rsid w:val="0A4DB436"/>
    <w:rsid w:val="0A4E9BDB"/>
    <w:rsid w:val="0A4EBC1D"/>
    <w:rsid w:val="0A4F13E4"/>
    <w:rsid w:val="0A502F65"/>
    <w:rsid w:val="0A541083"/>
    <w:rsid w:val="0A54653D"/>
    <w:rsid w:val="0A558C4C"/>
    <w:rsid w:val="0A560249"/>
    <w:rsid w:val="0A567CC7"/>
    <w:rsid w:val="0A578C81"/>
    <w:rsid w:val="0A5C923F"/>
    <w:rsid w:val="0A5C92E3"/>
    <w:rsid w:val="0A5CA38C"/>
    <w:rsid w:val="0A5D058A"/>
    <w:rsid w:val="0A5F1E72"/>
    <w:rsid w:val="0A5F9235"/>
    <w:rsid w:val="0A62EEF5"/>
    <w:rsid w:val="0A63E5A9"/>
    <w:rsid w:val="0A654A35"/>
    <w:rsid w:val="0A66D5B3"/>
    <w:rsid w:val="0A687EFD"/>
    <w:rsid w:val="0A69E27B"/>
    <w:rsid w:val="0A6B0BFD"/>
    <w:rsid w:val="0A6B212A"/>
    <w:rsid w:val="0A6B8F21"/>
    <w:rsid w:val="0A6C0C5A"/>
    <w:rsid w:val="0A6E8E86"/>
    <w:rsid w:val="0A6F164E"/>
    <w:rsid w:val="0A6F8CEC"/>
    <w:rsid w:val="0A705C09"/>
    <w:rsid w:val="0A70F9B8"/>
    <w:rsid w:val="0A715B2C"/>
    <w:rsid w:val="0A717296"/>
    <w:rsid w:val="0A72E9B9"/>
    <w:rsid w:val="0A73F9FE"/>
    <w:rsid w:val="0A747E1B"/>
    <w:rsid w:val="0A75074C"/>
    <w:rsid w:val="0A756BB7"/>
    <w:rsid w:val="0A75D9E3"/>
    <w:rsid w:val="0A7612FF"/>
    <w:rsid w:val="0A76BD2C"/>
    <w:rsid w:val="0A7755EB"/>
    <w:rsid w:val="0A78D44E"/>
    <w:rsid w:val="0A7A1625"/>
    <w:rsid w:val="0A7A5259"/>
    <w:rsid w:val="0A7A9F59"/>
    <w:rsid w:val="0A7AD9A6"/>
    <w:rsid w:val="0A7BCC6E"/>
    <w:rsid w:val="0A7C78BA"/>
    <w:rsid w:val="0A80429A"/>
    <w:rsid w:val="0A834961"/>
    <w:rsid w:val="0A835267"/>
    <w:rsid w:val="0A854927"/>
    <w:rsid w:val="0A855E1F"/>
    <w:rsid w:val="0A860BCC"/>
    <w:rsid w:val="0A874E73"/>
    <w:rsid w:val="0A87814E"/>
    <w:rsid w:val="0A88A776"/>
    <w:rsid w:val="0A88D124"/>
    <w:rsid w:val="0A88D306"/>
    <w:rsid w:val="0A8AE5BF"/>
    <w:rsid w:val="0A8C96C5"/>
    <w:rsid w:val="0A8CB366"/>
    <w:rsid w:val="0A8D6A9D"/>
    <w:rsid w:val="0A8D72AA"/>
    <w:rsid w:val="0A8EBC18"/>
    <w:rsid w:val="0A8FA3D0"/>
    <w:rsid w:val="0A90E227"/>
    <w:rsid w:val="0A9115CF"/>
    <w:rsid w:val="0A915FC1"/>
    <w:rsid w:val="0A91D61A"/>
    <w:rsid w:val="0A91E699"/>
    <w:rsid w:val="0A9242C9"/>
    <w:rsid w:val="0A9259EF"/>
    <w:rsid w:val="0A932303"/>
    <w:rsid w:val="0A93D708"/>
    <w:rsid w:val="0A957ADB"/>
    <w:rsid w:val="0A96E322"/>
    <w:rsid w:val="0A99685B"/>
    <w:rsid w:val="0A99D1F5"/>
    <w:rsid w:val="0A9A11EE"/>
    <w:rsid w:val="0A9A5564"/>
    <w:rsid w:val="0A9A6B67"/>
    <w:rsid w:val="0A9B8441"/>
    <w:rsid w:val="0A9CE784"/>
    <w:rsid w:val="0A9D5270"/>
    <w:rsid w:val="0A9DBC14"/>
    <w:rsid w:val="0A9F8F79"/>
    <w:rsid w:val="0A9FF163"/>
    <w:rsid w:val="0AA00276"/>
    <w:rsid w:val="0AA22274"/>
    <w:rsid w:val="0AA2D669"/>
    <w:rsid w:val="0AA35069"/>
    <w:rsid w:val="0AA3E234"/>
    <w:rsid w:val="0AA3FE18"/>
    <w:rsid w:val="0AA40682"/>
    <w:rsid w:val="0AA4100D"/>
    <w:rsid w:val="0AA4B45B"/>
    <w:rsid w:val="0AA563EE"/>
    <w:rsid w:val="0AA660B6"/>
    <w:rsid w:val="0AA6F59F"/>
    <w:rsid w:val="0AA849D0"/>
    <w:rsid w:val="0AAA9AF3"/>
    <w:rsid w:val="0AACC391"/>
    <w:rsid w:val="0AAEF872"/>
    <w:rsid w:val="0AB02554"/>
    <w:rsid w:val="0AB40DD9"/>
    <w:rsid w:val="0AB46A49"/>
    <w:rsid w:val="0AB4B1BA"/>
    <w:rsid w:val="0AB710D7"/>
    <w:rsid w:val="0AB739F9"/>
    <w:rsid w:val="0AB83546"/>
    <w:rsid w:val="0AB84225"/>
    <w:rsid w:val="0AB999A5"/>
    <w:rsid w:val="0ABC887A"/>
    <w:rsid w:val="0ABE2E25"/>
    <w:rsid w:val="0ABE8426"/>
    <w:rsid w:val="0ABEA221"/>
    <w:rsid w:val="0ABF1932"/>
    <w:rsid w:val="0AC0E39C"/>
    <w:rsid w:val="0AC100C9"/>
    <w:rsid w:val="0AC12DA1"/>
    <w:rsid w:val="0AC20639"/>
    <w:rsid w:val="0AC3426D"/>
    <w:rsid w:val="0AC3999B"/>
    <w:rsid w:val="0AC3EFCE"/>
    <w:rsid w:val="0AC48C3D"/>
    <w:rsid w:val="0AC845BC"/>
    <w:rsid w:val="0ACA4775"/>
    <w:rsid w:val="0ACA6F8C"/>
    <w:rsid w:val="0ACB6AA5"/>
    <w:rsid w:val="0ACF15DA"/>
    <w:rsid w:val="0ACF6721"/>
    <w:rsid w:val="0ACFB2C0"/>
    <w:rsid w:val="0ACFBB2B"/>
    <w:rsid w:val="0ACFF197"/>
    <w:rsid w:val="0AD1C961"/>
    <w:rsid w:val="0AD5A5E9"/>
    <w:rsid w:val="0AD5B09A"/>
    <w:rsid w:val="0AD6A9FA"/>
    <w:rsid w:val="0AD86B66"/>
    <w:rsid w:val="0AD9812F"/>
    <w:rsid w:val="0AD988E8"/>
    <w:rsid w:val="0AD9EC27"/>
    <w:rsid w:val="0ADB2A0B"/>
    <w:rsid w:val="0ADD7F10"/>
    <w:rsid w:val="0ADE94B7"/>
    <w:rsid w:val="0AE0B86A"/>
    <w:rsid w:val="0AE0FF47"/>
    <w:rsid w:val="0AE10F64"/>
    <w:rsid w:val="0AE356CD"/>
    <w:rsid w:val="0AE436B5"/>
    <w:rsid w:val="0AE54860"/>
    <w:rsid w:val="0AE5B0B8"/>
    <w:rsid w:val="0AE69204"/>
    <w:rsid w:val="0AE74094"/>
    <w:rsid w:val="0AE9FBFF"/>
    <w:rsid w:val="0AEBB39A"/>
    <w:rsid w:val="0AEBD4E8"/>
    <w:rsid w:val="0AEC20CD"/>
    <w:rsid w:val="0AEC7880"/>
    <w:rsid w:val="0AEC9D26"/>
    <w:rsid w:val="0AED4B00"/>
    <w:rsid w:val="0AEE1491"/>
    <w:rsid w:val="0AEEB768"/>
    <w:rsid w:val="0AF008FC"/>
    <w:rsid w:val="0AF0BA88"/>
    <w:rsid w:val="0AF39D2E"/>
    <w:rsid w:val="0AF3CB10"/>
    <w:rsid w:val="0AF49703"/>
    <w:rsid w:val="0AF4B92E"/>
    <w:rsid w:val="0AF528BC"/>
    <w:rsid w:val="0AF6B7C0"/>
    <w:rsid w:val="0AF7A1D1"/>
    <w:rsid w:val="0AF7DA37"/>
    <w:rsid w:val="0AF7E651"/>
    <w:rsid w:val="0AF848B6"/>
    <w:rsid w:val="0AF9BB00"/>
    <w:rsid w:val="0AF9F73E"/>
    <w:rsid w:val="0AFDDE6F"/>
    <w:rsid w:val="0B000422"/>
    <w:rsid w:val="0B0398DF"/>
    <w:rsid w:val="0B03FE8E"/>
    <w:rsid w:val="0B04D3CC"/>
    <w:rsid w:val="0B055CB0"/>
    <w:rsid w:val="0B08C661"/>
    <w:rsid w:val="0B08E729"/>
    <w:rsid w:val="0B099928"/>
    <w:rsid w:val="0B09AA86"/>
    <w:rsid w:val="0B0B0106"/>
    <w:rsid w:val="0B0B41E4"/>
    <w:rsid w:val="0B0D000E"/>
    <w:rsid w:val="0B0D7E60"/>
    <w:rsid w:val="0B10948A"/>
    <w:rsid w:val="0B123AA1"/>
    <w:rsid w:val="0B149AD3"/>
    <w:rsid w:val="0B16B820"/>
    <w:rsid w:val="0B1767FC"/>
    <w:rsid w:val="0B178D4B"/>
    <w:rsid w:val="0B1947CA"/>
    <w:rsid w:val="0B19A407"/>
    <w:rsid w:val="0B1A53D0"/>
    <w:rsid w:val="0B1DBB60"/>
    <w:rsid w:val="0B20EB81"/>
    <w:rsid w:val="0B22A551"/>
    <w:rsid w:val="0B231DC3"/>
    <w:rsid w:val="0B23A547"/>
    <w:rsid w:val="0B23BDF8"/>
    <w:rsid w:val="0B23C673"/>
    <w:rsid w:val="0B242ABE"/>
    <w:rsid w:val="0B25A170"/>
    <w:rsid w:val="0B25C6D8"/>
    <w:rsid w:val="0B25D94A"/>
    <w:rsid w:val="0B25E55F"/>
    <w:rsid w:val="0B26C78C"/>
    <w:rsid w:val="0B29391A"/>
    <w:rsid w:val="0B293C36"/>
    <w:rsid w:val="0B29C1FE"/>
    <w:rsid w:val="0B29C553"/>
    <w:rsid w:val="0B2B8575"/>
    <w:rsid w:val="0B2BD048"/>
    <w:rsid w:val="0B2BEC96"/>
    <w:rsid w:val="0B2CD79B"/>
    <w:rsid w:val="0B2DDEB2"/>
    <w:rsid w:val="0B3130AA"/>
    <w:rsid w:val="0B31AD02"/>
    <w:rsid w:val="0B349423"/>
    <w:rsid w:val="0B3497B0"/>
    <w:rsid w:val="0B36FE88"/>
    <w:rsid w:val="0B374ED3"/>
    <w:rsid w:val="0B384E75"/>
    <w:rsid w:val="0B38D1C3"/>
    <w:rsid w:val="0B38EB3E"/>
    <w:rsid w:val="0B3978D2"/>
    <w:rsid w:val="0B39AD31"/>
    <w:rsid w:val="0B39D3F4"/>
    <w:rsid w:val="0B3A0A3F"/>
    <w:rsid w:val="0B3ACC4B"/>
    <w:rsid w:val="0B3B644F"/>
    <w:rsid w:val="0B3B758A"/>
    <w:rsid w:val="0B3C24CE"/>
    <w:rsid w:val="0B3DC30A"/>
    <w:rsid w:val="0B3E4D87"/>
    <w:rsid w:val="0B4133A1"/>
    <w:rsid w:val="0B41D0C3"/>
    <w:rsid w:val="0B428DCA"/>
    <w:rsid w:val="0B4394BF"/>
    <w:rsid w:val="0B447DFE"/>
    <w:rsid w:val="0B44B9B1"/>
    <w:rsid w:val="0B4535AE"/>
    <w:rsid w:val="0B454ECA"/>
    <w:rsid w:val="0B479DD2"/>
    <w:rsid w:val="0B47F81B"/>
    <w:rsid w:val="0B4A6E77"/>
    <w:rsid w:val="0B4AC4AE"/>
    <w:rsid w:val="0B4C3A25"/>
    <w:rsid w:val="0B4C7250"/>
    <w:rsid w:val="0B4C835E"/>
    <w:rsid w:val="0B4D16E8"/>
    <w:rsid w:val="0B4E8139"/>
    <w:rsid w:val="0B4E85B8"/>
    <w:rsid w:val="0B4FA68A"/>
    <w:rsid w:val="0B5057C8"/>
    <w:rsid w:val="0B513E9B"/>
    <w:rsid w:val="0B529AF2"/>
    <w:rsid w:val="0B531F61"/>
    <w:rsid w:val="0B54B2A5"/>
    <w:rsid w:val="0B5598CD"/>
    <w:rsid w:val="0B55E659"/>
    <w:rsid w:val="0B561D15"/>
    <w:rsid w:val="0B5659B9"/>
    <w:rsid w:val="0B56A037"/>
    <w:rsid w:val="0B574E79"/>
    <w:rsid w:val="0B57BC1B"/>
    <w:rsid w:val="0B584A83"/>
    <w:rsid w:val="0B597CFC"/>
    <w:rsid w:val="0B59D64D"/>
    <w:rsid w:val="0B59F503"/>
    <w:rsid w:val="0B5B38D1"/>
    <w:rsid w:val="0B5C960C"/>
    <w:rsid w:val="0B5DF19A"/>
    <w:rsid w:val="0B5E5F69"/>
    <w:rsid w:val="0B5E85E8"/>
    <w:rsid w:val="0B600116"/>
    <w:rsid w:val="0B6041ED"/>
    <w:rsid w:val="0B61C34D"/>
    <w:rsid w:val="0B61C4BD"/>
    <w:rsid w:val="0B634881"/>
    <w:rsid w:val="0B65C66C"/>
    <w:rsid w:val="0B6692D1"/>
    <w:rsid w:val="0B68C7C8"/>
    <w:rsid w:val="0B6946C0"/>
    <w:rsid w:val="0B6CDFC4"/>
    <w:rsid w:val="0B6E3FEA"/>
    <w:rsid w:val="0B6EF7D7"/>
    <w:rsid w:val="0B6FC6B8"/>
    <w:rsid w:val="0B707194"/>
    <w:rsid w:val="0B71E95E"/>
    <w:rsid w:val="0B725B0B"/>
    <w:rsid w:val="0B7293DB"/>
    <w:rsid w:val="0B72E9FD"/>
    <w:rsid w:val="0B7348D0"/>
    <w:rsid w:val="0B739830"/>
    <w:rsid w:val="0B74854E"/>
    <w:rsid w:val="0B748E1F"/>
    <w:rsid w:val="0B74A736"/>
    <w:rsid w:val="0B74A8C8"/>
    <w:rsid w:val="0B7608D7"/>
    <w:rsid w:val="0B78C28F"/>
    <w:rsid w:val="0B79DE0A"/>
    <w:rsid w:val="0B7A8BDD"/>
    <w:rsid w:val="0B7F1F3D"/>
    <w:rsid w:val="0B80FD9E"/>
    <w:rsid w:val="0B842378"/>
    <w:rsid w:val="0B8506EC"/>
    <w:rsid w:val="0B85BF29"/>
    <w:rsid w:val="0B88CF30"/>
    <w:rsid w:val="0B8A4854"/>
    <w:rsid w:val="0B8AA625"/>
    <w:rsid w:val="0B8BA669"/>
    <w:rsid w:val="0B8BBFB4"/>
    <w:rsid w:val="0B8C1EDD"/>
    <w:rsid w:val="0B8D7BE0"/>
    <w:rsid w:val="0B8E2DC7"/>
    <w:rsid w:val="0B8EA85B"/>
    <w:rsid w:val="0B8FC919"/>
    <w:rsid w:val="0B9097E2"/>
    <w:rsid w:val="0B924A5F"/>
    <w:rsid w:val="0B92AAB9"/>
    <w:rsid w:val="0B92DCBB"/>
    <w:rsid w:val="0B936B5A"/>
    <w:rsid w:val="0B93ACD2"/>
    <w:rsid w:val="0B942BC5"/>
    <w:rsid w:val="0B947D43"/>
    <w:rsid w:val="0B94D7B6"/>
    <w:rsid w:val="0B959CBA"/>
    <w:rsid w:val="0B97299B"/>
    <w:rsid w:val="0B9A13CB"/>
    <w:rsid w:val="0B9A4ECB"/>
    <w:rsid w:val="0B9A6EB9"/>
    <w:rsid w:val="0B9BFF0D"/>
    <w:rsid w:val="0B9D40AB"/>
    <w:rsid w:val="0BA039B7"/>
    <w:rsid w:val="0BA058D3"/>
    <w:rsid w:val="0BA18D9B"/>
    <w:rsid w:val="0BA28127"/>
    <w:rsid w:val="0BA28D1E"/>
    <w:rsid w:val="0BA306D5"/>
    <w:rsid w:val="0BA33A5E"/>
    <w:rsid w:val="0BA40422"/>
    <w:rsid w:val="0BA54560"/>
    <w:rsid w:val="0BA6FD45"/>
    <w:rsid w:val="0BA7AC50"/>
    <w:rsid w:val="0BAA1BBB"/>
    <w:rsid w:val="0BAA4339"/>
    <w:rsid w:val="0BABF839"/>
    <w:rsid w:val="0BAF0BFF"/>
    <w:rsid w:val="0BAFA94A"/>
    <w:rsid w:val="0BB04092"/>
    <w:rsid w:val="0BB16B2A"/>
    <w:rsid w:val="0BB18517"/>
    <w:rsid w:val="0BB41258"/>
    <w:rsid w:val="0BB7BD6F"/>
    <w:rsid w:val="0BB833CD"/>
    <w:rsid w:val="0BB93537"/>
    <w:rsid w:val="0BBA82B2"/>
    <w:rsid w:val="0BBAC385"/>
    <w:rsid w:val="0BBC7CAB"/>
    <w:rsid w:val="0BBDF7D0"/>
    <w:rsid w:val="0BBE0E49"/>
    <w:rsid w:val="0BBE3304"/>
    <w:rsid w:val="0BBF7772"/>
    <w:rsid w:val="0BBFC7D3"/>
    <w:rsid w:val="0BC03C30"/>
    <w:rsid w:val="0BC106FF"/>
    <w:rsid w:val="0BC1DAC5"/>
    <w:rsid w:val="0BC207D7"/>
    <w:rsid w:val="0BC2FE8C"/>
    <w:rsid w:val="0BC4ECB3"/>
    <w:rsid w:val="0BC4FD9C"/>
    <w:rsid w:val="0BC5F19E"/>
    <w:rsid w:val="0BC64FDB"/>
    <w:rsid w:val="0BC72D4E"/>
    <w:rsid w:val="0BC7C462"/>
    <w:rsid w:val="0BC848B4"/>
    <w:rsid w:val="0BC9085E"/>
    <w:rsid w:val="0BC931BA"/>
    <w:rsid w:val="0BC982CA"/>
    <w:rsid w:val="0BCAABA3"/>
    <w:rsid w:val="0BCB6908"/>
    <w:rsid w:val="0BCC66CE"/>
    <w:rsid w:val="0BCCAA66"/>
    <w:rsid w:val="0BCCB8F9"/>
    <w:rsid w:val="0BCDD902"/>
    <w:rsid w:val="0BCE254E"/>
    <w:rsid w:val="0BCE677B"/>
    <w:rsid w:val="0BCF9F1E"/>
    <w:rsid w:val="0BCFA55E"/>
    <w:rsid w:val="0BD0A794"/>
    <w:rsid w:val="0BD3617B"/>
    <w:rsid w:val="0BD3A449"/>
    <w:rsid w:val="0BD46AF7"/>
    <w:rsid w:val="0BD5053C"/>
    <w:rsid w:val="0BD54D83"/>
    <w:rsid w:val="0BD5585B"/>
    <w:rsid w:val="0BD56467"/>
    <w:rsid w:val="0BD63998"/>
    <w:rsid w:val="0BD77F27"/>
    <w:rsid w:val="0BD7BA20"/>
    <w:rsid w:val="0BD8BAF5"/>
    <w:rsid w:val="0BD95CFE"/>
    <w:rsid w:val="0BDA9B25"/>
    <w:rsid w:val="0BDB1988"/>
    <w:rsid w:val="0BDBE95D"/>
    <w:rsid w:val="0BDC18BC"/>
    <w:rsid w:val="0BDC5F12"/>
    <w:rsid w:val="0BDE1D2C"/>
    <w:rsid w:val="0BDF3687"/>
    <w:rsid w:val="0BDF8A38"/>
    <w:rsid w:val="0BE1E4FC"/>
    <w:rsid w:val="0BE31C3E"/>
    <w:rsid w:val="0BE47510"/>
    <w:rsid w:val="0BE62A47"/>
    <w:rsid w:val="0BE63FD7"/>
    <w:rsid w:val="0BEA5A44"/>
    <w:rsid w:val="0BEB094C"/>
    <w:rsid w:val="0BEC2955"/>
    <w:rsid w:val="0BED00C7"/>
    <w:rsid w:val="0BEE1C9B"/>
    <w:rsid w:val="0BEE66C4"/>
    <w:rsid w:val="0BEE7B94"/>
    <w:rsid w:val="0BEF8A4B"/>
    <w:rsid w:val="0BEF9B15"/>
    <w:rsid w:val="0BF05080"/>
    <w:rsid w:val="0BF24157"/>
    <w:rsid w:val="0BF2EEDE"/>
    <w:rsid w:val="0BF50476"/>
    <w:rsid w:val="0BF58720"/>
    <w:rsid w:val="0BF5A239"/>
    <w:rsid w:val="0BF68E23"/>
    <w:rsid w:val="0BF78771"/>
    <w:rsid w:val="0BF8F530"/>
    <w:rsid w:val="0BF965AC"/>
    <w:rsid w:val="0BF97102"/>
    <w:rsid w:val="0BF9F79C"/>
    <w:rsid w:val="0BFA6F33"/>
    <w:rsid w:val="0BFA89D2"/>
    <w:rsid w:val="0BFB5C44"/>
    <w:rsid w:val="0BFB9242"/>
    <w:rsid w:val="0BFBA58E"/>
    <w:rsid w:val="0BFC2E2B"/>
    <w:rsid w:val="0BFCC4F7"/>
    <w:rsid w:val="0BFD0C7E"/>
    <w:rsid w:val="0BFEAE77"/>
    <w:rsid w:val="0BFF87AB"/>
    <w:rsid w:val="0C011FF1"/>
    <w:rsid w:val="0C012006"/>
    <w:rsid w:val="0C01C0CE"/>
    <w:rsid w:val="0C039BCA"/>
    <w:rsid w:val="0C03E25F"/>
    <w:rsid w:val="0C04194E"/>
    <w:rsid w:val="0C0519BD"/>
    <w:rsid w:val="0C05E5BE"/>
    <w:rsid w:val="0C07D7AB"/>
    <w:rsid w:val="0C07F374"/>
    <w:rsid w:val="0C09B146"/>
    <w:rsid w:val="0C0A10DD"/>
    <w:rsid w:val="0C0A9CEF"/>
    <w:rsid w:val="0C0B2531"/>
    <w:rsid w:val="0C0B72AC"/>
    <w:rsid w:val="0C0CA273"/>
    <w:rsid w:val="0C0D5C9C"/>
    <w:rsid w:val="0C0D69FA"/>
    <w:rsid w:val="0C0E99C7"/>
    <w:rsid w:val="0C0EBCCC"/>
    <w:rsid w:val="0C10ACD0"/>
    <w:rsid w:val="0C10BA1C"/>
    <w:rsid w:val="0C113B3C"/>
    <w:rsid w:val="0C12E3E2"/>
    <w:rsid w:val="0C131BDE"/>
    <w:rsid w:val="0C13BEDE"/>
    <w:rsid w:val="0C141D6D"/>
    <w:rsid w:val="0C1458E5"/>
    <w:rsid w:val="0C1462A1"/>
    <w:rsid w:val="0C156556"/>
    <w:rsid w:val="0C160505"/>
    <w:rsid w:val="0C16711F"/>
    <w:rsid w:val="0C182DA4"/>
    <w:rsid w:val="0C1A729E"/>
    <w:rsid w:val="0C1AAE7D"/>
    <w:rsid w:val="0C1CF07C"/>
    <w:rsid w:val="0C1DE9D7"/>
    <w:rsid w:val="0C1E0292"/>
    <w:rsid w:val="0C1E4E83"/>
    <w:rsid w:val="0C1EAF66"/>
    <w:rsid w:val="0C1F4FFD"/>
    <w:rsid w:val="0C23D96A"/>
    <w:rsid w:val="0C24157E"/>
    <w:rsid w:val="0C24D601"/>
    <w:rsid w:val="0C25C932"/>
    <w:rsid w:val="0C27791C"/>
    <w:rsid w:val="0C27DB47"/>
    <w:rsid w:val="0C27EE15"/>
    <w:rsid w:val="0C280C24"/>
    <w:rsid w:val="0C2845DD"/>
    <w:rsid w:val="0C28922D"/>
    <w:rsid w:val="0C28DCB1"/>
    <w:rsid w:val="0C29A7A2"/>
    <w:rsid w:val="0C2A2F95"/>
    <w:rsid w:val="0C2C190D"/>
    <w:rsid w:val="0C2C67DA"/>
    <w:rsid w:val="0C2C8B54"/>
    <w:rsid w:val="0C2E56A6"/>
    <w:rsid w:val="0C2F9196"/>
    <w:rsid w:val="0C2FA376"/>
    <w:rsid w:val="0C301D0E"/>
    <w:rsid w:val="0C308E39"/>
    <w:rsid w:val="0C31B7F7"/>
    <w:rsid w:val="0C320CF7"/>
    <w:rsid w:val="0C32E01B"/>
    <w:rsid w:val="0C33B30E"/>
    <w:rsid w:val="0C344F2A"/>
    <w:rsid w:val="0C34ABAA"/>
    <w:rsid w:val="0C34E7AD"/>
    <w:rsid w:val="0C355178"/>
    <w:rsid w:val="0C35849B"/>
    <w:rsid w:val="0C35C878"/>
    <w:rsid w:val="0C3672CE"/>
    <w:rsid w:val="0C37525C"/>
    <w:rsid w:val="0C386E29"/>
    <w:rsid w:val="0C388D59"/>
    <w:rsid w:val="0C389C0F"/>
    <w:rsid w:val="0C38EB2D"/>
    <w:rsid w:val="0C3936CE"/>
    <w:rsid w:val="0C3A261E"/>
    <w:rsid w:val="0C3A5C63"/>
    <w:rsid w:val="0C3C0260"/>
    <w:rsid w:val="0C3C26E3"/>
    <w:rsid w:val="0C3C755F"/>
    <w:rsid w:val="0C3D8F8E"/>
    <w:rsid w:val="0C3E257D"/>
    <w:rsid w:val="0C3E63B8"/>
    <w:rsid w:val="0C3E6B23"/>
    <w:rsid w:val="0C4029D7"/>
    <w:rsid w:val="0C420F5A"/>
    <w:rsid w:val="0C447122"/>
    <w:rsid w:val="0C449507"/>
    <w:rsid w:val="0C453BCB"/>
    <w:rsid w:val="0C4854C1"/>
    <w:rsid w:val="0C49ADBD"/>
    <w:rsid w:val="0C4A569F"/>
    <w:rsid w:val="0C4BF096"/>
    <w:rsid w:val="0C4C3869"/>
    <w:rsid w:val="0C4D5F54"/>
    <w:rsid w:val="0C4E4CB6"/>
    <w:rsid w:val="0C4E7F23"/>
    <w:rsid w:val="0C4F48B0"/>
    <w:rsid w:val="0C513F5F"/>
    <w:rsid w:val="0C51D449"/>
    <w:rsid w:val="0C52A911"/>
    <w:rsid w:val="0C52AC96"/>
    <w:rsid w:val="0C543DBA"/>
    <w:rsid w:val="0C55B3C9"/>
    <w:rsid w:val="0C55C5D7"/>
    <w:rsid w:val="0C57E7FC"/>
    <w:rsid w:val="0C5973AC"/>
    <w:rsid w:val="0C59B67F"/>
    <w:rsid w:val="0C5A5FE1"/>
    <w:rsid w:val="0C5AC665"/>
    <w:rsid w:val="0C5D345C"/>
    <w:rsid w:val="0C5D997C"/>
    <w:rsid w:val="0C5DC31B"/>
    <w:rsid w:val="0C5E445F"/>
    <w:rsid w:val="0C5EA643"/>
    <w:rsid w:val="0C5ED64A"/>
    <w:rsid w:val="0C5FA06C"/>
    <w:rsid w:val="0C5FD184"/>
    <w:rsid w:val="0C62A1E0"/>
    <w:rsid w:val="0C638A54"/>
    <w:rsid w:val="0C6407B9"/>
    <w:rsid w:val="0C644895"/>
    <w:rsid w:val="0C64A06E"/>
    <w:rsid w:val="0C6538D5"/>
    <w:rsid w:val="0C6562E9"/>
    <w:rsid w:val="0C66FAEF"/>
    <w:rsid w:val="0C677829"/>
    <w:rsid w:val="0C678BAD"/>
    <w:rsid w:val="0C67E0B4"/>
    <w:rsid w:val="0C68A2F8"/>
    <w:rsid w:val="0C6A8996"/>
    <w:rsid w:val="0C6BA60E"/>
    <w:rsid w:val="0C6BDAC6"/>
    <w:rsid w:val="0C6D5201"/>
    <w:rsid w:val="0C6ED05F"/>
    <w:rsid w:val="0C6F80D4"/>
    <w:rsid w:val="0C7145A7"/>
    <w:rsid w:val="0C715969"/>
    <w:rsid w:val="0C71764A"/>
    <w:rsid w:val="0C71972C"/>
    <w:rsid w:val="0C72C52E"/>
    <w:rsid w:val="0C73687C"/>
    <w:rsid w:val="0C737EC8"/>
    <w:rsid w:val="0C73847A"/>
    <w:rsid w:val="0C745659"/>
    <w:rsid w:val="0C75CBBF"/>
    <w:rsid w:val="0C75DD54"/>
    <w:rsid w:val="0C777FE7"/>
    <w:rsid w:val="0C77DD1F"/>
    <w:rsid w:val="0C7C14D3"/>
    <w:rsid w:val="0C7F5428"/>
    <w:rsid w:val="0C800B3D"/>
    <w:rsid w:val="0C803092"/>
    <w:rsid w:val="0C804D4C"/>
    <w:rsid w:val="0C80C37A"/>
    <w:rsid w:val="0C817535"/>
    <w:rsid w:val="0C826730"/>
    <w:rsid w:val="0C83877B"/>
    <w:rsid w:val="0C83E025"/>
    <w:rsid w:val="0C8527B7"/>
    <w:rsid w:val="0C886E50"/>
    <w:rsid w:val="0C892D06"/>
    <w:rsid w:val="0C8ADD9F"/>
    <w:rsid w:val="0C8BA60E"/>
    <w:rsid w:val="0C8CF29C"/>
    <w:rsid w:val="0C8D7F69"/>
    <w:rsid w:val="0C8D9AD1"/>
    <w:rsid w:val="0C904394"/>
    <w:rsid w:val="0C9317B3"/>
    <w:rsid w:val="0C933742"/>
    <w:rsid w:val="0C968F99"/>
    <w:rsid w:val="0C977CE5"/>
    <w:rsid w:val="0C98C8EC"/>
    <w:rsid w:val="0C98D83B"/>
    <w:rsid w:val="0C98EA15"/>
    <w:rsid w:val="0C992013"/>
    <w:rsid w:val="0C9B3056"/>
    <w:rsid w:val="0C9BF369"/>
    <w:rsid w:val="0C9D2647"/>
    <w:rsid w:val="0C9D9150"/>
    <w:rsid w:val="0C9E7873"/>
    <w:rsid w:val="0CA15768"/>
    <w:rsid w:val="0CA1CE47"/>
    <w:rsid w:val="0CA389EC"/>
    <w:rsid w:val="0CA39CB0"/>
    <w:rsid w:val="0CA3A76F"/>
    <w:rsid w:val="0CA55213"/>
    <w:rsid w:val="0CA643F1"/>
    <w:rsid w:val="0CA8E59D"/>
    <w:rsid w:val="0CA924E9"/>
    <w:rsid w:val="0CA92802"/>
    <w:rsid w:val="0CAA74EA"/>
    <w:rsid w:val="0CAE17E0"/>
    <w:rsid w:val="0CAE7A17"/>
    <w:rsid w:val="0CAFBF86"/>
    <w:rsid w:val="0CB0264A"/>
    <w:rsid w:val="0CB07E55"/>
    <w:rsid w:val="0CB0C10C"/>
    <w:rsid w:val="0CB17133"/>
    <w:rsid w:val="0CB1F661"/>
    <w:rsid w:val="0CB278BF"/>
    <w:rsid w:val="0CB34FF0"/>
    <w:rsid w:val="0CB3DB4C"/>
    <w:rsid w:val="0CB43F44"/>
    <w:rsid w:val="0CB57E00"/>
    <w:rsid w:val="0CB5AB40"/>
    <w:rsid w:val="0CB69084"/>
    <w:rsid w:val="0CB8C015"/>
    <w:rsid w:val="0CB98D05"/>
    <w:rsid w:val="0CBA1584"/>
    <w:rsid w:val="0CBA2223"/>
    <w:rsid w:val="0CBAC35B"/>
    <w:rsid w:val="0CBCCBB2"/>
    <w:rsid w:val="0CBEAF55"/>
    <w:rsid w:val="0CBF5549"/>
    <w:rsid w:val="0CBFEC1F"/>
    <w:rsid w:val="0CC2743E"/>
    <w:rsid w:val="0CC2EA75"/>
    <w:rsid w:val="0CC2F820"/>
    <w:rsid w:val="0CC4E6EF"/>
    <w:rsid w:val="0CC84F5F"/>
    <w:rsid w:val="0CCAE2EE"/>
    <w:rsid w:val="0CCBAD3B"/>
    <w:rsid w:val="0CCC7242"/>
    <w:rsid w:val="0CCCA781"/>
    <w:rsid w:val="0CCCE26B"/>
    <w:rsid w:val="0CCCFAFA"/>
    <w:rsid w:val="0CCEA59E"/>
    <w:rsid w:val="0CD390E7"/>
    <w:rsid w:val="0CD562DB"/>
    <w:rsid w:val="0CD562F6"/>
    <w:rsid w:val="0CD68CAB"/>
    <w:rsid w:val="0CD8957E"/>
    <w:rsid w:val="0CDAC17C"/>
    <w:rsid w:val="0CDC20E4"/>
    <w:rsid w:val="0CDCD118"/>
    <w:rsid w:val="0CDF3506"/>
    <w:rsid w:val="0CDFE90B"/>
    <w:rsid w:val="0CDFF1D0"/>
    <w:rsid w:val="0CE1350E"/>
    <w:rsid w:val="0CE1445F"/>
    <w:rsid w:val="0CE28706"/>
    <w:rsid w:val="0CE35FAA"/>
    <w:rsid w:val="0CE51489"/>
    <w:rsid w:val="0CE79BCC"/>
    <w:rsid w:val="0CE7A465"/>
    <w:rsid w:val="0CE853BF"/>
    <w:rsid w:val="0CE95332"/>
    <w:rsid w:val="0CE96E28"/>
    <w:rsid w:val="0CEB1E4F"/>
    <w:rsid w:val="0CEB31B3"/>
    <w:rsid w:val="0CEC7935"/>
    <w:rsid w:val="0CECDC19"/>
    <w:rsid w:val="0CED527C"/>
    <w:rsid w:val="0CEDF388"/>
    <w:rsid w:val="0CEFC236"/>
    <w:rsid w:val="0CF08890"/>
    <w:rsid w:val="0CF19B1D"/>
    <w:rsid w:val="0CF44B80"/>
    <w:rsid w:val="0CF4740F"/>
    <w:rsid w:val="0CF5367D"/>
    <w:rsid w:val="0CF706B1"/>
    <w:rsid w:val="0CF81B0C"/>
    <w:rsid w:val="0CF889B8"/>
    <w:rsid w:val="0CF89F86"/>
    <w:rsid w:val="0CFB477C"/>
    <w:rsid w:val="0CFB567A"/>
    <w:rsid w:val="0CFBFB27"/>
    <w:rsid w:val="0CFC43BC"/>
    <w:rsid w:val="0CFF9266"/>
    <w:rsid w:val="0CFFEA9F"/>
    <w:rsid w:val="0D02A405"/>
    <w:rsid w:val="0D03416F"/>
    <w:rsid w:val="0D04009B"/>
    <w:rsid w:val="0D044207"/>
    <w:rsid w:val="0D047CB4"/>
    <w:rsid w:val="0D0586AF"/>
    <w:rsid w:val="0D062FFD"/>
    <w:rsid w:val="0D066186"/>
    <w:rsid w:val="0D0672B2"/>
    <w:rsid w:val="0D06F6FC"/>
    <w:rsid w:val="0D079BD6"/>
    <w:rsid w:val="0D07ED9E"/>
    <w:rsid w:val="0D09991A"/>
    <w:rsid w:val="0D09C953"/>
    <w:rsid w:val="0D0B16F2"/>
    <w:rsid w:val="0D0B5055"/>
    <w:rsid w:val="0D0C9977"/>
    <w:rsid w:val="0D0D3E8B"/>
    <w:rsid w:val="0D0DCAFA"/>
    <w:rsid w:val="0D0E976A"/>
    <w:rsid w:val="0D0EA75C"/>
    <w:rsid w:val="0D0EBA5E"/>
    <w:rsid w:val="0D0EF010"/>
    <w:rsid w:val="0D0F8C71"/>
    <w:rsid w:val="0D1115D8"/>
    <w:rsid w:val="0D12E2BD"/>
    <w:rsid w:val="0D155849"/>
    <w:rsid w:val="0D171BA5"/>
    <w:rsid w:val="0D18969D"/>
    <w:rsid w:val="0D19838B"/>
    <w:rsid w:val="0D1B2868"/>
    <w:rsid w:val="0D1B5B03"/>
    <w:rsid w:val="0D1B860A"/>
    <w:rsid w:val="0D1BEDBE"/>
    <w:rsid w:val="0D1C1BF3"/>
    <w:rsid w:val="0D1F2328"/>
    <w:rsid w:val="0D1F7C66"/>
    <w:rsid w:val="0D1F9B90"/>
    <w:rsid w:val="0D1FB2E0"/>
    <w:rsid w:val="0D207B84"/>
    <w:rsid w:val="0D20E884"/>
    <w:rsid w:val="0D20FED1"/>
    <w:rsid w:val="0D218EAA"/>
    <w:rsid w:val="0D22BD19"/>
    <w:rsid w:val="0D22C64B"/>
    <w:rsid w:val="0D23AD30"/>
    <w:rsid w:val="0D242030"/>
    <w:rsid w:val="0D24208D"/>
    <w:rsid w:val="0D2443D9"/>
    <w:rsid w:val="0D25D48F"/>
    <w:rsid w:val="0D25E611"/>
    <w:rsid w:val="0D2603B6"/>
    <w:rsid w:val="0D2644D2"/>
    <w:rsid w:val="0D276BD6"/>
    <w:rsid w:val="0D2789FC"/>
    <w:rsid w:val="0D2ACC10"/>
    <w:rsid w:val="0D2C051C"/>
    <w:rsid w:val="0D2C7B0F"/>
    <w:rsid w:val="0D2C94CE"/>
    <w:rsid w:val="0D2D64AA"/>
    <w:rsid w:val="0D2FF2AA"/>
    <w:rsid w:val="0D306FD9"/>
    <w:rsid w:val="0D30FCFD"/>
    <w:rsid w:val="0D32511C"/>
    <w:rsid w:val="0D34B517"/>
    <w:rsid w:val="0D34B5B4"/>
    <w:rsid w:val="0D34C4C7"/>
    <w:rsid w:val="0D35CAD4"/>
    <w:rsid w:val="0D360836"/>
    <w:rsid w:val="0D367DE8"/>
    <w:rsid w:val="0D36B01A"/>
    <w:rsid w:val="0D37A7D4"/>
    <w:rsid w:val="0D37E02E"/>
    <w:rsid w:val="0D380245"/>
    <w:rsid w:val="0D39DC58"/>
    <w:rsid w:val="0D3BD366"/>
    <w:rsid w:val="0D3C1489"/>
    <w:rsid w:val="0D3CB6D1"/>
    <w:rsid w:val="0D3D795C"/>
    <w:rsid w:val="0D3D7AAE"/>
    <w:rsid w:val="0D3ED2FF"/>
    <w:rsid w:val="0D3EE097"/>
    <w:rsid w:val="0D3FA0DD"/>
    <w:rsid w:val="0D40E21A"/>
    <w:rsid w:val="0D41A3D9"/>
    <w:rsid w:val="0D42996B"/>
    <w:rsid w:val="0D436C91"/>
    <w:rsid w:val="0D43C451"/>
    <w:rsid w:val="0D4485DE"/>
    <w:rsid w:val="0D473709"/>
    <w:rsid w:val="0D47AA0A"/>
    <w:rsid w:val="0D47C89A"/>
    <w:rsid w:val="0D4A186B"/>
    <w:rsid w:val="0D4A5691"/>
    <w:rsid w:val="0D4AAD3F"/>
    <w:rsid w:val="0D4C642D"/>
    <w:rsid w:val="0D4C6C32"/>
    <w:rsid w:val="0D4CE806"/>
    <w:rsid w:val="0D4D19DE"/>
    <w:rsid w:val="0D4D225B"/>
    <w:rsid w:val="0D4E47A1"/>
    <w:rsid w:val="0D4E566C"/>
    <w:rsid w:val="0D4E7805"/>
    <w:rsid w:val="0D4EF305"/>
    <w:rsid w:val="0D4F7E20"/>
    <w:rsid w:val="0D508A20"/>
    <w:rsid w:val="0D50EBBB"/>
    <w:rsid w:val="0D510F59"/>
    <w:rsid w:val="0D5126A3"/>
    <w:rsid w:val="0D51A6C2"/>
    <w:rsid w:val="0D51C933"/>
    <w:rsid w:val="0D51D23E"/>
    <w:rsid w:val="0D54B066"/>
    <w:rsid w:val="0D54B794"/>
    <w:rsid w:val="0D5631C5"/>
    <w:rsid w:val="0D5781AE"/>
    <w:rsid w:val="0D5925DC"/>
    <w:rsid w:val="0D5A46A3"/>
    <w:rsid w:val="0D5BFCF7"/>
    <w:rsid w:val="0D5CDD2E"/>
    <w:rsid w:val="0D5D2E88"/>
    <w:rsid w:val="0D5D8AAF"/>
    <w:rsid w:val="0D5DD0F1"/>
    <w:rsid w:val="0D5DD11F"/>
    <w:rsid w:val="0D5F0CE7"/>
    <w:rsid w:val="0D5F43C8"/>
    <w:rsid w:val="0D5FAD85"/>
    <w:rsid w:val="0D5FF6FD"/>
    <w:rsid w:val="0D626825"/>
    <w:rsid w:val="0D6308E6"/>
    <w:rsid w:val="0D635720"/>
    <w:rsid w:val="0D636E8B"/>
    <w:rsid w:val="0D637742"/>
    <w:rsid w:val="0D645199"/>
    <w:rsid w:val="0D672DF9"/>
    <w:rsid w:val="0D674502"/>
    <w:rsid w:val="0D6962DF"/>
    <w:rsid w:val="0D6A5EA8"/>
    <w:rsid w:val="0D6BB79B"/>
    <w:rsid w:val="0D6C6469"/>
    <w:rsid w:val="0D6D06C0"/>
    <w:rsid w:val="0D6D469D"/>
    <w:rsid w:val="0D6D5381"/>
    <w:rsid w:val="0D6D9804"/>
    <w:rsid w:val="0D6E688B"/>
    <w:rsid w:val="0D6F402F"/>
    <w:rsid w:val="0D70939E"/>
    <w:rsid w:val="0D709F6E"/>
    <w:rsid w:val="0D72414A"/>
    <w:rsid w:val="0D72BD30"/>
    <w:rsid w:val="0D749617"/>
    <w:rsid w:val="0D761481"/>
    <w:rsid w:val="0D76E366"/>
    <w:rsid w:val="0D7738CB"/>
    <w:rsid w:val="0D78915E"/>
    <w:rsid w:val="0D78F1E9"/>
    <w:rsid w:val="0D795D14"/>
    <w:rsid w:val="0D7BA214"/>
    <w:rsid w:val="0D7BE566"/>
    <w:rsid w:val="0D7C8F1C"/>
    <w:rsid w:val="0D7CB844"/>
    <w:rsid w:val="0D7E5D69"/>
    <w:rsid w:val="0D7F9CC2"/>
    <w:rsid w:val="0D818451"/>
    <w:rsid w:val="0D819A90"/>
    <w:rsid w:val="0D821F04"/>
    <w:rsid w:val="0D82E7DC"/>
    <w:rsid w:val="0D82F77F"/>
    <w:rsid w:val="0D83DFF8"/>
    <w:rsid w:val="0D84B0D7"/>
    <w:rsid w:val="0D87732A"/>
    <w:rsid w:val="0D877E48"/>
    <w:rsid w:val="0D87966F"/>
    <w:rsid w:val="0D883A84"/>
    <w:rsid w:val="0D884AEF"/>
    <w:rsid w:val="0D88D89D"/>
    <w:rsid w:val="0D8B5640"/>
    <w:rsid w:val="0D8B5EB4"/>
    <w:rsid w:val="0D8B8C95"/>
    <w:rsid w:val="0D8BAA9B"/>
    <w:rsid w:val="0D8BFBA4"/>
    <w:rsid w:val="0D8CCF71"/>
    <w:rsid w:val="0D8D4425"/>
    <w:rsid w:val="0D8E8488"/>
    <w:rsid w:val="0D8F20E7"/>
    <w:rsid w:val="0D8FF310"/>
    <w:rsid w:val="0D910154"/>
    <w:rsid w:val="0D92DB2D"/>
    <w:rsid w:val="0D936788"/>
    <w:rsid w:val="0D937692"/>
    <w:rsid w:val="0D937D3A"/>
    <w:rsid w:val="0D93F164"/>
    <w:rsid w:val="0D94CEDC"/>
    <w:rsid w:val="0D94D57F"/>
    <w:rsid w:val="0D95CD3D"/>
    <w:rsid w:val="0D96D814"/>
    <w:rsid w:val="0D97AB0B"/>
    <w:rsid w:val="0D986F8F"/>
    <w:rsid w:val="0D9A078B"/>
    <w:rsid w:val="0D9A7B2E"/>
    <w:rsid w:val="0D9B97C4"/>
    <w:rsid w:val="0D9E6948"/>
    <w:rsid w:val="0D9E9ED7"/>
    <w:rsid w:val="0D9F623D"/>
    <w:rsid w:val="0DA1E639"/>
    <w:rsid w:val="0DA26FDA"/>
    <w:rsid w:val="0DA3E4BB"/>
    <w:rsid w:val="0DA466EE"/>
    <w:rsid w:val="0DA48B67"/>
    <w:rsid w:val="0DA4D7AB"/>
    <w:rsid w:val="0DA52306"/>
    <w:rsid w:val="0DA5F330"/>
    <w:rsid w:val="0DA6AD9D"/>
    <w:rsid w:val="0DA90E2F"/>
    <w:rsid w:val="0DAA4AC9"/>
    <w:rsid w:val="0DAA8D2D"/>
    <w:rsid w:val="0DAAF015"/>
    <w:rsid w:val="0DABC9D3"/>
    <w:rsid w:val="0DAFF851"/>
    <w:rsid w:val="0DB081F5"/>
    <w:rsid w:val="0DB08A87"/>
    <w:rsid w:val="0DB1BE5B"/>
    <w:rsid w:val="0DB2E9F2"/>
    <w:rsid w:val="0DB3734A"/>
    <w:rsid w:val="0DB5EE9E"/>
    <w:rsid w:val="0DB5F384"/>
    <w:rsid w:val="0DB65762"/>
    <w:rsid w:val="0DB77C11"/>
    <w:rsid w:val="0DB7D390"/>
    <w:rsid w:val="0DB80B5E"/>
    <w:rsid w:val="0DB84A93"/>
    <w:rsid w:val="0DB84F98"/>
    <w:rsid w:val="0DB86EAD"/>
    <w:rsid w:val="0DB91FA0"/>
    <w:rsid w:val="0DB95471"/>
    <w:rsid w:val="0DBA17EB"/>
    <w:rsid w:val="0DBA3BFC"/>
    <w:rsid w:val="0DBACC89"/>
    <w:rsid w:val="0DBB90C8"/>
    <w:rsid w:val="0DBBD243"/>
    <w:rsid w:val="0DBCAB98"/>
    <w:rsid w:val="0DBD8CCC"/>
    <w:rsid w:val="0DBDC4B2"/>
    <w:rsid w:val="0DC01F0C"/>
    <w:rsid w:val="0DC07C98"/>
    <w:rsid w:val="0DC16A73"/>
    <w:rsid w:val="0DC18E23"/>
    <w:rsid w:val="0DC1CB6A"/>
    <w:rsid w:val="0DC1E9F2"/>
    <w:rsid w:val="0DC2ED5F"/>
    <w:rsid w:val="0DC319F5"/>
    <w:rsid w:val="0DC3315B"/>
    <w:rsid w:val="0DC3B3FD"/>
    <w:rsid w:val="0DC47082"/>
    <w:rsid w:val="0DC4A1E0"/>
    <w:rsid w:val="0DC64B6B"/>
    <w:rsid w:val="0DC6A5F4"/>
    <w:rsid w:val="0DC89322"/>
    <w:rsid w:val="0DC89548"/>
    <w:rsid w:val="0DC99A5C"/>
    <w:rsid w:val="0DC9A42B"/>
    <w:rsid w:val="0DCC1E34"/>
    <w:rsid w:val="0DCD8B3F"/>
    <w:rsid w:val="0DCE40F8"/>
    <w:rsid w:val="0DCEC08D"/>
    <w:rsid w:val="0DCF7FBA"/>
    <w:rsid w:val="0DCFB8F1"/>
    <w:rsid w:val="0DCFC8BE"/>
    <w:rsid w:val="0DD0650C"/>
    <w:rsid w:val="0DD0F537"/>
    <w:rsid w:val="0DD16F24"/>
    <w:rsid w:val="0DD23FFF"/>
    <w:rsid w:val="0DD53105"/>
    <w:rsid w:val="0DD5BF90"/>
    <w:rsid w:val="0DD68F1A"/>
    <w:rsid w:val="0DD6BC3B"/>
    <w:rsid w:val="0DD964F1"/>
    <w:rsid w:val="0DDA1D5D"/>
    <w:rsid w:val="0DDAD720"/>
    <w:rsid w:val="0DDDF598"/>
    <w:rsid w:val="0DDE2312"/>
    <w:rsid w:val="0DDF304D"/>
    <w:rsid w:val="0DDF5117"/>
    <w:rsid w:val="0DDF89C4"/>
    <w:rsid w:val="0DDFBEA4"/>
    <w:rsid w:val="0DDFF170"/>
    <w:rsid w:val="0DE0A6D6"/>
    <w:rsid w:val="0DE50D31"/>
    <w:rsid w:val="0DE61153"/>
    <w:rsid w:val="0DE6DEEC"/>
    <w:rsid w:val="0DE84CF1"/>
    <w:rsid w:val="0DE942A5"/>
    <w:rsid w:val="0DEA9261"/>
    <w:rsid w:val="0DEAF980"/>
    <w:rsid w:val="0DEB5AFA"/>
    <w:rsid w:val="0DEB7073"/>
    <w:rsid w:val="0DEBD9AB"/>
    <w:rsid w:val="0DEDF528"/>
    <w:rsid w:val="0DEE5DC7"/>
    <w:rsid w:val="0DF098C4"/>
    <w:rsid w:val="0DF0A0C4"/>
    <w:rsid w:val="0DF1E086"/>
    <w:rsid w:val="0DF37D20"/>
    <w:rsid w:val="0DF37EAF"/>
    <w:rsid w:val="0DF4AC80"/>
    <w:rsid w:val="0DF4B1A6"/>
    <w:rsid w:val="0DF5F613"/>
    <w:rsid w:val="0DF84E3A"/>
    <w:rsid w:val="0DF8D7B7"/>
    <w:rsid w:val="0DF99B40"/>
    <w:rsid w:val="0DF99D26"/>
    <w:rsid w:val="0DFA91B5"/>
    <w:rsid w:val="0DFEA2C3"/>
    <w:rsid w:val="0DFF9107"/>
    <w:rsid w:val="0E0081F9"/>
    <w:rsid w:val="0E009734"/>
    <w:rsid w:val="0E00FFB8"/>
    <w:rsid w:val="0E015628"/>
    <w:rsid w:val="0E043E0C"/>
    <w:rsid w:val="0E0634D7"/>
    <w:rsid w:val="0E075A70"/>
    <w:rsid w:val="0E07E1ED"/>
    <w:rsid w:val="0E0A0CFC"/>
    <w:rsid w:val="0E0A9AC1"/>
    <w:rsid w:val="0E0CE552"/>
    <w:rsid w:val="0E0E4942"/>
    <w:rsid w:val="0E0F97CD"/>
    <w:rsid w:val="0E0FEBD9"/>
    <w:rsid w:val="0E10354A"/>
    <w:rsid w:val="0E116B03"/>
    <w:rsid w:val="0E11941C"/>
    <w:rsid w:val="0E129042"/>
    <w:rsid w:val="0E163932"/>
    <w:rsid w:val="0E16564D"/>
    <w:rsid w:val="0E16D1FB"/>
    <w:rsid w:val="0E16ED2D"/>
    <w:rsid w:val="0E185965"/>
    <w:rsid w:val="0E1A021D"/>
    <w:rsid w:val="0E1A8BBE"/>
    <w:rsid w:val="0E1B9431"/>
    <w:rsid w:val="0E1B9D98"/>
    <w:rsid w:val="0E1BEE4A"/>
    <w:rsid w:val="0E1DC06E"/>
    <w:rsid w:val="0E1F5516"/>
    <w:rsid w:val="0E1FDEF9"/>
    <w:rsid w:val="0E20B2DC"/>
    <w:rsid w:val="0E212D47"/>
    <w:rsid w:val="0E213889"/>
    <w:rsid w:val="0E21C9F9"/>
    <w:rsid w:val="0E22BD4F"/>
    <w:rsid w:val="0E2454B0"/>
    <w:rsid w:val="0E2596DE"/>
    <w:rsid w:val="0E25D970"/>
    <w:rsid w:val="0E2626AB"/>
    <w:rsid w:val="0E28D4C8"/>
    <w:rsid w:val="0E28FDDE"/>
    <w:rsid w:val="0E2996D1"/>
    <w:rsid w:val="0E2BDA4E"/>
    <w:rsid w:val="0E2BF0F8"/>
    <w:rsid w:val="0E2C4421"/>
    <w:rsid w:val="0E2CF0A1"/>
    <w:rsid w:val="0E2E30F8"/>
    <w:rsid w:val="0E306301"/>
    <w:rsid w:val="0E321C96"/>
    <w:rsid w:val="0E32642F"/>
    <w:rsid w:val="0E336285"/>
    <w:rsid w:val="0E33C57A"/>
    <w:rsid w:val="0E3529D5"/>
    <w:rsid w:val="0E355B8D"/>
    <w:rsid w:val="0E357DA5"/>
    <w:rsid w:val="0E366803"/>
    <w:rsid w:val="0E36CC04"/>
    <w:rsid w:val="0E38468B"/>
    <w:rsid w:val="0E384DD3"/>
    <w:rsid w:val="0E3998B8"/>
    <w:rsid w:val="0E39B6A8"/>
    <w:rsid w:val="0E39CEB2"/>
    <w:rsid w:val="0E3E5CB2"/>
    <w:rsid w:val="0E3FB241"/>
    <w:rsid w:val="0E40D8B3"/>
    <w:rsid w:val="0E40F2E3"/>
    <w:rsid w:val="0E41C772"/>
    <w:rsid w:val="0E41ECE7"/>
    <w:rsid w:val="0E427730"/>
    <w:rsid w:val="0E4315C5"/>
    <w:rsid w:val="0E450451"/>
    <w:rsid w:val="0E453AFA"/>
    <w:rsid w:val="0E465A0E"/>
    <w:rsid w:val="0E46F851"/>
    <w:rsid w:val="0E4727C6"/>
    <w:rsid w:val="0E476004"/>
    <w:rsid w:val="0E482D9B"/>
    <w:rsid w:val="0E4A2C90"/>
    <w:rsid w:val="0E4AAF65"/>
    <w:rsid w:val="0E4AD1C2"/>
    <w:rsid w:val="0E4BCD50"/>
    <w:rsid w:val="0E4C3D4A"/>
    <w:rsid w:val="0E4C6B71"/>
    <w:rsid w:val="0E4E6083"/>
    <w:rsid w:val="0E4FABAD"/>
    <w:rsid w:val="0E516442"/>
    <w:rsid w:val="0E523D02"/>
    <w:rsid w:val="0E53C59E"/>
    <w:rsid w:val="0E54942A"/>
    <w:rsid w:val="0E552D06"/>
    <w:rsid w:val="0E56DFBC"/>
    <w:rsid w:val="0E576C70"/>
    <w:rsid w:val="0E5911BD"/>
    <w:rsid w:val="0E5A203A"/>
    <w:rsid w:val="0E5AA6D2"/>
    <w:rsid w:val="0E5AB7B6"/>
    <w:rsid w:val="0E5AC579"/>
    <w:rsid w:val="0E5B01CA"/>
    <w:rsid w:val="0E5C3168"/>
    <w:rsid w:val="0E5E6ACD"/>
    <w:rsid w:val="0E5EC12E"/>
    <w:rsid w:val="0E60B695"/>
    <w:rsid w:val="0E6103E6"/>
    <w:rsid w:val="0E61B29E"/>
    <w:rsid w:val="0E61F274"/>
    <w:rsid w:val="0E622BD2"/>
    <w:rsid w:val="0E65797B"/>
    <w:rsid w:val="0E669497"/>
    <w:rsid w:val="0E68325F"/>
    <w:rsid w:val="0E685B4F"/>
    <w:rsid w:val="0E68E3D1"/>
    <w:rsid w:val="0E69AA80"/>
    <w:rsid w:val="0E69E56D"/>
    <w:rsid w:val="0E6B76DA"/>
    <w:rsid w:val="0E6B8D2F"/>
    <w:rsid w:val="0E6C54AB"/>
    <w:rsid w:val="0E6C6B59"/>
    <w:rsid w:val="0E6E5733"/>
    <w:rsid w:val="0E6F33EA"/>
    <w:rsid w:val="0E6F6BC4"/>
    <w:rsid w:val="0E6FA393"/>
    <w:rsid w:val="0E6FB14F"/>
    <w:rsid w:val="0E70CA80"/>
    <w:rsid w:val="0E71204A"/>
    <w:rsid w:val="0E713466"/>
    <w:rsid w:val="0E727D4E"/>
    <w:rsid w:val="0E72D9BB"/>
    <w:rsid w:val="0E73366C"/>
    <w:rsid w:val="0E73CD7E"/>
    <w:rsid w:val="0E7405E6"/>
    <w:rsid w:val="0E74A575"/>
    <w:rsid w:val="0E74EFA4"/>
    <w:rsid w:val="0E7523F0"/>
    <w:rsid w:val="0E757DAE"/>
    <w:rsid w:val="0E769C36"/>
    <w:rsid w:val="0E76B93F"/>
    <w:rsid w:val="0E77BD5D"/>
    <w:rsid w:val="0E79CCCB"/>
    <w:rsid w:val="0E79E445"/>
    <w:rsid w:val="0E7A04D1"/>
    <w:rsid w:val="0E7A57E2"/>
    <w:rsid w:val="0E7AB658"/>
    <w:rsid w:val="0E7B39D4"/>
    <w:rsid w:val="0E7BB7F6"/>
    <w:rsid w:val="0E7E1BCC"/>
    <w:rsid w:val="0E7E938E"/>
    <w:rsid w:val="0E7F43F5"/>
    <w:rsid w:val="0E7F8153"/>
    <w:rsid w:val="0E80EB73"/>
    <w:rsid w:val="0E820F2A"/>
    <w:rsid w:val="0E822388"/>
    <w:rsid w:val="0E82884C"/>
    <w:rsid w:val="0E83C5A5"/>
    <w:rsid w:val="0E83CBFD"/>
    <w:rsid w:val="0E83FD34"/>
    <w:rsid w:val="0E8514BD"/>
    <w:rsid w:val="0E866412"/>
    <w:rsid w:val="0E87AC3A"/>
    <w:rsid w:val="0E87E9EF"/>
    <w:rsid w:val="0E8877B8"/>
    <w:rsid w:val="0E88B26B"/>
    <w:rsid w:val="0E8966AD"/>
    <w:rsid w:val="0E8BF21A"/>
    <w:rsid w:val="0E8F100C"/>
    <w:rsid w:val="0E91256B"/>
    <w:rsid w:val="0E91960A"/>
    <w:rsid w:val="0E91AD33"/>
    <w:rsid w:val="0E91DED2"/>
    <w:rsid w:val="0E927A49"/>
    <w:rsid w:val="0E938924"/>
    <w:rsid w:val="0E942E1F"/>
    <w:rsid w:val="0E946E62"/>
    <w:rsid w:val="0E95C0BC"/>
    <w:rsid w:val="0E96DF61"/>
    <w:rsid w:val="0E97DEBC"/>
    <w:rsid w:val="0E9A602D"/>
    <w:rsid w:val="0E9C106E"/>
    <w:rsid w:val="0E9ED368"/>
    <w:rsid w:val="0E9F33F4"/>
    <w:rsid w:val="0EA0011D"/>
    <w:rsid w:val="0EA0331E"/>
    <w:rsid w:val="0EA5199D"/>
    <w:rsid w:val="0EA5981D"/>
    <w:rsid w:val="0EA63327"/>
    <w:rsid w:val="0EA67ECF"/>
    <w:rsid w:val="0EA8CB57"/>
    <w:rsid w:val="0EA8CEFA"/>
    <w:rsid w:val="0EA9DA8E"/>
    <w:rsid w:val="0EAB7262"/>
    <w:rsid w:val="0EAC2E56"/>
    <w:rsid w:val="0EAD723C"/>
    <w:rsid w:val="0EAE4C28"/>
    <w:rsid w:val="0EAE929F"/>
    <w:rsid w:val="0EAEC718"/>
    <w:rsid w:val="0EAF3A4D"/>
    <w:rsid w:val="0EB051D9"/>
    <w:rsid w:val="0EB0CAD0"/>
    <w:rsid w:val="0EB1B17E"/>
    <w:rsid w:val="0EB1C6EF"/>
    <w:rsid w:val="0EB1F1B0"/>
    <w:rsid w:val="0EB1F7D1"/>
    <w:rsid w:val="0EB35A4D"/>
    <w:rsid w:val="0EB3AC6E"/>
    <w:rsid w:val="0EB4112C"/>
    <w:rsid w:val="0EB6AEDE"/>
    <w:rsid w:val="0EB6DEC4"/>
    <w:rsid w:val="0EBCD393"/>
    <w:rsid w:val="0EBE4436"/>
    <w:rsid w:val="0EBECE94"/>
    <w:rsid w:val="0EBF2727"/>
    <w:rsid w:val="0EBF2A26"/>
    <w:rsid w:val="0EBFE889"/>
    <w:rsid w:val="0EC37FD3"/>
    <w:rsid w:val="0EC4C954"/>
    <w:rsid w:val="0EC50B1A"/>
    <w:rsid w:val="0EC93BED"/>
    <w:rsid w:val="0EC988DA"/>
    <w:rsid w:val="0ECA6F4E"/>
    <w:rsid w:val="0ECBF752"/>
    <w:rsid w:val="0ECC473F"/>
    <w:rsid w:val="0ECDCDC7"/>
    <w:rsid w:val="0ED11104"/>
    <w:rsid w:val="0ED1B728"/>
    <w:rsid w:val="0ED27953"/>
    <w:rsid w:val="0ED424DB"/>
    <w:rsid w:val="0ED43FC7"/>
    <w:rsid w:val="0ED44C93"/>
    <w:rsid w:val="0ED5555C"/>
    <w:rsid w:val="0ED5DDF6"/>
    <w:rsid w:val="0ED7FF99"/>
    <w:rsid w:val="0EDAB090"/>
    <w:rsid w:val="0EDCC0D2"/>
    <w:rsid w:val="0EDD5BB3"/>
    <w:rsid w:val="0EDF8B3A"/>
    <w:rsid w:val="0EDFDE88"/>
    <w:rsid w:val="0EE1D96A"/>
    <w:rsid w:val="0EE31788"/>
    <w:rsid w:val="0EE35E84"/>
    <w:rsid w:val="0EE4A17D"/>
    <w:rsid w:val="0EE4B6A4"/>
    <w:rsid w:val="0EE519F8"/>
    <w:rsid w:val="0EE578F0"/>
    <w:rsid w:val="0EE75739"/>
    <w:rsid w:val="0EE79223"/>
    <w:rsid w:val="0EE83C97"/>
    <w:rsid w:val="0EEDDEAC"/>
    <w:rsid w:val="0EF087F5"/>
    <w:rsid w:val="0EF1691B"/>
    <w:rsid w:val="0EF2C7E4"/>
    <w:rsid w:val="0EF5C7EF"/>
    <w:rsid w:val="0EF6B316"/>
    <w:rsid w:val="0EF754E2"/>
    <w:rsid w:val="0EF780CB"/>
    <w:rsid w:val="0EF87608"/>
    <w:rsid w:val="0EF9D26E"/>
    <w:rsid w:val="0EFA798F"/>
    <w:rsid w:val="0EFC172F"/>
    <w:rsid w:val="0EFCBA2B"/>
    <w:rsid w:val="0EFD8319"/>
    <w:rsid w:val="0EFDD751"/>
    <w:rsid w:val="0EFE1C3C"/>
    <w:rsid w:val="0EFE4414"/>
    <w:rsid w:val="0EFF4006"/>
    <w:rsid w:val="0EFFF712"/>
    <w:rsid w:val="0F005F05"/>
    <w:rsid w:val="0F017D6C"/>
    <w:rsid w:val="0F0271AD"/>
    <w:rsid w:val="0F047287"/>
    <w:rsid w:val="0F0535CB"/>
    <w:rsid w:val="0F063AC2"/>
    <w:rsid w:val="0F064A53"/>
    <w:rsid w:val="0F06A1D4"/>
    <w:rsid w:val="0F07510F"/>
    <w:rsid w:val="0F08E2D6"/>
    <w:rsid w:val="0F0A673E"/>
    <w:rsid w:val="0F0B3478"/>
    <w:rsid w:val="0F0BB866"/>
    <w:rsid w:val="0F0CF6D3"/>
    <w:rsid w:val="0F0D1661"/>
    <w:rsid w:val="0F0D4B4E"/>
    <w:rsid w:val="0F0E5DC8"/>
    <w:rsid w:val="0F0F8CDF"/>
    <w:rsid w:val="0F0FC43F"/>
    <w:rsid w:val="0F10130C"/>
    <w:rsid w:val="0F121D11"/>
    <w:rsid w:val="0F130AC1"/>
    <w:rsid w:val="0F15E14A"/>
    <w:rsid w:val="0F1634EC"/>
    <w:rsid w:val="0F16AECA"/>
    <w:rsid w:val="0F17662A"/>
    <w:rsid w:val="0F187C8F"/>
    <w:rsid w:val="0F19A9AC"/>
    <w:rsid w:val="0F1BA877"/>
    <w:rsid w:val="0F1D1C5D"/>
    <w:rsid w:val="0F1D5361"/>
    <w:rsid w:val="0F225632"/>
    <w:rsid w:val="0F244BF1"/>
    <w:rsid w:val="0F274592"/>
    <w:rsid w:val="0F279368"/>
    <w:rsid w:val="0F28FAF5"/>
    <w:rsid w:val="0F2AAA50"/>
    <w:rsid w:val="0F2CAD8A"/>
    <w:rsid w:val="0F2D9172"/>
    <w:rsid w:val="0F2DDBE4"/>
    <w:rsid w:val="0F2F3528"/>
    <w:rsid w:val="0F30018C"/>
    <w:rsid w:val="0F3073E9"/>
    <w:rsid w:val="0F30C83C"/>
    <w:rsid w:val="0F31A07C"/>
    <w:rsid w:val="0F32181C"/>
    <w:rsid w:val="0F32A8D3"/>
    <w:rsid w:val="0F33189D"/>
    <w:rsid w:val="0F33CF02"/>
    <w:rsid w:val="0F379C20"/>
    <w:rsid w:val="0F382242"/>
    <w:rsid w:val="0F394352"/>
    <w:rsid w:val="0F3AC363"/>
    <w:rsid w:val="0F3C3550"/>
    <w:rsid w:val="0F3D3DF6"/>
    <w:rsid w:val="0F3EF3D5"/>
    <w:rsid w:val="0F3F1569"/>
    <w:rsid w:val="0F4024B4"/>
    <w:rsid w:val="0F431EE6"/>
    <w:rsid w:val="0F438984"/>
    <w:rsid w:val="0F43F7F8"/>
    <w:rsid w:val="0F45A317"/>
    <w:rsid w:val="0F461375"/>
    <w:rsid w:val="0F462D10"/>
    <w:rsid w:val="0F4831B9"/>
    <w:rsid w:val="0F4834E1"/>
    <w:rsid w:val="0F4A30F3"/>
    <w:rsid w:val="0F4AE105"/>
    <w:rsid w:val="0F4B5DA9"/>
    <w:rsid w:val="0F4C4344"/>
    <w:rsid w:val="0F4C542B"/>
    <w:rsid w:val="0F4EBE7B"/>
    <w:rsid w:val="0F4FF52D"/>
    <w:rsid w:val="0F50C77D"/>
    <w:rsid w:val="0F50F3F6"/>
    <w:rsid w:val="0F516F05"/>
    <w:rsid w:val="0F526782"/>
    <w:rsid w:val="0F529B11"/>
    <w:rsid w:val="0F53D802"/>
    <w:rsid w:val="0F542529"/>
    <w:rsid w:val="0F548ED1"/>
    <w:rsid w:val="0F55AE4E"/>
    <w:rsid w:val="0F55EABE"/>
    <w:rsid w:val="0F576A56"/>
    <w:rsid w:val="0F58AB0F"/>
    <w:rsid w:val="0F58F867"/>
    <w:rsid w:val="0F593E3A"/>
    <w:rsid w:val="0F5A268C"/>
    <w:rsid w:val="0F5E7E7C"/>
    <w:rsid w:val="0F5EC20C"/>
    <w:rsid w:val="0F5F7C09"/>
    <w:rsid w:val="0F5F86A1"/>
    <w:rsid w:val="0F60D06A"/>
    <w:rsid w:val="0F61E7BC"/>
    <w:rsid w:val="0F62B0F6"/>
    <w:rsid w:val="0F632E9B"/>
    <w:rsid w:val="0F635EF6"/>
    <w:rsid w:val="0F6592D6"/>
    <w:rsid w:val="0F65E32A"/>
    <w:rsid w:val="0F661031"/>
    <w:rsid w:val="0F66151B"/>
    <w:rsid w:val="0F67D4D1"/>
    <w:rsid w:val="0F68104C"/>
    <w:rsid w:val="0F699B8A"/>
    <w:rsid w:val="0F6AC82C"/>
    <w:rsid w:val="0F6B72EF"/>
    <w:rsid w:val="0F6B81E6"/>
    <w:rsid w:val="0F6B9982"/>
    <w:rsid w:val="0F6C112B"/>
    <w:rsid w:val="0F6C3B80"/>
    <w:rsid w:val="0F6E96B2"/>
    <w:rsid w:val="0F6FA622"/>
    <w:rsid w:val="0F6FFCE3"/>
    <w:rsid w:val="0F70BD49"/>
    <w:rsid w:val="0F72CA51"/>
    <w:rsid w:val="0F73B360"/>
    <w:rsid w:val="0F742A8A"/>
    <w:rsid w:val="0F75FA5A"/>
    <w:rsid w:val="0F7A03F2"/>
    <w:rsid w:val="0F7A8CB1"/>
    <w:rsid w:val="0F7B9056"/>
    <w:rsid w:val="0F7D0D99"/>
    <w:rsid w:val="0F7D9702"/>
    <w:rsid w:val="0F7DAD72"/>
    <w:rsid w:val="0F7E57A0"/>
    <w:rsid w:val="0F7E71C5"/>
    <w:rsid w:val="0F7EB48A"/>
    <w:rsid w:val="0F7F507E"/>
    <w:rsid w:val="0F7F5E1D"/>
    <w:rsid w:val="0F80180A"/>
    <w:rsid w:val="0F805FBA"/>
    <w:rsid w:val="0F8082E9"/>
    <w:rsid w:val="0F814643"/>
    <w:rsid w:val="0F819629"/>
    <w:rsid w:val="0F820C5E"/>
    <w:rsid w:val="0F82317D"/>
    <w:rsid w:val="0F828AE8"/>
    <w:rsid w:val="0F85AD62"/>
    <w:rsid w:val="0F89978B"/>
    <w:rsid w:val="0F89DC13"/>
    <w:rsid w:val="0F8AE7DA"/>
    <w:rsid w:val="0F8BF334"/>
    <w:rsid w:val="0F8C50FA"/>
    <w:rsid w:val="0F8DD06B"/>
    <w:rsid w:val="0F8E082A"/>
    <w:rsid w:val="0F8F9902"/>
    <w:rsid w:val="0F8FE3E7"/>
    <w:rsid w:val="0F900435"/>
    <w:rsid w:val="0F900C59"/>
    <w:rsid w:val="0F90557E"/>
    <w:rsid w:val="0F9090EC"/>
    <w:rsid w:val="0F94250B"/>
    <w:rsid w:val="0F94AF30"/>
    <w:rsid w:val="0F94EDAE"/>
    <w:rsid w:val="0F960606"/>
    <w:rsid w:val="0F9682E1"/>
    <w:rsid w:val="0F96DA46"/>
    <w:rsid w:val="0F9974D5"/>
    <w:rsid w:val="0F9A2C29"/>
    <w:rsid w:val="0F9A7D4D"/>
    <w:rsid w:val="0F9CA2D4"/>
    <w:rsid w:val="0F9CAFDF"/>
    <w:rsid w:val="0F9D4934"/>
    <w:rsid w:val="0F9DAE43"/>
    <w:rsid w:val="0F9E2764"/>
    <w:rsid w:val="0F9F896C"/>
    <w:rsid w:val="0FA0753B"/>
    <w:rsid w:val="0FA37212"/>
    <w:rsid w:val="0FA58E20"/>
    <w:rsid w:val="0FA65182"/>
    <w:rsid w:val="0FA7F6FA"/>
    <w:rsid w:val="0FAA19A3"/>
    <w:rsid w:val="0FAA7A73"/>
    <w:rsid w:val="0FAADE24"/>
    <w:rsid w:val="0FAB13FD"/>
    <w:rsid w:val="0FAB5CF9"/>
    <w:rsid w:val="0FAB7128"/>
    <w:rsid w:val="0FAB901A"/>
    <w:rsid w:val="0FAC149E"/>
    <w:rsid w:val="0FACCE3B"/>
    <w:rsid w:val="0FACDCEA"/>
    <w:rsid w:val="0FACF5D7"/>
    <w:rsid w:val="0FAD0DEC"/>
    <w:rsid w:val="0FAD142D"/>
    <w:rsid w:val="0FAD4FA3"/>
    <w:rsid w:val="0FAE380A"/>
    <w:rsid w:val="0FAF1A80"/>
    <w:rsid w:val="0FAFB3FD"/>
    <w:rsid w:val="0FB280D3"/>
    <w:rsid w:val="0FB3B0E8"/>
    <w:rsid w:val="0FB3C4E2"/>
    <w:rsid w:val="0FB432A8"/>
    <w:rsid w:val="0FB4EA87"/>
    <w:rsid w:val="0FB5662F"/>
    <w:rsid w:val="0FB5AEC4"/>
    <w:rsid w:val="0FB5B7A9"/>
    <w:rsid w:val="0FB70FA1"/>
    <w:rsid w:val="0FB75B68"/>
    <w:rsid w:val="0FB8B4C5"/>
    <w:rsid w:val="0FB942CA"/>
    <w:rsid w:val="0FBB2F9A"/>
    <w:rsid w:val="0FBDAFFF"/>
    <w:rsid w:val="0FBDC1D5"/>
    <w:rsid w:val="0FBE856B"/>
    <w:rsid w:val="0FBF16A7"/>
    <w:rsid w:val="0FBFF1A3"/>
    <w:rsid w:val="0FC0230D"/>
    <w:rsid w:val="0FC06CC3"/>
    <w:rsid w:val="0FC14F2B"/>
    <w:rsid w:val="0FC1DA92"/>
    <w:rsid w:val="0FC298CB"/>
    <w:rsid w:val="0FC419D1"/>
    <w:rsid w:val="0FC48366"/>
    <w:rsid w:val="0FC495F3"/>
    <w:rsid w:val="0FC4CBB3"/>
    <w:rsid w:val="0FC4D8F4"/>
    <w:rsid w:val="0FC68D6C"/>
    <w:rsid w:val="0FC6F28B"/>
    <w:rsid w:val="0FC8D00C"/>
    <w:rsid w:val="0FCA2708"/>
    <w:rsid w:val="0FCCBC9C"/>
    <w:rsid w:val="0FCE221A"/>
    <w:rsid w:val="0FD20F1A"/>
    <w:rsid w:val="0FD21B50"/>
    <w:rsid w:val="0FD2FB37"/>
    <w:rsid w:val="0FD3499D"/>
    <w:rsid w:val="0FD4FB94"/>
    <w:rsid w:val="0FD878F2"/>
    <w:rsid w:val="0FD89817"/>
    <w:rsid w:val="0FDB746A"/>
    <w:rsid w:val="0FDC8260"/>
    <w:rsid w:val="0FDE5B73"/>
    <w:rsid w:val="0FE11448"/>
    <w:rsid w:val="0FE12865"/>
    <w:rsid w:val="0FE1AAEE"/>
    <w:rsid w:val="0FE2C481"/>
    <w:rsid w:val="0FE4FC2A"/>
    <w:rsid w:val="0FE5132C"/>
    <w:rsid w:val="0FE55066"/>
    <w:rsid w:val="0FE59C14"/>
    <w:rsid w:val="0FE6BA4F"/>
    <w:rsid w:val="0FE6D5EB"/>
    <w:rsid w:val="0FE76FD9"/>
    <w:rsid w:val="0FE82D29"/>
    <w:rsid w:val="0FE874F0"/>
    <w:rsid w:val="0FE88A65"/>
    <w:rsid w:val="0FE91F9B"/>
    <w:rsid w:val="0FE976A8"/>
    <w:rsid w:val="0FE98C82"/>
    <w:rsid w:val="0FE9D612"/>
    <w:rsid w:val="0FEAB5AF"/>
    <w:rsid w:val="0FEB113A"/>
    <w:rsid w:val="0FEB1BCD"/>
    <w:rsid w:val="0FEB9876"/>
    <w:rsid w:val="0FEC97A1"/>
    <w:rsid w:val="0FECA1E1"/>
    <w:rsid w:val="0FED2B65"/>
    <w:rsid w:val="0FEF86F7"/>
    <w:rsid w:val="0FF0EEC4"/>
    <w:rsid w:val="0FF0F493"/>
    <w:rsid w:val="0FF0FC20"/>
    <w:rsid w:val="0FF1178A"/>
    <w:rsid w:val="0FF259B4"/>
    <w:rsid w:val="0FF51195"/>
    <w:rsid w:val="0FF62F13"/>
    <w:rsid w:val="0FF838AC"/>
    <w:rsid w:val="0FF84886"/>
    <w:rsid w:val="0FF944E1"/>
    <w:rsid w:val="0FF945FA"/>
    <w:rsid w:val="0FF97DEF"/>
    <w:rsid w:val="0FF9E30C"/>
    <w:rsid w:val="0FFA091C"/>
    <w:rsid w:val="0FFC2B6C"/>
    <w:rsid w:val="0FFD22DD"/>
    <w:rsid w:val="0FFD2481"/>
    <w:rsid w:val="0FFE2FB6"/>
    <w:rsid w:val="0FFE6D0A"/>
    <w:rsid w:val="0FFE8113"/>
    <w:rsid w:val="0FFF12A8"/>
    <w:rsid w:val="0FFF1DA1"/>
    <w:rsid w:val="1002A59D"/>
    <w:rsid w:val="1002C8D3"/>
    <w:rsid w:val="1002F0D5"/>
    <w:rsid w:val="10040F7B"/>
    <w:rsid w:val="1004E7FD"/>
    <w:rsid w:val="10053069"/>
    <w:rsid w:val="10055DB2"/>
    <w:rsid w:val="1007DD2F"/>
    <w:rsid w:val="10085930"/>
    <w:rsid w:val="1008B423"/>
    <w:rsid w:val="1008DC78"/>
    <w:rsid w:val="10092B93"/>
    <w:rsid w:val="100A1D1A"/>
    <w:rsid w:val="100A2F82"/>
    <w:rsid w:val="100A3EC9"/>
    <w:rsid w:val="100B9C5F"/>
    <w:rsid w:val="100CB6AB"/>
    <w:rsid w:val="100E30CE"/>
    <w:rsid w:val="100EA147"/>
    <w:rsid w:val="100FA6A1"/>
    <w:rsid w:val="100FCDF6"/>
    <w:rsid w:val="1010BFF5"/>
    <w:rsid w:val="1011B77A"/>
    <w:rsid w:val="1011B851"/>
    <w:rsid w:val="10126DEB"/>
    <w:rsid w:val="1012A4ED"/>
    <w:rsid w:val="1014767A"/>
    <w:rsid w:val="1015AC89"/>
    <w:rsid w:val="10184FFE"/>
    <w:rsid w:val="101B44C9"/>
    <w:rsid w:val="101CC8F3"/>
    <w:rsid w:val="101ED3BE"/>
    <w:rsid w:val="101EE7E7"/>
    <w:rsid w:val="102352A6"/>
    <w:rsid w:val="1023ADB7"/>
    <w:rsid w:val="10254CBA"/>
    <w:rsid w:val="1028EFC1"/>
    <w:rsid w:val="102A8372"/>
    <w:rsid w:val="102B21F1"/>
    <w:rsid w:val="102CAACB"/>
    <w:rsid w:val="102D0738"/>
    <w:rsid w:val="102D2278"/>
    <w:rsid w:val="102D7D94"/>
    <w:rsid w:val="102E2654"/>
    <w:rsid w:val="102FF61E"/>
    <w:rsid w:val="103139C5"/>
    <w:rsid w:val="1031A868"/>
    <w:rsid w:val="1032984F"/>
    <w:rsid w:val="103447FF"/>
    <w:rsid w:val="1035506D"/>
    <w:rsid w:val="10356396"/>
    <w:rsid w:val="1036308E"/>
    <w:rsid w:val="10369F7E"/>
    <w:rsid w:val="1039C107"/>
    <w:rsid w:val="1039C5EC"/>
    <w:rsid w:val="103B7C9E"/>
    <w:rsid w:val="103C96CA"/>
    <w:rsid w:val="103D069C"/>
    <w:rsid w:val="103D5E88"/>
    <w:rsid w:val="104139DC"/>
    <w:rsid w:val="1042C536"/>
    <w:rsid w:val="104403FD"/>
    <w:rsid w:val="104419D6"/>
    <w:rsid w:val="1045119E"/>
    <w:rsid w:val="10456AB4"/>
    <w:rsid w:val="1045A3F3"/>
    <w:rsid w:val="1045AE5C"/>
    <w:rsid w:val="104ABAA7"/>
    <w:rsid w:val="104AF9C0"/>
    <w:rsid w:val="104B0380"/>
    <w:rsid w:val="104D7C3C"/>
    <w:rsid w:val="104E5368"/>
    <w:rsid w:val="104F23C7"/>
    <w:rsid w:val="1050B023"/>
    <w:rsid w:val="10516C35"/>
    <w:rsid w:val="1052771C"/>
    <w:rsid w:val="1052C9FF"/>
    <w:rsid w:val="10537295"/>
    <w:rsid w:val="10565895"/>
    <w:rsid w:val="10568122"/>
    <w:rsid w:val="1057F13F"/>
    <w:rsid w:val="1058A1D9"/>
    <w:rsid w:val="1058FB22"/>
    <w:rsid w:val="105AF3C8"/>
    <w:rsid w:val="105B313C"/>
    <w:rsid w:val="105C038F"/>
    <w:rsid w:val="105E7BDE"/>
    <w:rsid w:val="105F635D"/>
    <w:rsid w:val="1061D47F"/>
    <w:rsid w:val="10631D25"/>
    <w:rsid w:val="1063C245"/>
    <w:rsid w:val="1064369C"/>
    <w:rsid w:val="10661BBD"/>
    <w:rsid w:val="1068FEB3"/>
    <w:rsid w:val="10697EC6"/>
    <w:rsid w:val="1069F510"/>
    <w:rsid w:val="106A62B4"/>
    <w:rsid w:val="106AE27F"/>
    <w:rsid w:val="106B195E"/>
    <w:rsid w:val="106DC830"/>
    <w:rsid w:val="106F1B10"/>
    <w:rsid w:val="106FB49D"/>
    <w:rsid w:val="10714DF4"/>
    <w:rsid w:val="10718D9A"/>
    <w:rsid w:val="10719AC4"/>
    <w:rsid w:val="1073B774"/>
    <w:rsid w:val="1073BF9A"/>
    <w:rsid w:val="1073BFA0"/>
    <w:rsid w:val="10746545"/>
    <w:rsid w:val="107574E3"/>
    <w:rsid w:val="1075CED6"/>
    <w:rsid w:val="10764B65"/>
    <w:rsid w:val="10766137"/>
    <w:rsid w:val="1076D228"/>
    <w:rsid w:val="1077222B"/>
    <w:rsid w:val="1077B6F4"/>
    <w:rsid w:val="10786B30"/>
    <w:rsid w:val="1078E037"/>
    <w:rsid w:val="1078E06B"/>
    <w:rsid w:val="107AB415"/>
    <w:rsid w:val="107AF611"/>
    <w:rsid w:val="107B76E9"/>
    <w:rsid w:val="10819B42"/>
    <w:rsid w:val="10826B39"/>
    <w:rsid w:val="10830F11"/>
    <w:rsid w:val="1084533F"/>
    <w:rsid w:val="1085257F"/>
    <w:rsid w:val="10877B39"/>
    <w:rsid w:val="10879756"/>
    <w:rsid w:val="1087D691"/>
    <w:rsid w:val="10887EF0"/>
    <w:rsid w:val="108A508B"/>
    <w:rsid w:val="108A5370"/>
    <w:rsid w:val="108ADCB2"/>
    <w:rsid w:val="108B16A2"/>
    <w:rsid w:val="108B1F0C"/>
    <w:rsid w:val="108C3500"/>
    <w:rsid w:val="108CACDE"/>
    <w:rsid w:val="108E47F7"/>
    <w:rsid w:val="108F7949"/>
    <w:rsid w:val="109308BA"/>
    <w:rsid w:val="10932262"/>
    <w:rsid w:val="1093D7B9"/>
    <w:rsid w:val="1094E291"/>
    <w:rsid w:val="1094F616"/>
    <w:rsid w:val="10959A85"/>
    <w:rsid w:val="10961F18"/>
    <w:rsid w:val="10963B5D"/>
    <w:rsid w:val="109769C7"/>
    <w:rsid w:val="1097A162"/>
    <w:rsid w:val="1097B5AD"/>
    <w:rsid w:val="10980CE8"/>
    <w:rsid w:val="10995FA1"/>
    <w:rsid w:val="10998EF9"/>
    <w:rsid w:val="1099D7AC"/>
    <w:rsid w:val="109B5E67"/>
    <w:rsid w:val="109BB8DE"/>
    <w:rsid w:val="109C3E2E"/>
    <w:rsid w:val="109C8F5E"/>
    <w:rsid w:val="109CF649"/>
    <w:rsid w:val="109DA826"/>
    <w:rsid w:val="109DC824"/>
    <w:rsid w:val="109F1928"/>
    <w:rsid w:val="109F1AB7"/>
    <w:rsid w:val="10A04105"/>
    <w:rsid w:val="10A0AAF4"/>
    <w:rsid w:val="10A0FEA1"/>
    <w:rsid w:val="10A19037"/>
    <w:rsid w:val="10A1F591"/>
    <w:rsid w:val="10A2527A"/>
    <w:rsid w:val="10A2D9AE"/>
    <w:rsid w:val="10A2F51F"/>
    <w:rsid w:val="10A2FB1D"/>
    <w:rsid w:val="10A43475"/>
    <w:rsid w:val="10A5F49D"/>
    <w:rsid w:val="10A61551"/>
    <w:rsid w:val="10A8AE13"/>
    <w:rsid w:val="10AA2D47"/>
    <w:rsid w:val="10AA45E3"/>
    <w:rsid w:val="10AA6326"/>
    <w:rsid w:val="10AB876F"/>
    <w:rsid w:val="10B036D4"/>
    <w:rsid w:val="10B26925"/>
    <w:rsid w:val="10B2E97A"/>
    <w:rsid w:val="10B2F43A"/>
    <w:rsid w:val="10B3A5C0"/>
    <w:rsid w:val="10B430D1"/>
    <w:rsid w:val="10B66F53"/>
    <w:rsid w:val="10B8F4A1"/>
    <w:rsid w:val="10B8FA7A"/>
    <w:rsid w:val="10B97FC0"/>
    <w:rsid w:val="10B9DC51"/>
    <w:rsid w:val="10BA57C3"/>
    <w:rsid w:val="10BA7A60"/>
    <w:rsid w:val="10BE049D"/>
    <w:rsid w:val="10BEA1DA"/>
    <w:rsid w:val="10BF1D8E"/>
    <w:rsid w:val="10C0FD34"/>
    <w:rsid w:val="10C114D9"/>
    <w:rsid w:val="10C2AE3B"/>
    <w:rsid w:val="10C39EBD"/>
    <w:rsid w:val="10C43AB2"/>
    <w:rsid w:val="10C52E12"/>
    <w:rsid w:val="10C5416C"/>
    <w:rsid w:val="10C5EC55"/>
    <w:rsid w:val="10C6038B"/>
    <w:rsid w:val="10C6B552"/>
    <w:rsid w:val="10C712DF"/>
    <w:rsid w:val="10C766CC"/>
    <w:rsid w:val="10C7A25C"/>
    <w:rsid w:val="10CAE4C6"/>
    <w:rsid w:val="10CF4DCF"/>
    <w:rsid w:val="10D0ABE6"/>
    <w:rsid w:val="10D152AF"/>
    <w:rsid w:val="10D2B657"/>
    <w:rsid w:val="10D55B50"/>
    <w:rsid w:val="10D591F0"/>
    <w:rsid w:val="10D6A837"/>
    <w:rsid w:val="10D6D6AD"/>
    <w:rsid w:val="10D72899"/>
    <w:rsid w:val="10D73A4C"/>
    <w:rsid w:val="10D75322"/>
    <w:rsid w:val="10D9B590"/>
    <w:rsid w:val="10DB2BF2"/>
    <w:rsid w:val="10DBCAC6"/>
    <w:rsid w:val="10DD941D"/>
    <w:rsid w:val="10DDA876"/>
    <w:rsid w:val="10DDB643"/>
    <w:rsid w:val="10DE6B2C"/>
    <w:rsid w:val="10DECEB5"/>
    <w:rsid w:val="10DF7BB4"/>
    <w:rsid w:val="10E0BEC2"/>
    <w:rsid w:val="10E355FE"/>
    <w:rsid w:val="10E398B5"/>
    <w:rsid w:val="10E401FE"/>
    <w:rsid w:val="10E4B351"/>
    <w:rsid w:val="10E5D9B8"/>
    <w:rsid w:val="10E80119"/>
    <w:rsid w:val="10E9EFA7"/>
    <w:rsid w:val="10EA2F40"/>
    <w:rsid w:val="10EAD17A"/>
    <w:rsid w:val="10EAFB1B"/>
    <w:rsid w:val="10EBC768"/>
    <w:rsid w:val="10ECDB64"/>
    <w:rsid w:val="10EDE489"/>
    <w:rsid w:val="10EF3003"/>
    <w:rsid w:val="10EF7040"/>
    <w:rsid w:val="10F1B94D"/>
    <w:rsid w:val="10F2228E"/>
    <w:rsid w:val="10F58ADF"/>
    <w:rsid w:val="10F6048B"/>
    <w:rsid w:val="10F71C24"/>
    <w:rsid w:val="10F75A99"/>
    <w:rsid w:val="10F8DA11"/>
    <w:rsid w:val="10FA034B"/>
    <w:rsid w:val="10FA926D"/>
    <w:rsid w:val="10FAC74F"/>
    <w:rsid w:val="10FAF286"/>
    <w:rsid w:val="10FB8A83"/>
    <w:rsid w:val="10FBB8B6"/>
    <w:rsid w:val="10FBE207"/>
    <w:rsid w:val="10FCFA7E"/>
    <w:rsid w:val="10FD44A8"/>
    <w:rsid w:val="10FDB95F"/>
    <w:rsid w:val="10FE7763"/>
    <w:rsid w:val="10FFA8A3"/>
    <w:rsid w:val="10FFCD3B"/>
    <w:rsid w:val="110004EC"/>
    <w:rsid w:val="11004304"/>
    <w:rsid w:val="1100F464"/>
    <w:rsid w:val="11034A40"/>
    <w:rsid w:val="11042683"/>
    <w:rsid w:val="1104B591"/>
    <w:rsid w:val="1105D20F"/>
    <w:rsid w:val="110706EC"/>
    <w:rsid w:val="11075BF9"/>
    <w:rsid w:val="1108060F"/>
    <w:rsid w:val="11087B17"/>
    <w:rsid w:val="110B8825"/>
    <w:rsid w:val="110C5ED2"/>
    <w:rsid w:val="110CF937"/>
    <w:rsid w:val="110D6445"/>
    <w:rsid w:val="110E499A"/>
    <w:rsid w:val="110E5864"/>
    <w:rsid w:val="110EA49D"/>
    <w:rsid w:val="1110E7F7"/>
    <w:rsid w:val="11137AB1"/>
    <w:rsid w:val="11142181"/>
    <w:rsid w:val="111453B1"/>
    <w:rsid w:val="1115DB3E"/>
    <w:rsid w:val="11168C73"/>
    <w:rsid w:val="111760BF"/>
    <w:rsid w:val="111889BC"/>
    <w:rsid w:val="1118E015"/>
    <w:rsid w:val="11191258"/>
    <w:rsid w:val="111BF658"/>
    <w:rsid w:val="111DCC56"/>
    <w:rsid w:val="111EA09F"/>
    <w:rsid w:val="11202F49"/>
    <w:rsid w:val="112226F6"/>
    <w:rsid w:val="11240114"/>
    <w:rsid w:val="11244151"/>
    <w:rsid w:val="1124E22B"/>
    <w:rsid w:val="11258533"/>
    <w:rsid w:val="1125ED96"/>
    <w:rsid w:val="1126FE86"/>
    <w:rsid w:val="1129769B"/>
    <w:rsid w:val="112AE8AC"/>
    <w:rsid w:val="112C2CF1"/>
    <w:rsid w:val="112C48DE"/>
    <w:rsid w:val="112CECA7"/>
    <w:rsid w:val="112D6E48"/>
    <w:rsid w:val="112DF77C"/>
    <w:rsid w:val="11300E33"/>
    <w:rsid w:val="113035CD"/>
    <w:rsid w:val="113050EC"/>
    <w:rsid w:val="1131EADB"/>
    <w:rsid w:val="113580EA"/>
    <w:rsid w:val="1136B1D6"/>
    <w:rsid w:val="1136F19D"/>
    <w:rsid w:val="11378C13"/>
    <w:rsid w:val="1138D215"/>
    <w:rsid w:val="11397D6A"/>
    <w:rsid w:val="1139A7D2"/>
    <w:rsid w:val="113A0BD5"/>
    <w:rsid w:val="113A1A7D"/>
    <w:rsid w:val="113AECE5"/>
    <w:rsid w:val="113C3A83"/>
    <w:rsid w:val="113D02C2"/>
    <w:rsid w:val="113DBAF2"/>
    <w:rsid w:val="113EFD48"/>
    <w:rsid w:val="113FA4A4"/>
    <w:rsid w:val="11431117"/>
    <w:rsid w:val="11437845"/>
    <w:rsid w:val="114397BF"/>
    <w:rsid w:val="114582A7"/>
    <w:rsid w:val="1145B9F0"/>
    <w:rsid w:val="1147895B"/>
    <w:rsid w:val="114AFBD5"/>
    <w:rsid w:val="114B2F68"/>
    <w:rsid w:val="114B504E"/>
    <w:rsid w:val="114D97A4"/>
    <w:rsid w:val="114EDED7"/>
    <w:rsid w:val="114EED4F"/>
    <w:rsid w:val="11500599"/>
    <w:rsid w:val="1150780C"/>
    <w:rsid w:val="115176AA"/>
    <w:rsid w:val="115354B5"/>
    <w:rsid w:val="1154C826"/>
    <w:rsid w:val="1155A6D9"/>
    <w:rsid w:val="11564F54"/>
    <w:rsid w:val="1157455E"/>
    <w:rsid w:val="1158B0B7"/>
    <w:rsid w:val="11593E05"/>
    <w:rsid w:val="115B003D"/>
    <w:rsid w:val="115E20A2"/>
    <w:rsid w:val="115E6074"/>
    <w:rsid w:val="115FCBEB"/>
    <w:rsid w:val="1160841D"/>
    <w:rsid w:val="1160C404"/>
    <w:rsid w:val="11615841"/>
    <w:rsid w:val="11615A77"/>
    <w:rsid w:val="1163CA99"/>
    <w:rsid w:val="11649A4B"/>
    <w:rsid w:val="1164E119"/>
    <w:rsid w:val="1165ED23"/>
    <w:rsid w:val="11675A50"/>
    <w:rsid w:val="116C2EC0"/>
    <w:rsid w:val="116EDB18"/>
    <w:rsid w:val="116EF67E"/>
    <w:rsid w:val="11704B16"/>
    <w:rsid w:val="11710273"/>
    <w:rsid w:val="11710791"/>
    <w:rsid w:val="1171411F"/>
    <w:rsid w:val="1172408C"/>
    <w:rsid w:val="117295D0"/>
    <w:rsid w:val="1172AED4"/>
    <w:rsid w:val="1176E2B8"/>
    <w:rsid w:val="11770DD3"/>
    <w:rsid w:val="117940A3"/>
    <w:rsid w:val="117A0D37"/>
    <w:rsid w:val="117AF6F7"/>
    <w:rsid w:val="117BB037"/>
    <w:rsid w:val="117D5D9D"/>
    <w:rsid w:val="117D7B33"/>
    <w:rsid w:val="117D9301"/>
    <w:rsid w:val="117DB52A"/>
    <w:rsid w:val="117F46C1"/>
    <w:rsid w:val="1180963D"/>
    <w:rsid w:val="1180D760"/>
    <w:rsid w:val="1180DB47"/>
    <w:rsid w:val="1181A9E1"/>
    <w:rsid w:val="1182D0E9"/>
    <w:rsid w:val="11832EAF"/>
    <w:rsid w:val="1183F1DD"/>
    <w:rsid w:val="11846BC3"/>
    <w:rsid w:val="1185340D"/>
    <w:rsid w:val="118852BD"/>
    <w:rsid w:val="11885F66"/>
    <w:rsid w:val="118A5B86"/>
    <w:rsid w:val="118BFEDE"/>
    <w:rsid w:val="118CBB52"/>
    <w:rsid w:val="118CC4F4"/>
    <w:rsid w:val="118D64EA"/>
    <w:rsid w:val="118DC65B"/>
    <w:rsid w:val="118DE90C"/>
    <w:rsid w:val="118FEFED"/>
    <w:rsid w:val="1191119A"/>
    <w:rsid w:val="1191A661"/>
    <w:rsid w:val="1192516F"/>
    <w:rsid w:val="11936EEE"/>
    <w:rsid w:val="119627E2"/>
    <w:rsid w:val="11979C6C"/>
    <w:rsid w:val="11985DED"/>
    <w:rsid w:val="1198CBCC"/>
    <w:rsid w:val="119A3A2B"/>
    <w:rsid w:val="119AD38D"/>
    <w:rsid w:val="119BC0EB"/>
    <w:rsid w:val="119BE8D0"/>
    <w:rsid w:val="119E6FA9"/>
    <w:rsid w:val="119EE27A"/>
    <w:rsid w:val="119F1DED"/>
    <w:rsid w:val="11A16449"/>
    <w:rsid w:val="11A1817C"/>
    <w:rsid w:val="11A270E3"/>
    <w:rsid w:val="11A93578"/>
    <w:rsid w:val="11AA28DA"/>
    <w:rsid w:val="11ABF48C"/>
    <w:rsid w:val="11AC6EE5"/>
    <w:rsid w:val="11ADF982"/>
    <w:rsid w:val="11AE9C69"/>
    <w:rsid w:val="11B06643"/>
    <w:rsid w:val="11B0C9F0"/>
    <w:rsid w:val="11B0CB52"/>
    <w:rsid w:val="11B18FEC"/>
    <w:rsid w:val="11B39C72"/>
    <w:rsid w:val="11B39D78"/>
    <w:rsid w:val="11B48901"/>
    <w:rsid w:val="11B50FA8"/>
    <w:rsid w:val="11B57BB1"/>
    <w:rsid w:val="11B5AAF2"/>
    <w:rsid w:val="11B66DC8"/>
    <w:rsid w:val="11B6DFC9"/>
    <w:rsid w:val="11B76C45"/>
    <w:rsid w:val="11B8F79B"/>
    <w:rsid w:val="11BA21A7"/>
    <w:rsid w:val="11BB3989"/>
    <w:rsid w:val="11BD3A90"/>
    <w:rsid w:val="11BD52D9"/>
    <w:rsid w:val="11BE93C8"/>
    <w:rsid w:val="11C10C6E"/>
    <w:rsid w:val="11C11F34"/>
    <w:rsid w:val="11C16087"/>
    <w:rsid w:val="11C1CEA4"/>
    <w:rsid w:val="11C395EE"/>
    <w:rsid w:val="11C45042"/>
    <w:rsid w:val="11C5115B"/>
    <w:rsid w:val="11C5F307"/>
    <w:rsid w:val="11C6816C"/>
    <w:rsid w:val="11C6876B"/>
    <w:rsid w:val="11C6E5D4"/>
    <w:rsid w:val="11C7267B"/>
    <w:rsid w:val="11C7D66F"/>
    <w:rsid w:val="11C857B1"/>
    <w:rsid w:val="11C96B0B"/>
    <w:rsid w:val="11CA3309"/>
    <w:rsid w:val="11CB751B"/>
    <w:rsid w:val="11CC293C"/>
    <w:rsid w:val="11CE1540"/>
    <w:rsid w:val="11CE9150"/>
    <w:rsid w:val="11D001EF"/>
    <w:rsid w:val="11D0EEB5"/>
    <w:rsid w:val="11D2023A"/>
    <w:rsid w:val="11D21CC9"/>
    <w:rsid w:val="11D25950"/>
    <w:rsid w:val="11D31C5C"/>
    <w:rsid w:val="11D4C339"/>
    <w:rsid w:val="11D512A4"/>
    <w:rsid w:val="11D58AF0"/>
    <w:rsid w:val="11D600C7"/>
    <w:rsid w:val="11D6F688"/>
    <w:rsid w:val="11D7AFA5"/>
    <w:rsid w:val="11D88EB9"/>
    <w:rsid w:val="11D95AD9"/>
    <w:rsid w:val="11DB7B75"/>
    <w:rsid w:val="11DC2D8F"/>
    <w:rsid w:val="11DC4D89"/>
    <w:rsid w:val="11DC5685"/>
    <w:rsid w:val="11DD65FB"/>
    <w:rsid w:val="11DEDFB8"/>
    <w:rsid w:val="11DF21C8"/>
    <w:rsid w:val="11DFD126"/>
    <w:rsid w:val="11E167E2"/>
    <w:rsid w:val="11E1C303"/>
    <w:rsid w:val="11E1CFD0"/>
    <w:rsid w:val="11E2AD84"/>
    <w:rsid w:val="11E63C90"/>
    <w:rsid w:val="11E82294"/>
    <w:rsid w:val="11E84B57"/>
    <w:rsid w:val="11E87149"/>
    <w:rsid w:val="11E877D8"/>
    <w:rsid w:val="11EA6671"/>
    <w:rsid w:val="11EABFE4"/>
    <w:rsid w:val="11EBB31A"/>
    <w:rsid w:val="11EE1803"/>
    <w:rsid w:val="11F00AEA"/>
    <w:rsid w:val="11F01796"/>
    <w:rsid w:val="11F135C2"/>
    <w:rsid w:val="11F188BB"/>
    <w:rsid w:val="11F23CC6"/>
    <w:rsid w:val="11F2B217"/>
    <w:rsid w:val="11F55359"/>
    <w:rsid w:val="11F6BBA2"/>
    <w:rsid w:val="11F76536"/>
    <w:rsid w:val="11F7C374"/>
    <w:rsid w:val="11F878A1"/>
    <w:rsid w:val="11FA0CC3"/>
    <w:rsid w:val="11FB16B9"/>
    <w:rsid w:val="11FC1F81"/>
    <w:rsid w:val="11FC55D5"/>
    <w:rsid w:val="11FC6488"/>
    <w:rsid w:val="11FD763B"/>
    <w:rsid w:val="11FD843D"/>
    <w:rsid w:val="11FE5B93"/>
    <w:rsid w:val="11FE8D39"/>
    <w:rsid w:val="12006B6D"/>
    <w:rsid w:val="12008658"/>
    <w:rsid w:val="1200887F"/>
    <w:rsid w:val="1200ECAF"/>
    <w:rsid w:val="120221FC"/>
    <w:rsid w:val="1202AD01"/>
    <w:rsid w:val="12030A5A"/>
    <w:rsid w:val="1205A8E1"/>
    <w:rsid w:val="1206544F"/>
    <w:rsid w:val="1206AF92"/>
    <w:rsid w:val="1206E8B4"/>
    <w:rsid w:val="1207F4F6"/>
    <w:rsid w:val="1208C61F"/>
    <w:rsid w:val="120ADFC4"/>
    <w:rsid w:val="120B2117"/>
    <w:rsid w:val="120BF251"/>
    <w:rsid w:val="120D876B"/>
    <w:rsid w:val="120EB534"/>
    <w:rsid w:val="120F2558"/>
    <w:rsid w:val="1210A3C4"/>
    <w:rsid w:val="12119D9B"/>
    <w:rsid w:val="12138701"/>
    <w:rsid w:val="1214D414"/>
    <w:rsid w:val="12155CCE"/>
    <w:rsid w:val="121642BC"/>
    <w:rsid w:val="12167DFD"/>
    <w:rsid w:val="12176855"/>
    <w:rsid w:val="121768F2"/>
    <w:rsid w:val="12181355"/>
    <w:rsid w:val="1218AA1D"/>
    <w:rsid w:val="121A55DC"/>
    <w:rsid w:val="121B1AB1"/>
    <w:rsid w:val="121B48BB"/>
    <w:rsid w:val="121D8821"/>
    <w:rsid w:val="121D9BF1"/>
    <w:rsid w:val="121F4744"/>
    <w:rsid w:val="121F7B42"/>
    <w:rsid w:val="121F8704"/>
    <w:rsid w:val="12218F62"/>
    <w:rsid w:val="1222B4DB"/>
    <w:rsid w:val="12236FA7"/>
    <w:rsid w:val="1223D593"/>
    <w:rsid w:val="12249D95"/>
    <w:rsid w:val="1224B71A"/>
    <w:rsid w:val="1224C34E"/>
    <w:rsid w:val="1225FE8A"/>
    <w:rsid w:val="1227FF2F"/>
    <w:rsid w:val="122991BD"/>
    <w:rsid w:val="1229C8A4"/>
    <w:rsid w:val="122A3360"/>
    <w:rsid w:val="122ADF3F"/>
    <w:rsid w:val="122B2EB2"/>
    <w:rsid w:val="122C2C4B"/>
    <w:rsid w:val="122DECE6"/>
    <w:rsid w:val="122E8C56"/>
    <w:rsid w:val="122EC04D"/>
    <w:rsid w:val="1230EFA5"/>
    <w:rsid w:val="1231BD38"/>
    <w:rsid w:val="1231DF17"/>
    <w:rsid w:val="12323FE4"/>
    <w:rsid w:val="123377DE"/>
    <w:rsid w:val="12341DC1"/>
    <w:rsid w:val="12347C3B"/>
    <w:rsid w:val="12359A50"/>
    <w:rsid w:val="1238D05A"/>
    <w:rsid w:val="123AD6BB"/>
    <w:rsid w:val="123B0290"/>
    <w:rsid w:val="123B2C1A"/>
    <w:rsid w:val="123B557C"/>
    <w:rsid w:val="123DAEA2"/>
    <w:rsid w:val="12412A89"/>
    <w:rsid w:val="1241D0CC"/>
    <w:rsid w:val="1242C0DA"/>
    <w:rsid w:val="12445A0E"/>
    <w:rsid w:val="12460B7F"/>
    <w:rsid w:val="1246DB12"/>
    <w:rsid w:val="1246F143"/>
    <w:rsid w:val="1247C543"/>
    <w:rsid w:val="124836B7"/>
    <w:rsid w:val="1248FB77"/>
    <w:rsid w:val="124E6322"/>
    <w:rsid w:val="124E9611"/>
    <w:rsid w:val="124EDADC"/>
    <w:rsid w:val="12502B5C"/>
    <w:rsid w:val="12502BED"/>
    <w:rsid w:val="12509BFD"/>
    <w:rsid w:val="12526501"/>
    <w:rsid w:val="1252D53A"/>
    <w:rsid w:val="125319A8"/>
    <w:rsid w:val="1254AEFE"/>
    <w:rsid w:val="1255BA61"/>
    <w:rsid w:val="1256998D"/>
    <w:rsid w:val="12571730"/>
    <w:rsid w:val="125723D2"/>
    <w:rsid w:val="125B61CE"/>
    <w:rsid w:val="125B8BC8"/>
    <w:rsid w:val="125B9571"/>
    <w:rsid w:val="125B960A"/>
    <w:rsid w:val="125BFFFF"/>
    <w:rsid w:val="125D181C"/>
    <w:rsid w:val="125D4774"/>
    <w:rsid w:val="125EA8B0"/>
    <w:rsid w:val="125F0519"/>
    <w:rsid w:val="125F0619"/>
    <w:rsid w:val="125F2E47"/>
    <w:rsid w:val="125F40A7"/>
    <w:rsid w:val="1260A55C"/>
    <w:rsid w:val="12611E4E"/>
    <w:rsid w:val="1262FAE4"/>
    <w:rsid w:val="126452FB"/>
    <w:rsid w:val="1264CCAD"/>
    <w:rsid w:val="126580CD"/>
    <w:rsid w:val="1265E1A8"/>
    <w:rsid w:val="1268E064"/>
    <w:rsid w:val="1268FA54"/>
    <w:rsid w:val="126B983C"/>
    <w:rsid w:val="126C88E1"/>
    <w:rsid w:val="126E5F8A"/>
    <w:rsid w:val="126EDD87"/>
    <w:rsid w:val="1270CD97"/>
    <w:rsid w:val="12717DC9"/>
    <w:rsid w:val="12730989"/>
    <w:rsid w:val="12740E60"/>
    <w:rsid w:val="12744432"/>
    <w:rsid w:val="12750542"/>
    <w:rsid w:val="12754B48"/>
    <w:rsid w:val="1275E389"/>
    <w:rsid w:val="12793159"/>
    <w:rsid w:val="127AACA4"/>
    <w:rsid w:val="127AE9F8"/>
    <w:rsid w:val="127BFF66"/>
    <w:rsid w:val="127CFC3F"/>
    <w:rsid w:val="127E2585"/>
    <w:rsid w:val="127E6A97"/>
    <w:rsid w:val="1282B60A"/>
    <w:rsid w:val="12833C13"/>
    <w:rsid w:val="128369C4"/>
    <w:rsid w:val="12844C4B"/>
    <w:rsid w:val="12855EF6"/>
    <w:rsid w:val="1286A1ED"/>
    <w:rsid w:val="1286B033"/>
    <w:rsid w:val="12872035"/>
    <w:rsid w:val="1287FC9D"/>
    <w:rsid w:val="12881406"/>
    <w:rsid w:val="12881B39"/>
    <w:rsid w:val="12897BA4"/>
    <w:rsid w:val="128ADA25"/>
    <w:rsid w:val="128C5EE5"/>
    <w:rsid w:val="128C9D46"/>
    <w:rsid w:val="128D5619"/>
    <w:rsid w:val="128E058B"/>
    <w:rsid w:val="128F731C"/>
    <w:rsid w:val="129050FC"/>
    <w:rsid w:val="12915A35"/>
    <w:rsid w:val="1291632A"/>
    <w:rsid w:val="1292351F"/>
    <w:rsid w:val="12925E5D"/>
    <w:rsid w:val="1292EACA"/>
    <w:rsid w:val="1292EC85"/>
    <w:rsid w:val="12936C3D"/>
    <w:rsid w:val="129378E1"/>
    <w:rsid w:val="1293F18E"/>
    <w:rsid w:val="1294FDBC"/>
    <w:rsid w:val="12952B45"/>
    <w:rsid w:val="12958491"/>
    <w:rsid w:val="12958CE4"/>
    <w:rsid w:val="1296048E"/>
    <w:rsid w:val="1297710C"/>
    <w:rsid w:val="1297B04D"/>
    <w:rsid w:val="129901FA"/>
    <w:rsid w:val="1299419F"/>
    <w:rsid w:val="129BE020"/>
    <w:rsid w:val="129D8327"/>
    <w:rsid w:val="12A0A955"/>
    <w:rsid w:val="12A24A6B"/>
    <w:rsid w:val="12A2637D"/>
    <w:rsid w:val="12A28240"/>
    <w:rsid w:val="12A5C73F"/>
    <w:rsid w:val="12A89EC3"/>
    <w:rsid w:val="12A94C1B"/>
    <w:rsid w:val="12A995E3"/>
    <w:rsid w:val="12A9AAA3"/>
    <w:rsid w:val="12A9BF96"/>
    <w:rsid w:val="12AA2BAD"/>
    <w:rsid w:val="12AC4DE3"/>
    <w:rsid w:val="12AE12C5"/>
    <w:rsid w:val="12AEA3B2"/>
    <w:rsid w:val="12AEDE68"/>
    <w:rsid w:val="12AF3218"/>
    <w:rsid w:val="12B08F9C"/>
    <w:rsid w:val="12B19247"/>
    <w:rsid w:val="12B26656"/>
    <w:rsid w:val="12B2C7CC"/>
    <w:rsid w:val="12B4B076"/>
    <w:rsid w:val="12B61894"/>
    <w:rsid w:val="12B6412F"/>
    <w:rsid w:val="12B8954D"/>
    <w:rsid w:val="12B8BB91"/>
    <w:rsid w:val="12B99CB7"/>
    <w:rsid w:val="12B9AD6B"/>
    <w:rsid w:val="12BA97E2"/>
    <w:rsid w:val="12BAC4B0"/>
    <w:rsid w:val="12BB7B8E"/>
    <w:rsid w:val="12BC0426"/>
    <w:rsid w:val="12BC70A3"/>
    <w:rsid w:val="12C09579"/>
    <w:rsid w:val="12C17064"/>
    <w:rsid w:val="12C1A43D"/>
    <w:rsid w:val="12C31C53"/>
    <w:rsid w:val="12C394F0"/>
    <w:rsid w:val="12C44EC0"/>
    <w:rsid w:val="12C4AE60"/>
    <w:rsid w:val="12C51DE6"/>
    <w:rsid w:val="12C5395D"/>
    <w:rsid w:val="12C6ADD1"/>
    <w:rsid w:val="12C71096"/>
    <w:rsid w:val="12C77271"/>
    <w:rsid w:val="12C7A30E"/>
    <w:rsid w:val="12C8155F"/>
    <w:rsid w:val="12CE2987"/>
    <w:rsid w:val="12CE3D24"/>
    <w:rsid w:val="12CE4FC1"/>
    <w:rsid w:val="12CECCC9"/>
    <w:rsid w:val="12CF8F77"/>
    <w:rsid w:val="12D10DBC"/>
    <w:rsid w:val="12D3626B"/>
    <w:rsid w:val="12D58912"/>
    <w:rsid w:val="12D5AD64"/>
    <w:rsid w:val="12D5CC86"/>
    <w:rsid w:val="12D7DDA0"/>
    <w:rsid w:val="12D85765"/>
    <w:rsid w:val="12D881DA"/>
    <w:rsid w:val="12D9AA4F"/>
    <w:rsid w:val="12DAFBA2"/>
    <w:rsid w:val="12DCBE38"/>
    <w:rsid w:val="12DDD51B"/>
    <w:rsid w:val="12DEC347"/>
    <w:rsid w:val="12DF0CD3"/>
    <w:rsid w:val="12E0D29B"/>
    <w:rsid w:val="12E19F6A"/>
    <w:rsid w:val="12E3353E"/>
    <w:rsid w:val="12E67A79"/>
    <w:rsid w:val="12E7CAEC"/>
    <w:rsid w:val="12E86F20"/>
    <w:rsid w:val="12E8BB75"/>
    <w:rsid w:val="12E9D3AB"/>
    <w:rsid w:val="12ED3238"/>
    <w:rsid w:val="12ED6032"/>
    <w:rsid w:val="12EE77CF"/>
    <w:rsid w:val="12EEC970"/>
    <w:rsid w:val="12EF05F6"/>
    <w:rsid w:val="12F04497"/>
    <w:rsid w:val="12F0932B"/>
    <w:rsid w:val="12F154C5"/>
    <w:rsid w:val="12F16DC7"/>
    <w:rsid w:val="12F17E4E"/>
    <w:rsid w:val="12F1969E"/>
    <w:rsid w:val="12F3336E"/>
    <w:rsid w:val="12F3AB87"/>
    <w:rsid w:val="12F41CE1"/>
    <w:rsid w:val="12F449FF"/>
    <w:rsid w:val="12F6523C"/>
    <w:rsid w:val="12F84027"/>
    <w:rsid w:val="12F8703C"/>
    <w:rsid w:val="12F918F0"/>
    <w:rsid w:val="12FA6CCF"/>
    <w:rsid w:val="12FD1128"/>
    <w:rsid w:val="12FE3EAD"/>
    <w:rsid w:val="12FE934D"/>
    <w:rsid w:val="12FED635"/>
    <w:rsid w:val="12FF4B32"/>
    <w:rsid w:val="12FF4F42"/>
    <w:rsid w:val="130115B6"/>
    <w:rsid w:val="1302980B"/>
    <w:rsid w:val="1302A259"/>
    <w:rsid w:val="1302D3C8"/>
    <w:rsid w:val="13031AC7"/>
    <w:rsid w:val="1305999D"/>
    <w:rsid w:val="1305D432"/>
    <w:rsid w:val="13073112"/>
    <w:rsid w:val="1307D5EA"/>
    <w:rsid w:val="130A8B32"/>
    <w:rsid w:val="130AF0AE"/>
    <w:rsid w:val="130C3E92"/>
    <w:rsid w:val="130C983E"/>
    <w:rsid w:val="130D4655"/>
    <w:rsid w:val="130DD43E"/>
    <w:rsid w:val="131003F5"/>
    <w:rsid w:val="1311EBDE"/>
    <w:rsid w:val="13127518"/>
    <w:rsid w:val="13129177"/>
    <w:rsid w:val="13129753"/>
    <w:rsid w:val="1313C871"/>
    <w:rsid w:val="13148B63"/>
    <w:rsid w:val="13152BA8"/>
    <w:rsid w:val="1315D6C5"/>
    <w:rsid w:val="131622F2"/>
    <w:rsid w:val="13162671"/>
    <w:rsid w:val="1316618C"/>
    <w:rsid w:val="13172BE6"/>
    <w:rsid w:val="1318413B"/>
    <w:rsid w:val="13190F09"/>
    <w:rsid w:val="131B1659"/>
    <w:rsid w:val="131BD0AF"/>
    <w:rsid w:val="131C28CD"/>
    <w:rsid w:val="131F3A17"/>
    <w:rsid w:val="131F5AED"/>
    <w:rsid w:val="131FE2FA"/>
    <w:rsid w:val="1322DA0F"/>
    <w:rsid w:val="13258DA1"/>
    <w:rsid w:val="1326A6E6"/>
    <w:rsid w:val="132732A4"/>
    <w:rsid w:val="1329AB23"/>
    <w:rsid w:val="1329B3E8"/>
    <w:rsid w:val="132BD83A"/>
    <w:rsid w:val="132C1BBF"/>
    <w:rsid w:val="132D2518"/>
    <w:rsid w:val="132DAA89"/>
    <w:rsid w:val="132E7FD0"/>
    <w:rsid w:val="132E925C"/>
    <w:rsid w:val="132F91C4"/>
    <w:rsid w:val="133174FC"/>
    <w:rsid w:val="13318EBD"/>
    <w:rsid w:val="1332F340"/>
    <w:rsid w:val="1333398F"/>
    <w:rsid w:val="13338182"/>
    <w:rsid w:val="1333BE9D"/>
    <w:rsid w:val="13346A0D"/>
    <w:rsid w:val="133530A2"/>
    <w:rsid w:val="13364A18"/>
    <w:rsid w:val="133868A8"/>
    <w:rsid w:val="133AC0C8"/>
    <w:rsid w:val="133B0F04"/>
    <w:rsid w:val="133B688B"/>
    <w:rsid w:val="133B702E"/>
    <w:rsid w:val="133D1A03"/>
    <w:rsid w:val="133D401D"/>
    <w:rsid w:val="133D626B"/>
    <w:rsid w:val="133DBE44"/>
    <w:rsid w:val="13404261"/>
    <w:rsid w:val="1341F25B"/>
    <w:rsid w:val="1342F93F"/>
    <w:rsid w:val="134384B4"/>
    <w:rsid w:val="13456CDA"/>
    <w:rsid w:val="13459F1D"/>
    <w:rsid w:val="1345B203"/>
    <w:rsid w:val="1347766E"/>
    <w:rsid w:val="1347A0C2"/>
    <w:rsid w:val="1347EF57"/>
    <w:rsid w:val="1348D285"/>
    <w:rsid w:val="1349488E"/>
    <w:rsid w:val="1349A282"/>
    <w:rsid w:val="1349FF20"/>
    <w:rsid w:val="134C11D6"/>
    <w:rsid w:val="134C87F9"/>
    <w:rsid w:val="134C9604"/>
    <w:rsid w:val="13500CD9"/>
    <w:rsid w:val="1352B9D4"/>
    <w:rsid w:val="13533155"/>
    <w:rsid w:val="13536E39"/>
    <w:rsid w:val="135448B6"/>
    <w:rsid w:val="135450B9"/>
    <w:rsid w:val="1354BC59"/>
    <w:rsid w:val="1354D43D"/>
    <w:rsid w:val="1355AEFD"/>
    <w:rsid w:val="1355C794"/>
    <w:rsid w:val="135610E3"/>
    <w:rsid w:val="13563D24"/>
    <w:rsid w:val="13598018"/>
    <w:rsid w:val="135A611D"/>
    <w:rsid w:val="135A61E3"/>
    <w:rsid w:val="135AB75C"/>
    <w:rsid w:val="135BD9C0"/>
    <w:rsid w:val="135E65C3"/>
    <w:rsid w:val="135EA6D9"/>
    <w:rsid w:val="13605B0E"/>
    <w:rsid w:val="13617CDF"/>
    <w:rsid w:val="13643441"/>
    <w:rsid w:val="13643FC9"/>
    <w:rsid w:val="13653BFE"/>
    <w:rsid w:val="13658AC5"/>
    <w:rsid w:val="1365F20F"/>
    <w:rsid w:val="136648F8"/>
    <w:rsid w:val="1367C58D"/>
    <w:rsid w:val="13681CD9"/>
    <w:rsid w:val="136931DF"/>
    <w:rsid w:val="1369AFDB"/>
    <w:rsid w:val="1369F937"/>
    <w:rsid w:val="136A3FE1"/>
    <w:rsid w:val="136AE527"/>
    <w:rsid w:val="136B24AE"/>
    <w:rsid w:val="136BE20D"/>
    <w:rsid w:val="136C2937"/>
    <w:rsid w:val="136C522F"/>
    <w:rsid w:val="136D23E9"/>
    <w:rsid w:val="136D3EF2"/>
    <w:rsid w:val="136D54EF"/>
    <w:rsid w:val="136DEE53"/>
    <w:rsid w:val="136E15F1"/>
    <w:rsid w:val="136E4577"/>
    <w:rsid w:val="136E6EC0"/>
    <w:rsid w:val="1371F155"/>
    <w:rsid w:val="13736684"/>
    <w:rsid w:val="1373A636"/>
    <w:rsid w:val="1373A96D"/>
    <w:rsid w:val="137535E7"/>
    <w:rsid w:val="13755628"/>
    <w:rsid w:val="1375A34B"/>
    <w:rsid w:val="1376C980"/>
    <w:rsid w:val="1377C1E7"/>
    <w:rsid w:val="13781DC0"/>
    <w:rsid w:val="137848EB"/>
    <w:rsid w:val="137C4F41"/>
    <w:rsid w:val="137D3376"/>
    <w:rsid w:val="137E8B8F"/>
    <w:rsid w:val="137F7EA9"/>
    <w:rsid w:val="13813F86"/>
    <w:rsid w:val="13824A8A"/>
    <w:rsid w:val="13838619"/>
    <w:rsid w:val="1383AF3E"/>
    <w:rsid w:val="1384C23F"/>
    <w:rsid w:val="138566F0"/>
    <w:rsid w:val="1385807F"/>
    <w:rsid w:val="1387BECF"/>
    <w:rsid w:val="138809FE"/>
    <w:rsid w:val="138B3E6D"/>
    <w:rsid w:val="138B7B53"/>
    <w:rsid w:val="138BD393"/>
    <w:rsid w:val="138C0C67"/>
    <w:rsid w:val="13905057"/>
    <w:rsid w:val="13922CB7"/>
    <w:rsid w:val="139473D3"/>
    <w:rsid w:val="1395BCDA"/>
    <w:rsid w:val="1395C6E3"/>
    <w:rsid w:val="13960D39"/>
    <w:rsid w:val="1396545F"/>
    <w:rsid w:val="1396D2DB"/>
    <w:rsid w:val="139853F2"/>
    <w:rsid w:val="1399F7AB"/>
    <w:rsid w:val="139A5A67"/>
    <w:rsid w:val="139B02A9"/>
    <w:rsid w:val="139D4615"/>
    <w:rsid w:val="139E0CB8"/>
    <w:rsid w:val="139F3C51"/>
    <w:rsid w:val="13A088C7"/>
    <w:rsid w:val="13A0BE32"/>
    <w:rsid w:val="13A0F4B7"/>
    <w:rsid w:val="13A0F838"/>
    <w:rsid w:val="13A0FBEB"/>
    <w:rsid w:val="13A38D14"/>
    <w:rsid w:val="13A65AE0"/>
    <w:rsid w:val="13A6A774"/>
    <w:rsid w:val="13A75695"/>
    <w:rsid w:val="13A7D89A"/>
    <w:rsid w:val="13A8CE09"/>
    <w:rsid w:val="13A9B8B0"/>
    <w:rsid w:val="13AA61C1"/>
    <w:rsid w:val="13AB7066"/>
    <w:rsid w:val="13AC453D"/>
    <w:rsid w:val="13AE9E7B"/>
    <w:rsid w:val="13B00B73"/>
    <w:rsid w:val="13B2AAC9"/>
    <w:rsid w:val="13B40C32"/>
    <w:rsid w:val="13B43D57"/>
    <w:rsid w:val="13B4ACB9"/>
    <w:rsid w:val="13B4C38E"/>
    <w:rsid w:val="13B52EAD"/>
    <w:rsid w:val="13B735FC"/>
    <w:rsid w:val="13B7D0DE"/>
    <w:rsid w:val="13B8D5EF"/>
    <w:rsid w:val="13B91097"/>
    <w:rsid w:val="13BA49D0"/>
    <w:rsid w:val="13BB48FF"/>
    <w:rsid w:val="13BB67FA"/>
    <w:rsid w:val="13BD69A7"/>
    <w:rsid w:val="13BDD5C4"/>
    <w:rsid w:val="13BE21BF"/>
    <w:rsid w:val="13BEC630"/>
    <w:rsid w:val="13C01C68"/>
    <w:rsid w:val="13C08197"/>
    <w:rsid w:val="13C20606"/>
    <w:rsid w:val="13C294BA"/>
    <w:rsid w:val="13C2AD11"/>
    <w:rsid w:val="13C30673"/>
    <w:rsid w:val="13C759CC"/>
    <w:rsid w:val="13CA5010"/>
    <w:rsid w:val="13CA5BBC"/>
    <w:rsid w:val="13CDA3F0"/>
    <w:rsid w:val="13CDD175"/>
    <w:rsid w:val="13CE7FE7"/>
    <w:rsid w:val="13CED533"/>
    <w:rsid w:val="13CF7307"/>
    <w:rsid w:val="13CFCEAF"/>
    <w:rsid w:val="13D07160"/>
    <w:rsid w:val="13D42E81"/>
    <w:rsid w:val="13D4BAE7"/>
    <w:rsid w:val="13D5BF4B"/>
    <w:rsid w:val="13D64ADF"/>
    <w:rsid w:val="13D7BDA4"/>
    <w:rsid w:val="13D8246F"/>
    <w:rsid w:val="13D94753"/>
    <w:rsid w:val="13D955AD"/>
    <w:rsid w:val="13D985A8"/>
    <w:rsid w:val="13DDE096"/>
    <w:rsid w:val="13DDF648"/>
    <w:rsid w:val="13DF3C3C"/>
    <w:rsid w:val="13DF4010"/>
    <w:rsid w:val="13DF986A"/>
    <w:rsid w:val="13E25EB7"/>
    <w:rsid w:val="13E6381C"/>
    <w:rsid w:val="13E66421"/>
    <w:rsid w:val="13E6D5AC"/>
    <w:rsid w:val="13E6DF70"/>
    <w:rsid w:val="13E71ECA"/>
    <w:rsid w:val="13E775D6"/>
    <w:rsid w:val="13E78E8C"/>
    <w:rsid w:val="13E7DF7E"/>
    <w:rsid w:val="13E82048"/>
    <w:rsid w:val="13E94F97"/>
    <w:rsid w:val="13E951BD"/>
    <w:rsid w:val="13E97EFA"/>
    <w:rsid w:val="13E9A425"/>
    <w:rsid w:val="13EA486C"/>
    <w:rsid w:val="13ED6823"/>
    <w:rsid w:val="13EDC432"/>
    <w:rsid w:val="13EEDEE5"/>
    <w:rsid w:val="13F092A6"/>
    <w:rsid w:val="13F09801"/>
    <w:rsid w:val="13F2B0D5"/>
    <w:rsid w:val="13F304C0"/>
    <w:rsid w:val="13F38FBE"/>
    <w:rsid w:val="13F39524"/>
    <w:rsid w:val="13F42E03"/>
    <w:rsid w:val="13F4A76D"/>
    <w:rsid w:val="13F61B2E"/>
    <w:rsid w:val="13F69673"/>
    <w:rsid w:val="13F73560"/>
    <w:rsid w:val="13F754EB"/>
    <w:rsid w:val="13F904F0"/>
    <w:rsid w:val="13F9E872"/>
    <w:rsid w:val="13FA7A75"/>
    <w:rsid w:val="13FAA81D"/>
    <w:rsid w:val="13FD0FBC"/>
    <w:rsid w:val="13FE262D"/>
    <w:rsid w:val="13FEA28B"/>
    <w:rsid w:val="13FF1A33"/>
    <w:rsid w:val="140236B0"/>
    <w:rsid w:val="1403B94C"/>
    <w:rsid w:val="1405FE5F"/>
    <w:rsid w:val="14066A84"/>
    <w:rsid w:val="140691CF"/>
    <w:rsid w:val="1407CC67"/>
    <w:rsid w:val="14080CFC"/>
    <w:rsid w:val="1409BF00"/>
    <w:rsid w:val="1409FC87"/>
    <w:rsid w:val="140AFEAE"/>
    <w:rsid w:val="140B81CB"/>
    <w:rsid w:val="140C968A"/>
    <w:rsid w:val="140CB201"/>
    <w:rsid w:val="140CE421"/>
    <w:rsid w:val="140D1CFA"/>
    <w:rsid w:val="140D68F9"/>
    <w:rsid w:val="140EDCA5"/>
    <w:rsid w:val="140F4E80"/>
    <w:rsid w:val="140F5B5D"/>
    <w:rsid w:val="1414395F"/>
    <w:rsid w:val="14156AC3"/>
    <w:rsid w:val="1415DF8D"/>
    <w:rsid w:val="1415EAC5"/>
    <w:rsid w:val="14165D98"/>
    <w:rsid w:val="14192E0E"/>
    <w:rsid w:val="141A2277"/>
    <w:rsid w:val="141B4B81"/>
    <w:rsid w:val="141C36A7"/>
    <w:rsid w:val="141C4E2F"/>
    <w:rsid w:val="141D02AB"/>
    <w:rsid w:val="141DFAB9"/>
    <w:rsid w:val="141E64D4"/>
    <w:rsid w:val="141F2934"/>
    <w:rsid w:val="141F29E0"/>
    <w:rsid w:val="141F4087"/>
    <w:rsid w:val="14202A5F"/>
    <w:rsid w:val="1420FDC5"/>
    <w:rsid w:val="142179CE"/>
    <w:rsid w:val="14221876"/>
    <w:rsid w:val="142314EF"/>
    <w:rsid w:val="142348C6"/>
    <w:rsid w:val="14236B60"/>
    <w:rsid w:val="14245C0D"/>
    <w:rsid w:val="142583EA"/>
    <w:rsid w:val="14258565"/>
    <w:rsid w:val="1425F8BE"/>
    <w:rsid w:val="1426664B"/>
    <w:rsid w:val="1426DE01"/>
    <w:rsid w:val="1426EA5B"/>
    <w:rsid w:val="1426F7B1"/>
    <w:rsid w:val="14284F72"/>
    <w:rsid w:val="14288121"/>
    <w:rsid w:val="1428AA2C"/>
    <w:rsid w:val="1428ABED"/>
    <w:rsid w:val="142A0721"/>
    <w:rsid w:val="142AD639"/>
    <w:rsid w:val="142B6DF0"/>
    <w:rsid w:val="142C030D"/>
    <w:rsid w:val="142C5398"/>
    <w:rsid w:val="142D74EA"/>
    <w:rsid w:val="142E063D"/>
    <w:rsid w:val="14330EB2"/>
    <w:rsid w:val="143386BF"/>
    <w:rsid w:val="14350805"/>
    <w:rsid w:val="143539AB"/>
    <w:rsid w:val="14370430"/>
    <w:rsid w:val="1437B391"/>
    <w:rsid w:val="1437CC7C"/>
    <w:rsid w:val="143A6D8B"/>
    <w:rsid w:val="143C5C18"/>
    <w:rsid w:val="143D3956"/>
    <w:rsid w:val="143E3B8E"/>
    <w:rsid w:val="143E92CF"/>
    <w:rsid w:val="143ECDE4"/>
    <w:rsid w:val="14409A3A"/>
    <w:rsid w:val="14413EAB"/>
    <w:rsid w:val="14427043"/>
    <w:rsid w:val="144362D6"/>
    <w:rsid w:val="1444F8BA"/>
    <w:rsid w:val="1446CBE3"/>
    <w:rsid w:val="14478E42"/>
    <w:rsid w:val="1447B396"/>
    <w:rsid w:val="144814E2"/>
    <w:rsid w:val="1448D677"/>
    <w:rsid w:val="1448E88D"/>
    <w:rsid w:val="144A4F7E"/>
    <w:rsid w:val="144A5F86"/>
    <w:rsid w:val="144B3719"/>
    <w:rsid w:val="144B8B3E"/>
    <w:rsid w:val="144C23B0"/>
    <w:rsid w:val="144D40E5"/>
    <w:rsid w:val="144DC4FF"/>
    <w:rsid w:val="14503E7B"/>
    <w:rsid w:val="145130AA"/>
    <w:rsid w:val="14522BB9"/>
    <w:rsid w:val="145379ED"/>
    <w:rsid w:val="1453A05F"/>
    <w:rsid w:val="145535DC"/>
    <w:rsid w:val="14557EBF"/>
    <w:rsid w:val="1456042E"/>
    <w:rsid w:val="145615EC"/>
    <w:rsid w:val="145676CC"/>
    <w:rsid w:val="14580065"/>
    <w:rsid w:val="14582561"/>
    <w:rsid w:val="1459481B"/>
    <w:rsid w:val="14597D64"/>
    <w:rsid w:val="145A5A95"/>
    <w:rsid w:val="145A782A"/>
    <w:rsid w:val="145AA7C2"/>
    <w:rsid w:val="145AF7EA"/>
    <w:rsid w:val="145B1640"/>
    <w:rsid w:val="145B29AC"/>
    <w:rsid w:val="145B30E1"/>
    <w:rsid w:val="145C4127"/>
    <w:rsid w:val="145D0BCA"/>
    <w:rsid w:val="145DEF4D"/>
    <w:rsid w:val="145F1A86"/>
    <w:rsid w:val="145F2E96"/>
    <w:rsid w:val="145FAEFC"/>
    <w:rsid w:val="1466E218"/>
    <w:rsid w:val="14676BF8"/>
    <w:rsid w:val="14679B02"/>
    <w:rsid w:val="1467EF4F"/>
    <w:rsid w:val="146C1EEB"/>
    <w:rsid w:val="146C4D18"/>
    <w:rsid w:val="146CEF25"/>
    <w:rsid w:val="146F5470"/>
    <w:rsid w:val="146F8138"/>
    <w:rsid w:val="146FCFDA"/>
    <w:rsid w:val="14705235"/>
    <w:rsid w:val="1470D1C9"/>
    <w:rsid w:val="1473EF22"/>
    <w:rsid w:val="1474FAE0"/>
    <w:rsid w:val="14758C93"/>
    <w:rsid w:val="147643B8"/>
    <w:rsid w:val="14765DCA"/>
    <w:rsid w:val="1476FBEF"/>
    <w:rsid w:val="14785CBB"/>
    <w:rsid w:val="1479CB9A"/>
    <w:rsid w:val="147A1E01"/>
    <w:rsid w:val="147A8431"/>
    <w:rsid w:val="147A85E7"/>
    <w:rsid w:val="147D826E"/>
    <w:rsid w:val="147E4E32"/>
    <w:rsid w:val="14814AE3"/>
    <w:rsid w:val="148262B9"/>
    <w:rsid w:val="14829F00"/>
    <w:rsid w:val="1482D0C5"/>
    <w:rsid w:val="1484027A"/>
    <w:rsid w:val="1484938E"/>
    <w:rsid w:val="1484AEEA"/>
    <w:rsid w:val="14859A45"/>
    <w:rsid w:val="14860A7F"/>
    <w:rsid w:val="1486D089"/>
    <w:rsid w:val="1488E9A7"/>
    <w:rsid w:val="1489AA94"/>
    <w:rsid w:val="148AD67B"/>
    <w:rsid w:val="148DE5FD"/>
    <w:rsid w:val="148EA9F7"/>
    <w:rsid w:val="148F108A"/>
    <w:rsid w:val="1491760D"/>
    <w:rsid w:val="149193EF"/>
    <w:rsid w:val="1493136B"/>
    <w:rsid w:val="1493FDCB"/>
    <w:rsid w:val="14947621"/>
    <w:rsid w:val="14948E84"/>
    <w:rsid w:val="149658D4"/>
    <w:rsid w:val="14966B6B"/>
    <w:rsid w:val="14989806"/>
    <w:rsid w:val="1498F903"/>
    <w:rsid w:val="149B9737"/>
    <w:rsid w:val="149D403B"/>
    <w:rsid w:val="149D83E9"/>
    <w:rsid w:val="149E5BAA"/>
    <w:rsid w:val="149F8AB7"/>
    <w:rsid w:val="14A1C837"/>
    <w:rsid w:val="14A7A491"/>
    <w:rsid w:val="14A7FAC3"/>
    <w:rsid w:val="14A84346"/>
    <w:rsid w:val="14A85E69"/>
    <w:rsid w:val="14A85FAA"/>
    <w:rsid w:val="14A898EB"/>
    <w:rsid w:val="14A986CE"/>
    <w:rsid w:val="14A9D65B"/>
    <w:rsid w:val="14AA4D9E"/>
    <w:rsid w:val="14AA8CCD"/>
    <w:rsid w:val="14AE7992"/>
    <w:rsid w:val="14AFA529"/>
    <w:rsid w:val="14B08A70"/>
    <w:rsid w:val="14B0C83A"/>
    <w:rsid w:val="14B16D74"/>
    <w:rsid w:val="14B1E6C4"/>
    <w:rsid w:val="14B49544"/>
    <w:rsid w:val="14B6702A"/>
    <w:rsid w:val="14B7EDCE"/>
    <w:rsid w:val="14B8AC25"/>
    <w:rsid w:val="14B91765"/>
    <w:rsid w:val="14BAEECC"/>
    <w:rsid w:val="14BBE412"/>
    <w:rsid w:val="14BCE5D2"/>
    <w:rsid w:val="14BD9360"/>
    <w:rsid w:val="14BE0E29"/>
    <w:rsid w:val="14BEB2D2"/>
    <w:rsid w:val="14BF727E"/>
    <w:rsid w:val="14BF99E9"/>
    <w:rsid w:val="14BFFB62"/>
    <w:rsid w:val="14C097C1"/>
    <w:rsid w:val="14C0AA3A"/>
    <w:rsid w:val="14C0D692"/>
    <w:rsid w:val="14C324B2"/>
    <w:rsid w:val="14C3EE10"/>
    <w:rsid w:val="14C3EEF3"/>
    <w:rsid w:val="14C44786"/>
    <w:rsid w:val="14C465B6"/>
    <w:rsid w:val="14C4B363"/>
    <w:rsid w:val="14C75CCF"/>
    <w:rsid w:val="14C8A66A"/>
    <w:rsid w:val="14C9B48E"/>
    <w:rsid w:val="14CA342B"/>
    <w:rsid w:val="14CAA475"/>
    <w:rsid w:val="14CBBC59"/>
    <w:rsid w:val="14CC49AC"/>
    <w:rsid w:val="14CD3715"/>
    <w:rsid w:val="14CD7453"/>
    <w:rsid w:val="14CDBE40"/>
    <w:rsid w:val="14CF0C53"/>
    <w:rsid w:val="14D04C0B"/>
    <w:rsid w:val="14D0D63C"/>
    <w:rsid w:val="14D1326D"/>
    <w:rsid w:val="14D1A6C0"/>
    <w:rsid w:val="14D1CEFF"/>
    <w:rsid w:val="14D4418F"/>
    <w:rsid w:val="14D57AC5"/>
    <w:rsid w:val="14D93A6F"/>
    <w:rsid w:val="14DA4A53"/>
    <w:rsid w:val="14DB699D"/>
    <w:rsid w:val="14DE55CB"/>
    <w:rsid w:val="14DE8CC6"/>
    <w:rsid w:val="14DFD56C"/>
    <w:rsid w:val="14E1549E"/>
    <w:rsid w:val="14E4114F"/>
    <w:rsid w:val="14E498CF"/>
    <w:rsid w:val="14E4E786"/>
    <w:rsid w:val="14E69BBB"/>
    <w:rsid w:val="14E738ED"/>
    <w:rsid w:val="14E73BA4"/>
    <w:rsid w:val="14E740BE"/>
    <w:rsid w:val="14E777D1"/>
    <w:rsid w:val="14E9407D"/>
    <w:rsid w:val="14EAB04A"/>
    <w:rsid w:val="14EB2011"/>
    <w:rsid w:val="14EBD14F"/>
    <w:rsid w:val="14EBFD0D"/>
    <w:rsid w:val="14EDA06A"/>
    <w:rsid w:val="14EF54FB"/>
    <w:rsid w:val="14F10EC7"/>
    <w:rsid w:val="14F27694"/>
    <w:rsid w:val="14F27779"/>
    <w:rsid w:val="14F34B7B"/>
    <w:rsid w:val="14F3F8BC"/>
    <w:rsid w:val="14F46B62"/>
    <w:rsid w:val="14F5382E"/>
    <w:rsid w:val="14F5E75A"/>
    <w:rsid w:val="14F67828"/>
    <w:rsid w:val="14F68D0E"/>
    <w:rsid w:val="14F71CA4"/>
    <w:rsid w:val="14F73EA4"/>
    <w:rsid w:val="14F76B16"/>
    <w:rsid w:val="14F7A548"/>
    <w:rsid w:val="14F80D89"/>
    <w:rsid w:val="14F9662D"/>
    <w:rsid w:val="14F99E5D"/>
    <w:rsid w:val="14FA81DA"/>
    <w:rsid w:val="14FB3122"/>
    <w:rsid w:val="14FBD4EA"/>
    <w:rsid w:val="14FF916C"/>
    <w:rsid w:val="14FFCEA2"/>
    <w:rsid w:val="14FFD99E"/>
    <w:rsid w:val="1502EC65"/>
    <w:rsid w:val="15035BB1"/>
    <w:rsid w:val="150423DC"/>
    <w:rsid w:val="150980F8"/>
    <w:rsid w:val="150AEEBD"/>
    <w:rsid w:val="150C0123"/>
    <w:rsid w:val="15111575"/>
    <w:rsid w:val="15111C30"/>
    <w:rsid w:val="1511D0CE"/>
    <w:rsid w:val="15122406"/>
    <w:rsid w:val="1514197B"/>
    <w:rsid w:val="1514BC54"/>
    <w:rsid w:val="151574AB"/>
    <w:rsid w:val="151599A2"/>
    <w:rsid w:val="1515EC55"/>
    <w:rsid w:val="15163A70"/>
    <w:rsid w:val="151652BA"/>
    <w:rsid w:val="15172EB8"/>
    <w:rsid w:val="1518FFA7"/>
    <w:rsid w:val="15190002"/>
    <w:rsid w:val="151A8049"/>
    <w:rsid w:val="151B0074"/>
    <w:rsid w:val="151D7F82"/>
    <w:rsid w:val="15201E07"/>
    <w:rsid w:val="15209579"/>
    <w:rsid w:val="15238361"/>
    <w:rsid w:val="1523A19C"/>
    <w:rsid w:val="15256092"/>
    <w:rsid w:val="15261E6C"/>
    <w:rsid w:val="1526E2DB"/>
    <w:rsid w:val="15283ADD"/>
    <w:rsid w:val="152B9C55"/>
    <w:rsid w:val="152BF146"/>
    <w:rsid w:val="152C2D92"/>
    <w:rsid w:val="152D1B48"/>
    <w:rsid w:val="152E6C3E"/>
    <w:rsid w:val="152EEAF2"/>
    <w:rsid w:val="152FA26A"/>
    <w:rsid w:val="1531448E"/>
    <w:rsid w:val="15317F71"/>
    <w:rsid w:val="15318A40"/>
    <w:rsid w:val="1532BD84"/>
    <w:rsid w:val="15333759"/>
    <w:rsid w:val="1533EB50"/>
    <w:rsid w:val="153489B3"/>
    <w:rsid w:val="15355C1D"/>
    <w:rsid w:val="15371576"/>
    <w:rsid w:val="1537172C"/>
    <w:rsid w:val="15372ECF"/>
    <w:rsid w:val="1537B685"/>
    <w:rsid w:val="15393A7B"/>
    <w:rsid w:val="153983CF"/>
    <w:rsid w:val="1539A9FC"/>
    <w:rsid w:val="153A0CF1"/>
    <w:rsid w:val="153A83A2"/>
    <w:rsid w:val="153AD373"/>
    <w:rsid w:val="153C575E"/>
    <w:rsid w:val="154040EF"/>
    <w:rsid w:val="1540A048"/>
    <w:rsid w:val="15419884"/>
    <w:rsid w:val="1541A3CD"/>
    <w:rsid w:val="1541D024"/>
    <w:rsid w:val="1542D579"/>
    <w:rsid w:val="154415F0"/>
    <w:rsid w:val="154557A8"/>
    <w:rsid w:val="15458477"/>
    <w:rsid w:val="154641F5"/>
    <w:rsid w:val="1546B627"/>
    <w:rsid w:val="15484E56"/>
    <w:rsid w:val="1549486B"/>
    <w:rsid w:val="154C75A9"/>
    <w:rsid w:val="154C8A80"/>
    <w:rsid w:val="154DA8EE"/>
    <w:rsid w:val="154F5BA0"/>
    <w:rsid w:val="155008D3"/>
    <w:rsid w:val="1550A6BF"/>
    <w:rsid w:val="1551D408"/>
    <w:rsid w:val="15524440"/>
    <w:rsid w:val="1552A733"/>
    <w:rsid w:val="15532C62"/>
    <w:rsid w:val="1554CB85"/>
    <w:rsid w:val="1554D3DA"/>
    <w:rsid w:val="15554887"/>
    <w:rsid w:val="15573DCD"/>
    <w:rsid w:val="155803B0"/>
    <w:rsid w:val="1558E99B"/>
    <w:rsid w:val="15591EA2"/>
    <w:rsid w:val="15599DFB"/>
    <w:rsid w:val="1559CA43"/>
    <w:rsid w:val="155D871C"/>
    <w:rsid w:val="155E0C62"/>
    <w:rsid w:val="155F161F"/>
    <w:rsid w:val="155F6430"/>
    <w:rsid w:val="1560F51B"/>
    <w:rsid w:val="156241B5"/>
    <w:rsid w:val="15625DCE"/>
    <w:rsid w:val="1562DB9C"/>
    <w:rsid w:val="15636A94"/>
    <w:rsid w:val="15644334"/>
    <w:rsid w:val="1565566B"/>
    <w:rsid w:val="156594F5"/>
    <w:rsid w:val="1565AC77"/>
    <w:rsid w:val="1566F6DC"/>
    <w:rsid w:val="15679219"/>
    <w:rsid w:val="156A5808"/>
    <w:rsid w:val="156A841B"/>
    <w:rsid w:val="156C961B"/>
    <w:rsid w:val="156D2B35"/>
    <w:rsid w:val="156F0340"/>
    <w:rsid w:val="156FEC51"/>
    <w:rsid w:val="1571AE89"/>
    <w:rsid w:val="1571C1DB"/>
    <w:rsid w:val="15732954"/>
    <w:rsid w:val="15751D41"/>
    <w:rsid w:val="1575E68E"/>
    <w:rsid w:val="15763C07"/>
    <w:rsid w:val="1576BDC8"/>
    <w:rsid w:val="1576F8C1"/>
    <w:rsid w:val="15772091"/>
    <w:rsid w:val="15787D3C"/>
    <w:rsid w:val="15790A68"/>
    <w:rsid w:val="157B2989"/>
    <w:rsid w:val="157BBB6A"/>
    <w:rsid w:val="157C1436"/>
    <w:rsid w:val="157C2A4D"/>
    <w:rsid w:val="157C2F43"/>
    <w:rsid w:val="157C8F19"/>
    <w:rsid w:val="157CFD0A"/>
    <w:rsid w:val="157D9035"/>
    <w:rsid w:val="157DAEA8"/>
    <w:rsid w:val="157EC6D9"/>
    <w:rsid w:val="157F09F7"/>
    <w:rsid w:val="157F1E07"/>
    <w:rsid w:val="157FEFC8"/>
    <w:rsid w:val="15811400"/>
    <w:rsid w:val="1581519F"/>
    <w:rsid w:val="1582EA82"/>
    <w:rsid w:val="15835BB2"/>
    <w:rsid w:val="15843BFB"/>
    <w:rsid w:val="15864B54"/>
    <w:rsid w:val="1588E9A1"/>
    <w:rsid w:val="158984E9"/>
    <w:rsid w:val="158A3368"/>
    <w:rsid w:val="158C8A32"/>
    <w:rsid w:val="158CF7B1"/>
    <w:rsid w:val="158D81C9"/>
    <w:rsid w:val="158D9956"/>
    <w:rsid w:val="158EFCD3"/>
    <w:rsid w:val="158FAE0E"/>
    <w:rsid w:val="158FD187"/>
    <w:rsid w:val="15901A63"/>
    <w:rsid w:val="15901D49"/>
    <w:rsid w:val="1590A3F7"/>
    <w:rsid w:val="15921F62"/>
    <w:rsid w:val="1593243B"/>
    <w:rsid w:val="15933633"/>
    <w:rsid w:val="1594B248"/>
    <w:rsid w:val="15961990"/>
    <w:rsid w:val="15984F68"/>
    <w:rsid w:val="15993736"/>
    <w:rsid w:val="15996DDE"/>
    <w:rsid w:val="159AE977"/>
    <w:rsid w:val="159CF2F5"/>
    <w:rsid w:val="159E4C5F"/>
    <w:rsid w:val="159F422D"/>
    <w:rsid w:val="159FC947"/>
    <w:rsid w:val="15A047F2"/>
    <w:rsid w:val="15A1A210"/>
    <w:rsid w:val="15A3BF15"/>
    <w:rsid w:val="15A4181D"/>
    <w:rsid w:val="15A52724"/>
    <w:rsid w:val="15A5983F"/>
    <w:rsid w:val="15A5E517"/>
    <w:rsid w:val="15A6BD58"/>
    <w:rsid w:val="15A71AC8"/>
    <w:rsid w:val="15A7C4BC"/>
    <w:rsid w:val="15A7EDB3"/>
    <w:rsid w:val="15A7F4C5"/>
    <w:rsid w:val="15A9447F"/>
    <w:rsid w:val="15A981E4"/>
    <w:rsid w:val="15A9D15F"/>
    <w:rsid w:val="15AA3749"/>
    <w:rsid w:val="15AB3550"/>
    <w:rsid w:val="15ABEBF8"/>
    <w:rsid w:val="15AC2A15"/>
    <w:rsid w:val="15AC859D"/>
    <w:rsid w:val="15ACC8DC"/>
    <w:rsid w:val="15ADB5A9"/>
    <w:rsid w:val="15ADCF05"/>
    <w:rsid w:val="15B534A7"/>
    <w:rsid w:val="15B68ADE"/>
    <w:rsid w:val="15B724C5"/>
    <w:rsid w:val="15B7D1C1"/>
    <w:rsid w:val="15B8184B"/>
    <w:rsid w:val="15B9B6BB"/>
    <w:rsid w:val="15BA4EAA"/>
    <w:rsid w:val="15BADCD5"/>
    <w:rsid w:val="15BAF3B2"/>
    <w:rsid w:val="15BBFB8C"/>
    <w:rsid w:val="15BCAEC4"/>
    <w:rsid w:val="15BE0BCE"/>
    <w:rsid w:val="15BF0133"/>
    <w:rsid w:val="15C05369"/>
    <w:rsid w:val="15C0C0BC"/>
    <w:rsid w:val="15C3694C"/>
    <w:rsid w:val="15C3C0EF"/>
    <w:rsid w:val="15C47A50"/>
    <w:rsid w:val="15C547EF"/>
    <w:rsid w:val="15C67C35"/>
    <w:rsid w:val="15C6B565"/>
    <w:rsid w:val="15C86DAD"/>
    <w:rsid w:val="15CA2CD9"/>
    <w:rsid w:val="15CA4398"/>
    <w:rsid w:val="15CA9E4D"/>
    <w:rsid w:val="15CC5EF7"/>
    <w:rsid w:val="15CCCB2C"/>
    <w:rsid w:val="15CDB667"/>
    <w:rsid w:val="15CE9304"/>
    <w:rsid w:val="15CEBD8D"/>
    <w:rsid w:val="15CFB4A2"/>
    <w:rsid w:val="15CFDA99"/>
    <w:rsid w:val="15D189C6"/>
    <w:rsid w:val="15D1AF75"/>
    <w:rsid w:val="15D21E54"/>
    <w:rsid w:val="15D3235F"/>
    <w:rsid w:val="15D3E52C"/>
    <w:rsid w:val="15D46587"/>
    <w:rsid w:val="15D48D8E"/>
    <w:rsid w:val="15D49032"/>
    <w:rsid w:val="15D4CBDC"/>
    <w:rsid w:val="15D5A842"/>
    <w:rsid w:val="15D5F1CD"/>
    <w:rsid w:val="15D6F1AA"/>
    <w:rsid w:val="15D7BC03"/>
    <w:rsid w:val="15D85CB9"/>
    <w:rsid w:val="15D87C54"/>
    <w:rsid w:val="15D9394D"/>
    <w:rsid w:val="15D96D89"/>
    <w:rsid w:val="15DBA5F0"/>
    <w:rsid w:val="15DD60DE"/>
    <w:rsid w:val="15DE412D"/>
    <w:rsid w:val="15DEE097"/>
    <w:rsid w:val="15DF5BB5"/>
    <w:rsid w:val="15DFE551"/>
    <w:rsid w:val="15E07643"/>
    <w:rsid w:val="15E0ECDD"/>
    <w:rsid w:val="15E109F8"/>
    <w:rsid w:val="15E19150"/>
    <w:rsid w:val="15E1ED2B"/>
    <w:rsid w:val="15E35EA3"/>
    <w:rsid w:val="15E53B28"/>
    <w:rsid w:val="15E682DE"/>
    <w:rsid w:val="15E6DAC8"/>
    <w:rsid w:val="15E805FF"/>
    <w:rsid w:val="15E8267D"/>
    <w:rsid w:val="15E85DF1"/>
    <w:rsid w:val="15E920EC"/>
    <w:rsid w:val="15E975CA"/>
    <w:rsid w:val="15EA1C89"/>
    <w:rsid w:val="15EB1091"/>
    <w:rsid w:val="15EB4114"/>
    <w:rsid w:val="15EBA99D"/>
    <w:rsid w:val="15EBD2C7"/>
    <w:rsid w:val="15ED495C"/>
    <w:rsid w:val="15ED7B87"/>
    <w:rsid w:val="15EED388"/>
    <w:rsid w:val="15EF1BC9"/>
    <w:rsid w:val="15F0AE97"/>
    <w:rsid w:val="15F0C28F"/>
    <w:rsid w:val="15F18BCA"/>
    <w:rsid w:val="15F2AAC0"/>
    <w:rsid w:val="15F42258"/>
    <w:rsid w:val="15F4FD0C"/>
    <w:rsid w:val="15F6461E"/>
    <w:rsid w:val="15F67823"/>
    <w:rsid w:val="15F778EA"/>
    <w:rsid w:val="15F9A219"/>
    <w:rsid w:val="15FCA025"/>
    <w:rsid w:val="15FEE42D"/>
    <w:rsid w:val="160087F8"/>
    <w:rsid w:val="1601BBEE"/>
    <w:rsid w:val="160649AB"/>
    <w:rsid w:val="1606A49F"/>
    <w:rsid w:val="1606AA7C"/>
    <w:rsid w:val="1607BF56"/>
    <w:rsid w:val="1607CC5A"/>
    <w:rsid w:val="160819A0"/>
    <w:rsid w:val="1608D902"/>
    <w:rsid w:val="160915E5"/>
    <w:rsid w:val="160A4190"/>
    <w:rsid w:val="160BC3F1"/>
    <w:rsid w:val="160CD4C9"/>
    <w:rsid w:val="160D430E"/>
    <w:rsid w:val="160D4541"/>
    <w:rsid w:val="160DD3CF"/>
    <w:rsid w:val="160F0BB4"/>
    <w:rsid w:val="160F6F8A"/>
    <w:rsid w:val="1610A1C8"/>
    <w:rsid w:val="1611075E"/>
    <w:rsid w:val="161168C1"/>
    <w:rsid w:val="1611C881"/>
    <w:rsid w:val="1612821C"/>
    <w:rsid w:val="16139DDD"/>
    <w:rsid w:val="16147B64"/>
    <w:rsid w:val="161481BA"/>
    <w:rsid w:val="1614880E"/>
    <w:rsid w:val="1614C59D"/>
    <w:rsid w:val="1614F0CC"/>
    <w:rsid w:val="1615EAD6"/>
    <w:rsid w:val="161723EE"/>
    <w:rsid w:val="1618E0F7"/>
    <w:rsid w:val="1619BC86"/>
    <w:rsid w:val="161A2D6A"/>
    <w:rsid w:val="161ABD48"/>
    <w:rsid w:val="161C561D"/>
    <w:rsid w:val="161C5D48"/>
    <w:rsid w:val="161DE090"/>
    <w:rsid w:val="161E2433"/>
    <w:rsid w:val="161E7147"/>
    <w:rsid w:val="161E7D1B"/>
    <w:rsid w:val="16210C42"/>
    <w:rsid w:val="16212BEA"/>
    <w:rsid w:val="16223A43"/>
    <w:rsid w:val="16225370"/>
    <w:rsid w:val="162579C1"/>
    <w:rsid w:val="162833D4"/>
    <w:rsid w:val="16290DFD"/>
    <w:rsid w:val="162A484E"/>
    <w:rsid w:val="162B49F6"/>
    <w:rsid w:val="162BF4AA"/>
    <w:rsid w:val="162D0015"/>
    <w:rsid w:val="162D43D1"/>
    <w:rsid w:val="162FAB52"/>
    <w:rsid w:val="163011DA"/>
    <w:rsid w:val="163086B0"/>
    <w:rsid w:val="16316745"/>
    <w:rsid w:val="163530FD"/>
    <w:rsid w:val="16353EA1"/>
    <w:rsid w:val="16374E67"/>
    <w:rsid w:val="16390A65"/>
    <w:rsid w:val="163927A0"/>
    <w:rsid w:val="163CA2B6"/>
    <w:rsid w:val="163D7CDF"/>
    <w:rsid w:val="163E8C68"/>
    <w:rsid w:val="163EB034"/>
    <w:rsid w:val="163F0D24"/>
    <w:rsid w:val="1641A015"/>
    <w:rsid w:val="1643B104"/>
    <w:rsid w:val="1644BBFD"/>
    <w:rsid w:val="1644E833"/>
    <w:rsid w:val="16463606"/>
    <w:rsid w:val="164744FE"/>
    <w:rsid w:val="16479E6F"/>
    <w:rsid w:val="1648FCC2"/>
    <w:rsid w:val="16492C41"/>
    <w:rsid w:val="1649DE06"/>
    <w:rsid w:val="164A19E9"/>
    <w:rsid w:val="164A4A2C"/>
    <w:rsid w:val="164AF136"/>
    <w:rsid w:val="164B5BEF"/>
    <w:rsid w:val="164C5CAA"/>
    <w:rsid w:val="164CF483"/>
    <w:rsid w:val="164D0B05"/>
    <w:rsid w:val="164E1223"/>
    <w:rsid w:val="16508142"/>
    <w:rsid w:val="1650B984"/>
    <w:rsid w:val="16524374"/>
    <w:rsid w:val="1652AD33"/>
    <w:rsid w:val="16542CD7"/>
    <w:rsid w:val="16553BE0"/>
    <w:rsid w:val="1655A7F5"/>
    <w:rsid w:val="1655E3B6"/>
    <w:rsid w:val="1656666A"/>
    <w:rsid w:val="1656E4C8"/>
    <w:rsid w:val="1657341A"/>
    <w:rsid w:val="165AED5D"/>
    <w:rsid w:val="165BAB35"/>
    <w:rsid w:val="165C65FD"/>
    <w:rsid w:val="165C9FB4"/>
    <w:rsid w:val="165E5CF4"/>
    <w:rsid w:val="165E8FBB"/>
    <w:rsid w:val="1660B09C"/>
    <w:rsid w:val="1661D489"/>
    <w:rsid w:val="16624565"/>
    <w:rsid w:val="1664A986"/>
    <w:rsid w:val="16653FED"/>
    <w:rsid w:val="1666CFFF"/>
    <w:rsid w:val="16689270"/>
    <w:rsid w:val="16690F1A"/>
    <w:rsid w:val="166B542D"/>
    <w:rsid w:val="166CC620"/>
    <w:rsid w:val="166DBB4B"/>
    <w:rsid w:val="166E93A1"/>
    <w:rsid w:val="166EC888"/>
    <w:rsid w:val="16707881"/>
    <w:rsid w:val="167242FE"/>
    <w:rsid w:val="16730E32"/>
    <w:rsid w:val="16732715"/>
    <w:rsid w:val="1673318F"/>
    <w:rsid w:val="1673ECEA"/>
    <w:rsid w:val="1673F232"/>
    <w:rsid w:val="16741166"/>
    <w:rsid w:val="16741DB8"/>
    <w:rsid w:val="16747537"/>
    <w:rsid w:val="16753DF5"/>
    <w:rsid w:val="16762909"/>
    <w:rsid w:val="1676BFF7"/>
    <w:rsid w:val="1678437C"/>
    <w:rsid w:val="167857BA"/>
    <w:rsid w:val="1678E187"/>
    <w:rsid w:val="16792C5E"/>
    <w:rsid w:val="1679C623"/>
    <w:rsid w:val="167B47C9"/>
    <w:rsid w:val="167B947E"/>
    <w:rsid w:val="167CE997"/>
    <w:rsid w:val="167CFB99"/>
    <w:rsid w:val="167D8001"/>
    <w:rsid w:val="167E4E3C"/>
    <w:rsid w:val="167E775A"/>
    <w:rsid w:val="167F5F3A"/>
    <w:rsid w:val="16803182"/>
    <w:rsid w:val="16803F06"/>
    <w:rsid w:val="16814D11"/>
    <w:rsid w:val="16816576"/>
    <w:rsid w:val="16823317"/>
    <w:rsid w:val="1682C0C6"/>
    <w:rsid w:val="1682DB0A"/>
    <w:rsid w:val="168447E6"/>
    <w:rsid w:val="16856C31"/>
    <w:rsid w:val="1685BF9C"/>
    <w:rsid w:val="1685F537"/>
    <w:rsid w:val="16863B19"/>
    <w:rsid w:val="1687BABA"/>
    <w:rsid w:val="168A2CB8"/>
    <w:rsid w:val="168A44BE"/>
    <w:rsid w:val="168AD4D8"/>
    <w:rsid w:val="168B3FBB"/>
    <w:rsid w:val="168C568D"/>
    <w:rsid w:val="168E0014"/>
    <w:rsid w:val="168E60EB"/>
    <w:rsid w:val="168FCB72"/>
    <w:rsid w:val="168FF613"/>
    <w:rsid w:val="16910047"/>
    <w:rsid w:val="16916A81"/>
    <w:rsid w:val="1691B899"/>
    <w:rsid w:val="16924F2E"/>
    <w:rsid w:val="1692F0CC"/>
    <w:rsid w:val="1696DDF6"/>
    <w:rsid w:val="1697B7BE"/>
    <w:rsid w:val="16981EEF"/>
    <w:rsid w:val="169909B4"/>
    <w:rsid w:val="16993436"/>
    <w:rsid w:val="1699A417"/>
    <w:rsid w:val="169B1E83"/>
    <w:rsid w:val="169B74E6"/>
    <w:rsid w:val="169B9C55"/>
    <w:rsid w:val="169BC055"/>
    <w:rsid w:val="169EC587"/>
    <w:rsid w:val="169FF47A"/>
    <w:rsid w:val="16A007D5"/>
    <w:rsid w:val="16A091CB"/>
    <w:rsid w:val="16A19F3E"/>
    <w:rsid w:val="16A2B5CE"/>
    <w:rsid w:val="16A35BFA"/>
    <w:rsid w:val="16A36FF4"/>
    <w:rsid w:val="16A4272E"/>
    <w:rsid w:val="16A4A213"/>
    <w:rsid w:val="16A6B3AA"/>
    <w:rsid w:val="16A7717F"/>
    <w:rsid w:val="16A795B0"/>
    <w:rsid w:val="16A900D8"/>
    <w:rsid w:val="16A95237"/>
    <w:rsid w:val="16AB5239"/>
    <w:rsid w:val="16AE41DA"/>
    <w:rsid w:val="16AEFA47"/>
    <w:rsid w:val="16AF31E5"/>
    <w:rsid w:val="16AF4FCC"/>
    <w:rsid w:val="16B16CF7"/>
    <w:rsid w:val="16B1AC3A"/>
    <w:rsid w:val="16B1E449"/>
    <w:rsid w:val="16B259C2"/>
    <w:rsid w:val="16B26E65"/>
    <w:rsid w:val="16B28E9E"/>
    <w:rsid w:val="16B46004"/>
    <w:rsid w:val="16B47867"/>
    <w:rsid w:val="16B6865F"/>
    <w:rsid w:val="16B6B2DB"/>
    <w:rsid w:val="16B9D8FD"/>
    <w:rsid w:val="16BC5511"/>
    <w:rsid w:val="16BDB3E4"/>
    <w:rsid w:val="16BE69A3"/>
    <w:rsid w:val="16BF00EE"/>
    <w:rsid w:val="16BF9481"/>
    <w:rsid w:val="16BFEF0B"/>
    <w:rsid w:val="16C05C78"/>
    <w:rsid w:val="16C1380E"/>
    <w:rsid w:val="16C14A18"/>
    <w:rsid w:val="16C39F04"/>
    <w:rsid w:val="16C3D399"/>
    <w:rsid w:val="16C566A5"/>
    <w:rsid w:val="16C6F56C"/>
    <w:rsid w:val="16C72276"/>
    <w:rsid w:val="16C73F35"/>
    <w:rsid w:val="16C8261C"/>
    <w:rsid w:val="16C8468D"/>
    <w:rsid w:val="16C87665"/>
    <w:rsid w:val="16CC201B"/>
    <w:rsid w:val="16CCCEF4"/>
    <w:rsid w:val="16CD4F14"/>
    <w:rsid w:val="16CE5E1D"/>
    <w:rsid w:val="16CE961D"/>
    <w:rsid w:val="16CEC21E"/>
    <w:rsid w:val="16CF9C35"/>
    <w:rsid w:val="16CFA1EB"/>
    <w:rsid w:val="16D1CC66"/>
    <w:rsid w:val="16D4E3FA"/>
    <w:rsid w:val="16D65823"/>
    <w:rsid w:val="16D69109"/>
    <w:rsid w:val="16D7C96C"/>
    <w:rsid w:val="16D8946E"/>
    <w:rsid w:val="16D8A209"/>
    <w:rsid w:val="16D93598"/>
    <w:rsid w:val="16DB19AC"/>
    <w:rsid w:val="16DC2EF8"/>
    <w:rsid w:val="16DD4AE6"/>
    <w:rsid w:val="16DDBFF7"/>
    <w:rsid w:val="16DEA384"/>
    <w:rsid w:val="16DEB42C"/>
    <w:rsid w:val="16DF807C"/>
    <w:rsid w:val="16E00CCE"/>
    <w:rsid w:val="16E0A0A0"/>
    <w:rsid w:val="16E2858C"/>
    <w:rsid w:val="16E2967B"/>
    <w:rsid w:val="16E348D5"/>
    <w:rsid w:val="16E3623D"/>
    <w:rsid w:val="16E370A5"/>
    <w:rsid w:val="16E3AF92"/>
    <w:rsid w:val="16E56D2C"/>
    <w:rsid w:val="16E5C520"/>
    <w:rsid w:val="16E6E783"/>
    <w:rsid w:val="16E78019"/>
    <w:rsid w:val="16E82C04"/>
    <w:rsid w:val="16E86A45"/>
    <w:rsid w:val="16E8FB95"/>
    <w:rsid w:val="16E95CD4"/>
    <w:rsid w:val="16E970DB"/>
    <w:rsid w:val="16E9AFF7"/>
    <w:rsid w:val="16E9B2C5"/>
    <w:rsid w:val="16EA0F8C"/>
    <w:rsid w:val="16EA1EC1"/>
    <w:rsid w:val="16EA6067"/>
    <w:rsid w:val="16EA79A2"/>
    <w:rsid w:val="16EB1456"/>
    <w:rsid w:val="16EC5A16"/>
    <w:rsid w:val="16EC6317"/>
    <w:rsid w:val="16EC8B61"/>
    <w:rsid w:val="16ECAABC"/>
    <w:rsid w:val="16EE54DA"/>
    <w:rsid w:val="16F064EA"/>
    <w:rsid w:val="16F140D1"/>
    <w:rsid w:val="16F197AA"/>
    <w:rsid w:val="16F3E0D3"/>
    <w:rsid w:val="16F3E1A4"/>
    <w:rsid w:val="16F50494"/>
    <w:rsid w:val="16F56A6B"/>
    <w:rsid w:val="16F5B297"/>
    <w:rsid w:val="16F6AF3E"/>
    <w:rsid w:val="16F73547"/>
    <w:rsid w:val="16F79712"/>
    <w:rsid w:val="16F89E6F"/>
    <w:rsid w:val="16F964AA"/>
    <w:rsid w:val="16FAF3CF"/>
    <w:rsid w:val="16FB2190"/>
    <w:rsid w:val="16FB7D0F"/>
    <w:rsid w:val="16FBC8A2"/>
    <w:rsid w:val="16FC3C2A"/>
    <w:rsid w:val="16FCF9C0"/>
    <w:rsid w:val="16FD0E04"/>
    <w:rsid w:val="16FD2E61"/>
    <w:rsid w:val="16FE2E96"/>
    <w:rsid w:val="16FEAFA3"/>
    <w:rsid w:val="16FF1F38"/>
    <w:rsid w:val="16FFA4B4"/>
    <w:rsid w:val="170041EA"/>
    <w:rsid w:val="17023EEE"/>
    <w:rsid w:val="1704C7BD"/>
    <w:rsid w:val="1704DF11"/>
    <w:rsid w:val="170514F9"/>
    <w:rsid w:val="17056CC4"/>
    <w:rsid w:val="1707A6E5"/>
    <w:rsid w:val="17082302"/>
    <w:rsid w:val="170960C4"/>
    <w:rsid w:val="170AD21B"/>
    <w:rsid w:val="170BF0F5"/>
    <w:rsid w:val="170C6F6F"/>
    <w:rsid w:val="170D0735"/>
    <w:rsid w:val="170EB0FD"/>
    <w:rsid w:val="170EC0D9"/>
    <w:rsid w:val="170F34AA"/>
    <w:rsid w:val="170F4066"/>
    <w:rsid w:val="170F474E"/>
    <w:rsid w:val="170FC114"/>
    <w:rsid w:val="17101CBB"/>
    <w:rsid w:val="17102E95"/>
    <w:rsid w:val="17110646"/>
    <w:rsid w:val="17127259"/>
    <w:rsid w:val="17140E23"/>
    <w:rsid w:val="17145AFD"/>
    <w:rsid w:val="17181D6A"/>
    <w:rsid w:val="17189B65"/>
    <w:rsid w:val="1719B382"/>
    <w:rsid w:val="171A65CC"/>
    <w:rsid w:val="171BF14A"/>
    <w:rsid w:val="171C1760"/>
    <w:rsid w:val="171C350B"/>
    <w:rsid w:val="171C7B11"/>
    <w:rsid w:val="171CE005"/>
    <w:rsid w:val="171EFF9D"/>
    <w:rsid w:val="17209516"/>
    <w:rsid w:val="1721C10B"/>
    <w:rsid w:val="17226CAB"/>
    <w:rsid w:val="1724BAC7"/>
    <w:rsid w:val="17254CEC"/>
    <w:rsid w:val="1727644B"/>
    <w:rsid w:val="17289D6B"/>
    <w:rsid w:val="1729E23D"/>
    <w:rsid w:val="172AA749"/>
    <w:rsid w:val="172ACA94"/>
    <w:rsid w:val="172B8C68"/>
    <w:rsid w:val="172C177A"/>
    <w:rsid w:val="172C9B84"/>
    <w:rsid w:val="172DF1D3"/>
    <w:rsid w:val="172FF389"/>
    <w:rsid w:val="17319EEF"/>
    <w:rsid w:val="1731D548"/>
    <w:rsid w:val="1731E38A"/>
    <w:rsid w:val="1732651C"/>
    <w:rsid w:val="1732AE31"/>
    <w:rsid w:val="1732C5B5"/>
    <w:rsid w:val="17330F76"/>
    <w:rsid w:val="17340228"/>
    <w:rsid w:val="1734086D"/>
    <w:rsid w:val="17370599"/>
    <w:rsid w:val="173B0B4A"/>
    <w:rsid w:val="173B7546"/>
    <w:rsid w:val="173BDF79"/>
    <w:rsid w:val="173D1C9E"/>
    <w:rsid w:val="173DFB08"/>
    <w:rsid w:val="173EB1F1"/>
    <w:rsid w:val="173ED32D"/>
    <w:rsid w:val="1741A6ED"/>
    <w:rsid w:val="17443145"/>
    <w:rsid w:val="1744408E"/>
    <w:rsid w:val="1744EB7C"/>
    <w:rsid w:val="17451BF4"/>
    <w:rsid w:val="17454973"/>
    <w:rsid w:val="17455845"/>
    <w:rsid w:val="1745B2D3"/>
    <w:rsid w:val="1745C878"/>
    <w:rsid w:val="1746EF9E"/>
    <w:rsid w:val="17481C2F"/>
    <w:rsid w:val="1748586C"/>
    <w:rsid w:val="1748C099"/>
    <w:rsid w:val="174C62A2"/>
    <w:rsid w:val="174D2021"/>
    <w:rsid w:val="174F03B9"/>
    <w:rsid w:val="174F0959"/>
    <w:rsid w:val="174F20E7"/>
    <w:rsid w:val="17501030"/>
    <w:rsid w:val="17501F2C"/>
    <w:rsid w:val="17510F48"/>
    <w:rsid w:val="17515C37"/>
    <w:rsid w:val="1751A9A2"/>
    <w:rsid w:val="17526095"/>
    <w:rsid w:val="17532DD1"/>
    <w:rsid w:val="1753F8C3"/>
    <w:rsid w:val="175417B2"/>
    <w:rsid w:val="17544605"/>
    <w:rsid w:val="1755F8BD"/>
    <w:rsid w:val="17560115"/>
    <w:rsid w:val="17560F24"/>
    <w:rsid w:val="1756230A"/>
    <w:rsid w:val="1756D06A"/>
    <w:rsid w:val="1759527A"/>
    <w:rsid w:val="1759909A"/>
    <w:rsid w:val="175C6CB0"/>
    <w:rsid w:val="175FCEA0"/>
    <w:rsid w:val="1760AA32"/>
    <w:rsid w:val="17624C96"/>
    <w:rsid w:val="1762D5D7"/>
    <w:rsid w:val="1762F498"/>
    <w:rsid w:val="1764617A"/>
    <w:rsid w:val="17649394"/>
    <w:rsid w:val="1765104F"/>
    <w:rsid w:val="1766C0BD"/>
    <w:rsid w:val="1768322B"/>
    <w:rsid w:val="176832CE"/>
    <w:rsid w:val="17685C1A"/>
    <w:rsid w:val="1769E286"/>
    <w:rsid w:val="176BD451"/>
    <w:rsid w:val="176C3299"/>
    <w:rsid w:val="176C4798"/>
    <w:rsid w:val="176F3292"/>
    <w:rsid w:val="17701C33"/>
    <w:rsid w:val="177346D8"/>
    <w:rsid w:val="1773B484"/>
    <w:rsid w:val="1773ED13"/>
    <w:rsid w:val="177501A3"/>
    <w:rsid w:val="1775150B"/>
    <w:rsid w:val="17761922"/>
    <w:rsid w:val="177661B7"/>
    <w:rsid w:val="1776A479"/>
    <w:rsid w:val="17770B80"/>
    <w:rsid w:val="17777651"/>
    <w:rsid w:val="1777D8B6"/>
    <w:rsid w:val="1778740D"/>
    <w:rsid w:val="17797051"/>
    <w:rsid w:val="177AD035"/>
    <w:rsid w:val="177B876E"/>
    <w:rsid w:val="177BAC34"/>
    <w:rsid w:val="177BF826"/>
    <w:rsid w:val="177D21D8"/>
    <w:rsid w:val="177D69C7"/>
    <w:rsid w:val="177E9D81"/>
    <w:rsid w:val="177EFF11"/>
    <w:rsid w:val="177F8FF2"/>
    <w:rsid w:val="177FD6C1"/>
    <w:rsid w:val="177FE2B8"/>
    <w:rsid w:val="1781E24E"/>
    <w:rsid w:val="17825299"/>
    <w:rsid w:val="17835CE9"/>
    <w:rsid w:val="17837E62"/>
    <w:rsid w:val="1783C5EB"/>
    <w:rsid w:val="1783F8EA"/>
    <w:rsid w:val="17840678"/>
    <w:rsid w:val="178414F5"/>
    <w:rsid w:val="1786FB55"/>
    <w:rsid w:val="1787042B"/>
    <w:rsid w:val="178751DF"/>
    <w:rsid w:val="17875F84"/>
    <w:rsid w:val="17880A00"/>
    <w:rsid w:val="17881BCB"/>
    <w:rsid w:val="1789D7CB"/>
    <w:rsid w:val="1789FABC"/>
    <w:rsid w:val="178AA3E9"/>
    <w:rsid w:val="178BC10E"/>
    <w:rsid w:val="178D92B0"/>
    <w:rsid w:val="178E3A29"/>
    <w:rsid w:val="178E4F7B"/>
    <w:rsid w:val="178FF8E1"/>
    <w:rsid w:val="179166A5"/>
    <w:rsid w:val="1791932D"/>
    <w:rsid w:val="1792EC01"/>
    <w:rsid w:val="17935590"/>
    <w:rsid w:val="1793AF4D"/>
    <w:rsid w:val="1794B041"/>
    <w:rsid w:val="17952D90"/>
    <w:rsid w:val="179581F7"/>
    <w:rsid w:val="1795DC46"/>
    <w:rsid w:val="1796BCB1"/>
    <w:rsid w:val="1796E960"/>
    <w:rsid w:val="17974791"/>
    <w:rsid w:val="1797D356"/>
    <w:rsid w:val="17984824"/>
    <w:rsid w:val="1798BD45"/>
    <w:rsid w:val="1799A927"/>
    <w:rsid w:val="179A20DF"/>
    <w:rsid w:val="179C33D5"/>
    <w:rsid w:val="179CEA60"/>
    <w:rsid w:val="179D8798"/>
    <w:rsid w:val="179E7B9C"/>
    <w:rsid w:val="179F46A8"/>
    <w:rsid w:val="179F5CFC"/>
    <w:rsid w:val="17A06E6E"/>
    <w:rsid w:val="17A27CF1"/>
    <w:rsid w:val="17A3B414"/>
    <w:rsid w:val="17A45AB7"/>
    <w:rsid w:val="17A490FE"/>
    <w:rsid w:val="17A5B64D"/>
    <w:rsid w:val="17A7C27E"/>
    <w:rsid w:val="17AA17A2"/>
    <w:rsid w:val="17AA3190"/>
    <w:rsid w:val="17AAA0E9"/>
    <w:rsid w:val="17AC4FA7"/>
    <w:rsid w:val="17AC55C6"/>
    <w:rsid w:val="17ACA30F"/>
    <w:rsid w:val="17AF7F0F"/>
    <w:rsid w:val="17AFAFE7"/>
    <w:rsid w:val="17AFF969"/>
    <w:rsid w:val="17B27773"/>
    <w:rsid w:val="17B55782"/>
    <w:rsid w:val="17B5F94C"/>
    <w:rsid w:val="17B67CE9"/>
    <w:rsid w:val="17B8223A"/>
    <w:rsid w:val="17B84CAF"/>
    <w:rsid w:val="17B86DB5"/>
    <w:rsid w:val="17B94B1D"/>
    <w:rsid w:val="17BA34F2"/>
    <w:rsid w:val="17BA8EBA"/>
    <w:rsid w:val="17BBACFB"/>
    <w:rsid w:val="17BC3C9A"/>
    <w:rsid w:val="17BC9745"/>
    <w:rsid w:val="17BD0FE9"/>
    <w:rsid w:val="17BD2DF1"/>
    <w:rsid w:val="17BEA318"/>
    <w:rsid w:val="17BEADEA"/>
    <w:rsid w:val="17BF545F"/>
    <w:rsid w:val="17C4E5C9"/>
    <w:rsid w:val="17C79EAE"/>
    <w:rsid w:val="17C82783"/>
    <w:rsid w:val="17C85944"/>
    <w:rsid w:val="17C96733"/>
    <w:rsid w:val="17C99421"/>
    <w:rsid w:val="17CA3089"/>
    <w:rsid w:val="17CC10EF"/>
    <w:rsid w:val="17CC8101"/>
    <w:rsid w:val="17CE19B9"/>
    <w:rsid w:val="17CEA1A8"/>
    <w:rsid w:val="17CECA0C"/>
    <w:rsid w:val="17CF59B6"/>
    <w:rsid w:val="17D2B7C6"/>
    <w:rsid w:val="17D452CF"/>
    <w:rsid w:val="17D4CD4D"/>
    <w:rsid w:val="17D5BB8C"/>
    <w:rsid w:val="17D61DB6"/>
    <w:rsid w:val="17D645E7"/>
    <w:rsid w:val="17D767F3"/>
    <w:rsid w:val="17D8292F"/>
    <w:rsid w:val="17D8F901"/>
    <w:rsid w:val="17DA2131"/>
    <w:rsid w:val="17DA32C9"/>
    <w:rsid w:val="17DA648B"/>
    <w:rsid w:val="17DA9047"/>
    <w:rsid w:val="17DAA076"/>
    <w:rsid w:val="17DB0791"/>
    <w:rsid w:val="17DC9AC5"/>
    <w:rsid w:val="17DD426D"/>
    <w:rsid w:val="17DD87B2"/>
    <w:rsid w:val="17DDB5AB"/>
    <w:rsid w:val="17DEF52D"/>
    <w:rsid w:val="17DFF70A"/>
    <w:rsid w:val="17E0C7FE"/>
    <w:rsid w:val="17E409E4"/>
    <w:rsid w:val="17E4B476"/>
    <w:rsid w:val="17E51716"/>
    <w:rsid w:val="17E59DE2"/>
    <w:rsid w:val="17E5AEC6"/>
    <w:rsid w:val="17E5B229"/>
    <w:rsid w:val="17E67F4F"/>
    <w:rsid w:val="17E9E14A"/>
    <w:rsid w:val="17EB4960"/>
    <w:rsid w:val="17EB9646"/>
    <w:rsid w:val="17EBC188"/>
    <w:rsid w:val="17EC804C"/>
    <w:rsid w:val="17EC908E"/>
    <w:rsid w:val="17EDBD17"/>
    <w:rsid w:val="17EDD536"/>
    <w:rsid w:val="17EE5343"/>
    <w:rsid w:val="17F08DB7"/>
    <w:rsid w:val="17F1669D"/>
    <w:rsid w:val="17F3ABA4"/>
    <w:rsid w:val="17F645F5"/>
    <w:rsid w:val="17F65A90"/>
    <w:rsid w:val="17F6BB3F"/>
    <w:rsid w:val="17F81037"/>
    <w:rsid w:val="17F8C0E5"/>
    <w:rsid w:val="17F93FD4"/>
    <w:rsid w:val="17F97A4A"/>
    <w:rsid w:val="17FBE3B3"/>
    <w:rsid w:val="17FDBA25"/>
    <w:rsid w:val="17FDC477"/>
    <w:rsid w:val="17FE918B"/>
    <w:rsid w:val="17FEE0D6"/>
    <w:rsid w:val="17FF290C"/>
    <w:rsid w:val="17FF830E"/>
    <w:rsid w:val="18031B0E"/>
    <w:rsid w:val="18039D16"/>
    <w:rsid w:val="1805753D"/>
    <w:rsid w:val="1806878E"/>
    <w:rsid w:val="18074539"/>
    <w:rsid w:val="1807D231"/>
    <w:rsid w:val="1808178B"/>
    <w:rsid w:val="1808BF26"/>
    <w:rsid w:val="180AC044"/>
    <w:rsid w:val="180B8161"/>
    <w:rsid w:val="180CE5DC"/>
    <w:rsid w:val="180DE7CE"/>
    <w:rsid w:val="180E7B76"/>
    <w:rsid w:val="180F1D54"/>
    <w:rsid w:val="180F41CD"/>
    <w:rsid w:val="18100AF3"/>
    <w:rsid w:val="1811F62B"/>
    <w:rsid w:val="18127481"/>
    <w:rsid w:val="1812C232"/>
    <w:rsid w:val="1812E8C7"/>
    <w:rsid w:val="18133D0C"/>
    <w:rsid w:val="18135237"/>
    <w:rsid w:val="1813B636"/>
    <w:rsid w:val="18155B15"/>
    <w:rsid w:val="181745C6"/>
    <w:rsid w:val="1819498A"/>
    <w:rsid w:val="1819AF15"/>
    <w:rsid w:val="181B6041"/>
    <w:rsid w:val="181B810B"/>
    <w:rsid w:val="181C3D73"/>
    <w:rsid w:val="181C54A1"/>
    <w:rsid w:val="181D8576"/>
    <w:rsid w:val="181DA644"/>
    <w:rsid w:val="181F38E8"/>
    <w:rsid w:val="18204543"/>
    <w:rsid w:val="1820E313"/>
    <w:rsid w:val="1820F9A5"/>
    <w:rsid w:val="1821ABD9"/>
    <w:rsid w:val="18228ED1"/>
    <w:rsid w:val="18235E53"/>
    <w:rsid w:val="1824739E"/>
    <w:rsid w:val="1825F188"/>
    <w:rsid w:val="182617CC"/>
    <w:rsid w:val="1826BE58"/>
    <w:rsid w:val="1827F41E"/>
    <w:rsid w:val="1828D365"/>
    <w:rsid w:val="182B035A"/>
    <w:rsid w:val="182CDBF4"/>
    <w:rsid w:val="182D0FCD"/>
    <w:rsid w:val="182E6056"/>
    <w:rsid w:val="18319089"/>
    <w:rsid w:val="1831C865"/>
    <w:rsid w:val="18342DEB"/>
    <w:rsid w:val="1834DF34"/>
    <w:rsid w:val="1835425C"/>
    <w:rsid w:val="1835B0D9"/>
    <w:rsid w:val="18364222"/>
    <w:rsid w:val="18365829"/>
    <w:rsid w:val="1836D77A"/>
    <w:rsid w:val="183A1E00"/>
    <w:rsid w:val="183B1034"/>
    <w:rsid w:val="183B3806"/>
    <w:rsid w:val="183B6148"/>
    <w:rsid w:val="183BA404"/>
    <w:rsid w:val="183C233D"/>
    <w:rsid w:val="183D8D97"/>
    <w:rsid w:val="183F2876"/>
    <w:rsid w:val="184077FD"/>
    <w:rsid w:val="1840C374"/>
    <w:rsid w:val="18426E39"/>
    <w:rsid w:val="1842A3C8"/>
    <w:rsid w:val="1842CC97"/>
    <w:rsid w:val="1842FB9A"/>
    <w:rsid w:val="18443B99"/>
    <w:rsid w:val="184461FE"/>
    <w:rsid w:val="18452884"/>
    <w:rsid w:val="18463C11"/>
    <w:rsid w:val="1846B46E"/>
    <w:rsid w:val="1846E0BD"/>
    <w:rsid w:val="1847225F"/>
    <w:rsid w:val="18477A02"/>
    <w:rsid w:val="1847F28F"/>
    <w:rsid w:val="184853BB"/>
    <w:rsid w:val="18502FA3"/>
    <w:rsid w:val="1850508D"/>
    <w:rsid w:val="1850659B"/>
    <w:rsid w:val="1850A0F6"/>
    <w:rsid w:val="1850FBB1"/>
    <w:rsid w:val="18519552"/>
    <w:rsid w:val="1851CE25"/>
    <w:rsid w:val="18536C06"/>
    <w:rsid w:val="1853C034"/>
    <w:rsid w:val="1854468B"/>
    <w:rsid w:val="1854A40E"/>
    <w:rsid w:val="185548C3"/>
    <w:rsid w:val="18559145"/>
    <w:rsid w:val="1855B906"/>
    <w:rsid w:val="18560545"/>
    <w:rsid w:val="1856271C"/>
    <w:rsid w:val="18568744"/>
    <w:rsid w:val="18588ED7"/>
    <w:rsid w:val="18591303"/>
    <w:rsid w:val="18599D47"/>
    <w:rsid w:val="185AC331"/>
    <w:rsid w:val="185B1CE7"/>
    <w:rsid w:val="185B4854"/>
    <w:rsid w:val="185E38B1"/>
    <w:rsid w:val="185F86F9"/>
    <w:rsid w:val="18607123"/>
    <w:rsid w:val="1860CB21"/>
    <w:rsid w:val="18642C35"/>
    <w:rsid w:val="186470E8"/>
    <w:rsid w:val="186490A5"/>
    <w:rsid w:val="1865874C"/>
    <w:rsid w:val="1865E4A5"/>
    <w:rsid w:val="1867270D"/>
    <w:rsid w:val="1867C1C2"/>
    <w:rsid w:val="1869F4CA"/>
    <w:rsid w:val="186ADAD5"/>
    <w:rsid w:val="186B264D"/>
    <w:rsid w:val="186C91BD"/>
    <w:rsid w:val="186F3A69"/>
    <w:rsid w:val="186FAC37"/>
    <w:rsid w:val="186FC15B"/>
    <w:rsid w:val="186FD4DE"/>
    <w:rsid w:val="18711212"/>
    <w:rsid w:val="1871A149"/>
    <w:rsid w:val="18726ABD"/>
    <w:rsid w:val="1872DAD2"/>
    <w:rsid w:val="1872E2BA"/>
    <w:rsid w:val="1873A902"/>
    <w:rsid w:val="18757227"/>
    <w:rsid w:val="18758680"/>
    <w:rsid w:val="18779BE0"/>
    <w:rsid w:val="1878CC18"/>
    <w:rsid w:val="187B1DB6"/>
    <w:rsid w:val="187BF572"/>
    <w:rsid w:val="187CAE17"/>
    <w:rsid w:val="187D6532"/>
    <w:rsid w:val="187DA7C7"/>
    <w:rsid w:val="187EC030"/>
    <w:rsid w:val="187F1936"/>
    <w:rsid w:val="187F2B52"/>
    <w:rsid w:val="1882B191"/>
    <w:rsid w:val="18846821"/>
    <w:rsid w:val="18856924"/>
    <w:rsid w:val="18857EB7"/>
    <w:rsid w:val="18859B26"/>
    <w:rsid w:val="1885B08D"/>
    <w:rsid w:val="1886B636"/>
    <w:rsid w:val="18875E84"/>
    <w:rsid w:val="18888083"/>
    <w:rsid w:val="188A1EBF"/>
    <w:rsid w:val="188A4502"/>
    <w:rsid w:val="188CD72D"/>
    <w:rsid w:val="188DDC4E"/>
    <w:rsid w:val="188E522A"/>
    <w:rsid w:val="188E7C36"/>
    <w:rsid w:val="1890E596"/>
    <w:rsid w:val="1892B364"/>
    <w:rsid w:val="18930B1E"/>
    <w:rsid w:val="189386A1"/>
    <w:rsid w:val="1893F671"/>
    <w:rsid w:val="1894808C"/>
    <w:rsid w:val="189509A5"/>
    <w:rsid w:val="1895603C"/>
    <w:rsid w:val="18971045"/>
    <w:rsid w:val="1897C4BA"/>
    <w:rsid w:val="1897D525"/>
    <w:rsid w:val="18988B7E"/>
    <w:rsid w:val="189A371E"/>
    <w:rsid w:val="189BB0E9"/>
    <w:rsid w:val="189C48C6"/>
    <w:rsid w:val="189EC0D5"/>
    <w:rsid w:val="189F2D4E"/>
    <w:rsid w:val="18A25256"/>
    <w:rsid w:val="18A2D43C"/>
    <w:rsid w:val="18A320AB"/>
    <w:rsid w:val="18A4E2EB"/>
    <w:rsid w:val="18A6298C"/>
    <w:rsid w:val="18A9193F"/>
    <w:rsid w:val="18A964F9"/>
    <w:rsid w:val="18A96987"/>
    <w:rsid w:val="18A9FEF0"/>
    <w:rsid w:val="18AC1091"/>
    <w:rsid w:val="18ACCBF0"/>
    <w:rsid w:val="18AE8E83"/>
    <w:rsid w:val="18AEDEBF"/>
    <w:rsid w:val="18B02829"/>
    <w:rsid w:val="18B0A9FB"/>
    <w:rsid w:val="18B1DD2C"/>
    <w:rsid w:val="18B21760"/>
    <w:rsid w:val="18B37B9A"/>
    <w:rsid w:val="18B3A8DD"/>
    <w:rsid w:val="18B3B38B"/>
    <w:rsid w:val="18B3F280"/>
    <w:rsid w:val="18B5E1E0"/>
    <w:rsid w:val="18B6CB09"/>
    <w:rsid w:val="18B750BE"/>
    <w:rsid w:val="18BDBFEE"/>
    <w:rsid w:val="18BDD55C"/>
    <w:rsid w:val="18BE64FB"/>
    <w:rsid w:val="18BEF181"/>
    <w:rsid w:val="18BF69C7"/>
    <w:rsid w:val="18C0C57C"/>
    <w:rsid w:val="18C13839"/>
    <w:rsid w:val="18C187F4"/>
    <w:rsid w:val="18C1FB5C"/>
    <w:rsid w:val="18C26126"/>
    <w:rsid w:val="18C2761C"/>
    <w:rsid w:val="18C2B3BC"/>
    <w:rsid w:val="18C2E416"/>
    <w:rsid w:val="18C5270F"/>
    <w:rsid w:val="18C6330B"/>
    <w:rsid w:val="18C76C38"/>
    <w:rsid w:val="18C835CB"/>
    <w:rsid w:val="18C9B7F4"/>
    <w:rsid w:val="18CBFE15"/>
    <w:rsid w:val="18CC23C1"/>
    <w:rsid w:val="18CC98E6"/>
    <w:rsid w:val="18CD63A8"/>
    <w:rsid w:val="18D0C2D6"/>
    <w:rsid w:val="18D17E79"/>
    <w:rsid w:val="18D1E673"/>
    <w:rsid w:val="18D4457B"/>
    <w:rsid w:val="18D44C03"/>
    <w:rsid w:val="18D49671"/>
    <w:rsid w:val="18D522BA"/>
    <w:rsid w:val="18D58429"/>
    <w:rsid w:val="18D8B55F"/>
    <w:rsid w:val="18DA4F69"/>
    <w:rsid w:val="18DAD0F2"/>
    <w:rsid w:val="18DAD844"/>
    <w:rsid w:val="18DB04C4"/>
    <w:rsid w:val="18DB0528"/>
    <w:rsid w:val="18DD7176"/>
    <w:rsid w:val="18DE1985"/>
    <w:rsid w:val="18E10604"/>
    <w:rsid w:val="18E2370F"/>
    <w:rsid w:val="18E2928C"/>
    <w:rsid w:val="18E539B9"/>
    <w:rsid w:val="18E57EAE"/>
    <w:rsid w:val="18E5BE6E"/>
    <w:rsid w:val="18E6BC37"/>
    <w:rsid w:val="18E6E235"/>
    <w:rsid w:val="18E7AE6F"/>
    <w:rsid w:val="18E8FE33"/>
    <w:rsid w:val="18E93C0B"/>
    <w:rsid w:val="18EA1CC4"/>
    <w:rsid w:val="18EB4CF4"/>
    <w:rsid w:val="18EB7134"/>
    <w:rsid w:val="18ECA7FE"/>
    <w:rsid w:val="18EDE746"/>
    <w:rsid w:val="18EE3BDC"/>
    <w:rsid w:val="18EFDA9D"/>
    <w:rsid w:val="18EFE735"/>
    <w:rsid w:val="18F073CE"/>
    <w:rsid w:val="18F1645F"/>
    <w:rsid w:val="18F27BD5"/>
    <w:rsid w:val="18F2D97B"/>
    <w:rsid w:val="18F3B3B4"/>
    <w:rsid w:val="18F4E3AF"/>
    <w:rsid w:val="18F4FCE7"/>
    <w:rsid w:val="18F711CB"/>
    <w:rsid w:val="18F99CE6"/>
    <w:rsid w:val="18F9A932"/>
    <w:rsid w:val="18FBE371"/>
    <w:rsid w:val="18FBED9B"/>
    <w:rsid w:val="18FC38DA"/>
    <w:rsid w:val="18FD8957"/>
    <w:rsid w:val="18FDC1F2"/>
    <w:rsid w:val="18FDE73B"/>
    <w:rsid w:val="18FFB274"/>
    <w:rsid w:val="1900D2DF"/>
    <w:rsid w:val="19010A24"/>
    <w:rsid w:val="1902756E"/>
    <w:rsid w:val="19029F34"/>
    <w:rsid w:val="19040F35"/>
    <w:rsid w:val="1904C6C5"/>
    <w:rsid w:val="1905A452"/>
    <w:rsid w:val="19061773"/>
    <w:rsid w:val="1906779E"/>
    <w:rsid w:val="19094EBD"/>
    <w:rsid w:val="1909645E"/>
    <w:rsid w:val="1909E9F7"/>
    <w:rsid w:val="190A50F3"/>
    <w:rsid w:val="190B3F55"/>
    <w:rsid w:val="190BDBE7"/>
    <w:rsid w:val="190C4610"/>
    <w:rsid w:val="190D8817"/>
    <w:rsid w:val="190DB941"/>
    <w:rsid w:val="1910DACE"/>
    <w:rsid w:val="19112447"/>
    <w:rsid w:val="1912A6D1"/>
    <w:rsid w:val="19196649"/>
    <w:rsid w:val="19196D31"/>
    <w:rsid w:val="19196E13"/>
    <w:rsid w:val="191972C5"/>
    <w:rsid w:val="191A6058"/>
    <w:rsid w:val="191AAB70"/>
    <w:rsid w:val="191D1B15"/>
    <w:rsid w:val="191D43C9"/>
    <w:rsid w:val="191E1902"/>
    <w:rsid w:val="191EACDF"/>
    <w:rsid w:val="191EF011"/>
    <w:rsid w:val="1921619C"/>
    <w:rsid w:val="1921D60A"/>
    <w:rsid w:val="1922A05D"/>
    <w:rsid w:val="19236163"/>
    <w:rsid w:val="1923D76D"/>
    <w:rsid w:val="19247C8B"/>
    <w:rsid w:val="1925223B"/>
    <w:rsid w:val="1925C7AA"/>
    <w:rsid w:val="1925CE8D"/>
    <w:rsid w:val="192757BE"/>
    <w:rsid w:val="1928FB51"/>
    <w:rsid w:val="192B245A"/>
    <w:rsid w:val="192D160B"/>
    <w:rsid w:val="192EDD6A"/>
    <w:rsid w:val="192F032F"/>
    <w:rsid w:val="192F0B78"/>
    <w:rsid w:val="192F69E3"/>
    <w:rsid w:val="19311307"/>
    <w:rsid w:val="19314F52"/>
    <w:rsid w:val="1931C513"/>
    <w:rsid w:val="19334146"/>
    <w:rsid w:val="1933B2F0"/>
    <w:rsid w:val="19345B17"/>
    <w:rsid w:val="1934D0EA"/>
    <w:rsid w:val="1935044C"/>
    <w:rsid w:val="19351448"/>
    <w:rsid w:val="1936ED07"/>
    <w:rsid w:val="19370DE8"/>
    <w:rsid w:val="19373A7F"/>
    <w:rsid w:val="193778F8"/>
    <w:rsid w:val="1938508F"/>
    <w:rsid w:val="19399A23"/>
    <w:rsid w:val="193D3543"/>
    <w:rsid w:val="193D7906"/>
    <w:rsid w:val="193EE6DB"/>
    <w:rsid w:val="193EF0D7"/>
    <w:rsid w:val="193F011F"/>
    <w:rsid w:val="193F267D"/>
    <w:rsid w:val="193FBFC3"/>
    <w:rsid w:val="1940C1BF"/>
    <w:rsid w:val="194490E4"/>
    <w:rsid w:val="19451551"/>
    <w:rsid w:val="1945C17C"/>
    <w:rsid w:val="1945D751"/>
    <w:rsid w:val="19473F7B"/>
    <w:rsid w:val="19478739"/>
    <w:rsid w:val="19483366"/>
    <w:rsid w:val="1948B74B"/>
    <w:rsid w:val="1948BE77"/>
    <w:rsid w:val="1948EA9C"/>
    <w:rsid w:val="1948F552"/>
    <w:rsid w:val="1949D5D0"/>
    <w:rsid w:val="194BFA59"/>
    <w:rsid w:val="194E3BB9"/>
    <w:rsid w:val="194E4DD7"/>
    <w:rsid w:val="194E5A06"/>
    <w:rsid w:val="194F0C20"/>
    <w:rsid w:val="194F219A"/>
    <w:rsid w:val="194F9585"/>
    <w:rsid w:val="194FB6D9"/>
    <w:rsid w:val="1950B02A"/>
    <w:rsid w:val="1951319E"/>
    <w:rsid w:val="195144E8"/>
    <w:rsid w:val="195156C9"/>
    <w:rsid w:val="19516F03"/>
    <w:rsid w:val="1951DD93"/>
    <w:rsid w:val="1952414A"/>
    <w:rsid w:val="1956B018"/>
    <w:rsid w:val="19571FF6"/>
    <w:rsid w:val="195A06C4"/>
    <w:rsid w:val="195AC9F6"/>
    <w:rsid w:val="195BFB75"/>
    <w:rsid w:val="195C0B58"/>
    <w:rsid w:val="195D8A59"/>
    <w:rsid w:val="195DEA1A"/>
    <w:rsid w:val="195E3DAE"/>
    <w:rsid w:val="195F10E1"/>
    <w:rsid w:val="19609624"/>
    <w:rsid w:val="1960D1BB"/>
    <w:rsid w:val="1960DA2D"/>
    <w:rsid w:val="19623D4B"/>
    <w:rsid w:val="196317BB"/>
    <w:rsid w:val="1963FA4E"/>
    <w:rsid w:val="1964CA7F"/>
    <w:rsid w:val="1964D6E1"/>
    <w:rsid w:val="19681BDA"/>
    <w:rsid w:val="1969BC35"/>
    <w:rsid w:val="196A35D1"/>
    <w:rsid w:val="196A848A"/>
    <w:rsid w:val="196AE595"/>
    <w:rsid w:val="196B3687"/>
    <w:rsid w:val="196C406E"/>
    <w:rsid w:val="196CEC29"/>
    <w:rsid w:val="196DBB17"/>
    <w:rsid w:val="196E0E2C"/>
    <w:rsid w:val="196E0FF3"/>
    <w:rsid w:val="197034E2"/>
    <w:rsid w:val="19704B74"/>
    <w:rsid w:val="1970D0B4"/>
    <w:rsid w:val="1973E99F"/>
    <w:rsid w:val="19754E70"/>
    <w:rsid w:val="1976826A"/>
    <w:rsid w:val="1976CA04"/>
    <w:rsid w:val="1977AB0F"/>
    <w:rsid w:val="197869DB"/>
    <w:rsid w:val="1978DAEB"/>
    <w:rsid w:val="1978F759"/>
    <w:rsid w:val="197B0DAF"/>
    <w:rsid w:val="197B9397"/>
    <w:rsid w:val="197BEFFA"/>
    <w:rsid w:val="197BF266"/>
    <w:rsid w:val="197CF80A"/>
    <w:rsid w:val="197EA412"/>
    <w:rsid w:val="198632C2"/>
    <w:rsid w:val="19865EB2"/>
    <w:rsid w:val="19868B0B"/>
    <w:rsid w:val="1988D384"/>
    <w:rsid w:val="198952B6"/>
    <w:rsid w:val="19898177"/>
    <w:rsid w:val="198A6F0D"/>
    <w:rsid w:val="198AAA62"/>
    <w:rsid w:val="198B2CF8"/>
    <w:rsid w:val="198B661E"/>
    <w:rsid w:val="198C0BB0"/>
    <w:rsid w:val="198E23FC"/>
    <w:rsid w:val="198E9FC5"/>
    <w:rsid w:val="198EF74C"/>
    <w:rsid w:val="199098CD"/>
    <w:rsid w:val="1993EC5B"/>
    <w:rsid w:val="1993FF1E"/>
    <w:rsid w:val="1994E38E"/>
    <w:rsid w:val="19953CC7"/>
    <w:rsid w:val="1999050E"/>
    <w:rsid w:val="199943BD"/>
    <w:rsid w:val="1999C634"/>
    <w:rsid w:val="199A493C"/>
    <w:rsid w:val="199AE2F2"/>
    <w:rsid w:val="199B47E8"/>
    <w:rsid w:val="199C35D2"/>
    <w:rsid w:val="199C7558"/>
    <w:rsid w:val="199D6622"/>
    <w:rsid w:val="199DC89D"/>
    <w:rsid w:val="19A10664"/>
    <w:rsid w:val="19A1F21E"/>
    <w:rsid w:val="19A2771D"/>
    <w:rsid w:val="19A6F694"/>
    <w:rsid w:val="19A9C294"/>
    <w:rsid w:val="19ACD770"/>
    <w:rsid w:val="19ADC50A"/>
    <w:rsid w:val="19AE2449"/>
    <w:rsid w:val="19AE5BB5"/>
    <w:rsid w:val="19AF5B6C"/>
    <w:rsid w:val="19B0E4F5"/>
    <w:rsid w:val="19B0F821"/>
    <w:rsid w:val="19B22BF8"/>
    <w:rsid w:val="19B318D6"/>
    <w:rsid w:val="19B38EFC"/>
    <w:rsid w:val="19B3B4F9"/>
    <w:rsid w:val="19B48713"/>
    <w:rsid w:val="19B4A838"/>
    <w:rsid w:val="19B4B7CE"/>
    <w:rsid w:val="19B50D03"/>
    <w:rsid w:val="19B5343D"/>
    <w:rsid w:val="19B590E5"/>
    <w:rsid w:val="19B83A89"/>
    <w:rsid w:val="19B8A1D2"/>
    <w:rsid w:val="19B918FC"/>
    <w:rsid w:val="19B9B78B"/>
    <w:rsid w:val="19BAC491"/>
    <w:rsid w:val="19BB8DDF"/>
    <w:rsid w:val="19BBDB83"/>
    <w:rsid w:val="19BC8D8F"/>
    <w:rsid w:val="19BD1DB0"/>
    <w:rsid w:val="19BE8B65"/>
    <w:rsid w:val="19BEF183"/>
    <w:rsid w:val="19BF9470"/>
    <w:rsid w:val="19BF9C04"/>
    <w:rsid w:val="19BFD22B"/>
    <w:rsid w:val="19C015F1"/>
    <w:rsid w:val="19C1550E"/>
    <w:rsid w:val="19C356C5"/>
    <w:rsid w:val="19C389E4"/>
    <w:rsid w:val="19C3A40B"/>
    <w:rsid w:val="19C416C9"/>
    <w:rsid w:val="19C4B64E"/>
    <w:rsid w:val="19C4D474"/>
    <w:rsid w:val="19C6259D"/>
    <w:rsid w:val="19C6FF97"/>
    <w:rsid w:val="19C70622"/>
    <w:rsid w:val="19C7127F"/>
    <w:rsid w:val="19C71747"/>
    <w:rsid w:val="19C74890"/>
    <w:rsid w:val="19C80E7C"/>
    <w:rsid w:val="19C8CEF4"/>
    <w:rsid w:val="19CA43C0"/>
    <w:rsid w:val="19CA558C"/>
    <w:rsid w:val="19CAF7B9"/>
    <w:rsid w:val="19CC51A7"/>
    <w:rsid w:val="19CCC0B3"/>
    <w:rsid w:val="19CF4C0D"/>
    <w:rsid w:val="19CF93D7"/>
    <w:rsid w:val="19CFAF3E"/>
    <w:rsid w:val="19D1E93C"/>
    <w:rsid w:val="19D417D4"/>
    <w:rsid w:val="19D4DEE2"/>
    <w:rsid w:val="19D63512"/>
    <w:rsid w:val="19D73578"/>
    <w:rsid w:val="19D751A2"/>
    <w:rsid w:val="19D77325"/>
    <w:rsid w:val="19D8B123"/>
    <w:rsid w:val="19D8C5C0"/>
    <w:rsid w:val="19DAD154"/>
    <w:rsid w:val="19DC0EC0"/>
    <w:rsid w:val="19DC3057"/>
    <w:rsid w:val="19DDAE26"/>
    <w:rsid w:val="19E00AFF"/>
    <w:rsid w:val="19E14D26"/>
    <w:rsid w:val="19E17649"/>
    <w:rsid w:val="19E1EA93"/>
    <w:rsid w:val="19E1F7D7"/>
    <w:rsid w:val="19E23726"/>
    <w:rsid w:val="19E3D06F"/>
    <w:rsid w:val="19E4127E"/>
    <w:rsid w:val="19E567CC"/>
    <w:rsid w:val="19E57428"/>
    <w:rsid w:val="19E77139"/>
    <w:rsid w:val="19E78D68"/>
    <w:rsid w:val="19EA5C2C"/>
    <w:rsid w:val="19EA91C1"/>
    <w:rsid w:val="19EB29C4"/>
    <w:rsid w:val="19EB633D"/>
    <w:rsid w:val="19EB6F09"/>
    <w:rsid w:val="19EBA548"/>
    <w:rsid w:val="19ECA223"/>
    <w:rsid w:val="19ECA5E2"/>
    <w:rsid w:val="19EE2B3D"/>
    <w:rsid w:val="19F05EA7"/>
    <w:rsid w:val="19F108D8"/>
    <w:rsid w:val="19F1625B"/>
    <w:rsid w:val="19F188D6"/>
    <w:rsid w:val="19F40426"/>
    <w:rsid w:val="19F432CA"/>
    <w:rsid w:val="19F544A3"/>
    <w:rsid w:val="19F55B1A"/>
    <w:rsid w:val="19F600D9"/>
    <w:rsid w:val="19F86B79"/>
    <w:rsid w:val="19F8EE6C"/>
    <w:rsid w:val="19FA50D0"/>
    <w:rsid w:val="19FA653C"/>
    <w:rsid w:val="19FC1591"/>
    <w:rsid w:val="19FDAF82"/>
    <w:rsid w:val="19FDDA52"/>
    <w:rsid w:val="19FE574A"/>
    <w:rsid w:val="19FEE021"/>
    <w:rsid w:val="19FF20C6"/>
    <w:rsid w:val="19FF2D8D"/>
    <w:rsid w:val="19FF9B83"/>
    <w:rsid w:val="19FFEA5E"/>
    <w:rsid w:val="1A0157AD"/>
    <w:rsid w:val="1A02C6C8"/>
    <w:rsid w:val="1A03CD58"/>
    <w:rsid w:val="1A0472F7"/>
    <w:rsid w:val="1A0527A7"/>
    <w:rsid w:val="1A05A90F"/>
    <w:rsid w:val="1A0665F5"/>
    <w:rsid w:val="1A0A768B"/>
    <w:rsid w:val="1A0B7AAA"/>
    <w:rsid w:val="1A0CDFC7"/>
    <w:rsid w:val="1A0D277B"/>
    <w:rsid w:val="1A0D3F46"/>
    <w:rsid w:val="1A0DEF4A"/>
    <w:rsid w:val="1A0EB231"/>
    <w:rsid w:val="1A0EC594"/>
    <w:rsid w:val="1A0F43A8"/>
    <w:rsid w:val="1A0F552B"/>
    <w:rsid w:val="1A11B5A9"/>
    <w:rsid w:val="1A13104A"/>
    <w:rsid w:val="1A13678F"/>
    <w:rsid w:val="1A152206"/>
    <w:rsid w:val="1A153597"/>
    <w:rsid w:val="1A153B03"/>
    <w:rsid w:val="1A157BF5"/>
    <w:rsid w:val="1A1683B4"/>
    <w:rsid w:val="1A16DE31"/>
    <w:rsid w:val="1A177332"/>
    <w:rsid w:val="1A182170"/>
    <w:rsid w:val="1A191CDD"/>
    <w:rsid w:val="1A1A01F8"/>
    <w:rsid w:val="1A1B6171"/>
    <w:rsid w:val="1A1B9576"/>
    <w:rsid w:val="1A1C2D4A"/>
    <w:rsid w:val="1A1C9C67"/>
    <w:rsid w:val="1A1D18B1"/>
    <w:rsid w:val="1A1D63E5"/>
    <w:rsid w:val="1A1E3D15"/>
    <w:rsid w:val="1A1E5EC2"/>
    <w:rsid w:val="1A1EB69E"/>
    <w:rsid w:val="1A1FB089"/>
    <w:rsid w:val="1A21E721"/>
    <w:rsid w:val="1A270F7E"/>
    <w:rsid w:val="1A2735E2"/>
    <w:rsid w:val="1A27A77F"/>
    <w:rsid w:val="1A284673"/>
    <w:rsid w:val="1A28B2D2"/>
    <w:rsid w:val="1A2B8C1E"/>
    <w:rsid w:val="1A2BB64C"/>
    <w:rsid w:val="1A2E26D9"/>
    <w:rsid w:val="1A2E2782"/>
    <w:rsid w:val="1A2E2DC3"/>
    <w:rsid w:val="1A30A59E"/>
    <w:rsid w:val="1A314AD8"/>
    <w:rsid w:val="1A328B32"/>
    <w:rsid w:val="1A32B990"/>
    <w:rsid w:val="1A32C5BE"/>
    <w:rsid w:val="1A37B64C"/>
    <w:rsid w:val="1A381FDC"/>
    <w:rsid w:val="1A3902F4"/>
    <w:rsid w:val="1A3A32BE"/>
    <w:rsid w:val="1A3CA911"/>
    <w:rsid w:val="1A3DCCDE"/>
    <w:rsid w:val="1A3E5787"/>
    <w:rsid w:val="1A3FF3FC"/>
    <w:rsid w:val="1A400EE6"/>
    <w:rsid w:val="1A413931"/>
    <w:rsid w:val="1A418BEE"/>
    <w:rsid w:val="1A42E734"/>
    <w:rsid w:val="1A450E67"/>
    <w:rsid w:val="1A469D18"/>
    <w:rsid w:val="1A46B9C7"/>
    <w:rsid w:val="1A47C82B"/>
    <w:rsid w:val="1A48C7E6"/>
    <w:rsid w:val="1A49AC61"/>
    <w:rsid w:val="1A4AE96C"/>
    <w:rsid w:val="1A4C4951"/>
    <w:rsid w:val="1A4CA34F"/>
    <w:rsid w:val="1A4D5EF0"/>
    <w:rsid w:val="1A4E7F95"/>
    <w:rsid w:val="1A4EE623"/>
    <w:rsid w:val="1A5111CC"/>
    <w:rsid w:val="1A52F7D5"/>
    <w:rsid w:val="1A54A76D"/>
    <w:rsid w:val="1A5563CB"/>
    <w:rsid w:val="1A589C44"/>
    <w:rsid w:val="1A591A5D"/>
    <w:rsid w:val="1A59945E"/>
    <w:rsid w:val="1A5B4032"/>
    <w:rsid w:val="1A5B9CF4"/>
    <w:rsid w:val="1A5CB8F9"/>
    <w:rsid w:val="1A5CD2B2"/>
    <w:rsid w:val="1A5CEB79"/>
    <w:rsid w:val="1A5D0861"/>
    <w:rsid w:val="1A5D12F7"/>
    <w:rsid w:val="1A5D1430"/>
    <w:rsid w:val="1A5F73B6"/>
    <w:rsid w:val="1A5F7BA1"/>
    <w:rsid w:val="1A601D98"/>
    <w:rsid w:val="1A61C7D8"/>
    <w:rsid w:val="1A61D35C"/>
    <w:rsid w:val="1A639283"/>
    <w:rsid w:val="1A63C238"/>
    <w:rsid w:val="1A64344E"/>
    <w:rsid w:val="1A6476AF"/>
    <w:rsid w:val="1A647D32"/>
    <w:rsid w:val="1A64B7D9"/>
    <w:rsid w:val="1A65E695"/>
    <w:rsid w:val="1A65FF79"/>
    <w:rsid w:val="1A66CF89"/>
    <w:rsid w:val="1A66F2C6"/>
    <w:rsid w:val="1A67C2FC"/>
    <w:rsid w:val="1A67FA23"/>
    <w:rsid w:val="1A693305"/>
    <w:rsid w:val="1A6AB475"/>
    <w:rsid w:val="1A6AF838"/>
    <w:rsid w:val="1A6E4E25"/>
    <w:rsid w:val="1A704196"/>
    <w:rsid w:val="1A70CDF6"/>
    <w:rsid w:val="1A717FBE"/>
    <w:rsid w:val="1A71B28E"/>
    <w:rsid w:val="1A71EAD4"/>
    <w:rsid w:val="1A7345B2"/>
    <w:rsid w:val="1A737779"/>
    <w:rsid w:val="1A740C39"/>
    <w:rsid w:val="1A747D96"/>
    <w:rsid w:val="1A74F510"/>
    <w:rsid w:val="1A752587"/>
    <w:rsid w:val="1A75A68C"/>
    <w:rsid w:val="1A765BB3"/>
    <w:rsid w:val="1A798904"/>
    <w:rsid w:val="1A7C1782"/>
    <w:rsid w:val="1A7D6794"/>
    <w:rsid w:val="1A7FF60A"/>
    <w:rsid w:val="1A7FFFFF"/>
    <w:rsid w:val="1A803924"/>
    <w:rsid w:val="1A809F4F"/>
    <w:rsid w:val="1A80AA12"/>
    <w:rsid w:val="1A818B7E"/>
    <w:rsid w:val="1A82FDF5"/>
    <w:rsid w:val="1A83E50C"/>
    <w:rsid w:val="1A84E092"/>
    <w:rsid w:val="1A84EE5F"/>
    <w:rsid w:val="1A85B51B"/>
    <w:rsid w:val="1A85D11D"/>
    <w:rsid w:val="1A865A8D"/>
    <w:rsid w:val="1A88589C"/>
    <w:rsid w:val="1A885E4E"/>
    <w:rsid w:val="1A898054"/>
    <w:rsid w:val="1A89F62F"/>
    <w:rsid w:val="1A8A8434"/>
    <w:rsid w:val="1A8B4498"/>
    <w:rsid w:val="1A8CBCCF"/>
    <w:rsid w:val="1A8DC2F0"/>
    <w:rsid w:val="1A8DC7C3"/>
    <w:rsid w:val="1A910FA1"/>
    <w:rsid w:val="1A915FE8"/>
    <w:rsid w:val="1A936788"/>
    <w:rsid w:val="1A9368EB"/>
    <w:rsid w:val="1A93CDBB"/>
    <w:rsid w:val="1A947BB8"/>
    <w:rsid w:val="1A957030"/>
    <w:rsid w:val="1A957851"/>
    <w:rsid w:val="1A95B1D9"/>
    <w:rsid w:val="1A960442"/>
    <w:rsid w:val="1A9605AE"/>
    <w:rsid w:val="1A9758DB"/>
    <w:rsid w:val="1A97924B"/>
    <w:rsid w:val="1A9919D7"/>
    <w:rsid w:val="1A995C52"/>
    <w:rsid w:val="1A9B127B"/>
    <w:rsid w:val="1A9D6FF5"/>
    <w:rsid w:val="1A9E5441"/>
    <w:rsid w:val="1A9ECA75"/>
    <w:rsid w:val="1A9F4706"/>
    <w:rsid w:val="1A9F4E9C"/>
    <w:rsid w:val="1AA05AB3"/>
    <w:rsid w:val="1AA086BB"/>
    <w:rsid w:val="1AA1F2C0"/>
    <w:rsid w:val="1AA24C1C"/>
    <w:rsid w:val="1AA402BB"/>
    <w:rsid w:val="1AA439A9"/>
    <w:rsid w:val="1AA563DD"/>
    <w:rsid w:val="1AA5F497"/>
    <w:rsid w:val="1AA784CF"/>
    <w:rsid w:val="1AA7AA00"/>
    <w:rsid w:val="1AA83C99"/>
    <w:rsid w:val="1AA8682F"/>
    <w:rsid w:val="1AA91FB4"/>
    <w:rsid w:val="1AA94269"/>
    <w:rsid w:val="1AA96BB1"/>
    <w:rsid w:val="1AA9EFD0"/>
    <w:rsid w:val="1AAA5FE5"/>
    <w:rsid w:val="1AAAA803"/>
    <w:rsid w:val="1AABC7D1"/>
    <w:rsid w:val="1AACF869"/>
    <w:rsid w:val="1AAD18D9"/>
    <w:rsid w:val="1AAD928D"/>
    <w:rsid w:val="1AADA9C7"/>
    <w:rsid w:val="1AADF3E8"/>
    <w:rsid w:val="1AAE4803"/>
    <w:rsid w:val="1AAE57BE"/>
    <w:rsid w:val="1AAF94A9"/>
    <w:rsid w:val="1AB045A6"/>
    <w:rsid w:val="1AB04DCC"/>
    <w:rsid w:val="1AB06AEE"/>
    <w:rsid w:val="1AB1BA63"/>
    <w:rsid w:val="1AB209EF"/>
    <w:rsid w:val="1AB2949C"/>
    <w:rsid w:val="1AB34188"/>
    <w:rsid w:val="1AB3E40E"/>
    <w:rsid w:val="1AB61EB9"/>
    <w:rsid w:val="1AB70B79"/>
    <w:rsid w:val="1AB98225"/>
    <w:rsid w:val="1AB9EFB0"/>
    <w:rsid w:val="1ABA357D"/>
    <w:rsid w:val="1ABD1E39"/>
    <w:rsid w:val="1ABE14FF"/>
    <w:rsid w:val="1ABF2069"/>
    <w:rsid w:val="1ABF4EDE"/>
    <w:rsid w:val="1AC0169C"/>
    <w:rsid w:val="1AC0BECB"/>
    <w:rsid w:val="1AC0DFB3"/>
    <w:rsid w:val="1AC12B40"/>
    <w:rsid w:val="1AC16D3D"/>
    <w:rsid w:val="1AC423A9"/>
    <w:rsid w:val="1AC46D89"/>
    <w:rsid w:val="1AC86206"/>
    <w:rsid w:val="1AC99803"/>
    <w:rsid w:val="1ACABDA7"/>
    <w:rsid w:val="1ACAC7A4"/>
    <w:rsid w:val="1ACAD7F6"/>
    <w:rsid w:val="1ACB688D"/>
    <w:rsid w:val="1ACB74C3"/>
    <w:rsid w:val="1ACB8562"/>
    <w:rsid w:val="1ACBC5C0"/>
    <w:rsid w:val="1ACC14D3"/>
    <w:rsid w:val="1ACCDFE1"/>
    <w:rsid w:val="1ACE4C33"/>
    <w:rsid w:val="1ACE6133"/>
    <w:rsid w:val="1ACE65EF"/>
    <w:rsid w:val="1ACF48FF"/>
    <w:rsid w:val="1ACFE8E6"/>
    <w:rsid w:val="1AD27B04"/>
    <w:rsid w:val="1AD27BB3"/>
    <w:rsid w:val="1AD2DF29"/>
    <w:rsid w:val="1AD6179C"/>
    <w:rsid w:val="1AD9482E"/>
    <w:rsid w:val="1ADB1833"/>
    <w:rsid w:val="1ADB47D0"/>
    <w:rsid w:val="1ADBA816"/>
    <w:rsid w:val="1ADD2B64"/>
    <w:rsid w:val="1ADF2CBA"/>
    <w:rsid w:val="1ADF3274"/>
    <w:rsid w:val="1ADF4EC7"/>
    <w:rsid w:val="1AE1A04C"/>
    <w:rsid w:val="1AE323C2"/>
    <w:rsid w:val="1AE46FFD"/>
    <w:rsid w:val="1AE5526B"/>
    <w:rsid w:val="1AE622EF"/>
    <w:rsid w:val="1AE92471"/>
    <w:rsid w:val="1AEA2958"/>
    <w:rsid w:val="1AEA6606"/>
    <w:rsid w:val="1AEA6B10"/>
    <w:rsid w:val="1AED7383"/>
    <w:rsid w:val="1AEDC15D"/>
    <w:rsid w:val="1AEDD761"/>
    <w:rsid w:val="1AEDE898"/>
    <w:rsid w:val="1AEEC35F"/>
    <w:rsid w:val="1AF05265"/>
    <w:rsid w:val="1AF1848C"/>
    <w:rsid w:val="1AF2ACF9"/>
    <w:rsid w:val="1AF3DF4A"/>
    <w:rsid w:val="1AF51DBA"/>
    <w:rsid w:val="1AF6B62E"/>
    <w:rsid w:val="1AF6C406"/>
    <w:rsid w:val="1AF7C8F9"/>
    <w:rsid w:val="1AF861B9"/>
    <w:rsid w:val="1AF99AE0"/>
    <w:rsid w:val="1AF9F60E"/>
    <w:rsid w:val="1AFBA675"/>
    <w:rsid w:val="1AFBB9AC"/>
    <w:rsid w:val="1AFC71D8"/>
    <w:rsid w:val="1AFD342B"/>
    <w:rsid w:val="1AFD7554"/>
    <w:rsid w:val="1AFDC197"/>
    <w:rsid w:val="1AFF63BD"/>
    <w:rsid w:val="1B00A77E"/>
    <w:rsid w:val="1B00C115"/>
    <w:rsid w:val="1B025697"/>
    <w:rsid w:val="1B03DE2E"/>
    <w:rsid w:val="1B04A19B"/>
    <w:rsid w:val="1B04FBA0"/>
    <w:rsid w:val="1B05147B"/>
    <w:rsid w:val="1B055ED3"/>
    <w:rsid w:val="1B05A42D"/>
    <w:rsid w:val="1B060A86"/>
    <w:rsid w:val="1B075540"/>
    <w:rsid w:val="1B07D8EF"/>
    <w:rsid w:val="1B0B747E"/>
    <w:rsid w:val="1B0B805A"/>
    <w:rsid w:val="1B0C1F63"/>
    <w:rsid w:val="1B0C44D5"/>
    <w:rsid w:val="1B0C95A5"/>
    <w:rsid w:val="1B0E1F72"/>
    <w:rsid w:val="1B0F5205"/>
    <w:rsid w:val="1B1142E6"/>
    <w:rsid w:val="1B12CC7D"/>
    <w:rsid w:val="1B16187E"/>
    <w:rsid w:val="1B161DF2"/>
    <w:rsid w:val="1B167D91"/>
    <w:rsid w:val="1B17308D"/>
    <w:rsid w:val="1B1750BE"/>
    <w:rsid w:val="1B179E7D"/>
    <w:rsid w:val="1B17AD72"/>
    <w:rsid w:val="1B184F04"/>
    <w:rsid w:val="1B1B0724"/>
    <w:rsid w:val="1B1C1B64"/>
    <w:rsid w:val="1B20EFCB"/>
    <w:rsid w:val="1B20F774"/>
    <w:rsid w:val="1B2346F9"/>
    <w:rsid w:val="1B236FED"/>
    <w:rsid w:val="1B24AC4E"/>
    <w:rsid w:val="1B25A5B2"/>
    <w:rsid w:val="1B26C989"/>
    <w:rsid w:val="1B27218D"/>
    <w:rsid w:val="1B280676"/>
    <w:rsid w:val="1B28223B"/>
    <w:rsid w:val="1B293DB5"/>
    <w:rsid w:val="1B29A006"/>
    <w:rsid w:val="1B2B3E0D"/>
    <w:rsid w:val="1B2B7093"/>
    <w:rsid w:val="1B2B9B17"/>
    <w:rsid w:val="1B2EE4EA"/>
    <w:rsid w:val="1B2F097B"/>
    <w:rsid w:val="1B2FB912"/>
    <w:rsid w:val="1B353C6E"/>
    <w:rsid w:val="1B35AD5B"/>
    <w:rsid w:val="1B36859E"/>
    <w:rsid w:val="1B39137F"/>
    <w:rsid w:val="1B398B0A"/>
    <w:rsid w:val="1B3A6953"/>
    <w:rsid w:val="1B3C808C"/>
    <w:rsid w:val="1B3C85B6"/>
    <w:rsid w:val="1B3D5B52"/>
    <w:rsid w:val="1B3DD8A2"/>
    <w:rsid w:val="1B3F2E6D"/>
    <w:rsid w:val="1B411417"/>
    <w:rsid w:val="1B413E44"/>
    <w:rsid w:val="1B428FD1"/>
    <w:rsid w:val="1B438E0D"/>
    <w:rsid w:val="1B442658"/>
    <w:rsid w:val="1B449904"/>
    <w:rsid w:val="1B459794"/>
    <w:rsid w:val="1B46A846"/>
    <w:rsid w:val="1B47B786"/>
    <w:rsid w:val="1B481DDA"/>
    <w:rsid w:val="1B484EBB"/>
    <w:rsid w:val="1B48759F"/>
    <w:rsid w:val="1B48F55A"/>
    <w:rsid w:val="1B4A598A"/>
    <w:rsid w:val="1B4A8018"/>
    <w:rsid w:val="1B4B77C4"/>
    <w:rsid w:val="1B4CF8D7"/>
    <w:rsid w:val="1B4D87BB"/>
    <w:rsid w:val="1B4F7CFF"/>
    <w:rsid w:val="1B4FE2C5"/>
    <w:rsid w:val="1B50179D"/>
    <w:rsid w:val="1B5040C8"/>
    <w:rsid w:val="1B5055A7"/>
    <w:rsid w:val="1B50631C"/>
    <w:rsid w:val="1B50DF7E"/>
    <w:rsid w:val="1B513452"/>
    <w:rsid w:val="1B514A0D"/>
    <w:rsid w:val="1B5354FB"/>
    <w:rsid w:val="1B542BED"/>
    <w:rsid w:val="1B545242"/>
    <w:rsid w:val="1B54D139"/>
    <w:rsid w:val="1B561F85"/>
    <w:rsid w:val="1B563BB8"/>
    <w:rsid w:val="1B57E9F4"/>
    <w:rsid w:val="1B589611"/>
    <w:rsid w:val="1B59ECF7"/>
    <w:rsid w:val="1B59F14C"/>
    <w:rsid w:val="1B5A1D8C"/>
    <w:rsid w:val="1B5B1B67"/>
    <w:rsid w:val="1B5E7A96"/>
    <w:rsid w:val="1B5FE222"/>
    <w:rsid w:val="1B6090B4"/>
    <w:rsid w:val="1B609444"/>
    <w:rsid w:val="1B61D34E"/>
    <w:rsid w:val="1B6376D6"/>
    <w:rsid w:val="1B64B0BE"/>
    <w:rsid w:val="1B64B411"/>
    <w:rsid w:val="1B65FEE9"/>
    <w:rsid w:val="1B662109"/>
    <w:rsid w:val="1B67238A"/>
    <w:rsid w:val="1B6AD010"/>
    <w:rsid w:val="1B6B8E74"/>
    <w:rsid w:val="1B6E5046"/>
    <w:rsid w:val="1B70C71F"/>
    <w:rsid w:val="1B71EF8D"/>
    <w:rsid w:val="1B74DFA3"/>
    <w:rsid w:val="1B75BA0A"/>
    <w:rsid w:val="1B76637B"/>
    <w:rsid w:val="1B77A934"/>
    <w:rsid w:val="1B77B072"/>
    <w:rsid w:val="1B780EEF"/>
    <w:rsid w:val="1B79A0F9"/>
    <w:rsid w:val="1B7B11FE"/>
    <w:rsid w:val="1B7B5024"/>
    <w:rsid w:val="1B7C26C3"/>
    <w:rsid w:val="1B7C9972"/>
    <w:rsid w:val="1B7CFE90"/>
    <w:rsid w:val="1B802067"/>
    <w:rsid w:val="1B80CF22"/>
    <w:rsid w:val="1B80FA25"/>
    <w:rsid w:val="1B8167EB"/>
    <w:rsid w:val="1B8186A6"/>
    <w:rsid w:val="1B819A60"/>
    <w:rsid w:val="1B825FA6"/>
    <w:rsid w:val="1B8296C9"/>
    <w:rsid w:val="1B8379D4"/>
    <w:rsid w:val="1B84E2ED"/>
    <w:rsid w:val="1B8541FC"/>
    <w:rsid w:val="1B87A39D"/>
    <w:rsid w:val="1B87DA8A"/>
    <w:rsid w:val="1B8B0D1C"/>
    <w:rsid w:val="1B8E0BBE"/>
    <w:rsid w:val="1B8F3B30"/>
    <w:rsid w:val="1B90D3B2"/>
    <w:rsid w:val="1B91B98C"/>
    <w:rsid w:val="1B92A76F"/>
    <w:rsid w:val="1B931A99"/>
    <w:rsid w:val="1B96E993"/>
    <w:rsid w:val="1B977990"/>
    <w:rsid w:val="1B97B0C4"/>
    <w:rsid w:val="1B9A2484"/>
    <w:rsid w:val="1B9A5258"/>
    <w:rsid w:val="1B9A5CF1"/>
    <w:rsid w:val="1B9B1932"/>
    <w:rsid w:val="1B9C40AD"/>
    <w:rsid w:val="1B9CDF41"/>
    <w:rsid w:val="1B9CFCFE"/>
    <w:rsid w:val="1B9D3D27"/>
    <w:rsid w:val="1B9E20F5"/>
    <w:rsid w:val="1B9E537D"/>
    <w:rsid w:val="1B9E6695"/>
    <w:rsid w:val="1BA037BF"/>
    <w:rsid w:val="1BA1EFC0"/>
    <w:rsid w:val="1BA1FC82"/>
    <w:rsid w:val="1BA2EC87"/>
    <w:rsid w:val="1BA3F2A1"/>
    <w:rsid w:val="1BA58F5C"/>
    <w:rsid w:val="1BA60FE4"/>
    <w:rsid w:val="1BA8651E"/>
    <w:rsid w:val="1BAAA368"/>
    <w:rsid w:val="1BACCEFE"/>
    <w:rsid w:val="1BACFECE"/>
    <w:rsid w:val="1BAD02FE"/>
    <w:rsid w:val="1BAE14DB"/>
    <w:rsid w:val="1BAEB416"/>
    <w:rsid w:val="1BAF85E9"/>
    <w:rsid w:val="1BB12DF2"/>
    <w:rsid w:val="1BB227E4"/>
    <w:rsid w:val="1BB3D253"/>
    <w:rsid w:val="1BB3FA54"/>
    <w:rsid w:val="1BB48DAD"/>
    <w:rsid w:val="1BB543EE"/>
    <w:rsid w:val="1BB5BD53"/>
    <w:rsid w:val="1BB64A17"/>
    <w:rsid w:val="1BB683A1"/>
    <w:rsid w:val="1BB6C462"/>
    <w:rsid w:val="1BB80B09"/>
    <w:rsid w:val="1BB85619"/>
    <w:rsid w:val="1BB9A20C"/>
    <w:rsid w:val="1BBB2304"/>
    <w:rsid w:val="1BBC82A0"/>
    <w:rsid w:val="1BBCFB9E"/>
    <w:rsid w:val="1BBD8BA0"/>
    <w:rsid w:val="1BBD99C7"/>
    <w:rsid w:val="1BBFD43A"/>
    <w:rsid w:val="1BC11D8B"/>
    <w:rsid w:val="1BC440D8"/>
    <w:rsid w:val="1BC4DD34"/>
    <w:rsid w:val="1BC546A9"/>
    <w:rsid w:val="1BC65D88"/>
    <w:rsid w:val="1BC71C15"/>
    <w:rsid w:val="1BC7BD83"/>
    <w:rsid w:val="1BC8AEB5"/>
    <w:rsid w:val="1BC8E63F"/>
    <w:rsid w:val="1BC9607A"/>
    <w:rsid w:val="1BC9EDA9"/>
    <w:rsid w:val="1BCBE6E2"/>
    <w:rsid w:val="1BCD2DFD"/>
    <w:rsid w:val="1BCE08FE"/>
    <w:rsid w:val="1BCFE04B"/>
    <w:rsid w:val="1BD03074"/>
    <w:rsid w:val="1BD04546"/>
    <w:rsid w:val="1BD08E34"/>
    <w:rsid w:val="1BD4D107"/>
    <w:rsid w:val="1BD4F064"/>
    <w:rsid w:val="1BD5FCCC"/>
    <w:rsid w:val="1BD7F64D"/>
    <w:rsid w:val="1BD80307"/>
    <w:rsid w:val="1BD8772D"/>
    <w:rsid w:val="1BDB9A0A"/>
    <w:rsid w:val="1BDBA939"/>
    <w:rsid w:val="1BDBF173"/>
    <w:rsid w:val="1BDD2E27"/>
    <w:rsid w:val="1BDD5376"/>
    <w:rsid w:val="1BDE4E88"/>
    <w:rsid w:val="1BDE8D31"/>
    <w:rsid w:val="1BDF4FC6"/>
    <w:rsid w:val="1BE0B1CB"/>
    <w:rsid w:val="1BE0C443"/>
    <w:rsid w:val="1BE22FA8"/>
    <w:rsid w:val="1BE23744"/>
    <w:rsid w:val="1BE2A071"/>
    <w:rsid w:val="1BE2ACB8"/>
    <w:rsid w:val="1BE383B0"/>
    <w:rsid w:val="1BE3C0BE"/>
    <w:rsid w:val="1BE43268"/>
    <w:rsid w:val="1BE510A2"/>
    <w:rsid w:val="1BE51CAD"/>
    <w:rsid w:val="1BE53348"/>
    <w:rsid w:val="1BE7B55E"/>
    <w:rsid w:val="1BE8545D"/>
    <w:rsid w:val="1BE92440"/>
    <w:rsid w:val="1BE9854D"/>
    <w:rsid w:val="1BEA9BF9"/>
    <w:rsid w:val="1BED10E1"/>
    <w:rsid w:val="1BEE2B40"/>
    <w:rsid w:val="1BEE3E63"/>
    <w:rsid w:val="1BEF279D"/>
    <w:rsid w:val="1BEFD6D2"/>
    <w:rsid w:val="1BF08C9B"/>
    <w:rsid w:val="1BF0F32F"/>
    <w:rsid w:val="1BF323CC"/>
    <w:rsid w:val="1BF47D28"/>
    <w:rsid w:val="1BF5CE0F"/>
    <w:rsid w:val="1BF5F5E7"/>
    <w:rsid w:val="1BF68113"/>
    <w:rsid w:val="1BF6EB12"/>
    <w:rsid w:val="1BF751DC"/>
    <w:rsid w:val="1BF76EF2"/>
    <w:rsid w:val="1BF79BAF"/>
    <w:rsid w:val="1BF878CD"/>
    <w:rsid w:val="1BF9EAC0"/>
    <w:rsid w:val="1BFABD63"/>
    <w:rsid w:val="1BFB10AC"/>
    <w:rsid w:val="1BFB17BE"/>
    <w:rsid w:val="1BFB8A13"/>
    <w:rsid w:val="1BFBD795"/>
    <w:rsid w:val="1BFD148E"/>
    <w:rsid w:val="1BFD6102"/>
    <w:rsid w:val="1BFECE65"/>
    <w:rsid w:val="1BFED882"/>
    <w:rsid w:val="1C000124"/>
    <w:rsid w:val="1C010B2E"/>
    <w:rsid w:val="1C020845"/>
    <w:rsid w:val="1C05715B"/>
    <w:rsid w:val="1C0684D6"/>
    <w:rsid w:val="1C082C3C"/>
    <w:rsid w:val="1C092FC8"/>
    <w:rsid w:val="1C0D018B"/>
    <w:rsid w:val="1C0D3B94"/>
    <w:rsid w:val="1C0E660B"/>
    <w:rsid w:val="1C0F439F"/>
    <w:rsid w:val="1C116C2B"/>
    <w:rsid w:val="1C126516"/>
    <w:rsid w:val="1C128AAE"/>
    <w:rsid w:val="1C12C1AD"/>
    <w:rsid w:val="1C17C2C6"/>
    <w:rsid w:val="1C19DA16"/>
    <w:rsid w:val="1C1A77DF"/>
    <w:rsid w:val="1C1AB5F4"/>
    <w:rsid w:val="1C1AEDCF"/>
    <w:rsid w:val="1C1B90A4"/>
    <w:rsid w:val="1C1BEEB4"/>
    <w:rsid w:val="1C1D49B8"/>
    <w:rsid w:val="1C1E2867"/>
    <w:rsid w:val="1C1E5BDC"/>
    <w:rsid w:val="1C2025D1"/>
    <w:rsid w:val="1C214EE4"/>
    <w:rsid w:val="1C222C30"/>
    <w:rsid w:val="1C2354D4"/>
    <w:rsid w:val="1C238D22"/>
    <w:rsid w:val="1C23FB83"/>
    <w:rsid w:val="1C247E12"/>
    <w:rsid w:val="1C24BC3A"/>
    <w:rsid w:val="1C251EDC"/>
    <w:rsid w:val="1C269FFB"/>
    <w:rsid w:val="1C276A2D"/>
    <w:rsid w:val="1C28A498"/>
    <w:rsid w:val="1C28A9AA"/>
    <w:rsid w:val="1C293C47"/>
    <w:rsid w:val="1C2A2DAA"/>
    <w:rsid w:val="1C2A33BC"/>
    <w:rsid w:val="1C2BB4B5"/>
    <w:rsid w:val="1C2C00CD"/>
    <w:rsid w:val="1C2C2082"/>
    <w:rsid w:val="1C2D17F5"/>
    <w:rsid w:val="1C328F02"/>
    <w:rsid w:val="1C334346"/>
    <w:rsid w:val="1C343775"/>
    <w:rsid w:val="1C34E61B"/>
    <w:rsid w:val="1C350F31"/>
    <w:rsid w:val="1C35D353"/>
    <w:rsid w:val="1C379EF4"/>
    <w:rsid w:val="1C385A98"/>
    <w:rsid w:val="1C393716"/>
    <w:rsid w:val="1C3A3005"/>
    <w:rsid w:val="1C3C2B14"/>
    <w:rsid w:val="1C3ECFD1"/>
    <w:rsid w:val="1C402BB2"/>
    <w:rsid w:val="1C4081B5"/>
    <w:rsid w:val="1C4140AA"/>
    <w:rsid w:val="1C415342"/>
    <w:rsid w:val="1C41B9A9"/>
    <w:rsid w:val="1C41D6F5"/>
    <w:rsid w:val="1C4366C1"/>
    <w:rsid w:val="1C462FAC"/>
    <w:rsid w:val="1C468CBE"/>
    <w:rsid w:val="1C46C96A"/>
    <w:rsid w:val="1C47A39E"/>
    <w:rsid w:val="1C484B3D"/>
    <w:rsid w:val="1C48A6CB"/>
    <w:rsid w:val="1C4D55DB"/>
    <w:rsid w:val="1C4E388B"/>
    <w:rsid w:val="1C4F3A3D"/>
    <w:rsid w:val="1C4F5956"/>
    <w:rsid w:val="1C4F8ECD"/>
    <w:rsid w:val="1C5000C1"/>
    <w:rsid w:val="1C505EB7"/>
    <w:rsid w:val="1C509AC7"/>
    <w:rsid w:val="1C50DCDD"/>
    <w:rsid w:val="1C5282FE"/>
    <w:rsid w:val="1C5699D8"/>
    <w:rsid w:val="1C57FAE1"/>
    <w:rsid w:val="1C58718D"/>
    <w:rsid w:val="1C595E0D"/>
    <w:rsid w:val="1C59D8D7"/>
    <w:rsid w:val="1C5A76E2"/>
    <w:rsid w:val="1C5A8707"/>
    <w:rsid w:val="1C5A930B"/>
    <w:rsid w:val="1C5C1F0C"/>
    <w:rsid w:val="1C5CF947"/>
    <w:rsid w:val="1C5E5007"/>
    <w:rsid w:val="1C5F1EF9"/>
    <w:rsid w:val="1C5FE3D8"/>
    <w:rsid w:val="1C60A9E2"/>
    <w:rsid w:val="1C60C822"/>
    <w:rsid w:val="1C6152EF"/>
    <w:rsid w:val="1C61AE73"/>
    <w:rsid w:val="1C61EC76"/>
    <w:rsid w:val="1C6273E0"/>
    <w:rsid w:val="1C636CB1"/>
    <w:rsid w:val="1C65437D"/>
    <w:rsid w:val="1C661673"/>
    <w:rsid w:val="1C67719E"/>
    <w:rsid w:val="1C689EB3"/>
    <w:rsid w:val="1C699313"/>
    <w:rsid w:val="1C6A14EE"/>
    <w:rsid w:val="1C6A3650"/>
    <w:rsid w:val="1C6A4AC2"/>
    <w:rsid w:val="1C6BB947"/>
    <w:rsid w:val="1C6EA482"/>
    <w:rsid w:val="1C70D718"/>
    <w:rsid w:val="1C710E25"/>
    <w:rsid w:val="1C728668"/>
    <w:rsid w:val="1C742F23"/>
    <w:rsid w:val="1C743CEE"/>
    <w:rsid w:val="1C74AF13"/>
    <w:rsid w:val="1C75CDE8"/>
    <w:rsid w:val="1C7746AE"/>
    <w:rsid w:val="1C794A42"/>
    <w:rsid w:val="1C7A4958"/>
    <w:rsid w:val="1C7A72CC"/>
    <w:rsid w:val="1C7B4E5B"/>
    <w:rsid w:val="1C7D05C5"/>
    <w:rsid w:val="1C7D28F1"/>
    <w:rsid w:val="1C7DBA9B"/>
    <w:rsid w:val="1C7DD810"/>
    <w:rsid w:val="1C80A989"/>
    <w:rsid w:val="1C828EB0"/>
    <w:rsid w:val="1C846F92"/>
    <w:rsid w:val="1C848247"/>
    <w:rsid w:val="1C873C5C"/>
    <w:rsid w:val="1C8874BD"/>
    <w:rsid w:val="1C88F78B"/>
    <w:rsid w:val="1C8948CD"/>
    <w:rsid w:val="1C8A1694"/>
    <w:rsid w:val="1C8AC800"/>
    <w:rsid w:val="1C8B4879"/>
    <w:rsid w:val="1C8B7E39"/>
    <w:rsid w:val="1C8BE817"/>
    <w:rsid w:val="1C8CBBAE"/>
    <w:rsid w:val="1C8CC6D9"/>
    <w:rsid w:val="1C8CC8F8"/>
    <w:rsid w:val="1C8D44DA"/>
    <w:rsid w:val="1C8DFCD7"/>
    <w:rsid w:val="1C8E4D9D"/>
    <w:rsid w:val="1C8EA98D"/>
    <w:rsid w:val="1C8F2C68"/>
    <w:rsid w:val="1C8F75B3"/>
    <w:rsid w:val="1C9032C6"/>
    <w:rsid w:val="1C90CD73"/>
    <w:rsid w:val="1C91F634"/>
    <w:rsid w:val="1C925D79"/>
    <w:rsid w:val="1C9268AD"/>
    <w:rsid w:val="1C94FECF"/>
    <w:rsid w:val="1C95CE10"/>
    <w:rsid w:val="1C95D054"/>
    <w:rsid w:val="1C968612"/>
    <w:rsid w:val="1C981273"/>
    <w:rsid w:val="1C984119"/>
    <w:rsid w:val="1C98D383"/>
    <w:rsid w:val="1C9A21B1"/>
    <w:rsid w:val="1C9AAB2A"/>
    <w:rsid w:val="1C9B3DD8"/>
    <w:rsid w:val="1C9BD5C1"/>
    <w:rsid w:val="1C9BF031"/>
    <w:rsid w:val="1C9C9482"/>
    <w:rsid w:val="1C9D7955"/>
    <w:rsid w:val="1C9E0906"/>
    <w:rsid w:val="1C9E6890"/>
    <w:rsid w:val="1C9E7091"/>
    <w:rsid w:val="1C9F0987"/>
    <w:rsid w:val="1C9F8991"/>
    <w:rsid w:val="1C9F9C3D"/>
    <w:rsid w:val="1C9FF079"/>
    <w:rsid w:val="1CA19CA2"/>
    <w:rsid w:val="1CA1D5EA"/>
    <w:rsid w:val="1CA4F925"/>
    <w:rsid w:val="1CA59B6B"/>
    <w:rsid w:val="1CA5DC54"/>
    <w:rsid w:val="1CA71492"/>
    <w:rsid w:val="1CA88E22"/>
    <w:rsid w:val="1CA8FB5F"/>
    <w:rsid w:val="1CA9017A"/>
    <w:rsid w:val="1CAA7F32"/>
    <w:rsid w:val="1CAB6536"/>
    <w:rsid w:val="1CABC4D9"/>
    <w:rsid w:val="1CABC515"/>
    <w:rsid w:val="1CAC372B"/>
    <w:rsid w:val="1CAD0180"/>
    <w:rsid w:val="1CAE1652"/>
    <w:rsid w:val="1CAEA078"/>
    <w:rsid w:val="1CAEE278"/>
    <w:rsid w:val="1CAFA2A1"/>
    <w:rsid w:val="1CAFF9DC"/>
    <w:rsid w:val="1CB2940B"/>
    <w:rsid w:val="1CB2B88E"/>
    <w:rsid w:val="1CB2FE29"/>
    <w:rsid w:val="1CB47672"/>
    <w:rsid w:val="1CB47C95"/>
    <w:rsid w:val="1CB6B936"/>
    <w:rsid w:val="1CBA404D"/>
    <w:rsid w:val="1CBCD3AC"/>
    <w:rsid w:val="1CBD4B02"/>
    <w:rsid w:val="1CBDC02D"/>
    <w:rsid w:val="1CBE5F45"/>
    <w:rsid w:val="1CBF33D5"/>
    <w:rsid w:val="1CC0F9CB"/>
    <w:rsid w:val="1CC1440B"/>
    <w:rsid w:val="1CC1759C"/>
    <w:rsid w:val="1CC19AF0"/>
    <w:rsid w:val="1CC2491D"/>
    <w:rsid w:val="1CC2CA57"/>
    <w:rsid w:val="1CC2D1C6"/>
    <w:rsid w:val="1CC40E33"/>
    <w:rsid w:val="1CC4A461"/>
    <w:rsid w:val="1CC52DE0"/>
    <w:rsid w:val="1CC5FD55"/>
    <w:rsid w:val="1CC62C96"/>
    <w:rsid w:val="1CC7BEDA"/>
    <w:rsid w:val="1CC856BA"/>
    <w:rsid w:val="1CCA2073"/>
    <w:rsid w:val="1CCB15FA"/>
    <w:rsid w:val="1CCB1E85"/>
    <w:rsid w:val="1CCC3996"/>
    <w:rsid w:val="1CCC3D6D"/>
    <w:rsid w:val="1CCC80DB"/>
    <w:rsid w:val="1CCCA4C6"/>
    <w:rsid w:val="1CCCCA22"/>
    <w:rsid w:val="1CCED65D"/>
    <w:rsid w:val="1CCF0495"/>
    <w:rsid w:val="1CCF7635"/>
    <w:rsid w:val="1CD2F1F2"/>
    <w:rsid w:val="1CD4CBB4"/>
    <w:rsid w:val="1CD4FAF2"/>
    <w:rsid w:val="1CD733E8"/>
    <w:rsid w:val="1CD8F5C2"/>
    <w:rsid w:val="1CD9758C"/>
    <w:rsid w:val="1CDBFC97"/>
    <w:rsid w:val="1CDC22B1"/>
    <w:rsid w:val="1CDCC0A2"/>
    <w:rsid w:val="1CDCD45F"/>
    <w:rsid w:val="1CDD174B"/>
    <w:rsid w:val="1CDDE6E8"/>
    <w:rsid w:val="1CDFAD50"/>
    <w:rsid w:val="1CE01328"/>
    <w:rsid w:val="1CE08FE3"/>
    <w:rsid w:val="1CE16119"/>
    <w:rsid w:val="1CE18A50"/>
    <w:rsid w:val="1CE23D73"/>
    <w:rsid w:val="1CE2D65E"/>
    <w:rsid w:val="1CE7AAF5"/>
    <w:rsid w:val="1CEBFE13"/>
    <w:rsid w:val="1CEBFEF1"/>
    <w:rsid w:val="1CED6FA8"/>
    <w:rsid w:val="1CEDEA84"/>
    <w:rsid w:val="1CEF07BA"/>
    <w:rsid w:val="1CEF2CB3"/>
    <w:rsid w:val="1CF06925"/>
    <w:rsid w:val="1CF383A9"/>
    <w:rsid w:val="1CF45E03"/>
    <w:rsid w:val="1CF4615A"/>
    <w:rsid w:val="1CF46BFB"/>
    <w:rsid w:val="1CF5079A"/>
    <w:rsid w:val="1CF5E904"/>
    <w:rsid w:val="1CF663FE"/>
    <w:rsid w:val="1CF69C89"/>
    <w:rsid w:val="1CF76FD7"/>
    <w:rsid w:val="1CF800EA"/>
    <w:rsid w:val="1CF99C1A"/>
    <w:rsid w:val="1CFAA46C"/>
    <w:rsid w:val="1CFBD073"/>
    <w:rsid w:val="1CFD2632"/>
    <w:rsid w:val="1CFE0BE0"/>
    <w:rsid w:val="1CFEF5BC"/>
    <w:rsid w:val="1CFF6615"/>
    <w:rsid w:val="1D006A1B"/>
    <w:rsid w:val="1D00BB8C"/>
    <w:rsid w:val="1D026490"/>
    <w:rsid w:val="1D033A63"/>
    <w:rsid w:val="1D03654D"/>
    <w:rsid w:val="1D044DC6"/>
    <w:rsid w:val="1D054E65"/>
    <w:rsid w:val="1D05C336"/>
    <w:rsid w:val="1D05E610"/>
    <w:rsid w:val="1D072E94"/>
    <w:rsid w:val="1D078C60"/>
    <w:rsid w:val="1D0AFAC8"/>
    <w:rsid w:val="1D0D63FE"/>
    <w:rsid w:val="1D0DEC89"/>
    <w:rsid w:val="1D0EF97C"/>
    <w:rsid w:val="1D0F2A68"/>
    <w:rsid w:val="1D0FCC7B"/>
    <w:rsid w:val="1D12988E"/>
    <w:rsid w:val="1D13F913"/>
    <w:rsid w:val="1D1458B6"/>
    <w:rsid w:val="1D147B82"/>
    <w:rsid w:val="1D14EC89"/>
    <w:rsid w:val="1D153617"/>
    <w:rsid w:val="1D169288"/>
    <w:rsid w:val="1D1726E3"/>
    <w:rsid w:val="1D18127D"/>
    <w:rsid w:val="1D1AC5A1"/>
    <w:rsid w:val="1D1ADD9B"/>
    <w:rsid w:val="1D1BBD65"/>
    <w:rsid w:val="1D1CE890"/>
    <w:rsid w:val="1D1D12DA"/>
    <w:rsid w:val="1D1D830B"/>
    <w:rsid w:val="1D1F6F42"/>
    <w:rsid w:val="1D1F902B"/>
    <w:rsid w:val="1D2085C0"/>
    <w:rsid w:val="1D20A861"/>
    <w:rsid w:val="1D216EF5"/>
    <w:rsid w:val="1D235271"/>
    <w:rsid w:val="1D23987A"/>
    <w:rsid w:val="1D23F9D0"/>
    <w:rsid w:val="1D241607"/>
    <w:rsid w:val="1D2429DA"/>
    <w:rsid w:val="1D265F79"/>
    <w:rsid w:val="1D26602C"/>
    <w:rsid w:val="1D266A4E"/>
    <w:rsid w:val="1D279DD5"/>
    <w:rsid w:val="1D28CFC9"/>
    <w:rsid w:val="1D28F6EC"/>
    <w:rsid w:val="1D2D7261"/>
    <w:rsid w:val="1D2DDA60"/>
    <w:rsid w:val="1D2E6AAD"/>
    <w:rsid w:val="1D2EDB31"/>
    <w:rsid w:val="1D3012B7"/>
    <w:rsid w:val="1D30154F"/>
    <w:rsid w:val="1D30438E"/>
    <w:rsid w:val="1D330BE9"/>
    <w:rsid w:val="1D338146"/>
    <w:rsid w:val="1D348132"/>
    <w:rsid w:val="1D35480B"/>
    <w:rsid w:val="1D37F4B5"/>
    <w:rsid w:val="1D38760C"/>
    <w:rsid w:val="1D393374"/>
    <w:rsid w:val="1D3BF372"/>
    <w:rsid w:val="1D3E0382"/>
    <w:rsid w:val="1D3E720B"/>
    <w:rsid w:val="1D3EE24B"/>
    <w:rsid w:val="1D410E82"/>
    <w:rsid w:val="1D414CD5"/>
    <w:rsid w:val="1D41E992"/>
    <w:rsid w:val="1D4256F5"/>
    <w:rsid w:val="1D428058"/>
    <w:rsid w:val="1D44BA8B"/>
    <w:rsid w:val="1D45F4ED"/>
    <w:rsid w:val="1D46FF82"/>
    <w:rsid w:val="1D4756AD"/>
    <w:rsid w:val="1D47B3D7"/>
    <w:rsid w:val="1D4872E9"/>
    <w:rsid w:val="1D4AE248"/>
    <w:rsid w:val="1D4BA08C"/>
    <w:rsid w:val="1D4DA258"/>
    <w:rsid w:val="1D4DF38E"/>
    <w:rsid w:val="1D4F59E6"/>
    <w:rsid w:val="1D5127C5"/>
    <w:rsid w:val="1D51D347"/>
    <w:rsid w:val="1D51F34A"/>
    <w:rsid w:val="1D5217A4"/>
    <w:rsid w:val="1D531871"/>
    <w:rsid w:val="1D531872"/>
    <w:rsid w:val="1D54DD5F"/>
    <w:rsid w:val="1D550FD3"/>
    <w:rsid w:val="1D5714D9"/>
    <w:rsid w:val="1D57398C"/>
    <w:rsid w:val="1D579038"/>
    <w:rsid w:val="1D595A4E"/>
    <w:rsid w:val="1D5A58A3"/>
    <w:rsid w:val="1D5B30AF"/>
    <w:rsid w:val="1D5B5D04"/>
    <w:rsid w:val="1D5BC52F"/>
    <w:rsid w:val="1D5C047F"/>
    <w:rsid w:val="1D5C4217"/>
    <w:rsid w:val="1D5CF14E"/>
    <w:rsid w:val="1D5F7136"/>
    <w:rsid w:val="1D60ECC0"/>
    <w:rsid w:val="1D617B74"/>
    <w:rsid w:val="1D62296A"/>
    <w:rsid w:val="1D6279C9"/>
    <w:rsid w:val="1D62FB32"/>
    <w:rsid w:val="1D64406F"/>
    <w:rsid w:val="1D6483EA"/>
    <w:rsid w:val="1D65FFA9"/>
    <w:rsid w:val="1D675FAB"/>
    <w:rsid w:val="1D687D9A"/>
    <w:rsid w:val="1D689647"/>
    <w:rsid w:val="1D6B0436"/>
    <w:rsid w:val="1D6B0CD2"/>
    <w:rsid w:val="1D6B306D"/>
    <w:rsid w:val="1D6C7676"/>
    <w:rsid w:val="1D6D2830"/>
    <w:rsid w:val="1D6FA08E"/>
    <w:rsid w:val="1D72716C"/>
    <w:rsid w:val="1D755B09"/>
    <w:rsid w:val="1D75EA9A"/>
    <w:rsid w:val="1D761297"/>
    <w:rsid w:val="1D76535E"/>
    <w:rsid w:val="1D76B429"/>
    <w:rsid w:val="1D77017D"/>
    <w:rsid w:val="1D7724D8"/>
    <w:rsid w:val="1D773214"/>
    <w:rsid w:val="1D77F543"/>
    <w:rsid w:val="1D78370C"/>
    <w:rsid w:val="1D787D6F"/>
    <w:rsid w:val="1D79C4F8"/>
    <w:rsid w:val="1D7B1748"/>
    <w:rsid w:val="1D7B8C4F"/>
    <w:rsid w:val="1D7D07FC"/>
    <w:rsid w:val="1D7D6628"/>
    <w:rsid w:val="1D7EC1EA"/>
    <w:rsid w:val="1D7FE189"/>
    <w:rsid w:val="1D7FF849"/>
    <w:rsid w:val="1D804F83"/>
    <w:rsid w:val="1D819A43"/>
    <w:rsid w:val="1D837734"/>
    <w:rsid w:val="1D8540C1"/>
    <w:rsid w:val="1D8594E5"/>
    <w:rsid w:val="1D85967B"/>
    <w:rsid w:val="1D88C8EB"/>
    <w:rsid w:val="1D88DE1C"/>
    <w:rsid w:val="1D890046"/>
    <w:rsid w:val="1D89D641"/>
    <w:rsid w:val="1D8A4C65"/>
    <w:rsid w:val="1D8A4CF8"/>
    <w:rsid w:val="1D8A9D85"/>
    <w:rsid w:val="1D8C36EB"/>
    <w:rsid w:val="1D8D029B"/>
    <w:rsid w:val="1D8D86E5"/>
    <w:rsid w:val="1D916679"/>
    <w:rsid w:val="1D917594"/>
    <w:rsid w:val="1D91EE68"/>
    <w:rsid w:val="1D926ADF"/>
    <w:rsid w:val="1D930E39"/>
    <w:rsid w:val="1D93412F"/>
    <w:rsid w:val="1D93CC2E"/>
    <w:rsid w:val="1D951704"/>
    <w:rsid w:val="1D968FF0"/>
    <w:rsid w:val="1D987C6E"/>
    <w:rsid w:val="1D9E0576"/>
    <w:rsid w:val="1D9FA27C"/>
    <w:rsid w:val="1DA045F9"/>
    <w:rsid w:val="1DA0BAC0"/>
    <w:rsid w:val="1DA11C92"/>
    <w:rsid w:val="1DA4278C"/>
    <w:rsid w:val="1DA5657A"/>
    <w:rsid w:val="1DA56DBC"/>
    <w:rsid w:val="1DA56DC6"/>
    <w:rsid w:val="1DA8ACAB"/>
    <w:rsid w:val="1DA8DB3E"/>
    <w:rsid w:val="1DA9189A"/>
    <w:rsid w:val="1DA92ECD"/>
    <w:rsid w:val="1DA940BE"/>
    <w:rsid w:val="1DAAA497"/>
    <w:rsid w:val="1DAAAF04"/>
    <w:rsid w:val="1DAB8F03"/>
    <w:rsid w:val="1DABDEBD"/>
    <w:rsid w:val="1DAC70AF"/>
    <w:rsid w:val="1DAC8732"/>
    <w:rsid w:val="1DAE82FD"/>
    <w:rsid w:val="1DB0161E"/>
    <w:rsid w:val="1DB05D52"/>
    <w:rsid w:val="1DB142BC"/>
    <w:rsid w:val="1DB167E1"/>
    <w:rsid w:val="1DB246E4"/>
    <w:rsid w:val="1DB25105"/>
    <w:rsid w:val="1DB3EFE7"/>
    <w:rsid w:val="1DB42913"/>
    <w:rsid w:val="1DB505C6"/>
    <w:rsid w:val="1DB54C7D"/>
    <w:rsid w:val="1DB5C610"/>
    <w:rsid w:val="1DB6A942"/>
    <w:rsid w:val="1DB719E1"/>
    <w:rsid w:val="1DB82748"/>
    <w:rsid w:val="1DB831FA"/>
    <w:rsid w:val="1DB89FCE"/>
    <w:rsid w:val="1DB939DD"/>
    <w:rsid w:val="1DBB9CA9"/>
    <w:rsid w:val="1DBBB859"/>
    <w:rsid w:val="1DBC6706"/>
    <w:rsid w:val="1DBE4522"/>
    <w:rsid w:val="1DBFFA6F"/>
    <w:rsid w:val="1DC1DBFA"/>
    <w:rsid w:val="1DC2AC8A"/>
    <w:rsid w:val="1DC33C45"/>
    <w:rsid w:val="1DC3591D"/>
    <w:rsid w:val="1DC4748F"/>
    <w:rsid w:val="1DC5E67F"/>
    <w:rsid w:val="1DC65A1D"/>
    <w:rsid w:val="1DC7E731"/>
    <w:rsid w:val="1DC7EF1D"/>
    <w:rsid w:val="1DC8BA29"/>
    <w:rsid w:val="1DCA7BB6"/>
    <w:rsid w:val="1DCBA18C"/>
    <w:rsid w:val="1DCBC612"/>
    <w:rsid w:val="1DCBEB6D"/>
    <w:rsid w:val="1DCC22F6"/>
    <w:rsid w:val="1DCC5F87"/>
    <w:rsid w:val="1DCDE700"/>
    <w:rsid w:val="1DCE20D1"/>
    <w:rsid w:val="1DCF0647"/>
    <w:rsid w:val="1DCFC68C"/>
    <w:rsid w:val="1DD0CA1F"/>
    <w:rsid w:val="1DD2A345"/>
    <w:rsid w:val="1DD2E6E1"/>
    <w:rsid w:val="1DD3D1A9"/>
    <w:rsid w:val="1DD4C01D"/>
    <w:rsid w:val="1DD5A34E"/>
    <w:rsid w:val="1DD5A77F"/>
    <w:rsid w:val="1DD7B5C2"/>
    <w:rsid w:val="1DD87E86"/>
    <w:rsid w:val="1DD8D868"/>
    <w:rsid w:val="1DD8F69E"/>
    <w:rsid w:val="1DE08ECE"/>
    <w:rsid w:val="1DE139EE"/>
    <w:rsid w:val="1DE324A2"/>
    <w:rsid w:val="1DE33C97"/>
    <w:rsid w:val="1DE360F5"/>
    <w:rsid w:val="1DE4C979"/>
    <w:rsid w:val="1DE4EB3A"/>
    <w:rsid w:val="1DE622D5"/>
    <w:rsid w:val="1DE70ACA"/>
    <w:rsid w:val="1DE764F2"/>
    <w:rsid w:val="1DE8147E"/>
    <w:rsid w:val="1DEB14CF"/>
    <w:rsid w:val="1DED31E8"/>
    <w:rsid w:val="1DEE4ECA"/>
    <w:rsid w:val="1DEE614B"/>
    <w:rsid w:val="1DF01D16"/>
    <w:rsid w:val="1DF09FB4"/>
    <w:rsid w:val="1DF0AEB0"/>
    <w:rsid w:val="1DF106B9"/>
    <w:rsid w:val="1DF25B33"/>
    <w:rsid w:val="1DF2B9DA"/>
    <w:rsid w:val="1DF63639"/>
    <w:rsid w:val="1DF64513"/>
    <w:rsid w:val="1DF8F251"/>
    <w:rsid w:val="1DF9A2E6"/>
    <w:rsid w:val="1DFA0B88"/>
    <w:rsid w:val="1DFA290B"/>
    <w:rsid w:val="1DFAC861"/>
    <w:rsid w:val="1DFBEA89"/>
    <w:rsid w:val="1DFC2B07"/>
    <w:rsid w:val="1DFCC5E1"/>
    <w:rsid w:val="1DFCC68B"/>
    <w:rsid w:val="1DFE13C7"/>
    <w:rsid w:val="1DFE2708"/>
    <w:rsid w:val="1E0019F1"/>
    <w:rsid w:val="1E002E62"/>
    <w:rsid w:val="1E006AED"/>
    <w:rsid w:val="1E02A5D9"/>
    <w:rsid w:val="1E02DD20"/>
    <w:rsid w:val="1E042C65"/>
    <w:rsid w:val="1E06414B"/>
    <w:rsid w:val="1E06F4C6"/>
    <w:rsid w:val="1E0B0E09"/>
    <w:rsid w:val="1E0BC7D7"/>
    <w:rsid w:val="1E0BCFFD"/>
    <w:rsid w:val="1E0BDBFA"/>
    <w:rsid w:val="1E0F395E"/>
    <w:rsid w:val="1E0FE479"/>
    <w:rsid w:val="1E11E16E"/>
    <w:rsid w:val="1E123927"/>
    <w:rsid w:val="1E12620E"/>
    <w:rsid w:val="1E12DAF5"/>
    <w:rsid w:val="1E132696"/>
    <w:rsid w:val="1E14D88A"/>
    <w:rsid w:val="1E166E27"/>
    <w:rsid w:val="1E173C0F"/>
    <w:rsid w:val="1E1750F8"/>
    <w:rsid w:val="1E178C94"/>
    <w:rsid w:val="1E188124"/>
    <w:rsid w:val="1E18FD20"/>
    <w:rsid w:val="1E19E072"/>
    <w:rsid w:val="1E19E6E3"/>
    <w:rsid w:val="1E1A18F0"/>
    <w:rsid w:val="1E1C88BA"/>
    <w:rsid w:val="1E1CDF0B"/>
    <w:rsid w:val="1E1E0005"/>
    <w:rsid w:val="1E1E4C73"/>
    <w:rsid w:val="1E1F6B7C"/>
    <w:rsid w:val="1E2105AD"/>
    <w:rsid w:val="1E22EE67"/>
    <w:rsid w:val="1E231433"/>
    <w:rsid w:val="1E23538B"/>
    <w:rsid w:val="1E236943"/>
    <w:rsid w:val="1E24E134"/>
    <w:rsid w:val="1E25C12E"/>
    <w:rsid w:val="1E2648FD"/>
    <w:rsid w:val="1E26B2EC"/>
    <w:rsid w:val="1E26D615"/>
    <w:rsid w:val="1E2B3A69"/>
    <w:rsid w:val="1E2BB60A"/>
    <w:rsid w:val="1E2C50BF"/>
    <w:rsid w:val="1E2F5C06"/>
    <w:rsid w:val="1E2F7875"/>
    <w:rsid w:val="1E31A381"/>
    <w:rsid w:val="1E320A13"/>
    <w:rsid w:val="1E34698B"/>
    <w:rsid w:val="1E355C32"/>
    <w:rsid w:val="1E35A706"/>
    <w:rsid w:val="1E364EAD"/>
    <w:rsid w:val="1E3744D3"/>
    <w:rsid w:val="1E375A9C"/>
    <w:rsid w:val="1E39BB2C"/>
    <w:rsid w:val="1E39E4C8"/>
    <w:rsid w:val="1E3B4A77"/>
    <w:rsid w:val="1E3F49D9"/>
    <w:rsid w:val="1E41C17F"/>
    <w:rsid w:val="1E41FBE0"/>
    <w:rsid w:val="1E42057D"/>
    <w:rsid w:val="1E42D5DE"/>
    <w:rsid w:val="1E4412CA"/>
    <w:rsid w:val="1E4445FB"/>
    <w:rsid w:val="1E44A8A1"/>
    <w:rsid w:val="1E454E81"/>
    <w:rsid w:val="1E4589AB"/>
    <w:rsid w:val="1E45BA13"/>
    <w:rsid w:val="1E46DD45"/>
    <w:rsid w:val="1E4718D9"/>
    <w:rsid w:val="1E47ABF4"/>
    <w:rsid w:val="1E4938E6"/>
    <w:rsid w:val="1E4AA048"/>
    <w:rsid w:val="1E4BAEAC"/>
    <w:rsid w:val="1E4DA6BC"/>
    <w:rsid w:val="1E501232"/>
    <w:rsid w:val="1E502499"/>
    <w:rsid w:val="1E50B213"/>
    <w:rsid w:val="1E535341"/>
    <w:rsid w:val="1E55556F"/>
    <w:rsid w:val="1E5704E8"/>
    <w:rsid w:val="1E576C56"/>
    <w:rsid w:val="1E58437E"/>
    <w:rsid w:val="1E584A4C"/>
    <w:rsid w:val="1E5889F1"/>
    <w:rsid w:val="1E58A43A"/>
    <w:rsid w:val="1E58F2E2"/>
    <w:rsid w:val="1E593B5B"/>
    <w:rsid w:val="1E5B8980"/>
    <w:rsid w:val="1E5E1D87"/>
    <w:rsid w:val="1E5E273B"/>
    <w:rsid w:val="1E5EC781"/>
    <w:rsid w:val="1E5EE16F"/>
    <w:rsid w:val="1E602E38"/>
    <w:rsid w:val="1E6642E0"/>
    <w:rsid w:val="1E666CC9"/>
    <w:rsid w:val="1E66A5ED"/>
    <w:rsid w:val="1E66B80E"/>
    <w:rsid w:val="1E68DD69"/>
    <w:rsid w:val="1E69182B"/>
    <w:rsid w:val="1E6AC93A"/>
    <w:rsid w:val="1E6B8621"/>
    <w:rsid w:val="1E6C1C4A"/>
    <w:rsid w:val="1E6D06D4"/>
    <w:rsid w:val="1E704447"/>
    <w:rsid w:val="1E70D1DD"/>
    <w:rsid w:val="1E712595"/>
    <w:rsid w:val="1E71DE57"/>
    <w:rsid w:val="1E7245EE"/>
    <w:rsid w:val="1E724BC3"/>
    <w:rsid w:val="1E725A9E"/>
    <w:rsid w:val="1E728899"/>
    <w:rsid w:val="1E734A52"/>
    <w:rsid w:val="1E74A727"/>
    <w:rsid w:val="1E74BC74"/>
    <w:rsid w:val="1E751395"/>
    <w:rsid w:val="1E761901"/>
    <w:rsid w:val="1E7647FA"/>
    <w:rsid w:val="1E76D61F"/>
    <w:rsid w:val="1E779D5C"/>
    <w:rsid w:val="1E7882C3"/>
    <w:rsid w:val="1E790543"/>
    <w:rsid w:val="1E7940DF"/>
    <w:rsid w:val="1E7A1A76"/>
    <w:rsid w:val="1E7A6B6A"/>
    <w:rsid w:val="1E7AFCF9"/>
    <w:rsid w:val="1E7B342E"/>
    <w:rsid w:val="1E7DC2FA"/>
    <w:rsid w:val="1E8072D9"/>
    <w:rsid w:val="1E813853"/>
    <w:rsid w:val="1E81A835"/>
    <w:rsid w:val="1E82BB5D"/>
    <w:rsid w:val="1E82D68A"/>
    <w:rsid w:val="1E835F01"/>
    <w:rsid w:val="1E83BDC8"/>
    <w:rsid w:val="1E83DCA5"/>
    <w:rsid w:val="1E88A7B6"/>
    <w:rsid w:val="1E8A0D08"/>
    <w:rsid w:val="1E8B5FC6"/>
    <w:rsid w:val="1E8B94DE"/>
    <w:rsid w:val="1E8CCDA1"/>
    <w:rsid w:val="1E8D878F"/>
    <w:rsid w:val="1E8E7B88"/>
    <w:rsid w:val="1E8ECAC2"/>
    <w:rsid w:val="1E92CEC7"/>
    <w:rsid w:val="1E94F732"/>
    <w:rsid w:val="1E95D49C"/>
    <w:rsid w:val="1E96754B"/>
    <w:rsid w:val="1E97A119"/>
    <w:rsid w:val="1E97F554"/>
    <w:rsid w:val="1E97F8BC"/>
    <w:rsid w:val="1E998203"/>
    <w:rsid w:val="1E9B11D7"/>
    <w:rsid w:val="1E9B5B6A"/>
    <w:rsid w:val="1E9B7E46"/>
    <w:rsid w:val="1E9E1286"/>
    <w:rsid w:val="1E9E1C35"/>
    <w:rsid w:val="1E9F6DB4"/>
    <w:rsid w:val="1EA062BF"/>
    <w:rsid w:val="1EA20CEB"/>
    <w:rsid w:val="1EA22ADC"/>
    <w:rsid w:val="1EA2C0B8"/>
    <w:rsid w:val="1EA39DBA"/>
    <w:rsid w:val="1EA4157D"/>
    <w:rsid w:val="1EA5B3AB"/>
    <w:rsid w:val="1EA5EB6C"/>
    <w:rsid w:val="1EA65E9C"/>
    <w:rsid w:val="1EA75305"/>
    <w:rsid w:val="1EA7573A"/>
    <w:rsid w:val="1EA93E06"/>
    <w:rsid w:val="1EAA8831"/>
    <w:rsid w:val="1EAB0837"/>
    <w:rsid w:val="1EAB0B6E"/>
    <w:rsid w:val="1EABB691"/>
    <w:rsid w:val="1EABE486"/>
    <w:rsid w:val="1EABFE8A"/>
    <w:rsid w:val="1EACD41D"/>
    <w:rsid w:val="1EAD2249"/>
    <w:rsid w:val="1EAD825D"/>
    <w:rsid w:val="1EAD99C2"/>
    <w:rsid w:val="1EADEC44"/>
    <w:rsid w:val="1EAE80C5"/>
    <w:rsid w:val="1EAF59AD"/>
    <w:rsid w:val="1EB25F9D"/>
    <w:rsid w:val="1EB2F0C0"/>
    <w:rsid w:val="1EB33BDE"/>
    <w:rsid w:val="1EB403B3"/>
    <w:rsid w:val="1EB58892"/>
    <w:rsid w:val="1EB68AD0"/>
    <w:rsid w:val="1EB7021E"/>
    <w:rsid w:val="1EB8FF6A"/>
    <w:rsid w:val="1EB94797"/>
    <w:rsid w:val="1EBC6EC9"/>
    <w:rsid w:val="1EBDDB32"/>
    <w:rsid w:val="1EBE5FEC"/>
    <w:rsid w:val="1EBF13CC"/>
    <w:rsid w:val="1EC1B351"/>
    <w:rsid w:val="1EC23150"/>
    <w:rsid w:val="1EC308A7"/>
    <w:rsid w:val="1EC4D37E"/>
    <w:rsid w:val="1EC4F342"/>
    <w:rsid w:val="1EC6614D"/>
    <w:rsid w:val="1EC669FC"/>
    <w:rsid w:val="1EC75496"/>
    <w:rsid w:val="1EC76BCA"/>
    <w:rsid w:val="1EC771FD"/>
    <w:rsid w:val="1EC8BE78"/>
    <w:rsid w:val="1ECA90AD"/>
    <w:rsid w:val="1ECA9C1C"/>
    <w:rsid w:val="1ECAB9A1"/>
    <w:rsid w:val="1ECB3253"/>
    <w:rsid w:val="1ECD96E1"/>
    <w:rsid w:val="1ECDBBA5"/>
    <w:rsid w:val="1ECFB221"/>
    <w:rsid w:val="1ED22542"/>
    <w:rsid w:val="1ED2EE75"/>
    <w:rsid w:val="1ED35C6F"/>
    <w:rsid w:val="1ED6942C"/>
    <w:rsid w:val="1ED719D2"/>
    <w:rsid w:val="1ED729C6"/>
    <w:rsid w:val="1ED73A0C"/>
    <w:rsid w:val="1ED73EE1"/>
    <w:rsid w:val="1ED971F3"/>
    <w:rsid w:val="1EDCE5F8"/>
    <w:rsid w:val="1EDE62C7"/>
    <w:rsid w:val="1EDFF392"/>
    <w:rsid w:val="1EE03008"/>
    <w:rsid w:val="1EE0A28D"/>
    <w:rsid w:val="1EE0FBF9"/>
    <w:rsid w:val="1EE15982"/>
    <w:rsid w:val="1EE19422"/>
    <w:rsid w:val="1EE20D10"/>
    <w:rsid w:val="1EE2ED32"/>
    <w:rsid w:val="1EE37DF2"/>
    <w:rsid w:val="1EE5810B"/>
    <w:rsid w:val="1EE92153"/>
    <w:rsid w:val="1EEA027E"/>
    <w:rsid w:val="1EEACC67"/>
    <w:rsid w:val="1EEDD1A5"/>
    <w:rsid w:val="1EEEC233"/>
    <w:rsid w:val="1EEF54EB"/>
    <w:rsid w:val="1EF0CCE0"/>
    <w:rsid w:val="1EF1B774"/>
    <w:rsid w:val="1EF1EDE9"/>
    <w:rsid w:val="1EF28A3B"/>
    <w:rsid w:val="1EF380FD"/>
    <w:rsid w:val="1EF404AC"/>
    <w:rsid w:val="1EF5F7BA"/>
    <w:rsid w:val="1EF61308"/>
    <w:rsid w:val="1EF6EC89"/>
    <w:rsid w:val="1EF71F4A"/>
    <w:rsid w:val="1EF85B40"/>
    <w:rsid w:val="1EF96FC2"/>
    <w:rsid w:val="1EFA4EA6"/>
    <w:rsid w:val="1EFAFC19"/>
    <w:rsid w:val="1EFD96D1"/>
    <w:rsid w:val="1EFE81CB"/>
    <w:rsid w:val="1F006E10"/>
    <w:rsid w:val="1F00CFD7"/>
    <w:rsid w:val="1F02015C"/>
    <w:rsid w:val="1F0287AE"/>
    <w:rsid w:val="1F05CE53"/>
    <w:rsid w:val="1F0A4691"/>
    <w:rsid w:val="1F0AAC2B"/>
    <w:rsid w:val="1F0CD4AA"/>
    <w:rsid w:val="1F0CE3A3"/>
    <w:rsid w:val="1F0D34EB"/>
    <w:rsid w:val="1F0E88F3"/>
    <w:rsid w:val="1F0F74F7"/>
    <w:rsid w:val="1F10F870"/>
    <w:rsid w:val="1F11713C"/>
    <w:rsid w:val="1F118B84"/>
    <w:rsid w:val="1F12F523"/>
    <w:rsid w:val="1F13267A"/>
    <w:rsid w:val="1F15F8C6"/>
    <w:rsid w:val="1F162278"/>
    <w:rsid w:val="1F16B911"/>
    <w:rsid w:val="1F172E3B"/>
    <w:rsid w:val="1F19DB81"/>
    <w:rsid w:val="1F1AD54D"/>
    <w:rsid w:val="1F1BF777"/>
    <w:rsid w:val="1F1E4FBF"/>
    <w:rsid w:val="1F1EDC7A"/>
    <w:rsid w:val="1F20C3D8"/>
    <w:rsid w:val="1F21B6A6"/>
    <w:rsid w:val="1F225876"/>
    <w:rsid w:val="1F231227"/>
    <w:rsid w:val="1F232715"/>
    <w:rsid w:val="1F236F26"/>
    <w:rsid w:val="1F23D488"/>
    <w:rsid w:val="1F2595F6"/>
    <w:rsid w:val="1F2784F7"/>
    <w:rsid w:val="1F2825BB"/>
    <w:rsid w:val="1F29A07A"/>
    <w:rsid w:val="1F2A0B41"/>
    <w:rsid w:val="1F2A1D7B"/>
    <w:rsid w:val="1F2B3773"/>
    <w:rsid w:val="1F2EB799"/>
    <w:rsid w:val="1F2EF752"/>
    <w:rsid w:val="1F31871B"/>
    <w:rsid w:val="1F31F2CE"/>
    <w:rsid w:val="1F3241C7"/>
    <w:rsid w:val="1F325353"/>
    <w:rsid w:val="1F32D18E"/>
    <w:rsid w:val="1F34275E"/>
    <w:rsid w:val="1F34CB35"/>
    <w:rsid w:val="1F34FCCE"/>
    <w:rsid w:val="1F35A41D"/>
    <w:rsid w:val="1F35C37D"/>
    <w:rsid w:val="1F37CA55"/>
    <w:rsid w:val="1F395396"/>
    <w:rsid w:val="1F3CBE07"/>
    <w:rsid w:val="1F3CF31C"/>
    <w:rsid w:val="1F3DE256"/>
    <w:rsid w:val="1F401DA1"/>
    <w:rsid w:val="1F416045"/>
    <w:rsid w:val="1F4168A6"/>
    <w:rsid w:val="1F419991"/>
    <w:rsid w:val="1F42FEF5"/>
    <w:rsid w:val="1F43F0C8"/>
    <w:rsid w:val="1F453842"/>
    <w:rsid w:val="1F4583C0"/>
    <w:rsid w:val="1F486E35"/>
    <w:rsid w:val="1F48B613"/>
    <w:rsid w:val="1F48EB2C"/>
    <w:rsid w:val="1F497194"/>
    <w:rsid w:val="1F4A2EF3"/>
    <w:rsid w:val="1F4A7176"/>
    <w:rsid w:val="1F4B1C19"/>
    <w:rsid w:val="1F4B34D1"/>
    <w:rsid w:val="1F4CCE90"/>
    <w:rsid w:val="1F4D4AD9"/>
    <w:rsid w:val="1F4ECB83"/>
    <w:rsid w:val="1F4F17BE"/>
    <w:rsid w:val="1F4F7F38"/>
    <w:rsid w:val="1F501069"/>
    <w:rsid w:val="1F51CD7F"/>
    <w:rsid w:val="1F527C55"/>
    <w:rsid w:val="1F52A9E2"/>
    <w:rsid w:val="1F53DA64"/>
    <w:rsid w:val="1F53DF6A"/>
    <w:rsid w:val="1F53F9A5"/>
    <w:rsid w:val="1F541E0C"/>
    <w:rsid w:val="1F567E9A"/>
    <w:rsid w:val="1F58BA82"/>
    <w:rsid w:val="1F58DCA6"/>
    <w:rsid w:val="1F595D68"/>
    <w:rsid w:val="1F5965D0"/>
    <w:rsid w:val="1F5AF848"/>
    <w:rsid w:val="1F5B6814"/>
    <w:rsid w:val="1F5CDB74"/>
    <w:rsid w:val="1F5D5A7E"/>
    <w:rsid w:val="1F5DA58D"/>
    <w:rsid w:val="1F5FA077"/>
    <w:rsid w:val="1F60467C"/>
    <w:rsid w:val="1F61F9B6"/>
    <w:rsid w:val="1F624782"/>
    <w:rsid w:val="1F63518A"/>
    <w:rsid w:val="1F63656D"/>
    <w:rsid w:val="1F63A6BD"/>
    <w:rsid w:val="1F643E6B"/>
    <w:rsid w:val="1F6592FB"/>
    <w:rsid w:val="1F676AF6"/>
    <w:rsid w:val="1F68763B"/>
    <w:rsid w:val="1F68C202"/>
    <w:rsid w:val="1F68E80E"/>
    <w:rsid w:val="1F691090"/>
    <w:rsid w:val="1F6A00E2"/>
    <w:rsid w:val="1F6A1DB3"/>
    <w:rsid w:val="1F6A497D"/>
    <w:rsid w:val="1F6AD134"/>
    <w:rsid w:val="1F6BB054"/>
    <w:rsid w:val="1F6BE014"/>
    <w:rsid w:val="1F6D4AB3"/>
    <w:rsid w:val="1F6F5F4F"/>
    <w:rsid w:val="1F70A1D7"/>
    <w:rsid w:val="1F70F87B"/>
    <w:rsid w:val="1F7109D4"/>
    <w:rsid w:val="1F732AAF"/>
    <w:rsid w:val="1F73676B"/>
    <w:rsid w:val="1F73DC09"/>
    <w:rsid w:val="1F74378C"/>
    <w:rsid w:val="1F77A183"/>
    <w:rsid w:val="1F79B1A8"/>
    <w:rsid w:val="1F7CCF10"/>
    <w:rsid w:val="1F7D2876"/>
    <w:rsid w:val="1F7E1082"/>
    <w:rsid w:val="1F7F6581"/>
    <w:rsid w:val="1F812C67"/>
    <w:rsid w:val="1F81AAB2"/>
    <w:rsid w:val="1F841090"/>
    <w:rsid w:val="1F846A89"/>
    <w:rsid w:val="1F8514FB"/>
    <w:rsid w:val="1F858E61"/>
    <w:rsid w:val="1F85A90E"/>
    <w:rsid w:val="1F863EEB"/>
    <w:rsid w:val="1F87B6CC"/>
    <w:rsid w:val="1F88E24D"/>
    <w:rsid w:val="1F88E2CC"/>
    <w:rsid w:val="1F8988F4"/>
    <w:rsid w:val="1F8B33D0"/>
    <w:rsid w:val="1F8B504F"/>
    <w:rsid w:val="1F8C6FE5"/>
    <w:rsid w:val="1F8E1001"/>
    <w:rsid w:val="1F8E7688"/>
    <w:rsid w:val="1F8F9F7D"/>
    <w:rsid w:val="1F8FC9E9"/>
    <w:rsid w:val="1F9007B4"/>
    <w:rsid w:val="1F9030A0"/>
    <w:rsid w:val="1F918622"/>
    <w:rsid w:val="1F951F50"/>
    <w:rsid w:val="1F96A8FB"/>
    <w:rsid w:val="1F97D94C"/>
    <w:rsid w:val="1F991D6F"/>
    <w:rsid w:val="1F995BE9"/>
    <w:rsid w:val="1F999DAD"/>
    <w:rsid w:val="1F9A7E91"/>
    <w:rsid w:val="1F9D5A69"/>
    <w:rsid w:val="1F9D7656"/>
    <w:rsid w:val="1F9D9E41"/>
    <w:rsid w:val="1F9E9BCE"/>
    <w:rsid w:val="1F9F1BDC"/>
    <w:rsid w:val="1FA19DC2"/>
    <w:rsid w:val="1FA2B135"/>
    <w:rsid w:val="1FA5A46D"/>
    <w:rsid w:val="1FA5DE15"/>
    <w:rsid w:val="1FA7C8BA"/>
    <w:rsid w:val="1FA93287"/>
    <w:rsid w:val="1FADC984"/>
    <w:rsid w:val="1FADF1F6"/>
    <w:rsid w:val="1FAE85BC"/>
    <w:rsid w:val="1FAE9357"/>
    <w:rsid w:val="1FAF575A"/>
    <w:rsid w:val="1FAFDE9F"/>
    <w:rsid w:val="1FB12CD9"/>
    <w:rsid w:val="1FB1990D"/>
    <w:rsid w:val="1FB2E8FC"/>
    <w:rsid w:val="1FB37E5D"/>
    <w:rsid w:val="1FB3A74F"/>
    <w:rsid w:val="1FB52972"/>
    <w:rsid w:val="1FB552F7"/>
    <w:rsid w:val="1FB6F354"/>
    <w:rsid w:val="1FB74903"/>
    <w:rsid w:val="1FBA8DFC"/>
    <w:rsid w:val="1FBB2251"/>
    <w:rsid w:val="1FBD834F"/>
    <w:rsid w:val="1FBDD3CF"/>
    <w:rsid w:val="1FBE5C69"/>
    <w:rsid w:val="1FBE883A"/>
    <w:rsid w:val="1FBEE213"/>
    <w:rsid w:val="1FC110ED"/>
    <w:rsid w:val="1FC2CE30"/>
    <w:rsid w:val="1FC513D7"/>
    <w:rsid w:val="1FC51F77"/>
    <w:rsid w:val="1FC59952"/>
    <w:rsid w:val="1FC7AC17"/>
    <w:rsid w:val="1FC81A29"/>
    <w:rsid w:val="1FC8E208"/>
    <w:rsid w:val="1FC93036"/>
    <w:rsid w:val="1FC95756"/>
    <w:rsid w:val="1FCAF1DF"/>
    <w:rsid w:val="1FCD12C1"/>
    <w:rsid w:val="1FCD20D9"/>
    <w:rsid w:val="1FCE2F0A"/>
    <w:rsid w:val="1FCE716C"/>
    <w:rsid w:val="1FCED88A"/>
    <w:rsid w:val="1FCF74E8"/>
    <w:rsid w:val="1FD2A7A9"/>
    <w:rsid w:val="1FD3727C"/>
    <w:rsid w:val="1FD6B810"/>
    <w:rsid w:val="1FD72D7D"/>
    <w:rsid w:val="1FD7601C"/>
    <w:rsid w:val="1FD9920A"/>
    <w:rsid w:val="1FD9A3FC"/>
    <w:rsid w:val="1FD9D58F"/>
    <w:rsid w:val="1FDB5C60"/>
    <w:rsid w:val="1FDC0C2F"/>
    <w:rsid w:val="1FDD3423"/>
    <w:rsid w:val="1FDDAF4B"/>
    <w:rsid w:val="1FDF2279"/>
    <w:rsid w:val="1FDF6D5E"/>
    <w:rsid w:val="1FDF98EF"/>
    <w:rsid w:val="1FDFCDBE"/>
    <w:rsid w:val="1FE047FE"/>
    <w:rsid w:val="1FE0FA52"/>
    <w:rsid w:val="1FE243B9"/>
    <w:rsid w:val="1FE25062"/>
    <w:rsid w:val="1FE335EF"/>
    <w:rsid w:val="1FE33E8A"/>
    <w:rsid w:val="1FE3EEE0"/>
    <w:rsid w:val="1FE43714"/>
    <w:rsid w:val="1FE4CDA1"/>
    <w:rsid w:val="1FE50A53"/>
    <w:rsid w:val="1FE58E87"/>
    <w:rsid w:val="1FE5921B"/>
    <w:rsid w:val="1FE5C649"/>
    <w:rsid w:val="1FE7D6FD"/>
    <w:rsid w:val="1FE9E443"/>
    <w:rsid w:val="1FEC6DA0"/>
    <w:rsid w:val="1FEC90F6"/>
    <w:rsid w:val="1FED2133"/>
    <w:rsid w:val="1FEDA81B"/>
    <w:rsid w:val="1FEE29E9"/>
    <w:rsid w:val="1FF110DB"/>
    <w:rsid w:val="1FF174B2"/>
    <w:rsid w:val="1FF1DEF6"/>
    <w:rsid w:val="1FF309D6"/>
    <w:rsid w:val="1FF380CB"/>
    <w:rsid w:val="1FF38C9B"/>
    <w:rsid w:val="1FF3E816"/>
    <w:rsid w:val="1FF54B87"/>
    <w:rsid w:val="1FF5E4FF"/>
    <w:rsid w:val="1FF62EFF"/>
    <w:rsid w:val="1FF81F2F"/>
    <w:rsid w:val="1FFA4AC5"/>
    <w:rsid w:val="1FFB38C2"/>
    <w:rsid w:val="1FFB630D"/>
    <w:rsid w:val="1FFB96CA"/>
    <w:rsid w:val="1FFC1B26"/>
    <w:rsid w:val="1FFC2AD5"/>
    <w:rsid w:val="1FFD3A09"/>
    <w:rsid w:val="1FFE8719"/>
    <w:rsid w:val="1FFECA4A"/>
    <w:rsid w:val="2000FEE5"/>
    <w:rsid w:val="200508D7"/>
    <w:rsid w:val="2005CD9E"/>
    <w:rsid w:val="20066770"/>
    <w:rsid w:val="20086BC8"/>
    <w:rsid w:val="20088BD0"/>
    <w:rsid w:val="20090181"/>
    <w:rsid w:val="20094E9A"/>
    <w:rsid w:val="2009F070"/>
    <w:rsid w:val="200DF422"/>
    <w:rsid w:val="2014A48E"/>
    <w:rsid w:val="2014CF6F"/>
    <w:rsid w:val="20155ED7"/>
    <w:rsid w:val="20156843"/>
    <w:rsid w:val="20161B08"/>
    <w:rsid w:val="2016D7CA"/>
    <w:rsid w:val="2016ECDF"/>
    <w:rsid w:val="2017EE8E"/>
    <w:rsid w:val="2018D84D"/>
    <w:rsid w:val="201907F7"/>
    <w:rsid w:val="2019B00D"/>
    <w:rsid w:val="201D23AB"/>
    <w:rsid w:val="201D5D8F"/>
    <w:rsid w:val="201E36B1"/>
    <w:rsid w:val="201F7D79"/>
    <w:rsid w:val="202006B5"/>
    <w:rsid w:val="20203718"/>
    <w:rsid w:val="20204270"/>
    <w:rsid w:val="20231D70"/>
    <w:rsid w:val="20247817"/>
    <w:rsid w:val="2024E4AD"/>
    <w:rsid w:val="20273354"/>
    <w:rsid w:val="20297EB2"/>
    <w:rsid w:val="20298575"/>
    <w:rsid w:val="2029F2DC"/>
    <w:rsid w:val="202A055F"/>
    <w:rsid w:val="202A2079"/>
    <w:rsid w:val="202A2121"/>
    <w:rsid w:val="202AFBED"/>
    <w:rsid w:val="202E9674"/>
    <w:rsid w:val="2030E0B4"/>
    <w:rsid w:val="203115DE"/>
    <w:rsid w:val="2033944F"/>
    <w:rsid w:val="2035A176"/>
    <w:rsid w:val="2035FF4F"/>
    <w:rsid w:val="203706D7"/>
    <w:rsid w:val="2038893C"/>
    <w:rsid w:val="2038BDC5"/>
    <w:rsid w:val="203989CE"/>
    <w:rsid w:val="2039DEB9"/>
    <w:rsid w:val="203AF3C3"/>
    <w:rsid w:val="203B12B3"/>
    <w:rsid w:val="203BBFB6"/>
    <w:rsid w:val="203CB7B3"/>
    <w:rsid w:val="203EF550"/>
    <w:rsid w:val="203FC310"/>
    <w:rsid w:val="203FF397"/>
    <w:rsid w:val="2041308F"/>
    <w:rsid w:val="2041CEFD"/>
    <w:rsid w:val="2042306A"/>
    <w:rsid w:val="20433A65"/>
    <w:rsid w:val="2044D27F"/>
    <w:rsid w:val="204647E1"/>
    <w:rsid w:val="2047B3E4"/>
    <w:rsid w:val="204819B8"/>
    <w:rsid w:val="20485EEE"/>
    <w:rsid w:val="20495B9A"/>
    <w:rsid w:val="20499E31"/>
    <w:rsid w:val="2049F430"/>
    <w:rsid w:val="204B2A0E"/>
    <w:rsid w:val="204CC1D8"/>
    <w:rsid w:val="204CCC00"/>
    <w:rsid w:val="204D59CF"/>
    <w:rsid w:val="204D5EF1"/>
    <w:rsid w:val="204E7109"/>
    <w:rsid w:val="204EF1F7"/>
    <w:rsid w:val="20524055"/>
    <w:rsid w:val="205260D5"/>
    <w:rsid w:val="2052D72E"/>
    <w:rsid w:val="2053E48C"/>
    <w:rsid w:val="205462E4"/>
    <w:rsid w:val="20564EDC"/>
    <w:rsid w:val="2056F518"/>
    <w:rsid w:val="20575125"/>
    <w:rsid w:val="20592775"/>
    <w:rsid w:val="205A33B7"/>
    <w:rsid w:val="205A81F8"/>
    <w:rsid w:val="205A9A9F"/>
    <w:rsid w:val="205BD78F"/>
    <w:rsid w:val="205C6D32"/>
    <w:rsid w:val="20601B21"/>
    <w:rsid w:val="20604C7B"/>
    <w:rsid w:val="2060CB7B"/>
    <w:rsid w:val="206106FC"/>
    <w:rsid w:val="2061374B"/>
    <w:rsid w:val="2061639A"/>
    <w:rsid w:val="206389A3"/>
    <w:rsid w:val="2063B95F"/>
    <w:rsid w:val="2063F9F2"/>
    <w:rsid w:val="20641EF9"/>
    <w:rsid w:val="20664648"/>
    <w:rsid w:val="20686588"/>
    <w:rsid w:val="2068F881"/>
    <w:rsid w:val="20698C06"/>
    <w:rsid w:val="206A3437"/>
    <w:rsid w:val="206ACBAF"/>
    <w:rsid w:val="206C97FF"/>
    <w:rsid w:val="206DF6E7"/>
    <w:rsid w:val="206E8339"/>
    <w:rsid w:val="20710845"/>
    <w:rsid w:val="207167D0"/>
    <w:rsid w:val="20747295"/>
    <w:rsid w:val="2074AD6D"/>
    <w:rsid w:val="2075A823"/>
    <w:rsid w:val="2078217B"/>
    <w:rsid w:val="20782EF6"/>
    <w:rsid w:val="2079BB4C"/>
    <w:rsid w:val="207A94EE"/>
    <w:rsid w:val="207B1C2A"/>
    <w:rsid w:val="207C5151"/>
    <w:rsid w:val="207C67C3"/>
    <w:rsid w:val="207D0750"/>
    <w:rsid w:val="207DB736"/>
    <w:rsid w:val="207DDF71"/>
    <w:rsid w:val="207E553C"/>
    <w:rsid w:val="207E75F0"/>
    <w:rsid w:val="207F3911"/>
    <w:rsid w:val="207F6244"/>
    <w:rsid w:val="20802705"/>
    <w:rsid w:val="2080AA70"/>
    <w:rsid w:val="2080AD50"/>
    <w:rsid w:val="2082D645"/>
    <w:rsid w:val="20830636"/>
    <w:rsid w:val="208372BA"/>
    <w:rsid w:val="2083EE39"/>
    <w:rsid w:val="208405B1"/>
    <w:rsid w:val="20843EEE"/>
    <w:rsid w:val="2084FECF"/>
    <w:rsid w:val="208662FB"/>
    <w:rsid w:val="20869F6C"/>
    <w:rsid w:val="2086D44A"/>
    <w:rsid w:val="20874B28"/>
    <w:rsid w:val="2087FBA3"/>
    <w:rsid w:val="2088278C"/>
    <w:rsid w:val="2088D72A"/>
    <w:rsid w:val="208AB934"/>
    <w:rsid w:val="208C4171"/>
    <w:rsid w:val="20917D79"/>
    <w:rsid w:val="2092313B"/>
    <w:rsid w:val="2092BA91"/>
    <w:rsid w:val="20935FE5"/>
    <w:rsid w:val="2093DD99"/>
    <w:rsid w:val="209506B9"/>
    <w:rsid w:val="2096DB46"/>
    <w:rsid w:val="20983141"/>
    <w:rsid w:val="2098DC40"/>
    <w:rsid w:val="209908BC"/>
    <w:rsid w:val="20993793"/>
    <w:rsid w:val="209D8E42"/>
    <w:rsid w:val="209DF295"/>
    <w:rsid w:val="209EE5BF"/>
    <w:rsid w:val="209F2A9D"/>
    <w:rsid w:val="20A030CC"/>
    <w:rsid w:val="20A10BEA"/>
    <w:rsid w:val="20A1BDD7"/>
    <w:rsid w:val="20A1FB1E"/>
    <w:rsid w:val="20A23359"/>
    <w:rsid w:val="20A26731"/>
    <w:rsid w:val="20A282DB"/>
    <w:rsid w:val="20A2A39E"/>
    <w:rsid w:val="20A3E592"/>
    <w:rsid w:val="20A419DA"/>
    <w:rsid w:val="20A58CB1"/>
    <w:rsid w:val="20A5FFEF"/>
    <w:rsid w:val="20A75857"/>
    <w:rsid w:val="20AA8988"/>
    <w:rsid w:val="20AD72BC"/>
    <w:rsid w:val="20AE0BE6"/>
    <w:rsid w:val="20AED1F7"/>
    <w:rsid w:val="20AED7FC"/>
    <w:rsid w:val="20AF4B07"/>
    <w:rsid w:val="20B0A7BB"/>
    <w:rsid w:val="20B1EAB7"/>
    <w:rsid w:val="20B52251"/>
    <w:rsid w:val="20B53747"/>
    <w:rsid w:val="20B53A2E"/>
    <w:rsid w:val="20B6281E"/>
    <w:rsid w:val="20B6F4D3"/>
    <w:rsid w:val="20B7CE2D"/>
    <w:rsid w:val="20B8D150"/>
    <w:rsid w:val="20B9116B"/>
    <w:rsid w:val="20B947DB"/>
    <w:rsid w:val="20BA74A7"/>
    <w:rsid w:val="20BB6F1B"/>
    <w:rsid w:val="20BB8C9D"/>
    <w:rsid w:val="20BBD90F"/>
    <w:rsid w:val="20BC9CCD"/>
    <w:rsid w:val="20BD1B6A"/>
    <w:rsid w:val="20BDD02E"/>
    <w:rsid w:val="20BE515F"/>
    <w:rsid w:val="20BE70A3"/>
    <w:rsid w:val="20BE724F"/>
    <w:rsid w:val="20C059B5"/>
    <w:rsid w:val="20C114C0"/>
    <w:rsid w:val="20C1325A"/>
    <w:rsid w:val="20C1A307"/>
    <w:rsid w:val="20C207C6"/>
    <w:rsid w:val="20C208B4"/>
    <w:rsid w:val="20C2AC5D"/>
    <w:rsid w:val="20C3F532"/>
    <w:rsid w:val="20C4E232"/>
    <w:rsid w:val="20C612EB"/>
    <w:rsid w:val="20C64129"/>
    <w:rsid w:val="20C6C2B8"/>
    <w:rsid w:val="20C707BE"/>
    <w:rsid w:val="20C70DA8"/>
    <w:rsid w:val="20C74E46"/>
    <w:rsid w:val="20C78AFC"/>
    <w:rsid w:val="20C7C571"/>
    <w:rsid w:val="20C80CA9"/>
    <w:rsid w:val="20C837C6"/>
    <w:rsid w:val="20C87476"/>
    <w:rsid w:val="20C8DA37"/>
    <w:rsid w:val="20C9DDC1"/>
    <w:rsid w:val="20CA6949"/>
    <w:rsid w:val="20CAB4C0"/>
    <w:rsid w:val="20CB475C"/>
    <w:rsid w:val="20CC22A6"/>
    <w:rsid w:val="20CD629C"/>
    <w:rsid w:val="20D067EE"/>
    <w:rsid w:val="20D07162"/>
    <w:rsid w:val="20D0B890"/>
    <w:rsid w:val="20D11347"/>
    <w:rsid w:val="20D313E8"/>
    <w:rsid w:val="20D6B80A"/>
    <w:rsid w:val="20D6FF01"/>
    <w:rsid w:val="20D822C5"/>
    <w:rsid w:val="20D84844"/>
    <w:rsid w:val="20D9123B"/>
    <w:rsid w:val="20D9C628"/>
    <w:rsid w:val="20DB3703"/>
    <w:rsid w:val="20DDEBA5"/>
    <w:rsid w:val="20DEA1C6"/>
    <w:rsid w:val="20DF6674"/>
    <w:rsid w:val="20DF6BC5"/>
    <w:rsid w:val="20DFBCAA"/>
    <w:rsid w:val="20E0C1E0"/>
    <w:rsid w:val="20E11209"/>
    <w:rsid w:val="20E24157"/>
    <w:rsid w:val="20E2DF7E"/>
    <w:rsid w:val="20E2E8C9"/>
    <w:rsid w:val="20E342C9"/>
    <w:rsid w:val="20E4146E"/>
    <w:rsid w:val="20E4F914"/>
    <w:rsid w:val="20E541F5"/>
    <w:rsid w:val="20E55E6B"/>
    <w:rsid w:val="20E563E2"/>
    <w:rsid w:val="20E69D2A"/>
    <w:rsid w:val="20E7CBAE"/>
    <w:rsid w:val="20E8CE6B"/>
    <w:rsid w:val="20E94032"/>
    <w:rsid w:val="20E9EE76"/>
    <w:rsid w:val="20EB9271"/>
    <w:rsid w:val="20ED006D"/>
    <w:rsid w:val="20EDE0B4"/>
    <w:rsid w:val="20EE921A"/>
    <w:rsid w:val="20EFF250"/>
    <w:rsid w:val="20F06768"/>
    <w:rsid w:val="20F08544"/>
    <w:rsid w:val="20F12A5F"/>
    <w:rsid w:val="20F3FC13"/>
    <w:rsid w:val="20F46984"/>
    <w:rsid w:val="20F47D5C"/>
    <w:rsid w:val="20F4D332"/>
    <w:rsid w:val="20F55EA1"/>
    <w:rsid w:val="20F5EBE2"/>
    <w:rsid w:val="20F6BE7B"/>
    <w:rsid w:val="20F6ECD3"/>
    <w:rsid w:val="20F6FA23"/>
    <w:rsid w:val="20F77054"/>
    <w:rsid w:val="20F95E6A"/>
    <w:rsid w:val="20FD9ECD"/>
    <w:rsid w:val="20FDAA71"/>
    <w:rsid w:val="20FE4011"/>
    <w:rsid w:val="20FEFD3D"/>
    <w:rsid w:val="21012C7C"/>
    <w:rsid w:val="2101C93D"/>
    <w:rsid w:val="2102C245"/>
    <w:rsid w:val="210321D7"/>
    <w:rsid w:val="21034E8E"/>
    <w:rsid w:val="21038E9D"/>
    <w:rsid w:val="2103AAE9"/>
    <w:rsid w:val="2104D1A1"/>
    <w:rsid w:val="21057684"/>
    <w:rsid w:val="21065570"/>
    <w:rsid w:val="2106A709"/>
    <w:rsid w:val="21078C48"/>
    <w:rsid w:val="210974AB"/>
    <w:rsid w:val="210A40DD"/>
    <w:rsid w:val="210BC30D"/>
    <w:rsid w:val="210CC13B"/>
    <w:rsid w:val="210CFC6B"/>
    <w:rsid w:val="210D92F3"/>
    <w:rsid w:val="210DB985"/>
    <w:rsid w:val="210E4678"/>
    <w:rsid w:val="2111AA2D"/>
    <w:rsid w:val="2111B267"/>
    <w:rsid w:val="21123A10"/>
    <w:rsid w:val="21140C2A"/>
    <w:rsid w:val="2115EF73"/>
    <w:rsid w:val="21191AF6"/>
    <w:rsid w:val="2119B0D9"/>
    <w:rsid w:val="2119FCCF"/>
    <w:rsid w:val="211A37FC"/>
    <w:rsid w:val="211A55E3"/>
    <w:rsid w:val="211CBA9A"/>
    <w:rsid w:val="211D97CE"/>
    <w:rsid w:val="211F22A2"/>
    <w:rsid w:val="211F63C2"/>
    <w:rsid w:val="211FCDB6"/>
    <w:rsid w:val="21200A59"/>
    <w:rsid w:val="2121DFE2"/>
    <w:rsid w:val="212347ED"/>
    <w:rsid w:val="212690EB"/>
    <w:rsid w:val="2126CEAD"/>
    <w:rsid w:val="21282413"/>
    <w:rsid w:val="2128F699"/>
    <w:rsid w:val="21294493"/>
    <w:rsid w:val="212D3B5D"/>
    <w:rsid w:val="212E738D"/>
    <w:rsid w:val="212EEDB4"/>
    <w:rsid w:val="21306977"/>
    <w:rsid w:val="2130F791"/>
    <w:rsid w:val="213168E7"/>
    <w:rsid w:val="21339E69"/>
    <w:rsid w:val="2134680F"/>
    <w:rsid w:val="21347AD7"/>
    <w:rsid w:val="2135B23F"/>
    <w:rsid w:val="2136331C"/>
    <w:rsid w:val="21364DA4"/>
    <w:rsid w:val="2136621A"/>
    <w:rsid w:val="2136F248"/>
    <w:rsid w:val="2137341F"/>
    <w:rsid w:val="213827F0"/>
    <w:rsid w:val="2139C6D1"/>
    <w:rsid w:val="213D1B21"/>
    <w:rsid w:val="213E9358"/>
    <w:rsid w:val="214166CC"/>
    <w:rsid w:val="21420DD6"/>
    <w:rsid w:val="21429D43"/>
    <w:rsid w:val="2142FB39"/>
    <w:rsid w:val="2143C473"/>
    <w:rsid w:val="21443FB8"/>
    <w:rsid w:val="214625D1"/>
    <w:rsid w:val="21473D98"/>
    <w:rsid w:val="2147619F"/>
    <w:rsid w:val="21485AA2"/>
    <w:rsid w:val="2148EAD8"/>
    <w:rsid w:val="214B1483"/>
    <w:rsid w:val="214B2D06"/>
    <w:rsid w:val="214B5163"/>
    <w:rsid w:val="214BC061"/>
    <w:rsid w:val="214C454D"/>
    <w:rsid w:val="214C71DC"/>
    <w:rsid w:val="214CF9FF"/>
    <w:rsid w:val="214D1FE2"/>
    <w:rsid w:val="214D7167"/>
    <w:rsid w:val="214D801C"/>
    <w:rsid w:val="214E1FCC"/>
    <w:rsid w:val="214E8335"/>
    <w:rsid w:val="214EB59F"/>
    <w:rsid w:val="214EF66A"/>
    <w:rsid w:val="214F68DC"/>
    <w:rsid w:val="21528EC9"/>
    <w:rsid w:val="215310F4"/>
    <w:rsid w:val="21531E24"/>
    <w:rsid w:val="21540657"/>
    <w:rsid w:val="215411DE"/>
    <w:rsid w:val="215560EA"/>
    <w:rsid w:val="21576F82"/>
    <w:rsid w:val="21580972"/>
    <w:rsid w:val="21582E08"/>
    <w:rsid w:val="21585D97"/>
    <w:rsid w:val="215A96E0"/>
    <w:rsid w:val="215B38C1"/>
    <w:rsid w:val="215B5C21"/>
    <w:rsid w:val="215B68E8"/>
    <w:rsid w:val="215C2C92"/>
    <w:rsid w:val="215C33CC"/>
    <w:rsid w:val="215CF23E"/>
    <w:rsid w:val="215D1D25"/>
    <w:rsid w:val="215D78D8"/>
    <w:rsid w:val="215DF84A"/>
    <w:rsid w:val="215F8371"/>
    <w:rsid w:val="2161CD3C"/>
    <w:rsid w:val="21626ACB"/>
    <w:rsid w:val="21627243"/>
    <w:rsid w:val="216400D5"/>
    <w:rsid w:val="21661AD3"/>
    <w:rsid w:val="2168F772"/>
    <w:rsid w:val="2169B7AB"/>
    <w:rsid w:val="216C8D6A"/>
    <w:rsid w:val="216D86D7"/>
    <w:rsid w:val="216FEBF2"/>
    <w:rsid w:val="21700EF0"/>
    <w:rsid w:val="217203F1"/>
    <w:rsid w:val="2173AF40"/>
    <w:rsid w:val="2177225E"/>
    <w:rsid w:val="2177293D"/>
    <w:rsid w:val="21785E8F"/>
    <w:rsid w:val="217873CF"/>
    <w:rsid w:val="2178847D"/>
    <w:rsid w:val="2179CD30"/>
    <w:rsid w:val="217AD03C"/>
    <w:rsid w:val="217C422E"/>
    <w:rsid w:val="217FEC3F"/>
    <w:rsid w:val="21818DA0"/>
    <w:rsid w:val="21819B11"/>
    <w:rsid w:val="21819F45"/>
    <w:rsid w:val="2181F08A"/>
    <w:rsid w:val="2182FE6B"/>
    <w:rsid w:val="2183F669"/>
    <w:rsid w:val="2184EA77"/>
    <w:rsid w:val="21853B6A"/>
    <w:rsid w:val="2185AC5D"/>
    <w:rsid w:val="21864ADE"/>
    <w:rsid w:val="2188D95A"/>
    <w:rsid w:val="2188EB80"/>
    <w:rsid w:val="2188F66F"/>
    <w:rsid w:val="2189F117"/>
    <w:rsid w:val="218AB767"/>
    <w:rsid w:val="218C71A4"/>
    <w:rsid w:val="218E7A74"/>
    <w:rsid w:val="2190480E"/>
    <w:rsid w:val="2190E2AE"/>
    <w:rsid w:val="2191DCF3"/>
    <w:rsid w:val="219217E9"/>
    <w:rsid w:val="2192999E"/>
    <w:rsid w:val="2192B7F2"/>
    <w:rsid w:val="2194F3BD"/>
    <w:rsid w:val="21960B22"/>
    <w:rsid w:val="21962E6A"/>
    <w:rsid w:val="219694DB"/>
    <w:rsid w:val="21982F10"/>
    <w:rsid w:val="219AC4BC"/>
    <w:rsid w:val="219B30C3"/>
    <w:rsid w:val="219B5060"/>
    <w:rsid w:val="219B81E0"/>
    <w:rsid w:val="219C7257"/>
    <w:rsid w:val="219E7070"/>
    <w:rsid w:val="219E8BB6"/>
    <w:rsid w:val="219EDAA7"/>
    <w:rsid w:val="219F12FA"/>
    <w:rsid w:val="219F2A42"/>
    <w:rsid w:val="21A12E53"/>
    <w:rsid w:val="21A25CF1"/>
    <w:rsid w:val="21A2FA26"/>
    <w:rsid w:val="21A3C360"/>
    <w:rsid w:val="21A43430"/>
    <w:rsid w:val="21A4A3BD"/>
    <w:rsid w:val="21A616FA"/>
    <w:rsid w:val="21A7D4D2"/>
    <w:rsid w:val="21A7F701"/>
    <w:rsid w:val="21A910EE"/>
    <w:rsid w:val="21AA8254"/>
    <w:rsid w:val="21AADAEA"/>
    <w:rsid w:val="21AB5C32"/>
    <w:rsid w:val="21ACB13D"/>
    <w:rsid w:val="21ACDC04"/>
    <w:rsid w:val="21B05C58"/>
    <w:rsid w:val="21B1B287"/>
    <w:rsid w:val="21B21A78"/>
    <w:rsid w:val="21B62376"/>
    <w:rsid w:val="21B645E7"/>
    <w:rsid w:val="21B6DF9B"/>
    <w:rsid w:val="21B82C1E"/>
    <w:rsid w:val="21BB2119"/>
    <w:rsid w:val="21BD216A"/>
    <w:rsid w:val="21BECA11"/>
    <w:rsid w:val="21C0CED6"/>
    <w:rsid w:val="21C14BCA"/>
    <w:rsid w:val="21C19ACC"/>
    <w:rsid w:val="21C31F82"/>
    <w:rsid w:val="21C329A1"/>
    <w:rsid w:val="21C4291A"/>
    <w:rsid w:val="21C46266"/>
    <w:rsid w:val="21C4FE25"/>
    <w:rsid w:val="21C58345"/>
    <w:rsid w:val="21C5D11A"/>
    <w:rsid w:val="21C5D676"/>
    <w:rsid w:val="21C6E8C0"/>
    <w:rsid w:val="21C8FF4F"/>
    <w:rsid w:val="21CB692C"/>
    <w:rsid w:val="21CB8F05"/>
    <w:rsid w:val="21CD4431"/>
    <w:rsid w:val="21CE8144"/>
    <w:rsid w:val="21D0A9FA"/>
    <w:rsid w:val="21D0DB3B"/>
    <w:rsid w:val="21D157C9"/>
    <w:rsid w:val="21D51EFE"/>
    <w:rsid w:val="21D65067"/>
    <w:rsid w:val="21D69994"/>
    <w:rsid w:val="21D72CE7"/>
    <w:rsid w:val="21D75154"/>
    <w:rsid w:val="21D78656"/>
    <w:rsid w:val="21D821E8"/>
    <w:rsid w:val="21D99F7E"/>
    <w:rsid w:val="21DA44BE"/>
    <w:rsid w:val="21DC2C5E"/>
    <w:rsid w:val="21DF3DCE"/>
    <w:rsid w:val="21DF3DEA"/>
    <w:rsid w:val="21E19921"/>
    <w:rsid w:val="21E271F9"/>
    <w:rsid w:val="21E2AA6D"/>
    <w:rsid w:val="21E3F15D"/>
    <w:rsid w:val="21E54230"/>
    <w:rsid w:val="21E5452D"/>
    <w:rsid w:val="21E7F7FC"/>
    <w:rsid w:val="21E92105"/>
    <w:rsid w:val="21E9E00B"/>
    <w:rsid w:val="21EA7571"/>
    <w:rsid w:val="21EAFBB5"/>
    <w:rsid w:val="21EBF9B8"/>
    <w:rsid w:val="21EBFCE8"/>
    <w:rsid w:val="21EC0ACA"/>
    <w:rsid w:val="21EC979F"/>
    <w:rsid w:val="21EEC4C0"/>
    <w:rsid w:val="21F07320"/>
    <w:rsid w:val="21F161C0"/>
    <w:rsid w:val="21F247A3"/>
    <w:rsid w:val="21F31B41"/>
    <w:rsid w:val="21F325A7"/>
    <w:rsid w:val="21F350FF"/>
    <w:rsid w:val="21F3F7B3"/>
    <w:rsid w:val="21F3F8B7"/>
    <w:rsid w:val="21F47FBC"/>
    <w:rsid w:val="21F4ACBF"/>
    <w:rsid w:val="21F4C0E4"/>
    <w:rsid w:val="21F52877"/>
    <w:rsid w:val="21F5E76B"/>
    <w:rsid w:val="21F62DFB"/>
    <w:rsid w:val="21F69E90"/>
    <w:rsid w:val="21F6F1EF"/>
    <w:rsid w:val="21F8D122"/>
    <w:rsid w:val="21F8EF74"/>
    <w:rsid w:val="21FAFF94"/>
    <w:rsid w:val="21FB9143"/>
    <w:rsid w:val="22000691"/>
    <w:rsid w:val="2200811E"/>
    <w:rsid w:val="22010F9D"/>
    <w:rsid w:val="2201F973"/>
    <w:rsid w:val="22020A36"/>
    <w:rsid w:val="22034069"/>
    <w:rsid w:val="22043E30"/>
    <w:rsid w:val="2206B412"/>
    <w:rsid w:val="22089506"/>
    <w:rsid w:val="220916D1"/>
    <w:rsid w:val="220B6435"/>
    <w:rsid w:val="220DA13E"/>
    <w:rsid w:val="220DE7E9"/>
    <w:rsid w:val="220E3417"/>
    <w:rsid w:val="220FA29C"/>
    <w:rsid w:val="220FA6A5"/>
    <w:rsid w:val="22107532"/>
    <w:rsid w:val="2210F3A1"/>
    <w:rsid w:val="221205AA"/>
    <w:rsid w:val="2214701F"/>
    <w:rsid w:val="2214E88B"/>
    <w:rsid w:val="2215D4C4"/>
    <w:rsid w:val="22184D9C"/>
    <w:rsid w:val="221896E2"/>
    <w:rsid w:val="22195728"/>
    <w:rsid w:val="221AD771"/>
    <w:rsid w:val="221BD401"/>
    <w:rsid w:val="221C1761"/>
    <w:rsid w:val="221C27F0"/>
    <w:rsid w:val="221C379D"/>
    <w:rsid w:val="221C56EE"/>
    <w:rsid w:val="221E479E"/>
    <w:rsid w:val="221EACE1"/>
    <w:rsid w:val="221ECC13"/>
    <w:rsid w:val="221F751D"/>
    <w:rsid w:val="22205EE8"/>
    <w:rsid w:val="22227A2A"/>
    <w:rsid w:val="2223249F"/>
    <w:rsid w:val="2223D919"/>
    <w:rsid w:val="22269301"/>
    <w:rsid w:val="22297CE0"/>
    <w:rsid w:val="222C33E7"/>
    <w:rsid w:val="222C5E44"/>
    <w:rsid w:val="222CE7D9"/>
    <w:rsid w:val="222D3781"/>
    <w:rsid w:val="222E821D"/>
    <w:rsid w:val="223158B4"/>
    <w:rsid w:val="22331B6C"/>
    <w:rsid w:val="2235034D"/>
    <w:rsid w:val="22363850"/>
    <w:rsid w:val="2237298C"/>
    <w:rsid w:val="2238FFC6"/>
    <w:rsid w:val="223AE551"/>
    <w:rsid w:val="223B9C48"/>
    <w:rsid w:val="223C21B2"/>
    <w:rsid w:val="223CC21C"/>
    <w:rsid w:val="223D0521"/>
    <w:rsid w:val="223D1FE2"/>
    <w:rsid w:val="223DAFFA"/>
    <w:rsid w:val="223E3CEE"/>
    <w:rsid w:val="223EC1C5"/>
    <w:rsid w:val="223F69A3"/>
    <w:rsid w:val="223F8377"/>
    <w:rsid w:val="22421DC2"/>
    <w:rsid w:val="22424391"/>
    <w:rsid w:val="2242DA58"/>
    <w:rsid w:val="224716F8"/>
    <w:rsid w:val="2247B671"/>
    <w:rsid w:val="224815BB"/>
    <w:rsid w:val="22483E1B"/>
    <w:rsid w:val="2249696C"/>
    <w:rsid w:val="2249CA32"/>
    <w:rsid w:val="224A5189"/>
    <w:rsid w:val="224BF428"/>
    <w:rsid w:val="224C2815"/>
    <w:rsid w:val="224DA08E"/>
    <w:rsid w:val="224ECC0F"/>
    <w:rsid w:val="224FF4CC"/>
    <w:rsid w:val="2250185B"/>
    <w:rsid w:val="225185A8"/>
    <w:rsid w:val="225216A1"/>
    <w:rsid w:val="225331C1"/>
    <w:rsid w:val="2254061E"/>
    <w:rsid w:val="225476BF"/>
    <w:rsid w:val="2254A443"/>
    <w:rsid w:val="2255B7D5"/>
    <w:rsid w:val="2255CE98"/>
    <w:rsid w:val="22577ACD"/>
    <w:rsid w:val="2257997B"/>
    <w:rsid w:val="2257B285"/>
    <w:rsid w:val="2257D35F"/>
    <w:rsid w:val="22590840"/>
    <w:rsid w:val="22598CFF"/>
    <w:rsid w:val="2259DC1D"/>
    <w:rsid w:val="225A7664"/>
    <w:rsid w:val="225B1218"/>
    <w:rsid w:val="225B2E52"/>
    <w:rsid w:val="225B56AB"/>
    <w:rsid w:val="225F13A2"/>
    <w:rsid w:val="22604725"/>
    <w:rsid w:val="22616D9F"/>
    <w:rsid w:val="2261AEA0"/>
    <w:rsid w:val="2262F117"/>
    <w:rsid w:val="22694E5B"/>
    <w:rsid w:val="22695FCD"/>
    <w:rsid w:val="2269891D"/>
    <w:rsid w:val="226A0206"/>
    <w:rsid w:val="226A992E"/>
    <w:rsid w:val="226BE76D"/>
    <w:rsid w:val="226DB7A4"/>
    <w:rsid w:val="226E1E20"/>
    <w:rsid w:val="226E30A5"/>
    <w:rsid w:val="22701716"/>
    <w:rsid w:val="22701F74"/>
    <w:rsid w:val="2270F445"/>
    <w:rsid w:val="2271398C"/>
    <w:rsid w:val="22717F9B"/>
    <w:rsid w:val="2274247E"/>
    <w:rsid w:val="22752880"/>
    <w:rsid w:val="2276A06F"/>
    <w:rsid w:val="2276FB6E"/>
    <w:rsid w:val="227730A1"/>
    <w:rsid w:val="2277B05E"/>
    <w:rsid w:val="227854AD"/>
    <w:rsid w:val="22798E35"/>
    <w:rsid w:val="227A98B5"/>
    <w:rsid w:val="227AD5DB"/>
    <w:rsid w:val="227AE930"/>
    <w:rsid w:val="227AF9BF"/>
    <w:rsid w:val="227BFC79"/>
    <w:rsid w:val="227CDEB3"/>
    <w:rsid w:val="227F6174"/>
    <w:rsid w:val="228094C0"/>
    <w:rsid w:val="2281A656"/>
    <w:rsid w:val="2281E211"/>
    <w:rsid w:val="228324CE"/>
    <w:rsid w:val="22844B87"/>
    <w:rsid w:val="2284681F"/>
    <w:rsid w:val="22858904"/>
    <w:rsid w:val="2286B880"/>
    <w:rsid w:val="2286E9D0"/>
    <w:rsid w:val="2287F289"/>
    <w:rsid w:val="22897851"/>
    <w:rsid w:val="228B6BFD"/>
    <w:rsid w:val="228D7AA7"/>
    <w:rsid w:val="2291D5F4"/>
    <w:rsid w:val="2292F6EE"/>
    <w:rsid w:val="22933892"/>
    <w:rsid w:val="2293C9F1"/>
    <w:rsid w:val="22943CA6"/>
    <w:rsid w:val="22946D88"/>
    <w:rsid w:val="229502A5"/>
    <w:rsid w:val="22964E84"/>
    <w:rsid w:val="2296A1B3"/>
    <w:rsid w:val="229984F9"/>
    <w:rsid w:val="2299E0BA"/>
    <w:rsid w:val="2299E844"/>
    <w:rsid w:val="229B50A4"/>
    <w:rsid w:val="229CDCD5"/>
    <w:rsid w:val="229DEAD4"/>
    <w:rsid w:val="229F2B48"/>
    <w:rsid w:val="229F9E59"/>
    <w:rsid w:val="22A2E8A1"/>
    <w:rsid w:val="22A3B5E9"/>
    <w:rsid w:val="22A4FAAA"/>
    <w:rsid w:val="22A644D0"/>
    <w:rsid w:val="22A6DE5E"/>
    <w:rsid w:val="22A72272"/>
    <w:rsid w:val="22A74325"/>
    <w:rsid w:val="22A7804C"/>
    <w:rsid w:val="22A89CA8"/>
    <w:rsid w:val="22AAD9C8"/>
    <w:rsid w:val="22ACFF4F"/>
    <w:rsid w:val="22AFD4F4"/>
    <w:rsid w:val="22AFEF38"/>
    <w:rsid w:val="22B05A2E"/>
    <w:rsid w:val="22B0ABA7"/>
    <w:rsid w:val="22B23280"/>
    <w:rsid w:val="22B3300E"/>
    <w:rsid w:val="22B53543"/>
    <w:rsid w:val="22B55B20"/>
    <w:rsid w:val="22B7463F"/>
    <w:rsid w:val="22B75647"/>
    <w:rsid w:val="22B825F0"/>
    <w:rsid w:val="22B829DD"/>
    <w:rsid w:val="22B8D646"/>
    <w:rsid w:val="22B90BC1"/>
    <w:rsid w:val="22BDC88E"/>
    <w:rsid w:val="22BDE591"/>
    <w:rsid w:val="22BE8A95"/>
    <w:rsid w:val="22BEFA84"/>
    <w:rsid w:val="22BF62E5"/>
    <w:rsid w:val="22BFBCBE"/>
    <w:rsid w:val="22C19505"/>
    <w:rsid w:val="22C1C9A9"/>
    <w:rsid w:val="22C2AE56"/>
    <w:rsid w:val="22C35CDE"/>
    <w:rsid w:val="22C65173"/>
    <w:rsid w:val="22CA0BCF"/>
    <w:rsid w:val="22CB44FB"/>
    <w:rsid w:val="22CC5ADA"/>
    <w:rsid w:val="22CEEDE2"/>
    <w:rsid w:val="22D02BDA"/>
    <w:rsid w:val="22D04518"/>
    <w:rsid w:val="22D31645"/>
    <w:rsid w:val="22D31F63"/>
    <w:rsid w:val="22D54416"/>
    <w:rsid w:val="22D5496A"/>
    <w:rsid w:val="22D5A5BD"/>
    <w:rsid w:val="22D5A7C2"/>
    <w:rsid w:val="22D81D36"/>
    <w:rsid w:val="22D98C59"/>
    <w:rsid w:val="22DA72F4"/>
    <w:rsid w:val="22DABD62"/>
    <w:rsid w:val="22DAD3DB"/>
    <w:rsid w:val="22DC9CD4"/>
    <w:rsid w:val="22DD1B95"/>
    <w:rsid w:val="22DF4C65"/>
    <w:rsid w:val="22E1738C"/>
    <w:rsid w:val="22E324CE"/>
    <w:rsid w:val="22E406FD"/>
    <w:rsid w:val="22E47C88"/>
    <w:rsid w:val="22E4D272"/>
    <w:rsid w:val="22E62889"/>
    <w:rsid w:val="22E6EE59"/>
    <w:rsid w:val="22E770C2"/>
    <w:rsid w:val="22E7CF3A"/>
    <w:rsid w:val="22E7E34D"/>
    <w:rsid w:val="22E86EE8"/>
    <w:rsid w:val="22E8ED0F"/>
    <w:rsid w:val="22EC352F"/>
    <w:rsid w:val="22ECB91D"/>
    <w:rsid w:val="22EEB4C3"/>
    <w:rsid w:val="22EF00E0"/>
    <w:rsid w:val="22EF4B8D"/>
    <w:rsid w:val="22EF7FD5"/>
    <w:rsid w:val="22F011C0"/>
    <w:rsid w:val="22F0A1A4"/>
    <w:rsid w:val="22F1BAB2"/>
    <w:rsid w:val="22F2965D"/>
    <w:rsid w:val="22F64D83"/>
    <w:rsid w:val="22F6C994"/>
    <w:rsid w:val="22F7AED0"/>
    <w:rsid w:val="22F8214F"/>
    <w:rsid w:val="22F8E0E0"/>
    <w:rsid w:val="22F932A4"/>
    <w:rsid w:val="22FAA93B"/>
    <w:rsid w:val="22FAB789"/>
    <w:rsid w:val="22FDE555"/>
    <w:rsid w:val="22FE213F"/>
    <w:rsid w:val="22FE633C"/>
    <w:rsid w:val="22FFB813"/>
    <w:rsid w:val="2300CC6B"/>
    <w:rsid w:val="23023031"/>
    <w:rsid w:val="2302433E"/>
    <w:rsid w:val="2303DD3F"/>
    <w:rsid w:val="2305AEDB"/>
    <w:rsid w:val="23077FE6"/>
    <w:rsid w:val="2307B54C"/>
    <w:rsid w:val="23086CCB"/>
    <w:rsid w:val="230A06B6"/>
    <w:rsid w:val="230A388C"/>
    <w:rsid w:val="230A4C8F"/>
    <w:rsid w:val="230AA74D"/>
    <w:rsid w:val="230AF155"/>
    <w:rsid w:val="230BF78D"/>
    <w:rsid w:val="230BFDFE"/>
    <w:rsid w:val="230C0E61"/>
    <w:rsid w:val="230E47B9"/>
    <w:rsid w:val="230E487D"/>
    <w:rsid w:val="230E7191"/>
    <w:rsid w:val="230EF4D5"/>
    <w:rsid w:val="230F80F1"/>
    <w:rsid w:val="23101A16"/>
    <w:rsid w:val="2310DB85"/>
    <w:rsid w:val="2310EB2A"/>
    <w:rsid w:val="231357AB"/>
    <w:rsid w:val="23136F07"/>
    <w:rsid w:val="23146122"/>
    <w:rsid w:val="2314BA98"/>
    <w:rsid w:val="2314DDA5"/>
    <w:rsid w:val="23151E39"/>
    <w:rsid w:val="23176386"/>
    <w:rsid w:val="2317D404"/>
    <w:rsid w:val="231A3F09"/>
    <w:rsid w:val="231B0D20"/>
    <w:rsid w:val="231BD27A"/>
    <w:rsid w:val="231D76A8"/>
    <w:rsid w:val="231E5977"/>
    <w:rsid w:val="231E8561"/>
    <w:rsid w:val="231F7561"/>
    <w:rsid w:val="231F7FD1"/>
    <w:rsid w:val="231FBC9D"/>
    <w:rsid w:val="23212184"/>
    <w:rsid w:val="23243635"/>
    <w:rsid w:val="23243D94"/>
    <w:rsid w:val="232464A8"/>
    <w:rsid w:val="2325638A"/>
    <w:rsid w:val="2325D929"/>
    <w:rsid w:val="2326923C"/>
    <w:rsid w:val="2326EC4B"/>
    <w:rsid w:val="232864B8"/>
    <w:rsid w:val="23294A5A"/>
    <w:rsid w:val="2329685A"/>
    <w:rsid w:val="232F1912"/>
    <w:rsid w:val="232F9C47"/>
    <w:rsid w:val="232FE088"/>
    <w:rsid w:val="23323FE2"/>
    <w:rsid w:val="233296F6"/>
    <w:rsid w:val="23352A5E"/>
    <w:rsid w:val="233757B3"/>
    <w:rsid w:val="233793C7"/>
    <w:rsid w:val="233919A7"/>
    <w:rsid w:val="23399CDC"/>
    <w:rsid w:val="233A1ECC"/>
    <w:rsid w:val="233A6C79"/>
    <w:rsid w:val="233D858C"/>
    <w:rsid w:val="233EE849"/>
    <w:rsid w:val="233F01EE"/>
    <w:rsid w:val="23402219"/>
    <w:rsid w:val="23403E77"/>
    <w:rsid w:val="23413A1C"/>
    <w:rsid w:val="2341CCA6"/>
    <w:rsid w:val="2344F5F5"/>
    <w:rsid w:val="234749AB"/>
    <w:rsid w:val="2347A268"/>
    <w:rsid w:val="23493B67"/>
    <w:rsid w:val="23499304"/>
    <w:rsid w:val="234BDA21"/>
    <w:rsid w:val="234BFB14"/>
    <w:rsid w:val="234C3145"/>
    <w:rsid w:val="234C79CA"/>
    <w:rsid w:val="234C9B7B"/>
    <w:rsid w:val="234DD2A1"/>
    <w:rsid w:val="234E75C4"/>
    <w:rsid w:val="235244DD"/>
    <w:rsid w:val="23526E99"/>
    <w:rsid w:val="2356427C"/>
    <w:rsid w:val="23568655"/>
    <w:rsid w:val="23572633"/>
    <w:rsid w:val="235867F1"/>
    <w:rsid w:val="235A1EDF"/>
    <w:rsid w:val="235BA3E3"/>
    <w:rsid w:val="235BF1C8"/>
    <w:rsid w:val="235C447F"/>
    <w:rsid w:val="235D4EB4"/>
    <w:rsid w:val="235DA61F"/>
    <w:rsid w:val="235DB1F5"/>
    <w:rsid w:val="23611920"/>
    <w:rsid w:val="2361AB7A"/>
    <w:rsid w:val="2365DCDF"/>
    <w:rsid w:val="23663829"/>
    <w:rsid w:val="23676333"/>
    <w:rsid w:val="2367BF67"/>
    <w:rsid w:val="2367E821"/>
    <w:rsid w:val="23686904"/>
    <w:rsid w:val="236B15BA"/>
    <w:rsid w:val="236B5F76"/>
    <w:rsid w:val="236C9CA3"/>
    <w:rsid w:val="236DFC3B"/>
    <w:rsid w:val="236FDBDC"/>
    <w:rsid w:val="2370EC60"/>
    <w:rsid w:val="2370F958"/>
    <w:rsid w:val="23720E35"/>
    <w:rsid w:val="23736CB3"/>
    <w:rsid w:val="23748FE9"/>
    <w:rsid w:val="23751E0F"/>
    <w:rsid w:val="2375ED1C"/>
    <w:rsid w:val="23762C23"/>
    <w:rsid w:val="2378D4A7"/>
    <w:rsid w:val="2379DF18"/>
    <w:rsid w:val="237A8CC8"/>
    <w:rsid w:val="237AC787"/>
    <w:rsid w:val="237B0016"/>
    <w:rsid w:val="237B0BBB"/>
    <w:rsid w:val="238012F1"/>
    <w:rsid w:val="238096A9"/>
    <w:rsid w:val="23824E50"/>
    <w:rsid w:val="23826E68"/>
    <w:rsid w:val="2383BE42"/>
    <w:rsid w:val="23851F58"/>
    <w:rsid w:val="2385FED8"/>
    <w:rsid w:val="238607C6"/>
    <w:rsid w:val="2386923B"/>
    <w:rsid w:val="2386BB38"/>
    <w:rsid w:val="238714CF"/>
    <w:rsid w:val="23876075"/>
    <w:rsid w:val="238839DA"/>
    <w:rsid w:val="2388AD20"/>
    <w:rsid w:val="2389EBB3"/>
    <w:rsid w:val="238BA638"/>
    <w:rsid w:val="238D2221"/>
    <w:rsid w:val="238EA32F"/>
    <w:rsid w:val="238EC8FE"/>
    <w:rsid w:val="238FD164"/>
    <w:rsid w:val="238FDA8A"/>
    <w:rsid w:val="23907B1E"/>
    <w:rsid w:val="239198E5"/>
    <w:rsid w:val="2391C6DA"/>
    <w:rsid w:val="23929DC7"/>
    <w:rsid w:val="2392A3FF"/>
    <w:rsid w:val="2392C250"/>
    <w:rsid w:val="2392EEFD"/>
    <w:rsid w:val="2392F612"/>
    <w:rsid w:val="23975AC0"/>
    <w:rsid w:val="2399148A"/>
    <w:rsid w:val="239A0235"/>
    <w:rsid w:val="239C2F9B"/>
    <w:rsid w:val="239DCE2C"/>
    <w:rsid w:val="239E15CD"/>
    <w:rsid w:val="239E3F40"/>
    <w:rsid w:val="239E886F"/>
    <w:rsid w:val="23A00C7E"/>
    <w:rsid w:val="23A0A25E"/>
    <w:rsid w:val="23A12CC8"/>
    <w:rsid w:val="23A1502A"/>
    <w:rsid w:val="23A2317D"/>
    <w:rsid w:val="23A2343A"/>
    <w:rsid w:val="23A39CBC"/>
    <w:rsid w:val="23A474B9"/>
    <w:rsid w:val="23A77681"/>
    <w:rsid w:val="23A7AA0E"/>
    <w:rsid w:val="23A8502F"/>
    <w:rsid w:val="23A96245"/>
    <w:rsid w:val="23A9BF25"/>
    <w:rsid w:val="23A9C8FF"/>
    <w:rsid w:val="23AA9C1C"/>
    <w:rsid w:val="23AAC818"/>
    <w:rsid w:val="23AAC936"/>
    <w:rsid w:val="23AC5099"/>
    <w:rsid w:val="23AD8D01"/>
    <w:rsid w:val="23AE28D6"/>
    <w:rsid w:val="23AF2564"/>
    <w:rsid w:val="23AFFA57"/>
    <w:rsid w:val="23B2E825"/>
    <w:rsid w:val="23B4AF37"/>
    <w:rsid w:val="23B53480"/>
    <w:rsid w:val="23B71B11"/>
    <w:rsid w:val="23B8485F"/>
    <w:rsid w:val="23B91B63"/>
    <w:rsid w:val="23BAF501"/>
    <w:rsid w:val="23BC4593"/>
    <w:rsid w:val="23BCC2E4"/>
    <w:rsid w:val="23BCEFAC"/>
    <w:rsid w:val="23BE1C00"/>
    <w:rsid w:val="23BECC1E"/>
    <w:rsid w:val="23BED493"/>
    <w:rsid w:val="23C21333"/>
    <w:rsid w:val="23C33DA5"/>
    <w:rsid w:val="23C367AE"/>
    <w:rsid w:val="23C3F402"/>
    <w:rsid w:val="23C44879"/>
    <w:rsid w:val="23C4DBE7"/>
    <w:rsid w:val="23C68D2B"/>
    <w:rsid w:val="23C74586"/>
    <w:rsid w:val="23C76C7E"/>
    <w:rsid w:val="23CB3811"/>
    <w:rsid w:val="23CDBE16"/>
    <w:rsid w:val="23CF3AC0"/>
    <w:rsid w:val="23D1A689"/>
    <w:rsid w:val="23D3B4C6"/>
    <w:rsid w:val="23D4157E"/>
    <w:rsid w:val="23D4464A"/>
    <w:rsid w:val="23D65F21"/>
    <w:rsid w:val="23D6B030"/>
    <w:rsid w:val="23D8FD26"/>
    <w:rsid w:val="23D91A61"/>
    <w:rsid w:val="23DC4AC9"/>
    <w:rsid w:val="23DD4256"/>
    <w:rsid w:val="23DF1E7C"/>
    <w:rsid w:val="23DF6F67"/>
    <w:rsid w:val="23DFD5FE"/>
    <w:rsid w:val="23E2E377"/>
    <w:rsid w:val="23E2FE95"/>
    <w:rsid w:val="23E34B3D"/>
    <w:rsid w:val="23E3AF7A"/>
    <w:rsid w:val="23E4AB91"/>
    <w:rsid w:val="23E4AF24"/>
    <w:rsid w:val="23E4E25F"/>
    <w:rsid w:val="23E68AD6"/>
    <w:rsid w:val="23E6A35D"/>
    <w:rsid w:val="23E80BB6"/>
    <w:rsid w:val="23EA2DAD"/>
    <w:rsid w:val="23EA8140"/>
    <w:rsid w:val="23EBF0C6"/>
    <w:rsid w:val="23ED08A9"/>
    <w:rsid w:val="23EE9516"/>
    <w:rsid w:val="23EFEFA0"/>
    <w:rsid w:val="23F07BDE"/>
    <w:rsid w:val="23F09433"/>
    <w:rsid w:val="23F0B2DB"/>
    <w:rsid w:val="23F24D7B"/>
    <w:rsid w:val="23F2762B"/>
    <w:rsid w:val="23F2CC85"/>
    <w:rsid w:val="23F62A87"/>
    <w:rsid w:val="23F921C0"/>
    <w:rsid w:val="23FB7029"/>
    <w:rsid w:val="23FBCD69"/>
    <w:rsid w:val="23FC5D36"/>
    <w:rsid w:val="23FDB0AD"/>
    <w:rsid w:val="23FEE1AA"/>
    <w:rsid w:val="23FFE5A0"/>
    <w:rsid w:val="240026B4"/>
    <w:rsid w:val="24026E8F"/>
    <w:rsid w:val="24027BBD"/>
    <w:rsid w:val="2404A191"/>
    <w:rsid w:val="24051C7F"/>
    <w:rsid w:val="24053FA9"/>
    <w:rsid w:val="24090BB7"/>
    <w:rsid w:val="24094D54"/>
    <w:rsid w:val="24097D31"/>
    <w:rsid w:val="2409ADCA"/>
    <w:rsid w:val="240A17D1"/>
    <w:rsid w:val="240A8329"/>
    <w:rsid w:val="240AC277"/>
    <w:rsid w:val="240AC88E"/>
    <w:rsid w:val="240BC7EF"/>
    <w:rsid w:val="240CE21A"/>
    <w:rsid w:val="240DA0FE"/>
    <w:rsid w:val="240DF124"/>
    <w:rsid w:val="240E2BD7"/>
    <w:rsid w:val="240EEFEA"/>
    <w:rsid w:val="240F284A"/>
    <w:rsid w:val="240F570A"/>
    <w:rsid w:val="240F66BB"/>
    <w:rsid w:val="24110612"/>
    <w:rsid w:val="24110B19"/>
    <w:rsid w:val="24125706"/>
    <w:rsid w:val="24128C1C"/>
    <w:rsid w:val="2412925C"/>
    <w:rsid w:val="24161837"/>
    <w:rsid w:val="24170137"/>
    <w:rsid w:val="2417B756"/>
    <w:rsid w:val="24184136"/>
    <w:rsid w:val="24190457"/>
    <w:rsid w:val="241A0691"/>
    <w:rsid w:val="241A8320"/>
    <w:rsid w:val="241A86D7"/>
    <w:rsid w:val="241AF95A"/>
    <w:rsid w:val="241B06CB"/>
    <w:rsid w:val="241BE8EA"/>
    <w:rsid w:val="241C04B0"/>
    <w:rsid w:val="241DB364"/>
    <w:rsid w:val="241DBF3C"/>
    <w:rsid w:val="241DE77D"/>
    <w:rsid w:val="241E92C4"/>
    <w:rsid w:val="242170DB"/>
    <w:rsid w:val="2421BD38"/>
    <w:rsid w:val="2423DEEA"/>
    <w:rsid w:val="2423E82E"/>
    <w:rsid w:val="24247F79"/>
    <w:rsid w:val="2424F2AE"/>
    <w:rsid w:val="242583A3"/>
    <w:rsid w:val="24282606"/>
    <w:rsid w:val="24285054"/>
    <w:rsid w:val="2428FE12"/>
    <w:rsid w:val="242979FE"/>
    <w:rsid w:val="2429FA4B"/>
    <w:rsid w:val="242A4440"/>
    <w:rsid w:val="242D850C"/>
    <w:rsid w:val="242E0CD4"/>
    <w:rsid w:val="242EA582"/>
    <w:rsid w:val="242F4C34"/>
    <w:rsid w:val="242F6D41"/>
    <w:rsid w:val="24312D02"/>
    <w:rsid w:val="2434EE75"/>
    <w:rsid w:val="24373EE2"/>
    <w:rsid w:val="2437B1A5"/>
    <w:rsid w:val="2437D61F"/>
    <w:rsid w:val="243805BA"/>
    <w:rsid w:val="24380FBA"/>
    <w:rsid w:val="24382A60"/>
    <w:rsid w:val="24393E82"/>
    <w:rsid w:val="243C8203"/>
    <w:rsid w:val="243C8EDA"/>
    <w:rsid w:val="2441BC50"/>
    <w:rsid w:val="2441EDA5"/>
    <w:rsid w:val="2443CA2E"/>
    <w:rsid w:val="244690D5"/>
    <w:rsid w:val="244A6C90"/>
    <w:rsid w:val="244AAAD4"/>
    <w:rsid w:val="244B44DB"/>
    <w:rsid w:val="244B5CE3"/>
    <w:rsid w:val="244C1353"/>
    <w:rsid w:val="244C5BDC"/>
    <w:rsid w:val="244D40F7"/>
    <w:rsid w:val="244DCA7C"/>
    <w:rsid w:val="2450F5F3"/>
    <w:rsid w:val="245152BD"/>
    <w:rsid w:val="2451A139"/>
    <w:rsid w:val="245202B9"/>
    <w:rsid w:val="24521922"/>
    <w:rsid w:val="2452673A"/>
    <w:rsid w:val="24542AA4"/>
    <w:rsid w:val="24545D45"/>
    <w:rsid w:val="2454D939"/>
    <w:rsid w:val="2454FF48"/>
    <w:rsid w:val="245505D9"/>
    <w:rsid w:val="245515D7"/>
    <w:rsid w:val="245845CA"/>
    <w:rsid w:val="245846C3"/>
    <w:rsid w:val="24585B9E"/>
    <w:rsid w:val="24586085"/>
    <w:rsid w:val="2459896B"/>
    <w:rsid w:val="245A4911"/>
    <w:rsid w:val="245A8314"/>
    <w:rsid w:val="245C3163"/>
    <w:rsid w:val="245D6566"/>
    <w:rsid w:val="245D66A2"/>
    <w:rsid w:val="2462399B"/>
    <w:rsid w:val="24623EA7"/>
    <w:rsid w:val="2462A3E9"/>
    <w:rsid w:val="24638B60"/>
    <w:rsid w:val="2467341F"/>
    <w:rsid w:val="246738A9"/>
    <w:rsid w:val="24678B0D"/>
    <w:rsid w:val="24686250"/>
    <w:rsid w:val="246B14F1"/>
    <w:rsid w:val="246B614D"/>
    <w:rsid w:val="246D2BA1"/>
    <w:rsid w:val="246E71BD"/>
    <w:rsid w:val="24714B22"/>
    <w:rsid w:val="2475C73E"/>
    <w:rsid w:val="2477A00D"/>
    <w:rsid w:val="24780441"/>
    <w:rsid w:val="24785C51"/>
    <w:rsid w:val="2478E3D8"/>
    <w:rsid w:val="247B3617"/>
    <w:rsid w:val="247CB790"/>
    <w:rsid w:val="247CD8D9"/>
    <w:rsid w:val="247D362E"/>
    <w:rsid w:val="247F6289"/>
    <w:rsid w:val="2480F783"/>
    <w:rsid w:val="24858CD9"/>
    <w:rsid w:val="2485E207"/>
    <w:rsid w:val="24863D72"/>
    <w:rsid w:val="2487AE28"/>
    <w:rsid w:val="2489EE64"/>
    <w:rsid w:val="248A09A2"/>
    <w:rsid w:val="248AD9E0"/>
    <w:rsid w:val="248BCD4D"/>
    <w:rsid w:val="248C3F40"/>
    <w:rsid w:val="248DC0BE"/>
    <w:rsid w:val="248E0F05"/>
    <w:rsid w:val="248E309D"/>
    <w:rsid w:val="248EAAEB"/>
    <w:rsid w:val="248F7E01"/>
    <w:rsid w:val="2490ABEB"/>
    <w:rsid w:val="2490C6BB"/>
    <w:rsid w:val="2490EE64"/>
    <w:rsid w:val="24934DFB"/>
    <w:rsid w:val="24947037"/>
    <w:rsid w:val="2494CD7E"/>
    <w:rsid w:val="249593C0"/>
    <w:rsid w:val="249601B7"/>
    <w:rsid w:val="2497DD5A"/>
    <w:rsid w:val="249922E6"/>
    <w:rsid w:val="249963CE"/>
    <w:rsid w:val="249C818D"/>
    <w:rsid w:val="249CC4F9"/>
    <w:rsid w:val="249DB083"/>
    <w:rsid w:val="249F2510"/>
    <w:rsid w:val="249FE5F7"/>
    <w:rsid w:val="24A00D48"/>
    <w:rsid w:val="24A3FB4D"/>
    <w:rsid w:val="24A506BC"/>
    <w:rsid w:val="24A704AF"/>
    <w:rsid w:val="24A71FC0"/>
    <w:rsid w:val="24A97283"/>
    <w:rsid w:val="24AA0F5C"/>
    <w:rsid w:val="24AA418F"/>
    <w:rsid w:val="24AA6524"/>
    <w:rsid w:val="24ABFB76"/>
    <w:rsid w:val="24AD9DB0"/>
    <w:rsid w:val="24AE192F"/>
    <w:rsid w:val="24B045F5"/>
    <w:rsid w:val="24B21A5E"/>
    <w:rsid w:val="24B3CC7A"/>
    <w:rsid w:val="24B55B55"/>
    <w:rsid w:val="24B9D963"/>
    <w:rsid w:val="24BD1EC8"/>
    <w:rsid w:val="24BD226E"/>
    <w:rsid w:val="24BDF193"/>
    <w:rsid w:val="24BFC2E2"/>
    <w:rsid w:val="24BFC6C0"/>
    <w:rsid w:val="24C0050A"/>
    <w:rsid w:val="24C1B9CF"/>
    <w:rsid w:val="24C1F0A5"/>
    <w:rsid w:val="24C3B368"/>
    <w:rsid w:val="24C50FB5"/>
    <w:rsid w:val="24C558CA"/>
    <w:rsid w:val="24C615ED"/>
    <w:rsid w:val="24C71BBD"/>
    <w:rsid w:val="24CA62CB"/>
    <w:rsid w:val="24CB281E"/>
    <w:rsid w:val="24CC21A8"/>
    <w:rsid w:val="24CCEFF5"/>
    <w:rsid w:val="24CCF464"/>
    <w:rsid w:val="24CD4C08"/>
    <w:rsid w:val="24CD55BD"/>
    <w:rsid w:val="24CE4C16"/>
    <w:rsid w:val="24CE8E2C"/>
    <w:rsid w:val="24CE94B3"/>
    <w:rsid w:val="24CEB5BD"/>
    <w:rsid w:val="24CF16AF"/>
    <w:rsid w:val="24CFF4F9"/>
    <w:rsid w:val="24D133C9"/>
    <w:rsid w:val="24D189CE"/>
    <w:rsid w:val="24D20D10"/>
    <w:rsid w:val="24D2A04F"/>
    <w:rsid w:val="24D3D07D"/>
    <w:rsid w:val="24D41A8E"/>
    <w:rsid w:val="24D425EF"/>
    <w:rsid w:val="24D4C708"/>
    <w:rsid w:val="24D4D8A7"/>
    <w:rsid w:val="24D5289F"/>
    <w:rsid w:val="24D57831"/>
    <w:rsid w:val="24D5A7A7"/>
    <w:rsid w:val="24D5D453"/>
    <w:rsid w:val="24D7E719"/>
    <w:rsid w:val="24D88230"/>
    <w:rsid w:val="24D8F8E9"/>
    <w:rsid w:val="24D9813A"/>
    <w:rsid w:val="24DA6285"/>
    <w:rsid w:val="24DA637B"/>
    <w:rsid w:val="24DADEAD"/>
    <w:rsid w:val="24DB3DBA"/>
    <w:rsid w:val="24DC1481"/>
    <w:rsid w:val="24DC5017"/>
    <w:rsid w:val="24DD0608"/>
    <w:rsid w:val="24DEE689"/>
    <w:rsid w:val="24DEE79D"/>
    <w:rsid w:val="24DF1D80"/>
    <w:rsid w:val="24DF97C3"/>
    <w:rsid w:val="24E0F89F"/>
    <w:rsid w:val="24E157B8"/>
    <w:rsid w:val="24E1E5B0"/>
    <w:rsid w:val="24E26DAA"/>
    <w:rsid w:val="24E677E1"/>
    <w:rsid w:val="24E85E28"/>
    <w:rsid w:val="24E8B190"/>
    <w:rsid w:val="24E96C3B"/>
    <w:rsid w:val="24E9CE5E"/>
    <w:rsid w:val="24EB0860"/>
    <w:rsid w:val="24ECEE22"/>
    <w:rsid w:val="24EF7EBB"/>
    <w:rsid w:val="24EFA48D"/>
    <w:rsid w:val="24EFF2F4"/>
    <w:rsid w:val="24F0699E"/>
    <w:rsid w:val="24F08477"/>
    <w:rsid w:val="24F1F50B"/>
    <w:rsid w:val="24F27FE3"/>
    <w:rsid w:val="24F2A1C1"/>
    <w:rsid w:val="24F35CF9"/>
    <w:rsid w:val="24F3D4D2"/>
    <w:rsid w:val="24F59E10"/>
    <w:rsid w:val="24F737ED"/>
    <w:rsid w:val="24F82445"/>
    <w:rsid w:val="24F83E31"/>
    <w:rsid w:val="24F8957B"/>
    <w:rsid w:val="24F93FC2"/>
    <w:rsid w:val="24FC1E4D"/>
    <w:rsid w:val="24FC1FB5"/>
    <w:rsid w:val="24FCBA64"/>
    <w:rsid w:val="24FD51FC"/>
    <w:rsid w:val="24FE15B4"/>
    <w:rsid w:val="24FE6D9F"/>
    <w:rsid w:val="24FEC5CF"/>
    <w:rsid w:val="24FEE3FB"/>
    <w:rsid w:val="24FF273B"/>
    <w:rsid w:val="24FF5C64"/>
    <w:rsid w:val="25012303"/>
    <w:rsid w:val="25014054"/>
    <w:rsid w:val="2502B5B8"/>
    <w:rsid w:val="2502FADD"/>
    <w:rsid w:val="2503DCC8"/>
    <w:rsid w:val="25043965"/>
    <w:rsid w:val="250454D3"/>
    <w:rsid w:val="25050125"/>
    <w:rsid w:val="250566AF"/>
    <w:rsid w:val="2507B7F4"/>
    <w:rsid w:val="25088CCC"/>
    <w:rsid w:val="250BEB0C"/>
    <w:rsid w:val="250C4560"/>
    <w:rsid w:val="250C9DEC"/>
    <w:rsid w:val="250D7EC0"/>
    <w:rsid w:val="250E3FD3"/>
    <w:rsid w:val="251054E6"/>
    <w:rsid w:val="25119BD4"/>
    <w:rsid w:val="2513C2DF"/>
    <w:rsid w:val="2513F098"/>
    <w:rsid w:val="2514B156"/>
    <w:rsid w:val="2515521B"/>
    <w:rsid w:val="251736E4"/>
    <w:rsid w:val="25184A77"/>
    <w:rsid w:val="25190FA1"/>
    <w:rsid w:val="251B0409"/>
    <w:rsid w:val="251C193C"/>
    <w:rsid w:val="251C6B3E"/>
    <w:rsid w:val="251CB49C"/>
    <w:rsid w:val="251EB0B9"/>
    <w:rsid w:val="251EEBF4"/>
    <w:rsid w:val="2521FAC8"/>
    <w:rsid w:val="25247613"/>
    <w:rsid w:val="2525561F"/>
    <w:rsid w:val="25261C19"/>
    <w:rsid w:val="25272511"/>
    <w:rsid w:val="25277350"/>
    <w:rsid w:val="2527945A"/>
    <w:rsid w:val="25292F96"/>
    <w:rsid w:val="252B4ADE"/>
    <w:rsid w:val="252C207E"/>
    <w:rsid w:val="252D521D"/>
    <w:rsid w:val="252DCE4B"/>
    <w:rsid w:val="252E2D03"/>
    <w:rsid w:val="253062D3"/>
    <w:rsid w:val="25311C86"/>
    <w:rsid w:val="253159AF"/>
    <w:rsid w:val="253282E5"/>
    <w:rsid w:val="253486E8"/>
    <w:rsid w:val="2534C313"/>
    <w:rsid w:val="2535E52E"/>
    <w:rsid w:val="2535F899"/>
    <w:rsid w:val="25369C2E"/>
    <w:rsid w:val="2536DD27"/>
    <w:rsid w:val="2536E922"/>
    <w:rsid w:val="2536FFFF"/>
    <w:rsid w:val="25372DA4"/>
    <w:rsid w:val="2539449A"/>
    <w:rsid w:val="253B7D20"/>
    <w:rsid w:val="253BB013"/>
    <w:rsid w:val="253CC7A0"/>
    <w:rsid w:val="253D7B92"/>
    <w:rsid w:val="253EB685"/>
    <w:rsid w:val="253EE791"/>
    <w:rsid w:val="253F78AC"/>
    <w:rsid w:val="25400769"/>
    <w:rsid w:val="254036A5"/>
    <w:rsid w:val="2540A603"/>
    <w:rsid w:val="2540C191"/>
    <w:rsid w:val="25423B99"/>
    <w:rsid w:val="25432B02"/>
    <w:rsid w:val="2543707E"/>
    <w:rsid w:val="25449A5D"/>
    <w:rsid w:val="254572E1"/>
    <w:rsid w:val="2545D0FC"/>
    <w:rsid w:val="25465F23"/>
    <w:rsid w:val="25476547"/>
    <w:rsid w:val="25477444"/>
    <w:rsid w:val="25479F82"/>
    <w:rsid w:val="254A19B7"/>
    <w:rsid w:val="254ACC43"/>
    <w:rsid w:val="254B49DF"/>
    <w:rsid w:val="254B4A0C"/>
    <w:rsid w:val="254B673B"/>
    <w:rsid w:val="254C9219"/>
    <w:rsid w:val="254D6C15"/>
    <w:rsid w:val="254FD412"/>
    <w:rsid w:val="2550B3E1"/>
    <w:rsid w:val="2550CD3B"/>
    <w:rsid w:val="2551DB75"/>
    <w:rsid w:val="25530F69"/>
    <w:rsid w:val="255396DC"/>
    <w:rsid w:val="25548E09"/>
    <w:rsid w:val="2554B03B"/>
    <w:rsid w:val="25565028"/>
    <w:rsid w:val="255657F6"/>
    <w:rsid w:val="25568ACE"/>
    <w:rsid w:val="255696BE"/>
    <w:rsid w:val="2559A2A0"/>
    <w:rsid w:val="2559BFF9"/>
    <w:rsid w:val="255C05FF"/>
    <w:rsid w:val="255DB681"/>
    <w:rsid w:val="255E7E6E"/>
    <w:rsid w:val="255F654D"/>
    <w:rsid w:val="255F8861"/>
    <w:rsid w:val="255FE69C"/>
    <w:rsid w:val="255FF467"/>
    <w:rsid w:val="2560BA8D"/>
    <w:rsid w:val="2560FBFE"/>
    <w:rsid w:val="2562341B"/>
    <w:rsid w:val="25635095"/>
    <w:rsid w:val="256421C2"/>
    <w:rsid w:val="256477D3"/>
    <w:rsid w:val="25650BA4"/>
    <w:rsid w:val="2565634A"/>
    <w:rsid w:val="2565EC90"/>
    <w:rsid w:val="25663431"/>
    <w:rsid w:val="2566C977"/>
    <w:rsid w:val="2567AF33"/>
    <w:rsid w:val="2567E9DC"/>
    <w:rsid w:val="25688480"/>
    <w:rsid w:val="25694CD1"/>
    <w:rsid w:val="256DC567"/>
    <w:rsid w:val="256DFA25"/>
    <w:rsid w:val="256E3377"/>
    <w:rsid w:val="256FF493"/>
    <w:rsid w:val="25705560"/>
    <w:rsid w:val="2571523A"/>
    <w:rsid w:val="2571FDDF"/>
    <w:rsid w:val="25730FC4"/>
    <w:rsid w:val="25736308"/>
    <w:rsid w:val="2575B27B"/>
    <w:rsid w:val="257642EB"/>
    <w:rsid w:val="25766F2C"/>
    <w:rsid w:val="2577D918"/>
    <w:rsid w:val="25787619"/>
    <w:rsid w:val="2579EE7B"/>
    <w:rsid w:val="257A623F"/>
    <w:rsid w:val="257A981A"/>
    <w:rsid w:val="257B1A68"/>
    <w:rsid w:val="257B6FE4"/>
    <w:rsid w:val="257BEC66"/>
    <w:rsid w:val="257C4896"/>
    <w:rsid w:val="257CAAB0"/>
    <w:rsid w:val="257D7B3F"/>
    <w:rsid w:val="257F986E"/>
    <w:rsid w:val="25802948"/>
    <w:rsid w:val="25806479"/>
    <w:rsid w:val="2580F029"/>
    <w:rsid w:val="2581C9DD"/>
    <w:rsid w:val="25846F41"/>
    <w:rsid w:val="258633E9"/>
    <w:rsid w:val="258677DE"/>
    <w:rsid w:val="2586CD7B"/>
    <w:rsid w:val="2587CCB6"/>
    <w:rsid w:val="2587D7A8"/>
    <w:rsid w:val="2587E597"/>
    <w:rsid w:val="25885C4E"/>
    <w:rsid w:val="2588D546"/>
    <w:rsid w:val="25893D20"/>
    <w:rsid w:val="2589528D"/>
    <w:rsid w:val="258E0424"/>
    <w:rsid w:val="258F0F66"/>
    <w:rsid w:val="25908BAF"/>
    <w:rsid w:val="2590A239"/>
    <w:rsid w:val="25913D85"/>
    <w:rsid w:val="2591B2D5"/>
    <w:rsid w:val="2591BBDF"/>
    <w:rsid w:val="2591D084"/>
    <w:rsid w:val="25934CC5"/>
    <w:rsid w:val="2594DDF0"/>
    <w:rsid w:val="2595007E"/>
    <w:rsid w:val="2595A314"/>
    <w:rsid w:val="25969EF5"/>
    <w:rsid w:val="2596ED49"/>
    <w:rsid w:val="2597408A"/>
    <w:rsid w:val="2599CD02"/>
    <w:rsid w:val="259B2C3B"/>
    <w:rsid w:val="259E2836"/>
    <w:rsid w:val="259E5C34"/>
    <w:rsid w:val="259E665E"/>
    <w:rsid w:val="259E6C39"/>
    <w:rsid w:val="25A1004D"/>
    <w:rsid w:val="25A18B4E"/>
    <w:rsid w:val="25A1ECCB"/>
    <w:rsid w:val="25A5E3CA"/>
    <w:rsid w:val="25A73DFC"/>
    <w:rsid w:val="25A7B2C0"/>
    <w:rsid w:val="25A7DE78"/>
    <w:rsid w:val="25A8B27B"/>
    <w:rsid w:val="25AAA687"/>
    <w:rsid w:val="25AB43BD"/>
    <w:rsid w:val="25AB479E"/>
    <w:rsid w:val="25AD174E"/>
    <w:rsid w:val="25ADBD38"/>
    <w:rsid w:val="25AFCBA1"/>
    <w:rsid w:val="25AFD08B"/>
    <w:rsid w:val="25B1DB63"/>
    <w:rsid w:val="25B22A4D"/>
    <w:rsid w:val="25B26F9A"/>
    <w:rsid w:val="25B3B683"/>
    <w:rsid w:val="25B3E592"/>
    <w:rsid w:val="25B52416"/>
    <w:rsid w:val="25B80F70"/>
    <w:rsid w:val="25B8B10E"/>
    <w:rsid w:val="25B9EC3C"/>
    <w:rsid w:val="25BA11AC"/>
    <w:rsid w:val="25BB34F6"/>
    <w:rsid w:val="25BCE4C0"/>
    <w:rsid w:val="25BDD9C8"/>
    <w:rsid w:val="25BF0AE2"/>
    <w:rsid w:val="25BF49B8"/>
    <w:rsid w:val="25C14A4E"/>
    <w:rsid w:val="25C1527B"/>
    <w:rsid w:val="25C223E5"/>
    <w:rsid w:val="25C2A809"/>
    <w:rsid w:val="25C37ED4"/>
    <w:rsid w:val="25C4BA9C"/>
    <w:rsid w:val="25C522D9"/>
    <w:rsid w:val="25C53923"/>
    <w:rsid w:val="25C57D91"/>
    <w:rsid w:val="25C62D8A"/>
    <w:rsid w:val="25C7F8C3"/>
    <w:rsid w:val="25C82624"/>
    <w:rsid w:val="25C8D501"/>
    <w:rsid w:val="25CD0B07"/>
    <w:rsid w:val="25CDFFF9"/>
    <w:rsid w:val="25CEF75D"/>
    <w:rsid w:val="25CF34A3"/>
    <w:rsid w:val="25D03EEC"/>
    <w:rsid w:val="25D13A96"/>
    <w:rsid w:val="25D223AA"/>
    <w:rsid w:val="25D2F9F8"/>
    <w:rsid w:val="25D358B1"/>
    <w:rsid w:val="25D3F63E"/>
    <w:rsid w:val="25D45F04"/>
    <w:rsid w:val="25D4F7DC"/>
    <w:rsid w:val="25D54F34"/>
    <w:rsid w:val="25D6D30D"/>
    <w:rsid w:val="25D72733"/>
    <w:rsid w:val="25D7A918"/>
    <w:rsid w:val="25D8CBFA"/>
    <w:rsid w:val="25D9A2F0"/>
    <w:rsid w:val="25DBFA8C"/>
    <w:rsid w:val="25DCDCF0"/>
    <w:rsid w:val="25DF589A"/>
    <w:rsid w:val="25DF73CB"/>
    <w:rsid w:val="25DF92BC"/>
    <w:rsid w:val="25E06BD0"/>
    <w:rsid w:val="25E0C294"/>
    <w:rsid w:val="25E2D4C3"/>
    <w:rsid w:val="25E430AD"/>
    <w:rsid w:val="25E5B2C8"/>
    <w:rsid w:val="25E92169"/>
    <w:rsid w:val="25E9F242"/>
    <w:rsid w:val="25EA22B9"/>
    <w:rsid w:val="25EA4570"/>
    <w:rsid w:val="25EAE320"/>
    <w:rsid w:val="25EBE160"/>
    <w:rsid w:val="25EC0195"/>
    <w:rsid w:val="25ED056B"/>
    <w:rsid w:val="25EDBD65"/>
    <w:rsid w:val="25EDC643"/>
    <w:rsid w:val="25EEC1D7"/>
    <w:rsid w:val="25EF956A"/>
    <w:rsid w:val="25F18B5A"/>
    <w:rsid w:val="25F23626"/>
    <w:rsid w:val="25F2E827"/>
    <w:rsid w:val="25F45191"/>
    <w:rsid w:val="25F4CFE2"/>
    <w:rsid w:val="25F514B1"/>
    <w:rsid w:val="25F5253B"/>
    <w:rsid w:val="25F5A55D"/>
    <w:rsid w:val="25F5F4BC"/>
    <w:rsid w:val="25F63B2E"/>
    <w:rsid w:val="25F656F6"/>
    <w:rsid w:val="25F687B1"/>
    <w:rsid w:val="25F84A93"/>
    <w:rsid w:val="25F91698"/>
    <w:rsid w:val="25F99B3A"/>
    <w:rsid w:val="25FA413A"/>
    <w:rsid w:val="25FB13E9"/>
    <w:rsid w:val="25FB2C83"/>
    <w:rsid w:val="25FB4A0E"/>
    <w:rsid w:val="25FC4FBC"/>
    <w:rsid w:val="25FD592D"/>
    <w:rsid w:val="25FE9258"/>
    <w:rsid w:val="25FF9D44"/>
    <w:rsid w:val="2600143E"/>
    <w:rsid w:val="26003411"/>
    <w:rsid w:val="2601455C"/>
    <w:rsid w:val="260160B6"/>
    <w:rsid w:val="26018967"/>
    <w:rsid w:val="260189B4"/>
    <w:rsid w:val="2602CD63"/>
    <w:rsid w:val="26045F0F"/>
    <w:rsid w:val="26054B80"/>
    <w:rsid w:val="2605BB63"/>
    <w:rsid w:val="26080C85"/>
    <w:rsid w:val="260859CE"/>
    <w:rsid w:val="2608B973"/>
    <w:rsid w:val="2609447E"/>
    <w:rsid w:val="2609BE4C"/>
    <w:rsid w:val="2609C483"/>
    <w:rsid w:val="2609C823"/>
    <w:rsid w:val="260AB155"/>
    <w:rsid w:val="260ABCF6"/>
    <w:rsid w:val="260B288D"/>
    <w:rsid w:val="260B6884"/>
    <w:rsid w:val="260BA700"/>
    <w:rsid w:val="260C06C9"/>
    <w:rsid w:val="260DAAFE"/>
    <w:rsid w:val="260EF806"/>
    <w:rsid w:val="260F891B"/>
    <w:rsid w:val="260FEE22"/>
    <w:rsid w:val="26111896"/>
    <w:rsid w:val="2613852B"/>
    <w:rsid w:val="2615E755"/>
    <w:rsid w:val="261615C6"/>
    <w:rsid w:val="261682B8"/>
    <w:rsid w:val="261837A3"/>
    <w:rsid w:val="26183F0A"/>
    <w:rsid w:val="261AAA83"/>
    <w:rsid w:val="261C02EE"/>
    <w:rsid w:val="261C9CD3"/>
    <w:rsid w:val="261D13C2"/>
    <w:rsid w:val="261DC457"/>
    <w:rsid w:val="261F90CF"/>
    <w:rsid w:val="261FC215"/>
    <w:rsid w:val="26202D8E"/>
    <w:rsid w:val="26229B7F"/>
    <w:rsid w:val="2622E341"/>
    <w:rsid w:val="2623211A"/>
    <w:rsid w:val="2624ADCA"/>
    <w:rsid w:val="262571DD"/>
    <w:rsid w:val="2626DBBF"/>
    <w:rsid w:val="26271610"/>
    <w:rsid w:val="26276BAC"/>
    <w:rsid w:val="2628ADA6"/>
    <w:rsid w:val="26299662"/>
    <w:rsid w:val="262C689E"/>
    <w:rsid w:val="262D0E15"/>
    <w:rsid w:val="262D654A"/>
    <w:rsid w:val="262E2EF1"/>
    <w:rsid w:val="262EB131"/>
    <w:rsid w:val="262F6BD9"/>
    <w:rsid w:val="2630A88C"/>
    <w:rsid w:val="26322088"/>
    <w:rsid w:val="2633747F"/>
    <w:rsid w:val="26341723"/>
    <w:rsid w:val="2634C917"/>
    <w:rsid w:val="26352980"/>
    <w:rsid w:val="2635A026"/>
    <w:rsid w:val="26373E71"/>
    <w:rsid w:val="2638A17C"/>
    <w:rsid w:val="263940F5"/>
    <w:rsid w:val="2639785F"/>
    <w:rsid w:val="263C744F"/>
    <w:rsid w:val="263CFDC6"/>
    <w:rsid w:val="263D72F4"/>
    <w:rsid w:val="263E0874"/>
    <w:rsid w:val="263E4061"/>
    <w:rsid w:val="263E7D2C"/>
    <w:rsid w:val="2640F036"/>
    <w:rsid w:val="2641EEB7"/>
    <w:rsid w:val="26448223"/>
    <w:rsid w:val="26463FE5"/>
    <w:rsid w:val="26466A7C"/>
    <w:rsid w:val="2646A031"/>
    <w:rsid w:val="26479713"/>
    <w:rsid w:val="2647E138"/>
    <w:rsid w:val="26481F83"/>
    <w:rsid w:val="26495C89"/>
    <w:rsid w:val="264B095C"/>
    <w:rsid w:val="264D15F9"/>
    <w:rsid w:val="264E815A"/>
    <w:rsid w:val="264EFA7E"/>
    <w:rsid w:val="264F368E"/>
    <w:rsid w:val="264F4C16"/>
    <w:rsid w:val="26500D60"/>
    <w:rsid w:val="2652C00B"/>
    <w:rsid w:val="2656875A"/>
    <w:rsid w:val="265B7F88"/>
    <w:rsid w:val="265D13BE"/>
    <w:rsid w:val="265D8C9C"/>
    <w:rsid w:val="265FECA0"/>
    <w:rsid w:val="26602FF7"/>
    <w:rsid w:val="26612D29"/>
    <w:rsid w:val="2661DDEB"/>
    <w:rsid w:val="26621F9F"/>
    <w:rsid w:val="26630682"/>
    <w:rsid w:val="266453D1"/>
    <w:rsid w:val="2665997B"/>
    <w:rsid w:val="2665DDEB"/>
    <w:rsid w:val="2666E380"/>
    <w:rsid w:val="2667B0B1"/>
    <w:rsid w:val="2667BA96"/>
    <w:rsid w:val="2667E168"/>
    <w:rsid w:val="266A62BF"/>
    <w:rsid w:val="266AB9C8"/>
    <w:rsid w:val="266B316E"/>
    <w:rsid w:val="266BB44A"/>
    <w:rsid w:val="266CEE29"/>
    <w:rsid w:val="266FDCE5"/>
    <w:rsid w:val="26701CA1"/>
    <w:rsid w:val="267037EE"/>
    <w:rsid w:val="26743919"/>
    <w:rsid w:val="26743986"/>
    <w:rsid w:val="26750296"/>
    <w:rsid w:val="2675E262"/>
    <w:rsid w:val="2676AC3F"/>
    <w:rsid w:val="26796A2F"/>
    <w:rsid w:val="2679D1A4"/>
    <w:rsid w:val="267C7A11"/>
    <w:rsid w:val="267D57E2"/>
    <w:rsid w:val="267D8F1E"/>
    <w:rsid w:val="267E3B68"/>
    <w:rsid w:val="26822EB2"/>
    <w:rsid w:val="2682494F"/>
    <w:rsid w:val="26841086"/>
    <w:rsid w:val="26849182"/>
    <w:rsid w:val="2685E7ED"/>
    <w:rsid w:val="2688DECF"/>
    <w:rsid w:val="2688ECC0"/>
    <w:rsid w:val="26892CA0"/>
    <w:rsid w:val="268A206D"/>
    <w:rsid w:val="268BDB53"/>
    <w:rsid w:val="268DE33E"/>
    <w:rsid w:val="268FE039"/>
    <w:rsid w:val="269223D2"/>
    <w:rsid w:val="26930BA2"/>
    <w:rsid w:val="26937D41"/>
    <w:rsid w:val="2693EEEB"/>
    <w:rsid w:val="26957E1F"/>
    <w:rsid w:val="26963B60"/>
    <w:rsid w:val="269709AC"/>
    <w:rsid w:val="269737F6"/>
    <w:rsid w:val="26976719"/>
    <w:rsid w:val="2698CCC7"/>
    <w:rsid w:val="269A5A31"/>
    <w:rsid w:val="269BB59E"/>
    <w:rsid w:val="269DDF84"/>
    <w:rsid w:val="26A2CBB3"/>
    <w:rsid w:val="26A2CEB9"/>
    <w:rsid w:val="26A494B4"/>
    <w:rsid w:val="26A4F461"/>
    <w:rsid w:val="26A4F9DF"/>
    <w:rsid w:val="26A7DA47"/>
    <w:rsid w:val="26A80330"/>
    <w:rsid w:val="26A82A2E"/>
    <w:rsid w:val="26A84D76"/>
    <w:rsid w:val="26A9072C"/>
    <w:rsid w:val="26AA0D63"/>
    <w:rsid w:val="26AA5EB8"/>
    <w:rsid w:val="26AAA098"/>
    <w:rsid w:val="26AB5E43"/>
    <w:rsid w:val="26AEE063"/>
    <w:rsid w:val="26B0883F"/>
    <w:rsid w:val="26B1EEE3"/>
    <w:rsid w:val="26B2C78B"/>
    <w:rsid w:val="26B48A17"/>
    <w:rsid w:val="26B51562"/>
    <w:rsid w:val="26B5C7A5"/>
    <w:rsid w:val="26B6D23E"/>
    <w:rsid w:val="26B70FAD"/>
    <w:rsid w:val="26B77088"/>
    <w:rsid w:val="26B785A4"/>
    <w:rsid w:val="26B8ED4F"/>
    <w:rsid w:val="26B94D7F"/>
    <w:rsid w:val="26B94FFF"/>
    <w:rsid w:val="26B9A238"/>
    <w:rsid w:val="26B9FC8D"/>
    <w:rsid w:val="26BA7A06"/>
    <w:rsid w:val="26BB2C4A"/>
    <w:rsid w:val="26BE5725"/>
    <w:rsid w:val="26BF8B80"/>
    <w:rsid w:val="26C17FE8"/>
    <w:rsid w:val="26C39C68"/>
    <w:rsid w:val="26C48DBD"/>
    <w:rsid w:val="26C4CAF2"/>
    <w:rsid w:val="26C578AC"/>
    <w:rsid w:val="26C5DF97"/>
    <w:rsid w:val="26C6095A"/>
    <w:rsid w:val="26C689E5"/>
    <w:rsid w:val="26C7EADE"/>
    <w:rsid w:val="26C8F603"/>
    <w:rsid w:val="26C9691C"/>
    <w:rsid w:val="26C978D0"/>
    <w:rsid w:val="26C9E9E5"/>
    <w:rsid w:val="26C9F0D5"/>
    <w:rsid w:val="26CA34B7"/>
    <w:rsid w:val="26CB3CC0"/>
    <w:rsid w:val="26CB910C"/>
    <w:rsid w:val="26CC7D08"/>
    <w:rsid w:val="26CDE105"/>
    <w:rsid w:val="26CF4347"/>
    <w:rsid w:val="26CF9EF7"/>
    <w:rsid w:val="26D00738"/>
    <w:rsid w:val="26D08C16"/>
    <w:rsid w:val="26D0EC33"/>
    <w:rsid w:val="26D25AB8"/>
    <w:rsid w:val="26D37110"/>
    <w:rsid w:val="26D3DA98"/>
    <w:rsid w:val="26D3FB36"/>
    <w:rsid w:val="26D4B858"/>
    <w:rsid w:val="26D5209E"/>
    <w:rsid w:val="26D604B6"/>
    <w:rsid w:val="26D6686F"/>
    <w:rsid w:val="26D6ED21"/>
    <w:rsid w:val="26D7E9C3"/>
    <w:rsid w:val="26D83BDF"/>
    <w:rsid w:val="26D8CD8A"/>
    <w:rsid w:val="26D9B900"/>
    <w:rsid w:val="26D9D23F"/>
    <w:rsid w:val="26D9E2F9"/>
    <w:rsid w:val="26DB1774"/>
    <w:rsid w:val="26DBA673"/>
    <w:rsid w:val="26DC06EB"/>
    <w:rsid w:val="26DCE18D"/>
    <w:rsid w:val="26DD8A06"/>
    <w:rsid w:val="26DD8B73"/>
    <w:rsid w:val="26DFF5D1"/>
    <w:rsid w:val="26E294D0"/>
    <w:rsid w:val="26E42F7E"/>
    <w:rsid w:val="26E4347D"/>
    <w:rsid w:val="26EAA201"/>
    <w:rsid w:val="26EBB8F7"/>
    <w:rsid w:val="26ECF983"/>
    <w:rsid w:val="26ED3EC1"/>
    <w:rsid w:val="26EEB910"/>
    <w:rsid w:val="26EFFAEB"/>
    <w:rsid w:val="26F08939"/>
    <w:rsid w:val="26F0B64E"/>
    <w:rsid w:val="26F19913"/>
    <w:rsid w:val="26F1C0A9"/>
    <w:rsid w:val="26F22364"/>
    <w:rsid w:val="26F352C7"/>
    <w:rsid w:val="26F4C09B"/>
    <w:rsid w:val="26F7F957"/>
    <w:rsid w:val="26F88786"/>
    <w:rsid w:val="26F8D1BD"/>
    <w:rsid w:val="26FA09BD"/>
    <w:rsid w:val="26FA3464"/>
    <w:rsid w:val="26FABD47"/>
    <w:rsid w:val="26FB05D1"/>
    <w:rsid w:val="26FB1516"/>
    <w:rsid w:val="26FB2A16"/>
    <w:rsid w:val="26FB4C1E"/>
    <w:rsid w:val="26FBD8AB"/>
    <w:rsid w:val="26FCF465"/>
    <w:rsid w:val="26FF2741"/>
    <w:rsid w:val="26FFEACD"/>
    <w:rsid w:val="270083D9"/>
    <w:rsid w:val="2700EB19"/>
    <w:rsid w:val="27010588"/>
    <w:rsid w:val="2701BEB6"/>
    <w:rsid w:val="2701C51C"/>
    <w:rsid w:val="2701E3AF"/>
    <w:rsid w:val="270345CE"/>
    <w:rsid w:val="27040D46"/>
    <w:rsid w:val="2706D18E"/>
    <w:rsid w:val="27077607"/>
    <w:rsid w:val="2708DB62"/>
    <w:rsid w:val="270949BB"/>
    <w:rsid w:val="270AF1E3"/>
    <w:rsid w:val="270B5DB3"/>
    <w:rsid w:val="270BD75E"/>
    <w:rsid w:val="270C40A5"/>
    <w:rsid w:val="270CCB6D"/>
    <w:rsid w:val="270D0B1B"/>
    <w:rsid w:val="270D0DD0"/>
    <w:rsid w:val="270D8BBA"/>
    <w:rsid w:val="270E8C1E"/>
    <w:rsid w:val="270EBC65"/>
    <w:rsid w:val="270F6102"/>
    <w:rsid w:val="27110B34"/>
    <w:rsid w:val="2712C07E"/>
    <w:rsid w:val="271309DF"/>
    <w:rsid w:val="2713F19C"/>
    <w:rsid w:val="27147AD2"/>
    <w:rsid w:val="2715598A"/>
    <w:rsid w:val="2715C461"/>
    <w:rsid w:val="2715F10B"/>
    <w:rsid w:val="271687DA"/>
    <w:rsid w:val="2716BCEB"/>
    <w:rsid w:val="27184D86"/>
    <w:rsid w:val="271C1F83"/>
    <w:rsid w:val="271C2806"/>
    <w:rsid w:val="271C8A03"/>
    <w:rsid w:val="271D024E"/>
    <w:rsid w:val="271D381E"/>
    <w:rsid w:val="271E0312"/>
    <w:rsid w:val="271FE434"/>
    <w:rsid w:val="27207FE5"/>
    <w:rsid w:val="2720D459"/>
    <w:rsid w:val="272139C4"/>
    <w:rsid w:val="2721BC4C"/>
    <w:rsid w:val="2721CA4F"/>
    <w:rsid w:val="27223565"/>
    <w:rsid w:val="27239188"/>
    <w:rsid w:val="27252068"/>
    <w:rsid w:val="2726D9FF"/>
    <w:rsid w:val="2727FFD0"/>
    <w:rsid w:val="2728B207"/>
    <w:rsid w:val="27293B46"/>
    <w:rsid w:val="27297A30"/>
    <w:rsid w:val="2729E14F"/>
    <w:rsid w:val="272AD826"/>
    <w:rsid w:val="272B2B8A"/>
    <w:rsid w:val="272C66BE"/>
    <w:rsid w:val="272CCA3F"/>
    <w:rsid w:val="272D713B"/>
    <w:rsid w:val="272E3ECA"/>
    <w:rsid w:val="272EC3BE"/>
    <w:rsid w:val="273034AF"/>
    <w:rsid w:val="2731C9F6"/>
    <w:rsid w:val="27320061"/>
    <w:rsid w:val="2732B36A"/>
    <w:rsid w:val="27348726"/>
    <w:rsid w:val="2735EFFC"/>
    <w:rsid w:val="2736117A"/>
    <w:rsid w:val="27364AA5"/>
    <w:rsid w:val="2737860A"/>
    <w:rsid w:val="27379B9C"/>
    <w:rsid w:val="27380700"/>
    <w:rsid w:val="273923CD"/>
    <w:rsid w:val="27395268"/>
    <w:rsid w:val="273CE10A"/>
    <w:rsid w:val="273CE7DE"/>
    <w:rsid w:val="273CFA6F"/>
    <w:rsid w:val="273E3CBA"/>
    <w:rsid w:val="273F8227"/>
    <w:rsid w:val="273F88C8"/>
    <w:rsid w:val="2741E99E"/>
    <w:rsid w:val="27421E51"/>
    <w:rsid w:val="2743263D"/>
    <w:rsid w:val="2743FFE3"/>
    <w:rsid w:val="2744E4AD"/>
    <w:rsid w:val="27463D01"/>
    <w:rsid w:val="27466903"/>
    <w:rsid w:val="2746B25F"/>
    <w:rsid w:val="2748D899"/>
    <w:rsid w:val="2749F0E0"/>
    <w:rsid w:val="274AE20A"/>
    <w:rsid w:val="274B18E0"/>
    <w:rsid w:val="274B6B76"/>
    <w:rsid w:val="274D515E"/>
    <w:rsid w:val="274DB50D"/>
    <w:rsid w:val="274E0D3A"/>
    <w:rsid w:val="274E364F"/>
    <w:rsid w:val="274E4393"/>
    <w:rsid w:val="274FDB42"/>
    <w:rsid w:val="2751176E"/>
    <w:rsid w:val="27518F20"/>
    <w:rsid w:val="275278A9"/>
    <w:rsid w:val="27549DC8"/>
    <w:rsid w:val="275574FA"/>
    <w:rsid w:val="2755A39B"/>
    <w:rsid w:val="2756055B"/>
    <w:rsid w:val="27565621"/>
    <w:rsid w:val="2756E2E3"/>
    <w:rsid w:val="27582511"/>
    <w:rsid w:val="2758323F"/>
    <w:rsid w:val="2758A0AB"/>
    <w:rsid w:val="27599A57"/>
    <w:rsid w:val="2759DEC7"/>
    <w:rsid w:val="275A3797"/>
    <w:rsid w:val="275B13C0"/>
    <w:rsid w:val="275B3DEE"/>
    <w:rsid w:val="275B930B"/>
    <w:rsid w:val="275BE36A"/>
    <w:rsid w:val="275C203B"/>
    <w:rsid w:val="275D0FC8"/>
    <w:rsid w:val="275DAA63"/>
    <w:rsid w:val="275DD6D8"/>
    <w:rsid w:val="275EDF77"/>
    <w:rsid w:val="275F50F2"/>
    <w:rsid w:val="275FE553"/>
    <w:rsid w:val="2761B868"/>
    <w:rsid w:val="27638FC6"/>
    <w:rsid w:val="2764A288"/>
    <w:rsid w:val="27658DE6"/>
    <w:rsid w:val="27658F85"/>
    <w:rsid w:val="2766C370"/>
    <w:rsid w:val="27673DBC"/>
    <w:rsid w:val="2767B9AC"/>
    <w:rsid w:val="276831D2"/>
    <w:rsid w:val="27683C0A"/>
    <w:rsid w:val="276A2CDC"/>
    <w:rsid w:val="276AFEE5"/>
    <w:rsid w:val="276BE68D"/>
    <w:rsid w:val="276CBE3C"/>
    <w:rsid w:val="276CFE0E"/>
    <w:rsid w:val="276D0953"/>
    <w:rsid w:val="276DA0F5"/>
    <w:rsid w:val="276DEA4B"/>
    <w:rsid w:val="2770FDBE"/>
    <w:rsid w:val="277178D7"/>
    <w:rsid w:val="2776A880"/>
    <w:rsid w:val="277758DD"/>
    <w:rsid w:val="27776CAE"/>
    <w:rsid w:val="2778738F"/>
    <w:rsid w:val="27787A5E"/>
    <w:rsid w:val="277942EF"/>
    <w:rsid w:val="277B5AAD"/>
    <w:rsid w:val="277BD21F"/>
    <w:rsid w:val="277C003E"/>
    <w:rsid w:val="277CD95B"/>
    <w:rsid w:val="277DBB06"/>
    <w:rsid w:val="277E78BE"/>
    <w:rsid w:val="27803661"/>
    <w:rsid w:val="2780870A"/>
    <w:rsid w:val="2780C165"/>
    <w:rsid w:val="2780CE26"/>
    <w:rsid w:val="2780CF24"/>
    <w:rsid w:val="27811C4E"/>
    <w:rsid w:val="27819DAF"/>
    <w:rsid w:val="2781F199"/>
    <w:rsid w:val="27827C19"/>
    <w:rsid w:val="27835D1A"/>
    <w:rsid w:val="27858F2B"/>
    <w:rsid w:val="27869144"/>
    <w:rsid w:val="2786B63B"/>
    <w:rsid w:val="2787E110"/>
    <w:rsid w:val="2788903B"/>
    <w:rsid w:val="278893AB"/>
    <w:rsid w:val="2788A6BF"/>
    <w:rsid w:val="278CEBA8"/>
    <w:rsid w:val="278D5652"/>
    <w:rsid w:val="278E4117"/>
    <w:rsid w:val="278EF750"/>
    <w:rsid w:val="2790C41A"/>
    <w:rsid w:val="27932848"/>
    <w:rsid w:val="27937E58"/>
    <w:rsid w:val="2793A6DE"/>
    <w:rsid w:val="2793E2DA"/>
    <w:rsid w:val="27945D24"/>
    <w:rsid w:val="27948F00"/>
    <w:rsid w:val="2795DBDD"/>
    <w:rsid w:val="2796F30B"/>
    <w:rsid w:val="2797C02F"/>
    <w:rsid w:val="27989105"/>
    <w:rsid w:val="2798E668"/>
    <w:rsid w:val="2799D56B"/>
    <w:rsid w:val="279A8214"/>
    <w:rsid w:val="279BEDF1"/>
    <w:rsid w:val="279CE3E5"/>
    <w:rsid w:val="279D2759"/>
    <w:rsid w:val="27A02FF5"/>
    <w:rsid w:val="27A139C0"/>
    <w:rsid w:val="27A17BB9"/>
    <w:rsid w:val="27A1B8A3"/>
    <w:rsid w:val="27A41EB2"/>
    <w:rsid w:val="27A4EE7B"/>
    <w:rsid w:val="27A61E12"/>
    <w:rsid w:val="27A764F3"/>
    <w:rsid w:val="27A79D37"/>
    <w:rsid w:val="27A92936"/>
    <w:rsid w:val="27AA555B"/>
    <w:rsid w:val="27AA7FF9"/>
    <w:rsid w:val="27AB0364"/>
    <w:rsid w:val="27ABBE83"/>
    <w:rsid w:val="27AD6229"/>
    <w:rsid w:val="27AEEC5F"/>
    <w:rsid w:val="27AFD3B1"/>
    <w:rsid w:val="27B08FDF"/>
    <w:rsid w:val="27B16AED"/>
    <w:rsid w:val="27B1A623"/>
    <w:rsid w:val="27B1B672"/>
    <w:rsid w:val="27B2A841"/>
    <w:rsid w:val="27B2D8B7"/>
    <w:rsid w:val="27B3289D"/>
    <w:rsid w:val="27B3D9C2"/>
    <w:rsid w:val="27B45852"/>
    <w:rsid w:val="27B512EB"/>
    <w:rsid w:val="27B580BE"/>
    <w:rsid w:val="27B71A62"/>
    <w:rsid w:val="27B760FB"/>
    <w:rsid w:val="27B77944"/>
    <w:rsid w:val="27B9A53C"/>
    <w:rsid w:val="27B9F9A4"/>
    <w:rsid w:val="27BAF9DC"/>
    <w:rsid w:val="27BB586E"/>
    <w:rsid w:val="27BBB272"/>
    <w:rsid w:val="27BBBC84"/>
    <w:rsid w:val="27BC3259"/>
    <w:rsid w:val="27BDB1C9"/>
    <w:rsid w:val="27BE1C81"/>
    <w:rsid w:val="27BFE42F"/>
    <w:rsid w:val="27C0488C"/>
    <w:rsid w:val="27C08205"/>
    <w:rsid w:val="27C271A9"/>
    <w:rsid w:val="27C2DCA8"/>
    <w:rsid w:val="27C39869"/>
    <w:rsid w:val="27C53438"/>
    <w:rsid w:val="27C57E18"/>
    <w:rsid w:val="27C62FB9"/>
    <w:rsid w:val="27C7BEC1"/>
    <w:rsid w:val="27C8F3A2"/>
    <w:rsid w:val="27CA9080"/>
    <w:rsid w:val="27CC431C"/>
    <w:rsid w:val="27CDD863"/>
    <w:rsid w:val="27CF8E50"/>
    <w:rsid w:val="27CF904E"/>
    <w:rsid w:val="27CF991F"/>
    <w:rsid w:val="27CF99B0"/>
    <w:rsid w:val="27D19593"/>
    <w:rsid w:val="27D2E3D0"/>
    <w:rsid w:val="27D37760"/>
    <w:rsid w:val="27D39569"/>
    <w:rsid w:val="27D44A0D"/>
    <w:rsid w:val="27D8A4DE"/>
    <w:rsid w:val="27D8CE50"/>
    <w:rsid w:val="27D8D030"/>
    <w:rsid w:val="27D91C11"/>
    <w:rsid w:val="27D97780"/>
    <w:rsid w:val="27DAA404"/>
    <w:rsid w:val="27DB2180"/>
    <w:rsid w:val="27DC6A1B"/>
    <w:rsid w:val="27DF761F"/>
    <w:rsid w:val="27DF9B55"/>
    <w:rsid w:val="27E0E1D9"/>
    <w:rsid w:val="27E3A800"/>
    <w:rsid w:val="27E3BD46"/>
    <w:rsid w:val="27E497F6"/>
    <w:rsid w:val="27E584FC"/>
    <w:rsid w:val="27E5A881"/>
    <w:rsid w:val="27E60B56"/>
    <w:rsid w:val="27E6AD89"/>
    <w:rsid w:val="27E8DCDE"/>
    <w:rsid w:val="27EA17E5"/>
    <w:rsid w:val="27EB65C7"/>
    <w:rsid w:val="27ECBF7F"/>
    <w:rsid w:val="27EDBDE5"/>
    <w:rsid w:val="27EF3476"/>
    <w:rsid w:val="27EFAC6B"/>
    <w:rsid w:val="27F08F77"/>
    <w:rsid w:val="27F2B4B1"/>
    <w:rsid w:val="27F4112D"/>
    <w:rsid w:val="27F4D11E"/>
    <w:rsid w:val="27F6C8CB"/>
    <w:rsid w:val="27F85C7B"/>
    <w:rsid w:val="27F95EF1"/>
    <w:rsid w:val="27FE8E56"/>
    <w:rsid w:val="280245A3"/>
    <w:rsid w:val="28036601"/>
    <w:rsid w:val="28051B4E"/>
    <w:rsid w:val="2805D1E9"/>
    <w:rsid w:val="2808E178"/>
    <w:rsid w:val="280A3FB8"/>
    <w:rsid w:val="280ABF93"/>
    <w:rsid w:val="280CECFA"/>
    <w:rsid w:val="280D6825"/>
    <w:rsid w:val="280E06DA"/>
    <w:rsid w:val="28105C6D"/>
    <w:rsid w:val="2810A032"/>
    <w:rsid w:val="281242AF"/>
    <w:rsid w:val="28129EDC"/>
    <w:rsid w:val="28135916"/>
    <w:rsid w:val="2813D3C1"/>
    <w:rsid w:val="2813E544"/>
    <w:rsid w:val="28161FF0"/>
    <w:rsid w:val="28179467"/>
    <w:rsid w:val="2817BC2D"/>
    <w:rsid w:val="28194ADF"/>
    <w:rsid w:val="281AE61F"/>
    <w:rsid w:val="281C5916"/>
    <w:rsid w:val="281C5A32"/>
    <w:rsid w:val="281D05A4"/>
    <w:rsid w:val="281E9C9E"/>
    <w:rsid w:val="281EC1EC"/>
    <w:rsid w:val="28210B4F"/>
    <w:rsid w:val="2821BDCF"/>
    <w:rsid w:val="28231FDF"/>
    <w:rsid w:val="282428D1"/>
    <w:rsid w:val="2825FE26"/>
    <w:rsid w:val="28267C03"/>
    <w:rsid w:val="2829A08F"/>
    <w:rsid w:val="282D1302"/>
    <w:rsid w:val="282E6346"/>
    <w:rsid w:val="282FB222"/>
    <w:rsid w:val="282FF1CD"/>
    <w:rsid w:val="28306C16"/>
    <w:rsid w:val="2831A5DB"/>
    <w:rsid w:val="28324292"/>
    <w:rsid w:val="283285C1"/>
    <w:rsid w:val="2833FE6D"/>
    <w:rsid w:val="28351123"/>
    <w:rsid w:val="283517FA"/>
    <w:rsid w:val="28356D0A"/>
    <w:rsid w:val="283609EE"/>
    <w:rsid w:val="2837B525"/>
    <w:rsid w:val="283A37A1"/>
    <w:rsid w:val="283A607E"/>
    <w:rsid w:val="283A8B89"/>
    <w:rsid w:val="283B7B6F"/>
    <w:rsid w:val="283DFDA9"/>
    <w:rsid w:val="283F109D"/>
    <w:rsid w:val="28403567"/>
    <w:rsid w:val="284276F1"/>
    <w:rsid w:val="2843DC27"/>
    <w:rsid w:val="28455C64"/>
    <w:rsid w:val="28458E34"/>
    <w:rsid w:val="2845EAFD"/>
    <w:rsid w:val="2846396A"/>
    <w:rsid w:val="2846877D"/>
    <w:rsid w:val="28481447"/>
    <w:rsid w:val="284876F2"/>
    <w:rsid w:val="284965AA"/>
    <w:rsid w:val="284A1C54"/>
    <w:rsid w:val="284B4497"/>
    <w:rsid w:val="284B951B"/>
    <w:rsid w:val="284EF94D"/>
    <w:rsid w:val="284F8D44"/>
    <w:rsid w:val="28512841"/>
    <w:rsid w:val="28516AF9"/>
    <w:rsid w:val="285210E1"/>
    <w:rsid w:val="2852F7B4"/>
    <w:rsid w:val="285310D2"/>
    <w:rsid w:val="28531B61"/>
    <w:rsid w:val="285358BC"/>
    <w:rsid w:val="28538B63"/>
    <w:rsid w:val="28549687"/>
    <w:rsid w:val="28555EFF"/>
    <w:rsid w:val="28566217"/>
    <w:rsid w:val="2856EF1F"/>
    <w:rsid w:val="285734CF"/>
    <w:rsid w:val="285988C6"/>
    <w:rsid w:val="28599F35"/>
    <w:rsid w:val="285C9C3F"/>
    <w:rsid w:val="285E56E4"/>
    <w:rsid w:val="285F6503"/>
    <w:rsid w:val="285FCF6F"/>
    <w:rsid w:val="2860F25E"/>
    <w:rsid w:val="2861A3B6"/>
    <w:rsid w:val="2861DC0A"/>
    <w:rsid w:val="28630E0E"/>
    <w:rsid w:val="2864A9E2"/>
    <w:rsid w:val="2864B58F"/>
    <w:rsid w:val="28652F00"/>
    <w:rsid w:val="28658957"/>
    <w:rsid w:val="2865E50E"/>
    <w:rsid w:val="2866EEB8"/>
    <w:rsid w:val="286B0693"/>
    <w:rsid w:val="286E7D7D"/>
    <w:rsid w:val="287147F6"/>
    <w:rsid w:val="287156F0"/>
    <w:rsid w:val="287433B9"/>
    <w:rsid w:val="287A247F"/>
    <w:rsid w:val="287A4B5F"/>
    <w:rsid w:val="287B21E0"/>
    <w:rsid w:val="287B5FEB"/>
    <w:rsid w:val="287BFA42"/>
    <w:rsid w:val="287EE4B0"/>
    <w:rsid w:val="287F08D1"/>
    <w:rsid w:val="287F1CBC"/>
    <w:rsid w:val="2880D9CB"/>
    <w:rsid w:val="28820CBF"/>
    <w:rsid w:val="28829F59"/>
    <w:rsid w:val="2882DAF4"/>
    <w:rsid w:val="28851829"/>
    <w:rsid w:val="28857E70"/>
    <w:rsid w:val="28863294"/>
    <w:rsid w:val="28865E22"/>
    <w:rsid w:val="2887A7C6"/>
    <w:rsid w:val="2887B430"/>
    <w:rsid w:val="28894E98"/>
    <w:rsid w:val="288A3F16"/>
    <w:rsid w:val="288A5F92"/>
    <w:rsid w:val="288B9ABB"/>
    <w:rsid w:val="288C3EF1"/>
    <w:rsid w:val="288CBF65"/>
    <w:rsid w:val="288DB186"/>
    <w:rsid w:val="288EC85A"/>
    <w:rsid w:val="28914972"/>
    <w:rsid w:val="28915590"/>
    <w:rsid w:val="2891A77E"/>
    <w:rsid w:val="28922C7E"/>
    <w:rsid w:val="28932F61"/>
    <w:rsid w:val="28938ED7"/>
    <w:rsid w:val="28960BAC"/>
    <w:rsid w:val="2896753F"/>
    <w:rsid w:val="2896ADE1"/>
    <w:rsid w:val="28976B1A"/>
    <w:rsid w:val="289833C0"/>
    <w:rsid w:val="289A6A66"/>
    <w:rsid w:val="289ACC47"/>
    <w:rsid w:val="289AFD88"/>
    <w:rsid w:val="289BAB92"/>
    <w:rsid w:val="289BC115"/>
    <w:rsid w:val="289C021C"/>
    <w:rsid w:val="289C04F2"/>
    <w:rsid w:val="289C71C5"/>
    <w:rsid w:val="289D8588"/>
    <w:rsid w:val="289E5A13"/>
    <w:rsid w:val="28A3528B"/>
    <w:rsid w:val="28A3DEA6"/>
    <w:rsid w:val="28A432BC"/>
    <w:rsid w:val="28A68D0B"/>
    <w:rsid w:val="28A690EA"/>
    <w:rsid w:val="28A7287B"/>
    <w:rsid w:val="28A7A58E"/>
    <w:rsid w:val="28A7B7C7"/>
    <w:rsid w:val="28A8CEAF"/>
    <w:rsid w:val="28AA35A1"/>
    <w:rsid w:val="28AABE22"/>
    <w:rsid w:val="28AAD22B"/>
    <w:rsid w:val="28ABA737"/>
    <w:rsid w:val="28ACD79A"/>
    <w:rsid w:val="28ACEC5B"/>
    <w:rsid w:val="28AD3966"/>
    <w:rsid w:val="28ADEB06"/>
    <w:rsid w:val="28AE4DC1"/>
    <w:rsid w:val="28B0A6A4"/>
    <w:rsid w:val="28B0E0BD"/>
    <w:rsid w:val="28B18918"/>
    <w:rsid w:val="28B201F0"/>
    <w:rsid w:val="28B29660"/>
    <w:rsid w:val="28B2CFCF"/>
    <w:rsid w:val="28B317C8"/>
    <w:rsid w:val="28B39E8B"/>
    <w:rsid w:val="28B410DE"/>
    <w:rsid w:val="28B46602"/>
    <w:rsid w:val="28B5C548"/>
    <w:rsid w:val="28B7A423"/>
    <w:rsid w:val="28BA017A"/>
    <w:rsid w:val="28BAB1FC"/>
    <w:rsid w:val="28BAD6DC"/>
    <w:rsid w:val="28BB76B7"/>
    <w:rsid w:val="28BD7615"/>
    <w:rsid w:val="28BDAAAD"/>
    <w:rsid w:val="28BDD03A"/>
    <w:rsid w:val="28BDF263"/>
    <w:rsid w:val="28BDF8D0"/>
    <w:rsid w:val="28BE48DF"/>
    <w:rsid w:val="28BF269B"/>
    <w:rsid w:val="28BF5077"/>
    <w:rsid w:val="28C0B3C6"/>
    <w:rsid w:val="28C0C7AE"/>
    <w:rsid w:val="28C311C7"/>
    <w:rsid w:val="28C32F9C"/>
    <w:rsid w:val="28C35511"/>
    <w:rsid w:val="28C556F0"/>
    <w:rsid w:val="28C66D8B"/>
    <w:rsid w:val="28C69437"/>
    <w:rsid w:val="28C790A7"/>
    <w:rsid w:val="28C9AA63"/>
    <w:rsid w:val="28CA594A"/>
    <w:rsid w:val="28CC723E"/>
    <w:rsid w:val="28CD464E"/>
    <w:rsid w:val="28CD4A77"/>
    <w:rsid w:val="28D16CA2"/>
    <w:rsid w:val="28D24129"/>
    <w:rsid w:val="28D33BB3"/>
    <w:rsid w:val="28D413F9"/>
    <w:rsid w:val="28D447E6"/>
    <w:rsid w:val="28D507B4"/>
    <w:rsid w:val="28D53240"/>
    <w:rsid w:val="28D5F423"/>
    <w:rsid w:val="28D63C25"/>
    <w:rsid w:val="28D7D3B1"/>
    <w:rsid w:val="28D7EEB4"/>
    <w:rsid w:val="28D87410"/>
    <w:rsid w:val="28DA54DC"/>
    <w:rsid w:val="28DB9F74"/>
    <w:rsid w:val="28DC0C06"/>
    <w:rsid w:val="28DD43B7"/>
    <w:rsid w:val="28DDB01E"/>
    <w:rsid w:val="28DE2B8E"/>
    <w:rsid w:val="28DEC8FC"/>
    <w:rsid w:val="28E1A5AA"/>
    <w:rsid w:val="28E21EBB"/>
    <w:rsid w:val="28E39AE7"/>
    <w:rsid w:val="28E51791"/>
    <w:rsid w:val="28E55E02"/>
    <w:rsid w:val="28E5C1C0"/>
    <w:rsid w:val="28E84CD7"/>
    <w:rsid w:val="28E95F66"/>
    <w:rsid w:val="28EB2B09"/>
    <w:rsid w:val="28EB4134"/>
    <w:rsid w:val="28EBC8E5"/>
    <w:rsid w:val="28EBE7AE"/>
    <w:rsid w:val="28EC6EFB"/>
    <w:rsid w:val="28EC7772"/>
    <w:rsid w:val="28EE2B0F"/>
    <w:rsid w:val="28EEC8C1"/>
    <w:rsid w:val="28EFBE2F"/>
    <w:rsid w:val="28F0016B"/>
    <w:rsid w:val="28F08C5F"/>
    <w:rsid w:val="28F0CFE0"/>
    <w:rsid w:val="28F0F3C4"/>
    <w:rsid w:val="28F1500C"/>
    <w:rsid w:val="28F18627"/>
    <w:rsid w:val="28F28529"/>
    <w:rsid w:val="28F34B72"/>
    <w:rsid w:val="28F3632D"/>
    <w:rsid w:val="28F3C4B4"/>
    <w:rsid w:val="28F53F6C"/>
    <w:rsid w:val="28F76912"/>
    <w:rsid w:val="28F8A214"/>
    <w:rsid w:val="28F92821"/>
    <w:rsid w:val="28FB900F"/>
    <w:rsid w:val="28FBA0EB"/>
    <w:rsid w:val="28FBF026"/>
    <w:rsid w:val="28FD18F5"/>
    <w:rsid w:val="28FD582F"/>
    <w:rsid w:val="28FE74AA"/>
    <w:rsid w:val="28FF1443"/>
    <w:rsid w:val="28FF6427"/>
    <w:rsid w:val="28FF731E"/>
    <w:rsid w:val="28FFA92E"/>
    <w:rsid w:val="28FFD1CF"/>
    <w:rsid w:val="29007EF0"/>
    <w:rsid w:val="2900A30B"/>
    <w:rsid w:val="29023581"/>
    <w:rsid w:val="2902FF42"/>
    <w:rsid w:val="2905F428"/>
    <w:rsid w:val="2906C57B"/>
    <w:rsid w:val="29071234"/>
    <w:rsid w:val="29073E3D"/>
    <w:rsid w:val="29074491"/>
    <w:rsid w:val="2907C675"/>
    <w:rsid w:val="2908A17F"/>
    <w:rsid w:val="2909EB46"/>
    <w:rsid w:val="290A3FE1"/>
    <w:rsid w:val="290B8632"/>
    <w:rsid w:val="290B9B83"/>
    <w:rsid w:val="290CD200"/>
    <w:rsid w:val="290DA154"/>
    <w:rsid w:val="290F1522"/>
    <w:rsid w:val="290F1F3A"/>
    <w:rsid w:val="291067B7"/>
    <w:rsid w:val="29108D79"/>
    <w:rsid w:val="29114047"/>
    <w:rsid w:val="291183FD"/>
    <w:rsid w:val="2911D38A"/>
    <w:rsid w:val="291217C6"/>
    <w:rsid w:val="29142D4E"/>
    <w:rsid w:val="29150F79"/>
    <w:rsid w:val="29158B69"/>
    <w:rsid w:val="291674BD"/>
    <w:rsid w:val="2917801F"/>
    <w:rsid w:val="291AB1DF"/>
    <w:rsid w:val="291B1F51"/>
    <w:rsid w:val="291BB546"/>
    <w:rsid w:val="291DDA1C"/>
    <w:rsid w:val="291EBF99"/>
    <w:rsid w:val="2921C01B"/>
    <w:rsid w:val="2924F676"/>
    <w:rsid w:val="29253D90"/>
    <w:rsid w:val="29268F74"/>
    <w:rsid w:val="29269F78"/>
    <w:rsid w:val="29293099"/>
    <w:rsid w:val="2929E7DD"/>
    <w:rsid w:val="2929ECB1"/>
    <w:rsid w:val="292AB569"/>
    <w:rsid w:val="292B9F5D"/>
    <w:rsid w:val="292D3D4E"/>
    <w:rsid w:val="292E03D5"/>
    <w:rsid w:val="292E5A70"/>
    <w:rsid w:val="292EB667"/>
    <w:rsid w:val="2930D689"/>
    <w:rsid w:val="2930FC7B"/>
    <w:rsid w:val="2933EC32"/>
    <w:rsid w:val="2933FE13"/>
    <w:rsid w:val="2934ABDD"/>
    <w:rsid w:val="29373209"/>
    <w:rsid w:val="2937B0FE"/>
    <w:rsid w:val="2939634E"/>
    <w:rsid w:val="2939F210"/>
    <w:rsid w:val="293BCE67"/>
    <w:rsid w:val="293CCB63"/>
    <w:rsid w:val="293DF56D"/>
    <w:rsid w:val="293FB478"/>
    <w:rsid w:val="2942B6AB"/>
    <w:rsid w:val="2942D1BE"/>
    <w:rsid w:val="29437727"/>
    <w:rsid w:val="29453B76"/>
    <w:rsid w:val="29466F87"/>
    <w:rsid w:val="29469824"/>
    <w:rsid w:val="294918CC"/>
    <w:rsid w:val="294B31E3"/>
    <w:rsid w:val="294B3333"/>
    <w:rsid w:val="294B3943"/>
    <w:rsid w:val="294B6292"/>
    <w:rsid w:val="294C26AF"/>
    <w:rsid w:val="294CA272"/>
    <w:rsid w:val="294D643F"/>
    <w:rsid w:val="294FABFF"/>
    <w:rsid w:val="294FCCD9"/>
    <w:rsid w:val="29508FCE"/>
    <w:rsid w:val="2950E576"/>
    <w:rsid w:val="2952A474"/>
    <w:rsid w:val="29555EB3"/>
    <w:rsid w:val="2955A4E8"/>
    <w:rsid w:val="295A7D6E"/>
    <w:rsid w:val="295AB1E2"/>
    <w:rsid w:val="295AB8AA"/>
    <w:rsid w:val="295AE814"/>
    <w:rsid w:val="295AF3B5"/>
    <w:rsid w:val="295BC109"/>
    <w:rsid w:val="295C76DA"/>
    <w:rsid w:val="295ED4D2"/>
    <w:rsid w:val="295F901B"/>
    <w:rsid w:val="295FCD59"/>
    <w:rsid w:val="29604940"/>
    <w:rsid w:val="296231F0"/>
    <w:rsid w:val="2962DEB4"/>
    <w:rsid w:val="2963925B"/>
    <w:rsid w:val="2964BC98"/>
    <w:rsid w:val="2965A8C5"/>
    <w:rsid w:val="2965EBFA"/>
    <w:rsid w:val="2965F9B5"/>
    <w:rsid w:val="29667F13"/>
    <w:rsid w:val="29686360"/>
    <w:rsid w:val="296873F4"/>
    <w:rsid w:val="296A286F"/>
    <w:rsid w:val="296A34A1"/>
    <w:rsid w:val="296CD4F1"/>
    <w:rsid w:val="296ECD5E"/>
    <w:rsid w:val="29700B9F"/>
    <w:rsid w:val="29708498"/>
    <w:rsid w:val="2970928F"/>
    <w:rsid w:val="297201AC"/>
    <w:rsid w:val="2972385A"/>
    <w:rsid w:val="29723C81"/>
    <w:rsid w:val="29730FF7"/>
    <w:rsid w:val="2973111F"/>
    <w:rsid w:val="29738D25"/>
    <w:rsid w:val="2973929D"/>
    <w:rsid w:val="297439E8"/>
    <w:rsid w:val="297454D8"/>
    <w:rsid w:val="29746178"/>
    <w:rsid w:val="29751AB3"/>
    <w:rsid w:val="29759301"/>
    <w:rsid w:val="29764A77"/>
    <w:rsid w:val="2977A44E"/>
    <w:rsid w:val="29794837"/>
    <w:rsid w:val="297A7A69"/>
    <w:rsid w:val="297BB853"/>
    <w:rsid w:val="297BBB01"/>
    <w:rsid w:val="297BC5D9"/>
    <w:rsid w:val="297D41EA"/>
    <w:rsid w:val="297ECE31"/>
    <w:rsid w:val="297F132E"/>
    <w:rsid w:val="2980A1F7"/>
    <w:rsid w:val="2981484F"/>
    <w:rsid w:val="29820CCD"/>
    <w:rsid w:val="29820E79"/>
    <w:rsid w:val="29826AA7"/>
    <w:rsid w:val="2982ED66"/>
    <w:rsid w:val="29830B47"/>
    <w:rsid w:val="29841566"/>
    <w:rsid w:val="29853D2D"/>
    <w:rsid w:val="2986189C"/>
    <w:rsid w:val="29862916"/>
    <w:rsid w:val="2987A425"/>
    <w:rsid w:val="2987B7B9"/>
    <w:rsid w:val="298863BF"/>
    <w:rsid w:val="298ABCC3"/>
    <w:rsid w:val="298BBAA3"/>
    <w:rsid w:val="298CD24F"/>
    <w:rsid w:val="298D2360"/>
    <w:rsid w:val="298E7C94"/>
    <w:rsid w:val="298EC1BF"/>
    <w:rsid w:val="29920C8F"/>
    <w:rsid w:val="29921496"/>
    <w:rsid w:val="2992564E"/>
    <w:rsid w:val="29942055"/>
    <w:rsid w:val="299452F5"/>
    <w:rsid w:val="2994CAA7"/>
    <w:rsid w:val="2994DE74"/>
    <w:rsid w:val="29955A2A"/>
    <w:rsid w:val="2995EEFE"/>
    <w:rsid w:val="2998A181"/>
    <w:rsid w:val="29990B90"/>
    <w:rsid w:val="299AF4C1"/>
    <w:rsid w:val="299CBFCC"/>
    <w:rsid w:val="299D2D00"/>
    <w:rsid w:val="299DF486"/>
    <w:rsid w:val="299E19F2"/>
    <w:rsid w:val="299E28A2"/>
    <w:rsid w:val="29A01393"/>
    <w:rsid w:val="29A0257F"/>
    <w:rsid w:val="29A0D2D1"/>
    <w:rsid w:val="29A1E224"/>
    <w:rsid w:val="29A32B4C"/>
    <w:rsid w:val="29A41DEA"/>
    <w:rsid w:val="29A59BFD"/>
    <w:rsid w:val="29A5AE2D"/>
    <w:rsid w:val="29A5C438"/>
    <w:rsid w:val="29A6146E"/>
    <w:rsid w:val="29A7B797"/>
    <w:rsid w:val="29A7DE25"/>
    <w:rsid w:val="29A7F950"/>
    <w:rsid w:val="29A8396E"/>
    <w:rsid w:val="29A8A5DE"/>
    <w:rsid w:val="29AA00A2"/>
    <w:rsid w:val="29AD2BB9"/>
    <w:rsid w:val="29AD731E"/>
    <w:rsid w:val="29AE6039"/>
    <w:rsid w:val="29AFEA4B"/>
    <w:rsid w:val="29B2E51E"/>
    <w:rsid w:val="29B34EE2"/>
    <w:rsid w:val="29B3CDC6"/>
    <w:rsid w:val="29B495C4"/>
    <w:rsid w:val="29B64204"/>
    <w:rsid w:val="29B68476"/>
    <w:rsid w:val="29B6E93F"/>
    <w:rsid w:val="29B8B006"/>
    <w:rsid w:val="29B8C5FE"/>
    <w:rsid w:val="29B8E6A4"/>
    <w:rsid w:val="29BA0412"/>
    <w:rsid w:val="29BADA4C"/>
    <w:rsid w:val="29BB356D"/>
    <w:rsid w:val="29BB4704"/>
    <w:rsid w:val="29BBDCFF"/>
    <w:rsid w:val="29BC75BA"/>
    <w:rsid w:val="29BC81D9"/>
    <w:rsid w:val="29BC839F"/>
    <w:rsid w:val="29C053B6"/>
    <w:rsid w:val="29C1A7DD"/>
    <w:rsid w:val="29C1F088"/>
    <w:rsid w:val="29C2B680"/>
    <w:rsid w:val="29C33E1C"/>
    <w:rsid w:val="29C529B7"/>
    <w:rsid w:val="29C5A4F5"/>
    <w:rsid w:val="29C5B393"/>
    <w:rsid w:val="29C5D303"/>
    <w:rsid w:val="29CA97B4"/>
    <w:rsid w:val="29CB7AB0"/>
    <w:rsid w:val="29CD5F06"/>
    <w:rsid w:val="29CDB259"/>
    <w:rsid w:val="29CDB788"/>
    <w:rsid w:val="29CDB873"/>
    <w:rsid w:val="29CE6863"/>
    <w:rsid w:val="29CFA34B"/>
    <w:rsid w:val="29D003FE"/>
    <w:rsid w:val="29D0F8B8"/>
    <w:rsid w:val="29D19519"/>
    <w:rsid w:val="29D1FF4D"/>
    <w:rsid w:val="29D201DF"/>
    <w:rsid w:val="29D2CE5B"/>
    <w:rsid w:val="29D52424"/>
    <w:rsid w:val="29D60C42"/>
    <w:rsid w:val="29D67460"/>
    <w:rsid w:val="29D6A17A"/>
    <w:rsid w:val="29D725D2"/>
    <w:rsid w:val="29D73C7C"/>
    <w:rsid w:val="29D92B8D"/>
    <w:rsid w:val="29D9ABC3"/>
    <w:rsid w:val="29DAE338"/>
    <w:rsid w:val="29DB8937"/>
    <w:rsid w:val="29DDC0A1"/>
    <w:rsid w:val="29DDEB24"/>
    <w:rsid w:val="29DE3A69"/>
    <w:rsid w:val="29DEB8E5"/>
    <w:rsid w:val="29DEF91C"/>
    <w:rsid w:val="29E0EF9E"/>
    <w:rsid w:val="29E24990"/>
    <w:rsid w:val="29E25B3C"/>
    <w:rsid w:val="29E345AF"/>
    <w:rsid w:val="29E34A55"/>
    <w:rsid w:val="29E39F53"/>
    <w:rsid w:val="29E43DDE"/>
    <w:rsid w:val="29E463A1"/>
    <w:rsid w:val="29E87366"/>
    <w:rsid w:val="29E8EE0E"/>
    <w:rsid w:val="29EA0028"/>
    <w:rsid w:val="29EAA6CE"/>
    <w:rsid w:val="29EC70B2"/>
    <w:rsid w:val="29EEE648"/>
    <w:rsid w:val="29EFA1DA"/>
    <w:rsid w:val="29F2349E"/>
    <w:rsid w:val="29F416B8"/>
    <w:rsid w:val="29F4569A"/>
    <w:rsid w:val="29F5A766"/>
    <w:rsid w:val="29F77133"/>
    <w:rsid w:val="29F84ED1"/>
    <w:rsid w:val="29F85244"/>
    <w:rsid w:val="29F8B44C"/>
    <w:rsid w:val="29F90A75"/>
    <w:rsid w:val="29F9DD40"/>
    <w:rsid w:val="29FA0537"/>
    <w:rsid w:val="29FAC5FB"/>
    <w:rsid w:val="29FB4ADA"/>
    <w:rsid w:val="29FC0613"/>
    <w:rsid w:val="29FC1392"/>
    <w:rsid w:val="29FCCEAB"/>
    <w:rsid w:val="29FDFE04"/>
    <w:rsid w:val="29FEE473"/>
    <w:rsid w:val="29FF2BB5"/>
    <w:rsid w:val="2A0097A3"/>
    <w:rsid w:val="2A028224"/>
    <w:rsid w:val="2A02C126"/>
    <w:rsid w:val="2A042DD5"/>
    <w:rsid w:val="2A0474CC"/>
    <w:rsid w:val="2A047ED1"/>
    <w:rsid w:val="2A04A535"/>
    <w:rsid w:val="2A04FB12"/>
    <w:rsid w:val="2A05230D"/>
    <w:rsid w:val="2A06F33C"/>
    <w:rsid w:val="2A07397E"/>
    <w:rsid w:val="2A090566"/>
    <w:rsid w:val="2A0AC5BB"/>
    <w:rsid w:val="2A0C4B4D"/>
    <w:rsid w:val="2A0E6F70"/>
    <w:rsid w:val="2A1038A2"/>
    <w:rsid w:val="2A11CABB"/>
    <w:rsid w:val="2A137AEF"/>
    <w:rsid w:val="2A140AF3"/>
    <w:rsid w:val="2A14AE3F"/>
    <w:rsid w:val="2A14F4CB"/>
    <w:rsid w:val="2A153B14"/>
    <w:rsid w:val="2A1601E7"/>
    <w:rsid w:val="2A169088"/>
    <w:rsid w:val="2A16992A"/>
    <w:rsid w:val="2A16BBE9"/>
    <w:rsid w:val="2A1841F4"/>
    <w:rsid w:val="2A1889FA"/>
    <w:rsid w:val="2A18FA1B"/>
    <w:rsid w:val="2A19A42C"/>
    <w:rsid w:val="2A1AF22A"/>
    <w:rsid w:val="2A1AFCDB"/>
    <w:rsid w:val="2A1B2D5A"/>
    <w:rsid w:val="2A1B6E70"/>
    <w:rsid w:val="2A1BBDA8"/>
    <w:rsid w:val="2A1CBE68"/>
    <w:rsid w:val="2A1CF6AB"/>
    <w:rsid w:val="2A1D095E"/>
    <w:rsid w:val="2A1D8F1D"/>
    <w:rsid w:val="2A1E354E"/>
    <w:rsid w:val="2A1EBE58"/>
    <w:rsid w:val="2A224D52"/>
    <w:rsid w:val="2A226444"/>
    <w:rsid w:val="2A24E6BB"/>
    <w:rsid w:val="2A271AD5"/>
    <w:rsid w:val="2A276A6B"/>
    <w:rsid w:val="2A277C53"/>
    <w:rsid w:val="2A27B952"/>
    <w:rsid w:val="2A284DD5"/>
    <w:rsid w:val="2A287624"/>
    <w:rsid w:val="2A292D32"/>
    <w:rsid w:val="2A297276"/>
    <w:rsid w:val="2A298076"/>
    <w:rsid w:val="2A29C97A"/>
    <w:rsid w:val="2A29E4B7"/>
    <w:rsid w:val="2A2A9F3D"/>
    <w:rsid w:val="2A2B15F0"/>
    <w:rsid w:val="2A2B5746"/>
    <w:rsid w:val="2A2B588A"/>
    <w:rsid w:val="2A2D96D5"/>
    <w:rsid w:val="2A2DB6CD"/>
    <w:rsid w:val="2A2E6C22"/>
    <w:rsid w:val="2A2F7630"/>
    <w:rsid w:val="2A302E02"/>
    <w:rsid w:val="2A328F79"/>
    <w:rsid w:val="2A3336B4"/>
    <w:rsid w:val="2A33E46B"/>
    <w:rsid w:val="2A345C0C"/>
    <w:rsid w:val="2A351A59"/>
    <w:rsid w:val="2A356B7D"/>
    <w:rsid w:val="2A3690C6"/>
    <w:rsid w:val="2A383620"/>
    <w:rsid w:val="2A384892"/>
    <w:rsid w:val="2A38529F"/>
    <w:rsid w:val="2A3A5456"/>
    <w:rsid w:val="2A3A7A9D"/>
    <w:rsid w:val="2A3C6AB0"/>
    <w:rsid w:val="2A3CD3DD"/>
    <w:rsid w:val="2A3FEFDA"/>
    <w:rsid w:val="2A424F79"/>
    <w:rsid w:val="2A43704E"/>
    <w:rsid w:val="2A449BD7"/>
    <w:rsid w:val="2A44AB59"/>
    <w:rsid w:val="2A45579B"/>
    <w:rsid w:val="2A496E38"/>
    <w:rsid w:val="2A4AA936"/>
    <w:rsid w:val="2A4C0322"/>
    <w:rsid w:val="2A4C0C0E"/>
    <w:rsid w:val="2A4C3446"/>
    <w:rsid w:val="2A4C868A"/>
    <w:rsid w:val="2A4CD724"/>
    <w:rsid w:val="2A4D5DD3"/>
    <w:rsid w:val="2A4DFCC5"/>
    <w:rsid w:val="2A4EDC96"/>
    <w:rsid w:val="2A4F52BD"/>
    <w:rsid w:val="2A4F7E8F"/>
    <w:rsid w:val="2A501C8C"/>
    <w:rsid w:val="2A51361B"/>
    <w:rsid w:val="2A51C138"/>
    <w:rsid w:val="2A51CF22"/>
    <w:rsid w:val="2A52AE8F"/>
    <w:rsid w:val="2A5386EF"/>
    <w:rsid w:val="2A53E839"/>
    <w:rsid w:val="2A544AC7"/>
    <w:rsid w:val="2A555170"/>
    <w:rsid w:val="2A559C5C"/>
    <w:rsid w:val="2A55F903"/>
    <w:rsid w:val="2A566DEA"/>
    <w:rsid w:val="2A56B3DE"/>
    <w:rsid w:val="2A583915"/>
    <w:rsid w:val="2A591FE4"/>
    <w:rsid w:val="2A594234"/>
    <w:rsid w:val="2A59E1E3"/>
    <w:rsid w:val="2A5C1EE7"/>
    <w:rsid w:val="2A5CD381"/>
    <w:rsid w:val="2A5E43F6"/>
    <w:rsid w:val="2A5E8109"/>
    <w:rsid w:val="2A5F1B21"/>
    <w:rsid w:val="2A628A8C"/>
    <w:rsid w:val="2A646B31"/>
    <w:rsid w:val="2A65C879"/>
    <w:rsid w:val="2A665037"/>
    <w:rsid w:val="2A66AE20"/>
    <w:rsid w:val="2A66E2C7"/>
    <w:rsid w:val="2A671F89"/>
    <w:rsid w:val="2A6821E6"/>
    <w:rsid w:val="2A68382F"/>
    <w:rsid w:val="2A6849BB"/>
    <w:rsid w:val="2A6977B7"/>
    <w:rsid w:val="2A6A106C"/>
    <w:rsid w:val="2A6AB82A"/>
    <w:rsid w:val="2A6D7139"/>
    <w:rsid w:val="2A6DE035"/>
    <w:rsid w:val="2A6E3EFA"/>
    <w:rsid w:val="2A6ECEE4"/>
    <w:rsid w:val="2A6FA0D2"/>
    <w:rsid w:val="2A6FBC7D"/>
    <w:rsid w:val="2A7356E8"/>
    <w:rsid w:val="2A758152"/>
    <w:rsid w:val="2A75B586"/>
    <w:rsid w:val="2A76ABD4"/>
    <w:rsid w:val="2A784ED0"/>
    <w:rsid w:val="2A78F518"/>
    <w:rsid w:val="2A790F5B"/>
    <w:rsid w:val="2A7A0746"/>
    <w:rsid w:val="2A7A53E6"/>
    <w:rsid w:val="2A7B9AD5"/>
    <w:rsid w:val="2A7BC41B"/>
    <w:rsid w:val="2A7BEB47"/>
    <w:rsid w:val="2A7DA2DC"/>
    <w:rsid w:val="2A7F35F3"/>
    <w:rsid w:val="2A7FA6C6"/>
    <w:rsid w:val="2A800736"/>
    <w:rsid w:val="2A802918"/>
    <w:rsid w:val="2A80D5AA"/>
    <w:rsid w:val="2A83FB82"/>
    <w:rsid w:val="2A84879C"/>
    <w:rsid w:val="2A849D53"/>
    <w:rsid w:val="2A84DA72"/>
    <w:rsid w:val="2A88E517"/>
    <w:rsid w:val="2A89935D"/>
    <w:rsid w:val="2A89AE72"/>
    <w:rsid w:val="2A8A990E"/>
    <w:rsid w:val="2A8AA20B"/>
    <w:rsid w:val="2A8BE1C4"/>
    <w:rsid w:val="2A8CBF2B"/>
    <w:rsid w:val="2A8E5B13"/>
    <w:rsid w:val="2A8FA74D"/>
    <w:rsid w:val="2A8FF35A"/>
    <w:rsid w:val="2A90508D"/>
    <w:rsid w:val="2A90791D"/>
    <w:rsid w:val="2A90F937"/>
    <w:rsid w:val="2A94DF3F"/>
    <w:rsid w:val="2A95A244"/>
    <w:rsid w:val="2A961194"/>
    <w:rsid w:val="2A9613AB"/>
    <w:rsid w:val="2A96992C"/>
    <w:rsid w:val="2A97720A"/>
    <w:rsid w:val="2A988DBE"/>
    <w:rsid w:val="2A993CD8"/>
    <w:rsid w:val="2A9BE200"/>
    <w:rsid w:val="2A9C4815"/>
    <w:rsid w:val="2A9C6E86"/>
    <w:rsid w:val="2A9F33FF"/>
    <w:rsid w:val="2AA129EE"/>
    <w:rsid w:val="2AA12A54"/>
    <w:rsid w:val="2AA1CEF4"/>
    <w:rsid w:val="2AA32EC2"/>
    <w:rsid w:val="2AA4ACFA"/>
    <w:rsid w:val="2AA5902B"/>
    <w:rsid w:val="2AA62940"/>
    <w:rsid w:val="2AA67A2B"/>
    <w:rsid w:val="2AAA9B97"/>
    <w:rsid w:val="2AAB5EDB"/>
    <w:rsid w:val="2AAEB401"/>
    <w:rsid w:val="2AB20243"/>
    <w:rsid w:val="2AB22B5C"/>
    <w:rsid w:val="2AB271D7"/>
    <w:rsid w:val="2AB326C9"/>
    <w:rsid w:val="2AB5A5AB"/>
    <w:rsid w:val="2AB5DDEA"/>
    <w:rsid w:val="2AB6155D"/>
    <w:rsid w:val="2AB62B35"/>
    <w:rsid w:val="2AB66D94"/>
    <w:rsid w:val="2AB7FFAE"/>
    <w:rsid w:val="2AB8C5A6"/>
    <w:rsid w:val="2AB95FEB"/>
    <w:rsid w:val="2ABA3462"/>
    <w:rsid w:val="2ABA3BAA"/>
    <w:rsid w:val="2ABC73F2"/>
    <w:rsid w:val="2AC0B488"/>
    <w:rsid w:val="2AC0E8CF"/>
    <w:rsid w:val="2AC1CB21"/>
    <w:rsid w:val="2AC3A127"/>
    <w:rsid w:val="2AC568A4"/>
    <w:rsid w:val="2AC5A861"/>
    <w:rsid w:val="2AC610CB"/>
    <w:rsid w:val="2AC7D427"/>
    <w:rsid w:val="2AC7F652"/>
    <w:rsid w:val="2AC846C5"/>
    <w:rsid w:val="2AC88B8D"/>
    <w:rsid w:val="2ACB7EA9"/>
    <w:rsid w:val="2ACBDBC1"/>
    <w:rsid w:val="2ACCC73A"/>
    <w:rsid w:val="2ACD54D3"/>
    <w:rsid w:val="2AD0AA6D"/>
    <w:rsid w:val="2AD177D4"/>
    <w:rsid w:val="2AD274B7"/>
    <w:rsid w:val="2AD3A3E1"/>
    <w:rsid w:val="2AD4EA81"/>
    <w:rsid w:val="2AD633D3"/>
    <w:rsid w:val="2AD89BC4"/>
    <w:rsid w:val="2ADCB5A1"/>
    <w:rsid w:val="2ADD2DB7"/>
    <w:rsid w:val="2ADD3F8E"/>
    <w:rsid w:val="2ADF7608"/>
    <w:rsid w:val="2AE0C7AE"/>
    <w:rsid w:val="2AE24C24"/>
    <w:rsid w:val="2AE29417"/>
    <w:rsid w:val="2AE310C0"/>
    <w:rsid w:val="2AE37A06"/>
    <w:rsid w:val="2AE3ED54"/>
    <w:rsid w:val="2AE4C7E6"/>
    <w:rsid w:val="2AE4EA10"/>
    <w:rsid w:val="2AE5887E"/>
    <w:rsid w:val="2AE5D260"/>
    <w:rsid w:val="2AE69504"/>
    <w:rsid w:val="2AE74367"/>
    <w:rsid w:val="2AE8117C"/>
    <w:rsid w:val="2AEA2F8E"/>
    <w:rsid w:val="2AEB69B7"/>
    <w:rsid w:val="2AEBC3EE"/>
    <w:rsid w:val="2AEC37AF"/>
    <w:rsid w:val="2AEC9716"/>
    <w:rsid w:val="2AECB4DA"/>
    <w:rsid w:val="2AECD27F"/>
    <w:rsid w:val="2AED79F0"/>
    <w:rsid w:val="2AEE2B5B"/>
    <w:rsid w:val="2AF0427F"/>
    <w:rsid w:val="2AF195CE"/>
    <w:rsid w:val="2AF1EDD9"/>
    <w:rsid w:val="2AF203B8"/>
    <w:rsid w:val="2AF2160D"/>
    <w:rsid w:val="2AF37A22"/>
    <w:rsid w:val="2AF418C6"/>
    <w:rsid w:val="2AF437E9"/>
    <w:rsid w:val="2AF4D23B"/>
    <w:rsid w:val="2AF7097C"/>
    <w:rsid w:val="2AF722BF"/>
    <w:rsid w:val="2AF76CC7"/>
    <w:rsid w:val="2AF829D1"/>
    <w:rsid w:val="2AFA156F"/>
    <w:rsid w:val="2AFAB05F"/>
    <w:rsid w:val="2AFB14DB"/>
    <w:rsid w:val="2AFC8EC1"/>
    <w:rsid w:val="2AFE4A29"/>
    <w:rsid w:val="2AFEF702"/>
    <w:rsid w:val="2AFFCB01"/>
    <w:rsid w:val="2B0207D8"/>
    <w:rsid w:val="2B047E58"/>
    <w:rsid w:val="2B05539F"/>
    <w:rsid w:val="2B056E55"/>
    <w:rsid w:val="2B05DDC9"/>
    <w:rsid w:val="2B05F963"/>
    <w:rsid w:val="2B069E57"/>
    <w:rsid w:val="2B091C40"/>
    <w:rsid w:val="2B0B069A"/>
    <w:rsid w:val="2B0B9456"/>
    <w:rsid w:val="2B0B9D76"/>
    <w:rsid w:val="2B0C2B87"/>
    <w:rsid w:val="2B0C385E"/>
    <w:rsid w:val="2B0C6B0E"/>
    <w:rsid w:val="2B114C68"/>
    <w:rsid w:val="2B11B0BA"/>
    <w:rsid w:val="2B14F683"/>
    <w:rsid w:val="2B156476"/>
    <w:rsid w:val="2B162977"/>
    <w:rsid w:val="2B17C7AE"/>
    <w:rsid w:val="2B17F8D8"/>
    <w:rsid w:val="2B1934C5"/>
    <w:rsid w:val="2B19DA77"/>
    <w:rsid w:val="2B1A440C"/>
    <w:rsid w:val="2B1BE20A"/>
    <w:rsid w:val="2B1D5448"/>
    <w:rsid w:val="2B1D5F53"/>
    <w:rsid w:val="2B1D90C5"/>
    <w:rsid w:val="2B1DC196"/>
    <w:rsid w:val="2B1EA3B4"/>
    <w:rsid w:val="2B2005BA"/>
    <w:rsid w:val="2B201310"/>
    <w:rsid w:val="2B20DDA1"/>
    <w:rsid w:val="2B23FCE4"/>
    <w:rsid w:val="2B242DE0"/>
    <w:rsid w:val="2B2498B8"/>
    <w:rsid w:val="2B25569D"/>
    <w:rsid w:val="2B258082"/>
    <w:rsid w:val="2B267768"/>
    <w:rsid w:val="2B28CC1D"/>
    <w:rsid w:val="2B28FD0C"/>
    <w:rsid w:val="2B293F40"/>
    <w:rsid w:val="2B2A11E7"/>
    <w:rsid w:val="2B2A2BA4"/>
    <w:rsid w:val="2B2A4872"/>
    <w:rsid w:val="2B2B2E26"/>
    <w:rsid w:val="2B2E8B3E"/>
    <w:rsid w:val="2B2F1289"/>
    <w:rsid w:val="2B2F7F3F"/>
    <w:rsid w:val="2B30F506"/>
    <w:rsid w:val="2B3156E1"/>
    <w:rsid w:val="2B31CF09"/>
    <w:rsid w:val="2B325E77"/>
    <w:rsid w:val="2B32ACA8"/>
    <w:rsid w:val="2B32D5E4"/>
    <w:rsid w:val="2B33B430"/>
    <w:rsid w:val="2B344682"/>
    <w:rsid w:val="2B36BE82"/>
    <w:rsid w:val="2B36F413"/>
    <w:rsid w:val="2B36F4E0"/>
    <w:rsid w:val="2B389C0B"/>
    <w:rsid w:val="2B3A0705"/>
    <w:rsid w:val="2B3A8674"/>
    <w:rsid w:val="2B3CE791"/>
    <w:rsid w:val="2B3D6086"/>
    <w:rsid w:val="2B3DAA03"/>
    <w:rsid w:val="2B3E0A18"/>
    <w:rsid w:val="2B427D59"/>
    <w:rsid w:val="2B4335D3"/>
    <w:rsid w:val="2B43A251"/>
    <w:rsid w:val="2B43B773"/>
    <w:rsid w:val="2B448683"/>
    <w:rsid w:val="2B4506D9"/>
    <w:rsid w:val="2B455B38"/>
    <w:rsid w:val="2B4783F8"/>
    <w:rsid w:val="2B47C8FC"/>
    <w:rsid w:val="2B47D2C6"/>
    <w:rsid w:val="2B48E84C"/>
    <w:rsid w:val="2B493BD2"/>
    <w:rsid w:val="2B4A9F2E"/>
    <w:rsid w:val="2B4B53DF"/>
    <w:rsid w:val="2B4B5B75"/>
    <w:rsid w:val="2B4C3B65"/>
    <w:rsid w:val="2B4D4813"/>
    <w:rsid w:val="2B4DAE7D"/>
    <w:rsid w:val="2B4DF087"/>
    <w:rsid w:val="2B4E65A5"/>
    <w:rsid w:val="2B4EE11A"/>
    <w:rsid w:val="2B504733"/>
    <w:rsid w:val="2B5197ED"/>
    <w:rsid w:val="2B51F6B2"/>
    <w:rsid w:val="2B5250FB"/>
    <w:rsid w:val="2B537689"/>
    <w:rsid w:val="2B53939C"/>
    <w:rsid w:val="2B53B5E8"/>
    <w:rsid w:val="2B53B67C"/>
    <w:rsid w:val="2B53D7CB"/>
    <w:rsid w:val="2B549348"/>
    <w:rsid w:val="2B549AF3"/>
    <w:rsid w:val="2B54A441"/>
    <w:rsid w:val="2B566AA1"/>
    <w:rsid w:val="2B56AC42"/>
    <w:rsid w:val="2B56D714"/>
    <w:rsid w:val="2B56EB8C"/>
    <w:rsid w:val="2B5740FD"/>
    <w:rsid w:val="2B5888D6"/>
    <w:rsid w:val="2B59F614"/>
    <w:rsid w:val="2B5A7233"/>
    <w:rsid w:val="2B5A97F4"/>
    <w:rsid w:val="2B5AD7E2"/>
    <w:rsid w:val="2B5B4B37"/>
    <w:rsid w:val="2B5CE80A"/>
    <w:rsid w:val="2B5D5B69"/>
    <w:rsid w:val="2B5E1C95"/>
    <w:rsid w:val="2B5E2C01"/>
    <w:rsid w:val="2B5E4AE2"/>
    <w:rsid w:val="2B600F16"/>
    <w:rsid w:val="2B603F74"/>
    <w:rsid w:val="2B606612"/>
    <w:rsid w:val="2B60EA36"/>
    <w:rsid w:val="2B6204E6"/>
    <w:rsid w:val="2B630CB0"/>
    <w:rsid w:val="2B6456ED"/>
    <w:rsid w:val="2B648D6C"/>
    <w:rsid w:val="2B674432"/>
    <w:rsid w:val="2B681709"/>
    <w:rsid w:val="2B6BBC1B"/>
    <w:rsid w:val="2B6BEE62"/>
    <w:rsid w:val="2B6C32B6"/>
    <w:rsid w:val="2B6CB1E5"/>
    <w:rsid w:val="2B6CD24E"/>
    <w:rsid w:val="2B6D2DC0"/>
    <w:rsid w:val="2B6D657A"/>
    <w:rsid w:val="2B6DF809"/>
    <w:rsid w:val="2B703D91"/>
    <w:rsid w:val="2B705831"/>
    <w:rsid w:val="2B705A64"/>
    <w:rsid w:val="2B71B447"/>
    <w:rsid w:val="2B7207DD"/>
    <w:rsid w:val="2B72A096"/>
    <w:rsid w:val="2B72EB21"/>
    <w:rsid w:val="2B73DF1D"/>
    <w:rsid w:val="2B74FBEE"/>
    <w:rsid w:val="2B75692A"/>
    <w:rsid w:val="2B75B533"/>
    <w:rsid w:val="2B76C384"/>
    <w:rsid w:val="2B77DBE2"/>
    <w:rsid w:val="2B789620"/>
    <w:rsid w:val="2B7A0489"/>
    <w:rsid w:val="2B7DB369"/>
    <w:rsid w:val="2B7E6453"/>
    <w:rsid w:val="2B7F1BA9"/>
    <w:rsid w:val="2B7F3C24"/>
    <w:rsid w:val="2B80A177"/>
    <w:rsid w:val="2B80A18B"/>
    <w:rsid w:val="2B81C78E"/>
    <w:rsid w:val="2B8224C9"/>
    <w:rsid w:val="2B8238A8"/>
    <w:rsid w:val="2B82C060"/>
    <w:rsid w:val="2B832C91"/>
    <w:rsid w:val="2B840DF7"/>
    <w:rsid w:val="2B8441C6"/>
    <w:rsid w:val="2B890EEE"/>
    <w:rsid w:val="2B8A1A1E"/>
    <w:rsid w:val="2B8A3802"/>
    <w:rsid w:val="2B8A4BB1"/>
    <w:rsid w:val="2B8A5FE5"/>
    <w:rsid w:val="2B8A9A43"/>
    <w:rsid w:val="2B8C5303"/>
    <w:rsid w:val="2B8D25E8"/>
    <w:rsid w:val="2B8DB5FA"/>
    <w:rsid w:val="2B8FC5A1"/>
    <w:rsid w:val="2B90C28A"/>
    <w:rsid w:val="2B929F1A"/>
    <w:rsid w:val="2B934DB0"/>
    <w:rsid w:val="2B9370E9"/>
    <w:rsid w:val="2B93AA3B"/>
    <w:rsid w:val="2B93F109"/>
    <w:rsid w:val="2B94FD65"/>
    <w:rsid w:val="2B952945"/>
    <w:rsid w:val="2B956387"/>
    <w:rsid w:val="2B9629D6"/>
    <w:rsid w:val="2B965990"/>
    <w:rsid w:val="2B966ECA"/>
    <w:rsid w:val="2B970704"/>
    <w:rsid w:val="2B977E7D"/>
    <w:rsid w:val="2B986860"/>
    <w:rsid w:val="2B989FBB"/>
    <w:rsid w:val="2B9A0A7F"/>
    <w:rsid w:val="2B9AE93D"/>
    <w:rsid w:val="2B9B43B6"/>
    <w:rsid w:val="2B9BAC44"/>
    <w:rsid w:val="2B9CF348"/>
    <w:rsid w:val="2B9D74E4"/>
    <w:rsid w:val="2B9D7C75"/>
    <w:rsid w:val="2B9E4E15"/>
    <w:rsid w:val="2B9ECBF3"/>
    <w:rsid w:val="2B9EFFF6"/>
    <w:rsid w:val="2B9FB700"/>
    <w:rsid w:val="2BA062CD"/>
    <w:rsid w:val="2BA0FE36"/>
    <w:rsid w:val="2BA35FE4"/>
    <w:rsid w:val="2BA3FC04"/>
    <w:rsid w:val="2BA48082"/>
    <w:rsid w:val="2BA58A92"/>
    <w:rsid w:val="2BA6D6C2"/>
    <w:rsid w:val="2BA80202"/>
    <w:rsid w:val="2BA897DA"/>
    <w:rsid w:val="2BAA26F2"/>
    <w:rsid w:val="2BAA72B5"/>
    <w:rsid w:val="2BABF6AE"/>
    <w:rsid w:val="2BABFF50"/>
    <w:rsid w:val="2BAD0B80"/>
    <w:rsid w:val="2BAD8690"/>
    <w:rsid w:val="2BB0C367"/>
    <w:rsid w:val="2BB224F2"/>
    <w:rsid w:val="2BB3AA5F"/>
    <w:rsid w:val="2BB5B3C9"/>
    <w:rsid w:val="2BB5C2B2"/>
    <w:rsid w:val="2BB602C7"/>
    <w:rsid w:val="2BB83DE5"/>
    <w:rsid w:val="2BB97DC9"/>
    <w:rsid w:val="2BBA5A82"/>
    <w:rsid w:val="2BBAC47B"/>
    <w:rsid w:val="2BBC0398"/>
    <w:rsid w:val="2BBDDBD5"/>
    <w:rsid w:val="2BBF3D7C"/>
    <w:rsid w:val="2BBFF7EB"/>
    <w:rsid w:val="2BC04480"/>
    <w:rsid w:val="2BC1C8C0"/>
    <w:rsid w:val="2BC22FE1"/>
    <w:rsid w:val="2BC26B15"/>
    <w:rsid w:val="2BC29924"/>
    <w:rsid w:val="2BC53A7B"/>
    <w:rsid w:val="2BC6FDDC"/>
    <w:rsid w:val="2BC8508B"/>
    <w:rsid w:val="2BC9BD69"/>
    <w:rsid w:val="2BCA0B11"/>
    <w:rsid w:val="2BCAC2B4"/>
    <w:rsid w:val="2BCB89B1"/>
    <w:rsid w:val="2BCB8D60"/>
    <w:rsid w:val="2BCB906E"/>
    <w:rsid w:val="2BCD320A"/>
    <w:rsid w:val="2BCE45BB"/>
    <w:rsid w:val="2BCF2DFB"/>
    <w:rsid w:val="2BCF52C1"/>
    <w:rsid w:val="2BCF9DC4"/>
    <w:rsid w:val="2BD0DE75"/>
    <w:rsid w:val="2BD19331"/>
    <w:rsid w:val="2BD2EE9E"/>
    <w:rsid w:val="2BD52A6A"/>
    <w:rsid w:val="2BD5F3B7"/>
    <w:rsid w:val="2BD6E475"/>
    <w:rsid w:val="2BD77434"/>
    <w:rsid w:val="2BD7E03C"/>
    <w:rsid w:val="2BD81095"/>
    <w:rsid w:val="2BD82668"/>
    <w:rsid w:val="2BD94250"/>
    <w:rsid w:val="2BD94E64"/>
    <w:rsid w:val="2BDB3682"/>
    <w:rsid w:val="2BDB5476"/>
    <w:rsid w:val="2BDB78AA"/>
    <w:rsid w:val="2BDCE6D9"/>
    <w:rsid w:val="2BDE4AAF"/>
    <w:rsid w:val="2BDED947"/>
    <w:rsid w:val="2BDF5F46"/>
    <w:rsid w:val="2BE00561"/>
    <w:rsid w:val="2BE0FC68"/>
    <w:rsid w:val="2BE24542"/>
    <w:rsid w:val="2BE3CDA2"/>
    <w:rsid w:val="2BE5FF05"/>
    <w:rsid w:val="2BE6551C"/>
    <w:rsid w:val="2BE70490"/>
    <w:rsid w:val="2BE7487F"/>
    <w:rsid w:val="2BE81847"/>
    <w:rsid w:val="2BE88123"/>
    <w:rsid w:val="2BE8A0F0"/>
    <w:rsid w:val="2BE9065A"/>
    <w:rsid w:val="2BE99316"/>
    <w:rsid w:val="2BEC59DC"/>
    <w:rsid w:val="2BEC8B01"/>
    <w:rsid w:val="2BEF84AA"/>
    <w:rsid w:val="2BF1101A"/>
    <w:rsid w:val="2BF230A9"/>
    <w:rsid w:val="2BF25224"/>
    <w:rsid w:val="2BF25669"/>
    <w:rsid w:val="2BF53313"/>
    <w:rsid w:val="2BF58DE9"/>
    <w:rsid w:val="2BF5C95F"/>
    <w:rsid w:val="2BF65F65"/>
    <w:rsid w:val="2BF76E06"/>
    <w:rsid w:val="2BF86350"/>
    <w:rsid w:val="2BF8BE54"/>
    <w:rsid w:val="2BF94117"/>
    <w:rsid w:val="2BF969FE"/>
    <w:rsid w:val="2BF9CAB3"/>
    <w:rsid w:val="2BFA60D9"/>
    <w:rsid w:val="2BFABF25"/>
    <w:rsid w:val="2BFCCCEC"/>
    <w:rsid w:val="2BFE38BB"/>
    <w:rsid w:val="2C021D69"/>
    <w:rsid w:val="2C021E2C"/>
    <w:rsid w:val="2C0244E2"/>
    <w:rsid w:val="2C0546CB"/>
    <w:rsid w:val="2C05C398"/>
    <w:rsid w:val="2C07CC7C"/>
    <w:rsid w:val="2C07F744"/>
    <w:rsid w:val="2C0B77C3"/>
    <w:rsid w:val="2C0BA1EF"/>
    <w:rsid w:val="2C0BE624"/>
    <w:rsid w:val="2C0C4A5D"/>
    <w:rsid w:val="2C0C9555"/>
    <w:rsid w:val="2C0D4FF5"/>
    <w:rsid w:val="2C0D7332"/>
    <w:rsid w:val="2C0DBACC"/>
    <w:rsid w:val="2C0EB555"/>
    <w:rsid w:val="2C0EE2B0"/>
    <w:rsid w:val="2C0F3378"/>
    <w:rsid w:val="2C0FFAEB"/>
    <w:rsid w:val="2C12F34F"/>
    <w:rsid w:val="2C136172"/>
    <w:rsid w:val="2C141FBA"/>
    <w:rsid w:val="2C17D8FD"/>
    <w:rsid w:val="2C185ABF"/>
    <w:rsid w:val="2C193EB3"/>
    <w:rsid w:val="2C1A453C"/>
    <w:rsid w:val="2C1B9130"/>
    <w:rsid w:val="2C1E216A"/>
    <w:rsid w:val="2C208191"/>
    <w:rsid w:val="2C21C23B"/>
    <w:rsid w:val="2C22EF4E"/>
    <w:rsid w:val="2C24659A"/>
    <w:rsid w:val="2C25C540"/>
    <w:rsid w:val="2C25F5CD"/>
    <w:rsid w:val="2C26E347"/>
    <w:rsid w:val="2C27EFBD"/>
    <w:rsid w:val="2C28B2AD"/>
    <w:rsid w:val="2C295A3B"/>
    <w:rsid w:val="2C29C56C"/>
    <w:rsid w:val="2C2A3B75"/>
    <w:rsid w:val="2C2B61C1"/>
    <w:rsid w:val="2C2BF3F2"/>
    <w:rsid w:val="2C2C072F"/>
    <w:rsid w:val="2C2C1735"/>
    <w:rsid w:val="2C2C9172"/>
    <w:rsid w:val="2C2E612D"/>
    <w:rsid w:val="2C2E8FCA"/>
    <w:rsid w:val="2C2F470A"/>
    <w:rsid w:val="2C2F7C76"/>
    <w:rsid w:val="2C2F8DAE"/>
    <w:rsid w:val="2C2FBC30"/>
    <w:rsid w:val="2C3057C4"/>
    <w:rsid w:val="2C30BE98"/>
    <w:rsid w:val="2C313C72"/>
    <w:rsid w:val="2C33343C"/>
    <w:rsid w:val="2C33B3A2"/>
    <w:rsid w:val="2C353B57"/>
    <w:rsid w:val="2C35C5AD"/>
    <w:rsid w:val="2C36679B"/>
    <w:rsid w:val="2C375703"/>
    <w:rsid w:val="2C389B0E"/>
    <w:rsid w:val="2C38EE78"/>
    <w:rsid w:val="2C3A0AD1"/>
    <w:rsid w:val="2C3B8479"/>
    <w:rsid w:val="2C3E4F3A"/>
    <w:rsid w:val="2C402ED9"/>
    <w:rsid w:val="2C41B26E"/>
    <w:rsid w:val="2C425681"/>
    <w:rsid w:val="2C43D956"/>
    <w:rsid w:val="2C443CB9"/>
    <w:rsid w:val="2C4472C2"/>
    <w:rsid w:val="2C4489B3"/>
    <w:rsid w:val="2C45A2ED"/>
    <w:rsid w:val="2C45C177"/>
    <w:rsid w:val="2C4713A0"/>
    <w:rsid w:val="2C4A1803"/>
    <w:rsid w:val="2C4B3BF1"/>
    <w:rsid w:val="2C4CF6DB"/>
    <w:rsid w:val="2C4D15F5"/>
    <w:rsid w:val="2C4F48D9"/>
    <w:rsid w:val="2C50823B"/>
    <w:rsid w:val="2C50AAFA"/>
    <w:rsid w:val="2C51D5B4"/>
    <w:rsid w:val="2C526C4F"/>
    <w:rsid w:val="2C550DAE"/>
    <w:rsid w:val="2C55CFC9"/>
    <w:rsid w:val="2C572684"/>
    <w:rsid w:val="2C573087"/>
    <w:rsid w:val="2C5740EB"/>
    <w:rsid w:val="2C5752A3"/>
    <w:rsid w:val="2C5936CB"/>
    <w:rsid w:val="2C5967C3"/>
    <w:rsid w:val="2C59F2DC"/>
    <w:rsid w:val="2C5A0704"/>
    <w:rsid w:val="2C5AAF66"/>
    <w:rsid w:val="2C5B049D"/>
    <w:rsid w:val="2C621746"/>
    <w:rsid w:val="2C636AF5"/>
    <w:rsid w:val="2C6386B3"/>
    <w:rsid w:val="2C6480BA"/>
    <w:rsid w:val="2C64EA94"/>
    <w:rsid w:val="2C659270"/>
    <w:rsid w:val="2C65BB28"/>
    <w:rsid w:val="2C662183"/>
    <w:rsid w:val="2C663DAD"/>
    <w:rsid w:val="2C66CDA2"/>
    <w:rsid w:val="2C66E3BE"/>
    <w:rsid w:val="2C66EC14"/>
    <w:rsid w:val="2C6731BD"/>
    <w:rsid w:val="2C67E624"/>
    <w:rsid w:val="2C687FB2"/>
    <w:rsid w:val="2C688E57"/>
    <w:rsid w:val="2C6933A3"/>
    <w:rsid w:val="2C695E7D"/>
    <w:rsid w:val="2C6ADD51"/>
    <w:rsid w:val="2C6B2150"/>
    <w:rsid w:val="2C6D8B5B"/>
    <w:rsid w:val="2C6E66F8"/>
    <w:rsid w:val="2C6F1436"/>
    <w:rsid w:val="2C6F7484"/>
    <w:rsid w:val="2C700205"/>
    <w:rsid w:val="2C7154F3"/>
    <w:rsid w:val="2C71D0B2"/>
    <w:rsid w:val="2C72CC0E"/>
    <w:rsid w:val="2C7326C7"/>
    <w:rsid w:val="2C7353E9"/>
    <w:rsid w:val="2C73CC7E"/>
    <w:rsid w:val="2C745EF1"/>
    <w:rsid w:val="2C7482EF"/>
    <w:rsid w:val="2C7488BD"/>
    <w:rsid w:val="2C74AAE3"/>
    <w:rsid w:val="2C7545DB"/>
    <w:rsid w:val="2C75C8D8"/>
    <w:rsid w:val="2C761802"/>
    <w:rsid w:val="2C76DE59"/>
    <w:rsid w:val="2C76F8D0"/>
    <w:rsid w:val="2C786778"/>
    <w:rsid w:val="2C78EFC3"/>
    <w:rsid w:val="2C7BAC37"/>
    <w:rsid w:val="2C7BE1D5"/>
    <w:rsid w:val="2C7E1858"/>
    <w:rsid w:val="2C7F8BFE"/>
    <w:rsid w:val="2C805A1A"/>
    <w:rsid w:val="2C80A7C3"/>
    <w:rsid w:val="2C829183"/>
    <w:rsid w:val="2C82A6FE"/>
    <w:rsid w:val="2C8316DB"/>
    <w:rsid w:val="2C83264F"/>
    <w:rsid w:val="2C85EAEA"/>
    <w:rsid w:val="2C867833"/>
    <w:rsid w:val="2C8699A1"/>
    <w:rsid w:val="2C877671"/>
    <w:rsid w:val="2C881FC3"/>
    <w:rsid w:val="2C8B07DA"/>
    <w:rsid w:val="2C8B4D56"/>
    <w:rsid w:val="2C8B5067"/>
    <w:rsid w:val="2C8C7704"/>
    <w:rsid w:val="2C8CBEED"/>
    <w:rsid w:val="2C8D49CB"/>
    <w:rsid w:val="2C8E1AAA"/>
    <w:rsid w:val="2C8E3734"/>
    <w:rsid w:val="2C8EF226"/>
    <w:rsid w:val="2C9668C5"/>
    <w:rsid w:val="2C9766D8"/>
    <w:rsid w:val="2C97DF0E"/>
    <w:rsid w:val="2C98BF16"/>
    <w:rsid w:val="2C98C330"/>
    <w:rsid w:val="2C98CD30"/>
    <w:rsid w:val="2C98E4AD"/>
    <w:rsid w:val="2C99B7E7"/>
    <w:rsid w:val="2C9AB0DA"/>
    <w:rsid w:val="2C9B6F43"/>
    <w:rsid w:val="2C9BE3EC"/>
    <w:rsid w:val="2C9BE7E1"/>
    <w:rsid w:val="2C9E94B2"/>
    <w:rsid w:val="2C9EAA10"/>
    <w:rsid w:val="2CA19A66"/>
    <w:rsid w:val="2CA2A06B"/>
    <w:rsid w:val="2CA3B8A4"/>
    <w:rsid w:val="2CA4FDFB"/>
    <w:rsid w:val="2CA4FF63"/>
    <w:rsid w:val="2CA58CA3"/>
    <w:rsid w:val="2CA5D155"/>
    <w:rsid w:val="2CA6E3C1"/>
    <w:rsid w:val="2CA740EE"/>
    <w:rsid w:val="2CA8DCF2"/>
    <w:rsid w:val="2CAA9F69"/>
    <w:rsid w:val="2CAB4B78"/>
    <w:rsid w:val="2CAB6B67"/>
    <w:rsid w:val="2CAC86AB"/>
    <w:rsid w:val="2CAD2C8D"/>
    <w:rsid w:val="2CAF87B3"/>
    <w:rsid w:val="2CB04BCF"/>
    <w:rsid w:val="2CB0C443"/>
    <w:rsid w:val="2CB0CD2D"/>
    <w:rsid w:val="2CB0F58D"/>
    <w:rsid w:val="2CB1FE2A"/>
    <w:rsid w:val="2CB212B8"/>
    <w:rsid w:val="2CB2FC4B"/>
    <w:rsid w:val="2CB57DF3"/>
    <w:rsid w:val="2CB5F58F"/>
    <w:rsid w:val="2CB74C15"/>
    <w:rsid w:val="2CB7C446"/>
    <w:rsid w:val="2CB801C8"/>
    <w:rsid w:val="2CB8255E"/>
    <w:rsid w:val="2CB857B9"/>
    <w:rsid w:val="2CB85D97"/>
    <w:rsid w:val="2CBAE9A5"/>
    <w:rsid w:val="2CBB94D4"/>
    <w:rsid w:val="2CBC8BCA"/>
    <w:rsid w:val="2CBDD451"/>
    <w:rsid w:val="2CBF1042"/>
    <w:rsid w:val="2CBF82E9"/>
    <w:rsid w:val="2CBFDE35"/>
    <w:rsid w:val="2CC077BB"/>
    <w:rsid w:val="2CC3CEE1"/>
    <w:rsid w:val="2CC4BAA3"/>
    <w:rsid w:val="2CC4C7F1"/>
    <w:rsid w:val="2CC5DF12"/>
    <w:rsid w:val="2CC75FFE"/>
    <w:rsid w:val="2CC90475"/>
    <w:rsid w:val="2CC93114"/>
    <w:rsid w:val="2CC9E121"/>
    <w:rsid w:val="2CC9F58A"/>
    <w:rsid w:val="2CCA029C"/>
    <w:rsid w:val="2CCA4FC4"/>
    <w:rsid w:val="2CCA5B9F"/>
    <w:rsid w:val="2CCAF922"/>
    <w:rsid w:val="2CCB5804"/>
    <w:rsid w:val="2CCCC9C9"/>
    <w:rsid w:val="2CCEC10E"/>
    <w:rsid w:val="2CCEDFCC"/>
    <w:rsid w:val="2CCF0D5E"/>
    <w:rsid w:val="2CCF5763"/>
    <w:rsid w:val="2CD07313"/>
    <w:rsid w:val="2CD1533A"/>
    <w:rsid w:val="2CD3AF3E"/>
    <w:rsid w:val="2CD587CF"/>
    <w:rsid w:val="2CD67DA4"/>
    <w:rsid w:val="2CD787FD"/>
    <w:rsid w:val="2CD8EBD5"/>
    <w:rsid w:val="2CD9062C"/>
    <w:rsid w:val="2CD97172"/>
    <w:rsid w:val="2CD986D4"/>
    <w:rsid w:val="2CDA0BE5"/>
    <w:rsid w:val="2CDA8D8B"/>
    <w:rsid w:val="2CDBAEBA"/>
    <w:rsid w:val="2CDC0360"/>
    <w:rsid w:val="2CDDDB99"/>
    <w:rsid w:val="2CDE2BC9"/>
    <w:rsid w:val="2CE0246A"/>
    <w:rsid w:val="2CE0B774"/>
    <w:rsid w:val="2CE106F9"/>
    <w:rsid w:val="2CE12424"/>
    <w:rsid w:val="2CE1A14A"/>
    <w:rsid w:val="2CE37842"/>
    <w:rsid w:val="2CE51F2E"/>
    <w:rsid w:val="2CE607DA"/>
    <w:rsid w:val="2CE7B1B8"/>
    <w:rsid w:val="2CE82E18"/>
    <w:rsid w:val="2CE8371B"/>
    <w:rsid w:val="2CE89377"/>
    <w:rsid w:val="2CEBAFC8"/>
    <w:rsid w:val="2CED41DD"/>
    <w:rsid w:val="2CED5839"/>
    <w:rsid w:val="2CED5EB0"/>
    <w:rsid w:val="2CEE58AE"/>
    <w:rsid w:val="2CEFC31F"/>
    <w:rsid w:val="2CF0B034"/>
    <w:rsid w:val="2CF0D1C6"/>
    <w:rsid w:val="2CF2A775"/>
    <w:rsid w:val="2CF2F4A0"/>
    <w:rsid w:val="2CF34AF9"/>
    <w:rsid w:val="2CF3E658"/>
    <w:rsid w:val="2CF46C25"/>
    <w:rsid w:val="2CF4A14C"/>
    <w:rsid w:val="2CF535EE"/>
    <w:rsid w:val="2CF64AD4"/>
    <w:rsid w:val="2CF6A0B4"/>
    <w:rsid w:val="2CF7045F"/>
    <w:rsid w:val="2CFAC251"/>
    <w:rsid w:val="2CFB5DC5"/>
    <w:rsid w:val="2CFBA8BA"/>
    <w:rsid w:val="2CFC2203"/>
    <w:rsid w:val="2CFC71A2"/>
    <w:rsid w:val="2CFF4FD1"/>
    <w:rsid w:val="2D0084D0"/>
    <w:rsid w:val="2D0155AF"/>
    <w:rsid w:val="2D01DE99"/>
    <w:rsid w:val="2D0250ED"/>
    <w:rsid w:val="2D035937"/>
    <w:rsid w:val="2D03861B"/>
    <w:rsid w:val="2D039843"/>
    <w:rsid w:val="2D04EFB3"/>
    <w:rsid w:val="2D065A74"/>
    <w:rsid w:val="2D0800CC"/>
    <w:rsid w:val="2D083426"/>
    <w:rsid w:val="2D0B3DFA"/>
    <w:rsid w:val="2D0C2892"/>
    <w:rsid w:val="2D0C4ED2"/>
    <w:rsid w:val="2D0D842F"/>
    <w:rsid w:val="2D0DFCF1"/>
    <w:rsid w:val="2D0ECA36"/>
    <w:rsid w:val="2D1346A6"/>
    <w:rsid w:val="2D146151"/>
    <w:rsid w:val="2D14DB17"/>
    <w:rsid w:val="2D15377E"/>
    <w:rsid w:val="2D1591BD"/>
    <w:rsid w:val="2D16AC17"/>
    <w:rsid w:val="2D16E6EC"/>
    <w:rsid w:val="2D192E97"/>
    <w:rsid w:val="2D19D816"/>
    <w:rsid w:val="2D19E560"/>
    <w:rsid w:val="2D1A4FEB"/>
    <w:rsid w:val="2D1A6838"/>
    <w:rsid w:val="2D1A9D8E"/>
    <w:rsid w:val="2D1AE050"/>
    <w:rsid w:val="2D1CAB55"/>
    <w:rsid w:val="2D1DE49F"/>
    <w:rsid w:val="2D1EB74F"/>
    <w:rsid w:val="2D1EC2AC"/>
    <w:rsid w:val="2D1F73EA"/>
    <w:rsid w:val="2D20277C"/>
    <w:rsid w:val="2D20DD46"/>
    <w:rsid w:val="2D2272B5"/>
    <w:rsid w:val="2D233765"/>
    <w:rsid w:val="2D2575C0"/>
    <w:rsid w:val="2D25EC72"/>
    <w:rsid w:val="2D262405"/>
    <w:rsid w:val="2D26C728"/>
    <w:rsid w:val="2D2A907C"/>
    <w:rsid w:val="2D2B0F03"/>
    <w:rsid w:val="2D2B24A3"/>
    <w:rsid w:val="2D2C040F"/>
    <w:rsid w:val="2D2C706D"/>
    <w:rsid w:val="2D2C75AA"/>
    <w:rsid w:val="2D2D2537"/>
    <w:rsid w:val="2D2ECC07"/>
    <w:rsid w:val="2D2EE920"/>
    <w:rsid w:val="2D2F469D"/>
    <w:rsid w:val="2D3124ED"/>
    <w:rsid w:val="2D31DD17"/>
    <w:rsid w:val="2D337B4B"/>
    <w:rsid w:val="2D355860"/>
    <w:rsid w:val="2D361849"/>
    <w:rsid w:val="2D377995"/>
    <w:rsid w:val="2D37F27E"/>
    <w:rsid w:val="2D385EF2"/>
    <w:rsid w:val="2D3AC6B8"/>
    <w:rsid w:val="2D3C1176"/>
    <w:rsid w:val="2D3DA75A"/>
    <w:rsid w:val="2D3DBB99"/>
    <w:rsid w:val="2D3ED17B"/>
    <w:rsid w:val="2D3FFB51"/>
    <w:rsid w:val="2D401709"/>
    <w:rsid w:val="2D40401C"/>
    <w:rsid w:val="2D404E05"/>
    <w:rsid w:val="2D42D047"/>
    <w:rsid w:val="2D42EDE9"/>
    <w:rsid w:val="2D430CB3"/>
    <w:rsid w:val="2D437D76"/>
    <w:rsid w:val="2D445689"/>
    <w:rsid w:val="2D45F681"/>
    <w:rsid w:val="2D4611D6"/>
    <w:rsid w:val="2D477991"/>
    <w:rsid w:val="2D48C92A"/>
    <w:rsid w:val="2D49B9D9"/>
    <w:rsid w:val="2D4CC371"/>
    <w:rsid w:val="2D4D680E"/>
    <w:rsid w:val="2D4FCD9A"/>
    <w:rsid w:val="2D525670"/>
    <w:rsid w:val="2D52E005"/>
    <w:rsid w:val="2D5388EF"/>
    <w:rsid w:val="2D552E78"/>
    <w:rsid w:val="2D570B33"/>
    <w:rsid w:val="2D588D51"/>
    <w:rsid w:val="2D59D8E6"/>
    <w:rsid w:val="2D5ADA4B"/>
    <w:rsid w:val="2D5B57BD"/>
    <w:rsid w:val="2D5B6035"/>
    <w:rsid w:val="2D5B8536"/>
    <w:rsid w:val="2D5C1CA2"/>
    <w:rsid w:val="2D5C3433"/>
    <w:rsid w:val="2D5C3A2A"/>
    <w:rsid w:val="2D5CE69C"/>
    <w:rsid w:val="2D5D7B37"/>
    <w:rsid w:val="2D5D8042"/>
    <w:rsid w:val="2D5D815B"/>
    <w:rsid w:val="2D5F2861"/>
    <w:rsid w:val="2D60B7AE"/>
    <w:rsid w:val="2D645CA0"/>
    <w:rsid w:val="2D651C61"/>
    <w:rsid w:val="2D666952"/>
    <w:rsid w:val="2D6677C9"/>
    <w:rsid w:val="2D66F0A1"/>
    <w:rsid w:val="2D6BAC38"/>
    <w:rsid w:val="2D6DE751"/>
    <w:rsid w:val="2D6E95DF"/>
    <w:rsid w:val="2D6FBA29"/>
    <w:rsid w:val="2D70B8F8"/>
    <w:rsid w:val="2D770051"/>
    <w:rsid w:val="2D776260"/>
    <w:rsid w:val="2D77A53A"/>
    <w:rsid w:val="2D785BD9"/>
    <w:rsid w:val="2D78986B"/>
    <w:rsid w:val="2D78CCD5"/>
    <w:rsid w:val="2D79FD90"/>
    <w:rsid w:val="2D7A67F9"/>
    <w:rsid w:val="2D7A856C"/>
    <w:rsid w:val="2D7AB9C4"/>
    <w:rsid w:val="2D7B7C0E"/>
    <w:rsid w:val="2D7D8F3B"/>
    <w:rsid w:val="2D80A668"/>
    <w:rsid w:val="2D80B777"/>
    <w:rsid w:val="2D80D467"/>
    <w:rsid w:val="2D82A2E6"/>
    <w:rsid w:val="2D82CE9F"/>
    <w:rsid w:val="2D82D2DF"/>
    <w:rsid w:val="2D83C9FF"/>
    <w:rsid w:val="2D83F13D"/>
    <w:rsid w:val="2D8476BE"/>
    <w:rsid w:val="2D877DB4"/>
    <w:rsid w:val="2D877E2A"/>
    <w:rsid w:val="2D87FADA"/>
    <w:rsid w:val="2D89FCE1"/>
    <w:rsid w:val="2D8AE418"/>
    <w:rsid w:val="2D8B9DBB"/>
    <w:rsid w:val="2D8CDF0E"/>
    <w:rsid w:val="2D9065AA"/>
    <w:rsid w:val="2D90A186"/>
    <w:rsid w:val="2D90A4D5"/>
    <w:rsid w:val="2D91A909"/>
    <w:rsid w:val="2D91B106"/>
    <w:rsid w:val="2D924E0C"/>
    <w:rsid w:val="2D9342E7"/>
    <w:rsid w:val="2D935710"/>
    <w:rsid w:val="2D94AD49"/>
    <w:rsid w:val="2D953209"/>
    <w:rsid w:val="2D954B98"/>
    <w:rsid w:val="2D992D5D"/>
    <w:rsid w:val="2D99791C"/>
    <w:rsid w:val="2D9A009B"/>
    <w:rsid w:val="2D9A986E"/>
    <w:rsid w:val="2D9CE2D6"/>
    <w:rsid w:val="2D9D4176"/>
    <w:rsid w:val="2D9EF079"/>
    <w:rsid w:val="2D9F7690"/>
    <w:rsid w:val="2DA01F6B"/>
    <w:rsid w:val="2DA0CF16"/>
    <w:rsid w:val="2DA1E1A7"/>
    <w:rsid w:val="2DA249BF"/>
    <w:rsid w:val="2DA65E7A"/>
    <w:rsid w:val="2DA9994D"/>
    <w:rsid w:val="2DA99F45"/>
    <w:rsid w:val="2DABD306"/>
    <w:rsid w:val="2DAC5BDC"/>
    <w:rsid w:val="2DACE4B6"/>
    <w:rsid w:val="2DAD1BE6"/>
    <w:rsid w:val="2DADA264"/>
    <w:rsid w:val="2DADE633"/>
    <w:rsid w:val="2DAE6115"/>
    <w:rsid w:val="2DAF528C"/>
    <w:rsid w:val="2DAF969D"/>
    <w:rsid w:val="2DB02D0C"/>
    <w:rsid w:val="2DB24F53"/>
    <w:rsid w:val="2DB33EF6"/>
    <w:rsid w:val="2DB3D2B9"/>
    <w:rsid w:val="2DB400E6"/>
    <w:rsid w:val="2DB62B2D"/>
    <w:rsid w:val="2DB6457C"/>
    <w:rsid w:val="2DB85F71"/>
    <w:rsid w:val="2DB89E8A"/>
    <w:rsid w:val="2DB9F9C9"/>
    <w:rsid w:val="2DBA480C"/>
    <w:rsid w:val="2DBBDFCE"/>
    <w:rsid w:val="2DBF56C8"/>
    <w:rsid w:val="2DBFCEC7"/>
    <w:rsid w:val="2DBFEA4F"/>
    <w:rsid w:val="2DC175C9"/>
    <w:rsid w:val="2DC257F6"/>
    <w:rsid w:val="2DC4DC0D"/>
    <w:rsid w:val="2DC6737D"/>
    <w:rsid w:val="2DC69470"/>
    <w:rsid w:val="2DC6B6E5"/>
    <w:rsid w:val="2DC73F5D"/>
    <w:rsid w:val="2DC7B12C"/>
    <w:rsid w:val="2DC8E035"/>
    <w:rsid w:val="2DC99CB6"/>
    <w:rsid w:val="2DCA8B16"/>
    <w:rsid w:val="2DCC01B4"/>
    <w:rsid w:val="2DCC0C03"/>
    <w:rsid w:val="2DCC9157"/>
    <w:rsid w:val="2DCEF69C"/>
    <w:rsid w:val="2DCF9755"/>
    <w:rsid w:val="2DCFE50B"/>
    <w:rsid w:val="2DCFF91F"/>
    <w:rsid w:val="2DD0CF67"/>
    <w:rsid w:val="2DD30459"/>
    <w:rsid w:val="2DD3869E"/>
    <w:rsid w:val="2DD44D2A"/>
    <w:rsid w:val="2DD47611"/>
    <w:rsid w:val="2DD602C3"/>
    <w:rsid w:val="2DD8783C"/>
    <w:rsid w:val="2DDA441C"/>
    <w:rsid w:val="2DDB29BF"/>
    <w:rsid w:val="2DDB432F"/>
    <w:rsid w:val="2DDBB7DD"/>
    <w:rsid w:val="2DDBD0BB"/>
    <w:rsid w:val="2DDBF801"/>
    <w:rsid w:val="2DDC69DE"/>
    <w:rsid w:val="2DDF22FB"/>
    <w:rsid w:val="2DDF601A"/>
    <w:rsid w:val="2DE03303"/>
    <w:rsid w:val="2DE5D4B9"/>
    <w:rsid w:val="2DE64BB2"/>
    <w:rsid w:val="2DE69D88"/>
    <w:rsid w:val="2DE6BDE4"/>
    <w:rsid w:val="2DE7CB8D"/>
    <w:rsid w:val="2DE81CAA"/>
    <w:rsid w:val="2DE8666A"/>
    <w:rsid w:val="2DE894EB"/>
    <w:rsid w:val="2DEA7524"/>
    <w:rsid w:val="2DEAA47C"/>
    <w:rsid w:val="2DEB88C8"/>
    <w:rsid w:val="2DEBB3CF"/>
    <w:rsid w:val="2DEC1245"/>
    <w:rsid w:val="2DEC3508"/>
    <w:rsid w:val="2DEC3ADC"/>
    <w:rsid w:val="2DEC65F9"/>
    <w:rsid w:val="2DEDF187"/>
    <w:rsid w:val="2DEE9B33"/>
    <w:rsid w:val="2DEEE5BD"/>
    <w:rsid w:val="2DEF9FBE"/>
    <w:rsid w:val="2DF0BBB9"/>
    <w:rsid w:val="2DF14AB4"/>
    <w:rsid w:val="2DF15985"/>
    <w:rsid w:val="2DF1BD62"/>
    <w:rsid w:val="2DF1C747"/>
    <w:rsid w:val="2DF44132"/>
    <w:rsid w:val="2DF46F30"/>
    <w:rsid w:val="2DF60CC5"/>
    <w:rsid w:val="2DF654E3"/>
    <w:rsid w:val="2DF668FC"/>
    <w:rsid w:val="2DF6C66D"/>
    <w:rsid w:val="2DF701FB"/>
    <w:rsid w:val="2DF8C2B8"/>
    <w:rsid w:val="2DF9034D"/>
    <w:rsid w:val="2DF95708"/>
    <w:rsid w:val="2DF9B325"/>
    <w:rsid w:val="2DF9E26C"/>
    <w:rsid w:val="2DFA014A"/>
    <w:rsid w:val="2DFA772C"/>
    <w:rsid w:val="2DFAA118"/>
    <w:rsid w:val="2DFE199B"/>
    <w:rsid w:val="2DFEA48E"/>
    <w:rsid w:val="2DFF37FD"/>
    <w:rsid w:val="2E001D4F"/>
    <w:rsid w:val="2E0105E0"/>
    <w:rsid w:val="2E02909E"/>
    <w:rsid w:val="2E04F5D4"/>
    <w:rsid w:val="2E04F6DE"/>
    <w:rsid w:val="2E076BCB"/>
    <w:rsid w:val="2E089ED6"/>
    <w:rsid w:val="2E08A81C"/>
    <w:rsid w:val="2E08E9C8"/>
    <w:rsid w:val="2E094312"/>
    <w:rsid w:val="2E09A021"/>
    <w:rsid w:val="2E09F788"/>
    <w:rsid w:val="2E0AA861"/>
    <w:rsid w:val="2E0C092F"/>
    <w:rsid w:val="2E0DBFB8"/>
    <w:rsid w:val="2E0DC6EE"/>
    <w:rsid w:val="2E0EA6DC"/>
    <w:rsid w:val="2E104800"/>
    <w:rsid w:val="2E122DD0"/>
    <w:rsid w:val="2E123991"/>
    <w:rsid w:val="2E13A37F"/>
    <w:rsid w:val="2E14280B"/>
    <w:rsid w:val="2E149636"/>
    <w:rsid w:val="2E15630C"/>
    <w:rsid w:val="2E16FA96"/>
    <w:rsid w:val="2E17ADD2"/>
    <w:rsid w:val="2E18556A"/>
    <w:rsid w:val="2E19DA46"/>
    <w:rsid w:val="2E1A6133"/>
    <w:rsid w:val="2E1A99F6"/>
    <w:rsid w:val="2E1AA920"/>
    <w:rsid w:val="2E1CE3CC"/>
    <w:rsid w:val="2E1CF604"/>
    <w:rsid w:val="2E1D4AF6"/>
    <w:rsid w:val="2E1DA0C3"/>
    <w:rsid w:val="2E1DDF97"/>
    <w:rsid w:val="2E1E50A4"/>
    <w:rsid w:val="2E1F6159"/>
    <w:rsid w:val="2E1FE2A6"/>
    <w:rsid w:val="2E21DEE5"/>
    <w:rsid w:val="2E21E759"/>
    <w:rsid w:val="2E22A8B5"/>
    <w:rsid w:val="2E23195C"/>
    <w:rsid w:val="2E240BF7"/>
    <w:rsid w:val="2E258B02"/>
    <w:rsid w:val="2E2AADD8"/>
    <w:rsid w:val="2E2C15F7"/>
    <w:rsid w:val="2E2C7E13"/>
    <w:rsid w:val="2E2DD1C6"/>
    <w:rsid w:val="2E2E8087"/>
    <w:rsid w:val="2E2F5A07"/>
    <w:rsid w:val="2E308FAD"/>
    <w:rsid w:val="2E30CBAD"/>
    <w:rsid w:val="2E31E47E"/>
    <w:rsid w:val="2E32DFF4"/>
    <w:rsid w:val="2E33DCC2"/>
    <w:rsid w:val="2E33E9B2"/>
    <w:rsid w:val="2E3460B8"/>
    <w:rsid w:val="2E35EEFE"/>
    <w:rsid w:val="2E37123D"/>
    <w:rsid w:val="2E374FB8"/>
    <w:rsid w:val="2E37A398"/>
    <w:rsid w:val="2E383AB0"/>
    <w:rsid w:val="2E38755F"/>
    <w:rsid w:val="2E3B8726"/>
    <w:rsid w:val="2E3B9125"/>
    <w:rsid w:val="2E3BD369"/>
    <w:rsid w:val="2E3BFD75"/>
    <w:rsid w:val="2E3CCAAE"/>
    <w:rsid w:val="2E3FDE4B"/>
    <w:rsid w:val="2E403B0D"/>
    <w:rsid w:val="2E41B113"/>
    <w:rsid w:val="2E41B77E"/>
    <w:rsid w:val="2E424E6B"/>
    <w:rsid w:val="2E445FE3"/>
    <w:rsid w:val="2E47686C"/>
    <w:rsid w:val="2E47CA15"/>
    <w:rsid w:val="2E4878D1"/>
    <w:rsid w:val="2E4A606E"/>
    <w:rsid w:val="2E4A6803"/>
    <w:rsid w:val="2E4B4C7E"/>
    <w:rsid w:val="2E4C2C78"/>
    <w:rsid w:val="2E4C7318"/>
    <w:rsid w:val="2E4DCCF3"/>
    <w:rsid w:val="2E4EEB29"/>
    <w:rsid w:val="2E4FC4B8"/>
    <w:rsid w:val="2E515328"/>
    <w:rsid w:val="2E55FAC1"/>
    <w:rsid w:val="2E56D136"/>
    <w:rsid w:val="2E587D79"/>
    <w:rsid w:val="2E58AFB8"/>
    <w:rsid w:val="2E58B339"/>
    <w:rsid w:val="2E59725D"/>
    <w:rsid w:val="2E5987B8"/>
    <w:rsid w:val="2E59E6AD"/>
    <w:rsid w:val="2E5A9793"/>
    <w:rsid w:val="2E5B1223"/>
    <w:rsid w:val="2E5B52F9"/>
    <w:rsid w:val="2E5B76D5"/>
    <w:rsid w:val="2E5B90AB"/>
    <w:rsid w:val="2E5C3582"/>
    <w:rsid w:val="2E5C7762"/>
    <w:rsid w:val="2E5D6878"/>
    <w:rsid w:val="2E5E9A76"/>
    <w:rsid w:val="2E5EA740"/>
    <w:rsid w:val="2E624585"/>
    <w:rsid w:val="2E625D69"/>
    <w:rsid w:val="2E650175"/>
    <w:rsid w:val="2E6614DC"/>
    <w:rsid w:val="2E67912B"/>
    <w:rsid w:val="2E69ED37"/>
    <w:rsid w:val="2E6A38F8"/>
    <w:rsid w:val="2E6A7CE3"/>
    <w:rsid w:val="2E6A8276"/>
    <w:rsid w:val="2E6B014D"/>
    <w:rsid w:val="2E6E5987"/>
    <w:rsid w:val="2E71587A"/>
    <w:rsid w:val="2E71C372"/>
    <w:rsid w:val="2E75B112"/>
    <w:rsid w:val="2E762B50"/>
    <w:rsid w:val="2E76394E"/>
    <w:rsid w:val="2E7766D7"/>
    <w:rsid w:val="2E78AA4F"/>
    <w:rsid w:val="2E790C4B"/>
    <w:rsid w:val="2E7BF734"/>
    <w:rsid w:val="2E7C60DD"/>
    <w:rsid w:val="2E7E9E20"/>
    <w:rsid w:val="2E7EE205"/>
    <w:rsid w:val="2E80F642"/>
    <w:rsid w:val="2E81648E"/>
    <w:rsid w:val="2E822885"/>
    <w:rsid w:val="2E82F20A"/>
    <w:rsid w:val="2E853ADA"/>
    <w:rsid w:val="2E85C1E1"/>
    <w:rsid w:val="2E8633B1"/>
    <w:rsid w:val="2E86477E"/>
    <w:rsid w:val="2E890196"/>
    <w:rsid w:val="2E8998E7"/>
    <w:rsid w:val="2E89C213"/>
    <w:rsid w:val="2E89D5E0"/>
    <w:rsid w:val="2E8A8298"/>
    <w:rsid w:val="2E8AC4D4"/>
    <w:rsid w:val="2E8C2033"/>
    <w:rsid w:val="2E91C877"/>
    <w:rsid w:val="2E92208B"/>
    <w:rsid w:val="2E922964"/>
    <w:rsid w:val="2E932185"/>
    <w:rsid w:val="2E936C6D"/>
    <w:rsid w:val="2E94CA58"/>
    <w:rsid w:val="2E95A765"/>
    <w:rsid w:val="2E95DF15"/>
    <w:rsid w:val="2E96C629"/>
    <w:rsid w:val="2E97BCC6"/>
    <w:rsid w:val="2E986866"/>
    <w:rsid w:val="2E988FD2"/>
    <w:rsid w:val="2E99F00C"/>
    <w:rsid w:val="2E9A8A6D"/>
    <w:rsid w:val="2E9AAD63"/>
    <w:rsid w:val="2E9B39A2"/>
    <w:rsid w:val="2E9B9807"/>
    <w:rsid w:val="2E9CD00F"/>
    <w:rsid w:val="2E9CD3A4"/>
    <w:rsid w:val="2E9D2174"/>
    <w:rsid w:val="2E9D3843"/>
    <w:rsid w:val="2E9F5EDE"/>
    <w:rsid w:val="2EA32320"/>
    <w:rsid w:val="2EA66283"/>
    <w:rsid w:val="2EA71B0B"/>
    <w:rsid w:val="2EA7342D"/>
    <w:rsid w:val="2EAB07DE"/>
    <w:rsid w:val="2EAB9FEF"/>
    <w:rsid w:val="2EABE27E"/>
    <w:rsid w:val="2EAC1BA8"/>
    <w:rsid w:val="2EAC21EF"/>
    <w:rsid w:val="2EAD1941"/>
    <w:rsid w:val="2EAD4492"/>
    <w:rsid w:val="2EADD7BD"/>
    <w:rsid w:val="2EADE64C"/>
    <w:rsid w:val="2EAE3140"/>
    <w:rsid w:val="2EAF6447"/>
    <w:rsid w:val="2EB1BB66"/>
    <w:rsid w:val="2EB28056"/>
    <w:rsid w:val="2EB2D2AA"/>
    <w:rsid w:val="2EB2EA48"/>
    <w:rsid w:val="2EB353C9"/>
    <w:rsid w:val="2EB5BBC9"/>
    <w:rsid w:val="2EB64D46"/>
    <w:rsid w:val="2EB70413"/>
    <w:rsid w:val="2EB713E2"/>
    <w:rsid w:val="2EB73B1C"/>
    <w:rsid w:val="2EB760AC"/>
    <w:rsid w:val="2EB7D369"/>
    <w:rsid w:val="2EB90B11"/>
    <w:rsid w:val="2EB98C71"/>
    <w:rsid w:val="2EBA2FB8"/>
    <w:rsid w:val="2EBA3B41"/>
    <w:rsid w:val="2EBC0EF6"/>
    <w:rsid w:val="2EBC42F8"/>
    <w:rsid w:val="2EBCCE23"/>
    <w:rsid w:val="2EBCE24E"/>
    <w:rsid w:val="2EBD5F6A"/>
    <w:rsid w:val="2EBE0324"/>
    <w:rsid w:val="2EC05742"/>
    <w:rsid w:val="2EC34C1E"/>
    <w:rsid w:val="2EC4EDB7"/>
    <w:rsid w:val="2EC56943"/>
    <w:rsid w:val="2EC6A567"/>
    <w:rsid w:val="2EC9234E"/>
    <w:rsid w:val="2ECA21E8"/>
    <w:rsid w:val="2ECC0853"/>
    <w:rsid w:val="2ECC2E3F"/>
    <w:rsid w:val="2ECDAFF9"/>
    <w:rsid w:val="2ECE5CD8"/>
    <w:rsid w:val="2ECE6CD9"/>
    <w:rsid w:val="2ECE945B"/>
    <w:rsid w:val="2ECF0EF1"/>
    <w:rsid w:val="2ED0EEB6"/>
    <w:rsid w:val="2ED16DF1"/>
    <w:rsid w:val="2ED1A5E0"/>
    <w:rsid w:val="2ED468A4"/>
    <w:rsid w:val="2ED504A2"/>
    <w:rsid w:val="2ED508C6"/>
    <w:rsid w:val="2ED6E51C"/>
    <w:rsid w:val="2ED780C1"/>
    <w:rsid w:val="2ED94074"/>
    <w:rsid w:val="2EDA8419"/>
    <w:rsid w:val="2EDE13C5"/>
    <w:rsid w:val="2EDE1FC1"/>
    <w:rsid w:val="2EDE25EC"/>
    <w:rsid w:val="2EDED900"/>
    <w:rsid w:val="2EDFA36F"/>
    <w:rsid w:val="2EE12265"/>
    <w:rsid w:val="2EE171CB"/>
    <w:rsid w:val="2EE2069F"/>
    <w:rsid w:val="2EE3262D"/>
    <w:rsid w:val="2EE33694"/>
    <w:rsid w:val="2EE3654C"/>
    <w:rsid w:val="2EE3A249"/>
    <w:rsid w:val="2EE3BB49"/>
    <w:rsid w:val="2EE3EC9C"/>
    <w:rsid w:val="2EE4180E"/>
    <w:rsid w:val="2EE57F72"/>
    <w:rsid w:val="2EE58DD1"/>
    <w:rsid w:val="2EE62011"/>
    <w:rsid w:val="2EE729DE"/>
    <w:rsid w:val="2EE7ED89"/>
    <w:rsid w:val="2EEA3F38"/>
    <w:rsid w:val="2EEAF044"/>
    <w:rsid w:val="2EEC1B36"/>
    <w:rsid w:val="2EEDFF42"/>
    <w:rsid w:val="2EEE4282"/>
    <w:rsid w:val="2EEF012E"/>
    <w:rsid w:val="2EEF08A9"/>
    <w:rsid w:val="2EF219E3"/>
    <w:rsid w:val="2EF30652"/>
    <w:rsid w:val="2EF30F81"/>
    <w:rsid w:val="2EF38336"/>
    <w:rsid w:val="2EF663DC"/>
    <w:rsid w:val="2EF78182"/>
    <w:rsid w:val="2EF90D19"/>
    <w:rsid w:val="2EF9A4B3"/>
    <w:rsid w:val="2EFA2B50"/>
    <w:rsid w:val="2EFA68D2"/>
    <w:rsid w:val="2EFCA247"/>
    <w:rsid w:val="2EFCF3EC"/>
    <w:rsid w:val="2EFE5B9B"/>
    <w:rsid w:val="2EFE60C2"/>
    <w:rsid w:val="2EFF9C7E"/>
    <w:rsid w:val="2EFFAB39"/>
    <w:rsid w:val="2F0044C0"/>
    <w:rsid w:val="2F007F92"/>
    <w:rsid w:val="2F00969C"/>
    <w:rsid w:val="2F0258EE"/>
    <w:rsid w:val="2F02AC4B"/>
    <w:rsid w:val="2F034CB0"/>
    <w:rsid w:val="2F064408"/>
    <w:rsid w:val="2F0727E9"/>
    <w:rsid w:val="2F074BC9"/>
    <w:rsid w:val="2F07F449"/>
    <w:rsid w:val="2F0A1481"/>
    <w:rsid w:val="2F0B6B10"/>
    <w:rsid w:val="2F0D2342"/>
    <w:rsid w:val="2F0D87DA"/>
    <w:rsid w:val="2F0E992A"/>
    <w:rsid w:val="2F0F795E"/>
    <w:rsid w:val="2F0FE669"/>
    <w:rsid w:val="2F1032AF"/>
    <w:rsid w:val="2F109171"/>
    <w:rsid w:val="2F10AF32"/>
    <w:rsid w:val="2F11413E"/>
    <w:rsid w:val="2F126AF5"/>
    <w:rsid w:val="2F1332C1"/>
    <w:rsid w:val="2F181CF8"/>
    <w:rsid w:val="2F18CB6E"/>
    <w:rsid w:val="2F198F65"/>
    <w:rsid w:val="2F19F7E6"/>
    <w:rsid w:val="2F1A95DD"/>
    <w:rsid w:val="2F1B8913"/>
    <w:rsid w:val="2F1BB94F"/>
    <w:rsid w:val="2F1C6147"/>
    <w:rsid w:val="2F1CD516"/>
    <w:rsid w:val="2F1EC86B"/>
    <w:rsid w:val="2F1FDFD4"/>
    <w:rsid w:val="2F208F95"/>
    <w:rsid w:val="2F20D646"/>
    <w:rsid w:val="2F2361A3"/>
    <w:rsid w:val="2F25A4AE"/>
    <w:rsid w:val="2F28C5E5"/>
    <w:rsid w:val="2F2951A5"/>
    <w:rsid w:val="2F2A622D"/>
    <w:rsid w:val="2F2A955B"/>
    <w:rsid w:val="2F2BEB97"/>
    <w:rsid w:val="2F2CAB1E"/>
    <w:rsid w:val="2F2DC87B"/>
    <w:rsid w:val="2F2E168C"/>
    <w:rsid w:val="2F2E9342"/>
    <w:rsid w:val="2F2ED686"/>
    <w:rsid w:val="2F2FB3DF"/>
    <w:rsid w:val="2F32CF06"/>
    <w:rsid w:val="2F33F5B8"/>
    <w:rsid w:val="2F3624BD"/>
    <w:rsid w:val="2F36CBE8"/>
    <w:rsid w:val="2F36CE51"/>
    <w:rsid w:val="2F36D4C0"/>
    <w:rsid w:val="2F37516D"/>
    <w:rsid w:val="2F3762B1"/>
    <w:rsid w:val="2F378891"/>
    <w:rsid w:val="2F3836B8"/>
    <w:rsid w:val="2F3AF3BF"/>
    <w:rsid w:val="2F3AFC28"/>
    <w:rsid w:val="2F3B0888"/>
    <w:rsid w:val="2F3D1C2C"/>
    <w:rsid w:val="2F3D9360"/>
    <w:rsid w:val="2F3F3BC9"/>
    <w:rsid w:val="2F3F4537"/>
    <w:rsid w:val="2F3F726F"/>
    <w:rsid w:val="2F41D0FC"/>
    <w:rsid w:val="2F41DD12"/>
    <w:rsid w:val="2F4284B7"/>
    <w:rsid w:val="2F437C53"/>
    <w:rsid w:val="2F4510AC"/>
    <w:rsid w:val="2F45838F"/>
    <w:rsid w:val="2F476292"/>
    <w:rsid w:val="2F47C8E6"/>
    <w:rsid w:val="2F4860AF"/>
    <w:rsid w:val="2F4974AA"/>
    <w:rsid w:val="2F4D74A6"/>
    <w:rsid w:val="2F4EA94B"/>
    <w:rsid w:val="2F4F36FD"/>
    <w:rsid w:val="2F4F4929"/>
    <w:rsid w:val="2F4F69C7"/>
    <w:rsid w:val="2F4F7E47"/>
    <w:rsid w:val="2F501CFC"/>
    <w:rsid w:val="2F53A182"/>
    <w:rsid w:val="2F53ED4E"/>
    <w:rsid w:val="2F5544A4"/>
    <w:rsid w:val="2F554B38"/>
    <w:rsid w:val="2F5551FF"/>
    <w:rsid w:val="2F559E44"/>
    <w:rsid w:val="2F563AB6"/>
    <w:rsid w:val="2F575DA5"/>
    <w:rsid w:val="2F57B490"/>
    <w:rsid w:val="2F595BD8"/>
    <w:rsid w:val="2F598A6E"/>
    <w:rsid w:val="2F59FF2E"/>
    <w:rsid w:val="2F5ABA5F"/>
    <w:rsid w:val="2F5B991F"/>
    <w:rsid w:val="2F5C2A96"/>
    <w:rsid w:val="2F5E2EA2"/>
    <w:rsid w:val="2F5EDB7A"/>
    <w:rsid w:val="2F5F2F47"/>
    <w:rsid w:val="2F60478D"/>
    <w:rsid w:val="2F61D692"/>
    <w:rsid w:val="2F62AF9D"/>
    <w:rsid w:val="2F631954"/>
    <w:rsid w:val="2F64DA7F"/>
    <w:rsid w:val="2F6654A4"/>
    <w:rsid w:val="2F66988F"/>
    <w:rsid w:val="2F6950F3"/>
    <w:rsid w:val="2F697C17"/>
    <w:rsid w:val="2F69F208"/>
    <w:rsid w:val="2F6B0A47"/>
    <w:rsid w:val="2F6B35EC"/>
    <w:rsid w:val="2F6BD490"/>
    <w:rsid w:val="2F6DD6DF"/>
    <w:rsid w:val="2F6E9134"/>
    <w:rsid w:val="2F6F6C3B"/>
    <w:rsid w:val="2F6F91F2"/>
    <w:rsid w:val="2F6FB396"/>
    <w:rsid w:val="2F7008C6"/>
    <w:rsid w:val="2F709F92"/>
    <w:rsid w:val="2F70B337"/>
    <w:rsid w:val="2F712EAF"/>
    <w:rsid w:val="2F713984"/>
    <w:rsid w:val="2F724499"/>
    <w:rsid w:val="2F729B33"/>
    <w:rsid w:val="2F735F65"/>
    <w:rsid w:val="2F737C51"/>
    <w:rsid w:val="2F741723"/>
    <w:rsid w:val="2F7464A5"/>
    <w:rsid w:val="2F74CAC5"/>
    <w:rsid w:val="2F74F077"/>
    <w:rsid w:val="2F75149E"/>
    <w:rsid w:val="2F77FF79"/>
    <w:rsid w:val="2F78E6DA"/>
    <w:rsid w:val="2F7AFBB2"/>
    <w:rsid w:val="2F7B7EA9"/>
    <w:rsid w:val="2F7C88CB"/>
    <w:rsid w:val="2F7D59AB"/>
    <w:rsid w:val="2F7DA3AD"/>
    <w:rsid w:val="2F7E146E"/>
    <w:rsid w:val="2F7FB7CB"/>
    <w:rsid w:val="2F7FEA4C"/>
    <w:rsid w:val="2F820445"/>
    <w:rsid w:val="2F82BE4A"/>
    <w:rsid w:val="2F82C0C5"/>
    <w:rsid w:val="2F839CCB"/>
    <w:rsid w:val="2F83E772"/>
    <w:rsid w:val="2F862A57"/>
    <w:rsid w:val="2F86F766"/>
    <w:rsid w:val="2F87DE02"/>
    <w:rsid w:val="2F888FF3"/>
    <w:rsid w:val="2F88CDD2"/>
    <w:rsid w:val="2F891D72"/>
    <w:rsid w:val="2F89EED5"/>
    <w:rsid w:val="2F8AABD0"/>
    <w:rsid w:val="2F8CDF0B"/>
    <w:rsid w:val="2F8D025C"/>
    <w:rsid w:val="2F8D7FEE"/>
    <w:rsid w:val="2F8DE900"/>
    <w:rsid w:val="2F8DE99E"/>
    <w:rsid w:val="2F8E17A2"/>
    <w:rsid w:val="2F8EF696"/>
    <w:rsid w:val="2F90FC68"/>
    <w:rsid w:val="2F922072"/>
    <w:rsid w:val="2F92D674"/>
    <w:rsid w:val="2F92F169"/>
    <w:rsid w:val="2F94F948"/>
    <w:rsid w:val="2F956565"/>
    <w:rsid w:val="2F969B8B"/>
    <w:rsid w:val="2F9794A0"/>
    <w:rsid w:val="2F9812FB"/>
    <w:rsid w:val="2F98A75A"/>
    <w:rsid w:val="2F9A1CCE"/>
    <w:rsid w:val="2F9B45B5"/>
    <w:rsid w:val="2F9BF398"/>
    <w:rsid w:val="2F9C30AA"/>
    <w:rsid w:val="2F9C856B"/>
    <w:rsid w:val="2F9CB715"/>
    <w:rsid w:val="2F9E02ED"/>
    <w:rsid w:val="2F9EF53D"/>
    <w:rsid w:val="2FA0180D"/>
    <w:rsid w:val="2FA04A0B"/>
    <w:rsid w:val="2FA0CC00"/>
    <w:rsid w:val="2FA2F59A"/>
    <w:rsid w:val="2FA3A111"/>
    <w:rsid w:val="2FA40094"/>
    <w:rsid w:val="2FA51715"/>
    <w:rsid w:val="2FA64051"/>
    <w:rsid w:val="2FA65C68"/>
    <w:rsid w:val="2FA6DAD0"/>
    <w:rsid w:val="2FA7140F"/>
    <w:rsid w:val="2FA7D6D3"/>
    <w:rsid w:val="2FA802F2"/>
    <w:rsid w:val="2FA81989"/>
    <w:rsid w:val="2FA924B7"/>
    <w:rsid w:val="2FAB0EB3"/>
    <w:rsid w:val="2FAB4737"/>
    <w:rsid w:val="2FABA3BC"/>
    <w:rsid w:val="2FAD11A4"/>
    <w:rsid w:val="2FAECAF5"/>
    <w:rsid w:val="2FAEF75E"/>
    <w:rsid w:val="2FAF8AE9"/>
    <w:rsid w:val="2FB0BA58"/>
    <w:rsid w:val="2FB11797"/>
    <w:rsid w:val="2FB1A781"/>
    <w:rsid w:val="2FB296D7"/>
    <w:rsid w:val="2FB3E13E"/>
    <w:rsid w:val="2FB5AC33"/>
    <w:rsid w:val="2FB61549"/>
    <w:rsid w:val="2FB67375"/>
    <w:rsid w:val="2FB9143E"/>
    <w:rsid w:val="2FB9F921"/>
    <w:rsid w:val="2FBAC329"/>
    <w:rsid w:val="2FBB6BB9"/>
    <w:rsid w:val="2FBCDC9D"/>
    <w:rsid w:val="2FBD1985"/>
    <w:rsid w:val="2FBD19D5"/>
    <w:rsid w:val="2FBD4EFF"/>
    <w:rsid w:val="2FBE238A"/>
    <w:rsid w:val="2FBE53B8"/>
    <w:rsid w:val="2FC12EBC"/>
    <w:rsid w:val="2FC2AFA0"/>
    <w:rsid w:val="2FC303FB"/>
    <w:rsid w:val="2FC30B34"/>
    <w:rsid w:val="2FC424AC"/>
    <w:rsid w:val="2FC5DBF7"/>
    <w:rsid w:val="2FC69A0D"/>
    <w:rsid w:val="2FC6F043"/>
    <w:rsid w:val="2FC75A32"/>
    <w:rsid w:val="2FC8397B"/>
    <w:rsid w:val="2FC88599"/>
    <w:rsid w:val="2FC8B7DB"/>
    <w:rsid w:val="2FC9DFF8"/>
    <w:rsid w:val="2FCAA5BB"/>
    <w:rsid w:val="2FCB6CAD"/>
    <w:rsid w:val="2FCE2AA7"/>
    <w:rsid w:val="2FCFB1A1"/>
    <w:rsid w:val="2FD15FA7"/>
    <w:rsid w:val="2FD168DC"/>
    <w:rsid w:val="2FD1BF81"/>
    <w:rsid w:val="2FD3180A"/>
    <w:rsid w:val="2FD35FE7"/>
    <w:rsid w:val="2FD554BA"/>
    <w:rsid w:val="2FD6BC17"/>
    <w:rsid w:val="2FD80514"/>
    <w:rsid w:val="2FD859BB"/>
    <w:rsid w:val="2FDA0886"/>
    <w:rsid w:val="2FDAC666"/>
    <w:rsid w:val="2FDAFF29"/>
    <w:rsid w:val="2FDB2D20"/>
    <w:rsid w:val="2FDCA8EB"/>
    <w:rsid w:val="2FDD3888"/>
    <w:rsid w:val="2FDD69FF"/>
    <w:rsid w:val="2FDDC085"/>
    <w:rsid w:val="2FDE617B"/>
    <w:rsid w:val="2FDF5753"/>
    <w:rsid w:val="2FE05F88"/>
    <w:rsid w:val="2FE14DFD"/>
    <w:rsid w:val="2FE20504"/>
    <w:rsid w:val="2FE37C87"/>
    <w:rsid w:val="2FE3E7C2"/>
    <w:rsid w:val="2FE49653"/>
    <w:rsid w:val="2FE560FB"/>
    <w:rsid w:val="2FE5F478"/>
    <w:rsid w:val="2FE71343"/>
    <w:rsid w:val="2FE875E7"/>
    <w:rsid w:val="2FE99127"/>
    <w:rsid w:val="2FEA9D0D"/>
    <w:rsid w:val="2FEB699F"/>
    <w:rsid w:val="2FEC46F6"/>
    <w:rsid w:val="2FF0132B"/>
    <w:rsid w:val="2FF20418"/>
    <w:rsid w:val="2FF24CCB"/>
    <w:rsid w:val="2FF3F6D5"/>
    <w:rsid w:val="2FF4ECF8"/>
    <w:rsid w:val="2FF5A96B"/>
    <w:rsid w:val="2FF67D23"/>
    <w:rsid w:val="2FF77241"/>
    <w:rsid w:val="2FF7CB80"/>
    <w:rsid w:val="2FF90FA0"/>
    <w:rsid w:val="2FF9E9F2"/>
    <w:rsid w:val="2FFAF763"/>
    <w:rsid w:val="2FFB7F46"/>
    <w:rsid w:val="2FFC6A85"/>
    <w:rsid w:val="2FFC6FE5"/>
    <w:rsid w:val="2FFCFAF0"/>
    <w:rsid w:val="2FFF27B1"/>
    <w:rsid w:val="30001A9B"/>
    <w:rsid w:val="3000F85F"/>
    <w:rsid w:val="3003618C"/>
    <w:rsid w:val="3003C20E"/>
    <w:rsid w:val="30056853"/>
    <w:rsid w:val="3006EA71"/>
    <w:rsid w:val="3007FF65"/>
    <w:rsid w:val="3008AB1D"/>
    <w:rsid w:val="30096A4D"/>
    <w:rsid w:val="30099FF5"/>
    <w:rsid w:val="300D6121"/>
    <w:rsid w:val="300E409F"/>
    <w:rsid w:val="300EC837"/>
    <w:rsid w:val="300EE509"/>
    <w:rsid w:val="300F77FC"/>
    <w:rsid w:val="301063B0"/>
    <w:rsid w:val="3011C67D"/>
    <w:rsid w:val="30121745"/>
    <w:rsid w:val="30123635"/>
    <w:rsid w:val="301251CC"/>
    <w:rsid w:val="3013A55B"/>
    <w:rsid w:val="30141B9B"/>
    <w:rsid w:val="3015312B"/>
    <w:rsid w:val="30157F9B"/>
    <w:rsid w:val="3015FE41"/>
    <w:rsid w:val="301942CA"/>
    <w:rsid w:val="30199408"/>
    <w:rsid w:val="301B9711"/>
    <w:rsid w:val="301BF807"/>
    <w:rsid w:val="301D6952"/>
    <w:rsid w:val="301E357C"/>
    <w:rsid w:val="301E3CB9"/>
    <w:rsid w:val="301EE54A"/>
    <w:rsid w:val="301F54F5"/>
    <w:rsid w:val="30214C73"/>
    <w:rsid w:val="302169FB"/>
    <w:rsid w:val="3022EA7B"/>
    <w:rsid w:val="3023EBC3"/>
    <w:rsid w:val="3024B606"/>
    <w:rsid w:val="302555ED"/>
    <w:rsid w:val="3026DF09"/>
    <w:rsid w:val="30294AA3"/>
    <w:rsid w:val="302C4EFA"/>
    <w:rsid w:val="302D6F03"/>
    <w:rsid w:val="302E1D2B"/>
    <w:rsid w:val="30304576"/>
    <w:rsid w:val="3031C44B"/>
    <w:rsid w:val="3031FB89"/>
    <w:rsid w:val="303228DC"/>
    <w:rsid w:val="30325FBD"/>
    <w:rsid w:val="30327D1F"/>
    <w:rsid w:val="30328F5E"/>
    <w:rsid w:val="3033A636"/>
    <w:rsid w:val="3033ED6D"/>
    <w:rsid w:val="303604BC"/>
    <w:rsid w:val="30365ADD"/>
    <w:rsid w:val="30368658"/>
    <w:rsid w:val="30368F03"/>
    <w:rsid w:val="3037785B"/>
    <w:rsid w:val="30379DF3"/>
    <w:rsid w:val="3039043C"/>
    <w:rsid w:val="3039E67B"/>
    <w:rsid w:val="303B85D7"/>
    <w:rsid w:val="303BAAEA"/>
    <w:rsid w:val="303BFB2C"/>
    <w:rsid w:val="303E06F3"/>
    <w:rsid w:val="30410497"/>
    <w:rsid w:val="30420BFC"/>
    <w:rsid w:val="3042C24A"/>
    <w:rsid w:val="3042C8F6"/>
    <w:rsid w:val="3044524C"/>
    <w:rsid w:val="30448C20"/>
    <w:rsid w:val="30462E88"/>
    <w:rsid w:val="3046717D"/>
    <w:rsid w:val="304685DB"/>
    <w:rsid w:val="30484272"/>
    <w:rsid w:val="304A0B94"/>
    <w:rsid w:val="304BE84B"/>
    <w:rsid w:val="304C5630"/>
    <w:rsid w:val="304E1F7F"/>
    <w:rsid w:val="304EE387"/>
    <w:rsid w:val="30502D30"/>
    <w:rsid w:val="3050B2E5"/>
    <w:rsid w:val="3051D7FF"/>
    <w:rsid w:val="30528AB1"/>
    <w:rsid w:val="3052F3AA"/>
    <w:rsid w:val="3053987B"/>
    <w:rsid w:val="30542E7E"/>
    <w:rsid w:val="3054835E"/>
    <w:rsid w:val="3054E39C"/>
    <w:rsid w:val="305505BD"/>
    <w:rsid w:val="30558EED"/>
    <w:rsid w:val="305629B2"/>
    <w:rsid w:val="30575E12"/>
    <w:rsid w:val="30595F8A"/>
    <w:rsid w:val="305A92EA"/>
    <w:rsid w:val="305AF513"/>
    <w:rsid w:val="305B89E5"/>
    <w:rsid w:val="305BAFA4"/>
    <w:rsid w:val="305C6E2C"/>
    <w:rsid w:val="305C72D1"/>
    <w:rsid w:val="305CA3C6"/>
    <w:rsid w:val="305CB276"/>
    <w:rsid w:val="305CEDD1"/>
    <w:rsid w:val="305E6C9B"/>
    <w:rsid w:val="305E7406"/>
    <w:rsid w:val="305F2DD5"/>
    <w:rsid w:val="30601C30"/>
    <w:rsid w:val="3060B6E5"/>
    <w:rsid w:val="3060EA7D"/>
    <w:rsid w:val="3061F672"/>
    <w:rsid w:val="3062C683"/>
    <w:rsid w:val="3062FA5F"/>
    <w:rsid w:val="30636868"/>
    <w:rsid w:val="306396F8"/>
    <w:rsid w:val="3063D801"/>
    <w:rsid w:val="3065903C"/>
    <w:rsid w:val="30680A3E"/>
    <w:rsid w:val="306977CC"/>
    <w:rsid w:val="3069DDBB"/>
    <w:rsid w:val="306BE073"/>
    <w:rsid w:val="306D6E11"/>
    <w:rsid w:val="306E9FFA"/>
    <w:rsid w:val="306F4065"/>
    <w:rsid w:val="306F652B"/>
    <w:rsid w:val="306F961F"/>
    <w:rsid w:val="306FA1FD"/>
    <w:rsid w:val="306FAE2B"/>
    <w:rsid w:val="306FEF38"/>
    <w:rsid w:val="3071310E"/>
    <w:rsid w:val="30720D92"/>
    <w:rsid w:val="307338A9"/>
    <w:rsid w:val="30749A55"/>
    <w:rsid w:val="3075AD74"/>
    <w:rsid w:val="3078E2E9"/>
    <w:rsid w:val="3079E92E"/>
    <w:rsid w:val="3079F44B"/>
    <w:rsid w:val="3079F64D"/>
    <w:rsid w:val="307B059E"/>
    <w:rsid w:val="307B423B"/>
    <w:rsid w:val="307B514B"/>
    <w:rsid w:val="307DBC04"/>
    <w:rsid w:val="307FB075"/>
    <w:rsid w:val="30800290"/>
    <w:rsid w:val="30802CB8"/>
    <w:rsid w:val="308039A1"/>
    <w:rsid w:val="30809507"/>
    <w:rsid w:val="30815A9B"/>
    <w:rsid w:val="30817D7E"/>
    <w:rsid w:val="3082227D"/>
    <w:rsid w:val="3084307A"/>
    <w:rsid w:val="3084BCB2"/>
    <w:rsid w:val="3084C3A8"/>
    <w:rsid w:val="3085397B"/>
    <w:rsid w:val="3085832D"/>
    <w:rsid w:val="3085C6CD"/>
    <w:rsid w:val="308695E7"/>
    <w:rsid w:val="30873111"/>
    <w:rsid w:val="308A8DB5"/>
    <w:rsid w:val="308C0634"/>
    <w:rsid w:val="308C5CBE"/>
    <w:rsid w:val="308E55FC"/>
    <w:rsid w:val="308EE494"/>
    <w:rsid w:val="308F0C88"/>
    <w:rsid w:val="308FDB80"/>
    <w:rsid w:val="30907BE6"/>
    <w:rsid w:val="309172F2"/>
    <w:rsid w:val="309207FC"/>
    <w:rsid w:val="309314A5"/>
    <w:rsid w:val="30939A7A"/>
    <w:rsid w:val="3093AC62"/>
    <w:rsid w:val="309463A0"/>
    <w:rsid w:val="3094DD28"/>
    <w:rsid w:val="3095BD67"/>
    <w:rsid w:val="3096D6E9"/>
    <w:rsid w:val="3098DD50"/>
    <w:rsid w:val="3098E4E1"/>
    <w:rsid w:val="30993986"/>
    <w:rsid w:val="309AA15D"/>
    <w:rsid w:val="309E23CD"/>
    <w:rsid w:val="309E5DCB"/>
    <w:rsid w:val="309E912C"/>
    <w:rsid w:val="309EB79B"/>
    <w:rsid w:val="309F4FE2"/>
    <w:rsid w:val="309FBFA7"/>
    <w:rsid w:val="309FBFE9"/>
    <w:rsid w:val="30A0029F"/>
    <w:rsid w:val="30A00AAD"/>
    <w:rsid w:val="30A1419D"/>
    <w:rsid w:val="30A17215"/>
    <w:rsid w:val="30A1BD3F"/>
    <w:rsid w:val="30A31B0A"/>
    <w:rsid w:val="30A438E3"/>
    <w:rsid w:val="30A4E378"/>
    <w:rsid w:val="30A5420A"/>
    <w:rsid w:val="30A58813"/>
    <w:rsid w:val="30A616C6"/>
    <w:rsid w:val="30A659C4"/>
    <w:rsid w:val="30A6764A"/>
    <w:rsid w:val="30A946D9"/>
    <w:rsid w:val="30A9C969"/>
    <w:rsid w:val="30AB683B"/>
    <w:rsid w:val="30AB78AE"/>
    <w:rsid w:val="30AF0322"/>
    <w:rsid w:val="30B0AD4E"/>
    <w:rsid w:val="30B19E52"/>
    <w:rsid w:val="30B289E1"/>
    <w:rsid w:val="30B2FCFB"/>
    <w:rsid w:val="30B32A92"/>
    <w:rsid w:val="30B4014F"/>
    <w:rsid w:val="30B48E2D"/>
    <w:rsid w:val="30B71B6E"/>
    <w:rsid w:val="30B8EF03"/>
    <w:rsid w:val="30B94C65"/>
    <w:rsid w:val="30BA03CE"/>
    <w:rsid w:val="30BAAA76"/>
    <w:rsid w:val="30BBD70B"/>
    <w:rsid w:val="30BC97A7"/>
    <w:rsid w:val="30BDE4B1"/>
    <w:rsid w:val="30C0073F"/>
    <w:rsid w:val="30C03EAC"/>
    <w:rsid w:val="30C0FEB3"/>
    <w:rsid w:val="30C17C30"/>
    <w:rsid w:val="30C30A4C"/>
    <w:rsid w:val="30C35E81"/>
    <w:rsid w:val="30C3EB73"/>
    <w:rsid w:val="30C5629B"/>
    <w:rsid w:val="30C5D1FC"/>
    <w:rsid w:val="30C64F5C"/>
    <w:rsid w:val="30C7F6D3"/>
    <w:rsid w:val="30C82C32"/>
    <w:rsid w:val="30CA03DE"/>
    <w:rsid w:val="30CA4B43"/>
    <w:rsid w:val="30CBD141"/>
    <w:rsid w:val="30CE1763"/>
    <w:rsid w:val="30CF5E63"/>
    <w:rsid w:val="30CFBD63"/>
    <w:rsid w:val="30D2B5CD"/>
    <w:rsid w:val="30D387FE"/>
    <w:rsid w:val="30D39A3D"/>
    <w:rsid w:val="30D39EE0"/>
    <w:rsid w:val="30D3B09C"/>
    <w:rsid w:val="30D47027"/>
    <w:rsid w:val="30D52A7D"/>
    <w:rsid w:val="30D53DFF"/>
    <w:rsid w:val="30D5643C"/>
    <w:rsid w:val="30D7A54F"/>
    <w:rsid w:val="30D7FDAA"/>
    <w:rsid w:val="30D894A5"/>
    <w:rsid w:val="30D8A7FF"/>
    <w:rsid w:val="30D8B0D0"/>
    <w:rsid w:val="30D918FA"/>
    <w:rsid w:val="30D98121"/>
    <w:rsid w:val="30DB33E6"/>
    <w:rsid w:val="30DB3AB9"/>
    <w:rsid w:val="30DBEA05"/>
    <w:rsid w:val="30DC61E1"/>
    <w:rsid w:val="30DC8C9F"/>
    <w:rsid w:val="30DC988C"/>
    <w:rsid w:val="30DEA421"/>
    <w:rsid w:val="30DED157"/>
    <w:rsid w:val="30DF9EC7"/>
    <w:rsid w:val="30E224E5"/>
    <w:rsid w:val="30E25A52"/>
    <w:rsid w:val="30E54FEB"/>
    <w:rsid w:val="30E63F03"/>
    <w:rsid w:val="30E675D7"/>
    <w:rsid w:val="30E701EC"/>
    <w:rsid w:val="30E7D251"/>
    <w:rsid w:val="30E7DFF8"/>
    <w:rsid w:val="30E93FDC"/>
    <w:rsid w:val="30E9C641"/>
    <w:rsid w:val="30EA7563"/>
    <w:rsid w:val="30EA7EB8"/>
    <w:rsid w:val="30EC9F71"/>
    <w:rsid w:val="30EEF566"/>
    <w:rsid w:val="30EFB5D1"/>
    <w:rsid w:val="30F06D24"/>
    <w:rsid w:val="30F0729A"/>
    <w:rsid w:val="30F0F780"/>
    <w:rsid w:val="30F13C6D"/>
    <w:rsid w:val="30F239C2"/>
    <w:rsid w:val="30F28707"/>
    <w:rsid w:val="30F44E15"/>
    <w:rsid w:val="30F6AC8C"/>
    <w:rsid w:val="30F726AE"/>
    <w:rsid w:val="30F79980"/>
    <w:rsid w:val="30FA59F4"/>
    <w:rsid w:val="30FB3EA9"/>
    <w:rsid w:val="30FB47CC"/>
    <w:rsid w:val="30FB676A"/>
    <w:rsid w:val="30FDD529"/>
    <w:rsid w:val="31050E8C"/>
    <w:rsid w:val="3105E556"/>
    <w:rsid w:val="31068EDD"/>
    <w:rsid w:val="310731AD"/>
    <w:rsid w:val="3107AD67"/>
    <w:rsid w:val="31087D86"/>
    <w:rsid w:val="3108F7E6"/>
    <w:rsid w:val="310A4EEA"/>
    <w:rsid w:val="310B19C5"/>
    <w:rsid w:val="310BADC5"/>
    <w:rsid w:val="310E05F9"/>
    <w:rsid w:val="310E0D22"/>
    <w:rsid w:val="310EE1A3"/>
    <w:rsid w:val="310F6F2D"/>
    <w:rsid w:val="31106CBE"/>
    <w:rsid w:val="31109250"/>
    <w:rsid w:val="3115C7A4"/>
    <w:rsid w:val="311617E1"/>
    <w:rsid w:val="3118E344"/>
    <w:rsid w:val="3118EA99"/>
    <w:rsid w:val="3119EB06"/>
    <w:rsid w:val="311CBCCA"/>
    <w:rsid w:val="311D95DD"/>
    <w:rsid w:val="311F35E0"/>
    <w:rsid w:val="311FFFB8"/>
    <w:rsid w:val="31208114"/>
    <w:rsid w:val="3120B457"/>
    <w:rsid w:val="31220144"/>
    <w:rsid w:val="31223647"/>
    <w:rsid w:val="3123E357"/>
    <w:rsid w:val="31254DF1"/>
    <w:rsid w:val="31267381"/>
    <w:rsid w:val="3128405D"/>
    <w:rsid w:val="312E808D"/>
    <w:rsid w:val="312EA7B7"/>
    <w:rsid w:val="312EB2CC"/>
    <w:rsid w:val="312F2382"/>
    <w:rsid w:val="312F8F46"/>
    <w:rsid w:val="312FA988"/>
    <w:rsid w:val="31318176"/>
    <w:rsid w:val="31318873"/>
    <w:rsid w:val="3131F0BD"/>
    <w:rsid w:val="313202B9"/>
    <w:rsid w:val="31329929"/>
    <w:rsid w:val="3132D962"/>
    <w:rsid w:val="31341153"/>
    <w:rsid w:val="31363268"/>
    <w:rsid w:val="3136C9D9"/>
    <w:rsid w:val="313830B9"/>
    <w:rsid w:val="31395572"/>
    <w:rsid w:val="313ABF89"/>
    <w:rsid w:val="313D7A4F"/>
    <w:rsid w:val="313DC690"/>
    <w:rsid w:val="313DF1B1"/>
    <w:rsid w:val="313EE407"/>
    <w:rsid w:val="313FBFEA"/>
    <w:rsid w:val="313FE464"/>
    <w:rsid w:val="3140095D"/>
    <w:rsid w:val="31423E39"/>
    <w:rsid w:val="3142F2DF"/>
    <w:rsid w:val="3143E712"/>
    <w:rsid w:val="314453D8"/>
    <w:rsid w:val="3144F14E"/>
    <w:rsid w:val="3145292A"/>
    <w:rsid w:val="314567B0"/>
    <w:rsid w:val="314573B0"/>
    <w:rsid w:val="3146F887"/>
    <w:rsid w:val="31472DBA"/>
    <w:rsid w:val="314758A7"/>
    <w:rsid w:val="31485C2B"/>
    <w:rsid w:val="3149ADDF"/>
    <w:rsid w:val="314A07E2"/>
    <w:rsid w:val="314A848C"/>
    <w:rsid w:val="314AF06D"/>
    <w:rsid w:val="314BBCB1"/>
    <w:rsid w:val="314ECBCD"/>
    <w:rsid w:val="31505335"/>
    <w:rsid w:val="3150772D"/>
    <w:rsid w:val="3150D8EE"/>
    <w:rsid w:val="3151BB53"/>
    <w:rsid w:val="3151E5AA"/>
    <w:rsid w:val="3152A0C9"/>
    <w:rsid w:val="3153AEF4"/>
    <w:rsid w:val="3153D5BC"/>
    <w:rsid w:val="3154790C"/>
    <w:rsid w:val="31554F63"/>
    <w:rsid w:val="31558FF6"/>
    <w:rsid w:val="315614B1"/>
    <w:rsid w:val="31574558"/>
    <w:rsid w:val="3157DE22"/>
    <w:rsid w:val="31593855"/>
    <w:rsid w:val="3159A451"/>
    <w:rsid w:val="3159E703"/>
    <w:rsid w:val="315DB3A4"/>
    <w:rsid w:val="315E20FF"/>
    <w:rsid w:val="315EBB51"/>
    <w:rsid w:val="316019AE"/>
    <w:rsid w:val="3160FF32"/>
    <w:rsid w:val="3163D69E"/>
    <w:rsid w:val="3164D54D"/>
    <w:rsid w:val="3165304F"/>
    <w:rsid w:val="3165EF37"/>
    <w:rsid w:val="3167D3E8"/>
    <w:rsid w:val="316824A2"/>
    <w:rsid w:val="31693E7E"/>
    <w:rsid w:val="316989B3"/>
    <w:rsid w:val="316A1FA7"/>
    <w:rsid w:val="316AC5ED"/>
    <w:rsid w:val="316B5CE8"/>
    <w:rsid w:val="316C8684"/>
    <w:rsid w:val="316E4AE8"/>
    <w:rsid w:val="316E587D"/>
    <w:rsid w:val="3171E248"/>
    <w:rsid w:val="3172FC34"/>
    <w:rsid w:val="31744511"/>
    <w:rsid w:val="31767BB6"/>
    <w:rsid w:val="3176969F"/>
    <w:rsid w:val="317696C7"/>
    <w:rsid w:val="31769DD3"/>
    <w:rsid w:val="3176F688"/>
    <w:rsid w:val="31770B55"/>
    <w:rsid w:val="317782C6"/>
    <w:rsid w:val="3179C792"/>
    <w:rsid w:val="317A0A3A"/>
    <w:rsid w:val="317A31DC"/>
    <w:rsid w:val="317AAE43"/>
    <w:rsid w:val="317B4A87"/>
    <w:rsid w:val="317BF683"/>
    <w:rsid w:val="317D1391"/>
    <w:rsid w:val="317F9E15"/>
    <w:rsid w:val="3180751A"/>
    <w:rsid w:val="318096FD"/>
    <w:rsid w:val="3181315C"/>
    <w:rsid w:val="31813AEB"/>
    <w:rsid w:val="31822BB2"/>
    <w:rsid w:val="31837B25"/>
    <w:rsid w:val="31838823"/>
    <w:rsid w:val="318499C2"/>
    <w:rsid w:val="3184A021"/>
    <w:rsid w:val="3186D294"/>
    <w:rsid w:val="318726AB"/>
    <w:rsid w:val="31898250"/>
    <w:rsid w:val="31899E3D"/>
    <w:rsid w:val="318AA2F7"/>
    <w:rsid w:val="318AAA8B"/>
    <w:rsid w:val="318B079A"/>
    <w:rsid w:val="318EC25C"/>
    <w:rsid w:val="3191A30C"/>
    <w:rsid w:val="31935B02"/>
    <w:rsid w:val="3194A990"/>
    <w:rsid w:val="3196D27A"/>
    <w:rsid w:val="3198640B"/>
    <w:rsid w:val="3198E091"/>
    <w:rsid w:val="3199253B"/>
    <w:rsid w:val="319955EF"/>
    <w:rsid w:val="319A5825"/>
    <w:rsid w:val="319A6993"/>
    <w:rsid w:val="319C98BC"/>
    <w:rsid w:val="319C9A15"/>
    <w:rsid w:val="319CC5B5"/>
    <w:rsid w:val="319DC48F"/>
    <w:rsid w:val="319DD0F5"/>
    <w:rsid w:val="319ED9F7"/>
    <w:rsid w:val="319F1F56"/>
    <w:rsid w:val="319F5C6F"/>
    <w:rsid w:val="319F9207"/>
    <w:rsid w:val="31A0827A"/>
    <w:rsid w:val="31A0B022"/>
    <w:rsid w:val="31A11368"/>
    <w:rsid w:val="31A20812"/>
    <w:rsid w:val="31A44DC3"/>
    <w:rsid w:val="31A4BD87"/>
    <w:rsid w:val="31A52438"/>
    <w:rsid w:val="31A5810C"/>
    <w:rsid w:val="31A5F020"/>
    <w:rsid w:val="31A61177"/>
    <w:rsid w:val="31A67C79"/>
    <w:rsid w:val="31A6F7D4"/>
    <w:rsid w:val="31A73E6F"/>
    <w:rsid w:val="31A848BB"/>
    <w:rsid w:val="31A93157"/>
    <w:rsid w:val="31A99668"/>
    <w:rsid w:val="31AB17D2"/>
    <w:rsid w:val="31ACA701"/>
    <w:rsid w:val="31AD929A"/>
    <w:rsid w:val="31AF90DD"/>
    <w:rsid w:val="31B03EA6"/>
    <w:rsid w:val="31B13570"/>
    <w:rsid w:val="31B165C3"/>
    <w:rsid w:val="31B1F088"/>
    <w:rsid w:val="31B3299C"/>
    <w:rsid w:val="31B44D4A"/>
    <w:rsid w:val="31B463D1"/>
    <w:rsid w:val="31B5D7D0"/>
    <w:rsid w:val="31B70891"/>
    <w:rsid w:val="31B70F44"/>
    <w:rsid w:val="31B79C6E"/>
    <w:rsid w:val="31B7CA6A"/>
    <w:rsid w:val="31B9EBBE"/>
    <w:rsid w:val="31BA263F"/>
    <w:rsid w:val="31BA4D2A"/>
    <w:rsid w:val="31BB5A74"/>
    <w:rsid w:val="31BBCC4D"/>
    <w:rsid w:val="31BBF7B6"/>
    <w:rsid w:val="31BCA76F"/>
    <w:rsid w:val="31BCE806"/>
    <w:rsid w:val="31BDD4F1"/>
    <w:rsid w:val="31BE5287"/>
    <w:rsid w:val="31BF4741"/>
    <w:rsid w:val="31C00B54"/>
    <w:rsid w:val="31C0DFE6"/>
    <w:rsid w:val="31C1D0C7"/>
    <w:rsid w:val="31C21A49"/>
    <w:rsid w:val="31C25DB0"/>
    <w:rsid w:val="31C37818"/>
    <w:rsid w:val="31C3A715"/>
    <w:rsid w:val="31C536B1"/>
    <w:rsid w:val="31C57524"/>
    <w:rsid w:val="31C68281"/>
    <w:rsid w:val="31C76105"/>
    <w:rsid w:val="31C7C038"/>
    <w:rsid w:val="31C88C53"/>
    <w:rsid w:val="31CA4A0D"/>
    <w:rsid w:val="31CBE23C"/>
    <w:rsid w:val="31CC2C6F"/>
    <w:rsid w:val="31CDAC23"/>
    <w:rsid w:val="31CDFFD0"/>
    <w:rsid w:val="31CE1EFB"/>
    <w:rsid w:val="31CE5F58"/>
    <w:rsid w:val="31CF27DB"/>
    <w:rsid w:val="31D05C5C"/>
    <w:rsid w:val="31D09215"/>
    <w:rsid w:val="31D1C470"/>
    <w:rsid w:val="31D3247E"/>
    <w:rsid w:val="31D46CBE"/>
    <w:rsid w:val="31D48B92"/>
    <w:rsid w:val="31D5B134"/>
    <w:rsid w:val="31D74139"/>
    <w:rsid w:val="31D824EA"/>
    <w:rsid w:val="31D958AD"/>
    <w:rsid w:val="31D9EDAC"/>
    <w:rsid w:val="31DC6791"/>
    <w:rsid w:val="31DC8DC5"/>
    <w:rsid w:val="31DCEE99"/>
    <w:rsid w:val="31DDCB7B"/>
    <w:rsid w:val="31DE5D45"/>
    <w:rsid w:val="31DE5EFC"/>
    <w:rsid w:val="31DE7E45"/>
    <w:rsid w:val="31E02BBF"/>
    <w:rsid w:val="31E04C87"/>
    <w:rsid w:val="31E0F4FB"/>
    <w:rsid w:val="31E1E8D7"/>
    <w:rsid w:val="31E291CA"/>
    <w:rsid w:val="31E461E3"/>
    <w:rsid w:val="31E4D5F1"/>
    <w:rsid w:val="31E533C5"/>
    <w:rsid w:val="31E53BC2"/>
    <w:rsid w:val="31E6EDC4"/>
    <w:rsid w:val="31E6F450"/>
    <w:rsid w:val="31E8A92D"/>
    <w:rsid w:val="31E97D81"/>
    <w:rsid w:val="31EA0BB4"/>
    <w:rsid w:val="31EB66FA"/>
    <w:rsid w:val="31EC3A3D"/>
    <w:rsid w:val="31F01B6C"/>
    <w:rsid w:val="31F0C8BF"/>
    <w:rsid w:val="31F10F37"/>
    <w:rsid w:val="31F138B8"/>
    <w:rsid w:val="31F147A1"/>
    <w:rsid w:val="31F28C43"/>
    <w:rsid w:val="31F3CBFA"/>
    <w:rsid w:val="31F3D62C"/>
    <w:rsid w:val="31F48586"/>
    <w:rsid w:val="31F4A411"/>
    <w:rsid w:val="31F6A650"/>
    <w:rsid w:val="31FB4566"/>
    <w:rsid w:val="31FB57FF"/>
    <w:rsid w:val="31FBACB2"/>
    <w:rsid w:val="31FD25C0"/>
    <w:rsid w:val="31FE6425"/>
    <w:rsid w:val="31FE6E5C"/>
    <w:rsid w:val="31FE95F3"/>
    <w:rsid w:val="32003868"/>
    <w:rsid w:val="32015D33"/>
    <w:rsid w:val="32021CBA"/>
    <w:rsid w:val="3202C08D"/>
    <w:rsid w:val="3203D0B0"/>
    <w:rsid w:val="32076732"/>
    <w:rsid w:val="32087791"/>
    <w:rsid w:val="320A29AE"/>
    <w:rsid w:val="320A8313"/>
    <w:rsid w:val="320B2071"/>
    <w:rsid w:val="320B2F84"/>
    <w:rsid w:val="320B8049"/>
    <w:rsid w:val="320D4242"/>
    <w:rsid w:val="320E94D0"/>
    <w:rsid w:val="321027EC"/>
    <w:rsid w:val="3210A6D8"/>
    <w:rsid w:val="32113E02"/>
    <w:rsid w:val="3211947D"/>
    <w:rsid w:val="3211B721"/>
    <w:rsid w:val="32132825"/>
    <w:rsid w:val="3213374E"/>
    <w:rsid w:val="32148405"/>
    <w:rsid w:val="3214BCC6"/>
    <w:rsid w:val="321581C0"/>
    <w:rsid w:val="3215B7CE"/>
    <w:rsid w:val="3216BF7E"/>
    <w:rsid w:val="3217677B"/>
    <w:rsid w:val="32177C52"/>
    <w:rsid w:val="3217CCCB"/>
    <w:rsid w:val="32183641"/>
    <w:rsid w:val="32186126"/>
    <w:rsid w:val="32195C9C"/>
    <w:rsid w:val="321AD63C"/>
    <w:rsid w:val="321ADA18"/>
    <w:rsid w:val="321C8048"/>
    <w:rsid w:val="321D6B5F"/>
    <w:rsid w:val="321F1AA4"/>
    <w:rsid w:val="321F9A1D"/>
    <w:rsid w:val="32217871"/>
    <w:rsid w:val="32231A44"/>
    <w:rsid w:val="322328AE"/>
    <w:rsid w:val="3224A45D"/>
    <w:rsid w:val="3225D9B2"/>
    <w:rsid w:val="3225E79B"/>
    <w:rsid w:val="3225F5E1"/>
    <w:rsid w:val="32266F02"/>
    <w:rsid w:val="3226A6C2"/>
    <w:rsid w:val="3227166D"/>
    <w:rsid w:val="32273E0F"/>
    <w:rsid w:val="32287913"/>
    <w:rsid w:val="322DF187"/>
    <w:rsid w:val="322E5BEE"/>
    <w:rsid w:val="322F43E9"/>
    <w:rsid w:val="322FC67C"/>
    <w:rsid w:val="3230C3FF"/>
    <w:rsid w:val="3231ED5D"/>
    <w:rsid w:val="32328684"/>
    <w:rsid w:val="323481AF"/>
    <w:rsid w:val="32386986"/>
    <w:rsid w:val="3239A507"/>
    <w:rsid w:val="3239BD89"/>
    <w:rsid w:val="3239D3E7"/>
    <w:rsid w:val="3239D53E"/>
    <w:rsid w:val="323A1B2A"/>
    <w:rsid w:val="323A70E6"/>
    <w:rsid w:val="323B9BC2"/>
    <w:rsid w:val="323C04FE"/>
    <w:rsid w:val="323E7E49"/>
    <w:rsid w:val="3240B5BF"/>
    <w:rsid w:val="3245173B"/>
    <w:rsid w:val="32465158"/>
    <w:rsid w:val="3247EED1"/>
    <w:rsid w:val="32480FCD"/>
    <w:rsid w:val="32483C6D"/>
    <w:rsid w:val="32486BE1"/>
    <w:rsid w:val="32487A41"/>
    <w:rsid w:val="324D1660"/>
    <w:rsid w:val="324DBEE1"/>
    <w:rsid w:val="324E8B88"/>
    <w:rsid w:val="324F8EC5"/>
    <w:rsid w:val="324F92FA"/>
    <w:rsid w:val="324FD64C"/>
    <w:rsid w:val="3253DE0B"/>
    <w:rsid w:val="32568726"/>
    <w:rsid w:val="325797BA"/>
    <w:rsid w:val="32587DB4"/>
    <w:rsid w:val="325A52E6"/>
    <w:rsid w:val="325AB7F7"/>
    <w:rsid w:val="325F0B0A"/>
    <w:rsid w:val="32609047"/>
    <w:rsid w:val="326134C7"/>
    <w:rsid w:val="3261D25F"/>
    <w:rsid w:val="32626B79"/>
    <w:rsid w:val="3262A5A6"/>
    <w:rsid w:val="32633E1B"/>
    <w:rsid w:val="3264D232"/>
    <w:rsid w:val="326570F7"/>
    <w:rsid w:val="3265985A"/>
    <w:rsid w:val="32663F97"/>
    <w:rsid w:val="3267DFA9"/>
    <w:rsid w:val="326802F4"/>
    <w:rsid w:val="32685143"/>
    <w:rsid w:val="3269D050"/>
    <w:rsid w:val="326A2D09"/>
    <w:rsid w:val="326A7681"/>
    <w:rsid w:val="326A91FA"/>
    <w:rsid w:val="326C86CB"/>
    <w:rsid w:val="326D809A"/>
    <w:rsid w:val="326E0C71"/>
    <w:rsid w:val="326EE979"/>
    <w:rsid w:val="32704883"/>
    <w:rsid w:val="32712785"/>
    <w:rsid w:val="32719955"/>
    <w:rsid w:val="32725DD8"/>
    <w:rsid w:val="3273D6D3"/>
    <w:rsid w:val="327699BC"/>
    <w:rsid w:val="3277BEA6"/>
    <w:rsid w:val="3277E49D"/>
    <w:rsid w:val="32788598"/>
    <w:rsid w:val="327A4499"/>
    <w:rsid w:val="327B0F92"/>
    <w:rsid w:val="327BF5B1"/>
    <w:rsid w:val="327C4F3F"/>
    <w:rsid w:val="327CE010"/>
    <w:rsid w:val="327D7BA9"/>
    <w:rsid w:val="327ED60F"/>
    <w:rsid w:val="32811B74"/>
    <w:rsid w:val="3281364B"/>
    <w:rsid w:val="328179A8"/>
    <w:rsid w:val="32821523"/>
    <w:rsid w:val="32825192"/>
    <w:rsid w:val="3282D44D"/>
    <w:rsid w:val="3282D9B3"/>
    <w:rsid w:val="32837571"/>
    <w:rsid w:val="3284359C"/>
    <w:rsid w:val="3284E52D"/>
    <w:rsid w:val="328911A2"/>
    <w:rsid w:val="328A828F"/>
    <w:rsid w:val="328B0A1F"/>
    <w:rsid w:val="328B8F70"/>
    <w:rsid w:val="328BA4F1"/>
    <w:rsid w:val="328BF635"/>
    <w:rsid w:val="328C0B53"/>
    <w:rsid w:val="328E1CD3"/>
    <w:rsid w:val="328F2E3B"/>
    <w:rsid w:val="328FDEEB"/>
    <w:rsid w:val="328FF327"/>
    <w:rsid w:val="3291A960"/>
    <w:rsid w:val="3291F98C"/>
    <w:rsid w:val="32920850"/>
    <w:rsid w:val="3292D53B"/>
    <w:rsid w:val="32947027"/>
    <w:rsid w:val="3294F4B6"/>
    <w:rsid w:val="32962E58"/>
    <w:rsid w:val="32963EC1"/>
    <w:rsid w:val="32972558"/>
    <w:rsid w:val="32973B7F"/>
    <w:rsid w:val="329853A6"/>
    <w:rsid w:val="329A785D"/>
    <w:rsid w:val="329A919C"/>
    <w:rsid w:val="329B1C4F"/>
    <w:rsid w:val="329DF916"/>
    <w:rsid w:val="329E3030"/>
    <w:rsid w:val="32A01527"/>
    <w:rsid w:val="32A03F33"/>
    <w:rsid w:val="32A06874"/>
    <w:rsid w:val="32A1AE4E"/>
    <w:rsid w:val="32A1D00C"/>
    <w:rsid w:val="32A2A55F"/>
    <w:rsid w:val="32A37FC7"/>
    <w:rsid w:val="32A580EA"/>
    <w:rsid w:val="32A5F7CB"/>
    <w:rsid w:val="32A67489"/>
    <w:rsid w:val="32ABB840"/>
    <w:rsid w:val="32AD6349"/>
    <w:rsid w:val="32AD6EFB"/>
    <w:rsid w:val="32AE00F7"/>
    <w:rsid w:val="32AFED7D"/>
    <w:rsid w:val="32B048A8"/>
    <w:rsid w:val="32B0DCFF"/>
    <w:rsid w:val="32B1E6C4"/>
    <w:rsid w:val="32B2D673"/>
    <w:rsid w:val="32B408A7"/>
    <w:rsid w:val="32B5CDBF"/>
    <w:rsid w:val="32B5EBAF"/>
    <w:rsid w:val="32B757C2"/>
    <w:rsid w:val="32B7588D"/>
    <w:rsid w:val="32B78E50"/>
    <w:rsid w:val="32B7FD0F"/>
    <w:rsid w:val="32B88A0F"/>
    <w:rsid w:val="32B8CBB0"/>
    <w:rsid w:val="32B8DB92"/>
    <w:rsid w:val="32B9DB9C"/>
    <w:rsid w:val="32BEE151"/>
    <w:rsid w:val="32BF2946"/>
    <w:rsid w:val="32C40B45"/>
    <w:rsid w:val="32C4DD20"/>
    <w:rsid w:val="32C56869"/>
    <w:rsid w:val="32C6D9E8"/>
    <w:rsid w:val="32C85C1A"/>
    <w:rsid w:val="32C94756"/>
    <w:rsid w:val="32C9475A"/>
    <w:rsid w:val="32C9F4AA"/>
    <w:rsid w:val="32CA5AC3"/>
    <w:rsid w:val="32CB6177"/>
    <w:rsid w:val="32CB7AD2"/>
    <w:rsid w:val="32CD4088"/>
    <w:rsid w:val="32CE0FD7"/>
    <w:rsid w:val="32D0C7BC"/>
    <w:rsid w:val="32D2106D"/>
    <w:rsid w:val="32D2FED5"/>
    <w:rsid w:val="32D39B71"/>
    <w:rsid w:val="32D39FCC"/>
    <w:rsid w:val="32D4B3D8"/>
    <w:rsid w:val="32D5251E"/>
    <w:rsid w:val="32D57034"/>
    <w:rsid w:val="32D5A3E1"/>
    <w:rsid w:val="32D7A2DA"/>
    <w:rsid w:val="32D7B16E"/>
    <w:rsid w:val="32D954A8"/>
    <w:rsid w:val="32DB41D3"/>
    <w:rsid w:val="32DCC92A"/>
    <w:rsid w:val="32DEC8FB"/>
    <w:rsid w:val="32E03F19"/>
    <w:rsid w:val="32E2C09F"/>
    <w:rsid w:val="32E32908"/>
    <w:rsid w:val="32E38065"/>
    <w:rsid w:val="32E5F4E0"/>
    <w:rsid w:val="32E935A3"/>
    <w:rsid w:val="32EB14A0"/>
    <w:rsid w:val="32EB1A8B"/>
    <w:rsid w:val="32EC45E0"/>
    <w:rsid w:val="32EE0075"/>
    <w:rsid w:val="32F483F5"/>
    <w:rsid w:val="32F4B26B"/>
    <w:rsid w:val="32F670E5"/>
    <w:rsid w:val="32F683FA"/>
    <w:rsid w:val="32F7D215"/>
    <w:rsid w:val="32F977A0"/>
    <w:rsid w:val="32FA1077"/>
    <w:rsid w:val="32FCB30F"/>
    <w:rsid w:val="32FED164"/>
    <w:rsid w:val="32FF5097"/>
    <w:rsid w:val="3300BF95"/>
    <w:rsid w:val="330448F1"/>
    <w:rsid w:val="3307B03C"/>
    <w:rsid w:val="3307F94C"/>
    <w:rsid w:val="3308678E"/>
    <w:rsid w:val="330871FC"/>
    <w:rsid w:val="330A08E7"/>
    <w:rsid w:val="330AE6ED"/>
    <w:rsid w:val="330B9A90"/>
    <w:rsid w:val="330D7798"/>
    <w:rsid w:val="330DCA5B"/>
    <w:rsid w:val="330E7B9A"/>
    <w:rsid w:val="330ED6AD"/>
    <w:rsid w:val="3312B555"/>
    <w:rsid w:val="33132E33"/>
    <w:rsid w:val="3316B9DC"/>
    <w:rsid w:val="3317F4AB"/>
    <w:rsid w:val="331896CB"/>
    <w:rsid w:val="331A3B7B"/>
    <w:rsid w:val="331ABD05"/>
    <w:rsid w:val="331ABFA3"/>
    <w:rsid w:val="331B15AC"/>
    <w:rsid w:val="331CB938"/>
    <w:rsid w:val="331CE314"/>
    <w:rsid w:val="331DE297"/>
    <w:rsid w:val="331E9958"/>
    <w:rsid w:val="331FAF30"/>
    <w:rsid w:val="332096F0"/>
    <w:rsid w:val="33209AFF"/>
    <w:rsid w:val="332110A3"/>
    <w:rsid w:val="33229EB5"/>
    <w:rsid w:val="33232E63"/>
    <w:rsid w:val="3324887C"/>
    <w:rsid w:val="33253125"/>
    <w:rsid w:val="332548B3"/>
    <w:rsid w:val="33269589"/>
    <w:rsid w:val="3326CBFF"/>
    <w:rsid w:val="3328E50C"/>
    <w:rsid w:val="332A2AFF"/>
    <w:rsid w:val="332BC92D"/>
    <w:rsid w:val="332DCB1E"/>
    <w:rsid w:val="332E49E3"/>
    <w:rsid w:val="332F4C43"/>
    <w:rsid w:val="332F6140"/>
    <w:rsid w:val="3330F72B"/>
    <w:rsid w:val="3331ED9E"/>
    <w:rsid w:val="333270C5"/>
    <w:rsid w:val="33328121"/>
    <w:rsid w:val="33328E84"/>
    <w:rsid w:val="3332E910"/>
    <w:rsid w:val="33331FE6"/>
    <w:rsid w:val="33338113"/>
    <w:rsid w:val="3333AA71"/>
    <w:rsid w:val="333417DF"/>
    <w:rsid w:val="3334F2BB"/>
    <w:rsid w:val="33384EF0"/>
    <w:rsid w:val="33390BBB"/>
    <w:rsid w:val="333AD089"/>
    <w:rsid w:val="333BD783"/>
    <w:rsid w:val="333BE0C3"/>
    <w:rsid w:val="333D28B3"/>
    <w:rsid w:val="333F4142"/>
    <w:rsid w:val="333F4404"/>
    <w:rsid w:val="33406F86"/>
    <w:rsid w:val="3340CCA5"/>
    <w:rsid w:val="33415870"/>
    <w:rsid w:val="3342437E"/>
    <w:rsid w:val="3343E5F6"/>
    <w:rsid w:val="334412F5"/>
    <w:rsid w:val="33444C75"/>
    <w:rsid w:val="3344A173"/>
    <w:rsid w:val="3344EC00"/>
    <w:rsid w:val="33474D99"/>
    <w:rsid w:val="334878D3"/>
    <w:rsid w:val="3348BBE8"/>
    <w:rsid w:val="33491B14"/>
    <w:rsid w:val="3349FE2D"/>
    <w:rsid w:val="334A350A"/>
    <w:rsid w:val="334A7297"/>
    <w:rsid w:val="334AB5BB"/>
    <w:rsid w:val="334ABF2F"/>
    <w:rsid w:val="334E6031"/>
    <w:rsid w:val="334F5B7A"/>
    <w:rsid w:val="334FF634"/>
    <w:rsid w:val="335276B0"/>
    <w:rsid w:val="33536CA3"/>
    <w:rsid w:val="33536D55"/>
    <w:rsid w:val="3353E9BB"/>
    <w:rsid w:val="3353EBA1"/>
    <w:rsid w:val="3355B74A"/>
    <w:rsid w:val="335633C2"/>
    <w:rsid w:val="33568EE8"/>
    <w:rsid w:val="33587E3E"/>
    <w:rsid w:val="3358B711"/>
    <w:rsid w:val="33597225"/>
    <w:rsid w:val="33599219"/>
    <w:rsid w:val="335B89F7"/>
    <w:rsid w:val="335C4881"/>
    <w:rsid w:val="335C5FD8"/>
    <w:rsid w:val="335F08AF"/>
    <w:rsid w:val="33600F23"/>
    <w:rsid w:val="33634AD2"/>
    <w:rsid w:val="3363EA60"/>
    <w:rsid w:val="336402C3"/>
    <w:rsid w:val="33655AFB"/>
    <w:rsid w:val="3367B42D"/>
    <w:rsid w:val="3368E4D1"/>
    <w:rsid w:val="336A1297"/>
    <w:rsid w:val="336A3B3E"/>
    <w:rsid w:val="336A7A77"/>
    <w:rsid w:val="336B2DE9"/>
    <w:rsid w:val="336B9915"/>
    <w:rsid w:val="336C0360"/>
    <w:rsid w:val="336DB73A"/>
    <w:rsid w:val="336ED590"/>
    <w:rsid w:val="336FEC5B"/>
    <w:rsid w:val="33716C0F"/>
    <w:rsid w:val="3371BF34"/>
    <w:rsid w:val="3374E1CA"/>
    <w:rsid w:val="33756ABF"/>
    <w:rsid w:val="3375CBFD"/>
    <w:rsid w:val="3378331E"/>
    <w:rsid w:val="3379730B"/>
    <w:rsid w:val="337975C9"/>
    <w:rsid w:val="3379A943"/>
    <w:rsid w:val="337AF90D"/>
    <w:rsid w:val="337B0708"/>
    <w:rsid w:val="337B65B3"/>
    <w:rsid w:val="337BABB2"/>
    <w:rsid w:val="337C7559"/>
    <w:rsid w:val="337CA031"/>
    <w:rsid w:val="337DC21F"/>
    <w:rsid w:val="337DD8CC"/>
    <w:rsid w:val="337EE31C"/>
    <w:rsid w:val="337F7EDC"/>
    <w:rsid w:val="33803325"/>
    <w:rsid w:val="338079C8"/>
    <w:rsid w:val="3380DDAA"/>
    <w:rsid w:val="3380EAB6"/>
    <w:rsid w:val="3382E969"/>
    <w:rsid w:val="33841FB1"/>
    <w:rsid w:val="33849B22"/>
    <w:rsid w:val="3384CB04"/>
    <w:rsid w:val="3384F25E"/>
    <w:rsid w:val="338512F2"/>
    <w:rsid w:val="3385BC69"/>
    <w:rsid w:val="3385C8DA"/>
    <w:rsid w:val="33866C27"/>
    <w:rsid w:val="3386EA17"/>
    <w:rsid w:val="3387CB1B"/>
    <w:rsid w:val="3387D2B8"/>
    <w:rsid w:val="33882A3E"/>
    <w:rsid w:val="33894489"/>
    <w:rsid w:val="3389B216"/>
    <w:rsid w:val="3389CEC9"/>
    <w:rsid w:val="338B3CF4"/>
    <w:rsid w:val="338B48CD"/>
    <w:rsid w:val="338C98CB"/>
    <w:rsid w:val="338F99AD"/>
    <w:rsid w:val="33906BBF"/>
    <w:rsid w:val="339426D1"/>
    <w:rsid w:val="3394D83B"/>
    <w:rsid w:val="3394E8D6"/>
    <w:rsid w:val="339514DD"/>
    <w:rsid w:val="3395626B"/>
    <w:rsid w:val="3395BCB0"/>
    <w:rsid w:val="33966627"/>
    <w:rsid w:val="33977F30"/>
    <w:rsid w:val="3397FE47"/>
    <w:rsid w:val="3399E2E9"/>
    <w:rsid w:val="339B9A3E"/>
    <w:rsid w:val="339CA8C0"/>
    <w:rsid w:val="339DA1F3"/>
    <w:rsid w:val="339DB4DF"/>
    <w:rsid w:val="339E121F"/>
    <w:rsid w:val="33A0023D"/>
    <w:rsid w:val="33A04F92"/>
    <w:rsid w:val="33A13223"/>
    <w:rsid w:val="33A1C461"/>
    <w:rsid w:val="33A37D84"/>
    <w:rsid w:val="33A57E65"/>
    <w:rsid w:val="33A6811C"/>
    <w:rsid w:val="33A9E48E"/>
    <w:rsid w:val="33ACD060"/>
    <w:rsid w:val="33AFC0B7"/>
    <w:rsid w:val="33B02FB0"/>
    <w:rsid w:val="33B083D5"/>
    <w:rsid w:val="33B12BB7"/>
    <w:rsid w:val="33B1ED04"/>
    <w:rsid w:val="33B24E06"/>
    <w:rsid w:val="33B28D90"/>
    <w:rsid w:val="33B34E12"/>
    <w:rsid w:val="33B39002"/>
    <w:rsid w:val="33B5EB16"/>
    <w:rsid w:val="33B607B1"/>
    <w:rsid w:val="33B7346F"/>
    <w:rsid w:val="33B84132"/>
    <w:rsid w:val="33B946D5"/>
    <w:rsid w:val="33BA7E54"/>
    <w:rsid w:val="33BCF9C7"/>
    <w:rsid w:val="33BE5958"/>
    <w:rsid w:val="33C0A016"/>
    <w:rsid w:val="33C0BBBC"/>
    <w:rsid w:val="33C13197"/>
    <w:rsid w:val="33C1ADCE"/>
    <w:rsid w:val="33C27026"/>
    <w:rsid w:val="33C4402E"/>
    <w:rsid w:val="33C56CEB"/>
    <w:rsid w:val="33C5D660"/>
    <w:rsid w:val="33C60276"/>
    <w:rsid w:val="33C6904A"/>
    <w:rsid w:val="33C6D5B7"/>
    <w:rsid w:val="33C79A37"/>
    <w:rsid w:val="33C81AF7"/>
    <w:rsid w:val="33C88FB2"/>
    <w:rsid w:val="33C890A6"/>
    <w:rsid w:val="33C91BF6"/>
    <w:rsid w:val="33C9BF3F"/>
    <w:rsid w:val="33CEBFCB"/>
    <w:rsid w:val="33D2AE69"/>
    <w:rsid w:val="33D2AEF1"/>
    <w:rsid w:val="33D445C4"/>
    <w:rsid w:val="33D687A2"/>
    <w:rsid w:val="33D6C451"/>
    <w:rsid w:val="33D74B79"/>
    <w:rsid w:val="33D74BDA"/>
    <w:rsid w:val="33DA3D35"/>
    <w:rsid w:val="33DAF0F1"/>
    <w:rsid w:val="33DCCD3E"/>
    <w:rsid w:val="33DE543C"/>
    <w:rsid w:val="33DEA08C"/>
    <w:rsid w:val="33E0F978"/>
    <w:rsid w:val="33E2B48A"/>
    <w:rsid w:val="33E2EC29"/>
    <w:rsid w:val="33E3AAAF"/>
    <w:rsid w:val="33E47605"/>
    <w:rsid w:val="33E544D2"/>
    <w:rsid w:val="33E56C74"/>
    <w:rsid w:val="33E5EE75"/>
    <w:rsid w:val="33E6F4BB"/>
    <w:rsid w:val="33E8164D"/>
    <w:rsid w:val="33EA18D1"/>
    <w:rsid w:val="33EA7BE3"/>
    <w:rsid w:val="33EC505B"/>
    <w:rsid w:val="33EC57C1"/>
    <w:rsid w:val="33ED27CF"/>
    <w:rsid w:val="33F265B0"/>
    <w:rsid w:val="33F424AD"/>
    <w:rsid w:val="33F45BA3"/>
    <w:rsid w:val="33F4BEAF"/>
    <w:rsid w:val="33F5C873"/>
    <w:rsid w:val="33F65132"/>
    <w:rsid w:val="33F67B0C"/>
    <w:rsid w:val="33F6BA9C"/>
    <w:rsid w:val="33F6ED74"/>
    <w:rsid w:val="33F81D89"/>
    <w:rsid w:val="33F87AD3"/>
    <w:rsid w:val="33F8CD18"/>
    <w:rsid w:val="33FA6A2B"/>
    <w:rsid w:val="33FCDB49"/>
    <w:rsid w:val="33FD4E6B"/>
    <w:rsid w:val="33FDDE0B"/>
    <w:rsid w:val="33FE1C71"/>
    <w:rsid w:val="340037D0"/>
    <w:rsid w:val="340295C4"/>
    <w:rsid w:val="34038092"/>
    <w:rsid w:val="3403E5D9"/>
    <w:rsid w:val="34049894"/>
    <w:rsid w:val="34051625"/>
    <w:rsid w:val="3405562D"/>
    <w:rsid w:val="34079C6C"/>
    <w:rsid w:val="340898FD"/>
    <w:rsid w:val="34093AE0"/>
    <w:rsid w:val="3409A37B"/>
    <w:rsid w:val="340A7AAF"/>
    <w:rsid w:val="340A8D1C"/>
    <w:rsid w:val="340B1214"/>
    <w:rsid w:val="340B1631"/>
    <w:rsid w:val="340BF166"/>
    <w:rsid w:val="340C0D18"/>
    <w:rsid w:val="340D56B0"/>
    <w:rsid w:val="340D6AFC"/>
    <w:rsid w:val="340E0040"/>
    <w:rsid w:val="340EE9BE"/>
    <w:rsid w:val="34111321"/>
    <w:rsid w:val="3411C1A8"/>
    <w:rsid w:val="3412B55E"/>
    <w:rsid w:val="341303B6"/>
    <w:rsid w:val="34135F36"/>
    <w:rsid w:val="34148A21"/>
    <w:rsid w:val="34157411"/>
    <w:rsid w:val="341611D1"/>
    <w:rsid w:val="3416C8D4"/>
    <w:rsid w:val="34176998"/>
    <w:rsid w:val="3417AF31"/>
    <w:rsid w:val="341CC84A"/>
    <w:rsid w:val="341D4B21"/>
    <w:rsid w:val="341E77B3"/>
    <w:rsid w:val="341ED0BB"/>
    <w:rsid w:val="341F696F"/>
    <w:rsid w:val="3420EF1F"/>
    <w:rsid w:val="34219D22"/>
    <w:rsid w:val="3421A6D7"/>
    <w:rsid w:val="3421B835"/>
    <w:rsid w:val="3422534C"/>
    <w:rsid w:val="34240829"/>
    <w:rsid w:val="342714EC"/>
    <w:rsid w:val="3429D7F8"/>
    <w:rsid w:val="342A4F49"/>
    <w:rsid w:val="342B1C38"/>
    <w:rsid w:val="342E2158"/>
    <w:rsid w:val="342FE181"/>
    <w:rsid w:val="3430FF3E"/>
    <w:rsid w:val="3431EDBF"/>
    <w:rsid w:val="3432275E"/>
    <w:rsid w:val="3432E88E"/>
    <w:rsid w:val="3435303B"/>
    <w:rsid w:val="3439600A"/>
    <w:rsid w:val="343973E3"/>
    <w:rsid w:val="343993F1"/>
    <w:rsid w:val="343A2F8C"/>
    <w:rsid w:val="343B5B6F"/>
    <w:rsid w:val="343BC688"/>
    <w:rsid w:val="343BE190"/>
    <w:rsid w:val="343DFB69"/>
    <w:rsid w:val="343E432D"/>
    <w:rsid w:val="344138F7"/>
    <w:rsid w:val="3442CE54"/>
    <w:rsid w:val="34446CB5"/>
    <w:rsid w:val="3444B827"/>
    <w:rsid w:val="3444D08F"/>
    <w:rsid w:val="34459A97"/>
    <w:rsid w:val="3445C111"/>
    <w:rsid w:val="344628BC"/>
    <w:rsid w:val="3446C55F"/>
    <w:rsid w:val="3447CEE5"/>
    <w:rsid w:val="3449228E"/>
    <w:rsid w:val="344D3C60"/>
    <w:rsid w:val="344E13EE"/>
    <w:rsid w:val="344F2ECE"/>
    <w:rsid w:val="344F42F6"/>
    <w:rsid w:val="345035A9"/>
    <w:rsid w:val="3451539C"/>
    <w:rsid w:val="34521FE8"/>
    <w:rsid w:val="3453E581"/>
    <w:rsid w:val="3454EE1D"/>
    <w:rsid w:val="3455827A"/>
    <w:rsid w:val="345600A6"/>
    <w:rsid w:val="34560A6E"/>
    <w:rsid w:val="3456F7F8"/>
    <w:rsid w:val="3458DE7B"/>
    <w:rsid w:val="345A3448"/>
    <w:rsid w:val="345C50AD"/>
    <w:rsid w:val="345F2C11"/>
    <w:rsid w:val="345FD95D"/>
    <w:rsid w:val="34607301"/>
    <w:rsid w:val="3461667F"/>
    <w:rsid w:val="3461EB79"/>
    <w:rsid w:val="34630AB1"/>
    <w:rsid w:val="34634D00"/>
    <w:rsid w:val="3464842A"/>
    <w:rsid w:val="3464A806"/>
    <w:rsid w:val="34654E49"/>
    <w:rsid w:val="3465AEA4"/>
    <w:rsid w:val="3466CD7D"/>
    <w:rsid w:val="34685471"/>
    <w:rsid w:val="34690343"/>
    <w:rsid w:val="346A6F8A"/>
    <w:rsid w:val="346A7A86"/>
    <w:rsid w:val="346AACC6"/>
    <w:rsid w:val="346AB62E"/>
    <w:rsid w:val="346C6718"/>
    <w:rsid w:val="346D93D3"/>
    <w:rsid w:val="346F462D"/>
    <w:rsid w:val="346FF8DF"/>
    <w:rsid w:val="3471C6C5"/>
    <w:rsid w:val="347334C0"/>
    <w:rsid w:val="3473A980"/>
    <w:rsid w:val="34747155"/>
    <w:rsid w:val="34763A91"/>
    <w:rsid w:val="3477C007"/>
    <w:rsid w:val="3477CC4C"/>
    <w:rsid w:val="34785FA0"/>
    <w:rsid w:val="347B5110"/>
    <w:rsid w:val="347C483D"/>
    <w:rsid w:val="347CB624"/>
    <w:rsid w:val="347DBCAA"/>
    <w:rsid w:val="347F261A"/>
    <w:rsid w:val="347F3886"/>
    <w:rsid w:val="347F7C9A"/>
    <w:rsid w:val="348020B9"/>
    <w:rsid w:val="3480B329"/>
    <w:rsid w:val="3481C541"/>
    <w:rsid w:val="34820A42"/>
    <w:rsid w:val="348222C8"/>
    <w:rsid w:val="3482D525"/>
    <w:rsid w:val="3483CD2A"/>
    <w:rsid w:val="3484DD70"/>
    <w:rsid w:val="34880947"/>
    <w:rsid w:val="3488DFB6"/>
    <w:rsid w:val="348B0A7E"/>
    <w:rsid w:val="348C1DA4"/>
    <w:rsid w:val="348C3F0B"/>
    <w:rsid w:val="348CB0EB"/>
    <w:rsid w:val="348F3415"/>
    <w:rsid w:val="348F94FA"/>
    <w:rsid w:val="34913065"/>
    <w:rsid w:val="3491C097"/>
    <w:rsid w:val="34922097"/>
    <w:rsid w:val="349220A6"/>
    <w:rsid w:val="34936F0D"/>
    <w:rsid w:val="34941893"/>
    <w:rsid w:val="34947BBD"/>
    <w:rsid w:val="3494CF79"/>
    <w:rsid w:val="349516FC"/>
    <w:rsid w:val="349822FF"/>
    <w:rsid w:val="3498F853"/>
    <w:rsid w:val="349AC8E0"/>
    <w:rsid w:val="349AF9D7"/>
    <w:rsid w:val="349B381F"/>
    <w:rsid w:val="349CD111"/>
    <w:rsid w:val="34A31A73"/>
    <w:rsid w:val="34A4E497"/>
    <w:rsid w:val="34A6A218"/>
    <w:rsid w:val="34A876D8"/>
    <w:rsid w:val="34A88D69"/>
    <w:rsid w:val="34A8BFB7"/>
    <w:rsid w:val="34A98ACA"/>
    <w:rsid w:val="34A9E747"/>
    <w:rsid w:val="34AA1916"/>
    <w:rsid w:val="34AAA6CB"/>
    <w:rsid w:val="34ACBE50"/>
    <w:rsid w:val="34ACCFF3"/>
    <w:rsid w:val="34ACF4F5"/>
    <w:rsid w:val="34AE974A"/>
    <w:rsid w:val="34AED5BB"/>
    <w:rsid w:val="34AF20EC"/>
    <w:rsid w:val="34AF5378"/>
    <w:rsid w:val="34AF5D60"/>
    <w:rsid w:val="34AF87B3"/>
    <w:rsid w:val="34B1832F"/>
    <w:rsid w:val="34B31CAB"/>
    <w:rsid w:val="34B36373"/>
    <w:rsid w:val="34B38F91"/>
    <w:rsid w:val="34B53329"/>
    <w:rsid w:val="34B57EB3"/>
    <w:rsid w:val="34B5DB8F"/>
    <w:rsid w:val="34B5DBCD"/>
    <w:rsid w:val="34B83861"/>
    <w:rsid w:val="34B9D17A"/>
    <w:rsid w:val="34BAEFFB"/>
    <w:rsid w:val="34BB372B"/>
    <w:rsid w:val="34BBC34F"/>
    <w:rsid w:val="34BEFCA6"/>
    <w:rsid w:val="34BFB9AE"/>
    <w:rsid w:val="34BFDE28"/>
    <w:rsid w:val="34C01A38"/>
    <w:rsid w:val="34C0C0A5"/>
    <w:rsid w:val="34C1C331"/>
    <w:rsid w:val="34C1D8E3"/>
    <w:rsid w:val="34C492BF"/>
    <w:rsid w:val="34C4C53F"/>
    <w:rsid w:val="34C5508A"/>
    <w:rsid w:val="34C5CA8C"/>
    <w:rsid w:val="34C759C6"/>
    <w:rsid w:val="34CB4C25"/>
    <w:rsid w:val="34CBB6DE"/>
    <w:rsid w:val="34CBE89D"/>
    <w:rsid w:val="34CDF214"/>
    <w:rsid w:val="34D0E69F"/>
    <w:rsid w:val="34D22806"/>
    <w:rsid w:val="34D26DCB"/>
    <w:rsid w:val="34D2FD83"/>
    <w:rsid w:val="34D47AC3"/>
    <w:rsid w:val="34D614F9"/>
    <w:rsid w:val="34D77D3E"/>
    <w:rsid w:val="34D8AC1C"/>
    <w:rsid w:val="34D8AE35"/>
    <w:rsid w:val="34D952B3"/>
    <w:rsid w:val="34D9B3B4"/>
    <w:rsid w:val="34DA9C87"/>
    <w:rsid w:val="34DB0E90"/>
    <w:rsid w:val="34DBE902"/>
    <w:rsid w:val="34DE260A"/>
    <w:rsid w:val="34DEE1BB"/>
    <w:rsid w:val="34DF8504"/>
    <w:rsid w:val="34DFE50A"/>
    <w:rsid w:val="34E3B7AC"/>
    <w:rsid w:val="34E477BB"/>
    <w:rsid w:val="34E50444"/>
    <w:rsid w:val="34E59874"/>
    <w:rsid w:val="34E5D7F4"/>
    <w:rsid w:val="34E86EA7"/>
    <w:rsid w:val="34E9B707"/>
    <w:rsid w:val="34EA0FB3"/>
    <w:rsid w:val="34EA4AC5"/>
    <w:rsid w:val="34EB009C"/>
    <w:rsid w:val="34EEB886"/>
    <w:rsid w:val="34EFC35F"/>
    <w:rsid w:val="34F0ABC4"/>
    <w:rsid w:val="34F33C3A"/>
    <w:rsid w:val="34F4E761"/>
    <w:rsid w:val="34F55919"/>
    <w:rsid w:val="34F56FA4"/>
    <w:rsid w:val="34F5E0CA"/>
    <w:rsid w:val="34F7FBA7"/>
    <w:rsid w:val="34F871AF"/>
    <w:rsid w:val="34F8E86F"/>
    <w:rsid w:val="34F9FCCE"/>
    <w:rsid w:val="34FA1BFD"/>
    <w:rsid w:val="34FA667A"/>
    <w:rsid w:val="34FCC0EE"/>
    <w:rsid w:val="34FD59F5"/>
    <w:rsid w:val="34FE4262"/>
    <w:rsid w:val="34FE46F5"/>
    <w:rsid w:val="34FF6D60"/>
    <w:rsid w:val="3500864F"/>
    <w:rsid w:val="3502BFD0"/>
    <w:rsid w:val="3502F273"/>
    <w:rsid w:val="3504EC1D"/>
    <w:rsid w:val="350758B7"/>
    <w:rsid w:val="3509187E"/>
    <w:rsid w:val="3509D850"/>
    <w:rsid w:val="3509F8F0"/>
    <w:rsid w:val="350A89A3"/>
    <w:rsid w:val="350A9A8E"/>
    <w:rsid w:val="350C7558"/>
    <w:rsid w:val="350CD34F"/>
    <w:rsid w:val="350E7F2D"/>
    <w:rsid w:val="350FFCE0"/>
    <w:rsid w:val="35115984"/>
    <w:rsid w:val="35118E6E"/>
    <w:rsid w:val="35141BB3"/>
    <w:rsid w:val="3514ADF9"/>
    <w:rsid w:val="351588C2"/>
    <w:rsid w:val="3515E3BE"/>
    <w:rsid w:val="3518B7CF"/>
    <w:rsid w:val="3519E5EE"/>
    <w:rsid w:val="351A10FF"/>
    <w:rsid w:val="351AE049"/>
    <w:rsid w:val="351D3F55"/>
    <w:rsid w:val="351D5E2A"/>
    <w:rsid w:val="351DE50B"/>
    <w:rsid w:val="351FD902"/>
    <w:rsid w:val="351FF76D"/>
    <w:rsid w:val="351FF7A1"/>
    <w:rsid w:val="3520D8EC"/>
    <w:rsid w:val="352241A3"/>
    <w:rsid w:val="35225B2A"/>
    <w:rsid w:val="352544C9"/>
    <w:rsid w:val="35265498"/>
    <w:rsid w:val="3527277A"/>
    <w:rsid w:val="3527F3F2"/>
    <w:rsid w:val="35282548"/>
    <w:rsid w:val="3528A27E"/>
    <w:rsid w:val="3528AF95"/>
    <w:rsid w:val="3528C172"/>
    <w:rsid w:val="352947ED"/>
    <w:rsid w:val="352A2B24"/>
    <w:rsid w:val="352A3C0E"/>
    <w:rsid w:val="352A7031"/>
    <w:rsid w:val="352C90CE"/>
    <w:rsid w:val="352C913B"/>
    <w:rsid w:val="352D9DC9"/>
    <w:rsid w:val="353002BA"/>
    <w:rsid w:val="35304621"/>
    <w:rsid w:val="3530A300"/>
    <w:rsid w:val="3530E669"/>
    <w:rsid w:val="35325157"/>
    <w:rsid w:val="35331DFE"/>
    <w:rsid w:val="3535B7E9"/>
    <w:rsid w:val="3535E034"/>
    <w:rsid w:val="3535FD85"/>
    <w:rsid w:val="3536FD8E"/>
    <w:rsid w:val="35370787"/>
    <w:rsid w:val="35372F6A"/>
    <w:rsid w:val="35375132"/>
    <w:rsid w:val="353845B8"/>
    <w:rsid w:val="3538F93C"/>
    <w:rsid w:val="353916A4"/>
    <w:rsid w:val="3539A54F"/>
    <w:rsid w:val="353AD1C6"/>
    <w:rsid w:val="353AFF3D"/>
    <w:rsid w:val="353BBBE7"/>
    <w:rsid w:val="353C9CCB"/>
    <w:rsid w:val="353D7C8A"/>
    <w:rsid w:val="353DA43E"/>
    <w:rsid w:val="353E5613"/>
    <w:rsid w:val="353E851C"/>
    <w:rsid w:val="353F0029"/>
    <w:rsid w:val="353F22B2"/>
    <w:rsid w:val="3543C6B5"/>
    <w:rsid w:val="3543CCB9"/>
    <w:rsid w:val="3544B035"/>
    <w:rsid w:val="35465E62"/>
    <w:rsid w:val="3546D078"/>
    <w:rsid w:val="3546E10A"/>
    <w:rsid w:val="35496D5C"/>
    <w:rsid w:val="354A5559"/>
    <w:rsid w:val="354D4617"/>
    <w:rsid w:val="354D67BA"/>
    <w:rsid w:val="354DB34B"/>
    <w:rsid w:val="35507012"/>
    <w:rsid w:val="35508CD4"/>
    <w:rsid w:val="35511951"/>
    <w:rsid w:val="3551E5BC"/>
    <w:rsid w:val="355246AA"/>
    <w:rsid w:val="3552C49D"/>
    <w:rsid w:val="3552D66B"/>
    <w:rsid w:val="35537631"/>
    <w:rsid w:val="3557761F"/>
    <w:rsid w:val="355872B2"/>
    <w:rsid w:val="355A501F"/>
    <w:rsid w:val="355C4D19"/>
    <w:rsid w:val="355CD69D"/>
    <w:rsid w:val="355D0B42"/>
    <w:rsid w:val="355DAA97"/>
    <w:rsid w:val="355E12F2"/>
    <w:rsid w:val="355E923E"/>
    <w:rsid w:val="355F672E"/>
    <w:rsid w:val="35608285"/>
    <w:rsid w:val="356130B8"/>
    <w:rsid w:val="3565586C"/>
    <w:rsid w:val="3565A580"/>
    <w:rsid w:val="35661889"/>
    <w:rsid w:val="356712E3"/>
    <w:rsid w:val="3567FAAF"/>
    <w:rsid w:val="3568F896"/>
    <w:rsid w:val="35697753"/>
    <w:rsid w:val="356A931F"/>
    <w:rsid w:val="356BC7BD"/>
    <w:rsid w:val="356C9C4F"/>
    <w:rsid w:val="356CCABD"/>
    <w:rsid w:val="356ED479"/>
    <w:rsid w:val="356EE436"/>
    <w:rsid w:val="357010A9"/>
    <w:rsid w:val="35701B2A"/>
    <w:rsid w:val="35706742"/>
    <w:rsid w:val="3572739A"/>
    <w:rsid w:val="35729220"/>
    <w:rsid w:val="35752484"/>
    <w:rsid w:val="3576B3EE"/>
    <w:rsid w:val="3577936E"/>
    <w:rsid w:val="3578D6B1"/>
    <w:rsid w:val="357AAFA6"/>
    <w:rsid w:val="357B7F33"/>
    <w:rsid w:val="357B801F"/>
    <w:rsid w:val="357C0F05"/>
    <w:rsid w:val="357CFC5F"/>
    <w:rsid w:val="357FABAB"/>
    <w:rsid w:val="3580153B"/>
    <w:rsid w:val="358182FE"/>
    <w:rsid w:val="35818F3D"/>
    <w:rsid w:val="358298DB"/>
    <w:rsid w:val="3582F704"/>
    <w:rsid w:val="358312A5"/>
    <w:rsid w:val="3586B781"/>
    <w:rsid w:val="35873FF7"/>
    <w:rsid w:val="35886A9A"/>
    <w:rsid w:val="3588B10A"/>
    <w:rsid w:val="3589B46B"/>
    <w:rsid w:val="358AE7B8"/>
    <w:rsid w:val="358BD7AE"/>
    <w:rsid w:val="358C2DCB"/>
    <w:rsid w:val="358C730F"/>
    <w:rsid w:val="358CF553"/>
    <w:rsid w:val="358D72F5"/>
    <w:rsid w:val="358D95C3"/>
    <w:rsid w:val="358DB5B9"/>
    <w:rsid w:val="358FA13B"/>
    <w:rsid w:val="35904DAF"/>
    <w:rsid w:val="3590CF7C"/>
    <w:rsid w:val="359137D9"/>
    <w:rsid w:val="35917142"/>
    <w:rsid w:val="35924B2C"/>
    <w:rsid w:val="3592533C"/>
    <w:rsid w:val="3592E0EC"/>
    <w:rsid w:val="3596B970"/>
    <w:rsid w:val="35985C7B"/>
    <w:rsid w:val="35998574"/>
    <w:rsid w:val="359A30E3"/>
    <w:rsid w:val="359D0623"/>
    <w:rsid w:val="359D7259"/>
    <w:rsid w:val="359DF614"/>
    <w:rsid w:val="359EB1A4"/>
    <w:rsid w:val="35A07EBC"/>
    <w:rsid w:val="35A0BF19"/>
    <w:rsid w:val="35A0E5EB"/>
    <w:rsid w:val="35A17CF1"/>
    <w:rsid w:val="35A1E6CD"/>
    <w:rsid w:val="35A33767"/>
    <w:rsid w:val="35A36726"/>
    <w:rsid w:val="35A3CA43"/>
    <w:rsid w:val="35A3F06A"/>
    <w:rsid w:val="35A5E820"/>
    <w:rsid w:val="35A937CF"/>
    <w:rsid w:val="35A9AAA8"/>
    <w:rsid w:val="35AA48F9"/>
    <w:rsid w:val="35AAF1C8"/>
    <w:rsid w:val="35AB1B38"/>
    <w:rsid w:val="35AB370A"/>
    <w:rsid w:val="35AC4D87"/>
    <w:rsid w:val="35AD1FBA"/>
    <w:rsid w:val="35AD3222"/>
    <w:rsid w:val="35AD753E"/>
    <w:rsid w:val="35ADF5E6"/>
    <w:rsid w:val="35AE0CDD"/>
    <w:rsid w:val="35AF465B"/>
    <w:rsid w:val="35B0D35E"/>
    <w:rsid w:val="35B1BBD7"/>
    <w:rsid w:val="35B42BD3"/>
    <w:rsid w:val="35B498EC"/>
    <w:rsid w:val="35B7AB74"/>
    <w:rsid w:val="35B9502E"/>
    <w:rsid w:val="35B9C970"/>
    <w:rsid w:val="35B9F1CC"/>
    <w:rsid w:val="35BB830A"/>
    <w:rsid w:val="35BD1311"/>
    <w:rsid w:val="35BDCEAC"/>
    <w:rsid w:val="35BECBAB"/>
    <w:rsid w:val="35BEF7A7"/>
    <w:rsid w:val="35C0FA4D"/>
    <w:rsid w:val="35C251F4"/>
    <w:rsid w:val="35C2E10C"/>
    <w:rsid w:val="35C353F0"/>
    <w:rsid w:val="35C3C9ED"/>
    <w:rsid w:val="35C45856"/>
    <w:rsid w:val="35C77F5A"/>
    <w:rsid w:val="35C8584E"/>
    <w:rsid w:val="35CD0761"/>
    <w:rsid w:val="35CD971B"/>
    <w:rsid w:val="35CFF4DD"/>
    <w:rsid w:val="35D0213C"/>
    <w:rsid w:val="35D07774"/>
    <w:rsid w:val="35D09E96"/>
    <w:rsid w:val="35D1E1A3"/>
    <w:rsid w:val="35D316A5"/>
    <w:rsid w:val="35D46963"/>
    <w:rsid w:val="35D622B4"/>
    <w:rsid w:val="35D70988"/>
    <w:rsid w:val="35D78E9D"/>
    <w:rsid w:val="35D7D4BF"/>
    <w:rsid w:val="35D7E400"/>
    <w:rsid w:val="35D8AA42"/>
    <w:rsid w:val="35DA3359"/>
    <w:rsid w:val="35DAA7A3"/>
    <w:rsid w:val="35DB0E6B"/>
    <w:rsid w:val="35DB16CA"/>
    <w:rsid w:val="35DC878B"/>
    <w:rsid w:val="35DCA03D"/>
    <w:rsid w:val="35DCAF4E"/>
    <w:rsid w:val="35DD8633"/>
    <w:rsid w:val="35DDCB52"/>
    <w:rsid w:val="35DDDB9A"/>
    <w:rsid w:val="35E2D13D"/>
    <w:rsid w:val="35E351A8"/>
    <w:rsid w:val="35E3824A"/>
    <w:rsid w:val="35E4DCD2"/>
    <w:rsid w:val="35E5C6DE"/>
    <w:rsid w:val="35E5C9B3"/>
    <w:rsid w:val="35E68675"/>
    <w:rsid w:val="35E88502"/>
    <w:rsid w:val="35E8D83A"/>
    <w:rsid w:val="35E9BCC8"/>
    <w:rsid w:val="35EA78F6"/>
    <w:rsid w:val="35EBE523"/>
    <w:rsid w:val="35ECCC09"/>
    <w:rsid w:val="35EEC76D"/>
    <w:rsid w:val="35F10413"/>
    <w:rsid w:val="35F13908"/>
    <w:rsid w:val="35F3237E"/>
    <w:rsid w:val="35F328F6"/>
    <w:rsid w:val="35F35DAA"/>
    <w:rsid w:val="35F45A18"/>
    <w:rsid w:val="35F4D02C"/>
    <w:rsid w:val="35F76FB7"/>
    <w:rsid w:val="35F78D43"/>
    <w:rsid w:val="35F8429A"/>
    <w:rsid w:val="35F8F917"/>
    <w:rsid w:val="35F96F23"/>
    <w:rsid w:val="35FA0862"/>
    <w:rsid w:val="35FA14F5"/>
    <w:rsid w:val="35FC0843"/>
    <w:rsid w:val="35FC23EF"/>
    <w:rsid w:val="35FC3074"/>
    <w:rsid w:val="35FCA3F9"/>
    <w:rsid w:val="35FDA736"/>
    <w:rsid w:val="35FDC075"/>
    <w:rsid w:val="36008B96"/>
    <w:rsid w:val="3601C415"/>
    <w:rsid w:val="360294A5"/>
    <w:rsid w:val="3603CDBA"/>
    <w:rsid w:val="3604D7CE"/>
    <w:rsid w:val="36075920"/>
    <w:rsid w:val="360C9A1D"/>
    <w:rsid w:val="360D99A6"/>
    <w:rsid w:val="360E7C9D"/>
    <w:rsid w:val="36133F32"/>
    <w:rsid w:val="36140D68"/>
    <w:rsid w:val="3615ED1D"/>
    <w:rsid w:val="3616B699"/>
    <w:rsid w:val="361A43AE"/>
    <w:rsid w:val="361AEF46"/>
    <w:rsid w:val="361CF973"/>
    <w:rsid w:val="361E6E81"/>
    <w:rsid w:val="361E8BC1"/>
    <w:rsid w:val="36206D90"/>
    <w:rsid w:val="3621221F"/>
    <w:rsid w:val="362181B7"/>
    <w:rsid w:val="3621907F"/>
    <w:rsid w:val="36220AAB"/>
    <w:rsid w:val="3623658D"/>
    <w:rsid w:val="3624BCB4"/>
    <w:rsid w:val="362572CC"/>
    <w:rsid w:val="36267F95"/>
    <w:rsid w:val="3626B47B"/>
    <w:rsid w:val="362791B1"/>
    <w:rsid w:val="3628C67F"/>
    <w:rsid w:val="3629070C"/>
    <w:rsid w:val="3629BF4F"/>
    <w:rsid w:val="362A0D74"/>
    <w:rsid w:val="362A7DD6"/>
    <w:rsid w:val="362AD608"/>
    <w:rsid w:val="362C5A36"/>
    <w:rsid w:val="362CC0DB"/>
    <w:rsid w:val="362DC924"/>
    <w:rsid w:val="362F3F72"/>
    <w:rsid w:val="362FA192"/>
    <w:rsid w:val="362FECB9"/>
    <w:rsid w:val="363089A3"/>
    <w:rsid w:val="36318E98"/>
    <w:rsid w:val="36323782"/>
    <w:rsid w:val="36335B65"/>
    <w:rsid w:val="3636073B"/>
    <w:rsid w:val="3638A564"/>
    <w:rsid w:val="363906F8"/>
    <w:rsid w:val="36399CE5"/>
    <w:rsid w:val="363AB241"/>
    <w:rsid w:val="363C10A2"/>
    <w:rsid w:val="363C3123"/>
    <w:rsid w:val="363CB371"/>
    <w:rsid w:val="363E168D"/>
    <w:rsid w:val="363E42B7"/>
    <w:rsid w:val="363E681A"/>
    <w:rsid w:val="363E8C72"/>
    <w:rsid w:val="364185F0"/>
    <w:rsid w:val="364309BC"/>
    <w:rsid w:val="3643B98B"/>
    <w:rsid w:val="36444D55"/>
    <w:rsid w:val="3644AEC3"/>
    <w:rsid w:val="3645689D"/>
    <w:rsid w:val="36462870"/>
    <w:rsid w:val="36467A6F"/>
    <w:rsid w:val="3646E3E6"/>
    <w:rsid w:val="3646FFF2"/>
    <w:rsid w:val="3647BC36"/>
    <w:rsid w:val="3647E653"/>
    <w:rsid w:val="36481A2D"/>
    <w:rsid w:val="3648820D"/>
    <w:rsid w:val="3648A69E"/>
    <w:rsid w:val="364A97D4"/>
    <w:rsid w:val="364AE959"/>
    <w:rsid w:val="364BC292"/>
    <w:rsid w:val="364CDFCA"/>
    <w:rsid w:val="364F5155"/>
    <w:rsid w:val="364F6C34"/>
    <w:rsid w:val="364F8852"/>
    <w:rsid w:val="364FA441"/>
    <w:rsid w:val="364FCD57"/>
    <w:rsid w:val="3650101A"/>
    <w:rsid w:val="365142B2"/>
    <w:rsid w:val="36533CD6"/>
    <w:rsid w:val="36548E29"/>
    <w:rsid w:val="3655B477"/>
    <w:rsid w:val="36563164"/>
    <w:rsid w:val="36574B2A"/>
    <w:rsid w:val="36579509"/>
    <w:rsid w:val="365856CA"/>
    <w:rsid w:val="36588EDD"/>
    <w:rsid w:val="3658A99E"/>
    <w:rsid w:val="3658B083"/>
    <w:rsid w:val="365A41B7"/>
    <w:rsid w:val="365B4C7F"/>
    <w:rsid w:val="365D8C87"/>
    <w:rsid w:val="365E192B"/>
    <w:rsid w:val="366039E3"/>
    <w:rsid w:val="36608565"/>
    <w:rsid w:val="36618E4F"/>
    <w:rsid w:val="3661E443"/>
    <w:rsid w:val="36639DFB"/>
    <w:rsid w:val="36644B02"/>
    <w:rsid w:val="36647CBF"/>
    <w:rsid w:val="3665C6B4"/>
    <w:rsid w:val="3666CFB5"/>
    <w:rsid w:val="36679762"/>
    <w:rsid w:val="366A5A57"/>
    <w:rsid w:val="366AA1EB"/>
    <w:rsid w:val="366DC64F"/>
    <w:rsid w:val="366E4997"/>
    <w:rsid w:val="366E49A2"/>
    <w:rsid w:val="366EEF10"/>
    <w:rsid w:val="36701B78"/>
    <w:rsid w:val="367081EA"/>
    <w:rsid w:val="36708E8E"/>
    <w:rsid w:val="3670A1E0"/>
    <w:rsid w:val="3670EAC3"/>
    <w:rsid w:val="367189D6"/>
    <w:rsid w:val="36727795"/>
    <w:rsid w:val="3672E028"/>
    <w:rsid w:val="36739EF6"/>
    <w:rsid w:val="3673F39D"/>
    <w:rsid w:val="3673F5FD"/>
    <w:rsid w:val="36741806"/>
    <w:rsid w:val="36741BED"/>
    <w:rsid w:val="3675D1C9"/>
    <w:rsid w:val="367621CA"/>
    <w:rsid w:val="367723CB"/>
    <w:rsid w:val="36776384"/>
    <w:rsid w:val="3677CB52"/>
    <w:rsid w:val="3678E14B"/>
    <w:rsid w:val="367AA76C"/>
    <w:rsid w:val="367BD201"/>
    <w:rsid w:val="367C1C98"/>
    <w:rsid w:val="367D616C"/>
    <w:rsid w:val="367E1B05"/>
    <w:rsid w:val="367EB0EF"/>
    <w:rsid w:val="36823D02"/>
    <w:rsid w:val="368240C2"/>
    <w:rsid w:val="3684E82B"/>
    <w:rsid w:val="3685069C"/>
    <w:rsid w:val="36854770"/>
    <w:rsid w:val="36855B41"/>
    <w:rsid w:val="36856928"/>
    <w:rsid w:val="368663E2"/>
    <w:rsid w:val="36870288"/>
    <w:rsid w:val="36870351"/>
    <w:rsid w:val="368703C5"/>
    <w:rsid w:val="36879BD2"/>
    <w:rsid w:val="368A997D"/>
    <w:rsid w:val="368B1BFF"/>
    <w:rsid w:val="368BE744"/>
    <w:rsid w:val="368CD0BF"/>
    <w:rsid w:val="368DD425"/>
    <w:rsid w:val="368E0D9B"/>
    <w:rsid w:val="368E905A"/>
    <w:rsid w:val="368F10A6"/>
    <w:rsid w:val="368F2A83"/>
    <w:rsid w:val="369022F2"/>
    <w:rsid w:val="3690EF34"/>
    <w:rsid w:val="3691A7E4"/>
    <w:rsid w:val="3693D634"/>
    <w:rsid w:val="3695704E"/>
    <w:rsid w:val="36959BD3"/>
    <w:rsid w:val="3695D407"/>
    <w:rsid w:val="36967521"/>
    <w:rsid w:val="36967B27"/>
    <w:rsid w:val="3698056E"/>
    <w:rsid w:val="36985089"/>
    <w:rsid w:val="36990E4D"/>
    <w:rsid w:val="36993DA3"/>
    <w:rsid w:val="369A122F"/>
    <w:rsid w:val="369A79C4"/>
    <w:rsid w:val="369A7FE5"/>
    <w:rsid w:val="369B66ED"/>
    <w:rsid w:val="369C8A8A"/>
    <w:rsid w:val="369CB601"/>
    <w:rsid w:val="369D9B00"/>
    <w:rsid w:val="369DDA95"/>
    <w:rsid w:val="369E2747"/>
    <w:rsid w:val="369F6D38"/>
    <w:rsid w:val="369FE964"/>
    <w:rsid w:val="36A0F654"/>
    <w:rsid w:val="36A21269"/>
    <w:rsid w:val="36A26853"/>
    <w:rsid w:val="36A2C592"/>
    <w:rsid w:val="36A3EB88"/>
    <w:rsid w:val="36A49DFB"/>
    <w:rsid w:val="36A4C2F2"/>
    <w:rsid w:val="36A4EE7D"/>
    <w:rsid w:val="36A4F2B9"/>
    <w:rsid w:val="36A5B9EF"/>
    <w:rsid w:val="36A5F6C9"/>
    <w:rsid w:val="36A63217"/>
    <w:rsid w:val="36A66CBD"/>
    <w:rsid w:val="36A6746F"/>
    <w:rsid w:val="36A68701"/>
    <w:rsid w:val="36A6B746"/>
    <w:rsid w:val="36A78834"/>
    <w:rsid w:val="36A78D1D"/>
    <w:rsid w:val="36A7B57E"/>
    <w:rsid w:val="36A7C476"/>
    <w:rsid w:val="36A91B05"/>
    <w:rsid w:val="36A96AA1"/>
    <w:rsid w:val="36A993B9"/>
    <w:rsid w:val="36AAAD2E"/>
    <w:rsid w:val="36AAD56F"/>
    <w:rsid w:val="36AF58E2"/>
    <w:rsid w:val="36AFD1B2"/>
    <w:rsid w:val="36B17F4A"/>
    <w:rsid w:val="36B28CF3"/>
    <w:rsid w:val="36B38CB9"/>
    <w:rsid w:val="36B4BAB1"/>
    <w:rsid w:val="36B58EEB"/>
    <w:rsid w:val="36B680E2"/>
    <w:rsid w:val="36B75212"/>
    <w:rsid w:val="36B82208"/>
    <w:rsid w:val="36B9883A"/>
    <w:rsid w:val="36B9CCD6"/>
    <w:rsid w:val="36BA0DD1"/>
    <w:rsid w:val="36BAEBF4"/>
    <w:rsid w:val="36BB6260"/>
    <w:rsid w:val="36BBAC42"/>
    <w:rsid w:val="36BC1ADA"/>
    <w:rsid w:val="36BD46F5"/>
    <w:rsid w:val="36BE54A5"/>
    <w:rsid w:val="36BEF6DE"/>
    <w:rsid w:val="36BF67A0"/>
    <w:rsid w:val="36BFF6B7"/>
    <w:rsid w:val="36C3A6AB"/>
    <w:rsid w:val="36C3DBFC"/>
    <w:rsid w:val="36C459AB"/>
    <w:rsid w:val="36C4859A"/>
    <w:rsid w:val="36C5D606"/>
    <w:rsid w:val="36C765F2"/>
    <w:rsid w:val="36C77E79"/>
    <w:rsid w:val="36C8119B"/>
    <w:rsid w:val="36C8DE10"/>
    <w:rsid w:val="36C8EAFB"/>
    <w:rsid w:val="36C908C7"/>
    <w:rsid w:val="36CAD749"/>
    <w:rsid w:val="36CB0778"/>
    <w:rsid w:val="36CB1866"/>
    <w:rsid w:val="36CC0BAF"/>
    <w:rsid w:val="36CC4EE1"/>
    <w:rsid w:val="36CD64BE"/>
    <w:rsid w:val="36CECFAE"/>
    <w:rsid w:val="36CF5DB4"/>
    <w:rsid w:val="36D0470C"/>
    <w:rsid w:val="36D0642B"/>
    <w:rsid w:val="36D250E3"/>
    <w:rsid w:val="36D2E5FA"/>
    <w:rsid w:val="36D440AD"/>
    <w:rsid w:val="36D682EA"/>
    <w:rsid w:val="36D6E555"/>
    <w:rsid w:val="36D84DE8"/>
    <w:rsid w:val="36D98A97"/>
    <w:rsid w:val="36DB0BB6"/>
    <w:rsid w:val="36DB6FB8"/>
    <w:rsid w:val="36E0BC2B"/>
    <w:rsid w:val="36E11ACE"/>
    <w:rsid w:val="36E1340F"/>
    <w:rsid w:val="36E147D4"/>
    <w:rsid w:val="36E1530B"/>
    <w:rsid w:val="36E390BE"/>
    <w:rsid w:val="36E8E44E"/>
    <w:rsid w:val="36E91F3F"/>
    <w:rsid w:val="36E99816"/>
    <w:rsid w:val="36E9AA53"/>
    <w:rsid w:val="36EA3157"/>
    <w:rsid w:val="36EA53DD"/>
    <w:rsid w:val="36EAED2A"/>
    <w:rsid w:val="36EC97CC"/>
    <w:rsid w:val="36ECA402"/>
    <w:rsid w:val="36ED7232"/>
    <w:rsid w:val="36EEF779"/>
    <w:rsid w:val="36F0A584"/>
    <w:rsid w:val="36F22E1D"/>
    <w:rsid w:val="36F230BD"/>
    <w:rsid w:val="36F237C6"/>
    <w:rsid w:val="36F37DC3"/>
    <w:rsid w:val="36F54571"/>
    <w:rsid w:val="36F5E084"/>
    <w:rsid w:val="36F726AE"/>
    <w:rsid w:val="36F75D43"/>
    <w:rsid w:val="36F80474"/>
    <w:rsid w:val="36FC63A0"/>
    <w:rsid w:val="36FC74C0"/>
    <w:rsid w:val="36FCA780"/>
    <w:rsid w:val="36FCBE5D"/>
    <w:rsid w:val="36FD0289"/>
    <w:rsid w:val="36FD592C"/>
    <w:rsid w:val="36FF7F75"/>
    <w:rsid w:val="3702578B"/>
    <w:rsid w:val="370320E8"/>
    <w:rsid w:val="37038CED"/>
    <w:rsid w:val="37065BB2"/>
    <w:rsid w:val="3707C68A"/>
    <w:rsid w:val="37080D5B"/>
    <w:rsid w:val="37085DD5"/>
    <w:rsid w:val="3708BE5B"/>
    <w:rsid w:val="3709243B"/>
    <w:rsid w:val="370A133E"/>
    <w:rsid w:val="370A5579"/>
    <w:rsid w:val="370A7E5D"/>
    <w:rsid w:val="370C753B"/>
    <w:rsid w:val="370C75EB"/>
    <w:rsid w:val="370C9461"/>
    <w:rsid w:val="370D5028"/>
    <w:rsid w:val="3712B281"/>
    <w:rsid w:val="3714F9EC"/>
    <w:rsid w:val="3715F6D6"/>
    <w:rsid w:val="3716B7C0"/>
    <w:rsid w:val="3717D7C3"/>
    <w:rsid w:val="37190E03"/>
    <w:rsid w:val="3719308C"/>
    <w:rsid w:val="371966FD"/>
    <w:rsid w:val="371CB226"/>
    <w:rsid w:val="371DEF29"/>
    <w:rsid w:val="371E4226"/>
    <w:rsid w:val="371F6D85"/>
    <w:rsid w:val="371F7605"/>
    <w:rsid w:val="372000A0"/>
    <w:rsid w:val="3721728F"/>
    <w:rsid w:val="372387D8"/>
    <w:rsid w:val="3726B3E9"/>
    <w:rsid w:val="3726E70F"/>
    <w:rsid w:val="3728299E"/>
    <w:rsid w:val="37284EEB"/>
    <w:rsid w:val="37288BA7"/>
    <w:rsid w:val="372991FE"/>
    <w:rsid w:val="372994BC"/>
    <w:rsid w:val="372A0ABF"/>
    <w:rsid w:val="372BE056"/>
    <w:rsid w:val="372CA589"/>
    <w:rsid w:val="372DE72A"/>
    <w:rsid w:val="372E5F3F"/>
    <w:rsid w:val="372FA48A"/>
    <w:rsid w:val="373059BA"/>
    <w:rsid w:val="37307377"/>
    <w:rsid w:val="37321169"/>
    <w:rsid w:val="37350971"/>
    <w:rsid w:val="37374D72"/>
    <w:rsid w:val="37381027"/>
    <w:rsid w:val="37383E44"/>
    <w:rsid w:val="37392B74"/>
    <w:rsid w:val="37398CEF"/>
    <w:rsid w:val="373A3D14"/>
    <w:rsid w:val="373B9696"/>
    <w:rsid w:val="373CB32D"/>
    <w:rsid w:val="373F65D1"/>
    <w:rsid w:val="3740D063"/>
    <w:rsid w:val="3740F3C7"/>
    <w:rsid w:val="3743D8DA"/>
    <w:rsid w:val="3744485D"/>
    <w:rsid w:val="3744F1B9"/>
    <w:rsid w:val="3745E14B"/>
    <w:rsid w:val="37466B57"/>
    <w:rsid w:val="37489281"/>
    <w:rsid w:val="374937DC"/>
    <w:rsid w:val="374A2A9F"/>
    <w:rsid w:val="374ABF3E"/>
    <w:rsid w:val="374C8319"/>
    <w:rsid w:val="374D6F36"/>
    <w:rsid w:val="374E674D"/>
    <w:rsid w:val="374FAA81"/>
    <w:rsid w:val="375050C1"/>
    <w:rsid w:val="3750C096"/>
    <w:rsid w:val="3751B4E2"/>
    <w:rsid w:val="3754048D"/>
    <w:rsid w:val="37563B07"/>
    <w:rsid w:val="37577834"/>
    <w:rsid w:val="3758E7AF"/>
    <w:rsid w:val="375BC297"/>
    <w:rsid w:val="375EEABF"/>
    <w:rsid w:val="375FE58C"/>
    <w:rsid w:val="376028B7"/>
    <w:rsid w:val="3760A426"/>
    <w:rsid w:val="3761D418"/>
    <w:rsid w:val="37657F09"/>
    <w:rsid w:val="3765D2D2"/>
    <w:rsid w:val="37660E3B"/>
    <w:rsid w:val="376684FF"/>
    <w:rsid w:val="3766A287"/>
    <w:rsid w:val="3766D5C8"/>
    <w:rsid w:val="37672021"/>
    <w:rsid w:val="3767DEE0"/>
    <w:rsid w:val="376840D8"/>
    <w:rsid w:val="3769AC6B"/>
    <w:rsid w:val="3769B18F"/>
    <w:rsid w:val="3769C003"/>
    <w:rsid w:val="376B4512"/>
    <w:rsid w:val="376CAAE4"/>
    <w:rsid w:val="376D98C2"/>
    <w:rsid w:val="376E0D6C"/>
    <w:rsid w:val="376E2850"/>
    <w:rsid w:val="376FE9BB"/>
    <w:rsid w:val="37711632"/>
    <w:rsid w:val="3771A153"/>
    <w:rsid w:val="377294C9"/>
    <w:rsid w:val="3773C02B"/>
    <w:rsid w:val="3773F773"/>
    <w:rsid w:val="37750049"/>
    <w:rsid w:val="37759DCE"/>
    <w:rsid w:val="3776693B"/>
    <w:rsid w:val="3776D4E6"/>
    <w:rsid w:val="37772983"/>
    <w:rsid w:val="37781188"/>
    <w:rsid w:val="377A2552"/>
    <w:rsid w:val="377B1B82"/>
    <w:rsid w:val="377B8077"/>
    <w:rsid w:val="377C8771"/>
    <w:rsid w:val="377D0AF8"/>
    <w:rsid w:val="377DA0A1"/>
    <w:rsid w:val="377EF8BB"/>
    <w:rsid w:val="377F0E64"/>
    <w:rsid w:val="378021C2"/>
    <w:rsid w:val="37811A52"/>
    <w:rsid w:val="3781E54C"/>
    <w:rsid w:val="378276B2"/>
    <w:rsid w:val="37829181"/>
    <w:rsid w:val="3782BFC7"/>
    <w:rsid w:val="3784CFDC"/>
    <w:rsid w:val="3786464E"/>
    <w:rsid w:val="37892F99"/>
    <w:rsid w:val="37895D0F"/>
    <w:rsid w:val="3789FB69"/>
    <w:rsid w:val="378BB8CD"/>
    <w:rsid w:val="378C87E8"/>
    <w:rsid w:val="378D2C71"/>
    <w:rsid w:val="378DD030"/>
    <w:rsid w:val="378FE3E1"/>
    <w:rsid w:val="37905FB9"/>
    <w:rsid w:val="3791F864"/>
    <w:rsid w:val="379203D7"/>
    <w:rsid w:val="3795BC07"/>
    <w:rsid w:val="3795E9FE"/>
    <w:rsid w:val="3795FD25"/>
    <w:rsid w:val="37965FF9"/>
    <w:rsid w:val="37971E75"/>
    <w:rsid w:val="3797F462"/>
    <w:rsid w:val="3798D4ED"/>
    <w:rsid w:val="3799CD76"/>
    <w:rsid w:val="379BDE82"/>
    <w:rsid w:val="379C851F"/>
    <w:rsid w:val="379CBA38"/>
    <w:rsid w:val="379F4D17"/>
    <w:rsid w:val="37A1077A"/>
    <w:rsid w:val="37A24818"/>
    <w:rsid w:val="37A3479F"/>
    <w:rsid w:val="37A391A8"/>
    <w:rsid w:val="37A52BFE"/>
    <w:rsid w:val="37A5FB32"/>
    <w:rsid w:val="37A730D2"/>
    <w:rsid w:val="37A796A5"/>
    <w:rsid w:val="37A7C1E0"/>
    <w:rsid w:val="37A8C64C"/>
    <w:rsid w:val="37AA4491"/>
    <w:rsid w:val="37AB652D"/>
    <w:rsid w:val="37AB69D4"/>
    <w:rsid w:val="37AC289C"/>
    <w:rsid w:val="37AC3C6E"/>
    <w:rsid w:val="37ACD8C6"/>
    <w:rsid w:val="37ADCD9E"/>
    <w:rsid w:val="37AF60EC"/>
    <w:rsid w:val="37AF6E24"/>
    <w:rsid w:val="37B036E3"/>
    <w:rsid w:val="37B08C63"/>
    <w:rsid w:val="37B16AE5"/>
    <w:rsid w:val="37B2028D"/>
    <w:rsid w:val="37B3126A"/>
    <w:rsid w:val="37B33791"/>
    <w:rsid w:val="37B5D3AC"/>
    <w:rsid w:val="37B64084"/>
    <w:rsid w:val="37B6771C"/>
    <w:rsid w:val="37B7FDAB"/>
    <w:rsid w:val="37B83A7C"/>
    <w:rsid w:val="37BAF354"/>
    <w:rsid w:val="37BC24A8"/>
    <w:rsid w:val="37BC2A09"/>
    <w:rsid w:val="37BC2F8C"/>
    <w:rsid w:val="37BD68FA"/>
    <w:rsid w:val="37BE34EE"/>
    <w:rsid w:val="37BEC547"/>
    <w:rsid w:val="37C107A4"/>
    <w:rsid w:val="37C1FAE2"/>
    <w:rsid w:val="37C38366"/>
    <w:rsid w:val="37C4EB3D"/>
    <w:rsid w:val="37C533FF"/>
    <w:rsid w:val="37C561BD"/>
    <w:rsid w:val="37C7A80D"/>
    <w:rsid w:val="37C7A87A"/>
    <w:rsid w:val="37C7E777"/>
    <w:rsid w:val="37C7F475"/>
    <w:rsid w:val="37C7FFFE"/>
    <w:rsid w:val="37C907F5"/>
    <w:rsid w:val="37CA61AF"/>
    <w:rsid w:val="37CA81C8"/>
    <w:rsid w:val="37CAFEFE"/>
    <w:rsid w:val="37CB21CB"/>
    <w:rsid w:val="37CBB760"/>
    <w:rsid w:val="37CC38DC"/>
    <w:rsid w:val="37CD5EF9"/>
    <w:rsid w:val="37CD63F8"/>
    <w:rsid w:val="37CEE79F"/>
    <w:rsid w:val="37D0283D"/>
    <w:rsid w:val="37D17E0F"/>
    <w:rsid w:val="37D1955E"/>
    <w:rsid w:val="37D2546D"/>
    <w:rsid w:val="37D3176D"/>
    <w:rsid w:val="37D51EF5"/>
    <w:rsid w:val="37D66247"/>
    <w:rsid w:val="37D7090B"/>
    <w:rsid w:val="37D77E3B"/>
    <w:rsid w:val="37D9277F"/>
    <w:rsid w:val="37D9B2E4"/>
    <w:rsid w:val="37DA9F83"/>
    <w:rsid w:val="37DBC626"/>
    <w:rsid w:val="37DD9E1E"/>
    <w:rsid w:val="37DE770E"/>
    <w:rsid w:val="37DE844F"/>
    <w:rsid w:val="37DEEEE7"/>
    <w:rsid w:val="37DFE03B"/>
    <w:rsid w:val="37E01F40"/>
    <w:rsid w:val="37E13798"/>
    <w:rsid w:val="37E17D87"/>
    <w:rsid w:val="37E18E62"/>
    <w:rsid w:val="37E21006"/>
    <w:rsid w:val="37E43D50"/>
    <w:rsid w:val="37E4AC4B"/>
    <w:rsid w:val="37E4AD4E"/>
    <w:rsid w:val="37E5EEA0"/>
    <w:rsid w:val="37E602CC"/>
    <w:rsid w:val="37E74C01"/>
    <w:rsid w:val="37E7D386"/>
    <w:rsid w:val="37E8BF42"/>
    <w:rsid w:val="37E9F1B2"/>
    <w:rsid w:val="37EA874D"/>
    <w:rsid w:val="37EB5655"/>
    <w:rsid w:val="37EC57A3"/>
    <w:rsid w:val="37ED260A"/>
    <w:rsid w:val="37EEBA63"/>
    <w:rsid w:val="37F1D270"/>
    <w:rsid w:val="37F2CD69"/>
    <w:rsid w:val="37F35FC9"/>
    <w:rsid w:val="37F5AAB5"/>
    <w:rsid w:val="37F5AC7E"/>
    <w:rsid w:val="37F65095"/>
    <w:rsid w:val="37F66602"/>
    <w:rsid w:val="37F741CA"/>
    <w:rsid w:val="37F80EBB"/>
    <w:rsid w:val="37F9F497"/>
    <w:rsid w:val="37FAFD6F"/>
    <w:rsid w:val="37FB78AB"/>
    <w:rsid w:val="37FBEF35"/>
    <w:rsid w:val="37FC01AB"/>
    <w:rsid w:val="37FC41A0"/>
    <w:rsid w:val="37FD44F6"/>
    <w:rsid w:val="37FD86F0"/>
    <w:rsid w:val="37FE9490"/>
    <w:rsid w:val="37FEE231"/>
    <w:rsid w:val="37FFCDEB"/>
    <w:rsid w:val="3800237C"/>
    <w:rsid w:val="380142BC"/>
    <w:rsid w:val="3801CA9D"/>
    <w:rsid w:val="3802B4E3"/>
    <w:rsid w:val="38045132"/>
    <w:rsid w:val="38047722"/>
    <w:rsid w:val="38082451"/>
    <w:rsid w:val="38092099"/>
    <w:rsid w:val="3809B624"/>
    <w:rsid w:val="380B01B5"/>
    <w:rsid w:val="380B228D"/>
    <w:rsid w:val="380D5A37"/>
    <w:rsid w:val="380D5AE3"/>
    <w:rsid w:val="380E6F2A"/>
    <w:rsid w:val="380EE2A3"/>
    <w:rsid w:val="380FB690"/>
    <w:rsid w:val="3812FCC7"/>
    <w:rsid w:val="381328A6"/>
    <w:rsid w:val="3814E26C"/>
    <w:rsid w:val="3815194F"/>
    <w:rsid w:val="38158437"/>
    <w:rsid w:val="38160093"/>
    <w:rsid w:val="38166D56"/>
    <w:rsid w:val="3816EB9B"/>
    <w:rsid w:val="38177393"/>
    <w:rsid w:val="38178FC9"/>
    <w:rsid w:val="3817AA6F"/>
    <w:rsid w:val="38183F87"/>
    <w:rsid w:val="3818C448"/>
    <w:rsid w:val="381939BC"/>
    <w:rsid w:val="3819B971"/>
    <w:rsid w:val="381A99BA"/>
    <w:rsid w:val="381B93B8"/>
    <w:rsid w:val="381CBB5E"/>
    <w:rsid w:val="381CC3D0"/>
    <w:rsid w:val="381EE131"/>
    <w:rsid w:val="382323E3"/>
    <w:rsid w:val="3825561B"/>
    <w:rsid w:val="382563FD"/>
    <w:rsid w:val="382636A3"/>
    <w:rsid w:val="382875CA"/>
    <w:rsid w:val="3828CCC4"/>
    <w:rsid w:val="382B5B40"/>
    <w:rsid w:val="382CBFA5"/>
    <w:rsid w:val="382D7DDE"/>
    <w:rsid w:val="382DFE98"/>
    <w:rsid w:val="3830A5F4"/>
    <w:rsid w:val="3831523C"/>
    <w:rsid w:val="383165D7"/>
    <w:rsid w:val="38324E78"/>
    <w:rsid w:val="38329970"/>
    <w:rsid w:val="3833FCB2"/>
    <w:rsid w:val="38366A0D"/>
    <w:rsid w:val="38368AC7"/>
    <w:rsid w:val="38371285"/>
    <w:rsid w:val="383A1A7A"/>
    <w:rsid w:val="383B7673"/>
    <w:rsid w:val="383C8F90"/>
    <w:rsid w:val="383CA1A7"/>
    <w:rsid w:val="383D1FA7"/>
    <w:rsid w:val="383E6F3D"/>
    <w:rsid w:val="383F86A8"/>
    <w:rsid w:val="383F86CD"/>
    <w:rsid w:val="38406793"/>
    <w:rsid w:val="384071B4"/>
    <w:rsid w:val="38407760"/>
    <w:rsid w:val="3840C402"/>
    <w:rsid w:val="3842948B"/>
    <w:rsid w:val="3843FF62"/>
    <w:rsid w:val="3845C346"/>
    <w:rsid w:val="384647DC"/>
    <w:rsid w:val="38491FAB"/>
    <w:rsid w:val="3849282E"/>
    <w:rsid w:val="384A799E"/>
    <w:rsid w:val="384AD4BA"/>
    <w:rsid w:val="384D350B"/>
    <w:rsid w:val="384D68D0"/>
    <w:rsid w:val="384D97D5"/>
    <w:rsid w:val="384E1106"/>
    <w:rsid w:val="384EFFCA"/>
    <w:rsid w:val="384F3AFB"/>
    <w:rsid w:val="384F6837"/>
    <w:rsid w:val="384FF7B8"/>
    <w:rsid w:val="38508528"/>
    <w:rsid w:val="3851539E"/>
    <w:rsid w:val="38519CDB"/>
    <w:rsid w:val="38533674"/>
    <w:rsid w:val="3853BBC6"/>
    <w:rsid w:val="38549CCB"/>
    <w:rsid w:val="3856DB7B"/>
    <w:rsid w:val="3857C37A"/>
    <w:rsid w:val="38581299"/>
    <w:rsid w:val="3858BAC6"/>
    <w:rsid w:val="38596645"/>
    <w:rsid w:val="3859C234"/>
    <w:rsid w:val="385B8597"/>
    <w:rsid w:val="385C1F46"/>
    <w:rsid w:val="385C41B3"/>
    <w:rsid w:val="3860B9B3"/>
    <w:rsid w:val="38611A55"/>
    <w:rsid w:val="38612BE4"/>
    <w:rsid w:val="38617E09"/>
    <w:rsid w:val="38618158"/>
    <w:rsid w:val="3862040D"/>
    <w:rsid w:val="3862267E"/>
    <w:rsid w:val="38644FDC"/>
    <w:rsid w:val="386570B2"/>
    <w:rsid w:val="38660075"/>
    <w:rsid w:val="38663495"/>
    <w:rsid w:val="38664AE0"/>
    <w:rsid w:val="38668B3A"/>
    <w:rsid w:val="386705B9"/>
    <w:rsid w:val="3867601D"/>
    <w:rsid w:val="38681652"/>
    <w:rsid w:val="3868A129"/>
    <w:rsid w:val="3868A679"/>
    <w:rsid w:val="386939FD"/>
    <w:rsid w:val="38698B47"/>
    <w:rsid w:val="386A64CF"/>
    <w:rsid w:val="386AA0F6"/>
    <w:rsid w:val="386AA58C"/>
    <w:rsid w:val="386AAD82"/>
    <w:rsid w:val="386BC78F"/>
    <w:rsid w:val="386C4D9B"/>
    <w:rsid w:val="386C67C7"/>
    <w:rsid w:val="386E6184"/>
    <w:rsid w:val="386F16F1"/>
    <w:rsid w:val="386F78AA"/>
    <w:rsid w:val="386FBF3A"/>
    <w:rsid w:val="38706C03"/>
    <w:rsid w:val="3871A1B5"/>
    <w:rsid w:val="3871BA25"/>
    <w:rsid w:val="38726C5D"/>
    <w:rsid w:val="3872B5B6"/>
    <w:rsid w:val="38746E62"/>
    <w:rsid w:val="38761DCE"/>
    <w:rsid w:val="387652BC"/>
    <w:rsid w:val="38789B54"/>
    <w:rsid w:val="3879145F"/>
    <w:rsid w:val="387965EE"/>
    <w:rsid w:val="387A65F2"/>
    <w:rsid w:val="387ACEC4"/>
    <w:rsid w:val="387FCC78"/>
    <w:rsid w:val="38802615"/>
    <w:rsid w:val="388057BA"/>
    <w:rsid w:val="38807B5C"/>
    <w:rsid w:val="38813ED0"/>
    <w:rsid w:val="38815B36"/>
    <w:rsid w:val="38817DE9"/>
    <w:rsid w:val="3882380B"/>
    <w:rsid w:val="388303FA"/>
    <w:rsid w:val="388344C4"/>
    <w:rsid w:val="38834603"/>
    <w:rsid w:val="38844452"/>
    <w:rsid w:val="38861955"/>
    <w:rsid w:val="3886523F"/>
    <w:rsid w:val="38867C2D"/>
    <w:rsid w:val="38867EBF"/>
    <w:rsid w:val="388786FD"/>
    <w:rsid w:val="3888E351"/>
    <w:rsid w:val="3888F67D"/>
    <w:rsid w:val="388A2C96"/>
    <w:rsid w:val="388A5B78"/>
    <w:rsid w:val="388B030B"/>
    <w:rsid w:val="388B56AF"/>
    <w:rsid w:val="388B59CD"/>
    <w:rsid w:val="388BA498"/>
    <w:rsid w:val="388C679A"/>
    <w:rsid w:val="388EAA76"/>
    <w:rsid w:val="38907F1F"/>
    <w:rsid w:val="38912BBE"/>
    <w:rsid w:val="3891630B"/>
    <w:rsid w:val="3891CE17"/>
    <w:rsid w:val="3893A8B6"/>
    <w:rsid w:val="3894EB9D"/>
    <w:rsid w:val="38952958"/>
    <w:rsid w:val="3895639D"/>
    <w:rsid w:val="38972CDA"/>
    <w:rsid w:val="38974157"/>
    <w:rsid w:val="3898055A"/>
    <w:rsid w:val="3898C3D1"/>
    <w:rsid w:val="3899A390"/>
    <w:rsid w:val="389B4668"/>
    <w:rsid w:val="389B4E52"/>
    <w:rsid w:val="389BAC3F"/>
    <w:rsid w:val="389CDD95"/>
    <w:rsid w:val="389D1299"/>
    <w:rsid w:val="389DC07A"/>
    <w:rsid w:val="389E0D36"/>
    <w:rsid w:val="389E2040"/>
    <w:rsid w:val="389F8AAB"/>
    <w:rsid w:val="389FC65D"/>
    <w:rsid w:val="38A02C5C"/>
    <w:rsid w:val="38A046F9"/>
    <w:rsid w:val="38A3B9F8"/>
    <w:rsid w:val="38A668C6"/>
    <w:rsid w:val="38A689CC"/>
    <w:rsid w:val="38A9EBA3"/>
    <w:rsid w:val="38AA007F"/>
    <w:rsid w:val="38AA4C0E"/>
    <w:rsid w:val="38AC9259"/>
    <w:rsid w:val="38ACA858"/>
    <w:rsid w:val="38AD0B6F"/>
    <w:rsid w:val="38ADEDF9"/>
    <w:rsid w:val="38B1DA50"/>
    <w:rsid w:val="38B29166"/>
    <w:rsid w:val="38B2DEC6"/>
    <w:rsid w:val="38B2FA33"/>
    <w:rsid w:val="38B30A0D"/>
    <w:rsid w:val="38B56C93"/>
    <w:rsid w:val="38B75590"/>
    <w:rsid w:val="38B86537"/>
    <w:rsid w:val="38BA8389"/>
    <w:rsid w:val="38BC5A14"/>
    <w:rsid w:val="38BE6BCB"/>
    <w:rsid w:val="38BE7CD4"/>
    <w:rsid w:val="38C02CB5"/>
    <w:rsid w:val="38C0E034"/>
    <w:rsid w:val="38C26601"/>
    <w:rsid w:val="38C36598"/>
    <w:rsid w:val="38C42249"/>
    <w:rsid w:val="38C42DDE"/>
    <w:rsid w:val="38C46BDC"/>
    <w:rsid w:val="38C72607"/>
    <w:rsid w:val="38C9044F"/>
    <w:rsid w:val="38CB680F"/>
    <w:rsid w:val="38CD294B"/>
    <w:rsid w:val="38CD2C26"/>
    <w:rsid w:val="38CFFB07"/>
    <w:rsid w:val="38D02E04"/>
    <w:rsid w:val="38D11900"/>
    <w:rsid w:val="38D12AEF"/>
    <w:rsid w:val="38D131F9"/>
    <w:rsid w:val="38D1DFFE"/>
    <w:rsid w:val="38D32529"/>
    <w:rsid w:val="38D33E17"/>
    <w:rsid w:val="38D41C9A"/>
    <w:rsid w:val="38D4C041"/>
    <w:rsid w:val="38D609B7"/>
    <w:rsid w:val="38D81A8F"/>
    <w:rsid w:val="38D83D6D"/>
    <w:rsid w:val="38D87770"/>
    <w:rsid w:val="38D8A04A"/>
    <w:rsid w:val="38D8A4BF"/>
    <w:rsid w:val="38DA10E0"/>
    <w:rsid w:val="38DC209F"/>
    <w:rsid w:val="38DCC5CC"/>
    <w:rsid w:val="38DCD221"/>
    <w:rsid w:val="38DCD269"/>
    <w:rsid w:val="38DD8E1F"/>
    <w:rsid w:val="38DE9AC8"/>
    <w:rsid w:val="38DFBE32"/>
    <w:rsid w:val="38E19EA3"/>
    <w:rsid w:val="38E2031E"/>
    <w:rsid w:val="38E2957E"/>
    <w:rsid w:val="38E714F5"/>
    <w:rsid w:val="38E788AB"/>
    <w:rsid w:val="38E8C306"/>
    <w:rsid w:val="38E8F33B"/>
    <w:rsid w:val="38EC1001"/>
    <w:rsid w:val="38ECB07F"/>
    <w:rsid w:val="38EDC43D"/>
    <w:rsid w:val="38EE355B"/>
    <w:rsid w:val="38EE4B52"/>
    <w:rsid w:val="38EE7591"/>
    <w:rsid w:val="38EE85AD"/>
    <w:rsid w:val="38EF7ADE"/>
    <w:rsid w:val="38F027C1"/>
    <w:rsid w:val="38F039D7"/>
    <w:rsid w:val="38F0E292"/>
    <w:rsid w:val="38F201B1"/>
    <w:rsid w:val="38F33FC1"/>
    <w:rsid w:val="38F437C4"/>
    <w:rsid w:val="38F515E3"/>
    <w:rsid w:val="38F51615"/>
    <w:rsid w:val="38F59E49"/>
    <w:rsid w:val="38F6B635"/>
    <w:rsid w:val="38F78586"/>
    <w:rsid w:val="38FACB3C"/>
    <w:rsid w:val="38FB7DBD"/>
    <w:rsid w:val="3901AB73"/>
    <w:rsid w:val="39021B91"/>
    <w:rsid w:val="39025560"/>
    <w:rsid w:val="39043D28"/>
    <w:rsid w:val="39052490"/>
    <w:rsid w:val="39054ABB"/>
    <w:rsid w:val="39066CDC"/>
    <w:rsid w:val="3906FF60"/>
    <w:rsid w:val="3907E850"/>
    <w:rsid w:val="3908A8FE"/>
    <w:rsid w:val="3909C535"/>
    <w:rsid w:val="390A7EBD"/>
    <w:rsid w:val="390CA9D5"/>
    <w:rsid w:val="390D55C1"/>
    <w:rsid w:val="390D68AC"/>
    <w:rsid w:val="390DB2AD"/>
    <w:rsid w:val="390EF10D"/>
    <w:rsid w:val="39122B23"/>
    <w:rsid w:val="3912391A"/>
    <w:rsid w:val="3912B054"/>
    <w:rsid w:val="39152DDB"/>
    <w:rsid w:val="3915517C"/>
    <w:rsid w:val="3915625C"/>
    <w:rsid w:val="391871C5"/>
    <w:rsid w:val="39197FFE"/>
    <w:rsid w:val="391A4C10"/>
    <w:rsid w:val="391BB16B"/>
    <w:rsid w:val="391D2F37"/>
    <w:rsid w:val="391DD61F"/>
    <w:rsid w:val="391DDBC7"/>
    <w:rsid w:val="391F49DF"/>
    <w:rsid w:val="391F53A6"/>
    <w:rsid w:val="391F6BA2"/>
    <w:rsid w:val="39200383"/>
    <w:rsid w:val="3920F4FC"/>
    <w:rsid w:val="392248A4"/>
    <w:rsid w:val="39226744"/>
    <w:rsid w:val="392358DD"/>
    <w:rsid w:val="3924739E"/>
    <w:rsid w:val="3924B157"/>
    <w:rsid w:val="392532E1"/>
    <w:rsid w:val="3925D65A"/>
    <w:rsid w:val="39262FB6"/>
    <w:rsid w:val="392681ED"/>
    <w:rsid w:val="3927FCAE"/>
    <w:rsid w:val="39295D8F"/>
    <w:rsid w:val="392A5CCF"/>
    <w:rsid w:val="392A7621"/>
    <w:rsid w:val="392A8CED"/>
    <w:rsid w:val="392C9CB4"/>
    <w:rsid w:val="392D7F51"/>
    <w:rsid w:val="392EC3A2"/>
    <w:rsid w:val="392EC83E"/>
    <w:rsid w:val="392F1C3C"/>
    <w:rsid w:val="39301B42"/>
    <w:rsid w:val="39302806"/>
    <w:rsid w:val="3930CC19"/>
    <w:rsid w:val="3931F7DB"/>
    <w:rsid w:val="3932DC0B"/>
    <w:rsid w:val="39331079"/>
    <w:rsid w:val="39339516"/>
    <w:rsid w:val="3933BE5F"/>
    <w:rsid w:val="3933CB51"/>
    <w:rsid w:val="393833AE"/>
    <w:rsid w:val="3939115B"/>
    <w:rsid w:val="39396E9E"/>
    <w:rsid w:val="39397702"/>
    <w:rsid w:val="393BE66A"/>
    <w:rsid w:val="393D4483"/>
    <w:rsid w:val="393DDB25"/>
    <w:rsid w:val="393E753E"/>
    <w:rsid w:val="3940949D"/>
    <w:rsid w:val="394163B0"/>
    <w:rsid w:val="39418107"/>
    <w:rsid w:val="3942AB8F"/>
    <w:rsid w:val="3944551E"/>
    <w:rsid w:val="39449168"/>
    <w:rsid w:val="394789E2"/>
    <w:rsid w:val="3948BFC1"/>
    <w:rsid w:val="3948E57B"/>
    <w:rsid w:val="3949B19D"/>
    <w:rsid w:val="394A6E42"/>
    <w:rsid w:val="394C61EF"/>
    <w:rsid w:val="394FB66F"/>
    <w:rsid w:val="394FFB25"/>
    <w:rsid w:val="39525398"/>
    <w:rsid w:val="39559B17"/>
    <w:rsid w:val="3955E03E"/>
    <w:rsid w:val="395847C8"/>
    <w:rsid w:val="3958B0A8"/>
    <w:rsid w:val="3958DFD3"/>
    <w:rsid w:val="395988FF"/>
    <w:rsid w:val="395A23E4"/>
    <w:rsid w:val="395B876F"/>
    <w:rsid w:val="395CBC5C"/>
    <w:rsid w:val="395D896D"/>
    <w:rsid w:val="395D95F0"/>
    <w:rsid w:val="395E64DE"/>
    <w:rsid w:val="395E6BDE"/>
    <w:rsid w:val="395E6C5D"/>
    <w:rsid w:val="395EC95C"/>
    <w:rsid w:val="3960E92D"/>
    <w:rsid w:val="3962FD64"/>
    <w:rsid w:val="39630B77"/>
    <w:rsid w:val="3963338F"/>
    <w:rsid w:val="39633B12"/>
    <w:rsid w:val="3963EFEB"/>
    <w:rsid w:val="39649F80"/>
    <w:rsid w:val="39658146"/>
    <w:rsid w:val="396654C3"/>
    <w:rsid w:val="3968CC4F"/>
    <w:rsid w:val="396A8A01"/>
    <w:rsid w:val="396AC7F3"/>
    <w:rsid w:val="396BDDE7"/>
    <w:rsid w:val="396C2621"/>
    <w:rsid w:val="396C9041"/>
    <w:rsid w:val="396CA77C"/>
    <w:rsid w:val="396CB521"/>
    <w:rsid w:val="396E5C3A"/>
    <w:rsid w:val="3970C2A3"/>
    <w:rsid w:val="39719F75"/>
    <w:rsid w:val="39723493"/>
    <w:rsid w:val="397267B0"/>
    <w:rsid w:val="3972C0F9"/>
    <w:rsid w:val="3972E42F"/>
    <w:rsid w:val="39736CA3"/>
    <w:rsid w:val="3973E9D4"/>
    <w:rsid w:val="3973F964"/>
    <w:rsid w:val="39748499"/>
    <w:rsid w:val="39749610"/>
    <w:rsid w:val="3974B6E1"/>
    <w:rsid w:val="3974DEED"/>
    <w:rsid w:val="39756EC6"/>
    <w:rsid w:val="3979D421"/>
    <w:rsid w:val="397AD6CC"/>
    <w:rsid w:val="397EFF19"/>
    <w:rsid w:val="39806F30"/>
    <w:rsid w:val="3981A8AC"/>
    <w:rsid w:val="39820A14"/>
    <w:rsid w:val="39826629"/>
    <w:rsid w:val="39828B41"/>
    <w:rsid w:val="39843FAD"/>
    <w:rsid w:val="3985974C"/>
    <w:rsid w:val="398602CC"/>
    <w:rsid w:val="39862C6E"/>
    <w:rsid w:val="3986AB27"/>
    <w:rsid w:val="398ADDBD"/>
    <w:rsid w:val="398CA817"/>
    <w:rsid w:val="398D1908"/>
    <w:rsid w:val="398F745A"/>
    <w:rsid w:val="398F7B3A"/>
    <w:rsid w:val="398FD61F"/>
    <w:rsid w:val="3990601E"/>
    <w:rsid w:val="3991729D"/>
    <w:rsid w:val="39928A10"/>
    <w:rsid w:val="399348EC"/>
    <w:rsid w:val="3993F6F5"/>
    <w:rsid w:val="39948837"/>
    <w:rsid w:val="39959F8A"/>
    <w:rsid w:val="39973F37"/>
    <w:rsid w:val="39975578"/>
    <w:rsid w:val="399A6775"/>
    <w:rsid w:val="399B1ADF"/>
    <w:rsid w:val="399C50D4"/>
    <w:rsid w:val="399CAB38"/>
    <w:rsid w:val="399D0EEA"/>
    <w:rsid w:val="399D2A69"/>
    <w:rsid w:val="399DBE5D"/>
    <w:rsid w:val="399DF6C7"/>
    <w:rsid w:val="39A101CD"/>
    <w:rsid w:val="39A1468D"/>
    <w:rsid w:val="39A36265"/>
    <w:rsid w:val="39A3ABC9"/>
    <w:rsid w:val="39A48572"/>
    <w:rsid w:val="39A4E62F"/>
    <w:rsid w:val="39A4E9A7"/>
    <w:rsid w:val="39A542AF"/>
    <w:rsid w:val="39A61437"/>
    <w:rsid w:val="39A7896E"/>
    <w:rsid w:val="39A9D569"/>
    <w:rsid w:val="39AB0C44"/>
    <w:rsid w:val="39AB2994"/>
    <w:rsid w:val="39AD0935"/>
    <w:rsid w:val="39ADB02C"/>
    <w:rsid w:val="39ADB393"/>
    <w:rsid w:val="39AE5DE7"/>
    <w:rsid w:val="39AF1C9D"/>
    <w:rsid w:val="39AF5979"/>
    <w:rsid w:val="39B03C4A"/>
    <w:rsid w:val="39B2A8E1"/>
    <w:rsid w:val="39B3606A"/>
    <w:rsid w:val="39B4D182"/>
    <w:rsid w:val="39B4DC9D"/>
    <w:rsid w:val="39B5A17A"/>
    <w:rsid w:val="39B5E705"/>
    <w:rsid w:val="39B68261"/>
    <w:rsid w:val="39B7A575"/>
    <w:rsid w:val="39B88667"/>
    <w:rsid w:val="39B88858"/>
    <w:rsid w:val="39B9A801"/>
    <w:rsid w:val="39BB0B7E"/>
    <w:rsid w:val="39BB8ACF"/>
    <w:rsid w:val="39BF0EF1"/>
    <w:rsid w:val="39BF1384"/>
    <w:rsid w:val="39BF2761"/>
    <w:rsid w:val="39BF83D5"/>
    <w:rsid w:val="39C05B24"/>
    <w:rsid w:val="39C0BADA"/>
    <w:rsid w:val="39C11845"/>
    <w:rsid w:val="39C12F28"/>
    <w:rsid w:val="39C15190"/>
    <w:rsid w:val="39C158F8"/>
    <w:rsid w:val="39C20704"/>
    <w:rsid w:val="39C425D5"/>
    <w:rsid w:val="39C433A1"/>
    <w:rsid w:val="39C48623"/>
    <w:rsid w:val="39C4D8D0"/>
    <w:rsid w:val="39C60099"/>
    <w:rsid w:val="39C6047E"/>
    <w:rsid w:val="39C690D0"/>
    <w:rsid w:val="39C76BE6"/>
    <w:rsid w:val="39C7BE5E"/>
    <w:rsid w:val="39C80732"/>
    <w:rsid w:val="39C83769"/>
    <w:rsid w:val="39C99997"/>
    <w:rsid w:val="39C99D41"/>
    <w:rsid w:val="39CA1698"/>
    <w:rsid w:val="39CCB24A"/>
    <w:rsid w:val="39CE6ADA"/>
    <w:rsid w:val="39D220A7"/>
    <w:rsid w:val="39D2640A"/>
    <w:rsid w:val="39D547DE"/>
    <w:rsid w:val="39D6226D"/>
    <w:rsid w:val="39D70379"/>
    <w:rsid w:val="39D7C3F8"/>
    <w:rsid w:val="39D83F80"/>
    <w:rsid w:val="39D8A932"/>
    <w:rsid w:val="39D8C809"/>
    <w:rsid w:val="39D9D0C4"/>
    <w:rsid w:val="39DB72CF"/>
    <w:rsid w:val="39DB81B3"/>
    <w:rsid w:val="39DC937B"/>
    <w:rsid w:val="39DCFB60"/>
    <w:rsid w:val="39DD0EFD"/>
    <w:rsid w:val="39DE9380"/>
    <w:rsid w:val="39DF5B4C"/>
    <w:rsid w:val="39DFF088"/>
    <w:rsid w:val="39E12BBA"/>
    <w:rsid w:val="39E418A5"/>
    <w:rsid w:val="39E59991"/>
    <w:rsid w:val="39E5AFDA"/>
    <w:rsid w:val="39E5B4DF"/>
    <w:rsid w:val="39E5F53D"/>
    <w:rsid w:val="39E779A2"/>
    <w:rsid w:val="39E82B35"/>
    <w:rsid w:val="39EAD20C"/>
    <w:rsid w:val="39EC9D9D"/>
    <w:rsid w:val="39EE0C4A"/>
    <w:rsid w:val="39EE10A1"/>
    <w:rsid w:val="39EED177"/>
    <w:rsid w:val="39F0821C"/>
    <w:rsid w:val="39F25AD2"/>
    <w:rsid w:val="39F40AB0"/>
    <w:rsid w:val="39F6ABA2"/>
    <w:rsid w:val="39F88786"/>
    <w:rsid w:val="39F93D31"/>
    <w:rsid w:val="39F9BCC1"/>
    <w:rsid w:val="39FB3F1C"/>
    <w:rsid w:val="39FB5706"/>
    <w:rsid w:val="39FD6F03"/>
    <w:rsid w:val="39FDEBEB"/>
    <w:rsid w:val="39FE5F6B"/>
    <w:rsid w:val="39FE899C"/>
    <w:rsid w:val="39FF578E"/>
    <w:rsid w:val="3A00482B"/>
    <w:rsid w:val="3A00F478"/>
    <w:rsid w:val="3A012428"/>
    <w:rsid w:val="3A0134A7"/>
    <w:rsid w:val="3A01F4FD"/>
    <w:rsid w:val="3A02020A"/>
    <w:rsid w:val="3A0347A5"/>
    <w:rsid w:val="3A06CA9B"/>
    <w:rsid w:val="3A07A3F0"/>
    <w:rsid w:val="3A093C95"/>
    <w:rsid w:val="3A0A5447"/>
    <w:rsid w:val="3A0C19C0"/>
    <w:rsid w:val="3A0C90ED"/>
    <w:rsid w:val="3A0CEA73"/>
    <w:rsid w:val="3A0E0529"/>
    <w:rsid w:val="3A0EBD45"/>
    <w:rsid w:val="3A10FF97"/>
    <w:rsid w:val="3A14186B"/>
    <w:rsid w:val="3A1437B7"/>
    <w:rsid w:val="3A145432"/>
    <w:rsid w:val="3A148A33"/>
    <w:rsid w:val="3A14B249"/>
    <w:rsid w:val="3A15ECC2"/>
    <w:rsid w:val="3A160889"/>
    <w:rsid w:val="3A1761D9"/>
    <w:rsid w:val="3A189DB4"/>
    <w:rsid w:val="3A192F83"/>
    <w:rsid w:val="3A194353"/>
    <w:rsid w:val="3A1995A2"/>
    <w:rsid w:val="3A1AA7D5"/>
    <w:rsid w:val="3A1B97B1"/>
    <w:rsid w:val="3A1C4A81"/>
    <w:rsid w:val="3A1CBC31"/>
    <w:rsid w:val="3A1D99AF"/>
    <w:rsid w:val="3A1DC732"/>
    <w:rsid w:val="3A1DD7CC"/>
    <w:rsid w:val="3A1DE9F6"/>
    <w:rsid w:val="3A1FB60A"/>
    <w:rsid w:val="3A21E9DA"/>
    <w:rsid w:val="3A255EF5"/>
    <w:rsid w:val="3A2609E0"/>
    <w:rsid w:val="3A26B211"/>
    <w:rsid w:val="3A29826F"/>
    <w:rsid w:val="3A299BCF"/>
    <w:rsid w:val="3A29B867"/>
    <w:rsid w:val="3A29BF65"/>
    <w:rsid w:val="3A29BFD8"/>
    <w:rsid w:val="3A2C825F"/>
    <w:rsid w:val="3A2DC04E"/>
    <w:rsid w:val="3A2DC0A6"/>
    <w:rsid w:val="3A2DCABA"/>
    <w:rsid w:val="3A2E91D7"/>
    <w:rsid w:val="3A31314B"/>
    <w:rsid w:val="3A33F2DB"/>
    <w:rsid w:val="3A358054"/>
    <w:rsid w:val="3A379CE2"/>
    <w:rsid w:val="3A37A1A9"/>
    <w:rsid w:val="3A37BF49"/>
    <w:rsid w:val="3A37C6F5"/>
    <w:rsid w:val="3A387A39"/>
    <w:rsid w:val="3A39DF75"/>
    <w:rsid w:val="3A39F21D"/>
    <w:rsid w:val="3A3CE9D1"/>
    <w:rsid w:val="3A3CF32D"/>
    <w:rsid w:val="3A3D1F0C"/>
    <w:rsid w:val="3A433C4F"/>
    <w:rsid w:val="3A434C46"/>
    <w:rsid w:val="3A444EC0"/>
    <w:rsid w:val="3A452F48"/>
    <w:rsid w:val="3A466BDB"/>
    <w:rsid w:val="3A4689D5"/>
    <w:rsid w:val="3A48AF2B"/>
    <w:rsid w:val="3A4A57DF"/>
    <w:rsid w:val="3A4C22AF"/>
    <w:rsid w:val="3A4DF7C2"/>
    <w:rsid w:val="3A4E59A7"/>
    <w:rsid w:val="3A4F5E59"/>
    <w:rsid w:val="3A51F4DC"/>
    <w:rsid w:val="3A543598"/>
    <w:rsid w:val="3A5478E0"/>
    <w:rsid w:val="3A54993E"/>
    <w:rsid w:val="3A54AB07"/>
    <w:rsid w:val="3A559C82"/>
    <w:rsid w:val="3A561879"/>
    <w:rsid w:val="3A5658EF"/>
    <w:rsid w:val="3A56984D"/>
    <w:rsid w:val="3A592F74"/>
    <w:rsid w:val="3A5A2046"/>
    <w:rsid w:val="3A5A2508"/>
    <w:rsid w:val="3A5C49BA"/>
    <w:rsid w:val="3A608BE1"/>
    <w:rsid w:val="3A611B29"/>
    <w:rsid w:val="3A61EF96"/>
    <w:rsid w:val="3A63829F"/>
    <w:rsid w:val="3A67A95E"/>
    <w:rsid w:val="3A6845F2"/>
    <w:rsid w:val="3A6ABE9E"/>
    <w:rsid w:val="3A6AEDB1"/>
    <w:rsid w:val="3A6D0D5E"/>
    <w:rsid w:val="3A6F6B36"/>
    <w:rsid w:val="3A6FAE87"/>
    <w:rsid w:val="3A705255"/>
    <w:rsid w:val="3A7079BA"/>
    <w:rsid w:val="3A728656"/>
    <w:rsid w:val="3A743990"/>
    <w:rsid w:val="3A74BFD1"/>
    <w:rsid w:val="3A74CF41"/>
    <w:rsid w:val="3A7523F7"/>
    <w:rsid w:val="3A756F7D"/>
    <w:rsid w:val="3A75D095"/>
    <w:rsid w:val="3A75D351"/>
    <w:rsid w:val="3A76557B"/>
    <w:rsid w:val="3A7C4E05"/>
    <w:rsid w:val="3A7CA481"/>
    <w:rsid w:val="3A7F2242"/>
    <w:rsid w:val="3A7FA25C"/>
    <w:rsid w:val="3A806A0F"/>
    <w:rsid w:val="3A80A345"/>
    <w:rsid w:val="3A8177FF"/>
    <w:rsid w:val="3A826A42"/>
    <w:rsid w:val="3A82ADCE"/>
    <w:rsid w:val="3A84E768"/>
    <w:rsid w:val="3A859C15"/>
    <w:rsid w:val="3A8708EE"/>
    <w:rsid w:val="3A8752AB"/>
    <w:rsid w:val="3A87DD67"/>
    <w:rsid w:val="3A883636"/>
    <w:rsid w:val="3A8894AC"/>
    <w:rsid w:val="3A8937A3"/>
    <w:rsid w:val="3A894C66"/>
    <w:rsid w:val="3A8989FA"/>
    <w:rsid w:val="3A8AE53A"/>
    <w:rsid w:val="3A8B5120"/>
    <w:rsid w:val="3A8B8A67"/>
    <w:rsid w:val="3A8B95E3"/>
    <w:rsid w:val="3A8C0730"/>
    <w:rsid w:val="3A8C2CA5"/>
    <w:rsid w:val="3A8C3389"/>
    <w:rsid w:val="3A8E3E77"/>
    <w:rsid w:val="3A918DC8"/>
    <w:rsid w:val="3A920530"/>
    <w:rsid w:val="3A92C58E"/>
    <w:rsid w:val="3A939F3F"/>
    <w:rsid w:val="3A94CD8F"/>
    <w:rsid w:val="3A9A134A"/>
    <w:rsid w:val="3A9B54B2"/>
    <w:rsid w:val="3A9BEA11"/>
    <w:rsid w:val="3A9BEEB9"/>
    <w:rsid w:val="3A9D9496"/>
    <w:rsid w:val="3A9FBECB"/>
    <w:rsid w:val="3A9FEF40"/>
    <w:rsid w:val="3AA03786"/>
    <w:rsid w:val="3AA11D88"/>
    <w:rsid w:val="3AA17C58"/>
    <w:rsid w:val="3AA28CEB"/>
    <w:rsid w:val="3AA2C69D"/>
    <w:rsid w:val="3AA42F00"/>
    <w:rsid w:val="3AA59563"/>
    <w:rsid w:val="3AA80405"/>
    <w:rsid w:val="3AA884A9"/>
    <w:rsid w:val="3AAA599C"/>
    <w:rsid w:val="3AABCABE"/>
    <w:rsid w:val="3AAC11AF"/>
    <w:rsid w:val="3AACC162"/>
    <w:rsid w:val="3AADEABA"/>
    <w:rsid w:val="3AB007BE"/>
    <w:rsid w:val="3AB01AE5"/>
    <w:rsid w:val="3AB14324"/>
    <w:rsid w:val="3AB23A44"/>
    <w:rsid w:val="3AB348F1"/>
    <w:rsid w:val="3AB57C98"/>
    <w:rsid w:val="3AB62399"/>
    <w:rsid w:val="3AB6F693"/>
    <w:rsid w:val="3AB78536"/>
    <w:rsid w:val="3AB8B134"/>
    <w:rsid w:val="3ABA3ABC"/>
    <w:rsid w:val="3ABA7EAB"/>
    <w:rsid w:val="3ABABF0F"/>
    <w:rsid w:val="3ABB0F3F"/>
    <w:rsid w:val="3ABB7735"/>
    <w:rsid w:val="3ABC3C61"/>
    <w:rsid w:val="3ABD8682"/>
    <w:rsid w:val="3AC09C94"/>
    <w:rsid w:val="3AC1E635"/>
    <w:rsid w:val="3AC28A1F"/>
    <w:rsid w:val="3AC48292"/>
    <w:rsid w:val="3AC49A3F"/>
    <w:rsid w:val="3AC53DC3"/>
    <w:rsid w:val="3AC5B32A"/>
    <w:rsid w:val="3AC6DA7C"/>
    <w:rsid w:val="3AC70C4C"/>
    <w:rsid w:val="3AC7D7BB"/>
    <w:rsid w:val="3AC87E3D"/>
    <w:rsid w:val="3ACD0FF3"/>
    <w:rsid w:val="3ACD2455"/>
    <w:rsid w:val="3ACD3D70"/>
    <w:rsid w:val="3ACD9645"/>
    <w:rsid w:val="3ACF3DB5"/>
    <w:rsid w:val="3AD190FD"/>
    <w:rsid w:val="3AD1E2CD"/>
    <w:rsid w:val="3AD35252"/>
    <w:rsid w:val="3AD39052"/>
    <w:rsid w:val="3AD3E1CB"/>
    <w:rsid w:val="3AD5B7FF"/>
    <w:rsid w:val="3AD605C8"/>
    <w:rsid w:val="3AD7B71A"/>
    <w:rsid w:val="3AD822D9"/>
    <w:rsid w:val="3AD8D63A"/>
    <w:rsid w:val="3ADA8231"/>
    <w:rsid w:val="3ADB6551"/>
    <w:rsid w:val="3ADBB02D"/>
    <w:rsid w:val="3ADC468F"/>
    <w:rsid w:val="3ADD0E38"/>
    <w:rsid w:val="3ADEF85A"/>
    <w:rsid w:val="3AE156D1"/>
    <w:rsid w:val="3AE263C6"/>
    <w:rsid w:val="3AE60C65"/>
    <w:rsid w:val="3AE67BA4"/>
    <w:rsid w:val="3AE6F421"/>
    <w:rsid w:val="3AE6FB69"/>
    <w:rsid w:val="3AEB7557"/>
    <w:rsid w:val="3AEC58DA"/>
    <w:rsid w:val="3AECCC42"/>
    <w:rsid w:val="3AEF12E4"/>
    <w:rsid w:val="3AEFAC9C"/>
    <w:rsid w:val="3AEFADC7"/>
    <w:rsid w:val="3AF04AF0"/>
    <w:rsid w:val="3AF2A3E3"/>
    <w:rsid w:val="3AF3B378"/>
    <w:rsid w:val="3AF3D504"/>
    <w:rsid w:val="3AF40935"/>
    <w:rsid w:val="3AF46FDD"/>
    <w:rsid w:val="3AF52F56"/>
    <w:rsid w:val="3AF53F1A"/>
    <w:rsid w:val="3AF93E1A"/>
    <w:rsid w:val="3AF9F787"/>
    <w:rsid w:val="3AFAB916"/>
    <w:rsid w:val="3AFD27E2"/>
    <w:rsid w:val="3AFD95F8"/>
    <w:rsid w:val="3AFED59A"/>
    <w:rsid w:val="3AFEF7C1"/>
    <w:rsid w:val="3B0250BF"/>
    <w:rsid w:val="3B03F1EA"/>
    <w:rsid w:val="3B04308C"/>
    <w:rsid w:val="3B047C7D"/>
    <w:rsid w:val="3B04813C"/>
    <w:rsid w:val="3B05AD1A"/>
    <w:rsid w:val="3B067EBC"/>
    <w:rsid w:val="3B06E890"/>
    <w:rsid w:val="3B0BB11A"/>
    <w:rsid w:val="3B0C3999"/>
    <w:rsid w:val="3B0D917D"/>
    <w:rsid w:val="3B0E3219"/>
    <w:rsid w:val="3B0EFD0D"/>
    <w:rsid w:val="3B118446"/>
    <w:rsid w:val="3B137161"/>
    <w:rsid w:val="3B155238"/>
    <w:rsid w:val="3B15F6A6"/>
    <w:rsid w:val="3B18011A"/>
    <w:rsid w:val="3B197A72"/>
    <w:rsid w:val="3B1A1AAF"/>
    <w:rsid w:val="3B1EE2CA"/>
    <w:rsid w:val="3B20D055"/>
    <w:rsid w:val="3B2161A8"/>
    <w:rsid w:val="3B21A72A"/>
    <w:rsid w:val="3B2233CF"/>
    <w:rsid w:val="3B225B82"/>
    <w:rsid w:val="3B2293EC"/>
    <w:rsid w:val="3B23E32B"/>
    <w:rsid w:val="3B243C8A"/>
    <w:rsid w:val="3B25E4EB"/>
    <w:rsid w:val="3B2641D9"/>
    <w:rsid w:val="3B26651A"/>
    <w:rsid w:val="3B26C067"/>
    <w:rsid w:val="3B27D4FD"/>
    <w:rsid w:val="3B2A5DB5"/>
    <w:rsid w:val="3B2A7613"/>
    <w:rsid w:val="3B2B46BC"/>
    <w:rsid w:val="3B2DB31F"/>
    <w:rsid w:val="3B2EF30C"/>
    <w:rsid w:val="3B2EF3F9"/>
    <w:rsid w:val="3B31BE59"/>
    <w:rsid w:val="3B31E2E6"/>
    <w:rsid w:val="3B32C64B"/>
    <w:rsid w:val="3B34E48E"/>
    <w:rsid w:val="3B35B7E1"/>
    <w:rsid w:val="3B36F892"/>
    <w:rsid w:val="3B39DA61"/>
    <w:rsid w:val="3B3AFD7A"/>
    <w:rsid w:val="3B3C3982"/>
    <w:rsid w:val="3B3DF871"/>
    <w:rsid w:val="3B3E689E"/>
    <w:rsid w:val="3B3FF332"/>
    <w:rsid w:val="3B416D20"/>
    <w:rsid w:val="3B45D43D"/>
    <w:rsid w:val="3B480CB0"/>
    <w:rsid w:val="3B48F9AE"/>
    <w:rsid w:val="3B4AECFE"/>
    <w:rsid w:val="3B4CAFB6"/>
    <w:rsid w:val="3B4CE667"/>
    <w:rsid w:val="3B4E18C8"/>
    <w:rsid w:val="3B4FEB1F"/>
    <w:rsid w:val="3B4FF929"/>
    <w:rsid w:val="3B50023F"/>
    <w:rsid w:val="3B51DDF4"/>
    <w:rsid w:val="3B52B422"/>
    <w:rsid w:val="3B53F6E3"/>
    <w:rsid w:val="3B5427BF"/>
    <w:rsid w:val="3B558843"/>
    <w:rsid w:val="3B55F75D"/>
    <w:rsid w:val="3B57CD2D"/>
    <w:rsid w:val="3B57D93F"/>
    <w:rsid w:val="3B57E3B2"/>
    <w:rsid w:val="3B57F9B5"/>
    <w:rsid w:val="3B592587"/>
    <w:rsid w:val="3B5928AA"/>
    <w:rsid w:val="3B59D938"/>
    <w:rsid w:val="3B5BBB76"/>
    <w:rsid w:val="3B5D34AC"/>
    <w:rsid w:val="3B5DBF0A"/>
    <w:rsid w:val="3B5DD765"/>
    <w:rsid w:val="3B5EF094"/>
    <w:rsid w:val="3B5F5DE9"/>
    <w:rsid w:val="3B5F8B65"/>
    <w:rsid w:val="3B601E94"/>
    <w:rsid w:val="3B60C127"/>
    <w:rsid w:val="3B6111BB"/>
    <w:rsid w:val="3B633A8C"/>
    <w:rsid w:val="3B65ABE7"/>
    <w:rsid w:val="3B670204"/>
    <w:rsid w:val="3B68ABFC"/>
    <w:rsid w:val="3B68BCEB"/>
    <w:rsid w:val="3B6917E1"/>
    <w:rsid w:val="3B6AF4C4"/>
    <w:rsid w:val="3B6B5D4E"/>
    <w:rsid w:val="3B6D1A98"/>
    <w:rsid w:val="3B6DF27B"/>
    <w:rsid w:val="3B6E215C"/>
    <w:rsid w:val="3B6E458D"/>
    <w:rsid w:val="3B6F01D7"/>
    <w:rsid w:val="3B6FFD59"/>
    <w:rsid w:val="3B703AF5"/>
    <w:rsid w:val="3B706CE0"/>
    <w:rsid w:val="3B709084"/>
    <w:rsid w:val="3B72A50F"/>
    <w:rsid w:val="3B72DE5B"/>
    <w:rsid w:val="3B737378"/>
    <w:rsid w:val="3B74726C"/>
    <w:rsid w:val="3B74C6DA"/>
    <w:rsid w:val="3B7597B2"/>
    <w:rsid w:val="3B75FCD1"/>
    <w:rsid w:val="3B7785E5"/>
    <w:rsid w:val="3B778974"/>
    <w:rsid w:val="3B78EBE2"/>
    <w:rsid w:val="3B79D059"/>
    <w:rsid w:val="3B7C12BB"/>
    <w:rsid w:val="3B7CC8F7"/>
    <w:rsid w:val="3B7E646A"/>
    <w:rsid w:val="3B7EA703"/>
    <w:rsid w:val="3B7F4F6D"/>
    <w:rsid w:val="3B7FFFAB"/>
    <w:rsid w:val="3B828123"/>
    <w:rsid w:val="3B83179C"/>
    <w:rsid w:val="3B8477ED"/>
    <w:rsid w:val="3B84B298"/>
    <w:rsid w:val="3B86CDCC"/>
    <w:rsid w:val="3B86F90A"/>
    <w:rsid w:val="3B88B5E9"/>
    <w:rsid w:val="3B8A5D0D"/>
    <w:rsid w:val="3B8A90BC"/>
    <w:rsid w:val="3B8B9CB9"/>
    <w:rsid w:val="3B8BBC86"/>
    <w:rsid w:val="3B8C98F0"/>
    <w:rsid w:val="3B8D00D3"/>
    <w:rsid w:val="3B8D0371"/>
    <w:rsid w:val="3B8DC50B"/>
    <w:rsid w:val="3B8E31DB"/>
    <w:rsid w:val="3B8ED0E8"/>
    <w:rsid w:val="3B8F0534"/>
    <w:rsid w:val="3B90CDE6"/>
    <w:rsid w:val="3B921255"/>
    <w:rsid w:val="3B9267EC"/>
    <w:rsid w:val="3B92E200"/>
    <w:rsid w:val="3B931BF3"/>
    <w:rsid w:val="3B932C10"/>
    <w:rsid w:val="3B934A7F"/>
    <w:rsid w:val="3B9352C0"/>
    <w:rsid w:val="3B943F3C"/>
    <w:rsid w:val="3B94AB65"/>
    <w:rsid w:val="3B98085B"/>
    <w:rsid w:val="3B9965BD"/>
    <w:rsid w:val="3B998B7F"/>
    <w:rsid w:val="3B9AE225"/>
    <w:rsid w:val="3B9B219D"/>
    <w:rsid w:val="3B9B25F6"/>
    <w:rsid w:val="3B9EA539"/>
    <w:rsid w:val="3B9EDEC2"/>
    <w:rsid w:val="3B9F1032"/>
    <w:rsid w:val="3B9FBA4A"/>
    <w:rsid w:val="3BA105C5"/>
    <w:rsid w:val="3BA17B75"/>
    <w:rsid w:val="3BA1D451"/>
    <w:rsid w:val="3BA3610C"/>
    <w:rsid w:val="3BA45036"/>
    <w:rsid w:val="3BA453F9"/>
    <w:rsid w:val="3BA543D2"/>
    <w:rsid w:val="3BA64708"/>
    <w:rsid w:val="3BA6BDD1"/>
    <w:rsid w:val="3BA6F2DA"/>
    <w:rsid w:val="3BA92E46"/>
    <w:rsid w:val="3BADC23F"/>
    <w:rsid w:val="3BAEB7B4"/>
    <w:rsid w:val="3BB08A22"/>
    <w:rsid w:val="3BB0BB9C"/>
    <w:rsid w:val="3BB405A5"/>
    <w:rsid w:val="3BB52188"/>
    <w:rsid w:val="3BB6FBF5"/>
    <w:rsid w:val="3BB707C6"/>
    <w:rsid w:val="3BB78A22"/>
    <w:rsid w:val="3BB78C1F"/>
    <w:rsid w:val="3BB7D212"/>
    <w:rsid w:val="3BB7E2F4"/>
    <w:rsid w:val="3BB856B4"/>
    <w:rsid w:val="3BB8E8F0"/>
    <w:rsid w:val="3BBA8758"/>
    <w:rsid w:val="3BBBE9A4"/>
    <w:rsid w:val="3BBCCE70"/>
    <w:rsid w:val="3BBDA9E6"/>
    <w:rsid w:val="3BBDCD61"/>
    <w:rsid w:val="3BBF59EA"/>
    <w:rsid w:val="3BBFA7A6"/>
    <w:rsid w:val="3BBFB566"/>
    <w:rsid w:val="3BC09AFA"/>
    <w:rsid w:val="3BC2AE3B"/>
    <w:rsid w:val="3BC31E23"/>
    <w:rsid w:val="3BC41749"/>
    <w:rsid w:val="3BC81423"/>
    <w:rsid w:val="3BC81896"/>
    <w:rsid w:val="3BC9616C"/>
    <w:rsid w:val="3BCBB01B"/>
    <w:rsid w:val="3BCBC457"/>
    <w:rsid w:val="3BCBECF2"/>
    <w:rsid w:val="3BCCAC38"/>
    <w:rsid w:val="3BCD7401"/>
    <w:rsid w:val="3BD0EF5D"/>
    <w:rsid w:val="3BD223A8"/>
    <w:rsid w:val="3BD3E242"/>
    <w:rsid w:val="3BD712D0"/>
    <w:rsid w:val="3BD73531"/>
    <w:rsid w:val="3BD76570"/>
    <w:rsid w:val="3BD9AABF"/>
    <w:rsid w:val="3BD9B961"/>
    <w:rsid w:val="3BDA0512"/>
    <w:rsid w:val="3BDB819F"/>
    <w:rsid w:val="3BDD1042"/>
    <w:rsid w:val="3BDDAE13"/>
    <w:rsid w:val="3BDF1A01"/>
    <w:rsid w:val="3BDFF4B6"/>
    <w:rsid w:val="3BE2F96C"/>
    <w:rsid w:val="3BE3C554"/>
    <w:rsid w:val="3BE40A79"/>
    <w:rsid w:val="3BE4BEEE"/>
    <w:rsid w:val="3BE508C8"/>
    <w:rsid w:val="3BE587DA"/>
    <w:rsid w:val="3BE59B52"/>
    <w:rsid w:val="3BE772CC"/>
    <w:rsid w:val="3BE83B7E"/>
    <w:rsid w:val="3BE922C4"/>
    <w:rsid w:val="3BE93F84"/>
    <w:rsid w:val="3BEA5F7B"/>
    <w:rsid w:val="3BEABB5C"/>
    <w:rsid w:val="3BED4202"/>
    <w:rsid w:val="3BEDB2B6"/>
    <w:rsid w:val="3BEE2F07"/>
    <w:rsid w:val="3BEEB453"/>
    <w:rsid w:val="3BEEDCD9"/>
    <w:rsid w:val="3BEF3DDD"/>
    <w:rsid w:val="3BEF7A68"/>
    <w:rsid w:val="3BEFED31"/>
    <w:rsid w:val="3BF0ABCF"/>
    <w:rsid w:val="3BF233C9"/>
    <w:rsid w:val="3BF3C7A6"/>
    <w:rsid w:val="3BF550A0"/>
    <w:rsid w:val="3BF614A1"/>
    <w:rsid w:val="3BF81A1B"/>
    <w:rsid w:val="3BF88AF8"/>
    <w:rsid w:val="3BF92B60"/>
    <w:rsid w:val="3BF963B2"/>
    <w:rsid w:val="3BF9E312"/>
    <w:rsid w:val="3BFA0E54"/>
    <w:rsid w:val="3BFA6EC4"/>
    <w:rsid w:val="3BFA9748"/>
    <w:rsid w:val="3BFAB469"/>
    <w:rsid w:val="3BFB7981"/>
    <w:rsid w:val="3BFBC0FD"/>
    <w:rsid w:val="3BFC2A2A"/>
    <w:rsid w:val="3C00BB29"/>
    <w:rsid w:val="3C014B49"/>
    <w:rsid w:val="3C0205E5"/>
    <w:rsid w:val="3C029715"/>
    <w:rsid w:val="3C038CB8"/>
    <w:rsid w:val="3C03BE03"/>
    <w:rsid w:val="3C03D506"/>
    <w:rsid w:val="3C03D9F3"/>
    <w:rsid w:val="3C04AC19"/>
    <w:rsid w:val="3C04DB4E"/>
    <w:rsid w:val="3C053EEE"/>
    <w:rsid w:val="3C097267"/>
    <w:rsid w:val="3C0BFBC8"/>
    <w:rsid w:val="3C0C889D"/>
    <w:rsid w:val="3C0CD8A9"/>
    <w:rsid w:val="3C0D04BC"/>
    <w:rsid w:val="3C0D4841"/>
    <w:rsid w:val="3C0D8C0C"/>
    <w:rsid w:val="3C0EB00F"/>
    <w:rsid w:val="3C108514"/>
    <w:rsid w:val="3C119A68"/>
    <w:rsid w:val="3C12721F"/>
    <w:rsid w:val="3C12EAA8"/>
    <w:rsid w:val="3C130894"/>
    <w:rsid w:val="3C140390"/>
    <w:rsid w:val="3C143732"/>
    <w:rsid w:val="3C144C76"/>
    <w:rsid w:val="3C14DD4D"/>
    <w:rsid w:val="3C1502C4"/>
    <w:rsid w:val="3C150AC3"/>
    <w:rsid w:val="3C157047"/>
    <w:rsid w:val="3C15E4AC"/>
    <w:rsid w:val="3C174C33"/>
    <w:rsid w:val="3C1874E2"/>
    <w:rsid w:val="3C18971E"/>
    <w:rsid w:val="3C1A8A0E"/>
    <w:rsid w:val="3C1AE24A"/>
    <w:rsid w:val="3C1BC11D"/>
    <w:rsid w:val="3C1C4CCA"/>
    <w:rsid w:val="3C1C67D7"/>
    <w:rsid w:val="3C1C8F3A"/>
    <w:rsid w:val="3C1D400A"/>
    <w:rsid w:val="3C1E1E3D"/>
    <w:rsid w:val="3C1E2DDF"/>
    <w:rsid w:val="3C20F0BF"/>
    <w:rsid w:val="3C215A3A"/>
    <w:rsid w:val="3C2243AF"/>
    <w:rsid w:val="3C2261E9"/>
    <w:rsid w:val="3C23C134"/>
    <w:rsid w:val="3C24A5A8"/>
    <w:rsid w:val="3C24B8BC"/>
    <w:rsid w:val="3C24DD4D"/>
    <w:rsid w:val="3C251D79"/>
    <w:rsid w:val="3C273CE8"/>
    <w:rsid w:val="3C293E8F"/>
    <w:rsid w:val="3C2EA7FD"/>
    <w:rsid w:val="3C2ED6C2"/>
    <w:rsid w:val="3C2F9E92"/>
    <w:rsid w:val="3C2FA086"/>
    <w:rsid w:val="3C303358"/>
    <w:rsid w:val="3C32E396"/>
    <w:rsid w:val="3C343E62"/>
    <w:rsid w:val="3C34F495"/>
    <w:rsid w:val="3C3673AF"/>
    <w:rsid w:val="3C36E443"/>
    <w:rsid w:val="3C3795D3"/>
    <w:rsid w:val="3C386DC3"/>
    <w:rsid w:val="3C3C39A1"/>
    <w:rsid w:val="3C3CE433"/>
    <w:rsid w:val="3C3D1C8A"/>
    <w:rsid w:val="3C3E2175"/>
    <w:rsid w:val="3C3EE348"/>
    <w:rsid w:val="3C3EEDA0"/>
    <w:rsid w:val="3C4028FD"/>
    <w:rsid w:val="3C41F503"/>
    <w:rsid w:val="3C454F83"/>
    <w:rsid w:val="3C45684F"/>
    <w:rsid w:val="3C45B8D0"/>
    <w:rsid w:val="3C4649A0"/>
    <w:rsid w:val="3C465347"/>
    <w:rsid w:val="3C47D842"/>
    <w:rsid w:val="3C494C17"/>
    <w:rsid w:val="3C4A7C52"/>
    <w:rsid w:val="3C4C6303"/>
    <w:rsid w:val="3C4CFA76"/>
    <w:rsid w:val="3C4D28C0"/>
    <w:rsid w:val="3C4D3550"/>
    <w:rsid w:val="3C4E5468"/>
    <w:rsid w:val="3C4F3938"/>
    <w:rsid w:val="3C4F5725"/>
    <w:rsid w:val="3C4FE96B"/>
    <w:rsid w:val="3C50067B"/>
    <w:rsid w:val="3C5140AE"/>
    <w:rsid w:val="3C5220A1"/>
    <w:rsid w:val="3C528744"/>
    <w:rsid w:val="3C52CD3C"/>
    <w:rsid w:val="3C52EE1D"/>
    <w:rsid w:val="3C5372FB"/>
    <w:rsid w:val="3C53805E"/>
    <w:rsid w:val="3C554EFD"/>
    <w:rsid w:val="3C573056"/>
    <w:rsid w:val="3C5735F5"/>
    <w:rsid w:val="3C5822E2"/>
    <w:rsid w:val="3C58BC34"/>
    <w:rsid w:val="3C5A7337"/>
    <w:rsid w:val="3C5ADE96"/>
    <w:rsid w:val="3C5C388B"/>
    <w:rsid w:val="3C5C40FA"/>
    <w:rsid w:val="3C5F0563"/>
    <w:rsid w:val="3C5F179A"/>
    <w:rsid w:val="3C5F4795"/>
    <w:rsid w:val="3C5F5448"/>
    <w:rsid w:val="3C5F9633"/>
    <w:rsid w:val="3C60A355"/>
    <w:rsid w:val="3C610353"/>
    <w:rsid w:val="3C63E57A"/>
    <w:rsid w:val="3C648A62"/>
    <w:rsid w:val="3C65DB75"/>
    <w:rsid w:val="3C65DE47"/>
    <w:rsid w:val="3C66B845"/>
    <w:rsid w:val="3C68F1E8"/>
    <w:rsid w:val="3C69070E"/>
    <w:rsid w:val="3C6A8E0F"/>
    <w:rsid w:val="3C6B41CE"/>
    <w:rsid w:val="3C6B5B53"/>
    <w:rsid w:val="3C6D2B3A"/>
    <w:rsid w:val="3C6D603E"/>
    <w:rsid w:val="3C703706"/>
    <w:rsid w:val="3C7096B4"/>
    <w:rsid w:val="3C722D0A"/>
    <w:rsid w:val="3C72D957"/>
    <w:rsid w:val="3C734317"/>
    <w:rsid w:val="3C741B56"/>
    <w:rsid w:val="3C742934"/>
    <w:rsid w:val="3C748C6E"/>
    <w:rsid w:val="3C751985"/>
    <w:rsid w:val="3C75893B"/>
    <w:rsid w:val="3C75B6B2"/>
    <w:rsid w:val="3C778F25"/>
    <w:rsid w:val="3C77CBC5"/>
    <w:rsid w:val="3C79E19A"/>
    <w:rsid w:val="3C7A1100"/>
    <w:rsid w:val="3C7AE4C1"/>
    <w:rsid w:val="3C8185D3"/>
    <w:rsid w:val="3C846F25"/>
    <w:rsid w:val="3C84A250"/>
    <w:rsid w:val="3C885D72"/>
    <w:rsid w:val="3C897A56"/>
    <w:rsid w:val="3C8A2103"/>
    <w:rsid w:val="3C8B6CF7"/>
    <w:rsid w:val="3C8C7785"/>
    <w:rsid w:val="3C8CFA08"/>
    <w:rsid w:val="3C8D134E"/>
    <w:rsid w:val="3C8D3D98"/>
    <w:rsid w:val="3C8D4CF1"/>
    <w:rsid w:val="3C8F4791"/>
    <w:rsid w:val="3C8FE701"/>
    <w:rsid w:val="3C926C51"/>
    <w:rsid w:val="3C927D75"/>
    <w:rsid w:val="3C95F5DD"/>
    <w:rsid w:val="3C970CF6"/>
    <w:rsid w:val="3C973399"/>
    <w:rsid w:val="3C976667"/>
    <w:rsid w:val="3C97CE41"/>
    <w:rsid w:val="3C997A4C"/>
    <w:rsid w:val="3C99EFE2"/>
    <w:rsid w:val="3C9B8444"/>
    <w:rsid w:val="3C9BDED6"/>
    <w:rsid w:val="3C9D83E2"/>
    <w:rsid w:val="3C9E1454"/>
    <w:rsid w:val="3C9FB0B8"/>
    <w:rsid w:val="3CA0ED58"/>
    <w:rsid w:val="3CA0FA1E"/>
    <w:rsid w:val="3CA18A87"/>
    <w:rsid w:val="3CA3841B"/>
    <w:rsid w:val="3CA460C7"/>
    <w:rsid w:val="3CA5A662"/>
    <w:rsid w:val="3CA87758"/>
    <w:rsid w:val="3CA882E0"/>
    <w:rsid w:val="3CA8D77B"/>
    <w:rsid w:val="3CAB3716"/>
    <w:rsid w:val="3CAB70EF"/>
    <w:rsid w:val="3CADBC3D"/>
    <w:rsid w:val="3CAEFD3D"/>
    <w:rsid w:val="3CAF2913"/>
    <w:rsid w:val="3CAF998B"/>
    <w:rsid w:val="3CB0674D"/>
    <w:rsid w:val="3CB1259C"/>
    <w:rsid w:val="3CB134C8"/>
    <w:rsid w:val="3CB1F854"/>
    <w:rsid w:val="3CB21FA6"/>
    <w:rsid w:val="3CB3D458"/>
    <w:rsid w:val="3CB3E8DE"/>
    <w:rsid w:val="3CB46484"/>
    <w:rsid w:val="3CB4B3E2"/>
    <w:rsid w:val="3CB51170"/>
    <w:rsid w:val="3CB5F5C7"/>
    <w:rsid w:val="3CB71944"/>
    <w:rsid w:val="3CB7B92D"/>
    <w:rsid w:val="3CB84D56"/>
    <w:rsid w:val="3CB86D57"/>
    <w:rsid w:val="3CBAFD82"/>
    <w:rsid w:val="3CBD21B4"/>
    <w:rsid w:val="3CBD8700"/>
    <w:rsid w:val="3CBDC65A"/>
    <w:rsid w:val="3CBE7855"/>
    <w:rsid w:val="3CBF5AF8"/>
    <w:rsid w:val="3CC05D9D"/>
    <w:rsid w:val="3CC16E9B"/>
    <w:rsid w:val="3CC2DA27"/>
    <w:rsid w:val="3CC4E52F"/>
    <w:rsid w:val="3CC56150"/>
    <w:rsid w:val="3CC66F88"/>
    <w:rsid w:val="3CC6B1EA"/>
    <w:rsid w:val="3CC77E1A"/>
    <w:rsid w:val="3CCA2AD2"/>
    <w:rsid w:val="3CCA5264"/>
    <w:rsid w:val="3CCA875D"/>
    <w:rsid w:val="3CCC1C84"/>
    <w:rsid w:val="3CCC2AF4"/>
    <w:rsid w:val="3CCCCF64"/>
    <w:rsid w:val="3CCD0C47"/>
    <w:rsid w:val="3CCD48E4"/>
    <w:rsid w:val="3CCFDDF5"/>
    <w:rsid w:val="3CD172BC"/>
    <w:rsid w:val="3CD20C3A"/>
    <w:rsid w:val="3CD271CB"/>
    <w:rsid w:val="3CD468DD"/>
    <w:rsid w:val="3CD4DF4F"/>
    <w:rsid w:val="3CD5E5E4"/>
    <w:rsid w:val="3CD5F9F3"/>
    <w:rsid w:val="3CD63D3E"/>
    <w:rsid w:val="3CD82421"/>
    <w:rsid w:val="3CD9196D"/>
    <w:rsid w:val="3CD94305"/>
    <w:rsid w:val="3CD98665"/>
    <w:rsid w:val="3CD99C5D"/>
    <w:rsid w:val="3CD9B45D"/>
    <w:rsid w:val="3CD9CCD0"/>
    <w:rsid w:val="3CDA8C29"/>
    <w:rsid w:val="3CDD59E3"/>
    <w:rsid w:val="3CE00910"/>
    <w:rsid w:val="3CE193F5"/>
    <w:rsid w:val="3CE1CFA1"/>
    <w:rsid w:val="3CE37F9C"/>
    <w:rsid w:val="3CE39B92"/>
    <w:rsid w:val="3CE67D51"/>
    <w:rsid w:val="3CE813EC"/>
    <w:rsid w:val="3CE94DCC"/>
    <w:rsid w:val="3CEACCA9"/>
    <w:rsid w:val="3CEB738F"/>
    <w:rsid w:val="3CECBE30"/>
    <w:rsid w:val="3CED587B"/>
    <w:rsid w:val="3CEE2AAC"/>
    <w:rsid w:val="3CEF1569"/>
    <w:rsid w:val="3CEF95D0"/>
    <w:rsid w:val="3CF053C9"/>
    <w:rsid w:val="3CF08F30"/>
    <w:rsid w:val="3CF0BB0B"/>
    <w:rsid w:val="3CF43870"/>
    <w:rsid w:val="3CF6CE5E"/>
    <w:rsid w:val="3CF6D8F1"/>
    <w:rsid w:val="3CF7373F"/>
    <w:rsid w:val="3CF73961"/>
    <w:rsid w:val="3CF7CD5D"/>
    <w:rsid w:val="3CF87FDF"/>
    <w:rsid w:val="3CFA536A"/>
    <w:rsid w:val="3CFAA991"/>
    <w:rsid w:val="3CFB6717"/>
    <w:rsid w:val="3CFBCCFC"/>
    <w:rsid w:val="3CFC8DE1"/>
    <w:rsid w:val="3CFD2BA3"/>
    <w:rsid w:val="3CFFE2F8"/>
    <w:rsid w:val="3D02C0F0"/>
    <w:rsid w:val="3D045264"/>
    <w:rsid w:val="3D061E02"/>
    <w:rsid w:val="3D0625E4"/>
    <w:rsid w:val="3D079268"/>
    <w:rsid w:val="3D081A8E"/>
    <w:rsid w:val="3D08DF81"/>
    <w:rsid w:val="3D0A3976"/>
    <w:rsid w:val="3D0B5FB2"/>
    <w:rsid w:val="3D0C74BF"/>
    <w:rsid w:val="3D0C98F1"/>
    <w:rsid w:val="3D0CAB54"/>
    <w:rsid w:val="3D0DF8D3"/>
    <w:rsid w:val="3D0ECACF"/>
    <w:rsid w:val="3D11A194"/>
    <w:rsid w:val="3D11C1A6"/>
    <w:rsid w:val="3D13FDA0"/>
    <w:rsid w:val="3D147122"/>
    <w:rsid w:val="3D148B1E"/>
    <w:rsid w:val="3D1723A7"/>
    <w:rsid w:val="3D1A0846"/>
    <w:rsid w:val="3D1A5C1F"/>
    <w:rsid w:val="3D1B1487"/>
    <w:rsid w:val="3D1CA053"/>
    <w:rsid w:val="3D1D3028"/>
    <w:rsid w:val="3D1D5878"/>
    <w:rsid w:val="3D1F62A4"/>
    <w:rsid w:val="3D20371D"/>
    <w:rsid w:val="3D20821D"/>
    <w:rsid w:val="3D20F661"/>
    <w:rsid w:val="3D214735"/>
    <w:rsid w:val="3D25658C"/>
    <w:rsid w:val="3D25F183"/>
    <w:rsid w:val="3D2603BB"/>
    <w:rsid w:val="3D26D834"/>
    <w:rsid w:val="3D2913AE"/>
    <w:rsid w:val="3D2931C9"/>
    <w:rsid w:val="3D2A7A70"/>
    <w:rsid w:val="3D2B8344"/>
    <w:rsid w:val="3D2C58AC"/>
    <w:rsid w:val="3D2D850B"/>
    <w:rsid w:val="3D2E0B8A"/>
    <w:rsid w:val="3D2E6662"/>
    <w:rsid w:val="3D3154C4"/>
    <w:rsid w:val="3D31BD66"/>
    <w:rsid w:val="3D321180"/>
    <w:rsid w:val="3D3331DB"/>
    <w:rsid w:val="3D34E87D"/>
    <w:rsid w:val="3D3AFD1F"/>
    <w:rsid w:val="3D3C241B"/>
    <w:rsid w:val="3D3D4CF5"/>
    <w:rsid w:val="3D3D6426"/>
    <w:rsid w:val="3D401CF8"/>
    <w:rsid w:val="3D403274"/>
    <w:rsid w:val="3D404D74"/>
    <w:rsid w:val="3D411431"/>
    <w:rsid w:val="3D4201B4"/>
    <w:rsid w:val="3D423443"/>
    <w:rsid w:val="3D424752"/>
    <w:rsid w:val="3D452A91"/>
    <w:rsid w:val="3D45F9D7"/>
    <w:rsid w:val="3D46CAD1"/>
    <w:rsid w:val="3D46CFD8"/>
    <w:rsid w:val="3D46EA75"/>
    <w:rsid w:val="3D477F87"/>
    <w:rsid w:val="3D47F062"/>
    <w:rsid w:val="3D47FAD4"/>
    <w:rsid w:val="3D4814A9"/>
    <w:rsid w:val="3D48B71B"/>
    <w:rsid w:val="3D48CF42"/>
    <w:rsid w:val="3D48EDB1"/>
    <w:rsid w:val="3D4B8A99"/>
    <w:rsid w:val="3D4C20A3"/>
    <w:rsid w:val="3D4C3D3E"/>
    <w:rsid w:val="3D4D2B2F"/>
    <w:rsid w:val="3D4DA8FA"/>
    <w:rsid w:val="3D4F8E9E"/>
    <w:rsid w:val="3D5022F2"/>
    <w:rsid w:val="3D50990B"/>
    <w:rsid w:val="3D50E84B"/>
    <w:rsid w:val="3D540DF1"/>
    <w:rsid w:val="3D54FC87"/>
    <w:rsid w:val="3D5503EB"/>
    <w:rsid w:val="3D55145D"/>
    <w:rsid w:val="3D551682"/>
    <w:rsid w:val="3D557E57"/>
    <w:rsid w:val="3D55FE08"/>
    <w:rsid w:val="3D564B5F"/>
    <w:rsid w:val="3D5A643E"/>
    <w:rsid w:val="3D5D1D78"/>
    <w:rsid w:val="3D5D7751"/>
    <w:rsid w:val="3D5E9991"/>
    <w:rsid w:val="3D5F17FF"/>
    <w:rsid w:val="3D5FA089"/>
    <w:rsid w:val="3D6014DE"/>
    <w:rsid w:val="3D60BC2D"/>
    <w:rsid w:val="3D61F5C5"/>
    <w:rsid w:val="3D62C725"/>
    <w:rsid w:val="3D634E80"/>
    <w:rsid w:val="3D642363"/>
    <w:rsid w:val="3D649CFB"/>
    <w:rsid w:val="3D65507A"/>
    <w:rsid w:val="3D65F44F"/>
    <w:rsid w:val="3D664FBF"/>
    <w:rsid w:val="3D66E4DC"/>
    <w:rsid w:val="3D688113"/>
    <w:rsid w:val="3D68C593"/>
    <w:rsid w:val="3D68F91F"/>
    <w:rsid w:val="3D6BE571"/>
    <w:rsid w:val="3D6D4C38"/>
    <w:rsid w:val="3D6D5776"/>
    <w:rsid w:val="3D6EA137"/>
    <w:rsid w:val="3D6FA788"/>
    <w:rsid w:val="3D70A35A"/>
    <w:rsid w:val="3D70DBB0"/>
    <w:rsid w:val="3D728670"/>
    <w:rsid w:val="3D74F9AE"/>
    <w:rsid w:val="3D76147A"/>
    <w:rsid w:val="3D763AC8"/>
    <w:rsid w:val="3D777F70"/>
    <w:rsid w:val="3D77BCF6"/>
    <w:rsid w:val="3D7843CF"/>
    <w:rsid w:val="3D787EAB"/>
    <w:rsid w:val="3D79F281"/>
    <w:rsid w:val="3D7AFA41"/>
    <w:rsid w:val="3D7BF202"/>
    <w:rsid w:val="3D7D3D1D"/>
    <w:rsid w:val="3D7E05CC"/>
    <w:rsid w:val="3D7E78D1"/>
    <w:rsid w:val="3D7E83D8"/>
    <w:rsid w:val="3D7E8C32"/>
    <w:rsid w:val="3D7E9777"/>
    <w:rsid w:val="3D7EEC6D"/>
    <w:rsid w:val="3D7F5F0F"/>
    <w:rsid w:val="3D802DD7"/>
    <w:rsid w:val="3D81327A"/>
    <w:rsid w:val="3D81C967"/>
    <w:rsid w:val="3D82B695"/>
    <w:rsid w:val="3D8318F7"/>
    <w:rsid w:val="3D831A10"/>
    <w:rsid w:val="3D838CAF"/>
    <w:rsid w:val="3D845C67"/>
    <w:rsid w:val="3D84F1A0"/>
    <w:rsid w:val="3D851E48"/>
    <w:rsid w:val="3D859F0B"/>
    <w:rsid w:val="3D85BDFB"/>
    <w:rsid w:val="3D877028"/>
    <w:rsid w:val="3D89B199"/>
    <w:rsid w:val="3D8AD84B"/>
    <w:rsid w:val="3D8AF81F"/>
    <w:rsid w:val="3D8BCA67"/>
    <w:rsid w:val="3D8C4D9A"/>
    <w:rsid w:val="3D8C8932"/>
    <w:rsid w:val="3D8ECDEB"/>
    <w:rsid w:val="3D8FD9B5"/>
    <w:rsid w:val="3D919BA0"/>
    <w:rsid w:val="3D934AE5"/>
    <w:rsid w:val="3D93B4A3"/>
    <w:rsid w:val="3D94FCEA"/>
    <w:rsid w:val="3D950943"/>
    <w:rsid w:val="3D95F56D"/>
    <w:rsid w:val="3D989AD3"/>
    <w:rsid w:val="3D992430"/>
    <w:rsid w:val="3D9A0CC1"/>
    <w:rsid w:val="3D9A2B5C"/>
    <w:rsid w:val="3D9B5441"/>
    <w:rsid w:val="3D9B6B0E"/>
    <w:rsid w:val="3D9B77A8"/>
    <w:rsid w:val="3D9B8837"/>
    <w:rsid w:val="3D9C0A62"/>
    <w:rsid w:val="3D9C575D"/>
    <w:rsid w:val="3D9D5E4D"/>
    <w:rsid w:val="3D9E951D"/>
    <w:rsid w:val="3D9F129E"/>
    <w:rsid w:val="3DA1BA61"/>
    <w:rsid w:val="3DA3EA68"/>
    <w:rsid w:val="3DA481A1"/>
    <w:rsid w:val="3DA545D4"/>
    <w:rsid w:val="3DA5CAA9"/>
    <w:rsid w:val="3DA73520"/>
    <w:rsid w:val="3DA8D316"/>
    <w:rsid w:val="3DA8FA5D"/>
    <w:rsid w:val="3DA9B38A"/>
    <w:rsid w:val="3DA9DFBE"/>
    <w:rsid w:val="3DAAE087"/>
    <w:rsid w:val="3DAB1275"/>
    <w:rsid w:val="3DAB8F2E"/>
    <w:rsid w:val="3DAC7EBF"/>
    <w:rsid w:val="3DAF3672"/>
    <w:rsid w:val="3DAF8D5E"/>
    <w:rsid w:val="3DAFEDA6"/>
    <w:rsid w:val="3DB26516"/>
    <w:rsid w:val="3DB285C6"/>
    <w:rsid w:val="3DB5799F"/>
    <w:rsid w:val="3DB5C378"/>
    <w:rsid w:val="3DB802F5"/>
    <w:rsid w:val="3DB84407"/>
    <w:rsid w:val="3DB9784E"/>
    <w:rsid w:val="3DBAB3EA"/>
    <w:rsid w:val="3DBB194A"/>
    <w:rsid w:val="3DBC004E"/>
    <w:rsid w:val="3DBE31D4"/>
    <w:rsid w:val="3DBF317B"/>
    <w:rsid w:val="3DBF4FDD"/>
    <w:rsid w:val="3DC1D727"/>
    <w:rsid w:val="3DC28F26"/>
    <w:rsid w:val="3DC2AF11"/>
    <w:rsid w:val="3DC3A2A7"/>
    <w:rsid w:val="3DC47739"/>
    <w:rsid w:val="3DC477CC"/>
    <w:rsid w:val="3DC53FEF"/>
    <w:rsid w:val="3DC5E9F0"/>
    <w:rsid w:val="3DC7086E"/>
    <w:rsid w:val="3DC8DDF6"/>
    <w:rsid w:val="3DC8F1D1"/>
    <w:rsid w:val="3DC910A4"/>
    <w:rsid w:val="3DC950F6"/>
    <w:rsid w:val="3DCAB3C9"/>
    <w:rsid w:val="3DCB2A4B"/>
    <w:rsid w:val="3DCC5271"/>
    <w:rsid w:val="3DCDB716"/>
    <w:rsid w:val="3DCE2363"/>
    <w:rsid w:val="3DCE2B3F"/>
    <w:rsid w:val="3DD384FE"/>
    <w:rsid w:val="3DD40EC1"/>
    <w:rsid w:val="3DD4296A"/>
    <w:rsid w:val="3DD53DFB"/>
    <w:rsid w:val="3DD6257E"/>
    <w:rsid w:val="3DD7416A"/>
    <w:rsid w:val="3DD82C3F"/>
    <w:rsid w:val="3DD8D432"/>
    <w:rsid w:val="3DD95CDC"/>
    <w:rsid w:val="3DD9BBEE"/>
    <w:rsid w:val="3DDAFA34"/>
    <w:rsid w:val="3DDB334B"/>
    <w:rsid w:val="3DDCC7C4"/>
    <w:rsid w:val="3DDD991F"/>
    <w:rsid w:val="3DDE8FEB"/>
    <w:rsid w:val="3DDEF8AD"/>
    <w:rsid w:val="3DDF1EED"/>
    <w:rsid w:val="3DE0AA0D"/>
    <w:rsid w:val="3DE14351"/>
    <w:rsid w:val="3DE1B3B2"/>
    <w:rsid w:val="3DE2C8A6"/>
    <w:rsid w:val="3DE37AC7"/>
    <w:rsid w:val="3DE52C58"/>
    <w:rsid w:val="3DE544A0"/>
    <w:rsid w:val="3DE6FE22"/>
    <w:rsid w:val="3DEA0D90"/>
    <w:rsid w:val="3DEC126E"/>
    <w:rsid w:val="3DED42D9"/>
    <w:rsid w:val="3DEDF722"/>
    <w:rsid w:val="3DEE43D8"/>
    <w:rsid w:val="3DEEF3E8"/>
    <w:rsid w:val="3DEF5F75"/>
    <w:rsid w:val="3DEF6804"/>
    <w:rsid w:val="3DEF76F9"/>
    <w:rsid w:val="3DEF7DB3"/>
    <w:rsid w:val="3DF01D34"/>
    <w:rsid w:val="3DF13FD3"/>
    <w:rsid w:val="3DF1D80E"/>
    <w:rsid w:val="3DF22324"/>
    <w:rsid w:val="3DF26458"/>
    <w:rsid w:val="3DF268B7"/>
    <w:rsid w:val="3DF5BCDB"/>
    <w:rsid w:val="3DF5CD75"/>
    <w:rsid w:val="3DF5FFFF"/>
    <w:rsid w:val="3DF6A8F3"/>
    <w:rsid w:val="3DF6AFA5"/>
    <w:rsid w:val="3DF757A8"/>
    <w:rsid w:val="3DF77DC3"/>
    <w:rsid w:val="3DF7A2AD"/>
    <w:rsid w:val="3DF8561B"/>
    <w:rsid w:val="3DF8C11E"/>
    <w:rsid w:val="3DF94C20"/>
    <w:rsid w:val="3DF989E8"/>
    <w:rsid w:val="3DFA3B26"/>
    <w:rsid w:val="3DFA4B53"/>
    <w:rsid w:val="3DFBEFE8"/>
    <w:rsid w:val="3DFE762C"/>
    <w:rsid w:val="3DFF4A70"/>
    <w:rsid w:val="3DFF624E"/>
    <w:rsid w:val="3E005E55"/>
    <w:rsid w:val="3E01081B"/>
    <w:rsid w:val="3E01E49F"/>
    <w:rsid w:val="3E0327C6"/>
    <w:rsid w:val="3E03CBFA"/>
    <w:rsid w:val="3E0405DA"/>
    <w:rsid w:val="3E04B8FA"/>
    <w:rsid w:val="3E050E1A"/>
    <w:rsid w:val="3E059A65"/>
    <w:rsid w:val="3E06FCDF"/>
    <w:rsid w:val="3E073B46"/>
    <w:rsid w:val="3E0AE228"/>
    <w:rsid w:val="3E0C0941"/>
    <w:rsid w:val="3E0CDA6E"/>
    <w:rsid w:val="3E0D4AA3"/>
    <w:rsid w:val="3E0EADC4"/>
    <w:rsid w:val="3E0F58EA"/>
    <w:rsid w:val="3E0FEFB8"/>
    <w:rsid w:val="3E101BDC"/>
    <w:rsid w:val="3E119FD4"/>
    <w:rsid w:val="3E1269A1"/>
    <w:rsid w:val="3E12B73A"/>
    <w:rsid w:val="3E12EDDB"/>
    <w:rsid w:val="3E13C400"/>
    <w:rsid w:val="3E14336F"/>
    <w:rsid w:val="3E147EF0"/>
    <w:rsid w:val="3E18A179"/>
    <w:rsid w:val="3E1A01A0"/>
    <w:rsid w:val="3E1A2E1B"/>
    <w:rsid w:val="3E1A5E58"/>
    <w:rsid w:val="3E1A9AE6"/>
    <w:rsid w:val="3E1B5C5A"/>
    <w:rsid w:val="3E1C27E2"/>
    <w:rsid w:val="3E1C8E9A"/>
    <w:rsid w:val="3E1D63D2"/>
    <w:rsid w:val="3E1DEED2"/>
    <w:rsid w:val="3E1EB000"/>
    <w:rsid w:val="3E1F6ADC"/>
    <w:rsid w:val="3E203FDF"/>
    <w:rsid w:val="3E21019D"/>
    <w:rsid w:val="3E240E8B"/>
    <w:rsid w:val="3E24966A"/>
    <w:rsid w:val="3E261178"/>
    <w:rsid w:val="3E264E04"/>
    <w:rsid w:val="3E2A6D48"/>
    <w:rsid w:val="3E2AA728"/>
    <w:rsid w:val="3E2ABBBA"/>
    <w:rsid w:val="3E2BA77E"/>
    <w:rsid w:val="3E2C9FC6"/>
    <w:rsid w:val="3E2D1422"/>
    <w:rsid w:val="3E2EAB67"/>
    <w:rsid w:val="3E2F65AC"/>
    <w:rsid w:val="3E3449B2"/>
    <w:rsid w:val="3E345F8F"/>
    <w:rsid w:val="3E34841C"/>
    <w:rsid w:val="3E354AB2"/>
    <w:rsid w:val="3E35EDBC"/>
    <w:rsid w:val="3E3635C7"/>
    <w:rsid w:val="3E37B5E7"/>
    <w:rsid w:val="3E3871F6"/>
    <w:rsid w:val="3E3A8A1A"/>
    <w:rsid w:val="3E3AA1F5"/>
    <w:rsid w:val="3E3AC4DC"/>
    <w:rsid w:val="3E3B63E7"/>
    <w:rsid w:val="3E3BBB81"/>
    <w:rsid w:val="3E3BDFC6"/>
    <w:rsid w:val="3E3D1BBC"/>
    <w:rsid w:val="3E3D5C4C"/>
    <w:rsid w:val="3E3E53E1"/>
    <w:rsid w:val="3E40CF38"/>
    <w:rsid w:val="3E41794F"/>
    <w:rsid w:val="3E423E33"/>
    <w:rsid w:val="3E427D06"/>
    <w:rsid w:val="3E4786EA"/>
    <w:rsid w:val="3E47970A"/>
    <w:rsid w:val="3E49D636"/>
    <w:rsid w:val="3E4BE6DA"/>
    <w:rsid w:val="3E4CAC6A"/>
    <w:rsid w:val="3E4D0BCC"/>
    <w:rsid w:val="3E4DED30"/>
    <w:rsid w:val="3E4E6974"/>
    <w:rsid w:val="3E4F12F2"/>
    <w:rsid w:val="3E4F6894"/>
    <w:rsid w:val="3E52085C"/>
    <w:rsid w:val="3E54E29B"/>
    <w:rsid w:val="3E5667C0"/>
    <w:rsid w:val="3E57203D"/>
    <w:rsid w:val="3E586575"/>
    <w:rsid w:val="3E5875E9"/>
    <w:rsid w:val="3E591084"/>
    <w:rsid w:val="3E593E2D"/>
    <w:rsid w:val="3E5AF7B3"/>
    <w:rsid w:val="3E5B0ECA"/>
    <w:rsid w:val="3E5B4189"/>
    <w:rsid w:val="3E5C3692"/>
    <w:rsid w:val="3E5C5957"/>
    <w:rsid w:val="3E5E305A"/>
    <w:rsid w:val="3E6077B4"/>
    <w:rsid w:val="3E646249"/>
    <w:rsid w:val="3E6502E8"/>
    <w:rsid w:val="3E65762A"/>
    <w:rsid w:val="3E6614AE"/>
    <w:rsid w:val="3E661A52"/>
    <w:rsid w:val="3E666DB9"/>
    <w:rsid w:val="3E669CB1"/>
    <w:rsid w:val="3E67279B"/>
    <w:rsid w:val="3E68A499"/>
    <w:rsid w:val="3E69B6B5"/>
    <w:rsid w:val="3E69CF55"/>
    <w:rsid w:val="3E6AF2B2"/>
    <w:rsid w:val="3E6BF93C"/>
    <w:rsid w:val="3E6DB0A6"/>
    <w:rsid w:val="3E6E0950"/>
    <w:rsid w:val="3E6F4C9D"/>
    <w:rsid w:val="3E70A125"/>
    <w:rsid w:val="3E7299B6"/>
    <w:rsid w:val="3E7491A3"/>
    <w:rsid w:val="3E766691"/>
    <w:rsid w:val="3E7682B8"/>
    <w:rsid w:val="3E768492"/>
    <w:rsid w:val="3E76EB2F"/>
    <w:rsid w:val="3E78EFFC"/>
    <w:rsid w:val="3E79F7AF"/>
    <w:rsid w:val="3E7A8D7A"/>
    <w:rsid w:val="3E7AB47C"/>
    <w:rsid w:val="3E7BDD2F"/>
    <w:rsid w:val="3E7D326E"/>
    <w:rsid w:val="3E7D9DD1"/>
    <w:rsid w:val="3E7F99AD"/>
    <w:rsid w:val="3E81358D"/>
    <w:rsid w:val="3E817F3F"/>
    <w:rsid w:val="3E82790B"/>
    <w:rsid w:val="3E844D62"/>
    <w:rsid w:val="3E84705A"/>
    <w:rsid w:val="3E848CF8"/>
    <w:rsid w:val="3E859F5B"/>
    <w:rsid w:val="3E86633C"/>
    <w:rsid w:val="3E87375E"/>
    <w:rsid w:val="3E87D33C"/>
    <w:rsid w:val="3E8A61DC"/>
    <w:rsid w:val="3E8A863A"/>
    <w:rsid w:val="3E8BB527"/>
    <w:rsid w:val="3E8BC8C4"/>
    <w:rsid w:val="3E8C804F"/>
    <w:rsid w:val="3E8CEEF2"/>
    <w:rsid w:val="3E8D4D24"/>
    <w:rsid w:val="3E8DB078"/>
    <w:rsid w:val="3E8E0871"/>
    <w:rsid w:val="3E8E7843"/>
    <w:rsid w:val="3E8FAA27"/>
    <w:rsid w:val="3E904402"/>
    <w:rsid w:val="3E916D3C"/>
    <w:rsid w:val="3E91E047"/>
    <w:rsid w:val="3E92F092"/>
    <w:rsid w:val="3E941C08"/>
    <w:rsid w:val="3E942A70"/>
    <w:rsid w:val="3E949E6B"/>
    <w:rsid w:val="3E972BEF"/>
    <w:rsid w:val="3E9959AC"/>
    <w:rsid w:val="3E9A5F93"/>
    <w:rsid w:val="3E9A8ADD"/>
    <w:rsid w:val="3E9BB16D"/>
    <w:rsid w:val="3E9E5CF4"/>
    <w:rsid w:val="3E9F49A4"/>
    <w:rsid w:val="3E9F6C28"/>
    <w:rsid w:val="3EA03C12"/>
    <w:rsid w:val="3EA0CCDD"/>
    <w:rsid w:val="3EA1702B"/>
    <w:rsid w:val="3EA19763"/>
    <w:rsid w:val="3EA23A88"/>
    <w:rsid w:val="3EA2B121"/>
    <w:rsid w:val="3EA394BE"/>
    <w:rsid w:val="3EA3BAEE"/>
    <w:rsid w:val="3EA3C586"/>
    <w:rsid w:val="3EA4DB5F"/>
    <w:rsid w:val="3EA541B9"/>
    <w:rsid w:val="3EA58339"/>
    <w:rsid w:val="3EA5F2B0"/>
    <w:rsid w:val="3EA69E4F"/>
    <w:rsid w:val="3EA901BC"/>
    <w:rsid w:val="3EA9A4D0"/>
    <w:rsid w:val="3EAA5435"/>
    <w:rsid w:val="3EAC7811"/>
    <w:rsid w:val="3EAD10D2"/>
    <w:rsid w:val="3EAE168D"/>
    <w:rsid w:val="3EB18F48"/>
    <w:rsid w:val="3EB204D9"/>
    <w:rsid w:val="3EB2E7D2"/>
    <w:rsid w:val="3EB5F9AD"/>
    <w:rsid w:val="3EB61C1C"/>
    <w:rsid w:val="3EB86202"/>
    <w:rsid w:val="3EB87FAF"/>
    <w:rsid w:val="3EB93C52"/>
    <w:rsid w:val="3EBA24E1"/>
    <w:rsid w:val="3EBB149D"/>
    <w:rsid w:val="3EBEA987"/>
    <w:rsid w:val="3EBFC895"/>
    <w:rsid w:val="3EC1A9F7"/>
    <w:rsid w:val="3EC1E155"/>
    <w:rsid w:val="3EC3AA8A"/>
    <w:rsid w:val="3EC45C83"/>
    <w:rsid w:val="3EC528DD"/>
    <w:rsid w:val="3EC596B5"/>
    <w:rsid w:val="3EC67427"/>
    <w:rsid w:val="3EC67ACD"/>
    <w:rsid w:val="3EC99846"/>
    <w:rsid w:val="3ECA6AC0"/>
    <w:rsid w:val="3ECD8EE4"/>
    <w:rsid w:val="3ECF25AD"/>
    <w:rsid w:val="3ED1EE0D"/>
    <w:rsid w:val="3ED3B7F8"/>
    <w:rsid w:val="3ED5DA24"/>
    <w:rsid w:val="3ED63D11"/>
    <w:rsid w:val="3ED8BC7B"/>
    <w:rsid w:val="3ED90011"/>
    <w:rsid w:val="3ED95F13"/>
    <w:rsid w:val="3ED99E0D"/>
    <w:rsid w:val="3EDB0470"/>
    <w:rsid w:val="3EDBA836"/>
    <w:rsid w:val="3EDBE1A0"/>
    <w:rsid w:val="3EDC0607"/>
    <w:rsid w:val="3EDDEB50"/>
    <w:rsid w:val="3EDEEDD2"/>
    <w:rsid w:val="3EDF67FC"/>
    <w:rsid w:val="3EDFFDC1"/>
    <w:rsid w:val="3EE41CAE"/>
    <w:rsid w:val="3EE45FDC"/>
    <w:rsid w:val="3EE580C2"/>
    <w:rsid w:val="3EE58C5D"/>
    <w:rsid w:val="3EE63321"/>
    <w:rsid w:val="3EE68C40"/>
    <w:rsid w:val="3EE715F9"/>
    <w:rsid w:val="3EE78B78"/>
    <w:rsid w:val="3EE7E25E"/>
    <w:rsid w:val="3EE84DD0"/>
    <w:rsid w:val="3EE8AA24"/>
    <w:rsid w:val="3EE9301F"/>
    <w:rsid w:val="3EEA1613"/>
    <w:rsid w:val="3EEBB8BB"/>
    <w:rsid w:val="3EEC69E1"/>
    <w:rsid w:val="3EED7665"/>
    <w:rsid w:val="3EEFFBFF"/>
    <w:rsid w:val="3EF0012B"/>
    <w:rsid w:val="3EF1B92A"/>
    <w:rsid w:val="3EF28426"/>
    <w:rsid w:val="3EF3E4B1"/>
    <w:rsid w:val="3EF4BC38"/>
    <w:rsid w:val="3EF5060C"/>
    <w:rsid w:val="3EF53A7C"/>
    <w:rsid w:val="3EF5B138"/>
    <w:rsid w:val="3EF6A260"/>
    <w:rsid w:val="3EF7C8D0"/>
    <w:rsid w:val="3EF7F735"/>
    <w:rsid w:val="3EF92DC9"/>
    <w:rsid w:val="3EFB1B97"/>
    <w:rsid w:val="3EFD273D"/>
    <w:rsid w:val="3EFD3B8C"/>
    <w:rsid w:val="3EFD5B0B"/>
    <w:rsid w:val="3EFE535E"/>
    <w:rsid w:val="3EFE6827"/>
    <w:rsid w:val="3EFE78EE"/>
    <w:rsid w:val="3EFE975E"/>
    <w:rsid w:val="3EFF5D64"/>
    <w:rsid w:val="3F0270B7"/>
    <w:rsid w:val="3F038791"/>
    <w:rsid w:val="3F05C416"/>
    <w:rsid w:val="3F062BF6"/>
    <w:rsid w:val="3F06B8E4"/>
    <w:rsid w:val="3F0762DC"/>
    <w:rsid w:val="3F07A8B5"/>
    <w:rsid w:val="3F086F01"/>
    <w:rsid w:val="3F0918C9"/>
    <w:rsid w:val="3F0A8C27"/>
    <w:rsid w:val="3F0A9741"/>
    <w:rsid w:val="3F0B3828"/>
    <w:rsid w:val="3F0B85D8"/>
    <w:rsid w:val="3F0E349E"/>
    <w:rsid w:val="3F10E6A9"/>
    <w:rsid w:val="3F13C775"/>
    <w:rsid w:val="3F144F0C"/>
    <w:rsid w:val="3F14B8D8"/>
    <w:rsid w:val="3F16ED04"/>
    <w:rsid w:val="3F175990"/>
    <w:rsid w:val="3F18DE68"/>
    <w:rsid w:val="3F192565"/>
    <w:rsid w:val="3F1945CC"/>
    <w:rsid w:val="3F1A0995"/>
    <w:rsid w:val="3F1AF499"/>
    <w:rsid w:val="3F1D41A0"/>
    <w:rsid w:val="3F1DE0A6"/>
    <w:rsid w:val="3F1E5DCA"/>
    <w:rsid w:val="3F1E68A2"/>
    <w:rsid w:val="3F1E85E3"/>
    <w:rsid w:val="3F1F3AE1"/>
    <w:rsid w:val="3F1F44AB"/>
    <w:rsid w:val="3F1F9C51"/>
    <w:rsid w:val="3F2016F8"/>
    <w:rsid w:val="3F2093B7"/>
    <w:rsid w:val="3F217415"/>
    <w:rsid w:val="3F219EB4"/>
    <w:rsid w:val="3F245D38"/>
    <w:rsid w:val="3F255F01"/>
    <w:rsid w:val="3F271FC1"/>
    <w:rsid w:val="3F279611"/>
    <w:rsid w:val="3F27A630"/>
    <w:rsid w:val="3F27D09D"/>
    <w:rsid w:val="3F29400E"/>
    <w:rsid w:val="3F29D2A2"/>
    <w:rsid w:val="3F2A51C8"/>
    <w:rsid w:val="3F2BBAEA"/>
    <w:rsid w:val="3F2E057F"/>
    <w:rsid w:val="3F2E2642"/>
    <w:rsid w:val="3F2E54C5"/>
    <w:rsid w:val="3F2FFE35"/>
    <w:rsid w:val="3F303F3B"/>
    <w:rsid w:val="3F320FD9"/>
    <w:rsid w:val="3F32BC9E"/>
    <w:rsid w:val="3F3399D4"/>
    <w:rsid w:val="3F36462F"/>
    <w:rsid w:val="3F38F790"/>
    <w:rsid w:val="3F393B74"/>
    <w:rsid w:val="3F3A505B"/>
    <w:rsid w:val="3F3AE25E"/>
    <w:rsid w:val="3F3B590D"/>
    <w:rsid w:val="3F3C03ED"/>
    <w:rsid w:val="3F3DCF6A"/>
    <w:rsid w:val="3F40CF18"/>
    <w:rsid w:val="3F42C0F4"/>
    <w:rsid w:val="3F430A80"/>
    <w:rsid w:val="3F43ACE2"/>
    <w:rsid w:val="3F43BBB0"/>
    <w:rsid w:val="3F43FAEC"/>
    <w:rsid w:val="3F445684"/>
    <w:rsid w:val="3F44C255"/>
    <w:rsid w:val="3F45F703"/>
    <w:rsid w:val="3F469242"/>
    <w:rsid w:val="3F46E2E4"/>
    <w:rsid w:val="3F46E508"/>
    <w:rsid w:val="3F47723E"/>
    <w:rsid w:val="3F47C296"/>
    <w:rsid w:val="3F48745E"/>
    <w:rsid w:val="3F492A20"/>
    <w:rsid w:val="3F493964"/>
    <w:rsid w:val="3F49A516"/>
    <w:rsid w:val="3F4A6065"/>
    <w:rsid w:val="3F4A87F0"/>
    <w:rsid w:val="3F4AFBE8"/>
    <w:rsid w:val="3F4D4DB0"/>
    <w:rsid w:val="3F5012EE"/>
    <w:rsid w:val="3F5098C7"/>
    <w:rsid w:val="3F5143CE"/>
    <w:rsid w:val="3F52BABE"/>
    <w:rsid w:val="3F540041"/>
    <w:rsid w:val="3F54BD9A"/>
    <w:rsid w:val="3F54FFFF"/>
    <w:rsid w:val="3F558CBE"/>
    <w:rsid w:val="3F567202"/>
    <w:rsid w:val="3F56E303"/>
    <w:rsid w:val="3F56E662"/>
    <w:rsid w:val="3F57832C"/>
    <w:rsid w:val="3F57EAE6"/>
    <w:rsid w:val="3F5A600C"/>
    <w:rsid w:val="3F5C4BF9"/>
    <w:rsid w:val="3F5DDDB2"/>
    <w:rsid w:val="3F5F9611"/>
    <w:rsid w:val="3F5F9E73"/>
    <w:rsid w:val="3F605096"/>
    <w:rsid w:val="3F61EA77"/>
    <w:rsid w:val="3F63A839"/>
    <w:rsid w:val="3F641873"/>
    <w:rsid w:val="3F64600B"/>
    <w:rsid w:val="3F6463BD"/>
    <w:rsid w:val="3F64DAA1"/>
    <w:rsid w:val="3F67E2E2"/>
    <w:rsid w:val="3F68A096"/>
    <w:rsid w:val="3F68D6EA"/>
    <w:rsid w:val="3F68FFDD"/>
    <w:rsid w:val="3F69565D"/>
    <w:rsid w:val="3F6A65BB"/>
    <w:rsid w:val="3F6E6FC6"/>
    <w:rsid w:val="3F6F6034"/>
    <w:rsid w:val="3F7045D3"/>
    <w:rsid w:val="3F71C48C"/>
    <w:rsid w:val="3F722534"/>
    <w:rsid w:val="3F737146"/>
    <w:rsid w:val="3F73E3EC"/>
    <w:rsid w:val="3F7444C7"/>
    <w:rsid w:val="3F744B55"/>
    <w:rsid w:val="3F759906"/>
    <w:rsid w:val="3F760ACA"/>
    <w:rsid w:val="3F76458B"/>
    <w:rsid w:val="3F76D4A7"/>
    <w:rsid w:val="3F770C36"/>
    <w:rsid w:val="3F77BFC0"/>
    <w:rsid w:val="3F78C0D3"/>
    <w:rsid w:val="3F79779E"/>
    <w:rsid w:val="3F7B39BD"/>
    <w:rsid w:val="3F7BA418"/>
    <w:rsid w:val="3F7C7461"/>
    <w:rsid w:val="3F7D8413"/>
    <w:rsid w:val="3F7DEA62"/>
    <w:rsid w:val="3F8226D0"/>
    <w:rsid w:val="3F836423"/>
    <w:rsid w:val="3F88BC95"/>
    <w:rsid w:val="3F8AA474"/>
    <w:rsid w:val="3F8AF448"/>
    <w:rsid w:val="3F8B08DC"/>
    <w:rsid w:val="3F8B5FA3"/>
    <w:rsid w:val="3F8BAD0E"/>
    <w:rsid w:val="3F8CC100"/>
    <w:rsid w:val="3F8CFC02"/>
    <w:rsid w:val="3F8D645E"/>
    <w:rsid w:val="3F8D6DAC"/>
    <w:rsid w:val="3F8DBB6E"/>
    <w:rsid w:val="3F8DF8FC"/>
    <w:rsid w:val="3F8E0A3C"/>
    <w:rsid w:val="3F8F02A1"/>
    <w:rsid w:val="3F8FB586"/>
    <w:rsid w:val="3F914D64"/>
    <w:rsid w:val="3F91D656"/>
    <w:rsid w:val="3F92FB75"/>
    <w:rsid w:val="3F93ECD9"/>
    <w:rsid w:val="3F93F19A"/>
    <w:rsid w:val="3F9417A2"/>
    <w:rsid w:val="3F95EE7D"/>
    <w:rsid w:val="3F965BD6"/>
    <w:rsid w:val="3F97D342"/>
    <w:rsid w:val="3F98DB3D"/>
    <w:rsid w:val="3F9A81E6"/>
    <w:rsid w:val="3F9ADA7F"/>
    <w:rsid w:val="3F9C0392"/>
    <w:rsid w:val="3F9C39E0"/>
    <w:rsid w:val="3F9C78EF"/>
    <w:rsid w:val="3F9C9A43"/>
    <w:rsid w:val="3F9E2CA6"/>
    <w:rsid w:val="3F9E7A09"/>
    <w:rsid w:val="3FA05356"/>
    <w:rsid w:val="3FA371A0"/>
    <w:rsid w:val="3FA3A143"/>
    <w:rsid w:val="3FA453FC"/>
    <w:rsid w:val="3FA4ADAC"/>
    <w:rsid w:val="3FA5B3B3"/>
    <w:rsid w:val="3FA6A465"/>
    <w:rsid w:val="3FA7061D"/>
    <w:rsid w:val="3FA7389E"/>
    <w:rsid w:val="3FA74330"/>
    <w:rsid w:val="3FA772AA"/>
    <w:rsid w:val="3FA8D5D1"/>
    <w:rsid w:val="3FA9CC89"/>
    <w:rsid w:val="3FAA8246"/>
    <w:rsid w:val="3FAB3179"/>
    <w:rsid w:val="3FAC422F"/>
    <w:rsid w:val="3FAD2D0D"/>
    <w:rsid w:val="3FAD624A"/>
    <w:rsid w:val="3FAE3964"/>
    <w:rsid w:val="3FAF63A3"/>
    <w:rsid w:val="3FB01521"/>
    <w:rsid w:val="3FB051D2"/>
    <w:rsid w:val="3FB05A76"/>
    <w:rsid w:val="3FB0D783"/>
    <w:rsid w:val="3FB1F1D1"/>
    <w:rsid w:val="3FB2D6C7"/>
    <w:rsid w:val="3FB52B9E"/>
    <w:rsid w:val="3FB8163F"/>
    <w:rsid w:val="3FB82A26"/>
    <w:rsid w:val="3FBA43FB"/>
    <w:rsid w:val="3FBA9496"/>
    <w:rsid w:val="3FBAECA3"/>
    <w:rsid w:val="3FBB4C32"/>
    <w:rsid w:val="3FBC68C4"/>
    <w:rsid w:val="3FBCA0ED"/>
    <w:rsid w:val="3FBEE8B9"/>
    <w:rsid w:val="3FC01A3F"/>
    <w:rsid w:val="3FC0DB05"/>
    <w:rsid w:val="3FC10320"/>
    <w:rsid w:val="3FC1154E"/>
    <w:rsid w:val="3FC311BF"/>
    <w:rsid w:val="3FC45716"/>
    <w:rsid w:val="3FC79F71"/>
    <w:rsid w:val="3FC7E43F"/>
    <w:rsid w:val="3FC8D59E"/>
    <w:rsid w:val="3FC9137A"/>
    <w:rsid w:val="3FC99695"/>
    <w:rsid w:val="3FC9AB64"/>
    <w:rsid w:val="3FCC8398"/>
    <w:rsid w:val="3FCD2BAC"/>
    <w:rsid w:val="3FCF8191"/>
    <w:rsid w:val="3FD201C3"/>
    <w:rsid w:val="3FD2953B"/>
    <w:rsid w:val="3FD2A42B"/>
    <w:rsid w:val="3FD2D9FE"/>
    <w:rsid w:val="3FD5606C"/>
    <w:rsid w:val="3FD5FE9F"/>
    <w:rsid w:val="3FD66087"/>
    <w:rsid w:val="3FDA0977"/>
    <w:rsid w:val="3FDBCC54"/>
    <w:rsid w:val="3FDC0059"/>
    <w:rsid w:val="3FDD4965"/>
    <w:rsid w:val="3FDE0586"/>
    <w:rsid w:val="3FDE174C"/>
    <w:rsid w:val="3FDFACE7"/>
    <w:rsid w:val="3FDFAF59"/>
    <w:rsid w:val="3FDFBBA2"/>
    <w:rsid w:val="3FE05C6E"/>
    <w:rsid w:val="3FE0FE59"/>
    <w:rsid w:val="3FE2E3C3"/>
    <w:rsid w:val="3FE4AAB1"/>
    <w:rsid w:val="3FE50CC1"/>
    <w:rsid w:val="3FE53C48"/>
    <w:rsid w:val="3FE69B23"/>
    <w:rsid w:val="3FE728AD"/>
    <w:rsid w:val="3FE855CD"/>
    <w:rsid w:val="3FE9653F"/>
    <w:rsid w:val="3FE99E98"/>
    <w:rsid w:val="3FE9E81D"/>
    <w:rsid w:val="3FEAB69D"/>
    <w:rsid w:val="3FEC3B73"/>
    <w:rsid w:val="3FEC3CD3"/>
    <w:rsid w:val="3FEEDCA6"/>
    <w:rsid w:val="3FEEF169"/>
    <w:rsid w:val="3FF1AA95"/>
    <w:rsid w:val="3FF1C49C"/>
    <w:rsid w:val="3FF2F813"/>
    <w:rsid w:val="3FF46AE4"/>
    <w:rsid w:val="3FF83246"/>
    <w:rsid w:val="3FF8787C"/>
    <w:rsid w:val="3FF9257C"/>
    <w:rsid w:val="3FFA5615"/>
    <w:rsid w:val="3FFBDA3E"/>
    <w:rsid w:val="3FFE2F5E"/>
    <w:rsid w:val="3FFF36A7"/>
    <w:rsid w:val="3FFF9551"/>
    <w:rsid w:val="3FFFBFA2"/>
    <w:rsid w:val="3FFFF552"/>
    <w:rsid w:val="4000B421"/>
    <w:rsid w:val="4000DF42"/>
    <w:rsid w:val="40014818"/>
    <w:rsid w:val="4001C6E9"/>
    <w:rsid w:val="4002F65D"/>
    <w:rsid w:val="400519ED"/>
    <w:rsid w:val="4005DB8F"/>
    <w:rsid w:val="40069B62"/>
    <w:rsid w:val="4007D53D"/>
    <w:rsid w:val="4008B7B7"/>
    <w:rsid w:val="4008F42F"/>
    <w:rsid w:val="400987C5"/>
    <w:rsid w:val="400AF96D"/>
    <w:rsid w:val="400C2221"/>
    <w:rsid w:val="400C77BA"/>
    <w:rsid w:val="400D4C0F"/>
    <w:rsid w:val="400D4DB2"/>
    <w:rsid w:val="400D7D40"/>
    <w:rsid w:val="400D8ABD"/>
    <w:rsid w:val="400F0576"/>
    <w:rsid w:val="401172C7"/>
    <w:rsid w:val="4011E744"/>
    <w:rsid w:val="401215F3"/>
    <w:rsid w:val="40124BE5"/>
    <w:rsid w:val="40127544"/>
    <w:rsid w:val="40127CB8"/>
    <w:rsid w:val="4012842B"/>
    <w:rsid w:val="40147945"/>
    <w:rsid w:val="4016F184"/>
    <w:rsid w:val="401741F2"/>
    <w:rsid w:val="40180026"/>
    <w:rsid w:val="4018202B"/>
    <w:rsid w:val="4018851F"/>
    <w:rsid w:val="4018C742"/>
    <w:rsid w:val="4019BB8C"/>
    <w:rsid w:val="4019F561"/>
    <w:rsid w:val="401CDAF0"/>
    <w:rsid w:val="401CFA23"/>
    <w:rsid w:val="401DA030"/>
    <w:rsid w:val="401DA866"/>
    <w:rsid w:val="401E5DB0"/>
    <w:rsid w:val="401E99B4"/>
    <w:rsid w:val="401EA142"/>
    <w:rsid w:val="401F5E76"/>
    <w:rsid w:val="40205C2A"/>
    <w:rsid w:val="402189F8"/>
    <w:rsid w:val="4021EF06"/>
    <w:rsid w:val="40253F54"/>
    <w:rsid w:val="402B71D3"/>
    <w:rsid w:val="402BB765"/>
    <w:rsid w:val="402C3B99"/>
    <w:rsid w:val="402CE9FB"/>
    <w:rsid w:val="402D921D"/>
    <w:rsid w:val="402F2C13"/>
    <w:rsid w:val="402FB184"/>
    <w:rsid w:val="40302142"/>
    <w:rsid w:val="403169F8"/>
    <w:rsid w:val="40326125"/>
    <w:rsid w:val="40338F6C"/>
    <w:rsid w:val="4033EC00"/>
    <w:rsid w:val="4034920B"/>
    <w:rsid w:val="4036231E"/>
    <w:rsid w:val="40366960"/>
    <w:rsid w:val="40375BF5"/>
    <w:rsid w:val="403861C7"/>
    <w:rsid w:val="4038D846"/>
    <w:rsid w:val="403A8A8F"/>
    <w:rsid w:val="403AD2A7"/>
    <w:rsid w:val="403C4195"/>
    <w:rsid w:val="403D9879"/>
    <w:rsid w:val="403F5A13"/>
    <w:rsid w:val="40407149"/>
    <w:rsid w:val="40417836"/>
    <w:rsid w:val="40437A98"/>
    <w:rsid w:val="4047C4F3"/>
    <w:rsid w:val="40486B95"/>
    <w:rsid w:val="40499644"/>
    <w:rsid w:val="404CAE1E"/>
    <w:rsid w:val="404E2696"/>
    <w:rsid w:val="404EC2F7"/>
    <w:rsid w:val="40501886"/>
    <w:rsid w:val="40511E82"/>
    <w:rsid w:val="405163D1"/>
    <w:rsid w:val="4051DF31"/>
    <w:rsid w:val="4054FA39"/>
    <w:rsid w:val="40573677"/>
    <w:rsid w:val="405780B6"/>
    <w:rsid w:val="4058E913"/>
    <w:rsid w:val="4059A075"/>
    <w:rsid w:val="4059EC8E"/>
    <w:rsid w:val="405B5065"/>
    <w:rsid w:val="405B99C5"/>
    <w:rsid w:val="405BFA42"/>
    <w:rsid w:val="405C11F7"/>
    <w:rsid w:val="405C9E9E"/>
    <w:rsid w:val="405CBDED"/>
    <w:rsid w:val="405D2B9B"/>
    <w:rsid w:val="405D328C"/>
    <w:rsid w:val="4060C64B"/>
    <w:rsid w:val="4060CC1F"/>
    <w:rsid w:val="40618065"/>
    <w:rsid w:val="4061B549"/>
    <w:rsid w:val="4061D73B"/>
    <w:rsid w:val="4062B19B"/>
    <w:rsid w:val="4062C287"/>
    <w:rsid w:val="4065527B"/>
    <w:rsid w:val="4066785F"/>
    <w:rsid w:val="4066B223"/>
    <w:rsid w:val="40673901"/>
    <w:rsid w:val="40673EED"/>
    <w:rsid w:val="4067D033"/>
    <w:rsid w:val="4068B013"/>
    <w:rsid w:val="406B4C23"/>
    <w:rsid w:val="406CB84C"/>
    <w:rsid w:val="406EC3D6"/>
    <w:rsid w:val="406FEF66"/>
    <w:rsid w:val="406FF1B5"/>
    <w:rsid w:val="40713B8D"/>
    <w:rsid w:val="4072044D"/>
    <w:rsid w:val="4075E1B5"/>
    <w:rsid w:val="40764E45"/>
    <w:rsid w:val="4077F025"/>
    <w:rsid w:val="407834FC"/>
    <w:rsid w:val="40783ABA"/>
    <w:rsid w:val="407A7C1C"/>
    <w:rsid w:val="407A7C64"/>
    <w:rsid w:val="407BB406"/>
    <w:rsid w:val="407D6D04"/>
    <w:rsid w:val="407EB911"/>
    <w:rsid w:val="407F66EF"/>
    <w:rsid w:val="40818BA6"/>
    <w:rsid w:val="4082996B"/>
    <w:rsid w:val="4082FD29"/>
    <w:rsid w:val="408314C3"/>
    <w:rsid w:val="40834B96"/>
    <w:rsid w:val="4085BBC6"/>
    <w:rsid w:val="4086DD2A"/>
    <w:rsid w:val="40871764"/>
    <w:rsid w:val="4087B64F"/>
    <w:rsid w:val="408807EF"/>
    <w:rsid w:val="408BAC39"/>
    <w:rsid w:val="408EB2C8"/>
    <w:rsid w:val="408F348E"/>
    <w:rsid w:val="408F5415"/>
    <w:rsid w:val="40912DA7"/>
    <w:rsid w:val="4091B1DC"/>
    <w:rsid w:val="4091DE3A"/>
    <w:rsid w:val="4092176B"/>
    <w:rsid w:val="40983ED6"/>
    <w:rsid w:val="4099015C"/>
    <w:rsid w:val="409A0ED1"/>
    <w:rsid w:val="409AE383"/>
    <w:rsid w:val="409B2BEE"/>
    <w:rsid w:val="409B2D32"/>
    <w:rsid w:val="409BA277"/>
    <w:rsid w:val="409D9DB7"/>
    <w:rsid w:val="409E13F8"/>
    <w:rsid w:val="409EE8E0"/>
    <w:rsid w:val="409F0580"/>
    <w:rsid w:val="409F11A1"/>
    <w:rsid w:val="40A01149"/>
    <w:rsid w:val="40A0539E"/>
    <w:rsid w:val="40A11F8C"/>
    <w:rsid w:val="40A18296"/>
    <w:rsid w:val="40A34080"/>
    <w:rsid w:val="40A410F1"/>
    <w:rsid w:val="40A4857E"/>
    <w:rsid w:val="40A4B0D4"/>
    <w:rsid w:val="40A5AC96"/>
    <w:rsid w:val="40A670C4"/>
    <w:rsid w:val="40A6A017"/>
    <w:rsid w:val="40A6D936"/>
    <w:rsid w:val="40AAE8D2"/>
    <w:rsid w:val="40AB0AB6"/>
    <w:rsid w:val="40AB4409"/>
    <w:rsid w:val="40AB68C5"/>
    <w:rsid w:val="40AD4FA8"/>
    <w:rsid w:val="40AD664B"/>
    <w:rsid w:val="40AE16C8"/>
    <w:rsid w:val="40AEC75D"/>
    <w:rsid w:val="40B0A6C2"/>
    <w:rsid w:val="40B32857"/>
    <w:rsid w:val="40B3D867"/>
    <w:rsid w:val="40B5CE81"/>
    <w:rsid w:val="40B6A740"/>
    <w:rsid w:val="40B6C62D"/>
    <w:rsid w:val="40B73FBC"/>
    <w:rsid w:val="40B81BFA"/>
    <w:rsid w:val="40B81DD4"/>
    <w:rsid w:val="40B841A5"/>
    <w:rsid w:val="40B9CB98"/>
    <w:rsid w:val="40B9E755"/>
    <w:rsid w:val="40BBFEC9"/>
    <w:rsid w:val="40BCD2A1"/>
    <w:rsid w:val="40BD4A40"/>
    <w:rsid w:val="40BEA43C"/>
    <w:rsid w:val="40BEB192"/>
    <w:rsid w:val="40BF681B"/>
    <w:rsid w:val="40BF77D2"/>
    <w:rsid w:val="40BF8AA9"/>
    <w:rsid w:val="40C16C40"/>
    <w:rsid w:val="40C268FB"/>
    <w:rsid w:val="40C2CA97"/>
    <w:rsid w:val="40C34496"/>
    <w:rsid w:val="40C3EC82"/>
    <w:rsid w:val="40C66F3B"/>
    <w:rsid w:val="40C6CF86"/>
    <w:rsid w:val="40C80D2A"/>
    <w:rsid w:val="40C8D782"/>
    <w:rsid w:val="40CBD31D"/>
    <w:rsid w:val="40CC4244"/>
    <w:rsid w:val="40CE777D"/>
    <w:rsid w:val="40D02628"/>
    <w:rsid w:val="40D0F6BA"/>
    <w:rsid w:val="40D113D4"/>
    <w:rsid w:val="40D17F8B"/>
    <w:rsid w:val="40D1D429"/>
    <w:rsid w:val="40D20252"/>
    <w:rsid w:val="40D279A0"/>
    <w:rsid w:val="40D28DD8"/>
    <w:rsid w:val="40D38616"/>
    <w:rsid w:val="40D4FBCF"/>
    <w:rsid w:val="40D540F6"/>
    <w:rsid w:val="40D68FBC"/>
    <w:rsid w:val="40D79D26"/>
    <w:rsid w:val="40D7FB0B"/>
    <w:rsid w:val="40D82749"/>
    <w:rsid w:val="40D98296"/>
    <w:rsid w:val="40DA6C9D"/>
    <w:rsid w:val="40DBB81D"/>
    <w:rsid w:val="40DBBAA3"/>
    <w:rsid w:val="40DC762A"/>
    <w:rsid w:val="40DD9DFD"/>
    <w:rsid w:val="40DE11AB"/>
    <w:rsid w:val="40DE5E1C"/>
    <w:rsid w:val="40DFE226"/>
    <w:rsid w:val="40E09226"/>
    <w:rsid w:val="40E0F4D7"/>
    <w:rsid w:val="40E0FD2F"/>
    <w:rsid w:val="40E38009"/>
    <w:rsid w:val="40E38D4A"/>
    <w:rsid w:val="40E45AB4"/>
    <w:rsid w:val="40E56CDD"/>
    <w:rsid w:val="40E5BFF8"/>
    <w:rsid w:val="40E6BE57"/>
    <w:rsid w:val="40E86B9B"/>
    <w:rsid w:val="40E916D5"/>
    <w:rsid w:val="40EA3C05"/>
    <w:rsid w:val="40EA885B"/>
    <w:rsid w:val="40EACD3E"/>
    <w:rsid w:val="40EDC3F8"/>
    <w:rsid w:val="40F0066E"/>
    <w:rsid w:val="40F104E5"/>
    <w:rsid w:val="40F11F61"/>
    <w:rsid w:val="40F199A9"/>
    <w:rsid w:val="40F21B52"/>
    <w:rsid w:val="40F2C198"/>
    <w:rsid w:val="40F3B2F8"/>
    <w:rsid w:val="40F464DC"/>
    <w:rsid w:val="40F483F5"/>
    <w:rsid w:val="40F647D5"/>
    <w:rsid w:val="40F9032B"/>
    <w:rsid w:val="40FB9C3D"/>
    <w:rsid w:val="40FCB60E"/>
    <w:rsid w:val="40FF8B23"/>
    <w:rsid w:val="41000169"/>
    <w:rsid w:val="4101CC8A"/>
    <w:rsid w:val="4101DCB7"/>
    <w:rsid w:val="4103DA3D"/>
    <w:rsid w:val="41063B12"/>
    <w:rsid w:val="41064DD3"/>
    <w:rsid w:val="4106F4E9"/>
    <w:rsid w:val="4107A5A7"/>
    <w:rsid w:val="4107C6ED"/>
    <w:rsid w:val="4108BCE0"/>
    <w:rsid w:val="4108D6A5"/>
    <w:rsid w:val="4108EB3B"/>
    <w:rsid w:val="410997CF"/>
    <w:rsid w:val="4109FF13"/>
    <w:rsid w:val="410A7D8A"/>
    <w:rsid w:val="410AD8A9"/>
    <w:rsid w:val="410BBB3E"/>
    <w:rsid w:val="410C25AB"/>
    <w:rsid w:val="410CA33C"/>
    <w:rsid w:val="410DCB38"/>
    <w:rsid w:val="410DDCC1"/>
    <w:rsid w:val="410E81D7"/>
    <w:rsid w:val="410F5F07"/>
    <w:rsid w:val="4111E3D8"/>
    <w:rsid w:val="4111FCFD"/>
    <w:rsid w:val="41126B9F"/>
    <w:rsid w:val="4112B790"/>
    <w:rsid w:val="4114490D"/>
    <w:rsid w:val="41151C6A"/>
    <w:rsid w:val="41153C70"/>
    <w:rsid w:val="4115746F"/>
    <w:rsid w:val="4116079A"/>
    <w:rsid w:val="4116A2E6"/>
    <w:rsid w:val="4118183F"/>
    <w:rsid w:val="4118CED5"/>
    <w:rsid w:val="411B4749"/>
    <w:rsid w:val="411BB2F1"/>
    <w:rsid w:val="411E34B2"/>
    <w:rsid w:val="411FF9EA"/>
    <w:rsid w:val="412073E0"/>
    <w:rsid w:val="41210090"/>
    <w:rsid w:val="4121C549"/>
    <w:rsid w:val="41225624"/>
    <w:rsid w:val="4122B499"/>
    <w:rsid w:val="41245133"/>
    <w:rsid w:val="41255926"/>
    <w:rsid w:val="41258359"/>
    <w:rsid w:val="41268382"/>
    <w:rsid w:val="41289410"/>
    <w:rsid w:val="41293A33"/>
    <w:rsid w:val="41299547"/>
    <w:rsid w:val="412B5A80"/>
    <w:rsid w:val="412C50EA"/>
    <w:rsid w:val="412D87F2"/>
    <w:rsid w:val="412E4075"/>
    <w:rsid w:val="412F06D0"/>
    <w:rsid w:val="412F16E5"/>
    <w:rsid w:val="412F826B"/>
    <w:rsid w:val="41306F46"/>
    <w:rsid w:val="4133CE6D"/>
    <w:rsid w:val="4133E155"/>
    <w:rsid w:val="4135AA66"/>
    <w:rsid w:val="4137902C"/>
    <w:rsid w:val="41381571"/>
    <w:rsid w:val="4139094E"/>
    <w:rsid w:val="413A5590"/>
    <w:rsid w:val="413B877D"/>
    <w:rsid w:val="413BD343"/>
    <w:rsid w:val="413C9FFB"/>
    <w:rsid w:val="413EF30C"/>
    <w:rsid w:val="413FDCD1"/>
    <w:rsid w:val="4140D750"/>
    <w:rsid w:val="414138E7"/>
    <w:rsid w:val="4141B3E0"/>
    <w:rsid w:val="4142636C"/>
    <w:rsid w:val="41437F16"/>
    <w:rsid w:val="4143B426"/>
    <w:rsid w:val="4143DD63"/>
    <w:rsid w:val="4143F11E"/>
    <w:rsid w:val="41442DE3"/>
    <w:rsid w:val="4144DE12"/>
    <w:rsid w:val="41452F76"/>
    <w:rsid w:val="41474D36"/>
    <w:rsid w:val="41475D4E"/>
    <w:rsid w:val="4147665C"/>
    <w:rsid w:val="41492CAA"/>
    <w:rsid w:val="41495F89"/>
    <w:rsid w:val="414A0990"/>
    <w:rsid w:val="414BB9C1"/>
    <w:rsid w:val="414D289D"/>
    <w:rsid w:val="414D41DC"/>
    <w:rsid w:val="414ED316"/>
    <w:rsid w:val="414F0B57"/>
    <w:rsid w:val="414FA60A"/>
    <w:rsid w:val="41514CB6"/>
    <w:rsid w:val="415432CE"/>
    <w:rsid w:val="415803C9"/>
    <w:rsid w:val="41582323"/>
    <w:rsid w:val="41583450"/>
    <w:rsid w:val="415ABCE6"/>
    <w:rsid w:val="415D6F02"/>
    <w:rsid w:val="415DEFA3"/>
    <w:rsid w:val="4160238B"/>
    <w:rsid w:val="4161FA16"/>
    <w:rsid w:val="41628170"/>
    <w:rsid w:val="4163249F"/>
    <w:rsid w:val="41657BC5"/>
    <w:rsid w:val="416601D9"/>
    <w:rsid w:val="4168308A"/>
    <w:rsid w:val="416A2D26"/>
    <w:rsid w:val="416E679E"/>
    <w:rsid w:val="417024DC"/>
    <w:rsid w:val="4171D934"/>
    <w:rsid w:val="4171FAE8"/>
    <w:rsid w:val="4173D08F"/>
    <w:rsid w:val="41753987"/>
    <w:rsid w:val="4175C20C"/>
    <w:rsid w:val="4175EADB"/>
    <w:rsid w:val="4176D853"/>
    <w:rsid w:val="4177CA73"/>
    <w:rsid w:val="41783AB4"/>
    <w:rsid w:val="41787B80"/>
    <w:rsid w:val="41789D6B"/>
    <w:rsid w:val="417A9570"/>
    <w:rsid w:val="417ADFA7"/>
    <w:rsid w:val="417AF94E"/>
    <w:rsid w:val="417C2487"/>
    <w:rsid w:val="417DEBF5"/>
    <w:rsid w:val="417DFF1E"/>
    <w:rsid w:val="417F01EA"/>
    <w:rsid w:val="417F359D"/>
    <w:rsid w:val="417FA8F9"/>
    <w:rsid w:val="41814823"/>
    <w:rsid w:val="4183037B"/>
    <w:rsid w:val="41835DEC"/>
    <w:rsid w:val="41858B20"/>
    <w:rsid w:val="41867782"/>
    <w:rsid w:val="4186C4AF"/>
    <w:rsid w:val="418790B8"/>
    <w:rsid w:val="41879ACA"/>
    <w:rsid w:val="41892475"/>
    <w:rsid w:val="4189F878"/>
    <w:rsid w:val="418A8B54"/>
    <w:rsid w:val="418B4158"/>
    <w:rsid w:val="418C589C"/>
    <w:rsid w:val="418CE3A4"/>
    <w:rsid w:val="4190F253"/>
    <w:rsid w:val="419140FB"/>
    <w:rsid w:val="4192374F"/>
    <w:rsid w:val="4192E7A1"/>
    <w:rsid w:val="41956647"/>
    <w:rsid w:val="4195DD12"/>
    <w:rsid w:val="41981D1D"/>
    <w:rsid w:val="419B92CD"/>
    <w:rsid w:val="419C6CF2"/>
    <w:rsid w:val="419CD44A"/>
    <w:rsid w:val="419D0479"/>
    <w:rsid w:val="419EDA9C"/>
    <w:rsid w:val="419F75A4"/>
    <w:rsid w:val="41A19C88"/>
    <w:rsid w:val="41A32557"/>
    <w:rsid w:val="41A3E7AF"/>
    <w:rsid w:val="41A45276"/>
    <w:rsid w:val="41A4CFCE"/>
    <w:rsid w:val="41A4D246"/>
    <w:rsid w:val="41A6E25B"/>
    <w:rsid w:val="41A7E7AC"/>
    <w:rsid w:val="41A80D74"/>
    <w:rsid w:val="41A898C0"/>
    <w:rsid w:val="41ABC234"/>
    <w:rsid w:val="41AC0BCE"/>
    <w:rsid w:val="41AC26DF"/>
    <w:rsid w:val="41ACCAD2"/>
    <w:rsid w:val="41AF90D5"/>
    <w:rsid w:val="41B05191"/>
    <w:rsid w:val="41B06DB5"/>
    <w:rsid w:val="41B1B5D8"/>
    <w:rsid w:val="41B307D0"/>
    <w:rsid w:val="41B49861"/>
    <w:rsid w:val="41B50F9D"/>
    <w:rsid w:val="41B5B980"/>
    <w:rsid w:val="41B6B207"/>
    <w:rsid w:val="41B8CA88"/>
    <w:rsid w:val="41B9CD65"/>
    <w:rsid w:val="41BAF142"/>
    <w:rsid w:val="41BB5583"/>
    <w:rsid w:val="41BC23FD"/>
    <w:rsid w:val="41BC5C85"/>
    <w:rsid w:val="41BC654B"/>
    <w:rsid w:val="41BD4CDC"/>
    <w:rsid w:val="41C01364"/>
    <w:rsid w:val="41C0936A"/>
    <w:rsid w:val="41C17E7C"/>
    <w:rsid w:val="41C1CCED"/>
    <w:rsid w:val="41C29168"/>
    <w:rsid w:val="41C2B42B"/>
    <w:rsid w:val="41C2C0A6"/>
    <w:rsid w:val="41C2C9C1"/>
    <w:rsid w:val="41C2E8A6"/>
    <w:rsid w:val="41C36C44"/>
    <w:rsid w:val="41C3C1BB"/>
    <w:rsid w:val="41C3D40B"/>
    <w:rsid w:val="41C4066E"/>
    <w:rsid w:val="41C4969F"/>
    <w:rsid w:val="41C5E0FA"/>
    <w:rsid w:val="41C5F19E"/>
    <w:rsid w:val="41C70E18"/>
    <w:rsid w:val="41C75D2A"/>
    <w:rsid w:val="41C7C79D"/>
    <w:rsid w:val="41C8441C"/>
    <w:rsid w:val="41CA31F9"/>
    <w:rsid w:val="41CA347A"/>
    <w:rsid w:val="41CA3F81"/>
    <w:rsid w:val="41CA45B5"/>
    <w:rsid w:val="41CBE848"/>
    <w:rsid w:val="41CC429A"/>
    <w:rsid w:val="41CD491B"/>
    <w:rsid w:val="41CDD305"/>
    <w:rsid w:val="41CF6B22"/>
    <w:rsid w:val="41D0E1E4"/>
    <w:rsid w:val="41D192CB"/>
    <w:rsid w:val="41D356AE"/>
    <w:rsid w:val="41D395E2"/>
    <w:rsid w:val="41D65400"/>
    <w:rsid w:val="41D65DEA"/>
    <w:rsid w:val="41D6B6DB"/>
    <w:rsid w:val="41D6C232"/>
    <w:rsid w:val="41D71B7A"/>
    <w:rsid w:val="41D7D7E6"/>
    <w:rsid w:val="41D804D5"/>
    <w:rsid w:val="41D8D4FF"/>
    <w:rsid w:val="41DA7ABE"/>
    <w:rsid w:val="41E0FD21"/>
    <w:rsid w:val="41E12C25"/>
    <w:rsid w:val="41E42C5E"/>
    <w:rsid w:val="41E52AD5"/>
    <w:rsid w:val="41E6A05C"/>
    <w:rsid w:val="41E85719"/>
    <w:rsid w:val="41E8C909"/>
    <w:rsid w:val="41EABD58"/>
    <w:rsid w:val="41EB0A1E"/>
    <w:rsid w:val="41EBD9A3"/>
    <w:rsid w:val="41EC134A"/>
    <w:rsid w:val="41EC7F19"/>
    <w:rsid w:val="41ECAA01"/>
    <w:rsid w:val="41ED0ADC"/>
    <w:rsid w:val="41EF4901"/>
    <w:rsid w:val="41EF9F9D"/>
    <w:rsid w:val="41F33847"/>
    <w:rsid w:val="41F37E29"/>
    <w:rsid w:val="41F5E6CD"/>
    <w:rsid w:val="41F6D90F"/>
    <w:rsid w:val="41F71AF1"/>
    <w:rsid w:val="41F723EA"/>
    <w:rsid w:val="41FA2F5E"/>
    <w:rsid w:val="41FCA686"/>
    <w:rsid w:val="41FDDDB4"/>
    <w:rsid w:val="41FE5132"/>
    <w:rsid w:val="41FE81FC"/>
    <w:rsid w:val="41FEB977"/>
    <w:rsid w:val="41FF972A"/>
    <w:rsid w:val="42008028"/>
    <w:rsid w:val="4201989A"/>
    <w:rsid w:val="42020035"/>
    <w:rsid w:val="4202477A"/>
    <w:rsid w:val="42043BE4"/>
    <w:rsid w:val="4204D220"/>
    <w:rsid w:val="42052D9C"/>
    <w:rsid w:val="42057827"/>
    <w:rsid w:val="4206512B"/>
    <w:rsid w:val="4206FF57"/>
    <w:rsid w:val="420731CC"/>
    <w:rsid w:val="42079ADD"/>
    <w:rsid w:val="42088501"/>
    <w:rsid w:val="42093F6C"/>
    <w:rsid w:val="420991C7"/>
    <w:rsid w:val="420AE68D"/>
    <w:rsid w:val="420B4B31"/>
    <w:rsid w:val="420BD109"/>
    <w:rsid w:val="420BEC4E"/>
    <w:rsid w:val="420BFAE8"/>
    <w:rsid w:val="420CFAEC"/>
    <w:rsid w:val="420D834F"/>
    <w:rsid w:val="420E6E72"/>
    <w:rsid w:val="4210C9BD"/>
    <w:rsid w:val="4210D918"/>
    <w:rsid w:val="42118783"/>
    <w:rsid w:val="42123731"/>
    <w:rsid w:val="4212F952"/>
    <w:rsid w:val="42136C3C"/>
    <w:rsid w:val="42148352"/>
    <w:rsid w:val="4216BC2C"/>
    <w:rsid w:val="4217ABAB"/>
    <w:rsid w:val="4218A221"/>
    <w:rsid w:val="4218C454"/>
    <w:rsid w:val="421907E2"/>
    <w:rsid w:val="421B325F"/>
    <w:rsid w:val="421BA28A"/>
    <w:rsid w:val="421D9746"/>
    <w:rsid w:val="421DB10B"/>
    <w:rsid w:val="421EFA4C"/>
    <w:rsid w:val="421F18A3"/>
    <w:rsid w:val="4220187B"/>
    <w:rsid w:val="42204066"/>
    <w:rsid w:val="4220B28B"/>
    <w:rsid w:val="422347A7"/>
    <w:rsid w:val="422521ED"/>
    <w:rsid w:val="4227430B"/>
    <w:rsid w:val="42284625"/>
    <w:rsid w:val="4228DAEF"/>
    <w:rsid w:val="42292CD8"/>
    <w:rsid w:val="422B42A2"/>
    <w:rsid w:val="422D476D"/>
    <w:rsid w:val="422DE406"/>
    <w:rsid w:val="422E0B9A"/>
    <w:rsid w:val="423107D1"/>
    <w:rsid w:val="42316A7C"/>
    <w:rsid w:val="42316F99"/>
    <w:rsid w:val="4232AFAD"/>
    <w:rsid w:val="423334DA"/>
    <w:rsid w:val="42334EC6"/>
    <w:rsid w:val="4233E3E2"/>
    <w:rsid w:val="4236F529"/>
    <w:rsid w:val="42384BFE"/>
    <w:rsid w:val="423B2BA5"/>
    <w:rsid w:val="423B30BF"/>
    <w:rsid w:val="423E970F"/>
    <w:rsid w:val="423FD078"/>
    <w:rsid w:val="4245C026"/>
    <w:rsid w:val="4246106B"/>
    <w:rsid w:val="4247EAFE"/>
    <w:rsid w:val="424B26CC"/>
    <w:rsid w:val="424B96A3"/>
    <w:rsid w:val="424C04B5"/>
    <w:rsid w:val="424C4B7F"/>
    <w:rsid w:val="424C6EA1"/>
    <w:rsid w:val="424E2991"/>
    <w:rsid w:val="424E890D"/>
    <w:rsid w:val="424FAC88"/>
    <w:rsid w:val="4250272B"/>
    <w:rsid w:val="42503B7B"/>
    <w:rsid w:val="42508D7D"/>
    <w:rsid w:val="4250B948"/>
    <w:rsid w:val="425165F2"/>
    <w:rsid w:val="4251CAC7"/>
    <w:rsid w:val="42521F29"/>
    <w:rsid w:val="425279DC"/>
    <w:rsid w:val="425357C6"/>
    <w:rsid w:val="4253815E"/>
    <w:rsid w:val="4256338C"/>
    <w:rsid w:val="42578898"/>
    <w:rsid w:val="4257982E"/>
    <w:rsid w:val="425956B2"/>
    <w:rsid w:val="4259C153"/>
    <w:rsid w:val="425ABEA8"/>
    <w:rsid w:val="425ACC48"/>
    <w:rsid w:val="425B372C"/>
    <w:rsid w:val="425BDC68"/>
    <w:rsid w:val="425D673A"/>
    <w:rsid w:val="425EDA83"/>
    <w:rsid w:val="425F477D"/>
    <w:rsid w:val="425F949D"/>
    <w:rsid w:val="425FE963"/>
    <w:rsid w:val="426160EE"/>
    <w:rsid w:val="4262F147"/>
    <w:rsid w:val="426535D8"/>
    <w:rsid w:val="4265C928"/>
    <w:rsid w:val="42665A79"/>
    <w:rsid w:val="42672C23"/>
    <w:rsid w:val="42681071"/>
    <w:rsid w:val="42696690"/>
    <w:rsid w:val="426B1319"/>
    <w:rsid w:val="426CC2CD"/>
    <w:rsid w:val="426D6B01"/>
    <w:rsid w:val="426DF6B2"/>
    <w:rsid w:val="426E67C8"/>
    <w:rsid w:val="4271B5EA"/>
    <w:rsid w:val="4272434B"/>
    <w:rsid w:val="42724BF7"/>
    <w:rsid w:val="4273082A"/>
    <w:rsid w:val="4274C356"/>
    <w:rsid w:val="4275E1D5"/>
    <w:rsid w:val="42772002"/>
    <w:rsid w:val="42788BA3"/>
    <w:rsid w:val="42789FF8"/>
    <w:rsid w:val="42792C7C"/>
    <w:rsid w:val="427963CE"/>
    <w:rsid w:val="4279CFF0"/>
    <w:rsid w:val="427B1493"/>
    <w:rsid w:val="427C11B6"/>
    <w:rsid w:val="427C8AE0"/>
    <w:rsid w:val="427CEBFD"/>
    <w:rsid w:val="427EA25C"/>
    <w:rsid w:val="4280A480"/>
    <w:rsid w:val="4282CA3D"/>
    <w:rsid w:val="4282DA67"/>
    <w:rsid w:val="42844BBE"/>
    <w:rsid w:val="42845080"/>
    <w:rsid w:val="4285DBA1"/>
    <w:rsid w:val="4287BCF6"/>
    <w:rsid w:val="42884C33"/>
    <w:rsid w:val="42884F94"/>
    <w:rsid w:val="4288888A"/>
    <w:rsid w:val="4289E7ED"/>
    <w:rsid w:val="428ADF77"/>
    <w:rsid w:val="428B2568"/>
    <w:rsid w:val="428BCFEB"/>
    <w:rsid w:val="428C2811"/>
    <w:rsid w:val="428C5360"/>
    <w:rsid w:val="428CB9DF"/>
    <w:rsid w:val="428ED362"/>
    <w:rsid w:val="428F0D67"/>
    <w:rsid w:val="428F7CAB"/>
    <w:rsid w:val="428F9F01"/>
    <w:rsid w:val="42910E7D"/>
    <w:rsid w:val="4292E1FD"/>
    <w:rsid w:val="4294FAA2"/>
    <w:rsid w:val="4295A2DB"/>
    <w:rsid w:val="42962BD1"/>
    <w:rsid w:val="429633E2"/>
    <w:rsid w:val="4296864E"/>
    <w:rsid w:val="4296DB7E"/>
    <w:rsid w:val="429737E1"/>
    <w:rsid w:val="4297428E"/>
    <w:rsid w:val="42974AA0"/>
    <w:rsid w:val="4299EF71"/>
    <w:rsid w:val="429D4B00"/>
    <w:rsid w:val="429FB3EA"/>
    <w:rsid w:val="429FD50A"/>
    <w:rsid w:val="42A0C29D"/>
    <w:rsid w:val="42A1C3EB"/>
    <w:rsid w:val="42A2AEDE"/>
    <w:rsid w:val="42A43883"/>
    <w:rsid w:val="42A50D57"/>
    <w:rsid w:val="42A5A6EE"/>
    <w:rsid w:val="42A5E3CE"/>
    <w:rsid w:val="42A687E3"/>
    <w:rsid w:val="42A6A999"/>
    <w:rsid w:val="42A8ACA3"/>
    <w:rsid w:val="42A9D08E"/>
    <w:rsid w:val="42AA4A26"/>
    <w:rsid w:val="42AB09CB"/>
    <w:rsid w:val="42AC095E"/>
    <w:rsid w:val="42AC3A2A"/>
    <w:rsid w:val="42AD1B3D"/>
    <w:rsid w:val="42AF7E72"/>
    <w:rsid w:val="42B0A797"/>
    <w:rsid w:val="42B0E386"/>
    <w:rsid w:val="42B1252C"/>
    <w:rsid w:val="42B14632"/>
    <w:rsid w:val="42B1D7FB"/>
    <w:rsid w:val="42B20931"/>
    <w:rsid w:val="42B23440"/>
    <w:rsid w:val="42B31C9A"/>
    <w:rsid w:val="42B49175"/>
    <w:rsid w:val="42B7326C"/>
    <w:rsid w:val="42B734D7"/>
    <w:rsid w:val="42B793A3"/>
    <w:rsid w:val="42B89327"/>
    <w:rsid w:val="42B914AE"/>
    <w:rsid w:val="42B9FF07"/>
    <w:rsid w:val="42BA0EFB"/>
    <w:rsid w:val="42BABEFB"/>
    <w:rsid w:val="42BBFA43"/>
    <w:rsid w:val="42BD7C09"/>
    <w:rsid w:val="42BD91A0"/>
    <w:rsid w:val="42BF39B7"/>
    <w:rsid w:val="42BF3DA2"/>
    <w:rsid w:val="42BF5F8F"/>
    <w:rsid w:val="42C00733"/>
    <w:rsid w:val="42C023A9"/>
    <w:rsid w:val="42C07D38"/>
    <w:rsid w:val="42C0D21A"/>
    <w:rsid w:val="42C15445"/>
    <w:rsid w:val="42C3A032"/>
    <w:rsid w:val="42C423DF"/>
    <w:rsid w:val="42C48FA7"/>
    <w:rsid w:val="42C5C77E"/>
    <w:rsid w:val="42C68988"/>
    <w:rsid w:val="42C9754B"/>
    <w:rsid w:val="42CA2EEF"/>
    <w:rsid w:val="42CAA154"/>
    <w:rsid w:val="42CB0403"/>
    <w:rsid w:val="42CBBF6B"/>
    <w:rsid w:val="42CD46A8"/>
    <w:rsid w:val="42CD5515"/>
    <w:rsid w:val="42D15665"/>
    <w:rsid w:val="42D38317"/>
    <w:rsid w:val="42D3F56F"/>
    <w:rsid w:val="42D3FBF4"/>
    <w:rsid w:val="42D7DBC6"/>
    <w:rsid w:val="42D88CD5"/>
    <w:rsid w:val="42D8D40B"/>
    <w:rsid w:val="42D946CF"/>
    <w:rsid w:val="42DA8437"/>
    <w:rsid w:val="42DB0B30"/>
    <w:rsid w:val="42DB2CB5"/>
    <w:rsid w:val="42DBEAF0"/>
    <w:rsid w:val="42DCFA6D"/>
    <w:rsid w:val="42DD46C0"/>
    <w:rsid w:val="42DEC045"/>
    <w:rsid w:val="42DEE3B0"/>
    <w:rsid w:val="42DF1732"/>
    <w:rsid w:val="42DF8B13"/>
    <w:rsid w:val="42DFFFE2"/>
    <w:rsid w:val="42E16EEB"/>
    <w:rsid w:val="42E33CE0"/>
    <w:rsid w:val="42E40E22"/>
    <w:rsid w:val="42E4A88C"/>
    <w:rsid w:val="42E62687"/>
    <w:rsid w:val="42E62A8C"/>
    <w:rsid w:val="42E88968"/>
    <w:rsid w:val="42E9A6CB"/>
    <w:rsid w:val="42E9B02A"/>
    <w:rsid w:val="42EC1901"/>
    <w:rsid w:val="42ECA7BA"/>
    <w:rsid w:val="42ECAAF1"/>
    <w:rsid w:val="42EF0A77"/>
    <w:rsid w:val="42EF5885"/>
    <w:rsid w:val="42F022E8"/>
    <w:rsid w:val="42F1A92B"/>
    <w:rsid w:val="42F26381"/>
    <w:rsid w:val="42F27B8B"/>
    <w:rsid w:val="42F42E9F"/>
    <w:rsid w:val="42F6715A"/>
    <w:rsid w:val="42F6791D"/>
    <w:rsid w:val="42F78549"/>
    <w:rsid w:val="42F95EE0"/>
    <w:rsid w:val="42FA95A9"/>
    <w:rsid w:val="42FC0822"/>
    <w:rsid w:val="42FD1061"/>
    <w:rsid w:val="42FD87CA"/>
    <w:rsid w:val="42FD88D1"/>
    <w:rsid w:val="42FE2318"/>
    <w:rsid w:val="42FE2AFC"/>
    <w:rsid w:val="42FEC2FF"/>
    <w:rsid w:val="42FED036"/>
    <w:rsid w:val="42FF27CE"/>
    <w:rsid w:val="43020A4A"/>
    <w:rsid w:val="430278F4"/>
    <w:rsid w:val="4302A4BB"/>
    <w:rsid w:val="4303FFDB"/>
    <w:rsid w:val="43056CF7"/>
    <w:rsid w:val="43081F52"/>
    <w:rsid w:val="4308D7D6"/>
    <w:rsid w:val="4309166D"/>
    <w:rsid w:val="43091D84"/>
    <w:rsid w:val="430C4E26"/>
    <w:rsid w:val="430C6982"/>
    <w:rsid w:val="430CF861"/>
    <w:rsid w:val="430D5F67"/>
    <w:rsid w:val="430DD33F"/>
    <w:rsid w:val="430E8A09"/>
    <w:rsid w:val="431068E9"/>
    <w:rsid w:val="4310B7B4"/>
    <w:rsid w:val="43126B69"/>
    <w:rsid w:val="43133E35"/>
    <w:rsid w:val="43142217"/>
    <w:rsid w:val="43145718"/>
    <w:rsid w:val="4314CD14"/>
    <w:rsid w:val="4314DDFE"/>
    <w:rsid w:val="43152307"/>
    <w:rsid w:val="43156F0C"/>
    <w:rsid w:val="43166E8A"/>
    <w:rsid w:val="431679F6"/>
    <w:rsid w:val="43176467"/>
    <w:rsid w:val="4317C1DA"/>
    <w:rsid w:val="431869B1"/>
    <w:rsid w:val="43186EB7"/>
    <w:rsid w:val="4318FDB4"/>
    <w:rsid w:val="431A7159"/>
    <w:rsid w:val="431B3E6B"/>
    <w:rsid w:val="431BAD44"/>
    <w:rsid w:val="431CE1D0"/>
    <w:rsid w:val="431DA24E"/>
    <w:rsid w:val="431DFC1A"/>
    <w:rsid w:val="431E9C00"/>
    <w:rsid w:val="431FCFBF"/>
    <w:rsid w:val="43200455"/>
    <w:rsid w:val="4321037D"/>
    <w:rsid w:val="4322CF0B"/>
    <w:rsid w:val="4322D67A"/>
    <w:rsid w:val="4323E4C8"/>
    <w:rsid w:val="4326012E"/>
    <w:rsid w:val="43269524"/>
    <w:rsid w:val="432936C0"/>
    <w:rsid w:val="43299C78"/>
    <w:rsid w:val="43299F88"/>
    <w:rsid w:val="432A0B9E"/>
    <w:rsid w:val="432AD4C6"/>
    <w:rsid w:val="432AE86F"/>
    <w:rsid w:val="432BCFF2"/>
    <w:rsid w:val="432C0ABB"/>
    <w:rsid w:val="432C2F62"/>
    <w:rsid w:val="432EE6B6"/>
    <w:rsid w:val="433078B2"/>
    <w:rsid w:val="4330FF70"/>
    <w:rsid w:val="4331A279"/>
    <w:rsid w:val="43348DE8"/>
    <w:rsid w:val="4336593A"/>
    <w:rsid w:val="4336F1A6"/>
    <w:rsid w:val="43379464"/>
    <w:rsid w:val="433801CC"/>
    <w:rsid w:val="4338E82E"/>
    <w:rsid w:val="433A83F9"/>
    <w:rsid w:val="433B4991"/>
    <w:rsid w:val="433B8761"/>
    <w:rsid w:val="433BB2E6"/>
    <w:rsid w:val="433C4BB3"/>
    <w:rsid w:val="433C9EF3"/>
    <w:rsid w:val="433CB906"/>
    <w:rsid w:val="433D590B"/>
    <w:rsid w:val="433E2001"/>
    <w:rsid w:val="433F7208"/>
    <w:rsid w:val="4340FFC2"/>
    <w:rsid w:val="43416E89"/>
    <w:rsid w:val="4341A791"/>
    <w:rsid w:val="434206A9"/>
    <w:rsid w:val="43429F4E"/>
    <w:rsid w:val="43439A49"/>
    <w:rsid w:val="4343EA21"/>
    <w:rsid w:val="434489FC"/>
    <w:rsid w:val="434942C2"/>
    <w:rsid w:val="434AC96C"/>
    <w:rsid w:val="434B9FAF"/>
    <w:rsid w:val="434D9746"/>
    <w:rsid w:val="434DEF2B"/>
    <w:rsid w:val="434DFD4F"/>
    <w:rsid w:val="434E31CC"/>
    <w:rsid w:val="434FA200"/>
    <w:rsid w:val="43500606"/>
    <w:rsid w:val="43508B5E"/>
    <w:rsid w:val="43518E3A"/>
    <w:rsid w:val="435272F4"/>
    <w:rsid w:val="4352FBBB"/>
    <w:rsid w:val="43545B1E"/>
    <w:rsid w:val="4354660C"/>
    <w:rsid w:val="43559C3B"/>
    <w:rsid w:val="435711B2"/>
    <w:rsid w:val="4358A54D"/>
    <w:rsid w:val="43597FF6"/>
    <w:rsid w:val="435B2EB2"/>
    <w:rsid w:val="435B8071"/>
    <w:rsid w:val="435BE1DA"/>
    <w:rsid w:val="435EBBC1"/>
    <w:rsid w:val="43600A56"/>
    <w:rsid w:val="4360CE69"/>
    <w:rsid w:val="4361BC89"/>
    <w:rsid w:val="436335B8"/>
    <w:rsid w:val="43657CE4"/>
    <w:rsid w:val="436621FE"/>
    <w:rsid w:val="4367546B"/>
    <w:rsid w:val="43675641"/>
    <w:rsid w:val="4369250E"/>
    <w:rsid w:val="436A2971"/>
    <w:rsid w:val="436A4D64"/>
    <w:rsid w:val="436B4C51"/>
    <w:rsid w:val="436BCB85"/>
    <w:rsid w:val="436C904B"/>
    <w:rsid w:val="436CCC4E"/>
    <w:rsid w:val="436CF6A4"/>
    <w:rsid w:val="436D62B1"/>
    <w:rsid w:val="436DDB39"/>
    <w:rsid w:val="4371322D"/>
    <w:rsid w:val="4372173C"/>
    <w:rsid w:val="4373A419"/>
    <w:rsid w:val="43746AAE"/>
    <w:rsid w:val="4375EF1F"/>
    <w:rsid w:val="4376F82F"/>
    <w:rsid w:val="4377C086"/>
    <w:rsid w:val="4377F4F9"/>
    <w:rsid w:val="4378A71F"/>
    <w:rsid w:val="4379B0F2"/>
    <w:rsid w:val="4379F625"/>
    <w:rsid w:val="437A4583"/>
    <w:rsid w:val="437A60B6"/>
    <w:rsid w:val="437AC538"/>
    <w:rsid w:val="437D7F40"/>
    <w:rsid w:val="437E63FD"/>
    <w:rsid w:val="437F0E91"/>
    <w:rsid w:val="43808770"/>
    <w:rsid w:val="4381A844"/>
    <w:rsid w:val="43826EBB"/>
    <w:rsid w:val="43827584"/>
    <w:rsid w:val="43834892"/>
    <w:rsid w:val="4384BEDA"/>
    <w:rsid w:val="4386B5A5"/>
    <w:rsid w:val="438895DE"/>
    <w:rsid w:val="4388E607"/>
    <w:rsid w:val="4389B73E"/>
    <w:rsid w:val="438BAABC"/>
    <w:rsid w:val="438CF825"/>
    <w:rsid w:val="438CF98D"/>
    <w:rsid w:val="438DA181"/>
    <w:rsid w:val="438DAD92"/>
    <w:rsid w:val="438DC1D3"/>
    <w:rsid w:val="43902B53"/>
    <w:rsid w:val="43903448"/>
    <w:rsid w:val="439042BA"/>
    <w:rsid w:val="43912CF3"/>
    <w:rsid w:val="43917B23"/>
    <w:rsid w:val="43919F09"/>
    <w:rsid w:val="43933F8E"/>
    <w:rsid w:val="43937E34"/>
    <w:rsid w:val="4395CF18"/>
    <w:rsid w:val="43968B5D"/>
    <w:rsid w:val="43985454"/>
    <w:rsid w:val="43988E1C"/>
    <w:rsid w:val="4398B2AF"/>
    <w:rsid w:val="439902A9"/>
    <w:rsid w:val="4399D4FB"/>
    <w:rsid w:val="439A1C8A"/>
    <w:rsid w:val="439CE6CF"/>
    <w:rsid w:val="439EC4E3"/>
    <w:rsid w:val="439EF5ED"/>
    <w:rsid w:val="439FBA59"/>
    <w:rsid w:val="43A05B16"/>
    <w:rsid w:val="43A0820E"/>
    <w:rsid w:val="43A116BB"/>
    <w:rsid w:val="43A1FBF1"/>
    <w:rsid w:val="43A2B814"/>
    <w:rsid w:val="43A4ADB1"/>
    <w:rsid w:val="43A54792"/>
    <w:rsid w:val="43A5DF42"/>
    <w:rsid w:val="43A6DA2A"/>
    <w:rsid w:val="43A7162B"/>
    <w:rsid w:val="43A71BC5"/>
    <w:rsid w:val="43A7503E"/>
    <w:rsid w:val="43A85791"/>
    <w:rsid w:val="43A8D2F1"/>
    <w:rsid w:val="43A9F85B"/>
    <w:rsid w:val="43AC516C"/>
    <w:rsid w:val="43AD025D"/>
    <w:rsid w:val="43AE1FBC"/>
    <w:rsid w:val="43AE5D4D"/>
    <w:rsid w:val="43B03287"/>
    <w:rsid w:val="43B34040"/>
    <w:rsid w:val="43B71568"/>
    <w:rsid w:val="43B7AA3C"/>
    <w:rsid w:val="43B823BC"/>
    <w:rsid w:val="43B9A897"/>
    <w:rsid w:val="43BA0876"/>
    <w:rsid w:val="43BBD7AF"/>
    <w:rsid w:val="43BC3899"/>
    <w:rsid w:val="43BEAE6D"/>
    <w:rsid w:val="43BEBD28"/>
    <w:rsid w:val="43BFB61B"/>
    <w:rsid w:val="43BFC640"/>
    <w:rsid w:val="43BFDA30"/>
    <w:rsid w:val="43C13AE7"/>
    <w:rsid w:val="43C14B48"/>
    <w:rsid w:val="43C4AAF6"/>
    <w:rsid w:val="43C61B44"/>
    <w:rsid w:val="43CA043D"/>
    <w:rsid w:val="43CC1A51"/>
    <w:rsid w:val="43CFDE31"/>
    <w:rsid w:val="43D04D90"/>
    <w:rsid w:val="43D2E623"/>
    <w:rsid w:val="43D3041B"/>
    <w:rsid w:val="43D31579"/>
    <w:rsid w:val="43D3ABD9"/>
    <w:rsid w:val="43D3DA8B"/>
    <w:rsid w:val="43D41910"/>
    <w:rsid w:val="43D453B5"/>
    <w:rsid w:val="43D4F86B"/>
    <w:rsid w:val="43D77C33"/>
    <w:rsid w:val="43D79A76"/>
    <w:rsid w:val="43D968F2"/>
    <w:rsid w:val="43DA3F7E"/>
    <w:rsid w:val="43DA5965"/>
    <w:rsid w:val="43DAF673"/>
    <w:rsid w:val="43DBBC25"/>
    <w:rsid w:val="43DD2E63"/>
    <w:rsid w:val="43DD64AF"/>
    <w:rsid w:val="43DE1C88"/>
    <w:rsid w:val="43DE7B19"/>
    <w:rsid w:val="43DF4E08"/>
    <w:rsid w:val="43DF94AF"/>
    <w:rsid w:val="43DFC9E4"/>
    <w:rsid w:val="43E01455"/>
    <w:rsid w:val="43E11C98"/>
    <w:rsid w:val="43E1B35D"/>
    <w:rsid w:val="43E207A4"/>
    <w:rsid w:val="43E2E281"/>
    <w:rsid w:val="43E33B62"/>
    <w:rsid w:val="43E49F47"/>
    <w:rsid w:val="43E4BBB8"/>
    <w:rsid w:val="43E5694D"/>
    <w:rsid w:val="43E5B1B1"/>
    <w:rsid w:val="43E71EC4"/>
    <w:rsid w:val="43E77F02"/>
    <w:rsid w:val="43E7BF40"/>
    <w:rsid w:val="43E97FD1"/>
    <w:rsid w:val="43EDBBF8"/>
    <w:rsid w:val="43EE5346"/>
    <w:rsid w:val="43EE8683"/>
    <w:rsid w:val="43F04C8B"/>
    <w:rsid w:val="43F0705E"/>
    <w:rsid w:val="43F17B4E"/>
    <w:rsid w:val="43F180C7"/>
    <w:rsid w:val="43F22860"/>
    <w:rsid w:val="43F2309E"/>
    <w:rsid w:val="43F26524"/>
    <w:rsid w:val="43F3DDD8"/>
    <w:rsid w:val="43F4668A"/>
    <w:rsid w:val="43F48C3E"/>
    <w:rsid w:val="43F501CF"/>
    <w:rsid w:val="43F6BE74"/>
    <w:rsid w:val="43F7E1DE"/>
    <w:rsid w:val="43FA215D"/>
    <w:rsid w:val="43FA7290"/>
    <w:rsid w:val="43FB4196"/>
    <w:rsid w:val="43FBB981"/>
    <w:rsid w:val="43FC1155"/>
    <w:rsid w:val="43FD215E"/>
    <w:rsid w:val="43FD6CA8"/>
    <w:rsid w:val="43FDD521"/>
    <w:rsid w:val="43FF8AA0"/>
    <w:rsid w:val="43FFA8EE"/>
    <w:rsid w:val="4402460F"/>
    <w:rsid w:val="4402952A"/>
    <w:rsid w:val="44031C4E"/>
    <w:rsid w:val="4403D2AE"/>
    <w:rsid w:val="4404F901"/>
    <w:rsid w:val="4406E7CB"/>
    <w:rsid w:val="4407A9A5"/>
    <w:rsid w:val="440A9131"/>
    <w:rsid w:val="440AD96E"/>
    <w:rsid w:val="440B398E"/>
    <w:rsid w:val="440BC441"/>
    <w:rsid w:val="440C5A6C"/>
    <w:rsid w:val="440D24D6"/>
    <w:rsid w:val="440DBB67"/>
    <w:rsid w:val="440DC636"/>
    <w:rsid w:val="440E4D24"/>
    <w:rsid w:val="440EEC28"/>
    <w:rsid w:val="441043CC"/>
    <w:rsid w:val="44112D94"/>
    <w:rsid w:val="4411FAB7"/>
    <w:rsid w:val="44135582"/>
    <w:rsid w:val="4414E7C2"/>
    <w:rsid w:val="441597FB"/>
    <w:rsid w:val="44168C23"/>
    <w:rsid w:val="4417A937"/>
    <w:rsid w:val="44189880"/>
    <w:rsid w:val="44199956"/>
    <w:rsid w:val="4419EBAD"/>
    <w:rsid w:val="441A1C82"/>
    <w:rsid w:val="441A5C2E"/>
    <w:rsid w:val="441B1D1D"/>
    <w:rsid w:val="441BB8EA"/>
    <w:rsid w:val="441C3306"/>
    <w:rsid w:val="441E107D"/>
    <w:rsid w:val="44207132"/>
    <w:rsid w:val="4420E6A0"/>
    <w:rsid w:val="4421A8B5"/>
    <w:rsid w:val="4422481D"/>
    <w:rsid w:val="4423156D"/>
    <w:rsid w:val="4423AD60"/>
    <w:rsid w:val="4423CE06"/>
    <w:rsid w:val="44246101"/>
    <w:rsid w:val="4426F054"/>
    <w:rsid w:val="44281A2F"/>
    <w:rsid w:val="4428B944"/>
    <w:rsid w:val="442A2364"/>
    <w:rsid w:val="442A637C"/>
    <w:rsid w:val="442AA6CD"/>
    <w:rsid w:val="442ABC4C"/>
    <w:rsid w:val="442C4061"/>
    <w:rsid w:val="442CC964"/>
    <w:rsid w:val="442DC559"/>
    <w:rsid w:val="442E2656"/>
    <w:rsid w:val="442F4D3C"/>
    <w:rsid w:val="44302308"/>
    <w:rsid w:val="4430BB7A"/>
    <w:rsid w:val="4432636D"/>
    <w:rsid w:val="443581B2"/>
    <w:rsid w:val="443729C6"/>
    <w:rsid w:val="443ADB11"/>
    <w:rsid w:val="443CF876"/>
    <w:rsid w:val="443D25F6"/>
    <w:rsid w:val="443D7354"/>
    <w:rsid w:val="443EF8C5"/>
    <w:rsid w:val="4441AECD"/>
    <w:rsid w:val="4441F8FF"/>
    <w:rsid w:val="44431959"/>
    <w:rsid w:val="44443EE3"/>
    <w:rsid w:val="44450E42"/>
    <w:rsid w:val="444518C2"/>
    <w:rsid w:val="44462C93"/>
    <w:rsid w:val="44495C69"/>
    <w:rsid w:val="444AC582"/>
    <w:rsid w:val="444AF329"/>
    <w:rsid w:val="444BE5A9"/>
    <w:rsid w:val="44504B2D"/>
    <w:rsid w:val="44517EA6"/>
    <w:rsid w:val="4451CA28"/>
    <w:rsid w:val="4452EDA5"/>
    <w:rsid w:val="445336A6"/>
    <w:rsid w:val="44550BC0"/>
    <w:rsid w:val="445EBADB"/>
    <w:rsid w:val="4461C664"/>
    <w:rsid w:val="4461F07A"/>
    <w:rsid w:val="44635206"/>
    <w:rsid w:val="44638730"/>
    <w:rsid w:val="44641706"/>
    <w:rsid w:val="44645D11"/>
    <w:rsid w:val="446732E9"/>
    <w:rsid w:val="4468314E"/>
    <w:rsid w:val="4468EB7A"/>
    <w:rsid w:val="44693EED"/>
    <w:rsid w:val="446A8264"/>
    <w:rsid w:val="446C7E4F"/>
    <w:rsid w:val="446D6C10"/>
    <w:rsid w:val="446DCA5A"/>
    <w:rsid w:val="446E61CD"/>
    <w:rsid w:val="446EB4F2"/>
    <w:rsid w:val="44707623"/>
    <w:rsid w:val="44723CBA"/>
    <w:rsid w:val="44749395"/>
    <w:rsid w:val="4474B552"/>
    <w:rsid w:val="4476DB1A"/>
    <w:rsid w:val="44772FCE"/>
    <w:rsid w:val="44776DF5"/>
    <w:rsid w:val="44792E7B"/>
    <w:rsid w:val="4479BE9B"/>
    <w:rsid w:val="447A92E9"/>
    <w:rsid w:val="447B910D"/>
    <w:rsid w:val="447BCE79"/>
    <w:rsid w:val="447BE7F9"/>
    <w:rsid w:val="447C1E48"/>
    <w:rsid w:val="447C3ABC"/>
    <w:rsid w:val="447CC7C2"/>
    <w:rsid w:val="447E99CE"/>
    <w:rsid w:val="447FAE10"/>
    <w:rsid w:val="4480140C"/>
    <w:rsid w:val="44808A55"/>
    <w:rsid w:val="44815D9D"/>
    <w:rsid w:val="44835435"/>
    <w:rsid w:val="4483FDDF"/>
    <w:rsid w:val="44841570"/>
    <w:rsid w:val="4484E380"/>
    <w:rsid w:val="4485985E"/>
    <w:rsid w:val="4486BE36"/>
    <w:rsid w:val="4486E019"/>
    <w:rsid w:val="448A52E3"/>
    <w:rsid w:val="448BA1E2"/>
    <w:rsid w:val="448D4191"/>
    <w:rsid w:val="448E0DC9"/>
    <w:rsid w:val="448EBD55"/>
    <w:rsid w:val="448EDE6C"/>
    <w:rsid w:val="448EDF00"/>
    <w:rsid w:val="448EF1A5"/>
    <w:rsid w:val="44902B1D"/>
    <w:rsid w:val="4491C9F7"/>
    <w:rsid w:val="44936E74"/>
    <w:rsid w:val="4493ADA3"/>
    <w:rsid w:val="44940B32"/>
    <w:rsid w:val="44946E6E"/>
    <w:rsid w:val="44955A72"/>
    <w:rsid w:val="4495E186"/>
    <w:rsid w:val="44967167"/>
    <w:rsid w:val="44972104"/>
    <w:rsid w:val="44977979"/>
    <w:rsid w:val="4497CBD1"/>
    <w:rsid w:val="449918E9"/>
    <w:rsid w:val="4499EA5D"/>
    <w:rsid w:val="4499F5D7"/>
    <w:rsid w:val="449BBD16"/>
    <w:rsid w:val="449CC027"/>
    <w:rsid w:val="449F62EC"/>
    <w:rsid w:val="44A07F17"/>
    <w:rsid w:val="44A08D2F"/>
    <w:rsid w:val="44A1B501"/>
    <w:rsid w:val="44A354DC"/>
    <w:rsid w:val="44A3DE47"/>
    <w:rsid w:val="44A523F0"/>
    <w:rsid w:val="44A5F23E"/>
    <w:rsid w:val="44A64E60"/>
    <w:rsid w:val="44A67D61"/>
    <w:rsid w:val="44A6E2C4"/>
    <w:rsid w:val="44A6E640"/>
    <w:rsid w:val="44A7A880"/>
    <w:rsid w:val="44A87DD7"/>
    <w:rsid w:val="44A88301"/>
    <w:rsid w:val="44A8BA74"/>
    <w:rsid w:val="44AA187D"/>
    <w:rsid w:val="44AA6A1A"/>
    <w:rsid w:val="44AAFF4B"/>
    <w:rsid w:val="44AC5923"/>
    <w:rsid w:val="44AC943E"/>
    <w:rsid w:val="44ADBB01"/>
    <w:rsid w:val="44AE7E9C"/>
    <w:rsid w:val="44B0A346"/>
    <w:rsid w:val="44B0A7B1"/>
    <w:rsid w:val="44B1CFD0"/>
    <w:rsid w:val="44B33AD5"/>
    <w:rsid w:val="44B3F4D3"/>
    <w:rsid w:val="44B78F59"/>
    <w:rsid w:val="44B87D51"/>
    <w:rsid w:val="44BBC1C7"/>
    <w:rsid w:val="44BE6571"/>
    <w:rsid w:val="44BF7468"/>
    <w:rsid w:val="44BF9B2E"/>
    <w:rsid w:val="44C0807D"/>
    <w:rsid w:val="44C0F891"/>
    <w:rsid w:val="44C1D1E3"/>
    <w:rsid w:val="44C23E06"/>
    <w:rsid w:val="44C307A2"/>
    <w:rsid w:val="44C452D6"/>
    <w:rsid w:val="44C5AC0F"/>
    <w:rsid w:val="44C67CBA"/>
    <w:rsid w:val="44C710AF"/>
    <w:rsid w:val="44CA3C25"/>
    <w:rsid w:val="44CC5B9E"/>
    <w:rsid w:val="44CECED1"/>
    <w:rsid w:val="44CEEB77"/>
    <w:rsid w:val="44CFDC49"/>
    <w:rsid w:val="44D0F68F"/>
    <w:rsid w:val="44D182D3"/>
    <w:rsid w:val="44D30641"/>
    <w:rsid w:val="44D361DC"/>
    <w:rsid w:val="44D3D115"/>
    <w:rsid w:val="44D4E620"/>
    <w:rsid w:val="44D5C960"/>
    <w:rsid w:val="44D649CB"/>
    <w:rsid w:val="44D6654B"/>
    <w:rsid w:val="44D7DC4A"/>
    <w:rsid w:val="44D84C6B"/>
    <w:rsid w:val="44D90089"/>
    <w:rsid w:val="44D9CB82"/>
    <w:rsid w:val="44D9E334"/>
    <w:rsid w:val="44DA4C49"/>
    <w:rsid w:val="44DACAEE"/>
    <w:rsid w:val="44DC03C4"/>
    <w:rsid w:val="44DC0701"/>
    <w:rsid w:val="44DC6EDD"/>
    <w:rsid w:val="44DE2946"/>
    <w:rsid w:val="44DF4372"/>
    <w:rsid w:val="44E0153B"/>
    <w:rsid w:val="44E029C4"/>
    <w:rsid w:val="44E057E4"/>
    <w:rsid w:val="44E24FD4"/>
    <w:rsid w:val="44E251A3"/>
    <w:rsid w:val="44E271C1"/>
    <w:rsid w:val="44E33C0D"/>
    <w:rsid w:val="44E56FE0"/>
    <w:rsid w:val="44E5E802"/>
    <w:rsid w:val="44E65FC8"/>
    <w:rsid w:val="44E6C5A0"/>
    <w:rsid w:val="44E87C04"/>
    <w:rsid w:val="44EA29D5"/>
    <w:rsid w:val="44EB399F"/>
    <w:rsid w:val="44ED0A31"/>
    <w:rsid w:val="44EDF38B"/>
    <w:rsid w:val="44EF52DD"/>
    <w:rsid w:val="44EF8B67"/>
    <w:rsid w:val="44F167F2"/>
    <w:rsid w:val="44F1EF3F"/>
    <w:rsid w:val="44F33958"/>
    <w:rsid w:val="44F432D6"/>
    <w:rsid w:val="44F4886C"/>
    <w:rsid w:val="44F4A5F4"/>
    <w:rsid w:val="44F50F8B"/>
    <w:rsid w:val="44F992B0"/>
    <w:rsid w:val="44FAAC71"/>
    <w:rsid w:val="44FAC076"/>
    <w:rsid w:val="44FB92B1"/>
    <w:rsid w:val="44FC1C2A"/>
    <w:rsid w:val="44FC7FD4"/>
    <w:rsid w:val="44FCE3B1"/>
    <w:rsid w:val="44FD2F8B"/>
    <w:rsid w:val="45000221"/>
    <w:rsid w:val="45005813"/>
    <w:rsid w:val="45013223"/>
    <w:rsid w:val="45022D70"/>
    <w:rsid w:val="45036C5B"/>
    <w:rsid w:val="4504BA58"/>
    <w:rsid w:val="450542CC"/>
    <w:rsid w:val="450BC079"/>
    <w:rsid w:val="450BC92D"/>
    <w:rsid w:val="450C3034"/>
    <w:rsid w:val="450DA96F"/>
    <w:rsid w:val="450EB7AB"/>
    <w:rsid w:val="450F757C"/>
    <w:rsid w:val="45119F8F"/>
    <w:rsid w:val="45122563"/>
    <w:rsid w:val="4512D4E9"/>
    <w:rsid w:val="451414D6"/>
    <w:rsid w:val="4516EFA8"/>
    <w:rsid w:val="4517E361"/>
    <w:rsid w:val="4518A2A3"/>
    <w:rsid w:val="4518E955"/>
    <w:rsid w:val="4519BB1D"/>
    <w:rsid w:val="4519D13D"/>
    <w:rsid w:val="4519E38E"/>
    <w:rsid w:val="451A8EEE"/>
    <w:rsid w:val="451A9A8C"/>
    <w:rsid w:val="451ABC3A"/>
    <w:rsid w:val="451AF7FD"/>
    <w:rsid w:val="451B666A"/>
    <w:rsid w:val="451C3493"/>
    <w:rsid w:val="451DA618"/>
    <w:rsid w:val="451DB501"/>
    <w:rsid w:val="451DE20E"/>
    <w:rsid w:val="451EFEEE"/>
    <w:rsid w:val="451F3880"/>
    <w:rsid w:val="451FBE91"/>
    <w:rsid w:val="452058D6"/>
    <w:rsid w:val="452108D5"/>
    <w:rsid w:val="4521A491"/>
    <w:rsid w:val="45226224"/>
    <w:rsid w:val="45255E16"/>
    <w:rsid w:val="4525F19D"/>
    <w:rsid w:val="4525FAFA"/>
    <w:rsid w:val="452747F3"/>
    <w:rsid w:val="45275244"/>
    <w:rsid w:val="4527582C"/>
    <w:rsid w:val="4528891E"/>
    <w:rsid w:val="45289A54"/>
    <w:rsid w:val="4529296F"/>
    <w:rsid w:val="452A24BB"/>
    <w:rsid w:val="452A2D2E"/>
    <w:rsid w:val="452A44F0"/>
    <w:rsid w:val="452A92F7"/>
    <w:rsid w:val="452B3F93"/>
    <w:rsid w:val="452C5E9F"/>
    <w:rsid w:val="452CA6CC"/>
    <w:rsid w:val="452ECDAB"/>
    <w:rsid w:val="452FD18C"/>
    <w:rsid w:val="4530409A"/>
    <w:rsid w:val="45304826"/>
    <w:rsid w:val="453089FC"/>
    <w:rsid w:val="4530C38B"/>
    <w:rsid w:val="453102C8"/>
    <w:rsid w:val="45312718"/>
    <w:rsid w:val="45319098"/>
    <w:rsid w:val="453435A7"/>
    <w:rsid w:val="4534DA27"/>
    <w:rsid w:val="4534FEF1"/>
    <w:rsid w:val="45350BD8"/>
    <w:rsid w:val="4535A55A"/>
    <w:rsid w:val="45362DAF"/>
    <w:rsid w:val="45367B2C"/>
    <w:rsid w:val="453CE038"/>
    <w:rsid w:val="453D005A"/>
    <w:rsid w:val="453D322E"/>
    <w:rsid w:val="453DDE71"/>
    <w:rsid w:val="453DF587"/>
    <w:rsid w:val="453DFA00"/>
    <w:rsid w:val="453E63CA"/>
    <w:rsid w:val="453F2EA2"/>
    <w:rsid w:val="453F866C"/>
    <w:rsid w:val="45417394"/>
    <w:rsid w:val="4543A999"/>
    <w:rsid w:val="4544331B"/>
    <w:rsid w:val="45443823"/>
    <w:rsid w:val="4544F532"/>
    <w:rsid w:val="45450495"/>
    <w:rsid w:val="45465FEF"/>
    <w:rsid w:val="4546686F"/>
    <w:rsid w:val="454745B9"/>
    <w:rsid w:val="454755B4"/>
    <w:rsid w:val="4549842B"/>
    <w:rsid w:val="4549B622"/>
    <w:rsid w:val="454A6ADE"/>
    <w:rsid w:val="454A7513"/>
    <w:rsid w:val="454AFC3B"/>
    <w:rsid w:val="454BEC15"/>
    <w:rsid w:val="454CA86C"/>
    <w:rsid w:val="454D536F"/>
    <w:rsid w:val="454ED649"/>
    <w:rsid w:val="454EE4B6"/>
    <w:rsid w:val="454FDA67"/>
    <w:rsid w:val="45517996"/>
    <w:rsid w:val="4551F98C"/>
    <w:rsid w:val="45529916"/>
    <w:rsid w:val="45547800"/>
    <w:rsid w:val="4555F4D5"/>
    <w:rsid w:val="4556482E"/>
    <w:rsid w:val="455A8B30"/>
    <w:rsid w:val="455AF256"/>
    <w:rsid w:val="455B62CF"/>
    <w:rsid w:val="455B65B3"/>
    <w:rsid w:val="455B6695"/>
    <w:rsid w:val="455BE54F"/>
    <w:rsid w:val="455C591F"/>
    <w:rsid w:val="455D5469"/>
    <w:rsid w:val="455D5687"/>
    <w:rsid w:val="455DF5F1"/>
    <w:rsid w:val="4561B494"/>
    <w:rsid w:val="4561B581"/>
    <w:rsid w:val="45643DF1"/>
    <w:rsid w:val="45645490"/>
    <w:rsid w:val="4564CE62"/>
    <w:rsid w:val="4565CB7C"/>
    <w:rsid w:val="4566A36E"/>
    <w:rsid w:val="4566BD00"/>
    <w:rsid w:val="4566E4F4"/>
    <w:rsid w:val="45671D9E"/>
    <w:rsid w:val="45678DD5"/>
    <w:rsid w:val="4567A266"/>
    <w:rsid w:val="4568B12C"/>
    <w:rsid w:val="4568C32A"/>
    <w:rsid w:val="456975D9"/>
    <w:rsid w:val="4569BB4F"/>
    <w:rsid w:val="456A4550"/>
    <w:rsid w:val="456B02CF"/>
    <w:rsid w:val="456B8366"/>
    <w:rsid w:val="456B870B"/>
    <w:rsid w:val="456BBED3"/>
    <w:rsid w:val="456C074A"/>
    <w:rsid w:val="456C696D"/>
    <w:rsid w:val="456C6EC5"/>
    <w:rsid w:val="456D2F62"/>
    <w:rsid w:val="456E27A7"/>
    <w:rsid w:val="456EFE15"/>
    <w:rsid w:val="456F18E0"/>
    <w:rsid w:val="4570185A"/>
    <w:rsid w:val="45728584"/>
    <w:rsid w:val="4572ADF0"/>
    <w:rsid w:val="4573B1A6"/>
    <w:rsid w:val="457416D9"/>
    <w:rsid w:val="45758870"/>
    <w:rsid w:val="4578D38B"/>
    <w:rsid w:val="457954DA"/>
    <w:rsid w:val="457A0ABA"/>
    <w:rsid w:val="457A101E"/>
    <w:rsid w:val="457A22A9"/>
    <w:rsid w:val="457A2350"/>
    <w:rsid w:val="457A44CC"/>
    <w:rsid w:val="457A777B"/>
    <w:rsid w:val="457AB2FA"/>
    <w:rsid w:val="457D7D50"/>
    <w:rsid w:val="457DD1C3"/>
    <w:rsid w:val="458003DF"/>
    <w:rsid w:val="458367CF"/>
    <w:rsid w:val="4584770A"/>
    <w:rsid w:val="45849695"/>
    <w:rsid w:val="4584AA79"/>
    <w:rsid w:val="4587AF4D"/>
    <w:rsid w:val="45880381"/>
    <w:rsid w:val="45888617"/>
    <w:rsid w:val="45889773"/>
    <w:rsid w:val="458955E3"/>
    <w:rsid w:val="4589BCC2"/>
    <w:rsid w:val="458A5B63"/>
    <w:rsid w:val="458B98CC"/>
    <w:rsid w:val="458BBA3E"/>
    <w:rsid w:val="458D8E33"/>
    <w:rsid w:val="458DAAA3"/>
    <w:rsid w:val="458E8EC4"/>
    <w:rsid w:val="458ED308"/>
    <w:rsid w:val="458F4EE2"/>
    <w:rsid w:val="4590D365"/>
    <w:rsid w:val="4590E957"/>
    <w:rsid w:val="45914AD7"/>
    <w:rsid w:val="45928ED5"/>
    <w:rsid w:val="45929C71"/>
    <w:rsid w:val="4593B95D"/>
    <w:rsid w:val="45941CF4"/>
    <w:rsid w:val="45979E24"/>
    <w:rsid w:val="459984EE"/>
    <w:rsid w:val="459B29E1"/>
    <w:rsid w:val="459BCEEB"/>
    <w:rsid w:val="459BF43C"/>
    <w:rsid w:val="459D0C22"/>
    <w:rsid w:val="459DD044"/>
    <w:rsid w:val="459E1B17"/>
    <w:rsid w:val="459E76CD"/>
    <w:rsid w:val="45A0034B"/>
    <w:rsid w:val="45A0DEA1"/>
    <w:rsid w:val="45A10014"/>
    <w:rsid w:val="45A11EF2"/>
    <w:rsid w:val="45A128BC"/>
    <w:rsid w:val="45A19B47"/>
    <w:rsid w:val="45A20137"/>
    <w:rsid w:val="45A20788"/>
    <w:rsid w:val="45A3004E"/>
    <w:rsid w:val="45A3F7FC"/>
    <w:rsid w:val="45A572B3"/>
    <w:rsid w:val="45A5A949"/>
    <w:rsid w:val="45A6E127"/>
    <w:rsid w:val="45A7DAE8"/>
    <w:rsid w:val="45A91B88"/>
    <w:rsid w:val="45A968A7"/>
    <w:rsid w:val="45AA64EB"/>
    <w:rsid w:val="45ABBC21"/>
    <w:rsid w:val="45AD27A8"/>
    <w:rsid w:val="45AECB97"/>
    <w:rsid w:val="45B2C5A1"/>
    <w:rsid w:val="45B3F659"/>
    <w:rsid w:val="45B5DA08"/>
    <w:rsid w:val="45B5F26B"/>
    <w:rsid w:val="45B7F3C1"/>
    <w:rsid w:val="45B8BBA9"/>
    <w:rsid w:val="45B8D2AF"/>
    <w:rsid w:val="45BA557F"/>
    <w:rsid w:val="45BB45EF"/>
    <w:rsid w:val="45BB99EA"/>
    <w:rsid w:val="45BBD6E3"/>
    <w:rsid w:val="45BD80A0"/>
    <w:rsid w:val="45BE8151"/>
    <w:rsid w:val="45BE95B5"/>
    <w:rsid w:val="45BF2B85"/>
    <w:rsid w:val="45BF2D25"/>
    <w:rsid w:val="45BFF451"/>
    <w:rsid w:val="45C06B7D"/>
    <w:rsid w:val="45C0A750"/>
    <w:rsid w:val="45C0E7EB"/>
    <w:rsid w:val="45C10C1C"/>
    <w:rsid w:val="45C1304F"/>
    <w:rsid w:val="45C2E13B"/>
    <w:rsid w:val="45C664A6"/>
    <w:rsid w:val="45C6DB94"/>
    <w:rsid w:val="45C796C5"/>
    <w:rsid w:val="45C8DCB1"/>
    <w:rsid w:val="45C90DB2"/>
    <w:rsid w:val="45CC3C1A"/>
    <w:rsid w:val="45CC6EA6"/>
    <w:rsid w:val="45CD2129"/>
    <w:rsid w:val="45CE944C"/>
    <w:rsid w:val="45CEE3B4"/>
    <w:rsid w:val="45CF8159"/>
    <w:rsid w:val="45D0376B"/>
    <w:rsid w:val="45D1B983"/>
    <w:rsid w:val="45D2DC17"/>
    <w:rsid w:val="45D3B385"/>
    <w:rsid w:val="45D45AC5"/>
    <w:rsid w:val="45D54EC7"/>
    <w:rsid w:val="45D57FAB"/>
    <w:rsid w:val="45D8B184"/>
    <w:rsid w:val="45DB0462"/>
    <w:rsid w:val="45DB64A2"/>
    <w:rsid w:val="45DCF809"/>
    <w:rsid w:val="45DD3B3D"/>
    <w:rsid w:val="45DD6379"/>
    <w:rsid w:val="45DD74F6"/>
    <w:rsid w:val="45DDFA12"/>
    <w:rsid w:val="45DF298C"/>
    <w:rsid w:val="45DF383E"/>
    <w:rsid w:val="45DF7C37"/>
    <w:rsid w:val="45E08AA6"/>
    <w:rsid w:val="45E173A3"/>
    <w:rsid w:val="45E1F474"/>
    <w:rsid w:val="45E31529"/>
    <w:rsid w:val="45E32518"/>
    <w:rsid w:val="45E3E0AB"/>
    <w:rsid w:val="45E3FA48"/>
    <w:rsid w:val="45E3FDE8"/>
    <w:rsid w:val="45E476E7"/>
    <w:rsid w:val="45E497CC"/>
    <w:rsid w:val="45E5B0B6"/>
    <w:rsid w:val="45E737F0"/>
    <w:rsid w:val="45EA2CBC"/>
    <w:rsid w:val="45EB6BB9"/>
    <w:rsid w:val="45ED2D22"/>
    <w:rsid w:val="45EF3121"/>
    <w:rsid w:val="45F0FABC"/>
    <w:rsid w:val="45F22A44"/>
    <w:rsid w:val="45F3417C"/>
    <w:rsid w:val="45F3C400"/>
    <w:rsid w:val="45F67A84"/>
    <w:rsid w:val="45F693C4"/>
    <w:rsid w:val="45F71945"/>
    <w:rsid w:val="45F7BF37"/>
    <w:rsid w:val="45F80ADC"/>
    <w:rsid w:val="45F87050"/>
    <w:rsid w:val="45F9555F"/>
    <w:rsid w:val="45FBF4F8"/>
    <w:rsid w:val="45FC0533"/>
    <w:rsid w:val="45FC0DF2"/>
    <w:rsid w:val="45FC5D47"/>
    <w:rsid w:val="45FCC644"/>
    <w:rsid w:val="45FD066A"/>
    <w:rsid w:val="45FE1A17"/>
    <w:rsid w:val="45FE2793"/>
    <w:rsid w:val="45FEE1DD"/>
    <w:rsid w:val="45FF736C"/>
    <w:rsid w:val="46001A93"/>
    <w:rsid w:val="46013E74"/>
    <w:rsid w:val="4602F4F8"/>
    <w:rsid w:val="460354A4"/>
    <w:rsid w:val="46036DAE"/>
    <w:rsid w:val="460472F4"/>
    <w:rsid w:val="4605E67E"/>
    <w:rsid w:val="4605FDD1"/>
    <w:rsid w:val="46074D46"/>
    <w:rsid w:val="46081BE6"/>
    <w:rsid w:val="4608BAD2"/>
    <w:rsid w:val="460A691C"/>
    <w:rsid w:val="460C46E8"/>
    <w:rsid w:val="460CB3B2"/>
    <w:rsid w:val="460D1A18"/>
    <w:rsid w:val="460D5AB8"/>
    <w:rsid w:val="460DFBEF"/>
    <w:rsid w:val="460E7BFD"/>
    <w:rsid w:val="460EC133"/>
    <w:rsid w:val="460EC2EB"/>
    <w:rsid w:val="460FB7B7"/>
    <w:rsid w:val="46132068"/>
    <w:rsid w:val="4613520E"/>
    <w:rsid w:val="4614EB15"/>
    <w:rsid w:val="46153ED2"/>
    <w:rsid w:val="4615A379"/>
    <w:rsid w:val="4615C886"/>
    <w:rsid w:val="461667AD"/>
    <w:rsid w:val="46169BC5"/>
    <w:rsid w:val="4617B85A"/>
    <w:rsid w:val="4617FFD5"/>
    <w:rsid w:val="46194034"/>
    <w:rsid w:val="461A1603"/>
    <w:rsid w:val="461C03A1"/>
    <w:rsid w:val="461EB987"/>
    <w:rsid w:val="461EBE37"/>
    <w:rsid w:val="461F2496"/>
    <w:rsid w:val="4622AC0E"/>
    <w:rsid w:val="46230818"/>
    <w:rsid w:val="4623D9A1"/>
    <w:rsid w:val="4624B71D"/>
    <w:rsid w:val="462591F5"/>
    <w:rsid w:val="4625A0FE"/>
    <w:rsid w:val="4625F063"/>
    <w:rsid w:val="4626C8DC"/>
    <w:rsid w:val="46274A7F"/>
    <w:rsid w:val="46277479"/>
    <w:rsid w:val="46278335"/>
    <w:rsid w:val="4628580F"/>
    <w:rsid w:val="4628DBD2"/>
    <w:rsid w:val="4628E9B9"/>
    <w:rsid w:val="462A2E38"/>
    <w:rsid w:val="462A3916"/>
    <w:rsid w:val="462B35FB"/>
    <w:rsid w:val="462C8EBD"/>
    <w:rsid w:val="462CC837"/>
    <w:rsid w:val="462D6E82"/>
    <w:rsid w:val="462DF93D"/>
    <w:rsid w:val="462E585E"/>
    <w:rsid w:val="462ECAE4"/>
    <w:rsid w:val="462F26F9"/>
    <w:rsid w:val="46307B0E"/>
    <w:rsid w:val="463159CA"/>
    <w:rsid w:val="46316ACA"/>
    <w:rsid w:val="46325DE0"/>
    <w:rsid w:val="46354A2C"/>
    <w:rsid w:val="4636A37A"/>
    <w:rsid w:val="46394A89"/>
    <w:rsid w:val="463A7E8A"/>
    <w:rsid w:val="463DB989"/>
    <w:rsid w:val="463F5E76"/>
    <w:rsid w:val="4642175D"/>
    <w:rsid w:val="4642EADF"/>
    <w:rsid w:val="46438A2C"/>
    <w:rsid w:val="46449242"/>
    <w:rsid w:val="4644C412"/>
    <w:rsid w:val="464703F3"/>
    <w:rsid w:val="464768C7"/>
    <w:rsid w:val="46491EC6"/>
    <w:rsid w:val="4649BCCE"/>
    <w:rsid w:val="464B2892"/>
    <w:rsid w:val="464CBF42"/>
    <w:rsid w:val="464CC270"/>
    <w:rsid w:val="464D59F4"/>
    <w:rsid w:val="464E1786"/>
    <w:rsid w:val="464E2D81"/>
    <w:rsid w:val="464E97E0"/>
    <w:rsid w:val="46513F88"/>
    <w:rsid w:val="46520821"/>
    <w:rsid w:val="465371D3"/>
    <w:rsid w:val="4655B7D4"/>
    <w:rsid w:val="465697B8"/>
    <w:rsid w:val="4657363E"/>
    <w:rsid w:val="4657B971"/>
    <w:rsid w:val="4658E80C"/>
    <w:rsid w:val="46597B04"/>
    <w:rsid w:val="465AEB29"/>
    <w:rsid w:val="465AEEC1"/>
    <w:rsid w:val="46600E5B"/>
    <w:rsid w:val="46607064"/>
    <w:rsid w:val="4660B0D5"/>
    <w:rsid w:val="4660D782"/>
    <w:rsid w:val="46631BB6"/>
    <w:rsid w:val="46638F7F"/>
    <w:rsid w:val="4663DC9E"/>
    <w:rsid w:val="466580F1"/>
    <w:rsid w:val="46678C9E"/>
    <w:rsid w:val="4668BE78"/>
    <w:rsid w:val="4669287C"/>
    <w:rsid w:val="466B9C04"/>
    <w:rsid w:val="466BFDA0"/>
    <w:rsid w:val="466C0B8B"/>
    <w:rsid w:val="466C5859"/>
    <w:rsid w:val="466D5F42"/>
    <w:rsid w:val="466E09B6"/>
    <w:rsid w:val="466F9366"/>
    <w:rsid w:val="466FA217"/>
    <w:rsid w:val="46704E37"/>
    <w:rsid w:val="467132E0"/>
    <w:rsid w:val="46731252"/>
    <w:rsid w:val="4675307E"/>
    <w:rsid w:val="4675417F"/>
    <w:rsid w:val="467573F9"/>
    <w:rsid w:val="4676FFDF"/>
    <w:rsid w:val="4677D457"/>
    <w:rsid w:val="467A0FB6"/>
    <w:rsid w:val="467B18E4"/>
    <w:rsid w:val="467B8910"/>
    <w:rsid w:val="467CC0A4"/>
    <w:rsid w:val="467EB6D8"/>
    <w:rsid w:val="467FD4DF"/>
    <w:rsid w:val="46802225"/>
    <w:rsid w:val="46819894"/>
    <w:rsid w:val="46831719"/>
    <w:rsid w:val="4683284E"/>
    <w:rsid w:val="46839FB6"/>
    <w:rsid w:val="4683E0C6"/>
    <w:rsid w:val="46840EC4"/>
    <w:rsid w:val="4684E1BE"/>
    <w:rsid w:val="46864537"/>
    <w:rsid w:val="46870823"/>
    <w:rsid w:val="4688C2A9"/>
    <w:rsid w:val="468BB7B3"/>
    <w:rsid w:val="468D410F"/>
    <w:rsid w:val="468D4C5F"/>
    <w:rsid w:val="468ECC1B"/>
    <w:rsid w:val="468F09B9"/>
    <w:rsid w:val="468FDCFF"/>
    <w:rsid w:val="468FDD00"/>
    <w:rsid w:val="4691353B"/>
    <w:rsid w:val="469469B5"/>
    <w:rsid w:val="4694F0AC"/>
    <w:rsid w:val="46956D81"/>
    <w:rsid w:val="4696F9BA"/>
    <w:rsid w:val="469937AC"/>
    <w:rsid w:val="469A8E59"/>
    <w:rsid w:val="469AF038"/>
    <w:rsid w:val="469BCFE1"/>
    <w:rsid w:val="469D25AC"/>
    <w:rsid w:val="469D5A14"/>
    <w:rsid w:val="469DD6D3"/>
    <w:rsid w:val="469E1E5F"/>
    <w:rsid w:val="469F861B"/>
    <w:rsid w:val="469FA0BF"/>
    <w:rsid w:val="469FCCB6"/>
    <w:rsid w:val="469FD2F0"/>
    <w:rsid w:val="46A0B74E"/>
    <w:rsid w:val="46A1667B"/>
    <w:rsid w:val="46A180D0"/>
    <w:rsid w:val="46A1EE26"/>
    <w:rsid w:val="46A2F230"/>
    <w:rsid w:val="46A39C2A"/>
    <w:rsid w:val="46A3F5E7"/>
    <w:rsid w:val="46A40B73"/>
    <w:rsid w:val="46A52B8B"/>
    <w:rsid w:val="46A71739"/>
    <w:rsid w:val="46A73F59"/>
    <w:rsid w:val="46A88ED5"/>
    <w:rsid w:val="46ACD459"/>
    <w:rsid w:val="46AD85E0"/>
    <w:rsid w:val="46AE66F9"/>
    <w:rsid w:val="46AF041B"/>
    <w:rsid w:val="46AF4B5A"/>
    <w:rsid w:val="46B00359"/>
    <w:rsid w:val="46B01CE0"/>
    <w:rsid w:val="46B105C2"/>
    <w:rsid w:val="46B15D5A"/>
    <w:rsid w:val="46B19E0F"/>
    <w:rsid w:val="46B25FD2"/>
    <w:rsid w:val="46B31849"/>
    <w:rsid w:val="46B3BF7C"/>
    <w:rsid w:val="46B4751B"/>
    <w:rsid w:val="46B4E88F"/>
    <w:rsid w:val="46B646E0"/>
    <w:rsid w:val="46B78983"/>
    <w:rsid w:val="46B948D5"/>
    <w:rsid w:val="46B96C99"/>
    <w:rsid w:val="46BAB97A"/>
    <w:rsid w:val="46BAC51D"/>
    <w:rsid w:val="46BAC6F7"/>
    <w:rsid w:val="46BC9DE8"/>
    <w:rsid w:val="46BDD203"/>
    <w:rsid w:val="46BEA602"/>
    <w:rsid w:val="46BF774F"/>
    <w:rsid w:val="46C0B502"/>
    <w:rsid w:val="46C1FC11"/>
    <w:rsid w:val="46C21C35"/>
    <w:rsid w:val="46C25974"/>
    <w:rsid w:val="46C4167A"/>
    <w:rsid w:val="46C4CD07"/>
    <w:rsid w:val="46C542C9"/>
    <w:rsid w:val="46C6905E"/>
    <w:rsid w:val="46C6994B"/>
    <w:rsid w:val="46C6A4F3"/>
    <w:rsid w:val="46C71E21"/>
    <w:rsid w:val="46C77967"/>
    <w:rsid w:val="46C780AA"/>
    <w:rsid w:val="46CA1CE6"/>
    <w:rsid w:val="46CA3759"/>
    <w:rsid w:val="46CB9E3D"/>
    <w:rsid w:val="46CBD601"/>
    <w:rsid w:val="46CBE8DF"/>
    <w:rsid w:val="46CC7BA6"/>
    <w:rsid w:val="46CEF3C4"/>
    <w:rsid w:val="46CF289E"/>
    <w:rsid w:val="46D006E8"/>
    <w:rsid w:val="46D11DE8"/>
    <w:rsid w:val="46D1523F"/>
    <w:rsid w:val="46D1D037"/>
    <w:rsid w:val="46D1D6B7"/>
    <w:rsid w:val="46D227F4"/>
    <w:rsid w:val="46D3064B"/>
    <w:rsid w:val="46D39C18"/>
    <w:rsid w:val="46D50BBF"/>
    <w:rsid w:val="46D53123"/>
    <w:rsid w:val="46D65FF9"/>
    <w:rsid w:val="46D6C37C"/>
    <w:rsid w:val="46D728F7"/>
    <w:rsid w:val="46D790E1"/>
    <w:rsid w:val="46D9358F"/>
    <w:rsid w:val="46D93D44"/>
    <w:rsid w:val="46DA5C93"/>
    <w:rsid w:val="46DA6C37"/>
    <w:rsid w:val="46DB56CD"/>
    <w:rsid w:val="46DBC165"/>
    <w:rsid w:val="46DC5CDF"/>
    <w:rsid w:val="46DD5A49"/>
    <w:rsid w:val="46DF3156"/>
    <w:rsid w:val="46DF6BE0"/>
    <w:rsid w:val="46E07904"/>
    <w:rsid w:val="46E3177D"/>
    <w:rsid w:val="46E4BDDA"/>
    <w:rsid w:val="46E69E48"/>
    <w:rsid w:val="46E7CC10"/>
    <w:rsid w:val="46E81B7E"/>
    <w:rsid w:val="46E8A6C9"/>
    <w:rsid w:val="46E939FB"/>
    <w:rsid w:val="46E9765A"/>
    <w:rsid w:val="46EA266B"/>
    <w:rsid w:val="46EAACFD"/>
    <w:rsid w:val="46EB3DE8"/>
    <w:rsid w:val="46EBD0B8"/>
    <w:rsid w:val="46EE7185"/>
    <w:rsid w:val="46EF24C9"/>
    <w:rsid w:val="46EFB3C9"/>
    <w:rsid w:val="46F3CB64"/>
    <w:rsid w:val="46F422BF"/>
    <w:rsid w:val="46F4AA14"/>
    <w:rsid w:val="46F5271B"/>
    <w:rsid w:val="46F5ED2D"/>
    <w:rsid w:val="46F6028C"/>
    <w:rsid w:val="46FB1CE7"/>
    <w:rsid w:val="46FB6918"/>
    <w:rsid w:val="46FBA997"/>
    <w:rsid w:val="46FCB958"/>
    <w:rsid w:val="46FD4F5C"/>
    <w:rsid w:val="46FD79A3"/>
    <w:rsid w:val="46FDD4E4"/>
    <w:rsid w:val="47023684"/>
    <w:rsid w:val="4704A9A0"/>
    <w:rsid w:val="4705FB6B"/>
    <w:rsid w:val="470822FD"/>
    <w:rsid w:val="47088EBB"/>
    <w:rsid w:val="470948E3"/>
    <w:rsid w:val="4709C58E"/>
    <w:rsid w:val="4709DB3E"/>
    <w:rsid w:val="470B8385"/>
    <w:rsid w:val="470BC2C8"/>
    <w:rsid w:val="470C7E6F"/>
    <w:rsid w:val="470DA66E"/>
    <w:rsid w:val="470DACD7"/>
    <w:rsid w:val="470DDC91"/>
    <w:rsid w:val="470E4CF0"/>
    <w:rsid w:val="470FB680"/>
    <w:rsid w:val="47105A2B"/>
    <w:rsid w:val="47110790"/>
    <w:rsid w:val="47113594"/>
    <w:rsid w:val="47119A2F"/>
    <w:rsid w:val="47139933"/>
    <w:rsid w:val="4713DF83"/>
    <w:rsid w:val="47148B63"/>
    <w:rsid w:val="4715666F"/>
    <w:rsid w:val="47156DF4"/>
    <w:rsid w:val="4716937F"/>
    <w:rsid w:val="4716ECCD"/>
    <w:rsid w:val="47172516"/>
    <w:rsid w:val="4717DB86"/>
    <w:rsid w:val="4719B175"/>
    <w:rsid w:val="471A0FBF"/>
    <w:rsid w:val="471E0BA1"/>
    <w:rsid w:val="471EEA91"/>
    <w:rsid w:val="471F0ACF"/>
    <w:rsid w:val="471F5DF4"/>
    <w:rsid w:val="47212685"/>
    <w:rsid w:val="47226E84"/>
    <w:rsid w:val="472273CE"/>
    <w:rsid w:val="47237368"/>
    <w:rsid w:val="4723CF0F"/>
    <w:rsid w:val="472442F4"/>
    <w:rsid w:val="4724F2A0"/>
    <w:rsid w:val="47257263"/>
    <w:rsid w:val="4725EA73"/>
    <w:rsid w:val="4725FA29"/>
    <w:rsid w:val="47260082"/>
    <w:rsid w:val="47266361"/>
    <w:rsid w:val="4726A0BB"/>
    <w:rsid w:val="472784AE"/>
    <w:rsid w:val="4728FC33"/>
    <w:rsid w:val="4729B178"/>
    <w:rsid w:val="472AF13A"/>
    <w:rsid w:val="472AF4FA"/>
    <w:rsid w:val="472B55B2"/>
    <w:rsid w:val="472FA228"/>
    <w:rsid w:val="4730450E"/>
    <w:rsid w:val="4731EA39"/>
    <w:rsid w:val="4732F54E"/>
    <w:rsid w:val="47338887"/>
    <w:rsid w:val="4733FCBE"/>
    <w:rsid w:val="473502CB"/>
    <w:rsid w:val="473573C5"/>
    <w:rsid w:val="4736B41F"/>
    <w:rsid w:val="47381DC3"/>
    <w:rsid w:val="47386CBB"/>
    <w:rsid w:val="473950A6"/>
    <w:rsid w:val="4739A87E"/>
    <w:rsid w:val="473BB593"/>
    <w:rsid w:val="473D352C"/>
    <w:rsid w:val="474079F6"/>
    <w:rsid w:val="4740E505"/>
    <w:rsid w:val="4740EB14"/>
    <w:rsid w:val="4741011F"/>
    <w:rsid w:val="474138BA"/>
    <w:rsid w:val="4742EE6B"/>
    <w:rsid w:val="4742F311"/>
    <w:rsid w:val="47447CED"/>
    <w:rsid w:val="4744A566"/>
    <w:rsid w:val="47450FFB"/>
    <w:rsid w:val="47456382"/>
    <w:rsid w:val="47458B4E"/>
    <w:rsid w:val="4745BAD6"/>
    <w:rsid w:val="474680D3"/>
    <w:rsid w:val="4746F821"/>
    <w:rsid w:val="47483001"/>
    <w:rsid w:val="4748E916"/>
    <w:rsid w:val="4749A8FB"/>
    <w:rsid w:val="474AE9F1"/>
    <w:rsid w:val="474B41C9"/>
    <w:rsid w:val="474E1DA8"/>
    <w:rsid w:val="474E3E9F"/>
    <w:rsid w:val="474E712C"/>
    <w:rsid w:val="474F61D2"/>
    <w:rsid w:val="474F8298"/>
    <w:rsid w:val="47507959"/>
    <w:rsid w:val="47517CE9"/>
    <w:rsid w:val="4751A3DE"/>
    <w:rsid w:val="4751D631"/>
    <w:rsid w:val="47531191"/>
    <w:rsid w:val="475329E3"/>
    <w:rsid w:val="47537706"/>
    <w:rsid w:val="47550554"/>
    <w:rsid w:val="475612B0"/>
    <w:rsid w:val="4756536B"/>
    <w:rsid w:val="47572E75"/>
    <w:rsid w:val="4758D1FE"/>
    <w:rsid w:val="4759C29F"/>
    <w:rsid w:val="4759C50E"/>
    <w:rsid w:val="475B296F"/>
    <w:rsid w:val="475B35D1"/>
    <w:rsid w:val="475C0E03"/>
    <w:rsid w:val="475C70EF"/>
    <w:rsid w:val="475D95D3"/>
    <w:rsid w:val="475F0521"/>
    <w:rsid w:val="475F3412"/>
    <w:rsid w:val="475F565B"/>
    <w:rsid w:val="475F999E"/>
    <w:rsid w:val="4760226B"/>
    <w:rsid w:val="47608CA4"/>
    <w:rsid w:val="476095AD"/>
    <w:rsid w:val="4763D552"/>
    <w:rsid w:val="47656EE2"/>
    <w:rsid w:val="476666CD"/>
    <w:rsid w:val="4766C1BD"/>
    <w:rsid w:val="47670900"/>
    <w:rsid w:val="4767D969"/>
    <w:rsid w:val="4768EB71"/>
    <w:rsid w:val="4769A12F"/>
    <w:rsid w:val="476A0574"/>
    <w:rsid w:val="476B1477"/>
    <w:rsid w:val="476BF96C"/>
    <w:rsid w:val="476CB2D1"/>
    <w:rsid w:val="476D073E"/>
    <w:rsid w:val="476D3FE8"/>
    <w:rsid w:val="476F65F5"/>
    <w:rsid w:val="476F777D"/>
    <w:rsid w:val="477101DC"/>
    <w:rsid w:val="477319D1"/>
    <w:rsid w:val="47745BDE"/>
    <w:rsid w:val="4774F684"/>
    <w:rsid w:val="4775868A"/>
    <w:rsid w:val="477658F5"/>
    <w:rsid w:val="4776915E"/>
    <w:rsid w:val="4777981C"/>
    <w:rsid w:val="4777CCED"/>
    <w:rsid w:val="4777E789"/>
    <w:rsid w:val="47792789"/>
    <w:rsid w:val="47799D86"/>
    <w:rsid w:val="4779D804"/>
    <w:rsid w:val="4779DC5A"/>
    <w:rsid w:val="477A8C31"/>
    <w:rsid w:val="477E6FD6"/>
    <w:rsid w:val="477F598B"/>
    <w:rsid w:val="477FC76D"/>
    <w:rsid w:val="478027F6"/>
    <w:rsid w:val="47808B9D"/>
    <w:rsid w:val="4780E396"/>
    <w:rsid w:val="4781E68C"/>
    <w:rsid w:val="4781F57F"/>
    <w:rsid w:val="4782EFBF"/>
    <w:rsid w:val="47830EB8"/>
    <w:rsid w:val="4783BE9D"/>
    <w:rsid w:val="4784FF56"/>
    <w:rsid w:val="47858149"/>
    <w:rsid w:val="47858898"/>
    <w:rsid w:val="4785CC40"/>
    <w:rsid w:val="4786651E"/>
    <w:rsid w:val="4786F43E"/>
    <w:rsid w:val="47881858"/>
    <w:rsid w:val="47898E26"/>
    <w:rsid w:val="4789DB74"/>
    <w:rsid w:val="478B398A"/>
    <w:rsid w:val="478D6037"/>
    <w:rsid w:val="478E358A"/>
    <w:rsid w:val="478E988A"/>
    <w:rsid w:val="4791C6D2"/>
    <w:rsid w:val="4791D8DD"/>
    <w:rsid w:val="4791ED0D"/>
    <w:rsid w:val="47926FE9"/>
    <w:rsid w:val="4792B922"/>
    <w:rsid w:val="4794251F"/>
    <w:rsid w:val="4795FC37"/>
    <w:rsid w:val="479755A3"/>
    <w:rsid w:val="4798F655"/>
    <w:rsid w:val="479939DD"/>
    <w:rsid w:val="47995878"/>
    <w:rsid w:val="47998F73"/>
    <w:rsid w:val="4799D134"/>
    <w:rsid w:val="479A69BE"/>
    <w:rsid w:val="479AA408"/>
    <w:rsid w:val="479D65B8"/>
    <w:rsid w:val="479E81FE"/>
    <w:rsid w:val="47A0539D"/>
    <w:rsid w:val="47A10BAB"/>
    <w:rsid w:val="47A1D7FE"/>
    <w:rsid w:val="47A2CD5A"/>
    <w:rsid w:val="47A38F4C"/>
    <w:rsid w:val="47A4CD1D"/>
    <w:rsid w:val="47A53B27"/>
    <w:rsid w:val="47A617AE"/>
    <w:rsid w:val="47AAB9BA"/>
    <w:rsid w:val="47AC344A"/>
    <w:rsid w:val="47AEB6D3"/>
    <w:rsid w:val="47B00086"/>
    <w:rsid w:val="47B13949"/>
    <w:rsid w:val="47B15342"/>
    <w:rsid w:val="47B1F81F"/>
    <w:rsid w:val="47B262B6"/>
    <w:rsid w:val="47B2B98D"/>
    <w:rsid w:val="47B3D0C2"/>
    <w:rsid w:val="47B50CE8"/>
    <w:rsid w:val="47B639BD"/>
    <w:rsid w:val="47B7B88C"/>
    <w:rsid w:val="47B7FA41"/>
    <w:rsid w:val="47B820B4"/>
    <w:rsid w:val="47BCD0E3"/>
    <w:rsid w:val="47BD1BF7"/>
    <w:rsid w:val="47BD7D90"/>
    <w:rsid w:val="47C28FF9"/>
    <w:rsid w:val="47C2BB5E"/>
    <w:rsid w:val="47C2EB70"/>
    <w:rsid w:val="47C4025D"/>
    <w:rsid w:val="47C4903A"/>
    <w:rsid w:val="47C732A8"/>
    <w:rsid w:val="47C7A4F5"/>
    <w:rsid w:val="47C8D2CF"/>
    <w:rsid w:val="47C8D78F"/>
    <w:rsid w:val="47CC2E23"/>
    <w:rsid w:val="47CC7278"/>
    <w:rsid w:val="47CFC6F4"/>
    <w:rsid w:val="47D0C84C"/>
    <w:rsid w:val="47D0FD41"/>
    <w:rsid w:val="47D1F10E"/>
    <w:rsid w:val="47D32ED6"/>
    <w:rsid w:val="47D3B046"/>
    <w:rsid w:val="47D58843"/>
    <w:rsid w:val="47D5DCE4"/>
    <w:rsid w:val="47D63B69"/>
    <w:rsid w:val="47D6E0DC"/>
    <w:rsid w:val="47D8409F"/>
    <w:rsid w:val="47D8F895"/>
    <w:rsid w:val="47D97F63"/>
    <w:rsid w:val="47DA7B9D"/>
    <w:rsid w:val="47DAAD7A"/>
    <w:rsid w:val="47DC63F7"/>
    <w:rsid w:val="47DD5B4F"/>
    <w:rsid w:val="47DD7390"/>
    <w:rsid w:val="47DE50DB"/>
    <w:rsid w:val="47DE5F9B"/>
    <w:rsid w:val="47E1726C"/>
    <w:rsid w:val="47E1E82A"/>
    <w:rsid w:val="47E23918"/>
    <w:rsid w:val="47E2469A"/>
    <w:rsid w:val="47E3AE6C"/>
    <w:rsid w:val="47E5BC1C"/>
    <w:rsid w:val="47E5F8D4"/>
    <w:rsid w:val="47E6EA67"/>
    <w:rsid w:val="47E6FBB5"/>
    <w:rsid w:val="47E714BB"/>
    <w:rsid w:val="47E7E031"/>
    <w:rsid w:val="47E844DA"/>
    <w:rsid w:val="47E8F06B"/>
    <w:rsid w:val="47E9DF3A"/>
    <w:rsid w:val="47EA322F"/>
    <w:rsid w:val="47EAB173"/>
    <w:rsid w:val="47EAE690"/>
    <w:rsid w:val="47EB1514"/>
    <w:rsid w:val="47EB40F6"/>
    <w:rsid w:val="47EB964C"/>
    <w:rsid w:val="47EB9D7C"/>
    <w:rsid w:val="47ECB9E9"/>
    <w:rsid w:val="47EDBCCF"/>
    <w:rsid w:val="47EDCC0C"/>
    <w:rsid w:val="47EF033D"/>
    <w:rsid w:val="47F02905"/>
    <w:rsid w:val="47F26135"/>
    <w:rsid w:val="47F2732A"/>
    <w:rsid w:val="47F2F2C3"/>
    <w:rsid w:val="47F51923"/>
    <w:rsid w:val="47F5D63F"/>
    <w:rsid w:val="47F60633"/>
    <w:rsid w:val="47F73CEF"/>
    <w:rsid w:val="47F95E84"/>
    <w:rsid w:val="47FAA866"/>
    <w:rsid w:val="47FB3DB4"/>
    <w:rsid w:val="47FBC733"/>
    <w:rsid w:val="47FC4F69"/>
    <w:rsid w:val="47FC7180"/>
    <w:rsid w:val="47FCD9A8"/>
    <w:rsid w:val="47FE4FF5"/>
    <w:rsid w:val="47FEA999"/>
    <w:rsid w:val="47FF1295"/>
    <w:rsid w:val="47FF346D"/>
    <w:rsid w:val="480170C9"/>
    <w:rsid w:val="4802C0C5"/>
    <w:rsid w:val="48052657"/>
    <w:rsid w:val="48055D51"/>
    <w:rsid w:val="480587F7"/>
    <w:rsid w:val="4805F5DC"/>
    <w:rsid w:val="480673DC"/>
    <w:rsid w:val="4806DD38"/>
    <w:rsid w:val="4806F13F"/>
    <w:rsid w:val="48076450"/>
    <w:rsid w:val="4807A01B"/>
    <w:rsid w:val="4807A7B8"/>
    <w:rsid w:val="4809F4C6"/>
    <w:rsid w:val="480A2E05"/>
    <w:rsid w:val="480A9278"/>
    <w:rsid w:val="480B6533"/>
    <w:rsid w:val="480BB4A4"/>
    <w:rsid w:val="480C9CCD"/>
    <w:rsid w:val="480D3F0C"/>
    <w:rsid w:val="480FB02A"/>
    <w:rsid w:val="480FFD83"/>
    <w:rsid w:val="48114B9B"/>
    <w:rsid w:val="4811747E"/>
    <w:rsid w:val="48118868"/>
    <w:rsid w:val="48119DEA"/>
    <w:rsid w:val="4813D904"/>
    <w:rsid w:val="48151CB2"/>
    <w:rsid w:val="48153DC5"/>
    <w:rsid w:val="4815E4CA"/>
    <w:rsid w:val="48166ECF"/>
    <w:rsid w:val="481804DA"/>
    <w:rsid w:val="481A61D6"/>
    <w:rsid w:val="481BB021"/>
    <w:rsid w:val="481CA9BF"/>
    <w:rsid w:val="481CBE11"/>
    <w:rsid w:val="481CF5E2"/>
    <w:rsid w:val="481D64FE"/>
    <w:rsid w:val="481DBEC5"/>
    <w:rsid w:val="481EFF0D"/>
    <w:rsid w:val="481F62B6"/>
    <w:rsid w:val="481FE992"/>
    <w:rsid w:val="482067A0"/>
    <w:rsid w:val="48214031"/>
    <w:rsid w:val="482154A6"/>
    <w:rsid w:val="48225EC0"/>
    <w:rsid w:val="4822E008"/>
    <w:rsid w:val="48233F81"/>
    <w:rsid w:val="48234C8F"/>
    <w:rsid w:val="48234F3F"/>
    <w:rsid w:val="482373DF"/>
    <w:rsid w:val="4823CDF9"/>
    <w:rsid w:val="48246756"/>
    <w:rsid w:val="4826216C"/>
    <w:rsid w:val="4826363E"/>
    <w:rsid w:val="48290248"/>
    <w:rsid w:val="48295343"/>
    <w:rsid w:val="482AEB5A"/>
    <w:rsid w:val="482CFDBC"/>
    <w:rsid w:val="482D58C4"/>
    <w:rsid w:val="482DD647"/>
    <w:rsid w:val="482E03C4"/>
    <w:rsid w:val="482E6BB2"/>
    <w:rsid w:val="482F637E"/>
    <w:rsid w:val="4830DB59"/>
    <w:rsid w:val="4830EE14"/>
    <w:rsid w:val="48317BF4"/>
    <w:rsid w:val="4831A580"/>
    <w:rsid w:val="4831D62D"/>
    <w:rsid w:val="48326138"/>
    <w:rsid w:val="483273B0"/>
    <w:rsid w:val="4832AD17"/>
    <w:rsid w:val="48337359"/>
    <w:rsid w:val="4833BA87"/>
    <w:rsid w:val="4834D909"/>
    <w:rsid w:val="48353BF5"/>
    <w:rsid w:val="4835DD99"/>
    <w:rsid w:val="48368FF7"/>
    <w:rsid w:val="4836ABD2"/>
    <w:rsid w:val="4838E9F7"/>
    <w:rsid w:val="483A0252"/>
    <w:rsid w:val="483A65F1"/>
    <w:rsid w:val="483C34F8"/>
    <w:rsid w:val="483D71A9"/>
    <w:rsid w:val="483E8A40"/>
    <w:rsid w:val="483E8ACC"/>
    <w:rsid w:val="483FE801"/>
    <w:rsid w:val="484096A2"/>
    <w:rsid w:val="4840D041"/>
    <w:rsid w:val="48423D4E"/>
    <w:rsid w:val="48425BAF"/>
    <w:rsid w:val="4843FDA0"/>
    <w:rsid w:val="484570CA"/>
    <w:rsid w:val="48462FD1"/>
    <w:rsid w:val="4846F4D1"/>
    <w:rsid w:val="4847A1D4"/>
    <w:rsid w:val="4847F95B"/>
    <w:rsid w:val="48497707"/>
    <w:rsid w:val="484A16CF"/>
    <w:rsid w:val="484B9D75"/>
    <w:rsid w:val="484DB8EE"/>
    <w:rsid w:val="484DE536"/>
    <w:rsid w:val="484EE961"/>
    <w:rsid w:val="484FD7EA"/>
    <w:rsid w:val="4850BB7A"/>
    <w:rsid w:val="48528ABD"/>
    <w:rsid w:val="4852BF05"/>
    <w:rsid w:val="4852D058"/>
    <w:rsid w:val="4852FF45"/>
    <w:rsid w:val="4853E77A"/>
    <w:rsid w:val="4855A43A"/>
    <w:rsid w:val="48570698"/>
    <w:rsid w:val="48590AD6"/>
    <w:rsid w:val="485B76F0"/>
    <w:rsid w:val="485DDFF9"/>
    <w:rsid w:val="485E204E"/>
    <w:rsid w:val="485E5024"/>
    <w:rsid w:val="485FC5F9"/>
    <w:rsid w:val="485FF827"/>
    <w:rsid w:val="48602808"/>
    <w:rsid w:val="4863295D"/>
    <w:rsid w:val="48660717"/>
    <w:rsid w:val="4866A8F2"/>
    <w:rsid w:val="4866CD1B"/>
    <w:rsid w:val="48672819"/>
    <w:rsid w:val="4867434E"/>
    <w:rsid w:val="48680773"/>
    <w:rsid w:val="486837CD"/>
    <w:rsid w:val="48683FCF"/>
    <w:rsid w:val="4868906E"/>
    <w:rsid w:val="486A7C76"/>
    <w:rsid w:val="486DBBF9"/>
    <w:rsid w:val="486E6549"/>
    <w:rsid w:val="486F30EB"/>
    <w:rsid w:val="486F6004"/>
    <w:rsid w:val="48708AC3"/>
    <w:rsid w:val="487188E3"/>
    <w:rsid w:val="4871FDF0"/>
    <w:rsid w:val="4872D730"/>
    <w:rsid w:val="4873318D"/>
    <w:rsid w:val="487344FB"/>
    <w:rsid w:val="48758F09"/>
    <w:rsid w:val="4875C0DD"/>
    <w:rsid w:val="4876EAA4"/>
    <w:rsid w:val="48772FE5"/>
    <w:rsid w:val="48777498"/>
    <w:rsid w:val="487BD9F9"/>
    <w:rsid w:val="487BF7C4"/>
    <w:rsid w:val="487FBDA8"/>
    <w:rsid w:val="487FD18B"/>
    <w:rsid w:val="488387B8"/>
    <w:rsid w:val="48840917"/>
    <w:rsid w:val="4885A2EB"/>
    <w:rsid w:val="4886382C"/>
    <w:rsid w:val="4888930D"/>
    <w:rsid w:val="48891475"/>
    <w:rsid w:val="488AE463"/>
    <w:rsid w:val="488D9136"/>
    <w:rsid w:val="488E27A2"/>
    <w:rsid w:val="488F4910"/>
    <w:rsid w:val="488F74A1"/>
    <w:rsid w:val="488F99AD"/>
    <w:rsid w:val="48909832"/>
    <w:rsid w:val="4890D480"/>
    <w:rsid w:val="48917771"/>
    <w:rsid w:val="48920845"/>
    <w:rsid w:val="4892CEAC"/>
    <w:rsid w:val="48934B18"/>
    <w:rsid w:val="48946672"/>
    <w:rsid w:val="489477BB"/>
    <w:rsid w:val="4895C9F6"/>
    <w:rsid w:val="48969ED7"/>
    <w:rsid w:val="489715B6"/>
    <w:rsid w:val="489720BA"/>
    <w:rsid w:val="48973000"/>
    <w:rsid w:val="48975EDF"/>
    <w:rsid w:val="489869A0"/>
    <w:rsid w:val="4898ECB8"/>
    <w:rsid w:val="4899323C"/>
    <w:rsid w:val="489A829C"/>
    <w:rsid w:val="489AA13C"/>
    <w:rsid w:val="489B2486"/>
    <w:rsid w:val="489BE6F1"/>
    <w:rsid w:val="489C2346"/>
    <w:rsid w:val="489E2BB4"/>
    <w:rsid w:val="48A22AFE"/>
    <w:rsid w:val="48A25AAE"/>
    <w:rsid w:val="48A3522D"/>
    <w:rsid w:val="48A465CC"/>
    <w:rsid w:val="48A5BDCC"/>
    <w:rsid w:val="48A65795"/>
    <w:rsid w:val="48A66764"/>
    <w:rsid w:val="48A6BCFC"/>
    <w:rsid w:val="48A7D97C"/>
    <w:rsid w:val="48A8B110"/>
    <w:rsid w:val="48A96E7E"/>
    <w:rsid w:val="48AAB66A"/>
    <w:rsid w:val="48AB3C07"/>
    <w:rsid w:val="48AE9887"/>
    <w:rsid w:val="48AEACB0"/>
    <w:rsid w:val="48AFB202"/>
    <w:rsid w:val="48B4C939"/>
    <w:rsid w:val="48B7A40F"/>
    <w:rsid w:val="48B907B0"/>
    <w:rsid w:val="48BA5A65"/>
    <w:rsid w:val="48BA84D1"/>
    <w:rsid w:val="48BB26AA"/>
    <w:rsid w:val="48BB50C0"/>
    <w:rsid w:val="48BB7AA6"/>
    <w:rsid w:val="48BC04C5"/>
    <w:rsid w:val="48BDE5E5"/>
    <w:rsid w:val="48BECB83"/>
    <w:rsid w:val="48C026D9"/>
    <w:rsid w:val="48C0F481"/>
    <w:rsid w:val="48C13107"/>
    <w:rsid w:val="48C22EDA"/>
    <w:rsid w:val="48C3AAEF"/>
    <w:rsid w:val="48C40B9E"/>
    <w:rsid w:val="48C53033"/>
    <w:rsid w:val="48C5E5CD"/>
    <w:rsid w:val="48C72383"/>
    <w:rsid w:val="48C7F08E"/>
    <w:rsid w:val="48C9749D"/>
    <w:rsid w:val="48CA2C74"/>
    <w:rsid w:val="48CD275C"/>
    <w:rsid w:val="48CE6CA6"/>
    <w:rsid w:val="48CF58E8"/>
    <w:rsid w:val="48CF8BD1"/>
    <w:rsid w:val="48D24EA7"/>
    <w:rsid w:val="48D3AE7F"/>
    <w:rsid w:val="48D43FE5"/>
    <w:rsid w:val="48D4D81B"/>
    <w:rsid w:val="48D5274E"/>
    <w:rsid w:val="48D58F41"/>
    <w:rsid w:val="48D5F5E4"/>
    <w:rsid w:val="48D6DABD"/>
    <w:rsid w:val="48D7C8EF"/>
    <w:rsid w:val="48D9115A"/>
    <w:rsid w:val="48DA1535"/>
    <w:rsid w:val="48DA1866"/>
    <w:rsid w:val="48DA847A"/>
    <w:rsid w:val="48DB8657"/>
    <w:rsid w:val="48DBB5B7"/>
    <w:rsid w:val="48DD292A"/>
    <w:rsid w:val="48DDDCF9"/>
    <w:rsid w:val="48DEEBAE"/>
    <w:rsid w:val="48E02B3D"/>
    <w:rsid w:val="48E2006B"/>
    <w:rsid w:val="48E216ED"/>
    <w:rsid w:val="48E27B0D"/>
    <w:rsid w:val="48E2D046"/>
    <w:rsid w:val="48E31183"/>
    <w:rsid w:val="48E38CE9"/>
    <w:rsid w:val="48E3B675"/>
    <w:rsid w:val="48E4092F"/>
    <w:rsid w:val="48E42FE0"/>
    <w:rsid w:val="48E509D2"/>
    <w:rsid w:val="48E5161D"/>
    <w:rsid w:val="48E570D4"/>
    <w:rsid w:val="48E74A7C"/>
    <w:rsid w:val="48E760C7"/>
    <w:rsid w:val="48E80641"/>
    <w:rsid w:val="48E89892"/>
    <w:rsid w:val="48E92BBC"/>
    <w:rsid w:val="48EB5333"/>
    <w:rsid w:val="48EB5AA7"/>
    <w:rsid w:val="48EBE567"/>
    <w:rsid w:val="48EC0F14"/>
    <w:rsid w:val="48EDA74B"/>
    <w:rsid w:val="48F0D63B"/>
    <w:rsid w:val="48F2666B"/>
    <w:rsid w:val="48F354ED"/>
    <w:rsid w:val="48F52DF4"/>
    <w:rsid w:val="48F647E6"/>
    <w:rsid w:val="48F66826"/>
    <w:rsid w:val="48F7E93D"/>
    <w:rsid w:val="48FCB516"/>
    <w:rsid w:val="48FCC139"/>
    <w:rsid w:val="48FCFEF0"/>
    <w:rsid w:val="48FE5950"/>
    <w:rsid w:val="48FF13AB"/>
    <w:rsid w:val="49023215"/>
    <w:rsid w:val="4902DEC2"/>
    <w:rsid w:val="49032D40"/>
    <w:rsid w:val="490592A1"/>
    <w:rsid w:val="49073E4A"/>
    <w:rsid w:val="49082C5B"/>
    <w:rsid w:val="4909B71D"/>
    <w:rsid w:val="4909EED1"/>
    <w:rsid w:val="490BFD78"/>
    <w:rsid w:val="490C1087"/>
    <w:rsid w:val="490CFBD8"/>
    <w:rsid w:val="490D53D8"/>
    <w:rsid w:val="490F3ED5"/>
    <w:rsid w:val="490F7C45"/>
    <w:rsid w:val="49103A17"/>
    <w:rsid w:val="4911F527"/>
    <w:rsid w:val="4913E87F"/>
    <w:rsid w:val="491467F7"/>
    <w:rsid w:val="4914E708"/>
    <w:rsid w:val="4914E872"/>
    <w:rsid w:val="491891F4"/>
    <w:rsid w:val="4918DB09"/>
    <w:rsid w:val="49192DE5"/>
    <w:rsid w:val="4919C24C"/>
    <w:rsid w:val="491A0657"/>
    <w:rsid w:val="491A5B20"/>
    <w:rsid w:val="491C75B1"/>
    <w:rsid w:val="491C9005"/>
    <w:rsid w:val="491CC06A"/>
    <w:rsid w:val="491E093E"/>
    <w:rsid w:val="491E797F"/>
    <w:rsid w:val="491EDD01"/>
    <w:rsid w:val="491FC5AA"/>
    <w:rsid w:val="4920C587"/>
    <w:rsid w:val="49225995"/>
    <w:rsid w:val="4922B7F1"/>
    <w:rsid w:val="492303B8"/>
    <w:rsid w:val="49234C3C"/>
    <w:rsid w:val="49241933"/>
    <w:rsid w:val="4924D494"/>
    <w:rsid w:val="49268F61"/>
    <w:rsid w:val="4926BD30"/>
    <w:rsid w:val="4927718E"/>
    <w:rsid w:val="49298101"/>
    <w:rsid w:val="492AC262"/>
    <w:rsid w:val="492BEAFF"/>
    <w:rsid w:val="492CC852"/>
    <w:rsid w:val="492D43F8"/>
    <w:rsid w:val="492D7FA2"/>
    <w:rsid w:val="492DD615"/>
    <w:rsid w:val="49301250"/>
    <w:rsid w:val="4930A1F6"/>
    <w:rsid w:val="4930AA59"/>
    <w:rsid w:val="49313F7A"/>
    <w:rsid w:val="4931F614"/>
    <w:rsid w:val="49324A80"/>
    <w:rsid w:val="49346905"/>
    <w:rsid w:val="49347D5E"/>
    <w:rsid w:val="493666C3"/>
    <w:rsid w:val="49367D39"/>
    <w:rsid w:val="49369C6B"/>
    <w:rsid w:val="49370783"/>
    <w:rsid w:val="4937142E"/>
    <w:rsid w:val="49375E6C"/>
    <w:rsid w:val="49389E4D"/>
    <w:rsid w:val="493A4CC8"/>
    <w:rsid w:val="493AF31B"/>
    <w:rsid w:val="493B2AF6"/>
    <w:rsid w:val="493B88B1"/>
    <w:rsid w:val="493EF21A"/>
    <w:rsid w:val="493F8A34"/>
    <w:rsid w:val="49404099"/>
    <w:rsid w:val="4942E3C1"/>
    <w:rsid w:val="4942E4AF"/>
    <w:rsid w:val="4944114C"/>
    <w:rsid w:val="49445364"/>
    <w:rsid w:val="49454500"/>
    <w:rsid w:val="4946F449"/>
    <w:rsid w:val="494720B1"/>
    <w:rsid w:val="49476AFD"/>
    <w:rsid w:val="4947F016"/>
    <w:rsid w:val="49486113"/>
    <w:rsid w:val="494A1D3E"/>
    <w:rsid w:val="494B38A0"/>
    <w:rsid w:val="494C4CBF"/>
    <w:rsid w:val="494CF93A"/>
    <w:rsid w:val="494E25E5"/>
    <w:rsid w:val="494F2DCD"/>
    <w:rsid w:val="495187A9"/>
    <w:rsid w:val="49522464"/>
    <w:rsid w:val="49534E77"/>
    <w:rsid w:val="49539B5A"/>
    <w:rsid w:val="49555C0C"/>
    <w:rsid w:val="495610C5"/>
    <w:rsid w:val="495655ED"/>
    <w:rsid w:val="4956EA4C"/>
    <w:rsid w:val="49578789"/>
    <w:rsid w:val="4957E076"/>
    <w:rsid w:val="4959083C"/>
    <w:rsid w:val="495A9A2E"/>
    <w:rsid w:val="495C4F50"/>
    <w:rsid w:val="495C5879"/>
    <w:rsid w:val="495CBC3F"/>
    <w:rsid w:val="495DBE10"/>
    <w:rsid w:val="495E913C"/>
    <w:rsid w:val="495E9407"/>
    <w:rsid w:val="495EB5DF"/>
    <w:rsid w:val="495F161D"/>
    <w:rsid w:val="495F5635"/>
    <w:rsid w:val="4960FA2C"/>
    <w:rsid w:val="4962723C"/>
    <w:rsid w:val="49643C63"/>
    <w:rsid w:val="4966016E"/>
    <w:rsid w:val="4966D5DC"/>
    <w:rsid w:val="4967F6B4"/>
    <w:rsid w:val="4969200D"/>
    <w:rsid w:val="49697168"/>
    <w:rsid w:val="49697AA0"/>
    <w:rsid w:val="496AB5FD"/>
    <w:rsid w:val="496B8D24"/>
    <w:rsid w:val="496B9098"/>
    <w:rsid w:val="496BAF26"/>
    <w:rsid w:val="496E368A"/>
    <w:rsid w:val="496FB40A"/>
    <w:rsid w:val="49703255"/>
    <w:rsid w:val="4970D61A"/>
    <w:rsid w:val="4970FAD9"/>
    <w:rsid w:val="497142B4"/>
    <w:rsid w:val="497182CC"/>
    <w:rsid w:val="49735900"/>
    <w:rsid w:val="4973CED3"/>
    <w:rsid w:val="49758AF4"/>
    <w:rsid w:val="4975D56F"/>
    <w:rsid w:val="4975FF2D"/>
    <w:rsid w:val="497635FE"/>
    <w:rsid w:val="49763A6A"/>
    <w:rsid w:val="49763E91"/>
    <w:rsid w:val="49786F2B"/>
    <w:rsid w:val="4978FE42"/>
    <w:rsid w:val="4979552A"/>
    <w:rsid w:val="497A9782"/>
    <w:rsid w:val="497B169E"/>
    <w:rsid w:val="497CB5DD"/>
    <w:rsid w:val="497D8D74"/>
    <w:rsid w:val="497DC28C"/>
    <w:rsid w:val="497F36A6"/>
    <w:rsid w:val="4980B79A"/>
    <w:rsid w:val="4981B7EC"/>
    <w:rsid w:val="4981C302"/>
    <w:rsid w:val="4981DE47"/>
    <w:rsid w:val="49825E1D"/>
    <w:rsid w:val="49838D0C"/>
    <w:rsid w:val="4983989C"/>
    <w:rsid w:val="4983D220"/>
    <w:rsid w:val="49840D27"/>
    <w:rsid w:val="49841F82"/>
    <w:rsid w:val="49846060"/>
    <w:rsid w:val="4985649D"/>
    <w:rsid w:val="4985F68F"/>
    <w:rsid w:val="498792E8"/>
    <w:rsid w:val="4988FC8F"/>
    <w:rsid w:val="49890081"/>
    <w:rsid w:val="498C00E2"/>
    <w:rsid w:val="498C76DE"/>
    <w:rsid w:val="498E1758"/>
    <w:rsid w:val="498FB0F6"/>
    <w:rsid w:val="4992A9E4"/>
    <w:rsid w:val="49932F21"/>
    <w:rsid w:val="49937B61"/>
    <w:rsid w:val="499432DC"/>
    <w:rsid w:val="499434EC"/>
    <w:rsid w:val="4995C19D"/>
    <w:rsid w:val="4996FF3B"/>
    <w:rsid w:val="499771AB"/>
    <w:rsid w:val="4997A77A"/>
    <w:rsid w:val="4997C75B"/>
    <w:rsid w:val="499826EE"/>
    <w:rsid w:val="4998C5F4"/>
    <w:rsid w:val="49995055"/>
    <w:rsid w:val="4999B0D7"/>
    <w:rsid w:val="499B518B"/>
    <w:rsid w:val="499C340B"/>
    <w:rsid w:val="499C65C8"/>
    <w:rsid w:val="499DF15D"/>
    <w:rsid w:val="499E33E4"/>
    <w:rsid w:val="499F720E"/>
    <w:rsid w:val="49A003E2"/>
    <w:rsid w:val="49A10EC6"/>
    <w:rsid w:val="49A328AF"/>
    <w:rsid w:val="49A8B285"/>
    <w:rsid w:val="49AA18FD"/>
    <w:rsid w:val="49AA7FD0"/>
    <w:rsid w:val="49AB8D9E"/>
    <w:rsid w:val="49ADD70D"/>
    <w:rsid w:val="49ADE712"/>
    <w:rsid w:val="49ADF946"/>
    <w:rsid w:val="49AE94FD"/>
    <w:rsid w:val="49AF45CB"/>
    <w:rsid w:val="49B0586E"/>
    <w:rsid w:val="49B1E00C"/>
    <w:rsid w:val="49B54D81"/>
    <w:rsid w:val="49B65F04"/>
    <w:rsid w:val="49B6664B"/>
    <w:rsid w:val="49B76B2D"/>
    <w:rsid w:val="49B8FC4C"/>
    <w:rsid w:val="49BA54F2"/>
    <w:rsid w:val="49BA68C0"/>
    <w:rsid w:val="49BA7BE5"/>
    <w:rsid w:val="49BADDA2"/>
    <w:rsid w:val="49BB9F6C"/>
    <w:rsid w:val="49BBA16B"/>
    <w:rsid w:val="49BBFFC1"/>
    <w:rsid w:val="49BC3950"/>
    <w:rsid w:val="49BC6AEA"/>
    <w:rsid w:val="49BC6F4E"/>
    <w:rsid w:val="49BC760F"/>
    <w:rsid w:val="49BC9452"/>
    <w:rsid w:val="49BCA73E"/>
    <w:rsid w:val="49BF0E23"/>
    <w:rsid w:val="49C1654B"/>
    <w:rsid w:val="49C2636E"/>
    <w:rsid w:val="49C280AD"/>
    <w:rsid w:val="49C526D5"/>
    <w:rsid w:val="49C7B015"/>
    <w:rsid w:val="49C92A57"/>
    <w:rsid w:val="49C9A2B2"/>
    <w:rsid w:val="49C9FB7A"/>
    <w:rsid w:val="49CA19D4"/>
    <w:rsid w:val="49CAA9E3"/>
    <w:rsid w:val="49CBC0B2"/>
    <w:rsid w:val="49CDCE96"/>
    <w:rsid w:val="49D01CFF"/>
    <w:rsid w:val="49D02D22"/>
    <w:rsid w:val="49D0B563"/>
    <w:rsid w:val="49D15085"/>
    <w:rsid w:val="49D27648"/>
    <w:rsid w:val="49D27CDB"/>
    <w:rsid w:val="49D45E50"/>
    <w:rsid w:val="49D50DD5"/>
    <w:rsid w:val="49D53846"/>
    <w:rsid w:val="49D56B84"/>
    <w:rsid w:val="49D61F59"/>
    <w:rsid w:val="49D7646E"/>
    <w:rsid w:val="49D76A82"/>
    <w:rsid w:val="49D7F37D"/>
    <w:rsid w:val="49D9A0F3"/>
    <w:rsid w:val="49D9C7DA"/>
    <w:rsid w:val="49DA99FF"/>
    <w:rsid w:val="49DB991B"/>
    <w:rsid w:val="49DBC46E"/>
    <w:rsid w:val="49DC2466"/>
    <w:rsid w:val="49DCD9BD"/>
    <w:rsid w:val="49DD3F4B"/>
    <w:rsid w:val="49DE61C3"/>
    <w:rsid w:val="49DF2361"/>
    <w:rsid w:val="49DF6DF2"/>
    <w:rsid w:val="49DF956D"/>
    <w:rsid w:val="49E3897E"/>
    <w:rsid w:val="49E475F4"/>
    <w:rsid w:val="49E56B06"/>
    <w:rsid w:val="49E5D8BA"/>
    <w:rsid w:val="49E68D30"/>
    <w:rsid w:val="49E7F50C"/>
    <w:rsid w:val="49E842B2"/>
    <w:rsid w:val="49EB431F"/>
    <w:rsid w:val="49EBF826"/>
    <w:rsid w:val="49ED3970"/>
    <w:rsid w:val="49EDF14A"/>
    <w:rsid w:val="49EEAFA9"/>
    <w:rsid w:val="49EEB9A1"/>
    <w:rsid w:val="49EECA7D"/>
    <w:rsid w:val="49EF33D1"/>
    <w:rsid w:val="49EF48A9"/>
    <w:rsid w:val="49F25CAD"/>
    <w:rsid w:val="49F2A378"/>
    <w:rsid w:val="49F2D6F9"/>
    <w:rsid w:val="49F468BF"/>
    <w:rsid w:val="49F59954"/>
    <w:rsid w:val="49F6F87E"/>
    <w:rsid w:val="49F7854B"/>
    <w:rsid w:val="49F8550E"/>
    <w:rsid w:val="49F98AC5"/>
    <w:rsid w:val="49F98ED0"/>
    <w:rsid w:val="49FA8BCD"/>
    <w:rsid w:val="49FAA2D7"/>
    <w:rsid w:val="49FB0D63"/>
    <w:rsid w:val="49FEE134"/>
    <w:rsid w:val="49FF1E6B"/>
    <w:rsid w:val="4A00150B"/>
    <w:rsid w:val="4A0145BD"/>
    <w:rsid w:val="4A01665D"/>
    <w:rsid w:val="4A02D731"/>
    <w:rsid w:val="4A03FF6B"/>
    <w:rsid w:val="4A04B3F5"/>
    <w:rsid w:val="4A0537E7"/>
    <w:rsid w:val="4A05CA08"/>
    <w:rsid w:val="4A05FCBC"/>
    <w:rsid w:val="4A069201"/>
    <w:rsid w:val="4A07DDFB"/>
    <w:rsid w:val="4A08C0FA"/>
    <w:rsid w:val="4A096D3F"/>
    <w:rsid w:val="4A0A83D9"/>
    <w:rsid w:val="4A0AA2B3"/>
    <w:rsid w:val="4A0B8E84"/>
    <w:rsid w:val="4A0C5242"/>
    <w:rsid w:val="4A0D632D"/>
    <w:rsid w:val="4A0E2BC7"/>
    <w:rsid w:val="4A10B399"/>
    <w:rsid w:val="4A1534EC"/>
    <w:rsid w:val="4A160C98"/>
    <w:rsid w:val="4A175F5F"/>
    <w:rsid w:val="4A17DF25"/>
    <w:rsid w:val="4A1CF5CA"/>
    <w:rsid w:val="4A1D9221"/>
    <w:rsid w:val="4A1DA6DB"/>
    <w:rsid w:val="4A1E3C7F"/>
    <w:rsid w:val="4A1F1A08"/>
    <w:rsid w:val="4A1F2A7D"/>
    <w:rsid w:val="4A1F7C2B"/>
    <w:rsid w:val="4A207D24"/>
    <w:rsid w:val="4A214D5D"/>
    <w:rsid w:val="4A219FD9"/>
    <w:rsid w:val="4A21AF8C"/>
    <w:rsid w:val="4A21F913"/>
    <w:rsid w:val="4A2269C5"/>
    <w:rsid w:val="4A2381AF"/>
    <w:rsid w:val="4A247CDD"/>
    <w:rsid w:val="4A25F091"/>
    <w:rsid w:val="4A26A9BF"/>
    <w:rsid w:val="4A288FD3"/>
    <w:rsid w:val="4A2A52E6"/>
    <w:rsid w:val="4A2A713E"/>
    <w:rsid w:val="4A2ABF93"/>
    <w:rsid w:val="4A2B13E7"/>
    <w:rsid w:val="4A2B2B1A"/>
    <w:rsid w:val="4A2C71DD"/>
    <w:rsid w:val="4A2DF7AD"/>
    <w:rsid w:val="4A2E2399"/>
    <w:rsid w:val="4A2E51A9"/>
    <w:rsid w:val="4A312775"/>
    <w:rsid w:val="4A3130B9"/>
    <w:rsid w:val="4A32E5F0"/>
    <w:rsid w:val="4A3475DA"/>
    <w:rsid w:val="4A35156F"/>
    <w:rsid w:val="4A354111"/>
    <w:rsid w:val="4A3546CE"/>
    <w:rsid w:val="4A36D061"/>
    <w:rsid w:val="4A36FCF2"/>
    <w:rsid w:val="4A37FCE3"/>
    <w:rsid w:val="4A393E06"/>
    <w:rsid w:val="4A3986E2"/>
    <w:rsid w:val="4A3A02CC"/>
    <w:rsid w:val="4A3A794E"/>
    <w:rsid w:val="4A3C3469"/>
    <w:rsid w:val="4A3D5B56"/>
    <w:rsid w:val="4A3DCAE1"/>
    <w:rsid w:val="4A3E9DA6"/>
    <w:rsid w:val="4A3FE3A2"/>
    <w:rsid w:val="4A4086AF"/>
    <w:rsid w:val="4A40CCA7"/>
    <w:rsid w:val="4A4267C1"/>
    <w:rsid w:val="4A429540"/>
    <w:rsid w:val="4A430B20"/>
    <w:rsid w:val="4A451649"/>
    <w:rsid w:val="4A46A853"/>
    <w:rsid w:val="4A48B8C7"/>
    <w:rsid w:val="4A49246F"/>
    <w:rsid w:val="4A49F127"/>
    <w:rsid w:val="4A4AADC8"/>
    <w:rsid w:val="4A4B043A"/>
    <w:rsid w:val="4A4B2288"/>
    <w:rsid w:val="4A4E07A1"/>
    <w:rsid w:val="4A4E6F0C"/>
    <w:rsid w:val="4A4F70AD"/>
    <w:rsid w:val="4A4F7603"/>
    <w:rsid w:val="4A4FD550"/>
    <w:rsid w:val="4A50B289"/>
    <w:rsid w:val="4A5154F7"/>
    <w:rsid w:val="4A515B13"/>
    <w:rsid w:val="4A524E10"/>
    <w:rsid w:val="4A5350EB"/>
    <w:rsid w:val="4A553274"/>
    <w:rsid w:val="4A555ED7"/>
    <w:rsid w:val="4A55AA6F"/>
    <w:rsid w:val="4A55EF1A"/>
    <w:rsid w:val="4A575D76"/>
    <w:rsid w:val="4A5AAF99"/>
    <w:rsid w:val="4A5ACC03"/>
    <w:rsid w:val="4A5B5448"/>
    <w:rsid w:val="4A5B6893"/>
    <w:rsid w:val="4A5C36CB"/>
    <w:rsid w:val="4A5C9DE7"/>
    <w:rsid w:val="4A5EFA64"/>
    <w:rsid w:val="4A5F1C38"/>
    <w:rsid w:val="4A5FB2FC"/>
    <w:rsid w:val="4A605960"/>
    <w:rsid w:val="4A61B763"/>
    <w:rsid w:val="4A6293C9"/>
    <w:rsid w:val="4A665AE1"/>
    <w:rsid w:val="4A6663FD"/>
    <w:rsid w:val="4A675A5E"/>
    <w:rsid w:val="4A67A485"/>
    <w:rsid w:val="4A68235F"/>
    <w:rsid w:val="4A692D12"/>
    <w:rsid w:val="4A69DC73"/>
    <w:rsid w:val="4A6A09F8"/>
    <w:rsid w:val="4A6C9D4C"/>
    <w:rsid w:val="4A6F30A0"/>
    <w:rsid w:val="4A6F3207"/>
    <w:rsid w:val="4A704ECC"/>
    <w:rsid w:val="4A708566"/>
    <w:rsid w:val="4A70B138"/>
    <w:rsid w:val="4A721E1E"/>
    <w:rsid w:val="4A74CF81"/>
    <w:rsid w:val="4A74E2E4"/>
    <w:rsid w:val="4A755305"/>
    <w:rsid w:val="4A7555FC"/>
    <w:rsid w:val="4A76D303"/>
    <w:rsid w:val="4A79E8B7"/>
    <w:rsid w:val="4A7A02B8"/>
    <w:rsid w:val="4A7A5492"/>
    <w:rsid w:val="4A7AD44A"/>
    <w:rsid w:val="4A7B7444"/>
    <w:rsid w:val="4A7C6490"/>
    <w:rsid w:val="4A7D6CF5"/>
    <w:rsid w:val="4A7FA61C"/>
    <w:rsid w:val="4A810EEA"/>
    <w:rsid w:val="4A816A4E"/>
    <w:rsid w:val="4A83DB16"/>
    <w:rsid w:val="4A83EDA2"/>
    <w:rsid w:val="4A86567E"/>
    <w:rsid w:val="4A886137"/>
    <w:rsid w:val="4A88F80B"/>
    <w:rsid w:val="4A891786"/>
    <w:rsid w:val="4A897450"/>
    <w:rsid w:val="4A89E42E"/>
    <w:rsid w:val="4A8A37E3"/>
    <w:rsid w:val="4A8BF7F0"/>
    <w:rsid w:val="4A8D3E11"/>
    <w:rsid w:val="4A8E2361"/>
    <w:rsid w:val="4A8E6607"/>
    <w:rsid w:val="4A8EB342"/>
    <w:rsid w:val="4A8FD403"/>
    <w:rsid w:val="4A909E93"/>
    <w:rsid w:val="4A916B82"/>
    <w:rsid w:val="4A91E9DA"/>
    <w:rsid w:val="4A9203CA"/>
    <w:rsid w:val="4A9229BA"/>
    <w:rsid w:val="4A9242B4"/>
    <w:rsid w:val="4A924430"/>
    <w:rsid w:val="4A93048B"/>
    <w:rsid w:val="4A96E65C"/>
    <w:rsid w:val="4A9727F2"/>
    <w:rsid w:val="4A97DE09"/>
    <w:rsid w:val="4A980BFD"/>
    <w:rsid w:val="4A98E6B2"/>
    <w:rsid w:val="4A998047"/>
    <w:rsid w:val="4A999D07"/>
    <w:rsid w:val="4A9F7686"/>
    <w:rsid w:val="4AA0DEA9"/>
    <w:rsid w:val="4AA0EC29"/>
    <w:rsid w:val="4AA1CA8F"/>
    <w:rsid w:val="4AA36587"/>
    <w:rsid w:val="4AA38DA6"/>
    <w:rsid w:val="4AA3C4ED"/>
    <w:rsid w:val="4AA4F2FE"/>
    <w:rsid w:val="4AA5B144"/>
    <w:rsid w:val="4AA7687C"/>
    <w:rsid w:val="4AA89234"/>
    <w:rsid w:val="4AAA964F"/>
    <w:rsid w:val="4AAABDEB"/>
    <w:rsid w:val="4AAB0C0A"/>
    <w:rsid w:val="4AAD3240"/>
    <w:rsid w:val="4AAF1D88"/>
    <w:rsid w:val="4AAF1EF8"/>
    <w:rsid w:val="4AB00FFF"/>
    <w:rsid w:val="4AB282EE"/>
    <w:rsid w:val="4AB2F72F"/>
    <w:rsid w:val="4AB507A1"/>
    <w:rsid w:val="4AB60BE7"/>
    <w:rsid w:val="4AB6DA7A"/>
    <w:rsid w:val="4AB74DA4"/>
    <w:rsid w:val="4AB81CA1"/>
    <w:rsid w:val="4ABA49B9"/>
    <w:rsid w:val="4ABAACDC"/>
    <w:rsid w:val="4ABB17F0"/>
    <w:rsid w:val="4ABB43DF"/>
    <w:rsid w:val="4ABEA1AF"/>
    <w:rsid w:val="4ABF6245"/>
    <w:rsid w:val="4AC1772C"/>
    <w:rsid w:val="4AC201DD"/>
    <w:rsid w:val="4AC329B4"/>
    <w:rsid w:val="4AC3672C"/>
    <w:rsid w:val="4AC379AA"/>
    <w:rsid w:val="4AC6CCB2"/>
    <w:rsid w:val="4AC6F6C4"/>
    <w:rsid w:val="4AC75365"/>
    <w:rsid w:val="4ACAD8C5"/>
    <w:rsid w:val="4ACD5B69"/>
    <w:rsid w:val="4ACD7B3C"/>
    <w:rsid w:val="4ACE8D0E"/>
    <w:rsid w:val="4AD0D52D"/>
    <w:rsid w:val="4AD0FEB5"/>
    <w:rsid w:val="4AD2372D"/>
    <w:rsid w:val="4AD2B29C"/>
    <w:rsid w:val="4AD2BAA8"/>
    <w:rsid w:val="4AD36FBE"/>
    <w:rsid w:val="4AD38766"/>
    <w:rsid w:val="4AD4A935"/>
    <w:rsid w:val="4AD5CD49"/>
    <w:rsid w:val="4AD6446E"/>
    <w:rsid w:val="4AD6B5F8"/>
    <w:rsid w:val="4AD6D80E"/>
    <w:rsid w:val="4AD96D5C"/>
    <w:rsid w:val="4AD9E921"/>
    <w:rsid w:val="4ADAD1AA"/>
    <w:rsid w:val="4ADAE1E0"/>
    <w:rsid w:val="4ADCF911"/>
    <w:rsid w:val="4ADD23E4"/>
    <w:rsid w:val="4ADE1F88"/>
    <w:rsid w:val="4ADEA8E9"/>
    <w:rsid w:val="4AE117BA"/>
    <w:rsid w:val="4AE16D47"/>
    <w:rsid w:val="4AE2E548"/>
    <w:rsid w:val="4AE79D13"/>
    <w:rsid w:val="4AE8CE9A"/>
    <w:rsid w:val="4AE90842"/>
    <w:rsid w:val="4AEB93E7"/>
    <w:rsid w:val="4AEC093E"/>
    <w:rsid w:val="4AEC3996"/>
    <w:rsid w:val="4AED7D39"/>
    <w:rsid w:val="4AED8A58"/>
    <w:rsid w:val="4AF02578"/>
    <w:rsid w:val="4AF249B6"/>
    <w:rsid w:val="4AF28E59"/>
    <w:rsid w:val="4AF3835E"/>
    <w:rsid w:val="4AF3AB0A"/>
    <w:rsid w:val="4AF3B580"/>
    <w:rsid w:val="4AF638BD"/>
    <w:rsid w:val="4AF68529"/>
    <w:rsid w:val="4AF87CA6"/>
    <w:rsid w:val="4AF902B9"/>
    <w:rsid w:val="4AF9629C"/>
    <w:rsid w:val="4AFB71DA"/>
    <w:rsid w:val="4AFD1ABB"/>
    <w:rsid w:val="4AFEA92E"/>
    <w:rsid w:val="4AFFCEE0"/>
    <w:rsid w:val="4B007391"/>
    <w:rsid w:val="4B00D173"/>
    <w:rsid w:val="4B03A762"/>
    <w:rsid w:val="4B03A963"/>
    <w:rsid w:val="4B042C11"/>
    <w:rsid w:val="4B04369F"/>
    <w:rsid w:val="4B04869A"/>
    <w:rsid w:val="4B04CE70"/>
    <w:rsid w:val="4B056C10"/>
    <w:rsid w:val="4B0871F7"/>
    <w:rsid w:val="4B0AD913"/>
    <w:rsid w:val="4B0ADD3A"/>
    <w:rsid w:val="4B0B4B0C"/>
    <w:rsid w:val="4B0C4FBE"/>
    <w:rsid w:val="4B0CA91A"/>
    <w:rsid w:val="4B0F4F69"/>
    <w:rsid w:val="4B0FAA7A"/>
    <w:rsid w:val="4B0FAF9D"/>
    <w:rsid w:val="4B104421"/>
    <w:rsid w:val="4B11903E"/>
    <w:rsid w:val="4B11E198"/>
    <w:rsid w:val="4B12A04B"/>
    <w:rsid w:val="4B15D052"/>
    <w:rsid w:val="4B166D39"/>
    <w:rsid w:val="4B16AE2F"/>
    <w:rsid w:val="4B1800BA"/>
    <w:rsid w:val="4B1847C5"/>
    <w:rsid w:val="4B192297"/>
    <w:rsid w:val="4B1CC62B"/>
    <w:rsid w:val="4B1CEA5A"/>
    <w:rsid w:val="4B1D710D"/>
    <w:rsid w:val="4B1E8B33"/>
    <w:rsid w:val="4B1EBD08"/>
    <w:rsid w:val="4B1F4AA3"/>
    <w:rsid w:val="4B2053F4"/>
    <w:rsid w:val="4B213E1E"/>
    <w:rsid w:val="4B2263BA"/>
    <w:rsid w:val="4B2440CD"/>
    <w:rsid w:val="4B24686D"/>
    <w:rsid w:val="4B248B82"/>
    <w:rsid w:val="4B2661FE"/>
    <w:rsid w:val="4B27B23D"/>
    <w:rsid w:val="4B283E0A"/>
    <w:rsid w:val="4B28A6FB"/>
    <w:rsid w:val="4B2A14C6"/>
    <w:rsid w:val="4B2A7464"/>
    <w:rsid w:val="4B2AFE34"/>
    <w:rsid w:val="4B2B4FD7"/>
    <w:rsid w:val="4B2B8EF8"/>
    <w:rsid w:val="4B2B931D"/>
    <w:rsid w:val="4B2D2064"/>
    <w:rsid w:val="4B2E02ED"/>
    <w:rsid w:val="4B2E4845"/>
    <w:rsid w:val="4B2ECB8F"/>
    <w:rsid w:val="4B31A6D6"/>
    <w:rsid w:val="4B31F72F"/>
    <w:rsid w:val="4B333F8D"/>
    <w:rsid w:val="4B3340B8"/>
    <w:rsid w:val="4B34F536"/>
    <w:rsid w:val="4B352333"/>
    <w:rsid w:val="4B35DC63"/>
    <w:rsid w:val="4B363942"/>
    <w:rsid w:val="4B367894"/>
    <w:rsid w:val="4B36B357"/>
    <w:rsid w:val="4B374C7C"/>
    <w:rsid w:val="4B381638"/>
    <w:rsid w:val="4B3829D2"/>
    <w:rsid w:val="4B387FA0"/>
    <w:rsid w:val="4B399666"/>
    <w:rsid w:val="4B3AA2BB"/>
    <w:rsid w:val="4B3AAF9B"/>
    <w:rsid w:val="4B3AD371"/>
    <w:rsid w:val="4B3AE02D"/>
    <w:rsid w:val="4B3BBBEF"/>
    <w:rsid w:val="4B3C4197"/>
    <w:rsid w:val="4B3F6CFE"/>
    <w:rsid w:val="4B3FA4BB"/>
    <w:rsid w:val="4B3FAEC0"/>
    <w:rsid w:val="4B407901"/>
    <w:rsid w:val="4B40AA4E"/>
    <w:rsid w:val="4B41994E"/>
    <w:rsid w:val="4B4220A6"/>
    <w:rsid w:val="4B4285FD"/>
    <w:rsid w:val="4B42871C"/>
    <w:rsid w:val="4B44E516"/>
    <w:rsid w:val="4B44E8AC"/>
    <w:rsid w:val="4B4546D6"/>
    <w:rsid w:val="4B46BA52"/>
    <w:rsid w:val="4B4710C7"/>
    <w:rsid w:val="4B477C91"/>
    <w:rsid w:val="4B48C2E1"/>
    <w:rsid w:val="4B4B7E01"/>
    <w:rsid w:val="4B4C5EB8"/>
    <w:rsid w:val="4B4DAA63"/>
    <w:rsid w:val="4B4FDCBE"/>
    <w:rsid w:val="4B50355D"/>
    <w:rsid w:val="4B50EF71"/>
    <w:rsid w:val="4B51D940"/>
    <w:rsid w:val="4B522B05"/>
    <w:rsid w:val="4B52DAD4"/>
    <w:rsid w:val="4B539A56"/>
    <w:rsid w:val="4B548D8B"/>
    <w:rsid w:val="4B556E22"/>
    <w:rsid w:val="4B55A517"/>
    <w:rsid w:val="4B570654"/>
    <w:rsid w:val="4B58E4A2"/>
    <w:rsid w:val="4B594B38"/>
    <w:rsid w:val="4B5959C3"/>
    <w:rsid w:val="4B5A0A90"/>
    <w:rsid w:val="4B5A53BF"/>
    <w:rsid w:val="4B5A549B"/>
    <w:rsid w:val="4B5A8B66"/>
    <w:rsid w:val="4B5B706D"/>
    <w:rsid w:val="4B5C69F7"/>
    <w:rsid w:val="4B5CF335"/>
    <w:rsid w:val="4B5E66FA"/>
    <w:rsid w:val="4B5E91BB"/>
    <w:rsid w:val="4B5E9C69"/>
    <w:rsid w:val="4B5F0F97"/>
    <w:rsid w:val="4B5F9779"/>
    <w:rsid w:val="4B60B49E"/>
    <w:rsid w:val="4B60C82B"/>
    <w:rsid w:val="4B618E94"/>
    <w:rsid w:val="4B61BBC2"/>
    <w:rsid w:val="4B631A52"/>
    <w:rsid w:val="4B640AB0"/>
    <w:rsid w:val="4B65486E"/>
    <w:rsid w:val="4B6591B2"/>
    <w:rsid w:val="4B659A91"/>
    <w:rsid w:val="4B663A1C"/>
    <w:rsid w:val="4B69186D"/>
    <w:rsid w:val="4B691CB6"/>
    <w:rsid w:val="4B6A24AF"/>
    <w:rsid w:val="4B6A2CBA"/>
    <w:rsid w:val="4B6A4F3A"/>
    <w:rsid w:val="4B6B54ED"/>
    <w:rsid w:val="4B6D0F40"/>
    <w:rsid w:val="4B6E05AC"/>
    <w:rsid w:val="4B6EBFFA"/>
    <w:rsid w:val="4B7161A5"/>
    <w:rsid w:val="4B71F40A"/>
    <w:rsid w:val="4B72BEAC"/>
    <w:rsid w:val="4B72EF25"/>
    <w:rsid w:val="4B73C19B"/>
    <w:rsid w:val="4B73FE5A"/>
    <w:rsid w:val="4B74771E"/>
    <w:rsid w:val="4B7591A7"/>
    <w:rsid w:val="4B76D650"/>
    <w:rsid w:val="4B79A03B"/>
    <w:rsid w:val="4B7B008E"/>
    <w:rsid w:val="4B7BF122"/>
    <w:rsid w:val="4B7DE793"/>
    <w:rsid w:val="4B7F5392"/>
    <w:rsid w:val="4B7F9745"/>
    <w:rsid w:val="4B7FEEB7"/>
    <w:rsid w:val="4B81013E"/>
    <w:rsid w:val="4B83393F"/>
    <w:rsid w:val="4B83B89B"/>
    <w:rsid w:val="4B848D2C"/>
    <w:rsid w:val="4B84C69E"/>
    <w:rsid w:val="4B8619E4"/>
    <w:rsid w:val="4B875E1F"/>
    <w:rsid w:val="4B87B668"/>
    <w:rsid w:val="4B892AB1"/>
    <w:rsid w:val="4B896001"/>
    <w:rsid w:val="4B89663D"/>
    <w:rsid w:val="4B8B68E5"/>
    <w:rsid w:val="4B8B746D"/>
    <w:rsid w:val="4B8BF2AD"/>
    <w:rsid w:val="4B8CC6DA"/>
    <w:rsid w:val="4B8DCBE4"/>
    <w:rsid w:val="4B8DDF50"/>
    <w:rsid w:val="4B8E7CD8"/>
    <w:rsid w:val="4B90D017"/>
    <w:rsid w:val="4B92D58E"/>
    <w:rsid w:val="4B975B47"/>
    <w:rsid w:val="4B99496D"/>
    <w:rsid w:val="4B9AD190"/>
    <w:rsid w:val="4B9B6CD0"/>
    <w:rsid w:val="4B9C7D9F"/>
    <w:rsid w:val="4B9D85FC"/>
    <w:rsid w:val="4B9E8383"/>
    <w:rsid w:val="4B9E998A"/>
    <w:rsid w:val="4B9F73AF"/>
    <w:rsid w:val="4BA00D86"/>
    <w:rsid w:val="4BA116B6"/>
    <w:rsid w:val="4BA22B3E"/>
    <w:rsid w:val="4BA2AB27"/>
    <w:rsid w:val="4BA3183C"/>
    <w:rsid w:val="4BA55CBB"/>
    <w:rsid w:val="4BA61FFD"/>
    <w:rsid w:val="4BA656D7"/>
    <w:rsid w:val="4BA68BB2"/>
    <w:rsid w:val="4BAA1E43"/>
    <w:rsid w:val="4BAC2374"/>
    <w:rsid w:val="4BAC5733"/>
    <w:rsid w:val="4BAF70BE"/>
    <w:rsid w:val="4BB02146"/>
    <w:rsid w:val="4BB06E85"/>
    <w:rsid w:val="4BB137A9"/>
    <w:rsid w:val="4BB19E78"/>
    <w:rsid w:val="4BB39DED"/>
    <w:rsid w:val="4BB40AE2"/>
    <w:rsid w:val="4BB451E1"/>
    <w:rsid w:val="4BB4C798"/>
    <w:rsid w:val="4BB5ABD0"/>
    <w:rsid w:val="4BB798B6"/>
    <w:rsid w:val="4BB8200E"/>
    <w:rsid w:val="4BBA63CE"/>
    <w:rsid w:val="4BBAA0DA"/>
    <w:rsid w:val="4BBF299F"/>
    <w:rsid w:val="4BC0D11B"/>
    <w:rsid w:val="4BC3B597"/>
    <w:rsid w:val="4BC456D0"/>
    <w:rsid w:val="4BC5C7F3"/>
    <w:rsid w:val="4BC67647"/>
    <w:rsid w:val="4BC68D25"/>
    <w:rsid w:val="4BC7333D"/>
    <w:rsid w:val="4BC8475F"/>
    <w:rsid w:val="4BC84D44"/>
    <w:rsid w:val="4BC87BA8"/>
    <w:rsid w:val="4BC89AAD"/>
    <w:rsid w:val="4BCA22C7"/>
    <w:rsid w:val="4BCB57F2"/>
    <w:rsid w:val="4BCB8607"/>
    <w:rsid w:val="4BCD9947"/>
    <w:rsid w:val="4BCD9DA2"/>
    <w:rsid w:val="4BCE5D96"/>
    <w:rsid w:val="4BD59A7A"/>
    <w:rsid w:val="4BD7F646"/>
    <w:rsid w:val="4BD82BB3"/>
    <w:rsid w:val="4BDAA5B0"/>
    <w:rsid w:val="4BDAD640"/>
    <w:rsid w:val="4BDC804E"/>
    <w:rsid w:val="4BDCD613"/>
    <w:rsid w:val="4BDEC189"/>
    <w:rsid w:val="4BE36973"/>
    <w:rsid w:val="4BE404C2"/>
    <w:rsid w:val="4BE41862"/>
    <w:rsid w:val="4BE5C81C"/>
    <w:rsid w:val="4BE5C99B"/>
    <w:rsid w:val="4BE5EBED"/>
    <w:rsid w:val="4BE632CC"/>
    <w:rsid w:val="4BE6897C"/>
    <w:rsid w:val="4BE6B7B9"/>
    <w:rsid w:val="4BE6FB96"/>
    <w:rsid w:val="4BE92C0E"/>
    <w:rsid w:val="4BE9CB83"/>
    <w:rsid w:val="4BEA98B6"/>
    <w:rsid w:val="4BEBA3C4"/>
    <w:rsid w:val="4BEDBA2C"/>
    <w:rsid w:val="4BEDD9E6"/>
    <w:rsid w:val="4BEE06E2"/>
    <w:rsid w:val="4BEE8410"/>
    <w:rsid w:val="4BEEA90E"/>
    <w:rsid w:val="4BEED807"/>
    <w:rsid w:val="4BF0A960"/>
    <w:rsid w:val="4BF1B8BE"/>
    <w:rsid w:val="4BF23012"/>
    <w:rsid w:val="4BF32F58"/>
    <w:rsid w:val="4BF34A7E"/>
    <w:rsid w:val="4BF35C7A"/>
    <w:rsid w:val="4BF38FDB"/>
    <w:rsid w:val="4BF3CC48"/>
    <w:rsid w:val="4BF498E9"/>
    <w:rsid w:val="4BF5806C"/>
    <w:rsid w:val="4BF5B650"/>
    <w:rsid w:val="4BF6148B"/>
    <w:rsid w:val="4BFADCF4"/>
    <w:rsid w:val="4BFB034C"/>
    <w:rsid w:val="4BFC60E4"/>
    <w:rsid w:val="4BFD0770"/>
    <w:rsid w:val="4BFDD826"/>
    <w:rsid w:val="4BFE86A7"/>
    <w:rsid w:val="4BFF0BE3"/>
    <w:rsid w:val="4BFF9909"/>
    <w:rsid w:val="4C0016EF"/>
    <w:rsid w:val="4C00B757"/>
    <w:rsid w:val="4C0176E6"/>
    <w:rsid w:val="4C01D059"/>
    <w:rsid w:val="4C026261"/>
    <w:rsid w:val="4C0340F6"/>
    <w:rsid w:val="4C036B51"/>
    <w:rsid w:val="4C0500B4"/>
    <w:rsid w:val="4C0546E7"/>
    <w:rsid w:val="4C05F2F9"/>
    <w:rsid w:val="4C07FC6E"/>
    <w:rsid w:val="4C097AD8"/>
    <w:rsid w:val="4C0AB632"/>
    <w:rsid w:val="4C0B0310"/>
    <w:rsid w:val="4C0B3A3D"/>
    <w:rsid w:val="4C0BD497"/>
    <w:rsid w:val="4C0CA660"/>
    <w:rsid w:val="4C0CC34F"/>
    <w:rsid w:val="4C0D8E51"/>
    <w:rsid w:val="4C0EAB81"/>
    <w:rsid w:val="4C0F2E2C"/>
    <w:rsid w:val="4C0FAED3"/>
    <w:rsid w:val="4C1083B1"/>
    <w:rsid w:val="4C1197D6"/>
    <w:rsid w:val="4C13F3AD"/>
    <w:rsid w:val="4C14C711"/>
    <w:rsid w:val="4C14F2EF"/>
    <w:rsid w:val="4C15729B"/>
    <w:rsid w:val="4C15DA7E"/>
    <w:rsid w:val="4C168C3E"/>
    <w:rsid w:val="4C17894C"/>
    <w:rsid w:val="4C17CE0F"/>
    <w:rsid w:val="4C19D98F"/>
    <w:rsid w:val="4C1A224F"/>
    <w:rsid w:val="4C1A7EE0"/>
    <w:rsid w:val="4C1B089A"/>
    <w:rsid w:val="4C1B204B"/>
    <w:rsid w:val="4C1BD8AB"/>
    <w:rsid w:val="4C1D8F7E"/>
    <w:rsid w:val="4C217111"/>
    <w:rsid w:val="4C22A1BA"/>
    <w:rsid w:val="4C23AFD6"/>
    <w:rsid w:val="4C243110"/>
    <w:rsid w:val="4C25F7E6"/>
    <w:rsid w:val="4C26A449"/>
    <w:rsid w:val="4C2783B7"/>
    <w:rsid w:val="4C28BDF0"/>
    <w:rsid w:val="4C29241B"/>
    <w:rsid w:val="4C2B40D0"/>
    <w:rsid w:val="4C2BFAD5"/>
    <w:rsid w:val="4C2BFD63"/>
    <w:rsid w:val="4C2C531B"/>
    <w:rsid w:val="4C2D10AA"/>
    <w:rsid w:val="4C2E14A2"/>
    <w:rsid w:val="4C2F77C6"/>
    <w:rsid w:val="4C30415F"/>
    <w:rsid w:val="4C31CC88"/>
    <w:rsid w:val="4C373A48"/>
    <w:rsid w:val="4C3A3F81"/>
    <w:rsid w:val="4C3A84F6"/>
    <w:rsid w:val="4C3AD21E"/>
    <w:rsid w:val="4C3B1710"/>
    <w:rsid w:val="4C3C0A25"/>
    <w:rsid w:val="4C3EAD69"/>
    <w:rsid w:val="4C3ECA3B"/>
    <w:rsid w:val="4C4117EC"/>
    <w:rsid w:val="4C41D053"/>
    <w:rsid w:val="4C434C3A"/>
    <w:rsid w:val="4C45D3A4"/>
    <w:rsid w:val="4C46FBC8"/>
    <w:rsid w:val="4C47C3BE"/>
    <w:rsid w:val="4C4803EF"/>
    <w:rsid w:val="4C4A88A9"/>
    <w:rsid w:val="4C4A9D4D"/>
    <w:rsid w:val="4C4BDDFB"/>
    <w:rsid w:val="4C4CDF34"/>
    <w:rsid w:val="4C4D0D79"/>
    <w:rsid w:val="4C4D3626"/>
    <w:rsid w:val="4C4F5E4A"/>
    <w:rsid w:val="4C4F8B75"/>
    <w:rsid w:val="4C503A23"/>
    <w:rsid w:val="4C50A0D7"/>
    <w:rsid w:val="4C50E104"/>
    <w:rsid w:val="4C515CC7"/>
    <w:rsid w:val="4C52089D"/>
    <w:rsid w:val="4C5261D9"/>
    <w:rsid w:val="4C530E50"/>
    <w:rsid w:val="4C53657B"/>
    <w:rsid w:val="4C53F238"/>
    <w:rsid w:val="4C53FC81"/>
    <w:rsid w:val="4C55D767"/>
    <w:rsid w:val="4C56108D"/>
    <w:rsid w:val="4C58B54E"/>
    <w:rsid w:val="4C58BA01"/>
    <w:rsid w:val="4C5A64C0"/>
    <w:rsid w:val="4C5AA4E8"/>
    <w:rsid w:val="4C5B29AD"/>
    <w:rsid w:val="4C5C4114"/>
    <w:rsid w:val="4C5D28BF"/>
    <w:rsid w:val="4C5D889A"/>
    <w:rsid w:val="4C5D8A7C"/>
    <w:rsid w:val="4C5DFD11"/>
    <w:rsid w:val="4C5F1827"/>
    <w:rsid w:val="4C60A01C"/>
    <w:rsid w:val="4C624F21"/>
    <w:rsid w:val="4C6278C7"/>
    <w:rsid w:val="4C6283E2"/>
    <w:rsid w:val="4C62961A"/>
    <w:rsid w:val="4C62D1A2"/>
    <w:rsid w:val="4C62EF5F"/>
    <w:rsid w:val="4C6395B1"/>
    <w:rsid w:val="4C639906"/>
    <w:rsid w:val="4C63BC18"/>
    <w:rsid w:val="4C647641"/>
    <w:rsid w:val="4C64772B"/>
    <w:rsid w:val="4C65250F"/>
    <w:rsid w:val="4C6795FB"/>
    <w:rsid w:val="4C67E031"/>
    <w:rsid w:val="4C68D6DB"/>
    <w:rsid w:val="4C69223C"/>
    <w:rsid w:val="4C6A3967"/>
    <w:rsid w:val="4C6AF467"/>
    <w:rsid w:val="4C6CEB6D"/>
    <w:rsid w:val="4C6EA5FA"/>
    <w:rsid w:val="4C6ED761"/>
    <w:rsid w:val="4C6FCDA3"/>
    <w:rsid w:val="4C70156F"/>
    <w:rsid w:val="4C70266F"/>
    <w:rsid w:val="4C7122D7"/>
    <w:rsid w:val="4C71DDEF"/>
    <w:rsid w:val="4C72ED2C"/>
    <w:rsid w:val="4C77A457"/>
    <w:rsid w:val="4C79B12A"/>
    <w:rsid w:val="4C79D33B"/>
    <w:rsid w:val="4C7A3262"/>
    <w:rsid w:val="4C7C796F"/>
    <w:rsid w:val="4C7CD4AF"/>
    <w:rsid w:val="4C7D9782"/>
    <w:rsid w:val="4C7E0964"/>
    <w:rsid w:val="4C7E16D6"/>
    <w:rsid w:val="4C7EB0C3"/>
    <w:rsid w:val="4C7F85E5"/>
    <w:rsid w:val="4C7FB451"/>
    <w:rsid w:val="4C809220"/>
    <w:rsid w:val="4C813FFD"/>
    <w:rsid w:val="4C8517EF"/>
    <w:rsid w:val="4C851C67"/>
    <w:rsid w:val="4C87423B"/>
    <w:rsid w:val="4C87900B"/>
    <w:rsid w:val="4C89084B"/>
    <w:rsid w:val="4C89E46F"/>
    <w:rsid w:val="4C8AD048"/>
    <w:rsid w:val="4C8E6767"/>
    <w:rsid w:val="4C8FD398"/>
    <w:rsid w:val="4C901DEF"/>
    <w:rsid w:val="4C91A37C"/>
    <w:rsid w:val="4C92A031"/>
    <w:rsid w:val="4C92AA2C"/>
    <w:rsid w:val="4C943F8A"/>
    <w:rsid w:val="4C94D111"/>
    <w:rsid w:val="4C950E96"/>
    <w:rsid w:val="4C95AF02"/>
    <w:rsid w:val="4C960BF5"/>
    <w:rsid w:val="4C970E9D"/>
    <w:rsid w:val="4C97FD3B"/>
    <w:rsid w:val="4C9825CF"/>
    <w:rsid w:val="4C984542"/>
    <w:rsid w:val="4C990143"/>
    <w:rsid w:val="4C9945D1"/>
    <w:rsid w:val="4C9C326A"/>
    <w:rsid w:val="4C9DAC1B"/>
    <w:rsid w:val="4C9E8113"/>
    <w:rsid w:val="4CA086F4"/>
    <w:rsid w:val="4CA160A6"/>
    <w:rsid w:val="4CA1CC92"/>
    <w:rsid w:val="4CA232E9"/>
    <w:rsid w:val="4CA34D00"/>
    <w:rsid w:val="4CA605A0"/>
    <w:rsid w:val="4CA68A40"/>
    <w:rsid w:val="4CA77672"/>
    <w:rsid w:val="4CA8F615"/>
    <w:rsid w:val="4CAAF148"/>
    <w:rsid w:val="4CAD005E"/>
    <w:rsid w:val="4CAD8875"/>
    <w:rsid w:val="4CAD97D0"/>
    <w:rsid w:val="4CADEF89"/>
    <w:rsid w:val="4CAE44BB"/>
    <w:rsid w:val="4CAFD447"/>
    <w:rsid w:val="4CB0956A"/>
    <w:rsid w:val="4CB25F89"/>
    <w:rsid w:val="4CB3EE9B"/>
    <w:rsid w:val="4CB5650B"/>
    <w:rsid w:val="4CB61784"/>
    <w:rsid w:val="4CB7B773"/>
    <w:rsid w:val="4CB7C196"/>
    <w:rsid w:val="4CB809A1"/>
    <w:rsid w:val="4CB935D0"/>
    <w:rsid w:val="4CB995FA"/>
    <w:rsid w:val="4CBB685C"/>
    <w:rsid w:val="4CBBE95A"/>
    <w:rsid w:val="4CBC6932"/>
    <w:rsid w:val="4CBCD115"/>
    <w:rsid w:val="4CBD2A57"/>
    <w:rsid w:val="4CBD4E80"/>
    <w:rsid w:val="4CBD9AD0"/>
    <w:rsid w:val="4CBE3261"/>
    <w:rsid w:val="4CC24E0A"/>
    <w:rsid w:val="4CC287F6"/>
    <w:rsid w:val="4CC2901A"/>
    <w:rsid w:val="4CC313DB"/>
    <w:rsid w:val="4CC31557"/>
    <w:rsid w:val="4CC3EB1A"/>
    <w:rsid w:val="4CC46810"/>
    <w:rsid w:val="4CC5150B"/>
    <w:rsid w:val="4CC6A502"/>
    <w:rsid w:val="4CC91DB0"/>
    <w:rsid w:val="4CC9AB76"/>
    <w:rsid w:val="4CCA0BEA"/>
    <w:rsid w:val="4CCAC6EC"/>
    <w:rsid w:val="4CCB50AC"/>
    <w:rsid w:val="4CCBBB22"/>
    <w:rsid w:val="4CD2F04A"/>
    <w:rsid w:val="4CD3DACE"/>
    <w:rsid w:val="4CD41D0C"/>
    <w:rsid w:val="4CD82F97"/>
    <w:rsid w:val="4CDA4FF6"/>
    <w:rsid w:val="4CDB6597"/>
    <w:rsid w:val="4CDD42D4"/>
    <w:rsid w:val="4CDD5505"/>
    <w:rsid w:val="4CE0548F"/>
    <w:rsid w:val="4CE2BFFA"/>
    <w:rsid w:val="4CE8DB4E"/>
    <w:rsid w:val="4CE914D9"/>
    <w:rsid w:val="4CE9B127"/>
    <w:rsid w:val="4CE9C9CD"/>
    <w:rsid w:val="4CEA9206"/>
    <w:rsid w:val="4CEBDCE1"/>
    <w:rsid w:val="4CF064F7"/>
    <w:rsid w:val="4CF091A5"/>
    <w:rsid w:val="4CF0C57B"/>
    <w:rsid w:val="4CF28F37"/>
    <w:rsid w:val="4CF408A9"/>
    <w:rsid w:val="4CF4B5D0"/>
    <w:rsid w:val="4CF60AC2"/>
    <w:rsid w:val="4CF6C322"/>
    <w:rsid w:val="4CF8A76E"/>
    <w:rsid w:val="4CFBB507"/>
    <w:rsid w:val="4CFBDE8A"/>
    <w:rsid w:val="4CFBF581"/>
    <w:rsid w:val="4CFDC223"/>
    <w:rsid w:val="4D014671"/>
    <w:rsid w:val="4D016C4E"/>
    <w:rsid w:val="4D01C0C4"/>
    <w:rsid w:val="4D02CA9B"/>
    <w:rsid w:val="4D0318C4"/>
    <w:rsid w:val="4D05C89C"/>
    <w:rsid w:val="4D064F12"/>
    <w:rsid w:val="4D06B8D9"/>
    <w:rsid w:val="4D09266D"/>
    <w:rsid w:val="4D0A0625"/>
    <w:rsid w:val="4D0A09ED"/>
    <w:rsid w:val="4D0A9BAB"/>
    <w:rsid w:val="4D0C8E65"/>
    <w:rsid w:val="4D0D3206"/>
    <w:rsid w:val="4D0E442D"/>
    <w:rsid w:val="4D0F0283"/>
    <w:rsid w:val="4D0F163B"/>
    <w:rsid w:val="4D0F87ED"/>
    <w:rsid w:val="4D0FC91C"/>
    <w:rsid w:val="4D0FE5CD"/>
    <w:rsid w:val="4D10A2CB"/>
    <w:rsid w:val="4D11C8A0"/>
    <w:rsid w:val="4D131530"/>
    <w:rsid w:val="4D1349D8"/>
    <w:rsid w:val="4D13E93D"/>
    <w:rsid w:val="4D144FD1"/>
    <w:rsid w:val="4D1498D0"/>
    <w:rsid w:val="4D1571B9"/>
    <w:rsid w:val="4D1603FA"/>
    <w:rsid w:val="4D1A685A"/>
    <w:rsid w:val="4D1B0824"/>
    <w:rsid w:val="4D1C18E1"/>
    <w:rsid w:val="4D1F2B85"/>
    <w:rsid w:val="4D1F2C72"/>
    <w:rsid w:val="4D1FC9D9"/>
    <w:rsid w:val="4D213DDE"/>
    <w:rsid w:val="4D225E53"/>
    <w:rsid w:val="4D243992"/>
    <w:rsid w:val="4D24DF3C"/>
    <w:rsid w:val="4D26CEE1"/>
    <w:rsid w:val="4D26E5AD"/>
    <w:rsid w:val="4D28FA63"/>
    <w:rsid w:val="4D2A8DC8"/>
    <w:rsid w:val="4D2AA8B1"/>
    <w:rsid w:val="4D2CA0ED"/>
    <w:rsid w:val="4D2D83EB"/>
    <w:rsid w:val="4D2DAB57"/>
    <w:rsid w:val="4D2E551D"/>
    <w:rsid w:val="4D3142B7"/>
    <w:rsid w:val="4D317AC4"/>
    <w:rsid w:val="4D343A5F"/>
    <w:rsid w:val="4D35136A"/>
    <w:rsid w:val="4D35C410"/>
    <w:rsid w:val="4D35D5AF"/>
    <w:rsid w:val="4D36E1D4"/>
    <w:rsid w:val="4D3724D4"/>
    <w:rsid w:val="4D3B786C"/>
    <w:rsid w:val="4D3DAE37"/>
    <w:rsid w:val="4D3F3B37"/>
    <w:rsid w:val="4D404523"/>
    <w:rsid w:val="4D416055"/>
    <w:rsid w:val="4D43135A"/>
    <w:rsid w:val="4D43E3E0"/>
    <w:rsid w:val="4D44173A"/>
    <w:rsid w:val="4D491B2D"/>
    <w:rsid w:val="4D4C89E7"/>
    <w:rsid w:val="4D4D0332"/>
    <w:rsid w:val="4D4D17E0"/>
    <w:rsid w:val="4D4DBDAA"/>
    <w:rsid w:val="4D4DD463"/>
    <w:rsid w:val="4D501128"/>
    <w:rsid w:val="4D50F68C"/>
    <w:rsid w:val="4D516AB2"/>
    <w:rsid w:val="4D51CA7D"/>
    <w:rsid w:val="4D534240"/>
    <w:rsid w:val="4D53E9D5"/>
    <w:rsid w:val="4D556D4F"/>
    <w:rsid w:val="4D55D146"/>
    <w:rsid w:val="4D5674E7"/>
    <w:rsid w:val="4D56C61B"/>
    <w:rsid w:val="4D581A61"/>
    <w:rsid w:val="4D581D5B"/>
    <w:rsid w:val="4D592141"/>
    <w:rsid w:val="4D5ABBE5"/>
    <w:rsid w:val="4D5B7152"/>
    <w:rsid w:val="4D5BB435"/>
    <w:rsid w:val="4D5BC170"/>
    <w:rsid w:val="4D5DCF2E"/>
    <w:rsid w:val="4D5DF0BA"/>
    <w:rsid w:val="4D5EDF61"/>
    <w:rsid w:val="4D5F4892"/>
    <w:rsid w:val="4D5FDC3B"/>
    <w:rsid w:val="4D61969F"/>
    <w:rsid w:val="4D64030F"/>
    <w:rsid w:val="4D640B7D"/>
    <w:rsid w:val="4D6480C7"/>
    <w:rsid w:val="4D667BA7"/>
    <w:rsid w:val="4D678883"/>
    <w:rsid w:val="4D67EC17"/>
    <w:rsid w:val="4D69B0FD"/>
    <w:rsid w:val="4D69D206"/>
    <w:rsid w:val="4D6B8073"/>
    <w:rsid w:val="4D6C9988"/>
    <w:rsid w:val="4D6CB512"/>
    <w:rsid w:val="4D6CC525"/>
    <w:rsid w:val="4D6D675A"/>
    <w:rsid w:val="4D6D8FCD"/>
    <w:rsid w:val="4D6F957D"/>
    <w:rsid w:val="4D700AD7"/>
    <w:rsid w:val="4D702DE3"/>
    <w:rsid w:val="4D70972F"/>
    <w:rsid w:val="4D713239"/>
    <w:rsid w:val="4D723907"/>
    <w:rsid w:val="4D72B4C0"/>
    <w:rsid w:val="4D731F70"/>
    <w:rsid w:val="4D74EA98"/>
    <w:rsid w:val="4D7592DE"/>
    <w:rsid w:val="4D75D183"/>
    <w:rsid w:val="4D764F09"/>
    <w:rsid w:val="4D7718E8"/>
    <w:rsid w:val="4D774F74"/>
    <w:rsid w:val="4D77F134"/>
    <w:rsid w:val="4D7B7264"/>
    <w:rsid w:val="4D7BD289"/>
    <w:rsid w:val="4D7BDEC9"/>
    <w:rsid w:val="4D7D741B"/>
    <w:rsid w:val="4D7D8BDC"/>
    <w:rsid w:val="4D7E4B80"/>
    <w:rsid w:val="4D80C531"/>
    <w:rsid w:val="4D81126C"/>
    <w:rsid w:val="4D84D6B0"/>
    <w:rsid w:val="4D8681AB"/>
    <w:rsid w:val="4D879738"/>
    <w:rsid w:val="4D88A543"/>
    <w:rsid w:val="4D89E3E4"/>
    <w:rsid w:val="4D8A9349"/>
    <w:rsid w:val="4D8AA109"/>
    <w:rsid w:val="4D8B4B5B"/>
    <w:rsid w:val="4D8C0502"/>
    <w:rsid w:val="4D8D10FE"/>
    <w:rsid w:val="4D8E4640"/>
    <w:rsid w:val="4D8E4EDB"/>
    <w:rsid w:val="4D920340"/>
    <w:rsid w:val="4D929C0E"/>
    <w:rsid w:val="4D93AC7F"/>
    <w:rsid w:val="4D94FEA1"/>
    <w:rsid w:val="4D95195E"/>
    <w:rsid w:val="4D95EA1F"/>
    <w:rsid w:val="4D9632A5"/>
    <w:rsid w:val="4D96BF62"/>
    <w:rsid w:val="4D98DDE5"/>
    <w:rsid w:val="4D991CC0"/>
    <w:rsid w:val="4D9A12D1"/>
    <w:rsid w:val="4D9A42A7"/>
    <w:rsid w:val="4D9BB59B"/>
    <w:rsid w:val="4D9C0134"/>
    <w:rsid w:val="4D9C1D1D"/>
    <w:rsid w:val="4D9C9525"/>
    <w:rsid w:val="4D9CBE9D"/>
    <w:rsid w:val="4D9EE458"/>
    <w:rsid w:val="4D9F31C4"/>
    <w:rsid w:val="4DA0DA67"/>
    <w:rsid w:val="4DA2DB41"/>
    <w:rsid w:val="4DA3FEA9"/>
    <w:rsid w:val="4DA4A830"/>
    <w:rsid w:val="4DA73CCA"/>
    <w:rsid w:val="4DA7B57E"/>
    <w:rsid w:val="4DA7B607"/>
    <w:rsid w:val="4DA7B844"/>
    <w:rsid w:val="4DA850F2"/>
    <w:rsid w:val="4DA950E2"/>
    <w:rsid w:val="4DAA3162"/>
    <w:rsid w:val="4DAB1E7B"/>
    <w:rsid w:val="4DABECB4"/>
    <w:rsid w:val="4DAC2938"/>
    <w:rsid w:val="4DACF988"/>
    <w:rsid w:val="4DAD41EA"/>
    <w:rsid w:val="4DAEBA73"/>
    <w:rsid w:val="4DB15336"/>
    <w:rsid w:val="4DB2750C"/>
    <w:rsid w:val="4DB2B30F"/>
    <w:rsid w:val="4DB47C47"/>
    <w:rsid w:val="4DB51A44"/>
    <w:rsid w:val="4DB56119"/>
    <w:rsid w:val="4DB5983B"/>
    <w:rsid w:val="4DB63B39"/>
    <w:rsid w:val="4DB83A8B"/>
    <w:rsid w:val="4DB91C54"/>
    <w:rsid w:val="4DB939F1"/>
    <w:rsid w:val="4DB9545E"/>
    <w:rsid w:val="4DBB1B21"/>
    <w:rsid w:val="4DBBB00F"/>
    <w:rsid w:val="4DBBF7C4"/>
    <w:rsid w:val="4DBC9F4B"/>
    <w:rsid w:val="4DBCE7F1"/>
    <w:rsid w:val="4DBDC00A"/>
    <w:rsid w:val="4DBE0FC1"/>
    <w:rsid w:val="4DBF2BD3"/>
    <w:rsid w:val="4DC3F632"/>
    <w:rsid w:val="4DC57F1C"/>
    <w:rsid w:val="4DC5DAB6"/>
    <w:rsid w:val="4DC6FCA5"/>
    <w:rsid w:val="4DC76933"/>
    <w:rsid w:val="4DC7CB1B"/>
    <w:rsid w:val="4DC9EF99"/>
    <w:rsid w:val="4DC9F46A"/>
    <w:rsid w:val="4DC9FCA5"/>
    <w:rsid w:val="4DC9FF7B"/>
    <w:rsid w:val="4DCCCD90"/>
    <w:rsid w:val="4DCD39EC"/>
    <w:rsid w:val="4DCFFC20"/>
    <w:rsid w:val="4DD058AE"/>
    <w:rsid w:val="4DD0D8D6"/>
    <w:rsid w:val="4DD16B52"/>
    <w:rsid w:val="4DD21B87"/>
    <w:rsid w:val="4DD425DD"/>
    <w:rsid w:val="4DD47A3D"/>
    <w:rsid w:val="4DD8857E"/>
    <w:rsid w:val="4DD8ED22"/>
    <w:rsid w:val="4DD94213"/>
    <w:rsid w:val="4DDAC343"/>
    <w:rsid w:val="4DDAD824"/>
    <w:rsid w:val="4DDB2CB4"/>
    <w:rsid w:val="4DDD8D00"/>
    <w:rsid w:val="4DDF0753"/>
    <w:rsid w:val="4DDF8AE6"/>
    <w:rsid w:val="4DE030B3"/>
    <w:rsid w:val="4DE055CD"/>
    <w:rsid w:val="4DE17B90"/>
    <w:rsid w:val="4DE1EC5B"/>
    <w:rsid w:val="4DE21536"/>
    <w:rsid w:val="4DE260A5"/>
    <w:rsid w:val="4DE48CBA"/>
    <w:rsid w:val="4DE4AED8"/>
    <w:rsid w:val="4DE6F891"/>
    <w:rsid w:val="4DE74695"/>
    <w:rsid w:val="4DE77F90"/>
    <w:rsid w:val="4DE8F1D6"/>
    <w:rsid w:val="4DE9BF71"/>
    <w:rsid w:val="4DEA8301"/>
    <w:rsid w:val="4DEB14C5"/>
    <w:rsid w:val="4DED6F73"/>
    <w:rsid w:val="4DEE487B"/>
    <w:rsid w:val="4DEE63F7"/>
    <w:rsid w:val="4DEED825"/>
    <w:rsid w:val="4DF099D0"/>
    <w:rsid w:val="4DF1124A"/>
    <w:rsid w:val="4DF1FF65"/>
    <w:rsid w:val="4DF4BC75"/>
    <w:rsid w:val="4DF50889"/>
    <w:rsid w:val="4DF58FD8"/>
    <w:rsid w:val="4DF88748"/>
    <w:rsid w:val="4DFA17B2"/>
    <w:rsid w:val="4DFA19A3"/>
    <w:rsid w:val="4DFBA966"/>
    <w:rsid w:val="4DFCE261"/>
    <w:rsid w:val="4DFDFDF4"/>
    <w:rsid w:val="4DFEF4EB"/>
    <w:rsid w:val="4DFFBD96"/>
    <w:rsid w:val="4E006798"/>
    <w:rsid w:val="4E014551"/>
    <w:rsid w:val="4E031C58"/>
    <w:rsid w:val="4E0438D7"/>
    <w:rsid w:val="4E057259"/>
    <w:rsid w:val="4E064FE8"/>
    <w:rsid w:val="4E0B320E"/>
    <w:rsid w:val="4E0B71EF"/>
    <w:rsid w:val="4E0C0CE8"/>
    <w:rsid w:val="4E0CC10B"/>
    <w:rsid w:val="4E0DE553"/>
    <w:rsid w:val="4E0EA867"/>
    <w:rsid w:val="4E0F1BCA"/>
    <w:rsid w:val="4E100F2D"/>
    <w:rsid w:val="4E10C009"/>
    <w:rsid w:val="4E10CD39"/>
    <w:rsid w:val="4E121FC6"/>
    <w:rsid w:val="4E12991C"/>
    <w:rsid w:val="4E1419D1"/>
    <w:rsid w:val="4E1429E6"/>
    <w:rsid w:val="4E14D732"/>
    <w:rsid w:val="4E14F4DF"/>
    <w:rsid w:val="4E157023"/>
    <w:rsid w:val="4E15CD2F"/>
    <w:rsid w:val="4E1602FF"/>
    <w:rsid w:val="4E18AE2A"/>
    <w:rsid w:val="4E1AD6E0"/>
    <w:rsid w:val="4E1B233E"/>
    <w:rsid w:val="4E1C6C81"/>
    <w:rsid w:val="4E1D3027"/>
    <w:rsid w:val="4E2095DC"/>
    <w:rsid w:val="4E2110E6"/>
    <w:rsid w:val="4E23475B"/>
    <w:rsid w:val="4E23B4B2"/>
    <w:rsid w:val="4E23DF6B"/>
    <w:rsid w:val="4E24C6F6"/>
    <w:rsid w:val="4E261C84"/>
    <w:rsid w:val="4E27FF00"/>
    <w:rsid w:val="4E2804A6"/>
    <w:rsid w:val="4E290C82"/>
    <w:rsid w:val="4E299E8A"/>
    <w:rsid w:val="4E2AA510"/>
    <w:rsid w:val="4E2AD981"/>
    <w:rsid w:val="4E2B8ED8"/>
    <w:rsid w:val="4E2C10EB"/>
    <w:rsid w:val="4E2C6307"/>
    <w:rsid w:val="4E2F699C"/>
    <w:rsid w:val="4E30B86F"/>
    <w:rsid w:val="4E322C0C"/>
    <w:rsid w:val="4E3465F9"/>
    <w:rsid w:val="4E34D1A4"/>
    <w:rsid w:val="4E359C1D"/>
    <w:rsid w:val="4E35D9B1"/>
    <w:rsid w:val="4E3649E7"/>
    <w:rsid w:val="4E3945C5"/>
    <w:rsid w:val="4E39F228"/>
    <w:rsid w:val="4E3A1CE3"/>
    <w:rsid w:val="4E3E2A3E"/>
    <w:rsid w:val="4E3E3CA6"/>
    <w:rsid w:val="4E3E593D"/>
    <w:rsid w:val="4E3F0C55"/>
    <w:rsid w:val="4E40A99F"/>
    <w:rsid w:val="4E40F850"/>
    <w:rsid w:val="4E41A46C"/>
    <w:rsid w:val="4E41D343"/>
    <w:rsid w:val="4E42EFFE"/>
    <w:rsid w:val="4E4300CE"/>
    <w:rsid w:val="4E435422"/>
    <w:rsid w:val="4E43B21F"/>
    <w:rsid w:val="4E43F04F"/>
    <w:rsid w:val="4E44D864"/>
    <w:rsid w:val="4E45D090"/>
    <w:rsid w:val="4E45DAEB"/>
    <w:rsid w:val="4E462C9F"/>
    <w:rsid w:val="4E486DAF"/>
    <w:rsid w:val="4E491A18"/>
    <w:rsid w:val="4E491A46"/>
    <w:rsid w:val="4E49F763"/>
    <w:rsid w:val="4E4BD6D6"/>
    <w:rsid w:val="4E4BF220"/>
    <w:rsid w:val="4E4D26C2"/>
    <w:rsid w:val="4E4E72E8"/>
    <w:rsid w:val="4E4E82C4"/>
    <w:rsid w:val="4E4EABD5"/>
    <w:rsid w:val="4E4F6F7A"/>
    <w:rsid w:val="4E51294F"/>
    <w:rsid w:val="4E52F0A8"/>
    <w:rsid w:val="4E5543A0"/>
    <w:rsid w:val="4E5636D0"/>
    <w:rsid w:val="4E56952C"/>
    <w:rsid w:val="4E575B4C"/>
    <w:rsid w:val="4E58A176"/>
    <w:rsid w:val="4E598C08"/>
    <w:rsid w:val="4E5C2C73"/>
    <w:rsid w:val="4E5C5AC3"/>
    <w:rsid w:val="4E5E78A3"/>
    <w:rsid w:val="4E5F3CBC"/>
    <w:rsid w:val="4E61E1F3"/>
    <w:rsid w:val="4E6220F1"/>
    <w:rsid w:val="4E6411B9"/>
    <w:rsid w:val="4E6427DB"/>
    <w:rsid w:val="4E649D57"/>
    <w:rsid w:val="4E64C096"/>
    <w:rsid w:val="4E655833"/>
    <w:rsid w:val="4E65A002"/>
    <w:rsid w:val="4E65F867"/>
    <w:rsid w:val="4E6728ED"/>
    <w:rsid w:val="4E67A901"/>
    <w:rsid w:val="4E67BE82"/>
    <w:rsid w:val="4E68155F"/>
    <w:rsid w:val="4E68C903"/>
    <w:rsid w:val="4E68E737"/>
    <w:rsid w:val="4E68EF3C"/>
    <w:rsid w:val="4E693230"/>
    <w:rsid w:val="4E6A2FDE"/>
    <w:rsid w:val="4E6A5633"/>
    <w:rsid w:val="4E6A8856"/>
    <w:rsid w:val="4E720BAD"/>
    <w:rsid w:val="4E730367"/>
    <w:rsid w:val="4E733331"/>
    <w:rsid w:val="4E75BB21"/>
    <w:rsid w:val="4E75DE3A"/>
    <w:rsid w:val="4E77D888"/>
    <w:rsid w:val="4E77DEF6"/>
    <w:rsid w:val="4E7BADCE"/>
    <w:rsid w:val="4E7C809B"/>
    <w:rsid w:val="4E7D512C"/>
    <w:rsid w:val="4E7D66F6"/>
    <w:rsid w:val="4E7E6661"/>
    <w:rsid w:val="4E80D562"/>
    <w:rsid w:val="4E81602F"/>
    <w:rsid w:val="4E818E96"/>
    <w:rsid w:val="4E81F8DB"/>
    <w:rsid w:val="4E82E1AC"/>
    <w:rsid w:val="4E84629A"/>
    <w:rsid w:val="4E873C7C"/>
    <w:rsid w:val="4E8750EC"/>
    <w:rsid w:val="4E875AEF"/>
    <w:rsid w:val="4E883087"/>
    <w:rsid w:val="4E88AC45"/>
    <w:rsid w:val="4E8A5997"/>
    <w:rsid w:val="4E8C92E7"/>
    <w:rsid w:val="4E8DCB4C"/>
    <w:rsid w:val="4E90C5CC"/>
    <w:rsid w:val="4E920171"/>
    <w:rsid w:val="4E96C8B9"/>
    <w:rsid w:val="4E98A640"/>
    <w:rsid w:val="4E98F4A8"/>
    <w:rsid w:val="4E99425B"/>
    <w:rsid w:val="4E9A1733"/>
    <w:rsid w:val="4E9C23AF"/>
    <w:rsid w:val="4E9C9704"/>
    <w:rsid w:val="4E9E1C12"/>
    <w:rsid w:val="4E9F7D00"/>
    <w:rsid w:val="4EA08661"/>
    <w:rsid w:val="4EA08C0E"/>
    <w:rsid w:val="4EA1C7EF"/>
    <w:rsid w:val="4EA38645"/>
    <w:rsid w:val="4EA3F41E"/>
    <w:rsid w:val="4EA4BD69"/>
    <w:rsid w:val="4EA6612D"/>
    <w:rsid w:val="4EA6D81B"/>
    <w:rsid w:val="4EA70FB6"/>
    <w:rsid w:val="4EA7C21B"/>
    <w:rsid w:val="4EA94CC4"/>
    <w:rsid w:val="4EAA8E20"/>
    <w:rsid w:val="4EAB8A94"/>
    <w:rsid w:val="4EAC3AD9"/>
    <w:rsid w:val="4EACC3BA"/>
    <w:rsid w:val="4EADA02C"/>
    <w:rsid w:val="4EAF4A75"/>
    <w:rsid w:val="4EB06D51"/>
    <w:rsid w:val="4EB09D0C"/>
    <w:rsid w:val="4EB35328"/>
    <w:rsid w:val="4EB3AC95"/>
    <w:rsid w:val="4EB64F46"/>
    <w:rsid w:val="4EB6BE86"/>
    <w:rsid w:val="4EB6DA4F"/>
    <w:rsid w:val="4EB83B75"/>
    <w:rsid w:val="4EB86FC3"/>
    <w:rsid w:val="4EB870E3"/>
    <w:rsid w:val="4EB9B24D"/>
    <w:rsid w:val="4EB9D91F"/>
    <w:rsid w:val="4EBA3E84"/>
    <w:rsid w:val="4EBA4AE7"/>
    <w:rsid w:val="4EBDC665"/>
    <w:rsid w:val="4EC0DC06"/>
    <w:rsid w:val="4EC18A89"/>
    <w:rsid w:val="4EC1B6AD"/>
    <w:rsid w:val="4EC1FC3F"/>
    <w:rsid w:val="4EC20EA6"/>
    <w:rsid w:val="4EC29281"/>
    <w:rsid w:val="4EC46170"/>
    <w:rsid w:val="4EC4DCFF"/>
    <w:rsid w:val="4EC6493D"/>
    <w:rsid w:val="4EC6B62D"/>
    <w:rsid w:val="4EC816A0"/>
    <w:rsid w:val="4EC96F6C"/>
    <w:rsid w:val="4EC985FB"/>
    <w:rsid w:val="4EC9C4FE"/>
    <w:rsid w:val="4ECAAE3E"/>
    <w:rsid w:val="4ECBA470"/>
    <w:rsid w:val="4ECBBC81"/>
    <w:rsid w:val="4ECD0CEE"/>
    <w:rsid w:val="4ECDCEC4"/>
    <w:rsid w:val="4ECDE9CE"/>
    <w:rsid w:val="4ECE24AD"/>
    <w:rsid w:val="4ECF1C60"/>
    <w:rsid w:val="4ED07AE6"/>
    <w:rsid w:val="4ED23E27"/>
    <w:rsid w:val="4ED44F7D"/>
    <w:rsid w:val="4ED77DE1"/>
    <w:rsid w:val="4EDA3C0E"/>
    <w:rsid w:val="4EDB1ACF"/>
    <w:rsid w:val="4EDCCF91"/>
    <w:rsid w:val="4EDCFD7D"/>
    <w:rsid w:val="4EDDADA6"/>
    <w:rsid w:val="4EDE05DF"/>
    <w:rsid w:val="4EDF0C46"/>
    <w:rsid w:val="4EE07B41"/>
    <w:rsid w:val="4EE104FA"/>
    <w:rsid w:val="4EE152F6"/>
    <w:rsid w:val="4EE20ADF"/>
    <w:rsid w:val="4EE35783"/>
    <w:rsid w:val="4EE3CF86"/>
    <w:rsid w:val="4EE451FC"/>
    <w:rsid w:val="4EE4FB60"/>
    <w:rsid w:val="4EE62DDA"/>
    <w:rsid w:val="4EE6F62C"/>
    <w:rsid w:val="4EE7C6BF"/>
    <w:rsid w:val="4EE86577"/>
    <w:rsid w:val="4EE9BBD9"/>
    <w:rsid w:val="4EEC1DB0"/>
    <w:rsid w:val="4EECCA97"/>
    <w:rsid w:val="4EED4D0A"/>
    <w:rsid w:val="4EED6184"/>
    <w:rsid w:val="4EED7760"/>
    <w:rsid w:val="4EEDC54E"/>
    <w:rsid w:val="4EEE56B3"/>
    <w:rsid w:val="4EEF6F6A"/>
    <w:rsid w:val="4EEF7A18"/>
    <w:rsid w:val="4EEFB168"/>
    <w:rsid w:val="4EF043A0"/>
    <w:rsid w:val="4EF1D9E4"/>
    <w:rsid w:val="4EF5918D"/>
    <w:rsid w:val="4EF66B77"/>
    <w:rsid w:val="4EF6F2D2"/>
    <w:rsid w:val="4EF7CDEB"/>
    <w:rsid w:val="4EF89C4D"/>
    <w:rsid w:val="4EF8BD5F"/>
    <w:rsid w:val="4EF944D8"/>
    <w:rsid w:val="4EFA2C68"/>
    <w:rsid w:val="4EFB44BE"/>
    <w:rsid w:val="4EFD6E5B"/>
    <w:rsid w:val="4EFD7803"/>
    <w:rsid w:val="4EFEBF17"/>
    <w:rsid w:val="4EFF4903"/>
    <w:rsid w:val="4EFF8B15"/>
    <w:rsid w:val="4F02FC2F"/>
    <w:rsid w:val="4F041EBA"/>
    <w:rsid w:val="4F04A14B"/>
    <w:rsid w:val="4F0529E4"/>
    <w:rsid w:val="4F058D2D"/>
    <w:rsid w:val="4F0815D1"/>
    <w:rsid w:val="4F08D48F"/>
    <w:rsid w:val="4F08F261"/>
    <w:rsid w:val="4F0A6FF8"/>
    <w:rsid w:val="4F0AFCFB"/>
    <w:rsid w:val="4F0B29D6"/>
    <w:rsid w:val="4F0BBFD3"/>
    <w:rsid w:val="4F0C7832"/>
    <w:rsid w:val="4F0D9E10"/>
    <w:rsid w:val="4F0F1C0C"/>
    <w:rsid w:val="4F118C89"/>
    <w:rsid w:val="4F12630D"/>
    <w:rsid w:val="4F14D3C7"/>
    <w:rsid w:val="4F157AA8"/>
    <w:rsid w:val="4F15A88E"/>
    <w:rsid w:val="4F16410E"/>
    <w:rsid w:val="4F17FF07"/>
    <w:rsid w:val="4F189C98"/>
    <w:rsid w:val="4F18A848"/>
    <w:rsid w:val="4F19468C"/>
    <w:rsid w:val="4F19949F"/>
    <w:rsid w:val="4F19B193"/>
    <w:rsid w:val="4F19B4E9"/>
    <w:rsid w:val="4F1A1AEF"/>
    <w:rsid w:val="4F1A7019"/>
    <w:rsid w:val="4F1B8954"/>
    <w:rsid w:val="4F1B8E26"/>
    <w:rsid w:val="4F1CB187"/>
    <w:rsid w:val="4F220892"/>
    <w:rsid w:val="4F22CE07"/>
    <w:rsid w:val="4F23A066"/>
    <w:rsid w:val="4F2420B1"/>
    <w:rsid w:val="4F25A1D4"/>
    <w:rsid w:val="4F27B838"/>
    <w:rsid w:val="4F27ECC9"/>
    <w:rsid w:val="4F287606"/>
    <w:rsid w:val="4F28C437"/>
    <w:rsid w:val="4F2951C2"/>
    <w:rsid w:val="4F298ADA"/>
    <w:rsid w:val="4F2B5D52"/>
    <w:rsid w:val="4F2C5B37"/>
    <w:rsid w:val="4F2DEB58"/>
    <w:rsid w:val="4F2DFE8C"/>
    <w:rsid w:val="4F2E9054"/>
    <w:rsid w:val="4F30D943"/>
    <w:rsid w:val="4F311C9B"/>
    <w:rsid w:val="4F329179"/>
    <w:rsid w:val="4F34AA83"/>
    <w:rsid w:val="4F3649D2"/>
    <w:rsid w:val="4F36F017"/>
    <w:rsid w:val="4F38E097"/>
    <w:rsid w:val="4F3C2FEA"/>
    <w:rsid w:val="4F3CEADF"/>
    <w:rsid w:val="4F3DD763"/>
    <w:rsid w:val="4F3E7227"/>
    <w:rsid w:val="4F4067D9"/>
    <w:rsid w:val="4F409F1A"/>
    <w:rsid w:val="4F423D14"/>
    <w:rsid w:val="4F4403E9"/>
    <w:rsid w:val="4F44D63E"/>
    <w:rsid w:val="4F458FCB"/>
    <w:rsid w:val="4F469A0B"/>
    <w:rsid w:val="4F480272"/>
    <w:rsid w:val="4F4A5C78"/>
    <w:rsid w:val="4F4A660F"/>
    <w:rsid w:val="4F4BA2F3"/>
    <w:rsid w:val="4F4C25BD"/>
    <w:rsid w:val="4F4D03BC"/>
    <w:rsid w:val="4F4E29AB"/>
    <w:rsid w:val="4F4E64DE"/>
    <w:rsid w:val="4F4FE290"/>
    <w:rsid w:val="4F5010A5"/>
    <w:rsid w:val="4F5446CC"/>
    <w:rsid w:val="4F551A6E"/>
    <w:rsid w:val="4F558FE8"/>
    <w:rsid w:val="4F564F5A"/>
    <w:rsid w:val="4F56DF5B"/>
    <w:rsid w:val="4F571E58"/>
    <w:rsid w:val="4F5792F4"/>
    <w:rsid w:val="4F5A76ED"/>
    <w:rsid w:val="4F5B3D40"/>
    <w:rsid w:val="4F5CA3E6"/>
    <w:rsid w:val="4F5CC653"/>
    <w:rsid w:val="4F5CFD5D"/>
    <w:rsid w:val="4F5DE4A0"/>
    <w:rsid w:val="4F5F18E3"/>
    <w:rsid w:val="4F610AC2"/>
    <w:rsid w:val="4F611E9A"/>
    <w:rsid w:val="4F6163AF"/>
    <w:rsid w:val="4F63FD89"/>
    <w:rsid w:val="4F642AA4"/>
    <w:rsid w:val="4F64DC0E"/>
    <w:rsid w:val="4F64FC28"/>
    <w:rsid w:val="4F663D58"/>
    <w:rsid w:val="4F667659"/>
    <w:rsid w:val="4F66B2F2"/>
    <w:rsid w:val="4F67930F"/>
    <w:rsid w:val="4F68330E"/>
    <w:rsid w:val="4F6905C5"/>
    <w:rsid w:val="4F6B9FE8"/>
    <w:rsid w:val="4F6CA815"/>
    <w:rsid w:val="4F6D01D2"/>
    <w:rsid w:val="4F6F179E"/>
    <w:rsid w:val="4F6F63B4"/>
    <w:rsid w:val="4F6F7CB3"/>
    <w:rsid w:val="4F6FA02A"/>
    <w:rsid w:val="4F6FD3D5"/>
    <w:rsid w:val="4F703791"/>
    <w:rsid w:val="4F7073B7"/>
    <w:rsid w:val="4F70B918"/>
    <w:rsid w:val="4F720175"/>
    <w:rsid w:val="4F726F08"/>
    <w:rsid w:val="4F72C909"/>
    <w:rsid w:val="4F73B1A9"/>
    <w:rsid w:val="4F73C63D"/>
    <w:rsid w:val="4F73E748"/>
    <w:rsid w:val="4F74A464"/>
    <w:rsid w:val="4F74A56E"/>
    <w:rsid w:val="4F74DB50"/>
    <w:rsid w:val="4F753BBA"/>
    <w:rsid w:val="4F7617F2"/>
    <w:rsid w:val="4F7641B8"/>
    <w:rsid w:val="4F76F2B6"/>
    <w:rsid w:val="4F7734ED"/>
    <w:rsid w:val="4F773610"/>
    <w:rsid w:val="4F7A2719"/>
    <w:rsid w:val="4F7BE580"/>
    <w:rsid w:val="4F7C3242"/>
    <w:rsid w:val="4F800F91"/>
    <w:rsid w:val="4F8357E1"/>
    <w:rsid w:val="4F84C51D"/>
    <w:rsid w:val="4F84C52F"/>
    <w:rsid w:val="4F86F2D9"/>
    <w:rsid w:val="4F87BF5B"/>
    <w:rsid w:val="4F89ACA1"/>
    <w:rsid w:val="4F8A5E53"/>
    <w:rsid w:val="4F8C715C"/>
    <w:rsid w:val="4F8CA2CE"/>
    <w:rsid w:val="4F8CA9C4"/>
    <w:rsid w:val="4F8D864E"/>
    <w:rsid w:val="4F8EA801"/>
    <w:rsid w:val="4F8EE42B"/>
    <w:rsid w:val="4F8FEE3D"/>
    <w:rsid w:val="4F90121C"/>
    <w:rsid w:val="4F9235EB"/>
    <w:rsid w:val="4F933F6B"/>
    <w:rsid w:val="4F946E8A"/>
    <w:rsid w:val="4F951E82"/>
    <w:rsid w:val="4F97CC9F"/>
    <w:rsid w:val="4F98C90F"/>
    <w:rsid w:val="4F9A00D1"/>
    <w:rsid w:val="4F9A94D9"/>
    <w:rsid w:val="4F9B4E4B"/>
    <w:rsid w:val="4F9CF248"/>
    <w:rsid w:val="4F9E2AAF"/>
    <w:rsid w:val="4F9F3B10"/>
    <w:rsid w:val="4F9F9490"/>
    <w:rsid w:val="4F9FBEB0"/>
    <w:rsid w:val="4FA00650"/>
    <w:rsid w:val="4FA03C75"/>
    <w:rsid w:val="4FA0CCD5"/>
    <w:rsid w:val="4FA1FAF3"/>
    <w:rsid w:val="4FA396AF"/>
    <w:rsid w:val="4FA3B7B1"/>
    <w:rsid w:val="4FA3E8B0"/>
    <w:rsid w:val="4FA471DD"/>
    <w:rsid w:val="4FAA4BE0"/>
    <w:rsid w:val="4FAA7956"/>
    <w:rsid w:val="4FADA420"/>
    <w:rsid w:val="4FAF563B"/>
    <w:rsid w:val="4FB0304D"/>
    <w:rsid w:val="4FB03A1F"/>
    <w:rsid w:val="4FB173AC"/>
    <w:rsid w:val="4FB249A4"/>
    <w:rsid w:val="4FB2B3AC"/>
    <w:rsid w:val="4FB37B7E"/>
    <w:rsid w:val="4FB3DBE7"/>
    <w:rsid w:val="4FB4BAB5"/>
    <w:rsid w:val="4FB508FC"/>
    <w:rsid w:val="4FB59BA1"/>
    <w:rsid w:val="4FB5E075"/>
    <w:rsid w:val="4FB779A8"/>
    <w:rsid w:val="4FB7E250"/>
    <w:rsid w:val="4FB7E262"/>
    <w:rsid w:val="4FB7E94C"/>
    <w:rsid w:val="4FB84DDD"/>
    <w:rsid w:val="4FB8B60D"/>
    <w:rsid w:val="4FBE6A54"/>
    <w:rsid w:val="4FBE8E7E"/>
    <w:rsid w:val="4FBEF99B"/>
    <w:rsid w:val="4FBF2268"/>
    <w:rsid w:val="4FC07205"/>
    <w:rsid w:val="4FC1FE67"/>
    <w:rsid w:val="4FC253B3"/>
    <w:rsid w:val="4FC29B10"/>
    <w:rsid w:val="4FC3CEA8"/>
    <w:rsid w:val="4FC3CF69"/>
    <w:rsid w:val="4FC47260"/>
    <w:rsid w:val="4FC606DC"/>
    <w:rsid w:val="4FC645E8"/>
    <w:rsid w:val="4FC65C69"/>
    <w:rsid w:val="4FC79FB0"/>
    <w:rsid w:val="4FCB94C5"/>
    <w:rsid w:val="4FCBF5FA"/>
    <w:rsid w:val="4FCE0B7E"/>
    <w:rsid w:val="4FCE2FFD"/>
    <w:rsid w:val="4FCE91CC"/>
    <w:rsid w:val="4FCEBAFA"/>
    <w:rsid w:val="4FD16F06"/>
    <w:rsid w:val="4FD346C1"/>
    <w:rsid w:val="4FD37033"/>
    <w:rsid w:val="4FD3705D"/>
    <w:rsid w:val="4FD4B35D"/>
    <w:rsid w:val="4FD67594"/>
    <w:rsid w:val="4FD70273"/>
    <w:rsid w:val="4FD73E00"/>
    <w:rsid w:val="4FD7771D"/>
    <w:rsid w:val="4FD7D113"/>
    <w:rsid w:val="4FD7D37F"/>
    <w:rsid w:val="4FD85D70"/>
    <w:rsid w:val="4FD8F630"/>
    <w:rsid w:val="4FDAD335"/>
    <w:rsid w:val="4FDB3518"/>
    <w:rsid w:val="4FDC771B"/>
    <w:rsid w:val="4FE15088"/>
    <w:rsid w:val="4FE227FC"/>
    <w:rsid w:val="4FE2B0C4"/>
    <w:rsid w:val="4FE4ECA6"/>
    <w:rsid w:val="4FE73A67"/>
    <w:rsid w:val="4FE7B0AF"/>
    <w:rsid w:val="4FEA1840"/>
    <w:rsid w:val="4FEB0577"/>
    <w:rsid w:val="4FECFB86"/>
    <w:rsid w:val="4FED8314"/>
    <w:rsid w:val="4FF264CE"/>
    <w:rsid w:val="4FF2795B"/>
    <w:rsid w:val="4FF32376"/>
    <w:rsid w:val="4FF3331D"/>
    <w:rsid w:val="4FF36BFD"/>
    <w:rsid w:val="4FF3918D"/>
    <w:rsid w:val="4FF48F19"/>
    <w:rsid w:val="4FF58BD4"/>
    <w:rsid w:val="4FF6DBE4"/>
    <w:rsid w:val="4FF716A3"/>
    <w:rsid w:val="4FF75F6D"/>
    <w:rsid w:val="4FF91211"/>
    <w:rsid w:val="4FFAB6FB"/>
    <w:rsid w:val="4FFB7FA8"/>
    <w:rsid w:val="4FFBF4FC"/>
    <w:rsid w:val="4FFC81DC"/>
    <w:rsid w:val="50002C40"/>
    <w:rsid w:val="5004B3A6"/>
    <w:rsid w:val="50051DA8"/>
    <w:rsid w:val="5006BFD7"/>
    <w:rsid w:val="500764A7"/>
    <w:rsid w:val="50079317"/>
    <w:rsid w:val="5007D0CA"/>
    <w:rsid w:val="5008D267"/>
    <w:rsid w:val="5008EDB3"/>
    <w:rsid w:val="500A3E05"/>
    <w:rsid w:val="500A6380"/>
    <w:rsid w:val="500AB262"/>
    <w:rsid w:val="500B3724"/>
    <w:rsid w:val="500C56FB"/>
    <w:rsid w:val="500CF702"/>
    <w:rsid w:val="50117780"/>
    <w:rsid w:val="5011DA89"/>
    <w:rsid w:val="5012C1AD"/>
    <w:rsid w:val="5012D914"/>
    <w:rsid w:val="50131355"/>
    <w:rsid w:val="50154178"/>
    <w:rsid w:val="50155155"/>
    <w:rsid w:val="5015C465"/>
    <w:rsid w:val="501644A9"/>
    <w:rsid w:val="5016DA8C"/>
    <w:rsid w:val="501797B8"/>
    <w:rsid w:val="5018DD7B"/>
    <w:rsid w:val="501C1E9B"/>
    <w:rsid w:val="501CA663"/>
    <w:rsid w:val="501CCE92"/>
    <w:rsid w:val="501D4A5A"/>
    <w:rsid w:val="501ED502"/>
    <w:rsid w:val="501F406D"/>
    <w:rsid w:val="501FB8FC"/>
    <w:rsid w:val="50200FCC"/>
    <w:rsid w:val="50207C65"/>
    <w:rsid w:val="50221C83"/>
    <w:rsid w:val="50240BD8"/>
    <w:rsid w:val="5024C168"/>
    <w:rsid w:val="502524E0"/>
    <w:rsid w:val="50266D59"/>
    <w:rsid w:val="50268836"/>
    <w:rsid w:val="50272A8C"/>
    <w:rsid w:val="50275B55"/>
    <w:rsid w:val="5028C349"/>
    <w:rsid w:val="5029245E"/>
    <w:rsid w:val="5029B34F"/>
    <w:rsid w:val="502B6A8D"/>
    <w:rsid w:val="502BDE2C"/>
    <w:rsid w:val="502C3264"/>
    <w:rsid w:val="502C8547"/>
    <w:rsid w:val="502CC6E5"/>
    <w:rsid w:val="502E59D7"/>
    <w:rsid w:val="502EFC38"/>
    <w:rsid w:val="502F2731"/>
    <w:rsid w:val="502F973F"/>
    <w:rsid w:val="5031167F"/>
    <w:rsid w:val="50316654"/>
    <w:rsid w:val="503169DA"/>
    <w:rsid w:val="5031ECA5"/>
    <w:rsid w:val="5033720D"/>
    <w:rsid w:val="5033F315"/>
    <w:rsid w:val="5034AE2E"/>
    <w:rsid w:val="5035C9B3"/>
    <w:rsid w:val="50387836"/>
    <w:rsid w:val="503962BB"/>
    <w:rsid w:val="5039997C"/>
    <w:rsid w:val="503C7C24"/>
    <w:rsid w:val="503C8B1F"/>
    <w:rsid w:val="503CEB63"/>
    <w:rsid w:val="503EB0EA"/>
    <w:rsid w:val="503F8067"/>
    <w:rsid w:val="5041EA6C"/>
    <w:rsid w:val="5042DBE2"/>
    <w:rsid w:val="504492EA"/>
    <w:rsid w:val="5044EA8C"/>
    <w:rsid w:val="5044F190"/>
    <w:rsid w:val="504516F5"/>
    <w:rsid w:val="50452DB9"/>
    <w:rsid w:val="5047EEF3"/>
    <w:rsid w:val="50486A4D"/>
    <w:rsid w:val="504B7AB9"/>
    <w:rsid w:val="504B926A"/>
    <w:rsid w:val="504BC9DF"/>
    <w:rsid w:val="504C91FE"/>
    <w:rsid w:val="504C9D92"/>
    <w:rsid w:val="504CAE7F"/>
    <w:rsid w:val="504F138B"/>
    <w:rsid w:val="504F6F0D"/>
    <w:rsid w:val="5050852C"/>
    <w:rsid w:val="505192FA"/>
    <w:rsid w:val="5051AA2B"/>
    <w:rsid w:val="50523A50"/>
    <w:rsid w:val="5052942D"/>
    <w:rsid w:val="50543D6A"/>
    <w:rsid w:val="505441CC"/>
    <w:rsid w:val="5054667A"/>
    <w:rsid w:val="50548AF2"/>
    <w:rsid w:val="5054C188"/>
    <w:rsid w:val="50552382"/>
    <w:rsid w:val="5056819C"/>
    <w:rsid w:val="50571908"/>
    <w:rsid w:val="50581E4F"/>
    <w:rsid w:val="50592CE1"/>
    <w:rsid w:val="50596AA4"/>
    <w:rsid w:val="50598B07"/>
    <w:rsid w:val="5059D716"/>
    <w:rsid w:val="505D0C3A"/>
    <w:rsid w:val="505E604C"/>
    <w:rsid w:val="5062C18B"/>
    <w:rsid w:val="50630B7D"/>
    <w:rsid w:val="5064234F"/>
    <w:rsid w:val="50649750"/>
    <w:rsid w:val="50678CE2"/>
    <w:rsid w:val="5068A444"/>
    <w:rsid w:val="506912F3"/>
    <w:rsid w:val="506B9396"/>
    <w:rsid w:val="506C1DB9"/>
    <w:rsid w:val="506D3D88"/>
    <w:rsid w:val="506E73A6"/>
    <w:rsid w:val="506EA232"/>
    <w:rsid w:val="506F9970"/>
    <w:rsid w:val="506F9E66"/>
    <w:rsid w:val="507092A6"/>
    <w:rsid w:val="5070DA7E"/>
    <w:rsid w:val="5071CD52"/>
    <w:rsid w:val="50728116"/>
    <w:rsid w:val="5072F8DB"/>
    <w:rsid w:val="5073D1B8"/>
    <w:rsid w:val="507456F4"/>
    <w:rsid w:val="5074EF1F"/>
    <w:rsid w:val="50752293"/>
    <w:rsid w:val="507585F8"/>
    <w:rsid w:val="50762858"/>
    <w:rsid w:val="50788C58"/>
    <w:rsid w:val="507A32F0"/>
    <w:rsid w:val="507DBBE3"/>
    <w:rsid w:val="507E89DA"/>
    <w:rsid w:val="507EFCD3"/>
    <w:rsid w:val="507F150D"/>
    <w:rsid w:val="507FC2E8"/>
    <w:rsid w:val="5080692C"/>
    <w:rsid w:val="5081EB0C"/>
    <w:rsid w:val="50820483"/>
    <w:rsid w:val="5082C9F4"/>
    <w:rsid w:val="5082F85C"/>
    <w:rsid w:val="508369CE"/>
    <w:rsid w:val="5084A8CC"/>
    <w:rsid w:val="508539F6"/>
    <w:rsid w:val="5085A5F6"/>
    <w:rsid w:val="5085EC22"/>
    <w:rsid w:val="508609E2"/>
    <w:rsid w:val="508620B6"/>
    <w:rsid w:val="50870067"/>
    <w:rsid w:val="5088628C"/>
    <w:rsid w:val="508931E5"/>
    <w:rsid w:val="508D45B6"/>
    <w:rsid w:val="508DB430"/>
    <w:rsid w:val="508F6202"/>
    <w:rsid w:val="5091C585"/>
    <w:rsid w:val="50939FD8"/>
    <w:rsid w:val="5093B643"/>
    <w:rsid w:val="509698B8"/>
    <w:rsid w:val="5099BBBB"/>
    <w:rsid w:val="509BDBBA"/>
    <w:rsid w:val="509FD2EF"/>
    <w:rsid w:val="50A07126"/>
    <w:rsid w:val="50A1B14B"/>
    <w:rsid w:val="50A20996"/>
    <w:rsid w:val="50A2256A"/>
    <w:rsid w:val="50A24038"/>
    <w:rsid w:val="50A29B53"/>
    <w:rsid w:val="50A39C7C"/>
    <w:rsid w:val="50A513D2"/>
    <w:rsid w:val="50A6D0BF"/>
    <w:rsid w:val="50A78371"/>
    <w:rsid w:val="50A83E98"/>
    <w:rsid w:val="50A8CCB5"/>
    <w:rsid w:val="50AE158D"/>
    <w:rsid w:val="50B125E0"/>
    <w:rsid w:val="50B25C68"/>
    <w:rsid w:val="50B25D93"/>
    <w:rsid w:val="50B396D8"/>
    <w:rsid w:val="50B3BC36"/>
    <w:rsid w:val="50B4E1DF"/>
    <w:rsid w:val="50B504B7"/>
    <w:rsid w:val="50B5B8B2"/>
    <w:rsid w:val="50B64484"/>
    <w:rsid w:val="50B6A891"/>
    <w:rsid w:val="50B6ABA4"/>
    <w:rsid w:val="50B6C55E"/>
    <w:rsid w:val="50B74F40"/>
    <w:rsid w:val="50BBA69E"/>
    <w:rsid w:val="50BC30E1"/>
    <w:rsid w:val="50BC6747"/>
    <w:rsid w:val="50C0A7E7"/>
    <w:rsid w:val="50C1FDB9"/>
    <w:rsid w:val="50C21CA7"/>
    <w:rsid w:val="50C3C8A8"/>
    <w:rsid w:val="50C44BA6"/>
    <w:rsid w:val="50C68396"/>
    <w:rsid w:val="50C7AF4B"/>
    <w:rsid w:val="50C7FF85"/>
    <w:rsid w:val="50C87544"/>
    <w:rsid w:val="50C902CE"/>
    <w:rsid w:val="50C946D2"/>
    <w:rsid w:val="50C9D151"/>
    <w:rsid w:val="50CA0C02"/>
    <w:rsid w:val="50CB5131"/>
    <w:rsid w:val="50CBD182"/>
    <w:rsid w:val="50CDB946"/>
    <w:rsid w:val="50CDF033"/>
    <w:rsid w:val="50CEA319"/>
    <w:rsid w:val="50D052E3"/>
    <w:rsid w:val="50D069BF"/>
    <w:rsid w:val="50D19166"/>
    <w:rsid w:val="50D1A079"/>
    <w:rsid w:val="50D20ED8"/>
    <w:rsid w:val="50D30E0C"/>
    <w:rsid w:val="50D46525"/>
    <w:rsid w:val="50D55A5B"/>
    <w:rsid w:val="50D5BB92"/>
    <w:rsid w:val="50D5BEA0"/>
    <w:rsid w:val="50D7865B"/>
    <w:rsid w:val="50D7B559"/>
    <w:rsid w:val="50D8D4BA"/>
    <w:rsid w:val="50DB8335"/>
    <w:rsid w:val="50DD32E1"/>
    <w:rsid w:val="50DD6864"/>
    <w:rsid w:val="50DDE511"/>
    <w:rsid w:val="50DE146A"/>
    <w:rsid w:val="50DE1B15"/>
    <w:rsid w:val="50DEC1F5"/>
    <w:rsid w:val="50DF09FA"/>
    <w:rsid w:val="50DFB052"/>
    <w:rsid w:val="50DFD965"/>
    <w:rsid w:val="50E1CC7D"/>
    <w:rsid w:val="50E2AD5B"/>
    <w:rsid w:val="50E38BCD"/>
    <w:rsid w:val="50E4128F"/>
    <w:rsid w:val="50E505D7"/>
    <w:rsid w:val="50E533E7"/>
    <w:rsid w:val="50E62E83"/>
    <w:rsid w:val="50E70360"/>
    <w:rsid w:val="50E7134E"/>
    <w:rsid w:val="50E72D15"/>
    <w:rsid w:val="50E74D0F"/>
    <w:rsid w:val="50E74E1C"/>
    <w:rsid w:val="50EAFEA4"/>
    <w:rsid w:val="50EC17A2"/>
    <w:rsid w:val="50ED5F87"/>
    <w:rsid w:val="50ED95C8"/>
    <w:rsid w:val="50EE0271"/>
    <w:rsid w:val="50EE09B4"/>
    <w:rsid w:val="50EE1699"/>
    <w:rsid w:val="50F09610"/>
    <w:rsid w:val="50F1C0BD"/>
    <w:rsid w:val="50F1D3ED"/>
    <w:rsid w:val="50F24C61"/>
    <w:rsid w:val="50F457A8"/>
    <w:rsid w:val="50F468C2"/>
    <w:rsid w:val="50F55ACA"/>
    <w:rsid w:val="50F58877"/>
    <w:rsid w:val="50F76BCD"/>
    <w:rsid w:val="50F77F84"/>
    <w:rsid w:val="50F927AA"/>
    <w:rsid w:val="50F9FAD9"/>
    <w:rsid w:val="50FA1E90"/>
    <w:rsid w:val="50FB2428"/>
    <w:rsid w:val="50FC4C98"/>
    <w:rsid w:val="50FDC0EF"/>
    <w:rsid w:val="50FED4F3"/>
    <w:rsid w:val="50FF1FF8"/>
    <w:rsid w:val="50FF24DF"/>
    <w:rsid w:val="50FF76DB"/>
    <w:rsid w:val="5100E887"/>
    <w:rsid w:val="51017BB0"/>
    <w:rsid w:val="51046527"/>
    <w:rsid w:val="5104B2E8"/>
    <w:rsid w:val="51050E05"/>
    <w:rsid w:val="5105D2BE"/>
    <w:rsid w:val="5105E011"/>
    <w:rsid w:val="5106320F"/>
    <w:rsid w:val="51092762"/>
    <w:rsid w:val="5109F3BD"/>
    <w:rsid w:val="510A5FFA"/>
    <w:rsid w:val="510AB650"/>
    <w:rsid w:val="510CCA0D"/>
    <w:rsid w:val="510D9FF5"/>
    <w:rsid w:val="510F3279"/>
    <w:rsid w:val="510F6BB5"/>
    <w:rsid w:val="5110730E"/>
    <w:rsid w:val="51116A1B"/>
    <w:rsid w:val="5111E2E5"/>
    <w:rsid w:val="51131430"/>
    <w:rsid w:val="51148880"/>
    <w:rsid w:val="5117125A"/>
    <w:rsid w:val="51184251"/>
    <w:rsid w:val="5118E8BC"/>
    <w:rsid w:val="51192621"/>
    <w:rsid w:val="51193C49"/>
    <w:rsid w:val="511A63F3"/>
    <w:rsid w:val="511AB1CF"/>
    <w:rsid w:val="511C1233"/>
    <w:rsid w:val="511C5313"/>
    <w:rsid w:val="511C69AA"/>
    <w:rsid w:val="511CE816"/>
    <w:rsid w:val="511DCA6C"/>
    <w:rsid w:val="511EAAF7"/>
    <w:rsid w:val="511EC9CF"/>
    <w:rsid w:val="511F6823"/>
    <w:rsid w:val="511F7B8F"/>
    <w:rsid w:val="511FBD83"/>
    <w:rsid w:val="511FE0E6"/>
    <w:rsid w:val="5121C493"/>
    <w:rsid w:val="512320C3"/>
    <w:rsid w:val="5123EA82"/>
    <w:rsid w:val="51241B89"/>
    <w:rsid w:val="51252985"/>
    <w:rsid w:val="5125995B"/>
    <w:rsid w:val="5125C494"/>
    <w:rsid w:val="5126EDDC"/>
    <w:rsid w:val="5127B31B"/>
    <w:rsid w:val="51286103"/>
    <w:rsid w:val="51292AAE"/>
    <w:rsid w:val="512CA2A9"/>
    <w:rsid w:val="512F4F56"/>
    <w:rsid w:val="51304D57"/>
    <w:rsid w:val="51311AE5"/>
    <w:rsid w:val="5131DC3D"/>
    <w:rsid w:val="51334AC5"/>
    <w:rsid w:val="51348F75"/>
    <w:rsid w:val="51353444"/>
    <w:rsid w:val="5137BB9B"/>
    <w:rsid w:val="5139A1D5"/>
    <w:rsid w:val="513BC5F4"/>
    <w:rsid w:val="513CBC78"/>
    <w:rsid w:val="513E4C08"/>
    <w:rsid w:val="513EA273"/>
    <w:rsid w:val="51403BC2"/>
    <w:rsid w:val="51405930"/>
    <w:rsid w:val="514082FB"/>
    <w:rsid w:val="5140A64F"/>
    <w:rsid w:val="51411C02"/>
    <w:rsid w:val="51422C7B"/>
    <w:rsid w:val="51431004"/>
    <w:rsid w:val="514340BA"/>
    <w:rsid w:val="514678F8"/>
    <w:rsid w:val="51471C35"/>
    <w:rsid w:val="51471E95"/>
    <w:rsid w:val="5147EFDC"/>
    <w:rsid w:val="51485EEB"/>
    <w:rsid w:val="51486C12"/>
    <w:rsid w:val="5148B339"/>
    <w:rsid w:val="5148C20F"/>
    <w:rsid w:val="51496894"/>
    <w:rsid w:val="51497629"/>
    <w:rsid w:val="514A7856"/>
    <w:rsid w:val="514ADE74"/>
    <w:rsid w:val="514C6828"/>
    <w:rsid w:val="514CFD5B"/>
    <w:rsid w:val="514D1EE4"/>
    <w:rsid w:val="514D9F6E"/>
    <w:rsid w:val="514E6DD4"/>
    <w:rsid w:val="514EE064"/>
    <w:rsid w:val="5150908D"/>
    <w:rsid w:val="5150AD16"/>
    <w:rsid w:val="51519BF6"/>
    <w:rsid w:val="5154AFD6"/>
    <w:rsid w:val="515647CB"/>
    <w:rsid w:val="5157AD3A"/>
    <w:rsid w:val="5158A3A9"/>
    <w:rsid w:val="5159393D"/>
    <w:rsid w:val="51594FBE"/>
    <w:rsid w:val="5159AAEF"/>
    <w:rsid w:val="515A6F0A"/>
    <w:rsid w:val="515A911B"/>
    <w:rsid w:val="515F8CE7"/>
    <w:rsid w:val="5160CC34"/>
    <w:rsid w:val="516180AE"/>
    <w:rsid w:val="5161D244"/>
    <w:rsid w:val="5162D439"/>
    <w:rsid w:val="51632F54"/>
    <w:rsid w:val="5163B1AD"/>
    <w:rsid w:val="5163C936"/>
    <w:rsid w:val="5164E695"/>
    <w:rsid w:val="516576B0"/>
    <w:rsid w:val="5166410C"/>
    <w:rsid w:val="516657CC"/>
    <w:rsid w:val="51670895"/>
    <w:rsid w:val="5167B954"/>
    <w:rsid w:val="516972A1"/>
    <w:rsid w:val="516A3830"/>
    <w:rsid w:val="516A67AD"/>
    <w:rsid w:val="516C4BFF"/>
    <w:rsid w:val="516C6149"/>
    <w:rsid w:val="516DB5DA"/>
    <w:rsid w:val="516EF1F9"/>
    <w:rsid w:val="51706C5B"/>
    <w:rsid w:val="51719593"/>
    <w:rsid w:val="51736E0F"/>
    <w:rsid w:val="51744DA1"/>
    <w:rsid w:val="5175A93C"/>
    <w:rsid w:val="51772621"/>
    <w:rsid w:val="5178C5F8"/>
    <w:rsid w:val="517BEF6B"/>
    <w:rsid w:val="517CE503"/>
    <w:rsid w:val="51801707"/>
    <w:rsid w:val="51806D86"/>
    <w:rsid w:val="5180F84B"/>
    <w:rsid w:val="51822045"/>
    <w:rsid w:val="51837D9E"/>
    <w:rsid w:val="518589D7"/>
    <w:rsid w:val="5185C06C"/>
    <w:rsid w:val="5188DFDC"/>
    <w:rsid w:val="5189BF49"/>
    <w:rsid w:val="518B24D9"/>
    <w:rsid w:val="518C5C0E"/>
    <w:rsid w:val="518C7D2D"/>
    <w:rsid w:val="518E6A93"/>
    <w:rsid w:val="518EFDE9"/>
    <w:rsid w:val="5190D332"/>
    <w:rsid w:val="5196A240"/>
    <w:rsid w:val="5197690A"/>
    <w:rsid w:val="519BC2B5"/>
    <w:rsid w:val="519BE8B2"/>
    <w:rsid w:val="519ED540"/>
    <w:rsid w:val="519FA278"/>
    <w:rsid w:val="51A0B21C"/>
    <w:rsid w:val="51A161B2"/>
    <w:rsid w:val="51A4A250"/>
    <w:rsid w:val="51A4AA66"/>
    <w:rsid w:val="51A6F0C2"/>
    <w:rsid w:val="51AA4A24"/>
    <w:rsid w:val="51AAC659"/>
    <w:rsid w:val="51AD945A"/>
    <w:rsid w:val="51AD9AF0"/>
    <w:rsid w:val="51AF4830"/>
    <w:rsid w:val="51AF9E8D"/>
    <w:rsid w:val="51B15DA5"/>
    <w:rsid w:val="51B3C273"/>
    <w:rsid w:val="51B4C39A"/>
    <w:rsid w:val="51B70E2B"/>
    <w:rsid w:val="51B7563C"/>
    <w:rsid w:val="51B8736A"/>
    <w:rsid w:val="51BC499E"/>
    <w:rsid w:val="51BCC89F"/>
    <w:rsid w:val="51BD1F50"/>
    <w:rsid w:val="51BE1261"/>
    <w:rsid w:val="51BEFBB1"/>
    <w:rsid w:val="51BF17C5"/>
    <w:rsid w:val="51C062D5"/>
    <w:rsid w:val="51C17FE7"/>
    <w:rsid w:val="51C4DB0E"/>
    <w:rsid w:val="51C522A9"/>
    <w:rsid w:val="51C6AECC"/>
    <w:rsid w:val="51C6CF99"/>
    <w:rsid w:val="51C7524F"/>
    <w:rsid w:val="51C7E287"/>
    <w:rsid w:val="51C94689"/>
    <w:rsid w:val="51C95F58"/>
    <w:rsid w:val="51C99CA0"/>
    <w:rsid w:val="51CB029D"/>
    <w:rsid w:val="51CB7657"/>
    <w:rsid w:val="51CB961B"/>
    <w:rsid w:val="51CC95F9"/>
    <w:rsid w:val="51CD388F"/>
    <w:rsid w:val="51CD86E1"/>
    <w:rsid w:val="51CD87BB"/>
    <w:rsid w:val="51CE7670"/>
    <w:rsid w:val="51CF798B"/>
    <w:rsid w:val="51CFF5D0"/>
    <w:rsid w:val="51D14A46"/>
    <w:rsid w:val="51D15C0F"/>
    <w:rsid w:val="51D281F6"/>
    <w:rsid w:val="51D282F4"/>
    <w:rsid w:val="51D2C5DB"/>
    <w:rsid w:val="51D2C5E8"/>
    <w:rsid w:val="51D378B5"/>
    <w:rsid w:val="51D3D15A"/>
    <w:rsid w:val="51D4975A"/>
    <w:rsid w:val="51D590E7"/>
    <w:rsid w:val="51D62D4C"/>
    <w:rsid w:val="51D65DE1"/>
    <w:rsid w:val="51D80CB1"/>
    <w:rsid w:val="51D9D82E"/>
    <w:rsid w:val="51D9EED1"/>
    <w:rsid w:val="51DACC22"/>
    <w:rsid w:val="51DBBEE7"/>
    <w:rsid w:val="51DBE84D"/>
    <w:rsid w:val="51DD4606"/>
    <w:rsid w:val="51DF6564"/>
    <w:rsid w:val="51E12855"/>
    <w:rsid w:val="51E13B54"/>
    <w:rsid w:val="51E1DCA5"/>
    <w:rsid w:val="51E1DD03"/>
    <w:rsid w:val="51E26DF6"/>
    <w:rsid w:val="51E2C4EA"/>
    <w:rsid w:val="51E41AD4"/>
    <w:rsid w:val="51E48B41"/>
    <w:rsid w:val="51E4906F"/>
    <w:rsid w:val="51E52D21"/>
    <w:rsid w:val="51E5D0F7"/>
    <w:rsid w:val="51E7DF85"/>
    <w:rsid w:val="51E8C366"/>
    <w:rsid w:val="51E94038"/>
    <w:rsid w:val="51E9D515"/>
    <w:rsid w:val="51EB2D26"/>
    <w:rsid w:val="51EB4E37"/>
    <w:rsid w:val="51EBC450"/>
    <w:rsid w:val="51EC7C8E"/>
    <w:rsid w:val="51EC97EF"/>
    <w:rsid w:val="51ECBB2E"/>
    <w:rsid w:val="51EDB030"/>
    <w:rsid w:val="51F3999C"/>
    <w:rsid w:val="51F3C30B"/>
    <w:rsid w:val="51F3DF13"/>
    <w:rsid w:val="51F3F3D4"/>
    <w:rsid w:val="51F42F11"/>
    <w:rsid w:val="51F4C133"/>
    <w:rsid w:val="51F5B4A9"/>
    <w:rsid w:val="51F66882"/>
    <w:rsid w:val="51F6F5F8"/>
    <w:rsid w:val="51F94A43"/>
    <w:rsid w:val="51F984EE"/>
    <w:rsid w:val="51FCF00C"/>
    <w:rsid w:val="51FDCF78"/>
    <w:rsid w:val="51FDF23D"/>
    <w:rsid w:val="51FE4F34"/>
    <w:rsid w:val="51FEED5D"/>
    <w:rsid w:val="52011248"/>
    <w:rsid w:val="520590D5"/>
    <w:rsid w:val="52062B26"/>
    <w:rsid w:val="5206C5BC"/>
    <w:rsid w:val="520876CA"/>
    <w:rsid w:val="5209AF06"/>
    <w:rsid w:val="520A23B7"/>
    <w:rsid w:val="520AAC34"/>
    <w:rsid w:val="520B0905"/>
    <w:rsid w:val="520C122C"/>
    <w:rsid w:val="520C1E48"/>
    <w:rsid w:val="520C3F23"/>
    <w:rsid w:val="520F2855"/>
    <w:rsid w:val="52113B64"/>
    <w:rsid w:val="5211802D"/>
    <w:rsid w:val="5212C951"/>
    <w:rsid w:val="5215456F"/>
    <w:rsid w:val="52179D54"/>
    <w:rsid w:val="52180A23"/>
    <w:rsid w:val="521831A0"/>
    <w:rsid w:val="52183D39"/>
    <w:rsid w:val="5218ED56"/>
    <w:rsid w:val="521942A9"/>
    <w:rsid w:val="5219F535"/>
    <w:rsid w:val="521A5645"/>
    <w:rsid w:val="521C8A11"/>
    <w:rsid w:val="521F3DB9"/>
    <w:rsid w:val="521F3FD7"/>
    <w:rsid w:val="5221FDE8"/>
    <w:rsid w:val="5222A41A"/>
    <w:rsid w:val="52243043"/>
    <w:rsid w:val="5224C0ED"/>
    <w:rsid w:val="5224E772"/>
    <w:rsid w:val="5225C491"/>
    <w:rsid w:val="522717CB"/>
    <w:rsid w:val="52272622"/>
    <w:rsid w:val="52274CA2"/>
    <w:rsid w:val="52279EDE"/>
    <w:rsid w:val="5228A0C6"/>
    <w:rsid w:val="5228AFCF"/>
    <w:rsid w:val="52291275"/>
    <w:rsid w:val="522949CC"/>
    <w:rsid w:val="522A772C"/>
    <w:rsid w:val="522BD267"/>
    <w:rsid w:val="522C0DB4"/>
    <w:rsid w:val="522F1A40"/>
    <w:rsid w:val="52320D2F"/>
    <w:rsid w:val="52327ACD"/>
    <w:rsid w:val="523479B5"/>
    <w:rsid w:val="5235154A"/>
    <w:rsid w:val="52355F6A"/>
    <w:rsid w:val="5235AFD7"/>
    <w:rsid w:val="523605AC"/>
    <w:rsid w:val="52362F02"/>
    <w:rsid w:val="5236862D"/>
    <w:rsid w:val="5238A5F7"/>
    <w:rsid w:val="5238BEB6"/>
    <w:rsid w:val="52399F2E"/>
    <w:rsid w:val="5239B0F2"/>
    <w:rsid w:val="523A645E"/>
    <w:rsid w:val="523AFE52"/>
    <w:rsid w:val="523B81D3"/>
    <w:rsid w:val="523C11B6"/>
    <w:rsid w:val="5240ACB9"/>
    <w:rsid w:val="5240B19F"/>
    <w:rsid w:val="524185F8"/>
    <w:rsid w:val="5241ED9C"/>
    <w:rsid w:val="52421C73"/>
    <w:rsid w:val="52423BE2"/>
    <w:rsid w:val="5244666E"/>
    <w:rsid w:val="5244E4CF"/>
    <w:rsid w:val="52451F87"/>
    <w:rsid w:val="5245AAFC"/>
    <w:rsid w:val="5246A113"/>
    <w:rsid w:val="5246E4FF"/>
    <w:rsid w:val="5248244C"/>
    <w:rsid w:val="52495FBF"/>
    <w:rsid w:val="5249EA3C"/>
    <w:rsid w:val="524C0936"/>
    <w:rsid w:val="524C827B"/>
    <w:rsid w:val="524D922B"/>
    <w:rsid w:val="524E26D4"/>
    <w:rsid w:val="524EC0FD"/>
    <w:rsid w:val="52503D14"/>
    <w:rsid w:val="525046C1"/>
    <w:rsid w:val="52505C8B"/>
    <w:rsid w:val="5250CE05"/>
    <w:rsid w:val="5251B5CF"/>
    <w:rsid w:val="52541823"/>
    <w:rsid w:val="525568AC"/>
    <w:rsid w:val="5255B6C6"/>
    <w:rsid w:val="52566177"/>
    <w:rsid w:val="5256B29D"/>
    <w:rsid w:val="5256BD0D"/>
    <w:rsid w:val="5259F31F"/>
    <w:rsid w:val="525A13DC"/>
    <w:rsid w:val="525B3CEB"/>
    <w:rsid w:val="525B3EFD"/>
    <w:rsid w:val="525B551C"/>
    <w:rsid w:val="525BC910"/>
    <w:rsid w:val="525DF4B7"/>
    <w:rsid w:val="525E0D85"/>
    <w:rsid w:val="525E1BA6"/>
    <w:rsid w:val="525E3533"/>
    <w:rsid w:val="525EF9C3"/>
    <w:rsid w:val="52604953"/>
    <w:rsid w:val="5260911D"/>
    <w:rsid w:val="52614287"/>
    <w:rsid w:val="526163F3"/>
    <w:rsid w:val="526179A9"/>
    <w:rsid w:val="52628718"/>
    <w:rsid w:val="5262D234"/>
    <w:rsid w:val="526463FB"/>
    <w:rsid w:val="5266FE9B"/>
    <w:rsid w:val="52692791"/>
    <w:rsid w:val="526D3329"/>
    <w:rsid w:val="526D9894"/>
    <w:rsid w:val="526DEEF3"/>
    <w:rsid w:val="526E02ED"/>
    <w:rsid w:val="526E2492"/>
    <w:rsid w:val="526E5F55"/>
    <w:rsid w:val="526FE099"/>
    <w:rsid w:val="5270CD6B"/>
    <w:rsid w:val="52724A34"/>
    <w:rsid w:val="52733040"/>
    <w:rsid w:val="5274317A"/>
    <w:rsid w:val="5274E8E7"/>
    <w:rsid w:val="527562DE"/>
    <w:rsid w:val="5276A15A"/>
    <w:rsid w:val="52777ECE"/>
    <w:rsid w:val="52788F46"/>
    <w:rsid w:val="5278A2D5"/>
    <w:rsid w:val="527934B7"/>
    <w:rsid w:val="527CF35D"/>
    <w:rsid w:val="527D9CDE"/>
    <w:rsid w:val="52828D4C"/>
    <w:rsid w:val="5282D9BD"/>
    <w:rsid w:val="528348DE"/>
    <w:rsid w:val="5284F6DE"/>
    <w:rsid w:val="528678E5"/>
    <w:rsid w:val="5286F1E8"/>
    <w:rsid w:val="5288E235"/>
    <w:rsid w:val="528B12B8"/>
    <w:rsid w:val="528B7590"/>
    <w:rsid w:val="528D2B4D"/>
    <w:rsid w:val="528E80CB"/>
    <w:rsid w:val="528EDA3B"/>
    <w:rsid w:val="52928BA4"/>
    <w:rsid w:val="529308D1"/>
    <w:rsid w:val="52938FDB"/>
    <w:rsid w:val="529463B7"/>
    <w:rsid w:val="52956160"/>
    <w:rsid w:val="5295B817"/>
    <w:rsid w:val="5296E5FE"/>
    <w:rsid w:val="5297FAA4"/>
    <w:rsid w:val="5298C96E"/>
    <w:rsid w:val="5298FD60"/>
    <w:rsid w:val="529A7672"/>
    <w:rsid w:val="529AB0DC"/>
    <w:rsid w:val="529B473C"/>
    <w:rsid w:val="529BFEF8"/>
    <w:rsid w:val="529C0415"/>
    <w:rsid w:val="529C7FC9"/>
    <w:rsid w:val="529CADCB"/>
    <w:rsid w:val="529DFFEF"/>
    <w:rsid w:val="529EF67A"/>
    <w:rsid w:val="529F4C62"/>
    <w:rsid w:val="529F5E4B"/>
    <w:rsid w:val="52A06100"/>
    <w:rsid w:val="52A06377"/>
    <w:rsid w:val="52A0A9DA"/>
    <w:rsid w:val="52A3E0A1"/>
    <w:rsid w:val="52A4CE06"/>
    <w:rsid w:val="52A79227"/>
    <w:rsid w:val="52A975AE"/>
    <w:rsid w:val="52A98053"/>
    <w:rsid w:val="52AB71E7"/>
    <w:rsid w:val="52ACF24B"/>
    <w:rsid w:val="52AE8278"/>
    <w:rsid w:val="52AED6D2"/>
    <w:rsid w:val="52AF724E"/>
    <w:rsid w:val="52B3748D"/>
    <w:rsid w:val="52B3DAB4"/>
    <w:rsid w:val="52B53DE9"/>
    <w:rsid w:val="52B56AB5"/>
    <w:rsid w:val="52B7B7A7"/>
    <w:rsid w:val="52B95D87"/>
    <w:rsid w:val="52BA3063"/>
    <w:rsid w:val="52BAE4EA"/>
    <w:rsid w:val="52BC9C20"/>
    <w:rsid w:val="52BD7EC9"/>
    <w:rsid w:val="52BDA5DD"/>
    <w:rsid w:val="52BEDAE8"/>
    <w:rsid w:val="52BF3B63"/>
    <w:rsid w:val="52BF8033"/>
    <w:rsid w:val="52BFB515"/>
    <w:rsid w:val="52C012C4"/>
    <w:rsid w:val="52C01335"/>
    <w:rsid w:val="52C01CC7"/>
    <w:rsid w:val="52C20E35"/>
    <w:rsid w:val="52C3EB03"/>
    <w:rsid w:val="52C5BED9"/>
    <w:rsid w:val="52C70A94"/>
    <w:rsid w:val="52C78E36"/>
    <w:rsid w:val="52C84FC9"/>
    <w:rsid w:val="52CA1D27"/>
    <w:rsid w:val="52CADA36"/>
    <w:rsid w:val="52CB26DC"/>
    <w:rsid w:val="52CBD54A"/>
    <w:rsid w:val="52CC0644"/>
    <w:rsid w:val="52CD919B"/>
    <w:rsid w:val="52CD9876"/>
    <w:rsid w:val="52CEA703"/>
    <w:rsid w:val="52CF0D6A"/>
    <w:rsid w:val="52CFDA4E"/>
    <w:rsid w:val="52D00FD4"/>
    <w:rsid w:val="52D027DD"/>
    <w:rsid w:val="52D0D075"/>
    <w:rsid w:val="52D117F7"/>
    <w:rsid w:val="52D26D69"/>
    <w:rsid w:val="52D29DF5"/>
    <w:rsid w:val="52D32494"/>
    <w:rsid w:val="52D40311"/>
    <w:rsid w:val="52D590EA"/>
    <w:rsid w:val="52D633DB"/>
    <w:rsid w:val="52D6589F"/>
    <w:rsid w:val="52D67A0D"/>
    <w:rsid w:val="52D71A25"/>
    <w:rsid w:val="52D7C4E9"/>
    <w:rsid w:val="52D7CF8F"/>
    <w:rsid w:val="52D92FE6"/>
    <w:rsid w:val="52DA06A8"/>
    <w:rsid w:val="52DAA879"/>
    <w:rsid w:val="52DAB778"/>
    <w:rsid w:val="52DDD20B"/>
    <w:rsid w:val="52DEE94D"/>
    <w:rsid w:val="52E231F3"/>
    <w:rsid w:val="52E244B1"/>
    <w:rsid w:val="52E5F516"/>
    <w:rsid w:val="52E611D4"/>
    <w:rsid w:val="52E63121"/>
    <w:rsid w:val="52E66A5A"/>
    <w:rsid w:val="52E79B0A"/>
    <w:rsid w:val="52E88931"/>
    <w:rsid w:val="52E98CF8"/>
    <w:rsid w:val="52EBF089"/>
    <w:rsid w:val="52ED5F77"/>
    <w:rsid w:val="52ED8EFA"/>
    <w:rsid w:val="52ED9D15"/>
    <w:rsid w:val="52EDF996"/>
    <w:rsid w:val="52EF3781"/>
    <w:rsid w:val="52EF38D5"/>
    <w:rsid w:val="52EFBDBC"/>
    <w:rsid w:val="52EFCC6B"/>
    <w:rsid w:val="52F107D9"/>
    <w:rsid w:val="52F23B9E"/>
    <w:rsid w:val="52F2C58C"/>
    <w:rsid w:val="52F4D487"/>
    <w:rsid w:val="52F55664"/>
    <w:rsid w:val="52F69A5D"/>
    <w:rsid w:val="52F6E1DD"/>
    <w:rsid w:val="52F722FE"/>
    <w:rsid w:val="52F88131"/>
    <w:rsid w:val="52F9A28D"/>
    <w:rsid w:val="52FA525E"/>
    <w:rsid w:val="52FA84BA"/>
    <w:rsid w:val="52FCCE74"/>
    <w:rsid w:val="52FD93B8"/>
    <w:rsid w:val="52FDAFA9"/>
    <w:rsid w:val="52FDC4D8"/>
    <w:rsid w:val="52FDE5A9"/>
    <w:rsid w:val="52FE622F"/>
    <w:rsid w:val="52FE9630"/>
    <w:rsid w:val="5301D3B6"/>
    <w:rsid w:val="5301D7D2"/>
    <w:rsid w:val="53031B44"/>
    <w:rsid w:val="5304161B"/>
    <w:rsid w:val="53047427"/>
    <w:rsid w:val="53048DE5"/>
    <w:rsid w:val="53061839"/>
    <w:rsid w:val="53072DF5"/>
    <w:rsid w:val="53092E2A"/>
    <w:rsid w:val="530A3BA5"/>
    <w:rsid w:val="530A565C"/>
    <w:rsid w:val="530BED47"/>
    <w:rsid w:val="530C3FB0"/>
    <w:rsid w:val="530CDEAE"/>
    <w:rsid w:val="530D673F"/>
    <w:rsid w:val="530F2236"/>
    <w:rsid w:val="5310E69A"/>
    <w:rsid w:val="53117BC3"/>
    <w:rsid w:val="53178AE3"/>
    <w:rsid w:val="5317C345"/>
    <w:rsid w:val="5317CC05"/>
    <w:rsid w:val="531808E5"/>
    <w:rsid w:val="53189F61"/>
    <w:rsid w:val="5318A1A3"/>
    <w:rsid w:val="5318BEE9"/>
    <w:rsid w:val="53190F86"/>
    <w:rsid w:val="531C0F5D"/>
    <w:rsid w:val="531E94F1"/>
    <w:rsid w:val="531F19B2"/>
    <w:rsid w:val="531F7FC3"/>
    <w:rsid w:val="53223DC4"/>
    <w:rsid w:val="5325448B"/>
    <w:rsid w:val="53265F92"/>
    <w:rsid w:val="53285D83"/>
    <w:rsid w:val="5328F0D1"/>
    <w:rsid w:val="5329AC7C"/>
    <w:rsid w:val="532A138D"/>
    <w:rsid w:val="532A3D79"/>
    <w:rsid w:val="532A6864"/>
    <w:rsid w:val="532A7C75"/>
    <w:rsid w:val="532B13C0"/>
    <w:rsid w:val="532B5CC3"/>
    <w:rsid w:val="532BB95D"/>
    <w:rsid w:val="532BF270"/>
    <w:rsid w:val="532DA240"/>
    <w:rsid w:val="532DC94E"/>
    <w:rsid w:val="532E6F64"/>
    <w:rsid w:val="532FD0FF"/>
    <w:rsid w:val="53315174"/>
    <w:rsid w:val="5331AA0C"/>
    <w:rsid w:val="5332086C"/>
    <w:rsid w:val="53328F79"/>
    <w:rsid w:val="53346160"/>
    <w:rsid w:val="533482CC"/>
    <w:rsid w:val="53354C59"/>
    <w:rsid w:val="5335E5B9"/>
    <w:rsid w:val="5336AB7D"/>
    <w:rsid w:val="53383C4C"/>
    <w:rsid w:val="5339C42F"/>
    <w:rsid w:val="5339F768"/>
    <w:rsid w:val="533BC471"/>
    <w:rsid w:val="533BDD26"/>
    <w:rsid w:val="533C57C9"/>
    <w:rsid w:val="533C6D7C"/>
    <w:rsid w:val="533D03F5"/>
    <w:rsid w:val="533DEC30"/>
    <w:rsid w:val="533EF475"/>
    <w:rsid w:val="533F7CA5"/>
    <w:rsid w:val="533FC958"/>
    <w:rsid w:val="53407E73"/>
    <w:rsid w:val="53419491"/>
    <w:rsid w:val="5341EDAA"/>
    <w:rsid w:val="5342A54C"/>
    <w:rsid w:val="53434145"/>
    <w:rsid w:val="5344FA8B"/>
    <w:rsid w:val="53453717"/>
    <w:rsid w:val="53472DB2"/>
    <w:rsid w:val="53474FEB"/>
    <w:rsid w:val="53476611"/>
    <w:rsid w:val="5348E0B4"/>
    <w:rsid w:val="5349213C"/>
    <w:rsid w:val="5349485D"/>
    <w:rsid w:val="534A9E43"/>
    <w:rsid w:val="534C17FD"/>
    <w:rsid w:val="534FB3E5"/>
    <w:rsid w:val="5350E241"/>
    <w:rsid w:val="5351F9D0"/>
    <w:rsid w:val="5352C391"/>
    <w:rsid w:val="53531215"/>
    <w:rsid w:val="53537F55"/>
    <w:rsid w:val="535383EF"/>
    <w:rsid w:val="53540938"/>
    <w:rsid w:val="535452F5"/>
    <w:rsid w:val="5355A232"/>
    <w:rsid w:val="53597657"/>
    <w:rsid w:val="535A349A"/>
    <w:rsid w:val="535AB88E"/>
    <w:rsid w:val="535B320B"/>
    <w:rsid w:val="535BFCAE"/>
    <w:rsid w:val="535C0156"/>
    <w:rsid w:val="535CCDD5"/>
    <w:rsid w:val="535CD5AC"/>
    <w:rsid w:val="535EB08A"/>
    <w:rsid w:val="535F5B57"/>
    <w:rsid w:val="535FFCD2"/>
    <w:rsid w:val="53608DA0"/>
    <w:rsid w:val="5361C312"/>
    <w:rsid w:val="5363A764"/>
    <w:rsid w:val="5363E218"/>
    <w:rsid w:val="53646714"/>
    <w:rsid w:val="5365BCD7"/>
    <w:rsid w:val="5365CDD7"/>
    <w:rsid w:val="536635EC"/>
    <w:rsid w:val="5366AF51"/>
    <w:rsid w:val="5367A559"/>
    <w:rsid w:val="53699894"/>
    <w:rsid w:val="5369D591"/>
    <w:rsid w:val="536AFDE2"/>
    <w:rsid w:val="536BA5A5"/>
    <w:rsid w:val="536BE61C"/>
    <w:rsid w:val="536C5B72"/>
    <w:rsid w:val="536C7911"/>
    <w:rsid w:val="536C8817"/>
    <w:rsid w:val="536E2473"/>
    <w:rsid w:val="536E8D5A"/>
    <w:rsid w:val="536E925B"/>
    <w:rsid w:val="537084F8"/>
    <w:rsid w:val="53737644"/>
    <w:rsid w:val="53764350"/>
    <w:rsid w:val="537A9022"/>
    <w:rsid w:val="537AAB4F"/>
    <w:rsid w:val="537B3C27"/>
    <w:rsid w:val="537BAE8C"/>
    <w:rsid w:val="537BC7EC"/>
    <w:rsid w:val="537C90A0"/>
    <w:rsid w:val="537D26FD"/>
    <w:rsid w:val="537D3FEE"/>
    <w:rsid w:val="537DB038"/>
    <w:rsid w:val="537E3C45"/>
    <w:rsid w:val="537FBF7B"/>
    <w:rsid w:val="5380FD82"/>
    <w:rsid w:val="5381A3CE"/>
    <w:rsid w:val="5381FF67"/>
    <w:rsid w:val="5382A4E6"/>
    <w:rsid w:val="538363CC"/>
    <w:rsid w:val="5383D2E8"/>
    <w:rsid w:val="5384A3AC"/>
    <w:rsid w:val="538501CB"/>
    <w:rsid w:val="53855E94"/>
    <w:rsid w:val="5386EEF3"/>
    <w:rsid w:val="53870D3B"/>
    <w:rsid w:val="53882E11"/>
    <w:rsid w:val="53891716"/>
    <w:rsid w:val="538B6F01"/>
    <w:rsid w:val="538B91FC"/>
    <w:rsid w:val="538C91DA"/>
    <w:rsid w:val="538CDD73"/>
    <w:rsid w:val="538E40F3"/>
    <w:rsid w:val="538E85A3"/>
    <w:rsid w:val="538FB2D1"/>
    <w:rsid w:val="53912D8B"/>
    <w:rsid w:val="5392B873"/>
    <w:rsid w:val="53932EF3"/>
    <w:rsid w:val="53940D76"/>
    <w:rsid w:val="5394E1EB"/>
    <w:rsid w:val="5395DCE6"/>
    <w:rsid w:val="539B2B1C"/>
    <w:rsid w:val="539B70ED"/>
    <w:rsid w:val="539CC740"/>
    <w:rsid w:val="539D8C26"/>
    <w:rsid w:val="539DB552"/>
    <w:rsid w:val="53A0F23D"/>
    <w:rsid w:val="53A2D7CD"/>
    <w:rsid w:val="53A3FE1E"/>
    <w:rsid w:val="53A50085"/>
    <w:rsid w:val="53A5F56E"/>
    <w:rsid w:val="53A60CAB"/>
    <w:rsid w:val="53A7A357"/>
    <w:rsid w:val="53A88A4D"/>
    <w:rsid w:val="53A96297"/>
    <w:rsid w:val="53A9C15F"/>
    <w:rsid w:val="53AA7894"/>
    <w:rsid w:val="53ABE248"/>
    <w:rsid w:val="53AC011C"/>
    <w:rsid w:val="53AFC380"/>
    <w:rsid w:val="53B0F30B"/>
    <w:rsid w:val="53B22668"/>
    <w:rsid w:val="53B386B9"/>
    <w:rsid w:val="53B4274A"/>
    <w:rsid w:val="53B51B5F"/>
    <w:rsid w:val="53B522D1"/>
    <w:rsid w:val="53B57039"/>
    <w:rsid w:val="53B6CAA1"/>
    <w:rsid w:val="53B872E9"/>
    <w:rsid w:val="53B97F53"/>
    <w:rsid w:val="53B9BD65"/>
    <w:rsid w:val="53BB8E56"/>
    <w:rsid w:val="53BBDEC6"/>
    <w:rsid w:val="53BCD845"/>
    <w:rsid w:val="53BDDE8F"/>
    <w:rsid w:val="53BEEA36"/>
    <w:rsid w:val="53C01AF6"/>
    <w:rsid w:val="53C0B30E"/>
    <w:rsid w:val="53C0E7B0"/>
    <w:rsid w:val="53C14D79"/>
    <w:rsid w:val="53C326FF"/>
    <w:rsid w:val="53C4519F"/>
    <w:rsid w:val="53C46892"/>
    <w:rsid w:val="53C4B3CF"/>
    <w:rsid w:val="53C4ED94"/>
    <w:rsid w:val="53C532CE"/>
    <w:rsid w:val="53C57A2B"/>
    <w:rsid w:val="53C5C5DF"/>
    <w:rsid w:val="53C6FBF4"/>
    <w:rsid w:val="53CB3FE4"/>
    <w:rsid w:val="53CB8EC8"/>
    <w:rsid w:val="53CC9709"/>
    <w:rsid w:val="53CCD50D"/>
    <w:rsid w:val="53CD097B"/>
    <w:rsid w:val="53CDB1EB"/>
    <w:rsid w:val="53CE2457"/>
    <w:rsid w:val="53CE71C9"/>
    <w:rsid w:val="53CE981F"/>
    <w:rsid w:val="53CEE641"/>
    <w:rsid w:val="53D0923F"/>
    <w:rsid w:val="53D0D3F6"/>
    <w:rsid w:val="53D0D903"/>
    <w:rsid w:val="53D1CC9A"/>
    <w:rsid w:val="53D1E662"/>
    <w:rsid w:val="53D21CD7"/>
    <w:rsid w:val="53D3171F"/>
    <w:rsid w:val="53D492C8"/>
    <w:rsid w:val="53D524CA"/>
    <w:rsid w:val="53D7AB10"/>
    <w:rsid w:val="53D7F853"/>
    <w:rsid w:val="53D9F2F7"/>
    <w:rsid w:val="53DF1003"/>
    <w:rsid w:val="53DF3BB6"/>
    <w:rsid w:val="53DFBE03"/>
    <w:rsid w:val="53DFD1E6"/>
    <w:rsid w:val="53E0501E"/>
    <w:rsid w:val="53E27046"/>
    <w:rsid w:val="53E33259"/>
    <w:rsid w:val="53E350F8"/>
    <w:rsid w:val="53E42B36"/>
    <w:rsid w:val="53E4B476"/>
    <w:rsid w:val="53E4DA17"/>
    <w:rsid w:val="53E572CC"/>
    <w:rsid w:val="53E59E69"/>
    <w:rsid w:val="53E607C1"/>
    <w:rsid w:val="53E6296D"/>
    <w:rsid w:val="53E6784B"/>
    <w:rsid w:val="53E73D75"/>
    <w:rsid w:val="53E79E73"/>
    <w:rsid w:val="53E85512"/>
    <w:rsid w:val="53E9C863"/>
    <w:rsid w:val="53EA11B0"/>
    <w:rsid w:val="53EB3285"/>
    <w:rsid w:val="53EB3D3D"/>
    <w:rsid w:val="53EBDF4D"/>
    <w:rsid w:val="53EDFADD"/>
    <w:rsid w:val="53EE26CE"/>
    <w:rsid w:val="53EE4677"/>
    <w:rsid w:val="53EEB273"/>
    <w:rsid w:val="53EEB31E"/>
    <w:rsid w:val="53EFABFA"/>
    <w:rsid w:val="53F0C323"/>
    <w:rsid w:val="53F0F8A1"/>
    <w:rsid w:val="53F1729C"/>
    <w:rsid w:val="53F22647"/>
    <w:rsid w:val="53F3172F"/>
    <w:rsid w:val="53F3D657"/>
    <w:rsid w:val="53F498B8"/>
    <w:rsid w:val="53F7C12F"/>
    <w:rsid w:val="53F80D72"/>
    <w:rsid w:val="53FB95C9"/>
    <w:rsid w:val="53FD0FFA"/>
    <w:rsid w:val="53FDC4C4"/>
    <w:rsid w:val="54016CFD"/>
    <w:rsid w:val="5401A48E"/>
    <w:rsid w:val="5402AED4"/>
    <w:rsid w:val="5403D96C"/>
    <w:rsid w:val="54041115"/>
    <w:rsid w:val="54055835"/>
    <w:rsid w:val="5405D309"/>
    <w:rsid w:val="5405F720"/>
    <w:rsid w:val="54068003"/>
    <w:rsid w:val="54069542"/>
    <w:rsid w:val="540A061C"/>
    <w:rsid w:val="540AB64D"/>
    <w:rsid w:val="540BEEA0"/>
    <w:rsid w:val="540E7055"/>
    <w:rsid w:val="540F0B44"/>
    <w:rsid w:val="54124C33"/>
    <w:rsid w:val="5412546E"/>
    <w:rsid w:val="541299FE"/>
    <w:rsid w:val="5412EC2B"/>
    <w:rsid w:val="5412FF23"/>
    <w:rsid w:val="54139235"/>
    <w:rsid w:val="541531EB"/>
    <w:rsid w:val="5415DB9D"/>
    <w:rsid w:val="5415E416"/>
    <w:rsid w:val="54165669"/>
    <w:rsid w:val="5419FEE5"/>
    <w:rsid w:val="541A5FFF"/>
    <w:rsid w:val="541C6AEF"/>
    <w:rsid w:val="541CCAB5"/>
    <w:rsid w:val="541E9A4E"/>
    <w:rsid w:val="541F8B43"/>
    <w:rsid w:val="541FC15E"/>
    <w:rsid w:val="54206C06"/>
    <w:rsid w:val="5421BC95"/>
    <w:rsid w:val="5422045C"/>
    <w:rsid w:val="5422E580"/>
    <w:rsid w:val="54235362"/>
    <w:rsid w:val="5423554F"/>
    <w:rsid w:val="5424D2DA"/>
    <w:rsid w:val="54271B91"/>
    <w:rsid w:val="5427C7E1"/>
    <w:rsid w:val="54282DBC"/>
    <w:rsid w:val="542865CB"/>
    <w:rsid w:val="54293EB1"/>
    <w:rsid w:val="542C3D00"/>
    <w:rsid w:val="542D6F2B"/>
    <w:rsid w:val="542F3994"/>
    <w:rsid w:val="54303696"/>
    <w:rsid w:val="543089DA"/>
    <w:rsid w:val="54314650"/>
    <w:rsid w:val="54323431"/>
    <w:rsid w:val="54325290"/>
    <w:rsid w:val="543259D9"/>
    <w:rsid w:val="5432AD40"/>
    <w:rsid w:val="54338945"/>
    <w:rsid w:val="5434776C"/>
    <w:rsid w:val="54360174"/>
    <w:rsid w:val="5436F1FA"/>
    <w:rsid w:val="54372FE1"/>
    <w:rsid w:val="543800B3"/>
    <w:rsid w:val="5439DE18"/>
    <w:rsid w:val="543AEFBB"/>
    <w:rsid w:val="543BEE4E"/>
    <w:rsid w:val="543C73C0"/>
    <w:rsid w:val="543D24A1"/>
    <w:rsid w:val="543EE61F"/>
    <w:rsid w:val="54407F4D"/>
    <w:rsid w:val="54434A17"/>
    <w:rsid w:val="5444BD3B"/>
    <w:rsid w:val="5446A17F"/>
    <w:rsid w:val="5447C0EF"/>
    <w:rsid w:val="54485802"/>
    <w:rsid w:val="5448864A"/>
    <w:rsid w:val="5448B61A"/>
    <w:rsid w:val="5448C0D4"/>
    <w:rsid w:val="5448C2AC"/>
    <w:rsid w:val="54495507"/>
    <w:rsid w:val="544AA397"/>
    <w:rsid w:val="544BD38F"/>
    <w:rsid w:val="544C741D"/>
    <w:rsid w:val="544CE469"/>
    <w:rsid w:val="544FC449"/>
    <w:rsid w:val="5457083C"/>
    <w:rsid w:val="54579CBA"/>
    <w:rsid w:val="5458C737"/>
    <w:rsid w:val="54599E1D"/>
    <w:rsid w:val="5459F89A"/>
    <w:rsid w:val="545A8326"/>
    <w:rsid w:val="545C2168"/>
    <w:rsid w:val="545DCF6A"/>
    <w:rsid w:val="545E8FC8"/>
    <w:rsid w:val="545F70DD"/>
    <w:rsid w:val="54600EF9"/>
    <w:rsid w:val="5460F7CA"/>
    <w:rsid w:val="546164F2"/>
    <w:rsid w:val="5462498C"/>
    <w:rsid w:val="5463E514"/>
    <w:rsid w:val="5464646F"/>
    <w:rsid w:val="54647671"/>
    <w:rsid w:val="5464931C"/>
    <w:rsid w:val="5466BBE5"/>
    <w:rsid w:val="546852FC"/>
    <w:rsid w:val="54689C61"/>
    <w:rsid w:val="546BB0A9"/>
    <w:rsid w:val="546D71F4"/>
    <w:rsid w:val="546F13B6"/>
    <w:rsid w:val="54705DD2"/>
    <w:rsid w:val="54708404"/>
    <w:rsid w:val="5471BB66"/>
    <w:rsid w:val="5471FD56"/>
    <w:rsid w:val="5474F2AD"/>
    <w:rsid w:val="547685CF"/>
    <w:rsid w:val="5477C97C"/>
    <w:rsid w:val="5479D461"/>
    <w:rsid w:val="5479FBC1"/>
    <w:rsid w:val="547B644E"/>
    <w:rsid w:val="547BA0EE"/>
    <w:rsid w:val="547C17DD"/>
    <w:rsid w:val="547C95DD"/>
    <w:rsid w:val="547DA7FA"/>
    <w:rsid w:val="547DF418"/>
    <w:rsid w:val="547E1691"/>
    <w:rsid w:val="547E278B"/>
    <w:rsid w:val="547E6FE7"/>
    <w:rsid w:val="5480011E"/>
    <w:rsid w:val="548073D4"/>
    <w:rsid w:val="5481B663"/>
    <w:rsid w:val="5481BBA6"/>
    <w:rsid w:val="5481D74B"/>
    <w:rsid w:val="54838388"/>
    <w:rsid w:val="5484474C"/>
    <w:rsid w:val="54851F96"/>
    <w:rsid w:val="54856CA6"/>
    <w:rsid w:val="54857355"/>
    <w:rsid w:val="5485A78E"/>
    <w:rsid w:val="5487593A"/>
    <w:rsid w:val="5487FF60"/>
    <w:rsid w:val="548A1F72"/>
    <w:rsid w:val="548B31F7"/>
    <w:rsid w:val="548B98FA"/>
    <w:rsid w:val="548CF4CF"/>
    <w:rsid w:val="548D31D0"/>
    <w:rsid w:val="548E0249"/>
    <w:rsid w:val="54912A3D"/>
    <w:rsid w:val="5493246C"/>
    <w:rsid w:val="54932535"/>
    <w:rsid w:val="5493A648"/>
    <w:rsid w:val="5494A161"/>
    <w:rsid w:val="5494DCCE"/>
    <w:rsid w:val="5494E421"/>
    <w:rsid w:val="549A65A4"/>
    <w:rsid w:val="549E7B5F"/>
    <w:rsid w:val="54A01533"/>
    <w:rsid w:val="54A0AB44"/>
    <w:rsid w:val="54A0D1D8"/>
    <w:rsid w:val="54A1796B"/>
    <w:rsid w:val="54A22B3A"/>
    <w:rsid w:val="54A7F1E4"/>
    <w:rsid w:val="54A9C122"/>
    <w:rsid w:val="54AAD141"/>
    <w:rsid w:val="54AECBB8"/>
    <w:rsid w:val="54AEE44F"/>
    <w:rsid w:val="54AF945E"/>
    <w:rsid w:val="54B17DAA"/>
    <w:rsid w:val="54B2BB4C"/>
    <w:rsid w:val="54B5E3E5"/>
    <w:rsid w:val="54BBDEF3"/>
    <w:rsid w:val="54BD8CC3"/>
    <w:rsid w:val="54BF4B27"/>
    <w:rsid w:val="54C04B65"/>
    <w:rsid w:val="54C04D1D"/>
    <w:rsid w:val="54C12315"/>
    <w:rsid w:val="54C1741B"/>
    <w:rsid w:val="54C2E71F"/>
    <w:rsid w:val="54C33595"/>
    <w:rsid w:val="54C355A9"/>
    <w:rsid w:val="54C3F255"/>
    <w:rsid w:val="54C56E0B"/>
    <w:rsid w:val="54C6D8E1"/>
    <w:rsid w:val="54C7E866"/>
    <w:rsid w:val="54C8EE54"/>
    <w:rsid w:val="54C971FD"/>
    <w:rsid w:val="54CA6565"/>
    <w:rsid w:val="54CB815C"/>
    <w:rsid w:val="54CCB905"/>
    <w:rsid w:val="54CCCA4E"/>
    <w:rsid w:val="54CF0010"/>
    <w:rsid w:val="54CFB18C"/>
    <w:rsid w:val="54D298E0"/>
    <w:rsid w:val="54D3AAF8"/>
    <w:rsid w:val="54D3B566"/>
    <w:rsid w:val="54D3C763"/>
    <w:rsid w:val="54D40B88"/>
    <w:rsid w:val="54D97DA9"/>
    <w:rsid w:val="54DA33B2"/>
    <w:rsid w:val="54DC8241"/>
    <w:rsid w:val="54DCC3DB"/>
    <w:rsid w:val="54DCEE1F"/>
    <w:rsid w:val="54DD4809"/>
    <w:rsid w:val="54DDCAC5"/>
    <w:rsid w:val="54DF2C7C"/>
    <w:rsid w:val="54DFB93C"/>
    <w:rsid w:val="54E0972D"/>
    <w:rsid w:val="54E0CC9F"/>
    <w:rsid w:val="54E0FBFE"/>
    <w:rsid w:val="54E307E4"/>
    <w:rsid w:val="54E40623"/>
    <w:rsid w:val="54E4422B"/>
    <w:rsid w:val="54E4A5DE"/>
    <w:rsid w:val="54E5DDA7"/>
    <w:rsid w:val="54E5E792"/>
    <w:rsid w:val="54E6067B"/>
    <w:rsid w:val="54E6AE46"/>
    <w:rsid w:val="54E85B28"/>
    <w:rsid w:val="54E8E1BB"/>
    <w:rsid w:val="54E8E412"/>
    <w:rsid w:val="54E916BE"/>
    <w:rsid w:val="54E9E995"/>
    <w:rsid w:val="54EB7313"/>
    <w:rsid w:val="54EE5C8A"/>
    <w:rsid w:val="54EFE704"/>
    <w:rsid w:val="54F0996C"/>
    <w:rsid w:val="54F10336"/>
    <w:rsid w:val="54F1D9B9"/>
    <w:rsid w:val="54F2DCA8"/>
    <w:rsid w:val="54F324AE"/>
    <w:rsid w:val="54F40D21"/>
    <w:rsid w:val="54F47920"/>
    <w:rsid w:val="54F47F53"/>
    <w:rsid w:val="54F5433D"/>
    <w:rsid w:val="54F708B1"/>
    <w:rsid w:val="54F7E72B"/>
    <w:rsid w:val="54F95E8B"/>
    <w:rsid w:val="54F9C552"/>
    <w:rsid w:val="54FAAFE6"/>
    <w:rsid w:val="54FB8C44"/>
    <w:rsid w:val="54FBAF46"/>
    <w:rsid w:val="54FBF07C"/>
    <w:rsid w:val="54FC37CD"/>
    <w:rsid w:val="54FD9A8B"/>
    <w:rsid w:val="54FF1B32"/>
    <w:rsid w:val="54FF29B3"/>
    <w:rsid w:val="54FF9357"/>
    <w:rsid w:val="550054BC"/>
    <w:rsid w:val="550163FB"/>
    <w:rsid w:val="55029308"/>
    <w:rsid w:val="5502C307"/>
    <w:rsid w:val="550331A4"/>
    <w:rsid w:val="5505FAF0"/>
    <w:rsid w:val="55077AA2"/>
    <w:rsid w:val="5507D286"/>
    <w:rsid w:val="55089C8F"/>
    <w:rsid w:val="550BB71D"/>
    <w:rsid w:val="550D0C45"/>
    <w:rsid w:val="550E2E3A"/>
    <w:rsid w:val="550EA224"/>
    <w:rsid w:val="550F3942"/>
    <w:rsid w:val="550F619C"/>
    <w:rsid w:val="550F9BE4"/>
    <w:rsid w:val="55105D19"/>
    <w:rsid w:val="5510CA5C"/>
    <w:rsid w:val="55122404"/>
    <w:rsid w:val="5513A557"/>
    <w:rsid w:val="5513B685"/>
    <w:rsid w:val="55157983"/>
    <w:rsid w:val="5517ABF6"/>
    <w:rsid w:val="5517F756"/>
    <w:rsid w:val="5518378D"/>
    <w:rsid w:val="5518CEDE"/>
    <w:rsid w:val="551AAAE4"/>
    <w:rsid w:val="551AFEE5"/>
    <w:rsid w:val="551BE2D7"/>
    <w:rsid w:val="551C7CF4"/>
    <w:rsid w:val="551D4DE6"/>
    <w:rsid w:val="551D688B"/>
    <w:rsid w:val="551EF444"/>
    <w:rsid w:val="551FE5D0"/>
    <w:rsid w:val="55214008"/>
    <w:rsid w:val="552350D8"/>
    <w:rsid w:val="5524D6ED"/>
    <w:rsid w:val="5526F492"/>
    <w:rsid w:val="5527A3F7"/>
    <w:rsid w:val="552810BA"/>
    <w:rsid w:val="55281969"/>
    <w:rsid w:val="55285EB3"/>
    <w:rsid w:val="55290A41"/>
    <w:rsid w:val="5529B0E2"/>
    <w:rsid w:val="552A6634"/>
    <w:rsid w:val="552B7CFA"/>
    <w:rsid w:val="552C3663"/>
    <w:rsid w:val="552C7755"/>
    <w:rsid w:val="552CDC08"/>
    <w:rsid w:val="552CEF77"/>
    <w:rsid w:val="552CFA63"/>
    <w:rsid w:val="552D7910"/>
    <w:rsid w:val="552EA0E8"/>
    <w:rsid w:val="552EF1A7"/>
    <w:rsid w:val="552F4D05"/>
    <w:rsid w:val="553003F5"/>
    <w:rsid w:val="55302CBD"/>
    <w:rsid w:val="5530BF84"/>
    <w:rsid w:val="5530F831"/>
    <w:rsid w:val="55316828"/>
    <w:rsid w:val="55325851"/>
    <w:rsid w:val="55327920"/>
    <w:rsid w:val="553326EF"/>
    <w:rsid w:val="55339254"/>
    <w:rsid w:val="5533D52A"/>
    <w:rsid w:val="5534E17B"/>
    <w:rsid w:val="55373C8F"/>
    <w:rsid w:val="5537DC70"/>
    <w:rsid w:val="5538088A"/>
    <w:rsid w:val="5538125C"/>
    <w:rsid w:val="553C02CD"/>
    <w:rsid w:val="553C0D51"/>
    <w:rsid w:val="553C1606"/>
    <w:rsid w:val="553C59BC"/>
    <w:rsid w:val="553D1D50"/>
    <w:rsid w:val="553D5C23"/>
    <w:rsid w:val="553DAE84"/>
    <w:rsid w:val="553E3B93"/>
    <w:rsid w:val="553EFE2E"/>
    <w:rsid w:val="553FD5CD"/>
    <w:rsid w:val="55409E5A"/>
    <w:rsid w:val="5540BC30"/>
    <w:rsid w:val="5541E2F7"/>
    <w:rsid w:val="55421F25"/>
    <w:rsid w:val="554265C0"/>
    <w:rsid w:val="5542D6A1"/>
    <w:rsid w:val="5542DAB6"/>
    <w:rsid w:val="5542FA4C"/>
    <w:rsid w:val="55458D47"/>
    <w:rsid w:val="554617A0"/>
    <w:rsid w:val="55466637"/>
    <w:rsid w:val="5547291B"/>
    <w:rsid w:val="554A345D"/>
    <w:rsid w:val="554CC33D"/>
    <w:rsid w:val="554D9A42"/>
    <w:rsid w:val="55503CAF"/>
    <w:rsid w:val="55512F18"/>
    <w:rsid w:val="5551E031"/>
    <w:rsid w:val="555295D0"/>
    <w:rsid w:val="5552C7CB"/>
    <w:rsid w:val="55531445"/>
    <w:rsid w:val="5554AE38"/>
    <w:rsid w:val="5557893F"/>
    <w:rsid w:val="5557A30F"/>
    <w:rsid w:val="5557F884"/>
    <w:rsid w:val="55588A9B"/>
    <w:rsid w:val="55591396"/>
    <w:rsid w:val="555921EE"/>
    <w:rsid w:val="55599561"/>
    <w:rsid w:val="555A2790"/>
    <w:rsid w:val="555A4E05"/>
    <w:rsid w:val="555ABBD9"/>
    <w:rsid w:val="555C0C51"/>
    <w:rsid w:val="555CE419"/>
    <w:rsid w:val="555E8BF2"/>
    <w:rsid w:val="555F74E6"/>
    <w:rsid w:val="55607637"/>
    <w:rsid w:val="55610C54"/>
    <w:rsid w:val="55612894"/>
    <w:rsid w:val="55614AB3"/>
    <w:rsid w:val="5561C6A9"/>
    <w:rsid w:val="5562CE42"/>
    <w:rsid w:val="55632B4A"/>
    <w:rsid w:val="5566B509"/>
    <w:rsid w:val="5567799F"/>
    <w:rsid w:val="5568026F"/>
    <w:rsid w:val="5568D283"/>
    <w:rsid w:val="5569CA03"/>
    <w:rsid w:val="556A3C6B"/>
    <w:rsid w:val="556AF2F8"/>
    <w:rsid w:val="556B17B7"/>
    <w:rsid w:val="556B6053"/>
    <w:rsid w:val="556CA6F0"/>
    <w:rsid w:val="55743168"/>
    <w:rsid w:val="55754AA4"/>
    <w:rsid w:val="5576097F"/>
    <w:rsid w:val="5576A164"/>
    <w:rsid w:val="55775786"/>
    <w:rsid w:val="55776A79"/>
    <w:rsid w:val="55781025"/>
    <w:rsid w:val="55789221"/>
    <w:rsid w:val="55795DA5"/>
    <w:rsid w:val="557AC7DA"/>
    <w:rsid w:val="557B1331"/>
    <w:rsid w:val="557C6C37"/>
    <w:rsid w:val="557CDA5D"/>
    <w:rsid w:val="557D423B"/>
    <w:rsid w:val="557DF349"/>
    <w:rsid w:val="55802104"/>
    <w:rsid w:val="5580545B"/>
    <w:rsid w:val="558299DE"/>
    <w:rsid w:val="55839FFD"/>
    <w:rsid w:val="5584DCFD"/>
    <w:rsid w:val="558567FA"/>
    <w:rsid w:val="558707FB"/>
    <w:rsid w:val="5587FEB5"/>
    <w:rsid w:val="558812B4"/>
    <w:rsid w:val="55889D13"/>
    <w:rsid w:val="558BADD9"/>
    <w:rsid w:val="558BD5CF"/>
    <w:rsid w:val="558D42FD"/>
    <w:rsid w:val="558F9A92"/>
    <w:rsid w:val="558FE422"/>
    <w:rsid w:val="55903222"/>
    <w:rsid w:val="559043B3"/>
    <w:rsid w:val="55921192"/>
    <w:rsid w:val="5595B81A"/>
    <w:rsid w:val="5595BEE3"/>
    <w:rsid w:val="5595C833"/>
    <w:rsid w:val="559A29A1"/>
    <w:rsid w:val="559B6567"/>
    <w:rsid w:val="559BA086"/>
    <w:rsid w:val="559C9126"/>
    <w:rsid w:val="559C960F"/>
    <w:rsid w:val="559D8781"/>
    <w:rsid w:val="559DD1D9"/>
    <w:rsid w:val="559E2C50"/>
    <w:rsid w:val="559FF46E"/>
    <w:rsid w:val="55A0BF0E"/>
    <w:rsid w:val="55A0C9D6"/>
    <w:rsid w:val="55A12FB7"/>
    <w:rsid w:val="55A22D2D"/>
    <w:rsid w:val="55A3AB93"/>
    <w:rsid w:val="55A44C25"/>
    <w:rsid w:val="55A4EB68"/>
    <w:rsid w:val="55A59E48"/>
    <w:rsid w:val="55A6653D"/>
    <w:rsid w:val="55A78B47"/>
    <w:rsid w:val="55A78C96"/>
    <w:rsid w:val="55A91922"/>
    <w:rsid w:val="55A95923"/>
    <w:rsid w:val="55A9B73A"/>
    <w:rsid w:val="55AAA700"/>
    <w:rsid w:val="55AAFFDC"/>
    <w:rsid w:val="55AB5866"/>
    <w:rsid w:val="55AB7ACD"/>
    <w:rsid w:val="55AE3579"/>
    <w:rsid w:val="55AF2D86"/>
    <w:rsid w:val="55AF8A93"/>
    <w:rsid w:val="55B09E29"/>
    <w:rsid w:val="55B1AAA9"/>
    <w:rsid w:val="55B2F8BE"/>
    <w:rsid w:val="55B5E07E"/>
    <w:rsid w:val="55B72DB0"/>
    <w:rsid w:val="55B82011"/>
    <w:rsid w:val="55B86559"/>
    <w:rsid w:val="55B8C572"/>
    <w:rsid w:val="55BA25F1"/>
    <w:rsid w:val="55BB3772"/>
    <w:rsid w:val="55BBAB59"/>
    <w:rsid w:val="55BBEB05"/>
    <w:rsid w:val="55BC79B7"/>
    <w:rsid w:val="55BDC93C"/>
    <w:rsid w:val="55BE7FE6"/>
    <w:rsid w:val="55BED586"/>
    <w:rsid w:val="55BEE9A8"/>
    <w:rsid w:val="55BF3EBE"/>
    <w:rsid w:val="55C0191E"/>
    <w:rsid w:val="55C0363E"/>
    <w:rsid w:val="55C1E946"/>
    <w:rsid w:val="55C2F36A"/>
    <w:rsid w:val="55C5CF9F"/>
    <w:rsid w:val="55C5D28A"/>
    <w:rsid w:val="55C5F9E1"/>
    <w:rsid w:val="55C60FFE"/>
    <w:rsid w:val="55C71DAC"/>
    <w:rsid w:val="55C750BC"/>
    <w:rsid w:val="55C7A6D5"/>
    <w:rsid w:val="55C7CF99"/>
    <w:rsid w:val="55CAFB6E"/>
    <w:rsid w:val="55CC26F7"/>
    <w:rsid w:val="55CEB232"/>
    <w:rsid w:val="55CF547B"/>
    <w:rsid w:val="55D4A89B"/>
    <w:rsid w:val="55D4D4AB"/>
    <w:rsid w:val="55D61D96"/>
    <w:rsid w:val="55D673AF"/>
    <w:rsid w:val="55D7D07A"/>
    <w:rsid w:val="55D9040F"/>
    <w:rsid w:val="55DA301D"/>
    <w:rsid w:val="55DA4F71"/>
    <w:rsid w:val="55DC1019"/>
    <w:rsid w:val="55DCCE7A"/>
    <w:rsid w:val="55DDA4D4"/>
    <w:rsid w:val="55DE30C8"/>
    <w:rsid w:val="55DE5402"/>
    <w:rsid w:val="55DF47E7"/>
    <w:rsid w:val="55E08744"/>
    <w:rsid w:val="55E09371"/>
    <w:rsid w:val="55E26D38"/>
    <w:rsid w:val="55E27E0D"/>
    <w:rsid w:val="55E41A7B"/>
    <w:rsid w:val="55E45D2E"/>
    <w:rsid w:val="55E4B31C"/>
    <w:rsid w:val="55E561EB"/>
    <w:rsid w:val="55E669CF"/>
    <w:rsid w:val="55E67794"/>
    <w:rsid w:val="55E7E2CD"/>
    <w:rsid w:val="55E89AF7"/>
    <w:rsid w:val="55E94ED5"/>
    <w:rsid w:val="55EA2496"/>
    <w:rsid w:val="55EC5B04"/>
    <w:rsid w:val="55ED50D6"/>
    <w:rsid w:val="55ED9495"/>
    <w:rsid w:val="55EEC06D"/>
    <w:rsid w:val="55EF5128"/>
    <w:rsid w:val="55EF611B"/>
    <w:rsid w:val="55EFA53B"/>
    <w:rsid w:val="55EFA8C8"/>
    <w:rsid w:val="55F13332"/>
    <w:rsid w:val="55F176E2"/>
    <w:rsid w:val="55F17F93"/>
    <w:rsid w:val="55F18310"/>
    <w:rsid w:val="55F1FFCC"/>
    <w:rsid w:val="55F221BF"/>
    <w:rsid w:val="55F3C17A"/>
    <w:rsid w:val="55F57C30"/>
    <w:rsid w:val="55F584CC"/>
    <w:rsid w:val="55F5C8FB"/>
    <w:rsid w:val="55F7D74F"/>
    <w:rsid w:val="55FC9C0E"/>
    <w:rsid w:val="5600AEDA"/>
    <w:rsid w:val="560361EF"/>
    <w:rsid w:val="5604C9A3"/>
    <w:rsid w:val="56055028"/>
    <w:rsid w:val="56065AC6"/>
    <w:rsid w:val="560A4D15"/>
    <w:rsid w:val="560C1D67"/>
    <w:rsid w:val="560C65FC"/>
    <w:rsid w:val="560CA81F"/>
    <w:rsid w:val="560D78A2"/>
    <w:rsid w:val="560DE1F9"/>
    <w:rsid w:val="560EA34F"/>
    <w:rsid w:val="560F625B"/>
    <w:rsid w:val="560FE588"/>
    <w:rsid w:val="56132C2A"/>
    <w:rsid w:val="5613C217"/>
    <w:rsid w:val="5614657B"/>
    <w:rsid w:val="56174ECD"/>
    <w:rsid w:val="5618C575"/>
    <w:rsid w:val="5618F69A"/>
    <w:rsid w:val="5619FCB9"/>
    <w:rsid w:val="561A5E3E"/>
    <w:rsid w:val="561B0B29"/>
    <w:rsid w:val="561BBD65"/>
    <w:rsid w:val="561C7179"/>
    <w:rsid w:val="561CAFA8"/>
    <w:rsid w:val="561CBC18"/>
    <w:rsid w:val="561D29DD"/>
    <w:rsid w:val="561EAF90"/>
    <w:rsid w:val="56223C93"/>
    <w:rsid w:val="56265A94"/>
    <w:rsid w:val="56268648"/>
    <w:rsid w:val="56273613"/>
    <w:rsid w:val="5627906E"/>
    <w:rsid w:val="5627F64C"/>
    <w:rsid w:val="56288159"/>
    <w:rsid w:val="562B7437"/>
    <w:rsid w:val="562C70E4"/>
    <w:rsid w:val="562D5779"/>
    <w:rsid w:val="562E1841"/>
    <w:rsid w:val="562E5792"/>
    <w:rsid w:val="562E8EA5"/>
    <w:rsid w:val="562F1638"/>
    <w:rsid w:val="563044CC"/>
    <w:rsid w:val="5630504D"/>
    <w:rsid w:val="563106E9"/>
    <w:rsid w:val="56312A97"/>
    <w:rsid w:val="563170BF"/>
    <w:rsid w:val="56327F7E"/>
    <w:rsid w:val="5632FEA8"/>
    <w:rsid w:val="56332949"/>
    <w:rsid w:val="5634F37B"/>
    <w:rsid w:val="5634FBFD"/>
    <w:rsid w:val="56364876"/>
    <w:rsid w:val="56364B63"/>
    <w:rsid w:val="563722D0"/>
    <w:rsid w:val="5637CDD5"/>
    <w:rsid w:val="5638E0D5"/>
    <w:rsid w:val="563A479C"/>
    <w:rsid w:val="563B2043"/>
    <w:rsid w:val="563C10D3"/>
    <w:rsid w:val="563D3DF1"/>
    <w:rsid w:val="563EA039"/>
    <w:rsid w:val="563EDCD6"/>
    <w:rsid w:val="563F623C"/>
    <w:rsid w:val="5640D56F"/>
    <w:rsid w:val="564219E3"/>
    <w:rsid w:val="5645879A"/>
    <w:rsid w:val="5645D031"/>
    <w:rsid w:val="564662DD"/>
    <w:rsid w:val="5647ED50"/>
    <w:rsid w:val="56493671"/>
    <w:rsid w:val="564A9744"/>
    <w:rsid w:val="564BFBB4"/>
    <w:rsid w:val="564D5B62"/>
    <w:rsid w:val="564D72A9"/>
    <w:rsid w:val="564F59CF"/>
    <w:rsid w:val="565040CC"/>
    <w:rsid w:val="56523474"/>
    <w:rsid w:val="56524597"/>
    <w:rsid w:val="5654C8E0"/>
    <w:rsid w:val="56556561"/>
    <w:rsid w:val="56557D84"/>
    <w:rsid w:val="56558BA2"/>
    <w:rsid w:val="5656348B"/>
    <w:rsid w:val="56575FC7"/>
    <w:rsid w:val="565840C3"/>
    <w:rsid w:val="56593C97"/>
    <w:rsid w:val="565CEAF5"/>
    <w:rsid w:val="565F0054"/>
    <w:rsid w:val="565F8BE5"/>
    <w:rsid w:val="56605DBA"/>
    <w:rsid w:val="5660FEB9"/>
    <w:rsid w:val="5661C1F8"/>
    <w:rsid w:val="56634CAF"/>
    <w:rsid w:val="56635BD4"/>
    <w:rsid w:val="5663F52A"/>
    <w:rsid w:val="5664AFBF"/>
    <w:rsid w:val="56652582"/>
    <w:rsid w:val="566698FD"/>
    <w:rsid w:val="5667AF24"/>
    <w:rsid w:val="5668B45F"/>
    <w:rsid w:val="566912B3"/>
    <w:rsid w:val="566B36AA"/>
    <w:rsid w:val="566BBE4B"/>
    <w:rsid w:val="566CCB9B"/>
    <w:rsid w:val="566E9F2B"/>
    <w:rsid w:val="5670CE5E"/>
    <w:rsid w:val="567125AB"/>
    <w:rsid w:val="56714F6D"/>
    <w:rsid w:val="5671CCB0"/>
    <w:rsid w:val="5671E7C4"/>
    <w:rsid w:val="567217B4"/>
    <w:rsid w:val="5674FC51"/>
    <w:rsid w:val="56753463"/>
    <w:rsid w:val="567560F4"/>
    <w:rsid w:val="5675D731"/>
    <w:rsid w:val="56765D8C"/>
    <w:rsid w:val="567720FB"/>
    <w:rsid w:val="56772366"/>
    <w:rsid w:val="567764C3"/>
    <w:rsid w:val="5677A293"/>
    <w:rsid w:val="56788D7D"/>
    <w:rsid w:val="567B9948"/>
    <w:rsid w:val="567E0DB1"/>
    <w:rsid w:val="567EC820"/>
    <w:rsid w:val="567F5F4F"/>
    <w:rsid w:val="56800C5E"/>
    <w:rsid w:val="5680A520"/>
    <w:rsid w:val="56810E89"/>
    <w:rsid w:val="5681B7F3"/>
    <w:rsid w:val="5682070C"/>
    <w:rsid w:val="56820C77"/>
    <w:rsid w:val="56822F4B"/>
    <w:rsid w:val="5682EB59"/>
    <w:rsid w:val="568428B1"/>
    <w:rsid w:val="568574A8"/>
    <w:rsid w:val="5685A3F1"/>
    <w:rsid w:val="56866332"/>
    <w:rsid w:val="5687DC5F"/>
    <w:rsid w:val="568906B2"/>
    <w:rsid w:val="568A93F7"/>
    <w:rsid w:val="568BA8CE"/>
    <w:rsid w:val="568BC8B8"/>
    <w:rsid w:val="568BD3C7"/>
    <w:rsid w:val="568C050D"/>
    <w:rsid w:val="568C4AA2"/>
    <w:rsid w:val="568CED92"/>
    <w:rsid w:val="568D0AC0"/>
    <w:rsid w:val="568E52C5"/>
    <w:rsid w:val="568E5919"/>
    <w:rsid w:val="568E9A5E"/>
    <w:rsid w:val="568EE9E6"/>
    <w:rsid w:val="56904DDE"/>
    <w:rsid w:val="5691EC24"/>
    <w:rsid w:val="56945C3C"/>
    <w:rsid w:val="5698074C"/>
    <w:rsid w:val="56990950"/>
    <w:rsid w:val="569A6EBC"/>
    <w:rsid w:val="569AD014"/>
    <w:rsid w:val="569C4D5A"/>
    <w:rsid w:val="569E5BBF"/>
    <w:rsid w:val="569E87B9"/>
    <w:rsid w:val="569F9A3F"/>
    <w:rsid w:val="56A3B031"/>
    <w:rsid w:val="56A45169"/>
    <w:rsid w:val="56A56311"/>
    <w:rsid w:val="56A611A5"/>
    <w:rsid w:val="56A74E7D"/>
    <w:rsid w:val="56A8FAFD"/>
    <w:rsid w:val="56A96CE7"/>
    <w:rsid w:val="56AB6F2F"/>
    <w:rsid w:val="56AB8368"/>
    <w:rsid w:val="56ABBB1D"/>
    <w:rsid w:val="56ADC201"/>
    <w:rsid w:val="56AF1C98"/>
    <w:rsid w:val="56AFD816"/>
    <w:rsid w:val="56AFF0ED"/>
    <w:rsid w:val="56B06EDA"/>
    <w:rsid w:val="56B0A207"/>
    <w:rsid w:val="56B3905F"/>
    <w:rsid w:val="56B455BB"/>
    <w:rsid w:val="56B4CC7C"/>
    <w:rsid w:val="56B5B18E"/>
    <w:rsid w:val="56B6015E"/>
    <w:rsid w:val="56B6D7B6"/>
    <w:rsid w:val="56B8E89E"/>
    <w:rsid w:val="56B906AB"/>
    <w:rsid w:val="56B9CC12"/>
    <w:rsid w:val="56BB2E28"/>
    <w:rsid w:val="56BBAD71"/>
    <w:rsid w:val="56BBF0CD"/>
    <w:rsid w:val="56BE4B92"/>
    <w:rsid w:val="56BE5042"/>
    <w:rsid w:val="56C0A74E"/>
    <w:rsid w:val="56C10412"/>
    <w:rsid w:val="56C15C0A"/>
    <w:rsid w:val="56C3B3AB"/>
    <w:rsid w:val="56C3C150"/>
    <w:rsid w:val="56C75FD3"/>
    <w:rsid w:val="56C9067F"/>
    <w:rsid w:val="56CA6236"/>
    <w:rsid w:val="56CC24F0"/>
    <w:rsid w:val="56CD089C"/>
    <w:rsid w:val="56CD208B"/>
    <w:rsid w:val="56CD45EA"/>
    <w:rsid w:val="56CD92C7"/>
    <w:rsid w:val="56CE9A88"/>
    <w:rsid w:val="56D00C93"/>
    <w:rsid w:val="56D02D86"/>
    <w:rsid w:val="56D0EC8F"/>
    <w:rsid w:val="56D22EC6"/>
    <w:rsid w:val="56D280CB"/>
    <w:rsid w:val="56D2E3DF"/>
    <w:rsid w:val="56D33C7E"/>
    <w:rsid w:val="56D4BE9D"/>
    <w:rsid w:val="56D6898D"/>
    <w:rsid w:val="56D94C8A"/>
    <w:rsid w:val="56D97318"/>
    <w:rsid w:val="56D99CF6"/>
    <w:rsid w:val="56DB1D9A"/>
    <w:rsid w:val="56DB6898"/>
    <w:rsid w:val="56DC9156"/>
    <w:rsid w:val="56DD3686"/>
    <w:rsid w:val="56DE0FBB"/>
    <w:rsid w:val="56E0ED90"/>
    <w:rsid w:val="56E1DAD7"/>
    <w:rsid w:val="56E21F2C"/>
    <w:rsid w:val="56E2B61E"/>
    <w:rsid w:val="56E3091B"/>
    <w:rsid w:val="56E367CB"/>
    <w:rsid w:val="56E4B423"/>
    <w:rsid w:val="56E5063B"/>
    <w:rsid w:val="56E5805C"/>
    <w:rsid w:val="56E62096"/>
    <w:rsid w:val="56E68474"/>
    <w:rsid w:val="56E6ECB3"/>
    <w:rsid w:val="56E6FB29"/>
    <w:rsid w:val="56E70492"/>
    <w:rsid w:val="56E72CFF"/>
    <w:rsid w:val="56E78650"/>
    <w:rsid w:val="56E88CDE"/>
    <w:rsid w:val="56E8EC60"/>
    <w:rsid w:val="56E96E39"/>
    <w:rsid w:val="56EA0D34"/>
    <w:rsid w:val="56EA10C1"/>
    <w:rsid w:val="56EA376F"/>
    <w:rsid w:val="56EA4EAA"/>
    <w:rsid w:val="56EC8D5D"/>
    <w:rsid w:val="56ECA800"/>
    <w:rsid w:val="56EE6D19"/>
    <w:rsid w:val="56EE70FF"/>
    <w:rsid w:val="56EEF34F"/>
    <w:rsid w:val="56EF2817"/>
    <w:rsid w:val="56F0982B"/>
    <w:rsid w:val="56F12538"/>
    <w:rsid w:val="56F2A3AA"/>
    <w:rsid w:val="56F2B4C2"/>
    <w:rsid w:val="56F2ECF0"/>
    <w:rsid w:val="56F31EB9"/>
    <w:rsid w:val="56F3C197"/>
    <w:rsid w:val="56F461D7"/>
    <w:rsid w:val="56F46978"/>
    <w:rsid w:val="56F4CBE7"/>
    <w:rsid w:val="56F51A19"/>
    <w:rsid w:val="56F5C55C"/>
    <w:rsid w:val="56F6A399"/>
    <w:rsid w:val="56F6E814"/>
    <w:rsid w:val="56F98098"/>
    <w:rsid w:val="56F9BF78"/>
    <w:rsid w:val="56FA5C53"/>
    <w:rsid w:val="56FBF64C"/>
    <w:rsid w:val="56FC5F63"/>
    <w:rsid w:val="56FD0548"/>
    <w:rsid w:val="56FD6E95"/>
    <w:rsid w:val="56FD77CA"/>
    <w:rsid w:val="56FE6CA6"/>
    <w:rsid w:val="56FF2D30"/>
    <w:rsid w:val="56FF795A"/>
    <w:rsid w:val="5700B220"/>
    <w:rsid w:val="57014E11"/>
    <w:rsid w:val="57083A10"/>
    <w:rsid w:val="57085E29"/>
    <w:rsid w:val="5708ED2C"/>
    <w:rsid w:val="57099D3D"/>
    <w:rsid w:val="570A24F5"/>
    <w:rsid w:val="570B28A1"/>
    <w:rsid w:val="570CEE6A"/>
    <w:rsid w:val="570D2BD3"/>
    <w:rsid w:val="570E54D7"/>
    <w:rsid w:val="570EA3D2"/>
    <w:rsid w:val="570F6013"/>
    <w:rsid w:val="571312F4"/>
    <w:rsid w:val="57138926"/>
    <w:rsid w:val="571456D0"/>
    <w:rsid w:val="5715D64E"/>
    <w:rsid w:val="5715D6A5"/>
    <w:rsid w:val="571633A5"/>
    <w:rsid w:val="5716EE07"/>
    <w:rsid w:val="5719007D"/>
    <w:rsid w:val="571AFF9C"/>
    <w:rsid w:val="571B5AC9"/>
    <w:rsid w:val="571B5B98"/>
    <w:rsid w:val="571B6198"/>
    <w:rsid w:val="571B818B"/>
    <w:rsid w:val="571CA3EC"/>
    <w:rsid w:val="571E16C0"/>
    <w:rsid w:val="571F7A83"/>
    <w:rsid w:val="571F9D74"/>
    <w:rsid w:val="57202BA4"/>
    <w:rsid w:val="57206EED"/>
    <w:rsid w:val="5722C3A0"/>
    <w:rsid w:val="5723465A"/>
    <w:rsid w:val="5723A101"/>
    <w:rsid w:val="572532B0"/>
    <w:rsid w:val="572688C9"/>
    <w:rsid w:val="572702B8"/>
    <w:rsid w:val="572A629E"/>
    <w:rsid w:val="572A9688"/>
    <w:rsid w:val="572BC757"/>
    <w:rsid w:val="572C397A"/>
    <w:rsid w:val="572DC766"/>
    <w:rsid w:val="572E6A7B"/>
    <w:rsid w:val="57306EA5"/>
    <w:rsid w:val="5731242C"/>
    <w:rsid w:val="5731A99B"/>
    <w:rsid w:val="5733368B"/>
    <w:rsid w:val="5733A06C"/>
    <w:rsid w:val="5733A312"/>
    <w:rsid w:val="57351F00"/>
    <w:rsid w:val="5735297B"/>
    <w:rsid w:val="57353AC0"/>
    <w:rsid w:val="5735F0F0"/>
    <w:rsid w:val="57367696"/>
    <w:rsid w:val="5738F546"/>
    <w:rsid w:val="573AACE9"/>
    <w:rsid w:val="573B8A9E"/>
    <w:rsid w:val="573B94C3"/>
    <w:rsid w:val="573C79EA"/>
    <w:rsid w:val="573C9E0D"/>
    <w:rsid w:val="573D7563"/>
    <w:rsid w:val="573F9E6A"/>
    <w:rsid w:val="573FDFC6"/>
    <w:rsid w:val="57406855"/>
    <w:rsid w:val="574178A5"/>
    <w:rsid w:val="5742D187"/>
    <w:rsid w:val="57437E84"/>
    <w:rsid w:val="5743AA4E"/>
    <w:rsid w:val="5743E1BE"/>
    <w:rsid w:val="5744509F"/>
    <w:rsid w:val="574628C2"/>
    <w:rsid w:val="5747C473"/>
    <w:rsid w:val="574818A4"/>
    <w:rsid w:val="574889E4"/>
    <w:rsid w:val="5748A158"/>
    <w:rsid w:val="5749B690"/>
    <w:rsid w:val="574ADE12"/>
    <w:rsid w:val="574B020F"/>
    <w:rsid w:val="574B26B2"/>
    <w:rsid w:val="574B3E71"/>
    <w:rsid w:val="574D89F7"/>
    <w:rsid w:val="574F2624"/>
    <w:rsid w:val="574FAC2B"/>
    <w:rsid w:val="5750412D"/>
    <w:rsid w:val="57525ADC"/>
    <w:rsid w:val="5753856A"/>
    <w:rsid w:val="57538DAD"/>
    <w:rsid w:val="5754438A"/>
    <w:rsid w:val="57545D4B"/>
    <w:rsid w:val="5754B09D"/>
    <w:rsid w:val="57557561"/>
    <w:rsid w:val="575743BD"/>
    <w:rsid w:val="57584984"/>
    <w:rsid w:val="5758C7E7"/>
    <w:rsid w:val="5759ACA8"/>
    <w:rsid w:val="5759AE31"/>
    <w:rsid w:val="5759D884"/>
    <w:rsid w:val="575BE64B"/>
    <w:rsid w:val="575C41B6"/>
    <w:rsid w:val="575CB451"/>
    <w:rsid w:val="575D8603"/>
    <w:rsid w:val="575E1DC0"/>
    <w:rsid w:val="575EA7CD"/>
    <w:rsid w:val="575EB36C"/>
    <w:rsid w:val="576054D4"/>
    <w:rsid w:val="576161C1"/>
    <w:rsid w:val="5761C8EE"/>
    <w:rsid w:val="5762F181"/>
    <w:rsid w:val="5763A383"/>
    <w:rsid w:val="5764FB56"/>
    <w:rsid w:val="5765BA0F"/>
    <w:rsid w:val="5765DB8C"/>
    <w:rsid w:val="5766DCF7"/>
    <w:rsid w:val="57688E11"/>
    <w:rsid w:val="57692393"/>
    <w:rsid w:val="576BAC66"/>
    <w:rsid w:val="576E0A68"/>
    <w:rsid w:val="576E3D8B"/>
    <w:rsid w:val="577077B5"/>
    <w:rsid w:val="57715DCE"/>
    <w:rsid w:val="5771F3A3"/>
    <w:rsid w:val="5772901B"/>
    <w:rsid w:val="5772BD85"/>
    <w:rsid w:val="5772C1A8"/>
    <w:rsid w:val="57749301"/>
    <w:rsid w:val="5774A523"/>
    <w:rsid w:val="5776CE05"/>
    <w:rsid w:val="57771296"/>
    <w:rsid w:val="5777185F"/>
    <w:rsid w:val="57790165"/>
    <w:rsid w:val="577B2BB5"/>
    <w:rsid w:val="577BA550"/>
    <w:rsid w:val="577F55B9"/>
    <w:rsid w:val="57828FCC"/>
    <w:rsid w:val="57829CD4"/>
    <w:rsid w:val="578302FA"/>
    <w:rsid w:val="57849CDA"/>
    <w:rsid w:val="578622F6"/>
    <w:rsid w:val="578623BA"/>
    <w:rsid w:val="5787B552"/>
    <w:rsid w:val="5789381B"/>
    <w:rsid w:val="578A26A6"/>
    <w:rsid w:val="578C3BA8"/>
    <w:rsid w:val="578D420A"/>
    <w:rsid w:val="578E6F04"/>
    <w:rsid w:val="579004B5"/>
    <w:rsid w:val="57902CB4"/>
    <w:rsid w:val="57924D2B"/>
    <w:rsid w:val="5793545E"/>
    <w:rsid w:val="5793BB0F"/>
    <w:rsid w:val="5795BAA8"/>
    <w:rsid w:val="5797C9B5"/>
    <w:rsid w:val="57987644"/>
    <w:rsid w:val="57987BAA"/>
    <w:rsid w:val="579BBBE6"/>
    <w:rsid w:val="579BD05D"/>
    <w:rsid w:val="579CCFE7"/>
    <w:rsid w:val="57A1A8FB"/>
    <w:rsid w:val="57A2DBB0"/>
    <w:rsid w:val="57A4146D"/>
    <w:rsid w:val="57A4BB7B"/>
    <w:rsid w:val="57A51349"/>
    <w:rsid w:val="57A58053"/>
    <w:rsid w:val="57A5F4AB"/>
    <w:rsid w:val="57A7E56E"/>
    <w:rsid w:val="57A9D216"/>
    <w:rsid w:val="57AA2AD7"/>
    <w:rsid w:val="57ABD4E3"/>
    <w:rsid w:val="57ABE98F"/>
    <w:rsid w:val="57AC64CE"/>
    <w:rsid w:val="57AD6491"/>
    <w:rsid w:val="57ADAAB9"/>
    <w:rsid w:val="57AE0383"/>
    <w:rsid w:val="57AF4AB9"/>
    <w:rsid w:val="57AFA42F"/>
    <w:rsid w:val="57B01E8A"/>
    <w:rsid w:val="57B045BF"/>
    <w:rsid w:val="57B08AD6"/>
    <w:rsid w:val="57B41E00"/>
    <w:rsid w:val="57B4E72F"/>
    <w:rsid w:val="57B5E6E4"/>
    <w:rsid w:val="57B6295D"/>
    <w:rsid w:val="57BA3A27"/>
    <w:rsid w:val="57BAA03B"/>
    <w:rsid w:val="57BB1803"/>
    <w:rsid w:val="57BC466A"/>
    <w:rsid w:val="57BC4801"/>
    <w:rsid w:val="57BCDE67"/>
    <w:rsid w:val="57BD90D9"/>
    <w:rsid w:val="57BF6AE0"/>
    <w:rsid w:val="57BF98AF"/>
    <w:rsid w:val="57C0C1B6"/>
    <w:rsid w:val="57C1AF32"/>
    <w:rsid w:val="57C3E7CB"/>
    <w:rsid w:val="57C49549"/>
    <w:rsid w:val="57C4FF16"/>
    <w:rsid w:val="57C5AFA8"/>
    <w:rsid w:val="57C5D245"/>
    <w:rsid w:val="57C5E83F"/>
    <w:rsid w:val="57C80878"/>
    <w:rsid w:val="57C85F60"/>
    <w:rsid w:val="57CA44AD"/>
    <w:rsid w:val="57CB3DDD"/>
    <w:rsid w:val="57CB71A3"/>
    <w:rsid w:val="57CCCDD5"/>
    <w:rsid w:val="57CD2E92"/>
    <w:rsid w:val="57CDD5FB"/>
    <w:rsid w:val="57CFE6F0"/>
    <w:rsid w:val="57CFEA64"/>
    <w:rsid w:val="57D05568"/>
    <w:rsid w:val="57D16D41"/>
    <w:rsid w:val="57D3A316"/>
    <w:rsid w:val="57D42390"/>
    <w:rsid w:val="57D51DD7"/>
    <w:rsid w:val="57D5C1F1"/>
    <w:rsid w:val="57D5C4EE"/>
    <w:rsid w:val="57D61C39"/>
    <w:rsid w:val="57D78299"/>
    <w:rsid w:val="57D99B3F"/>
    <w:rsid w:val="57DBD069"/>
    <w:rsid w:val="57DBE179"/>
    <w:rsid w:val="57DCD73D"/>
    <w:rsid w:val="57DD4C0D"/>
    <w:rsid w:val="57DD8EA8"/>
    <w:rsid w:val="57DD9375"/>
    <w:rsid w:val="57DDE1B9"/>
    <w:rsid w:val="57DDE9F6"/>
    <w:rsid w:val="57DEB200"/>
    <w:rsid w:val="57E16DAA"/>
    <w:rsid w:val="57E1C208"/>
    <w:rsid w:val="57E21871"/>
    <w:rsid w:val="57E2E8F5"/>
    <w:rsid w:val="57E31A80"/>
    <w:rsid w:val="57E34A0A"/>
    <w:rsid w:val="57E36F81"/>
    <w:rsid w:val="57E65FE3"/>
    <w:rsid w:val="57E7A2D5"/>
    <w:rsid w:val="57E7FA53"/>
    <w:rsid w:val="57E8ACC6"/>
    <w:rsid w:val="57E9E39E"/>
    <w:rsid w:val="57ED65C3"/>
    <w:rsid w:val="57EE8D4E"/>
    <w:rsid w:val="57EEC1CF"/>
    <w:rsid w:val="57EFF221"/>
    <w:rsid w:val="57F00954"/>
    <w:rsid w:val="57F39136"/>
    <w:rsid w:val="57F51B0A"/>
    <w:rsid w:val="57F52FFB"/>
    <w:rsid w:val="57F65D13"/>
    <w:rsid w:val="57F6E3A8"/>
    <w:rsid w:val="57F81ACB"/>
    <w:rsid w:val="57F862DA"/>
    <w:rsid w:val="57F8A8A4"/>
    <w:rsid w:val="57F90A2E"/>
    <w:rsid w:val="57F95C18"/>
    <w:rsid w:val="57FA2CC7"/>
    <w:rsid w:val="57FB8E97"/>
    <w:rsid w:val="57FBF2D5"/>
    <w:rsid w:val="57FC9C8A"/>
    <w:rsid w:val="57FF8E3B"/>
    <w:rsid w:val="5801D27E"/>
    <w:rsid w:val="5801F4D4"/>
    <w:rsid w:val="5804EAB2"/>
    <w:rsid w:val="580666CF"/>
    <w:rsid w:val="5806868D"/>
    <w:rsid w:val="5806D38D"/>
    <w:rsid w:val="58071A01"/>
    <w:rsid w:val="58072456"/>
    <w:rsid w:val="5807BC36"/>
    <w:rsid w:val="5807DEA8"/>
    <w:rsid w:val="580A23F1"/>
    <w:rsid w:val="580BB5AB"/>
    <w:rsid w:val="580BE0D3"/>
    <w:rsid w:val="580BF3FF"/>
    <w:rsid w:val="580CAF7E"/>
    <w:rsid w:val="580D9B4F"/>
    <w:rsid w:val="580F3501"/>
    <w:rsid w:val="5812049F"/>
    <w:rsid w:val="58134A28"/>
    <w:rsid w:val="5813EBB6"/>
    <w:rsid w:val="58148609"/>
    <w:rsid w:val="5814A6B6"/>
    <w:rsid w:val="5814C26D"/>
    <w:rsid w:val="5814CCDA"/>
    <w:rsid w:val="5814E0C0"/>
    <w:rsid w:val="581555DB"/>
    <w:rsid w:val="581560E5"/>
    <w:rsid w:val="5815C27B"/>
    <w:rsid w:val="5815CDE6"/>
    <w:rsid w:val="58161644"/>
    <w:rsid w:val="5816A8A4"/>
    <w:rsid w:val="5817644E"/>
    <w:rsid w:val="5817D32C"/>
    <w:rsid w:val="5818A2D4"/>
    <w:rsid w:val="5818D013"/>
    <w:rsid w:val="5818EDF3"/>
    <w:rsid w:val="5819C105"/>
    <w:rsid w:val="581A300B"/>
    <w:rsid w:val="581AB495"/>
    <w:rsid w:val="581AEB30"/>
    <w:rsid w:val="581B8D0C"/>
    <w:rsid w:val="581E2C84"/>
    <w:rsid w:val="58204F7A"/>
    <w:rsid w:val="5822A578"/>
    <w:rsid w:val="58264447"/>
    <w:rsid w:val="5828156D"/>
    <w:rsid w:val="582822BD"/>
    <w:rsid w:val="582852A6"/>
    <w:rsid w:val="5828F153"/>
    <w:rsid w:val="58292AD6"/>
    <w:rsid w:val="582AA2A6"/>
    <w:rsid w:val="582ACE38"/>
    <w:rsid w:val="582F0D47"/>
    <w:rsid w:val="582F0FF9"/>
    <w:rsid w:val="582F558F"/>
    <w:rsid w:val="582FDAC5"/>
    <w:rsid w:val="58304B9E"/>
    <w:rsid w:val="58306534"/>
    <w:rsid w:val="583076E6"/>
    <w:rsid w:val="58318E48"/>
    <w:rsid w:val="5831FF2D"/>
    <w:rsid w:val="583203FA"/>
    <w:rsid w:val="58340DDE"/>
    <w:rsid w:val="58346140"/>
    <w:rsid w:val="58349789"/>
    <w:rsid w:val="5834CAB1"/>
    <w:rsid w:val="5835450E"/>
    <w:rsid w:val="583551B8"/>
    <w:rsid w:val="5835C732"/>
    <w:rsid w:val="58366DFC"/>
    <w:rsid w:val="5836B40E"/>
    <w:rsid w:val="58393A4C"/>
    <w:rsid w:val="5839697A"/>
    <w:rsid w:val="5839B26E"/>
    <w:rsid w:val="5839D5FF"/>
    <w:rsid w:val="5839E5DE"/>
    <w:rsid w:val="583B315D"/>
    <w:rsid w:val="583B3928"/>
    <w:rsid w:val="583B764E"/>
    <w:rsid w:val="583C104E"/>
    <w:rsid w:val="583D1E7B"/>
    <w:rsid w:val="583E2662"/>
    <w:rsid w:val="583EB725"/>
    <w:rsid w:val="583FE8D7"/>
    <w:rsid w:val="58402B4C"/>
    <w:rsid w:val="584030E1"/>
    <w:rsid w:val="584041C1"/>
    <w:rsid w:val="5840EAE0"/>
    <w:rsid w:val="58414F74"/>
    <w:rsid w:val="5842031F"/>
    <w:rsid w:val="58438117"/>
    <w:rsid w:val="5843D020"/>
    <w:rsid w:val="5843F61B"/>
    <w:rsid w:val="58442FD4"/>
    <w:rsid w:val="58450AAA"/>
    <w:rsid w:val="58469DCD"/>
    <w:rsid w:val="584757FE"/>
    <w:rsid w:val="58475BC1"/>
    <w:rsid w:val="5847E8BB"/>
    <w:rsid w:val="5848AE80"/>
    <w:rsid w:val="584A1654"/>
    <w:rsid w:val="584B3612"/>
    <w:rsid w:val="584B74C0"/>
    <w:rsid w:val="584CA9F6"/>
    <w:rsid w:val="584E0BA6"/>
    <w:rsid w:val="584E89FF"/>
    <w:rsid w:val="584FE156"/>
    <w:rsid w:val="58500652"/>
    <w:rsid w:val="5850EA8C"/>
    <w:rsid w:val="585169CF"/>
    <w:rsid w:val="585385EC"/>
    <w:rsid w:val="58539AF7"/>
    <w:rsid w:val="5853ADAE"/>
    <w:rsid w:val="5854C255"/>
    <w:rsid w:val="5855B433"/>
    <w:rsid w:val="58563E7E"/>
    <w:rsid w:val="5857CC68"/>
    <w:rsid w:val="58598C88"/>
    <w:rsid w:val="585C336C"/>
    <w:rsid w:val="585CE28B"/>
    <w:rsid w:val="585D2996"/>
    <w:rsid w:val="585EAE96"/>
    <w:rsid w:val="585EC213"/>
    <w:rsid w:val="585F56F3"/>
    <w:rsid w:val="58603E96"/>
    <w:rsid w:val="586092AA"/>
    <w:rsid w:val="586120B4"/>
    <w:rsid w:val="58631360"/>
    <w:rsid w:val="58637D42"/>
    <w:rsid w:val="5865B324"/>
    <w:rsid w:val="5865F185"/>
    <w:rsid w:val="58665E51"/>
    <w:rsid w:val="5867005D"/>
    <w:rsid w:val="586BDD23"/>
    <w:rsid w:val="586C52AE"/>
    <w:rsid w:val="586CB948"/>
    <w:rsid w:val="586D33BE"/>
    <w:rsid w:val="586D61D3"/>
    <w:rsid w:val="586D9462"/>
    <w:rsid w:val="586DB795"/>
    <w:rsid w:val="586F033D"/>
    <w:rsid w:val="58700EA1"/>
    <w:rsid w:val="58703C78"/>
    <w:rsid w:val="5872A6BD"/>
    <w:rsid w:val="5872AC73"/>
    <w:rsid w:val="5872B4CC"/>
    <w:rsid w:val="58731D20"/>
    <w:rsid w:val="58739460"/>
    <w:rsid w:val="587411F9"/>
    <w:rsid w:val="58751AAB"/>
    <w:rsid w:val="58764C03"/>
    <w:rsid w:val="5876DAB7"/>
    <w:rsid w:val="5877CBB9"/>
    <w:rsid w:val="58783BD3"/>
    <w:rsid w:val="58787816"/>
    <w:rsid w:val="5878823B"/>
    <w:rsid w:val="587A9213"/>
    <w:rsid w:val="587BBEB3"/>
    <w:rsid w:val="587CB324"/>
    <w:rsid w:val="587D037B"/>
    <w:rsid w:val="587D3D1F"/>
    <w:rsid w:val="587DE64B"/>
    <w:rsid w:val="587F0B9A"/>
    <w:rsid w:val="58806230"/>
    <w:rsid w:val="58848BC2"/>
    <w:rsid w:val="5885CB7D"/>
    <w:rsid w:val="5886973E"/>
    <w:rsid w:val="5887F2EB"/>
    <w:rsid w:val="58883DC6"/>
    <w:rsid w:val="58886A15"/>
    <w:rsid w:val="5888CBFC"/>
    <w:rsid w:val="588A66FC"/>
    <w:rsid w:val="588DA20A"/>
    <w:rsid w:val="588E4C13"/>
    <w:rsid w:val="588F311B"/>
    <w:rsid w:val="58907659"/>
    <w:rsid w:val="5893D40E"/>
    <w:rsid w:val="5894EF24"/>
    <w:rsid w:val="589763AF"/>
    <w:rsid w:val="5897C924"/>
    <w:rsid w:val="58983757"/>
    <w:rsid w:val="58987886"/>
    <w:rsid w:val="5898A12B"/>
    <w:rsid w:val="589B299E"/>
    <w:rsid w:val="589BB8E7"/>
    <w:rsid w:val="589BDD5D"/>
    <w:rsid w:val="589C0B49"/>
    <w:rsid w:val="589C621A"/>
    <w:rsid w:val="589C88E5"/>
    <w:rsid w:val="589CCD71"/>
    <w:rsid w:val="589E5E93"/>
    <w:rsid w:val="589FA7D7"/>
    <w:rsid w:val="589FFD5C"/>
    <w:rsid w:val="589FFDEA"/>
    <w:rsid w:val="58A15B5F"/>
    <w:rsid w:val="58A18E56"/>
    <w:rsid w:val="58A1C18F"/>
    <w:rsid w:val="58A5302A"/>
    <w:rsid w:val="58A6F925"/>
    <w:rsid w:val="58A7D1E2"/>
    <w:rsid w:val="58A825B7"/>
    <w:rsid w:val="58A90EE4"/>
    <w:rsid w:val="58AB3320"/>
    <w:rsid w:val="58AEC673"/>
    <w:rsid w:val="58B07C1C"/>
    <w:rsid w:val="58B0BEE0"/>
    <w:rsid w:val="58B1FE63"/>
    <w:rsid w:val="58B546A4"/>
    <w:rsid w:val="58B554A5"/>
    <w:rsid w:val="58B5E24C"/>
    <w:rsid w:val="58B6CB12"/>
    <w:rsid w:val="58B74F4F"/>
    <w:rsid w:val="58B7D373"/>
    <w:rsid w:val="58BA9DAC"/>
    <w:rsid w:val="58BB0515"/>
    <w:rsid w:val="58BB4C9C"/>
    <w:rsid w:val="58BC736D"/>
    <w:rsid w:val="58C043BC"/>
    <w:rsid w:val="58C084B3"/>
    <w:rsid w:val="58C0A545"/>
    <w:rsid w:val="58C17CE2"/>
    <w:rsid w:val="58C1FC8B"/>
    <w:rsid w:val="58C3ADE1"/>
    <w:rsid w:val="58C437C4"/>
    <w:rsid w:val="58C4D732"/>
    <w:rsid w:val="58C6111E"/>
    <w:rsid w:val="58C6E2A7"/>
    <w:rsid w:val="58C864F0"/>
    <w:rsid w:val="58CAD5E7"/>
    <w:rsid w:val="58CC5922"/>
    <w:rsid w:val="58CD7EBC"/>
    <w:rsid w:val="58CE2F3A"/>
    <w:rsid w:val="58CE6806"/>
    <w:rsid w:val="58D03E81"/>
    <w:rsid w:val="58D1829F"/>
    <w:rsid w:val="58D5DAB2"/>
    <w:rsid w:val="58D8216F"/>
    <w:rsid w:val="58DC1ACD"/>
    <w:rsid w:val="58DC31D9"/>
    <w:rsid w:val="58DCBC66"/>
    <w:rsid w:val="58DD1A22"/>
    <w:rsid w:val="58DE6004"/>
    <w:rsid w:val="58E016DB"/>
    <w:rsid w:val="58E24344"/>
    <w:rsid w:val="58E320BB"/>
    <w:rsid w:val="58E34336"/>
    <w:rsid w:val="58E3C44C"/>
    <w:rsid w:val="58E76461"/>
    <w:rsid w:val="58E77318"/>
    <w:rsid w:val="58E7966A"/>
    <w:rsid w:val="58E85435"/>
    <w:rsid w:val="58E86BC9"/>
    <w:rsid w:val="58E99573"/>
    <w:rsid w:val="58EAFBCA"/>
    <w:rsid w:val="58EB4065"/>
    <w:rsid w:val="58ECB2C8"/>
    <w:rsid w:val="58ED6643"/>
    <w:rsid w:val="58ED7AF2"/>
    <w:rsid w:val="58ED83B2"/>
    <w:rsid w:val="58EE9DD9"/>
    <w:rsid w:val="58EF06FF"/>
    <w:rsid w:val="58EF7CB6"/>
    <w:rsid w:val="58F085F6"/>
    <w:rsid w:val="58F0C86D"/>
    <w:rsid w:val="58F0F82A"/>
    <w:rsid w:val="58F135F9"/>
    <w:rsid w:val="58F1DD42"/>
    <w:rsid w:val="58F2311A"/>
    <w:rsid w:val="58F288AC"/>
    <w:rsid w:val="58F4A7FB"/>
    <w:rsid w:val="58F5DE7C"/>
    <w:rsid w:val="58F67208"/>
    <w:rsid w:val="58F8A4FC"/>
    <w:rsid w:val="58F92FB3"/>
    <w:rsid w:val="58F959D1"/>
    <w:rsid w:val="58FA4C7A"/>
    <w:rsid w:val="58FBD079"/>
    <w:rsid w:val="58FC4D4F"/>
    <w:rsid w:val="58FC919F"/>
    <w:rsid w:val="58FEE48E"/>
    <w:rsid w:val="58FEEC40"/>
    <w:rsid w:val="58FFF616"/>
    <w:rsid w:val="5900DDDB"/>
    <w:rsid w:val="59019C73"/>
    <w:rsid w:val="59050DC3"/>
    <w:rsid w:val="5905BD17"/>
    <w:rsid w:val="59061E0A"/>
    <w:rsid w:val="59076B1C"/>
    <w:rsid w:val="5908D630"/>
    <w:rsid w:val="5909B163"/>
    <w:rsid w:val="5909CC1B"/>
    <w:rsid w:val="590A391D"/>
    <w:rsid w:val="590A63C2"/>
    <w:rsid w:val="590A7458"/>
    <w:rsid w:val="590C5C4B"/>
    <w:rsid w:val="590D1C41"/>
    <w:rsid w:val="590EDC9C"/>
    <w:rsid w:val="590FAFEF"/>
    <w:rsid w:val="59109F63"/>
    <w:rsid w:val="5910CAEA"/>
    <w:rsid w:val="59115FC1"/>
    <w:rsid w:val="59122D52"/>
    <w:rsid w:val="5912AB79"/>
    <w:rsid w:val="5913E879"/>
    <w:rsid w:val="5916F497"/>
    <w:rsid w:val="591738ED"/>
    <w:rsid w:val="59177774"/>
    <w:rsid w:val="5917C2E4"/>
    <w:rsid w:val="59184A48"/>
    <w:rsid w:val="5918727D"/>
    <w:rsid w:val="591A36B2"/>
    <w:rsid w:val="591A8419"/>
    <w:rsid w:val="591ACE5C"/>
    <w:rsid w:val="591B4F25"/>
    <w:rsid w:val="591BB7F1"/>
    <w:rsid w:val="591F0C4F"/>
    <w:rsid w:val="59201378"/>
    <w:rsid w:val="5921CB42"/>
    <w:rsid w:val="5922C08A"/>
    <w:rsid w:val="5922F7D2"/>
    <w:rsid w:val="5923FADB"/>
    <w:rsid w:val="59242397"/>
    <w:rsid w:val="59250339"/>
    <w:rsid w:val="5925DC9B"/>
    <w:rsid w:val="5925E2E5"/>
    <w:rsid w:val="5926427E"/>
    <w:rsid w:val="59268822"/>
    <w:rsid w:val="5926DB14"/>
    <w:rsid w:val="59274BBB"/>
    <w:rsid w:val="592812BC"/>
    <w:rsid w:val="5929AEDA"/>
    <w:rsid w:val="5929C033"/>
    <w:rsid w:val="592BC944"/>
    <w:rsid w:val="592BEBB9"/>
    <w:rsid w:val="592C477C"/>
    <w:rsid w:val="592C9E65"/>
    <w:rsid w:val="592D18CD"/>
    <w:rsid w:val="592D9FC6"/>
    <w:rsid w:val="592E0393"/>
    <w:rsid w:val="592EE22A"/>
    <w:rsid w:val="5930280B"/>
    <w:rsid w:val="59305E58"/>
    <w:rsid w:val="5930BB37"/>
    <w:rsid w:val="593165BB"/>
    <w:rsid w:val="59345AEC"/>
    <w:rsid w:val="59350ADB"/>
    <w:rsid w:val="5935CD2A"/>
    <w:rsid w:val="59365519"/>
    <w:rsid w:val="59375F43"/>
    <w:rsid w:val="593875EC"/>
    <w:rsid w:val="59393A1D"/>
    <w:rsid w:val="59398A0E"/>
    <w:rsid w:val="593C6678"/>
    <w:rsid w:val="593D2817"/>
    <w:rsid w:val="593DA9F4"/>
    <w:rsid w:val="593E0219"/>
    <w:rsid w:val="5940F1AE"/>
    <w:rsid w:val="5943B97F"/>
    <w:rsid w:val="5943C4F9"/>
    <w:rsid w:val="5943F3B2"/>
    <w:rsid w:val="594422FD"/>
    <w:rsid w:val="5944C69C"/>
    <w:rsid w:val="5944D952"/>
    <w:rsid w:val="59470CB3"/>
    <w:rsid w:val="59476C09"/>
    <w:rsid w:val="59479577"/>
    <w:rsid w:val="594AC4E9"/>
    <w:rsid w:val="594AD7BC"/>
    <w:rsid w:val="594B82FD"/>
    <w:rsid w:val="594C063D"/>
    <w:rsid w:val="594C1003"/>
    <w:rsid w:val="594C6CCF"/>
    <w:rsid w:val="594DBF3A"/>
    <w:rsid w:val="594F91B5"/>
    <w:rsid w:val="594FB98C"/>
    <w:rsid w:val="594FC2E1"/>
    <w:rsid w:val="59508504"/>
    <w:rsid w:val="5950B896"/>
    <w:rsid w:val="595109A2"/>
    <w:rsid w:val="59518891"/>
    <w:rsid w:val="59521BDF"/>
    <w:rsid w:val="5952B66C"/>
    <w:rsid w:val="59547EDF"/>
    <w:rsid w:val="5955814B"/>
    <w:rsid w:val="59568703"/>
    <w:rsid w:val="59570749"/>
    <w:rsid w:val="59571AD5"/>
    <w:rsid w:val="5957C6A3"/>
    <w:rsid w:val="5958156F"/>
    <w:rsid w:val="5958920B"/>
    <w:rsid w:val="59596409"/>
    <w:rsid w:val="59597C62"/>
    <w:rsid w:val="595A4A6F"/>
    <w:rsid w:val="595A9874"/>
    <w:rsid w:val="595D70B8"/>
    <w:rsid w:val="595F8AF7"/>
    <w:rsid w:val="595F970E"/>
    <w:rsid w:val="595FDB13"/>
    <w:rsid w:val="5960CC01"/>
    <w:rsid w:val="5961F67D"/>
    <w:rsid w:val="59628C07"/>
    <w:rsid w:val="5962E830"/>
    <w:rsid w:val="596513C4"/>
    <w:rsid w:val="5965CE7B"/>
    <w:rsid w:val="5968BF89"/>
    <w:rsid w:val="5969230A"/>
    <w:rsid w:val="59692639"/>
    <w:rsid w:val="5969B9DC"/>
    <w:rsid w:val="596A28AE"/>
    <w:rsid w:val="596A4EAD"/>
    <w:rsid w:val="596B40C8"/>
    <w:rsid w:val="596B985E"/>
    <w:rsid w:val="596BAF1B"/>
    <w:rsid w:val="596C5B3A"/>
    <w:rsid w:val="596C9BAC"/>
    <w:rsid w:val="596F3746"/>
    <w:rsid w:val="596F99DB"/>
    <w:rsid w:val="5970BDFC"/>
    <w:rsid w:val="5972F09A"/>
    <w:rsid w:val="59743DB7"/>
    <w:rsid w:val="5979A39D"/>
    <w:rsid w:val="597A334B"/>
    <w:rsid w:val="597B57B7"/>
    <w:rsid w:val="597BEF1C"/>
    <w:rsid w:val="597DC98C"/>
    <w:rsid w:val="597EA74D"/>
    <w:rsid w:val="59812BE4"/>
    <w:rsid w:val="59818BFA"/>
    <w:rsid w:val="598324AC"/>
    <w:rsid w:val="598338C0"/>
    <w:rsid w:val="59836643"/>
    <w:rsid w:val="59863D55"/>
    <w:rsid w:val="5986563B"/>
    <w:rsid w:val="5986B4E7"/>
    <w:rsid w:val="598713D3"/>
    <w:rsid w:val="5988A59F"/>
    <w:rsid w:val="598A0159"/>
    <w:rsid w:val="598A4D3F"/>
    <w:rsid w:val="598BDB89"/>
    <w:rsid w:val="598BE1DD"/>
    <w:rsid w:val="598E9147"/>
    <w:rsid w:val="598F4BFE"/>
    <w:rsid w:val="5990AF76"/>
    <w:rsid w:val="5991743E"/>
    <w:rsid w:val="5992CD49"/>
    <w:rsid w:val="59939F56"/>
    <w:rsid w:val="5994FCA2"/>
    <w:rsid w:val="5995E9D3"/>
    <w:rsid w:val="5996DFE6"/>
    <w:rsid w:val="599753C2"/>
    <w:rsid w:val="5999F66C"/>
    <w:rsid w:val="599B541D"/>
    <w:rsid w:val="599C43C9"/>
    <w:rsid w:val="599CEFA8"/>
    <w:rsid w:val="599FC64B"/>
    <w:rsid w:val="59A03BB5"/>
    <w:rsid w:val="59A0FE29"/>
    <w:rsid w:val="59A14622"/>
    <w:rsid w:val="59A17A76"/>
    <w:rsid w:val="59A191B8"/>
    <w:rsid w:val="59A1DB0A"/>
    <w:rsid w:val="59A334C1"/>
    <w:rsid w:val="59A44F2D"/>
    <w:rsid w:val="59A5EF5F"/>
    <w:rsid w:val="59A64172"/>
    <w:rsid w:val="59A6B94E"/>
    <w:rsid w:val="59AAC2B8"/>
    <w:rsid w:val="59AB5C5C"/>
    <w:rsid w:val="59AC0045"/>
    <w:rsid w:val="59AC1F81"/>
    <w:rsid w:val="59AC3194"/>
    <w:rsid w:val="59ACC83B"/>
    <w:rsid w:val="59AD1790"/>
    <w:rsid w:val="59ADBC95"/>
    <w:rsid w:val="59AF72C9"/>
    <w:rsid w:val="59AFC935"/>
    <w:rsid w:val="59AFE4E1"/>
    <w:rsid w:val="59B060F9"/>
    <w:rsid w:val="59B1AFE2"/>
    <w:rsid w:val="59B21A7D"/>
    <w:rsid w:val="59B23ABB"/>
    <w:rsid w:val="59B40287"/>
    <w:rsid w:val="59B67DAE"/>
    <w:rsid w:val="59B6FDD1"/>
    <w:rsid w:val="59B7140B"/>
    <w:rsid w:val="59B78671"/>
    <w:rsid w:val="59B80F3C"/>
    <w:rsid w:val="59BA13F5"/>
    <w:rsid w:val="59BBDEB0"/>
    <w:rsid w:val="59BCE415"/>
    <w:rsid w:val="59BDBA22"/>
    <w:rsid w:val="59C0679F"/>
    <w:rsid w:val="59C08CBC"/>
    <w:rsid w:val="59C0C621"/>
    <w:rsid w:val="59C0F6B9"/>
    <w:rsid w:val="59C29838"/>
    <w:rsid w:val="59C2B466"/>
    <w:rsid w:val="59C2CF92"/>
    <w:rsid w:val="59C2D5A9"/>
    <w:rsid w:val="59C4216C"/>
    <w:rsid w:val="59C45B67"/>
    <w:rsid w:val="59C684B9"/>
    <w:rsid w:val="59C7277F"/>
    <w:rsid w:val="59CA0580"/>
    <w:rsid w:val="59CA5D15"/>
    <w:rsid w:val="59CAFE4F"/>
    <w:rsid w:val="59CC1222"/>
    <w:rsid w:val="59CC1B2C"/>
    <w:rsid w:val="59CE2006"/>
    <w:rsid w:val="59CF16F0"/>
    <w:rsid w:val="59D0458B"/>
    <w:rsid w:val="59D073EF"/>
    <w:rsid w:val="59D1996D"/>
    <w:rsid w:val="59D20EA4"/>
    <w:rsid w:val="59D21BDD"/>
    <w:rsid w:val="59D4248B"/>
    <w:rsid w:val="59D51CAB"/>
    <w:rsid w:val="59D573C6"/>
    <w:rsid w:val="59D66AAD"/>
    <w:rsid w:val="59D6BA12"/>
    <w:rsid w:val="59D717C9"/>
    <w:rsid w:val="59D9533A"/>
    <w:rsid w:val="59DA2088"/>
    <w:rsid w:val="59DA43E6"/>
    <w:rsid w:val="59DB8C3C"/>
    <w:rsid w:val="59DC6CA5"/>
    <w:rsid w:val="59DF8C8E"/>
    <w:rsid w:val="59DF8EE7"/>
    <w:rsid w:val="59E030F1"/>
    <w:rsid w:val="59E089DE"/>
    <w:rsid w:val="59E256B8"/>
    <w:rsid w:val="59E44200"/>
    <w:rsid w:val="59E53A02"/>
    <w:rsid w:val="59E56EA7"/>
    <w:rsid w:val="59E7FB75"/>
    <w:rsid w:val="59E81569"/>
    <w:rsid w:val="59E8850F"/>
    <w:rsid w:val="59E8A06A"/>
    <w:rsid w:val="59EA6A07"/>
    <w:rsid w:val="59EA9036"/>
    <w:rsid w:val="59EA9613"/>
    <w:rsid w:val="59EC3E11"/>
    <w:rsid w:val="59EC6B87"/>
    <w:rsid w:val="59EDE2FD"/>
    <w:rsid w:val="59EDE583"/>
    <w:rsid w:val="59EE6C4F"/>
    <w:rsid w:val="59EE9B2E"/>
    <w:rsid w:val="59EEBA20"/>
    <w:rsid w:val="59EF042F"/>
    <w:rsid w:val="59F0B706"/>
    <w:rsid w:val="59F1441F"/>
    <w:rsid w:val="59F15F8D"/>
    <w:rsid w:val="59F1C89C"/>
    <w:rsid w:val="59F318C7"/>
    <w:rsid w:val="59F3B3A6"/>
    <w:rsid w:val="59F466D1"/>
    <w:rsid w:val="59F6601C"/>
    <w:rsid w:val="59F665EB"/>
    <w:rsid w:val="59F96C34"/>
    <w:rsid w:val="59F9EECF"/>
    <w:rsid w:val="59FAFBAE"/>
    <w:rsid w:val="59FBC151"/>
    <w:rsid w:val="59FC18D5"/>
    <w:rsid w:val="59FD373C"/>
    <w:rsid w:val="59FD3A76"/>
    <w:rsid w:val="59FE416B"/>
    <w:rsid w:val="59FFE7C6"/>
    <w:rsid w:val="59FFFAC0"/>
    <w:rsid w:val="5A01105E"/>
    <w:rsid w:val="5A018385"/>
    <w:rsid w:val="5A019EE3"/>
    <w:rsid w:val="5A02FB7F"/>
    <w:rsid w:val="5A03E79B"/>
    <w:rsid w:val="5A07AFB0"/>
    <w:rsid w:val="5A093BF5"/>
    <w:rsid w:val="5A094EDA"/>
    <w:rsid w:val="5A097483"/>
    <w:rsid w:val="5A0A6DC6"/>
    <w:rsid w:val="5A0B895C"/>
    <w:rsid w:val="5A0CD3C8"/>
    <w:rsid w:val="5A0DF2D1"/>
    <w:rsid w:val="5A0E7CD4"/>
    <w:rsid w:val="5A0FBE6C"/>
    <w:rsid w:val="5A0FCB1A"/>
    <w:rsid w:val="5A103187"/>
    <w:rsid w:val="5A1178CE"/>
    <w:rsid w:val="5A118FE0"/>
    <w:rsid w:val="5A11EF00"/>
    <w:rsid w:val="5A12771F"/>
    <w:rsid w:val="5A142D53"/>
    <w:rsid w:val="5A143E34"/>
    <w:rsid w:val="5A143E94"/>
    <w:rsid w:val="5A1592E6"/>
    <w:rsid w:val="5A18AB50"/>
    <w:rsid w:val="5A1A82B3"/>
    <w:rsid w:val="5A1B6325"/>
    <w:rsid w:val="5A1BF06B"/>
    <w:rsid w:val="5A1C64F8"/>
    <w:rsid w:val="5A1C93FB"/>
    <w:rsid w:val="5A1D0806"/>
    <w:rsid w:val="5A1ECB41"/>
    <w:rsid w:val="5A1EEA5E"/>
    <w:rsid w:val="5A1F1701"/>
    <w:rsid w:val="5A21D3EB"/>
    <w:rsid w:val="5A223CAE"/>
    <w:rsid w:val="5A246E55"/>
    <w:rsid w:val="5A249CA8"/>
    <w:rsid w:val="5A2554EA"/>
    <w:rsid w:val="5A25E8E5"/>
    <w:rsid w:val="5A2CB3B1"/>
    <w:rsid w:val="5A2EB28D"/>
    <w:rsid w:val="5A2EC244"/>
    <w:rsid w:val="5A3032A0"/>
    <w:rsid w:val="5A31DAA7"/>
    <w:rsid w:val="5A32F60D"/>
    <w:rsid w:val="5A36AC8C"/>
    <w:rsid w:val="5A36F67C"/>
    <w:rsid w:val="5A3755D3"/>
    <w:rsid w:val="5A37BB16"/>
    <w:rsid w:val="5A38954F"/>
    <w:rsid w:val="5A38D1E4"/>
    <w:rsid w:val="5A39C0C4"/>
    <w:rsid w:val="5A3A5D0F"/>
    <w:rsid w:val="5A3AEA85"/>
    <w:rsid w:val="5A3C3281"/>
    <w:rsid w:val="5A3C4543"/>
    <w:rsid w:val="5A3F34A7"/>
    <w:rsid w:val="5A3FD948"/>
    <w:rsid w:val="5A402243"/>
    <w:rsid w:val="5A4166D1"/>
    <w:rsid w:val="5A44B7E3"/>
    <w:rsid w:val="5A4629F9"/>
    <w:rsid w:val="5A4A3007"/>
    <w:rsid w:val="5A4A84AC"/>
    <w:rsid w:val="5A4ADABA"/>
    <w:rsid w:val="5A4C33A1"/>
    <w:rsid w:val="5A4C777D"/>
    <w:rsid w:val="5A4C8470"/>
    <w:rsid w:val="5A518DA9"/>
    <w:rsid w:val="5A52D240"/>
    <w:rsid w:val="5A5691A9"/>
    <w:rsid w:val="5A58023C"/>
    <w:rsid w:val="5A59C15A"/>
    <w:rsid w:val="5A5A385C"/>
    <w:rsid w:val="5A5A7300"/>
    <w:rsid w:val="5A5AA6E6"/>
    <w:rsid w:val="5A5AB091"/>
    <w:rsid w:val="5A5AB3CD"/>
    <w:rsid w:val="5A5DFEAC"/>
    <w:rsid w:val="5A608667"/>
    <w:rsid w:val="5A61AE24"/>
    <w:rsid w:val="5A61C5F7"/>
    <w:rsid w:val="5A63C4E8"/>
    <w:rsid w:val="5A63D6DF"/>
    <w:rsid w:val="5A65A618"/>
    <w:rsid w:val="5A65D736"/>
    <w:rsid w:val="5A67CAD7"/>
    <w:rsid w:val="5A6809F5"/>
    <w:rsid w:val="5A68E1DB"/>
    <w:rsid w:val="5A69436D"/>
    <w:rsid w:val="5A69FC6A"/>
    <w:rsid w:val="5A6BC789"/>
    <w:rsid w:val="5A6E51D0"/>
    <w:rsid w:val="5A6F7E0A"/>
    <w:rsid w:val="5A6FDA4C"/>
    <w:rsid w:val="5A70688F"/>
    <w:rsid w:val="5A72197A"/>
    <w:rsid w:val="5A72C8A0"/>
    <w:rsid w:val="5A734656"/>
    <w:rsid w:val="5A7399BB"/>
    <w:rsid w:val="5A74B345"/>
    <w:rsid w:val="5A751E48"/>
    <w:rsid w:val="5A7591A8"/>
    <w:rsid w:val="5A75C1DC"/>
    <w:rsid w:val="5A7A642C"/>
    <w:rsid w:val="5A7BAAE8"/>
    <w:rsid w:val="5A7C5085"/>
    <w:rsid w:val="5A7CFD3E"/>
    <w:rsid w:val="5A7F7971"/>
    <w:rsid w:val="5A811B9A"/>
    <w:rsid w:val="5A812D10"/>
    <w:rsid w:val="5A81A740"/>
    <w:rsid w:val="5A841F89"/>
    <w:rsid w:val="5A84FA6E"/>
    <w:rsid w:val="5A85A90C"/>
    <w:rsid w:val="5A8932CF"/>
    <w:rsid w:val="5A89742B"/>
    <w:rsid w:val="5A8A4209"/>
    <w:rsid w:val="5A8A4C98"/>
    <w:rsid w:val="5A8A5EF8"/>
    <w:rsid w:val="5A8B650C"/>
    <w:rsid w:val="5A8D7CCC"/>
    <w:rsid w:val="5A8F78E4"/>
    <w:rsid w:val="5A8FCF23"/>
    <w:rsid w:val="5A9003F7"/>
    <w:rsid w:val="5A942B2D"/>
    <w:rsid w:val="5A9468D8"/>
    <w:rsid w:val="5A94BE76"/>
    <w:rsid w:val="5A959011"/>
    <w:rsid w:val="5A961A69"/>
    <w:rsid w:val="5A96722E"/>
    <w:rsid w:val="5A972C12"/>
    <w:rsid w:val="5A97954C"/>
    <w:rsid w:val="5A991B10"/>
    <w:rsid w:val="5A993AA1"/>
    <w:rsid w:val="5A998F6B"/>
    <w:rsid w:val="5A9B9908"/>
    <w:rsid w:val="5A9CC7DD"/>
    <w:rsid w:val="5A9D06B3"/>
    <w:rsid w:val="5A9D14BB"/>
    <w:rsid w:val="5A9E6D8A"/>
    <w:rsid w:val="5A9FBFC8"/>
    <w:rsid w:val="5AA01CB5"/>
    <w:rsid w:val="5AA154AA"/>
    <w:rsid w:val="5AA15F49"/>
    <w:rsid w:val="5AA1B508"/>
    <w:rsid w:val="5AA1BCF9"/>
    <w:rsid w:val="5AA3A662"/>
    <w:rsid w:val="5AA471B6"/>
    <w:rsid w:val="5AA5C057"/>
    <w:rsid w:val="5AA614ED"/>
    <w:rsid w:val="5AA6CAC2"/>
    <w:rsid w:val="5AA83401"/>
    <w:rsid w:val="5AA93DD4"/>
    <w:rsid w:val="5AA97A55"/>
    <w:rsid w:val="5AAA60EE"/>
    <w:rsid w:val="5AAAC32B"/>
    <w:rsid w:val="5AAFC0D1"/>
    <w:rsid w:val="5AB0EF54"/>
    <w:rsid w:val="5AB19D61"/>
    <w:rsid w:val="5AB29882"/>
    <w:rsid w:val="5AB2E250"/>
    <w:rsid w:val="5AB2E964"/>
    <w:rsid w:val="5AB33D4D"/>
    <w:rsid w:val="5AB5422C"/>
    <w:rsid w:val="5AB591A3"/>
    <w:rsid w:val="5AB7A912"/>
    <w:rsid w:val="5AB7FA66"/>
    <w:rsid w:val="5AB985B9"/>
    <w:rsid w:val="5AB9DC47"/>
    <w:rsid w:val="5ABA5710"/>
    <w:rsid w:val="5ABAD8D1"/>
    <w:rsid w:val="5ABB7F49"/>
    <w:rsid w:val="5ABC09ED"/>
    <w:rsid w:val="5ABC0F90"/>
    <w:rsid w:val="5ABC5EA3"/>
    <w:rsid w:val="5ABCC3AD"/>
    <w:rsid w:val="5ABD4284"/>
    <w:rsid w:val="5ABDC3B8"/>
    <w:rsid w:val="5ABEF6B4"/>
    <w:rsid w:val="5ABF4090"/>
    <w:rsid w:val="5AC05449"/>
    <w:rsid w:val="5AC103C9"/>
    <w:rsid w:val="5AC12004"/>
    <w:rsid w:val="5AC269DE"/>
    <w:rsid w:val="5AC3F7D4"/>
    <w:rsid w:val="5AC425FA"/>
    <w:rsid w:val="5AC5537D"/>
    <w:rsid w:val="5AC8A62B"/>
    <w:rsid w:val="5ACA012D"/>
    <w:rsid w:val="5ACABC41"/>
    <w:rsid w:val="5ACD4674"/>
    <w:rsid w:val="5ACD89E6"/>
    <w:rsid w:val="5AD08562"/>
    <w:rsid w:val="5AD37F4B"/>
    <w:rsid w:val="5AD3B14C"/>
    <w:rsid w:val="5AD6CB5C"/>
    <w:rsid w:val="5AD85931"/>
    <w:rsid w:val="5AD955E2"/>
    <w:rsid w:val="5ADA4A4D"/>
    <w:rsid w:val="5ADB139D"/>
    <w:rsid w:val="5ADD8D9B"/>
    <w:rsid w:val="5ADDC884"/>
    <w:rsid w:val="5AE01F2B"/>
    <w:rsid w:val="5AE06C5E"/>
    <w:rsid w:val="5AE1A828"/>
    <w:rsid w:val="5AE2A9A8"/>
    <w:rsid w:val="5AE4CBE2"/>
    <w:rsid w:val="5AE5359F"/>
    <w:rsid w:val="5AE60DF8"/>
    <w:rsid w:val="5AE6C07A"/>
    <w:rsid w:val="5AE703A6"/>
    <w:rsid w:val="5AE74AD9"/>
    <w:rsid w:val="5AE95451"/>
    <w:rsid w:val="5AE98F9B"/>
    <w:rsid w:val="5AEA2120"/>
    <w:rsid w:val="5AEA7E14"/>
    <w:rsid w:val="5AEC6329"/>
    <w:rsid w:val="5AEC7524"/>
    <w:rsid w:val="5AECDE1C"/>
    <w:rsid w:val="5AEDD821"/>
    <w:rsid w:val="5AEE06E6"/>
    <w:rsid w:val="5AEE9624"/>
    <w:rsid w:val="5AF03034"/>
    <w:rsid w:val="5AF20C10"/>
    <w:rsid w:val="5AF273FB"/>
    <w:rsid w:val="5AF27C60"/>
    <w:rsid w:val="5AF3CCB4"/>
    <w:rsid w:val="5AF405D3"/>
    <w:rsid w:val="5AF6726C"/>
    <w:rsid w:val="5AF77EAC"/>
    <w:rsid w:val="5AF81888"/>
    <w:rsid w:val="5AF99693"/>
    <w:rsid w:val="5AF9FA22"/>
    <w:rsid w:val="5AFBD654"/>
    <w:rsid w:val="5AFC20E7"/>
    <w:rsid w:val="5AFC6020"/>
    <w:rsid w:val="5AFDB1B2"/>
    <w:rsid w:val="5AFDC429"/>
    <w:rsid w:val="5B008492"/>
    <w:rsid w:val="5B009AA8"/>
    <w:rsid w:val="5B00E361"/>
    <w:rsid w:val="5B02569E"/>
    <w:rsid w:val="5B034A76"/>
    <w:rsid w:val="5B069EED"/>
    <w:rsid w:val="5B071084"/>
    <w:rsid w:val="5B077019"/>
    <w:rsid w:val="5B07DC49"/>
    <w:rsid w:val="5B08A422"/>
    <w:rsid w:val="5B0ABF1E"/>
    <w:rsid w:val="5B0BDADE"/>
    <w:rsid w:val="5B0C4026"/>
    <w:rsid w:val="5B0DC54F"/>
    <w:rsid w:val="5B0E88E2"/>
    <w:rsid w:val="5B0F0A9F"/>
    <w:rsid w:val="5B0F4C03"/>
    <w:rsid w:val="5B101FC1"/>
    <w:rsid w:val="5B11619A"/>
    <w:rsid w:val="5B129987"/>
    <w:rsid w:val="5B135142"/>
    <w:rsid w:val="5B138C93"/>
    <w:rsid w:val="5B13A904"/>
    <w:rsid w:val="5B13D2C0"/>
    <w:rsid w:val="5B13EF72"/>
    <w:rsid w:val="5B14FACB"/>
    <w:rsid w:val="5B15D086"/>
    <w:rsid w:val="5B163617"/>
    <w:rsid w:val="5B166D52"/>
    <w:rsid w:val="5B169017"/>
    <w:rsid w:val="5B16C0B4"/>
    <w:rsid w:val="5B16F329"/>
    <w:rsid w:val="5B1718FB"/>
    <w:rsid w:val="5B173770"/>
    <w:rsid w:val="5B195292"/>
    <w:rsid w:val="5B1AC327"/>
    <w:rsid w:val="5B1DECE6"/>
    <w:rsid w:val="5B1E0867"/>
    <w:rsid w:val="5B1E1E5C"/>
    <w:rsid w:val="5B1E3B8C"/>
    <w:rsid w:val="5B1F5A2A"/>
    <w:rsid w:val="5B1FE7EB"/>
    <w:rsid w:val="5B21C5F9"/>
    <w:rsid w:val="5B23DC7D"/>
    <w:rsid w:val="5B24C671"/>
    <w:rsid w:val="5B24D2D9"/>
    <w:rsid w:val="5B27AF62"/>
    <w:rsid w:val="5B282D3F"/>
    <w:rsid w:val="5B2924FC"/>
    <w:rsid w:val="5B2A5F20"/>
    <w:rsid w:val="5B2B0F57"/>
    <w:rsid w:val="5B2C3038"/>
    <w:rsid w:val="5B2C8011"/>
    <w:rsid w:val="5B2D4998"/>
    <w:rsid w:val="5B2DA1B8"/>
    <w:rsid w:val="5B2DFF48"/>
    <w:rsid w:val="5B2EE06C"/>
    <w:rsid w:val="5B2F55DC"/>
    <w:rsid w:val="5B314FA5"/>
    <w:rsid w:val="5B31DBAF"/>
    <w:rsid w:val="5B32E915"/>
    <w:rsid w:val="5B33C39E"/>
    <w:rsid w:val="5B367DDF"/>
    <w:rsid w:val="5B37F83F"/>
    <w:rsid w:val="5B38338A"/>
    <w:rsid w:val="5B3971C9"/>
    <w:rsid w:val="5B39C127"/>
    <w:rsid w:val="5B3BD731"/>
    <w:rsid w:val="5B3BEA0D"/>
    <w:rsid w:val="5B3C4847"/>
    <w:rsid w:val="5B3C4C3F"/>
    <w:rsid w:val="5B3C746C"/>
    <w:rsid w:val="5B3CDCDB"/>
    <w:rsid w:val="5B3D397D"/>
    <w:rsid w:val="5B3E9F30"/>
    <w:rsid w:val="5B3F513D"/>
    <w:rsid w:val="5B4115EB"/>
    <w:rsid w:val="5B416F04"/>
    <w:rsid w:val="5B418824"/>
    <w:rsid w:val="5B431323"/>
    <w:rsid w:val="5B43C133"/>
    <w:rsid w:val="5B449C8F"/>
    <w:rsid w:val="5B451804"/>
    <w:rsid w:val="5B457489"/>
    <w:rsid w:val="5B45F5EB"/>
    <w:rsid w:val="5B460081"/>
    <w:rsid w:val="5B47D8AA"/>
    <w:rsid w:val="5B4804C0"/>
    <w:rsid w:val="5B484768"/>
    <w:rsid w:val="5B489A5B"/>
    <w:rsid w:val="5B4B1EB2"/>
    <w:rsid w:val="5B4C5D78"/>
    <w:rsid w:val="5B4C82CF"/>
    <w:rsid w:val="5B4CAA38"/>
    <w:rsid w:val="5B4DEADE"/>
    <w:rsid w:val="5B4F7E0D"/>
    <w:rsid w:val="5B4FA524"/>
    <w:rsid w:val="5B514EEF"/>
    <w:rsid w:val="5B51D2C4"/>
    <w:rsid w:val="5B52A8A0"/>
    <w:rsid w:val="5B52F3B1"/>
    <w:rsid w:val="5B53D8F7"/>
    <w:rsid w:val="5B579CAC"/>
    <w:rsid w:val="5B5A593B"/>
    <w:rsid w:val="5B5C5E2C"/>
    <w:rsid w:val="5B5EE245"/>
    <w:rsid w:val="5B5F222F"/>
    <w:rsid w:val="5B604E81"/>
    <w:rsid w:val="5B605685"/>
    <w:rsid w:val="5B606EB0"/>
    <w:rsid w:val="5B6081FD"/>
    <w:rsid w:val="5B615973"/>
    <w:rsid w:val="5B646541"/>
    <w:rsid w:val="5B6546EF"/>
    <w:rsid w:val="5B65A8B7"/>
    <w:rsid w:val="5B673911"/>
    <w:rsid w:val="5B67E4AA"/>
    <w:rsid w:val="5B680C64"/>
    <w:rsid w:val="5B6817A8"/>
    <w:rsid w:val="5B68A376"/>
    <w:rsid w:val="5B68E2FC"/>
    <w:rsid w:val="5B690813"/>
    <w:rsid w:val="5B69A6A2"/>
    <w:rsid w:val="5B6ADF9B"/>
    <w:rsid w:val="5B6BA084"/>
    <w:rsid w:val="5B6D0A85"/>
    <w:rsid w:val="5B72B62F"/>
    <w:rsid w:val="5B72CE0C"/>
    <w:rsid w:val="5B736B11"/>
    <w:rsid w:val="5B745780"/>
    <w:rsid w:val="5B759D06"/>
    <w:rsid w:val="5B75A801"/>
    <w:rsid w:val="5B770AE0"/>
    <w:rsid w:val="5B78A9EC"/>
    <w:rsid w:val="5B78E8A9"/>
    <w:rsid w:val="5B7A2663"/>
    <w:rsid w:val="5B7B783F"/>
    <w:rsid w:val="5B7B7B17"/>
    <w:rsid w:val="5B7B879A"/>
    <w:rsid w:val="5B7C14C3"/>
    <w:rsid w:val="5B7D337C"/>
    <w:rsid w:val="5B7DEAF4"/>
    <w:rsid w:val="5B7EBCAB"/>
    <w:rsid w:val="5B7EFA1B"/>
    <w:rsid w:val="5B7F6155"/>
    <w:rsid w:val="5B7FE238"/>
    <w:rsid w:val="5B7FF092"/>
    <w:rsid w:val="5B80A8CD"/>
    <w:rsid w:val="5B811C86"/>
    <w:rsid w:val="5B814C6F"/>
    <w:rsid w:val="5B835495"/>
    <w:rsid w:val="5B83EACC"/>
    <w:rsid w:val="5B8435AE"/>
    <w:rsid w:val="5B8451F2"/>
    <w:rsid w:val="5B84B1BD"/>
    <w:rsid w:val="5B87466A"/>
    <w:rsid w:val="5B8BE92B"/>
    <w:rsid w:val="5B8C6DB2"/>
    <w:rsid w:val="5B8D3CB7"/>
    <w:rsid w:val="5B8E2EA0"/>
    <w:rsid w:val="5B8EB3E5"/>
    <w:rsid w:val="5B8EEDE5"/>
    <w:rsid w:val="5B8F6A61"/>
    <w:rsid w:val="5B91E094"/>
    <w:rsid w:val="5B921EBD"/>
    <w:rsid w:val="5B9258C9"/>
    <w:rsid w:val="5B928E84"/>
    <w:rsid w:val="5B934ABE"/>
    <w:rsid w:val="5B93623F"/>
    <w:rsid w:val="5B93A5A6"/>
    <w:rsid w:val="5B941DED"/>
    <w:rsid w:val="5B9492F7"/>
    <w:rsid w:val="5B962545"/>
    <w:rsid w:val="5B963494"/>
    <w:rsid w:val="5B98428F"/>
    <w:rsid w:val="5B9A693D"/>
    <w:rsid w:val="5B9DBBAA"/>
    <w:rsid w:val="5B9ED95C"/>
    <w:rsid w:val="5B9F5D3E"/>
    <w:rsid w:val="5BA0D6F6"/>
    <w:rsid w:val="5BA16806"/>
    <w:rsid w:val="5BA22046"/>
    <w:rsid w:val="5BA23593"/>
    <w:rsid w:val="5BA2913E"/>
    <w:rsid w:val="5BA2A22D"/>
    <w:rsid w:val="5BA2E36E"/>
    <w:rsid w:val="5BA37DB6"/>
    <w:rsid w:val="5BA6D9F4"/>
    <w:rsid w:val="5BA6E789"/>
    <w:rsid w:val="5BA6EC5E"/>
    <w:rsid w:val="5BA711E5"/>
    <w:rsid w:val="5BA895E8"/>
    <w:rsid w:val="5BA8D7D5"/>
    <w:rsid w:val="5BA91975"/>
    <w:rsid w:val="5BAAA126"/>
    <w:rsid w:val="5BAB1F37"/>
    <w:rsid w:val="5BB0E54A"/>
    <w:rsid w:val="5BB3AB58"/>
    <w:rsid w:val="5BB5777B"/>
    <w:rsid w:val="5BB59F34"/>
    <w:rsid w:val="5BB5D3A7"/>
    <w:rsid w:val="5BB5E0DB"/>
    <w:rsid w:val="5BB668F2"/>
    <w:rsid w:val="5BB77F04"/>
    <w:rsid w:val="5BB8A13E"/>
    <w:rsid w:val="5BB9ED4D"/>
    <w:rsid w:val="5BBB3A48"/>
    <w:rsid w:val="5BBCFD24"/>
    <w:rsid w:val="5BBE9C52"/>
    <w:rsid w:val="5BBF1ACE"/>
    <w:rsid w:val="5BBF7D44"/>
    <w:rsid w:val="5BC165C1"/>
    <w:rsid w:val="5BC19ED5"/>
    <w:rsid w:val="5BC1DDF4"/>
    <w:rsid w:val="5BC2D787"/>
    <w:rsid w:val="5BC3F1B0"/>
    <w:rsid w:val="5BC62632"/>
    <w:rsid w:val="5BC6DD50"/>
    <w:rsid w:val="5BC739B2"/>
    <w:rsid w:val="5BCA3720"/>
    <w:rsid w:val="5BCAC2BA"/>
    <w:rsid w:val="5BCBA0D8"/>
    <w:rsid w:val="5BCC4F0C"/>
    <w:rsid w:val="5BCCB4FB"/>
    <w:rsid w:val="5BCCDC1F"/>
    <w:rsid w:val="5BCDA755"/>
    <w:rsid w:val="5BCF73F2"/>
    <w:rsid w:val="5BD0C021"/>
    <w:rsid w:val="5BD126DA"/>
    <w:rsid w:val="5BD19265"/>
    <w:rsid w:val="5BD248CD"/>
    <w:rsid w:val="5BD2AB62"/>
    <w:rsid w:val="5BD30135"/>
    <w:rsid w:val="5BD3DBAF"/>
    <w:rsid w:val="5BD440A1"/>
    <w:rsid w:val="5BD48952"/>
    <w:rsid w:val="5BD4BC7D"/>
    <w:rsid w:val="5BD4C476"/>
    <w:rsid w:val="5BD5FA6C"/>
    <w:rsid w:val="5BD6B21C"/>
    <w:rsid w:val="5BD727FC"/>
    <w:rsid w:val="5BD73898"/>
    <w:rsid w:val="5BD774B7"/>
    <w:rsid w:val="5BD8190C"/>
    <w:rsid w:val="5BD9F2F2"/>
    <w:rsid w:val="5BDA2B3B"/>
    <w:rsid w:val="5BDB07CE"/>
    <w:rsid w:val="5BDBCEB8"/>
    <w:rsid w:val="5BDBFB9A"/>
    <w:rsid w:val="5BDC46D8"/>
    <w:rsid w:val="5BDCCD8D"/>
    <w:rsid w:val="5BE055C8"/>
    <w:rsid w:val="5BE08C90"/>
    <w:rsid w:val="5BE2543E"/>
    <w:rsid w:val="5BE2D654"/>
    <w:rsid w:val="5BE32020"/>
    <w:rsid w:val="5BE403C3"/>
    <w:rsid w:val="5BE42120"/>
    <w:rsid w:val="5BE5DB23"/>
    <w:rsid w:val="5BE6CB9D"/>
    <w:rsid w:val="5BE7D167"/>
    <w:rsid w:val="5BE9A36B"/>
    <w:rsid w:val="5BEA56B1"/>
    <w:rsid w:val="5BEB6785"/>
    <w:rsid w:val="5BEBD2D1"/>
    <w:rsid w:val="5BEC028F"/>
    <w:rsid w:val="5BEF0032"/>
    <w:rsid w:val="5BEFD23D"/>
    <w:rsid w:val="5BF0180C"/>
    <w:rsid w:val="5BF1990F"/>
    <w:rsid w:val="5BF2A624"/>
    <w:rsid w:val="5BF2DBB3"/>
    <w:rsid w:val="5BF3191C"/>
    <w:rsid w:val="5BF35E89"/>
    <w:rsid w:val="5BF36424"/>
    <w:rsid w:val="5BF3DDEB"/>
    <w:rsid w:val="5BF49C2F"/>
    <w:rsid w:val="5BF5AA41"/>
    <w:rsid w:val="5BF65248"/>
    <w:rsid w:val="5BF68E06"/>
    <w:rsid w:val="5BF6C497"/>
    <w:rsid w:val="5BF6F3C1"/>
    <w:rsid w:val="5BF75CDA"/>
    <w:rsid w:val="5BF89912"/>
    <w:rsid w:val="5BF8A7D8"/>
    <w:rsid w:val="5BF9741F"/>
    <w:rsid w:val="5BF9B839"/>
    <w:rsid w:val="5BFB8F1E"/>
    <w:rsid w:val="5BFC5F5C"/>
    <w:rsid w:val="5C001BE9"/>
    <w:rsid w:val="5C020A58"/>
    <w:rsid w:val="5C0267CD"/>
    <w:rsid w:val="5C0272C2"/>
    <w:rsid w:val="5C02D197"/>
    <w:rsid w:val="5C046A64"/>
    <w:rsid w:val="5C053AB9"/>
    <w:rsid w:val="5C059453"/>
    <w:rsid w:val="5C0632E3"/>
    <w:rsid w:val="5C08387C"/>
    <w:rsid w:val="5C09BB2C"/>
    <w:rsid w:val="5C0B167C"/>
    <w:rsid w:val="5C0B9862"/>
    <w:rsid w:val="5C0DB597"/>
    <w:rsid w:val="5C0E80AC"/>
    <w:rsid w:val="5C0F0E82"/>
    <w:rsid w:val="5C0F46E7"/>
    <w:rsid w:val="5C10588D"/>
    <w:rsid w:val="5C11923D"/>
    <w:rsid w:val="5C1223D6"/>
    <w:rsid w:val="5C124479"/>
    <w:rsid w:val="5C128F86"/>
    <w:rsid w:val="5C12ECB5"/>
    <w:rsid w:val="5C154234"/>
    <w:rsid w:val="5C16E39B"/>
    <w:rsid w:val="5C183516"/>
    <w:rsid w:val="5C1929FB"/>
    <w:rsid w:val="5C192BC1"/>
    <w:rsid w:val="5C1C4B84"/>
    <w:rsid w:val="5C1D592F"/>
    <w:rsid w:val="5C1F3792"/>
    <w:rsid w:val="5C1F39B0"/>
    <w:rsid w:val="5C1FF9D7"/>
    <w:rsid w:val="5C2011F5"/>
    <w:rsid w:val="5C2281E8"/>
    <w:rsid w:val="5C228891"/>
    <w:rsid w:val="5C230F50"/>
    <w:rsid w:val="5C23BF30"/>
    <w:rsid w:val="5C249E58"/>
    <w:rsid w:val="5C25BEF9"/>
    <w:rsid w:val="5C268834"/>
    <w:rsid w:val="5C270968"/>
    <w:rsid w:val="5C27EFA2"/>
    <w:rsid w:val="5C2821C0"/>
    <w:rsid w:val="5C29C3FA"/>
    <w:rsid w:val="5C2A1FB3"/>
    <w:rsid w:val="5C2C357D"/>
    <w:rsid w:val="5C2C49F3"/>
    <w:rsid w:val="5C2C8180"/>
    <w:rsid w:val="5C2E0E4D"/>
    <w:rsid w:val="5C300C49"/>
    <w:rsid w:val="5C310B45"/>
    <w:rsid w:val="5C3202C0"/>
    <w:rsid w:val="5C331C2C"/>
    <w:rsid w:val="5C33C83C"/>
    <w:rsid w:val="5C34FAEB"/>
    <w:rsid w:val="5C353543"/>
    <w:rsid w:val="5C36CBEB"/>
    <w:rsid w:val="5C3724D7"/>
    <w:rsid w:val="5C382246"/>
    <w:rsid w:val="5C38720F"/>
    <w:rsid w:val="5C395C59"/>
    <w:rsid w:val="5C39B6EC"/>
    <w:rsid w:val="5C39F7C7"/>
    <w:rsid w:val="5C3A0D28"/>
    <w:rsid w:val="5C3A5445"/>
    <w:rsid w:val="5C3E7297"/>
    <w:rsid w:val="5C3F54C0"/>
    <w:rsid w:val="5C45B1C8"/>
    <w:rsid w:val="5C45BF0D"/>
    <w:rsid w:val="5C463651"/>
    <w:rsid w:val="5C463EB5"/>
    <w:rsid w:val="5C48E0C2"/>
    <w:rsid w:val="5C48E214"/>
    <w:rsid w:val="5C49C2BA"/>
    <w:rsid w:val="5C49D89B"/>
    <w:rsid w:val="5C49E9F1"/>
    <w:rsid w:val="5C4A1893"/>
    <w:rsid w:val="5C4B99F5"/>
    <w:rsid w:val="5C4D5602"/>
    <w:rsid w:val="5C4D75CB"/>
    <w:rsid w:val="5C4D79F3"/>
    <w:rsid w:val="5C4E64BF"/>
    <w:rsid w:val="5C4F3543"/>
    <w:rsid w:val="5C4F808B"/>
    <w:rsid w:val="5C5012E8"/>
    <w:rsid w:val="5C523553"/>
    <w:rsid w:val="5C54C7AC"/>
    <w:rsid w:val="5C56136D"/>
    <w:rsid w:val="5C5696FB"/>
    <w:rsid w:val="5C57555E"/>
    <w:rsid w:val="5C586A44"/>
    <w:rsid w:val="5C5A167A"/>
    <w:rsid w:val="5C5A20FA"/>
    <w:rsid w:val="5C5B4B70"/>
    <w:rsid w:val="5C5CB089"/>
    <w:rsid w:val="5C5D4A20"/>
    <w:rsid w:val="5C5F9CC1"/>
    <w:rsid w:val="5C606B7E"/>
    <w:rsid w:val="5C60EE58"/>
    <w:rsid w:val="5C60F2A5"/>
    <w:rsid w:val="5C620702"/>
    <w:rsid w:val="5C641557"/>
    <w:rsid w:val="5C6418E3"/>
    <w:rsid w:val="5C66802C"/>
    <w:rsid w:val="5C66C45E"/>
    <w:rsid w:val="5C66D226"/>
    <w:rsid w:val="5C67D0A8"/>
    <w:rsid w:val="5C67E982"/>
    <w:rsid w:val="5C6CDC60"/>
    <w:rsid w:val="5C6DDA26"/>
    <w:rsid w:val="5C6DF16D"/>
    <w:rsid w:val="5C719171"/>
    <w:rsid w:val="5C722D47"/>
    <w:rsid w:val="5C7266AD"/>
    <w:rsid w:val="5C73D417"/>
    <w:rsid w:val="5C75A036"/>
    <w:rsid w:val="5C767EC5"/>
    <w:rsid w:val="5C779105"/>
    <w:rsid w:val="5C77A000"/>
    <w:rsid w:val="5C780546"/>
    <w:rsid w:val="5C78E693"/>
    <w:rsid w:val="5C79199D"/>
    <w:rsid w:val="5C79D0B5"/>
    <w:rsid w:val="5C7B08CC"/>
    <w:rsid w:val="5C7ED708"/>
    <w:rsid w:val="5C7F7671"/>
    <w:rsid w:val="5C7F7BA1"/>
    <w:rsid w:val="5C80ED3A"/>
    <w:rsid w:val="5C812EA7"/>
    <w:rsid w:val="5C81E457"/>
    <w:rsid w:val="5C823249"/>
    <w:rsid w:val="5C83E36F"/>
    <w:rsid w:val="5C84B138"/>
    <w:rsid w:val="5C85B566"/>
    <w:rsid w:val="5C872204"/>
    <w:rsid w:val="5C876FB0"/>
    <w:rsid w:val="5C88565A"/>
    <w:rsid w:val="5C889B92"/>
    <w:rsid w:val="5C8A0097"/>
    <w:rsid w:val="5C8A3DB0"/>
    <w:rsid w:val="5C8B632A"/>
    <w:rsid w:val="5C8C8395"/>
    <w:rsid w:val="5C8CC640"/>
    <w:rsid w:val="5C8D4E05"/>
    <w:rsid w:val="5C8D7236"/>
    <w:rsid w:val="5C8E7193"/>
    <w:rsid w:val="5C9062B4"/>
    <w:rsid w:val="5C919882"/>
    <w:rsid w:val="5C92F460"/>
    <w:rsid w:val="5C930AA7"/>
    <w:rsid w:val="5C936707"/>
    <w:rsid w:val="5C944CB0"/>
    <w:rsid w:val="5C96AB8C"/>
    <w:rsid w:val="5C97E7F4"/>
    <w:rsid w:val="5C9B0881"/>
    <w:rsid w:val="5C9B2E14"/>
    <w:rsid w:val="5C9B7E70"/>
    <w:rsid w:val="5C9C430B"/>
    <w:rsid w:val="5C9CAB79"/>
    <w:rsid w:val="5C9CCF2F"/>
    <w:rsid w:val="5C9DC94C"/>
    <w:rsid w:val="5C9F6685"/>
    <w:rsid w:val="5CA042EB"/>
    <w:rsid w:val="5CA052E0"/>
    <w:rsid w:val="5CA4C105"/>
    <w:rsid w:val="5CA4D798"/>
    <w:rsid w:val="5CA523F5"/>
    <w:rsid w:val="5CA54341"/>
    <w:rsid w:val="5CA59C74"/>
    <w:rsid w:val="5CA645D6"/>
    <w:rsid w:val="5CA82972"/>
    <w:rsid w:val="5CA874DB"/>
    <w:rsid w:val="5CAB8FBD"/>
    <w:rsid w:val="5CAC70E7"/>
    <w:rsid w:val="5CAC9501"/>
    <w:rsid w:val="5CADC6FB"/>
    <w:rsid w:val="5CAE8BC6"/>
    <w:rsid w:val="5CB39256"/>
    <w:rsid w:val="5CB3DE98"/>
    <w:rsid w:val="5CB5285C"/>
    <w:rsid w:val="5CB53D31"/>
    <w:rsid w:val="5CB56F8F"/>
    <w:rsid w:val="5CB60C8D"/>
    <w:rsid w:val="5CB66AFA"/>
    <w:rsid w:val="5CB93496"/>
    <w:rsid w:val="5CB9869E"/>
    <w:rsid w:val="5CB9F5E6"/>
    <w:rsid w:val="5CBA6F17"/>
    <w:rsid w:val="5CBA8303"/>
    <w:rsid w:val="5CBB5E5A"/>
    <w:rsid w:val="5CBC4BD8"/>
    <w:rsid w:val="5CBD346D"/>
    <w:rsid w:val="5CBE7F6F"/>
    <w:rsid w:val="5CBF9A64"/>
    <w:rsid w:val="5CC01125"/>
    <w:rsid w:val="5CC068D9"/>
    <w:rsid w:val="5CC09421"/>
    <w:rsid w:val="5CC0A7FF"/>
    <w:rsid w:val="5CC20E60"/>
    <w:rsid w:val="5CC29810"/>
    <w:rsid w:val="5CC355EF"/>
    <w:rsid w:val="5CC394D9"/>
    <w:rsid w:val="5CC3C543"/>
    <w:rsid w:val="5CC3D7E0"/>
    <w:rsid w:val="5CC44F2A"/>
    <w:rsid w:val="5CC46B28"/>
    <w:rsid w:val="5CC51B3D"/>
    <w:rsid w:val="5CC60930"/>
    <w:rsid w:val="5CC62596"/>
    <w:rsid w:val="5CC72E2B"/>
    <w:rsid w:val="5CC7A3F1"/>
    <w:rsid w:val="5CC91F1E"/>
    <w:rsid w:val="5CC92147"/>
    <w:rsid w:val="5CC9992A"/>
    <w:rsid w:val="5CCA8457"/>
    <w:rsid w:val="5CCAB71B"/>
    <w:rsid w:val="5CCAF997"/>
    <w:rsid w:val="5CCC12F0"/>
    <w:rsid w:val="5CCC74A8"/>
    <w:rsid w:val="5CCE4686"/>
    <w:rsid w:val="5CCE6A65"/>
    <w:rsid w:val="5CCFCC8C"/>
    <w:rsid w:val="5CCFF712"/>
    <w:rsid w:val="5CD18139"/>
    <w:rsid w:val="5CD263DF"/>
    <w:rsid w:val="5CD2724C"/>
    <w:rsid w:val="5CD5D787"/>
    <w:rsid w:val="5CD6827B"/>
    <w:rsid w:val="5CD7E9DB"/>
    <w:rsid w:val="5CD8183E"/>
    <w:rsid w:val="5CD818A8"/>
    <w:rsid w:val="5CD8433E"/>
    <w:rsid w:val="5CDB02B4"/>
    <w:rsid w:val="5CDBAF2E"/>
    <w:rsid w:val="5CDBFCB1"/>
    <w:rsid w:val="5CDD253E"/>
    <w:rsid w:val="5CDF8123"/>
    <w:rsid w:val="5CDF8AEE"/>
    <w:rsid w:val="5CDF960D"/>
    <w:rsid w:val="5CE00576"/>
    <w:rsid w:val="5CE17DAB"/>
    <w:rsid w:val="5CE444B9"/>
    <w:rsid w:val="5CE49D61"/>
    <w:rsid w:val="5CE69853"/>
    <w:rsid w:val="5CE78834"/>
    <w:rsid w:val="5CE950DE"/>
    <w:rsid w:val="5CEB0D16"/>
    <w:rsid w:val="5CEB0E25"/>
    <w:rsid w:val="5CEC63E2"/>
    <w:rsid w:val="5CED735B"/>
    <w:rsid w:val="5CEF9FF7"/>
    <w:rsid w:val="5CF17F95"/>
    <w:rsid w:val="5CF2ED0C"/>
    <w:rsid w:val="5CF56046"/>
    <w:rsid w:val="5CF580A7"/>
    <w:rsid w:val="5CF89B9E"/>
    <w:rsid w:val="5CF8B62E"/>
    <w:rsid w:val="5CFA87CF"/>
    <w:rsid w:val="5CFAC501"/>
    <w:rsid w:val="5D01AE58"/>
    <w:rsid w:val="5D029D9B"/>
    <w:rsid w:val="5D039A55"/>
    <w:rsid w:val="5D081AA3"/>
    <w:rsid w:val="5D09B878"/>
    <w:rsid w:val="5D0A3301"/>
    <w:rsid w:val="5D0A55D3"/>
    <w:rsid w:val="5D0A6EE2"/>
    <w:rsid w:val="5D0A9DD1"/>
    <w:rsid w:val="5D0F98B0"/>
    <w:rsid w:val="5D10DB7C"/>
    <w:rsid w:val="5D112519"/>
    <w:rsid w:val="5D11782C"/>
    <w:rsid w:val="5D123865"/>
    <w:rsid w:val="5D1320A6"/>
    <w:rsid w:val="5D13D8D9"/>
    <w:rsid w:val="5D17B45A"/>
    <w:rsid w:val="5D17DF36"/>
    <w:rsid w:val="5D1848AB"/>
    <w:rsid w:val="5D18CF26"/>
    <w:rsid w:val="5D18ED5E"/>
    <w:rsid w:val="5D19A161"/>
    <w:rsid w:val="5D19C254"/>
    <w:rsid w:val="5D1A1965"/>
    <w:rsid w:val="5D1CF397"/>
    <w:rsid w:val="5D1D1CD0"/>
    <w:rsid w:val="5D1DFB07"/>
    <w:rsid w:val="5D1E3A1B"/>
    <w:rsid w:val="5D1F6554"/>
    <w:rsid w:val="5D1FDED1"/>
    <w:rsid w:val="5D21A4F6"/>
    <w:rsid w:val="5D262D4D"/>
    <w:rsid w:val="5D2676C1"/>
    <w:rsid w:val="5D279ADF"/>
    <w:rsid w:val="5D281ED2"/>
    <w:rsid w:val="5D287FCA"/>
    <w:rsid w:val="5D2885A6"/>
    <w:rsid w:val="5D29F0C1"/>
    <w:rsid w:val="5D2AFE4D"/>
    <w:rsid w:val="5D2BCB5E"/>
    <w:rsid w:val="5D2C0F8B"/>
    <w:rsid w:val="5D2D0881"/>
    <w:rsid w:val="5D2DE7E2"/>
    <w:rsid w:val="5D2F74B8"/>
    <w:rsid w:val="5D2F8C49"/>
    <w:rsid w:val="5D339AA9"/>
    <w:rsid w:val="5D361FC7"/>
    <w:rsid w:val="5D36441A"/>
    <w:rsid w:val="5D36FA84"/>
    <w:rsid w:val="5D37D63C"/>
    <w:rsid w:val="5D38247C"/>
    <w:rsid w:val="5D3877C1"/>
    <w:rsid w:val="5D38868A"/>
    <w:rsid w:val="5D38A605"/>
    <w:rsid w:val="5D396297"/>
    <w:rsid w:val="5D396531"/>
    <w:rsid w:val="5D3AA5B1"/>
    <w:rsid w:val="5D3BA029"/>
    <w:rsid w:val="5D3C2C3E"/>
    <w:rsid w:val="5D3C7576"/>
    <w:rsid w:val="5D3CA06C"/>
    <w:rsid w:val="5D3D8252"/>
    <w:rsid w:val="5D3D9D5F"/>
    <w:rsid w:val="5D40EF9C"/>
    <w:rsid w:val="5D419E79"/>
    <w:rsid w:val="5D427E27"/>
    <w:rsid w:val="5D439891"/>
    <w:rsid w:val="5D43BC22"/>
    <w:rsid w:val="5D447E08"/>
    <w:rsid w:val="5D45D10F"/>
    <w:rsid w:val="5D485E53"/>
    <w:rsid w:val="5D4872D3"/>
    <w:rsid w:val="5D48D90F"/>
    <w:rsid w:val="5D4A943D"/>
    <w:rsid w:val="5D5143FA"/>
    <w:rsid w:val="5D53E226"/>
    <w:rsid w:val="5D55087E"/>
    <w:rsid w:val="5D56772C"/>
    <w:rsid w:val="5D57550A"/>
    <w:rsid w:val="5D5B1ACE"/>
    <w:rsid w:val="5D5B2F3D"/>
    <w:rsid w:val="5D5B6CC1"/>
    <w:rsid w:val="5D5BAA1A"/>
    <w:rsid w:val="5D5C9B92"/>
    <w:rsid w:val="5D5CDE3C"/>
    <w:rsid w:val="5D5D94D1"/>
    <w:rsid w:val="5D5DE432"/>
    <w:rsid w:val="5D5E005C"/>
    <w:rsid w:val="5D5FB54A"/>
    <w:rsid w:val="5D60153D"/>
    <w:rsid w:val="5D614ABC"/>
    <w:rsid w:val="5D6480A4"/>
    <w:rsid w:val="5D693AAC"/>
    <w:rsid w:val="5D6A26C1"/>
    <w:rsid w:val="5D6B6DF3"/>
    <w:rsid w:val="5D6BE7D0"/>
    <w:rsid w:val="5D6BFDD0"/>
    <w:rsid w:val="5D6FA0A9"/>
    <w:rsid w:val="5D709C56"/>
    <w:rsid w:val="5D712AA7"/>
    <w:rsid w:val="5D725D45"/>
    <w:rsid w:val="5D726897"/>
    <w:rsid w:val="5D758985"/>
    <w:rsid w:val="5D761C02"/>
    <w:rsid w:val="5D77DA4A"/>
    <w:rsid w:val="5D77F4BD"/>
    <w:rsid w:val="5D7D1023"/>
    <w:rsid w:val="5D7D51EA"/>
    <w:rsid w:val="5D7FD896"/>
    <w:rsid w:val="5D8072BA"/>
    <w:rsid w:val="5D812750"/>
    <w:rsid w:val="5D812B5A"/>
    <w:rsid w:val="5D8224E3"/>
    <w:rsid w:val="5D85DB73"/>
    <w:rsid w:val="5D87FAFF"/>
    <w:rsid w:val="5D88B657"/>
    <w:rsid w:val="5D8A2D71"/>
    <w:rsid w:val="5D8A8B5C"/>
    <w:rsid w:val="5D8ADE11"/>
    <w:rsid w:val="5D8B6FEF"/>
    <w:rsid w:val="5D8C0C02"/>
    <w:rsid w:val="5D8E5463"/>
    <w:rsid w:val="5D8F053A"/>
    <w:rsid w:val="5D906E5F"/>
    <w:rsid w:val="5D912DB6"/>
    <w:rsid w:val="5D93178C"/>
    <w:rsid w:val="5D960C88"/>
    <w:rsid w:val="5D970DEA"/>
    <w:rsid w:val="5D9770AA"/>
    <w:rsid w:val="5D97E4A8"/>
    <w:rsid w:val="5D98B458"/>
    <w:rsid w:val="5D9A6643"/>
    <w:rsid w:val="5D9ABFC8"/>
    <w:rsid w:val="5D9AD080"/>
    <w:rsid w:val="5D9BF178"/>
    <w:rsid w:val="5D9C9F80"/>
    <w:rsid w:val="5D9DBFCF"/>
    <w:rsid w:val="5D9EB673"/>
    <w:rsid w:val="5D9EE9E1"/>
    <w:rsid w:val="5D9F698F"/>
    <w:rsid w:val="5DA0076D"/>
    <w:rsid w:val="5DA09B71"/>
    <w:rsid w:val="5DA191C1"/>
    <w:rsid w:val="5DA1D310"/>
    <w:rsid w:val="5DA33196"/>
    <w:rsid w:val="5DA409B1"/>
    <w:rsid w:val="5DA585FE"/>
    <w:rsid w:val="5DA5E044"/>
    <w:rsid w:val="5DA8932C"/>
    <w:rsid w:val="5DA8F4EF"/>
    <w:rsid w:val="5DAA93F2"/>
    <w:rsid w:val="5DAAF98E"/>
    <w:rsid w:val="5DAB599E"/>
    <w:rsid w:val="5DACCF97"/>
    <w:rsid w:val="5DADF877"/>
    <w:rsid w:val="5DAF4FB8"/>
    <w:rsid w:val="5DAF8310"/>
    <w:rsid w:val="5DAFAEB6"/>
    <w:rsid w:val="5DB16436"/>
    <w:rsid w:val="5DB18004"/>
    <w:rsid w:val="5DB4EEF3"/>
    <w:rsid w:val="5DB56A34"/>
    <w:rsid w:val="5DB5FA89"/>
    <w:rsid w:val="5DB71C72"/>
    <w:rsid w:val="5DB78227"/>
    <w:rsid w:val="5DB7B4FD"/>
    <w:rsid w:val="5DB86093"/>
    <w:rsid w:val="5DB8CC54"/>
    <w:rsid w:val="5DB903BB"/>
    <w:rsid w:val="5DBABA6D"/>
    <w:rsid w:val="5DBB0CF7"/>
    <w:rsid w:val="5DBB16F4"/>
    <w:rsid w:val="5DBCB9E0"/>
    <w:rsid w:val="5DBEBAD2"/>
    <w:rsid w:val="5DC00B74"/>
    <w:rsid w:val="5DC09B00"/>
    <w:rsid w:val="5DC0E81F"/>
    <w:rsid w:val="5DC13592"/>
    <w:rsid w:val="5DC388E8"/>
    <w:rsid w:val="5DC47B3B"/>
    <w:rsid w:val="5DC48916"/>
    <w:rsid w:val="5DC5476D"/>
    <w:rsid w:val="5DC6304E"/>
    <w:rsid w:val="5DC6F000"/>
    <w:rsid w:val="5DC79F7E"/>
    <w:rsid w:val="5DC8D049"/>
    <w:rsid w:val="5DC97214"/>
    <w:rsid w:val="5DC9AEFD"/>
    <w:rsid w:val="5DCA310C"/>
    <w:rsid w:val="5DCA352D"/>
    <w:rsid w:val="5DCA6147"/>
    <w:rsid w:val="5DCB15B9"/>
    <w:rsid w:val="5DCB1F00"/>
    <w:rsid w:val="5DCC7294"/>
    <w:rsid w:val="5DCCFF8E"/>
    <w:rsid w:val="5DCF2852"/>
    <w:rsid w:val="5DCF6C37"/>
    <w:rsid w:val="5DD076F1"/>
    <w:rsid w:val="5DD09F44"/>
    <w:rsid w:val="5DD16DF1"/>
    <w:rsid w:val="5DD5EFA4"/>
    <w:rsid w:val="5DD8666B"/>
    <w:rsid w:val="5DD940F4"/>
    <w:rsid w:val="5DD98F2D"/>
    <w:rsid w:val="5DD99416"/>
    <w:rsid w:val="5DD995E8"/>
    <w:rsid w:val="5DDA3445"/>
    <w:rsid w:val="5DDA5A63"/>
    <w:rsid w:val="5DDE9159"/>
    <w:rsid w:val="5DDF645D"/>
    <w:rsid w:val="5DDF9969"/>
    <w:rsid w:val="5DE1FB5F"/>
    <w:rsid w:val="5DE27C2A"/>
    <w:rsid w:val="5DE2E922"/>
    <w:rsid w:val="5DE322DF"/>
    <w:rsid w:val="5DE43D74"/>
    <w:rsid w:val="5DE44FED"/>
    <w:rsid w:val="5DE6419F"/>
    <w:rsid w:val="5DE6B0A3"/>
    <w:rsid w:val="5DE6D6B7"/>
    <w:rsid w:val="5DE6F023"/>
    <w:rsid w:val="5DE7F37D"/>
    <w:rsid w:val="5DE867F2"/>
    <w:rsid w:val="5DE8F45E"/>
    <w:rsid w:val="5DE9FAB5"/>
    <w:rsid w:val="5DEA92A3"/>
    <w:rsid w:val="5DECAEA1"/>
    <w:rsid w:val="5DEF5BDB"/>
    <w:rsid w:val="5DF116C6"/>
    <w:rsid w:val="5DF204D1"/>
    <w:rsid w:val="5DF262B8"/>
    <w:rsid w:val="5DF31BC2"/>
    <w:rsid w:val="5DF49F38"/>
    <w:rsid w:val="5DF609B5"/>
    <w:rsid w:val="5DF67749"/>
    <w:rsid w:val="5DF6C0D1"/>
    <w:rsid w:val="5DF7AB27"/>
    <w:rsid w:val="5DF7C02E"/>
    <w:rsid w:val="5DF9D240"/>
    <w:rsid w:val="5DFA1086"/>
    <w:rsid w:val="5DFAC538"/>
    <w:rsid w:val="5DFAD669"/>
    <w:rsid w:val="5DFB01F1"/>
    <w:rsid w:val="5DFB5B8C"/>
    <w:rsid w:val="5DFBB6F4"/>
    <w:rsid w:val="5DFC3DA1"/>
    <w:rsid w:val="5DFD709A"/>
    <w:rsid w:val="5DFDD48B"/>
    <w:rsid w:val="5DFE5DB4"/>
    <w:rsid w:val="5DFE8015"/>
    <w:rsid w:val="5DFF4F0F"/>
    <w:rsid w:val="5E00485E"/>
    <w:rsid w:val="5E00DC41"/>
    <w:rsid w:val="5E02B35C"/>
    <w:rsid w:val="5E0391F5"/>
    <w:rsid w:val="5E03C103"/>
    <w:rsid w:val="5E046A30"/>
    <w:rsid w:val="5E04B7F8"/>
    <w:rsid w:val="5E04E5DD"/>
    <w:rsid w:val="5E051FC8"/>
    <w:rsid w:val="5E0682AA"/>
    <w:rsid w:val="5E07171D"/>
    <w:rsid w:val="5E080546"/>
    <w:rsid w:val="5E09829B"/>
    <w:rsid w:val="5E0A8269"/>
    <w:rsid w:val="5E0C9004"/>
    <w:rsid w:val="5E0E1263"/>
    <w:rsid w:val="5E10618C"/>
    <w:rsid w:val="5E1176CE"/>
    <w:rsid w:val="5E121E70"/>
    <w:rsid w:val="5E1279AB"/>
    <w:rsid w:val="5E1293F5"/>
    <w:rsid w:val="5E132AD0"/>
    <w:rsid w:val="5E13C87F"/>
    <w:rsid w:val="5E15CD6D"/>
    <w:rsid w:val="5E1659DD"/>
    <w:rsid w:val="5E16F017"/>
    <w:rsid w:val="5E181799"/>
    <w:rsid w:val="5E1883A0"/>
    <w:rsid w:val="5E18AC73"/>
    <w:rsid w:val="5E1952E3"/>
    <w:rsid w:val="5E1C4065"/>
    <w:rsid w:val="5E1C57A6"/>
    <w:rsid w:val="5E1C5BBF"/>
    <w:rsid w:val="5E1CA674"/>
    <w:rsid w:val="5E1F7BEC"/>
    <w:rsid w:val="5E1F9B47"/>
    <w:rsid w:val="5E20DE0E"/>
    <w:rsid w:val="5E20E738"/>
    <w:rsid w:val="5E212DA8"/>
    <w:rsid w:val="5E21F991"/>
    <w:rsid w:val="5E229D31"/>
    <w:rsid w:val="5E23A95A"/>
    <w:rsid w:val="5E24006E"/>
    <w:rsid w:val="5E25FBE9"/>
    <w:rsid w:val="5E26457F"/>
    <w:rsid w:val="5E267F04"/>
    <w:rsid w:val="5E2B8264"/>
    <w:rsid w:val="5E2D75C0"/>
    <w:rsid w:val="5E2DABF8"/>
    <w:rsid w:val="5E2E1864"/>
    <w:rsid w:val="5E306291"/>
    <w:rsid w:val="5E30CFBB"/>
    <w:rsid w:val="5E313199"/>
    <w:rsid w:val="5E3151D5"/>
    <w:rsid w:val="5E315D0F"/>
    <w:rsid w:val="5E32A79F"/>
    <w:rsid w:val="5E35F03F"/>
    <w:rsid w:val="5E375C81"/>
    <w:rsid w:val="5E37A0E4"/>
    <w:rsid w:val="5E3A197E"/>
    <w:rsid w:val="5E3C2956"/>
    <w:rsid w:val="5E3EA05F"/>
    <w:rsid w:val="5E3EF0E4"/>
    <w:rsid w:val="5E3F4225"/>
    <w:rsid w:val="5E404729"/>
    <w:rsid w:val="5E40967D"/>
    <w:rsid w:val="5E41CCAA"/>
    <w:rsid w:val="5E42F35C"/>
    <w:rsid w:val="5E43295D"/>
    <w:rsid w:val="5E445BC4"/>
    <w:rsid w:val="5E450B27"/>
    <w:rsid w:val="5E46D147"/>
    <w:rsid w:val="5E4826BD"/>
    <w:rsid w:val="5E484FD6"/>
    <w:rsid w:val="5E4899C2"/>
    <w:rsid w:val="5E496BEC"/>
    <w:rsid w:val="5E4AA254"/>
    <w:rsid w:val="5E4B508C"/>
    <w:rsid w:val="5E4DB6D0"/>
    <w:rsid w:val="5E4E2532"/>
    <w:rsid w:val="5E4F5AA3"/>
    <w:rsid w:val="5E51475A"/>
    <w:rsid w:val="5E52130F"/>
    <w:rsid w:val="5E554EBE"/>
    <w:rsid w:val="5E560CA5"/>
    <w:rsid w:val="5E56524B"/>
    <w:rsid w:val="5E58DEB2"/>
    <w:rsid w:val="5E59FBD7"/>
    <w:rsid w:val="5E5C4DDB"/>
    <w:rsid w:val="5E5C5944"/>
    <w:rsid w:val="5E5CEEB3"/>
    <w:rsid w:val="5E5FB93A"/>
    <w:rsid w:val="5E5FE472"/>
    <w:rsid w:val="5E60108C"/>
    <w:rsid w:val="5E61C348"/>
    <w:rsid w:val="5E61FFE2"/>
    <w:rsid w:val="5E629930"/>
    <w:rsid w:val="5E62E84B"/>
    <w:rsid w:val="5E63FCCA"/>
    <w:rsid w:val="5E651733"/>
    <w:rsid w:val="5E662B01"/>
    <w:rsid w:val="5E671BE9"/>
    <w:rsid w:val="5E68347B"/>
    <w:rsid w:val="5E6ABDDC"/>
    <w:rsid w:val="5E6CF8AE"/>
    <w:rsid w:val="5E6DAE25"/>
    <w:rsid w:val="5E6F7A7B"/>
    <w:rsid w:val="5E6F973A"/>
    <w:rsid w:val="5E6FC61B"/>
    <w:rsid w:val="5E70268C"/>
    <w:rsid w:val="5E7089B1"/>
    <w:rsid w:val="5E71128B"/>
    <w:rsid w:val="5E7266A5"/>
    <w:rsid w:val="5E72E8CD"/>
    <w:rsid w:val="5E7362D6"/>
    <w:rsid w:val="5E73774C"/>
    <w:rsid w:val="5E746193"/>
    <w:rsid w:val="5E74A84B"/>
    <w:rsid w:val="5E74CF33"/>
    <w:rsid w:val="5E761AA7"/>
    <w:rsid w:val="5E761FE8"/>
    <w:rsid w:val="5E764134"/>
    <w:rsid w:val="5E7721E0"/>
    <w:rsid w:val="5E788526"/>
    <w:rsid w:val="5E7893E8"/>
    <w:rsid w:val="5E79017C"/>
    <w:rsid w:val="5E7925DE"/>
    <w:rsid w:val="5E7A767B"/>
    <w:rsid w:val="5E7AA314"/>
    <w:rsid w:val="5E7B7BB7"/>
    <w:rsid w:val="5E7BCE46"/>
    <w:rsid w:val="5E7BD5D7"/>
    <w:rsid w:val="5E7C296B"/>
    <w:rsid w:val="5E7FA5C2"/>
    <w:rsid w:val="5E7FBA7A"/>
    <w:rsid w:val="5E7FF81D"/>
    <w:rsid w:val="5E82A26C"/>
    <w:rsid w:val="5E830A2F"/>
    <w:rsid w:val="5E841E2C"/>
    <w:rsid w:val="5E85BE47"/>
    <w:rsid w:val="5E86F717"/>
    <w:rsid w:val="5E875531"/>
    <w:rsid w:val="5E8759CA"/>
    <w:rsid w:val="5E878839"/>
    <w:rsid w:val="5E88121E"/>
    <w:rsid w:val="5E882A4F"/>
    <w:rsid w:val="5E88EDBF"/>
    <w:rsid w:val="5E891961"/>
    <w:rsid w:val="5E897F33"/>
    <w:rsid w:val="5E89E531"/>
    <w:rsid w:val="5E8D4F3E"/>
    <w:rsid w:val="5E8E52C7"/>
    <w:rsid w:val="5E8F7839"/>
    <w:rsid w:val="5E904C59"/>
    <w:rsid w:val="5E928294"/>
    <w:rsid w:val="5E956B86"/>
    <w:rsid w:val="5E95C4DA"/>
    <w:rsid w:val="5E961A14"/>
    <w:rsid w:val="5E96D930"/>
    <w:rsid w:val="5E971B44"/>
    <w:rsid w:val="5E978382"/>
    <w:rsid w:val="5E984B1C"/>
    <w:rsid w:val="5E99034B"/>
    <w:rsid w:val="5E99C01D"/>
    <w:rsid w:val="5E9A9A4A"/>
    <w:rsid w:val="5E9B9269"/>
    <w:rsid w:val="5E9C2879"/>
    <w:rsid w:val="5E9D42E0"/>
    <w:rsid w:val="5E9EB3CA"/>
    <w:rsid w:val="5E9ECB88"/>
    <w:rsid w:val="5E9F3667"/>
    <w:rsid w:val="5EA03745"/>
    <w:rsid w:val="5EA0D796"/>
    <w:rsid w:val="5EA2E3E6"/>
    <w:rsid w:val="5EA420C6"/>
    <w:rsid w:val="5EA5BFC9"/>
    <w:rsid w:val="5EA69442"/>
    <w:rsid w:val="5EA69A01"/>
    <w:rsid w:val="5EA6F18F"/>
    <w:rsid w:val="5EA738C2"/>
    <w:rsid w:val="5EA95367"/>
    <w:rsid w:val="5EA9781F"/>
    <w:rsid w:val="5EAAD4E5"/>
    <w:rsid w:val="5EAAD59E"/>
    <w:rsid w:val="5EABA53C"/>
    <w:rsid w:val="5EAD2C7A"/>
    <w:rsid w:val="5EAE3C6D"/>
    <w:rsid w:val="5EAF0BD5"/>
    <w:rsid w:val="5EB00994"/>
    <w:rsid w:val="5EB05537"/>
    <w:rsid w:val="5EB0BADB"/>
    <w:rsid w:val="5EB0CEE1"/>
    <w:rsid w:val="5EB11D0F"/>
    <w:rsid w:val="5EB16FAA"/>
    <w:rsid w:val="5EB3379F"/>
    <w:rsid w:val="5EB3C68D"/>
    <w:rsid w:val="5EB3CE67"/>
    <w:rsid w:val="5EB4D518"/>
    <w:rsid w:val="5EB604DC"/>
    <w:rsid w:val="5EB61C8D"/>
    <w:rsid w:val="5EB7AF09"/>
    <w:rsid w:val="5EB8875B"/>
    <w:rsid w:val="5EB98AD2"/>
    <w:rsid w:val="5EBA2BB6"/>
    <w:rsid w:val="5EBC0DE7"/>
    <w:rsid w:val="5EBC18FC"/>
    <w:rsid w:val="5EBC6DE8"/>
    <w:rsid w:val="5EBC79BF"/>
    <w:rsid w:val="5EBCEF17"/>
    <w:rsid w:val="5EBDBCD1"/>
    <w:rsid w:val="5EBEF415"/>
    <w:rsid w:val="5EBFBDBB"/>
    <w:rsid w:val="5EBFE017"/>
    <w:rsid w:val="5EBFFB54"/>
    <w:rsid w:val="5EC00755"/>
    <w:rsid w:val="5EC0FC88"/>
    <w:rsid w:val="5EC15AF4"/>
    <w:rsid w:val="5EC1CDAE"/>
    <w:rsid w:val="5EC2E19C"/>
    <w:rsid w:val="5EC380C0"/>
    <w:rsid w:val="5EC4BC47"/>
    <w:rsid w:val="5EC5000C"/>
    <w:rsid w:val="5EC7542B"/>
    <w:rsid w:val="5EC8BC24"/>
    <w:rsid w:val="5EC966F4"/>
    <w:rsid w:val="5ECA5CB1"/>
    <w:rsid w:val="5ECAB260"/>
    <w:rsid w:val="5ECAD7A6"/>
    <w:rsid w:val="5ECB4BDE"/>
    <w:rsid w:val="5ECCDE3E"/>
    <w:rsid w:val="5ECD18A9"/>
    <w:rsid w:val="5ED0949F"/>
    <w:rsid w:val="5ED11892"/>
    <w:rsid w:val="5ED216A2"/>
    <w:rsid w:val="5ED4BE82"/>
    <w:rsid w:val="5ED4CF1E"/>
    <w:rsid w:val="5ED5B5E6"/>
    <w:rsid w:val="5ED62719"/>
    <w:rsid w:val="5ED741FE"/>
    <w:rsid w:val="5ED8011B"/>
    <w:rsid w:val="5ED85A16"/>
    <w:rsid w:val="5ED98FF6"/>
    <w:rsid w:val="5EDC087B"/>
    <w:rsid w:val="5EDC5A3F"/>
    <w:rsid w:val="5EDCCE77"/>
    <w:rsid w:val="5EDE9CFC"/>
    <w:rsid w:val="5EDF6BC6"/>
    <w:rsid w:val="5EDFF9A7"/>
    <w:rsid w:val="5EE0F07D"/>
    <w:rsid w:val="5EE26628"/>
    <w:rsid w:val="5EE28BAB"/>
    <w:rsid w:val="5EE2927E"/>
    <w:rsid w:val="5EE336EF"/>
    <w:rsid w:val="5EE390F0"/>
    <w:rsid w:val="5EE4064C"/>
    <w:rsid w:val="5EE49633"/>
    <w:rsid w:val="5EE4D0C6"/>
    <w:rsid w:val="5EE51FD3"/>
    <w:rsid w:val="5EE5D3D8"/>
    <w:rsid w:val="5EE5D3E6"/>
    <w:rsid w:val="5EE865FD"/>
    <w:rsid w:val="5EE9603B"/>
    <w:rsid w:val="5EEA03FC"/>
    <w:rsid w:val="5EEB855F"/>
    <w:rsid w:val="5EEDAE4B"/>
    <w:rsid w:val="5EEFC4A9"/>
    <w:rsid w:val="5EF220B0"/>
    <w:rsid w:val="5EF32DFC"/>
    <w:rsid w:val="5EF37694"/>
    <w:rsid w:val="5EF3A720"/>
    <w:rsid w:val="5EF4C76C"/>
    <w:rsid w:val="5EF615FC"/>
    <w:rsid w:val="5EF8B5A6"/>
    <w:rsid w:val="5EF8CE00"/>
    <w:rsid w:val="5EF948E7"/>
    <w:rsid w:val="5EF95FB8"/>
    <w:rsid w:val="5EF9D62C"/>
    <w:rsid w:val="5EFA2AB9"/>
    <w:rsid w:val="5EFA3318"/>
    <w:rsid w:val="5EFA50C7"/>
    <w:rsid w:val="5EFA8169"/>
    <w:rsid w:val="5EFAEF9A"/>
    <w:rsid w:val="5EFCE642"/>
    <w:rsid w:val="5EFD115A"/>
    <w:rsid w:val="5EFDF4F8"/>
    <w:rsid w:val="5EFF36C9"/>
    <w:rsid w:val="5EFF4A88"/>
    <w:rsid w:val="5EFF6201"/>
    <w:rsid w:val="5EFF8444"/>
    <w:rsid w:val="5EFFCEBB"/>
    <w:rsid w:val="5EFFE4DF"/>
    <w:rsid w:val="5F0296B1"/>
    <w:rsid w:val="5F0462C5"/>
    <w:rsid w:val="5F061792"/>
    <w:rsid w:val="5F066B98"/>
    <w:rsid w:val="5F08E07B"/>
    <w:rsid w:val="5F0B4261"/>
    <w:rsid w:val="5F0B5DF3"/>
    <w:rsid w:val="5F0B7A38"/>
    <w:rsid w:val="5F0C8E4F"/>
    <w:rsid w:val="5F0C96C3"/>
    <w:rsid w:val="5F0D96B0"/>
    <w:rsid w:val="5F0E17F4"/>
    <w:rsid w:val="5F1158ED"/>
    <w:rsid w:val="5F11D6B9"/>
    <w:rsid w:val="5F126D20"/>
    <w:rsid w:val="5F128839"/>
    <w:rsid w:val="5F14A1ED"/>
    <w:rsid w:val="5F1606AB"/>
    <w:rsid w:val="5F167C6F"/>
    <w:rsid w:val="5F17B4B2"/>
    <w:rsid w:val="5F17D1D6"/>
    <w:rsid w:val="5F17E14E"/>
    <w:rsid w:val="5F18192A"/>
    <w:rsid w:val="5F182A38"/>
    <w:rsid w:val="5F1869EC"/>
    <w:rsid w:val="5F19D5CB"/>
    <w:rsid w:val="5F1A29D8"/>
    <w:rsid w:val="5F1A3158"/>
    <w:rsid w:val="5F1B294D"/>
    <w:rsid w:val="5F1C2271"/>
    <w:rsid w:val="5F1C51FC"/>
    <w:rsid w:val="5F1C6357"/>
    <w:rsid w:val="5F1CA0F4"/>
    <w:rsid w:val="5F1D98F5"/>
    <w:rsid w:val="5F1E49FA"/>
    <w:rsid w:val="5F1E9375"/>
    <w:rsid w:val="5F21568D"/>
    <w:rsid w:val="5F229B85"/>
    <w:rsid w:val="5F23FBE1"/>
    <w:rsid w:val="5F24D7CF"/>
    <w:rsid w:val="5F251782"/>
    <w:rsid w:val="5F25415C"/>
    <w:rsid w:val="5F257E55"/>
    <w:rsid w:val="5F25DA05"/>
    <w:rsid w:val="5F284637"/>
    <w:rsid w:val="5F2882F9"/>
    <w:rsid w:val="5F28D7BC"/>
    <w:rsid w:val="5F2939E7"/>
    <w:rsid w:val="5F293B26"/>
    <w:rsid w:val="5F2A6879"/>
    <w:rsid w:val="5F2C9849"/>
    <w:rsid w:val="5F2CCCC7"/>
    <w:rsid w:val="5F2CD9F3"/>
    <w:rsid w:val="5F2D174A"/>
    <w:rsid w:val="5F2F1CD8"/>
    <w:rsid w:val="5F2F74A3"/>
    <w:rsid w:val="5F2F7D03"/>
    <w:rsid w:val="5F30C228"/>
    <w:rsid w:val="5F328D9F"/>
    <w:rsid w:val="5F335F80"/>
    <w:rsid w:val="5F337948"/>
    <w:rsid w:val="5F35C5B9"/>
    <w:rsid w:val="5F36878B"/>
    <w:rsid w:val="5F36E0C4"/>
    <w:rsid w:val="5F3712B2"/>
    <w:rsid w:val="5F3714E1"/>
    <w:rsid w:val="5F374721"/>
    <w:rsid w:val="5F381FBD"/>
    <w:rsid w:val="5F38D339"/>
    <w:rsid w:val="5F38EC93"/>
    <w:rsid w:val="5F397562"/>
    <w:rsid w:val="5F39FAE8"/>
    <w:rsid w:val="5F3AF1F1"/>
    <w:rsid w:val="5F3B5E65"/>
    <w:rsid w:val="5F3B7A2E"/>
    <w:rsid w:val="5F3CD0A2"/>
    <w:rsid w:val="5F3CE5A3"/>
    <w:rsid w:val="5F3D764D"/>
    <w:rsid w:val="5F3E619A"/>
    <w:rsid w:val="5F3E869A"/>
    <w:rsid w:val="5F40BC49"/>
    <w:rsid w:val="5F41D673"/>
    <w:rsid w:val="5F42B952"/>
    <w:rsid w:val="5F439876"/>
    <w:rsid w:val="5F460CCB"/>
    <w:rsid w:val="5F46BC09"/>
    <w:rsid w:val="5F472A56"/>
    <w:rsid w:val="5F479941"/>
    <w:rsid w:val="5F49CE50"/>
    <w:rsid w:val="5F4CE079"/>
    <w:rsid w:val="5F4F92FE"/>
    <w:rsid w:val="5F516904"/>
    <w:rsid w:val="5F52F8AD"/>
    <w:rsid w:val="5F539EA3"/>
    <w:rsid w:val="5F53F1FD"/>
    <w:rsid w:val="5F543C72"/>
    <w:rsid w:val="5F550BB8"/>
    <w:rsid w:val="5F554426"/>
    <w:rsid w:val="5F55FD00"/>
    <w:rsid w:val="5F5630B1"/>
    <w:rsid w:val="5F575018"/>
    <w:rsid w:val="5F592181"/>
    <w:rsid w:val="5F5A3B4D"/>
    <w:rsid w:val="5F5BD157"/>
    <w:rsid w:val="5F5BF617"/>
    <w:rsid w:val="5F5D1C5F"/>
    <w:rsid w:val="5F5E1D9A"/>
    <w:rsid w:val="5F5EAB3E"/>
    <w:rsid w:val="5F61C075"/>
    <w:rsid w:val="5F61EF93"/>
    <w:rsid w:val="5F632420"/>
    <w:rsid w:val="5F633C24"/>
    <w:rsid w:val="5F65002C"/>
    <w:rsid w:val="5F6671DE"/>
    <w:rsid w:val="5F66D94D"/>
    <w:rsid w:val="5F68C373"/>
    <w:rsid w:val="5F6A0CD4"/>
    <w:rsid w:val="5F6ABCC5"/>
    <w:rsid w:val="5F6C1DBA"/>
    <w:rsid w:val="5F6C4B10"/>
    <w:rsid w:val="5F6D6C6A"/>
    <w:rsid w:val="5F6F1D85"/>
    <w:rsid w:val="5F70F46C"/>
    <w:rsid w:val="5F716E00"/>
    <w:rsid w:val="5F717462"/>
    <w:rsid w:val="5F72E795"/>
    <w:rsid w:val="5F73F4AD"/>
    <w:rsid w:val="5F74124B"/>
    <w:rsid w:val="5F74317D"/>
    <w:rsid w:val="5F75EF79"/>
    <w:rsid w:val="5F770E42"/>
    <w:rsid w:val="5F78EC88"/>
    <w:rsid w:val="5F7A5743"/>
    <w:rsid w:val="5F7A7EDF"/>
    <w:rsid w:val="5F7AD197"/>
    <w:rsid w:val="5F7B0275"/>
    <w:rsid w:val="5F7CB155"/>
    <w:rsid w:val="5F7EE90F"/>
    <w:rsid w:val="5F812C6B"/>
    <w:rsid w:val="5F83C944"/>
    <w:rsid w:val="5F8402D0"/>
    <w:rsid w:val="5F85CB93"/>
    <w:rsid w:val="5F883F78"/>
    <w:rsid w:val="5F88AD04"/>
    <w:rsid w:val="5F8AB9FC"/>
    <w:rsid w:val="5F8BB6AF"/>
    <w:rsid w:val="5F8BB801"/>
    <w:rsid w:val="5F8D3B9F"/>
    <w:rsid w:val="5F8D59DA"/>
    <w:rsid w:val="5F8FA946"/>
    <w:rsid w:val="5F90144F"/>
    <w:rsid w:val="5F9147E6"/>
    <w:rsid w:val="5F91AE43"/>
    <w:rsid w:val="5F92A3DE"/>
    <w:rsid w:val="5F95A5B0"/>
    <w:rsid w:val="5F96A4E8"/>
    <w:rsid w:val="5F96D79E"/>
    <w:rsid w:val="5F97D762"/>
    <w:rsid w:val="5F97E4D5"/>
    <w:rsid w:val="5F982502"/>
    <w:rsid w:val="5F9875BC"/>
    <w:rsid w:val="5F995BCF"/>
    <w:rsid w:val="5F9C25AE"/>
    <w:rsid w:val="5F9C337D"/>
    <w:rsid w:val="5F9C450F"/>
    <w:rsid w:val="5F9C5A51"/>
    <w:rsid w:val="5F9E57AA"/>
    <w:rsid w:val="5F9EEFEA"/>
    <w:rsid w:val="5F9FDD87"/>
    <w:rsid w:val="5FA09705"/>
    <w:rsid w:val="5FA23AA2"/>
    <w:rsid w:val="5FA24ED2"/>
    <w:rsid w:val="5FA284D9"/>
    <w:rsid w:val="5FA3C6BD"/>
    <w:rsid w:val="5FA3DCD3"/>
    <w:rsid w:val="5FA53599"/>
    <w:rsid w:val="5FA66A88"/>
    <w:rsid w:val="5FA71520"/>
    <w:rsid w:val="5FA82ED6"/>
    <w:rsid w:val="5FA95261"/>
    <w:rsid w:val="5FA97A60"/>
    <w:rsid w:val="5FAA677F"/>
    <w:rsid w:val="5FAA7FD6"/>
    <w:rsid w:val="5FAB41C0"/>
    <w:rsid w:val="5FAE8964"/>
    <w:rsid w:val="5FAFFF5F"/>
    <w:rsid w:val="5FB00AE1"/>
    <w:rsid w:val="5FB1A113"/>
    <w:rsid w:val="5FB277DD"/>
    <w:rsid w:val="5FB2A822"/>
    <w:rsid w:val="5FB31E7D"/>
    <w:rsid w:val="5FB3FB7C"/>
    <w:rsid w:val="5FB707F4"/>
    <w:rsid w:val="5FB79905"/>
    <w:rsid w:val="5FB7F2C3"/>
    <w:rsid w:val="5FB827ED"/>
    <w:rsid w:val="5FB85878"/>
    <w:rsid w:val="5FB8AC8C"/>
    <w:rsid w:val="5FB9607F"/>
    <w:rsid w:val="5FBA98E5"/>
    <w:rsid w:val="5FBBF508"/>
    <w:rsid w:val="5FBC87E8"/>
    <w:rsid w:val="5FBCCFDE"/>
    <w:rsid w:val="5FBEBAD1"/>
    <w:rsid w:val="5FBFB21A"/>
    <w:rsid w:val="5FC027EC"/>
    <w:rsid w:val="5FC0581E"/>
    <w:rsid w:val="5FC0C0DB"/>
    <w:rsid w:val="5FC12EE1"/>
    <w:rsid w:val="5FC29B15"/>
    <w:rsid w:val="5FC2E30A"/>
    <w:rsid w:val="5FC39962"/>
    <w:rsid w:val="5FC44464"/>
    <w:rsid w:val="5FC73FCF"/>
    <w:rsid w:val="5FC8183A"/>
    <w:rsid w:val="5FC82EAB"/>
    <w:rsid w:val="5FCD38A3"/>
    <w:rsid w:val="5FCDAFC9"/>
    <w:rsid w:val="5FCDBCEE"/>
    <w:rsid w:val="5FD00DFA"/>
    <w:rsid w:val="5FD349BF"/>
    <w:rsid w:val="5FD37B22"/>
    <w:rsid w:val="5FD3E765"/>
    <w:rsid w:val="5FD44A4A"/>
    <w:rsid w:val="5FD640FF"/>
    <w:rsid w:val="5FD7A750"/>
    <w:rsid w:val="5FD8626C"/>
    <w:rsid w:val="5FDC3B03"/>
    <w:rsid w:val="5FDD3117"/>
    <w:rsid w:val="5FDD896A"/>
    <w:rsid w:val="5FDEBC9E"/>
    <w:rsid w:val="5FDEC4D7"/>
    <w:rsid w:val="5FE24350"/>
    <w:rsid w:val="5FE244F0"/>
    <w:rsid w:val="5FE28F81"/>
    <w:rsid w:val="5FE29ACD"/>
    <w:rsid w:val="5FE370DA"/>
    <w:rsid w:val="5FE3ADDE"/>
    <w:rsid w:val="5FE3E4F0"/>
    <w:rsid w:val="5FE4FD87"/>
    <w:rsid w:val="5FE54A7C"/>
    <w:rsid w:val="5FE7ACCF"/>
    <w:rsid w:val="5FE7B132"/>
    <w:rsid w:val="5FE92DDD"/>
    <w:rsid w:val="5FEA993B"/>
    <w:rsid w:val="5FEB5A98"/>
    <w:rsid w:val="5FEC6571"/>
    <w:rsid w:val="5FECD0E0"/>
    <w:rsid w:val="5FECE160"/>
    <w:rsid w:val="5FED506F"/>
    <w:rsid w:val="5FEDBFE2"/>
    <w:rsid w:val="5FF0B390"/>
    <w:rsid w:val="5FF27E21"/>
    <w:rsid w:val="5FF63B1D"/>
    <w:rsid w:val="5FF827BA"/>
    <w:rsid w:val="5FF85D6F"/>
    <w:rsid w:val="5FF87F29"/>
    <w:rsid w:val="5FF99501"/>
    <w:rsid w:val="5FFA3B3B"/>
    <w:rsid w:val="5FFAD81A"/>
    <w:rsid w:val="5FFB087A"/>
    <w:rsid w:val="5FFB1D0D"/>
    <w:rsid w:val="5FFB9803"/>
    <w:rsid w:val="5FFC95AE"/>
    <w:rsid w:val="5FFDC174"/>
    <w:rsid w:val="5FFE4E6E"/>
    <w:rsid w:val="6000F699"/>
    <w:rsid w:val="6002092B"/>
    <w:rsid w:val="6003156E"/>
    <w:rsid w:val="6005C44E"/>
    <w:rsid w:val="6005F4B6"/>
    <w:rsid w:val="60067A85"/>
    <w:rsid w:val="6006DA03"/>
    <w:rsid w:val="600740C3"/>
    <w:rsid w:val="60074561"/>
    <w:rsid w:val="6007792F"/>
    <w:rsid w:val="6007DD76"/>
    <w:rsid w:val="60083DE2"/>
    <w:rsid w:val="6008B6C9"/>
    <w:rsid w:val="600AA8A2"/>
    <w:rsid w:val="600B820A"/>
    <w:rsid w:val="600C55E7"/>
    <w:rsid w:val="600E81C4"/>
    <w:rsid w:val="600E855A"/>
    <w:rsid w:val="60102E1D"/>
    <w:rsid w:val="60109AEB"/>
    <w:rsid w:val="60125E26"/>
    <w:rsid w:val="60134554"/>
    <w:rsid w:val="6017E9C9"/>
    <w:rsid w:val="60189497"/>
    <w:rsid w:val="6018A55B"/>
    <w:rsid w:val="601917D6"/>
    <w:rsid w:val="601995CF"/>
    <w:rsid w:val="601A9A27"/>
    <w:rsid w:val="601ADFCA"/>
    <w:rsid w:val="601BB62D"/>
    <w:rsid w:val="601CEF73"/>
    <w:rsid w:val="601E8EA3"/>
    <w:rsid w:val="601E8FD5"/>
    <w:rsid w:val="601EB1A1"/>
    <w:rsid w:val="601F5938"/>
    <w:rsid w:val="6021D931"/>
    <w:rsid w:val="60223DCC"/>
    <w:rsid w:val="602402AB"/>
    <w:rsid w:val="602459C0"/>
    <w:rsid w:val="60261378"/>
    <w:rsid w:val="60265E29"/>
    <w:rsid w:val="60270ACA"/>
    <w:rsid w:val="602910EA"/>
    <w:rsid w:val="602931B1"/>
    <w:rsid w:val="602A0B62"/>
    <w:rsid w:val="602A357A"/>
    <w:rsid w:val="602B348A"/>
    <w:rsid w:val="602C03F9"/>
    <w:rsid w:val="602D5FD6"/>
    <w:rsid w:val="602E1A06"/>
    <w:rsid w:val="602E7534"/>
    <w:rsid w:val="602E7697"/>
    <w:rsid w:val="602E98BA"/>
    <w:rsid w:val="602F3223"/>
    <w:rsid w:val="602FB162"/>
    <w:rsid w:val="60301A29"/>
    <w:rsid w:val="60303968"/>
    <w:rsid w:val="6030DA73"/>
    <w:rsid w:val="6031EF4A"/>
    <w:rsid w:val="6032ADA4"/>
    <w:rsid w:val="6032DDC6"/>
    <w:rsid w:val="6033D4BD"/>
    <w:rsid w:val="60350388"/>
    <w:rsid w:val="60350DD8"/>
    <w:rsid w:val="6035698D"/>
    <w:rsid w:val="6035BE65"/>
    <w:rsid w:val="60363A44"/>
    <w:rsid w:val="6036FBD8"/>
    <w:rsid w:val="6037A820"/>
    <w:rsid w:val="60395B47"/>
    <w:rsid w:val="603967D6"/>
    <w:rsid w:val="603A899C"/>
    <w:rsid w:val="603C6E76"/>
    <w:rsid w:val="603DEE62"/>
    <w:rsid w:val="603E4544"/>
    <w:rsid w:val="603EC9E7"/>
    <w:rsid w:val="6040D5D9"/>
    <w:rsid w:val="604499A6"/>
    <w:rsid w:val="6046E1D3"/>
    <w:rsid w:val="604858AA"/>
    <w:rsid w:val="6048DAC5"/>
    <w:rsid w:val="6049FB16"/>
    <w:rsid w:val="604C709A"/>
    <w:rsid w:val="604DED2A"/>
    <w:rsid w:val="604E922D"/>
    <w:rsid w:val="604F2774"/>
    <w:rsid w:val="60504D97"/>
    <w:rsid w:val="60519709"/>
    <w:rsid w:val="6053FC7E"/>
    <w:rsid w:val="6054780B"/>
    <w:rsid w:val="6057445A"/>
    <w:rsid w:val="605A7B3D"/>
    <w:rsid w:val="605B2EA2"/>
    <w:rsid w:val="605BE5AA"/>
    <w:rsid w:val="605C6EE8"/>
    <w:rsid w:val="605CD6D7"/>
    <w:rsid w:val="605D2A50"/>
    <w:rsid w:val="605E9198"/>
    <w:rsid w:val="605F93D4"/>
    <w:rsid w:val="60605642"/>
    <w:rsid w:val="60606B43"/>
    <w:rsid w:val="60638288"/>
    <w:rsid w:val="60643AC9"/>
    <w:rsid w:val="60648FCA"/>
    <w:rsid w:val="60650C2A"/>
    <w:rsid w:val="60658C4C"/>
    <w:rsid w:val="60663AB8"/>
    <w:rsid w:val="6068F07B"/>
    <w:rsid w:val="60694A15"/>
    <w:rsid w:val="606D3DBA"/>
    <w:rsid w:val="606DA51C"/>
    <w:rsid w:val="606DC8E3"/>
    <w:rsid w:val="606E4A10"/>
    <w:rsid w:val="606EFC76"/>
    <w:rsid w:val="607033D8"/>
    <w:rsid w:val="6070F931"/>
    <w:rsid w:val="60712353"/>
    <w:rsid w:val="6072AFB5"/>
    <w:rsid w:val="6072DC08"/>
    <w:rsid w:val="6072E95A"/>
    <w:rsid w:val="60730518"/>
    <w:rsid w:val="607367AE"/>
    <w:rsid w:val="60743135"/>
    <w:rsid w:val="6075B941"/>
    <w:rsid w:val="6075B971"/>
    <w:rsid w:val="6075D55D"/>
    <w:rsid w:val="60778207"/>
    <w:rsid w:val="607B32D5"/>
    <w:rsid w:val="607B3CBA"/>
    <w:rsid w:val="607B5439"/>
    <w:rsid w:val="607C1C0D"/>
    <w:rsid w:val="607C34BB"/>
    <w:rsid w:val="607D5488"/>
    <w:rsid w:val="607E4AB1"/>
    <w:rsid w:val="607F5AD2"/>
    <w:rsid w:val="607FA19D"/>
    <w:rsid w:val="60812695"/>
    <w:rsid w:val="6081F374"/>
    <w:rsid w:val="60823F08"/>
    <w:rsid w:val="60830722"/>
    <w:rsid w:val="6083AEB0"/>
    <w:rsid w:val="6083E47B"/>
    <w:rsid w:val="608455FB"/>
    <w:rsid w:val="60845F0C"/>
    <w:rsid w:val="608554EF"/>
    <w:rsid w:val="6086565B"/>
    <w:rsid w:val="60872206"/>
    <w:rsid w:val="6087F7A5"/>
    <w:rsid w:val="60881B6C"/>
    <w:rsid w:val="6088C189"/>
    <w:rsid w:val="60894B3D"/>
    <w:rsid w:val="6089B71B"/>
    <w:rsid w:val="608AC840"/>
    <w:rsid w:val="608B39BC"/>
    <w:rsid w:val="608BFBDD"/>
    <w:rsid w:val="608CC3C1"/>
    <w:rsid w:val="608D20F5"/>
    <w:rsid w:val="608E9A28"/>
    <w:rsid w:val="60904C61"/>
    <w:rsid w:val="609130F0"/>
    <w:rsid w:val="60913E73"/>
    <w:rsid w:val="6091B175"/>
    <w:rsid w:val="60924799"/>
    <w:rsid w:val="609252A8"/>
    <w:rsid w:val="60933BCC"/>
    <w:rsid w:val="6093BF58"/>
    <w:rsid w:val="60942552"/>
    <w:rsid w:val="60949E61"/>
    <w:rsid w:val="6094A77B"/>
    <w:rsid w:val="6094FF60"/>
    <w:rsid w:val="6095B51B"/>
    <w:rsid w:val="6097CD05"/>
    <w:rsid w:val="60983922"/>
    <w:rsid w:val="6098B5E2"/>
    <w:rsid w:val="60996162"/>
    <w:rsid w:val="609A7491"/>
    <w:rsid w:val="609AEAF9"/>
    <w:rsid w:val="609B0667"/>
    <w:rsid w:val="609D8C61"/>
    <w:rsid w:val="609F2D60"/>
    <w:rsid w:val="60A05CD9"/>
    <w:rsid w:val="60A0CB5E"/>
    <w:rsid w:val="60A1E612"/>
    <w:rsid w:val="60A22AB3"/>
    <w:rsid w:val="60A5B062"/>
    <w:rsid w:val="60A5F167"/>
    <w:rsid w:val="60A5F95B"/>
    <w:rsid w:val="60A7A946"/>
    <w:rsid w:val="60A88442"/>
    <w:rsid w:val="60A9A41E"/>
    <w:rsid w:val="60AA25FD"/>
    <w:rsid w:val="60AAAD4C"/>
    <w:rsid w:val="60ABEAE0"/>
    <w:rsid w:val="60AC037A"/>
    <w:rsid w:val="60B11211"/>
    <w:rsid w:val="60B1BFF6"/>
    <w:rsid w:val="60B1D0F1"/>
    <w:rsid w:val="60B25D8B"/>
    <w:rsid w:val="60B408DE"/>
    <w:rsid w:val="60B53CB4"/>
    <w:rsid w:val="60B5B8E5"/>
    <w:rsid w:val="60B68AF0"/>
    <w:rsid w:val="60B77065"/>
    <w:rsid w:val="60B788CE"/>
    <w:rsid w:val="60BB6A41"/>
    <w:rsid w:val="60BC3EEE"/>
    <w:rsid w:val="60BD6597"/>
    <w:rsid w:val="60BE5FCC"/>
    <w:rsid w:val="60BF3E78"/>
    <w:rsid w:val="60C3831B"/>
    <w:rsid w:val="60C3C5F9"/>
    <w:rsid w:val="60C5AABA"/>
    <w:rsid w:val="60C63791"/>
    <w:rsid w:val="60C6EEBA"/>
    <w:rsid w:val="60C74887"/>
    <w:rsid w:val="60C7E3C1"/>
    <w:rsid w:val="60C83A3B"/>
    <w:rsid w:val="60CA977A"/>
    <w:rsid w:val="60CB00F7"/>
    <w:rsid w:val="60CB73EA"/>
    <w:rsid w:val="60CB99F0"/>
    <w:rsid w:val="60CE07B4"/>
    <w:rsid w:val="60CE6D56"/>
    <w:rsid w:val="60CEBFC9"/>
    <w:rsid w:val="60CED966"/>
    <w:rsid w:val="60D027B3"/>
    <w:rsid w:val="60D0C5A3"/>
    <w:rsid w:val="60D1CF65"/>
    <w:rsid w:val="60D3712C"/>
    <w:rsid w:val="60D3B7EE"/>
    <w:rsid w:val="60D5A2AB"/>
    <w:rsid w:val="60D61B2D"/>
    <w:rsid w:val="60D6BE8C"/>
    <w:rsid w:val="60D80201"/>
    <w:rsid w:val="60D9FFC2"/>
    <w:rsid w:val="60DA7E06"/>
    <w:rsid w:val="60DAF3C5"/>
    <w:rsid w:val="60DC0FE2"/>
    <w:rsid w:val="60DCA438"/>
    <w:rsid w:val="60DD6522"/>
    <w:rsid w:val="60DE11F1"/>
    <w:rsid w:val="60DE83D9"/>
    <w:rsid w:val="60DF12E0"/>
    <w:rsid w:val="60DF1A58"/>
    <w:rsid w:val="60DF9496"/>
    <w:rsid w:val="60DF96AF"/>
    <w:rsid w:val="60DFC4AD"/>
    <w:rsid w:val="60E01591"/>
    <w:rsid w:val="60E018D3"/>
    <w:rsid w:val="60E06CA0"/>
    <w:rsid w:val="60E16FCF"/>
    <w:rsid w:val="60E28923"/>
    <w:rsid w:val="60E2F17D"/>
    <w:rsid w:val="60E3A012"/>
    <w:rsid w:val="60E53C7D"/>
    <w:rsid w:val="60E6A811"/>
    <w:rsid w:val="60E7C559"/>
    <w:rsid w:val="60E82426"/>
    <w:rsid w:val="60EB32AF"/>
    <w:rsid w:val="60ED8859"/>
    <w:rsid w:val="60EDCCD6"/>
    <w:rsid w:val="60EEDE91"/>
    <w:rsid w:val="60EEEE0C"/>
    <w:rsid w:val="60F0DF5E"/>
    <w:rsid w:val="60F0F246"/>
    <w:rsid w:val="60F1497D"/>
    <w:rsid w:val="60F9FB59"/>
    <w:rsid w:val="60FADDF9"/>
    <w:rsid w:val="60FFDDCD"/>
    <w:rsid w:val="6102E56A"/>
    <w:rsid w:val="61047691"/>
    <w:rsid w:val="610600F8"/>
    <w:rsid w:val="610825C7"/>
    <w:rsid w:val="610C6BB1"/>
    <w:rsid w:val="610CAE1E"/>
    <w:rsid w:val="610D58EB"/>
    <w:rsid w:val="610D6461"/>
    <w:rsid w:val="610E9357"/>
    <w:rsid w:val="610FAD84"/>
    <w:rsid w:val="61108E79"/>
    <w:rsid w:val="6110F422"/>
    <w:rsid w:val="61118271"/>
    <w:rsid w:val="6111EC28"/>
    <w:rsid w:val="61129D6C"/>
    <w:rsid w:val="6116E11E"/>
    <w:rsid w:val="61172076"/>
    <w:rsid w:val="61174045"/>
    <w:rsid w:val="61176854"/>
    <w:rsid w:val="6117AF51"/>
    <w:rsid w:val="61185732"/>
    <w:rsid w:val="61199107"/>
    <w:rsid w:val="611AE6F7"/>
    <w:rsid w:val="611BE642"/>
    <w:rsid w:val="611C1213"/>
    <w:rsid w:val="611D50A5"/>
    <w:rsid w:val="611DD7CA"/>
    <w:rsid w:val="611EE14E"/>
    <w:rsid w:val="611FCD70"/>
    <w:rsid w:val="61201109"/>
    <w:rsid w:val="6120A2A6"/>
    <w:rsid w:val="61233E00"/>
    <w:rsid w:val="612350EA"/>
    <w:rsid w:val="6123C619"/>
    <w:rsid w:val="6123E5D6"/>
    <w:rsid w:val="61244C15"/>
    <w:rsid w:val="61259C4B"/>
    <w:rsid w:val="6125CD18"/>
    <w:rsid w:val="6128047D"/>
    <w:rsid w:val="61283FF9"/>
    <w:rsid w:val="612885D4"/>
    <w:rsid w:val="6128A12C"/>
    <w:rsid w:val="6129642C"/>
    <w:rsid w:val="61298490"/>
    <w:rsid w:val="6129C583"/>
    <w:rsid w:val="612A575E"/>
    <w:rsid w:val="612AC1D9"/>
    <w:rsid w:val="612AF8A6"/>
    <w:rsid w:val="6130DD96"/>
    <w:rsid w:val="61333119"/>
    <w:rsid w:val="61333F05"/>
    <w:rsid w:val="6134B1C7"/>
    <w:rsid w:val="6134CD45"/>
    <w:rsid w:val="613520AD"/>
    <w:rsid w:val="61380B84"/>
    <w:rsid w:val="613A6608"/>
    <w:rsid w:val="613AAB16"/>
    <w:rsid w:val="613AAFB4"/>
    <w:rsid w:val="613C7899"/>
    <w:rsid w:val="613D4BB0"/>
    <w:rsid w:val="613F18FD"/>
    <w:rsid w:val="613F5F85"/>
    <w:rsid w:val="613F7258"/>
    <w:rsid w:val="613FF058"/>
    <w:rsid w:val="614082AB"/>
    <w:rsid w:val="6140ED83"/>
    <w:rsid w:val="6140F09D"/>
    <w:rsid w:val="6142D1C6"/>
    <w:rsid w:val="6145472F"/>
    <w:rsid w:val="6145966A"/>
    <w:rsid w:val="61466983"/>
    <w:rsid w:val="61467853"/>
    <w:rsid w:val="61467E68"/>
    <w:rsid w:val="6146C9E4"/>
    <w:rsid w:val="61486A5A"/>
    <w:rsid w:val="61493DA9"/>
    <w:rsid w:val="61499C18"/>
    <w:rsid w:val="614A28C9"/>
    <w:rsid w:val="614BC126"/>
    <w:rsid w:val="614D2148"/>
    <w:rsid w:val="614D50FE"/>
    <w:rsid w:val="614DC775"/>
    <w:rsid w:val="614E624E"/>
    <w:rsid w:val="614ECA3E"/>
    <w:rsid w:val="614F1FAA"/>
    <w:rsid w:val="614F7EE8"/>
    <w:rsid w:val="61501B00"/>
    <w:rsid w:val="61512553"/>
    <w:rsid w:val="61513353"/>
    <w:rsid w:val="61523CAA"/>
    <w:rsid w:val="6152A19D"/>
    <w:rsid w:val="6152AA22"/>
    <w:rsid w:val="6152EB19"/>
    <w:rsid w:val="61534E14"/>
    <w:rsid w:val="6156F321"/>
    <w:rsid w:val="61578DCB"/>
    <w:rsid w:val="6157D71F"/>
    <w:rsid w:val="6158D4A2"/>
    <w:rsid w:val="6158F5BE"/>
    <w:rsid w:val="61594CF0"/>
    <w:rsid w:val="615A9E39"/>
    <w:rsid w:val="615C1AF6"/>
    <w:rsid w:val="615D8595"/>
    <w:rsid w:val="615DCB26"/>
    <w:rsid w:val="615EE833"/>
    <w:rsid w:val="61604CED"/>
    <w:rsid w:val="61606B26"/>
    <w:rsid w:val="616109CC"/>
    <w:rsid w:val="616186A5"/>
    <w:rsid w:val="61629733"/>
    <w:rsid w:val="61639765"/>
    <w:rsid w:val="61648CEF"/>
    <w:rsid w:val="616534DF"/>
    <w:rsid w:val="61655D92"/>
    <w:rsid w:val="61659674"/>
    <w:rsid w:val="61689C1C"/>
    <w:rsid w:val="6168E340"/>
    <w:rsid w:val="616957AE"/>
    <w:rsid w:val="616C5731"/>
    <w:rsid w:val="616C8304"/>
    <w:rsid w:val="616CF23A"/>
    <w:rsid w:val="616D9731"/>
    <w:rsid w:val="616DEC08"/>
    <w:rsid w:val="616DF90A"/>
    <w:rsid w:val="616F161B"/>
    <w:rsid w:val="616F55F6"/>
    <w:rsid w:val="617046DF"/>
    <w:rsid w:val="61706F13"/>
    <w:rsid w:val="61714D57"/>
    <w:rsid w:val="6171C435"/>
    <w:rsid w:val="6171E0D4"/>
    <w:rsid w:val="6172AC00"/>
    <w:rsid w:val="61733873"/>
    <w:rsid w:val="61735020"/>
    <w:rsid w:val="61748F39"/>
    <w:rsid w:val="617542E9"/>
    <w:rsid w:val="6178336F"/>
    <w:rsid w:val="6179FADB"/>
    <w:rsid w:val="617BE807"/>
    <w:rsid w:val="617C238E"/>
    <w:rsid w:val="617C78C2"/>
    <w:rsid w:val="617CD04F"/>
    <w:rsid w:val="617D306F"/>
    <w:rsid w:val="617DB3B6"/>
    <w:rsid w:val="617E6390"/>
    <w:rsid w:val="617F40CB"/>
    <w:rsid w:val="61802A77"/>
    <w:rsid w:val="61807D5F"/>
    <w:rsid w:val="6180FB55"/>
    <w:rsid w:val="6181ED45"/>
    <w:rsid w:val="61820085"/>
    <w:rsid w:val="61823B9E"/>
    <w:rsid w:val="6182679C"/>
    <w:rsid w:val="6183676B"/>
    <w:rsid w:val="6186D13A"/>
    <w:rsid w:val="6187EEBF"/>
    <w:rsid w:val="6188FCDF"/>
    <w:rsid w:val="618909CB"/>
    <w:rsid w:val="618A2EFD"/>
    <w:rsid w:val="618A860B"/>
    <w:rsid w:val="618AE080"/>
    <w:rsid w:val="618B59F3"/>
    <w:rsid w:val="618C6304"/>
    <w:rsid w:val="618D88BD"/>
    <w:rsid w:val="618E1166"/>
    <w:rsid w:val="618E527A"/>
    <w:rsid w:val="618ED006"/>
    <w:rsid w:val="618EDA2B"/>
    <w:rsid w:val="6190443D"/>
    <w:rsid w:val="61915267"/>
    <w:rsid w:val="619264C7"/>
    <w:rsid w:val="61938248"/>
    <w:rsid w:val="61949D60"/>
    <w:rsid w:val="6194EFAC"/>
    <w:rsid w:val="6195133E"/>
    <w:rsid w:val="6195149A"/>
    <w:rsid w:val="61973703"/>
    <w:rsid w:val="6197FF76"/>
    <w:rsid w:val="619925F0"/>
    <w:rsid w:val="619AF393"/>
    <w:rsid w:val="619D432E"/>
    <w:rsid w:val="619D5D4A"/>
    <w:rsid w:val="619E09E2"/>
    <w:rsid w:val="619F5633"/>
    <w:rsid w:val="61A0CFE0"/>
    <w:rsid w:val="61A1976D"/>
    <w:rsid w:val="61A228BA"/>
    <w:rsid w:val="61A48E8E"/>
    <w:rsid w:val="61A7C74E"/>
    <w:rsid w:val="61A8F0DF"/>
    <w:rsid w:val="61A9EA0D"/>
    <w:rsid w:val="61ACB717"/>
    <w:rsid w:val="61AD177D"/>
    <w:rsid w:val="61AD9943"/>
    <w:rsid w:val="61AF9E59"/>
    <w:rsid w:val="61B0E8BB"/>
    <w:rsid w:val="61B1D4FE"/>
    <w:rsid w:val="61B254B8"/>
    <w:rsid w:val="61B2B1EC"/>
    <w:rsid w:val="61B2DDBE"/>
    <w:rsid w:val="61B6C037"/>
    <w:rsid w:val="61B6FBFD"/>
    <w:rsid w:val="61B71BE2"/>
    <w:rsid w:val="61B7245B"/>
    <w:rsid w:val="61B8F424"/>
    <w:rsid w:val="61B92107"/>
    <w:rsid w:val="61BAB10A"/>
    <w:rsid w:val="61BAEE65"/>
    <w:rsid w:val="61BB5394"/>
    <w:rsid w:val="61BC1D50"/>
    <w:rsid w:val="61BC570B"/>
    <w:rsid w:val="61BCA675"/>
    <w:rsid w:val="61BD2C8F"/>
    <w:rsid w:val="61BD94AE"/>
    <w:rsid w:val="61BF2A08"/>
    <w:rsid w:val="61BFCB63"/>
    <w:rsid w:val="61C2EA2B"/>
    <w:rsid w:val="61C31FFC"/>
    <w:rsid w:val="61C3AB18"/>
    <w:rsid w:val="61C5CEF8"/>
    <w:rsid w:val="61C74D6D"/>
    <w:rsid w:val="61C8718B"/>
    <w:rsid w:val="61CA45A1"/>
    <w:rsid w:val="61CC08E2"/>
    <w:rsid w:val="61CC09C9"/>
    <w:rsid w:val="61CC34A0"/>
    <w:rsid w:val="61CC3DF4"/>
    <w:rsid w:val="61CCA52E"/>
    <w:rsid w:val="61CD4047"/>
    <w:rsid w:val="61CE0076"/>
    <w:rsid w:val="61CE412C"/>
    <w:rsid w:val="61CE4E50"/>
    <w:rsid w:val="61D03BC1"/>
    <w:rsid w:val="61D139EE"/>
    <w:rsid w:val="61D16425"/>
    <w:rsid w:val="61D1FE2C"/>
    <w:rsid w:val="61D2F748"/>
    <w:rsid w:val="61D327CB"/>
    <w:rsid w:val="61D3A3C5"/>
    <w:rsid w:val="61D44E88"/>
    <w:rsid w:val="61D592E7"/>
    <w:rsid w:val="61D6CD1A"/>
    <w:rsid w:val="61D8B4D9"/>
    <w:rsid w:val="61D8F0EE"/>
    <w:rsid w:val="61D95F65"/>
    <w:rsid w:val="61D9A180"/>
    <w:rsid w:val="61DAB894"/>
    <w:rsid w:val="61DB9E80"/>
    <w:rsid w:val="61DBD65B"/>
    <w:rsid w:val="61DD06FC"/>
    <w:rsid w:val="61E051D2"/>
    <w:rsid w:val="61E11633"/>
    <w:rsid w:val="61E13F62"/>
    <w:rsid w:val="61E1BAE9"/>
    <w:rsid w:val="61E1E590"/>
    <w:rsid w:val="61E21167"/>
    <w:rsid w:val="61E3C96F"/>
    <w:rsid w:val="61E4C80D"/>
    <w:rsid w:val="61E52F46"/>
    <w:rsid w:val="61E54347"/>
    <w:rsid w:val="61E6C05E"/>
    <w:rsid w:val="61E70A1F"/>
    <w:rsid w:val="61E7CCEE"/>
    <w:rsid w:val="61E97A3C"/>
    <w:rsid w:val="61EC05BC"/>
    <w:rsid w:val="61ED41EB"/>
    <w:rsid w:val="61EDC69D"/>
    <w:rsid w:val="61EE20CF"/>
    <w:rsid w:val="61EF46BA"/>
    <w:rsid w:val="61F111FB"/>
    <w:rsid w:val="61F600C5"/>
    <w:rsid w:val="61F718B0"/>
    <w:rsid w:val="61F9CFA1"/>
    <w:rsid w:val="61FB4146"/>
    <w:rsid w:val="61FCA003"/>
    <w:rsid w:val="61FCA091"/>
    <w:rsid w:val="61FD674E"/>
    <w:rsid w:val="61FE19EB"/>
    <w:rsid w:val="62000B2A"/>
    <w:rsid w:val="6201E0AE"/>
    <w:rsid w:val="6202D80A"/>
    <w:rsid w:val="620481CE"/>
    <w:rsid w:val="6204C404"/>
    <w:rsid w:val="620582B8"/>
    <w:rsid w:val="62069A0F"/>
    <w:rsid w:val="6208D137"/>
    <w:rsid w:val="62099D01"/>
    <w:rsid w:val="620B0FBC"/>
    <w:rsid w:val="620C06EB"/>
    <w:rsid w:val="620D5309"/>
    <w:rsid w:val="620D7334"/>
    <w:rsid w:val="620DAD9A"/>
    <w:rsid w:val="620F69B5"/>
    <w:rsid w:val="62101B48"/>
    <w:rsid w:val="62113AEB"/>
    <w:rsid w:val="6211DA38"/>
    <w:rsid w:val="6211E8A5"/>
    <w:rsid w:val="62144093"/>
    <w:rsid w:val="6214C99C"/>
    <w:rsid w:val="6214E87C"/>
    <w:rsid w:val="621541F1"/>
    <w:rsid w:val="62182828"/>
    <w:rsid w:val="62186666"/>
    <w:rsid w:val="62197535"/>
    <w:rsid w:val="6219FF1A"/>
    <w:rsid w:val="621A7562"/>
    <w:rsid w:val="621BA0F8"/>
    <w:rsid w:val="621C9FFC"/>
    <w:rsid w:val="621CB5AB"/>
    <w:rsid w:val="621CC48B"/>
    <w:rsid w:val="622019E0"/>
    <w:rsid w:val="62209E29"/>
    <w:rsid w:val="6220B54C"/>
    <w:rsid w:val="62214ABA"/>
    <w:rsid w:val="622182E1"/>
    <w:rsid w:val="6221CCBA"/>
    <w:rsid w:val="62223B1C"/>
    <w:rsid w:val="6225C347"/>
    <w:rsid w:val="6225DCAD"/>
    <w:rsid w:val="6226405E"/>
    <w:rsid w:val="62264D11"/>
    <w:rsid w:val="6227520B"/>
    <w:rsid w:val="62277CCF"/>
    <w:rsid w:val="62291330"/>
    <w:rsid w:val="6229A5EA"/>
    <w:rsid w:val="622BA8E2"/>
    <w:rsid w:val="622C3883"/>
    <w:rsid w:val="622C3ADE"/>
    <w:rsid w:val="622D5883"/>
    <w:rsid w:val="623027CC"/>
    <w:rsid w:val="62305B39"/>
    <w:rsid w:val="62315EF4"/>
    <w:rsid w:val="6231815D"/>
    <w:rsid w:val="6233234B"/>
    <w:rsid w:val="62344892"/>
    <w:rsid w:val="6235501F"/>
    <w:rsid w:val="62363245"/>
    <w:rsid w:val="6237A433"/>
    <w:rsid w:val="6237C3F5"/>
    <w:rsid w:val="6238055D"/>
    <w:rsid w:val="623825B7"/>
    <w:rsid w:val="6238D01C"/>
    <w:rsid w:val="6239128F"/>
    <w:rsid w:val="62394469"/>
    <w:rsid w:val="623B5465"/>
    <w:rsid w:val="623CC524"/>
    <w:rsid w:val="623F8ED8"/>
    <w:rsid w:val="6241389D"/>
    <w:rsid w:val="62431622"/>
    <w:rsid w:val="624B0094"/>
    <w:rsid w:val="624B93E3"/>
    <w:rsid w:val="624BD956"/>
    <w:rsid w:val="624D30DD"/>
    <w:rsid w:val="624D6BF3"/>
    <w:rsid w:val="624DCE12"/>
    <w:rsid w:val="624F6253"/>
    <w:rsid w:val="62502592"/>
    <w:rsid w:val="62505FF7"/>
    <w:rsid w:val="62510649"/>
    <w:rsid w:val="6251CBF1"/>
    <w:rsid w:val="6252BC1B"/>
    <w:rsid w:val="6252BFF9"/>
    <w:rsid w:val="6253563D"/>
    <w:rsid w:val="625369F0"/>
    <w:rsid w:val="6255C938"/>
    <w:rsid w:val="6255ED81"/>
    <w:rsid w:val="6256BA59"/>
    <w:rsid w:val="6256D3C2"/>
    <w:rsid w:val="6257D55A"/>
    <w:rsid w:val="62582AB6"/>
    <w:rsid w:val="625923C2"/>
    <w:rsid w:val="62597BB8"/>
    <w:rsid w:val="625C74B9"/>
    <w:rsid w:val="625DADB9"/>
    <w:rsid w:val="625E15D4"/>
    <w:rsid w:val="6260DBE8"/>
    <w:rsid w:val="62611F25"/>
    <w:rsid w:val="62618B1A"/>
    <w:rsid w:val="626238F1"/>
    <w:rsid w:val="62631BCD"/>
    <w:rsid w:val="6264F643"/>
    <w:rsid w:val="6267C430"/>
    <w:rsid w:val="62688691"/>
    <w:rsid w:val="6268EB3E"/>
    <w:rsid w:val="6269699A"/>
    <w:rsid w:val="62699587"/>
    <w:rsid w:val="6269A561"/>
    <w:rsid w:val="6269BFF1"/>
    <w:rsid w:val="626A0A73"/>
    <w:rsid w:val="626AD434"/>
    <w:rsid w:val="626D5D89"/>
    <w:rsid w:val="626D8B69"/>
    <w:rsid w:val="626E1A42"/>
    <w:rsid w:val="626E6475"/>
    <w:rsid w:val="626E7F97"/>
    <w:rsid w:val="62711E4A"/>
    <w:rsid w:val="627410A7"/>
    <w:rsid w:val="627440A6"/>
    <w:rsid w:val="62751884"/>
    <w:rsid w:val="6275C045"/>
    <w:rsid w:val="6277F38C"/>
    <w:rsid w:val="62794FD3"/>
    <w:rsid w:val="62798D69"/>
    <w:rsid w:val="627D6B8B"/>
    <w:rsid w:val="627E3AD3"/>
    <w:rsid w:val="627F6FCA"/>
    <w:rsid w:val="627F74D4"/>
    <w:rsid w:val="627FE27A"/>
    <w:rsid w:val="6280A101"/>
    <w:rsid w:val="62810CDE"/>
    <w:rsid w:val="62829AA7"/>
    <w:rsid w:val="62829BDE"/>
    <w:rsid w:val="62842148"/>
    <w:rsid w:val="6284F1F1"/>
    <w:rsid w:val="6284F383"/>
    <w:rsid w:val="62873C10"/>
    <w:rsid w:val="6289A8CD"/>
    <w:rsid w:val="6289BCAD"/>
    <w:rsid w:val="6289D673"/>
    <w:rsid w:val="628CC047"/>
    <w:rsid w:val="628E4318"/>
    <w:rsid w:val="628EB0CE"/>
    <w:rsid w:val="628EEA55"/>
    <w:rsid w:val="6290245A"/>
    <w:rsid w:val="62906818"/>
    <w:rsid w:val="62920BC8"/>
    <w:rsid w:val="62928E86"/>
    <w:rsid w:val="629363E1"/>
    <w:rsid w:val="6295BDDB"/>
    <w:rsid w:val="6295CEC0"/>
    <w:rsid w:val="6295DE41"/>
    <w:rsid w:val="6296172E"/>
    <w:rsid w:val="629677D3"/>
    <w:rsid w:val="629688B1"/>
    <w:rsid w:val="6296B991"/>
    <w:rsid w:val="6296EA97"/>
    <w:rsid w:val="6298DD5F"/>
    <w:rsid w:val="6298E58B"/>
    <w:rsid w:val="629963A1"/>
    <w:rsid w:val="629CFDF7"/>
    <w:rsid w:val="629D1E68"/>
    <w:rsid w:val="629D39EA"/>
    <w:rsid w:val="629E9889"/>
    <w:rsid w:val="629EAF5C"/>
    <w:rsid w:val="629EE5EC"/>
    <w:rsid w:val="62A0C43B"/>
    <w:rsid w:val="62A21484"/>
    <w:rsid w:val="62A665EC"/>
    <w:rsid w:val="62A6BF51"/>
    <w:rsid w:val="62AB56C4"/>
    <w:rsid w:val="62ABC8AF"/>
    <w:rsid w:val="62ACD19E"/>
    <w:rsid w:val="62B1A669"/>
    <w:rsid w:val="62B2810E"/>
    <w:rsid w:val="62B37BB5"/>
    <w:rsid w:val="62B387B5"/>
    <w:rsid w:val="62B6780D"/>
    <w:rsid w:val="62B8B6C3"/>
    <w:rsid w:val="62B93A09"/>
    <w:rsid w:val="62B9B9EE"/>
    <w:rsid w:val="62BA74B0"/>
    <w:rsid w:val="62BC2877"/>
    <w:rsid w:val="62BD221C"/>
    <w:rsid w:val="62BEE28D"/>
    <w:rsid w:val="62BFF5CC"/>
    <w:rsid w:val="62C174A3"/>
    <w:rsid w:val="62C17CEE"/>
    <w:rsid w:val="62C32B84"/>
    <w:rsid w:val="62C330E0"/>
    <w:rsid w:val="62C3E86B"/>
    <w:rsid w:val="62C5BDE8"/>
    <w:rsid w:val="62C60897"/>
    <w:rsid w:val="62CBAA6D"/>
    <w:rsid w:val="62CC9536"/>
    <w:rsid w:val="62CCBB89"/>
    <w:rsid w:val="62CDA573"/>
    <w:rsid w:val="62CE93D3"/>
    <w:rsid w:val="62CF5918"/>
    <w:rsid w:val="62D20DB0"/>
    <w:rsid w:val="62D26C35"/>
    <w:rsid w:val="62D38B5C"/>
    <w:rsid w:val="62D3CAD7"/>
    <w:rsid w:val="62D66E5E"/>
    <w:rsid w:val="62D68716"/>
    <w:rsid w:val="62D7F021"/>
    <w:rsid w:val="62D92D7A"/>
    <w:rsid w:val="62D95BEE"/>
    <w:rsid w:val="62D97A7A"/>
    <w:rsid w:val="62D9D487"/>
    <w:rsid w:val="62D9E115"/>
    <w:rsid w:val="62DAD30F"/>
    <w:rsid w:val="62DAD431"/>
    <w:rsid w:val="62DDE523"/>
    <w:rsid w:val="62DEB285"/>
    <w:rsid w:val="62E0A3B4"/>
    <w:rsid w:val="62E1AEAC"/>
    <w:rsid w:val="62E1FBF8"/>
    <w:rsid w:val="62E23342"/>
    <w:rsid w:val="62E56964"/>
    <w:rsid w:val="62E5808C"/>
    <w:rsid w:val="62E7C55D"/>
    <w:rsid w:val="62E7E645"/>
    <w:rsid w:val="62E8FDBA"/>
    <w:rsid w:val="62EA63C9"/>
    <w:rsid w:val="62EA6407"/>
    <w:rsid w:val="62EBBEB2"/>
    <w:rsid w:val="62ED974C"/>
    <w:rsid w:val="62EEFCF9"/>
    <w:rsid w:val="62F0C5DE"/>
    <w:rsid w:val="62F42B7F"/>
    <w:rsid w:val="62F5540E"/>
    <w:rsid w:val="62F55C05"/>
    <w:rsid w:val="62F630DB"/>
    <w:rsid w:val="62F861CE"/>
    <w:rsid w:val="62FA284A"/>
    <w:rsid w:val="62FB9C03"/>
    <w:rsid w:val="62FD530A"/>
    <w:rsid w:val="62FDD06E"/>
    <w:rsid w:val="62FDD2CC"/>
    <w:rsid w:val="62FED615"/>
    <w:rsid w:val="62FFA150"/>
    <w:rsid w:val="630078B9"/>
    <w:rsid w:val="63046509"/>
    <w:rsid w:val="6304B3A1"/>
    <w:rsid w:val="630563D2"/>
    <w:rsid w:val="63058E17"/>
    <w:rsid w:val="63072BD7"/>
    <w:rsid w:val="6307E134"/>
    <w:rsid w:val="630947C3"/>
    <w:rsid w:val="630A06BD"/>
    <w:rsid w:val="630A1E2C"/>
    <w:rsid w:val="630A6DB8"/>
    <w:rsid w:val="630B0132"/>
    <w:rsid w:val="630CDEE7"/>
    <w:rsid w:val="630E1F23"/>
    <w:rsid w:val="630EF993"/>
    <w:rsid w:val="6310B69B"/>
    <w:rsid w:val="6310FAAB"/>
    <w:rsid w:val="63135860"/>
    <w:rsid w:val="6313E290"/>
    <w:rsid w:val="63141737"/>
    <w:rsid w:val="6315C457"/>
    <w:rsid w:val="6315C7AA"/>
    <w:rsid w:val="631700A9"/>
    <w:rsid w:val="6318F5AC"/>
    <w:rsid w:val="63199BC6"/>
    <w:rsid w:val="631A75BC"/>
    <w:rsid w:val="631ABEE4"/>
    <w:rsid w:val="631CD72E"/>
    <w:rsid w:val="631CD78C"/>
    <w:rsid w:val="631D2ABF"/>
    <w:rsid w:val="631D59B6"/>
    <w:rsid w:val="631E000F"/>
    <w:rsid w:val="631F2CC1"/>
    <w:rsid w:val="631FF983"/>
    <w:rsid w:val="632156B9"/>
    <w:rsid w:val="6321E1B8"/>
    <w:rsid w:val="63225C25"/>
    <w:rsid w:val="63227EA7"/>
    <w:rsid w:val="632314D2"/>
    <w:rsid w:val="63243A64"/>
    <w:rsid w:val="63273F7A"/>
    <w:rsid w:val="6328750F"/>
    <w:rsid w:val="6328998E"/>
    <w:rsid w:val="632BFB79"/>
    <w:rsid w:val="632C1CC1"/>
    <w:rsid w:val="632DD8AB"/>
    <w:rsid w:val="632EB954"/>
    <w:rsid w:val="632EC83C"/>
    <w:rsid w:val="6330F21D"/>
    <w:rsid w:val="6332C52F"/>
    <w:rsid w:val="6332C68B"/>
    <w:rsid w:val="6333423F"/>
    <w:rsid w:val="6334847F"/>
    <w:rsid w:val="63372AAB"/>
    <w:rsid w:val="633758F0"/>
    <w:rsid w:val="63376B3C"/>
    <w:rsid w:val="6338DFDA"/>
    <w:rsid w:val="63399829"/>
    <w:rsid w:val="633A30F0"/>
    <w:rsid w:val="633A4D70"/>
    <w:rsid w:val="633C1643"/>
    <w:rsid w:val="633CBD9B"/>
    <w:rsid w:val="633CE032"/>
    <w:rsid w:val="633D2CB1"/>
    <w:rsid w:val="633DE828"/>
    <w:rsid w:val="633E16AA"/>
    <w:rsid w:val="633E367F"/>
    <w:rsid w:val="63457B70"/>
    <w:rsid w:val="634659F0"/>
    <w:rsid w:val="6346E175"/>
    <w:rsid w:val="63477C59"/>
    <w:rsid w:val="63483002"/>
    <w:rsid w:val="6348B801"/>
    <w:rsid w:val="63499C5F"/>
    <w:rsid w:val="634AAE5D"/>
    <w:rsid w:val="634B3C96"/>
    <w:rsid w:val="634C9171"/>
    <w:rsid w:val="63507D1B"/>
    <w:rsid w:val="6352999A"/>
    <w:rsid w:val="6353FB35"/>
    <w:rsid w:val="63541090"/>
    <w:rsid w:val="635458A1"/>
    <w:rsid w:val="63559B09"/>
    <w:rsid w:val="6356C552"/>
    <w:rsid w:val="63571606"/>
    <w:rsid w:val="6358214B"/>
    <w:rsid w:val="635886D5"/>
    <w:rsid w:val="63592CE5"/>
    <w:rsid w:val="635B33A3"/>
    <w:rsid w:val="635B7D84"/>
    <w:rsid w:val="635C23D2"/>
    <w:rsid w:val="635C5569"/>
    <w:rsid w:val="635CC8CF"/>
    <w:rsid w:val="635D2773"/>
    <w:rsid w:val="635E0A04"/>
    <w:rsid w:val="635F3544"/>
    <w:rsid w:val="635FA5E1"/>
    <w:rsid w:val="635FE904"/>
    <w:rsid w:val="63609DD6"/>
    <w:rsid w:val="636130A7"/>
    <w:rsid w:val="63615F1C"/>
    <w:rsid w:val="63622263"/>
    <w:rsid w:val="63624C88"/>
    <w:rsid w:val="6362A4E5"/>
    <w:rsid w:val="636312E6"/>
    <w:rsid w:val="63645AD8"/>
    <w:rsid w:val="6364D2BA"/>
    <w:rsid w:val="6365ED8F"/>
    <w:rsid w:val="63661AC4"/>
    <w:rsid w:val="6367DA2A"/>
    <w:rsid w:val="63690FF5"/>
    <w:rsid w:val="636A7125"/>
    <w:rsid w:val="636B757F"/>
    <w:rsid w:val="636C1FA2"/>
    <w:rsid w:val="636C9498"/>
    <w:rsid w:val="636D1328"/>
    <w:rsid w:val="636D73F5"/>
    <w:rsid w:val="636DE412"/>
    <w:rsid w:val="636E172D"/>
    <w:rsid w:val="636E91D2"/>
    <w:rsid w:val="636FEDE9"/>
    <w:rsid w:val="63702B34"/>
    <w:rsid w:val="63716048"/>
    <w:rsid w:val="6373C457"/>
    <w:rsid w:val="63740CC9"/>
    <w:rsid w:val="63746F4B"/>
    <w:rsid w:val="6374A013"/>
    <w:rsid w:val="6374D755"/>
    <w:rsid w:val="6375EEF5"/>
    <w:rsid w:val="63765162"/>
    <w:rsid w:val="6378CEA8"/>
    <w:rsid w:val="6379EDB5"/>
    <w:rsid w:val="637A99DD"/>
    <w:rsid w:val="637BD0A0"/>
    <w:rsid w:val="637EB2D0"/>
    <w:rsid w:val="637FF7DA"/>
    <w:rsid w:val="6380C1AF"/>
    <w:rsid w:val="638148CA"/>
    <w:rsid w:val="63817804"/>
    <w:rsid w:val="6382167C"/>
    <w:rsid w:val="638218D9"/>
    <w:rsid w:val="6385B3E0"/>
    <w:rsid w:val="638677B6"/>
    <w:rsid w:val="6386968B"/>
    <w:rsid w:val="6386DB73"/>
    <w:rsid w:val="6386EECA"/>
    <w:rsid w:val="63886078"/>
    <w:rsid w:val="63891A56"/>
    <w:rsid w:val="638BB889"/>
    <w:rsid w:val="638C155A"/>
    <w:rsid w:val="638C6672"/>
    <w:rsid w:val="638E77CC"/>
    <w:rsid w:val="63903275"/>
    <w:rsid w:val="639034A1"/>
    <w:rsid w:val="6390FA3D"/>
    <w:rsid w:val="6391BD42"/>
    <w:rsid w:val="6392FFBA"/>
    <w:rsid w:val="63932489"/>
    <w:rsid w:val="63939AC5"/>
    <w:rsid w:val="6394BE21"/>
    <w:rsid w:val="63951DE3"/>
    <w:rsid w:val="6395B191"/>
    <w:rsid w:val="63965717"/>
    <w:rsid w:val="639675E4"/>
    <w:rsid w:val="639698E4"/>
    <w:rsid w:val="6396E995"/>
    <w:rsid w:val="63976A75"/>
    <w:rsid w:val="63982528"/>
    <w:rsid w:val="6399198D"/>
    <w:rsid w:val="639A2B9F"/>
    <w:rsid w:val="639B8314"/>
    <w:rsid w:val="639DCF5C"/>
    <w:rsid w:val="639E360B"/>
    <w:rsid w:val="639FFC96"/>
    <w:rsid w:val="63A0518E"/>
    <w:rsid w:val="63A0EC68"/>
    <w:rsid w:val="63A1FA75"/>
    <w:rsid w:val="63A23A90"/>
    <w:rsid w:val="63A3815A"/>
    <w:rsid w:val="63A3D95D"/>
    <w:rsid w:val="63A4FCDC"/>
    <w:rsid w:val="63A53A4A"/>
    <w:rsid w:val="63A7FA07"/>
    <w:rsid w:val="63A8716C"/>
    <w:rsid w:val="63AB2CD9"/>
    <w:rsid w:val="63AE95B1"/>
    <w:rsid w:val="63AFA833"/>
    <w:rsid w:val="63AFDE54"/>
    <w:rsid w:val="63B0FD06"/>
    <w:rsid w:val="63B14580"/>
    <w:rsid w:val="63B1A08A"/>
    <w:rsid w:val="63B2BD58"/>
    <w:rsid w:val="63B46852"/>
    <w:rsid w:val="63B5E2EC"/>
    <w:rsid w:val="63B5FD46"/>
    <w:rsid w:val="63B713E6"/>
    <w:rsid w:val="63B78F1C"/>
    <w:rsid w:val="63B7F4DE"/>
    <w:rsid w:val="63B9041D"/>
    <w:rsid w:val="63B9BB14"/>
    <w:rsid w:val="63BADD07"/>
    <w:rsid w:val="63BBAE45"/>
    <w:rsid w:val="63BBE4A5"/>
    <w:rsid w:val="63BC0FBF"/>
    <w:rsid w:val="63BCA267"/>
    <w:rsid w:val="63BD7C1D"/>
    <w:rsid w:val="63BE32B1"/>
    <w:rsid w:val="63BFB6FE"/>
    <w:rsid w:val="63C00935"/>
    <w:rsid w:val="63C06A4E"/>
    <w:rsid w:val="63C26E81"/>
    <w:rsid w:val="63C38176"/>
    <w:rsid w:val="63C3C17A"/>
    <w:rsid w:val="63C3FF3C"/>
    <w:rsid w:val="63C54B90"/>
    <w:rsid w:val="63C6AC3F"/>
    <w:rsid w:val="63C903C5"/>
    <w:rsid w:val="63C91C69"/>
    <w:rsid w:val="63C9C5F6"/>
    <w:rsid w:val="63CA9980"/>
    <w:rsid w:val="63CB0CDC"/>
    <w:rsid w:val="63CB1566"/>
    <w:rsid w:val="63CC27FB"/>
    <w:rsid w:val="63CE93B7"/>
    <w:rsid w:val="63D07E91"/>
    <w:rsid w:val="63D1F92B"/>
    <w:rsid w:val="63D2338B"/>
    <w:rsid w:val="63D265AE"/>
    <w:rsid w:val="63D27429"/>
    <w:rsid w:val="63D30DE0"/>
    <w:rsid w:val="63D3B9B8"/>
    <w:rsid w:val="63D3D9DC"/>
    <w:rsid w:val="63D52DF4"/>
    <w:rsid w:val="63D5836D"/>
    <w:rsid w:val="63D8DDF8"/>
    <w:rsid w:val="63DC0903"/>
    <w:rsid w:val="63DE6763"/>
    <w:rsid w:val="63DE6C47"/>
    <w:rsid w:val="63E1D4D1"/>
    <w:rsid w:val="63E210CF"/>
    <w:rsid w:val="63E2DAEE"/>
    <w:rsid w:val="63E35AB4"/>
    <w:rsid w:val="63E5F95C"/>
    <w:rsid w:val="63E70900"/>
    <w:rsid w:val="63E82112"/>
    <w:rsid w:val="63EA129F"/>
    <w:rsid w:val="63EADBA2"/>
    <w:rsid w:val="63ED1A62"/>
    <w:rsid w:val="63ED3301"/>
    <w:rsid w:val="63ED9CC1"/>
    <w:rsid w:val="63EDCAB4"/>
    <w:rsid w:val="63EF58B6"/>
    <w:rsid w:val="63F18B0B"/>
    <w:rsid w:val="63F228A4"/>
    <w:rsid w:val="63F25056"/>
    <w:rsid w:val="63F2C151"/>
    <w:rsid w:val="63F3020F"/>
    <w:rsid w:val="63F347C8"/>
    <w:rsid w:val="63F59F45"/>
    <w:rsid w:val="63F65B8F"/>
    <w:rsid w:val="63F6B223"/>
    <w:rsid w:val="63F6E773"/>
    <w:rsid w:val="63F6FD56"/>
    <w:rsid w:val="63F733FF"/>
    <w:rsid w:val="63F7C7F3"/>
    <w:rsid w:val="63F8230F"/>
    <w:rsid w:val="63F8BAF6"/>
    <w:rsid w:val="63F9817F"/>
    <w:rsid w:val="63F9A0AF"/>
    <w:rsid w:val="63F9D42B"/>
    <w:rsid w:val="63FABB85"/>
    <w:rsid w:val="63FDE450"/>
    <w:rsid w:val="63FE1AF9"/>
    <w:rsid w:val="63FE56F9"/>
    <w:rsid w:val="6400F648"/>
    <w:rsid w:val="64022F7C"/>
    <w:rsid w:val="640368E1"/>
    <w:rsid w:val="64042430"/>
    <w:rsid w:val="6404645D"/>
    <w:rsid w:val="6404E89B"/>
    <w:rsid w:val="6405161D"/>
    <w:rsid w:val="64057720"/>
    <w:rsid w:val="64059B92"/>
    <w:rsid w:val="6408C192"/>
    <w:rsid w:val="640A0A6E"/>
    <w:rsid w:val="640A1B9C"/>
    <w:rsid w:val="640A8AE1"/>
    <w:rsid w:val="640C5AA3"/>
    <w:rsid w:val="640CD4F4"/>
    <w:rsid w:val="640CE2DE"/>
    <w:rsid w:val="640DD9BA"/>
    <w:rsid w:val="640FA764"/>
    <w:rsid w:val="64108BC3"/>
    <w:rsid w:val="6410C60C"/>
    <w:rsid w:val="64114368"/>
    <w:rsid w:val="64120604"/>
    <w:rsid w:val="641422FB"/>
    <w:rsid w:val="6415AED5"/>
    <w:rsid w:val="64178249"/>
    <w:rsid w:val="64190CB9"/>
    <w:rsid w:val="641AD96E"/>
    <w:rsid w:val="641C14CB"/>
    <w:rsid w:val="641D0FFB"/>
    <w:rsid w:val="641D9E7C"/>
    <w:rsid w:val="641E5D73"/>
    <w:rsid w:val="641E670E"/>
    <w:rsid w:val="6420D55B"/>
    <w:rsid w:val="6421A689"/>
    <w:rsid w:val="64232406"/>
    <w:rsid w:val="6425E803"/>
    <w:rsid w:val="64266994"/>
    <w:rsid w:val="6427DB4F"/>
    <w:rsid w:val="64287000"/>
    <w:rsid w:val="642BBD28"/>
    <w:rsid w:val="642C904C"/>
    <w:rsid w:val="642DE9FE"/>
    <w:rsid w:val="642DFD48"/>
    <w:rsid w:val="642E661F"/>
    <w:rsid w:val="642FDB96"/>
    <w:rsid w:val="642FF6EF"/>
    <w:rsid w:val="643018EA"/>
    <w:rsid w:val="643023F0"/>
    <w:rsid w:val="643085F1"/>
    <w:rsid w:val="6431A872"/>
    <w:rsid w:val="643350B2"/>
    <w:rsid w:val="643387A6"/>
    <w:rsid w:val="64364E85"/>
    <w:rsid w:val="6436AE6A"/>
    <w:rsid w:val="6436D4E9"/>
    <w:rsid w:val="64379838"/>
    <w:rsid w:val="6437D3C6"/>
    <w:rsid w:val="64380A92"/>
    <w:rsid w:val="6438214C"/>
    <w:rsid w:val="64387B4D"/>
    <w:rsid w:val="6438CE58"/>
    <w:rsid w:val="6439094A"/>
    <w:rsid w:val="643957C3"/>
    <w:rsid w:val="6439B606"/>
    <w:rsid w:val="6439BAB6"/>
    <w:rsid w:val="643A8B82"/>
    <w:rsid w:val="643B875B"/>
    <w:rsid w:val="643C8D99"/>
    <w:rsid w:val="64421F2E"/>
    <w:rsid w:val="6442602C"/>
    <w:rsid w:val="6444EE93"/>
    <w:rsid w:val="6445A618"/>
    <w:rsid w:val="6446C694"/>
    <w:rsid w:val="64484A0E"/>
    <w:rsid w:val="6448DB32"/>
    <w:rsid w:val="6448E2B7"/>
    <w:rsid w:val="644905B5"/>
    <w:rsid w:val="644994FB"/>
    <w:rsid w:val="6449B449"/>
    <w:rsid w:val="644A7793"/>
    <w:rsid w:val="644B2E51"/>
    <w:rsid w:val="644CAB5F"/>
    <w:rsid w:val="644D20B0"/>
    <w:rsid w:val="644D7AF9"/>
    <w:rsid w:val="644EC30D"/>
    <w:rsid w:val="644F4634"/>
    <w:rsid w:val="64504B29"/>
    <w:rsid w:val="64507505"/>
    <w:rsid w:val="64512403"/>
    <w:rsid w:val="6452759C"/>
    <w:rsid w:val="6452A782"/>
    <w:rsid w:val="6454238F"/>
    <w:rsid w:val="6454B152"/>
    <w:rsid w:val="645543BA"/>
    <w:rsid w:val="6456B412"/>
    <w:rsid w:val="64572D42"/>
    <w:rsid w:val="64588E05"/>
    <w:rsid w:val="6459F75E"/>
    <w:rsid w:val="645A161D"/>
    <w:rsid w:val="645A763B"/>
    <w:rsid w:val="645B4C31"/>
    <w:rsid w:val="645BAFCB"/>
    <w:rsid w:val="645E68BD"/>
    <w:rsid w:val="645EA24E"/>
    <w:rsid w:val="645ECB03"/>
    <w:rsid w:val="645EE94A"/>
    <w:rsid w:val="6460198B"/>
    <w:rsid w:val="64606C21"/>
    <w:rsid w:val="64608201"/>
    <w:rsid w:val="646359EA"/>
    <w:rsid w:val="6463A96D"/>
    <w:rsid w:val="6468795D"/>
    <w:rsid w:val="64691220"/>
    <w:rsid w:val="6469C516"/>
    <w:rsid w:val="646B9C6E"/>
    <w:rsid w:val="646D2FB4"/>
    <w:rsid w:val="646D61D8"/>
    <w:rsid w:val="646DD369"/>
    <w:rsid w:val="646FD6BC"/>
    <w:rsid w:val="646FEAF9"/>
    <w:rsid w:val="64730928"/>
    <w:rsid w:val="64735901"/>
    <w:rsid w:val="64741010"/>
    <w:rsid w:val="6477FFCC"/>
    <w:rsid w:val="64790352"/>
    <w:rsid w:val="6479FE78"/>
    <w:rsid w:val="647A429F"/>
    <w:rsid w:val="647B6631"/>
    <w:rsid w:val="647C72C6"/>
    <w:rsid w:val="647C81D2"/>
    <w:rsid w:val="647CB4D3"/>
    <w:rsid w:val="647F47DC"/>
    <w:rsid w:val="64801CCF"/>
    <w:rsid w:val="648086F7"/>
    <w:rsid w:val="6481E4FE"/>
    <w:rsid w:val="6484122A"/>
    <w:rsid w:val="64843976"/>
    <w:rsid w:val="6484CE1B"/>
    <w:rsid w:val="64857225"/>
    <w:rsid w:val="64858FA1"/>
    <w:rsid w:val="6486C676"/>
    <w:rsid w:val="64889079"/>
    <w:rsid w:val="64897F8F"/>
    <w:rsid w:val="6489CAEB"/>
    <w:rsid w:val="648A8D44"/>
    <w:rsid w:val="648B194C"/>
    <w:rsid w:val="648D2CA2"/>
    <w:rsid w:val="648D4743"/>
    <w:rsid w:val="648E02C4"/>
    <w:rsid w:val="648E8A89"/>
    <w:rsid w:val="648F5311"/>
    <w:rsid w:val="648FB42E"/>
    <w:rsid w:val="649042D3"/>
    <w:rsid w:val="649097D9"/>
    <w:rsid w:val="64928E77"/>
    <w:rsid w:val="64930BE6"/>
    <w:rsid w:val="64935825"/>
    <w:rsid w:val="6493E859"/>
    <w:rsid w:val="6495412E"/>
    <w:rsid w:val="649616F9"/>
    <w:rsid w:val="64962A06"/>
    <w:rsid w:val="6497AD93"/>
    <w:rsid w:val="6498476D"/>
    <w:rsid w:val="649B9C65"/>
    <w:rsid w:val="649BB4FF"/>
    <w:rsid w:val="649CFBAA"/>
    <w:rsid w:val="649E62A4"/>
    <w:rsid w:val="649E63C7"/>
    <w:rsid w:val="649E7CE0"/>
    <w:rsid w:val="64A277C7"/>
    <w:rsid w:val="64A3880F"/>
    <w:rsid w:val="64A3F552"/>
    <w:rsid w:val="64A5096E"/>
    <w:rsid w:val="64A54770"/>
    <w:rsid w:val="64A68099"/>
    <w:rsid w:val="64A6C7D2"/>
    <w:rsid w:val="64A71784"/>
    <w:rsid w:val="64A80C06"/>
    <w:rsid w:val="64A82257"/>
    <w:rsid w:val="64A8F994"/>
    <w:rsid w:val="64A9388F"/>
    <w:rsid w:val="64A95800"/>
    <w:rsid w:val="64A9B307"/>
    <w:rsid w:val="64A9E3B4"/>
    <w:rsid w:val="64AA9EBA"/>
    <w:rsid w:val="64AB86CA"/>
    <w:rsid w:val="64ABCA73"/>
    <w:rsid w:val="64ACA92D"/>
    <w:rsid w:val="64AEAD67"/>
    <w:rsid w:val="64AF11B7"/>
    <w:rsid w:val="64AFF424"/>
    <w:rsid w:val="64B107AD"/>
    <w:rsid w:val="64B1B798"/>
    <w:rsid w:val="64B4D23A"/>
    <w:rsid w:val="64B6098A"/>
    <w:rsid w:val="64B7D71C"/>
    <w:rsid w:val="64BB23AA"/>
    <w:rsid w:val="64BC277C"/>
    <w:rsid w:val="64BEE736"/>
    <w:rsid w:val="64C0F4D0"/>
    <w:rsid w:val="64C1294C"/>
    <w:rsid w:val="64C28F18"/>
    <w:rsid w:val="64C2F799"/>
    <w:rsid w:val="64C4D6DC"/>
    <w:rsid w:val="64C53C22"/>
    <w:rsid w:val="64C5CDDF"/>
    <w:rsid w:val="64C645E4"/>
    <w:rsid w:val="64C6B39D"/>
    <w:rsid w:val="64C6DE18"/>
    <w:rsid w:val="64C7E4FF"/>
    <w:rsid w:val="64C8A9E2"/>
    <w:rsid w:val="64C8CA9C"/>
    <w:rsid w:val="64C9526D"/>
    <w:rsid w:val="64CAB0EE"/>
    <w:rsid w:val="64CC511B"/>
    <w:rsid w:val="64CE153F"/>
    <w:rsid w:val="64CE9590"/>
    <w:rsid w:val="64CEF815"/>
    <w:rsid w:val="64CF087F"/>
    <w:rsid w:val="64CF309A"/>
    <w:rsid w:val="64D0F438"/>
    <w:rsid w:val="64D46BBB"/>
    <w:rsid w:val="64D4D4CD"/>
    <w:rsid w:val="64D69535"/>
    <w:rsid w:val="64D76C9F"/>
    <w:rsid w:val="64D7AEC5"/>
    <w:rsid w:val="64D80E15"/>
    <w:rsid w:val="64D90A4A"/>
    <w:rsid w:val="64D90BE1"/>
    <w:rsid w:val="64DA0324"/>
    <w:rsid w:val="64DA4792"/>
    <w:rsid w:val="64DA8C0A"/>
    <w:rsid w:val="64DAE86C"/>
    <w:rsid w:val="64DBD984"/>
    <w:rsid w:val="64DDE266"/>
    <w:rsid w:val="64DEE4DE"/>
    <w:rsid w:val="64E034E3"/>
    <w:rsid w:val="64E13AFD"/>
    <w:rsid w:val="64E19B95"/>
    <w:rsid w:val="64E1BD64"/>
    <w:rsid w:val="64E27634"/>
    <w:rsid w:val="64E28F55"/>
    <w:rsid w:val="64E2D299"/>
    <w:rsid w:val="64E3F0B0"/>
    <w:rsid w:val="64E496B5"/>
    <w:rsid w:val="64E52EED"/>
    <w:rsid w:val="64E68F81"/>
    <w:rsid w:val="64E7196D"/>
    <w:rsid w:val="64E811BE"/>
    <w:rsid w:val="64E9DBD5"/>
    <w:rsid w:val="64EC412E"/>
    <w:rsid w:val="64EC761E"/>
    <w:rsid w:val="64ED5CD7"/>
    <w:rsid w:val="64EDE3D7"/>
    <w:rsid w:val="64EF1FC9"/>
    <w:rsid w:val="64F03CDD"/>
    <w:rsid w:val="64F086F9"/>
    <w:rsid w:val="64F23D8E"/>
    <w:rsid w:val="64F24EC4"/>
    <w:rsid w:val="64F2716A"/>
    <w:rsid w:val="64F29B45"/>
    <w:rsid w:val="64F3153D"/>
    <w:rsid w:val="64F3807A"/>
    <w:rsid w:val="64F397E0"/>
    <w:rsid w:val="64F4E382"/>
    <w:rsid w:val="64F4FFB6"/>
    <w:rsid w:val="64F6A618"/>
    <w:rsid w:val="64F84F6D"/>
    <w:rsid w:val="64F85462"/>
    <w:rsid w:val="64F966E0"/>
    <w:rsid w:val="64FA030A"/>
    <w:rsid w:val="64FCB60F"/>
    <w:rsid w:val="65015E46"/>
    <w:rsid w:val="65028836"/>
    <w:rsid w:val="65048E49"/>
    <w:rsid w:val="650506C6"/>
    <w:rsid w:val="650650DF"/>
    <w:rsid w:val="6506E821"/>
    <w:rsid w:val="650823D0"/>
    <w:rsid w:val="65090389"/>
    <w:rsid w:val="650A23DC"/>
    <w:rsid w:val="650AF235"/>
    <w:rsid w:val="650C6DE8"/>
    <w:rsid w:val="650D6993"/>
    <w:rsid w:val="650D90DA"/>
    <w:rsid w:val="650DA185"/>
    <w:rsid w:val="650FEC22"/>
    <w:rsid w:val="65104128"/>
    <w:rsid w:val="65105409"/>
    <w:rsid w:val="65108AD4"/>
    <w:rsid w:val="65112C8E"/>
    <w:rsid w:val="651241C8"/>
    <w:rsid w:val="6512628B"/>
    <w:rsid w:val="6513DD78"/>
    <w:rsid w:val="6514135B"/>
    <w:rsid w:val="651460CF"/>
    <w:rsid w:val="65157D8F"/>
    <w:rsid w:val="651606D0"/>
    <w:rsid w:val="65195BF0"/>
    <w:rsid w:val="651AEDDB"/>
    <w:rsid w:val="651AFB5B"/>
    <w:rsid w:val="651BC2B9"/>
    <w:rsid w:val="651CD3E5"/>
    <w:rsid w:val="651CE7D4"/>
    <w:rsid w:val="651CF936"/>
    <w:rsid w:val="651E83B4"/>
    <w:rsid w:val="651EDA36"/>
    <w:rsid w:val="6520DF62"/>
    <w:rsid w:val="65221715"/>
    <w:rsid w:val="6527845B"/>
    <w:rsid w:val="6528BD5C"/>
    <w:rsid w:val="65292F9F"/>
    <w:rsid w:val="65296151"/>
    <w:rsid w:val="652A3087"/>
    <w:rsid w:val="652B323D"/>
    <w:rsid w:val="652B4E19"/>
    <w:rsid w:val="652B8BF9"/>
    <w:rsid w:val="652CCC7A"/>
    <w:rsid w:val="652CF1D0"/>
    <w:rsid w:val="65312A95"/>
    <w:rsid w:val="65318DF0"/>
    <w:rsid w:val="6533D76C"/>
    <w:rsid w:val="65359E62"/>
    <w:rsid w:val="6536D35E"/>
    <w:rsid w:val="653702F4"/>
    <w:rsid w:val="6538359D"/>
    <w:rsid w:val="6538A532"/>
    <w:rsid w:val="653A65E7"/>
    <w:rsid w:val="653AA345"/>
    <w:rsid w:val="653B4665"/>
    <w:rsid w:val="653E22B4"/>
    <w:rsid w:val="653F77D9"/>
    <w:rsid w:val="65423E71"/>
    <w:rsid w:val="654246F1"/>
    <w:rsid w:val="65432680"/>
    <w:rsid w:val="6543B76C"/>
    <w:rsid w:val="65450440"/>
    <w:rsid w:val="65458319"/>
    <w:rsid w:val="65468524"/>
    <w:rsid w:val="6546BF24"/>
    <w:rsid w:val="65470871"/>
    <w:rsid w:val="654853EE"/>
    <w:rsid w:val="65488A2F"/>
    <w:rsid w:val="654A70E5"/>
    <w:rsid w:val="654B6647"/>
    <w:rsid w:val="654F2E45"/>
    <w:rsid w:val="6550883C"/>
    <w:rsid w:val="6550A392"/>
    <w:rsid w:val="65516AC6"/>
    <w:rsid w:val="65518021"/>
    <w:rsid w:val="655185B8"/>
    <w:rsid w:val="6551BD80"/>
    <w:rsid w:val="6551F743"/>
    <w:rsid w:val="65524D82"/>
    <w:rsid w:val="6553195B"/>
    <w:rsid w:val="65532263"/>
    <w:rsid w:val="6553A4AB"/>
    <w:rsid w:val="655465FF"/>
    <w:rsid w:val="6557E3ED"/>
    <w:rsid w:val="6557E594"/>
    <w:rsid w:val="6558D6E6"/>
    <w:rsid w:val="655A2699"/>
    <w:rsid w:val="655A5DB5"/>
    <w:rsid w:val="655AF6E9"/>
    <w:rsid w:val="655B9F4C"/>
    <w:rsid w:val="655BDBC8"/>
    <w:rsid w:val="655DA51C"/>
    <w:rsid w:val="655F66B8"/>
    <w:rsid w:val="655FB560"/>
    <w:rsid w:val="65622663"/>
    <w:rsid w:val="65647431"/>
    <w:rsid w:val="65674CB7"/>
    <w:rsid w:val="6567DC28"/>
    <w:rsid w:val="65680EF0"/>
    <w:rsid w:val="6568286F"/>
    <w:rsid w:val="65682B12"/>
    <w:rsid w:val="6568C1FE"/>
    <w:rsid w:val="6568FD1D"/>
    <w:rsid w:val="6569952C"/>
    <w:rsid w:val="656A9868"/>
    <w:rsid w:val="656C7CAD"/>
    <w:rsid w:val="656D83B2"/>
    <w:rsid w:val="65700556"/>
    <w:rsid w:val="6571AD8A"/>
    <w:rsid w:val="6576F96A"/>
    <w:rsid w:val="65788A7E"/>
    <w:rsid w:val="65793E6C"/>
    <w:rsid w:val="657A0927"/>
    <w:rsid w:val="657A3415"/>
    <w:rsid w:val="657C3F12"/>
    <w:rsid w:val="657C78D2"/>
    <w:rsid w:val="657CB379"/>
    <w:rsid w:val="657F5C03"/>
    <w:rsid w:val="65807DA7"/>
    <w:rsid w:val="6580CE2A"/>
    <w:rsid w:val="658113C7"/>
    <w:rsid w:val="65816B75"/>
    <w:rsid w:val="65829A39"/>
    <w:rsid w:val="6582D82D"/>
    <w:rsid w:val="6583B51C"/>
    <w:rsid w:val="65853872"/>
    <w:rsid w:val="6588BD7E"/>
    <w:rsid w:val="6589977C"/>
    <w:rsid w:val="658C781B"/>
    <w:rsid w:val="658DF991"/>
    <w:rsid w:val="659033DC"/>
    <w:rsid w:val="659078E8"/>
    <w:rsid w:val="6590D458"/>
    <w:rsid w:val="6590D54F"/>
    <w:rsid w:val="65915919"/>
    <w:rsid w:val="65925D7A"/>
    <w:rsid w:val="65945F1C"/>
    <w:rsid w:val="6594CDC9"/>
    <w:rsid w:val="6594F77A"/>
    <w:rsid w:val="65954C30"/>
    <w:rsid w:val="6595D19D"/>
    <w:rsid w:val="65960CA8"/>
    <w:rsid w:val="6596A6B7"/>
    <w:rsid w:val="6597EB5F"/>
    <w:rsid w:val="65984696"/>
    <w:rsid w:val="65993A4E"/>
    <w:rsid w:val="65995952"/>
    <w:rsid w:val="659A53B7"/>
    <w:rsid w:val="659B94BC"/>
    <w:rsid w:val="659BED8D"/>
    <w:rsid w:val="659CDB7A"/>
    <w:rsid w:val="659E4C8E"/>
    <w:rsid w:val="659F562F"/>
    <w:rsid w:val="65A21605"/>
    <w:rsid w:val="65A2CAE8"/>
    <w:rsid w:val="65A3D1D0"/>
    <w:rsid w:val="65A3EE9E"/>
    <w:rsid w:val="65A4F4F7"/>
    <w:rsid w:val="65A51544"/>
    <w:rsid w:val="65A59163"/>
    <w:rsid w:val="65A60537"/>
    <w:rsid w:val="65A67281"/>
    <w:rsid w:val="65A6B9D3"/>
    <w:rsid w:val="65A9BA40"/>
    <w:rsid w:val="65AAC3C5"/>
    <w:rsid w:val="65AD6B45"/>
    <w:rsid w:val="65AD83D9"/>
    <w:rsid w:val="65B0FEF3"/>
    <w:rsid w:val="65B14695"/>
    <w:rsid w:val="65B163D2"/>
    <w:rsid w:val="65B174C2"/>
    <w:rsid w:val="65B3618E"/>
    <w:rsid w:val="65B46C15"/>
    <w:rsid w:val="65B48B4E"/>
    <w:rsid w:val="65B59D4A"/>
    <w:rsid w:val="65B6E738"/>
    <w:rsid w:val="65B7E202"/>
    <w:rsid w:val="65BC4C30"/>
    <w:rsid w:val="65BD7CDD"/>
    <w:rsid w:val="65BD9C2C"/>
    <w:rsid w:val="65C0B593"/>
    <w:rsid w:val="65C0D4C0"/>
    <w:rsid w:val="65C11B3A"/>
    <w:rsid w:val="65C18F71"/>
    <w:rsid w:val="65C32402"/>
    <w:rsid w:val="65C33621"/>
    <w:rsid w:val="65C33684"/>
    <w:rsid w:val="65C4C79E"/>
    <w:rsid w:val="65C69E0D"/>
    <w:rsid w:val="65C6B437"/>
    <w:rsid w:val="65C75174"/>
    <w:rsid w:val="65C89838"/>
    <w:rsid w:val="65CA55F4"/>
    <w:rsid w:val="65CD1504"/>
    <w:rsid w:val="65CD4EE6"/>
    <w:rsid w:val="65CD8175"/>
    <w:rsid w:val="65CE57B0"/>
    <w:rsid w:val="65CEC72D"/>
    <w:rsid w:val="65CFD006"/>
    <w:rsid w:val="65D02134"/>
    <w:rsid w:val="65D0CF23"/>
    <w:rsid w:val="65D427BE"/>
    <w:rsid w:val="65D42F72"/>
    <w:rsid w:val="65D48DF4"/>
    <w:rsid w:val="65D5C8D8"/>
    <w:rsid w:val="65D7A7D8"/>
    <w:rsid w:val="65D9BD49"/>
    <w:rsid w:val="65DA28F1"/>
    <w:rsid w:val="65DA605D"/>
    <w:rsid w:val="65DB5075"/>
    <w:rsid w:val="65DC4397"/>
    <w:rsid w:val="65DE6FF8"/>
    <w:rsid w:val="65E026DA"/>
    <w:rsid w:val="65E07357"/>
    <w:rsid w:val="65E19FD5"/>
    <w:rsid w:val="65E25388"/>
    <w:rsid w:val="65E3786D"/>
    <w:rsid w:val="65E3DC66"/>
    <w:rsid w:val="65E45D81"/>
    <w:rsid w:val="65E4A277"/>
    <w:rsid w:val="65E4AB93"/>
    <w:rsid w:val="65E50DB2"/>
    <w:rsid w:val="65E7760E"/>
    <w:rsid w:val="65EAE895"/>
    <w:rsid w:val="65EB1287"/>
    <w:rsid w:val="65EB1AA2"/>
    <w:rsid w:val="65EC25F2"/>
    <w:rsid w:val="65EC5496"/>
    <w:rsid w:val="65ED52A6"/>
    <w:rsid w:val="65EDE6B8"/>
    <w:rsid w:val="65EE1413"/>
    <w:rsid w:val="65EF89D4"/>
    <w:rsid w:val="65F1E04F"/>
    <w:rsid w:val="65F2D42E"/>
    <w:rsid w:val="65F34ECB"/>
    <w:rsid w:val="65F4D4AF"/>
    <w:rsid w:val="65F5B6FD"/>
    <w:rsid w:val="65F66E7C"/>
    <w:rsid w:val="65F69CC2"/>
    <w:rsid w:val="65F73AA4"/>
    <w:rsid w:val="65F78CCC"/>
    <w:rsid w:val="65F7939C"/>
    <w:rsid w:val="65F94F37"/>
    <w:rsid w:val="65FAB75A"/>
    <w:rsid w:val="65FCC7F2"/>
    <w:rsid w:val="65FCD402"/>
    <w:rsid w:val="65FD51A8"/>
    <w:rsid w:val="65FFDB29"/>
    <w:rsid w:val="660471C4"/>
    <w:rsid w:val="66093D27"/>
    <w:rsid w:val="660A9FD9"/>
    <w:rsid w:val="660B6379"/>
    <w:rsid w:val="660BD6E5"/>
    <w:rsid w:val="660DD903"/>
    <w:rsid w:val="660E94C1"/>
    <w:rsid w:val="660F05FD"/>
    <w:rsid w:val="66109F1B"/>
    <w:rsid w:val="661266FA"/>
    <w:rsid w:val="66161BAA"/>
    <w:rsid w:val="66168556"/>
    <w:rsid w:val="661705BE"/>
    <w:rsid w:val="661782F0"/>
    <w:rsid w:val="661913BE"/>
    <w:rsid w:val="66194797"/>
    <w:rsid w:val="661B2C21"/>
    <w:rsid w:val="661B391C"/>
    <w:rsid w:val="661B558D"/>
    <w:rsid w:val="661C2C64"/>
    <w:rsid w:val="661C3056"/>
    <w:rsid w:val="661C44CF"/>
    <w:rsid w:val="661E8AD4"/>
    <w:rsid w:val="661F6B34"/>
    <w:rsid w:val="66210EAE"/>
    <w:rsid w:val="662143E9"/>
    <w:rsid w:val="6622CC8E"/>
    <w:rsid w:val="6623062A"/>
    <w:rsid w:val="662330CF"/>
    <w:rsid w:val="66245D39"/>
    <w:rsid w:val="6625A93F"/>
    <w:rsid w:val="66265093"/>
    <w:rsid w:val="66269E4B"/>
    <w:rsid w:val="662841F5"/>
    <w:rsid w:val="66288C3D"/>
    <w:rsid w:val="6629C382"/>
    <w:rsid w:val="662A423E"/>
    <w:rsid w:val="662AE89F"/>
    <w:rsid w:val="662CBA19"/>
    <w:rsid w:val="662CFADB"/>
    <w:rsid w:val="662ED75E"/>
    <w:rsid w:val="662F6970"/>
    <w:rsid w:val="66300290"/>
    <w:rsid w:val="66314F46"/>
    <w:rsid w:val="6632BC87"/>
    <w:rsid w:val="6632CA81"/>
    <w:rsid w:val="6632ED7F"/>
    <w:rsid w:val="66337107"/>
    <w:rsid w:val="66341321"/>
    <w:rsid w:val="6636811D"/>
    <w:rsid w:val="6636C47D"/>
    <w:rsid w:val="6636F47E"/>
    <w:rsid w:val="663887A5"/>
    <w:rsid w:val="6638F512"/>
    <w:rsid w:val="663B65F2"/>
    <w:rsid w:val="663BE9FD"/>
    <w:rsid w:val="663D4481"/>
    <w:rsid w:val="663DDF08"/>
    <w:rsid w:val="663E2804"/>
    <w:rsid w:val="663E468F"/>
    <w:rsid w:val="663FABC6"/>
    <w:rsid w:val="6640AAA3"/>
    <w:rsid w:val="66434D4A"/>
    <w:rsid w:val="664527EC"/>
    <w:rsid w:val="6645D7CD"/>
    <w:rsid w:val="6647956D"/>
    <w:rsid w:val="66483A52"/>
    <w:rsid w:val="66487DC9"/>
    <w:rsid w:val="6648B800"/>
    <w:rsid w:val="66495589"/>
    <w:rsid w:val="664986C6"/>
    <w:rsid w:val="6649E315"/>
    <w:rsid w:val="664A26B7"/>
    <w:rsid w:val="664A973B"/>
    <w:rsid w:val="664AFB29"/>
    <w:rsid w:val="664C0BD9"/>
    <w:rsid w:val="664C1361"/>
    <w:rsid w:val="664E995D"/>
    <w:rsid w:val="664F0BAB"/>
    <w:rsid w:val="664F5294"/>
    <w:rsid w:val="6650DBC4"/>
    <w:rsid w:val="6651075E"/>
    <w:rsid w:val="66530068"/>
    <w:rsid w:val="6653F9A5"/>
    <w:rsid w:val="6654F03A"/>
    <w:rsid w:val="66560A61"/>
    <w:rsid w:val="66576AF9"/>
    <w:rsid w:val="66588D49"/>
    <w:rsid w:val="6659C536"/>
    <w:rsid w:val="6659FE49"/>
    <w:rsid w:val="665A36F1"/>
    <w:rsid w:val="665A80E3"/>
    <w:rsid w:val="665B3766"/>
    <w:rsid w:val="665F3638"/>
    <w:rsid w:val="665F55D0"/>
    <w:rsid w:val="66608A7E"/>
    <w:rsid w:val="6660A34A"/>
    <w:rsid w:val="666295C6"/>
    <w:rsid w:val="6662E2D1"/>
    <w:rsid w:val="6663A2D4"/>
    <w:rsid w:val="6663E723"/>
    <w:rsid w:val="66643D11"/>
    <w:rsid w:val="666499E1"/>
    <w:rsid w:val="66655F23"/>
    <w:rsid w:val="6665CA70"/>
    <w:rsid w:val="666689D9"/>
    <w:rsid w:val="6666AD80"/>
    <w:rsid w:val="6666BA3D"/>
    <w:rsid w:val="66678B7D"/>
    <w:rsid w:val="6667AA11"/>
    <w:rsid w:val="6667D086"/>
    <w:rsid w:val="6667D705"/>
    <w:rsid w:val="66694D82"/>
    <w:rsid w:val="6669DF03"/>
    <w:rsid w:val="666A44CF"/>
    <w:rsid w:val="666AA7FA"/>
    <w:rsid w:val="666ABE7E"/>
    <w:rsid w:val="666BD0C5"/>
    <w:rsid w:val="666D0BEC"/>
    <w:rsid w:val="666ED44E"/>
    <w:rsid w:val="666F1D4A"/>
    <w:rsid w:val="666F29EF"/>
    <w:rsid w:val="666F3794"/>
    <w:rsid w:val="666F4989"/>
    <w:rsid w:val="666FB7CF"/>
    <w:rsid w:val="666FFBCC"/>
    <w:rsid w:val="66713BE8"/>
    <w:rsid w:val="66713BF4"/>
    <w:rsid w:val="6672BB2F"/>
    <w:rsid w:val="6672F178"/>
    <w:rsid w:val="66731EE2"/>
    <w:rsid w:val="667354A9"/>
    <w:rsid w:val="66742B36"/>
    <w:rsid w:val="66742E76"/>
    <w:rsid w:val="6674D82B"/>
    <w:rsid w:val="6675AA53"/>
    <w:rsid w:val="667764F8"/>
    <w:rsid w:val="667783B8"/>
    <w:rsid w:val="6677F6E5"/>
    <w:rsid w:val="66794C7C"/>
    <w:rsid w:val="667AD087"/>
    <w:rsid w:val="667AF35F"/>
    <w:rsid w:val="667B8247"/>
    <w:rsid w:val="667C2470"/>
    <w:rsid w:val="667CC716"/>
    <w:rsid w:val="667D0D7D"/>
    <w:rsid w:val="667FC5B0"/>
    <w:rsid w:val="66808746"/>
    <w:rsid w:val="66833614"/>
    <w:rsid w:val="6683AF2F"/>
    <w:rsid w:val="66863EEB"/>
    <w:rsid w:val="6687D42A"/>
    <w:rsid w:val="66886DF0"/>
    <w:rsid w:val="66895C7D"/>
    <w:rsid w:val="6689D5BA"/>
    <w:rsid w:val="668A3E18"/>
    <w:rsid w:val="668ABC79"/>
    <w:rsid w:val="668B1044"/>
    <w:rsid w:val="668B2437"/>
    <w:rsid w:val="668E7EAB"/>
    <w:rsid w:val="668EC54F"/>
    <w:rsid w:val="668F6F9E"/>
    <w:rsid w:val="668FDACC"/>
    <w:rsid w:val="66902A08"/>
    <w:rsid w:val="66911B10"/>
    <w:rsid w:val="66929575"/>
    <w:rsid w:val="66949479"/>
    <w:rsid w:val="6694D7D7"/>
    <w:rsid w:val="6695F87B"/>
    <w:rsid w:val="6696959A"/>
    <w:rsid w:val="6696BC14"/>
    <w:rsid w:val="6696C73F"/>
    <w:rsid w:val="66971C3B"/>
    <w:rsid w:val="66977777"/>
    <w:rsid w:val="6698EC8B"/>
    <w:rsid w:val="669A12E0"/>
    <w:rsid w:val="669AE828"/>
    <w:rsid w:val="669B3EC3"/>
    <w:rsid w:val="669C07ED"/>
    <w:rsid w:val="669CA107"/>
    <w:rsid w:val="669CA16D"/>
    <w:rsid w:val="669DECB0"/>
    <w:rsid w:val="669F7E13"/>
    <w:rsid w:val="669F80F0"/>
    <w:rsid w:val="66A1857A"/>
    <w:rsid w:val="66A24798"/>
    <w:rsid w:val="66A502A5"/>
    <w:rsid w:val="66A69814"/>
    <w:rsid w:val="66A77DFB"/>
    <w:rsid w:val="66A995C4"/>
    <w:rsid w:val="66AAE69B"/>
    <w:rsid w:val="66AC169C"/>
    <w:rsid w:val="66AC1761"/>
    <w:rsid w:val="66AEA2D0"/>
    <w:rsid w:val="66AED78C"/>
    <w:rsid w:val="66AF0FAA"/>
    <w:rsid w:val="66B096EA"/>
    <w:rsid w:val="66B16185"/>
    <w:rsid w:val="66B5614F"/>
    <w:rsid w:val="66B5F972"/>
    <w:rsid w:val="66B73F68"/>
    <w:rsid w:val="66B7C866"/>
    <w:rsid w:val="66B83DDF"/>
    <w:rsid w:val="66B93EAE"/>
    <w:rsid w:val="66B97064"/>
    <w:rsid w:val="66B9D6B9"/>
    <w:rsid w:val="66BA55B7"/>
    <w:rsid w:val="66BACA63"/>
    <w:rsid w:val="66BB3884"/>
    <w:rsid w:val="66BC211D"/>
    <w:rsid w:val="66BCCB7C"/>
    <w:rsid w:val="66BE3DCE"/>
    <w:rsid w:val="66BF8BB9"/>
    <w:rsid w:val="66C091D8"/>
    <w:rsid w:val="66C1A186"/>
    <w:rsid w:val="66C2CB9C"/>
    <w:rsid w:val="66C2D4E2"/>
    <w:rsid w:val="66C3BD0A"/>
    <w:rsid w:val="66C89F00"/>
    <w:rsid w:val="66C9E0F8"/>
    <w:rsid w:val="66C9E5CE"/>
    <w:rsid w:val="66CA8B85"/>
    <w:rsid w:val="66CC48C6"/>
    <w:rsid w:val="66CC54B0"/>
    <w:rsid w:val="66CCBCF1"/>
    <w:rsid w:val="66CF4DEF"/>
    <w:rsid w:val="66CF5FDE"/>
    <w:rsid w:val="66D071AA"/>
    <w:rsid w:val="66D0F666"/>
    <w:rsid w:val="66D1D274"/>
    <w:rsid w:val="66D1E17C"/>
    <w:rsid w:val="66D1E6DE"/>
    <w:rsid w:val="66D2259C"/>
    <w:rsid w:val="66D2FC28"/>
    <w:rsid w:val="66D32E54"/>
    <w:rsid w:val="66D3B091"/>
    <w:rsid w:val="66D4E096"/>
    <w:rsid w:val="66D4E324"/>
    <w:rsid w:val="66D529D0"/>
    <w:rsid w:val="66D72614"/>
    <w:rsid w:val="66DA2A0E"/>
    <w:rsid w:val="66DA76A4"/>
    <w:rsid w:val="66DB4579"/>
    <w:rsid w:val="66DBE5C5"/>
    <w:rsid w:val="66DE2C6C"/>
    <w:rsid w:val="66DE5C85"/>
    <w:rsid w:val="66DE6DA4"/>
    <w:rsid w:val="66DF4EA4"/>
    <w:rsid w:val="66E04829"/>
    <w:rsid w:val="66E3CBD4"/>
    <w:rsid w:val="66E4232F"/>
    <w:rsid w:val="66E4CB5A"/>
    <w:rsid w:val="66E6A9BD"/>
    <w:rsid w:val="66E6C0E5"/>
    <w:rsid w:val="66E78956"/>
    <w:rsid w:val="66E8A048"/>
    <w:rsid w:val="66E9523B"/>
    <w:rsid w:val="66EBD7ED"/>
    <w:rsid w:val="66EC27BD"/>
    <w:rsid w:val="66ECA9BC"/>
    <w:rsid w:val="66ED2802"/>
    <w:rsid w:val="66EDBA96"/>
    <w:rsid w:val="66EF2038"/>
    <w:rsid w:val="66EF4FF0"/>
    <w:rsid w:val="66F06225"/>
    <w:rsid w:val="66F0B2BB"/>
    <w:rsid w:val="66F235CF"/>
    <w:rsid w:val="66F2A1AB"/>
    <w:rsid w:val="66F2E36E"/>
    <w:rsid w:val="66F553CA"/>
    <w:rsid w:val="66FAC46C"/>
    <w:rsid w:val="66FAC786"/>
    <w:rsid w:val="66FB1C13"/>
    <w:rsid w:val="67000619"/>
    <w:rsid w:val="6700DFB5"/>
    <w:rsid w:val="6701871B"/>
    <w:rsid w:val="6704EB2E"/>
    <w:rsid w:val="67060FAD"/>
    <w:rsid w:val="6706AAF0"/>
    <w:rsid w:val="6709E103"/>
    <w:rsid w:val="670AF0C6"/>
    <w:rsid w:val="670B9BFA"/>
    <w:rsid w:val="670C2543"/>
    <w:rsid w:val="670C9A85"/>
    <w:rsid w:val="670E4AA2"/>
    <w:rsid w:val="670F5453"/>
    <w:rsid w:val="6711AF49"/>
    <w:rsid w:val="6711BE91"/>
    <w:rsid w:val="6711D75D"/>
    <w:rsid w:val="67130067"/>
    <w:rsid w:val="6714ACF4"/>
    <w:rsid w:val="6715CF81"/>
    <w:rsid w:val="67185497"/>
    <w:rsid w:val="6718AB23"/>
    <w:rsid w:val="6718C1D5"/>
    <w:rsid w:val="6719EBCF"/>
    <w:rsid w:val="671AA20B"/>
    <w:rsid w:val="671D757A"/>
    <w:rsid w:val="671E01C5"/>
    <w:rsid w:val="671EE826"/>
    <w:rsid w:val="67203F65"/>
    <w:rsid w:val="672098DD"/>
    <w:rsid w:val="6724C4A1"/>
    <w:rsid w:val="6725D92D"/>
    <w:rsid w:val="672A2E3D"/>
    <w:rsid w:val="672B09DF"/>
    <w:rsid w:val="672B5E37"/>
    <w:rsid w:val="672BC4B9"/>
    <w:rsid w:val="672C3524"/>
    <w:rsid w:val="672DD283"/>
    <w:rsid w:val="6732D928"/>
    <w:rsid w:val="67339838"/>
    <w:rsid w:val="6733DD6B"/>
    <w:rsid w:val="67347015"/>
    <w:rsid w:val="67347EEB"/>
    <w:rsid w:val="6734C90C"/>
    <w:rsid w:val="67350136"/>
    <w:rsid w:val="67358620"/>
    <w:rsid w:val="673649D5"/>
    <w:rsid w:val="6738A05B"/>
    <w:rsid w:val="673A37B8"/>
    <w:rsid w:val="673B5DCB"/>
    <w:rsid w:val="673BA06E"/>
    <w:rsid w:val="673C090C"/>
    <w:rsid w:val="673C8DF1"/>
    <w:rsid w:val="673CCF80"/>
    <w:rsid w:val="673DE2E5"/>
    <w:rsid w:val="673EEAAB"/>
    <w:rsid w:val="6740B344"/>
    <w:rsid w:val="674100C5"/>
    <w:rsid w:val="67418359"/>
    <w:rsid w:val="67425AAA"/>
    <w:rsid w:val="674267D4"/>
    <w:rsid w:val="67431EF7"/>
    <w:rsid w:val="674542BC"/>
    <w:rsid w:val="67458033"/>
    <w:rsid w:val="6745EB34"/>
    <w:rsid w:val="67468292"/>
    <w:rsid w:val="67478F8A"/>
    <w:rsid w:val="67484FE5"/>
    <w:rsid w:val="67486534"/>
    <w:rsid w:val="6749A964"/>
    <w:rsid w:val="674A8D9C"/>
    <w:rsid w:val="674DEAB2"/>
    <w:rsid w:val="674E2836"/>
    <w:rsid w:val="674F066F"/>
    <w:rsid w:val="674FC4CC"/>
    <w:rsid w:val="67545B8C"/>
    <w:rsid w:val="67549F4A"/>
    <w:rsid w:val="6755198C"/>
    <w:rsid w:val="67559F5C"/>
    <w:rsid w:val="675607F5"/>
    <w:rsid w:val="67575337"/>
    <w:rsid w:val="67582E43"/>
    <w:rsid w:val="6758598B"/>
    <w:rsid w:val="675862BD"/>
    <w:rsid w:val="67597197"/>
    <w:rsid w:val="675A06BF"/>
    <w:rsid w:val="675A7597"/>
    <w:rsid w:val="675B94E8"/>
    <w:rsid w:val="675BB509"/>
    <w:rsid w:val="675BBADB"/>
    <w:rsid w:val="675CAD90"/>
    <w:rsid w:val="675E437A"/>
    <w:rsid w:val="675E6979"/>
    <w:rsid w:val="675E7E45"/>
    <w:rsid w:val="6760BD93"/>
    <w:rsid w:val="6763FB76"/>
    <w:rsid w:val="67643290"/>
    <w:rsid w:val="676496D9"/>
    <w:rsid w:val="67652B72"/>
    <w:rsid w:val="6767B9AC"/>
    <w:rsid w:val="6769D7C5"/>
    <w:rsid w:val="676A6364"/>
    <w:rsid w:val="676BB5BB"/>
    <w:rsid w:val="676CF1E3"/>
    <w:rsid w:val="676D97CD"/>
    <w:rsid w:val="676E2098"/>
    <w:rsid w:val="676E4FC5"/>
    <w:rsid w:val="676E5934"/>
    <w:rsid w:val="676F8D11"/>
    <w:rsid w:val="6770A2F2"/>
    <w:rsid w:val="677394DD"/>
    <w:rsid w:val="67747727"/>
    <w:rsid w:val="6774A25A"/>
    <w:rsid w:val="67750FCA"/>
    <w:rsid w:val="6775134F"/>
    <w:rsid w:val="67761584"/>
    <w:rsid w:val="67762ACB"/>
    <w:rsid w:val="6776DD19"/>
    <w:rsid w:val="6777068D"/>
    <w:rsid w:val="6777E5F2"/>
    <w:rsid w:val="6779B0E0"/>
    <w:rsid w:val="677C4AC7"/>
    <w:rsid w:val="677F2630"/>
    <w:rsid w:val="677F2BA0"/>
    <w:rsid w:val="677FE859"/>
    <w:rsid w:val="678183A6"/>
    <w:rsid w:val="6781E666"/>
    <w:rsid w:val="6781EC6A"/>
    <w:rsid w:val="67823944"/>
    <w:rsid w:val="678317B0"/>
    <w:rsid w:val="67841507"/>
    <w:rsid w:val="6784C4A7"/>
    <w:rsid w:val="6784D0E4"/>
    <w:rsid w:val="678567BC"/>
    <w:rsid w:val="67859746"/>
    <w:rsid w:val="6785A5EA"/>
    <w:rsid w:val="678615FC"/>
    <w:rsid w:val="6786FAC3"/>
    <w:rsid w:val="678902CD"/>
    <w:rsid w:val="6789223C"/>
    <w:rsid w:val="678AD6D3"/>
    <w:rsid w:val="678BC216"/>
    <w:rsid w:val="678C8E01"/>
    <w:rsid w:val="678CA3D5"/>
    <w:rsid w:val="678D8167"/>
    <w:rsid w:val="678D91A6"/>
    <w:rsid w:val="678FEFBC"/>
    <w:rsid w:val="67906593"/>
    <w:rsid w:val="67927016"/>
    <w:rsid w:val="67931CC5"/>
    <w:rsid w:val="679553B5"/>
    <w:rsid w:val="6798A4DA"/>
    <w:rsid w:val="679AEB15"/>
    <w:rsid w:val="679D2BC9"/>
    <w:rsid w:val="679F2CAC"/>
    <w:rsid w:val="67A1DDC5"/>
    <w:rsid w:val="67A368C9"/>
    <w:rsid w:val="67A37E81"/>
    <w:rsid w:val="67A391CB"/>
    <w:rsid w:val="67A43874"/>
    <w:rsid w:val="67A4D447"/>
    <w:rsid w:val="67A57FF5"/>
    <w:rsid w:val="67A590E4"/>
    <w:rsid w:val="67A5FAF1"/>
    <w:rsid w:val="67A62FB3"/>
    <w:rsid w:val="67A735AE"/>
    <w:rsid w:val="67A7A20D"/>
    <w:rsid w:val="67A7AA86"/>
    <w:rsid w:val="67A8A72B"/>
    <w:rsid w:val="67A915F6"/>
    <w:rsid w:val="67A91747"/>
    <w:rsid w:val="67A9E429"/>
    <w:rsid w:val="67AA7208"/>
    <w:rsid w:val="67AB4992"/>
    <w:rsid w:val="67ABD54C"/>
    <w:rsid w:val="67AC413E"/>
    <w:rsid w:val="67ACBBFE"/>
    <w:rsid w:val="67AD1833"/>
    <w:rsid w:val="67AD3BB4"/>
    <w:rsid w:val="67AD95E5"/>
    <w:rsid w:val="67AE4432"/>
    <w:rsid w:val="67AEA109"/>
    <w:rsid w:val="67AF5E73"/>
    <w:rsid w:val="67AFA279"/>
    <w:rsid w:val="67B08A92"/>
    <w:rsid w:val="67B0E097"/>
    <w:rsid w:val="67B0F992"/>
    <w:rsid w:val="67B1559C"/>
    <w:rsid w:val="67B1C000"/>
    <w:rsid w:val="67B22F33"/>
    <w:rsid w:val="67B380BC"/>
    <w:rsid w:val="67B7F55F"/>
    <w:rsid w:val="67BD30C0"/>
    <w:rsid w:val="67BD7490"/>
    <w:rsid w:val="67BD9144"/>
    <w:rsid w:val="67BE7CB7"/>
    <w:rsid w:val="67BEF387"/>
    <w:rsid w:val="67BF2B25"/>
    <w:rsid w:val="67BFA204"/>
    <w:rsid w:val="67BFB769"/>
    <w:rsid w:val="67C07A2F"/>
    <w:rsid w:val="67C184EA"/>
    <w:rsid w:val="67C32F4B"/>
    <w:rsid w:val="67C3D479"/>
    <w:rsid w:val="67C8BBA5"/>
    <w:rsid w:val="67C8EA11"/>
    <w:rsid w:val="67C9E0F5"/>
    <w:rsid w:val="67CA490E"/>
    <w:rsid w:val="67CAF8E7"/>
    <w:rsid w:val="67CB38D3"/>
    <w:rsid w:val="67CC7882"/>
    <w:rsid w:val="67CD6CFB"/>
    <w:rsid w:val="67CE5656"/>
    <w:rsid w:val="67CEC4AD"/>
    <w:rsid w:val="67CFA6D1"/>
    <w:rsid w:val="67D1F1DA"/>
    <w:rsid w:val="67D2AF38"/>
    <w:rsid w:val="67D310D9"/>
    <w:rsid w:val="67D46582"/>
    <w:rsid w:val="67D4D5EE"/>
    <w:rsid w:val="67D58387"/>
    <w:rsid w:val="67D5A220"/>
    <w:rsid w:val="67D65A97"/>
    <w:rsid w:val="67D67D4B"/>
    <w:rsid w:val="67D87ED7"/>
    <w:rsid w:val="67DA47F0"/>
    <w:rsid w:val="67DA51E6"/>
    <w:rsid w:val="67DA742D"/>
    <w:rsid w:val="67DAD8B4"/>
    <w:rsid w:val="67DB3958"/>
    <w:rsid w:val="67DB8910"/>
    <w:rsid w:val="67DE8DD1"/>
    <w:rsid w:val="67DFCA71"/>
    <w:rsid w:val="67DFEADF"/>
    <w:rsid w:val="67E036D7"/>
    <w:rsid w:val="67E0A261"/>
    <w:rsid w:val="67E38AB0"/>
    <w:rsid w:val="67E4AA21"/>
    <w:rsid w:val="67E65492"/>
    <w:rsid w:val="67E702DB"/>
    <w:rsid w:val="67E7267B"/>
    <w:rsid w:val="67E85BAF"/>
    <w:rsid w:val="67E861A9"/>
    <w:rsid w:val="67E8B891"/>
    <w:rsid w:val="67E9BA58"/>
    <w:rsid w:val="67ED12F1"/>
    <w:rsid w:val="67ED8D9E"/>
    <w:rsid w:val="67EDA45D"/>
    <w:rsid w:val="67EFB513"/>
    <w:rsid w:val="67EFC492"/>
    <w:rsid w:val="67F09510"/>
    <w:rsid w:val="67F1911A"/>
    <w:rsid w:val="67F1A41E"/>
    <w:rsid w:val="67F1B84C"/>
    <w:rsid w:val="67F48726"/>
    <w:rsid w:val="67F55538"/>
    <w:rsid w:val="67F56FFB"/>
    <w:rsid w:val="67F686BC"/>
    <w:rsid w:val="67F79D66"/>
    <w:rsid w:val="67F7A20F"/>
    <w:rsid w:val="67F7D531"/>
    <w:rsid w:val="67F85586"/>
    <w:rsid w:val="67F901BC"/>
    <w:rsid w:val="67F904B7"/>
    <w:rsid w:val="67F977A5"/>
    <w:rsid w:val="67FBC054"/>
    <w:rsid w:val="67FC42E8"/>
    <w:rsid w:val="67FC511C"/>
    <w:rsid w:val="67FCE216"/>
    <w:rsid w:val="67FCEF85"/>
    <w:rsid w:val="67FD0C02"/>
    <w:rsid w:val="67FEA12E"/>
    <w:rsid w:val="67FF0FE0"/>
    <w:rsid w:val="67FF3621"/>
    <w:rsid w:val="67FF9357"/>
    <w:rsid w:val="6802AE13"/>
    <w:rsid w:val="6803BFEC"/>
    <w:rsid w:val="68043FD8"/>
    <w:rsid w:val="680454C2"/>
    <w:rsid w:val="6806D2F3"/>
    <w:rsid w:val="6809CEA3"/>
    <w:rsid w:val="680A8607"/>
    <w:rsid w:val="680B56E4"/>
    <w:rsid w:val="680C5950"/>
    <w:rsid w:val="680CC3FC"/>
    <w:rsid w:val="680D6C53"/>
    <w:rsid w:val="680D982E"/>
    <w:rsid w:val="680DA213"/>
    <w:rsid w:val="680DA785"/>
    <w:rsid w:val="68117178"/>
    <w:rsid w:val="68121C4B"/>
    <w:rsid w:val="6812F7E4"/>
    <w:rsid w:val="68144C42"/>
    <w:rsid w:val="68145BDA"/>
    <w:rsid w:val="68154C7D"/>
    <w:rsid w:val="6815FBEB"/>
    <w:rsid w:val="6818F9C9"/>
    <w:rsid w:val="6819C9B9"/>
    <w:rsid w:val="681A1703"/>
    <w:rsid w:val="681A35DC"/>
    <w:rsid w:val="681C0D6F"/>
    <w:rsid w:val="681E0E9B"/>
    <w:rsid w:val="681E5452"/>
    <w:rsid w:val="681E749B"/>
    <w:rsid w:val="681EDF64"/>
    <w:rsid w:val="68201E04"/>
    <w:rsid w:val="6821A5B3"/>
    <w:rsid w:val="6821ACCF"/>
    <w:rsid w:val="6822746B"/>
    <w:rsid w:val="6823F56B"/>
    <w:rsid w:val="682416EB"/>
    <w:rsid w:val="6824B222"/>
    <w:rsid w:val="682648C3"/>
    <w:rsid w:val="6829C11D"/>
    <w:rsid w:val="682A145E"/>
    <w:rsid w:val="682AADF6"/>
    <w:rsid w:val="682ABD7A"/>
    <w:rsid w:val="682B884D"/>
    <w:rsid w:val="682BDFD3"/>
    <w:rsid w:val="682C5E84"/>
    <w:rsid w:val="682D2CB2"/>
    <w:rsid w:val="682F3B17"/>
    <w:rsid w:val="682FF042"/>
    <w:rsid w:val="68306189"/>
    <w:rsid w:val="6831B4CA"/>
    <w:rsid w:val="6831EA29"/>
    <w:rsid w:val="6831ECE2"/>
    <w:rsid w:val="68320E9C"/>
    <w:rsid w:val="6832624A"/>
    <w:rsid w:val="68332BD3"/>
    <w:rsid w:val="68349B0A"/>
    <w:rsid w:val="6834D8B4"/>
    <w:rsid w:val="6834F428"/>
    <w:rsid w:val="68354D9D"/>
    <w:rsid w:val="68356FED"/>
    <w:rsid w:val="68367335"/>
    <w:rsid w:val="68374139"/>
    <w:rsid w:val="683935E7"/>
    <w:rsid w:val="683AB104"/>
    <w:rsid w:val="683DA133"/>
    <w:rsid w:val="683DFD30"/>
    <w:rsid w:val="683E9A7B"/>
    <w:rsid w:val="683F67EF"/>
    <w:rsid w:val="6841CD3C"/>
    <w:rsid w:val="6841FDDD"/>
    <w:rsid w:val="6846543C"/>
    <w:rsid w:val="6847EBFD"/>
    <w:rsid w:val="68494D70"/>
    <w:rsid w:val="684963C0"/>
    <w:rsid w:val="68499EB5"/>
    <w:rsid w:val="684A02CD"/>
    <w:rsid w:val="684A15B2"/>
    <w:rsid w:val="684BC1F9"/>
    <w:rsid w:val="684C7945"/>
    <w:rsid w:val="6853F6BD"/>
    <w:rsid w:val="6853FED7"/>
    <w:rsid w:val="68549386"/>
    <w:rsid w:val="6856B67A"/>
    <w:rsid w:val="68574BEA"/>
    <w:rsid w:val="6859562D"/>
    <w:rsid w:val="685993BC"/>
    <w:rsid w:val="6859E9CF"/>
    <w:rsid w:val="685AB0DD"/>
    <w:rsid w:val="685EE356"/>
    <w:rsid w:val="685FD5E3"/>
    <w:rsid w:val="6860AA4D"/>
    <w:rsid w:val="68612E73"/>
    <w:rsid w:val="6863E389"/>
    <w:rsid w:val="68664CCE"/>
    <w:rsid w:val="6867783C"/>
    <w:rsid w:val="68677F0E"/>
    <w:rsid w:val="686789DF"/>
    <w:rsid w:val="68683DE7"/>
    <w:rsid w:val="6868ABB9"/>
    <w:rsid w:val="686B31F6"/>
    <w:rsid w:val="686B3E27"/>
    <w:rsid w:val="686B5ACB"/>
    <w:rsid w:val="686B8F8B"/>
    <w:rsid w:val="686C3CBA"/>
    <w:rsid w:val="686DEC7A"/>
    <w:rsid w:val="686EED1D"/>
    <w:rsid w:val="687035E5"/>
    <w:rsid w:val="6870493A"/>
    <w:rsid w:val="687133F1"/>
    <w:rsid w:val="6873B358"/>
    <w:rsid w:val="6876A75F"/>
    <w:rsid w:val="6876DACF"/>
    <w:rsid w:val="6877123E"/>
    <w:rsid w:val="6879C829"/>
    <w:rsid w:val="687C04DD"/>
    <w:rsid w:val="687CA098"/>
    <w:rsid w:val="687CDE01"/>
    <w:rsid w:val="687DB791"/>
    <w:rsid w:val="688206D8"/>
    <w:rsid w:val="68833D1A"/>
    <w:rsid w:val="688512CC"/>
    <w:rsid w:val="688537BA"/>
    <w:rsid w:val="68855ABD"/>
    <w:rsid w:val="6886CD3F"/>
    <w:rsid w:val="68881DA1"/>
    <w:rsid w:val="68891FAD"/>
    <w:rsid w:val="688A4A2B"/>
    <w:rsid w:val="688B3EAA"/>
    <w:rsid w:val="688C8907"/>
    <w:rsid w:val="688CCB91"/>
    <w:rsid w:val="688D4748"/>
    <w:rsid w:val="688DB6B6"/>
    <w:rsid w:val="688F4471"/>
    <w:rsid w:val="688F79D3"/>
    <w:rsid w:val="68921591"/>
    <w:rsid w:val="689284FB"/>
    <w:rsid w:val="6892CB1E"/>
    <w:rsid w:val="689328B7"/>
    <w:rsid w:val="6894C976"/>
    <w:rsid w:val="6894CD3C"/>
    <w:rsid w:val="6894CE7C"/>
    <w:rsid w:val="68950A70"/>
    <w:rsid w:val="68974079"/>
    <w:rsid w:val="689AEEC0"/>
    <w:rsid w:val="689B5099"/>
    <w:rsid w:val="689C2347"/>
    <w:rsid w:val="689C8372"/>
    <w:rsid w:val="689C8FC4"/>
    <w:rsid w:val="689D8E9D"/>
    <w:rsid w:val="689E874E"/>
    <w:rsid w:val="689EA0D9"/>
    <w:rsid w:val="689EC49D"/>
    <w:rsid w:val="68A1A6F8"/>
    <w:rsid w:val="68A38C42"/>
    <w:rsid w:val="68A41CD6"/>
    <w:rsid w:val="68A50C65"/>
    <w:rsid w:val="68A8360A"/>
    <w:rsid w:val="68AC7267"/>
    <w:rsid w:val="68AF7AB9"/>
    <w:rsid w:val="68B05882"/>
    <w:rsid w:val="68B291B8"/>
    <w:rsid w:val="68B301C2"/>
    <w:rsid w:val="68B30BCA"/>
    <w:rsid w:val="68B331D7"/>
    <w:rsid w:val="68B5BDFE"/>
    <w:rsid w:val="68B6B26D"/>
    <w:rsid w:val="68B84C7A"/>
    <w:rsid w:val="68B88989"/>
    <w:rsid w:val="68B945B5"/>
    <w:rsid w:val="68B9A35C"/>
    <w:rsid w:val="68BA2125"/>
    <w:rsid w:val="68BC9077"/>
    <w:rsid w:val="68BE9FDD"/>
    <w:rsid w:val="68C052F2"/>
    <w:rsid w:val="68C217DC"/>
    <w:rsid w:val="68C2324D"/>
    <w:rsid w:val="68C2DCB5"/>
    <w:rsid w:val="68C41B7B"/>
    <w:rsid w:val="68C5C13B"/>
    <w:rsid w:val="68C68B02"/>
    <w:rsid w:val="68C6C86E"/>
    <w:rsid w:val="68C6ED3E"/>
    <w:rsid w:val="68C70935"/>
    <w:rsid w:val="68C733F3"/>
    <w:rsid w:val="68C75AEE"/>
    <w:rsid w:val="68C8176B"/>
    <w:rsid w:val="68C8E395"/>
    <w:rsid w:val="68CBD457"/>
    <w:rsid w:val="68CE190D"/>
    <w:rsid w:val="68D042B1"/>
    <w:rsid w:val="68D07A3B"/>
    <w:rsid w:val="68D2AD92"/>
    <w:rsid w:val="68D2C21D"/>
    <w:rsid w:val="68D342B1"/>
    <w:rsid w:val="68D3707C"/>
    <w:rsid w:val="68D3A69E"/>
    <w:rsid w:val="68D4540D"/>
    <w:rsid w:val="68D6F2B8"/>
    <w:rsid w:val="68D73423"/>
    <w:rsid w:val="68D7C326"/>
    <w:rsid w:val="68D7E618"/>
    <w:rsid w:val="68DB1E21"/>
    <w:rsid w:val="68DBF6A9"/>
    <w:rsid w:val="68DD2D26"/>
    <w:rsid w:val="68DD73CB"/>
    <w:rsid w:val="68DECE2B"/>
    <w:rsid w:val="68DFD85B"/>
    <w:rsid w:val="68E2100B"/>
    <w:rsid w:val="68E372D3"/>
    <w:rsid w:val="68E3D3AE"/>
    <w:rsid w:val="68E4337D"/>
    <w:rsid w:val="68E55181"/>
    <w:rsid w:val="68E78D10"/>
    <w:rsid w:val="68E82B96"/>
    <w:rsid w:val="68E8D4DF"/>
    <w:rsid w:val="68E9CBA5"/>
    <w:rsid w:val="68ECAB26"/>
    <w:rsid w:val="68ECC192"/>
    <w:rsid w:val="68ECE781"/>
    <w:rsid w:val="68EDB335"/>
    <w:rsid w:val="68EDEFF2"/>
    <w:rsid w:val="68EEB1C5"/>
    <w:rsid w:val="68F01637"/>
    <w:rsid w:val="68F01DF9"/>
    <w:rsid w:val="68F14AE1"/>
    <w:rsid w:val="68F2186B"/>
    <w:rsid w:val="68F385DB"/>
    <w:rsid w:val="68F45A75"/>
    <w:rsid w:val="68F60838"/>
    <w:rsid w:val="68F62B2E"/>
    <w:rsid w:val="68F788F9"/>
    <w:rsid w:val="68F7D2AF"/>
    <w:rsid w:val="68F9B502"/>
    <w:rsid w:val="68FC5F50"/>
    <w:rsid w:val="68FCA736"/>
    <w:rsid w:val="68FD8FF2"/>
    <w:rsid w:val="68FFBE2C"/>
    <w:rsid w:val="69015B21"/>
    <w:rsid w:val="6902460B"/>
    <w:rsid w:val="6902A836"/>
    <w:rsid w:val="690422AD"/>
    <w:rsid w:val="69055DF5"/>
    <w:rsid w:val="69067865"/>
    <w:rsid w:val="69075CC6"/>
    <w:rsid w:val="690766AD"/>
    <w:rsid w:val="690A2435"/>
    <w:rsid w:val="690C1162"/>
    <w:rsid w:val="690D199C"/>
    <w:rsid w:val="690E0CC1"/>
    <w:rsid w:val="690EC6B3"/>
    <w:rsid w:val="690F2237"/>
    <w:rsid w:val="691098A3"/>
    <w:rsid w:val="69114757"/>
    <w:rsid w:val="69116D96"/>
    <w:rsid w:val="69125F13"/>
    <w:rsid w:val="6912EFC1"/>
    <w:rsid w:val="6914C27A"/>
    <w:rsid w:val="6915332A"/>
    <w:rsid w:val="69187BDD"/>
    <w:rsid w:val="69199226"/>
    <w:rsid w:val="691C5FF4"/>
    <w:rsid w:val="691CCDB4"/>
    <w:rsid w:val="691DAE9C"/>
    <w:rsid w:val="691F22D0"/>
    <w:rsid w:val="692096A0"/>
    <w:rsid w:val="69243C12"/>
    <w:rsid w:val="6924D79C"/>
    <w:rsid w:val="6929346A"/>
    <w:rsid w:val="692C16F4"/>
    <w:rsid w:val="692DDC2E"/>
    <w:rsid w:val="692E2786"/>
    <w:rsid w:val="692F345E"/>
    <w:rsid w:val="69305F53"/>
    <w:rsid w:val="69307BA2"/>
    <w:rsid w:val="6931E10D"/>
    <w:rsid w:val="693200E1"/>
    <w:rsid w:val="69334B2B"/>
    <w:rsid w:val="6933F324"/>
    <w:rsid w:val="6935C35F"/>
    <w:rsid w:val="6937F2D2"/>
    <w:rsid w:val="6937F53F"/>
    <w:rsid w:val="69389E49"/>
    <w:rsid w:val="6938C0BE"/>
    <w:rsid w:val="6939400B"/>
    <w:rsid w:val="69397500"/>
    <w:rsid w:val="693A6FE5"/>
    <w:rsid w:val="693A8859"/>
    <w:rsid w:val="693AAA08"/>
    <w:rsid w:val="693ADC63"/>
    <w:rsid w:val="693AED98"/>
    <w:rsid w:val="693C5A48"/>
    <w:rsid w:val="694038FA"/>
    <w:rsid w:val="69404D71"/>
    <w:rsid w:val="6940E47C"/>
    <w:rsid w:val="6941B3DB"/>
    <w:rsid w:val="6941FD54"/>
    <w:rsid w:val="694231D5"/>
    <w:rsid w:val="69429317"/>
    <w:rsid w:val="6942DA68"/>
    <w:rsid w:val="69434AA5"/>
    <w:rsid w:val="694410E5"/>
    <w:rsid w:val="69452CC2"/>
    <w:rsid w:val="69468750"/>
    <w:rsid w:val="6946A0DA"/>
    <w:rsid w:val="69472DA8"/>
    <w:rsid w:val="6948E497"/>
    <w:rsid w:val="69496002"/>
    <w:rsid w:val="69499640"/>
    <w:rsid w:val="694AC7C2"/>
    <w:rsid w:val="694ADC1B"/>
    <w:rsid w:val="694B24A3"/>
    <w:rsid w:val="694B2AB7"/>
    <w:rsid w:val="694C0309"/>
    <w:rsid w:val="694C8C52"/>
    <w:rsid w:val="694CD599"/>
    <w:rsid w:val="694D8A96"/>
    <w:rsid w:val="694E707F"/>
    <w:rsid w:val="694ED4B6"/>
    <w:rsid w:val="6950327B"/>
    <w:rsid w:val="69506C91"/>
    <w:rsid w:val="6951F42D"/>
    <w:rsid w:val="69523FE7"/>
    <w:rsid w:val="69530629"/>
    <w:rsid w:val="69557A8B"/>
    <w:rsid w:val="6955BF51"/>
    <w:rsid w:val="6957BE41"/>
    <w:rsid w:val="6957D7E5"/>
    <w:rsid w:val="69580CBB"/>
    <w:rsid w:val="695823FA"/>
    <w:rsid w:val="695932B6"/>
    <w:rsid w:val="695A075C"/>
    <w:rsid w:val="695B8DAA"/>
    <w:rsid w:val="695BA6CC"/>
    <w:rsid w:val="695BFF28"/>
    <w:rsid w:val="695EBE26"/>
    <w:rsid w:val="695F55A3"/>
    <w:rsid w:val="69610D5B"/>
    <w:rsid w:val="69616FF6"/>
    <w:rsid w:val="69617B50"/>
    <w:rsid w:val="69649C61"/>
    <w:rsid w:val="6964B3E4"/>
    <w:rsid w:val="696525BC"/>
    <w:rsid w:val="6965BCAC"/>
    <w:rsid w:val="6966BA86"/>
    <w:rsid w:val="6966C948"/>
    <w:rsid w:val="69686F4F"/>
    <w:rsid w:val="69697815"/>
    <w:rsid w:val="696AAEF0"/>
    <w:rsid w:val="696ABEED"/>
    <w:rsid w:val="696AD1E3"/>
    <w:rsid w:val="696AEDA1"/>
    <w:rsid w:val="696B418E"/>
    <w:rsid w:val="696C9E99"/>
    <w:rsid w:val="696FC942"/>
    <w:rsid w:val="69751EB2"/>
    <w:rsid w:val="69753082"/>
    <w:rsid w:val="69760F6D"/>
    <w:rsid w:val="69761F40"/>
    <w:rsid w:val="69768E33"/>
    <w:rsid w:val="697798EB"/>
    <w:rsid w:val="6977D012"/>
    <w:rsid w:val="6977D723"/>
    <w:rsid w:val="6977F581"/>
    <w:rsid w:val="69787EA7"/>
    <w:rsid w:val="6979AEA0"/>
    <w:rsid w:val="697AEA1F"/>
    <w:rsid w:val="697BA9DD"/>
    <w:rsid w:val="697CAA99"/>
    <w:rsid w:val="697CF704"/>
    <w:rsid w:val="697D0B79"/>
    <w:rsid w:val="697ED6F4"/>
    <w:rsid w:val="697EF2C1"/>
    <w:rsid w:val="697F2732"/>
    <w:rsid w:val="697F59BB"/>
    <w:rsid w:val="6982BA75"/>
    <w:rsid w:val="69835587"/>
    <w:rsid w:val="6984731B"/>
    <w:rsid w:val="6985F79E"/>
    <w:rsid w:val="69863725"/>
    <w:rsid w:val="6986560B"/>
    <w:rsid w:val="69879F67"/>
    <w:rsid w:val="6988A0AA"/>
    <w:rsid w:val="69898A1E"/>
    <w:rsid w:val="6989E8F9"/>
    <w:rsid w:val="698A5682"/>
    <w:rsid w:val="698ADEA4"/>
    <w:rsid w:val="698B9483"/>
    <w:rsid w:val="698CCCE2"/>
    <w:rsid w:val="698DF909"/>
    <w:rsid w:val="698E4717"/>
    <w:rsid w:val="698EBFCF"/>
    <w:rsid w:val="698F3B0D"/>
    <w:rsid w:val="698FC1EA"/>
    <w:rsid w:val="698FF18F"/>
    <w:rsid w:val="6990B5E9"/>
    <w:rsid w:val="6992A341"/>
    <w:rsid w:val="69933FC8"/>
    <w:rsid w:val="6994D7FC"/>
    <w:rsid w:val="6996BD98"/>
    <w:rsid w:val="6999BA94"/>
    <w:rsid w:val="699A976C"/>
    <w:rsid w:val="699AB4B3"/>
    <w:rsid w:val="699BECFD"/>
    <w:rsid w:val="699C6F6B"/>
    <w:rsid w:val="699E942D"/>
    <w:rsid w:val="699F92B8"/>
    <w:rsid w:val="69A1102F"/>
    <w:rsid w:val="69A2A81E"/>
    <w:rsid w:val="69A41223"/>
    <w:rsid w:val="69A4CE04"/>
    <w:rsid w:val="69A57B51"/>
    <w:rsid w:val="69A5936E"/>
    <w:rsid w:val="69A5C397"/>
    <w:rsid w:val="69A7A5BF"/>
    <w:rsid w:val="69A80860"/>
    <w:rsid w:val="69A90029"/>
    <w:rsid w:val="69A95CF9"/>
    <w:rsid w:val="69AC7876"/>
    <w:rsid w:val="69B14474"/>
    <w:rsid w:val="69B22128"/>
    <w:rsid w:val="69B34C41"/>
    <w:rsid w:val="69B36128"/>
    <w:rsid w:val="69B3C238"/>
    <w:rsid w:val="69B40123"/>
    <w:rsid w:val="69B59A14"/>
    <w:rsid w:val="69B5D887"/>
    <w:rsid w:val="69B83C9C"/>
    <w:rsid w:val="69B96926"/>
    <w:rsid w:val="69BA1913"/>
    <w:rsid w:val="69BA3F41"/>
    <w:rsid w:val="69BAE0CA"/>
    <w:rsid w:val="69BAEC8A"/>
    <w:rsid w:val="69BBB730"/>
    <w:rsid w:val="69BBFFE8"/>
    <w:rsid w:val="69BE4972"/>
    <w:rsid w:val="69C0EA0E"/>
    <w:rsid w:val="69C0ED29"/>
    <w:rsid w:val="69C21E09"/>
    <w:rsid w:val="69C28C60"/>
    <w:rsid w:val="69C38FC0"/>
    <w:rsid w:val="69C4FB10"/>
    <w:rsid w:val="69C6D25E"/>
    <w:rsid w:val="69C726AD"/>
    <w:rsid w:val="69CA3AFA"/>
    <w:rsid w:val="69CA45C1"/>
    <w:rsid w:val="69CAF2A2"/>
    <w:rsid w:val="69CB7B2C"/>
    <w:rsid w:val="69CF11D3"/>
    <w:rsid w:val="69CF7B61"/>
    <w:rsid w:val="69D05042"/>
    <w:rsid w:val="69D159A4"/>
    <w:rsid w:val="69D1840E"/>
    <w:rsid w:val="69D1D8FE"/>
    <w:rsid w:val="69D21BC6"/>
    <w:rsid w:val="69D35A66"/>
    <w:rsid w:val="69D413C7"/>
    <w:rsid w:val="69D44E0B"/>
    <w:rsid w:val="69D4A586"/>
    <w:rsid w:val="69D51063"/>
    <w:rsid w:val="69D63547"/>
    <w:rsid w:val="69D67632"/>
    <w:rsid w:val="69D7C0C3"/>
    <w:rsid w:val="69D7DB5B"/>
    <w:rsid w:val="69D91936"/>
    <w:rsid w:val="69DBFC9B"/>
    <w:rsid w:val="69DD8E4D"/>
    <w:rsid w:val="69DE0D8D"/>
    <w:rsid w:val="69DEFD2A"/>
    <w:rsid w:val="69E0BADA"/>
    <w:rsid w:val="69E0C4D2"/>
    <w:rsid w:val="69E0C8FB"/>
    <w:rsid w:val="69E11608"/>
    <w:rsid w:val="69E2EC4A"/>
    <w:rsid w:val="69E32AEC"/>
    <w:rsid w:val="69E3550B"/>
    <w:rsid w:val="69E3C559"/>
    <w:rsid w:val="69E400EF"/>
    <w:rsid w:val="69E4BFFF"/>
    <w:rsid w:val="69E509FA"/>
    <w:rsid w:val="69E5210C"/>
    <w:rsid w:val="69E543D6"/>
    <w:rsid w:val="69E5D3AE"/>
    <w:rsid w:val="69E633DF"/>
    <w:rsid w:val="69E78EF6"/>
    <w:rsid w:val="69E820B9"/>
    <w:rsid w:val="69E82A92"/>
    <w:rsid w:val="69E8653F"/>
    <w:rsid w:val="69E88F0D"/>
    <w:rsid w:val="69E9E25C"/>
    <w:rsid w:val="69EAF51C"/>
    <w:rsid w:val="69EBB438"/>
    <w:rsid w:val="69ED0E67"/>
    <w:rsid w:val="69ED2702"/>
    <w:rsid w:val="69EDEA5E"/>
    <w:rsid w:val="69EEE86B"/>
    <w:rsid w:val="69EF4609"/>
    <w:rsid w:val="69EFF90F"/>
    <w:rsid w:val="69F217B3"/>
    <w:rsid w:val="69F2AD8C"/>
    <w:rsid w:val="69F3FC66"/>
    <w:rsid w:val="69F52894"/>
    <w:rsid w:val="69F54F67"/>
    <w:rsid w:val="69F60626"/>
    <w:rsid w:val="69F6810E"/>
    <w:rsid w:val="69F76186"/>
    <w:rsid w:val="69F7E687"/>
    <w:rsid w:val="69FA5BB8"/>
    <w:rsid w:val="69FBB4E7"/>
    <w:rsid w:val="69FCD30D"/>
    <w:rsid w:val="69FDAA77"/>
    <w:rsid w:val="69FE2D32"/>
    <w:rsid w:val="69FE6D59"/>
    <w:rsid w:val="69FFA565"/>
    <w:rsid w:val="6A0004AE"/>
    <w:rsid w:val="6A015A2C"/>
    <w:rsid w:val="6A02E57E"/>
    <w:rsid w:val="6A045810"/>
    <w:rsid w:val="6A04DACD"/>
    <w:rsid w:val="6A065A15"/>
    <w:rsid w:val="6A07B511"/>
    <w:rsid w:val="6A087AC7"/>
    <w:rsid w:val="6A0914E4"/>
    <w:rsid w:val="6A0A2229"/>
    <w:rsid w:val="6A0D1A4F"/>
    <w:rsid w:val="6A0D932A"/>
    <w:rsid w:val="6A0E319F"/>
    <w:rsid w:val="6A1011D3"/>
    <w:rsid w:val="6A102D43"/>
    <w:rsid w:val="6A10B6A0"/>
    <w:rsid w:val="6A11D13E"/>
    <w:rsid w:val="6A132064"/>
    <w:rsid w:val="6A15574B"/>
    <w:rsid w:val="6A156185"/>
    <w:rsid w:val="6A15B7AF"/>
    <w:rsid w:val="6A16A116"/>
    <w:rsid w:val="6A16BF0F"/>
    <w:rsid w:val="6A16C062"/>
    <w:rsid w:val="6A176FEE"/>
    <w:rsid w:val="6A17EA92"/>
    <w:rsid w:val="6A180825"/>
    <w:rsid w:val="6A181527"/>
    <w:rsid w:val="6A18B236"/>
    <w:rsid w:val="6A18D78B"/>
    <w:rsid w:val="6A18F594"/>
    <w:rsid w:val="6A1BD4C1"/>
    <w:rsid w:val="6A1D3570"/>
    <w:rsid w:val="6A1D3729"/>
    <w:rsid w:val="6A1D72F0"/>
    <w:rsid w:val="6A1DBE02"/>
    <w:rsid w:val="6A1EAD7A"/>
    <w:rsid w:val="6A1F166B"/>
    <w:rsid w:val="6A23523D"/>
    <w:rsid w:val="6A237DB2"/>
    <w:rsid w:val="6A23D42D"/>
    <w:rsid w:val="6A24CCDB"/>
    <w:rsid w:val="6A2576AC"/>
    <w:rsid w:val="6A25D661"/>
    <w:rsid w:val="6A2625D7"/>
    <w:rsid w:val="6A2701F5"/>
    <w:rsid w:val="6A275DDA"/>
    <w:rsid w:val="6A28209F"/>
    <w:rsid w:val="6A2925FF"/>
    <w:rsid w:val="6A29BF05"/>
    <w:rsid w:val="6A2A22F4"/>
    <w:rsid w:val="6A2A5689"/>
    <w:rsid w:val="6A2B3B60"/>
    <w:rsid w:val="6A2CCBE4"/>
    <w:rsid w:val="6A2CFC57"/>
    <w:rsid w:val="6A2F16E9"/>
    <w:rsid w:val="6A2FED8C"/>
    <w:rsid w:val="6A30545D"/>
    <w:rsid w:val="6A30D956"/>
    <w:rsid w:val="6A318006"/>
    <w:rsid w:val="6A3221C8"/>
    <w:rsid w:val="6A343693"/>
    <w:rsid w:val="6A36380C"/>
    <w:rsid w:val="6A36D01E"/>
    <w:rsid w:val="6A38CCD7"/>
    <w:rsid w:val="6A38F34D"/>
    <w:rsid w:val="6A3A068C"/>
    <w:rsid w:val="6A3A3890"/>
    <w:rsid w:val="6A3AD864"/>
    <w:rsid w:val="6A3B5857"/>
    <w:rsid w:val="6A3C2B55"/>
    <w:rsid w:val="6A3ED9D2"/>
    <w:rsid w:val="6A3EE3D9"/>
    <w:rsid w:val="6A3F4406"/>
    <w:rsid w:val="6A401296"/>
    <w:rsid w:val="6A408ACA"/>
    <w:rsid w:val="6A4321A5"/>
    <w:rsid w:val="6A445623"/>
    <w:rsid w:val="6A446B42"/>
    <w:rsid w:val="6A453BD6"/>
    <w:rsid w:val="6A46A6B1"/>
    <w:rsid w:val="6A480029"/>
    <w:rsid w:val="6A48FABF"/>
    <w:rsid w:val="6A4A5F5F"/>
    <w:rsid w:val="6A4A97C9"/>
    <w:rsid w:val="6A4AB9D1"/>
    <w:rsid w:val="6A4ACD0A"/>
    <w:rsid w:val="6A4B27E9"/>
    <w:rsid w:val="6A4B96FA"/>
    <w:rsid w:val="6A4C61CB"/>
    <w:rsid w:val="6A4E3449"/>
    <w:rsid w:val="6A4E857D"/>
    <w:rsid w:val="6A4E92E8"/>
    <w:rsid w:val="6A4EF0DD"/>
    <w:rsid w:val="6A5113FE"/>
    <w:rsid w:val="6A514318"/>
    <w:rsid w:val="6A51CF16"/>
    <w:rsid w:val="6A5201A4"/>
    <w:rsid w:val="6A537FDF"/>
    <w:rsid w:val="6A53AF27"/>
    <w:rsid w:val="6A53AF8C"/>
    <w:rsid w:val="6A549BEE"/>
    <w:rsid w:val="6A550126"/>
    <w:rsid w:val="6A56357F"/>
    <w:rsid w:val="6A563FF6"/>
    <w:rsid w:val="6A56E1CF"/>
    <w:rsid w:val="6A56F625"/>
    <w:rsid w:val="6A570569"/>
    <w:rsid w:val="6A599E0B"/>
    <w:rsid w:val="6A5A199F"/>
    <w:rsid w:val="6A5A2F4B"/>
    <w:rsid w:val="6A5A32D3"/>
    <w:rsid w:val="6A5B6F4E"/>
    <w:rsid w:val="6A5BF295"/>
    <w:rsid w:val="6A5C2772"/>
    <w:rsid w:val="6A5C6E74"/>
    <w:rsid w:val="6A5C78D6"/>
    <w:rsid w:val="6A5E889E"/>
    <w:rsid w:val="6A5EF07E"/>
    <w:rsid w:val="6A5EFFAF"/>
    <w:rsid w:val="6A61223C"/>
    <w:rsid w:val="6A6152EC"/>
    <w:rsid w:val="6A62A5CF"/>
    <w:rsid w:val="6A62F5FD"/>
    <w:rsid w:val="6A64598C"/>
    <w:rsid w:val="6A6594B0"/>
    <w:rsid w:val="6A68F59A"/>
    <w:rsid w:val="6A6A6BD1"/>
    <w:rsid w:val="6A6AA5C8"/>
    <w:rsid w:val="6A6C4AE9"/>
    <w:rsid w:val="6A6CA6F8"/>
    <w:rsid w:val="6A6CC422"/>
    <w:rsid w:val="6A6DE4EB"/>
    <w:rsid w:val="6A6DF3FC"/>
    <w:rsid w:val="6A6E167E"/>
    <w:rsid w:val="6A6E191C"/>
    <w:rsid w:val="6A6F28E1"/>
    <w:rsid w:val="6A7013A8"/>
    <w:rsid w:val="6A706A2C"/>
    <w:rsid w:val="6A70DBB7"/>
    <w:rsid w:val="6A716EE5"/>
    <w:rsid w:val="6A7173F0"/>
    <w:rsid w:val="6A7268BE"/>
    <w:rsid w:val="6A735401"/>
    <w:rsid w:val="6A739BC4"/>
    <w:rsid w:val="6A756976"/>
    <w:rsid w:val="6A75C21B"/>
    <w:rsid w:val="6A763F4F"/>
    <w:rsid w:val="6A769719"/>
    <w:rsid w:val="6A770E68"/>
    <w:rsid w:val="6A789844"/>
    <w:rsid w:val="6A789AFB"/>
    <w:rsid w:val="6A78E6F7"/>
    <w:rsid w:val="6A798B98"/>
    <w:rsid w:val="6A79F13A"/>
    <w:rsid w:val="6A7A293F"/>
    <w:rsid w:val="6A7A9597"/>
    <w:rsid w:val="6A7AC789"/>
    <w:rsid w:val="6A7D9AC3"/>
    <w:rsid w:val="6A7E345C"/>
    <w:rsid w:val="6A8021D9"/>
    <w:rsid w:val="6A80358C"/>
    <w:rsid w:val="6A80A974"/>
    <w:rsid w:val="6A81430F"/>
    <w:rsid w:val="6A82AD95"/>
    <w:rsid w:val="6A84872A"/>
    <w:rsid w:val="6A858488"/>
    <w:rsid w:val="6A8595F1"/>
    <w:rsid w:val="6A86D803"/>
    <w:rsid w:val="6A8822CE"/>
    <w:rsid w:val="6A89DA75"/>
    <w:rsid w:val="6A8A03F6"/>
    <w:rsid w:val="6A8A0C68"/>
    <w:rsid w:val="6A8DAC8C"/>
    <w:rsid w:val="6A8F788D"/>
    <w:rsid w:val="6A90BF6F"/>
    <w:rsid w:val="6A91E79E"/>
    <w:rsid w:val="6A9395A2"/>
    <w:rsid w:val="6A956FEF"/>
    <w:rsid w:val="6A961F07"/>
    <w:rsid w:val="6A97A931"/>
    <w:rsid w:val="6A99EE16"/>
    <w:rsid w:val="6A9A1609"/>
    <w:rsid w:val="6A9A6842"/>
    <w:rsid w:val="6A9B2E62"/>
    <w:rsid w:val="6A9BA2F2"/>
    <w:rsid w:val="6A9C3052"/>
    <w:rsid w:val="6A9D4934"/>
    <w:rsid w:val="6A9E2A02"/>
    <w:rsid w:val="6A9E2B35"/>
    <w:rsid w:val="6A9EE0F8"/>
    <w:rsid w:val="6A9F9EB9"/>
    <w:rsid w:val="6A9FE3A3"/>
    <w:rsid w:val="6AA0071C"/>
    <w:rsid w:val="6AA112CB"/>
    <w:rsid w:val="6AA24931"/>
    <w:rsid w:val="6AA2918F"/>
    <w:rsid w:val="6AA398D1"/>
    <w:rsid w:val="6AA4A888"/>
    <w:rsid w:val="6AA5C08C"/>
    <w:rsid w:val="6AA5EAB0"/>
    <w:rsid w:val="6AA887CA"/>
    <w:rsid w:val="6AA9F91A"/>
    <w:rsid w:val="6AAB27AA"/>
    <w:rsid w:val="6AAC1176"/>
    <w:rsid w:val="6AAC4E29"/>
    <w:rsid w:val="6AACB0AD"/>
    <w:rsid w:val="6AAE9338"/>
    <w:rsid w:val="6AAED306"/>
    <w:rsid w:val="6AAF6278"/>
    <w:rsid w:val="6AB07E21"/>
    <w:rsid w:val="6AB0F71B"/>
    <w:rsid w:val="6AB1A707"/>
    <w:rsid w:val="6AB20449"/>
    <w:rsid w:val="6AB28897"/>
    <w:rsid w:val="6AB2EF85"/>
    <w:rsid w:val="6AB319CF"/>
    <w:rsid w:val="6AB34E30"/>
    <w:rsid w:val="6AB3697D"/>
    <w:rsid w:val="6AB409A5"/>
    <w:rsid w:val="6AB49F96"/>
    <w:rsid w:val="6AB548AC"/>
    <w:rsid w:val="6AB6163B"/>
    <w:rsid w:val="6AB749BD"/>
    <w:rsid w:val="6AB7EEAC"/>
    <w:rsid w:val="6ABB37D3"/>
    <w:rsid w:val="6ABB9B2D"/>
    <w:rsid w:val="6ABBAC89"/>
    <w:rsid w:val="6ABCD8F2"/>
    <w:rsid w:val="6ABCEBBA"/>
    <w:rsid w:val="6ABD59CB"/>
    <w:rsid w:val="6ABDD3A2"/>
    <w:rsid w:val="6ABF4965"/>
    <w:rsid w:val="6AC0751B"/>
    <w:rsid w:val="6AC091A4"/>
    <w:rsid w:val="6AC1C84C"/>
    <w:rsid w:val="6AC28CDB"/>
    <w:rsid w:val="6AC37CA8"/>
    <w:rsid w:val="6AC499BE"/>
    <w:rsid w:val="6AC49CB2"/>
    <w:rsid w:val="6AC4CC09"/>
    <w:rsid w:val="6AC6875E"/>
    <w:rsid w:val="6AC6C7C4"/>
    <w:rsid w:val="6AC7BC84"/>
    <w:rsid w:val="6AC7C782"/>
    <w:rsid w:val="6AC87629"/>
    <w:rsid w:val="6AC9A81C"/>
    <w:rsid w:val="6AC9A94C"/>
    <w:rsid w:val="6ACA823B"/>
    <w:rsid w:val="6ACAC81C"/>
    <w:rsid w:val="6ACB2863"/>
    <w:rsid w:val="6ACCA796"/>
    <w:rsid w:val="6ACCA90B"/>
    <w:rsid w:val="6ACE8B09"/>
    <w:rsid w:val="6ACF5539"/>
    <w:rsid w:val="6ACF59E5"/>
    <w:rsid w:val="6AD00CCB"/>
    <w:rsid w:val="6AD0EC6D"/>
    <w:rsid w:val="6AD44D67"/>
    <w:rsid w:val="6AD5E1CA"/>
    <w:rsid w:val="6AD70582"/>
    <w:rsid w:val="6AD7F0CE"/>
    <w:rsid w:val="6AD8E33B"/>
    <w:rsid w:val="6AD94EB9"/>
    <w:rsid w:val="6AD96249"/>
    <w:rsid w:val="6ADB818D"/>
    <w:rsid w:val="6ADCAFAD"/>
    <w:rsid w:val="6AE08218"/>
    <w:rsid w:val="6AE231F2"/>
    <w:rsid w:val="6AE31F2F"/>
    <w:rsid w:val="6AE81B25"/>
    <w:rsid w:val="6AE8C22D"/>
    <w:rsid w:val="6AE9E7B4"/>
    <w:rsid w:val="6AEA0EDA"/>
    <w:rsid w:val="6AEB5024"/>
    <w:rsid w:val="6AEF633E"/>
    <w:rsid w:val="6AEFD66B"/>
    <w:rsid w:val="6AEFE065"/>
    <w:rsid w:val="6AF0D31E"/>
    <w:rsid w:val="6AF1E27F"/>
    <w:rsid w:val="6AF41B80"/>
    <w:rsid w:val="6AF4F95A"/>
    <w:rsid w:val="6AF5B3B2"/>
    <w:rsid w:val="6AF5DB8C"/>
    <w:rsid w:val="6AF64E2B"/>
    <w:rsid w:val="6AF6683E"/>
    <w:rsid w:val="6AF6C410"/>
    <w:rsid w:val="6AF6D4A1"/>
    <w:rsid w:val="6AF7D254"/>
    <w:rsid w:val="6AF8FE03"/>
    <w:rsid w:val="6AFA1740"/>
    <w:rsid w:val="6AFAE938"/>
    <w:rsid w:val="6AFB65B0"/>
    <w:rsid w:val="6AFDFA68"/>
    <w:rsid w:val="6AFE67B8"/>
    <w:rsid w:val="6AFE6BCB"/>
    <w:rsid w:val="6B003A6E"/>
    <w:rsid w:val="6B015CDA"/>
    <w:rsid w:val="6B0386AA"/>
    <w:rsid w:val="6B039128"/>
    <w:rsid w:val="6B059507"/>
    <w:rsid w:val="6B05989C"/>
    <w:rsid w:val="6B05DB73"/>
    <w:rsid w:val="6B0625EE"/>
    <w:rsid w:val="6B069F1F"/>
    <w:rsid w:val="6B07734A"/>
    <w:rsid w:val="6B07A0EB"/>
    <w:rsid w:val="6B09D3B7"/>
    <w:rsid w:val="6B0A19EF"/>
    <w:rsid w:val="6B0A5B0F"/>
    <w:rsid w:val="6B0A7BBA"/>
    <w:rsid w:val="6B0BA465"/>
    <w:rsid w:val="6B0DEF4F"/>
    <w:rsid w:val="6B0E9170"/>
    <w:rsid w:val="6B0FE2A0"/>
    <w:rsid w:val="6B1141E9"/>
    <w:rsid w:val="6B119A0A"/>
    <w:rsid w:val="6B11BD7A"/>
    <w:rsid w:val="6B12954D"/>
    <w:rsid w:val="6B13DE42"/>
    <w:rsid w:val="6B14F310"/>
    <w:rsid w:val="6B166166"/>
    <w:rsid w:val="6B1713A0"/>
    <w:rsid w:val="6B17B185"/>
    <w:rsid w:val="6B19A529"/>
    <w:rsid w:val="6B19C324"/>
    <w:rsid w:val="6B19C8CD"/>
    <w:rsid w:val="6B1A52F9"/>
    <w:rsid w:val="6B1B9851"/>
    <w:rsid w:val="6B1BD4E2"/>
    <w:rsid w:val="6B1D8C13"/>
    <w:rsid w:val="6B1DAABF"/>
    <w:rsid w:val="6B1E47AF"/>
    <w:rsid w:val="6B1EDB97"/>
    <w:rsid w:val="6B20FC7A"/>
    <w:rsid w:val="6B213401"/>
    <w:rsid w:val="6B226A42"/>
    <w:rsid w:val="6B229C9B"/>
    <w:rsid w:val="6B24B648"/>
    <w:rsid w:val="6B24D1ED"/>
    <w:rsid w:val="6B25D413"/>
    <w:rsid w:val="6B27984B"/>
    <w:rsid w:val="6B279C9E"/>
    <w:rsid w:val="6B27E180"/>
    <w:rsid w:val="6B287E4A"/>
    <w:rsid w:val="6B2903FF"/>
    <w:rsid w:val="6B290BEC"/>
    <w:rsid w:val="6B2B2E5B"/>
    <w:rsid w:val="6B2BBD41"/>
    <w:rsid w:val="6B2C68D5"/>
    <w:rsid w:val="6B2ED4FB"/>
    <w:rsid w:val="6B2FA4EA"/>
    <w:rsid w:val="6B3050FE"/>
    <w:rsid w:val="6B305FF6"/>
    <w:rsid w:val="6B36F903"/>
    <w:rsid w:val="6B378D71"/>
    <w:rsid w:val="6B3A2A7F"/>
    <w:rsid w:val="6B3C1568"/>
    <w:rsid w:val="6B3EAB9F"/>
    <w:rsid w:val="6B3FDE59"/>
    <w:rsid w:val="6B427670"/>
    <w:rsid w:val="6B432776"/>
    <w:rsid w:val="6B435811"/>
    <w:rsid w:val="6B45B540"/>
    <w:rsid w:val="6B466458"/>
    <w:rsid w:val="6B46C5CC"/>
    <w:rsid w:val="6B487DD0"/>
    <w:rsid w:val="6B48D7A6"/>
    <w:rsid w:val="6B49DCB1"/>
    <w:rsid w:val="6B4AB933"/>
    <w:rsid w:val="6B4B8266"/>
    <w:rsid w:val="6B4BF616"/>
    <w:rsid w:val="6B4C8A4B"/>
    <w:rsid w:val="6B4D4BED"/>
    <w:rsid w:val="6B4D9F9D"/>
    <w:rsid w:val="6B4DFF20"/>
    <w:rsid w:val="6B4FD827"/>
    <w:rsid w:val="6B50302D"/>
    <w:rsid w:val="6B50A63B"/>
    <w:rsid w:val="6B513EB9"/>
    <w:rsid w:val="6B51C0AF"/>
    <w:rsid w:val="6B536E11"/>
    <w:rsid w:val="6B53BF2A"/>
    <w:rsid w:val="6B541801"/>
    <w:rsid w:val="6B541DEE"/>
    <w:rsid w:val="6B5610C1"/>
    <w:rsid w:val="6B584B31"/>
    <w:rsid w:val="6B5884C6"/>
    <w:rsid w:val="6B5A2514"/>
    <w:rsid w:val="6B5CC28B"/>
    <w:rsid w:val="6B5CF308"/>
    <w:rsid w:val="6B5EA909"/>
    <w:rsid w:val="6B5F4268"/>
    <w:rsid w:val="6B6034D3"/>
    <w:rsid w:val="6B6039E6"/>
    <w:rsid w:val="6B62015C"/>
    <w:rsid w:val="6B62314E"/>
    <w:rsid w:val="6B644BB5"/>
    <w:rsid w:val="6B6651BB"/>
    <w:rsid w:val="6B67421F"/>
    <w:rsid w:val="6B67A3C6"/>
    <w:rsid w:val="6B67CDEC"/>
    <w:rsid w:val="6B68E0F8"/>
    <w:rsid w:val="6B69F3A8"/>
    <w:rsid w:val="6B6A3483"/>
    <w:rsid w:val="6B6AF31C"/>
    <w:rsid w:val="6B6C339A"/>
    <w:rsid w:val="6B6CD6E0"/>
    <w:rsid w:val="6B6CE2C7"/>
    <w:rsid w:val="6B6E15F9"/>
    <w:rsid w:val="6B6E22C7"/>
    <w:rsid w:val="6B71167F"/>
    <w:rsid w:val="6B711D13"/>
    <w:rsid w:val="6B715DD3"/>
    <w:rsid w:val="6B726BA6"/>
    <w:rsid w:val="6B732A2A"/>
    <w:rsid w:val="6B746C91"/>
    <w:rsid w:val="6B757657"/>
    <w:rsid w:val="6B761157"/>
    <w:rsid w:val="6B76D9E4"/>
    <w:rsid w:val="6B77522F"/>
    <w:rsid w:val="6B77C2AD"/>
    <w:rsid w:val="6B789FAA"/>
    <w:rsid w:val="6B7AA3A1"/>
    <w:rsid w:val="6B7B4471"/>
    <w:rsid w:val="6B7B7633"/>
    <w:rsid w:val="6B7FDA80"/>
    <w:rsid w:val="6B8209F1"/>
    <w:rsid w:val="6B829DD0"/>
    <w:rsid w:val="6B85DA25"/>
    <w:rsid w:val="6B861F0F"/>
    <w:rsid w:val="6B8676AE"/>
    <w:rsid w:val="6B8C74BD"/>
    <w:rsid w:val="6B8DEC5E"/>
    <w:rsid w:val="6B910211"/>
    <w:rsid w:val="6B912CEA"/>
    <w:rsid w:val="6B9140FD"/>
    <w:rsid w:val="6B915306"/>
    <w:rsid w:val="6B927639"/>
    <w:rsid w:val="6B94A34A"/>
    <w:rsid w:val="6B956195"/>
    <w:rsid w:val="6B95DBAF"/>
    <w:rsid w:val="6B96AF25"/>
    <w:rsid w:val="6B97F9EA"/>
    <w:rsid w:val="6B9B768F"/>
    <w:rsid w:val="6B9CDD93"/>
    <w:rsid w:val="6B9E548A"/>
    <w:rsid w:val="6B9E7992"/>
    <w:rsid w:val="6B9EBD0B"/>
    <w:rsid w:val="6B9EC4C0"/>
    <w:rsid w:val="6B9FB4F0"/>
    <w:rsid w:val="6BA028ED"/>
    <w:rsid w:val="6BA08258"/>
    <w:rsid w:val="6BA0F7E4"/>
    <w:rsid w:val="6BA1F838"/>
    <w:rsid w:val="6BA27D06"/>
    <w:rsid w:val="6BA4182E"/>
    <w:rsid w:val="6BA548DD"/>
    <w:rsid w:val="6BA55E84"/>
    <w:rsid w:val="6BA563A8"/>
    <w:rsid w:val="6BA68D91"/>
    <w:rsid w:val="6BA6A513"/>
    <w:rsid w:val="6BA7FD32"/>
    <w:rsid w:val="6BADCA41"/>
    <w:rsid w:val="6BAE41C3"/>
    <w:rsid w:val="6BAEC3A3"/>
    <w:rsid w:val="6BAEF6A3"/>
    <w:rsid w:val="6BAF57ED"/>
    <w:rsid w:val="6BAF8A1D"/>
    <w:rsid w:val="6BAFF872"/>
    <w:rsid w:val="6BB20C2E"/>
    <w:rsid w:val="6BB37402"/>
    <w:rsid w:val="6BB5A723"/>
    <w:rsid w:val="6BB704AA"/>
    <w:rsid w:val="6BB906E6"/>
    <w:rsid w:val="6BBBF1E6"/>
    <w:rsid w:val="6BBBF3BC"/>
    <w:rsid w:val="6BBC3DF9"/>
    <w:rsid w:val="6BBDC019"/>
    <w:rsid w:val="6BBE7DF6"/>
    <w:rsid w:val="6BBF58D9"/>
    <w:rsid w:val="6BBF8E40"/>
    <w:rsid w:val="6BBFA386"/>
    <w:rsid w:val="6BC09E91"/>
    <w:rsid w:val="6BC0F46C"/>
    <w:rsid w:val="6BC1DB63"/>
    <w:rsid w:val="6BC21593"/>
    <w:rsid w:val="6BC32DA3"/>
    <w:rsid w:val="6BC3419E"/>
    <w:rsid w:val="6BC4713D"/>
    <w:rsid w:val="6BC4746B"/>
    <w:rsid w:val="6BC7A27D"/>
    <w:rsid w:val="6BC7C536"/>
    <w:rsid w:val="6BCAEB89"/>
    <w:rsid w:val="6BCB5EDC"/>
    <w:rsid w:val="6BCB7179"/>
    <w:rsid w:val="6BCB750B"/>
    <w:rsid w:val="6BCB9B4A"/>
    <w:rsid w:val="6BCCBF03"/>
    <w:rsid w:val="6BCE5925"/>
    <w:rsid w:val="6BCF698F"/>
    <w:rsid w:val="6BCF6D38"/>
    <w:rsid w:val="6BCFFFC7"/>
    <w:rsid w:val="6BD03124"/>
    <w:rsid w:val="6BD0A553"/>
    <w:rsid w:val="6BD19AFF"/>
    <w:rsid w:val="6BD28E4C"/>
    <w:rsid w:val="6BD2F376"/>
    <w:rsid w:val="6BD4FDC0"/>
    <w:rsid w:val="6BD74B29"/>
    <w:rsid w:val="6BD7AB24"/>
    <w:rsid w:val="6BD8077C"/>
    <w:rsid w:val="6BD85C51"/>
    <w:rsid w:val="6BDC9363"/>
    <w:rsid w:val="6BDD3224"/>
    <w:rsid w:val="6BDDC184"/>
    <w:rsid w:val="6BE06641"/>
    <w:rsid w:val="6BE23A49"/>
    <w:rsid w:val="6BE3766E"/>
    <w:rsid w:val="6BE42EF0"/>
    <w:rsid w:val="6BE49CF8"/>
    <w:rsid w:val="6BE501FB"/>
    <w:rsid w:val="6BE56537"/>
    <w:rsid w:val="6BE639D7"/>
    <w:rsid w:val="6BE63E7B"/>
    <w:rsid w:val="6BE82252"/>
    <w:rsid w:val="6BE84517"/>
    <w:rsid w:val="6BE9ABC1"/>
    <w:rsid w:val="6BEA7909"/>
    <w:rsid w:val="6BEC19B8"/>
    <w:rsid w:val="6BECDB7F"/>
    <w:rsid w:val="6BEE8C21"/>
    <w:rsid w:val="6BEE9D87"/>
    <w:rsid w:val="6BEF0761"/>
    <w:rsid w:val="6BEF7072"/>
    <w:rsid w:val="6BF0A936"/>
    <w:rsid w:val="6BF0DAE5"/>
    <w:rsid w:val="6BF1F939"/>
    <w:rsid w:val="6BF286BD"/>
    <w:rsid w:val="6BF29260"/>
    <w:rsid w:val="6BF491F3"/>
    <w:rsid w:val="6BF687C6"/>
    <w:rsid w:val="6BF70E2D"/>
    <w:rsid w:val="6BF74DF7"/>
    <w:rsid w:val="6BF78ADE"/>
    <w:rsid w:val="6BF79CE1"/>
    <w:rsid w:val="6BF8F501"/>
    <w:rsid w:val="6BFBB4AC"/>
    <w:rsid w:val="6BFC7559"/>
    <w:rsid w:val="6BFCC9CA"/>
    <w:rsid w:val="6BFCD1EA"/>
    <w:rsid w:val="6BFE9DEB"/>
    <w:rsid w:val="6BFF9087"/>
    <w:rsid w:val="6BFFC0AC"/>
    <w:rsid w:val="6C00E235"/>
    <w:rsid w:val="6C01AED6"/>
    <w:rsid w:val="6C03873B"/>
    <w:rsid w:val="6C03EEBB"/>
    <w:rsid w:val="6C03F8F8"/>
    <w:rsid w:val="6C04E7D1"/>
    <w:rsid w:val="6C06195E"/>
    <w:rsid w:val="6C064C35"/>
    <w:rsid w:val="6C0825C2"/>
    <w:rsid w:val="6C090D42"/>
    <w:rsid w:val="6C0AD4D8"/>
    <w:rsid w:val="6C0B8617"/>
    <w:rsid w:val="6C0C4C11"/>
    <w:rsid w:val="6C0C7809"/>
    <w:rsid w:val="6C0E093D"/>
    <w:rsid w:val="6C1080A1"/>
    <w:rsid w:val="6C108CA9"/>
    <w:rsid w:val="6C1244F0"/>
    <w:rsid w:val="6C126CEC"/>
    <w:rsid w:val="6C14AD39"/>
    <w:rsid w:val="6C153839"/>
    <w:rsid w:val="6C15D9F4"/>
    <w:rsid w:val="6C163F6A"/>
    <w:rsid w:val="6C17199F"/>
    <w:rsid w:val="6C176DEA"/>
    <w:rsid w:val="6C17B524"/>
    <w:rsid w:val="6C1831A2"/>
    <w:rsid w:val="6C1A48F1"/>
    <w:rsid w:val="6C1AD65D"/>
    <w:rsid w:val="6C1B36DC"/>
    <w:rsid w:val="6C1BA3E5"/>
    <w:rsid w:val="6C1C2456"/>
    <w:rsid w:val="6C1E1719"/>
    <w:rsid w:val="6C1EFDD9"/>
    <w:rsid w:val="6C1F408B"/>
    <w:rsid w:val="6C205E91"/>
    <w:rsid w:val="6C206268"/>
    <w:rsid w:val="6C213FEB"/>
    <w:rsid w:val="6C228A55"/>
    <w:rsid w:val="6C26B046"/>
    <w:rsid w:val="6C274F88"/>
    <w:rsid w:val="6C2946EA"/>
    <w:rsid w:val="6C295B38"/>
    <w:rsid w:val="6C29A1AA"/>
    <w:rsid w:val="6C29A777"/>
    <w:rsid w:val="6C2A6234"/>
    <w:rsid w:val="6C2B01CF"/>
    <w:rsid w:val="6C2C6C83"/>
    <w:rsid w:val="6C2E7E7C"/>
    <w:rsid w:val="6C2EBEAF"/>
    <w:rsid w:val="6C307C47"/>
    <w:rsid w:val="6C32E426"/>
    <w:rsid w:val="6C3343EA"/>
    <w:rsid w:val="6C340DD7"/>
    <w:rsid w:val="6C34C711"/>
    <w:rsid w:val="6C34CFE6"/>
    <w:rsid w:val="6C3B022B"/>
    <w:rsid w:val="6C3B8F03"/>
    <w:rsid w:val="6C3B9273"/>
    <w:rsid w:val="6C3C5953"/>
    <w:rsid w:val="6C413C8B"/>
    <w:rsid w:val="6C436FD1"/>
    <w:rsid w:val="6C443AE7"/>
    <w:rsid w:val="6C44BD35"/>
    <w:rsid w:val="6C4553D5"/>
    <w:rsid w:val="6C45E58E"/>
    <w:rsid w:val="6C46E9AF"/>
    <w:rsid w:val="6C47F9DC"/>
    <w:rsid w:val="6C49663C"/>
    <w:rsid w:val="6C5034A9"/>
    <w:rsid w:val="6C52909E"/>
    <w:rsid w:val="6C52AFAB"/>
    <w:rsid w:val="6C52B02B"/>
    <w:rsid w:val="6C53E46E"/>
    <w:rsid w:val="6C54CBA1"/>
    <w:rsid w:val="6C587597"/>
    <w:rsid w:val="6C59E3F2"/>
    <w:rsid w:val="6C5A67CB"/>
    <w:rsid w:val="6C5AFAB5"/>
    <w:rsid w:val="6C5B8B0A"/>
    <w:rsid w:val="6C5C036E"/>
    <w:rsid w:val="6C5C3938"/>
    <w:rsid w:val="6C5DC4EA"/>
    <w:rsid w:val="6C5F1031"/>
    <w:rsid w:val="6C62EB88"/>
    <w:rsid w:val="6C641B67"/>
    <w:rsid w:val="6C649185"/>
    <w:rsid w:val="6C64EF80"/>
    <w:rsid w:val="6C64F66C"/>
    <w:rsid w:val="6C658A38"/>
    <w:rsid w:val="6C6592EA"/>
    <w:rsid w:val="6C667ADC"/>
    <w:rsid w:val="6C66892F"/>
    <w:rsid w:val="6C68BD2A"/>
    <w:rsid w:val="6C695C35"/>
    <w:rsid w:val="6C69A282"/>
    <w:rsid w:val="6C69F26A"/>
    <w:rsid w:val="6C6AF439"/>
    <w:rsid w:val="6C6C4898"/>
    <w:rsid w:val="6C6EBAD1"/>
    <w:rsid w:val="6C6EC3D5"/>
    <w:rsid w:val="6C6ED2EC"/>
    <w:rsid w:val="6C6F5878"/>
    <w:rsid w:val="6C70D2B2"/>
    <w:rsid w:val="6C70D2C2"/>
    <w:rsid w:val="6C70E811"/>
    <w:rsid w:val="6C71B6CF"/>
    <w:rsid w:val="6C72C94C"/>
    <w:rsid w:val="6C74957C"/>
    <w:rsid w:val="6C7507BE"/>
    <w:rsid w:val="6C7579AA"/>
    <w:rsid w:val="6C76E3F9"/>
    <w:rsid w:val="6C797404"/>
    <w:rsid w:val="6C7A08BB"/>
    <w:rsid w:val="6C7BAF6D"/>
    <w:rsid w:val="6C7D6316"/>
    <w:rsid w:val="6C7F690C"/>
    <w:rsid w:val="6C7F6F7C"/>
    <w:rsid w:val="6C83A028"/>
    <w:rsid w:val="6C862E5C"/>
    <w:rsid w:val="6C86F369"/>
    <w:rsid w:val="6C8924BC"/>
    <w:rsid w:val="6C8A121A"/>
    <w:rsid w:val="6C8A8B97"/>
    <w:rsid w:val="6C8BCA1E"/>
    <w:rsid w:val="6C8BE0DC"/>
    <w:rsid w:val="6C8C9B0F"/>
    <w:rsid w:val="6C8CF296"/>
    <w:rsid w:val="6C8E6FFF"/>
    <w:rsid w:val="6C8F2F13"/>
    <w:rsid w:val="6C90229A"/>
    <w:rsid w:val="6C907CBB"/>
    <w:rsid w:val="6C90BD79"/>
    <w:rsid w:val="6C91D833"/>
    <w:rsid w:val="6C9418DC"/>
    <w:rsid w:val="6C95340E"/>
    <w:rsid w:val="6C95B800"/>
    <w:rsid w:val="6C960288"/>
    <w:rsid w:val="6C977025"/>
    <w:rsid w:val="6C98C00B"/>
    <w:rsid w:val="6C98C91F"/>
    <w:rsid w:val="6C9B6D34"/>
    <w:rsid w:val="6C9BC84F"/>
    <w:rsid w:val="6C9C3D23"/>
    <w:rsid w:val="6C9DDB4E"/>
    <w:rsid w:val="6C9EA6D0"/>
    <w:rsid w:val="6CA1ABD4"/>
    <w:rsid w:val="6CA1C474"/>
    <w:rsid w:val="6CA219C9"/>
    <w:rsid w:val="6CA33FAB"/>
    <w:rsid w:val="6CA6A763"/>
    <w:rsid w:val="6CA6EE0F"/>
    <w:rsid w:val="6CA75C56"/>
    <w:rsid w:val="6CA798C3"/>
    <w:rsid w:val="6CA79D6F"/>
    <w:rsid w:val="6CA98011"/>
    <w:rsid w:val="6CA99877"/>
    <w:rsid w:val="6CA9D35C"/>
    <w:rsid w:val="6CAA20FB"/>
    <w:rsid w:val="6CAA9D44"/>
    <w:rsid w:val="6CAB9601"/>
    <w:rsid w:val="6CAB9EEB"/>
    <w:rsid w:val="6CAD115B"/>
    <w:rsid w:val="6CADC0E2"/>
    <w:rsid w:val="6CAF9D5C"/>
    <w:rsid w:val="6CB00C23"/>
    <w:rsid w:val="6CB060A2"/>
    <w:rsid w:val="6CB06856"/>
    <w:rsid w:val="6CB32FD6"/>
    <w:rsid w:val="6CB39D61"/>
    <w:rsid w:val="6CB42981"/>
    <w:rsid w:val="6CB4AFF4"/>
    <w:rsid w:val="6CB5A0F5"/>
    <w:rsid w:val="6CB5DFAB"/>
    <w:rsid w:val="6CB64281"/>
    <w:rsid w:val="6CB7908C"/>
    <w:rsid w:val="6CBB06CD"/>
    <w:rsid w:val="6CBC3F55"/>
    <w:rsid w:val="6CBCD34D"/>
    <w:rsid w:val="6CBD2ABF"/>
    <w:rsid w:val="6CBD5F1A"/>
    <w:rsid w:val="6CBDD372"/>
    <w:rsid w:val="6CBE3AA3"/>
    <w:rsid w:val="6CC088EA"/>
    <w:rsid w:val="6CC22C5A"/>
    <w:rsid w:val="6CC3730D"/>
    <w:rsid w:val="6CC39752"/>
    <w:rsid w:val="6CC3AE7C"/>
    <w:rsid w:val="6CC41CB5"/>
    <w:rsid w:val="6CC573CC"/>
    <w:rsid w:val="6CC62CDD"/>
    <w:rsid w:val="6CC92D71"/>
    <w:rsid w:val="6CC945EC"/>
    <w:rsid w:val="6CC9C05F"/>
    <w:rsid w:val="6CCA4015"/>
    <w:rsid w:val="6CCBF382"/>
    <w:rsid w:val="6CCD060F"/>
    <w:rsid w:val="6CCD121E"/>
    <w:rsid w:val="6CCFCD2A"/>
    <w:rsid w:val="6CD07DB2"/>
    <w:rsid w:val="6CD2EC46"/>
    <w:rsid w:val="6CD5BD3D"/>
    <w:rsid w:val="6CD636D6"/>
    <w:rsid w:val="6CD68371"/>
    <w:rsid w:val="6CD7A468"/>
    <w:rsid w:val="6CD83CFD"/>
    <w:rsid w:val="6CD8B108"/>
    <w:rsid w:val="6CD8EC3C"/>
    <w:rsid w:val="6CD94E88"/>
    <w:rsid w:val="6CDA5A15"/>
    <w:rsid w:val="6CDAA0AD"/>
    <w:rsid w:val="6CDACF6A"/>
    <w:rsid w:val="6CDB9C4C"/>
    <w:rsid w:val="6CDCB832"/>
    <w:rsid w:val="6CDCC71C"/>
    <w:rsid w:val="6CDCD0E5"/>
    <w:rsid w:val="6CDDEE2E"/>
    <w:rsid w:val="6CDE40A2"/>
    <w:rsid w:val="6CDE879D"/>
    <w:rsid w:val="6CDEF07A"/>
    <w:rsid w:val="6CDF789A"/>
    <w:rsid w:val="6CDFFE8C"/>
    <w:rsid w:val="6CE00B4D"/>
    <w:rsid w:val="6CE0B278"/>
    <w:rsid w:val="6CE18D9B"/>
    <w:rsid w:val="6CE36555"/>
    <w:rsid w:val="6CE4B39D"/>
    <w:rsid w:val="6CE75B17"/>
    <w:rsid w:val="6CE9978C"/>
    <w:rsid w:val="6CEA260F"/>
    <w:rsid w:val="6CEB79C7"/>
    <w:rsid w:val="6CEC03E7"/>
    <w:rsid w:val="6CEC1B2C"/>
    <w:rsid w:val="6CEC953A"/>
    <w:rsid w:val="6CED6C31"/>
    <w:rsid w:val="6CEDA19D"/>
    <w:rsid w:val="6CEE7182"/>
    <w:rsid w:val="6CEFB74C"/>
    <w:rsid w:val="6CF01225"/>
    <w:rsid w:val="6CF0AEA8"/>
    <w:rsid w:val="6CF19480"/>
    <w:rsid w:val="6CF1D003"/>
    <w:rsid w:val="6CF1E00F"/>
    <w:rsid w:val="6CF4B4F6"/>
    <w:rsid w:val="6CF5DFA7"/>
    <w:rsid w:val="6CF6EC9F"/>
    <w:rsid w:val="6CF7FB83"/>
    <w:rsid w:val="6CF8B699"/>
    <w:rsid w:val="6CFA32EF"/>
    <w:rsid w:val="6CFA7CC4"/>
    <w:rsid w:val="6CFA82B5"/>
    <w:rsid w:val="6CFD8792"/>
    <w:rsid w:val="6CFF0CFF"/>
    <w:rsid w:val="6CFF9937"/>
    <w:rsid w:val="6CFFF9FC"/>
    <w:rsid w:val="6D004784"/>
    <w:rsid w:val="6D00CC6E"/>
    <w:rsid w:val="6D01AAEE"/>
    <w:rsid w:val="6D03FCB8"/>
    <w:rsid w:val="6D040871"/>
    <w:rsid w:val="6D04195B"/>
    <w:rsid w:val="6D04934A"/>
    <w:rsid w:val="6D04E8AC"/>
    <w:rsid w:val="6D06974B"/>
    <w:rsid w:val="6D0749AB"/>
    <w:rsid w:val="6D08860C"/>
    <w:rsid w:val="6D08F7E6"/>
    <w:rsid w:val="6D094CFB"/>
    <w:rsid w:val="6D09A899"/>
    <w:rsid w:val="6D09B134"/>
    <w:rsid w:val="6D0B3073"/>
    <w:rsid w:val="6D0BCF2D"/>
    <w:rsid w:val="6D0D67D7"/>
    <w:rsid w:val="6D0E205E"/>
    <w:rsid w:val="6D0E7079"/>
    <w:rsid w:val="6D114A7D"/>
    <w:rsid w:val="6D1151C5"/>
    <w:rsid w:val="6D145F58"/>
    <w:rsid w:val="6D14DED5"/>
    <w:rsid w:val="6D1613AC"/>
    <w:rsid w:val="6D163586"/>
    <w:rsid w:val="6D1644A7"/>
    <w:rsid w:val="6D17A0CC"/>
    <w:rsid w:val="6D1953F9"/>
    <w:rsid w:val="6D1959DC"/>
    <w:rsid w:val="6D19FCEE"/>
    <w:rsid w:val="6D1A6FC4"/>
    <w:rsid w:val="6D1AB057"/>
    <w:rsid w:val="6D1BAB3D"/>
    <w:rsid w:val="6D1C046A"/>
    <w:rsid w:val="6D1C22FE"/>
    <w:rsid w:val="6D1E58D5"/>
    <w:rsid w:val="6D1EAC68"/>
    <w:rsid w:val="6D1EC479"/>
    <w:rsid w:val="6D1F868E"/>
    <w:rsid w:val="6D200569"/>
    <w:rsid w:val="6D207273"/>
    <w:rsid w:val="6D217982"/>
    <w:rsid w:val="6D229541"/>
    <w:rsid w:val="6D23D61B"/>
    <w:rsid w:val="6D24E797"/>
    <w:rsid w:val="6D265C73"/>
    <w:rsid w:val="6D2728F5"/>
    <w:rsid w:val="6D284719"/>
    <w:rsid w:val="6D284C12"/>
    <w:rsid w:val="6D28657D"/>
    <w:rsid w:val="6D2A6ACB"/>
    <w:rsid w:val="6D2A889B"/>
    <w:rsid w:val="6D2BF74A"/>
    <w:rsid w:val="6D2D115E"/>
    <w:rsid w:val="6D2D1523"/>
    <w:rsid w:val="6D2DB6A7"/>
    <w:rsid w:val="6D2E018C"/>
    <w:rsid w:val="6D2EBC8B"/>
    <w:rsid w:val="6D2EE37E"/>
    <w:rsid w:val="6D3158D6"/>
    <w:rsid w:val="6D325437"/>
    <w:rsid w:val="6D33B04E"/>
    <w:rsid w:val="6D34A1BB"/>
    <w:rsid w:val="6D34D336"/>
    <w:rsid w:val="6D34DC5A"/>
    <w:rsid w:val="6D356074"/>
    <w:rsid w:val="6D361412"/>
    <w:rsid w:val="6D364CF2"/>
    <w:rsid w:val="6D366150"/>
    <w:rsid w:val="6D37DE22"/>
    <w:rsid w:val="6D383741"/>
    <w:rsid w:val="6D3AAE6A"/>
    <w:rsid w:val="6D3B91D4"/>
    <w:rsid w:val="6D3BF6D2"/>
    <w:rsid w:val="6D3C3BEB"/>
    <w:rsid w:val="6D3CBA7A"/>
    <w:rsid w:val="6D3CBAFC"/>
    <w:rsid w:val="6D3E8A0A"/>
    <w:rsid w:val="6D4069B9"/>
    <w:rsid w:val="6D407D04"/>
    <w:rsid w:val="6D40991E"/>
    <w:rsid w:val="6D419373"/>
    <w:rsid w:val="6D41A8EC"/>
    <w:rsid w:val="6D4219CD"/>
    <w:rsid w:val="6D4242CA"/>
    <w:rsid w:val="6D42ACAA"/>
    <w:rsid w:val="6D43117C"/>
    <w:rsid w:val="6D451D1F"/>
    <w:rsid w:val="6D458F33"/>
    <w:rsid w:val="6D4D7966"/>
    <w:rsid w:val="6D4E456C"/>
    <w:rsid w:val="6D50E7F2"/>
    <w:rsid w:val="6D51F9F2"/>
    <w:rsid w:val="6D536B5E"/>
    <w:rsid w:val="6D54FA4A"/>
    <w:rsid w:val="6D5611A9"/>
    <w:rsid w:val="6D57E963"/>
    <w:rsid w:val="6D58BC76"/>
    <w:rsid w:val="6D592E32"/>
    <w:rsid w:val="6D594D2A"/>
    <w:rsid w:val="6D5CA81F"/>
    <w:rsid w:val="6D5D804F"/>
    <w:rsid w:val="6D5ECAA0"/>
    <w:rsid w:val="6D5FA662"/>
    <w:rsid w:val="6D6064BE"/>
    <w:rsid w:val="6D61265D"/>
    <w:rsid w:val="6D626A8F"/>
    <w:rsid w:val="6D6304EE"/>
    <w:rsid w:val="6D632C0C"/>
    <w:rsid w:val="6D66771E"/>
    <w:rsid w:val="6D688871"/>
    <w:rsid w:val="6D696244"/>
    <w:rsid w:val="6D6AE45A"/>
    <w:rsid w:val="6D6B52C0"/>
    <w:rsid w:val="6D6BFF4A"/>
    <w:rsid w:val="6D6D0845"/>
    <w:rsid w:val="6D6DC67F"/>
    <w:rsid w:val="6D6F01D9"/>
    <w:rsid w:val="6D6F7709"/>
    <w:rsid w:val="6D6F9FD3"/>
    <w:rsid w:val="6D6FC521"/>
    <w:rsid w:val="6D7090BA"/>
    <w:rsid w:val="6D73D94D"/>
    <w:rsid w:val="6D73E690"/>
    <w:rsid w:val="6D74D741"/>
    <w:rsid w:val="6D7561E9"/>
    <w:rsid w:val="6D77430D"/>
    <w:rsid w:val="6D779A10"/>
    <w:rsid w:val="6D7A49E8"/>
    <w:rsid w:val="6D7BBCE6"/>
    <w:rsid w:val="6D7C419D"/>
    <w:rsid w:val="6D7DAB5B"/>
    <w:rsid w:val="6D7E0F79"/>
    <w:rsid w:val="6D7EFC2A"/>
    <w:rsid w:val="6D807551"/>
    <w:rsid w:val="6D80D25C"/>
    <w:rsid w:val="6D82003B"/>
    <w:rsid w:val="6D8230B3"/>
    <w:rsid w:val="6D833AFE"/>
    <w:rsid w:val="6D83D28F"/>
    <w:rsid w:val="6D85815E"/>
    <w:rsid w:val="6D85EB9B"/>
    <w:rsid w:val="6D85EEEB"/>
    <w:rsid w:val="6D870658"/>
    <w:rsid w:val="6D876551"/>
    <w:rsid w:val="6D8B2614"/>
    <w:rsid w:val="6D8BD97D"/>
    <w:rsid w:val="6D8C24C5"/>
    <w:rsid w:val="6D8C44A0"/>
    <w:rsid w:val="6D8D0A30"/>
    <w:rsid w:val="6D8FECB6"/>
    <w:rsid w:val="6D916ED8"/>
    <w:rsid w:val="6D91AF30"/>
    <w:rsid w:val="6D927723"/>
    <w:rsid w:val="6D929791"/>
    <w:rsid w:val="6D931028"/>
    <w:rsid w:val="6D934C4D"/>
    <w:rsid w:val="6D935C35"/>
    <w:rsid w:val="6D967408"/>
    <w:rsid w:val="6D975D32"/>
    <w:rsid w:val="6D97D78A"/>
    <w:rsid w:val="6D981213"/>
    <w:rsid w:val="6D99CF77"/>
    <w:rsid w:val="6D9A74E9"/>
    <w:rsid w:val="6D9B0E67"/>
    <w:rsid w:val="6D9C34A3"/>
    <w:rsid w:val="6D9C800F"/>
    <w:rsid w:val="6D9D7D5D"/>
    <w:rsid w:val="6D9DB2F0"/>
    <w:rsid w:val="6D9E9DA8"/>
    <w:rsid w:val="6D9F0E62"/>
    <w:rsid w:val="6DA01432"/>
    <w:rsid w:val="6DA34AC3"/>
    <w:rsid w:val="6DA39E92"/>
    <w:rsid w:val="6DA5835A"/>
    <w:rsid w:val="6DA597BA"/>
    <w:rsid w:val="6DA5AA28"/>
    <w:rsid w:val="6DA631CF"/>
    <w:rsid w:val="6DA7174F"/>
    <w:rsid w:val="6DA7921B"/>
    <w:rsid w:val="6DA7CDF0"/>
    <w:rsid w:val="6DA80DB3"/>
    <w:rsid w:val="6DAAF1E8"/>
    <w:rsid w:val="6DAB5623"/>
    <w:rsid w:val="6DAB6E18"/>
    <w:rsid w:val="6DAC8F71"/>
    <w:rsid w:val="6DAD4F6B"/>
    <w:rsid w:val="6DADEB26"/>
    <w:rsid w:val="6DADF5B4"/>
    <w:rsid w:val="6DAE3872"/>
    <w:rsid w:val="6DAF4285"/>
    <w:rsid w:val="6DB0609D"/>
    <w:rsid w:val="6DB2607B"/>
    <w:rsid w:val="6DB45C0E"/>
    <w:rsid w:val="6DB47742"/>
    <w:rsid w:val="6DB48636"/>
    <w:rsid w:val="6DB4BB02"/>
    <w:rsid w:val="6DB6F217"/>
    <w:rsid w:val="6DB72996"/>
    <w:rsid w:val="6DB7F85B"/>
    <w:rsid w:val="6DB8BB74"/>
    <w:rsid w:val="6DB8C046"/>
    <w:rsid w:val="6DBA0921"/>
    <w:rsid w:val="6DBB4EB4"/>
    <w:rsid w:val="6DBB529B"/>
    <w:rsid w:val="6DBC083F"/>
    <w:rsid w:val="6DBC6289"/>
    <w:rsid w:val="6DBE7517"/>
    <w:rsid w:val="6DBEC8F7"/>
    <w:rsid w:val="6DBF8AA8"/>
    <w:rsid w:val="6DBFB63A"/>
    <w:rsid w:val="6DC252B9"/>
    <w:rsid w:val="6DC26316"/>
    <w:rsid w:val="6DC29453"/>
    <w:rsid w:val="6DC304C3"/>
    <w:rsid w:val="6DC421F2"/>
    <w:rsid w:val="6DC49513"/>
    <w:rsid w:val="6DC6B093"/>
    <w:rsid w:val="6DC76306"/>
    <w:rsid w:val="6DC77ED9"/>
    <w:rsid w:val="6DC78A6B"/>
    <w:rsid w:val="6DC84E07"/>
    <w:rsid w:val="6DC8F72C"/>
    <w:rsid w:val="6DC91EFF"/>
    <w:rsid w:val="6DCB0455"/>
    <w:rsid w:val="6DCB1CD3"/>
    <w:rsid w:val="6DCC17B2"/>
    <w:rsid w:val="6DCD644F"/>
    <w:rsid w:val="6DCD6A68"/>
    <w:rsid w:val="6DCE1AD4"/>
    <w:rsid w:val="6DCEDAE7"/>
    <w:rsid w:val="6DCEFA52"/>
    <w:rsid w:val="6DCF75EA"/>
    <w:rsid w:val="6DD0163E"/>
    <w:rsid w:val="6DD370B8"/>
    <w:rsid w:val="6DD374C4"/>
    <w:rsid w:val="6DD54C3F"/>
    <w:rsid w:val="6DD71D45"/>
    <w:rsid w:val="6DD740EA"/>
    <w:rsid w:val="6DD88649"/>
    <w:rsid w:val="6DD943D5"/>
    <w:rsid w:val="6DD9FDE8"/>
    <w:rsid w:val="6DDA525E"/>
    <w:rsid w:val="6DDAAF6D"/>
    <w:rsid w:val="6DDAF73F"/>
    <w:rsid w:val="6DDCC44C"/>
    <w:rsid w:val="6DDDAD96"/>
    <w:rsid w:val="6DDDB285"/>
    <w:rsid w:val="6DDE062C"/>
    <w:rsid w:val="6DDECAA2"/>
    <w:rsid w:val="6DDED739"/>
    <w:rsid w:val="6DDFAC44"/>
    <w:rsid w:val="6DE05348"/>
    <w:rsid w:val="6DE12436"/>
    <w:rsid w:val="6DE294DB"/>
    <w:rsid w:val="6DE2F6A5"/>
    <w:rsid w:val="6DE3A1B0"/>
    <w:rsid w:val="6DE425CE"/>
    <w:rsid w:val="6DE4721F"/>
    <w:rsid w:val="6DE51768"/>
    <w:rsid w:val="6DE60793"/>
    <w:rsid w:val="6DE63FCB"/>
    <w:rsid w:val="6DE79660"/>
    <w:rsid w:val="6DE821EF"/>
    <w:rsid w:val="6DE83B35"/>
    <w:rsid w:val="6DE9BCCA"/>
    <w:rsid w:val="6DEADF1B"/>
    <w:rsid w:val="6DEB1A66"/>
    <w:rsid w:val="6DEB3FCC"/>
    <w:rsid w:val="6DEB5583"/>
    <w:rsid w:val="6DEC5DB0"/>
    <w:rsid w:val="6DECD793"/>
    <w:rsid w:val="6DECE4A4"/>
    <w:rsid w:val="6DED1590"/>
    <w:rsid w:val="6DED6F71"/>
    <w:rsid w:val="6DF048C0"/>
    <w:rsid w:val="6DF1D18E"/>
    <w:rsid w:val="6DF267DB"/>
    <w:rsid w:val="6DF388D1"/>
    <w:rsid w:val="6DF423B9"/>
    <w:rsid w:val="6DF4BC78"/>
    <w:rsid w:val="6DF79387"/>
    <w:rsid w:val="6DF92077"/>
    <w:rsid w:val="6DF9A6A4"/>
    <w:rsid w:val="6DFB6059"/>
    <w:rsid w:val="6DFC406C"/>
    <w:rsid w:val="6E0170C6"/>
    <w:rsid w:val="6E039C88"/>
    <w:rsid w:val="6E059496"/>
    <w:rsid w:val="6E081408"/>
    <w:rsid w:val="6E092236"/>
    <w:rsid w:val="6E0A0ECE"/>
    <w:rsid w:val="6E0A34AF"/>
    <w:rsid w:val="6E0B4823"/>
    <w:rsid w:val="6E0B9830"/>
    <w:rsid w:val="6E0C7907"/>
    <w:rsid w:val="6E0CECEF"/>
    <w:rsid w:val="6E0CEE11"/>
    <w:rsid w:val="6E0CF9FC"/>
    <w:rsid w:val="6E0D22A4"/>
    <w:rsid w:val="6E0F3B07"/>
    <w:rsid w:val="6E125B4C"/>
    <w:rsid w:val="6E12F421"/>
    <w:rsid w:val="6E139FAC"/>
    <w:rsid w:val="6E146BA0"/>
    <w:rsid w:val="6E153B20"/>
    <w:rsid w:val="6E155DE8"/>
    <w:rsid w:val="6E159D8D"/>
    <w:rsid w:val="6E1692A4"/>
    <w:rsid w:val="6E16D84F"/>
    <w:rsid w:val="6E17387C"/>
    <w:rsid w:val="6E183AC3"/>
    <w:rsid w:val="6E18FC5E"/>
    <w:rsid w:val="6E1947CC"/>
    <w:rsid w:val="6E194A07"/>
    <w:rsid w:val="6E197723"/>
    <w:rsid w:val="6E19973C"/>
    <w:rsid w:val="6E19BA64"/>
    <w:rsid w:val="6E1AD75B"/>
    <w:rsid w:val="6E1B04AD"/>
    <w:rsid w:val="6E1CC8C9"/>
    <w:rsid w:val="6E1F720B"/>
    <w:rsid w:val="6E1F72CD"/>
    <w:rsid w:val="6E206A41"/>
    <w:rsid w:val="6E215919"/>
    <w:rsid w:val="6E2287B2"/>
    <w:rsid w:val="6E229885"/>
    <w:rsid w:val="6E247C54"/>
    <w:rsid w:val="6E24D542"/>
    <w:rsid w:val="6E26AB56"/>
    <w:rsid w:val="6E275377"/>
    <w:rsid w:val="6E2799DA"/>
    <w:rsid w:val="6E27D6B2"/>
    <w:rsid w:val="6E2865EF"/>
    <w:rsid w:val="6E28A5F7"/>
    <w:rsid w:val="6E291916"/>
    <w:rsid w:val="6E2A21E2"/>
    <w:rsid w:val="6E2A2969"/>
    <w:rsid w:val="6E2A9196"/>
    <w:rsid w:val="6E2AED11"/>
    <w:rsid w:val="6E2C14E3"/>
    <w:rsid w:val="6E2C9D45"/>
    <w:rsid w:val="6E2DDD4D"/>
    <w:rsid w:val="6E2F4FD6"/>
    <w:rsid w:val="6E304597"/>
    <w:rsid w:val="6E31FBF7"/>
    <w:rsid w:val="6E32B096"/>
    <w:rsid w:val="6E32BC29"/>
    <w:rsid w:val="6E331715"/>
    <w:rsid w:val="6E33DED8"/>
    <w:rsid w:val="6E3543E6"/>
    <w:rsid w:val="6E37D067"/>
    <w:rsid w:val="6E387A73"/>
    <w:rsid w:val="6E39330E"/>
    <w:rsid w:val="6E3A01B7"/>
    <w:rsid w:val="6E3A7760"/>
    <w:rsid w:val="6E3D9C33"/>
    <w:rsid w:val="6E3F91C6"/>
    <w:rsid w:val="6E411BC9"/>
    <w:rsid w:val="6E416B97"/>
    <w:rsid w:val="6E42B1A0"/>
    <w:rsid w:val="6E42C368"/>
    <w:rsid w:val="6E453B74"/>
    <w:rsid w:val="6E458A2E"/>
    <w:rsid w:val="6E45B378"/>
    <w:rsid w:val="6E465841"/>
    <w:rsid w:val="6E47CBF6"/>
    <w:rsid w:val="6E48BAC9"/>
    <w:rsid w:val="6E4B1C15"/>
    <w:rsid w:val="6E4BC308"/>
    <w:rsid w:val="6E4C4E55"/>
    <w:rsid w:val="6E4DA960"/>
    <w:rsid w:val="6E4E8F41"/>
    <w:rsid w:val="6E5027F7"/>
    <w:rsid w:val="6E521766"/>
    <w:rsid w:val="6E53EFB9"/>
    <w:rsid w:val="6E542AB1"/>
    <w:rsid w:val="6E548981"/>
    <w:rsid w:val="6E549559"/>
    <w:rsid w:val="6E54EC15"/>
    <w:rsid w:val="6E5558FC"/>
    <w:rsid w:val="6E55CE7E"/>
    <w:rsid w:val="6E565B4A"/>
    <w:rsid w:val="6E567893"/>
    <w:rsid w:val="6E56F3A0"/>
    <w:rsid w:val="6E58BDA5"/>
    <w:rsid w:val="6E58E80A"/>
    <w:rsid w:val="6E5910FD"/>
    <w:rsid w:val="6E59A9EA"/>
    <w:rsid w:val="6E59E089"/>
    <w:rsid w:val="6E5A9171"/>
    <w:rsid w:val="6E5AB4E3"/>
    <w:rsid w:val="6E5ADFB8"/>
    <w:rsid w:val="6E5B1B8C"/>
    <w:rsid w:val="6E5C1D46"/>
    <w:rsid w:val="6E5DC7A5"/>
    <w:rsid w:val="6E5E81AE"/>
    <w:rsid w:val="6E5F7267"/>
    <w:rsid w:val="6E62D16B"/>
    <w:rsid w:val="6E635D33"/>
    <w:rsid w:val="6E647367"/>
    <w:rsid w:val="6E687C68"/>
    <w:rsid w:val="6E68EAE3"/>
    <w:rsid w:val="6E6BC126"/>
    <w:rsid w:val="6E6C109D"/>
    <w:rsid w:val="6E6F547D"/>
    <w:rsid w:val="6E6FDFA8"/>
    <w:rsid w:val="6E6FE928"/>
    <w:rsid w:val="6E6FECD8"/>
    <w:rsid w:val="6E709133"/>
    <w:rsid w:val="6E71A672"/>
    <w:rsid w:val="6E71E02B"/>
    <w:rsid w:val="6E7296EF"/>
    <w:rsid w:val="6E72D4E2"/>
    <w:rsid w:val="6E72DDC8"/>
    <w:rsid w:val="6E73335E"/>
    <w:rsid w:val="6E739E8D"/>
    <w:rsid w:val="6E746181"/>
    <w:rsid w:val="6E7673C0"/>
    <w:rsid w:val="6E7A6C54"/>
    <w:rsid w:val="6E7B1D8B"/>
    <w:rsid w:val="6E7C94A1"/>
    <w:rsid w:val="6E7C98BF"/>
    <w:rsid w:val="6E81F708"/>
    <w:rsid w:val="6E8228B1"/>
    <w:rsid w:val="6E8294D2"/>
    <w:rsid w:val="6E8305D0"/>
    <w:rsid w:val="6E833F34"/>
    <w:rsid w:val="6E862A16"/>
    <w:rsid w:val="6E862DA8"/>
    <w:rsid w:val="6E8883E3"/>
    <w:rsid w:val="6E89F5CA"/>
    <w:rsid w:val="6E8CAAAA"/>
    <w:rsid w:val="6E8D703E"/>
    <w:rsid w:val="6E8EDE68"/>
    <w:rsid w:val="6E8EE8E7"/>
    <w:rsid w:val="6E8EF513"/>
    <w:rsid w:val="6E91658C"/>
    <w:rsid w:val="6E918F4B"/>
    <w:rsid w:val="6E919C14"/>
    <w:rsid w:val="6E91BF96"/>
    <w:rsid w:val="6E932A1B"/>
    <w:rsid w:val="6E940120"/>
    <w:rsid w:val="6E94082A"/>
    <w:rsid w:val="6E956FC4"/>
    <w:rsid w:val="6E962B93"/>
    <w:rsid w:val="6E96FF5C"/>
    <w:rsid w:val="6E9ADC02"/>
    <w:rsid w:val="6E9C3D34"/>
    <w:rsid w:val="6E9CE3D7"/>
    <w:rsid w:val="6E9D507D"/>
    <w:rsid w:val="6E9E055C"/>
    <w:rsid w:val="6E9E7AAC"/>
    <w:rsid w:val="6E9EAA8F"/>
    <w:rsid w:val="6E9F4488"/>
    <w:rsid w:val="6E9FAF50"/>
    <w:rsid w:val="6EA07683"/>
    <w:rsid w:val="6EA0C859"/>
    <w:rsid w:val="6EA1FD42"/>
    <w:rsid w:val="6EA38E23"/>
    <w:rsid w:val="6EA4A11A"/>
    <w:rsid w:val="6EA54CE2"/>
    <w:rsid w:val="6EA71FA4"/>
    <w:rsid w:val="6EA7496E"/>
    <w:rsid w:val="6EAAA80B"/>
    <w:rsid w:val="6EAD36C2"/>
    <w:rsid w:val="6EAD9272"/>
    <w:rsid w:val="6EAE641C"/>
    <w:rsid w:val="6EB2082F"/>
    <w:rsid w:val="6EB30464"/>
    <w:rsid w:val="6EB42509"/>
    <w:rsid w:val="6EB48BBC"/>
    <w:rsid w:val="6EB4BFB4"/>
    <w:rsid w:val="6EB4DB74"/>
    <w:rsid w:val="6EB5EA4F"/>
    <w:rsid w:val="6EB68E77"/>
    <w:rsid w:val="6EB78D6B"/>
    <w:rsid w:val="6EBA9301"/>
    <w:rsid w:val="6EBB6727"/>
    <w:rsid w:val="6EBC5CD0"/>
    <w:rsid w:val="6EBCB241"/>
    <w:rsid w:val="6EBD603B"/>
    <w:rsid w:val="6EBED2BA"/>
    <w:rsid w:val="6EBFAB98"/>
    <w:rsid w:val="6EC0EA6F"/>
    <w:rsid w:val="6EC21562"/>
    <w:rsid w:val="6EC443B1"/>
    <w:rsid w:val="6EC46E2D"/>
    <w:rsid w:val="6EC4AE95"/>
    <w:rsid w:val="6EC50D47"/>
    <w:rsid w:val="6EC66261"/>
    <w:rsid w:val="6EC726AE"/>
    <w:rsid w:val="6EC73295"/>
    <w:rsid w:val="6EC97E92"/>
    <w:rsid w:val="6ECA5705"/>
    <w:rsid w:val="6ECB8775"/>
    <w:rsid w:val="6ECF5554"/>
    <w:rsid w:val="6ECFCA94"/>
    <w:rsid w:val="6ED228EE"/>
    <w:rsid w:val="6ED32DC6"/>
    <w:rsid w:val="6ED83661"/>
    <w:rsid w:val="6ED9AA57"/>
    <w:rsid w:val="6EDACB37"/>
    <w:rsid w:val="6EDBD403"/>
    <w:rsid w:val="6EDC4D65"/>
    <w:rsid w:val="6EDD5CC1"/>
    <w:rsid w:val="6EDDC8C1"/>
    <w:rsid w:val="6EDE6E56"/>
    <w:rsid w:val="6EDECCBF"/>
    <w:rsid w:val="6EDFE4F5"/>
    <w:rsid w:val="6EE1F39A"/>
    <w:rsid w:val="6EE1FDE7"/>
    <w:rsid w:val="6EE24645"/>
    <w:rsid w:val="6EE56E63"/>
    <w:rsid w:val="6EE74E86"/>
    <w:rsid w:val="6EEBA283"/>
    <w:rsid w:val="6EEBF088"/>
    <w:rsid w:val="6EEC53B6"/>
    <w:rsid w:val="6EEC5CD3"/>
    <w:rsid w:val="6EEF19FC"/>
    <w:rsid w:val="6EEF305C"/>
    <w:rsid w:val="6EEF5D07"/>
    <w:rsid w:val="6EEF7DF1"/>
    <w:rsid w:val="6EF12580"/>
    <w:rsid w:val="6EF1279A"/>
    <w:rsid w:val="6EF1E187"/>
    <w:rsid w:val="6EF2B04C"/>
    <w:rsid w:val="6EF459FA"/>
    <w:rsid w:val="6EF4FEE9"/>
    <w:rsid w:val="6EF50E8D"/>
    <w:rsid w:val="6EF5B252"/>
    <w:rsid w:val="6EF87E36"/>
    <w:rsid w:val="6EF92FC8"/>
    <w:rsid w:val="6EF942FE"/>
    <w:rsid w:val="6EF98021"/>
    <w:rsid w:val="6EF9D955"/>
    <w:rsid w:val="6EFA96F9"/>
    <w:rsid w:val="6EFAE2FD"/>
    <w:rsid w:val="6EFB4D57"/>
    <w:rsid w:val="6EFB51FB"/>
    <w:rsid w:val="6EFD32FD"/>
    <w:rsid w:val="6EFD7372"/>
    <w:rsid w:val="6EFDDE8B"/>
    <w:rsid w:val="6EFEFEFA"/>
    <w:rsid w:val="6EFFC805"/>
    <w:rsid w:val="6F015EC6"/>
    <w:rsid w:val="6F03FDDB"/>
    <w:rsid w:val="6F04CACF"/>
    <w:rsid w:val="6F05FDF5"/>
    <w:rsid w:val="6F065F35"/>
    <w:rsid w:val="6F067CAB"/>
    <w:rsid w:val="6F077522"/>
    <w:rsid w:val="6F07B387"/>
    <w:rsid w:val="6F0819CB"/>
    <w:rsid w:val="6F093937"/>
    <w:rsid w:val="6F09B76D"/>
    <w:rsid w:val="6F0A30DC"/>
    <w:rsid w:val="6F0A3A96"/>
    <w:rsid w:val="6F0A84C6"/>
    <w:rsid w:val="6F0A94AB"/>
    <w:rsid w:val="6F0E6E08"/>
    <w:rsid w:val="6F0EFE12"/>
    <w:rsid w:val="6F1053B2"/>
    <w:rsid w:val="6F108664"/>
    <w:rsid w:val="6F11392D"/>
    <w:rsid w:val="6F125DBB"/>
    <w:rsid w:val="6F134F35"/>
    <w:rsid w:val="6F1437C3"/>
    <w:rsid w:val="6F148FBB"/>
    <w:rsid w:val="6F16824E"/>
    <w:rsid w:val="6F171A56"/>
    <w:rsid w:val="6F174C93"/>
    <w:rsid w:val="6F1764E9"/>
    <w:rsid w:val="6F17DB03"/>
    <w:rsid w:val="6F18BFB2"/>
    <w:rsid w:val="6F194164"/>
    <w:rsid w:val="6F1B9820"/>
    <w:rsid w:val="6F1EFC4C"/>
    <w:rsid w:val="6F1F006C"/>
    <w:rsid w:val="6F1FF334"/>
    <w:rsid w:val="6F231E06"/>
    <w:rsid w:val="6F23D6DD"/>
    <w:rsid w:val="6F244CEB"/>
    <w:rsid w:val="6F2663B3"/>
    <w:rsid w:val="6F26BE5B"/>
    <w:rsid w:val="6F295E1D"/>
    <w:rsid w:val="6F2BE00B"/>
    <w:rsid w:val="6F2BFBA4"/>
    <w:rsid w:val="6F2C0479"/>
    <w:rsid w:val="6F2D097E"/>
    <w:rsid w:val="6F2D4FB6"/>
    <w:rsid w:val="6F2DC826"/>
    <w:rsid w:val="6F2EBB43"/>
    <w:rsid w:val="6F301910"/>
    <w:rsid w:val="6F3079F5"/>
    <w:rsid w:val="6F314377"/>
    <w:rsid w:val="6F330523"/>
    <w:rsid w:val="6F333307"/>
    <w:rsid w:val="6F34502B"/>
    <w:rsid w:val="6F355AE9"/>
    <w:rsid w:val="6F3660AD"/>
    <w:rsid w:val="6F3857A7"/>
    <w:rsid w:val="6F38B943"/>
    <w:rsid w:val="6F390368"/>
    <w:rsid w:val="6F3B3450"/>
    <w:rsid w:val="6F3BB658"/>
    <w:rsid w:val="6F3C63E6"/>
    <w:rsid w:val="6F40578E"/>
    <w:rsid w:val="6F41FACD"/>
    <w:rsid w:val="6F42883B"/>
    <w:rsid w:val="6F42FC38"/>
    <w:rsid w:val="6F43CE85"/>
    <w:rsid w:val="6F441CE9"/>
    <w:rsid w:val="6F44F584"/>
    <w:rsid w:val="6F450E5D"/>
    <w:rsid w:val="6F451B13"/>
    <w:rsid w:val="6F4595BC"/>
    <w:rsid w:val="6F46344E"/>
    <w:rsid w:val="6F467995"/>
    <w:rsid w:val="6F488531"/>
    <w:rsid w:val="6F4A039A"/>
    <w:rsid w:val="6F4A2738"/>
    <w:rsid w:val="6F4AD6F4"/>
    <w:rsid w:val="6F4ADCAC"/>
    <w:rsid w:val="6F4BB174"/>
    <w:rsid w:val="6F4C153E"/>
    <w:rsid w:val="6F4C9647"/>
    <w:rsid w:val="6F4EDC5A"/>
    <w:rsid w:val="6F4F3660"/>
    <w:rsid w:val="6F502A10"/>
    <w:rsid w:val="6F5075E0"/>
    <w:rsid w:val="6F50DF50"/>
    <w:rsid w:val="6F52429B"/>
    <w:rsid w:val="6F52850E"/>
    <w:rsid w:val="6F5385D4"/>
    <w:rsid w:val="6F546582"/>
    <w:rsid w:val="6F54B54A"/>
    <w:rsid w:val="6F54C2F5"/>
    <w:rsid w:val="6F556157"/>
    <w:rsid w:val="6F5728B1"/>
    <w:rsid w:val="6F587B72"/>
    <w:rsid w:val="6F590124"/>
    <w:rsid w:val="6F5AD7E9"/>
    <w:rsid w:val="6F5C1E9C"/>
    <w:rsid w:val="6F5CC3D0"/>
    <w:rsid w:val="6F5D6C25"/>
    <w:rsid w:val="6F5F39B1"/>
    <w:rsid w:val="6F60CD8B"/>
    <w:rsid w:val="6F61A464"/>
    <w:rsid w:val="6F6250B1"/>
    <w:rsid w:val="6F6291BF"/>
    <w:rsid w:val="6F62DBA1"/>
    <w:rsid w:val="6F635ACC"/>
    <w:rsid w:val="6F64C0EE"/>
    <w:rsid w:val="6F659C92"/>
    <w:rsid w:val="6F687070"/>
    <w:rsid w:val="6F68C523"/>
    <w:rsid w:val="6F68D5AD"/>
    <w:rsid w:val="6F693AA8"/>
    <w:rsid w:val="6F695E97"/>
    <w:rsid w:val="6F69EF45"/>
    <w:rsid w:val="6F6A66FC"/>
    <w:rsid w:val="6F6BDCB4"/>
    <w:rsid w:val="6F6D872C"/>
    <w:rsid w:val="6F6DE3A8"/>
    <w:rsid w:val="6F6E8AEF"/>
    <w:rsid w:val="6F72F5CC"/>
    <w:rsid w:val="6F7355D0"/>
    <w:rsid w:val="6F7392D2"/>
    <w:rsid w:val="6F7404E9"/>
    <w:rsid w:val="6F751288"/>
    <w:rsid w:val="6F75FAF8"/>
    <w:rsid w:val="6F78CE2F"/>
    <w:rsid w:val="6F7938F0"/>
    <w:rsid w:val="6F7BC0E6"/>
    <w:rsid w:val="6F7CCF8A"/>
    <w:rsid w:val="6F7E25D2"/>
    <w:rsid w:val="6F7F4160"/>
    <w:rsid w:val="6F805C88"/>
    <w:rsid w:val="6F807E50"/>
    <w:rsid w:val="6F81DAE6"/>
    <w:rsid w:val="6F824915"/>
    <w:rsid w:val="6F82D615"/>
    <w:rsid w:val="6F84EF18"/>
    <w:rsid w:val="6F859B21"/>
    <w:rsid w:val="6F89EFA9"/>
    <w:rsid w:val="6F8AA08D"/>
    <w:rsid w:val="6F8B4105"/>
    <w:rsid w:val="6F8BF7FA"/>
    <w:rsid w:val="6F8C2B14"/>
    <w:rsid w:val="6F8E4BBD"/>
    <w:rsid w:val="6F9082A1"/>
    <w:rsid w:val="6F916667"/>
    <w:rsid w:val="6F91DCD7"/>
    <w:rsid w:val="6F91F50B"/>
    <w:rsid w:val="6F92B203"/>
    <w:rsid w:val="6F93AA1E"/>
    <w:rsid w:val="6F94234B"/>
    <w:rsid w:val="6F963975"/>
    <w:rsid w:val="6F96B0C1"/>
    <w:rsid w:val="6F99B91B"/>
    <w:rsid w:val="6F9AEF4B"/>
    <w:rsid w:val="6F9D4517"/>
    <w:rsid w:val="6F9E67DA"/>
    <w:rsid w:val="6FA018B9"/>
    <w:rsid w:val="6FA3510B"/>
    <w:rsid w:val="6FA5D97F"/>
    <w:rsid w:val="6FA74D60"/>
    <w:rsid w:val="6FA7F891"/>
    <w:rsid w:val="6FAAC722"/>
    <w:rsid w:val="6FAB1C6A"/>
    <w:rsid w:val="6FAF0E4A"/>
    <w:rsid w:val="6FAFF076"/>
    <w:rsid w:val="6FB0496A"/>
    <w:rsid w:val="6FB11F90"/>
    <w:rsid w:val="6FB25B97"/>
    <w:rsid w:val="6FB2932D"/>
    <w:rsid w:val="6FB2D62D"/>
    <w:rsid w:val="6FB2EB62"/>
    <w:rsid w:val="6FB2F0A2"/>
    <w:rsid w:val="6FB32300"/>
    <w:rsid w:val="6FB45874"/>
    <w:rsid w:val="6FB553BD"/>
    <w:rsid w:val="6FB6FB34"/>
    <w:rsid w:val="6FB7E6B0"/>
    <w:rsid w:val="6FB857C9"/>
    <w:rsid w:val="6FB9BDBB"/>
    <w:rsid w:val="6FBA72F9"/>
    <w:rsid w:val="6FBA812B"/>
    <w:rsid w:val="6FBABF55"/>
    <w:rsid w:val="6FBB00A2"/>
    <w:rsid w:val="6FBB2CBB"/>
    <w:rsid w:val="6FBBDC84"/>
    <w:rsid w:val="6FBC6CF8"/>
    <w:rsid w:val="6FBD538B"/>
    <w:rsid w:val="6FBDBF60"/>
    <w:rsid w:val="6FBE2A00"/>
    <w:rsid w:val="6FBEA89A"/>
    <w:rsid w:val="6FBF6E90"/>
    <w:rsid w:val="6FBF8AD5"/>
    <w:rsid w:val="6FC030B4"/>
    <w:rsid w:val="6FC323D8"/>
    <w:rsid w:val="6FC4058B"/>
    <w:rsid w:val="6FC44CF0"/>
    <w:rsid w:val="6FC47092"/>
    <w:rsid w:val="6FC4C69E"/>
    <w:rsid w:val="6FC4C70C"/>
    <w:rsid w:val="6FC676D3"/>
    <w:rsid w:val="6FC67922"/>
    <w:rsid w:val="6FCA1B04"/>
    <w:rsid w:val="6FCA2D50"/>
    <w:rsid w:val="6FCB0F50"/>
    <w:rsid w:val="6FCDEDA8"/>
    <w:rsid w:val="6FCEE28A"/>
    <w:rsid w:val="6FD00C3E"/>
    <w:rsid w:val="6FD0F7C4"/>
    <w:rsid w:val="6FD11BBA"/>
    <w:rsid w:val="6FD267A7"/>
    <w:rsid w:val="6FD29EEB"/>
    <w:rsid w:val="6FD2C3F6"/>
    <w:rsid w:val="6FD55734"/>
    <w:rsid w:val="6FD7142A"/>
    <w:rsid w:val="6FD7F536"/>
    <w:rsid w:val="6FDA0EE7"/>
    <w:rsid w:val="6FDB3FEA"/>
    <w:rsid w:val="6FDD67EE"/>
    <w:rsid w:val="6FDE268F"/>
    <w:rsid w:val="6FDE82AD"/>
    <w:rsid w:val="6FDFD31C"/>
    <w:rsid w:val="6FE0B8CF"/>
    <w:rsid w:val="6FE11285"/>
    <w:rsid w:val="6FE190EA"/>
    <w:rsid w:val="6FE1CB59"/>
    <w:rsid w:val="6FE2013E"/>
    <w:rsid w:val="6FE27A76"/>
    <w:rsid w:val="6FE2EE09"/>
    <w:rsid w:val="6FE2FE05"/>
    <w:rsid w:val="6FE38607"/>
    <w:rsid w:val="6FE45E09"/>
    <w:rsid w:val="6FE56709"/>
    <w:rsid w:val="6FE7AE18"/>
    <w:rsid w:val="6FE9C122"/>
    <w:rsid w:val="6FEB032E"/>
    <w:rsid w:val="6FEBE133"/>
    <w:rsid w:val="6FEBF882"/>
    <w:rsid w:val="6FED0626"/>
    <w:rsid w:val="6FEDE4BF"/>
    <w:rsid w:val="6FEEAF8F"/>
    <w:rsid w:val="6FEEE34F"/>
    <w:rsid w:val="6FEF4CA1"/>
    <w:rsid w:val="6FF042C1"/>
    <w:rsid w:val="6FF1FB69"/>
    <w:rsid w:val="6FF1FEF9"/>
    <w:rsid w:val="6FF2EA0B"/>
    <w:rsid w:val="6FF2EB70"/>
    <w:rsid w:val="6FF3382D"/>
    <w:rsid w:val="6FF3904A"/>
    <w:rsid w:val="6FF6818C"/>
    <w:rsid w:val="6FF83793"/>
    <w:rsid w:val="6FFB5E6A"/>
    <w:rsid w:val="6FFB6281"/>
    <w:rsid w:val="6FFD20B0"/>
    <w:rsid w:val="6FFE1FB7"/>
    <w:rsid w:val="6FFFDFA4"/>
    <w:rsid w:val="700077B9"/>
    <w:rsid w:val="7000F139"/>
    <w:rsid w:val="7002B4BD"/>
    <w:rsid w:val="700446FF"/>
    <w:rsid w:val="7004FCDC"/>
    <w:rsid w:val="700564DF"/>
    <w:rsid w:val="7006AE21"/>
    <w:rsid w:val="700B780F"/>
    <w:rsid w:val="700C0B23"/>
    <w:rsid w:val="700C4E74"/>
    <w:rsid w:val="700C967C"/>
    <w:rsid w:val="700D0526"/>
    <w:rsid w:val="700D3C39"/>
    <w:rsid w:val="700DAC9F"/>
    <w:rsid w:val="700DE991"/>
    <w:rsid w:val="700EFADD"/>
    <w:rsid w:val="700F0861"/>
    <w:rsid w:val="70119750"/>
    <w:rsid w:val="701370AD"/>
    <w:rsid w:val="701625BE"/>
    <w:rsid w:val="7018B3F8"/>
    <w:rsid w:val="7018BE12"/>
    <w:rsid w:val="70195F87"/>
    <w:rsid w:val="701A730C"/>
    <w:rsid w:val="701ACD95"/>
    <w:rsid w:val="701AFBB3"/>
    <w:rsid w:val="701C0B0C"/>
    <w:rsid w:val="701C24D5"/>
    <w:rsid w:val="701D53D1"/>
    <w:rsid w:val="701EFC2C"/>
    <w:rsid w:val="701F5188"/>
    <w:rsid w:val="701F63E2"/>
    <w:rsid w:val="701FEFEF"/>
    <w:rsid w:val="70206F83"/>
    <w:rsid w:val="7023C3A5"/>
    <w:rsid w:val="70240F0B"/>
    <w:rsid w:val="70246FCD"/>
    <w:rsid w:val="7024D624"/>
    <w:rsid w:val="70253F6A"/>
    <w:rsid w:val="70269E05"/>
    <w:rsid w:val="70280D4C"/>
    <w:rsid w:val="7028B440"/>
    <w:rsid w:val="702C2103"/>
    <w:rsid w:val="702D87E1"/>
    <w:rsid w:val="702DBCCB"/>
    <w:rsid w:val="702E034E"/>
    <w:rsid w:val="702E8EA9"/>
    <w:rsid w:val="702EF428"/>
    <w:rsid w:val="702EFA6C"/>
    <w:rsid w:val="70305C6C"/>
    <w:rsid w:val="703097D7"/>
    <w:rsid w:val="7030B1E1"/>
    <w:rsid w:val="70318DEF"/>
    <w:rsid w:val="7031F381"/>
    <w:rsid w:val="70328613"/>
    <w:rsid w:val="703424F1"/>
    <w:rsid w:val="7037335C"/>
    <w:rsid w:val="70374867"/>
    <w:rsid w:val="70378A1B"/>
    <w:rsid w:val="7037E71F"/>
    <w:rsid w:val="7039C27E"/>
    <w:rsid w:val="7039FBE1"/>
    <w:rsid w:val="703A28BA"/>
    <w:rsid w:val="703B5434"/>
    <w:rsid w:val="703F2F1E"/>
    <w:rsid w:val="703F4B1B"/>
    <w:rsid w:val="70409678"/>
    <w:rsid w:val="70433D27"/>
    <w:rsid w:val="70442636"/>
    <w:rsid w:val="7044354A"/>
    <w:rsid w:val="704579E0"/>
    <w:rsid w:val="7045E7FA"/>
    <w:rsid w:val="7046F897"/>
    <w:rsid w:val="70472C3B"/>
    <w:rsid w:val="7047B363"/>
    <w:rsid w:val="70486522"/>
    <w:rsid w:val="7049D7AE"/>
    <w:rsid w:val="704B054E"/>
    <w:rsid w:val="704B6600"/>
    <w:rsid w:val="704B8E69"/>
    <w:rsid w:val="704C8F67"/>
    <w:rsid w:val="704C9465"/>
    <w:rsid w:val="704CCEA2"/>
    <w:rsid w:val="704CE6E6"/>
    <w:rsid w:val="704D726D"/>
    <w:rsid w:val="704D84E3"/>
    <w:rsid w:val="704DAF6E"/>
    <w:rsid w:val="704DD784"/>
    <w:rsid w:val="704E0C84"/>
    <w:rsid w:val="704E4788"/>
    <w:rsid w:val="704E78B0"/>
    <w:rsid w:val="704E7F9E"/>
    <w:rsid w:val="70500D59"/>
    <w:rsid w:val="7050458A"/>
    <w:rsid w:val="70509B2D"/>
    <w:rsid w:val="7051058B"/>
    <w:rsid w:val="7052602A"/>
    <w:rsid w:val="705367C8"/>
    <w:rsid w:val="70538FF1"/>
    <w:rsid w:val="70541A5D"/>
    <w:rsid w:val="7054DEEC"/>
    <w:rsid w:val="70576A1F"/>
    <w:rsid w:val="70578D32"/>
    <w:rsid w:val="7058E9A7"/>
    <w:rsid w:val="70591ECD"/>
    <w:rsid w:val="7059E1D9"/>
    <w:rsid w:val="705A785F"/>
    <w:rsid w:val="705CB892"/>
    <w:rsid w:val="705CF269"/>
    <w:rsid w:val="705E03A9"/>
    <w:rsid w:val="705E34FE"/>
    <w:rsid w:val="70601BD9"/>
    <w:rsid w:val="7061CCFE"/>
    <w:rsid w:val="706201B7"/>
    <w:rsid w:val="70627AD4"/>
    <w:rsid w:val="70642420"/>
    <w:rsid w:val="7064BE2D"/>
    <w:rsid w:val="706519EE"/>
    <w:rsid w:val="7065C5CA"/>
    <w:rsid w:val="70672748"/>
    <w:rsid w:val="706735A1"/>
    <w:rsid w:val="7068265F"/>
    <w:rsid w:val="7068E11A"/>
    <w:rsid w:val="706A1604"/>
    <w:rsid w:val="706AABB6"/>
    <w:rsid w:val="706ABEC9"/>
    <w:rsid w:val="706E61E9"/>
    <w:rsid w:val="706ECD06"/>
    <w:rsid w:val="706F1E25"/>
    <w:rsid w:val="706F3135"/>
    <w:rsid w:val="706F82EC"/>
    <w:rsid w:val="70703052"/>
    <w:rsid w:val="7070668B"/>
    <w:rsid w:val="7071010B"/>
    <w:rsid w:val="7071282B"/>
    <w:rsid w:val="7071F62B"/>
    <w:rsid w:val="7072A63B"/>
    <w:rsid w:val="7072C66B"/>
    <w:rsid w:val="7073A09C"/>
    <w:rsid w:val="7073AC73"/>
    <w:rsid w:val="707438DA"/>
    <w:rsid w:val="70757AB8"/>
    <w:rsid w:val="7075DCD7"/>
    <w:rsid w:val="70764F59"/>
    <w:rsid w:val="707670DB"/>
    <w:rsid w:val="7076B882"/>
    <w:rsid w:val="7076D6DE"/>
    <w:rsid w:val="7077897B"/>
    <w:rsid w:val="70784BD2"/>
    <w:rsid w:val="707899F0"/>
    <w:rsid w:val="7079222C"/>
    <w:rsid w:val="707ABC64"/>
    <w:rsid w:val="707CC780"/>
    <w:rsid w:val="707DF967"/>
    <w:rsid w:val="707E78CB"/>
    <w:rsid w:val="707E8868"/>
    <w:rsid w:val="707FBF62"/>
    <w:rsid w:val="7081E4FC"/>
    <w:rsid w:val="708355CB"/>
    <w:rsid w:val="7083C00B"/>
    <w:rsid w:val="7083EC8D"/>
    <w:rsid w:val="7084DFA7"/>
    <w:rsid w:val="70850551"/>
    <w:rsid w:val="70856D86"/>
    <w:rsid w:val="70859075"/>
    <w:rsid w:val="708816A3"/>
    <w:rsid w:val="70882417"/>
    <w:rsid w:val="70898495"/>
    <w:rsid w:val="7089985E"/>
    <w:rsid w:val="708A4164"/>
    <w:rsid w:val="708CCF54"/>
    <w:rsid w:val="708D6E1D"/>
    <w:rsid w:val="708F091F"/>
    <w:rsid w:val="7090CD1C"/>
    <w:rsid w:val="70910CF1"/>
    <w:rsid w:val="7091BCBB"/>
    <w:rsid w:val="70920E54"/>
    <w:rsid w:val="709243E0"/>
    <w:rsid w:val="70949E5E"/>
    <w:rsid w:val="70955082"/>
    <w:rsid w:val="7096BE0C"/>
    <w:rsid w:val="70986B38"/>
    <w:rsid w:val="70992363"/>
    <w:rsid w:val="709AF883"/>
    <w:rsid w:val="709BA977"/>
    <w:rsid w:val="709C5D2D"/>
    <w:rsid w:val="709C7892"/>
    <w:rsid w:val="70A0BDA0"/>
    <w:rsid w:val="70A0EDA6"/>
    <w:rsid w:val="70A125C9"/>
    <w:rsid w:val="70A1FA2E"/>
    <w:rsid w:val="70A233D6"/>
    <w:rsid w:val="70A2CEAE"/>
    <w:rsid w:val="70A33709"/>
    <w:rsid w:val="70A3A581"/>
    <w:rsid w:val="70A3F160"/>
    <w:rsid w:val="70A3F3C1"/>
    <w:rsid w:val="70A66833"/>
    <w:rsid w:val="70A67866"/>
    <w:rsid w:val="70A788F1"/>
    <w:rsid w:val="70A8CC8E"/>
    <w:rsid w:val="70A913AF"/>
    <w:rsid w:val="70AACD93"/>
    <w:rsid w:val="70AB9D08"/>
    <w:rsid w:val="70ABB276"/>
    <w:rsid w:val="70ABDF38"/>
    <w:rsid w:val="70ABE38A"/>
    <w:rsid w:val="70ADD78C"/>
    <w:rsid w:val="70AF3DF3"/>
    <w:rsid w:val="70AF5180"/>
    <w:rsid w:val="70AF90BA"/>
    <w:rsid w:val="70B19395"/>
    <w:rsid w:val="70B27D8D"/>
    <w:rsid w:val="70B32941"/>
    <w:rsid w:val="70B36932"/>
    <w:rsid w:val="70B3B9A5"/>
    <w:rsid w:val="70B40E2F"/>
    <w:rsid w:val="70B4AA29"/>
    <w:rsid w:val="70B4AA62"/>
    <w:rsid w:val="70B4BC92"/>
    <w:rsid w:val="70B546D3"/>
    <w:rsid w:val="70B6D514"/>
    <w:rsid w:val="70B718A0"/>
    <w:rsid w:val="70BAAA0E"/>
    <w:rsid w:val="70BAFC7F"/>
    <w:rsid w:val="70BBD95A"/>
    <w:rsid w:val="70BE37C3"/>
    <w:rsid w:val="70C0AC4F"/>
    <w:rsid w:val="70C0DA28"/>
    <w:rsid w:val="70C3A2CA"/>
    <w:rsid w:val="70C4B5B0"/>
    <w:rsid w:val="70C5E04C"/>
    <w:rsid w:val="70C6FD4F"/>
    <w:rsid w:val="70C739EA"/>
    <w:rsid w:val="70C741B0"/>
    <w:rsid w:val="70CAEEFE"/>
    <w:rsid w:val="70CB55F1"/>
    <w:rsid w:val="70CB7725"/>
    <w:rsid w:val="70CB88E8"/>
    <w:rsid w:val="70CC1FC9"/>
    <w:rsid w:val="70CCFE79"/>
    <w:rsid w:val="70CD39CA"/>
    <w:rsid w:val="70CD5D3F"/>
    <w:rsid w:val="70CD6039"/>
    <w:rsid w:val="70CEB753"/>
    <w:rsid w:val="70CED584"/>
    <w:rsid w:val="70CF42B5"/>
    <w:rsid w:val="70CF7AC2"/>
    <w:rsid w:val="70D08D69"/>
    <w:rsid w:val="70D0BDE0"/>
    <w:rsid w:val="70D3C80C"/>
    <w:rsid w:val="70D3C97F"/>
    <w:rsid w:val="70D6BE4C"/>
    <w:rsid w:val="70D88764"/>
    <w:rsid w:val="70D89397"/>
    <w:rsid w:val="70D9BA78"/>
    <w:rsid w:val="70DA1D30"/>
    <w:rsid w:val="70DCCF54"/>
    <w:rsid w:val="70DD07AB"/>
    <w:rsid w:val="70DD0867"/>
    <w:rsid w:val="70DDEE68"/>
    <w:rsid w:val="70DEB3E4"/>
    <w:rsid w:val="70E00FD8"/>
    <w:rsid w:val="70E03F86"/>
    <w:rsid w:val="70E03FAC"/>
    <w:rsid w:val="70E05684"/>
    <w:rsid w:val="70E311ED"/>
    <w:rsid w:val="70E3DC7C"/>
    <w:rsid w:val="70E56EB1"/>
    <w:rsid w:val="70E64A2B"/>
    <w:rsid w:val="70E7B2DF"/>
    <w:rsid w:val="70E7DE68"/>
    <w:rsid w:val="70E89078"/>
    <w:rsid w:val="70E8FBD0"/>
    <w:rsid w:val="70E9609F"/>
    <w:rsid w:val="70E980CC"/>
    <w:rsid w:val="70E9A1D9"/>
    <w:rsid w:val="70E9C203"/>
    <w:rsid w:val="70EA0587"/>
    <w:rsid w:val="70EA4208"/>
    <w:rsid w:val="70EA79B1"/>
    <w:rsid w:val="70EB46CB"/>
    <w:rsid w:val="70EB8068"/>
    <w:rsid w:val="70EEF412"/>
    <w:rsid w:val="70F04005"/>
    <w:rsid w:val="70F42998"/>
    <w:rsid w:val="70F451C4"/>
    <w:rsid w:val="70F4949F"/>
    <w:rsid w:val="70F680D8"/>
    <w:rsid w:val="70F6CE6C"/>
    <w:rsid w:val="70F6F355"/>
    <w:rsid w:val="70F78CFA"/>
    <w:rsid w:val="70F99149"/>
    <w:rsid w:val="70F99189"/>
    <w:rsid w:val="70FAA54F"/>
    <w:rsid w:val="70FAD1B9"/>
    <w:rsid w:val="70FD0AB6"/>
    <w:rsid w:val="70FD8872"/>
    <w:rsid w:val="70FDFB6F"/>
    <w:rsid w:val="70FE5B35"/>
    <w:rsid w:val="710200E2"/>
    <w:rsid w:val="710503CA"/>
    <w:rsid w:val="710541E0"/>
    <w:rsid w:val="71062981"/>
    <w:rsid w:val="71076763"/>
    <w:rsid w:val="7108C7AC"/>
    <w:rsid w:val="710952A7"/>
    <w:rsid w:val="7109E8EE"/>
    <w:rsid w:val="710A6A5F"/>
    <w:rsid w:val="710DB9D8"/>
    <w:rsid w:val="710DFB04"/>
    <w:rsid w:val="7110BF24"/>
    <w:rsid w:val="7110D859"/>
    <w:rsid w:val="71124100"/>
    <w:rsid w:val="711371F0"/>
    <w:rsid w:val="71156DB3"/>
    <w:rsid w:val="71158883"/>
    <w:rsid w:val="7119A8D6"/>
    <w:rsid w:val="711A534C"/>
    <w:rsid w:val="711A9810"/>
    <w:rsid w:val="711C50A5"/>
    <w:rsid w:val="711C9AAB"/>
    <w:rsid w:val="711DA7C9"/>
    <w:rsid w:val="711E2BD4"/>
    <w:rsid w:val="711E8153"/>
    <w:rsid w:val="711F36F0"/>
    <w:rsid w:val="711F9095"/>
    <w:rsid w:val="711FD8FB"/>
    <w:rsid w:val="711FFD94"/>
    <w:rsid w:val="71211D10"/>
    <w:rsid w:val="712237ED"/>
    <w:rsid w:val="7122B6EE"/>
    <w:rsid w:val="7122C0BD"/>
    <w:rsid w:val="7122F057"/>
    <w:rsid w:val="7124043B"/>
    <w:rsid w:val="712625EE"/>
    <w:rsid w:val="71285A55"/>
    <w:rsid w:val="712884E6"/>
    <w:rsid w:val="7128B7DE"/>
    <w:rsid w:val="71295F04"/>
    <w:rsid w:val="712A181E"/>
    <w:rsid w:val="712A4B53"/>
    <w:rsid w:val="712C2D6D"/>
    <w:rsid w:val="712C5188"/>
    <w:rsid w:val="712C7C4D"/>
    <w:rsid w:val="712D24D0"/>
    <w:rsid w:val="712EF856"/>
    <w:rsid w:val="712F8807"/>
    <w:rsid w:val="71313658"/>
    <w:rsid w:val="7131394E"/>
    <w:rsid w:val="71315EA0"/>
    <w:rsid w:val="71332EE8"/>
    <w:rsid w:val="71340FDD"/>
    <w:rsid w:val="71343108"/>
    <w:rsid w:val="71366721"/>
    <w:rsid w:val="71372233"/>
    <w:rsid w:val="71391578"/>
    <w:rsid w:val="713A4935"/>
    <w:rsid w:val="713A9CE6"/>
    <w:rsid w:val="713B4170"/>
    <w:rsid w:val="713CFD95"/>
    <w:rsid w:val="713DA576"/>
    <w:rsid w:val="713E17D1"/>
    <w:rsid w:val="713F6B3C"/>
    <w:rsid w:val="713FA50A"/>
    <w:rsid w:val="71407B4B"/>
    <w:rsid w:val="71419145"/>
    <w:rsid w:val="7141B2F8"/>
    <w:rsid w:val="71427BD0"/>
    <w:rsid w:val="71447775"/>
    <w:rsid w:val="71492F99"/>
    <w:rsid w:val="714A015F"/>
    <w:rsid w:val="714A6B60"/>
    <w:rsid w:val="714B9A7D"/>
    <w:rsid w:val="714BBB28"/>
    <w:rsid w:val="714C6A41"/>
    <w:rsid w:val="714CF49B"/>
    <w:rsid w:val="714E46AC"/>
    <w:rsid w:val="714EAE6B"/>
    <w:rsid w:val="714F019D"/>
    <w:rsid w:val="714F279C"/>
    <w:rsid w:val="715025CD"/>
    <w:rsid w:val="71505843"/>
    <w:rsid w:val="71506934"/>
    <w:rsid w:val="715187B5"/>
    <w:rsid w:val="7151894C"/>
    <w:rsid w:val="715205E2"/>
    <w:rsid w:val="71528122"/>
    <w:rsid w:val="7152B99C"/>
    <w:rsid w:val="71535132"/>
    <w:rsid w:val="7153764F"/>
    <w:rsid w:val="7153D2D7"/>
    <w:rsid w:val="7156435A"/>
    <w:rsid w:val="71588E3A"/>
    <w:rsid w:val="71596F6E"/>
    <w:rsid w:val="715D7476"/>
    <w:rsid w:val="715DC69F"/>
    <w:rsid w:val="715F0145"/>
    <w:rsid w:val="715F5709"/>
    <w:rsid w:val="715FDF9E"/>
    <w:rsid w:val="7160066F"/>
    <w:rsid w:val="7160E5CF"/>
    <w:rsid w:val="71615344"/>
    <w:rsid w:val="7161D38D"/>
    <w:rsid w:val="71625C4B"/>
    <w:rsid w:val="71628C29"/>
    <w:rsid w:val="71635813"/>
    <w:rsid w:val="7163FF1D"/>
    <w:rsid w:val="7164F3E6"/>
    <w:rsid w:val="7164FBA9"/>
    <w:rsid w:val="71661422"/>
    <w:rsid w:val="7166DCB6"/>
    <w:rsid w:val="716890CC"/>
    <w:rsid w:val="7169D6E2"/>
    <w:rsid w:val="716A254E"/>
    <w:rsid w:val="716A30B6"/>
    <w:rsid w:val="716A5029"/>
    <w:rsid w:val="716AA74B"/>
    <w:rsid w:val="716AB9BA"/>
    <w:rsid w:val="716BADF2"/>
    <w:rsid w:val="716DFDA8"/>
    <w:rsid w:val="716F5F64"/>
    <w:rsid w:val="717011E0"/>
    <w:rsid w:val="71702295"/>
    <w:rsid w:val="7170D26C"/>
    <w:rsid w:val="717381E0"/>
    <w:rsid w:val="71747BB3"/>
    <w:rsid w:val="7174BC0D"/>
    <w:rsid w:val="717500AB"/>
    <w:rsid w:val="7175D6B9"/>
    <w:rsid w:val="7175D80C"/>
    <w:rsid w:val="7176F2B6"/>
    <w:rsid w:val="71775D7F"/>
    <w:rsid w:val="7177C213"/>
    <w:rsid w:val="7177E7BE"/>
    <w:rsid w:val="71782402"/>
    <w:rsid w:val="717901D6"/>
    <w:rsid w:val="717936D5"/>
    <w:rsid w:val="717A7F96"/>
    <w:rsid w:val="717B4086"/>
    <w:rsid w:val="717B9384"/>
    <w:rsid w:val="717BC09B"/>
    <w:rsid w:val="717C743E"/>
    <w:rsid w:val="717D70FC"/>
    <w:rsid w:val="717E47A3"/>
    <w:rsid w:val="717F6534"/>
    <w:rsid w:val="7180A4AC"/>
    <w:rsid w:val="71817F91"/>
    <w:rsid w:val="7181F796"/>
    <w:rsid w:val="71820E04"/>
    <w:rsid w:val="71838847"/>
    <w:rsid w:val="7184288A"/>
    <w:rsid w:val="71843005"/>
    <w:rsid w:val="718735E3"/>
    <w:rsid w:val="71877F23"/>
    <w:rsid w:val="7188C5BA"/>
    <w:rsid w:val="7188E830"/>
    <w:rsid w:val="7189B662"/>
    <w:rsid w:val="718A416A"/>
    <w:rsid w:val="718C6219"/>
    <w:rsid w:val="718EE1BB"/>
    <w:rsid w:val="718EF2B2"/>
    <w:rsid w:val="7190CB36"/>
    <w:rsid w:val="7191FAFE"/>
    <w:rsid w:val="7192CA32"/>
    <w:rsid w:val="7192DA1E"/>
    <w:rsid w:val="71935061"/>
    <w:rsid w:val="7193B28F"/>
    <w:rsid w:val="7193F537"/>
    <w:rsid w:val="7195718D"/>
    <w:rsid w:val="7197CC0E"/>
    <w:rsid w:val="7198A64F"/>
    <w:rsid w:val="7198DA1E"/>
    <w:rsid w:val="71990354"/>
    <w:rsid w:val="71997867"/>
    <w:rsid w:val="719A7A89"/>
    <w:rsid w:val="719BD25D"/>
    <w:rsid w:val="719BDCB5"/>
    <w:rsid w:val="719EBAC8"/>
    <w:rsid w:val="719F6A68"/>
    <w:rsid w:val="719FE910"/>
    <w:rsid w:val="71A09C9E"/>
    <w:rsid w:val="71A30425"/>
    <w:rsid w:val="71A352E7"/>
    <w:rsid w:val="71A39A4B"/>
    <w:rsid w:val="71A54C07"/>
    <w:rsid w:val="71A5D99A"/>
    <w:rsid w:val="71A6D9EA"/>
    <w:rsid w:val="71A7DBE4"/>
    <w:rsid w:val="71A7FC14"/>
    <w:rsid w:val="71A8D0AA"/>
    <w:rsid w:val="71A9A4BB"/>
    <w:rsid w:val="71AA068F"/>
    <w:rsid w:val="71AA9378"/>
    <w:rsid w:val="71AB1D21"/>
    <w:rsid w:val="71AB525D"/>
    <w:rsid w:val="71AC5212"/>
    <w:rsid w:val="71AD289A"/>
    <w:rsid w:val="71ADB9FA"/>
    <w:rsid w:val="71AEAA64"/>
    <w:rsid w:val="71AED1AB"/>
    <w:rsid w:val="71B1AED4"/>
    <w:rsid w:val="71B1EDA2"/>
    <w:rsid w:val="71B4419D"/>
    <w:rsid w:val="71B4478F"/>
    <w:rsid w:val="71B5C6E8"/>
    <w:rsid w:val="71B5FF46"/>
    <w:rsid w:val="71B67894"/>
    <w:rsid w:val="71B6AFAD"/>
    <w:rsid w:val="71B886F3"/>
    <w:rsid w:val="71B8FB7F"/>
    <w:rsid w:val="71B9BC0B"/>
    <w:rsid w:val="71B9E05F"/>
    <w:rsid w:val="71BA4D11"/>
    <w:rsid w:val="71BAD778"/>
    <w:rsid w:val="71BB087E"/>
    <w:rsid w:val="71BB77C2"/>
    <w:rsid w:val="71BB7F75"/>
    <w:rsid w:val="71BD9F67"/>
    <w:rsid w:val="71BDAF84"/>
    <w:rsid w:val="71BEB97B"/>
    <w:rsid w:val="71BF66C2"/>
    <w:rsid w:val="71BF78A6"/>
    <w:rsid w:val="71C07A45"/>
    <w:rsid w:val="71C15ECE"/>
    <w:rsid w:val="71C2DADF"/>
    <w:rsid w:val="71C465EC"/>
    <w:rsid w:val="71C52171"/>
    <w:rsid w:val="71C52DCD"/>
    <w:rsid w:val="71C57C41"/>
    <w:rsid w:val="71C6DB21"/>
    <w:rsid w:val="71C71A76"/>
    <w:rsid w:val="71C9137D"/>
    <w:rsid w:val="71C9D3AF"/>
    <w:rsid w:val="71CAD731"/>
    <w:rsid w:val="71CB6D14"/>
    <w:rsid w:val="71CD0E71"/>
    <w:rsid w:val="71CDACB6"/>
    <w:rsid w:val="71CE5DBF"/>
    <w:rsid w:val="71D10F06"/>
    <w:rsid w:val="71D19759"/>
    <w:rsid w:val="71D55699"/>
    <w:rsid w:val="71D5CBF9"/>
    <w:rsid w:val="71D70604"/>
    <w:rsid w:val="71D82319"/>
    <w:rsid w:val="71D85877"/>
    <w:rsid w:val="71D8A651"/>
    <w:rsid w:val="71DA4B89"/>
    <w:rsid w:val="71DA5C0F"/>
    <w:rsid w:val="71DA7F98"/>
    <w:rsid w:val="71DAE97C"/>
    <w:rsid w:val="71DB389C"/>
    <w:rsid w:val="71DC7AD1"/>
    <w:rsid w:val="71DD9C2B"/>
    <w:rsid w:val="71DE92EA"/>
    <w:rsid w:val="71DEC066"/>
    <w:rsid w:val="71DF5A71"/>
    <w:rsid w:val="71DFAE2C"/>
    <w:rsid w:val="71E12FF6"/>
    <w:rsid w:val="71E2D27C"/>
    <w:rsid w:val="71E35DBA"/>
    <w:rsid w:val="71E47E23"/>
    <w:rsid w:val="71E64A3D"/>
    <w:rsid w:val="71E68AF3"/>
    <w:rsid w:val="71E7296E"/>
    <w:rsid w:val="71E86A96"/>
    <w:rsid w:val="71E8A239"/>
    <w:rsid w:val="71E8F4C2"/>
    <w:rsid w:val="71E91621"/>
    <w:rsid w:val="71E923EA"/>
    <w:rsid w:val="71E958F0"/>
    <w:rsid w:val="71E9AB6A"/>
    <w:rsid w:val="71EA0B76"/>
    <w:rsid w:val="71EB3A13"/>
    <w:rsid w:val="71EC265B"/>
    <w:rsid w:val="71EE51EC"/>
    <w:rsid w:val="71EFAE59"/>
    <w:rsid w:val="71EFBD6A"/>
    <w:rsid w:val="71F19B03"/>
    <w:rsid w:val="71F19D72"/>
    <w:rsid w:val="71F42114"/>
    <w:rsid w:val="71F43EC9"/>
    <w:rsid w:val="71F813F0"/>
    <w:rsid w:val="71F87FDF"/>
    <w:rsid w:val="71F91FF2"/>
    <w:rsid w:val="71FC749D"/>
    <w:rsid w:val="71FED948"/>
    <w:rsid w:val="72004DAB"/>
    <w:rsid w:val="72005FEB"/>
    <w:rsid w:val="72009CD6"/>
    <w:rsid w:val="72017F6C"/>
    <w:rsid w:val="72023BC4"/>
    <w:rsid w:val="72029F16"/>
    <w:rsid w:val="72049F0D"/>
    <w:rsid w:val="72056E79"/>
    <w:rsid w:val="720667C2"/>
    <w:rsid w:val="72066808"/>
    <w:rsid w:val="720734D0"/>
    <w:rsid w:val="72079C69"/>
    <w:rsid w:val="7207D37C"/>
    <w:rsid w:val="72081AF5"/>
    <w:rsid w:val="720893E0"/>
    <w:rsid w:val="720A1AB7"/>
    <w:rsid w:val="720A2129"/>
    <w:rsid w:val="720A324A"/>
    <w:rsid w:val="720ABB37"/>
    <w:rsid w:val="720B5AE9"/>
    <w:rsid w:val="720D4C97"/>
    <w:rsid w:val="720D6724"/>
    <w:rsid w:val="720D7C44"/>
    <w:rsid w:val="720E660B"/>
    <w:rsid w:val="720EABE0"/>
    <w:rsid w:val="720EDA97"/>
    <w:rsid w:val="72103EC9"/>
    <w:rsid w:val="7211D89D"/>
    <w:rsid w:val="7211DAE4"/>
    <w:rsid w:val="7212CB96"/>
    <w:rsid w:val="72138298"/>
    <w:rsid w:val="72156613"/>
    <w:rsid w:val="72160109"/>
    <w:rsid w:val="721904DD"/>
    <w:rsid w:val="721987CC"/>
    <w:rsid w:val="721A123C"/>
    <w:rsid w:val="721AD818"/>
    <w:rsid w:val="721B80A3"/>
    <w:rsid w:val="721E1170"/>
    <w:rsid w:val="721FCC1B"/>
    <w:rsid w:val="72203091"/>
    <w:rsid w:val="72211FE8"/>
    <w:rsid w:val="7221830F"/>
    <w:rsid w:val="72218487"/>
    <w:rsid w:val="7221A320"/>
    <w:rsid w:val="72222524"/>
    <w:rsid w:val="7222F847"/>
    <w:rsid w:val="7223024F"/>
    <w:rsid w:val="7224054C"/>
    <w:rsid w:val="7224DB92"/>
    <w:rsid w:val="72252526"/>
    <w:rsid w:val="72255788"/>
    <w:rsid w:val="7225C336"/>
    <w:rsid w:val="7226139F"/>
    <w:rsid w:val="722683F8"/>
    <w:rsid w:val="72271A82"/>
    <w:rsid w:val="72277E6F"/>
    <w:rsid w:val="7228C132"/>
    <w:rsid w:val="7228C642"/>
    <w:rsid w:val="72291E3E"/>
    <w:rsid w:val="7229A38A"/>
    <w:rsid w:val="722B1700"/>
    <w:rsid w:val="722CD999"/>
    <w:rsid w:val="722E7101"/>
    <w:rsid w:val="722E84E5"/>
    <w:rsid w:val="72308B30"/>
    <w:rsid w:val="7231049E"/>
    <w:rsid w:val="7231C798"/>
    <w:rsid w:val="723241AC"/>
    <w:rsid w:val="7232801A"/>
    <w:rsid w:val="7233499D"/>
    <w:rsid w:val="7233B663"/>
    <w:rsid w:val="7235551B"/>
    <w:rsid w:val="7235A841"/>
    <w:rsid w:val="72385B0F"/>
    <w:rsid w:val="7238B2A4"/>
    <w:rsid w:val="7238EC20"/>
    <w:rsid w:val="7239BAE2"/>
    <w:rsid w:val="723A933D"/>
    <w:rsid w:val="723AA27E"/>
    <w:rsid w:val="723BDCFC"/>
    <w:rsid w:val="723DEA9E"/>
    <w:rsid w:val="723E2E99"/>
    <w:rsid w:val="723E81EC"/>
    <w:rsid w:val="723ECDC5"/>
    <w:rsid w:val="723FB3DB"/>
    <w:rsid w:val="72406D2F"/>
    <w:rsid w:val="72424C63"/>
    <w:rsid w:val="72437589"/>
    <w:rsid w:val="72441182"/>
    <w:rsid w:val="72455B08"/>
    <w:rsid w:val="724576BB"/>
    <w:rsid w:val="72469B5D"/>
    <w:rsid w:val="724715E9"/>
    <w:rsid w:val="72482517"/>
    <w:rsid w:val="7248B0C9"/>
    <w:rsid w:val="724A094A"/>
    <w:rsid w:val="724A29EF"/>
    <w:rsid w:val="724C8AEE"/>
    <w:rsid w:val="724E9193"/>
    <w:rsid w:val="724EACB7"/>
    <w:rsid w:val="724EF13E"/>
    <w:rsid w:val="724F2942"/>
    <w:rsid w:val="724FF6AA"/>
    <w:rsid w:val="724FFD1E"/>
    <w:rsid w:val="7251B9A3"/>
    <w:rsid w:val="725410D2"/>
    <w:rsid w:val="7254309E"/>
    <w:rsid w:val="72544A58"/>
    <w:rsid w:val="72546E2C"/>
    <w:rsid w:val="7254AA94"/>
    <w:rsid w:val="7254CC36"/>
    <w:rsid w:val="7254FC02"/>
    <w:rsid w:val="725634B3"/>
    <w:rsid w:val="72565930"/>
    <w:rsid w:val="72566C23"/>
    <w:rsid w:val="725705CD"/>
    <w:rsid w:val="72588424"/>
    <w:rsid w:val="725A61D7"/>
    <w:rsid w:val="725AE32B"/>
    <w:rsid w:val="725C1DB3"/>
    <w:rsid w:val="725CA322"/>
    <w:rsid w:val="725D6F9D"/>
    <w:rsid w:val="725E2532"/>
    <w:rsid w:val="726002A4"/>
    <w:rsid w:val="7260D318"/>
    <w:rsid w:val="7260F664"/>
    <w:rsid w:val="7262B647"/>
    <w:rsid w:val="72658DE5"/>
    <w:rsid w:val="7265AD5E"/>
    <w:rsid w:val="7265E60A"/>
    <w:rsid w:val="7266C129"/>
    <w:rsid w:val="72675006"/>
    <w:rsid w:val="72682223"/>
    <w:rsid w:val="72689094"/>
    <w:rsid w:val="726A0C95"/>
    <w:rsid w:val="726AA628"/>
    <w:rsid w:val="726B2A54"/>
    <w:rsid w:val="726B5DA9"/>
    <w:rsid w:val="726B8799"/>
    <w:rsid w:val="726C5FF4"/>
    <w:rsid w:val="726D60BF"/>
    <w:rsid w:val="726D7CF1"/>
    <w:rsid w:val="726DD927"/>
    <w:rsid w:val="726DDB2F"/>
    <w:rsid w:val="726DE60C"/>
    <w:rsid w:val="726E4AF4"/>
    <w:rsid w:val="7270165D"/>
    <w:rsid w:val="727069E6"/>
    <w:rsid w:val="7270D426"/>
    <w:rsid w:val="72729D75"/>
    <w:rsid w:val="7272CD40"/>
    <w:rsid w:val="7273EC0E"/>
    <w:rsid w:val="72754432"/>
    <w:rsid w:val="7276D616"/>
    <w:rsid w:val="7277B091"/>
    <w:rsid w:val="72781180"/>
    <w:rsid w:val="727A6A93"/>
    <w:rsid w:val="727B9806"/>
    <w:rsid w:val="727CFFAB"/>
    <w:rsid w:val="727E9AF0"/>
    <w:rsid w:val="727F3031"/>
    <w:rsid w:val="72803E50"/>
    <w:rsid w:val="7280BF1D"/>
    <w:rsid w:val="7281198F"/>
    <w:rsid w:val="72814E29"/>
    <w:rsid w:val="7282359E"/>
    <w:rsid w:val="72826613"/>
    <w:rsid w:val="7282F866"/>
    <w:rsid w:val="7283A88F"/>
    <w:rsid w:val="728420FF"/>
    <w:rsid w:val="72849D3F"/>
    <w:rsid w:val="7285BCC6"/>
    <w:rsid w:val="7285C4D8"/>
    <w:rsid w:val="7286BD83"/>
    <w:rsid w:val="7286E977"/>
    <w:rsid w:val="7287DC1A"/>
    <w:rsid w:val="7288E460"/>
    <w:rsid w:val="728B977C"/>
    <w:rsid w:val="728B9E81"/>
    <w:rsid w:val="728BEAB4"/>
    <w:rsid w:val="728C086F"/>
    <w:rsid w:val="728DF205"/>
    <w:rsid w:val="728E9EB1"/>
    <w:rsid w:val="7290A907"/>
    <w:rsid w:val="7291AF6E"/>
    <w:rsid w:val="7292F19E"/>
    <w:rsid w:val="729305E5"/>
    <w:rsid w:val="7293170E"/>
    <w:rsid w:val="72934C99"/>
    <w:rsid w:val="72948C9C"/>
    <w:rsid w:val="72967326"/>
    <w:rsid w:val="72974AD0"/>
    <w:rsid w:val="7297FE42"/>
    <w:rsid w:val="72991205"/>
    <w:rsid w:val="729971AD"/>
    <w:rsid w:val="729A14CF"/>
    <w:rsid w:val="729A9BCB"/>
    <w:rsid w:val="729AEA43"/>
    <w:rsid w:val="729B6835"/>
    <w:rsid w:val="729BFCC4"/>
    <w:rsid w:val="729CCB7B"/>
    <w:rsid w:val="729D46FF"/>
    <w:rsid w:val="729E4620"/>
    <w:rsid w:val="729F25C9"/>
    <w:rsid w:val="72A16770"/>
    <w:rsid w:val="72A3885D"/>
    <w:rsid w:val="72A453C2"/>
    <w:rsid w:val="72A4995C"/>
    <w:rsid w:val="72A4F493"/>
    <w:rsid w:val="72A77AF5"/>
    <w:rsid w:val="72A79A6B"/>
    <w:rsid w:val="72A89114"/>
    <w:rsid w:val="72A8931F"/>
    <w:rsid w:val="72A8D260"/>
    <w:rsid w:val="72A95B85"/>
    <w:rsid w:val="72AA1028"/>
    <w:rsid w:val="72AA743E"/>
    <w:rsid w:val="72AAC0CE"/>
    <w:rsid w:val="72AC8933"/>
    <w:rsid w:val="72ACFC85"/>
    <w:rsid w:val="72AD124A"/>
    <w:rsid w:val="72B199B5"/>
    <w:rsid w:val="72B1B6CE"/>
    <w:rsid w:val="72B1ED9B"/>
    <w:rsid w:val="72B3D747"/>
    <w:rsid w:val="72B48210"/>
    <w:rsid w:val="72B4E821"/>
    <w:rsid w:val="72B513BF"/>
    <w:rsid w:val="72B5B211"/>
    <w:rsid w:val="72B5DDC8"/>
    <w:rsid w:val="72B66C3D"/>
    <w:rsid w:val="72B67FBF"/>
    <w:rsid w:val="72B7390B"/>
    <w:rsid w:val="72B8B2F4"/>
    <w:rsid w:val="72B925B7"/>
    <w:rsid w:val="72BA8CAD"/>
    <w:rsid w:val="72BAADE7"/>
    <w:rsid w:val="72BC41A6"/>
    <w:rsid w:val="72BD1F24"/>
    <w:rsid w:val="72BE9B95"/>
    <w:rsid w:val="72BF3ECB"/>
    <w:rsid w:val="72C2AAFA"/>
    <w:rsid w:val="72C5BDAD"/>
    <w:rsid w:val="72C7EA9C"/>
    <w:rsid w:val="72CA59A3"/>
    <w:rsid w:val="72CAA338"/>
    <w:rsid w:val="72CC948E"/>
    <w:rsid w:val="72CD57D7"/>
    <w:rsid w:val="72CF091D"/>
    <w:rsid w:val="72D1AAF0"/>
    <w:rsid w:val="72D28A49"/>
    <w:rsid w:val="72D30818"/>
    <w:rsid w:val="72D45E7F"/>
    <w:rsid w:val="72D50FEA"/>
    <w:rsid w:val="72D5CCA1"/>
    <w:rsid w:val="72D68BEB"/>
    <w:rsid w:val="72D90D4A"/>
    <w:rsid w:val="72D929A9"/>
    <w:rsid w:val="72D96AD5"/>
    <w:rsid w:val="72DA3681"/>
    <w:rsid w:val="72DCD0F8"/>
    <w:rsid w:val="72DD39AF"/>
    <w:rsid w:val="72DDB4EB"/>
    <w:rsid w:val="72DDF285"/>
    <w:rsid w:val="72DFC8BF"/>
    <w:rsid w:val="72E170D3"/>
    <w:rsid w:val="72E191AA"/>
    <w:rsid w:val="72E1A87D"/>
    <w:rsid w:val="72E3191E"/>
    <w:rsid w:val="72E4F97C"/>
    <w:rsid w:val="72E53867"/>
    <w:rsid w:val="72E67920"/>
    <w:rsid w:val="72E71769"/>
    <w:rsid w:val="72E815CB"/>
    <w:rsid w:val="72E86122"/>
    <w:rsid w:val="72E8AB72"/>
    <w:rsid w:val="72ED3776"/>
    <w:rsid w:val="72EDB6AF"/>
    <w:rsid w:val="72EEA823"/>
    <w:rsid w:val="72F00A02"/>
    <w:rsid w:val="72F34C8D"/>
    <w:rsid w:val="72F60226"/>
    <w:rsid w:val="72F69330"/>
    <w:rsid w:val="72F93AA2"/>
    <w:rsid w:val="72FC783E"/>
    <w:rsid w:val="72FCE38B"/>
    <w:rsid w:val="72FCE982"/>
    <w:rsid w:val="72FD80E6"/>
    <w:rsid w:val="72FF2B3B"/>
    <w:rsid w:val="73011704"/>
    <w:rsid w:val="7301D8ED"/>
    <w:rsid w:val="7304B31B"/>
    <w:rsid w:val="73052DC3"/>
    <w:rsid w:val="7305CFD6"/>
    <w:rsid w:val="7307C196"/>
    <w:rsid w:val="73098B26"/>
    <w:rsid w:val="73099959"/>
    <w:rsid w:val="7309FFF8"/>
    <w:rsid w:val="730C3D39"/>
    <w:rsid w:val="730CA964"/>
    <w:rsid w:val="730CED5E"/>
    <w:rsid w:val="730D7DDE"/>
    <w:rsid w:val="730DF299"/>
    <w:rsid w:val="7310619B"/>
    <w:rsid w:val="73114DDC"/>
    <w:rsid w:val="73128C6D"/>
    <w:rsid w:val="7313633D"/>
    <w:rsid w:val="73138D22"/>
    <w:rsid w:val="73139F63"/>
    <w:rsid w:val="731480A6"/>
    <w:rsid w:val="73154511"/>
    <w:rsid w:val="73170E14"/>
    <w:rsid w:val="731816E1"/>
    <w:rsid w:val="7318C764"/>
    <w:rsid w:val="7319D29D"/>
    <w:rsid w:val="731C2861"/>
    <w:rsid w:val="731C4468"/>
    <w:rsid w:val="731E41E2"/>
    <w:rsid w:val="731ECE73"/>
    <w:rsid w:val="731EEF5A"/>
    <w:rsid w:val="731F5CD7"/>
    <w:rsid w:val="731FB6E6"/>
    <w:rsid w:val="731FBF60"/>
    <w:rsid w:val="73209A24"/>
    <w:rsid w:val="73221744"/>
    <w:rsid w:val="7323FF9C"/>
    <w:rsid w:val="7327EE61"/>
    <w:rsid w:val="73289806"/>
    <w:rsid w:val="73295A56"/>
    <w:rsid w:val="732A48CF"/>
    <w:rsid w:val="732BE927"/>
    <w:rsid w:val="732C0F31"/>
    <w:rsid w:val="732C767D"/>
    <w:rsid w:val="732CC50E"/>
    <w:rsid w:val="7330764F"/>
    <w:rsid w:val="73308613"/>
    <w:rsid w:val="7330D895"/>
    <w:rsid w:val="7331CD3D"/>
    <w:rsid w:val="7331DBEA"/>
    <w:rsid w:val="73326F87"/>
    <w:rsid w:val="7333174A"/>
    <w:rsid w:val="73347059"/>
    <w:rsid w:val="73354572"/>
    <w:rsid w:val="73387022"/>
    <w:rsid w:val="7338AB1C"/>
    <w:rsid w:val="733B00BB"/>
    <w:rsid w:val="733B3DBA"/>
    <w:rsid w:val="733BADF8"/>
    <w:rsid w:val="733D8428"/>
    <w:rsid w:val="7341149E"/>
    <w:rsid w:val="7341C3B2"/>
    <w:rsid w:val="7344C72F"/>
    <w:rsid w:val="734513E5"/>
    <w:rsid w:val="7346183E"/>
    <w:rsid w:val="7349DB33"/>
    <w:rsid w:val="734AC6D0"/>
    <w:rsid w:val="734CC785"/>
    <w:rsid w:val="734CD980"/>
    <w:rsid w:val="734D1073"/>
    <w:rsid w:val="7351264F"/>
    <w:rsid w:val="735284CD"/>
    <w:rsid w:val="73531623"/>
    <w:rsid w:val="7353D401"/>
    <w:rsid w:val="7353FFEF"/>
    <w:rsid w:val="735420B2"/>
    <w:rsid w:val="73542C3F"/>
    <w:rsid w:val="7354B8AB"/>
    <w:rsid w:val="7355F172"/>
    <w:rsid w:val="73566723"/>
    <w:rsid w:val="7358E248"/>
    <w:rsid w:val="735A2870"/>
    <w:rsid w:val="735A509F"/>
    <w:rsid w:val="735B2E4B"/>
    <w:rsid w:val="735BD738"/>
    <w:rsid w:val="735C0E80"/>
    <w:rsid w:val="735CA093"/>
    <w:rsid w:val="735CCBDC"/>
    <w:rsid w:val="735F72D1"/>
    <w:rsid w:val="736264CE"/>
    <w:rsid w:val="7362710A"/>
    <w:rsid w:val="7362C165"/>
    <w:rsid w:val="7362DBC1"/>
    <w:rsid w:val="7362FE5B"/>
    <w:rsid w:val="7365DD53"/>
    <w:rsid w:val="7368E36B"/>
    <w:rsid w:val="73697E37"/>
    <w:rsid w:val="7369C46D"/>
    <w:rsid w:val="736A931C"/>
    <w:rsid w:val="736AD3F8"/>
    <w:rsid w:val="736C536E"/>
    <w:rsid w:val="736D6B2B"/>
    <w:rsid w:val="736E9430"/>
    <w:rsid w:val="736F1764"/>
    <w:rsid w:val="736F2416"/>
    <w:rsid w:val="736F8ACC"/>
    <w:rsid w:val="736F9CBF"/>
    <w:rsid w:val="7370C1E3"/>
    <w:rsid w:val="737275B7"/>
    <w:rsid w:val="7372DD3B"/>
    <w:rsid w:val="7373ED71"/>
    <w:rsid w:val="737427B3"/>
    <w:rsid w:val="7375B93B"/>
    <w:rsid w:val="73761340"/>
    <w:rsid w:val="73774683"/>
    <w:rsid w:val="7378088E"/>
    <w:rsid w:val="737A40D4"/>
    <w:rsid w:val="737A5E92"/>
    <w:rsid w:val="737A90C7"/>
    <w:rsid w:val="737B9480"/>
    <w:rsid w:val="737CAF84"/>
    <w:rsid w:val="737CEB78"/>
    <w:rsid w:val="737D623F"/>
    <w:rsid w:val="737D8ACB"/>
    <w:rsid w:val="737ED573"/>
    <w:rsid w:val="737F7B5D"/>
    <w:rsid w:val="73802FBF"/>
    <w:rsid w:val="73820F16"/>
    <w:rsid w:val="73822CD8"/>
    <w:rsid w:val="73829031"/>
    <w:rsid w:val="73845A2D"/>
    <w:rsid w:val="73862D3B"/>
    <w:rsid w:val="73870A74"/>
    <w:rsid w:val="7388B899"/>
    <w:rsid w:val="738A1F97"/>
    <w:rsid w:val="738C8164"/>
    <w:rsid w:val="738F35CB"/>
    <w:rsid w:val="7390E0A2"/>
    <w:rsid w:val="739262F2"/>
    <w:rsid w:val="7393F554"/>
    <w:rsid w:val="7394B8C3"/>
    <w:rsid w:val="73955EE1"/>
    <w:rsid w:val="7395C248"/>
    <w:rsid w:val="7396C13E"/>
    <w:rsid w:val="73996BCF"/>
    <w:rsid w:val="739A004F"/>
    <w:rsid w:val="739BC80E"/>
    <w:rsid w:val="739DDF4A"/>
    <w:rsid w:val="739E1736"/>
    <w:rsid w:val="739F81FA"/>
    <w:rsid w:val="739FA9A6"/>
    <w:rsid w:val="73A0EC36"/>
    <w:rsid w:val="73A2BD4C"/>
    <w:rsid w:val="73A2D8A5"/>
    <w:rsid w:val="73A2DB11"/>
    <w:rsid w:val="73A37D4F"/>
    <w:rsid w:val="73A3E559"/>
    <w:rsid w:val="73A45886"/>
    <w:rsid w:val="73A4948E"/>
    <w:rsid w:val="73A4CBAE"/>
    <w:rsid w:val="73A60C2F"/>
    <w:rsid w:val="73A613C4"/>
    <w:rsid w:val="73A71FA6"/>
    <w:rsid w:val="73A7D163"/>
    <w:rsid w:val="73A837D6"/>
    <w:rsid w:val="73A897B4"/>
    <w:rsid w:val="73A9C58F"/>
    <w:rsid w:val="73AABA6C"/>
    <w:rsid w:val="73AC8734"/>
    <w:rsid w:val="73ADBB72"/>
    <w:rsid w:val="73AE111E"/>
    <w:rsid w:val="73AE5F9A"/>
    <w:rsid w:val="73B01506"/>
    <w:rsid w:val="73B07858"/>
    <w:rsid w:val="73B2923C"/>
    <w:rsid w:val="73B2F053"/>
    <w:rsid w:val="73B46F23"/>
    <w:rsid w:val="73B47AAC"/>
    <w:rsid w:val="73B4E4AC"/>
    <w:rsid w:val="73B5271B"/>
    <w:rsid w:val="73B806FB"/>
    <w:rsid w:val="73B93B40"/>
    <w:rsid w:val="73B9416D"/>
    <w:rsid w:val="73BAC880"/>
    <w:rsid w:val="73BB12EF"/>
    <w:rsid w:val="73BC78A9"/>
    <w:rsid w:val="73BCB4BF"/>
    <w:rsid w:val="73BCCAF4"/>
    <w:rsid w:val="73BE7AC9"/>
    <w:rsid w:val="73BE9CFD"/>
    <w:rsid w:val="73BEA3B0"/>
    <w:rsid w:val="73BF1E55"/>
    <w:rsid w:val="73BF5100"/>
    <w:rsid w:val="73C12F6B"/>
    <w:rsid w:val="73C1F772"/>
    <w:rsid w:val="73C5FBBC"/>
    <w:rsid w:val="73C65CD3"/>
    <w:rsid w:val="73C66DC1"/>
    <w:rsid w:val="73C75284"/>
    <w:rsid w:val="73C8785C"/>
    <w:rsid w:val="73C93677"/>
    <w:rsid w:val="73C969E0"/>
    <w:rsid w:val="73C9F340"/>
    <w:rsid w:val="73CAD405"/>
    <w:rsid w:val="73CB7656"/>
    <w:rsid w:val="73CC0D63"/>
    <w:rsid w:val="73CCD3E0"/>
    <w:rsid w:val="73CCDBB0"/>
    <w:rsid w:val="73CCE5FE"/>
    <w:rsid w:val="73CD1F62"/>
    <w:rsid w:val="73CD8AE2"/>
    <w:rsid w:val="73CEBD05"/>
    <w:rsid w:val="73CFC5C4"/>
    <w:rsid w:val="73CFE093"/>
    <w:rsid w:val="73D007DD"/>
    <w:rsid w:val="73D0A839"/>
    <w:rsid w:val="73D1A480"/>
    <w:rsid w:val="73D384FF"/>
    <w:rsid w:val="73D4B5AC"/>
    <w:rsid w:val="73D526BE"/>
    <w:rsid w:val="73D57A1F"/>
    <w:rsid w:val="73D6E86A"/>
    <w:rsid w:val="73D6F9B3"/>
    <w:rsid w:val="73D73114"/>
    <w:rsid w:val="73D739CF"/>
    <w:rsid w:val="73D74A08"/>
    <w:rsid w:val="73D83F3B"/>
    <w:rsid w:val="73D8C5DF"/>
    <w:rsid w:val="73DA2A13"/>
    <w:rsid w:val="73DBBB2F"/>
    <w:rsid w:val="73DD7C03"/>
    <w:rsid w:val="73DF5493"/>
    <w:rsid w:val="73DF7DE4"/>
    <w:rsid w:val="73E0870F"/>
    <w:rsid w:val="73E11D93"/>
    <w:rsid w:val="73E3097D"/>
    <w:rsid w:val="73E3422A"/>
    <w:rsid w:val="73E66511"/>
    <w:rsid w:val="73E79BDF"/>
    <w:rsid w:val="73EA2847"/>
    <w:rsid w:val="73EAA9A2"/>
    <w:rsid w:val="73EADACA"/>
    <w:rsid w:val="73ECDE1C"/>
    <w:rsid w:val="73EFAB2A"/>
    <w:rsid w:val="73F05C79"/>
    <w:rsid w:val="73F097EE"/>
    <w:rsid w:val="73F2E477"/>
    <w:rsid w:val="73F54EE6"/>
    <w:rsid w:val="73F5BA3D"/>
    <w:rsid w:val="73F5D721"/>
    <w:rsid w:val="73F6CB21"/>
    <w:rsid w:val="73F7BAD9"/>
    <w:rsid w:val="73F9414B"/>
    <w:rsid w:val="73F9EF4C"/>
    <w:rsid w:val="73FC0DB0"/>
    <w:rsid w:val="73FC656A"/>
    <w:rsid w:val="73FD4A81"/>
    <w:rsid w:val="73FD804E"/>
    <w:rsid w:val="73FD950E"/>
    <w:rsid w:val="73FEF943"/>
    <w:rsid w:val="73FF9FCF"/>
    <w:rsid w:val="7402AA3E"/>
    <w:rsid w:val="7406D33E"/>
    <w:rsid w:val="74076C9D"/>
    <w:rsid w:val="740A1ED3"/>
    <w:rsid w:val="740A2F7E"/>
    <w:rsid w:val="740AD911"/>
    <w:rsid w:val="740AF1FE"/>
    <w:rsid w:val="740B128D"/>
    <w:rsid w:val="740B90A6"/>
    <w:rsid w:val="740BDB96"/>
    <w:rsid w:val="740C6954"/>
    <w:rsid w:val="740DCAE7"/>
    <w:rsid w:val="740EA0E2"/>
    <w:rsid w:val="740EC496"/>
    <w:rsid w:val="7410180D"/>
    <w:rsid w:val="74117E35"/>
    <w:rsid w:val="7411B9D3"/>
    <w:rsid w:val="7411C091"/>
    <w:rsid w:val="74124CD2"/>
    <w:rsid w:val="74129D99"/>
    <w:rsid w:val="7412AAB3"/>
    <w:rsid w:val="7412F85D"/>
    <w:rsid w:val="74147E5C"/>
    <w:rsid w:val="74149E85"/>
    <w:rsid w:val="7414F2B3"/>
    <w:rsid w:val="741853B2"/>
    <w:rsid w:val="74194321"/>
    <w:rsid w:val="741A07FD"/>
    <w:rsid w:val="741A0AAE"/>
    <w:rsid w:val="741A2DE8"/>
    <w:rsid w:val="741A62E9"/>
    <w:rsid w:val="741C66D1"/>
    <w:rsid w:val="741CD265"/>
    <w:rsid w:val="741D5AAF"/>
    <w:rsid w:val="741D7556"/>
    <w:rsid w:val="741DB5CD"/>
    <w:rsid w:val="741E2C86"/>
    <w:rsid w:val="741E6991"/>
    <w:rsid w:val="741F8CA6"/>
    <w:rsid w:val="741FADDE"/>
    <w:rsid w:val="741FFB21"/>
    <w:rsid w:val="7421F098"/>
    <w:rsid w:val="7423888B"/>
    <w:rsid w:val="74255B84"/>
    <w:rsid w:val="7426D862"/>
    <w:rsid w:val="742948CC"/>
    <w:rsid w:val="74298C3E"/>
    <w:rsid w:val="7429A627"/>
    <w:rsid w:val="7429E432"/>
    <w:rsid w:val="7429E4A0"/>
    <w:rsid w:val="742A9730"/>
    <w:rsid w:val="742C323D"/>
    <w:rsid w:val="742C8D13"/>
    <w:rsid w:val="742C978A"/>
    <w:rsid w:val="742D0CB3"/>
    <w:rsid w:val="742DB082"/>
    <w:rsid w:val="742DDD6B"/>
    <w:rsid w:val="742E5202"/>
    <w:rsid w:val="742F3E03"/>
    <w:rsid w:val="7430A2C7"/>
    <w:rsid w:val="74322043"/>
    <w:rsid w:val="7433EE3E"/>
    <w:rsid w:val="743427C5"/>
    <w:rsid w:val="743442E9"/>
    <w:rsid w:val="74347D40"/>
    <w:rsid w:val="74347FF6"/>
    <w:rsid w:val="743531B9"/>
    <w:rsid w:val="743646A2"/>
    <w:rsid w:val="7439914A"/>
    <w:rsid w:val="743C3C44"/>
    <w:rsid w:val="743CF325"/>
    <w:rsid w:val="743E3E27"/>
    <w:rsid w:val="743E7B53"/>
    <w:rsid w:val="743EC2E5"/>
    <w:rsid w:val="743EFDF3"/>
    <w:rsid w:val="74405E81"/>
    <w:rsid w:val="7443081D"/>
    <w:rsid w:val="74437C4B"/>
    <w:rsid w:val="74453812"/>
    <w:rsid w:val="74466209"/>
    <w:rsid w:val="744754E6"/>
    <w:rsid w:val="7447FF3F"/>
    <w:rsid w:val="744832EC"/>
    <w:rsid w:val="7449C6B6"/>
    <w:rsid w:val="7449E972"/>
    <w:rsid w:val="744A6CF9"/>
    <w:rsid w:val="744C2972"/>
    <w:rsid w:val="744C9928"/>
    <w:rsid w:val="744D7C5B"/>
    <w:rsid w:val="744D872F"/>
    <w:rsid w:val="744DF5BB"/>
    <w:rsid w:val="7451231E"/>
    <w:rsid w:val="7452A7BD"/>
    <w:rsid w:val="7454022D"/>
    <w:rsid w:val="745474CA"/>
    <w:rsid w:val="74550085"/>
    <w:rsid w:val="745544D3"/>
    <w:rsid w:val="7457C196"/>
    <w:rsid w:val="7457CF6E"/>
    <w:rsid w:val="745804A9"/>
    <w:rsid w:val="7458563E"/>
    <w:rsid w:val="7458C19A"/>
    <w:rsid w:val="7459A978"/>
    <w:rsid w:val="7459BF40"/>
    <w:rsid w:val="745AC6A5"/>
    <w:rsid w:val="745C5972"/>
    <w:rsid w:val="745D7FB8"/>
    <w:rsid w:val="745FD44F"/>
    <w:rsid w:val="7462E380"/>
    <w:rsid w:val="74634BCC"/>
    <w:rsid w:val="7463933B"/>
    <w:rsid w:val="7464D33E"/>
    <w:rsid w:val="7467FA99"/>
    <w:rsid w:val="746A5793"/>
    <w:rsid w:val="746B7AAE"/>
    <w:rsid w:val="746C8EF2"/>
    <w:rsid w:val="746D1CDC"/>
    <w:rsid w:val="746D8907"/>
    <w:rsid w:val="746DC96A"/>
    <w:rsid w:val="746E04B2"/>
    <w:rsid w:val="746F17C7"/>
    <w:rsid w:val="746FBFB0"/>
    <w:rsid w:val="746FE159"/>
    <w:rsid w:val="74708618"/>
    <w:rsid w:val="747282A1"/>
    <w:rsid w:val="747533CC"/>
    <w:rsid w:val="7475395E"/>
    <w:rsid w:val="7476E9CB"/>
    <w:rsid w:val="7476F21E"/>
    <w:rsid w:val="7478E2AB"/>
    <w:rsid w:val="74799D37"/>
    <w:rsid w:val="747A1949"/>
    <w:rsid w:val="747BA67B"/>
    <w:rsid w:val="747C91DC"/>
    <w:rsid w:val="747D9C93"/>
    <w:rsid w:val="747DCCEC"/>
    <w:rsid w:val="747E5E0F"/>
    <w:rsid w:val="747FEB3E"/>
    <w:rsid w:val="7482A8DF"/>
    <w:rsid w:val="7482B8A3"/>
    <w:rsid w:val="748407B2"/>
    <w:rsid w:val="74860E3E"/>
    <w:rsid w:val="74861A40"/>
    <w:rsid w:val="74874A30"/>
    <w:rsid w:val="74886FF1"/>
    <w:rsid w:val="7488FF8F"/>
    <w:rsid w:val="7489EFA3"/>
    <w:rsid w:val="748A6C57"/>
    <w:rsid w:val="748B2B47"/>
    <w:rsid w:val="748B585D"/>
    <w:rsid w:val="748BC566"/>
    <w:rsid w:val="748D842D"/>
    <w:rsid w:val="748EAD8B"/>
    <w:rsid w:val="748FCCEA"/>
    <w:rsid w:val="749442B7"/>
    <w:rsid w:val="749478D3"/>
    <w:rsid w:val="7494EA40"/>
    <w:rsid w:val="74957EEF"/>
    <w:rsid w:val="7495BCFB"/>
    <w:rsid w:val="7496E597"/>
    <w:rsid w:val="7496F580"/>
    <w:rsid w:val="74972C70"/>
    <w:rsid w:val="749814AB"/>
    <w:rsid w:val="749846E3"/>
    <w:rsid w:val="749A0FA4"/>
    <w:rsid w:val="749A6864"/>
    <w:rsid w:val="749AC5BE"/>
    <w:rsid w:val="749BCAE0"/>
    <w:rsid w:val="749C3EFF"/>
    <w:rsid w:val="749C5B14"/>
    <w:rsid w:val="749CAEC2"/>
    <w:rsid w:val="749CEB00"/>
    <w:rsid w:val="749D0C51"/>
    <w:rsid w:val="749DE7AB"/>
    <w:rsid w:val="749DF4A3"/>
    <w:rsid w:val="749F4A73"/>
    <w:rsid w:val="749FB248"/>
    <w:rsid w:val="74A0848E"/>
    <w:rsid w:val="74A19B7F"/>
    <w:rsid w:val="74A2C35D"/>
    <w:rsid w:val="74A41DB5"/>
    <w:rsid w:val="74A60B39"/>
    <w:rsid w:val="74A6CD01"/>
    <w:rsid w:val="74A739F9"/>
    <w:rsid w:val="74A89C32"/>
    <w:rsid w:val="74A97BEF"/>
    <w:rsid w:val="74AB0CA5"/>
    <w:rsid w:val="74ABDF19"/>
    <w:rsid w:val="74AC27A4"/>
    <w:rsid w:val="74AC9E52"/>
    <w:rsid w:val="74AED98D"/>
    <w:rsid w:val="74B16962"/>
    <w:rsid w:val="74B27B39"/>
    <w:rsid w:val="74B51F3D"/>
    <w:rsid w:val="74B60337"/>
    <w:rsid w:val="74B6A7B3"/>
    <w:rsid w:val="74B82C32"/>
    <w:rsid w:val="74BA4644"/>
    <w:rsid w:val="74BA626C"/>
    <w:rsid w:val="74BA64BE"/>
    <w:rsid w:val="74BD8F3D"/>
    <w:rsid w:val="74BE2EFB"/>
    <w:rsid w:val="74BE541B"/>
    <w:rsid w:val="74BEB8B1"/>
    <w:rsid w:val="74BF2AF4"/>
    <w:rsid w:val="74BF7EAB"/>
    <w:rsid w:val="74C0B44F"/>
    <w:rsid w:val="74C14EBB"/>
    <w:rsid w:val="74C15560"/>
    <w:rsid w:val="74C257FC"/>
    <w:rsid w:val="74C3EF9B"/>
    <w:rsid w:val="74C55412"/>
    <w:rsid w:val="74C692F0"/>
    <w:rsid w:val="74C782FE"/>
    <w:rsid w:val="74C93ECA"/>
    <w:rsid w:val="74CA4715"/>
    <w:rsid w:val="74CBBD03"/>
    <w:rsid w:val="74CBF7C5"/>
    <w:rsid w:val="74CCEE85"/>
    <w:rsid w:val="74CE812C"/>
    <w:rsid w:val="74CF4B83"/>
    <w:rsid w:val="74CF676E"/>
    <w:rsid w:val="74D093BB"/>
    <w:rsid w:val="74D0BA62"/>
    <w:rsid w:val="74D1E296"/>
    <w:rsid w:val="74D3E27A"/>
    <w:rsid w:val="74D4A8B7"/>
    <w:rsid w:val="74D604C1"/>
    <w:rsid w:val="74D61E13"/>
    <w:rsid w:val="74D6E5B8"/>
    <w:rsid w:val="74D7FE99"/>
    <w:rsid w:val="74DA0D10"/>
    <w:rsid w:val="74DA29E6"/>
    <w:rsid w:val="74DA95EA"/>
    <w:rsid w:val="74DB468A"/>
    <w:rsid w:val="74DB5985"/>
    <w:rsid w:val="74DB8B2B"/>
    <w:rsid w:val="74DC6D3B"/>
    <w:rsid w:val="74DD0BFB"/>
    <w:rsid w:val="74DD1340"/>
    <w:rsid w:val="74DE5B21"/>
    <w:rsid w:val="74DF751C"/>
    <w:rsid w:val="74E03606"/>
    <w:rsid w:val="74E0365E"/>
    <w:rsid w:val="74E04435"/>
    <w:rsid w:val="74E0707D"/>
    <w:rsid w:val="74E10652"/>
    <w:rsid w:val="74E16298"/>
    <w:rsid w:val="74E1A86F"/>
    <w:rsid w:val="74E2A5C8"/>
    <w:rsid w:val="74E30FB7"/>
    <w:rsid w:val="74E41AE4"/>
    <w:rsid w:val="74E509EB"/>
    <w:rsid w:val="74E61B55"/>
    <w:rsid w:val="74E621A3"/>
    <w:rsid w:val="74E72C85"/>
    <w:rsid w:val="74E897E6"/>
    <w:rsid w:val="74E92999"/>
    <w:rsid w:val="74E9345A"/>
    <w:rsid w:val="74E98EEA"/>
    <w:rsid w:val="74EA0BD7"/>
    <w:rsid w:val="74EAA05C"/>
    <w:rsid w:val="74ECC385"/>
    <w:rsid w:val="74EE4035"/>
    <w:rsid w:val="74EF21BD"/>
    <w:rsid w:val="74EF48CB"/>
    <w:rsid w:val="74F04FAA"/>
    <w:rsid w:val="74F062B0"/>
    <w:rsid w:val="74F3EAAA"/>
    <w:rsid w:val="74F5667D"/>
    <w:rsid w:val="74F5D193"/>
    <w:rsid w:val="74F65F7E"/>
    <w:rsid w:val="74F6C49A"/>
    <w:rsid w:val="74F74385"/>
    <w:rsid w:val="74F791FC"/>
    <w:rsid w:val="74F8C7B2"/>
    <w:rsid w:val="74FAF4B8"/>
    <w:rsid w:val="74FBCCFE"/>
    <w:rsid w:val="74FC516C"/>
    <w:rsid w:val="74FC5BB0"/>
    <w:rsid w:val="74FC6B53"/>
    <w:rsid w:val="74FDA3B5"/>
    <w:rsid w:val="74FDF50C"/>
    <w:rsid w:val="75000464"/>
    <w:rsid w:val="75008A8A"/>
    <w:rsid w:val="7500E81D"/>
    <w:rsid w:val="750114EF"/>
    <w:rsid w:val="75011F01"/>
    <w:rsid w:val="7502E47A"/>
    <w:rsid w:val="7503FA2E"/>
    <w:rsid w:val="75062AAC"/>
    <w:rsid w:val="750659DF"/>
    <w:rsid w:val="750668AF"/>
    <w:rsid w:val="75079773"/>
    <w:rsid w:val="75089DAA"/>
    <w:rsid w:val="7509090D"/>
    <w:rsid w:val="75094111"/>
    <w:rsid w:val="750A0E93"/>
    <w:rsid w:val="750B77EB"/>
    <w:rsid w:val="750BA732"/>
    <w:rsid w:val="750D46E0"/>
    <w:rsid w:val="750F9DC8"/>
    <w:rsid w:val="7512DB25"/>
    <w:rsid w:val="7513B257"/>
    <w:rsid w:val="75152743"/>
    <w:rsid w:val="7515552C"/>
    <w:rsid w:val="75179709"/>
    <w:rsid w:val="75186B39"/>
    <w:rsid w:val="751873C4"/>
    <w:rsid w:val="75196862"/>
    <w:rsid w:val="751C9D59"/>
    <w:rsid w:val="751C9F78"/>
    <w:rsid w:val="751F9CF6"/>
    <w:rsid w:val="751FFFF4"/>
    <w:rsid w:val="75215184"/>
    <w:rsid w:val="7521A8AA"/>
    <w:rsid w:val="75223CE5"/>
    <w:rsid w:val="75256F79"/>
    <w:rsid w:val="752594CD"/>
    <w:rsid w:val="752641CD"/>
    <w:rsid w:val="7526F4D9"/>
    <w:rsid w:val="7527B6F7"/>
    <w:rsid w:val="75282AC0"/>
    <w:rsid w:val="7528A2D6"/>
    <w:rsid w:val="75291659"/>
    <w:rsid w:val="752B10DA"/>
    <w:rsid w:val="752BBE7F"/>
    <w:rsid w:val="752BC1D6"/>
    <w:rsid w:val="752CC9D8"/>
    <w:rsid w:val="752F46A3"/>
    <w:rsid w:val="7530E17D"/>
    <w:rsid w:val="75327440"/>
    <w:rsid w:val="7532FF59"/>
    <w:rsid w:val="75363690"/>
    <w:rsid w:val="75379C61"/>
    <w:rsid w:val="75380123"/>
    <w:rsid w:val="75395926"/>
    <w:rsid w:val="753A6E16"/>
    <w:rsid w:val="753AC7FF"/>
    <w:rsid w:val="753BE804"/>
    <w:rsid w:val="753D47FD"/>
    <w:rsid w:val="753EC13B"/>
    <w:rsid w:val="7541F144"/>
    <w:rsid w:val="7544D957"/>
    <w:rsid w:val="7545275B"/>
    <w:rsid w:val="754637A0"/>
    <w:rsid w:val="75467D78"/>
    <w:rsid w:val="7549738A"/>
    <w:rsid w:val="754A5702"/>
    <w:rsid w:val="754C1C7F"/>
    <w:rsid w:val="754E8FA5"/>
    <w:rsid w:val="75503A73"/>
    <w:rsid w:val="755062DC"/>
    <w:rsid w:val="75506BB2"/>
    <w:rsid w:val="75507228"/>
    <w:rsid w:val="75512C80"/>
    <w:rsid w:val="75549927"/>
    <w:rsid w:val="75558F0E"/>
    <w:rsid w:val="7559FFF7"/>
    <w:rsid w:val="755A00F0"/>
    <w:rsid w:val="755B79A1"/>
    <w:rsid w:val="755D5D90"/>
    <w:rsid w:val="755DAF92"/>
    <w:rsid w:val="755DCDCB"/>
    <w:rsid w:val="755E4E15"/>
    <w:rsid w:val="755E997A"/>
    <w:rsid w:val="755F65B5"/>
    <w:rsid w:val="755F90A3"/>
    <w:rsid w:val="755FA6A8"/>
    <w:rsid w:val="75630240"/>
    <w:rsid w:val="7564792D"/>
    <w:rsid w:val="756513A0"/>
    <w:rsid w:val="756519C1"/>
    <w:rsid w:val="7565D9EF"/>
    <w:rsid w:val="7566C6F0"/>
    <w:rsid w:val="7566EE85"/>
    <w:rsid w:val="756BCB48"/>
    <w:rsid w:val="756C3842"/>
    <w:rsid w:val="756C529F"/>
    <w:rsid w:val="756C639D"/>
    <w:rsid w:val="75720A92"/>
    <w:rsid w:val="75749AE6"/>
    <w:rsid w:val="7575116E"/>
    <w:rsid w:val="75752B4E"/>
    <w:rsid w:val="757559F4"/>
    <w:rsid w:val="7575789C"/>
    <w:rsid w:val="757599E6"/>
    <w:rsid w:val="7575AB72"/>
    <w:rsid w:val="7575C552"/>
    <w:rsid w:val="75774028"/>
    <w:rsid w:val="75779B04"/>
    <w:rsid w:val="7577B250"/>
    <w:rsid w:val="7577CA08"/>
    <w:rsid w:val="7577F76D"/>
    <w:rsid w:val="75782336"/>
    <w:rsid w:val="75795095"/>
    <w:rsid w:val="757B2049"/>
    <w:rsid w:val="757BE533"/>
    <w:rsid w:val="757C72FD"/>
    <w:rsid w:val="757E170A"/>
    <w:rsid w:val="757FCC46"/>
    <w:rsid w:val="758070C0"/>
    <w:rsid w:val="75831117"/>
    <w:rsid w:val="7583AFAF"/>
    <w:rsid w:val="7583E94E"/>
    <w:rsid w:val="75840F14"/>
    <w:rsid w:val="7585C6EC"/>
    <w:rsid w:val="758688C9"/>
    <w:rsid w:val="75877BED"/>
    <w:rsid w:val="758A5D47"/>
    <w:rsid w:val="758AFC59"/>
    <w:rsid w:val="758C2AC6"/>
    <w:rsid w:val="758D5FFC"/>
    <w:rsid w:val="758E5285"/>
    <w:rsid w:val="758F1F52"/>
    <w:rsid w:val="758F2261"/>
    <w:rsid w:val="758F6DDA"/>
    <w:rsid w:val="75901FA8"/>
    <w:rsid w:val="759186AA"/>
    <w:rsid w:val="75925F8A"/>
    <w:rsid w:val="7593FA32"/>
    <w:rsid w:val="759583C5"/>
    <w:rsid w:val="759585A7"/>
    <w:rsid w:val="7595CAB2"/>
    <w:rsid w:val="7595FC27"/>
    <w:rsid w:val="7596EA35"/>
    <w:rsid w:val="7598AC63"/>
    <w:rsid w:val="75997F58"/>
    <w:rsid w:val="759A7AE5"/>
    <w:rsid w:val="759AA6D5"/>
    <w:rsid w:val="759B0BE9"/>
    <w:rsid w:val="759C8A68"/>
    <w:rsid w:val="759CE2E2"/>
    <w:rsid w:val="759D3A06"/>
    <w:rsid w:val="759E395A"/>
    <w:rsid w:val="759EB795"/>
    <w:rsid w:val="75A04DF0"/>
    <w:rsid w:val="75A0FCEF"/>
    <w:rsid w:val="75A139E7"/>
    <w:rsid w:val="75A2755B"/>
    <w:rsid w:val="75A3E317"/>
    <w:rsid w:val="75A794D8"/>
    <w:rsid w:val="75A7AEA0"/>
    <w:rsid w:val="75A9E3B5"/>
    <w:rsid w:val="75AA96FF"/>
    <w:rsid w:val="75AB4EA6"/>
    <w:rsid w:val="75AB8511"/>
    <w:rsid w:val="75ABB46F"/>
    <w:rsid w:val="75AD05AD"/>
    <w:rsid w:val="75AD4948"/>
    <w:rsid w:val="75ADDE9C"/>
    <w:rsid w:val="75AE7CFD"/>
    <w:rsid w:val="75B08DED"/>
    <w:rsid w:val="75B0BB04"/>
    <w:rsid w:val="75B17B28"/>
    <w:rsid w:val="75B1AD1A"/>
    <w:rsid w:val="75B25A5D"/>
    <w:rsid w:val="75B38951"/>
    <w:rsid w:val="75B6CA68"/>
    <w:rsid w:val="75B9165B"/>
    <w:rsid w:val="75BA6513"/>
    <w:rsid w:val="75BB52FE"/>
    <w:rsid w:val="75BD4C4B"/>
    <w:rsid w:val="75BE0C94"/>
    <w:rsid w:val="75BE38A3"/>
    <w:rsid w:val="75BF2043"/>
    <w:rsid w:val="75BF7E47"/>
    <w:rsid w:val="75C0FE61"/>
    <w:rsid w:val="75C262FB"/>
    <w:rsid w:val="75C3E6F1"/>
    <w:rsid w:val="75C41687"/>
    <w:rsid w:val="75C57A0B"/>
    <w:rsid w:val="75C597D0"/>
    <w:rsid w:val="75C7FECE"/>
    <w:rsid w:val="75C87E0F"/>
    <w:rsid w:val="75C89BA1"/>
    <w:rsid w:val="75C8B6D9"/>
    <w:rsid w:val="75C9F36E"/>
    <w:rsid w:val="75CBE02E"/>
    <w:rsid w:val="75CD43C2"/>
    <w:rsid w:val="75CD706B"/>
    <w:rsid w:val="75CEA503"/>
    <w:rsid w:val="75CEA608"/>
    <w:rsid w:val="75CEAD37"/>
    <w:rsid w:val="75CF571B"/>
    <w:rsid w:val="75D15655"/>
    <w:rsid w:val="75D18419"/>
    <w:rsid w:val="75D391F4"/>
    <w:rsid w:val="75D3D02A"/>
    <w:rsid w:val="75D509C7"/>
    <w:rsid w:val="75D523AB"/>
    <w:rsid w:val="75D81529"/>
    <w:rsid w:val="75D84978"/>
    <w:rsid w:val="75DD297D"/>
    <w:rsid w:val="75DE4D15"/>
    <w:rsid w:val="75DF6281"/>
    <w:rsid w:val="75E16B05"/>
    <w:rsid w:val="75E268AB"/>
    <w:rsid w:val="75E2BF58"/>
    <w:rsid w:val="75E333E9"/>
    <w:rsid w:val="75E3A7A0"/>
    <w:rsid w:val="75E61A94"/>
    <w:rsid w:val="75E802EE"/>
    <w:rsid w:val="75E970C8"/>
    <w:rsid w:val="75E9FC61"/>
    <w:rsid w:val="75EB4675"/>
    <w:rsid w:val="75EB4682"/>
    <w:rsid w:val="75EC110E"/>
    <w:rsid w:val="75EC8B46"/>
    <w:rsid w:val="75EDB170"/>
    <w:rsid w:val="75EED952"/>
    <w:rsid w:val="75EEF69A"/>
    <w:rsid w:val="75EFCF9B"/>
    <w:rsid w:val="75EFF1B0"/>
    <w:rsid w:val="75F01BA2"/>
    <w:rsid w:val="75F18F59"/>
    <w:rsid w:val="75F1A714"/>
    <w:rsid w:val="75F3EE5C"/>
    <w:rsid w:val="75F4FF01"/>
    <w:rsid w:val="75F61143"/>
    <w:rsid w:val="75F66237"/>
    <w:rsid w:val="75F6A98E"/>
    <w:rsid w:val="75FA3B19"/>
    <w:rsid w:val="75FCDBAB"/>
    <w:rsid w:val="75FD0613"/>
    <w:rsid w:val="75FF1C2D"/>
    <w:rsid w:val="75FFBC3A"/>
    <w:rsid w:val="760027DC"/>
    <w:rsid w:val="76002ABC"/>
    <w:rsid w:val="76021B62"/>
    <w:rsid w:val="76057AB5"/>
    <w:rsid w:val="76062BB8"/>
    <w:rsid w:val="7606B0BA"/>
    <w:rsid w:val="7607451D"/>
    <w:rsid w:val="7607898A"/>
    <w:rsid w:val="76082940"/>
    <w:rsid w:val="7608D399"/>
    <w:rsid w:val="760C3A32"/>
    <w:rsid w:val="760CFDC8"/>
    <w:rsid w:val="760D6048"/>
    <w:rsid w:val="760E825C"/>
    <w:rsid w:val="7611419C"/>
    <w:rsid w:val="76122491"/>
    <w:rsid w:val="761233DE"/>
    <w:rsid w:val="76140FDB"/>
    <w:rsid w:val="76159A3B"/>
    <w:rsid w:val="7615A441"/>
    <w:rsid w:val="7615DC71"/>
    <w:rsid w:val="76163DA3"/>
    <w:rsid w:val="76179017"/>
    <w:rsid w:val="7619B936"/>
    <w:rsid w:val="761AFCB2"/>
    <w:rsid w:val="761C017E"/>
    <w:rsid w:val="761E38E0"/>
    <w:rsid w:val="761E4AD7"/>
    <w:rsid w:val="761E827E"/>
    <w:rsid w:val="761F788C"/>
    <w:rsid w:val="762021BA"/>
    <w:rsid w:val="7620AF14"/>
    <w:rsid w:val="76216A03"/>
    <w:rsid w:val="7622F641"/>
    <w:rsid w:val="76257A24"/>
    <w:rsid w:val="7625CA7B"/>
    <w:rsid w:val="7625F6C1"/>
    <w:rsid w:val="76297860"/>
    <w:rsid w:val="7629CE95"/>
    <w:rsid w:val="762A5442"/>
    <w:rsid w:val="762A77D1"/>
    <w:rsid w:val="762B40A4"/>
    <w:rsid w:val="762C23F3"/>
    <w:rsid w:val="762DB6B2"/>
    <w:rsid w:val="762E6979"/>
    <w:rsid w:val="762F1BE1"/>
    <w:rsid w:val="763095E7"/>
    <w:rsid w:val="76314BDC"/>
    <w:rsid w:val="7631DC4E"/>
    <w:rsid w:val="7633209B"/>
    <w:rsid w:val="76369A31"/>
    <w:rsid w:val="763750FE"/>
    <w:rsid w:val="763917D9"/>
    <w:rsid w:val="763A6B74"/>
    <w:rsid w:val="763CE837"/>
    <w:rsid w:val="763F2280"/>
    <w:rsid w:val="763F6258"/>
    <w:rsid w:val="764199C0"/>
    <w:rsid w:val="7642281E"/>
    <w:rsid w:val="76451DFA"/>
    <w:rsid w:val="76451E11"/>
    <w:rsid w:val="76460536"/>
    <w:rsid w:val="76467A61"/>
    <w:rsid w:val="7646DD06"/>
    <w:rsid w:val="7646ED86"/>
    <w:rsid w:val="76479021"/>
    <w:rsid w:val="764865EC"/>
    <w:rsid w:val="7648F48D"/>
    <w:rsid w:val="76493960"/>
    <w:rsid w:val="76496CEA"/>
    <w:rsid w:val="7649A6F0"/>
    <w:rsid w:val="764A5F9C"/>
    <w:rsid w:val="764CED1E"/>
    <w:rsid w:val="764F65D8"/>
    <w:rsid w:val="7651F1A1"/>
    <w:rsid w:val="76524036"/>
    <w:rsid w:val="765332E4"/>
    <w:rsid w:val="76537E48"/>
    <w:rsid w:val="7655228A"/>
    <w:rsid w:val="76556156"/>
    <w:rsid w:val="7655B0E1"/>
    <w:rsid w:val="7655BAAE"/>
    <w:rsid w:val="7655E055"/>
    <w:rsid w:val="76565D03"/>
    <w:rsid w:val="76577A6D"/>
    <w:rsid w:val="76580FE3"/>
    <w:rsid w:val="7658392D"/>
    <w:rsid w:val="7658677A"/>
    <w:rsid w:val="7658E2DF"/>
    <w:rsid w:val="765A65DD"/>
    <w:rsid w:val="765A8EF7"/>
    <w:rsid w:val="765AB93F"/>
    <w:rsid w:val="765C2EED"/>
    <w:rsid w:val="765CBF31"/>
    <w:rsid w:val="765DC440"/>
    <w:rsid w:val="765E9549"/>
    <w:rsid w:val="765F0B13"/>
    <w:rsid w:val="7661D7C6"/>
    <w:rsid w:val="76648C34"/>
    <w:rsid w:val="7664E4FB"/>
    <w:rsid w:val="76653AAF"/>
    <w:rsid w:val="76664032"/>
    <w:rsid w:val="7666565C"/>
    <w:rsid w:val="7666A46C"/>
    <w:rsid w:val="76670B85"/>
    <w:rsid w:val="766AE22E"/>
    <w:rsid w:val="766B5A31"/>
    <w:rsid w:val="766C03A2"/>
    <w:rsid w:val="766D8D2D"/>
    <w:rsid w:val="766E7073"/>
    <w:rsid w:val="766EC457"/>
    <w:rsid w:val="766FBFDE"/>
    <w:rsid w:val="766FC8D9"/>
    <w:rsid w:val="767117B1"/>
    <w:rsid w:val="76732705"/>
    <w:rsid w:val="76752C99"/>
    <w:rsid w:val="76786C3B"/>
    <w:rsid w:val="767D75E3"/>
    <w:rsid w:val="767D8492"/>
    <w:rsid w:val="767D8E73"/>
    <w:rsid w:val="767DED92"/>
    <w:rsid w:val="767F5AA2"/>
    <w:rsid w:val="76801EA3"/>
    <w:rsid w:val="76818935"/>
    <w:rsid w:val="76822918"/>
    <w:rsid w:val="7682541D"/>
    <w:rsid w:val="7682A103"/>
    <w:rsid w:val="7684472A"/>
    <w:rsid w:val="7685A5E9"/>
    <w:rsid w:val="7686D795"/>
    <w:rsid w:val="768A8B80"/>
    <w:rsid w:val="768C133C"/>
    <w:rsid w:val="768D9C34"/>
    <w:rsid w:val="768DCC60"/>
    <w:rsid w:val="768F3587"/>
    <w:rsid w:val="768F3E8D"/>
    <w:rsid w:val="768FC686"/>
    <w:rsid w:val="769003F2"/>
    <w:rsid w:val="7690B202"/>
    <w:rsid w:val="7691C694"/>
    <w:rsid w:val="7692124D"/>
    <w:rsid w:val="76928EBF"/>
    <w:rsid w:val="76932CB0"/>
    <w:rsid w:val="769368C6"/>
    <w:rsid w:val="76943BBD"/>
    <w:rsid w:val="7694B1C1"/>
    <w:rsid w:val="7695426E"/>
    <w:rsid w:val="769CF1E3"/>
    <w:rsid w:val="769FCD5D"/>
    <w:rsid w:val="76A2F6AC"/>
    <w:rsid w:val="76A52B22"/>
    <w:rsid w:val="76A55D2D"/>
    <w:rsid w:val="76A6A05D"/>
    <w:rsid w:val="76A6EA49"/>
    <w:rsid w:val="76A7E208"/>
    <w:rsid w:val="76A8A447"/>
    <w:rsid w:val="76A8F5D1"/>
    <w:rsid w:val="76A9CA32"/>
    <w:rsid w:val="76AABC60"/>
    <w:rsid w:val="76AC1224"/>
    <w:rsid w:val="76ACE06B"/>
    <w:rsid w:val="76ACF2B5"/>
    <w:rsid w:val="76AD61CC"/>
    <w:rsid w:val="76AE9132"/>
    <w:rsid w:val="76AF3ED8"/>
    <w:rsid w:val="76B0F61C"/>
    <w:rsid w:val="76B10AA3"/>
    <w:rsid w:val="76B1AE43"/>
    <w:rsid w:val="76B21F66"/>
    <w:rsid w:val="76B22D4E"/>
    <w:rsid w:val="76B239B8"/>
    <w:rsid w:val="76B24C32"/>
    <w:rsid w:val="76B29811"/>
    <w:rsid w:val="76B29D4C"/>
    <w:rsid w:val="76B44798"/>
    <w:rsid w:val="76B5FB0B"/>
    <w:rsid w:val="76B774D3"/>
    <w:rsid w:val="76B87FA9"/>
    <w:rsid w:val="76B94639"/>
    <w:rsid w:val="76BA2BD8"/>
    <w:rsid w:val="76BBA247"/>
    <w:rsid w:val="76BC1A22"/>
    <w:rsid w:val="76BC7E37"/>
    <w:rsid w:val="76BD2223"/>
    <w:rsid w:val="76BE0CA2"/>
    <w:rsid w:val="76BEBCBE"/>
    <w:rsid w:val="76BF386E"/>
    <w:rsid w:val="76C1B2AA"/>
    <w:rsid w:val="76C30083"/>
    <w:rsid w:val="76C33993"/>
    <w:rsid w:val="76C3817C"/>
    <w:rsid w:val="76C49727"/>
    <w:rsid w:val="76C603CF"/>
    <w:rsid w:val="76C8F991"/>
    <w:rsid w:val="76C9532F"/>
    <w:rsid w:val="76CC5EDD"/>
    <w:rsid w:val="76CD4677"/>
    <w:rsid w:val="76CD8482"/>
    <w:rsid w:val="76D17955"/>
    <w:rsid w:val="76D28A6F"/>
    <w:rsid w:val="76D343FC"/>
    <w:rsid w:val="76D38B11"/>
    <w:rsid w:val="76D47845"/>
    <w:rsid w:val="76D63231"/>
    <w:rsid w:val="76D6B3FA"/>
    <w:rsid w:val="76D715F2"/>
    <w:rsid w:val="76D8E7C6"/>
    <w:rsid w:val="76D9672A"/>
    <w:rsid w:val="76DADE6F"/>
    <w:rsid w:val="76DE0E35"/>
    <w:rsid w:val="76DF1DC0"/>
    <w:rsid w:val="76DF3924"/>
    <w:rsid w:val="76E0C381"/>
    <w:rsid w:val="76E1CC6D"/>
    <w:rsid w:val="76E21066"/>
    <w:rsid w:val="76E29986"/>
    <w:rsid w:val="76E4AAE6"/>
    <w:rsid w:val="76E4E099"/>
    <w:rsid w:val="76E503DF"/>
    <w:rsid w:val="76E51ACB"/>
    <w:rsid w:val="76E5C2BB"/>
    <w:rsid w:val="76E81EFC"/>
    <w:rsid w:val="76ECD6CF"/>
    <w:rsid w:val="76ED976C"/>
    <w:rsid w:val="76EDAA9F"/>
    <w:rsid w:val="76EF21A5"/>
    <w:rsid w:val="76EFF10A"/>
    <w:rsid w:val="76F07CE8"/>
    <w:rsid w:val="76F1B22A"/>
    <w:rsid w:val="76F1D56B"/>
    <w:rsid w:val="76F1EC2D"/>
    <w:rsid w:val="76F23B36"/>
    <w:rsid w:val="76F2A4EA"/>
    <w:rsid w:val="76F33DF0"/>
    <w:rsid w:val="76F419E9"/>
    <w:rsid w:val="76F538CA"/>
    <w:rsid w:val="76F6A6C6"/>
    <w:rsid w:val="76F76BD4"/>
    <w:rsid w:val="76F866F0"/>
    <w:rsid w:val="76FB4E66"/>
    <w:rsid w:val="76FD0008"/>
    <w:rsid w:val="76FD689B"/>
    <w:rsid w:val="76FDAD69"/>
    <w:rsid w:val="76FF9854"/>
    <w:rsid w:val="770137B9"/>
    <w:rsid w:val="7702DF0C"/>
    <w:rsid w:val="77030893"/>
    <w:rsid w:val="77042B4C"/>
    <w:rsid w:val="77051736"/>
    <w:rsid w:val="77057081"/>
    <w:rsid w:val="770614ED"/>
    <w:rsid w:val="77065582"/>
    <w:rsid w:val="770668F9"/>
    <w:rsid w:val="77072253"/>
    <w:rsid w:val="770A837C"/>
    <w:rsid w:val="770B1056"/>
    <w:rsid w:val="770B3FD1"/>
    <w:rsid w:val="770B5B2F"/>
    <w:rsid w:val="770C1DD6"/>
    <w:rsid w:val="770D5442"/>
    <w:rsid w:val="77119060"/>
    <w:rsid w:val="7711E84E"/>
    <w:rsid w:val="7711F757"/>
    <w:rsid w:val="7712DA93"/>
    <w:rsid w:val="7713D22B"/>
    <w:rsid w:val="77142007"/>
    <w:rsid w:val="7714629A"/>
    <w:rsid w:val="7715192F"/>
    <w:rsid w:val="7715D7E7"/>
    <w:rsid w:val="77190D77"/>
    <w:rsid w:val="771B3E0D"/>
    <w:rsid w:val="771CDA85"/>
    <w:rsid w:val="771D1D19"/>
    <w:rsid w:val="771F0714"/>
    <w:rsid w:val="7721B9A5"/>
    <w:rsid w:val="77227426"/>
    <w:rsid w:val="7722FCA8"/>
    <w:rsid w:val="7723C2FB"/>
    <w:rsid w:val="772405BA"/>
    <w:rsid w:val="77248E30"/>
    <w:rsid w:val="7725FCC3"/>
    <w:rsid w:val="77271D3C"/>
    <w:rsid w:val="77276668"/>
    <w:rsid w:val="7727C6E8"/>
    <w:rsid w:val="77293ED4"/>
    <w:rsid w:val="772A20C2"/>
    <w:rsid w:val="772C5B11"/>
    <w:rsid w:val="772D73F3"/>
    <w:rsid w:val="772D7F44"/>
    <w:rsid w:val="772E0B7B"/>
    <w:rsid w:val="772E1ACF"/>
    <w:rsid w:val="772F302B"/>
    <w:rsid w:val="7730A5C3"/>
    <w:rsid w:val="77335480"/>
    <w:rsid w:val="77346FD5"/>
    <w:rsid w:val="773A3369"/>
    <w:rsid w:val="773C097B"/>
    <w:rsid w:val="773C97C4"/>
    <w:rsid w:val="773DBF7B"/>
    <w:rsid w:val="773EB8F8"/>
    <w:rsid w:val="773ED2E9"/>
    <w:rsid w:val="773FF8E8"/>
    <w:rsid w:val="774046BA"/>
    <w:rsid w:val="7741572F"/>
    <w:rsid w:val="774237AA"/>
    <w:rsid w:val="77435A05"/>
    <w:rsid w:val="77442AB2"/>
    <w:rsid w:val="77460457"/>
    <w:rsid w:val="77479B20"/>
    <w:rsid w:val="7748B0F9"/>
    <w:rsid w:val="77495A95"/>
    <w:rsid w:val="7749DC83"/>
    <w:rsid w:val="774AC1FB"/>
    <w:rsid w:val="774DF35E"/>
    <w:rsid w:val="774E8947"/>
    <w:rsid w:val="774ED92B"/>
    <w:rsid w:val="774F35CF"/>
    <w:rsid w:val="77500D7B"/>
    <w:rsid w:val="77506B8C"/>
    <w:rsid w:val="77508E80"/>
    <w:rsid w:val="7751F4C3"/>
    <w:rsid w:val="77539578"/>
    <w:rsid w:val="7755078C"/>
    <w:rsid w:val="77577AEE"/>
    <w:rsid w:val="7757B345"/>
    <w:rsid w:val="7757DCBF"/>
    <w:rsid w:val="77594019"/>
    <w:rsid w:val="775AF6B7"/>
    <w:rsid w:val="775CC793"/>
    <w:rsid w:val="775EF8F0"/>
    <w:rsid w:val="775F9C4B"/>
    <w:rsid w:val="7760C8CD"/>
    <w:rsid w:val="7761003D"/>
    <w:rsid w:val="7761DC20"/>
    <w:rsid w:val="77649626"/>
    <w:rsid w:val="7766D667"/>
    <w:rsid w:val="77674D57"/>
    <w:rsid w:val="776823B8"/>
    <w:rsid w:val="7769D148"/>
    <w:rsid w:val="776ACC71"/>
    <w:rsid w:val="776B4C72"/>
    <w:rsid w:val="776BE9EE"/>
    <w:rsid w:val="776D3A0C"/>
    <w:rsid w:val="776D993D"/>
    <w:rsid w:val="776EAE5E"/>
    <w:rsid w:val="77726E09"/>
    <w:rsid w:val="7772A037"/>
    <w:rsid w:val="777349DB"/>
    <w:rsid w:val="77742E52"/>
    <w:rsid w:val="77744CAE"/>
    <w:rsid w:val="7774DC43"/>
    <w:rsid w:val="7776A1F5"/>
    <w:rsid w:val="7776A5E7"/>
    <w:rsid w:val="7776E7C4"/>
    <w:rsid w:val="77777F79"/>
    <w:rsid w:val="7777CCD9"/>
    <w:rsid w:val="777857C0"/>
    <w:rsid w:val="7779686A"/>
    <w:rsid w:val="777BCC3C"/>
    <w:rsid w:val="777D302F"/>
    <w:rsid w:val="777DD170"/>
    <w:rsid w:val="777F6809"/>
    <w:rsid w:val="777F9EE4"/>
    <w:rsid w:val="7780663E"/>
    <w:rsid w:val="77827BBA"/>
    <w:rsid w:val="7786E75F"/>
    <w:rsid w:val="77873DF9"/>
    <w:rsid w:val="7787C0AC"/>
    <w:rsid w:val="778B0E36"/>
    <w:rsid w:val="778B9FFC"/>
    <w:rsid w:val="778D6137"/>
    <w:rsid w:val="778E40CF"/>
    <w:rsid w:val="778F0EBE"/>
    <w:rsid w:val="778F2400"/>
    <w:rsid w:val="77906185"/>
    <w:rsid w:val="77920B47"/>
    <w:rsid w:val="77934E7F"/>
    <w:rsid w:val="7793C5EC"/>
    <w:rsid w:val="7794F658"/>
    <w:rsid w:val="77952B08"/>
    <w:rsid w:val="77958F09"/>
    <w:rsid w:val="779671BC"/>
    <w:rsid w:val="7798C370"/>
    <w:rsid w:val="7799C51C"/>
    <w:rsid w:val="7799D338"/>
    <w:rsid w:val="7799E5B0"/>
    <w:rsid w:val="779A4E60"/>
    <w:rsid w:val="779C5E12"/>
    <w:rsid w:val="779DCF76"/>
    <w:rsid w:val="779E1F00"/>
    <w:rsid w:val="779E67F6"/>
    <w:rsid w:val="779ED142"/>
    <w:rsid w:val="779F8AAD"/>
    <w:rsid w:val="77A2CAD9"/>
    <w:rsid w:val="77A301C6"/>
    <w:rsid w:val="77A33737"/>
    <w:rsid w:val="77A3B8D0"/>
    <w:rsid w:val="77A4F2B4"/>
    <w:rsid w:val="77A542E0"/>
    <w:rsid w:val="77A59A36"/>
    <w:rsid w:val="77A5C0E0"/>
    <w:rsid w:val="77A5F86B"/>
    <w:rsid w:val="77A74E2D"/>
    <w:rsid w:val="77A7DF6B"/>
    <w:rsid w:val="77A7E042"/>
    <w:rsid w:val="77A842C7"/>
    <w:rsid w:val="77AA03B6"/>
    <w:rsid w:val="77AA25E7"/>
    <w:rsid w:val="77AA3025"/>
    <w:rsid w:val="77AAC7C5"/>
    <w:rsid w:val="77AAF74C"/>
    <w:rsid w:val="77B0BEDA"/>
    <w:rsid w:val="77B25DD6"/>
    <w:rsid w:val="77B3DE4E"/>
    <w:rsid w:val="77B4291E"/>
    <w:rsid w:val="77B4628D"/>
    <w:rsid w:val="77B4E6AB"/>
    <w:rsid w:val="77B543DB"/>
    <w:rsid w:val="77B58D07"/>
    <w:rsid w:val="77B6BA05"/>
    <w:rsid w:val="77B88A56"/>
    <w:rsid w:val="77B958A0"/>
    <w:rsid w:val="77BB6157"/>
    <w:rsid w:val="77BD08D5"/>
    <w:rsid w:val="77BD1A65"/>
    <w:rsid w:val="77BFC9AA"/>
    <w:rsid w:val="77C027B7"/>
    <w:rsid w:val="77C421C9"/>
    <w:rsid w:val="77C558BD"/>
    <w:rsid w:val="77C59C9A"/>
    <w:rsid w:val="77C5EA4E"/>
    <w:rsid w:val="77C60E4E"/>
    <w:rsid w:val="77C60F15"/>
    <w:rsid w:val="77C796A3"/>
    <w:rsid w:val="77C79E1C"/>
    <w:rsid w:val="77C8189E"/>
    <w:rsid w:val="77C826FA"/>
    <w:rsid w:val="77C93602"/>
    <w:rsid w:val="77C95C93"/>
    <w:rsid w:val="77C972EA"/>
    <w:rsid w:val="77C9CE26"/>
    <w:rsid w:val="77CA71D0"/>
    <w:rsid w:val="77CA9FB2"/>
    <w:rsid w:val="77CD8A1B"/>
    <w:rsid w:val="77CDC755"/>
    <w:rsid w:val="77CEB135"/>
    <w:rsid w:val="77CFE986"/>
    <w:rsid w:val="77D1157C"/>
    <w:rsid w:val="77D245FF"/>
    <w:rsid w:val="77D34B28"/>
    <w:rsid w:val="77D3EAC6"/>
    <w:rsid w:val="77D4F8FD"/>
    <w:rsid w:val="77D532A6"/>
    <w:rsid w:val="77D57DD4"/>
    <w:rsid w:val="77D5E363"/>
    <w:rsid w:val="77D75FF0"/>
    <w:rsid w:val="77D77B10"/>
    <w:rsid w:val="77D79061"/>
    <w:rsid w:val="77D7A1B9"/>
    <w:rsid w:val="77D88E78"/>
    <w:rsid w:val="77D942E2"/>
    <w:rsid w:val="77DACB9C"/>
    <w:rsid w:val="77DBC106"/>
    <w:rsid w:val="77DBE21E"/>
    <w:rsid w:val="77DC2340"/>
    <w:rsid w:val="77DC9E73"/>
    <w:rsid w:val="77DFDAE0"/>
    <w:rsid w:val="77E06ACD"/>
    <w:rsid w:val="77E0BE2E"/>
    <w:rsid w:val="77E1F1CC"/>
    <w:rsid w:val="77E289D3"/>
    <w:rsid w:val="77E2EF03"/>
    <w:rsid w:val="77E36EBB"/>
    <w:rsid w:val="77E4090F"/>
    <w:rsid w:val="77E42521"/>
    <w:rsid w:val="77E4846F"/>
    <w:rsid w:val="77E5F30E"/>
    <w:rsid w:val="77E66A9F"/>
    <w:rsid w:val="77E991A3"/>
    <w:rsid w:val="77E9A330"/>
    <w:rsid w:val="77E9B31D"/>
    <w:rsid w:val="77E9DFEF"/>
    <w:rsid w:val="77EA7091"/>
    <w:rsid w:val="77EB818E"/>
    <w:rsid w:val="77ECCE6D"/>
    <w:rsid w:val="77EF04B3"/>
    <w:rsid w:val="77EF408A"/>
    <w:rsid w:val="77EF6263"/>
    <w:rsid w:val="77EFD0DB"/>
    <w:rsid w:val="77EFF548"/>
    <w:rsid w:val="77F0A4E2"/>
    <w:rsid w:val="77F1DB94"/>
    <w:rsid w:val="77F22AEF"/>
    <w:rsid w:val="77F2996D"/>
    <w:rsid w:val="77F4DB56"/>
    <w:rsid w:val="77F5DBEC"/>
    <w:rsid w:val="77F62EBF"/>
    <w:rsid w:val="77F67B61"/>
    <w:rsid w:val="77F6DF12"/>
    <w:rsid w:val="77F7727B"/>
    <w:rsid w:val="77F84897"/>
    <w:rsid w:val="77F85F70"/>
    <w:rsid w:val="77F8A9AB"/>
    <w:rsid w:val="77F9259C"/>
    <w:rsid w:val="77F9CB98"/>
    <w:rsid w:val="77FB2C81"/>
    <w:rsid w:val="77FC6C11"/>
    <w:rsid w:val="77FD15BA"/>
    <w:rsid w:val="77FD466D"/>
    <w:rsid w:val="77FDA827"/>
    <w:rsid w:val="77FDBA11"/>
    <w:rsid w:val="77FE357A"/>
    <w:rsid w:val="7801FF9A"/>
    <w:rsid w:val="7802F5F6"/>
    <w:rsid w:val="78031654"/>
    <w:rsid w:val="7804832D"/>
    <w:rsid w:val="7804FFB4"/>
    <w:rsid w:val="78063F8C"/>
    <w:rsid w:val="78097A3C"/>
    <w:rsid w:val="7809C62F"/>
    <w:rsid w:val="7809CA04"/>
    <w:rsid w:val="780D0D6A"/>
    <w:rsid w:val="780D316B"/>
    <w:rsid w:val="780FDBF7"/>
    <w:rsid w:val="7810AE4C"/>
    <w:rsid w:val="78143D88"/>
    <w:rsid w:val="78167C06"/>
    <w:rsid w:val="7816DAA9"/>
    <w:rsid w:val="7818C7F6"/>
    <w:rsid w:val="781A281A"/>
    <w:rsid w:val="781A7A62"/>
    <w:rsid w:val="781B332E"/>
    <w:rsid w:val="781C2A88"/>
    <w:rsid w:val="781CABDE"/>
    <w:rsid w:val="781D1425"/>
    <w:rsid w:val="781D91AA"/>
    <w:rsid w:val="78211545"/>
    <w:rsid w:val="78217094"/>
    <w:rsid w:val="78226BEE"/>
    <w:rsid w:val="782627DA"/>
    <w:rsid w:val="78263CBD"/>
    <w:rsid w:val="78287881"/>
    <w:rsid w:val="78293C27"/>
    <w:rsid w:val="7829EBF2"/>
    <w:rsid w:val="782A91EF"/>
    <w:rsid w:val="782AD5E0"/>
    <w:rsid w:val="782D4BCB"/>
    <w:rsid w:val="782E50A8"/>
    <w:rsid w:val="782E5420"/>
    <w:rsid w:val="782EF44F"/>
    <w:rsid w:val="78308222"/>
    <w:rsid w:val="7831720A"/>
    <w:rsid w:val="7831DF6D"/>
    <w:rsid w:val="78322FF0"/>
    <w:rsid w:val="7834B992"/>
    <w:rsid w:val="78352C34"/>
    <w:rsid w:val="783563F8"/>
    <w:rsid w:val="7835FB65"/>
    <w:rsid w:val="7836A486"/>
    <w:rsid w:val="7836BD9D"/>
    <w:rsid w:val="7837ACF2"/>
    <w:rsid w:val="78386EF3"/>
    <w:rsid w:val="7839AD0A"/>
    <w:rsid w:val="783BB39E"/>
    <w:rsid w:val="783D031A"/>
    <w:rsid w:val="783E2AE4"/>
    <w:rsid w:val="783E754D"/>
    <w:rsid w:val="78401D24"/>
    <w:rsid w:val="78423C62"/>
    <w:rsid w:val="78428718"/>
    <w:rsid w:val="7843015F"/>
    <w:rsid w:val="78438586"/>
    <w:rsid w:val="7844E24B"/>
    <w:rsid w:val="78458898"/>
    <w:rsid w:val="78498D8C"/>
    <w:rsid w:val="7849E0AE"/>
    <w:rsid w:val="784A024B"/>
    <w:rsid w:val="784CE5B3"/>
    <w:rsid w:val="784D52FA"/>
    <w:rsid w:val="784E82F6"/>
    <w:rsid w:val="784EAD76"/>
    <w:rsid w:val="78517B53"/>
    <w:rsid w:val="785262C5"/>
    <w:rsid w:val="7852AF7D"/>
    <w:rsid w:val="7853A401"/>
    <w:rsid w:val="7853C4FD"/>
    <w:rsid w:val="785530FA"/>
    <w:rsid w:val="78565305"/>
    <w:rsid w:val="78571893"/>
    <w:rsid w:val="785857A5"/>
    <w:rsid w:val="7858AB48"/>
    <w:rsid w:val="78591C2E"/>
    <w:rsid w:val="7859A2F7"/>
    <w:rsid w:val="7859F0AB"/>
    <w:rsid w:val="785A4FE0"/>
    <w:rsid w:val="785A998C"/>
    <w:rsid w:val="7860B23F"/>
    <w:rsid w:val="7860DDA0"/>
    <w:rsid w:val="7860EEA6"/>
    <w:rsid w:val="78612D68"/>
    <w:rsid w:val="78637044"/>
    <w:rsid w:val="78637CBD"/>
    <w:rsid w:val="786471D3"/>
    <w:rsid w:val="78655137"/>
    <w:rsid w:val="78655E43"/>
    <w:rsid w:val="7865C785"/>
    <w:rsid w:val="7865D1A6"/>
    <w:rsid w:val="7866448B"/>
    <w:rsid w:val="786644BD"/>
    <w:rsid w:val="786BAE0C"/>
    <w:rsid w:val="786C62FF"/>
    <w:rsid w:val="786D2D28"/>
    <w:rsid w:val="786D5BCD"/>
    <w:rsid w:val="786E60A6"/>
    <w:rsid w:val="786EBEE6"/>
    <w:rsid w:val="786F2467"/>
    <w:rsid w:val="786F80E8"/>
    <w:rsid w:val="787010B1"/>
    <w:rsid w:val="787129CF"/>
    <w:rsid w:val="78712E42"/>
    <w:rsid w:val="787367AB"/>
    <w:rsid w:val="7874505E"/>
    <w:rsid w:val="7874B47F"/>
    <w:rsid w:val="78759C78"/>
    <w:rsid w:val="7877BC46"/>
    <w:rsid w:val="7878336C"/>
    <w:rsid w:val="78784500"/>
    <w:rsid w:val="7879671B"/>
    <w:rsid w:val="7879DDE3"/>
    <w:rsid w:val="787ACBC5"/>
    <w:rsid w:val="787B0B5D"/>
    <w:rsid w:val="787DEB3E"/>
    <w:rsid w:val="787DF495"/>
    <w:rsid w:val="787EC218"/>
    <w:rsid w:val="787EFC42"/>
    <w:rsid w:val="787F1B1E"/>
    <w:rsid w:val="787FDC5E"/>
    <w:rsid w:val="787FE39D"/>
    <w:rsid w:val="78801433"/>
    <w:rsid w:val="78806FF7"/>
    <w:rsid w:val="7880A9E9"/>
    <w:rsid w:val="7880B5B1"/>
    <w:rsid w:val="7881BBB0"/>
    <w:rsid w:val="7885CE04"/>
    <w:rsid w:val="7885E291"/>
    <w:rsid w:val="78862630"/>
    <w:rsid w:val="78877FEE"/>
    <w:rsid w:val="78882325"/>
    <w:rsid w:val="78882883"/>
    <w:rsid w:val="78894BA4"/>
    <w:rsid w:val="788A5D85"/>
    <w:rsid w:val="788B9A0E"/>
    <w:rsid w:val="788C1A48"/>
    <w:rsid w:val="78900014"/>
    <w:rsid w:val="78900852"/>
    <w:rsid w:val="789257BB"/>
    <w:rsid w:val="7896F1BE"/>
    <w:rsid w:val="7899224C"/>
    <w:rsid w:val="78992DB2"/>
    <w:rsid w:val="789D4B94"/>
    <w:rsid w:val="789DC611"/>
    <w:rsid w:val="789E94CF"/>
    <w:rsid w:val="789EB6E9"/>
    <w:rsid w:val="78A33ACA"/>
    <w:rsid w:val="78A3792F"/>
    <w:rsid w:val="78A472C1"/>
    <w:rsid w:val="78A7FCB8"/>
    <w:rsid w:val="78A98EE6"/>
    <w:rsid w:val="78A990B7"/>
    <w:rsid w:val="78AF3BB6"/>
    <w:rsid w:val="78AFB2EA"/>
    <w:rsid w:val="78B2712C"/>
    <w:rsid w:val="78B36558"/>
    <w:rsid w:val="78B4AFC7"/>
    <w:rsid w:val="78B503E8"/>
    <w:rsid w:val="78B52BBC"/>
    <w:rsid w:val="78B532E5"/>
    <w:rsid w:val="78B9B29A"/>
    <w:rsid w:val="78B9E7FA"/>
    <w:rsid w:val="78BA6FCC"/>
    <w:rsid w:val="78BA93FF"/>
    <w:rsid w:val="78BC7A3A"/>
    <w:rsid w:val="78BCE089"/>
    <w:rsid w:val="78BD83FE"/>
    <w:rsid w:val="78BDACD0"/>
    <w:rsid w:val="78BF53D8"/>
    <w:rsid w:val="78C01A5A"/>
    <w:rsid w:val="78C2A2D6"/>
    <w:rsid w:val="78C2FF2E"/>
    <w:rsid w:val="78C4E1B0"/>
    <w:rsid w:val="78C5DF9D"/>
    <w:rsid w:val="78C5E213"/>
    <w:rsid w:val="78C6E2A2"/>
    <w:rsid w:val="78C8A578"/>
    <w:rsid w:val="78CB0FB4"/>
    <w:rsid w:val="78CC2086"/>
    <w:rsid w:val="78CD09BD"/>
    <w:rsid w:val="78CE4813"/>
    <w:rsid w:val="78CEB057"/>
    <w:rsid w:val="78CF4DEC"/>
    <w:rsid w:val="78D1DD6D"/>
    <w:rsid w:val="78D2A553"/>
    <w:rsid w:val="78D2B2BD"/>
    <w:rsid w:val="78D46722"/>
    <w:rsid w:val="78D468B6"/>
    <w:rsid w:val="78D51E58"/>
    <w:rsid w:val="78D5208E"/>
    <w:rsid w:val="78D731AE"/>
    <w:rsid w:val="78D7A192"/>
    <w:rsid w:val="78D7F3AD"/>
    <w:rsid w:val="78D85688"/>
    <w:rsid w:val="78D92BD4"/>
    <w:rsid w:val="78DB19A9"/>
    <w:rsid w:val="78DB1DD7"/>
    <w:rsid w:val="78DBF5D2"/>
    <w:rsid w:val="78DD6B4E"/>
    <w:rsid w:val="78DE83B0"/>
    <w:rsid w:val="78DF6ACF"/>
    <w:rsid w:val="78DFBCC6"/>
    <w:rsid w:val="78DFFDDF"/>
    <w:rsid w:val="78E08EB1"/>
    <w:rsid w:val="78E14664"/>
    <w:rsid w:val="78E1BA19"/>
    <w:rsid w:val="78E1DF2A"/>
    <w:rsid w:val="78E34593"/>
    <w:rsid w:val="78E3C47D"/>
    <w:rsid w:val="78E57597"/>
    <w:rsid w:val="78E57C20"/>
    <w:rsid w:val="78E5DBF3"/>
    <w:rsid w:val="78E8F90F"/>
    <w:rsid w:val="78EA0F2B"/>
    <w:rsid w:val="78EA239C"/>
    <w:rsid w:val="78EB1B43"/>
    <w:rsid w:val="78EC7546"/>
    <w:rsid w:val="78EE48B7"/>
    <w:rsid w:val="78F0F3F2"/>
    <w:rsid w:val="78F229A3"/>
    <w:rsid w:val="78F32DB7"/>
    <w:rsid w:val="78F4E296"/>
    <w:rsid w:val="78F5BD94"/>
    <w:rsid w:val="78F5E222"/>
    <w:rsid w:val="78F658B0"/>
    <w:rsid w:val="78F6BA1F"/>
    <w:rsid w:val="78F6F6B0"/>
    <w:rsid w:val="78F72884"/>
    <w:rsid w:val="78F92A69"/>
    <w:rsid w:val="78F94B5D"/>
    <w:rsid w:val="78F99263"/>
    <w:rsid w:val="78FA094F"/>
    <w:rsid w:val="78FA4422"/>
    <w:rsid w:val="78FAA911"/>
    <w:rsid w:val="78FBEB57"/>
    <w:rsid w:val="78FE5933"/>
    <w:rsid w:val="78FF2256"/>
    <w:rsid w:val="79003FE4"/>
    <w:rsid w:val="79017241"/>
    <w:rsid w:val="7901EB15"/>
    <w:rsid w:val="790292ED"/>
    <w:rsid w:val="7902B624"/>
    <w:rsid w:val="7902BCDD"/>
    <w:rsid w:val="79043BF9"/>
    <w:rsid w:val="79067DD2"/>
    <w:rsid w:val="7906C481"/>
    <w:rsid w:val="79072B57"/>
    <w:rsid w:val="79078A0C"/>
    <w:rsid w:val="7908A05F"/>
    <w:rsid w:val="7908AADC"/>
    <w:rsid w:val="790C04C4"/>
    <w:rsid w:val="790C05D0"/>
    <w:rsid w:val="790D3E66"/>
    <w:rsid w:val="790F48B1"/>
    <w:rsid w:val="79108426"/>
    <w:rsid w:val="7910ADAD"/>
    <w:rsid w:val="7913D342"/>
    <w:rsid w:val="79163709"/>
    <w:rsid w:val="79170836"/>
    <w:rsid w:val="791777BD"/>
    <w:rsid w:val="791C88A7"/>
    <w:rsid w:val="791D37DF"/>
    <w:rsid w:val="791D4245"/>
    <w:rsid w:val="791DE656"/>
    <w:rsid w:val="791E5DBE"/>
    <w:rsid w:val="792091BF"/>
    <w:rsid w:val="79212794"/>
    <w:rsid w:val="7921699E"/>
    <w:rsid w:val="79233C2B"/>
    <w:rsid w:val="7923629F"/>
    <w:rsid w:val="79254782"/>
    <w:rsid w:val="79255DC5"/>
    <w:rsid w:val="7926C1EE"/>
    <w:rsid w:val="7926EBD3"/>
    <w:rsid w:val="7928F5BC"/>
    <w:rsid w:val="79296166"/>
    <w:rsid w:val="792A8F3B"/>
    <w:rsid w:val="792AFF96"/>
    <w:rsid w:val="792C8BE4"/>
    <w:rsid w:val="792C9BDE"/>
    <w:rsid w:val="792D4318"/>
    <w:rsid w:val="792EF24A"/>
    <w:rsid w:val="792F7FEF"/>
    <w:rsid w:val="79301B60"/>
    <w:rsid w:val="7930542C"/>
    <w:rsid w:val="7931FC51"/>
    <w:rsid w:val="7933589F"/>
    <w:rsid w:val="7933CADD"/>
    <w:rsid w:val="7934A6D5"/>
    <w:rsid w:val="79359793"/>
    <w:rsid w:val="7935A98B"/>
    <w:rsid w:val="79366C6C"/>
    <w:rsid w:val="7937B4D9"/>
    <w:rsid w:val="793820B6"/>
    <w:rsid w:val="79384105"/>
    <w:rsid w:val="79392513"/>
    <w:rsid w:val="793955A9"/>
    <w:rsid w:val="793A2642"/>
    <w:rsid w:val="793AC74A"/>
    <w:rsid w:val="793B5B0E"/>
    <w:rsid w:val="793BD63F"/>
    <w:rsid w:val="793ECC53"/>
    <w:rsid w:val="793F0AD2"/>
    <w:rsid w:val="793FBB2D"/>
    <w:rsid w:val="794011D4"/>
    <w:rsid w:val="79409527"/>
    <w:rsid w:val="794226B6"/>
    <w:rsid w:val="7942BDC1"/>
    <w:rsid w:val="7942C845"/>
    <w:rsid w:val="7943C764"/>
    <w:rsid w:val="7944216F"/>
    <w:rsid w:val="7944FEC6"/>
    <w:rsid w:val="79457F37"/>
    <w:rsid w:val="7947A0A8"/>
    <w:rsid w:val="7947CF16"/>
    <w:rsid w:val="79499267"/>
    <w:rsid w:val="794A4887"/>
    <w:rsid w:val="794BD0BB"/>
    <w:rsid w:val="794E3CB5"/>
    <w:rsid w:val="794EE325"/>
    <w:rsid w:val="79510B85"/>
    <w:rsid w:val="7951EE31"/>
    <w:rsid w:val="79521830"/>
    <w:rsid w:val="7952E6B6"/>
    <w:rsid w:val="7956238B"/>
    <w:rsid w:val="795652BA"/>
    <w:rsid w:val="7956D354"/>
    <w:rsid w:val="7957A7FB"/>
    <w:rsid w:val="7957B95E"/>
    <w:rsid w:val="79588297"/>
    <w:rsid w:val="79593312"/>
    <w:rsid w:val="7959FF97"/>
    <w:rsid w:val="795B1C9D"/>
    <w:rsid w:val="795D16AB"/>
    <w:rsid w:val="795D1DB7"/>
    <w:rsid w:val="795EF5CC"/>
    <w:rsid w:val="79609890"/>
    <w:rsid w:val="7960CEE0"/>
    <w:rsid w:val="79618A1B"/>
    <w:rsid w:val="79622632"/>
    <w:rsid w:val="79629CF3"/>
    <w:rsid w:val="7962D2D6"/>
    <w:rsid w:val="7963C5F9"/>
    <w:rsid w:val="79640DB9"/>
    <w:rsid w:val="7965FCD6"/>
    <w:rsid w:val="7966A029"/>
    <w:rsid w:val="79678183"/>
    <w:rsid w:val="79680750"/>
    <w:rsid w:val="79682F3D"/>
    <w:rsid w:val="796A7C0A"/>
    <w:rsid w:val="796A9D93"/>
    <w:rsid w:val="796C03DE"/>
    <w:rsid w:val="796C349F"/>
    <w:rsid w:val="796D29FB"/>
    <w:rsid w:val="796D935B"/>
    <w:rsid w:val="796E637A"/>
    <w:rsid w:val="796EC53E"/>
    <w:rsid w:val="796F25EC"/>
    <w:rsid w:val="796F9A9B"/>
    <w:rsid w:val="796FF8D2"/>
    <w:rsid w:val="7970BED0"/>
    <w:rsid w:val="797199C3"/>
    <w:rsid w:val="79722311"/>
    <w:rsid w:val="79748543"/>
    <w:rsid w:val="79753BFF"/>
    <w:rsid w:val="797580F9"/>
    <w:rsid w:val="797686A6"/>
    <w:rsid w:val="7977C7B7"/>
    <w:rsid w:val="79781986"/>
    <w:rsid w:val="7978FF0E"/>
    <w:rsid w:val="7979A848"/>
    <w:rsid w:val="7979E004"/>
    <w:rsid w:val="7979E931"/>
    <w:rsid w:val="797AACA4"/>
    <w:rsid w:val="797B8EFC"/>
    <w:rsid w:val="797C99D2"/>
    <w:rsid w:val="797D3039"/>
    <w:rsid w:val="797D7D7F"/>
    <w:rsid w:val="797E92F2"/>
    <w:rsid w:val="797FA11C"/>
    <w:rsid w:val="7981FEE6"/>
    <w:rsid w:val="79820A28"/>
    <w:rsid w:val="798218F3"/>
    <w:rsid w:val="79823984"/>
    <w:rsid w:val="7982B94A"/>
    <w:rsid w:val="7982C943"/>
    <w:rsid w:val="79849664"/>
    <w:rsid w:val="7984C953"/>
    <w:rsid w:val="798911BD"/>
    <w:rsid w:val="798A1111"/>
    <w:rsid w:val="798AE560"/>
    <w:rsid w:val="798BF650"/>
    <w:rsid w:val="798D3701"/>
    <w:rsid w:val="798D4C65"/>
    <w:rsid w:val="798DBDE9"/>
    <w:rsid w:val="79904FE7"/>
    <w:rsid w:val="7990B5C2"/>
    <w:rsid w:val="7992817E"/>
    <w:rsid w:val="7993EA4F"/>
    <w:rsid w:val="7994A779"/>
    <w:rsid w:val="7995F61B"/>
    <w:rsid w:val="79963B1B"/>
    <w:rsid w:val="7997A6DC"/>
    <w:rsid w:val="7997B1B5"/>
    <w:rsid w:val="7997E3DF"/>
    <w:rsid w:val="799A0B4A"/>
    <w:rsid w:val="799A0B96"/>
    <w:rsid w:val="799BA109"/>
    <w:rsid w:val="799CF0C8"/>
    <w:rsid w:val="799EC18F"/>
    <w:rsid w:val="799EC597"/>
    <w:rsid w:val="799F3B6B"/>
    <w:rsid w:val="799F86AA"/>
    <w:rsid w:val="79A08DC9"/>
    <w:rsid w:val="79A0CA1D"/>
    <w:rsid w:val="79A0F47F"/>
    <w:rsid w:val="79A5D0BE"/>
    <w:rsid w:val="79A5DB2C"/>
    <w:rsid w:val="79A7699B"/>
    <w:rsid w:val="79A77AAB"/>
    <w:rsid w:val="79A855F4"/>
    <w:rsid w:val="79AB0E6A"/>
    <w:rsid w:val="79AB7666"/>
    <w:rsid w:val="79AE1D32"/>
    <w:rsid w:val="79AE3A5C"/>
    <w:rsid w:val="79B02C36"/>
    <w:rsid w:val="79B0F385"/>
    <w:rsid w:val="79B108EE"/>
    <w:rsid w:val="79B14150"/>
    <w:rsid w:val="79B2FC40"/>
    <w:rsid w:val="79B41232"/>
    <w:rsid w:val="79B46E22"/>
    <w:rsid w:val="79B4ECB2"/>
    <w:rsid w:val="79B4F661"/>
    <w:rsid w:val="79B5F353"/>
    <w:rsid w:val="79B636F5"/>
    <w:rsid w:val="79B84D17"/>
    <w:rsid w:val="79B85214"/>
    <w:rsid w:val="79B8DC3B"/>
    <w:rsid w:val="79B8DC55"/>
    <w:rsid w:val="79B9258E"/>
    <w:rsid w:val="79B9DC92"/>
    <w:rsid w:val="79BAB146"/>
    <w:rsid w:val="79BB1434"/>
    <w:rsid w:val="79BBC8D8"/>
    <w:rsid w:val="79BCBFD9"/>
    <w:rsid w:val="79BCC0B9"/>
    <w:rsid w:val="79BCCF85"/>
    <w:rsid w:val="79BCFE7B"/>
    <w:rsid w:val="79BDD0DA"/>
    <w:rsid w:val="79BE8CC8"/>
    <w:rsid w:val="79C02F64"/>
    <w:rsid w:val="79C1F708"/>
    <w:rsid w:val="79C23227"/>
    <w:rsid w:val="79C23B2F"/>
    <w:rsid w:val="79C281AB"/>
    <w:rsid w:val="79C2AA05"/>
    <w:rsid w:val="79C51E86"/>
    <w:rsid w:val="79C58DE4"/>
    <w:rsid w:val="79C73094"/>
    <w:rsid w:val="79C7E63D"/>
    <w:rsid w:val="79C8DA60"/>
    <w:rsid w:val="79C97EEC"/>
    <w:rsid w:val="79C9A4D5"/>
    <w:rsid w:val="79CA3F8E"/>
    <w:rsid w:val="79CA7F1F"/>
    <w:rsid w:val="79CB2F3A"/>
    <w:rsid w:val="79CBEE09"/>
    <w:rsid w:val="79CC8FE1"/>
    <w:rsid w:val="79CDA8F7"/>
    <w:rsid w:val="79CE190F"/>
    <w:rsid w:val="79CE6F4A"/>
    <w:rsid w:val="79CEAA8D"/>
    <w:rsid w:val="79CF1237"/>
    <w:rsid w:val="79CFCDBD"/>
    <w:rsid w:val="79D037B7"/>
    <w:rsid w:val="79D127DC"/>
    <w:rsid w:val="79D19B8E"/>
    <w:rsid w:val="79D1ADB8"/>
    <w:rsid w:val="79D24788"/>
    <w:rsid w:val="79D3B35D"/>
    <w:rsid w:val="79D5FAB4"/>
    <w:rsid w:val="79D80AEA"/>
    <w:rsid w:val="79D85CEF"/>
    <w:rsid w:val="79D91B99"/>
    <w:rsid w:val="79D9FD8B"/>
    <w:rsid w:val="79DEA73F"/>
    <w:rsid w:val="79DF02E4"/>
    <w:rsid w:val="79DF1EB7"/>
    <w:rsid w:val="79DF261B"/>
    <w:rsid w:val="79DF920D"/>
    <w:rsid w:val="79E06F0F"/>
    <w:rsid w:val="79E0C310"/>
    <w:rsid w:val="79E28026"/>
    <w:rsid w:val="79E2CA89"/>
    <w:rsid w:val="79E3B2E6"/>
    <w:rsid w:val="79E5FA90"/>
    <w:rsid w:val="79E7C89B"/>
    <w:rsid w:val="79E83C94"/>
    <w:rsid w:val="79EA875A"/>
    <w:rsid w:val="79EAD3D6"/>
    <w:rsid w:val="79EAFC29"/>
    <w:rsid w:val="79EBED04"/>
    <w:rsid w:val="79ECB45C"/>
    <w:rsid w:val="79ECB5C6"/>
    <w:rsid w:val="79ECC217"/>
    <w:rsid w:val="79EEA29C"/>
    <w:rsid w:val="79EFC411"/>
    <w:rsid w:val="79EFF969"/>
    <w:rsid w:val="79F26C81"/>
    <w:rsid w:val="79F368C3"/>
    <w:rsid w:val="79F40B44"/>
    <w:rsid w:val="79F41430"/>
    <w:rsid w:val="79F42678"/>
    <w:rsid w:val="79F59BCA"/>
    <w:rsid w:val="79F638FA"/>
    <w:rsid w:val="79F6B712"/>
    <w:rsid w:val="79F76C14"/>
    <w:rsid w:val="79F8142E"/>
    <w:rsid w:val="79F842E4"/>
    <w:rsid w:val="79FA11C3"/>
    <w:rsid w:val="79FA31F5"/>
    <w:rsid w:val="79FB3978"/>
    <w:rsid w:val="79FC5A60"/>
    <w:rsid w:val="79FE846C"/>
    <w:rsid w:val="7A006D7C"/>
    <w:rsid w:val="7A0088CB"/>
    <w:rsid w:val="7A00C41F"/>
    <w:rsid w:val="7A016B22"/>
    <w:rsid w:val="7A0285C5"/>
    <w:rsid w:val="7A069CCF"/>
    <w:rsid w:val="7A082684"/>
    <w:rsid w:val="7A0885BB"/>
    <w:rsid w:val="7A088AFB"/>
    <w:rsid w:val="7A0A3EED"/>
    <w:rsid w:val="7A0A491C"/>
    <w:rsid w:val="7A0AC102"/>
    <w:rsid w:val="7A0AC177"/>
    <w:rsid w:val="7A0BAEC5"/>
    <w:rsid w:val="7A0BDCC0"/>
    <w:rsid w:val="7A0D21F2"/>
    <w:rsid w:val="7A0D99D0"/>
    <w:rsid w:val="7A0EBF3F"/>
    <w:rsid w:val="7A0F02FB"/>
    <w:rsid w:val="7A0FFBFC"/>
    <w:rsid w:val="7A11F775"/>
    <w:rsid w:val="7A1428C5"/>
    <w:rsid w:val="7A144062"/>
    <w:rsid w:val="7A1648B2"/>
    <w:rsid w:val="7A16D958"/>
    <w:rsid w:val="7A18AD96"/>
    <w:rsid w:val="7A18E414"/>
    <w:rsid w:val="7A18FA82"/>
    <w:rsid w:val="7A19486F"/>
    <w:rsid w:val="7A1A1D9C"/>
    <w:rsid w:val="7A1B1D9A"/>
    <w:rsid w:val="7A1DEFA2"/>
    <w:rsid w:val="7A1E553C"/>
    <w:rsid w:val="7A1FDE95"/>
    <w:rsid w:val="7A1FF5B0"/>
    <w:rsid w:val="7A20600F"/>
    <w:rsid w:val="7A243977"/>
    <w:rsid w:val="7A2482D5"/>
    <w:rsid w:val="7A24D2FF"/>
    <w:rsid w:val="7A2575D8"/>
    <w:rsid w:val="7A25CA6E"/>
    <w:rsid w:val="7A2749EC"/>
    <w:rsid w:val="7A286694"/>
    <w:rsid w:val="7A2A072D"/>
    <w:rsid w:val="7A2ADBE2"/>
    <w:rsid w:val="7A2C0F04"/>
    <w:rsid w:val="7A2CF5C5"/>
    <w:rsid w:val="7A2D5ABF"/>
    <w:rsid w:val="7A2D8EC3"/>
    <w:rsid w:val="7A306C9D"/>
    <w:rsid w:val="7A30EBCC"/>
    <w:rsid w:val="7A314598"/>
    <w:rsid w:val="7A31E033"/>
    <w:rsid w:val="7A32413C"/>
    <w:rsid w:val="7A336228"/>
    <w:rsid w:val="7A33AF5C"/>
    <w:rsid w:val="7A3416E4"/>
    <w:rsid w:val="7A352694"/>
    <w:rsid w:val="7A36C77C"/>
    <w:rsid w:val="7A37C4F5"/>
    <w:rsid w:val="7A37E61D"/>
    <w:rsid w:val="7A39B495"/>
    <w:rsid w:val="7A3B8132"/>
    <w:rsid w:val="7A3BC2A3"/>
    <w:rsid w:val="7A3BDB36"/>
    <w:rsid w:val="7A3DCD15"/>
    <w:rsid w:val="7A3EAF43"/>
    <w:rsid w:val="7A3F164C"/>
    <w:rsid w:val="7A402998"/>
    <w:rsid w:val="7A408ED6"/>
    <w:rsid w:val="7A42C579"/>
    <w:rsid w:val="7A454B60"/>
    <w:rsid w:val="7A45BF46"/>
    <w:rsid w:val="7A4617E5"/>
    <w:rsid w:val="7A472814"/>
    <w:rsid w:val="7A49AA49"/>
    <w:rsid w:val="7A4AAFA7"/>
    <w:rsid w:val="7A4AB6D9"/>
    <w:rsid w:val="7A4AEF61"/>
    <w:rsid w:val="7A4AF0F8"/>
    <w:rsid w:val="7A4B2CEE"/>
    <w:rsid w:val="7A4CBFFC"/>
    <w:rsid w:val="7A4DB32C"/>
    <w:rsid w:val="7A4DC1B9"/>
    <w:rsid w:val="7A4E273A"/>
    <w:rsid w:val="7A4F31BB"/>
    <w:rsid w:val="7A50A01B"/>
    <w:rsid w:val="7A52398D"/>
    <w:rsid w:val="7A53303C"/>
    <w:rsid w:val="7A5492F2"/>
    <w:rsid w:val="7A55E25B"/>
    <w:rsid w:val="7A5783B7"/>
    <w:rsid w:val="7A579BE2"/>
    <w:rsid w:val="7A5861B2"/>
    <w:rsid w:val="7A58744E"/>
    <w:rsid w:val="7A58F618"/>
    <w:rsid w:val="7A5942D1"/>
    <w:rsid w:val="7A595AAA"/>
    <w:rsid w:val="7A596F3A"/>
    <w:rsid w:val="7A5A04D0"/>
    <w:rsid w:val="7A5A96F8"/>
    <w:rsid w:val="7A5B8334"/>
    <w:rsid w:val="7A5BBBF6"/>
    <w:rsid w:val="7A5BE5E0"/>
    <w:rsid w:val="7A5BF46B"/>
    <w:rsid w:val="7A5ED24E"/>
    <w:rsid w:val="7A603692"/>
    <w:rsid w:val="7A616B60"/>
    <w:rsid w:val="7A621733"/>
    <w:rsid w:val="7A629192"/>
    <w:rsid w:val="7A63CA0E"/>
    <w:rsid w:val="7A644C67"/>
    <w:rsid w:val="7A6461CD"/>
    <w:rsid w:val="7A64C739"/>
    <w:rsid w:val="7A653F33"/>
    <w:rsid w:val="7A65C128"/>
    <w:rsid w:val="7A6724D1"/>
    <w:rsid w:val="7A6887E2"/>
    <w:rsid w:val="7A69033F"/>
    <w:rsid w:val="7A690823"/>
    <w:rsid w:val="7A69D07F"/>
    <w:rsid w:val="7A6B5E1A"/>
    <w:rsid w:val="7A6C9638"/>
    <w:rsid w:val="7A6D6301"/>
    <w:rsid w:val="7A6D7A78"/>
    <w:rsid w:val="7A6DB2BD"/>
    <w:rsid w:val="7A6E26D3"/>
    <w:rsid w:val="7A6E66BE"/>
    <w:rsid w:val="7A6E93DC"/>
    <w:rsid w:val="7A6F2507"/>
    <w:rsid w:val="7A7038F4"/>
    <w:rsid w:val="7A703F6F"/>
    <w:rsid w:val="7A70F4B2"/>
    <w:rsid w:val="7A732E16"/>
    <w:rsid w:val="7A7336A8"/>
    <w:rsid w:val="7A737D8B"/>
    <w:rsid w:val="7A7456CC"/>
    <w:rsid w:val="7A74E2B8"/>
    <w:rsid w:val="7A79E3F0"/>
    <w:rsid w:val="7A7A0B8E"/>
    <w:rsid w:val="7A7A6C47"/>
    <w:rsid w:val="7A7D139E"/>
    <w:rsid w:val="7A7D64A2"/>
    <w:rsid w:val="7A7E1059"/>
    <w:rsid w:val="7A7F532D"/>
    <w:rsid w:val="7A7F8682"/>
    <w:rsid w:val="7A801E28"/>
    <w:rsid w:val="7A80885B"/>
    <w:rsid w:val="7A832916"/>
    <w:rsid w:val="7A834913"/>
    <w:rsid w:val="7A8556E7"/>
    <w:rsid w:val="7A866564"/>
    <w:rsid w:val="7A8692E3"/>
    <w:rsid w:val="7A88EDFC"/>
    <w:rsid w:val="7A898B1F"/>
    <w:rsid w:val="7A8A018A"/>
    <w:rsid w:val="7A8A3228"/>
    <w:rsid w:val="7A8A3B8B"/>
    <w:rsid w:val="7A8C99F3"/>
    <w:rsid w:val="7A8D1E62"/>
    <w:rsid w:val="7A903CA8"/>
    <w:rsid w:val="7A91FEFE"/>
    <w:rsid w:val="7A934FE2"/>
    <w:rsid w:val="7A93D45E"/>
    <w:rsid w:val="7A94D095"/>
    <w:rsid w:val="7A95171A"/>
    <w:rsid w:val="7A96A9CF"/>
    <w:rsid w:val="7A97AA64"/>
    <w:rsid w:val="7A98CCE8"/>
    <w:rsid w:val="7A9985EB"/>
    <w:rsid w:val="7A99AD4F"/>
    <w:rsid w:val="7A99C747"/>
    <w:rsid w:val="7A9A3AFF"/>
    <w:rsid w:val="7A9B1DDE"/>
    <w:rsid w:val="7A9B3238"/>
    <w:rsid w:val="7A9C5938"/>
    <w:rsid w:val="7A9CF8BE"/>
    <w:rsid w:val="7A9D0DD7"/>
    <w:rsid w:val="7A9DC76E"/>
    <w:rsid w:val="7A9EE01F"/>
    <w:rsid w:val="7A9F6FA0"/>
    <w:rsid w:val="7A9FA4C0"/>
    <w:rsid w:val="7A9FCDCC"/>
    <w:rsid w:val="7AA04F5C"/>
    <w:rsid w:val="7AA06BEF"/>
    <w:rsid w:val="7AA17194"/>
    <w:rsid w:val="7AA27C47"/>
    <w:rsid w:val="7AA2A502"/>
    <w:rsid w:val="7AA2C75C"/>
    <w:rsid w:val="7AA3797D"/>
    <w:rsid w:val="7AA53617"/>
    <w:rsid w:val="7AA55A6F"/>
    <w:rsid w:val="7AA56D52"/>
    <w:rsid w:val="7AA6CC50"/>
    <w:rsid w:val="7AA8A5A6"/>
    <w:rsid w:val="7AA90044"/>
    <w:rsid w:val="7AA9259F"/>
    <w:rsid w:val="7AA9ACE9"/>
    <w:rsid w:val="7AAA3B59"/>
    <w:rsid w:val="7AAA835A"/>
    <w:rsid w:val="7AAB0C85"/>
    <w:rsid w:val="7AABF26C"/>
    <w:rsid w:val="7AAC4B24"/>
    <w:rsid w:val="7AADED62"/>
    <w:rsid w:val="7AAE5944"/>
    <w:rsid w:val="7AAEA276"/>
    <w:rsid w:val="7AB1008E"/>
    <w:rsid w:val="7AB1E5BC"/>
    <w:rsid w:val="7AB47C94"/>
    <w:rsid w:val="7AB50D7B"/>
    <w:rsid w:val="7AB55C63"/>
    <w:rsid w:val="7AB5BF25"/>
    <w:rsid w:val="7ABC2566"/>
    <w:rsid w:val="7ABD82E4"/>
    <w:rsid w:val="7ABD9417"/>
    <w:rsid w:val="7ABED2E4"/>
    <w:rsid w:val="7ABF0DC7"/>
    <w:rsid w:val="7AC051B7"/>
    <w:rsid w:val="7AC1CB5B"/>
    <w:rsid w:val="7AC2A899"/>
    <w:rsid w:val="7AC30C84"/>
    <w:rsid w:val="7AC311CD"/>
    <w:rsid w:val="7AC4DEF6"/>
    <w:rsid w:val="7AC6229B"/>
    <w:rsid w:val="7AC645F3"/>
    <w:rsid w:val="7AC760F0"/>
    <w:rsid w:val="7AC7B714"/>
    <w:rsid w:val="7AC7FCDE"/>
    <w:rsid w:val="7AC80606"/>
    <w:rsid w:val="7AC8287B"/>
    <w:rsid w:val="7AC838C2"/>
    <w:rsid w:val="7AC8B877"/>
    <w:rsid w:val="7AC9FF43"/>
    <w:rsid w:val="7ACA436E"/>
    <w:rsid w:val="7ACB3B49"/>
    <w:rsid w:val="7ACCD3DB"/>
    <w:rsid w:val="7ACCFB5D"/>
    <w:rsid w:val="7ACD5EA9"/>
    <w:rsid w:val="7ACFA653"/>
    <w:rsid w:val="7AD0F1B2"/>
    <w:rsid w:val="7AD1EE88"/>
    <w:rsid w:val="7AD2088B"/>
    <w:rsid w:val="7AD28D2F"/>
    <w:rsid w:val="7AD3A02B"/>
    <w:rsid w:val="7AD3A7F5"/>
    <w:rsid w:val="7AD3C155"/>
    <w:rsid w:val="7AD5C0FF"/>
    <w:rsid w:val="7AD733B6"/>
    <w:rsid w:val="7AD9A17D"/>
    <w:rsid w:val="7ADB7FC6"/>
    <w:rsid w:val="7ADBA432"/>
    <w:rsid w:val="7ADC3A3D"/>
    <w:rsid w:val="7ADE820B"/>
    <w:rsid w:val="7ADF3E61"/>
    <w:rsid w:val="7AE18D76"/>
    <w:rsid w:val="7AE1BC0B"/>
    <w:rsid w:val="7AE21769"/>
    <w:rsid w:val="7AE3B430"/>
    <w:rsid w:val="7AE41783"/>
    <w:rsid w:val="7AE49448"/>
    <w:rsid w:val="7AE4A2B0"/>
    <w:rsid w:val="7AE51B9E"/>
    <w:rsid w:val="7AE6CBA1"/>
    <w:rsid w:val="7AE7E6AA"/>
    <w:rsid w:val="7AEA522E"/>
    <w:rsid w:val="7AEB4846"/>
    <w:rsid w:val="7AEBB6AE"/>
    <w:rsid w:val="7AEED5D2"/>
    <w:rsid w:val="7AEFBF1E"/>
    <w:rsid w:val="7AF04A29"/>
    <w:rsid w:val="7AF082C0"/>
    <w:rsid w:val="7AF35866"/>
    <w:rsid w:val="7AF399D8"/>
    <w:rsid w:val="7AF473A1"/>
    <w:rsid w:val="7AF4BC9B"/>
    <w:rsid w:val="7AF51C13"/>
    <w:rsid w:val="7AF60685"/>
    <w:rsid w:val="7AF6AA55"/>
    <w:rsid w:val="7AF6E0AD"/>
    <w:rsid w:val="7AF9201B"/>
    <w:rsid w:val="7AF9FA40"/>
    <w:rsid w:val="7AFCACC4"/>
    <w:rsid w:val="7AFCD3D1"/>
    <w:rsid w:val="7AFD47C8"/>
    <w:rsid w:val="7AFD4CC4"/>
    <w:rsid w:val="7AFF0E73"/>
    <w:rsid w:val="7AFF15C9"/>
    <w:rsid w:val="7AFF1C49"/>
    <w:rsid w:val="7AFFF969"/>
    <w:rsid w:val="7B01C797"/>
    <w:rsid w:val="7B02FAFF"/>
    <w:rsid w:val="7B043AD6"/>
    <w:rsid w:val="7B043CA8"/>
    <w:rsid w:val="7B044939"/>
    <w:rsid w:val="7B048BF5"/>
    <w:rsid w:val="7B04DC37"/>
    <w:rsid w:val="7B09696E"/>
    <w:rsid w:val="7B09C1E5"/>
    <w:rsid w:val="7B0A0A32"/>
    <w:rsid w:val="7B0A3F5B"/>
    <w:rsid w:val="7B0BE9B4"/>
    <w:rsid w:val="7B119D2F"/>
    <w:rsid w:val="7B124607"/>
    <w:rsid w:val="7B1270E5"/>
    <w:rsid w:val="7B146EF0"/>
    <w:rsid w:val="7B14A9FD"/>
    <w:rsid w:val="7B15B39B"/>
    <w:rsid w:val="7B15CBA1"/>
    <w:rsid w:val="7B171B1D"/>
    <w:rsid w:val="7B18A71F"/>
    <w:rsid w:val="7B19140D"/>
    <w:rsid w:val="7B19AD96"/>
    <w:rsid w:val="7B19F3C6"/>
    <w:rsid w:val="7B1C0068"/>
    <w:rsid w:val="7B1DC4B5"/>
    <w:rsid w:val="7B1E08B8"/>
    <w:rsid w:val="7B1E366A"/>
    <w:rsid w:val="7B1FAB15"/>
    <w:rsid w:val="7B203FCE"/>
    <w:rsid w:val="7B206857"/>
    <w:rsid w:val="7B22985D"/>
    <w:rsid w:val="7B23EFC0"/>
    <w:rsid w:val="7B23F7A1"/>
    <w:rsid w:val="7B2569DD"/>
    <w:rsid w:val="7B27BE38"/>
    <w:rsid w:val="7B2909EA"/>
    <w:rsid w:val="7B293868"/>
    <w:rsid w:val="7B29DFA5"/>
    <w:rsid w:val="7B2DDAFF"/>
    <w:rsid w:val="7B2F3F6D"/>
    <w:rsid w:val="7B2FA562"/>
    <w:rsid w:val="7B2FD801"/>
    <w:rsid w:val="7B2FDBCC"/>
    <w:rsid w:val="7B306E00"/>
    <w:rsid w:val="7B3185EC"/>
    <w:rsid w:val="7B319BDE"/>
    <w:rsid w:val="7B3460DA"/>
    <w:rsid w:val="7B346F0B"/>
    <w:rsid w:val="7B36386A"/>
    <w:rsid w:val="7B368965"/>
    <w:rsid w:val="7B36EF96"/>
    <w:rsid w:val="7B374626"/>
    <w:rsid w:val="7B3AB75F"/>
    <w:rsid w:val="7B3AFE38"/>
    <w:rsid w:val="7B3C15DD"/>
    <w:rsid w:val="7B3DCEF0"/>
    <w:rsid w:val="7B3E998F"/>
    <w:rsid w:val="7B3F3000"/>
    <w:rsid w:val="7B3F526F"/>
    <w:rsid w:val="7B3FDF78"/>
    <w:rsid w:val="7B4014F5"/>
    <w:rsid w:val="7B40CB04"/>
    <w:rsid w:val="7B416EE2"/>
    <w:rsid w:val="7B432E56"/>
    <w:rsid w:val="7B439D0B"/>
    <w:rsid w:val="7B43BEC4"/>
    <w:rsid w:val="7B467766"/>
    <w:rsid w:val="7B468346"/>
    <w:rsid w:val="7B4820F6"/>
    <w:rsid w:val="7B483617"/>
    <w:rsid w:val="7B4A605D"/>
    <w:rsid w:val="7B4B543D"/>
    <w:rsid w:val="7B4BAEBF"/>
    <w:rsid w:val="7B4E721D"/>
    <w:rsid w:val="7B4F5469"/>
    <w:rsid w:val="7B501107"/>
    <w:rsid w:val="7B505C6E"/>
    <w:rsid w:val="7B51174E"/>
    <w:rsid w:val="7B52D1C8"/>
    <w:rsid w:val="7B552D18"/>
    <w:rsid w:val="7B55EB9B"/>
    <w:rsid w:val="7B565B94"/>
    <w:rsid w:val="7B57885E"/>
    <w:rsid w:val="7B58FAA5"/>
    <w:rsid w:val="7B591334"/>
    <w:rsid w:val="7B5A3DD1"/>
    <w:rsid w:val="7B5C5401"/>
    <w:rsid w:val="7B5CF3C3"/>
    <w:rsid w:val="7B5D0BA5"/>
    <w:rsid w:val="7B5D44F1"/>
    <w:rsid w:val="7B5EE71F"/>
    <w:rsid w:val="7B5F4430"/>
    <w:rsid w:val="7B5FB515"/>
    <w:rsid w:val="7B607398"/>
    <w:rsid w:val="7B623EF8"/>
    <w:rsid w:val="7B62BB5E"/>
    <w:rsid w:val="7B63B69E"/>
    <w:rsid w:val="7B63CB24"/>
    <w:rsid w:val="7B641FA6"/>
    <w:rsid w:val="7B643E36"/>
    <w:rsid w:val="7B660F7B"/>
    <w:rsid w:val="7B662FF9"/>
    <w:rsid w:val="7B67BE6A"/>
    <w:rsid w:val="7B67C257"/>
    <w:rsid w:val="7B69AA0E"/>
    <w:rsid w:val="7B6AE7ED"/>
    <w:rsid w:val="7B6B987F"/>
    <w:rsid w:val="7B6BDBD9"/>
    <w:rsid w:val="7B6D9340"/>
    <w:rsid w:val="7B6E03BC"/>
    <w:rsid w:val="7B6FD788"/>
    <w:rsid w:val="7B708233"/>
    <w:rsid w:val="7B71CB15"/>
    <w:rsid w:val="7B734881"/>
    <w:rsid w:val="7B777916"/>
    <w:rsid w:val="7B782406"/>
    <w:rsid w:val="7B78D28B"/>
    <w:rsid w:val="7B7B71CE"/>
    <w:rsid w:val="7B7BDD0E"/>
    <w:rsid w:val="7B7D6D25"/>
    <w:rsid w:val="7B7DFE7E"/>
    <w:rsid w:val="7B7E0969"/>
    <w:rsid w:val="7B7E99C0"/>
    <w:rsid w:val="7B7F76D5"/>
    <w:rsid w:val="7B816E55"/>
    <w:rsid w:val="7B823EE7"/>
    <w:rsid w:val="7B8416CA"/>
    <w:rsid w:val="7B84B722"/>
    <w:rsid w:val="7B85B0C7"/>
    <w:rsid w:val="7B87A6B8"/>
    <w:rsid w:val="7B88FD06"/>
    <w:rsid w:val="7B88FD29"/>
    <w:rsid w:val="7B8B584B"/>
    <w:rsid w:val="7B8D1382"/>
    <w:rsid w:val="7B8EA10B"/>
    <w:rsid w:val="7B90D6DC"/>
    <w:rsid w:val="7B91603E"/>
    <w:rsid w:val="7B9286C5"/>
    <w:rsid w:val="7B959E31"/>
    <w:rsid w:val="7B977E73"/>
    <w:rsid w:val="7B980CE1"/>
    <w:rsid w:val="7B98D879"/>
    <w:rsid w:val="7B98E942"/>
    <w:rsid w:val="7B99D350"/>
    <w:rsid w:val="7B9A3100"/>
    <w:rsid w:val="7B9A7BCC"/>
    <w:rsid w:val="7B9CAC53"/>
    <w:rsid w:val="7B9DCDF9"/>
    <w:rsid w:val="7B9E8577"/>
    <w:rsid w:val="7B9F6F02"/>
    <w:rsid w:val="7BA0781F"/>
    <w:rsid w:val="7BA10D0F"/>
    <w:rsid w:val="7BA40A82"/>
    <w:rsid w:val="7BA4C8B5"/>
    <w:rsid w:val="7BA5699F"/>
    <w:rsid w:val="7BA6D5DF"/>
    <w:rsid w:val="7BA7C0BF"/>
    <w:rsid w:val="7BA87E7F"/>
    <w:rsid w:val="7BA9ED60"/>
    <w:rsid w:val="7BAA66AF"/>
    <w:rsid w:val="7BAAEE31"/>
    <w:rsid w:val="7BABCB59"/>
    <w:rsid w:val="7BACB304"/>
    <w:rsid w:val="7BAD4E77"/>
    <w:rsid w:val="7BAE1741"/>
    <w:rsid w:val="7BAE18FA"/>
    <w:rsid w:val="7BAF1DB5"/>
    <w:rsid w:val="7BAF6371"/>
    <w:rsid w:val="7BAFD91E"/>
    <w:rsid w:val="7BB351FB"/>
    <w:rsid w:val="7BB39705"/>
    <w:rsid w:val="7BB3DA2B"/>
    <w:rsid w:val="7BB44614"/>
    <w:rsid w:val="7BB4B0E5"/>
    <w:rsid w:val="7BB4B475"/>
    <w:rsid w:val="7BB51951"/>
    <w:rsid w:val="7BB75E44"/>
    <w:rsid w:val="7BB7E7F7"/>
    <w:rsid w:val="7BB93C98"/>
    <w:rsid w:val="7BB954EA"/>
    <w:rsid w:val="7BBA2657"/>
    <w:rsid w:val="7BBAA1A6"/>
    <w:rsid w:val="7BBB867C"/>
    <w:rsid w:val="7BBC405F"/>
    <w:rsid w:val="7BBC80DE"/>
    <w:rsid w:val="7BBC9D82"/>
    <w:rsid w:val="7BBDF147"/>
    <w:rsid w:val="7BBED9DE"/>
    <w:rsid w:val="7BBF7B16"/>
    <w:rsid w:val="7BC1B811"/>
    <w:rsid w:val="7BC2D9D1"/>
    <w:rsid w:val="7BC3B1ED"/>
    <w:rsid w:val="7BC4E9F4"/>
    <w:rsid w:val="7BC51DEE"/>
    <w:rsid w:val="7BC5E7F7"/>
    <w:rsid w:val="7BC60D17"/>
    <w:rsid w:val="7BC636E2"/>
    <w:rsid w:val="7BC6D236"/>
    <w:rsid w:val="7BC908E8"/>
    <w:rsid w:val="7BC91C45"/>
    <w:rsid w:val="7BC97DA7"/>
    <w:rsid w:val="7BCD5A7E"/>
    <w:rsid w:val="7BCEB3F8"/>
    <w:rsid w:val="7BCF0A3A"/>
    <w:rsid w:val="7BD3CD5A"/>
    <w:rsid w:val="7BD3D755"/>
    <w:rsid w:val="7BD5FCBC"/>
    <w:rsid w:val="7BD65771"/>
    <w:rsid w:val="7BD7719B"/>
    <w:rsid w:val="7BD9A544"/>
    <w:rsid w:val="7BDA8090"/>
    <w:rsid w:val="7BDAA8D6"/>
    <w:rsid w:val="7BDB78FD"/>
    <w:rsid w:val="7BDD003E"/>
    <w:rsid w:val="7BDEEAC0"/>
    <w:rsid w:val="7BE1EC12"/>
    <w:rsid w:val="7BE2B3E1"/>
    <w:rsid w:val="7BE30A6A"/>
    <w:rsid w:val="7BE3EEDD"/>
    <w:rsid w:val="7BE3F8C3"/>
    <w:rsid w:val="7BE4945E"/>
    <w:rsid w:val="7BE5F012"/>
    <w:rsid w:val="7BE61A4D"/>
    <w:rsid w:val="7BE64A21"/>
    <w:rsid w:val="7BE6E32E"/>
    <w:rsid w:val="7BE75B32"/>
    <w:rsid w:val="7BE9378F"/>
    <w:rsid w:val="7BE97200"/>
    <w:rsid w:val="7BEA627A"/>
    <w:rsid w:val="7BEC4C76"/>
    <w:rsid w:val="7BEC7841"/>
    <w:rsid w:val="7BED6C06"/>
    <w:rsid w:val="7BED7279"/>
    <w:rsid w:val="7BEDD962"/>
    <w:rsid w:val="7BEDED1C"/>
    <w:rsid w:val="7BF0A38C"/>
    <w:rsid w:val="7BF0DBAB"/>
    <w:rsid w:val="7BF35809"/>
    <w:rsid w:val="7BF61E18"/>
    <w:rsid w:val="7BF6EF79"/>
    <w:rsid w:val="7BF7985F"/>
    <w:rsid w:val="7BF7B174"/>
    <w:rsid w:val="7BF85F64"/>
    <w:rsid w:val="7BF8D67B"/>
    <w:rsid w:val="7BF91631"/>
    <w:rsid w:val="7BF95198"/>
    <w:rsid w:val="7BF9748E"/>
    <w:rsid w:val="7BF98B48"/>
    <w:rsid w:val="7BF9BC53"/>
    <w:rsid w:val="7BFA94F5"/>
    <w:rsid w:val="7BFC14A5"/>
    <w:rsid w:val="7BFD8A8B"/>
    <w:rsid w:val="7BFE584D"/>
    <w:rsid w:val="7BFF302D"/>
    <w:rsid w:val="7BFF5FB3"/>
    <w:rsid w:val="7BFFAD3C"/>
    <w:rsid w:val="7C0120D0"/>
    <w:rsid w:val="7C027308"/>
    <w:rsid w:val="7C031C92"/>
    <w:rsid w:val="7C04D0E8"/>
    <w:rsid w:val="7C069CD2"/>
    <w:rsid w:val="7C06A106"/>
    <w:rsid w:val="7C09073C"/>
    <w:rsid w:val="7C0A968C"/>
    <w:rsid w:val="7C0AFE20"/>
    <w:rsid w:val="7C0B784C"/>
    <w:rsid w:val="7C0E0EAE"/>
    <w:rsid w:val="7C0F42AA"/>
    <w:rsid w:val="7C113E67"/>
    <w:rsid w:val="7C120BBD"/>
    <w:rsid w:val="7C12BD08"/>
    <w:rsid w:val="7C132B08"/>
    <w:rsid w:val="7C13D57F"/>
    <w:rsid w:val="7C142CA7"/>
    <w:rsid w:val="7C1456DD"/>
    <w:rsid w:val="7C147A2A"/>
    <w:rsid w:val="7C175104"/>
    <w:rsid w:val="7C17AE27"/>
    <w:rsid w:val="7C1811DD"/>
    <w:rsid w:val="7C195ADB"/>
    <w:rsid w:val="7C197D3B"/>
    <w:rsid w:val="7C1B21F2"/>
    <w:rsid w:val="7C1D53AB"/>
    <w:rsid w:val="7C1D7241"/>
    <w:rsid w:val="7C1D7ACE"/>
    <w:rsid w:val="7C1E50C6"/>
    <w:rsid w:val="7C1F7857"/>
    <w:rsid w:val="7C2117A9"/>
    <w:rsid w:val="7C21C295"/>
    <w:rsid w:val="7C2201DB"/>
    <w:rsid w:val="7C223856"/>
    <w:rsid w:val="7C2255F4"/>
    <w:rsid w:val="7C22DE30"/>
    <w:rsid w:val="7C23F73A"/>
    <w:rsid w:val="7C24B00E"/>
    <w:rsid w:val="7C24BC8A"/>
    <w:rsid w:val="7C251546"/>
    <w:rsid w:val="7C258257"/>
    <w:rsid w:val="7C2585F6"/>
    <w:rsid w:val="7C26C251"/>
    <w:rsid w:val="7C289D52"/>
    <w:rsid w:val="7C29C3A4"/>
    <w:rsid w:val="7C2A64D2"/>
    <w:rsid w:val="7C2A750A"/>
    <w:rsid w:val="7C2AD30D"/>
    <w:rsid w:val="7C2BEA2F"/>
    <w:rsid w:val="7C2C257C"/>
    <w:rsid w:val="7C2CB3E4"/>
    <w:rsid w:val="7C2D1ABC"/>
    <w:rsid w:val="7C2DB436"/>
    <w:rsid w:val="7C2DCD4D"/>
    <w:rsid w:val="7C2E8286"/>
    <w:rsid w:val="7C30410F"/>
    <w:rsid w:val="7C32AB7D"/>
    <w:rsid w:val="7C32E4D7"/>
    <w:rsid w:val="7C32ECDF"/>
    <w:rsid w:val="7C33BD83"/>
    <w:rsid w:val="7C3452FD"/>
    <w:rsid w:val="7C350FEE"/>
    <w:rsid w:val="7C3540C2"/>
    <w:rsid w:val="7C3651FE"/>
    <w:rsid w:val="7C37671C"/>
    <w:rsid w:val="7C3B1D5B"/>
    <w:rsid w:val="7C3B3D9F"/>
    <w:rsid w:val="7C3CFB5C"/>
    <w:rsid w:val="7C3D38B7"/>
    <w:rsid w:val="7C3DB311"/>
    <w:rsid w:val="7C3DEEBB"/>
    <w:rsid w:val="7C3ECCA9"/>
    <w:rsid w:val="7C3F43D3"/>
    <w:rsid w:val="7C404E5A"/>
    <w:rsid w:val="7C450C73"/>
    <w:rsid w:val="7C4690BE"/>
    <w:rsid w:val="7C469D20"/>
    <w:rsid w:val="7C46D627"/>
    <w:rsid w:val="7C49C0A4"/>
    <w:rsid w:val="7C49FB7F"/>
    <w:rsid w:val="7C4B9549"/>
    <w:rsid w:val="7C4DAF74"/>
    <w:rsid w:val="7C4E8310"/>
    <w:rsid w:val="7C507F1B"/>
    <w:rsid w:val="7C508413"/>
    <w:rsid w:val="7C51C6A4"/>
    <w:rsid w:val="7C5447D4"/>
    <w:rsid w:val="7C54E05D"/>
    <w:rsid w:val="7C559DCB"/>
    <w:rsid w:val="7C564B21"/>
    <w:rsid w:val="7C564DBA"/>
    <w:rsid w:val="7C56DBBB"/>
    <w:rsid w:val="7C579D78"/>
    <w:rsid w:val="7C5844E6"/>
    <w:rsid w:val="7C5846BB"/>
    <w:rsid w:val="7C59608C"/>
    <w:rsid w:val="7C59A1CF"/>
    <w:rsid w:val="7C59FD34"/>
    <w:rsid w:val="7C5B4BBE"/>
    <w:rsid w:val="7C5CE5AC"/>
    <w:rsid w:val="7C5EC94E"/>
    <w:rsid w:val="7C5FD19E"/>
    <w:rsid w:val="7C6084CF"/>
    <w:rsid w:val="7C60E183"/>
    <w:rsid w:val="7C61158C"/>
    <w:rsid w:val="7C613FFE"/>
    <w:rsid w:val="7C614AD4"/>
    <w:rsid w:val="7C63965D"/>
    <w:rsid w:val="7C65EC5B"/>
    <w:rsid w:val="7C66CDDC"/>
    <w:rsid w:val="7C674273"/>
    <w:rsid w:val="7C67DB5F"/>
    <w:rsid w:val="7C68EDC7"/>
    <w:rsid w:val="7C6A2250"/>
    <w:rsid w:val="7C6A2F56"/>
    <w:rsid w:val="7C6B1536"/>
    <w:rsid w:val="7C6BC105"/>
    <w:rsid w:val="7C6BDC5D"/>
    <w:rsid w:val="7C6C2DD0"/>
    <w:rsid w:val="7C6DD8EC"/>
    <w:rsid w:val="7C6EFEA4"/>
    <w:rsid w:val="7C6F1F42"/>
    <w:rsid w:val="7C6FC2D8"/>
    <w:rsid w:val="7C706E5A"/>
    <w:rsid w:val="7C70E5AE"/>
    <w:rsid w:val="7C70F53C"/>
    <w:rsid w:val="7C72DEC5"/>
    <w:rsid w:val="7C73F1E7"/>
    <w:rsid w:val="7C7467BF"/>
    <w:rsid w:val="7C7484A0"/>
    <w:rsid w:val="7C74A4E2"/>
    <w:rsid w:val="7C759179"/>
    <w:rsid w:val="7C7602B0"/>
    <w:rsid w:val="7C762D72"/>
    <w:rsid w:val="7C77464E"/>
    <w:rsid w:val="7C786B5F"/>
    <w:rsid w:val="7C7886C2"/>
    <w:rsid w:val="7C7966C8"/>
    <w:rsid w:val="7C796942"/>
    <w:rsid w:val="7C7A3DA4"/>
    <w:rsid w:val="7C7AD1B2"/>
    <w:rsid w:val="7C7CB24C"/>
    <w:rsid w:val="7C7CD2AD"/>
    <w:rsid w:val="7C7D12AF"/>
    <w:rsid w:val="7C7D4249"/>
    <w:rsid w:val="7C7DB709"/>
    <w:rsid w:val="7C7ED43F"/>
    <w:rsid w:val="7C7F4208"/>
    <w:rsid w:val="7C7F9103"/>
    <w:rsid w:val="7C848758"/>
    <w:rsid w:val="7C86DF8B"/>
    <w:rsid w:val="7C8AAA71"/>
    <w:rsid w:val="7C8C58A4"/>
    <w:rsid w:val="7C8CAD77"/>
    <w:rsid w:val="7C8E2E37"/>
    <w:rsid w:val="7C8ED370"/>
    <w:rsid w:val="7C907DD2"/>
    <w:rsid w:val="7C9104CC"/>
    <w:rsid w:val="7C920A33"/>
    <w:rsid w:val="7C92A76E"/>
    <w:rsid w:val="7C9335EE"/>
    <w:rsid w:val="7C933E8E"/>
    <w:rsid w:val="7C939594"/>
    <w:rsid w:val="7C94D12B"/>
    <w:rsid w:val="7C94F56D"/>
    <w:rsid w:val="7C95A886"/>
    <w:rsid w:val="7C99CECF"/>
    <w:rsid w:val="7C9B0276"/>
    <w:rsid w:val="7C9D8700"/>
    <w:rsid w:val="7C9EE0D8"/>
    <w:rsid w:val="7CA1FD9C"/>
    <w:rsid w:val="7CA2BD1D"/>
    <w:rsid w:val="7CA2E415"/>
    <w:rsid w:val="7CA54DB6"/>
    <w:rsid w:val="7CA591B5"/>
    <w:rsid w:val="7CA714E1"/>
    <w:rsid w:val="7CA7A55C"/>
    <w:rsid w:val="7CA821FC"/>
    <w:rsid w:val="7CA8518F"/>
    <w:rsid w:val="7CAAA22D"/>
    <w:rsid w:val="7CAAF30F"/>
    <w:rsid w:val="7CAB5962"/>
    <w:rsid w:val="7CAB668B"/>
    <w:rsid w:val="7CAB8A2F"/>
    <w:rsid w:val="7CAD048B"/>
    <w:rsid w:val="7CB00204"/>
    <w:rsid w:val="7CB24DEC"/>
    <w:rsid w:val="7CB3EB1D"/>
    <w:rsid w:val="7CB44412"/>
    <w:rsid w:val="7CB63816"/>
    <w:rsid w:val="7CB670FB"/>
    <w:rsid w:val="7CB67CFF"/>
    <w:rsid w:val="7CB72347"/>
    <w:rsid w:val="7CB7579F"/>
    <w:rsid w:val="7CB799B2"/>
    <w:rsid w:val="7CB7A1FE"/>
    <w:rsid w:val="7CB8ADC7"/>
    <w:rsid w:val="7CB979CF"/>
    <w:rsid w:val="7CBC6950"/>
    <w:rsid w:val="7CBD5E6D"/>
    <w:rsid w:val="7CBE8187"/>
    <w:rsid w:val="7CBFBA2F"/>
    <w:rsid w:val="7CBFC66E"/>
    <w:rsid w:val="7CC00297"/>
    <w:rsid w:val="7CC35047"/>
    <w:rsid w:val="7CC370EF"/>
    <w:rsid w:val="7CC3B495"/>
    <w:rsid w:val="7CC46BE9"/>
    <w:rsid w:val="7CC4CC06"/>
    <w:rsid w:val="7CC74FFF"/>
    <w:rsid w:val="7CC99A26"/>
    <w:rsid w:val="7CCC9CFE"/>
    <w:rsid w:val="7CCCC629"/>
    <w:rsid w:val="7CCCD27E"/>
    <w:rsid w:val="7CCCF31C"/>
    <w:rsid w:val="7CCF0326"/>
    <w:rsid w:val="7CCF84A1"/>
    <w:rsid w:val="7CD0D09B"/>
    <w:rsid w:val="7CD1E664"/>
    <w:rsid w:val="7CD26591"/>
    <w:rsid w:val="7CD30C18"/>
    <w:rsid w:val="7CD46356"/>
    <w:rsid w:val="7CD53491"/>
    <w:rsid w:val="7CD58BB2"/>
    <w:rsid w:val="7CD7904D"/>
    <w:rsid w:val="7CD7B677"/>
    <w:rsid w:val="7CD7BEA4"/>
    <w:rsid w:val="7CD7F0C4"/>
    <w:rsid w:val="7CD8B87B"/>
    <w:rsid w:val="7CD8DFEB"/>
    <w:rsid w:val="7CDA0A4A"/>
    <w:rsid w:val="7CDA0AB6"/>
    <w:rsid w:val="7CDC83AC"/>
    <w:rsid w:val="7CDE278B"/>
    <w:rsid w:val="7CDEEC0C"/>
    <w:rsid w:val="7CE00363"/>
    <w:rsid w:val="7CE19460"/>
    <w:rsid w:val="7CE1B6C0"/>
    <w:rsid w:val="7CE1C90E"/>
    <w:rsid w:val="7CE2C18A"/>
    <w:rsid w:val="7CE2EE86"/>
    <w:rsid w:val="7CE325A6"/>
    <w:rsid w:val="7CE3AB5B"/>
    <w:rsid w:val="7CE56E98"/>
    <w:rsid w:val="7CE7FCC7"/>
    <w:rsid w:val="7CE85BF6"/>
    <w:rsid w:val="7CE97EEB"/>
    <w:rsid w:val="7CE9F596"/>
    <w:rsid w:val="7CEB3BD7"/>
    <w:rsid w:val="7CEB4B40"/>
    <w:rsid w:val="7CEC2174"/>
    <w:rsid w:val="7CED5E65"/>
    <w:rsid w:val="7CED8C18"/>
    <w:rsid w:val="7CEDBF0C"/>
    <w:rsid w:val="7CEE8666"/>
    <w:rsid w:val="7CEF0E4D"/>
    <w:rsid w:val="7CEF2948"/>
    <w:rsid w:val="7CEFF779"/>
    <w:rsid w:val="7CF0ACD9"/>
    <w:rsid w:val="7CF155AE"/>
    <w:rsid w:val="7CF17DBE"/>
    <w:rsid w:val="7CF1BF46"/>
    <w:rsid w:val="7CF1E84A"/>
    <w:rsid w:val="7CF22529"/>
    <w:rsid w:val="7CF2721C"/>
    <w:rsid w:val="7CF44ED3"/>
    <w:rsid w:val="7CF4EFD7"/>
    <w:rsid w:val="7CF54813"/>
    <w:rsid w:val="7CF60241"/>
    <w:rsid w:val="7CF758A0"/>
    <w:rsid w:val="7CF7D054"/>
    <w:rsid w:val="7CFA9221"/>
    <w:rsid w:val="7CFB4E4E"/>
    <w:rsid w:val="7CFBAB08"/>
    <w:rsid w:val="7CFD2EA0"/>
    <w:rsid w:val="7CFD5D15"/>
    <w:rsid w:val="7CFF3C4E"/>
    <w:rsid w:val="7D0024C2"/>
    <w:rsid w:val="7D00DC7B"/>
    <w:rsid w:val="7D01E490"/>
    <w:rsid w:val="7D02B60D"/>
    <w:rsid w:val="7D030637"/>
    <w:rsid w:val="7D0344E0"/>
    <w:rsid w:val="7D03C4E4"/>
    <w:rsid w:val="7D03D02D"/>
    <w:rsid w:val="7D03F345"/>
    <w:rsid w:val="7D050118"/>
    <w:rsid w:val="7D05141A"/>
    <w:rsid w:val="7D058C48"/>
    <w:rsid w:val="7D065A73"/>
    <w:rsid w:val="7D0803E2"/>
    <w:rsid w:val="7D0855BD"/>
    <w:rsid w:val="7D08BF33"/>
    <w:rsid w:val="7D098C34"/>
    <w:rsid w:val="7D0A85CE"/>
    <w:rsid w:val="7D0C2FA5"/>
    <w:rsid w:val="7D0D8B6A"/>
    <w:rsid w:val="7D111477"/>
    <w:rsid w:val="7D12381E"/>
    <w:rsid w:val="7D176CA9"/>
    <w:rsid w:val="7D184C1E"/>
    <w:rsid w:val="7D1924E4"/>
    <w:rsid w:val="7D1983ED"/>
    <w:rsid w:val="7D1A7928"/>
    <w:rsid w:val="7D1A824A"/>
    <w:rsid w:val="7D1A844C"/>
    <w:rsid w:val="7D1AFE3A"/>
    <w:rsid w:val="7D1ED2C7"/>
    <w:rsid w:val="7D20CE1A"/>
    <w:rsid w:val="7D21C2A8"/>
    <w:rsid w:val="7D236E06"/>
    <w:rsid w:val="7D25C11C"/>
    <w:rsid w:val="7D27B26A"/>
    <w:rsid w:val="7D27E76E"/>
    <w:rsid w:val="7D294A97"/>
    <w:rsid w:val="7D2A7E09"/>
    <w:rsid w:val="7D2AB190"/>
    <w:rsid w:val="7D2BD4FF"/>
    <w:rsid w:val="7D2BF097"/>
    <w:rsid w:val="7D2C91EF"/>
    <w:rsid w:val="7D2CE153"/>
    <w:rsid w:val="7D2DA378"/>
    <w:rsid w:val="7D2E3DA2"/>
    <w:rsid w:val="7D2E6A99"/>
    <w:rsid w:val="7D2FCF1C"/>
    <w:rsid w:val="7D300D45"/>
    <w:rsid w:val="7D311ADD"/>
    <w:rsid w:val="7D312F77"/>
    <w:rsid w:val="7D322B7D"/>
    <w:rsid w:val="7D32588A"/>
    <w:rsid w:val="7D34DC2E"/>
    <w:rsid w:val="7D3507E8"/>
    <w:rsid w:val="7D35A8F9"/>
    <w:rsid w:val="7D3602ED"/>
    <w:rsid w:val="7D3617BD"/>
    <w:rsid w:val="7D3643DA"/>
    <w:rsid w:val="7D372CE8"/>
    <w:rsid w:val="7D37C523"/>
    <w:rsid w:val="7D3A79C7"/>
    <w:rsid w:val="7D3B80B8"/>
    <w:rsid w:val="7D3CF4C7"/>
    <w:rsid w:val="7D3DBF41"/>
    <w:rsid w:val="7D3E3E85"/>
    <w:rsid w:val="7D3EA6E0"/>
    <w:rsid w:val="7D3FCF9B"/>
    <w:rsid w:val="7D40957C"/>
    <w:rsid w:val="7D40B265"/>
    <w:rsid w:val="7D425D11"/>
    <w:rsid w:val="7D43956C"/>
    <w:rsid w:val="7D43BAF5"/>
    <w:rsid w:val="7D43DE27"/>
    <w:rsid w:val="7D441F92"/>
    <w:rsid w:val="7D445B39"/>
    <w:rsid w:val="7D4666EE"/>
    <w:rsid w:val="7D48076E"/>
    <w:rsid w:val="7D48666F"/>
    <w:rsid w:val="7D487D26"/>
    <w:rsid w:val="7D4A0413"/>
    <w:rsid w:val="7D4A406C"/>
    <w:rsid w:val="7D4BA359"/>
    <w:rsid w:val="7D4C0800"/>
    <w:rsid w:val="7D4C6504"/>
    <w:rsid w:val="7D4CFE71"/>
    <w:rsid w:val="7D4F62B5"/>
    <w:rsid w:val="7D502A31"/>
    <w:rsid w:val="7D50D6AA"/>
    <w:rsid w:val="7D50E83B"/>
    <w:rsid w:val="7D516EDF"/>
    <w:rsid w:val="7D54D934"/>
    <w:rsid w:val="7D550546"/>
    <w:rsid w:val="7D56F735"/>
    <w:rsid w:val="7D57CC46"/>
    <w:rsid w:val="7D58A876"/>
    <w:rsid w:val="7D59FBF6"/>
    <w:rsid w:val="7D59FFDA"/>
    <w:rsid w:val="7D5BCCC1"/>
    <w:rsid w:val="7D5D136D"/>
    <w:rsid w:val="7D5D8739"/>
    <w:rsid w:val="7D5D91A3"/>
    <w:rsid w:val="7D5DB4CF"/>
    <w:rsid w:val="7D5DE91D"/>
    <w:rsid w:val="7D60DB4E"/>
    <w:rsid w:val="7D614302"/>
    <w:rsid w:val="7D622897"/>
    <w:rsid w:val="7D6246B5"/>
    <w:rsid w:val="7D6279ED"/>
    <w:rsid w:val="7D645935"/>
    <w:rsid w:val="7D651034"/>
    <w:rsid w:val="7D662506"/>
    <w:rsid w:val="7D67F145"/>
    <w:rsid w:val="7D68863E"/>
    <w:rsid w:val="7D6CF82F"/>
    <w:rsid w:val="7D6EB2AE"/>
    <w:rsid w:val="7D6F19F5"/>
    <w:rsid w:val="7D6F2203"/>
    <w:rsid w:val="7D6FF7B2"/>
    <w:rsid w:val="7D701BA1"/>
    <w:rsid w:val="7D702C16"/>
    <w:rsid w:val="7D727535"/>
    <w:rsid w:val="7D73463D"/>
    <w:rsid w:val="7D745315"/>
    <w:rsid w:val="7D74FBF2"/>
    <w:rsid w:val="7D751AFF"/>
    <w:rsid w:val="7D75B29B"/>
    <w:rsid w:val="7D77DAF6"/>
    <w:rsid w:val="7D783295"/>
    <w:rsid w:val="7D78E9F6"/>
    <w:rsid w:val="7D791BED"/>
    <w:rsid w:val="7D799C9E"/>
    <w:rsid w:val="7D7C6A76"/>
    <w:rsid w:val="7D7D9627"/>
    <w:rsid w:val="7D7DFDF8"/>
    <w:rsid w:val="7D7F4602"/>
    <w:rsid w:val="7D804DBA"/>
    <w:rsid w:val="7D86677E"/>
    <w:rsid w:val="7D86DB8D"/>
    <w:rsid w:val="7D897444"/>
    <w:rsid w:val="7D8B43F1"/>
    <w:rsid w:val="7D8DAC21"/>
    <w:rsid w:val="7D8EA52A"/>
    <w:rsid w:val="7D8EA954"/>
    <w:rsid w:val="7D8FB3D1"/>
    <w:rsid w:val="7D8FB9F5"/>
    <w:rsid w:val="7D900274"/>
    <w:rsid w:val="7D906F53"/>
    <w:rsid w:val="7D90E393"/>
    <w:rsid w:val="7D9106DA"/>
    <w:rsid w:val="7D94A66F"/>
    <w:rsid w:val="7D968C6C"/>
    <w:rsid w:val="7D98BD06"/>
    <w:rsid w:val="7D995A0C"/>
    <w:rsid w:val="7D99BD7C"/>
    <w:rsid w:val="7D99EFD1"/>
    <w:rsid w:val="7D9A23CA"/>
    <w:rsid w:val="7D9B42DF"/>
    <w:rsid w:val="7D9BADE8"/>
    <w:rsid w:val="7D9C2A28"/>
    <w:rsid w:val="7D9D891B"/>
    <w:rsid w:val="7DA19FFC"/>
    <w:rsid w:val="7DA1B63D"/>
    <w:rsid w:val="7DA45275"/>
    <w:rsid w:val="7DA4F252"/>
    <w:rsid w:val="7DA51854"/>
    <w:rsid w:val="7DA5D32F"/>
    <w:rsid w:val="7DA66F8B"/>
    <w:rsid w:val="7DA731F4"/>
    <w:rsid w:val="7DA7C032"/>
    <w:rsid w:val="7DA957B2"/>
    <w:rsid w:val="7DAA45B1"/>
    <w:rsid w:val="7DAD4350"/>
    <w:rsid w:val="7DAEF44B"/>
    <w:rsid w:val="7DAF40E8"/>
    <w:rsid w:val="7DB04257"/>
    <w:rsid w:val="7DB2C904"/>
    <w:rsid w:val="7DB3265D"/>
    <w:rsid w:val="7DB39F13"/>
    <w:rsid w:val="7DB4E013"/>
    <w:rsid w:val="7DB61B31"/>
    <w:rsid w:val="7DB680BF"/>
    <w:rsid w:val="7DB6AA7A"/>
    <w:rsid w:val="7DB7332D"/>
    <w:rsid w:val="7DB81A31"/>
    <w:rsid w:val="7DBB488C"/>
    <w:rsid w:val="7DBB4DFC"/>
    <w:rsid w:val="7DBC22C8"/>
    <w:rsid w:val="7DBCA166"/>
    <w:rsid w:val="7DBD3A7B"/>
    <w:rsid w:val="7DBD8C1D"/>
    <w:rsid w:val="7DBDF153"/>
    <w:rsid w:val="7DBEFF45"/>
    <w:rsid w:val="7DC17733"/>
    <w:rsid w:val="7DC1F205"/>
    <w:rsid w:val="7DC29F6D"/>
    <w:rsid w:val="7DC3A73B"/>
    <w:rsid w:val="7DC3D82B"/>
    <w:rsid w:val="7DC45694"/>
    <w:rsid w:val="7DC5ABE6"/>
    <w:rsid w:val="7DC627D6"/>
    <w:rsid w:val="7DC6A075"/>
    <w:rsid w:val="7DC96F65"/>
    <w:rsid w:val="7DCA446B"/>
    <w:rsid w:val="7DCAFD7F"/>
    <w:rsid w:val="7DCB282B"/>
    <w:rsid w:val="7DCCB927"/>
    <w:rsid w:val="7DCCFE61"/>
    <w:rsid w:val="7DCE5128"/>
    <w:rsid w:val="7DCF515A"/>
    <w:rsid w:val="7DD07A48"/>
    <w:rsid w:val="7DD08F8F"/>
    <w:rsid w:val="7DD0C464"/>
    <w:rsid w:val="7DD2DEB8"/>
    <w:rsid w:val="7DD40C5C"/>
    <w:rsid w:val="7DD41628"/>
    <w:rsid w:val="7DD43000"/>
    <w:rsid w:val="7DD4B4DF"/>
    <w:rsid w:val="7DD5E952"/>
    <w:rsid w:val="7DD702CA"/>
    <w:rsid w:val="7DD7A2CF"/>
    <w:rsid w:val="7DD7A3BD"/>
    <w:rsid w:val="7DD824D8"/>
    <w:rsid w:val="7DD931D2"/>
    <w:rsid w:val="7DD93B71"/>
    <w:rsid w:val="7DDA8B82"/>
    <w:rsid w:val="7DDACD08"/>
    <w:rsid w:val="7DDB74E3"/>
    <w:rsid w:val="7DDB74F5"/>
    <w:rsid w:val="7DDC1F5B"/>
    <w:rsid w:val="7DDC6FF1"/>
    <w:rsid w:val="7DDCB7B5"/>
    <w:rsid w:val="7DDE2E18"/>
    <w:rsid w:val="7DDE8733"/>
    <w:rsid w:val="7DDEAEE9"/>
    <w:rsid w:val="7DDEFF50"/>
    <w:rsid w:val="7DDFD2F9"/>
    <w:rsid w:val="7DE1D8F7"/>
    <w:rsid w:val="7DE25E1F"/>
    <w:rsid w:val="7DE5228D"/>
    <w:rsid w:val="7DE5A776"/>
    <w:rsid w:val="7DE725FD"/>
    <w:rsid w:val="7DE9310D"/>
    <w:rsid w:val="7DE9B3EA"/>
    <w:rsid w:val="7DEBC437"/>
    <w:rsid w:val="7DEC2E70"/>
    <w:rsid w:val="7DED0682"/>
    <w:rsid w:val="7DEF1A13"/>
    <w:rsid w:val="7DEF83B8"/>
    <w:rsid w:val="7DF11816"/>
    <w:rsid w:val="7DF2FA6A"/>
    <w:rsid w:val="7DF44663"/>
    <w:rsid w:val="7DF6BE7B"/>
    <w:rsid w:val="7DF6DFEF"/>
    <w:rsid w:val="7DF89D96"/>
    <w:rsid w:val="7DF8DAC9"/>
    <w:rsid w:val="7DF99CA7"/>
    <w:rsid w:val="7DFAB612"/>
    <w:rsid w:val="7DFCB204"/>
    <w:rsid w:val="7DFF6164"/>
    <w:rsid w:val="7DFF6F42"/>
    <w:rsid w:val="7E01761C"/>
    <w:rsid w:val="7E031625"/>
    <w:rsid w:val="7E038D71"/>
    <w:rsid w:val="7E041214"/>
    <w:rsid w:val="7E041C38"/>
    <w:rsid w:val="7E04C986"/>
    <w:rsid w:val="7E05830A"/>
    <w:rsid w:val="7E05A611"/>
    <w:rsid w:val="7E05B7D3"/>
    <w:rsid w:val="7E0764E6"/>
    <w:rsid w:val="7E082699"/>
    <w:rsid w:val="7E084841"/>
    <w:rsid w:val="7E0954D9"/>
    <w:rsid w:val="7E098F92"/>
    <w:rsid w:val="7E0A5BD6"/>
    <w:rsid w:val="7E0DB8C4"/>
    <w:rsid w:val="7E0DF170"/>
    <w:rsid w:val="7E0E6F8C"/>
    <w:rsid w:val="7E0F3D8C"/>
    <w:rsid w:val="7E0F890E"/>
    <w:rsid w:val="7E10180D"/>
    <w:rsid w:val="7E10B834"/>
    <w:rsid w:val="7E10CF52"/>
    <w:rsid w:val="7E117736"/>
    <w:rsid w:val="7E11EF57"/>
    <w:rsid w:val="7E13E825"/>
    <w:rsid w:val="7E145723"/>
    <w:rsid w:val="7E1540E9"/>
    <w:rsid w:val="7E15B50E"/>
    <w:rsid w:val="7E169897"/>
    <w:rsid w:val="7E16A131"/>
    <w:rsid w:val="7E182F4A"/>
    <w:rsid w:val="7E183844"/>
    <w:rsid w:val="7E186F69"/>
    <w:rsid w:val="7E1882C1"/>
    <w:rsid w:val="7E18AFB0"/>
    <w:rsid w:val="7E193C93"/>
    <w:rsid w:val="7E19839E"/>
    <w:rsid w:val="7E1994B8"/>
    <w:rsid w:val="7E19C091"/>
    <w:rsid w:val="7E1B4C5D"/>
    <w:rsid w:val="7E1C8D5E"/>
    <w:rsid w:val="7E1D1D8E"/>
    <w:rsid w:val="7E1D3758"/>
    <w:rsid w:val="7E1D69D8"/>
    <w:rsid w:val="7E1DDAEA"/>
    <w:rsid w:val="7E1EC103"/>
    <w:rsid w:val="7E1F81D3"/>
    <w:rsid w:val="7E1FC606"/>
    <w:rsid w:val="7E1FF0DB"/>
    <w:rsid w:val="7E206AFB"/>
    <w:rsid w:val="7E21EBCD"/>
    <w:rsid w:val="7E2231A3"/>
    <w:rsid w:val="7E22CA24"/>
    <w:rsid w:val="7E233DE6"/>
    <w:rsid w:val="7E246A8E"/>
    <w:rsid w:val="7E24A032"/>
    <w:rsid w:val="7E265826"/>
    <w:rsid w:val="7E267AD2"/>
    <w:rsid w:val="7E26A4D4"/>
    <w:rsid w:val="7E26EDDA"/>
    <w:rsid w:val="7E29CB22"/>
    <w:rsid w:val="7E2A5FE7"/>
    <w:rsid w:val="7E2AF264"/>
    <w:rsid w:val="7E2B9601"/>
    <w:rsid w:val="7E2C54AD"/>
    <w:rsid w:val="7E2D27B7"/>
    <w:rsid w:val="7E2F1E01"/>
    <w:rsid w:val="7E319689"/>
    <w:rsid w:val="7E319B6A"/>
    <w:rsid w:val="7E31D36A"/>
    <w:rsid w:val="7E3235F5"/>
    <w:rsid w:val="7E323DFE"/>
    <w:rsid w:val="7E324466"/>
    <w:rsid w:val="7E335A62"/>
    <w:rsid w:val="7E34DF4F"/>
    <w:rsid w:val="7E35F9E1"/>
    <w:rsid w:val="7E380BF6"/>
    <w:rsid w:val="7E38859C"/>
    <w:rsid w:val="7E3893B2"/>
    <w:rsid w:val="7E38E67E"/>
    <w:rsid w:val="7E3A1285"/>
    <w:rsid w:val="7E3A19A8"/>
    <w:rsid w:val="7E3C61B9"/>
    <w:rsid w:val="7E3DD057"/>
    <w:rsid w:val="7E3EC228"/>
    <w:rsid w:val="7E3F50A8"/>
    <w:rsid w:val="7E3F7DB0"/>
    <w:rsid w:val="7E3F947A"/>
    <w:rsid w:val="7E40182D"/>
    <w:rsid w:val="7E40480D"/>
    <w:rsid w:val="7E42A710"/>
    <w:rsid w:val="7E42E81E"/>
    <w:rsid w:val="7E441915"/>
    <w:rsid w:val="7E448306"/>
    <w:rsid w:val="7E45775C"/>
    <w:rsid w:val="7E462528"/>
    <w:rsid w:val="7E48E82E"/>
    <w:rsid w:val="7E4986C0"/>
    <w:rsid w:val="7E4C6013"/>
    <w:rsid w:val="7E4CBAE4"/>
    <w:rsid w:val="7E4D1C4D"/>
    <w:rsid w:val="7E4D1F6E"/>
    <w:rsid w:val="7E4DC024"/>
    <w:rsid w:val="7E4DCD14"/>
    <w:rsid w:val="7E4EF20A"/>
    <w:rsid w:val="7E5009DB"/>
    <w:rsid w:val="7E50C34B"/>
    <w:rsid w:val="7E50FC75"/>
    <w:rsid w:val="7E51021F"/>
    <w:rsid w:val="7E5427BB"/>
    <w:rsid w:val="7E578BD0"/>
    <w:rsid w:val="7E579582"/>
    <w:rsid w:val="7E584212"/>
    <w:rsid w:val="7E587C2E"/>
    <w:rsid w:val="7E58B583"/>
    <w:rsid w:val="7E596451"/>
    <w:rsid w:val="7E59C38E"/>
    <w:rsid w:val="7E59CD75"/>
    <w:rsid w:val="7E5B209B"/>
    <w:rsid w:val="7E5B601E"/>
    <w:rsid w:val="7E5B8B50"/>
    <w:rsid w:val="7E5DB94A"/>
    <w:rsid w:val="7E5E78E8"/>
    <w:rsid w:val="7E5ECF79"/>
    <w:rsid w:val="7E602414"/>
    <w:rsid w:val="7E614DF5"/>
    <w:rsid w:val="7E625380"/>
    <w:rsid w:val="7E62CF0A"/>
    <w:rsid w:val="7E63BC45"/>
    <w:rsid w:val="7E63E878"/>
    <w:rsid w:val="7E64482A"/>
    <w:rsid w:val="7E64DDF6"/>
    <w:rsid w:val="7E6593CC"/>
    <w:rsid w:val="7E6A81C4"/>
    <w:rsid w:val="7E6B54F9"/>
    <w:rsid w:val="7E6D291A"/>
    <w:rsid w:val="7E71A19F"/>
    <w:rsid w:val="7E730D18"/>
    <w:rsid w:val="7E731205"/>
    <w:rsid w:val="7E746B59"/>
    <w:rsid w:val="7E75AB46"/>
    <w:rsid w:val="7E76593B"/>
    <w:rsid w:val="7E76669D"/>
    <w:rsid w:val="7E766C14"/>
    <w:rsid w:val="7E774850"/>
    <w:rsid w:val="7E79E148"/>
    <w:rsid w:val="7E7ABC6D"/>
    <w:rsid w:val="7E7B1F41"/>
    <w:rsid w:val="7E7C4F1C"/>
    <w:rsid w:val="7E7D4FCA"/>
    <w:rsid w:val="7E7F806E"/>
    <w:rsid w:val="7E800B3A"/>
    <w:rsid w:val="7E814C79"/>
    <w:rsid w:val="7E825739"/>
    <w:rsid w:val="7E82A0ED"/>
    <w:rsid w:val="7E834F81"/>
    <w:rsid w:val="7E83F942"/>
    <w:rsid w:val="7E8556FC"/>
    <w:rsid w:val="7E857367"/>
    <w:rsid w:val="7E85F93C"/>
    <w:rsid w:val="7E869B49"/>
    <w:rsid w:val="7E86F667"/>
    <w:rsid w:val="7E87DA2F"/>
    <w:rsid w:val="7E88F9F0"/>
    <w:rsid w:val="7E89CF72"/>
    <w:rsid w:val="7E8B94B6"/>
    <w:rsid w:val="7E8C102F"/>
    <w:rsid w:val="7E8CDB48"/>
    <w:rsid w:val="7E8E6243"/>
    <w:rsid w:val="7E8E7A97"/>
    <w:rsid w:val="7E8F3D73"/>
    <w:rsid w:val="7E8F65B4"/>
    <w:rsid w:val="7E92759D"/>
    <w:rsid w:val="7E92F189"/>
    <w:rsid w:val="7E948000"/>
    <w:rsid w:val="7E949517"/>
    <w:rsid w:val="7E94CA02"/>
    <w:rsid w:val="7E9517D4"/>
    <w:rsid w:val="7E951945"/>
    <w:rsid w:val="7E95C7A3"/>
    <w:rsid w:val="7E966D8F"/>
    <w:rsid w:val="7E97B6DB"/>
    <w:rsid w:val="7E97EC8C"/>
    <w:rsid w:val="7E98DF22"/>
    <w:rsid w:val="7E9B1827"/>
    <w:rsid w:val="7E9B4B02"/>
    <w:rsid w:val="7E9B6561"/>
    <w:rsid w:val="7E9BBCEF"/>
    <w:rsid w:val="7E9CFA36"/>
    <w:rsid w:val="7E9DC077"/>
    <w:rsid w:val="7E9E78FA"/>
    <w:rsid w:val="7E9FC3A6"/>
    <w:rsid w:val="7EA016BE"/>
    <w:rsid w:val="7EA0E44E"/>
    <w:rsid w:val="7EA1E59F"/>
    <w:rsid w:val="7EA34BF2"/>
    <w:rsid w:val="7EA3F665"/>
    <w:rsid w:val="7EA45CE8"/>
    <w:rsid w:val="7EA4B852"/>
    <w:rsid w:val="7EA5E6CA"/>
    <w:rsid w:val="7EA7B738"/>
    <w:rsid w:val="7EA86451"/>
    <w:rsid w:val="7EA8BD8E"/>
    <w:rsid w:val="7EAA730B"/>
    <w:rsid w:val="7EAB075B"/>
    <w:rsid w:val="7EAD4A30"/>
    <w:rsid w:val="7EAE0CBD"/>
    <w:rsid w:val="7EAE6727"/>
    <w:rsid w:val="7EAFC0B8"/>
    <w:rsid w:val="7EB0C2C9"/>
    <w:rsid w:val="7EB1C89C"/>
    <w:rsid w:val="7EB22328"/>
    <w:rsid w:val="7EB258C5"/>
    <w:rsid w:val="7EB390B2"/>
    <w:rsid w:val="7EB49492"/>
    <w:rsid w:val="7EB4F372"/>
    <w:rsid w:val="7EB69478"/>
    <w:rsid w:val="7EB8F9FF"/>
    <w:rsid w:val="7EB97BBF"/>
    <w:rsid w:val="7EBAE940"/>
    <w:rsid w:val="7EBB0479"/>
    <w:rsid w:val="7EBBD4DC"/>
    <w:rsid w:val="7EBF5D95"/>
    <w:rsid w:val="7EBF8A57"/>
    <w:rsid w:val="7EBFD72A"/>
    <w:rsid w:val="7EBFE35A"/>
    <w:rsid w:val="7EBFFC0E"/>
    <w:rsid w:val="7EC16E3E"/>
    <w:rsid w:val="7EC388E5"/>
    <w:rsid w:val="7EC52967"/>
    <w:rsid w:val="7EC6B0C7"/>
    <w:rsid w:val="7EC777C7"/>
    <w:rsid w:val="7EC87AC7"/>
    <w:rsid w:val="7EC9BE0A"/>
    <w:rsid w:val="7ECB1739"/>
    <w:rsid w:val="7ECB6ACD"/>
    <w:rsid w:val="7ECBCED1"/>
    <w:rsid w:val="7ECBFF3A"/>
    <w:rsid w:val="7ECC8D23"/>
    <w:rsid w:val="7ECEB145"/>
    <w:rsid w:val="7ED3BE6E"/>
    <w:rsid w:val="7ED5FCC4"/>
    <w:rsid w:val="7ED79C45"/>
    <w:rsid w:val="7ED85592"/>
    <w:rsid w:val="7ED893B6"/>
    <w:rsid w:val="7ED9B8E2"/>
    <w:rsid w:val="7EDBC83F"/>
    <w:rsid w:val="7EDBEDAD"/>
    <w:rsid w:val="7EDC4DA9"/>
    <w:rsid w:val="7EDC6F85"/>
    <w:rsid w:val="7EDCE457"/>
    <w:rsid w:val="7EDD32AF"/>
    <w:rsid w:val="7EDD6F80"/>
    <w:rsid w:val="7EDEF9B0"/>
    <w:rsid w:val="7EDF2E6D"/>
    <w:rsid w:val="7EE13AEF"/>
    <w:rsid w:val="7EE23462"/>
    <w:rsid w:val="7EE23BF2"/>
    <w:rsid w:val="7EE30DBC"/>
    <w:rsid w:val="7EE5800C"/>
    <w:rsid w:val="7EE7323C"/>
    <w:rsid w:val="7EE7D2CC"/>
    <w:rsid w:val="7EE80EE0"/>
    <w:rsid w:val="7EE81BC8"/>
    <w:rsid w:val="7EE8CA16"/>
    <w:rsid w:val="7EE91190"/>
    <w:rsid w:val="7EEA187B"/>
    <w:rsid w:val="7EEA40A4"/>
    <w:rsid w:val="7EEA67BF"/>
    <w:rsid w:val="7EEADD64"/>
    <w:rsid w:val="7EEB57ED"/>
    <w:rsid w:val="7EEF143F"/>
    <w:rsid w:val="7EF01622"/>
    <w:rsid w:val="7EF2AF43"/>
    <w:rsid w:val="7EF2BD8C"/>
    <w:rsid w:val="7EF3284F"/>
    <w:rsid w:val="7EF33F79"/>
    <w:rsid w:val="7EF7068E"/>
    <w:rsid w:val="7EF736FA"/>
    <w:rsid w:val="7EF7E8C4"/>
    <w:rsid w:val="7EF8913E"/>
    <w:rsid w:val="7EF914D3"/>
    <w:rsid w:val="7EFD2082"/>
    <w:rsid w:val="7EFD47E2"/>
    <w:rsid w:val="7EFFC78D"/>
    <w:rsid w:val="7F003A6B"/>
    <w:rsid w:val="7F006308"/>
    <w:rsid w:val="7F015A18"/>
    <w:rsid w:val="7F02877F"/>
    <w:rsid w:val="7F038142"/>
    <w:rsid w:val="7F03EE3E"/>
    <w:rsid w:val="7F05D764"/>
    <w:rsid w:val="7F084834"/>
    <w:rsid w:val="7F08A4B9"/>
    <w:rsid w:val="7F08CA57"/>
    <w:rsid w:val="7F0A904A"/>
    <w:rsid w:val="7F0D0185"/>
    <w:rsid w:val="7F0D4EA9"/>
    <w:rsid w:val="7F0E0E29"/>
    <w:rsid w:val="7F110BBB"/>
    <w:rsid w:val="7F1157A8"/>
    <w:rsid w:val="7F11D2DF"/>
    <w:rsid w:val="7F14368E"/>
    <w:rsid w:val="7F150AEB"/>
    <w:rsid w:val="7F179568"/>
    <w:rsid w:val="7F17DC0D"/>
    <w:rsid w:val="7F18196C"/>
    <w:rsid w:val="7F1828DC"/>
    <w:rsid w:val="7F18A9BF"/>
    <w:rsid w:val="7F1A06BE"/>
    <w:rsid w:val="7F1CE339"/>
    <w:rsid w:val="7F1CF1D6"/>
    <w:rsid w:val="7F1EA999"/>
    <w:rsid w:val="7F216A44"/>
    <w:rsid w:val="7F21843A"/>
    <w:rsid w:val="7F21E4C4"/>
    <w:rsid w:val="7F21F312"/>
    <w:rsid w:val="7F22D088"/>
    <w:rsid w:val="7F231150"/>
    <w:rsid w:val="7F23D1A6"/>
    <w:rsid w:val="7F240445"/>
    <w:rsid w:val="7F256E67"/>
    <w:rsid w:val="7F260F9D"/>
    <w:rsid w:val="7F266EEE"/>
    <w:rsid w:val="7F26C44A"/>
    <w:rsid w:val="7F284030"/>
    <w:rsid w:val="7F29A493"/>
    <w:rsid w:val="7F2A33D2"/>
    <w:rsid w:val="7F2AF1C8"/>
    <w:rsid w:val="7F2B554F"/>
    <w:rsid w:val="7F2D7850"/>
    <w:rsid w:val="7F2DC96D"/>
    <w:rsid w:val="7F2E1F9B"/>
    <w:rsid w:val="7F2E6431"/>
    <w:rsid w:val="7F2E78CB"/>
    <w:rsid w:val="7F30E092"/>
    <w:rsid w:val="7F30F883"/>
    <w:rsid w:val="7F315BF5"/>
    <w:rsid w:val="7F315FD2"/>
    <w:rsid w:val="7F317CEB"/>
    <w:rsid w:val="7F34495C"/>
    <w:rsid w:val="7F348B14"/>
    <w:rsid w:val="7F35664F"/>
    <w:rsid w:val="7F360109"/>
    <w:rsid w:val="7F37ECB1"/>
    <w:rsid w:val="7F386095"/>
    <w:rsid w:val="7F38AE63"/>
    <w:rsid w:val="7F3AAC80"/>
    <w:rsid w:val="7F3CBF19"/>
    <w:rsid w:val="7F3E0AAA"/>
    <w:rsid w:val="7F3E3A8C"/>
    <w:rsid w:val="7F3E9275"/>
    <w:rsid w:val="7F3F814E"/>
    <w:rsid w:val="7F40A7FE"/>
    <w:rsid w:val="7F411320"/>
    <w:rsid w:val="7F42666A"/>
    <w:rsid w:val="7F4282C5"/>
    <w:rsid w:val="7F43D736"/>
    <w:rsid w:val="7F4773F9"/>
    <w:rsid w:val="7F49AE03"/>
    <w:rsid w:val="7F4A8EEA"/>
    <w:rsid w:val="7F4DD28C"/>
    <w:rsid w:val="7F4F3200"/>
    <w:rsid w:val="7F4F822D"/>
    <w:rsid w:val="7F4FE3BD"/>
    <w:rsid w:val="7F50E36D"/>
    <w:rsid w:val="7F50FB9D"/>
    <w:rsid w:val="7F51C225"/>
    <w:rsid w:val="7F525E91"/>
    <w:rsid w:val="7F5372C0"/>
    <w:rsid w:val="7F54524E"/>
    <w:rsid w:val="7F56A968"/>
    <w:rsid w:val="7F583AFA"/>
    <w:rsid w:val="7F585047"/>
    <w:rsid w:val="7F592E34"/>
    <w:rsid w:val="7F59C1B4"/>
    <w:rsid w:val="7F59C4D4"/>
    <w:rsid w:val="7F5A7536"/>
    <w:rsid w:val="7F5B918D"/>
    <w:rsid w:val="7F5DC0BB"/>
    <w:rsid w:val="7F5EEA81"/>
    <w:rsid w:val="7F5EFE63"/>
    <w:rsid w:val="7F5FAF3D"/>
    <w:rsid w:val="7F60B495"/>
    <w:rsid w:val="7F612BFF"/>
    <w:rsid w:val="7F61D748"/>
    <w:rsid w:val="7F62E38B"/>
    <w:rsid w:val="7F634FC5"/>
    <w:rsid w:val="7F63AEFB"/>
    <w:rsid w:val="7F64E593"/>
    <w:rsid w:val="7F64F1E1"/>
    <w:rsid w:val="7F650488"/>
    <w:rsid w:val="7F68E327"/>
    <w:rsid w:val="7F69F35C"/>
    <w:rsid w:val="7F6AC5FD"/>
    <w:rsid w:val="7F6DFE5E"/>
    <w:rsid w:val="7F6FDAA3"/>
    <w:rsid w:val="7F716BBC"/>
    <w:rsid w:val="7F716BF3"/>
    <w:rsid w:val="7F71C2C6"/>
    <w:rsid w:val="7F72882F"/>
    <w:rsid w:val="7F73DA03"/>
    <w:rsid w:val="7F742D68"/>
    <w:rsid w:val="7F758EEE"/>
    <w:rsid w:val="7F77A9D0"/>
    <w:rsid w:val="7F7AB253"/>
    <w:rsid w:val="7F7BB9B5"/>
    <w:rsid w:val="7F7D2900"/>
    <w:rsid w:val="7F80DDD2"/>
    <w:rsid w:val="7F81BE32"/>
    <w:rsid w:val="7F81E0EF"/>
    <w:rsid w:val="7F81F3D3"/>
    <w:rsid w:val="7F83403E"/>
    <w:rsid w:val="7F836171"/>
    <w:rsid w:val="7F858F7F"/>
    <w:rsid w:val="7F85F1DC"/>
    <w:rsid w:val="7F87819D"/>
    <w:rsid w:val="7F881505"/>
    <w:rsid w:val="7F88CC95"/>
    <w:rsid w:val="7F8B9913"/>
    <w:rsid w:val="7F8BF213"/>
    <w:rsid w:val="7F8C0FEA"/>
    <w:rsid w:val="7F8F5184"/>
    <w:rsid w:val="7F90103A"/>
    <w:rsid w:val="7F903113"/>
    <w:rsid w:val="7F90999A"/>
    <w:rsid w:val="7F90B4D2"/>
    <w:rsid w:val="7F949039"/>
    <w:rsid w:val="7F956E77"/>
    <w:rsid w:val="7F956F61"/>
    <w:rsid w:val="7F95B391"/>
    <w:rsid w:val="7F95ECE2"/>
    <w:rsid w:val="7F97E078"/>
    <w:rsid w:val="7F985B3B"/>
    <w:rsid w:val="7F988705"/>
    <w:rsid w:val="7F98D2FD"/>
    <w:rsid w:val="7F9A395B"/>
    <w:rsid w:val="7F9B77D1"/>
    <w:rsid w:val="7F9C261A"/>
    <w:rsid w:val="7F9CBF44"/>
    <w:rsid w:val="7F9E6CF7"/>
    <w:rsid w:val="7F9EC841"/>
    <w:rsid w:val="7F9FEA5E"/>
    <w:rsid w:val="7FA34971"/>
    <w:rsid w:val="7FA3EE34"/>
    <w:rsid w:val="7FA3FB51"/>
    <w:rsid w:val="7FA432E0"/>
    <w:rsid w:val="7FA7C4DE"/>
    <w:rsid w:val="7FA88001"/>
    <w:rsid w:val="7FA8A428"/>
    <w:rsid w:val="7FA92B45"/>
    <w:rsid w:val="7FA953CF"/>
    <w:rsid w:val="7FA9CA9F"/>
    <w:rsid w:val="7FA9F640"/>
    <w:rsid w:val="7FAB5E9B"/>
    <w:rsid w:val="7FAC04C0"/>
    <w:rsid w:val="7FAC746F"/>
    <w:rsid w:val="7FAF3749"/>
    <w:rsid w:val="7FAFC54C"/>
    <w:rsid w:val="7FB0DD26"/>
    <w:rsid w:val="7FB10069"/>
    <w:rsid w:val="7FB2D0D2"/>
    <w:rsid w:val="7FB31D63"/>
    <w:rsid w:val="7FB553FF"/>
    <w:rsid w:val="7FB5D780"/>
    <w:rsid w:val="7FB61B63"/>
    <w:rsid w:val="7FB6C642"/>
    <w:rsid w:val="7FB75773"/>
    <w:rsid w:val="7FB76AFB"/>
    <w:rsid w:val="7FB9D367"/>
    <w:rsid w:val="7FBB0E97"/>
    <w:rsid w:val="7FBDE5FD"/>
    <w:rsid w:val="7FBEF5F0"/>
    <w:rsid w:val="7FC04C1E"/>
    <w:rsid w:val="7FC26565"/>
    <w:rsid w:val="7FC4881D"/>
    <w:rsid w:val="7FC4A8FA"/>
    <w:rsid w:val="7FC4AE68"/>
    <w:rsid w:val="7FC4D2C6"/>
    <w:rsid w:val="7FC51852"/>
    <w:rsid w:val="7FC5631E"/>
    <w:rsid w:val="7FC58780"/>
    <w:rsid w:val="7FC5B79F"/>
    <w:rsid w:val="7FC86048"/>
    <w:rsid w:val="7FC87522"/>
    <w:rsid w:val="7FCA4FEB"/>
    <w:rsid w:val="7FCAFCA8"/>
    <w:rsid w:val="7FCCA160"/>
    <w:rsid w:val="7FCCE75A"/>
    <w:rsid w:val="7FCCE807"/>
    <w:rsid w:val="7FCDC1A1"/>
    <w:rsid w:val="7FCF9E4E"/>
    <w:rsid w:val="7FCFE8AD"/>
    <w:rsid w:val="7FD02C6A"/>
    <w:rsid w:val="7FD0A56F"/>
    <w:rsid w:val="7FD1751F"/>
    <w:rsid w:val="7FD253F0"/>
    <w:rsid w:val="7FD25782"/>
    <w:rsid w:val="7FD2DEDF"/>
    <w:rsid w:val="7FD324AC"/>
    <w:rsid w:val="7FD4F351"/>
    <w:rsid w:val="7FD62131"/>
    <w:rsid w:val="7FD78EAD"/>
    <w:rsid w:val="7FD7C842"/>
    <w:rsid w:val="7FD89F00"/>
    <w:rsid w:val="7FD8B635"/>
    <w:rsid w:val="7FDA76FF"/>
    <w:rsid w:val="7FDABF97"/>
    <w:rsid w:val="7FDC1DC1"/>
    <w:rsid w:val="7FDC6B92"/>
    <w:rsid w:val="7FDCC678"/>
    <w:rsid w:val="7FDD1EA0"/>
    <w:rsid w:val="7FDE9386"/>
    <w:rsid w:val="7FE0947B"/>
    <w:rsid w:val="7FE24D02"/>
    <w:rsid w:val="7FE2879B"/>
    <w:rsid w:val="7FE2F236"/>
    <w:rsid w:val="7FE400D2"/>
    <w:rsid w:val="7FE4B8D9"/>
    <w:rsid w:val="7FE50460"/>
    <w:rsid w:val="7FE521E9"/>
    <w:rsid w:val="7FE58444"/>
    <w:rsid w:val="7FE7867C"/>
    <w:rsid w:val="7FE85D50"/>
    <w:rsid w:val="7FE8BFB9"/>
    <w:rsid w:val="7FEA93E1"/>
    <w:rsid w:val="7FEB8538"/>
    <w:rsid w:val="7FEBEFEF"/>
    <w:rsid w:val="7FECA8D7"/>
    <w:rsid w:val="7FEDFB5E"/>
    <w:rsid w:val="7FEE1D8E"/>
    <w:rsid w:val="7FEE2E3C"/>
    <w:rsid w:val="7FEE7024"/>
    <w:rsid w:val="7FF09F83"/>
    <w:rsid w:val="7FF0B620"/>
    <w:rsid w:val="7FF0E0EF"/>
    <w:rsid w:val="7FF1247D"/>
    <w:rsid w:val="7FF38562"/>
    <w:rsid w:val="7FF57B29"/>
    <w:rsid w:val="7FF5A716"/>
    <w:rsid w:val="7FF5D48B"/>
    <w:rsid w:val="7FF60CD8"/>
    <w:rsid w:val="7FF660A0"/>
    <w:rsid w:val="7FF80531"/>
    <w:rsid w:val="7FFB0B39"/>
    <w:rsid w:val="7FFBBE11"/>
    <w:rsid w:val="7FFD0241"/>
    <w:rsid w:val="7FFD07C1"/>
    <w:rsid w:val="7FFDFFAD"/>
    <w:rsid w:val="7FFEB9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F1DD32"/>
  <w15:docId w15:val="{0A5917D6-3EDB-4B32-A8DF-6E3371DD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19A"/>
    <w:pPr>
      <w:spacing w:after="0" w:line="240" w:lineRule="auto"/>
    </w:pPr>
    <w:rPr>
      <w:rFonts w:ascii="Calibri" w:hAnsi="Calibri" w:cs="Times New Roman"/>
      <w:sz w:val="22"/>
      <w:szCs w:val="24"/>
      <w:lang w:eastAsia="zh-CN"/>
    </w:rPr>
  </w:style>
  <w:style w:type="paragraph" w:styleId="Heading1">
    <w:name w:val="heading 1"/>
    <w:basedOn w:val="Normal"/>
    <w:next w:val="Normal"/>
    <w:link w:val="Heading1Char"/>
    <w:uiPriority w:val="99"/>
    <w:qFormat/>
    <w:rsid w:val="00603FC9"/>
    <w:pPr>
      <w:keepNext/>
      <w:keepLines/>
      <w:pBdr>
        <w:bottom w:val="single" w:sz="18" w:space="2" w:color="B5333C" w:themeColor="accent2"/>
      </w:pBdr>
      <w:spacing w:before="360" w:after="120"/>
      <w:outlineLvl w:val="0"/>
    </w:pPr>
    <w:rPr>
      <w:rFonts w:asciiTheme="majorHAnsi" w:eastAsiaTheme="majorEastAsia" w:hAnsiTheme="majorHAnsi" w:cstheme="majorBidi"/>
      <w:b/>
      <w:caps/>
      <w:color w:val="808080" w:themeColor="background1" w:themeShade="80"/>
      <w:sz w:val="40"/>
      <w:szCs w:val="40"/>
    </w:rPr>
  </w:style>
  <w:style w:type="paragraph" w:styleId="Heading2">
    <w:name w:val="heading 2"/>
    <w:basedOn w:val="Normal"/>
    <w:next w:val="Normal"/>
    <w:link w:val="Heading2Char"/>
    <w:uiPriority w:val="99"/>
    <w:unhideWhenUsed/>
    <w:qFormat/>
    <w:rsid w:val="0062689D"/>
    <w:pPr>
      <w:keepNext/>
      <w:keepLines/>
      <w:spacing w:before="120"/>
      <w:jc w:val="center"/>
      <w:outlineLvl w:val="1"/>
    </w:pPr>
    <w:rPr>
      <w:rFonts w:asciiTheme="majorHAnsi" w:eastAsiaTheme="majorEastAsia" w:hAnsiTheme="majorHAnsi" w:cstheme="majorBidi"/>
      <w:b/>
      <w:color w:val="B5333C" w:themeColor="accent2"/>
      <w:sz w:val="40"/>
      <w:szCs w:val="36"/>
    </w:rPr>
  </w:style>
  <w:style w:type="paragraph" w:styleId="Heading3">
    <w:name w:val="heading 3"/>
    <w:basedOn w:val="Normal"/>
    <w:next w:val="Normal"/>
    <w:link w:val="Heading3Char"/>
    <w:uiPriority w:val="9"/>
    <w:unhideWhenUsed/>
    <w:qFormat/>
    <w:rsid w:val="003F2ED5"/>
    <w:pPr>
      <w:keepNext/>
      <w:keepLines/>
      <w:spacing w:before="120" w:after="80"/>
      <w:outlineLvl w:val="2"/>
    </w:pPr>
    <w:rPr>
      <w:rFonts w:eastAsiaTheme="majorEastAsia" w:cstheme="majorBidi"/>
      <w:b/>
      <w:color w:val="572A4C" w:themeColor="accent5"/>
      <w:sz w:val="36"/>
      <w:szCs w:val="32"/>
    </w:rPr>
  </w:style>
  <w:style w:type="paragraph" w:styleId="Heading4">
    <w:name w:val="heading 4"/>
    <w:basedOn w:val="Normal"/>
    <w:next w:val="Normal"/>
    <w:link w:val="Heading4Char"/>
    <w:uiPriority w:val="9"/>
    <w:unhideWhenUsed/>
    <w:qFormat/>
    <w:rsid w:val="00BB4265"/>
    <w:pPr>
      <w:keepNext/>
      <w:keepLines/>
      <w:spacing w:before="120" w:after="80"/>
      <w:outlineLvl w:val="3"/>
    </w:pPr>
    <w:rPr>
      <w:rFonts w:eastAsiaTheme="majorEastAsia" w:cstheme="majorBidi"/>
      <w:b/>
      <w:iCs/>
      <w:color w:val="808080" w:themeColor="background1" w:themeShade="80"/>
      <w:szCs w:val="22"/>
    </w:rPr>
  </w:style>
  <w:style w:type="paragraph" w:styleId="Heading5">
    <w:name w:val="heading 5"/>
    <w:basedOn w:val="Normal"/>
    <w:next w:val="Normal"/>
    <w:link w:val="Heading5Char"/>
    <w:uiPriority w:val="9"/>
    <w:unhideWhenUsed/>
    <w:qFormat/>
    <w:rsid w:val="004E7A5E"/>
    <w:pPr>
      <w:keepNext/>
      <w:keepLines/>
      <w:spacing w:before="80"/>
      <w:outlineLvl w:val="4"/>
    </w:pPr>
    <w:rPr>
      <w:rFonts w:asciiTheme="majorHAnsi" w:eastAsiaTheme="majorEastAsia" w:hAnsiTheme="majorHAnsi" w:cstheme="majorBidi"/>
      <w:color w:val="87262C" w:themeColor="accent2" w:themeShade="BF"/>
      <w:sz w:val="24"/>
    </w:rPr>
  </w:style>
  <w:style w:type="paragraph" w:styleId="Heading6">
    <w:name w:val="heading 6"/>
    <w:basedOn w:val="Normal"/>
    <w:next w:val="Normal"/>
    <w:link w:val="Heading6Char"/>
    <w:uiPriority w:val="9"/>
    <w:unhideWhenUsed/>
    <w:qFormat/>
    <w:rsid w:val="004E7A5E"/>
    <w:pPr>
      <w:keepNext/>
      <w:keepLines/>
      <w:spacing w:before="80"/>
      <w:outlineLvl w:val="5"/>
    </w:pPr>
    <w:rPr>
      <w:rFonts w:asciiTheme="majorHAnsi" w:eastAsiaTheme="majorEastAsia" w:hAnsiTheme="majorHAnsi" w:cstheme="majorBidi"/>
      <w:i/>
      <w:iCs/>
      <w:color w:val="5A191E" w:themeColor="accent2" w:themeShade="80"/>
      <w:sz w:val="24"/>
    </w:rPr>
  </w:style>
  <w:style w:type="paragraph" w:styleId="Heading7">
    <w:name w:val="heading 7"/>
    <w:basedOn w:val="Normal"/>
    <w:next w:val="Normal"/>
    <w:link w:val="Heading7Char"/>
    <w:uiPriority w:val="9"/>
    <w:unhideWhenUsed/>
    <w:qFormat/>
    <w:rsid w:val="007A3C1D"/>
    <w:pPr>
      <w:keepNext/>
      <w:keepLines/>
      <w:spacing w:before="80" w:after="80"/>
      <w:outlineLvl w:val="6"/>
    </w:pPr>
    <w:rPr>
      <w:rFonts w:asciiTheme="majorHAnsi" w:eastAsiaTheme="majorEastAsia" w:hAnsiTheme="majorHAnsi" w:cstheme="majorBidi"/>
      <w:b/>
      <w:bCs/>
      <w:color w:val="5A191E" w:themeColor="accent2" w:themeShade="80"/>
      <w:sz w:val="24"/>
      <w:szCs w:val="22"/>
    </w:rPr>
  </w:style>
  <w:style w:type="paragraph" w:styleId="Heading8">
    <w:name w:val="heading 8"/>
    <w:basedOn w:val="Normal"/>
    <w:next w:val="Normal"/>
    <w:link w:val="Heading8Char"/>
    <w:uiPriority w:val="9"/>
    <w:unhideWhenUsed/>
    <w:qFormat/>
    <w:rsid w:val="00DD70B8"/>
    <w:pPr>
      <w:keepNext/>
      <w:keepLines/>
      <w:spacing w:before="80"/>
      <w:outlineLvl w:val="7"/>
    </w:pPr>
    <w:rPr>
      <w:rFonts w:asciiTheme="majorHAnsi" w:eastAsiaTheme="majorEastAsia" w:hAnsiTheme="majorHAnsi" w:cstheme="majorBidi"/>
      <w:color w:val="5A191E" w:themeColor="accent2" w:themeShade="80"/>
      <w:sz w:val="24"/>
      <w:szCs w:val="22"/>
    </w:rPr>
  </w:style>
  <w:style w:type="paragraph" w:styleId="Heading9">
    <w:name w:val="heading 9"/>
    <w:basedOn w:val="Normal"/>
    <w:next w:val="Normal"/>
    <w:link w:val="Heading9Char"/>
    <w:uiPriority w:val="9"/>
    <w:unhideWhenUsed/>
    <w:qFormat/>
    <w:rsid w:val="004E7A5E"/>
    <w:pPr>
      <w:keepNext/>
      <w:keepLines/>
      <w:spacing w:before="80"/>
      <w:outlineLvl w:val="8"/>
    </w:pPr>
    <w:rPr>
      <w:rFonts w:asciiTheme="majorHAnsi" w:eastAsiaTheme="majorEastAsia" w:hAnsiTheme="majorHAnsi" w:cstheme="majorBidi"/>
      <w:i/>
      <w:iCs/>
      <w:color w:val="5A191E"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095158"/>
    <w:rPr>
      <w:rFonts w:ascii="Calibri" w:hAnsi="Calibri"/>
      <w:b/>
      <w:bCs/>
      <w:i w:val="0"/>
      <w:iCs/>
      <w:caps w:val="0"/>
      <w:smallCaps w:val="0"/>
      <w:strike w:val="0"/>
      <w:dstrike w:val="0"/>
      <w:color w:val="B5333C" w:themeColor="accent2"/>
      <w:sz w:val="24"/>
    </w:rPr>
  </w:style>
  <w:style w:type="paragraph" w:customStyle="1" w:styleId="None">
    <w:name w:val="None"/>
    <w:rsid w:val="00A63F20"/>
    <w:pPr>
      <w:numPr>
        <w:numId w:val="46"/>
      </w:numPr>
      <w:tabs>
        <w:tab w:val="num" w:pos="1387"/>
      </w:tabs>
    </w:pPr>
    <w:rPr>
      <w:rFonts w:ascii="Calibri" w:eastAsia="Times New Roman" w:hAnsi="Calibri" w:cs="Times New Roman"/>
    </w:rPr>
  </w:style>
  <w:style w:type="character" w:styleId="Hyperlink">
    <w:name w:val="Hyperlink"/>
    <w:basedOn w:val="DefaultParagraphFont"/>
    <w:uiPriority w:val="99"/>
    <w:unhideWhenUsed/>
    <w:rsid w:val="00A63F20"/>
    <w:rPr>
      <w:color w:val="CC9900" w:themeColor="hyperlink"/>
      <w:u w:val="single"/>
    </w:rPr>
  </w:style>
  <w:style w:type="paragraph" w:styleId="ListParagraph">
    <w:name w:val="List Paragraph"/>
    <w:aliases w:val="LAR NOFA"/>
    <w:basedOn w:val="Normal"/>
    <w:uiPriority w:val="34"/>
    <w:qFormat/>
    <w:rsid w:val="00FD333C"/>
    <w:pPr>
      <w:ind w:left="720"/>
      <w:contextualSpacing/>
    </w:pPr>
  </w:style>
  <w:style w:type="paragraph" w:customStyle="1" w:styleId="n2letter">
    <w:name w:val="n2letter"/>
    <w:basedOn w:val="Normal"/>
    <w:link w:val="n2letterChar"/>
    <w:rsid w:val="00FD333C"/>
    <w:pPr>
      <w:spacing w:before="120"/>
      <w:ind w:left="360" w:hanging="360"/>
    </w:pPr>
    <w:rPr>
      <w:rFonts w:ascii="Tahoma" w:eastAsia="Times New Roman" w:hAnsi="Tahoma"/>
      <w:b/>
      <w:bCs/>
      <w:sz w:val="24"/>
    </w:rPr>
  </w:style>
  <w:style w:type="character" w:customStyle="1" w:styleId="n2letterChar">
    <w:name w:val="n2letter Char"/>
    <w:basedOn w:val="DefaultParagraphFont"/>
    <w:link w:val="n2letter"/>
    <w:rsid w:val="00FD333C"/>
    <w:rPr>
      <w:rFonts w:ascii="Tahoma" w:eastAsia="Times New Roman" w:hAnsi="Tahoma" w:cs="Times New Roman"/>
      <w:b/>
      <w:bCs/>
      <w:sz w:val="24"/>
      <w:szCs w:val="24"/>
    </w:rPr>
  </w:style>
  <w:style w:type="paragraph" w:customStyle="1" w:styleId="Body1">
    <w:name w:val="Body 1"/>
    <w:autoRedefine/>
    <w:rsid w:val="002D0B3C"/>
    <w:pPr>
      <w:framePr w:hSpace="180" w:wrap="around" w:vAnchor="text" w:hAnchor="margin" w:xAlign="center" w:y="-73"/>
      <w:spacing w:after="0" w:line="240" w:lineRule="auto"/>
      <w:ind w:left="720"/>
    </w:pPr>
    <w:rPr>
      <w:rFonts w:ascii="Times New Roman" w:eastAsia="Helvetica" w:hAnsi="Times New Roman" w:cs="Times New Roman"/>
      <w:szCs w:val="24"/>
    </w:rPr>
  </w:style>
  <w:style w:type="character" w:customStyle="1" w:styleId="Heading1Char">
    <w:name w:val="Heading 1 Char"/>
    <w:basedOn w:val="DefaultParagraphFont"/>
    <w:link w:val="Heading1"/>
    <w:uiPriority w:val="99"/>
    <w:rsid w:val="00603FC9"/>
    <w:rPr>
      <w:rFonts w:asciiTheme="majorHAnsi" w:eastAsiaTheme="majorEastAsia" w:hAnsiTheme="majorHAnsi" w:cstheme="majorBidi"/>
      <w:b/>
      <w:caps/>
      <w:color w:val="808080" w:themeColor="background1" w:themeShade="80"/>
      <w:sz w:val="40"/>
      <w:szCs w:val="40"/>
      <w:lang w:eastAsia="zh-CN"/>
    </w:rPr>
  </w:style>
  <w:style w:type="character" w:customStyle="1" w:styleId="Heading2Char">
    <w:name w:val="Heading 2 Char"/>
    <w:basedOn w:val="DefaultParagraphFont"/>
    <w:link w:val="Heading2"/>
    <w:uiPriority w:val="99"/>
    <w:rsid w:val="0062689D"/>
    <w:rPr>
      <w:rFonts w:asciiTheme="majorHAnsi" w:eastAsiaTheme="majorEastAsia" w:hAnsiTheme="majorHAnsi" w:cstheme="majorBidi"/>
      <w:b/>
      <w:color w:val="B5333C" w:themeColor="accent2"/>
      <w:sz w:val="40"/>
      <w:szCs w:val="36"/>
      <w:lang w:eastAsia="zh-CN"/>
    </w:rPr>
  </w:style>
  <w:style w:type="character" w:customStyle="1" w:styleId="Heading3Char">
    <w:name w:val="Heading 3 Char"/>
    <w:basedOn w:val="DefaultParagraphFont"/>
    <w:link w:val="Heading3"/>
    <w:uiPriority w:val="9"/>
    <w:rsid w:val="003F2ED5"/>
    <w:rPr>
      <w:rFonts w:ascii="Calibri" w:eastAsiaTheme="majorEastAsia" w:hAnsi="Calibri" w:cstheme="majorBidi"/>
      <w:b/>
      <w:color w:val="572A4C" w:themeColor="accent5"/>
      <w:sz w:val="36"/>
      <w:szCs w:val="32"/>
      <w:lang w:eastAsia="zh-CN"/>
    </w:rPr>
  </w:style>
  <w:style w:type="character" w:customStyle="1" w:styleId="Heading4Char">
    <w:name w:val="Heading 4 Char"/>
    <w:basedOn w:val="DefaultParagraphFont"/>
    <w:link w:val="Heading4"/>
    <w:uiPriority w:val="9"/>
    <w:rsid w:val="00BB4265"/>
    <w:rPr>
      <w:rFonts w:ascii="Calibri" w:eastAsiaTheme="majorEastAsia" w:hAnsi="Calibri" w:cstheme="majorBidi"/>
      <w:b/>
      <w:iCs/>
      <w:color w:val="808080" w:themeColor="background1" w:themeShade="80"/>
      <w:sz w:val="22"/>
      <w:szCs w:val="22"/>
      <w:lang w:eastAsia="zh-CN"/>
    </w:rPr>
  </w:style>
  <w:style w:type="paragraph" w:styleId="BalloonText">
    <w:name w:val="Balloon Text"/>
    <w:basedOn w:val="Normal"/>
    <w:link w:val="BalloonTextChar"/>
    <w:uiPriority w:val="99"/>
    <w:unhideWhenUsed/>
    <w:rsid w:val="008A552A"/>
    <w:rPr>
      <w:rFonts w:ascii="Segoe UI" w:hAnsi="Segoe UI" w:cs="Segoe UI"/>
      <w:sz w:val="18"/>
      <w:szCs w:val="18"/>
    </w:rPr>
  </w:style>
  <w:style w:type="character" w:customStyle="1" w:styleId="BalloonTextChar">
    <w:name w:val="Balloon Text Char"/>
    <w:basedOn w:val="DefaultParagraphFont"/>
    <w:link w:val="BalloonText"/>
    <w:uiPriority w:val="99"/>
    <w:rsid w:val="008A552A"/>
    <w:rPr>
      <w:rFonts w:ascii="Segoe UI" w:hAnsi="Segoe UI" w:cs="Segoe UI"/>
      <w:sz w:val="18"/>
      <w:szCs w:val="18"/>
    </w:rPr>
  </w:style>
  <w:style w:type="paragraph" w:styleId="TOCHeading">
    <w:name w:val="TOC Heading"/>
    <w:basedOn w:val="Heading1"/>
    <w:next w:val="Normal"/>
    <w:uiPriority w:val="39"/>
    <w:unhideWhenUsed/>
    <w:qFormat/>
    <w:rsid w:val="004E7A5E"/>
    <w:pPr>
      <w:outlineLvl w:val="9"/>
    </w:pPr>
  </w:style>
  <w:style w:type="paragraph" w:styleId="TOC2">
    <w:name w:val="toc 2"/>
    <w:basedOn w:val="Normal"/>
    <w:next w:val="Normal"/>
    <w:autoRedefine/>
    <w:uiPriority w:val="39"/>
    <w:unhideWhenUsed/>
    <w:qFormat/>
    <w:rsid w:val="00B229FC"/>
    <w:pPr>
      <w:ind w:left="216"/>
    </w:pPr>
  </w:style>
  <w:style w:type="paragraph" w:styleId="TOC1">
    <w:name w:val="toc 1"/>
    <w:basedOn w:val="Normal"/>
    <w:next w:val="Normal"/>
    <w:autoRedefine/>
    <w:uiPriority w:val="39"/>
    <w:unhideWhenUsed/>
    <w:qFormat/>
    <w:rsid w:val="004B1835"/>
    <w:pPr>
      <w:tabs>
        <w:tab w:val="right" w:leader="dot" w:pos="9926"/>
      </w:tabs>
      <w:spacing w:before="240"/>
    </w:pPr>
    <w:rPr>
      <w:b/>
    </w:rPr>
  </w:style>
  <w:style w:type="paragraph" w:styleId="TOC3">
    <w:name w:val="toc 3"/>
    <w:basedOn w:val="Normal"/>
    <w:next w:val="Normal"/>
    <w:autoRedefine/>
    <w:uiPriority w:val="39"/>
    <w:unhideWhenUsed/>
    <w:qFormat/>
    <w:rsid w:val="00E328B9"/>
    <w:pPr>
      <w:tabs>
        <w:tab w:val="right" w:leader="dot" w:pos="9926"/>
      </w:tabs>
      <w:ind w:left="446"/>
    </w:pPr>
    <w:rPr>
      <w:rFonts w:ascii="Century Gothic" w:eastAsiaTheme="majorEastAsia" w:hAnsi="Century Gothic"/>
      <w:noProof/>
      <w:lang w:eastAsia="en-US"/>
    </w:rPr>
  </w:style>
  <w:style w:type="table" w:customStyle="1" w:styleId="GridTable4-Accent11">
    <w:name w:val="Grid Table 4 - Accent 11"/>
    <w:basedOn w:val="TableNormal"/>
    <w:uiPriority w:val="49"/>
    <w:rsid w:val="006F4519"/>
    <w:pPr>
      <w:spacing w:after="0" w:line="240" w:lineRule="auto"/>
    </w:pPr>
    <w:tblPr>
      <w:tblStyleRowBandSize w:val="1"/>
      <w:tblStyleColBandSize w:val="1"/>
      <w:tblBorders>
        <w:top w:val="single" w:sz="4" w:space="0" w:color="D5C88A" w:themeColor="accent1" w:themeTint="99"/>
        <w:left w:val="single" w:sz="4" w:space="0" w:color="D5C88A" w:themeColor="accent1" w:themeTint="99"/>
        <w:bottom w:val="single" w:sz="4" w:space="0" w:color="D5C88A" w:themeColor="accent1" w:themeTint="99"/>
        <w:right w:val="single" w:sz="4" w:space="0" w:color="D5C88A" w:themeColor="accent1" w:themeTint="99"/>
        <w:insideH w:val="single" w:sz="4" w:space="0" w:color="D5C88A" w:themeColor="accent1" w:themeTint="99"/>
        <w:insideV w:val="single" w:sz="4" w:space="0" w:color="D5C88A" w:themeColor="accent1" w:themeTint="99"/>
      </w:tblBorders>
    </w:tblPr>
    <w:tblStylePr w:type="firstRow">
      <w:rPr>
        <w:b/>
        <w:bCs/>
        <w:color w:val="FFFFFF" w:themeColor="background1"/>
      </w:rPr>
      <w:tblPr/>
      <w:tcPr>
        <w:tcBorders>
          <w:top w:val="single" w:sz="4" w:space="0" w:color="B7A241" w:themeColor="accent1"/>
          <w:left w:val="single" w:sz="4" w:space="0" w:color="B7A241" w:themeColor="accent1"/>
          <w:bottom w:val="single" w:sz="4" w:space="0" w:color="B7A241" w:themeColor="accent1"/>
          <w:right w:val="single" w:sz="4" w:space="0" w:color="B7A241" w:themeColor="accent1"/>
          <w:insideH w:val="nil"/>
          <w:insideV w:val="nil"/>
        </w:tcBorders>
        <w:shd w:val="clear" w:color="auto" w:fill="B7A241" w:themeFill="accent1"/>
      </w:tcPr>
    </w:tblStylePr>
    <w:tblStylePr w:type="lastRow">
      <w:rPr>
        <w:b/>
        <w:bCs/>
      </w:rPr>
      <w:tblPr/>
      <w:tcPr>
        <w:tcBorders>
          <w:top w:val="double" w:sz="4" w:space="0" w:color="B7A241" w:themeColor="accent1"/>
        </w:tcBorders>
      </w:tcPr>
    </w:tblStylePr>
    <w:tblStylePr w:type="firstCol">
      <w:rPr>
        <w:b/>
        <w:bCs/>
      </w:rPr>
    </w:tblStylePr>
    <w:tblStylePr w:type="lastCol">
      <w:rPr>
        <w:b/>
        <w:bCs/>
      </w:rPr>
    </w:tblStylePr>
    <w:tblStylePr w:type="band1Vert">
      <w:tblPr/>
      <w:tcPr>
        <w:shd w:val="clear" w:color="auto" w:fill="F1ECD8" w:themeFill="accent1" w:themeFillTint="33"/>
      </w:tcPr>
    </w:tblStylePr>
    <w:tblStylePr w:type="band1Horz">
      <w:tblPr/>
      <w:tcPr>
        <w:shd w:val="clear" w:color="auto" w:fill="F1ECD8" w:themeFill="accent1" w:themeFillTint="33"/>
      </w:tcPr>
    </w:tblStylePr>
  </w:style>
  <w:style w:type="table" w:customStyle="1" w:styleId="PlainTable41">
    <w:name w:val="Plain Table 41"/>
    <w:basedOn w:val="TableNormal"/>
    <w:uiPriority w:val="44"/>
    <w:rsid w:val="00AC78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
    <w:name w:val="Grid Table 4 - Accent 51"/>
    <w:basedOn w:val="TableNormal"/>
    <w:uiPriority w:val="49"/>
    <w:rsid w:val="00AC7875"/>
    <w:pPr>
      <w:spacing w:after="0" w:line="240" w:lineRule="auto"/>
    </w:pPr>
    <w:tblPr>
      <w:tblStyleRowBandSize w:val="1"/>
      <w:tblStyleColBandSize w:val="1"/>
      <w:tblBorders>
        <w:top w:val="single" w:sz="4" w:space="0" w:color="B464A0" w:themeColor="accent5" w:themeTint="99"/>
        <w:left w:val="single" w:sz="4" w:space="0" w:color="B464A0" w:themeColor="accent5" w:themeTint="99"/>
        <w:bottom w:val="single" w:sz="4" w:space="0" w:color="B464A0" w:themeColor="accent5" w:themeTint="99"/>
        <w:right w:val="single" w:sz="4" w:space="0" w:color="B464A0" w:themeColor="accent5" w:themeTint="99"/>
        <w:insideH w:val="single" w:sz="4" w:space="0" w:color="B464A0" w:themeColor="accent5" w:themeTint="99"/>
        <w:insideV w:val="single" w:sz="4" w:space="0" w:color="B464A0" w:themeColor="accent5" w:themeTint="99"/>
      </w:tblBorders>
    </w:tblPr>
    <w:tblStylePr w:type="firstRow">
      <w:rPr>
        <w:b/>
        <w:bCs/>
        <w:color w:val="FFFFFF" w:themeColor="background1"/>
      </w:rPr>
      <w:tblPr/>
      <w:tcPr>
        <w:tcBorders>
          <w:top w:val="single" w:sz="4" w:space="0" w:color="572A4C" w:themeColor="accent5"/>
          <w:left w:val="single" w:sz="4" w:space="0" w:color="572A4C" w:themeColor="accent5"/>
          <w:bottom w:val="single" w:sz="4" w:space="0" w:color="572A4C" w:themeColor="accent5"/>
          <w:right w:val="single" w:sz="4" w:space="0" w:color="572A4C" w:themeColor="accent5"/>
          <w:insideH w:val="nil"/>
          <w:insideV w:val="nil"/>
        </w:tcBorders>
        <w:shd w:val="clear" w:color="auto" w:fill="572A4C" w:themeFill="accent5"/>
      </w:tcPr>
    </w:tblStylePr>
    <w:tblStylePr w:type="lastRow">
      <w:rPr>
        <w:b/>
        <w:bCs/>
      </w:rPr>
      <w:tblPr/>
      <w:tcPr>
        <w:tcBorders>
          <w:top w:val="double" w:sz="4" w:space="0" w:color="572A4C" w:themeColor="accent5"/>
        </w:tcBorders>
      </w:tcPr>
    </w:tblStylePr>
    <w:tblStylePr w:type="firstCol">
      <w:rPr>
        <w:b/>
        <w:bCs/>
      </w:rPr>
    </w:tblStylePr>
    <w:tblStylePr w:type="lastCol">
      <w:rPr>
        <w:b/>
        <w:bCs/>
      </w:rPr>
    </w:tblStylePr>
    <w:tblStylePr w:type="band1Vert">
      <w:tblPr/>
      <w:tcPr>
        <w:shd w:val="clear" w:color="auto" w:fill="E6CBDF" w:themeFill="accent5" w:themeFillTint="33"/>
      </w:tcPr>
    </w:tblStylePr>
    <w:tblStylePr w:type="band1Horz">
      <w:tblPr/>
      <w:tcPr>
        <w:shd w:val="clear" w:color="auto" w:fill="E6CBDF" w:themeFill="accent5" w:themeFillTint="33"/>
      </w:tcPr>
    </w:tblStylePr>
  </w:style>
  <w:style w:type="paragraph" w:customStyle="1" w:styleId="Heading11">
    <w:name w:val="Heading 11"/>
    <w:next w:val="Body1"/>
    <w:uiPriority w:val="99"/>
    <w:qFormat/>
    <w:rsid w:val="00BE68FF"/>
    <w:pPr>
      <w:keepNext/>
      <w:spacing w:before="240" w:after="60"/>
      <w:outlineLvl w:val="0"/>
    </w:pPr>
    <w:rPr>
      <w:rFonts w:ascii="Arial" w:eastAsia="ヒラギノ角ゴ Pro W3" w:hAnsi="Arial" w:cs="Times New Roman"/>
      <w:b/>
      <w:color w:val="000000"/>
      <w:kern w:val="32"/>
      <w:sz w:val="32"/>
    </w:rPr>
  </w:style>
  <w:style w:type="paragraph" w:customStyle="1" w:styleId="Default">
    <w:name w:val="Default"/>
    <w:rsid w:val="00DF34DB"/>
    <w:pPr>
      <w:autoSpaceDE w:val="0"/>
      <w:autoSpaceDN w:val="0"/>
      <w:adjustRightInd w:val="0"/>
    </w:pPr>
    <w:rPr>
      <w:rFonts w:ascii="Book Antiqua" w:eastAsia="Times New Roman" w:hAnsi="Book Antiqua" w:cs="Book Antiqua"/>
      <w:color w:val="000000"/>
      <w:sz w:val="24"/>
      <w:szCs w:val="24"/>
    </w:rPr>
  </w:style>
  <w:style w:type="table" w:styleId="TableGrid">
    <w:name w:val="Table Grid"/>
    <w:basedOn w:val="TableNormal"/>
    <w:uiPriority w:val="39"/>
    <w:rsid w:val="00C93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5253"/>
    <w:pPr>
      <w:tabs>
        <w:tab w:val="center" w:pos="4680"/>
        <w:tab w:val="right" w:pos="9360"/>
      </w:tabs>
    </w:pPr>
  </w:style>
  <w:style w:type="character" w:customStyle="1" w:styleId="HeaderChar">
    <w:name w:val="Header Char"/>
    <w:basedOn w:val="DefaultParagraphFont"/>
    <w:link w:val="Header"/>
    <w:uiPriority w:val="99"/>
    <w:rsid w:val="00195253"/>
  </w:style>
  <w:style w:type="paragraph" w:styleId="Footer">
    <w:name w:val="footer"/>
    <w:basedOn w:val="Normal"/>
    <w:link w:val="FooterChar"/>
    <w:uiPriority w:val="99"/>
    <w:unhideWhenUsed/>
    <w:qFormat/>
    <w:rsid w:val="00195253"/>
    <w:pPr>
      <w:tabs>
        <w:tab w:val="center" w:pos="4680"/>
        <w:tab w:val="right" w:pos="9360"/>
      </w:tabs>
    </w:pPr>
  </w:style>
  <w:style w:type="character" w:customStyle="1" w:styleId="FooterChar">
    <w:name w:val="Footer Char"/>
    <w:basedOn w:val="DefaultParagraphFont"/>
    <w:link w:val="Footer"/>
    <w:uiPriority w:val="99"/>
    <w:rsid w:val="00195253"/>
  </w:style>
  <w:style w:type="paragraph" w:styleId="NoSpacing">
    <w:name w:val="No Spacing"/>
    <w:link w:val="NoSpacingChar"/>
    <w:uiPriority w:val="1"/>
    <w:qFormat/>
    <w:rsid w:val="003476A4"/>
    <w:pPr>
      <w:spacing w:after="0" w:line="240" w:lineRule="auto"/>
    </w:pPr>
    <w:rPr>
      <w:rFonts w:ascii="Calibri" w:hAnsi="Calibri"/>
      <w:b/>
      <w:color w:val="808080" w:themeColor="background1" w:themeShade="80"/>
    </w:rPr>
  </w:style>
  <w:style w:type="character" w:customStyle="1" w:styleId="NoSpacingChar">
    <w:name w:val="No Spacing Char"/>
    <w:basedOn w:val="DefaultParagraphFont"/>
    <w:link w:val="NoSpacing"/>
    <w:uiPriority w:val="1"/>
    <w:rsid w:val="003476A4"/>
    <w:rPr>
      <w:rFonts w:ascii="Calibri" w:hAnsi="Calibri"/>
      <w:b/>
      <w:color w:val="808080" w:themeColor="background1" w:themeShade="80"/>
    </w:rPr>
  </w:style>
  <w:style w:type="character" w:styleId="CommentReference">
    <w:name w:val="annotation reference"/>
    <w:basedOn w:val="DefaultParagraphFont"/>
    <w:uiPriority w:val="99"/>
    <w:unhideWhenUsed/>
    <w:rsid w:val="001F6405"/>
    <w:rPr>
      <w:sz w:val="16"/>
      <w:szCs w:val="16"/>
    </w:rPr>
  </w:style>
  <w:style w:type="paragraph" w:styleId="CommentText">
    <w:name w:val="annotation text"/>
    <w:basedOn w:val="Normal"/>
    <w:link w:val="CommentTextChar"/>
    <w:uiPriority w:val="99"/>
    <w:unhideWhenUsed/>
    <w:rsid w:val="001F6405"/>
  </w:style>
  <w:style w:type="character" w:customStyle="1" w:styleId="CommentTextChar">
    <w:name w:val="Comment Text Char"/>
    <w:basedOn w:val="DefaultParagraphFont"/>
    <w:link w:val="CommentText"/>
    <w:uiPriority w:val="99"/>
    <w:rsid w:val="001F6405"/>
    <w:rPr>
      <w:sz w:val="20"/>
      <w:szCs w:val="20"/>
    </w:rPr>
  </w:style>
  <w:style w:type="paragraph" w:styleId="CommentSubject">
    <w:name w:val="annotation subject"/>
    <w:basedOn w:val="CommentText"/>
    <w:next w:val="CommentText"/>
    <w:link w:val="CommentSubjectChar"/>
    <w:uiPriority w:val="99"/>
    <w:unhideWhenUsed/>
    <w:rsid w:val="001F6405"/>
    <w:rPr>
      <w:b/>
      <w:bCs/>
    </w:rPr>
  </w:style>
  <w:style w:type="character" w:customStyle="1" w:styleId="CommentSubjectChar">
    <w:name w:val="Comment Subject Char"/>
    <w:basedOn w:val="CommentTextChar"/>
    <w:link w:val="CommentSubject"/>
    <w:uiPriority w:val="99"/>
    <w:rsid w:val="001F6405"/>
    <w:rPr>
      <w:b/>
      <w:bCs/>
      <w:sz w:val="20"/>
      <w:szCs w:val="20"/>
    </w:rPr>
  </w:style>
  <w:style w:type="character" w:customStyle="1" w:styleId="Heading5Char">
    <w:name w:val="Heading 5 Char"/>
    <w:basedOn w:val="DefaultParagraphFont"/>
    <w:link w:val="Heading5"/>
    <w:uiPriority w:val="9"/>
    <w:rsid w:val="004E7A5E"/>
    <w:rPr>
      <w:rFonts w:asciiTheme="majorHAnsi" w:eastAsiaTheme="majorEastAsia" w:hAnsiTheme="majorHAnsi" w:cstheme="majorBidi"/>
      <w:color w:val="87262C" w:themeColor="accent2" w:themeShade="BF"/>
      <w:sz w:val="24"/>
      <w:szCs w:val="24"/>
    </w:rPr>
  </w:style>
  <w:style w:type="character" w:customStyle="1" w:styleId="Heading6Char">
    <w:name w:val="Heading 6 Char"/>
    <w:basedOn w:val="DefaultParagraphFont"/>
    <w:link w:val="Heading6"/>
    <w:uiPriority w:val="9"/>
    <w:rsid w:val="004E7A5E"/>
    <w:rPr>
      <w:rFonts w:asciiTheme="majorHAnsi" w:eastAsiaTheme="majorEastAsia" w:hAnsiTheme="majorHAnsi" w:cstheme="majorBidi"/>
      <w:i/>
      <w:iCs/>
      <w:color w:val="5A191E" w:themeColor="accent2" w:themeShade="80"/>
      <w:sz w:val="24"/>
      <w:szCs w:val="24"/>
    </w:rPr>
  </w:style>
  <w:style w:type="character" w:customStyle="1" w:styleId="Heading7Char">
    <w:name w:val="Heading 7 Char"/>
    <w:basedOn w:val="DefaultParagraphFont"/>
    <w:link w:val="Heading7"/>
    <w:uiPriority w:val="9"/>
    <w:rsid w:val="007A3C1D"/>
    <w:rPr>
      <w:rFonts w:asciiTheme="majorHAnsi" w:eastAsiaTheme="majorEastAsia" w:hAnsiTheme="majorHAnsi" w:cstheme="majorBidi"/>
      <w:b/>
      <w:bCs/>
      <w:color w:val="5A191E" w:themeColor="accent2" w:themeShade="80"/>
      <w:sz w:val="24"/>
      <w:szCs w:val="22"/>
      <w:lang w:eastAsia="zh-CN"/>
    </w:rPr>
  </w:style>
  <w:style w:type="character" w:customStyle="1" w:styleId="Heading8Char">
    <w:name w:val="Heading 8 Char"/>
    <w:basedOn w:val="DefaultParagraphFont"/>
    <w:link w:val="Heading8"/>
    <w:uiPriority w:val="9"/>
    <w:rsid w:val="00DD70B8"/>
    <w:rPr>
      <w:rFonts w:asciiTheme="majorHAnsi" w:eastAsiaTheme="majorEastAsia" w:hAnsiTheme="majorHAnsi" w:cstheme="majorBidi"/>
      <w:color w:val="5A191E" w:themeColor="accent2" w:themeShade="80"/>
      <w:sz w:val="24"/>
      <w:szCs w:val="22"/>
      <w:lang w:eastAsia="zh-CN"/>
    </w:rPr>
  </w:style>
  <w:style w:type="character" w:customStyle="1" w:styleId="Heading9Char">
    <w:name w:val="Heading 9 Char"/>
    <w:basedOn w:val="DefaultParagraphFont"/>
    <w:link w:val="Heading9"/>
    <w:uiPriority w:val="9"/>
    <w:rsid w:val="004E7A5E"/>
    <w:rPr>
      <w:rFonts w:asciiTheme="majorHAnsi" w:eastAsiaTheme="majorEastAsia" w:hAnsiTheme="majorHAnsi" w:cstheme="majorBidi"/>
      <w:i/>
      <w:iCs/>
      <w:color w:val="5A191E" w:themeColor="accent2" w:themeShade="80"/>
      <w:sz w:val="22"/>
      <w:szCs w:val="22"/>
    </w:rPr>
  </w:style>
  <w:style w:type="character" w:styleId="FollowedHyperlink">
    <w:name w:val="FollowedHyperlink"/>
    <w:basedOn w:val="DefaultParagraphFont"/>
    <w:uiPriority w:val="99"/>
    <w:unhideWhenUsed/>
    <w:rsid w:val="0058119B"/>
    <w:rPr>
      <w:color w:val="800080"/>
      <w:u w:val="single"/>
    </w:rPr>
  </w:style>
  <w:style w:type="character" w:styleId="Emphasis">
    <w:name w:val="Emphasis"/>
    <w:basedOn w:val="DefaultParagraphFont"/>
    <w:uiPriority w:val="20"/>
    <w:qFormat/>
    <w:rsid w:val="00892CAD"/>
    <w:rPr>
      <w:rFonts w:ascii="Calibri" w:hAnsi="Calibri"/>
      <w:i w:val="0"/>
      <w:iCs/>
      <w:color w:val="auto"/>
      <w:sz w:val="22"/>
    </w:rPr>
  </w:style>
  <w:style w:type="paragraph" w:styleId="HTMLPreformatted">
    <w:name w:val="HTML Preformatted"/>
    <w:basedOn w:val="Normal"/>
    <w:link w:val="HTMLPreformattedChar"/>
    <w:uiPriority w:val="99"/>
    <w:unhideWhenUsed/>
    <w:rsid w:val="00581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bCs/>
    </w:rPr>
  </w:style>
  <w:style w:type="character" w:customStyle="1" w:styleId="HTMLPreformattedChar">
    <w:name w:val="HTML Preformatted Char"/>
    <w:basedOn w:val="DefaultParagraphFont"/>
    <w:link w:val="HTMLPreformatted"/>
    <w:uiPriority w:val="99"/>
    <w:rsid w:val="0058119B"/>
    <w:rPr>
      <w:rFonts w:ascii="Courier New" w:eastAsia="Times New Roman" w:hAnsi="Courier New" w:cs="Courier New"/>
      <w:bCs/>
      <w:sz w:val="20"/>
      <w:szCs w:val="20"/>
    </w:rPr>
  </w:style>
  <w:style w:type="paragraph" w:styleId="NormalWeb">
    <w:name w:val="Normal (Web)"/>
    <w:basedOn w:val="Normal"/>
    <w:uiPriority w:val="99"/>
    <w:unhideWhenUsed/>
    <w:rsid w:val="0058119B"/>
    <w:pPr>
      <w:spacing w:beforeAutospacing="1" w:after="100" w:afterAutospacing="1"/>
    </w:pPr>
    <w:rPr>
      <w:rFonts w:ascii="Tahoma" w:eastAsia="Times New Roman" w:hAnsi="Tahoma"/>
      <w:color w:val="000000"/>
      <w:sz w:val="24"/>
    </w:rPr>
  </w:style>
  <w:style w:type="paragraph" w:styleId="TOC4">
    <w:name w:val="toc 4"/>
    <w:basedOn w:val="Normal"/>
    <w:next w:val="Normal"/>
    <w:autoRedefine/>
    <w:uiPriority w:val="39"/>
    <w:unhideWhenUsed/>
    <w:rsid w:val="0058119B"/>
    <w:pPr>
      <w:spacing w:after="100"/>
      <w:ind w:left="660"/>
    </w:pPr>
    <w:rPr>
      <w:rFonts w:eastAsia="Times New Roman"/>
      <w:lang w:bidi="en-US"/>
    </w:rPr>
  </w:style>
  <w:style w:type="paragraph" w:styleId="TOC5">
    <w:name w:val="toc 5"/>
    <w:basedOn w:val="Normal"/>
    <w:next w:val="Normal"/>
    <w:autoRedefine/>
    <w:uiPriority w:val="39"/>
    <w:unhideWhenUsed/>
    <w:rsid w:val="0058119B"/>
    <w:pPr>
      <w:spacing w:after="100"/>
      <w:ind w:left="880"/>
    </w:pPr>
    <w:rPr>
      <w:rFonts w:eastAsia="Times New Roman"/>
      <w:lang w:bidi="en-US"/>
    </w:rPr>
  </w:style>
  <w:style w:type="paragraph" w:styleId="TOC6">
    <w:name w:val="toc 6"/>
    <w:basedOn w:val="Normal"/>
    <w:next w:val="Normal"/>
    <w:autoRedefine/>
    <w:uiPriority w:val="39"/>
    <w:unhideWhenUsed/>
    <w:rsid w:val="0058119B"/>
    <w:pPr>
      <w:spacing w:after="100"/>
      <w:ind w:left="1100"/>
    </w:pPr>
    <w:rPr>
      <w:rFonts w:eastAsia="Times New Roman"/>
      <w:lang w:bidi="en-US"/>
    </w:rPr>
  </w:style>
  <w:style w:type="paragraph" w:styleId="TOC7">
    <w:name w:val="toc 7"/>
    <w:basedOn w:val="Normal"/>
    <w:next w:val="Normal"/>
    <w:autoRedefine/>
    <w:uiPriority w:val="39"/>
    <w:unhideWhenUsed/>
    <w:rsid w:val="0058119B"/>
    <w:pPr>
      <w:spacing w:after="100"/>
      <w:ind w:left="1320"/>
    </w:pPr>
    <w:rPr>
      <w:rFonts w:eastAsia="Times New Roman"/>
      <w:lang w:bidi="en-US"/>
    </w:rPr>
  </w:style>
  <w:style w:type="paragraph" w:styleId="TOC8">
    <w:name w:val="toc 8"/>
    <w:basedOn w:val="Normal"/>
    <w:next w:val="Normal"/>
    <w:autoRedefine/>
    <w:uiPriority w:val="39"/>
    <w:unhideWhenUsed/>
    <w:rsid w:val="0058119B"/>
    <w:pPr>
      <w:spacing w:after="100"/>
      <w:ind w:left="1540"/>
    </w:pPr>
    <w:rPr>
      <w:rFonts w:eastAsia="Times New Roman"/>
      <w:lang w:bidi="en-US"/>
    </w:rPr>
  </w:style>
  <w:style w:type="paragraph" w:styleId="TOC9">
    <w:name w:val="toc 9"/>
    <w:basedOn w:val="Normal"/>
    <w:next w:val="Normal"/>
    <w:autoRedefine/>
    <w:uiPriority w:val="39"/>
    <w:unhideWhenUsed/>
    <w:rsid w:val="0058119B"/>
    <w:pPr>
      <w:spacing w:after="100"/>
      <w:ind w:left="1760"/>
    </w:pPr>
    <w:rPr>
      <w:rFonts w:eastAsia="Times New Roman"/>
      <w:lang w:bidi="en-US"/>
    </w:rPr>
  </w:style>
  <w:style w:type="paragraph" w:styleId="NormalIndent">
    <w:name w:val="Normal Indent"/>
    <w:basedOn w:val="Normal"/>
    <w:unhideWhenUsed/>
    <w:rsid w:val="0058119B"/>
    <w:pPr>
      <w:ind w:left="720"/>
    </w:pPr>
    <w:rPr>
      <w:rFonts w:ascii="Tahoma" w:eastAsia="Times New Roman" w:hAnsi="Tahoma"/>
      <w:bCs/>
      <w:sz w:val="24"/>
    </w:rPr>
  </w:style>
  <w:style w:type="paragraph" w:styleId="FootnoteText">
    <w:name w:val="footnote text"/>
    <w:basedOn w:val="Normal"/>
    <w:link w:val="FootnoteTextChar"/>
    <w:uiPriority w:val="99"/>
    <w:unhideWhenUsed/>
    <w:rsid w:val="0058119B"/>
    <w:rPr>
      <w:rFonts w:ascii="Tahoma" w:eastAsia="Times New Roman" w:hAnsi="Tahoma"/>
      <w:bCs/>
    </w:rPr>
  </w:style>
  <w:style w:type="character" w:customStyle="1" w:styleId="FootnoteTextChar">
    <w:name w:val="Footnote Text Char"/>
    <w:basedOn w:val="DefaultParagraphFont"/>
    <w:link w:val="FootnoteText"/>
    <w:uiPriority w:val="99"/>
    <w:rsid w:val="0058119B"/>
    <w:rPr>
      <w:rFonts w:ascii="Tahoma" w:eastAsia="Times New Roman" w:hAnsi="Tahoma" w:cs="Times New Roman"/>
      <w:bCs/>
      <w:sz w:val="20"/>
      <w:szCs w:val="20"/>
    </w:rPr>
  </w:style>
  <w:style w:type="paragraph" w:styleId="Caption">
    <w:name w:val="caption"/>
    <w:basedOn w:val="Normal"/>
    <w:next w:val="Normal"/>
    <w:uiPriority w:val="35"/>
    <w:unhideWhenUsed/>
    <w:qFormat/>
    <w:rsid w:val="004E7A5E"/>
    <w:rPr>
      <w:b/>
      <w:bCs/>
      <w:color w:val="404040" w:themeColor="text1" w:themeTint="BF"/>
      <w:sz w:val="16"/>
      <w:szCs w:val="16"/>
    </w:rPr>
  </w:style>
  <w:style w:type="paragraph" w:styleId="TableofFigures">
    <w:name w:val="table of figures"/>
    <w:basedOn w:val="Normal"/>
    <w:next w:val="Normal"/>
    <w:uiPriority w:val="99"/>
    <w:unhideWhenUsed/>
    <w:rsid w:val="0058119B"/>
    <w:pPr>
      <w:spacing w:before="240"/>
      <w:jc w:val="both"/>
    </w:pPr>
    <w:rPr>
      <w:sz w:val="24"/>
    </w:rPr>
  </w:style>
  <w:style w:type="paragraph" w:styleId="EndnoteText">
    <w:name w:val="endnote text"/>
    <w:basedOn w:val="Normal"/>
    <w:link w:val="EndnoteTextChar"/>
    <w:uiPriority w:val="99"/>
    <w:unhideWhenUsed/>
    <w:rsid w:val="0058119B"/>
    <w:rPr>
      <w:rFonts w:ascii="Tahoma" w:eastAsia="Times New Roman" w:hAnsi="Tahoma"/>
      <w:bCs/>
    </w:rPr>
  </w:style>
  <w:style w:type="character" w:customStyle="1" w:styleId="EndnoteTextChar">
    <w:name w:val="Endnote Text Char"/>
    <w:basedOn w:val="DefaultParagraphFont"/>
    <w:link w:val="EndnoteText"/>
    <w:uiPriority w:val="99"/>
    <w:rsid w:val="0058119B"/>
    <w:rPr>
      <w:rFonts w:ascii="Tahoma" w:eastAsia="Times New Roman" w:hAnsi="Tahoma" w:cs="Times New Roman"/>
      <w:bCs/>
      <w:sz w:val="20"/>
      <w:szCs w:val="20"/>
    </w:rPr>
  </w:style>
  <w:style w:type="paragraph" w:styleId="Title">
    <w:name w:val="Title"/>
    <w:basedOn w:val="Normal"/>
    <w:next w:val="Normal"/>
    <w:link w:val="TitleChar"/>
    <w:uiPriority w:val="1"/>
    <w:qFormat/>
    <w:rsid w:val="004E7A5E"/>
    <w:pPr>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
    <w:rsid w:val="004E7A5E"/>
    <w:rPr>
      <w:rFonts w:asciiTheme="majorHAnsi" w:eastAsiaTheme="majorEastAsia" w:hAnsiTheme="majorHAnsi" w:cstheme="majorBidi"/>
      <w:color w:val="262626" w:themeColor="text1" w:themeTint="D9"/>
      <w:sz w:val="96"/>
      <w:szCs w:val="96"/>
    </w:rPr>
  </w:style>
  <w:style w:type="paragraph" w:styleId="BodyText">
    <w:name w:val="Body Text"/>
    <w:basedOn w:val="Normal"/>
    <w:link w:val="BodyTextChar1"/>
    <w:unhideWhenUsed/>
    <w:rsid w:val="0058119B"/>
    <w:pPr>
      <w:spacing w:after="120"/>
    </w:pPr>
    <w:rPr>
      <w:rFonts w:eastAsia="Times New Roman"/>
      <w:bCs/>
      <w:sz w:val="24"/>
      <w:lang w:bidi="en-US"/>
    </w:rPr>
  </w:style>
  <w:style w:type="character" w:customStyle="1" w:styleId="BodyTextChar">
    <w:name w:val="Body Text Char"/>
    <w:basedOn w:val="DefaultParagraphFont"/>
    <w:rsid w:val="0058119B"/>
  </w:style>
  <w:style w:type="paragraph" w:styleId="BodyTextIndent">
    <w:name w:val="Body Text Indent"/>
    <w:basedOn w:val="Normal"/>
    <w:link w:val="BodyTextIndentChar"/>
    <w:unhideWhenUsed/>
    <w:rsid w:val="0058119B"/>
    <w:pPr>
      <w:spacing w:after="120"/>
      <w:ind w:left="360"/>
    </w:pPr>
    <w:rPr>
      <w:rFonts w:ascii="Tahoma" w:eastAsia="Times New Roman" w:hAnsi="Tahoma"/>
      <w:bCs/>
      <w:sz w:val="24"/>
    </w:rPr>
  </w:style>
  <w:style w:type="character" w:customStyle="1" w:styleId="BodyTextIndentChar">
    <w:name w:val="Body Text Indent Char"/>
    <w:basedOn w:val="DefaultParagraphFont"/>
    <w:link w:val="BodyTextIndent"/>
    <w:rsid w:val="0058119B"/>
    <w:rPr>
      <w:rFonts w:ascii="Tahoma" w:eastAsia="Times New Roman" w:hAnsi="Tahoma" w:cs="Times New Roman"/>
      <w:bCs/>
      <w:sz w:val="24"/>
      <w:szCs w:val="24"/>
    </w:rPr>
  </w:style>
  <w:style w:type="paragraph" w:styleId="Subtitle">
    <w:name w:val="Subtitle"/>
    <w:aliases w:val="MTW Activity Subheaders"/>
    <w:basedOn w:val="Subheading"/>
    <w:next w:val="Normal"/>
    <w:link w:val="SubtitleChar"/>
    <w:uiPriority w:val="4"/>
    <w:qFormat/>
    <w:rsid w:val="00BA40FA"/>
    <w:rPr>
      <w:sz w:val="20"/>
      <w:szCs w:val="20"/>
    </w:rPr>
  </w:style>
  <w:style w:type="character" w:customStyle="1" w:styleId="SubtitleChar">
    <w:name w:val="Subtitle Char"/>
    <w:aliases w:val="MTW Activity Subheaders Char"/>
    <w:basedOn w:val="DefaultParagraphFont"/>
    <w:link w:val="Subtitle"/>
    <w:uiPriority w:val="4"/>
    <w:rsid w:val="004E7A5E"/>
    <w:rPr>
      <w:rFonts w:ascii="Calibri" w:eastAsiaTheme="majorEastAsia" w:hAnsi="Calibri" w:cstheme="majorBidi"/>
      <w:b/>
      <w:color w:val="808080" w:themeColor="background1" w:themeShade="80"/>
      <w:sz w:val="20"/>
      <w:szCs w:val="20"/>
      <w:lang w:eastAsia="zh-CN"/>
    </w:rPr>
  </w:style>
  <w:style w:type="paragraph" w:styleId="BodyTextFirstIndent">
    <w:name w:val="Body Text First Indent"/>
    <w:basedOn w:val="BodyText"/>
    <w:link w:val="BodyTextFirstIndentChar"/>
    <w:unhideWhenUsed/>
    <w:rsid w:val="0058119B"/>
    <w:pPr>
      <w:ind w:firstLine="210"/>
    </w:pPr>
    <w:rPr>
      <w:rFonts w:ascii="Times New Roman" w:hAnsi="Times New Roman"/>
      <w:lang w:bidi="ar-SA"/>
    </w:rPr>
  </w:style>
  <w:style w:type="character" w:customStyle="1" w:styleId="BodyTextFirstIndentChar">
    <w:name w:val="Body Text First Indent Char"/>
    <w:basedOn w:val="BodyTextChar"/>
    <w:link w:val="BodyTextFirstIndent"/>
    <w:rsid w:val="0058119B"/>
    <w:rPr>
      <w:rFonts w:ascii="Times New Roman" w:eastAsia="Times New Roman" w:hAnsi="Times New Roman" w:cs="Times New Roman"/>
      <w:bCs/>
      <w:sz w:val="24"/>
      <w:szCs w:val="24"/>
    </w:rPr>
  </w:style>
  <w:style w:type="paragraph" w:styleId="BodyTextFirstIndent2">
    <w:name w:val="Body Text First Indent 2"/>
    <w:basedOn w:val="BodyTextIndent"/>
    <w:link w:val="BodyTextFirstIndent2Char"/>
    <w:unhideWhenUsed/>
    <w:rsid w:val="0058119B"/>
    <w:pPr>
      <w:ind w:firstLine="210"/>
    </w:pPr>
  </w:style>
  <w:style w:type="character" w:customStyle="1" w:styleId="BodyTextFirstIndent2Char">
    <w:name w:val="Body Text First Indent 2 Char"/>
    <w:basedOn w:val="BodyTextIndentChar"/>
    <w:link w:val="BodyTextFirstIndent2"/>
    <w:rsid w:val="0058119B"/>
    <w:rPr>
      <w:rFonts w:ascii="Tahoma" w:eastAsia="Times New Roman" w:hAnsi="Tahoma" w:cs="Times New Roman"/>
      <w:bCs/>
      <w:sz w:val="24"/>
      <w:szCs w:val="24"/>
    </w:rPr>
  </w:style>
  <w:style w:type="paragraph" w:styleId="NoteHeading">
    <w:name w:val="Note Heading"/>
    <w:basedOn w:val="Normal"/>
    <w:next w:val="Normal"/>
    <w:link w:val="NoteHeadingChar"/>
    <w:unhideWhenUsed/>
    <w:rsid w:val="0058119B"/>
    <w:rPr>
      <w:rFonts w:ascii="Tahoma" w:eastAsia="Times New Roman" w:hAnsi="Tahoma"/>
      <w:bCs/>
      <w:sz w:val="24"/>
    </w:rPr>
  </w:style>
  <w:style w:type="character" w:customStyle="1" w:styleId="NoteHeadingChar">
    <w:name w:val="Note Heading Char"/>
    <w:basedOn w:val="DefaultParagraphFont"/>
    <w:link w:val="NoteHeading"/>
    <w:rsid w:val="0058119B"/>
    <w:rPr>
      <w:rFonts w:ascii="Tahoma" w:eastAsia="Times New Roman" w:hAnsi="Tahoma" w:cs="Times New Roman"/>
      <w:bCs/>
      <w:sz w:val="24"/>
      <w:szCs w:val="24"/>
    </w:rPr>
  </w:style>
  <w:style w:type="paragraph" w:styleId="BodyText2">
    <w:name w:val="Body Text 2"/>
    <w:basedOn w:val="Normal"/>
    <w:link w:val="BodyText2Char"/>
    <w:unhideWhenUsed/>
    <w:rsid w:val="0058119B"/>
    <w:pPr>
      <w:spacing w:after="120" w:line="480" w:lineRule="auto"/>
    </w:pPr>
    <w:rPr>
      <w:rFonts w:ascii="Tahoma" w:eastAsia="Times New Roman" w:hAnsi="Tahoma"/>
      <w:bCs/>
      <w:sz w:val="24"/>
    </w:rPr>
  </w:style>
  <w:style w:type="character" w:customStyle="1" w:styleId="BodyText2Char">
    <w:name w:val="Body Text 2 Char"/>
    <w:basedOn w:val="DefaultParagraphFont"/>
    <w:link w:val="BodyText2"/>
    <w:rsid w:val="0058119B"/>
    <w:rPr>
      <w:rFonts w:ascii="Tahoma" w:eastAsia="Times New Roman" w:hAnsi="Tahoma" w:cs="Times New Roman"/>
      <w:bCs/>
      <w:sz w:val="24"/>
      <w:szCs w:val="24"/>
    </w:rPr>
  </w:style>
  <w:style w:type="paragraph" w:styleId="BodyText3">
    <w:name w:val="Body Text 3"/>
    <w:basedOn w:val="Normal"/>
    <w:link w:val="BodyText3Char"/>
    <w:unhideWhenUsed/>
    <w:rsid w:val="0058119B"/>
    <w:pPr>
      <w:spacing w:after="120"/>
    </w:pPr>
    <w:rPr>
      <w:rFonts w:ascii="Tahoma" w:eastAsia="Times New Roman" w:hAnsi="Tahoma"/>
      <w:bCs/>
      <w:sz w:val="16"/>
      <w:szCs w:val="16"/>
    </w:rPr>
  </w:style>
  <w:style w:type="character" w:customStyle="1" w:styleId="BodyText3Char">
    <w:name w:val="Body Text 3 Char"/>
    <w:basedOn w:val="DefaultParagraphFont"/>
    <w:link w:val="BodyText3"/>
    <w:rsid w:val="0058119B"/>
    <w:rPr>
      <w:rFonts w:ascii="Tahoma" w:eastAsia="Times New Roman" w:hAnsi="Tahoma" w:cs="Times New Roman"/>
      <w:bCs/>
      <w:sz w:val="16"/>
      <w:szCs w:val="16"/>
    </w:rPr>
  </w:style>
  <w:style w:type="character" w:customStyle="1" w:styleId="BlockTextChar">
    <w:name w:val="Block Text Char"/>
    <w:basedOn w:val="DefaultParagraphFont"/>
    <w:link w:val="BlockText"/>
    <w:uiPriority w:val="99"/>
    <w:locked/>
    <w:rsid w:val="0058119B"/>
    <w:rPr>
      <w:rFonts w:ascii="Tahoma" w:eastAsia="Times New Roman" w:hAnsi="Tahoma" w:cs="Times New Roman"/>
      <w:bCs/>
      <w:sz w:val="24"/>
      <w:szCs w:val="24"/>
    </w:rPr>
  </w:style>
  <w:style w:type="paragraph" w:styleId="BlockText">
    <w:name w:val="Block Text"/>
    <w:basedOn w:val="Normal"/>
    <w:link w:val="BlockTextChar"/>
    <w:uiPriority w:val="99"/>
    <w:unhideWhenUsed/>
    <w:rsid w:val="0058119B"/>
    <w:pPr>
      <w:spacing w:after="120"/>
      <w:ind w:left="1440" w:right="1440"/>
    </w:pPr>
    <w:rPr>
      <w:rFonts w:ascii="Tahoma" w:eastAsia="Times New Roman" w:hAnsi="Tahoma"/>
      <w:bCs/>
      <w:sz w:val="24"/>
    </w:rPr>
  </w:style>
  <w:style w:type="paragraph" w:styleId="DocumentMap">
    <w:name w:val="Document Map"/>
    <w:basedOn w:val="Normal"/>
    <w:link w:val="DocumentMapChar"/>
    <w:uiPriority w:val="99"/>
    <w:semiHidden/>
    <w:unhideWhenUsed/>
    <w:rsid w:val="0058119B"/>
    <w:rPr>
      <w:rFonts w:ascii="Tahoma" w:eastAsia="Times New Roman" w:hAnsi="Tahoma" w:cs="Tahoma"/>
      <w:bCs/>
      <w:sz w:val="16"/>
      <w:szCs w:val="16"/>
    </w:rPr>
  </w:style>
  <w:style w:type="character" w:customStyle="1" w:styleId="DocumentMapChar">
    <w:name w:val="Document Map Char"/>
    <w:basedOn w:val="DefaultParagraphFont"/>
    <w:link w:val="DocumentMap"/>
    <w:uiPriority w:val="99"/>
    <w:semiHidden/>
    <w:rsid w:val="0058119B"/>
    <w:rPr>
      <w:rFonts w:ascii="Tahoma" w:eastAsia="Times New Roman" w:hAnsi="Tahoma" w:cs="Tahoma"/>
      <w:bCs/>
      <w:sz w:val="16"/>
      <w:szCs w:val="16"/>
    </w:rPr>
  </w:style>
  <w:style w:type="paragraph" w:styleId="Revision">
    <w:name w:val="Revision"/>
    <w:uiPriority w:val="99"/>
    <w:semiHidden/>
    <w:rsid w:val="0058119B"/>
    <w:rPr>
      <w:rFonts w:ascii="Calibri" w:eastAsia="Times New Roman" w:hAnsi="Calibri" w:cs="Times New Roman"/>
      <w:sz w:val="24"/>
      <w:szCs w:val="24"/>
    </w:rPr>
  </w:style>
  <w:style w:type="paragraph" w:styleId="Quote">
    <w:name w:val="Quote"/>
    <w:basedOn w:val="Normal"/>
    <w:next w:val="Normal"/>
    <w:link w:val="QuoteChar"/>
    <w:uiPriority w:val="29"/>
    <w:qFormat/>
    <w:rsid w:val="004E7A5E"/>
    <w:pPr>
      <w:spacing w:before="160"/>
      <w:ind w:left="720" w:right="720"/>
      <w:jc w:val="center"/>
    </w:pPr>
    <w:rPr>
      <w:rFonts w:asciiTheme="majorHAnsi" w:eastAsiaTheme="majorEastAsia" w:hAnsiTheme="majorHAnsi" w:cstheme="majorBidi"/>
      <w:color w:val="000000" w:themeColor="text1"/>
      <w:sz w:val="24"/>
    </w:rPr>
  </w:style>
  <w:style w:type="character" w:customStyle="1" w:styleId="QuoteChar">
    <w:name w:val="Quote Char"/>
    <w:basedOn w:val="DefaultParagraphFont"/>
    <w:link w:val="Quote"/>
    <w:uiPriority w:val="29"/>
    <w:rsid w:val="004E7A5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4E7A5E"/>
    <w:pPr>
      <w:pBdr>
        <w:top w:val="single" w:sz="24" w:space="4" w:color="B5333C" w:themeColor="accent2"/>
      </w:pBdr>
      <w:spacing w:before="240" w:after="240"/>
      <w:ind w:left="936" w:right="936"/>
      <w:jc w:val="center"/>
    </w:pPr>
    <w:rPr>
      <w:rFonts w:asciiTheme="majorHAnsi" w:eastAsiaTheme="majorEastAsia" w:hAnsiTheme="majorHAnsi" w:cstheme="majorBidi"/>
      <w:sz w:val="24"/>
    </w:rPr>
  </w:style>
  <w:style w:type="character" w:customStyle="1" w:styleId="IntenseQuoteChar">
    <w:name w:val="Intense Quote Char"/>
    <w:basedOn w:val="DefaultParagraphFont"/>
    <w:link w:val="IntenseQuote"/>
    <w:uiPriority w:val="30"/>
    <w:rsid w:val="004E7A5E"/>
    <w:rPr>
      <w:rFonts w:asciiTheme="majorHAnsi" w:eastAsiaTheme="majorEastAsia" w:hAnsiTheme="majorHAnsi" w:cstheme="majorBidi"/>
      <w:sz w:val="24"/>
      <w:szCs w:val="24"/>
    </w:rPr>
  </w:style>
  <w:style w:type="paragraph" w:customStyle="1" w:styleId="ntext">
    <w:name w:val="ntext"/>
    <w:basedOn w:val="Normal"/>
    <w:rsid w:val="0058119B"/>
    <w:pPr>
      <w:jc w:val="both"/>
    </w:pPr>
    <w:rPr>
      <w:rFonts w:ascii="Tahoma" w:eastAsia="Times New Roman" w:hAnsi="Tahoma"/>
      <w:bCs/>
      <w:sz w:val="24"/>
    </w:rPr>
  </w:style>
  <w:style w:type="character" w:customStyle="1" w:styleId="newtextChar">
    <w:name w:val="newtext Char"/>
    <w:basedOn w:val="DefaultParagraphFont"/>
    <w:link w:val="newtext"/>
    <w:locked/>
    <w:rsid w:val="0058119B"/>
    <w:rPr>
      <w:rFonts w:ascii="Tahoma" w:eastAsia="Times New Roman" w:hAnsi="Tahoma" w:cs="Times New Roman"/>
      <w:bCs/>
    </w:rPr>
  </w:style>
  <w:style w:type="paragraph" w:customStyle="1" w:styleId="newtext">
    <w:name w:val="newtext"/>
    <w:basedOn w:val="Normal"/>
    <w:link w:val="newtextChar"/>
    <w:rsid w:val="0058119B"/>
    <w:pPr>
      <w:jc w:val="both"/>
    </w:pPr>
    <w:rPr>
      <w:rFonts w:ascii="Tahoma" w:eastAsia="Times New Roman" w:hAnsi="Tahoma"/>
      <w:bCs/>
    </w:rPr>
  </w:style>
  <w:style w:type="paragraph" w:customStyle="1" w:styleId="new3number">
    <w:name w:val="new3number"/>
    <w:basedOn w:val="newtext"/>
    <w:rsid w:val="0058119B"/>
    <w:pPr>
      <w:ind w:left="360" w:hanging="360"/>
      <w:jc w:val="left"/>
    </w:pPr>
    <w:rPr>
      <w:b/>
      <w:sz w:val="24"/>
    </w:rPr>
  </w:style>
  <w:style w:type="paragraph" w:customStyle="1" w:styleId="font5">
    <w:name w:val="font5"/>
    <w:basedOn w:val="Normal"/>
    <w:rsid w:val="0058119B"/>
    <w:pPr>
      <w:spacing w:beforeAutospacing="1" w:after="100" w:afterAutospacing="1"/>
    </w:pPr>
    <w:rPr>
      <w:rFonts w:eastAsia="Times New Roman"/>
      <w:sz w:val="24"/>
    </w:rPr>
  </w:style>
  <w:style w:type="paragraph" w:customStyle="1" w:styleId="font6">
    <w:name w:val="font6"/>
    <w:basedOn w:val="Normal"/>
    <w:rsid w:val="0058119B"/>
    <w:pPr>
      <w:spacing w:beforeAutospacing="1" w:after="100" w:afterAutospacing="1"/>
    </w:pPr>
    <w:rPr>
      <w:rFonts w:eastAsia="Times New Roman"/>
      <w:b/>
      <w:bCs/>
      <w:sz w:val="24"/>
    </w:rPr>
  </w:style>
  <w:style w:type="paragraph" w:customStyle="1" w:styleId="font7">
    <w:name w:val="font7"/>
    <w:basedOn w:val="Normal"/>
    <w:rsid w:val="0058119B"/>
    <w:pPr>
      <w:spacing w:beforeAutospacing="1" w:after="100" w:afterAutospacing="1"/>
    </w:pPr>
    <w:rPr>
      <w:rFonts w:eastAsia="Times New Roman"/>
      <w:i/>
      <w:iCs/>
      <w:sz w:val="24"/>
    </w:rPr>
  </w:style>
  <w:style w:type="paragraph" w:customStyle="1" w:styleId="font8">
    <w:name w:val="font8"/>
    <w:basedOn w:val="Normal"/>
    <w:rsid w:val="0058119B"/>
    <w:pPr>
      <w:spacing w:beforeAutospacing="1" w:after="100" w:afterAutospacing="1"/>
    </w:pPr>
    <w:rPr>
      <w:rFonts w:eastAsia="Times New Roman"/>
      <w:color w:val="3366FF"/>
      <w:sz w:val="24"/>
    </w:rPr>
  </w:style>
  <w:style w:type="paragraph" w:customStyle="1" w:styleId="font9">
    <w:name w:val="font9"/>
    <w:basedOn w:val="Normal"/>
    <w:rsid w:val="0058119B"/>
    <w:pPr>
      <w:spacing w:beforeAutospacing="1" w:after="100" w:afterAutospacing="1"/>
    </w:pPr>
    <w:rPr>
      <w:rFonts w:eastAsia="Times New Roman"/>
      <w:color w:val="065DEA"/>
      <w:sz w:val="24"/>
    </w:rPr>
  </w:style>
  <w:style w:type="paragraph" w:customStyle="1" w:styleId="xl66">
    <w:name w:val="xl66"/>
    <w:basedOn w:val="Normal"/>
    <w:rsid w:val="0058119B"/>
    <w:pPr>
      <w:pBdr>
        <w:top w:val="single" w:sz="4" w:space="0" w:color="auto"/>
        <w:left w:val="single" w:sz="4" w:space="0" w:color="auto"/>
        <w:bottom w:val="single" w:sz="4" w:space="0" w:color="auto"/>
        <w:right w:val="single" w:sz="4" w:space="0" w:color="auto"/>
      </w:pBdr>
      <w:spacing w:beforeAutospacing="1" w:after="100" w:afterAutospacing="1"/>
      <w:jc w:val="center"/>
    </w:pPr>
    <w:rPr>
      <w:rFonts w:eastAsia="Times New Roman"/>
      <w:color w:val="000000"/>
      <w:sz w:val="24"/>
    </w:rPr>
  </w:style>
  <w:style w:type="paragraph" w:customStyle="1" w:styleId="xl67">
    <w:name w:val="xl67"/>
    <w:basedOn w:val="Normal"/>
    <w:rsid w:val="0058119B"/>
    <w:pPr>
      <w:pBdr>
        <w:bottom w:val="single" w:sz="4" w:space="0" w:color="auto"/>
      </w:pBdr>
      <w:spacing w:beforeAutospacing="1" w:after="100" w:afterAutospacing="1"/>
    </w:pPr>
    <w:rPr>
      <w:rFonts w:eastAsia="Times New Roman"/>
      <w:color w:val="0000FF"/>
      <w:sz w:val="24"/>
      <w:u w:val="single"/>
    </w:rPr>
  </w:style>
  <w:style w:type="paragraph" w:customStyle="1" w:styleId="xl68">
    <w:name w:val="xl68"/>
    <w:basedOn w:val="Normal"/>
    <w:rsid w:val="0058119B"/>
    <w:pPr>
      <w:pBdr>
        <w:left w:val="single" w:sz="4" w:space="0" w:color="auto"/>
      </w:pBdr>
      <w:spacing w:beforeAutospacing="1" w:after="100" w:afterAutospacing="1"/>
    </w:pPr>
    <w:rPr>
      <w:rFonts w:eastAsia="Times New Roman"/>
      <w:color w:val="000000"/>
      <w:sz w:val="24"/>
    </w:rPr>
  </w:style>
  <w:style w:type="paragraph" w:customStyle="1" w:styleId="xl69">
    <w:name w:val="xl69"/>
    <w:basedOn w:val="Normal"/>
    <w:rsid w:val="0058119B"/>
    <w:pPr>
      <w:pBdr>
        <w:left w:val="single" w:sz="4" w:space="0" w:color="auto"/>
      </w:pBdr>
      <w:spacing w:beforeAutospacing="1" w:after="100" w:afterAutospacing="1"/>
      <w:jc w:val="center"/>
    </w:pPr>
    <w:rPr>
      <w:rFonts w:eastAsia="Times New Roman"/>
      <w:color w:val="000000"/>
      <w:sz w:val="24"/>
    </w:rPr>
  </w:style>
  <w:style w:type="paragraph" w:customStyle="1" w:styleId="xl70">
    <w:name w:val="xl70"/>
    <w:basedOn w:val="Normal"/>
    <w:rsid w:val="0058119B"/>
    <w:pPr>
      <w:spacing w:beforeAutospacing="1" w:after="100" w:afterAutospacing="1"/>
      <w:jc w:val="center"/>
    </w:pPr>
    <w:rPr>
      <w:rFonts w:eastAsia="Times New Roman"/>
      <w:color w:val="000000"/>
      <w:sz w:val="24"/>
    </w:rPr>
  </w:style>
  <w:style w:type="paragraph" w:customStyle="1" w:styleId="xl71">
    <w:name w:val="xl71"/>
    <w:basedOn w:val="Normal"/>
    <w:rsid w:val="0058119B"/>
    <w:pPr>
      <w:pBdr>
        <w:left w:val="single" w:sz="4" w:space="0" w:color="auto"/>
        <w:right w:val="single" w:sz="4" w:space="0" w:color="auto"/>
      </w:pBdr>
      <w:spacing w:beforeAutospacing="1" w:after="100" w:afterAutospacing="1"/>
      <w:jc w:val="center"/>
    </w:pPr>
    <w:rPr>
      <w:rFonts w:eastAsia="Times New Roman"/>
      <w:color w:val="000000"/>
      <w:sz w:val="24"/>
    </w:rPr>
  </w:style>
  <w:style w:type="paragraph" w:customStyle="1" w:styleId="xl72">
    <w:name w:val="xl72"/>
    <w:basedOn w:val="Normal"/>
    <w:rsid w:val="0058119B"/>
    <w:pPr>
      <w:spacing w:beforeAutospacing="1" w:after="100" w:afterAutospacing="1"/>
    </w:pPr>
    <w:rPr>
      <w:rFonts w:eastAsia="Times New Roman"/>
      <w:sz w:val="24"/>
    </w:rPr>
  </w:style>
  <w:style w:type="paragraph" w:customStyle="1" w:styleId="xl73">
    <w:name w:val="xl73"/>
    <w:basedOn w:val="Normal"/>
    <w:rsid w:val="0058119B"/>
    <w:pPr>
      <w:spacing w:beforeAutospacing="1" w:after="100" w:afterAutospacing="1"/>
      <w:jc w:val="center"/>
    </w:pPr>
    <w:rPr>
      <w:rFonts w:eastAsia="Times New Roman"/>
      <w:sz w:val="24"/>
    </w:rPr>
  </w:style>
  <w:style w:type="paragraph" w:customStyle="1" w:styleId="xl74">
    <w:name w:val="xl74"/>
    <w:basedOn w:val="Normal"/>
    <w:rsid w:val="0058119B"/>
    <w:pPr>
      <w:pBdr>
        <w:left w:val="single" w:sz="8" w:space="0" w:color="auto"/>
        <w:right w:val="single" w:sz="8" w:space="0" w:color="auto"/>
      </w:pBdr>
      <w:spacing w:beforeAutospacing="1" w:after="100" w:afterAutospacing="1"/>
    </w:pPr>
    <w:rPr>
      <w:rFonts w:eastAsia="Times New Roman"/>
      <w:sz w:val="24"/>
    </w:rPr>
  </w:style>
  <w:style w:type="paragraph" w:customStyle="1" w:styleId="xl75">
    <w:name w:val="xl75"/>
    <w:basedOn w:val="Normal"/>
    <w:rsid w:val="0058119B"/>
    <w:pPr>
      <w:spacing w:beforeAutospacing="1" w:after="100" w:afterAutospacing="1"/>
    </w:pPr>
    <w:rPr>
      <w:rFonts w:eastAsia="Times New Roman"/>
      <w:b/>
      <w:bCs/>
      <w:sz w:val="24"/>
    </w:rPr>
  </w:style>
  <w:style w:type="paragraph" w:customStyle="1" w:styleId="xl76">
    <w:name w:val="xl76"/>
    <w:basedOn w:val="Normal"/>
    <w:rsid w:val="0058119B"/>
    <w:pPr>
      <w:pBdr>
        <w:top w:val="single" w:sz="4" w:space="0" w:color="auto"/>
      </w:pBdr>
      <w:spacing w:beforeAutospacing="1" w:after="100" w:afterAutospacing="1"/>
    </w:pPr>
    <w:rPr>
      <w:rFonts w:eastAsia="Times New Roman"/>
      <w:sz w:val="24"/>
    </w:rPr>
  </w:style>
  <w:style w:type="paragraph" w:customStyle="1" w:styleId="xl77">
    <w:name w:val="xl77"/>
    <w:basedOn w:val="Normal"/>
    <w:rsid w:val="0058119B"/>
    <w:pPr>
      <w:pBdr>
        <w:bottom w:val="single" w:sz="8" w:space="0" w:color="auto"/>
        <w:right w:val="single" w:sz="8" w:space="0" w:color="auto"/>
      </w:pBdr>
      <w:spacing w:beforeAutospacing="1" w:after="100" w:afterAutospacing="1"/>
    </w:pPr>
    <w:rPr>
      <w:rFonts w:eastAsia="Times New Roman"/>
      <w:sz w:val="24"/>
    </w:rPr>
  </w:style>
  <w:style w:type="paragraph" w:customStyle="1" w:styleId="xl78">
    <w:name w:val="xl78"/>
    <w:basedOn w:val="Normal"/>
    <w:rsid w:val="0058119B"/>
    <w:pPr>
      <w:pBdr>
        <w:bottom w:val="single" w:sz="8" w:space="0" w:color="auto"/>
      </w:pBdr>
      <w:spacing w:beforeAutospacing="1" w:after="100" w:afterAutospacing="1"/>
    </w:pPr>
    <w:rPr>
      <w:rFonts w:eastAsia="Times New Roman"/>
      <w:sz w:val="24"/>
    </w:rPr>
  </w:style>
  <w:style w:type="paragraph" w:customStyle="1" w:styleId="xl79">
    <w:name w:val="xl79"/>
    <w:basedOn w:val="Normal"/>
    <w:rsid w:val="0058119B"/>
    <w:pPr>
      <w:pBdr>
        <w:left w:val="single" w:sz="8" w:space="0" w:color="auto"/>
        <w:bottom w:val="single" w:sz="8" w:space="0" w:color="auto"/>
      </w:pBdr>
      <w:spacing w:beforeAutospacing="1" w:after="100" w:afterAutospacing="1"/>
    </w:pPr>
    <w:rPr>
      <w:rFonts w:eastAsia="Times New Roman"/>
      <w:sz w:val="24"/>
    </w:rPr>
  </w:style>
  <w:style w:type="paragraph" w:customStyle="1" w:styleId="xl80">
    <w:name w:val="xl80"/>
    <w:basedOn w:val="Normal"/>
    <w:rsid w:val="0058119B"/>
    <w:pPr>
      <w:pBdr>
        <w:right w:val="single" w:sz="8" w:space="0" w:color="auto"/>
      </w:pBdr>
      <w:spacing w:beforeAutospacing="1" w:after="100" w:afterAutospacing="1"/>
    </w:pPr>
    <w:rPr>
      <w:rFonts w:eastAsia="Times New Roman"/>
      <w:sz w:val="24"/>
    </w:rPr>
  </w:style>
  <w:style w:type="paragraph" w:customStyle="1" w:styleId="xl81">
    <w:name w:val="xl81"/>
    <w:basedOn w:val="Normal"/>
    <w:rsid w:val="0058119B"/>
    <w:pPr>
      <w:pBdr>
        <w:left w:val="single" w:sz="8" w:space="0" w:color="auto"/>
      </w:pBdr>
      <w:spacing w:beforeAutospacing="1" w:after="100" w:afterAutospacing="1"/>
    </w:pPr>
    <w:rPr>
      <w:rFonts w:eastAsia="Times New Roman"/>
      <w:sz w:val="24"/>
    </w:rPr>
  </w:style>
  <w:style w:type="paragraph" w:customStyle="1" w:styleId="xl82">
    <w:name w:val="xl82"/>
    <w:basedOn w:val="Normal"/>
    <w:rsid w:val="0058119B"/>
    <w:pPr>
      <w:pBdr>
        <w:bottom w:val="single" w:sz="4" w:space="0" w:color="auto"/>
        <w:right w:val="single" w:sz="4" w:space="0" w:color="auto"/>
      </w:pBdr>
      <w:spacing w:beforeAutospacing="1" w:after="100" w:afterAutospacing="1"/>
    </w:pPr>
    <w:rPr>
      <w:rFonts w:eastAsia="Times New Roman"/>
      <w:sz w:val="24"/>
    </w:rPr>
  </w:style>
  <w:style w:type="paragraph" w:customStyle="1" w:styleId="xl83">
    <w:name w:val="xl83"/>
    <w:basedOn w:val="Normal"/>
    <w:rsid w:val="0058119B"/>
    <w:pPr>
      <w:pBdr>
        <w:bottom w:val="single" w:sz="4" w:space="0" w:color="auto"/>
      </w:pBdr>
      <w:spacing w:beforeAutospacing="1" w:after="100" w:afterAutospacing="1"/>
    </w:pPr>
    <w:rPr>
      <w:rFonts w:eastAsia="Times New Roman"/>
      <w:sz w:val="24"/>
    </w:rPr>
  </w:style>
  <w:style w:type="paragraph" w:customStyle="1" w:styleId="xl84">
    <w:name w:val="xl84"/>
    <w:basedOn w:val="Normal"/>
    <w:rsid w:val="0058119B"/>
    <w:pPr>
      <w:pBdr>
        <w:bottom w:val="single" w:sz="4" w:space="0" w:color="auto"/>
      </w:pBdr>
      <w:spacing w:beforeAutospacing="1" w:after="100" w:afterAutospacing="1"/>
      <w:jc w:val="center"/>
    </w:pPr>
    <w:rPr>
      <w:rFonts w:eastAsia="Times New Roman"/>
      <w:b/>
      <w:bCs/>
      <w:color w:val="065DEA"/>
      <w:sz w:val="24"/>
    </w:rPr>
  </w:style>
  <w:style w:type="paragraph" w:customStyle="1" w:styleId="xl85">
    <w:name w:val="xl85"/>
    <w:basedOn w:val="Normal"/>
    <w:rsid w:val="0058119B"/>
    <w:pPr>
      <w:pBdr>
        <w:left w:val="single" w:sz="4" w:space="0" w:color="auto"/>
        <w:bottom w:val="single" w:sz="4" w:space="0" w:color="auto"/>
      </w:pBdr>
      <w:spacing w:beforeAutospacing="1" w:after="100" w:afterAutospacing="1"/>
    </w:pPr>
    <w:rPr>
      <w:rFonts w:eastAsia="Times New Roman"/>
      <w:sz w:val="24"/>
    </w:rPr>
  </w:style>
  <w:style w:type="paragraph" w:customStyle="1" w:styleId="xl86">
    <w:name w:val="xl86"/>
    <w:basedOn w:val="Normal"/>
    <w:rsid w:val="0058119B"/>
    <w:pPr>
      <w:pBdr>
        <w:right w:val="single" w:sz="4" w:space="0" w:color="auto"/>
      </w:pBdr>
      <w:spacing w:beforeAutospacing="1" w:after="100" w:afterAutospacing="1"/>
    </w:pPr>
    <w:rPr>
      <w:rFonts w:eastAsia="Times New Roman"/>
      <w:sz w:val="24"/>
    </w:rPr>
  </w:style>
  <w:style w:type="paragraph" w:customStyle="1" w:styleId="xl87">
    <w:name w:val="xl87"/>
    <w:basedOn w:val="Normal"/>
    <w:rsid w:val="0058119B"/>
    <w:pPr>
      <w:pBdr>
        <w:left w:val="single" w:sz="4" w:space="0" w:color="auto"/>
      </w:pBdr>
      <w:spacing w:beforeAutospacing="1" w:after="100" w:afterAutospacing="1"/>
    </w:pPr>
    <w:rPr>
      <w:rFonts w:eastAsia="Times New Roman"/>
      <w:sz w:val="24"/>
    </w:rPr>
  </w:style>
  <w:style w:type="paragraph" w:customStyle="1" w:styleId="xl88">
    <w:name w:val="xl88"/>
    <w:basedOn w:val="Normal"/>
    <w:rsid w:val="0058119B"/>
    <w:pPr>
      <w:pBdr>
        <w:left w:val="single" w:sz="4" w:space="0" w:color="auto"/>
      </w:pBdr>
      <w:spacing w:beforeAutospacing="1" w:after="100" w:afterAutospacing="1"/>
      <w:jc w:val="center"/>
    </w:pPr>
    <w:rPr>
      <w:rFonts w:eastAsia="Times New Roman"/>
      <w:b/>
      <w:bCs/>
      <w:color w:val="3366FF"/>
      <w:sz w:val="24"/>
    </w:rPr>
  </w:style>
  <w:style w:type="paragraph" w:customStyle="1" w:styleId="xl89">
    <w:name w:val="xl89"/>
    <w:basedOn w:val="Normal"/>
    <w:rsid w:val="0058119B"/>
    <w:pPr>
      <w:spacing w:beforeAutospacing="1" w:after="100" w:afterAutospacing="1"/>
      <w:jc w:val="center"/>
    </w:pPr>
    <w:rPr>
      <w:rFonts w:eastAsia="Times New Roman"/>
      <w:b/>
      <w:bCs/>
      <w:color w:val="5D86E1"/>
      <w:sz w:val="24"/>
    </w:rPr>
  </w:style>
  <w:style w:type="paragraph" w:customStyle="1" w:styleId="xl90">
    <w:name w:val="xl90"/>
    <w:basedOn w:val="Normal"/>
    <w:rsid w:val="0058119B"/>
    <w:pPr>
      <w:spacing w:beforeAutospacing="1" w:after="100" w:afterAutospacing="1"/>
    </w:pPr>
    <w:rPr>
      <w:rFonts w:eastAsia="Times New Roman"/>
      <w:b/>
      <w:bCs/>
      <w:color w:val="5D86E1"/>
      <w:sz w:val="24"/>
    </w:rPr>
  </w:style>
  <w:style w:type="paragraph" w:customStyle="1" w:styleId="xl91">
    <w:name w:val="xl91"/>
    <w:basedOn w:val="Normal"/>
    <w:rsid w:val="0058119B"/>
    <w:pPr>
      <w:spacing w:beforeAutospacing="1" w:after="100" w:afterAutospacing="1"/>
    </w:pPr>
    <w:rPr>
      <w:rFonts w:eastAsia="Times New Roman"/>
      <w:b/>
      <w:bCs/>
      <w:color w:val="5D86E1"/>
      <w:sz w:val="24"/>
    </w:rPr>
  </w:style>
  <w:style w:type="paragraph" w:customStyle="1" w:styleId="xl92">
    <w:name w:val="xl92"/>
    <w:basedOn w:val="Normal"/>
    <w:rsid w:val="0058119B"/>
    <w:pPr>
      <w:spacing w:beforeAutospacing="1" w:after="100" w:afterAutospacing="1"/>
    </w:pPr>
    <w:rPr>
      <w:rFonts w:eastAsia="Times New Roman"/>
      <w:b/>
      <w:bCs/>
      <w:sz w:val="24"/>
    </w:rPr>
  </w:style>
  <w:style w:type="paragraph" w:customStyle="1" w:styleId="xl93">
    <w:name w:val="xl93"/>
    <w:basedOn w:val="Normal"/>
    <w:rsid w:val="0058119B"/>
    <w:pPr>
      <w:pBdr>
        <w:left w:val="single" w:sz="4" w:space="0" w:color="auto"/>
      </w:pBdr>
      <w:spacing w:beforeAutospacing="1" w:after="100" w:afterAutospacing="1"/>
    </w:pPr>
    <w:rPr>
      <w:rFonts w:eastAsia="Times New Roman"/>
      <w:sz w:val="24"/>
    </w:rPr>
  </w:style>
  <w:style w:type="paragraph" w:customStyle="1" w:styleId="xl94">
    <w:name w:val="xl94"/>
    <w:basedOn w:val="Normal"/>
    <w:rsid w:val="0058119B"/>
    <w:pPr>
      <w:pBdr>
        <w:left w:val="single" w:sz="8" w:space="0" w:color="auto"/>
      </w:pBdr>
      <w:spacing w:beforeAutospacing="1" w:after="100" w:afterAutospacing="1"/>
    </w:pPr>
    <w:rPr>
      <w:rFonts w:eastAsia="Times New Roman"/>
      <w:sz w:val="24"/>
    </w:rPr>
  </w:style>
  <w:style w:type="paragraph" w:customStyle="1" w:styleId="xl95">
    <w:name w:val="xl95"/>
    <w:basedOn w:val="Normal"/>
    <w:rsid w:val="0058119B"/>
    <w:pPr>
      <w:pBdr>
        <w:top w:val="single" w:sz="8" w:space="0" w:color="auto"/>
        <w:right w:val="single" w:sz="4" w:space="0" w:color="auto"/>
      </w:pBdr>
      <w:spacing w:beforeAutospacing="1" w:after="100" w:afterAutospacing="1"/>
      <w:jc w:val="center"/>
    </w:pPr>
    <w:rPr>
      <w:rFonts w:eastAsia="Times New Roman"/>
      <w:b/>
      <w:bCs/>
      <w:sz w:val="26"/>
      <w:szCs w:val="26"/>
    </w:rPr>
  </w:style>
  <w:style w:type="paragraph" w:customStyle="1" w:styleId="xl96">
    <w:name w:val="xl96"/>
    <w:basedOn w:val="Normal"/>
    <w:rsid w:val="0058119B"/>
    <w:pPr>
      <w:pBdr>
        <w:top w:val="single" w:sz="8" w:space="0" w:color="auto"/>
      </w:pBdr>
      <w:spacing w:beforeAutospacing="1" w:after="100" w:afterAutospacing="1"/>
      <w:jc w:val="center"/>
    </w:pPr>
    <w:rPr>
      <w:rFonts w:eastAsia="Times New Roman"/>
      <w:b/>
      <w:bCs/>
      <w:sz w:val="26"/>
      <w:szCs w:val="26"/>
    </w:rPr>
  </w:style>
  <w:style w:type="paragraph" w:customStyle="1" w:styleId="xl97">
    <w:name w:val="xl97"/>
    <w:basedOn w:val="Normal"/>
    <w:rsid w:val="0058119B"/>
    <w:pPr>
      <w:pBdr>
        <w:top w:val="single" w:sz="8" w:space="0" w:color="auto"/>
        <w:left w:val="single" w:sz="4" w:space="0" w:color="auto"/>
      </w:pBdr>
      <w:spacing w:beforeAutospacing="1" w:after="100" w:afterAutospacing="1"/>
      <w:jc w:val="center"/>
    </w:pPr>
    <w:rPr>
      <w:rFonts w:eastAsia="Times New Roman"/>
      <w:b/>
      <w:bCs/>
      <w:sz w:val="26"/>
      <w:szCs w:val="26"/>
    </w:rPr>
  </w:style>
  <w:style w:type="paragraph" w:customStyle="1" w:styleId="xl98">
    <w:name w:val="xl98"/>
    <w:basedOn w:val="Normal"/>
    <w:rsid w:val="0058119B"/>
    <w:pPr>
      <w:pBdr>
        <w:bottom w:val="single" w:sz="8" w:space="0" w:color="auto"/>
      </w:pBdr>
      <w:spacing w:beforeAutospacing="1" w:after="100" w:afterAutospacing="1"/>
    </w:pPr>
    <w:rPr>
      <w:rFonts w:eastAsia="Times New Roman"/>
      <w:color w:val="000000"/>
      <w:sz w:val="24"/>
    </w:rPr>
  </w:style>
  <w:style w:type="paragraph" w:customStyle="1" w:styleId="xl99">
    <w:name w:val="xl99"/>
    <w:basedOn w:val="Normal"/>
    <w:rsid w:val="0058119B"/>
    <w:pPr>
      <w:pBdr>
        <w:left w:val="single" w:sz="4" w:space="0" w:color="auto"/>
        <w:bottom w:val="single" w:sz="4" w:space="0" w:color="auto"/>
      </w:pBdr>
      <w:spacing w:beforeAutospacing="1" w:after="100" w:afterAutospacing="1"/>
    </w:pPr>
    <w:rPr>
      <w:rFonts w:eastAsia="Times New Roman"/>
      <w:color w:val="000000"/>
      <w:sz w:val="24"/>
    </w:rPr>
  </w:style>
  <w:style w:type="paragraph" w:customStyle="1" w:styleId="xl100">
    <w:name w:val="xl100"/>
    <w:basedOn w:val="Normal"/>
    <w:rsid w:val="0058119B"/>
    <w:pPr>
      <w:spacing w:beforeAutospacing="1" w:after="100" w:afterAutospacing="1"/>
      <w:jc w:val="center"/>
    </w:pPr>
    <w:rPr>
      <w:rFonts w:eastAsia="Times New Roman"/>
      <w:b/>
      <w:bCs/>
      <w:color w:val="5D86E1"/>
      <w:sz w:val="24"/>
    </w:rPr>
  </w:style>
  <w:style w:type="paragraph" w:customStyle="1" w:styleId="xl101">
    <w:name w:val="xl101"/>
    <w:basedOn w:val="Normal"/>
    <w:rsid w:val="0058119B"/>
    <w:pPr>
      <w:spacing w:beforeAutospacing="1" w:after="100" w:afterAutospacing="1"/>
    </w:pPr>
    <w:rPr>
      <w:rFonts w:eastAsia="Times New Roman"/>
      <w:b/>
      <w:bCs/>
      <w:color w:val="5D86E1"/>
      <w:sz w:val="24"/>
    </w:rPr>
  </w:style>
  <w:style w:type="paragraph" w:customStyle="1" w:styleId="xl102">
    <w:name w:val="xl102"/>
    <w:basedOn w:val="Normal"/>
    <w:rsid w:val="0058119B"/>
    <w:pPr>
      <w:pBdr>
        <w:left w:val="single" w:sz="8" w:space="0" w:color="auto"/>
      </w:pBdr>
      <w:spacing w:beforeAutospacing="1" w:after="100" w:afterAutospacing="1"/>
    </w:pPr>
    <w:rPr>
      <w:rFonts w:eastAsia="Times New Roman"/>
      <w:b/>
      <w:bCs/>
      <w:sz w:val="26"/>
      <w:szCs w:val="26"/>
    </w:rPr>
  </w:style>
  <w:style w:type="paragraph" w:customStyle="1" w:styleId="xl103">
    <w:name w:val="xl103"/>
    <w:basedOn w:val="Normal"/>
    <w:rsid w:val="0058119B"/>
    <w:pPr>
      <w:pBdr>
        <w:top w:val="single" w:sz="8" w:space="0" w:color="auto"/>
      </w:pBdr>
      <w:spacing w:beforeAutospacing="1" w:after="100" w:afterAutospacing="1"/>
      <w:jc w:val="center"/>
    </w:pPr>
    <w:rPr>
      <w:rFonts w:eastAsia="Times New Roman"/>
      <w:b/>
      <w:bCs/>
      <w:sz w:val="26"/>
      <w:szCs w:val="26"/>
    </w:rPr>
  </w:style>
  <w:style w:type="paragraph" w:customStyle="1" w:styleId="xl104">
    <w:name w:val="xl104"/>
    <w:basedOn w:val="Normal"/>
    <w:rsid w:val="0058119B"/>
    <w:pPr>
      <w:pBdr>
        <w:top w:val="single" w:sz="8" w:space="0" w:color="auto"/>
        <w:left w:val="single" w:sz="4" w:space="0" w:color="auto"/>
      </w:pBdr>
      <w:spacing w:beforeAutospacing="1" w:after="100" w:afterAutospacing="1"/>
      <w:jc w:val="center"/>
    </w:pPr>
    <w:rPr>
      <w:rFonts w:eastAsia="Times New Roman"/>
      <w:b/>
      <w:bCs/>
      <w:sz w:val="26"/>
      <w:szCs w:val="26"/>
    </w:rPr>
  </w:style>
  <w:style w:type="paragraph" w:customStyle="1" w:styleId="xl105">
    <w:name w:val="xl105"/>
    <w:basedOn w:val="Normal"/>
    <w:rsid w:val="0058119B"/>
    <w:pPr>
      <w:pBdr>
        <w:top w:val="single" w:sz="8" w:space="0" w:color="auto"/>
        <w:right w:val="single" w:sz="4" w:space="0" w:color="auto"/>
      </w:pBdr>
      <w:spacing w:beforeAutospacing="1" w:after="100" w:afterAutospacing="1"/>
      <w:jc w:val="center"/>
    </w:pPr>
    <w:rPr>
      <w:rFonts w:eastAsia="Times New Roman"/>
      <w:b/>
      <w:bCs/>
      <w:sz w:val="26"/>
      <w:szCs w:val="26"/>
    </w:rPr>
  </w:style>
  <w:style w:type="paragraph" w:customStyle="1" w:styleId="xl106">
    <w:name w:val="xl106"/>
    <w:basedOn w:val="Normal"/>
    <w:rsid w:val="0058119B"/>
    <w:pPr>
      <w:pBdr>
        <w:bottom w:val="single" w:sz="4" w:space="0" w:color="auto"/>
      </w:pBdr>
      <w:spacing w:beforeAutospacing="1" w:after="100" w:afterAutospacing="1"/>
    </w:pPr>
    <w:rPr>
      <w:rFonts w:eastAsia="Times New Roman"/>
      <w:sz w:val="24"/>
    </w:rPr>
  </w:style>
  <w:style w:type="paragraph" w:customStyle="1" w:styleId="xl107">
    <w:name w:val="xl107"/>
    <w:basedOn w:val="Normal"/>
    <w:rsid w:val="0058119B"/>
    <w:pPr>
      <w:pBdr>
        <w:left w:val="single" w:sz="4" w:space="0" w:color="auto"/>
        <w:bottom w:val="single" w:sz="4" w:space="0" w:color="auto"/>
      </w:pBdr>
      <w:spacing w:beforeAutospacing="1" w:after="100" w:afterAutospacing="1"/>
    </w:pPr>
    <w:rPr>
      <w:rFonts w:eastAsia="Times New Roman"/>
      <w:sz w:val="24"/>
    </w:rPr>
  </w:style>
  <w:style w:type="paragraph" w:customStyle="1" w:styleId="xl108">
    <w:name w:val="xl108"/>
    <w:basedOn w:val="Normal"/>
    <w:rsid w:val="0058119B"/>
    <w:pPr>
      <w:spacing w:beforeAutospacing="1" w:after="100" w:afterAutospacing="1"/>
      <w:jc w:val="center"/>
    </w:pPr>
    <w:rPr>
      <w:rFonts w:eastAsia="Times New Roman"/>
      <w:color w:val="5D86E1"/>
      <w:sz w:val="24"/>
    </w:rPr>
  </w:style>
  <w:style w:type="paragraph" w:customStyle="1" w:styleId="xl109">
    <w:name w:val="xl109"/>
    <w:basedOn w:val="Normal"/>
    <w:rsid w:val="0058119B"/>
    <w:pPr>
      <w:pBdr>
        <w:bottom w:val="single" w:sz="4" w:space="0" w:color="auto"/>
        <w:right w:val="single" w:sz="4" w:space="0" w:color="auto"/>
      </w:pBdr>
      <w:spacing w:beforeAutospacing="1" w:after="100" w:afterAutospacing="1"/>
    </w:pPr>
    <w:rPr>
      <w:rFonts w:eastAsia="Times New Roman"/>
      <w:sz w:val="24"/>
    </w:rPr>
  </w:style>
  <w:style w:type="paragraph" w:customStyle="1" w:styleId="xl110">
    <w:name w:val="xl110"/>
    <w:basedOn w:val="Normal"/>
    <w:rsid w:val="0058119B"/>
    <w:pPr>
      <w:pBdr>
        <w:bottom w:val="single" w:sz="4" w:space="0" w:color="auto"/>
      </w:pBdr>
      <w:spacing w:beforeAutospacing="1" w:after="100" w:afterAutospacing="1"/>
    </w:pPr>
    <w:rPr>
      <w:rFonts w:eastAsia="Times New Roman"/>
      <w:sz w:val="24"/>
    </w:rPr>
  </w:style>
  <w:style w:type="paragraph" w:customStyle="1" w:styleId="xl111">
    <w:name w:val="xl111"/>
    <w:basedOn w:val="Normal"/>
    <w:rsid w:val="0058119B"/>
    <w:pPr>
      <w:pBdr>
        <w:right w:val="single" w:sz="4" w:space="0" w:color="auto"/>
      </w:pBdr>
      <w:spacing w:beforeAutospacing="1" w:after="100" w:afterAutospacing="1"/>
      <w:jc w:val="center"/>
    </w:pPr>
    <w:rPr>
      <w:rFonts w:eastAsia="Times New Roman"/>
      <w:b/>
      <w:bCs/>
      <w:color w:val="538ED5"/>
      <w:sz w:val="24"/>
    </w:rPr>
  </w:style>
  <w:style w:type="paragraph" w:customStyle="1" w:styleId="xl112">
    <w:name w:val="xl112"/>
    <w:basedOn w:val="Normal"/>
    <w:rsid w:val="0058119B"/>
    <w:pPr>
      <w:pBdr>
        <w:right w:val="single" w:sz="4" w:space="0" w:color="auto"/>
      </w:pBdr>
      <w:spacing w:beforeAutospacing="1" w:after="100" w:afterAutospacing="1"/>
      <w:jc w:val="center"/>
    </w:pPr>
    <w:rPr>
      <w:rFonts w:eastAsia="Times New Roman"/>
      <w:b/>
      <w:bCs/>
      <w:sz w:val="24"/>
    </w:rPr>
  </w:style>
  <w:style w:type="paragraph" w:customStyle="1" w:styleId="xl113">
    <w:name w:val="xl113"/>
    <w:basedOn w:val="Normal"/>
    <w:rsid w:val="0058119B"/>
    <w:pPr>
      <w:spacing w:beforeAutospacing="1" w:after="100" w:afterAutospacing="1"/>
      <w:jc w:val="center"/>
    </w:pPr>
    <w:rPr>
      <w:rFonts w:eastAsia="Times New Roman"/>
      <w:b/>
      <w:bCs/>
      <w:color w:val="538ED5"/>
      <w:sz w:val="24"/>
    </w:rPr>
  </w:style>
  <w:style w:type="paragraph" w:customStyle="1" w:styleId="xl114">
    <w:name w:val="xl114"/>
    <w:basedOn w:val="Normal"/>
    <w:rsid w:val="0058119B"/>
    <w:pPr>
      <w:pBdr>
        <w:left w:val="single" w:sz="4" w:space="0" w:color="auto"/>
        <w:right w:val="single" w:sz="4" w:space="0" w:color="auto"/>
      </w:pBdr>
      <w:spacing w:beforeAutospacing="1" w:after="100" w:afterAutospacing="1"/>
      <w:jc w:val="center"/>
    </w:pPr>
    <w:rPr>
      <w:rFonts w:eastAsia="Times New Roman"/>
      <w:b/>
      <w:bCs/>
      <w:sz w:val="24"/>
    </w:rPr>
  </w:style>
  <w:style w:type="paragraph" w:customStyle="1" w:styleId="xl115">
    <w:name w:val="xl115"/>
    <w:basedOn w:val="Normal"/>
    <w:rsid w:val="0058119B"/>
    <w:pPr>
      <w:pBdr>
        <w:left w:val="single" w:sz="4" w:space="0" w:color="auto"/>
        <w:right w:val="single" w:sz="8" w:space="0" w:color="auto"/>
      </w:pBdr>
      <w:spacing w:beforeAutospacing="1" w:after="100" w:afterAutospacing="1"/>
    </w:pPr>
    <w:rPr>
      <w:rFonts w:eastAsia="Times New Roman"/>
      <w:sz w:val="24"/>
    </w:rPr>
  </w:style>
  <w:style w:type="paragraph" w:customStyle="1" w:styleId="xl116">
    <w:name w:val="xl116"/>
    <w:basedOn w:val="Normal"/>
    <w:rsid w:val="0058119B"/>
    <w:pPr>
      <w:pBdr>
        <w:top w:val="single" w:sz="4" w:space="0" w:color="auto"/>
        <w:left w:val="single" w:sz="4" w:space="0" w:color="auto"/>
        <w:bottom w:val="single" w:sz="4" w:space="0" w:color="auto"/>
      </w:pBdr>
      <w:spacing w:beforeAutospacing="1" w:after="100" w:afterAutospacing="1"/>
    </w:pPr>
    <w:rPr>
      <w:rFonts w:eastAsia="Times New Roman"/>
      <w:sz w:val="24"/>
    </w:rPr>
  </w:style>
  <w:style w:type="paragraph" w:customStyle="1" w:styleId="xl117">
    <w:name w:val="xl117"/>
    <w:basedOn w:val="Normal"/>
    <w:rsid w:val="0058119B"/>
    <w:pPr>
      <w:spacing w:beforeAutospacing="1" w:after="100" w:afterAutospacing="1"/>
    </w:pPr>
    <w:rPr>
      <w:rFonts w:eastAsia="Times New Roman"/>
      <w:b/>
      <w:bCs/>
      <w:color w:val="538ED5"/>
      <w:sz w:val="24"/>
    </w:rPr>
  </w:style>
  <w:style w:type="paragraph" w:customStyle="1" w:styleId="xl118">
    <w:name w:val="xl118"/>
    <w:basedOn w:val="Normal"/>
    <w:rsid w:val="0058119B"/>
    <w:pPr>
      <w:pBdr>
        <w:left w:val="single" w:sz="4" w:space="0" w:color="auto"/>
      </w:pBdr>
      <w:spacing w:beforeAutospacing="1" w:after="100" w:afterAutospacing="1"/>
    </w:pPr>
    <w:rPr>
      <w:rFonts w:eastAsia="Times New Roman"/>
      <w:b/>
      <w:bCs/>
      <w:sz w:val="24"/>
    </w:rPr>
  </w:style>
  <w:style w:type="paragraph" w:customStyle="1" w:styleId="xl119">
    <w:name w:val="xl119"/>
    <w:basedOn w:val="Normal"/>
    <w:rsid w:val="0058119B"/>
    <w:pPr>
      <w:pBdr>
        <w:right w:val="single" w:sz="4" w:space="0" w:color="auto"/>
      </w:pBdr>
      <w:spacing w:beforeAutospacing="1" w:after="100" w:afterAutospacing="1"/>
    </w:pPr>
    <w:rPr>
      <w:rFonts w:eastAsia="Times New Roman"/>
      <w:b/>
      <w:bCs/>
      <w:sz w:val="26"/>
      <w:szCs w:val="26"/>
    </w:rPr>
  </w:style>
  <w:style w:type="paragraph" w:customStyle="1" w:styleId="xl120">
    <w:name w:val="xl120"/>
    <w:basedOn w:val="Normal"/>
    <w:rsid w:val="0058119B"/>
    <w:pPr>
      <w:pBdr>
        <w:bottom w:val="single" w:sz="4" w:space="0" w:color="auto"/>
      </w:pBdr>
      <w:spacing w:beforeAutospacing="1" w:after="100" w:afterAutospacing="1"/>
      <w:jc w:val="center"/>
    </w:pPr>
    <w:rPr>
      <w:rFonts w:eastAsia="Times New Roman"/>
      <w:b/>
      <w:bCs/>
      <w:color w:val="5D86E1"/>
      <w:sz w:val="24"/>
    </w:rPr>
  </w:style>
  <w:style w:type="paragraph" w:customStyle="1" w:styleId="xl121">
    <w:name w:val="xl121"/>
    <w:basedOn w:val="Normal"/>
    <w:rsid w:val="0058119B"/>
    <w:pPr>
      <w:pBdr>
        <w:bottom w:val="single" w:sz="4" w:space="0" w:color="auto"/>
      </w:pBdr>
      <w:spacing w:beforeAutospacing="1" w:after="100" w:afterAutospacing="1"/>
    </w:pPr>
    <w:rPr>
      <w:rFonts w:eastAsia="Times New Roman"/>
      <w:sz w:val="24"/>
    </w:rPr>
  </w:style>
  <w:style w:type="paragraph" w:customStyle="1" w:styleId="xl122">
    <w:name w:val="xl122"/>
    <w:basedOn w:val="Normal"/>
    <w:rsid w:val="0058119B"/>
    <w:pPr>
      <w:pBdr>
        <w:left w:val="single" w:sz="4" w:space="0" w:color="auto"/>
        <w:right w:val="single" w:sz="4" w:space="0" w:color="auto"/>
      </w:pBdr>
      <w:spacing w:beforeAutospacing="1" w:after="100" w:afterAutospacing="1"/>
      <w:jc w:val="center"/>
    </w:pPr>
    <w:rPr>
      <w:rFonts w:eastAsia="Times New Roman"/>
      <w:sz w:val="24"/>
    </w:rPr>
  </w:style>
  <w:style w:type="paragraph" w:customStyle="1" w:styleId="xl123">
    <w:name w:val="xl123"/>
    <w:basedOn w:val="Normal"/>
    <w:rsid w:val="0058119B"/>
    <w:pPr>
      <w:pBdr>
        <w:left w:val="single" w:sz="4" w:space="0" w:color="auto"/>
        <w:right w:val="single" w:sz="4" w:space="0" w:color="auto"/>
      </w:pBdr>
      <w:spacing w:beforeAutospacing="1" w:after="100" w:afterAutospacing="1"/>
    </w:pPr>
    <w:rPr>
      <w:rFonts w:eastAsia="Times New Roman"/>
      <w:sz w:val="24"/>
    </w:rPr>
  </w:style>
  <w:style w:type="paragraph" w:customStyle="1" w:styleId="xl124">
    <w:name w:val="xl124"/>
    <w:basedOn w:val="Normal"/>
    <w:rsid w:val="0058119B"/>
    <w:pPr>
      <w:pBdr>
        <w:top w:val="single" w:sz="4" w:space="0" w:color="auto"/>
        <w:right w:val="single" w:sz="4" w:space="0" w:color="auto"/>
      </w:pBdr>
      <w:spacing w:beforeAutospacing="1" w:after="100" w:afterAutospacing="1"/>
    </w:pPr>
    <w:rPr>
      <w:rFonts w:eastAsia="Times New Roman"/>
      <w:sz w:val="24"/>
    </w:rPr>
  </w:style>
  <w:style w:type="paragraph" w:customStyle="1" w:styleId="xl125">
    <w:name w:val="xl125"/>
    <w:basedOn w:val="Normal"/>
    <w:rsid w:val="0058119B"/>
    <w:pPr>
      <w:pBdr>
        <w:top w:val="single" w:sz="4" w:space="0" w:color="auto"/>
      </w:pBdr>
      <w:spacing w:beforeAutospacing="1" w:after="100" w:afterAutospacing="1"/>
    </w:pPr>
    <w:rPr>
      <w:rFonts w:eastAsia="Times New Roman"/>
      <w:sz w:val="24"/>
    </w:rPr>
  </w:style>
  <w:style w:type="paragraph" w:customStyle="1" w:styleId="xl126">
    <w:name w:val="xl126"/>
    <w:basedOn w:val="Normal"/>
    <w:rsid w:val="0058119B"/>
    <w:pPr>
      <w:pBdr>
        <w:top w:val="single" w:sz="4" w:space="0" w:color="auto"/>
        <w:left w:val="single" w:sz="4" w:space="0" w:color="auto"/>
      </w:pBdr>
      <w:spacing w:beforeAutospacing="1" w:after="100" w:afterAutospacing="1"/>
    </w:pPr>
    <w:rPr>
      <w:rFonts w:eastAsia="Times New Roman"/>
      <w:sz w:val="24"/>
    </w:rPr>
  </w:style>
  <w:style w:type="paragraph" w:customStyle="1" w:styleId="xl127">
    <w:name w:val="xl127"/>
    <w:basedOn w:val="Normal"/>
    <w:rsid w:val="0058119B"/>
    <w:pPr>
      <w:spacing w:beforeAutospacing="1" w:after="100" w:afterAutospacing="1"/>
      <w:jc w:val="center"/>
    </w:pPr>
    <w:rPr>
      <w:rFonts w:eastAsia="Times New Roman"/>
      <w:b/>
      <w:bCs/>
      <w:color w:val="FFFFFF"/>
      <w:sz w:val="24"/>
    </w:rPr>
  </w:style>
  <w:style w:type="paragraph" w:customStyle="1" w:styleId="xl128">
    <w:name w:val="xl128"/>
    <w:basedOn w:val="Normal"/>
    <w:rsid w:val="0058119B"/>
    <w:pPr>
      <w:pBdr>
        <w:top w:val="single" w:sz="4" w:space="0" w:color="auto"/>
        <w:right w:val="single" w:sz="4" w:space="0" w:color="auto"/>
      </w:pBdr>
      <w:spacing w:beforeAutospacing="1" w:after="100" w:afterAutospacing="1"/>
    </w:pPr>
    <w:rPr>
      <w:rFonts w:eastAsia="Times New Roman"/>
      <w:sz w:val="24"/>
    </w:rPr>
  </w:style>
  <w:style w:type="paragraph" w:customStyle="1" w:styleId="xl129">
    <w:name w:val="xl129"/>
    <w:basedOn w:val="Normal"/>
    <w:rsid w:val="0058119B"/>
    <w:pPr>
      <w:pBdr>
        <w:top w:val="single" w:sz="4" w:space="0" w:color="auto"/>
        <w:left w:val="single" w:sz="4" w:space="0" w:color="auto"/>
      </w:pBdr>
      <w:spacing w:beforeAutospacing="1" w:after="100" w:afterAutospacing="1"/>
    </w:pPr>
    <w:rPr>
      <w:rFonts w:eastAsia="Times New Roman"/>
      <w:sz w:val="24"/>
    </w:rPr>
  </w:style>
  <w:style w:type="paragraph" w:customStyle="1" w:styleId="xl130">
    <w:name w:val="xl130"/>
    <w:basedOn w:val="Normal"/>
    <w:rsid w:val="0058119B"/>
    <w:pPr>
      <w:pBdr>
        <w:top w:val="single" w:sz="8" w:space="0" w:color="auto"/>
        <w:bottom w:val="single" w:sz="8" w:space="0" w:color="auto"/>
      </w:pBdr>
      <w:spacing w:beforeAutospacing="1" w:after="100" w:afterAutospacing="1"/>
    </w:pPr>
    <w:rPr>
      <w:rFonts w:eastAsia="Times New Roman"/>
      <w:sz w:val="24"/>
    </w:rPr>
  </w:style>
  <w:style w:type="paragraph" w:customStyle="1" w:styleId="xl131">
    <w:name w:val="xl131"/>
    <w:basedOn w:val="Normal"/>
    <w:rsid w:val="0058119B"/>
    <w:pPr>
      <w:spacing w:beforeAutospacing="1" w:after="100" w:afterAutospacing="1"/>
    </w:pPr>
    <w:rPr>
      <w:rFonts w:eastAsia="Times New Roman"/>
      <w:b/>
      <w:bCs/>
      <w:color w:val="3366FF"/>
      <w:sz w:val="24"/>
    </w:rPr>
  </w:style>
  <w:style w:type="paragraph" w:customStyle="1" w:styleId="xl132">
    <w:name w:val="xl132"/>
    <w:basedOn w:val="Normal"/>
    <w:rsid w:val="0058119B"/>
    <w:pPr>
      <w:pBdr>
        <w:right w:val="single" w:sz="8" w:space="0" w:color="auto"/>
      </w:pBdr>
      <w:spacing w:beforeAutospacing="1" w:after="100" w:afterAutospacing="1"/>
    </w:pPr>
    <w:rPr>
      <w:rFonts w:eastAsia="Times New Roman"/>
      <w:b/>
      <w:bCs/>
      <w:color w:val="3366FF"/>
      <w:sz w:val="24"/>
    </w:rPr>
  </w:style>
  <w:style w:type="paragraph" w:customStyle="1" w:styleId="xl133">
    <w:name w:val="xl133"/>
    <w:basedOn w:val="Normal"/>
    <w:rsid w:val="0058119B"/>
    <w:pPr>
      <w:pBdr>
        <w:right w:val="single" w:sz="4" w:space="0" w:color="auto"/>
      </w:pBdr>
      <w:spacing w:beforeAutospacing="1" w:after="100" w:afterAutospacing="1"/>
    </w:pPr>
    <w:rPr>
      <w:rFonts w:eastAsia="Times New Roman"/>
      <w:b/>
      <w:bCs/>
      <w:color w:val="3366FF"/>
      <w:sz w:val="24"/>
    </w:rPr>
  </w:style>
  <w:style w:type="paragraph" w:customStyle="1" w:styleId="xl134">
    <w:name w:val="xl134"/>
    <w:basedOn w:val="Normal"/>
    <w:rsid w:val="0058119B"/>
    <w:pPr>
      <w:pBdr>
        <w:left w:val="single" w:sz="4" w:space="0" w:color="auto"/>
      </w:pBdr>
      <w:spacing w:beforeAutospacing="1" w:after="100" w:afterAutospacing="1"/>
    </w:pPr>
    <w:rPr>
      <w:rFonts w:eastAsia="Times New Roman"/>
      <w:b/>
      <w:bCs/>
      <w:color w:val="3366FF"/>
      <w:sz w:val="24"/>
    </w:rPr>
  </w:style>
  <w:style w:type="paragraph" w:customStyle="1" w:styleId="xl135">
    <w:name w:val="xl135"/>
    <w:basedOn w:val="Normal"/>
    <w:rsid w:val="0058119B"/>
    <w:pPr>
      <w:pBdr>
        <w:left w:val="single" w:sz="8" w:space="0" w:color="auto"/>
      </w:pBdr>
      <w:spacing w:beforeAutospacing="1" w:after="100" w:afterAutospacing="1"/>
    </w:pPr>
    <w:rPr>
      <w:rFonts w:eastAsia="Times New Roman"/>
      <w:b/>
      <w:bCs/>
      <w:color w:val="3366FF"/>
      <w:sz w:val="24"/>
    </w:rPr>
  </w:style>
  <w:style w:type="paragraph" w:customStyle="1" w:styleId="xl136">
    <w:name w:val="xl136"/>
    <w:basedOn w:val="Normal"/>
    <w:rsid w:val="0058119B"/>
    <w:pPr>
      <w:pBdr>
        <w:bottom w:val="single" w:sz="4" w:space="0" w:color="auto"/>
        <w:right w:val="single" w:sz="4" w:space="0" w:color="auto"/>
      </w:pBdr>
      <w:spacing w:beforeAutospacing="1" w:after="100" w:afterAutospacing="1"/>
      <w:jc w:val="center"/>
    </w:pPr>
    <w:rPr>
      <w:rFonts w:eastAsia="Times New Roman"/>
      <w:b/>
      <w:bCs/>
      <w:color w:val="5D86E1"/>
      <w:sz w:val="24"/>
    </w:rPr>
  </w:style>
  <w:style w:type="paragraph" w:customStyle="1" w:styleId="xl137">
    <w:name w:val="xl137"/>
    <w:basedOn w:val="Normal"/>
    <w:rsid w:val="0058119B"/>
    <w:pPr>
      <w:pBdr>
        <w:bottom w:val="single" w:sz="4" w:space="0" w:color="auto"/>
      </w:pBdr>
      <w:spacing w:beforeAutospacing="1" w:after="100" w:afterAutospacing="1"/>
      <w:jc w:val="center"/>
    </w:pPr>
    <w:rPr>
      <w:rFonts w:eastAsia="Times New Roman"/>
      <w:b/>
      <w:bCs/>
      <w:color w:val="5D86E1"/>
      <w:sz w:val="24"/>
    </w:rPr>
  </w:style>
  <w:style w:type="paragraph" w:customStyle="1" w:styleId="xl138">
    <w:name w:val="xl138"/>
    <w:basedOn w:val="Normal"/>
    <w:rsid w:val="0058119B"/>
    <w:pPr>
      <w:pBdr>
        <w:left w:val="single" w:sz="4" w:space="0" w:color="auto"/>
        <w:bottom w:val="single" w:sz="4" w:space="0" w:color="auto"/>
      </w:pBdr>
      <w:spacing w:beforeAutospacing="1" w:after="100" w:afterAutospacing="1"/>
      <w:jc w:val="center"/>
    </w:pPr>
    <w:rPr>
      <w:rFonts w:eastAsia="Times New Roman"/>
      <w:b/>
      <w:bCs/>
      <w:color w:val="5D86E1"/>
      <w:sz w:val="24"/>
    </w:rPr>
  </w:style>
  <w:style w:type="paragraph" w:customStyle="1" w:styleId="xl139">
    <w:name w:val="xl139"/>
    <w:basedOn w:val="Normal"/>
    <w:rsid w:val="0058119B"/>
    <w:pPr>
      <w:pBdr>
        <w:right w:val="single" w:sz="4" w:space="0" w:color="auto"/>
      </w:pBdr>
      <w:spacing w:beforeAutospacing="1" w:after="100" w:afterAutospacing="1"/>
      <w:jc w:val="center"/>
    </w:pPr>
    <w:rPr>
      <w:rFonts w:eastAsia="Times New Roman"/>
      <w:b/>
      <w:bCs/>
      <w:color w:val="5D86E1"/>
      <w:sz w:val="24"/>
    </w:rPr>
  </w:style>
  <w:style w:type="paragraph" w:customStyle="1" w:styleId="xl140">
    <w:name w:val="xl140"/>
    <w:basedOn w:val="Normal"/>
    <w:rsid w:val="0058119B"/>
    <w:pPr>
      <w:pBdr>
        <w:left w:val="single" w:sz="4" w:space="0" w:color="auto"/>
      </w:pBdr>
      <w:spacing w:beforeAutospacing="1" w:after="100" w:afterAutospacing="1"/>
      <w:jc w:val="center"/>
    </w:pPr>
    <w:rPr>
      <w:rFonts w:eastAsia="Times New Roman"/>
      <w:b/>
      <w:bCs/>
      <w:color w:val="5D86E1"/>
      <w:sz w:val="24"/>
    </w:rPr>
  </w:style>
  <w:style w:type="paragraph" w:customStyle="1" w:styleId="xl141">
    <w:name w:val="xl141"/>
    <w:basedOn w:val="Normal"/>
    <w:rsid w:val="0058119B"/>
    <w:pPr>
      <w:pBdr>
        <w:top w:val="single" w:sz="4" w:space="0" w:color="auto"/>
      </w:pBdr>
      <w:spacing w:beforeAutospacing="1" w:after="100" w:afterAutospacing="1"/>
      <w:jc w:val="center"/>
    </w:pPr>
    <w:rPr>
      <w:rFonts w:eastAsia="Times New Roman"/>
      <w:b/>
      <w:bCs/>
      <w:color w:val="5D86E1"/>
      <w:sz w:val="24"/>
    </w:rPr>
  </w:style>
  <w:style w:type="paragraph" w:customStyle="1" w:styleId="xl142">
    <w:name w:val="xl142"/>
    <w:basedOn w:val="Normal"/>
    <w:rsid w:val="0058119B"/>
    <w:pPr>
      <w:pBdr>
        <w:left w:val="single" w:sz="4" w:space="0" w:color="auto"/>
        <w:right w:val="single" w:sz="4" w:space="0" w:color="auto"/>
      </w:pBdr>
      <w:spacing w:beforeAutospacing="1" w:after="100" w:afterAutospacing="1"/>
      <w:jc w:val="center"/>
    </w:pPr>
    <w:rPr>
      <w:rFonts w:eastAsia="Times New Roman"/>
      <w:b/>
      <w:bCs/>
      <w:color w:val="FFFFFF"/>
      <w:sz w:val="24"/>
    </w:rPr>
  </w:style>
  <w:style w:type="paragraph" w:customStyle="1" w:styleId="xl143">
    <w:name w:val="xl143"/>
    <w:basedOn w:val="Normal"/>
    <w:rsid w:val="0058119B"/>
    <w:pPr>
      <w:pBdr>
        <w:left w:val="single" w:sz="4" w:space="0" w:color="auto"/>
        <w:right w:val="single" w:sz="4" w:space="0" w:color="auto"/>
      </w:pBdr>
      <w:spacing w:beforeAutospacing="1" w:after="100" w:afterAutospacing="1"/>
      <w:jc w:val="center"/>
    </w:pPr>
    <w:rPr>
      <w:rFonts w:eastAsia="Times New Roman"/>
      <w:b/>
      <w:bCs/>
      <w:color w:val="5D86E1"/>
      <w:sz w:val="24"/>
    </w:rPr>
  </w:style>
  <w:style w:type="paragraph" w:customStyle="1" w:styleId="xl144">
    <w:name w:val="xl144"/>
    <w:basedOn w:val="Normal"/>
    <w:rsid w:val="0058119B"/>
    <w:pPr>
      <w:pBdr>
        <w:top w:val="single" w:sz="8" w:space="0" w:color="auto"/>
        <w:right w:val="single" w:sz="4" w:space="0" w:color="auto"/>
      </w:pBdr>
      <w:spacing w:beforeAutospacing="1" w:after="100" w:afterAutospacing="1"/>
      <w:jc w:val="center"/>
    </w:pPr>
    <w:rPr>
      <w:rFonts w:eastAsia="Times New Roman"/>
      <w:b/>
      <w:bCs/>
      <w:sz w:val="28"/>
      <w:szCs w:val="28"/>
    </w:rPr>
  </w:style>
  <w:style w:type="paragraph" w:customStyle="1" w:styleId="xl145">
    <w:name w:val="xl145"/>
    <w:basedOn w:val="Normal"/>
    <w:rsid w:val="0058119B"/>
    <w:pPr>
      <w:pBdr>
        <w:top w:val="single" w:sz="8" w:space="0" w:color="auto"/>
      </w:pBdr>
      <w:spacing w:beforeAutospacing="1" w:after="100" w:afterAutospacing="1"/>
      <w:jc w:val="center"/>
    </w:pPr>
    <w:rPr>
      <w:rFonts w:eastAsia="Times New Roman"/>
      <w:b/>
      <w:bCs/>
      <w:sz w:val="28"/>
      <w:szCs w:val="28"/>
    </w:rPr>
  </w:style>
  <w:style w:type="paragraph" w:customStyle="1" w:styleId="xl146">
    <w:name w:val="xl146"/>
    <w:basedOn w:val="Normal"/>
    <w:rsid w:val="0058119B"/>
    <w:pPr>
      <w:pBdr>
        <w:top w:val="single" w:sz="8" w:space="0" w:color="auto"/>
        <w:left w:val="single" w:sz="4" w:space="0" w:color="auto"/>
      </w:pBdr>
      <w:spacing w:beforeAutospacing="1" w:after="100" w:afterAutospacing="1"/>
      <w:jc w:val="center"/>
    </w:pPr>
    <w:rPr>
      <w:rFonts w:eastAsia="Times New Roman"/>
      <w:b/>
      <w:bCs/>
      <w:sz w:val="28"/>
      <w:szCs w:val="28"/>
    </w:rPr>
  </w:style>
  <w:style w:type="paragraph" w:customStyle="1" w:styleId="xl147">
    <w:name w:val="xl147"/>
    <w:basedOn w:val="Normal"/>
    <w:rsid w:val="0058119B"/>
    <w:pPr>
      <w:spacing w:beforeAutospacing="1" w:after="100" w:afterAutospacing="1"/>
    </w:pPr>
    <w:rPr>
      <w:rFonts w:eastAsia="Times New Roman"/>
      <w:color w:val="000000"/>
      <w:sz w:val="24"/>
    </w:rPr>
  </w:style>
  <w:style w:type="paragraph" w:customStyle="1" w:styleId="xl148">
    <w:name w:val="xl148"/>
    <w:basedOn w:val="Normal"/>
    <w:rsid w:val="0058119B"/>
    <w:pPr>
      <w:pBdr>
        <w:right w:val="single" w:sz="4" w:space="0" w:color="auto"/>
      </w:pBdr>
      <w:spacing w:beforeAutospacing="1" w:after="100" w:afterAutospacing="1"/>
    </w:pPr>
    <w:rPr>
      <w:rFonts w:eastAsia="Times New Roman"/>
      <w:b/>
      <w:bCs/>
      <w:color w:val="3366FF"/>
      <w:sz w:val="24"/>
    </w:rPr>
  </w:style>
  <w:style w:type="paragraph" w:customStyle="1" w:styleId="xl149">
    <w:name w:val="xl149"/>
    <w:basedOn w:val="Normal"/>
    <w:rsid w:val="0058119B"/>
    <w:pPr>
      <w:spacing w:beforeAutospacing="1" w:after="100" w:afterAutospacing="1"/>
    </w:pPr>
    <w:rPr>
      <w:rFonts w:eastAsia="Times New Roman"/>
      <w:color w:val="5D86E1"/>
      <w:sz w:val="24"/>
    </w:rPr>
  </w:style>
  <w:style w:type="paragraph" w:customStyle="1" w:styleId="xl150">
    <w:name w:val="xl150"/>
    <w:basedOn w:val="Normal"/>
    <w:rsid w:val="0058119B"/>
    <w:pPr>
      <w:pBdr>
        <w:right w:val="single" w:sz="8" w:space="0" w:color="auto"/>
      </w:pBdr>
      <w:spacing w:beforeAutospacing="1" w:after="100" w:afterAutospacing="1"/>
    </w:pPr>
    <w:rPr>
      <w:rFonts w:eastAsia="Times New Roman"/>
      <w:sz w:val="24"/>
    </w:rPr>
  </w:style>
  <w:style w:type="paragraph" w:customStyle="1" w:styleId="xl151">
    <w:name w:val="xl151"/>
    <w:basedOn w:val="Normal"/>
    <w:rsid w:val="0058119B"/>
    <w:pPr>
      <w:pBdr>
        <w:right w:val="single" w:sz="4" w:space="0" w:color="auto"/>
      </w:pBdr>
      <w:spacing w:beforeAutospacing="1" w:after="100" w:afterAutospacing="1"/>
    </w:pPr>
    <w:rPr>
      <w:rFonts w:eastAsia="Times New Roman"/>
      <w:sz w:val="24"/>
    </w:rPr>
  </w:style>
  <w:style w:type="paragraph" w:customStyle="1" w:styleId="xl152">
    <w:name w:val="xl152"/>
    <w:basedOn w:val="Normal"/>
    <w:rsid w:val="0058119B"/>
    <w:pPr>
      <w:spacing w:beforeAutospacing="1" w:after="100" w:afterAutospacing="1"/>
    </w:pPr>
    <w:rPr>
      <w:rFonts w:eastAsia="Times New Roman"/>
      <w:sz w:val="24"/>
    </w:rPr>
  </w:style>
  <w:style w:type="paragraph" w:customStyle="1" w:styleId="xl153">
    <w:name w:val="xl153"/>
    <w:basedOn w:val="Normal"/>
    <w:rsid w:val="0058119B"/>
    <w:pPr>
      <w:spacing w:beforeAutospacing="1" w:after="100" w:afterAutospacing="1"/>
    </w:pPr>
    <w:rPr>
      <w:rFonts w:eastAsia="Times New Roman"/>
      <w:b/>
      <w:bCs/>
      <w:color w:val="5D86E1"/>
      <w:sz w:val="24"/>
    </w:rPr>
  </w:style>
  <w:style w:type="paragraph" w:customStyle="1" w:styleId="xl154">
    <w:name w:val="xl154"/>
    <w:basedOn w:val="Normal"/>
    <w:rsid w:val="0058119B"/>
    <w:pPr>
      <w:pBdr>
        <w:top w:val="single" w:sz="12" w:space="0" w:color="auto"/>
        <w:right w:val="single" w:sz="8" w:space="0" w:color="auto"/>
      </w:pBdr>
      <w:spacing w:beforeAutospacing="1" w:after="100" w:afterAutospacing="1"/>
    </w:pPr>
    <w:rPr>
      <w:rFonts w:eastAsia="Times New Roman"/>
      <w:sz w:val="24"/>
    </w:rPr>
  </w:style>
  <w:style w:type="paragraph" w:customStyle="1" w:styleId="xl155">
    <w:name w:val="xl155"/>
    <w:basedOn w:val="Normal"/>
    <w:rsid w:val="0058119B"/>
    <w:pPr>
      <w:pBdr>
        <w:top w:val="single" w:sz="12" w:space="0" w:color="auto"/>
      </w:pBdr>
      <w:spacing w:beforeAutospacing="1" w:after="100" w:afterAutospacing="1"/>
    </w:pPr>
    <w:rPr>
      <w:rFonts w:eastAsia="Times New Roman"/>
      <w:sz w:val="24"/>
    </w:rPr>
  </w:style>
  <w:style w:type="paragraph" w:customStyle="1" w:styleId="xl156">
    <w:name w:val="xl156"/>
    <w:basedOn w:val="Normal"/>
    <w:rsid w:val="0058119B"/>
    <w:pPr>
      <w:pBdr>
        <w:top w:val="single" w:sz="12" w:space="0" w:color="auto"/>
        <w:left w:val="single" w:sz="8" w:space="0" w:color="auto"/>
      </w:pBdr>
      <w:spacing w:beforeAutospacing="1" w:after="100" w:afterAutospacing="1"/>
    </w:pPr>
    <w:rPr>
      <w:rFonts w:eastAsia="Times New Roman"/>
      <w:sz w:val="24"/>
    </w:rPr>
  </w:style>
  <w:style w:type="paragraph" w:customStyle="1" w:styleId="xl157">
    <w:name w:val="xl157"/>
    <w:basedOn w:val="Normal"/>
    <w:rsid w:val="0058119B"/>
    <w:pPr>
      <w:spacing w:beforeAutospacing="1" w:after="100" w:afterAutospacing="1"/>
    </w:pPr>
    <w:rPr>
      <w:rFonts w:eastAsia="Times New Roman"/>
      <w:sz w:val="24"/>
    </w:rPr>
  </w:style>
  <w:style w:type="paragraph" w:customStyle="1" w:styleId="xl158">
    <w:name w:val="xl158"/>
    <w:basedOn w:val="Normal"/>
    <w:rsid w:val="0058119B"/>
    <w:pPr>
      <w:spacing w:beforeAutospacing="1" w:after="100" w:afterAutospacing="1"/>
      <w:jc w:val="center"/>
    </w:pPr>
    <w:rPr>
      <w:rFonts w:eastAsia="Times New Roman"/>
      <w:b/>
      <w:bCs/>
      <w:color w:val="4F81BD"/>
      <w:sz w:val="24"/>
    </w:rPr>
  </w:style>
  <w:style w:type="paragraph" w:customStyle="1" w:styleId="xl159">
    <w:name w:val="xl159"/>
    <w:basedOn w:val="Normal"/>
    <w:rsid w:val="0058119B"/>
    <w:pPr>
      <w:pBdr>
        <w:top w:val="single" w:sz="8" w:space="0" w:color="auto"/>
      </w:pBdr>
      <w:spacing w:beforeAutospacing="1" w:after="100" w:afterAutospacing="1"/>
    </w:pPr>
    <w:rPr>
      <w:rFonts w:eastAsia="Times New Roman"/>
      <w:sz w:val="24"/>
    </w:rPr>
  </w:style>
  <w:style w:type="paragraph" w:customStyle="1" w:styleId="xl160">
    <w:name w:val="xl160"/>
    <w:basedOn w:val="Normal"/>
    <w:rsid w:val="0058119B"/>
    <w:pPr>
      <w:pBdr>
        <w:bottom w:val="single" w:sz="4" w:space="0" w:color="auto"/>
      </w:pBdr>
      <w:spacing w:beforeAutospacing="1" w:after="100" w:afterAutospacing="1"/>
      <w:jc w:val="center"/>
    </w:pPr>
    <w:rPr>
      <w:rFonts w:eastAsia="Times New Roman"/>
      <w:color w:val="5D86E1"/>
      <w:sz w:val="24"/>
    </w:rPr>
  </w:style>
  <w:style w:type="paragraph" w:customStyle="1" w:styleId="xl161">
    <w:name w:val="xl161"/>
    <w:basedOn w:val="Normal"/>
    <w:rsid w:val="0058119B"/>
    <w:pPr>
      <w:pBdr>
        <w:top w:val="single" w:sz="8" w:space="0" w:color="auto"/>
        <w:right w:val="single" w:sz="8" w:space="0" w:color="auto"/>
      </w:pBdr>
      <w:spacing w:beforeAutospacing="1" w:after="100" w:afterAutospacing="1"/>
    </w:pPr>
    <w:rPr>
      <w:rFonts w:eastAsia="Times New Roman"/>
      <w:sz w:val="24"/>
    </w:rPr>
  </w:style>
  <w:style w:type="paragraph" w:customStyle="1" w:styleId="xl162">
    <w:name w:val="xl162"/>
    <w:basedOn w:val="Normal"/>
    <w:rsid w:val="0058119B"/>
    <w:pPr>
      <w:pBdr>
        <w:bottom w:val="single" w:sz="4" w:space="0" w:color="auto"/>
      </w:pBdr>
      <w:spacing w:beforeAutospacing="1" w:after="100" w:afterAutospacing="1"/>
    </w:pPr>
    <w:rPr>
      <w:rFonts w:eastAsia="Times New Roman"/>
      <w:b/>
      <w:bCs/>
      <w:sz w:val="24"/>
    </w:rPr>
  </w:style>
  <w:style w:type="paragraph" w:customStyle="1" w:styleId="xl163">
    <w:name w:val="xl163"/>
    <w:basedOn w:val="Normal"/>
    <w:rsid w:val="0058119B"/>
    <w:pPr>
      <w:pBdr>
        <w:top w:val="single" w:sz="8" w:space="0" w:color="auto"/>
        <w:right w:val="single" w:sz="4" w:space="0" w:color="auto"/>
      </w:pBdr>
      <w:spacing w:beforeAutospacing="1" w:after="100" w:afterAutospacing="1"/>
      <w:jc w:val="center"/>
    </w:pPr>
    <w:rPr>
      <w:rFonts w:eastAsia="Times New Roman"/>
      <w:b/>
      <w:bCs/>
      <w:color w:val="5D86E1"/>
      <w:sz w:val="24"/>
    </w:rPr>
  </w:style>
  <w:style w:type="paragraph" w:customStyle="1" w:styleId="xl164">
    <w:name w:val="xl164"/>
    <w:basedOn w:val="Normal"/>
    <w:rsid w:val="0058119B"/>
    <w:pPr>
      <w:pBdr>
        <w:top w:val="single" w:sz="8" w:space="0" w:color="auto"/>
      </w:pBdr>
      <w:spacing w:beforeAutospacing="1" w:after="100" w:afterAutospacing="1"/>
      <w:jc w:val="center"/>
    </w:pPr>
    <w:rPr>
      <w:rFonts w:eastAsia="Times New Roman"/>
      <w:b/>
      <w:bCs/>
      <w:color w:val="5D86E1"/>
      <w:sz w:val="24"/>
    </w:rPr>
  </w:style>
  <w:style w:type="paragraph" w:customStyle="1" w:styleId="xl165">
    <w:name w:val="xl165"/>
    <w:basedOn w:val="Normal"/>
    <w:rsid w:val="0058119B"/>
    <w:pPr>
      <w:pBdr>
        <w:top w:val="single" w:sz="8" w:space="0" w:color="auto"/>
        <w:left w:val="single" w:sz="4" w:space="0" w:color="auto"/>
      </w:pBdr>
      <w:spacing w:beforeAutospacing="1" w:after="100" w:afterAutospacing="1"/>
      <w:jc w:val="center"/>
    </w:pPr>
    <w:rPr>
      <w:rFonts w:eastAsia="Times New Roman"/>
      <w:b/>
      <w:bCs/>
      <w:color w:val="5D86E1"/>
      <w:sz w:val="24"/>
    </w:rPr>
  </w:style>
  <w:style w:type="paragraph" w:customStyle="1" w:styleId="xl166">
    <w:name w:val="xl166"/>
    <w:basedOn w:val="Normal"/>
    <w:rsid w:val="0058119B"/>
    <w:pPr>
      <w:pBdr>
        <w:bottom w:val="single" w:sz="4" w:space="0" w:color="auto"/>
        <w:right w:val="single" w:sz="4" w:space="0" w:color="auto"/>
      </w:pBdr>
      <w:spacing w:beforeAutospacing="1" w:after="100" w:afterAutospacing="1"/>
    </w:pPr>
    <w:rPr>
      <w:rFonts w:eastAsia="Times New Roman"/>
      <w:b/>
      <w:bCs/>
      <w:color w:val="5D86E1"/>
      <w:sz w:val="24"/>
    </w:rPr>
  </w:style>
  <w:style w:type="paragraph" w:customStyle="1" w:styleId="xl167">
    <w:name w:val="xl167"/>
    <w:basedOn w:val="Normal"/>
    <w:rsid w:val="0058119B"/>
    <w:pPr>
      <w:pBdr>
        <w:bottom w:val="single" w:sz="4" w:space="0" w:color="auto"/>
      </w:pBdr>
      <w:spacing w:beforeAutospacing="1" w:after="100" w:afterAutospacing="1"/>
    </w:pPr>
    <w:rPr>
      <w:rFonts w:eastAsia="Times New Roman"/>
      <w:b/>
      <w:bCs/>
      <w:color w:val="5D86E1"/>
      <w:sz w:val="24"/>
    </w:rPr>
  </w:style>
  <w:style w:type="paragraph" w:customStyle="1" w:styleId="xl168">
    <w:name w:val="xl168"/>
    <w:basedOn w:val="Normal"/>
    <w:rsid w:val="0058119B"/>
    <w:pPr>
      <w:spacing w:beforeAutospacing="1" w:after="100" w:afterAutospacing="1"/>
      <w:jc w:val="center"/>
    </w:pPr>
    <w:rPr>
      <w:rFonts w:eastAsia="Times New Roman"/>
      <w:b/>
      <w:bCs/>
      <w:color w:val="FFFFFF"/>
      <w:sz w:val="24"/>
    </w:rPr>
  </w:style>
  <w:style w:type="paragraph" w:customStyle="1" w:styleId="xl169">
    <w:name w:val="xl169"/>
    <w:basedOn w:val="Normal"/>
    <w:rsid w:val="0058119B"/>
    <w:pPr>
      <w:pBdr>
        <w:right w:val="single" w:sz="8" w:space="0" w:color="auto"/>
      </w:pBdr>
      <w:spacing w:beforeAutospacing="1" w:after="100" w:afterAutospacing="1"/>
    </w:pPr>
    <w:rPr>
      <w:rFonts w:eastAsia="Times New Roman"/>
      <w:b/>
      <w:bCs/>
      <w:sz w:val="24"/>
    </w:rPr>
  </w:style>
  <w:style w:type="paragraph" w:customStyle="1" w:styleId="xl170">
    <w:name w:val="xl170"/>
    <w:basedOn w:val="Normal"/>
    <w:rsid w:val="0058119B"/>
    <w:pPr>
      <w:pBdr>
        <w:top w:val="single" w:sz="12" w:space="0" w:color="auto"/>
        <w:bottom w:val="single" w:sz="8" w:space="0" w:color="auto"/>
      </w:pBdr>
      <w:spacing w:beforeAutospacing="1" w:after="100" w:afterAutospacing="1"/>
      <w:jc w:val="center"/>
    </w:pPr>
    <w:rPr>
      <w:rFonts w:eastAsia="Times New Roman"/>
      <w:b/>
      <w:bCs/>
      <w:sz w:val="28"/>
      <w:szCs w:val="28"/>
    </w:rPr>
  </w:style>
  <w:style w:type="paragraph" w:customStyle="1" w:styleId="xl171">
    <w:name w:val="xl171"/>
    <w:basedOn w:val="Normal"/>
    <w:rsid w:val="0058119B"/>
    <w:pPr>
      <w:pBdr>
        <w:top w:val="single" w:sz="12" w:space="0" w:color="auto"/>
        <w:right w:val="single" w:sz="8" w:space="0" w:color="auto"/>
      </w:pBdr>
      <w:spacing w:beforeAutospacing="1" w:after="100" w:afterAutospacing="1"/>
    </w:pPr>
    <w:rPr>
      <w:rFonts w:eastAsia="Times New Roman"/>
      <w:b/>
      <w:bCs/>
      <w:sz w:val="24"/>
    </w:rPr>
  </w:style>
  <w:style w:type="paragraph" w:customStyle="1" w:styleId="xl172">
    <w:name w:val="xl172"/>
    <w:basedOn w:val="Normal"/>
    <w:rsid w:val="0058119B"/>
    <w:pPr>
      <w:pBdr>
        <w:top w:val="single" w:sz="12" w:space="0" w:color="auto"/>
      </w:pBdr>
      <w:spacing w:beforeAutospacing="1" w:after="100" w:afterAutospacing="1"/>
      <w:jc w:val="center"/>
    </w:pPr>
    <w:rPr>
      <w:rFonts w:eastAsia="Times New Roman"/>
      <w:b/>
      <w:bCs/>
      <w:sz w:val="24"/>
    </w:rPr>
  </w:style>
  <w:style w:type="paragraph" w:customStyle="1" w:styleId="xl173">
    <w:name w:val="xl173"/>
    <w:basedOn w:val="Normal"/>
    <w:rsid w:val="0058119B"/>
    <w:pPr>
      <w:pBdr>
        <w:left w:val="single" w:sz="4" w:space="0" w:color="auto"/>
      </w:pBdr>
      <w:spacing w:beforeAutospacing="1" w:after="100" w:afterAutospacing="1"/>
      <w:jc w:val="center"/>
    </w:pPr>
    <w:rPr>
      <w:rFonts w:eastAsia="Times New Roman"/>
      <w:b/>
      <w:bCs/>
      <w:color w:val="5D86E1"/>
      <w:sz w:val="24"/>
    </w:rPr>
  </w:style>
  <w:style w:type="paragraph" w:customStyle="1" w:styleId="xl174">
    <w:name w:val="xl174"/>
    <w:basedOn w:val="Normal"/>
    <w:rsid w:val="0058119B"/>
    <w:pPr>
      <w:pBdr>
        <w:left w:val="single" w:sz="4" w:space="0" w:color="auto"/>
        <w:bottom w:val="single" w:sz="4" w:space="0" w:color="auto"/>
      </w:pBdr>
      <w:spacing w:beforeAutospacing="1" w:after="100" w:afterAutospacing="1"/>
    </w:pPr>
    <w:rPr>
      <w:rFonts w:eastAsia="Times New Roman"/>
      <w:sz w:val="24"/>
    </w:rPr>
  </w:style>
  <w:style w:type="paragraph" w:customStyle="1" w:styleId="xl175">
    <w:name w:val="xl175"/>
    <w:basedOn w:val="Normal"/>
    <w:rsid w:val="0058119B"/>
    <w:pPr>
      <w:pBdr>
        <w:bottom w:val="single" w:sz="4" w:space="0" w:color="auto"/>
        <w:right w:val="single" w:sz="4" w:space="0" w:color="auto"/>
      </w:pBdr>
      <w:spacing w:beforeAutospacing="1" w:after="100" w:afterAutospacing="1"/>
    </w:pPr>
    <w:rPr>
      <w:rFonts w:eastAsia="Times New Roman"/>
      <w:sz w:val="24"/>
    </w:rPr>
  </w:style>
  <w:style w:type="paragraph" w:customStyle="1" w:styleId="xl176">
    <w:name w:val="xl176"/>
    <w:basedOn w:val="Normal"/>
    <w:rsid w:val="0058119B"/>
    <w:pPr>
      <w:pBdr>
        <w:left w:val="single" w:sz="4" w:space="0" w:color="auto"/>
      </w:pBdr>
      <w:spacing w:beforeAutospacing="1" w:after="100" w:afterAutospacing="1"/>
    </w:pPr>
    <w:rPr>
      <w:rFonts w:eastAsia="Times New Roman"/>
      <w:sz w:val="24"/>
    </w:rPr>
  </w:style>
  <w:style w:type="paragraph" w:customStyle="1" w:styleId="xl177">
    <w:name w:val="xl177"/>
    <w:basedOn w:val="Normal"/>
    <w:rsid w:val="0058119B"/>
    <w:pPr>
      <w:spacing w:beforeAutospacing="1" w:after="100" w:afterAutospacing="1"/>
    </w:pPr>
    <w:rPr>
      <w:rFonts w:eastAsia="Times New Roman"/>
      <w:sz w:val="24"/>
    </w:rPr>
  </w:style>
  <w:style w:type="paragraph" w:customStyle="1" w:styleId="xl178">
    <w:name w:val="xl178"/>
    <w:basedOn w:val="Normal"/>
    <w:rsid w:val="0058119B"/>
    <w:pPr>
      <w:pBdr>
        <w:right w:val="single" w:sz="4" w:space="0" w:color="auto"/>
      </w:pBdr>
      <w:spacing w:beforeAutospacing="1" w:after="100" w:afterAutospacing="1"/>
    </w:pPr>
    <w:rPr>
      <w:rFonts w:eastAsia="Times New Roman"/>
      <w:sz w:val="24"/>
    </w:rPr>
  </w:style>
  <w:style w:type="paragraph" w:customStyle="1" w:styleId="xl179">
    <w:name w:val="xl179"/>
    <w:basedOn w:val="Normal"/>
    <w:rsid w:val="0058119B"/>
    <w:pPr>
      <w:pBdr>
        <w:top w:val="single" w:sz="4" w:space="0" w:color="auto"/>
        <w:left w:val="single" w:sz="4" w:space="0" w:color="auto"/>
        <w:bottom w:val="single" w:sz="4" w:space="0" w:color="auto"/>
      </w:pBdr>
      <w:spacing w:beforeAutospacing="1" w:after="100" w:afterAutospacing="1"/>
      <w:jc w:val="center"/>
    </w:pPr>
    <w:rPr>
      <w:rFonts w:eastAsia="Times New Roman"/>
      <w:b/>
      <w:bCs/>
      <w:sz w:val="24"/>
    </w:rPr>
  </w:style>
  <w:style w:type="paragraph" w:customStyle="1" w:styleId="xl180">
    <w:name w:val="xl180"/>
    <w:basedOn w:val="Normal"/>
    <w:rsid w:val="0058119B"/>
    <w:pPr>
      <w:pBdr>
        <w:top w:val="single" w:sz="4" w:space="0" w:color="auto"/>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181">
    <w:name w:val="xl181"/>
    <w:basedOn w:val="Normal"/>
    <w:rsid w:val="0058119B"/>
    <w:pPr>
      <w:spacing w:beforeAutospacing="1" w:after="100" w:afterAutospacing="1"/>
    </w:pPr>
    <w:rPr>
      <w:rFonts w:eastAsia="Times New Roman"/>
      <w:b/>
      <w:bCs/>
      <w:sz w:val="24"/>
    </w:rPr>
  </w:style>
  <w:style w:type="paragraph" w:customStyle="1" w:styleId="xl182">
    <w:name w:val="xl182"/>
    <w:basedOn w:val="Normal"/>
    <w:rsid w:val="0058119B"/>
    <w:pPr>
      <w:spacing w:beforeAutospacing="1" w:after="100" w:afterAutospacing="1"/>
    </w:pPr>
    <w:rPr>
      <w:rFonts w:eastAsia="Times New Roman"/>
      <w:sz w:val="24"/>
    </w:rPr>
  </w:style>
  <w:style w:type="paragraph" w:customStyle="1" w:styleId="xl183">
    <w:name w:val="xl183"/>
    <w:basedOn w:val="Normal"/>
    <w:rsid w:val="0058119B"/>
    <w:pPr>
      <w:pBdr>
        <w:top w:val="single" w:sz="4" w:space="0" w:color="auto"/>
        <w:left w:val="single" w:sz="4" w:space="0" w:color="auto"/>
        <w:bottom w:val="single" w:sz="4" w:space="0" w:color="auto"/>
        <w:right w:val="single" w:sz="4" w:space="0" w:color="auto"/>
      </w:pBdr>
      <w:shd w:val="clear" w:color="auto" w:fill="FFC000"/>
      <w:spacing w:beforeAutospacing="1" w:after="100" w:afterAutospacing="1"/>
      <w:jc w:val="center"/>
    </w:pPr>
    <w:rPr>
      <w:rFonts w:eastAsia="Times New Roman"/>
      <w:b/>
      <w:bCs/>
      <w:color w:val="FFFFFF"/>
      <w:sz w:val="24"/>
    </w:rPr>
  </w:style>
  <w:style w:type="paragraph" w:customStyle="1" w:styleId="xl184">
    <w:name w:val="xl184"/>
    <w:basedOn w:val="Normal"/>
    <w:rsid w:val="0058119B"/>
    <w:pPr>
      <w:pBdr>
        <w:top w:val="single" w:sz="4" w:space="0" w:color="auto"/>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185">
    <w:name w:val="xl185"/>
    <w:basedOn w:val="Normal"/>
    <w:rsid w:val="0058119B"/>
    <w:pPr>
      <w:pBdr>
        <w:top w:val="single" w:sz="4" w:space="0" w:color="auto"/>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186">
    <w:name w:val="xl186"/>
    <w:basedOn w:val="Normal"/>
    <w:rsid w:val="0058119B"/>
    <w:pPr>
      <w:spacing w:beforeAutospacing="1" w:after="100" w:afterAutospacing="1"/>
      <w:jc w:val="center"/>
    </w:pPr>
    <w:rPr>
      <w:rFonts w:eastAsia="Times New Roman"/>
      <w:b/>
      <w:bCs/>
      <w:sz w:val="24"/>
    </w:rPr>
  </w:style>
  <w:style w:type="paragraph" w:customStyle="1" w:styleId="xl187">
    <w:name w:val="xl187"/>
    <w:basedOn w:val="Normal"/>
    <w:rsid w:val="0058119B"/>
    <w:pPr>
      <w:pBdr>
        <w:top w:val="single" w:sz="4" w:space="0" w:color="auto"/>
        <w:left w:val="single" w:sz="4" w:space="0" w:color="auto"/>
        <w:bottom w:val="single" w:sz="4" w:space="0" w:color="auto"/>
        <w:right w:val="single" w:sz="4" w:space="0" w:color="auto"/>
      </w:pBdr>
      <w:spacing w:beforeAutospacing="1" w:after="100" w:afterAutospacing="1"/>
      <w:jc w:val="center"/>
    </w:pPr>
    <w:rPr>
      <w:rFonts w:eastAsia="Times New Roman"/>
      <w:sz w:val="24"/>
    </w:rPr>
  </w:style>
  <w:style w:type="paragraph" w:customStyle="1" w:styleId="xl188">
    <w:name w:val="xl188"/>
    <w:basedOn w:val="Normal"/>
    <w:rsid w:val="0058119B"/>
    <w:pPr>
      <w:spacing w:beforeAutospacing="1" w:after="100" w:afterAutospacing="1"/>
      <w:jc w:val="center"/>
    </w:pPr>
    <w:rPr>
      <w:rFonts w:eastAsia="Times New Roman"/>
      <w:b/>
      <w:bCs/>
      <w:sz w:val="26"/>
      <w:szCs w:val="26"/>
    </w:rPr>
  </w:style>
  <w:style w:type="paragraph" w:customStyle="1" w:styleId="xl189">
    <w:name w:val="xl189"/>
    <w:basedOn w:val="Normal"/>
    <w:rsid w:val="0058119B"/>
    <w:pPr>
      <w:spacing w:beforeAutospacing="1" w:after="100" w:afterAutospacing="1"/>
      <w:jc w:val="center"/>
    </w:pPr>
    <w:rPr>
      <w:rFonts w:eastAsia="Times New Roman"/>
      <w:b/>
      <w:bCs/>
      <w:sz w:val="24"/>
    </w:rPr>
  </w:style>
  <w:style w:type="paragraph" w:customStyle="1" w:styleId="xl190">
    <w:name w:val="xl190"/>
    <w:basedOn w:val="Normal"/>
    <w:rsid w:val="0058119B"/>
    <w:pPr>
      <w:pBdr>
        <w:top w:val="single" w:sz="4" w:space="0" w:color="auto"/>
        <w:left w:val="single" w:sz="4" w:space="0" w:color="auto"/>
        <w:bottom w:val="single" w:sz="4" w:space="0" w:color="auto"/>
        <w:right w:val="single" w:sz="4" w:space="0" w:color="auto"/>
      </w:pBdr>
      <w:shd w:val="clear" w:color="auto" w:fill="FFCC00"/>
      <w:spacing w:beforeAutospacing="1" w:after="100" w:afterAutospacing="1"/>
      <w:jc w:val="center"/>
    </w:pPr>
    <w:rPr>
      <w:rFonts w:eastAsia="Times New Roman"/>
      <w:b/>
      <w:bCs/>
      <w:color w:val="FFFFFF"/>
      <w:sz w:val="24"/>
    </w:rPr>
  </w:style>
  <w:style w:type="paragraph" w:customStyle="1" w:styleId="xl191">
    <w:name w:val="xl191"/>
    <w:basedOn w:val="Normal"/>
    <w:rsid w:val="0058119B"/>
    <w:pPr>
      <w:spacing w:beforeAutospacing="1" w:after="100" w:afterAutospacing="1"/>
      <w:jc w:val="right"/>
    </w:pPr>
    <w:rPr>
      <w:rFonts w:eastAsia="Times New Roman"/>
      <w:sz w:val="24"/>
    </w:rPr>
  </w:style>
  <w:style w:type="paragraph" w:customStyle="1" w:styleId="xl192">
    <w:name w:val="xl192"/>
    <w:basedOn w:val="Normal"/>
    <w:rsid w:val="0058119B"/>
    <w:pPr>
      <w:pBdr>
        <w:top w:val="single" w:sz="4" w:space="0" w:color="auto"/>
        <w:left w:val="single" w:sz="4" w:space="0" w:color="auto"/>
        <w:bottom w:val="single" w:sz="4" w:space="0" w:color="auto"/>
        <w:right w:val="single" w:sz="4" w:space="0" w:color="auto"/>
      </w:pBdr>
      <w:spacing w:beforeAutospacing="1" w:after="100" w:afterAutospacing="1"/>
      <w:jc w:val="center"/>
    </w:pPr>
    <w:rPr>
      <w:rFonts w:eastAsia="Times New Roman"/>
      <w:b/>
      <w:bCs/>
      <w:sz w:val="24"/>
    </w:rPr>
  </w:style>
  <w:style w:type="paragraph" w:customStyle="1" w:styleId="xl193">
    <w:name w:val="xl193"/>
    <w:basedOn w:val="Normal"/>
    <w:rsid w:val="0058119B"/>
    <w:pPr>
      <w:pBdr>
        <w:left w:val="single" w:sz="4" w:space="0" w:color="auto"/>
      </w:pBdr>
      <w:spacing w:beforeAutospacing="1" w:after="100" w:afterAutospacing="1"/>
      <w:jc w:val="center"/>
    </w:pPr>
    <w:rPr>
      <w:rFonts w:eastAsia="Times New Roman"/>
      <w:b/>
      <w:bCs/>
      <w:sz w:val="24"/>
    </w:rPr>
  </w:style>
  <w:style w:type="paragraph" w:customStyle="1" w:styleId="xl194">
    <w:name w:val="xl194"/>
    <w:basedOn w:val="Normal"/>
    <w:rsid w:val="0058119B"/>
    <w:pPr>
      <w:spacing w:beforeAutospacing="1" w:after="100" w:afterAutospacing="1"/>
    </w:pPr>
    <w:rPr>
      <w:rFonts w:eastAsia="Times New Roman"/>
      <w:color w:val="000000"/>
      <w:sz w:val="24"/>
    </w:rPr>
  </w:style>
  <w:style w:type="paragraph" w:customStyle="1" w:styleId="xl195">
    <w:name w:val="xl195"/>
    <w:basedOn w:val="Normal"/>
    <w:rsid w:val="0058119B"/>
    <w:pPr>
      <w:spacing w:beforeAutospacing="1" w:after="100" w:afterAutospacing="1"/>
      <w:jc w:val="center"/>
    </w:pPr>
    <w:rPr>
      <w:rFonts w:eastAsia="Times New Roman"/>
      <w:b/>
      <w:bCs/>
      <w:color w:val="3366FF"/>
      <w:sz w:val="24"/>
    </w:rPr>
  </w:style>
  <w:style w:type="paragraph" w:customStyle="1" w:styleId="xl196">
    <w:name w:val="xl196"/>
    <w:basedOn w:val="Normal"/>
    <w:rsid w:val="0058119B"/>
    <w:pPr>
      <w:pBdr>
        <w:top w:val="single" w:sz="4" w:space="0" w:color="auto"/>
        <w:left w:val="single" w:sz="4" w:space="0" w:color="auto"/>
        <w:bottom w:val="single" w:sz="4" w:space="0" w:color="auto"/>
        <w:right w:val="single" w:sz="4" w:space="0" w:color="auto"/>
      </w:pBdr>
      <w:shd w:val="clear" w:color="auto" w:fill="FFC000"/>
      <w:spacing w:beforeAutospacing="1" w:after="100" w:afterAutospacing="1"/>
      <w:jc w:val="center"/>
    </w:pPr>
    <w:rPr>
      <w:rFonts w:eastAsia="Times New Roman"/>
      <w:b/>
      <w:bCs/>
      <w:color w:val="FFFFFF"/>
      <w:sz w:val="24"/>
    </w:rPr>
  </w:style>
  <w:style w:type="paragraph" w:customStyle="1" w:styleId="xl197">
    <w:name w:val="xl197"/>
    <w:basedOn w:val="Normal"/>
    <w:rsid w:val="0058119B"/>
    <w:pPr>
      <w:pBdr>
        <w:left w:val="single" w:sz="4" w:space="0" w:color="auto"/>
      </w:pBdr>
      <w:spacing w:beforeAutospacing="1" w:after="100" w:afterAutospacing="1"/>
      <w:jc w:val="right"/>
    </w:pPr>
    <w:rPr>
      <w:rFonts w:eastAsia="Times New Roman"/>
      <w:b/>
      <w:bCs/>
      <w:sz w:val="24"/>
    </w:rPr>
  </w:style>
  <w:style w:type="paragraph" w:customStyle="1" w:styleId="xl198">
    <w:name w:val="xl198"/>
    <w:basedOn w:val="Normal"/>
    <w:rsid w:val="0058119B"/>
    <w:pPr>
      <w:spacing w:beforeAutospacing="1" w:after="100" w:afterAutospacing="1"/>
      <w:jc w:val="right"/>
    </w:pPr>
    <w:rPr>
      <w:rFonts w:eastAsia="Times New Roman"/>
      <w:b/>
      <w:bCs/>
      <w:sz w:val="24"/>
    </w:rPr>
  </w:style>
  <w:style w:type="paragraph" w:customStyle="1" w:styleId="xl199">
    <w:name w:val="xl199"/>
    <w:basedOn w:val="Normal"/>
    <w:rsid w:val="0058119B"/>
    <w:pPr>
      <w:spacing w:beforeAutospacing="1" w:after="100" w:afterAutospacing="1"/>
    </w:pPr>
    <w:rPr>
      <w:rFonts w:eastAsia="Times New Roman"/>
      <w:b/>
      <w:bCs/>
      <w:color w:val="000000"/>
      <w:sz w:val="24"/>
    </w:rPr>
  </w:style>
  <w:style w:type="paragraph" w:customStyle="1" w:styleId="xl200">
    <w:name w:val="xl200"/>
    <w:basedOn w:val="Normal"/>
    <w:rsid w:val="0058119B"/>
    <w:pPr>
      <w:pBdr>
        <w:bottom w:val="single" w:sz="8" w:space="0" w:color="auto"/>
      </w:pBdr>
      <w:spacing w:beforeAutospacing="1" w:after="100" w:afterAutospacing="1"/>
    </w:pPr>
    <w:rPr>
      <w:rFonts w:eastAsia="Times New Roman"/>
      <w:b/>
      <w:bCs/>
      <w:color w:val="000000"/>
      <w:sz w:val="24"/>
    </w:rPr>
  </w:style>
  <w:style w:type="paragraph" w:customStyle="1" w:styleId="xl201">
    <w:name w:val="xl201"/>
    <w:basedOn w:val="Normal"/>
    <w:rsid w:val="0058119B"/>
    <w:pPr>
      <w:pBdr>
        <w:top w:val="single" w:sz="4" w:space="0" w:color="auto"/>
      </w:pBdr>
      <w:spacing w:beforeAutospacing="1" w:after="100" w:afterAutospacing="1"/>
      <w:jc w:val="center"/>
    </w:pPr>
    <w:rPr>
      <w:rFonts w:eastAsia="Times New Roman"/>
      <w:b/>
      <w:bCs/>
      <w:color w:val="FFFFFF"/>
      <w:sz w:val="24"/>
    </w:rPr>
  </w:style>
  <w:style w:type="paragraph" w:customStyle="1" w:styleId="xl202">
    <w:name w:val="xl202"/>
    <w:basedOn w:val="Normal"/>
    <w:rsid w:val="0058119B"/>
    <w:pPr>
      <w:spacing w:beforeAutospacing="1" w:after="100" w:afterAutospacing="1"/>
    </w:pPr>
    <w:rPr>
      <w:rFonts w:eastAsia="Times New Roman"/>
      <w:b/>
      <w:bCs/>
      <w:sz w:val="26"/>
      <w:szCs w:val="26"/>
    </w:rPr>
  </w:style>
  <w:style w:type="paragraph" w:customStyle="1" w:styleId="xl203">
    <w:name w:val="xl203"/>
    <w:basedOn w:val="Normal"/>
    <w:rsid w:val="0058119B"/>
    <w:pPr>
      <w:pBdr>
        <w:top w:val="single" w:sz="4" w:space="0" w:color="auto"/>
        <w:left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04">
    <w:name w:val="xl204"/>
    <w:basedOn w:val="Normal"/>
    <w:rsid w:val="0058119B"/>
    <w:pPr>
      <w:spacing w:beforeAutospacing="1" w:after="100" w:afterAutospacing="1"/>
      <w:jc w:val="center"/>
    </w:pPr>
    <w:rPr>
      <w:rFonts w:eastAsia="Times New Roman"/>
      <w:b/>
      <w:bCs/>
      <w:sz w:val="26"/>
      <w:szCs w:val="26"/>
    </w:rPr>
  </w:style>
  <w:style w:type="paragraph" w:customStyle="1" w:styleId="xl205">
    <w:name w:val="xl205"/>
    <w:basedOn w:val="Normal"/>
    <w:rsid w:val="0058119B"/>
    <w:pPr>
      <w:pBdr>
        <w:top w:val="single" w:sz="8" w:space="0" w:color="auto"/>
        <w:left w:val="single" w:sz="8" w:space="0" w:color="auto"/>
        <w:bottom w:val="single" w:sz="8" w:space="0" w:color="auto"/>
      </w:pBdr>
      <w:shd w:val="clear" w:color="auto" w:fill="F2DDDC"/>
      <w:spacing w:beforeAutospacing="1" w:after="100" w:afterAutospacing="1"/>
      <w:jc w:val="center"/>
    </w:pPr>
    <w:rPr>
      <w:rFonts w:eastAsia="Times New Roman"/>
      <w:b/>
      <w:bCs/>
      <w:sz w:val="26"/>
      <w:szCs w:val="26"/>
    </w:rPr>
  </w:style>
  <w:style w:type="paragraph" w:customStyle="1" w:styleId="xl206">
    <w:name w:val="xl206"/>
    <w:basedOn w:val="Normal"/>
    <w:rsid w:val="0058119B"/>
    <w:pPr>
      <w:pBdr>
        <w:top w:val="single" w:sz="8" w:space="0" w:color="auto"/>
        <w:bottom w:val="single" w:sz="8" w:space="0" w:color="auto"/>
      </w:pBdr>
      <w:shd w:val="clear" w:color="auto" w:fill="F2DDDC"/>
      <w:spacing w:beforeAutospacing="1" w:after="100" w:afterAutospacing="1"/>
      <w:jc w:val="center"/>
    </w:pPr>
    <w:rPr>
      <w:rFonts w:eastAsia="Times New Roman"/>
      <w:b/>
      <w:bCs/>
      <w:sz w:val="26"/>
      <w:szCs w:val="26"/>
    </w:rPr>
  </w:style>
  <w:style w:type="paragraph" w:customStyle="1" w:styleId="xl207">
    <w:name w:val="xl207"/>
    <w:basedOn w:val="Normal"/>
    <w:rsid w:val="0058119B"/>
    <w:pPr>
      <w:pBdr>
        <w:top w:val="single" w:sz="8" w:space="0" w:color="auto"/>
        <w:bottom w:val="single" w:sz="8" w:space="0" w:color="auto"/>
        <w:right w:val="single" w:sz="8" w:space="0" w:color="auto"/>
      </w:pBdr>
      <w:shd w:val="clear" w:color="auto" w:fill="F2DDDC"/>
      <w:spacing w:beforeAutospacing="1" w:after="100" w:afterAutospacing="1"/>
      <w:jc w:val="center"/>
    </w:pPr>
    <w:rPr>
      <w:rFonts w:eastAsia="Times New Roman"/>
      <w:b/>
      <w:bCs/>
      <w:sz w:val="26"/>
      <w:szCs w:val="26"/>
    </w:rPr>
  </w:style>
  <w:style w:type="paragraph" w:customStyle="1" w:styleId="xl208">
    <w:name w:val="xl208"/>
    <w:basedOn w:val="Normal"/>
    <w:rsid w:val="0058119B"/>
    <w:pPr>
      <w:pBdr>
        <w:top w:val="single" w:sz="8" w:space="0" w:color="auto"/>
        <w:left w:val="single" w:sz="8" w:space="0" w:color="auto"/>
        <w:bottom w:val="single" w:sz="8" w:space="0" w:color="auto"/>
      </w:pBdr>
      <w:shd w:val="clear" w:color="auto" w:fill="E6B9B8"/>
      <w:spacing w:beforeAutospacing="1" w:after="100" w:afterAutospacing="1"/>
      <w:jc w:val="center"/>
    </w:pPr>
    <w:rPr>
      <w:rFonts w:eastAsia="Times New Roman"/>
      <w:b/>
      <w:bCs/>
      <w:sz w:val="28"/>
      <w:szCs w:val="28"/>
    </w:rPr>
  </w:style>
  <w:style w:type="paragraph" w:customStyle="1" w:styleId="xl209">
    <w:name w:val="xl209"/>
    <w:basedOn w:val="Normal"/>
    <w:rsid w:val="0058119B"/>
    <w:pPr>
      <w:pBdr>
        <w:top w:val="single" w:sz="8" w:space="0" w:color="auto"/>
        <w:bottom w:val="single" w:sz="8" w:space="0" w:color="auto"/>
      </w:pBdr>
      <w:shd w:val="clear" w:color="auto" w:fill="E6B9B8"/>
      <w:spacing w:beforeAutospacing="1" w:after="100" w:afterAutospacing="1"/>
      <w:jc w:val="center"/>
    </w:pPr>
    <w:rPr>
      <w:rFonts w:eastAsia="Times New Roman"/>
      <w:b/>
      <w:bCs/>
      <w:sz w:val="28"/>
      <w:szCs w:val="28"/>
    </w:rPr>
  </w:style>
  <w:style w:type="paragraph" w:customStyle="1" w:styleId="xl210">
    <w:name w:val="xl210"/>
    <w:basedOn w:val="Normal"/>
    <w:rsid w:val="0058119B"/>
    <w:pPr>
      <w:pBdr>
        <w:top w:val="single" w:sz="8" w:space="0" w:color="auto"/>
        <w:bottom w:val="single" w:sz="8" w:space="0" w:color="auto"/>
        <w:right w:val="single" w:sz="8" w:space="0" w:color="auto"/>
      </w:pBdr>
      <w:shd w:val="clear" w:color="auto" w:fill="E6B9B8"/>
      <w:spacing w:beforeAutospacing="1" w:after="100" w:afterAutospacing="1"/>
      <w:jc w:val="center"/>
    </w:pPr>
    <w:rPr>
      <w:rFonts w:eastAsia="Times New Roman"/>
      <w:b/>
      <w:bCs/>
      <w:sz w:val="28"/>
      <w:szCs w:val="28"/>
    </w:rPr>
  </w:style>
  <w:style w:type="paragraph" w:customStyle="1" w:styleId="xl211">
    <w:name w:val="xl211"/>
    <w:basedOn w:val="Normal"/>
    <w:rsid w:val="0058119B"/>
    <w:pPr>
      <w:pBdr>
        <w:left w:val="single" w:sz="8" w:space="0" w:color="auto"/>
        <w:bottom w:val="single" w:sz="8" w:space="0" w:color="auto"/>
      </w:pBdr>
      <w:spacing w:beforeAutospacing="1" w:after="100" w:afterAutospacing="1"/>
      <w:jc w:val="center"/>
    </w:pPr>
    <w:rPr>
      <w:rFonts w:eastAsia="Times New Roman"/>
      <w:b/>
      <w:bCs/>
      <w:sz w:val="28"/>
      <w:szCs w:val="28"/>
    </w:rPr>
  </w:style>
  <w:style w:type="paragraph" w:customStyle="1" w:styleId="xl212">
    <w:name w:val="xl212"/>
    <w:basedOn w:val="Normal"/>
    <w:rsid w:val="0058119B"/>
    <w:pPr>
      <w:pBdr>
        <w:bottom w:val="single" w:sz="8" w:space="0" w:color="auto"/>
      </w:pBdr>
      <w:spacing w:beforeAutospacing="1" w:after="100" w:afterAutospacing="1"/>
      <w:jc w:val="center"/>
    </w:pPr>
    <w:rPr>
      <w:rFonts w:eastAsia="Times New Roman"/>
      <w:b/>
      <w:bCs/>
      <w:sz w:val="28"/>
      <w:szCs w:val="28"/>
    </w:rPr>
  </w:style>
  <w:style w:type="paragraph" w:customStyle="1" w:styleId="xl213">
    <w:name w:val="xl213"/>
    <w:basedOn w:val="Normal"/>
    <w:rsid w:val="0058119B"/>
    <w:pPr>
      <w:pBdr>
        <w:bottom w:val="single" w:sz="8" w:space="0" w:color="auto"/>
        <w:right w:val="single" w:sz="8" w:space="0" w:color="auto"/>
      </w:pBdr>
      <w:spacing w:beforeAutospacing="1" w:after="100" w:afterAutospacing="1"/>
      <w:jc w:val="center"/>
    </w:pPr>
    <w:rPr>
      <w:rFonts w:eastAsia="Times New Roman"/>
      <w:b/>
      <w:bCs/>
      <w:sz w:val="28"/>
      <w:szCs w:val="28"/>
    </w:rPr>
  </w:style>
  <w:style w:type="paragraph" w:customStyle="1" w:styleId="xl214">
    <w:name w:val="xl214"/>
    <w:basedOn w:val="Normal"/>
    <w:rsid w:val="0058119B"/>
    <w:pPr>
      <w:pBdr>
        <w:top w:val="single" w:sz="4" w:space="0" w:color="auto"/>
        <w:lef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15">
    <w:name w:val="xl215"/>
    <w:basedOn w:val="Normal"/>
    <w:rsid w:val="0058119B"/>
    <w:pPr>
      <w:pBdr>
        <w:top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16">
    <w:name w:val="xl216"/>
    <w:basedOn w:val="Normal"/>
    <w:rsid w:val="0058119B"/>
    <w:pPr>
      <w:pBdr>
        <w:top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17">
    <w:name w:val="xl217"/>
    <w:basedOn w:val="Normal"/>
    <w:rsid w:val="0058119B"/>
    <w:pPr>
      <w:pBdr>
        <w:left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18">
    <w:name w:val="xl218"/>
    <w:basedOn w:val="Normal"/>
    <w:rsid w:val="0058119B"/>
    <w:pPr>
      <w:pBdr>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19">
    <w:name w:val="xl219"/>
    <w:basedOn w:val="Normal"/>
    <w:rsid w:val="0058119B"/>
    <w:pPr>
      <w:pBdr>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20">
    <w:name w:val="xl220"/>
    <w:basedOn w:val="Normal"/>
    <w:rsid w:val="0058119B"/>
    <w:pPr>
      <w:pBdr>
        <w:top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21">
    <w:name w:val="xl221"/>
    <w:basedOn w:val="Normal"/>
    <w:rsid w:val="0058119B"/>
    <w:pPr>
      <w:pBdr>
        <w:top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22">
    <w:name w:val="xl222"/>
    <w:basedOn w:val="Normal"/>
    <w:rsid w:val="0058119B"/>
    <w:pPr>
      <w:pBdr>
        <w:bottom w:val="single" w:sz="4" w:space="0" w:color="auto"/>
      </w:pBdr>
      <w:spacing w:beforeAutospacing="1" w:after="100" w:afterAutospacing="1"/>
    </w:pPr>
    <w:rPr>
      <w:rFonts w:eastAsia="Times New Roman"/>
      <w:color w:val="000000"/>
      <w:sz w:val="24"/>
    </w:rPr>
  </w:style>
  <w:style w:type="paragraph" w:customStyle="1" w:styleId="xl223">
    <w:name w:val="xl223"/>
    <w:basedOn w:val="Normal"/>
    <w:rsid w:val="0058119B"/>
    <w:pPr>
      <w:pBdr>
        <w:top w:val="single" w:sz="4" w:space="0" w:color="auto"/>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4F81BD"/>
      <w:sz w:val="24"/>
    </w:rPr>
  </w:style>
  <w:style w:type="paragraph" w:customStyle="1" w:styleId="xl224">
    <w:name w:val="xl224"/>
    <w:basedOn w:val="Normal"/>
    <w:rsid w:val="0058119B"/>
    <w:pPr>
      <w:pBdr>
        <w:top w:val="single" w:sz="8" w:space="0" w:color="auto"/>
        <w:left w:val="single" w:sz="8" w:space="0" w:color="auto"/>
        <w:bottom w:val="single" w:sz="8" w:space="0" w:color="auto"/>
      </w:pBdr>
      <w:spacing w:beforeAutospacing="1" w:after="100" w:afterAutospacing="1"/>
      <w:jc w:val="center"/>
    </w:pPr>
    <w:rPr>
      <w:rFonts w:eastAsia="Times New Roman"/>
      <w:b/>
      <w:bCs/>
      <w:sz w:val="28"/>
      <w:szCs w:val="28"/>
    </w:rPr>
  </w:style>
  <w:style w:type="paragraph" w:customStyle="1" w:styleId="xl225">
    <w:name w:val="xl225"/>
    <w:basedOn w:val="Normal"/>
    <w:rsid w:val="0058119B"/>
    <w:pPr>
      <w:pBdr>
        <w:top w:val="single" w:sz="8" w:space="0" w:color="auto"/>
        <w:bottom w:val="single" w:sz="8" w:space="0" w:color="auto"/>
      </w:pBdr>
      <w:spacing w:beforeAutospacing="1" w:after="100" w:afterAutospacing="1"/>
      <w:jc w:val="center"/>
    </w:pPr>
    <w:rPr>
      <w:rFonts w:eastAsia="Times New Roman"/>
      <w:b/>
      <w:bCs/>
      <w:sz w:val="28"/>
      <w:szCs w:val="28"/>
    </w:rPr>
  </w:style>
  <w:style w:type="paragraph" w:customStyle="1" w:styleId="xl226">
    <w:name w:val="xl226"/>
    <w:basedOn w:val="Normal"/>
    <w:rsid w:val="0058119B"/>
    <w:pPr>
      <w:pBdr>
        <w:top w:val="single" w:sz="8" w:space="0" w:color="auto"/>
        <w:bottom w:val="single" w:sz="8" w:space="0" w:color="auto"/>
        <w:right w:val="single" w:sz="8" w:space="0" w:color="auto"/>
      </w:pBdr>
      <w:spacing w:beforeAutospacing="1" w:after="100" w:afterAutospacing="1"/>
      <w:jc w:val="center"/>
    </w:pPr>
    <w:rPr>
      <w:rFonts w:eastAsia="Times New Roman"/>
      <w:b/>
      <w:bCs/>
      <w:sz w:val="28"/>
      <w:szCs w:val="28"/>
    </w:rPr>
  </w:style>
  <w:style w:type="paragraph" w:customStyle="1" w:styleId="xl227">
    <w:name w:val="xl227"/>
    <w:basedOn w:val="Normal"/>
    <w:rsid w:val="0058119B"/>
    <w:pPr>
      <w:pBdr>
        <w:top w:val="single" w:sz="8" w:space="0" w:color="auto"/>
        <w:left w:val="single" w:sz="8" w:space="0" w:color="auto"/>
        <w:bottom w:val="single" w:sz="8" w:space="0" w:color="auto"/>
      </w:pBdr>
      <w:shd w:val="clear" w:color="auto" w:fill="8DB4E3"/>
      <w:spacing w:beforeAutospacing="1" w:after="100" w:afterAutospacing="1"/>
      <w:jc w:val="center"/>
    </w:pPr>
    <w:rPr>
      <w:rFonts w:eastAsia="Times New Roman"/>
      <w:b/>
      <w:bCs/>
      <w:sz w:val="28"/>
      <w:szCs w:val="28"/>
    </w:rPr>
  </w:style>
  <w:style w:type="paragraph" w:customStyle="1" w:styleId="xl228">
    <w:name w:val="xl228"/>
    <w:basedOn w:val="Normal"/>
    <w:rsid w:val="0058119B"/>
    <w:pPr>
      <w:pBdr>
        <w:top w:val="single" w:sz="8" w:space="0" w:color="auto"/>
        <w:bottom w:val="single" w:sz="8" w:space="0" w:color="auto"/>
      </w:pBdr>
      <w:shd w:val="clear" w:color="auto" w:fill="8DB4E3"/>
      <w:spacing w:beforeAutospacing="1" w:after="100" w:afterAutospacing="1"/>
      <w:jc w:val="center"/>
    </w:pPr>
    <w:rPr>
      <w:rFonts w:eastAsia="Times New Roman"/>
      <w:b/>
      <w:bCs/>
      <w:sz w:val="28"/>
      <w:szCs w:val="28"/>
    </w:rPr>
  </w:style>
  <w:style w:type="paragraph" w:customStyle="1" w:styleId="xl229">
    <w:name w:val="xl229"/>
    <w:basedOn w:val="Normal"/>
    <w:rsid w:val="0058119B"/>
    <w:pPr>
      <w:pBdr>
        <w:top w:val="single" w:sz="8" w:space="0" w:color="auto"/>
        <w:bottom w:val="single" w:sz="8" w:space="0" w:color="auto"/>
        <w:right w:val="single" w:sz="8" w:space="0" w:color="auto"/>
      </w:pBdr>
      <w:shd w:val="clear" w:color="auto" w:fill="8DB4E3"/>
      <w:spacing w:beforeAutospacing="1" w:after="100" w:afterAutospacing="1"/>
      <w:jc w:val="center"/>
    </w:pPr>
    <w:rPr>
      <w:rFonts w:eastAsia="Times New Roman"/>
      <w:b/>
      <w:bCs/>
      <w:sz w:val="28"/>
      <w:szCs w:val="28"/>
    </w:rPr>
  </w:style>
  <w:style w:type="paragraph" w:customStyle="1" w:styleId="xl230">
    <w:name w:val="xl230"/>
    <w:basedOn w:val="Normal"/>
    <w:rsid w:val="0058119B"/>
    <w:pPr>
      <w:pBdr>
        <w:top w:val="single" w:sz="8" w:space="0" w:color="auto"/>
        <w:left w:val="single" w:sz="8" w:space="0" w:color="auto"/>
        <w:bottom w:val="single" w:sz="8" w:space="0" w:color="auto"/>
      </w:pBdr>
      <w:shd w:val="clear" w:color="auto" w:fill="C5D9F1"/>
      <w:spacing w:beforeAutospacing="1" w:after="100" w:afterAutospacing="1"/>
      <w:jc w:val="center"/>
    </w:pPr>
    <w:rPr>
      <w:rFonts w:eastAsia="Times New Roman"/>
      <w:b/>
      <w:bCs/>
      <w:sz w:val="26"/>
      <w:szCs w:val="26"/>
    </w:rPr>
  </w:style>
  <w:style w:type="paragraph" w:customStyle="1" w:styleId="xl231">
    <w:name w:val="xl231"/>
    <w:basedOn w:val="Normal"/>
    <w:rsid w:val="0058119B"/>
    <w:pPr>
      <w:pBdr>
        <w:top w:val="single" w:sz="8" w:space="0" w:color="auto"/>
        <w:bottom w:val="single" w:sz="8" w:space="0" w:color="auto"/>
      </w:pBdr>
      <w:shd w:val="clear" w:color="auto" w:fill="C5D9F1"/>
      <w:spacing w:beforeAutospacing="1" w:after="100" w:afterAutospacing="1"/>
      <w:jc w:val="center"/>
    </w:pPr>
    <w:rPr>
      <w:rFonts w:eastAsia="Times New Roman"/>
      <w:b/>
      <w:bCs/>
      <w:sz w:val="26"/>
      <w:szCs w:val="26"/>
    </w:rPr>
  </w:style>
  <w:style w:type="paragraph" w:customStyle="1" w:styleId="xl232">
    <w:name w:val="xl232"/>
    <w:basedOn w:val="Normal"/>
    <w:rsid w:val="0058119B"/>
    <w:pPr>
      <w:pBdr>
        <w:top w:val="single" w:sz="8" w:space="0" w:color="auto"/>
        <w:bottom w:val="single" w:sz="8" w:space="0" w:color="auto"/>
        <w:right w:val="single" w:sz="8" w:space="0" w:color="auto"/>
      </w:pBdr>
      <w:shd w:val="clear" w:color="auto" w:fill="C5D9F1"/>
      <w:spacing w:beforeAutospacing="1" w:after="100" w:afterAutospacing="1"/>
      <w:jc w:val="center"/>
    </w:pPr>
    <w:rPr>
      <w:rFonts w:eastAsia="Times New Roman"/>
      <w:b/>
      <w:bCs/>
      <w:sz w:val="26"/>
      <w:szCs w:val="26"/>
    </w:rPr>
  </w:style>
  <w:style w:type="paragraph" w:customStyle="1" w:styleId="xl233">
    <w:name w:val="xl233"/>
    <w:basedOn w:val="Normal"/>
    <w:rsid w:val="0058119B"/>
    <w:pPr>
      <w:pBdr>
        <w:right w:val="single" w:sz="4" w:space="0" w:color="auto"/>
      </w:pBdr>
      <w:spacing w:beforeAutospacing="1" w:after="100" w:afterAutospacing="1"/>
      <w:jc w:val="center"/>
    </w:pPr>
    <w:rPr>
      <w:rFonts w:eastAsia="Times New Roman"/>
      <w:b/>
      <w:bCs/>
      <w:color w:val="5D86E1"/>
      <w:sz w:val="24"/>
    </w:rPr>
  </w:style>
  <w:style w:type="paragraph" w:customStyle="1" w:styleId="xl234">
    <w:name w:val="xl234"/>
    <w:basedOn w:val="Normal"/>
    <w:rsid w:val="0058119B"/>
    <w:pPr>
      <w:pBdr>
        <w:top w:val="single" w:sz="4" w:space="0" w:color="auto"/>
        <w:left w:val="single" w:sz="8" w:space="0" w:color="auto"/>
        <w:bottom w:val="single" w:sz="4" w:space="0" w:color="auto"/>
      </w:pBdr>
      <w:shd w:val="clear" w:color="auto" w:fill="FFFF99"/>
      <w:spacing w:beforeAutospacing="1" w:after="100" w:afterAutospacing="1"/>
      <w:jc w:val="center"/>
    </w:pPr>
    <w:rPr>
      <w:rFonts w:eastAsia="Times New Roman"/>
      <w:b/>
      <w:bCs/>
      <w:color w:val="538ED5"/>
      <w:sz w:val="24"/>
    </w:rPr>
  </w:style>
  <w:style w:type="paragraph" w:customStyle="1" w:styleId="xl235">
    <w:name w:val="xl235"/>
    <w:basedOn w:val="Normal"/>
    <w:rsid w:val="0058119B"/>
    <w:pPr>
      <w:pBdr>
        <w:top w:val="single" w:sz="4" w:space="0" w:color="auto"/>
        <w:bottom w:val="single" w:sz="4" w:space="0" w:color="auto"/>
        <w:right w:val="single" w:sz="8" w:space="0" w:color="auto"/>
      </w:pBdr>
      <w:shd w:val="clear" w:color="auto" w:fill="FFFF99"/>
      <w:spacing w:beforeAutospacing="1" w:after="100" w:afterAutospacing="1"/>
      <w:jc w:val="center"/>
    </w:pPr>
    <w:rPr>
      <w:rFonts w:eastAsia="Times New Roman"/>
      <w:b/>
      <w:bCs/>
      <w:color w:val="538ED5"/>
      <w:sz w:val="24"/>
    </w:rPr>
  </w:style>
  <w:style w:type="paragraph" w:customStyle="1" w:styleId="xl236">
    <w:name w:val="xl236"/>
    <w:basedOn w:val="Normal"/>
    <w:rsid w:val="0058119B"/>
    <w:pPr>
      <w:pBdr>
        <w:top w:val="single" w:sz="4" w:space="0" w:color="auto"/>
        <w:left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37">
    <w:name w:val="xl237"/>
    <w:basedOn w:val="Normal"/>
    <w:rsid w:val="0058119B"/>
    <w:pPr>
      <w:pBdr>
        <w:top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38">
    <w:name w:val="xl238"/>
    <w:basedOn w:val="Normal"/>
    <w:rsid w:val="0058119B"/>
    <w:pPr>
      <w:pBdr>
        <w:top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39">
    <w:name w:val="xl239"/>
    <w:basedOn w:val="Normal"/>
    <w:rsid w:val="0058119B"/>
    <w:pPr>
      <w:pBdr>
        <w:top w:val="single" w:sz="4" w:space="0" w:color="auto"/>
        <w:left w:val="single" w:sz="4" w:space="0" w:color="auto"/>
        <w:bottom w:val="single" w:sz="4" w:space="0" w:color="auto"/>
      </w:pBdr>
      <w:spacing w:beforeAutospacing="1" w:after="100" w:afterAutospacing="1"/>
      <w:jc w:val="center"/>
    </w:pPr>
    <w:rPr>
      <w:rFonts w:eastAsia="Times New Roman"/>
      <w:b/>
      <w:bCs/>
      <w:sz w:val="24"/>
    </w:rPr>
  </w:style>
  <w:style w:type="paragraph" w:customStyle="1" w:styleId="xl240">
    <w:name w:val="xl240"/>
    <w:basedOn w:val="Normal"/>
    <w:rsid w:val="0058119B"/>
    <w:pPr>
      <w:pBdr>
        <w:top w:val="single" w:sz="4" w:space="0" w:color="auto"/>
        <w:bottom w:val="single" w:sz="4" w:space="0" w:color="auto"/>
      </w:pBdr>
      <w:spacing w:beforeAutospacing="1" w:after="100" w:afterAutospacing="1"/>
      <w:jc w:val="center"/>
    </w:pPr>
    <w:rPr>
      <w:rFonts w:eastAsia="Times New Roman"/>
      <w:b/>
      <w:bCs/>
      <w:sz w:val="24"/>
    </w:rPr>
  </w:style>
  <w:style w:type="paragraph" w:customStyle="1" w:styleId="xl241">
    <w:name w:val="xl241"/>
    <w:basedOn w:val="Normal"/>
    <w:rsid w:val="0058119B"/>
    <w:pPr>
      <w:pBdr>
        <w:top w:val="single" w:sz="4" w:space="0" w:color="auto"/>
        <w:bottom w:val="single" w:sz="4" w:space="0" w:color="auto"/>
        <w:right w:val="single" w:sz="4" w:space="0" w:color="auto"/>
      </w:pBdr>
      <w:spacing w:beforeAutospacing="1" w:after="100" w:afterAutospacing="1"/>
      <w:jc w:val="center"/>
    </w:pPr>
    <w:rPr>
      <w:rFonts w:eastAsia="Times New Roman"/>
      <w:b/>
      <w:bCs/>
      <w:sz w:val="24"/>
    </w:rPr>
  </w:style>
  <w:style w:type="paragraph" w:customStyle="1" w:styleId="xl242">
    <w:name w:val="xl242"/>
    <w:basedOn w:val="Normal"/>
    <w:rsid w:val="0058119B"/>
    <w:pPr>
      <w:pBdr>
        <w:top w:val="single" w:sz="4" w:space="0" w:color="auto"/>
        <w:left w:val="single" w:sz="4" w:space="0" w:color="auto"/>
        <w:bottom w:val="single" w:sz="4" w:space="0" w:color="auto"/>
      </w:pBdr>
      <w:shd w:val="clear" w:color="auto" w:fill="FFFF99"/>
      <w:spacing w:beforeAutospacing="1" w:after="100" w:afterAutospacing="1"/>
      <w:jc w:val="center"/>
    </w:pPr>
    <w:rPr>
      <w:rFonts w:eastAsia="Times New Roman"/>
      <w:b/>
      <w:bCs/>
      <w:color w:val="538ED5"/>
      <w:sz w:val="24"/>
    </w:rPr>
  </w:style>
  <w:style w:type="paragraph" w:customStyle="1" w:styleId="xl243">
    <w:name w:val="xl243"/>
    <w:basedOn w:val="Normal"/>
    <w:rsid w:val="0058119B"/>
    <w:pPr>
      <w:pBdr>
        <w:top w:val="single" w:sz="4" w:space="0" w:color="auto"/>
        <w:bottom w:val="single" w:sz="4" w:space="0" w:color="auto"/>
      </w:pBdr>
      <w:shd w:val="clear" w:color="auto" w:fill="FFFF99"/>
      <w:spacing w:beforeAutospacing="1" w:after="100" w:afterAutospacing="1"/>
      <w:jc w:val="center"/>
    </w:pPr>
    <w:rPr>
      <w:rFonts w:eastAsia="Times New Roman"/>
      <w:b/>
      <w:bCs/>
      <w:color w:val="538ED5"/>
      <w:sz w:val="24"/>
    </w:rPr>
  </w:style>
  <w:style w:type="paragraph" w:customStyle="1" w:styleId="xl244">
    <w:name w:val="xl244"/>
    <w:basedOn w:val="Normal"/>
    <w:rsid w:val="0058119B"/>
    <w:pPr>
      <w:pBdr>
        <w:top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38ED5"/>
      <w:sz w:val="24"/>
    </w:rPr>
  </w:style>
  <w:style w:type="paragraph" w:customStyle="1" w:styleId="xl245">
    <w:name w:val="xl245"/>
    <w:basedOn w:val="Normal"/>
    <w:rsid w:val="0058119B"/>
    <w:pPr>
      <w:pBdr>
        <w:top w:val="single" w:sz="4" w:space="0" w:color="auto"/>
        <w:bottom w:val="single" w:sz="4" w:space="0" w:color="auto"/>
      </w:pBdr>
      <w:spacing w:beforeAutospacing="1" w:after="100" w:afterAutospacing="1"/>
      <w:jc w:val="center"/>
    </w:pPr>
    <w:rPr>
      <w:rFonts w:eastAsia="Times New Roman"/>
      <w:sz w:val="24"/>
    </w:rPr>
  </w:style>
  <w:style w:type="paragraph" w:customStyle="1" w:styleId="xl246">
    <w:name w:val="xl246"/>
    <w:basedOn w:val="Normal"/>
    <w:rsid w:val="0058119B"/>
    <w:pPr>
      <w:pBdr>
        <w:top w:val="single" w:sz="4" w:space="0" w:color="auto"/>
        <w:bottom w:val="single" w:sz="4" w:space="0" w:color="auto"/>
        <w:right w:val="single" w:sz="4" w:space="0" w:color="auto"/>
      </w:pBdr>
      <w:spacing w:beforeAutospacing="1" w:after="100" w:afterAutospacing="1"/>
      <w:jc w:val="center"/>
    </w:pPr>
    <w:rPr>
      <w:rFonts w:eastAsia="Times New Roman"/>
      <w:sz w:val="24"/>
    </w:rPr>
  </w:style>
  <w:style w:type="paragraph" w:customStyle="1" w:styleId="xl247">
    <w:name w:val="xl247"/>
    <w:basedOn w:val="Normal"/>
    <w:rsid w:val="0058119B"/>
    <w:pPr>
      <w:pBdr>
        <w:top w:val="single" w:sz="4" w:space="0" w:color="auto"/>
        <w:left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48">
    <w:name w:val="xl248"/>
    <w:basedOn w:val="Normal"/>
    <w:rsid w:val="0058119B"/>
    <w:pPr>
      <w:pBdr>
        <w:top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49">
    <w:name w:val="xl249"/>
    <w:basedOn w:val="Normal"/>
    <w:rsid w:val="0058119B"/>
    <w:pPr>
      <w:pBdr>
        <w:top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50">
    <w:name w:val="xl250"/>
    <w:basedOn w:val="Normal"/>
    <w:rsid w:val="0058119B"/>
    <w:pPr>
      <w:pBdr>
        <w:left w:val="single" w:sz="4" w:space="0" w:color="auto"/>
      </w:pBdr>
      <w:spacing w:beforeAutospacing="1" w:after="100" w:afterAutospacing="1"/>
      <w:jc w:val="center"/>
    </w:pPr>
    <w:rPr>
      <w:rFonts w:eastAsia="Times New Roman"/>
      <w:sz w:val="24"/>
    </w:rPr>
  </w:style>
  <w:style w:type="paragraph" w:customStyle="1" w:styleId="xl251">
    <w:name w:val="xl251"/>
    <w:basedOn w:val="Normal"/>
    <w:rsid w:val="0058119B"/>
    <w:pPr>
      <w:pBdr>
        <w:right w:val="single" w:sz="4" w:space="0" w:color="auto"/>
      </w:pBdr>
      <w:spacing w:beforeAutospacing="1" w:after="100" w:afterAutospacing="1"/>
      <w:jc w:val="center"/>
    </w:pPr>
    <w:rPr>
      <w:rFonts w:eastAsia="Times New Roman"/>
      <w:sz w:val="24"/>
    </w:rPr>
  </w:style>
  <w:style w:type="paragraph" w:customStyle="1" w:styleId="xl252">
    <w:name w:val="xl252"/>
    <w:basedOn w:val="Normal"/>
    <w:rsid w:val="0058119B"/>
    <w:pPr>
      <w:pBdr>
        <w:left w:val="single" w:sz="4" w:space="0" w:color="auto"/>
      </w:pBdr>
      <w:spacing w:beforeAutospacing="1" w:after="100" w:afterAutospacing="1"/>
    </w:pPr>
    <w:rPr>
      <w:rFonts w:eastAsia="Times New Roman"/>
      <w:b/>
      <w:bCs/>
      <w:sz w:val="24"/>
    </w:rPr>
  </w:style>
  <w:style w:type="paragraph" w:customStyle="1" w:styleId="xl253">
    <w:name w:val="xl253"/>
    <w:basedOn w:val="Normal"/>
    <w:rsid w:val="0058119B"/>
    <w:pPr>
      <w:pBdr>
        <w:right w:val="single" w:sz="4" w:space="0" w:color="auto"/>
      </w:pBdr>
      <w:spacing w:beforeAutospacing="1" w:after="100" w:afterAutospacing="1"/>
    </w:pPr>
    <w:rPr>
      <w:rFonts w:eastAsia="Times New Roman"/>
      <w:b/>
      <w:bCs/>
      <w:sz w:val="24"/>
    </w:rPr>
  </w:style>
  <w:style w:type="paragraph" w:customStyle="1" w:styleId="xl254">
    <w:name w:val="xl254"/>
    <w:basedOn w:val="Normal"/>
    <w:rsid w:val="0058119B"/>
    <w:pPr>
      <w:pBdr>
        <w:left w:val="single" w:sz="4" w:space="0" w:color="auto"/>
      </w:pBdr>
      <w:spacing w:beforeAutospacing="1" w:after="100" w:afterAutospacing="1"/>
    </w:pPr>
    <w:rPr>
      <w:rFonts w:eastAsia="Times New Roman"/>
      <w:sz w:val="24"/>
    </w:rPr>
  </w:style>
  <w:style w:type="paragraph" w:customStyle="1" w:styleId="xl255">
    <w:name w:val="xl255"/>
    <w:basedOn w:val="Normal"/>
    <w:rsid w:val="0058119B"/>
    <w:pPr>
      <w:pBdr>
        <w:right w:val="single" w:sz="4" w:space="0" w:color="auto"/>
      </w:pBdr>
      <w:spacing w:beforeAutospacing="1" w:after="100" w:afterAutospacing="1"/>
    </w:pPr>
    <w:rPr>
      <w:rFonts w:eastAsia="Times New Roman"/>
      <w:sz w:val="24"/>
    </w:rPr>
  </w:style>
  <w:style w:type="paragraph" w:customStyle="1" w:styleId="xl256">
    <w:name w:val="xl256"/>
    <w:basedOn w:val="Normal"/>
    <w:rsid w:val="0058119B"/>
    <w:pPr>
      <w:pBdr>
        <w:top w:val="single" w:sz="4" w:space="0" w:color="auto"/>
        <w:left w:val="single" w:sz="4" w:space="0" w:color="auto"/>
        <w:bottom w:val="single" w:sz="4" w:space="0" w:color="auto"/>
      </w:pBdr>
      <w:shd w:val="clear" w:color="auto" w:fill="FFC000"/>
      <w:spacing w:beforeAutospacing="1" w:after="100" w:afterAutospacing="1"/>
      <w:jc w:val="center"/>
    </w:pPr>
    <w:rPr>
      <w:rFonts w:eastAsia="Times New Roman"/>
      <w:b/>
      <w:bCs/>
      <w:color w:val="FFFFFF"/>
      <w:sz w:val="24"/>
    </w:rPr>
  </w:style>
  <w:style w:type="paragraph" w:customStyle="1" w:styleId="xl257">
    <w:name w:val="xl257"/>
    <w:basedOn w:val="Normal"/>
    <w:rsid w:val="0058119B"/>
    <w:pPr>
      <w:pBdr>
        <w:top w:val="single" w:sz="4" w:space="0" w:color="auto"/>
        <w:bottom w:val="single" w:sz="4" w:space="0" w:color="auto"/>
      </w:pBdr>
      <w:shd w:val="clear" w:color="auto" w:fill="FFC000"/>
      <w:spacing w:beforeAutospacing="1" w:after="100" w:afterAutospacing="1"/>
      <w:jc w:val="center"/>
    </w:pPr>
    <w:rPr>
      <w:rFonts w:eastAsia="Times New Roman"/>
      <w:b/>
      <w:bCs/>
      <w:color w:val="FFFFFF"/>
      <w:sz w:val="24"/>
    </w:rPr>
  </w:style>
  <w:style w:type="paragraph" w:customStyle="1" w:styleId="xl258">
    <w:name w:val="xl258"/>
    <w:basedOn w:val="Normal"/>
    <w:rsid w:val="0058119B"/>
    <w:pPr>
      <w:pBdr>
        <w:top w:val="single" w:sz="4" w:space="0" w:color="auto"/>
        <w:bottom w:val="single" w:sz="4" w:space="0" w:color="auto"/>
        <w:right w:val="single" w:sz="4" w:space="0" w:color="auto"/>
      </w:pBdr>
      <w:shd w:val="clear" w:color="auto" w:fill="FFC000"/>
      <w:spacing w:beforeAutospacing="1" w:after="100" w:afterAutospacing="1"/>
      <w:jc w:val="center"/>
    </w:pPr>
    <w:rPr>
      <w:rFonts w:eastAsia="Times New Roman"/>
      <w:b/>
      <w:bCs/>
      <w:color w:val="FFFFFF"/>
      <w:sz w:val="24"/>
    </w:rPr>
  </w:style>
  <w:style w:type="paragraph" w:customStyle="1" w:styleId="xl259">
    <w:name w:val="xl259"/>
    <w:basedOn w:val="Normal"/>
    <w:rsid w:val="0058119B"/>
    <w:pPr>
      <w:pBdr>
        <w:top w:val="single" w:sz="8" w:space="0" w:color="auto"/>
        <w:left w:val="single" w:sz="8" w:space="0" w:color="auto"/>
        <w:bottom w:val="single" w:sz="8" w:space="0" w:color="auto"/>
      </w:pBdr>
      <w:shd w:val="clear" w:color="auto" w:fill="F2DDDC"/>
      <w:spacing w:beforeAutospacing="1" w:after="100" w:afterAutospacing="1"/>
      <w:jc w:val="center"/>
    </w:pPr>
    <w:rPr>
      <w:rFonts w:eastAsia="Times New Roman"/>
      <w:b/>
      <w:bCs/>
      <w:sz w:val="26"/>
      <w:szCs w:val="26"/>
    </w:rPr>
  </w:style>
  <w:style w:type="paragraph" w:customStyle="1" w:styleId="xl260">
    <w:name w:val="xl260"/>
    <w:basedOn w:val="Normal"/>
    <w:rsid w:val="0058119B"/>
    <w:pPr>
      <w:pBdr>
        <w:top w:val="single" w:sz="8" w:space="0" w:color="auto"/>
        <w:bottom w:val="single" w:sz="8" w:space="0" w:color="auto"/>
      </w:pBdr>
      <w:shd w:val="clear" w:color="auto" w:fill="F2DDDC"/>
      <w:spacing w:beforeAutospacing="1" w:after="100" w:afterAutospacing="1"/>
      <w:jc w:val="center"/>
    </w:pPr>
    <w:rPr>
      <w:rFonts w:eastAsia="Times New Roman"/>
      <w:b/>
      <w:bCs/>
      <w:sz w:val="26"/>
      <w:szCs w:val="26"/>
    </w:rPr>
  </w:style>
  <w:style w:type="paragraph" w:customStyle="1" w:styleId="xl261">
    <w:name w:val="xl261"/>
    <w:basedOn w:val="Normal"/>
    <w:rsid w:val="0058119B"/>
    <w:pPr>
      <w:pBdr>
        <w:top w:val="single" w:sz="8" w:space="0" w:color="auto"/>
        <w:bottom w:val="single" w:sz="8" w:space="0" w:color="auto"/>
        <w:right w:val="single" w:sz="8" w:space="0" w:color="auto"/>
      </w:pBdr>
      <w:shd w:val="clear" w:color="auto" w:fill="F2DDDC"/>
      <w:spacing w:beforeAutospacing="1" w:after="100" w:afterAutospacing="1"/>
      <w:jc w:val="center"/>
    </w:pPr>
    <w:rPr>
      <w:rFonts w:eastAsia="Times New Roman"/>
      <w:b/>
      <w:bCs/>
      <w:sz w:val="26"/>
      <w:szCs w:val="26"/>
    </w:rPr>
  </w:style>
  <w:style w:type="paragraph" w:customStyle="1" w:styleId="xl262">
    <w:name w:val="xl262"/>
    <w:basedOn w:val="Normal"/>
    <w:rsid w:val="0058119B"/>
    <w:pPr>
      <w:pBdr>
        <w:top w:val="single" w:sz="4" w:space="0" w:color="auto"/>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4F81BD"/>
      <w:sz w:val="24"/>
    </w:rPr>
  </w:style>
  <w:style w:type="paragraph" w:customStyle="1" w:styleId="xl263">
    <w:name w:val="xl263"/>
    <w:basedOn w:val="Normal"/>
    <w:rsid w:val="0058119B"/>
    <w:pPr>
      <w:pBdr>
        <w:top w:val="single" w:sz="4" w:space="0" w:color="auto"/>
        <w:left w:val="single" w:sz="8" w:space="0" w:color="auto"/>
        <w:bottom w:val="single" w:sz="8" w:space="0" w:color="auto"/>
      </w:pBdr>
      <w:shd w:val="clear" w:color="auto" w:fill="FFFF99"/>
      <w:spacing w:beforeAutospacing="1" w:after="100" w:afterAutospacing="1"/>
      <w:jc w:val="center"/>
    </w:pPr>
    <w:rPr>
      <w:rFonts w:eastAsia="Times New Roman"/>
      <w:b/>
      <w:bCs/>
      <w:color w:val="4F81BD"/>
      <w:sz w:val="24"/>
    </w:rPr>
  </w:style>
  <w:style w:type="paragraph" w:customStyle="1" w:styleId="xl264">
    <w:name w:val="xl264"/>
    <w:basedOn w:val="Normal"/>
    <w:rsid w:val="0058119B"/>
    <w:pPr>
      <w:pBdr>
        <w:top w:val="single" w:sz="4" w:space="0" w:color="auto"/>
        <w:bottom w:val="single" w:sz="8" w:space="0" w:color="auto"/>
        <w:right w:val="single" w:sz="8" w:space="0" w:color="auto"/>
      </w:pBdr>
      <w:shd w:val="clear" w:color="auto" w:fill="FFFF99"/>
      <w:spacing w:beforeAutospacing="1" w:after="100" w:afterAutospacing="1"/>
      <w:jc w:val="center"/>
    </w:pPr>
    <w:rPr>
      <w:rFonts w:eastAsia="Times New Roman"/>
      <w:b/>
      <w:bCs/>
      <w:color w:val="4F81BD"/>
      <w:sz w:val="24"/>
    </w:rPr>
  </w:style>
  <w:style w:type="paragraph" w:customStyle="1" w:styleId="xl265">
    <w:name w:val="xl265"/>
    <w:basedOn w:val="Normal"/>
    <w:rsid w:val="0058119B"/>
    <w:pPr>
      <w:pBdr>
        <w:top w:val="single" w:sz="8" w:space="0" w:color="auto"/>
        <w:left w:val="single" w:sz="8" w:space="0" w:color="auto"/>
        <w:bottom w:val="single" w:sz="8" w:space="0" w:color="auto"/>
      </w:pBdr>
      <w:shd w:val="clear" w:color="auto" w:fill="C5D9F1"/>
      <w:spacing w:beforeAutospacing="1" w:after="100" w:afterAutospacing="1"/>
      <w:jc w:val="center"/>
    </w:pPr>
    <w:rPr>
      <w:rFonts w:eastAsia="Times New Roman"/>
      <w:b/>
      <w:bCs/>
      <w:sz w:val="26"/>
      <w:szCs w:val="26"/>
    </w:rPr>
  </w:style>
  <w:style w:type="paragraph" w:customStyle="1" w:styleId="xl266">
    <w:name w:val="xl266"/>
    <w:basedOn w:val="Normal"/>
    <w:rsid w:val="0058119B"/>
    <w:pPr>
      <w:pBdr>
        <w:top w:val="single" w:sz="8" w:space="0" w:color="auto"/>
        <w:bottom w:val="single" w:sz="8" w:space="0" w:color="auto"/>
      </w:pBdr>
      <w:shd w:val="clear" w:color="auto" w:fill="C5D9F1"/>
      <w:spacing w:beforeAutospacing="1" w:after="100" w:afterAutospacing="1"/>
      <w:jc w:val="center"/>
    </w:pPr>
    <w:rPr>
      <w:rFonts w:eastAsia="Times New Roman"/>
      <w:b/>
      <w:bCs/>
      <w:sz w:val="26"/>
      <w:szCs w:val="26"/>
    </w:rPr>
  </w:style>
  <w:style w:type="paragraph" w:customStyle="1" w:styleId="xl267">
    <w:name w:val="xl267"/>
    <w:basedOn w:val="Normal"/>
    <w:rsid w:val="0058119B"/>
    <w:pPr>
      <w:pBdr>
        <w:top w:val="single" w:sz="8" w:space="0" w:color="auto"/>
        <w:bottom w:val="single" w:sz="8" w:space="0" w:color="auto"/>
        <w:right w:val="single" w:sz="8" w:space="0" w:color="auto"/>
      </w:pBdr>
      <w:shd w:val="clear" w:color="auto" w:fill="C5D9F1"/>
      <w:spacing w:beforeAutospacing="1" w:after="100" w:afterAutospacing="1"/>
      <w:jc w:val="center"/>
    </w:pPr>
    <w:rPr>
      <w:rFonts w:eastAsia="Times New Roman"/>
      <w:b/>
      <w:bCs/>
      <w:sz w:val="26"/>
      <w:szCs w:val="26"/>
    </w:rPr>
  </w:style>
  <w:style w:type="paragraph" w:customStyle="1" w:styleId="xl268">
    <w:name w:val="xl268"/>
    <w:basedOn w:val="Normal"/>
    <w:rsid w:val="0058119B"/>
    <w:pPr>
      <w:pBdr>
        <w:top w:val="single" w:sz="4" w:space="0" w:color="auto"/>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sz w:val="24"/>
    </w:rPr>
  </w:style>
  <w:style w:type="paragraph" w:customStyle="1" w:styleId="xl269">
    <w:name w:val="xl269"/>
    <w:basedOn w:val="Normal"/>
    <w:rsid w:val="0058119B"/>
    <w:pPr>
      <w:pBdr>
        <w:top w:val="single" w:sz="4" w:space="0" w:color="auto"/>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70">
    <w:name w:val="xl270"/>
    <w:basedOn w:val="Normal"/>
    <w:rsid w:val="0058119B"/>
    <w:pPr>
      <w:pBdr>
        <w:top w:val="single" w:sz="4" w:space="0" w:color="auto"/>
        <w:left w:val="single" w:sz="4" w:space="0" w:color="auto"/>
        <w:bottom w:val="single" w:sz="4" w:space="0" w:color="auto"/>
        <w:right w:val="single" w:sz="4" w:space="0" w:color="auto"/>
      </w:pBdr>
      <w:spacing w:beforeAutospacing="1" w:after="100" w:afterAutospacing="1"/>
      <w:jc w:val="center"/>
    </w:pPr>
    <w:rPr>
      <w:rFonts w:eastAsia="Times New Roman"/>
      <w:sz w:val="24"/>
    </w:rPr>
  </w:style>
  <w:style w:type="paragraph" w:customStyle="1" w:styleId="xl271">
    <w:name w:val="xl271"/>
    <w:basedOn w:val="Normal"/>
    <w:rsid w:val="0058119B"/>
    <w:pPr>
      <w:pBdr>
        <w:top w:val="single" w:sz="4" w:space="0" w:color="auto"/>
        <w:bottom w:val="single" w:sz="4" w:space="0" w:color="auto"/>
      </w:pBdr>
      <w:spacing w:beforeAutospacing="1" w:after="100" w:afterAutospacing="1"/>
    </w:pPr>
    <w:rPr>
      <w:rFonts w:eastAsia="Times New Roman"/>
      <w:sz w:val="24"/>
    </w:rPr>
  </w:style>
  <w:style w:type="paragraph" w:customStyle="1" w:styleId="xl272">
    <w:name w:val="xl272"/>
    <w:basedOn w:val="Normal"/>
    <w:rsid w:val="0058119B"/>
    <w:pPr>
      <w:pBdr>
        <w:top w:val="single" w:sz="4" w:space="0" w:color="auto"/>
        <w:bottom w:val="single" w:sz="4" w:space="0" w:color="auto"/>
        <w:right w:val="single" w:sz="4" w:space="0" w:color="auto"/>
      </w:pBdr>
      <w:spacing w:beforeAutospacing="1" w:after="100" w:afterAutospacing="1"/>
    </w:pPr>
    <w:rPr>
      <w:rFonts w:eastAsia="Times New Roman"/>
      <w:sz w:val="24"/>
    </w:rPr>
  </w:style>
  <w:style w:type="paragraph" w:customStyle="1" w:styleId="xl273">
    <w:name w:val="xl273"/>
    <w:basedOn w:val="Normal"/>
    <w:rsid w:val="0058119B"/>
    <w:pPr>
      <w:pBdr>
        <w:top w:val="single" w:sz="4" w:space="0" w:color="auto"/>
        <w:left w:val="single" w:sz="4" w:space="0" w:color="auto"/>
        <w:bottom w:val="single" w:sz="4" w:space="0" w:color="auto"/>
        <w:right w:val="single" w:sz="4" w:space="0" w:color="auto"/>
      </w:pBdr>
      <w:spacing w:beforeAutospacing="1" w:after="100" w:afterAutospacing="1"/>
      <w:jc w:val="center"/>
    </w:pPr>
    <w:rPr>
      <w:rFonts w:eastAsia="Times New Roman"/>
      <w:b/>
      <w:bCs/>
      <w:sz w:val="24"/>
    </w:rPr>
  </w:style>
  <w:style w:type="paragraph" w:customStyle="1" w:styleId="xl274">
    <w:name w:val="xl274"/>
    <w:basedOn w:val="Normal"/>
    <w:rsid w:val="0058119B"/>
    <w:pPr>
      <w:pBdr>
        <w:top w:val="single" w:sz="4" w:space="0" w:color="auto"/>
        <w:left w:val="single" w:sz="4" w:space="0" w:color="auto"/>
        <w:bottom w:val="single" w:sz="4" w:space="0" w:color="auto"/>
        <w:right w:val="single" w:sz="4" w:space="0" w:color="auto"/>
      </w:pBdr>
      <w:spacing w:beforeAutospacing="1" w:after="100" w:afterAutospacing="1"/>
    </w:pPr>
    <w:rPr>
      <w:rFonts w:eastAsia="Times New Roman"/>
      <w:sz w:val="24"/>
    </w:rPr>
  </w:style>
  <w:style w:type="paragraph" w:customStyle="1" w:styleId="xl275">
    <w:name w:val="xl275"/>
    <w:basedOn w:val="Normal"/>
    <w:rsid w:val="0058119B"/>
    <w:pPr>
      <w:pBdr>
        <w:top w:val="single" w:sz="4" w:space="0" w:color="auto"/>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4F81BD"/>
      <w:sz w:val="24"/>
    </w:rPr>
  </w:style>
  <w:style w:type="paragraph" w:customStyle="1" w:styleId="xl276">
    <w:name w:val="xl276"/>
    <w:basedOn w:val="Normal"/>
    <w:rsid w:val="0058119B"/>
    <w:pPr>
      <w:pBdr>
        <w:top w:val="single" w:sz="4" w:space="0" w:color="auto"/>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38ED5"/>
      <w:sz w:val="24"/>
    </w:rPr>
  </w:style>
  <w:style w:type="paragraph" w:customStyle="1" w:styleId="xl277">
    <w:name w:val="xl277"/>
    <w:basedOn w:val="Normal"/>
    <w:rsid w:val="0058119B"/>
    <w:pPr>
      <w:pBdr>
        <w:left w:val="single" w:sz="4" w:space="0" w:color="auto"/>
      </w:pBdr>
      <w:spacing w:beforeAutospacing="1" w:after="100" w:afterAutospacing="1"/>
      <w:jc w:val="center"/>
    </w:pPr>
    <w:rPr>
      <w:rFonts w:eastAsia="Times New Roman"/>
      <w:b/>
      <w:bCs/>
      <w:sz w:val="26"/>
      <w:szCs w:val="26"/>
    </w:rPr>
  </w:style>
  <w:style w:type="paragraph" w:customStyle="1" w:styleId="xl278">
    <w:name w:val="xl278"/>
    <w:basedOn w:val="Normal"/>
    <w:rsid w:val="0058119B"/>
    <w:pPr>
      <w:pBdr>
        <w:right w:val="single" w:sz="4" w:space="0" w:color="auto"/>
      </w:pBdr>
      <w:spacing w:beforeAutospacing="1" w:after="100" w:afterAutospacing="1"/>
      <w:jc w:val="center"/>
    </w:pPr>
    <w:rPr>
      <w:rFonts w:eastAsia="Times New Roman"/>
      <w:b/>
      <w:bCs/>
      <w:sz w:val="26"/>
      <w:szCs w:val="26"/>
    </w:rPr>
  </w:style>
  <w:style w:type="paragraph" w:customStyle="1" w:styleId="xl279">
    <w:name w:val="xl279"/>
    <w:basedOn w:val="Normal"/>
    <w:rsid w:val="0058119B"/>
    <w:pPr>
      <w:pBdr>
        <w:top w:val="single" w:sz="4" w:space="0" w:color="auto"/>
        <w:left w:val="single" w:sz="4" w:space="0" w:color="auto"/>
        <w:bottom w:val="single" w:sz="4" w:space="0" w:color="auto"/>
      </w:pBdr>
      <w:spacing w:beforeAutospacing="1" w:after="100" w:afterAutospacing="1"/>
      <w:jc w:val="center"/>
    </w:pPr>
    <w:rPr>
      <w:rFonts w:eastAsia="Times New Roman"/>
      <w:sz w:val="24"/>
    </w:rPr>
  </w:style>
  <w:style w:type="paragraph" w:customStyle="1" w:styleId="xl280">
    <w:name w:val="xl280"/>
    <w:basedOn w:val="Normal"/>
    <w:rsid w:val="0058119B"/>
    <w:pPr>
      <w:pBdr>
        <w:top w:val="single" w:sz="4" w:space="0" w:color="auto"/>
        <w:bottom w:val="single" w:sz="4" w:space="0" w:color="auto"/>
      </w:pBdr>
      <w:spacing w:beforeAutospacing="1" w:after="100" w:afterAutospacing="1"/>
      <w:jc w:val="center"/>
    </w:pPr>
    <w:rPr>
      <w:rFonts w:eastAsia="Times New Roman"/>
      <w:sz w:val="24"/>
    </w:rPr>
  </w:style>
  <w:style w:type="paragraph" w:customStyle="1" w:styleId="xl281">
    <w:name w:val="xl281"/>
    <w:basedOn w:val="Normal"/>
    <w:rsid w:val="0058119B"/>
    <w:pPr>
      <w:pBdr>
        <w:top w:val="single" w:sz="4" w:space="0" w:color="auto"/>
        <w:bottom w:val="single" w:sz="4" w:space="0" w:color="auto"/>
        <w:right w:val="single" w:sz="4" w:space="0" w:color="auto"/>
      </w:pBdr>
      <w:spacing w:beforeAutospacing="1" w:after="100" w:afterAutospacing="1"/>
      <w:jc w:val="center"/>
    </w:pPr>
    <w:rPr>
      <w:rFonts w:eastAsia="Times New Roman"/>
      <w:sz w:val="24"/>
    </w:rPr>
  </w:style>
  <w:style w:type="paragraph" w:customStyle="1" w:styleId="xl282">
    <w:name w:val="xl282"/>
    <w:basedOn w:val="Normal"/>
    <w:rsid w:val="0058119B"/>
    <w:pPr>
      <w:pBdr>
        <w:top w:val="single" w:sz="4" w:space="0" w:color="auto"/>
        <w:left w:val="single" w:sz="4" w:space="0" w:color="auto"/>
        <w:right w:val="single" w:sz="4" w:space="0" w:color="auto"/>
      </w:pBdr>
      <w:spacing w:beforeAutospacing="1" w:after="100" w:afterAutospacing="1"/>
      <w:jc w:val="center"/>
    </w:pPr>
    <w:rPr>
      <w:rFonts w:eastAsia="Times New Roman"/>
      <w:b/>
      <w:bCs/>
      <w:sz w:val="24"/>
    </w:rPr>
  </w:style>
  <w:style w:type="paragraph" w:customStyle="1" w:styleId="xl283">
    <w:name w:val="xl283"/>
    <w:basedOn w:val="Normal"/>
    <w:rsid w:val="0058119B"/>
    <w:pPr>
      <w:pBdr>
        <w:top w:val="single" w:sz="4" w:space="0" w:color="auto"/>
        <w:left w:val="single" w:sz="4" w:space="0" w:color="auto"/>
      </w:pBdr>
      <w:spacing w:beforeAutospacing="1" w:after="100" w:afterAutospacing="1"/>
      <w:jc w:val="center"/>
    </w:pPr>
    <w:rPr>
      <w:rFonts w:eastAsia="Times New Roman"/>
      <w:b/>
      <w:bCs/>
      <w:sz w:val="24"/>
    </w:rPr>
  </w:style>
  <w:style w:type="paragraph" w:customStyle="1" w:styleId="xl284">
    <w:name w:val="xl284"/>
    <w:basedOn w:val="Normal"/>
    <w:rsid w:val="0058119B"/>
    <w:pPr>
      <w:pBdr>
        <w:top w:val="single" w:sz="4" w:space="0" w:color="auto"/>
      </w:pBdr>
      <w:spacing w:beforeAutospacing="1" w:after="100" w:afterAutospacing="1"/>
      <w:jc w:val="center"/>
    </w:pPr>
    <w:rPr>
      <w:rFonts w:eastAsia="Times New Roman"/>
      <w:b/>
      <w:bCs/>
      <w:sz w:val="24"/>
    </w:rPr>
  </w:style>
  <w:style w:type="paragraph" w:customStyle="1" w:styleId="xl285">
    <w:name w:val="xl285"/>
    <w:basedOn w:val="Normal"/>
    <w:rsid w:val="0058119B"/>
    <w:pPr>
      <w:pBdr>
        <w:top w:val="single" w:sz="4" w:space="0" w:color="auto"/>
        <w:right w:val="single" w:sz="4" w:space="0" w:color="auto"/>
      </w:pBdr>
      <w:spacing w:beforeAutospacing="1" w:after="100" w:afterAutospacing="1"/>
      <w:jc w:val="center"/>
    </w:pPr>
    <w:rPr>
      <w:rFonts w:eastAsia="Times New Roman"/>
      <w:b/>
      <w:bCs/>
      <w:sz w:val="24"/>
    </w:rPr>
  </w:style>
  <w:style w:type="paragraph" w:customStyle="1" w:styleId="xl286">
    <w:name w:val="xl286"/>
    <w:basedOn w:val="Normal"/>
    <w:rsid w:val="0058119B"/>
    <w:pPr>
      <w:pBdr>
        <w:top w:val="single" w:sz="8" w:space="0" w:color="auto"/>
        <w:left w:val="single" w:sz="8" w:space="0" w:color="auto"/>
        <w:bottom w:val="single" w:sz="4" w:space="0" w:color="auto"/>
      </w:pBdr>
      <w:spacing w:beforeAutospacing="1" w:after="100" w:afterAutospacing="1"/>
      <w:jc w:val="center"/>
    </w:pPr>
    <w:rPr>
      <w:rFonts w:eastAsia="Times New Roman"/>
      <w:b/>
      <w:bCs/>
      <w:color w:val="000000"/>
      <w:sz w:val="24"/>
    </w:rPr>
  </w:style>
  <w:style w:type="paragraph" w:customStyle="1" w:styleId="xl287">
    <w:name w:val="xl287"/>
    <w:basedOn w:val="Normal"/>
    <w:rsid w:val="0058119B"/>
    <w:pPr>
      <w:pBdr>
        <w:top w:val="single" w:sz="8" w:space="0" w:color="auto"/>
        <w:bottom w:val="single" w:sz="4" w:space="0" w:color="auto"/>
        <w:right w:val="single" w:sz="8" w:space="0" w:color="auto"/>
      </w:pBdr>
      <w:spacing w:beforeAutospacing="1" w:after="100" w:afterAutospacing="1"/>
      <w:jc w:val="center"/>
    </w:pPr>
    <w:rPr>
      <w:rFonts w:eastAsia="Times New Roman"/>
      <w:b/>
      <w:bCs/>
      <w:color w:val="000000"/>
      <w:sz w:val="24"/>
    </w:rPr>
  </w:style>
  <w:style w:type="paragraph" w:customStyle="1" w:styleId="xl288">
    <w:name w:val="xl288"/>
    <w:basedOn w:val="Normal"/>
    <w:rsid w:val="0058119B"/>
    <w:pPr>
      <w:pBdr>
        <w:top w:val="single" w:sz="4" w:space="0" w:color="auto"/>
        <w:bottom w:val="single" w:sz="4" w:space="0" w:color="auto"/>
        <w:right w:val="single" w:sz="4" w:space="0" w:color="auto"/>
      </w:pBdr>
      <w:spacing w:beforeAutospacing="1" w:after="100" w:afterAutospacing="1"/>
      <w:jc w:val="center"/>
    </w:pPr>
    <w:rPr>
      <w:rFonts w:eastAsia="Times New Roman"/>
      <w:b/>
      <w:bCs/>
      <w:sz w:val="24"/>
    </w:rPr>
  </w:style>
  <w:style w:type="paragraph" w:customStyle="1" w:styleId="xl289">
    <w:name w:val="xl289"/>
    <w:basedOn w:val="Normal"/>
    <w:rsid w:val="0058119B"/>
    <w:pPr>
      <w:pBdr>
        <w:top w:val="single" w:sz="4" w:space="0" w:color="auto"/>
        <w:left w:val="single" w:sz="4" w:space="0" w:color="auto"/>
        <w:bottom w:val="single" w:sz="4" w:space="0" w:color="auto"/>
      </w:pBdr>
      <w:spacing w:beforeAutospacing="1" w:after="100" w:afterAutospacing="1"/>
      <w:jc w:val="center"/>
    </w:pPr>
    <w:rPr>
      <w:rFonts w:eastAsia="Times New Roman"/>
      <w:b/>
      <w:bCs/>
      <w:color w:val="000000"/>
      <w:sz w:val="24"/>
    </w:rPr>
  </w:style>
  <w:style w:type="paragraph" w:customStyle="1" w:styleId="xl290">
    <w:name w:val="xl290"/>
    <w:basedOn w:val="Normal"/>
    <w:rsid w:val="0058119B"/>
    <w:pPr>
      <w:pBdr>
        <w:top w:val="single" w:sz="4" w:space="0" w:color="auto"/>
        <w:bottom w:val="single" w:sz="4" w:space="0" w:color="auto"/>
        <w:right w:val="single" w:sz="4" w:space="0" w:color="auto"/>
      </w:pBdr>
      <w:spacing w:beforeAutospacing="1" w:after="100" w:afterAutospacing="1"/>
      <w:jc w:val="center"/>
    </w:pPr>
    <w:rPr>
      <w:rFonts w:eastAsia="Times New Roman"/>
      <w:b/>
      <w:bCs/>
      <w:color w:val="000000"/>
      <w:sz w:val="24"/>
    </w:rPr>
  </w:style>
  <w:style w:type="paragraph" w:customStyle="1" w:styleId="xl291">
    <w:name w:val="xl291"/>
    <w:basedOn w:val="Normal"/>
    <w:rsid w:val="0058119B"/>
    <w:pPr>
      <w:pBdr>
        <w:top w:val="single" w:sz="4" w:space="0" w:color="auto"/>
        <w:bottom w:val="single" w:sz="4" w:space="0" w:color="auto"/>
      </w:pBdr>
      <w:spacing w:beforeAutospacing="1" w:after="100" w:afterAutospacing="1"/>
      <w:jc w:val="center"/>
    </w:pPr>
    <w:rPr>
      <w:rFonts w:eastAsia="Times New Roman"/>
      <w:b/>
      <w:bCs/>
      <w:sz w:val="24"/>
    </w:rPr>
  </w:style>
  <w:style w:type="paragraph" w:customStyle="1" w:styleId="xl292">
    <w:name w:val="xl292"/>
    <w:basedOn w:val="Normal"/>
    <w:rsid w:val="0058119B"/>
    <w:pPr>
      <w:pBdr>
        <w:top w:val="single" w:sz="4" w:space="0" w:color="auto"/>
        <w:lef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93">
    <w:name w:val="xl293"/>
    <w:basedOn w:val="Normal"/>
    <w:rsid w:val="0058119B"/>
    <w:pPr>
      <w:pBdr>
        <w:top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94">
    <w:name w:val="xl294"/>
    <w:basedOn w:val="Normal"/>
    <w:rsid w:val="0058119B"/>
    <w:pPr>
      <w:pBdr>
        <w:top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95">
    <w:name w:val="xl295"/>
    <w:basedOn w:val="Normal"/>
    <w:rsid w:val="0058119B"/>
    <w:pPr>
      <w:pBdr>
        <w:left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96">
    <w:name w:val="xl296"/>
    <w:basedOn w:val="Normal"/>
    <w:rsid w:val="0058119B"/>
    <w:pPr>
      <w:pBdr>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97">
    <w:name w:val="xl297"/>
    <w:basedOn w:val="Normal"/>
    <w:rsid w:val="0058119B"/>
    <w:pPr>
      <w:pBdr>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298">
    <w:name w:val="xl298"/>
    <w:basedOn w:val="Normal"/>
    <w:rsid w:val="0058119B"/>
    <w:pPr>
      <w:pBdr>
        <w:top w:val="single" w:sz="4" w:space="0" w:color="auto"/>
        <w:left w:val="single" w:sz="4" w:space="0" w:color="auto"/>
        <w:bottom w:val="single" w:sz="4" w:space="0" w:color="auto"/>
      </w:pBdr>
      <w:shd w:val="clear" w:color="auto" w:fill="FFC000"/>
      <w:spacing w:beforeAutospacing="1" w:after="100" w:afterAutospacing="1"/>
      <w:jc w:val="center"/>
    </w:pPr>
    <w:rPr>
      <w:rFonts w:eastAsia="Times New Roman"/>
      <w:b/>
      <w:bCs/>
      <w:color w:val="FFFFFF"/>
      <w:sz w:val="24"/>
    </w:rPr>
  </w:style>
  <w:style w:type="paragraph" w:customStyle="1" w:styleId="xl299">
    <w:name w:val="xl299"/>
    <w:basedOn w:val="Normal"/>
    <w:rsid w:val="0058119B"/>
    <w:pPr>
      <w:pBdr>
        <w:top w:val="single" w:sz="4" w:space="0" w:color="auto"/>
        <w:bottom w:val="single" w:sz="4" w:space="0" w:color="auto"/>
      </w:pBdr>
      <w:shd w:val="clear" w:color="auto" w:fill="FFC000"/>
      <w:spacing w:beforeAutospacing="1" w:after="100" w:afterAutospacing="1"/>
      <w:jc w:val="center"/>
    </w:pPr>
    <w:rPr>
      <w:rFonts w:eastAsia="Times New Roman"/>
      <w:b/>
      <w:bCs/>
      <w:color w:val="FFFFFF"/>
      <w:sz w:val="24"/>
    </w:rPr>
  </w:style>
  <w:style w:type="paragraph" w:customStyle="1" w:styleId="xl300">
    <w:name w:val="xl300"/>
    <w:basedOn w:val="Normal"/>
    <w:rsid w:val="0058119B"/>
    <w:pPr>
      <w:pBdr>
        <w:top w:val="single" w:sz="4" w:space="0" w:color="auto"/>
        <w:bottom w:val="single" w:sz="4" w:space="0" w:color="auto"/>
        <w:right w:val="single" w:sz="4" w:space="0" w:color="auto"/>
      </w:pBdr>
      <w:shd w:val="clear" w:color="auto" w:fill="FFC000"/>
      <w:spacing w:beforeAutospacing="1" w:after="100" w:afterAutospacing="1"/>
      <w:jc w:val="center"/>
    </w:pPr>
    <w:rPr>
      <w:rFonts w:eastAsia="Times New Roman"/>
      <w:b/>
      <w:bCs/>
      <w:color w:val="FFFFFF"/>
      <w:sz w:val="24"/>
    </w:rPr>
  </w:style>
  <w:style w:type="paragraph" w:customStyle="1" w:styleId="xl301">
    <w:name w:val="xl301"/>
    <w:basedOn w:val="Normal"/>
    <w:rsid w:val="0058119B"/>
    <w:pPr>
      <w:pBdr>
        <w:top w:val="single" w:sz="4" w:space="0" w:color="auto"/>
        <w:left w:val="single" w:sz="4" w:space="0" w:color="auto"/>
        <w:bottom w:val="single" w:sz="4" w:space="0" w:color="auto"/>
      </w:pBdr>
      <w:shd w:val="clear" w:color="auto" w:fill="FFC000"/>
      <w:spacing w:beforeAutospacing="1" w:after="100" w:afterAutospacing="1"/>
      <w:jc w:val="center"/>
    </w:pPr>
    <w:rPr>
      <w:rFonts w:eastAsia="Times New Roman"/>
      <w:color w:val="FFFFFF"/>
      <w:sz w:val="24"/>
    </w:rPr>
  </w:style>
  <w:style w:type="paragraph" w:customStyle="1" w:styleId="xl302">
    <w:name w:val="xl302"/>
    <w:basedOn w:val="Normal"/>
    <w:rsid w:val="0058119B"/>
    <w:pPr>
      <w:pBdr>
        <w:top w:val="single" w:sz="4" w:space="0" w:color="auto"/>
        <w:bottom w:val="single" w:sz="4" w:space="0" w:color="auto"/>
      </w:pBdr>
      <w:shd w:val="clear" w:color="auto" w:fill="FFC000"/>
      <w:spacing w:beforeAutospacing="1" w:after="100" w:afterAutospacing="1"/>
      <w:jc w:val="center"/>
    </w:pPr>
    <w:rPr>
      <w:rFonts w:eastAsia="Times New Roman"/>
      <w:color w:val="FFFFFF"/>
      <w:sz w:val="24"/>
    </w:rPr>
  </w:style>
  <w:style w:type="paragraph" w:customStyle="1" w:styleId="xl303">
    <w:name w:val="xl303"/>
    <w:basedOn w:val="Normal"/>
    <w:rsid w:val="0058119B"/>
    <w:pPr>
      <w:pBdr>
        <w:top w:val="single" w:sz="4" w:space="0" w:color="auto"/>
        <w:bottom w:val="single" w:sz="4" w:space="0" w:color="auto"/>
        <w:right w:val="single" w:sz="4" w:space="0" w:color="auto"/>
      </w:pBdr>
      <w:shd w:val="clear" w:color="auto" w:fill="FFC000"/>
      <w:spacing w:beforeAutospacing="1" w:after="100" w:afterAutospacing="1"/>
      <w:jc w:val="center"/>
    </w:pPr>
    <w:rPr>
      <w:rFonts w:eastAsia="Times New Roman"/>
      <w:color w:val="FFFFFF"/>
      <w:sz w:val="24"/>
    </w:rPr>
  </w:style>
  <w:style w:type="paragraph" w:customStyle="1" w:styleId="xl304">
    <w:name w:val="xl304"/>
    <w:basedOn w:val="Normal"/>
    <w:rsid w:val="0058119B"/>
    <w:pPr>
      <w:pBdr>
        <w:top w:val="single" w:sz="4" w:space="0" w:color="auto"/>
        <w:lef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05">
    <w:name w:val="xl305"/>
    <w:basedOn w:val="Normal"/>
    <w:rsid w:val="0058119B"/>
    <w:pPr>
      <w:pBdr>
        <w:top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06">
    <w:name w:val="xl306"/>
    <w:basedOn w:val="Normal"/>
    <w:rsid w:val="0058119B"/>
    <w:pPr>
      <w:pBdr>
        <w:top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07">
    <w:name w:val="xl307"/>
    <w:basedOn w:val="Normal"/>
    <w:rsid w:val="0058119B"/>
    <w:pPr>
      <w:pBdr>
        <w:lef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08">
    <w:name w:val="xl308"/>
    <w:basedOn w:val="Normal"/>
    <w:rsid w:val="0058119B"/>
    <w:pPr>
      <w:shd w:val="clear" w:color="auto" w:fill="FFFF99"/>
      <w:spacing w:beforeAutospacing="1" w:after="100" w:afterAutospacing="1"/>
      <w:jc w:val="center"/>
    </w:pPr>
    <w:rPr>
      <w:rFonts w:eastAsia="Times New Roman"/>
      <w:b/>
      <w:bCs/>
      <w:color w:val="5D86E1"/>
      <w:sz w:val="24"/>
    </w:rPr>
  </w:style>
  <w:style w:type="paragraph" w:customStyle="1" w:styleId="xl309">
    <w:name w:val="xl309"/>
    <w:basedOn w:val="Normal"/>
    <w:rsid w:val="0058119B"/>
    <w:pPr>
      <w:pBdr>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10">
    <w:name w:val="xl310"/>
    <w:basedOn w:val="Normal"/>
    <w:rsid w:val="0058119B"/>
    <w:pPr>
      <w:pBdr>
        <w:left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11">
    <w:name w:val="xl311"/>
    <w:basedOn w:val="Normal"/>
    <w:rsid w:val="0058119B"/>
    <w:pPr>
      <w:pBdr>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12">
    <w:name w:val="xl312"/>
    <w:basedOn w:val="Normal"/>
    <w:rsid w:val="0058119B"/>
    <w:pPr>
      <w:pBdr>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13">
    <w:name w:val="xl313"/>
    <w:basedOn w:val="Normal"/>
    <w:rsid w:val="0058119B"/>
    <w:pPr>
      <w:pBdr>
        <w:top w:val="single" w:sz="4" w:space="0" w:color="auto"/>
        <w:left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14">
    <w:name w:val="xl314"/>
    <w:basedOn w:val="Normal"/>
    <w:rsid w:val="0058119B"/>
    <w:pPr>
      <w:pBdr>
        <w:top w:val="single" w:sz="4" w:space="0" w:color="auto"/>
        <w:bottom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15">
    <w:name w:val="xl315"/>
    <w:basedOn w:val="Normal"/>
    <w:rsid w:val="0058119B"/>
    <w:pPr>
      <w:pBdr>
        <w:top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16">
    <w:name w:val="xl316"/>
    <w:basedOn w:val="Normal"/>
    <w:rsid w:val="0058119B"/>
    <w:pPr>
      <w:pBdr>
        <w:left w:val="single" w:sz="4" w:space="0" w:color="auto"/>
      </w:pBdr>
      <w:spacing w:beforeAutospacing="1" w:after="100" w:afterAutospacing="1"/>
    </w:pPr>
    <w:rPr>
      <w:rFonts w:eastAsia="Times New Roman"/>
      <w:color w:val="000000"/>
      <w:sz w:val="24"/>
    </w:rPr>
  </w:style>
  <w:style w:type="paragraph" w:customStyle="1" w:styleId="xl317">
    <w:name w:val="xl317"/>
    <w:basedOn w:val="Normal"/>
    <w:rsid w:val="0058119B"/>
    <w:pPr>
      <w:spacing w:beforeAutospacing="1" w:after="100" w:afterAutospacing="1"/>
    </w:pPr>
    <w:rPr>
      <w:rFonts w:eastAsia="Times New Roman"/>
      <w:color w:val="000000"/>
      <w:sz w:val="24"/>
    </w:rPr>
  </w:style>
  <w:style w:type="paragraph" w:customStyle="1" w:styleId="xl318">
    <w:name w:val="xl318"/>
    <w:basedOn w:val="Normal"/>
    <w:rsid w:val="0058119B"/>
    <w:pPr>
      <w:pBdr>
        <w:right w:val="single" w:sz="4" w:space="0" w:color="auto"/>
      </w:pBdr>
      <w:spacing w:beforeAutospacing="1" w:after="100" w:afterAutospacing="1"/>
    </w:pPr>
    <w:rPr>
      <w:rFonts w:eastAsia="Times New Roman"/>
      <w:color w:val="000000"/>
      <w:sz w:val="24"/>
    </w:rPr>
  </w:style>
  <w:style w:type="paragraph" w:customStyle="1" w:styleId="xl319">
    <w:name w:val="xl319"/>
    <w:basedOn w:val="Normal"/>
    <w:rsid w:val="0058119B"/>
    <w:pPr>
      <w:pBdr>
        <w:top w:val="single" w:sz="4" w:space="0" w:color="auto"/>
        <w:left w:val="single" w:sz="4" w:space="0" w:color="auto"/>
        <w:bottom w:val="single" w:sz="4" w:space="0" w:color="auto"/>
        <w:right w:val="single" w:sz="4" w:space="0" w:color="auto"/>
      </w:pBdr>
      <w:shd w:val="clear" w:color="auto" w:fill="FFCC00"/>
      <w:spacing w:beforeAutospacing="1" w:after="100" w:afterAutospacing="1"/>
      <w:jc w:val="center"/>
    </w:pPr>
    <w:rPr>
      <w:rFonts w:eastAsia="Times New Roman"/>
      <w:b/>
      <w:bCs/>
      <w:color w:val="FFFFFF"/>
      <w:sz w:val="24"/>
    </w:rPr>
  </w:style>
  <w:style w:type="paragraph" w:customStyle="1" w:styleId="xl320">
    <w:name w:val="xl320"/>
    <w:basedOn w:val="Normal"/>
    <w:rsid w:val="0058119B"/>
    <w:pPr>
      <w:spacing w:beforeAutospacing="1" w:after="100" w:afterAutospacing="1"/>
      <w:jc w:val="center"/>
    </w:pPr>
    <w:rPr>
      <w:rFonts w:eastAsia="Times New Roman"/>
      <w:color w:val="000000"/>
      <w:sz w:val="24"/>
    </w:rPr>
  </w:style>
  <w:style w:type="paragraph" w:customStyle="1" w:styleId="xl321">
    <w:name w:val="xl321"/>
    <w:basedOn w:val="Normal"/>
    <w:rsid w:val="0058119B"/>
    <w:pPr>
      <w:pBdr>
        <w:top w:val="single" w:sz="4" w:space="0" w:color="auto"/>
        <w:bottom w:val="single" w:sz="4" w:space="0" w:color="auto"/>
      </w:pBdr>
      <w:spacing w:beforeAutospacing="1" w:after="100" w:afterAutospacing="1"/>
      <w:jc w:val="center"/>
    </w:pPr>
    <w:rPr>
      <w:rFonts w:eastAsia="Times New Roman"/>
      <w:color w:val="000000"/>
      <w:sz w:val="24"/>
    </w:rPr>
  </w:style>
  <w:style w:type="paragraph" w:customStyle="1" w:styleId="xl322">
    <w:name w:val="xl322"/>
    <w:basedOn w:val="Normal"/>
    <w:rsid w:val="0058119B"/>
    <w:pPr>
      <w:pBdr>
        <w:bottom w:val="single" w:sz="4" w:space="0" w:color="auto"/>
      </w:pBdr>
      <w:spacing w:beforeAutospacing="1" w:after="100" w:afterAutospacing="1"/>
      <w:jc w:val="center"/>
    </w:pPr>
    <w:rPr>
      <w:rFonts w:eastAsia="Times New Roman"/>
      <w:sz w:val="24"/>
    </w:rPr>
  </w:style>
  <w:style w:type="paragraph" w:customStyle="1" w:styleId="xl323">
    <w:name w:val="xl323"/>
    <w:basedOn w:val="Normal"/>
    <w:rsid w:val="0058119B"/>
    <w:pPr>
      <w:pBdr>
        <w:top w:val="single" w:sz="12" w:space="0" w:color="auto"/>
        <w:left w:val="single" w:sz="12" w:space="0" w:color="auto"/>
        <w:bottom w:val="single" w:sz="12" w:space="0" w:color="auto"/>
      </w:pBdr>
      <w:shd w:val="clear" w:color="auto" w:fill="8DB4E3"/>
      <w:spacing w:beforeAutospacing="1" w:after="100" w:afterAutospacing="1"/>
      <w:jc w:val="center"/>
    </w:pPr>
    <w:rPr>
      <w:rFonts w:eastAsia="Times New Roman"/>
      <w:b/>
      <w:bCs/>
      <w:sz w:val="32"/>
      <w:szCs w:val="32"/>
    </w:rPr>
  </w:style>
  <w:style w:type="paragraph" w:customStyle="1" w:styleId="xl324">
    <w:name w:val="xl324"/>
    <w:basedOn w:val="Normal"/>
    <w:rsid w:val="0058119B"/>
    <w:pPr>
      <w:pBdr>
        <w:top w:val="single" w:sz="12" w:space="0" w:color="auto"/>
        <w:bottom w:val="single" w:sz="12" w:space="0" w:color="auto"/>
      </w:pBdr>
      <w:shd w:val="clear" w:color="auto" w:fill="8DB4E3"/>
      <w:spacing w:beforeAutospacing="1" w:after="100" w:afterAutospacing="1"/>
      <w:jc w:val="center"/>
    </w:pPr>
    <w:rPr>
      <w:rFonts w:eastAsia="Times New Roman"/>
      <w:b/>
      <w:bCs/>
      <w:sz w:val="32"/>
      <w:szCs w:val="32"/>
    </w:rPr>
  </w:style>
  <w:style w:type="paragraph" w:customStyle="1" w:styleId="xl325">
    <w:name w:val="xl325"/>
    <w:basedOn w:val="Normal"/>
    <w:rsid w:val="0058119B"/>
    <w:pPr>
      <w:pBdr>
        <w:top w:val="single" w:sz="12" w:space="0" w:color="auto"/>
        <w:bottom w:val="single" w:sz="12" w:space="0" w:color="auto"/>
        <w:right w:val="single" w:sz="12" w:space="0" w:color="auto"/>
      </w:pBdr>
      <w:shd w:val="clear" w:color="auto" w:fill="8DB4E3"/>
      <w:spacing w:beforeAutospacing="1" w:after="100" w:afterAutospacing="1"/>
      <w:jc w:val="center"/>
    </w:pPr>
    <w:rPr>
      <w:rFonts w:eastAsia="Times New Roman"/>
      <w:b/>
      <w:bCs/>
      <w:sz w:val="32"/>
      <w:szCs w:val="32"/>
    </w:rPr>
  </w:style>
  <w:style w:type="paragraph" w:customStyle="1" w:styleId="xl326">
    <w:name w:val="xl326"/>
    <w:basedOn w:val="Normal"/>
    <w:rsid w:val="0058119B"/>
    <w:pPr>
      <w:pBdr>
        <w:left w:val="single" w:sz="4" w:space="0" w:color="auto"/>
      </w:pBdr>
      <w:spacing w:beforeAutospacing="1" w:after="100" w:afterAutospacing="1"/>
    </w:pPr>
    <w:rPr>
      <w:rFonts w:eastAsia="Times New Roman"/>
      <w:i/>
      <w:iCs/>
      <w:sz w:val="24"/>
    </w:rPr>
  </w:style>
  <w:style w:type="paragraph" w:customStyle="1" w:styleId="xl327">
    <w:name w:val="xl327"/>
    <w:basedOn w:val="Normal"/>
    <w:rsid w:val="0058119B"/>
    <w:pPr>
      <w:spacing w:beforeAutospacing="1" w:after="100" w:afterAutospacing="1"/>
    </w:pPr>
    <w:rPr>
      <w:rFonts w:eastAsia="Times New Roman"/>
      <w:i/>
      <w:iCs/>
      <w:sz w:val="24"/>
    </w:rPr>
  </w:style>
  <w:style w:type="paragraph" w:customStyle="1" w:styleId="xl328">
    <w:name w:val="xl328"/>
    <w:basedOn w:val="Normal"/>
    <w:rsid w:val="0058119B"/>
    <w:pPr>
      <w:pBdr>
        <w:right w:val="single" w:sz="4" w:space="0" w:color="auto"/>
      </w:pBdr>
      <w:spacing w:beforeAutospacing="1" w:after="100" w:afterAutospacing="1"/>
    </w:pPr>
    <w:rPr>
      <w:rFonts w:eastAsia="Times New Roman"/>
      <w:i/>
      <w:iCs/>
      <w:sz w:val="24"/>
    </w:rPr>
  </w:style>
  <w:style w:type="paragraph" w:customStyle="1" w:styleId="xl329">
    <w:name w:val="xl329"/>
    <w:basedOn w:val="Normal"/>
    <w:rsid w:val="0058119B"/>
    <w:pPr>
      <w:pBdr>
        <w:bottom w:val="single" w:sz="8" w:space="0" w:color="auto"/>
      </w:pBdr>
      <w:spacing w:beforeAutospacing="1" w:after="100" w:afterAutospacing="1"/>
    </w:pPr>
    <w:rPr>
      <w:rFonts w:eastAsia="Times New Roman"/>
      <w:sz w:val="24"/>
    </w:rPr>
  </w:style>
  <w:style w:type="paragraph" w:customStyle="1" w:styleId="xl330">
    <w:name w:val="xl330"/>
    <w:basedOn w:val="Normal"/>
    <w:rsid w:val="0058119B"/>
    <w:pPr>
      <w:pBdr>
        <w:top w:val="single" w:sz="4" w:space="0" w:color="auto"/>
      </w:pBdr>
      <w:spacing w:beforeAutospacing="1" w:after="100" w:afterAutospacing="1"/>
      <w:jc w:val="center"/>
    </w:pPr>
    <w:rPr>
      <w:rFonts w:eastAsia="Times New Roman"/>
      <w:sz w:val="24"/>
    </w:rPr>
  </w:style>
  <w:style w:type="paragraph" w:customStyle="1" w:styleId="xl331">
    <w:name w:val="xl331"/>
    <w:basedOn w:val="Normal"/>
    <w:rsid w:val="0058119B"/>
    <w:pPr>
      <w:pBdr>
        <w:top w:val="single" w:sz="4" w:space="0" w:color="auto"/>
        <w:right w:val="single" w:sz="4" w:space="0" w:color="auto"/>
      </w:pBdr>
      <w:spacing w:beforeAutospacing="1" w:after="100" w:afterAutospacing="1"/>
      <w:jc w:val="center"/>
    </w:pPr>
    <w:rPr>
      <w:rFonts w:eastAsia="Times New Roman"/>
      <w:sz w:val="24"/>
    </w:rPr>
  </w:style>
  <w:style w:type="paragraph" w:customStyle="1" w:styleId="xl332">
    <w:name w:val="xl332"/>
    <w:basedOn w:val="Normal"/>
    <w:rsid w:val="0058119B"/>
    <w:pPr>
      <w:pBdr>
        <w:left w:val="single" w:sz="4" w:space="0" w:color="auto"/>
      </w:pBdr>
      <w:spacing w:beforeAutospacing="1" w:after="100" w:afterAutospacing="1"/>
      <w:jc w:val="center"/>
    </w:pPr>
    <w:rPr>
      <w:rFonts w:eastAsia="Times New Roman"/>
      <w:sz w:val="24"/>
    </w:rPr>
  </w:style>
  <w:style w:type="paragraph" w:customStyle="1" w:styleId="xl333">
    <w:name w:val="xl333"/>
    <w:basedOn w:val="Normal"/>
    <w:rsid w:val="0058119B"/>
    <w:pPr>
      <w:spacing w:beforeAutospacing="1" w:after="100" w:afterAutospacing="1"/>
      <w:jc w:val="center"/>
    </w:pPr>
    <w:rPr>
      <w:rFonts w:eastAsia="Times New Roman"/>
      <w:sz w:val="24"/>
    </w:rPr>
  </w:style>
  <w:style w:type="paragraph" w:customStyle="1" w:styleId="xl334">
    <w:name w:val="xl334"/>
    <w:basedOn w:val="Normal"/>
    <w:rsid w:val="0058119B"/>
    <w:pPr>
      <w:pBdr>
        <w:right w:val="single" w:sz="4" w:space="0" w:color="auto"/>
      </w:pBdr>
      <w:spacing w:beforeAutospacing="1" w:after="100" w:afterAutospacing="1"/>
      <w:jc w:val="center"/>
    </w:pPr>
    <w:rPr>
      <w:rFonts w:eastAsia="Times New Roman"/>
      <w:sz w:val="24"/>
    </w:rPr>
  </w:style>
  <w:style w:type="paragraph" w:customStyle="1" w:styleId="xl335">
    <w:name w:val="xl335"/>
    <w:basedOn w:val="Normal"/>
    <w:rsid w:val="0058119B"/>
    <w:pPr>
      <w:pBdr>
        <w:left w:val="single" w:sz="4" w:space="0" w:color="auto"/>
        <w:bottom w:val="single" w:sz="4" w:space="0" w:color="auto"/>
      </w:pBdr>
      <w:spacing w:beforeAutospacing="1" w:after="100" w:afterAutospacing="1"/>
      <w:jc w:val="center"/>
    </w:pPr>
    <w:rPr>
      <w:rFonts w:eastAsia="Times New Roman"/>
      <w:sz w:val="24"/>
    </w:rPr>
  </w:style>
  <w:style w:type="paragraph" w:customStyle="1" w:styleId="xl336">
    <w:name w:val="xl336"/>
    <w:basedOn w:val="Normal"/>
    <w:rsid w:val="0058119B"/>
    <w:pPr>
      <w:pBdr>
        <w:bottom w:val="single" w:sz="4" w:space="0" w:color="auto"/>
      </w:pBdr>
      <w:spacing w:beforeAutospacing="1" w:after="100" w:afterAutospacing="1"/>
      <w:jc w:val="center"/>
    </w:pPr>
    <w:rPr>
      <w:rFonts w:eastAsia="Times New Roman"/>
      <w:sz w:val="24"/>
    </w:rPr>
  </w:style>
  <w:style w:type="paragraph" w:customStyle="1" w:styleId="xl337">
    <w:name w:val="xl337"/>
    <w:basedOn w:val="Normal"/>
    <w:rsid w:val="0058119B"/>
    <w:pPr>
      <w:pBdr>
        <w:bottom w:val="single" w:sz="4" w:space="0" w:color="auto"/>
        <w:right w:val="single" w:sz="4" w:space="0" w:color="auto"/>
      </w:pBdr>
      <w:spacing w:beforeAutospacing="1" w:after="100" w:afterAutospacing="1"/>
      <w:jc w:val="center"/>
    </w:pPr>
    <w:rPr>
      <w:rFonts w:eastAsia="Times New Roman"/>
      <w:sz w:val="24"/>
    </w:rPr>
  </w:style>
  <w:style w:type="paragraph" w:customStyle="1" w:styleId="xl338">
    <w:name w:val="xl338"/>
    <w:basedOn w:val="Normal"/>
    <w:rsid w:val="0058119B"/>
    <w:pPr>
      <w:pBdr>
        <w:bottom w:val="single" w:sz="8" w:space="0" w:color="auto"/>
      </w:pBdr>
      <w:spacing w:beforeAutospacing="1" w:after="100" w:afterAutospacing="1"/>
    </w:pPr>
    <w:rPr>
      <w:rFonts w:eastAsia="Times New Roman"/>
      <w:b/>
      <w:bCs/>
      <w:sz w:val="24"/>
    </w:rPr>
  </w:style>
  <w:style w:type="paragraph" w:customStyle="1" w:styleId="xl339">
    <w:name w:val="xl339"/>
    <w:basedOn w:val="Normal"/>
    <w:rsid w:val="0058119B"/>
    <w:pPr>
      <w:pBdr>
        <w:right w:val="single" w:sz="4" w:space="0" w:color="auto"/>
      </w:pBdr>
      <w:spacing w:beforeAutospacing="1" w:after="100" w:afterAutospacing="1"/>
    </w:pPr>
    <w:rPr>
      <w:rFonts w:eastAsia="Times New Roman"/>
      <w:b/>
      <w:bCs/>
      <w:color w:val="5D86E1"/>
      <w:sz w:val="24"/>
    </w:rPr>
  </w:style>
  <w:style w:type="paragraph" w:customStyle="1" w:styleId="xl340">
    <w:name w:val="xl340"/>
    <w:basedOn w:val="Normal"/>
    <w:rsid w:val="0058119B"/>
    <w:pPr>
      <w:pBdr>
        <w:top w:val="single" w:sz="4" w:space="0" w:color="auto"/>
        <w:left w:val="single" w:sz="4" w:space="0" w:color="auto"/>
      </w:pBdr>
      <w:shd w:val="clear" w:color="auto" w:fill="FFFF99"/>
      <w:spacing w:beforeAutospacing="1" w:after="100" w:afterAutospacing="1"/>
    </w:pPr>
    <w:rPr>
      <w:rFonts w:eastAsia="Times New Roman"/>
      <w:b/>
      <w:bCs/>
      <w:color w:val="5D86E1"/>
      <w:sz w:val="24"/>
    </w:rPr>
  </w:style>
  <w:style w:type="paragraph" w:customStyle="1" w:styleId="xl341">
    <w:name w:val="xl341"/>
    <w:basedOn w:val="Normal"/>
    <w:rsid w:val="0058119B"/>
    <w:pPr>
      <w:pBdr>
        <w:top w:val="single" w:sz="4" w:space="0" w:color="auto"/>
        <w:right w:val="single" w:sz="4" w:space="0" w:color="auto"/>
      </w:pBdr>
      <w:shd w:val="clear" w:color="auto" w:fill="FFFF99"/>
      <w:spacing w:beforeAutospacing="1" w:after="100" w:afterAutospacing="1"/>
    </w:pPr>
    <w:rPr>
      <w:rFonts w:eastAsia="Times New Roman"/>
      <w:b/>
      <w:bCs/>
      <w:color w:val="5D86E1"/>
      <w:sz w:val="24"/>
    </w:rPr>
  </w:style>
  <w:style w:type="paragraph" w:customStyle="1" w:styleId="xl342">
    <w:name w:val="xl342"/>
    <w:basedOn w:val="Normal"/>
    <w:rsid w:val="0058119B"/>
    <w:pPr>
      <w:pBdr>
        <w:left w:val="single" w:sz="4" w:space="0" w:color="auto"/>
        <w:bottom w:val="single" w:sz="4" w:space="0" w:color="auto"/>
      </w:pBdr>
      <w:shd w:val="clear" w:color="auto" w:fill="FFFF99"/>
      <w:spacing w:beforeAutospacing="1" w:after="100" w:afterAutospacing="1"/>
    </w:pPr>
    <w:rPr>
      <w:rFonts w:eastAsia="Times New Roman"/>
      <w:b/>
      <w:bCs/>
      <w:color w:val="5D86E1"/>
      <w:sz w:val="24"/>
    </w:rPr>
  </w:style>
  <w:style w:type="paragraph" w:customStyle="1" w:styleId="xl343">
    <w:name w:val="xl343"/>
    <w:basedOn w:val="Normal"/>
    <w:rsid w:val="0058119B"/>
    <w:pPr>
      <w:pBdr>
        <w:bottom w:val="single" w:sz="4" w:space="0" w:color="auto"/>
        <w:right w:val="single" w:sz="4" w:space="0" w:color="auto"/>
      </w:pBdr>
      <w:shd w:val="clear" w:color="auto" w:fill="FFFF99"/>
      <w:spacing w:beforeAutospacing="1" w:after="100" w:afterAutospacing="1"/>
    </w:pPr>
    <w:rPr>
      <w:rFonts w:eastAsia="Times New Roman"/>
      <w:b/>
      <w:bCs/>
      <w:color w:val="5D86E1"/>
      <w:sz w:val="24"/>
    </w:rPr>
  </w:style>
  <w:style w:type="paragraph" w:customStyle="1" w:styleId="xl344">
    <w:name w:val="xl344"/>
    <w:basedOn w:val="Normal"/>
    <w:rsid w:val="0058119B"/>
    <w:pPr>
      <w:pBdr>
        <w:top w:val="single" w:sz="4" w:space="0" w:color="auto"/>
        <w:left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45">
    <w:name w:val="xl345"/>
    <w:basedOn w:val="Normal"/>
    <w:rsid w:val="0058119B"/>
    <w:pPr>
      <w:pBdr>
        <w:left w:val="single" w:sz="4" w:space="0" w:color="auto"/>
        <w:bottom w:val="single" w:sz="4" w:space="0" w:color="auto"/>
        <w:right w:val="single" w:sz="4" w:space="0" w:color="auto"/>
      </w:pBdr>
      <w:shd w:val="clear" w:color="auto" w:fill="FFFF99"/>
      <w:spacing w:beforeAutospacing="1" w:after="100" w:afterAutospacing="1"/>
      <w:jc w:val="center"/>
    </w:pPr>
    <w:rPr>
      <w:rFonts w:eastAsia="Times New Roman"/>
      <w:b/>
      <w:bCs/>
      <w:color w:val="5D86E1"/>
      <w:sz w:val="24"/>
    </w:rPr>
  </w:style>
  <w:style w:type="paragraph" w:customStyle="1" w:styleId="xl346">
    <w:name w:val="xl346"/>
    <w:basedOn w:val="Normal"/>
    <w:rsid w:val="0058119B"/>
    <w:pPr>
      <w:pBdr>
        <w:right w:val="single" w:sz="4" w:space="0" w:color="auto"/>
      </w:pBdr>
      <w:spacing w:beforeAutospacing="1" w:after="100" w:afterAutospacing="1"/>
      <w:jc w:val="center"/>
    </w:pPr>
    <w:rPr>
      <w:rFonts w:eastAsia="Times New Roman"/>
      <w:b/>
      <w:bCs/>
      <w:sz w:val="24"/>
    </w:rPr>
  </w:style>
  <w:style w:type="paragraph" w:customStyle="1" w:styleId="xl347">
    <w:name w:val="xl347"/>
    <w:basedOn w:val="Normal"/>
    <w:rsid w:val="0058119B"/>
    <w:pPr>
      <w:pBdr>
        <w:top w:val="single" w:sz="4" w:space="0" w:color="auto"/>
        <w:left w:val="single" w:sz="4" w:space="0" w:color="auto"/>
        <w:bottom w:val="single" w:sz="4" w:space="0" w:color="auto"/>
      </w:pBdr>
      <w:shd w:val="clear" w:color="auto" w:fill="FFCC00"/>
      <w:spacing w:beforeAutospacing="1" w:after="100" w:afterAutospacing="1"/>
      <w:jc w:val="center"/>
    </w:pPr>
    <w:rPr>
      <w:rFonts w:eastAsia="Times New Roman"/>
      <w:b/>
      <w:bCs/>
      <w:color w:val="FFFFFF"/>
      <w:sz w:val="24"/>
    </w:rPr>
  </w:style>
  <w:style w:type="paragraph" w:customStyle="1" w:styleId="xl348">
    <w:name w:val="xl348"/>
    <w:basedOn w:val="Normal"/>
    <w:rsid w:val="0058119B"/>
    <w:pPr>
      <w:pBdr>
        <w:top w:val="single" w:sz="4" w:space="0" w:color="auto"/>
        <w:bottom w:val="single" w:sz="4" w:space="0" w:color="auto"/>
        <w:right w:val="single" w:sz="4" w:space="0" w:color="auto"/>
      </w:pBdr>
      <w:shd w:val="clear" w:color="auto" w:fill="FFCC00"/>
      <w:spacing w:beforeAutospacing="1" w:after="100" w:afterAutospacing="1"/>
      <w:jc w:val="center"/>
    </w:pPr>
    <w:rPr>
      <w:rFonts w:eastAsia="Times New Roman"/>
      <w:b/>
      <w:bCs/>
      <w:color w:val="FFFFFF"/>
      <w:sz w:val="24"/>
    </w:rPr>
  </w:style>
  <w:style w:type="paragraph" w:customStyle="1" w:styleId="xl349">
    <w:name w:val="xl349"/>
    <w:basedOn w:val="Normal"/>
    <w:rsid w:val="0058119B"/>
    <w:pPr>
      <w:pBdr>
        <w:right w:val="single" w:sz="4" w:space="0" w:color="auto"/>
      </w:pBdr>
      <w:spacing w:beforeAutospacing="1" w:after="100" w:afterAutospacing="1"/>
      <w:jc w:val="right"/>
    </w:pPr>
    <w:rPr>
      <w:rFonts w:eastAsia="Times New Roman"/>
      <w:sz w:val="24"/>
    </w:rPr>
  </w:style>
  <w:style w:type="paragraph" w:customStyle="1" w:styleId="xl350">
    <w:name w:val="xl350"/>
    <w:basedOn w:val="Normal"/>
    <w:rsid w:val="0058119B"/>
    <w:pPr>
      <w:pBdr>
        <w:top w:val="single" w:sz="4" w:space="0" w:color="auto"/>
        <w:left w:val="single" w:sz="4" w:space="0" w:color="auto"/>
        <w:bottom w:val="single" w:sz="4" w:space="0" w:color="auto"/>
      </w:pBdr>
      <w:shd w:val="clear" w:color="auto" w:fill="FFFF99"/>
      <w:spacing w:beforeAutospacing="1" w:after="100" w:afterAutospacing="1"/>
    </w:pPr>
    <w:rPr>
      <w:rFonts w:eastAsia="Times New Roman"/>
      <w:b/>
      <w:bCs/>
      <w:color w:val="5D86E1"/>
      <w:sz w:val="24"/>
    </w:rPr>
  </w:style>
  <w:style w:type="paragraph" w:customStyle="1" w:styleId="xl351">
    <w:name w:val="xl351"/>
    <w:basedOn w:val="Normal"/>
    <w:rsid w:val="0058119B"/>
    <w:pPr>
      <w:pBdr>
        <w:top w:val="single" w:sz="4" w:space="0" w:color="auto"/>
        <w:bottom w:val="single" w:sz="4" w:space="0" w:color="auto"/>
      </w:pBdr>
      <w:shd w:val="clear" w:color="auto" w:fill="FFFF99"/>
      <w:spacing w:beforeAutospacing="1" w:after="100" w:afterAutospacing="1"/>
    </w:pPr>
    <w:rPr>
      <w:rFonts w:eastAsia="Times New Roman"/>
      <w:b/>
      <w:bCs/>
      <w:color w:val="5D86E1"/>
      <w:sz w:val="24"/>
    </w:rPr>
  </w:style>
  <w:style w:type="paragraph" w:customStyle="1" w:styleId="xl352">
    <w:name w:val="xl352"/>
    <w:basedOn w:val="Normal"/>
    <w:rsid w:val="0058119B"/>
    <w:pPr>
      <w:pBdr>
        <w:top w:val="single" w:sz="4" w:space="0" w:color="auto"/>
        <w:bottom w:val="single" w:sz="4" w:space="0" w:color="auto"/>
        <w:right w:val="single" w:sz="4" w:space="0" w:color="auto"/>
      </w:pBdr>
      <w:shd w:val="clear" w:color="auto" w:fill="FFFF99"/>
      <w:spacing w:beforeAutospacing="1" w:after="100" w:afterAutospacing="1"/>
    </w:pPr>
    <w:rPr>
      <w:rFonts w:eastAsia="Times New Roman"/>
      <w:b/>
      <w:bCs/>
      <w:color w:val="5D86E1"/>
      <w:sz w:val="24"/>
    </w:rPr>
  </w:style>
  <w:style w:type="paragraph" w:customStyle="1" w:styleId="xl353">
    <w:name w:val="xl353"/>
    <w:basedOn w:val="Normal"/>
    <w:rsid w:val="0058119B"/>
    <w:pPr>
      <w:pBdr>
        <w:bottom w:val="single" w:sz="4" w:space="0" w:color="auto"/>
      </w:pBdr>
      <w:spacing w:beforeAutospacing="1" w:after="100" w:afterAutospacing="1"/>
      <w:jc w:val="center"/>
    </w:pPr>
    <w:rPr>
      <w:rFonts w:eastAsia="Times New Roman"/>
      <w:b/>
      <w:bCs/>
      <w:sz w:val="24"/>
    </w:rPr>
  </w:style>
  <w:style w:type="paragraph" w:customStyle="1" w:styleId="xl354">
    <w:name w:val="xl354"/>
    <w:basedOn w:val="Normal"/>
    <w:rsid w:val="0058119B"/>
    <w:pPr>
      <w:pBdr>
        <w:left w:val="single" w:sz="8" w:space="0" w:color="auto"/>
      </w:pBdr>
      <w:spacing w:beforeAutospacing="1" w:after="100" w:afterAutospacing="1"/>
      <w:jc w:val="center"/>
    </w:pPr>
    <w:rPr>
      <w:rFonts w:eastAsia="Times New Roman"/>
      <w:b/>
      <w:bCs/>
      <w:sz w:val="24"/>
    </w:rPr>
  </w:style>
  <w:style w:type="paragraph" w:customStyle="1" w:styleId="xl355">
    <w:name w:val="xl355"/>
    <w:basedOn w:val="Normal"/>
    <w:rsid w:val="0058119B"/>
    <w:pPr>
      <w:pBdr>
        <w:right w:val="single" w:sz="8" w:space="0" w:color="auto"/>
      </w:pBdr>
      <w:spacing w:beforeAutospacing="1" w:after="100" w:afterAutospacing="1"/>
      <w:jc w:val="center"/>
    </w:pPr>
    <w:rPr>
      <w:rFonts w:eastAsia="Times New Roman"/>
      <w:b/>
      <w:bCs/>
      <w:sz w:val="24"/>
    </w:rPr>
  </w:style>
  <w:style w:type="paragraph" w:customStyle="1" w:styleId="xl356">
    <w:name w:val="xl356"/>
    <w:basedOn w:val="Normal"/>
    <w:rsid w:val="0058119B"/>
    <w:pPr>
      <w:pBdr>
        <w:top w:val="single" w:sz="8" w:space="0" w:color="auto"/>
        <w:left w:val="single" w:sz="8" w:space="0" w:color="auto"/>
        <w:bottom w:val="single" w:sz="8" w:space="0" w:color="auto"/>
      </w:pBdr>
      <w:shd w:val="clear" w:color="auto" w:fill="BFBFBF"/>
      <w:spacing w:beforeAutospacing="1" w:after="100" w:afterAutospacing="1"/>
      <w:jc w:val="center"/>
    </w:pPr>
    <w:rPr>
      <w:rFonts w:eastAsia="Times New Roman"/>
      <w:b/>
      <w:bCs/>
      <w:sz w:val="32"/>
      <w:szCs w:val="32"/>
    </w:rPr>
  </w:style>
  <w:style w:type="paragraph" w:customStyle="1" w:styleId="xl357">
    <w:name w:val="xl357"/>
    <w:basedOn w:val="Normal"/>
    <w:rsid w:val="0058119B"/>
    <w:pPr>
      <w:pBdr>
        <w:top w:val="single" w:sz="8" w:space="0" w:color="auto"/>
        <w:bottom w:val="single" w:sz="8" w:space="0" w:color="auto"/>
      </w:pBdr>
      <w:shd w:val="clear" w:color="auto" w:fill="BFBFBF"/>
      <w:spacing w:beforeAutospacing="1" w:after="100" w:afterAutospacing="1"/>
      <w:jc w:val="center"/>
    </w:pPr>
    <w:rPr>
      <w:rFonts w:eastAsia="Times New Roman"/>
      <w:b/>
      <w:bCs/>
      <w:sz w:val="32"/>
      <w:szCs w:val="32"/>
    </w:rPr>
  </w:style>
  <w:style w:type="paragraph" w:customStyle="1" w:styleId="xl358">
    <w:name w:val="xl358"/>
    <w:basedOn w:val="Normal"/>
    <w:rsid w:val="0058119B"/>
    <w:pPr>
      <w:pBdr>
        <w:top w:val="single" w:sz="8" w:space="0" w:color="auto"/>
        <w:bottom w:val="single" w:sz="8" w:space="0" w:color="auto"/>
        <w:right w:val="single" w:sz="8" w:space="0" w:color="auto"/>
      </w:pBdr>
      <w:shd w:val="clear" w:color="auto" w:fill="BFBFBF"/>
      <w:spacing w:beforeAutospacing="1" w:after="100" w:afterAutospacing="1"/>
      <w:jc w:val="center"/>
    </w:pPr>
    <w:rPr>
      <w:rFonts w:eastAsia="Times New Roman"/>
      <w:b/>
      <w:bCs/>
      <w:sz w:val="32"/>
      <w:szCs w:val="32"/>
    </w:rPr>
  </w:style>
  <w:style w:type="paragraph" w:customStyle="1" w:styleId="xl359">
    <w:name w:val="xl359"/>
    <w:basedOn w:val="Normal"/>
    <w:rsid w:val="0058119B"/>
    <w:pPr>
      <w:pBdr>
        <w:top w:val="single" w:sz="12" w:space="0" w:color="auto"/>
        <w:left w:val="single" w:sz="12" w:space="0" w:color="auto"/>
        <w:bottom w:val="single" w:sz="12" w:space="0" w:color="auto"/>
      </w:pBdr>
      <w:shd w:val="clear" w:color="auto" w:fill="E6B9B8"/>
      <w:spacing w:beforeAutospacing="1" w:after="100" w:afterAutospacing="1"/>
      <w:jc w:val="center"/>
    </w:pPr>
    <w:rPr>
      <w:rFonts w:eastAsia="Times New Roman"/>
      <w:b/>
      <w:bCs/>
      <w:sz w:val="32"/>
      <w:szCs w:val="32"/>
    </w:rPr>
  </w:style>
  <w:style w:type="paragraph" w:customStyle="1" w:styleId="xl360">
    <w:name w:val="xl360"/>
    <w:basedOn w:val="Normal"/>
    <w:rsid w:val="0058119B"/>
    <w:pPr>
      <w:pBdr>
        <w:top w:val="single" w:sz="12" w:space="0" w:color="auto"/>
        <w:bottom w:val="single" w:sz="12" w:space="0" w:color="auto"/>
      </w:pBdr>
      <w:shd w:val="clear" w:color="auto" w:fill="E6B9B8"/>
      <w:spacing w:beforeAutospacing="1" w:after="100" w:afterAutospacing="1"/>
      <w:jc w:val="center"/>
    </w:pPr>
    <w:rPr>
      <w:rFonts w:eastAsia="Times New Roman"/>
      <w:b/>
      <w:bCs/>
      <w:sz w:val="32"/>
      <w:szCs w:val="32"/>
    </w:rPr>
  </w:style>
  <w:style w:type="paragraph" w:customStyle="1" w:styleId="xl361">
    <w:name w:val="xl361"/>
    <w:basedOn w:val="Normal"/>
    <w:rsid w:val="0058119B"/>
    <w:pPr>
      <w:pBdr>
        <w:top w:val="single" w:sz="12" w:space="0" w:color="auto"/>
        <w:bottom w:val="single" w:sz="12" w:space="0" w:color="auto"/>
        <w:right w:val="single" w:sz="12" w:space="0" w:color="auto"/>
      </w:pBdr>
      <w:shd w:val="clear" w:color="auto" w:fill="E6B9B8"/>
      <w:spacing w:beforeAutospacing="1" w:after="100" w:afterAutospacing="1"/>
      <w:jc w:val="center"/>
    </w:pPr>
    <w:rPr>
      <w:rFonts w:eastAsia="Times New Roman"/>
      <w:b/>
      <w:bCs/>
      <w:sz w:val="32"/>
      <w:szCs w:val="32"/>
    </w:rPr>
  </w:style>
  <w:style w:type="paragraph" w:customStyle="1" w:styleId="xl362">
    <w:name w:val="xl362"/>
    <w:basedOn w:val="Normal"/>
    <w:rsid w:val="0058119B"/>
    <w:pPr>
      <w:pBdr>
        <w:top w:val="single" w:sz="8" w:space="0" w:color="auto"/>
        <w:left w:val="single" w:sz="8" w:space="0" w:color="auto"/>
      </w:pBdr>
      <w:spacing w:beforeAutospacing="1" w:after="100" w:afterAutospacing="1"/>
      <w:jc w:val="center"/>
    </w:pPr>
    <w:rPr>
      <w:rFonts w:eastAsia="Times New Roman"/>
      <w:b/>
      <w:bCs/>
      <w:sz w:val="28"/>
      <w:szCs w:val="28"/>
    </w:rPr>
  </w:style>
  <w:style w:type="paragraph" w:customStyle="1" w:styleId="xl363">
    <w:name w:val="xl363"/>
    <w:basedOn w:val="Normal"/>
    <w:rsid w:val="0058119B"/>
    <w:pPr>
      <w:pBdr>
        <w:top w:val="single" w:sz="8" w:space="0" w:color="auto"/>
        <w:right w:val="single" w:sz="8" w:space="0" w:color="auto"/>
      </w:pBdr>
      <w:spacing w:beforeAutospacing="1" w:after="100" w:afterAutospacing="1"/>
      <w:jc w:val="center"/>
    </w:pPr>
    <w:rPr>
      <w:rFonts w:eastAsia="Times New Roman"/>
      <w:b/>
      <w:bCs/>
      <w:sz w:val="28"/>
      <w:szCs w:val="28"/>
    </w:rPr>
  </w:style>
  <w:style w:type="paragraph" w:customStyle="1" w:styleId="List1">
    <w:name w:val="List 1"/>
    <w:basedOn w:val="None"/>
    <w:semiHidden/>
    <w:rsid w:val="0058119B"/>
    <w:pPr>
      <w:numPr>
        <w:numId w:val="47"/>
      </w:numPr>
    </w:pPr>
  </w:style>
  <w:style w:type="paragraph" w:customStyle="1" w:styleId="List21">
    <w:name w:val="List 21"/>
    <w:basedOn w:val="None"/>
    <w:semiHidden/>
    <w:rsid w:val="0058119B"/>
    <w:pPr>
      <w:numPr>
        <w:numId w:val="48"/>
      </w:numPr>
    </w:pPr>
  </w:style>
  <w:style w:type="paragraph" w:customStyle="1" w:styleId="List31">
    <w:name w:val="List 31"/>
    <w:basedOn w:val="None"/>
    <w:semiHidden/>
    <w:rsid w:val="0058119B"/>
    <w:pPr>
      <w:numPr>
        <w:numId w:val="49"/>
      </w:numPr>
    </w:pPr>
  </w:style>
  <w:style w:type="paragraph" w:customStyle="1" w:styleId="List41">
    <w:name w:val="List 41"/>
    <w:basedOn w:val="None"/>
    <w:semiHidden/>
    <w:rsid w:val="0058119B"/>
    <w:pPr>
      <w:numPr>
        <w:numId w:val="50"/>
      </w:numPr>
    </w:pPr>
  </w:style>
  <w:style w:type="paragraph" w:customStyle="1" w:styleId="List51">
    <w:name w:val="List 51"/>
    <w:basedOn w:val="None"/>
    <w:semiHidden/>
    <w:rsid w:val="0058119B"/>
    <w:pPr>
      <w:numPr>
        <w:numId w:val="51"/>
      </w:numPr>
    </w:pPr>
  </w:style>
  <w:style w:type="paragraph" w:customStyle="1" w:styleId="List6">
    <w:name w:val="List 6"/>
    <w:basedOn w:val="None"/>
    <w:autoRedefine/>
    <w:semiHidden/>
    <w:rsid w:val="0058119B"/>
    <w:pPr>
      <w:numPr>
        <w:numId w:val="52"/>
      </w:numPr>
    </w:pPr>
  </w:style>
  <w:style w:type="paragraph" w:customStyle="1" w:styleId="List7">
    <w:name w:val="List 7"/>
    <w:basedOn w:val="None"/>
    <w:semiHidden/>
    <w:rsid w:val="0058119B"/>
    <w:pPr>
      <w:numPr>
        <w:numId w:val="53"/>
      </w:numPr>
    </w:pPr>
  </w:style>
  <w:style w:type="paragraph" w:customStyle="1" w:styleId="List8">
    <w:name w:val="List 8"/>
    <w:basedOn w:val="None"/>
    <w:semiHidden/>
    <w:rsid w:val="0058119B"/>
    <w:pPr>
      <w:numPr>
        <w:numId w:val="54"/>
      </w:numPr>
    </w:pPr>
  </w:style>
  <w:style w:type="paragraph" w:customStyle="1" w:styleId="List9">
    <w:name w:val="List 9"/>
    <w:basedOn w:val="None"/>
    <w:autoRedefine/>
    <w:semiHidden/>
    <w:rsid w:val="0058119B"/>
    <w:pPr>
      <w:numPr>
        <w:numId w:val="55"/>
      </w:numPr>
    </w:pPr>
  </w:style>
  <w:style w:type="paragraph" w:customStyle="1" w:styleId="List10">
    <w:name w:val="List 10"/>
    <w:basedOn w:val="None"/>
    <w:semiHidden/>
    <w:rsid w:val="0058119B"/>
    <w:pPr>
      <w:numPr>
        <w:numId w:val="56"/>
      </w:numPr>
    </w:pPr>
  </w:style>
  <w:style w:type="paragraph" w:customStyle="1" w:styleId="List11">
    <w:name w:val="List 11"/>
    <w:basedOn w:val="None"/>
    <w:autoRedefine/>
    <w:semiHidden/>
    <w:rsid w:val="0058119B"/>
    <w:pPr>
      <w:numPr>
        <w:numId w:val="57"/>
      </w:numPr>
    </w:pPr>
  </w:style>
  <w:style w:type="paragraph" w:customStyle="1" w:styleId="List12">
    <w:name w:val="List 12"/>
    <w:basedOn w:val="None"/>
    <w:semiHidden/>
    <w:rsid w:val="0058119B"/>
    <w:pPr>
      <w:numPr>
        <w:numId w:val="58"/>
      </w:numPr>
    </w:pPr>
  </w:style>
  <w:style w:type="paragraph" w:customStyle="1" w:styleId="nbull">
    <w:name w:val="nbull"/>
    <w:basedOn w:val="Normal"/>
    <w:rsid w:val="0058119B"/>
    <w:pPr>
      <w:widowControl w:val="0"/>
      <w:numPr>
        <w:numId w:val="59"/>
      </w:numPr>
      <w:autoSpaceDE w:val="0"/>
      <w:autoSpaceDN w:val="0"/>
      <w:adjustRightInd w:val="0"/>
    </w:pPr>
    <w:rPr>
      <w:rFonts w:eastAsia="Times New Roman"/>
      <w:sz w:val="24"/>
      <w:lang w:bidi="en-US"/>
    </w:rPr>
  </w:style>
  <w:style w:type="paragraph" w:customStyle="1" w:styleId="xl65">
    <w:name w:val="xl65"/>
    <w:basedOn w:val="Normal"/>
    <w:rsid w:val="0058119B"/>
    <w:pPr>
      <w:pBdr>
        <w:top w:val="single" w:sz="4" w:space="0" w:color="auto"/>
        <w:left w:val="single" w:sz="4" w:space="0" w:color="auto"/>
        <w:bottom w:val="single" w:sz="4" w:space="0" w:color="auto"/>
        <w:right w:val="single" w:sz="4" w:space="0" w:color="auto"/>
      </w:pBdr>
      <w:spacing w:beforeAutospacing="1" w:after="100" w:afterAutospacing="1"/>
      <w:jc w:val="center"/>
    </w:pPr>
    <w:rPr>
      <w:rFonts w:eastAsia="Times New Roman"/>
      <w:color w:val="000000"/>
      <w:sz w:val="24"/>
    </w:rPr>
  </w:style>
  <w:style w:type="paragraph" w:customStyle="1" w:styleId="xl364">
    <w:name w:val="xl364"/>
    <w:basedOn w:val="Normal"/>
    <w:rsid w:val="0058119B"/>
    <w:pPr>
      <w:pBdr>
        <w:top w:val="single" w:sz="12" w:space="0" w:color="auto"/>
        <w:left w:val="single" w:sz="12" w:space="0" w:color="auto"/>
        <w:bottom w:val="single" w:sz="12" w:space="0" w:color="auto"/>
      </w:pBdr>
      <w:shd w:val="clear" w:color="auto" w:fill="E6B9B8"/>
      <w:spacing w:beforeAutospacing="1" w:after="100" w:afterAutospacing="1"/>
      <w:jc w:val="center"/>
    </w:pPr>
    <w:rPr>
      <w:rFonts w:eastAsia="Times New Roman"/>
      <w:b/>
      <w:bCs/>
      <w:sz w:val="32"/>
      <w:szCs w:val="32"/>
    </w:rPr>
  </w:style>
  <w:style w:type="paragraph" w:customStyle="1" w:styleId="xl365">
    <w:name w:val="xl365"/>
    <w:basedOn w:val="Normal"/>
    <w:rsid w:val="0058119B"/>
    <w:pPr>
      <w:pBdr>
        <w:top w:val="single" w:sz="12" w:space="0" w:color="auto"/>
        <w:bottom w:val="single" w:sz="12" w:space="0" w:color="auto"/>
      </w:pBdr>
      <w:shd w:val="clear" w:color="auto" w:fill="E6B9B8"/>
      <w:spacing w:beforeAutospacing="1" w:after="100" w:afterAutospacing="1"/>
      <w:jc w:val="center"/>
    </w:pPr>
    <w:rPr>
      <w:rFonts w:eastAsia="Times New Roman"/>
      <w:b/>
      <w:bCs/>
      <w:sz w:val="32"/>
      <w:szCs w:val="32"/>
    </w:rPr>
  </w:style>
  <w:style w:type="paragraph" w:customStyle="1" w:styleId="xl366">
    <w:name w:val="xl366"/>
    <w:basedOn w:val="Normal"/>
    <w:rsid w:val="0058119B"/>
    <w:pPr>
      <w:pBdr>
        <w:top w:val="single" w:sz="12" w:space="0" w:color="auto"/>
        <w:bottom w:val="single" w:sz="12" w:space="0" w:color="auto"/>
        <w:right w:val="single" w:sz="12" w:space="0" w:color="auto"/>
      </w:pBdr>
      <w:shd w:val="clear" w:color="auto" w:fill="E6B9B8"/>
      <w:spacing w:beforeAutospacing="1" w:after="100" w:afterAutospacing="1"/>
      <w:jc w:val="center"/>
    </w:pPr>
    <w:rPr>
      <w:rFonts w:eastAsia="Times New Roman"/>
      <w:b/>
      <w:bCs/>
      <w:sz w:val="32"/>
      <w:szCs w:val="32"/>
    </w:rPr>
  </w:style>
  <w:style w:type="paragraph" w:customStyle="1" w:styleId="xl367">
    <w:name w:val="xl367"/>
    <w:basedOn w:val="Normal"/>
    <w:rsid w:val="0058119B"/>
    <w:pPr>
      <w:pBdr>
        <w:top w:val="single" w:sz="8" w:space="0" w:color="auto"/>
        <w:left w:val="single" w:sz="8" w:space="0" w:color="auto"/>
      </w:pBdr>
      <w:spacing w:beforeAutospacing="1" w:after="100" w:afterAutospacing="1"/>
      <w:jc w:val="center"/>
    </w:pPr>
    <w:rPr>
      <w:rFonts w:eastAsia="Times New Roman"/>
      <w:b/>
      <w:bCs/>
      <w:sz w:val="28"/>
      <w:szCs w:val="28"/>
    </w:rPr>
  </w:style>
  <w:style w:type="paragraph" w:customStyle="1" w:styleId="xl368">
    <w:name w:val="xl368"/>
    <w:basedOn w:val="Normal"/>
    <w:rsid w:val="0058119B"/>
    <w:pPr>
      <w:pBdr>
        <w:top w:val="single" w:sz="8" w:space="0" w:color="auto"/>
        <w:right w:val="single" w:sz="8" w:space="0" w:color="auto"/>
      </w:pBdr>
      <w:spacing w:beforeAutospacing="1" w:after="100" w:afterAutospacing="1"/>
      <w:jc w:val="center"/>
    </w:pPr>
    <w:rPr>
      <w:rFonts w:eastAsia="Times New Roman"/>
      <w:b/>
      <w:bCs/>
      <w:sz w:val="28"/>
      <w:szCs w:val="28"/>
    </w:rPr>
  </w:style>
  <w:style w:type="paragraph" w:customStyle="1" w:styleId="nxbullet">
    <w:name w:val="nxbullet"/>
    <w:basedOn w:val="Normal"/>
    <w:rsid w:val="0058119B"/>
    <w:pPr>
      <w:tabs>
        <w:tab w:val="num" w:pos="1080"/>
      </w:tabs>
      <w:ind w:left="1080" w:hanging="360"/>
      <w:jc w:val="both"/>
    </w:pPr>
    <w:rPr>
      <w:rFonts w:ascii="Tahoma" w:hAnsi="Tahoma"/>
      <w:bCs/>
      <w:sz w:val="24"/>
    </w:rPr>
  </w:style>
  <w:style w:type="paragraph" w:customStyle="1" w:styleId="n1section">
    <w:name w:val="n1section"/>
    <w:basedOn w:val="Normal"/>
    <w:rsid w:val="0058119B"/>
    <w:pPr>
      <w:ind w:left="360" w:hanging="360"/>
      <w:jc w:val="center"/>
    </w:pPr>
    <w:rPr>
      <w:rFonts w:ascii="Tahoma" w:eastAsia="Times New Roman" w:hAnsi="Tahoma"/>
      <w:b/>
      <w:bCs/>
      <w:sz w:val="28"/>
    </w:rPr>
  </w:style>
  <w:style w:type="paragraph" w:customStyle="1" w:styleId="nxindent">
    <w:name w:val="nxindent"/>
    <w:basedOn w:val="Normal"/>
    <w:rsid w:val="0058119B"/>
    <w:pPr>
      <w:ind w:left="360" w:hanging="360"/>
      <w:jc w:val="both"/>
    </w:pPr>
    <w:rPr>
      <w:rFonts w:ascii="Tahoma" w:eastAsia="Times New Roman" w:hAnsi="Tahoma"/>
      <w:bCs/>
      <w:sz w:val="24"/>
    </w:rPr>
  </w:style>
  <w:style w:type="paragraph" w:customStyle="1" w:styleId="nindent">
    <w:name w:val="nindent"/>
    <w:basedOn w:val="ntext"/>
    <w:rsid w:val="0058119B"/>
    <w:pPr>
      <w:ind w:left="360" w:hanging="360"/>
    </w:pPr>
  </w:style>
  <w:style w:type="paragraph" w:customStyle="1" w:styleId="ntablehead">
    <w:name w:val="ntablehead"/>
    <w:basedOn w:val="Normal"/>
    <w:rsid w:val="0058119B"/>
    <w:pPr>
      <w:spacing w:after="120"/>
      <w:jc w:val="both"/>
    </w:pPr>
    <w:rPr>
      <w:rFonts w:ascii="Tahoma" w:eastAsia="Times New Roman" w:hAnsi="Tahoma"/>
      <w:b/>
    </w:rPr>
  </w:style>
  <w:style w:type="paragraph" w:customStyle="1" w:styleId="n3number">
    <w:name w:val="n3number"/>
    <w:basedOn w:val="ntext"/>
    <w:rsid w:val="0058119B"/>
    <w:pPr>
      <w:ind w:left="360" w:hanging="360"/>
    </w:pPr>
    <w:rPr>
      <w:b/>
    </w:rPr>
  </w:style>
  <w:style w:type="paragraph" w:customStyle="1" w:styleId="n2sectionletter">
    <w:name w:val="n2sectionletter"/>
    <w:basedOn w:val="Normal"/>
    <w:rsid w:val="0058119B"/>
    <w:pPr>
      <w:spacing w:before="120"/>
      <w:jc w:val="both"/>
    </w:pPr>
    <w:rPr>
      <w:rFonts w:ascii="Tahoma" w:eastAsia="Times New Roman" w:hAnsi="Tahoma"/>
      <w:b/>
      <w:sz w:val="24"/>
    </w:rPr>
  </w:style>
  <w:style w:type="paragraph" w:customStyle="1" w:styleId="new1section">
    <w:name w:val="new1section"/>
    <w:basedOn w:val="Normal"/>
    <w:rsid w:val="0058119B"/>
    <w:pPr>
      <w:ind w:left="360" w:hanging="360"/>
      <w:jc w:val="center"/>
    </w:pPr>
    <w:rPr>
      <w:rFonts w:ascii="Tahoma" w:eastAsia="Times New Roman" w:hAnsi="Tahoma"/>
      <w:b/>
      <w:bCs/>
      <w:sz w:val="24"/>
    </w:rPr>
  </w:style>
  <w:style w:type="paragraph" w:customStyle="1" w:styleId="new2letter">
    <w:name w:val="new2letter"/>
    <w:basedOn w:val="newtext"/>
    <w:rsid w:val="0058119B"/>
    <w:pPr>
      <w:spacing w:before="120"/>
      <w:ind w:left="360" w:hanging="360"/>
      <w:jc w:val="left"/>
    </w:pPr>
    <w:rPr>
      <w:b/>
      <w:sz w:val="24"/>
    </w:rPr>
  </w:style>
  <w:style w:type="paragraph" w:customStyle="1" w:styleId="nlastbul">
    <w:name w:val="nlastbul"/>
    <w:basedOn w:val="Normal"/>
    <w:rsid w:val="0058119B"/>
    <w:pPr>
      <w:tabs>
        <w:tab w:val="num" w:pos="1800"/>
      </w:tabs>
      <w:ind w:left="1800" w:hanging="360"/>
    </w:pPr>
    <w:rPr>
      <w:rFonts w:ascii="Tahoma" w:eastAsia="Times New Roman" w:hAnsi="Tahoma"/>
      <w:bCs/>
      <w:sz w:val="24"/>
    </w:rPr>
  </w:style>
  <w:style w:type="paragraph" w:customStyle="1" w:styleId="n3head">
    <w:name w:val="n3head"/>
    <w:basedOn w:val="Normal"/>
    <w:rsid w:val="0058119B"/>
    <w:pPr>
      <w:spacing w:before="120"/>
      <w:jc w:val="both"/>
    </w:pPr>
    <w:rPr>
      <w:rFonts w:ascii="Tahoma" w:eastAsia="Times New Roman" w:hAnsi="Tahoma"/>
      <w:b/>
      <w:sz w:val="24"/>
    </w:rPr>
  </w:style>
  <w:style w:type="paragraph" w:customStyle="1" w:styleId="Style24">
    <w:name w:val="Style 24"/>
    <w:basedOn w:val="Normal"/>
    <w:rsid w:val="0058119B"/>
    <w:pPr>
      <w:widowControl w:val="0"/>
      <w:autoSpaceDE w:val="0"/>
      <w:autoSpaceDN w:val="0"/>
      <w:spacing w:before="324"/>
      <w:ind w:right="72"/>
      <w:jc w:val="both"/>
    </w:pPr>
    <w:rPr>
      <w:rFonts w:ascii="Tahoma" w:eastAsia="Times New Roman" w:hAnsi="Tahoma"/>
      <w:bCs/>
      <w:sz w:val="24"/>
    </w:rPr>
  </w:style>
  <w:style w:type="paragraph" w:customStyle="1" w:styleId="Style22">
    <w:name w:val="Style 22"/>
    <w:basedOn w:val="Normal"/>
    <w:rsid w:val="0058119B"/>
    <w:pPr>
      <w:widowControl w:val="0"/>
      <w:autoSpaceDE w:val="0"/>
      <w:autoSpaceDN w:val="0"/>
      <w:adjustRightInd w:val="0"/>
    </w:pPr>
    <w:rPr>
      <w:rFonts w:ascii="Tahoma" w:eastAsia="Times New Roman" w:hAnsi="Tahoma"/>
      <w:bCs/>
      <w:sz w:val="24"/>
    </w:rPr>
  </w:style>
  <w:style w:type="paragraph" w:customStyle="1" w:styleId="xl33">
    <w:name w:val="xl33"/>
    <w:basedOn w:val="Normal"/>
    <w:uiPriority w:val="99"/>
    <w:rsid w:val="0058119B"/>
    <w:pPr>
      <w:pBdr>
        <w:left w:val="single" w:sz="8" w:space="0" w:color="auto"/>
        <w:bottom w:val="single" w:sz="8" w:space="0" w:color="000000"/>
      </w:pBdr>
      <w:shd w:val="clear" w:color="auto" w:fill="FFFFFF"/>
      <w:spacing w:beforeAutospacing="1" w:after="100" w:afterAutospacing="1"/>
      <w:jc w:val="center"/>
    </w:pPr>
    <w:rPr>
      <w:rFonts w:ascii="Arial" w:eastAsia="Times New Roman" w:hAnsi="Arial" w:cs="Arial"/>
      <w:sz w:val="24"/>
    </w:rPr>
  </w:style>
  <w:style w:type="paragraph" w:customStyle="1" w:styleId="nhang">
    <w:name w:val="nhang"/>
    <w:basedOn w:val="Normal"/>
    <w:rsid w:val="0058119B"/>
    <w:pPr>
      <w:widowControl w:val="0"/>
      <w:tabs>
        <w:tab w:val="left" w:pos="360"/>
      </w:tabs>
      <w:autoSpaceDE w:val="0"/>
      <w:autoSpaceDN w:val="0"/>
      <w:adjustRightInd w:val="0"/>
      <w:spacing w:after="240"/>
      <w:ind w:left="360" w:hanging="360"/>
      <w:jc w:val="both"/>
    </w:pPr>
    <w:rPr>
      <w:rFonts w:ascii="Tahoma" w:eastAsia="Times New Roman" w:hAnsi="Tahoma"/>
      <w:sz w:val="24"/>
    </w:rPr>
  </w:style>
  <w:style w:type="character" w:styleId="FootnoteReference">
    <w:name w:val="footnote reference"/>
    <w:basedOn w:val="DefaultParagraphFont"/>
    <w:uiPriority w:val="99"/>
    <w:unhideWhenUsed/>
    <w:rsid w:val="0058119B"/>
    <w:rPr>
      <w:vertAlign w:val="superscript"/>
    </w:rPr>
  </w:style>
  <w:style w:type="character" w:styleId="EndnoteReference">
    <w:name w:val="endnote reference"/>
    <w:basedOn w:val="DefaultParagraphFont"/>
    <w:uiPriority w:val="99"/>
    <w:unhideWhenUsed/>
    <w:rsid w:val="0058119B"/>
    <w:rPr>
      <w:vertAlign w:val="superscript"/>
    </w:rPr>
  </w:style>
  <w:style w:type="character" w:styleId="SubtleEmphasis">
    <w:name w:val="Subtle Emphasis"/>
    <w:basedOn w:val="DefaultParagraphFont"/>
    <w:uiPriority w:val="19"/>
    <w:qFormat/>
    <w:rsid w:val="00581D5D"/>
    <w:rPr>
      <w:b w:val="0"/>
      <w:i w:val="0"/>
      <w:iCs/>
      <w:color w:val="595959" w:themeColor="text1" w:themeTint="A6"/>
      <w:sz w:val="24"/>
    </w:rPr>
  </w:style>
  <w:style w:type="character" w:styleId="SubtleReference">
    <w:name w:val="Subtle Reference"/>
    <w:basedOn w:val="DefaultParagraphFont"/>
    <w:uiPriority w:val="31"/>
    <w:qFormat/>
    <w:rsid w:val="004E7A5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E7A5E"/>
    <w:rPr>
      <w:b/>
      <w:bCs/>
      <w:caps w:val="0"/>
      <w:smallCaps/>
      <w:color w:val="auto"/>
      <w:spacing w:val="0"/>
      <w:u w:val="single"/>
    </w:rPr>
  </w:style>
  <w:style w:type="character" w:styleId="BookTitle">
    <w:name w:val="Book Title"/>
    <w:basedOn w:val="DefaultParagraphFont"/>
    <w:uiPriority w:val="33"/>
    <w:qFormat/>
    <w:rsid w:val="004E7A5E"/>
    <w:rPr>
      <w:b/>
      <w:bCs/>
      <w:caps w:val="0"/>
      <w:smallCaps/>
      <w:spacing w:val="0"/>
    </w:rPr>
  </w:style>
  <w:style w:type="paragraph" w:customStyle="1" w:styleId="newbullet">
    <w:name w:val="newbullet"/>
    <w:basedOn w:val="Normal"/>
    <w:link w:val="newbulletChar"/>
    <w:rsid w:val="0058119B"/>
    <w:rPr>
      <w:rFonts w:ascii="Tahoma" w:eastAsia="Times New Roman" w:hAnsi="Tahoma"/>
      <w:bCs/>
      <w:sz w:val="24"/>
    </w:rPr>
  </w:style>
  <w:style w:type="character" w:customStyle="1" w:styleId="newbulletChar">
    <w:name w:val="newbullet Char"/>
    <w:basedOn w:val="newtextChar"/>
    <w:link w:val="newbullet"/>
    <w:locked/>
    <w:rsid w:val="0058119B"/>
    <w:rPr>
      <w:rFonts w:ascii="Tahoma" w:eastAsia="Times New Roman" w:hAnsi="Tahoma" w:cs="Times New Roman"/>
      <w:bCs/>
      <w:sz w:val="24"/>
      <w:szCs w:val="24"/>
    </w:rPr>
  </w:style>
  <w:style w:type="character" w:customStyle="1" w:styleId="Heading2Char1">
    <w:name w:val="Heading 2 Char1"/>
    <w:basedOn w:val="DefaultParagraphFont"/>
    <w:rsid w:val="0058119B"/>
    <w:rPr>
      <w:rFonts w:ascii="Cambria" w:eastAsia="Times New Roman" w:hAnsi="Cambria" w:cs="Times New Roman" w:hint="default"/>
      <w:b/>
      <w:bCs/>
      <w:i/>
      <w:iCs/>
      <w:sz w:val="28"/>
      <w:szCs w:val="28"/>
    </w:rPr>
  </w:style>
  <w:style w:type="character" w:customStyle="1" w:styleId="BodyTextChar1">
    <w:name w:val="Body Text Char1"/>
    <w:basedOn w:val="DefaultParagraphFont"/>
    <w:link w:val="BodyText"/>
    <w:locked/>
    <w:rsid w:val="0058119B"/>
    <w:rPr>
      <w:rFonts w:ascii="Calibri" w:eastAsia="Times New Roman" w:hAnsi="Calibri" w:cs="Times New Roman"/>
      <w:bCs/>
      <w:sz w:val="24"/>
      <w:szCs w:val="24"/>
      <w:lang w:bidi="en-US"/>
    </w:rPr>
  </w:style>
  <w:style w:type="character" w:customStyle="1" w:styleId="bodytextchar0">
    <w:name w:val="bodytextchar"/>
    <w:basedOn w:val="DefaultParagraphFont"/>
    <w:rsid w:val="0058119B"/>
  </w:style>
  <w:style w:type="character" w:customStyle="1" w:styleId="DeltaViewMoveDestination">
    <w:name w:val="DeltaView Move Destination"/>
    <w:uiPriority w:val="99"/>
    <w:rsid w:val="0058119B"/>
    <w:rPr>
      <w:color w:val="00C000"/>
      <w:u w:val="double"/>
    </w:rPr>
  </w:style>
  <w:style w:type="paragraph" w:styleId="PlainText">
    <w:name w:val="Plain Text"/>
    <w:basedOn w:val="Normal"/>
    <w:link w:val="PlainTextChar"/>
    <w:uiPriority w:val="99"/>
    <w:unhideWhenUsed/>
    <w:rsid w:val="0058119B"/>
    <w:rPr>
      <w:rFonts w:ascii="Consolas" w:eastAsia="Times New Roman" w:hAnsi="Consolas" w:cs="Consolas"/>
      <w:bCs/>
    </w:rPr>
  </w:style>
  <w:style w:type="character" w:customStyle="1" w:styleId="PlainTextChar">
    <w:name w:val="Plain Text Char"/>
    <w:basedOn w:val="DefaultParagraphFont"/>
    <w:link w:val="PlainText"/>
    <w:uiPriority w:val="99"/>
    <w:rsid w:val="0058119B"/>
    <w:rPr>
      <w:rFonts w:ascii="Consolas" w:eastAsia="Times New Roman" w:hAnsi="Consolas" w:cs="Consolas"/>
      <w:bCs/>
      <w:sz w:val="21"/>
      <w:szCs w:val="21"/>
    </w:rPr>
  </w:style>
  <w:style w:type="character" w:customStyle="1" w:styleId="CharacterStyle13">
    <w:name w:val="Character Style 13"/>
    <w:rsid w:val="0058119B"/>
    <w:rPr>
      <w:sz w:val="24"/>
    </w:rPr>
  </w:style>
  <w:style w:type="character" w:customStyle="1" w:styleId="STYLE1">
    <w:name w:val="STYLE 1"/>
    <w:basedOn w:val="BodyTextChar1"/>
    <w:rsid w:val="0058119B"/>
    <w:rPr>
      <w:rFonts w:ascii="Arial" w:eastAsia="Times New Roman" w:hAnsi="Arial" w:cs="Tahoma"/>
      <w:bCs/>
      <w:sz w:val="16"/>
      <w:szCs w:val="16"/>
      <w:lang w:val="en-US" w:eastAsia="en-US" w:bidi="ar-SA"/>
    </w:rPr>
  </w:style>
  <w:style w:type="character" w:customStyle="1" w:styleId="heading">
    <w:name w:val="heading"/>
    <w:basedOn w:val="DefaultParagraphFont"/>
    <w:rsid w:val="0058119B"/>
  </w:style>
  <w:style w:type="character" w:customStyle="1" w:styleId="apple-converted-space">
    <w:name w:val="apple-converted-space"/>
    <w:basedOn w:val="DefaultParagraphFont"/>
    <w:rsid w:val="0058119B"/>
  </w:style>
  <w:style w:type="character" w:customStyle="1" w:styleId="bodytext0">
    <w:name w:val="bodytext"/>
    <w:basedOn w:val="DefaultParagraphFont"/>
    <w:rsid w:val="0058119B"/>
  </w:style>
  <w:style w:type="table" w:styleId="LightShading-Accent2">
    <w:name w:val="Light Shading Accent 2"/>
    <w:basedOn w:val="TableNormal"/>
    <w:uiPriority w:val="60"/>
    <w:unhideWhenUsed/>
    <w:rsid w:val="0058119B"/>
    <w:pPr>
      <w:spacing w:before="240" w:after="0" w:line="240" w:lineRule="auto"/>
      <w:jc w:val="both"/>
    </w:pPr>
    <w:rPr>
      <w:color w:val="87262C" w:themeColor="accent2" w:themeShade="BF"/>
    </w:rPr>
    <w:tblPr>
      <w:tblStyleRowBandSize w:val="1"/>
      <w:tblStyleColBandSize w:val="1"/>
      <w:tblBorders>
        <w:top w:val="single" w:sz="8" w:space="0" w:color="B5333C" w:themeColor="accent2"/>
        <w:bottom w:val="single" w:sz="8" w:space="0" w:color="B5333C" w:themeColor="accent2"/>
      </w:tblBorders>
    </w:tblPr>
    <w:tblStylePr w:type="fir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hemeFill="accent2" w:themeFillTint="3F"/>
      </w:tcPr>
    </w:tblStylePr>
    <w:tblStylePr w:type="band1Horz">
      <w:tblPr/>
      <w:tcPr>
        <w:tcBorders>
          <w:left w:val="nil"/>
          <w:right w:val="nil"/>
          <w:insideH w:val="nil"/>
          <w:insideV w:val="nil"/>
        </w:tcBorders>
        <w:shd w:val="clear" w:color="auto" w:fill="EFC9CB" w:themeFill="accent2" w:themeFillTint="3F"/>
      </w:tcPr>
    </w:tblStylePr>
  </w:style>
  <w:style w:type="table" w:styleId="LightList-Accent2">
    <w:name w:val="Light List Accent 2"/>
    <w:basedOn w:val="TableNormal"/>
    <w:uiPriority w:val="61"/>
    <w:unhideWhenUsed/>
    <w:rsid w:val="0058119B"/>
    <w:pPr>
      <w:spacing w:after="0" w:line="240" w:lineRule="auto"/>
    </w:pPr>
    <w:tblPr>
      <w:tblStyleRowBandSize w:val="1"/>
      <w:tblStyleColBandSize w:val="1"/>
      <w:tblBorders>
        <w:top w:val="single" w:sz="8" w:space="0" w:color="B5333C" w:themeColor="accent2"/>
        <w:left w:val="single" w:sz="8" w:space="0" w:color="B5333C" w:themeColor="accent2"/>
        <w:bottom w:val="single" w:sz="8" w:space="0" w:color="B5333C" w:themeColor="accent2"/>
        <w:right w:val="single" w:sz="8" w:space="0" w:color="B5333C" w:themeColor="accent2"/>
      </w:tblBorders>
    </w:tblPr>
    <w:tblStylePr w:type="firstRow">
      <w:pPr>
        <w:spacing w:beforeLines="0" w:beforeAutospacing="0" w:afterLines="0" w:afterAutospacing="0" w:line="240" w:lineRule="auto"/>
      </w:pPr>
      <w:rPr>
        <w:b/>
        <w:bCs/>
        <w:color w:val="FFFFFF" w:themeColor="background1"/>
      </w:rPr>
      <w:tblPr/>
      <w:tcPr>
        <w:shd w:val="clear" w:color="auto" w:fill="B5333C" w:themeFill="accent2"/>
      </w:tcPr>
    </w:tblStylePr>
    <w:tblStylePr w:type="lastRow">
      <w:pPr>
        <w:spacing w:beforeLines="0" w:beforeAutospacing="0" w:afterLines="0" w:afterAutospacing="0" w:line="240" w:lineRule="auto"/>
      </w:pPr>
      <w:rPr>
        <w:b/>
        <w:bCs/>
      </w:rPr>
      <w:tblPr/>
      <w:tcPr>
        <w:tcBorders>
          <w:top w:val="double" w:sz="6" w:space="0" w:color="B5333C" w:themeColor="accent2"/>
          <w:left w:val="single" w:sz="8" w:space="0" w:color="B5333C" w:themeColor="accent2"/>
          <w:bottom w:val="single" w:sz="8" w:space="0" w:color="B5333C" w:themeColor="accent2"/>
          <w:right w:val="single" w:sz="8" w:space="0" w:color="B5333C" w:themeColor="accent2"/>
        </w:tcBorders>
      </w:tcPr>
    </w:tblStylePr>
    <w:tblStylePr w:type="firstCol">
      <w:rPr>
        <w:b/>
        <w:bCs/>
      </w:rPr>
    </w:tblStylePr>
    <w:tblStylePr w:type="lastCol">
      <w:rPr>
        <w:b/>
        <w:bCs/>
      </w:rPr>
    </w:tblStylePr>
    <w:tblStylePr w:type="band1Vert">
      <w:tblPr/>
      <w:tcPr>
        <w:tcBorders>
          <w:top w:val="single" w:sz="8" w:space="0" w:color="B5333C" w:themeColor="accent2"/>
          <w:left w:val="single" w:sz="8" w:space="0" w:color="B5333C" w:themeColor="accent2"/>
          <w:bottom w:val="single" w:sz="8" w:space="0" w:color="B5333C" w:themeColor="accent2"/>
          <w:right w:val="single" w:sz="8" w:space="0" w:color="B5333C" w:themeColor="accent2"/>
        </w:tcBorders>
      </w:tcPr>
    </w:tblStylePr>
    <w:tblStylePr w:type="band1Horz">
      <w:tblPr/>
      <w:tcPr>
        <w:tcBorders>
          <w:top w:val="single" w:sz="8" w:space="0" w:color="B5333C" w:themeColor="accent2"/>
          <w:left w:val="single" w:sz="8" w:space="0" w:color="B5333C" w:themeColor="accent2"/>
          <w:bottom w:val="single" w:sz="8" w:space="0" w:color="B5333C" w:themeColor="accent2"/>
          <w:right w:val="single" w:sz="8" w:space="0" w:color="B5333C" w:themeColor="accent2"/>
        </w:tcBorders>
      </w:tcPr>
    </w:tblStylePr>
  </w:style>
  <w:style w:type="table" w:styleId="LightShading-Accent3">
    <w:name w:val="Light Shading Accent 3"/>
    <w:basedOn w:val="TableNormal"/>
    <w:uiPriority w:val="60"/>
    <w:unhideWhenUsed/>
    <w:rsid w:val="0058119B"/>
    <w:pPr>
      <w:spacing w:before="240" w:after="0" w:line="240" w:lineRule="auto"/>
      <w:jc w:val="both"/>
    </w:pPr>
    <w:rPr>
      <w:color w:val="A32F2E" w:themeColor="accent3" w:themeShade="BF"/>
    </w:rPr>
    <w:tblPr>
      <w:tblStyleRowBandSize w:val="1"/>
      <w:tblStyleColBandSize w:val="1"/>
      <w:tblBorders>
        <w:top w:val="single" w:sz="8" w:space="0" w:color="CC4D4C" w:themeColor="accent3"/>
        <w:bottom w:val="single" w:sz="8" w:space="0" w:color="CC4D4C" w:themeColor="accent3"/>
      </w:tblBorders>
    </w:tblPr>
    <w:tblStylePr w:type="fir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hemeFill="accent3" w:themeFillTint="3F"/>
      </w:tcPr>
    </w:tblStylePr>
    <w:tblStylePr w:type="band1Horz">
      <w:tblPr/>
      <w:tcPr>
        <w:tcBorders>
          <w:left w:val="nil"/>
          <w:right w:val="nil"/>
          <w:insideH w:val="nil"/>
          <w:insideV w:val="nil"/>
        </w:tcBorders>
        <w:shd w:val="clear" w:color="auto" w:fill="F2D2D2" w:themeFill="accent3" w:themeFillTint="3F"/>
      </w:tcPr>
    </w:tblStylePr>
  </w:style>
  <w:style w:type="table" w:styleId="LightList-Accent3">
    <w:name w:val="Light List Accent 3"/>
    <w:basedOn w:val="TableNormal"/>
    <w:uiPriority w:val="61"/>
    <w:unhideWhenUsed/>
    <w:rsid w:val="0058119B"/>
    <w:pPr>
      <w:spacing w:after="0" w:line="240" w:lineRule="auto"/>
    </w:pPr>
    <w:tblPr>
      <w:tblStyleRowBandSize w:val="1"/>
      <w:tblStyleColBandSize w:val="1"/>
      <w:tblBorders>
        <w:top w:val="single" w:sz="8" w:space="0" w:color="CC4D4C" w:themeColor="accent3"/>
        <w:left w:val="single" w:sz="8" w:space="0" w:color="CC4D4C" w:themeColor="accent3"/>
        <w:bottom w:val="single" w:sz="8" w:space="0" w:color="CC4D4C" w:themeColor="accent3"/>
        <w:right w:val="single" w:sz="8" w:space="0" w:color="CC4D4C" w:themeColor="accent3"/>
      </w:tblBorders>
    </w:tblPr>
    <w:tblStylePr w:type="firstRow">
      <w:pPr>
        <w:spacing w:beforeLines="0" w:beforeAutospacing="0" w:afterLines="0" w:afterAutospacing="0" w:line="240" w:lineRule="auto"/>
      </w:pPr>
      <w:rPr>
        <w:b/>
        <w:bCs/>
        <w:color w:val="FFFFFF" w:themeColor="background1"/>
      </w:rPr>
      <w:tblPr/>
      <w:tcPr>
        <w:shd w:val="clear" w:color="auto" w:fill="CC4D4C" w:themeFill="accent3"/>
      </w:tcPr>
    </w:tblStylePr>
    <w:tblStylePr w:type="lastRow">
      <w:pPr>
        <w:spacing w:beforeLines="0" w:beforeAutospacing="0" w:afterLines="0" w:afterAutospacing="0" w:line="240" w:lineRule="auto"/>
      </w:pPr>
      <w:rPr>
        <w:b/>
        <w:bCs/>
      </w:rPr>
      <w:tblPr/>
      <w:tcPr>
        <w:tcBorders>
          <w:top w:val="double" w:sz="6" w:space="0" w:color="CC4D4C" w:themeColor="accent3"/>
          <w:left w:val="single" w:sz="8" w:space="0" w:color="CC4D4C" w:themeColor="accent3"/>
          <w:bottom w:val="single" w:sz="8" w:space="0" w:color="CC4D4C" w:themeColor="accent3"/>
          <w:right w:val="single" w:sz="8" w:space="0" w:color="CC4D4C" w:themeColor="accent3"/>
        </w:tcBorders>
      </w:tcPr>
    </w:tblStylePr>
    <w:tblStylePr w:type="firstCol">
      <w:rPr>
        <w:b/>
        <w:bCs/>
      </w:rPr>
    </w:tblStylePr>
    <w:tblStylePr w:type="lastCol">
      <w:rPr>
        <w:b/>
        <w:bCs/>
      </w:rPr>
    </w:tblStylePr>
    <w:tblStylePr w:type="band1Vert">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tblStylePr w:type="band1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style>
  <w:style w:type="table" w:styleId="LightGrid-Accent3">
    <w:name w:val="Light Grid Accent 3"/>
    <w:basedOn w:val="TableNormal"/>
    <w:uiPriority w:val="62"/>
    <w:unhideWhenUsed/>
    <w:rsid w:val="0058119B"/>
    <w:pPr>
      <w:spacing w:after="0" w:line="240" w:lineRule="auto"/>
    </w:pPr>
    <w:tblPr>
      <w:tblStyleRowBandSize w:val="1"/>
      <w:tblStyleColBandSize w:val="1"/>
      <w:tblBorders>
        <w:top w:val="single" w:sz="8" w:space="0" w:color="CC4D4C" w:themeColor="accent3"/>
        <w:left w:val="single" w:sz="8" w:space="0" w:color="CC4D4C" w:themeColor="accent3"/>
        <w:bottom w:val="single" w:sz="8" w:space="0" w:color="CC4D4C" w:themeColor="accent3"/>
        <w:right w:val="single" w:sz="8" w:space="0" w:color="CC4D4C" w:themeColor="accent3"/>
        <w:insideH w:val="single" w:sz="8" w:space="0" w:color="CC4D4C" w:themeColor="accent3"/>
        <w:insideV w:val="single" w:sz="8" w:space="0" w:color="CC4D4C"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C4D4C" w:themeColor="accent3"/>
          <w:left w:val="single" w:sz="8" w:space="0" w:color="CC4D4C" w:themeColor="accent3"/>
          <w:bottom w:val="single" w:sz="18" w:space="0" w:color="CC4D4C" w:themeColor="accent3"/>
          <w:right w:val="single" w:sz="8" w:space="0" w:color="CC4D4C" w:themeColor="accent3"/>
          <w:insideH w:val="nil"/>
          <w:insideV w:val="single" w:sz="8" w:space="0" w:color="CC4D4C"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C4D4C" w:themeColor="accent3"/>
          <w:left w:val="single" w:sz="8" w:space="0" w:color="CC4D4C" w:themeColor="accent3"/>
          <w:bottom w:val="single" w:sz="8" w:space="0" w:color="CC4D4C" w:themeColor="accent3"/>
          <w:right w:val="single" w:sz="8" w:space="0" w:color="CC4D4C" w:themeColor="accent3"/>
          <w:insideH w:val="nil"/>
          <w:insideV w:val="single" w:sz="8" w:space="0" w:color="CC4D4C"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tblStylePr w:type="band1Vert">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shd w:val="clear" w:color="auto" w:fill="F2D2D2" w:themeFill="accent3" w:themeFillTint="3F"/>
      </w:tcPr>
    </w:tblStylePr>
    <w:tblStylePr w:type="band1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insideV w:val="single" w:sz="8" w:space="0" w:color="CC4D4C" w:themeColor="accent3"/>
        </w:tcBorders>
        <w:shd w:val="clear" w:color="auto" w:fill="F2D2D2" w:themeFill="accent3" w:themeFillTint="3F"/>
      </w:tcPr>
    </w:tblStylePr>
    <w:tblStylePr w:type="band2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insideV w:val="single" w:sz="8" w:space="0" w:color="CC4D4C" w:themeColor="accent3"/>
        </w:tcBorders>
      </w:tcPr>
    </w:tblStylePr>
  </w:style>
  <w:style w:type="table" w:styleId="MediumShading1-Accent3">
    <w:name w:val="Medium Shading 1 Accent 3"/>
    <w:basedOn w:val="TableNormal"/>
    <w:uiPriority w:val="63"/>
    <w:unhideWhenUsed/>
    <w:rsid w:val="0058119B"/>
    <w:pPr>
      <w:spacing w:after="0" w:line="240" w:lineRule="auto"/>
    </w:pPr>
    <w:tblPr>
      <w:tblStyleRowBandSize w:val="1"/>
      <w:tblStyleColBandSize w:val="1"/>
      <w:tblBorders>
        <w:top w:val="single" w:sz="8"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single" w:sz="8" w:space="0" w:color="D87978" w:themeColor="accent3"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nil"/>
          <w:insideV w:val="nil"/>
        </w:tcBorders>
        <w:shd w:val="clear" w:color="auto" w:fill="CC4D4C" w:themeFill="accent3"/>
      </w:tcPr>
    </w:tblStylePr>
    <w:tblStylePr w:type="lastRow">
      <w:pPr>
        <w:spacing w:beforeLines="0" w:beforeAutospacing="0" w:afterLines="0" w:afterAutospacing="0" w:line="240" w:lineRule="auto"/>
      </w:pPr>
      <w:rPr>
        <w:b/>
        <w:bCs/>
      </w:rPr>
      <w:tblPr/>
      <w:tcPr>
        <w:tcBorders>
          <w:top w:val="double" w:sz="6"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2D2" w:themeFill="accent3" w:themeFillTint="3F"/>
      </w:tcPr>
    </w:tblStylePr>
    <w:tblStylePr w:type="band1Horz">
      <w:tblPr/>
      <w:tcPr>
        <w:tcBorders>
          <w:insideH w:val="nil"/>
          <w:insideV w:val="nil"/>
        </w:tcBorders>
        <w:shd w:val="clear" w:color="auto" w:fill="F2D2D2"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unhideWhenUsed/>
    <w:rsid w:val="0058119B"/>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4D4C"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4D4C" w:themeFill="accent3"/>
      </w:tcPr>
    </w:tblStylePr>
    <w:tblStylePr w:type="lastCol">
      <w:rPr>
        <w:b/>
        <w:bCs/>
        <w:color w:val="FFFFFF" w:themeColor="background1"/>
      </w:rPr>
      <w:tblPr/>
      <w:tcPr>
        <w:tcBorders>
          <w:left w:val="nil"/>
          <w:right w:val="nil"/>
          <w:insideH w:val="nil"/>
          <w:insideV w:val="nil"/>
        </w:tcBorders>
        <w:shd w:val="clear" w:color="auto" w:fill="CC4D4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58119B"/>
    <w:pPr>
      <w:spacing w:before="240"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8119B"/>
    <w:pPr>
      <w:spacing w:before="240" w:after="0" w:line="240" w:lineRule="auto"/>
      <w:jc w:val="both"/>
    </w:pPr>
    <w:rPr>
      <w:color w:val="887830" w:themeColor="accent1" w:themeShade="BF"/>
    </w:rPr>
    <w:tblPr>
      <w:tblStyleRowBandSize w:val="1"/>
      <w:tblStyleColBandSize w:val="1"/>
      <w:tblBorders>
        <w:top w:val="single" w:sz="8" w:space="0" w:color="B7A241" w:themeColor="accent1"/>
        <w:bottom w:val="single" w:sz="8" w:space="0" w:color="B7A241" w:themeColor="accent1"/>
      </w:tblBorders>
    </w:tblPr>
    <w:tblStylePr w:type="firstRow">
      <w:pPr>
        <w:spacing w:beforeLines="0" w:beforeAutospacing="0" w:afterLines="0" w:afterAutospacing="0" w:line="240" w:lineRule="auto"/>
      </w:pPr>
      <w:rPr>
        <w:b/>
        <w:bCs/>
      </w:rPr>
      <w:tblPr/>
      <w:tcPr>
        <w:tcBorders>
          <w:top w:val="single" w:sz="8" w:space="0" w:color="B7A241" w:themeColor="accent1"/>
          <w:left w:val="nil"/>
          <w:bottom w:val="single" w:sz="8" w:space="0" w:color="B7A241"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7A241" w:themeColor="accent1"/>
          <w:left w:val="nil"/>
          <w:bottom w:val="single" w:sz="8" w:space="0" w:color="B7A2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8CF" w:themeFill="accent1" w:themeFillTint="3F"/>
      </w:tcPr>
    </w:tblStylePr>
    <w:tblStylePr w:type="band1Horz">
      <w:tblPr/>
      <w:tcPr>
        <w:tcBorders>
          <w:left w:val="nil"/>
          <w:right w:val="nil"/>
          <w:insideH w:val="nil"/>
          <w:insideV w:val="nil"/>
        </w:tcBorders>
        <w:shd w:val="clear" w:color="auto" w:fill="EEE8CF" w:themeFill="accent1" w:themeFillTint="3F"/>
      </w:tcPr>
    </w:tblStylePr>
  </w:style>
  <w:style w:type="table" w:customStyle="1" w:styleId="LightList1">
    <w:name w:val="Light List1"/>
    <w:basedOn w:val="TableNormal"/>
    <w:uiPriority w:val="61"/>
    <w:rsid w:val="0058119B"/>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58119B"/>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31">
    <w:name w:val="Light Shading - Accent 31"/>
    <w:basedOn w:val="TableNormal"/>
    <w:uiPriority w:val="60"/>
    <w:rsid w:val="0058119B"/>
    <w:pPr>
      <w:spacing w:after="0" w:line="240" w:lineRule="auto"/>
    </w:pPr>
    <w:rPr>
      <w:color w:val="A32F2E" w:themeColor="accent3" w:themeShade="BF"/>
    </w:rPr>
    <w:tblPr>
      <w:tblStyleRowBandSize w:val="1"/>
      <w:tblStyleColBandSize w:val="1"/>
      <w:tblBorders>
        <w:top w:val="single" w:sz="8" w:space="0" w:color="CC4D4C" w:themeColor="accent3"/>
        <w:bottom w:val="single" w:sz="8" w:space="0" w:color="CC4D4C" w:themeColor="accent3"/>
      </w:tblBorders>
    </w:tblPr>
    <w:tblStylePr w:type="fir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hemeFill="accent3" w:themeFillTint="3F"/>
      </w:tcPr>
    </w:tblStylePr>
    <w:tblStylePr w:type="band1Horz">
      <w:tblPr/>
      <w:tcPr>
        <w:tcBorders>
          <w:left w:val="nil"/>
          <w:right w:val="nil"/>
          <w:insideH w:val="nil"/>
          <w:insideV w:val="nil"/>
        </w:tcBorders>
        <w:shd w:val="clear" w:color="auto" w:fill="F2D2D2" w:themeFill="accent3" w:themeFillTint="3F"/>
      </w:tcPr>
    </w:tblStylePr>
  </w:style>
  <w:style w:type="table" w:customStyle="1" w:styleId="LightShading-Accent21">
    <w:name w:val="Light Shading - Accent 21"/>
    <w:basedOn w:val="TableNormal"/>
    <w:uiPriority w:val="60"/>
    <w:rsid w:val="0058119B"/>
    <w:pPr>
      <w:spacing w:after="0" w:line="240" w:lineRule="auto"/>
    </w:pPr>
    <w:rPr>
      <w:color w:val="87262C" w:themeColor="accent2" w:themeShade="BF"/>
    </w:rPr>
    <w:tblPr>
      <w:tblStyleRowBandSize w:val="1"/>
      <w:tblStyleColBandSize w:val="1"/>
      <w:tblBorders>
        <w:top w:val="single" w:sz="8" w:space="0" w:color="B5333C" w:themeColor="accent2"/>
        <w:bottom w:val="single" w:sz="8" w:space="0" w:color="B5333C" w:themeColor="accent2"/>
      </w:tblBorders>
    </w:tblPr>
    <w:tblStylePr w:type="fir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hemeFill="accent2" w:themeFillTint="3F"/>
      </w:tcPr>
    </w:tblStylePr>
    <w:tblStylePr w:type="band1Horz">
      <w:tblPr/>
      <w:tcPr>
        <w:tcBorders>
          <w:left w:val="nil"/>
          <w:right w:val="nil"/>
          <w:insideH w:val="nil"/>
          <w:insideV w:val="nil"/>
        </w:tcBorders>
        <w:shd w:val="clear" w:color="auto" w:fill="EFC9CB" w:themeFill="accent2" w:themeFillTint="3F"/>
      </w:tcPr>
    </w:tblStylePr>
  </w:style>
  <w:style w:type="table" w:customStyle="1" w:styleId="TableGrid1">
    <w:name w:val="Table Grid1"/>
    <w:basedOn w:val="TableNormal"/>
    <w:uiPriority w:val="59"/>
    <w:rsid w:val="0058119B"/>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bulletspaceabove">
    <w:name w:val="newbulletspaceabove"/>
    <w:basedOn w:val="newbullet"/>
    <w:rsid w:val="0058119B"/>
    <w:pPr>
      <w:tabs>
        <w:tab w:val="num" w:pos="360"/>
        <w:tab w:val="num" w:pos="3420"/>
      </w:tabs>
      <w:spacing w:before="240"/>
      <w:ind w:left="360" w:hanging="360"/>
      <w:jc w:val="both"/>
    </w:pPr>
    <w:rPr>
      <w:sz w:val="22"/>
      <w:szCs w:val="22"/>
    </w:rPr>
  </w:style>
  <w:style w:type="paragraph" w:customStyle="1" w:styleId="List0">
    <w:name w:val="List 0"/>
    <w:basedOn w:val="None"/>
    <w:semiHidden/>
    <w:rsid w:val="0058119B"/>
    <w:pPr>
      <w:numPr>
        <w:numId w:val="60"/>
      </w:numPr>
    </w:pPr>
  </w:style>
  <w:style w:type="character" w:styleId="Strong">
    <w:name w:val="Strong"/>
    <w:basedOn w:val="DefaultParagraphFont"/>
    <w:uiPriority w:val="22"/>
    <w:qFormat/>
    <w:rsid w:val="004E7A5E"/>
    <w:rPr>
      <w:b/>
      <w:bCs/>
    </w:rPr>
  </w:style>
  <w:style w:type="character" w:styleId="PageNumber">
    <w:name w:val="page number"/>
    <w:basedOn w:val="DefaultParagraphFont"/>
    <w:uiPriority w:val="99"/>
    <w:rsid w:val="001660FD"/>
  </w:style>
  <w:style w:type="table" w:customStyle="1" w:styleId="GridTable4-Accent21">
    <w:name w:val="Grid Table 4 - Accent 21"/>
    <w:basedOn w:val="TableNormal"/>
    <w:uiPriority w:val="49"/>
    <w:rsid w:val="00D419DD"/>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insideV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insideV w:val="nil"/>
        </w:tcBorders>
        <w:shd w:val="clear" w:color="auto" w:fill="B5333C" w:themeFill="accent2"/>
      </w:tcPr>
    </w:tblStylePr>
    <w:tblStylePr w:type="lastRow">
      <w:rPr>
        <w:b/>
        <w:bCs/>
      </w:rPr>
      <w:tblPr/>
      <w:tcPr>
        <w:tcBorders>
          <w:top w:val="double" w:sz="4" w:space="0" w:color="B5333C" w:themeColor="accent2"/>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2-Accent31">
    <w:name w:val="Grid Table 2 - Accent 31"/>
    <w:basedOn w:val="TableNormal"/>
    <w:uiPriority w:val="47"/>
    <w:rsid w:val="00D21A9B"/>
    <w:pPr>
      <w:spacing w:after="0" w:line="240" w:lineRule="auto"/>
    </w:pPr>
    <w:tblPr>
      <w:tblStyleRowBandSize w:val="1"/>
      <w:tblStyleColBandSize w:val="1"/>
      <w:tblBorders>
        <w:top w:val="single" w:sz="2" w:space="0" w:color="E09393" w:themeColor="accent3" w:themeTint="99"/>
        <w:bottom w:val="single" w:sz="2" w:space="0" w:color="E09393" w:themeColor="accent3" w:themeTint="99"/>
        <w:insideH w:val="single" w:sz="2" w:space="0" w:color="E09393" w:themeColor="accent3" w:themeTint="99"/>
        <w:insideV w:val="single" w:sz="2" w:space="0" w:color="E09393" w:themeColor="accent3" w:themeTint="99"/>
      </w:tblBorders>
    </w:tblPr>
    <w:tblStylePr w:type="firstRow">
      <w:rPr>
        <w:b/>
        <w:bCs/>
      </w:rPr>
      <w:tblPr/>
      <w:tcPr>
        <w:tcBorders>
          <w:top w:val="nil"/>
          <w:bottom w:val="single" w:sz="12" w:space="0" w:color="E09393" w:themeColor="accent3" w:themeTint="99"/>
          <w:insideH w:val="nil"/>
          <w:insideV w:val="nil"/>
        </w:tcBorders>
        <w:shd w:val="clear" w:color="auto" w:fill="FFFFFF" w:themeFill="background1"/>
      </w:tcPr>
    </w:tblStylePr>
    <w:tblStylePr w:type="lastRow">
      <w:rPr>
        <w:b/>
        <w:bCs/>
      </w:rPr>
      <w:tblPr/>
      <w:tcPr>
        <w:tcBorders>
          <w:top w:val="double" w:sz="2" w:space="0" w:color="E0939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BDB" w:themeFill="accent3" w:themeFillTint="33"/>
      </w:tcPr>
    </w:tblStylePr>
    <w:tblStylePr w:type="band1Horz">
      <w:tblPr/>
      <w:tcPr>
        <w:shd w:val="clear" w:color="auto" w:fill="F4DBDB" w:themeFill="accent3" w:themeFillTint="33"/>
      </w:tcPr>
    </w:tblStylePr>
  </w:style>
  <w:style w:type="table" w:customStyle="1" w:styleId="ListTable3-Accent41">
    <w:name w:val="List Table 3 - Accent 41"/>
    <w:basedOn w:val="TableNormal"/>
    <w:uiPriority w:val="48"/>
    <w:rsid w:val="00F93664"/>
    <w:pPr>
      <w:spacing w:after="0" w:line="240" w:lineRule="auto"/>
    </w:pPr>
    <w:tblPr>
      <w:tblStyleRowBandSize w:val="1"/>
      <w:tblStyleColBandSize w:val="1"/>
      <w:tblBorders>
        <w:top w:val="single" w:sz="4" w:space="0" w:color="D6542C" w:themeColor="accent4"/>
        <w:left w:val="single" w:sz="4" w:space="0" w:color="D6542C" w:themeColor="accent4"/>
        <w:bottom w:val="single" w:sz="4" w:space="0" w:color="D6542C" w:themeColor="accent4"/>
        <w:right w:val="single" w:sz="4" w:space="0" w:color="D6542C" w:themeColor="accent4"/>
      </w:tblBorders>
    </w:tblPr>
    <w:tblStylePr w:type="firstRow">
      <w:rPr>
        <w:b/>
        <w:bCs/>
        <w:color w:val="FFFFFF" w:themeColor="background1"/>
      </w:rPr>
      <w:tblPr/>
      <w:tcPr>
        <w:shd w:val="clear" w:color="auto" w:fill="D6542C" w:themeFill="accent4"/>
      </w:tcPr>
    </w:tblStylePr>
    <w:tblStylePr w:type="lastRow">
      <w:rPr>
        <w:b/>
        <w:bCs/>
      </w:rPr>
      <w:tblPr/>
      <w:tcPr>
        <w:tcBorders>
          <w:top w:val="double" w:sz="4" w:space="0" w:color="D654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542C" w:themeColor="accent4"/>
          <w:right w:val="single" w:sz="4" w:space="0" w:color="D6542C" w:themeColor="accent4"/>
        </w:tcBorders>
      </w:tcPr>
    </w:tblStylePr>
    <w:tblStylePr w:type="band1Horz">
      <w:tblPr/>
      <w:tcPr>
        <w:tcBorders>
          <w:top w:val="single" w:sz="4" w:space="0" w:color="D6542C" w:themeColor="accent4"/>
          <w:bottom w:val="single" w:sz="4" w:space="0" w:color="D654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542C" w:themeColor="accent4"/>
          <w:left w:val="nil"/>
        </w:tcBorders>
      </w:tcPr>
    </w:tblStylePr>
    <w:tblStylePr w:type="swCell">
      <w:tblPr/>
      <w:tcPr>
        <w:tcBorders>
          <w:top w:val="double" w:sz="4" w:space="0" w:color="D6542C" w:themeColor="accent4"/>
          <w:right w:val="nil"/>
        </w:tcBorders>
      </w:tcPr>
    </w:tblStylePr>
  </w:style>
  <w:style w:type="table" w:customStyle="1" w:styleId="ListTable4-Accent21">
    <w:name w:val="List Table 4 - Accent 21"/>
    <w:basedOn w:val="TableNormal"/>
    <w:uiPriority w:val="49"/>
    <w:rsid w:val="00F93664"/>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tcBorders>
        <w:shd w:val="clear" w:color="auto" w:fill="B5333C" w:themeFill="accent2"/>
      </w:tcPr>
    </w:tblStylePr>
    <w:tblStylePr w:type="lastRow">
      <w:rPr>
        <w:b/>
        <w:bCs/>
      </w:rPr>
      <w:tblPr/>
      <w:tcPr>
        <w:tcBorders>
          <w:top w:val="double" w:sz="4" w:space="0" w:color="DA7C82" w:themeColor="accent2" w:themeTint="99"/>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5Dark-Accent11">
    <w:name w:val="Grid Table 5 Dark - Accent 11"/>
    <w:basedOn w:val="TableNormal"/>
    <w:uiPriority w:val="50"/>
    <w:rsid w:val="00FE52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C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A2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A2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A2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A241" w:themeFill="accent1"/>
      </w:tcPr>
    </w:tblStylePr>
    <w:tblStylePr w:type="band1Vert">
      <w:tblPr/>
      <w:tcPr>
        <w:shd w:val="clear" w:color="auto" w:fill="E3DAB1" w:themeFill="accent1" w:themeFillTint="66"/>
      </w:tcPr>
    </w:tblStylePr>
    <w:tblStylePr w:type="band1Horz">
      <w:tblPr/>
      <w:tcPr>
        <w:shd w:val="clear" w:color="auto" w:fill="E3DAB1" w:themeFill="accent1" w:themeFillTint="66"/>
      </w:tcPr>
    </w:tblStylePr>
  </w:style>
  <w:style w:type="table" w:customStyle="1" w:styleId="ListTable1Light-Accent21">
    <w:name w:val="List Table 1 Light - Accent 21"/>
    <w:basedOn w:val="TableNormal"/>
    <w:uiPriority w:val="46"/>
    <w:rsid w:val="00FE5226"/>
    <w:pPr>
      <w:spacing w:after="0" w:line="240" w:lineRule="auto"/>
    </w:pPr>
    <w:tblPr>
      <w:tblStyleRowBandSize w:val="1"/>
      <w:tblStyleColBandSize w:val="1"/>
    </w:tblPr>
    <w:tblStylePr w:type="firstRow">
      <w:rPr>
        <w:b/>
        <w:bCs/>
      </w:rPr>
      <w:tblPr/>
      <w:tcPr>
        <w:tcBorders>
          <w:bottom w:val="single" w:sz="4" w:space="0" w:color="DA7C82" w:themeColor="accent2" w:themeTint="99"/>
        </w:tcBorders>
      </w:tcPr>
    </w:tblStylePr>
    <w:tblStylePr w:type="lastRow">
      <w:rPr>
        <w:b/>
        <w:bCs/>
      </w:rPr>
      <w:tblPr/>
      <w:tcPr>
        <w:tcBorders>
          <w:top w:val="single" w:sz="4" w:space="0" w:color="DA7C82" w:themeColor="accent2" w:themeTint="99"/>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ListTable1Light-Accent11">
    <w:name w:val="List Table 1 Light - Accent 11"/>
    <w:basedOn w:val="TableNormal"/>
    <w:uiPriority w:val="46"/>
    <w:rsid w:val="00FE5226"/>
    <w:pPr>
      <w:spacing w:after="0" w:line="240" w:lineRule="auto"/>
    </w:pPr>
    <w:tblPr>
      <w:tblStyleRowBandSize w:val="1"/>
      <w:tblStyleColBandSize w:val="1"/>
    </w:tblPr>
    <w:tblStylePr w:type="firstRow">
      <w:rPr>
        <w:b/>
        <w:bCs/>
      </w:rPr>
      <w:tblPr/>
      <w:tcPr>
        <w:tcBorders>
          <w:bottom w:val="single" w:sz="4" w:space="0" w:color="D5C88A" w:themeColor="accent1" w:themeTint="99"/>
        </w:tcBorders>
      </w:tcPr>
    </w:tblStylePr>
    <w:tblStylePr w:type="lastRow">
      <w:rPr>
        <w:b/>
        <w:bCs/>
      </w:rPr>
      <w:tblPr/>
      <w:tcPr>
        <w:tcBorders>
          <w:top w:val="single" w:sz="4" w:space="0" w:color="D5C88A" w:themeColor="accent1" w:themeTint="99"/>
        </w:tcBorders>
      </w:tcPr>
    </w:tblStylePr>
    <w:tblStylePr w:type="firstCol">
      <w:rPr>
        <w:b/>
        <w:bCs/>
      </w:rPr>
    </w:tblStylePr>
    <w:tblStylePr w:type="lastCol">
      <w:rPr>
        <w:b/>
        <w:bCs/>
      </w:rPr>
    </w:tblStylePr>
    <w:tblStylePr w:type="band1Vert">
      <w:tblPr/>
      <w:tcPr>
        <w:shd w:val="clear" w:color="auto" w:fill="F1ECD8" w:themeFill="accent1" w:themeFillTint="33"/>
      </w:tcPr>
    </w:tblStylePr>
    <w:tblStylePr w:type="band1Horz">
      <w:tblPr/>
      <w:tcPr>
        <w:shd w:val="clear" w:color="auto" w:fill="F1ECD8" w:themeFill="accent1" w:themeFillTint="33"/>
      </w:tcPr>
    </w:tblStylePr>
  </w:style>
  <w:style w:type="table" w:customStyle="1" w:styleId="GridTable1Light-Accent21">
    <w:name w:val="Grid Table 1 Light - Accent 21"/>
    <w:basedOn w:val="TableNormal"/>
    <w:uiPriority w:val="46"/>
    <w:rsid w:val="00E403F7"/>
    <w:pPr>
      <w:spacing w:after="0" w:line="240" w:lineRule="auto"/>
    </w:pPr>
    <w:tblPr>
      <w:tblStyleRowBandSize w:val="1"/>
      <w:tblStyleColBandSize w:val="1"/>
      <w:tblBorders>
        <w:top w:val="single" w:sz="4" w:space="0" w:color="E6A8AC" w:themeColor="accent2" w:themeTint="66"/>
        <w:left w:val="single" w:sz="4" w:space="0" w:color="E6A8AC" w:themeColor="accent2" w:themeTint="66"/>
        <w:bottom w:val="single" w:sz="4" w:space="0" w:color="E6A8AC" w:themeColor="accent2" w:themeTint="66"/>
        <w:right w:val="single" w:sz="4" w:space="0" w:color="E6A8AC" w:themeColor="accent2" w:themeTint="66"/>
        <w:insideH w:val="single" w:sz="4" w:space="0" w:color="E6A8AC" w:themeColor="accent2" w:themeTint="66"/>
        <w:insideV w:val="single" w:sz="4" w:space="0" w:color="E6A8AC" w:themeColor="accent2" w:themeTint="66"/>
      </w:tblBorders>
    </w:tblPr>
    <w:tblStylePr w:type="firstRow">
      <w:rPr>
        <w:b/>
        <w:bCs/>
      </w:rPr>
      <w:tblPr/>
      <w:tcPr>
        <w:tcBorders>
          <w:bottom w:val="single" w:sz="12" w:space="0" w:color="DA7C82" w:themeColor="accent2" w:themeTint="99"/>
        </w:tcBorders>
      </w:tcPr>
    </w:tblStylePr>
    <w:tblStylePr w:type="lastRow">
      <w:rPr>
        <w:b/>
        <w:bCs/>
      </w:rPr>
      <w:tblPr/>
      <w:tcPr>
        <w:tcBorders>
          <w:top w:val="double" w:sz="2" w:space="0" w:color="DA7C82" w:themeColor="accent2" w:themeTint="99"/>
        </w:tcBorders>
      </w:tcPr>
    </w:tblStylePr>
    <w:tblStylePr w:type="firstCol">
      <w:rPr>
        <w:b/>
        <w:bCs/>
      </w:rPr>
    </w:tblStylePr>
    <w:tblStylePr w:type="lastCol">
      <w:rPr>
        <w:b/>
        <w:bCs/>
      </w:rPr>
    </w:tblStylePr>
  </w:style>
  <w:style w:type="table" w:customStyle="1" w:styleId="GridTable2-Accent21">
    <w:name w:val="Grid Table 2 - Accent 21"/>
    <w:basedOn w:val="TableNormal"/>
    <w:uiPriority w:val="47"/>
    <w:rsid w:val="00E403F7"/>
    <w:pPr>
      <w:spacing w:after="0" w:line="240" w:lineRule="auto"/>
    </w:pPr>
    <w:tblPr>
      <w:tblStyleRowBandSize w:val="1"/>
      <w:tblStyleColBandSize w:val="1"/>
      <w:tblBorders>
        <w:top w:val="single" w:sz="2" w:space="0" w:color="DA7C82" w:themeColor="accent2" w:themeTint="99"/>
        <w:bottom w:val="single" w:sz="2" w:space="0" w:color="DA7C82" w:themeColor="accent2" w:themeTint="99"/>
        <w:insideH w:val="single" w:sz="2" w:space="0" w:color="DA7C82" w:themeColor="accent2" w:themeTint="99"/>
        <w:insideV w:val="single" w:sz="2" w:space="0" w:color="DA7C82" w:themeColor="accent2" w:themeTint="99"/>
      </w:tblBorders>
    </w:tblPr>
    <w:tblStylePr w:type="firstRow">
      <w:rPr>
        <w:b/>
        <w:bCs/>
      </w:rPr>
      <w:tblPr/>
      <w:tcPr>
        <w:tcBorders>
          <w:top w:val="nil"/>
          <w:bottom w:val="single" w:sz="12" w:space="0" w:color="DA7C82" w:themeColor="accent2" w:themeTint="99"/>
          <w:insideH w:val="nil"/>
          <w:insideV w:val="nil"/>
        </w:tcBorders>
        <w:shd w:val="clear" w:color="auto" w:fill="FFFFFF" w:themeFill="background1"/>
      </w:tcPr>
    </w:tblStylePr>
    <w:tblStylePr w:type="lastRow">
      <w:rPr>
        <w:b/>
        <w:bCs/>
      </w:rPr>
      <w:tblPr/>
      <w:tcPr>
        <w:tcBorders>
          <w:top w:val="double" w:sz="2" w:space="0" w:color="DA7C8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1Light1">
    <w:name w:val="Grid Table 1 Light1"/>
    <w:basedOn w:val="TableNormal"/>
    <w:uiPriority w:val="46"/>
    <w:rsid w:val="00E403F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08153D"/>
    <w:rPr>
      <w:color w:val="808080"/>
      <w:shd w:val="clear" w:color="auto" w:fill="E6E6E6"/>
    </w:rPr>
  </w:style>
  <w:style w:type="paragraph" w:customStyle="1" w:styleId="msonormal0">
    <w:name w:val="msonormal"/>
    <w:basedOn w:val="Normal"/>
    <w:rsid w:val="009B5A32"/>
    <w:pPr>
      <w:spacing w:before="100" w:beforeAutospacing="1" w:after="100" w:afterAutospacing="1"/>
    </w:pPr>
    <w:rPr>
      <w:rFonts w:ascii="Times New Roman" w:eastAsia="Times New Roman" w:hAnsi="Times New Roman"/>
      <w:sz w:val="24"/>
      <w:lang w:eastAsia="en-US"/>
    </w:rPr>
  </w:style>
  <w:style w:type="paragraph" w:customStyle="1" w:styleId="xl63">
    <w:name w:val="xl63"/>
    <w:basedOn w:val="Normal"/>
    <w:rsid w:val="009B5A32"/>
    <w:pPr>
      <w:pBdr>
        <w:top w:val="single" w:sz="8" w:space="0" w:color="auto"/>
        <w:left w:val="single" w:sz="8" w:space="0" w:color="auto"/>
        <w:bottom w:val="single" w:sz="8" w:space="0" w:color="auto"/>
        <w:right w:val="single" w:sz="8" w:space="0" w:color="auto"/>
      </w:pBdr>
      <w:shd w:val="clear" w:color="000000" w:fill="B2A1C7"/>
      <w:spacing w:before="100" w:beforeAutospacing="1" w:after="100" w:afterAutospacing="1"/>
      <w:jc w:val="center"/>
    </w:pPr>
    <w:rPr>
      <w:rFonts w:ascii="Times New Roman" w:eastAsia="Times New Roman" w:hAnsi="Times New Roman"/>
      <w:b/>
      <w:bCs/>
      <w:color w:val="000000"/>
      <w:sz w:val="18"/>
      <w:szCs w:val="18"/>
      <w:lang w:eastAsia="en-US"/>
    </w:rPr>
  </w:style>
  <w:style w:type="paragraph" w:customStyle="1" w:styleId="xl64">
    <w:name w:val="xl64"/>
    <w:basedOn w:val="Normal"/>
    <w:rsid w:val="009B5A32"/>
    <w:pPr>
      <w:pBdr>
        <w:top w:val="single" w:sz="8" w:space="0" w:color="auto"/>
        <w:bottom w:val="single" w:sz="8" w:space="0" w:color="auto"/>
        <w:right w:val="single" w:sz="8" w:space="0" w:color="auto"/>
      </w:pBdr>
      <w:shd w:val="clear" w:color="000000" w:fill="B2A1C7"/>
      <w:spacing w:before="100" w:beforeAutospacing="1" w:after="100" w:afterAutospacing="1"/>
      <w:jc w:val="center"/>
    </w:pPr>
    <w:rPr>
      <w:rFonts w:ascii="Times New Roman" w:eastAsia="Times New Roman" w:hAnsi="Times New Roman"/>
      <w:b/>
      <w:bCs/>
      <w:color w:val="000000"/>
      <w:sz w:val="18"/>
      <w:szCs w:val="18"/>
      <w:lang w:eastAsia="en-US"/>
    </w:rPr>
  </w:style>
  <w:style w:type="paragraph" w:customStyle="1" w:styleId="Subheading">
    <w:name w:val="Subheading"/>
    <w:basedOn w:val="Heading3"/>
    <w:link w:val="SubheadingChar"/>
    <w:qFormat/>
    <w:rsid w:val="00E153DD"/>
    <w:pPr>
      <w:spacing w:after="120"/>
    </w:pPr>
    <w:rPr>
      <w:color w:val="808080" w:themeColor="background1" w:themeShade="80"/>
      <w:sz w:val="24"/>
    </w:rPr>
  </w:style>
  <w:style w:type="character" w:customStyle="1" w:styleId="SubheadingChar">
    <w:name w:val="Subheading Char"/>
    <w:basedOn w:val="Heading3Char"/>
    <w:link w:val="Subheading"/>
    <w:rsid w:val="00E153DD"/>
    <w:rPr>
      <w:rFonts w:ascii="Calibri" w:eastAsiaTheme="majorEastAsia" w:hAnsi="Calibri" w:cstheme="majorBidi"/>
      <w:b/>
      <w:color w:val="808080" w:themeColor="background1" w:themeShade="80"/>
      <w:sz w:val="24"/>
      <w:szCs w:val="32"/>
      <w:lang w:eastAsia="zh-CN"/>
    </w:rPr>
  </w:style>
  <w:style w:type="table" w:customStyle="1" w:styleId="GridTable4-Accent111">
    <w:name w:val="Grid Table 4 - Accent 111"/>
    <w:basedOn w:val="TableNormal"/>
    <w:uiPriority w:val="49"/>
    <w:rsid w:val="00473D7F"/>
    <w:pPr>
      <w:spacing w:after="0" w:line="240" w:lineRule="auto"/>
    </w:pPr>
    <w:tblPr>
      <w:tblStyleRowBandSize w:val="1"/>
      <w:tblStyleColBandSize w:val="1"/>
      <w:tblBorders>
        <w:top w:val="single" w:sz="4" w:space="0" w:color="D5C88A" w:themeColor="accent1" w:themeTint="99"/>
        <w:left w:val="single" w:sz="4" w:space="0" w:color="D5C88A" w:themeColor="accent1" w:themeTint="99"/>
        <w:bottom w:val="single" w:sz="4" w:space="0" w:color="D5C88A" w:themeColor="accent1" w:themeTint="99"/>
        <w:right w:val="single" w:sz="4" w:space="0" w:color="D5C88A" w:themeColor="accent1" w:themeTint="99"/>
        <w:insideH w:val="single" w:sz="4" w:space="0" w:color="D5C88A" w:themeColor="accent1" w:themeTint="99"/>
        <w:insideV w:val="single" w:sz="4" w:space="0" w:color="D5C88A" w:themeColor="accent1" w:themeTint="99"/>
      </w:tblBorders>
    </w:tblPr>
    <w:tblStylePr w:type="firstRow">
      <w:rPr>
        <w:b/>
        <w:bCs/>
        <w:color w:val="FFFFFF" w:themeColor="background1"/>
      </w:rPr>
      <w:tblPr/>
      <w:tcPr>
        <w:tcBorders>
          <w:top w:val="single" w:sz="4" w:space="0" w:color="B7A241" w:themeColor="accent1"/>
          <w:left w:val="single" w:sz="4" w:space="0" w:color="B7A241" w:themeColor="accent1"/>
          <w:bottom w:val="single" w:sz="4" w:space="0" w:color="B7A241" w:themeColor="accent1"/>
          <w:right w:val="single" w:sz="4" w:space="0" w:color="B7A241" w:themeColor="accent1"/>
          <w:insideH w:val="nil"/>
          <w:insideV w:val="nil"/>
        </w:tcBorders>
        <w:shd w:val="clear" w:color="auto" w:fill="B7A241" w:themeFill="accent1"/>
      </w:tcPr>
    </w:tblStylePr>
    <w:tblStylePr w:type="lastRow">
      <w:rPr>
        <w:b/>
        <w:bCs/>
      </w:rPr>
      <w:tblPr/>
      <w:tcPr>
        <w:tcBorders>
          <w:top w:val="double" w:sz="4" w:space="0" w:color="B7A241" w:themeColor="accent1"/>
        </w:tcBorders>
      </w:tcPr>
    </w:tblStylePr>
    <w:tblStylePr w:type="firstCol">
      <w:rPr>
        <w:b/>
        <w:bCs/>
      </w:rPr>
    </w:tblStylePr>
    <w:tblStylePr w:type="lastCol">
      <w:rPr>
        <w:b/>
        <w:bCs/>
      </w:rPr>
    </w:tblStylePr>
    <w:tblStylePr w:type="band1Vert">
      <w:tblPr/>
      <w:tcPr>
        <w:shd w:val="clear" w:color="auto" w:fill="F1ECD8" w:themeFill="accent1" w:themeFillTint="33"/>
      </w:tcPr>
    </w:tblStylePr>
    <w:tblStylePr w:type="band1Horz">
      <w:tblPr/>
      <w:tcPr>
        <w:shd w:val="clear" w:color="auto" w:fill="F1ECD8" w:themeFill="accent1" w:themeFillTint="33"/>
      </w:tcPr>
    </w:tblStylePr>
  </w:style>
  <w:style w:type="table" w:customStyle="1" w:styleId="PlainTable411">
    <w:name w:val="Plain Table 411"/>
    <w:basedOn w:val="TableNormal"/>
    <w:uiPriority w:val="44"/>
    <w:rsid w:val="00473D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1">
    <w:name w:val="Grid Table 4 - Accent 511"/>
    <w:basedOn w:val="TableNormal"/>
    <w:uiPriority w:val="49"/>
    <w:rsid w:val="00473D7F"/>
    <w:pPr>
      <w:spacing w:after="0" w:line="240" w:lineRule="auto"/>
    </w:pPr>
    <w:tblPr>
      <w:tblStyleRowBandSize w:val="1"/>
      <w:tblStyleColBandSize w:val="1"/>
      <w:tblBorders>
        <w:top w:val="single" w:sz="4" w:space="0" w:color="B464A0" w:themeColor="accent5" w:themeTint="99"/>
        <w:left w:val="single" w:sz="4" w:space="0" w:color="B464A0" w:themeColor="accent5" w:themeTint="99"/>
        <w:bottom w:val="single" w:sz="4" w:space="0" w:color="B464A0" w:themeColor="accent5" w:themeTint="99"/>
        <w:right w:val="single" w:sz="4" w:space="0" w:color="B464A0" w:themeColor="accent5" w:themeTint="99"/>
        <w:insideH w:val="single" w:sz="4" w:space="0" w:color="B464A0" w:themeColor="accent5" w:themeTint="99"/>
        <w:insideV w:val="single" w:sz="4" w:space="0" w:color="B464A0" w:themeColor="accent5" w:themeTint="99"/>
      </w:tblBorders>
    </w:tblPr>
    <w:tblStylePr w:type="firstRow">
      <w:rPr>
        <w:b/>
        <w:bCs/>
        <w:color w:val="FFFFFF" w:themeColor="background1"/>
      </w:rPr>
      <w:tblPr/>
      <w:tcPr>
        <w:tcBorders>
          <w:top w:val="single" w:sz="4" w:space="0" w:color="572A4C" w:themeColor="accent5"/>
          <w:left w:val="single" w:sz="4" w:space="0" w:color="572A4C" w:themeColor="accent5"/>
          <w:bottom w:val="single" w:sz="4" w:space="0" w:color="572A4C" w:themeColor="accent5"/>
          <w:right w:val="single" w:sz="4" w:space="0" w:color="572A4C" w:themeColor="accent5"/>
          <w:insideH w:val="nil"/>
          <w:insideV w:val="nil"/>
        </w:tcBorders>
        <w:shd w:val="clear" w:color="auto" w:fill="572A4C" w:themeFill="accent5"/>
      </w:tcPr>
    </w:tblStylePr>
    <w:tblStylePr w:type="lastRow">
      <w:rPr>
        <w:b/>
        <w:bCs/>
      </w:rPr>
      <w:tblPr/>
      <w:tcPr>
        <w:tcBorders>
          <w:top w:val="double" w:sz="4" w:space="0" w:color="572A4C" w:themeColor="accent5"/>
        </w:tcBorders>
      </w:tcPr>
    </w:tblStylePr>
    <w:tblStylePr w:type="firstCol">
      <w:rPr>
        <w:b/>
        <w:bCs/>
      </w:rPr>
    </w:tblStylePr>
    <w:tblStylePr w:type="lastCol">
      <w:rPr>
        <w:b/>
        <w:bCs/>
      </w:rPr>
    </w:tblStylePr>
    <w:tblStylePr w:type="band1Vert">
      <w:tblPr/>
      <w:tcPr>
        <w:shd w:val="clear" w:color="auto" w:fill="E6CBDF" w:themeFill="accent5" w:themeFillTint="33"/>
      </w:tcPr>
    </w:tblStylePr>
    <w:tblStylePr w:type="band1Horz">
      <w:tblPr/>
      <w:tcPr>
        <w:shd w:val="clear" w:color="auto" w:fill="E6CBDF" w:themeFill="accent5" w:themeFillTint="33"/>
      </w:tcPr>
    </w:tblStylePr>
  </w:style>
  <w:style w:type="table" w:customStyle="1" w:styleId="TableGrid2">
    <w:name w:val="Table Grid2"/>
    <w:basedOn w:val="TableNormal"/>
    <w:next w:val="TableGrid"/>
    <w:uiPriority w:val="39"/>
    <w:rsid w:val="0047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
    <w:name w:val="Light Shading - Accent 22"/>
    <w:basedOn w:val="TableNormal"/>
    <w:next w:val="LightShading-Accent2"/>
    <w:uiPriority w:val="60"/>
    <w:unhideWhenUsed/>
    <w:rsid w:val="00473D7F"/>
    <w:pPr>
      <w:spacing w:before="240" w:after="0" w:line="240" w:lineRule="auto"/>
      <w:jc w:val="both"/>
    </w:pPr>
    <w:rPr>
      <w:color w:val="87262C" w:themeColor="accent2" w:themeShade="BF"/>
    </w:rPr>
    <w:tblPr>
      <w:tblStyleRowBandSize w:val="1"/>
      <w:tblStyleColBandSize w:val="1"/>
      <w:tblBorders>
        <w:top w:val="single" w:sz="8" w:space="0" w:color="B5333C" w:themeColor="accent2"/>
        <w:bottom w:val="single" w:sz="8" w:space="0" w:color="B5333C" w:themeColor="accent2"/>
      </w:tblBorders>
    </w:tblPr>
    <w:tblStylePr w:type="fir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hemeFill="accent2" w:themeFillTint="3F"/>
      </w:tcPr>
    </w:tblStylePr>
    <w:tblStylePr w:type="band1Horz">
      <w:tblPr/>
      <w:tcPr>
        <w:tcBorders>
          <w:left w:val="nil"/>
          <w:right w:val="nil"/>
          <w:insideH w:val="nil"/>
          <w:insideV w:val="nil"/>
        </w:tcBorders>
        <w:shd w:val="clear" w:color="auto" w:fill="EFC9CB" w:themeFill="accent2" w:themeFillTint="3F"/>
      </w:tcPr>
    </w:tblStylePr>
  </w:style>
  <w:style w:type="table" w:customStyle="1" w:styleId="LightList-Accent21">
    <w:name w:val="Light List - Accent 21"/>
    <w:basedOn w:val="TableNormal"/>
    <w:next w:val="LightList-Accent2"/>
    <w:uiPriority w:val="61"/>
    <w:unhideWhenUsed/>
    <w:rsid w:val="00473D7F"/>
    <w:pPr>
      <w:spacing w:after="0" w:line="240" w:lineRule="auto"/>
    </w:pPr>
    <w:tblPr>
      <w:tblStyleRowBandSize w:val="1"/>
      <w:tblStyleColBandSize w:val="1"/>
      <w:tblBorders>
        <w:top w:val="single" w:sz="8" w:space="0" w:color="B5333C" w:themeColor="accent2"/>
        <w:left w:val="single" w:sz="8" w:space="0" w:color="B5333C" w:themeColor="accent2"/>
        <w:bottom w:val="single" w:sz="8" w:space="0" w:color="B5333C" w:themeColor="accent2"/>
        <w:right w:val="single" w:sz="8" w:space="0" w:color="B5333C" w:themeColor="accent2"/>
      </w:tblBorders>
    </w:tblPr>
    <w:tblStylePr w:type="firstRow">
      <w:pPr>
        <w:spacing w:beforeLines="0" w:beforeAutospacing="0" w:afterLines="0" w:afterAutospacing="0" w:line="240" w:lineRule="auto"/>
      </w:pPr>
      <w:rPr>
        <w:b/>
        <w:bCs/>
        <w:color w:val="FFFFFF" w:themeColor="background1"/>
      </w:rPr>
      <w:tblPr/>
      <w:tcPr>
        <w:shd w:val="clear" w:color="auto" w:fill="B5333C" w:themeFill="accent2"/>
      </w:tcPr>
    </w:tblStylePr>
    <w:tblStylePr w:type="lastRow">
      <w:pPr>
        <w:spacing w:beforeLines="0" w:beforeAutospacing="0" w:afterLines="0" w:afterAutospacing="0" w:line="240" w:lineRule="auto"/>
      </w:pPr>
      <w:rPr>
        <w:b/>
        <w:bCs/>
      </w:rPr>
      <w:tblPr/>
      <w:tcPr>
        <w:tcBorders>
          <w:top w:val="double" w:sz="6" w:space="0" w:color="B5333C" w:themeColor="accent2"/>
          <w:left w:val="single" w:sz="8" w:space="0" w:color="B5333C" w:themeColor="accent2"/>
          <w:bottom w:val="single" w:sz="8" w:space="0" w:color="B5333C" w:themeColor="accent2"/>
          <w:right w:val="single" w:sz="8" w:space="0" w:color="B5333C" w:themeColor="accent2"/>
        </w:tcBorders>
      </w:tcPr>
    </w:tblStylePr>
    <w:tblStylePr w:type="firstCol">
      <w:rPr>
        <w:b/>
        <w:bCs/>
      </w:rPr>
    </w:tblStylePr>
    <w:tblStylePr w:type="lastCol">
      <w:rPr>
        <w:b/>
        <w:bCs/>
      </w:rPr>
    </w:tblStylePr>
    <w:tblStylePr w:type="band1Vert">
      <w:tblPr/>
      <w:tcPr>
        <w:tcBorders>
          <w:top w:val="single" w:sz="8" w:space="0" w:color="B5333C" w:themeColor="accent2"/>
          <w:left w:val="single" w:sz="8" w:space="0" w:color="B5333C" w:themeColor="accent2"/>
          <w:bottom w:val="single" w:sz="8" w:space="0" w:color="B5333C" w:themeColor="accent2"/>
          <w:right w:val="single" w:sz="8" w:space="0" w:color="B5333C" w:themeColor="accent2"/>
        </w:tcBorders>
      </w:tcPr>
    </w:tblStylePr>
    <w:tblStylePr w:type="band1Horz">
      <w:tblPr/>
      <w:tcPr>
        <w:tcBorders>
          <w:top w:val="single" w:sz="8" w:space="0" w:color="B5333C" w:themeColor="accent2"/>
          <w:left w:val="single" w:sz="8" w:space="0" w:color="B5333C" w:themeColor="accent2"/>
          <w:bottom w:val="single" w:sz="8" w:space="0" w:color="B5333C" w:themeColor="accent2"/>
          <w:right w:val="single" w:sz="8" w:space="0" w:color="B5333C" w:themeColor="accent2"/>
        </w:tcBorders>
      </w:tcPr>
    </w:tblStylePr>
  </w:style>
  <w:style w:type="table" w:customStyle="1" w:styleId="LightShading-Accent32">
    <w:name w:val="Light Shading - Accent 32"/>
    <w:basedOn w:val="TableNormal"/>
    <w:next w:val="LightShading-Accent3"/>
    <w:uiPriority w:val="60"/>
    <w:unhideWhenUsed/>
    <w:rsid w:val="00473D7F"/>
    <w:pPr>
      <w:spacing w:before="240" w:after="0" w:line="240" w:lineRule="auto"/>
      <w:jc w:val="both"/>
    </w:pPr>
    <w:rPr>
      <w:color w:val="A32F2E" w:themeColor="accent3" w:themeShade="BF"/>
    </w:rPr>
    <w:tblPr>
      <w:tblStyleRowBandSize w:val="1"/>
      <w:tblStyleColBandSize w:val="1"/>
      <w:tblBorders>
        <w:top w:val="single" w:sz="8" w:space="0" w:color="CC4D4C" w:themeColor="accent3"/>
        <w:bottom w:val="single" w:sz="8" w:space="0" w:color="CC4D4C" w:themeColor="accent3"/>
      </w:tblBorders>
    </w:tblPr>
    <w:tblStylePr w:type="fir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hemeFill="accent3" w:themeFillTint="3F"/>
      </w:tcPr>
    </w:tblStylePr>
    <w:tblStylePr w:type="band1Horz">
      <w:tblPr/>
      <w:tcPr>
        <w:tcBorders>
          <w:left w:val="nil"/>
          <w:right w:val="nil"/>
          <w:insideH w:val="nil"/>
          <w:insideV w:val="nil"/>
        </w:tcBorders>
        <w:shd w:val="clear" w:color="auto" w:fill="F2D2D2" w:themeFill="accent3" w:themeFillTint="3F"/>
      </w:tcPr>
    </w:tblStylePr>
  </w:style>
  <w:style w:type="table" w:customStyle="1" w:styleId="LightList-Accent31">
    <w:name w:val="Light List - Accent 31"/>
    <w:basedOn w:val="TableNormal"/>
    <w:next w:val="LightList-Accent3"/>
    <w:uiPriority w:val="61"/>
    <w:unhideWhenUsed/>
    <w:rsid w:val="00473D7F"/>
    <w:pPr>
      <w:spacing w:after="0" w:line="240" w:lineRule="auto"/>
    </w:pPr>
    <w:tblPr>
      <w:tblStyleRowBandSize w:val="1"/>
      <w:tblStyleColBandSize w:val="1"/>
      <w:tblBorders>
        <w:top w:val="single" w:sz="8" w:space="0" w:color="CC4D4C" w:themeColor="accent3"/>
        <w:left w:val="single" w:sz="8" w:space="0" w:color="CC4D4C" w:themeColor="accent3"/>
        <w:bottom w:val="single" w:sz="8" w:space="0" w:color="CC4D4C" w:themeColor="accent3"/>
        <w:right w:val="single" w:sz="8" w:space="0" w:color="CC4D4C" w:themeColor="accent3"/>
      </w:tblBorders>
    </w:tblPr>
    <w:tblStylePr w:type="firstRow">
      <w:pPr>
        <w:spacing w:beforeLines="0" w:beforeAutospacing="0" w:afterLines="0" w:afterAutospacing="0" w:line="240" w:lineRule="auto"/>
      </w:pPr>
      <w:rPr>
        <w:b/>
        <w:bCs/>
        <w:color w:val="FFFFFF" w:themeColor="background1"/>
      </w:rPr>
      <w:tblPr/>
      <w:tcPr>
        <w:shd w:val="clear" w:color="auto" w:fill="CC4D4C" w:themeFill="accent3"/>
      </w:tcPr>
    </w:tblStylePr>
    <w:tblStylePr w:type="lastRow">
      <w:pPr>
        <w:spacing w:beforeLines="0" w:beforeAutospacing="0" w:afterLines="0" w:afterAutospacing="0" w:line="240" w:lineRule="auto"/>
      </w:pPr>
      <w:rPr>
        <w:b/>
        <w:bCs/>
      </w:rPr>
      <w:tblPr/>
      <w:tcPr>
        <w:tcBorders>
          <w:top w:val="double" w:sz="6" w:space="0" w:color="CC4D4C" w:themeColor="accent3"/>
          <w:left w:val="single" w:sz="8" w:space="0" w:color="CC4D4C" w:themeColor="accent3"/>
          <w:bottom w:val="single" w:sz="8" w:space="0" w:color="CC4D4C" w:themeColor="accent3"/>
          <w:right w:val="single" w:sz="8" w:space="0" w:color="CC4D4C" w:themeColor="accent3"/>
        </w:tcBorders>
      </w:tcPr>
    </w:tblStylePr>
    <w:tblStylePr w:type="firstCol">
      <w:rPr>
        <w:b/>
        <w:bCs/>
      </w:rPr>
    </w:tblStylePr>
    <w:tblStylePr w:type="lastCol">
      <w:rPr>
        <w:b/>
        <w:bCs/>
      </w:rPr>
    </w:tblStylePr>
    <w:tblStylePr w:type="band1Vert">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tblStylePr w:type="band1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style>
  <w:style w:type="table" w:customStyle="1" w:styleId="LightGrid-Accent31">
    <w:name w:val="Light Grid - Accent 31"/>
    <w:basedOn w:val="TableNormal"/>
    <w:next w:val="LightGrid-Accent3"/>
    <w:uiPriority w:val="62"/>
    <w:unhideWhenUsed/>
    <w:rsid w:val="00473D7F"/>
    <w:pPr>
      <w:spacing w:after="0" w:line="240" w:lineRule="auto"/>
    </w:pPr>
    <w:tblPr>
      <w:tblStyleRowBandSize w:val="1"/>
      <w:tblStyleColBandSize w:val="1"/>
      <w:tblBorders>
        <w:top w:val="single" w:sz="8" w:space="0" w:color="CC4D4C" w:themeColor="accent3"/>
        <w:left w:val="single" w:sz="8" w:space="0" w:color="CC4D4C" w:themeColor="accent3"/>
        <w:bottom w:val="single" w:sz="8" w:space="0" w:color="CC4D4C" w:themeColor="accent3"/>
        <w:right w:val="single" w:sz="8" w:space="0" w:color="CC4D4C" w:themeColor="accent3"/>
        <w:insideH w:val="single" w:sz="8" w:space="0" w:color="CC4D4C" w:themeColor="accent3"/>
        <w:insideV w:val="single" w:sz="8" w:space="0" w:color="CC4D4C"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C4D4C" w:themeColor="accent3"/>
          <w:left w:val="single" w:sz="8" w:space="0" w:color="CC4D4C" w:themeColor="accent3"/>
          <w:bottom w:val="single" w:sz="18" w:space="0" w:color="CC4D4C" w:themeColor="accent3"/>
          <w:right w:val="single" w:sz="8" w:space="0" w:color="CC4D4C" w:themeColor="accent3"/>
          <w:insideH w:val="nil"/>
          <w:insideV w:val="single" w:sz="8" w:space="0" w:color="CC4D4C"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C4D4C" w:themeColor="accent3"/>
          <w:left w:val="single" w:sz="8" w:space="0" w:color="CC4D4C" w:themeColor="accent3"/>
          <w:bottom w:val="single" w:sz="8" w:space="0" w:color="CC4D4C" w:themeColor="accent3"/>
          <w:right w:val="single" w:sz="8" w:space="0" w:color="CC4D4C" w:themeColor="accent3"/>
          <w:insideH w:val="nil"/>
          <w:insideV w:val="single" w:sz="8" w:space="0" w:color="CC4D4C"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tblStylePr w:type="band1Vert">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shd w:val="clear" w:color="auto" w:fill="F2D2D2" w:themeFill="accent3" w:themeFillTint="3F"/>
      </w:tcPr>
    </w:tblStylePr>
    <w:tblStylePr w:type="band1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insideV w:val="single" w:sz="8" w:space="0" w:color="CC4D4C" w:themeColor="accent3"/>
        </w:tcBorders>
        <w:shd w:val="clear" w:color="auto" w:fill="F2D2D2" w:themeFill="accent3" w:themeFillTint="3F"/>
      </w:tcPr>
    </w:tblStylePr>
    <w:tblStylePr w:type="band2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insideV w:val="single" w:sz="8" w:space="0" w:color="CC4D4C" w:themeColor="accent3"/>
        </w:tcBorders>
      </w:tcPr>
    </w:tblStylePr>
  </w:style>
  <w:style w:type="table" w:customStyle="1" w:styleId="MediumShading1-Accent31">
    <w:name w:val="Medium Shading 1 - Accent 31"/>
    <w:basedOn w:val="TableNormal"/>
    <w:next w:val="MediumShading1-Accent3"/>
    <w:uiPriority w:val="63"/>
    <w:unhideWhenUsed/>
    <w:rsid w:val="00473D7F"/>
    <w:pPr>
      <w:spacing w:after="0" w:line="240" w:lineRule="auto"/>
    </w:pPr>
    <w:tblPr>
      <w:tblStyleRowBandSize w:val="1"/>
      <w:tblStyleColBandSize w:val="1"/>
      <w:tblBorders>
        <w:top w:val="single" w:sz="8"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single" w:sz="8" w:space="0" w:color="D87978" w:themeColor="accent3"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nil"/>
          <w:insideV w:val="nil"/>
        </w:tcBorders>
        <w:shd w:val="clear" w:color="auto" w:fill="CC4D4C" w:themeFill="accent3"/>
      </w:tcPr>
    </w:tblStylePr>
    <w:tblStylePr w:type="lastRow">
      <w:pPr>
        <w:spacing w:beforeLines="0" w:beforeAutospacing="0" w:afterLines="0" w:afterAutospacing="0" w:line="240" w:lineRule="auto"/>
      </w:pPr>
      <w:rPr>
        <w:b/>
        <w:bCs/>
      </w:rPr>
      <w:tblPr/>
      <w:tcPr>
        <w:tcBorders>
          <w:top w:val="double" w:sz="6"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2D2" w:themeFill="accent3" w:themeFillTint="3F"/>
      </w:tcPr>
    </w:tblStylePr>
    <w:tblStylePr w:type="band1Horz">
      <w:tblPr/>
      <w:tcPr>
        <w:tcBorders>
          <w:insideH w:val="nil"/>
          <w:insideV w:val="nil"/>
        </w:tcBorders>
        <w:shd w:val="clear" w:color="auto" w:fill="F2D2D2" w:themeFill="accent3" w:themeFillTint="3F"/>
      </w:tcPr>
    </w:tblStylePr>
    <w:tblStylePr w:type="band2Horz">
      <w:tblPr/>
      <w:tcPr>
        <w:tcBorders>
          <w:insideH w:val="nil"/>
          <w:insideV w:val="nil"/>
        </w:tcBorders>
      </w:tcPr>
    </w:tblStylePr>
  </w:style>
  <w:style w:type="table" w:customStyle="1" w:styleId="MediumShading2-Accent31">
    <w:name w:val="Medium Shading 2 - Accent 31"/>
    <w:basedOn w:val="TableNormal"/>
    <w:next w:val="MediumShading2-Accent3"/>
    <w:uiPriority w:val="64"/>
    <w:unhideWhenUsed/>
    <w:rsid w:val="00473D7F"/>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4D4C"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4D4C" w:themeFill="accent3"/>
      </w:tcPr>
    </w:tblStylePr>
    <w:tblStylePr w:type="lastCol">
      <w:rPr>
        <w:b/>
        <w:bCs/>
        <w:color w:val="FFFFFF" w:themeColor="background1"/>
      </w:rPr>
      <w:tblPr/>
      <w:tcPr>
        <w:tcBorders>
          <w:left w:val="nil"/>
          <w:right w:val="nil"/>
          <w:insideH w:val="nil"/>
          <w:insideV w:val="nil"/>
        </w:tcBorders>
        <w:shd w:val="clear" w:color="auto" w:fill="CC4D4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1">
    <w:name w:val="Light Shading11"/>
    <w:basedOn w:val="TableNormal"/>
    <w:uiPriority w:val="60"/>
    <w:rsid w:val="00473D7F"/>
    <w:pPr>
      <w:spacing w:before="240"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473D7F"/>
    <w:pPr>
      <w:spacing w:before="240" w:after="0" w:line="240" w:lineRule="auto"/>
      <w:jc w:val="both"/>
    </w:pPr>
    <w:rPr>
      <w:color w:val="887830" w:themeColor="accent1" w:themeShade="BF"/>
    </w:rPr>
    <w:tblPr>
      <w:tblStyleRowBandSize w:val="1"/>
      <w:tblStyleColBandSize w:val="1"/>
      <w:tblBorders>
        <w:top w:val="single" w:sz="8" w:space="0" w:color="B7A241" w:themeColor="accent1"/>
        <w:bottom w:val="single" w:sz="8" w:space="0" w:color="B7A241" w:themeColor="accent1"/>
      </w:tblBorders>
    </w:tblPr>
    <w:tblStylePr w:type="firstRow">
      <w:pPr>
        <w:spacing w:beforeLines="0" w:beforeAutospacing="0" w:afterLines="0" w:afterAutospacing="0" w:line="240" w:lineRule="auto"/>
      </w:pPr>
      <w:rPr>
        <w:b/>
        <w:bCs/>
      </w:rPr>
      <w:tblPr/>
      <w:tcPr>
        <w:tcBorders>
          <w:top w:val="single" w:sz="8" w:space="0" w:color="B7A241" w:themeColor="accent1"/>
          <w:left w:val="nil"/>
          <w:bottom w:val="single" w:sz="8" w:space="0" w:color="B7A241"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7A241" w:themeColor="accent1"/>
          <w:left w:val="nil"/>
          <w:bottom w:val="single" w:sz="8" w:space="0" w:color="B7A2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8CF" w:themeFill="accent1" w:themeFillTint="3F"/>
      </w:tcPr>
    </w:tblStylePr>
    <w:tblStylePr w:type="band1Horz">
      <w:tblPr/>
      <w:tcPr>
        <w:tcBorders>
          <w:left w:val="nil"/>
          <w:right w:val="nil"/>
          <w:insideH w:val="nil"/>
          <w:insideV w:val="nil"/>
        </w:tcBorders>
        <w:shd w:val="clear" w:color="auto" w:fill="EEE8CF" w:themeFill="accent1" w:themeFillTint="3F"/>
      </w:tcPr>
    </w:tblStylePr>
  </w:style>
  <w:style w:type="table" w:customStyle="1" w:styleId="LightList11">
    <w:name w:val="Light List11"/>
    <w:basedOn w:val="TableNormal"/>
    <w:uiPriority w:val="61"/>
    <w:rsid w:val="00473D7F"/>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1">
    <w:name w:val="Light List21"/>
    <w:basedOn w:val="TableNormal"/>
    <w:uiPriority w:val="61"/>
    <w:rsid w:val="00473D7F"/>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311">
    <w:name w:val="Light Shading - Accent 311"/>
    <w:basedOn w:val="TableNormal"/>
    <w:uiPriority w:val="60"/>
    <w:rsid w:val="00473D7F"/>
    <w:pPr>
      <w:spacing w:after="0" w:line="240" w:lineRule="auto"/>
    </w:pPr>
    <w:rPr>
      <w:color w:val="A32F2E" w:themeColor="accent3" w:themeShade="BF"/>
    </w:rPr>
    <w:tblPr>
      <w:tblStyleRowBandSize w:val="1"/>
      <w:tblStyleColBandSize w:val="1"/>
      <w:tblBorders>
        <w:top w:val="single" w:sz="8" w:space="0" w:color="CC4D4C" w:themeColor="accent3"/>
        <w:bottom w:val="single" w:sz="8" w:space="0" w:color="CC4D4C" w:themeColor="accent3"/>
      </w:tblBorders>
    </w:tblPr>
    <w:tblStylePr w:type="fir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hemeFill="accent3" w:themeFillTint="3F"/>
      </w:tcPr>
    </w:tblStylePr>
    <w:tblStylePr w:type="band1Horz">
      <w:tblPr/>
      <w:tcPr>
        <w:tcBorders>
          <w:left w:val="nil"/>
          <w:right w:val="nil"/>
          <w:insideH w:val="nil"/>
          <w:insideV w:val="nil"/>
        </w:tcBorders>
        <w:shd w:val="clear" w:color="auto" w:fill="F2D2D2" w:themeFill="accent3" w:themeFillTint="3F"/>
      </w:tcPr>
    </w:tblStylePr>
  </w:style>
  <w:style w:type="table" w:customStyle="1" w:styleId="LightShading-Accent211">
    <w:name w:val="Light Shading - Accent 211"/>
    <w:basedOn w:val="TableNormal"/>
    <w:uiPriority w:val="60"/>
    <w:rsid w:val="00473D7F"/>
    <w:pPr>
      <w:spacing w:after="0" w:line="240" w:lineRule="auto"/>
    </w:pPr>
    <w:rPr>
      <w:color w:val="87262C" w:themeColor="accent2" w:themeShade="BF"/>
    </w:rPr>
    <w:tblPr>
      <w:tblStyleRowBandSize w:val="1"/>
      <w:tblStyleColBandSize w:val="1"/>
      <w:tblBorders>
        <w:top w:val="single" w:sz="8" w:space="0" w:color="B5333C" w:themeColor="accent2"/>
        <w:bottom w:val="single" w:sz="8" w:space="0" w:color="B5333C" w:themeColor="accent2"/>
      </w:tblBorders>
    </w:tblPr>
    <w:tblStylePr w:type="fir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hemeFill="accent2" w:themeFillTint="3F"/>
      </w:tcPr>
    </w:tblStylePr>
    <w:tblStylePr w:type="band1Horz">
      <w:tblPr/>
      <w:tcPr>
        <w:tcBorders>
          <w:left w:val="nil"/>
          <w:right w:val="nil"/>
          <w:insideH w:val="nil"/>
          <w:insideV w:val="nil"/>
        </w:tcBorders>
        <w:shd w:val="clear" w:color="auto" w:fill="EFC9CB" w:themeFill="accent2" w:themeFillTint="3F"/>
      </w:tcPr>
    </w:tblStylePr>
  </w:style>
  <w:style w:type="table" w:customStyle="1" w:styleId="TableGrid11">
    <w:name w:val="Table Grid11"/>
    <w:basedOn w:val="TableNormal"/>
    <w:uiPriority w:val="59"/>
    <w:rsid w:val="00473D7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473D7F"/>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insideV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insideV w:val="nil"/>
        </w:tcBorders>
        <w:shd w:val="clear" w:color="auto" w:fill="B5333C" w:themeFill="accent2"/>
      </w:tcPr>
    </w:tblStylePr>
    <w:tblStylePr w:type="lastRow">
      <w:rPr>
        <w:b/>
        <w:bCs/>
      </w:rPr>
      <w:tblPr/>
      <w:tcPr>
        <w:tcBorders>
          <w:top w:val="double" w:sz="4" w:space="0" w:color="B5333C" w:themeColor="accent2"/>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2-Accent311">
    <w:name w:val="Grid Table 2 - Accent 311"/>
    <w:basedOn w:val="TableNormal"/>
    <w:uiPriority w:val="47"/>
    <w:rsid w:val="00473D7F"/>
    <w:pPr>
      <w:spacing w:after="0" w:line="240" w:lineRule="auto"/>
    </w:pPr>
    <w:tblPr>
      <w:tblStyleRowBandSize w:val="1"/>
      <w:tblStyleColBandSize w:val="1"/>
      <w:tblBorders>
        <w:top w:val="single" w:sz="2" w:space="0" w:color="E09393" w:themeColor="accent3" w:themeTint="99"/>
        <w:bottom w:val="single" w:sz="2" w:space="0" w:color="E09393" w:themeColor="accent3" w:themeTint="99"/>
        <w:insideH w:val="single" w:sz="2" w:space="0" w:color="E09393" w:themeColor="accent3" w:themeTint="99"/>
        <w:insideV w:val="single" w:sz="2" w:space="0" w:color="E09393" w:themeColor="accent3" w:themeTint="99"/>
      </w:tblBorders>
    </w:tblPr>
    <w:tblStylePr w:type="firstRow">
      <w:rPr>
        <w:b/>
        <w:bCs/>
      </w:rPr>
      <w:tblPr/>
      <w:tcPr>
        <w:tcBorders>
          <w:top w:val="nil"/>
          <w:bottom w:val="single" w:sz="12" w:space="0" w:color="E09393" w:themeColor="accent3" w:themeTint="99"/>
          <w:insideH w:val="nil"/>
          <w:insideV w:val="nil"/>
        </w:tcBorders>
        <w:shd w:val="clear" w:color="auto" w:fill="FFFFFF" w:themeFill="background1"/>
      </w:tcPr>
    </w:tblStylePr>
    <w:tblStylePr w:type="lastRow">
      <w:rPr>
        <w:b/>
        <w:bCs/>
      </w:rPr>
      <w:tblPr/>
      <w:tcPr>
        <w:tcBorders>
          <w:top w:val="double" w:sz="2" w:space="0" w:color="E0939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BDB" w:themeFill="accent3" w:themeFillTint="33"/>
      </w:tcPr>
    </w:tblStylePr>
    <w:tblStylePr w:type="band1Horz">
      <w:tblPr/>
      <w:tcPr>
        <w:shd w:val="clear" w:color="auto" w:fill="F4DBDB" w:themeFill="accent3" w:themeFillTint="33"/>
      </w:tcPr>
    </w:tblStylePr>
  </w:style>
  <w:style w:type="table" w:customStyle="1" w:styleId="ListTable3-Accent411">
    <w:name w:val="List Table 3 - Accent 411"/>
    <w:basedOn w:val="TableNormal"/>
    <w:uiPriority w:val="48"/>
    <w:rsid w:val="00473D7F"/>
    <w:pPr>
      <w:spacing w:after="0" w:line="240" w:lineRule="auto"/>
    </w:pPr>
    <w:tblPr>
      <w:tblStyleRowBandSize w:val="1"/>
      <w:tblStyleColBandSize w:val="1"/>
      <w:tblBorders>
        <w:top w:val="single" w:sz="4" w:space="0" w:color="D6542C" w:themeColor="accent4"/>
        <w:left w:val="single" w:sz="4" w:space="0" w:color="D6542C" w:themeColor="accent4"/>
        <w:bottom w:val="single" w:sz="4" w:space="0" w:color="D6542C" w:themeColor="accent4"/>
        <w:right w:val="single" w:sz="4" w:space="0" w:color="D6542C" w:themeColor="accent4"/>
      </w:tblBorders>
    </w:tblPr>
    <w:tblStylePr w:type="firstRow">
      <w:rPr>
        <w:b/>
        <w:bCs/>
        <w:color w:val="FFFFFF" w:themeColor="background1"/>
      </w:rPr>
      <w:tblPr/>
      <w:tcPr>
        <w:shd w:val="clear" w:color="auto" w:fill="D6542C" w:themeFill="accent4"/>
      </w:tcPr>
    </w:tblStylePr>
    <w:tblStylePr w:type="lastRow">
      <w:rPr>
        <w:b/>
        <w:bCs/>
      </w:rPr>
      <w:tblPr/>
      <w:tcPr>
        <w:tcBorders>
          <w:top w:val="double" w:sz="4" w:space="0" w:color="D654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542C" w:themeColor="accent4"/>
          <w:right w:val="single" w:sz="4" w:space="0" w:color="D6542C" w:themeColor="accent4"/>
        </w:tcBorders>
      </w:tcPr>
    </w:tblStylePr>
    <w:tblStylePr w:type="band1Horz">
      <w:tblPr/>
      <w:tcPr>
        <w:tcBorders>
          <w:top w:val="single" w:sz="4" w:space="0" w:color="D6542C" w:themeColor="accent4"/>
          <w:bottom w:val="single" w:sz="4" w:space="0" w:color="D654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542C" w:themeColor="accent4"/>
          <w:left w:val="nil"/>
        </w:tcBorders>
      </w:tcPr>
    </w:tblStylePr>
    <w:tblStylePr w:type="swCell">
      <w:tblPr/>
      <w:tcPr>
        <w:tcBorders>
          <w:top w:val="double" w:sz="4" w:space="0" w:color="D6542C" w:themeColor="accent4"/>
          <w:right w:val="nil"/>
        </w:tcBorders>
      </w:tcPr>
    </w:tblStylePr>
  </w:style>
  <w:style w:type="table" w:customStyle="1" w:styleId="ListTable4-Accent211">
    <w:name w:val="List Table 4 - Accent 211"/>
    <w:basedOn w:val="TableNormal"/>
    <w:uiPriority w:val="49"/>
    <w:rsid w:val="00473D7F"/>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tcBorders>
        <w:shd w:val="clear" w:color="auto" w:fill="B5333C" w:themeFill="accent2"/>
      </w:tcPr>
    </w:tblStylePr>
    <w:tblStylePr w:type="lastRow">
      <w:rPr>
        <w:b/>
        <w:bCs/>
      </w:rPr>
      <w:tblPr/>
      <w:tcPr>
        <w:tcBorders>
          <w:top w:val="double" w:sz="4" w:space="0" w:color="DA7C82" w:themeColor="accent2" w:themeTint="99"/>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5Dark-Accent111">
    <w:name w:val="Grid Table 5 Dark - Accent 111"/>
    <w:basedOn w:val="TableNormal"/>
    <w:uiPriority w:val="50"/>
    <w:rsid w:val="00473D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C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A2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A2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A2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A241" w:themeFill="accent1"/>
      </w:tcPr>
    </w:tblStylePr>
    <w:tblStylePr w:type="band1Vert">
      <w:tblPr/>
      <w:tcPr>
        <w:shd w:val="clear" w:color="auto" w:fill="E3DAB1" w:themeFill="accent1" w:themeFillTint="66"/>
      </w:tcPr>
    </w:tblStylePr>
    <w:tblStylePr w:type="band1Horz">
      <w:tblPr/>
      <w:tcPr>
        <w:shd w:val="clear" w:color="auto" w:fill="E3DAB1" w:themeFill="accent1" w:themeFillTint="66"/>
      </w:tcPr>
    </w:tblStylePr>
  </w:style>
  <w:style w:type="table" w:customStyle="1" w:styleId="ListTable1Light-Accent211">
    <w:name w:val="List Table 1 Light - Accent 211"/>
    <w:basedOn w:val="TableNormal"/>
    <w:uiPriority w:val="46"/>
    <w:rsid w:val="00473D7F"/>
    <w:pPr>
      <w:spacing w:after="0" w:line="240" w:lineRule="auto"/>
    </w:pPr>
    <w:tblPr>
      <w:tblStyleRowBandSize w:val="1"/>
      <w:tblStyleColBandSize w:val="1"/>
    </w:tblPr>
    <w:tblStylePr w:type="firstRow">
      <w:rPr>
        <w:b/>
        <w:bCs/>
      </w:rPr>
      <w:tblPr/>
      <w:tcPr>
        <w:tcBorders>
          <w:bottom w:val="single" w:sz="4" w:space="0" w:color="DA7C82" w:themeColor="accent2" w:themeTint="99"/>
        </w:tcBorders>
      </w:tcPr>
    </w:tblStylePr>
    <w:tblStylePr w:type="lastRow">
      <w:rPr>
        <w:b/>
        <w:bCs/>
      </w:rPr>
      <w:tblPr/>
      <w:tcPr>
        <w:tcBorders>
          <w:top w:val="single" w:sz="4" w:space="0" w:color="DA7C82" w:themeColor="accent2" w:themeTint="99"/>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ListTable1Light-Accent111">
    <w:name w:val="List Table 1 Light - Accent 111"/>
    <w:basedOn w:val="TableNormal"/>
    <w:uiPriority w:val="46"/>
    <w:rsid w:val="00473D7F"/>
    <w:pPr>
      <w:spacing w:after="0" w:line="240" w:lineRule="auto"/>
    </w:pPr>
    <w:tblPr>
      <w:tblStyleRowBandSize w:val="1"/>
      <w:tblStyleColBandSize w:val="1"/>
    </w:tblPr>
    <w:tblStylePr w:type="firstRow">
      <w:rPr>
        <w:b/>
        <w:bCs/>
      </w:rPr>
      <w:tblPr/>
      <w:tcPr>
        <w:tcBorders>
          <w:bottom w:val="single" w:sz="4" w:space="0" w:color="D5C88A" w:themeColor="accent1" w:themeTint="99"/>
        </w:tcBorders>
      </w:tcPr>
    </w:tblStylePr>
    <w:tblStylePr w:type="lastRow">
      <w:rPr>
        <w:b/>
        <w:bCs/>
      </w:rPr>
      <w:tblPr/>
      <w:tcPr>
        <w:tcBorders>
          <w:top w:val="single" w:sz="4" w:space="0" w:color="D5C88A" w:themeColor="accent1" w:themeTint="99"/>
        </w:tcBorders>
      </w:tcPr>
    </w:tblStylePr>
    <w:tblStylePr w:type="firstCol">
      <w:rPr>
        <w:b/>
        <w:bCs/>
      </w:rPr>
    </w:tblStylePr>
    <w:tblStylePr w:type="lastCol">
      <w:rPr>
        <w:b/>
        <w:bCs/>
      </w:rPr>
    </w:tblStylePr>
    <w:tblStylePr w:type="band1Vert">
      <w:tblPr/>
      <w:tcPr>
        <w:shd w:val="clear" w:color="auto" w:fill="F1ECD8" w:themeFill="accent1" w:themeFillTint="33"/>
      </w:tcPr>
    </w:tblStylePr>
    <w:tblStylePr w:type="band1Horz">
      <w:tblPr/>
      <w:tcPr>
        <w:shd w:val="clear" w:color="auto" w:fill="F1ECD8" w:themeFill="accent1" w:themeFillTint="33"/>
      </w:tcPr>
    </w:tblStylePr>
  </w:style>
  <w:style w:type="table" w:customStyle="1" w:styleId="GridTable1Light-Accent211">
    <w:name w:val="Grid Table 1 Light - Accent 211"/>
    <w:basedOn w:val="TableNormal"/>
    <w:uiPriority w:val="46"/>
    <w:rsid w:val="00473D7F"/>
    <w:pPr>
      <w:spacing w:after="0" w:line="240" w:lineRule="auto"/>
    </w:pPr>
    <w:tblPr>
      <w:tblStyleRowBandSize w:val="1"/>
      <w:tblStyleColBandSize w:val="1"/>
      <w:tblBorders>
        <w:top w:val="single" w:sz="4" w:space="0" w:color="E6A8AC" w:themeColor="accent2" w:themeTint="66"/>
        <w:left w:val="single" w:sz="4" w:space="0" w:color="E6A8AC" w:themeColor="accent2" w:themeTint="66"/>
        <w:bottom w:val="single" w:sz="4" w:space="0" w:color="E6A8AC" w:themeColor="accent2" w:themeTint="66"/>
        <w:right w:val="single" w:sz="4" w:space="0" w:color="E6A8AC" w:themeColor="accent2" w:themeTint="66"/>
        <w:insideH w:val="single" w:sz="4" w:space="0" w:color="E6A8AC" w:themeColor="accent2" w:themeTint="66"/>
        <w:insideV w:val="single" w:sz="4" w:space="0" w:color="E6A8AC" w:themeColor="accent2" w:themeTint="66"/>
      </w:tblBorders>
    </w:tblPr>
    <w:tblStylePr w:type="firstRow">
      <w:rPr>
        <w:b/>
        <w:bCs/>
      </w:rPr>
      <w:tblPr/>
      <w:tcPr>
        <w:tcBorders>
          <w:bottom w:val="single" w:sz="12" w:space="0" w:color="DA7C82" w:themeColor="accent2" w:themeTint="99"/>
        </w:tcBorders>
      </w:tcPr>
    </w:tblStylePr>
    <w:tblStylePr w:type="lastRow">
      <w:rPr>
        <w:b/>
        <w:bCs/>
      </w:rPr>
      <w:tblPr/>
      <w:tcPr>
        <w:tcBorders>
          <w:top w:val="double" w:sz="2" w:space="0" w:color="DA7C82" w:themeColor="accent2" w:themeTint="99"/>
        </w:tcBorders>
      </w:tcPr>
    </w:tblStylePr>
    <w:tblStylePr w:type="firstCol">
      <w:rPr>
        <w:b/>
        <w:bCs/>
      </w:rPr>
    </w:tblStylePr>
    <w:tblStylePr w:type="lastCol">
      <w:rPr>
        <w:b/>
        <w:bCs/>
      </w:rPr>
    </w:tblStylePr>
  </w:style>
  <w:style w:type="table" w:customStyle="1" w:styleId="GridTable2-Accent211">
    <w:name w:val="Grid Table 2 - Accent 211"/>
    <w:basedOn w:val="TableNormal"/>
    <w:uiPriority w:val="47"/>
    <w:rsid w:val="00473D7F"/>
    <w:pPr>
      <w:spacing w:after="0" w:line="240" w:lineRule="auto"/>
    </w:pPr>
    <w:tblPr>
      <w:tblStyleRowBandSize w:val="1"/>
      <w:tblStyleColBandSize w:val="1"/>
      <w:tblBorders>
        <w:top w:val="single" w:sz="2" w:space="0" w:color="DA7C82" w:themeColor="accent2" w:themeTint="99"/>
        <w:bottom w:val="single" w:sz="2" w:space="0" w:color="DA7C82" w:themeColor="accent2" w:themeTint="99"/>
        <w:insideH w:val="single" w:sz="2" w:space="0" w:color="DA7C82" w:themeColor="accent2" w:themeTint="99"/>
        <w:insideV w:val="single" w:sz="2" w:space="0" w:color="DA7C82" w:themeColor="accent2" w:themeTint="99"/>
      </w:tblBorders>
    </w:tblPr>
    <w:tblStylePr w:type="firstRow">
      <w:rPr>
        <w:b/>
        <w:bCs/>
      </w:rPr>
      <w:tblPr/>
      <w:tcPr>
        <w:tcBorders>
          <w:top w:val="nil"/>
          <w:bottom w:val="single" w:sz="12" w:space="0" w:color="DA7C82" w:themeColor="accent2" w:themeTint="99"/>
          <w:insideH w:val="nil"/>
          <w:insideV w:val="nil"/>
        </w:tcBorders>
        <w:shd w:val="clear" w:color="auto" w:fill="FFFFFF" w:themeFill="background1"/>
      </w:tcPr>
    </w:tblStylePr>
    <w:tblStylePr w:type="lastRow">
      <w:rPr>
        <w:b/>
        <w:bCs/>
      </w:rPr>
      <w:tblPr/>
      <w:tcPr>
        <w:tcBorders>
          <w:top w:val="double" w:sz="2" w:space="0" w:color="DA7C8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1Light11">
    <w:name w:val="Grid Table 1 Light11"/>
    <w:basedOn w:val="TableNormal"/>
    <w:uiPriority w:val="46"/>
    <w:rsid w:val="00473D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MTW2018Table">
    <w:name w:val="MTW 2018 Table"/>
    <w:basedOn w:val="TableNormal"/>
    <w:uiPriority w:val="99"/>
    <w:rsid w:val="00473D7F"/>
    <w:pPr>
      <w:spacing w:after="0" w:line="240" w:lineRule="auto"/>
    </w:pPr>
    <w:tblPr/>
  </w:style>
  <w:style w:type="paragraph" w:customStyle="1" w:styleId="Heading31">
    <w:name w:val="Heading 31"/>
    <w:basedOn w:val="Normal"/>
    <w:next w:val="Normal"/>
    <w:uiPriority w:val="9"/>
    <w:unhideWhenUsed/>
    <w:qFormat/>
    <w:rsid w:val="00EE4AA6"/>
    <w:pPr>
      <w:keepNext/>
      <w:keepLines/>
      <w:spacing w:before="120" w:after="80"/>
      <w:outlineLvl w:val="2"/>
    </w:pPr>
    <w:rPr>
      <w:rFonts w:eastAsia="Times New Roman"/>
      <w:b/>
      <w:color w:val="572A4C"/>
      <w:sz w:val="36"/>
      <w:szCs w:val="32"/>
    </w:rPr>
  </w:style>
  <w:style w:type="paragraph" w:customStyle="1" w:styleId="Heading41">
    <w:name w:val="Heading 41"/>
    <w:basedOn w:val="Normal"/>
    <w:next w:val="Normal"/>
    <w:uiPriority w:val="9"/>
    <w:unhideWhenUsed/>
    <w:qFormat/>
    <w:rsid w:val="00EE4AA6"/>
    <w:pPr>
      <w:keepNext/>
      <w:keepLines/>
      <w:spacing w:before="120" w:after="80"/>
      <w:outlineLvl w:val="3"/>
    </w:pPr>
    <w:rPr>
      <w:rFonts w:eastAsia="Times New Roman"/>
      <w:b/>
      <w:i/>
      <w:iCs/>
      <w:color w:val="5A191E"/>
      <w:sz w:val="28"/>
      <w:szCs w:val="28"/>
    </w:rPr>
  </w:style>
  <w:style w:type="paragraph" w:customStyle="1" w:styleId="Heading51">
    <w:name w:val="Heading 51"/>
    <w:basedOn w:val="Normal"/>
    <w:next w:val="Normal"/>
    <w:uiPriority w:val="9"/>
    <w:unhideWhenUsed/>
    <w:qFormat/>
    <w:rsid w:val="00EE4AA6"/>
    <w:pPr>
      <w:keepNext/>
      <w:keepLines/>
      <w:spacing w:before="80"/>
      <w:outlineLvl w:val="4"/>
    </w:pPr>
    <w:rPr>
      <w:rFonts w:ascii="Arial" w:eastAsia="Times New Roman" w:hAnsi="Arial"/>
      <w:color w:val="87262C"/>
      <w:sz w:val="24"/>
    </w:rPr>
  </w:style>
  <w:style w:type="paragraph" w:customStyle="1" w:styleId="Heading61">
    <w:name w:val="Heading 61"/>
    <w:basedOn w:val="Normal"/>
    <w:next w:val="Normal"/>
    <w:uiPriority w:val="9"/>
    <w:unhideWhenUsed/>
    <w:qFormat/>
    <w:rsid w:val="00EE4AA6"/>
    <w:pPr>
      <w:keepNext/>
      <w:keepLines/>
      <w:spacing w:before="80"/>
      <w:outlineLvl w:val="5"/>
    </w:pPr>
    <w:rPr>
      <w:rFonts w:ascii="Arial" w:eastAsia="Times New Roman" w:hAnsi="Arial"/>
      <w:i/>
      <w:iCs/>
      <w:color w:val="5A191E"/>
      <w:sz w:val="24"/>
    </w:rPr>
  </w:style>
  <w:style w:type="paragraph" w:customStyle="1" w:styleId="Heading71">
    <w:name w:val="Heading 71"/>
    <w:basedOn w:val="Normal"/>
    <w:next w:val="Normal"/>
    <w:uiPriority w:val="9"/>
    <w:unhideWhenUsed/>
    <w:qFormat/>
    <w:rsid w:val="00EE4AA6"/>
    <w:pPr>
      <w:keepNext/>
      <w:keepLines/>
      <w:spacing w:before="80" w:after="80"/>
      <w:outlineLvl w:val="6"/>
    </w:pPr>
    <w:rPr>
      <w:rFonts w:ascii="Arial" w:eastAsia="Times New Roman" w:hAnsi="Arial"/>
      <w:b/>
      <w:bCs/>
      <w:color w:val="5A191E"/>
      <w:sz w:val="24"/>
      <w:szCs w:val="22"/>
    </w:rPr>
  </w:style>
  <w:style w:type="paragraph" w:customStyle="1" w:styleId="Heading81">
    <w:name w:val="Heading 81"/>
    <w:basedOn w:val="Normal"/>
    <w:next w:val="Normal"/>
    <w:uiPriority w:val="9"/>
    <w:unhideWhenUsed/>
    <w:qFormat/>
    <w:rsid w:val="00EE4AA6"/>
    <w:pPr>
      <w:keepNext/>
      <w:keepLines/>
      <w:spacing w:before="80"/>
      <w:outlineLvl w:val="7"/>
    </w:pPr>
    <w:rPr>
      <w:rFonts w:ascii="Arial" w:eastAsia="Times New Roman" w:hAnsi="Arial"/>
      <w:color w:val="5A191E"/>
      <w:sz w:val="24"/>
      <w:szCs w:val="22"/>
    </w:rPr>
  </w:style>
  <w:style w:type="paragraph" w:customStyle="1" w:styleId="Heading91">
    <w:name w:val="Heading 91"/>
    <w:basedOn w:val="Normal"/>
    <w:next w:val="Normal"/>
    <w:uiPriority w:val="9"/>
    <w:semiHidden/>
    <w:unhideWhenUsed/>
    <w:qFormat/>
    <w:rsid w:val="00EE4AA6"/>
    <w:pPr>
      <w:keepNext/>
      <w:keepLines/>
      <w:spacing w:before="80"/>
      <w:outlineLvl w:val="8"/>
    </w:pPr>
    <w:rPr>
      <w:rFonts w:ascii="Arial" w:eastAsia="Times New Roman" w:hAnsi="Arial"/>
      <w:i/>
      <w:iCs/>
      <w:color w:val="5A191E"/>
      <w:szCs w:val="22"/>
    </w:rPr>
  </w:style>
  <w:style w:type="character" w:customStyle="1" w:styleId="IntenseEmphasis1">
    <w:name w:val="Intense Emphasis1"/>
    <w:basedOn w:val="DefaultParagraphFont"/>
    <w:uiPriority w:val="21"/>
    <w:qFormat/>
    <w:rsid w:val="00EE4AA6"/>
    <w:rPr>
      <w:b/>
      <w:bCs/>
      <w:i w:val="0"/>
      <w:iCs/>
      <w:caps w:val="0"/>
      <w:smallCaps w:val="0"/>
      <w:strike w:val="0"/>
      <w:dstrike w:val="0"/>
      <w:color w:val="B5333C"/>
    </w:rPr>
  </w:style>
  <w:style w:type="character" w:customStyle="1" w:styleId="Hyperlink1">
    <w:name w:val="Hyperlink1"/>
    <w:basedOn w:val="DefaultParagraphFont"/>
    <w:uiPriority w:val="99"/>
    <w:unhideWhenUsed/>
    <w:rsid w:val="00EE4AA6"/>
    <w:rPr>
      <w:color w:val="CC9900"/>
      <w:u w:val="single"/>
    </w:rPr>
  </w:style>
  <w:style w:type="character" w:customStyle="1" w:styleId="Heading1Char1">
    <w:name w:val="Heading 1 Char1"/>
    <w:basedOn w:val="DefaultParagraphFont"/>
    <w:uiPriority w:val="9"/>
    <w:rsid w:val="00EE4AA6"/>
    <w:rPr>
      <w:rFonts w:ascii="Calibri Light" w:eastAsia="Times New Roman" w:hAnsi="Calibri Light" w:cs="Times New Roman"/>
      <w:color w:val="2F5496"/>
      <w:sz w:val="32"/>
      <w:szCs w:val="32"/>
    </w:rPr>
  </w:style>
  <w:style w:type="table" w:customStyle="1" w:styleId="GridTable4-Accent112">
    <w:name w:val="Grid Table 4 - Accent 112"/>
    <w:basedOn w:val="TableNormal"/>
    <w:uiPriority w:val="49"/>
    <w:rsid w:val="00EE4AA6"/>
    <w:pPr>
      <w:spacing w:after="0" w:line="240" w:lineRule="auto"/>
    </w:pPr>
    <w:rPr>
      <w:rFonts w:eastAsia="Times New Roman"/>
    </w:rPr>
    <w:tblPr>
      <w:tblStyleRowBandSize w:val="1"/>
      <w:tblStyleColBandSize w:val="1"/>
      <w:tblBorders>
        <w:top w:val="single" w:sz="4" w:space="0" w:color="D5C88A"/>
        <w:left w:val="single" w:sz="4" w:space="0" w:color="D5C88A"/>
        <w:bottom w:val="single" w:sz="4" w:space="0" w:color="D5C88A"/>
        <w:right w:val="single" w:sz="4" w:space="0" w:color="D5C88A"/>
        <w:insideH w:val="single" w:sz="4" w:space="0" w:color="D5C88A"/>
        <w:insideV w:val="single" w:sz="4" w:space="0" w:color="D5C88A"/>
      </w:tblBorders>
    </w:tblPr>
    <w:tblStylePr w:type="firstRow">
      <w:rPr>
        <w:b/>
        <w:bCs/>
        <w:color w:val="FFFFFF"/>
      </w:rPr>
      <w:tblPr/>
      <w:tcPr>
        <w:tcBorders>
          <w:top w:val="single" w:sz="4" w:space="0" w:color="B7A241"/>
          <w:left w:val="single" w:sz="4" w:space="0" w:color="B7A241"/>
          <w:bottom w:val="single" w:sz="4" w:space="0" w:color="B7A241"/>
          <w:right w:val="single" w:sz="4" w:space="0" w:color="B7A241"/>
          <w:insideH w:val="nil"/>
          <w:insideV w:val="nil"/>
        </w:tcBorders>
        <w:shd w:val="clear" w:color="auto" w:fill="B7A241"/>
      </w:tcPr>
    </w:tblStylePr>
    <w:tblStylePr w:type="lastRow">
      <w:rPr>
        <w:b/>
        <w:bCs/>
      </w:rPr>
      <w:tblPr/>
      <w:tcPr>
        <w:tcBorders>
          <w:top w:val="double" w:sz="4" w:space="0" w:color="B7A241"/>
        </w:tcBorders>
      </w:tcPr>
    </w:tblStylePr>
    <w:tblStylePr w:type="firstCol">
      <w:rPr>
        <w:b/>
        <w:bCs/>
      </w:rPr>
    </w:tblStylePr>
    <w:tblStylePr w:type="lastCol">
      <w:rPr>
        <w:b/>
        <w:bCs/>
      </w:rPr>
    </w:tblStylePr>
    <w:tblStylePr w:type="band1Vert">
      <w:tblPr/>
      <w:tcPr>
        <w:shd w:val="clear" w:color="auto" w:fill="F1ECD8"/>
      </w:tcPr>
    </w:tblStylePr>
    <w:tblStylePr w:type="band1Horz">
      <w:tblPr/>
      <w:tcPr>
        <w:shd w:val="clear" w:color="auto" w:fill="F1ECD8"/>
      </w:tcPr>
    </w:tblStylePr>
  </w:style>
  <w:style w:type="table" w:customStyle="1" w:styleId="PlainTable412">
    <w:name w:val="Plain Table 412"/>
    <w:basedOn w:val="TableNormal"/>
    <w:uiPriority w:val="44"/>
    <w:rsid w:val="00EE4AA6"/>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2">
    <w:name w:val="Grid Table 4 - Accent 512"/>
    <w:basedOn w:val="TableNormal"/>
    <w:uiPriority w:val="49"/>
    <w:rsid w:val="00EE4AA6"/>
    <w:pPr>
      <w:spacing w:after="0" w:line="240" w:lineRule="auto"/>
    </w:pPr>
    <w:rPr>
      <w:rFonts w:eastAsia="Times New Roman"/>
    </w:rPr>
    <w:tblPr>
      <w:tblStyleRowBandSize w:val="1"/>
      <w:tblStyleColBandSize w:val="1"/>
      <w:tblBorders>
        <w:top w:val="single" w:sz="4" w:space="0" w:color="B464A0"/>
        <w:left w:val="single" w:sz="4" w:space="0" w:color="B464A0"/>
        <w:bottom w:val="single" w:sz="4" w:space="0" w:color="B464A0"/>
        <w:right w:val="single" w:sz="4" w:space="0" w:color="B464A0"/>
        <w:insideH w:val="single" w:sz="4" w:space="0" w:color="B464A0"/>
        <w:insideV w:val="single" w:sz="4" w:space="0" w:color="B464A0"/>
      </w:tblBorders>
    </w:tblPr>
    <w:tblStylePr w:type="firstRow">
      <w:rPr>
        <w:b/>
        <w:bCs/>
        <w:color w:val="FFFFFF"/>
      </w:rPr>
      <w:tblPr/>
      <w:tcPr>
        <w:tcBorders>
          <w:top w:val="single" w:sz="4" w:space="0" w:color="572A4C"/>
          <w:left w:val="single" w:sz="4" w:space="0" w:color="572A4C"/>
          <w:bottom w:val="single" w:sz="4" w:space="0" w:color="572A4C"/>
          <w:right w:val="single" w:sz="4" w:space="0" w:color="572A4C"/>
          <w:insideH w:val="nil"/>
          <w:insideV w:val="nil"/>
        </w:tcBorders>
        <w:shd w:val="clear" w:color="auto" w:fill="572A4C"/>
      </w:tcPr>
    </w:tblStylePr>
    <w:tblStylePr w:type="lastRow">
      <w:rPr>
        <w:b/>
        <w:bCs/>
      </w:rPr>
      <w:tblPr/>
      <w:tcPr>
        <w:tcBorders>
          <w:top w:val="double" w:sz="4" w:space="0" w:color="572A4C"/>
        </w:tcBorders>
      </w:tcPr>
    </w:tblStylePr>
    <w:tblStylePr w:type="firstCol">
      <w:rPr>
        <w:b/>
        <w:bCs/>
      </w:rPr>
    </w:tblStylePr>
    <w:tblStylePr w:type="lastCol">
      <w:rPr>
        <w:b/>
        <w:bCs/>
      </w:rPr>
    </w:tblStylePr>
    <w:tblStylePr w:type="band1Vert">
      <w:tblPr/>
      <w:tcPr>
        <w:shd w:val="clear" w:color="auto" w:fill="E6CBDF"/>
      </w:tcPr>
    </w:tblStylePr>
    <w:tblStylePr w:type="band1Horz">
      <w:tblPr/>
      <w:tcPr>
        <w:shd w:val="clear" w:color="auto" w:fill="E6CBDF"/>
      </w:tcPr>
    </w:tblStylePr>
  </w:style>
  <w:style w:type="table" w:customStyle="1" w:styleId="TableGrid3">
    <w:name w:val="Table Grid3"/>
    <w:basedOn w:val="TableNormal"/>
    <w:next w:val="TableGrid"/>
    <w:uiPriority w:val="59"/>
    <w:rsid w:val="00EE4AA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EE4AA6"/>
    <w:rPr>
      <w:rFonts w:eastAsia="Times New Roman"/>
      <w:b/>
      <w:bCs/>
      <w:color w:val="404040"/>
      <w:sz w:val="16"/>
      <w:szCs w:val="16"/>
    </w:rPr>
  </w:style>
  <w:style w:type="paragraph" w:customStyle="1" w:styleId="Title1">
    <w:name w:val="Title1"/>
    <w:basedOn w:val="Normal"/>
    <w:next w:val="Normal"/>
    <w:qFormat/>
    <w:rsid w:val="00EE4AA6"/>
    <w:pPr>
      <w:contextualSpacing/>
    </w:pPr>
    <w:rPr>
      <w:rFonts w:ascii="Arial" w:eastAsia="Times New Roman" w:hAnsi="Arial"/>
      <w:color w:val="262626"/>
      <w:sz w:val="96"/>
      <w:szCs w:val="96"/>
    </w:rPr>
  </w:style>
  <w:style w:type="paragraph" w:customStyle="1" w:styleId="Subtitle1">
    <w:name w:val="Subtitle1"/>
    <w:basedOn w:val="Normal"/>
    <w:next w:val="Normal"/>
    <w:qFormat/>
    <w:rsid w:val="00EE4AA6"/>
    <w:pPr>
      <w:numPr>
        <w:ilvl w:val="1"/>
      </w:numPr>
      <w:spacing w:after="240"/>
    </w:pPr>
    <w:rPr>
      <w:rFonts w:eastAsia="Times New Roman"/>
      <w:caps/>
      <w:color w:val="404040"/>
      <w:spacing w:val="20"/>
      <w:sz w:val="28"/>
      <w:szCs w:val="28"/>
    </w:rPr>
  </w:style>
  <w:style w:type="paragraph" w:customStyle="1" w:styleId="Quote1">
    <w:name w:val="Quote1"/>
    <w:basedOn w:val="Normal"/>
    <w:next w:val="Normal"/>
    <w:uiPriority w:val="29"/>
    <w:qFormat/>
    <w:rsid w:val="00EE4AA6"/>
    <w:pPr>
      <w:spacing w:before="160"/>
      <w:ind w:left="720" w:right="720"/>
      <w:jc w:val="center"/>
    </w:pPr>
    <w:rPr>
      <w:rFonts w:ascii="Arial" w:eastAsia="Times New Roman" w:hAnsi="Arial"/>
      <w:color w:val="000000"/>
      <w:sz w:val="24"/>
    </w:rPr>
  </w:style>
  <w:style w:type="paragraph" w:customStyle="1" w:styleId="IntenseQuote1">
    <w:name w:val="Intense Quote1"/>
    <w:basedOn w:val="Normal"/>
    <w:next w:val="Normal"/>
    <w:uiPriority w:val="30"/>
    <w:qFormat/>
    <w:rsid w:val="00EE4AA6"/>
    <w:pPr>
      <w:pBdr>
        <w:top w:val="single" w:sz="24" w:space="4" w:color="B5333C"/>
      </w:pBdr>
      <w:spacing w:before="240" w:after="240"/>
      <w:ind w:left="936" w:right="936"/>
      <w:jc w:val="center"/>
    </w:pPr>
    <w:rPr>
      <w:rFonts w:ascii="Arial" w:eastAsia="Times New Roman" w:hAnsi="Arial"/>
      <w:sz w:val="24"/>
    </w:rPr>
  </w:style>
  <w:style w:type="character" w:customStyle="1" w:styleId="SubtleEmphasis1">
    <w:name w:val="Subtle Emphasis1"/>
    <w:basedOn w:val="DefaultParagraphFont"/>
    <w:uiPriority w:val="19"/>
    <w:qFormat/>
    <w:rsid w:val="00EE4AA6"/>
    <w:rPr>
      <w:b/>
      <w:i/>
      <w:iCs/>
      <w:color w:val="595959"/>
      <w:sz w:val="24"/>
    </w:rPr>
  </w:style>
  <w:style w:type="character" w:customStyle="1" w:styleId="SubtleReference1">
    <w:name w:val="Subtle Reference1"/>
    <w:basedOn w:val="DefaultParagraphFont"/>
    <w:uiPriority w:val="31"/>
    <w:qFormat/>
    <w:rsid w:val="00EE4AA6"/>
    <w:rPr>
      <w:caps w:val="0"/>
      <w:smallCaps/>
      <w:color w:val="404040"/>
      <w:spacing w:val="0"/>
      <w:u w:val="single" w:color="7F7F7F"/>
    </w:rPr>
  </w:style>
  <w:style w:type="table" w:customStyle="1" w:styleId="LightShading-Accent212">
    <w:name w:val="Light Shading - Accent 212"/>
    <w:basedOn w:val="TableNormal"/>
    <w:next w:val="LightShading-Accent2"/>
    <w:uiPriority w:val="60"/>
    <w:unhideWhenUsed/>
    <w:rsid w:val="00EE4AA6"/>
    <w:pPr>
      <w:spacing w:before="240" w:after="0" w:line="240" w:lineRule="auto"/>
      <w:jc w:val="both"/>
    </w:pPr>
    <w:rPr>
      <w:rFonts w:eastAsia="Times New Roman"/>
      <w:color w:val="87262C"/>
    </w:rPr>
    <w:tblPr>
      <w:tblStyleRowBandSize w:val="1"/>
      <w:tblStyleColBandSize w:val="1"/>
      <w:tblBorders>
        <w:top w:val="single" w:sz="8" w:space="0" w:color="B5333C"/>
        <w:bottom w:val="single" w:sz="8" w:space="0" w:color="B5333C"/>
      </w:tblBorders>
    </w:tblPr>
    <w:tblStylePr w:type="fir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cPr>
    </w:tblStylePr>
    <w:tblStylePr w:type="band1Horz">
      <w:tblPr/>
      <w:tcPr>
        <w:tcBorders>
          <w:left w:val="nil"/>
          <w:right w:val="nil"/>
          <w:insideH w:val="nil"/>
          <w:insideV w:val="nil"/>
        </w:tcBorders>
        <w:shd w:val="clear" w:color="auto" w:fill="EFC9CB"/>
      </w:tcPr>
    </w:tblStylePr>
  </w:style>
  <w:style w:type="table" w:customStyle="1" w:styleId="LightList-Accent211">
    <w:name w:val="Light List - Accent 211"/>
    <w:basedOn w:val="TableNormal"/>
    <w:next w:val="LightList-Accent2"/>
    <w:uiPriority w:val="61"/>
    <w:unhideWhenUsed/>
    <w:rsid w:val="00EE4AA6"/>
    <w:pPr>
      <w:spacing w:after="0" w:line="240" w:lineRule="auto"/>
    </w:pPr>
    <w:rPr>
      <w:rFonts w:eastAsia="Times New Roman"/>
    </w:rPr>
    <w:tblPr>
      <w:tblStyleRowBandSize w:val="1"/>
      <w:tblStyleColBandSize w:val="1"/>
      <w:tblBorders>
        <w:top w:val="single" w:sz="8" w:space="0" w:color="B5333C"/>
        <w:left w:val="single" w:sz="8" w:space="0" w:color="B5333C"/>
        <w:bottom w:val="single" w:sz="8" w:space="0" w:color="B5333C"/>
        <w:right w:val="single" w:sz="8" w:space="0" w:color="B5333C"/>
      </w:tblBorders>
    </w:tblPr>
    <w:tblStylePr w:type="firstRow">
      <w:pPr>
        <w:spacing w:beforeLines="0" w:beforeAutospacing="0" w:afterLines="0" w:afterAutospacing="0" w:line="240" w:lineRule="auto"/>
      </w:pPr>
      <w:rPr>
        <w:b/>
        <w:bCs/>
        <w:color w:val="FFFFFF"/>
      </w:rPr>
      <w:tblPr/>
      <w:tcPr>
        <w:shd w:val="clear" w:color="auto" w:fill="B5333C"/>
      </w:tcPr>
    </w:tblStylePr>
    <w:tblStylePr w:type="lastRow">
      <w:pPr>
        <w:spacing w:beforeLines="0" w:beforeAutospacing="0" w:afterLines="0" w:afterAutospacing="0" w:line="240" w:lineRule="auto"/>
      </w:pPr>
      <w:rPr>
        <w:b/>
        <w:bCs/>
      </w:rPr>
      <w:tblPr/>
      <w:tcPr>
        <w:tcBorders>
          <w:top w:val="double" w:sz="6" w:space="0" w:color="B5333C"/>
          <w:left w:val="single" w:sz="8" w:space="0" w:color="B5333C"/>
          <w:bottom w:val="single" w:sz="8" w:space="0" w:color="B5333C"/>
          <w:right w:val="single" w:sz="8" w:space="0" w:color="B5333C"/>
        </w:tcBorders>
      </w:tcPr>
    </w:tblStylePr>
    <w:tblStylePr w:type="firstCol">
      <w:rPr>
        <w:b/>
        <w:bCs/>
      </w:rPr>
    </w:tblStylePr>
    <w:tblStylePr w:type="lastCol">
      <w:rPr>
        <w:b/>
        <w:bCs/>
      </w:rPr>
    </w:tblStylePr>
    <w:tblStylePr w:type="band1Vert">
      <w:tblPr/>
      <w:tcPr>
        <w:tcBorders>
          <w:top w:val="single" w:sz="8" w:space="0" w:color="B5333C"/>
          <w:left w:val="single" w:sz="8" w:space="0" w:color="B5333C"/>
          <w:bottom w:val="single" w:sz="8" w:space="0" w:color="B5333C"/>
          <w:right w:val="single" w:sz="8" w:space="0" w:color="B5333C"/>
        </w:tcBorders>
      </w:tcPr>
    </w:tblStylePr>
    <w:tblStylePr w:type="band1Horz">
      <w:tblPr/>
      <w:tcPr>
        <w:tcBorders>
          <w:top w:val="single" w:sz="8" w:space="0" w:color="B5333C"/>
          <w:left w:val="single" w:sz="8" w:space="0" w:color="B5333C"/>
          <w:bottom w:val="single" w:sz="8" w:space="0" w:color="B5333C"/>
          <w:right w:val="single" w:sz="8" w:space="0" w:color="B5333C"/>
        </w:tcBorders>
      </w:tcPr>
    </w:tblStylePr>
  </w:style>
  <w:style w:type="table" w:customStyle="1" w:styleId="LightShading-Accent312">
    <w:name w:val="Light Shading - Accent 312"/>
    <w:basedOn w:val="TableNormal"/>
    <w:next w:val="LightShading-Accent3"/>
    <w:uiPriority w:val="60"/>
    <w:unhideWhenUsed/>
    <w:rsid w:val="00EE4AA6"/>
    <w:pPr>
      <w:spacing w:before="240" w:after="0" w:line="240" w:lineRule="auto"/>
      <w:jc w:val="both"/>
    </w:pPr>
    <w:rPr>
      <w:rFonts w:eastAsia="Times New Roman"/>
      <w:color w:val="A32F2E"/>
    </w:rPr>
    <w:tblPr>
      <w:tblStyleRowBandSize w:val="1"/>
      <w:tblStyleColBandSize w:val="1"/>
      <w:tblBorders>
        <w:top w:val="single" w:sz="8" w:space="0" w:color="CC4D4C"/>
        <w:bottom w:val="single" w:sz="8" w:space="0" w:color="CC4D4C"/>
      </w:tblBorders>
    </w:tblPr>
    <w:tblStylePr w:type="fir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cPr>
    </w:tblStylePr>
    <w:tblStylePr w:type="band1Horz">
      <w:tblPr/>
      <w:tcPr>
        <w:tcBorders>
          <w:left w:val="nil"/>
          <w:right w:val="nil"/>
          <w:insideH w:val="nil"/>
          <w:insideV w:val="nil"/>
        </w:tcBorders>
        <w:shd w:val="clear" w:color="auto" w:fill="F2D2D2"/>
      </w:tcPr>
    </w:tblStylePr>
  </w:style>
  <w:style w:type="table" w:customStyle="1" w:styleId="LightList-Accent311">
    <w:name w:val="Light List - Accent 311"/>
    <w:basedOn w:val="TableNormal"/>
    <w:next w:val="LightList-Accent3"/>
    <w:uiPriority w:val="61"/>
    <w:unhideWhenUsed/>
    <w:rsid w:val="00EE4AA6"/>
    <w:pPr>
      <w:spacing w:after="0" w:line="240" w:lineRule="auto"/>
    </w:pPr>
    <w:rPr>
      <w:rFonts w:eastAsia="Times New Roman"/>
    </w:rPr>
    <w:tblPr>
      <w:tblStyleRowBandSize w:val="1"/>
      <w:tblStyleColBandSize w:val="1"/>
      <w:tblBorders>
        <w:top w:val="single" w:sz="8" w:space="0" w:color="CC4D4C"/>
        <w:left w:val="single" w:sz="8" w:space="0" w:color="CC4D4C"/>
        <w:bottom w:val="single" w:sz="8" w:space="0" w:color="CC4D4C"/>
        <w:right w:val="single" w:sz="8" w:space="0" w:color="CC4D4C"/>
      </w:tblBorders>
    </w:tblPr>
    <w:tblStylePr w:type="firstRow">
      <w:pPr>
        <w:spacing w:beforeLines="0" w:beforeAutospacing="0" w:afterLines="0" w:afterAutospacing="0" w:line="240" w:lineRule="auto"/>
      </w:pPr>
      <w:rPr>
        <w:b/>
        <w:bCs/>
        <w:color w:val="FFFFFF"/>
      </w:rPr>
      <w:tblPr/>
      <w:tcPr>
        <w:shd w:val="clear" w:color="auto" w:fill="CC4D4C"/>
      </w:tcPr>
    </w:tblStylePr>
    <w:tblStylePr w:type="lastRow">
      <w:pPr>
        <w:spacing w:beforeLines="0" w:beforeAutospacing="0" w:afterLines="0" w:afterAutospacing="0" w:line="240" w:lineRule="auto"/>
      </w:pPr>
      <w:rPr>
        <w:b/>
        <w:bCs/>
      </w:rPr>
      <w:tblPr/>
      <w:tcPr>
        <w:tcBorders>
          <w:top w:val="double" w:sz="6" w:space="0" w:color="CC4D4C"/>
          <w:left w:val="single" w:sz="8" w:space="0" w:color="CC4D4C"/>
          <w:bottom w:val="single" w:sz="8" w:space="0" w:color="CC4D4C"/>
          <w:right w:val="single" w:sz="8" w:space="0" w:color="CC4D4C"/>
        </w:tcBorders>
      </w:tcPr>
    </w:tblStylePr>
    <w:tblStylePr w:type="firstCol">
      <w:rPr>
        <w:b/>
        <w:bCs/>
      </w:rPr>
    </w:tblStylePr>
    <w:tblStylePr w:type="lastCol">
      <w:rPr>
        <w:b/>
        <w:bCs/>
      </w:rPr>
    </w:tblStylePr>
    <w:tblStylePr w:type="band1Vert">
      <w:tblPr/>
      <w:tcPr>
        <w:tcBorders>
          <w:top w:val="single" w:sz="8" w:space="0" w:color="CC4D4C"/>
          <w:left w:val="single" w:sz="8" w:space="0" w:color="CC4D4C"/>
          <w:bottom w:val="single" w:sz="8" w:space="0" w:color="CC4D4C"/>
          <w:right w:val="single" w:sz="8" w:space="0" w:color="CC4D4C"/>
        </w:tcBorders>
      </w:tcPr>
    </w:tblStylePr>
    <w:tblStylePr w:type="band1Horz">
      <w:tblPr/>
      <w:tcPr>
        <w:tcBorders>
          <w:top w:val="single" w:sz="8" w:space="0" w:color="CC4D4C"/>
          <w:left w:val="single" w:sz="8" w:space="0" w:color="CC4D4C"/>
          <w:bottom w:val="single" w:sz="8" w:space="0" w:color="CC4D4C"/>
          <w:right w:val="single" w:sz="8" w:space="0" w:color="CC4D4C"/>
        </w:tcBorders>
      </w:tcPr>
    </w:tblStylePr>
  </w:style>
  <w:style w:type="table" w:customStyle="1" w:styleId="LightGrid-Accent311">
    <w:name w:val="Light Grid - Accent 311"/>
    <w:basedOn w:val="TableNormal"/>
    <w:next w:val="LightGrid-Accent3"/>
    <w:uiPriority w:val="62"/>
    <w:unhideWhenUsed/>
    <w:rsid w:val="00EE4AA6"/>
    <w:pPr>
      <w:spacing w:after="0" w:line="240" w:lineRule="auto"/>
    </w:pPr>
    <w:rPr>
      <w:rFonts w:eastAsia="Times New Roman"/>
    </w:rPr>
    <w:tblPr>
      <w:tblStyleRowBandSize w:val="1"/>
      <w:tblStyleColBandSize w:val="1"/>
      <w:tblBorders>
        <w:top w:val="single" w:sz="8" w:space="0" w:color="CC4D4C"/>
        <w:left w:val="single" w:sz="8" w:space="0" w:color="CC4D4C"/>
        <w:bottom w:val="single" w:sz="8" w:space="0" w:color="CC4D4C"/>
        <w:right w:val="single" w:sz="8" w:space="0" w:color="CC4D4C"/>
        <w:insideH w:val="single" w:sz="8" w:space="0" w:color="CC4D4C"/>
        <w:insideV w:val="single" w:sz="8" w:space="0" w:color="CC4D4C"/>
      </w:tblBorders>
    </w:tblPr>
    <w:tblStylePr w:type="firstRow">
      <w:pPr>
        <w:spacing w:beforeLines="0" w:beforeAutospacing="0" w:afterLines="0" w:afterAutospacing="0" w:line="240" w:lineRule="auto"/>
      </w:pPr>
      <w:rPr>
        <w:rFonts w:ascii="Arial" w:eastAsia="Times New Roman" w:hAnsi="Arial" w:cs="Times New Roman" w:hint="default"/>
        <w:b/>
        <w:bCs/>
      </w:rPr>
      <w:tblPr/>
      <w:tcPr>
        <w:tcBorders>
          <w:top w:val="single" w:sz="8" w:space="0" w:color="CC4D4C"/>
          <w:left w:val="single" w:sz="8" w:space="0" w:color="CC4D4C"/>
          <w:bottom w:val="single" w:sz="18" w:space="0" w:color="CC4D4C"/>
          <w:right w:val="single" w:sz="8" w:space="0" w:color="CC4D4C"/>
          <w:insideH w:val="nil"/>
          <w:insideV w:val="single" w:sz="8" w:space="0" w:color="CC4D4C"/>
        </w:tcBorders>
      </w:tcPr>
    </w:tblStylePr>
    <w:tblStylePr w:type="lastRow">
      <w:pPr>
        <w:spacing w:beforeLines="0" w:beforeAutospacing="0" w:afterLines="0" w:afterAutospacing="0" w:line="240" w:lineRule="auto"/>
      </w:pPr>
      <w:rPr>
        <w:rFonts w:ascii="Arial" w:eastAsia="Times New Roman" w:hAnsi="Arial" w:cs="Times New Roman" w:hint="default"/>
        <w:b/>
        <w:bCs/>
      </w:rPr>
      <w:tblPr/>
      <w:tcPr>
        <w:tcBorders>
          <w:top w:val="double" w:sz="6" w:space="0" w:color="CC4D4C"/>
          <w:left w:val="single" w:sz="8" w:space="0" w:color="CC4D4C"/>
          <w:bottom w:val="single" w:sz="8" w:space="0" w:color="CC4D4C"/>
          <w:right w:val="single" w:sz="8" w:space="0" w:color="CC4D4C"/>
          <w:insideH w:val="nil"/>
          <w:insideV w:val="single" w:sz="8" w:space="0" w:color="CC4D4C"/>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CC4D4C"/>
          <w:left w:val="single" w:sz="8" w:space="0" w:color="CC4D4C"/>
          <w:bottom w:val="single" w:sz="8" w:space="0" w:color="CC4D4C"/>
          <w:right w:val="single" w:sz="8" w:space="0" w:color="CC4D4C"/>
        </w:tcBorders>
      </w:tcPr>
    </w:tblStylePr>
    <w:tblStylePr w:type="band1Vert">
      <w:tblPr/>
      <w:tcPr>
        <w:tcBorders>
          <w:top w:val="single" w:sz="8" w:space="0" w:color="CC4D4C"/>
          <w:left w:val="single" w:sz="8" w:space="0" w:color="CC4D4C"/>
          <w:bottom w:val="single" w:sz="8" w:space="0" w:color="CC4D4C"/>
          <w:right w:val="single" w:sz="8" w:space="0" w:color="CC4D4C"/>
        </w:tcBorders>
        <w:shd w:val="clear" w:color="auto" w:fill="F2D2D2"/>
      </w:tcPr>
    </w:tblStylePr>
    <w:tblStylePr w:type="band1Horz">
      <w:tblPr/>
      <w:tcPr>
        <w:tcBorders>
          <w:top w:val="single" w:sz="8" w:space="0" w:color="CC4D4C"/>
          <w:left w:val="single" w:sz="8" w:space="0" w:color="CC4D4C"/>
          <w:bottom w:val="single" w:sz="8" w:space="0" w:color="CC4D4C"/>
          <w:right w:val="single" w:sz="8" w:space="0" w:color="CC4D4C"/>
          <w:insideV w:val="single" w:sz="8" w:space="0" w:color="CC4D4C"/>
        </w:tcBorders>
        <w:shd w:val="clear" w:color="auto" w:fill="F2D2D2"/>
      </w:tcPr>
    </w:tblStylePr>
    <w:tblStylePr w:type="band2Horz">
      <w:tblPr/>
      <w:tcPr>
        <w:tcBorders>
          <w:top w:val="single" w:sz="8" w:space="0" w:color="CC4D4C"/>
          <w:left w:val="single" w:sz="8" w:space="0" w:color="CC4D4C"/>
          <w:bottom w:val="single" w:sz="8" w:space="0" w:color="CC4D4C"/>
          <w:right w:val="single" w:sz="8" w:space="0" w:color="CC4D4C"/>
          <w:insideV w:val="single" w:sz="8" w:space="0" w:color="CC4D4C"/>
        </w:tcBorders>
      </w:tcPr>
    </w:tblStylePr>
  </w:style>
  <w:style w:type="table" w:customStyle="1" w:styleId="MediumShading1-Accent311">
    <w:name w:val="Medium Shading 1 - Accent 311"/>
    <w:basedOn w:val="TableNormal"/>
    <w:next w:val="MediumShading1-Accent3"/>
    <w:uiPriority w:val="63"/>
    <w:unhideWhenUsed/>
    <w:rsid w:val="00EE4AA6"/>
    <w:pPr>
      <w:spacing w:after="0" w:line="240" w:lineRule="auto"/>
    </w:pPr>
    <w:rPr>
      <w:rFonts w:eastAsia="Times New Roman"/>
    </w:rPr>
    <w:tblPr>
      <w:tblStyleRowBandSize w:val="1"/>
      <w:tblStyleColBandSize w:val="1"/>
      <w:tblBorders>
        <w:top w:val="single" w:sz="8" w:space="0" w:color="D87978"/>
        <w:left w:val="single" w:sz="8" w:space="0" w:color="D87978"/>
        <w:bottom w:val="single" w:sz="8" w:space="0" w:color="D87978"/>
        <w:right w:val="single" w:sz="8" w:space="0" w:color="D87978"/>
        <w:insideH w:val="single" w:sz="8" w:space="0" w:color="D87978"/>
      </w:tblBorders>
    </w:tblPr>
    <w:tblStylePr w:type="firstRow">
      <w:pPr>
        <w:spacing w:beforeLines="0" w:beforeAutospacing="0" w:afterLines="0" w:afterAutospacing="0" w:line="240" w:lineRule="auto"/>
      </w:pPr>
      <w:rPr>
        <w:b/>
        <w:bCs/>
        <w:color w:val="FFFFFF"/>
      </w:rPr>
      <w:tblPr/>
      <w:tcPr>
        <w:tcBorders>
          <w:top w:val="single" w:sz="8" w:space="0" w:color="D87978"/>
          <w:left w:val="single" w:sz="8" w:space="0" w:color="D87978"/>
          <w:bottom w:val="single" w:sz="8" w:space="0" w:color="D87978"/>
          <w:right w:val="single" w:sz="8" w:space="0" w:color="D87978"/>
          <w:insideH w:val="nil"/>
          <w:insideV w:val="nil"/>
        </w:tcBorders>
        <w:shd w:val="clear" w:color="auto" w:fill="CC4D4C"/>
      </w:tcPr>
    </w:tblStylePr>
    <w:tblStylePr w:type="lastRow">
      <w:pPr>
        <w:spacing w:beforeLines="0" w:beforeAutospacing="0" w:afterLines="0" w:afterAutospacing="0" w:line="240" w:lineRule="auto"/>
      </w:pPr>
      <w:rPr>
        <w:b/>
        <w:bCs/>
      </w:rPr>
      <w:tblPr/>
      <w:tcPr>
        <w:tcBorders>
          <w:top w:val="double" w:sz="6" w:space="0" w:color="D87978"/>
          <w:left w:val="single" w:sz="8" w:space="0" w:color="D87978"/>
          <w:bottom w:val="single" w:sz="8" w:space="0" w:color="D87978"/>
          <w:right w:val="single" w:sz="8" w:space="0" w:color="D87978"/>
          <w:insideH w:val="nil"/>
          <w:insideV w:val="nil"/>
        </w:tcBorders>
      </w:tcPr>
    </w:tblStylePr>
    <w:tblStylePr w:type="firstCol">
      <w:rPr>
        <w:b/>
        <w:bCs/>
      </w:rPr>
    </w:tblStylePr>
    <w:tblStylePr w:type="lastCol">
      <w:rPr>
        <w:b/>
        <w:bCs/>
      </w:rPr>
    </w:tblStylePr>
    <w:tblStylePr w:type="band1Vert">
      <w:tblPr/>
      <w:tcPr>
        <w:shd w:val="clear" w:color="auto" w:fill="F2D2D2"/>
      </w:tcPr>
    </w:tblStylePr>
    <w:tblStylePr w:type="band1Horz">
      <w:tblPr/>
      <w:tcPr>
        <w:tcBorders>
          <w:insideH w:val="nil"/>
          <w:insideV w:val="nil"/>
        </w:tcBorders>
        <w:shd w:val="clear" w:color="auto" w:fill="F2D2D2"/>
      </w:tcPr>
    </w:tblStylePr>
    <w:tblStylePr w:type="band2Horz">
      <w:tblPr/>
      <w:tcPr>
        <w:tcBorders>
          <w:insideH w:val="nil"/>
          <w:insideV w:val="nil"/>
        </w:tcBorders>
      </w:tcPr>
    </w:tblStylePr>
  </w:style>
  <w:style w:type="table" w:customStyle="1" w:styleId="MediumShading2-Accent311">
    <w:name w:val="Medium Shading 2 - Accent 311"/>
    <w:basedOn w:val="TableNormal"/>
    <w:next w:val="MediumShading2-Accent3"/>
    <w:uiPriority w:val="64"/>
    <w:unhideWhenUsed/>
    <w:rsid w:val="00EE4AA6"/>
    <w:pPr>
      <w:spacing w:after="0" w:line="240" w:lineRule="auto"/>
      <w:jc w:val="both"/>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C4D4C"/>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4D4C"/>
      </w:tcPr>
    </w:tblStylePr>
    <w:tblStylePr w:type="lastCol">
      <w:rPr>
        <w:b/>
        <w:bCs/>
        <w:color w:val="FFFFFF"/>
      </w:rPr>
      <w:tblPr/>
      <w:tcPr>
        <w:tcBorders>
          <w:left w:val="nil"/>
          <w:right w:val="nil"/>
          <w:insideH w:val="nil"/>
          <w:insideV w:val="nil"/>
        </w:tcBorders>
        <w:shd w:val="clear" w:color="auto" w:fill="CC4D4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EE4AA6"/>
    <w:pPr>
      <w:spacing w:before="240" w:after="0" w:line="240" w:lineRule="auto"/>
      <w:jc w:val="both"/>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EE4AA6"/>
    <w:pPr>
      <w:spacing w:before="240" w:after="0" w:line="240" w:lineRule="auto"/>
      <w:jc w:val="both"/>
    </w:pPr>
    <w:rPr>
      <w:rFonts w:eastAsia="Times New Roman"/>
      <w:color w:val="887830"/>
    </w:rPr>
    <w:tblPr>
      <w:tblStyleRowBandSize w:val="1"/>
      <w:tblStyleColBandSize w:val="1"/>
      <w:tblBorders>
        <w:top w:val="single" w:sz="8" w:space="0" w:color="B7A241"/>
        <w:bottom w:val="single" w:sz="8" w:space="0" w:color="B7A241"/>
      </w:tblBorders>
    </w:tblPr>
    <w:tblStylePr w:type="firstRow">
      <w:pPr>
        <w:spacing w:beforeLines="0" w:beforeAutospacing="0" w:afterLines="0" w:afterAutospacing="0" w:line="240" w:lineRule="auto"/>
      </w:pPr>
      <w:rPr>
        <w:b/>
        <w:bCs/>
      </w:rPr>
      <w:tblPr/>
      <w:tcPr>
        <w:tcBorders>
          <w:top w:val="single" w:sz="8" w:space="0" w:color="B7A241"/>
          <w:left w:val="nil"/>
          <w:bottom w:val="single" w:sz="8" w:space="0" w:color="B7A24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7A241"/>
          <w:left w:val="nil"/>
          <w:bottom w:val="single" w:sz="8" w:space="0" w:color="B7A24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8CF"/>
      </w:tcPr>
    </w:tblStylePr>
    <w:tblStylePr w:type="band1Horz">
      <w:tblPr/>
      <w:tcPr>
        <w:tcBorders>
          <w:left w:val="nil"/>
          <w:right w:val="nil"/>
          <w:insideH w:val="nil"/>
          <w:insideV w:val="nil"/>
        </w:tcBorders>
        <w:shd w:val="clear" w:color="auto" w:fill="EEE8CF"/>
      </w:tcPr>
    </w:tblStylePr>
  </w:style>
  <w:style w:type="table" w:customStyle="1" w:styleId="LightList12">
    <w:name w:val="Light List12"/>
    <w:basedOn w:val="TableNormal"/>
    <w:uiPriority w:val="61"/>
    <w:rsid w:val="00EE4AA6"/>
    <w:pPr>
      <w:spacing w:after="0" w:line="240" w:lineRule="auto"/>
      <w:jc w:val="both"/>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2">
    <w:name w:val="Light List22"/>
    <w:basedOn w:val="TableNormal"/>
    <w:uiPriority w:val="61"/>
    <w:rsid w:val="00EE4AA6"/>
    <w:pPr>
      <w:spacing w:after="0" w:line="240" w:lineRule="auto"/>
      <w:jc w:val="both"/>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3111">
    <w:name w:val="Light Shading - Accent 3111"/>
    <w:basedOn w:val="TableNormal"/>
    <w:uiPriority w:val="60"/>
    <w:rsid w:val="00EE4AA6"/>
    <w:pPr>
      <w:spacing w:after="0" w:line="240" w:lineRule="auto"/>
    </w:pPr>
    <w:rPr>
      <w:rFonts w:eastAsia="Times New Roman"/>
      <w:color w:val="A32F2E"/>
    </w:rPr>
    <w:tblPr>
      <w:tblStyleRowBandSize w:val="1"/>
      <w:tblStyleColBandSize w:val="1"/>
      <w:tblBorders>
        <w:top w:val="single" w:sz="8" w:space="0" w:color="CC4D4C"/>
        <w:bottom w:val="single" w:sz="8" w:space="0" w:color="CC4D4C"/>
      </w:tblBorders>
    </w:tblPr>
    <w:tblStylePr w:type="fir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cPr>
    </w:tblStylePr>
    <w:tblStylePr w:type="band1Horz">
      <w:tblPr/>
      <w:tcPr>
        <w:tcBorders>
          <w:left w:val="nil"/>
          <w:right w:val="nil"/>
          <w:insideH w:val="nil"/>
          <w:insideV w:val="nil"/>
        </w:tcBorders>
        <w:shd w:val="clear" w:color="auto" w:fill="F2D2D2"/>
      </w:tcPr>
    </w:tblStylePr>
  </w:style>
  <w:style w:type="table" w:customStyle="1" w:styleId="LightShading-Accent2111">
    <w:name w:val="Light Shading - Accent 2111"/>
    <w:basedOn w:val="TableNormal"/>
    <w:uiPriority w:val="60"/>
    <w:rsid w:val="00EE4AA6"/>
    <w:pPr>
      <w:spacing w:after="0" w:line="240" w:lineRule="auto"/>
    </w:pPr>
    <w:rPr>
      <w:rFonts w:eastAsia="Times New Roman"/>
      <w:color w:val="87262C"/>
    </w:rPr>
    <w:tblPr>
      <w:tblStyleRowBandSize w:val="1"/>
      <w:tblStyleColBandSize w:val="1"/>
      <w:tblBorders>
        <w:top w:val="single" w:sz="8" w:space="0" w:color="B5333C"/>
        <w:bottom w:val="single" w:sz="8" w:space="0" w:color="B5333C"/>
      </w:tblBorders>
    </w:tblPr>
    <w:tblStylePr w:type="fir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cPr>
    </w:tblStylePr>
    <w:tblStylePr w:type="band1Horz">
      <w:tblPr/>
      <w:tcPr>
        <w:tcBorders>
          <w:left w:val="nil"/>
          <w:right w:val="nil"/>
          <w:insideH w:val="nil"/>
          <w:insideV w:val="nil"/>
        </w:tcBorders>
        <w:shd w:val="clear" w:color="auto" w:fill="EFC9CB"/>
      </w:tcPr>
    </w:tblStylePr>
  </w:style>
  <w:style w:type="table" w:customStyle="1" w:styleId="TableGrid12">
    <w:name w:val="Table Grid12"/>
    <w:basedOn w:val="TableNormal"/>
    <w:uiPriority w:val="59"/>
    <w:rsid w:val="00EE4AA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2">
    <w:name w:val="Grid Table 4 - Accent 212"/>
    <w:basedOn w:val="TableNormal"/>
    <w:uiPriority w:val="49"/>
    <w:rsid w:val="00EE4AA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insideV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insideV w:val="nil"/>
        </w:tcBorders>
        <w:shd w:val="clear" w:color="auto" w:fill="B5333C"/>
      </w:tcPr>
    </w:tblStylePr>
    <w:tblStylePr w:type="lastRow">
      <w:rPr>
        <w:b/>
        <w:bCs/>
      </w:rPr>
      <w:tblPr/>
      <w:tcPr>
        <w:tcBorders>
          <w:top w:val="double" w:sz="4" w:space="0" w:color="B5333C"/>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2-Accent312">
    <w:name w:val="Grid Table 2 - Accent 312"/>
    <w:basedOn w:val="TableNormal"/>
    <w:uiPriority w:val="47"/>
    <w:rsid w:val="00EE4AA6"/>
    <w:pPr>
      <w:spacing w:after="0" w:line="240" w:lineRule="auto"/>
    </w:pPr>
    <w:rPr>
      <w:rFonts w:eastAsia="Times New Roman"/>
    </w:rPr>
    <w:tblPr>
      <w:tblStyleRowBandSize w:val="1"/>
      <w:tblStyleColBandSize w:val="1"/>
      <w:tblBorders>
        <w:top w:val="single" w:sz="2" w:space="0" w:color="E09393"/>
        <w:bottom w:val="single" w:sz="2" w:space="0" w:color="E09393"/>
        <w:insideH w:val="single" w:sz="2" w:space="0" w:color="E09393"/>
        <w:insideV w:val="single" w:sz="2" w:space="0" w:color="E09393"/>
      </w:tblBorders>
    </w:tblPr>
    <w:tblStylePr w:type="firstRow">
      <w:rPr>
        <w:b/>
        <w:bCs/>
      </w:rPr>
      <w:tblPr/>
      <w:tcPr>
        <w:tcBorders>
          <w:top w:val="nil"/>
          <w:bottom w:val="single" w:sz="12" w:space="0" w:color="E09393"/>
          <w:insideH w:val="nil"/>
          <w:insideV w:val="nil"/>
        </w:tcBorders>
        <w:shd w:val="clear" w:color="auto" w:fill="FFFFFF"/>
      </w:tcPr>
    </w:tblStylePr>
    <w:tblStylePr w:type="lastRow">
      <w:rPr>
        <w:b/>
        <w:bCs/>
      </w:rPr>
      <w:tblPr/>
      <w:tcPr>
        <w:tcBorders>
          <w:top w:val="double" w:sz="2" w:space="0" w:color="E0939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4DBDB"/>
      </w:tcPr>
    </w:tblStylePr>
    <w:tblStylePr w:type="band1Horz">
      <w:tblPr/>
      <w:tcPr>
        <w:shd w:val="clear" w:color="auto" w:fill="F4DBDB"/>
      </w:tcPr>
    </w:tblStylePr>
  </w:style>
  <w:style w:type="table" w:customStyle="1" w:styleId="ListTable3-Accent412">
    <w:name w:val="List Table 3 - Accent 412"/>
    <w:basedOn w:val="TableNormal"/>
    <w:uiPriority w:val="48"/>
    <w:rsid w:val="00EE4AA6"/>
    <w:pPr>
      <w:spacing w:after="0" w:line="240" w:lineRule="auto"/>
    </w:pPr>
    <w:rPr>
      <w:rFonts w:eastAsia="Times New Roman"/>
    </w:rPr>
    <w:tblPr>
      <w:tblStyleRowBandSize w:val="1"/>
      <w:tblStyleColBandSize w:val="1"/>
      <w:tblBorders>
        <w:top w:val="single" w:sz="4" w:space="0" w:color="D6542C"/>
        <w:left w:val="single" w:sz="4" w:space="0" w:color="D6542C"/>
        <w:bottom w:val="single" w:sz="4" w:space="0" w:color="D6542C"/>
        <w:right w:val="single" w:sz="4" w:space="0" w:color="D6542C"/>
      </w:tblBorders>
    </w:tblPr>
    <w:tblStylePr w:type="firstRow">
      <w:rPr>
        <w:b/>
        <w:bCs/>
        <w:color w:val="FFFFFF"/>
      </w:rPr>
      <w:tblPr/>
      <w:tcPr>
        <w:shd w:val="clear" w:color="auto" w:fill="D6542C"/>
      </w:tcPr>
    </w:tblStylePr>
    <w:tblStylePr w:type="lastRow">
      <w:rPr>
        <w:b/>
        <w:bCs/>
      </w:rPr>
      <w:tblPr/>
      <w:tcPr>
        <w:tcBorders>
          <w:top w:val="double" w:sz="4" w:space="0" w:color="D6542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6542C"/>
          <w:right w:val="single" w:sz="4" w:space="0" w:color="D6542C"/>
        </w:tcBorders>
      </w:tcPr>
    </w:tblStylePr>
    <w:tblStylePr w:type="band1Horz">
      <w:tblPr/>
      <w:tcPr>
        <w:tcBorders>
          <w:top w:val="single" w:sz="4" w:space="0" w:color="D6542C"/>
          <w:bottom w:val="single" w:sz="4" w:space="0" w:color="D6542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542C"/>
          <w:left w:val="nil"/>
        </w:tcBorders>
      </w:tcPr>
    </w:tblStylePr>
    <w:tblStylePr w:type="swCell">
      <w:tblPr/>
      <w:tcPr>
        <w:tcBorders>
          <w:top w:val="double" w:sz="4" w:space="0" w:color="D6542C"/>
          <w:right w:val="nil"/>
        </w:tcBorders>
      </w:tcPr>
    </w:tblStylePr>
  </w:style>
  <w:style w:type="table" w:customStyle="1" w:styleId="ListTable4-Accent212">
    <w:name w:val="List Table 4 - Accent 212"/>
    <w:basedOn w:val="TableNormal"/>
    <w:uiPriority w:val="49"/>
    <w:rsid w:val="00EE4AA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5Dark-Accent112">
    <w:name w:val="Grid Table 5 Dark - Accent 112"/>
    <w:basedOn w:val="TableNormal"/>
    <w:uiPriority w:val="50"/>
    <w:rsid w:val="00EE4AA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1EC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7A2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7A2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7A2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7A241"/>
      </w:tcPr>
    </w:tblStylePr>
    <w:tblStylePr w:type="band1Vert">
      <w:tblPr/>
      <w:tcPr>
        <w:shd w:val="clear" w:color="auto" w:fill="E3DAB1"/>
      </w:tcPr>
    </w:tblStylePr>
    <w:tblStylePr w:type="band1Horz">
      <w:tblPr/>
      <w:tcPr>
        <w:shd w:val="clear" w:color="auto" w:fill="E3DAB1"/>
      </w:tcPr>
    </w:tblStylePr>
  </w:style>
  <w:style w:type="table" w:customStyle="1" w:styleId="ListTable1Light-Accent212">
    <w:name w:val="List Table 1 Light - Accent 212"/>
    <w:basedOn w:val="TableNormal"/>
    <w:uiPriority w:val="46"/>
    <w:rsid w:val="00EE4AA6"/>
    <w:pPr>
      <w:spacing w:after="0" w:line="240" w:lineRule="auto"/>
    </w:pPr>
    <w:rPr>
      <w:rFonts w:eastAsia="Times New Roman"/>
    </w:rPr>
    <w:tblPr>
      <w:tblStyleRowBandSize w:val="1"/>
      <w:tblStyleColBandSize w:val="1"/>
    </w:tblPr>
    <w:tblStylePr w:type="firstRow">
      <w:rPr>
        <w:b/>
        <w:bCs/>
      </w:rPr>
      <w:tblPr/>
      <w:tcPr>
        <w:tcBorders>
          <w:bottom w:val="single" w:sz="4" w:space="0" w:color="DA7C82"/>
        </w:tcBorders>
      </w:tcPr>
    </w:tblStylePr>
    <w:tblStylePr w:type="lastRow">
      <w:rPr>
        <w:b/>
        <w:bCs/>
      </w:rPr>
      <w:tblPr/>
      <w:tcPr>
        <w:tcBorders>
          <w:top w:val="sing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ListTable1Light-Accent112">
    <w:name w:val="List Table 1 Light - Accent 112"/>
    <w:basedOn w:val="TableNormal"/>
    <w:uiPriority w:val="46"/>
    <w:rsid w:val="00EE4AA6"/>
    <w:pPr>
      <w:spacing w:after="0" w:line="240" w:lineRule="auto"/>
    </w:pPr>
    <w:rPr>
      <w:rFonts w:eastAsia="Times New Roman"/>
    </w:rPr>
    <w:tblPr>
      <w:tblStyleRowBandSize w:val="1"/>
      <w:tblStyleColBandSize w:val="1"/>
    </w:tblPr>
    <w:tblStylePr w:type="firstRow">
      <w:rPr>
        <w:b/>
        <w:bCs/>
      </w:rPr>
      <w:tblPr/>
      <w:tcPr>
        <w:tcBorders>
          <w:bottom w:val="single" w:sz="4" w:space="0" w:color="D5C88A"/>
        </w:tcBorders>
      </w:tcPr>
    </w:tblStylePr>
    <w:tblStylePr w:type="lastRow">
      <w:rPr>
        <w:b/>
        <w:bCs/>
      </w:rPr>
      <w:tblPr/>
      <w:tcPr>
        <w:tcBorders>
          <w:top w:val="single" w:sz="4" w:space="0" w:color="D5C88A"/>
        </w:tcBorders>
      </w:tcPr>
    </w:tblStylePr>
    <w:tblStylePr w:type="firstCol">
      <w:rPr>
        <w:b/>
        <w:bCs/>
      </w:rPr>
    </w:tblStylePr>
    <w:tblStylePr w:type="lastCol">
      <w:rPr>
        <w:b/>
        <w:bCs/>
      </w:rPr>
    </w:tblStylePr>
    <w:tblStylePr w:type="band1Vert">
      <w:tblPr/>
      <w:tcPr>
        <w:shd w:val="clear" w:color="auto" w:fill="F1ECD8"/>
      </w:tcPr>
    </w:tblStylePr>
    <w:tblStylePr w:type="band1Horz">
      <w:tblPr/>
      <w:tcPr>
        <w:shd w:val="clear" w:color="auto" w:fill="F1ECD8"/>
      </w:tcPr>
    </w:tblStylePr>
  </w:style>
  <w:style w:type="table" w:customStyle="1" w:styleId="GridTable1Light-Accent212">
    <w:name w:val="Grid Table 1 Light - Accent 212"/>
    <w:basedOn w:val="TableNormal"/>
    <w:uiPriority w:val="46"/>
    <w:rsid w:val="00EE4AA6"/>
    <w:pPr>
      <w:spacing w:after="0" w:line="240" w:lineRule="auto"/>
    </w:pPr>
    <w:rPr>
      <w:rFonts w:eastAsia="Times New Roman"/>
    </w:rPr>
    <w:tblPr>
      <w:tblStyleRowBandSize w:val="1"/>
      <w:tblStyleColBandSize w:val="1"/>
      <w:tblBorders>
        <w:top w:val="single" w:sz="4" w:space="0" w:color="E6A8AC"/>
        <w:left w:val="single" w:sz="4" w:space="0" w:color="E6A8AC"/>
        <w:bottom w:val="single" w:sz="4" w:space="0" w:color="E6A8AC"/>
        <w:right w:val="single" w:sz="4" w:space="0" w:color="E6A8AC"/>
        <w:insideH w:val="single" w:sz="4" w:space="0" w:color="E6A8AC"/>
        <w:insideV w:val="single" w:sz="4" w:space="0" w:color="E6A8AC"/>
      </w:tblBorders>
    </w:tblPr>
    <w:tblStylePr w:type="firstRow">
      <w:rPr>
        <w:b/>
        <w:bCs/>
      </w:rPr>
      <w:tblPr/>
      <w:tcPr>
        <w:tcBorders>
          <w:bottom w:val="single" w:sz="12" w:space="0" w:color="DA7C82"/>
        </w:tcBorders>
      </w:tcPr>
    </w:tblStylePr>
    <w:tblStylePr w:type="lastRow">
      <w:rPr>
        <w:b/>
        <w:bCs/>
      </w:rPr>
      <w:tblPr/>
      <w:tcPr>
        <w:tcBorders>
          <w:top w:val="double" w:sz="2" w:space="0" w:color="DA7C82"/>
        </w:tcBorders>
      </w:tcPr>
    </w:tblStylePr>
    <w:tblStylePr w:type="firstCol">
      <w:rPr>
        <w:b/>
        <w:bCs/>
      </w:rPr>
    </w:tblStylePr>
    <w:tblStylePr w:type="lastCol">
      <w:rPr>
        <w:b/>
        <w:bCs/>
      </w:rPr>
    </w:tblStylePr>
  </w:style>
  <w:style w:type="table" w:customStyle="1" w:styleId="GridTable2-Accent212">
    <w:name w:val="Grid Table 2 - Accent 212"/>
    <w:basedOn w:val="TableNormal"/>
    <w:uiPriority w:val="47"/>
    <w:rsid w:val="00EE4AA6"/>
    <w:pPr>
      <w:spacing w:after="0" w:line="240" w:lineRule="auto"/>
    </w:pPr>
    <w:rPr>
      <w:rFonts w:eastAsia="Times New Roman"/>
    </w:rPr>
    <w:tblPr>
      <w:tblStyleRowBandSize w:val="1"/>
      <w:tblStyleColBandSize w:val="1"/>
      <w:tblBorders>
        <w:top w:val="single" w:sz="2" w:space="0" w:color="DA7C82"/>
        <w:bottom w:val="single" w:sz="2" w:space="0" w:color="DA7C82"/>
        <w:insideH w:val="single" w:sz="2" w:space="0" w:color="DA7C82"/>
        <w:insideV w:val="single" w:sz="2" w:space="0" w:color="DA7C82"/>
      </w:tblBorders>
    </w:tblPr>
    <w:tblStylePr w:type="firstRow">
      <w:rPr>
        <w:b/>
        <w:bCs/>
      </w:rPr>
      <w:tblPr/>
      <w:tcPr>
        <w:tcBorders>
          <w:top w:val="nil"/>
          <w:bottom w:val="single" w:sz="12" w:space="0" w:color="DA7C82"/>
          <w:insideH w:val="nil"/>
          <w:insideV w:val="nil"/>
        </w:tcBorders>
        <w:shd w:val="clear" w:color="auto" w:fill="FFFFFF"/>
      </w:tcPr>
    </w:tblStylePr>
    <w:tblStylePr w:type="lastRow">
      <w:rPr>
        <w:b/>
        <w:bCs/>
      </w:rPr>
      <w:tblPr/>
      <w:tcPr>
        <w:tcBorders>
          <w:top w:val="double" w:sz="2" w:space="0" w:color="DA7C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1Light12">
    <w:name w:val="Grid Table 1 Light12"/>
    <w:basedOn w:val="TableNormal"/>
    <w:uiPriority w:val="46"/>
    <w:rsid w:val="00EE4AA6"/>
    <w:pPr>
      <w:spacing w:after="0" w:line="240" w:lineRule="auto"/>
    </w:pPr>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11">
    <w:name w:val="Grid Table 4 - Accent 1111"/>
    <w:basedOn w:val="TableNormal"/>
    <w:uiPriority w:val="49"/>
    <w:rsid w:val="00EE4AA6"/>
    <w:pPr>
      <w:spacing w:after="0" w:line="240" w:lineRule="auto"/>
    </w:pPr>
    <w:rPr>
      <w:rFonts w:eastAsia="Times New Roman"/>
    </w:rPr>
    <w:tblPr>
      <w:tblStyleRowBandSize w:val="1"/>
      <w:tblStyleColBandSize w:val="1"/>
      <w:tblBorders>
        <w:top w:val="single" w:sz="4" w:space="0" w:color="D5C88A"/>
        <w:left w:val="single" w:sz="4" w:space="0" w:color="D5C88A"/>
        <w:bottom w:val="single" w:sz="4" w:space="0" w:color="D5C88A"/>
        <w:right w:val="single" w:sz="4" w:space="0" w:color="D5C88A"/>
        <w:insideH w:val="single" w:sz="4" w:space="0" w:color="D5C88A"/>
        <w:insideV w:val="single" w:sz="4" w:space="0" w:color="D5C88A"/>
      </w:tblBorders>
    </w:tblPr>
    <w:tblStylePr w:type="firstRow">
      <w:rPr>
        <w:b/>
        <w:bCs/>
        <w:color w:val="FFFFFF"/>
      </w:rPr>
      <w:tblPr/>
      <w:tcPr>
        <w:tcBorders>
          <w:top w:val="single" w:sz="4" w:space="0" w:color="B7A241"/>
          <w:left w:val="single" w:sz="4" w:space="0" w:color="B7A241"/>
          <w:bottom w:val="single" w:sz="4" w:space="0" w:color="B7A241"/>
          <w:right w:val="single" w:sz="4" w:space="0" w:color="B7A241"/>
          <w:insideH w:val="nil"/>
          <w:insideV w:val="nil"/>
        </w:tcBorders>
        <w:shd w:val="clear" w:color="auto" w:fill="B7A241"/>
      </w:tcPr>
    </w:tblStylePr>
    <w:tblStylePr w:type="lastRow">
      <w:rPr>
        <w:b/>
        <w:bCs/>
      </w:rPr>
      <w:tblPr/>
      <w:tcPr>
        <w:tcBorders>
          <w:top w:val="double" w:sz="4" w:space="0" w:color="B7A241"/>
        </w:tcBorders>
      </w:tcPr>
    </w:tblStylePr>
    <w:tblStylePr w:type="firstCol">
      <w:rPr>
        <w:b/>
        <w:bCs/>
      </w:rPr>
    </w:tblStylePr>
    <w:tblStylePr w:type="lastCol">
      <w:rPr>
        <w:b/>
        <w:bCs/>
      </w:rPr>
    </w:tblStylePr>
    <w:tblStylePr w:type="band1Vert">
      <w:tblPr/>
      <w:tcPr>
        <w:shd w:val="clear" w:color="auto" w:fill="F1ECD8"/>
      </w:tcPr>
    </w:tblStylePr>
    <w:tblStylePr w:type="band1Horz">
      <w:tblPr/>
      <w:tcPr>
        <w:shd w:val="clear" w:color="auto" w:fill="F1ECD8"/>
      </w:tcPr>
    </w:tblStylePr>
  </w:style>
  <w:style w:type="table" w:customStyle="1" w:styleId="PlainTable4111">
    <w:name w:val="Plain Table 4111"/>
    <w:basedOn w:val="TableNormal"/>
    <w:uiPriority w:val="44"/>
    <w:rsid w:val="00EE4AA6"/>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11">
    <w:name w:val="Grid Table 4 - Accent 5111"/>
    <w:basedOn w:val="TableNormal"/>
    <w:uiPriority w:val="49"/>
    <w:rsid w:val="00EE4AA6"/>
    <w:pPr>
      <w:spacing w:after="0" w:line="240" w:lineRule="auto"/>
    </w:pPr>
    <w:rPr>
      <w:rFonts w:eastAsia="Times New Roman"/>
    </w:rPr>
    <w:tblPr>
      <w:tblStyleRowBandSize w:val="1"/>
      <w:tblStyleColBandSize w:val="1"/>
      <w:tblBorders>
        <w:top w:val="single" w:sz="4" w:space="0" w:color="B464A0"/>
        <w:left w:val="single" w:sz="4" w:space="0" w:color="B464A0"/>
        <w:bottom w:val="single" w:sz="4" w:space="0" w:color="B464A0"/>
        <w:right w:val="single" w:sz="4" w:space="0" w:color="B464A0"/>
        <w:insideH w:val="single" w:sz="4" w:space="0" w:color="B464A0"/>
        <w:insideV w:val="single" w:sz="4" w:space="0" w:color="B464A0"/>
      </w:tblBorders>
    </w:tblPr>
    <w:tblStylePr w:type="firstRow">
      <w:rPr>
        <w:b/>
        <w:bCs/>
        <w:color w:val="FFFFFF"/>
      </w:rPr>
      <w:tblPr/>
      <w:tcPr>
        <w:tcBorders>
          <w:top w:val="single" w:sz="4" w:space="0" w:color="572A4C"/>
          <w:left w:val="single" w:sz="4" w:space="0" w:color="572A4C"/>
          <w:bottom w:val="single" w:sz="4" w:space="0" w:color="572A4C"/>
          <w:right w:val="single" w:sz="4" w:space="0" w:color="572A4C"/>
          <w:insideH w:val="nil"/>
          <w:insideV w:val="nil"/>
        </w:tcBorders>
        <w:shd w:val="clear" w:color="auto" w:fill="572A4C"/>
      </w:tcPr>
    </w:tblStylePr>
    <w:tblStylePr w:type="lastRow">
      <w:rPr>
        <w:b/>
        <w:bCs/>
      </w:rPr>
      <w:tblPr/>
      <w:tcPr>
        <w:tcBorders>
          <w:top w:val="double" w:sz="4" w:space="0" w:color="572A4C"/>
        </w:tcBorders>
      </w:tcPr>
    </w:tblStylePr>
    <w:tblStylePr w:type="firstCol">
      <w:rPr>
        <w:b/>
        <w:bCs/>
      </w:rPr>
    </w:tblStylePr>
    <w:tblStylePr w:type="lastCol">
      <w:rPr>
        <w:b/>
        <w:bCs/>
      </w:rPr>
    </w:tblStylePr>
    <w:tblStylePr w:type="band1Vert">
      <w:tblPr/>
      <w:tcPr>
        <w:shd w:val="clear" w:color="auto" w:fill="E6CBDF"/>
      </w:tcPr>
    </w:tblStylePr>
    <w:tblStylePr w:type="band1Horz">
      <w:tblPr/>
      <w:tcPr>
        <w:shd w:val="clear" w:color="auto" w:fill="E6CBDF"/>
      </w:tcPr>
    </w:tblStylePr>
  </w:style>
  <w:style w:type="table" w:customStyle="1" w:styleId="TableGrid21">
    <w:name w:val="Table Grid21"/>
    <w:basedOn w:val="TableNormal"/>
    <w:next w:val="TableGrid"/>
    <w:uiPriority w:val="59"/>
    <w:rsid w:val="00EE4AA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1">
    <w:name w:val="Light Shading - Accent 221"/>
    <w:basedOn w:val="TableNormal"/>
    <w:next w:val="LightShading-Accent2"/>
    <w:uiPriority w:val="60"/>
    <w:unhideWhenUsed/>
    <w:rsid w:val="00EE4AA6"/>
    <w:pPr>
      <w:spacing w:before="240" w:after="0" w:line="240" w:lineRule="auto"/>
      <w:jc w:val="both"/>
    </w:pPr>
    <w:rPr>
      <w:rFonts w:eastAsia="Times New Roman"/>
      <w:color w:val="87262C"/>
    </w:rPr>
    <w:tblPr>
      <w:tblStyleRowBandSize w:val="1"/>
      <w:tblStyleColBandSize w:val="1"/>
      <w:tblBorders>
        <w:top w:val="single" w:sz="8" w:space="0" w:color="B5333C"/>
        <w:bottom w:val="single" w:sz="8" w:space="0" w:color="B5333C"/>
      </w:tblBorders>
    </w:tblPr>
    <w:tblStylePr w:type="fir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cPr>
    </w:tblStylePr>
    <w:tblStylePr w:type="band1Horz">
      <w:tblPr/>
      <w:tcPr>
        <w:tcBorders>
          <w:left w:val="nil"/>
          <w:right w:val="nil"/>
          <w:insideH w:val="nil"/>
          <w:insideV w:val="nil"/>
        </w:tcBorders>
        <w:shd w:val="clear" w:color="auto" w:fill="EFC9CB"/>
      </w:tcPr>
    </w:tblStylePr>
  </w:style>
  <w:style w:type="table" w:customStyle="1" w:styleId="LightShading-Accent321">
    <w:name w:val="Light Shading - Accent 321"/>
    <w:basedOn w:val="TableNormal"/>
    <w:next w:val="LightShading-Accent3"/>
    <w:uiPriority w:val="60"/>
    <w:unhideWhenUsed/>
    <w:rsid w:val="00EE4AA6"/>
    <w:pPr>
      <w:spacing w:before="240" w:after="0" w:line="240" w:lineRule="auto"/>
      <w:jc w:val="both"/>
    </w:pPr>
    <w:rPr>
      <w:rFonts w:eastAsia="Times New Roman"/>
      <w:color w:val="A32F2E"/>
    </w:rPr>
    <w:tblPr>
      <w:tblStyleRowBandSize w:val="1"/>
      <w:tblStyleColBandSize w:val="1"/>
      <w:tblBorders>
        <w:top w:val="single" w:sz="8" w:space="0" w:color="CC4D4C"/>
        <w:bottom w:val="single" w:sz="8" w:space="0" w:color="CC4D4C"/>
      </w:tblBorders>
    </w:tblPr>
    <w:tblStylePr w:type="fir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cPr>
    </w:tblStylePr>
    <w:tblStylePr w:type="band1Horz">
      <w:tblPr/>
      <w:tcPr>
        <w:tcBorders>
          <w:left w:val="nil"/>
          <w:right w:val="nil"/>
          <w:insideH w:val="nil"/>
          <w:insideV w:val="nil"/>
        </w:tcBorders>
        <w:shd w:val="clear" w:color="auto" w:fill="F2D2D2"/>
      </w:tcPr>
    </w:tblStylePr>
  </w:style>
  <w:style w:type="table" w:customStyle="1" w:styleId="LightShading111">
    <w:name w:val="Light Shading111"/>
    <w:basedOn w:val="TableNormal"/>
    <w:uiPriority w:val="60"/>
    <w:rsid w:val="00EE4AA6"/>
    <w:pPr>
      <w:spacing w:before="240" w:after="0" w:line="240" w:lineRule="auto"/>
      <w:jc w:val="both"/>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TableNormal"/>
    <w:uiPriority w:val="60"/>
    <w:rsid w:val="00EE4AA6"/>
    <w:pPr>
      <w:spacing w:before="240" w:after="0" w:line="240" w:lineRule="auto"/>
      <w:jc w:val="both"/>
    </w:pPr>
    <w:rPr>
      <w:rFonts w:eastAsia="Times New Roman"/>
      <w:color w:val="887830"/>
    </w:rPr>
    <w:tblPr>
      <w:tblStyleRowBandSize w:val="1"/>
      <w:tblStyleColBandSize w:val="1"/>
      <w:tblBorders>
        <w:top w:val="single" w:sz="8" w:space="0" w:color="B7A241"/>
        <w:bottom w:val="single" w:sz="8" w:space="0" w:color="B7A241"/>
      </w:tblBorders>
    </w:tblPr>
    <w:tblStylePr w:type="firstRow">
      <w:pPr>
        <w:spacing w:beforeLines="0" w:beforeAutospacing="0" w:afterLines="0" w:afterAutospacing="0" w:line="240" w:lineRule="auto"/>
      </w:pPr>
      <w:rPr>
        <w:b/>
        <w:bCs/>
      </w:rPr>
      <w:tblPr/>
      <w:tcPr>
        <w:tcBorders>
          <w:top w:val="single" w:sz="8" w:space="0" w:color="B7A241"/>
          <w:left w:val="nil"/>
          <w:bottom w:val="single" w:sz="8" w:space="0" w:color="B7A24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7A241"/>
          <w:left w:val="nil"/>
          <w:bottom w:val="single" w:sz="8" w:space="0" w:color="B7A24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8CF"/>
      </w:tcPr>
    </w:tblStylePr>
    <w:tblStylePr w:type="band1Horz">
      <w:tblPr/>
      <w:tcPr>
        <w:tcBorders>
          <w:left w:val="nil"/>
          <w:right w:val="nil"/>
          <w:insideH w:val="nil"/>
          <w:insideV w:val="nil"/>
        </w:tcBorders>
        <w:shd w:val="clear" w:color="auto" w:fill="EEE8CF"/>
      </w:tcPr>
    </w:tblStylePr>
  </w:style>
  <w:style w:type="table" w:customStyle="1" w:styleId="LightList111">
    <w:name w:val="Light List111"/>
    <w:basedOn w:val="TableNormal"/>
    <w:uiPriority w:val="61"/>
    <w:rsid w:val="00EE4AA6"/>
    <w:pPr>
      <w:spacing w:after="0" w:line="240" w:lineRule="auto"/>
      <w:jc w:val="both"/>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1">
    <w:name w:val="Light List211"/>
    <w:basedOn w:val="TableNormal"/>
    <w:uiPriority w:val="61"/>
    <w:rsid w:val="00EE4AA6"/>
    <w:pPr>
      <w:spacing w:after="0" w:line="240" w:lineRule="auto"/>
      <w:jc w:val="both"/>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
    <w:name w:val="Table Grid111"/>
    <w:basedOn w:val="TableNormal"/>
    <w:uiPriority w:val="59"/>
    <w:rsid w:val="00EE4AA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1">
    <w:name w:val="Grid Table 4 - Accent 2111"/>
    <w:basedOn w:val="TableNormal"/>
    <w:uiPriority w:val="49"/>
    <w:rsid w:val="00EE4AA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insideV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insideV w:val="nil"/>
        </w:tcBorders>
        <w:shd w:val="clear" w:color="auto" w:fill="B5333C"/>
      </w:tcPr>
    </w:tblStylePr>
    <w:tblStylePr w:type="lastRow">
      <w:rPr>
        <w:b/>
        <w:bCs/>
      </w:rPr>
      <w:tblPr/>
      <w:tcPr>
        <w:tcBorders>
          <w:top w:val="double" w:sz="4" w:space="0" w:color="B5333C"/>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2-Accent3111">
    <w:name w:val="Grid Table 2 - Accent 3111"/>
    <w:basedOn w:val="TableNormal"/>
    <w:uiPriority w:val="47"/>
    <w:rsid w:val="00EE4AA6"/>
    <w:pPr>
      <w:spacing w:after="0" w:line="240" w:lineRule="auto"/>
    </w:pPr>
    <w:rPr>
      <w:rFonts w:eastAsia="Times New Roman"/>
    </w:rPr>
    <w:tblPr>
      <w:tblStyleRowBandSize w:val="1"/>
      <w:tblStyleColBandSize w:val="1"/>
      <w:tblBorders>
        <w:top w:val="single" w:sz="2" w:space="0" w:color="E09393"/>
        <w:bottom w:val="single" w:sz="2" w:space="0" w:color="E09393"/>
        <w:insideH w:val="single" w:sz="2" w:space="0" w:color="E09393"/>
        <w:insideV w:val="single" w:sz="2" w:space="0" w:color="E09393"/>
      </w:tblBorders>
    </w:tblPr>
    <w:tblStylePr w:type="firstRow">
      <w:rPr>
        <w:b/>
        <w:bCs/>
      </w:rPr>
      <w:tblPr/>
      <w:tcPr>
        <w:tcBorders>
          <w:top w:val="nil"/>
          <w:bottom w:val="single" w:sz="12" w:space="0" w:color="E09393"/>
          <w:insideH w:val="nil"/>
          <w:insideV w:val="nil"/>
        </w:tcBorders>
        <w:shd w:val="clear" w:color="auto" w:fill="FFFFFF"/>
      </w:tcPr>
    </w:tblStylePr>
    <w:tblStylePr w:type="lastRow">
      <w:rPr>
        <w:b/>
        <w:bCs/>
      </w:rPr>
      <w:tblPr/>
      <w:tcPr>
        <w:tcBorders>
          <w:top w:val="double" w:sz="2" w:space="0" w:color="E0939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4DBDB"/>
      </w:tcPr>
    </w:tblStylePr>
    <w:tblStylePr w:type="band1Horz">
      <w:tblPr/>
      <w:tcPr>
        <w:shd w:val="clear" w:color="auto" w:fill="F4DBDB"/>
      </w:tcPr>
    </w:tblStylePr>
  </w:style>
  <w:style w:type="table" w:customStyle="1" w:styleId="ListTable3-Accent4111">
    <w:name w:val="List Table 3 - Accent 4111"/>
    <w:basedOn w:val="TableNormal"/>
    <w:uiPriority w:val="48"/>
    <w:rsid w:val="00EE4AA6"/>
    <w:pPr>
      <w:spacing w:after="0" w:line="240" w:lineRule="auto"/>
    </w:pPr>
    <w:rPr>
      <w:rFonts w:eastAsia="Times New Roman"/>
    </w:rPr>
    <w:tblPr>
      <w:tblStyleRowBandSize w:val="1"/>
      <w:tblStyleColBandSize w:val="1"/>
      <w:tblBorders>
        <w:top w:val="single" w:sz="4" w:space="0" w:color="D6542C"/>
        <w:left w:val="single" w:sz="4" w:space="0" w:color="D6542C"/>
        <w:bottom w:val="single" w:sz="4" w:space="0" w:color="D6542C"/>
        <w:right w:val="single" w:sz="4" w:space="0" w:color="D6542C"/>
      </w:tblBorders>
    </w:tblPr>
    <w:tblStylePr w:type="firstRow">
      <w:rPr>
        <w:b/>
        <w:bCs/>
        <w:color w:val="FFFFFF"/>
      </w:rPr>
      <w:tblPr/>
      <w:tcPr>
        <w:shd w:val="clear" w:color="auto" w:fill="D6542C"/>
      </w:tcPr>
    </w:tblStylePr>
    <w:tblStylePr w:type="lastRow">
      <w:rPr>
        <w:b/>
        <w:bCs/>
      </w:rPr>
      <w:tblPr/>
      <w:tcPr>
        <w:tcBorders>
          <w:top w:val="double" w:sz="4" w:space="0" w:color="D6542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6542C"/>
          <w:right w:val="single" w:sz="4" w:space="0" w:color="D6542C"/>
        </w:tcBorders>
      </w:tcPr>
    </w:tblStylePr>
    <w:tblStylePr w:type="band1Horz">
      <w:tblPr/>
      <w:tcPr>
        <w:tcBorders>
          <w:top w:val="single" w:sz="4" w:space="0" w:color="D6542C"/>
          <w:bottom w:val="single" w:sz="4" w:space="0" w:color="D6542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542C"/>
          <w:left w:val="nil"/>
        </w:tcBorders>
      </w:tcPr>
    </w:tblStylePr>
    <w:tblStylePr w:type="swCell">
      <w:tblPr/>
      <w:tcPr>
        <w:tcBorders>
          <w:top w:val="double" w:sz="4" w:space="0" w:color="D6542C"/>
          <w:right w:val="nil"/>
        </w:tcBorders>
      </w:tcPr>
    </w:tblStylePr>
  </w:style>
  <w:style w:type="table" w:customStyle="1" w:styleId="ListTable4-Accent2111">
    <w:name w:val="List Table 4 - Accent 2111"/>
    <w:basedOn w:val="TableNormal"/>
    <w:uiPriority w:val="49"/>
    <w:rsid w:val="00EE4AA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5Dark-Accent1111">
    <w:name w:val="Grid Table 5 Dark - Accent 1111"/>
    <w:basedOn w:val="TableNormal"/>
    <w:uiPriority w:val="50"/>
    <w:rsid w:val="00EE4AA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1EC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7A2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7A2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7A2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7A241"/>
      </w:tcPr>
    </w:tblStylePr>
    <w:tblStylePr w:type="band1Vert">
      <w:tblPr/>
      <w:tcPr>
        <w:shd w:val="clear" w:color="auto" w:fill="E3DAB1"/>
      </w:tcPr>
    </w:tblStylePr>
    <w:tblStylePr w:type="band1Horz">
      <w:tblPr/>
      <w:tcPr>
        <w:shd w:val="clear" w:color="auto" w:fill="E3DAB1"/>
      </w:tcPr>
    </w:tblStylePr>
  </w:style>
  <w:style w:type="table" w:customStyle="1" w:styleId="ListTable1Light-Accent2111">
    <w:name w:val="List Table 1 Light - Accent 2111"/>
    <w:basedOn w:val="TableNormal"/>
    <w:uiPriority w:val="46"/>
    <w:rsid w:val="00EE4AA6"/>
    <w:pPr>
      <w:spacing w:after="0" w:line="240" w:lineRule="auto"/>
    </w:pPr>
    <w:rPr>
      <w:rFonts w:eastAsia="Times New Roman"/>
    </w:rPr>
    <w:tblPr>
      <w:tblStyleRowBandSize w:val="1"/>
      <w:tblStyleColBandSize w:val="1"/>
    </w:tblPr>
    <w:tblStylePr w:type="firstRow">
      <w:rPr>
        <w:b/>
        <w:bCs/>
      </w:rPr>
      <w:tblPr/>
      <w:tcPr>
        <w:tcBorders>
          <w:bottom w:val="single" w:sz="4" w:space="0" w:color="DA7C82"/>
        </w:tcBorders>
      </w:tcPr>
    </w:tblStylePr>
    <w:tblStylePr w:type="lastRow">
      <w:rPr>
        <w:b/>
        <w:bCs/>
      </w:rPr>
      <w:tblPr/>
      <w:tcPr>
        <w:tcBorders>
          <w:top w:val="sing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ListTable1Light-Accent1111">
    <w:name w:val="List Table 1 Light - Accent 1111"/>
    <w:basedOn w:val="TableNormal"/>
    <w:uiPriority w:val="46"/>
    <w:rsid w:val="00EE4AA6"/>
    <w:pPr>
      <w:spacing w:after="0" w:line="240" w:lineRule="auto"/>
    </w:pPr>
    <w:rPr>
      <w:rFonts w:eastAsia="Times New Roman"/>
    </w:rPr>
    <w:tblPr>
      <w:tblStyleRowBandSize w:val="1"/>
      <w:tblStyleColBandSize w:val="1"/>
    </w:tblPr>
    <w:tblStylePr w:type="firstRow">
      <w:rPr>
        <w:b/>
        <w:bCs/>
      </w:rPr>
      <w:tblPr/>
      <w:tcPr>
        <w:tcBorders>
          <w:bottom w:val="single" w:sz="4" w:space="0" w:color="D5C88A"/>
        </w:tcBorders>
      </w:tcPr>
    </w:tblStylePr>
    <w:tblStylePr w:type="lastRow">
      <w:rPr>
        <w:b/>
        <w:bCs/>
      </w:rPr>
      <w:tblPr/>
      <w:tcPr>
        <w:tcBorders>
          <w:top w:val="single" w:sz="4" w:space="0" w:color="D5C88A"/>
        </w:tcBorders>
      </w:tcPr>
    </w:tblStylePr>
    <w:tblStylePr w:type="firstCol">
      <w:rPr>
        <w:b/>
        <w:bCs/>
      </w:rPr>
    </w:tblStylePr>
    <w:tblStylePr w:type="lastCol">
      <w:rPr>
        <w:b/>
        <w:bCs/>
      </w:rPr>
    </w:tblStylePr>
    <w:tblStylePr w:type="band1Vert">
      <w:tblPr/>
      <w:tcPr>
        <w:shd w:val="clear" w:color="auto" w:fill="F1ECD8"/>
      </w:tcPr>
    </w:tblStylePr>
    <w:tblStylePr w:type="band1Horz">
      <w:tblPr/>
      <w:tcPr>
        <w:shd w:val="clear" w:color="auto" w:fill="F1ECD8"/>
      </w:tcPr>
    </w:tblStylePr>
  </w:style>
  <w:style w:type="table" w:customStyle="1" w:styleId="GridTable1Light-Accent2111">
    <w:name w:val="Grid Table 1 Light - Accent 2111"/>
    <w:basedOn w:val="TableNormal"/>
    <w:uiPriority w:val="46"/>
    <w:rsid w:val="00EE4AA6"/>
    <w:pPr>
      <w:spacing w:after="0" w:line="240" w:lineRule="auto"/>
    </w:pPr>
    <w:rPr>
      <w:rFonts w:eastAsia="Times New Roman"/>
    </w:rPr>
    <w:tblPr>
      <w:tblStyleRowBandSize w:val="1"/>
      <w:tblStyleColBandSize w:val="1"/>
      <w:tblBorders>
        <w:top w:val="single" w:sz="4" w:space="0" w:color="E6A8AC"/>
        <w:left w:val="single" w:sz="4" w:space="0" w:color="E6A8AC"/>
        <w:bottom w:val="single" w:sz="4" w:space="0" w:color="E6A8AC"/>
        <w:right w:val="single" w:sz="4" w:space="0" w:color="E6A8AC"/>
        <w:insideH w:val="single" w:sz="4" w:space="0" w:color="E6A8AC"/>
        <w:insideV w:val="single" w:sz="4" w:space="0" w:color="E6A8AC"/>
      </w:tblBorders>
    </w:tblPr>
    <w:tblStylePr w:type="firstRow">
      <w:rPr>
        <w:b/>
        <w:bCs/>
      </w:rPr>
      <w:tblPr/>
      <w:tcPr>
        <w:tcBorders>
          <w:bottom w:val="single" w:sz="12" w:space="0" w:color="DA7C82"/>
        </w:tcBorders>
      </w:tcPr>
    </w:tblStylePr>
    <w:tblStylePr w:type="lastRow">
      <w:rPr>
        <w:b/>
        <w:bCs/>
      </w:rPr>
      <w:tblPr/>
      <w:tcPr>
        <w:tcBorders>
          <w:top w:val="double" w:sz="2" w:space="0" w:color="DA7C82"/>
        </w:tcBorders>
      </w:tcPr>
    </w:tblStylePr>
    <w:tblStylePr w:type="firstCol">
      <w:rPr>
        <w:b/>
        <w:bCs/>
      </w:rPr>
    </w:tblStylePr>
    <w:tblStylePr w:type="lastCol">
      <w:rPr>
        <w:b/>
        <w:bCs/>
      </w:rPr>
    </w:tblStylePr>
  </w:style>
  <w:style w:type="table" w:customStyle="1" w:styleId="GridTable2-Accent2111">
    <w:name w:val="Grid Table 2 - Accent 2111"/>
    <w:basedOn w:val="TableNormal"/>
    <w:uiPriority w:val="47"/>
    <w:rsid w:val="00EE4AA6"/>
    <w:pPr>
      <w:spacing w:after="0" w:line="240" w:lineRule="auto"/>
    </w:pPr>
    <w:rPr>
      <w:rFonts w:eastAsia="Times New Roman"/>
    </w:rPr>
    <w:tblPr>
      <w:tblStyleRowBandSize w:val="1"/>
      <w:tblStyleColBandSize w:val="1"/>
      <w:tblBorders>
        <w:top w:val="single" w:sz="2" w:space="0" w:color="DA7C82"/>
        <w:bottom w:val="single" w:sz="2" w:space="0" w:color="DA7C82"/>
        <w:insideH w:val="single" w:sz="2" w:space="0" w:color="DA7C82"/>
        <w:insideV w:val="single" w:sz="2" w:space="0" w:color="DA7C82"/>
      </w:tblBorders>
    </w:tblPr>
    <w:tblStylePr w:type="firstRow">
      <w:rPr>
        <w:b/>
        <w:bCs/>
      </w:rPr>
      <w:tblPr/>
      <w:tcPr>
        <w:tcBorders>
          <w:top w:val="nil"/>
          <w:bottom w:val="single" w:sz="12" w:space="0" w:color="DA7C82"/>
          <w:insideH w:val="nil"/>
          <w:insideV w:val="nil"/>
        </w:tcBorders>
        <w:shd w:val="clear" w:color="auto" w:fill="FFFFFF"/>
      </w:tcPr>
    </w:tblStylePr>
    <w:tblStylePr w:type="lastRow">
      <w:rPr>
        <w:b/>
        <w:bCs/>
      </w:rPr>
      <w:tblPr/>
      <w:tcPr>
        <w:tcBorders>
          <w:top w:val="double" w:sz="2" w:space="0" w:color="DA7C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1Light111">
    <w:name w:val="Grid Table 1 Light111"/>
    <w:basedOn w:val="TableNormal"/>
    <w:uiPriority w:val="46"/>
    <w:rsid w:val="00EE4AA6"/>
    <w:pPr>
      <w:spacing w:after="0" w:line="240" w:lineRule="auto"/>
    </w:pPr>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TW2018Table1">
    <w:name w:val="MTW 2018 Table1"/>
    <w:basedOn w:val="TableNormal"/>
    <w:uiPriority w:val="99"/>
    <w:rsid w:val="00EE4AA6"/>
    <w:pPr>
      <w:spacing w:after="0" w:line="240" w:lineRule="auto"/>
    </w:pPr>
    <w:rPr>
      <w:rFonts w:eastAsia="Times New Roman"/>
    </w:rPr>
    <w:tblPr/>
  </w:style>
  <w:style w:type="character" w:customStyle="1" w:styleId="Heading2Char2">
    <w:name w:val="Heading 2 Char2"/>
    <w:basedOn w:val="DefaultParagraphFont"/>
    <w:uiPriority w:val="9"/>
    <w:semiHidden/>
    <w:rsid w:val="00EE4AA6"/>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EE4AA6"/>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EE4AA6"/>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EE4AA6"/>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EE4AA6"/>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EE4AA6"/>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EE4AA6"/>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EE4AA6"/>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EE4AA6"/>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EE4AA6"/>
    <w:rPr>
      <w:rFonts w:eastAsia="Times New Roman"/>
      <w:color w:val="5A5A5A"/>
      <w:spacing w:val="15"/>
    </w:rPr>
  </w:style>
  <w:style w:type="character" w:customStyle="1" w:styleId="QuoteChar1">
    <w:name w:val="Quote Char1"/>
    <w:basedOn w:val="DefaultParagraphFont"/>
    <w:uiPriority w:val="29"/>
    <w:rsid w:val="00EE4AA6"/>
    <w:rPr>
      <w:i/>
      <w:iCs/>
      <w:color w:val="404040"/>
    </w:rPr>
  </w:style>
  <w:style w:type="character" w:customStyle="1" w:styleId="IntenseQuoteChar1">
    <w:name w:val="Intense Quote Char1"/>
    <w:basedOn w:val="DefaultParagraphFont"/>
    <w:uiPriority w:val="30"/>
    <w:rsid w:val="00EE4AA6"/>
    <w:rPr>
      <w:i/>
      <w:iCs/>
      <w:color w:val="4472C4"/>
    </w:rPr>
  </w:style>
  <w:style w:type="table" w:customStyle="1" w:styleId="LightShading-Accent23">
    <w:name w:val="Light Shading - Accent 23"/>
    <w:basedOn w:val="TableNormal"/>
    <w:next w:val="LightShading-Accent2"/>
    <w:uiPriority w:val="60"/>
    <w:semiHidden/>
    <w:unhideWhenUsed/>
    <w:rsid w:val="00EE4AA6"/>
    <w:pPr>
      <w:spacing w:after="0" w:line="240" w:lineRule="auto"/>
    </w:pPr>
    <w:rPr>
      <w:rFonts w:eastAsia="Calibri"/>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List-Accent22">
    <w:name w:val="Light List - Accent 22"/>
    <w:basedOn w:val="TableNormal"/>
    <w:next w:val="LightList-Accent2"/>
    <w:uiPriority w:val="61"/>
    <w:semiHidden/>
    <w:unhideWhenUsed/>
    <w:rsid w:val="00EE4AA6"/>
    <w:pPr>
      <w:spacing w:after="0" w:line="240" w:lineRule="auto"/>
    </w:pPr>
    <w:rPr>
      <w:rFonts w:eastAsia="Calibri"/>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Shading-Accent33">
    <w:name w:val="Light Shading - Accent 33"/>
    <w:basedOn w:val="TableNormal"/>
    <w:next w:val="LightShading-Accent3"/>
    <w:uiPriority w:val="60"/>
    <w:semiHidden/>
    <w:unhideWhenUsed/>
    <w:rsid w:val="00EE4AA6"/>
    <w:pPr>
      <w:spacing w:after="0" w:line="240" w:lineRule="auto"/>
    </w:pPr>
    <w:rPr>
      <w:rFonts w:eastAsia="Calibri"/>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32">
    <w:name w:val="Light List - Accent 32"/>
    <w:basedOn w:val="TableNormal"/>
    <w:next w:val="LightList-Accent3"/>
    <w:uiPriority w:val="61"/>
    <w:semiHidden/>
    <w:unhideWhenUsed/>
    <w:rsid w:val="00EE4AA6"/>
    <w:pPr>
      <w:spacing w:after="0" w:line="240" w:lineRule="auto"/>
    </w:pPr>
    <w:rPr>
      <w:rFonts w:eastAsia="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
    <w:name w:val="Light Grid - Accent 32"/>
    <w:basedOn w:val="TableNormal"/>
    <w:next w:val="LightGrid-Accent3"/>
    <w:uiPriority w:val="62"/>
    <w:semiHidden/>
    <w:unhideWhenUsed/>
    <w:rsid w:val="00EE4AA6"/>
    <w:pPr>
      <w:spacing w:after="0" w:line="240" w:lineRule="auto"/>
    </w:pPr>
    <w:rPr>
      <w:rFonts w:eastAsia="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
    <w:name w:val="Medium Shading 1 - Accent 32"/>
    <w:basedOn w:val="TableNormal"/>
    <w:next w:val="MediumShading1-Accent3"/>
    <w:uiPriority w:val="63"/>
    <w:semiHidden/>
    <w:unhideWhenUsed/>
    <w:rsid w:val="00EE4AA6"/>
    <w:pPr>
      <w:spacing w:after="0" w:line="240" w:lineRule="auto"/>
    </w:pPr>
    <w:rPr>
      <w:rFonts w:eastAsia="Calibri"/>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EE4AA6"/>
    <w:pPr>
      <w:spacing w:after="0" w:line="240" w:lineRule="auto"/>
    </w:pPr>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GridTable4-Accent213">
    <w:name w:val="Grid Table 4 - Accent 213"/>
    <w:basedOn w:val="TableNormal"/>
    <w:uiPriority w:val="49"/>
    <w:rsid w:val="004C470A"/>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insideV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insideV w:val="nil"/>
        </w:tcBorders>
        <w:shd w:val="clear" w:color="auto" w:fill="B5333C" w:themeFill="accent2"/>
      </w:tcPr>
    </w:tblStylePr>
    <w:tblStylePr w:type="lastRow">
      <w:rPr>
        <w:b/>
        <w:bCs/>
      </w:rPr>
      <w:tblPr/>
      <w:tcPr>
        <w:tcBorders>
          <w:top w:val="double" w:sz="4" w:space="0" w:color="B5333C" w:themeColor="accent2"/>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TableGrid4">
    <w:name w:val="Table Grid4"/>
    <w:basedOn w:val="TableNormal"/>
    <w:next w:val="TableGrid"/>
    <w:uiPriority w:val="59"/>
    <w:rsid w:val="004C4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C4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213">
    <w:name w:val="List Table 4 - Accent 213"/>
    <w:basedOn w:val="TableNormal"/>
    <w:uiPriority w:val="49"/>
    <w:rsid w:val="00A56A48"/>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ListTable4-Accent214">
    <w:name w:val="List Table 4 - Accent 214"/>
    <w:basedOn w:val="TableNormal"/>
    <w:uiPriority w:val="49"/>
    <w:rsid w:val="00A56A48"/>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ListTable4-Accent215">
    <w:name w:val="List Table 4 - Accent 215"/>
    <w:basedOn w:val="TableNormal"/>
    <w:uiPriority w:val="49"/>
    <w:rsid w:val="00920597"/>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character" w:customStyle="1" w:styleId="xhighlight">
    <w:name w:val="x_highlight"/>
    <w:basedOn w:val="DefaultParagraphFont"/>
    <w:rsid w:val="00D8418B"/>
  </w:style>
  <w:style w:type="table" w:customStyle="1" w:styleId="TableGrid6">
    <w:name w:val="Table Grid6"/>
    <w:basedOn w:val="TableNormal"/>
    <w:next w:val="TableGrid"/>
    <w:uiPriority w:val="59"/>
    <w:rsid w:val="00EC5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uiPriority w:val="49"/>
    <w:rsid w:val="00EC5276"/>
    <w:pPr>
      <w:spacing w:after="0" w:line="240" w:lineRule="auto"/>
    </w:pPr>
    <w:tblPr>
      <w:tblStyleRowBandSize w:val="1"/>
      <w:tblStyleColBandSize w:val="1"/>
      <w:tblBorders>
        <w:top w:val="single" w:sz="4" w:space="0" w:color="D5C88A" w:themeColor="accent1" w:themeTint="99"/>
        <w:left w:val="single" w:sz="4" w:space="0" w:color="D5C88A" w:themeColor="accent1" w:themeTint="99"/>
        <w:bottom w:val="single" w:sz="4" w:space="0" w:color="D5C88A" w:themeColor="accent1" w:themeTint="99"/>
        <w:right w:val="single" w:sz="4" w:space="0" w:color="D5C88A" w:themeColor="accent1" w:themeTint="99"/>
        <w:insideH w:val="single" w:sz="4" w:space="0" w:color="D5C88A" w:themeColor="accent1" w:themeTint="99"/>
        <w:insideV w:val="single" w:sz="4" w:space="0" w:color="D5C88A" w:themeColor="accent1" w:themeTint="99"/>
      </w:tblBorders>
    </w:tblPr>
    <w:tblStylePr w:type="firstRow">
      <w:rPr>
        <w:b/>
        <w:bCs/>
        <w:color w:val="FFFFFF" w:themeColor="background1"/>
      </w:rPr>
      <w:tblPr/>
      <w:tcPr>
        <w:tcBorders>
          <w:top w:val="single" w:sz="4" w:space="0" w:color="B7A241" w:themeColor="accent1"/>
          <w:left w:val="single" w:sz="4" w:space="0" w:color="B7A241" w:themeColor="accent1"/>
          <w:bottom w:val="single" w:sz="4" w:space="0" w:color="B7A241" w:themeColor="accent1"/>
          <w:right w:val="single" w:sz="4" w:space="0" w:color="B7A241" w:themeColor="accent1"/>
          <w:insideH w:val="nil"/>
          <w:insideV w:val="nil"/>
        </w:tcBorders>
        <w:shd w:val="clear" w:color="auto" w:fill="B7A241" w:themeFill="accent1"/>
      </w:tcPr>
    </w:tblStylePr>
    <w:tblStylePr w:type="lastRow">
      <w:rPr>
        <w:b/>
        <w:bCs/>
      </w:rPr>
      <w:tblPr/>
      <w:tcPr>
        <w:tcBorders>
          <w:top w:val="double" w:sz="4" w:space="0" w:color="B7A241" w:themeColor="accent1"/>
        </w:tcBorders>
      </w:tcPr>
    </w:tblStylePr>
    <w:tblStylePr w:type="firstCol">
      <w:rPr>
        <w:b/>
        <w:bCs/>
      </w:rPr>
    </w:tblStylePr>
    <w:tblStylePr w:type="lastCol">
      <w:rPr>
        <w:b/>
        <w:bCs/>
      </w:rPr>
    </w:tblStylePr>
    <w:tblStylePr w:type="band1Vert">
      <w:tblPr/>
      <w:tcPr>
        <w:shd w:val="clear" w:color="auto" w:fill="F1ECD8" w:themeFill="accent1" w:themeFillTint="33"/>
      </w:tcPr>
    </w:tblStylePr>
    <w:tblStylePr w:type="band1Horz">
      <w:tblPr/>
      <w:tcPr>
        <w:shd w:val="clear" w:color="auto" w:fill="F1ECD8" w:themeFill="accent1" w:themeFillTint="33"/>
      </w:tcPr>
    </w:tblStylePr>
  </w:style>
  <w:style w:type="table" w:customStyle="1" w:styleId="PlainTable413">
    <w:name w:val="Plain Table 413"/>
    <w:basedOn w:val="TableNormal"/>
    <w:uiPriority w:val="44"/>
    <w:rsid w:val="00EC52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3">
    <w:name w:val="Grid Table 4 - Accent 513"/>
    <w:basedOn w:val="TableNormal"/>
    <w:uiPriority w:val="49"/>
    <w:rsid w:val="00EC5276"/>
    <w:pPr>
      <w:spacing w:after="0" w:line="240" w:lineRule="auto"/>
    </w:pPr>
    <w:tblPr>
      <w:tblStyleRowBandSize w:val="1"/>
      <w:tblStyleColBandSize w:val="1"/>
      <w:tblBorders>
        <w:top w:val="single" w:sz="4" w:space="0" w:color="B464A0" w:themeColor="accent5" w:themeTint="99"/>
        <w:left w:val="single" w:sz="4" w:space="0" w:color="B464A0" w:themeColor="accent5" w:themeTint="99"/>
        <w:bottom w:val="single" w:sz="4" w:space="0" w:color="B464A0" w:themeColor="accent5" w:themeTint="99"/>
        <w:right w:val="single" w:sz="4" w:space="0" w:color="B464A0" w:themeColor="accent5" w:themeTint="99"/>
        <w:insideH w:val="single" w:sz="4" w:space="0" w:color="B464A0" w:themeColor="accent5" w:themeTint="99"/>
        <w:insideV w:val="single" w:sz="4" w:space="0" w:color="B464A0" w:themeColor="accent5" w:themeTint="99"/>
      </w:tblBorders>
    </w:tblPr>
    <w:tblStylePr w:type="firstRow">
      <w:rPr>
        <w:b/>
        <w:bCs/>
        <w:color w:val="FFFFFF" w:themeColor="background1"/>
      </w:rPr>
      <w:tblPr/>
      <w:tcPr>
        <w:tcBorders>
          <w:top w:val="single" w:sz="4" w:space="0" w:color="572A4C" w:themeColor="accent5"/>
          <w:left w:val="single" w:sz="4" w:space="0" w:color="572A4C" w:themeColor="accent5"/>
          <w:bottom w:val="single" w:sz="4" w:space="0" w:color="572A4C" w:themeColor="accent5"/>
          <w:right w:val="single" w:sz="4" w:space="0" w:color="572A4C" w:themeColor="accent5"/>
          <w:insideH w:val="nil"/>
          <w:insideV w:val="nil"/>
        </w:tcBorders>
        <w:shd w:val="clear" w:color="auto" w:fill="572A4C" w:themeFill="accent5"/>
      </w:tcPr>
    </w:tblStylePr>
    <w:tblStylePr w:type="lastRow">
      <w:rPr>
        <w:b/>
        <w:bCs/>
      </w:rPr>
      <w:tblPr/>
      <w:tcPr>
        <w:tcBorders>
          <w:top w:val="double" w:sz="4" w:space="0" w:color="572A4C" w:themeColor="accent5"/>
        </w:tcBorders>
      </w:tcPr>
    </w:tblStylePr>
    <w:tblStylePr w:type="firstCol">
      <w:rPr>
        <w:b/>
        <w:bCs/>
      </w:rPr>
    </w:tblStylePr>
    <w:tblStylePr w:type="lastCol">
      <w:rPr>
        <w:b/>
        <w:bCs/>
      </w:rPr>
    </w:tblStylePr>
    <w:tblStylePr w:type="band1Vert">
      <w:tblPr/>
      <w:tcPr>
        <w:shd w:val="clear" w:color="auto" w:fill="E6CBDF" w:themeFill="accent5" w:themeFillTint="33"/>
      </w:tcPr>
    </w:tblStylePr>
    <w:tblStylePr w:type="band1Horz">
      <w:tblPr/>
      <w:tcPr>
        <w:shd w:val="clear" w:color="auto" w:fill="E6CBDF" w:themeFill="accent5" w:themeFillTint="33"/>
      </w:tcPr>
    </w:tblStylePr>
  </w:style>
  <w:style w:type="table" w:customStyle="1" w:styleId="TableGrid7">
    <w:name w:val="Table Grid7"/>
    <w:basedOn w:val="TableNormal"/>
    <w:next w:val="TableGrid"/>
    <w:uiPriority w:val="59"/>
    <w:rsid w:val="00EC5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4">
    <w:name w:val="Light Shading - Accent 24"/>
    <w:basedOn w:val="TableNormal"/>
    <w:next w:val="LightShading-Accent2"/>
    <w:uiPriority w:val="60"/>
    <w:unhideWhenUsed/>
    <w:rsid w:val="00EC5276"/>
    <w:pPr>
      <w:spacing w:before="240" w:after="0" w:line="240" w:lineRule="auto"/>
      <w:jc w:val="both"/>
    </w:pPr>
    <w:rPr>
      <w:color w:val="87262C" w:themeColor="accent2" w:themeShade="BF"/>
    </w:rPr>
    <w:tblPr>
      <w:tblStyleRowBandSize w:val="1"/>
      <w:tblStyleColBandSize w:val="1"/>
      <w:tblBorders>
        <w:top w:val="single" w:sz="8" w:space="0" w:color="B5333C" w:themeColor="accent2"/>
        <w:bottom w:val="single" w:sz="8" w:space="0" w:color="B5333C" w:themeColor="accent2"/>
      </w:tblBorders>
    </w:tblPr>
    <w:tblStylePr w:type="fir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hemeFill="accent2" w:themeFillTint="3F"/>
      </w:tcPr>
    </w:tblStylePr>
    <w:tblStylePr w:type="band1Horz">
      <w:tblPr/>
      <w:tcPr>
        <w:tcBorders>
          <w:left w:val="nil"/>
          <w:right w:val="nil"/>
          <w:insideH w:val="nil"/>
          <w:insideV w:val="nil"/>
        </w:tcBorders>
        <w:shd w:val="clear" w:color="auto" w:fill="EFC9CB" w:themeFill="accent2" w:themeFillTint="3F"/>
      </w:tcPr>
    </w:tblStylePr>
  </w:style>
  <w:style w:type="table" w:customStyle="1" w:styleId="LightList-Accent23">
    <w:name w:val="Light List - Accent 23"/>
    <w:basedOn w:val="TableNormal"/>
    <w:next w:val="LightList-Accent2"/>
    <w:uiPriority w:val="61"/>
    <w:unhideWhenUsed/>
    <w:rsid w:val="00EC5276"/>
    <w:pPr>
      <w:spacing w:after="0" w:line="240" w:lineRule="auto"/>
    </w:pPr>
    <w:tblPr>
      <w:tblStyleRowBandSize w:val="1"/>
      <w:tblStyleColBandSize w:val="1"/>
      <w:tblBorders>
        <w:top w:val="single" w:sz="8" w:space="0" w:color="B5333C" w:themeColor="accent2"/>
        <w:left w:val="single" w:sz="8" w:space="0" w:color="B5333C" w:themeColor="accent2"/>
        <w:bottom w:val="single" w:sz="8" w:space="0" w:color="B5333C" w:themeColor="accent2"/>
        <w:right w:val="single" w:sz="8" w:space="0" w:color="B5333C" w:themeColor="accent2"/>
      </w:tblBorders>
    </w:tblPr>
    <w:tblStylePr w:type="firstRow">
      <w:pPr>
        <w:spacing w:beforeLines="0" w:beforeAutospacing="0" w:afterLines="0" w:afterAutospacing="0" w:line="240" w:lineRule="auto"/>
      </w:pPr>
      <w:rPr>
        <w:b/>
        <w:bCs/>
        <w:color w:val="FFFFFF" w:themeColor="background1"/>
      </w:rPr>
      <w:tblPr/>
      <w:tcPr>
        <w:shd w:val="clear" w:color="auto" w:fill="B5333C" w:themeFill="accent2"/>
      </w:tcPr>
    </w:tblStylePr>
    <w:tblStylePr w:type="lastRow">
      <w:pPr>
        <w:spacing w:beforeLines="0" w:beforeAutospacing="0" w:afterLines="0" w:afterAutospacing="0" w:line="240" w:lineRule="auto"/>
      </w:pPr>
      <w:rPr>
        <w:b/>
        <w:bCs/>
      </w:rPr>
      <w:tblPr/>
      <w:tcPr>
        <w:tcBorders>
          <w:top w:val="double" w:sz="6" w:space="0" w:color="B5333C" w:themeColor="accent2"/>
          <w:left w:val="single" w:sz="8" w:space="0" w:color="B5333C" w:themeColor="accent2"/>
          <w:bottom w:val="single" w:sz="8" w:space="0" w:color="B5333C" w:themeColor="accent2"/>
          <w:right w:val="single" w:sz="8" w:space="0" w:color="B5333C" w:themeColor="accent2"/>
        </w:tcBorders>
      </w:tcPr>
    </w:tblStylePr>
    <w:tblStylePr w:type="firstCol">
      <w:rPr>
        <w:b/>
        <w:bCs/>
      </w:rPr>
    </w:tblStylePr>
    <w:tblStylePr w:type="lastCol">
      <w:rPr>
        <w:b/>
        <w:bCs/>
      </w:rPr>
    </w:tblStylePr>
    <w:tblStylePr w:type="band1Vert">
      <w:tblPr/>
      <w:tcPr>
        <w:tcBorders>
          <w:top w:val="single" w:sz="8" w:space="0" w:color="B5333C" w:themeColor="accent2"/>
          <w:left w:val="single" w:sz="8" w:space="0" w:color="B5333C" w:themeColor="accent2"/>
          <w:bottom w:val="single" w:sz="8" w:space="0" w:color="B5333C" w:themeColor="accent2"/>
          <w:right w:val="single" w:sz="8" w:space="0" w:color="B5333C" w:themeColor="accent2"/>
        </w:tcBorders>
      </w:tcPr>
    </w:tblStylePr>
    <w:tblStylePr w:type="band1Horz">
      <w:tblPr/>
      <w:tcPr>
        <w:tcBorders>
          <w:top w:val="single" w:sz="8" w:space="0" w:color="B5333C" w:themeColor="accent2"/>
          <w:left w:val="single" w:sz="8" w:space="0" w:color="B5333C" w:themeColor="accent2"/>
          <w:bottom w:val="single" w:sz="8" w:space="0" w:color="B5333C" w:themeColor="accent2"/>
          <w:right w:val="single" w:sz="8" w:space="0" w:color="B5333C" w:themeColor="accent2"/>
        </w:tcBorders>
      </w:tcPr>
    </w:tblStylePr>
  </w:style>
  <w:style w:type="table" w:customStyle="1" w:styleId="LightShading-Accent34">
    <w:name w:val="Light Shading - Accent 34"/>
    <w:basedOn w:val="TableNormal"/>
    <w:next w:val="LightShading-Accent3"/>
    <w:uiPriority w:val="60"/>
    <w:unhideWhenUsed/>
    <w:rsid w:val="00EC5276"/>
    <w:pPr>
      <w:spacing w:before="240" w:after="0" w:line="240" w:lineRule="auto"/>
      <w:jc w:val="both"/>
    </w:pPr>
    <w:rPr>
      <w:color w:val="A32F2E" w:themeColor="accent3" w:themeShade="BF"/>
    </w:rPr>
    <w:tblPr>
      <w:tblStyleRowBandSize w:val="1"/>
      <w:tblStyleColBandSize w:val="1"/>
      <w:tblBorders>
        <w:top w:val="single" w:sz="8" w:space="0" w:color="CC4D4C" w:themeColor="accent3"/>
        <w:bottom w:val="single" w:sz="8" w:space="0" w:color="CC4D4C" w:themeColor="accent3"/>
      </w:tblBorders>
    </w:tblPr>
    <w:tblStylePr w:type="fir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hemeFill="accent3" w:themeFillTint="3F"/>
      </w:tcPr>
    </w:tblStylePr>
    <w:tblStylePr w:type="band1Horz">
      <w:tblPr/>
      <w:tcPr>
        <w:tcBorders>
          <w:left w:val="nil"/>
          <w:right w:val="nil"/>
          <w:insideH w:val="nil"/>
          <w:insideV w:val="nil"/>
        </w:tcBorders>
        <w:shd w:val="clear" w:color="auto" w:fill="F2D2D2" w:themeFill="accent3" w:themeFillTint="3F"/>
      </w:tcPr>
    </w:tblStylePr>
  </w:style>
  <w:style w:type="table" w:customStyle="1" w:styleId="LightList-Accent33">
    <w:name w:val="Light List - Accent 33"/>
    <w:basedOn w:val="TableNormal"/>
    <w:next w:val="LightList-Accent3"/>
    <w:uiPriority w:val="61"/>
    <w:unhideWhenUsed/>
    <w:rsid w:val="00EC5276"/>
    <w:pPr>
      <w:spacing w:after="0" w:line="240" w:lineRule="auto"/>
    </w:pPr>
    <w:tblPr>
      <w:tblStyleRowBandSize w:val="1"/>
      <w:tblStyleColBandSize w:val="1"/>
      <w:tblBorders>
        <w:top w:val="single" w:sz="8" w:space="0" w:color="CC4D4C" w:themeColor="accent3"/>
        <w:left w:val="single" w:sz="8" w:space="0" w:color="CC4D4C" w:themeColor="accent3"/>
        <w:bottom w:val="single" w:sz="8" w:space="0" w:color="CC4D4C" w:themeColor="accent3"/>
        <w:right w:val="single" w:sz="8" w:space="0" w:color="CC4D4C" w:themeColor="accent3"/>
      </w:tblBorders>
    </w:tblPr>
    <w:tblStylePr w:type="firstRow">
      <w:pPr>
        <w:spacing w:beforeLines="0" w:beforeAutospacing="0" w:afterLines="0" w:afterAutospacing="0" w:line="240" w:lineRule="auto"/>
      </w:pPr>
      <w:rPr>
        <w:b/>
        <w:bCs/>
        <w:color w:val="FFFFFF" w:themeColor="background1"/>
      </w:rPr>
      <w:tblPr/>
      <w:tcPr>
        <w:shd w:val="clear" w:color="auto" w:fill="CC4D4C" w:themeFill="accent3"/>
      </w:tcPr>
    </w:tblStylePr>
    <w:tblStylePr w:type="lastRow">
      <w:pPr>
        <w:spacing w:beforeLines="0" w:beforeAutospacing="0" w:afterLines="0" w:afterAutospacing="0" w:line="240" w:lineRule="auto"/>
      </w:pPr>
      <w:rPr>
        <w:b/>
        <w:bCs/>
      </w:rPr>
      <w:tblPr/>
      <w:tcPr>
        <w:tcBorders>
          <w:top w:val="double" w:sz="6" w:space="0" w:color="CC4D4C" w:themeColor="accent3"/>
          <w:left w:val="single" w:sz="8" w:space="0" w:color="CC4D4C" w:themeColor="accent3"/>
          <w:bottom w:val="single" w:sz="8" w:space="0" w:color="CC4D4C" w:themeColor="accent3"/>
          <w:right w:val="single" w:sz="8" w:space="0" w:color="CC4D4C" w:themeColor="accent3"/>
        </w:tcBorders>
      </w:tcPr>
    </w:tblStylePr>
    <w:tblStylePr w:type="firstCol">
      <w:rPr>
        <w:b/>
        <w:bCs/>
      </w:rPr>
    </w:tblStylePr>
    <w:tblStylePr w:type="lastCol">
      <w:rPr>
        <w:b/>
        <w:bCs/>
      </w:rPr>
    </w:tblStylePr>
    <w:tblStylePr w:type="band1Vert">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tblStylePr w:type="band1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style>
  <w:style w:type="table" w:customStyle="1" w:styleId="LightGrid-Accent33">
    <w:name w:val="Light Grid - Accent 33"/>
    <w:basedOn w:val="TableNormal"/>
    <w:next w:val="LightGrid-Accent3"/>
    <w:uiPriority w:val="62"/>
    <w:unhideWhenUsed/>
    <w:rsid w:val="00EC5276"/>
    <w:pPr>
      <w:spacing w:after="0" w:line="240" w:lineRule="auto"/>
    </w:pPr>
    <w:tblPr>
      <w:tblStyleRowBandSize w:val="1"/>
      <w:tblStyleColBandSize w:val="1"/>
      <w:tblBorders>
        <w:top w:val="single" w:sz="8" w:space="0" w:color="CC4D4C" w:themeColor="accent3"/>
        <w:left w:val="single" w:sz="8" w:space="0" w:color="CC4D4C" w:themeColor="accent3"/>
        <w:bottom w:val="single" w:sz="8" w:space="0" w:color="CC4D4C" w:themeColor="accent3"/>
        <w:right w:val="single" w:sz="8" w:space="0" w:color="CC4D4C" w:themeColor="accent3"/>
        <w:insideH w:val="single" w:sz="8" w:space="0" w:color="CC4D4C" w:themeColor="accent3"/>
        <w:insideV w:val="single" w:sz="8" w:space="0" w:color="CC4D4C"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C4D4C" w:themeColor="accent3"/>
          <w:left w:val="single" w:sz="8" w:space="0" w:color="CC4D4C" w:themeColor="accent3"/>
          <w:bottom w:val="single" w:sz="18" w:space="0" w:color="CC4D4C" w:themeColor="accent3"/>
          <w:right w:val="single" w:sz="8" w:space="0" w:color="CC4D4C" w:themeColor="accent3"/>
          <w:insideH w:val="nil"/>
          <w:insideV w:val="single" w:sz="8" w:space="0" w:color="CC4D4C"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C4D4C" w:themeColor="accent3"/>
          <w:left w:val="single" w:sz="8" w:space="0" w:color="CC4D4C" w:themeColor="accent3"/>
          <w:bottom w:val="single" w:sz="8" w:space="0" w:color="CC4D4C" w:themeColor="accent3"/>
          <w:right w:val="single" w:sz="8" w:space="0" w:color="CC4D4C" w:themeColor="accent3"/>
          <w:insideH w:val="nil"/>
          <w:insideV w:val="single" w:sz="8" w:space="0" w:color="CC4D4C"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tblStylePr w:type="band1Vert">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shd w:val="clear" w:color="auto" w:fill="F2D2D2" w:themeFill="accent3" w:themeFillTint="3F"/>
      </w:tcPr>
    </w:tblStylePr>
    <w:tblStylePr w:type="band1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insideV w:val="single" w:sz="8" w:space="0" w:color="CC4D4C" w:themeColor="accent3"/>
        </w:tcBorders>
        <w:shd w:val="clear" w:color="auto" w:fill="F2D2D2" w:themeFill="accent3" w:themeFillTint="3F"/>
      </w:tcPr>
    </w:tblStylePr>
    <w:tblStylePr w:type="band2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insideV w:val="single" w:sz="8" w:space="0" w:color="CC4D4C" w:themeColor="accent3"/>
        </w:tcBorders>
      </w:tcPr>
    </w:tblStylePr>
  </w:style>
  <w:style w:type="table" w:customStyle="1" w:styleId="MediumShading1-Accent33">
    <w:name w:val="Medium Shading 1 - Accent 33"/>
    <w:basedOn w:val="TableNormal"/>
    <w:next w:val="MediumShading1-Accent3"/>
    <w:uiPriority w:val="63"/>
    <w:unhideWhenUsed/>
    <w:rsid w:val="00EC5276"/>
    <w:pPr>
      <w:spacing w:after="0" w:line="240" w:lineRule="auto"/>
    </w:pPr>
    <w:tblPr>
      <w:tblStyleRowBandSize w:val="1"/>
      <w:tblStyleColBandSize w:val="1"/>
      <w:tblBorders>
        <w:top w:val="single" w:sz="8"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single" w:sz="8" w:space="0" w:color="D87978" w:themeColor="accent3"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nil"/>
          <w:insideV w:val="nil"/>
        </w:tcBorders>
        <w:shd w:val="clear" w:color="auto" w:fill="CC4D4C" w:themeFill="accent3"/>
      </w:tcPr>
    </w:tblStylePr>
    <w:tblStylePr w:type="lastRow">
      <w:pPr>
        <w:spacing w:beforeLines="0" w:beforeAutospacing="0" w:afterLines="0" w:afterAutospacing="0" w:line="240" w:lineRule="auto"/>
      </w:pPr>
      <w:rPr>
        <w:b/>
        <w:bCs/>
      </w:rPr>
      <w:tblPr/>
      <w:tcPr>
        <w:tcBorders>
          <w:top w:val="double" w:sz="6"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2D2" w:themeFill="accent3" w:themeFillTint="3F"/>
      </w:tcPr>
    </w:tblStylePr>
    <w:tblStylePr w:type="band1Horz">
      <w:tblPr/>
      <w:tcPr>
        <w:tcBorders>
          <w:insideH w:val="nil"/>
          <w:insideV w:val="nil"/>
        </w:tcBorders>
        <w:shd w:val="clear" w:color="auto" w:fill="F2D2D2" w:themeFill="accent3" w:themeFillTint="3F"/>
      </w:tcPr>
    </w:tblStylePr>
    <w:tblStylePr w:type="band2Horz">
      <w:tblPr/>
      <w:tcPr>
        <w:tcBorders>
          <w:insideH w:val="nil"/>
          <w:insideV w:val="nil"/>
        </w:tcBorders>
      </w:tcPr>
    </w:tblStylePr>
  </w:style>
  <w:style w:type="table" w:customStyle="1" w:styleId="MediumShading2-Accent33">
    <w:name w:val="Medium Shading 2 - Accent 33"/>
    <w:basedOn w:val="TableNormal"/>
    <w:next w:val="MediumShading2-Accent3"/>
    <w:uiPriority w:val="64"/>
    <w:unhideWhenUsed/>
    <w:rsid w:val="00EC5276"/>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4D4C"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4D4C" w:themeFill="accent3"/>
      </w:tcPr>
    </w:tblStylePr>
    <w:tblStylePr w:type="lastCol">
      <w:rPr>
        <w:b/>
        <w:bCs/>
        <w:color w:val="FFFFFF" w:themeColor="background1"/>
      </w:rPr>
      <w:tblPr/>
      <w:tcPr>
        <w:tcBorders>
          <w:left w:val="nil"/>
          <w:right w:val="nil"/>
          <w:insideH w:val="nil"/>
          <w:insideV w:val="nil"/>
        </w:tcBorders>
        <w:shd w:val="clear" w:color="auto" w:fill="CC4D4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3">
    <w:name w:val="Light Shading13"/>
    <w:basedOn w:val="TableNormal"/>
    <w:uiPriority w:val="60"/>
    <w:rsid w:val="00EC5276"/>
    <w:pPr>
      <w:spacing w:before="240"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uiPriority w:val="60"/>
    <w:rsid w:val="00EC5276"/>
    <w:pPr>
      <w:spacing w:before="240" w:after="0" w:line="240" w:lineRule="auto"/>
      <w:jc w:val="both"/>
    </w:pPr>
    <w:rPr>
      <w:color w:val="887830" w:themeColor="accent1" w:themeShade="BF"/>
    </w:rPr>
    <w:tblPr>
      <w:tblStyleRowBandSize w:val="1"/>
      <w:tblStyleColBandSize w:val="1"/>
      <w:tblBorders>
        <w:top w:val="single" w:sz="8" w:space="0" w:color="B7A241" w:themeColor="accent1"/>
        <w:bottom w:val="single" w:sz="8" w:space="0" w:color="B7A241" w:themeColor="accent1"/>
      </w:tblBorders>
    </w:tblPr>
    <w:tblStylePr w:type="firstRow">
      <w:pPr>
        <w:spacing w:beforeLines="0" w:beforeAutospacing="0" w:afterLines="0" w:afterAutospacing="0" w:line="240" w:lineRule="auto"/>
      </w:pPr>
      <w:rPr>
        <w:b/>
        <w:bCs/>
      </w:rPr>
      <w:tblPr/>
      <w:tcPr>
        <w:tcBorders>
          <w:top w:val="single" w:sz="8" w:space="0" w:color="B7A241" w:themeColor="accent1"/>
          <w:left w:val="nil"/>
          <w:bottom w:val="single" w:sz="8" w:space="0" w:color="B7A241"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7A241" w:themeColor="accent1"/>
          <w:left w:val="nil"/>
          <w:bottom w:val="single" w:sz="8" w:space="0" w:color="B7A2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8CF" w:themeFill="accent1" w:themeFillTint="3F"/>
      </w:tcPr>
    </w:tblStylePr>
    <w:tblStylePr w:type="band1Horz">
      <w:tblPr/>
      <w:tcPr>
        <w:tcBorders>
          <w:left w:val="nil"/>
          <w:right w:val="nil"/>
          <w:insideH w:val="nil"/>
          <w:insideV w:val="nil"/>
        </w:tcBorders>
        <w:shd w:val="clear" w:color="auto" w:fill="EEE8CF" w:themeFill="accent1" w:themeFillTint="3F"/>
      </w:tcPr>
    </w:tblStylePr>
  </w:style>
  <w:style w:type="table" w:customStyle="1" w:styleId="LightList13">
    <w:name w:val="Light List13"/>
    <w:basedOn w:val="TableNormal"/>
    <w:uiPriority w:val="61"/>
    <w:rsid w:val="00EC5276"/>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3">
    <w:name w:val="Light List23"/>
    <w:basedOn w:val="TableNormal"/>
    <w:uiPriority w:val="61"/>
    <w:rsid w:val="00EC5276"/>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313">
    <w:name w:val="Light Shading - Accent 313"/>
    <w:basedOn w:val="TableNormal"/>
    <w:uiPriority w:val="60"/>
    <w:rsid w:val="00EC5276"/>
    <w:pPr>
      <w:spacing w:after="0" w:line="240" w:lineRule="auto"/>
    </w:pPr>
    <w:rPr>
      <w:color w:val="A32F2E" w:themeColor="accent3" w:themeShade="BF"/>
    </w:rPr>
    <w:tblPr>
      <w:tblStyleRowBandSize w:val="1"/>
      <w:tblStyleColBandSize w:val="1"/>
      <w:tblBorders>
        <w:top w:val="single" w:sz="8" w:space="0" w:color="CC4D4C" w:themeColor="accent3"/>
        <w:bottom w:val="single" w:sz="8" w:space="0" w:color="CC4D4C" w:themeColor="accent3"/>
      </w:tblBorders>
    </w:tblPr>
    <w:tblStylePr w:type="fir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hemeFill="accent3" w:themeFillTint="3F"/>
      </w:tcPr>
    </w:tblStylePr>
    <w:tblStylePr w:type="band1Horz">
      <w:tblPr/>
      <w:tcPr>
        <w:tcBorders>
          <w:left w:val="nil"/>
          <w:right w:val="nil"/>
          <w:insideH w:val="nil"/>
          <w:insideV w:val="nil"/>
        </w:tcBorders>
        <w:shd w:val="clear" w:color="auto" w:fill="F2D2D2" w:themeFill="accent3" w:themeFillTint="3F"/>
      </w:tcPr>
    </w:tblStylePr>
  </w:style>
  <w:style w:type="table" w:customStyle="1" w:styleId="LightShading-Accent213">
    <w:name w:val="Light Shading - Accent 213"/>
    <w:basedOn w:val="TableNormal"/>
    <w:uiPriority w:val="60"/>
    <w:rsid w:val="00EC5276"/>
    <w:pPr>
      <w:spacing w:after="0" w:line="240" w:lineRule="auto"/>
    </w:pPr>
    <w:rPr>
      <w:color w:val="87262C" w:themeColor="accent2" w:themeShade="BF"/>
    </w:rPr>
    <w:tblPr>
      <w:tblStyleRowBandSize w:val="1"/>
      <w:tblStyleColBandSize w:val="1"/>
      <w:tblBorders>
        <w:top w:val="single" w:sz="8" w:space="0" w:color="B5333C" w:themeColor="accent2"/>
        <w:bottom w:val="single" w:sz="8" w:space="0" w:color="B5333C" w:themeColor="accent2"/>
      </w:tblBorders>
    </w:tblPr>
    <w:tblStylePr w:type="fir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hemeFill="accent2" w:themeFillTint="3F"/>
      </w:tcPr>
    </w:tblStylePr>
    <w:tblStylePr w:type="band1Horz">
      <w:tblPr/>
      <w:tcPr>
        <w:tcBorders>
          <w:left w:val="nil"/>
          <w:right w:val="nil"/>
          <w:insideH w:val="nil"/>
          <w:insideV w:val="nil"/>
        </w:tcBorders>
        <w:shd w:val="clear" w:color="auto" w:fill="EFC9CB" w:themeFill="accent2" w:themeFillTint="3F"/>
      </w:tcPr>
    </w:tblStylePr>
  </w:style>
  <w:style w:type="table" w:customStyle="1" w:styleId="TableGrid13">
    <w:name w:val="Table Grid13"/>
    <w:basedOn w:val="TableNormal"/>
    <w:uiPriority w:val="59"/>
    <w:rsid w:val="00EC527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4">
    <w:name w:val="Grid Table 4 - Accent 214"/>
    <w:basedOn w:val="TableNormal"/>
    <w:uiPriority w:val="49"/>
    <w:rsid w:val="00EC5276"/>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insideV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insideV w:val="nil"/>
        </w:tcBorders>
        <w:shd w:val="clear" w:color="auto" w:fill="B5333C" w:themeFill="accent2"/>
      </w:tcPr>
    </w:tblStylePr>
    <w:tblStylePr w:type="lastRow">
      <w:rPr>
        <w:b/>
        <w:bCs/>
      </w:rPr>
      <w:tblPr/>
      <w:tcPr>
        <w:tcBorders>
          <w:top w:val="double" w:sz="4" w:space="0" w:color="B5333C" w:themeColor="accent2"/>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2-Accent313">
    <w:name w:val="Grid Table 2 - Accent 313"/>
    <w:basedOn w:val="TableNormal"/>
    <w:uiPriority w:val="47"/>
    <w:rsid w:val="00EC5276"/>
    <w:pPr>
      <w:spacing w:after="0" w:line="240" w:lineRule="auto"/>
    </w:pPr>
    <w:tblPr>
      <w:tblStyleRowBandSize w:val="1"/>
      <w:tblStyleColBandSize w:val="1"/>
      <w:tblBorders>
        <w:top w:val="single" w:sz="2" w:space="0" w:color="E09393" w:themeColor="accent3" w:themeTint="99"/>
        <w:bottom w:val="single" w:sz="2" w:space="0" w:color="E09393" w:themeColor="accent3" w:themeTint="99"/>
        <w:insideH w:val="single" w:sz="2" w:space="0" w:color="E09393" w:themeColor="accent3" w:themeTint="99"/>
        <w:insideV w:val="single" w:sz="2" w:space="0" w:color="E09393" w:themeColor="accent3" w:themeTint="99"/>
      </w:tblBorders>
    </w:tblPr>
    <w:tblStylePr w:type="firstRow">
      <w:rPr>
        <w:b/>
        <w:bCs/>
      </w:rPr>
      <w:tblPr/>
      <w:tcPr>
        <w:tcBorders>
          <w:top w:val="nil"/>
          <w:bottom w:val="single" w:sz="12" w:space="0" w:color="E09393" w:themeColor="accent3" w:themeTint="99"/>
          <w:insideH w:val="nil"/>
          <w:insideV w:val="nil"/>
        </w:tcBorders>
        <w:shd w:val="clear" w:color="auto" w:fill="FFFFFF" w:themeFill="background1"/>
      </w:tcPr>
    </w:tblStylePr>
    <w:tblStylePr w:type="lastRow">
      <w:rPr>
        <w:b/>
        <w:bCs/>
      </w:rPr>
      <w:tblPr/>
      <w:tcPr>
        <w:tcBorders>
          <w:top w:val="double" w:sz="2" w:space="0" w:color="E0939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BDB" w:themeFill="accent3" w:themeFillTint="33"/>
      </w:tcPr>
    </w:tblStylePr>
    <w:tblStylePr w:type="band1Horz">
      <w:tblPr/>
      <w:tcPr>
        <w:shd w:val="clear" w:color="auto" w:fill="F4DBDB" w:themeFill="accent3" w:themeFillTint="33"/>
      </w:tcPr>
    </w:tblStylePr>
  </w:style>
  <w:style w:type="table" w:customStyle="1" w:styleId="ListTable3-Accent413">
    <w:name w:val="List Table 3 - Accent 413"/>
    <w:basedOn w:val="TableNormal"/>
    <w:uiPriority w:val="48"/>
    <w:rsid w:val="00EC5276"/>
    <w:pPr>
      <w:spacing w:after="0" w:line="240" w:lineRule="auto"/>
    </w:pPr>
    <w:tblPr>
      <w:tblStyleRowBandSize w:val="1"/>
      <w:tblStyleColBandSize w:val="1"/>
      <w:tblBorders>
        <w:top w:val="single" w:sz="4" w:space="0" w:color="D6542C" w:themeColor="accent4"/>
        <w:left w:val="single" w:sz="4" w:space="0" w:color="D6542C" w:themeColor="accent4"/>
        <w:bottom w:val="single" w:sz="4" w:space="0" w:color="D6542C" w:themeColor="accent4"/>
        <w:right w:val="single" w:sz="4" w:space="0" w:color="D6542C" w:themeColor="accent4"/>
      </w:tblBorders>
    </w:tblPr>
    <w:tblStylePr w:type="firstRow">
      <w:rPr>
        <w:b/>
        <w:bCs/>
        <w:color w:val="FFFFFF" w:themeColor="background1"/>
      </w:rPr>
      <w:tblPr/>
      <w:tcPr>
        <w:shd w:val="clear" w:color="auto" w:fill="D6542C" w:themeFill="accent4"/>
      </w:tcPr>
    </w:tblStylePr>
    <w:tblStylePr w:type="lastRow">
      <w:rPr>
        <w:b/>
        <w:bCs/>
      </w:rPr>
      <w:tblPr/>
      <w:tcPr>
        <w:tcBorders>
          <w:top w:val="double" w:sz="4" w:space="0" w:color="D654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542C" w:themeColor="accent4"/>
          <w:right w:val="single" w:sz="4" w:space="0" w:color="D6542C" w:themeColor="accent4"/>
        </w:tcBorders>
      </w:tcPr>
    </w:tblStylePr>
    <w:tblStylePr w:type="band1Horz">
      <w:tblPr/>
      <w:tcPr>
        <w:tcBorders>
          <w:top w:val="single" w:sz="4" w:space="0" w:color="D6542C" w:themeColor="accent4"/>
          <w:bottom w:val="single" w:sz="4" w:space="0" w:color="D654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542C" w:themeColor="accent4"/>
          <w:left w:val="nil"/>
        </w:tcBorders>
      </w:tcPr>
    </w:tblStylePr>
    <w:tblStylePr w:type="swCell">
      <w:tblPr/>
      <w:tcPr>
        <w:tcBorders>
          <w:top w:val="double" w:sz="4" w:space="0" w:color="D6542C" w:themeColor="accent4"/>
          <w:right w:val="nil"/>
        </w:tcBorders>
      </w:tcPr>
    </w:tblStylePr>
  </w:style>
  <w:style w:type="table" w:customStyle="1" w:styleId="ListTable4-Accent216">
    <w:name w:val="List Table 4 - Accent 216"/>
    <w:basedOn w:val="TableNormal"/>
    <w:uiPriority w:val="49"/>
    <w:rsid w:val="00EC5276"/>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tcBorders>
        <w:shd w:val="clear" w:color="auto" w:fill="B5333C" w:themeFill="accent2"/>
      </w:tcPr>
    </w:tblStylePr>
    <w:tblStylePr w:type="lastRow">
      <w:rPr>
        <w:b/>
        <w:bCs/>
      </w:rPr>
      <w:tblPr/>
      <w:tcPr>
        <w:tcBorders>
          <w:top w:val="double" w:sz="4" w:space="0" w:color="DA7C82" w:themeColor="accent2" w:themeTint="99"/>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5Dark-Accent113">
    <w:name w:val="Grid Table 5 Dark - Accent 113"/>
    <w:basedOn w:val="TableNormal"/>
    <w:uiPriority w:val="50"/>
    <w:rsid w:val="00EC52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C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A2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A2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A2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A241" w:themeFill="accent1"/>
      </w:tcPr>
    </w:tblStylePr>
    <w:tblStylePr w:type="band1Vert">
      <w:tblPr/>
      <w:tcPr>
        <w:shd w:val="clear" w:color="auto" w:fill="E3DAB1" w:themeFill="accent1" w:themeFillTint="66"/>
      </w:tcPr>
    </w:tblStylePr>
    <w:tblStylePr w:type="band1Horz">
      <w:tblPr/>
      <w:tcPr>
        <w:shd w:val="clear" w:color="auto" w:fill="E3DAB1" w:themeFill="accent1" w:themeFillTint="66"/>
      </w:tcPr>
    </w:tblStylePr>
  </w:style>
  <w:style w:type="table" w:customStyle="1" w:styleId="ListTable1Light-Accent213">
    <w:name w:val="List Table 1 Light - Accent 213"/>
    <w:basedOn w:val="TableNormal"/>
    <w:uiPriority w:val="46"/>
    <w:rsid w:val="00EC5276"/>
    <w:pPr>
      <w:spacing w:after="0" w:line="240" w:lineRule="auto"/>
    </w:pPr>
    <w:tblPr>
      <w:tblStyleRowBandSize w:val="1"/>
      <w:tblStyleColBandSize w:val="1"/>
    </w:tblPr>
    <w:tblStylePr w:type="firstRow">
      <w:rPr>
        <w:b/>
        <w:bCs/>
      </w:rPr>
      <w:tblPr/>
      <w:tcPr>
        <w:tcBorders>
          <w:bottom w:val="single" w:sz="4" w:space="0" w:color="DA7C82" w:themeColor="accent2" w:themeTint="99"/>
        </w:tcBorders>
      </w:tcPr>
    </w:tblStylePr>
    <w:tblStylePr w:type="lastRow">
      <w:rPr>
        <w:b/>
        <w:bCs/>
      </w:rPr>
      <w:tblPr/>
      <w:tcPr>
        <w:tcBorders>
          <w:top w:val="single" w:sz="4" w:space="0" w:color="DA7C82" w:themeColor="accent2" w:themeTint="99"/>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ListTable1Light-Accent113">
    <w:name w:val="List Table 1 Light - Accent 113"/>
    <w:basedOn w:val="TableNormal"/>
    <w:uiPriority w:val="46"/>
    <w:rsid w:val="00EC5276"/>
    <w:pPr>
      <w:spacing w:after="0" w:line="240" w:lineRule="auto"/>
    </w:pPr>
    <w:tblPr>
      <w:tblStyleRowBandSize w:val="1"/>
      <w:tblStyleColBandSize w:val="1"/>
    </w:tblPr>
    <w:tblStylePr w:type="firstRow">
      <w:rPr>
        <w:b/>
        <w:bCs/>
      </w:rPr>
      <w:tblPr/>
      <w:tcPr>
        <w:tcBorders>
          <w:bottom w:val="single" w:sz="4" w:space="0" w:color="D5C88A" w:themeColor="accent1" w:themeTint="99"/>
        </w:tcBorders>
      </w:tcPr>
    </w:tblStylePr>
    <w:tblStylePr w:type="lastRow">
      <w:rPr>
        <w:b/>
        <w:bCs/>
      </w:rPr>
      <w:tblPr/>
      <w:tcPr>
        <w:tcBorders>
          <w:top w:val="single" w:sz="4" w:space="0" w:color="D5C88A" w:themeColor="accent1" w:themeTint="99"/>
        </w:tcBorders>
      </w:tcPr>
    </w:tblStylePr>
    <w:tblStylePr w:type="firstCol">
      <w:rPr>
        <w:b/>
        <w:bCs/>
      </w:rPr>
    </w:tblStylePr>
    <w:tblStylePr w:type="lastCol">
      <w:rPr>
        <w:b/>
        <w:bCs/>
      </w:rPr>
    </w:tblStylePr>
    <w:tblStylePr w:type="band1Vert">
      <w:tblPr/>
      <w:tcPr>
        <w:shd w:val="clear" w:color="auto" w:fill="F1ECD8" w:themeFill="accent1" w:themeFillTint="33"/>
      </w:tcPr>
    </w:tblStylePr>
    <w:tblStylePr w:type="band1Horz">
      <w:tblPr/>
      <w:tcPr>
        <w:shd w:val="clear" w:color="auto" w:fill="F1ECD8" w:themeFill="accent1" w:themeFillTint="33"/>
      </w:tcPr>
    </w:tblStylePr>
  </w:style>
  <w:style w:type="table" w:customStyle="1" w:styleId="GridTable1Light-Accent213">
    <w:name w:val="Grid Table 1 Light - Accent 213"/>
    <w:basedOn w:val="TableNormal"/>
    <w:uiPriority w:val="46"/>
    <w:rsid w:val="00EC5276"/>
    <w:pPr>
      <w:spacing w:after="0" w:line="240" w:lineRule="auto"/>
    </w:pPr>
    <w:tblPr>
      <w:tblStyleRowBandSize w:val="1"/>
      <w:tblStyleColBandSize w:val="1"/>
      <w:tblBorders>
        <w:top w:val="single" w:sz="4" w:space="0" w:color="E6A8AC" w:themeColor="accent2" w:themeTint="66"/>
        <w:left w:val="single" w:sz="4" w:space="0" w:color="E6A8AC" w:themeColor="accent2" w:themeTint="66"/>
        <w:bottom w:val="single" w:sz="4" w:space="0" w:color="E6A8AC" w:themeColor="accent2" w:themeTint="66"/>
        <w:right w:val="single" w:sz="4" w:space="0" w:color="E6A8AC" w:themeColor="accent2" w:themeTint="66"/>
        <w:insideH w:val="single" w:sz="4" w:space="0" w:color="E6A8AC" w:themeColor="accent2" w:themeTint="66"/>
        <w:insideV w:val="single" w:sz="4" w:space="0" w:color="E6A8AC" w:themeColor="accent2" w:themeTint="66"/>
      </w:tblBorders>
    </w:tblPr>
    <w:tblStylePr w:type="firstRow">
      <w:rPr>
        <w:b/>
        <w:bCs/>
      </w:rPr>
      <w:tblPr/>
      <w:tcPr>
        <w:tcBorders>
          <w:bottom w:val="single" w:sz="12" w:space="0" w:color="DA7C82" w:themeColor="accent2" w:themeTint="99"/>
        </w:tcBorders>
      </w:tcPr>
    </w:tblStylePr>
    <w:tblStylePr w:type="lastRow">
      <w:rPr>
        <w:b/>
        <w:bCs/>
      </w:rPr>
      <w:tblPr/>
      <w:tcPr>
        <w:tcBorders>
          <w:top w:val="double" w:sz="2" w:space="0" w:color="DA7C82" w:themeColor="accent2" w:themeTint="99"/>
        </w:tcBorders>
      </w:tcPr>
    </w:tblStylePr>
    <w:tblStylePr w:type="firstCol">
      <w:rPr>
        <w:b/>
        <w:bCs/>
      </w:rPr>
    </w:tblStylePr>
    <w:tblStylePr w:type="lastCol">
      <w:rPr>
        <w:b/>
        <w:bCs/>
      </w:rPr>
    </w:tblStylePr>
  </w:style>
  <w:style w:type="table" w:customStyle="1" w:styleId="GridTable2-Accent213">
    <w:name w:val="Grid Table 2 - Accent 213"/>
    <w:basedOn w:val="TableNormal"/>
    <w:uiPriority w:val="47"/>
    <w:rsid w:val="00EC5276"/>
    <w:pPr>
      <w:spacing w:after="0" w:line="240" w:lineRule="auto"/>
    </w:pPr>
    <w:tblPr>
      <w:tblStyleRowBandSize w:val="1"/>
      <w:tblStyleColBandSize w:val="1"/>
      <w:tblBorders>
        <w:top w:val="single" w:sz="2" w:space="0" w:color="DA7C82" w:themeColor="accent2" w:themeTint="99"/>
        <w:bottom w:val="single" w:sz="2" w:space="0" w:color="DA7C82" w:themeColor="accent2" w:themeTint="99"/>
        <w:insideH w:val="single" w:sz="2" w:space="0" w:color="DA7C82" w:themeColor="accent2" w:themeTint="99"/>
        <w:insideV w:val="single" w:sz="2" w:space="0" w:color="DA7C82" w:themeColor="accent2" w:themeTint="99"/>
      </w:tblBorders>
    </w:tblPr>
    <w:tblStylePr w:type="firstRow">
      <w:rPr>
        <w:b/>
        <w:bCs/>
      </w:rPr>
      <w:tblPr/>
      <w:tcPr>
        <w:tcBorders>
          <w:top w:val="nil"/>
          <w:bottom w:val="single" w:sz="12" w:space="0" w:color="DA7C82" w:themeColor="accent2" w:themeTint="99"/>
          <w:insideH w:val="nil"/>
          <w:insideV w:val="nil"/>
        </w:tcBorders>
        <w:shd w:val="clear" w:color="auto" w:fill="FFFFFF" w:themeFill="background1"/>
      </w:tcPr>
    </w:tblStylePr>
    <w:tblStylePr w:type="lastRow">
      <w:rPr>
        <w:b/>
        <w:bCs/>
      </w:rPr>
      <w:tblPr/>
      <w:tcPr>
        <w:tcBorders>
          <w:top w:val="double" w:sz="2" w:space="0" w:color="DA7C8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1Light13">
    <w:name w:val="Grid Table 1 Light13"/>
    <w:basedOn w:val="TableNormal"/>
    <w:uiPriority w:val="46"/>
    <w:rsid w:val="00EC52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112">
    <w:name w:val="Grid Table 4 - Accent 1112"/>
    <w:basedOn w:val="TableNormal"/>
    <w:uiPriority w:val="49"/>
    <w:rsid w:val="00EC5276"/>
    <w:pPr>
      <w:spacing w:after="0" w:line="240" w:lineRule="auto"/>
    </w:pPr>
    <w:tblPr>
      <w:tblStyleRowBandSize w:val="1"/>
      <w:tblStyleColBandSize w:val="1"/>
      <w:tblBorders>
        <w:top w:val="single" w:sz="4" w:space="0" w:color="D5C88A" w:themeColor="accent1" w:themeTint="99"/>
        <w:left w:val="single" w:sz="4" w:space="0" w:color="D5C88A" w:themeColor="accent1" w:themeTint="99"/>
        <w:bottom w:val="single" w:sz="4" w:space="0" w:color="D5C88A" w:themeColor="accent1" w:themeTint="99"/>
        <w:right w:val="single" w:sz="4" w:space="0" w:color="D5C88A" w:themeColor="accent1" w:themeTint="99"/>
        <w:insideH w:val="single" w:sz="4" w:space="0" w:color="D5C88A" w:themeColor="accent1" w:themeTint="99"/>
        <w:insideV w:val="single" w:sz="4" w:space="0" w:color="D5C88A" w:themeColor="accent1" w:themeTint="99"/>
      </w:tblBorders>
    </w:tblPr>
    <w:tblStylePr w:type="firstRow">
      <w:rPr>
        <w:b/>
        <w:bCs/>
        <w:color w:val="FFFFFF" w:themeColor="background1"/>
      </w:rPr>
      <w:tblPr/>
      <w:tcPr>
        <w:tcBorders>
          <w:top w:val="single" w:sz="4" w:space="0" w:color="B7A241" w:themeColor="accent1"/>
          <w:left w:val="single" w:sz="4" w:space="0" w:color="B7A241" w:themeColor="accent1"/>
          <w:bottom w:val="single" w:sz="4" w:space="0" w:color="B7A241" w:themeColor="accent1"/>
          <w:right w:val="single" w:sz="4" w:space="0" w:color="B7A241" w:themeColor="accent1"/>
          <w:insideH w:val="nil"/>
          <w:insideV w:val="nil"/>
        </w:tcBorders>
        <w:shd w:val="clear" w:color="auto" w:fill="B7A241" w:themeFill="accent1"/>
      </w:tcPr>
    </w:tblStylePr>
    <w:tblStylePr w:type="lastRow">
      <w:rPr>
        <w:b/>
        <w:bCs/>
      </w:rPr>
      <w:tblPr/>
      <w:tcPr>
        <w:tcBorders>
          <w:top w:val="double" w:sz="4" w:space="0" w:color="B7A241" w:themeColor="accent1"/>
        </w:tcBorders>
      </w:tcPr>
    </w:tblStylePr>
    <w:tblStylePr w:type="firstCol">
      <w:rPr>
        <w:b/>
        <w:bCs/>
      </w:rPr>
    </w:tblStylePr>
    <w:tblStylePr w:type="lastCol">
      <w:rPr>
        <w:b/>
        <w:bCs/>
      </w:rPr>
    </w:tblStylePr>
    <w:tblStylePr w:type="band1Vert">
      <w:tblPr/>
      <w:tcPr>
        <w:shd w:val="clear" w:color="auto" w:fill="F1ECD8" w:themeFill="accent1" w:themeFillTint="33"/>
      </w:tcPr>
    </w:tblStylePr>
    <w:tblStylePr w:type="band1Horz">
      <w:tblPr/>
      <w:tcPr>
        <w:shd w:val="clear" w:color="auto" w:fill="F1ECD8" w:themeFill="accent1" w:themeFillTint="33"/>
      </w:tcPr>
    </w:tblStylePr>
  </w:style>
  <w:style w:type="table" w:customStyle="1" w:styleId="PlainTable4112">
    <w:name w:val="Plain Table 4112"/>
    <w:basedOn w:val="TableNormal"/>
    <w:uiPriority w:val="44"/>
    <w:rsid w:val="00EC52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12">
    <w:name w:val="Grid Table 4 - Accent 5112"/>
    <w:basedOn w:val="TableNormal"/>
    <w:uiPriority w:val="49"/>
    <w:rsid w:val="00EC5276"/>
    <w:pPr>
      <w:spacing w:after="0" w:line="240" w:lineRule="auto"/>
    </w:pPr>
    <w:tblPr>
      <w:tblStyleRowBandSize w:val="1"/>
      <w:tblStyleColBandSize w:val="1"/>
      <w:tblBorders>
        <w:top w:val="single" w:sz="4" w:space="0" w:color="B464A0" w:themeColor="accent5" w:themeTint="99"/>
        <w:left w:val="single" w:sz="4" w:space="0" w:color="B464A0" w:themeColor="accent5" w:themeTint="99"/>
        <w:bottom w:val="single" w:sz="4" w:space="0" w:color="B464A0" w:themeColor="accent5" w:themeTint="99"/>
        <w:right w:val="single" w:sz="4" w:space="0" w:color="B464A0" w:themeColor="accent5" w:themeTint="99"/>
        <w:insideH w:val="single" w:sz="4" w:space="0" w:color="B464A0" w:themeColor="accent5" w:themeTint="99"/>
        <w:insideV w:val="single" w:sz="4" w:space="0" w:color="B464A0" w:themeColor="accent5" w:themeTint="99"/>
      </w:tblBorders>
    </w:tblPr>
    <w:tblStylePr w:type="firstRow">
      <w:rPr>
        <w:b/>
        <w:bCs/>
        <w:color w:val="FFFFFF" w:themeColor="background1"/>
      </w:rPr>
      <w:tblPr/>
      <w:tcPr>
        <w:tcBorders>
          <w:top w:val="single" w:sz="4" w:space="0" w:color="572A4C" w:themeColor="accent5"/>
          <w:left w:val="single" w:sz="4" w:space="0" w:color="572A4C" w:themeColor="accent5"/>
          <w:bottom w:val="single" w:sz="4" w:space="0" w:color="572A4C" w:themeColor="accent5"/>
          <w:right w:val="single" w:sz="4" w:space="0" w:color="572A4C" w:themeColor="accent5"/>
          <w:insideH w:val="nil"/>
          <w:insideV w:val="nil"/>
        </w:tcBorders>
        <w:shd w:val="clear" w:color="auto" w:fill="572A4C" w:themeFill="accent5"/>
      </w:tcPr>
    </w:tblStylePr>
    <w:tblStylePr w:type="lastRow">
      <w:rPr>
        <w:b/>
        <w:bCs/>
      </w:rPr>
      <w:tblPr/>
      <w:tcPr>
        <w:tcBorders>
          <w:top w:val="double" w:sz="4" w:space="0" w:color="572A4C" w:themeColor="accent5"/>
        </w:tcBorders>
      </w:tcPr>
    </w:tblStylePr>
    <w:tblStylePr w:type="firstCol">
      <w:rPr>
        <w:b/>
        <w:bCs/>
      </w:rPr>
    </w:tblStylePr>
    <w:tblStylePr w:type="lastCol">
      <w:rPr>
        <w:b/>
        <w:bCs/>
      </w:rPr>
    </w:tblStylePr>
    <w:tblStylePr w:type="band1Vert">
      <w:tblPr/>
      <w:tcPr>
        <w:shd w:val="clear" w:color="auto" w:fill="E6CBDF" w:themeFill="accent5" w:themeFillTint="33"/>
      </w:tcPr>
    </w:tblStylePr>
    <w:tblStylePr w:type="band1Horz">
      <w:tblPr/>
      <w:tcPr>
        <w:shd w:val="clear" w:color="auto" w:fill="E6CBDF" w:themeFill="accent5" w:themeFillTint="33"/>
      </w:tcPr>
    </w:tblStylePr>
  </w:style>
  <w:style w:type="table" w:customStyle="1" w:styleId="TableGrid22">
    <w:name w:val="Table Grid22"/>
    <w:basedOn w:val="TableNormal"/>
    <w:next w:val="TableGrid"/>
    <w:uiPriority w:val="59"/>
    <w:rsid w:val="00EC5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2">
    <w:name w:val="Light Shading - Accent 222"/>
    <w:basedOn w:val="TableNormal"/>
    <w:next w:val="LightShading-Accent2"/>
    <w:uiPriority w:val="60"/>
    <w:unhideWhenUsed/>
    <w:rsid w:val="00EC5276"/>
    <w:pPr>
      <w:spacing w:before="240" w:after="0" w:line="240" w:lineRule="auto"/>
      <w:jc w:val="both"/>
    </w:pPr>
    <w:rPr>
      <w:color w:val="87262C" w:themeColor="accent2" w:themeShade="BF"/>
    </w:rPr>
    <w:tblPr>
      <w:tblStyleRowBandSize w:val="1"/>
      <w:tblStyleColBandSize w:val="1"/>
      <w:tblBorders>
        <w:top w:val="single" w:sz="8" w:space="0" w:color="B5333C" w:themeColor="accent2"/>
        <w:bottom w:val="single" w:sz="8" w:space="0" w:color="B5333C" w:themeColor="accent2"/>
      </w:tblBorders>
    </w:tblPr>
    <w:tblStylePr w:type="fir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hemeFill="accent2" w:themeFillTint="3F"/>
      </w:tcPr>
    </w:tblStylePr>
    <w:tblStylePr w:type="band1Horz">
      <w:tblPr/>
      <w:tcPr>
        <w:tcBorders>
          <w:left w:val="nil"/>
          <w:right w:val="nil"/>
          <w:insideH w:val="nil"/>
          <w:insideV w:val="nil"/>
        </w:tcBorders>
        <w:shd w:val="clear" w:color="auto" w:fill="EFC9CB" w:themeFill="accent2" w:themeFillTint="3F"/>
      </w:tcPr>
    </w:tblStylePr>
  </w:style>
  <w:style w:type="table" w:customStyle="1" w:styleId="LightList-Accent212">
    <w:name w:val="Light List - Accent 212"/>
    <w:basedOn w:val="TableNormal"/>
    <w:next w:val="LightList-Accent2"/>
    <w:uiPriority w:val="61"/>
    <w:unhideWhenUsed/>
    <w:rsid w:val="00EC5276"/>
    <w:pPr>
      <w:spacing w:after="0" w:line="240" w:lineRule="auto"/>
    </w:pPr>
    <w:tblPr>
      <w:tblStyleRowBandSize w:val="1"/>
      <w:tblStyleColBandSize w:val="1"/>
      <w:tblBorders>
        <w:top w:val="single" w:sz="8" w:space="0" w:color="B5333C" w:themeColor="accent2"/>
        <w:left w:val="single" w:sz="8" w:space="0" w:color="B5333C" w:themeColor="accent2"/>
        <w:bottom w:val="single" w:sz="8" w:space="0" w:color="B5333C" w:themeColor="accent2"/>
        <w:right w:val="single" w:sz="8" w:space="0" w:color="B5333C" w:themeColor="accent2"/>
      </w:tblBorders>
    </w:tblPr>
    <w:tblStylePr w:type="firstRow">
      <w:pPr>
        <w:spacing w:beforeLines="0" w:beforeAutospacing="0" w:afterLines="0" w:afterAutospacing="0" w:line="240" w:lineRule="auto"/>
      </w:pPr>
      <w:rPr>
        <w:b/>
        <w:bCs/>
        <w:color w:val="FFFFFF" w:themeColor="background1"/>
      </w:rPr>
      <w:tblPr/>
      <w:tcPr>
        <w:shd w:val="clear" w:color="auto" w:fill="B5333C" w:themeFill="accent2"/>
      </w:tcPr>
    </w:tblStylePr>
    <w:tblStylePr w:type="lastRow">
      <w:pPr>
        <w:spacing w:beforeLines="0" w:beforeAutospacing="0" w:afterLines="0" w:afterAutospacing="0" w:line="240" w:lineRule="auto"/>
      </w:pPr>
      <w:rPr>
        <w:b/>
        <w:bCs/>
      </w:rPr>
      <w:tblPr/>
      <w:tcPr>
        <w:tcBorders>
          <w:top w:val="double" w:sz="6" w:space="0" w:color="B5333C" w:themeColor="accent2"/>
          <w:left w:val="single" w:sz="8" w:space="0" w:color="B5333C" w:themeColor="accent2"/>
          <w:bottom w:val="single" w:sz="8" w:space="0" w:color="B5333C" w:themeColor="accent2"/>
          <w:right w:val="single" w:sz="8" w:space="0" w:color="B5333C" w:themeColor="accent2"/>
        </w:tcBorders>
      </w:tcPr>
    </w:tblStylePr>
    <w:tblStylePr w:type="firstCol">
      <w:rPr>
        <w:b/>
        <w:bCs/>
      </w:rPr>
    </w:tblStylePr>
    <w:tblStylePr w:type="lastCol">
      <w:rPr>
        <w:b/>
        <w:bCs/>
      </w:rPr>
    </w:tblStylePr>
    <w:tblStylePr w:type="band1Vert">
      <w:tblPr/>
      <w:tcPr>
        <w:tcBorders>
          <w:top w:val="single" w:sz="8" w:space="0" w:color="B5333C" w:themeColor="accent2"/>
          <w:left w:val="single" w:sz="8" w:space="0" w:color="B5333C" w:themeColor="accent2"/>
          <w:bottom w:val="single" w:sz="8" w:space="0" w:color="B5333C" w:themeColor="accent2"/>
          <w:right w:val="single" w:sz="8" w:space="0" w:color="B5333C" w:themeColor="accent2"/>
        </w:tcBorders>
      </w:tcPr>
    </w:tblStylePr>
    <w:tblStylePr w:type="band1Horz">
      <w:tblPr/>
      <w:tcPr>
        <w:tcBorders>
          <w:top w:val="single" w:sz="8" w:space="0" w:color="B5333C" w:themeColor="accent2"/>
          <w:left w:val="single" w:sz="8" w:space="0" w:color="B5333C" w:themeColor="accent2"/>
          <w:bottom w:val="single" w:sz="8" w:space="0" w:color="B5333C" w:themeColor="accent2"/>
          <w:right w:val="single" w:sz="8" w:space="0" w:color="B5333C" w:themeColor="accent2"/>
        </w:tcBorders>
      </w:tcPr>
    </w:tblStylePr>
  </w:style>
  <w:style w:type="table" w:customStyle="1" w:styleId="LightShading-Accent322">
    <w:name w:val="Light Shading - Accent 322"/>
    <w:basedOn w:val="TableNormal"/>
    <w:next w:val="LightShading-Accent3"/>
    <w:uiPriority w:val="60"/>
    <w:unhideWhenUsed/>
    <w:rsid w:val="00EC5276"/>
    <w:pPr>
      <w:spacing w:before="240" w:after="0" w:line="240" w:lineRule="auto"/>
      <w:jc w:val="both"/>
    </w:pPr>
    <w:rPr>
      <w:color w:val="A32F2E" w:themeColor="accent3" w:themeShade="BF"/>
    </w:rPr>
    <w:tblPr>
      <w:tblStyleRowBandSize w:val="1"/>
      <w:tblStyleColBandSize w:val="1"/>
      <w:tblBorders>
        <w:top w:val="single" w:sz="8" w:space="0" w:color="CC4D4C" w:themeColor="accent3"/>
        <w:bottom w:val="single" w:sz="8" w:space="0" w:color="CC4D4C" w:themeColor="accent3"/>
      </w:tblBorders>
    </w:tblPr>
    <w:tblStylePr w:type="fir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hemeFill="accent3" w:themeFillTint="3F"/>
      </w:tcPr>
    </w:tblStylePr>
    <w:tblStylePr w:type="band1Horz">
      <w:tblPr/>
      <w:tcPr>
        <w:tcBorders>
          <w:left w:val="nil"/>
          <w:right w:val="nil"/>
          <w:insideH w:val="nil"/>
          <w:insideV w:val="nil"/>
        </w:tcBorders>
        <w:shd w:val="clear" w:color="auto" w:fill="F2D2D2" w:themeFill="accent3" w:themeFillTint="3F"/>
      </w:tcPr>
    </w:tblStylePr>
  </w:style>
  <w:style w:type="table" w:customStyle="1" w:styleId="LightList-Accent312">
    <w:name w:val="Light List - Accent 312"/>
    <w:basedOn w:val="TableNormal"/>
    <w:next w:val="LightList-Accent3"/>
    <w:uiPriority w:val="61"/>
    <w:unhideWhenUsed/>
    <w:rsid w:val="00EC5276"/>
    <w:pPr>
      <w:spacing w:after="0" w:line="240" w:lineRule="auto"/>
    </w:pPr>
    <w:tblPr>
      <w:tblStyleRowBandSize w:val="1"/>
      <w:tblStyleColBandSize w:val="1"/>
      <w:tblBorders>
        <w:top w:val="single" w:sz="8" w:space="0" w:color="CC4D4C" w:themeColor="accent3"/>
        <w:left w:val="single" w:sz="8" w:space="0" w:color="CC4D4C" w:themeColor="accent3"/>
        <w:bottom w:val="single" w:sz="8" w:space="0" w:color="CC4D4C" w:themeColor="accent3"/>
        <w:right w:val="single" w:sz="8" w:space="0" w:color="CC4D4C" w:themeColor="accent3"/>
      </w:tblBorders>
    </w:tblPr>
    <w:tblStylePr w:type="firstRow">
      <w:pPr>
        <w:spacing w:beforeLines="0" w:beforeAutospacing="0" w:afterLines="0" w:afterAutospacing="0" w:line="240" w:lineRule="auto"/>
      </w:pPr>
      <w:rPr>
        <w:b/>
        <w:bCs/>
        <w:color w:val="FFFFFF" w:themeColor="background1"/>
      </w:rPr>
      <w:tblPr/>
      <w:tcPr>
        <w:shd w:val="clear" w:color="auto" w:fill="CC4D4C" w:themeFill="accent3"/>
      </w:tcPr>
    </w:tblStylePr>
    <w:tblStylePr w:type="lastRow">
      <w:pPr>
        <w:spacing w:beforeLines="0" w:beforeAutospacing="0" w:afterLines="0" w:afterAutospacing="0" w:line="240" w:lineRule="auto"/>
      </w:pPr>
      <w:rPr>
        <w:b/>
        <w:bCs/>
      </w:rPr>
      <w:tblPr/>
      <w:tcPr>
        <w:tcBorders>
          <w:top w:val="double" w:sz="6" w:space="0" w:color="CC4D4C" w:themeColor="accent3"/>
          <w:left w:val="single" w:sz="8" w:space="0" w:color="CC4D4C" w:themeColor="accent3"/>
          <w:bottom w:val="single" w:sz="8" w:space="0" w:color="CC4D4C" w:themeColor="accent3"/>
          <w:right w:val="single" w:sz="8" w:space="0" w:color="CC4D4C" w:themeColor="accent3"/>
        </w:tcBorders>
      </w:tcPr>
    </w:tblStylePr>
    <w:tblStylePr w:type="firstCol">
      <w:rPr>
        <w:b/>
        <w:bCs/>
      </w:rPr>
    </w:tblStylePr>
    <w:tblStylePr w:type="lastCol">
      <w:rPr>
        <w:b/>
        <w:bCs/>
      </w:rPr>
    </w:tblStylePr>
    <w:tblStylePr w:type="band1Vert">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tblStylePr w:type="band1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style>
  <w:style w:type="table" w:customStyle="1" w:styleId="LightGrid-Accent312">
    <w:name w:val="Light Grid - Accent 312"/>
    <w:basedOn w:val="TableNormal"/>
    <w:next w:val="LightGrid-Accent3"/>
    <w:uiPriority w:val="62"/>
    <w:unhideWhenUsed/>
    <w:rsid w:val="00EC5276"/>
    <w:pPr>
      <w:spacing w:after="0" w:line="240" w:lineRule="auto"/>
    </w:pPr>
    <w:tblPr>
      <w:tblStyleRowBandSize w:val="1"/>
      <w:tblStyleColBandSize w:val="1"/>
      <w:tblBorders>
        <w:top w:val="single" w:sz="8" w:space="0" w:color="CC4D4C" w:themeColor="accent3"/>
        <w:left w:val="single" w:sz="8" w:space="0" w:color="CC4D4C" w:themeColor="accent3"/>
        <w:bottom w:val="single" w:sz="8" w:space="0" w:color="CC4D4C" w:themeColor="accent3"/>
        <w:right w:val="single" w:sz="8" w:space="0" w:color="CC4D4C" w:themeColor="accent3"/>
        <w:insideH w:val="single" w:sz="8" w:space="0" w:color="CC4D4C" w:themeColor="accent3"/>
        <w:insideV w:val="single" w:sz="8" w:space="0" w:color="CC4D4C"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C4D4C" w:themeColor="accent3"/>
          <w:left w:val="single" w:sz="8" w:space="0" w:color="CC4D4C" w:themeColor="accent3"/>
          <w:bottom w:val="single" w:sz="18" w:space="0" w:color="CC4D4C" w:themeColor="accent3"/>
          <w:right w:val="single" w:sz="8" w:space="0" w:color="CC4D4C" w:themeColor="accent3"/>
          <w:insideH w:val="nil"/>
          <w:insideV w:val="single" w:sz="8" w:space="0" w:color="CC4D4C"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C4D4C" w:themeColor="accent3"/>
          <w:left w:val="single" w:sz="8" w:space="0" w:color="CC4D4C" w:themeColor="accent3"/>
          <w:bottom w:val="single" w:sz="8" w:space="0" w:color="CC4D4C" w:themeColor="accent3"/>
          <w:right w:val="single" w:sz="8" w:space="0" w:color="CC4D4C" w:themeColor="accent3"/>
          <w:insideH w:val="nil"/>
          <w:insideV w:val="single" w:sz="8" w:space="0" w:color="CC4D4C"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tcPr>
    </w:tblStylePr>
    <w:tblStylePr w:type="band1Vert">
      <w:tblPr/>
      <w:tcPr>
        <w:tcBorders>
          <w:top w:val="single" w:sz="8" w:space="0" w:color="CC4D4C" w:themeColor="accent3"/>
          <w:left w:val="single" w:sz="8" w:space="0" w:color="CC4D4C" w:themeColor="accent3"/>
          <w:bottom w:val="single" w:sz="8" w:space="0" w:color="CC4D4C" w:themeColor="accent3"/>
          <w:right w:val="single" w:sz="8" w:space="0" w:color="CC4D4C" w:themeColor="accent3"/>
        </w:tcBorders>
        <w:shd w:val="clear" w:color="auto" w:fill="F2D2D2" w:themeFill="accent3" w:themeFillTint="3F"/>
      </w:tcPr>
    </w:tblStylePr>
    <w:tblStylePr w:type="band1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insideV w:val="single" w:sz="8" w:space="0" w:color="CC4D4C" w:themeColor="accent3"/>
        </w:tcBorders>
        <w:shd w:val="clear" w:color="auto" w:fill="F2D2D2" w:themeFill="accent3" w:themeFillTint="3F"/>
      </w:tcPr>
    </w:tblStylePr>
    <w:tblStylePr w:type="band2Horz">
      <w:tblPr/>
      <w:tcPr>
        <w:tcBorders>
          <w:top w:val="single" w:sz="8" w:space="0" w:color="CC4D4C" w:themeColor="accent3"/>
          <w:left w:val="single" w:sz="8" w:space="0" w:color="CC4D4C" w:themeColor="accent3"/>
          <w:bottom w:val="single" w:sz="8" w:space="0" w:color="CC4D4C" w:themeColor="accent3"/>
          <w:right w:val="single" w:sz="8" w:space="0" w:color="CC4D4C" w:themeColor="accent3"/>
          <w:insideV w:val="single" w:sz="8" w:space="0" w:color="CC4D4C" w:themeColor="accent3"/>
        </w:tcBorders>
      </w:tcPr>
    </w:tblStylePr>
  </w:style>
  <w:style w:type="table" w:customStyle="1" w:styleId="MediumShading1-Accent312">
    <w:name w:val="Medium Shading 1 - Accent 312"/>
    <w:basedOn w:val="TableNormal"/>
    <w:next w:val="MediumShading1-Accent3"/>
    <w:uiPriority w:val="63"/>
    <w:unhideWhenUsed/>
    <w:rsid w:val="00EC5276"/>
    <w:pPr>
      <w:spacing w:after="0" w:line="240" w:lineRule="auto"/>
    </w:pPr>
    <w:tblPr>
      <w:tblStyleRowBandSize w:val="1"/>
      <w:tblStyleColBandSize w:val="1"/>
      <w:tblBorders>
        <w:top w:val="single" w:sz="8"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single" w:sz="8" w:space="0" w:color="D87978" w:themeColor="accent3"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nil"/>
          <w:insideV w:val="nil"/>
        </w:tcBorders>
        <w:shd w:val="clear" w:color="auto" w:fill="CC4D4C" w:themeFill="accent3"/>
      </w:tcPr>
    </w:tblStylePr>
    <w:tblStylePr w:type="lastRow">
      <w:pPr>
        <w:spacing w:beforeLines="0" w:beforeAutospacing="0" w:afterLines="0" w:afterAutospacing="0" w:line="240" w:lineRule="auto"/>
      </w:pPr>
      <w:rPr>
        <w:b/>
        <w:bCs/>
      </w:rPr>
      <w:tblPr/>
      <w:tcPr>
        <w:tcBorders>
          <w:top w:val="double" w:sz="6" w:space="0" w:color="D87978" w:themeColor="accent3" w:themeTint="BF"/>
          <w:left w:val="single" w:sz="8" w:space="0" w:color="D87978" w:themeColor="accent3" w:themeTint="BF"/>
          <w:bottom w:val="single" w:sz="8" w:space="0" w:color="D87978" w:themeColor="accent3" w:themeTint="BF"/>
          <w:right w:val="single" w:sz="8" w:space="0" w:color="D8797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2D2" w:themeFill="accent3" w:themeFillTint="3F"/>
      </w:tcPr>
    </w:tblStylePr>
    <w:tblStylePr w:type="band1Horz">
      <w:tblPr/>
      <w:tcPr>
        <w:tcBorders>
          <w:insideH w:val="nil"/>
          <w:insideV w:val="nil"/>
        </w:tcBorders>
        <w:shd w:val="clear" w:color="auto" w:fill="F2D2D2" w:themeFill="accent3" w:themeFillTint="3F"/>
      </w:tcPr>
    </w:tblStylePr>
    <w:tblStylePr w:type="band2Horz">
      <w:tblPr/>
      <w:tcPr>
        <w:tcBorders>
          <w:insideH w:val="nil"/>
          <w:insideV w:val="nil"/>
        </w:tcBorders>
      </w:tcPr>
    </w:tblStylePr>
  </w:style>
  <w:style w:type="table" w:customStyle="1" w:styleId="MediumShading2-Accent312">
    <w:name w:val="Medium Shading 2 - Accent 312"/>
    <w:basedOn w:val="TableNormal"/>
    <w:next w:val="MediumShading2-Accent3"/>
    <w:uiPriority w:val="64"/>
    <w:unhideWhenUsed/>
    <w:rsid w:val="00EC5276"/>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4D4C"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4D4C" w:themeFill="accent3"/>
      </w:tcPr>
    </w:tblStylePr>
    <w:tblStylePr w:type="lastCol">
      <w:rPr>
        <w:b/>
        <w:bCs/>
        <w:color w:val="FFFFFF" w:themeColor="background1"/>
      </w:rPr>
      <w:tblPr/>
      <w:tcPr>
        <w:tcBorders>
          <w:left w:val="nil"/>
          <w:right w:val="nil"/>
          <w:insideH w:val="nil"/>
          <w:insideV w:val="nil"/>
        </w:tcBorders>
        <w:shd w:val="clear" w:color="auto" w:fill="CC4D4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12">
    <w:name w:val="Light Shading112"/>
    <w:basedOn w:val="TableNormal"/>
    <w:uiPriority w:val="60"/>
    <w:rsid w:val="00EC5276"/>
    <w:pPr>
      <w:spacing w:before="240"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2">
    <w:name w:val="Light Shading - Accent 1112"/>
    <w:basedOn w:val="TableNormal"/>
    <w:uiPriority w:val="60"/>
    <w:rsid w:val="00EC5276"/>
    <w:pPr>
      <w:spacing w:before="240" w:after="0" w:line="240" w:lineRule="auto"/>
      <w:jc w:val="both"/>
    </w:pPr>
    <w:rPr>
      <w:color w:val="887830" w:themeColor="accent1" w:themeShade="BF"/>
    </w:rPr>
    <w:tblPr>
      <w:tblStyleRowBandSize w:val="1"/>
      <w:tblStyleColBandSize w:val="1"/>
      <w:tblBorders>
        <w:top w:val="single" w:sz="8" w:space="0" w:color="B7A241" w:themeColor="accent1"/>
        <w:bottom w:val="single" w:sz="8" w:space="0" w:color="B7A241" w:themeColor="accent1"/>
      </w:tblBorders>
    </w:tblPr>
    <w:tblStylePr w:type="firstRow">
      <w:pPr>
        <w:spacing w:beforeLines="0" w:beforeAutospacing="0" w:afterLines="0" w:afterAutospacing="0" w:line="240" w:lineRule="auto"/>
      </w:pPr>
      <w:rPr>
        <w:b/>
        <w:bCs/>
      </w:rPr>
      <w:tblPr/>
      <w:tcPr>
        <w:tcBorders>
          <w:top w:val="single" w:sz="8" w:space="0" w:color="B7A241" w:themeColor="accent1"/>
          <w:left w:val="nil"/>
          <w:bottom w:val="single" w:sz="8" w:space="0" w:color="B7A241"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7A241" w:themeColor="accent1"/>
          <w:left w:val="nil"/>
          <w:bottom w:val="single" w:sz="8" w:space="0" w:color="B7A2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8CF" w:themeFill="accent1" w:themeFillTint="3F"/>
      </w:tcPr>
    </w:tblStylePr>
    <w:tblStylePr w:type="band1Horz">
      <w:tblPr/>
      <w:tcPr>
        <w:tcBorders>
          <w:left w:val="nil"/>
          <w:right w:val="nil"/>
          <w:insideH w:val="nil"/>
          <w:insideV w:val="nil"/>
        </w:tcBorders>
        <w:shd w:val="clear" w:color="auto" w:fill="EEE8CF" w:themeFill="accent1" w:themeFillTint="3F"/>
      </w:tcPr>
    </w:tblStylePr>
  </w:style>
  <w:style w:type="table" w:customStyle="1" w:styleId="LightList112">
    <w:name w:val="Light List112"/>
    <w:basedOn w:val="TableNormal"/>
    <w:uiPriority w:val="61"/>
    <w:rsid w:val="00EC5276"/>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12">
    <w:name w:val="Light List212"/>
    <w:basedOn w:val="TableNormal"/>
    <w:uiPriority w:val="61"/>
    <w:rsid w:val="00EC5276"/>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3112">
    <w:name w:val="Light Shading - Accent 3112"/>
    <w:basedOn w:val="TableNormal"/>
    <w:uiPriority w:val="60"/>
    <w:rsid w:val="00EC5276"/>
    <w:pPr>
      <w:spacing w:after="0" w:line="240" w:lineRule="auto"/>
    </w:pPr>
    <w:rPr>
      <w:color w:val="A32F2E" w:themeColor="accent3" w:themeShade="BF"/>
    </w:rPr>
    <w:tblPr>
      <w:tblStyleRowBandSize w:val="1"/>
      <w:tblStyleColBandSize w:val="1"/>
      <w:tblBorders>
        <w:top w:val="single" w:sz="8" w:space="0" w:color="CC4D4C" w:themeColor="accent3"/>
        <w:bottom w:val="single" w:sz="8" w:space="0" w:color="CC4D4C" w:themeColor="accent3"/>
      </w:tblBorders>
    </w:tblPr>
    <w:tblStylePr w:type="fir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themeColor="accent3"/>
          <w:left w:val="nil"/>
          <w:bottom w:val="single" w:sz="8" w:space="0" w:color="CC4D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hemeFill="accent3" w:themeFillTint="3F"/>
      </w:tcPr>
    </w:tblStylePr>
    <w:tblStylePr w:type="band1Horz">
      <w:tblPr/>
      <w:tcPr>
        <w:tcBorders>
          <w:left w:val="nil"/>
          <w:right w:val="nil"/>
          <w:insideH w:val="nil"/>
          <w:insideV w:val="nil"/>
        </w:tcBorders>
        <w:shd w:val="clear" w:color="auto" w:fill="F2D2D2" w:themeFill="accent3" w:themeFillTint="3F"/>
      </w:tcPr>
    </w:tblStylePr>
  </w:style>
  <w:style w:type="table" w:customStyle="1" w:styleId="LightShading-Accent2112">
    <w:name w:val="Light Shading - Accent 2112"/>
    <w:basedOn w:val="TableNormal"/>
    <w:uiPriority w:val="60"/>
    <w:rsid w:val="00EC5276"/>
    <w:pPr>
      <w:spacing w:after="0" w:line="240" w:lineRule="auto"/>
    </w:pPr>
    <w:rPr>
      <w:color w:val="87262C" w:themeColor="accent2" w:themeShade="BF"/>
    </w:rPr>
    <w:tblPr>
      <w:tblStyleRowBandSize w:val="1"/>
      <w:tblStyleColBandSize w:val="1"/>
      <w:tblBorders>
        <w:top w:val="single" w:sz="8" w:space="0" w:color="B5333C" w:themeColor="accent2"/>
        <w:bottom w:val="single" w:sz="8" w:space="0" w:color="B5333C" w:themeColor="accent2"/>
      </w:tblBorders>
    </w:tblPr>
    <w:tblStylePr w:type="fir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themeColor="accent2"/>
          <w:left w:val="nil"/>
          <w:bottom w:val="single" w:sz="8" w:space="0" w:color="B533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hemeFill="accent2" w:themeFillTint="3F"/>
      </w:tcPr>
    </w:tblStylePr>
    <w:tblStylePr w:type="band1Horz">
      <w:tblPr/>
      <w:tcPr>
        <w:tcBorders>
          <w:left w:val="nil"/>
          <w:right w:val="nil"/>
          <w:insideH w:val="nil"/>
          <w:insideV w:val="nil"/>
        </w:tcBorders>
        <w:shd w:val="clear" w:color="auto" w:fill="EFC9CB" w:themeFill="accent2" w:themeFillTint="3F"/>
      </w:tcPr>
    </w:tblStylePr>
  </w:style>
  <w:style w:type="table" w:customStyle="1" w:styleId="TableGrid112">
    <w:name w:val="Table Grid112"/>
    <w:basedOn w:val="TableNormal"/>
    <w:uiPriority w:val="59"/>
    <w:rsid w:val="00EC527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2">
    <w:name w:val="Grid Table 4 - Accent 2112"/>
    <w:basedOn w:val="TableNormal"/>
    <w:uiPriority w:val="49"/>
    <w:rsid w:val="00EC5276"/>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insideV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insideV w:val="nil"/>
        </w:tcBorders>
        <w:shd w:val="clear" w:color="auto" w:fill="B5333C" w:themeFill="accent2"/>
      </w:tcPr>
    </w:tblStylePr>
    <w:tblStylePr w:type="lastRow">
      <w:rPr>
        <w:b/>
        <w:bCs/>
      </w:rPr>
      <w:tblPr/>
      <w:tcPr>
        <w:tcBorders>
          <w:top w:val="double" w:sz="4" w:space="0" w:color="B5333C" w:themeColor="accent2"/>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2-Accent3112">
    <w:name w:val="Grid Table 2 - Accent 3112"/>
    <w:basedOn w:val="TableNormal"/>
    <w:uiPriority w:val="47"/>
    <w:rsid w:val="00EC5276"/>
    <w:pPr>
      <w:spacing w:after="0" w:line="240" w:lineRule="auto"/>
    </w:pPr>
    <w:tblPr>
      <w:tblStyleRowBandSize w:val="1"/>
      <w:tblStyleColBandSize w:val="1"/>
      <w:tblBorders>
        <w:top w:val="single" w:sz="2" w:space="0" w:color="E09393" w:themeColor="accent3" w:themeTint="99"/>
        <w:bottom w:val="single" w:sz="2" w:space="0" w:color="E09393" w:themeColor="accent3" w:themeTint="99"/>
        <w:insideH w:val="single" w:sz="2" w:space="0" w:color="E09393" w:themeColor="accent3" w:themeTint="99"/>
        <w:insideV w:val="single" w:sz="2" w:space="0" w:color="E09393" w:themeColor="accent3" w:themeTint="99"/>
      </w:tblBorders>
    </w:tblPr>
    <w:tblStylePr w:type="firstRow">
      <w:rPr>
        <w:b/>
        <w:bCs/>
      </w:rPr>
      <w:tblPr/>
      <w:tcPr>
        <w:tcBorders>
          <w:top w:val="nil"/>
          <w:bottom w:val="single" w:sz="12" w:space="0" w:color="E09393" w:themeColor="accent3" w:themeTint="99"/>
          <w:insideH w:val="nil"/>
          <w:insideV w:val="nil"/>
        </w:tcBorders>
        <w:shd w:val="clear" w:color="auto" w:fill="FFFFFF" w:themeFill="background1"/>
      </w:tcPr>
    </w:tblStylePr>
    <w:tblStylePr w:type="lastRow">
      <w:rPr>
        <w:b/>
        <w:bCs/>
      </w:rPr>
      <w:tblPr/>
      <w:tcPr>
        <w:tcBorders>
          <w:top w:val="double" w:sz="2" w:space="0" w:color="E0939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BDB" w:themeFill="accent3" w:themeFillTint="33"/>
      </w:tcPr>
    </w:tblStylePr>
    <w:tblStylePr w:type="band1Horz">
      <w:tblPr/>
      <w:tcPr>
        <w:shd w:val="clear" w:color="auto" w:fill="F4DBDB" w:themeFill="accent3" w:themeFillTint="33"/>
      </w:tcPr>
    </w:tblStylePr>
  </w:style>
  <w:style w:type="table" w:customStyle="1" w:styleId="ListTable3-Accent4112">
    <w:name w:val="List Table 3 - Accent 4112"/>
    <w:basedOn w:val="TableNormal"/>
    <w:uiPriority w:val="48"/>
    <w:rsid w:val="00EC5276"/>
    <w:pPr>
      <w:spacing w:after="0" w:line="240" w:lineRule="auto"/>
    </w:pPr>
    <w:tblPr>
      <w:tblStyleRowBandSize w:val="1"/>
      <w:tblStyleColBandSize w:val="1"/>
      <w:tblBorders>
        <w:top w:val="single" w:sz="4" w:space="0" w:color="D6542C" w:themeColor="accent4"/>
        <w:left w:val="single" w:sz="4" w:space="0" w:color="D6542C" w:themeColor="accent4"/>
        <w:bottom w:val="single" w:sz="4" w:space="0" w:color="D6542C" w:themeColor="accent4"/>
        <w:right w:val="single" w:sz="4" w:space="0" w:color="D6542C" w:themeColor="accent4"/>
      </w:tblBorders>
    </w:tblPr>
    <w:tblStylePr w:type="firstRow">
      <w:rPr>
        <w:b/>
        <w:bCs/>
        <w:color w:val="FFFFFF" w:themeColor="background1"/>
      </w:rPr>
      <w:tblPr/>
      <w:tcPr>
        <w:shd w:val="clear" w:color="auto" w:fill="D6542C" w:themeFill="accent4"/>
      </w:tcPr>
    </w:tblStylePr>
    <w:tblStylePr w:type="lastRow">
      <w:rPr>
        <w:b/>
        <w:bCs/>
      </w:rPr>
      <w:tblPr/>
      <w:tcPr>
        <w:tcBorders>
          <w:top w:val="double" w:sz="4" w:space="0" w:color="D654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542C" w:themeColor="accent4"/>
          <w:right w:val="single" w:sz="4" w:space="0" w:color="D6542C" w:themeColor="accent4"/>
        </w:tcBorders>
      </w:tcPr>
    </w:tblStylePr>
    <w:tblStylePr w:type="band1Horz">
      <w:tblPr/>
      <w:tcPr>
        <w:tcBorders>
          <w:top w:val="single" w:sz="4" w:space="0" w:color="D6542C" w:themeColor="accent4"/>
          <w:bottom w:val="single" w:sz="4" w:space="0" w:color="D654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542C" w:themeColor="accent4"/>
          <w:left w:val="nil"/>
        </w:tcBorders>
      </w:tcPr>
    </w:tblStylePr>
    <w:tblStylePr w:type="swCell">
      <w:tblPr/>
      <w:tcPr>
        <w:tcBorders>
          <w:top w:val="double" w:sz="4" w:space="0" w:color="D6542C" w:themeColor="accent4"/>
          <w:right w:val="nil"/>
        </w:tcBorders>
      </w:tcPr>
    </w:tblStylePr>
  </w:style>
  <w:style w:type="table" w:customStyle="1" w:styleId="ListTable4-Accent2112">
    <w:name w:val="List Table 4 - Accent 2112"/>
    <w:basedOn w:val="TableNormal"/>
    <w:uiPriority w:val="49"/>
    <w:rsid w:val="00EC5276"/>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tcBorders>
        <w:shd w:val="clear" w:color="auto" w:fill="B5333C" w:themeFill="accent2"/>
      </w:tcPr>
    </w:tblStylePr>
    <w:tblStylePr w:type="lastRow">
      <w:rPr>
        <w:b/>
        <w:bCs/>
      </w:rPr>
      <w:tblPr/>
      <w:tcPr>
        <w:tcBorders>
          <w:top w:val="double" w:sz="4" w:space="0" w:color="DA7C82" w:themeColor="accent2" w:themeTint="99"/>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5Dark-Accent1112">
    <w:name w:val="Grid Table 5 Dark - Accent 1112"/>
    <w:basedOn w:val="TableNormal"/>
    <w:uiPriority w:val="50"/>
    <w:rsid w:val="00EC52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C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A2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A2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A2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A241" w:themeFill="accent1"/>
      </w:tcPr>
    </w:tblStylePr>
    <w:tblStylePr w:type="band1Vert">
      <w:tblPr/>
      <w:tcPr>
        <w:shd w:val="clear" w:color="auto" w:fill="E3DAB1" w:themeFill="accent1" w:themeFillTint="66"/>
      </w:tcPr>
    </w:tblStylePr>
    <w:tblStylePr w:type="band1Horz">
      <w:tblPr/>
      <w:tcPr>
        <w:shd w:val="clear" w:color="auto" w:fill="E3DAB1" w:themeFill="accent1" w:themeFillTint="66"/>
      </w:tcPr>
    </w:tblStylePr>
  </w:style>
  <w:style w:type="table" w:customStyle="1" w:styleId="ListTable1Light-Accent2112">
    <w:name w:val="List Table 1 Light - Accent 2112"/>
    <w:basedOn w:val="TableNormal"/>
    <w:uiPriority w:val="46"/>
    <w:rsid w:val="00EC5276"/>
    <w:pPr>
      <w:spacing w:after="0" w:line="240" w:lineRule="auto"/>
    </w:pPr>
    <w:tblPr>
      <w:tblStyleRowBandSize w:val="1"/>
      <w:tblStyleColBandSize w:val="1"/>
    </w:tblPr>
    <w:tblStylePr w:type="firstRow">
      <w:rPr>
        <w:b/>
        <w:bCs/>
      </w:rPr>
      <w:tblPr/>
      <w:tcPr>
        <w:tcBorders>
          <w:bottom w:val="single" w:sz="4" w:space="0" w:color="DA7C82" w:themeColor="accent2" w:themeTint="99"/>
        </w:tcBorders>
      </w:tcPr>
    </w:tblStylePr>
    <w:tblStylePr w:type="lastRow">
      <w:rPr>
        <w:b/>
        <w:bCs/>
      </w:rPr>
      <w:tblPr/>
      <w:tcPr>
        <w:tcBorders>
          <w:top w:val="single" w:sz="4" w:space="0" w:color="DA7C82" w:themeColor="accent2" w:themeTint="99"/>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ListTable1Light-Accent1112">
    <w:name w:val="List Table 1 Light - Accent 1112"/>
    <w:basedOn w:val="TableNormal"/>
    <w:uiPriority w:val="46"/>
    <w:rsid w:val="00EC5276"/>
    <w:pPr>
      <w:spacing w:after="0" w:line="240" w:lineRule="auto"/>
    </w:pPr>
    <w:tblPr>
      <w:tblStyleRowBandSize w:val="1"/>
      <w:tblStyleColBandSize w:val="1"/>
    </w:tblPr>
    <w:tblStylePr w:type="firstRow">
      <w:rPr>
        <w:b/>
        <w:bCs/>
      </w:rPr>
      <w:tblPr/>
      <w:tcPr>
        <w:tcBorders>
          <w:bottom w:val="single" w:sz="4" w:space="0" w:color="D5C88A" w:themeColor="accent1" w:themeTint="99"/>
        </w:tcBorders>
      </w:tcPr>
    </w:tblStylePr>
    <w:tblStylePr w:type="lastRow">
      <w:rPr>
        <w:b/>
        <w:bCs/>
      </w:rPr>
      <w:tblPr/>
      <w:tcPr>
        <w:tcBorders>
          <w:top w:val="single" w:sz="4" w:space="0" w:color="D5C88A" w:themeColor="accent1" w:themeTint="99"/>
        </w:tcBorders>
      </w:tcPr>
    </w:tblStylePr>
    <w:tblStylePr w:type="firstCol">
      <w:rPr>
        <w:b/>
        <w:bCs/>
      </w:rPr>
    </w:tblStylePr>
    <w:tblStylePr w:type="lastCol">
      <w:rPr>
        <w:b/>
        <w:bCs/>
      </w:rPr>
    </w:tblStylePr>
    <w:tblStylePr w:type="band1Vert">
      <w:tblPr/>
      <w:tcPr>
        <w:shd w:val="clear" w:color="auto" w:fill="F1ECD8" w:themeFill="accent1" w:themeFillTint="33"/>
      </w:tcPr>
    </w:tblStylePr>
    <w:tblStylePr w:type="band1Horz">
      <w:tblPr/>
      <w:tcPr>
        <w:shd w:val="clear" w:color="auto" w:fill="F1ECD8" w:themeFill="accent1" w:themeFillTint="33"/>
      </w:tcPr>
    </w:tblStylePr>
  </w:style>
  <w:style w:type="table" w:customStyle="1" w:styleId="GridTable1Light-Accent2112">
    <w:name w:val="Grid Table 1 Light - Accent 2112"/>
    <w:basedOn w:val="TableNormal"/>
    <w:uiPriority w:val="46"/>
    <w:rsid w:val="00EC5276"/>
    <w:pPr>
      <w:spacing w:after="0" w:line="240" w:lineRule="auto"/>
    </w:pPr>
    <w:tblPr>
      <w:tblStyleRowBandSize w:val="1"/>
      <w:tblStyleColBandSize w:val="1"/>
      <w:tblBorders>
        <w:top w:val="single" w:sz="4" w:space="0" w:color="E6A8AC" w:themeColor="accent2" w:themeTint="66"/>
        <w:left w:val="single" w:sz="4" w:space="0" w:color="E6A8AC" w:themeColor="accent2" w:themeTint="66"/>
        <w:bottom w:val="single" w:sz="4" w:space="0" w:color="E6A8AC" w:themeColor="accent2" w:themeTint="66"/>
        <w:right w:val="single" w:sz="4" w:space="0" w:color="E6A8AC" w:themeColor="accent2" w:themeTint="66"/>
        <w:insideH w:val="single" w:sz="4" w:space="0" w:color="E6A8AC" w:themeColor="accent2" w:themeTint="66"/>
        <w:insideV w:val="single" w:sz="4" w:space="0" w:color="E6A8AC" w:themeColor="accent2" w:themeTint="66"/>
      </w:tblBorders>
    </w:tblPr>
    <w:tblStylePr w:type="firstRow">
      <w:rPr>
        <w:b/>
        <w:bCs/>
      </w:rPr>
      <w:tblPr/>
      <w:tcPr>
        <w:tcBorders>
          <w:bottom w:val="single" w:sz="12" w:space="0" w:color="DA7C82" w:themeColor="accent2" w:themeTint="99"/>
        </w:tcBorders>
      </w:tcPr>
    </w:tblStylePr>
    <w:tblStylePr w:type="lastRow">
      <w:rPr>
        <w:b/>
        <w:bCs/>
      </w:rPr>
      <w:tblPr/>
      <w:tcPr>
        <w:tcBorders>
          <w:top w:val="double" w:sz="2" w:space="0" w:color="DA7C82" w:themeColor="accent2" w:themeTint="99"/>
        </w:tcBorders>
      </w:tcPr>
    </w:tblStylePr>
    <w:tblStylePr w:type="firstCol">
      <w:rPr>
        <w:b/>
        <w:bCs/>
      </w:rPr>
    </w:tblStylePr>
    <w:tblStylePr w:type="lastCol">
      <w:rPr>
        <w:b/>
        <w:bCs/>
      </w:rPr>
    </w:tblStylePr>
  </w:style>
  <w:style w:type="table" w:customStyle="1" w:styleId="GridTable2-Accent2112">
    <w:name w:val="Grid Table 2 - Accent 2112"/>
    <w:basedOn w:val="TableNormal"/>
    <w:uiPriority w:val="47"/>
    <w:rsid w:val="00EC5276"/>
    <w:pPr>
      <w:spacing w:after="0" w:line="240" w:lineRule="auto"/>
    </w:pPr>
    <w:tblPr>
      <w:tblStyleRowBandSize w:val="1"/>
      <w:tblStyleColBandSize w:val="1"/>
      <w:tblBorders>
        <w:top w:val="single" w:sz="2" w:space="0" w:color="DA7C82" w:themeColor="accent2" w:themeTint="99"/>
        <w:bottom w:val="single" w:sz="2" w:space="0" w:color="DA7C82" w:themeColor="accent2" w:themeTint="99"/>
        <w:insideH w:val="single" w:sz="2" w:space="0" w:color="DA7C82" w:themeColor="accent2" w:themeTint="99"/>
        <w:insideV w:val="single" w:sz="2" w:space="0" w:color="DA7C82" w:themeColor="accent2" w:themeTint="99"/>
      </w:tblBorders>
    </w:tblPr>
    <w:tblStylePr w:type="firstRow">
      <w:rPr>
        <w:b/>
        <w:bCs/>
      </w:rPr>
      <w:tblPr/>
      <w:tcPr>
        <w:tcBorders>
          <w:top w:val="nil"/>
          <w:bottom w:val="single" w:sz="12" w:space="0" w:color="DA7C82" w:themeColor="accent2" w:themeTint="99"/>
          <w:insideH w:val="nil"/>
          <w:insideV w:val="nil"/>
        </w:tcBorders>
        <w:shd w:val="clear" w:color="auto" w:fill="FFFFFF" w:themeFill="background1"/>
      </w:tcPr>
    </w:tblStylePr>
    <w:tblStylePr w:type="lastRow">
      <w:rPr>
        <w:b/>
        <w:bCs/>
      </w:rPr>
      <w:tblPr/>
      <w:tcPr>
        <w:tcBorders>
          <w:top w:val="double" w:sz="2" w:space="0" w:color="DA7C8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GridTable1Light112">
    <w:name w:val="Grid Table 1 Light112"/>
    <w:basedOn w:val="TableNormal"/>
    <w:uiPriority w:val="46"/>
    <w:rsid w:val="00EC52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MTW2018Table2">
    <w:name w:val="MTW 2018 Table2"/>
    <w:basedOn w:val="TableNormal"/>
    <w:uiPriority w:val="99"/>
    <w:rsid w:val="00EC5276"/>
    <w:pPr>
      <w:spacing w:after="0" w:line="240" w:lineRule="auto"/>
    </w:pPr>
    <w:tblPr/>
  </w:style>
  <w:style w:type="table" w:customStyle="1" w:styleId="GridTable4-Accent1121">
    <w:name w:val="Grid Table 4 - Accent 1121"/>
    <w:basedOn w:val="TableNormal"/>
    <w:uiPriority w:val="49"/>
    <w:rsid w:val="00EC5276"/>
    <w:pPr>
      <w:spacing w:after="0" w:line="240" w:lineRule="auto"/>
    </w:pPr>
    <w:rPr>
      <w:rFonts w:eastAsia="Times New Roman"/>
    </w:rPr>
    <w:tblPr>
      <w:tblStyleRowBandSize w:val="1"/>
      <w:tblStyleColBandSize w:val="1"/>
      <w:tblBorders>
        <w:top w:val="single" w:sz="4" w:space="0" w:color="D5C88A"/>
        <w:left w:val="single" w:sz="4" w:space="0" w:color="D5C88A"/>
        <w:bottom w:val="single" w:sz="4" w:space="0" w:color="D5C88A"/>
        <w:right w:val="single" w:sz="4" w:space="0" w:color="D5C88A"/>
        <w:insideH w:val="single" w:sz="4" w:space="0" w:color="D5C88A"/>
        <w:insideV w:val="single" w:sz="4" w:space="0" w:color="D5C88A"/>
      </w:tblBorders>
    </w:tblPr>
    <w:tblStylePr w:type="firstRow">
      <w:rPr>
        <w:b/>
        <w:bCs/>
        <w:color w:val="FFFFFF"/>
      </w:rPr>
      <w:tblPr/>
      <w:tcPr>
        <w:tcBorders>
          <w:top w:val="single" w:sz="4" w:space="0" w:color="B7A241"/>
          <w:left w:val="single" w:sz="4" w:space="0" w:color="B7A241"/>
          <w:bottom w:val="single" w:sz="4" w:space="0" w:color="B7A241"/>
          <w:right w:val="single" w:sz="4" w:space="0" w:color="B7A241"/>
          <w:insideH w:val="nil"/>
          <w:insideV w:val="nil"/>
        </w:tcBorders>
        <w:shd w:val="clear" w:color="auto" w:fill="B7A241"/>
      </w:tcPr>
    </w:tblStylePr>
    <w:tblStylePr w:type="lastRow">
      <w:rPr>
        <w:b/>
        <w:bCs/>
      </w:rPr>
      <w:tblPr/>
      <w:tcPr>
        <w:tcBorders>
          <w:top w:val="double" w:sz="4" w:space="0" w:color="B7A241"/>
        </w:tcBorders>
      </w:tcPr>
    </w:tblStylePr>
    <w:tblStylePr w:type="firstCol">
      <w:rPr>
        <w:b/>
        <w:bCs/>
      </w:rPr>
    </w:tblStylePr>
    <w:tblStylePr w:type="lastCol">
      <w:rPr>
        <w:b/>
        <w:bCs/>
      </w:rPr>
    </w:tblStylePr>
    <w:tblStylePr w:type="band1Vert">
      <w:tblPr/>
      <w:tcPr>
        <w:shd w:val="clear" w:color="auto" w:fill="F1ECD8"/>
      </w:tcPr>
    </w:tblStylePr>
    <w:tblStylePr w:type="band1Horz">
      <w:tblPr/>
      <w:tcPr>
        <w:shd w:val="clear" w:color="auto" w:fill="F1ECD8"/>
      </w:tcPr>
    </w:tblStylePr>
  </w:style>
  <w:style w:type="table" w:customStyle="1" w:styleId="PlainTable4121">
    <w:name w:val="Plain Table 4121"/>
    <w:basedOn w:val="TableNormal"/>
    <w:uiPriority w:val="44"/>
    <w:rsid w:val="00EC5276"/>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21">
    <w:name w:val="Grid Table 4 - Accent 5121"/>
    <w:basedOn w:val="TableNormal"/>
    <w:uiPriority w:val="49"/>
    <w:rsid w:val="00EC5276"/>
    <w:pPr>
      <w:spacing w:after="0" w:line="240" w:lineRule="auto"/>
    </w:pPr>
    <w:rPr>
      <w:rFonts w:eastAsia="Times New Roman"/>
    </w:rPr>
    <w:tblPr>
      <w:tblStyleRowBandSize w:val="1"/>
      <w:tblStyleColBandSize w:val="1"/>
      <w:tblBorders>
        <w:top w:val="single" w:sz="4" w:space="0" w:color="B464A0"/>
        <w:left w:val="single" w:sz="4" w:space="0" w:color="B464A0"/>
        <w:bottom w:val="single" w:sz="4" w:space="0" w:color="B464A0"/>
        <w:right w:val="single" w:sz="4" w:space="0" w:color="B464A0"/>
        <w:insideH w:val="single" w:sz="4" w:space="0" w:color="B464A0"/>
        <w:insideV w:val="single" w:sz="4" w:space="0" w:color="B464A0"/>
      </w:tblBorders>
    </w:tblPr>
    <w:tblStylePr w:type="firstRow">
      <w:rPr>
        <w:b/>
        <w:bCs/>
        <w:color w:val="FFFFFF"/>
      </w:rPr>
      <w:tblPr/>
      <w:tcPr>
        <w:tcBorders>
          <w:top w:val="single" w:sz="4" w:space="0" w:color="572A4C"/>
          <w:left w:val="single" w:sz="4" w:space="0" w:color="572A4C"/>
          <w:bottom w:val="single" w:sz="4" w:space="0" w:color="572A4C"/>
          <w:right w:val="single" w:sz="4" w:space="0" w:color="572A4C"/>
          <w:insideH w:val="nil"/>
          <w:insideV w:val="nil"/>
        </w:tcBorders>
        <w:shd w:val="clear" w:color="auto" w:fill="572A4C"/>
      </w:tcPr>
    </w:tblStylePr>
    <w:tblStylePr w:type="lastRow">
      <w:rPr>
        <w:b/>
        <w:bCs/>
      </w:rPr>
      <w:tblPr/>
      <w:tcPr>
        <w:tcBorders>
          <w:top w:val="double" w:sz="4" w:space="0" w:color="572A4C"/>
        </w:tcBorders>
      </w:tcPr>
    </w:tblStylePr>
    <w:tblStylePr w:type="firstCol">
      <w:rPr>
        <w:b/>
        <w:bCs/>
      </w:rPr>
    </w:tblStylePr>
    <w:tblStylePr w:type="lastCol">
      <w:rPr>
        <w:b/>
        <w:bCs/>
      </w:rPr>
    </w:tblStylePr>
    <w:tblStylePr w:type="band1Vert">
      <w:tblPr/>
      <w:tcPr>
        <w:shd w:val="clear" w:color="auto" w:fill="E6CBDF"/>
      </w:tcPr>
    </w:tblStylePr>
    <w:tblStylePr w:type="band1Horz">
      <w:tblPr/>
      <w:tcPr>
        <w:shd w:val="clear" w:color="auto" w:fill="E6CBDF"/>
      </w:tcPr>
    </w:tblStylePr>
  </w:style>
  <w:style w:type="table" w:customStyle="1" w:styleId="TableGrid31">
    <w:name w:val="Table Grid31"/>
    <w:basedOn w:val="TableNormal"/>
    <w:next w:val="TableGrid"/>
    <w:uiPriority w:val="59"/>
    <w:rsid w:val="00EC52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21">
    <w:name w:val="Light Shading - Accent 2121"/>
    <w:basedOn w:val="TableNormal"/>
    <w:next w:val="LightShading-Accent2"/>
    <w:uiPriority w:val="60"/>
    <w:unhideWhenUsed/>
    <w:rsid w:val="00EC5276"/>
    <w:pPr>
      <w:spacing w:before="240" w:after="0" w:line="240" w:lineRule="auto"/>
      <w:jc w:val="both"/>
    </w:pPr>
    <w:rPr>
      <w:rFonts w:eastAsia="Times New Roman"/>
      <w:color w:val="87262C"/>
    </w:rPr>
    <w:tblPr>
      <w:tblStyleRowBandSize w:val="1"/>
      <w:tblStyleColBandSize w:val="1"/>
      <w:tblBorders>
        <w:top w:val="single" w:sz="8" w:space="0" w:color="B5333C"/>
        <w:bottom w:val="single" w:sz="8" w:space="0" w:color="B5333C"/>
      </w:tblBorders>
    </w:tblPr>
    <w:tblStylePr w:type="fir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cPr>
    </w:tblStylePr>
    <w:tblStylePr w:type="band1Horz">
      <w:tblPr/>
      <w:tcPr>
        <w:tcBorders>
          <w:left w:val="nil"/>
          <w:right w:val="nil"/>
          <w:insideH w:val="nil"/>
          <w:insideV w:val="nil"/>
        </w:tcBorders>
        <w:shd w:val="clear" w:color="auto" w:fill="EFC9CB"/>
      </w:tcPr>
    </w:tblStylePr>
  </w:style>
  <w:style w:type="table" w:customStyle="1" w:styleId="LightList-Accent2111">
    <w:name w:val="Light List - Accent 2111"/>
    <w:basedOn w:val="TableNormal"/>
    <w:next w:val="LightList-Accent2"/>
    <w:uiPriority w:val="61"/>
    <w:unhideWhenUsed/>
    <w:rsid w:val="00EC5276"/>
    <w:pPr>
      <w:spacing w:after="0" w:line="240" w:lineRule="auto"/>
    </w:pPr>
    <w:rPr>
      <w:rFonts w:eastAsia="Times New Roman"/>
    </w:rPr>
    <w:tblPr>
      <w:tblStyleRowBandSize w:val="1"/>
      <w:tblStyleColBandSize w:val="1"/>
      <w:tblBorders>
        <w:top w:val="single" w:sz="8" w:space="0" w:color="B5333C"/>
        <w:left w:val="single" w:sz="8" w:space="0" w:color="B5333C"/>
        <w:bottom w:val="single" w:sz="8" w:space="0" w:color="B5333C"/>
        <w:right w:val="single" w:sz="8" w:space="0" w:color="B5333C"/>
      </w:tblBorders>
    </w:tblPr>
    <w:tblStylePr w:type="firstRow">
      <w:pPr>
        <w:spacing w:beforeLines="0" w:beforeAutospacing="0" w:afterLines="0" w:afterAutospacing="0" w:line="240" w:lineRule="auto"/>
      </w:pPr>
      <w:rPr>
        <w:b/>
        <w:bCs/>
        <w:color w:val="FFFFFF"/>
      </w:rPr>
      <w:tblPr/>
      <w:tcPr>
        <w:shd w:val="clear" w:color="auto" w:fill="B5333C"/>
      </w:tcPr>
    </w:tblStylePr>
    <w:tblStylePr w:type="lastRow">
      <w:pPr>
        <w:spacing w:beforeLines="0" w:beforeAutospacing="0" w:afterLines="0" w:afterAutospacing="0" w:line="240" w:lineRule="auto"/>
      </w:pPr>
      <w:rPr>
        <w:b/>
        <w:bCs/>
      </w:rPr>
      <w:tblPr/>
      <w:tcPr>
        <w:tcBorders>
          <w:top w:val="double" w:sz="6" w:space="0" w:color="B5333C"/>
          <w:left w:val="single" w:sz="8" w:space="0" w:color="B5333C"/>
          <w:bottom w:val="single" w:sz="8" w:space="0" w:color="B5333C"/>
          <w:right w:val="single" w:sz="8" w:space="0" w:color="B5333C"/>
        </w:tcBorders>
      </w:tcPr>
    </w:tblStylePr>
    <w:tblStylePr w:type="firstCol">
      <w:rPr>
        <w:b/>
        <w:bCs/>
      </w:rPr>
    </w:tblStylePr>
    <w:tblStylePr w:type="lastCol">
      <w:rPr>
        <w:b/>
        <w:bCs/>
      </w:rPr>
    </w:tblStylePr>
    <w:tblStylePr w:type="band1Vert">
      <w:tblPr/>
      <w:tcPr>
        <w:tcBorders>
          <w:top w:val="single" w:sz="8" w:space="0" w:color="B5333C"/>
          <w:left w:val="single" w:sz="8" w:space="0" w:color="B5333C"/>
          <w:bottom w:val="single" w:sz="8" w:space="0" w:color="B5333C"/>
          <w:right w:val="single" w:sz="8" w:space="0" w:color="B5333C"/>
        </w:tcBorders>
      </w:tcPr>
    </w:tblStylePr>
    <w:tblStylePr w:type="band1Horz">
      <w:tblPr/>
      <w:tcPr>
        <w:tcBorders>
          <w:top w:val="single" w:sz="8" w:space="0" w:color="B5333C"/>
          <w:left w:val="single" w:sz="8" w:space="0" w:color="B5333C"/>
          <w:bottom w:val="single" w:sz="8" w:space="0" w:color="B5333C"/>
          <w:right w:val="single" w:sz="8" w:space="0" w:color="B5333C"/>
        </w:tcBorders>
      </w:tcPr>
    </w:tblStylePr>
  </w:style>
  <w:style w:type="table" w:customStyle="1" w:styleId="LightShading-Accent3121">
    <w:name w:val="Light Shading - Accent 3121"/>
    <w:basedOn w:val="TableNormal"/>
    <w:next w:val="LightShading-Accent3"/>
    <w:uiPriority w:val="60"/>
    <w:unhideWhenUsed/>
    <w:rsid w:val="00EC5276"/>
    <w:pPr>
      <w:spacing w:before="240" w:after="0" w:line="240" w:lineRule="auto"/>
      <w:jc w:val="both"/>
    </w:pPr>
    <w:rPr>
      <w:rFonts w:eastAsia="Times New Roman"/>
      <w:color w:val="A32F2E"/>
    </w:rPr>
    <w:tblPr>
      <w:tblStyleRowBandSize w:val="1"/>
      <w:tblStyleColBandSize w:val="1"/>
      <w:tblBorders>
        <w:top w:val="single" w:sz="8" w:space="0" w:color="CC4D4C"/>
        <w:bottom w:val="single" w:sz="8" w:space="0" w:color="CC4D4C"/>
      </w:tblBorders>
    </w:tblPr>
    <w:tblStylePr w:type="fir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cPr>
    </w:tblStylePr>
    <w:tblStylePr w:type="band1Horz">
      <w:tblPr/>
      <w:tcPr>
        <w:tcBorders>
          <w:left w:val="nil"/>
          <w:right w:val="nil"/>
          <w:insideH w:val="nil"/>
          <w:insideV w:val="nil"/>
        </w:tcBorders>
        <w:shd w:val="clear" w:color="auto" w:fill="F2D2D2"/>
      </w:tcPr>
    </w:tblStylePr>
  </w:style>
  <w:style w:type="table" w:customStyle="1" w:styleId="LightList-Accent3111">
    <w:name w:val="Light List - Accent 3111"/>
    <w:basedOn w:val="TableNormal"/>
    <w:next w:val="LightList-Accent3"/>
    <w:uiPriority w:val="61"/>
    <w:unhideWhenUsed/>
    <w:rsid w:val="00EC5276"/>
    <w:pPr>
      <w:spacing w:after="0" w:line="240" w:lineRule="auto"/>
    </w:pPr>
    <w:rPr>
      <w:rFonts w:eastAsia="Times New Roman"/>
    </w:rPr>
    <w:tblPr>
      <w:tblStyleRowBandSize w:val="1"/>
      <w:tblStyleColBandSize w:val="1"/>
      <w:tblBorders>
        <w:top w:val="single" w:sz="8" w:space="0" w:color="CC4D4C"/>
        <w:left w:val="single" w:sz="8" w:space="0" w:color="CC4D4C"/>
        <w:bottom w:val="single" w:sz="8" w:space="0" w:color="CC4D4C"/>
        <w:right w:val="single" w:sz="8" w:space="0" w:color="CC4D4C"/>
      </w:tblBorders>
    </w:tblPr>
    <w:tblStylePr w:type="firstRow">
      <w:pPr>
        <w:spacing w:beforeLines="0" w:beforeAutospacing="0" w:afterLines="0" w:afterAutospacing="0" w:line="240" w:lineRule="auto"/>
      </w:pPr>
      <w:rPr>
        <w:b/>
        <w:bCs/>
        <w:color w:val="FFFFFF"/>
      </w:rPr>
      <w:tblPr/>
      <w:tcPr>
        <w:shd w:val="clear" w:color="auto" w:fill="CC4D4C"/>
      </w:tcPr>
    </w:tblStylePr>
    <w:tblStylePr w:type="lastRow">
      <w:pPr>
        <w:spacing w:beforeLines="0" w:beforeAutospacing="0" w:afterLines="0" w:afterAutospacing="0" w:line="240" w:lineRule="auto"/>
      </w:pPr>
      <w:rPr>
        <w:b/>
        <w:bCs/>
      </w:rPr>
      <w:tblPr/>
      <w:tcPr>
        <w:tcBorders>
          <w:top w:val="double" w:sz="6" w:space="0" w:color="CC4D4C"/>
          <w:left w:val="single" w:sz="8" w:space="0" w:color="CC4D4C"/>
          <w:bottom w:val="single" w:sz="8" w:space="0" w:color="CC4D4C"/>
          <w:right w:val="single" w:sz="8" w:space="0" w:color="CC4D4C"/>
        </w:tcBorders>
      </w:tcPr>
    </w:tblStylePr>
    <w:tblStylePr w:type="firstCol">
      <w:rPr>
        <w:b/>
        <w:bCs/>
      </w:rPr>
    </w:tblStylePr>
    <w:tblStylePr w:type="lastCol">
      <w:rPr>
        <w:b/>
        <w:bCs/>
      </w:rPr>
    </w:tblStylePr>
    <w:tblStylePr w:type="band1Vert">
      <w:tblPr/>
      <w:tcPr>
        <w:tcBorders>
          <w:top w:val="single" w:sz="8" w:space="0" w:color="CC4D4C"/>
          <w:left w:val="single" w:sz="8" w:space="0" w:color="CC4D4C"/>
          <w:bottom w:val="single" w:sz="8" w:space="0" w:color="CC4D4C"/>
          <w:right w:val="single" w:sz="8" w:space="0" w:color="CC4D4C"/>
        </w:tcBorders>
      </w:tcPr>
    </w:tblStylePr>
    <w:tblStylePr w:type="band1Horz">
      <w:tblPr/>
      <w:tcPr>
        <w:tcBorders>
          <w:top w:val="single" w:sz="8" w:space="0" w:color="CC4D4C"/>
          <w:left w:val="single" w:sz="8" w:space="0" w:color="CC4D4C"/>
          <w:bottom w:val="single" w:sz="8" w:space="0" w:color="CC4D4C"/>
          <w:right w:val="single" w:sz="8" w:space="0" w:color="CC4D4C"/>
        </w:tcBorders>
      </w:tcPr>
    </w:tblStylePr>
  </w:style>
  <w:style w:type="table" w:customStyle="1" w:styleId="LightGrid-Accent3111">
    <w:name w:val="Light Grid - Accent 3111"/>
    <w:basedOn w:val="TableNormal"/>
    <w:next w:val="LightGrid-Accent3"/>
    <w:uiPriority w:val="62"/>
    <w:unhideWhenUsed/>
    <w:rsid w:val="00EC5276"/>
    <w:pPr>
      <w:spacing w:after="0" w:line="240" w:lineRule="auto"/>
    </w:pPr>
    <w:rPr>
      <w:rFonts w:eastAsia="Times New Roman"/>
    </w:rPr>
    <w:tblPr>
      <w:tblStyleRowBandSize w:val="1"/>
      <w:tblStyleColBandSize w:val="1"/>
      <w:tblBorders>
        <w:top w:val="single" w:sz="8" w:space="0" w:color="CC4D4C"/>
        <w:left w:val="single" w:sz="8" w:space="0" w:color="CC4D4C"/>
        <w:bottom w:val="single" w:sz="8" w:space="0" w:color="CC4D4C"/>
        <w:right w:val="single" w:sz="8" w:space="0" w:color="CC4D4C"/>
        <w:insideH w:val="single" w:sz="8" w:space="0" w:color="CC4D4C"/>
        <w:insideV w:val="single" w:sz="8" w:space="0" w:color="CC4D4C"/>
      </w:tblBorders>
    </w:tblPr>
    <w:tblStylePr w:type="firstRow">
      <w:pPr>
        <w:spacing w:beforeLines="0" w:beforeAutospacing="0" w:afterLines="0" w:afterAutospacing="0" w:line="240" w:lineRule="auto"/>
      </w:pPr>
      <w:rPr>
        <w:rFonts w:ascii="Arial" w:eastAsia="Times New Roman" w:hAnsi="Arial" w:cs="Times New Roman" w:hint="default"/>
        <w:b/>
        <w:bCs/>
      </w:rPr>
      <w:tblPr/>
      <w:tcPr>
        <w:tcBorders>
          <w:top w:val="single" w:sz="8" w:space="0" w:color="CC4D4C"/>
          <w:left w:val="single" w:sz="8" w:space="0" w:color="CC4D4C"/>
          <w:bottom w:val="single" w:sz="18" w:space="0" w:color="CC4D4C"/>
          <w:right w:val="single" w:sz="8" w:space="0" w:color="CC4D4C"/>
          <w:insideH w:val="nil"/>
          <w:insideV w:val="single" w:sz="8" w:space="0" w:color="CC4D4C"/>
        </w:tcBorders>
      </w:tcPr>
    </w:tblStylePr>
    <w:tblStylePr w:type="lastRow">
      <w:pPr>
        <w:spacing w:beforeLines="0" w:beforeAutospacing="0" w:afterLines="0" w:afterAutospacing="0" w:line="240" w:lineRule="auto"/>
      </w:pPr>
      <w:rPr>
        <w:rFonts w:ascii="Arial" w:eastAsia="Times New Roman" w:hAnsi="Arial" w:cs="Times New Roman" w:hint="default"/>
        <w:b/>
        <w:bCs/>
      </w:rPr>
      <w:tblPr/>
      <w:tcPr>
        <w:tcBorders>
          <w:top w:val="double" w:sz="6" w:space="0" w:color="CC4D4C"/>
          <w:left w:val="single" w:sz="8" w:space="0" w:color="CC4D4C"/>
          <w:bottom w:val="single" w:sz="8" w:space="0" w:color="CC4D4C"/>
          <w:right w:val="single" w:sz="8" w:space="0" w:color="CC4D4C"/>
          <w:insideH w:val="nil"/>
          <w:insideV w:val="single" w:sz="8" w:space="0" w:color="CC4D4C"/>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CC4D4C"/>
          <w:left w:val="single" w:sz="8" w:space="0" w:color="CC4D4C"/>
          <w:bottom w:val="single" w:sz="8" w:space="0" w:color="CC4D4C"/>
          <w:right w:val="single" w:sz="8" w:space="0" w:color="CC4D4C"/>
        </w:tcBorders>
      </w:tcPr>
    </w:tblStylePr>
    <w:tblStylePr w:type="band1Vert">
      <w:tblPr/>
      <w:tcPr>
        <w:tcBorders>
          <w:top w:val="single" w:sz="8" w:space="0" w:color="CC4D4C"/>
          <w:left w:val="single" w:sz="8" w:space="0" w:color="CC4D4C"/>
          <w:bottom w:val="single" w:sz="8" w:space="0" w:color="CC4D4C"/>
          <w:right w:val="single" w:sz="8" w:space="0" w:color="CC4D4C"/>
        </w:tcBorders>
        <w:shd w:val="clear" w:color="auto" w:fill="F2D2D2"/>
      </w:tcPr>
    </w:tblStylePr>
    <w:tblStylePr w:type="band1Horz">
      <w:tblPr/>
      <w:tcPr>
        <w:tcBorders>
          <w:top w:val="single" w:sz="8" w:space="0" w:color="CC4D4C"/>
          <w:left w:val="single" w:sz="8" w:space="0" w:color="CC4D4C"/>
          <w:bottom w:val="single" w:sz="8" w:space="0" w:color="CC4D4C"/>
          <w:right w:val="single" w:sz="8" w:space="0" w:color="CC4D4C"/>
          <w:insideV w:val="single" w:sz="8" w:space="0" w:color="CC4D4C"/>
        </w:tcBorders>
        <w:shd w:val="clear" w:color="auto" w:fill="F2D2D2"/>
      </w:tcPr>
    </w:tblStylePr>
    <w:tblStylePr w:type="band2Horz">
      <w:tblPr/>
      <w:tcPr>
        <w:tcBorders>
          <w:top w:val="single" w:sz="8" w:space="0" w:color="CC4D4C"/>
          <w:left w:val="single" w:sz="8" w:space="0" w:color="CC4D4C"/>
          <w:bottom w:val="single" w:sz="8" w:space="0" w:color="CC4D4C"/>
          <w:right w:val="single" w:sz="8" w:space="0" w:color="CC4D4C"/>
          <w:insideV w:val="single" w:sz="8" w:space="0" w:color="CC4D4C"/>
        </w:tcBorders>
      </w:tcPr>
    </w:tblStylePr>
  </w:style>
  <w:style w:type="table" w:customStyle="1" w:styleId="MediumShading1-Accent3111">
    <w:name w:val="Medium Shading 1 - Accent 3111"/>
    <w:basedOn w:val="TableNormal"/>
    <w:next w:val="MediumShading1-Accent3"/>
    <w:uiPriority w:val="63"/>
    <w:unhideWhenUsed/>
    <w:rsid w:val="00EC5276"/>
    <w:pPr>
      <w:spacing w:after="0" w:line="240" w:lineRule="auto"/>
    </w:pPr>
    <w:rPr>
      <w:rFonts w:eastAsia="Times New Roman"/>
    </w:rPr>
    <w:tblPr>
      <w:tblStyleRowBandSize w:val="1"/>
      <w:tblStyleColBandSize w:val="1"/>
      <w:tblBorders>
        <w:top w:val="single" w:sz="8" w:space="0" w:color="D87978"/>
        <w:left w:val="single" w:sz="8" w:space="0" w:color="D87978"/>
        <w:bottom w:val="single" w:sz="8" w:space="0" w:color="D87978"/>
        <w:right w:val="single" w:sz="8" w:space="0" w:color="D87978"/>
        <w:insideH w:val="single" w:sz="8" w:space="0" w:color="D87978"/>
      </w:tblBorders>
    </w:tblPr>
    <w:tblStylePr w:type="firstRow">
      <w:pPr>
        <w:spacing w:beforeLines="0" w:beforeAutospacing="0" w:afterLines="0" w:afterAutospacing="0" w:line="240" w:lineRule="auto"/>
      </w:pPr>
      <w:rPr>
        <w:b/>
        <w:bCs/>
        <w:color w:val="FFFFFF"/>
      </w:rPr>
      <w:tblPr/>
      <w:tcPr>
        <w:tcBorders>
          <w:top w:val="single" w:sz="8" w:space="0" w:color="D87978"/>
          <w:left w:val="single" w:sz="8" w:space="0" w:color="D87978"/>
          <w:bottom w:val="single" w:sz="8" w:space="0" w:color="D87978"/>
          <w:right w:val="single" w:sz="8" w:space="0" w:color="D87978"/>
          <w:insideH w:val="nil"/>
          <w:insideV w:val="nil"/>
        </w:tcBorders>
        <w:shd w:val="clear" w:color="auto" w:fill="CC4D4C"/>
      </w:tcPr>
    </w:tblStylePr>
    <w:tblStylePr w:type="lastRow">
      <w:pPr>
        <w:spacing w:beforeLines="0" w:beforeAutospacing="0" w:afterLines="0" w:afterAutospacing="0" w:line="240" w:lineRule="auto"/>
      </w:pPr>
      <w:rPr>
        <w:b/>
        <w:bCs/>
      </w:rPr>
      <w:tblPr/>
      <w:tcPr>
        <w:tcBorders>
          <w:top w:val="double" w:sz="6" w:space="0" w:color="D87978"/>
          <w:left w:val="single" w:sz="8" w:space="0" w:color="D87978"/>
          <w:bottom w:val="single" w:sz="8" w:space="0" w:color="D87978"/>
          <w:right w:val="single" w:sz="8" w:space="0" w:color="D87978"/>
          <w:insideH w:val="nil"/>
          <w:insideV w:val="nil"/>
        </w:tcBorders>
      </w:tcPr>
    </w:tblStylePr>
    <w:tblStylePr w:type="firstCol">
      <w:rPr>
        <w:b/>
        <w:bCs/>
      </w:rPr>
    </w:tblStylePr>
    <w:tblStylePr w:type="lastCol">
      <w:rPr>
        <w:b/>
        <w:bCs/>
      </w:rPr>
    </w:tblStylePr>
    <w:tblStylePr w:type="band1Vert">
      <w:tblPr/>
      <w:tcPr>
        <w:shd w:val="clear" w:color="auto" w:fill="F2D2D2"/>
      </w:tcPr>
    </w:tblStylePr>
    <w:tblStylePr w:type="band1Horz">
      <w:tblPr/>
      <w:tcPr>
        <w:tcBorders>
          <w:insideH w:val="nil"/>
          <w:insideV w:val="nil"/>
        </w:tcBorders>
        <w:shd w:val="clear" w:color="auto" w:fill="F2D2D2"/>
      </w:tcPr>
    </w:tblStylePr>
    <w:tblStylePr w:type="band2Horz">
      <w:tblPr/>
      <w:tcPr>
        <w:tcBorders>
          <w:insideH w:val="nil"/>
          <w:insideV w:val="nil"/>
        </w:tcBorders>
      </w:tcPr>
    </w:tblStylePr>
  </w:style>
  <w:style w:type="table" w:customStyle="1" w:styleId="MediumShading2-Accent3111">
    <w:name w:val="Medium Shading 2 - Accent 3111"/>
    <w:basedOn w:val="TableNormal"/>
    <w:next w:val="MediumShading2-Accent3"/>
    <w:uiPriority w:val="64"/>
    <w:unhideWhenUsed/>
    <w:rsid w:val="00EC5276"/>
    <w:pPr>
      <w:spacing w:after="0" w:line="240" w:lineRule="auto"/>
      <w:jc w:val="both"/>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C4D4C"/>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4D4C"/>
      </w:tcPr>
    </w:tblStylePr>
    <w:tblStylePr w:type="lastCol">
      <w:rPr>
        <w:b/>
        <w:bCs/>
        <w:color w:val="FFFFFF"/>
      </w:rPr>
      <w:tblPr/>
      <w:tcPr>
        <w:tcBorders>
          <w:left w:val="nil"/>
          <w:right w:val="nil"/>
          <w:insideH w:val="nil"/>
          <w:insideV w:val="nil"/>
        </w:tcBorders>
        <w:shd w:val="clear" w:color="auto" w:fill="CC4D4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21">
    <w:name w:val="Light Shading121"/>
    <w:basedOn w:val="TableNormal"/>
    <w:uiPriority w:val="60"/>
    <w:rsid w:val="00EC5276"/>
    <w:pPr>
      <w:spacing w:before="240" w:after="0" w:line="240" w:lineRule="auto"/>
      <w:jc w:val="both"/>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1">
    <w:name w:val="Light Shading - Accent 1121"/>
    <w:basedOn w:val="TableNormal"/>
    <w:uiPriority w:val="60"/>
    <w:rsid w:val="00EC5276"/>
    <w:pPr>
      <w:spacing w:before="240" w:after="0" w:line="240" w:lineRule="auto"/>
      <w:jc w:val="both"/>
    </w:pPr>
    <w:rPr>
      <w:rFonts w:eastAsia="Times New Roman"/>
      <w:color w:val="887830"/>
    </w:rPr>
    <w:tblPr>
      <w:tblStyleRowBandSize w:val="1"/>
      <w:tblStyleColBandSize w:val="1"/>
      <w:tblBorders>
        <w:top w:val="single" w:sz="8" w:space="0" w:color="B7A241"/>
        <w:bottom w:val="single" w:sz="8" w:space="0" w:color="B7A241"/>
      </w:tblBorders>
    </w:tblPr>
    <w:tblStylePr w:type="firstRow">
      <w:pPr>
        <w:spacing w:beforeLines="0" w:beforeAutospacing="0" w:afterLines="0" w:afterAutospacing="0" w:line="240" w:lineRule="auto"/>
      </w:pPr>
      <w:rPr>
        <w:b/>
        <w:bCs/>
      </w:rPr>
      <w:tblPr/>
      <w:tcPr>
        <w:tcBorders>
          <w:top w:val="single" w:sz="8" w:space="0" w:color="B7A241"/>
          <w:left w:val="nil"/>
          <w:bottom w:val="single" w:sz="8" w:space="0" w:color="B7A24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7A241"/>
          <w:left w:val="nil"/>
          <w:bottom w:val="single" w:sz="8" w:space="0" w:color="B7A24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8CF"/>
      </w:tcPr>
    </w:tblStylePr>
    <w:tblStylePr w:type="band1Horz">
      <w:tblPr/>
      <w:tcPr>
        <w:tcBorders>
          <w:left w:val="nil"/>
          <w:right w:val="nil"/>
          <w:insideH w:val="nil"/>
          <w:insideV w:val="nil"/>
        </w:tcBorders>
        <w:shd w:val="clear" w:color="auto" w:fill="EEE8CF"/>
      </w:tcPr>
    </w:tblStylePr>
  </w:style>
  <w:style w:type="table" w:customStyle="1" w:styleId="LightList121">
    <w:name w:val="Light List121"/>
    <w:basedOn w:val="TableNormal"/>
    <w:uiPriority w:val="61"/>
    <w:rsid w:val="00EC5276"/>
    <w:pPr>
      <w:spacing w:after="0" w:line="240" w:lineRule="auto"/>
      <w:jc w:val="both"/>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21">
    <w:name w:val="Light List221"/>
    <w:basedOn w:val="TableNormal"/>
    <w:uiPriority w:val="61"/>
    <w:rsid w:val="00EC5276"/>
    <w:pPr>
      <w:spacing w:after="0" w:line="240" w:lineRule="auto"/>
      <w:jc w:val="both"/>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31111">
    <w:name w:val="Light Shading - Accent 31111"/>
    <w:basedOn w:val="TableNormal"/>
    <w:uiPriority w:val="60"/>
    <w:rsid w:val="00EC5276"/>
    <w:pPr>
      <w:spacing w:after="0" w:line="240" w:lineRule="auto"/>
    </w:pPr>
    <w:rPr>
      <w:rFonts w:eastAsia="Times New Roman"/>
      <w:color w:val="A32F2E"/>
    </w:rPr>
    <w:tblPr>
      <w:tblStyleRowBandSize w:val="1"/>
      <w:tblStyleColBandSize w:val="1"/>
      <w:tblBorders>
        <w:top w:val="single" w:sz="8" w:space="0" w:color="CC4D4C"/>
        <w:bottom w:val="single" w:sz="8" w:space="0" w:color="CC4D4C"/>
      </w:tblBorders>
    </w:tblPr>
    <w:tblStylePr w:type="fir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cPr>
    </w:tblStylePr>
    <w:tblStylePr w:type="band1Horz">
      <w:tblPr/>
      <w:tcPr>
        <w:tcBorders>
          <w:left w:val="nil"/>
          <w:right w:val="nil"/>
          <w:insideH w:val="nil"/>
          <w:insideV w:val="nil"/>
        </w:tcBorders>
        <w:shd w:val="clear" w:color="auto" w:fill="F2D2D2"/>
      </w:tcPr>
    </w:tblStylePr>
  </w:style>
  <w:style w:type="table" w:customStyle="1" w:styleId="LightShading-Accent21111">
    <w:name w:val="Light Shading - Accent 21111"/>
    <w:basedOn w:val="TableNormal"/>
    <w:uiPriority w:val="60"/>
    <w:rsid w:val="00EC5276"/>
    <w:pPr>
      <w:spacing w:after="0" w:line="240" w:lineRule="auto"/>
    </w:pPr>
    <w:rPr>
      <w:rFonts w:eastAsia="Times New Roman"/>
      <w:color w:val="87262C"/>
    </w:rPr>
    <w:tblPr>
      <w:tblStyleRowBandSize w:val="1"/>
      <w:tblStyleColBandSize w:val="1"/>
      <w:tblBorders>
        <w:top w:val="single" w:sz="8" w:space="0" w:color="B5333C"/>
        <w:bottom w:val="single" w:sz="8" w:space="0" w:color="B5333C"/>
      </w:tblBorders>
    </w:tblPr>
    <w:tblStylePr w:type="fir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cPr>
    </w:tblStylePr>
    <w:tblStylePr w:type="band1Horz">
      <w:tblPr/>
      <w:tcPr>
        <w:tcBorders>
          <w:left w:val="nil"/>
          <w:right w:val="nil"/>
          <w:insideH w:val="nil"/>
          <w:insideV w:val="nil"/>
        </w:tcBorders>
        <w:shd w:val="clear" w:color="auto" w:fill="EFC9CB"/>
      </w:tcPr>
    </w:tblStylePr>
  </w:style>
  <w:style w:type="table" w:customStyle="1" w:styleId="TableGrid121">
    <w:name w:val="Table Grid121"/>
    <w:basedOn w:val="TableNormal"/>
    <w:uiPriority w:val="59"/>
    <w:rsid w:val="00EC527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21">
    <w:name w:val="Grid Table 4 - Accent 2121"/>
    <w:basedOn w:val="TableNormal"/>
    <w:uiPriority w:val="49"/>
    <w:rsid w:val="00EC527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insideV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insideV w:val="nil"/>
        </w:tcBorders>
        <w:shd w:val="clear" w:color="auto" w:fill="B5333C"/>
      </w:tcPr>
    </w:tblStylePr>
    <w:tblStylePr w:type="lastRow">
      <w:rPr>
        <w:b/>
        <w:bCs/>
      </w:rPr>
      <w:tblPr/>
      <w:tcPr>
        <w:tcBorders>
          <w:top w:val="double" w:sz="4" w:space="0" w:color="B5333C"/>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2-Accent3121">
    <w:name w:val="Grid Table 2 - Accent 3121"/>
    <w:basedOn w:val="TableNormal"/>
    <w:uiPriority w:val="47"/>
    <w:rsid w:val="00EC5276"/>
    <w:pPr>
      <w:spacing w:after="0" w:line="240" w:lineRule="auto"/>
    </w:pPr>
    <w:rPr>
      <w:rFonts w:eastAsia="Times New Roman"/>
    </w:rPr>
    <w:tblPr>
      <w:tblStyleRowBandSize w:val="1"/>
      <w:tblStyleColBandSize w:val="1"/>
      <w:tblBorders>
        <w:top w:val="single" w:sz="2" w:space="0" w:color="E09393"/>
        <w:bottom w:val="single" w:sz="2" w:space="0" w:color="E09393"/>
        <w:insideH w:val="single" w:sz="2" w:space="0" w:color="E09393"/>
        <w:insideV w:val="single" w:sz="2" w:space="0" w:color="E09393"/>
      </w:tblBorders>
    </w:tblPr>
    <w:tblStylePr w:type="firstRow">
      <w:rPr>
        <w:b/>
        <w:bCs/>
      </w:rPr>
      <w:tblPr/>
      <w:tcPr>
        <w:tcBorders>
          <w:top w:val="nil"/>
          <w:bottom w:val="single" w:sz="12" w:space="0" w:color="E09393"/>
          <w:insideH w:val="nil"/>
          <w:insideV w:val="nil"/>
        </w:tcBorders>
        <w:shd w:val="clear" w:color="auto" w:fill="FFFFFF"/>
      </w:tcPr>
    </w:tblStylePr>
    <w:tblStylePr w:type="lastRow">
      <w:rPr>
        <w:b/>
        <w:bCs/>
      </w:rPr>
      <w:tblPr/>
      <w:tcPr>
        <w:tcBorders>
          <w:top w:val="double" w:sz="2" w:space="0" w:color="E0939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4DBDB"/>
      </w:tcPr>
    </w:tblStylePr>
    <w:tblStylePr w:type="band1Horz">
      <w:tblPr/>
      <w:tcPr>
        <w:shd w:val="clear" w:color="auto" w:fill="F4DBDB"/>
      </w:tcPr>
    </w:tblStylePr>
  </w:style>
  <w:style w:type="table" w:customStyle="1" w:styleId="ListTable3-Accent4121">
    <w:name w:val="List Table 3 - Accent 4121"/>
    <w:basedOn w:val="TableNormal"/>
    <w:uiPriority w:val="48"/>
    <w:rsid w:val="00EC5276"/>
    <w:pPr>
      <w:spacing w:after="0" w:line="240" w:lineRule="auto"/>
    </w:pPr>
    <w:rPr>
      <w:rFonts w:eastAsia="Times New Roman"/>
    </w:rPr>
    <w:tblPr>
      <w:tblStyleRowBandSize w:val="1"/>
      <w:tblStyleColBandSize w:val="1"/>
      <w:tblBorders>
        <w:top w:val="single" w:sz="4" w:space="0" w:color="D6542C"/>
        <w:left w:val="single" w:sz="4" w:space="0" w:color="D6542C"/>
        <w:bottom w:val="single" w:sz="4" w:space="0" w:color="D6542C"/>
        <w:right w:val="single" w:sz="4" w:space="0" w:color="D6542C"/>
      </w:tblBorders>
    </w:tblPr>
    <w:tblStylePr w:type="firstRow">
      <w:rPr>
        <w:b/>
        <w:bCs/>
        <w:color w:val="FFFFFF"/>
      </w:rPr>
      <w:tblPr/>
      <w:tcPr>
        <w:shd w:val="clear" w:color="auto" w:fill="D6542C"/>
      </w:tcPr>
    </w:tblStylePr>
    <w:tblStylePr w:type="lastRow">
      <w:rPr>
        <w:b/>
        <w:bCs/>
      </w:rPr>
      <w:tblPr/>
      <w:tcPr>
        <w:tcBorders>
          <w:top w:val="double" w:sz="4" w:space="0" w:color="D6542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6542C"/>
          <w:right w:val="single" w:sz="4" w:space="0" w:color="D6542C"/>
        </w:tcBorders>
      </w:tcPr>
    </w:tblStylePr>
    <w:tblStylePr w:type="band1Horz">
      <w:tblPr/>
      <w:tcPr>
        <w:tcBorders>
          <w:top w:val="single" w:sz="4" w:space="0" w:color="D6542C"/>
          <w:bottom w:val="single" w:sz="4" w:space="0" w:color="D6542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542C"/>
          <w:left w:val="nil"/>
        </w:tcBorders>
      </w:tcPr>
    </w:tblStylePr>
    <w:tblStylePr w:type="swCell">
      <w:tblPr/>
      <w:tcPr>
        <w:tcBorders>
          <w:top w:val="double" w:sz="4" w:space="0" w:color="D6542C"/>
          <w:right w:val="nil"/>
        </w:tcBorders>
      </w:tcPr>
    </w:tblStylePr>
  </w:style>
  <w:style w:type="table" w:customStyle="1" w:styleId="ListTable4-Accent2121">
    <w:name w:val="List Table 4 - Accent 2121"/>
    <w:basedOn w:val="TableNormal"/>
    <w:uiPriority w:val="49"/>
    <w:rsid w:val="00EC527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5Dark-Accent1121">
    <w:name w:val="Grid Table 5 Dark - Accent 1121"/>
    <w:basedOn w:val="TableNormal"/>
    <w:uiPriority w:val="50"/>
    <w:rsid w:val="00EC527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1EC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7A2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7A2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7A2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7A241"/>
      </w:tcPr>
    </w:tblStylePr>
    <w:tblStylePr w:type="band1Vert">
      <w:tblPr/>
      <w:tcPr>
        <w:shd w:val="clear" w:color="auto" w:fill="E3DAB1"/>
      </w:tcPr>
    </w:tblStylePr>
    <w:tblStylePr w:type="band1Horz">
      <w:tblPr/>
      <w:tcPr>
        <w:shd w:val="clear" w:color="auto" w:fill="E3DAB1"/>
      </w:tcPr>
    </w:tblStylePr>
  </w:style>
  <w:style w:type="table" w:customStyle="1" w:styleId="ListTable1Light-Accent2121">
    <w:name w:val="List Table 1 Light - Accent 2121"/>
    <w:basedOn w:val="TableNormal"/>
    <w:uiPriority w:val="46"/>
    <w:rsid w:val="00EC5276"/>
    <w:pPr>
      <w:spacing w:after="0" w:line="240" w:lineRule="auto"/>
    </w:pPr>
    <w:rPr>
      <w:rFonts w:eastAsia="Times New Roman"/>
    </w:rPr>
    <w:tblPr>
      <w:tblStyleRowBandSize w:val="1"/>
      <w:tblStyleColBandSize w:val="1"/>
    </w:tblPr>
    <w:tblStylePr w:type="firstRow">
      <w:rPr>
        <w:b/>
        <w:bCs/>
      </w:rPr>
      <w:tblPr/>
      <w:tcPr>
        <w:tcBorders>
          <w:bottom w:val="single" w:sz="4" w:space="0" w:color="DA7C82"/>
        </w:tcBorders>
      </w:tcPr>
    </w:tblStylePr>
    <w:tblStylePr w:type="lastRow">
      <w:rPr>
        <w:b/>
        <w:bCs/>
      </w:rPr>
      <w:tblPr/>
      <w:tcPr>
        <w:tcBorders>
          <w:top w:val="sing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ListTable1Light-Accent1121">
    <w:name w:val="List Table 1 Light - Accent 1121"/>
    <w:basedOn w:val="TableNormal"/>
    <w:uiPriority w:val="46"/>
    <w:rsid w:val="00EC5276"/>
    <w:pPr>
      <w:spacing w:after="0" w:line="240" w:lineRule="auto"/>
    </w:pPr>
    <w:rPr>
      <w:rFonts w:eastAsia="Times New Roman"/>
    </w:rPr>
    <w:tblPr>
      <w:tblStyleRowBandSize w:val="1"/>
      <w:tblStyleColBandSize w:val="1"/>
    </w:tblPr>
    <w:tblStylePr w:type="firstRow">
      <w:rPr>
        <w:b/>
        <w:bCs/>
      </w:rPr>
      <w:tblPr/>
      <w:tcPr>
        <w:tcBorders>
          <w:bottom w:val="single" w:sz="4" w:space="0" w:color="D5C88A"/>
        </w:tcBorders>
      </w:tcPr>
    </w:tblStylePr>
    <w:tblStylePr w:type="lastRow">
      <w:rPr>
        <w:b/>
        <w:bCs/>
      </w:rPr>
      <w:tblPr/>
      <w:tcPr>
        <w:tcBorders>
          <w:top w:val="single" w:sz="4" w:space="0" w:color="D5C88A"/>
        </w:tcBorders>
      </w:tcPr>
    </w:tblStylePr>
    <w:tblStylePr w:type="firstCol">
      <w:rPr>
        <w:b/>
        <w:bCs/>
      </w:rPr>
    </w:tblStylePr>
    <w:tblStylePr w:type="lastCol">
      <w:rPr>
        <w:b/>
        <w:bCs/>
      </w:rPr>
    </w:tblStylePr>
    <w:tblStylePr w:type="band1Vert">
      <w:tblPr/>
      <w:tcPr>
        <w:shd w:val="clear" w:color="auto" w:fill="F1ECD8"/>
      </w:tcPr>
    </w:tblStylePr>
    <w:tblStylePr w:type="band1Horz">
      <w:tblPr/>
      <w:tcPr>
        <w:shd w:val="clear" w:color="auto" w:fill="F1ECD8"/>
      </w:tcPr>
    </w:tblStylePr>
  </w:style>
  <w:style w:type="table" w:customStyle="1" w:styleId="GridTable1Light-Accent2121">
    <w:name w:val="Grid Table 1 Light - Accent 2121"/>
    <w:basedOn w:val="TableNormal"/>
    <w:uiPriority w:val="46"/>
    <w:rsid w:val="00EC5276"/>
    <w:pPr>
      <w:spacing w:after="0" w:line="240" w:lineRule="auto"/>
    </w:pPr>
    <w:rPr>
      <w:rFonts w:eastAsia="Times New Roman"/>
    </w:rPr>
    <w:tblPr>
      <w:tblStyleRowBandSize w:val="1"/>
      <w:tblStyleColBandSize w:val="1"/>
      <w:tblBorders>
        <w:top w:val="single" w:sz="4" w:space="0" w:color="E6A8AC"/>
        <w:left w:val="single" w:sz="4" w:space="0" w:color="E6A8AC"/>
        <w:bottom w:val="single" w:sz="4" w:space="0" w:color="E6A8AC"/>
        <w:right w:val="single" w:sz="4" w:space="0" w:color="E6A8AC"/>
        <w:insideH w:val="single" w:sz="4" w:space="0" w:color="E6A8AC"/>
        <w:insideV w:val="single" w:sz="4" w:space="0" w:color="E6A8AC"/>
      </w:tblBorders>
    </w:tblPr>
    <w:tblStylePr w:type="firstRow">
      <w:rPr>
        <w:b/>
        <w:bCs/>
      </w:rPr>
      <w:tblPr/>
      <w:tcPr>
        <w:tcBorders>
          <w:bottom w:val="single" w:sz="12" w:space="0" w:color="DA7C82"/>
        </w:tcBorders>
      </w:tcPr>
    </w:tblStylePr>
    <w:tblStylePr w:type="lastRow">
      <w:rPr>
        <w:b/>
        <w:bCs/>
      </w:rPr>
      <w:tblPr/>
      <w:tcPr>
        <w:tcBorders>
          <w:top w:val="double" w:sz="2" w:space="0" w:color="DA7C82"/>
        </w:tcBorders>
      </w:tcPr>
    </w:tblStylePr>
    <w:tblStylePr w:type="firstCol">
      <w:rPr>
        <w:b/>
        <w:bCs/>
      </w:rPr>
    </w:tblStylePr>
    <w:tblStylePr w:type="lastCol">
      <w:rPr>
        <w:b/>
        <w:bCs/>
      </w:rPr>
    </w:tblStylePr>
  </w:style>
  <w:style w:type="table" w:customStyle="1" w:styleId="GridTable2-Accent2121">
    <w:name w:val="Grid Table 2 - Accent 2121"/>
    <w:basedOn w:val="TableNormal"/>
    <w:uiPriority w:val="47"/>
    <w:rsid w:val="00EC5276"/>
    <w:pPr>
      <w:spacing w:after="0" w:line="240" w:lineRule="auto"/>
    </w:pPr>
    <w:rPr>
      <w:rFonts w:eastAsia="Times New Roman"/>
    </w:rPr>
    <w:tblPr>
      <w:tblStyleRowBandSize w:val="1"/>
      <w:tblStyleColBandSize w:val="1"/>
      <w:tblBorders>
        <w:top w:val="single" w:sz="2" w:space="0" w:color="DA7C82"/>
        <w:bottom w:val="single" w:sz="2" w:space="0" w:color="DA7C82"/>
        <w:insideH w:val="single" w:sz="2" w:space="0" w:color="DA7C82"/>
        <w:insideV w:val="single" w:sz="2" w:space="0" w:color="DA7C82"/>
      </w:tblBorders>
    </w:tblPr>
    <w:tblStylePr w:type="firstRow">
      <w:rPr>
        <w:b/>
        <w:bCs/>
      </w:rPr>
      <w:tblPr/>
      <w:tcPr>
        <w:tcBorders>
          <w:top w:val="nil"/>
          <w:bottom w:val="single" w:sz="12" w:space="0" w:color="DA7C82"/>
          <w:insideH w:val="nil"/>
          <w:insideV w:val="nil"/>
        </w:tcBorders>
        <w:shd w:val="clear" w:color="auto" w:fill="FFFFFF"/>
      </w:tcPr>
    </w:tblStylePr>
    <w:tblStylePr w:type="lastRow">
      <w:rPr>
        <w:b/>
        <w:bCs/>
      </w:rPr>
      <w:tblPr/>
      <w:tcPr>
        <w:tcBorders>
          <w:top w:val="double" w:sz="2" w:space="0" w:color="DA7C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1Light121">
    <w:name w:val="Grid Table 1 Light121"/>
    <w:basedOn w:val="TableNormal"/>
    <w:uiPriority w:val="46"/>
    <w:rsid w:val="00EC5276"/>
    <w:pPr>
      <w:spacing w:after="0" w:line="240" w:lineRule="auto"/>
    </w:pPr>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111">
    <w:name w:val="Grid Table 4 - Accent 11111"/>
    <w:basedOn w:val="TableNormal"/>
    <w:uiPriority w:val="49"/>
    <w:rsid w:val="00EC5276"/>
    <w:pPr>
      <w:spacing w:after="0" w:line="240" w:lineRule="auto"/>
    </w:pPr>
    <w:rPr>
      <w:rFonts w:eastAsia="Times New Roman"/>
    </w:rPr>
    <w:tblPr>
      <w:tblStyleRowBandSize w:val="1"/>
      <w:tblStyleColBandSize w:val="1"/>
      <w:tblBorders>
        <w:top w:val="single" w:sz="4" w:space="0" w:color="D5C88A"/>
        <w:left w:val="single" w:sz="4" w:space="0" w:color="D5C88A"/>
        <w:bottom w:val="single" w:sz="4" w:space="0" w:color="D5C88A"/>
        <w:right w:val="single" w:sz="4" w:space="0" w:color="D5C88A"/>
        <w:insideH w:val="single" w:sz="4" w:space="0" w:color="D5C88A"/>
        <w:insideV w:val="single" w:sz="4" w:space="0" w:color="D5C88A"/>
      </w:tblBorders>
    </w:tblPr>
    <w:tblStylePr w:type="firstRow">
      <w:rPr>
        <w:b/>
        <w:bCs/>
        <w:color w:val="FFFFFF"/>
      </w:rPr>
      <w:tblPr/>
      <w:tcPr>
        <w:tcBorders>
          <w:top w:val="single" w:sz="4" w:space="0" w:color="B7A241"/>
          <w:left w:val="single" w:sz="4" w:space="0" w:color="B7A241"/>
          <w:bottom w:val="single" w:sz="4" w:space="0" w:color="B7A241"/>
          <w:right w:val="single" w:sz="4" w:space="0" w:color="B7A241"/>
          <w:insideH w:val="nil"/>
          <w:insideV w:val="nil"/>
        </w:tcBorders>
        <w:shd w:val="clear" w:color="auto" w:fill="B7A241"/>
      </w:tcPr>
    </w:tblStylePr>
    <w:tblStylePr w:type="lastRow">
      <w:rPr>
        <w:b/>
        <w:bCs/>
      </w:rPr>
      <w:tblPr/>
      <w:tcPr>
        <w:tcBorders>
          <w:top w:val="double" w:sz="4" w:space="0" w:color="B7A241"/>
        </w:tcBorders>
      </w:tcPr>
    </w:tblStylePr>
    <w:tblStylePr w:type="firstCol">
      <w:rPr>
        <w:b/>
        <w:bCs/>
      </w:rPr>
    </w:tblStylePr>
    <w:tblStylePr w:type="lastCol">
      <w:rPr>
        <w:b/>
        <w:bCs/>
      </w:rPr>
    </w:tblStylePr>
    <w:tblStylePr w:type="band1Vert">
      <w:tblPr/>
      <w:tcPr>
        <w:shd w:val="clear" w:color="auto" w:fill="F1ECD8"/>
      </w:tcPr>
    </w:tblStylePr>
    <w:tblStylePr w:type="band1Horz">
      <w:tblPr/>
      <w:tcPr>
        <w:shd w:val="clear" w:color="auto" w:fill="F1ECD8"/>
      </w:tcPr>
    </w:tblStylePr>
  </w:style>
  <w:style w:type="table" w:customStyle="1" w:styleId="PlainTable41111">
    <w:name w:val="Plain Table 41111"/>
    <w:basedOn w:val="TableNormal"/>
    <w:uiPriority w:val="44"/>
    <w:rsid w:val="00EC5276"/>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111">
    <w:name w:val="Grid Table 4 - Accent 51111"/>
    <w:basedOn w:val="TableNormal"/>
    <w:uiPriority w:val="49"/>
    <w:rsid w:val="00EC5276"/>
    <w:pPr>
      <w:spacing w:after="0" w:line="240" w:lineRule="auto"/>
    </w:pPr>
    <w:rPr>
      <w:rFonts w:eastAsia="Times New Roman"/>
    </w:rPr>
    <w:tblPr>
      <w:tblStyleRowBandSize w:val="1"/>
      <w:tblStyleColBandSize w:val="1"/>
      <w:tblBorders>
        <w:top w:val="single" w:sz="4" w:space="0" w:color="B464A0"/>
        <w:left w:val="single" w:sz="4" w:space="0" w:color="B464A0"/>
        <w:bottom w:val="single" w:sz="4" w:space="0" w:color="B464A0"/>
        <w:right w:val="single" w:sz="4" w:space="0" w:color="B464A0"/>
        <w:insideH w:val="single" w:sz="4" w:space="0" w:color="B464A0"/>
        <w:insideV w:val="single" w:sz="4" w:space="0" w:color="B464A0"/>
      </w:tblBorders>
    </w:tblPr>
    <w:tblStylePr w:type="firstRow">
      <w:rPr>
        <w:b/>
        <w:bCs/>
        <w:color w:val="FFFFFF"/>
      </w:rPr>
      <w:tblPr/>
      <w:tcPr>
        <w:tcBorders>
          <w:top w:val="single" w:sz="4" w:space="0" w:color="572A4C"/>
          <w:left w:val="single" w:sz="4" w:space="0" w:color="572A4C"/>
          <w:bottom w:val="single" w:sz="4" w:space="0" w:color="572A4C"/>
          <w:right w:val="single" w:sz="4" w:space="0" w:color="572A4C"/>
          <w:insideH w:val="nil"/>
          <w:insideV w:val="nil"/>
        </w:tcBorders>
        <w:shd w:val="clear" w:color="auto" w:fill="572A4C"/>
      </w:tcPr>
    </w:tblStylePr>
    <w:tblStylePr w:type="lastRow">
      <w:rPr>
        <w:b/>
        <w:bCs/>
      </w:rPr>
      <w:tblPr/>
      <w:tcPr>
        <w:tcBorders>
          <w:top w:val="double" w:sz="4" w:space="0" w:color="572A4C"/>
        </w:tcBorders>
      </w:tcPr>
    </w:tblStylePr>
    <w:tblStylePr w:type="firstCol">
      <w:rPr>
        <w:b/>
        <w:bCs/>
      </w:rPr>
    </w:tblStylePr>
    <w:tblStylePr w:type="lastCol">
      <w:rPr>
        <w:b/>
        <w:bCs/>
      </w:rPr>
    </w:tblStylePr>
    <w:tblStylePr w:type="band1Vert">
      <w:tblPr/>
      <w:tcPr>
        <w:shd w:val="clear" w:color="auto" w:fill="E6CBDF"/>
      </w:tcPr>
    </w:tblStylePr>
    <w:tblStylePr w:type="band1Horz">
      <w:tblPr/>
      <w:tcPr>
        <w:shd w:val="clear" w:color="auto" w:fill="E6CBDF"/>
      </w:tcPr>
    </w:tblStylePr>
  </w:style>
  <w:style w:type="table" w:customStyle="1" w:styleId="TableGrid211">
    <w:name w:val="Table Grid211"/>
    <w:basedOn w:val="TableNormal"/>
    <w:next w:val="TableGrid"/>
    <w:uiPriority w:val="59"/>
    <w:rsid w:val="00EC52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11">
    <w:name w:val="Light Shading - Accent 2211"/>
    <w:basedOn w:val="TableNormal"/>
    <w:next w:val="LightShading-Accent2"/>
    <w:uiPriority w:val="60"/>
    <w:unhideWhenUsed/>
    <w:rsid w:val="00EC5276"/>
    <w:pPr>
      <w:spacing w:before="240" w:after="0" w:line="240" w:lineRule="auto"/>
      <w:jc w:val="both"/>
    </w:pPr>
    <w:rPr>
      <w:rFonts w:eastAsia="Times New Roman"/>
      <w:color w:val="87262C"/>
    </w:rPr>
    <w:tblPr>
      <w:tblStyleRowBandSize w:val="1"/>
      <w:tblStyleColBandSize w:val="1"/>
      <w:tblBorders>
        <w:top w:val="single" w:sz="8" w:space="0" w:color="B5333C"/>
        <w:bottom w:val="single" w:sz="8" w:space="0" w:color="B5333C"/>
      </w:tblBorders>
    </w:tblPr>
    <w:tblStylePr w:type="fir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5333C"/>
          <w:left w:val="nil"/>
          <w:bottom w:val="single" w:sz="8" w:space="0" w:color="B5333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B"/>
      </w:tcPr>
    </w:tblStylePr>
    <w:tblStylePr w:type="band1Horz">
      <w:tblPr/>
      <w:tcPr>
        <w:tcBorders>
          <w:left w:val="nil"/>
          <w:right w:val="nil"/>
          <w:insideH w:val="nil"/>
          <w:insideV w:val="nil"/>
        </w:tcBorders>
        <w:shd w:val="clear" w:color="auto" w:fill="EFC9CB"/>
      </w:tcPr>
    </w:tblStylePr>
  </w:style>
  <w:style w:type="table" w:customStyle="1" w:styleId="LightShading-Accent3211">
    <w:name w:val="Light Shading - Accent 3211"/>
    <w:basedOn w:val="TableNormal"/>
    <w:next w:val="LightShading-Accent3"/>
    <w:uiPriority w:val="60"/>
    <w:unhideWhenUsed/>
    <w:rsid w:val="00EC5276"/>
    <w:pPr>
      <w:spacing w:before="240" w:after="0" w:line="240" w:lineRule="auto"/>
      <w:jc w:val="both"/>
    </w:pPr>
    <w:rPr>
      <w:rFonts w:eastAsia="Times New Roman"/>
      <w:color w:val="A32F2E"/>
    </w:rPr>
    <w:tblPr>
      <w:tblStyleRowBandSize w:val="1"/>
      <w:tblStyleColBandSize w:val="1"/>
      <w:tblBorders>
        <w:top w:val="single" w:sz="8" w:space="0" w:color="CC4D4C"/>
        <w:bottom w:val="single" w:sz="8" w:space="0" w:color="CC4D4C"/>
      </w:tblBorders>
    </w:tblPr>
    <w:tblStylePr w:type="fir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C4D4C"/>
          <w:left w:val="nil"/>
          <w:bottom w:val="single" w:sz="8" w:space="0" w:color="CC4D4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2D2"/>
      </w:tcPr>
    </w:tblStylePr>
    <w:tblStylePr w:type="band1Horz">
      <w:tblPr/>
      <w:tcPr>
        <w:tcBorders>
          <w:left w:val="nil"/>
          <w:right w:val="nil"/>
          <w:insideH w:val="nil"/>
          <w:insideV w:val="nil"/>
        </w:tcBorders>
        <w:shd w:val="clear" w:color="auto" w:fill="F2D2D2"/>
      </w:tcPr>
    </w:tblStylePr>
  </w:style>
  <w:style w:type="table" w:customStyle="1" w:styleId="LightShading1111">
    <w:name w:val="Light Shading1111"/>
    <w:basedOn w:val="TableNormal"/>
    <w:uiPriority w:val="60"/>
    <w:rsid w:val="00EC5276"/>
    <w:pPr>
      <w:spacing w:before="240" w:after="0" w:line="240" w:lineRule="auto"/>
      <w:jc w:val="both"/>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1">
    <w:name w:val="Light Shading - Accent 11111"/>
    <w:basedOn w:val="TableNormal"/>
    <w:uiPriority w:val="60"/>
    <w:rsid w:val="00EC5276"/>
    <w:pPr>
      <w:spacing w:before="240" w:after="0" w:line="240" w:lineRule="auto"/>
      <w:jc w:val="both"/>
    </w:pPr>
    <w:rPr>
      <w:rFonts w:eastAsia="Times New Roman"/>
      <w:color w:val="887830"/>
    </w:rPr>
    <w:tblPr>
      <w:tblStyleRowBandSize w:val="1"/>
      <w:tblStyleColBandSize w:val="1"/>
      <w:tblBorders>
        <w:top w:val="single" w:sz="8" w:space="0" w:color="B7A241"/>
        <w:bottom w:val="single" w:sz="8" w:space="0" w:color="B7A241"/>
      </w:tblBorders>
    </w:tblPr>
    <w:tblStylePr w:type="firstRow">
      <w:pPr>
        <w:spacing w:beforeLines="0" w:beforeAutospacing="0" w:afterLines="0" w:afterAutospacing="0" w:line="240" w:lineRule="auto"/>
      </w:pPr>
      <w:rPr>
        <w:b/>
        <w:bCs/>
      </w:rPr>
      <w:tblPr/>
      <w:tcPr>
        <w:tcBorders>
          <w:top w:val="single" w:sz="8" w:space="0" w:color="B7A241"/>
          <w:left w:val="nil"/>
          <w:bottom w:val="single" w:sz="8" w:space="0" w:color="B7A24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B7A241"/>
          <w:left w:val="nil"/>
          <w:bottom w:val="single" w:sz="8" w:space="0" w:color="B7A24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8CF"/>
      </w:tcPr>
    </w:tblStylePr>
    <w:tblStylePr w:type="band1Horz">
      <w:tblPr/>
      <w:tcPr>
        <w:tcBorders>
          <w:left w:val="nil"/>
          <w:right w:val="nil"/>
          <w:insideH w:val="nil"/>
          <w:insideV w:val="nil"/>
        </w:tcBorders>
        <w:shd w:val="clear" w:color="auto" w:fill="EEE8CF"/>
      </w:tcPr>
    </w:tblStylePr>
  </w:style>
  <w:style w:type="table" w:customStyle="1" w:styleId="LightList1111">
    <w:name w:val="Light List1111"/>
    <w:basedOn w:val="TableNormal"/>
    <w:uiPriority w:val="61"/>
    <w:rsid w:val="00EC5276"/>
    <w:pPr>
      <w:spacing w:after="0" w:line="240" w:lineRule="auto"/>
      <w:jc w:val="both"/>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11">
    <w:name w:val="Light List2111"/>
    <w:basedOn w:val="TableNormal"/>
    <w:uiPriority w:val="61"/>
    <w:rsid w:val="00EC5276"/>
    <w:pPr>
      <w:spacing w:after="0" w:line="240" w:lineRule="auto"/>
      <w:jc w:val="both"/>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1">
    <w:name w:val="Table Grid1111"/>
    <w:basedOn w:val="TableNormal"/>
    <w:uiPriority w:val="59"/>
    <w:rsid w:val="00EC527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11">
    <w:name w:val="Grid Table 4 - Accent 21111"/>
    <w:basedOn w:val="TableNormal"/>
    <w:uiPriority w:val="49"/>
    <w:rsid w:val="00EC527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insideV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insideV w:val="nil"/>
        </w:tcBorders>
        <w:shd w:val="clear" w:color="auto" w:fill="B5333C"/>
      </w:tcPr>
    </w:tblStylePr>
    <w:tblStylePr w:type="lastRow">
      <w:rPr>
        <w:b/>
        <w:bCs/>
      </w:rPr>
      <w:tblPr/>
      <w:tcPr>
        <w:tcBorders>
          <w:top w:val="double" w:sz="4" w:space="0" w:color="B5333C"/>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2-Accent31111">
    <w:name w:val="Grid Table 2 - Accent 31111"/>
    <w:basedOn w:val="TableNormal"/>
    <w:uiPriority w:val="47"/>
    <w:rsid w:val="00EC5276"/>
    <w:pPr>
      <w:spacing w:after="0" w:line="240" w:lineRule="auto"/>
    </w:pPr>
    <w:rPr>
      <w:rFonts w:eastAsia="Times New Roman"/>
    </w:rPr>
    <w:tblPr>
      <w:tblStyleRowBandSize w:val="1"/>
      <w:tblStyleColBandSize w:val="1"/>
      <w:tblBorders>
        <w:top w:val="single" w:sz="2" w:space="0" w:color="E09393"/>
        <w:bottom w:val="single" w:sz="2" w:space="0" w:color="E09393"/>
        <w:insideH w:val="single" w:sz="2" w:space="0" w:color="E09393"/>
        <w:insideV w:val="single" w:sz="2" w:space="0" w:color="E09393"/>
      </w:tblBorders>
    </w:tblPr>
    <w:tblStylePr w:type="firstRow">
      <w:rPr>
        <w:b/>
        <w:bCs/>
      </w:rPr>
      <w:tblPr/>
      <w:tcPr>
        <w:tcBorders>
          <w:top w:val="nil"/>
          <w:bottom w:val="single" w:sz="12" w:space="0" w:color="E09393"/>
          <w:insideH w:val="nil"/>
          <w:insideV w:val="nil"/>
        </w:tcBorders>
        <w:shd w:val="clear" w:color="auto" w:fill="FFFFFF"/>
      </w:tcPr>
    </w:tblStylePr>
    <w:tblStylePr w:type="lastRow">
      <w:rPr>
        <w:b/>
        <w:bCs/>
      </w:rPr>
      <w:tblPr/>
      <w:tcPr>
        <w:tcBorders>
          <w:top w:val="double" w:sz="2" w:space="0" w:color="E0939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4DBDB"/>
      </w:tcPr>
    </w:tblStylePr>
    <w:tblStylePr w:type="band1Horz">
      <w:tblPr/>
      <w:tcPr>
        <w:shd w:val="clear" w:color="auto" w:fill="F4DBDB"/>
      </w:tcPr>
    </w:tblStylePr>
  </w:style>
  <w:style w:type="table" w:customStyle="1" w:styleId="ListTable3-Accent41111">
    <w:name w:val="List Table 3 - Accent 41111"/>
    <w:basedOn w:val="TableNormal"/>
    <w:uiPriority w:val="48"/>
    <w:rsid w:val="00EC5276"/>
    <w:pPr>
      <w:spacing w:after="0" w:line="240" w:lineRule="auto"/>
    </w:pPr>
    <w:rPr>
      <w:rFonts w:eastAsia="Times New Roman"/>
    </w:rPr>
    <w:tblPr>
      <w:tblStyleRowBandSize w:val="1"/>
      <w:tblStyleColBandSize w:val="1"/>
      <w:tblBorders>
        <w:top w:val="single" w:sz="4" w:space="0" w:color="D6542C"/>
        <w:left w:val="single" w:sz="4" w:space="0" w:color="D6542C"/>
        <w:bottom w:val="single" w:sz="4" w:space="0" w:color="D6542C"/>
        <w:right w:val="single" w:sz="4" w:space="0" w:color="D6542C"/>
      </w:tblBorders>
    </w:tblPr>
    <w:tblStylePr w:type="firstRow">
      <w:rPr>
        <w:b/>
        <w:bCs/>
        <w:color w:val="FFFFFF"/>
      </w:rPr>
      <w:tblPr/>
      <w:tcPr>
        <w:shd w:val="clear" w:color="auto" w:fill="D6542C"/>
      </w:tcPr>
    </w:tblStylePr>
    <w:tblStylePr w:type="lastRow">
      <w:rPr>
        <w:b/>
        <w:bCs/>
      </w:rPr>
      <w:tblPr/>
      <w:tcPr>
        <w:tcBorders>
          <w:top w:val="double" w:sz="4" w:space="0" w:color="D6542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6542C"/>
          <w:right w:val="single" w:sz="4" w:space="0" w:color="D6542C"/>
        </w:tcBorders>
      </w:tcPr>
    </w:tblStylePr>
    <w:tblStylePr w:type="band1Horz">
      <w:tblPr/>
      <w:tcPr>
        <w:tcBorders>
          <w:top w:val="single" w:sz="4" w:space="0" w:color="D6542C"/>
          <w:bottom w:val="single" w:sz="4" w:space="0" w:color="D6542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542C"/>
          <w:left w:val="nil"/>
        </w:tcBorders>
      </w:tcPr>
    </w:tblStylePr>
    <w:tblStylePr w:type="swCell">
      <w:tblPr/>
      <w:tcPr>
        <w:tcBorders>
          <w:top w:val="double" w:sz="4" w:space="0" w:color="D6542C"/>
          <w:right w:val="nil"/>
        </w:tcBorders>
      </w:tcPr>
    </w:tblStylePr>
  </w:style>
  <w:style w:type="table" w:customStyle="1" w:styleId="ListTable4-Accent21111">
    <w:name w:val="List Table 4 - Accent 21111"/>
    <w:basedOn w:val="TableNormal"/>
    <w:uiPriority w:val="49"/>
    <w:rsid w:val="00EC527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5Dark-Accent11111">
    <w:name w:val="Grid Table 5 Dark - Accent 11111"/>
    <w:basedOn w:val="TableNormal"/>
    <w:uiPriority w:val="50"/>
    <w:rsid w:val="00EC527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1EC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7A2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7A2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7A2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7A241"/>
      </w:tcPr>
    </w:tblStylePr>
    <w:tblStylePr w:type="band1Vert">
      <w:tblPr/>
      <w:tcPr>
        <w:shd w:val="clear" w:color="auto" w:fill="E3DAB1"/>
      </w:tcPr>
    </w:tblStylePr>
    <w:tblStylePr w:type="band1Horz">
      <w:tblPr/>
      <w:tcPr>
        <w:shd w:val="clear" w:color="auto" w:fill="E3DAB1"/>
      </w:tcPr>
    </w:tblStylePr>
  </w:style>
  <w:style w:type="table" w:customStyle="1" w:styleId="ListTable1Light-Accent21111">
    <w:name w:val="List Table 1 Light - Accent 21111"/>
    <w:basedOn w:val="TableNormal"/>
    <w:uiPriority w:val="46"/>
    <w:rsid w:val="00EC5276"/>
    <w:pPr>
      <w:spacing w:after="0" w:line="240" w:lineRule="auto"/>
    </w:pPr>
    <w:rPr>
      <w:rFonts w:eastAsia="Times New Roman"/>
    </w:rPr>
    <w:tblPr>
      <w:tblStyleRowBandSize w:val="1"/>
      <w:tblStyleColBandSize w:val="1"/>
    </w:tblPr>
    <w:tblStylePr w:type="firstRow">
      <w:rPr>
        <w:b/>
        <w:bCs/>
      </w:rPr>
      <w:tblPr/>
      <w:tcPr>
        <w:tcBorders>
          <w:bottom w:val="single" w:sz="4" w:space="0" w:color="DA7C82"/>
        </w:tcBorders>
      </w:tcPr>
    </w:tblStylePr>
    <w:tblStylePr w:type="lastRow">
      <w:rPr>
        <w:b/>
        <w:bCs/>
      </w:rPr>
      <w:tblPr/>
      <w:tcPr>
        <w:tcBorders>
          <w:top w:val="sing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ListTable1Light-Accent11111">
    <w:name w:val="List Table 1 Light - Accent 11111"/>
    <w:basedOn w:val="TableNormal"/>
    <w:uiPriority w:val="46"/>
    <w:rsid w:val="00EC5276"/>
    <w:pPr>
      <w:spacing w:after="0" w:line="240" w:lineRule="auto"/>
    </w:pPr>
    <w:rPr>
      <w:rFonts w:eastAsia="Times New Roman"/>
    </w:rPr>
    <w:tblPr>
      <w:tblStyleRowBandSize w:val="1"/>
      <w:tblStyleColBandSize w:val="1"/>
    </w:tblPr>
    <w:tblStylePr w:type="firstRow">
      <w:rPr>
        <w:b/>
        <w:bCs/>
      </w:rPr>
      <w:tblPr/>
      <w:tcPr>
        <w:tcBorders>
          <w:bottom w:val="single" w:sz="4" w:space="0" w:color="D5C88A"/>
        </w:tcBorders>
      </w:tcPr>
    </w:tblStylePr>
    <w:tblStylePr w:type="lastRow">
      <w:rPr>
        <w:b/>
        <w:bCs/>
      </w:rPr>
      <w:tblPr/>
      <w:tcPr>
        <w:tcBorders>
          <w:top w:val="single" w:sz="4" w:space="0" w:color="D5C88A"/>
        </w:tcBorders>
      </w:tcPr>
    </w:tblStylePr>
    <w:tblStylePr w:type="firstCol">
      <w:rPr>
        <w:b/>
        <w:bCs/>
      </w:rPr>
    </w:tblStylePr>
    <w:tblStylePr w:type="lastCol">
      <w:rPr>
        <w:b/>
        <w:bCs/>
      </w:rPr>
    </w:tblStylePr>
    <w:tblStylePr w:type="band1Vert">
      <w:tblPr/>
      <w:tcPr>
        <w:shd w:val="clear" w:color="auto" w:fill="F1ECD8"/>
      </w:tcPr>
    </w:tblStylePr>
    <w:tblStylePr w:type="band1Horz">
      <w:tblPr/>
      <w:tcPr>
        <w:shd w:val="clear" w:color="auto" w:fill="F1ECD8"/>
      </w:tcPr>
    </w:tblStylePr>
  </w:style>
  <w:style w:type="table" w:customStyle="1" w:styleId="GridTable1Light-Accent21111">
    <w:name w:val="Grid Table 1 Light - Accent 21111"/>
    <w:basedOn w:val="TableNormal"/>
    <w:uiPriority w:val="46"/>
    <w:rsid w:val="00EC5276"/>
    <w:pPr>
      <w:spacing w:after="0" w:line="240" w:lineRule="auto"/>
    </w:pPr>
    <w:rPr>
      <w:rFonts w:eastAsia="Times New Roman"/>
    </w:rPr>
    <w:tblPr>
      <w:tblStyleRowBandSize w:val="1"/>
      <w:tblStyleColBandSize w:val="1"/>
      <w:tblBorders>
        <w:top w:val="single" w:sz="4" w:space="0" w:color="E6A8AC"/>
        <w:left w:val="single" w:sz="4" w:space="0" w:color="E6A8AC"/>
        <w:bottom w:val="single" w:sz="4" w:space="0" w:color="E6A8AC"/>
        <w:right w:val="single" w:sz="4" w:space="0" w:color="E6A8AC"/>
        <w:insideH w:val="single" w:sz="4" w:space="0" w:color="E6A8AC"/>
        <w:insideV w:val="single" w:sz="4" w:space="0" w:color="E6A8AC"/>
      </w:tblBorders>
    </w:tblPr>
    <w:tblStylePr w:type="firstRow">
      <w:rPr>
        <w:b/>
        <w:bCs/>
      </w:rPr>
      <w:tblPr/>
      <w:tcPr>
        <w:tcBorders>
          <w:bottom w:val="single" w:sz="12" w:space="0" w:color="DA7C82"/>
        </w:tcBorders>
      </w:tcPr>
    </w:tblStylePr>
    <w:tblStylePr w:type="lastRow">
      <w:rPr>
        <w:b/>
        <w:bCs/>
      </w:rPr>
      <w:tblPr/>
      <w:tcPr>
        <w:tcBorders>
          <w:top w:val="double" w:sz="2" w:space="0" w:color="DA7C82"/>
        </w:tcBorders>
      </w:tcPr>
    </w:tblStylePr>
    <w:tblStylePr w:type="firstCol">
      <w:rPr>
        <w:b/>
        <w:bCs/>
      </w:rPr>
    </w:tblStylePr>
    <w:tblStylePr w:type="lastCol">
      <w:rPr>
        <w:b/>
        <w:bCs/>
      </w:rPr>
    </w:tblStylePr>
  </w:style>
  <w:style w:type="table" w:customStyle="1" w:styleId="GridTable2-Accent21111">
    <w:name w:val="Grid Table 2 - Accent 21111"/>
    <w:basedOn w:val="TableNormal"/>
    <w:uiPriority w:val="47"/>
    <w:rsid w:val="00EC5276"/>
    <w:pPr>
      <w:spacing w:after="0" w:line="240" w:lineRule="auto"/>
    </w:pPr>
    <w:rPr>
      <w:rFonts w:eastAsia="Times New Roman"/>
    </w:rPr>
    <w:tblPr>
      <w:tblStyleRowBandSize w:val="1"/>
      <w:tblStyleColBandSize w:val="1"/>
      <w:tblBorders>
        <w:top w:val="single" w:sz="2" w:space="0" w:color="DA7C82"/>
        <w:bottom w:val="single" w:sz="2" w:space="0" w:color="DA7C82"/>
        <w:insideH w:val="single" w:sz="2" w:space="0" w:color="DA7C82"/>
        <w:insideV w:val="single" w:sz="2" w:space="0" w:color="DA7C82"/>
      </w:tblBorders>
    </w:tblPr>
    <w:tblStylePr w:type="firstRow">
      <w:rPr>
        <w:b/>
        <w:bCs/>
      </w:rPr>
      <w:tblPr/>
      <w:tcPr>
        <w:tcBorders>
          <w:top w:val="nil"/>
          <w:bottom w:val="single" w:sz="12" w:space="0" w:color="DA7C82"/>
          <w:insideH w:val="nil"/>
          <w:insideV w:val="nil"/>
        </w:tcBorders>
        <w:shd w:val="clear" w:color="auto" w:fill="FFFFFF"/>
      </w:tcPr>
    </w:tblStylePr>
    <w:tblStylePr w:type="lastRow">
      <w:rPr>
        <w:b/>
        <w:bCs/>
      </w:rPr>
      <w:tblPr/>
      <w:tcPr>
        <w:tcBorders>
          <w:top w:val="double" w:sz="2" w:space="0" w:color="DA7C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GridTable1Light1111">
    <w:name w:val="Grid Table 1 Light1111"/>
    <w:basedOn w:val="TableNormal"/>
    <w:uiPriority w:val="46"/>
    <w:rsid w:val="00EC5276"/>
    <w:pPr>
      <w:spacing w:after="0" w:line="240" w:lineRule="auto"/>
    </w:pPr>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TW2018Table11">
    <w:name w:val="MTW 2018 Table11"/>
    <w:basedOn w:val="TableNormal"/>
    <w:uiPriority w:val="99"/>
    <w:rsid w:val="00EC5276"/>
    <w:pPr>
      <w:spacing w:after="0" w:line="240" w:lineRule="auto"/>
    </w:pPr>
    <w:rPr>
      <w:rFonts w:eastAsia="Times New Roman"/>
    </w:rPr>
    <w:tblPr/>
  </w:style>
  <w:style w:type="table" w:customStyle="1" w:styleId="LightShading-Accent231">
    <w:name w:val="Light Shading - Accent 231"/>
    <w:basedOn w:val="TableNormal"/>
    <w:next w:val="LightShading-Accent2"/>
    <w:uiPriority w:val="60"/>
    <w:semiHidden/>
    <w:unhideWhenUsed/>
    <w:rsid w:val="00EC5276"/>
    <w:pPr>
      <w:spacing w:after="0" w:line="240" w:lineRule="auto"/>
    </w:pPr>
    <w:rPr>
      <w:rFonts w:eastAsia="Calibri"/>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List-Accent221">
    <w:name w:val="Light List - Accent 221"/>
    <w:basedOn w:val="TableNormal"/>
    <w:next w:val="LightList-Accent2"/>
    <w:uiPriority w:val="61"/>
    <w:semiHidden/>
    <w:unhideWhenUsed/>
    <w:rsid w:val="00EC5276"/>
    <w:pPr>
      <w:spacing w:after="0" w:line="240" w:lineRule="auto"/>
    </w:pPr>
    <w:rPr>
      <w:rFonts w:eastAsia="Calibri"/>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Shading-Accent331">
    <w:name w:val="Light Shading - Accent 331"/>
    <w:basedOn w:val="TableNormal"/>
    <w:next w:val="LightShading-Accent3"/>
    <w:uiPriority w:val="60"/>
    <w:semiHidden/>
    <w:unhideWhenUsed/>
    <w:rsid w:val="00EC5276"/>
    <w:pPr>
      <w:spacing w:after="0" w:line="240" w:lineRule="auto"/>
    </w:pPr>
    <w:rPr>
      <w:rFonts w:eastAsia="Calibri"/>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321">
    <w:name w:val="Light List - Accent 321"/>
    <w:basedOn w:val="TableNormal"/>
    <w:next w:val="LightList-Accent3"/>
    <w:uiPriority w:val="61"/>
    <w:semiHidden/>
    <w:unhideWhenUsed/>
    <w:rsid w:val="00EC5276"/>
    <w:pPr>
      <w:spacing w:after="0" w:line="240" w:lineRule="auto"/>
    </w:pPr>
    <w:rPr>
      <w:rFonts w:eastAsia="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1">
    <w:name w:val="Light Grid - Accent 321"/>
    <w:basedOn w:val="TableNormal"/>
    <w:next w:val="LightGrid-Accent3"/>
    <w:uiPriority w:val="62"/>
    <w:semiHidden/>
    <w:unhideWhenUsed/>
    <w:rsid w:val="00EC5276"/>
    <w:pPr>
      <w:spacing w:after="0" w:line="240" w:lineRule="auto"/>
    </w:pPr>
    <w:rPr>
      <w:rFonts w:eastAsia="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1">
    <w:name w:val="Medium Shading 1 - Accent 321"/>
    <w:basedOn w:val="TableNormal"/>
    <w:next w:val="MediumShading1-Accent3"/>
    <w:uiPriority w:val="63"/>
    <w:semiHidden/>
    <w:unhideWhenUsed/>
    <w:rsid w:val="00EC5276"/>
    <w:pPr>
      <w:spacing w:after="0" w:line="240" w:lineRule="auto"/>
    </w:pPr>
    <w:rPr>
      <w:rFonts w:eastAsia="Calibri"/>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EC5276"/>
    <w:pPr>
      <w:spacing w:after="0" w:line="240" w:lineRule="auto"/>
    </w:pPr>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GridTable4-Accent2131">
    <w:name w:val="Grid Table 4 - Accent 2131"/>
    <w:basedOn w:val="TableNormal"/>
    <w:uiPriority w:val="49"/>
    <w:rsid w:val="00EC5276"/>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insideV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insideV w:val="nil"/>
        </w:tcBorders>
        <w:shd w:val="clear" w:color="auto" w:fill="B5333C" w:themeFill="accent2"/>
      </w:tcPr>
    </w:tblStylePr>
    <w:tblStylePr w:type="lastRow">
      <w:rPr>
        <w:b/>
        <w:bCs/>
      </w:rPr>
      <w:tblPr/>
      <w:tcPr>
        <w:tcBorders>
          <w:top w:val="double" w:sz="4" w:space="0" w:color="B5333C" w:themeColor="accent2"/>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table" w:customStyle="1" w:styleId="TableGrid41">
    <w:name w:val="Table Grid41"/>
    <w:basedOn w:val="TableNormal"/>
    <w:next w:val="TableGrid"/>
    <w:uiPriority w:val="59"/>
    <w:rsid w:val="00EC5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C5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2131">
    <w:name w:val="List Table 4 - Accent 2131"/>
    <w:basedOn w:val="TableNormal"/>
    <w:uiPriority w:val="49"/>
    <w:rsid w:val="00EC527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ListTable4-Accent2141">
    <w:name w:val="List Table 4 - Accent 2141"/>
    <w:basedOn w:val="TableNormal"/>
    <w:uiPriority w:val="49"/>
    <w:rsid w:val="00EC527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ListTable4-Accent2151">
    <w:name w:val="List Table 4 - Accent 2151"/>
    <w:basedOn w:val="TableNormal"/>
    <w:uiPriority w:val="49"/>
    <w:rsid w:val="00EC5276"/>
    <w:pPr>
      <w:spacing w:after="0" w:line="240" w:lineRule="auto"/>
    </w:pPr>
    <w:rPr>
      <w:rFonts w:eastAsia="Times New Roman"/>
    </w:rPr>
    <w:tblPr>
      <w:tblStyleRowBandSize w:val="1"/>
      <w:tblStyleColBandSize w:val="1"/>
      <w:tblBorders>
        <w:top w:val="single" w:sz="4" w:space="0" w:color="DA7C82"/>
        <w:left w:val="single" w:sz="4" w:space="0" w:color="DA7C82"/>
        <w:bottom w:val="single" w:sz="4" w:space="0" w:color="DA7C82"/>
        <w:right w:val="single" w:sz="4" w:space="0" w:color="DA7C82"/>
        <w:insideH w:val="single" w:sz="4" w:space="0" w:color="DA7C82"/>
      </w:tblBorders>
    </w:tblPr>
    <w:tblStylePr w:type="firstRow">
      <w:rPr>
        <w:b/>
        <w:bCs/>
        <w:color w:val="FFFFFF"/>
      </w:rPr>
      <w:tblPr/>
      <w:tcPr>
        <w:tcBorders>
          <w:top w:val="single" w:sz="4" w:space="0" w:color="B5333C"/>
          <w:left w:val="single" w:sz="4" w:space="0" w:color="B5333C"/>
          <w:bottom w:val="single" w:sz="4" w:space="0" w:color="B5333C"/>
          <w:right w:val="single" w:sz="4" w:space="0" w:color="B5333C"/>
          <w:insideH w:val="nil"/>
        </w:tcBorders>
        <w:shd w:val="clear" w:color="auto" w:fill="B5333C"/>
      </w:tcPr>
    </w:tblStylePr>
    <w:tblStylePr w:type="lastRow">
      <w:rPr>
        <w:b/>
        <w:bCs/>
      </w:rPr>
      <w:tblPr/>
      <w:tcPr>
        <w:tcBorders>
          <w:top w:val="double" w:sz="4" w:space="0" w:color="DA7C82"/>
        </w:tcBorders>
      </w:tcPr>
    </w:tblStylePr>
    <w:tblStylePr w:type="firstCol">
      <w:rPr>
        <w:b/>
        <w:bCs/>
      </w:rPr>
    </w:tblStylePr>
    <w:tblStylePr w:type="lastCol">
      <w:rPr>
        <w:b/>
        <w:bCs/>
      </w:rPr>
    </w:tblStylePr>
    <w:tblStylePr w:type="band1Vert">
      <w:tblPr/>
      <w:tcPr>
        <w:shd w:val="clear" w:color="auto" w:fill="F2D3D5"/>
      </w:tcPr>
    </w:tblStylePr>
    <w:tblStylePr w:type="band1Horz">
      <w:tblPr/>
      <w:tcPr>
        <w:shd w:val="clear" w:color="auto" w:fill="F2D3D5"/>
      </w:tcPr>
    </w:tblStylePr>
  </w:style>
  <w:style w:type="table" w:customStyle="1" w:styleId="TableGrid71">
    <w:name w:val="Table Grid71"/>
    <w:basedOn w:val="TableNormal"/>
    <w:next w:val="TableGrid"/>
    <w:uiPriority w:val="59"/>
    <w:rsid w:val="005C55B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217">
    <w:name w:val="List Table 4 - Accent 217"/>
    <w:basedOn w:val="TableNormal"/>
    <w:uiPriority w:val="49"/>
    <w:rsid w:val="00EC2B02"/>
    <w:pPr>
      <w:spacing w:after="0" w:line="240" w:lineRule="auto"/>
    </w:pPr>
    <w:tblPr>
      <w:tblStyleRowBandSize w:val="1"/>
      <w:tblStyleColBandSize w:val="1"/>
      <w:tblBorders>
        <w:top w:val="single" w:sz="4" w:space="0" w:color="DA7C82" w:themeColor="accent2" w:themeTint="99"/>
        <w:left w:val="single" w:sz="4" w:space="0" w:color="DA7C82" w:themeColor="accent2" w:themeTint="99"/>
        <w:bottom w:val="single" w:sz="4" w:space="0" w:color="DA7C82" w:themeColor="accent2" w:themeTint="99"/>
        <w:right w:val="single" w:sz="4" w:space="0" w:color="DA7C82" w:themeColor="accent2" w:themeTint="99"/>
        <w:insideH w:val="single" w:sz="4" w:space="0" w:color="DA7C82" w:themeColor="accent2" w:themeTint="99"/>
      </w:tblBorders>
    </w:tblPr>
    <w:tblStylePr w:type="firstRow">
      <w:rPr>
        <w:b/>
        <w:bCs/>
        <w:color w:val="FFFFFF" w:themeColor="background1"/>
      </w:rPr>
      <w:tblPr/>
      <w:tcPr>
        <w:tcBorders>
          <w:top w:val="single" w:sz="4" w:space="0" w:color="B5333C" w:themeColor="accent2"/>
          <w:left w:val="single" w:sz="4" w:space="0" w:color="B5333C" w:themeColor="accent2"/>
          <w:bottom w:val="single" w:sz="4" w:space="0" w:color="B5333C" w:themeColor="accent2"/>
          <w:right w:val="single" w:sz="4" w:space="0" w:color="B5333C" w:themeColor="accent2"/>
          <w:insideH w:val="nil"/>
        </w:tcBorders>
        <w:shd w:val="clear" w:color="auto" w:fill="B5333C" w:themeFill="accent2"/>
      </w:tcPr>
    </w:tblStylePr>
    <w:tblStylePr w:type="lastRow">
      <w:rPr>
        <w:b/>
        <w:bCs/>
      </w:rPr>
      <w:tblPr/>
      <w:tcPr>
        <w:tcBorders>
          <w:top w:val="double" w:sz="4" w:space="0" w:color="DA7C82" w:themeColor="accent2" w:themeTint="99"/>
        </w:tcBorders>
      </w:tcPr>
    </w:tblStylePr>
    <w:tblStylePr w:type="firstCol">
      <w:rPr>
        <w:b/>
        <w:bCs/>
      </w:rPr>
    </w:tblStylePr>
    <w:tblStylePr w:type="lastCol">
      <w:rPr>
        <w:b/>
        <w:bCs/>
      </w:rPr>
    </w:tblStylePr>
    <w:tblStylePr w:type="band1Vert">
      <w:tblPr/>
      <w:tcPr>
        <w:shd w:val="clear" w:color="auto" w:fill="F2D3D5" w:themeFill="accent2" w:themeFillTint="33"/>
      </w:tcPr>
    </w:tblStylePr>
    <w:tblStylePr w:type="band1Horz">
      <w:tblPr/>
      <w:tcPr>
        <w:shd w:val="clear" w:color="auto" w:fill="F2D3D5" w:themeFill="accent2" w:themeFillTint="33"/>
      </w:tcPr>
    </w:tblStylePr>
  </w:style>
  <w:style w:type="paragraph" w:customStyle="1" w:styleId="MTWHeader1">
    <w:name w:val="MTW Header 1"/>
    <w:next w:val="Body1"/>
    <w:qFormat/>
    <w:rsid w:val="00EA0AFF"/>
    <w:pPr>
      <w:keepNext/>
      <w:widowControl w:val="0"/>
      <w:outlineLvl w:val="1"/>
    </w:pPr>
    <w:rPr>
      <w:rFonts w:ascii="Calibri" w:eastAsia="ヒラギノ角ゴ Pro W3" w:hAnsi="Calibri" w:cs="Times New Roman"/>
      <w:b/>
      <w:color w:val="000000"/>
      <w:sz w:val="28"/>
      <w:szCs w:val="28"/>
    </w:rPr>
  </w:style>
  <w:style w:type="paragraph" w:customStyle="1" w:styleId="MTWHeader2">
    <w:name w:val="MTW Header 2"/>
    <w:basedOn w:val="Heading3"/>
    <w:link w:val="MTWHeader2Char"/>
    <w:qFormat/>
    <w:rsid w:val="007966B9"/>
    <w:pPr>
      <w:spacing w:after="120"/>
    </w:pPr>
    <w:rPr>
      <w:noProof/>
      <w:color w:val="000000" w:themeColor="text1"/>
      <w:sz w:val="24"/>
      <w:lang w:eastAsia="en-US"/>
    </w:rPr>
  </w:style>
  <w:style w:type="character" w:customStyle="1" w:styleId="MTWHeader2Char">
    <w:name w:val="MTW Header 2 Char"/>
    <w:basedOn w:val="Heading3Char"/>
    <w:link w:val="MTWHeader2"/>
    <w:rsid w:val="007966B9"/>
    <w:rPr>
      <w:rFonts w:ascii="Calibri" w:eastAsiaTheme="majorEastAsia" w:hAnsi="Calibri" w:cstheme="majorBidi"/>
      <w:b/>
      <w:noProof/>
      <w:color w:val="000000" w:themeColor="text1"/>
      <w:sz w:val="24"/>
      <w:szCs w:val="32"/>
      <w:lang w:eastAsia="zh-CN"/>
    </w:rPr>
  </w:style>
  <w:style w:type="character" w:customStyle="1" w:styleId="UnresolvedMention2">
    <w:name w:val="Unresolved Mention2"/>
    <w:basedOn w:val="DefaultParagraphFont"/>
    <w:uiPriority w:val="99"/>
    <w:semiHidden/>
    <w:unhideWhenUsed/>
    <w:rsid w:val="00436F0E"/>
    <w:rPr>
      <w:color w:val="605E5C"/>
      <w:shd w:val="clear" w:color="auto" w:fill="E1DFDD"/>
    </w:rPr>
  </w:style>
  <w:style w:type="paragraph" w:customStyle="1" w:styleId="Heading21">
    <w:name w:val="Heading 21"/>
    <w:next w:val="Body1"/>
    <w:qFormat/>
    <w:rsid w:val="00B2304E"/>
    <w:pPr>
      <w:keepNext/>
      <w:widowControl w:val="0"/>
      <w:spacing w:after="200"/>
      <w:outlineLvl w:val="1"/>
    </w:pPr>
    <w:rPr>
      <w:rFonts w:ascii="Calibri" w:eastAsia="ヒラギノ角ゴ Pro W3" w:hAnsi="Calibri" w:cs="Times New Roman"/>
      <w:b/>
      <w:color w:val="000000"/>
      <w:sz w:val="22"/>
      <w:szCs w:val="22"/>
    </w:rPr>
  </w:style>
  <w:style w:type="character" w:customStyle="1" w:styleId="Mention1">
    <w:name w:val="Mention1"/>
    <w:basedOn w:val="DefaultParagraphFont"/>
    <w:uiPriority w:val="99"/>
    <w:semiHidden/>
    <w:unhideWhenUsed/>
    <w:rsid w:val="00B2304E"/>
    <w:rPr>
      <w:color w:val="2B579A"/>
      <w:shd w:val="clear" w:color="auto" w:fill="E6E6E6"/>
    </w:rPr>
  </w:style>
  <w:style w:type="character" w:customStyle="1" w:styleId="Mention2">
    <w:name w:val="Mention2"/>
    <w:basedOn w:val="DefaultParagraphFont"/>
    <w:uiPriority w:val="99"/>
    <w:semiHidden/>
    <w:unhideWhenUsed/>
    <w:rsid w:val="00B2304E"/>
    <w:rPr>
      <w:color w:val="2B579A"/>
      <w:shd w:val="clear" w:color="auto" w:fill="E6E6E6"/>
    </w:rPr>
  </w:style>
  <w:style w:type="table" w:customStyle="1" w:styleId="GridTable4-Accent41">
    <w:name w:val="Grid Table 4 - Accent 41"/>
    <w:basedOn w:val="TableNormal"/>
    <w:uiPriority w:val="49"/>
    <w:rsid w:val="00B2304E"/>
    <w:pPr>
      <w:spacing w:after="0" w:line="240" w:lineRule="auto"/>
    </w:pPr>
    <w:rPr>
      <w:rFonts w:eastAsiaTheme="minorHAnsi"/>
      <w:sz w:val="22"/>
      <w:szCs w:val="22"/>
    </w:rPr>
    <w:tblPr>
      <w:tblStyleRowBandSize w:val="1"/>
      <w:tblStyleColBandSize w:val="1"/>
      <w:tblBorders>
        <w:top w:val="single" w:sz="4" w:space="0" w:color="E69880" w:themeColor="accent4" w:themeTint="99"/>
        <w:left w:val="single" w:sz="4" w:space="0" w:color="E69880" w:themeColor="accent4" w:themeTint="99"/>
        <w:bottom w:val="single" w:sz="4" w:space="0" w:color="E69880" w:themeColor="accent4" w:themeTint="99"/>
        <w:right w:val="single" w:sz="4" w:space="0" w:color="E69880" w:themeColor="accent4" w:themeTint="99"/>
        <w:insideH w:val="single" w:sz="4" w:space="0" w:color="E69880" w:themeColor="accent4" w:themeTint="99"/>
        <w:insideV w:val="single" w:sz="4" w:space="0" w:color="E69880" w:themeColor="accent4" w:themeTint="99"/>
      </w:tblBorders>
    </w:tblPr>
    <w:tblStylePr w:type="firstRow">
      <w:rPr>
        <w:b/>
        <w:bCs/>
        <w:color w:val="FFFFFF" w:themeColor="background1"/>
      </w:rPr>
      <w:tblPr/>
      <w:tcPr>
        <w:tcBorders>
          <w:top w:val="single" w:sz="4" w:space="0" w:color="D6542C" w:themeColor="accent4"/>
          <w:left w:val="single" w:sz="4" w:space="0" w:color="D6542C" w:themeColor="accent4"/>
          <w:bottom w:val="single" w:sz="4" w:space="0" w:color="D6542C" w:themeColor="accent4"/>
          <w:right w:val="single" w:sz="4" w:space="0" w:color="D6542C" w:themeColor="accent4"/>
          <w:insideH w:val="nil"/>
          <w:insideV w:val="nil"/>
        </w:tcBorders>
        <w:shd w:val="clear" w:color="auto" w:fill="D6542C" w:themeFill="accent4"/>
      </w:tcPr>
    </w:tblStylePr>
    <w:tblStylePr w:type="lastRow">
      <w:rPr>
        <w:b/>
        <w:bCs/>
      </w:rPr>
      <w:tblPr/>
      <w:tcPr>
        <w:tcBorders>
          <w:top w:val="double" w:sz="4" w:space="0" w:color="D6542C" w:themeColor="accent4"/>
        </w:tcBorders>
      </w:tcPr>
    </w:tblStylePr>
    <w:tblStylePr w:type="firstCol">
      <w:rPr>
        <w:b/>
        <w:bCs/>
      </w:rPr>
    </w:tblStylePr>
    <w:tblStylePr w:type="lastCol">
      <w:rPr>
        <w:b/>
        <w:bCs/>
      </w:rPr>
    </w:tblStylePr>
    <w:tblStylePr w:type="band1Vert">
      <w:tblPr/>
      <w:tcPr>
        <w:shd w:val="clear" w:color="auto" w:fill="F6DCD4" w:themeFill="accent4" w:themeFillTint="33"/>
      </w:tcPr>
    </w:tblStylePr>
    <w:tblStylePr w:type="band1Horz">
      <w:tblPr/>
      <w:tcPr>
        <w:shd w:val="clear" w:color="auto" w:fill="F6DCD4" w:themeFill="accent4" w:themeFillTint="33"/>
      </w:tcPr>
    </w:tblStylePr>
  </w:style>
  <w:style w:type="paragraph" w:customStyle="1" w:styleId="Level1Bullet">
    <w:name w:val="Level 1 Bullet"/>
    <w:basedOn w:val="Normal"/>
    <w:rsid w:val="00B2304E"/>
    <w:pPr>
      <w:numPr>
        <w:numId w:val="73"/>
      </w:numPr>
    </w:pPr>
    <w:rPr>
      <w:rFonts w:ascii="Times New Roman" w:eastAsia="Times New Roman" w:hAnsi="Times New Roman"/>
      <w:sz w:val="24"/>
      <w:lang w:eastAsia="en-US"/>
    </w:rPr>
  </w:style>
  <w:style w:type="paragraph" w:customStyle="1" w:styleId="Body1Nobullet">
    <w:name w:val="Body1(No bullet)"/>
    <w:uiPriority w:val="99"/>
    <w:rsid w:val="00B230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100" w:after="60" w:line="280" w:lineRule="atLeast"/>
    </w:pPr>
    <w:rPr>
      <w:rFonts w:ascii="Times New Roman" w:hAnsi="Times New Roman" w:cs="Times New Roman"/>
      <w:color w:val="000000"/>
      <w:w w:val="0"/>
      <w:sz w:val="24"/>
      <w:szCs w:val="24"/>
    </w:rPr>
  </w:style>
  <w:style w:type="paragraph" w:customStyle="1" w:styleId="psection-2">
    <w:name w:val="psection-2"/>
    <w:basedOn w:val="Normal"/>
    <w:rsid w:val="00B2304E"/>
    <w:pPr>
      <w:spacing w:before="100" w:beforeAutospacing="1" w:after="100" w:afterAutospacing="1"/>
    </w:pPr>
    <w:rPr>
      <w:rFonts w:ascii="Times New Roman" w:eastAsia="Times New Roman" w:hAnsi="Times New Roman"/>
      <w:sz w:val="24"/>
      <w:lang w:eastAsia="en-US"/>
    </w:rPr>
  </w:style>
  <w:style w:type="character" w:customStyle="1" w:styleId="enumxml">
    <w:name w:val="enumxml"/>
    <w:basedOn w:val="DefaultParagraphFont"/>
    <w:rsid w:val="00B2304E"/>
    <w:rPr>
      <w:rFonts w:cs="Times New Roman"/>
    </w:rPr>
  </w:style>
  <w:style w:type="table" w:customStyle="1" w:styleId="TableGridLight1">
    <w:name w:val="Table Grid Light1"/>
    <w:basedOn w:val="TableNormal"/>
    <w:uiPriority w:val="40"/>
    <w:rsid w:val="00B2304E"/>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B2304E"/>
    <w:pPr>
      <w:spacing w:after="0" w:line="240" w:lineRule="auto"/>
    </w:pPr>
    <w:rPr>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unhideWhenUsed/>
    <w:rsid w:val="00B2304E"/>
    <w:rPr>
      <w:color w:val="605E5C"/>
      <w:shd w:val="clear" w:color="auto" w:fill="E1DFDD"/>
    </w:rPr>
  </w:style>
  <w:style w:type="table" w:customStyle="1" w:styleId="TableGrid61">
    <w:name w:val="Table Grid61"/>
    <w:basedOn w:val="TableNormal"/>
    <w:next w:val="TableGrid"/>
    <w:uiPriority w:val="59"/>
    <w:rsid w:val="00137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F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55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455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B0807"/>
    <w:pPr>
      <w:spacing w:before="100" w:beforeAutospacing="1" w:after="100" w:afterAutospacing="1"/>
    </w:pPr>
    <w:rPr>
      <w:rFonts w:ascii="Times New Roman" w:eastAsia="Times New Roman" w:hAnsi="Times New Roman"/>
      <w:sz w:val="24"/>
      <w:lang w:eastAsia="en-US"/>
    </w:rPr>
  </w:style>
  <w:style w:type="character" w:customStyle="1" w:styleId="eop">
    <w:name w:val="eop"/>
    <w:basedOn w:val="DefaultParagraphFont"/>
    <w:rsid w:val="00EB0807"/>
  </w:style>
  <w:style w:type="table" w:customStyle="1" w:styleId="TableGrid73">
    <w:name w:val="Table Grid73"/>
    <w:basedOn w:val="TableNormal"/>
    <w:next w:val="TableGrid"/>
    <w:uiPriority w:val="59"/>
    <w:rsid w:val="00574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B4C17"/>
    <w:rPr>
      <w:color w:val="2B579A"/>
      <w:shd w:val="clear" w:color="auto" w:fill="E1DFDD"/>
    </w:rPr>
  </w:style>
  <w:style w:type="character" w:customStyle="1" w:styleId="normaltextrun">
    <w:name w:val="normaltextrun"/>
    <w:basedOn w:val="DefaultParagraphFont"/>
    <w:rsid w:val="00ED79CA"/>
  </w:style>
  <w:style w:type="character" w:styleId="PlaceholderText">
    <w:name w:val="Placeholder Text"/>
    <w:basedOn w:val="DefaultParagraphFont"/>
    <w:uiPriority w:val="99"/>
    <w:semiHidden/>
    <w:rsid w:val="0011656E"/>
    <w:rPr>
      <w:color w:val="808080"/>
    </w:rPr>
  </w:style>
  <w:style w:type="character" w:customStyle="1" w:styleId="scxw77631169">
    <w:name w:val="scxw77631169"/>
    <w:basedOn w:val="DefaultParagraphFont"/>
    <w:rsid w:val="00055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0679">
      <w:bodyDiv w:val="1"/>
      <w:marLeft w:val="0"/>
      <w:marRight w:val="0"/>
      <w:marTop w:val="0"/>
      <w:marBottom w:val="0"/>
      <w:divBdr>
        <w:top w:val="none" w:sz="0" w:space="0" w:color="auto"/>
        <w:left w:val="none" w:sz="0" w:space="0" w:color="auto"/>
        <w:bottom w:val="none" w:sz="0" w:space="0" w:color="auto"/>
        <w:right w:val="none" w:sz="0" w:space="0" w:color="auto"/>
      </w:divBdr>
    </w:div>
    <w:div w:id="21976683">
      <w:bodyDiv w:val="1"/>
      <w:marLeft w:val="0"/>
      <w:marRight w:val="0"/>
      <w:marTop w:val="0"/>
      <w:marBottom w:val="0"/>
      <w:divBdr>
        <w:top w:val="none" w:sz="0" w:space="0" w:color="auto"/>
        <w:left w:val="none" w:sz="0" w:space="0" w:color="auto"/>
        <w:bottom w:val="none" w:sz="0" w:space="0" w:color="auto"/>
        <w:right w:val="none" w:sz="0" w:space="0" w:color="auto"/>
      </w:divBdr>
    </w:div>
    <w:div w:id="22289409">
      <w:bodyDiv w:val="1"/>
      <w:marLeft w:val="0"/>
      <w:marRight w:val="0"/>
      <w:marTop w:val="0"/>
      <w:marBottom w:val="0"/>
      <w:divBdr>
        <w:top w:val="none" w:sz="0" w:space="0" w:color="auto"/>
        <w:left w:val="none" w:sz="0" w:space="0" w:color="auto"/>
        <w:bottom w:val="none" w:sz="0" w:space="0" w:color="auto"/>
        <w:right w:val="none" w:sz="0" w:space="0" w:color="auto"/>
      </w:divBdr>
    </w:div>
    <w:div w:id="25058075">
      <w:bodyDiv w:val="1"/>
      <w:marLeft w:val="0"/>
      <w:marRight w:val="0"/>
      <w:marTop w:val="0"/>
      <w:marBottom w:val="0"/>
      <w:divBdr>
        <w:top w:val="none" w:sz="0" w:space="0" w:color="auto"/>
        <w:left w:val="none" w:sz="0" w:space="0" w:color="auto"/>
        <w:bottom w:val="none" w:sz="0" w:space="0" w:color="auto"/>
        <w:right w:val="none" w:sz="0" w:space="0" w:color="auto"/>
      </w:divBdr>
    </w:div>
    <w:div w:id="25910496">
      <w:bodyDiv w:val="1"/>
      <w:marLeft w:val="0"/>
      <w:marRight w:val="0"/>
      <w:marTop w:val="0"/>
      <w:marBottom w:val="0"/>
      <w:divBdr>
        <w:top w:val="none" w:sz="0" w:space="0" w:color="auto"/>
        <w:left w:val="none" w:sz="0" w:space="0" w:color="auto"/>
        <w:bottom w:val="none" w:sz="0" w:space="0" w:color="auto"/>
        <w:right w:val="none" w:sz="0" w:space="0" w:color="auto"/>
      </w:divBdr>
    </w:div>
    <w:div w:id="29647710">
      <w:marLeft w:val="0"/>
      <w:marRight w:val="0"/>
      <w:marTop w:val="0"/>
      <w:marBottom w:val="0"/>
      <w:divBdr>
        <w:top w:val="none" w:sz="0" w:space="0" w:color="auto"/>
        <w:left w:val="none" w:sz="0" w:space="0" w:color="auto"/>
        <w:bottom w:val="none" w:sz="0" w:space="0" w:color="auto"/>
        <w:right w:val="none" w:sz="0" w:space="0" w:color="auto"/>
      </w:divBdr>
      <w:divsChild>
        <w:div w:id="755173200">
          <w:marLeft w:val="0"/>
          <w:marRight w:val="0"/>
          <w:marTop w:val="0"/>
          <w:marBottom w:val="0"/>
          <w:divBdr>
            <w:top w:val="none" w:sz="0" w:space="0" w:color="auto"/>
            <w:left w:val="none" w:sz="0" w:space="0" w:color="auto"/>
            <w:bottom w:val="none" w:sz="0" w:space="0" w:color="auto"/>
            <w:right w:val="none" w:sz="0" w:space="0" w:color="auto"/>
          </w:divBdr>
        </w:div>
      </w:divsChild>
    </w:div>
    <w:div w:id="30301384">
      <w:marLeft w:val="0"/>
      <w:marRight w:val="0"/>
      <w:marTop w:val="0"/>
      <w:marBottom w:val="0"/>
      <w:divBdr>
        <w:top w:val="none" w:sz="0" w:space="0" w:color="auto"/>
        <w:left w:val="none" w:sz="0" w:space="0" w:color="auto"/>
        <w:bottom w:val="none" w:sz="0" w:space="0" w:color="auto"/>
        <w:right w:val="none" w:sz="0" w:space="0" w:color="auto"/>
      </w:divBdr>
      <w:divsChild>
        <w:div w:id="1617132933">
          <w:marLeft w:val="0"/>
          <w:marRight w:val="0"/>
          <w:marTop w:val="0"/>
          <w:marBottom w:val="0"/>
          <w:divBdr>
            <w:top w:val="none" w:sz="0" w:space="0" w:color="auto"/>
            <w:left w:val="none" w:sz="0" w:space="0" w:color="auto"/>
            <w:bottom w:val="none" w:sz="0" w:space="0" w:color="auto"/>
            <w:right w:val="none" w:sz="0" w:space="0" w:color="auto"/>
          </w:divBdr>
        </w:div>
      </w:divsChild>
    </w:div>
    <w:div w:id="50811648">
      <w:bodyDiv w:val="1"/>
      <w:marLeft w:val="0"/>
      <w:marRight w:val="0"/>
      <w:marTop w:val="0"/>
      <w:marBottom w:val="0"/>
      <w:divBdr>
        <w:top w:val="none" w:sz="0" w:space="0" w:color="auto"/>
        <w:left w:val="none" w:sz="0" w:space="0" w:color="auto"/>
        <w:bottom w:val="none" w:sz="0" w:space="0" w:color="auto"/>
        <w:right w:val="none" w:sz="0" w:space="0" w:color="auto"/>
      </w:divBdr>
    </w:div>
    <w:div w:id="52314593">
      <w:bodyDiv w:val="1"/>
      <w:marLeft w:val="0"/>
      <w:marRight w:val="0"/>
      <w:marTop w:val="0"/>
      <w:marBottom w:val="0"/>
      <w:divBdr>
        <w:top w:val="none" w:sz="0" w:space="0" w:color="auto"/>
        <w:left w:val="none" w:sz="0" w:space="0" w:color="auto"/>
        <w:bottom w:val="none" w:sz="0" w:space="0" w:color="auto"/>
        <w:right w:val="none" w:sz="0" w:space="0" w:color="auto"/>
      </w:divBdr>
    </w:div>
    <w:div w:id="59983960">
      <w:marLeft w:val="0"/>
      <w:marRight w:val="0"/>
      <w:marTop w:val="0"/>
      <w:marBottom w:val="0"/>
      <w:divBdr>
        <w:top w:val="none" w:sz="0" w:space="0" w:color="auto"/>
        <w:left w:val="none" w:sz="0" w:space="0" w:color="auto"/>
        <w:bottom w:val="none" w:sz="0" w:space="0" w:color="auto"/>
        <w:right w:val="none" w:sz="0" w:space="0" w:color="auto"/>
      </w:divBdr>
      <w:divsChild>
        <w:div w:id="107162063">
          <w:marLeft w:val="0"/>
          <w:marRight w:val="0"/>
          <w:marTop w:val="0"/>
          <w:marBottom w:val="0"/>
          <w:divBdr>
            <w:top w:val="none" w:sz="0" w:space="0" w:color="auto"/>
            <w:left w:val="none" w:sz="0" w:space="0" w:color="auto"/>
            <w:bottom w:val="none" w:sz="0" w:space="0" w:color="auto"/>
            <w:right w:val="none" w:sz="0" w:space="0" w:color="auto"/>
          </w:divBdr>
        </w:div>
      </w:divsChild>
    </w:div>
    <w:div w:id="60754097">
      <w:bodyDiv w:val="1"/>
      <w:marLeft w:val="0"/>
      <w:marRight w:val="0"/>
      <w:marTop w:val="0"/>
      <w:marBottom w:val="0"/>
      <w:divBdr>
        <w:top w:val="none" w:sz="0" w:space="0" w:color="auto"/>
        <w:left w:val="none" w:sz="0" w:space="0" w:color="auto"/>
        <w:bottom w:val="none" w:sz="0" w:space="0" w:color="auto"/>
        <w:right w:val="none" w:sz="0" w:space="0" w:color="auto"/>
      </w:divBdr>
    </w:div>
    <w:div w:id="65108044">
      <w:bodyDiv w:val="1"/>
      <w:marLeft w:val="0"/>
      <w:marRight w:val="0"/>
      <w:marTop w:val="0"/>
      <w:marBottom w:val="0"/>
      <w:divBdr>
        <w:top w:val="none" w:sz="0" w:space="0" w:color="auto"/>
        <w:left w:val="none" w:sz="0" w:space="0" w:color="auto"/>
        <w:bottom w:val="none" w:sz="0" w:space="0" w:color="auto"/>
        <w:right w:val="none" w:sz="0" w:space="0" w:color="auto"/>
      </w:divBdr>
    </w:div>
    <w:div w:id="65537852">
      <w:bodyDiv w:val="1"/>
      <w:marLeft w:val="0"/>
      <w:marRight w:val="0"/>
      <w:marTop w:val="0"/>
      <w:marBottom w:val="0"/>
      <w:divBdr>
        <w:top w:val="none" w:sz="0" w:space="0" w:color="auto"/>
        <w:left w:val="none" w:sz="0" w:space="0" w:color="auto"/>
        <w:bottom w:val="none" w:sz="0" w:space="0" w:color="auto"/>
        <w:right w:val="none" w:sz="0" w:space="0" w:color="auto"/>
      </w:divBdr>
    </w:div>
    <w:div w:id="81413140">
      <w:bodyDiv w:val="1"/>
      <w:marLeft w:val="0"/>
      <w:marRight w:val="0"/>
      <w:marTop w:val="0"/>
      <w:marBottom w:val="0"/>
      <w:divBdr>
        <w:top w:val="none" w:sz="0" w:space="0" w:color="auto"/>
        <w:left w:val="none" w:sz="0" w:space="0" w:color="auto"/>
        <w:bottom w:val="none" w:sz="0" w:space="0" w:color="auto"/>
        <w:right w:val="none" w:sz="0" w:space="0" w:color="auto"/>
      </w:divBdr>
    </w:div>
    <w:div w:id="84964345">
      <w:bodyDiv w:val="1"/>
      <w:marLeft w:val="0"/>
      <w:marRight w:val="0"/>
      <w:marTop w:val="0"/>
      <w:marBottom w:val="0"/>
      <w:divBdr>
        <w:top w:val="none" w:sz="0" w:space="0" w:color="auto"/>
        <w:left w:val="none" w:sz="0" w:space="0" w:color="auto"/>
        <w:bottom w:val="none" w:sz="0" w:space="0" w:color="auto"/>
        <w:right w:val="none" w:sz="0" w:space="0" w:color="auto"/>
      </w:divBdr>
    </w:div>
    <w:div w:id="86194864">
      <w:bodyDiv w:val="1"/>
      <w:marLeft w:val="0"/>
      <w:marRight w:val="0"/>
      <w:marTop w:val="0"/>
      <w:marBottom w:val="0"/>
      <w:divBdr>
        <w:top w:val="none" w:sz="0" w:space="0" w:color="auto"/>
        <w:left w:val="none" w:sz="0" w:space="0" w:color="auto"/>
        <w:bottom w:val="none" w:sz="0" w:space="0" w:color="auto"/>
        <w:right w:val="none" w:sz="0" w:space="0" w:color="auto"/>
      </w:divBdr>
    </w:div>
    <w:div w:id="88158101">
      <w:bodyDiv w:val="1"/>
      <w:marLeft w:val="0"/>
      <w:marRight w:val="0"/>
      <w:marTop w:val="0"/>
      <w:marBottom w:val="0"/>
      <w:divBdr>
        <w:top w:val="none" w:sz="0" w:space="0" w:color="auto"/>
        <w:left w:val="none" w:sz="0" w:space="0" w:color="auto"/>
        <w:bottom w:val="none" w:sz="0" w:space="0" w:color="auto"/>
        <w:right w:val="none" w:sz="0" w:space="0" w:color="auto"/>
      </w:divBdr>
    </w:div>
    <w:div w:id="98532178">
      <w:bodyDiv w:val="1"/>
      <w:marLeft w:val="0"/>
      <w:marRight w:val="0"/>
      <w:marTop w:val="0"/>
      <w:marBottom w:val="0"/>
      <w:divBdr>
        <w:top w:val="none" w:sz="0" w:space="0" w:color="auto"/>
        <w:left w:val="none" w:sz="0" w:space="0" w:color="auto"/>
        <w:bottom w:val="none" w:sz="0" w:space="0" w:color="auto"/>
        <w:right w:val="none" w:sz="0" w:space="0" w:color="auto"/>
      </w:divBdr>
    </w:div>
    <w:div w:id="102725888">
      <w:bodyDiv w:val="1"/>
      <w:marLeft w:val="0"/>
      <w:marRight w:val="0"/>
      <w:marTop w:val="0"/>
      <w:marBottom w:val="0"/>
      <w:divBdr>
        <w:top w:val="none" w:sz="0" w:space="0" w:color="auto"/>
        <w:left w:val="none" w:sz="0" w:space="0" w:color="auto"/>
        <w:bottom w:val="none" w:sz="0" w:space="0" w:color="auto"/>
        <w:right w:val="none" w:sz="0" w:space="0" w:color="auto"/>
      </w:divBdr>
    </w:div>
    <w:div w:id="104228558">
      <w:bodyDiv w:val="1"/>
      <w:marLeft w:val="0"/>
      <w:marRight w:val="0"/>
      <w:marTop w:val="0"/>
      <w:marBottom w:val="0"/>
      <w:divBdr>
        <w:top w:val="none" w:sz="0" w:space="0" w:color="auto"/>
        <w:left w:val="none" w:sz="0" w:space="0" w:color="auto"/>
        <w:bottom w:val="none" w:sz="0" w:space="0" w:color="auto"/>
        <w:right w:val="none" w:sz="0" w:space="0" w:color="auto"/>
      </w:divBdr>
    </w:div>
    <w:div w:id="106897893">
      <w:bodyDiv w:val="1"/>
      <w:marLeft w:val="0"/>
      <w:marRight w:val="0"/>
      <w:marTop w:val="0"/>
      <w:marBottom w:val="0"/>
      <w:divBdr>
        <w:top w:val="none" w:sz="0" w:space="0" w:color="auto"/>
        <w:left w:val="none" w:sz="0" w:space="0" w:color="auto"/>
        <w:bottom w:val="none" w:sz="0" w:space="0" w:color="auto"/>
        <w:right w:val="none" w:sz="0" w:space="0" w:color="auto"/>
      </w:divBdr>
    </w:div>
    <w:div w:id="106900512">
      <w:bodyDiv w:val="1"/>
      <w:marLeft w:val="0"/>
      <w:marRight w:val="0"/>
      <w:marTop w:val="0"/>
      <w:marBottom w:val="0"/>
      <w:divBdr>
        <w:top w:val="none" w:sz="0" w:space="0" w:color="auto"/>
        <w:left w:val="none" w:sz="0" w:space="0" w:color="auto"/>
        <w:bottom w:val="none" w:sz="0" w:space="0" w:color="auto"/>
        <w:right w:val="none" w:sz="0" w:space="0" w:color="auto"/>
      </w:divBdr>
    </w:div>
    <w:div w:id="111095939">
      <w:bodyDiv w:val="1"/>
      <w:marLeft w:val="0"/>
      <w:marRight w:val="0"/>
      <w:marTop w:val="0"/>
      <w:marBottom w:val="0"/>
      <w:divBdr>
        <w:top w:val="none" w:sz="0" w:space="0" w:color="auto"/>
        <w:left w:val="none" w:sz="0" w:space="0" w:color="auto"/>
        <w:bottom w:val="none" w:sz="0" w:space="0" w:color="auto"/>
        <w:right w:val="none" w:sz="0" w:space="0" w:color="auto"/>
      </w:divBdr>
    </w:div>
    <w:div w:id="111169421">
      <w:bodyDiv w:val="1"/>
      <w:marLeft w:val="0"/>
      <w:marRight w:val="0"/>
      <w:marTop w:val="0"/>
      <w:marBottom w:val="0"/>
      <w:divBdr>
        <w:top w:val="none" w:sz="0" w:space="0" w:color="auto"/>
        <w:left w:val="none" w:sz="0" w:space="0" w:color="auto"/>
        <w:bottom w:val="none" w:sz="0" w:space="0" w:color="auto"/>
        <w:right w:val="none" w:sz="0" w:space="0" w:color="auto"/>
      </w:divBdr>
    </w:div>
    <w:div w:id="118423765">
      <w:bodyDiv w:val="1"/>
      <w:marLeft w:val="0"/>
      <w:marRight w:val="0"/>
      <w:marTop w:val="0"/>
      <w:marBottom w:val="0"/>
      <w:divBdr>
        <w:top w:val="none" w:sz="0" w:space="0" w:color="auto"/>
        <w:left w:val="none" w:sz="0" w:space="0" w:color="auto"/>
        <w:bottom w:val="none" w:sz="0" w:space="0" w:color="auto"/>
        <w:right w:val="none" w:sz="0" w:space="0" w:color="auto"/>
      </w:divBdr>
    </w:div>
    <w:div w:id="123354916">
      <w:bodyDiv w:val="1"/>
      <w:marLeft w:val="0"/>
      <w:marRight w:val="0"/>
      <w:marTop w:val="0"/>
      <w:marBottom w:val="0"/>
      <w:divBdr>
        <w:top w:val="none" w:sz="0" w:space="0" w:color="auto"/>
        <w:left w:val="none" w:sz="0" w:space="0" w:color="auto"/>
        <w:bottom w:val="none" w:sz="0" w:space="0" w:color="auto"/>
        <w:right w:val="none" w:sz="0" w:space="0" w:color="auto"/>
      </w:divBdr>
    </w:div>
    <w:div w:id="123692267">
      <w:marLeft w:val="0"/>
      <w:marRight w:val="0"/>
      <w:marTop w:val="0"/>
      <w:marBottom w:val="0"/>
      <w:divBdr>
        <w:top w:val="none" w:sz="0" w:space="0" w:color="auto"/>
        <w:left w:val="none" w:sz="0" w:space="0" w:color="auto"/>
        <w:bottom w:val="none" w:sz="0" w:space="0" w:color="auto"/>
        <w:right w:val="none" w:sz="0" w:space="0" w:color="auto"/>
      </w:divBdr>
      <w:divsChild>
        <w:div w:id="659239546">
          <w:marLeft w:val="0"/>
          <w:marRight w:val="0"/>
          <w:marTop w:val="0"/>
          <w:marBottom w:val="0"/>
          <w:divBdr>
            <w:top w:val="none" w:sz="0" w:space="0" w:color="auto"/>
            <w:left w:val="none" w:sz="0" w:space="0" w:color="auto"/>
            <w:bottom w:val="none" w:sz="0" w:space="0" w:color="auto"/>
            <w:right w:val="none" w:sz="0" w:space="0" w:color="auto"/>
          </w:divBdr>
        </w:div>
      </w:divsChild>
    </w:div>
    <w:div w:id="126095321">
      <w:bodyDiv w:val="1"/>
      <w:marLeft w:val="0"/>
      <w:marRight w:val="0"/>
      <w:marTop w:val="0"/>
      <w:marBottom w:val="0"/>
      <w:divBdr>
        <w:top w:val="none" w:sz="0" w:space="0" w:color="auto"/>
        <w:left w:val="none" w:sz="0" w:space="0" w:color="auto"/>
        <w:bottom w:val="none" w:sz="0" w:space="0" w:color="auto"/>
        <w:right w:val="none" w:sz="0" w:space="0" w:color="auto"/>
      </w:divBdr>
    </w:div>
    <w:div w:id="126516091">
      <w:bodyDiv w:val="1"/>
      <w:marLeft w:val="0"/>
      <w:marRight w:val="0"/>
      <w:marTop w:val="0"/>
      <w:marBottom w:val="0"/>
      <w:divBdr>
        <w:top w:val="none" w:sz="0" w:space="0" w:color="auto"/>
        <w:left w:val="none" w:sz="0" w:space="0" w:color="auto"/>
        <w:bottom w:val="none" w:sz="0" w:space="0" w:color="auto"/>
        <w:right w:val="none" w:sz="0" w:space="0" w:color="auto"/>
      </w:divBdr>
    </w:div>
    <w:div w:id="133330768">
      <w:bodyDiv w:val="1"/>
      <w:marLeft w:val="0"/>
      <w:marRight w:val="0"/>
      <w:marTop w:val="0"/>
      <w:marBottom w:val="0"/>
      <w:divBdr>
        <w:top w:val="none" w:sz="0" w:space="0" w:color="auto"/>
        <w:left w:val="none" w:sz="0" w:space="0" w:color="auto"/>
        <w:bottom w:val="none" w:sz="0" w:space="0" w:color="auto"/>
        <w:right w:val="none" w:sz="0" w:space="0" w:color="auto"/>
      </w:divBdr>
    </w:div>
    <w:div w:id="136993345">
      <w:bodyDiv w:val="1"/>
      <w:marLeft w:val="0"/>
      <w:marRight w:val="0"/>
      <w:marTop w:val="0"/>
      <w:marBottom w:val="0"/>
      <w:divBdr>
        <w:top w:val="none" w:sz="0" w:space="0" w:color="auto"/>
        <w:left w:val="none" w:sz="0" w:space="0" w:color="auto"/>
        <w:bottom w:val="none" w:sz="0" w:space="0" w:color="auto"/>
        <w:right w:val="none" w:sz="0" w:space="0" w:color="auto"/>
      </w:divBdr>
    </w:div>
    <w:div w:id="140079890">
      <w:bodyDiv w:val="1"/>
      <w:marLeft w:val="0"/>
      <w:marRight w:val="0"/>
      <w:marTop w:val="0"/>
      <w:marBottom w:val="0"/>
      <w:divBdr>
        <w:top w:val="none" w:sz="0" w:space="0" w:color="auto"/>
        <w:left w:val="none" w:sz="0" w:space="0" w:color="auto"/>
        <w:bottom w:val="none" w:sz="0" w:space="0" w:color="auto"/>
        <w:right w:val="none" w:sz="0" w:space="0" w:color="auto"/>
      </w:divBdr>
    </w:div>
    <w:div w:id="140272854">
      <w:bodyDiv w:val="1"/>
      <w:marLeft w:val="0"/>
      <w:marRight w:val="0"/>
      <w:marTop w:val="0"/>
      <w:marBottom w:val="0"/>
      <w:divBdr>
        <w:top w:val="none" w:sz="0" w:space="0" w:color="auto"/>
        <w:left w:val="none" w:sz="0" w:space="0" w:color="auto"/>
        <w:bottom w:val="none" w:sz="0" w:space="0" w:color="auto"/>
        <w:right w:val="none" w:sz="0" w:space="0" w:color="auto"/>
      </w:divBdr>
    </w:div>
    <w:div w:id="149373490">
      <w:bodyDiv w:val="1"/>
      <w:marLeft w:val="0"/>
      <w:marRight w:val="0"/>
      <w:marTop w:val="0"/>
      <w:marBottom w:val="0"/>
      <w:divBdr>
        <w:top w:val="none" w:sz="0" w:space="0" w:color="auto"/>
        <w:left w:val="none" w:sz="0" w:space="0" w:color="auto"/>
        <w:bottom w:val="none" w:sz="0" w:space="0" w:color="auto"/>
        <w:right w:val="none" w:sz="0" w:space="0" w:color="auto"/>
      </w:divBdr>
    </w:div>
    <w:div w:id="154885110">
      <w:bodyDiv w:val="1"/>
      <w:marLeft w:val="0"/>
      <w:marRight w:val="0"/>
      <w:marTop w:val="0"/>
      <w:marBottom w:val="0"/>
      <w:divBdr>
        <w:top w:val="none" w:sz="0" w:space="0" w:color="auto"/>
        <w:left w:val="none" w:sz="0" w:space="0" w:color="auto"/>
        <w:bottom w:val="none" w:sz="0" w:space="0" w:color="auto"/>
        <w:right w:val="none" w:sz="0" w:space="0" w:color="auto"/>
      </w:divBdr>
    </w:div>
    <w:div w:id="166603318">
      <w:bodyDiv w:val="1"/>
      <w:marLeft w:val="0"/>
      <w:marRight w:val="0"/>
      <w:marTop w:val="0"/>
      <w:marBottom w:val="0"/>
      <w:divBdr>
        <w:top w:val="none" w:sz="0" w:space="0" w:color="auto"/>
        <w:left w:val="none" w:sz="0" w:space="0" w:color="auto"/>
        <w:bottom w:val="none" w:sz="0" w:space="0" w:color="auto"/>
        <w:right w:val="none" w:sz="0" w:space="0" w:color="auto"/>
      </w:divBdr>
    </w:div>
    <w:div w:id="168445827">
      <w:bodyDiv w:val="1"/>
      <w:marLeft w:val="0"/>
      <w:marRight w:val="0"/>
      <w:marTop w:val="0"/>
      <w:marBottom w:val="0"/>
      <w:divBdr>
        <w:top w:val="none" w:sz="0" w:space="0" w:color="auto"/>
        <w:left w:val="none" w:sz="0" w:space="0" w:color="auto"/>
        <w:bottom w:val="none" w:sz="0" w:space="0" w:color="auto"/>
        <w:right w:val="none" w:sz="0" w:space="0" w:color="auto"/>
      </w:divBdr>
    </w:div>
    <w:div w:id="171843439">
      <w:bodyDiv w:val="1"/>
      <w:marLeft w:val="0"/>
      <w:marRight w:val="0"/>
      <w:marTop w:val="0"/>
      <w:marBottom w:val="0"/>
      <w:divBdr>
        <w:top w:val="none" w:sz="0" w:space="0" w:color="auto"/>
        <w:left w:val="none" w:sz="0" w:space="0" w:color="auto"/>
        <w:bottom w:val="none" w:sz="0" w:space="0" w:color="auto"/>
        <w:right w:val="none" w:sz="0" w:space="0" w:color="auto"/>
      </w:divBdr>
    </w:div>
    <w:div w:id="180095382">
      <w:bodyDiv w:val="1"/>
      <w:marLeft w:val="0"/>
      <w:marRight w:val="0"/>
      <w:marTop w:val="0"/>
      <w:marBottom w:val="0"/>
      <w:divBdr>
        <w:top w:val="none" w:sz="0" w:space="0" w:color="auto"/>
        <w:left w:val="none" w:sz="0" w:space="0" w:color="auto"/>
        <w:bottom w:val="none" w:sz="0" w:space="0" w:color="auto"/>
        <w:right w:val="none" w:sz="0" w:space="0" w:color="auto"/>
      </w:divBdr>
    </w:div>
    <w:div w:id="182211101">
      <w:bodyDiv w:val="1"/>
      <w:marLeft w:val="0"/>
      <w:marRight w:val="0"/>
      <w:marTop w:val="0"/>
      <w:marBottom w:val="0"/>
      <w:divBdr>
        <w:top w:val="none" w:sz="0" w:space="0" w:color="auto"/>
        <w:left w:val="none" w:sz="0" w:space="0" w:color="auto"/>
        <w:bottom w:val="none" w:sz="0" w:space="0" w:color="auto"/>
        <w:right w:val="none" w:sz="0" w:space="0" w:color="auto"/>
      </w:divBdr>
      <w:divsChild>
        <w:div w:id="142702476">
          <w:marLeft w:val="0"/>
          <w:marRight w:val="0"/>
          <w:marTop w:val="0"/>
          <w:marBottom w:val="0"/>
          <w:divBdr>
            <w:top w:val="none" w:sz="0" w:space="0" w:color="auto"/>
            <w:left w:val="none" w:sz="0" w:space="0" w:color="auto"/>
            <w:bottom w:val="none" w:sz="0" w:space="0" w:color="auto"/>
            <w:right w:val="none" w:sz="0" w:space="0" w:color="auto"/>
          </w:divBdr>
        </w:div>
        <w:div w:id="1599288260">
          <w:marLeft w:val="0"/>
          <w:marRight w:val="0"/>
          <w:marTop w:val="0"/>
          <w:marBottom w:val="0"/>
          <w:divBdr>
            <w:top w:val="none" w:sz="0" w:space="0" w:color="auto"/>
            <w:left w:val="none" w:sz="0" w:space="0" w:color="auto"/>
            <w:bottom w:val="none" w:sz="0" w:space="0" w:color="auto"/>
            <w:right w:val="none" w:sz="0" w:space="0" w:color="auto"/>
          </w:divBdr>
        </w:div>
      </w:divsChild>
    </w:div>
    <w:div w:id="183785946">
      <w:bodyDiv w:val="1"/>
      <w:marLeft w:val="0"/>
      <w:marRight w:val="0"/>
      <w:marTop w:val="0"/>
      <w:marBottom w:val="0"/>
      <w:divBdr>
        <w:top w:val="none" w:sz="0" w:space="0" w:color="auto"/>
        <w:left w:val="none" w:sz="0" w:space="0" w:color="auto"/>
        <w:bottom w:val="none" w:sz="0" w:space="0" w:color="auto"/>
        <w:right w:val="none" w:sz="0" w:space="0" w:color="auto"/>
      </w:divBdr>
    </w:div>
    <w:div w:id="184877678">
      <w:bodyDiv w:val="1"/>
      <w:marLeft w:val="0"/>
      <w:marRight w:val="0"/>
      <w:marTop w:val="0"/>
      <w:marBottom w:val="0"/>
      <w:divBdr>
        <w:top w:val="none" w:sz="0" w:space="0" w:color="auto"/>
        <w:left w:val="none" w:sz="0" w:space="0" w:color="auto"/>
        <w:bottom w:val="none" w:sz="0" w:space="0" w:color="auto"/>
        <w:right w:val="none" w:sz="0" w:space="0" w:color="auto"/>
      </w:divBdr>
    </w:div>
    <w:div w:id="185220167">
      <w:bodyDiv w:val="1"/>
      <w:marLeft w:val="0"/>
      <w:marRight w:val="0"/>
      <w:marTop w:val="0"/>
      <w:marBottom w:val="0"/>
      <w:divBdr>
        <w:top w:val="none" w:sz="0" w:space="0" w:color="auto"/>
        <w:left w:val="none" w:sz="0" w:space="0" w:color="auto"/>
        <w:bottom w:val="none" w:sz="0" w:space="0" w:color="auto"/>
        <w:right w:val="none" w:sz="0" w:space="0" w:color="auto"/>
      </w:divBdr>
    </w:div>
    <w:div w:id="191307945">
      <w:bodyDiv w:val="1"/>
      <w:marLeft w:val="0"/>
      <w:marRight w:val="0"/>
      <w:marTop w:val="0"/>
      <w:marBottom w:val="0"/>
      <w:divBdr>
        <w:top w:val="none" w:sz="0" w:space="0" w:color="auto"/>
        <w:left w:val="none" w:sz="0" w:space="0" w:color="auto"/>
        <w:bottom w:val="none" w:sz="0" w:space="0" w:color="auto"/>
        <w:right w:val="none" w:sz="0" w:space="0" w:color="auto"/>
      </w:divBdr>
    </w:div>
    <w:div w:id="193036204">
      <w:bodyDiv w:val="1"/>
      <w:marLeft w:val="0"/>
      <w:marRight w:val="0"/>
      <w:marTop w:val="0"/>
      <w:marBottom w:val="0"/>
      <w:divBdr>
        <w:top w:val="none" w:sz="0" w:space="0" w:color="auto"/>
        <w:left w:val="none" w:sz="0" w:space="0" w:color="auto"/>
        <w:bottom w:val="none" w:sz="0" w:space="0" w:color="auto"/>
        <w:right w:val="none" w:sz="0" w:space="0" w:color="auto"/>
      </w:divBdr>
    </w:div>
    <w:div w:id="194659356">
      <w:bodyDiv w:val="1"/>
      <w:marLeft w:val="0"/>
      <w:marRight w:val="0"/>
      <w:marTop w:val="0"/>
      <w:marBottom w:val="0"/>
      <w:divBdr>
        <w:top w:val="none" w:sz="0" w:space="0" w:color="auto"/>
        <w:left w:val="none" w:sz="0" w:space="0" w:color="auto"/>
        <w:bottom w:val="none" w:sz="0" w:space="0" w:color="auto"/>
        <w:right w:val="none" w:sz="0" w:space="0" w:color="auto"/>
      </w:divBdr>
    </w:div>
    <w:div w:id="200441550">
      <w:marLeft w:val="0"/>
      <w:marRight w:val="0"/>
      <w:marTop w:val="0"/>
      <w:marBottom w:val="0"/>
      <w:divBdr>
        <w:top w:val="none" w:sz="0" w:space="0" w:color="auto"/>
        <w:left w:val="none" w:sz="0" w:space="0" w:color="auto"/>
        <w:bottom w:val="none" w:sz="0" w:space="0" w:color="auto"/>
        <w:right w:val="none" w:sz="0" w:space="0" w:color="auto"/>
      </w:divBdr>
      <w:divsChild>
        <w:div w:id="1896308306">
          <w:marLeft w:val="0"/>
          <w:marRight w:val="0"/>
          <w:marTop w:val="0"/>
          <w:marBottom w:val="0"/>
          <w:divBdr>
            <w:top w:val="none" w:sz="0" w:space="0" w:color="auto"/>
            <w:left w:val="none" w:sz="0" w:space="0" w:color="auto"/>
            <w:bottom w:val="none" w:sz="0" w:space="0" w:color="auto"/>
            <w:right w:val="none" w:sz="0" w:space="0" w:color="auto"/>
          </w:divBdr>
        </w:div>
      </w:divsChild>
    </w:div>
    <w:div w:id="200676047">
      <w:bodyDiv w:val="1"/>
      <w:marLeft w:val="0"/>
      <w:marRight w:val="0"/>
      <w:marTop w:val="0"/>
      <w:marBottom w:val="0"/>
      <w:divBdr>
        <w:top w:val="none" w:sz="0" w:space="0" w:color="auto"/>
        <w:left w:val="none" w:sz="0" w:space="0" w:color="auto"/>
        <w:bottom w:val="none" w:sz="0" w:space="0" w:color="auto"/>
        <w:right w:val="none" w:sz="0" w:space="0" w:color="auto"/>
      </w:divBdr>
    </w:div>
    <w:div w:id="207880740">
      <w:bodyDiv w:val="1"/>
      <w:marLeft w:val="0"/>
      <w:marRight w:val="0"/>
      <w:marTop w:val="0"/>
      <w:marBottom w:val="0"/>
      <w:divBdr>
        <w:top w:val="none" w:sz="0" w:space="0" w:color="auto"/>
        <w:left w:val="none" w:sz="0" w:space="0" w:color="auto"/>
        <w:bottom w:val="none" w:sz="0" w:space="0" w:color="auto"/>
        <w:right w:val="none" w:sz="0" w:space="0" w:color="auto"/>
      </w:divBdr>
    </w:div>
    <w:div w:id="209077597">
      <w:bodyDiv w:val="1"/>
      <w:marLeft w:val="0"/>
      <w:marRight w:val="0"/>
      <w:marTop w:val="0"/>
      <w:marBottom w:val="0"/>
      <w:divBdr>
        <w:top w:val="none" w:sz="0" w:space="0" w:color="auto"/>
        <w:left w:val="none" w:sz="0" w:space="0" w:color="auto"/>
        <w:bottom w:val="none" w:sz="0" w:space="0" w:color="auto"/>
        <w:right w:val="none" w:sz="0" w:space="0" w:color="auto"/>
      </w:divBdr>
    </w:div>
    <w:div w:id="209651845">
      <w:bodyDiv w:val="1"/>
      <w:marLeft w:val="0"/>
      <w:marRight w:val="0"/>
      <w:marTop w:val="0"/>
      <w:marBottom w:val="0"/>
      <w:divBdr>
        <w:top w:val="none" w:sz="0" w:space="0" w:color="auto"/>
        <w:left w:val="none" w:sz="0" w:space="0" w:color="auto"/>
        <w:bottom w:val="none" w:sz="0" w:space="0" w:color="auto"/>
        <w:right w:val="none" w:sz="0" w:space="0" w:color="auto"/>
      </w:divBdr>
    </w:div>
    <w:div w:id="209996410">
      <w:bodyDiv w:val="1"/>
      <w:marLeft w:val="0"/>
      <w:marRight w:val="0"/>
      <w:marTop w:val="0"/>
      <w:marBottom w:val="0"/>
      <w:divBdr>
        <w:top w:val="none" w:sz="0" w:space="0" w:color="auto"/>
        <w:left w:val="none" w:sz="0" w:space="0" w:color="auto"/>
        <w:bottom w:val="none" w:sz="0" w:space="0" w:color="auto"/>
        <w:right w:val="none" w:sz="0" w:space="0" w:color="auto"/>
      </w:divBdr>
    </w:div>
    <w:div w:id="211116356">
      <w:bodyDiv w:val="1"/>
      <w:marLeft w:val="0"/>
      <w:marRight w:val="0"/>
      <w:marTop w:val="0"/>
      <w:marBottom w:val="0"/>
      <w:divBdr>
        <w:top w:val="none" w:sz="0" w:space="0" w:color="auto"/>
        <w:left w:val="none" w:sz="0" w:space="0" w:color="auto"/>
        <w:bottom w:val="none" w:sz="0" w:space="0" w:color="auto"/>
        <w:right w:val="none" w:sz="0" w:space="0" w:color="auto"/>
      </w:divBdr>
    </w:div>
    <w:div w:id="212692600">
      <w:bodyDiv w:val="1"/>
      <w:marLeft w:val="0"/>
      <w:marRight w:val="0"/>
      <w:marTop w:val="0"/>
      <w:marBottom w:val="0"/>
      <w:divBdr>
        <w:top w:val="none" w:sz="0" w:space="0" w:color="auto"/>
        <w:left w:val="none" w:sz="0" w:space="0" w:color="auto"/>
        <w:bottom w:val="none" w:sz="0" w:space="0" w:color="auto"/>
        <w:right w:val="none" w:sz="0" w:space="0" w:color="auto"/>
      </w:divBdr>
    </w:div>
    <w:div w:id="214200682">
      <w:bodyDiv w:val="1"/>
      <w:marLeft w:val="0"/>
      <w:marRight w:val="0"/>
      <w:marTop w:val="0"/>
      <w:marBottom w:val="0"/>
      <w:divBdr>
        <w:top w:val="none" w:sz="0" w:space="0" w:color="auto"/>
        <w:left w:val="none" w:sz="0" w:space="0" w:color="auto"/>
        <w:bottom w:val="none" w:sz="0" w:space="0" w:color="auto"/>
        <w:right w:val="none" w:sz="0" w:space="0" w:color="auto"/>
      </w:divBdr>
    </w:div>
    <w:div w:id="216018454">
      <w:bodyDiv w:val="1"/>
      <w:marLeft w:val="0"/>
      <w:marRight w:val="0"/>
      <w:marTop w:val="0"/>
      <w:marBottom w:val="0"/>
      <w:divBdr>
        <w:top w:val="none" w:sz="0" w:space="0" w:color="auto"/>
        <w:left w:val="none" w:sz="0" w:space="0" w:color="auto"/>
        <w:bottom w:val="none" w:sz="0" w:space="0" w:color="auto"/>
        <w:right w:val="none" w:sz="0" w:space="0" w:color="auto"/>
      </w:divBdr>
    </w:div>
    <w:div w:id="217715279">
      <w:bodyDiv w:val="1"/>
      <w:marLeft w:val="0"/>
      <w:marRight w:val="0"/>
      <w:marTop w:val="0"/>
      <w:marBottom w:val="0"/>
      <w:divBdr>
        <w:top w:val="none" w:sz="0" w:space="0" w:color="auto"/>
        <w:left w:val="none" w:sz="0" w:space="0" w:color="auto"/>
        <w:bottom w:val="none" w:sz="0" w:space="0" w:color="auto"/>
        <w:right w:val="none" w:sz="0" w:space="0" w:color="auto"/>
      </w:divBdr>
    </w:div>
    <w:div w:id="223300862">
      <w:bodyDiv w:val="1"/>
      <w:marLeft w:val="0"/>
      <w:marRight w:val="0"/>
      <w:marTop w:val="0"/>
      <w:marBottom w:val="0"/>
      <w:divBdr>
        <w:top w:val="none" w:sz="0" w:space="0" w:color="auto"/>
        <w:left w:val="none" w:sz="0" w:space="0" w:color="auto"/>
        <w:bottom w:val="none" w:sz="0" w:space="0" w:color="auto"/>
        <w:right w:val="none" w:sz="0" w:space="0" w:color="auto"/>
      </w:divBdr>
    </w:div>
    <w:div w:id="223415480">
      <w:marLeft w:val="0"/>
      <w:marRight w:val="0"/>
      <w:marTop w:val="0"/>
      <w:marBottom w:val="0"/>
      <w:divBdr>
        <w:top w:val="none" w:sz="0" w:space="0" w:color="auto"/>
        <w:left w:val="none" w:sz="0" w:space="0" w:color="auto"/>
        <w:bottom w:val="none" w:sz="0" w:space="0" w:color="auto"/>
        <w:right w:val="none" w:sz="0" w:space="0" w:color="auto"/>
      </w:divBdr>
      <w:divsChild>
        <w:div w:id="1516965906">
          <w:marLeft w:val="0"/>
          <w:marRight w:val="0"/>
          <w:marTop w:val="0"/>
          <w:marBottom w:val="0"/>
          <w:divBdr>
            <w:top w:val="none" w:sz="0" w:space="0" w:color="auto"/>
            <w:left w:val="none" w:sz="0" w:space="0" w:color="auto"/>
            <w:bottom w:val="none" w:sz="0" w:space="0" w:color="auto"/>
            <w:right w:val="none" w:sz="0" w:space="0" w:color="auto"/>
          </w:divBdr>
        </w:div>
      </w:divsChild>
    </w:div>
    <w:div w:id="224804414">
      <w:bodyDiv w:val="1"/>
      <w:marLeft w:val="0"/>
      <w:marRight w:val="0"/>
      <w:marTop w:val="0"/>
      <w:marBottom w:val="0"/>
      <w:divBdr>
        <w:top w:val="none" w:sz="0" w:space="0" w:color="auto"/>
        <w:left w:val="none" w:sz="0" w:space="0" w:color="auto"/>
        <w:bottom w:val="none" w:sz="0" w:space="0" w:color="auto"/>
        <w:right w:val="none" w:sz="0" w:space="0" w:color="auto"/>
      </w:divBdr>
    </w:div>
    <w:div w:id="224881284">
      <w:bodyDiv w:val="1"/>
      <w:marLeft w:val="0"/>
      <w:marRight w:val="0"/>
      <w:marTop w:val="0"/>
      <w:marBottom w:val="0"/>
      <w:divBdr>
        <w:top w:val="none" w:sz="0" w:space="0" w:color="auto"/>
        <w:left w:val="none" w:sz="0" w:space="0" w:color="auto"/>
        <w:bottom w:val="none" w:sz="0" w:space="0" w:color="auto"/>
        <w:right w:val="none" w:sz="0" w:space="0" w:color="auto"/>
      </w:divBdr>
    </w:div>
    <w:div w:id="228539539">
      <w:bodyDiv w:val="1"/>
      <w:marLeft w:val="0"/>
      <w:marRight w:val="0"/>
      <w:marTop w:val="0"/>
      <w:marBottom w:val="0"/>
      <w:divBdr>
        <w:top w:val="none" w:sz="0" w:space="0" w:color="auto"/>
        <w:left w:val="none" w:sz="0" w:space="0" w:color="auto"/>
        <w:bottom w:val="none" w:sz="0" w:space="0" w:color="auto"/>
        <w:right w:val="none" w:sz="0" w:space="0" w:color="auto"/>
      </w:divBdr>
      <w:divsChild>
        <w:div w:id="2005476198">
          <w:marLeft w:val="0"/>
          <w:marRight w:val="0"/>
          <w:marTop w:val="0"/>
          <w:marBottom w:val="0"/>
          <w:divBdr>
            <w:top w:val="none" w:sz="0" w:space="0" w:color="auto"/>
            <w:left w:val="none" w:sz="0" w:space="0" w:color="auto"/>
            <w:bottom w:val="none" w:sz="0" w:space="0" w:color="auto"/>
            <w:right w:val="none" w:sz="0" w:space="0" w:color="auto"/>
          </w:divBdr>
        </w:div>
      </w:divsChild>
    </w:div>
    <w:div w:id="236792841">
      <w:bodyDiv w:val="1"/>
      <w:marLeft w:val="0"/>
      <w:marRight w:val="0"/>
      <w:marTop w:val="0"/>
      <w:marBottom w:val="0"/>
      <w:divBdr>
        <w:top w:val="none" w:sz="0" w:space="0" w:color="auto"/>
        <w:left w:val="none" w:sz="0" w:space="0" w:color="auto"/>
        <w:bottom w:val="none" w:sz="0" w:space="0" w:color="auto"/>
        <w:right w:val="none" w:sz="0" w:space="0" w:color="auto"/>
      </w:divBdr>
    </w:div>
    <w:div w:id="245968209">
      <w:bodyDiv w:val="1"/>
      <w:marLeft w:val="0"/>
      <w:marRight w:val="0"/>
      <w:marTop w:val="0"/>
      <w:marBottom w:val="0"/>
      <w:divBdr>
        <w:top w:val="none" w:sz="0" w:space="0" w:color="auto"/>
        <w:left w:val="none" w:sz="0" w:space="0" w:color="auto"/>
        <w:bottom w:val="none" w:sz="0" w:space="0" w:color="auto"/>
        <w:right w:val="none" w:sz="0" w:space="0" w:color="auto"/>
      </w:divBdr>
    </w:div>
    <w:div w:id="246815178">
      <w:bodyDiv w:val="1"/>
      <w:marLeft w:val="0"/>
      <w:marRight w:val="0"/>
      <w:marTop w:val="0"/>
      <w:marBottom w:val="0"/>
      <w:divBdr>
        <w:top w:val="none" w:sz="0" w:space="0" w:color="auto"/>
        <w:left w:val="none" w:sz="0" w:space="0" w:color="auto"/>
        <w:bottom w:val="none" w:sz="0" w:space="0" w:color="auto"/>
        <w:right w:val="none" w:sz="0" w:space="0" w:color="auto"/>
      </w:divBdr>
    </w:div>
    <w:div w:id="250428514">
      <w:marLeft w:val="0"/>
      <w:marRight w:val="0"/>
      <w:marTop w:val="0"/>
      <w:marBottom w:val="0"/>
      <w:divBdr>
        <w:top w:val="none" w:sz="0" w:space="0" w:color="auto"/>
        <w:left w:val="none" w:sz="0" w:space="0" w:color="auto"/>
        <w:bottom w:val="none" w:sz="0" w:space="0" w:color="auto"/>
        <w:right w:val="none" w:sz="0" w:space="0" w:color="auto"/>
      </w:divBdr>
      <w:divsChild>
        <w:div w:id="191579685">
          <w:marLeft w:val="0"/>
          <w:marRight w:val="0"/>
          <w:marTop w:val="0"/>
          <w:marBottom w:val="0"/>
          <w:divBdr>
            <w:top w:val="none" w:sz="0" w:space="0" w:color="auto"/>
            <w:left w:val="none" w:sz="0" w:space="0" w:color="auto"/>
            <w:bottom w:val="none" w:sz="0" w:space="0" w:color="auto"/>
            <w:right w:val="none" w:sz="0" w:space="0" w:color="auto"/>
          </w:divBdr>
        </w:div>
      </w:divsChild>
    </w:div>
    <w:div w:id="255989617">
      <w:bodyDiv w:val="1"/>
      <w:marLeft w:val="0"/>
      <w:marRight w:val="0"/>
      <w:marTop w:val="0"/>
      <w:marBottom w:val="0"/>
      <w:divBdr>
        <w:top w:val="none" w:sz="0" w:space="0" w:color="auto"/>
        <w:left w:val="none" w:sz="0" w:space="0" w:color="auto"/>
        <w:bottom w:val="none" w:sz="0" w:space="0" w:color="auto"/>
        <w:right w:val="none" w:sz="0" w:space="0" w:color="auto"/>
      </w:divBdr>
    </w:div>
    <w:div w:id="259334621">
      <w:bodyDiv w:val="1"/>
      <w:marLeft w:val="0"/>
      <w:marRight w:val="0"/>
      <w:marTop w:val="0"/>
      <w:marBottom w:val="0"/>
      <w:divBdr>
        <w:top w:val="none" w:sz="0" w:space="0" w:color="auto"/>
        <w:left w:val="none" w:sz="0" w:space="0" w:color="auto"/>
        <w:bottom w:val="none" w:sz="0" w:space="0" w:color="auto"/>
        <w:right w:val="none" w:sz="0" w:space="0" w:color="auto"/>
      </w:divBdr>
    </w:div>
    <w:div w:id="262736572">
      <w:marLeft w:val="0"/>
      <w:marRight w:val="0"/>
      <w:marTop w:val="0"/>
      <w:marBottom w:val="0"/>
      <w:divBdr>
        <w:top w:val="none" w:sz="0" w:space="0" w:color="auto"/>
        <w:left w:val="none" w:sz="0" w:space="0" w:color="auto"/>
        <w:bottom w:val="none" w:sz="0" w:space="0" w:color="auto"/>
        <w:right w:val="none" w:sz="0" w:space="0" w:color="auto"/>
      </w:divBdr>
      <w:divsChild>
        <w:div w:id="1074428246">
          <w:marLeft w:val="0"/>
          <w:marRight w:val="0"/>
          <w:marTop w:val="0"/>
          <w:marBottom w:val="0"/>
          <w:divBdr>
            <w:top w:val="none" w:sz="0" w:space="0" w:color="auto"/>
            <w:left w:val="none" w:sz="0" w:space="0" w:color="auto"/>
            <w:bottom w:val="none" w:sz="0" w:space="0" w:color="auto"/>
            <w:right w:val="none" w:sz="0" w:space="0" w:color="auto"/>
          </w:divBdr>
        </w:div>
      </w:divsChild>
    </w:div>
    <w:div w:id="263684009">
      <w:bodyDiv w:val="1"/>
      <w:marLeft w:val="0"/>
      <w:marRight w:val="0"/>
      <w:marTop w:val="0"/>
      <w:marBottom w:val="0"/>
      <w:divBdr>
        <w:top w:val="none" w:sz="0" w:space="0" w:color="auto"/>
        <w:left w:val="none" w:sz="0" w:space="0" w:color="auto"/>
        <w:bottom w:val="none" w:sz="0" w:space="0" w:color="auto"/>
        <w:right w:val="none" w:sz="0" w:space="0" w:color="auto"/>
      </w:divBdr>
    </w:div>
    <w:div w:id="267927588">
      <w:bodyDiv w:val="1"/>
      <w:marLeft w:val="0"/>
      <w:marRight w:val="0"/>
      <w:marTop w:val="0"/>
      <w:marBottom w:val="0"/>
      <w:divBdr>
        <w:top w:val="none" w:sz="0" w:space="0" w:color="auto"/>
        <w:left w:val="none" w:sz="0" w:space="0" w:color="auto"/>
        <w:bottom w:val="none" w:sz="0" w:space="0" w:color="auto"/>
        <w:right w:val="none" w:sz="0" w:space="0" w:color="auto"/>
      </w:divBdr>
    </w:div>
    <w:div w:id="269435607">
      <w:bodyDiv w:val="1"/>
      <w:marLeft w:val="0"/>
      <w:marRight w:val="0"/>
      <w:marTop w:val="0"/>
      <w:marBottom w:val="0"/>
      <w:divBdr>
        <w:top w:val="none" w:sz="0" w:space="0" w:color="auto"/>
        <w:left w:val="none" w:sz="0" w:space="0" w:color="auto"/>
        <w:bottom w:val="none" w:sz="0" w:space="0" w:color="auto"/>
        <w:right w:val="none" w:sz="0" w:space="0" w:color="auto"/>
      </w:divBdr>
    </w:div>
    <w:div w:id="279075054">
      <w:bodyDiv w:val="1"/>
      <w:marLeft w:val="0"/>
      <w:marRight w:val="0"/>
      <w:marTop w:val="0"/>
      <w:marBottom w:val="0"/>
      <w:divBdr>
        <w:top w:val="none" w:sz="0" w:space="0" w:color="auto"/>
        <w:left w:val="none" w:sz="0" w:space="0" w:color="auto"/>
        <w:bottom w:val="none" w:sz="0" w:space="0" w:color="auto"/>
        <w:right w:val="none" w:sz="0" w:space="0" w:color="auto"/>
      </w:divBdr>
    </w:div>
    <w:div w:id="280966005">
      <w:bodyDiv w:val="1"/>
      <w:marLeft w:val="0"/>
      <w:marRight w:val="0"/>
      <w:marTop w:val="0"/>
      <w:marBottom w:val="0"/>
      <w:divBdr>
        <w:top w:val="none" w:sz="0" w:space="0" w:color="auto"/>
        <w:left w:val="none" w:sz="0" w:space="0" w:color="auto"/>
        <w:bottom w:val="none" w:sz="0" w:space="0" w:color="auto"/>
        <w:right w:val="none" w:sz="0" w:space="0" w:color="auto"/>
      </w:divBdr>
    </w:div>
    <w:div w:id="282814445">
      <w:bodyDiv w:val="1"/>
      <w:marLeft w:val="0"/>
      <w:marRight w:val="0"/>
      <w:marTop w:val="0"/>
      <w:marBottom w:val="0"/>
      <w:divBdr>
        <w:top w:val="none" w:sz="0" w:space="0" w:color="auto"/>
        <w:left w:val="none" w:sz="0" w:space="0" w:color="auto"/>
        <w:bottom w:val="none" w:sz="0" w:space="0" w:color="auto"/>
        <w:right w:val="none" w:sz="0" w:space="0" w:color="auto"/>
      </w:divBdr>
    </w:div>
    <w:div w:id="286082960">
      <w:bodyDiv w:val="1"/>
      <w:marLeft w:val="0"/>
      <w:marRight w:val="0"/>
      <w:marTop w:val="0"/>
      <w:marBottom w:val="0"/>
      <w:divBdr>
        <w:top w:val="none" w:sz="0" w:space="0" w:color="auto"/>
        <w:left w:val="none" w:sz="0" w:space="0" w:color="auto"/>
        <w:bottom w:val="none" w:sz="0" w:space="0" w:color="auto"/>
        <w:right w:val="none" w:sz="0" w:space="0" w:color="auto"/>
      </w:divBdr>
    </w:div>
    <w:div w:id="287131383">
      <w:bodyDiv w:val="1"/>
      <w:marLeft w:val="0"/>
      <w:marRight w:val="0"/>
      <w:marTop w:val="0"/>
      <w:marBottom w:val="0"/>
      <w:divBdr>
        <w:top w:val="none" w:sz="0" w:space="0" w:color="auto"/>
        <w:left w:val="none" w:sz="0" w:space="0" w:color="auto"/>
        <w:bottom w:val="none" w:sz="0" w:space="0" w:color="auto"/>
        <w:right w:val="none" w:sz="0" w:space="0" w:color="auto"/>
      </w:divBdr>
    </w:div>
    <w:div w:id="302123088">
      <w:marLeft w:val="0"/>
      <w:marRight w:val="0"/>
      <w:marTop w:val="0"/>
      <w:marBottom w:val="0"/>
      <w:divBdr>
        <w:top w:val="none" w:sz="0" w:space="0" w:color="auto"/>
        <w:left w:val="none" w:sz="0" w:space="0" w:color="auto"/>
        <w:bottom w:val="none" w:sz="0" w:space="0" w:color="auto"/>
        <w:right w:val="none" w:sz="0" w:space="0" w:color="auto"/>
      </w:divBdr>
      <w:divsChild>
        <w:div w:id="207300287">
          <w:marLeft w:val="0"/>
          <w:marRight w:val="0"/>
          <w:marTop w:val="0"/>
          <w:marBottom w:val="0"/>
          <w:divBdr>
            <w:top w:val="none" w:sz="0" w:space="0" w:color="auto"/>
            <w:left w:val="none" w:sz="0" w:space="0" w:color="auto"/>
            <w:bottom w:val="none" w:sz="0" w:space="0" w:color="auto"/>
            <w:right w:val="none" w:sz="0" w:space="0" w:color="auto"/>
          </w:divBdr>
        </w:div>
      </w:divsChild>
    </w:div>
    <w:div w:id="312150453">
      <w:bodyDiv w:val="1"/>
      <w:marLeft w:val="0"/>
      <w:marRight w:val="0"/>
      <w:marTop w:val="0"/>
      <w:marBottom w:val="0"/>
      <w:divBdr>
        <w:top w:val="none" w:sz="0" w:space="0" w:color="auto"/>
        <w:left w:val="none" w:sz="0" w:space="0" w:color="auto"/>
        <w:bottom w:val="none" w:sz="0" w:space="0" w:color="auto"/>
        <w:right w:val="none" w:sz="0" w:space="0" w:color="auto"/>
      </w:divBdr>
    </w:div>
    <w:div w:id="313801126">
      <w:bodyDiv w:val="1"/>
      <w:marLeft w:val="0"/>
      <w:marRight w:val="0"/>
      <w:marTop w:val="0"/>
      <w:marBottom w:val="0"/>
      <w:divBdr>
        <w:top w:val="none" w:sz="0" w:space="0" w:color="auto"/>
        <w:left w:val="none" w:sz="0" w:space="0" w:color="auto"/>
        <w:bottom w:val="none" w:sz="0" w:space="0" w:color="auto"/>
        <w:right w:val="none" w:sz="0" w:space="0" w:color="auto"/>
      </w:divBdr>
    </w:div>
    <w:div w:id="316539061">
      <w:marLeft w:val="0"/>
      <w:marRight w:val="0"/>
      <w:marTop w:val="0"/>
      <w:marBottom w:val="0"/>
      <w:divBdr>
        <w:top w:val="none" w:sz="0" w:space="0" w:color="auto"/>
        <w:left w:val="none" w:sz="0" w:space="0" w:color="auto"/>
        <w:bottom w:val="none" w:sz="0" w:space="0" w:color="auto"/>
        <w:right w:val="none" w:sz="0" w:space="0" w:color="auto"/>
      </w:divBdr>
      <w:divsChild>
        <w:div w:id="1737239362">
          <w:marLeft w:val="0"/>
          <w:marRight w:val="0"/>
          <w:marTop w:val="0"/>
          <w:marBottom w:val="0"/>
          <w:divBdr>
            <w:top w:val="none" w:sz="0" w:space="0" w:color="auto"/>
            <w:left w:val="none" w:sz="0" w:space="0" w:color="auto"/>
            <w:bottom w:val="none" w:sz="0" w:space="0" w:color="auto"/>
            <w:right w:val="none" w:sz="0" w:space="0" w:color="auto"/>
          </w:divBdr>
        </w:div>
      </w:divsChild>
    </w:div>
    <w:div w:id="319114253">
      <w:bodyDiv w:val="1"/>
      <w:marLeft w:val="0"/>
      <w:marRight w:val="0"/>
      <w:marTop w:val="0"/>
      <w:marBottom w:val="0"/>
      <w:divBdr>
        <w:top w:val="none" w:sz="0" w:space="0" w:color="auto"/>
        <w:left w:val="none" w:sz="0" w:space="0" w:color="auto"/>
        <w:bottom w:val="none" w:sz="0" w:space="0" w:color="auto"/>
        <w:right w:val="none" w:sz="0" w:space="0" w:color="auto"/>
      </w:divBdr>
    </w:div>
    <w:div w:id="321399807">
      <w:bodyDiv w:val="1"/>
      <w:marLeft w:val="0"/>
      <w:marRight w:val="0"/>
      <w:marTop w:val="0"/>
      <w:marBottom w:val="0"/>
      <w:divBdr>
        <w:top w:val="none" w:sz="0" w:space="0" w:color="auto"/>
        <w:left w:val="none" w:sz="0" w:space="0" w:color="auto"/>
        <w:bottom w:val="none" w:sz="0" w:space="0" w:color="auto"/>
        <w:right w:val="none" w:sz="0" w:space="0" w:color="auto"/>
      </w:divBdr>
    </w:div>
    <w:div w:id="321542346">
      <w:bodyDiv w:val="1"/>
      <w:marLeft w:val="0"/>
      <w:marRight w:val="0"/>
      <w:marTop w:val="0"/>
      <w:marBottom w:val="0"/>
      <w:divBdr>
        <w:top w:val="none" w:sz="0" w:space="0" w:color="auto"/>
        <w:left w:val="none" w:sz="0" w:space="0" w:color="auto"/>
        <w:bottom w:val="none" w:sz="0" w:space="0" w:color="auto"/>
        <w:right w:val="none" w:sz="0" w:space="0" w:color="auto"/>
      </w:divBdr>
    </w:div>
    <w:div w:id="321667732">
      <w:bodyDiv w:val="1"/>
      <w:marLeft w:val="0"/>
      <w:marRight w:val="0"/>
      <w:marTop w:val="0"/>
      <w:marBottom w:val="0"/>
      <w:divBdr>
        <w:top w:val="none" w:sz="0" w:space="0" w:color="auto"/>
        <w:left w:val="none" w:sz="0" w:space="0" w:color="auto"/>
        <w:bottom w:val="none" w:sz="0" w:space="0" w:color="auto"/>
        <w:right w:val="none" w:sz="0" w:space="0" w:color="auto"/>
      </w:divBdr>
    </w:div>
    <w:div w:id="337780810">
      <w:bodyDiv w:val="1"/>
      <w:marLeft w:val="0"/>
      <w:marRight w:val="0"/>
      <w:marTop w:val="0"/>
      <w:marBottom w:val="0"/>
      <w:divBdr>
        <w:top w:val="none" w:sz="0" w:space="0" w:color="auto"/>
        <w:left w:val="none" w:sz="0" w:space="0" w:color="auto"/>
        <w:bottom w:val="none" w:sz="0" w:space="0" w:color="auto"/>
        <w:right w:val="none" w:sz="0" w:space="0" w:color="auto"/>
      </w:divBdr>
    </w:div>
    <w:div w:id="337849020">
      <w:bodyDiv w:val="1"/>
      <w:marLeft w:val="0"/>
      <w:marRight w:val="0"/>
      <w:marTop w:val="0"/>
      <w:marBottom w:val="0"/>
      <w:divBdr>
        <w:top w:val="none" w:sz="0" w:space="0" w:color="auto"/>
        <w:left w:val="none" w:sz="0" w:space="0" w:color="auto"/>
        <w:bottom w:val="none" w:sz="0" w:space="0" w:color="auto"/>
        <w:right w:val="none" w:sz="0" w:space="0" w:color="auto"/>
      </w:divBdr>
    </w:div>
    <w:div w:id="337928779">
      <w:bodyDiv w:val="1"/>
      <w:marLeft w:val="0"/>
      <w:marRight w:val="0"/>
      <w:marTop w:val="0"/>
      <w:marBottom w:val="0"/>
      <w:divBdr>
        <w:top w:val="none" w:sz="0" w:space="0" w:color="auto"/>
        <w:left w:val="none" w:sz="0" w:space="0" w:color="auto"/>
        <w:bottom w:val="none" w:sz="0" w:space="0" w:color="auto"/>
        <w:right w:val="none" w:sz="0" w:space="0" w:color="auto"/>
      </w:divBdr>
    </w:div>
    <w:div w:id="341324341">
      <w:bodyDiv w:val="1"/>
      <w:marLeft w:val="0"/>
      <w:marRight w:val="0"/>
      <w:marTop w:val="0"/>
      <w:marBottom w:val="0"/>
      <w:divBdr>
        <w:top w:val="none" w:sz="0" w:space="0" w:color="auto"/>
        <w:left w:val="none" w:sz="0" w:space="0" w:color="auto"/>
        <w:bottom w:val="none" w:sz="0" w:space="0" w:color="auto"/>
        <w:right w:val="none" w:sz="0" w:space="0" w:color="auto"/>
      </w:divBdr>
    </w:div>
    <w:div w:id="346905472">
      <w:bodyDiv w:val="1"/>
      <w:marLeft w:val="0"/>
      <w:marRight w:val="0"/>
      <w:marTop w:val="0"/>
      <w:marBottom w:val="0"/>
      <w:divBdr>
        <w:top w:val="none" w:sz="0" w:space="0" w:color="auto"/>
        <w:left w:val="none" w:sz="0" w:space="0" w:color="auto"/>
        <w:bottom w:val="none" w:sz="0" w:space="0" w:color="auto"/>
        <w:right w:val="none" w:sz="0" w:space="0" w:color="auto"/>
      </w:divBdr>
    </w:div>
    <w:div w:id="346912525">
      <w:bodyDiv w:val="1"/>
      <w:marLeft w:val="0"/>
      <w:marRight w:val="0"/>
      <w:marTop w:val="0"/>
      <w:marBottom w:val="0"/>
      <w:divBdr>
        <w:top w:val="none" w:sz="0" w:space="0" w:color="auto"/>
        <w:left w:val="none" w:sz="0" w:space="0" w:color="auto"/>
        <w:bottom w:val="none" w:sz="0" w:space="0" w:color="auto"/>
        <w:right w:val="none" w:sz="0" w:space="0" w:color="auto"/>
      </w:divBdr>
    </w:div>
    <w:div w:id="352920124">
      <w:bodyDiv w:val="1"/>
      <w:marLeft w:val="0"/>
      <w:marRight w:val="0"/>
      <w:marTop w:val="0"/>
      <w:marBottom w:val="0"/>
      <w:divBdr>
        <w:top w:val="none" w:sz="0" w:space="0" w:color="auto"/>
        <w:left w:val="none" w:sz="0" w:space="0" w:color="auto"/>
        <w:bottom w:val="none" w:sz="0" w:space="0" w:color="auto"/>
        <w:right w:val="none" w:sz="0" w:space="0" w:color="auto"/>
      </w:divBdr>
    </w:div>
    <w:div w:id="355736047">
      <w:bodyDiv w:val="1"/>
      <w:marLeft w:val="0"/>
      <w:marRight w:val="0"/>
      <w:marTop w:val="0"/>
      <w:marBottom w:val="0"/>
      <w:divBdr>
        <w:top w:val="none" w:sz="0" w:space="0" w:color="auto"/>
        <w:left w:val="none" w:sz="0" w:space="0" w:color="auto"/>
        <w:bottom w:val="none" w:sz="0" w:space="0" w:color="auto"/>
        <w:right w:val="none" w:sz="0" w:space="0" w:color="auto"/>
      </w:divBdr>
    </w:div>
    <w:div w:id="365108925">
      <w:bodyDiv w:val="1"/>
      <w:marLeft w:val="0"/>
      <w:marRight w:val="0"/>
      <w:marTop w:val="0"/>
      <w:marBottom w:val="0"/>
      <w:divBdr>
        <w:top w:val="none" w:sz="0" w:space="0" w:color="auto"/>
        <w:left w:val="none" w:sz="0" w:space="0" w:color="auto"/>
        <w:bottom w:val="none" w:sz="0" w:space="0" w:color="auto"/>
        <w:right w:val="none" w:sz="0" w:space="0" w:color="auto"/>
      </w:divBdr>
    </w:div>
    <w:div w:id="370544415">
      <w:bodyDiv w:val="1"/>
      <w:marLeft w:val="0"/>
      <w:marRight w:val="0"/>
      <w:marTop w:val="0"/>
      <w:marBottom w:val="0"/>
      <w:divBdr>
        <w:top w:val="none" w:sz="0" w:space="0" w:color="auto"/>
        <w:left w:val="none" w:sz="0" w:space="0" w:color="auto"/>
        <w:bottom w:val="none" w:sz="0" w:space="0" w:color="auto"/>
        <w:right w:val="none" w:sz="0" w:space="0" w:color="auto"/>
      </w:divBdr>
    </w:div>
    <w:div w:id="391543209">
      <w:bodyDiv w:val="1"/>
      <w:marLeft w:val="0"/>
      <w:marRight w:val="0"/>
      <w:marTop w:val="0"/>
      <w:marBottom w:val="0"/>
      <w:divBdr>
        <w:top w:val="none" w:sz="0" w:space="0" w:color="auto"/>
        <w:left w:val="none" w:sz="0" w:space="0" w:color="auto"/>
        <w:bottom w:val="none" w:sz="0" w:space="0" w:color="auto"/>
        <w:right w:val="none" w:sz="0" w:space="0" w:color="auto"/>
      </w:divBdr>
    </w:div>
    <w:div w:id="391855367">
      <w:bodyDiv w:val="1"/>
      <w:marLeft w:val="0"/>
      <w:marRight w:val="0"/>
      <w:marTop w:val="0"/>
      <w:marBottom w:val="0"/>
      <w:divBdr>
        <w:top w:val="none" w:sz="0" w:space="0" w:color="auto"/>
        <w:left w:val="none" w:sz="0" w:space="0" w:color="auto"/>
        <w:bottom w:val="none" w:sz="0" w:space="0" w:color="auto"/>
        <w:right w:val="none" w:sz="0" w:space="0" w:color="auto"/>
      </w:divBdr>
    </w:div>
    <w:div w:id="393312803">
      <w:bodyDiv w:val="1"/>
      <w:marLeft w:val="0"/>
      <w:marRight w:val="0"/>
      <w:marTop w:val="0"/>
      <w:marBottom w:val="0"/>
      <w:divBdr>
        <w:top w:val="none" w:sz="0" w:space="0" w:color="auto"/>
        <w:left w:val="none" w:sz="0" w:space="0" w:color="auto"/>
        <w:bottom w:val="none" w:sz="0" w:space="0" w:color="auto"/>
        <w:right w:val="none" w:sz="0" w:space="0" w:color="auto"/>
      </w:divBdr>
    </w:div>
    <w:div w:id="397560685">
      <w:bodyDiv w:val="1"/>
      <w:marLeft w:val="0"/>
      <w:marRight w:val="0"/>
      <w:marTop w:val="0"/>
      <w:marBottom w:val="0"/>
      <w:divBdr>
        <w:top w:val="none" w:sz="0" w:space="0" w:color="auto"/>
        <w:left w:val="none" w:sz="0" w:space="0" w:color="auto"/>
        <w:bottom w:val="none" w:sz="0" w:space="0" w:color="auto"/>
        <w:right w:val="none" w:sz="0" w:space="0" w:color="auto"/>
      </w:divBdr>
    </w:div>
    <w:div w:id="399207237">
      <w:bodyDiv w:val="1"/>
      <w:marLeft w:val="0"/>
      <w:marRight w:val="0"/>
      <w:marTop w:val="0"/>
      <w:marBottom w:val="0"/>
      <w:divBdr>
        <w:top w:val="none" w:sz="0" w:space="0" w:color="auto"/>
        <w:left w:val="none" w:sz="0" w:space="0" w:color="auto"/>
        <w:bottom w:val="none" w:sz="0" w:space="0" w:color="auto"/>
        <w:right w:val="none" w:sz="0" w:space="0" w:color="auto"/>
      </w:divBdr>
    </w:div>
    <w:div w:id="408305570">
      <w:bodyDiv w:val="1"/>
      <w:marLeft w:val="0"/>
      <w:marRight w:val="0"/>
      <w:marTop w:val="0"/>
      <w:marBottom w:val="0"/>
      <w:divBdr>
        <w:top w:val="none" w:sz="0" w:space="0" w:color="auto"/>
        <w:left w:val="none" w:sz="0" w:space="0" w:color="auto"/>
        <w:bottom w:val="none" w:sz="0" w:space="0" w:color="auto"/>
        <w:right w:val="none" w:sz="0" w:space="0" w:color="auto"/>
      </w:divBdr>
    </w:div>
    <w:div w:id="418840951">
      <w:bodyDiv w:val="1"/>
      <w:marLeft w:val="0"/>
      <w:marRight w:val="0"/>
      <w:marTop w:val="0"/>
      <w:marBottom w:val="0"/>
      <w:divBdr>
        <w:top w:val="none" w:sz="0" w:space="0" w:color="auto"/>
        <w:left w:val="none" w:sz="0" w:space="0" w:color="auto"/>
        <w:bottom w:val="none" w:sz="0" w:space="0" w:color="auto"/>
        <w:right w:val="none" w:sz="0" w:space="0" w:color="auto"/>
      </w:divBdr>
    </w:div>
    <w:div w:id="419760084">
      <w:marLeft w:val="0"/>
      <w:marRight w:val="0"/>
      <w:marTop w:val="0"/>
      <w:marBottom w:val="0"/>
      <w:divBdr>
        <w:top w:val="none" w:sz="0" w:space="0" w:color="auto"/>
        <w:left w:val="none" w:sz="0" w:space="0" w:color="auto"/>
        <w:bottom w:val="none" w:sz="0" w:space="0" w:color="auto"/>
        <w:right w:val="none" w:sz="0" w:space="0" w:color="auto"/>
      </w:divBdr>
      <w:divsChild>
        <w:div w:id="1960718940">
          <w:marLeft w:val="0"/>
          <w:marRight w:val="0"/>
          <w:marTop w:val="0"/>
          <w:marBottom w:val="0"/>
          <w:divBdr>
            <w:top w:val="none" w:sz="0" w:space="0" w:color="auto"/>
            <w:left w:val="none" w:sz="0" w:space="0" w:color="auto"/>
            <w:bottom w:val="none" w:sz="0" w:space="0" w:color="auto"/>
            <w:right w:val="none" w:sz="0" w:space="0" w:color="auto"/>
          </w:divBdr>
        </w:div>
      </w:divsChild>
    </w:div>
    <w:div w:id="423188843">
      <w:bodyDiv w:val="1"/>
      <w:marLeft w:val="0"/>
      <w:marRight w:val="0"/>
      <w:marTop w:val="0"/>
      <w:marBottom w:val="0"/>
      <w:divBdr>
        <w:top w:val="none" w:sz="0" w:space="0" w:color="auto"/>
        <w:left w:val="none" w:sz="0" w:space="0" w:color="auto"/>
        <w:bottom w:val="none" w:sz="0" w:space="0" w:color="auto"/>
        <w:right w:val="none" w:sz="0" w:space="0" w:color="auto"/>
      </w:divBdr>
    </w:div>
    <w:div w:id="426080392">
      <w:bodyDiv w:val="1"/>
      <w:marLeft w:val="0"/>
      <w:marRight w:val="0"/>
      <w:marTop w:val="0"/>
      <w:marBottom w:val="0"/>
      <w:divBdr>
        <w:top w:val="none" w:sz="0" w:space="0" w:color="auto"/>
        <w:left w:val="none" w:sz="0" w:space="0" w:color="auto"/>
        <w:bottom w:val="none" w:sz="0" w:space="0" w:color="auto"/>
        <w:right w:val="none" w:sz="0" w:space="0" w:color="auto"/>
      </w:divBdr>
    </w:div>
    <w:div w:id="434785911">
      <w:bodyDiv w:val="1"/>
      <w:marLeft w:val="0"/>
      <w:marRight w:val="0"/>
      <w:marTop w:val="0"/>
      <w:marBottom w:val="0"/>
      <w:divBdr>
        <w:top w:val="none" w:sz="0" w:space="0" w:color="auto"/>
        <w:left w:val="none" w:sz="0" w:space="0" w:color="auto"/>
        <w:bottom w:val="none" w:sz="0" w:space="0" w:color="auto"/>
        <w:right w:val="none" w:sz="0" w:space="0" w:color="auto"/>
      </w:divBdr>
    </w:div>
    <w:div w:id="440536619">
      <w:bodyDiv w:val="1"/>
      <w:marLeft w:val="0"/>
      <w:marRight w:val="0"/>
      <w:marTop w:val="0"/>
      <w:marBottom w:val="0"/>
      <w:divBdr>
        <w:top w:val="none" w:sz="0" w:space="0" w:color="auto"/>
        <w:left w:val="none" w:sz="0" w:space="0" w:color="auto"/>
        <w:bottom w:val="none" w:sz="0" w:space="0" w:color="auto"/>
        <w:right w:val="none" w:sz="0" w:space="0" w:color="auto"/>
      </w:divBdr>
    </w:div>
    <w:div w:id="443118020">
      <w:bodyDiv w:val="1"/>
      <w:marLeft w:val="0"/>
      <w:marRight w:val="0"/>
      <w:marTop w:val="0"/>
      <w:marBottom w:val="0"/>
      <w:divBdr>
        <w:top w:val="none" w:sz="0" w:space="0" w:color="auto"/>
        <w:left w:val="none" w:sz="0" w:space="0" w:color="auto"/>
        <w:bottom w:val="none" w:sz="0" w:space="0" w:color="auto"/>
        <w:right w:val="none" w:sz="0" w:space="0" w:color="auto"/>
      </w:divBdr>
    </w:div>
    <w:div w:id="459225769">
      <w:bodyDiv w:val="1"/>
      <w:marLeft w:val="0"/>
      <w:marRight w:val="0"/>
      <w:marTop w:val="0"/>
      <w:marBottom w:val="0"/>
      <w:divBdr>
        <w:top w:val="none" w:sz="0" w:space="0" w:color="auto"/>
        <w:left w:val="none" w:sz="0" w:space="0" w:color="auto"/>
        <w:bottom w:val="none" w:sz="0" w:space="0" w:color="auto"/>
        <w:right w:val="none" w:sz="0" w:space="0" w:color="auto"/>
      </w:divBdr>
    </w:div>
    <w:div w:id="467166889">
      <w:bodyDiv w:val="1"/>
      <w:marLeft w:val="0"/>
      <w:marRight w:val="0"/>
      <w:marTop w:val="0"/>
      <w:marBottom w:val="0"/>
      <w:divBdr>
        <w:top w:val="none" w:sz="0" w:space="0" w:color="auto"/>
        <w:left w:val="none" w:sz="0" w:space="0" w:color="auto"/>
        <w:bottom w:val="none" w:sz="0" w:space="0" w:color="auto"/>
        <w:right w:val="none" w:sz="0" w:space="0" w:color="auto"/>
      </w:divBdr>
    </w:div>
    <w:div w:id="468523266">
      <w:bodyDiv w:val="1"/>
      <w:marLeft w:val="0"/>
      <w:marRight w:val="0"/>
      <w:marTop w:val="0"/>
      <w:marBottom w:val="0"/>
      <w:divBdr>
        <w:top w:val="none" w:sz="0" w:space="0" w:color="auto"/>
        <w:left w:val="none" w:sz="0" w:space="0" w:color="auto"/>
        <w:bottom w:val="none" w:sz="0" w:space="0" w:color="auto"/>
        <w:right w:val="none" w:sz="0" w:space="0" w:color="auto"/>
      </w:divBdr>
    </w:div>
    <w:div w:id="479228460">
      <w:bodyDiv w:val="1"/>
      <w:marLeft w:val="0"/>
      <w:marRight w:val="0"/>
      <w:marTop w:val="0"/>
      <w:marBottom w:val="0"/>
      <w:divBdr>
        <w:top w:val="none" w:sz="0" w:space="0" w:color="auto"/>
        <w:left w:val="none" w:sz="0" w:space="0" w:color="auto"/>
        <w:bottom w:val="none" w:sz="0" w:space="0" w:color="auto"/>
        <w:right w:val="none" w:sz="0" w:space="0" w:color="auto"/>
      </w:divBdr>
    </w:div>
    <w:div w:id="482048605">
      <w:bodyDiv w:val="1"/>
      <w:marLeft w:val="0"/>
      <w:marRight w:val="0"/>
      <w:marTop w:val="0"/>
      <w:marBottom w:val="0"/>
      <w:divBdr>
        <w:top w:val="none" w:sz="0" w:space="0" w:color="auto"/>
        <w:left w:val="none" w:sz="0" w:space="0" w:color="auto"/>
        <w:bottom w:val="none" w:sz="0" w:space="0" w:color="auto"/>
        <w:right w:val="none" w:sz="0" w:space="0" w:color="auto"/>
      </w:divBdr>
    </w:div>
    <w:div w:id="482477416">
      <w:bodyDiv w:val="1"/>
      <w:marLeft w:val="0"/>
      <w:marRight w:val="0"/>
      <w:marTop w:val="0"/>
      <w:marBottom w:val="0"/>
      <w:divBdr>
        <w:top w:val="none" w:sz="0" w:space="0" w:color="auto"/>
        <w:left w:val="none" w:sz="0" w:space="0" w:color="auto"/>
        <w:bottom w:val="none" w:sz="0" w:space="0" w:color="auto"/>
        <w:right w:val="none" w:sz="0" w:space="0" w:color="auto"/>
      </w:divBdr>
    </w:div>
    <w:div w:id="483158670">
      <w:bodyDiv w:val="1"/>
      <w:marLeft w:val="0"/>
      <w:marRight w:val="0"/>
      <w:marTop w:val="0"/>
      <w:marBottom w:val="0"/>
      <w:divBdr>
        <w:top w:val="none" w:sz="0" w:space="0" w:color="auto"/>
        <w:left w:val="none" w:sz="0" w:space="0" w:color="auto"/>
        <w:bottom w:val="none" w:sz="0" w:space="0" w:color="auto"/>
        <w:right w:val="none" w:sz="0" w:space="0" w:color="auto"/>
      </w:divBdr>
    </w:div>
    <w:div w:id="494612486">
      <w:bodyDiv w:val="1"/>
      <w:marLeft w:val="0"/>
      <w:marRight w:val="0"/>
      <w:marTop w:val="0"/>
      <w:marBottom w:val="0"/>
      <w:divBdr>
        <w:top w:val="none" w:sz="0" w:space="0" w:color="auto"/>
        <w:left w:val="none" w:sz="0" w:space="0" w:color="auto"/>
        <w:bottom w:val="none" w:sz="0" w:space="0" w:color="auto"/>
        <w:right w:val="none" w:sz="0" w:space="0" w:color="auto"/>
      </w:divBdr>
    </w:div>
    <w:div w:id="496766532">
      <w:bodyDiv w:val="1"/>
      <w:marLeft w:val="0"/>
      <w:marRight w:val="0"/>
      <w:marTop w:val="0"/>
      <w:marBottom w:val="0"/>
      <w:divBdr>
        <w:top w:val="none" w:sz="0" w:space="0" w:color="auto"/>
        <w:left w:val="none" w:sz="0" w:space="0" w:color="auto"/>
        <w:bottom w:val="none" w:sz="0" w:space="0" w:color="auto"/>
        <w:right w:val="none" w:sz="0" w:space="0" w:color="auto"/>
      </w:divBdr>
    </w:div>
    <w:div w:id="500311576">
      <w:bodyDiv w:val="1"/>
      <w:marLeft w:val="0"/>
      <w:marRight w:val="0"/>
      <w:marTop w:val="0"/>
      <w:marBottom w:val="0"/>
      <w:divBdr>
        <w:top w:val="none" w:sz="0" w:space="0" w:color="auto"/>
        <w:left w:val="none" w:sz="0" w:space="0" w:color="auto"/>
        <w:bottom w:val="none" w:sz="0" w:space="0" w:color="auto"/>
        <w:right w:val="none" w:sz="0" w:space="0" w:color="auto"/>
      </w:divBdr>
    </w:div>
    <w:div w:id="501092752">
      <w:bodyDiv w:val="1"/>
      <w:marLeft w:val="0"/>
      <w:marRight w:val="0"/>
      <w:marTop w:val="0"/>
      <w:marBottom w:val="0"/>
      <w:divBdr>
        <w:top w:val="none" w:sz="0" w:space="0" w:color="auto"/>
        <w:left w:val="none" w:sz="0" w:space="0" w:color="auto"/>
        <w:bottom w:val="none" w:sz="0" w:space="0" w:color="auto"/>
        <w:right w:val="none" w:sz="0" w:space="0" w:color="auto"/>
      </w:divBdr>
    </w:div>
    <w:div w:id="501551603">
      <w:marLeft w:val="0"/>
      <w:marRight w:val="0"/>
      <w:marTop w:val="0"/>
      <w:marBottom w:val="0"/>
      <w:divBdr>
        <w:top w:val="none" w:sz="0" w:space="0" w:color="auto"/>
        <w:left w:val="none" w:sz="0" w:space="0" w:color="auto"/>
        <w:bottom w:val="none" w:sz="0" w:space="0" w:color="auto"/>
        <w:right w:val="none" w:sz="0" w:space="0" w:color="auto"/>
      </w:divBdr>
      <w:divsChild>
        <w:div w:id="1797064855">
          <w:marLeft w:val="0"/>
          <w:marRight w:val="0"/>
          <w:marTop w:val="0"/>
          <w:marBottom w:val="0"/>
          <w:divBdr>
            <w:top w:val="none" w:sz="0" w:space="0" w:color="auto"/>
            <w:left w:val="none" w:sz="0" w:space="0" w:color="auto"/>
            <w:bottom w:val="none" w:sz="0" w:space="0" w:color="auto"/>
            <w:right w:val="none" w:sz="0" w:space="0" w:color="auto"/>
          </w:divBdr>
        </w:div>
      </w:divsChild>
    </w:div>
    <w:div w:id="502282400">
      <w:bodyDiv w:val="1"/>
      <w:marLeft w:val="0"/>
      <w:marRight w:val="0"/>
      <w:marTop w:val="0"/>
      <w:marBottom w:val="0"/>
      <w:divBdr>
        <w:top w:val="none" w:sz="0" w:space="0" w:color="auto"/>
        <w:left w:val="none" w:sz="0" w:space="0" w:color="auto"/>
        <w:bottom w:val="none" w:sz="0" w:space="0" w:color="auto"/>
        <w:right w:val="none" w:sz="0" w:space="0" w:color="auto"/>
      </w:divBdr>
    </w:div>
    <w:div w:id="502672228">
      <w:bodyDiv w:val="1"/>
      <w:marLeft w:val="0"/>
      <w:marRight w:val="0"/>
      <w:marTop w:val="0"/>
      <w:marBottom w:val="0"/>
      <w:divBdr>
        <w:top w:val="none" w:sz="0" w:space="0" w:color="auto"/>
        <w:left w:val="none" w:sz="0" w:space="0" w:color="auto"/>
        <w:bottom w:val="none" w:sz="0" w:space="0" w:color="auto"/>
        <w:right w:val="none" w:sz="0" w:space="0" w:color="auto"/>
      </w:divBdr>
    </w:div>
    <w:div w:id="509639691">
      <w:bodyDiv w:val="1"/>
      <w:marLeft w:val="0"/>
      <w:marRight w:val="0"/>
      <w:marTop w:val="0"/>
      <w:marBottom w:val="0"/>
      <w:divBdr>
        <w:top w:val="none" w:sz="0" w:space="0" w:color="auto"/>
        <w:left w:val="none" w:sz="0" w:space="0" w:color="auto"/>
        <w:bottom w:val="none" w:sz="0" w:space="0" w:color="auto"/>
        <w:right w:val="none" w:sz="0" w:space="0" w:color="auto"/>
      </w:divBdr>
    </w:div>
    <w:div w:id="511186345">
      <w:bodyDiv w:val="1"/>
      <w:marLeft w:val="0"/>
      <w:marRight w:val="0"/>
      <w:marTop w:val="0"/>
      <w:marBottom w:val="0"/>
      <w:divBdr>
        <w:top w:val="none" w:sz="0" w:space="0" w:color="auto"/>
        <w:left w:val="none" w:sz="0" w:space="0" w:color="auto"/>
        <w:bottom w:val="none" w:sz="0" w:space="0" w:color="auto"/>
        <w:right w:val="none" w:sz="0" w:space="0" w:color="auto"/>
      </w:divBdr>
    </w:div>
    <w:div w:id="511189154">
      <w:bodyDiv w:val="1"/>
      <w:marLeft w:val="0"/>
      <w:marRight w:val="0"/>
      <w:marTop w:val="0"/>
      <w:marBottom w:val="0"/>
      <w:divBdr>
        <w:top w:val="none" w:sz="0" w:space="0" w:color="auto"/>
        <w:left w:val="none" w:sz="0" w:space="0" w:color="auto"/>
        <w:bottom w:val="none" w:sz="0" w:space="0" w:color="auto"/>
        <w:right w:val="none" w:sz="0" w:space="0" w:color="auto"/>
      </w:divBdr>
    </w:div>
    <w:div w:id="513344819">
      <w:bodyDiv w:val="1"/>
      <w:marLeft w:val="0"/>
      <w:marRight w:val="0"/>
      <w:marTop w:val="0"/>
      <w:marBottom w:val="0"/>
      <w:divBdr>
        <w:top w:val="none" w:sz="0" w:space="0" w:color="auto"/>
        <w:left w:val="none" w:sz="0" w:space="0" w:color="auto"/>
        <w:bottom w:val="none" w:sz="0" w:space="0" w:color="auto"/>
        <w:right w:val="none" w:sz="0" w:space="0" w:color="auto"/>
      </w:divBdr>
    </w:div>
    <w:div w:id="515122194">
      <w:bodyDiv w:val="1"/>
      <w:marLeft w:val="0"/>
      <w:marRight w:val="0"/>
      <w:marTop w:val="0"/>
      <w:marBottom w:val="0"/>
      <w:divBdr>
        <w:top w:val="none" w:sz="0" w:space="0" w:color="auto"/>
        <w:left w:val="none" w:sz="0" w:space="0" w:color="auto"/>
        <w:bottom w:val="none" w:sz="0" w:space="0" w:color="auto"/>
        <w:right w:val="none" w:sz="0" w:space="0" w:color="auto"/>
      </w:divBdr>
    </w:div>
    <w:div w:id="515342104">
      <w:bodyDiv w:val="1"/>
      <w:marLeft w:val="0"/>
      <w:marRight w:val="0"/>
      <w:marTop w:val="0"/>
      <w:marBottom w:val="0"/>
      <w:divBdr>
        <w:top w:val="none" w:sz="0" w:space="0" w:color="auto"/>
        <w:left w:val="none" w:sz="0" w:space="0" w:color="auto"/>
        <w:bottom w:val="none" w:sz="0" w:space="0" w:color="auto"/>
        <w:right w:val="none" w:sz="0" w:space="0" w:color="auto"/>
      </w:divBdr>
    </w:div>
    <w:div w:id="518084235">
      <w:bodyDiv w:val="1"/>
      <w:marLeft w:val="0"/>
      <w:marRight w:val="0"/>
      <w:marTop w:val="0"/>
      <w:marBottom w:val="0"/>
      <w:divBdr>
        <w:top w:val="none" w:sz="0" w:space="0" w:color="auto"/>
        <w:left w:val="none" w:sz="0" w:space="0" w:color="auto"/>
        <w:bottom w:val="none" w:sz="0" w:space="0" w:color="auto"/>
        <w:right w:val="none" w:sz="0" w:space="0" w:color="auto"/>
      </w:divBdr>
    </w:div>
    <w:div w:id="520895111">
      <w:bodyDiv w:val="1"/>
      <w:marLeft w:val="0"/>
      <w:marRight w:val="0"/>
      <w:marTop w:val="0"/>
      <w:marBottom w:val="0"/>
      <w:divBdr>
        <w:top w:val="none" w:sz="0" w:space="0" w:color="auto"/>
        <w:left w:val="none" w:sz="0" w:space="0" w:color="auto"/>
        <w:bottom w:val="none" w:sz="0" w:space="0" w:color="auto"/>
        <w:right w:val="none" w:sz="0" w:space="0" w:color="auto"/>
      </w:divBdr>
    </w:div>
    <w:div w:id="526603889">
      <w:bodyDiv w:val="1"/>
      <w:marLeft w:val="0"/>
      <w:marRight w:val="0"/>
      <w:marTop w:val="0"/>
      <w:marBottom w:val="0"/>
      <w:divBdr>
        <w:top w:val="none" w:sz="0" w:space="0" w:color="auto"/>
        <w:left w:val="none" w:sz="0" w:space="0" w:color="auto"/>
        <w:bottom w:val="none" w:sz="0" w:space="0" w:color="auto"/>
        <w:right w:val="none" w:sz="0" w:space="0" w:color="auto"/>
      </w:divBdr>
    </w:div>
    <w:div w:id="530387978">
      <w:bodyDiv w:val="1"/>
      <w:marLeft w:val="0"/>
      <w:marRight w:val="0"/>
      <w:marTop w:val="0"/>
      <w:marBottom w:val="0"/>
      <w:divBdr>
        <w:top w:val="none" w:sz="0" w:space="0" w:color="auto"/>
        <w:left w:val="none" w:sz="0" w:space="0" w:color="auto"/>
        <w:bottom w:val="none" w:sz="0" w:space="0" w:color="auto"/>
        <w:right w:val="none" w:sz="0" w:space="0" w:color="auto"/>
      </w:divBdr>
    </w:div>
    <w:div w:id="535044179">
      <w:bodyDiv w:val="1"/>
      <w:marLeft w:val="0"/>
      <w:marRight w:val="0"/>
      <w:marTop w:val="0"/>
      <w:marBottom w:val="0"/>
      <w:divBdr>
        <w:top w:val="none" w:sz="0" w:space="0" w:color="auto"/>
        <w:left w:val="none" w:sz="0" w:space="0" w:color="auto"/>
        <w:bottom w:val="none" w:sz="0" w:space="0" w:color="auto"/>
        <w:right w:val="none" w:sz="0" w:space="0" w:color="auto"/>
      </w:divBdr>
    </w:div>
    <w:div w:id="537165281">
      <w:bodyDiv w:val="1"/>
      <w:marLeft w:val="0"/>
      <w:marRight w:val="0"/>
      <w:marTop w:val="0"/>
      <w:marBottom w:val="0"/>
      <w:divBdr>
        <w:top w:val="none" w:sz="0" w:space="0" w:color="auto"/>
        <w:left w:val="none" w:sz="0" w:space="0" w:color="auto"/>
        <w:bottom w:val="none" w:sz="0" w:space="0" w:color="auto"/>
        <w:right w:val="none" w:sz="0" w:space="0" w:color="auto"/>
      </w:divBdr>
      <w:divsChild>
        <w:div w:id="1360155701">
          <w:marLeft w:val="0"/>
          <w:marRight w:val="0"/>
          <w:marTop w:val="0"/>
          <w:marBottom w:val="0"/>
          <w:divBdr>
            <w:top w:val="none" w:sz="0" w:space="0" w:color="auto"/>
            <w:left w:val="none" w:sz="0" w:space="0" w:color="auto"/>
            <w:bottom w:val="none" w:sz="0" w:space="0" w:color="auto"/>
            <w:right w:val="none" w:sz="0" w:space="0" w:color="auto"/>
          </w:divBdr>
        </w:div>
      </w:divsChild>
    </w:div>
    <w:div w:id="537858664">
      <w:bodyDiv w:val="1"/>
      <w:marLeft w:val="0"/>
      <w:marRight w:val="0"/>
      <w:marTop w:val="0"/>
      <w:marBottom w:val="0"/>
      <w:divBdr>
        <w:top w:val="none" w:sz="0" w:space="0" w:color="auto"/>
        <w:left w:val="none" w:sz="0" w:space="0" w:color="auto"/>
        <w:bottom w:val="none" w:sz="0" w:space="0" w:color="auto"/>
        <w:right w:val="none" w:sz="0" w:space="0" w:color="auto"/>
      </w:divBdr>
    </w:div>
    <w:div w:id="542713521">
      <w:bodyDiv w:val="1"/>
      <w:marLeft w:val="0"/>
      <w:marRight w:val="0"/>
      <w:marTop w:val="0"/>
      <w:marBottom w:val="0"/>
      <w:divBdr>
        <w:top w:val="none" w:sz="0" w:space="0" w:color="auto"/>
        <w:left w:val="none" w:sz="0" w:space="0" w:color="auto"/>
        <w:bottom w:val="none" w:sz="0" w:space="0" w:color="auto"/>
        <w:right w:val="none" w:sz="0" w:space="0" w:color="auto"/>
      </w:divBdr>
    </w:div>
    <w:div w:id="551624957">
      <w:bodyDiv w:val="1"/>
      <w:marLeft w:val="0"/>
      <w:marRight w:val="0"/>
      <w:marTop w:val="0"/>
      <w:marBottom w:val="0"/>
      <w:divBdr>
        <w:top w:val="none" w:sz="0" w:space="0" w:color="auto"/>
        <w:left w:val="none" w:sz="0" w:space="0" w:color="auto"/>
        <w:bottom w:val="none" w:sz="0" w:space="0" w:color="auto"/>
        <w:right w:val="none" w:sz="0" w:space="0" w:color="auto"/>
      </w:divBdr>
    </w:div>
    <w:div w:id="553780294">
      <w:bodyDiv w:val="1"/>
      <w:marLeft w:val="0"/>
      <w:marRight w:val="0"/>
      <w:marTop w:val="0"/>
      <w:marBottom w:val="0"/>
      <w:divBdr>
        <w:top w:val="none" w:sz="0" w:space="0" w:color="auto"/>
        <w:left w:val="none" w:sz="0" w:space="0" w:color="auto"/>
        <w:bottom w:val="none" w:sz="0" w:space="0" w:color="auto"/>
        <w:right w:val="none" w:sz="0" w:space="0" w:color="auto"/>
      </w:divBdr>
    </w:div>
    <w:div w:id="559562643">
      <w:bodyDiv w:val="1"/>
      <w:marLeft w:val="0"/>
      <w:marRight w:val="0"/>
      <w:marTop w:val="0"/>
      <w:marBottom w:val="0"/>
      <w:divBdr>
        <w:top w:val="none" w:sz="0" w:space="0" w:color="auto"/>
        <w:left w:val="none" w:sz="0" w:space="0" w:color="auto"/>
        <w:bottom w:val="none" w:sz="0" w:space="0" w:color="auto"/>
        <w:right w:val="none" w:sz="0" w:space="0" w:color="auto"/>
      </w:divBdr>
    </w:div>
    <w:div w:id="564415435">
      <w:bodyDiv w:val="1"/>
      <w:marLeft w:val="0"/>
      <w:marRight w:val="0"/>
      <w:marTop w:val="0"/>
      <w:marBottom w:val="0"/>
      <w:divBdr>
        <w:top w:val="none" w:sz="0" w:space="0" w:color="auto"/>
        <w:left w:val="none" w:sz="0" w:space="0" w:color="auto"/>
        <w:bottom w:val="none" w:sz="0" w:space="0" w:color="auto"/>
        <w:right w:val="none" w:sz="0" w:space="0" w:color="auto"/>
      </w:divBdr>
    </w:div>
    <w:div w:id="567687761">
      <w:bodyDiv w:val="1"/>
      <w:marLeft w:val="0"/>
      <w:marRight w:val="0"/>
      <w:marTop w:val="0"/>
      <w:marBottom w:val="0"/>
      <w:divBdr>
        <w:top w:val="none" w:sz="0" w:space="0" w:color="auto"/>
        <w:left w:val="none" w:sz="0" w:space="0" w:color="auto"/>
        <w:bottom w:val="none" w:sz="0" w:space="0" w:color="auto"/>
        <w:right w:val="none" w:sz="0" w:space="0" w:color="auto"/>
      </w:divBdr>
    </w:div>
    <w:div w:id="569656668">
      <w:bodyDiv w:val="1"/>
      <w:marLeft w:val="0"/>
      <w:marRight w:val="0"/>
      <w:marTop w:val="0"/>
      <w:marBottom w:val="0"/>
      <w:divBdr>
        <w:top w:val="none" w:sz="0" w:space="0" w:color="auto"/>
        <w:left w:val="none" w:sz="0" w:space="0" w:color="auto"/>
        <w:bottom w:val="none" w:sz="0" w:space="0" w:color="auto"/>
        <w:right w:val="none" w:sz="0" w:space="0" w:color="auto"/>
      </w:divBdr>
    </w:div>
    <w:div w:id="572080705">
      <w:bodyDiv w:val="1"/>
      <w:marLeft w:val="0"/>
      <w:marRight w:val="0"/>
      <w:marTop w:val="0"/>
      <w:marBottom w:val="0"/>
      <w:divBdr>
        <w:top w:val="none" w:sz="0" w:space="0" w:color="auto"/>
        <w:left w:val="none" w:sz="0" w:space="0" w:color="auto"/>
        <w:bottom w:val="none" w:sz="0" w:space="0" w:color="auto"/>
        <w:right w:val="none" w:sz="0" w:space="0" w:color="auto"/>
      </w:divBdr>
    </w:div>
    <w:div w:id="574819896">
      <w:bodyDiv w:val="1"/>
      <w:marLeft w:val="0"/>
      <w:marRight w:val="0"/>
      <w:marTop w:val="0"/>
      <w:marBottom w:val="0"/>
      <w:divBdr>
        <w:top w:val="none" w:sz="0" w:space="0" w:color="auto"/>
        <w:left w:val="none" w:sz="0" w:space="0" w:color="auto"/>
        <w:bottom w:val="none" w:sz="0" w:space="0" w:color="auto"/>
        <w:right w:val="none" w:sz="0" w:space="0" w:color="auto"/>
      </w:divBdr>
    </w:div>
    <w:div w:id="580870404">
      <w:marLeft w:val="0"/>
      <w:marRight w:val="0"/>
      <w:marTop w:val="0"/>
      <w:marBottom w:val="0"/>
      <w:divBdr>
        <w:top w:val="none" w:sz="0" w:space="0" w:color="auto"/>
        <w:left w:val="none" w:sz="0" w:space="0" w:color="auto"/>
        <w:bottom w:val="none" w:sz="0" w:space="0" w:color="auto"/>
        <w:right w:val="none" w:sz="0" w:space="0" w:color="auto"/>
      </w:divBdr>
      <w:divsChild>
        <w:div w:id="1735200039">
          <w:marLeft w:val="0"/>
          <w:marRight w:val="0"/>
          <w:marTop w:val="0"/>
          <w:marBottom w:val="0"/>
          <w:divBdr>
            <w:top w:val="none" w:sz="0" w:space="0" w:color="auto"/>
            <w:left w:val="none" w:sz="0" w:space="0" w:color="auto"/>
            <w:bottom w:val="none" w:sz="0" w:space="0" w:color="auto"/>
            <w:right w:val="none" w:sz="0" w:space="0" w:color="auto"/>
          </w:divBdr>
        </w:div>
      </w:divsChild>
    </w:div>
    <w:div w:id="582295514">
      <w:bodyDiv w:val="1"/>
      <w:marLeft w:val="0"/>
      <w:marRight w:val="0"/>
      <w:marTop w:val="0"/>
      <w:marBottom w:val="0"/>
      <w:divBdr>
        <w:top w:val="none" w:sz="0" w:space="0" w:color="auto"/>
        <w:left w:val="none" w:sz="0" w:space="0" w:color="auto"/>
        <w:bottom w:val="none" w:sz="0" w:space="0" w:color="auto"/>
        <w:right w:val="none" w:sz="0" w:space="0" w:color="auto"/>
      </w:divBdr>
    </w:div>
    <w:div w:id="594751948">
      <w:bodyDiv w:val="1"/>
      <w:marLeft w:val="0"/>
      <w:marRight w:val="0"/>
      <w:marTop w:val="0"/>
      <w:marBottom w:val="0"/>
      <w:divBdr>
        <w:top w:val="none" w:sz="0" w:space="0" w:color="auto"/>
        <w:left w:val="none" w:sz="0" w:space="0" w:color="auto"/>
        <w:bottom w:val="none" w:sz="0" w:space="0" w:color="auto"/>
        <w:right w:val="none" w:sz="0" w:space="0" w:color="auto"/>
      </w:divBdr>
    </w:div>
    <w:div w:id="605691741">
      <w:bodyDiv w:val="1"/>
      <w:marLeft w:val="0"/>
      <w:marRight w:val="0"/>
      <w:marTop w:val="0"/>
      <w:marBottom w:val="0"/>
      <w:divBdr>
        <w:top w:val="none" w:sz="0" w:space="0" w:color="auto"/>
        <w:left w:val="none" w:sz="0" w:space="0" w:color="auto"/>
        <w:bottom w:val="none" w:sz="0" w:space="0" w:color="auto"/>
        <w:right w:val="none" w:sz="0" w:space="0" w:color="auto"/>
      </w:divBdr>
    </w:div>
    <w:div w:id="606424514">
      <w:bodyDiv w:val="1"/>
      <w:marLeft w:val="0"/>
      <w:marRight w:val="0"/>
      <w:marTop w:val="0"/>
      <w:marBottom w:val="0"/>
      <w:divBdr>
        <w:top w:val="none" w:sz="0" w:space="0" w:color="auto"/>
        <w:left w:val="none" w:sz="0" w:space="0" w:color="auto"/>
        <w:bottom w:val="none" w:sz="0" w:space="0" w:color="auto"/>
        <w:right w:val="none" w:sz="0" w:space="0" w:color="auto"/>
      </w:divBdr>
    </w:div>
    <w:div w:id="608853820">
      <w:bodyDiv w:val="1"/>
      <w:marLeft w:val="0"/>
      <w:marRight w:val="0"/>
      <w:marTop w:val="0"/>
      <w:marBottom w:val="0"/>
      <w:divBdr>
        <w:top w:val="none" w:sz="0" w:space="0" w:color="auto"/>
        <w:left w:val="none" w:sz="0" w:space="0" w:color="auto"/>
        <w:bottom w:val="none" w:sz="0" w:space="0" w:color="auto"/>
        <w:right w:val="none" w:sz="0" w:space="0" w:color="auto"/>
      </w:divBdr>
    </w:div>
    <w:div w:id="613680760">
      <w:bodyDiv w:val="1"/>
      <w:marLeft w:val="0"/>
      <w:marRight w:val="0"/>
      <w:marTop w:val="0"/>
      <w:marBottom w:val="0"/>
      <w:divBdr>
        <w:top w:val="none" w:sz="0" w:space="0" w:color="auto"/>
        <w:left w:val="none" w:sz="0" w:space="0" w:color="auto"/>
        <w:bottom w:val="none" w:sz="0" w:space="0" w:color="auto"/>
        <w:right w:val="none" w:sz="0" w:space="0" w:color="auto"/>
      </w:divBdr>
    </w:div>
    <w:div w:id="614366736">
      <w:bodyDiv w:val="1"/>
      <w:marLeft w:val="0"/>
      <w:marRight w:val="0"/>
      <w:marTop w:val="0"/>
      <w:marBottom w:val="0"/>
      <w:divBdr>
        <w:top w:val="none" w:sz="0" w:space="0" w:color="auto"/>
        <w:left w:val="none" w:sz="0" w:space="0" w:color="auto"/>
        <w:bottom w:val="none" w:sz="0" w:space="0" w:color="auto"/>
        <w:right w:val="none" w:sz="0" w:space="0" w:color="auto"/>
      </w:divBdr>
    </w:div>
    <w:div w:id="614871410">
      <w:bodyDiv w:val="1"/>
      <w:marLeft w:val="0"/>
      <w:marRight w:val="0"/>
      <w:marTop w:val="0"/>
      <w:marBottom w:val="0"/>
      <w:divBdr>
        <w:top w:val="none" w:sz="0" w:space="0" w:color="auto"/>
        <w:left w:val="none" w:sz="0" w:space="0" w:color="auto"/>
        <w:bottom w:val="none" w:sz="0" w:space="0" w:color="auto"/>
        <w:right w:val="none" w:sz="0" w:space="0" w:color="auto"/>
      </w:divBdr>
      <w:divsChild>
        <w:div w:id="1275672230">
          <w:marLeft w:val="0"/>
          <w:marRight w:val="0"/>
          <w:marTop w:val="0"/>
          <w:marBottom w:val="0"/>
          <w:divBdr>
            <w:top w:val="none" w:sz="0" w:space="0" w:color="auto"/>
            <w:left w:val="none" w:sz="0" w:space="0" w:color="auto"/>
            <w:bottom w:val="none" w:sz="0" w:space="0" w:color="auto"/>
            <w:right w:val="none" w:sz="0" w:space="0" w:color="auto"/>
          </w:divBdr>
        </w:div>
        <w:div w:id="1652174496">
          <w:marLeft w:val="0"/>
          <w:marRight w:val="0"/>
          <w:marTop w:val="0"/>
          <w:marBottom w:val="0"/>
          <w:divBdr>
            <w:top w:val="none" w:sz="0" w:space="0" w:color="auto"/>
            <w:left w:val="none" w:sz="0" w:space="0" w:color="auto"/>
            <w:bottom w:val="none" w:sz="0" w:space="0" w:color="auto"/>
            <w:right w:val="none" w:sz="0" w:space="0" w:color="auto"/>
          </w:divBdr>
        </w:div>
      </w:divsChild>
    </w:div>
    <w:div w:id="624308364">
      <w:bodyDiv w:val="1"/>
      <w:marLeft w:val="0"/>
      <w:marRight w:val="0"/>
      <w:marTop w:val="0"/>
      <w:marBottom w:val="0"/>
      <w:divBdr>
        <w:top w:val="none" w:sz="0" w:space="0" w:color="auto"/>
        <w:left w:val="none" w:sz="0" w:space="0" w:color="auto"/>
        <w:bottom w:val="none" w:sz="0" w:space="0" w:color="auto"/>
        <w:right w:val="none" w:sz="0" w:space="0" w:color="auto"/>
      </w:divBdr>
    </w:div>
    <w:div w:id="625741142">
      <w:bodyDiv w:val="1"/>
      <w:marLeft w:val="0"/>
      <w:marRight w:val="0"/>
      <w:marTop w:val="0"/>
      <w:marBottom w:val="0"/>
      <w:divBdr>
        <w:top w:val="none" w:sz="0" w:space="0" w:color="auto"/>
        <w:left w:val="none" w:sz="0" w:space="0" w:color="auto"/>
        <w:bottom w:val="none" w:sz="0" w:space="0" w:color="auto"/>
        <w:right w:val="none" w:sz="0" w:space="0" w:color="auto"/>
      </w:divBdr>
    </w:div>
    <w:div w:id="629211838">
      <w:bodyDiv w:val="1"/>
      <w:marLeft w:val="0"/>
      <w:marRight w:val="0"/>
      <w:marTop w:val="0"/>
      <w:marBottom w:val="0"/>
      <w:divBdr>
        <w:top w:val="none" w:sz="0" w:space="0" w:color="auto"/>
        <w:left w:val="none" w:sz="0" w:space="0" w:color="auto"/>
        <w:bottom w:val="none" w:sz="0" w:space="0" w:color="auto"/>
        <w:right w:val="none" w:sz="0" w:space="0" w:color="auto"/>
      </w:divBdr>
    </w:div>
    <w:div w:id="636836346">
      <w:bodyDiv w:val="1"/>
      <w:marLeft w:val="0"/>
      <w:marRight w:val="0"/>
      <w:marTop w:val="0"/>
      <w:marBottom w:val="0"/>
      <w:divBdr>
        <w:top w:val="none" w:sz="0" w:space="0" w:color="auto"/>
        <w:left w:val="none" w:sz="0" w:space="0" w:color="auto"/>
        <w:bottom w:val="none" w:sz="0" w:space="0" w:color="auto"/>
        <w:right w:val="none" w:sz="0" w:space="0" w:color="auto"/>
      </w:divBdr>
    </w:div>
    <w:div w:id="637609186">
      <w:bodyDiv w:val="1"/>
      <w:marLeft w:val="0"/>
      <w:marRight w:val="0"/>
      <w:marTop w:val="0"/>
      <w:marBottom w:val="0"/>
      <w:divBdr>
        <w:top w:val="none" w:sz="0" w:space="0" w:color="auto"/>
        <w:left w:val="none" w:sz="0" w:space="0" w:color="auto"/>
        <w:bottom w:val="none" w:sz="0" w:space="0" w:color="auto"/>
        <w:right w:val="none" w:sz="0" w:space="0" w:color="auto"/>
      </w:divBdr>
    </w:div>
    <w:div w:id="643316914">
      <w:bodyDiv w:val="1"/>
      <w:marLeft w:val="0"/>
      <w:marRight w:val="0"/>
      <w:marTop w:val="0"/>
      <w:marBottom w:val="0"/>
      <w:divBdr>
        <w:top w:val="none" w:sz="0" w:space="0" w:color="auto"/>
        <w:left w:val="none" w:sz="0" w:space="0" w:color="auto"/>
        <w:bottom w:val="none" w:sz="0" w:space="0" w:color="auto"/>
        <w:right w:val="none" w:sz="0" w:space="0" w:color="auto"/>
      </w:divBdr>
    </w:div>
    <w:div w:id="643703050">
      <w:bodyDiv w:val="1"/>
      <w:marLeft w:val="0"/>
      <w:marRight w:val="0"/>
      <w:marTop w:val="0"/>
      <w:marBottom w:val="0"/>
      <w:divBdr>
        <w:top w:val="none" w:sz="0" w:space="0" w:color="auto"/>
        <w:left w:val="none" w:sz="0" w:space="0" w:color="auto"/>
        <w:bottom w:val="none" w:sz="0" w:space="0" w:color="auto"/>
        <w:right w:val="none" w:sz="0" w:space="0" w:color="auto"/>
      </w:divBdr>
    </w:div>
    <w:div w:id="651569702">
      <w:bodyDiv w:val="1"/>
      <w:marLeft w:val="0"/>
      <w:marRight w:val="0"/>
      <w:marTop w:val="0"/>
      <w:marBottom w:val="0"/>
      <w:divBdr>
        <w:top w:val="none" w:sz="0" w:space="0" w:color="auto"/>
        <w:left w:val="none" w:sz="0" w:space="0" w:color="auto"/>
        <w:bottom w:val="none" w:sz="0" w:space="0" w:color="auto"/>
        <w:right w:val="none" w:sz="0" w:space="0" w:color="auto"/>
      </w:divBdr>
    </w:div>
    <w:div w:id="654186510">
      <w:bodyDiv w:val="1"/>
      <w:marLeft w:val="0"/>
      <w:marRight w:val="0"/>
      <w:marTop w:val="0"/>
      <w:marBottom w:val="0"/>
      <w:divBdr>
        <w:top w:val="none" w:sz="0" w:space="0" w:color="auto"/>
        <w:left w:val="none" w:sz="0" w:space="0" w:color="auto"/>
        <w:bottom w:val="none" w:sz="0" w:space="0" w:color="auto"/>
        <w:right w:val="none" w:sz="0" w:space="0" w:color="auto"/>
      </w:divBdr>
    </w:div>
    <w:div w:id="658383086">
      <w:bodyDiv w:val="1"/>
      <w:marLeft w:val="0"/>
      <w:marRight w:val="0"/>
      <w:marTop w:val="0"/>
      <w:marBottom w:val="0"/>
      <w:divBdr>
        <w:top w:val="none" w:sz="0" w:space="0" w:color="auto"/>
        <w:left w:val="none" w:sz="0" w:space="0" w:color="auto"/>
        <w:bottom w:val="none" w:sz="0" w:space="0" w:color="auto"/>
        <w:right w:val="none" w:sz="0" w:space="0" w:color="auto"/>
      </w:divBdr>
    </w:div>
    <w:div w:id="661084515">
      <w:bodyDiv w:val="1"/>
      <w:marLeft w:val="0"/>
      <w:marRight w:val="0"/>
      <w:marTop w:val="0"/>
      <w:marBottom w:val="0"/>
      <w:divBdr>
        <w:top w:val="none" w:sz="0" w:space="0" w:color="auto"/>
        <w:left w:val="none" w:sz="0" w:space="0" w:color="auto"/>
        <w:bottom w:val="none" w:sz="0" w:space="0" w:color="auto"/>
        <w:right w:val="none" w:sz="0" w:space="0" w:color="auto"/>
      </w:divBdr>
    </w:div>
    <w:div w:id="661347450">
      <w:bodyDiv w:val="1"/>
      <w:marLeft w:val="0"/>
      <w:marRight w:val="0"/>
      <w:marTop w:val="0"/>
      <w:marBottom w:val="0"/>
      <w:divBdr>
        <w:top w:val="none" w:sz="0" w:space="0" w:color="auto"/>
        <w:left w:val="none" w:sz="0" w:space="0" w:color="auto"/>
        <w:bottom w:val="none" w:sz="0" w:space="0" w:color="auto"/>
        <w:right w:val="none" w:sz="0" w:space="0" w:color="auto"/>
      </w:divBdr>
    </w:div>
    <w:div w:id="662120231">
      <w:bodyDiv w:val="1"/>
      <w:marLeft w:val="0"/>
      <w:marRight w:val="0"/>
      <w:marTop w:val="0"/>
      <w:marBottom w:val="0"/>
      <w:divBdr>
        <w:top w:val="none" w:sz="0" w:space="0" w:color="auto"/>
        <w:left w:val="none" w:sz="0" w:space="0" w:color="auto"/>
        <w:bottom w:val="none" w:sz="0" w:space="0" w:color="auto"/>
        <w:right w:val="none" w:sz="0" w:space="0" w:color="auto"/>
      </w:divBdr>
    </w:div>
    <w:div w:id="665595000">
      <w:marLeft w:val="0"/>
      <w:marRight w:val="0"/>
      <w:marTop w:val="0"/>
      <w:marBottom w:val="0"/>
      <w:divBdr>
        <w:top w:val="none" w:sz="0" w:space="0" w:color="auto"/>
        <w:left w:val="none" w:sz="0" w:space="0" w:color="auto"/>
        <w:bottom w:val="none" w:sz="0" w:space="0" w:color="auto"/>
        <w:right w:val="none" w:sz="0" w:space="0" w:color="auto"/>
      </w:divBdr>
      <w:divsChild>
        <w:div w:id="192571170">
          <w:marLeft w:val="0"/>
          <w:marRight w:val="0"/>
          <w:marTop w:val="0"/>
          <w:marBottom w:val="0"/>
          <w:divBdr>
            <w:top w:val="none" w:sz="0" w:space="0" w:color="auto"/>
            <w:left w:val="none" w:sz="0" w:space="0" w:color="auto"/>
            <w:bottom w:val="none" w:sz="0" w:space="0" w:color="auto"/>
            <w:right w:val="none" w:sz="0" w:space="0" w:color="auto"/>
          </w:divBdr>
        </w:div>
      </w:divsChild>
    </w:div>
    <w:div w:id="667827086">
      <w:bodyDiv w:val="1"/>
      <w:marLeft w:val="0"/>
      <w:marRight w:val="0"/>
      <w:marTop w:val="0"/>
      <w:marBottom w:val="0"/>
      <w:divBdr>
        <w:top w:val="none" w:sz="0" w:space="0" w:color="auto"/>
        <w:left w:val="none" w:sz="0" w:space="0" w:color="auto"/>
        <w:bottom w:val="none" w:sz="0" w:space="0" w:color="auto"/>
        <w:right w:val="none" w:sz="0" w:space="0" w:color="auto"/>
      </w:divBdr>
    </w:div>
    <w:div w:id="668020916">
      <w:bodyDiv w:val="1"/>
      <w:marLeft w:val="0"/>
      <w:marRight w:val="0"/>
      <w:marTop w:val="0"/>
      <w:marBottom w:val="0"/>
      <w:divBdr>
        <w:top w:val="none" w:sz="0" w:space="0" w:color="auto"/>
        <w:left w:val="none" w:sz="0" w:space="0" w:color="auto"/>
        <w:bottom w:val="none" w:sz="0" w:space="0" w:color="auto"/>
        <w:right w:val="none" w:sz="0" w:space="0" w:color="auto"/>
      </w:divBdr>
    </w:div>
    <w:div w:id="668214563">
      <w:bodyDiv w:val="1"/>
      <w:marLeft w:val="0"/>
      <w:marRight w:val="0"/>
      <w:marTop w:val="0"/>
      <w:marBottom w:val="0"/>
      <w:divBdr>
        <w:top w:val="none" w:sz="0" w:space="0" w:color="auto"/>
        <w:left w:val="none" w:sz="0" w:space="0" w:color="auto"/>
        <w:bottom w:val="none" w:sz="0" w:space="0" w:color="auto"/>
        <w:right w:val="none" w:sz="0" w:space="0" w:color="auto"/>
      </w:divBdr>
    </w:div>
    <w:div w:id="668288882">
      <w:bodyDiv w:val="1"/>
      <w:marLeft w:val="0"/>
      <w:marRight w:val="0"/>
      <w:marTop w:val="0"/>
      <w:marBottom w:val="0"/>
      <w:divBdr>
        <w:top w:val="none" w:sz="0" w:space="0" w:color="auto"/>
        <w:left w:val="none" w:sz="0" w:space="0" w:color="auto"/>
        <w:bottom w:val="none" w:sz="0" w:space="0" w:color="auto"/>
        <w:right w:val="none" w:sz="0" w:space="0" w:color="auto"/>
      </w:divBdr>
    </w:div>
    <w:div w:id="674768043">
      <w:bodyDiv w:val="1"/>
      <w:marLeft w:val="0"/>
      <w:marRight w:val="0"/>
      <w:marTop w:val="0"/>
      <w:marBottom w:val="0"/>
      <w:divBdr>
        <w:top w:val="none" w:sz="0" w:space="0" w:color="auto"/>
        <w:left w:val="none" w:sz="0" w:space="0" w:color="auto"/>
        <w:bottom w:val="none" w:sz="0" w:space="0" w:color="auto"/>
        <w:right w:val="none" w:sz="0" w:space="0" w:color="auto"/>
      </w:divBdr>
    </w:div>
    <w:div w:id="680662442">
      <w:bodyDiv w:val="1"/>
      <w:marLeft w:val="0"/>
      <w:marRight w:val="0"/>
      <w:marTop w:val="0"/>
      <w:marBottom w:val="0"/>
      <w:divBdr>
        <w:top w:val="none" w:sz="0" w:space="0" w:color="auto"/>
        <w:left w:val="none" w:sz="0" w:space="0" w:color="auto"/>
        <w:bottom w:val="none" w:sz="0" w:space="0" w:color="auto"/>
        <w:right w:val="none" w:sz="0" w:space="0" w:color="auto"/>
      </w:divBdr>
    </w:div>
    <w:div w:id="682127231">
      <w:bodyDiv w:val="1"/>
      <w:marLeft w:val="0"/>
      <w:marRight w:val="0"/>
      <w:marTop w:val="0"/>
      <w:marBottom w:val="0"/>
      <w:divBdr>
        <w:top w:val="none" w:sz="0" w:space="0" w:color="auto"/>
        <w:left w:val="none" w:sz="0" w:space="0" w:color="auto"/>
        <w:bottom w:val="none" w:sz="0" w:space="0" w:color="auto"/>
        <w:right w:val="none" w:sz="0" w:space="0" w:color="auto"/>
      </w:divBdr>
    </w:div>
    <w:div w:id="683165799">
      <w:bodyDiv w:val="1"/>
      <w:marLeft w:val="0"/>
      <w:marRight w:val="0"/>
      <w:marTop w:val="0"/>
      <w:marBottom w:val="0"/>
      <w:divBdr>
        <w:top w:val="none" w:sz="0" w:space="0" w:color="auto"/>
        <w:left w:val="none" w:sz="0" w:space="0" w:color="auto"/>
        <w:bottom w:val="none" w:sz="0" w:space="0" w:color="auto"/>
        <w:right w:val="none" w:sz="0" w:space="0" w:color="auto"/>
      </w:divBdr>
    </w:div>
    <w:div w:id="687873884">
      <w:bodyDiv w:val="1"/>
      <w:marLeft w:val="0"/>
      <w:marRight w:val="0"/>
      <w:marTop w:val="0"/>
      <w:marBottom w:val="0"/>
      <w:divBdr>
        <w:top w:val="none" w:sz="0" w:space="0" w:color="auto"/>
        <w:left w:val="none" w:sz="0" w:space="0" w:color="auto"/>
        <w:bottom w:val="none" w:sz="0" w:space="0" w:color="auto"/>
        <w:right w:val="none" w:sz="0" w:space="0" w:color="auto"/>
      </w:divBdr>
    </w:div>
    <w:div w:id="688718851">
      <w:bodyDiv w:val="1"/>
      <w:marLeft w:val="0"/>
      <w:marRight w:val="0"/>
      <w:marTop w:val="0"/>
      <w:marBottom w:val="0"/>
      <w:divBdr>
        <w:top w:val="none" w:sz="0" w:space="0" w:color="auto"/>
        <w:left w:val="none" w:sz="0" w:space="0" w:color="auto"/>
        <w:bottom w:val="none" w:sz="0" w:space="0" w:color="auto"/>
        <w:right w:val="none" w:sz="0" w:space="0" w:color="auto"/>
      </w:divBdr>
    </w:div>
    <w:div w:id="691108121">
      <w:bodyDiv w:val="1"/>
      <w:marLeft w:val="0"/>
      <w:marRight w:val="0"/>
      <w:marTop w:val="0"/>
      <w:marBottom w:val="0"/>
      <w:divBdr>
        <w:top w:val="none" w:sz="0" w:space="0" w:color="auto"/>
        <w:left w:val="none" w:sz="0" w:space="0" w:color="auto"/>
        <w:bottom w:val="none" w:sz="0" w:space="0" w:color="auto"/>
        <w:right w:val="none" w:sz="0" w:space="0" w:color="auto"/>
      </w:divBdr>
      <w:divsChild>
        <w:div w:id="241842448">
          <w:marLeft w:val="0"/>
          <w:marRight w:val="0"/>
          <w:marTop w:val="0"/>
          <w:marBottom w:val="0"/>
          <w:divBdr>
            <w:top w:val="none" w:sz="0" w:space="0" w:color="auto"/>
            <w:left w:val="none" w:sz="0" w:space="0" w:color="auto"/>
            <w:bottom w:val="none" w:sz="0" w:space="0" w:color="auto"/>
            <w:right w:val="none" w:sz="0" w:space="0" w:color="auto"/>
          </w:divBdr>
        </w:div>
      </w:divsChild>
    </w:div>
    <w:div w:id="694769139">
      <w:bodyDiv w:val="1"/>
      <w:marLeft w:val="0"/>
      <w:marRight w:val="0"/>
      <w:marTop w:val="0"/>
      <w:marBottom w:val="0"/>
      <w:divBdr>
        <w:top w:val="none" w:sz="0" w:space="0" w:color="auto"/>
        <w:left w:val="none" w:sz="0" w:space="0" w:color="auto"/>
        <w:bottom w:val="none" w:sz="0" w:space="0" w:color="auto"/>
        <w:right w:val="none" w:sz="0" w:space="0" w:color="auto"/>
      </w:divBdr>
    </w:div>
    <w:div w:id="697002312">
      <w:bodyDiv w:val="1"/>
      <w:marLeft w:val="0"/>
      <w:marRight w:val="0"/>
      <w:marTop w:val="0"/>
      <w:marBottom w:val="0"/>
      <w:divBdr>
        <w:top w:val="none" w:sz="0" w:space="0" w:color="auto"/>
        <w:left w:val="none" w:sz="0" w:space="0" w:color="auto"/>
        <w:bottom w:val="none" w:sz="0" w:space="0" w:color="auto"/>
        <w:right w:val="none" w:sz="0" w:space="0" w:color="auto"/>
      </w:divBdr>
    </w:div>
    <w:div w:id="699285552">
      <w:bodyDiv w:val="1"/>
      <w:marLeft w:val="0"/>
      <w:marRight w:val="0"/>
      <w:marTop w:val="0"/>
      <w:marBottom w:val="0"/>
      <w:divBdr>
        <w:top w:val="none" w:sz="0" w:space="0" w:color="auto"/>
        <w:left w:val="none" w:sz="0" w:space="0" w:color="auto"/>
        <w:bottom w:val="none" w:sz="0" w:space="0" w:color="auto"/>
        <w:right w:val="none" w:sz="0" w:space="0" w:color="auto"/>
      </w:divBdr>
    </w:div>
    <w:div w:id="699815666">
      <w:bodyDiv w:val="1"/>
      <w:marLeft w:val="0"/>
      <w:marRight w:val="0"/>
      <w:marTop w:val="0"/>
      <w:marBottom w:val="0"/>
      <w:divBdr>
        <w:top w:val="none" w:sz="0" w:space="0" w:color="auto"/>
        <w:left w:val="none" w:sz="0" w:space="0" w:color="auto"/>
        <w:bottom w:val="none" w:sz="0" w:space="0" w:color="auto"/>
        <w:right w:val="none" w:sz="0" w:space="0" w:color="auto"/>
      </w:divBdr>
    </w:div>
    <w:div w:id="704406649">
      <w:bodyDiv w:val="1"/>
      <w:marLeft w:val="0"/>
      <w:marRight w:val="0"/>
      <w:marTop w:val="0"/>
      <w:marBottom w:val="0"/>
      <w:divBdr>
        <w:top w:val="none" w:sz="0" w:space="0" w:color="auto"/>
        <w:left w:val="none" w:sz="0" w:space="0" w:color="auto"/>
        <w:bottom w:val="none" w:sz="0" w:space="0" w:color="auto"/>
        <w:right w:val="none" w:sz="0" w:space="0" w:color="auto"/>
      </w:divBdr>
    </w:div>
    <w:div w:id="704452245">
      <w:bodyDiv w:val="1"/>
      <w:marLeft w:val="0"/>
      <w:marRight w:val="0"/>
      <w:marTop w:val="0"/>
      <w:marBottom w:val="0"/>
      <w:divBdr>
        <w:top w:val="none" w:sz="0" w:space="0" w:color="auto"/>
        <w:left w:val="none" w:sz="0" w:space="0" w:color="auto"/>
        <w:bottom w:val="none" w:sz="0" w:space="0" w:color="auto"/>
        <w:right w:val="none" w:sz="0" w:space="0" w:color="auto"/>
      </w:divBdr>
    </w:div>
    <w:div w:id="707919879">
      <w:bodyDiv w:val="1"/>
      <w:marLeft w:val="0"/>
      <w:marRight w:val="0"/>
      <w:marTop w:val="0"/>
      <w:marBottom w:val="0"/>
      <w:divBdr>
        <w:top w:val="none" w:sz="0" w:space="0" w:color="auto"/>
        <w:left w:val="none" w:sz="0" w:space="0" w:color="auto"/>
        <w:bottom w:val="none" w:sz="0" w:space="0" w:color="auto"/>
        <w:right w:val="none" w:sz="0" w:space="0" w:color="auto"/>
      </w:divBdr>
    </w:div>
    <w:div w:id="710112073">
      <w:marLeft w:val="0"/>
      <w:marRight w:val="0"/>
      <w:marTop w:val="0"/>
      <w:marBottom w:val="0"/>
      <w:divBdr>
        <w:top w:val="none" w:sz="0" w:space="0" w:color="auto"/>
        <w:left w:val="none" w:sz="0" w:space="0" w:color="auto"/>
        <w:bottom w:val="none" w:sz="0" w:space="0" w:color="auto"/>
        <w:right w:val="none" w:sz="0" w:space="0" w:color="auto"/>
      </w:divBdr>
      <w:divsChild>
        <w:div w:id="402413011">
          <w:marLeft w:val="0"/>
          <w:marRight w:val="0"/>
          <w:marTop w:val="0"/>
          <w:marBottom w:val="0"/>
          <w:divBdr>
            <w:top w:val="none" w:sz="0" w:space="0" w:color="auto"/>
            <w:left w:val="none" w:sz="0" w:space="0" w:color="auto"/>
            <w:bottom w:val="none" w:sz="0" w:space="0" w:color="auto"/>
            <w:right w:val="none" w:sz="0" w:space="0" w:color="auto"/>
          </w:divBdr>
        </w:div>
      </w:divsChild>
    </w:div>
    <w:div w:id="711611482">
      <w:bodyDiv w:val="1"/>
      <w:marLeft w:val="0"/>
      <w:marRight w:val="0"/>
      <w:marTop w:val="0"/>
      <w:marBottom w:val="0"/>
      <w:divBdr>
        <w:top w:val="none" w:sz="0" w:space="0" w:color="auto"/>
        <w:left w:val="none" w:sz="0" w:space="0" w:color="auto"/>
        <w:bottom w:val="none" w:sz="0" w:space="0" w:color="auto"/>
        <w:right w:val="none" w:sz="0" w:space="0" w:color="auto"/>
      </w:divBdr>
    </w:div>
    <w:div w:id="716198715">
      <w:bodyDiv w:val="1"/>
      <w:marLeft w:val="0"/>
      <w:marRight w:val="0"/>
      <w:marTop w:val="0"/>
      <w:marBottom w:val="0"/>
      <w:divBdr>
        <w:top w:val="none" w:sz="0" w:space="0" w:color="auto"/>
        <w:left w:val="none" w:sz="0" w:space="0" w:color="auto"/>
        <w:bottom w:val="none" w:sz="0" w:space="0" w:color="auto"/>
        <w:right w:val="none" w:sz="0" w:space="0" w:color="auto"/>
      </w:divBdr>
    </w:div>
    <w:div w:id="724724611">
      <w:bodyDiv w:val="1"/>
      <w:marLeft w:val="0"/>
      <w:marRight w:val="0"/>
      <w:marTop w:val="0"/>
      <w:marBottom w:val="0"/>
      <w:divBdr>
        <w:top w:val="none" w:sz="0" w:space="0" w:color="auto"/>
        <w:left w:val="none" w:sz="0" w:space="0" w:color="auto"/>
        <w:bottom w:val="none" w:sz="0" w:space="0" w:color="auto"/>
        <w:right w:val="none" w:sz="0" w:space="0" w:color="auto"/>
      </w:divBdr>
    </w:div>
    <w:div w:id="726955029">
      <w:bodyDiv w:val="1"/>
      <w:marLeft w:val="0"/>
      <w:marRight w:val="0"/>
      <w:marTop w:val="0"/>
      <w:marBottom w:val="0"/>
      <w:divBdr>
        <w:top w:val="none" w:sz="0" w:space="0" w:color="auto"/>
        <w:left w:val="none" w:sz="0" w:space="0" w:color="auto"/>
        <w:bottom w:val="none" w:sz="0" w:space="0" w:color="auto"/>
        <w:right w:val="none" w:sz="0" w:space="0" w:color="auto"/>
      </w:divBdr>
    </w:div>
    <w:div w:id="728578465">
      <w:bodyDiv w:val="1"/>
      <w:marLeft w:val="0"/>
      <w:marRight w:val="0"/>
      <w:marTop w:val="0"/>
      <w:marBottom w:val="0"/>
      <w:divBdr>
        <w:top w:val="none" w:sz="0" w:space="0" w:color="auto"/>
        <w:left w:val="none" w:sz="0" w:space="0" w:color="auto"/>
        <w:bottom w:val="none" w:sz="0" w:space="0" w:color="auto"/>
        <w:right w:val="none" w:sz="0" w:space="0" w:color="auto"/>
      </w:divBdr>
    </w:div>
    <w:div w:id="730347393">
      <w:bodyDiv w:val="1"/>
      <w:marLeft w:val="0"/>
      <w:marRight w:val="0"/>
      <w:marTop w:val="0"/>
      <w:marBottom w:val="0"/>
      <w:divBdr>
        <w:top w:val="none" w:sz="0" w:space="0" w:color="auto"/>
        <w:left w:val="none" w:sz="0" w:space="0" w:color="auto"/>
        <w:bottom w:val="none" w:sz="0" w:space="0" w:color="auto"/>
        <w:right w:val="none" w:sz="0" w:space="0" w:color="auto"/>
      </w:divBdr>
    </w:div>
    <w:div w:id="732972558">
      <w:bodyDiv w:val="1"/>
      <w:marLeft w:val="0"/>
      <w:marRight w:val="0"/>
      <w:marTop w:val="0"/>
      <w:marBottom w:val="0"/>
      <w:divBdr>
        <w:top w:val="none" w:sz="0" w:space="0" w:color="auto"/>
        <w:left w:val="none" w:sz="0" w:space="0" w:color="auto"/>
        <w:bottom w:val="none" w:sz="0" w:space="0" w:color="auto"/>
        <w:right w:val="none" w:sz="0" w:space="0" w:color="auto"/>
      </w:divBdr>
    </w:div>
    <w:div w:id="734276866">
      <w:bodyDiv w:val="1"/>
      <w:marLeft w:val="0"/>
      <w:marRight w:val="0"/>
      <w:marTop w:val="0"/>
      <w:marBottom w:val="0"/>
      <w:divBdr>
        <w:top w:val="none" w:sz="0" w:space="0" w:color="auto"/>
        <w:left w:val="none" w:sz="0" w:space="0" w:color="auto"/>
        <w:bottom w:val="none" w:sz="0" w:space="0" w:color="auto"/>
        <w:right w:val="none" w:sz="0" w:space="0" w:color="auto"/>
      </w:divBdr>
    </w:div>
    <w:div w:id="734397841">
      <w:bodyDiv w:val="1"/>
      <w:marLeft w:val="0"/>
      <w:marRight w:val="0"/>
      <w:marTop w:val="0"/>
      <w:marBottom w:val="0"/>
      <w:divBdr>
        <w:top w:val="none" w:sz="0" w:space="0" w:color="auto"/>
        <w:left w:val="none" w:sz="0" w:space="0" w:color="auto"/>
        <w:bottom w:val="none" w:sz="0" w:space="0" w:color="auto"/>
        <w:right w:val="none" w:sz="0" w:space="0" w:color="auto"/>
      </w:divBdr>
    </w:div>
    <w:div w:id="736055269">
      <w:bodyDiv w:val="1"/>
      <w:marLeft w:val="0"/>
      <w:marRight w:val="0"/>
      <w:marTop w:val="0"/>
      <w:marBottom w:val="0"/>
      <w:divBdr>
        <w:top w:val="none" w:sz="0" w:space="0" w:color="auto"/>
        <w:left w:val="none" w:sz="0" w:space="0" w:color="auto"/>
        <w:bottom w:val="none" w:sz="0" w:space="0" w:color="auto"/>
        <w:right w:val="none" w:sz="0" w:space="0" w:color="auto"/>
      </w:divBdr>
    </w:div>
    <w:div w:id="737829152">
      <w:marLeft w:val="0"/>
      <w:marRight w:val="0"/>
      <w:marTop w:val="0"/>
      <w:marBottom w:val="0"/>
      <w:divBdr>
        <w:top w:val="none" w:sz="0" w:space="0" w:color="auto"/>
        <w:left w:val="none" w:sz="0" w:space="0" w:color="auto"/>
        <w:bottom w:val="none" w:sz="0" w:space="0" w:color="auto"/>
        <w:right w:val="none" w:sz="0" w:space="0" w:color="auto"/>
      </w:divBdr>
      <w:divsChild>
        <w:div w:id="1958442554">
          <w:marLeft w:val="0"/>
          <w:marRight w:val="0"/>
          <w:marTop w:val="0"/>
          <w:marBottom w:val="0"/>
          <w:divBdr>
            <w:top w:val="none" w:sz="0" w:space="0" w:color="auto"/>
            <w:left w:val="none" w:sz="0" w:space="0" w:color="auto"/>
            <w:bottom w:val="none" w:sz="0" w:space="0" w:color="auto"/>
            <w:right w:val="none" w:sz="0" w:space="0" w:color="auto"/>
          </w:divBdr>
        </w:div>
      </w:divsChild>
    </w:div>
    <w:div w:id="738676747">
      <w:bodyDiv w:val="1"/>
      <w:marLeft w:val="0"/>
      <w:marRight w:val="0"/>
      <w:marTop w:val="0"/>
      <w:marBottom w:val="0"/>
      <w:divBdr>
        <w:top w:val="none" w:sz="0" w:space="0" w:color="auto"/>
        <w:left w:val="none" w:sz="0" w:space="0" w:color="auto"/>
        <w:bottom w:val="none" w:sz="0" w:space="0" w:color="auto"/>
        <w:right w:val="none" w:sz="0" w:space="0" w:color="auto"/>
      </w:divBdr>
    </w:div>
    <w:div w:id="738794979">
      <w:bodyDiv w:val="1"/>
      <w:marLeft w:val="0"/>
      <w:marRight w:val="0"/>
      <w:marTop w:val="0"/>
      <w:marBottom w:val="0"/>
      <w:divBdr>
        <w:top w:val="none" w:sz="0" w:space="0" w:color="auto"/>
        <w:left w:val="none" w:sz="0" w:space="0" w:color="auto"/>
        <w:bottom w:val="none" w:sz="0" w:space="0" w:color="auto"/>
        <w:right w:val="none" w:sz="0" w:space="0" w:color="auto"/>
      </w:divBdr>
    </w:div>
    <w:div w:id="740448026">
      <w:bodyDiv w:val="1"/>
      <w:marLeft w:val="0"/>
      <w:marRight w:val="0"/>
      <w:marTop w:val="0"/>
      <w:marBottom w:val="0"/>
      <w:divBdr>
        <w:top w:val="none" w:sz="0" w:space="0" w:color="auto"/>
        <w:left w:val="none" w:sz="0" w:space="0" w:color="auto"/>
        <w:bottom w:val="none" w:sz="0" w:space="0" w:color="auto"/>
        <w:right w:val="none" w:sz="0" w:space="0" w:color="auto"/>
      </w:divBdr>
    </w:div>
    <w:div w:id="747312243">
      <w:bodyDiv w:val="1"/>
      <w:marLeft w:val="0"/>
      <w:marRight w:val="0"/>
      <w:marTop w:val="0"/>
      <w:marBottom w:val="0"/>
      <w:divBdr>
        <w:top w:val="none" w:sz="0" w:space="0" w:color="auto"/>
        <w:left w:val="none" w:sz="0" w:space="0" w:color="auto"/>
        <w:bottom w:val="none" w:sz="0" w:space="0" w:color="auto"/>
        <w:right w:val="none" w:sz="0" w:space="0" w:color="auto"/>
      </w:divBdr>
    </w:div>
    <w:div w:id="749615274">
      <w:bodyDiv w:val="1"/>
      <w:marLeft w:val="0"/>
      <w:marRight w:val="0"/>
      <w:marTop w:val="0"/>
      <w:marBottom w:val="0"/>
      <w:divBdr>
        <w:top w:val="none" w:sz="0" w:space="0" w:color="auto"/>
        <w:left w:val="none" w:sz="0" w:space="0" w:color="auto"/>
        <w:bottom w:val="none" w:sz="0" w:space="0" w:color="auto"/>
        <w:right w:val="none" w:sz="0" w:space="0" w:color="auto"/>
      </w:divBdr>
    </w:div>
    <w:div w:id="758522155">
      <w:bodyDiv w:val="1"/>
      <w:marLeft w:val="0"/>
      <w:marRight w:val="0"/>
      <w:marTop w:val="0"/>
      <w:marBottom w:val="0"/>
      <w:divBdr>
        <w:top w:val="none" w:sz="0" w:space="0" w:color="auto"/>
        <w:left w:val="none" w:sz="0" w:space="0" w:color="auto"/>
        <w:bottom w:val="none" w:sz="0" w:space="0" w:color="auto"/>
        <w:right w:val="none" w:sz="0" w:space="0" w:color="auto"/>
      </w:divBdr>
    </w:div>
    <w:div w:id="760570711">
      <w:marLeft w:val="0"/>
      <w:marRight w:val="0"/>
      <w:marTop w:val="0"/>
      <w:marBottom w:val="0"/>
      <w:divBdr>
        <w:top w:val="none" w:sz="0" w:space="0" w:color="auto"/>
        <w:left w:val="none" w:sz="0" w:space="0" w:color="auto"/>
        <w:bottom w:val="none" w:sz="0" w:space="0" w:color="auto"/>
        <w:right w:val="none" w:sz="0" w:space="0" w:color="auto"/>
      </w:divBdr>
      <w:divsChild>
        <w:div w:id="213736672">
          <w:marLeft w:val="0"/>
          <w:marRight w:val="0"/>
          <w:marTop w:val="0"/>
          <w:marBottom w:val="0"/>
          <w:divBdr>
            <w:top w:val="none" w:sz="0" w:space="0" w:color="auto"/>
            <w:left w:val="none" w:sz="0" w:space="0" w:color="auto"/>
            <w:bottom w:val="none" w:sz="0" w:space="0" w:color="auto"/>
            <w:right w:val="none" w:sz="0" w:space="0" w:color="auto"/>
          </w:divBdr>
        </w:div>
      </w:divsChild>
    </w:div>
    <w:div w:id="763500024">
      <w:bodyDiv w:val="1"/>
      <w:marLeft w:val="0"/>
      <w:marRight w:val="0"/>
      <w:marTop w:val="0"/>
      <w:marBottom w:val="0"/>
      <w:divBdr>
        <w:top w:val="none" w:sz="0" w:space="0" w:color="auto"/>
        <w:left w:val="none" w:sz="0" w:space="0" w:color="auto"/>
        <w:bottom w:val="none" w:sz="0" w:space="0" w:color="auto"/>
        <w:right w:val="none" w:sz="0" w:space="0" w:color="auto"/>
      </w:divBdr>
    </w:div>
    <w:div w:id="766269087">
      <w:bodyDiv w:val="1"/>
      <w:marLeft w:val="0"/>
      <w:marRight w:val="0"/>
      <w:marTop w:val="0"/>
      <w:marBottom w:val="0"/>
      <w:divBdr>
        <w:top w:val="none" w:sz="0" w:space="0" w:color="auto"/>
        <w:left w:val="none" w:sz="0" w:space="0" w:color="auto"/>
        <w:bottom w:val="none" w:sz="0" w:space="0" w:color="auto"/>
        <w:right w:val="none" w:sz="0" w:space="0" w:color="auto"/>
      </w:divBdr>
    </w:div>
    <w:div w:id="766390690">
      <w:bodyDiv w:val="1"/>
      <w:marLeft w:val="0"/>
      <w:marRight w:val="0"/>
      <w:marTop w:val="0"/>
      <w:marBottom w:val="0"/>
      <w:divBdr>
        <w:top w:val="none" w:sz="0" w:space="0" w:color="auto"/>
        <w:left w:val="none" w:sz="0" w:space="0" w:color="auto"/>
        <w:bottom w:val="none" w:sz="0" w:space="0" w:color="auto"/>
        <w:right w:val="none" w:sz="0" w:space="0" w:color="auto"/>
      </w:divBdr>
    </w:div>
    <w:div w:id="766849289">
      <w:bodyDiv w:val="1"/>
      <w:marLeft w:val="0"/>
      <w:marRight w:val="0"/>
      <w:marTop w:val="0"/>
      <w:marBottom w:val="0"/>
      <w:divBdr>
        <w:top w:val="none" w:sz="0" w:space="0" w:color="auto"/>
        <w:left w:val="none" w:sz="0" w:space="0" w:color="auto"/>
        <w:bottom w:val="none" w:sz="0" w:space="0" w:color="auto"/>
        <w:right w:val="none" w:sz="0" w:space="0" w:color="auto"/>
      </w:divBdr>
    </w:div>
    <w:div w:id="780801708">
      <w:bodyDiv w:val="1"/>
      <w:marLeft w:val="0"/>
      <w:marRight w:val="0"/>
      <w:marTop w:val="0"/>
      <w:marBottom w:val="0"/>
      <w:divBdr>
        <w:top w:val="none" w:sz="0" w:space="0" w:color="auto"/>
        <w:left w:val="none" w:sz="0" w:space="0" w:color="auto"/>
        <w:bottom w:val="none" w:sz="0" w:space="0" w:color="auto"/>
        <w:right w:val="none" w:sz="0" w:space="0" w:color="auto"/>
      </w:divBdr>
    </w:div>
    <w:div w:id="782531164">
      <w:bodyDiv w:val="1"/>
      <w:marLeft w:val="0"/>
      <w:marRight w:val="0"/>
      <w:marTop w:val="0"/>
      <w:marBottom w:val="0"/>
      <w:divBdr>
        <w:top w:val="none" w:sz="0" w:space="0" w:color="auto"/>
        <w:left w:val="none" w:sz="0" w:space="0" w:color="auto"/>
        <w:bottom w:val="none" w:sz="0" w:space="0" w:color="auto"/>
        <w:right w:val="none" w:sz="0" w:space="0" w:color="auto"/>
      </w:divBdr>
    </w:div>
    <w:div w:id="785857232">
      <w:marLeft w:val="0"/>
      <w:marRight w:val="0"/>
      <w:marTop w:val="0"/>
      <w:marBottom w:val="0"/>
      <w:divBdr>
        <w:top w:val="none" w:sz="0" w:space="0" w:color="auto"/>
        <w:left w:val="none" w:sz="0" w:space="0" w:color="auto"/>
        <w:bottom w:val="none" w:sz="0" w:space="0" w:color="auto"/>
        <w:right w:val="none" w:sz="0" w:space="0" w:color="auto"/>
      </w:divBdr>
      <w:divsChild>
        <w:div w:id="738328714">
          <w:marLeft w:val="0"/>
          <w:marRight w:val="0"/>
          <w:marTop w:val="0"/>
          <w:marBottom w:val="0"/>
          <w:divBdr>
            <w:top w:val="none" w:sz="0" w:space="0" w:color="auto"/>
            <w:left w:val="none" w:sz="0" w:space="0" w:color="auto"/>
            <w:bottom w:val="none" w:sz="0" w:space="0" w:color="auto"/>
            <w:right w:val="none" w:sz="0" w:space="0" w:color="auto"/>
          </w:divBdr>
        </w:div>
      </w:divsChild>
    </w:div>
    <w:div w:id="786660841">
      <w:bodyDiv w:val="1"/>
      <w:marLeft w:val="0"/>
      <w:marRight w:val="0"/>
      <w:marTop w:val="0"/>
      <w:marBottom w:val="0"/>
      <w:divBdr>
        <w:top w:val="none" w:sz="0" w:space="0" w:color="auto"/>
        <w:left w:val="none" w:sz="0" w:space="0" w:color="auto"/>
        <w:bottom w:val="none" w:sz="0" w:space="0" w:color="auto"/>
        <w:right w:val="none" w:sz="0" w:space="0" w:color="auto"/>
      </w:divBdr>
    </w:div>
    <w:div w:id="789058903">
      <w:bodyDiv w:val="1"/>
      <w:marLeft w:val="0"/>
      <w:marRight w:val="0"/>
      <w:marTop w:val="0"/>
      <w:marBottom w:val="0"/>
      <w:divBdr>
        <w:top w:val="none" w:sz="0" w:space="0" w:color="auto"/>
        <w:left w:val="none" w:sz="0" w:space="0" w:color="auto"/>
        <w:bottom w:val="none" w:sz="0" w:space="0" w:color="auto"/>
        <w:right w:val="none" w:sz="0" w:space="0" w:color="auto"/>
      </w:divBdr>
    </w:div>
    <w:div w:id="790514386">
      <w:bodyDiv w:val="1"/>
      <w:marLeft w:val="0"/>
      <w:marRight w:val="0"/>
      <w:marTop w:val="0"/>
      <w:marBottom w:val="0"/>
      <w:divBdr>
        <w:top w:val="none" w:sz="0" w:space="0" w:color="auto"/>
        <w:left w:val="none" w:sz="0" w:space="0" w:color="auto"/>
        <w:bottom w:val="none" w:sz="0" w:space="0" w:color="auto"/>
        <w:right w:val="none" w:sz="0" w:space="0" w:color="auto"/>
      </w:divBdr>
    </w:div>
    <w:div w:id="791217145">
      <w:bodyDiv w:val="1"/>
      <w:marLeft w:val="0"/>
      <w:marRight w:val="0"/>
      <w:marTop w:val="0"/>
      <w:marBottom w:val="0"/>
      <w:divBdr>
        <w:top w:val="none" w:sz="0" w:space="0" w:color="auto"/>
        <w:left w:val="none" w:sz="0" w:space="0" w:color="auto"/>
        <w:bottom w:val="none" w:sz="0" w:space="0" w:color="auto"/>
        <w:right w:val="none" w:sz="0" w:space="0" w:color="auto"/>
      </w:divBdr>
    </w:div>
    <w:div w:id="792554767">
      <w:bodyDiv w:val="1"/>
      <w:marLeft w:val="0"/>
      <w:marRight w:val="0"/>
      <w:marTop w:val="0"/>
      <w:marBottom w:val="0"/>
      <w:divBdr>
        <w:top w:val="none" w:sz="0" w:space="0" w:color="auto"/>
        <w:left w:val="none" w:sz="0" w:space="0" w:color="auto"/>
        <w:bottom w:val="none" w:sz="0" w:space="0" w:color="auto"/>
        <w:right w:val="none" w:sz="0" w:space="0" w:color="auto"/>
      </w:divBdr>
    </w:div>
    <w:div w:id="795561053">
      <w:marLeft w:val="0"/>
      <w:marRight w:val="0"/>
      <w:marTop w:val="0"/>
      <w:marBottom w:val="0"/>
      <w:divBdr>
        <w:top w:val="none" w:sz="0" w:space="0" w:color="auto"/>
        <w:left w:val="none" w:sz="0" w:space="0" w:color="auto"/>
        <w:bottom w:val="none" w:sz="0" w:space="0" w:color="auto"/>
        <w:right w:val="none" w:sz="0" w:space="0" w:color="auto"/>
      </w:divBdr>
      <w:divsChild>
        <w:div w:id="110243978">
          <w:marLeft w:val="0"/>
          <w:marRight w:val="0"/>
          <w:marTop w:val="0"/>
          <w:marBottom w:val="0"/>
          <w:divBdr>
            <w:top w:val="none" w:sz="0" w:space="0" w:color="auto"/>
            <w:left w:val="none" w:sz="0" w:space="0" w:color="auto"/>
            <w:bottom w:val="none" w:sz="0" w:space="0" w:color="auto"/>
            <w:right w:val="none" w:sz="0" w:space="0" w:color="auto"/>
          </w:divBdr>
        </w:div>
      </w:divsChild>
    </w:div>
    <w:div w:id="796333949">
      <w:bodyDiv w:val="1"/>
      <w:marLeft w:val="0"/>
      <w:marRight w:val="0"/>
      <w:marTop w:val="0"/>
      <w:marBottom w:val="0"/>
      <w:divBdr>
        <w:top w:val="none" w:sz="0" w:space="0" w:color="auto"/>
        <w:left w:val="none" w:sz="0" w:space="0" w:color="auto"/>
        <w:bottom w:val="none" w:sz="0" w:space="0" w:color="auto"/>
        <w:right w:val="none" w:sz="0" w:space="0" w:color="auto"/>
      </w:divBdr>
    </w:div>
    <w:div w:id="798034511">
      <w:bodyDiv w:val="1"/>
      <w:marLeft w:val="0"/>
      <w:marRight w:val="0"/>
      <w:marTop w:val="0"/>
      <w:marBottom w:val="0"/>
      <w:divBdr>
        <w:top w:val="none" w:sz="0" w:space="0" w:color="auto"/>
        <w:left w:val="none" w:sz="0" w:space="0" w:color="auto"/>
        <w:bottom w:val="none" w:sz="0" w:space="0" w:color="auto"/>
        <w:right w:val="none" w:sz="0" w:space="0" w:color="auto"/>
      </w:divBdr>
    </w:div>
    <w:div w:id="818426083">
      <w:bodyDiv w:val="1"/>
      <w:marLeft w:val="0"/>
      <w:marRight w:val="0"/>
      <w:marTop w:val="0"/>
      <w:marBottom w:val="0"/>
      <w:divBdr>
        <w:top w:val="none" w:sz="0" w:space="0" w:color="auto"/>
        <w:left w:val="none" w:sz="0" w:space="0" w:color="auto"/>
        <w:bottom w:val="none" w:sz="0" w:space="0" w:color="auto"/>
        <w:right w:val="none" w:sz="0" w:space="0" w:color="auto"/>
      </w:divBdr>
    </w:div>
    <w:div w:id="818613665">
      <w:bodyDiv w:val="1"/>
      <w:marLeft w:val="0"/>
      <w:marRight w:val="0"/>
      <w:marTop w:val="0"/>
      <w:marBottom w:val="0"/>
      <w:divBdr>
        <w:top w:val="none" w:sz="0" w:space="0" w:color="auto"/>
        <w:left w:val="none" w:sz="0" w:space="0" w:color="auto"/>
        <w:bottom w:val="none" w:sz="0" w:space="0" w:color="auto"/>
        <w:right w:val="none" w:sz="0" w:space="0" w:color="auto"/>
      </w:divBdr>
    </w:div>
    <w:div w:id="823618545">
      <w:bodyDiv w:val="1"/>
      <w:marLeft w:val="0"/>
      <w:marRight w:val="0"/>
      <w:marTop w:val="0"/>
      <w:marBottom w:val="0"/>
      <w:divBdr>
        <w:top w:val="none" w:sz="0" w:space="0" w:color="auto"/>
        <w:left w:val="none" w:sz="0" w:space="0" w:color="auto"/>
        <w:bottom w:val="none" w:sz="0" w:space="0" w:color="auto"/>
        <w:right w:val="none" w:sz="0" w:space="0" w:color="auto"/>
      </w:divBdr>
    </w:div>
    <w:div w:id="827328415">
      <w:bodyDiv w:val="1"/>
      <w:marLeft w:val="0"/>
      <w:marRight w:val="0"/>
      <w:marTop w:val="0"/>
      <w:marBottom w:val="0"/>
      <w:divBdr>
        <w:top w:val="none" w:sz="0" w:space="0" w:color="auto"/>
        <w:left w:val="none" w:sz="0" w:space="0" w:color="auto"/>
        <w:bottom w:val="none" w:sz="0" w:space="0" w:color="auto"/>
        <w:right w:val="none" w:sz="0" w:space="0" w:color="auto"/>
      </w:divBdr>
    </w:div>
    <w:div w:id="833060848">
      <w:bodyDiv w:val="1"/>
      <w:marLeft w:val="0"/>
      <w:marRight w:val="0"/>
      <w:marTop w:val="0"/>
      <w:marBottom w:val="0"/>
      <w:divBdr>
        <w:top w:val="none" w:sz="0" w:space="0" w:color="auto"/>
        <w:left w:val="none" w:sz="0" w:space="0" w:color="auto"/>
        <w:bottom w:val="none" w:sz="0" w:space="0" w:color="auto"/>
        <w:right w:val="none" w:sz="0" w:space="0" w:color="auto"/>
      </w:divBdr>
    </w:div>
    <w:div w:id="837501358">
      <w:bodyDiv w:val="1"/>
      <w:marLeft w:val="0"/>
      <w:marRight w:val="0"/>
      <w:marTop w:val="0"/>
      <w:marBottom w:val="0"/>
      <w:divBdr>
        <w:top w:val="none" w:sz="0" w:space="0" w:color="auto"/>
        <w:left w:val="none" w:sz="0" w:space="0" w:color="auto"/>
        <w:bottom w:val="none" w:sz="0" w:space="0" w:color="auto"/>
        <w:right w:val="none" w:sz="0" w:space="0" w:color="auto"/>
      </w:divBdr>
    </w:div>
    <w:div w:id="839319986">
      <w:bodyDiv w:val="1"/>
      <w:marLeft w:val="0"/>
      <w:marRight w:val="0"/>
      <w:marTop w:val="0"/>
      <w:marBottom w:val="0"/>
      <w:divBdr>
        <w:top w:val="none" w:sz="0" w:space="0" w:color="auto"/>
        <w:left w:val="none" w:sz="0" w:space="0" w:color="auto"/>
        <w:bottom w:val="none" w:sz="0" w:space="0" w:color="auto"/>
        <w:right w:val="none" w:sz="0" w:space="0" w:color="auto"/>
      </w:divBdr>
    </w:div>
    <w:div w:id="846139811">
      <w:bodyDiv w:val="1"/>
      <w:marLeft w:val="0"/>
      <w:marRight w:val="0"/>
      <w:marTop w:val="0"/>
      <w:marBottom w:val="0"/>
      <w:divBdr>
        <w:top w:val="none" w:sz="0" w:space="0" w:color="auto"/>
        <w:left w:val="none" w:sz="0" w:space="0" w:color="auto"/>
        <w:bottom w:val="none" w:sz="0" w:space="0" w:color="auto"/>
        <w:right w:val="none" w:sz="0" w:space="0" w:color="auto"/>
      </w:divBdr>
    </w:div>
    <w:div w:id="846290130">
      <w:bodyDiv w:val="1"/>
      <w:marLeft w:val="0"/>
      <w:marRight w:val="0"/>
      <w:marTop w:val="0"/>
      <w:marBottom w:val="0"/>
      <w:divBdr>
        <w:top w:val="none" w:sz="0" w:space="0" w:color="auto"/>
        <w:left w:val="none" w:sz="0" w:space="0" w:color="auto"/>
        <w:bottom w:val="none" w:sz="0" w:space="0" w:color="auto"/>
        <w:right w:val="none" w:sz="0" w:space="0" w:color="auto"/>
      </w:divBdr>
    </w:div>
    <w:div w:id="848910916">
      <w:bodyDiv w:val="1"/>
      <w:marLeft w:val="0"/>
      <w:marRight w:val="0"/>
      <w:marTop w:val="0"/>
      <w:marBottom w:val="0"/>
      <w:divBdr>
        <w:top w:val="none" w:sz="0" w:space="0" w:color="auto"/>
        <w:left w:val="none" w:sz="0" w:space="0" w:color="auto"/>
        <w:bottom w:val="none" w:sz="0" w:space="0" w:color="auto"/>
        <w:right w:val="none" w:sz="0" w:space="0" w:color="auto"/>
      </w:divBdr>
    </w:div>
    <w:div w:id="859317215">
      <w:bodyDiv w:val="1"/>
      <w:marLeft w:val="0"/>
      <w:marRight w:val="0"/>
      <w:marTop w:val="0"/>
      <w:marBottom w:val="0"/>
      <w:divBdr>
        <w:top w:val="none" w:sz="0" w:space="0" w:color="auto"/>
        <w:left w:val="none" w:sz="0" w:space="0" w:color="auto"/>
        <w:bottom w:val="none" w:sz="0" w:space="0" w:color="auto"/>
        <w:right w:val="none" w:sz="0" w:space="0" w:color="auto"/>
      </w:divBdr>
    </w:div>
    <w:div w:id="862130473">
      <w:marLeft w:val="0"/>
      <w:marRight w:val="0"/>
      <w:marTop w:val="0"/>
      <w:marBottom w:val="0"/>
      <w:divBdr>
        <w:top w:val="none" w:sz="0" w:space="0" w:color="auto"/>
        <w:left w:val="none" w:sz="0" w:space="0" w:color="auto"/>
        <w:bottom w:val="none" w:sz="0" w:space="0" w:color="auto"/>
        <w:right w:val="none" w:sz="0" w:space="0" w:color="auto"/>
      </w:divBdr>
      <w:divsChild>
        <w:div w:id="435488860">
          <w:marLeft w:val="0"/>
          <w:marRight w:val="0"/>
          <w:marTop w:val="0"/>
          <w:marBottom w:val="0"/>
          <w:divBdr>
            <w:top w:val="none" w:sz="0" w:space="0" w:color="auto"/>
            <w:left w:val="none" w:sz="0" w:space="0" w:color="auto"/>
            <w:bottom w:val="none" w:sz="0" w:space="0" w:color="auto"/>
            <w:right w:val="none" w:sz="0" w:space="0" w:color="auto"/>
          </w:divBdr>
        </w:div>
      </w:divsChild>
    </w:div>
    <w:div w:id="866213031">
      <w:bodyDiv w:val="1"/>
      <w:marLeft w:val="0"/>
      <w:marRight w:val="0"/>
      <w:marTop w:val="0"/>
      <w:marBottom w:val="0"/>
      <w:divBdr>
        <w:top w:val="none" w:sz="0" w:space="0" w:color="auto"/>
        <w:left w:val="none" w:sz="0" w:space="0" w:color="auto"/>
        <w:bottom w:val="none" w:sz="0" w:space="0" w:color="auto"/>
        <w:right w:val="none" w:sz="0" w:space="0" w:color="auto"/>
      </w:divBdr>
    </w:div>
    <w:div w:id="867913055">
      <w:bodyDiv w:val="1"/>
      <w:marLeft w:val="0"/>
      <w:marRight w:val="0"/>
      <w:marTop w:val="0"/>
      <w:marBottom w:val="0"/>
      <w:divBdr>
        <w:top w:val="none" w:sz="0" w:space="0" w:color="auto"/>
        <w:left w:val="none" w:sz="0" w:space="0" w:color="auto"/>
        <w:bottom w:val="none" w:sz="0" w:space="0" w:color="auto"/>
        <w:right w:val="none" w:sz="0" w:space="0" w:color="auto"/>
      </w:divBdr>
    </w:div>
    <w:div w:id="872961525">
      <w:bodyDiv w:val="1"/>
      <w:marLeft w:val="0"/>
      <w:marRight w:val="0"/>
      <w:marTop w:val="0"/>
      <w:marBottom w:val="0"/>
      <w:divBdr>
        <w:top w:val="none" w:sz="0" w:space="0" w:color="auto"/>
        <w:left w:val="none" w:sz="0" w:space="0" w:color="auto"/>
        <w:bottom w:val="none" w:sz="0" w:space="0" w:color="auto"/>
        <w:right w:val="none" w:sz="0" w:space="0" w:color="auto"/>
      </w:divBdr>
    </w:div>
    <w:div w:id="885338494">
      <w:bodyDiv w:val="1"/>
      <w:marLeft w:val="0"/>
      <w:marRight w:val="0"/>
      <w:marTop w:val="0"/>
      <w:marBottom w:val="0"/>
      <w:divBdr>
        <w:top w:val="none" w:sz="0" w:space="0" w:color="auto"/>
        <w:left w:val="none" w:sz="0" w:space="0" w:color="auto"/>
        <w:bottom w:val="none" w:sz="0" w:space="0" w:color="auto"/>
        <w:right w:val="none" w:sz="0" w:space="0" w:color="auto"/>
      </w:divBdr>
    </w:div>
    <w:div w:id="887034785">
      <w:bodyDiv w:val="1"/>
      <w:marLeft w:val="0"/>
      <w:marRight w:val="0"/>
      <w:marTop w:val="0"/>
      <w:marBottom w:val="0"/>
      <w:divBdr>
        <w:top w:val="none" w:sz="0" w:space="0" w:color="auto"/>
        <w:left w:val="none" w:sz="0" w:space="0" w:color="auto"/>
        <w:bottom w:val="none" w:sz="0" w:space="0" w:color="auto"/>
        <w:right w:val="none" w:sz="0" w:space="0" w:color="auto"/>
      </w:divBdr>
    </w:div>
    <w:div w:id="895778154">
      <w:bodyDiv w:val="1"/>
      <w:marLeft w:val="0"/>
      <w:marRight w:val="0"/>
      <w:marTop w:val="0"/>
      <w:marBottom w:val="0"/>
      <w:divBdr>
        <w:top w:val="none" w:sz="0" w:space="0" w:color="auto"/>
        <w:left w:val="none" w:sz="0" w:space="0" w:color="auto"/>
        <w:bottom w:val="none" w:sz="0" w:space="0" w:color="auto"/>
        <w:right w:val="none" w:sz="0" w:space="0" w:color="auto"/>
      </w:divBdr>
    </w:div>
    <w:div w:id="902839670">
      <w:bodyDiv w:val="1"/>
      <w:marLeft w:val="0"/>
      <w:marRight w:val="0"/>
      <w:marTop w:val="0"/>
      <w:marBottom w:val="0"/>
      <w:divBdr>
        <w:top w:val="none" w:sz="0" w:space="0" w:color="auto"/>
        <w:left w:val="none" w:sz="0" w:space="0" w:color="auto"/>
        <w:bottom w:val="none" w:sz="0" w:space="0" w:color="auto"/>
        <w:right w:val="none" w:sz="0" w:space="0" w:color="auto"/>
      </w:divBdr>
    </w:div>
    <w:div w:id="904339643">
      <w:bodyDiv w:val="1"/>
      <w:marLeft w:val="0"/>
      <w:marRight w:val="0"/>
      <w:marTop w:val="0"/>
      <w:marBottom w:val="0"/>
      <w:divBdr>
        <w:top w:val="none" w:sz="0" w:space="0" w:color="auto"/>
        <w:left w:val="none" w:sz="0" w:space="0" w:color="auto"/>
        <w:bottom w:val="none" w:sz="0" w:space="0" w:color="auto"/>
        <w:right w:val="none" w:sz="0" w:space="0" w:color="auto"/>
      </w:divBdr>
    </w:div>
    <w:div w:id="904611063">
      <w:bodyDiv w:val="1"/>
      <w:marLeft w:val="0"/>
      <w:marRight w:val="0"/>
      <w:marTop w:val="0"/>
      <w:marBottom w:val="0"/>
      <w:divBdr>
        <w:top w:val="none" w:sz="0" w:space="0" w:color="auto"/>
        <w:left w:val="none" w:sz="0" w:space="0" w:color="auto"/>
        <w:bottom w:val="none" w:sz="0" w:space="0" w:color="auto"/>
        <w:right w:val="none" w:sz="0" w:space="0" w:color="auto"/>
      </w:divBdr>
    </w:div>
    <w:div w:id="904876944">
      <w:bodyDiv w:val="1"/>
      <w:marLeft w:val="0"/>
      <w:marRight w:val="0"/>
      <w:marTop w:val="0"/>
      <w:marBottom w:val="0"/>
      <w:divBdr>
        <w:top w:val="none" w:sz="0" w:space="0" w:color="auto"/>
        <w:left w:val="none" w:sz="0" w:space="0" w:color="auto"/>
        <w:bottom w:val="none" w:sz="0" w:space="0" w:color="auto"/>
        <w:right w:val="none" w:sz="0" w:space="0" w:color="auto"/>
      </w:divBdr>
    </w:div>
    <w:div w:id="907108787">
      <w:bodyDiv w:val="1"/>
      <w:marLeft w:val="0"/>
      <w:marRight w:val="0"/>
      <w:marTop w:val="0"/>
      <w:marBottom w:val="0"/>
      <w:divBdr>
        <w:top w:val="none" w:sz="0" w:space="0" w:color="auto"/>
        <w:left w:val="none" w:sz="0" w:space="0" w:color="auto"/>
        <w:bottom w:val="none" w:sz="0" w:space="0" w:color="auto"/>
        <w:right w:val="none" w:sz="0" w:space="0" w:color="auto"/>
      </w:divBdr>
    </w:div>
    <w:div w:id="907155223">
      <w:bodyDiv w:val="1"/>
      <w:marLeft w:val="0"/>
      <w:marRight w:val="0"/>
      <w:marTop w:val="0"/>
      <w:marBottom w:val="0"/>
      <w:divBdr>
        <w:top w:val="none" w:sz="0" w:space="0" w:color="auto"/>
        <w:left w:val="none" w:sz="0" w:space="0" w:color="auto"/>
        <w:bottom w:val="none" w:sz="0" w:space="0" w:color="auto"/>
        <w:right w:val="none" w:sz="0" w:space="0" w:color="auto"/>
      </w:divBdr>
    </w:div>
    <w:div w:id="907348916">
      <w:bodyDiv w:val="1"/>
      <w:marLeft w:val="0"/>
      <w:marRight w:val="0"/>
      <w:marTop w:val="0"/>
      <w:marBottom w:val="0"/>
      <w:divBdr>
        <w:top w:val="none" w:sz="0" w:space="0" w:color="auto"/>
        <w:left w:val="none" w:sz="0" w:space="0" w:color="auto"/>
        <w:bottom w:val="none" w:sz="0" w:space="0" w:color="auto"/>
        <w:right w:val="none" w:sz="0" w:space="0" w:color="auto"/>
      </w:divBdr>
      <w:divsChild>
        <w:div w:id="2071538042">
          <w:marLeft w:val="0"/>
          <w:marRight w:val="0"/>
          <w:marTop w:val="0"/>
          <w:marBottom w:val="0"/>
          <w:divBdr>
            <w:top w:val="none" w:sz="0" w:space="0" w:color="auto"/>
            <w:left w:val="none" w:sz="0" w:space="0" w:color="auto"/>
            <w:bottom w:val="none" w:sz="0" w:space="0" w:color="auto"/>
            <w:right w:val="none" w:sz="0" w:space="0" w:color="auto"/>
          </w:divBdr>
        </w:div>
      </w:divsChild>
    </w:div>
    <w:div w:id="912202544">
      <w:bodyDiv w:val="1"/>
      <w:marLeft w:val="0"/>
      <w:marRight w:val="0"/>
      <w:marTop w:val="0"/>
      <w:marBottom w:val="0"/>
      <w:divBdr>
        <w:top w:val="none" w:sz="0" w:space="0" w:color="auto"/>
        <w:left w:val="none" w:sz="0" w:space="0" w:color="auto"/>
        <w:bottom w:val="none" w:sz="0" w:space="0" w:color="auto"/>
        <w:right w:val="none" w:sz="0" w:space="0" w:color="auto"/>
      </w:divBdr>
    </w:div>
    <w:div w:id="914168694">
      <w:bodyDiv w:val="1"/>
      <w:marLeft w:val="0"/>
      <w:marRight w:val="0"/>
      <w:marTop w:val="0"/>
      <w:marBottom w:val="0"/>
      <w:divBdr>
        <w:top w:val="none" w:sz="0" w:space="0" w:color="auto"/>
        <w:left w:val="none" w:sz="0" w:space="0" w:color="auto"/>
        <w:bottom w:val="none" w:sz="0" w:space="0" w:color="auto"/>
        <w:right w:val="none" w:sz="0" w:space="0" w:color="auto"/>
      </w:divBdr>
    </w:div>
    <w:div w:id="922102258">
      <w:bodyDiv w:val="1"/>
      <w:marLeft w:val="0"/>
      <w:marRight w:val="0"/>
      <w:marTop w:val="0"/>
      <w:marBottom w:val="0"/>
      <w:divBdr>
        <w:top w:val="none" w:sz="0" w:space="0" w:color="auto"/>
        <w:left w:val="none" w:sz="0" w:space="0" w:color="auto"/>
        <w:bottom w:val="none" w:sz="0" w:space="0" w:color="auto"/>
        <w:right w:val="none" w:sz="0" w:space="0" w:color="auto"/>
      </w:divBdr>
    </w:div>
    <w:div w:id="923958561">
      <w:bodyDiv w:val="1"/>
      <w:marLeft w:val="0"/>
      <w:marRight w:val="0"/>
      <w:marTop w:val="0"/>
      <w:marBottom w:val="0"/>
      <w:divBdr>
        <w:top w:val="none" w:sz="0" w:space="0" w:color="auto"/>
        <w:left w:val="none" w:sz="0" w:space="0" w:color="auto"/>
        <w:bottom w:val="none" w:sz="0" w:space="0" w:color="auto"/>
        <w:right w:val="none" w:sz="0" w:space="0" w:color="auto"/>
      </w:divBdr>
    </w:div>
    <w:div w:id="932398831">
      <w:bodyDiv w:val="1"/>
      <w:marLeft w:val="0"/>
      <w:marRight w:val="0"/>
      <w:marTop w:val="0"/>
      <w:marBottom w:val="0"/>
      <w:divBdr>
        <w:top w:val="none" w:sz="0" w:space="0" w:color="auto"/>
        <w:left w:val="none" w:sz="0" w:space="0" w:color="auto"/>
        <w:bottom w:val="none" w:sz="0" w:space="0" w:color="auto"/>
        <w:right w:val="none" w:sz="0" w:space="0" w:color="auto"/>
      </w:divBdr>
    </w:div>
    <w:div w:id="937833571">
      <w:bodyDiv w:val="1"/>
      <w:marLeft w:val="0"/>
      <w:marRight w:val="0"/>
      <w:marTop w:val="0"/>
      <w:marBottom w:val="0"/>
      <w:divBdr>
        <w:top w:val="none" w:sz="0" w:space="0" w:color="auto"/>
        <w:left w:val="none" w:sz="0" w:space="0" w:color="auto"/>
        <w:bottom w:val="none" w:sz="0" w:space="0" w:color="auto"/>
        <w:right w:val="none" w:sz="0" w:space="0" w:color="auto"/>
      </w:divBdr>
    </w:div>
    <w:div w:id="942222323">
      <w:bodyDiv w:val="1"/>
      <w:marLeft w:val="0"/>
      <w:marRight w:val="0"/>
      <w:marTop w:val="0"/>
      <w:marBottom w:val="0"/>
      <w:divBdr>
        <w:top w:val="none" w:sz="0" w:space="0" w:color="auto"/>
        <w:left w:val="none" w:sz="0" w:space="0" w:color="auto"/>
        <w:bottom w:val="none" w:sz="0" w:space="0" w:color="auto"/>
        <w:right w:val="none" w:sz="0" w:space="0" w:color="auto"/>
      </w:divBdr>
    </w:div>
    <w:div w:id="943465142">
      <w:bodyDiv w:val="1"/>
      <w:marLeft w:val="0"/>
      <w:marRight w:val="0"/>
      <w:marTop w:val="0"/>
      <w:marBottom w:val="0"/>
      <w:divBdr>
        <w:top w:val="none" w:sz="0" w:space="0" w:color="auto"/>
        <w:left w:val="none" w:sz="0" w:space="0" w:color="auto"/>
        <w:bottom w:val="none" w:sz="0" w:space="0" w:color="auto"/>
        <w:right w:val="none" w:sz="0" w:space="0" w:color="auto"/>
      </w:divBdr>
    </w:div>
    <w:div w:id="944074449">
      <w:bodyDiv w:val="1"/>
      <w:marLeft w:val="0"/>
      <w:marRight w:val="0"/>
      <w:marTop w:val="0"/>
      <w:marBottom w:val="0"/>
      <w:divBdr>
        <w:top w:val="none" w:sz="0" w:space="0" w:color="auto"/>
        <w:left w:val="none" w:sz="0" w:space="0" w:color="auto"/>
        <w:bottom w:val="none" w:sz="0" w:space="0" w:color="auto"/>
        <w:right w:val="none" w:sz="0" w:space="0" w:color="auto"/>
      </w:divBdr>
    </w:div>
    <w:div w:id="944922811">
      <w:bodyDiv w:val="1"/>
      <w:marLeft w:val="0"/>
      <w:marRight w:val="0"/>
      <w:marTop w:val="0"/>
      <w:marBottom w:val="0"/>
      <w:divBdr>
        <w:top w:val="none" w:sz="0" w:space="0" w:color="auto"/>
        <w:left w:val="none" w:sz="0" w:space="0" w:color="auto"/>
        <w:bottom w:val="none" w:sz="0" w:space="0" w:color="auto"/>
        <w:right w:val="none" w:sz="0" w:space="0" w:color="auto"/>
      </w:divBdr>
    </w:div>
    <w:div w:id="951278009">
      <w:bodyDiv w:val="1"/>
      <w:marLeft w:val="0"/>
      <w:marRight w:val="0"/>
      <w:marTop w:val="0"/>
      <w:marBottom w:val="0"/>
      <w:divBdr>
        <w:top w:val="none" w:sz="0" w:space="0" w:color="auto"/>
        <w:left w:val="none" w:sz="0" w:space="0" w:color="auto"/>
        <w:bottom w:val="none" w:sz="0" w:space="0" w:color="auto"/>
        <w:right w:val="none" w:sz="0" w:space="0" w:color="auto"/>
      </w:divBdr>
    </w:div>
    <w:div w:id="960958086">
      <w:bodyDiv w:val="1"/>
      <w:marLeft w:val="0"/>
      <w:marRight w:val="0"/>
      <w:marTop w:val="0"/>
      <w:marBottom w:val="0"/>
      <w:divBdr>
        <w:top w:val="none" w:sz="0" w:space="0" w:color="auto"/>
        <w:left w:val="none" w:sz="0" w:space="0" w:color="auto"/>
        <w:bottom w:val="none" w:sz="0" w:space="0" w:color="auto"/>
        <w:right w:val="none" w:sz="0" w:space="0" w:color="auto"/>
      </w:divBdr>
    </w:div>
    <w:div w:id="965744327">
      <w:marLeft w:val="0"/>
      <w:marRight w:val="0"/>
      <w:marTop w:val="0"/>
      <w:marBottom w:val="0"/>
      <w:divBdr>
        <w:top w:val="none" w:sz="0" w:space="0" w:color="auto"/>
        <w:left w:val="none" w:sz="0" w:space="0" w:color="auto"/>
        <w:bottom w:val="none" w:sz="0" w:space="0" w:color="auto"/>
        <w:right w:val="none" w:sz="0" w:space="0" w:color="auto"/>
      </w:divBdr>
      <w:divsChild>
        <w:div w:id="1334648662">
          <w:marLeft w:val="0"/>
          <w:marRight w:val="0"/>
          <w:marTop w:val="0"/>
          <w:marBottom w:val="0"/>
          <w:divBdr>
            <w:top w:val="none" w:sz="0" w:space="0" w:color="auto"/>
            <w:left w:val="none" w:sz="0" w:space="0" w:color="auto"/>
            <w:bottom w:val="none" w:sz="0" w:space="0" w:color="auto"/>
            <w:right w:val="none" w:sz="0" w:space="0" w:color="auto"/>
          </w:divBdr>
        </w:div>
      </w:divsChild>
    </w:div>
    <w:div w:id="968510107">
      <w:bodyDiv w:val="1"/>
      <w:marLeft w:val="0"/>
      <w:marRight w:val="0"/>
      <w:marTop w:val="0"/>
      <w:marBottom w:val="0"/>
      <w:divBdr>
        <w:top w:val="none" w:sz="0" w:space="0" w:color="auto"/>
        <w:left w:val="none" w:sz="0" w:space="0" w:color="auto"/>
        <w:bottom w:val="none" w:sz="0" w:space="0" w:color="auto"/>
        <w:right w:val="none" w:sz="0" w:space="0" w:color="auto"/>
      </w:divBdr>
    </w:div>
    <w:div w:id="971784025">
      <w:bodyDiv w:val="1"/>
      <w:marLeft w:val="0"/>
      <w:marRight w:val="0"/>
      <w:marTop w:val="0"/>
      <w:marBottom w:val="0"/>
      <w:divBdr>
        <w:top w:val="none" w:sz="0" w:space="0" w:color="auto"/>
        <w:left w:val="none" w:sz="0" w:space="0" w:color="auto"/>
        <w:bottom w:val="none" w:sz="0" w:space="0" w:color="auto"/>
        <w:right w:val="none" w:sz="0" w:space="0" w:color="auto"/>
      </w:divBdr>
    </w:div>
    <w:div w:id="976108760">
      <w:bodyDiv w:val="1"/>
      <w:marLeft w:val="0"/>
      <w:marRight w:val="0"/>
      <w:marTop w:val="0"/>
      <w:marBottom w:val="0"/>
      <w:divBdr>
        <w:top w:val="none" w:sz="0" w:space="0" w:color="auto"/>
        <w:left w:val="none" w:sz="0" w:space="0" w:color="auto"/>
        <w:bottom w:val="none" w:sz="0" w:space="0" w:color="auto"/>
        <w:right w:val="none" w:sz="0" w:space="0" w:color="auto"/>
      </w:divBdr>
    </w:div>
    <w:div w:id="980233831">
      <w:bodyDiv w:val="1"/>
      <w:marLeft w:val="0"/>
      <w:marRight w:val="0"/>
      <w:marTop w:val="0"/>
      <w:marBottom w:val="0"/>
      <w:divBdr>
        <w:top w:val="none" w:sz="0" w:space="0" w:color="auto"/>
        <w:left w:val="none" w:sz="0" w:space="0" w:color="auto"/>
        <w:bottom w:val="none" w:sz="0" w:space="0" w:color="auto"/>
        <w:right w:val="none" w:sz="0" w:space="0" w:color="auto"/>
      </w:divBdr>
    </w:div>
    <w:div w:id="980497315">
      <w:bodyDiv w:val="1"/>
      <w:marLeft w:val="0"/>
      <w:marRight w:val="0"/>
      <w:marTop w:val="0"/>
      <w:marBottom w:val="0"/>
      <w:divBdr>
        <w:top w:val="none" w:sz="0" w:space="0" w:color="auto"/>
        <w:left w:val="none" w:sz="0" w:space="0" w:color="auto"/>
        <w:bottom w:val="none" w:sz="0" w:space="0" w:color="auto"/>
        <w:right w:val="none" w:sz="0" w:space="0" w:color="auto"/>
      </w:divBdr>
    </w:div>
    <w:div w:id="982929977">
      <w:bodyDiv w:val="1"/>
      <w:marLeft w:val="0"/>
      <w:marRight w:val="0"/>
      <w:marTop w:val="0"/>
      <w:marBottom w:val="0"/>
      <w:divBdr>
        <w:top w:val="none" w:sz="0" w:space="0" w:color="auto"/>
        <w:left w:val="none" w:sz="0" w:space="0" w:color="auto"/>
        <w:bottom w:val="none" w:sz="0" w:space="0" w:color="auto"/>
        <w:right w:val="none" w:sz="0" w:space="0" w:color="auto"/>
      </w:divBdr>
    </w:div>
    <w:div w:id="983778655">
      <w:marLeft w:val="0"/>
      <w:marRight w:val="0"/>
      <w:marTop w:val="0"/>
      <w:marBottom w:val="0"/>
      <w:divBdr>
        <w:top w:val="none" w:sz="0" w:space="0" w:color="auto"/>
        <w:left w:val="none" w:sz="0" w:space="0" w:color="auto"/>
        <w:bottom w:val="none" w:sz="0" w:space="0" w:color="auto"/>
        <w:right w:val="none" w:sz="0" w:space="0" w:color="auto"/>
      </w:divBdr>
      <w:divsChild>
        <w:div w:id="2124811466">
          <w:marLeft w:val="0"/>
          <w:marRight w:val="0"/>
          <w:marTop w:val="0"/>
          <w:marBottom w:val="0"/>
          <w:divBdr>
            <w:top w:val="none" w:sz="0" w:space="0" w:color="auto"/>
            <w:left w:val="none" w:sz="0" w:space="0" w:color="auto"/>
            <w:bottom w:val="none" w:sz="0" w:space="0" w:color="auto"/>
            <w:right w:val="none" w:sz="0" w:space="0" w:color="auto"/>
          </w:divBdr>
        </w:div>
      </w:divsChild>
    </w:div>
    <w:div w:id="988678483">
      <w:bodyDiv w:val="1"/>
      <w:marLeft w:val="0"/>
      <w:marRight w:val="0"/>
      <w:marTop w:val="0"/>
      <w:marBottom w:val="0"/>
      <w:divBdr>
        <w:top w:val="none" w:sz="0" w:space="0" w:color="auto"/>
        <w:left w:val="none" w:sz="0" w:space="0" w:color="auto"/>
        <w:bottom w:val="none" w:sz="0" w:space="0" w:color="auto"/>
        <w:right w:val="none" w:sz="0" w:space="0" w:color="auto"/>
      </w:divBdr>
    </w:div>
    <w:div w:id="988749041">
      <w:bodyDiv w:val="1"/>
      <w:marLeft w:val="0"/>
      <w:marRight w:val="0"/>
      <w:marTop w:val="0"/>
      <w:marBottom w:val="0"/>
      <w:divBdr>
        <w:top w:val="none" w:sz="0" w:space="0" w:color="auto"/>
        <w:left w:val="none" w:sz="0" w:space="0" w:color="auto"/>
        <w:bottom w:val="none" w:sz="0" w:space="0" w:color="auto"/>
        <w:right w:val="none" w:sz="0" w:space="0" w:color="auto"/>
      </w:divBdr>
    </w:div>
    <w:div w:id="990256506">
      <w:bodyDiv w:val="1"/>
      <w:marLeft w:val="0"/>
      <w:marRight w:val="0"/>
      <w:marTop w:val="0"/>
      <w:marBottom w:val="0"/>
      <w:divBdr>
        <w:top w:val="none" w:sz="0" w:space="0" w:color="auto"/>
        <w:left w:val="none" w:sz="0" w:space="0" w:color="auto"/>
        <w:bottom w:val="none" w:sz="0" w:space="0" w:color="auto"/>
        <w:right w:val="none" w:sz="0" w:space="0" w:color="auto"/>
      </w:divBdr>
    </w:div>
    <w:div w:id="991376385">
      <w:marLeft w:val="0"/>
      <w:marRight w:val="0"/>
      <w:marTop w:val="0"/>
      <w:marBottom w:val="0"/>
      <w:divBdr>
        <w:top w:val="none" w:sz="0" w:space="0" w:color="auto"/>
        <w:left w:val="none" w:sz="0" w:space="0" w:color="auto"/>
        <w:bottom w:val="none" w:sz="0" w:space="0" w:color="auto"/>
        <w:right w:val="none" w:sz="0" w:space="0" w:color="auto"/>
      </w:divBdr>
      <w:divsChild>
        <w:div w:id="1850437818">
          <w:marLeft w:val="0"/>
          <w:marRight w:val="0"/>
          <w:marTop w:val="0"/>
          <w:marBottom w:val="0"/>
          <w:divBdr>
            <w:top w:val="none" w:sz="0" w:space="0" w:color="auto"/>
            <w:left w:val="none" w:sz="0" w:space="0" w:color="auto"/>
            <w:bottom w:val="none" w:sz="0" w:space="0" w:color="auto"/>
            <w:right w:val="none" w:sz="0" w:space="0" w:color="auto"/>
          </w:divBdr>
        </w:div>
      </w:divsChild>
    </w:div>
    <w:div w:id="994911784">
      <w:bodyDiv w:val="1"/>
      <w:marLeft w:val="0"/>
      <w:marRight w:val="0"/>
      <w:marTop w:val="0"/>
      <w:marBottom w:val="0"/>
      <w:divBdr>
        <w:top w:val="none" w:sz="0" w:space="0" w:color="auto"/>
        <w:left w:val="none" w:sz="0" w:space="0" w:color="auto"/>
        <w:bottom w:val="none" w:sz="0" w:space="0" w:color="auto"/>
        <w:right w:val="none" w:sz="0" w:space="0" w:color="auto"/>
      </w:divBdr>
    </w:div>
    <w:div w:id="997998326">
      <w:bodyDiv w:val="1"/>
      <w:marLeft w:val="0"/>
      <w:marRight w:val="0"/>
      <w:marTop w:val="0"/>
      <w:marBottom w:val="0"/>
      <w:divBdr>
        <w:top w:val="none" w:sz="0" w:space="0" w:color="auto"/>
        <w:left w:val="none" w:sz="0" w:space="0" w:color="auto"/>
        <w:bottom w:val="none" w:sz="0" w:space="0" w:color="auto"/>
        <w:right w:val="none" w:sz="0" w:space="0" w:color="auto"/>
      </w:divBdr>
    </w:div>
    <w:div w:id="998269502">
      <w:bodyDiv w:val="1"/>
      <w:marLeft w:val="0"/>
      <w:marRight w:val="0"/>
      <w:marTop w:val="0"/>
      <w:marBottom w:val="0"/>
      <w:divBdr>
        <w:top w:val="none" w:sz="0" w:space="0" w:color="auto"/>
        <w:left w:val="none" w:sz="0" w:space="0" w:color="auto"/>
        <w:bottom w:val="none" w:sz="0" w:space="0" w:color="auto"/>
        <w:right w:val="none" w:sz="0" w:space="0" w:color="auto"/>
      </w:divBdr>
    </w:div>
    <w:div w:id="1002467796">
      <w:bodyDiv w:val="1"/>
      <w:marLeft w:val="0"/>
      <w:marRight w:val="0"/>
      <w:marTop w:val="0"/>
      <w:marBottom w:val="0"/>
      <w:divBdr>
        <w:top w:val="none" w:sz="0" w:space="0" w:color="auto"/>
        <w:left w:val="none" w:sz="0" w:space="0" w:color="auto"/>
        <w:bottom w:val="none" w:sz="0" w:space="0" w:color="auto"/>
        <w:right w:val="none" w:sz="0" w:space="0" w:color="auto"/>
      </w:divBdr>
    </w:div>
    <w:div w:id="1004625518">
      <w:bodyDiv w:val="1"/>
      <w:marLeft w:val="0"/>
      <w:marRight w:val="0"/>
      <w:marTop w:val="0"/>
      <w:marBottom w:val="0"/>
      <w:divBdr>
        <w:top w:val="none" w:sz="0" w:space="0" w:color="auto"/>
        <w:left w:val="none" w:sz="0" w:space="0" w:color="auto"/>
        <w:bottom w:val="none" w:sz="0" w:space="0" w:color="auto"/>
        <w:right w:val="none" w:sz="0" w:space="0" w:color="auto"/>
      </w:divBdr>
    </w:div>
    <w:div w:id="1008141513">
      <w:bodyDiv w:val="1"/>
      <w:marLeft w:val="0"/>
      <w:marRight w:val="0"/>
      <w:marTop w:val="0"/>
      <w:marBottom w:val="0"/>
      <w:divBdr>
        <w:top w:val="none" w:sz="0" w:space="0" w:color="auto"/>
        <w:left w:val="none" w:sz="0" w:space="0" w:color="auto"/>
        <w:bottom w:val="none" w:sz="0" w:space="0" w:color="auto"/>
        <w:right w:val="none" w:sz="0" w:space="0" w:color="auto"/>
      </w:divBdr>
    </w:div>
    <w:div w:id="1009142790">
      <w:marLeft w:val="0"/>
      <w:marRight w:val="0"/>
      <w:marTop w:val="0"/>
      <w:marBottom w:val="0"/>
      <w:divBdr>
        <w:top w:val="none" w:sz="0" w:space="0" w:color="auto"/>
        <w:left w:val="none" w:sz="0" w:space="0" w:color="auto"/>
        <w:bottom w:val="none" w:sz="0" w:space="0" w:color="auto"/>
        <w:right w:val="none" w:sz="0" w:space="0" w:color="auto"/>
      </w:divBdr>
      <w:divsChild>
        <w:div w:id="1155072672">
          <w:marLeft w:val="0"/>
          <w:marRight w:val="0"/>
          <w:marTop w:val="0"/>
          <w:marBottom w:val="0"/>
          <w:divBdr>
            <w:top w:val="none" w:sz="0" w:space="0" w:color="auto"/>
            <w:left w:val="none" w:sz="0" w:space="0" w:color="auto"/>
            <w:bottom w:val="none" w:sz="0" w:space="0" w:color="auto"/>
            <w:right w:val="none" w:sz="0" w:space="0" w:color="auto"/>
          </w:divBdr>
        </w:div>
      </w:divsChild>
    </w:div>
    <w:div w:id="1010791613">
      <w:bodyDiv w:val="1"/>
      <w:marLeft w:val="0"/>
      <w:marRight w:val="0"/>
      <w:marTop w:val="0"/>
      <w:marBottom w:val="0"/>
      <w:divBdr>
        <w:top w:val="none" w:sz="0" w:space="0" w:color="auto"/>
        <w:left w:val="none" w:sz="0" w:space="0" w:color="auto"/>
        <w:bottom w:val="none" w:sz="0" w:space="0" w:color="auto"/>
        <w:right w:val="none" w:sz="0" w:space="0" w:color="auto"/>
      </w:divBdr>
    </w:div>
    <w:div w:id="1013259633">
      <w:bodyDiv w:val="1"/>
      <w:marLeft w:val="0"/>
      <w:marRight w:val="0"/>
      <w:marTop w:val="0"/>
      <w:marBottom w:val="0"/>
      <w:divBdr>
        <w:top w:val="none" w:sz="0" w:space="0" w:color="auto"/>
        <w:left w:val="none" w:sz="0" w:space="0" w:color="auto"/>
        <w:bottom w:val="none" w:sz="0" w:space="0" w:color="auto"/>
        <w:right w:val="none" w:sz="0" w:space="0" w:color="auto"/>
      </w:divBdr>
    </w:div>
    <w:div w:id="1014066810">
      <w:bodyDiv w:val="1"/>
      <w:marLeft w:val="0"/>
      <w:marRight w:val="0"/>
      <w:marTop w:val="0"/>
      <w:marBottom w:val="0"/>
      <w:divBdr>
        <w:top w:val="none" w:sz="0" w:space="0" w:color="auto"/>
        <w:left w:val="none" w:sz="0" w:space="0" w:color="auto"/>
        <w:bottom w:val="none" w:sz="0" w:space="0" w:color="auto"/>
        <w:right w:val="none" w:sz="0" w:space="0" w:color="auto"/>
      </w:divBdr>
    </w:div>
    <w:div w:id="1015153475">
      <w:bodyDiv w:val="1"/>
      <w:marLeft w:val="0"/>
      <w:marRight w:val="0"/>
      <w:marTop w:val="0"/>
      <w:marBottom w:val="0"/>
      <w:divBdr>
        <w:top w:val="none" w:sz="0" w:space="0" w:color="auto"/>
        <w:left w:val="none" w:sz="0" w:space="0" w:color="auto"/>
        <w:bottom w:val="none" w:sz="0" w:space="0" w:color="auto"/>
        <w:right w:val="none" w:sz="0" w:space="0" w:color="auto"/>
      </w:divBdr>
    </w:div>
    <w:div w:id="1023168293">
      <w:marLeft w:val="0"/>
      <w:marRight w:val="0"/>
      <w:marTop w:val="0"/>
      <w:marBottom w:val="0"/>
      <w:divBdr>
        <w:top w:val="none" w:sz="0" w:space="0" w:color="auto"/>
        <w:left w:val="none" w:sz="0" w:space="0" w:color="auto"/>
        <w:bottom w:val="none" w:sz="0" w:space="0" w:color="auto"/>
        <w:right w:val="none" w:sz="0" w:space="0" w:color="auto"/>
      </w:divBdr>
      <w:divsChild>
        <w:div w:id="830751310">
          <w:marLeft w:val="0"/>
          <w:marRight w:val="0"/>
          <w:marTop w:val="0"/>
          <w:marBottom w:val="0"/>
          <w:divBdr>
            <w:top w:val="none" w:sz="0" w:space="0" w:color="auto"/>
            <w:left w:val="none" w:sz="0" w:space="0" w:color="auto"/>
            <w:bottom w:val="none" w:sz="0" w:space="0" w:color="auto"/>
            <w:right w:val="none" w:sz="0" w:space="0" w:color="auto"/>
          </w:divBdr>
        </w:div>
      </w:divsChild>
    </w:div>
    <w:div w:id="1027947650">
      <w:bodyDiv w:val="1"/>
      <w:marLeft w:val="0"/>
      <w:marRight w:val="0"/>
      <w:marTop w:val="0"/>
      <w:marBottom w:val="0"/>
      <w:divBdr>
        <w:top w:val="none" w:sz="0" w:space="0" w:color="auto"/>
        <w:left w:val="none" w:sz="0" w:space="0" w:color="auto"/>
        <w:bottom w:val="none" w:sz="0" w:space="0" w:color="auto"/>
        <w:right w:val="none" w:sz="0" w:space="0" w:color="auto"/>
      </w:divBdr>
    </w:div>
    <w:div w:id="1030302739">
      <w:bodyDiv w:val="1"/>
      <w:marLeft w:val="0"/>
      <w:marRight w:val="0"/>
      <w:marTop w:val="0"/>
      <w:marBottom w:val="0"/>
      <w:divBdr>
        <w:top w:val="none" w:sz="0" w:space="0" w:color="auto"/>
        <w:left w:val="none" w:sz="0" w:space="0" w:color="auto"/>
        <w:bottom w:val="none" w:sz="0" w:space="0" w:color="auto"/>
        <w:right w:val="none" w:sz="0" w:space="0" w:color="auto"/>
      </w:divBdr>
    </w:div>
    <w:div w:id="1030567894">
      <w:bodyDiv w:val="1"/>
      <w:marLeft w:val="0"/>
      <w:marRight w:val="0"/>
      <w:marTop w:val="0"/>
      <w:marBottom w:val="0"/>
      <w:divBdr>
        <w:top w:val="none" w:sz="0" w:space="0" w:color="auto"/>
        <w:left w:val="none" w:sz="0" w:space="0" w:color="auto"/>
        <w:bottom w:val="none" w:sz="0" w:space="0" w:color="auto"/>
        <w:right w:val="none" w:sz="0" w:space="0" w:color="auto"/>
      </w:divBdr>
    </w:div>
    <w:div w:id="1036202457">
      <w:bodyDiv w:val="1"/>
      <w:marLeft w:val="0"/>
      <w:marRight w:val="0"/>
      <w:marTop w:val="0"/>
      <w:marBottom w:val="0"/>
      <w:divBdr>
        <w:top w:val="none" w:sz="0" w:space="0" w:color="auto"/>
        <w:left w:val="none" w:sz="0" w:space="0" w:color="auto"/>
        <w:bottom w:val="none" w:sz="0" w:space="0" w:color="auto"/>
        <w:right w:val="none" w:sz="0" w:space="0" w:color="auto"/>
      </w:divBdr>
    </w:div>
    <w:div w:id="1038898039">
      <w:bodyDiv w:val="1"/>
      <w:marLeft w:val="0"/>
      <w:marRight w:val="0"/>
      <w:marTop w:val="0"/>
      <w:marBottom w:val="0"/>
      <w:divBdr>
        <w:top w:val="none" w:sz="0" w:space="0" w:color="auto"/>
        <w:left w:val="none" w:sz="0" w:space="0" w:color="auto"/>
        <w:bottom w:val="none" w:sz="0" w:space="0" w:color="auto"/>
        <w:right w:val="none" w:sz="0" w:space="0" w:color="auto"/>
      </w:divBdr>
    </w:div>
    <w:div w:id="1039284324">
      <w:bodyDiv w:val="1"/>
      <w:marLeft w:val="0"/>
      <w:marRight w:val="0"/>
      <w:marTop w:val="0"/>
      <w:marBottom w:val="0"/>
      <w:divBdr>
        <w:top w:val="none" w:sz="0" w:space="0" w:color="auto"/>
        <w:left w:val="none" w:sz="0" w:space="0" w:color="auto"/>
        <w:bottom w:val="none" w:sz="0" w:space="0" w:color="auto"/>
        <w:right w:val="none" w:sz="0" w:space="0" w:color="auto"/>
      </w:divBdr>
    </w:div>
    <w:div w:id="1041243150">
      <w:bodyDiv w:val="1"/>
      <w:marLeft w:val="0"/>
      <w:marRight w:val="0"/>
      <w:marTop w:val="0"/>
      <w:marBottom w:val="0"/>
      <w:divBdr>
        <w:top w:val="none" w:sz="0" w:space="0" w:color="auto"/>
        <w:left w:val="none" w:sz="0" w:space="0" w:color="auto"/>
        <w:bottom w:val="none" w:sz="0" w:space="0" w:color="auto"/>
        <w:right w:val="none" w:sz="0" w:space="0" w:color="auto"/>
      </w:divBdr>
    </w:div>
    <w:div w:id="1041399612">
      <w:bodyDiv w:val="1"/>
      <w:marLeft w:val="0"/>
      <w:marRight w:val="0"/>
      <w:marTop w:val="0"/>
      <w:marBottom w:val="0"/>
      <w:divBdr>
        <w:top w:val="none" w:sz="0" w:space="0" w:color="auto"/>
        <w:left w:val="none" w:sz="0" w:space="0" w:color="auto"/>
        <w:bottom w:val="none" w:sz="0" w:space="0" w:color="auto"/>
        <w:right w:val="none" w:sz="0" w:space="0" w:color="auto"/>
      </w:divBdr>
    </w:div>
    <w:div w:id="1044015150">
      <w:bodyDiv w:val="1"/>
      <w:marLeft w:val="0"/>
      <w:marRight w:val="0"/>
      <w:marTop w:val="0"/>
      <w:marBottom w:val="0"/>
      <w:divBdr>
        <w:top w:val="none" w:sz="0" w:space="0" w:color="auto"/>
        <w:left w:val="none" w:sz="0" w:space="0" w:color="auto"/>
        <w:bottom w:val="none" w:sz="0" w:space="0" w:color="auto"/>
        <w:right w:val="none" w:sz="0" w:space="0" w:color="auto"/>
      </w:divBdr>
    </w:div>
    <w:div w:id="1044906246">
      <w:bodyDiv w:val="1"/>
      <w:marLeft w:val="0"/>
      <w:marRight w:val="0"/>
      <w:marTop w:val="0"/>
      <w:marBottom w:val="0"/>
      <w:divBdr>
        <w:top w:val="none" w:sz="0" w:space="0" w:color="auto"/>
        <w:left w:val="none" w:sz="0" w:space="0" w:color="auto"/>
        <w:bottom w:val="none" w:sz="0" w:space="0" w:color="auto"/>
        <w:right w:val="none" w:sz="0" w:space="0" w:color="auto"/>
      </w:divBdr>
    </w:div>
    <w:div w:id="1046103968">
      <w:bodyDiv w:val="1"/>
      <w:marLeft w:val="0"/>
      <w:marRight w:val="0"/>
      <w:marTop w:val="0"/>
      <w:marBottom w:val="0"/>
      <w:divBdr>
        <w:top w:val="none" w:sz="0" w:space="0" w:color="auto"/>
        <w:left w:val="none" w:sz="0" w:space="0" w:color="auto"/>
        <w:bottom w:val="none" w:sz="0" w:space="0" w:color="auto"/>
        <w:right w:val="none" w:sz="0" w:space="0" w:color="auto"/>
      </w:divBdr>
    </w:div>
    <w:div w:id="1049963522">
      <w:bodyDiv w:val="1"/>
      <w:marLeft w:val="0"/>
      <w:marRight w:val="0"/>
      <w:marTop w:val="0"/>
      <w:marBottom w:val="0"/>
      <w:divBdr>
        <w:top w:val="none" w:sz="0" w:space="0" w:color="auto"/>
        <w:left w:val="none" w:sz="0" w:space="0" w:color="auto"/>
        <w:bottom w:val="none" w:sz="0" w:space="0" w:color="auto"/>
        <w:right w:val="none" w:sz="0" w:space="0" w:color="auto"/>
      </w:divBdr>
    </w:div>
    <w:div w:id="1051154553">
      <w:bodyDiv w:val="1"/>
      <w:marLeft w:val="0"/>
      <w:marRight w:val="0"/>
      <w:marTop w:val="0"/>
      <w:marBottom w:val="0"/>
      <w:divBdr>
        <w:top w:val="none" w:sz="0" w:space="0" w:color="auto"/>
        <w:left w:val="none" w:sz="0" w:space="0" w:color="auto"/>
        <w:bottom w:val="none" w:sz="0" w:space="0" w:color="auto"/>
        <w:right w:val="none" w:sz="0" w:space="0" w:color="auto"/>
      </w:divBdr>
    </w:div>
    <w:div w:id="1059399495">
      <w:marLeft w:val="0"/>
      <w:marRight w:val="0"/>
      <w:marTop w:val="0"/>
      <w:marBottom w:val="0"/>
      <w:divBdr>
        <w:top w:val="none" w:sz="0" w:space="0" w:color="auto"/>
        <w:left w:val="none" w:sz="0" w:space="0" w:color="auto"/>
        <w:bottom w:val="none" w:sz="0" w:space="0" w:color="auto"/>
        <w:right w:val="none" w:sz="0" w:space="0" w:color="auto"/>
      </w:divBdr>
      <w:divsChild>
        <w:div w:id="1355499803">
          <w:marLeft w:val="0"/>
          <w:marRight w:val="0"/>
          <w:marTop w:val="0"/>
          <w:marBottom w:val="0"/>
          <w:divBdr>
            <w:top w:val="none" w:sz="0" w:space="0" w:color="auto"/>
            <w:left w:val="none" w:sz="0" w:space="0" w:color="auto"/>
            <w:bottom w:val="none" w:sz="0" w:space="0" w:color="auto"/>
            <w:right w:val="none" w:sz="0" w:space="0" w:color="auto"/>
          </w:divBdr>
        </w:div>
      </w:divsChild>
    </w:div>
    <w:div w:id="1064530315">
      <w:bodyDiv w:val="1"/>
      <w:marLeft w:val="0"/>
      <w:marRight w:val="0"/>
      <w:marTop w:val="0"/>
      <w:marBottom w:val="0"/>
      <w:divBdr>
        <w:top w:val="none" w:sz="0" w:space="0" w:color="auto"/>
        <w:left w:val="none" w:sz="0" w:space="0" w:color="auto"/>
        <w:bottom w:val="none" w:sz="0" w:space="0" w:color="auto"/>
        <w:right w:val="none" w:sz="0" w:space="0" w:color="auto"/>
      </w:divBdr>
    </w:div>
    <w:div w:id="1067338934">
      <w:marLeft w:val="0"/>
      <w:marRight w:val="0"/>
      <w:marTop w:val="0"/>
      <w:marBottom w:val="0"/>
      <w:divBdr>
        <w:top w:val="none" w:sz="0" w:space="0" w:color="auto"/>
        <w:left w:val="none" w:sz="0" w:space="0" w:color="auto"/>
        <w:bottom w:val="none" w:sz="0" w:space="0" w:color="auto"/>
        <w:right w:val="none" w:sz="0" w:space="0" w:color="auto"/>
      </w:divBdr>
      <w:divsChild>
        <w:div w:id="578518633">
          <w:marLeft w:val="0"/>
          <w:marRight w:val="0"/>
          <w:marTop w:val="0"/>
          <w:marBottom w:val="0"/>
          <w:divBdr>
            <w:top w:val="none" w:sz="0" w:space="0" w:color="auto"/>
            <w:left w:val="none" w:sz="0" w:space="0" w:color="auto"/>
            <w:bottom w:val="none" w:sz="0" w:space="0" w:color="auto"/>
            <w:right w:val="none" w:sz="0" w:space="0" w:color="auto"/>
          </w:divBdr>
        </w:div>
      </w:divsChild>
    </w:div>
    <w:div w:id="1077095222">
      <w:bodyDiv w:val="1"/>
      <w:marLeft w:val="0"/>
      <w:marRight w:val="0"/>
      <w:marTop w:val="0"/>
      <w:marBottom w:val="0"/>
      <w:divBdr>
        <w:top w:val="none" w:sz="0" w:space="0" w:color="auto"/>
        <w:left w:val="none" w:sz="0" w:space="0" w:color="auto"/>
        <w:bottom w:val="none" w:sz="0" w:space="0" w:color="auto"/>
        <w:right w:val="none" w:sz="0" w:space="0" w:color="auto"/>
      </w:divBdr>
    </w:div>
    <w:div w:id="1083263299">
      <w:bodyDiv w:val="1"/>
      <w:marLeft w:val="0"/>
      <w:marRight w:val="0"/>
      <w:marTop w:val="0"/>
      <w:marBottom w:val="0"/>
      <w:divBdr>
        <w:top w:val="none" w:sz="0" w:space="0" w:color="auto"/>
        <w:left w:val="none" w:sz="0" w:space="0" w:color="auto"/>
        <w:bottom w:val="none" w:sz="0" w:space="0" w:color="auto"/>
        <w:right w:val="none" w:sz="0" w:space="0" w:color="auto"/>
      </w:divBdr>
    </w:div>
    <w:div w:id="1084842798">
      <w:bodyDiv w:val="1"/>
      <w:marLeft w:val="0"/>
      <w:marRight w:val="0"/>
      <w:marTop w:val="0"/>
      <w:marBottom w:val="0"/>
      <w:divBdr>
        <w:top w:val="none" w:sz="0" w:space="0" w:color="auto"/>
        <w:left w:val="none" w:sz="0" w:space="0" w:color="auto"/>
        <w:bottom w:val="none" w:sz="0" w:space="0" w:color="auto"/>
        <w:right w:val="none" w:sz="0" w:space="0" w:color="auto"/>
      </w:divBdr>
    </w:div>
    <w:div w:id="1087577977">
      <w:bodyDiv w:val="1"/>
      <w:marLeft w:val="0"/>
      <w:marRight w:val="0"/>
      <w:marTop w:val="0"/>
      <w:marBottom w:val="0"/>
      <w:divBdr>
        <w:top w:val="none" w:sz="0" w:space="0" w:color="auto"/>
        <w:left w:val="none" w:sz="0" w:space="0" w:color="auto"/>
        <w:bottom w:val="none" w:sz="0" w:space="0" w:color="auto"/>
        <w:right w:val="none" w:sz="0" w:space="0" w:color="auto"/>
      </w:divBdr>
    </w:div>
    <w:div w:id="1088162476">
      <w:bodyDiv w:val="1"/>
      <w:marLeft w:val="0"/>
      <w:marRight w:val="0"/>
      <w:marTop w:val="0"/>
      <w:marBottom w:val="0"/>
      <w:divBdr>
        <w:top w:val="none" w:sz="0" w:space="0" w:color="auto"/>
        <w:left w:val="none" w:sz="0" w:space="0" w:color="auto"/>
        <w:bottom w:val="none" w:sz="0" w:space="0" w:color="auto"/>
        <w:right w:val="none" w:sz="0" w:space="0" w:color="auto"/>
      </w:divBdr>
    </w:div>
    <w:div w:id="1088698741">
      <w:bodyDiv w:val="1"/>
      <w:marLeft w:val="0"/>
      <w:marRight w:val="0"/>
      <w:marTop w:val="0"/>
      <w:marBottom w:val="0"/>
      <w:divBdr>
        <w:top w:val="none" w:sz="0" w:space="0" w:color="auto"/>
        <w:left w:val="none" w:sz="0" w:space="0" w:color="auto"/>
        <w:bottom w:val="none" w:sz="0" w:space="0" w:color="auto"/>
        <w:right w:val="none" w:sz="0" w:space="0" w:color="auto"/>
      </w:divBdr>
    </w:div>
    <w:div w:id="1090931198">
      <w:bodyDiv w:val="1"/>
      <w:marLeft w:val="0"/>
      <w:marRight w:val="0"/>
      <w:marTop w:val="0"/>
      <w:marBottom w:val="0"/>
      <w:divBdr>
        <w:top w:val="none" w:sz="0" w:space="0" w:color="auto"/>
        <w:left w:val="none" w:sz="0" w:space="0" w:color="auto"/>
        <w:bottom w:val="none" w:sz="0" w:space="0" w:color="auto"/>
        <w:right w:val="none" w:sz="0" w:space="0" w:color="auto"/>
      </w:divBdr>
    </w:div>
    <w:div w:id="1092319829">
      <w:bodyDiv w:val="1"/>
      <w:marLeft w:val="0"/>
      <w:marRight w:val="0"/>
      <w:marTop w:val="0"/>
      <w:marBottom w:val="0"/>
      <w:divBdr>
        <w:top w:val="none" w:sz="0" w:space="0" w:color="auto"/>
        <w:left w:val="none" w:sz="0" w:space="0" w:color="auto"/>
        <w:bottom w:val="none" w:sz="0" w:space="0" w:color="auto"/>
        <w:right w:val="none" w:sz="0" w:space="0" w:color="auto"/>
      </w:divBdr>
    </w:div>
    <w:div w:id="1092582094">
      <w:bodyDiv w:val="1"/>
      <w:marLeft w:val="0"/>
      <w:marRight w:val="0"/>
      <w:marTop w:val="0"/>
      <w:marBottom w:val="0"/>
      <w:divBdr>
        <w:top w:val="none" w:sz="0" w:space="0" w:color="auto"/>
        <w:left w:val="none" w:sz="0" w:space="0" w:color="auto"/>
        <w:bottom w:val="none" w:sz="0" w:space="0" w:color="auto"/>
        <w:right w:val="none" w:sz="0" w:space="0" w:color="auto"/>
      </w:divBdr>
    </w:div>
    <w:div w:id="1097870385">
      <w:bodyDiv w:val="1"/>
      <w:marLeft w:val="0"/>
      <w:marRight w:val="0"/>
      <w:marTop w:val="0"/>
      <w:marBottom w:val="0"/>
      <w:divBdr>
        <w:top w:val="none" w:sz="0" w:space="0" w:color="auto"/>
        <w:left w:val="none" w:sz="0" w:space="0" w:color="auto"/>
        <w:bottom w:val="none" w:sz="0" w:space="0" w:color="auto"/>
        <w:right w:val="none" w:sz="0" w:space="0" w:color="auto"/>
      </w:divBdr>
    </w:div>
    <w:div w:id="1098016131">
      <w:bodyDiv w:val="1"/>
      <w:marLeft w:val="0"/>
      <w:marRight w:val="0"/>
      <w:marTop w:val="0"/>
      <w:marBottom w:val="0"/>
      <w:divBdr>
        <w:top w:val="none" w:sz="0" w:space="0" w:color="auto"/>
        <w:left w:val="none" w:sz="0" w:space="0" w:color="auto"/>
        <w:bottom w:val="none" w:sz="0" w:space="0" w:color="auto"/>
        <w:right w:val="none" w:sz="0" w:space="0" w:color="auto"/>
      </w:divBdr>
    </w:div>
    <w:div w:id="1114327052">
      <w:bodyDiv w:val="1"/>
      <w:marLeft w:val="0"/>
      <w:marRight w:val="0"/>
      <w:marTop w:val="0"/>
      <w:marBottom w:val="0"/>
      <w:divBdr>
        <w:top w:val="none" w:sz="0" w:space="0" w:color="auto"/>
        <w:left w:val="none" w:sz="0" w:space="0" w:color="auto"/>
        <w:bottom w:val="none" w:sz="0" w:space="0" w:color="auto"/>
        <w:right w:val="none" w:sz="0" w:space="0" w:color="auto"/>
      </w:divBdr>
    </w:div>
    <w:div w:id="1116172943">
      <w:bodyDiv w:val="1"/>
      <w:marLeft w:val="0"/>
      <w:marRight w:val="0"/>
      <w:marTop w:val="0"/>
      <w:marBottom w:val="0"/>
      <w:divBdr>
        <w:top w:val="none" w:sz="0" w:space="0" w:color="auto"/>
        <w:left w:val="none" w:sz="0" w:space="0" w:color="auto"/>
        <w:bottom w:val="none" w:sz="0" w:space="0" w:color="auto"/>
        <w:right w:val="none" w:sz="0" w:space="0" w:color="auto"/>
      </w:divBdr>
    </w:div>
    <w:div w:id="1121611295">
      <w:bodyDiv w:val="1"/>
      <w:marLeft w:val="0"/>
      <w:marRight w:val="0"/>
      <w:marTop w:val="0"/>
      <w:marBottom w:val="0"/>
      <w:divBdr>
        <w:top w:val="none" w:sz="0" w:space="0" w:color="auto"/>
        <w:left w:val="none" w:sz="0" w:space="0" w:color="auto"/>
        <w:bottom w:val="none" w:sz="0" w:space="0" w:color="auto"/>
        <w:right w:val="none" w:sz="0" w:space="0" w:color="auto"/>
      </w:divBdr>
    </w:div>
    <w:div w:id="1122655846">
      <w:bodyDiv w:val="1"/>
      <w:marLeft w:val="0"/>
      <w:marRight w:val="0"/>
      <w:marTop w:val="0"/>
      <w:marBottom w:val="0"/>
      <w:divBdr>
        <w:top w:val="none" w:sz="0" w:space="0" w:color="auto"/>
        <w:left w:val="none" w:sz="0" w:space="0" w:color="auto"/>
        <w:bottom w:val="none" w:sz="0" w:space="0" w:color="auto"/>
        <w:right w:val="none" w:sz="0" w:space="0" w:color="auto"/>
      </w:divBdr>
    </w:div>
    <w:div w:id="1123308411">
      <w:bodyDiv w:val="1"/>
      <w:marLeft w:val="0"/>
      <w:marRight w:val="0"/>
      <w:marTop w:val="0"/>
      <w:marBottom w:val="0"/>
      <w:divBdr>
        <w:top w:val="none" w:sz="0" w:space="0" w:color="auto"/>
        <w:left w:val="none" w:sz="0" w:space="0" w:color="auto"/>
        <w:bottom w:val="none" w:sz="0" w:space="0" w:color="auto"/>
        <w:right w:val="none" w:sz="0" w:space="0" w:color="auto"/>
      </w:divBdr>
    </w:div>
    <w:div w:id="1125349865">
      <w:bodyDiv w:val="1"/>
      <w:marLeft w:val="0"/>
      <w:marRight w:val="0"/>
      <w:marTop w:val="0"/>
      <w:marBottom w:val="0"/>
      <w:divBdr>
        <w:top w:val="none" w:sz="0" w:space="0" w:color="auto"/>
        <w:left w:val="none" w:sz="0" w:space="0" w:color="auto"/>
        <w:bottom w:val="none" w:sz="0" w:space="0" w:color="auto"/>
        <w:right w:val="none" w:sz="0" w:space="0" w:color="auto"/>
      </w:divBdr>
    </w:div>
    <w:div w:id="1129010322">
      <w:bodyDiv w:val="1"/>
      <w:marLeft w:val="0"/>
      <w:marRight w:val="0"/>
      <w:marTop w:val="0"/>
      <w:marBottom w:val="0"/>
      <w:divBdr>
        <w:top w:val="none" w:sz="0" w:space="0" w:color="auto"/>
        <w:left w:val="none" w:sz="0" w:space="0" w:color="auto"/>
        <w:bottom w:val="none" w:sz="0" w:space="0" w:color="auto"/>
        <w:right w:val="none" w:sz="0" w:space="0" w:color="auto"/>
      </w:divBdr>
    </w:div>
    <w:div w:id="1129082299">
      <w:bodyDiv w:val="1"/>
      <w:marLeft w:val="0"/>
      <w:marRight w:val="0"/>
      <w:marTop w:val="0"/>
      <w:marBottom w:val="0"/>
      <w:divBdr>
        <w:top w:val="none" w:sz="0" w:space="0" w:color="auto"/>
        <w:left w:val="none" w:sz="0" w:space="0" w:color="auto"/>
        <w:bottom w:val="none" w:sz="0" w:space="0" w:color="auto"/>
        <w:right w:val="none" w:sz="0" w:space="0" w:color="auto"/>
      </w:divBdr>
    </w:div>
    <w:div w:id="1129468533">
      <w:bodyDiv w:val="1"/>
      <w:marLeft w:val="0"/>
      <w:marRight w:val="0"/>
      <w:marTop w:val="0"/>
      <w:marBottom w:val="0"/>
      <w:divBdr>
        <w:top w:val="none" w:sz="0" w:space="0" w:color="auto"/>
        <w:left w:val="none" w:sz="0" w:space="0" w:color="auto"/>
        <w:bottom w:val="none" w:sz="0" w:space="0" w:color="auto"/>
        <w:right w:val="none" w:sz="0" w:space="0" w:color="auto"/>
      </w:divBdr>
    </w:div>
    <w:div w:id="1131900879">
      <w:bodyDiv w:val="1"/>
      <w:marLeft w:val="0"/>
      <w:marRight w:val="0"/>
      <w:marTop w:val="0"/>
      <w:marBottom w:val="0"/>
      <w:divBdr>
        <w:top w:val="none" w:sz="0" w:space="0" w:color="auto"/>
        <w:left w:val="none" w:sz="0" w:space="0" w:color="auto"/>
        <w:bottom w:val="none" w:sz="0" w:space="0" w:color="auto"/>
        <w:right w:val="none" w:sz="0" w:space="0" w:color="auto"/>
      </w:divBdr>
    </w:div>
    <w:div w:id="1134324737">
      <w:bodyDiv w:val="1"/>
      <w:marLeft w:val="0"/>
      <w:marRight w:val="0"/>
      <w:marTop w:val="0"/>
      <w:marBottom w:val="0"/>
      <w:divBdr>
        <w:top w:val="none" w:sz="0" w:space="0" w:color="auto"/>
        <w:left w:val="none" w:sz="0" w:space="0" w:color="auto"/>
        <w:bottom w:val="none" w:sz="0" w:space="0" w:color="auto"/>
        <w:right w:val="none" w:sz="0" w:space="0" w:color="auto"/>
      </w:divBdr>
    </w:div>
    <w:div w:id="1141847383">
      <w:bodyDiv w:val="1"/>
      <w:marLeft w:val="0"/>
      <w:marRight w:val="0"/>
      <w:marTop w:val="0"/>
      <w:marBottom w:val="0"/>
      <w:divBdr>
        <w:top w:val="none" w:sz="0" w:space="0" w:color="auto"/>
        <w:left w:val="none" w:sz="0" w:space="0" w:color="auto"/>
        <w:bottom w:val="none" w:sz="0" w:space="0" w:color="auto"/>
        <w:right w:val="none" w:sz="0" w:space="0" w:color="auto"/>
      </w:divBdr>
    </w:div>
    <w:div w:id="1142309441">
      <w:bodyDiv w:val="1"/>
      <w:marLeft w:val="0"/>
      <w:marRight w:val="0"/>
      <w:marTop w:val="0"/>
      <w:marBottom w:val="0"/>
      <w:divBdr>
        <w:top w:val="none" w:sz="0" w:space="0" w:color="auto"/>
        <w:left w:val="none" w:sz="0" w:space="0" w:color="auto"/>
        <w:bottom w:val="none" w:sz="0" w:space="0" w:color="auto"/>
        <w:right w:val="none" w:sz="0" w:space="0" w:color="auto"/>
      </w:divBdr>
    </w:div>
    <w:div w:id="1149708082">
      <w:bodyDiv w:val="1"/>
      <w:marLeft w:val="0"/>
      <w:marRight w:val="0"/>
      <w:marTop w:val="0"/>
      <w:marBottom w:val="0"/>
      <w:divBdr>
        <w:top w:val="none" w:sz="0" w:space="0" w:color="auto"/>
        <w:left w:val="none" w:sz="0" w:space="0" w:color="auto"/>
        <w:bottom w:val="none" w:sz="0" w:space="0" w:color="auto"/>
        <w:right w:val="none" w:sz="0" w:space="0" w:color="auto"/>
      </w:divBdr>
    </w:div>
    <w:div w:id="1150293464">
      <w:bodyDiv w:val="1"/>
      <w:marLeft w:val="0"/>
      <w:marRight w:val="0"/>
      <w:marTop w:val="0"/>
      <w:marBottom w:val="0"/>
      <w:divBdr>
        <w:top w:val="none" w:sz="0" w:space="0" w:color="auto"/>
        <w:left w:val="none" w:sz="0" w:space="0" w:color="auto"/>
        <w:bottom w:val="none" w:sz="0" w:space="0" w:color="auto"/>
        <w:right w:val="none" w:sz="0" w:space="0" w:color="auto"/>
      </w:divBdr>
    </w:div>
    <w:div w:id="1158224532">
      <w:bodyDiv w:val="1"/>
      <w:marLeft w:val="0"/>
      <w:marRight w:val="0"/>
      <w:marTop w:val="0"/>
      <w:marBottom w:val="0"/>
      <w:divBdr>
        <w:top w:val="none" w:sz="0" w:space="0" w:color="auto"/>
        <w:left w:val="none" w:sz="0" w:space="0" w:color="auto"/>
        <w:bottom w:val="none" w:sz="0" w:space="0" w:color="auto"/>
        <w:right w:val="none" w:sz="0" w:space="0" w:color="auto"/>
      </w:divBdr>
    </w:div>
    <w:div w:id="1161039897">
      <w:bodyDiv w:val="1"/>
      <w:marLeft w:val="0"/>
      <w:marRight w:val="0"/>
      <w:marTop w:val="0"/>
      <w:marBottom w:val="0"/>
      <w:divBdr>
        <w:top w:val="none" w:sz="0" w:space="0" w:color="auto"/>
        <w:left w:val="none" w:sz="0" w:space="0" w:color="auto"/>
        <w:bottom w:val="none" w:sz="0" w:space="0" w:color="auto"/>
        <w:right w:val="none" w:sz="0" w:space="0" w:color="auto"/>
      </w:divBdr>
    </w:div>
    <w:div w:id="1162086886">
      <w:bodyDiv w:val="1"/>
      <w:marLeft w:val="0"/>
      <w:marRight w:val="0"/>
      <w:marTop w:val="0"/>
      <w:marBottom w:val="0"/>
      <w:divBdr>
        <w:top w:val="none" w:sz="0" w:space="0" w:color="auto"/>
        <w:left w:val="none" w:sz="0" w:space="0" w:color="auto"/>
        <w:bottom w:val="none" w:sz="0" w:space="0" w:color="auto"/>
        <w:right w:val="none" w:sz="0" w:space="0" w:color="auto"/>
      </w:divBdr>
    </w:div>
    <w:div w:id="1166819630">
      <w:bodyDiv w:val="1"/>
      <w:marLeft w:val="0"/>
      <w:marRight w:val="0"/>
      <w:marTop w:val="0"/>
      <w:marBottom w:val="0"/>
      <w:divBdr>
        <w:top w:val="none" w:sz="0" w:space="0" w:color="auto"/>
        <w:left w:val="none" w:sz="0" w:space="0" w:color="auto"/>
        <w:bottom w:val="none" w:sz="0" w:space="0" w:color="auto"/>
        <w:right w:val="none" w:sz="0" w:space="0" w:color="auto"/>
      </w:divBdr>
    </w:div>
    <w:div w:id="1174880957">
      <w:bodyDiv w:val="1"/>
      <w:marLeft w:val="0"/>
      <w:marRight w:val="0"/>
      <w:marTop w:val="0"/>
      <w:marBottom w:val="0"/>
      <w:divBdr>
        <w:top w:val="none" w:sz="0" w:space="0" w:color="auto"/>
        <w:left w:val="none" w:sz="0" w:space="0" w:color="auto"/>
        <w:bottom w:val="none" w:sz="0" w:space="0" w:color="auto"/>
        <w:right w:val="none" w:sz="0" w:space="0" w:color="auto"/>
      </w:divBdr>
    </w:div>
    <w:div w:id="1181554440">
      <w:bodyDiv w:val="1"/>
      <w:marLeft w:val="0"/>
      <w:marRight w:val="0"/>
      <w:marTop w:val="0"/>
      <w:marBottom w:val="0"/>
      <w:divBdr>
        <w:top w:val="none" w:sz="0" w:space="0" w:color="auto"/>
        <w:left w:val="none" w:sz="0" w:space="0" w:color="auto"/>
        <w:bottom w:val="none" w:sz="0" w:space="0" w:color="auto"/>
        <w:right w:val="none" w:sz="0" w:space="0" w:color="auto"/>
      </w:divBdr>
    </w:div>
    <w:div w:id="1186333663">
      <w:bodyDiv w:val="1"/>
      <w:marLeft w:val="0"/>
      <w:marRight w:val="0"/>
      <w:marTop w:val="0"/>
      <w:marBottom w:val="0"/>
      <w:divBdr>
        <w:top w:val="none" w:sz="0" w:space="0" w:color="auto"/>
        <w:left w:val="none" w:sz="0" w:space="0" w:color="auto"/>
        <w:bottom w:val="none" w:sz="0" w:space="0" w:color="auto"/>
        <w:right w:val="none" w:sz="0" w:space="0" w:color="auto"/>
      </w:divBdr>
    </w:div>
    <w:div w:id="1188519656">
      <w:bodyDiv w:val="1"/>
      <w:marLeft w:val="0"/>
      <w:marRight w:val="0"/>
      <w:marTop w:val="0"/>
      <w:marBottom w:val="0"/>
      <w:divBdr>
        <w:top w:val="none" w:sz="0" w:space="0" w:color="auto"/>
        <w:left w:val="none" w:sz="0" w:space="0" w:color="auto"/>
        <w:bottom w:val="none" w:sz="0" w:space="0" w:color="auto"/>
        <w:right w:val="none" w:sz="0" w:space="0" w:color="auto"/>
      </w:divBdr>
    </w:div>
    <w:div w:id="1199078008">
      <w:bodyDiv w:val="1"/>
      <w:marLeft w:val="0"/>
      <w:marRight w:val="0"/>
      <w:marTop w:val="0"/>
      <w:marBottom w:val="0"/>
      <w:divBdr>
        <w:top w:val="none" w:sz="0" w:space="0" w:color="auto"/>
        <w:left w:val="none" w:sz="0" w:space="0" w:color="auto"/>
        <w:bottom w:val="none" w:sz="0" w:space="0" w:color="auto"/>
        <w:right w:val="none" w:sz="0" w:space="0" w:color="auto"/>
      </w:divBdr>
    </w:div>
    <w:div w:id="1205215232">
      <w:bodyDiv w:val="1"/>
      <w:marLeft w:val="0"/>
      <w:marRight w:val="0"/>
      <w:marTop w:val="0"/>
      <w:marBottom w:val="0"/>
      <w:divBdr>
        <w:top w:val="none" w:sz="0" w:space="0" w:color="auto"/>
        <w:left w:val="none" w:sz="0" w:space="0" w:color="auto"/>
        <w:bottom w:val="none" w:sz="0" w:space="0" w:color="auto"/>
        <w:right w:val="none" w:sz="0" w:space="0" w:color="auto"/>
      </w:divBdr>
    </w:div>
    <w:div w:id="1210458104">
      <w:bodyDiv w:val="1"/>
      <w:marLeft w:val="0"/>
      <w:marRight w:val="0"/>
      <w:marTop w:val="0"/>
      <w:marBottom w:val="0"/>
      <w:divBdr>
        <w:top w:val="none" w:sz="0" w:space="0" w:color="auto"/>
        <w:left w:val="none" w:sz="0" w:space="0" w:color="auto"/>
        <w:bottom w:val="none" w:sz="0" w:space="0" w:color="auto"/>
        <w:right w:val="none" w:sz="0" w:space="0" w:color="auto"/>
      </w:divBdr>
    </w:div>
    <w:div w:id="1218125740">
      <w:marLeft w:val="0"/>
      <w:marRight w:val="0"/>
      <w:marTop w:val="0"/>
      <w:marBottom w:val="0"/>
      <w:divBdr>
        <w:top w:val="none" w:sz="0" w:space="0" w:color="auto"/>
        <w:left w:val="none" w:sz="0" w:space="0" w:color="auto"/>
        <w:bottom w:val="none" w:sz="0" w:space="0" w:color="auto"/>
        <w:right w:val="none" w:sz="0" w:space="0" w:color="auto"/>
      </w:divBdr>
      <w:divsChild>
        <w:div w:id="1238055862">
          <w:marLeft w:val="0"/>
          <w:marRight w:val="0"/>
          <w:marTop w:val="0"/>
          <w:marBottom w:val="0"/>
          <w:divBdr>
            <w:top w:val="none" w:sz="0" w:space="0" w:color="auto"/>
            <w:left w:val="none" w:sz="0" w:space="0" w:color="auto"/>
            <w:bottom w:val="none" w:sz="0" w:space="0" w:color="auto"/>
            <w:right w:val="none" w:sz="0" w:space="0" w:color="auto"/>
          </w:divBdr>
        </w:div>
      </w:divsChild>
    </w:div>
    <w:div w:id="1222249608">
      <w:bodyDiv w:val="1"/>
      <w:marLeft w:val="0"/>
      <w:marRight w:val="0"/>
      <w:marTop w:val="0"/>
      <w:marBottom w:val="0"/>
      <w:divBdr>
        <w:top w:val="none" w:sz="0" w:space="0" w:color="auto"/>
        <w:left w:val="none" w:sz="0" w:space="0" w:color="auto"/>
        <w:bottom w:val="none" w:sz="0" w:space="0" w:color="auto"/>
        <w:right w:val="none" w:sz="0" w:space="0" w:color="auto"/>
      </w:divBdr>
    </w:div>
    <w:div w:id="1226330699">
      <w:bodyDiv w:val="1"/>
      <w:marLeft w:val="0"/>
      <w:marRight w:val="0"/>
      <w:marTop w:val="0"/>
      <w:marBottom w:val="0"/>
      <w:divBdr>
        <w:top w:val="none" w:sz="0" w:space="0" w:color="auto"/>
        <w:left w:val="none" w:sz="0" w:space="0" w:color="auto"/>
        <w:bottom w:val="none" w:sz="0" w:space="0" w:color="auto"/>
        <w:right w:val="none" w:sz="0" w:space="0" w:color="auto"/>
      </w:divBdr>
    </w:div>
    <w:div w:id="1237858158">
      <w:bodyDiv w:val="1"/>
      <w:marLeft w:val="0"/>
      <w:marRight w:val="0"/>
      <w:marTop w:val="0"/>
      <w:marBottom w:val="0"/>
      <w:divBdr>
        <w:top w:val="none" w:sz="0" w:space="0" w:color="auto"/>
        <w:left w:val="none" w:sz="0" w:space="0" w:color="auto"/>
        <w:bottom w:val="none" w:sz="0" w:space="0" w:color="auto"/>
        <w:right w:val="none" w:sz="0" w:space="0" w:color="auto"/>
      </w:divBdr>
    </w:div>
    <w:div w:id="1242328117">
      <w:bodyDiv w:val="1"/>
      <w:marLeft w:val="0"/>
      <w:marRight w:val="0"/>
      <w:marTop w:val="0"/>
      <w:marBottom w:val="0"/>
      <w:divBdr>
        <w:top w:val="none" w:sz="0" w:space="0" w:color="auto"/>
        <w:left w:val="none" w:sz="0" w:space="0" w:color="auto"/>
        <w:bottom w:val="none" w:sz="0" w:space="0" w:color="auto"/>
        <w:right w:val="none" w:sz="0" w:space="0" w:color="auto"/>
      </w:divBdr>
      <w:divsChild>
        <w:div w:id="743796499">
          <w:marLeft w:val="0"/>
          <w:marRight w:val="0"/>
          <w:marTop w:val="0"/>
          <w:marBottom w:val="0"/>
          <w:divBdr>
            <w:top w:val="none" w:sz="0" w:space="0" w:color="auto"/>
            <w:left w:val="none" w:sz="0" w:space="0" w:color="auto"/>
            <w:bottom w:val="none" w:sz="0" w:space="0" w:color="auto"/>
            <w:right w:val="none" w:sz="0" w:space="0" w:color="auto"/>
          </w:divBdr>
          <w:divsChild>
            <w:div w:id="2527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5815">
      <w:bodyDiv w:val="1"/>
      <w:marLeft w:val="0"/>
      <w:marRight w:val="0"/>
      <w:marTop w:val="0"/>
      <w:marBottom w:val="0"/>
      <w:divBdr>
        <w:top w:val="none" w:sz="0" w:space="0" w:color="auto"/>
        <w:left w:val="none" w:sz="0" w:space="0" w:color="auto"/>
        <w:bottom w:val="none" w:sz="0" w:space="0" w:color="auto"/>
        <w:right w:val="none" w:sz="0" w:space="0" w:color="auto"/>
      </w:divBdr>
    </w:div>
    <w:div w:id="1248686514">
      <w:bodyDiv w:val="1"/>
      <w:marLeft w:val="0"/>
      <w:marRight w:val="0"/>
      <w:marTop w:val="0"/>
      <w:marBottom w:val="0"/>
      <w:divBdr>
        <w:top w:val="none" w:sz="0" w:space="0" w:color="auto"/>
        <w:left w:val="none" w:sz="0" w:space="0" w:color="auto"/>
        <w:bottom w:val="none" w:sz="0" w:space="0" w:color="auto"/>
        <w:right w:val="none" w:sz="0" w:space="0" w:color="auto"/>
      </w:divBdr>
    </w:div>
    <w:div w:id="1250384384">
      <w:bodyDiv w:val="1"/>
      <w:marLeft w:val="0"/>
      <w:marRight w:val="0"/>
      <w:marTop w:val="0"/>
      <w:marBottom w:val="0"/>
      <w:divBdr>
        <w:top w:val="none" w:sz="0" w:space="0" w:color="auto"/>
        <w:left w:val="none" w:sz="0" w:space="0" w:color="auto"/>
        <w:bottom w:val="none" w:sz="0" w:space="0" w:color="auto"/>
        <w:right w:val="none" w:sz="0" w:space="0" w:color="auto"/>
      </w:divBdr>
    </w:div>
    <w:div w:id="1252860454">
      <w:bodyDiv w:val="1"/>
      <w:marLeft w:val="0"/>
      <w:marRight w:val="0"/>
      <w:marTop w:val="0"/>
      <w:marBottom w:val="0"/>
      <w:divBdr>
        <w:top w:val="none" w:sz="0" w:space="0" w:color="auto"/>
        <w:left w:val="none" w:sz="0" w:space="0" w:color="auto"/>
        <w:bottom w:val="none" w:sz="0" w:space="0" w:color="auto"/>
        <w:right w:val="none" w:sz="0" w:space="0" w:color="auto"/>
      </w:divBdr>
    </w:div>
    <w:div w:id="1258095850">
      <w:bodyDiv w:val="1"/>
      <w:marLeft w:val="0"/>
      <w:marRight w:val="0"/>
      <w:marTop w:val="0"/>
      <w:marBottom w:val="0"/>
      <w:divBdr>
        <w:top w:val="none" w:sz="0" w:space="0" w:color="auto"/>
        <w:left w:val="none" w:sz="0" w:space="0" w:color="auto"/>
        <w:bottom w:val="none" w:sz="0" w:space="0" w:color="auto"/>
        <w:right w:val="none" w:sz="0" w:space="0" w:color="auto"/>
      </w:divBdr>
    </w:div>
    <w:div w:id="1271087976">
      <w:marLeft w:val="0"/>
      <w:marRight w:val="0"/>
      <w:marTop w:val="0"/>
      <w:marBottom w:val="0"/>
      <w:divBdr>
        <w:top w:val="none" w:sz="0" w:space="0" w:color="auto"/>
        <w:left w:val="none" w:sz="0" w:space="0" w:color="auto"/>
        <w:bottom w:val="none" w:sz="0" w:space="0" w:color="auto"/>
        <w:right w:val="none" w:sz="0" w:space="0" w:color="auto"/>
      </w:divBdr>
      <w:divsChild>
        <w:div w:id="765921402">
          <w:marLeft w:val="0"/>
          <w:marRight w:val="0"/>
          <w:marTop w:val="0"/>
          <w:marBottom w:val="0"/>
          <w:divBdr>
            <w:top w:val="none" w:sz="0" w:space="0" w:color="auto"/>
            <w:left w:val="none" w:sz="0" w:space="0" w:color="auto"/>
            <w:bottom w:val="none" w:sz="0" w:space="0" w:color="auto"/>
            <w:right w:val="none" w:sz="0" w:space="0" w:color="auto"/>
          </w:divBdr>
        </w:div>
      </w:divsChild>
    </w:div>
    <w:div w:id="1277637712">
      <w:bodyDiv w:val="1"/>
      <w:marLeft w:val="0"/>
      <w:marRight w:val="0"/>
      <w:marTop w:val="0"/>
      <w:marBottom w:val="0"/>
      <w:divBdr>
        <w:top w:val="none" w:sz="0" w:space="0" w:color="auto"/>
        <w:left w:val="none" w:sz="0" w:space="0" w:color="auto"/>
        <w:bottom w:val="none" w:sz="0" w:space="0" w:color="auto"/>
        <w:right w:val="none" w:sz="0" w:space="0" w:color="auto"/>
      </w:divBdr>
    </w:div>
    <w:div w:id="1277954718">
      <w:bodyDiv w:val="1"/>
      <w:marLeft w:val="0"/>
      <w:marRight w:val="0"/>
      <w:marTop w:val="0"/>
      <w:marBottom w:val="0"/>
      <w:divBdr>
        <w:top w:val="none" w:sz="0" w:space="0" w:color="auto"/>
        <w:left w:val="none" w:sz="0" w:space="0" w:color="auto"/>
        <w:bottom w:val="none" w:sz="0" w:space="0" w:color="auto"/>
        <w:right w:val="none" w:sz="0" w:space="0" w:color="auto"/>
      </w:divBdr>
    </w:div>
    <w:div w:id="1285624294">
      <w:bodyDiv w:val="1"/>
      <w:marLeft w:val="0"/>
      <w:marRight w:val="0"/>
      <w:marTop w:val="0"/>
      <w:marBottom w:val="0"/>
      <w:divBdr>
        <w:top w:val="none" w:sz="0" w:space="0" w:color="auto"/>
        <w:left w:val="none" w:sz="0" w:space="0" w:color="auto"/>
        <w:bottom w:val="none" w:sz="0" w:space="0" w:color="auto"/>
        <w:right w:val="none" w:sz="0" w:space="0" w:color="auto"/>
      </w:divBdr>
    </w:div>
    <w:div w:id="1286305327">
      <w:bodyDiv w:val="1"/>
      <w:marLeft w:val="0"/>
      <w:marRight w:val="0"/>
      <w:marTop w:val="0"/>
      <w:marBottom w:val="0"/>
      <w:divBdr>
        <w:top w:val="none" w:sz="0" w:space="0" w:color="auto"/>
        <w:left w:val="none" w:sz="0" w:space="0" w:color="auto"/>
        <w:bottom w:val="none" w:sz="0" w:space="0" w:color="auto"/>
        <w:right w:val="none" w:sz="0" w:space="0" w:color="auto"/>
      </w:divBdr>
    </w:div>
    <w:div w:id="1293832099">
      <w:bodyDiv w:val="1"/>
      <w:marLeft w:val="0"/>
      <w:marRight w:val="0"/>
      <w:marTop w:val="0"/>
      <w:marBottom w:val="0"/>
      <w:divBdr>
        <w:top w:val="none" w:sz="0" w:space="0" w:color="auto"/>
        <w:left w:val="none" w:sz="0" w:space="0" w:color="auto"/>
        <w:bottom w:val="none" w:sz="0" w:space="0" w:color="auto"/>
        <w:right w:val="none" w:sz="0" w:space="0" w:color="auto"/>
      </w:divBdr>
    </w:div>
    <w:div w:id="1295477517">
      <w:bodyDiv w:val="1"/>
      <w:marLeft w:val="0"/>
      <w:marRight w:val="0"/>
      <w:marTop w:val="0"/>
      <w:marBottom w:val="0"/>
      <w:divBdr>
        <w:top w:val="none" w:sz="0" w:space="0" w:color="auto"/>
        <w:left w:val="none" w:sz="0" w:space="0" w:color="auto"/>
        <w:bottom w:val="none" w:sz="0" w:space="0" w:color="auto"/>
        <w:right w:val="none" w:sz="0" w:space="0" w:color="auto"/>
      </w:divBdr>
    </w:div>
    <w:div w:id="1297762419">
      <w:bodyDiv w:val="1"/>
      <w:marLeft w:val="0"/>
      <w:marRight w:val="0"/>
      <w:marTop w:val="0"/>
      <w:marBottom w:val="0"/>
      <w:divBdr>
        <w:top w:val="none" w:sz="0" w:space="0" w:color="auto"/>
        <w:left w:val="none" w:sz="0" w:space="0" w:color="auto"/>
        <w:bottom w:val="none" w:sz="0" w:space="0" w:color="auto"/>
        <w:right w:val="none" w:sz="0" w:space="0" w:color="auto"/>
      </w:divBdr>
    </w:div>
    <w:div w:id="1302882554">
      <w:bodyDiv w:val="1"/>
      <w:marLeft w:val="0"/>
      <w:marRight w:val="0"/>
      <w:marTop w:val="0"/>
      <w:marBottom w:val="0"/>
      <w:divBdr>
        <w:top w:val="none" w:sz="0" w:space="0" w:color="auto"/>
        <w:left w:val="none" w:sz="0" w:space="0" w:color="auto"/>
        <w:bottom w:val="none" w:sz="0" w:space="0" w:color="auto"/>
        <w:right w:val="none" w:sz="0" w:space="0" w:color="auto"/>
      </w:divBdr>
      <w:divsChild>
        <w:div w:id="1633945012">
          <w:marLeft w:val="0"/>
          <w:marRight w:val="0"/>
          <w:marTop w:val="0"/>
          <w:marBottom w:val="0"/>
          <w:divBdr>
            <w:top w:val="none" w:sz="0" w:space="0" w:color="auto"/>
            <w:left w:val="none" w:sz="0" w:space="0" w:color="auto"/>
            <w:bottom w:val="none" w:sz="0" w:space="0" w:color="auto"/>
            <w:right w:val="none" w:sz="0" w:space="0" w:color="auto"/>
          </w:divBdr>
        </w:div>
      </w:divsChild>
    </w:div>
    <w:div w:id="1306202419">
      <w:bodyDiv w:val="1"/>
      <w:marLeft w:val="0"/>
      <w:marRight w:val="0"/>
      <w:marTop w:val="0"/>
      <w:marBottom w:val="0"/>
      <w:divBdr>
        <w:top w:val="none" w:sz="0" w:space="0" w:color="auto"/>
        <w:left w:val="none" w:sz="0" w:space="0" w:color="auto"/>
        <w:bottom w:val="none" w:sz="0" w:space="0" w:color="auto"/>
        <w:right w:val="none" w:sz="0" w:space="0" w:color="auto"/>
      </w:divBdr>
    </w:div>
    <w:div w:id="1317369770">
      <w:marLeft w:val="0"/>
      <w:marRight w:val="0"/>
      <w:marTop w:val="0"/>
      <w:marBottom w:val="0"/>
      <w:divBdr>
        <w:top w:val="none" w:sz="0" w:space="0" w:color="auto"/>
        <w:left w:val="none" w:sz="0" w:space="0" w:color="auto"/>
        <w:bottom w:val="none" w:sz="0" w:space="0" w:color="auto"/>
        <w:right w:val="none" w:sz="0" w:space="0" w:color="auto"/>
      </w:divBdr>
      <w:divsChild>
        <w:div w:id="1500924158">
          <w:marLeft w:val="0"/>
          <w:marRight w:val="0"/>
          <w:marTop w:val="0"/>
          <w:marBottom w:val="0"/>
          <w:divBdr>
            <w:top w:val="none" w:sz="0" w:space="0" w:color="auto"/>
            <w:left w:val="none" w:sz="0" w:space="0" w:color="auto"/>
            <w:bottom w:val="none" w:sz="0" w:space="0" w:color="auto"/>
            <w:right w:val="none" w:sz="0" w:space="0" w:color="auto"/>
          </w:divBdr>
        </w:div>
      </w:divsChild>
    </w:div>
    <w:div w:id="1326473888">
      <w:bodyDiv w:val="1"/>
      <w:marLeft w:val="0"/>
      <w:marRight w:val="0"/>
      <w:marTop w:val="0"/>
      <w:marBottom w:val="0"/>
      <w:divBdr>
        <w:top w:val="none" w:sz="0" w:space="0" w:color="auto"/>
        <w:left w:val="none" w:sz="0" w:space="0" w:color="auto"/>
        <w:bottom w:val="none" w:sz="0" w:space="0" w:color="auto"/>
        <w:right w:val="none" w:sz="0" w:space="0" w:color="auto"/>
      </w:divBdr>
    </w:div>
    <w:div w:id="1331524805">
      <w:bodyDiv w:val="1"/>
      <w:marLeft w:val="0"/>
      <w:marRight w:val="0"/>
      <w:marTop w:val="0"/>
      <w:marBottom w:val="0"/>
      <w:divBdr>
        <w:top w:val="none" w:sz="0" w:space="0" w:color="auto"/>
        <w:left w:val="none" w:sz="0" w:space="0" w:color="auto"/>
        <w:bottom w:val="none" w:sz="0" w:space="0" w:color="auto"/>
        <w:right w:val="none" w:sz="0" w:space="0" w:color="auto"/>
      </w:divBdr>
    </w:div>
    <w:div w:id="1332291125">
      <w:bodyDiv w:val="1"/>
      <w:marLeft w:val="0"/>
      <w:marRight w:val="0"/>
      <w:marTop w:val="0"/>
      <w:marBottom w:val="0"/>
      <w:divBdr>
        <w:top w:val="none" w:sz="0" w:space="0" w:color="auto"/>
        <w:left w:val="none" w:sz="0" w:space="0" w:color="auto"/>
        <w:bottom w:val="none" w:sz="0" w:space="0" w:color="auto"/>
        <w:right w:val="none" w:sz="0" w:space="0" w:color="auto"/>
      </w:divBdr>
    </w:div>
    <w:div w:id="1332369805">
      <w:bodyDiv w:val="1"/>
      <w:marLeft w:val="0"/>
      <w:marRight w:val="0"/>
      <w:marTop w:val="0"/>
      <w:marBottom w:val="0"/>
      <w:divBdr>
        <w:top w:val="none" w:sz="0" w:space="0" w:color="auto"/>
        <w:left w:val="none" w:sz="0" w:space="0" w:color="auto"/>
        <w:bottom w:val="none" w:sz="0" w:space="0" w:color="auto"/>
        <w:right w:val="none" w:sz="0" w:space="0" w:color="auto"/>
      </w:divBdr>
    </w:div>
    <w:div w:id="1339503639">
      <w:bodyDiv w:val="1"/>
      <w:marLeft w:val="0"/>
      <w:marRight w:val="0"/>
      <w:marTop w:val="0"/>
      <w:marBottom w:val="0"/>
      <w:divBdr>
        <w:top w:val="none" w:sz="0" w:space="0" w:color="auto"/>
        <w:left w:val="none" w:sz="0" w:space="0" w:color="auto"/>
        <w:bottom w:val="none" w:sz="0" w:space="0" w:color="auto"/>
        <w:right w:val="none" w:sz="0" w:space="0" w:color="auto"/>
      </w:divBdr>
    </w:div>
    <w:div w:id="1341394679">
      <w:bodyDiv w:val="1"/>
      <w:marLeft w:val="0"/>
      <w:marRight w:val="0"/>
      <w:marTop w:val="0"/>
      <w:marBottom w:val="0"/>
      <w:divBdr>
        <w:top w:val="none" w:sz="0" w:space="0" w:color="auto"/>
        <w:left w:val="none" w:sz="0" w:space="0" w:color="auto"/>
        <w:bottom w:val="none" w:sz="0" w:space="0" w:color="auto"/>
        <w:right w:val="none" w:sz="0" w:space="0" w:color="auto"/>
      </w:divBdr>
    </w:div>
    <w:div w:id="1342782189">
      <w:marLeft w:val="0"/>
      <w:marRight w:val="0"/>
      <w:marTop w:val="0"/>
      <w:marBottom w:val="0"/>
      <w:divBdr>
        <w:top w:val="none" w:sz="0" w:space="0" w:color="auto"/>
        <w:left w:val="none" w:sz="0" w:space="0" w:color="auto"/>
        <w:bottom w:val="none" w:sz="0" w:space="0" w:color="auto"/>
        <w:right w:val="none" w:sz="0" w:space="0" w:color="auto"/>
      </w:divBdr>
      <w:divsChild>
        <w:div w:id="1186791826">
          <w:marLeft w:val="0"/>
          <w:marRight w:val="0"/>
          <w:marTop w:val="0"/>
          <w:marBottom w:val="0"/>
          <w:divBdr>
            <w:top w:val="none" w:sz="0" w:space="0" w:color="auto"/>
            <w:left w:val="none" w:sz="0" w:space="0" w:color="auto"/>
            <w:bottom w:val="none" w:sz="0" w:space="0" w:color="auto"/>
            <w:right w:val="none" w:sz="0" w:space="0" w:color="auto"/>
          </w:divBdr>
        </w:div>
      </w:divsChild>
    </w:div>
    <w:div w:id="1346833481">
      <w:bodyDiv w:val="1"/>
      <w:marLeft w:val="0"/>
      <w:marRight w:val="0"/>
      <w:marTop w:val="0"/>
      <w:marBottom w:val="0"/>
      <w:divBdr>
        <w:top w:val="none" w:sz="0" w:space="0" w:color="auto"/>
        <w:left w:val="none" w:sz="0" w:space="0" w:color="auto"/>
        <w:bottom w:val="none" w:sz="0" w:space="0" w:color="auto"/>
        <w:right w:val="none" w:sz="0" w:space="0" w:color="auto"/>
      </w:divBdr>
    </w:div>
    <w:div w:id="1347321499">
      <w:bodyDiv w:val="1"/>
      <w:marLeft w:val="0"/>
      <w:marRight w:val="0"/>
      <w:marTop w:val="0"/>
      <w:marBottom w:val="0"/>
      <w:divBdr>
        <w:top w:val="none" w:sz="0" w:space="0" w:color="auto"/>
        <w:left w:val="none" w:sz="0" w:space="0" w:color="auto"/>
        <w:bottom w:val="none" w:sz="0" w:space="0" w:color="auto"/>
        <w:right w:val="none" w:sz="0" w:space="0" w:color="auto"/>
      </w:divBdr>
    </w:div>
    <w:div w:id="1352880835">
      <w:bodyDiv w:val="1"/>
      <w:marLeft w:val="0"/>
      <w:marRight w:val="0"/>
      <w:marTop w:val="0"/>
      <w:marBottom w:val="0"/>
      <w:divBdr>
        <w:top w:val="none" w:sz="0" w:space="0" w:color="auto"/>
        <w:left w:val="none" w:sz="0" w:space="0" w:color="auto"/>
        <w:bottom w:val="none" w:sz="0" w:space="0" w:color="auto"/>
        <w:right w:val="none" w:sz="0" w:space="0" w:color="auto"/>
      </w:divBdr>
    </w:div>
    <w:div w:id="1357198818">
      <w:bodyDiv w:val="1"/>
      <w:marLeft w:val="0"/>
      <w:marRight w:val="0"/>
      <w:marTop w:val="0"/>
      <w:marBottom w:val="0"/>
      <w:divBdr>
        <w:top w:val="none" w:sz="0" w:space="0" w:color="auto"/>
        <w:left w:val="none" w:sz="0" w:space="0" w:color="auto"/>
        <w:bottom w:val="none" w:sz="0" w:space="0" w:color="auto"/>
        <w:right w:val="none" w:sz="0" w:space="0" w:color="auto"/>
      </w:divBdr>
    </w:div>
    <w:div w:id="1362441155">
      <w:bodyDiv w:val="1"/>
      <w:marLeft w:val="0"/>
      <w:marRight w:val="0"/>
      <w:marTop w:val="0"/>
      <w:marBottom w:val="0"/>
      <w:divBdr>
        <w:top w:val="none" w:sz="0" w:space="0" w:color="auto"/>
        <w:left w:val="none" w:sz="0" w:space="0" w:color="auto"/>
        <w:bottom w:val="none" w:sz="0" w:space="0" w:color="auto"/>
        <w:right w:val="none" w:sz="0" w:space="0" w:color="auto"/>
      </w:divBdr>
    </w:div>
    <w:div w:id="1365671759">
      <w:bodyDiv w:val="1"/>
      <w:marLeft w:val="0"/>
      <w:marRight w:val="0"/>
      <w:marTop w:val="0"/>
      <w:marBottom w:val="0"/>
      <w:divBdr>
        <w:top w:val="none" w:sz="0" w:space="0" w:color="auto"/>
        <w:left w:val="none" w:sz="0" w:space="0" w:color="auto"/>
        <w:bottom w:val="none" w:sz="0" w:space="0" w:color="auto"/>
        <w:right w:val="none" w:sz="0" w:space="0" w:color="auto"/>
      </w:divBdr>
    </w:div>
    <w:div w:id="1368065243">
      <w:bodyDiv w:val="1"/>
      <w:marLeft w:val="0"/>
      <w:marRight w:val="0"/>
      <w:marTop w:val="0"/>
      <w:marBottom w:val="0"/>
      <w:divBdr>
        <w:top w:val="none" w:sz="0" w:space="0" w:color="auto"/>
        <w:left w:val="none" w:sz="0" w:space="0" w:color="auto"/>
        <w:bottom w:val="none" w:sz="0" w:space="0" w:color="auto"/>
        <w:right w:val="none" w:sz="0" w:space="0" w:color="auto"/>
      </w:divBdr>
    </w:div>
    <w:div w:id="1378434024">
      <w:bodyDiv w:val="1"/>
      <w:marLeft w:val="0"/>
      <w:marRight w:val="0"/>
      <w:marTop w:val="0"/>
      <w:marBottom w:val="0"/>
      <w:divBdr>
        <w:top w:val="none" w:sz="0" w:space="0" w:color="auto"/>
        <w:left w:val="none" w:sz="0" w:space="0" w:color="auto"/>
        <w:bottom w:val="none" w:sz="0" w:space="0" w:color="auto"/>
        <w:right w:val="none" w:sz="0" w:space="0" w:color="auto"/>
      </w:divBdr>
    </w:div>
    <w:div w:id="1386565689">
      <w:bodyDiv w:val="1"/>
      <w:marLeft w:val="0"/>
      <w:marRight w:val="0"/>
      <w:marTop w:val="0"/>
      <w:marBottom w:val="0"/>
      <w:divBdr>
        <w:top w:val="none" w:sz="0" w:space="0" w:color="auto"/>
        <w:left w:val="none" w:sz="0" w:space="0" w:color="auto"/>
        <w:bottom w:val="none" w:sz="0" w:space="0" w:color="auto"/>
        <w:right w:val="none" w:sz="0" w:space="0" w:color="auto"/>
      </w:divBdr>
    </w:div>
    <w:div w:id="1396395479">
      <w:bodyDiv w:val="1"/>
      <w:marLeft w:val="0"/>
      <w:marRight w:val="0"/>
      <w:marTop w:val="0"/>
      <w:marBottom w:val="0"/>
      <w:divBdr>
        <w:top w:val="none" w:sz="0" w:space="0" w:color="auto"/>
        <w:left w:val="none" w:sz="0" w:space="0" w:color="auto"/>
        <w:bottom w:val="none" w:sz="0" w:space="0" w:color="auto"/>
        <w:right w:val="none" w:sz="0" w:space="0" w:color="auto"/>
      </w:divBdr>
    </w:div>
    <w:div w:id="1404379350">
      <w:marLeft w:val="0"/>
      <w:marRight w:val="0"/>
      <w:marTop w:val="0"/>
      <w:marBottom w:val="0"/>
      <w:divBdr>
        <w:top w:val="none" w:sz="0" w:space="0" w:color="auto"/>
        <w:left w:val="none" w:sz="0" w:space="0" w:color="auto"/>
        <w:bottom w:val="none" w:sz="0" w:space="0" w:color="auto"/>
        <w:right w:val="none" w:sz="0" w:space="0" w:color="auto"/>
      </w:divBdr>
      <w:divsChild>
        <w:div w:id="668563883">
          <w:marLeft w:val="0"/>
          <w:marRight w:val="0"/>
          <w:marTop w:val="0"/>
          <w:marBottom w:val="0"/>
          <w:divBdr>
            <w:top w:val="none" w:sz="0" w:space="0" w:color="auto"/>
            <w:left w:val="none" w:sz="0" w:space="0" w:color="auto"/>
            <w:bottom w:val="none" w:sz="0" w:space="0" w:color="auto"/>
            <w:right w:val="none" w:sz="0" w:space="0" w:color="auto"/>
          </w:divBdr>
        </w:div>
      </w:divsChild>
    </w:div>
    <w:div w:id="1427338931">
      <w:bodyDiv w:val="1"/>
      <w:marLeft w:val="0"/>
      <w:marRight w:val="0"/>
      <w:marTop w:val="0"/>
      <w:marBottom w:val="0"/>
      <w:divBdr>
        <w:top w:val="none" w:sz="0" w:space="0" w:color="auto"/>
        <w:left w:val="none" w:sz="0" w:space="0" w:color="auto"/>
        <w:bottom w:val="none" w:sz="0" w:space="0" w:color="auto"/>
        <w:right w:val="none" w:sz="0" w:space="0" w:color="auto"/>
      </w:divBdr>
    </w:div>
    <w:div w:id="1427844345">
      <w:bodyDiv w:val="1"/>
      <w:marLeft w:val="0"/>
      <w:marRight w:val="0"/>
      <w:marTop w:val="0"/>
      <w:marBottom w:val="0"/>
      <w:divBdr>
        <w:top w:val="none" w:sz="0" w:space="0" w:color="auto"/>
        <w:left w:val="none" w:sz="0" w:space="0" w:color="auto"/>
        <w:bottom w:val="none" w:sz="0" w:space="0" w:color="auto"/>
        <w:right w:val="none" w:sz="0" w:space="0" w:color="auto"/>
      </w:divBdr>
    </w:div>
    <w:div w:id="1428579443">
      <w:bodyDiv w:val="1"/>
      <w:marLeft w:val="0"/>
      <w:marRight w:val="0"/>
      <w:marTop w:val="0"/>
      <w:marBottom w:val="0"/>
      <w:divBdr>
        <w:top w:val="none" w:sz="0" w:space="0" w:color="auto"/>
        <w:left w:val="none" w:sz="0" w:space="0" w:color="auto"/>
        <w:bottom w:val="none" w:sz="0" w:space="0" w:color="auto"/>
        <w:right w:val="none" w:sz="0" w:space="0" w:color="auto"/>
      </w:divBdr>
    </w:div>
    <w:div w:id="1436248594">
      <w:bodyDiv w:val="1"/>
      <w:marLeft w:val="0"/>
      <w:marRight w:val="0"/>
      <w:marTop w:val="0"/>
      <w:marBottom w:val="0"/>
      <w:divBdr>
        <w:top w:val="none" w:sz="0" w:space="0" w:color="auto"/>
        <w:left w:val="none" w:sz="0" w:space="0" w:color="auto"/>
        <w:bottom w:val="none" w:sz="0" w:space="0" w:color="auto"/>
        <w:right w:val="none" w:sz="0" w:space="0" w:color="auto"/>
      </w:divBdr>
    </w:div>
    <w:div w:id="1445270181">
      <w:bodyDiv w:val="1"/>
      <w:marLeft w:val="0"/>
      <w:marRight w:val="0"/>
      <w:marTop w:val="0"/>
      <w:marBottom w:val="0"/>
      <w:divBdr>
        <w:top w:val="none" w:sz="0" w:space="0" w:color="auto"/>
        <w:left w:val="none" w:sz="0" w:space="0" w:color="auto"/>
        <w:bottom w:val="none" w:sz="0" w:space="0" w:color="auto"/>
        <w:right w:val="none" w:sz="0" w:space="0" w:color="auto"/>
      </w:divBdr>
    </w:div>
    <w:div w:id="1447306973">
      <w:bodyDiv w:val="1"/>
      <w:marLeft w:val="0"/>
      <w:marRight w:val="0"/>
      <w:marTop w:val="0"/>
      <w:marBottom w:val="0"/>
      <w:divBdr>
        <w:top w:val="none" w:sz="0" w:space="0" w:color="auto"/>
        <w:left w:val="none" w:sz="0" w:space="0" w:color="auto"/>
        <w:bottom w:val="none" w:sz="0" w:space="0" w:color="auto"/>
        <w:right w:val="none" w:sz="0" w:space="0" w:color="auto"/>
      </w:divBdr>
    </w:div>
    <w:div w:id="1451362915">
      <w:bodyDiv w:val="1"/>
      <w:marLeft w:val="0"/>
      <w:marRight w:val="0"/>
      <w:marTop w:val="0"/>
      <w:marBottom w:val="0"/>
      <w:divBdr>
        <w:top w:val="none" w:sz="0" w:space="0" w:color="auto"/>
        <w:left w:val="none" w:sz="0" w:space="0" w:color="auto"/>
        <w:bottom w:val="none" w:sz="0" w:space="0" w:color="auto"/>
        <w:right w:val="none" w:sz="0" w:space="0" w:color="auto"/>
      </w:divBdr>
    </w:div>
    <w:div w:id="1451819835">
      <w:bodyDiv w:val="1"/>
      <w:marLeft w:val="0"/>
      <w:marRight w:val="0"/>
      <w:marTop w:val="0"/>
      <w:marBottom w:val="0"/>
      <w:divBdr>
        <w:top w:val="none" w:sz="0" w:space="0" w:color="auto"/>
        <w:left w:val="none" w:sz="0" w:space="0" w:color="auto"/>
        <w:bottom w:val="none" w:sz="0" w:space="0" w:color="auto"/>
        <w:right w:val="none" w:sz="0" w:space="0" w:color="auto"/>
      </w:divBdr>
    </w:div>
    <w:div w:id="1462384799">
      <w:bodyDiv w:val="1"/>
      <w:marLeft w:val="0"/>
      <w:marRight w:val="0"/>
      <w:marTop w:val="0"/>
      <w:marBottom w:val="0"/>
      <w:divBdr>
        <w:top w:val="none" w:sz="0" w:space="0" w:color="auto"/>
        <w:left w:val="none" w:sz="0" w:space="0" w:color="auto"/>
        <w:bottom w:val="none" w:sz="0" w:space="0" w:color="auto"/>
        <w:right w:val="none" w:sz="0" w:space="0" w:color="auto"/>
      </w:divBdr>
    </w:div>
    <w:div w:id="1466311883">
      <w:bodyDiv w:val="1"/>
      <w:marLeft w:val="0"/>
      <w:marRight w:val="0"/>
      <w:marTop w:val="0"/>
      <w:marBottom w:val="0"/>
      <w:divBdr>
        <w:top w:val="none" w:sz="0" w:space="0" w:color="auto"/>
        <w:left w:val="none" w:sz="0" w:space="0" w:color="auto"/>
        <w:bottom w:val="none" w:sz="0" w:space="0" w:color="auto"/>
        <w:right w:val="none" w:sz="0" w:space="0" w:color="auto"/>
      </w:divBdr>
    </w:div>
    <w:div w:id="1470515048">
      <w:bodyDiv w:val="1"/>
      <w:marLeft w:val="0"/>
      <w:marRight w:val="0"/>
      <w:marTop w:val="0"/>
      <w:marBottom w:val="0"/>
      <w:divBdr>
        <w:top w:val="none" w:sz="0" w:space="0" w:color="auto"/>
        <w:left w:val="none" w:sz="0" w:space="0" w:color="auto"/>
        <w:bottom w:val="none" w:sz="0" w:space="0" w:color="auto"/>
        <w:right w:val="none" w:sz="0" w:space="0" w:color="auto"/>
      </w:divBdr>
      <w:divsChild>
        <w:div w:id="134178575">
          <w:marLeft w:val="0"/>
          <w:marRight w:val="0"/>
          <w:marTop w:val="0"/>
          <w:marBottom w:val="0"/>
          <w:divBdr>
            <w:top w:val="none" w:sz="0" w:space="0" w:color="auto"/>
            <w:left w:val="none" w:sz="0" w:space="0" w:color="auto"/>
            <w:bottom w:val="none" w:sz="0" w:space="0" w:color="auto"/>
            <w:right w:val="none" w:sz="0" w:space="0" w:color="auto"/>
          </w:divBdr>
        </w:div>
      </w:divsChild>
    </w:div>
    <w:div w:id="1470973088">
      <w:bodyDiv w:val="1"/>
      <w:marLeft w:val="0"/>
      <w:marRight w:val="0"/>
      <w:marTop w:val="0"/>
      <w:marBottom w:val="0"/>
      <w:divBdr>
        <w:top w:val="none" w:sz="0" w:space="0" w:color="auto"/>
        <w:left w:val="none" w:sz="0" w:space="0" w:color="auto"/>
        <w:bottom w:val="none" w:sz="0" w:space="0" w:color="auto"/>
        <w:right w:val="none" w:sz="0" w:space="0" w:color="auto"/>
      </w:divBdr>
    </w:div>
    <w:div w:id="1472795961">
      <w:bodyDiv w:val="1"/>
      <w:marLeft w:val="0"/>
      <w:marRight w:val="0"/>
      <w:marTop w:val="0"/>
      <w:marBottom w:val="0"/>
      <w:divBdr>
        <w:top w:val="none" w:sz="0" w:space="0" w:color="auto"/>
        <w:left w:val="none" w:sz="0" w:space="0" w:color="auto"/>
        <w:bottom w:val="none" w:sz="0" w:space="0" w:color="auto"/>
        <w:right w:val="none" w:sz="0" w:space="0" w:color="auto"/>
      </w:divBdr>
    </w:div>
    <w:div w:id="1476677454">
      <w:bodyDiv w:val="1"/>
      <w:marLeft w:val="0"/>
      <w:marRight w:val="0"/>
      <w:marTop w:val="0"/>
      <w:marBottom w:val="0"/>
      <w:divBdr>
        <w:top w:val="none" w:sz="0" w:space="0" w:color="auto"/>
        <w:left w:val="none" w:sz="0" w:space="0" w:color="auto"/>
        <w:bottom w:val="none" w:sz="0" w:space="0" w:color="auto"/>
        <w:right w:val="none" w:sz="0" w:space="0" w:color="auto"/>
      </w:divBdr>
    </w:div>
    <w:div w:id="1486126632">
      <w:marLeft w:val="0"/>
      <w:marRight w:val="0"/>
      <w:marTop w:val="0"/>
      <w:marBottom w:val="0"/>
      <w:divBdr>
        <w:top w:val="none" w:sz="0" w:space="0" w:color="auto"/>
        <w:left w:val="none" w:sz="0" w:space="0" w:color="auto"/>
        <w:bottom w:val="none" w:sz="0" w:space="0" w:color="auto"/>
        <w:right w:val="none" w:sz="0" w:space="0" w:color="auto"/>
      </w:divBdr>
      <w:divsChild>
        <w:div w:id="2090538505">
          <w:marLeft w:val="0"/>
          <w:marRight w:val="0"/>
          <w:marTop w:val="0"/>
          <w:marBottom w:val="0"/>
          <w:divBdr>
            <w:top w:val="none" w:sz="0" w:space="0" w:color="auto"/>
            <w:left w:val="none" w:sz="0" w:space="0" w:color="auto"/>
            <w:bottom w:val="none" w:sz="0" w:space="0" w:color="auto"/>
            <w:right w:val="none" w:sz="0" w:space="0" w:color="auto"/>
          </w:divBdr>
        </w:div>
      </w:divsChild>
    </w:div>
    <w:div w:id="1486513033">
      <w:bodyDiv w:val="1"/>
      <w:marLeft w:val="0"/>
      <w:marRight w:val="0"/>
      <w:marTop w:val="0"/>
      <w:marBottom w:val="0"/>
      <w:divBdr>
        <w:top w:val="none" w:sz="0" w:space="0" w:color="auto"/>
        <w:left w:val="none" w:sz="0" w:space="0" w:color="auto"/>
        <w:bottom w:val="none" w:sz="0" w:space="0" w:color="auto"/>
        <w:right w:val="none" w:sz="0" w:space="0" w:color="auto"/>
      </w:divBdr>
    </w:div>
    <w:div w:id="1490709118">
      <w:bodyDiv w:val="1"/>
      <w:marLeft w:val="0"/>
      <w:marRight w:val="0"/>
      <w:marTop w:val="0"/>
      <w:marBottom w:val="0"/>
      <w:divBdr>
        <w:top w:val="none" w:sz="0" w:space="0" w:color="auto"/>
        <w:left w:val="none" w:sz="0" w:space="0" w:color="auto"/>
        <w:bottom w:val="none" w:sz="0" w:space="0" w:color="auto"/>
        <w:right w:val="none" w:sz="0" w:space="0" w:color="auto"/>
      </w:divBdr>
    </w:div>
    <w:div w:id="1492022550">
      <w:bodyDiv w:val="1"/>
      <w:marLeft w:val="0"/>
      <w:marRight w:val="0"/>
      <w:marTop w:val="0"/>
      <w:marBottom w:val="0"/>
      <w:divBdr>
        <w:top w:val="none" w:sz="0" w:space="0" w:color="auto"/>
        <w:left w:val="none" w:sz="0" w:space="0" w:color="auto"/>
        <w:bottom w:val="none" w:sz="0" w:space="0" w:color="auto"/>
        <w:right w:val="none" w:sz="0" w:space="0" w:color="auto"/>
      </w:divBdr>
    </w:div>
    <w:div w:id="1493179143">
      <w:marLeft w:val="0"/>
      <w:marRight w:val="0"/>
      <w:marTop w:val="0"/>
      <w:marBottom w:val="0"/>
      <w:divBdr>
        <w:top w:val="none" w:sz="0" w:space="0" w:color="auto"/>
        <w:left w:val="none" w:sz="0" w:space="0" w:color="auto"/>
        <w:bottom w:val="none" w:sz="0" w:space="0" w:color="auto"/>
        <w:right w:val="none" w:sz="0" w:space="0" w:color="auto"/>
      </w:divBdr>
      <w:divsChild>
        <w:div w:id="2022926889">
          <w:marLeft w:val="0"/>
          <w:marRight w:val="0"/>
          <w:marTop w:val="0"/>
          <w:marBottom w:val="0"/>
          <w:divBdr>
            <w:top w:val="none" w:sz="0" w:space="0" w:color="auto"/>
            <w:left w:val="none" w:sz="0" w:space="0" w:color="auto"/>
            <w:bottom w:val="none" w:sz="0" w:space="0" w:color="auto"/>
            <w:right w:val="none" w:sz="0" w:space="0" w:color="auto"/>
          </w:divBdr>
        </w:div>
      </w:divsChild>
    </w:div>
    <w:div w:id="1494758234">
      <w:bodyDiv w:val="1"/>
      <w:marLeft w:val="0"/>
      <w:marRight w:val="0"/>
      <w:marTop w:val="0"/>
      <w:marBottom w:val="0"/>
      <w:divBdr>
        <w:top w:val="none" w:sz="0" w:space="0" w:color="auto"/>
        <w:left w:val="none" w:sz="0" w:space="0" w:color="auto"/>
        <w:bottom w:val="none" w:sz="0" w:space="0" w:color="auto"/>
        <w:right w:val="none" w:sz="0" w:space="0" w:color="auto"/>
      </w:divBdr>
    </w:div>
    <w:div w:id="1494761899">
      <w:bodyDiv w:val="1"/>
      <w:marLeft w:val="0"/>
      <w:marRight w:val="0"/>
      <w:marTop w:val="0"/>
      <w:marBottom w:val="0"/>
      <w:divBdr>
        <w:top w:val="none" w:sz="0" w:space="0" w:color="auto"/>
        <w:left w:val="none" w:sz="0" w:space="0" w:color="auto"/>
        <w:bottom w:val="none" w:sz="0" w:space="0" w:color="auto"/>
        <w:right w:val="none" w:sz="0" w:space="0" w:color="auto"/>
      </w:divBdr>
    </w:div>
    <w:div w:id="1499348028">
      <w:bodyDiv w:val="1"/>
      <w:marLeft w:val="0"/>
      <w:marRight w:val="0"/>
      <w:marTop w:val="0"/>
      <w:marBottom w:val="0"/>
      <w:divBdr>
        <w:top w:val="none" w:sz="0" w:space="0" w:color="auto"/>
        <w:left w:val="none" w:sz="0" w:space="0" w:color="auto"/>
        <w:bottom w:val="none" w:sz="0" w:space="0" w:color="auto"/>
        <w:right w:val="none" w:sz="0" w:space="0" w:color="auto"/>
      </w:divBdr>
    </w:div>
    <w:div w:id="1502089442">
      <w:bodyDiv w:val="1"/>
      <w:marLeft w:val="0"/>
      <w:marRight w:val="0"/>
      <w:marTop w:val="0"/>
      <w:marBottom w:val="0"/>
      <w:divBdr>
        <w:top w:val="none" w:sz="0" w:space="0" w:color="auto"/>
        <w:left w:val="none" w:sz="0" w:space="0" w:color="auto"/>
        <w:bottom w:val="none" w:sz="0" w:space="0" w:color="auto"/>
        <w:right w:val="none" w:sz="0" w:space="0" w:color="auto"/>
      </w:divBdr>
    </w:div>
    <w:div w:id="1506482731">
      <w:bodyDiv w:val="1"/>
      <w:marLeft w:val="0"/>
      <w:marRight w:val="0"/>
      <w:marTop w:val="0"/>
      <w:marBottom w:val="0"/>
      <w:divBdr>
        <w:top w:val="none" w:sz="0" w:space="0" w:color="auto"/>
        <w:left w:val="none" w:sz="0" w:space="0" w:color="auto"/>
        <w:bottom w:val="none" w:sz="0" w:space="0" w:color="auto"/>
        <w:right w:val="none" w:sz="0" w:space="0" w:color="auto"/>
      </w:divBdr>
    </w:div>
    <w:div w:id="1508445491">
      <w:bodyDiv w:val="1"/>
      <w:marLeft w:val="0"/>
      <w:marRight w:val="0"/>
      <w:marTop w:val="0"/>
      <w:marBottom w:val="0"/>
      <w:divBdr>
        <w:top w:val="none" w:sz="0" w:space="0" w:color="auto"/>
        <w:left w:val="none" w:sz="0" w:space="0" w:color="auto"/>
        <w:bottom w:val="none" w:sz="0" w:space="0" w:color="auto"/>
        <w:right w:val="none" w:sz="0" w:space="0" w:color="auto"/>
      </w:divBdr>
    </w:div>
    <w:div w:id="1516117196">
      <w:bodyDiv w:val="1"/>
      <w:marLeft w:val="0"/>
      <w:marRight w:val="0"/>
      <w:marTop w:val="0"/>
      <w:marBottom w:val="0"/>
      <w:divBdr>
        <w:top w:val="none" w:sz="0" w:space="0" w:color="auto"/>
        <w:left w:val="none" w:sz="0" w:space="0" w:color="auto"/>
        <w:bottom w:val="none" w:sz="0" w:space="0" w:color="auto"/>
        <w:right w:val="none" w:sz="0" w:space="0" w:color="auto"/>
      </w:divBdr>
    </w:div>
    <w:div w:id="1516725113">
      <w:bodyDiv w:val="1"/>
      <w:marLeft w:val="0"/>
      <w:marRight w:val="0"/>
      <w:marTop w:val="0"/>
      <w:marBottom w:val="0"/>
      <w:divBdr>
        <w:top w:val="none" w:sz="0" w:space="0" w:color="auto"/>
        <w:left w:val="none" w:sz="0" w:space="0" w:color="auto"/>
        <w:bottom w:val="none" w:sz="0" w:space="0" w:color="auto"/>
        <w:right w:val="none" w:sz="0" w:space="0" w:color="auto"/>
      </w:divBdr>
    </w:div>
    <w:div w:id="1516728151">
      <w:bodyDiv w:val="1"/>
      <w:marLeft w:val="0"/>
      <w:marRight w:val="0"/>
      <w:marTop w:val="0"/>
      <w:marBottom w:val="0"/>
      <w:divBdr>
        <w:top w:val="none" w:sz="0" w:space="0" w:color="auto"/>
        <w:left w:val="none" w:sz="0" w:space="0" w:color="auto"/>
        <w:bottom w:val="none" w:sz="0" w:space="0" w:color="auto"/>
        <w:right w:val="none" w:sz="0" w:space="0" w:color="auto"/>
      </w:divBdr>
    </w:div>
    <w:div w:id="1518151794">
      <w:bodyDiv w:val="1"/>
      <w:marLeft w:val="0"/>
      <w:marRight w:val="0"/>
      <w:marTop w:val="0"/>
      <w:marBottom w:val="0"/>
      <w:divBdr>
        <w:top w:val="none" w:sz="0" w:space="0" w:color="auto"/>
        <w:left w:val="none" w:sz="0" w:space="0" w:color="auto"/>
        <w:bottom w:val="none" w:sz="0" w:space="0" w:color="auto"/>
        <w:right w:val="none" w:sz="0" w:space="0" w:color="auto"/>
      </w:divBdr>
    </w:div>
    <w:div w:id="1529559736">
      <w:bodyDiv w:val="1"/>
      <w:marLeft w:val="0"/>
      <w:marRight w:val="0"/>
      <w:marTop w:val="0"/>
      <w:marBottom w:val="0"/>
      <w:divBdr>
        <w:top w:val="none" w:sz="0" w:space="0" w:color="auto"/>
        <w:left w:val="none" w:sz="0" w:space="0" w:color="auto"/>
        <w:bottom w:val="none" w:sz="0" w:space="0" w:color="auto"/>
        <w:right w:val="none" w:sz="0" w:space="0" w:color="auto"/>
      </w:divBdr>
    </w:div>
    <w:div w:id="1531412208">
      <w:bodyDiv w:val="1"/>
      <w:marLeft w:val="0"/>
      <w:marRight w:val="0"/>
      <w:marTop w:val="0"/>
      <w:marBottom w:val="0"/>
      <w:divBdr>
        <w:top w:val="none" w:sz="0" w:space="0" w:color="auto"/>
        <w:left w:val="none" w:sz="0" w:space="0" w:color="auto"/>
        <w:bottom w:val="none" w:sz="0" w:space="0" w:color="auto"/>
        <w:right w:val="none" w:sz="0" w:space="0" w:color="auto"/>
      </w:divBdr>
    </w:div>
    <w:div w:id="1531531757">
      <w:bodyDiv w:val="1"/>
      <w:marLeft w:val="0"/>
      <w:marRight w:val="0"/>
      <w:marTop w:val="0"/>
      <w:marBottom w:val="0"/>
      <w:divBdr>
        <w:top w:val="none" w:sz="0" w:space="0" w:color="auto"/>
        <w:left w:val="none" w:sz="0" w:space="0" w:color="auto"/>
        <w:bottom w:val="none" w:sz="0" w:space="0" w:color="auto"/>
        <w:right w:val="none" w:sz="0" w:space="0" w:color="auto"/>
      </w:divBdr>
    </w:div>
    <w:div w:id="1533767938">
      <w:bodyDiv w:val="1"/>
      <w:marLeft w:val="0"/>
      <w:marRight w:val="0"/>
      <w:marTop w:val="0"/>
      <w:marBottom w:val="0"/>
      <w:divBdr>
        <w:top w:val="none" w:sz="0" w:space="0" w:color="auto"/>
        <w:left w:val="none" w:sz="0" w:space="0" w:color="auto"/>
        <w:bottom w:val="none" w:sz="0" w:space="0" w:color="auto"/>
        <w:right w:val="none" w:sz="0" w:space="0" w:color="auto"/>
      </w:divBdr>
    </w:div>
    <w:div w:id="1536232304">
      <w:bodyDiv w:val="1"/>
      <w:marLeft w:val="0"/>
      <w:marRight w:val="0"/>
      <w:marTop w:val="0"/>
      <w:marBottom w:val="0"/>
      <w:divBdr>
        <w:top w:val="none" w:sz="0" w:space="0" w:color="auto"/>
        <w:left w:val="none" w:sz="0" w:space="0" w:color="auto"/>
        <w:bottom w:val="none" w:sz="0" w:space="0" w:color="auto"/>
        <w:right w:val="none" w:sz="0" w:space="0" w:color="auto"/>
      </w:divBdr>
    </w:div>
    <w:div w:id="1536383775">
      <w:bodyDiv w:val="1"/>
      <w:marLeft w:val="0"/>
      <w:marRight w:val="0"/>
      <w:marTop w:val="0"/>
      <w:marBottom w:val="0"/>
      <w:divBdr>
        <w:top w:val="none" w:sz="0" w:space="0" w:color="auto"/>
        <w:left w:val="none" w:sz="0" w:space="0" w:color="auto"/>
        <w:bottom w:val="none" w:sz="0" w:space="0" w:color="auto"/>
        <w:right w:val="none" w:sz="0" w:space="0" w:color="auto"/>
      </w:divBdr>
    </w:div>
    <w:div w:id="1538354085">
      <w:marLeft w:val="0"/>
      <w:marRight w:val="0"/>
      <w:marTop w:val="0"/>
      <w:marBottom w:val="0"/>
      <w:divBdr>
        <w:top w:val="none" w:sz="0" w:space="0" w:color="auto"/>
        <w:left w:val="none" w:sz="0" w:space="0" w:color="auto"/>
        <w:bottom w:val="none" w:sz="0" w:space="0" w:color="auto"/>
        <w:right w:val="none" w:sz="0" w:space="0" w:color="auto"/>
      </w:divBdr>
      <w:divsChild>
        <w:div w:id="2008903597">
          <w:marLeft w:val="0"/>
          <w:marRight w:val="0"/>
          <w:marTop w:val="0"/>
          <w:marBottom w:val="0"/>
          <w:divBdr>
            <w:top w:val="none" w:sz="0" w:space="0" w:color="auto"/>
            <w:left w:val="none" w:sz="0" w:space="0" w:color="auto"/>
            <w:bottom w:val="none" w:sz="0" w:space="0" w:color="auto"/>
            <w:right w:val="none" w:sz="0" w:space="0" w:color="auto"/>
          </w:divBdr>
        </w:div>
      </w:divsChild>
    </w:div>
    <w:div w:id="1539784211">
      <w:bodyDiv w:val="1"/>
      <w:marLeft w:val="0"/>
      <w:marRight w:val="0"/>
      <w:marTop w:val="0"/>
      <w:marBottom w:val="0"/>
      <w:divBdr>
        <w:top w:val="none" w:sz="0" w:space="0" w:color="auto"/>
        <w:left w:val="none" w:sz="0" w:space="0" w:color="auto"/>
        <w:bottom w:val="none" w:sz="0" w:space="0" w:color="auto"/>
        <w:right w:val="none" w:sz="0" w:space="0" w:color="auto"/>
      </w:divBdr>
    </w:div>
    <w:div w:id="1542746148">
      <w:bodyDiv w:val="1"/>
      <w:marLeft w:val="0"/>
      <w:marRight w:val="0"/>
      <w:marTop w:val="0"/>
      <w:marBottom w:val="0"/>
      <w:divBdr>
        <w:top w:val="none" w:sz="0" w:space="0" w:color="auto"/>
        <w:left w:val="none" w:sz="0" w:space="0" w:color="auto"/>
        <w:bottom w:val="none" w:sz="0" w:space="0" w:color="auto"/>
        <w:right w:val="none" w:sz="0" w:space="0" w:color="auto"/>
      </w:divBdr>
    </w:div>
    <w:div w:id="1548882498">
      <w:bodyDiv w:val="1"/>
      <w:marLeft w:val="0"/>
      <w:marRight w:val="0"/>
      <w:marTop w:val="0"/>
      <w:marBottom w:val="0"/>
      <w:divBdr>
        <w:top w:val="none" w:sz="0" w:space="0" w:color="auto"/>
        <w:left w:val="none" w:sz="0" w:space="0" w:color="auto"/>
        <w:bottom w:val="none" w:sz="0" w:space="0" w:color="auto"/>
        <w:right w:val="none" w:sz="0" w:space="0" w:color="auto"/>
      </w:divBdr>
    </w:div>
    <w:div w:id="1552425158">
      <w:marLeft w:val="0"/>
      <w:marRight w:val="0"/>
      <w:marTop w:val="0"/>
      <w:marBottom w:val="0"/>
      <w:divBdr>
        <w:top w:val="none" w:sz="0" w:space="0" w:color="auto"/>
        <w:left w:val="none" w:sz="0" w:space="0" w:color="auto"/>
        <w:bottom w:val="none" w:sz="0" w:space="0" w:color="auto"/>
        <w:right w:val="none" w:sz="0" w:space="0" w:color="auto"/>
      </w:divBdr>
      <w:divsChild>
        <w:div w:id="239559392">
          <w:marLeft w:val="0"/>
          <w:marRight w:val="0"/>
          <w:marTop w:val="0"/>
          <w:marBottom w:val="0"/>
          <w:divBdr>
            <w:top w:val="none" w:sz="0" w:space="0" w:color="auto"/>
            <w:left w:val="none" w:sz="0" w:space="0" w:color="auto"/>
            <w:bottom w:val="none" w:sz="0" w:space="0" w:color="auto"/>
            <w:right w:val="none" w:sz="0" w:space="0" w:color="auto"/>
          </w:divBdr>
        </w:div>
      </w:divsChild>
    </w:div>
    <w:div w:id="1556576890">
      <w:marLeft w:val="0"/>
      <w:marRight w:val="0"/>
      <w:marTop w:val="0"/>
      <w:marBottom w:val="0"/>
      <w:divBdr>
        <w:top w:val="none" w:sz="0" w:space="0" w:color="auto"/>
        <w:left w:val="none" w:sz="0" w:space="0" w:color="auto"/>
        <w:bottom w:val="none" w:sz="0" w:space="0" w:color="auto"/>
        <w:right w:val="none" w:sz="0" w:space="0" w:color="auto"/>
      </w:divBdr>
      <w:divsChild>
        <w:div w:id="1311983123">
          <w:marLeft w:val="0"/>
          <w:marRight w:val="0"/>
          <w:marTop w:val="0"/>
          <w:marBottom w:val="0"/>
          <w:divBdr>
            <w:top w:val="none" w:sz="0" w:space="0" w:color="auto"/>
            <w:left w:val="none" w:sz="0" w:space="0" w:color="auto"/>
            <w:bottom w:val="none" w:sz="0" w:space="0" w:color="auto"/>
            <w:right w:val="none" w:sz="0" w:space="0" w:color="auto"/>
          </w:divBdr>
        </w:div>
      </w:divsChild>
    </w:div>
    <w:div w:id="1559245853">
      <w:bodyDiv w:val="1"/>
      <w:marLeft w:val="0"/>
      <w:marRight w:val="0"/>
      <w:marTop w:val="0"/>
      <w:marBottom w:val="0"/>
      <w:divBdr>
        <w:top w:val="none" w:sz="0" w:space="0" w:color="auto"/>
        <w:left w:val="none" w:sz="0" w:space="0" w:color="auto"/>
        <w:bottom w:val="none" w:sz="0" w:space="0" w:color="auto"/>
        <w:right w:val="none" w:sz="0" w:space="0" w:color="auto"/>
      </w:divBdr>
    </w:div>
    <w:div w:id="1559439734">
      <w:bodyDiv w:val="1"/>
      <w:marLeft w:val="0"/>
      <w:marRight w:val="0"/>
      <w:marTop w:val="0"/>
      <w:marBottom w:val="0"/>
      <w:divBdr>
        <w:top w:val="none" w:sz="0" w:space="0" w:color="auto"/>
        <w:left w:val="none" w:sz="0" w:space="0" w:color="auto"/>
        <w:bottom w:val="none" w:sz="0" w:space="0" w:color="auto"/>
        <w:right w:val="none" w:sz="0" w:space="0" w:color="auto"/>
      </w:divBdr>
    </w:div>
    <w:div w:id="1559903130">
      <w:bodyDiv w:val="1"/>
      <w:marLeft w:val="0"/>
      <w:marRight w:val="0"/>
      <w:marTop w:val="0"/>
      <w:marBottom w:val="0"/>
      <w:divBdr>
        <w:top w:val="none" w:sz="0" w:space="0" w:color="auto"/>
        <w:left w:val="none" w:sz="0" w:space="0" w:color="auto"/>
        <w:bottom w:val="none" w:sz="0" w:space="0" w:color="auto"/>
        <w:right w:val="none" w:sz="0" w:space="0" w:color="auto"/>
      </w:divBdr>
    </w:div>
    <w:div w:id="1561207709">
      <w:bodyDiv w:val="1"/>
      <w:marLeft w:val="0"/>
      <w:marRight w:val="0"/>
      <w:marTop w:val="0"/>
      <w:marBottom w:val="0"/>
      <w:divBdr>
        <w:top w:val="none" w:sz="0" w:space="0" w:color="auto"/>
        <w:left w:val="none" w:sz="0" w:space="0" w:color="auto"/>
        <w:bottom w:val="none" w:sz="0" w:space="0" w:color="auto"/>
        <w:right w:val="none" w:sz="0" w:space="0" w:color="auto"/>
      </w:divBdr>
    </w:div>
    <w:div w:id="1562137886">
      <w:bodyDiv w:val="1"/>
      <w:marLeft w:val="0"/>
      <w:marRight w:val="0"/>
      <w:marTop w:val="0"/>
      <w:marBottom w:val="0"/>
      <w:divBdr>
        <w:top w:val="none" w:sz="0" w:space="0" w:color="auto"/>
        <w:left w:val="none" w:sz="0" w:space="0" w:color="auto"/>
        <w:bottom w:val="none" w:sz="0" w:space="0" w:color="auto"/>
        <w:right w:val="none" w:sz="0" w:space="0" w:color="auto"/>
      </w:divBdr>
    </w:div>
    <w:div w:id="1564295431">
      <w:bodyDiv w:val="1"/>
      <w:marLeft w:val="0"/>
      <w:marRight w:val="0"/>
      <w:marTop w:val="0"/>
      <w:marBottom w:val="0"/>
      <w:divBdr>
        <w:top w:val="none" w:sz="0" w:space="0" w:color="auto"/>
        <w:left w:val="none" w:sz="0" w:space="0" w:color="auto"/>
        <w:bottom w:val="none" w:sz="0" w:space="0" w:color="auto"/>
        <w:right w:val="none" w:sz="0" w:space="0" w:color="auto"/>
      </w:divBdr>
    </w:div>
    <w:div w:id="1565405957">
      <w:bodyDiv w:val="1"/>
      <w:marLeft w:val="0"/>
      <w:marRight w:val="0"/>
      <w:marTop w:val="0"/>
      <w:marBottom w:val="0"/>
      <w:divBdr>
        <w:top w:val="none" w:sz="0" w:space="0" w:color="auto"/>
        <w:left w:val="none" w:sz="0" w:space="0" w:color="auto"/>
        <w:bottom w:val="none" w:sz="0" w:space="0" w:color="auto"/>
        <w:right w:val="none" w:sz="0" w:space="0" w:color="auto"/>
      </w:divBdr>
    </w:div>
    <w:div w:id="1565526180">
      <w:bodyDiv w:val="1"/>
      <w:marLeft w:val="0"/>
      <w:marRight w:val="0"/>
      <w:marTop w:val="0"/>
      <w:marBottom w:val="0"/>
      <w:divBdr>
        <w:top w:val="none" w:sz="0" w:space="0" w:color="auto"/>
        <w:left w:val="none" w:sz="0" w:space="0" w:color="auto"/>
        <w:bottom w:val="none" w:sz="0" w:space="0" w:color="auto"/>
        <w:right w:val="none" w:sz="0" w:space="0" w:color="auto"/>
      </w:divBdr>
    </w:div>
    <w:div w:id="1567301698">
      <w:bodyDiv w:val="1"/>
      <w:marLeft w:val="0"/>
      <w:marRight w:val="0"/>
      <w:marTop w:val="0"/>
      <w:marBottom w:val="0"/>
      <w:divBdr>
        <w:top w:val="none" w:sz="0" w:space="0" w:color="auto"/>
        <w:left w:val="none" w:sz="0" w:space="0" w:color="auto"/>
        <w:bottom w:val="none" w:sz="0" w:space="0" w:color="auto"/>
        <w:right w:val="none" w:sz="0" w:space="0" w:color="auto"/>
      </w:divBdr>
    </w:div>
    <w:div w:id="1573463352">
      <w:bodyDiv w:val="1"/>
      <w:marLeft w:val="0"/>
      <w:marRight w:val="0"/>
      <w:marTop w:val="0"/>
      <w:marBottom w:val="0"/>
      <w:divBdr>
        <w:top w:val="none" w:sz="0" w:space="0" w:color="auto"/>
        <w:left w:val="none" w:sz="0" w:space="0" w:color="auto"/>
        <w:bottom w:val="none" w:sz="0" w:space="0" w:color="auto"/>
        <w:right w:val="none" w:sz="0" w:space="0" w:color="auto"/>
      </w:divBdr>
    </w:div>
    <w:div w:id="1578176168">
      <w:bodyDiv w:val="1"/>
      <w:marLeft w:val="0"/>
      <w:marRight w:val="0"/>
      <w:marTop w:val="0"/>
      <w:marBottom w:val="0"/>
      <w:divBdr>
        <w:top w:val="none" w:sz="0" w:space="0" w:color="auto"/>
        <w:left w:val="none" w:sz="0" w:space="0" w:color="auto"/>
        <w:bottom w:val="none" w:sz="0" w:space="0" w:color="auto"/>
        <w:right w:val="none" w:sz="0" w:space="0" w:color="auto"/>
      </w:divBdr>
    </w:div>
    <w:div w:id="1581328113">
      <w:bodyDiv w:val="1"/>
      <w:marLeft w:val="0"/>
      <w:marRight w:val="0"/>
      <w:marTop w:val="0"/>
      <w:marBottom w:val="0"/>
      <w:divBdr>
        <w:top w:val="none" w:sz="0" w:space="0" w:color="auto"/>
        <w:left w:val="none" w:sz="0" w:space="0" w:color="auto"/>
        <w:bottom w:val="none" w:sz="0" w:space="0" w:color="auto"/>
        <w:right w:val="none" w:sz="0" w:space="0" w:color="auto"/>
      </w:divBdr>
    </w:div>
    <w:div w:id="1587226893">
      <w:bodyDiv w:val="1"/>
      <w:marLeft w:val="0"/>
      <w:marRight w:val="0"/>
      <w:marTop w:val="0"/>
      <w:marBottom w:val="0"/>
      <w:divBdr>
        <w:top w:val="none" w:sz="0" w:space="0" w:color="auto"/>
        <w:left w:val="none" w:sz="0" w:space="0" w:color="auto"/>
        <w:bottom w:val="none" w:sz="0" w:space="0" w:color="auto"/>
        <w:right w:val="none" w:sz="0" w:space="0" w:color="auto"/>
      </w:divBdr>
    </w:div>
    <w:div w:id="1588462474">
      <w:bodyDiv w:val="1"/>
      <w:marLeft w:val="0"/>
      <w:marRight w:val="0"/>
      <w:marTop w:val="0"/>
      <w:marBottom w:val="0"/>
      <w:divBdr>
        <w:top w:val="none" w:sz="0" w:space="0" w:color="auto"/>
        <w:left w:val="none" w:sz="0" w:space="0" w:color="auto"/>
        <w:bottom w:val="none" w:sz="0" w:space="0" w:color="auto"/>
        <w:right w:val="none" w:sz="0" w:space="0" w:color="auto"/>
      </w:divBdr>
    </w:div>
    <w:div w:id="1588685601">
      <w:bodyDiv w:val="1"/>
      <w:marLeft w:val="0"/>
      <w:marRight w:val="0"/>
      <w:marTop w:val="0"/>
      <w:marBottom w:val="0"/>
      <w:divBdr>
        <w:top w:val="none" w:sz="0" w:space="0" w:color="auto"/>
        <w:left w:val="none" w:sz="0" w:space="0" w:color="auto"/>
        <w:bottom w:val="none" w:sz="0" w:space="0" w:color="auto"/>
        <w:right w:val="none" w:sz="0" w:space="0" w:color="auto"/>
      </w:divBdr>
    </w:div>
    <w:div w:id="1590314936">
      <w:bodyDiv w:val="1"/>
      <w:marLeft w:val="0"/>
      <w:marRight w:val="0"/>
      <w:marTop w:val="0"/>
      <w:marBottom w:val="0"/>
      <w:divBdr>
        <w:top w:val="none" w:sz="0" w:space="0" w:color="auto"/>
        <w:left w:val="none" w:sz="0" w:space="0" w:color="auto"/>
        <w:bottom w:val="none" w:sz="0" w:space="0" w:color="auto"/>
        <w:right w:val="none" w:sz="0" w:space="0" w:color="auto"/>
      </w:divBdr>
    </w:div>
    <w:div w:id="1590699408">
      <w:bodyDiv w:val="1"/>
      <w:marLeft w:val="0"/>
      <w:marRight w:val="0"/>
      <w:marTop w:val="0"/>
      <w:marBottom w:val="0"/>
      <w:divBdr>
        <w:top w:val="none" w:sz="0" w:space="0" w:color="auto"/>
        <w:left w:val="none" w:sz="0" w:space="0" w:color="auto"/>
        <w:bottom w:val="none" w:sz="0" w:space="0" w:color="auto"/>
        <w:right w:val="none" w:sz="0" w:space="0" w:color="auto"/>
      </w:divBdr>
    </w:div>
    <w:div w:id="1590776792">
      <w:bodyDiv w:val="1"/>
      <w:marLeft w:val="0"/>
      <w:marRight w:val="0"/>
      <w:marTop w:val="0"/>
      <w:marBottom w:val="0"/>
      <w:divBdr>
        <w:top w:val="none" w:sz="0" w:space="0" w:color="auto"/>
        <w:left w:val="none" w:sz="0" w:space="0" w:color="auto"/>
        <w:bottom w:val="none" w:sz="0" w:space="0" w:color="auto"/>
        <w:right w:val="none" w:sz="0" w:space="0" w:color="auto"/>
      </w:divBdr>
    </w:div>
    <w:div w:id="1598634222">
      <w:bodyDiv w:val="1"/>
      <w:marLeft w:val="0"/>
      <w:marRight w:val="0"/>
      <w:marTop w:val="0"/>
      <w:marBottom w:val="0"/>
      <w:divBdr>
        <w:top w:val="none" w:sz="0" w:space="0" w:color="auto"/>
        <w:left w:val="none" w:sz="0" w:space="0" w:color="auto"/>
        <w:bottom w:val="none" w:sz="0" w:space="0" w:color="auto"/>
        <w:right w:val="none" w:sz="0" w:space="0" w:color="auto"/>
      </w:divBdr>
    </w:div>
    <w:div w:id="1598951617">
      <w:bodyDiv w:val="1"/>
      <w:marLeft w:val="0"/>
      <w:marRight w:val="0"/>
      <w:marTop w:val="0"/>
      <w:marBottom w:val="0"/>
      <w:divBdr>
        <w:top w:val="none" w:sz="0" w:space="0" w:color="auto"/>
        <w:left w:val="none" w:sz="0" w:space="0" w:color="auto"/>
        <w:bottom w:val="none" w:sz="0" w:space="0" w:color="auto"/>
        <w:right w:val="none" w:sz="0" w:space="0" w:color="auto"/>
      </w:divBdr>
    </w:div>
    <w:div w:id="1604845816">
      <w:bodyDiv w:val="1"/>
      <w:marLeft w:val="0"/>
      <w:marRight w:val="0"/>
      <w:marTop w:val="0"/>
      <w:marBottom w:val="0"/>
      <w:divBdr>
        <w:top w:val="none" w:sz="0" w:space="0" w:color="auto"/>
        <w:left w:val="none" w:sz="0" w:space="0" w:color="auto"/>
        <w:bottom w:val="none" w:sz="0" w:space="0" w:color="auto"/>
        <w:right w:val="none" w:sz="0" w:space="0" w:color="auto"/>
      </w:divBdr>
    </w:div>
    <w:div w:id="1608809883">
      <w:bodyDiv w:val="1"/>
      <w:marLeft w:val="0"/>
      <w:marRight w:val="0"/>
      <w:marTop w:val="0"/>
      <w:marBottom w:val="0"/>
      <w:divBdr>
        <w:top w:val="none" w:sz="0" w:space="0" w:color="auto"/>
        <w:left w:val="none" w:sz="0" w:space="0" w:color="auto"/>
        <w:bottom w:val="none" w:sz="0" w:space="0" w:color="auto"/>
        <w:right w:val="none" w:sz="0" w:space="0" w:color="auto"/>
      </w:divBdr>
    </w:div>
    <w:div w:id="1609506775">
      <w:bodyDiv w:val="1"/>
      <w:marLeft w:val="0"/>
      <w:marRight w:val="0"/>
      <w:marTop w:val="0"/>
      <w:marBottom w:val="0"/>
      <w:divBdr>
        <w:top w:val="none" w:sz="0" w:space="0" w:color="auto"/>
        <w:left w:val="none" w:sz="0" w:space="0" w:color="auto"/>
        <w:bottom w:val="none" w:sz="0" w:space="0" w:color="auto"/>
        <w:right w:val="none" w:sz="0" w:space="0" w:color="auto"/>
      </w:divBdr>
    </w:div>
    <w:div w:id="1612203032">
      <w:bodyDiv w:val="1"/>
      <w:marLeft w:val="0"/>
      <w:marRight w:val="0"/>
      <w:marTop w:val="0"/>
      <w:marBottom w:val="0"/>
      <w:divBdr>
        <w:top w:val="none" w:sz="0" w:space="0" w:color="auto"/>
        <w:left w:val="none" w:sz="0" w:space="0" w:color="auto"/>
        <w:bottom w:val="none" w:sz="0" w:space="0" w:color="auto"/>
        <w:right w:val="none" w:sz="0" w:space="0" w:color="auto"/>
      </w:divBdr>
    </w:div>
    <w:div w:id="1612778480">
      <w:marLeft w:val="0"/>
      <w:marRight w:val="0"/>
      <w:marTop w:val="0"/>
      <w:marBottom w:val="0"/>
      <w:divBdr>
        <w:top w:val="none" w:sz="0" w:space="0" w:color="auto"/>
        <w:left w:val="none" w:sz="0" w:space="0" w:color="auto"/>
        <w:bottom w:val="none" w:sz="0" w:space="0" w:color="auto"/>
        <w:right w:val="none" w:sz="0" w:space="0" w:color="auto"/>
      </w:divBdr>
      <w:divsChild>
        <w:div w:id="1561404468">
          <w:marLeft w:val="0"/>
          <w:marRight w:val="0"/>
          <w:marTop w:val="0"/>
          <w:marBottom w:val="0"/>
          <w:divBdr>
            <w:top w:val="none" w:sz="0" w:space="0" w:color="auto"/>
            <w:left w:val="none" w:sz="0" w:space="0" w:color="auto"/>
            <w:bottom w:val="none" w:sz="0" w:space="0" w:color="auto"/>
            <w:right w:val="none" w:sz="0" w:space="0" w:color="auto"/>
          </w:divBdr>
        </w:div>
      </w:divsChild>
    </w:div>
    <w:div w:id="1614437991">
      <w:bodyDiv w:val="1"/>
      <w:marLeft w:val="0"/>
      <w:marRight w:val="0"/>
      <w:marTop w:val="0"/>
      <w:marBottom w:val="0"/>
      <w:divBdr>
        <w:top w:val="none" w:sz="0" w:space="0" w:color="auto"/>
        <w:left w:val="none" w:sz="0" w:space="0" w:color="auto"/>
        <w:bottom w:val="none" w:sz="0" w:space="0" w:color="auto"/>
        <w:right w:val="none" w:sz="0" w:space="0" w:color="auto"/>
      </w:divBdr>
    </w:div>
    <w:div w:id="1628316508">
      <w:bodyDiv w:val="1"/>
      <w:marLeft w:val="0"/>
      <w:marRight w:val="0"/>
      <w:marTop w:val="0"/>
      <w:marBottom w:val="0"/>
      <w:divBdr>
        <w:top w:val="none" w:sz="0" w:space="0" w:color="auto"/>
        <w:left w:val="none" w:sz="0" w:space="0" w:color="auto"/>
        <w:bottom w:val="none" w:sz="0" w:space="0" w:color="auto"/>
        <w:right w:val="none" w:sz="0" w:space="0" w:color="auto"/>
      </w:divBdr>
    </w:div>
    <w:div w:id="1629432041">
      <w:bodyDiv w:val="1"/>
      <w:marLeft w:val="0"/>
      <w:marRight w:val="0"/>
      <w:marTop w:val="0"/>
      <w:marBottom w:val="0"/>
      <w:divBdr>
        <w:top w:val="none" w:sz="0" w:space="0" w:color="auto"/>
        <w:left w:val="none" w:sz="0" w:space="0" w:color="auto"/>
        <w:bottom w:val="none" w:sz="0" w:space="0" w:color="auto"/>
        <w:right w:val="none" w:sz="0" w:space="0" w:color="auto"/>
      </w:divBdr>
    </w:div>
    <w:div w:id="1629583651">
      <w:bodyDiv w:val="1"/>
      <w:marLeft w:val="0"/>
      <w:marRight w:val="0"/>
      <w:marTop w:val="0"/>
      <w:marBottom w:val="0"/>
      <w:divBdr>
        <w:top w:val="none" w:sz="0" w:space="0" w:color="auto"/>
        <w:left w:val="none" w:sz="0" w:space="0" w:color="auto"/>
        <w:bottom w:val="none" w:sz="0" w:space="0" w:color="auto"/>
        <w:right w:val="none" w:sz="0" w:space="0" w:color="auto"/>
      </w:divBdr>
    </w:div>
    <w:div w:id="1630626280">
      <w:bodyDiv w:val="1"/>
      <w:marLeft w:val="0"/>
      <w:marRight w:val="0"/>
      <w:marTop w:val="0"/>
      <w:marBottom w:val="0"/>
      <w:divBdr>
        <w:top w:val="none" w:sz="0" w:space="0" w:color="auto"/>
        <w:left w:val="none" w:sz="0" w:space="0" w:color="auto"/>
        <w:bottom w:val="none" w:sz="0" w:space="0" w:color="auto"/>
        <w:right w:val="none" w:sz="0" w:space="0" w:color="auto"/>
      </w:divBdr>
    </w:div>
    <w:div w:id="1635985858">
      <w:marLeft w:val="0"/>
      <w:marRight w:val="0"/>
      <w:marTop w:val="0"/>
      <w:marBottom w:val="0"/>
      <w:divBdr>
        <w:top w:val="none" w:sz="0" w:space="0" w:color="auto"/>
        <w:left w:val="none" w:sz="0" w:space="0" w:color="auto"/>
        <w:bottom w:val="none" w:sz="0" w:space="0" w:color="auto"/>
        <w:right w:val="none" w:sz="0" w:space="0" w:color="auto"/>
      </w:divBdr>
      <w:divsChild>
        <w:div w:id="900940270">
          <w:marLeft w:val="0"/>
          <w:marRight w:val="0"/>
          <w:marTop w:val="0"/>
          <w:marBottom w:val="0"/>
          <w:divBdr>
            <w:top w:val="none" w:sz="0" w:space="0" w:color="auto"/>
            <w:left w:val="none" w:sz="0" w:space="0" w:color="auto"/>
            <w:bottom w:val="none" w:sz="0" w:space="0" w:color="auto"/>
            <w:right w:val="none" w:sz="0" w:space="0" w:color="auto"/>
          </w:divBdr>
        </w:div>
      </w:divsChild>
    </w:div>
    <w:div w:id="1637682507">
      <w:bodyDiv w:val="1"/>
      <w:marLeft w:val="0"/>
      <w:marRight w:val="0"/>
      <w:marTop w:val="0"/>
      <w:marBottom w:val="0"/>
      <w:divBdr>
        <w:top w:val="none" w:sz="0" w:space="0" w:color="auto"/>
        <w:left w:val="none" w:sz="0" w:space="0" w:color="auto"/>
        <w:bottom w:val="none" w:sz="0" w:space="0" w:color="auto"/>
        <w:right w:val="none" w:sz="0" w:space="0" w:color="auto"/>
      </w:divBdr>
    </w:div>
    <w:div w:id="1640497754">
      <w:bodyDiv w:val="1"/>
      <w:marLeft w:val="0"/>
      <w:marRight w:val="0"/>
      <w:marTop w:val="0"/>
      <w:marBottom w:val="0"/>
      <w:divBdr>
        <w:top w:val="none" w:sz="0" w:space="0" w:color="auto"/>
        <w:left w:val="none" w:sz="0" w:space="0" w:color="auto"/>
        <w:bottom w:val="none" w:sz="0" w:space="0" w:color="auto"/>
        <w:right w:val="none" w:sz="0" w:space="0" w:color="auto"/>
      </w:divBdr>
    </w:div>
    <w:div w:id="1648122019">
      <w:bodyDiv w:val="1"/>
      <w:marLeft w:val="0"/>
      <w:marRight w:val="0"/>
      <w:marTop w:val="0"/>
      <w:marBottom w:val="0"/>
      <w:divBdr>
        <w:top w:val="none" w:sz="0" w:space="0" w:color="auto"/>
        <w:left w:val="none" w:sz="0" w:space="0" w:color="auto"/>
        <w:bottom w:val="none" w:sz="0" w:space="0" w:color="auto"/>
        <w:right w:val="none" w:sz="0" w:space="0" w:color="auto"/>
      </w:divBdr>
    </w:div>
    <w:div w:id="1651330139">
      <w:bodyDiv w:val="1"/>
      <w:marLeft w:val="0"/>
      <w:marRight w:val="0"/>
      <w:marTop w:val="0"/>
      <w:marBottom w:val="0"/>
      <w:divBdr>
        <w:top w:val="none" w:sz="0" w:space="0" w:color="auto"/>
        <w:left w:val="none" w:sz="0" w:space="0" w:color="auto"/>
        <w:bottom w:val="none" w:sz="0" w:space="0" w:color="auto"/>
        <w:right w:val="none" w:sz="0" w:space="0" w:color="auto"/>
      </w:divBdr>
    </w:div>
    <w:div w:id="1653488360">
      <w:bodyDiv w:val="1"/>
      <w:marLeft w:val="0"/>
      <w:marRight w:val="0"/>
      <w:marTop w:val="0"/>
      <w:marBottom w:val="0"/>
      <w:divBdr>
        <w:top w:val="none" w:sz="0" w:space="0" w:color="auto"/>
        <w:left w:val="none" w:sz="0" w:space="0" w:color="auto"/>
        <w:bottom w:val="none" w:sz="0" w:space="0" w:color="auto"/>
        <w:right w:val="none" w:sz="0" w:space="0" w:color="auto"/>
      </w:divBdr>
    </w:div>
    <w:div w:id="1659066320">
      <w:bodyDiv w:val="1"/>
      <w:marLeft w:val="0"/>
      <w:marRight w:val="0"/>
      <w:marTop w:val="0"/>
      <w:marBottom w:val="0"/>
      <w:divBdr>
        <w:top w:val="none" w:sz="0" w:space="0" w:color="auto"/>
        <w:left w:val="none" w:sz="0" w:space="0" w:color="auto"/>
        <w:bottom w:val="none" w:sz="0" w:space="0" w:color="auto"/>
        <w:right w:val="none" w:sz="0" w:space="0" w:color="auto"/>
      </w:divBdr>
    </w:div>
    <w:div w:id="1661497794">
      <w:bodyDiv w:val="1"/>
      <w:marLeft w:val="0"/>
      <w:marRight w:val="0"/>
      <w:marTop w:val="0"/>
      <w:marBottom w:val="0"/>
      <w:divBdr>
        <w:top w:val="none" w:sz="0" w:space="0" w:color="auto"/>
        <w:left w:val="none" w:sz="0" w:space="0" w:color="auto"/>
        <w:bottom w:val="none" w:sz="0" w:space="0" w:color="auto"/>
        <w:right w:val="none" w:sz="0" w:space="0" w:color="auto"/>
      </w:divBdr>
    </w:div>
    <w:div w:id="1662847834">
      <w:bodyDiv w:val="1"/>
      <w:marLeft w:val="0"/>
      <w:marRight w:val="0"/>
      <w:marTop w:val="0"/>
      <w:marBottom w:val="0"/>
      <w:divBdr>
        <w:top w:val="none" w:sz="0" w:space="0" w:color="auto"/>
        <w:left w:val="none" w:sz="0" w:space="0" w:color="auto"/>
        <w:bottom w:val="none" w:sz="0" w:space="0" w:color="auto"/>
        <w:right w:val="none" w:sz="0" w:space="0" w:color="auto"/>
      </w:divBdr>
    </w:div>
    <w:div w:id="1663122410">
      <w:bodyDiv w:val="1"/>
      <w:marLeft w:val="0"/>
      <w:marRight w:val="0"/>
      <w:marTop w:val="0"/>
      <w:marBottom w:val="0"/>
      <w:divBdr>
        <w:top w:val="none" w:sz="0" w:space="0" w:color="auto"/>
        <w:left w:val="none" w:sz="0" w:space="0" w:color="auto"/>
        <w:bottom w:val="none" w:sz="0" w:space="0" w:color="auto"/>
        <w:right w:val="none" w:sz="0" w:space="0" w:color="auto"/>
      </w:divBdr>
    </w:div>
    <w:div w:id="1672680628">
      <w:bodyDiv w:val="1"/>
      <w:marLeft w:val="0"/>
      <w:marRight w:val="0"/>
      <w:marTop w:val="0"/>
      <w:marBottom w:val="0"/>
      <w:divBdr>
        <w:top w:val="none" w:sz="0" w:space="0" w:color="auto"/>
        <w:left w:val="none" w:sz="0" w:space="0" w:color="auto"/>
        <w:bottom w:val="none" w:sz="0" w:space="0" w:color="auto"/>
        <w:right w:val="none" w:sz="0" w:space="0" w:color="auto"/>
      </w:divBdr>
    </w:div>
    <w:div w:id="1676227782">
      <w:bodyDiv w:val="1"/>
      <w:marLeft w:val="0"/>
      <w:marRight w:val="0"/>
      <w:marTop w:val="0"/>
      <w:marBottom w:val="0"/>
      <w:divBdr>
        <w:top w:val="none" w:sz="0" w:space="0" w:color="auto"/>
        <w:left w:val="none" w:sz="0" w:space="0" w:color="auto"/>
        <w:bottom w:val="none" w:sz="0" w:space="0" w:color="auto"/>
        <w:right w:val="none" w:sz="0" w:space="0" w:color="auto"/>
      </w:divBdr>
    </w:div>
    <w:div w:id="1676495655">
      <w:bodyDiv w:val="1"/>
      <w:marLeft w:val="0"/>
      <w:marRight w:val="0"/>
      <w:marTop w:val="0"/>
      <w:marBottom w:val="0"/>
      <w:divBdr>
        <w:top w:val="none" w:sz="0" w:space="0" w:color="auto"/>
        <w:left w:val="none" w:sz="0" w:space="0" w:color="auto"/>
        <w:bottom w:val="none" w:sz="0" w:space="0" w:color="auto"/>
        <w:right w:val="none" w:sz="0" w:space="0" w:color="auto"/>
      </w:divBdr>
    </w:div>
    <w:div w:id="1676571089">
      <w:bodyDiv w:val="1"/>
      <w:marLeft w:val="0"/>
      <w:marRight w:val="0"/>
      <w:marTop w:val="0"/>
      <w:marBottom w:val="0"/>
      <w:divBdr>
        <w:top w:val="none" w:sz="0" w:space="0" w:color="auto"/>
        <w:left w:val="none" w:sz="0" w:space="0" w:color="auto"/>
        <w:bottom w:val="none" w:sz="0" w:space="0" w:color="auto"/>
        <w:right w:val="none" w:sz="0" w:space="0" w:color="auto"/>
      </w:divBdr>
    </w:div>
    <w:div w:id="1696343320">
      <w:bodyDiv w:val="1"/>
      <w:marLeft w:val="0"/>
      <w:marRight w:val="0"/>
      <w:marTop w:val="0"/>
      <w:marBottom w:val="0"/>
      <w:divBdr>
        <w:top w:val="none" w:sz="0" w:space="0" w:color="auto"/>
        <w:left w:val="none" w:sz="0" w:space="0" w:color="auto"/>
        <w:bottom w:val="none" w:sz="0" w:space="0" w:color="auto"/>
        <w:right w:val="none" w:sz="0" w:space="0" w:color="auto"/>
      </w:divBdr>
    </w:div>
    <w:div w:id="1698700522">
      <w:bodyDiv w:val="1"/>
      <w:marLeft w:val="0"/>
      <w:marRight w:val="0"/>
      <w:marTop w:val="0"/>
      <w:marBottom w:val="0"/>
      <w:divBdr>
        <w:top w:val="none" w:sz="0" w:space="0" w:color="auto"/>
        <w:left w:val="none" w:sz="0" w:space="0" w:color="auto"/>
        <w:bottom w:val="none" w:sz="0" w:space="0" w:color="auto"/>
        <w:right w:val="none" w:sz="0" w:space="0" w:color="auto"/>
      </w:divBdr>
    </w:div>
    <w:div w:id="1707829393">
      <w:bodyDiv w:val="1"/>
      <w:marLeft w:val="0"/>
      <w:marRight w:val="0"/>
      <w:marTop w:val="0"/>
      <w:marBottom w:val="0"/>
      <w:divBdr>
        <w:top w:val="none" w:sz="0" w:space="0" w:color="auto"/>
        <w:left w:val="none" w:sz="0" w:space="0" w:color="auto"/>
        <w:bottom w:val="none" w:sz="0" w:space="0" w:color="auto"/>
        <w:right w:val="none" w:sz="0" w:space="0" w:color="auto"/>
      </w:divBdr>
    </w:div>
    <w:div w:id="1708875339">
      <w:bodyDiv w:val="1"/>
      <w:marLeft w:val="0"/>
      <w:marRight w:val="0"/>
      <w:marTop w:val="0"/>
      <w:marBottom w:val="0"/>
      <w:divBdr>
        <w:top w:val="none" w:sz="0" w:space="0" w:color="auto"/>
        <w:left w:val="none" w:sz="0" w:space="0" w:color="auto"/>
        <w:bottom w:val="none" w:sz="0" w:space="0" w:color="auto"/>
        <w:right w:val="none" w:sz="0" w:space="0" w:color="auto"/>
      </w:divBdr>
    </w:div>
    <w:div w:id="1714423064">
      <w:bodyDiv w:val="1"/>
      <w:marLeft w:val="0"/>
      <w:marRight w:val="0"/>
      <w:marTop w:val="0"/>
      <w:marBottom w:val="0"/>
      <w:divBdr>
        <w:top w:val="none" w:sz="0" w:space="0" w:color="auto"/>
        <w:left w:val="none" w:sz="0" w:space="0" w:color="auto"/>
        <w:bottom w:val="none" w:sz="0" w:space="0" w:color="auto"/>
        <w:right w:val="none" w:sz="0" w:space="0" w:color="auto"/>
      </w:divBdr>
    </w:div>
    <w:div w:id="1715421568">
      <w:bodyDiv w:val="1"/>
      <w:marLeft w:val="0"/>
      <w:marRight w:val="0"/>
      <w:marTop w:val="0"/>
      <w:marBottom w:val="0"/>
      <w:divBdr>
        <w:top w:val="none" w:sz="0" w:space="0" w:color="auto"/>
        <w:left w:val="none" w:sz="0" w:space="0" w:color="auto"/>
        <w:bottom w:val="none" w:sz="0" w:space="0" w:color="auto"/>
        <w:right w:val="none" w:sz="0" w:space="0" w:color="auto"/>
      </w:divBdr>
    </w:div>
    <w:div w:id="1715689342">
      <w:marLeft w:val="0"/>
      <w:marRight w:val="0"/>
      <w:marTop w:val="0"/>
      <w:marBottom w:val="0"/>
      <w:divBdr>
        <w:top w:val="none" w:sz="0" w:space="0" w:color="auto"/>
        <w:left w:val="none" w:sz="0" w:space="0" w:color="auto"/>
        <w:bottom w:val="none" w:sz="0" w:space="0" w:color="auto"/>
        <w:right w:val="none" w:sz="0" w:space="0" w:color="auto"/>
      </w:divBdr>
      <w:divsChild>
        <w:div w:id="651518125">
          <w:marLeft w:val="0"/>
          <w:marRight w:val="0"/>
          <w:marTop w:val="0"/>
          <w:marBottom w:val="0"/>
          <w:divBdr>
            <w:top w:val="none" w:sz="0" w:space="0" w:color="auto"/>
            <w:left w:val="none" w:sz="0" w:space="0" w:color="auto"/>
            <w:bottom w:val="none" w:sz="0" w:space="0" w:color="auto"/>
            <w:right w:val="none" w:sz="0" w:space="0" w:color="auto"/>
          </w:divBdr>
        </w:div>
      </w:divsChild>
    </w:div>
    <w:div w:id="1719628822">
      <w:bodyDiv w:val="1"/>
      <w:marLeft w:val="0"/>
      <w:marRight w:val="0"/>
      <w:marTop w:val="0"/>
      <w:marBottom w:val="0"/>
      <w:divBdr>
        <w:top w:val="none" w:sz="0" w:space="0" w:color="auto"/>
        <w:left w:val="none" w:sz="0" w:space="0" w:color="auto"/>
        <w:bottom w:val="none" w:sz="0" w:space="0" w:color="auto"/>
        <w:right w:val="none" w:sz="0" w:space="0" w:color="auto"/>
      </w:divBdr>
    </w:div>
    <w:div w:id="1721319798">
      <w:bodyDiv w:val="1"/>
      <w:marLeft w:val="0"/>
      <w:marRight w:val="0"/>
      <w:marTop w:val="0"/>
      <w:marBottom w:val="0"/>
      <w:divBdr>
        <w:top w:val="none" w:sz="0" w:space="0" w:color="auto"/>
        <w:left w:val="none" w:sz="0" w:space="0" w:color="auto"/>
        <w:bottom w:val="none" w:sz="0" w:space="0" w:color="auto"/>
        <w:right w:val="none" w:sz="0" w:space="0" w:color="auto"/>
      </w:divBdr>
    </w:div>
    <w:div w:id="1721828984">
      <w:bodyDiv w:val="1"/>
      <w:marLeft w:val="0"/>
      <w:marRight w:val="0"/>
      <w:marTop w:val="0"/>
      <w:marBottom w:val="0"/>
      <w:divBdr>
        <w:top w:val="none" w:sz="0" w:space="0" w:color="auto"/>
        <w:left w:val="none" w:sz="0" w:space="0" w:color="auto"/>
        <w:bottom w:val="none" w:sz="0" w:space="0" w:color="auto"/>
        <w:right w:val="none" w:sz="0" w:space="0" w:color="auto"/>
      </w:divBdr>
      <w:divsChild>
        <w:div w:id="1111634243">
          <w:marLeft w:val="0"/>
          <w:marRight w:val="0"/>
          <w:marTop w:val="0"/>
          <w:marBottom w:val="0"/>
          <w:divBdr>
            <w:top w:val="none" w:sz="0" w:space="0" w:color="auto"/>
            <w:left w:val="none" w:sz="0" w:space="0" w:color="auto"/>
            <w:bottom w:val="none" w:sz="0" w:space="0" w:color="auto"/>
            <w:right w:val="none" w:sz="0" w:space="0" w:color="auto"/>
          </w:divBdr>
        </w:div>
      </w:divsChild>
    </w:div>
    <w:div w:id="1728794965">
      <w:bodyDiv w:val="1"/>
      <w:marLeft w:val="0"/>
      <w:marRight w:val="0"/>
      <w:marTop w:val="0"/>
      <w:marBottom w:val="0"/>
      <w:divBdr>
        <w:top w:val="none" w:sz="0" w:space="0" w:color="auto"/>
        <w:left w:val="none" w:sz="0" w:space="0" w:color="auto"/>
        <w:bottom w:val="none" w:sz="0" w:space="0" w:color="auto"/>
        <w:right w:val="none" w:sz="0" w:space="0" w:color="auto"/>
      </w:divBdr>
    </w:div>
    <w:div w:id="1742174828">
      <w:marLeft w:val="0"/>
      <w:marRight w:val="0"/>
      <w:marTop w:val="0"/>
      <w:marBottom w:val="0"/>
      <w:divBdr>
        <w:top w:val="none" w:sz="0" w:space="0" w:color="auto"/>
        <w:left w:val="none" w:sz="0" w:space="0" w:color="auto"/>
        <w:bottom w:val="none" w:sz="0" w:space="0" w:color="auto"/>
        <w:right w:val="none" w:sz="0" w:space="0" w:color="auto"/>
      </w:divBdr>
      <w:divsChild>
        <w:div w:id="415713888">
          <w:marLeft w:val="0"/>
          <w:marRight w:val="0"/>
          <w:marTop w:val="0"/>
          <w:marBottom w:val="0"/>
          <w:divBdr>
            <w:top w:val="none" w:sz="0" w:space="0" w:color="auto"/>
            <w:left w:val="none" w:sz="0" w:space="0" w:color="auto"/>
            <w:bottom w:val="none" w:sz="0" w:space="0" w:color="auto"/>
            <w:right w:val="none" w:sz="0" w:space="0" w:color="auto"/>
          </w:divBdr>
        </w:div>
      </w:divsChild>
    </w:div>
    <w:div w:id="1743143076">
      <w:bodyDiv w:val="1"/>
      <w:marLeft w:val="0"/>
      <w:marRight w:val="0"/>
      <w:marTop w:val="0"/>
      <w:marBottom w:val="0"/>
      <w:divBdr>
        <w:top w:val="none" w:sz="0" w:space="0" w:color="auto"/>
        <w:left w:val="none" w:sz="0" w:space="0" w:color="auto"/>
        <w:bottom w:val="none" w:sz="0" w:space="0" w:color="auto"/>
        <w:right w:val="none" w:sz="0" w:space="0" w:color="auto"/>
      </w:divBdr>
    </w:div>
    <w:div w:id="1744988582">
      <w:bodyDiv w:val="1"/>
      <w:marLeft w:val="0"/>
      <w:marRight w:val="0"/>
      <w:marTop w:val="0"/>
      <w:marBottom w:val="0"/>
      <w:divBdr>
        <w:top w:val="none" w:sz="0" w:space="0" w:color="auto"/>
        <w:left w:val="none" w:sz="0" w:space="0" w:color="auto"/>
        <w:bottom w:val="none" w:sz="0" w:space="0" w:color="auto"/>
        <w:right w:val="none" w:sz="0" w:space="0" w:color="auto"/>
      </w:divBdr>
    </w:div>
    <w:div w:id="1751652415">
      <w:bodyDiv w:val="1"/>
      <w:marLeft w:val="0"/>
      <w:marRight w:val="0"/>
      <w:marTop w:val="0"/>
      <w:marBottom w:val="0"/>
      <w:divBdr>
        <w:top w:val="none" w:sz="0" w:space="0" w:color="auto"/>
        <w:left w:val="none" w:sz="0" w:space="0" w:color="auto"/>
        <w:bottom w:val="none" w:sz="0" w:space="0" w:color="auto"/>
        <w:right w:val="none" w:sz="0" w:space="0" w:color="auto"/>
      </w:divBdr>
      <w:divsChild>
        <w:div w:id="1854800899">
          <w:marLeft w:val="0"/>
          <w:marRight w:val="0"/>
          <w:marTop w:val="0"/>
          <w:marBottom w:val="0"/>
          <w:divBdr>
            <w:top w:val="none" w:sz="0" w:space="0" w:color="auto"/>
            <w:left w:val="none" w:sz="0" w:space="0" w:color="auto"/>
            <w:bottom w:val="none" w:sz="0" w:space="0" w:color="auto"/>
            <w:right w:val="none" w:sz="0" w:space="0" w:color="auto"/>
          </w:divBdr>
        </w:div>
      </w:divsChild>
    </w:div>
    <w:div w:id="1755737846">
      <w:bodyDiv w:val="1"/>
      <w:marLeft w:val="0"/>
      <w:marRight w:val="0"/>
      <w:marTop w:val="0"/>
      <w:marBottom w:val="0"/>
      <w:divBdr>
        <w:top w:val="none" w:sz="0" w:space="0" w:color="auto"/>
        <w:left w:val="none" w:sz="0" w:space="0" w:color="auto"/>
        <w:bottom w:val="none" w:sz="0" w:space="0" w:color="auto"/>
        <w:right w:val="none" w:sz="0" w:space="0" w:color="auto"/>
      </w:divBdr>
    </w:div>
    <w:div w:id="1757482322">
      <w:bodyDiv w:val="1"/>
      <w:marLeft w:val="0"/>
      <w:marRight w:val="0"/>
      <w:marTop w:val="0"/>
      <w:marBottom w:val="0"/>
      <w:divBdr>
        <w:top w:val="none" w:sz="0" w:space="0" w:color="auto"/>
        <w:left w:val="none" w:sz="0" w:space="0" w:color="auto"/>
        <w:bottom w:val="none" w:sz="0" w:space="0" w:color="auto"/>
        <w:right w:val="none" w:sz="0" w:space="0" w:color="auto"/>
      </w:divBdr>
      <w:divsChild>
        <w:div w:id="359669">
          <w:marLeft w:val="0"/>
          <w:marRight w:val="0"/>
          <w:marTop w:val="0"/>
          <w:marBottom w:val="0"/>
          <w:divBdr>
            <w:top w:val="none" w:sz="0" w:space="0" w:color="auto"/>
            <w:left w:val="none" w:sz="0" w:space="0" w:color="auto"/>
            <w:bottom w:val="none" w:sz="0" w:space="0" w:color="auto"/>
            <w:right w:val="none" w:sz="0" w:space="0" w:color="auto"/>
          </w:divBdr>
        </w:div>
      </w:divsChild>
    </w:div>
    <w:div w:id="1767265758">
      <w:bodyDiv w:val="1"/>
      <w:marLeft w:val="0"/>
      <w:marRight w:val="0"/>
      <w:marTop w:val="0"/>
      <w:marBottom w:val="0"/>
      <w:divBdr>
        <w:top w:val="none" w:sz="0" w:space="0" w:color="auto"/>
        <w:left w:val="none" w:sz="0" w:space="0" w:color="auto"/>
        <w:bottom w:val="none" w:sz="0" w:space="0" w:color="auto"/>
        <w:right w:val="none" w:sz="0" w:space="0" w:color="auto"/>
      </w:divBdr>
    </w:div>
    <w:div w:id="1770391169">
      <w:bodyDiv w:val="1"/>
      <w:marLeft w:val="0"/>
      <w:marRight w:val="0"/>
      <w:marTop w:val="0"/>
      <w:marBottom w:val="0"/>
      <w:divBdr>
        <w:top w:val="none" w:sz="0" w:space="0" w:color="auto"/>
        <w:left w:val="none" w:sz="0" w:space="0" w:color="auto"/>
        <w:bottom w:val="none" w:sz="0" w:space="0" w:color="auto"/>
        <w:right w:val="none" w:sz="0" w:space="0" w:color="auto"/>
      </w:divBdr>
    </w:div>
    <w:div w:id="1771319543">
      <w:bodyDiv w:val="1"/>
      <w:marLeft w:val="0"/>
      <w:marRight w:val="0"/>
      <w:marTop w:val="0"/>
      <w:marBottom w:val="0"/>
      <w:divBdr>
        <w:top w:val="none" w:sz="0" w:space="0" w:color="auto"/>
        <w:left w:val="none" w:sz="0" w:space="0" w:color="auto"/>
        <w:bottom w:val="none" w:sz="0" w:space="0" w:color="auto"/>
        <w:right w:val="none" w:sz="0" w:space="0" w:color="auto"/>
      </w:divBdr>
    </w:div>
    <w:div w:id="1774669137">
      <w:bodyDiv w:val="1"/>
      <w:marLeft w:val="0"/>
      <w:marRight w:val="0"/>
      <w:marTop w:val="0"/>
      <w:marBottom w:val="0"/>
      <w:divBdr>
        <w:top w:val="none" w:sz="0" w:space="0" w:color="auto"/>
        <w:left w:val="none" w:sz="0" w:space="0" w:color="auto"/>
        <w:bottom w:val="none" w:sz="0" w:space="0" w:color="auto"/>
        <w:right w:val="none" w:sz="0" w:space="0" w:color="auto"/>
      </w:divBdr>
    </w:div>
    <w:div w:id="1777285987">
      <w:bodyDiv w:val="1"/>
      <w:marLeft w:val="0"/>
      <w:marRight w:val="0"/>
      <w:marTop w:val="0"/>
      <w:marBottom w:val="0"/>
      <w:divBdr>
        <w:top w:val="none" w:sz="0" w:space="0" w:color="auto"/>
        <w:left w:val="none" w:sz="0" w:space="0" w:color="auto"/>
        <w:bottom w:val="none" w:sz="0" w:space="0" w:color="auto"/>
        <w:right w:val="none" w:sz="0" w:space="0" w:color="auto"/>
      </w:divBdr>
    </w:div>
    <w:div w:id="1781728280">
      <w:bodyDiv w:val="1"/>
      <w:marLeft w:val="0"/>
      <w:marRight w:val="0"/>
      <w:marTop w:val="0"/>
      <w:marBottom w:val="0"/>
      <w:divBdr>
        <w:top w:val="none" w:sz="0" w:space="0" w:color="auto"/>
        <w:left w:val="none" w:sz="0" w:space="0" w:color="auto"/>
        <w:bottom w:val="none" w:sz="0" w:space="0" w:color="auto"/>
        <w:right w:val="none" w:sz="0" w:space="0" w:color="auto"/>
      </w:divBdr>
    </w:div>
    <w:div w:id="1784571091">
      <w:bodyDiv w:val="1"/>
      <w:marLeft w:val="0"/>
      <w:marRight w:val="0"/>
      <w:marTop w:val="0"/>
      <w:marBottom w:val="0"/>
      <w:divBdr>
        <w:top w:val="none" w:sz="0" w:space="0" w:color="auto"/>
        <w:left w:val="none" w:sz="0" w:space="0" w:color="auto"/>
        <w:bottom w:val="none" w:sz="0" w:space="0" w:color="auto"/>
        <w:right w:val="none" w:sz="0" w:space="0" w:color="auto"/>
      </w:divBdr>
    </w:div>
    <w:div w:id="1785153011">
      <w:bodyDiv w:val="1"/>
      <w:marLeft w:val="0"/>
      <w:marRight w:val="0"/>
      <w:marTop w:val="0"/>
      <w:marBottom w:val="0"/>
      <w:divBdr>
        <w:top w:val="none" w:sz="0" w:space="0" w:color="auto"/>
        <w:left w:val="none" w:sz="0" w:space="0" w:color="auto"/>
        <w:bottom w:val="none" w:sz="0" w:space="0" w:color="auto"/>
        <w:right w:val="none" w:sz="0" w:space="0" w:color="auto"/>
      </w:divBdr>
    </w:div>
    <w:div w:id="1788355506">
      <w:bodyDiv w:val="1"/>
      <w:marLeft w:val="0"/>
      <w:marRight w:val="0"/>
      <w:marTop w:val="0"/>
      <w:marBottom w:val="0"/>
      <w:divBdr>
        <w:top w:val="none" w:sz="0" w:space="0" w:color="auto"/>
        <w:left w:val="none" w:sz="0" w:space="0" w:color="auto"/>
        <w:bottom w:val="none" w:sz="0" w:space="0" w:color="auto"/>
        <w:right w:val="none" w:sz="0" w:space="0" w:color="auto"/>
      </w:divBdr>
    </w:div>
    <w:div w:id="1793354678">
      <w:bodyDiv w:val="1"/>
      <w:marLeft w:val="0"/>
      <w:marRight w:val="0"/>
      <w:marTop w:val="0"/>
      <w:marBottom w:val="0"/>
      <w:divBdr>
        <w:top w:val="none" w:sz="0" w:space="0" w:color="auto"/>
        <w:left w:val="none" w:sz="0" w:space="0" w:color="auto"/>
        <w:bottom w:val="none" w:sz="0" w:space="0" w:color="auto"/>
        <w:right w:val="none" w:sz="0" w:space="0" w:color="auto"/>
      </w:divBdr>
    </w:div>
    <w:div w:id="1794789031">
      <w:bodyDiv w:val="1"/>
      <w:marLeft w:val="0"/>
      <w:marRight w:val="0"/>
      <w:marTop w:val="0"/>
      <w:marBottom w:val="0"/>
      <w:divBdr>
        <w:top w:val="none" w:sz="0" w:space="0" w:color="auto"/>
        <w:left w:val="none" w:sz="0" w:space="0" w:color="auto"/>
        <w:bottom w:val="none" w:sz="0" w:space="0" w:color="auto"/>
        <w:right w:val="none" w:sz="0" w:space="0" w:color="auto"/>
      </w:divBdr>
    </w:div>
    <w:div w:id="1795908276">
      <w:bodyDiv w:val="1"/>
      <w:marLeft w:val="0"/>
      <w:marRight w:val="0"/>
      <w:marTop w:val="0"/>
      <w:marBottom w:val="0"/>
      <w:divBdr>
        <w:top w:val="none" w:sz="0" w:space="0" w:color="auto"/>
        <w:left w:val="none" w:sz="0" w:space="0" w:color="auto"/>
        <w:bottom w:val="none" w:sz="0" w:space="0" w:color="auto"/>
        <w:right w:val="none" w:sz="0" w:space="0" w:color="auto"/>
      </w:divBdr>
    </w:div>
    <w:div w:id="1801877726">
      <w:bodyDiv w:val="1"/>
      <w:marLeft w:val="0"/>
      <w:marRight w:val="0"/>
      <w:marTop w:val="0"/>
      <w:marBottom w:val="0"/>
      <w:divBdr>
        <w:top w:val="none" w:sz="0" w:space="0" w:color="auto"/>
        <w:left w:val="none" w:sz="0" w:space="0" w:color="auto"/>
        <w:bottom w:val="none" w:sz="0" w:space="0" w:color="auto"/>
        <w:right w:val="none" w:sz="0" w:space="0" w:color="auto"/>
      </w:divBdr>
    </w:div>
    <w:div w:id="1803427284">
      <w:bodyDiv w:val="1"/>
      <w:marLeft w:val="0"/>
      <w:marRight w:val="0"/>
      <w:marTop w:val="0"/>
      <w:marBottom w:val="0"/>
      <w:divBdr>
        <w:top w:val="none" w:sz="0" w:space="0" w:color="auto"/>
        <w:left w:val="none" w:sz="0" w:space="0" w:color="auto"/>
        <w:bottom w:val="none" w:sz="0" w:space="0" w:color="auto"/>
        <w:right w:val="none" w:sz="0" w:space="0" w:color="auto"/>
      </w:divBdr>
    </w:div>
    <w:div w:id="1816140361">
      <w:bodyDiv w:val="1"/>
      <w:marLeft w:val="0"/>
      <w:marRight w:val="0"/>
      <w:marTop w:val="0"/>
      <w:marBottom w:val="0"/>
      <w:divBdr>
        <w:top w:val="none" w:sz="0" w:space="0" w:color="auto"/>
        <w:left w:val="none" w:sz="0" w:space="0" w:color="auto"/>
        <w:bottom w:val="none" w:sz="0" w:space="0" w:color="auto"/>
        <w:right w:val="none" w:sz="0" w:space="0" w:color="auto"/>
      </w:divBdr>
    </w:div>
    <w:div w:id="1817843056">
      <w:bodyDiv w:val="1"/>
      <w:marLeft w:val="0"/>
      <w:marRight w:val="0"/>
      <w:marTop w:val="0"/>
      <w:marBottom w:val="0"/>
      <w:divBdr>
        <w:top w:val="none" w:sz="0" w:space="0" w:color="auto"/>
        <w:left w:val="none" w:sz="0" w:space="0" w:color="auto"/>
        <w:bottom w:val="none" w:sz="0" w:space="0" w:color="auto"/>
        <w:right w:val="none" w:sz="0" w:space="0" w:color="auto"/>
      </w:divBdr>
    </w:div>
    <w:div w:id="1818380649">
      <w:bodyDiv w:val="1"/>
      <w:marLeft w:val="0"/>
      <w:marRight w:val="0"/>
      <w:marTop w:val="0"/>
      <w:marBottom w:val="0"/>
      <w:divBdr>
        <w:top w:val="none" w:sz="0" w:space="0" w:color="auto"/>
        <w:left w:val="none" w:sz="0" w:space="0" w:color="auto"/>
        <w:bottom w:val="none" w:sz="0" w:space="0" w:color="auto"/>
        <w:right w:val="none" w:sz="0" w:space="0" w:color="auto"/>
      </w:divBdr>
    </w:div>
    <w:div w:id="1819762147">
      <w:bodyDiv w:val="1"/>
      <w:marLeft w:val="0"/>
      <w:marRight w:val="0"/>
      <w:marTop w:val="0"/>
      <w:marBottom w:val="0"/>
      <w:divBdr>
        <w:top w:val="none" w:sz="0" w:space="0" w:color="auto"/>
        <w:left w:val="none" w:sz="0" w:space="0" w:color="auto"/>
        <w:bottom w:val="none" w:sz="0" w:space="0" w:color="auto"/>
        <w:right w:val="none" w:sz="0" w:space="0" w:color="auto"/>
      </w:divBdr>
    </w:div>
    <w:div w:id="1821846368">
      <w:bodyDiv w:val="1"/>
      <w:marLeft w:val="0"/>
      <w:marRight w:val="0"/>
      <w:marTop w:val="0"/>
      <w:marBottom w:val="0"/>
      <w:divBdr>
        <w:top w:val="none" w:sz="0" w:space="0" w:color="auto"/>
        <w:left w:val="none" w:sz="0" w:space="0" w:color="auto"/>
        <w:bottom w:val="none" w:sz="0" w:space="0" w:color="auto"/>
        <w:right w:val="none" w:sz="0" w:space="0" w:color="auto"/>
      </w:divBdr>
    </w:div>
    <w:div w:id="1825245164">
      <w:bodyDiv w:val="1"/>
      <w:marLeft w:val="0"/>
      <w:marRight w:val="0"/>
      <w:marTop w:val="0"/>
      <w:marBottom w:val="0"/>
      <w:divBdr>
        <w:top w:val="none" w:sz="0" w:space="0" w:color="auto"/>
        <w:left w:val="none" w:sz="0" w:space="0" w:color="auto"/>
        <w:bottom w:val="none" w:sz="0" w:space="0" w:color="auto"/>
        <w:right w:val="none" w:sz="0" w:space="0" w:color="auto"/>
      </w:divBdr>
    </w:div>
    <w:div w:id="1833138149">
      <w:bodyDiv w:val="1"/>
      <w:marLeft w:val="0"/>
      <w:marRight w:val="0"/>
      <w:marTop w:val="0"/>
      <w:marBottom w:val="0"/>
      <w:divBdr>
        <w:top w:val="none" w:sz="0" w:space="0" w:color="auto"/>
        <w:left w:val="none" w:sz="0" w:space="0" w:color="auto"/>
        <w:bottom w:val="none" w:sz="0" w:space="0" w:color="auto"/>
        <w:right w:val="none" w:sz="0" w:space="0" w:color="auto"/>
      </w:divBdr>
    </w:div>
    <w:div w:id="1834298570">
      <w:bodyDiv w:val="1"/>
      <w:marLeft w:val="0"/>
      <w:marRight w:val="0"/>
      <w:marTop w:val="0"/>
      <w:marBottom w:val="0"/>
      <w:divBdr>
        <w:top w:val="none" w:sz="0" w:space="0" w:color="auto"/>
        <w:left w:val="none" w:sz="0" w:space="0" w:color="auto"/>
        <w:bottom w:val="none" w:sz="0" w:space="0" w:color="auto"/>
        <w:right w:val="none" w:sz="0" w:space="0" w:color="auto"/>
      </w:divBdr>
    </w:div>
    <w:div w:id="1835145582">
      <w:bodyDiv w:val="1"/>
      <w:marLeft w:val="0"/>
      <w:marRight w:val="0"/>
      <w:marTop w:val="0"/>
      <w:marBottom w:val="0"/>
      <w:divBdr>
        <w:top w:val="none" w:sz="0" w:space="0" w:color="auto"/>
        <w:left w:val="none" w:sz="0" w:space="0" w:color="auto"/>
        <w:bottom w:val="none" w:sz="0" w:space="0" w:color="auto"/>
        <w:right w:val="none" w:sz="0" w:space="0" w:color="auto"/>
      </w:divBdr>
    </w:div>
    <w:div w:id="1835995324">
      <w:bodyDiv w:val="1"/>
      <w:marLeft w:val="0"/>
      <w:marRight w:val="0"/>
      <w:marTop w:val="0"/>
      <w:marBottom w:val="0"/>
      <w:divBdr>
        <w:top w:val="none" w:sz="0" w:space="0" w:color="auto"/>
        <w:left w:val="none" w:sz="0" w:space="0" w:color="auto"/>
        <w:bottom w:val="none" w:sz="0" w:space="0" w:color="auto"/>
        <w:right w:val="none" w:sz="0" w:space="0" w:color="auto"/>
      </w:divBdr>
    </w:div>
    <w:div w:id="1836339302">
      <w:bodyDiv w:val="1"/>
      <w:marLeft w:val="0"/>
      <w:marRight w:val="0"/>
      <w:marTop w:val="0"/>
      <w:marBottom w:val="0"/>
      <w:divBdr>
        <w:top w:val="none" w:sz="0" w:space="0" w:color="auto"/>
        <w:left w:val="none" w:sz="0" w:space="0" w:color="auto"/>
        <w:bottom w:val="none" w:sz="0" w:space="0" w:color="auto"/>
        <w:right w:val="none" w:sz="0" w:space="0" w:color="auto"/>
      </w:divBdr>
    </w:div>
    <w:div w:id="1845900922">
      <w:bodyDiv w:val="1"/>
      <w:marLeft w:val="0"/>
      <w:marRight w:val="0"/>
      <w:marTop w:val="0"/>
      <w:marBottom w:val="0"/>
      <w:divBdr>
        <w:top w:val="none" w:sz="0" w:space="0" w:color="auto"/>
        <w:left w:val="none" w:sz="0" w:space="0" w:color="auto"/>
        <w:bottom w:val="none" w:sz="0" w:space="0" w:color="auto"/>
        <w:right w:val="none" w:sz="0" w:space="0" w:color="auto"/>
      </w:divBdr>
    </w:div>
    <w:div w:id="1848445758">
      <w:bodyDiv w:val="1"/>
      <w:marLeft w:val="0"/>
      <w:marRight w:val="0"/>
      <w:marTop w:val="0"/>
      <w:marBottom w:val="0"/>
      <w:divBdr>
        <w:top w:val="none" w:sz="0" w:space="0" w:color="auto"/>
        <w:left w:val="none" w:sz="0" w:space="0" w:color="auto"/>
        <w:bottom w:val="none" w:sz="0" w:space="0" w:color="auto"/>
        <w:right w:val="none" w:sz="0" w:space="0" w:color="auto"/>
      </w:divBdr>
    </w:div>
    <w:div w:id="1853913680">
      <w:bodyDiv w:val="1"/>
      <w:marLeft w:val="0"/>
      <w:marRight w:val="0"/>
      <w:marTop w:val="0"/>
      <w:marBottom w:val="0"/>
      <w:divBdr>
        <w:top w:val="none" w:sz="0" w:space="0" w:color="auto"/>
        <w:left w:val="none" w:sz="0" w:space="0" w:color="auto"/>
        <w:bottom w:val="none" w:sz="0" w:space="0" w:color="auto"/>
        <w:right w:val="none" w:sz="0" w:space="0" w:color="auto"/>
      </w:divBdr>
    </w:div>
    <w:div w:id="1860461485">
      <w:bodyDiv w:val="1"/>
      <w:marLeft w:val="0"/>
      <w:marRight w:val="0"/>
      <w:marTop w:val="0"/>
      <w:marBottom w:val="0"/>
      <w:divBdr>
        <w:top w:val="none" w:sz="0" w:space="0" w:color="auto"/>
        <w:left w:val="none" w:sz="0" w:space="0" w:color="auto"/>
        <w:bottom w:val="none" w:sz="0" w:space="0" w:color="auto"/>
        <w:right w:val="none" w:sz="0" w:space="0" w:color="auto"/>
      </w:divBdr>
    </w:div>
    <w:div w:id="1869640036">
      <w:bodyDiv w:val="1"/>
      <w:marLeft w:val="0"/>
      <w:marRight w:val="0"/>
      <w:marTop w:val="0"/>
      <w:marBottom w:val="0"/>
      <w:divBdr>
        <w:top w:val="none" w:sz="0" w:space="0" w:color="auto"/>
        <w:left w:val="none" w:sz="0" w:space="0" w:color="auto"/>
        <w:bottom w:val="none" w:sz="0" w:space="0" w:color="auto"/>
        <w:right w:val="none" w:sz="0" w:space="0" w:color="auto"/>
      </w:divBdr>
    </w:div>
    <w:div w:id="1877811299">
      <w:bodyDiv w:val="1"/>
      <w:marLeft w:val="0"/>
      <w:marRight w:val="0"/>
      <w:marTop w:val="0"/>
      <w:marBottom w:val="0"/>
      <w:divBdr>
        <w:top w:val="none" w:sz="0" w:space="0" w:color="auto"/>
        <w:left w:val="none" w:sz="0" w:space="0" w:color="auto"/>
        <w:bottom w:val="none" w:sz="0" w:space="0" w:color="auto"/>
        <w:right w:val="none" w:sz="0" w:space="0" w:color="auto"/>
      </w:divBdr>
    </w:div>
    <w:div w:id="1884050540">
      <w:bodyDiv w:val="1"/>
      <w:marLeft w:val="0"/>
      <w:marRight w:val="0"/>
      <w:marTop w:val="0"/>
      <w:marBottom w:val="0"/>
      <w:divBdr>
        <w:top w:val="none" w:sz="0" w:space="0" w:color="auto"/>
        <w:left w:val="none" w:sz="0" w:space="0" w:color="auto"/>
        <w:bottom w:val="none" w:sz="0" w:space="0" w:color="auto"/>
        <w:right w:val="none" w:sz="0" w:space="0" w:color="auto"/>
      </w:divBdr>
    </w:div>
    <w:div w:id="1899514038">
      <w:marLeft w:val="0"/>
      <w:marRight w:val="0"/>
      <w:marTop w:val="0"/>
      <w:marBottom w:val="0"/>
      <w:divBdr>
        <w:top w:val="none" w:sz="0" w:space="0" w:color="auto"/>
        <w:left w:val="none" w:sz="0" w:space="0" w:color="auto"/>
        <w:bottom w:val="none" w:sz="0" w:space="0" w:color="auto"/>
        <w:right w:val="none" w:sz="0" w:space="0" w:color="auto"/>
      </w:divBdr>
      <w:divsChild>
        <w:div w:id="425269606">
          <w:marLeft w:val="0"/>
          <w:marRight w:val="0"/>
          <w:marTop w:val="0"/>
          <w:marBottom w:val="0"/>
          <w:divBdr>
            <w:top w:val="none" w:sz="0" w:space="0" w:color="auto"/>
            <w:left w:val="none" w:sz="0" w:space="0" w:color="auto"/>
            <w:bottom w:val="none" w:sz="0" w:space="0" w:color="auto"/>
            <w:right w:val="none" w:sz="0" w:space="0" w:color="auto"/>
          </w:divBdr>
        </w:div>
      </w:divsChild>
    </w:div>
    <w:div w:id="1900093507">
      <w:bodyDiv w:val="1"/>
      <w:marLeft w:val="0"/>
      <w:marRight w:val="0"/>
      <w:marTop w:val="0"/>
      <w:marBottom w:val="0"/>
      <w:divBdr>
        <w:top w:val="none" w:sz="0" w:space="0" w:color="auto"/>
        <w:left w:val="none" w:sz="0" w:space="0" w:color="auto"/>
        <w:bottom w:val="none" w:sz="0" w:space="0" w:color="auto"/>
        <w:right w:val="none" w:sz="0" w:space="0" w:color="auto"/>
      </w:divBdr>
    </w:div>
    <w:div w:id="1907259178">
      <w:bodyDiv w:val="1"/>
      <w:marLeft w:val="0"/>
      <w:marRight w:val="0"/>
      <w:marTop w:val="0"/>
      <w:marBottom w:val="0"/>
      <w:divBdr>
        <w:top w:val="none" w:sz="0" w:space="0" w:color="auto"/>
        <w:left w:val="none" w:sz="0" w:space="0" w:color="auto"/>
        <w:bottom w:val="none" w:sz="0" w:space="0" w:color="auto"/>
        <w:right w:val="none" w:sz="0" w:space="0" w:color="auto"/>
      </w:divBdr>
    </w:div>
    <w:div w:id="1913005745">
      <w:bodyDiv w:val="1"/>
      <w:marLeft w:val="0"/>
      <w:marRight w:val="0"/>
      <w:marTop w:val="0"/>
      <w:marBottom w:val="0"/>
      <w:divBdr>
        <w:top w:val="none" w:sz="0" w:space="0" w:color="auto"/>
        <w:left w:val="none" w:sz="0" w:space="0" w:color="auto"/>
        <w:bottom w:val="none" w:sz="0" w:space="0" w:color="auto"/>
        <w:right w:val="none" w:sz="0" w:space="0" w:color="auto"/>
      </w:divBdr>
    </w:div>
    <w:div w:id="1915433120">
      <w:bodyDiv w:val="1"/>
      <w:marLeft w:val="0"/>
      <w:marRight w:val="0"/>
      <w:marTop w:val="0"/>
      <w:marBottom w:val="0"/>
      <w:divBdr>
        <w:top w:val="none" w:sz="0" w:space="0" w:color="auto"/>
        <w:left w:val="none" w:sz="0" w:space="0" w:color="auto"/>
        <w:bottom w:val="none" w:sz="0" w:space="0" w:color="auto"/>
        <w:right w:val="none" w:sz="0" w:space="0" w:color="auto"/>
      </w:divBdr>
    </w:div>
    <w:div w:id="1918052759">
      <w:bodyDiv w:val="1"/>
      <w:marLeft w:val="0"/>
      <w:marRight w:val="0"/>
      <w:marTop w:val="0"/>
      <w:marBottom w:val="0"/>
      <w:divBdr>
        <w:top w:val="none" w:sz="0" w:space="0" w:color="auto"/>
        <w:left w:val="none" w:sz="0" w:space="0" w:color="auto"/>
        <w:bottom w:val="none" w:sz="0" w:space="0" w:color="auto"/>
        <w:right w:val="none" w:sz="0" w:space="0" w:color="auto"/>
      </w:divBdr>
    </w:div>
    <w:div w:id="1919363754">
      <w:bodyDiv w:val="1"/>
      <w:marLeft w:val="0"/>
      <w:marRight w:val="0"/>
      <w:marTop w:val="0"/>
      <w:marBottom w:val="0"/>
      <w:divBdr>
        <w:top w:val="none" w:sz="0" w:space="0" w:color="auto"/>
        <w:left w:val="none" w:sz="0" w:space="0" w:color="auto"/>
        <w:bottom w:val="none" w:sz="0" w:space="0" w:color="auto"/>
        <w:right w:val="none" w:sz="0" w:space="0" w:color="auto"/>
      </w:divBdr>
    </w:div>
    <w:div w:id="1919512049">
      <w:bodyDiv w:val="1"/>
      <w:marLeft w:val="0"/>
      <w:marRight w:val="0"/>
      <w:marTop w:val="0"/>
      <w:marBottom w:val="0"/>
      <w:divBdr>
        <w:top w:val="none" w:sz="0" w:space="0" w:color="auto"/>
        <w:left w:val="none" w:sz="0" w:space="0" w:color="auto"/>
        <w:bottom w:val="none" w:sz="0" w:space="0" w:color="auto"/>
        <w:right w:val="none" w:sz="0" w:space="0" w:color="auto"/>
      </w:divBdr>
    </w:div>
    <w:div w:id="1919560563">
      <w:bodyDiv w:val="1"/>
      <w:marLeft w:val="0"/>
      <w:marRight w:val="0"/>
      <w:marTop w:val="0"/>
      <w:marBottom w:val="0"/>
      <w:divBdr>
        <w:top w:val="none" w:sz="0" w:space="0" w:color="auto"/>
        <w:left w:val="none" w:sz="0" w:space="0" w:color="auto"/>
        <w:bottom w:val="none" w:sz="0" w:space="0" w:color="auto"/>
        <w:right w:val="none" w:sz="0" w:space="0" w:color="auto"/>
      </w:divBdr>
    </w:div>
    <w:div w:id="1920601547">
      <w:bodyDiv w:val="1"/>
      <w:marLeft w:val="0"/>
      <w:marRight w:val="0"/>
      <w:marTop w:val="0"/>
      <w:marBottom w:val="0"/>
      <w:divBdr>
        <w:top w:val="none" w:sz="0" w:space="0" w:color="auto"/>
        <w:left w:val="none" w:sz="0" w:space="0" w:color="auto"/>
        <w:bottom w:val="none" w:sz="0" w:space="0" w:color="auto"/>
        <w:right w:val="none" w:sz="0" w:space="0" w:color="auto"/>
      </w:divBdr>
    </w:div>
    <w:div w:id="1921985643">
      <w:bodyDiv w:val="1"/>
      <w:marLeft w:val="0"/>
      <w:marRight w:val="0"/>
      <w:marTop w:val="0"/>
      <w:marBottom w:val="0"/>
      <w:divBdr>
        <w:top w:val="none" w:sz="0" w:space="0" w:color="auto"/>
        <w:left w:val="none" w:sz="0" w:space="0" w:color="auto"/>
        <w:bottom w:val="none" w:sz="0" w:space="0" w:color="auto"/>
        <w:right w:val="none" w:sz="0" w:space="0" w:color="auto"/>
      </w:divBdr>
    </w:div>
    <w:div w:id="1932160666">
      <w:bodyDiv w:val="1"/>
      <w:marLeft w:val="0"/>
      <w:marRight w:val="0"/>
      <w:marTop w:val="0"/>
      <w:marBottom w:val="0"/>
      <w:divBdr>
        <w:top w:val="none" w:sz="0" w:space="0" w:color="auto"/>
        <w:left w:val="none" w:sz="0" w:space="0" w:color="auto"/>
        <w:bottom w:val="none" w:sz="0" w:space="0" w:color="auto"/>
        <w:right w:val="none" w:sz="0" w:space="0" w:color="auto"/>
      </w:divBdr>
    </w:div>
    <w:div w:id="1934047884">
      <w:bodyDiv w:val="1"/>
      <w:marLeft w:val="0"/>
      <w:marRight w:val="0"/>
      <w:marTop w:val="0"/>
      <w:marBottom w:val="0"/>
      <w:divBdr>
        <w:top w:val="none" w:sz="0" w:space="0" w:color="auto"/>
        <w:left w:val="none" w:sz="0" w:space="0" w:color="auto"/>
        <w:bottom w:val="none" w:sz="0" w:space="0" w:color="auto"/>
        <w:right w:val="none" w:sz="0" w:space="0" w:color="auto"/>
      </w:divBdr>
    </w:div>
    <w:div w:id="1936084856">
      <w:bodyDiv w:val="1"/>
      <w:marLeft w:val="0"/>
      <w:marRight w:val="0"/>
      <w:marTop w:val="0"/>
      <w:marBottom w:val="0"/>
      <w:divBdr>
        <w:top w:val="none" w:sz="0" w:space="0" w:color="auto"/>
        <w:left w:val="none" w:sz="0" w:space="0" w:color="auto"/>
        <w:bottom w:val="none" w:sz="0" w:space="0" w:color="auto"/>
        <w:right w:val="none" w:sz="0" w:space="0" w:color="auto"/>
      </w:divBdr>
    </w:div>
    <w:div w:id="1939018832">
      <w:bodyDiv w:val="1"/>
      <w:marLeft w:val="0"/>
      <w:marRight w:val="0"/>
      <w:marTop w:val="0"/>
      <w:marBottom w:val="0"/>
      <w:divBdr>
        <w:top w:val="none" w:sz="0" w:space="0" w:color="auto"/>
        <w:left w:val="none" w:sz="0" w:space="0" w:color="auto"/>
        <w:bottom w:val="none" w:sz="0" w:space="0" w:color="auto"/>
        <w:right w:val="none" w:sz="0" w:space="0" w:color="auto"/>
      </w:divBdr>
    </w:div>
    <w:div w:id="1946501574">
      <w:bodyDiv w:val="1"/>
      <w:marLeft w:val="0"/>
      <w:marRight w:val="0"/>
      <w:marTop w:val="0"/>
      <w:marBottom w:val="0"/>
      <w:divBdr>
        <w:top w:val="none" w:sz="0" w:space="0" w:color="auto"/>
        <w:left w:val="none" w:sz="0" w:space="0" w:color="auto"/>
        <w:bottom w:val="none" w:sz="0" w:space="0" w:color="auto"/>
        <w:right w:val="none" w:sz="0" w:space="0" w:color="auto"/>
      </w:divBdr>
    </w:div>
    <w:div w:id="1954090788">
      <w:bodyDiv w:val="1"/>
      <w:marLeft w:val="0"/>
      <w:marRight w:val="0"/>
      <w:marTop w:val="0"/>
      <w:marBottom w:val="0"/>
      <w:divBdr>
        <w:top w:val="none" w:sz="0" w:space="0" w:color="auto"/>
        <w:left w:val="none" w:sz="0" w:space="0" w:color="auto"/>
        <w:bottom w:val="none" w:sz="0" w:space="0" w:color="auto"/>
        <w:right w:val="none" w:sz="0" w:space="0" w:color="auto"/>
      </w:divBdr>
    </w:div>
    <w:div w:id="1957909667">
      <w:bodyDiv w:val="1"/>
      <w:marLeft w:val="0"/>
      <w:marRight w:val="0"/>
      <w:marTop w:val="0"/>
      <w:marBottom w:val="0"/>
      <w:divBdr>
        <w:top w:val="none" w:sz="0" w:space="0" w:color="auto"/>
        <w:left w:val="none" w:sz="0" w:space="0" w:color="auto"/>
        <w:bottom w:val="none" w:sz="0" w:space="0" w:color="auto"/>
        <w:right w:val="none" w:sz="0" w:space="0" w:color="auto"/>
      </w:divBdr>
    </w:div>
    <w:div w:id="1959753965">
      <w:bodyDiv w:val="1"/>
      <w:marLeft w:val="0"/>
      <w:marRight w:val="0"/>
      <w:marTop w:val="0"/>
      <w:marBottom w:val="0"/>
      <w:divBdr>
        <w:top w:val="none" w:sz="0" w:space="0" w:color="auto"/>
        <w:left w:val="none" w:sz="0" w:space="0" w:color="auto"/>
        <w:bottom w:val="none" w:sz="0" w:space="0" w:color="auto"/>
        <w:right w:val="none" w:sz="0" w:space="0" w:color="auto"/>
      </w:divBdr>
    </w:div>
    <w:div w:id="1962026768">
      <w:bodyDiv w:val="1"/>
      <w:marLeft w:val="0"/>
      <w:marRight w:val="0"/>
      <w:marTop w:val="0"/>
      <w:marBottom w:val="0"/>
      <w:divBdr>
        <w:top w:val="none" w:sz="0" w:space="0" w:color="auto"/>
        <w:left w:val="none" w:sz="0" w:space="0" w:color="auto"/>
        <w:bottom w:val="none" w:sz="0" w:space="0" w:color="auto"/>
        <w:right w:val="none" w:sz="0" w:space="0" w:color="auto"/>
      </w:divBdr>
    </w:div>
    <w:div w:id="1964577016">
      <w:bodyDiv w:val="1"/>
      <w:marLeft w:val="0"/>
      <w:marRight w:val="0"/>
      <w:marTop w:val="0"/>
      <w:marBottom w:val="0"/>
      <w:divBdr>
        <w:top w:val="none" w:sz="0" w:space="0" w:color="auto"/>
        <w:left w:val="none" w:sz="0" w:space="0" w:color="auto"/>
        <w:bottom w:val="none" w:sz="0" w:space="0" w:color="auto"/>
        <w:right w:val="none" w:sz="0" w:space="0" w:color="auto"/>
      </w:divBdr>
    </w:div>
    <w:div w:id="1966809055">
      <w:bodyDiv w:val="1"/>
      <w:marLeft w:val="0"/>
      <w:marRight w:val="0"/>
      <w:marTop w:val="0"/>
      <w:marBottom w:val="0"/>
      <w:divBdr>
        <w:top w:val="none" w:sz="0" w:space="0" w:color="auto"/>
        <w:left w:val="none" w:sz="0" w:space="0" w:color="auto"/>
        <w:bottom w:val="none" w:sz="0" w:space="0" w:color="auto"/>
        <w:right w:val="none" w:sz="0" w:space="0" w:color="auto"/>
      </w:divBdr>
    </w:div>
    <w:div w:id="1972897972">
      <w:bodyDiv w:val="1"/>
      <w:marLeft w:val="0"/>
      <w:marRight w:val="0"/>
      <w:marTop w:val="0"/>
      <w:marBottom w:val="0"/>
      <w:divBdr>
        <w:top w:val="none" w:sz="0" w:space="0" w:color="auto"/>
        <w:left w:val="none" w:sz="0" w:space="0" w:color="auto"/>
        <w:bottom w:val="none" w:sz="0" w:space="0" w:color="auto"/>
        <w:right w:val="none" w:sz="0" w:space="0" w:color="auto"/>
      </w:divBdr>
    </w:div>
    <w:div w:id="1976912332">
      <w:bodyDiv w:val="1"/>
      <w:marLeft w:val="0"/>
      <w:marRight w:val="0"/>
      <w:marTop w:val="0"/>
      <w:marBottom w:val="0"/>
      <w:divBdr>
        <w:top w:val="none" w:sz="0" w:space="0" w:color="auto"/>
        <w:left w:val="none" w:sz="0" w:space="0" w:color="auto"/>
        <w:bottom w:val="none" w:sz="0" w:space="0" w:color="auto"/>
        <w:right w:val="none" w:sz="0" w:space="0" w:color="auto"/>
      </w:divBdr>
    </w:div>
    <w:div w:id="1982536788">
      <w:bodyDiv w:val="1"/>
      <w:marLeft w:val="0"/>
      <w:marRight w:val="0"/>
      <w:marTop w:val="0"/>
      <w:marBottom w:val="0"/>
      <w:divBdr>
        <w:top w:val="none" w:sz="0" w:space="0" w:color="auto"/>
        <w:left w:val="none" w:sz="0" w:space="0" w:color="auto"/>
        <w:bottom w:val="none" w:sz="0" w:space="0" w:color="auto"/>
        <w:right w:val="none" w:sz="0" w:space="0" w:color="auto"/>
      </w:divBdr>
    </w:div>
    <w:div w:id="1989433127">
      <w:bodyDiv w:val="1"/>
      <w:marLeft w:val="0"/>
      <w:marRight w:val="0"/>
      <w:marTop w:val="0"/>
      <w:marBottom w:val="0"/>
      <w:divBdr>
        <w:top w:val="none" w:sz="0" w:space="0" w:color="auto"/>
        <w:left w:val="none" w:sz="0" w:space="0" w:color="auto"/>
        <w:bottom w:val="none" w:sz="0" w:space="0" w:color="auto"/>
        <w:right w:val="none" w:sz="0" w:space="0" w:color="auto"/>
      </w:divBdr>
    </w:div>
    <w:div w:id="2001618976">
      <w:bodyDiv w:val="1"/>
      <w:marLeft w:val="0"/>
      <w:marRight w:val="0"/>
      <w:marTop w:val="0"/>
      <w:marBottom w:val="0"/>
      <w:divBdr>
        <w:top w:val="none" w:sz="0" w:space="0" w:color="auto"/>
        <w:left w:val="none" w:sz="0" w:space="0" w:color="auto"/>
        <w:bottom w:val="none" w:sz="0" w:space="0" w:color="auto"/>
        <w:right w:val="none" w:sz="0" w:space="0" w:color="auto"/>
      </w:divBdr>
    </w:div>
    <w:div w:id="2009821961">
      <w:bodyDiv w:val="1"/>
      <w:marLeft w:val="0"/>
      <w:marRight w:val="0"/>
      <w:marTop w:val="0"/>
      <w:marBottom w:val="0"/>
      <w:divBdr>
        <w:top w:val="none" w:sz="0" w:space="0" w:color="auto"/>
        <w:left w:val="none" w:sz="0" w:space="0" w:color="auto"/>
        <w:bottom w:val="none" w:sz="0" w:space="0" w:color="auto"/>
        <w:right w:val="none" w:sz="0" w:space="0" w:color="auto"/>
      </w:divBdr>
    </w:div>
    <w:div w:id="2015496645">
      <w:marLeft w:val="0"/>
      <w:marRight w:val="0"/>
      <w:marTop w:val="0"/>
      <w:marBottom w:val="0"/>
      <w:divBdr>
        <w:top w:val="none" w:sz="0" w:space="0" w:color="auto"/>
        <w:left w:val="none" w:sz="0" w:space="0" w:color="auto"/>
        <w:bottom w:val="none" w:sz="0" w:space="0" w:color="auto"/>
        <w:right w:val="none" w:sz="0" w:space="0" w:color="auto"/>
      </w:divBdr>
      <w:divsChild>
        <w:div w:id="1707951092">
          <w:marLeft w:val="0"/>
          <w:marRight w:val="0"/>
          <w:marTop w:val="0"/>
          <w:marBottom w:val="0"/>
          <w:divBdr>
            <w:top w:val="none" w:sz="0" w:space="0" w:color="auto"/>
            <w:left w:val="none" w:sz="0" w:space="0" w:color="auto"/>
            <w:bottom w:val="none" w:sz="0" w:space="0" w:color="auto"/>
            <w:right w:val="none" w:sz="0" w:space="0" w:color="auto"/>
          </w:divBdr>
        </w:div>
      </w:divsChild>
    </w:div>
    <w:div w:id="2023625678">
      <w:bodyDiv w:val="1"/>
      <w:marLeft w:val="0"/>
      <w:marRight w:val="0"/>
      <w:marTop w:val="0"/>
      <w:marBottom w:val="0"/>
      <w:divBdr>
        <w:top w:val="none" w:sz="0" w:space="0" w:color="auto"/>
        <w:left w:val="none" w:sz="0" w:space="0" w:color="auto"/>
        <w:bottom w:val="none" w:sz="0" w:space="0" w:color="auto"/>
        <w:right w:val="none" w:sz="0" w:space="0" w:color="auto"/>
      </w:divBdr>
    </w:div>
    <w:div w:id="2032753200">
      <w:bodyDiv w:val="1"/>
      <w:marLeft w:val="0"/>
      <w:marRight w:val="0"/>
      <w:marTop w:val="0"/>
      <w:marBottom w:val="0"/>
      <w:divBdr>
        <w:top w:val="none" w:sz="0" w:space="0" w:color="auto"/>
        <w:left w:val="none" w:sz="0" w:space="0" w:color="auto"/>
        <w:bottom w:val="none" w:sz="0" w:space="0" w:color="auto"/>
        <w:right w:val="none" w:sz="0" w:space="0" w:color="auto"/>
      </w:divBdr>
      <w:divsChild>
        <w:div w:id="1405058874">
          <w:marLeft w:val="0"/>
          <w:marRight w:val="0"/>
          <w:marTop w:val="0"/>
          <w:marBottom w:val="0"/>
          <w:divBdr>
            <w:top w:val="none" w:sz="0" w:space="0" w:color="auto"/>
            <w:left w:val="none" w:sz="0" w:space="0" w:color="auto"/>
            <w:bottom w:val="none" w:sz="0" w:space="0" w:color="auto"/>
            <w:right w:val="none" w:sz="0" w:space="0" w:color="auto"/>
          </w:divBdr>
          <w:divsChild>
            <w:div w:id="13559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1893">
      <w:bodyDiv w:val="1"/>
      <w:marLeft w:val="0"/>
      <w:marRight w:val="0"/>
      <w:marTop w:val="0"/>
      <w:marBottom w:val="0"/>
      <w:divBdr>
        <w:top w:val="none" w:sz="0" w:space="0" w:color="auto"/>
        <w:left w:val="none" w:sz="0" w:space="0" w:color="auto"/>
        <w:bottom w:val="none" w:sz="0" w:space="0" w:color="auto"/>
        <w:right w:val="none" w:sz="0" w:space="0" w:color="auto"/>
      </w:divBdr>
    </w:div>
    <w:div w:id="2039700564">
      <w:bodyDiv w:val="1"/>
      <w:marLeft w:val="0"/>
      <w:marRight w:val="0"/>
      <w:marTop w:val="0"/>
      <w:marBottom w:val="0"/>
      <w:divBdr>
        <w:top w:val="none" w:sz="0" w:space="0" w:color="auto"/>
        <w:left w:val="none" w:sz="0" w:space="0" w:color="auto"/>
        <w:bottom w:val="none" w:sz="0" w:space="0" w:color="auto"/>
        <w:right w:val="none" w:sz="0" w:space="0" w:color="auto"/>
      </w:divBdr>
    </w:div>
    <w:div w:id="2040159477">
      <w:marLeft w:val="0"/>
      <w:marRight w:val="0"/>
      <w:marTop w:val="0"/>
      <w:marBottom w:val="0"/>
      <w:divBdr>
        <w:top w:val="none" w:sz="0" w:space="0" w:color="auto"/>
        <w:left w:val="none" w:sz="0" w:space="0" w:color="auto"/>
        <w:bottom w:val="none" w:sz="0" w:space="0" w:color="auto"/>
        <w:right w:val="none" w:sz="0" w:space="0" w:color="auto"/>
      </w:divBdr>
      <w:divsChild>
        <w:div w:id="684014793">
          <w:marLeft w:val="0"/>
          <w:marRight w:val="0"/>
          <w:marTop w:val="0"/>
          <w:marBottom w:val="0"/>
          <w:divBdr>
            <w:top w:val="none" w:sz="0" w:space="0" w:color="auto"/>
            <w:left w:val="none" w:sz="0" w:space="0" w:color="auto"/>
            <w:bottom w:val="none" w:sz="0" w:space="0" w:color="auto"/>
            <w:right w:val="none" w:sz="0" w:space="0" w:color="auto"/>
          </w:divBdr>
        </w:div>
      </w:divsChild>
    </w:div>
    <w:div w:id="2048141044">
      <w:bodyDiv w:val="1"/>
      <w:marLeft w:val="0"/>
      <w:marRight w:val="0"/>
      <w:marTop w:val="0"/>
      <w:marBottom w:val="0"/>
      <w:divBdr>
        <w:top w:val="none" w:sz="0" w:space="0" w:color="auto"/>
        <w:left w:val="none" w:sz="0" w:space="0" w:color="auto"/>
        <w:bottom w:val="none" w:sz="0" w:space="0" w:color="auto"/>
        <w:right w:val="none" w:sz="0" w:space="0" w:color="auto"/>
      </w:divBdr>
    </w:div>
    <w:div w:id="2048218680">
      <w:bodyDiv w:val="1"/>
      <w:marLeft w:val="0"/>
      <w:marRight w:val="0"/>
      <w:marTop w:val="0"/>
      <w:marBottom w:val="0"/>
      <w:divBdr>
        <w:top w:val="none" w:sz="0" w:space="0" w:color="auto"/>
        <w:left w:val="none" w:sz="0" w:space="0" w:color="auto"/>
        <w:bottom w:val="none" w:sz="0" w:space="0" w:color="auto"/>
        <w:right w:val="none" w:sz="0" w:space="0" w:color="auto"/>
      </w:divBdr>
    </w:div>
    <w:div w:id="2052000701">
      <w:bodyDiv w:val="1"/>
      <w:marLeft w:val="0"/>
      <w:marRight w:val="0"/>
      <w:marTop w:val="0"/>
      <w:marBottom w:val="0"/>
      <w:divBdr>
        <w:top w:val="none" w:sz="0" w:space="0" w:color="auto"/>
        <w:left w:val="none" w:sz="0" w:space="0" w:color="auto"/>
        <w:bottom w:val="none" w:sz="0" w:space="0" w:color="auto"/>
        <w:right w:val="none" w:sz="0" w:space="0" w:color="auto"/>
      </w:divBdr>
    </w:div>
    <w:div w:id="2056663145">
      <w:bodyDiv w:val="1"/>
      <w:marLeft w:val="0"/>
      <w:marRight w:val="0"/>
      <w:marTop w:val="0"/>
      <w:marBottom w:val="0"/>
      <w:divBdr>
        <w:top w:val="none" w:sz="0" w:space="0" w:color="auto"/>
        <w:left w:val="none" w:sz="0" w:space="0" w:color="auto"/>
        <w:bottom w:val="none" w:sz="0" w:space="0" w:color="auto"/>
        <w:right w:val="none" w:sz="0" w:space="0" w:color="auto"/>
      </w:divBdr>
    </w:div>
    <w:div w:id="2058040242">
      <w:bodyDiv w:val="1"/>
      <w:marLeft w:val="0"/>
      <w:marRight w:val="0"/>
      <w:marTop w:val="0"/>
      <w:marBottom w:val="0"/>
      <w:divBdr>
        <w:top w:val="none" w:sz="0" w:space="0" w:color="auto"/>
        <w:left w:val="none" w:sz="0" w:space="0" w:color="auto"/>
        <w:bottom w:val="none" w:sz="0" w:space="0" w:color="auto"/>
        <w:right w:val="none" w:sz="0" w:space="0" w:color="auto"/>
      </w:divBdr>
    </w:div>
    <w:div w:id="2070028436">
      <w:bodyDiv w:val="1"/>
      <w:marLeft w:val="0"/>
      <w:marRight w:val="0"/>
      <w:marTop w:val="0"/>
      <w:marBottom w:val="0"/>
      <w:divBdr>
        <w:top w:val="none" w:sz="0" w:space="0" w:color="auto"/>
        <w:left w:val="none" w:sz="0" w:space="0" w:color="auto"/>
        <w:bottom w:val="none" w:sz="0" w:space="0" w:color="auto"/>
        <w:right w:val="none" w:sz="0" w:space="0" w:color="auto"/>
      </w:divBdr>
    </w:div>
    <w:div w:id="2072194661">
      <w:bodyDiv w:val="1"/>
      <w:marLeft w:val="0"/>
      <w:marRight w:val="0"/>
      <w:marTop w:val="0"/>
      <w:marBottom w:val="0"/>
      <w:divBdr>
        <w:top w:val="none" w:sz="0" w:space="0" w:color="auto"/>
        <w:left w:val="none" w:sz="0" w:space="0" w:color="auto"/>
        <w:bottom w:val="none" w:sz="0" w:space="0" w:color="auto"/>
        <w:right w:val="none" w:sz="0" w:space="0" w:color="auto"/>
      </w:divBdr>
    </w:div>
    <w:div w:id="2074815721">
      <w:bodyDiv w:val="1"/>
      <w:marLeft w:val="0"/>
      <w:marRight w:val="0"/>
      <w:marTop w:val="0"/>
      <w:marBottom w:val="0"/>
      <w:divBdr>
        <w:top w:val="none" w:sz="0" w:space="0" w:color="auto"/>
        <w:left w:val="none" w:sz="0" w:space="0" w:color="auto"/>
        <w:bottom w:val="none" w:sz="0" w:space="0" w:color="auto"/>
        <w:right w:val="none" w:sz="0" w:space="0" w:color="auto"/>
      </w:divBdr>
    </w:div>
    <w:div w:id="2075616354">
      <w:bodyDiv w:val="1"/>
      <w:marLeft w:val="0"/>
      <w:marRight w:val="0"/>
      <w:marTop w:val="0"/>
      <w:marBottom w:val="0"/>
      <w:divBdr>
        <w:top w:val="none" w:sz="0" w:space="0" w:color="auto"/>
        <w:left w:val="none" w:sz="0" w:space="0" w:color="auto"/>
        <w:bottom w:val="none" w:sz="0" w:space="0" w:color="auto"/>
        <w:right w:val="none" w:sz="0" w:space="0" w:color="auto"/>
      </w:divBdr>
    </w:div>
    <w:div w:id="2090806543">
      <w:bodyDiv w:val="1"/>
      <w:marLeft w:val="0"/>
      <w:marRight w:val="0"/>
      <w:marTop w:val="0"/>
      <w:marBottom w:val="0"/>
      <w:divBdr>
        <w:top w:val="none" w:sz="0" w:space="0" w:color="auto"/>
        <w:left w:val="none" w:sz="0" w:space="0" w:color="auto"/>
        <w:bottom w:val="none" w:sz="0" w:space="0" w:color="auto"/>
        <w:right w:val="none" w:sz="0" w:space="0" w:color="auto"/>
      </w:divBdr>
    </w:div>
    <w:div w:id="2092311518">
      <w:bodyDiv w:val="1"/>
      <w:marLeft w:val="0"/>
      <w:marRight w:val="0"/>
      <w:marTop w:val="0"/>
      <w:marBottom w:val="0"/>
      <w:divBdr>
        <w:top w:val="none" w:sz="0" w:space="0" w:color="auto"/>
        <w:left w:val="none" w:sz="0" w:space="0" w:color="auto"/>
        <w:bottom w:val="none" w:sz="0" w:space="0" w:color="auto"/>
        <w:right w:val="none" w:sz="0" w:space="0" w:color="auto"/>
      </w:divBdr>
    </w:div>
    <w:div w:id="2104570217">
      <w:bodyDiv w:val="1"/>
      <w:marLeft w:val="0"/>
      <w:marRight w:val="0"/>
      <w:marTop w:val="0"/>
      <w:marBottom w:val="0"/>
      <w:divBdr>
        <w:top w:val="none" w:sz="0" w:space="0" w:color="auto"/>
        <w:left w:val="none" w:sz="0" w:space="0" w:color="auto"/>
        <w:bottom w:val="none" w:sz="0" w:space="0" w:color="auto"/>
        <w:right w:val="none" w:sz="0" w:space="0" w:color="auto"/>
      </w:divBdr>
    </w:div>
    <w:div w:id="2108848992">
      <w:bodyDiv w:val="1"/>
      <w:marLeft w:val="0"/>
      <w:marRight w:val="0"/>
      <w:marTop w:val="0"/>
      <w:marBottom w:val="0"/>
      <w:divBdr>
        <w:top w:val="none" w:sz="0" w:space="0" w:color="auto"/>
        <w:left w:val="none" w:sz="0" w:space="0" w:color="auto"/>
        <w:bottom w:val="none" w:sz="0" w:space="0" w:color="auto"/>
        <w:right w:val="none" w:sz="0" w:space="0" w:color="auto"/>
      </w:divBdr>
    </w:div>
    <w:div w:id="2111851783">
      <w:bodyDiv w:val="1"/>
      <w:marLeft w:val="0"/>
      <w:marRight w:val="0"/>
      <w:marTop w:val="0"/>
      <w:marBottom w:val="0"/>
      <w:divBdr>
        <w:top w:val="none" w:sz="0" w:space="0" w:color="auto"/>
        <w:left w:val="none" w:sz="0" w:space="0" w:color="auto"/>
        <w:bottom w:val="none" w:sz="0" w:space="0" w:color="auto"/>
        <w:right w:val="none" w:sz="0" w:space="0" w:color="auto"/>
      </w:divBdr>
    </w:div>
    <w:div w:id="2115124944">
      <w:bodyDiv w:val="1"/>
      <w:marLeft w:val="0"/>
      <w:marRight w:val="0"/>
      <w:marTop w:val="0"/>
      <w:marBottom w:val="0"/>
      <w:divBdr>
        <w:top w:val="none" w:sz="0" w:space="0" w:color="auto"/>
        <w:left w:val="none" w:sz="0" w:space="0" w:color="auto"/>
        <w:bottom w:val="none" w:sz="0" w:space="0" w:color="auto"/>
        <w:right w:val="none" w:sz="0" w:space="0" w:color="auto"/>
      </w:divBdr>
    </w:div>
    <w:div w:id="2116359978">
      <w:bodyDiv w:val="1"/>
      <w:marLeft w:val="0"/>
      <w:marRight w:val="0"/>
      <w:marTop w:val="0"/>
      <w:marBottom w:val="0"/>
      <w:divBdr>
        <w:top w:val="none" w:sz="0" w:space="0" w:color="auto"/>
        <w:left w:val="none" w:sz="0" w:space="0" w:color="auto"/>
        <w:bottom w:val="none" w:sz="0" w:space="0" w:color="auto"/>
        <w:right w:val="none" w:sz="0" w:space="0" w:color="auto"/>
      </w:divBdr>
    </w:div>
    <w:div w:id="2125727291">
      <w:bodyDiv w:val="1"/>
      <w:marLeft w:val="0"/>
      <w:marRight w:val="0"/>
      <w:marTop w:val="0"/>
      <w:marBottom w:val="0"/>
      <w:divBdr>
        <w:top w:val="none" w:sz="0" w:space="0" w:color="auto"/>
        <w:left w:val="none" w:sz="0" w:space="0" w:color="auto"/>
        <w:bottom w:val="none" w:sz="0" w:space="0" w:color="auto"/>
        <w:right w:val="none" w:sz="0" w:space="0" w:color="auto"/>
      </w:divBdr>
    </w:div>
    <w:div w:id="2138716516">
      <w:bodyDiv w:val="1"/>
      <w:marLeft w:val="0"/>
      <w:marRight w:val="0"/>
      <w:marTop w:val="0"/>
      <w:marBottom w:val="0"/>
      <w:divBdr>
        <w:top w:val="none" w:sz="0" w:space="0" w:color="auto"/>
        <w:left w:val="none" w:sz="0" w:space="0" w:color="auto"/>
        <w:bottom w:val="none" w:sz="0" w:space="0" w:color="auto"/>
        <w:right w:val="none" w:sz="0" w:space="0" w:color="auto"/>
      </w:divBdr>
    </w:div>
    <w:div w:id="2140101137">
      <w:bodyDiv w:val="1"/>
      <w:marLeft w:val="0"/>
      <w:marRight w:val="0"/>
      <w:marTop w:val="0"/>
      <w:marBottom w:val="0"/>
      <w:divBdr>
        <w:top w:val="none" w:sz="0" w:space="0" w:color="auto"/>
        <w:left w:val="none" w:sz="0" w:space="0" w:color="auto"/>
        <w:bottom w:val="none" w:sz="0" w:space="0" w:color="auto"/>
        <w:right w:val="none" w:sz="0" w:space="0" w:color="auto"/>
      </w:divBdr>
    </w:div>
    <w:div w:id="2141914706">
      <w:bodyDiv w:val="1"/>
      <w:marLeft w:val="0"/>
      <w:marRight w:val="0"/>
      <w:marTop w:val="0"/>
      <w:marBottom w:val="0"/>
      <w:divBdr>
        <w:top w:val="none" w:sz="0" w:space="0" w:color="auto"/>
        <w:left w:val="none" w:sz="0" w:space="0" w:color="auto"/>
        <w:bottom w:val="none" w:sz="0" w:space="0" w:color="auto"/>
        <w:right w:val="none" w:sz="0" w:space="0" w:color="auto"/>
      </w:divBdr>
    </w:div>
    <w:div w:id="2144690101">
      <w:bodyDiv w:val="1"/>
      <w:marLeft w:val="0"/>
      <w:marRight w:val="0"/>
      <w:marTop w:val="0"/>
      <w:marBottom w:val="0"/>
      <w:divBdr>
        <w:top w:val="none" w:sz="0" w:space="0" w:color="auto"/>
        <w:left w:val="none" w:sz="0" w:space="0" w:color="auto"/>
        <w:bottom w:val="none" w:sz="0" w:space="0" w:color="auto"/>
        <w:right w:val="none" w:sz="0" w:space="0" w:color="auto"/>
      </w:divBdr>
    </w:div>
    <w:div w:id="2146586229">
      <w:marLeft w:val="0"/>
      <w:marRight w:val="0"/>
      <w:marTop w:val="0"/>
      <w:marBottom w:val="0"/>
      <w:divBdr>
        <w:top w:val="none" w:sz="0" w:space="0" w:color="auto"/>
        <w:left w:val="none" w:sz="0" w:space="0" w:color="auto"/>
        <w:bottom w:val="none" w:sz="0" w:space="0" w:color="auto"/>
        <w:right w:val="none" w:sz="0" w:space="0" w:color="auto"/>
      </w:divBdr>
      <w:divsChild>
        <w:div w:id="13763483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6.svg"/><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header" Target="header7.xm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yperlink" Target="http://www.elmcitycommunities.org" TargetMode="External"/><Relationship Id="rId55" Type="http://schemas.openxmlformats.org/officeDocument/2006/relationships/hyperlink" Target="http://www.facebook.com/ElmCityCommunitie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sv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eader" Target="header6.xml"/><Relationship Id="rId37" Type="http://schemas.openxmlformats.org/officeDocument/2006/relationships/chart" Target="charts/chart5.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v.ringcentral.com/join/185686287?pw=d7db4e4f735df6289ed5adfb24f3f113" TargetMode="External"/><Relationship Id="rId58" Type="http://schemas.openxmlformats.org/officeDocument/2006/relationships/image" Target="media/image24.emf"/><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chart" Target="charts/chart3.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sv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hyperlink" Target="http://g.pa/" TargetMode="External"/><Relationship Id="rId56" Type="http://schemas.openxmlformats.org/officeDocument/2006/relationships/hyperlink" Target="mailto:eribeiro@elmcitycommunities.org" TargetMode="Externa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www.twitter.com/ECCommunitie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5.svg"/><Relationship Id="rId33" Type="http://schemas.openxmlformats.org/officeDocument/2006/relationships/footer" Target="footer4.xml"/><Relationship Id="rId38" Type="http://schemas.openxmlformats.org/officeDocument/2006/relationships/image" Target="media/image13.png"/><Relationship Id="rId46" Type="http://schemas.openxmlformats.org/officeDocument/2006/relationships/chart" Target="charts/chart6.xml"/><Relationship Id="rId59" Type="http://schemas.openxmlformats.org/officeDocument/2006/relationships/image" Target="media/image25.emf"/><Relationship Id="rId20" Type="http://schemas.openxmlformats.org/officeDocument/2006/relationships/image" Target="media/image2.png"/><Relationship Id="rId41" Type="http://schemas.openxmlformats.org/officeDocument/2006/relationships/image" Target="media/image16.png"/><Relationship Id="rId54" Type="http://schemas.openxmlformats.org/officeDocument/2006/relationships/hyperlink" Target="https://v.ringcentral.com/teleconferenc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8.svg"/><Relationship Id="rId36" Type="http://schemas.openxmlformats.org/officeDocument/2006/relationships/chart" Target="charts/chart4.xml"/><Relationship Id="rId49" Type="http://schemas.openxmlformats.org/officeDocument/2006/relationships/image" Target="media/image22.png"/><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image" Target="media/image11.svg"/><Relationship Id="rId44" Type="http://schemas.openxmlformats.org/officeDocument/2006/relationships/image" Target="media/image19.png"/><Relationship Id="rId52" Type="http://schemas.openxmlformats.org/officeDocument/2006/relationships/hyperlink" Target="http://www.facebook.com/ElmCityCommunities" TargetMode="External"/><Relationship Id="rId60"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10.103.103.18\users$\eribeiro\Documents\MTW%202024%20Report\Data%20for%20report2%20FY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03.103.18\users$\eribeiro\Documents\MTW%202024%20Report\Data%20for%20report2%20FY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03.103.18\users$\eribeiro\Documents\MTW%202024%20Report\Data%20for%20report2%20FY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lmcitycommunities-my.sharepoint.com/personal/eribeiro_elmcitycommunities_org/Documents/New%20Data%20Sheet%20for%20FY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oleObject" Target="file:///\\Ad360-fss-01\spi\MTW%20Plan%20&amp;%20Reports\2023%20MTW%20Report\Data%20for%20report2%20FY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Household Income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3B2-418F-9E74-67F6A8D8FF0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3B2-418F-9E74-67F6A8D8FF0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3B2-418F-9E74-67F6A8D8FF0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3B2-418F-9E74-67F6A8D8FF0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3B2-418F-9E74-67F6A8D8FF0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demo!$I$9:$I$13</c:f>
              <c:strCache>
                <c:ptCount val="5"/>
                <c:pt idx="0">
                  <c:v>Households with Extremely low income  </c:v>
                </c:pt>
                <c:pt idx="1">
                  <c:v>Households with Very Low income  </c:v>
                </c:pt>
                <c:pt idx="2">
                  <c:v>Households with Low income  </c:v>
                </c:pt>
                <c:pt idx="3">
                  <c:v>Households Above low income  </c:v>
                </c:pt>
                <c:pt idx="4">
                  <c:v>Households with No income  </c:v>
                </c:pt>
              </c:strCache>
            </c:strRef>
          </c:cat>
          <c:val>
            <c:numRef>
              <c:f>demo!$J$9:$J$13</c:f>
              <c:numCache>
                <c:formatCode>General</c:formatCode>
                <c:ptCount val="5"/>
                <c:pt idx="0">
                  <c:v>4682</c:v>
                </c:pt>
                <c:pt idx="1">
                  <c:v>1007</c:v>
                </c:pt>
                <c:pt idx="2">
                  <c:v>294</c:v>
                </c:pt>
                <c:pt idx="3">
                  <c:v>232</c:v>
                </c:pt>
                <c:pt idx="4">
                  <c:v>393</c:v>
                </c:pt>
              </c:numCache>
            </c:numRef>
          </c:val>
          <c:extLst>
            <c:ext xmlns:c16="http://schemas.microsoft.com/office/drawing/2014/chart" uri="{C3380CC4-5D6E-409C-BE32-E72D297353CC}">
              <c16:uniqueId val="{0000000A-D3B2-418F-9E74-67F6A8D8FF0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Source of Income</a:t>
            </a:r>
          </a:p>
        </c:rich>
      </c:tx>
      <c:layout>
        <c:manualLayout>
          <c:xMode val="edge"/>
          <c:yMode val="edge"/>
          <c:x val="0.32186789151356082"/>
          <c:y val="2.7777777777777776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C61-4DE0-85FB-258FEC2F02C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C61-4DE0-85FB-258FEC2F02C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C61-4DE0-85FB-258FEC2F02C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C61-4DE0-85FB-258FEC2F02C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demo!$I$14:$I$17</c:f>
              <c:strCache>
                <c:ptCount val="4"/>
                <c:pt idx="0">
                  <c:v>Households with Employment income  </c:v>
                </c:pt>
                <c:pt idx="1">
                  <c:v>Households with Public Assistance  </c:v>
                </c:pt>
                <c:pt idx="2">
                  <c:v>Households with Social Security  </c:v>
                </c:pt>
                <c:pt idx="3">
                  <c:v>Households with Other Income  </c:v>
                </c:pt>
              </c:strCache>
            </c:strRef>
          </c:cat>
          <c:val>
            <c:numRef>
              <c:f>demo!$J$14:$J$17</c:f>
              <c:numCache>
                <c:formatCode>General</c:formatCode>
                <c:ptCount val="4"/>
                <c:pt idx="0">
                  <c:v>2350</c:v>
                </c:pt>
                <c:pt idx="1">
                  <c:v>277</c:v>
                </c:pt>
                <c:pt idx="2">
                  <c:v>2899</c:v>
                </c:pt>
                <c:pt idx="3">
                  <c:v>556</c:v>
                </c:pt>
              </c:numCache>
            </c:numRef>
          </c:val>
          <c:extLst>
            <c:ext xmlns:c16="http://schemas.microsoft.com/office/drawing/2014/chart" uri="{C3380CC4-5D6E-409C-BE32-E72D297353CC}">
              <c16:uniqueId val="{00000008-DC61-4DE0-85FB-258FEC2F02C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Minority Households Served</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CB7-4A42-B90D-BD0336D3336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CB7-4A42-B90D-BD0336D3336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demo!$I$19:$I$20</c:f>
              <c:strCache>
                <c:ptCount val="2"/>
                <c:pt idx="0">
                  <c:v>Minority Households  </c:v>
                </c:pt>
                <c:pt idx="1">
                  <c:v>Non-minority  </c:v>
                </c:pt>
              </c:strCache>
            </c:strRef>
          </c:cat>
          <c:val>
            <c:numRef>
              <c:f>demo!$J$19:$J$20</c:f>
              <c:numCache>
                <c:formatCode>General</c:formatCode>
                <c:ptCount val="2"/>
                <c:pt idx="0">
                  <c:v>3633</c:v>
                </c:pt>
                <c:pt idx="1">
                  <c:v>2582</c:v>
                </c:pt>
              </c:numCache>
            </c:numRef>
          </c:val>
          <c:extLst>
            <c:ext xmlns:c16="http://schemas.microsoft.com/office/drawing/2014/chart" uri="{C3380CC4-5D6E-409C-BE32-E72D297353CC}">
              <c16:uniqueId val="{00000004-7CB7-4A42-B90D-BD0336D3336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PBV Income Eligibility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'HCV-1.4-1.10 PBV income'!$A$100:$B$142</c:f>
              <c:multiLvlStrCache>
                <c:ptCount val="43"/>
                <c:lvl>
                  <c:pt idx="1">
                    <c:v>&lt;30%AMI</c:v>
                  </c:pt>
                  <c:pt idx="2">
                    <c:v>50-80% AMI</c:v>
                  </c:pt>
                  <c:pt idx="4">
                    <c:v>&lt;30%AMI</c:v>
                  </c:pt>
                  <c:pt idx="5">
                    <c:v>50-80% AMI</c:v>
                  </c:pt>
                  <c:pt idx="7">
                    <c:v>&lt;30%AMI</c:v>
                  </c:pt>
                  <c:pt idx="8">
                    <c:v>50-80% AMI</c:v>
                  </c:pt>
                  <c:pt idx="10">
                    <c:v>&lt;30%AMI</c:v>
                  </c:pt>
                  <c:pt idx="11">
                    <c:v>50-80% AMI</c:v>
                  </c:pt>
                  <c:pt idx="13">
                    <c:v>&lt;30%AMI</c:v>
                  </c:pt>
                  <c:pt idx="14">
                    <c:v>50-80% AMI</c:v>
                  </c:pt>
                  <c:pt idx="16">
                    <c:v>&lt;30%AMI</c:v>
                  </c:pt>
                  <c:pt idx="17">
                    <c:v>50-80% AMI</c:v>
                  </c:pt>
                  <c:pt idx="19">
                    <c:v>&lt;30%AMI</c:v>
                  </c:pt>
                  <c:pt idx="20">
                    <c:v>50-80% AMI</c:v>
                  </c:pt>
                  <c:pt idx="22">
                    <c:v>&lt;30%AMI</c:v>
                  </c:pt>
                  <c:pt idx="23">
                    <c:v>50-80% AMI</c:v>
                  </c:pt>
                  <c:pt idx="25">
                    <c:v>&lt;30%AMI</c:v>
                  </c:pt>
                  <c:pt idx="26">
                    <c:v>50-80% AMI</c:v>
                  </c:pt>
                  <c:pt idx="29">
                    <c:v>&lt;30%AMI</c:v>
                  </c:pt>
                  <c:pt idx="30">
                    <c:v>50-80% AMI</c:v>
                  </c:pt>
                  <c:pt idx="33">
                    <c:v>&lt;30%AMI</c:v>
                  </c:pt>
                  <c:pt idx="34">
                    <c:v>50-80% AMI</c:v>
                  </c:pt>
                  <c:pt idx="37">
                    <c:v>&lt;30%AMI</c:v>
                  </c:pt>
                  <c:pt idx="38">
                    <c:v>50-80% AMI</c:v>
                  </c:pt>
                  <c:pt idx="41">
                    <c:v>&lt;30%AMI</c:v>
                  </c:pt>
                  <c:pt idx="42">
                    <c:v>50-80% AMI</c:v>
                  </c:pt>
                </c:lvl>
                <c:lvl>
                  <c:pt idx="0">
                    <c:v>2013</c:v>
                  </c:pt>
                  <c:pt idx="3">
                    <c:v>2014</c:v>
                  </c:pt>
                  <c:pt idx="6">
                    <c:v>2015</c:v>
                  </c:pt>
                  <c:pt idx="9">
                    <c:v>2016</c:v>
                  </c:pt>
                  <c:pt idx="12">
                    <c:v>2017</c:v>
                  </c:pt>
                  <c:pt idx="15">
                    <c:v>2018</c:v>
                  </c:pt>
                  <c:pt idx="18">
                    <c:v>2019</c:v>
                  </c:pt>
                  <c:pt idx="21">
                    <c:v>2020</c:v>
                  </c:pt>
                  <c:pt idx="24">
                    <c:v>2021</c:v>
                  </c:pt>
                  <c:pt idx="28">
                    <c:v>2022</c:v>
                  </c:pt>
                  <c:pt idx="32">
                    <c:v>2023</c:v>
                  </c:pt>
                  <c:pt idx="36">
                    <c:v>2024</c:v>
                  </c:pt>
                  <c:pt idx="40">
                    <c:v>2025</c:v>
                  </c:pt>
                </c:lvl>
              </c:multiLvlStrCache>
            </c:multiLvlStrRef>
          </c:cat>
          <c:val>
            <c:numRef>
              <c:f>'HCV-1.4-1.10 PBV income'!$C$100:$C$142</c:f>
              <c:numCache>
                <c:formatCode>0%</c:formatCode>
                <c:ptCount val="43"/>
                <c:pt idx="1">
                  <c:v>0.49</c:v>
                </c:pt>
                <c:pt idx="2">
                  <c:v>0.01</c:v>
                </c:pt>
                <c:pt idx="4">
                  <c:v>0.66</c:v>
                </c:pt>
                <c:pt idx="5">
                  <c:v>0.06</c:v>
                </c:pt>
                <c:pt idx="10">
                  <c:v>0.72</c:v>
                </c:pt>
                <c:pt idx="11">
                  <c:v>0.02</c:v>
                </c:pt>
                <c:pt idx="13" formatCode="General">
                  <c:v>0</c:v>
                </c:pt>
                <c:pt idx="14">
                  <c:v>0.15</c:v>
                </c:pt>
                <c:pt idx="16">
                  <c:v>0.44</c:v>
                </c:pt>
                <c:pt idx="17">
                  <c:v>0.08</c:v>
                </c:pt>
                <c:pt idx="19">
                  <c:v>0.45</c:v>
                </c:pt>
                <c:pt idx="20">
                  <c:v>0.25</c:v>
                </c:pt>
                <c:pt idx="22">
                  <c:v>0.45</c:v>
                </c:pt>
                <c:pt idx="23">
                  <c:v>0.25</c:v>
                </c:pt>
                <c:pt idx="25">
                  <c:v>0.56000000000000005</c:v>
                </c:pt>
                <c:pt idx="26">
                  <c:v>0.32</c:v>
                </c:pt>
                <c:pt idx="29">
                  <c:v>0.69</c:v>
                </c:pt>
                <c:pt idx="30">
                  <c:v>0.31</c:v>
                </c:pt>
                <c:pt idx="33">
                  <c:v>0.52</c:v>
                </c:pt>
                <c:pt idx="34">
                  <c:v>0.11</c:v>
                </c:pt>
                <c:pt idx="37">
                  <c:v>1</c:v>
                </c:pt>
                <c:pt idx="38">
                  <c:v>0</c:v>
                </c:pt>
                <c:pt idx="41">
                  <c:v>0.6</c:v>
                </c:pt>
                <c:pt idx="42">
                  <c:v>0.4</c:v>
                </c:pt>
              </c:numCache>
            </c:numRef>
          </c:val>
          <c:extLst>
            <c:ext xmlns:c16="http://schemas.microsoft.com/office/drawing/2014/chart" uri="{C3380CC4-5D6E-409C-BE32-E72D297353CC}">
              <c16:uniqueId val="{00000000-6CFB-4626-8379-D4A8ACB46D7A}"/>
            </c:ext>
          </c:extLst>
        </c:ser>
        <c:ser>
          <c:idx val="1"/>
          <c:order val="1"/>
          <c:spPr>
            <a:solidFill>
              <a:schemeClr val="accent2"/>
            </a:solidFill>
            <a:ln>
              <a:noFill/>
            </a:ln>
            <a:effectLst/>
          </c:spPr>
          <c:invertIfNegative val="0"/>
          <c:cat>
            <c:multiLvlStrRef>
              <c:f>'HCV-1.4-1.10 PBV income'!$A$100:$B$142</c:f>
              <c:multiLvlStrCache>
                <c:ptCount val="43"/>
                <c:lvl>
                  <c:pt idx="1">
                    <c:v>&lt;30%AMI</c:v>
                  </c:pt>
                  <c:pt idx="2">
                    <c:v>50-80% AMI</c:v>
                  </c:pt>
                  <c:pt idx="4">
                    <c:v>&lt;30%AMI</c:v>
                  </c:pt>
                  <c:pt idx="5">
                    <c:v>50-80% AMI</c:v>
                  </c:pt>
                  <c:pt idx="7">
                    <c:v>&lt;30%AMI</c:v>
                  </c:pt>
                  <c:pt idx="8">
                    <c:v>50-80% AMI</c:v>
                  </c:pt>
                  <c:pt idx="10">
                    <c:v>&lt;30%AMI</c:v>
                  </c:pt>
                  <c:pt idx="11">
                    <c:v>50-80% AMI</c:v>
                  </c:pt>
                  <c:pt idx="13">
                    <c:v>&lt;30%AMI</c:v>
                  </c:pt>
                  <c:pt idx="14">
                    <c:v>50-80% AMI</c:v>
                  </c:pt>
                  <c:pt idx="16">
                    <c:v>&lt;30%AMI</c:v>
                  </c:pt>
                  <c:pt idx="17">
                    <c:v>50-80% AMI</c:v>
                  </c:pt>
                  <c:pt idx="19">
                    <c:v>&lt;30%AMI</c:v>
                  </c:pt>
                  <c:pt idx="20">
                    <c:v>50-80% AMI</c:v>
                  </c:pt>
                  <c:pt idx="22">
                    <c:v>&lt;30%AMI</c:v>
                  </c:pt>
                  <c:pt idx="23">
                    <c:v>50-80% AMI</c:v>
                  </c:pt>
                  <c:pt idx="25">
                    <c:v>&lt;30%AMI</c:v>
                  </c:pt>
                  <c:pt idx="26">
                    <c:v>50-80% AMI</c:v>
                  </c:pt>
                  <c:pt idx="29">
                    <c:v>&lt;30%AMI</c:v>
                  </c:pt>
                  <c:pt idx="30">
                    <c:v>50-80% AMI</c:v>
                  </c:pt>
                  <c:pt idx="33">
                    <c:v>&lt;30%AMI</c:v>
                  </c:pt>
                  <c:pt idx="34">
                    <c:v>50-80% AMI</c:v>
                  </c:pt>
                  <c:pt idx="37">
                    <c:v>&lt;30%AMI</c:v>
                  </c:pt>
                  <c:pt idx="38">
                    <c:v>50-80% AMI</c:v>
                  </c:pt>
                  <c:pt idx="41">
                    <c:v>&lt;30%AMI</c:v>
                  </c:pt>
                  <c:pt idx="42">
                    <c:v>50-80% AMI</c:v>
                  </c:pt>
                </c:lvl>
                <c:lvl>
                  <c:pt idx="0">
                    <c:v>2013</c:v>
                  </c:pt>
                  <c:pt idx="3">
                    <c:v>2014</c:v>
                  </c:pt>
                  <c:pt idx="6">
                    <c:v>2015</c:v>
                  </c:pt>
                  <c:pt idx="9">
                    <c:v>2016</c:v>
                  </c:pt>
                  <c:pt idx="12">
                    <c:v>2017</c:v>
                  </c:pt>
                  <c:pt idx="15">
                    <c:v>2018</c:v>
                  </c:pt>
                  <c:pt idx="18">
                    <c:v>2019</c:v>
                  </c:pt>
                  <c:pt idx="21">
                    <c:v>2020</c:v>
                  </c:pt>
                  <c:pt idx="24">
                    <c:v>2021</c:v>
                  </c:pt>
                  <c:pt idx="28">
                    <c:v>2022</c:v>
                  </c:pt>
                  <c:pt idx="32">
                    <c:v>2023</c:v>
                  </c:pt>
                  <c:pt idx="36">
                    <c:v>2024</c:v>
                  </c:pt>
                  <c:pt idx="40">
                    <c:v>2025</c:v>
                  </c:pt>
                </c:lvl>
              </c:multiLvlStrCache>
            </c:multiLvlStrRef>
          </c:cat>
          <c:val>
            <c:numRef>
              <c:f>'HCV-1.4-1.10 PBV income'!$D$100:$D$142</c:f>
              <c:numCache>
                <c:formatCode>0%</c:formatCode>
                <c:ptCount val="43"/>
                <c:pt idx="1">
                  <c:v>0.5</c:v>
                </c:pt>
                <c:pt idx="2">
                  <c:v>0.21</c:v>
                </c:pt>
                <c:pt idx="4">
                  <c:v>0.48</c:v>
                </c:pt>
                <c:pt idx="5">
                  <c:v>0.24</c:v>
                </c:pt>
                <c:pt idx="10">
                  <c:v>0.74</c:v>
                </c:pt>
                <c:pt idx="11">
                  <c:v>0</c:v>
                </c:pt>
                <c:pt idx="13" formatCode="General">
                  <c:v>0</c:v>
                </c:pt>
                <c:pt idx="14">
                  <c:v>0.41</c:v>
                </c:pt>
                <c:pt idx="16">
                  <c:v>0.43</c:v>
                </c:pt>
                <c:pt idx="17">
                  <c:v>0.18</c:v>
                </c:pt>
                <c:pt idx="19">
                  <c:v>0.3</c:v>
                </c:pt>
                <c:pt idx="20">
                  <c:v>0.19</c:v>
                </c:pt>
                <c:pt idx="22">
                  <c:v>0.36</c:v>
                </c:pt>
                <c:pt idx="23">
                  <c:v>0.19</c:v>
                </c:pt>
                <c:pt idx="25">
                  <c:v>0.33</c:v>
                </c:pt>
                <c:pt idx="26">
                  <c:v>0.38</c:v>
                </c:pt>
                <c:pt idx="29">
                  <c:v>0.96</c:v>
                </c:pt>
                <c:pt idx="30">
                  <c:v>0.04</c:v>
                </c:pt>
                <c:pt idx="33">
                  <c:v>0.46</c:v>
                </c:pt>
                <c:pt idx="34">
                  <c:v>0.33</c:v>
                </c:pt>
                <c:pt idx="37">
                  <c:v>0</c:v>
                </c:pt>
                <c:pt idx="38">
                  <c:v>0</c:v>
                </c:pt>
                <c:pt idx="41">
                  <c:v>0.2</c:v>
                </c:pt>
                <c:pt idx="42">
                  <c:v>0.8</c:v>
                </c:pt>
              </c:numCache>
            </c:numRef>
          </c:val>
          <c:extLst>
            <c:ext xmlns:c16="http://schemas.microsoft.com/office/drawing/2014/chart" uri="{C3380CC4-5D6E-409C-BE32-E72D297353CC}">
              <c16:uniqueId val="{00000001-6CFB-4626-8379-D4A8ACB46D7A}"/>
            </c:ext>
          </c:extLst>
        </c:ser>
        <c:ser>
          <c:idx val="2"/>
          <c:order val="2"/>
          <c:spPr>
            <a:solidFill>
              <a:schemeClr val="accent3"/>
            </a:solidFill>
            <a:ln>
              <a:noFill/>
            </a:ln>
            <a:effectLst/>
          </c:spPr>
          <c:invertIfNegative val="0"/>
          <c:cat>
            <c:multiLvlStrRef>
              <c:f>'HCV-1.4-1.10 PBV income'!$A$100:$B$142</c:f>
              <c:multiLvlStrCache>
                <c:ptCount val="43"/>
                <c:lvl>
                  <c:pt idx="1">
                    <c:v>&lt;30%AMI</c:v>
                  </c:pt>
                  <c:pt idx="2">
                    <c:v>50-80% AMI</c:v>
                  </c:pt>
                  <c:pt idx="4">
                    <c:v>&lt;30%AMI</c:v>
                  </c:pt>
                  <c:pt idx="5">
                    <c:v>50-80% AMI</c:v>
                  </c:pt>
                  <c:pt idx="7">
                    <c:v>&lt;30%AMI</c:v>
                  </c:pt>
                  <c:pt idx="8">
                    <c:v>50-80% AMI</c:v>
                  </c:pt>
                  <c:pt idx="10">
                    <c:v>&lt;30%AMI</c:v>
                  </c:pt>
                  <c:pt idx="11">
                    <c:v>50-80% AMI</c:v>
                  </c:pt>
                  <c:pt idx="13">
                    <c:v>&lt;30%AMI</c:v>
                  </c:pt>
                  <c:pt idx="14">
                    <c:v>50-80% AMI</c:v>
                  </c:pt>
                  <c:pt idx="16">
                    <c:v>&lt;30%AMI</c:v>
                  </c:pt>
                  <c:pt idx="17">
                    <c:v>50-80% AMI</c:v>
                  </c:pt>
                  <c:pt idx="19">
                    <c:v>&lt;30%AMI</c:v>
                  </c:pt>
                  <c:pt idx="20">
                    <c:v>50-80% AMI</c:v>
                  </c:pt>
                  <c:pt idx="22">
                    <c:v>&lt;30%AMI</c:v>
                  </c:pt>
                  <c:pt idx="23">
                    <c:v>50-80% AMI</c:v>
                  </c:pt>
                  <c:pt idx="25">
                    <c:v>&lt;30%AMI</c:v>
                  </c:pt>
                  <c:pt idx="26">
                    <c:v>50-80% AMI</c:v>
                  </c:pt>
                  <c:pt idx="29">
                    <c:v>&lt;30%AMI</c:v>
                  </c:pt>
                  <c:pt idx="30">
                    <c:v>50-80% AMI</c:v>
                  </c:pt>
                  <c:pt idx="33">
                    <c:v>&lt;30%AMI</c:v>
                  </c:pt>
                  <c:pt idx="34">
                    <c:v>50-80% AMI</c:v>
                  </c:pt>
                  <c:pt idx="37">
                    <c:v>&lt;30%AMI</c:v>
                  </c:pt>
                  <c:pt idx="38">
                    <c:v>50-80% AMI</c:v>
                  </c:pt>
                  <c:pt idx="41">
                    <c:v>&lt;30%AMI</c:v>
                  </c:pt>
                  <c:pt idx="42">
                    <c:v>50-80% AMI</c:v>
                  </c:pt>
                </c:lvl>
                <c:lvl>
                  <c:pt idx="0">
                    <c:v>2013</c:v>
                  </c:pt>
                  <c:pt idx="3">
                    <c:v>2014</c:v>
                  </c:pt>
                  <c:pt idx="6">
                    <c:v>2015</c:v>
                  </c:pt>
                  <c:pt idx="9">
                    <c:v>2016</c:v>
                  </c:pt>
                  <c:pt idx="12">
                    <c:v>2017</c:v>
                  </c:pt>
                  <c:pt idx="15">
                    <c:v>2018</c:v>
                  </c:pt>
                  <c:pt idx="18">
                    <c:v>2019</c:v>
                  </c:pt>
                  <c:pt idx="21">
                    <c:v>2020</c:v>
                  </c:pt>
                  <c:pt idx="24">
                    <c:v>2021</c:v>
                  </c:pt>
                  <c:pt idx="28">
                    <c:v>2022</c:v>
                  </c:pt>
                  <c:pt idx="32">
                    <c:v>2023</c:v>
                  </c:pt>
                  <c:pt idx="36">
                    <c:v>2024</c:v>
                  </c:pt>
                  <c:pt idx="40">
                    <c:v>2025</c:v>
                  </c:pt>
                </c:lvl>
              </c:multiLvlStrCache>
            </c:multiLvlStrRef>
          </c:cat>
          <c:val>
            <c:numRef>
              <c:f>'HCV-1.4-1.10 PBV income'!$E$100:$E$142</c:f>
              <c:numCache>
                <c:formatCode>0%</c:formatCode>
                <c:ptCount val="43"/>
                <c:pt idx="1">
                  <c:v>0.75</c:v>
                </c:pt>
                <c:pt idx="2">
                  <c:v>0.25</c:v>
                </c:pt>
                <c:pt idx="4">
                  <c:v>0.76</c:v>
                </c:pt>
                <c:pt idx="5">
                  <c:v>0.23</c:v>
                </c:pt>
                <c:pt idx="10">
                  <c:v>0.75</c:v>
                </c:pt>
                <c:pt idx="11">
                  <c:v>0.25</c:v>
                </c:pt>
                <c:pt idx="13">
                  <c:v>0.23</c:v>
                </c:pt>
                <c:pt idx="14">
                  <c:v>0.2</c:v>
                </c:pt>
                <c:pt idx="16">
                  <c:v>0.61</c:v>
                </c:pt>
                <c:pt idx="17">
                  <c:v>0.09</c:v>
                </c:pt>
                <c:pt idx="19">
                  <c:v>0.39</c:v>
                </c:pt>
                <c:pt idx="20">
                  <c:v>0.21</c:v>
                </c:pt>
                <c:pt idx="22">
                  <c:v>0.39</c:v>
                </c:pt>
                <c:pt idx="23">
                  <c:v>0.21</c:v>
                </c:pt>
                <c:pt idx="25">
                  <c:v>0.51</c:v>
                </c:pt>
                <c:pt idx="26">
                  <c:v>0.35</c:v>
                </c:pt>
                <c:pt idx="29">
                  <c:v>0.83</c:v>
                </c:pt>
                <c:pt idx="30">
                  <c:v>0.17</c:v>
                </c:pt>
                <c:pt idx="33">
                  <c:v>0.72</c:v>
                </c:pt>
                <c:pt idx="34">
                  <c:v>0.06</c:v>
                </c:pt>
                <c:pt idx="37">
                  <c:v>0.73</c:v>
                </c:pt>
                <c:pt idx="38">
                  <c:v>0.27</c:v>
                </c:pt>
                <c:pt idx="41">
                  <c:v>0.76</c:v>
                </c:pt>
                <c:pt idx="42">
                  <c:v>0.24</c:v>
                </c:pt>
              </c:numCache>
            </c:numRef>
          </c:val>
          <c:extLst>
            <c:ext xmlns:c16="http://schemas.microsoft.com/office/drawing/2014/chart" uri="{C3380CC4-5D6E-409C-BE32-E72D297353CC}">
              <c16:uniqueId val="{00000002-6CFB-4626-8379-D4A8ACB46D7A}"/>
            </c:ext>
          </c:extLst>
        </c:ser>
        <c:dLbls>
          <c:showLegendKey val="0"/>
          <c:showVal val="0"/>
          <c:showCatName val="0"/>
          <c:showSerName val="0"/>
          <c:showPercent val="0"/>
          <c:showBubbleSize val="0"/>
        </c:dLbls>
        <c:gapWidth val="219"/>
        <c:overlap val="-27"/>
        <c:axId val="1882520848"/>
        <c:axId val="1882544560"/>
      </c:barChart>
      <c:catAx>
        <c:axId val="188252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882544560"/>
        <c:crosses val="autoZero"/>
        <c:auto val="1"/>
        <c:lblAlgn val="ctr"/>
        <c:lblOffset val="100"/>
        <c:noMultiLvlLbl val="0"/>
      </c:catAx>
      <c:valAx>
        <c:axId val="18825445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52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FY2024 Enrollment in MTW FSS Program </a:t>
            </a:r>
          </a:p>
        </c:rich>
      </c:tx>
      <c:overlay val="0"/>
      <c:spPr>
        <a:noFill/>
        <a:ln>
          <a:noFill/>
        </a:ln>
        <a:effectLst/>
      </c:spPr>
    </c:title>
    <c:autoTitleDeleted val="0"/>
    <c:plotArea>
      <c:layout/>
      <c:doughnutChart>
        <c:varyColors val="1"/>
        <c:ser>
          <c:idx val="0"/>
          <c:order val="0"/>
          <c:tx>
            <c:strRef>
              <c:f>Sheet1!$B$1</c:f>
              <c:strCache>
                <c:ptCount val="1"/>
                <c:pt idx="0">
                  <c:v>Enrollement</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527C-4B22-A559-B204490E6348}"/>
              </c:ext>
            </c:extLst>
          </c:dPt>
          <c:dPt>
            <c:idx val="1"/>
            <c:bubble3D val="0"/>
            <c:spPr>
              <a:solidFill>
                <a:srgbClr val="C00000">
                  <a:alpha val="75000"/>
                </a:srgbClr>
              </a:solidFill>
              <a:ln w="19050">
                <a:solidFill>
                  <a:schemeClr val="lt1"/>
                </a:solidFill>
              </a:ln>
              <a:effectLst/>
            </c:spPr>
            <c:extLst>
              <c:ext xmlns:c16="http://schemas.microsoft.com/office/drawing/2014/chart" uri="{C3380CC4-5D6E-409C-BE32-E72D297353CC}">
                <c16:uniqueId val="{00000003-527C-4B22-A559-B204490E6348}"/>
              </c:ext>
            </c:extLst>
          </c:dPt>
          <c:dPt>
            <c:idx val="2"/>
            <c:bubble3D val="0"/>
            <c:spPr>
              <a:solidFill>
                <a:srgbClr val="C00000">
                  <a:alpha val="40000"/>
                </a:srgbClr>
              </a:solidFill>
              <a:ln w="19050">
                <a:solidFill>
                  <a:schemeClr val="lt1"/>
                </a:solidFill>
              </a:ln>
              <a:effectLst/>
            </c:spPr>
            <c:extLst>
              <c:ext xmlns:c16="http://schemas.microsoft.com/office/drawing/2014/chart" uri="{C3380CC4-5D6E-409C-BE32-E72D297353CC}">
                <c16:uniqueId val="{00000005-527C-4B22-A559-B204490E6348}"/>
              </c:ext>
            </c:extLst>
          </c:dPt>
          <c:dPt>
            <c:idx val="3"/>
            <c:bubble3D val="0"/>
            <c:spPr>
              <a:solidFill>
                <a:srgbClr val="C00000">
                  <a:alpha val="17000"/>
                </a:srgbClr>
              </a:solidFill>
              <a:ln w="19050">
                <a:solidFill>
                  <a:schemeClr val="lt1"/>
                </a:solidFill>
              </a:ln>
              <a:effectLst/>
            </c:spPr>
            <c:extLst>
              <c:ext xmlns:c16="http://schemas.microsoft.com/office/drawing/2014/chart" uri="{C3380CC4-5D6E-409C-BE32-E72D297353CC}">
                <c16:uniqueId val="{00000007-527C-4B22-A559-B204490E6348}"/>
              </c:ext>
            </c:extLst>
          </c:dPt>
          <c:dPt>
            <c:idx val="4"/>
            <c:bubble3D val="0"/>
            <c:spPr>
              <a:solidFill>
                <a:srgbClr val="FFC1C1">
                  <a:alpha val="23000"/>
                </a:srgbClr>
              </a:solidFill>
              <a:ln w="19050">
                <a:solidFill>
                  <a:schemeClr val="lt1"/>
                </a:solidFill>
              </a:ln>
              <a:effectLst/>
            </c:spPr>
            <c:extLst>
              <c:ext xmlns:c16="http://schemas.microsoft.com/office/drawing/2014/chart" uri="{C3380CC4-5D6E-409C-BE32-E72D297353CC}">
                <c16:uniqueId val="{00000009-527C-4B22-A559-B204490E6348}"/>
              </c:ext>
            </c:extLst>
          </c:dPt>
          <c:dLbls>
            <c:dLbl>
              <c:idx val="0"/>
              <c:layout>
                <c:manualLayout>
                  <c:x val="-0.26618049225159501"/>
                  <c:y val="-6.1728395061728399E-2"/>
                </c:manualLayout>
              </c:layout>
              <c:tx>
                <c:rich>
                  <a:bodyPr/>
                  <a:lstStyle/>
                  <a:p>
                    <a:fld id="{C57631B3-F05A-441D-AA51-57304E534EEC}" type="CATEGORYNAME">
                      <a:rPr lang="en-US"/>
                      <a:pPr/>
                      <a:t>[CATEGORY NAME]</a:t>
                    </a:fld>
                    <a:r>
                      <a:rPr lang="en-US" baseline="0"/>
                      <a:t>
9%</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27C-4B22-A559-B204490E6348}"/>
                </c:ext>
              </c:extLst>
            </c:dLbl>
            <c:dLbl>
              <c:idx val="1"/>
              <c:layout>
                <c:manualLayout>
                  <c:x val="0.18231540565177801"/>
                  <c:y val="-0.133744855967078"/>
                </c:manualLayout>
              </c:layout>
              <c:tx>
                <c:rich>
                  <a:bodyPr/>
                  <a:lstStyle/>
                  <a:p>
                    <a:fld id="{950B2BF3-5BBB-4682-A84A-E19E2FF3B328}" type="CATEGORYNAME">
                      <a:rPr lang="en-US"/>
                      <a:pPr/>
                      <a:t>[CATEGORY NAME]</a:t>
                    </a:fld>
                    <a:r>
                      <a:rPr lang="en-US" baseline="0"/>
                      <a:t>
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27C-4B22-A559-B204490E6348}"/>
                </c:ext>
              </c:extLst>
            </c:dLbl>
            <c:dLbl>
              <c:idx val="2"/>
              <c:layout>
                <c:manualLayout>
                  <c:x val="0.16773017319963501"/>
                  <c:y val="-2.5720164609053499E-2"/>
                </c:manualLayout>
              </c:layout>
              <c:tx>
                <c:rich>
                  <a:bodyPr/>
                  <a:lstStyle/>
                  <a:p>
                    <a:fld id="{69692B85-2615-4459-B0CE-00B846E003A5}" type="CATEGORYNAME">
                      <a:rPr lang="en-US"/>
                      <a:pPr/>
                      <a:t>[CATEGORY NAME]</a:t>
                    </a:fld>
                    <a:r>
                      <a:rPr lang="en-US" baseline="0"/>
                      <a:t>
8%</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27C-4B22-A559-B204490E6348}"/>
                </c:ext>
              </c:extLst>
            </c:dLbl>
            <c:dLbl>
              <c:idx val="3"/>
              <c:layout>
                <c:manualLayout>
                  <c:x val="0.32999088422971701"/>
                  <c:y val="5.1440329218106996E-3"/>
                </c:manualLayout>
              </c:layout>
              <c:tx>
                <c:rich>
                  <a:bodyPr wrap="square" lIns="38100" tIns="19050" rIns="38100" bIns="19050" anchor="ctr">
                    <a:noAutofit/>
                  </a:bodyPr>
                  <a:lstStyle/>
                  <a:p>
                    <a:pPr>
                      <a:defRPr/>
                    </a:pPr>
                    <a:fld id="{29DEDBEF-2DB2-4CC9-848D-8E79AC488D62}" type="CATEGORYNAME">
                      <a:rPr lang="en-US"/>
                      <a:pPr>
                        <a:defRPr/>
                      </a:pPr>
                      <a:t>[CATEGORY NAME]</a:t>
                    </a:fld>
                    <a:r>
                      <a:rPr lang="en-US" baseline="0"/>
                      <a:t>
66%</a:t>
                    </a:r>
                  </a:p>
                </c:rich>
              </c:tx>
              <c:spPr>
                <a:solidFill>
                  <a:sysClr val="window" lastClr="FFFFFF"/>
                </a:solidFill>
                <a:ln>
                  <a:solidFill>
                    <a:sysClr val="windowText" lastClr="000000">
                      <a:lumMod val="65000"/>
                      <a:lumOff val="35000"/>
                    </a:sysClr>
                  </a:solid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8917118268147202"/>
                      <c:h val="0.20507315057839992"/>
                    </c:manualLayout>
                  </c15:layout>
                  <c15:dlblFieldTable/>
                  <c15:showDataLabelsRange val="0"/>
                </c:ext>
                <c:ext xmlns:c16="http://schemas.microsoft.com/office/drawing/2014/chart" uri="{C3380CC4-5D6E-409C-BE32-E72D297353CC}">
                  <c16:uniqueId val="{00000007-527C-4B22-A559-B204490E6348}"/>
                </c:ext>
              </c:extLst>
            </c:dLbl>
            <c:dLbl>
              <c:idx val="4"/>
              <c:layout>
                <c:manualLayout>
                  <c:x val="-0.27711941659070199"/>
                  <c:y val="0.108024691358025"/>
                </c:manualLayout>
              </c:layout>
              <c:tx>
                <c:rich>
                  <a:bodyPr/>
                  <a:lstStyle/>
                  <a:p>
                    <a:fld id="{574407CA-9DCA-4393-9E85-26C9DF070B9D}" type="CATEGORYNAME">
                      <a:rPr lang="en-US"/>
                      <a:pPr/>
                      <a:t>[CATEGORY NAME]</a:t>
                    </a:fld>
                    <a:r>
                      <a:rPr lang="en-US" baseline="0"/>
                      <a:t>
16%</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27C-4B22-A559-B204490E6348}"/>
                </c:ext>
              </c:extLst>
            </c:dLbl>
            <c:spPr>
              <a:solidFill>
                <a:sysClr val="window" lastClr="FFFFFF"/>
              </a:solidFill>
              <a:ln>
                <a:solidFill>
                  <a:sysClr val="windowText" lastClr="000000">
                    <a:lumMod val="65000"/>
                    <a:lumOff val="35000"/>
                  </a:sysClr>
                </a:solidFill>
              </a:ln>
              <a:effectLst/>
            </c:sp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Sheet1!$A$2:$A$6</c:f>
              <c:strCache>
                <c:ptCount val="5"/>
                <c:pt idx="0">
                  <c:v>HUD FSS</c:v>
                </c:pt>
                <c:pt idx="1">
                  <c:v>SEHOP</c:v>
                </c:pt>
                <c:pt idx="2">
                  <c:v>CARES</c:v>
                </c:pt>
                <c:pt idx="3">
                  <c:v>Elderly/Disabled</c:v>
                </c:pt>
                <c:pt idx="4">
                  <c:v>Work-Able Families</c:v>
                </c:pt>
              </c:strCache>
            </c:strRef>
          </c:cat>
          <c:val>
            <c:numRef>
              <c:f>Sheet1!$B$2:$B$6</c:f>
              <c:numCache>
                <c:formatCode>General</c:formatCode>
                <c:ptCount val="5"/>
                <c:pt idx="0">
                  <c:v>100</c:v>
                </c:pt>
                <c:pt idx="1">
                  <c:v>50</c:v>
                </c:pt>
                <c:pt idx="2">
                  <c:v>178</c:v>
                </c:pt>
                <c:pt idx="3">
                  <c:v>570</c:v>
                </c:pt>
                <c:pt idx="4">
                  <c:v>260</c:v>
                </c:pt>
              </c:numCache>
            </c:numRef>
          </c:val>
          <c:extLst>
            <c:ext xmlns:c16="http://schemas.microsoft.com/office/drawing/2014/chart" uri="{C3380CC4-5D6E-409C-BE32-E72D297353CC}">
              <c16:uniqueId val="{0000000A-527C-4B22-A559-B204490E6348}"/>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Impact of Bi- and Tri-ennial Rent Increases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'HQS inspections'!$A$30</c:f>
              <c:strCache>
                <c:ptCount val="1"/>
                <c:pt idx="0">
                  <c:v>Year</c:v>
                </c:pt>
              </c:strCache>
            </c:strRef>
          </c:tx>
          <c:spPr>
            <a:solidFill>
              <a:schemeClr val="accent1"/>
            </a:solidFill>
            <a:ln>
              <a:noFill/>
            </a:ln>
            <a:effectLst/>
          </c:spPr>
          <c:invertIfNegative val="0"/>
          <c:val>
            <c:numRef>
              <c:f>'HQS inspections'!$A$31:$A$40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val>
          <c:extLst>
            <c:ext xmlns:c16="http://schemas.microsoft.com/office/drawing/2014/chart" uri="{C3380CC4-5D6E-409C-BE32-E72D297353CC}">
              <c16:uniqueId val="{00000000-9CA3-469E-9FA4-C6234FC20750}"/>
            </c:ext>
          </c:extLst>
        </c:ser>
        <c:ser>
          <c:idx val="1"/>
          <c:order val="1"/>
          <c:tx>
            <c:strRef>
              <c:f>'HQS inspections'!$B$30</c:f>
              <c:strCache>
                <c:ptCount val="1"/>
                <c:pt idx="0">
                  <c:v>Voucher count</c:v>
                </c:pt>
              </c:strCache>
            </c:strRef>
          </c:tx>
          <c:spPr>
            <a:solidFill>
              <a:schemeClr val="accent2"/>
            </a:solidFill>
            <a:ln>
              <a:noFill/>
            </a:ln>
            <a:effectLst/>
          </c:spPr>
          <c:invertIfNegative val="0"/>
          <c:val>
            <c:numRef>
              <c:f>'HQS inspections'!$B$31:$B$40</c:f>
              <c:numCache>
                <c:formatCode>General</c:formatCode>
                <c:ptCount val="10"/>
                <c:pt idx="0">
                  <c:v>3338</c:v>
                </c:pt>
                <c:pt idx="1">
                  <c:v>3410</c:v>
                </c:pt>
                <c:pt idx="2">
                  <c:v>3762</c:v>
                </c:pt>
                <c:pt idx="3">
                  <c:v>4315</c:v>
                </c:pt>
                <c:pt idx="4">
                  <c:v>4591</c:v>
                </c:pt>
                <c:pt idx="5">
                  <c:v>4565</c:v>
                </c:pt>
                <c:pt idx="6">
                  <c:v>4770</c:v>
                </c:pt>
                <c:pt idx="7">
                  <c:v>4945</c:v>
                </c:pt>
                <c:pt idx="8">
                  <c:v>5296</c:v>
                </c:pt>
                <c:pt idx="9">
                  <c:v>5322</c:v>
                </c:pt>
              </c:numCache>
            </c:numRef>
          </c:val>
          <c:extLst>
            <c:ext xmlns:c16="http://schemas.microsoft.com/office/drawing/2014/chart" uri="{C3380CC4-5D6E-409C-BE32-E72D297353CC}">
              <c16:uniqueId val="{00000001-9CA3-469E-9FA4-C6234FC20750}"/>
            </c:ext>
          </c:extLst>
        </c:ser>
        <c:dLbls>
          <c:showLegendKey val="0"/>
          <c:showVal val="0"/>
          <c:showCatName val="0"/>
          <c:showSerName val="0"/>
          <c:showPercent val="0"/>
          <c:showBubbleSize val="0"/>
        </c:dLbls>
        <c:gapWidth val="219"/>
        <c:axId val="1533566720"/>
        <c:axId val="1533567136"/>
      </c:barChart>
      <c:lineChart>
        <c:grouping val="standard"/>
        <c:varyColors val="0"/>
        <c:ser>
          <c:idx val="3"/>
          <c:order val="3"/>
          <c:tx>
            <c:strRef>
              <c:f>'HQS inspections'!$D$30</c:f>
              <c:strCache>
                <c:ptCount val="1"/>
                <c:pt idx="0">
                  <c:v>Staff time spent on Rent Increase (hours)</c:v>
                </c:pt>
              </c:strCache>
            </c:strRef>
          </c:tx>
          <c:spPr>
            <a:ln w="28575" cap="rnd">
              <a:solidFill>
                <a:schemeClr val="accent4"/>
              </a:solidFill>
              <a:round/>
            </a:ln>
            <a:effectLst/>
          </c:spPr>
          <c:marker>
            <c:symbol val="none"/>
          </c:marker>
          <c:val>
            <c:numRef>
              <c:f>'HQS inspections'!$D$31:$D$40</c:f>
              <c:numCache>
                <c:formatCode>General</c:formatCode>
                <c:ptCount val="10"/>
                <c:pt idx="0">
                  <c:v>401</c:v>
                </c:pt>
                <c:pt idx="1">
                  <c:v>210</c:v>
                </c:pt>
                <c:pt idx="2">
                  <c:v>232</c:v>
                </c:pt>
                <c:pt idx="3">
                  <c:v>278</c:v>
                </c:pt>
                <c:pt idx="4">
                  <c:v>141</c:v>
                </c:pt>
                <c:pt idx="5">
                  <c:v>70</c:v>
                </c:pt>
                <c:pt idx="6">
                  <c:v>98</c:v>
                </c:pt>
                <c:pt idx="7">
                  <c:v>264</c:v>
                </c:pt>
                <c:pt idx="8">
                  <c:v>1472</c:v>
                </c:pt>
              </c:numCache>
            </c:numRef>
          </c:val>
          <c:smooth val="0"/>
          <c:extLst>
            <c:ext xmlns:c16="http://schemas.microsoft.com/office/drawing/2014/chart" uri="{C3380CC4-5D6E-409C-BE32-E72D297353CC}">
              <c16:uniqueId val="{00000002-9CA3-469E-9FA4-C6234FC20750}"/>
            </c:ext>
          </c:extLst>
        </c:ser>
        <c:dLbls>
          <c:showLegendKey val="0"/>
          <c:showVal val="0"/>
          <c:showCatName val="0"/>
          <c:showSerName val="0"/>
          <c:showPercent val="0"/>
          <c:showBubbleSize val="0"/>
        </c:dLbls>
        <c:marker val="1"/>
        <c:smooth val="0"/>
        <c:axId val="1533566720"/>
        <c:axId val="1533567136"/>
      </c:lineChart>
      <c:lineChart>
        <c:grouping val="standard"/>
        <c:varyColors val="0"/>
        <c:ser>
          <c:idx val="2"/>
          <c:order val="2"/>
          <c:tx>
            <c:strRef>
              <c:f>'HQS inspections'!$C$30</c:f>
              <c:strCache>
                <c:ptCount val="1"/>
                <c:pt idx="0">
                  <c:v>Rent increase</c:v>
                </c:pt>
              </c:strCache>
            </c:strRef>
          </c:tx>
          <c:spPr>
            <a:ln w="28575" cap="rnd">
              <a:solidFill>
                <a:schemeClr val="accent3"/>
              </a:solidFill>
              <a:round/>
            </a:ln>
            <a:effectLst/>
          </c:spPr>
          <c:marker>
            <c:symbol val="none"/>
          </c:marker>
          <c:val>
            <c:numRef>
              <c:f>'HQS inspections'!$C$31:$C$40</c:f>
              <c:numCache>
                <c:formatCode>_("$"* #,##0_);_("$"* \(#,##0\);_("$"* "-"??_);_(@_)</c:formatCode>
                <c:ptCount val="10"/>
                <c:pt idx="0">
                  <c:v>573000</c:v>
                </c:pt>
                <c:pt idx="1">
                  <c:v>343932</c:v>
                </c:pt>
                <c:pt idx="2">
                  <c:v>437580</c:v>
                </c:pt>
                <c:pt idx="3">
                  <c:v>453324</c:v>
                </c:pt>
                <c:pt idx="4">
                  <c:v>296520</c:v>
                </c:pt>
                <c:pt idx="5">
                  <c:v>115140</c:v>
                </c:pt>
                <c:pt idx="6">
                  <c:v>136428</c:v>
                </c:pt>
                <c:pt idx="7">
                  <c:v>107240</c:v>
                </c:pt>
                <c:pt idx="8">
                  <c:v>140585</c:v>
                </c:pt>
                <c:pt idx="9">
                  <c:v>253902</c:v>
                </c:pt>
              </c:numCache>
            </c:numRef>
          </c:val>
          <c:smooth val="0"/>
          <c:extLst>
            <c:ext xmlns:c16="http://schemas.microsoft.com/office/drawing/2014/chart" uri="{C3380CC4-5D6E-409C-BE32-E72D297353CC}">
              <c16:uniqueId val="{00000003-9CA3-469E-9FA4-C6234FC20750}"/>
            </c:ext>
          </c:extLst>
        </c:ser>
        <c:dLbls>
          <c:showLegendKey val="0"/>
          <c:showVal val="0"/>
          <c:showCatName val="0"/>
          <c:showSerName val="0"/>
          <c:showPercent val="0"/>
          <c:showBubbleSize val="0"/>
        </c:dLbls>
        <c:marker val="1"/>
        <c:smooth val="0"/>
        <c:axId val="1533561728"/>
        <c:axId val="1533557568"/>
      </c:lineChart>
      <c:catAx>
        <c:axId val="15335667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567136"/>
        <c:crosses val="autoZero"/>
        <c:auto val="1"/>
        <c:lblAlgn val="ctr"/>
        <c:lblOffset val="100"/>
        <c:noMultiLvlLbl val="0"/>
      </c:catAx>
      <c:valAx>
        <c:axId val="153356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566720"/>
        <c:crosses val="autoZero"/>
        <c:crossBetween val="between"/>
      </c:valAx>
      <c:valAx>
        <c:axId val="1533557568"/>
        <c:scaling>
          <c:orientation val="minMax"/>
        </c:scaling>
        <c:delete val="0"/>
        <c:axPos val="r"/>
        <c:numFmt formatCode="_(&quot;$&quot;* #,##0_);_(&quot;$&quot;* \(#,##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561728"/>
        <c:crosses val="max"/>
        <c:crossBetween val="between"/>
      </c:valAx>
      <c:catAx>
        <c:axId val="1533561728"/>
        <c:scaling>
          <c:orientation val="minMax"/>
        </c:scaling>
        <c:delete val="1"/>
        <c:axPos val="b"/>
        <c:majorTickMark val="out"/>
        <c:minorTickMark val="none"/>
        <c:tickLblPos val="nextTo"/>
        <c:crossAx val="1533557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3F45BF11-CB11-4412-88BD-83DFFB6A5F54}">
    <t:Anchor>
      <t:Comment id="389571501"/>
    </t:Anchor>
    <t:History>
      <t:Event id="{5AC2AAF3-950A-48A4-A302-BF45C8B594E9}" time="2024-12-10T15:40:19.273Z">
        <t:Attribution userId="S::ctoussaint@elmcitycommunities.org::1d1060e3-921a-438c-a3fa-1c4aeb79097b" userProvider="AD" userName="Coreen Toussaint"/>
        <t:Anchor>
          <t:Comment id="1388873559"/>
        </t:Anchor>
        <t:Create/>
      </t:Event>
      <t:Event id="{08EBF65D-1A7B-49C1-A74D-5E9D895919D9}" time="2024-12-10T15:40:19.273Z">
        <t:Attribution userId="S::ctoussaint@elmcitycommunities.org::1d1060e3-921a-438c-a3fa-1c4aeb79097b" userProvider="AD" userName="Coreen Toussaint"/>
        <t:Anchor>
          <t:Comment id="1388873559"/>
        </t:Anchor>
        <t:Assign userId="S::tbordeaux@elmcitycommunities.org::1e9b62f2-570e-4549-b688-dc2eb85eca1c" userProvider="AD" userName="Teena Bordeaux"/>
      </t:Event>
      <t:Event id="{21CE2A9B-7B8C-4D25-BE24-6044EF86BD5A}" time="2024-12-10T15:40:19.273Z">
        <t:Attribution userId="S::ctoussaint@elmcitycommunities.org::1d1060e3-921a-438c-a3fa-1c4aeb79097b" userProvider="AD" userName="Coreen Toussaint"/>
        <t:Anchor>
          <t:Comment id="1388873559"/>
        </t:Anchor>
        <t:SetTitle title="@Teena Bordeaux Can you please see @Evelise Ribeiro question"/>
      </t:Event>
    </t:History>
  </t:Task>
  <t:Task id="{89CF5B57-C404-4672-807D-12614373EC72}">
    <t:Anchor>
      <t:Comment id="690864827"/>
    </t:Anchor>
    <t:History>
      <t:Event id="{4B0F64C9-DFB9-4595-8960-B4298A44F713}" time="2024-10-28T15:08:35.566Z">
        <t:Attribution userId="S::ctoussaint@elmcitycommunities.org::1d1060e3-921a-438c-a3fa-1c4aeb79097b" userProvider="AD" userName="Coreen Toussaint"/>
        <t:Anchor>
          <t:Comment id="797197354"/>
        </t:Anchor>
        <t:Create/>
      </t:Event>
      <t:Event id="{501974D3-1CD5-4F49-8C16-3BD478FD0F27}" time="2024-10-28T15:08:35.566Z">
        <t:Attribution userId="S::ctoussaint@elmcitycommunities.org::1d1060e3-921a-438c-a3fa-1c4aeb79097b" userProvider="AD" userName="Coreen Toussaint"/>
        <t:Anchor>
          <t:Comment id="797197354"/>
        </t:Anchor>
        <t:Assign userId="S::knewman@elmcitycommunities.org::d0e89e4e-0469-4660-8583-2b79b695fac0" userProvider="AD" userName="Kanisha Newman"/>
      </t:Event>
      <t:Event id="{7F962CF4-1BE9-4600-99F8-D393572175EF}" time="2024-10-28T15:08:35.566Z">
        <t:Attribution userId="S::ctoussaint@elmcitycommunities.org::1d1060e3-921a-438c-a3fa-1c4aeb79097b" userProvider="AD" userName="Coreen Toussaint"/>
        <t:Anchor>
          <t:Comment id="797197354"/>
        </t:Anchor>
        <t:SetTitle title="@Kanisha Newman"/>
      </t:Event>
    </t:History>
  </t:Task>
  <t:Task id="{387D4198-3D3C-4899-A990-75F259ABAE0B}">
    <t:Anchor>
      <t:Comment id="677684377"/>
    </t:Anchor>
    <t:History>
      <t:Event id="{9204AF33-7B8C-4EFA-B047-DE2282606733}" time="2023-12-22T13:45:56.037Z">
        <t:Attribution userId="S::kdwalton@elmcitycommunities.org::04a04381-0a12-49f3-b082-81eb582daed2" userProvider="AD" userName="Karen DuBois-Walton"/>
        <t:Anchor>
          <t:Comment id="677684377"/>
        </t:Anchor>
        <t:Create/>
      </t:Event>
      <t:Event id="{EE7AF8EC-9635-40F0-B5AE-5F5B3914A4EA}" time="2023-12-22T13:45:56.037Z">
        <t:Attribution userId="S::kdwalton@elmcitycommunities.org::04a04381-0a12-49f3-b082-81eb582daed2" userProvider="AD" userName="Karen DuBois-Walton"/>
        <t:Anchor>
          <t:Comment id="677684377"/>
        </t:Anchor>
        <t:Assign userId="S::eribeiro@elmcitycommunities.org::0116a3af-a636-42eb-b929-ef728130161f" userProvider="AD" userName="Evelise Ribeiro"/>
      </t:Event>
      <t:Event id="{2AAD4614-A44E-4134-9089-B900F7A8EA0A}" time="2023-12-22T13:45:56.037Z">
        <t:Attribution userId="S::kdwalton@elmcitycommunities.org::04a04381-0a12-49f3-b082-81eb582daed2" userProvider="AD" userName="Karen DuBois-Walton"/>
        <t:Anchor>
          <t:Comment id="677684377"/>
        </t:Anchor>
        <t:SetTitle title="@Evelise Ribeiro not sure why this is here. this needs to have real data in it not the descriptions."/>
      </t:Event>
    </t:History>
  </t:Task>
  <t:Task id="{0D6E7943-1E33-4C15-BEA5-16D08C1A8D8C}">
    <t:Anchor>
      <t:Comment id="925383265"/>
    </t:Anchor>
    <t:History>
      <t:Event id="{B1AEE0AB-CA5E-4E2C-A06B-5901F8E9DC9F}" time="2023-12-22T13:38:41.013Z">
        <t:Attribution userId="S::kdwalton@elmcitycommunities.org::04a04381-0a12-49f3-b082-81eb582daed2" userProvider="AD" userName="Karen DuBois-Walton"/>
        <t:Anchor>
          <t:Comment id="925383265"/>
        </t:Anchor>
        <t:Create/>
      </t:Event>
      <t:Event id="{9BBE1A1C-FD4B-4A80-A214-FA3A636E06A9}" time="2023-12-22T13:38:41.013Z">
        <t:Attribution userId="S::kdwalton@elmcitycommunities.org::04a04381-0a12-49f3-b082-81eb582daed2" userProvider="AD" userName="Karen DuBois-Walton"/>
        <t:Anchor>
          <t:Comment id="925383265"/>
        </t:Anchor>
        <t:Assign userId="S::eribeiro@elmcitycommunities.org::0116a3af-a636-42eb-b929-ef728130161f" userProvider="AD" userName="Evelise Ribeiro"/>
      </t:Event>
      <t:Event id="{C0273EA4-EE74-4BDA-BAC4-2D946C4482A3}" time="2023-12-22T13:38:41.013Z">
        <t:Attribution userId="S::kdwalton@elmcitycommunities.org::04a04381-0a12-49f3-b082-81eb582daed2" userProvider="AD" userName="Karen DuBois-Walton"/>
        <t:Anchor>
          <t:Comment id="925383265"/>
        </t:Anchor>
        <t:SetTitle title="@Evelise Ribeiro make sure this ties to page 16"/>
      </t:Event>
    </t:History>
  </t:Task>
  <t:Task id="{CCC4C97B-960B-41C3-ABB3-E282B3E7E762}">
    <t:Anchor>
      <t:Comment id="1075236238"/>
    </t:Anchor>
    <t:History>
      <t:Event id="{BA0A1513-73CA-49F7-8BCD-98181F7C16FE}" time="2023-12-21T18:49:32.798Z">
        <t:Attribution userId="S::kdwalton@elmcitycommunities.org::04a04381-0a12-49f3-b082-81eb582daed2" userProvider="AD" userName="Karen DuBois-Walton"/>
        <t:Anchor>
          <t:Comment id="1075236238"/>
        </t:Anchor>
        <t:Create/>
      </t:Event>
      <t:Event id="{ACB30CB1-8D2E-4833-9BEB-74F8235F4C1A}" time="2023-12-21T18:49:32.798Z">
        <t:Attribution userId="S::kdwalton@elmcitycommunities.org::04a04381-0a12-49f3-b082-81eb582daed2" userProvider="AD" userName="Karen DuBois-Walton"/>
        <t:Anchor>
          <t:Comment id="1075236238"/>
        </t:Anchor>
        <t:Assign userId="S::eribeiro@elmcitycommunities.org::0116a3af-a636-42eb-b929-ef728130161f" userProvider="AD" userName="Evelise Ribeiro"/>
      </t:Event>
      <t:Event id="{49A38580-4AC0-4393-8499-8268380B896A}" time="2023-12-21T18:49:32.798Z">
        <t:Attribution userId="S::kdwalton@elmcitycommunities.org::04a04381-0a12-49f3-b082-81eb582daed2" userProvider="AD" userName="Karen DuBois-Walton"/>
        <t:Anchor>
          <t:Comment id="1075236238"/>
        </t:Anchor>
        <t:SetTitle title="@Evelise Ribeiro why is Valley in this chart? These units came out of LIPH before end of FY23"/>
      </t:Event>
    </t:History>
  </t:Task>
  <t:Task id="{FDC04853-F9FD-4626-9115-C267B20D4724}">
    <t:Anchor>
      <t:Comment id="67806555"/>
    </t:Anchor>
    <t:History>
      <t:Event id="{C3335DAD-FD33-4D33-A662-17915ADC0F10}" time="2023-11-30T16:11:03.99Z">
        <t:Attribution userId="S::eribeiro@elmcitycommunities.org::0116a3af-a636-42eb-b929-ef728130161f" userProvider="AD" userName="Evelise Ribeiro"/>
        <t:Anchor>
          <t:Comment id="67806555"/>
        </t:Anchor>
        <t:Create/>
      </t:Event>
      <t:Event id="{A63D4512-B40D-42F4-BBE9-A66791C25AB4}" time="2023-11-30T16:11:03.99Z">
        <t:Attribution userId="S::eribeiro@elmcitycommunities.org::0116a3af-a636-42eb-b929-ef728130161f" userProvider="AD" userName="Evelise Ribeiro"/>
        <t:Anchor>
          <t:Comment id="67806555"/>
        </t:Anchor>
        <t:Assign userId="S::yhperez@360mgtgrp.com::604e999f-43bc-407b-901f-261c6442e666" userProvider="AD" userName="Yesica Hernandez-Perez"/>
      </t:Event>
      <t:Event id="{0C11A212-325F-4F21-A40D-E541AFFCBFE5}" time="2023-11-30T16:11:03.99Z">
        <t:Attribution userId="S::eribeiro@elmcitycommunities.org::0116a3af-a636-42eb-b929-ef728130161f" userProvider="AD" userName="Evelise Ribeiro"/>
        <t:Anchor>
          <t:Comment id="67806555"/>
        </t:Anchor>
        <t:SetTitle title="@Yesica Hernandez-Perez Chart update needed. Do you have the original charts? If not, I would need to recreate them."/>
      </t:Event>
    </t:History>
  </t:Task>
  <t:Task id="{DB3FE400-4A5C-4470-9E98-8D57F5BE4AE9}">
    <t:Anchor>
      <t:Comment id="1536346282"/>
    </t:Anchor>
    <t:History>
      <t:Event id="{3D6F2D4E-0F8C-4199-8643-018C96237E7C}" time="2023-12-24T22:43:50.471Z">
        <t:Attribution userId="S::kdwalton@elmcitycommunities.org::04a04381-0a12-49f3-b082-81eb582daed2" userProvider="AD" userName="Karen DuBois-Walton"/>
        <t:Anchor>
          <t:Comment id="1536346282"/>
        </t:Anchor>
        <t:Create/>
      </t:Event>
      <t:Event id="{C8AB3AE1-593A-4FE4-8600-7312260FE613}" time="2023-12-24T22:43:50.471Z">
        <t:Attribution userId="S::kdwalton@elmcitycommunities.org::04a04381-0a12-49f3-b082-81eb582daed2" userProvider="AD" userName="Karen DuBois-Walton"/>
        <t:Anchor>
          <t:Comment id="1536346282"/>
        </t:Anchor>
        <t:Assign userId="S::eribeiro@elmcitycommunities.org::0116a3af-a636-42eb-b929-ef728130161f" userProvider="AD" userName="Evelise Ribeiro"/>
      </t:Event>
      <t:Event id="{4A4F64A8-B86F-4C3D-A50E-2B1A891A855D}" time="2023-12-24T22:43:50.471Z">
        <t:Attribution userId="S::kdwalton@elmcitycommunities.org::04a04381-0a12-49f3-b082-81eb582daed2" userProvider="AD" userName="Karen DuBois-Walton"/>
        <t:Anchor>
          <t:Comment id="1536346282"/>
        </t:Anchor>
        <t:SetTitle title="@Evelise Ribeiro formatting"/>
      </t:Event>
    </t:History>
  </t:Task>
  <t:Task id="{BBC40A91-BA7C-481D-B5A9-9B11493024BF}">
    <t:Anchor>
      <t:Comment id="1065420628"/>
    </t:Anchor>
    <t:History>
      <t:Event id="{BCF57C95-2094-4D44-A0E6-2C240D4EEE22}" time="2023-11-16T23:37:13.85Z">
        <t:Attribution userId="S::eribeiro@elmcitycommunities.org::0116a3af-a636-42eb-b929-ef728130161f" userProvider="AD" userName="Evelise Ribeiro"/>
        <t:Anchor>
          <t:Comment id="1065420628"/>
        </t:Anchor>
        <t:Create/>
      </t:Event>
      <t:Event id="{72201775-95CF-49A0-8E74-94E55200C19F}" time="2023-11-16T23:37:13.85Z">
        <t:Attribution userId="S::eribeiro@elmcitycommunities.org::0116a3af-a636-42eb-b929-ef728130161f" userProvider="AD" userName="Evelise Ribeiro"/>
        <t:Anchor>
          <t:Comment id="1065420628"/>
        </t:Anchor>
        <t:Assign userId="S::jrafferty@elmcitycommunities.org::b2626272-2684-4582-b857-e35493c49067" userProvider="AD" userName="John Rafferty"/>
      </t:Event>
      <t:Event id="{C344DDAF-CD1A-45F9-8FE3-42361E543AA1}" time="2023-11-16T23:37:13.85Z">
        <t:Attribution userId="S::eribeiro@elmcitycommunities.org::0116a3af-a636-42eb-b929-ef728130161f" userProvider="AD" userName="Evelise Ribeiro"/>
        <t:Anchor>
          <t:Comment id="1065420628"/>
        </t:Anchor>
        <t:SetTitle title="@John Rafferty Are there any updates to this box?"/>
      </t:Event>
    </t:History>
  </t:Task>
  <t:Task id="{DC6566B6-A1E6-4068-A616-4B2F2D0CED8A}">
    <t:Anchor>
      <t:Comment id="954651458"/>
    </t:Anchor>
    <t:History>
      <t:Event id="{58D948B7-E351-4DF7-A99C-BD60411ECB50}" time="2023-12-24T22:43:10.301Z">
        <t:Attribution userId="S::kdwalton@elmcitycommunities.org::04a04381-0a12-49f3-b082-81eb582daed2" userProvider="AD" userName="Karen DuBois-Walton"/>
        <t:Anchor>
          <t:Comment id="954651458"/>
        </t:Anchor>
        <t:Create/>
      </t:Event>
      <t:Event id="{A872EDE3-0F50-4E87-89DA-AEE8231BBE71}" time="2023-12-24T22:43:10.301Z">
        <t:Attribution userId="S::kdwalton@elmcitycommunities.org::04a04381-0a12-49f3-b082-81eb582daed2" userProvider="AD" userName="Karen DuBois-Walton"/>
        <t:Anchor>
          <t:Comment id="954651458"/>
        </t:Anchor>
        <t:Assign userId="S::eribeiro@elmcitycommunities.org::0116a3af-a636-42eb-b929-ef728130161f" userProvider="AD" userName="Evelise Ribeiro"/>
      </t:Event>
      <t:Event id="{0441FA4B-6437-4E73-8D31-4838F13B5E53}" time="2023-12-24T22:43:10.301Z">
        <t:Attribution userId="S::kdwalton@elmcitycommunities.org::04a04381-0a12-49f3-b082-81eb582daed2" userProvider="AD" userName="Karen DuBois-Walton"/>
        <t:Anchor>
          <t:Comment id="954651458"/>
        </t:Anchor>
        <t:SetTitle title="@Evelise Ribeiro this references 38 families but in the chart you only report on 9. needs explanation."/>
      </t:Event>
    </t:History>
  </t:Task>
  <t:Task id="{5C17DFA6-5D46-4DFA-AE47-F1A1AF8C227F}">
    <t:Anchor>
      <t:Comment id="1019768759"/>
    </t:Anchor>
    <t:History>
      <t:Event id="{DE5FAAB9-2CCD-46DD-BCF4-E7F79C1FB104}" time="2023-12-22T13:40:33.797Z">
        <t:Attribution userId="S::kdwalton@elmcitycommunities.org::04a04381-0a12-49f3-b082-81eb582daed2" userProvider="AD" userName="Karen DuBois-Walton"/>
        <t:Anchor>
          <t:Comment id="1019768759"/>
        </t:Anchor>
        <t:Create/>
      </t:Event>
      <t:Event id="{6597993C-913B-4D9F-BB05-D828AEEC8F99}" time="2023-12-22T13:40:33.797Z">
        <t:Attribution userId="S::kdwalton@elmcitycommunities.org::04a04381-0a12-49f3-b082-81eb582daed2" userProvider="AD" userName="Karen DuBois-Walton"/>
        <t:Anchor>
          <t:Comment id="1019768759"/>
        </t:Anchor>
        <t:Assign userId="S::eribeiro@elmcitycommunities.org::0116a3af-a636-42eb-b929-ef728130161f" userProvider="AD" userName="Evelise Ribeiro"/>
      </t:Event>
      <t:Event id="{974B9BD5-E8B7-472B-B051-D023CB4B3010}" time="2023-12-22T13:40:33.797Z">
        <t:Attribution userId="S::kdwalton@elmcitycommunities.org::04a04381-0a12-49f3-b082-81eb582daed2" userProvider="AD" userName="Karen DuBois-Walton"/>
        <t:Anchor>
          <t:Comment id="1019768759"/>
        </t:Anchor>
        <t:SetTitle title="@Evelise Ribeiro change the Series1, 2 and 3 labels to reflect correct label"/>
      </t:Event>
    </t:History>
  </t:Task>
  <t:Task id="{ADE037C2-A372-4F6F-B4E7-8D566338A772}">
    <t:Anchor>
      <t:Comment id="1947146223"/>
    </t:Anchor>
    <t:History>
      <t:Event id="{40F39770-9E2A-444B-B39A-847D47258242}" time="2023-11-16T23:39:39.926Z">
        <t:Attribution userId="S::eribeiro@elmcitycommunities.org::0116a3af-a636-42eb-b929-ef728130161f" userProvider="AD" userName="Evelise Ribeiro"/>
        <t:Anchor>
          <t:Comment id="1947146223"/>
        </t:Anchor>
        <t:Create/>
      </t:Event>
      <t:Event id="{842E2EC6-48EF-4F5E-8947-B04A9B6ADF12}" time="2023-11-16T23:39:39.926Z">
        <t:Attribution userId="S::eribeiro@elmcitycommunities.org::0116a3af-a636-42eb-b929-ef728130161f" userProvider="AD" userName="Evelise Ribeiro"/>
        <t:Anchor>
          <t:Comment id="1947146223"/>
        </t:Anchor>
        <t:Assign userId="S::jrafferty@elmcitycommunities.org::b2626272-2684-4582-b857-e35493c49067" userProvider="AD" userName="John Rafferty"/>
      </t:Event>
      <t:Event id="{99BC1A41-8D8A-4E43-BAB7-B8CA0DF1F017}" time="2023-11-16T23:39:39.926Z">
        <t:Attribution userId="S::eribeiro@elmcitycommunities.org::0116a3af-a636-42eb-b929-ef728130161f" userProvider="AD" userName="Evelise Ribeiro"/>
        <t:Anchor>
          <t:Comment id="1947146223"/>
        </t:Anchor>
        <t:SetTitle title="@John Rafferty Are there any updates to this box?"/>
      </t:Event>
    </t:History>
  </t:Task>
  <t:Task id="{53C6AE1C-29EA-4F27-A233-B6307F62169A}">
    <t:Anchor>
      <t:Comment id="547795709"/>
    </t:Anchor>
    <t:History>
      <t:Event id="{ABD87E28-A947-49F6-8295-7CFD82ABCE89}" time="2023-11-08T22:50:06.075Z">
        <t:Attribution userId="S::eribeiro@elmcitycommunities.org::0116a3af-a636-42eb-b929-ef728130161f" userProvider="AD" userName="Evelise Ribeiro"/>
        <t:Anchor>
          <t:Comment id="547795709"/>
        </t:Anchor>
        <t:Create/>
      </t:Event>
      <t:Event id="{2B3E6F10-9A02-410A-9BF4-CE0C008BE82E}" time="2023-11-08T22:50:06.075Z">
        <t:Attribution userId="S::eribeiro@elmcitycommunities.org::0116a3af-a636-42eb-b929-ef728130161f" userProvider="AD" userName="Evelise Ribeiro"/>
        <t:Anchor>
          <t:Comment id="547795709"/>
        </t:Anchor>
        <t:Assign userId="S::spergjoni@elmcitycommunities.org::5c932d7b-92dd-4547-add0-45136c0174d2" userProvider="AD" userName="Suela Pergjoni"/>
      </t:Event>
      <t:Event id="{13B18CE6-ED33-4C3E-A469-51C4DD078CA7}" time="2023-11-08T22:50:06.075Z">
        <t:Attribution userId="S::eribeiro@elmcitycommunities.org::0116a3af-a636-42eb-b929-ef728130161f" userProvider="AD" userName="Evelise Ribeiro"/>
        <t:Anchor>
          <t:Comment id="547795709"/>
        </t:Anchor>
        <t:SetTitle title="What about Queach and Beacon? Were these PBVs awarded in FY2023? @Suela Pergjoni"/>
      </t:Event>
    </t:History>
  </t:Task>
  <t:Task id="{C0083794-6B5E-4E79-BF91-83D55631888C}">
    <t:Anchor>
      <t:Comment id="662404389"/>
    </t:Anchor>
    <t:History>
      <t:Event id="{5F47DB32-5957-4E7A-9108-3C64FAE79321}" time="2023-10-30T20:06:25.586Z">
        <t:Attribution userId="S::eribeiro@elmcitycommunities.org::0116a3af-a636-42eb-b929-ef728130161f" userProvider="AD" userName="Evelise Ribeiro"/>
        <t:Anchor>
          <t:Comment id="1440051441"/>
        </t:Anchor>
        <t:Create/>
      </t:Event>
      <t:Event id="{4D733BD1-3DC3-4253-828A-AD6200975181}" time="2023-10-30T20:06:25.586Z">
        <t:Attribution userId="S::eribeiro@elmcitycommunities.org::0116a3af-a636-42eb-b929-ef728130161f" userProvider="AD" userName="Evelise Ribeiro"/>
        <t:Anchor>
          <t:Comment id="1440051441"/>
        </t:Anchor>
        <t:Assign userId="S::spergjoni@elmcitycommunities.org::5c932d7b-92dd-4547-add0-45136c0174d2" userProvider="AD" userName="Suela Pergjoni"/>
      </t:Event>
      <t:Event id="{73E7E05E-D15F-4D12-B63A-98A0AE73ACBC}" time="2023-10-30T20:06:25.586Z">
        <t:Attribution userId="S::eribeiro@elmcitycommunities.org::0116a3af-a636-42eb-b929-ef728130161f" userProvider="AD" userName="Evelise Ribeiro"/>
        <t:Anchor>
          <t:Comment id="1440051441"/>
        </t:Anchor>
        <t:SetTitle title="@Suela Pergjoni . Ok so it was not terminated in FY2023"/>
      </t:Event>
    </t:History>
  </t:Task>
  <t:Task id="{04B9E776-A6AD-461A-8B00-8555CF8BD9C7}">
    <t:Anchor>
      <t:Comment id="1841844656"/>
    </t:Anchor>
    <t:History>
      <t:Event id="{8D4DF768-0FF2-4F2A-805E-6FF52EE6BFF7}" time="2023-10-19T21:42:31.839Z">
        <t:Attribution userId="S::eribeiro@elmcitycommunities.org::0116a3af-a636-42eb-b929-ef728130161f" userProvider="AD" userName="Evelise Ribeiro"/>
        <t:Anchor>
          <t:Comment id="1841844656"/>
        </t:Anchor>
        <t:Create/>
      </t:Event>
      <t:Event id="{5572A4F3-9712-498D-81DE-2AB654BBF550}" time="2023-10-19T21:42:31.839Z">
        <t:Attribution userId="S::eribeiro@elmcitycommunities.org::0116a3af-a636-42eb-b929-ef728130161f" userProvider="AD" userName="Evelise Ribeiro"/>
        <t:Anchor>
          <t:Comment id="1841844656"/>
        </t:Anchor>
        <t:Assign userId="S::spergjoni@elmcitycommunities.org::5c932d7b-92dd-4547-add0-45136c0174d2" userProvider="AD" userName="Suela Pergjoni"/>
      </t:Event>
      <t:Event id="{627F2AC0-490D-4244-B4D8-8607D7DDC25F}" time="2023-10-19T21:42:31.839Z">
        <t:Attribution userId="S::eribeiro@elmcitycommunities.org::0116a3af-a636-42eb-b929-ef728130161f" userProvider="AD" userName="Evelise Ribeiro"/>
        <t:Anchor>
          <t:Comment id="1841844656"/>
        </t:Anchor>
        <t:SetTitle title="@Suela Pergjoni @Coreen Toussaint Information needed"/>
      </t:Event>
    </t:History>
  </t:Task>
  <t:Task id="{C740159D-F4C0-4132-86B6-FA369CCB1124}">
    <t:Anchor>
      <t:Comment id="1726878170"/>
    </t:Anchor>
    <t:History>
      <t:Event id="{445FEFBF-D638-422D-A2AA-0233E8920BC4}" time="2023-12-22T13:37:55.459Z">
        <t:Attribution userId="S::kdwalton@elmcitycommunities.org::04a04381-0a12-49f3-b082-81eb582daed2" userProvider="AD" userName="Karen DuBois-Walton"/>
        <t:Anchor>
          <t:Comment id="1726878170"/>
        </t:Anchor>
        <t:Create/>
      </t:Event>
      <t:Event id="{A8584609-51B8-4167-BAB1-9303B1BA2423}" time="2023-12-22T13:37:55.459Z">
        <t:Attribution userId="S::kdwalton@elmcitycommunities.org::04a04381-0a12-49f3-b082-81eb582daed2" userProvider="AD" userName="Karen DuBois-Walton"/>
        <t:Anchor>
          <t:Comment id="1726878170"/>
        </t:Anchor>
        <t:Assign userId="S::eribeiro@elmcitycommunities.org::0116a3af-a636-42eb-b929-ef728130161f" userProvider="AD" userName="Evelise Ribeiro"/>
      </t:Event>
      <t:Event id="{2F1E086C-CB5E-47AE-90FD-1C49C78B4FCB}" time="2023-12-22T13:37:55.459Z">
        <t:Attribution userId="S::kdwalton@elmcitycommunities.org::04a04381-0a12-49f3-b082-81eb582daed2" userProvider="AD" userName="Karen DuBois-Walton"/>
        <t:Anchor>
          <t:Comment id="1726878170"/>
        </t:Anchor>
        <t:SetTitle title="@Evelise Ribeiro reordering the chart on PBVs will help make this part clearer and easier to report on. By my calculations it looks like there were 824 out of 4389 (non RAD PBV vouchers) for a percentage of 19%. You need to verify these numbers and …"/>
      </t:Event>
    </t:History>
  </t:Task>
  <t:Task id="{96B1D990-F59C-4060-9E44-52A928602C15}">
    <t:Anchor>
      <t:Comment id="133960173"/>
    </t:Anchor>
    <t:History>
      <t:Event id="{7B21D11C-CBB8-41AB-8AFD-E757762E241B}" time="2023-11-02T19:02:27.623Z">
        <t:Attribution userId="S::eribeiro@elmcitycommunities.org::0116a3af-a636-42eb-b929-ef728130161f" userProvider="AD" userName="Evelise Ribeiro"/>
        <t:Anchor>
          <t:Comment id="133960173"/>
        </t:Anchor>
        <t:Create/>
      </t:Event>
      <t:Event id="{8E839EAB-8802-4021-BCF2-372ADB8CA878}" time="2023-11-02T19:02:27.623Z">
        <t:Attribution userId="S::eribeiro@elmcitycommunities.org::0116a3af-a636-42eb-b929-ef728130161f" userProvider="AD" userName="Evelise Ribeiro"/>
        <t:Anchor>
          <t:Comment id="133960173"/>
        </t:Anchor>
        <t:Assign userId="S::lmccrea@elmcitycommunities.org::8440f7a1-6360-4ba2-9db8-093c1f292af9" userProvider="AD" userName="Latoya Mills"/>
      </t:Event>
      <t:Event id="{465B1E55-1BF7-4A08-9AC3-EBA148B414AF}" time="2023-11-02T19:02:27.623Z">
        <t:Attribution userId="S::eribeiro@elmcitycommunities.org::0116a3af-a636-42eb-b929-ef728130161f" userProvider="AD" userName="Evelise Ribeiro"/>
        <t:Anchor>
          <t:Comment id="133960173"/>
        </t:Anchor>
        <t:SetTitle title="@Latoya Mills Data needed i.e. HOH income, household income, etc. Who is contributing to the income and the age of the family member."/>
      </t:Event>
    </t:History>
  </t:Task>
  <t:Task id="{1D576301-ED0E-4CF5-B6BE-C35372000EF4}">
    <t:Anchor>
      <t:Comment id="167492848"/>
    </t:Anchor>
    <t:History>
      <t:Event id="{FE50A6AA-74C5-48F3-9A67-CC2DEE335EB8}" time="2023-10-19T21:45:36.474Z">
        <t:Attribution userId="S::eribeiro@elmcitycommunities.org::0116a3af-a636-42eb-b929-ef728130161f" userProvider="AD" userName="Evelise Ribeiro"/>
        <t:Anchor>
          <t:Comment id="167492848"/>
        </t:Anchor>
        <t:Create/>
      </t:Event>
      <t:Event id="{04B7A1F4-B7B6-4D17-B043-00E89FE9E6DB}" time="2023-10-19T21:45:36.474Z">
        <t:Attribution userId="S::eribeiro@elmcitycommunities.org::0116a3af-a636-42eb-b929-ef728130161f" userProvider="AD" userName="Evelise Ribeiro"/>
        <t:Anchor>
          <t:Comment id="167492848"/>
        </t:Anchor>
        <t:Assign userId="S::spergjoni@elmcitycommunities.org::5c932d7b-92dd-4547-add0-45136c0174d2" userProvider="AD" userName="Suela Pergjoni"/>
      </t:Event>
      <t:Event id="{85561CD2-C4A4-4062-8145-DB97D1CFAE1B}" time="2023-10-19T21:45:36.474Z">
        <t:Attribution userId="S::eribeiro@elmcitycommunities.org::0116a3af-a636-42eb-b929-ef728130161f" userProvider="AD" userName="Evelise Ribeiro"/>
        <t:Anchor>
          <t:Comment id="167492848"/>
        </t:Anchor>
        <t:SetTitle title="@Suela Pergjoni @Coreen Toussaint update neded"/>
      </t:Event>
    </t:History>
  </t:Task>
  <t:Task id="{15800A62-EFB9-431E-85C1-D38A3E2409BC}">
    <t:Anchor>
      <t:Comment id="2128712130"/>
    </t:Anchor>
    <t:History>
      <t:Event id="{5DFA7297-D3BF-446F-A903-95A220F0FDDD}" time="2023-11-29T15:42:08.037Z">
        <t:Attribution userId="S::eribeiro@elmcitycommunities.org::0116a3af-a636-42eb-b929-ef728130161f" userProvider="AD" userName="Evelise Ribeiro"/>
        <t:Anchor>
          <t:Comment id="2128712130"/>
        </t:Anchor>
        <t:Create/>
      </t:Event>
      <t:Event id="{AB52813E-7C0B-405E-9BEB-65787716C71A}" time="2023-11-29T15:42:08.037Z">
        <t:Attribution userId="S::eribeiro@elmcitycommunities.org::0116a3af-a636-42eb-b929-ef728130161f" userProvider="AD" userName="Evelise Ribeiro"/>
        <t:Anchor>
          <t:Comment id="2128712130"/>
        </t:Anchor>
        <t:Assign userId="S::yhperez@360mgtgrp.com::604e999f-43bc-407b-901f-261c6442e666" userProvider="AD" userName="Yesica Hernandez-Perez"/>
      </t:Event>
      <t:Event id="{F932C6E1-C4FE-4F4E-B2B0-7CAD2590E26D}" time="2023-11-29T15:42:08.037Z">
        <t:Attribution userId="S::eribeiro@elmcitycommunities.org::0116a3af-a636-42eb-b929-ef728130161f" userProvider="AD" userName="Evelise Ribeiro"/>
        <t:Anchor>
          <t:Comment id="2128712130"/>
        </t:Anchor>
        <t:SetTitle title="@Yesica Hernandez-Perez Do you have this information"/>
      </t:Event>
    </t:History>
  </t:Task>
  <t:Task id="{F2355F44-96D8-4B95-AF05-8B3C49EFEE13}">
    <t:Anchor>
      <t:Comment id="668471557"/>
    </t:Anchor>
    <t:History>
      <t:Event id="{30B7330A-A736-447D-BBB0-DBB25F74E804}" time="2023-11-08T22:50:06.075Z">
        <t:Attribution userId="S::eribeiro@elmcitycommunities.org::0116a3af-a636-42eb-b929-ef728130161f" userProvider="AD" userName="Evelise Ribeiro"/>
        <t:Anchor>
          <t:Comment id="668471557"/>
        </t:Anchor>
        <t:Create/>
      </t:Event>
      <t:Event id="{848B8AA7-DDDD-41AF-9C65-D0F65479E63D}" time="2023-11-08T22:50:06.075Z">
        <t:Attribution userId="S::eribeiro@elmcitycommunities.org::0116a3af-a636-42eb-b929-ef728130161f" userProvider="AD" userName="Evelise Ribeiro"/>
        <t:Anchor>
          <t:Comment id="668471557"/>
        </t:Anchor>
        <t:Assign userId="S::spergjoni@elmcitycommunities.org::5c932d7b-92dd-4547-add0-45136c0174d2" userProvider="AD" userName="Suela Pergjoni"/>
      </t:Event>
      <t:Event id="{803D176D-19B9-4D32-ABD3-0DA530D083F5}" time="2023-11-08T22:50:06.075Z">
        <t:Attribution userId="S::eribeiro@elmcitycommunities.org::0116a3af-a636-42eb-b929-ef728130161f" userProvider="AD" userName="Evelise Ribeiro"/>
        <t:Anchor>
          <t:Comment id="668471557"/>
        </t:Anchor>
        <t:SetTitle title="What about Queach and Beacon? Were these PBVs awarded in FY2023? @Suela Pergjoni"/>
      </t:Event>
    </t:History>
  </t:Task>
  <t:Task id="{E0680AD4-1065-457B-AB05-1096E18DBA61}">
    <t:Anchor>
      <t:Comment id="595491530"/>
    </t:Anchor>
    <t:History>
      <t:Event id="{487C27B0-575B-4737-B362-F2E605C0C44C}" time="2023-10-19T21:44:52.939Z">
        <t:Attribution userId="S::eribeiro@elmcitycommunities.org::0116a3af-a636-42eb-b929-ef728130161f" userProvider="AD" userName="Evelise Ribeiro"/>
        <t:Anchor>
          <t:Comment id="595491530"/>
        </t:Anchor>
        <t:Create/>
      </t:Event>
      <t:Event id="{DCF66152-CA7D-4B54-944A-75C78F4197E5}" time="2023-10-19T21:44:52.939Z">
        <t:Attribution userId="S::eribeiro@elmcitycommunities.org::0116a3af-a636-42eb-b929-ef728130161f" userProvider="AD" userName="Evelise Ribeiro"/>
        <t:Anchor>
          <t:Comment id="595491530"/>
        </t:Anchor>
        <t:Assign userId="S::spergjoni@elmcitycommunities.org::5c932d7b-92dd-4547-add0-45136c0174d2" userProvider="AD" userName="Suela Pergjoni"/>
      </t:Event>
      <t:Event id="{35524AF8-DA8B-4ED9-82FC-855574AFCEE1}" time="2023-10-19T21:44:52.939Z">
        <t:Attribution userId="S::eribeiro@elmcitycommunities.org::0116a3af-a636-42eb-b929-ef728130161f" userProvider="AD" userName="Evelise Ribeiro"/>
        <t:Anchor>
          <t:Comment id="595491530"/>
        </t:Anchor>
        <t:SetTitle title="@Suela Pergjoni @Coreen Toussaint Update needed"/>
      </t:Event>
    </t:History>
  </t:Task>
</t:Tasks>
</file>

<file path=word/theme/theme1.xml><?xml version="1.0" encoding="utf-8"?>
<a:theme xmlns:a="http://schemas.openxmlformats.org/drawingml/2006/main" name="Office Theme">
  <a:themeElements>
    <a:clrScheme name="Elm City 2">
      <a:dk1>
        <a:sysClr val="windowText" lastClr="000000"/>
      </a:dk1>
      <a:lt1>
        <a:sysClr val="window" lastClr="FFFFFF"/>
      </a:lt1>
      <a:dk2>
        <a:srgbClr val="505046"/>
      </a:dk2>
      <a:lt2>
        <a:srgbClr val="EEECE1"/>
      </a:lt2>
      <a:accent1>
        <a:srgbClr val="B7A241"/>
      </a:accent1>
      <a:accent2>
        <a:srgbClr val="B5333C"/>
      </a:accent2>
      <a:accent3>
        <a:srgbClr val="CC4D4C"/>
      </a:accent3>
      <a:accent4>
        <a:srgbClr val="D6542C"/>
      </a:accent4>
      <a:accent5>
        <a:srgbClr val="572A4C"/>
      </a:accent5>
      <a:accent6>
        <a:srgbClr val="966737"/>
      </a:accent6>
      <a:hlink>
        <a:srgbClr val="CC9900"/>
      </a:hlink>
      <a:folHlink>
        <a:srgbClr val="66669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lm City 2">
    <a:dk1>
      <a:sysClr val="windowText" lastClr="000000"/>
    </a:dk1>
    <a:lt1>
      <a:sysClr val="window" lastClr="FFFFFF"/>
    </a:lt1>
    <a:dk2>
      <a:srgbClr val="505046"/>
    </a:dk2>
    <a:lt2>
      <a:srgbClr val="EEECE1"/>
    </a:lt2>
    <a:accent1>
      <a:srgbClr val="B7A241"/>
    </a:accent1>
    <a:accent2>
      <a:srgbClr val="B5333C"/>
    </a:accent2>
    <a:accent3>
      <a:srgbClr val="CC4D4C"/>
    </a:accent3>
    <a:accent4>
      <a:srgbClr val="D6542C"/>
    </a:accent4>
    <a:accent5>
      <a:srgbClr val="572A4C"/>
    </a:accent5>
    <a:accent6>
      <a:srgbClr val="966737"/>
    </a:accent6>
    <a:hlink>
      <a:srgbClr val="CC9900"/>
    </a:hlink>
    <a:folHlink>
      <a:srgbClr val="66669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13A6194EA7D4E9AA260DDFB4E7D7E" ma:contentTypeVersion="4" ma:contentTypeDescription="Create a new document." ma:contentTypeScope="" ma:versionID="19c221a57286461e9263124ab418e3f6">
  <xsd:schema xmlns:xsd="http://www.w3.org/2001/XMLSchema" xmlns:xs="http://www.w3.org/2001/XMLSchema" xmlns:p="http://schemas.microsoft.com/office/2006/metadata/properties" xmlns:ns2="f27fc659-c65a-4b7a-bd72-3ab4f7590e67" xmlns:ns3="de160ec4-3319-49a8-bfcc-7f356c98c0ad" targetNamespace="http://schemas.microsoft.com/office/2006/metadata/properties" ma:root="true" ma:fieldsID="5d6857bd6098de2795ee6ee5605b556a" ns2:_="" ns3:_="">
    <xsd:import namespace="f27fc659-c65a-4b7a-bd72-3ab4f7590e67"/>
    <xsd:import namespace="de160ec4-3319-49a8-bfcc-7f356c98c0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fc659-c65a-4b7a-bd72-3ab4f7590e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160ec4-3319-49a8-bfcc-7f356c98c0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e160ec4-3319-49a8-bfcc-7f356c98c0ad">
      <UserInfo>
        <DisplayName>Evelise Ribeiro</DisplayName>
        <AccountId>21</AccountId>
        <AccountType/>
      </UserInfo>
      <UserInfo>
        <DisplayName>Gary Hogan</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3F5C4-7B14-44C2-A707-00AD4395F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fc659-c65a-4b7a-bd72-3ab4f7590e67"/>
    <ds:schemaRef ds:uri="de160ec4-3319-49a8-bfcc-7f356c98c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29D12D-598A-4D4B-BFF0-A82F97DCE46E}">
  <ds:schemaRefs>
    <ds:schemaRef ds:uri="http://purl.org/dc/dcmitype/"/>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de160ec4-3319-49a8-bfcc-7f356c98c0ad"/>
    <ds:schemaRef ds:uri="f27fc659-c65a-4b7a-bd72-3ab4f7590e67"/>
    <ds:schemaRef ds:uri="http://purl.org/dc/terms/"/>
  </ds:schemaRefs>
</ds:datastoreItem>
</file>

<file path=customXml/itemProps3.xml><?xml version="1.0" encoding="utf-8"?>
<ds:datastoreItem xmlns:ds="http://schemas.openxmlformats.org/officeDocument/2006/customXml" ds:itemID="{9408B466-3A95-42F0-89F3-1A2AE05C8790}">
  <ds:schemaRefs>
    <ds:schemaRef ds:uri="http://schemas.microsoft.com/sharepoint/v3/contenttype/forms"/>
  </ds:schemaRefs>
</ds:datastoreItem>
</file>

<file path=customXml/itemProps4.xml><?xml version="1.0" encoding="utf-8"?>
<ds:datastoreItem xmlns:ds="http://schemas.openxmlformats.org/officeDocument/2006/customXml" ds:itemID="{7281D6C0-56DD-46DC-BB70-CF91B02A5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277</Pages>
  <Words>72855</Words>
  <Characters>394150</Characters>
  <Application>Microsoft Office Word</Application>
  <DocSecurity>4</DocSecurity>
  <Lines>20744</Lines>
  <Paragraphs>11390</Paragraphs>
  <ScaleCrop>false</ScaleCrop>
  <HeadingPairs>
    <vt:vector size="2" baseType="variant">
      <vt:variant>
        <vt:lpstr>Title</vt:lpstr>
      </vt:variant>
      <vt:variant>
        <vt:i4>1</vt:i4>
      </vt:variant>
    </vt:vector>
  </HeadingPairs>
  <TitlesOfParts>
    <vt:vector size="1" baseType="lpstr">
      <vt:lpstr>ECC/HANH 2024 MTW Annual Report</vt:lpstr>
    </vt:vector>
  </TitlesOfParts>
  <Company>Enterprise Community</Company>
  <LinksUpToDate>false</LinksUpToDate>
  <CharactersWithSpaces>455615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ECC/HANH 2024 MTW Annual Report</dc:title>
  <dc:subject/>
  <dc:creator>Karen DuBois-Walton</dc:creator>
  <cp:keywords/>
  <dc:description/>
  <cp:lastModifiedBy>Desire Sessions</cp:lastModifiedBy>
  <cp:revision>2</cp:revision>
  <cp:lastPrinted>2025-11-20T22:55:00Z</cp:lastPrinted>
  <dcterms:created xsi:type="dcterms:W3CDTF">2026-01-13T20:51:00Z</dcterms:created>
  <dcterms:modified xsi:type="dcterms:W3CDTF">2026-01-13T20:51:00Z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0x01010029113A6194EA7D4E9AA260DDFB4E7D7E</vt:lpwstr>
  </property>
</Properties>
</file>